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25300" w14:textId="77777777" w:rsidR="00EB305B" w:rsidRDefault="006C0835" w:rsidP="00EB305B">
      <w:pPr>
        <w:ind w:left="1134" w:right="-17" w:hanging="1984"/>
        <w:jc w:val="center"/>
        <w:rPr>
          <w:b/>
          <w:bCs/>
          <w:i/>
        </w:rPr>
      </w:pPr>
      <w:r w:rsidRPr="00E83EAC">
        <w:rPr>
          <w:b/>
          <w:bCs/>
        </w:rPr>
        <w:t>(</w:t>
      </w:r>
      <w:r w:rsidRPr="00E83EAC">
        <w:rPr>
          <w:b/>
          <w:bCs/>
          <w:i/>
        </w:rPr>
        <w:t xml:space="preserve">Convenience Translation of Consolidated Financial Statements and Related Disclosures </w:t>
      </w:r>
    </w:p>
    <w:p w14:paraId="4F707B4F" w14:textId="54F703E9" w:rsidR="006C0835" w:rsidRPr="00E83EAC" w:rsidRDefault="006C0835" w:rsidP="00EB305B">
      <w:pPr>
        <w:ind w:left="1134" w:right="-17" w:hanging="1984"/>
        <w:jc w:val="center"/>
      </w:pPr>
      <w:proofErr w:type="gramStart"/>
      <w:r w:rsidRPr="00E83EAC">
        <w:rPr>
          <w:b/>
          <w:bCs/>
          <w:i/>
        </w:rPr>
        <w:t>and</w:t>
      </w:r>
      <w:proofErr w:type="gramEnd"/>
      <w:r w:rsidR="0024233F" w:rsidRPr="00E83EAC">
        <w:rPr>
          <w:b/>
          <w:bCs/>
          <w:i/>
        </w:rPr>
        <w:t xml:space="preserve"> </w:t>
      </w:r>
      <w:r w:rsidRPr="00E83EAC">
        <w:rPr>
          <w:b/>
          <w:bCs/>
          <w:i/>
        </w:rPr>
        <w:t>Footnotes Originally Issued in Turkish, See Note I in Section Three)</w:t>
      </w:r>
    </w:p>
    <w:p w14:paraId="293756A0" w14:textId="77777777" w:rsidR="002828AB" w:rsidRPr="00F433AC" w:rsidRDefault="002828AB" w:rsidP="00EB305B">
      <w:pPr>
        <w:suppressAutoHyphens/>
        <w:ind w:left="284"/>
        <w:jc w:val="center"/>
        <w:rPr>
          <w:rFonts w:ascii="Georgia" w:hAnsi="Georgia"/>
          <w:b/>
          <w:noProof/>
          <w:sz w:val="20"/>
          <w:szCs w:val="20"/>
          <w:lang w:val="tr-TR"/>
        </w:rPr>
      </w:pPr>
    </w:p>
    <w:p w14:paraId="4B02F232" w14:textId="77777777" w:rsidR="002828AB" w:rsidRPr="00576E0A" w:rsidRDefault="002828AB" w:rsidP="008D06EC">
      <w:pPr>
        <w:suppressAutoHyphens/>
        <w:ind w:left="284"/>
        <w:rPr>
          <w:rFonts w:ascii="Georgia" w:hAnsi="Georgia"/>
          <w:b/>
          <w:noProof/>
          <w:color w:val="A6A6A6" w:themeColor="background1" w:themeShade="A6"/>
          <w:sz w:val="20"/>
          <w:szCs w:val="20"/>
          <w:lang w:val="tr-TR"/>
        </w:rPr>
      </w:pPr>
    </w:p>
    <w:p w14:paraId="4B12393C" w14:textId="77777777" w:rsidR="008D06EC" w:rsidRPr="00604C75" w:rsidRDefault="008D06EC" w:rsidP="008D06EC">
      <w:pPr>
        <w:suppressAutoHyphens/>
        <w:ind w:left="284"/>
        <w:rPr>
          <w:rFonts w:ascii="Georgia" w:hAnsi="Georgia"/>
          <w:b/>
          <w:noProof/>
          <w:sz w:val="20"/>
          <w:szCs w:val="20"/>
          <w:lang w:val="tr-TR"/>
        </w:rPr>
      </w:pPr>
    </w:p>
    <w:p w14:paraId="152AA12B" w14:textId="77777777" w:rsidR="008D06EC" w:rsidRPr="00604C75" w:rsidRDefault="008D06EC" w:rsidP="008D06EC">
      <w:pPr>
        <w:suppressAutoHyphens/>
        <w:ind w:left="284"/>
        <w:rPr>
          <w:rFonts w:ascii="Georgia" w:hAnsi="Georgia"/>
          <w:b/>
          <w:noProof/>
          <w:sz w:val="20"/>
          <w:szCs w:val="20"/>
          <w:lang w:val="tr-TR"/>
        </w:rPr>
      </w:pPr>
    </w:p>
    <w:p w14:paraId="1F75B774" w14:textId="77777777" w:rsidR="008D06EC" w:rsidRPr="00604C75" w:rsidRDefault="008D06EC" w:rsidP="008D06EC">
      <w:pPr>
        <w:suppressAutoHyphens/>
        <w:ind w:left="284"/>
        <w:rPr>
          <w:rFonts w:ascii="Georgia" w:hAnsi="Georgia"/>
          <w:b/>
          <w:noProof/>
          <w:sz w:val="20"/>
          <w:szCs w:val="20"/>
          <w:lang w:val="tr-TR"/>
        </w:rPr>
      </w:pPr>
    </w:p>
    <w:p w14:paraId="020BA5E6" w14:textId="77777777" w:rsidR="008D06EC" w:rsidRPr="00604C75" w:rsidRDefault="008D06EC" w:rsidP="008D06EC">
      <w:pPr>
        <w:suppressAutoHyphens/>
        <w:ind w:left="284"/>
        <w:rPr>
          <w:rFonts w:ascii="Georgia" w:hAnsi="Georgia"/>
          <w:b/>
          <w:noProof/>
          <w:sz w:val="20"/>
          <w:szCs w:val="20"/>
          <w:lang w:val="tr-TR"/>
        </w:rPr>
      </w:pPr>
    </w:p>
    <w:p w14:paraId="13E82A58" w14:textId="77777777" w:rsidR="00D60FCD" w:rsidRPr="00604C75" w:rsidRDefault="00D60FCD" w:rsidP="008D06EC">
      <w:pPr>
        <w:suppressAutoHyphens/>
        <w:ind w:left="284"/>
        <w:rPr>
          <w:rFonts w:ascii="Georgia" w:hAnsi="Georgia"/>
          <w:b/>
          <w:noProof/>
          <w:sz w:val="20"/>
          <w:szCs w:val="20"/>
          <w:lang w:val="tr-TR"/>
        </w:rPr>
      </w:pPr>
    </w:p>
    <w:p w14:paraId="4CAD37E1" w14:textId="77777777" w:rsidR="00D60FCD" w:rsidRPr="00604C75" w:rsidRDefault="00D60FCD" w:rsidP="008D06EC">
      <w:pPr>
        <w:suppressAutoHyphens/>
        <w:ind w:left="284"/>
        <w:rPr>
          <w:rFonts w:ascii="Georgia" w:hAnsi="Georgia"/>
          <w:b/>
          <w:noProof/>
          <w:sz w:val="20"/>
          <w:szCs w:val="20"/>
          <w:lang w:val="tr-TR"/>
        </w:rPr>
      </w:pPr>
    </w:p>
    <w:p w14:paraId="2C458F47" w14:textId="77777777" w:rsidR="00D60FCD" w:rsidRPr="00604C75" w:rsidRDefault="00D60FCD" w:rsidP="00D60FCD">
      <w:pPr>
        <w:pStyle w:val="CoverClientName"/>
        <w:framePr w:w="7374" w:wrap="auto" w:hAnchor="page" w:x="2138" w:y="5945"/>
        <w:tabs>
          <w:tab w:val="clear" w:pos="-140"/>
        </w:tabs>
        <w:spacing w:after="120"/>
        <w:ind w:left="-720" w:right="-879"/>
        <w:jc w:val="center"/>
        <w:rPr>
          <w:rFonts w:ascii="Times New Roman" w:hAnsi="Times New Roman"/>
          <w:sz w:val="28"/>
          <w:szCs w:val="28"/>
          <w:lang w:val="en-US"/>
        </w:rPr>
      </w:pPr>
    </w:p>
    <w:p w14:paraId="039656C9" w14:textId="77777777" w:rsidR="00D60FCD" w:rsidRPr="00604C75" w:rsidRDefault="00D60FCD" w:rsidP="001F3D4E">
      <w:pPr>
        <w:pStyle w:val="CoverClientName"/>
        <w:framePr w:w="7374" w:wrap="auto" w:hAnchor="page" w:x="2138" w:y="5945"/>
        <w:tabs>
          <w:tab w:val="clear" w:pos="-140"/>
        </w:tabs>
        <w:spacing w:before="60" w:after="60"/>
        <w:ind w:left="-720" w:right="-879"/>
        <w:jc w:val="center"/>
        <w:rPr>
          <w:rFonts w:ascii="Times New Roman" w:hAnsi="Times New Roman"/>
          <w:sz w:val="28"/>
          <w:szCs w:val="28"/>
          <w:lang w:val="en-US"/>
        </w:rPr>
      </w:pPr>
      <w:proofErr w:type="spellStart"/>
      <w:r w:rsidRPr="00604C75">
        <w:rPr>
          <w:rFonts w:ascii="Times New Roman" w:hAnsi="Times New Roman"/>
          <w:sz w:val="28"/>
          <w:szCs w:val="28"/>
          <w:lang w:val="en-US"/>
        </w:rPr>
        <w:t>Alternatifbank</w:t>
      </w:r>
      <w:proofErr w:type="spellEnd"/>
      <w:r w:rsidR="00B1352E">
        <w:rPr>
          <w:rFonts w:ascii="Times New Roman" w:hAnsi="Times New Roman"/>
          <w:sz w:val="28"/>
          <w:szCs w:val="28"/>
          <w:lang w:val="en-US"/>
        </w:rPr>
        <w:t xml:space="preserve"> A.Ş.</w:t>
      </w:r>
    </w:p>
    <w:p w14:paraId="398C1524" w14:textId="5985192A" w:rsidR="00D60FCD" w:rsidRPr="00604C75" w:rsidRDefault="00FD0C7A" w:rsidP="001F3D4E">
      <w:pPr>
        <w:pStyle w:val="CoverClientName"/>
        <w:framePr w:w="7374" w:wrap="auto" w:hAnchor="page" w:x="2138" w:y="5945"/>
        <w:tabs>
          <w:tab w:val="clear" w:pos="-140"/>
        </w:tabs>
        <w:spacing w:before="60" w:after="60"/>
        <w:ind w:left="-720" w:right="-879"/>
        <w:jc w:val="center"/>
        <w:rPr>
          <w:rFonts w:ascii="Times New Roman" w:hAnsi="Times New Roman"/>
          <w:sz w:val="28"/>
          <w:szCs w:val="28"/>
          <w:lang w:val="en-US"/>
        </w:rPr>
      </w:pPr>
      <w:r w:rsidRPr="00604C75">
        <w:rPr>
          <w:rFonts w:ascii="Times New Roman" w:hAnsi="Times New Roman"/>
          <w:sz w:val="28"/>
          <w:szCs w:val="28"/>
          <w:lang w:val="en-US"/>
        </w:rPr>
        <w:t>And</w:t>
      </w:r>
      <w:r w:rsidR="00D60FCD" w:rsidRPr="00604C75">
        <w:rPr>
          <w:rFonts w:ascii="Times New Roman" w:hAnsi="Times New Roman"/>
          <w:sz w:val="28"/>
          <w:szCs w:val="28"/>
          <w:lang w:val="en-US"/>
        </w:rPr>
        <w:t xml:space="preserve"> </w:t>
      </w:r>
      <w:r w:rsidRPr="00604C75">
        <w:rPr>
          <w:rFonts w:ascii="Times New Roman" w:hAnsi="Times New Roman"/>
          <w:sz w:val="28"/>
          <w:szCs w:val="28"/>
          <w:lang w:val="en-US"/>
        </w:rPr>
        <w:t>it’s</w:t>
      </w:r>
      <w:r w:rsidR="00D60FCD" w:rsidRPr="00604C75">
        <w:rPr>
          <w:rFonts w:ascii="Times New Roman" w:hAnsi="Times New Roman"/>
          <w:sz w:val="28"/>
          <w:szCs w:val="28"/>
          <w:lang w:val="en-US"/>
        </w:rPr>
        <w:t xml:space="preserve"> Financial Subsidiaries</w:t>
      </w:r>
    </w:p>
    <w:p w14:paraId="4E13E1CA" w14:textId="77777777" w:rsidR="009F3D9B" w:rsidRPr="0032757D" w:rsidRDefault="00D60FCD" w:rsidP="009F3D9B">
      <w:pPr>
        <w:pStyle w:val="CoverTitle"/>
        <w:framePr w:w="7374" w:wrap="auto" w:hAnchor="page" w:x="2138" w:y="5945"/>
        <w:tabs>
          <w:tab w:val="center" w:pos="4820"/>
        </w:tabs>
        <w:spacing w:line="380" w:lineRule="exact"/>
        <w:ind w:left="993" w:right="-878"/>
        <w:outlineLvl w:val="0"/>
        <w:rPr>
          <w:rFonts w:ascii="Times New Roman" w:hAnsi="Times New Roman"/>
          <w:bCs/>
          <w:sz w:val="28"/>
          <w:szCs w:val="28"/>
          <w:lang w:val="en-US"/>
        </w:rPr>
      </w:pPr>
      <w:r w:rsidRPr="00604C75">
        <w:rPr>
          <w:rFonts w:ascii="Times New Roman" w:hAnsi="Times New Roman"/>
          <w:bCs/>
          <w:sz w:val="30"/>
          <w:lang w:val="en-US"/>
        </w:rPr>
        <w:t xml:space="preserve">      </w:t>
      </w:r>
      <w:r w:rsidR="00102287" w:rsidRPr="00604C75">
        <w:rPr>
          <w:rFonts w:ascii="Times New Roman" w:hAnsi="Times New Roman"/>
          <w:bCs/>
          <w:sz w:val="30"/>
          <w:lang w:val="en-US"/>
        </w:rPr>
        <w:t xml:space="preserve"> </w:t>
      </w:r>
      <w:r w:rsidR="00E304C2" w:rsidRPr="00604C75">
        <w:rPr>
          <w:rFonts w:ascii="Times New Roman" w:hAnsi="Times New Roman"/>
          <w:bCs/>
          <w:sz w:val="30"/>
          <w:lang w:val="en-US"/>
        </w:rPr>
        <w:t xml:space="preserve">   </w:t>
      </w:r>
    </w:p>
    <w:p w14:paraId="6BC9E8CF" w14:textId="77777777" w:rsidR="009F3D9B" w:rsidRPr="0032757D" w:rsidRDefault="00EF3585" w:rsidP="009F3D9B">
      <w:pPr>
        <w:pStyle w:val="CoverTitle"/>
        <w:framePr w:w="7374" w:wrap="auto" w:hAnchor="page" w:x="2138" w:y="5945"/>
        <w:tabs>
          <w:tab w:val="center" w:pos="4820"/>
        </w:tabs>
        <w:spacing w:line="380" w:lineRule="exact"/>
        <w:ind w:left="993" w:right="-878"/>
        <w:outlineLvl w:val="0"/>
        <w:rPr>
          <w:rFonts w:ascii="Times New Roman" w:hAnsi="Times New Roman"/>
          <w:bCs/>
          <w:sz w:val="28"/>
          <w:szCs w:val="28"/>
          <w:lang w:val="en-US"/>
        </w:rPr>
      </w:pPr>
      <w:r>
        <w:rPr>
          <w:rFonts w:ascii="Times New Roman" w:hAnsi="Times New Roman"/>
          <w:bCs/>
          <w:sz w:val="28"/>
          <w:szCs w:val="28"/>
          <w:lang w:val="en-US"/>
        </w:rPr>
        <w:t xml:space="preserve">         </w:t>
      </w:r>
      <w:r w:rsidR="009F3D9B" w:rsidRPr="0032757D">
        <w:rPr>
          <w:rFonts w:ascii="Times New Roman" w:hAnsi="Times New Roman"/>
          <w:bCs/>
          <w:sz w:val="28"/>
          <w:szCs w:val="28"/>
          <w:lang w:val="en-US"/>
        </w:rPr>
        <w:t>Consolidated Financial Statements</w:t>
      </w:r>
    </w:p>
    <w:p w14:paraId="3BF532A7" w14:textId="77777777" w:rsidR="009F3D9B" w:rsidRPr="00DE209A" w:rsidRDefault="009F3D9B" w:rsidP="001F3D4E">
      <w:pPr>
        <w:framePr w:w="7374" w:hSpace="180" w:vSpace="180" w:wrap="auto" w:vAnchor="page" w:hAnchor="page" w:x="2138" w:y="5945"/>
        <w:spacing w:before="60" w:after="60"/>
        <w:ind w:left="720"/>
        <w:outlineLvl w:val="0"/>
        <w:rPr>
          <w:bCs/>
          <w:sz w:val="28"/>
          <w:szCs w:val="28"/>
        </w:rPr>
      </w:pPr>
      <w:r>
        <w:rPr>
          <w:bCs/>
          <w:sz w:val="28"/>
          <w:szCs w:val="28"/>
        </w:rPr>
        <w:t xml:space="preserve"> </w:t>
      </w:r>
      <w:r w:rsidRPr="0032757D">
        <w:rPr>
          <w:bCs/>
          <w:sz w:val="28"/>
          <w:szCs w:val="28"/>
        </w:rPr>
        <w:t xml:space="preserve">As of and For the Year Ended 31 December </w:t>
      </w:r>
      <w:r w:rsidR="00EF3585" w:rsidRPr="0032757D">
        <w:rPr>
          <w:bCs/>
          <w:sz w:val="28"/>
          <w:szCs w:val="28"/>
        </w:rPr>
        <w:t>201</w:t>
      </w:r>
      <w:r w:rsidR="00EF3585">
        <w:rPr>
          <w:bCs/>
          <w:sz w:val="28"/>
          <w:szCs w:val="28"/>
        </w:rPr>
        <w:t>5</w:t>
      </w:r>
    </w:p>
    <w:p w14:paraId="48A50869" w14:textId="77777777" w:rsidR="009F3D9B" w:rsidRPr="0032757D" w:rsidRDefault="009F3D9B" w:rsidP="009F3D9B">
      <w:pPr>
        <w:framePr w:w="7374" w:hSpace="180" w:vSpace="180" w:wrap="auto" w:vAnchor="page" w:hAnchor="page" w:x="2138" w:y="5945"/>
        <w:tabs>
          <w:tab w:val="center" w:pos="4820"/>
        </w:tabs>
        <w:ind w:left="993"/>
        <w:outlineLvl w:val="0"/>
        <w:rPr>
          <w:bCs/>
          <w:sz w:val="28"/>
          <w:szCs w:val="28"/>
        </w:rPr>
      </w:pPr>
      <w:r w:rsidRPr="0032757D">
        <w:rPr>
          <w:bCs/>
          <w:sz w:val="28"/>
          <w:szCs w:val="28"/>
        </w:rPr>
        <w:t xml:space="preserve"> </w:t>
      </w:r>
      <w:r w:rsidR="00EF3585">
        <w:rPr>
          <w:bCs/>
          <w:sz w:val="28"/>
          <w:szCs w:val="28"/>
        </w:rPr>
        <w:t xml:space="preserve"> </w:t>
      </w:r>
      <w:r w:rsidRPr="0032757D">
        <w:rPr>
          <w:bCs/>
          <w:sz w:val="28"/>
          <w:szCs w:val="28"/>
        </w:rPr>
        <w:t>With Independent Auditors’ Report Thereon</w:t>
      </w:r>
    </w:p>
    <w:p w14:paraId="7E407284" w14:textId="77777777" w:rsidR="00D60FCD" w:rsidRPr="00604C75" w:rsidRDefault="00102287" w:rsidP="001F3D4E">
      <w:pPr>
        <w:pStyle w:val="CoverTitle"/>
        <w:framePr w:w="7374" w:wrap="auto" w:hAnchor="page" w:x="2138" w:y="5945"/>
        <w:spacing w:before="60" w:line="240" w:lineRule="auto"/>
        <w:ind w:left="0"/>
        <w:jc w:val="center"/>
        <w:rPr>
          <w:rFonts w:ascii="Times New Roman" w:hAnsi="Times New Roman"/>
          <w:i/>
          <w:sz w:val="24"/>
          <w:szCs w:val="24"/>
          <w:lang w:val="en-US"/>
        </w:rPr>
      </w:pPr>
      <w:r w:rsidRPr="00604C75">
        <w:rPr>
          <w:rFonts w:ascii="Times New Roman" w:hAnsi="Times New Roman"/>
          <w:i/>
          <w:iCs/>
          <w:sz w:val="24"/>
          <w:szCs w:val="24"/>
          <w:lang w:val="en-US"/>
        </w:rPr>
        <w:t xml:space="preserve"> </w:t>
      </w:r>
      <w:r w:rsidR="00D60FCD" w:rsidRPr="00604C75">
        <w:rPr>
          <w:rFonts w:ascii="Times New Roman" w:hAnsi="Times New Roman"/>
          <w:bCs/>
          <w:i/>
          <w:sz w:val="24"/>
          <w:szCs w:val="24"/>
          <w:lang w:val="en-US"/>
        </w:rPr>
        <w:t>(Convenience T</w:t>
      </w:r>
      <w:r w:rsidR="002B34C4" w:rsidRPr="00604C75">
        <w:rPr>
          <w:rFonts w:ascii="Times New Roman" w:hAnsi="Times New Roman"/>
          <w:bCs/>
          <w:i/>
          <w:sz w:val="24"/>
          <w:szCs w:val="24"/>
          <w:lang w:val="en-US"/>
        </w:rPr>
        <w:t>ranslation of Consolidated</w:t>
      </w:r>
      <w:r w:rsidR="00BA5947">
        <w:rPr>
          <w:rFonts w:ascii="Times New Roman" w:hAnsi="Times New Roman"/>
          <w:bCs/>
          <w:i/>
          <w:sz w:val="24"/>
          <w:szCs w:val="24"/>
          <w:lang w:val="en-US"/>
        </w:rPr>
        <w:t xml:space="preserve"> Financial Statements</w:t>
      </w:r>
      <w:r w:rsidR="00D60FCD" w:rsidRPr="00604C75">
        <w:rPr>
          <w:rFonts w:ascii="Times New Roman" w:hAnsi="Times New Roman"/>
          <w:bCs/>
          <w:i/>
          <w:sz w:val="24"/>
          <w:szCs w:val="24"/>
          <w:lang w:val="en-US"/>
        </w:rPr>
        <w:br/>
      </w:r>
      <w:r w:rsidR="00E304C2" w:rsidRPr="00604C75">
        <w:rPr>
          <w:rFonts w:ascii="Times New Roman" w:hAnsi="Times New Roman"/>
          <w:bCs/>
          <w:i/>
          <w:sz w:val="24"/>
          <w:szCs w:val="24"/>
          <w:lang w:val="en-US"/>
        </w:rPr>
        <w:t xml:space="preserve">       </w:t>
      </w:r>
      <w:r w:rsidR="00D60FCD" w:rsidRPr="00604C75">
        <w:rPr>
          <w:rFonts w:ascii="Times New Roman" w:hAnsi="Times New Roman"/>
          <w:bCs/>
          <w:i/>
          <w:sz w:val="24"/>
          <w:szCs w:val="24"/>
          <w:lang w:val="en-US"/>
        </w:rPr>
        <w:t>and Related Disclosures and Footnotes Originally Issued in Turkish)</w:t>
      </w:r>
    </w:p>
    <w:p w14:paraId="09763202" w14:textId="77777777" w:rsidR="00D60FCD" w:rsidRPr="00604C75" w:rsidRDefault="00D60FCD" w:rsidP="00D60FCD">
      <w:pPr>
        <w:pStyle w:val="CoverTitle"/>
        <w:framePr w:w="7374" w:wrap="auto" w:hAnchor="page" w:x="2138" w:y="5945"/>
        <w:spacing w:line="380" w:lineRule="exact"/>
        <w:ind w:left="-720" w:right="-878"/>
        <w:jc w:val="center"/>
        <w:rPr>
          <w:rFonts w:ascii="Times New Roman" w:hAnsi="Times New Roman"/>
          <w:sz w:val="28"/>
          <w:szCs w:val="28"/>
          <w:lang w:val="en-US"/>
        </w:rPr>
      </w:pPr>
    </w:p>
    <w:p w14:paraId="16693A8A" w14:textId="77777777" w:rsidR="00D60FCD" w:rsidRPr="00604C75" w:rsidRDefault="00D60FCD" w:rsidP="008D06EC">
      <w:pPr>
        <w:suppressAutoHyphens/>
        <w:ind w:left="284"/>
        <w:rPr>
          <w:rFonts w:ascii="Georgia" w:hAnsi="Georgia"/>
          <w:b/>
          <w:noProof/>
          <w:sz w:val="20"/>
          <w:szCs w:val="20"/>
          <w:lang w:val="tr-TR"/>
        </w:rPr>
      </w:pPr>
    </w:p>
    <w:p w14:paraId="5DF7825E" w14:textId="77777777" w:rsidR="00D60FCD" w:rsidRPr="00604C75" w:rsidRDefault="00D60FCD" w:rsidP="008D06EC">
      <w:pPr>
        <w:suppressAutoHyphens/>
        <w:ind w:left="284"/>
        <w:rPr>
          <w:rFonts w:ascii="Georgia" w:hAnsi="Georgia"/>
          <w:b/>
          <w:noProof/>
          <w:sz w:val="20"/>
          <w:szCs w:val="20"/>
          <w:lang w:val="tr-TR"/>
        </w:rPr>
      </w:pPr>
    </w:p>
    <w:p w14:paraId="7B513FDD" w14:textId="77777777" w:rsidR="00D60FCD" w:rsidRPr="00604C75" w:rsidRDefault="00D60FCD" w:rsidP="008D06EC">
      <w:pPr>
        <w:suppressAutoHyphens/>
        <w:ind w:left="284"/>
        <w:rPr>
          <w:rFonts w:ascii="Georgia" w:hAnsi="Georgia"/>
          <w:b/>
          <w:noProof/>
          <w:sz w:val="20"/>
          <w:szCs w:val="20"/>
          <w:lang w:val="tr-TR"/>
        </w:rPr>
      </w:pPr>
    </w:p>
    <w:p w14:paraId="770BFAD1" w14:textId="77777777" w:rsidR="00D60FCD" w:rsidRPr="00604C75" w:rsidRDefault="00D60FCD" w:rsidP="008D06EC">
      <w:pPr>
        <w:suppressAutoHyphens/>
        <w:ind w:left="284"/>
        <w:rPr>
          <w:rFonts w:ascii="Georgia" w:hAnsi="Georgia"/>
          <w:b/>
          <w:noProof/>
          <w:sz w:val="20"/>
          <w:szCs w:val="20"/>
          <w:lang w:val="tr-TR"/>
        </w:rPr>
      </w:pPr>
    </w:p>
    <w:p w14:paraId="21A215BE" w14:textId="77777777" w:rsidR="00D60FCD" w:rsidRPr="00604C75" w:rsidRDefault="00D60FCD" w:rsidP="008D06EC">
      <w:pPr>
        <w:suppressAutoHyphens/>
        <w:ind w:left="284"/>
        <w:rPr>
          <w:rFonts w:ascii="Georgia" w:hAnsi="Georgia"/>
          <w:b/>
          <w:noProof/>
          <w:sz w:val="20"/>
          <w:szCs w:val="20"/>
          <w:lang w:val="tr-TR"/>
        </w:rPr>
      </w:pPr>
    </w:p>
    <w:p w14:paraId="6228F090" w14:textId="77777777" w:rsidR="00D60FCD" w:rsidRPr="00604C75" w:rsidRDefault="00D60FCD" w:rsidP="008D06EC">
      <w:pPr>
        <w:suppressAutoHyphens/>
        <w:ind w:left="284"/>
        <w:rPr>
          <w:rFonts w:ascii="Georgia" w:hAnsi="Georgia"/>
          <w:b/>
          <w:noProof/>
          <w:sz w:val="20"/>
          <w:szCs w:val="20"/>
          <w:lang w:val="tr-TR"/>
        </w:rPr>
      </w:pPr>
    </w:p>
    <w:p w14:paraId="57A1BCA5" w14:textId="77777777" w:rsidR="00D60FCD" w:rsidRPr="00604C75" w:rsidRDefault="00D60FCD" w:rsidP="008D06EC">
      <w:pPr>
        <w:suppressAutoHyphens/>
        <w:ind w:left="284"/>
        <w:rPr>
          <w:rFonts w:ascii="Georgia" w:hAnsi="Georgia"/>
          <w:b/>
          <w:noProof/>
          <w:sz w:val="20"/>
          <w:szCs w:val="20"/>
          <w:lang w:val="tr-TR"/>
        </w:rPr>
      </w:pPr>
    </w:p>
    <w:p w14:paraId="72CEFB34" w14:textId="77777777" w:rsidR="00D60FCD" w:rsidRPr="00604C75" w:rsidRDefault="00D60FCD" w:rsidP="008D06EC">
      <w:pPr>
        <w:suppressAutoHyphens/>
        <w:ind w:left="284"/>
        <w:rPr>
          <w:rFonts w:ascii="Georgia" w:hAnsi="Georgia"/>
          <w:b/>
          <w:noProof/>
          <w:sz w:val="20"/>
          <w:szCs w:val="20"/>
          <w:lang w:val="tr-TR"/>
        </w:rPr>
      </w:pPr>
    </w:p>
    <w:p w14:paraId="0987DE00" w14:textId="77777777" w:rsidR="00D60FCD" w:rsidRPr="00604C75" w:rsidRDefault="00D60FCD" w:rsidP="008D06EC">
      <w:pPr>
        <w:suppressAutoHyphens/>
        <w:ind w:left="284"/>
        <w:rPr>
          <w:rFonts w:ascii="Georgia" w:hAnsi="Georgia"/>
          <w:b/>
          <w:noProof/>
          <w:sz w:val="20"/>
          <w:szCs w:val="20"/>
          <w:lang w:val="tr-TR"/>
        </w:rPr>
      </w:pPr>
    </w:p>
    <w:p w14:paraId="3C5C4CE3" w14:textId="77777777" w:rsidR="00D60FCD" w:rsidRPr="00604C75" w:rsidRDefault="00D60FCD" w:rsidP="008D06EC">
      <w:pPr>
        <w:suppressAutoHyphens/>
        <w:ind w:left="284"/>
        <w:rPr>
          <w:rFonts w:ascii="Georgia" w:hAnsi="Georgia"/>
          <w:b/>
          <w:noProof/>
          <w:sz w:val="20"/>
          <w:szCs w:val="20"/>
          <w:lang w:val="tr-TR"/>
        </w:rPr>
      </w:pPr>
    </w:p>
    <w:p w14:paraId="3BFE84B8" w14:textId="77777777" w:rsidR="00D60FCD" w:rsidRPr="00604C75" w:rsidRDefault="00D60FCD" w:rsidP="008D06EC">
      <w:pPr>
        <w:suppressAutoHyphens/>
        <w:ind w:left="284"/>
        <w:rPr>
          <w:rFonts w:ascii="Georgia" w:hAnsi="Georgia"/>
          <w:b/>
          <w:noProof/>
          <w:sz w:val="20"/>
          <w:szCs w:val="20"/>
          <w:lang w:val="tr-TR"/>
        </w:rPr>
      </w:pPr>
    </w:p>
    <w:p w14:paraId="2E366208" w14:textId="77777777" w:rsidR="00D60FCD" w:rsidRPr="00604C75" w:rsidRDefault="00D60FCD" w:rsidP="008D06EC">
      <w:pPr>
        <w:suppressAutoHyphens/>
        <w:ind w:left="284"/>
        <w:rPr>
          <w:rFonts w:ascii="Georgia" w:hAnsi="Georgia"/>
          <w:b/>
          <w:noProof/>
          <w:sz w:val="20"/>
          <w:szCs w:val="20"/>
          <w:lang w:val="tr-TR"/>
        </w:rPr>
      </w:pPr>
    </w:p>
    <w:p w14:paraId="775BA8EA" w14:textId="77777777" w:rsidR="00D60FCD" w:rsidRPr="00604C75" w:rsidRDefault="00D60FCD" w:rsidP="008D06EC">
      <w:pPr>
        <w:suppressAutoHyphens/>
        <w:ind w:left="284"/>
        <w:rPr>
          <w:rFonts w:ascii="Georgia" w:hAnsi="Georgia"/>
          <w:b/>
          <w:noProof/>
          <w:sz w:val="20"/>
          <w:szCs w:val="20"/>
          <w:lang w:val="tr-TR"/>
        </w:rPr>
      </w:pPr>
    </w:p>
    <w:p w14:paraId="126C1B50" w14:textId="77777777" w:rsidR="00D60FCD" w:rsidRPr="00604C75" w:rsidRDefault="00D60FCD" w:rsidP="008D06EC">
      <w:pPr>
        <w:suppressAutoHyphens/>
        <w:ind w:left="284"/>
        <w:rPr>
          <w:rFonts w:ascii="Georgia" w:hAnsi="Georgia"/>
          <w:b/>
          <w:noProof/>
          <w:sz w:val="20"/>
          <w:szCs w:val="20"/>
          <w:lang w:val="tr-TR"/>
        </w:rPr>
      </w:pPr>
    </w:p>
    <w:p w14:paraId="58607ABE" w14:textId="77777777" w:rsidR="00D60FCD" w:rsidRPr="00604C75" w:rsidRDefault="00D60FCD" w:rsidP="008D06EC">
      <w:pPr>
        <w:suppressAutoHyphens/>
        <w:ind w:left="284"/>
        <w:rPr>
          <w:rFonts w:ascii="Georgia" w:hAnsi="Georgia"/>
          <w:b/>
          <w:noProof/>
          <w:sz w:val="20"/>
          <w:szCs w:val="20"/>
          <w:lang w:val="tr-TR"/>
        </w:rPr>
      </w:pPr>
    </w:p>
    <w:p w14:paraId="0851AB16" w14:textId="77777777" w:rsidR="00D60FCD" w:rsidRPr="00604C75" w:rsidRDefault="00D60FCD" w:rsidP="008D06EC">
      <w:pPr>
        <w:suppressAutoHyphens/>
        <w:ind w:left="284"/>
        <w:rPr>
          <w:rFonts w:ascii="Georgia" w:hAnsi="Georgia"/>
          <w:b/>
          <w:noProof/>
          <w:sz w:val="20"/>
          <w:szCs w:val="20"/>
          <w:lang w:val="tr-TR"/>
        </w:rPr>
      </w:pPr>
    </w:p>
    <w:p w14:paraId="401D1939" w14:textId="77777777" w:rsidR="00D60FCD" w:rsidRPr="00604C75" w:rsidRDefault="00D60FCD" w:rsidP="008D06EC">
      <w:pPr>
        <w:suppressAutoHyphens/>
        <w:ind w:left="284"/>
        <w:rPr>
          <w:rFonts w:ascii="Georgia" w:hAnsi="Georgia"/>
          <w:b/>
          <w:noProof/>
          <w:sz w:val="20"/>
          <w:szCs w:val="20"/>
          <w:lang w:val="tr-TR"/>
        </w:rPr>
      </w:pPr>
    </w:p>
    <w:p w14:paraId="375D7C52" w14:textId="77777777" w:rsidR="00D60FCD" w:rsidRPr="00604C75" w:rsidRDefault="00D60FCD" w:rsidP="008D06EC">
      <w:pPr>
        <w:suppressAutoHyphens/>
        <w:ind w:left="284"/>
        <w:rPr>
          <w:rFonts w:ascii="Georgia" w:hAnsi="Georgia"/>
          <w:b/>
          <w:noProof/>
          <w:sz w:val="20"/>
          <w:szCs w:val="20"/>
          <w:lang w:val="tr-TR"/>
        </w:rPr>
      </w:pPr>
    </w:p>
    <w:p w14:paraId="18771CC0" w14:textId="77777777" w:rsidR="00D60FCD" w:rsidRPr="00604C75" w:rsidRDefault="00D60FCD" w:rsidP="008D06EC">
      <w:pPr>
        <w:suppressAutoHyphens/>
        <w:ind w:left="284"/>
        <w:rPr>
          <w:rFonts w:ascii="Georgia" w:hAnsi="Georgia"/>
          <w:b/>
          <w:noProof/>
          <w:sz w:val="20"/>
          <w:szCs w:val="20"/>
          <w:lang w:val="tr-TR"/>
        </w:rPr>
      </w:pPr>
    </w:p>
    <w:p w14:paraId="6CB15CCF" w14:textId="77777777" w:rsidR="00153730" w:rsidRPr="00604C75" w:rsidRDefault="00153730" w:rsidP="00153730">
      <w:pPr>
        <w:pStyle w:val="CoverInformation"/>
        <w:framePr w:w="6785" w:h="2405" w:hRule="exact" w:wrap="auto" w:x="2400" w:y="12823"/>
        <w:spacing w:line="240" w:lineRule="exact"/>
        <w:ind w:left="518"/>
        <w:rPr>
          <w:rFonts w:ascii="Times New Roman" w:hAnsi="Times New Roman"/>
          <w:lang w:val="en-US"/>
        </w:rPr>
      </w:pPr>
    </w:p>
    <w:p w14:paraId="6B4266FC" w14:textId="77777777" w:rsidR="00153730" w:rsidRPr="00604C75" w:rsidRDefault="00153730" w:rsidP="00153730">
      <w:pPr>
        <w:pStyle w:val="CoverInformation"/>
        <w:framePr w:w="6785" w:h="2405" w:hRule="exact" w:wrap="auto" w:x="2400" w:y="12823"/>
        <w:tabs>
          <w:tab w:val="left" w:pos="1440"/>
        </w:tabs>
        <w:spacing w:line="240" w:lineRule="atLeast"/>
        <w:ind w:left="284" w:right="117" w:hanging="720"/>
        <w:rPr>
          <w:rFonts w:ascii="Times New Roman" w:hAnsi="Times New Roman"/>
          <w:lang w:val="en-US"/>
        </w:rPr>
      </w:pPr>
      <w:r w:rsidRPr="00604C75">
        <w:rPr>
          <w:rFonts w:ascii="Times New Roman" w:hAnsi="Times New Roman"/>
          <w:lang w:val="en-US"/>
        </w:rPr>
        <w:tab/>
      </w:r>
      <w:r w:rsidRPr="00604C75">
        <w:rPr>
          <w:rFonts w:ascii="Times New Roman" w:hAnsi="Times New Roman"/>
          <w:lang w:val="en-US"/>
        </w:rPr>
        <w:tab/>
      </w:r>
      <w:r w:rsidRPr="00224102">
        <w:rPr>
          <w:rFonts w:ascii="Times New Roman" w:hAnsi="Times New Roman"/>
          <w:lang w:val="en-US"/>
        </w:rPr>
        <w:t xml:space="preserve">5 February </w:t>
      </w:r>
      <w:r>
        <w:rPr>
          <w:rFonts w:ascii="Times New Roman" w:hAnsi="Times New Roman"/>
          <w:lang w:val="en-US"/>
        </w:rPr>
        <w:t>2016</w:t>
      </w:r>
    </w:p>
    <w:p w14:paraId="6D75C010" w14:textId="77777777" w:rsidR="00153730" w:rsidRPr="00604C75" w:rsidRDefault="00153730" w:rsidP="00153730">
      <w:pPr>
        <w:pStyle w:val="CoverInformation"/>
        <w:framePr w:w="6785" w:h="2405" w:hRule="exact" w:wrap="auto" w:x="2400" w:y="12823"/>
        <w:tabs>
          <w:tab w:val="left" w:pos="1440"/>
        </w:tabs>
        <w:spacing w:before="120" w:line="240" w:lineRule="atLeast"/>
        <w:ind w:left="1440"/>
        <w:rPr>
          <w:rFonts w:ascii="Times New Roman" w:hAnsi="Times New Roman"/>
          <w:i/>
          <w:sz w:val="20"/>
          <w:lang w:val="en-US"/>
        </w:rPr>
      </w:pPr>
      <w:r w:rsidRPr="00604C75">
        <w:rPr>
          <w:rFonts w:ascii="Times New Roman" w:hAnsi="Times New Roman"/>
          <w:i/>
          <w:sz w:val="20"/>
          <w:lang w:val="en-US"/>
        </w:rPr>
        <w:t>This report includes “</w:t>
      </w:r>
      <w:r>
        <w:rPr>
          <w:rFonts w:ascii="Times New Roman" w:hAnsi="Times New Roman"/>
          <w:i/>
          <w:sz w:val="20"/>
          <w:lang w:val="en-US"/>
        </w:rPr>
        <w:t>Independent Auditors’ Report</w:t>
      </w:r>
      <w:r w:rsidRPr="00604C75">
        <w:rPr>
          <w:rFonts w:ascii="Times New Roman" w:hAnsi="Times New Roman"/>
          <w:i/>
          <w:sz w:val="20"/>
          <w:lang w:val="en-US"/>
        </w:rPr>
        <w:t>”</w:t>
      </w:r>
    </w:p>
    <w:p w14:paraId="59562304" w14:textId="77777777" w:rsidR="00153730" w:rsidRPr="00604C75" w:rsidRDefault="00153730" w:rsidP="00153730">
      <w:pPr>
        <w:pStyle w:val="CoverInformation"/>
        <w:framePr w:w="6785" w:h="2405" w:hRule="exact" w:wrap="auto" w:x="2400" w:y="12823"/>
        <w:tabs>
          <w:tab w:val="left" w:pos="1440"/>
        </w:tabs>
        <w:spacing w:line="240" w:lineRule="atLeast"/>
        <w:ind w:left="1440"/>
        <w:rPr>
          <w:rFonts w:ascii="Times New Roman" w:hAnsi="Times New Roman"/>
          <w:i/>
          <w:sz w:val="20"/>
          <w:lang w:val="en-US"/>
        </w:rPr>
      </w:pPr>
      <w:proofErr w:type="gramStart"/>
      <w:r w:rsidRPr="00604C75">
        <w:rPr>
          <w:rFonts w:ascii="Times New Roman" w:hAnsi="Times New Roman"/>
          <w:i/>
          <w:sz w:val="20"/>
          <w:lang w:val="en-US"/>
        </w:rPr>
        <w:t>comprising</w:t>
      </w:r>
      <w:proofErr w:type="gramEnd"/>
      <w:r w:rsidRPr="00604C75">
        <w:rPr>
          <w:rFonts w:ascii="Times New Roman" w:hAnsi="Times New Roman"/>
          <w:i/>
          <w:sz w:val="20"/>
          <w:lang w:val="en-US"/>
        </w:rPr>
        <w:t xml:space="preserve"> </w:t>
      </w:r>
      <w:r>
        <w:rPr>
          <w:rFonts w:ascii="Times New Roman" w:hAnsi="Times New Roman"/>
          <w:i/>
          <w:sz w:val="20"/>
          <w:lang w:val="en-US"/>
        </w:rPr>
        <w:t>3</w:t>
      </w:r>
      <w:r w:rsidRPr="00604C75">
        <w:rPr>
          <w:rFonts w:ascii="Times New Roman" w:hAnsi="Times New Roman"/>
          <w:i/>
          <w:sz w:val="20"/>
          <w:lang w:val="en-US"/>
        </w:rPr>
        <w:t xml:space="preserve"> page</w:t>
      </w:r>
      <w:r>
        <w:rPr>
          <w:rFonts w:ascii="Times New Roman" w:hAnsi="Times New Roman"/>
          <w:i/>
          <w:sz w:val="20"/>
          <w:lang w:val="en-US"/>
        </w:rPr>
        <w:t>s</w:t>
      </w:r>
      <w:r w:rsidRPr="00604C75">
        <w:rPr>
          <w:rFonts w:ascii="Times New Roman" w:hAnsi="Times New Roman"/>
          <w:i/>
          <w:sz w:val="20"/>
          <w:lang w:val="en-US"/>
        </w:rPr>
        <w:t xml:space="preserve"> and; "Consolidated Financial </w:t>
      </w:r>
    </w:p>
    <w:p w14:paraId="588A3E5F" w14:textId="77777777" w:rsidR="00153730" w:rsidRPr="00604C75" w:rsidRDefault="00153730" w:rsidP="00153730">
      <w:pPr>
        <w:pStyle w:val="CoverInformation"/>
        <w:framePr w:w="6785" w:h="2405" w:hRule="exact" w:wrap="auto" w:x="2400" w:y="12823"/>
        <w:tabs>
          <w:tab w:val="left" w:pos="1440"/>
        </w:tabs>
        <w:spacing w:line="240" w:lineRule="atLeast"/>
        <w:ind w:left="1440"/>
        <w:rPr>
          <w:rFonts w:ascii="Times New Roman" w:hAnsi="Times New Roman"/>
          <w:i/>
          <w:sz w:val="20"/>
          <w:lang w:val="en-US"/>
        </w:rPr>
      </w:pPr>
      <w:r w:rsidRPr="00604C75">
        <w:rPr>
          <w:rFonts w:ascii="Times New Roman" w:hAnsi="Times New Roman"/>
          <w:i/>
          <w:sz w:val="20"/>
          <w:lang w:val="en-US"/>
        </w:rPr>
        <w:t xml:space="preserve">Statements and Related Disclosures and Footnotes” </w:t>
      </w:r>
    </w:p>
    <w:p w14:paraId="4A87AE42" w14:textId="77777777" w:rsidR="00153730" w:rsidRPr="00604C75" w:rsidRDefault="00153730" w:rsidP="00153730">
      <w:pPr>
        <w:pStyle w:val="CoverInformation"/>
        <w:framePr w:w="6785" w:h="2405" w:hRule="exact" w:wrap="auto" w:x="2400" w:y="12823"/>
        <w:tabs>
          <w:tab w:val="left" w:pos="1440"/>
        </w:tabs>
        <w:spacing w:line="240" w:lineRule="atLeast"/>
        <w:ind w:left="1440"/>
        <w:rPr>
          <w:rFonts w:ascii="Georgia" w:hAnsi="Georgia"/>
          <w:b/>
          <w:noProof/>
          <w:sz w:val="20"/>
          <w:szCs w:val="20"/>
          <w:lang w:val="tr-TR"/>
        </w:rPr>
      </w:pPr>
      <w:proofErr w:type="gramStart"/>
      <w:r w:rsidRPr="00692CCF">
        <w:rPr>
          <w:rFonts w:ascii="Times New Roman" w:hAnsi="Times New Roman"/>
          <w:i/>
          <w:sz w:val="20"/>
          <w:lang w:val="en-US"/>
        </w:rPr>
        <w:t>comprising</w:t>
      </w:r>
      <w:proofErr w:type="gramEnd"/>
      <w:r w:rsidRPr="00692CCF">
        <w:rPr>
          <w:rFonts w:ascii="Times New Roman" w:hAnsi="Times New Roman"/>
          <w:i/>
          <w:sz w:val="20"/>
          <w:lang w:val="en-US"/>
        </w:rPr>
        <w:t xml:space="preserve"> 103 pages</w:t>
      </w:r>
      <w:r w:rsidRPr="00604C75">
        <w:rPr>
          <w:rFonts w:ascii="Times New Roman" w:hAnsi="Times New Roman"/>
          <w:i/>
          <w:sz w:val="20"/>
          <w:lang w:val="en-US"/>
        </w:rPr>
        <w:t>.</w:t>
      </w:r>
      <w:r w:rsidRPr="00604C75">
        <w:rPr>
          <w:rFonts w:ascii="Georgia" w:hAnsi="Georgia"/>
          <w:b/>
          <w:noProof/>
          <w:sz w:val="20"/>
          <w:szCs w:val="20"/>
          <w:lang w:val="tr-TR"/>
        </w:rPr>
        <w:t xml:space="preserve"> </w:t>
      </w:r>
    </w:p>
    <w:p w14:paraId="6E720A1E" w14:textId="77777777" w:rsidR="00D60FCD" w:rsidRPr="00604C75" w:rsidRDefault="00D60FCD" w:rsidP="00153730">
      <w:pPr>
        <w:suppressAutoHyphens/>
        <w:rPr>
          <w:rFonts w:ascii="Georgia" w:hAnsi="Georgia"/>
          <w:b/>
          <w:noProof/>
          <w:sz w:val="20"/>
          <w:szCs w:val="20"/>
          <w:lang w:val="tr-TR"/>
        </w:rPr>
      </w:pPr>
    </w:p>
    <w:p w14:paraId="671F36C8" w14:textId="77777777" w:rsidR="005C7E89" w:rsidRDefault="005C7E89" w:rsidP="00153730">
      <w:pPr>
        <w:pStyle w:val="BodyTextIndent"/>
        <w:ind w:left="0"/>
        <w:rPr>
          <w:rFonts w:ascii="Univers for KPMG Light" w:hAnsi="Univers for KPMG Light"/>
          <w:szCs w:val="22"/>
          <w:lang w:val="tr-TR"/>
        </w:rPr>
      </w:pPr>
    </w:p>
    <w:p w14:paraId="7CB6B3FA" w14:textId="77777777" w:rsidR="00F77D55" w:rsidRDefault="00F77D55" w:rsidP="005C7E89">
      <w:pPr>
        <w:pStyle w:val="BodyTextIndent"/>
        <w:ind w:left="1134"/>
        <w:jc w:val="center"/>
        <w:rPr>
          <w:rFonts w:ascii="Univers for KPMG Light" w:hAnsi="Univers for KPMG Light"/>
          <w:szCs w:val="22"/>
          <w:lang w:val="tr-TR"/>
        </w:rPr>
      </w:pPr>
    </w:p>
    <w:p w14:paraId="7D2EC804" w14:textId="77777777" w:rsidR="005C7E89" w:rsidRPr="00692CCF" w:rsidRDefault="005C7E89" w:rsidP="005C7E89">
      <w:pPr>
        <w:pStyle w:val="BodyTextIndent"/>
        <w:ind w:left="1134"/>
        <w:jc w:val="center"/>
        <w:rPr>
          <w:rFonts w:ascii="Univers for KPMG Light" w:hAnsi="Univers for KPMG Light"/>
          <w:b/>
          <w:sz w:val="22"/>
          <w:szCs w:val="22"/>
          <w:lang w:val="tr-TR"/>
        </w:rPr>
      </w:pPr>
      <w:r w:rsidRPr="00692CCF">
        <w:rPr>
          <w:rFonts w:ascii="Univers for KPMG Light" w:hAnsi="Univers for KPMG Light"/>
          <w:b/>
          <w:sz w:val="22"/>
          <w:szCs w:val="22"/>
          <w:lang w:val="tr-TR"/>
        </w:rPr>
        <w:t>Convenience Translation of the Independent Auditors’ Report</w:t>
      </w:r>
    </w:p>
    <w:p w14:paraId="06BC3047" w14:textId="77777777" w:rsidR="005C7E89" w:rsidRPr="00692CCF" w:rsidRDefault="005C7E89" w:rsidP="005C7E89">
      <w:pPr>
        <w:pStyle w:val="BodyTextIndent"/>
        <w:ind w:left="1134"/>
        <w:jc w:val="center"/>
        <w:rPr>
          <w:rFonts w:ascii="Univers for KPMG Light" w:hAnsi="Univers for KPMG Light"/>
          <w:b/>
          <w:sz w:val="22"/>
          <w:szCs w:val="22"/>
          <w:lang w:val="tr-TR"/>
        </w:rPr>
      </w:pPr>
      <w:r w:rsidRPr="00692CCF">
        <w:rPr>
          <w:rFonts w:ascii="Univers for KPMG Light" w:hAnsi="Univers for KPMG Light"/>
          <w:b/>
          <w:sz w:val="22"/>
          <w:szCs w:val="22"/>
          <w:lang w:val="tr-TR"/>
        </w:rPr>
        <w:t>Originally Prepared and Issued in Turkish to English</w:t>
      </w:r>
    </w:p>
    <w:p w14:paraId="7C94B9C7" w14:textId="77777777" w:rsidR="005C7E89" w:rsidRPr="00692CCF" w:rsidRDefault="005C7E89" w:rsidP="005C7E89">
      <w:pPr>
        <w:ind w:left="1134"/>
        <w:jc w:val="center"/>
        <w:outlineLvl w:val="0"/>
        <w:rPr>
          <w:rFonts w:ascii="Univers for KPMG Light" w:hAnsi="Univers for KPMG Light"/>
          <w:sz w:val="22"/>
          <w:szCs w:val="22"/>
          <w:lang w:val="tr-TR"/>
        </w:rPr>
      </w:pPr>
    </w:p>
    <w:p w14:paraId="70A80B04" w14:textId="77777777" w:rsidR="005C7E89" w:rsidRPr="00692CCF" w:rsidRDefault="005C7E89" w:rsidP="005C7E89">
      <w:pPr>
        <w:pStyle w:val="RNormal"/>
        <w:ind w:left="1134"/>
        <w:rPr>
          <w:rFonts w:ascii="Univers for KPMG Light" w:hAnsi="Univers for KPMG Light"/>
          <w:szCs w:val="22"/>
          <w:lang w:val="tr-TR"/>
        </w:rPr>
      </w:pPr>
    </w:p>
    <w:p w14:paraId="79BB7EE0" w14:textId="561FF3BB" w:rsidR="005C7E89" w:rsidRPr="00692CCF" w:rsidRDefault="005C7E89" w:rsidP="005C7E89">
      <w:pPr>
        <w:ind w:left="1134"/>
        <w:jc w:val="both"/>
        <w:rPr>
          <w:rFonts w:ascii="Univers for KPMG Light" w:hAnsi="Univers for KPMG Light"/>
          <w:sz w:val="22"/>
          <w:szCs w:val="22"/>
          <w:lang w:val="tr-TR"/>
        </w:rPr>
      </w:pPr>
      <w:r w:rsidRPr="00692CCF">
        <w:rPr>
          <w:rFonts w:ascii="Univers for KPMG Light" w:hAnsi="Univers for KPMG Light"/>
          <w:sz w:val="22"/>
          <w:szCs w:val="22"/>
          <w:lang w:val="tr-TR"/>
        </w:rPr>
        <w:t>To the Board of Directors of Alternatifbank Anonim Şirketi,</w:t>
      </w:r>
    </w:p>
    <w:p w14:paraId="28FF6345" w14:textId="77777777" w:rsidR="005C7E89" w:rsidRPr="00692CCF" w:rsidRDefault="005C7E89" w:rsidP="005C7E89">
      <w:pPr>
        <w:ind w:left="1134"/>
        <w:jc w:val="both"/>
        <w:rPr>
          <w:rFonts w:ascii="Univers for KPMG Light" w:hAnsi="Univers for KPMG Light"/>
          <w:sz w:val="22"/>
          <w:szCs w:val="22"/>
          <w:lang w:val="tr-TR"/>
        </w:rPr>
      </w:pPr>
    </w:p>
    <w:p w14:paraId="68900656" w14:textId="5F8D1D15" w:rsidR="005C7E89" w:rsidRPr="00692CCF" w:rsidRDefault="005C7E89" w:rsidP="005C7E89">
      <w:pPr>
        <w:pStyle w:val="Example"/>
        <w:spacing w:after="0"/>
        <w:ind w:left="1134"/>
        <w:outlineLvl w:val="0"/>
        <w:rPr>
          <w:rFonts w:ascii="Univers for KPMG Light" w:hAnsi="Univers for KPMG Light"/>
          <w:szCs w:val="22"/>
          <w:lang w:val="tr-TR"/>
        </w:rPr>
      </w:pPr>
      <w:r w:rsidRPr="00692CCF">
        <w:rPr>
          <w:rFonts w:ascii="Univers for KPMG Light" w:hAnsi="Univers for KPMG Light"/>
          <w:szCs w:val="22"/>
          <w:lang w:val="tr-TR"/>
        </w:rPr>
        <w:t>Report on the Consolidated Financial Statements</w:t>
      </w:r>
    </w:p>
    <w:p w14:paraId="784FFAE3" w14:textId="77777777" w:rsidR="005C7E89" w:rsidRPr="00692CCF" w:rsidRDefault="005C7E89" w:rsidP="005C7E89">
      <w:pPr>
        <w:ind w:left="1134"/>
        <w:jc w:val="both"/>
        <w:rPr>
          <w:rFonts w:ascii="Univers for KPMG Light" w:hAnsi="Univers for KPMG Light"/>
          <w:sz w:val="22"/>
          <w:szCs w:val="22"/>
          <w:lang w:val="tr-TR"/>
        </w:rPr>
      </w:pPr>
    </w:p>
    <w:p w14:paraId="2F58DB04" w14:textId="0826A930" w:rsidR="005C7E89" w:rsidRPr="00692CCF" w:rsidRDefault="005C7E89" w:rsidP="005C7E89">
      <w:pPr>
        <w:ind w:left="1134"/>
        <w:jc w:val="both"/>
        <w:rPr>
          <w:rFonts w:ascii="Univers for KPMG Light" w:hAnsi="Univers for KPMG Light"/>
          <w:sz w:val="22"/>
          <w:szCs w:val="22"/>
          <w:lang w:val="tr-TR"/>
        </w:rPr>
      </w:pPr>
      <w:r w:rsidRPr="00692CCF">
        <w:rPr>
          <w:rFonts w:ascii="Univers for KPMG Light" w:hAnsi="Univers for KPMG Light"/>
          <w:sz w:val="22"/>
          <w:szCs w:val="22"/>
          <w:lang w:val="tr-TR"/>
        </w:rPr>
        <w:t xml:space="preserve">We have audited the accompanying consolidated financial statements of Alternatifbank Anonim Şirketi (“the </w:t>
      </w:r>
      <w:r w:rsidR="00235444" w:rsidRPr="00692CCF">
        <w:rPr>
          <w:rFonts w:ascii="Univers for KPMG Light" w:hAnsi="Univers for KPMG Light"/>
          <w:sz w:val="22"/>
          <w:szCs w:val="22"/>
          <w:lang w:val="tr-TR"/>
        </w:rPr>
        <w:t>Bank</w:t>
      </w:r>
      <w:r w:rsidRPr="00692CCF">
        <w:rPr>
          <w:rFonts w:ascii="Univers for KPMG Light" w:hAnsi="Univers for KPMG Light"/>
          <w:sz w:val="22"/>
          <w:szCs w:val="22"/>
          <w:lang w:val="tr-TR"/>
        </w:rPr>
        <w:t xml:space="preserve">”) and its consolidated financial subsidiaries (collectively referred to as “the Group”) which comprise the consolidated statement of financial position as at 31 December 2015, and the consolidated statement of income, </w:t>
      </w:r>
      <w:r w:rsidR="00064ED4">
        <w:rPr>
          <w:rFonts w:ascii="Univers for KPMG Light" w:hAnsi="Univers for KPMG Light"/>
          <w:sz w:val="22"/>
          <w:szCs w:val="22"/>
          <w:lang w:val="tr-TR"/>
        </w:rPr>
        <w:t xml:space="preserve">consolidated </w:t>
      </w:r>
      <w:r w:rsidRPr="00692CCF">
        <w:rPr>
          <w:rFonts w:ascii="Univers for KPMG Light" w:hAnsi="Univers for KPMG Light"/>
          <w:sz w:val="22"/>
          <w:szCs w:val="22"/>
          <w:lang w:val="tr-TR"/>
        </w:rPr>
        <w:t xml:space="preserve">statement of income and expense items accounted under shareholders’ equity, </w:t>
      </w:r>
      <w:r w:rsidR="00064ED4">
        <w:rPr>
          <w:rFonts w:ascii="Univers for KPMG Light" w:hAnsi="Univers for KPMG Light"/>
          <w:sz w:val="22"/>
          <w:szCs w:val="22"/>
          <w:lang w:val="tr-TR"/>
        </w:rPr>
        <w:t>consolidated</w:t>
      </w:r>
      <w:r w:rsidRPr="00692CCF">
        <w:rPr>
          <w:rFonts w:ascii="Univers for KPMG Light" w:hAnsi="Univers for KPMG Light"/>
          <w:sz w:val="22"/>
          <w:szCs w:val="22"/>
          <w:lang w:val="tr-TR"/>
        </w:rPr>
        <w:t xml:space="preserve"> statement of changes in equity and </w:t>
      </w:r>
      <w:r w:rsidR="00064ED4">
        <w:rPr>
          <w:rFonts w:ascii="Univers for KPMG Light" w:hAnsi="Univers for KPMG Light"/>
          <w:sz w:val="22"/>
          <w:szCs w:val="22"/>
          <w:lang w:val="tr-TR"/>
        </w:rPr>
        <w:t xml:space="preserve">consolidated </w:t>
      </w:r>
      <w:r w:rsidRPr="00692CCF">
        <w:rPr>
          <w:rFonts w:ascii="Univers for KPMG Light" w:hAnsi="Univers for KPMG Light"/>
          <w:sz w:val="22"/>
          <w:szCs w:val="22"/>
          <w:lang w:val="tr-TR"/>
        </w:rPr>
        <w:t>statement of cash flows for the year then ended, and notes, comprising a summary of significant accounting policies and other explanatory information.</w:t>
      </w:r>
    </w:p>
    <w:p w14:paraId="7ED6E85D" w14:textId="77777777" w:rsidR="005C7E89" w:rsidRPr="00692CCF" w:rsidRDefault="005C7E89" w:rsidP="005C7E89">
      <w:pPr>
        <w:ind w:left="1134"/>
        <w:jc w:val="both"/>
        <w:rPr>
          <w:rFonts w:ascii="Univers for KPMG Light" w:hAnsi="Univers for KPMG Light"/>
          <w:sz w:val="22"/>
          <w:szCs w:val="22"/>
          <w:lang w:val="tr-TR"/>
        </w:rPr>
      </w:pPr>
    </w:p>
    <w:p w14:paraId="159D35AB" w14:textId="77777777" w:rsidR="005C7E89" w:rsidRPr="00692CCF" w:rsidRDefault="005C7E89" w:rsidP="005C7E89">
      <w:pPr>
        <w:ind w:left="1134"/>
        <w:jc w:val="both"/>
        <w:rPr>
          <w:rFonts w:ascii="Univers for KPMG Light" w:hAnsi="Univers for KPMG Light"/>
          <w:sz w:val="22"/>
          <w:szCs w:val="22"/>
          <w:lang w:val="tr-TR"/>
        </w:rPr>
      </w:pPr>
    </w:p>
    <w:p w14:paraId="4B209A97" w14:textId="54246340" w:rsidR="005C7E89" w:rsidRPr="00692CCF" w:rsidRDefault="005C7E89" w:rsidP="005C7E89">
      <w:pPr>
        <w:ind w:left="1134"/>
        <w:jc w:val="both"/>
        <w:outlineLvl w:val="0"/>
        <w:rPr>
          <w:rFonts w:ascii="Univers for KPMG Light" w:hAnsi="Univers for KPMG Light"/>
          <w:sz w:val="22"/>
          <w:szCs w:val="22"/>
          <w:lang w:val="tr-TR"/>
        </w:rPr>
      </w:pPr>
      <w:r w:rsidRPr="00692CCF">
        <w:rPr>
          <w:rFonts w:ascii="Univers for KPMG Light" w:hAnsi="Univers for KPMG Light"/>
          <w:sz w:val="22"/>
          <w:szCs w:val="22"/>
          <w:lang w:val="tr-TR"/>
        </w:rPr>
        <w:t>Management’s Responsibility for the Consolidated Financial Statements</w:t>
      </w:r>
    </w:p>
    <w:p w14:paraId="3CD778E9" w14:textId="77777777" w:rsidR="005C7E89" w:rsidRPr="00692CCF" w:rsidRDefault="005C7E89" w:rsidP="005C7E89">
      <w:pPr>
        <w:ind w:left="1134"/>
        <w:jc w:val="both"/>
        <w:rPr>
          <w:rFonts w:ascii="Univers for KPMG Light" w:hAnsi="Univers for KPMG Light"/>
          <w:sz w:val="22"/>
          <w:szCs w:val="22"/>
          <w:lang w:val="tr-TR"/>
        </w:rPr>
      </w:pPr>
    </w:p>
    <w:p w14:paraId="31464542" w14:textId="4A650A8F" w:rsidR="005C7E89" w:rsidRPr="00692CCF" w:rsidRDefault="005C7E89" w:rsidP="005C7E89">
      <w:pPr>
        <w:ind w:left="1134"/>
        <w:jc w:val="both"/>
        <w:rPr>
          <w:rFonts w:ascii="Univers for KPMG Light" w:hAnsi="Univers for KPMG Light"/>
          <w:sz w:val="22"/>
          <w:szCs w:val="22"/>
        </w:rPr>
        <w:sectPr w:rsidR="005C7E89" w:rsidRPr="00692CCF" w:rsidSect="005C7E89">
          <w:pgSz w:w="11909" w:h="16834" w:code="9"/>
          <w:pgMar w:top="1440" w:right="1277" w:bottom="1656" w:left="1800" w:header="720" w:footer="720" w:gutter="0"/>
          <w:cols w:space="720"/>
          <w:docGrid w:linePitch="360"/>
        </w:sectPr>
      </w:pPr>
      <w:r w:rsidRPr="00692CCF">
        <w:rPr>
          <w:rFonts w:ascii="Univers for KPMG Light" w:hAnsi="Univers for KPMG Light"/>
          <w:sz w:val="22"/>
          <w:szCs w:val="22"/>
        </w:rPr>
        <w:t xml:space="preserve">Management is responsible for the preparation and fair presentation of these consolidated financial statements in accordance with </w:t>
      </w:r>
      <w:r w:rsidRPr="00692CCF">
        <w:rPr>
          <w:rFonts w:ascii="Univers for KPMG Light" w:hAnsi="Univers for KPMG Light"/>
          <w:sz w:val="22"/>
          <w:szCs w:val="22"/>
          <w:lang w:val="tr-TR"/>
        </w:rPr>
        <w:t xml:space="preserve">the “Banking Regulation and Supervision Agency (“BRSA”) Accounting and Reporting Legislation” which includes the </w:t>
      </w:r>
      <w:r w:rsidRPr="00692CCF">
        <w:rPr>
          <w:rFonts w:ascii="Univers for KPMG Light" w:hAnsi="Univers for KPMG Light"/>
          <w:sz w:val="22"/>
          <w:szCs w:val="22"/>
        </w:rPr>
        <w:t>“Regulation on Accounting Applications for Banks and Safeguarding of Documents” published in the Official Gazette No.26333 dated 1 November 2006, and other regulations on accounting records of Banks published by Banking Regulation and Supervision Board and circulars and interpretations published by BRSA and</w:t>
      </w:r>
      <w:r w:rsidRPr="00692CCF">
        <w:rPr>
          <w:rFonts w:ascii="Univers for KPMG Light" w:hAnsi="Univers for KPMG Light"/>
          <w:sz w:val="22"/>
          <w:szCs w:val="22"/>
          <w:lang w:val="tr-TR"/>
        </w:rPr>
        <w:t xml:space="preserve"> requirements of Turkish Accounting Standards for the matters not regulated by the aforementioned legislations</w:t>
      </w:r>
      <w:r w:rsidRPr="00692CCF">
        <w:rPr>
          <w:rFonts w:ascii="Univers for KPMG Light" w:hAnsi="Univers for KPMG Light"/>
          <w:sz w:val="22"/>
          <w:szCs w:val="22"/>
        </w:rPr>
        <w:t>, and for such internal control as management determines is necessary to enable the preparation of consolidated financial statements that are free from material misstatement, whether due to fraud or error.</w:t>
      </w:r>
    </w:p>
    <w:p w14:paraId="6FDBBACF" w14:textId="77777777" w:rsidR="005C7E89" w:rsidRPr="00692CCF" w:rsidRDefault="005C7E89" w:rsidP="005C7E89">
      <w:pPr>
        <w:ind w:left="1134"/>
        <w:jc w:val="both"/>
        <w:rPr>
          <w:rFonts w:ascii="Univers for KPMG Light" w:hAnsi="Univers for KPMG Light"/>
          <w:sz w:val="22"/>
          <w:szCs w:val="22"/>
          <w:lang w:val="tr-TR"/>
        </w:rPr>
      </w:pPr>
    </w:p>
    <w:p w14:paraId="230712BA" w14:textId="77777777" w:rsidR="005C7E89" w:rsidRPr="00692CCF" w:rsidRDefault="005C7E89" w:rsidP="005C7E89">
      <w:pPr>
        <w:ind w:left="284"/>
        <w:jc w:val="both"/>
        <w:outlineLvl w:val="0"/>
        <w:rPr>
          <w:rFonts w:ascii="Univers for KPMG Light" w:hAnsi="Univers for KPMG Light"/>
          <w:sz w:val="22"/>
          <w:szCs w:val="22"/>
          <w:lang w:val="tr-TR"/>
        </w:rPr>
      </w:pPr>
    </w:p>
    <w:p w14:paraId="73C2788D" w14:textId="77777777" w:rsidR="00FD2F6D" w:rsidRPr="00692CCF" w:rsidRDefault="00FD2F6D" w:rsidP="005C7E89">
      <w:pPr>
        <w:ind w:left="284"/>
        <w:jc w:val="both"/>
        <w:outlineLvl w:val="0"/>
        <w:rPr>
          <w:rFonts w:ascii="Univers for KPMG Light" w:hAnsi="Univers for KPMG Light"/>
          <w:sz w:val="22"/>
          <w:szCs w:val="22"/>
          <w:lang w:val="tr-TR"/>
        </w:rPr>
      </w:pPr>
    </w:p>
    <w:p w14:paraId="5B9A7C20" w14:textId="77777777" w:rsidR="005C7E89" w:rsidRPr="00692CCF" w:rsidRDefault="005C7E89" w:rsidP="005C7E89">
      <w:pPr>
        <w:ind w:left="284"/>
        <w:jc w:val="both"/>
        <w:outlineLvl w:val="0"/>
        <w:rPr>
          <w:rFonts w:ascii="Univers for KPMG Light" w:hAnsi="Univers for KPMG Light"/>
          <w:sz w:val="22"/>
          <w:szCs w:val="22"/>
          <w:lang w:val="tr-TR"/>
        </w:rPr>
      </w:pPr>
      <w:r w:rsidRPr="00692CCF">
        <w:rPr>
          <w:rFonts w:ascii="Univers for KPMG Light" w:hAnsi="Univers for KPMG Light"/>
          <w:sz w:val="22"/>
          <w:szCs w:val="22"/>
          <w:lang w:val="tr-TR"/>
        </w:rPr>
        <w:t>Auditors’ Responsibility</w:t>
      </w:r>
    </w:p>
    <w:p w14:paraId="5098CB3D" w14:textId="77777777" w:rsidR="005C7E89" w:rsidRPr="00692CCF" w:rsidRDefault="005C7E89" w:rsidP="005C7E89">
      <w:pPr>
        <w:pStyle w:val="RNormal"/>
        <w:ind w:left="284"/>
        <w:rPr>
          <w:rFonts w:ascii="Univers for KPMG Light" w:hAnsi="Univers for KPMG Light"/>
          <w:szCs w:val="22"/>
          <w:lang w:val="tr-TR"/>
        </w:rPr>
      </w:pPr>
    </w:p>
    <w:p w14:paraId="10B9C76B" w14:textId="5D880CAA" w:rsidR="005C7E89" w:rsidRPr="00692CCF" w:rsidRDefault="005C7E89" w:rsidP="005C7E89">
      <w:pPr>
        <w:ind w:left="284"/>
        <w:jc w:val="both"/>
        <w:rPr>
          <w:rFonts w:ascii="Univers for KPMG Light" w:hAnsi="Univers for KPMG Light"/>
          <w:sz w:val="22"/>
          <w:szCs w:val="22"/>
          <w:lang w:val="tr-TR"/>
        </w:rPr>
      </w:pPr>
      <w:r w:rsidRPr="00692CCF">
        <w:rPr>
          <w:rFonts w:ascii="Univers for KPMG Light" w:hAnsi="Univers for KPMG Light"/>
          <w:sz w:val="22"/>
          <w:szCs w:val="22"/>
        </w:rPr>
        <w:t>Our responsibility is to express an opinion on these consolidated financial statements based on our audit.  We conducted our audit in accordance the “Regulation on Independent Audit of the Banks” published in the Official Gazette No.29314 dated 2 April 2015 by BRSA and Independent Standards on Auditing which is a component of the Turkish Auditing Standards published by the Public Oversight Accounting and Auditing Standards Authority (“POA”). Those standards require that we comply with ethical requirements and plan and perform the audit to obtain reasonable assurance about whether the consolidated</w:t>
      </w:r>
      <w:r w:rsidRPr="00692CCF">
        <w:rPr>
          <w:rFonts w:ascii="Univers for KPMG Light" w:hAnsi="Univers for KPMG Light"/>
          <w:b/>
          <w:bCs/>
          <w:sz w:val="22"/>
          <w:szCs w:val="22"/>
        </w:rPr>
        <w:t xml:space="preserve"> </w:t>
      </w:r>
      <w:r w:rsidRPr="00692CCF">
        <w:rPr>
          <w:rFonts w:ascii="Univers for KPMG Light" w:hAnsi="Univers for KPMG Light"/>
          <w:sz w:val="22"/>
          <w:szCs w:val="22"/>
        </w:rPr>
        <w:t xml:space="preserve">financial statements are free from material misstatement. </w:t>
      </w:r>
      <w:r w:rsidRPr="00692CCF">
        <w:rPr>
          <w:rFonts w:ascii="Univers for KPMG Light" w:hAnsi="Univers for KPMG Light"/>
          <w:sz w:val="22"/>
          <w:szCs w:val="22"/>
          <w:lang w:val="tr-TR"/>
        </w:rPr>
        <w:t xml:space="preserve"> </w:t>
      </w:r>
    </w:p>
    <w:p w14:paraId="422408B2" w14:textId="77777777" w:rsidR="005C7E89" w:rsidRPr="00692CCF" w:rsidRDefault="005C7E89" w:rsidP="005C7E89">
      <w:pPr>
        <w:ind w:left="284"/>
        <w:jc w:val="both"/>
        <w:rPr>
          <w:rFonts w:ascii="Univers for KPMG Light" w:hAnsi="Univers for KPMG Light"/>
          <w:sz w:val="22"/>
          <w:szCs w:val="22"/>
          <w:lang w:val="tr-TR"/>
        </w:rPr>
      </w:pPr>
    </w:p>
    <w:p w14:paraId="7B6E70AC" w14:textId="33627876" w:rsidR="005C7E89" w:rsidRPr="00692CCF" w:rsidRDefault="005C7E89" w:rsidP="005C7E89">
      <w:pPr>
        <w:ind w:left="284"/>
        <w:jc w:val="both"/>
        <w:rPr>
          <w:rFonts w:ascii="Univers for KPMG Light" w:hAnsi="Univers for KPMG Light"/>
          <w:sz w:val="22"/>
          <w:szCs w:val="22"/>
          <w:lang w:val="tr-TR"/>
        </w:rPr>
      </w:pPr>
      <w:r w:rsidRPr="00692CCF">
        <w:rPr>
          <w:rFonts w:ascii="Univers for KPMG Light" w:hAnsi="Univers for KPMG Light"/>
          <w:sz w:val="22"/>
          <w:szCs w:val="22"/>
          <w:lang w:val="tr-TR"/>
        </w:rPr>
        <w:t>An audit involves performing procedures to obtain audit evidence about the amounts and disclosures in the consolidated financial statements. The procedures selected depend on our judgment, including the assessment of the risks of material mi</w:t>
      </w:r>
      <w:r w:rsidR="00235444" w:rsidRPr="00692CCF">
        <w:rPr>
          <w:rFonts w:ascii="Univers for KPMG Light" w:hAnsi="Univers for KPMG Light"/>
          <w:sz w:val="22"/>
          <w:szCs w:val="22"/>
          <w:lang w:val="tr-TR"/>
        </w:rPr>
        <w:t>sstatement of the consolidated</w:t>
      </w:r>
      <w:r w:rsidRPr="00692CCF">
        <w:rPr>
          <w:rFonts w:ascii="Univers for KPMG Light" w:hAnsi="Univers for KPMG Light"/>
          <w:sz w:val="22"/>
          <w:szCs w:val="22"/>
          <w:lang w:val="tr-TR"/>
        </w:rPr>
        <w:t xml:space="preserve"> financial statements, whether due to fraud or error. In making those risk assessments, we consider internal control relevant to the entity’s preparation and fair presentation of the consolidated financial statements in order to design audit procedures that are appropriate in the circumstances, but not for the purpose of expressing an opinion on the effectiveness of the entity’s internal control. An audit also includes evaluating the appropriateness of accounting policies used and the reasonableness of accounting estimates made by management, as well as evaluating the overall presentation of the consolidated financial statements.  </w:t>
      </w:r>
    </w:p>
    <w:p w14:paraId="56E578C9" w14:textId="77777777" w:rsidR="005C7E89" w:rsidRPr="00692CCF" w:rsidRDefault="005C7E89" w:rsidP="005C7E89">
      <w:pPr>
        <w:ind w:left="284"/>
        <w:jc w:val="both"/>
        <w:rPr>
          <w:rFonts w:ascii="Univers for KPMG Light" w:hAnsi="Univers for KPMG Light"/>
          <w:sz w:val="22"/>
          <w:szCs w:val="22"/>
          <w:lang w:val="tr-TR"/>
        </w:rPr>
      </w:pPr>
    </w:p>
    <w:p w14:paraId="3C578C10" w14:textId="77777777" w:rsidR="005C7E89" w:rsidRPr="00692CCF" w:rsidRDefault="005C7E89" w:rsidP="005C7E89">
      <w:pPr>
        <w:ind w:left="284"/>
        <w:jc w:val="both"/>
        <w:rPr>
          <w:rFonts w:ascii="Univers for KPMG Light" w:hAnsi="Univers for KPMG Light"/>
          <w:sz w:val="22"/>
          <w:szCs w:val="22"/>
          <w:lang w:val="tr-TR"/>
        </w:rPr>
      </w:pPr>
      <w:r w:rsidRPr="00692CCF">
        <w:rPr>
          <w:rFonts w:ascii="Univers for KPMG Light" w:hAnsi="Univers for KPMG Light"/>
          <w:sz w:val="22"/>
          <w:szCs w:val="22"/>
          <w:lang w:val="tr-TR"/>
        </w:rPr>
        <w:t xml:space="preserve">We believe that the audit evidence we have obtained during our audit is sufficient and appropriate to provide a basis for our audit opinion.  </w:t>
      </w:r>
    </w:p>
    <w:p w14:paraId="05A521E0" w14:textId="77777777" w:rsidR="005C7E89" w:rsidRPr="00692CCF" w:rsidRDefault="005C7E89" w:rsidP="005C7E89">
      <w:pPr>
        <w:ind w:left="284"/>
        <w:jc w:val="both"/>
        <w:rPr>
          <w:rFonts w:ascii="Univers for KPMG Light" w:hAnsi="Univers for KPMG Light"/>
          <w:sz w:val="22"/>
          <w:szCs w:val="22"/>
          <w:lang w:val="tr-TR"/>
        </w:rPr>
      </w:pPr>
    </w:p>
    <w:p w14:paraId="2B113C9B" w14:textId="77777777" w:rsidR="005C7E89" w:rsidRPr="00692CCF" w:rsidRDefault="005C7E89" w:rsidP="005C7E89">
      <w:pPr>
        <w:keepNext/>
        <w:ind w:left="284"/>
        <w:jc w:val="both"/>
        <w:outlineLvl w:val="0"/>
        <w:rPr>
          <w:rFonts w:ascii="Univers for KPMG Light" w:hAnsi="Univers for KPMG Light"/>
          <w:sz w:val="22"/>
          <w:szCs w:val="22"/>
          <w:lang w:val="tr-TR"/>
        </w:rPr>
      </w:pPr>
    </w:p>
    <w:p w14:paraId="4F4EE2EB" w14:textId="77777777" w:rsidR="005C7E89" w:rsidRPr="00692CCF" w:rsidRDefault="005C7E89" w:rsidP="005C7E89">
      <w:pPr>
        <w:keepNext/>
        <w:ind w:left="284"/>
        <w:jc w:val="both"/>
        <w:outlineLvl w:val="0"/>
        <w:rPr>
          <w:rFonts w:ascii="Univers for KPMG Light" w:hAnsi="Univers for KPMG Light"/>
          <w:sz w:val="22"/>
          <w:szCs w:val="22"/>
          <w:lang w:val="tr-TR"/>
        </w:rPr>
      </w:pPr>
      <w:r w:rsidRPr="00692CCF">
        <w:rPr>
          <w:rFonts w:ascii="Univers for KPMG Light" w:hAnsi="Univers for KPMG Light"/>
          <w:sz w:val="22"/>
          <w:szCs w:val="22"/>
          <w:lang w:val="tr-TR"/>
        </w:rPr>
        <w:t xml:space="preserve">Opinion </w:t>
      </w:r>
    </w:p>
    <w:p w14:paraId="20643EB2" w14:textId="77777777" w:rsidR="005C7E89" w:rsidRPr="00692CCF" w:rsidRDefault="005C7E89" w:rsidP="005C7E89">
      <w:pPr>
        <w:keepNext/>
        <w:ind w:left="284"/>
        <w:jc w:val="both"/>
        <w:rPr>
          <w:rFonts w:ascii="Univers for KPMG Light" w:hAnsi="Univers for KPMG Light"/>
          <w:sz w:val="22"/>
          <w:szCs w:val="22"/>
          <w:lang w:val="tr-TR"/>
        </w:rPr>
      </w:pPr>
    </w:p>
    <w:p w14:paraId="40C5E6AA" w14:textId="74E14C35" w:rsidR="005C7E89" w:rsidRPr="00692CCF" w:rsidRDefault="005C7E89" w:rsidP="005C7E89">
      <w:pPr>
        <w:ind w:left="284"/>
        <w:jc w:val="both"/>
        <w:rPr>
          <w:rFonts w:ascii="Univers for KPMG Light" w:hAnsi="Univers for KPMG Light"/>
          <w:sz w:val="22"/>
          <w:szCs w:val="22"/>
          <w:lang w:val="tr-TR"/>
        </w:rPr>
      </w:pPr>
      <w:r w:rsidRPr="00692CCF">
        <w:rPr>
          <w:rFonts w:ascii="Univers for KPMG Light" w:hAnsi="Univers for KPMG Light"/>
          <w:sz w:val="22"/>
          <w:szCs w:val="22"/>
          <w:lang w:val="tr-TR"/>
        </w:rPr>
        <w:t>In our opinion, the consolidated financial statements present fairly, in all material respects, the financial position of the Alternatifbank Anonim Şirketi and its financial subsidiaries as at 31 December 2015, and its financial performance and its cash flows for the year then ended in accordance with BRSA Accounting and Reporting Legislation.</w:t>
      </w:r>
    </w:p>
    <w:p w14:paraId="032EE3D9" w14:textId="77777777" w:rsidR="005C7E89" w:rsidRPr="00692CCF" w:rsidRDefault="005C7E89" w:rsidP="005C7E89">
      <w:pPr>
        <w:ind w:left="284"/>
        <w:jc w:val="both"/>
        <w:rPr>
          <w:rFonts w:ascii="Univers for KPMG Light" w:hAnsi="Univers for KPMG Light"/>
          <w:sz w:val="22"/>
          <w:szCs w:val="22"/>
          <w:lang w:val="tr-TR"/>
        </w:rPr>
      </w:pPr>
    </w:p>
    <w:p w14:paraId="38E7B860" w14:textId="77777777" w:rsidR="005C7E89" w:rsidRPr="00692CCF" w:rsidRDefault="005C7E89" w:rsidP="005C7E89">
      <w:pPr>
        <w:pStyle w:val="RNormal"/>
        <w:ind w:left="284"/>
        <w:outlineLvl w:val="0"/>
        <w:rPr>
          <w:rFonts w:ascii="Univers for KPMG Light" w:hAnsi="Univers for KPMG Light"/>
          <w:szCs w:val="22"/>
          <w:lang w:val="tr-TR"/>
        </w:rPr>
      </w:pPr>
    </w:p>
    <w:p w14:paraId="2C990BBA" w14:textId="77777777" w:rsidR="005C7E89" w:rsidRPr="00692CCF" w:rsidRDefault="005C7E89" w:rsidP="005C7E89">
      <w:pPr>
        <w:pStyle w:val="RNormal"/>
        <w:ind w:left="284"/>
        <w:outlineLvl w:val="0"/>
        <w:rPr>
          <w:rFonts w:ascii="Univers for KPMG Light" w:hAnsi="Univers for KPMG Light"/>
          <w:szCs w:val="22"/>
          <w:lang w:val="tr-TR"/>
        </w:rPr>
      </w:pPr>
    </w:p>
    <w:p w14:paraId="0663A8AE" w14:textId="77777777" w:rsidR="005C7E89" w:rsidRPr="00692CCF" w:rsidRDefault="005C7E89" w:rsidP="005C7E89">
      <w:pPr>
        <w:spacing w:after="160" w:line="259" w:lineRule="auto"/>
        <w:rPr>
          <w:rFonts w:ascii="Univers for KPMG Light" w:hAnsi="Univers for KPMG Light"/>
          <w:b/>
          <w:sz w:val="22"/>
          <w:szCs w:val="22"/>
          <w:lang w:val="tr-TR"/>
        </w:rPr>
      </w:pPr>
      <w:r w:rsidRPr="00692CCF">
        <w:rPr>
          <w:rFonts w:ascii="Univers for KPMG Light" w:hAnsi="Univers for KPMG Light"/>
          <w:b/>
          <w:sz w:val="22"/>
          <w:szCs w:val="22"/>
          <w:lang w:val="tr-TR"/>
        </w:rPr>
        <w:br w:type="page"/>
      </w:r>
    </w:p>
    <w:p w14:paraId="257818ED" w14:textId="77777777" w:rsidR="005C7E89" w:rsidRPr="00692CCF" w:rsidRDefault="005C7E89" w:rsidP="005C7E89">
      <w:pPr>
        <w:pStyle w:val="RNormal"/>
        <w:ind w:left="284"/>
        <w:outlineLvl w:val="0"/>
        <w:rPr>
          <w:rFonts w:ascii="Univers for KPMG Light" w:hAnsi="Univers for KPMG Light"/>
          <w:b/>
          <w:szCs w:val="22"/>
          <w:lang w:val="tr-TR"/>
        </w:rPr>
      </w:pPr>
    </w:p>
    <w:p w14:paraId="0B60FE43" w14:textId="77777777" w:rsidR="005C7E89" w:rsidRPr="00692CCF" w:rsidRDefault="005C7E89" w:rsidP="005C7E89">
      <w:pPr>
        <w:pStyle w:val="RNormal"/>
        <w:ind w:left="284"/>
        <w:outlineLvl w:val="0"/>
        <w:rPr>
          <w:rFonts w:ascii="Univers for KPMG Light" w:hAnsi="Univers for KPMG Light"/>
          <w:b/>
          <w:szCs w:val="22"/>
          <w:lang w:val="tr-TR"/>
        </w:rPr>
      </w:pPr>
    </w:p>
    <w:p w14:paraId="384AC0FA" w14:textId="77777777" w:rsidR="005C7E89" w:rsidRPr="008C5FD8" w:rsidRDefault="005C7E89" w:rsidP="005C7E89">
      <w:pPr>
        <w:pStyle w:val="RNormal"/>
        <w:ind w:left="284"/>
        <w:outlineLvl w:val="0"/>
        <w:rPr>
          <w:rFonts w:ascii="Univers for KPMG Light" w:hAnsi="Univers for KPMG Light"/>
          <w:szCs w:val="22"/>
          <w:lang w:val="tr-TR"/>
        </w:rPr>
      </w:pPr>
      <w:r w:rsidRPr="008C5FD8">
        <w:rPr>
          <w:rFonts w:ascii="Univers for KPMG Light" w:hAnsi="Univers for KPMG Light"/>
          <w:szCs w:val="22"/>
          <w:lang w:val="tr-TR"/>
        </w:rPr>
        <w:t>Report on Other Legal and Regulatory Requirements</w:t>
      </w:r>
    </w:p>
    <w:p w14:paraId="26D9FF47" w14:textId="77777777" w:rsidR="005C7E89" w:rsidRPr="00692CCF" w:rsidRDefault="005C7E89" w:rsidP="005C7E89">
      <w:pPr>
        <w:pStyle w:val="RNormal"/>
        <w:ind w:left="284"/>
        <w:rPr>
          <w:rFonts w:ascii="Univers for KPMG Light" w:hAnsi="Univers for KPMG Light"/>
          <w:szCs w:val="22"/>
          <w:lang w:val="tr-TR"/>
        </w:rPr>
      </w:pPr>
    </w:p>
    <w:p w14:paraId="14231313" w14:textId="05B0336B" w:rsidR="005C7E89" w:rsidRPr="00692CCF" w:rsidRDefault="005C7E89" w:rsidP="005C7E89">
      <w:pPr>
        <w:pStyle w:val="RNormal"/>
        <w:ind w:left="284"/>
        <w:rPr>
          <w:rFonts w:ascii="Univers for KPMG Light" w:hAnsi="Univers for KPMG Light" w:cs="Arial"/>
          <w:szCs w:val="22"/>
        </w:rPr>
      </w:pPr>
      <w:r w:rsidRPr="00692CCF">
        <w:rPr>
          <w:rFonts w:ascii="Univers for KPMG Light" w:hAnsi="Univers for KPMG Light" w:cs="Arial"/>
          <w:szCs w:val="22"/>
        </w:rPr>
        <w:t xml:space="preserve">Pursuant to the fourth paragraph of Article 402 of the </w:t>
      </w:r>
      <w:r w:rsidR="006C6CDF">
        <w:rPr>
          <w:rFonts w:ascii="Univers for KPMG Light" w:hAnsi="Univers for KPMG Light" w:cs="Arial"/>
          <w:szCs w:val="22"/>
        </w:rPr>
        <w:t>Turkish Commercial Code (“</w:t>
      </w:r>
      <w:r w:rsidRPr="00692CCF">
        <w:rPr>
          <w:rFonts w:ascii="Univers for KPMG Light" w:hAnsi="Univers for KPMG Light" w:cs="Arial"/>
          <w:szCs w:val="22"/>
        </w:rPr>
        <w:t>TCC</w:t>
      </w:r>
      <w:r w:rsidR="006C6CDF">
        <w:rPr>
          <w:rFonts w:ascii="Univers for KPMG Light" w:hAnsi="Univers for KPMG Light" w:cs="Arial"/>
          <w:szCs w:val="22"/>
        </w:rPr>
        <w:t>”)</w:t>
      </w:r>
      <w:r w:rsidR="00A36B98">
        <w:rPr>
          <w:rFonts w:ascii="Univers for KPMG Light" w:hAnsi="Univers for KPMG Light" w:cs="Arial"/>
          <w:szCs w:val="22"/>
        </w:rPr>
        <w:t xml:space="preserve"> No.6102</w:t>
      </w:r>
      <w:r w:rsidRPr="00692CCF">
        <w:rPr>
          <w:rFonts w:ascii="Univers for KPMG Light" w:hAnsi="Univers for KPMG Light" w:cs="Arial"/>
          <w:szCs w:val="22"/>
        </w:rPr>
        <w:t>; no significant matter has come to our attention that causes us to believe that for the period 1 January - 31 December 2015, the Parent Bank’s bookkeeping activities are not in compliance with TCC and provisions of the Parent Bank’s articles of association in relation to financial reporting.</w:t>
      </w:r>
    </w:p>
    <w:p w14:paraId="209F6FEF" w14:textId="77777777" w:rsidR="005C7E89" w:rsidRPr="00692CCF" w:rsidRDefault="005C7E89" w:rsidP="005C7E89">
      <w:pPr>
        <w:pStyle w:val="RNormal"/>
        <w:ind w:left="284"/>
        <w:rPr>
          <w:rFonts w:ascii="Univers for KPMG Light" w:hAnsi="Univers for KPMG Light" w:cs="Arial"/>
          <w:szCs w:val="22"/>
        </w:rPr>
      </w:pPr>
    </w:p>
    <w:p w14:paraId="1F95E7DD" w14:textId="5E1AF1C1" w:rsidR="005C7E89" w:rsidRPr="00692CCF" w:rsidRDefault="005C7E89" w:rsidP="005C7E89">
      <w:pPr>
        <w:pStyle w:val="RNormal"/>
        <w:ind w:left="284"/>
        <w:rPr>
          <w:rFonts w:ascii="Univers for KPMG Light" w:hAnsi="Univers for KPMG Light" w:cs="Arial"/>
          <w:szCs w:val="22"/>
        </w:rPr>
      </w:pPr>
      <w:r w:rsidRPr="00692CCF">
        <w:rPr>
          <w:rFonts w:ascii="Univers for KPMG Light" w:hAnsi="Univers for KPMG Light" w:cs="Arial"/>
          <w:szCs w:val="22"/>
        </w:rPr>
        <w:t>Pursuant to the fourth paragraph of Article 402 of the TCC; the Board of Directors provided us the necessary explanations and required documents in connection with the audit.</w:t>
      </w:r>
    </w:p>
    <w:p w14:paraId="54ECBA10" w14:textId="77777777" w:rsidR="005C7E89" w:rsidRPr="00692CCF" w:rsidRDefault="005C7E89" w:rsidP="005C7E89">
      <w:pPr>
        <w:pStyle w:val="RNormal"/>
        <w:ind w:left="284"/>
        <w:rPr>
          <w:rFonts w:ascii="Univers for KPMG Light" w:hAnsi="Univers for KPMG Light"/>
          <w:szCs w:val="22"/>
          <w:lang w:val="tr-TR"/>
        </w:rPr>
      </w:pPr>
    </w:p>
    <w:p w14:paraId="18AADB2C" w14:textId="77777777" w:rsidR="005C7E89" w:rsidRPr="00692CCF" w:rsidRDefault="005C7E89" w:rsidP="005C7E89">
      <w:pPr>
        <w:pStyle w:val="RNormal"/>
        <w:ind w:left="284"/>
        <w:rPr>
          <w:rFonts w:ascii="Univers for KPMG Light" w:hAnsi="Univers for KPMG Light"/>
          <w:szCs w:val="22"/>
          <w:lang w:val="tr-TR"/>
        </w:rPr>
      </w:pPr>
    </w:p>
    <w:p w14:paraId="6DA6D4EA" w14:textId="77777777" w:rsidR="005C7E89" w:rsidRPr="00692CCF" w:rsidRDefault="005C7E89" w:rsidP="005C7E89">
      <w:pPr>
        <w:pStyle w:val="RNormal"/>
        <w:ind w:left="284"/>
        <w:rPr>
          <w:rFonts w:ascii="Univers for KPMG Light" w:hAnsi="Univers for KPMG Light"/>
          <w:szCs w:val="22"/>
          <w:lang w:val="tr-TR"/>
        </w:rPr>
      </w:pPr>
    </w:p>
    <w:p w14:paraId="3442FC1C" w14:textId="77777777" w:rsidR="005C7E89" w:rsidRPr="00692CCF" w:rsidRDefault="005C7E89" w:rsidP="005C7E89">
      <w:pPr>
        <w:ind w:left="284"/>
        <w:jc w:val="both"/>
        <w:rPr>
          <w:rFonts w:ascii="Univers for KPMG Light" w:hAnsi="Univers for KPMG Light"/>
          <w:sz w:val="22"/>
          <w:szCs w:val="22"/>
          <w:lang w:val="tr-TR"/>
        </w:rPr>
      </w:pPr>
      <w:r w:rsidRPr="00692CCF">
        <w:rPr>
          <w:rFonts w:ascii="Univers for KPMG Light" w:hAnsi="Univers for KPMG Light"/>
          <w:sz w:val="22"/>
          <w:szCs w:val="22"/>
          <w:lang w:val="tr-TR"/>
        </w:rPr>
        <w:t>Akis Bağımsız Denetim ve Serbest Muhasebeci Mali Müşavirlik A.Ş.</w:t>
      </w:r>
    </w:p>
    <w:p w14:paraId="08CE959E" w14:textId="77777777" w:rsidR="005C7E89" w:rsidRPr="00692CCF" w:rsidRDefault="005C7E89" w:rsidP="005C7E89">
      <w:pPr>
        <w:ind w:left="284"/>
        <w:jc w:val="both"/>
        <w:rPr>
          <w:rFonts w:ascii="Univers for KPMG Light" w:hAnsi="Univers for KPMG Light"/>
          <w:sz w:val="22"/>
          <w:szCs w:val="22"/>
          <w:lang w:val="tr-TR"/>
        </w:rPr>
      </w:pPr>
      <w:r w:rsidRPr="00692CCF">
        <w:rPr>
          <w:rFonts w:ascii="Univers for KPMG Light" w:hAnsi="Univers for KPMG Light"/>
          <w:sz w:val="22"/>
          <w:szCs w:val="22"/>
          <w:lang w:val="tr-TR"/>
        </w:rPr>
        <w:t>A member of KPMG International Cooperative</w:t>
      </w:r>
    </w:p>
    <w:p w14:paraId="784E80E6" w14:textId="77777777" w:rsidR="005C7E89" w:rsidRPr="00692CCF" w:rsidRDefault="005C7E89" w:rsidP="005C7E89">
      <w:pPr>
        <w:ind w:left="284"/>
        <w:jc w:val="both"/>
        <w:rPr>
          <w:rFonts w:ascii="Univers for KPMG Light" w:hAnsi="Univers for KPMG Light"/>
          <w:sz w:val="22"/>
          <w:szCs w:val="22"/>
          <w:lang w:val="tr-TR"/>
        </w:rPr>
      </w:pPr>
    </w:p>
    <w:p w14:paraId="76B3E1BA" w14:textId="77777777" w:rsidR="005C7E89" w:rsidRPr="00692CCF" w:rsidRDefault="005C7E89" w:rsidP="005C7E89">
      <w:pPr>
        <w:ind w:left="284"/>
        <w:jc w:val="both"/>
        <w:rPr>
          <w:rFonts w:ascii="Univers for KPMG Light" w:hAnsi="Univers for KPMG Light"/>
          <w:sz w:val="22"/>
          <w:szCs w:val="22"/>
          <w:lang w:val="tr-TR"/>
        </w:rPr>
      </w:pPr>
    </w:p>
    <w:p w14:paraId="6DE7853E" w14:textId="77777777" w:rsidR="005C7E89" w:rsidRPr="00692CCF" w:rsidRDefault="005C7E89" w:rsidP="005C7E89">
      <w:pPr>
        <w:ind w:left="284"/>
        <w:jc w:val="both"/>
        <w:rPr>
          <w:rFonts w:ascii="Univers for KPMG Light" w:hAnsi="Univers for KPMG Light"/>
          <w:sz w:val="22"/>
          <w:szCs w:val="22"/>
          <w:lang w:val="tr-TR"/>
        </w:rPr>
      </w:pPr>
    </w:p>
    <w:p w14:paraId="65EF9248" w14:textId="77777777" w:rsidR="005C7E89" w:rsidRPr="00692CCF" w:rsidRDefault="005C7E89" w:rsidP="005C7E89">
      <w:pPr>
        <w:ind w:left="284"/>
        <w:jc w:val="both"/>
        <w:rPr>
          <w:rFonts w:ascii="Univers for KPMG Light" w:hAnsi="Univers for KPMG Light"/>
          <w:sz w:val="22"/>
          <w:szCs w:val="22"/>
          <w:lang w:val="tr-TR"/>
        </w:rPr>
      </w:pPr>
    </w:p>
    <w:p w14:paraId="32CBD09D" w14:textId="45141880" w:rsidR="005C7E89" w:rsidRPr="00692CCF" w:rsidRDefault="005C7E89" w:rsidP="005C7E89">
      <w:pPr>
        <w:ind w:left="284"/>
        <w:jc w:val="both"/>
        <w:rPr>
          <w:rFonts w:ascii="Univers for KPMG Light" w:hAnsi="Univers for KPMG Light"/>
          <w:sz w:val="22"/>
          <w:szCs w:val="22"/>
          <w:lang w:val="tr-TR"/>
        </w:rPr>
      </w:pPr>
      <w:r w:rsidRPr="00692CCF">
        <w:rPr>
          <w:rFonts w:ascii="Univers for KPMG Light" w:hAnsi="Univers for KPMG Light"/>
          <w:sz w:val="22"/>
          <w:szCs w:val="22"/>
          <w:lang w:val="tr-TR"/>
        </w:rPr>
        <w:t xml:space="preserve">Murat Alsan, SMMM </w:t>
      </w:r>
    </w:p>
    <w:p w14:paraId="500EE58F" w14:textId="77777777" w:rsidR="005C7E89" w:rsidRPr="00692CCF" w:rsidRDefault="005C7E89" w:rsidP="005C7E89">
      <w:pPr>
        <w:ind w:left="284"/>
        <w:jc w:val="both"/>
        <w:rPr>
          <w:rFonts w:ascii="Univers for KPMG Light" w:hAnsi="Univers for KPMG Light"/>
          <w:sz w:val="22"/>
          <w:szCs w:val="22"/>
          <w:lang w:val="tr-TR"/>
        </w:rPr>
      </w:pPr>
      <w:r w:rsidRPr="00692CCF">
        <w:rPr>
          <w:rFonts w:ascii="Univers for KPMG Light" w:hAnsi="Univers for KPMG Light"/>
          <w:sz w:val="22"/>
          <w:szCs w:val="22"/>
          <w:lang w:val="tr-TR"/>
        </w:rPr>
        <w:t xml:space="preserve">Partner </w:t>
      </w:r>
    </w:p>
    <w:p w14:paraId="66898693" w14:textId="35D84677" w:rsidR="005C7E89" w:rsidRPr="00692CCF" w:rsidRDefault="005C7E89" w:rsidP="005C7E89">
      <w:pPr>
        <w:ind w:left="284"/>
        <w:jc w:val="both"/>
        <w:rPr>
          <w:rFonts w:ascii="Univers for KPMG Light" w:hAnsi="Univers for KPMG Light"/>
          <w:sz w:val="22"/>
          <w:szCs w:val="22"/>
          <w:lang w:val="tr-TR"/>
        </w:rPr>
      </w:pPr>
      <w:r w:rsidRPr="00692CCF">
        <w:rPr>
          <w:rFonts w:ascii="Univers for KPMG Light" w:hAnsi="Univers for KPMG Light"/>
          <w:sz w:val="22"/>
          <w:szCs w:val="22"/>
          <w:lang w:val="tr-TR"/>
        </w:rPr>
        <w:t>5 February 2016</w:t>
      </w:r>
    </w:p>
    <w:p w14:paraId="5F63E897" w14:textId="348C05E2" w:rsidR="00E33E79" w:rsidRDefault="0053689B" w:rsidP="005C7E89">
      <w:pPr>
        <w:pStyle w:val="NoSpacing"/>
        <w:ind w:firstLine="284"/>
        <w:rPr>
          <w:rFonts w:ascii="Univers for KPMG Light" w:hAnsi="Univers for KPMG Light"/>
          <w:sz w:val="22"/>
          <w:szCs w:val="22"/>
          <w:lang w:val="tr-TR"/>
        </w:rPr>
      </w:pPr>
      <w:r>
        <w:rPr>
          <w:rFonts w:ascii="Univers for KPMG Light" w:hAnsi="Univers for KPMG Light"/>
          <w:sz w:val="22"/>
          <w:szCs w:val="22"/>
          <w:lang w:val="tr-TR"/>
        </w:rPr>
        <w:t>İstanbul, Turkey</w:t>
      </w:r>
    </w:p>
    <w:p w14:paraId="1A64F97F" w14:textId="77777777" w:rsidR="00A2548A" w:rsidRDefault="00A2548A" w:rsidP="00A2548A">
      <w:pPr>
        <w:pStyle w:val="NoSpacing"/>
        <w:ind w:firstLine="284"/>
        <w:rPr>
          <w:rFonts w:ascii="Univers for KPMG Light" w:hAnsi="Univers for KPMG Light" w:cs="Arial"/>
          <w:sz w:val="22"/>
          <w:szCs w:val="22"/>
        </w:rPr>
      </w:pPr>
    </w:p>
    <w:p w14:paraId="2EC44F2F" w14:textId="77777777" w:rsidR="00A2548A" w:rsidRDefault="00A2548A" w:rsidP="00A2548A">
      <w:pPr>
        <w:pStyle w:val="NoSpacing"/>
        <w:ind w:firstLine="284"/>
        <w:rPr>
          <w:rFonts w:ascii="Univers for KPMG Light" w:hAnsi="Univers for KPMG Light" w:cs="Arial"/>
          <w:sz w:val="22"/>
          <w:szCs w:val="22"/>
        </w:rPr>
      </w:pPr>
    </w:p>
    <w:p w14:paraId="3C1E93F1" w14:textId="77777777" w:rsidR="00A2548A" w:rsidRDefault="00A2548A" w:rsidP="00A2548A">
      <w:pPr>
        <w:pStyle w:val="NoSpacing"/>
        <w:ind w:firstLine="284"/>
        <w:rPr>
          <w:rFonts w:ascii="Univers for KPMG Light" w:hAnsi="Univers for KPMG Light" w:cs="Arial"/>
          <w:sz w:val="22"/>
          <w:szCs w:val="22"/>
        </w:rPr>
      </w:pPr>
    </w:p>
    <w:p w14:paraId="7C1E6488" w14:textId="77777777" w:rsidR="00A2548A" w:rsidRDefault="00A2548A" w:rsidP="00A2548A">
      <w:pPr>
        <w:pStyle w:val="NoSpacing"/>
        <w:ind w:firstLine="284"/>
        <w:rPr>
          <w:rFonts w:ascii="Univers for KPMG Light" w:hAnsi="Univers for KPMG Light" w:cs="Arial"/>
          <w:sz w:val="22"/>
          <w:szCs w:val="22"/>
        </w:rPr>
      </w:pPr>
    </w:p>
    <w:p w14:paraId="3503A965" w14:textId="77777777" w:rsidR="00A2548A" w:rsidRDefault="00A2548A" w:rsidP="00A2548A">
      <w:pPr>
        <w:pStyle w:val="NoSpacing"/>
        <w:ind w:firstLine="284"/>
        <w:rPr>
          <w:rFonts w:ascii="Univers for KPMG Light" w:hAnsi="Univers for KPMG Light" w:cs="Arial"/>
          <w:sz w:val="22"/>
          <w:szCs w:val="22"/>
        </w:rPr>
      </w:pPr>
    </w:p>
    <w:p w14:paraId="6886686C" w14:textId="77777777" w:rsidR="00A2548A" w:rsidRDefault="00A2548A" w:rsidP="00A2548A">
      <w:pPr>
        <w:pStyle w:val="NoSpacing"/>
        <w:ind w:firstLine="284"/>
        <w:rPr>
          <w:rFonts w:ascii="Univers for KPMG Light" w:hAnsi="Univers for KPMG Light" w:cs="Arial"/>
          <w:sz w:val="22"/>
          <w:szCs w:val="22"/>
        </w:rPr>
      </w:pPr>
    </w:p>
    <w:p w14:paraId="0760E42F" w14:textId="77777777" w:rsidR="00A2548A" w:rsidRDefault="00A2548A" w:rsidP="00A2548A">
      <w:pPr>
        <w:pStyle w:val="NoSpacing"/>
        <w:ind w:firstLine="284"/>
        <w:rPr>
          <w:rFonts w:ascii="Univers for KPMG Light" w:hAnsi="Univers for KPMG Light" w:cs="Arial"/>
          <w:sz w:val="22"/>
          <w:szCs w:val="22"/>
        </w:rPr>
      </w:pPr>
    </w:p>
    <w:p w14:paraId="2B1E9699" w14:textId="77777777" w:rsidR="00A2548A" w:rsidRDefault="00A2548A" w:rsidP="00A2548A">
      <w:pPr>
        <w:pStyle w:val="NoSpacing"/>
        <w:ind w:firstLine="284"/>
        <w:rPr>
          <w:rFonts w:ascii="Univers for KPMG Light" w:hAnsi="Univers for KPMG Light" w:cs="Arial"/>
          <w:sz w:val="22"/>
          <w:szCs w:val="22"/>
        </w:rPr>
      </w:pPr>
    </w:p>
    <w:p w14:paraId="4F8435E9" w14:textId="77777777" w:rsidR="00A2548A" w:rsidRDefault="00A2548A" w:rsidP="00A2548A">
      <w:pPr>
        <w:pStyle w:val="NoSpacing"/>
        <w:ind w:firstLine="284"/>
        <w:rPr>
          <w:rFonts w:ascii="Univers for KPMG Light" w:hAnsi="Univers for KPMG Light" w:cs="Arial"/>
          <w:sz w:val="22"/>
          <w:szCs w:val="22"/>
        </w:rPr>
      </w:pPr>
    </w:p>
    <w:p w14:paraId="1E150CAE" w14:textId="77777777" w:rsidR="00A2548A" w:rsidRDefault="00A2548A" w:rsidP="00A2548A">
      <w:pPr>
        <w:pStyle w:val="NoSpacing"/>
        <w:ind w:firstLine="284"/>
        <w:rPr>
          <w:rFonts w:ascii="Univers for KPMG Light" w:hAnsi="Univers for KPMG Light" w:cs="Arial"/>
          <w:sz w:val="22"/>
          <w:szCs w:val="22"/>
        </w:rPr>
      </w:pPr>
    </w:p>
    <w:p w14:paraId="28942B4E" w14:textId="77777777" w:rsidR="00A2548A" w:rsidRDefault="00A2548A" w:rsidP="00A2548A">
      <w:pPr>
        <w:pStyle w:val="NoSpacing"/>
        <w:ind w:firstLine="284"/>
        <w:rPr>
          <w:rFonts w:ascii="Univers for KPMG Light" w:hAnsi="Univers for KPMG Light" w:cs="Arial"/>
          <w:sz w:val="22"/>
          <w:szCs w:val="22"/>
        </w:rPr>
      </w:pPr>
    </w:p>
    <w:p w14:paraId="574E1CBC" w14:textId="77777777" w:rsidR="00A2548A" w:rsidRDefault="00A2548A" w:rsidP="00A2548A">
      <w:pPr>
        <w:pStyle w:val="NoSpacing"/>
        <w:ind w:firstLine="284"/>
        <w:rPr>
          <w:rFonts w:ascii="Univers for KPMG Light" w:hAnsi="Univers for KPMG Light" w:cs="Arial"/>
          <w:sz w:val="22"/>
          <w:szCs w:val="22"/>
        </w:rPr>
      </w:pPr>
    </w:p>
    <w:p w14:paraId="6AB14A7C" w14:textId="77777777" w:rsidR="00A2548A" w:rsidRDefault="00A2548A" w:rsidP="00A2548A">
      <w:pPr>
        <w:pStyle w:val="NoSpacing"/>
        <w:ind w:firstLine="284"/>
        <w:rPr>
          <w:rFonts w:ascii="Univers for KPMG Light" w:hAnsi="Univers for KPMG Light" w:cs="Arial"/>
          <w:sz w:val="22"/>
          <w:szCs w:val="22"/>
        </w:rPr>
      </w:pPr>
    </w:p>
    <w:p w14:paraId="2E83705B" w14:textId="77777777" w:rsidR="00A2548A" w:rsidRDefault="00A2548A" w:rsidP="00A2548A">
      <w:pPr>
        <w:pStyle w:val="NoSpacing"/>
        <w:ind w:firstLine="284"/>
        <w:rPr>
          <w:rFonts w:ascii="Univers for KPMG Light" w:hAnsi="Univers for KPMG Light" w:cs="Arial"/>
          <w:sz w:val="22"/>
          <w:szCs w:val="22"/>
        </w:rPr>
      </w:pPr>
    </w:p>
    <w:p w14:paraId="037A2FD3" w14:textId="77777777" w:rsidR="00A2548A" w:rsidRDefault="00A2548A" w:rsidP="00A2548A">
      <w:pPr>
        <w:pStyle w:val="NoSpacing"/>
        <w:ind w:firstLine="284"/>
        <w:rPr>
          <w:rFonts w:ascii="Univers for KPMG Light" w:hAnsi="Univers for KPMG Light" w:cs="Arial"/>
          <w:sz w:val="22"/>
          <w:szCs w:val="22"/>
        </w:rPr>
      </w:pPr>
    </w:p>
    <w:p w14:paraId="01896030" w14:textId="77777777" w:rsidR="00A2548A" w:rsidRDefault="00A2548A" w:rsidP="00A2548A">
      <w:pPr>
        <w:pStyle w:val="NoSpacing"/>
        <w:ind w:firstLine="284"/>
        <w:rPr>
          <w:rFonts w:ascii="Univers for KPMG Light" w:hAnsi="Univers for KPMG Light" w:cs="Arial"/>
          <w:sz w:val="22"/>
          <w:szCs w:val="22"/>
        </w:rPr>
      </w:pPr>
    </w:p>
    <w:p w14:paraId="0E3BBD33" w14:textId="77777777" w:rsidR="00A2548A" w:rsidRDefault="00A2548A" w:rsidP="00A2548A">
      <w:pPr>
        <w:pStyle w:val="NoSpacing"/>
        <w:ind w:firstLine="284"/>
        <w:rPr>
          <w:rFonts w:ascii="Univers for KPMG Light" w:hAnsi="Univers for KPMG Light" w:cs="Arial"/>
          <w:sz w:val="22"/>
          <w:szCs w:val="22"/>
        </w:rPr>
      </w:pPr>
    </w:p>
    <w:p w14:paraId="41645B5D" w14:textId="77777777" w:rsidR="00A2548A" w:rsidRDefault="00A2548A" w:rsidP="00A2548A">
      <w:pPr>
        <w:pStyle w:val="NoSpacing"/>
        <w:ind w:firstLine="284"/>
        <w:rPr>
          <w:rFonts w:ascii="Univers for KPMG Light" w:hAnsi="Univers for KPMG Light" w:cs="Arial"/>
          <w:sz w:val="22"/>
          <w:szCs w:val="22"/>
        </w:rPr>
      </w:pPr>
    </w:p>
    <w:p w14:paraId="75FCF38F" w14:textId="77777777" w:rsidR="00A2548A" w:rsidRPr="00A2548A" w:rsidRDefault="00A2548A" w:rsidP="00A2548A">
      <w:pPr>
        <w:pStyle w:val="NoSpacing"/>
        <w:ind w:firstLine="284"/>
        <w:rPr>
          <w:rFonts w:ascii="Univers for KPMG Light" w:hAnsi="Univers for KPMG Light" w:cs="Arial"/>
          <w:sz w:val="22"/>
          <w:szCs w:val="22"/>
        </w:rPr>
      </w:pPr>
      <w:r w:rsidRPr="00A2548A">
        <w:rPr>
          <w:rFonts w:ascii="Univers for KPMG Light" w:hAnsi="Univers for KPMG Light" w:cs="Arial"/>
          <w:sz w:val="22"/>
          <w:szCs w:val="22"/>
        </w:rPr>
        <w:t>Additional paragraph for convenience translation to English</w:t>
      </w:r>
    </w:p>
    <w:p w14:paraId="0418AAE4" w14:textId="77777777" w:rsidR="00A2548A" w:rsidRPr="00A2548A" w:rsidRDefault="00A2548A" w:rsidP="00A2548A">
      <w:pPr>
        <w:pStyle w:val="NoSpacing"/>
        <w:ind w:left="284" w:firstLine="284"/>
        <w:rPr>
          <w:rFonts w:ascii="Univers for KPMG Light" w:hAnsi="Univers for KPMG Light" w:cs="Arial"/>
          <w:sz w:val="22"/>
          <w:szCs w:val="22"/>
        </w:rPr>
      </w:pPr>
    </w:p>
    <w:p w14:paraId="7EC6318B" w14:textId="4D18B05E" w:rsidR="00A2548A" w:rsidRPr="00A2548A" w:rsidRDefault="00A2548A" w:rsidP="006C6CDF">
      <w:pPr>
        <w:pStyle w:val="NoSpacing"/>
        <w:ind w:left="284"/>
        <w:jc w:val="both"/>
        <w:rPr>
          <w:rFonts w:ascii="Univers for KPMG Light" w:hAnsi="Univers for KPMG Light" w:cs="Arial"/>
          <w:sz w:val="22"/>
          <w:szCs w:val="22"/>
        </w:rPr>
      </w:pPr>
      <w:r w:rsidRPr="00A2548A">
        <w:rPr>
          <w:rFonts w:ascii="Univers for KPMG Light" w:hAnsi="Univers for KPMG Light" w:cs="Arial"/>
          <w:sz w:val="22"/>
          <w:szCs w:val="22"/>
        </w:rPr>
        <w:t xml:space="preserve">The accounting principles summarized in note </w:t>
      </w:r>
      <w:r w:rsidR="006C6CDF">
        <w:rPr>
          <w:rFonts w:ascii="Univers for KPMG Light" w:hAnsi="Univers for KPMG Light" w:cs="Arial"/>
          <w:sz w:val="22"/>
          <w:szCs w:val="22"/>
        </w:rPr>
        <w:t>I Section Three</w:t>
      </w:r>
      <w:r w:rsidRPr="00A2548A">
        <w:rPr>
          <w:rFonts w:ascii="Univers for KPMG Light" w:hAnsi="Univers for KPMG Light" w:cs="Arial"/>
          <w:sz w:val="22"/>
          <w:szCs w:val="22"/>
        </w:rPr>
        <w:t>, differ from the accounting principles generally accepted in countries in which the accompanying consolidated financial statements are to be distributed and International Financial Reporting Standards (“IFRS”). Accordingly, the accompanying financial statements are not intended to present the financial position and results of operations in accordance with accounting principles generally accepted in such countries of users of the consolidated financial statements and IFRS.</w:t>
      </w:r>
    </w:p>
    <w:p w14:paraId="559F9D68" w14:textId="77777777" w:rsidR="00153730" w:rsidRDefault="00153730">
      <w:pPr>
        <w:spacing w:after="200" w:line="276" w:lineRule="auto"/>
        <w:rPr>
          <w:b/>
          <w:bCs/>
          <w:noProof/>
          <w:sz w:val="20"/>
          <w:szCs w:val="20"/>
          <w:lang w:val="tr-TR"/>
        </w:rPr>
      </w:pPr>
      <w:r>
        <w:rPr>
          <w:b/>
          <w:bCs/>
          <w:noProof/>
          <w:sz w:val="20"/>
          <w:szCs w:val="20"/>
          <w:lang w:val="tr-TR"/>
        </w:rPr>
        <w:br w:type="page"/>
      </w:r>
    </w:p>
    <w:p w14:paraId="16DECFE2" w14:textId="5234FB75" w:rsidR="00EF3585" w:rsidRPr="007C0BA6" w:rsidRDefault="00EF3585" w:rsidP="00EF3585">
      <w:pPr>
        <w:tabs>
          <w:tab w:val="left" w:pos="50"/>
          <w:tab w:val="left" w:pos="11440"/>
          <w:tab w:val="left" w:pos="11490"/>
          <w:tab w:val="left" w:pos="12027"/>
          <w:tab w:val="left" w:pos="12564"/>
          <w:tab w:val="left" w:pos="13101"/>
          <w:tab w:val="left" w:pos="13638"/>
          <w:tab w:val="left" w:pos="14175"/>
        </w:tabs>
        <w:spacing w:line="226" w:lineRule="auto"/>
        <w:ind w:right="2"/>
        <w:jc w:val="center"/>
        <w:rPr>
          <w:b/>
          <w:bCs/>
          <w:noProof/>
          <w:sz w:val="20"/>
          <w:szCs w:val="20"/>
          <w:lang w:val="tr-TR"/>
        </w:rPr>
      </w:pPr>
      <w:r w:rsidRPr="007C0BA6">
        <w:rPr>
          <w:b/>
          <w:bCs/>
          <w:noProof/>
          <w:sz w:val="20"/>
          <w:szCs w:val="20"/>
          <w:lang w:val="tr-TR"/>
        </w:rPr>
        <w:lastRenderedPageBreak/>
        <w:t>THE CONSOLIDATED FINANCIAL REPORT OF</w:t>
      </w:r>
    </w:p>
    <w:p w14:paraId="4DAFA163" w14:textId="7DA6E6EF" w:rsidR="00EF3585" w:rsidRPr="007C0BA6" w:rsidRDefault="00EF3585" w:rsidP="00EF3585">
      <w:pPr>
        <w:tabs>
          <w:tab w:val="left" w:pos="1350"/>
          <w:tab w:val="left" w:pos="11440"/>
          <w:tab w:val="left" w:pos="11490"/>
          <w:tab w:val="left" w:pos="12027"/>
          <w:tab w:val="left" w:pos="12564"/>
          <w:tab w:val="left" w:pos="13101"/>
          <w:tab w:val="left" w:pos="13638"/>
          <w:tab w:val="left" w:pos="14175"/>
        </w:tabs>
        <w:spacing w:line="226" w:lineRule="auto"/>
        <w:ind w:right="2"/>
        <w:jc w:val="center"/>
        <w:rPr>
          <w:b/>
          <w:bCs/>
          <w:noProof/>
          <w:sz w:val="20"/>
          <w:szCs w:val="20"/>
          <w:lang w:val="tr-TR"/>
        </w:rPr>
      </w:pPr>
      <w:r>
        <w:rPr>
          <w:b/>
          <w:bCs/>
          <w:noProof/>
          <w:sz w:val="20"/>
          <w:szCs w:val="20"/>
          <w:lang w:val="tr-TR"/>
        </w:rPr>
        <w:t>ALTERNAT</w:t>
      </w:r>
      <w:r w:rsidR="003C45F6">
        <w:rPr>
          <w:b/>
          <w:bCs/>
          <w:noProof/>
          <w:sz w:val="20"/>
          <w:szCs w:val="20"/>
          <w:lang w:val="tr-TR"/>
        </w:rPr>
        <w:t>İ</w:t>
      </w:r>
      <w:r>
        <w:rPr>
          <w:b/>
          <w:bCs/>
          <w:noProof/>
          <w:sz w:val="20"/>
          <w:szCs w:val="20"/>
          <w:lang w:val="tr-TR"/>
        </w:rPr>
        <w:t>F</w:t>
      </w:r>
      <w:r w:rsidRPr="007C0BA6">
        <w:rPr>
          <w:b/>
          <w:bCs/>
          <w:noProof/>
          <w:sz w:val="20"/>
          <w:szCs w:val="20"/>
          <w:lang w:val="tr-TR"/>
        </w:rPr>
        <w:t xml:space="preserve">BANK A.Ş. AS OF </w:t>
      </w:r>
      <w:r>
        <w:rPr>
          <w:b/>
          <w:bCs/>
          <w:noProof/>
          <w:sz w:val="20"/>
          <w:szCs w:val="20"/>
          <w:lang w:val="tr-TR"/>
        </w:rPr>
        <w:t xml:space="preserve">AND FOR THE YEAR ENDED </w:t>
      </w:r>
      <w:r w:rsidRPr="007C0BA6">
        <w:rPr>
          <w:b/>
          <w:bCs/>
          <w:noProof/>
          <w:sz w:val="20"/>
          <w:szCs w:val="20"/>
          <w:lang w:val="tr-TR"/>
        </w:rPr>
        <w:t xml:space="preserve">31 </w:t>
      </w:r>
      <w:r>
        <w:rPr>
          <w:b/>
          <w:bCs/>
          <w:noProof/>
          <w:sz w:val="20"/>
          <w:szCs w:val="20"/>
          <w:lang w:val="tr-TR"/>
        </w:rPr>
        <w:t>DECEMBER 2015</w:t>
      </w:r>
    </w:p>
    <w:p w14:paraId="65CF3CD6" w14:textId="77777777" w:rsidR="00AA06F0" w:rsidRPr="00604C75" w:rsidRDefault="00AA06F0" w:rsidP="00F846DA">
      <w:pPr>
        <w:tabs>
          <w:tab w:val="left" w:pos="1350"/>
          <w:tab w:val="left" w:pos="11440"/>
          <w:tab w:val="left" w:pos="11490"/>
          <w:tab w:val="left" w:pos="12027"/>
          <w:tab w:val="left" w:pos="12564"/>
          <w:tab w:val="left" w:pos="13101"/>
          <w:tab w:val="left" w:pos="13638"/>
          <w:tab w:val="left" w:pos="14175"/>
        </w:tabs>
        <w:spacing w:line="226" w:lineRule="auto"/>
        <w:ind w:right="2"/>
        <w:jc w:val="center"/>
        <w:rPr>
          <w:noProof/>
          <w:sz w:val="16"/>
          <w:szCs w:val="16"/>
          <w:lang w:val="tr-TR"/>
        </w:rPr>
      </w:pPr>
    </w:p>
    <w:p w14:paraId="5A5DD0D5" w14:textId="77777777" w:rsidR="00AA06F0" w:rsidRPr="00236FB9" w:rsidRDefault="00FF5C76" w:rsidP="008D06EC">
      <w:pPr>
        <w:widowControl w:val="0"/>
        <w:tabs>
          <w:tab w:val="left" w:pos="1411"/>
        </w:tabs>
        <w:spacing w:line="226" w:lineRule="auto"/>
        <w:ind w:left="1440" w:hanging="1440"/>
        <w:rPr>
          <w:noProof/>
          <w:sz w:val="20"/>
          <w:szCs w:val="20"/>
          <w:lang w:val="tr-TR"/>
        </w:rPr>
      </w:pPr>
      <w:r w:rsidRPr="00236FB9">
        <w:rPr>
          <w:noProof/>
          <w:sz w:val="20"/>
          <w:szCs w:val="20"/>
          <w:lang w:val="tr-TR"/>
        </w:rPr>
        <w:t xml:space="preserve">Headquarter </w:t>
      </w:r>
      <w:r w:rsidR="00AA06F0" w:rsidRPr="00236FB9">
        <w:rPr>
          <w:noProof/>
          <w:sz w:val="20"/>
          <w:szCs w:val="20"/>
          <w:lang w:val="tr-TR"/>
        </w:rPr>
        <w:t>Address</w:t>
      </w:r>
      <w:r w:rsidR="00AA06F0" w:rsidRPr="00236FB9">
        <w:rPr>
          <w:noProof/>
          <w:sz w:val="20"/>
          <w:szCs w:val="20"/>
          <w:lang w:val="tr-TR"/>
        </w:rPr>
        <w:tab/>
        <w:t xml:space="preserve">: Cumhuriyet </w:t>
      </w:r>
      <w:r w:rsidR="003E7386" w:rsidRPr="00236FB9">
        <w:rPr>
          <w:noProof/>
          <w:sz w:val="20"/>
          <w:szCs w:val="20"/>
          <w:lang w:val="tr-TR"/>
        </w:rPr>
        <w:t>C</w:t>
      </w:r>
      <w:r w:rsidR="00AA06F0" w:rsidRPr="00236FB9">
        <w:rPr>
          <w:noProof/>
          <w:sz w:val="20"/>
          <w:szCs w:val="20"/>
          <w:lang w:val="tr-TR"/>
        </w:rPr>
        <w:t>ad. No:46 34367 Şişli/İstanbul</w:t>
      </w:r>
    </w:p>
    <w:p w14:paraId="5C215537" w14:textId="77777777" w:rsidR="00AA06F0" w:rsidRPr="00236FB9" w:rsidRDefault="00AA06F0" w:rsidP="008D06EC">
      <w:pPr>
        <w:tabs>
          <w:tab w:val="left" w:pos="1418"/>
        </w:tabs>
        <w:spacing w:line="226" w:lineRule="auto"/>
        <w:rPr>
          <w:noProof/>
          <w:sz w:val="20"/>
          <w:szCs w:val="20"/>
          <w:lang w:val="tr-TR"/>
        </w:rPr>
      </w:pPr>
      <w:r w:rsidRPr="00236FB9">
        <w:rPr>
          <w:noProof/>
          <w:sz w:val="20"/>
          <w:szCs w:val="20"/>
          <w:lang w:val="tr-TR"/>
        </w:rPr>
        <w:t>Telephone</w:t>
      </w:r>
      <w:r w:rsidRPr="00236FB9">
        <w:rPr>
          <w:noProof/>
          <w:sz w:val="20"/>
          <w:szCs w:val="20"/>
          <w:lang w:val="tr-TR"/>
        </w:rPr>
        <w:tab/>
      </w:r>
      <w:r w:rsidR="00FF5C76" w:rsidRPr="00236FB9">
        <w:rPr>
          <w:noProof/>
          <w:sz w:val="20"/>
          <w:szCs w:val="20"/>
          <w:lang w:val="tr-TR"/>
        </w:rPr>
        <w:tab/>
      </w:r>
      <w:r w:rsidR="00FF5C76" w:rsidRPr="00236FB9">
        <w:rPr>
          <w:noProof/>
          <w:sz w:val="20"/>
          <w:szCs w:val="20"/>
          <w:lang w:val="tr-TR"/>
        </w:rPr>
        <w:tab/>
      </w:r>
      <w:r w:rsidRPr="00236FB9">
        <w:rPr>
          <w:noProof/>
          <w:sz w:val="20"/>
          <w:szCs w:val="20"/>
          <w:lang w:val="tr-TR"/>
        </w:rPr>
        <w:t xml:space="preserve">: 0 212 315 65 00 </w:t>
      </w:r>
    </w:p>
    <w:p w14:paraId="05CF1705" w14:textId="77777777" w:rsidR="00AA06F0" w:rsidRPr="00236FB9" w:rsidRDefault="00AA06F0" w:rsidP="008D06EC">
      <w:pPr>
        <w:tabs>
          <w:tab w:val="left" w:pos="1418"/>
        </w:tabs>
        <w:spacing w:line="226" w:lineRule="auto"/>
        <w:rPr>
          <w:noProof/>
          <w:sz w:val="20"/>
          <w:szCs w:val="20"/>
          <w:lang w:val="tr-TR"/>
        </w:rPr>
      </w:pPr>
      <w:r w:rsidRPr="00236FB9">
        <w:rPr>
          <w:noProof/>
          <w:sz w:val="20"/>
          <w:szCs w:val="20"/>
          <w:lang w:val="tr-TR"/>
        </w:rPr>
        <w:t>Fax</w:t>
      </w:r>
      <w:r w:rsidRPr="00236FB9">
        <w:rPr>
          <w:noProof/>
          <w:sz w:val="20"/>
          <w:szCs w:val="20"/>
          <w:lang w:val="tr-TR"/>
        </w:rPr>
        <w:tab/>
      </w:r>
      <w:r w:rsidR="00FF5C76" w:rsidRPr="00236FB9">
        <w:rPr>
          <w:noProof/>
          <w:sz w:val="20"/>
          <w:szCs w:val="20"/>
          <w:lang w:val="tr-TR"/>
        </w:rPr>
        <w:tab/>
      </w:r>
      <w:r w:rsidR="00FF5C76" w:rsidRPr="00236FB9">
        <w:rPr>
          <w:noProof/>
          <w:sz w:val="20"/>
          <w:szCs w:val="20"/>
          <w:lang w:val="tr-TR"/>
        </w:rPr>
        <w:tab/>
      </w:r>
      <w:r w:rsidRPr="00236FB9">
        <w:rPr>
          <w:noProof/>
          <w:sz w:val="20"/>
          <w:szCs w:val="20"/>
          <w:lang w:val="tr-TR"/>
        </w:rPr>
        <w:t>: 0 212 225 76 15</w:t>
      </w:r>
    </w:p>
    <w:p w14:paraId="74B2CDD7" w14:textId="77777777" w:rsidR="00AA06F0" w:rsidRPr="00236FB9" w:rsidRDefault="00AA06F0" w:rsidP="008D06EC">
      <w:pPr>
        <w:tabs>
          <w:tab w:val="left" w:pos="1418"/>
        </w:tabs>
        <w:spacing w:line="226" w:lineRule="auto"/>
        <w:rPr>
          <w:noProof/>
          <w:sz w:val="20"/>
          <w:szCs w:val="20"/>
          <w:lang w:val="tr-TR"/>
        </w:rPr>
      </w:pPr>
      <w:r w:rsidRPr="00236FB9">
        <w:rPr>
          <w:noProof/>
          <w:sz w:val="20"/>
          <w:szCs w:val="20"/>
          <w:lang w:val="tr-TR"/>
        </w:rPr>
        <w:t>Web site</w:t>
      </w:r>
      <w:r w:rsidRPr="00236FB9">
        <w:rPr>
          <w:noProof/>
          <w:sz w:val="20"/>
          <w:szCs w:val="20"/>
          <w:lang w:val="tr-TR"/>
        </w:rPr>
        <w:tab/>
      </w:r>
      <w:r w:rsidR="00FF5C76" w:rsidRPr="00236FB9">
        <w:rPr>
          <w:noProof/>
          <w:sz w:val="20"/>
          <w:szCs w:val="20"/>
          <w:lang w:val="tr-TR"/>
        </w:rPr>
        <w:tab/>
      </w:r>
      <w:r w:rsidR="00FF5C76" w:rsidRPr="00236FB9">
        <w:rPr>
          <w:noProof/>
          <w:sz w:val="20"/>
          <w:szCs w:val="20"/>
          <w:lang w:val="tr-TR"/>
        </w:rPr>
        <w:tab/>
      </w:r>
      <w:r w:rsidRPr="00236FB9">
        <w:rPr>
          <w:noProof/>
          <w:sz w:val="20"/>
          <w:szCs w:val="20"/>
          <w:lang w:val="tr-TR"/>
        </w:rPr>
        <w:t>: www.abank.com.tr</w:t>
      </w:r>
    </w:p>
    <w:p w14:paraId="0A8FA5B3" w14:textId="77777777" w:rsidR="00AA06F0" w:rsidRPr="00604C75" w:rsidRDefault="00AA06F0" w:rsidP="008D06EC">
      <w:pPr>
        <w:tabs>
          <w:tab w:val="left" w:pos="1418"/>
        </w:tabs>
        <w:spacing w:line="226" w:lineRule="auto"/>
        <w:rPr>
          <w:noProof/>
          <w:sz w:val="20"/>
          <w:szCs w:val="20"/>
          <w:lang w:val="tr-TR"/>
        </w:rPr>
      </w:pPr>
      <w:r w:rsidRPr="00236FB9">
        <w:rPr>
          <w:noProof/>
          <w:sz w:val="20"/>
          <w:szCs w:val="20"/>
          <w:lang w:val="tr-TR"/>
        </w:rPr>
        <w:t>E-mail</w:t>
      </w:r>
      <w:r w:rsidRPr="00604C75">
        <w:rPr>
          <w:noProof/>
          <w:sz w:val="20"/>
          <w:szCs w:val="20"/>
          <w:lang w:val="tr-TR"/>
        </w:rPr>
        <w:tab/>
      </w:r>
      <w:r w:rsidR="00FF5C76" w:rsidRPr="00604C75">
        <w:rPr>
          <w:noProof/>
          <w:sz w:val="20"/>
          <w:szCs w:val="20"/>
          <w:lang w:val="tr-TR"/>
        </w:rPr>
        <w:tab/>
      </w:r>
      <w:r w:rsidR="00FF5C76" w:rsidRPr="00604C75">
        <w:rPr>
          <w:noProof/>
          <w:sz w:val="20"/>
          <w:szCs w:val="20"/>
          <w:lang w:val="tr-TR"/>
        </w:rPr>
        <w:tab/>
      </w:r>
      <w:r w:rsidRPr="00604C75">
        <w:rPr>
          <w:noProof/>
          <w:sz w:val="20"/>
          <w:szCs w:val="20"/>
          <w:lang w:val="tr-TR"/>
        </w:rPr>
        <w:t xml:space="preserve">: </w:t>
      </w:r>
      <w:r w:rsidR="002A64F1" w:rsidRPr="00604C75">
        <w:rPr>
          <w:noProof/>
          <w:sz w:val="20"/>
          <w:szCs w:val="20"/>
          <w:lang w:val="tr-TR"/>
        </w:rPr>
        <w:t xml:space="preserve">malikontrol@abank.com.tr </w:t>
      </w:r>
    </w:p>
    <w:p w14:paraId="43D4696B" w14:textId="77777777" w:rsidR="002A64F1" w:rsidRPr="00604C75" w:rsidRDefault="002A64F1" w:rsidP="008D06EC">
      <w:pPr>
        <w:tabs>
          <w:tab w:val="left" w:pos="1418"/>
        </w:tabs>
        <w:spacing w:line="226" w:lineRule="auto"/>
        <w:rPr>
          <w:noProof/>
          <w:sz w:val="20"/>
          <w:szCs w:val="20"/>
          <w:u w:val="single"/>
          <w:lang w:val="tr-TR"/>
        </w:rPr>
      </w:pPr>
    </w:p>
    <w:p w14:paraId="46DCF9D9" w14:textId="2495231A" w:rsidR="00CB7C06" w:rsidRPr="00604C75" w:rsidRDefault="00CB7C06" w:rsidP="0032757D">
      <w:pPr>
        <w:pStyle w:val="BodyText2"/>
        <w:spacing w:after="0" w:line="226" w:lineRule="auto"/>
        <w:jc w:val="both"/>
        <w:rPr>
          <w:sz w:val="20"/>
          <w:szCs w:val="20"/>
        </w:rPr>
      </w:pPr>
      <w:r w:rsidRPr="00604C75">
        <w:rPr>
          <w:sz w:val="20"/>
          <w:szCs w:val="20"/>
        </w:rPr>
        <w:t>Th</w:t>
      </w:r>
      <w:r w:rsidR="009027F0" w:rsidRPr="00604C75">
        <w:rPr>
          <w:sz w:val="20"/>
          <w:szCs w:val="20"/>
        </w:rPr>
        <w:t>e consolidated financial report</w:t>
      </w:r>
      <w:r w:rsidR="00FF5C76" w:rsidRPr="00604C75">
        <w:rPr>
          <w:sz w:val="20"/>
          <w:szCs w:val="20"/>
        </w:rPr>
        <w:t xml:space="preserve"> </w:t>
      </w:r>
      <w:r w:rsidR="00FE5AE9" w:rsidRPr="00604C75">
        <w:rPr>
          <w:sz w:val="20"/>
          <w:szCs w:val="20"/>
        </w:rPr>
        <w:t xml:space="preserve">as of and for </w:t>
      </w:r>
      <w:r w:rsidR="009027F0" w:rsidRPr="00604C75">
        <w:rPr>
          <w:sz w:val="20"/>
          <w:szCs w:val="20"/>
        </w:rPr>
        <w:t xml:space="preserve">the </w:t>
      </w:r>
      <w:r w:rsidR="00685BAD">
        <w:rPr>
          <w:sz w:val="20"/>
          <w:szCs w:val="20"/>
        </w:rPr>
        <w:t>year ended</w:t>
      </w:r>
      <w:r w:rsidR="00685BAD">
        <w:rPr>
          <w:sz w:val="22"/>
          <w:szCs w:val="22"/>
        </w:rPr>
        <w:t xml:space="preserve"> </w:t>
      </w:r>
      <w:r w:rsidR="00D405BC">
        <w:rPr>
          <w:sz w:val="20"/>
          <w:szCs w:val="20"/>
        </w:rPr>
        <w:t>3</w:t>
      </w:r>
      <w:r w:rsidR="00685BAD">
        <w:rPr>
          <w:sz w:val="20"/>
          <w:szCs w:val="20"/>
        </w:rPr>
        <w:t>1</w:t>
      </w:r>
      <w:r w:rsidR="00D405BC">
        <w:rPr>
          <w:sz w:val="20"/>
          <w:szCs w:val="20"/>
        </w:rPr>
        <w:t xml:space="preserve"> </w:t>
      </w:r>
      <w:r w:rsidR="00685BAD">
        <w:rPr>
          <w:sz w:val="20"/>
          <w:szCs w:val="20"/>
        </w:rPr>
        <w:t>December</w:t>
      </w:r>
      <w:r w:rsidR="009027F0" w:rsidRPr="00604C75">
        <w:rPr>
          <w:sz w:val="20"/>
          <w:szCs w:val="20"/>
        </w:rPr>
        <w:t xml:space="preserve"> 2015</w:t>
      </w:r>
      <w:r w:rsidR="00BF1072" w:rsidRPr="00604C75">
        <w:rPr>
          <w:sz w:val="20"/>
          <w:szCs w:val="20"/>
        </w:rPr>
        <w:t xml:space="preserve"> </w:t>
      </w:r>
      <w:r w:rsidRPr="00604C75">
        <w:rPr>
          <w:sz w:val="20"/>
          <w:szCs w:val="20"/>
        </w:rPr>
        <w:t xml:space="preserve">prepared in accordance </w:t>
      </w:r>
      <w:r w:rsidR="00BF1072" w:rsidRPr="00604C75">
        <w:rPr>
          <w:sz w:val="20"/>
          <w:szCs w:val="20"/>
        </w:rPr>
        <w:t xml:space="preserve">with the communiqué of “Financial Statements and Related Disclosures and Footnotes to be </w:t>
      </w:r>
      <w:r w:rsidR="00FC2264" w:rsidRPr="00604C75">
        <w:rPr>
          <w:sz w:val="20"/>
          <w:szCs w:val="20"/>
        </w:rPr>
        <w:t>announced</w:t>
      </w:r>
      <w:r w:rsidR="00BF1072" w:rsidRPr="00604C75">
        <w:rPr>
          <w:sz w:val="20"/>
          <w:szCs w:val="20"/>
        </w:rPr>
        <w:t xml:space="preserve"> to Public by Banks”</w:t>
      </w:r>
      <w:r w:rsidRPr="00604C75">
        <w:rPr>
          <w:sz w:val="20"/>
          <w:szCs w:val="20"/>
        </w:rPr>
        <w:t xml:space="preserve"> as regulated by the Banking Regulation and Supervision Agency, </w:t>
      </w:r>
      <w:r w:rsidR="00BF1072" w:rsidRPr="00604C75">
        <w:rPr>
          <w:sz w:val="20"/>
          <w:szCs w:val="20"/>
        </w:rPr>
        <w:t>comprises the following sections</w:t>
      </w:r>
    </w:p>
    <w:p w14:paraId="2669DAB7" w14:textId="77777777" w:rsidR="00CB7C06" w:rsidRPr="00604C75" w:rsidRDefault="00CB7C06" w:rsidP="008D06EC">
      <w:pPr>
        <w:pStyle w:val="BodyText2"/>
        <w:spacing w:after="0" w:line="226" w:lineRule="auto"/>
        <w:rPr>
          <w:sz w:val="10"/>
          <w:szCs w:val="10"/>
        </w:rPr>
      </w:pPr>
    </w:p>
    <w:p w14:paraId="45F87300" w14:textId="77777777" w:rsidR="00AA06F0" w:rsidRPr="00604C75" w:rsidRDefault="00AA06F0" w:rsidP="008D06EC">
      <w:pPr>
        <w:tabs>
          <w:tab w:val="left" w:pos="6120"/>
        </w:tabs>
        <w:suppressAutoHyphens/>
        <w:spacing w:line="226" w:lineRule="auto"/>
        <w:ind w:right="2"/>
        <w:jc w:val="both"/>
        <w:rPr>
          <w:noProof/>
          <w:sz w:val="16"/>
          <w:szCs w:val="16"/>
          <w:lang w:val="tr-TR"/>
        </w:rPr>
      </w:pPr>
    </w:p>
    <w:p w14:paraId="67609CA4" w14:textId="77777777" w:rsidR="00AA06F0" w:rsidRPr="00604C75" w:rsidRDefault="00E06945" w:rsidP="00023E18">
      <w:pPr>
        <w:numPr>
          <w:ilvl w:val="0"/>
          <w:numId w:val="1"/>
        </w:numPr>
        <w:tabs>
          <w:tab w:val="clear" w:pos="360"/>
          <w:tab w:val="left" w:pos="567"/>
          <w:tab w:val="left" w:pos="2552"/>
          <w:tab w:val="left" w:pos="2835"/>
          <w:tab w:val="left" w:pos="6120"/>
        </w:tabs>
        <w:suppressAutoHyphens/>
        <w:spacing w:line="226" w:lineRule="auto"/>
        <w:ind w:left="567" w:hanging="567"/>
        <w:jc w:val="both"/>
        <w:rPr>
          <w:bCs/>
          <w:noProof/>
          <w:sz w:val="20"/>
          <w:szCs w:val="20"/>
          <w:lang w:val="tr-TR"/>
        </w:rPr>
      </w:pPr>
      <w:r w:rsidRPr="00604C75">
        <w:rPr>
          <w:bCs/>
          <w:noProof/>
          <w:sz w:val="20"/>
          <w:szCs w:val="20"/>
          <w:lang w:val="tr-TR"/>
        </w:rPr>
        <w:t>GENERAL INFORMATION ABOUT THE</w:t>
      </w:r>
      <w:r w:rsidR="00914334" w:rsidRPr="00604C75">
        <w:rPr>
          <w:bCs/>
          <w:noProof/>
          <w:sz w:val="20"/>
          <w:szCs w:val="20"/>
          <w:lang w:val="tr-TR"/>
        </w:rPr>
        <w:t xml:space="preserve"> PARENT</w:t>
      </w:r>
      <w:r w:rsidR="00C03B27" w:rsidRPr="00604C75">
        <w:rPr>
          <w:bCs/>
          <w:noProof/>
          <w:sz w:val="20"/>
          <w:szCs w:val="20"/>
          <w:lang w:val="tr-TR"/>
        </w:rPr>
        <w:t xml:space="preserve"> BANK</w:t>
      </w:r>
    </w:p>
    <w:p w14:paraId="00663106" w14:textId="77777777" w:rsidR="00AA06F0" w:rsidRPr="00604C75" w:rsidRDefault="00AA06F0" w:rsidP="00023E18">
      <w:pPr>
        <w:numPr>
          <w:ilvl w:val="0"/>
          <w:numId w:val="1"/>
        </w:numPr>
        <w:tabs>
          <w:tab w:val="clear" w:pos="360"/>
          <w:tab w:val="left" w:pos="567"/>
          <w:tab w:val="left" w:pos="2552"/>
          <w:tab w:val="left" w:pos="2835"/>
          <w:tab w:val="left" w:pos="6120"/>
        </w:tabs>
        <w:suppressAutoHyphens/>
        <w:spacing w:line="226" w:lineRule="auto"/>
        <w:ind w:left="567" w:hanging="567"/>
        <w:jc w:val="both"/>
        <w:rPr>
          <w:bCs/>
          <w:noProof/>
          <w:sz w:val="20"/>
          <w:szCs w:val="20"/>
          <w:lang w:val="tr-TR"/>
        </w:rPr>
      </w:pPr>
      <w:r w:rsidRPr="00604C75">
        <w:rPr>
          <w:bCs/>
          <w:noProof/>
          <w:sz w:val="20"/>
          <w:szCs w:val="20"/>
          <w:lang w:val="tr-TR"/>
        </w:rPr>
        <w:t xml:space="preserve">CONSOLIDATED FINANCIAL STATEMENTS OF </w:t>
      </w:r>
      <w:r w:rsidR="00986D71" w:rsidRPr="00604C75">
        <w:rPr>
          <w:bCs/>
          <w:noProof/>
          <w:sz w:val="20"/>
          <w:szCs w:val="20"/>
          <w:lang w:val="tr-TR"/>
        </w:rPr>
        <w:t xml:space="preserve">THE PARENT </w:t>
      </w:r>
      <w:r w:rsidR="00C03B27" w:rsidRPr="00604C75">
        <w:rPr>
          <w:bCs/>
          <w:noProof/>
          <w:sz w:val="20"/>
          <w:szCs w:val="20"/>
          <w:lang w:val="tr-TR"/>
        </w:rPr>
        <w:t>BANK</w:t>
      </w:r>
    </w:p>
    <w:p w14:paraId="6B7366CE" w14:textId="77777777" w:rsidR="00462B27" w:rsidRPr="00604C75" w:rsidRDefault="00BF1072" w:rsidP="00023E18">
      <w:pPr>
        <w:numPr>
          <w:ilvl w:val="0"/>
          <w:numId w:val="1"/>
        </w:numPr>
        <w:tabs>
          <w:tab w:val="clear" w:pos="360"/>
          <w:tab w:val="left" w:pos="567"/>
          <w:tab w:val="left" w:pos="2552"/>
          <w:tab w:val="left" w:pos="2835"/>
          <w:tab w:val="left" w:pos="6120"/>
        </w:tabs>
        <w:suppressAutoHyphens/>
        <w:spacing w:line="226" w:lineRule="auto"/>
        <w:ind w:left="567" w:hanging="567"/>
        <w:jc w:val="both"/>
        <w:rPr>
          <w:bCs/>
          <w:noProof/>
          <w:sz w:val="20"/>
          <w:szCs w:val="20"/>
          <w:lang w:val="tr-TR"/>
        </w:rPr>
      </w:pPr>
      <w:r w:rsidRPr="00604C75">
        <w:rPr>
          <w:bCs/>
          <w:noProof/>
          <w:sz w:val="20"/>
          <w:szCs w:val="20"/>
          <w:lang w:val="tr-TR"/>
        </w:rPr>
        <w:t xml:space="preserve">EXPLANATIONS ON THE ACCOUNTING POLICIES APPLIED IN THE CURRENT PERIOD </w:t>
      </w:r>
    </w:p>
    <w:p w14:paraId="453BCC72" w14:textId="77777777" w:rsidR="00AA06F0" w:rsidRPr="00604C75" w:rsidRDefault="00AA06F0" w:rsidP="00023E18">
      <w:pPr>
        <w:numPr>
          <w:ilvl w:val="0"/>
          <w:numId w:val="1"/>
        </w:numPr>
        <w:tabs>
          <w:tab w:val="clear" w:pos="360"/>
          <w:tab w:val="left" w:pos="567"/>
          <w:tab w:val="left" w:pos="2552"/>
          <w:tab w:val="left" w:pos="2835"/>
          <w:tab w:val="left" w:pos="6120"/>
        </w:tabs>
        <w:suppressAutoHyphens/>
        <w:spacing w:line="226" w:lineRule="auto"/>
        <w:ind w:left="567" w:hanging="567"/>
        <w:jc w:val="both"/>
        <w:rPr>
          <w:bCs/>
          <w:noProof/>
          <w:sz w:val="20"/>
          <w:szCs w:val="20"/>
          <w:lang w:val="tr-TR"/>
        </w:rPr>
      </w:pPr>
      <w:r w:rsidRPr="00604C75">
        <w:rPr>
          <w:bCs/>
          <w:noProof/>
          <w:sz w:val="20"/>
          <w:szCs w:val="20"/>
          <w:lang w:val="tr-TR"/>
        </w:rPr>
        <w:t xml:space="preserve">INFORMATION </w:t>
      </w:r>
      <w:r w:rsidR="00462B27" w:rsidRPr="00604C75">
        <w:rPr>
          <w:bCs/>
          <w:noProof/>
          <w:sz w:val="20"/>
          <w:szCs w:val="20"/>
          <w:lang w:val="tr-TR"/>
        </w:rPr>
        <w:t>ON THE</w:t>
      </w:r>
      <w:r w:rsidRPr="00604C75">
        <w:rPr>
          <w:bCs/>
          <w:noProof/>
          <w:sz w:val="20"/>
          <w:szCs w:val="20"/>
          <w:lang w:val="tr-TR"/>
        </w:rPr>
        <w:t xml:space="preserve"> FINANCIAL POSITION OF THE </w:t>
      </w:r>
      <w:r w:rsidR="00986D71" w:rsidRPr="00604C75">
        <w:rPr>
          <w:bCs/>
          <w:noProof/>
          <w:sz w:val="20"/>
          <w:szCs w:val="20"/>
          <w:lang w:val="tr-TR"/>
        </w:rPr>
        <w:t>GROUP</w:t>
      </w:r>
    </w:p>
    <w:p w14:paraId="221F10F3" w14:textId="77777777" w:rsidR="00462B27" w:rsidRPr="00604C75" w:rsidRDefault="00462B27" w:rsidP="00023E18">
      <w:pPr>
        <w:numPr>
          <w:ilvl w:val="0"/>
          <w:numId w:val="1"/>
        </w:numPr>
        <w:tabs>
          <w:tab w:val="clear" w:pos="360"/>
          <w:tab w:val="left" w:pos="567"/>
          <w:tab w:val="left" w:pos="2552"/>
          <w:tab w:val="left" w:pos="2835"/>
          <w:tab w:val="left" w:pos="6120"/>
        </w:tabs>
        <w:suppressAutoHyphens/>
        <w:spacing w:line="226" w:lineRule="auto"/>
        <w:ind w:left="567" w:hanging="567"/>
        <w:jc w:val="both"/>
        <w:rPr>
          <w:bCs/>
          <w:noProof/>
          <w:sz w:val="20"/>
          <w:szCs w:val="20"/>
          <w:lang w:val="tr-TR"/>
        </w:rPr>
      </w:pPr>
      <w:r w:rsidRPr="00604C75">
        <w:rPr>
          <w:bCs/>
          <w:noProof/>
          <w:sz w:val="20"/>
          <w:szCs w:val="20"/>
          <w:lang w:val="tr-TR"/>
        </w:rPr>
        <w:t xml:space="preserve">DISCLOSURES AND FOOTNOTES ON THE CONSOLIDATED FINANCIAL STATEMENTS </w:t>
      </w:r>
    </w:p>
    <w:p w14:paraId="1CDA0475" w14:textId="77777777" w:rsidR="00AA06F0" w:rsidRPr="00604C75" w:rsidRDefault="00AA06F0" w:rsidP="00023E18">
      <w:pPr>
        <w:numPr>
          <w:ilvl w:val="0"/>
          <w:numId w:val="1"/>
        </w:numPr>
        <w:tabs>
          <w:tab w:val="clear" w:pos="360"/>
          <w:tab w:val="left" w:pos="567"/>
          <w:tab w:val="left" w:pos="2552"/>
          <w:tab w:val="left" w:pos="2835"/>
          <w:tab w:val="left" w:pos="6120"/>
        </w:tabs>
        <w:suppressAutoHyphens/>
        <w:spacing w:line="226" w:lineRule="auto"/>
        <w:ind w:left="567" w:hanging="567"/>
        <w:jc w:val="both"/>
        <w:rPr>
          <w:bCs/>
          <w:noProof/>
          <w:sz w:val="20"/>
          <w:szCs w:val="20"/>
          <w:lang w:val="tr-TR"/>
        </w:rPr>
      </w:pPr>
      <w:r w:rsidRPr="00604C75">
        <w:rPr>
          <w:bCs/>
          <w:noProof/>
          <w:sz w:val="20"/>
          <w:szCs w:val="20"/>
          <w:lang w:val="tr-TR"/>
        </w:rPr>
        <w:t>OTHER EXPLANATIONS</w:t>
      </w:r>
      <w:r w:rsidR="00E06945" w:rsidRPr="00604C75">
        <w:rPr>
          <w:bCs/>
          <w:noProof/>
          <w:sz w:val="20"/>
          <w:szCs w:val="20"/>
          <w:lang w:val="tr-TR"/>
        </w:rPr>
        <w:t xml:space="preserve"> AND FOOTNOTES</w:t>
      </w:r>
    </w:p>
    <w:p w14:paraId="72E9CF99" w14:textId="3341A4FD" w:rsidR="009027F0" w:rsidRPr="00604C75" w:rsidRDefault="001F3D4E" w:rsidP="00023E18">
      <w:pPr>
        <w:numPr>
          <w:ilvl w:val="0"/>
          <w:numId w:val="1"/>
        </w:numPr>
        <w:tabs>
          <w:tab w:val="clear" w:pos="360"/>
          <w:tab w:val="left" w:pos="567"/>
          <w:tab w:val="left" w:pos="2552"/>
          <w:tab w:val="left" w:pos="2835"/>
          <w:tab w:val="left" w:pos="6120"/>
        </w:tabs>
        <w:suppressAutoHyphens/>
        <w:spacing w:line="226" w:lineRule="auto"/>
        <w:ind w:left="567" w:hanging="567"/>
        <w:jc w:val="both"/>
        <w:rPr>
          <w:bCs/>
          <w:noProof/>
          <w:sz w:val="22"/>
          <w:szCs w:val="22"/>
          <w:lang w:val="tr-TR"/>
        </w:rPr>
      </w:pPr>
      <w:r>
        <w:rPr>
          <w:bCs/>
          <w:noProof/>
          <w:sz w:val="20"/>
          <w:szCs w:val="20"/>
          <w:lang w:val="tr-TR"/>
        </w:rPr>
        <w:t xml:space="preserve">DISCLOSURES RELATED TO </w:t>
      </w:r>
      <w:r w:rsidR="006956DC" w:rsidRPr="00604C75">
        <w:rPr>
          <w:bCs/>
          <w:noProof/>
          <w:sz w:val="20"/>
          <w:szCs w:val="20"/>
          <w:lang w:val="tr-TR"/>
        </w:rPr>
        <w:t>INDEPENDENT AUDITORS’ REPORT</w:t>
      </w:r>
    </w:p>
    <w:p w14:paraId="0ECE0B49" w14:textId="77777777" w:rsidR="00AA06F0" w:rsidRPr="00604C75" w:rsidRDefault="00AA06F0" w:rsidP="008D06EC">
      <w:pPr>
        <w:spacing w:line="226" w:lineRule="auto"/>
        <w:rPr>
          <w:noProof/>
          <w:sz w:val="16"/>
          <w:szCs w:val="16"/>
          <w:lang w:val="tr-TR"/>
        </w:rPr>
      </w:pPr>
    </w:p>
    <w:p w14:paraId="119395D0" w14:textId="77777777" w:rsidR="00462B27" w:rsidRPr="00604C75" w:rsidRDefault="00462B27" w:rsidP="00462B27">
      <w:pPr>
        <w:tabs>
          <w:tab w:val="left" w:pos="2880"/>
          <w:tab w:val="left" w:pos="3060"/>
          <w:tab w:val="left" w:pos="6120"/>
        </w:tabs>
        <w:suppressAutoHyphens/>
        <w:jc w:val="both"/>
        <w:rPr>
          <w:sz w:val="20"/>
          <w:szCs w:val="20"/>
        </w:rPr>
      </w:pPr>
      <w:r w:rsidRPr="00604C75">
        <w:rPr>
          <w:sz w:val="20"/>
          <w:szCs w:val="20"/>
        </w:rPr>
        <w:t xml:space="preserve">Associates, subsidiaries and special </w:t>
      </w:r>
      <w:r w:rsidR="007A5945" w:rsidRPr="00604C75">
        <w:rPr>
          <w:sz w:val="20"/>
          <w:szCs w:val="20"/>
        </w:rPr>
        <w:t>p</w:t>
      </w:r>
      <w:r w:rsidRPr="00604C75">
        <w:rPr>
          <w:sz w:val="20"/>
          <w:szCs w:val="20"/>
        </w:rPr>
        <w:t xml:space="preserve">urpose </w:t>
      </w:r>
      <w:r w:rsidR="007A5945" w:rsidRPr="00604C75">
        <w:rPr>
          <w:sz w:val="20"/>
          <w:szCs w:val="20"/>
        </w:rPr>
        <w:t>e</w:t>
      </w:r>
      <w:r w:rsidRPr="00604C75">
        <w:rPr>
          <w:sz w:val="20"/>
          <w:szCs w:val="20"/>
        </w:rPr>
        <w:t>ntities whose financial statements have been consolidated in the consolidated financial report are as follows:</w:t>
      </w:r>
    </w:p>
    <w:p w14:paraId="65E6F911" w14:textId="77777777" w:rsidR="00462B27" w:rsidRPr="00604C75" w:rsidRDefault="00462B27" w:rsidP="00462B27">
      <w:pPr>
        <w:tabs>
          <w:tab w:val="left" w:pos="2880"/>
          <w:tab w:val="left" w:pos="3060"/>
          <w:tab w:val="left" w:pos="6120"/>
        </w:tabs>
        <w:suppressAutoHyphens/>
        <w:jc w:val="both"/>
        <w:rPr>
          <w:sz w:val="20"/>
          <w:szCs w:val="20"/>
        </w:rPr>
      </w:pPr>
    </w:p>
    <w:p w14:paraId="68EDFD54" w14:textId="77777777" w:rsidR="00462B27" w:rsidRPr="00604C75" w:rsidRDefault="00ED4A1B" w:rsidP="00462B27">
      <w:pPr>
        <w:tabs>
          <w:tab w:val="left" w:pos="2880"/>
          <w:tab w:val="left" w:pos="3060"/>
          <w:tab w:val="left" w:pos="6120"/>
        </w:tabs>
        <w:suppressAutoHyphens/>
        <w:jc w:val="both"/>
        <w:rPr>
          <w:b/>
          <w:sz w:val="20"/>
          <w:szCs w:val="20"/>
        </w:rPr>
      </w:pPr>
      <w:r w:rsidRPr="00604C75">
        <w:rPr>
          <w:b/>
          <w:sz w:val="20"/>
          <w:szCs w:val="20"/>
        </w:rPr>
        <w:t>Subsidiaries</w:t>
      </w:r>
      <w:r w:rsidR="00462B27" w:rsidRPr="00604C75">
        <w:rPr>
          <w:b/>
          <w:sz w:val="20"/>
          <w:szCs w:val="20"/>
        </w:rPr>
        <w:t>:</w:t>
      </w:r>
    </w:p>
    <w:p w14:paraId="0D1C7EE6" w14:textId="77777777" w:rsidR="00462B27" w:rsidRPr="00604C75" w:rsidRDefault="00462B27" w:rsidP="00462B27">
      <w:pPr>
        <w:tabs>
          <w:tab w:val="left" w:pos="2880"/>
          <w:tab w:val="left" w:pos="3060"/>
          <w:tab w:val="left" w:pos="6120"/>
        </w:tabs>
        <w:suppressAutoHyphens/>
        <w:jc w:val="both"/>
        <w:rPr>
          <w:sz w:val="20"/>
          <w:szCs w:val="20"/>
        </w:rPr>
      </w:pPr>
    </w:p>
    <w:p w14:paraId="193CE8F1" w14:textId="77777777" w:rsidR="00462B27" w:rsidRPr="00604C75" w:rsidRDefault="00462B27" w:rsidP="00462B27">
      <w:pPr>
        <w:tabs>
          <w:tab w:val="left" w:pos="567"/>
          <w:tab w:val="left" w:pos="2880"/>
          <w:tab w:val="left" w:pos="3060"/>
          <w:tab w:val="left" w:pos="6120"/>
        </w:tabs>
        <w:suppressAutoHyphens/>
        <w:ind w:left="567" w:hanging="567"/>
        <w:jc w:val="both"/>
        <w:rPr>
          <w:sz w:val="20"/>
          <w:szCs w:val="20"/>
        </w:rPr>
      </w:pPr>
      <w:r w:rsidRPr="00604C75">
        <w:rPr>
          <w:sz w:val="20"/>
          <w:szCs w:val="20"/>
        </w:rPr>
        <w:t>1.</w:t>
      </w:r>
      <w:r w:rsidRPr="00604C75">
        <w:rPr>
          <w:sz w:val="20"/>
          <w:szCs w:val="20"/>
        </w:rPr>
        <w:tab/>
      </w:r>
      <w:proofErr w:type="spellStart"/>
      <w:r w:rsidRPr="00604C75">
        <w:rPr>
          <w:sz w:val="20"/>
          <w:szCs w:val="20"/>
        </w:rPr>
        <w:t>Alternatif</w:t>
      </w:r>
      <w:proofErr w:type="spellEnd"/>
      <w:r w:rsidRPr="00604C75">
        <w:rPr>
          <w:sz w:val="20"/>
          <w:szCs w:val="20"/>
        </w:rPr>
        <w:t xml:space="preserve"> </w:t>
      </w:r>
      <w:proofErr w:type="spellStart"/>
      <w:r w:rsidRPr="00604C75">
        <w:rPr>
          <w:sz w:val="20"/>
          <w:szCs w:val="20"/>
        </w:rPr>
        <w:t>Yatırım</w:t>
      </w:r>
      <w:proofErr w:type="spellEnd"/>
      <w:r w:rsidRPr="00604C75">
        <w:rPr>
          <w:sz w:val="20"/>
          <w:szCs w:val="20"/>
        </w:rPr>
        <w:t xml:space="preserve"> A.Ş. </w:t>
      </w:r>
    </w:p>
    <w:p w14:paraId="50C11F8B" w14:textId="77777777" w:rsidR="00462B27" w:rsidRPr="00604C75" w:rsidRDefault="00462B27" w:rsidP="00462B27">
      <w:pPr>
        <w:tabs>
          <w:tab w:val="left" w:pos="567"/>
          <w:tab w:val="left" w:pos="2880"/>
          <w:tab w:val="left" w:pos="3060"/>
          <w:tab w:val="left" w:pos="6120"/>
        </w:tabs>
        <w:suppressAutoHyphens/>
        <w:ind w:left="567" w:hanging="567"/>
        <w:jc w:val="both"/>
        <w:rPr>
          <w:sz w:val="20"/>
          <w:szCs w:val="20"/>
        </w:rPr>
      </w:pPr>
      <w:r w:rsidRPr="00604C75">
        <w:rPr>
          <w:sz w:val="20"/>
          <w:szCs w:val="20"/>
        </w:rPr>
        <w:t>2.</w:t>
      </w:r>
      <w:r w:rsidRPr="00604C75">
        <w:rPr>
          <w:sz w:val="20"/>
          <w:szCs w:val="20"/>
        </w:rPr>
        <w:tab/>
      </w:r>
      <w:proofErr w:type="spellStart"/>
      <w:r w:rsidRPr="00604C75">
        <w:rPr>
          <w:sz w:val="20"/>
          <w:szCs w:val="20"/>
        </w:rPr>
        <w:t>Alternatif</w:t>
      </w:r>
      <w:proofErr w:type="spellEnd"/>
      <w:r w:rsidRPr="00604C75">
        <w:rPr>
          <w:sz w:val="20"/>
          <w:szCs w:val="20"/>
        </w:rPr>
        <w:t xml:space="preserve"> </w:t>
      </w:r>
      <w:proofErr w:type="spellStart"/>
      <w:r w:rsidRPr="00604C75">
        <w:rPr>
          <w:sz w:val="20"/>
          <w:szCs w:val="20"/>
        </w:rPr>
        <w:t>Finansal</w:t>
      </w:r>
      <w:proofErr w:type="spellEnd"/>
      <w:r w:rsidRPr="00604C75">
        <w:rPr>
          <w:sz w:val="20"/>
          <w:szCs w:val="20"/>
        </w:rPr>
        <w:t xml:space="preserve"> </w:t>
      </w:r>
      <w:proofErr w:type="spellStart"/>
      <w:r w:rsidRPr="00604C75">
        <w:rPr>
          <w:sz w:val="20"/>
          <w:szCs w:val="20"/>
        </w:rPr>
        <w:t>Kiralama</w:t>
      </w:r>
      <w:proofErr w:type="spellEnd"/>
      <w:r w:rsidRPr="00604C75">
        <w:rPr>
          <w:sz w:val="20"/>
          <w:szCs w:val="20"/>
        </w:rPr>
        <w:t xml:space="preserve"> A.Ş.</w:t>
      </w:r>
    </w:p>
    <w:p w14:paraId="1BE407F7" w14:textId="77777777" w:rsidR="00462B27" w:rsidRPr="00604C75" w:rsidRDefault="00462B27" w:rsidP="008D06EC">
      <w:pPr>
        <w:tabs>
          <w:tab w:val="left" w:pos="567"/>
          <w:tab w:val="left" w:pos="2880"/>
          <w:tab w:val="left" w:pos="3060"/>
          <w:tab w:val="left" w:pos="6120"/>
        </w:tabs>
        <w:suppressAutoHyphens/>
        <w:spacing w:line="226" w:lineRule="auto"/>
        <w:ind w:left="567" w:hanging="567"/>
        <w:jc w:val="both"/>
        <w:rPr>
          <w:sz w:val="20"/>
          <w:szCs w:val="20"/>
          <w:lang w:val="de-DE"/>
        </w:rPr>
      </w:pPr>
    </w:p>
    <w:p w14:paraId="16125ADC" w14:textId="42A56D95" w:rsidR="002A20AD" w:rsidRPr="00604C75" w:rsidRDefault="002A20AD" w:rsidP="008D06EC">
      <w:pPr>
        <w:spacing w:line="226" w:lineRule="auto"/>
        <w:jc w:val="both"/>
        <w:rPr>
          <w:noProof/>
          <w:sz w:val="20"/>
          <w:szCs w:val="20"/>
          <w:lang w:val="tr-TR"/>
        </w:rPr>
      </w:pPr>
      <w:r w:rsidRPr="00604C75">
        <w:rPr>
          <w:noProof/>
          <w:sz w:val="22"/>
          <w:szCs w:val="22"/>
          <w:lang w:val="tr-TR"/>
        </w:rPr>
        <w:t>The</w:t>
      </w:r>
      <w:r w:rsidRPr="00604C75">
        <w:rPr>
          <w:noProof/>
          <w:sz w:val="20"/>
          <w:szCs w:val="20"/>
          <w:lang w:val="tr-TR"/>
        </w:rPr>
        <w:t xml:space="preserve"> accompanying consolidated financial statements and notes to these financial statements which are expressed, unless otherwise stated, </w:t>
      </w:r>
      <w:r w:rsidRPr="00604C75">
        <w:rPr>
          <w:b/>
          <w:noProof/>
          <w:sz w:val="20"/>
          <w:szCs w:val="20"/>
          <w:lang w:val="tr-TR"/>
        </w:rPr>
        <w:t>in thousands of Turkish Lira</w:t>
      </w:r>
      <w:r w:rsidR="003E7386" w:rsidRPr="00604C75">
        <w:rPr>
          <w:b/>
          <w:noProof/>
          <w:sz w:val="20"/>
          <w:szCs w:val="20"/>
          <w:lang w:val="tr-TR"/>
        </w:rPr>
        <w:t xml:space="preserve"> (TL) </w:t>
      </w:r>
      <w:r w:rsidRPr="00604C75">
        <w:rPr>
          <w:noProof/>
          <w:sz w:val="20"/>
          <w:szCs w:val="20"/>
          <w:lang w:val="tr-TR"/>
        </w:rPr>
        <w:t xml:space="preserve">, have been prepared and presented based on the accounting books of the Bank in accordance with the Regulation on Accounting Applications for Banks and Safeguarding of Documents, Turkish Accounting Standards, Turkish Financial Reporting Standards, and related appendices and interpretations of these, and have been independently </w:t>
      </w:r>
      <w:r w:rsidR="00F2317D" w:rsidRPr="007C0BA6">
        <w:rPr>
          <w:noProof/>
          <w:sz w:val="20"/>
          <w:szCs w:val="20"/>
          <w:lang w:val="tr-TR"/>
        </w:rPr>
        <w:t>audited</w:t>
      </w:r>
      <w:r w:rsidR="00F2317D">
        <w:rPr>
          <w:noProof/>
          <w:sz w:val="20"/>
          <w:szCs w:val="20"/>
          <w:lang w:val="tr-TR"/>
        </w:rPr>
        <w:t xml:space="preserve"> </w:t>
      </w:r>
      <w:r w:rsidR="00366934" w:rsidRPr="00604C75">
        <w:rPr>
          <w:noProof/>
          <w:sz w:val="20"/>
          <w:szCs w:val="20"/>
          <w:lang w:val="tr-TR"/>
        </w:rPr>
        <w:t>and presented as attached</w:t>
      </w:r>
      <w:r w:rsidRPr="00604C75">
        <w:rPr>
          <w:noProof/>
          <w:sz w:val="20"/>
          <w:szCs w:val="20"/>
          <w:lang w:val="tr-TR"/>
        </w:rPr>
        <w:t>.</w:t>
      </w:r>
      <w:r w:rsidR="009C0DFC" w:rsidRPr="009C0DFC">
        <w:rPr>
          <w:noProof/>
          <w:sz w:val="20"/>
          <w:szCs w:val="20"/>
          <w:lang w:val="tr-TR"/>
        </w:rPr>
        <w:t xml:space="preserve"> </w:t>
      </w:r>
      <w:r w:rsidR="009C0DFC" w:rsidRPr="00765DCB">
        <w:rPr>
          <w:noProof/>
          <w:sz w:val="20"/>
          <w:szCs w:val="20"/>
          <w:lang w:val="tr-TR"/>
        </w:rPr>
        <w:t>Unless otherwise stated, the accompanying unconsolidated financial report presented in thousands of Turkish Lira (TL) and has been subjected to independent audit report as attached.</w:t>
      </w:r>
    </w:p>
    <w:p w14:paraId="59347260" w14:textId="77777777" w:rsidR="002A20AD" w:rsidRPr="00604C75" w:rsidRDefault="002A20AD" w:rsidP="008D06EC">
      <w:pPr>
        <w:spacing w:line="226" w:lineRule="auto"/>
        <w:jc w:val="both"/>
        <w:rPr>
          <w:noProof/>
          <w:sz w:val="20"/>
          <w:szCs w:val="20"/>
          <w:lang w:val="tr-TR"/>
        </w:rPr>
      </w:pPr>
    </w:p>
    <w:p w14:paraId="4C14BF84" w14:textId="77777777" w:rsidR="002A20AD" w:rsidRPr="00604C75" w:rsidRDefault="002A20AD" w:rsidP="008D06EC">
      <w:pPr>
        <w:spacing w:line="226" w:lineRule="auto"/>
        <w:rPr>
          <w:sz w:val="22"/>
          <w:szCs w:val="22"/>
        </w:rPr>
      </w:pPr>
    </w:p>
    <w:tbl>
      <w:tblPr>
        <w:tblW w:w="0" w:type="auto"/>
        <w:tblInd w:w="108" w:type="dxa"/>
        <w:tblLook w:val="01E0" w:firstRow="1" w:lastRow="1" w:firstColumn="1" w:lastColumn="1" w:noHBand="0" w:noVBand="0"/>
      </w:tblPr>
      <w:tblGrid>
        <w:gridCol w:w="2377"/>
        <w:gridCol w:w="2370"/>
        <w:gridCol w:w="2346"/>
        <w:gridCol w:w="2370"/>
      </w:tblGrid>
      <w:tr w:rsidR="00CB7C06" w:rsidRPr="00604C75" w14:paraId="5A833274" w14:textId="77777777" w:rsidTr="005A22DE">
        <w:tc>
          <w:tcPr>
            <w:tcW w:w="2622" w:type="dxa"/>
          </w:tcPr>
          <w:p w14:paraId="53040158" w14:textId="77777777" w:rsidR="002A20AD" w:rsidRPr="00604C75" w:rsidRDefault="002A20AD" w:rsidP="008D06EC">
            <w:pPr>
              <w:spacing w:line="226" w:lineRule="auto"/>
              <w:jc w:val="center"/>
              <w:rPr>
                <w:sz w:val="20"/>
                <w:szCs w:val="20"/>
              </w:rPr>
            </w:pPr>
            <w:proofErr w:type="spellStart"/>
            <w:r w:rsidRPr="00604C75">
              <w:rPr>
                <w:sz w:val="20"/>
                <w:szCs w:val="20"/>
              </w:rPr>
              <w:t>Tuncay</w:t>
            </w:r>
            <w:proofErr w:type="spellEnd"/>
            <w:r w:rsidRPr="00604C75">
              <w:rPr>
                <w:sz w:val="20"/>
                <w:szCs w:val="20"/>
              </w:rPr>
              <w:t xml:space="preserve"> </w:t>
            </w:r>
            <w:proofErr w:type="spellStart"/>
            <w:r w:rsidRPr="00604C75">
              <w:rPr>
                <w:sz w:val="20"/>
                <w:szCs w:val="20"/>
              </w:rPr>
              <w:t>Özilhan</w:t>
            </w:r>
            <w:proofErr w:type="spellEnd"/>
          </w:p>
        </w:tc>
        <w:tc>
          <w:tcPr>
            <w:tcW w:w="2623" w:type="dxa"/>
          </w:tcPr>
          <w:p w14:paraId="5BB4775E" w14:textId="77777777" w:rsidR="002A20AD" w:rsidRPr="00604C75" w:rsidRDefault="00A1125F" w:rsidP="008D06EC">
            <w:pPr>
              <w:spacing w:line="226" w:lineRule="auto"/>
              <w:jc w:val="center"/>
              <w:rPr>
                <w:sz w:val="20"/>
                <w:szCs w:val="20"/>
              </w:rPr>
            </w:pPr>
            <w:proofErr w:type="spellStart"/>
            <w:r w:rsidRPr="00604C75">
              <w:rPr>
                <w:sz w:val="20"/>
                <w:szCs w:val="20"/>
              </w:rPr>
              <w:t>Meriç</w:t>
            </w:r>
            <w:proofErr w:type="spellEnd"/>
            <w:r w:rsidRPr="00604C75">
              <w:rPr>
                <w:sz w:val="20"/>
                <w:szCs w:val="20"/>
              </w:rPr>
              <w:t xml:space="preserve"> </w:t>
            </w:r>
            <w:proofErr w:type="spellStart"/>
            <w:r w:rsidRPr="00604C75">
              <w:rPr>
                <w:sz w:val="20"/>
                <w:szCs w:val="20"/>
              </w:rPr>
              <w:t>Uluşahin</w:t>
            </w:r>
            <w:proofErr w:type="spellEnd"/>
          </w:p>
        </w:tc>
        <w:tc>
          <w:tcPr>
            <w:tcW w:w="2622" w:type="dxa"/>
          </w:tcPr>
          <w:p w14:paraId="3554284B" w14:textId="77777777" w:rsidR="002A20AD" w:rsidRPr="00604C75" w:rsidRDefault="00A1125F" w:rsidP="008D06EC">
            <w:pPr>
              <w:spacing w:line="226" w:lineRule="auto"/>
              <w:jc w:val="center"/>
              <w:rPr>
                <w:sz w:val="20"/>
                <w:szCs w:val="20"/>
              </w:rPr>
            </w:pPr>
            <w:proofErr w:type="spellStart"/>
            <w:r w:rsidRPr="00604C75">
              <w:rPr>
                <w:sz w:val="20"/>
                <w:szCs w:val="20"/>
              </w:rPr>
              <w:t>Müge</w:t>
            </w:r>
            <w:proofErr w:type="spellEnd"/>
            <w:r w:rsidRPr="00604C75">
              <w:rPr>
                <w:sz w:val="20"/>
                <w:szCs w:val="20"/>
              </w:rPr>
              <w:t xml:space="preserve"> </w:t>
            </w:r>
            <w:proofErr w:type="spellStart"/>
            <w:r w:rsidRPr="00604C75">
              <w:rPr>
                <w:sz w:val="20"/>
                <w:szCs w:val="20"/>
              </w:rPr>
              <w:t>Öner</w:t>
            </w:r>
            <w:proofErr w:type="spellEnd"/>
          </w:p>
        </w:tc>
        <w:tc>
          <w:tcPr>
            <w:tcW w:w="2623" w:type="dxa"/>
          </w:tcPr>
          <w:p w14:paraId="789A823C" w14:textId="77777777" w:rsidR="002A20AD" w:rsidRPr="00604C75" w:rsidRDefault="00A1125F" w:rsidP="008D06EC">
            <w:pPr>
              <w:spacing w:line="226" w:lineRule="auto"/>
              <w:jc w:val="center"/>
              <w:rPr>
                <w:sz w:val="20"/>
                <w:szCs w:val="20"/>
              </w:rPr>
            </w:pPr>
            <w:proofErr w:type="spellStart"/>
            <w:r w:rsidRPr="00604C75">
              <w:rPr>
                <w:sz w:val="20"/>
                <w:szCs w:val="20"/>
              </w:rPr>
              <w:t>Kağan</w:t>
            </w:r>
            <w:proofErr w:type="spellEnd"/>
            <w:r w:rsidRPr="00604C75">
              <w:rPr>
                <w:sz w:val="20"/>
                <w:szCs w:val="20"/>
              </w:rPr>
              <w:t xml:space="preserve"> </w:t>
            </w:r>
            <w:proofErr w:type="spellStart"/>
            <w:r w:rsidRPr="00604C75">
              <w:rPr>
                <w:sz w:val="20"/>
                <w:szCs w:val="20"/>
              </w:rPr>
              <w:t>Gündüz</w:t>
            </w:r>
            <w:proofErr w:type="spellEnd"/>
          </w:p>
        </w:tc>
      </w:tr>
      <w:tr w:rsidR="00CB7C06" w:rsidRPr="00604C75" w14:paraId="4A063C62" w14:textId="77777777" w:rsidTr="005A22DE">
        <w:tc>
          <w:tcPr>
            <w:tcW w:w="2622" w:type="dxa"/>
          </w:tcPr>
          <w:p w14:paraId="76337350" w14:textId="77777777" w:rsidR="002A20AD" w:rsidRPr="00604C75" w:rsidRDefault="002A20AD" w:rsidP="008D06EC">
            <w:pPr>
              <w:spacing w:line="226" w:lineRule="auto"/>
              <w:jc w:val="center"/>
              <w:rPr>
                <w:sz w:val="20"/>
                <w:szCs w:val="20"/>
              </w:rPr>
            </w:pPr>
            <w:r w:rsidRPr="00604C75">
              <w:rPr>
                <w:sz w:val="20"/>
                <w:szCs w:val="20"/>
              </w:rPr>
              <w:t xml:space="preserve">Chairman of the Board </w:t>
            </w:r>
          </w:p>
          <w:p w14:paraId="2EDBC8D6" w14:textId="77777777" w:rsidR="002A20AD" w:rsidRPr="00604C75" w:rsidRDefault="002A20AD" w:rsidP="008D06EC">
            <w:pPr>
              <w:spacing w:line="226" w:lineRule="auto"/>
              <w:jc w:val="center"/>
              <w:rPr>
                <w:sz w:val="20"/>
                <w:szCs w:val="20"/>
              </w:rPr>
            </w:pPr>
            <w:r w:rsidRPr="00604C75">
              <w:rPr>
                <w:sz w:val="20"/>
                <w:szCs w:val="20"/>
              </w:rPr>
              <w:t>of Directors</w:t>
            </w:r>
          </w:p>
          <w:p w14:paraId="40B48E7D" w14:textId="77777777" w:rsidR="002A20AD" w:rsidRPr="00604C75" w:rsidRDefault="002A20AD" w:rsidP="008D06EC">
            <w:pPr>
              <w:spacing w:line="226" w:lineRule="auto"/>
              <w:jc w:val="center"/>
              <w:rPr>
                <w:sz w:val="20"/>
                <w:szCs w:val="20"/>
              </w:rPr>
            </w:pPr>
          </w:p>
        </w:tc>
        <w:tc>
          <w:tcPr>
            <w:tcW w:w="2623" w:type="dxa"/>
          </w:tcPr>
          <w:p w14:paraId="69CB1598" w14:textId="77777777" w:rsidR="002A20AD" w:rsidRPr="00604C75" w:rsidRDefault="002A20AD" w:rsidP="008D06EC">
            <w:pPr>
              <w:spacing w:line="226" w:lineRule="auto"/>
              <w:jc w:val="center"/>
              <w:rPr>
                <w:sz w:val="20"/>
                <w:szCs w:val="20"/>
              </w:rPr>
            </w:pPr>
            <w:r w:rsidRPr="00604C75">
              <w:rPr>
                <w:sz w:val="20"/>
                <w:szCs w:val="20"/>
              </w:rPr>
              <w:t>Member of</w:t>
            </w:r>
            <w:r w:rsidR="007C69CC" w:rsidRPr="00604C75">
              <w:rPr>
                <w:sz w:val="20"/>
                <w:szCs w:val="20"/>
              </w:rPr>
              <w:t xml:space="preserve"> Board of Directors and </w:t>
            </w:r>
            <w:r w:rsidRPr="00604C75">
              <w:rPr>
                <w:sz w:val="20"/>
                <w:szCs w:val="20"/>
              </w:rPr>
              <w:t>General Manager</w:t>
            </w:r>
          </w:p>
        </w:tc>
        <w:tc>
          <w:tcPr>
            <w:tcW w:w="2622" w:type="dxa"/>
          </w:tcPr>
          <w:p w14:paraId="2F084D4C" w14:textId="77777777" w:rsidR="00893286" w:rsidRPr="00604C75" w:rsidRDefault="00BB12A3" w:rsidP="008A7EFC">
            <w:pPr>
              <w:spacing w:line="226" w:lineRule="auto"/>
              <w:jc w:val="center"/>
              <w:rPr>
                <w:sz w:val="20"/>
                <w:szCs w:val="20"/>
              </w:rPr>
            </w:pPr>
            <w:r>
              <w:rPr>
                <w:sz w:val="20"/>
                <w:szCs w:val="20"/>
              </w:rPr>
              <w:t>Deputy CEO, CFO</w:t>
            </w:r>
          </w:p>
          <w:p w14:paraId="6C8A37B8" w14:textId="77777777" w:rsidR="002A20AD" w:rsidRPr="00604C75" w:rsidRDefault="002A20AD" w:rsidP="00846D76">
            <w:pPr>
              <w:spacing w:line="226" w:lineRule="auto"/>
              <w:jc w:val="center"/>
              <w:rPr>
                <w:sz w:val="20"/>
                <w:szCs w:val="20"/>
              </w:rPr>
            </w:pPr>
          </w:p>
        </w:tc>
        <w:tc>
          <w:tcPr>
            <w:tcW w:w="2623" w:type="dxa"/>
          </w:tcPr>
          <w:p w14:paraId="0D888941" w14:textId="77777777" w:rsidR="002A20AD" w:rsidRPr="00604C75" w:rsidRDefault="00CB7C06" w:rsidP="00A1125F">
            <w:pPr>
              <w:spacing w:line="226" w:lineRule="auto"/>
              <w:jc w:val="center"/>
              <w:rPr>
                <w:sz w:val="20"/>
                <w:szCs w:val="20"/>
              </w:rPr>
            </w:pPr>
            <w:r w:rsidRPr="00604C75">
              <w:rPr>
                <w:sz w:val="20"/>
                <w:szCs w:val="20"/>
              </w:rPr>
              <w:t>Financial</w:t>
            </w:r>
            <w:r w:rsidR="004B395E" w:rsidRPr="00604C75">
              <w:rPr>
                <w:sz w:val="20"/>
                <w:szCs w:val="20"/>
              </w:rPr>
              <w:t xml:space="preserve"> Control</w:t>
            </w:r>
            <w:r w:rsidRPr="00604C75">
              <w:rPr>
                <w:sz w:val="20"/>
                <w:szCs w:val="20"/>
              </w:rPr>
              <w:t xml:space="preserve"> </w:t>
            </w:r>
            <w:r w:rsidR="00A1125F" w:rsidRPr="00604C75">
              <w:rPr>
                <w:sz w:val="20"/>
                <w:szCs w:val="20"/>
              </w:rPr>
              <w:t>Group Head</w:t>
            </w:r>
          </w:p>
        </w:tc>
      </w:tr>
    </w:tbl>
    <w:p w14:paraId="6C475729" w14:textId="77777777" w:rsidR="002A20AD" w:rsidRPr="00604C75" w:rsidRDefault="002A20AD" w:rsidP="008D06EC">
      <w:pPr>
        <w:tabs>
          <w:tab w:val="left" w:pos="2340"/>
          <w:tab w:val="left" w:pos="4680"/>
          <w:tab w:val="left" w:pos="6660"/>
          <w:tab w:val="left" w:pos="8640"/>
        </w:tabs>
        <w:spacing w:line="226" w:lineRule="auto"/>
        <w:rPr>
          <w:b/>
          <w:sz w:val="20"/>
          <w:szCs w:val="20"/>
        </w:rPr>
      </w:pPr>
    </w:p>
    <w:p w14:paraId="07E7BEC0" w14:textId="77777777" w:rsidR="002A20AD" w:rsidRDefault="002A20AD" w:rsidP="008D06EC">
      <w:pPr>
        <w:tabs>
          <w:tab w:val="left" w:pos="2340"/>
          <w:tab w:val="left" w:pos="4680"/>
          <w:tab w:val="left" w:pos="6660"/>
          <w:tab w:val="left" w:pos="8640"/>
        </w:tabs>
        <w:spacing w:line="226" w:lineRule="auto"/>
        <w:rPr>
          <w:b/>
          <w:sz w:val="20"/>
          <w:szCs w:val="20"/>
        </w:rPr>
      </w:pPr>
    </w:p>
    <w:p w14:paraId="608D9328" w14:textId="77777777" w:rsidR="00B17F78" w:rsidRDefault="00B17F78" w:rsidP="008D06EC">
      <w:pPr>
        <w:tabs>
          <w:tab w:val="left" w:pos="2340"/>
          <w:tab w:val="left" w:pos="4680"/>
          <w:tab w:val="left" w:pos="6660"/>
          <w:tab w:val="left" w:pos="8640"/>
        </w:tabs>
        <w:spacing w:line="226" w:lineRule="auto"/>
        <w:rPr>
          <w:b/>
          <w:sz w:val="20"/>
          <w:szCs w:val="20"/>
        </w:rPr>
      </w:pPr>
    </w:p>
    <w:p w14:paraId="32534358" w14:textId="77777777" w:rsidR="00B17F78" w:rsidRPr="00604C75" w:rsidRDefault="00B17F78" w:rsidP="008D06EC">
      <w:pPr>
        <w:tabs>
          <w:tab w:val="left" w:pos="2340"/>
          <w:tab w:val="left" w:pos="4680"/>
          <w:tab w:val="left" w:pos="6660"/>
          <w:tab w:val="left" w:pos="8640"/>
        </w:tabs>
        <w:spacing w:line="226" w:lineRule="auto"/>
        <w:rPr>
          <w:b/>
          <w:sz w:val="20"/>
          <w:szCs w:val="20"/>
        </w:rPr>
      </w:pPr>
    </w:p>
    <w:tbl>
      <w:tblPr>
        <w:tblW w:w="0" w:type="auto"/>
        <w:tblInd w:w="584" w:type="dxa"/>
        <w:tblLook w:val="01E0" w:firstRow="1" w:lastRow="1" w:firstColumn="1" w:lastColumn="1" w:noHBand="0" w:noVBand="0"/>
      </w:tblPr>
      <w:tblGrid>
        <w:gridCol w:w="3041"/>
        <w:gridCol w:w="3020"/>
        <w:gridCol w:w="2926"/>
      </w:tblGrid>
      <w:tr w:rsidR="002A20AD" w:rsidRPr="00604C75" w14:paraId="1776DAD1" w14:textId="77777777" w:rsidTr="008F1244">
        <w:trPr>
          <w:trHeight w:val="221"/>
        </w:trPr>
        <w:tc>
          <w:tcPr>
            <w:tcW w:w="3061" w:type="dxa"/>
          </w:tcPr>
          <w:p w14:paraId="3F4B4A54" w14:textId="77777777" w:rsidR="002A20AD" w:rsidRPr="00604C75" w:rsidRDefault="002A20AD" w:rsidP="008D06EC">
            <w:pPr>
              <w:spacing w:line="226" w:lineRule="auto"/>
              <w:jc w:val="center"/>
              <w:rPr>
                <w:sz w:val="20"/>
                <w:szCs w:val="20"/>
              </w:rPr>
            </w:pPr>
            <w:r w:rsidRPr="00604C75">
              <w:rPr>
                <w:sz w:val="20"/>
                <w:szCs w:val="20"/>
              </w:rPr>
              <w:t xml:space="preserve">Kemal </w:t>
            </w:r>
            <w:proofErr w:type="spellStart"/>
            <w:r w:rsidRPr="00604C75">
              <w:rPr>
                <w:sz w:val="20"/>
                <w:szCs w:val="20"/>
              </w:rPr>
              <w:t>Semerciler</w:t>
            </w:r>
            <w:proofErr w:type="spellEnd"/>
          </w:p>
        </w:tc>
        <w:tc>
          <w:tcPr>
            <w:tcW w:w="3040" w:type="dxa"/>
          </w:tcPr>
          <w:p w14:paraId="466F5DAB" w14:textId="77777777" w:rsidR="002A20AD" w:rsidRPr="00604C75" w:rsidRDefault="002A20AD" w:rsidP="008D06EC">
            <w:pPr>
              <w:spacing w:line="226" w:lineRule="auto"/>
              <w:jc w:val="center"/>
              <w:rPr>
                <w:sz w:val="20"/>
                <w:szCs w:val="20"/>
              </w:rPr>
            </w:pPr>
            <w:r w:rsidRPr="00604C75">
              <w:rPr>
                <w:sz w:val="20"/>
                <w:szCs w:val="20"/>
              </w:rPr>
              <w:t xml:space="preserve">Nicholas Charles Coleman </w:t>
            </w:r>
          </w:p>
        </w:tc>
        <w:tc>
          <w:tcPr>
            <w:tcW w:w="2945" w:type="dxa"/>
          </w:tcPr>
          <w:p w14:paraId="39694B34" w14:textId="77777777" w:rsidR="002A20AD" w:rsidRPr="00604C75" w:rsidRDefault="00A1125F" w:rsidP="008D06EC">
            <w:pPr>
              <w:spacing w:line="226" w:lineRule="auto"/>
              <w:jc w:val="center"/>
              <w:rPr>
                <w:sz w:val="20"/>
                <w:szCs w:val="20"/>
              </w:rPr>
            </w:pPr>
            <w:proofErr w:type="spellStart"/>
            <w:r w:rsidRPr="00604C75">
              <w:rPr>
                <w:sz w:val="20"/>
                <w:szCs w:val="20"/>
              </w:rPr>
              <w:t>İpek</w:t>
            </w:r>
            <w:proofErr w:type="spellEnd"/>
            <w:r w:rsidRPr="00604C75">
              <w:rPr>
                <w:sz w:val="20"/>
                <w:szCs w:val="20"/>
              </w:rPr>
              <w:t xml:space="preserve"> </w:t>
            </w:r>
            <w:proofErr w:type="spellStart"/>
            <w:r w:rsidRPr="00604C75">
              <w:rPr>
                <w:sz w:val="20"/>
                <w:szCs w:val="20"/>
              </w:rPr>
              <w:t>Nezahat</w:t>
            </w:r>
            <w:proofErr w:type="spellEnd"/>
            <w:r w:rsidRPr="00604C75">
              <w:rPr>
                <w:sz w:val="20"/>
                <w:szCs w:val="20"/>
              </w:rPr>
              <w:t xml:space="preserve"> </w:t>
            </w:r>
            <w:proofErr w:type="spellStart"/>
            <w:r w:rsidRPr="00604C75">
              <w:rPr>
                <w:sz w:val="20"/>
                <w:szCs w:val="20"/>
              </w:rPr>
              <w:t>Özkan</w:t>
            </w:r>
            <w:proofErr w:type="spellEnd"/>
          </w:p>
        </w:tc>
      </w:tr>
      <w:tr w:rsidR="00CB7C06" w:rsidRPr="00604C75" w14:paraId="66205A74" w14:textId="77777777" w:rsidTr="008F1244">
        <w:trPr>
          <w:trHeight w:val="694"/>
        </w:trPr>
        <w:tc>
          <w:tcPr>
            <w:tcW w:w="3061" w:type="dxa"/>
          </w:tcPr>
          <w:p w14:paraId="45B53DFF" w14:textId="77777777" w:rsidR="00CB7C06" w:rsidRPr="00604C75" w:rsidRDefault="00CB7C06" w:rsidP="008D06EC">
            <w:pPr>
              <w:spacing w:line="226" w:lineRule="auto"/>
              <w:jc w:val="center"/>
              <w:rPr>
                <w:sz w:val="20"/>
                <w:szCs w:val="20"/>
              </w:rPr>
            </w:pPr>
            <w:r w:rsidRPr="00604C75">
              <w:rPr>
                <w:sz w:val="20"/>
                <w:szCs w:val="20"/>
              </w:rPr>
              <w:t>Member of Board of Directors and Head of Audit Committee</w:t>
            </w:r>
          </w:p>
        </w:tc>
        <w:tc>
          <w:tcPr>
            <w:tcW w:w="3040" w:type="dxa"/>
          </w:tcPr>
          <w:p w14:paraId="551830B5" w14:textId="00413452" w:rsidR="00CB7C06" w:rsidRPr="00604C75" w:rsidRDefault="008F1244" w:rsidP="008D06EC">
            <w:pPr>
              <w:spacing w:line="226" w:lineRule="auto"/>
              <w:jc w:val="center"/>
              <w:rPr>
                <w:sz w:val="20"/>
                <w:szCs w:val="20"/>
              </w:rPr>
            </w:pPr>
            <w:r>
              <w:rPr>
                <w:sz w:val="20"/>
                <w:szCs w:val="20"/>
              </w:rPr>
              <w:t xml:space="preserve">Member of Board of Directors </w:t>
            </w:r>
            <w:r w:rsidR="00CB7C06" w:rsidRPr="00604C75">
              <w:rPr>
                <w:sz w:val="20"/>
                <w:szCs w:val="20"/>
              </w:rPr>
              <w:t>and Member of Audit Committee</w:t>
            </w:r>
          </w:p>
        </w:tc>
        <w:tc>
          <w:tcPr>
            <w:tcW w:w="2945" w:type="dxa"/>
          </w:tcPr>
          <w:p w14:paraId="1C117E20" w14:textId="77777777" w:rsidR="00CB7C06" w:rsidRPr="00604C75" w:rsidRDefault="00CB7C06" w:rsidP="008D06EC">
            <w:pPr>
              <w:spacing w:line="226" w:lineRule="auto"/>
              <w:jc w:val="center"/>
              <w:rPr>
                <w:sz w:val="20"/>
                <w:szCs w:val="20"/>
              </w:rPr>
            </w:pPr>
            <w:r w:rsidRPr="00604C75">
              <w:rPr>
                <w:sz w:val="20"/>
                <w:szCs w:val="20"/>
              </w:rPr>
              <w:t>Member of Board of Directors and Member of Audit Committee</w:t>
            </w:r>
          </w:p>
        </w:tc>
      </w:tr>
    </w:tbl>
    <w:p w14:paraId="023B0343" w14:textId="77777777" w:rsidR="00CB7C06" w:rsidRPr="00604C75" w:rsidRDefault="00CB7C06" w:rsidP="008D06EC">
      <w:pPr>
        <w:spacing w:line="226" w:lineRule="auto"/>
        <w:rPr>
          <w:noProof/>
          <w:sz w:val="20"/>
          <w:szCs w:val="20"/>
          <w:lang w:val="tr-TR"/>
        </w:rPr>
      </w:pPr>
    </w:p>
    <w:p w14:paraId="2CF8E321" w14:textId="77777777" w:rsidR="00CB7C06" w:rsidRPr="00604C75" w:rsidRDefault="00CB7C06" w:rsidP="008D06EC">
      <w:pPr>
        <w:spacing w:line="226" w:lineRule="auto"/>
        <w:rPr>
          <w:noProof/>
          <w:sz w:val="20"/>
          <w:szCs w:val="20"/>
          <w:lang w:val="tr-TR"/>
        </w:rPr>
      </w:pPr>
    </w:p>
    <w:p w14:paraId="632E2EE6" w14:textId="77777777" w:rsidR="00B17F78" w:rsidRDefault="00B17F78" w:rsidP="008D06EC">
      <w:pPr>
        <w:tabs>
          <w:tab w:val="left" w:pos="2268"/>
        </w:tabs>
        <w:spacing w:line="226" w:lineRule="auto"/>
        <w:rPr>
          <w:noProof/>
          <w:sz w:val="20"/>
          <w:szCs w:val="20"/>
          <w:lang w:val="tr-TR"/>
        </w:rPr>
      </w:pPr>
    </w:p>
    <w:p w14:paraId="7DCA0A16" w14:textId="77777777" w:rsidR="00B17F78" w:rsidRDefault="00B17F78" w:rsidP="008D06EC">
      <w:pPr>
        <w:tabs>
          <w:tab w:val="left" w:pos="2268"/>
        </w:tabs>
        <w:spacing w:line="226" w:lineRule="auto"/>
        <w:rPr>
          <w:noProof/>
          <w:sz w:val="20"/>
          <w:szCs w:val="20"/>
          <w:lang w:val="tr-TR"/>
        </w:rPr>
      </w:pPr>
    </w:p>
    <w:p w14:paraId="4AF1FAB5" w14:textId="61D4D8EE" w:rsidR="00004DC7" w:rsidRPr="00604C75" w:rsidRDefault="00302695" w:rsidP="008D06EC">
      <w:pPr>
        <w:tabs>
          <w:tab w:val="left" w:pos="2268"/>
        </w:tabs>
        <w:spacing w:line="226" w:lineRule="auto"/>
        <w:rPr>
          <w:noProof/>
          <w:sz w:val="20"/>
          <w:szCs w:val="20"/>
          <w:lang w:val="tr-TR"/>
        </w:rPr>
      </w:pPr>
      <w:r w:rsidRPr="00604C75">
        <w:rPr>
          <w:noProof/>
          <w:sz w:val="20"/>
          <w:szCs w:val="20"/>
          <w:lang w:val="tr-TR"/>
        </w:rPr>
        <w:t>The authorized</w:t>
      </w:r>
      <w:r w:rsidR="00004DC7" w:rsidRPr="00604C75">
        <w:rPr>
          <w:noProof/>
          <w:sz w:val="20"/>
          <w:szCs w:val="20"/>
          <w:lang w:val="tr-TR"/>
        </w:rPr>
        <w:t xml:space="preserve"> conta</w:t>
      </w:r>
      <w:r w:rsidR="009C0DFC">
        <w:rPr>
          <w:noProof/>
          <w:sz w:val="20"/>
          <w:szCs w:val="20"/>
          <w:lang w:val="tr-TR"/>
        </w:rPr>
        <w:t>ct person for questions on this</w:t>
      </w:r>
      <w:r w:rsidR="00004DC7" w:rsidRPr="00604C75">
        <w:rPr>
          <w:noProof/>
          <w:sz w:val="20"/>
          <w:szCs w:val="20"/>
          <w:lang w:val="tr-TR"/>
        </w:rPr>
        <w:t xml:space="preserve"> financial report:</w:t>
      </w:r>
    </w:p>
    <w:p w14:paraId="402BD063" w14:textId="77777777" w:rsidR="00CB7C06" w:rsidRPr="00604C75" w:rsidRDefault="00CB7C06" w:rsidP="008D06EC">
      <w:pPr>
        <w:tabs>
          <w:tab w:val="left" w:pos="2268"/>
        </w:tabs>
        <w:spacing w:line="226" w:lineRule="auto"/>
        <w:rPr>
          <w:noProof/>
          <w:sz w:val="16"/>
          <w:szCs w:val="16"/>
          <w:lang w:val="tr-TR"/>
        </w:rPr>
      </w:pPr>
    </w:p>
    <w:p w14:paraId="6BE64F9D" w14:textId="77777777" w:rsidR="00CB7C06" w:rsidRPr="00604C75" w:rsidRDefault="00CB7C06" w:rsidP="008D06EC">
      <w:pPr>
        <w:tabs>
          <w:tab w:val="left" w:pos="2268"/>
        </w:tabs>
        <w:spacing w:line="226" w:lineRule="auto"/>
        <w:rPr>
          <w:noProof/>
          <w:sz w:val="20"/>
          <w:szCs w:val="20"/>
          <w:lang w:val="tr-TR"/>
        </w:rPr>
      </w:pPr>
      <w:r w:rsidRPr="00604C75">
        <w:rPr>
          <w:noProof/>
          <w:sz w:val="20"/>
          <w:szCs w:val="20"/>
          <w:lang w:val="tr-TR"/>
        </w:rPr>
        <w:t>Name-Surname / Title</w:t>
      </w:r>
      <w:r w:rsidRPr="00604C75">
        <w:rPr>
          <w:noProof/>
          <w:sz w:val="20"/>
          <w:szCs w:val="20"/>
          <w:lang w:val="tr-TR"/>
        </w:rPr>
        <w:tab/>
        <w:t xml:space="preserve">: </w:t>
      </w:r>
      <w:proofErr w:type="spellStart"/>
      <w:r w:rsidR="0071012A" w:rsidRPr="00604C75">
        <w:rPr>
          <w:sz w:val="20"/>
          <w:szCs w:val="20"/>
        </w:rPr>
        <w:t>Kağan</w:t>
      </w:r>
      <w:proofErr w:type="spellEnd"/>
      <w:r w:rsidR="0071012A" w:rsidRPr="00604C75">
        <w:rPr>
          <w:sz w:val="20"/>
          <w:szCs w:val="20"/>
        </w:rPr>
        <w:t xml:space="preserve"> </w:t>
      </w:r>
      <w:proofErr w:type="spellStart"/>
      <w:r w:rsidR="0071012A" w:rsidRPr="00604C75">
        <w:rPr>
          <w:sz w:val="20"/>
          <w:szCs w:val="20"/>
        </w:rPr>
        <w:t>Gündüz</w:t>
      </w:r>
      <w:proofErr w:type="spellEnd"/>
      <w:r w:rsidR="0071012A" w:rsidRPr="00604C75">
        <w:rPr>
          <w:sz w:val="22"/>
          <w:szCs w:val="22"/>
        </w:rPr>
        <w:t xml:space="preserve"> </w:t>
      </w:r>
      <w:r w:rsidR="0071012A" w:rsidRPr="00604C75">
        <w:rPr>
          <w:noProof/>
          <w:sz w:val="20"/>
          <w:szCs w:val="20"/>
          <w:lang w:val="tr-TR"/>
        </w:rPr>
        <w:t xml:space="preserve">/ Financial </w:t>
      </w:r>
      <w:r w:rsidR="006956DC" w:rsidRPr="00604C75">
        <w:rPr>
          <w:noProof/>
          <w:sz w:val="20"/>
          <w:szCs w:val="20"/>
          <w:lang w:val="tr-TR"/>
        </w:rPr>
        <w:t xml:space="preserve">Control </w:t>
      </w:r>
      <w:r w:rsidR="0071012A" w:rsidRPr="00604C75">
        <w:rPr>
          <w:noProof/>
          <w:sz w:val="20"/>
          <w:szCs w:val="20"/>
          <w:lang w:val="tr-TR"/>
        </w:rPr>
        <w:t>Group Head</w:t>
      </w:r>
    </w:p>
    <w:p w14:paraId="7D891837" w14:textId="68BA01E8" w:rsidR="00CB7C06" w:rsidRPr="00604C75" w:rsidRDefault="00CB7C06" w:rsidP="008D06EC">
      <w:pPr>
        <w:tabs>
          <w:tab w:val="left" w:pos="2268"/>
        </w:tabs>
        <w:spacing w:line="226" w:lineRule="auto"/>
        <w:rPr>
          <w:noProof/>
          <w:sz w:val="20"/>
          <w:szCs w:val="20"/>
          <w:lang w:val="tr-TR"/>
        </w:rPr>
      </w:pPr>
      <w:r w:rsidRPr="00604C75">
        <w:rPr>
          <w:noProof/>
          <w:sz w:val="20"/>
          <w:szCs w:val="20"/>
          <w:lang w:val="tr-TR"/>
        </w:rPr>
        <w:t>Telephone Number</w:t>
      </w:r>
      <w:r w:rsidRPr="00604C75">
        <w:rPr>
          <w:noProof/>
          <w:sz w:val="20"/>
          <w:szCs w:val="20"/>
          <w:lang w:val="tr-TR"/>
        </w:rPr>
        <w:tab/>
        <w:t xml:space="preserve">: 0 212 315 </w:t>
      </w:r>
      <w:r w:rsidR="00FB292E">
        <w:rPr>
          <w:noProof/>
          <w:sz w:val="20"/>
          <w:szCs w:val="20"/>
          <w:lang w:val="tr-TR"/>
        </w:rPr>
        <w:t>65</w:t>
      </w:r>
      <w:r w:rsidR="0071012A" w:rsidRPr="00604C75">
        <w:rPr>
          <w:noProof/>
          <w:sz w:val="20"/>
          <w:szCs w:val="20"/>
          <w:lang w:val="tr-TR"/>
        </w:rPr>
        <w:t xml:space="preserve"> </w:t>
      </w:r>
      <w:r w:rsidR="00FB292E">
        <w:rPr>
          <w:noProof/>
          <w:sz w:val="20"/>
          <w:szCs w:val="20"/>
          <w:lang w:val="tr-TR"/>
        </w:rPr>
        <w:t>00</w:t>
      </w:r>
    </w:p>
    <w:p w14:paraId="0F7302A0" w14:textId="77777777" w:rsidR="00CB7C06" w:rsidRPr="00604C75" w:rsidRDefault="00CB7C06" w:rsidP="008D06EC">
      <w:pPr>
        <w:tabs>
          <w:tab w:val="left" w:pos="2268"/>
        </w:tabs>
        <w:spacing w:line="226" w:lineRule="auto"/>
        <w:rPr>
          <w:bCs/>
          <w:noProof/>
          <w:sz w:val="20"/>
          <w:lang w:val="tr-TR"/>
        </w:rPr>
      </w:pPr>
      <w:r w:rsidRPr="00604C75">
        <w:rPr>
          <w:noProof/>
          <w:sz w:val="20"/>
          <w:szCs w:val="20"/>
          <w:lang w:val="tr-TR"/>
        </w:rPr>
        <w:t>Fax Number</w:t>
      </w:r>
      <w:r w:rsidRPr="00604C75">
        <w:rPr>
          <w:noProof/>
          <w:sz w:val="20"/>
          <w:szCs w:val="20"/>
          <w:lang w:val="tr-TR"/>
        </w:rPr>
        <w:tab/>
        <w:t xml:space="preserve">: </w:t>
      </w:r>
      <w:r w:rsidRPr="00604C75">
        <w:rPr>
          <w:bCs/>
          <w:noProof/>
          <w:sz w:val="20"/>
          <w:lang w:val="tr-TR"/>
        </w:rPr>
        <w:t>0 212 226 76 15</w:t>
      </w:r>
    </w:p>
    <w:p w14:paraId="4A38655A" w14:textId="77777777" w:rsidR="00CB7C06" w:rsidRPr="00604C75" w:rsidRDefault="00CB7C06" w:rsidP="00CB7C06">
      <w:pPr>
        <w:tabs>
          <w:tab w:val="left" w:pos="2268"/>
        </w:tabs>
        <w:rPr>
          <w:bCs/>
          <w:noProof/>
          <w:sz w:val="20"/>
          <w:lang w:val="tr-TR"/>
        </w:rPr>
      </w:pPr>
    </w:p>
    <w:p w14:paraId="7095147F" w14:textId="77777777" w:rsidR="008D06EC" w:rsidRPr="00604C75" w:rsidRDefault="008D06EC" w:rsidP="00CB7C06">
      <w:pPr>
        <w:tabs>
          <w:tab w:val="left" w:pos="2268"/>
        </w:tabs>
        <w:rPr>
          <w:b/>
          <w:noProof/>
          <w:sz w:val="18"/>
          <w:szCs w:val="18"/>
          <w:u w:val="single"/>
          <w:lang w:val="tr-TR"/>
        </w:rPr>
        <w:sectPr w:rsidR="008D06EC" w:rsidRPr="00604C75" w:rsidSect="00332CDF">
          <w:footerReference w:type="default" r:id="rId9"/>
          <w:pgSz w:w="12240" w:h="15840" w:code="1"/>
          <w:pgMar w:top="1134" w:right="900" w:bottom="1134" w:left="1985" w:header="567" w:footer="567" w:gutter="0"/>
          <w:cols w:space="720"/>
          <w:docGrid w:linePitch="360"/>
        </w:sectPr>
      </w:pPr>
    </w:p>
    <w:p w14:paraId="22402E12" w14:textId="77777777" w:rsidR="00CB7C06" w:rsidRPr="00604C75" w:rsidRDefault="00CB7C06" w:rsidP="00CB7C06">
      <w:pPr>
        <w:tabs>
          <w:tab w:val="left" w:pos="2268"/>
        </w:tabs>
        <w:rPr>
          <w:b/>
          <w:noProof/>
          <w:sz w:val="18"/>
          <w:szCs w:val="18"/>
          <w:u w:val="single"/>
          <w:lang w:val="tr-TR"/>
        </w:rPr>
      </w:pPr>
    </w:p>
    <w:p w14:paraId="00513781" w14:textId="77777777" w:rsidR="005A3734" w:rsidRDefault="005A3734" w:rsidP="00646FA7">
      <w:pPr>
        <w:pStyle w:val="BodyTextIndent"/>
        <w:tabs>
          <w:tab w:val="left" w:pos="4140"/>
        </w:tabs>
        <w:spacing w:after="0" w:line="216" w:lineRule="auto"/>
        <w:ind w:left="4253" w:hanging="4253"/>
        <w:jc w:val="center"/>
        <w:rPr>
          <w:b/>
          <w:noProof/>
          <w:sz w:val="14"/>
          <w:szCs w:val="14"/>
          <w:u w:val="single"/>
          <w:lang w:val="tr-TR"/>
        </w:rPr>
      </w:pPr>
    </w:p>
    <w:p w14:paraId="46CB0B5B" w14:textId="77777777" w:rsidR="005A3734" w:rsidRDefault="005A3734" w:rsidP="00646FA7">
      <w:pPr>
        <w:pStyle w:val="BodyTextIndent"/>
        <w:tabs>
          <w:tab w:val="left" w:pos="4140"/>
        </w:tabs>
        <w:spacing w:after="0" w:line="216" w:lineRule="auto"/>
        <w:ind w:left="4253" w:hanging="4253"/>
        <w:jc w:val="center"/>
        <w:rPr>
          <w:b/>
          <w:noProof/>
          <w:sz w:val="14"/>
          <w:szCs w:val="14"/>
          <w:u w:val="single"/>
          <w:lang w:val="tr-TR"/>
        </w:rPr>
      </w:pPr>
    </w:p>
    <w:p w14:paraId="0CD3D3BE" w14:textId="77777777" w:rsidR="000A3F4C" w:rsidRDefault="000A3F4C" w:rsidP="00646FA7">
      <w:pPr>
        <w:pStyle w:val="BodyTextIndent"/>
        <w:tabs>
          <w:tab w:val="left" w:pos="4140"/>
        </w:tabs>
        <w:spacing w:after="0" w:line="216" w:lineRule="auto"/>
        <w:ind w:left="4253" w:hanging="4253"/>
        <w:jc w:val="center"/>
        <w:rPr>
          <w:b/>
          <w:noProof/>
          <w:sz w:val="14"/>
          <w:szCs w:val="14"/>
          <w:u w:val="single"/>
          <w:lang w:val="tr-TR"/>
        </w:rPr>
      </w:pPr>
    </w:p>
    <w:p w14:paraId="53797C39" w14:textId="77777777" w:rsidR="00CB7C06" w:rsidRPr="00977D25" w:rsidRDefault="00CB7C06" w:rsidP="00646FA7">
      <w:pPr>
        <w:pStyle w:val="BodyTextIndent"/>
        <w:tabs>
          <w:tab w:val="left" w:pos="4140"/>
        </w:tabs>
        <w:spacing w:after="0" w:line="216" w:lineRule="auto"/>
        <w:ind w:left="4253" w:hanging="4253"/>
        <w:jc w:val="center"/>
        <w:rPr>
          <w:rFonts w:eastAsia="Arial Unicode MS"/>
          <w:b/>
          <w:noProof/>
          <w:sz w:val="14"/>
          <w:szCs w:val="14"/>
          <w:u w:val="single"/>
          <w:lang w:val="tr-TR"/>
        </w:rPr>
      </w:pPr>
      <w:r w:rsidRPr="00977D25">
        <w:rPr>
          <w:b/>
          <w:noProof/>
          <w:sz w:val="14"/>
          <w:szCs w:val="14"/>
          <w:u w:val="single"/>
          <w:lang w:val="tr-TR"/>
        </w:rPr>
        <w:t>SECTION ONE</w:t>
      </w:r>
    </w:p>
    <w:p w14:paraId="616211DA" w14:textId="3226C421" w:rsidR="00CB7C06" w:rsidRPr="00977D25" w:rsidRDefault="00677268" w:rsidP="00646FA7">
      <w:pPr>
        <w:tabs>
          <w:tab w:val="right" w:pos="10080"/>
          <w:tab w:val="left" w:pos="15680"/>
          <w:tab w:val="left" w:pos="16640"/>
          <w:tab w:val="left" w:pos="17740"/>
        </w:tabs>
        <w:spacing w:line="216" w:lineRule="auto"/>
        <w:ind w:left="3261" w:right="-3" w:hanging="3261"/>
        <w:jc w:val="center"/>
        <w:rPr>
          <w:b/>
          <w:noProof/>
          <w:sz w:val="14"/>
          <w:szCs w:val="14"/>
          <w:lang w:val="tr-TR"/>
        </w:rPr>
      </w:pPr>
      <w:r w:rsidRPr="00977D25">
        <w:rPr>
          <w:b/>
          <w:noProof/>
          <w:sz w:val="14"/>
          <w:szCs w:val="14"/>
          <w:lang w:val="tr-TR"/>
        </w:rPr>
        <w:t>General</w:t>
      </w:r>
      <w:r w:rsidR="00CB7C06" w:rsidRPr="00977D25">
        <w:rPr>
          <w:b/>
          <w:noProof/>
          <w:sz w:val="14"/>
          <w:szCs w:val="14"/>
          <w:lang w:val="tr-TR"/>
        </w:rPr>
        <w:t xml:space="preserve"> I</w:t>
      </w:r>
      <w:r w:rsidRPr="00977D25">
        <w:rPr>
          <w:b/>
          <w:noProof/>
          <w:sz w:val="14"/>
          <w:szCs w:val="14"/>
          <w:lang w:val="tr-TR"/>
        </w:rPr>
        <w:t>nformation</w:t>
      </w:r>
      <w:r w:rsidR="00621CC7" w:rsidRPr="00977D25">
        <w:rPr>
          <w:b/>
          <w:noProof/>
          <w:sz w:val="14"/>
          <w:szCs w:val="14"/>
          <w:lang w:val="tr-TR"/>
        </w:rPr>
        <w:t xml:space="preserve"> A</w:t>
      </w:r>
      <w:r w:rsidRPr="00977D25">
        <w:rPr>
          <w:b/>
          <w:noProof/>
          <w:sz w:val="14"/>
          <w:szCs w:val="14"/>
          <w:lang w:val="tr-TR"/>
        </w:rPr>
        <w:t>bout</w:t>
      </w:r>
      <w:r w:rsidR="00621CC7" w:rsidRPr="00977D25">
        <w:rPr>
          <w:b/>
          <w:noProof/>
          <w:sz w:val="14"/>
          <w:szCs w:val="14"/>
          <w:lang w:val="tr-TR"/>
        </w:rPr>
        <w:t xml:space="preserve"> </w:t>
      </w:r>
      <w:r w:rsidRPr="00977D25">
        <w:rPr>
          <w:b/>
          <w:noProof/>
          <w:sz w:val="14"/>
          <w:szCs w:val="14"/>
          <w:lang w:val="tr-TR"/>
        </w:rPr>
        <w:t>the</w:t>
      </w:r>
      <w:r w:rsidR="00621CC7" w:rsidRPr="00977D25">
        <w:rPr>
          <w:b/>
          <w:noProof/>
          <w:sz w:val="14"/>
          <w:szCs w:val="14"/>
          <w:lang w:val="tr-TR"/>
        </w:rPr>
        <w:t xml:space="preserve"> G</w:t>
      </w:r>
      <w:r w:rsidRPr="00977D25">
        <w:rPr>
          <w:b/>
          <w:noProof/>
          <w:sz w:val="14"/>
          <w:szCs w:val="14"/>
          <w:lang w:val="tr-TR"/>
        </w:rPr>
        <w:t>roup</w:t>
      </w:r>
    </w:p>
    <w:p w14:paraId="219D24C4" w14:textId="1FF74674" w:rsidR="00CB7C06" w:rsidRPr="00977D25" w:rsidRDefault="000E5611" w:rsidP="001651E8">
      <w:pPr>
        <w:numPr>
          <w:ilvl w:val="0"/>
          <w:numId w:val="2"/>
        </w:numPr>
        <w:tabs>
          <w:tab w:val="clear" w:pos="1080"/>
          <w:tab w:val="left" w:pos="851"/>
          <w:tab w:val="right" w:leader="dot" w:pos="10009"/>
          <w:tab w:val="right" w:pos="10772"/>
        </w:tabs>
        <w:spacing w:line="216" w:lineRule="auto"/>
        <w:ind w:left="851" w:hanging="851"/>
        <w:rPr>
          <w:rFonts w:eastAsia="Arial Unicode MS"/>
          <w:noProof/>
          <w:sz w:val="14"/>
          <w:szCs w:val="14"/>
          <w:lang w:val="tr-TR"/>
        </w:rPr>
      </w:pPr>
      <w:r w:rsidRPr="00977D25">
        <w:rPr>
          <w:rFonts w:eastAsia="Arial Unicode MS"/>
          <w:noProof/>
          <w:sz w:val="14"/>
          <w:szCs w:val="14"/>
          <w:lang w:val="tr-TR"/>
        </w:rPr>
        <w:t xml:space="preserve">The </w:t>
      </w:r>
      <w:r w:rsidR="00A5251E" w:rsidRPr="00977D25">
        <w:rPr>
          <w:rFonts w:eastAsia="Arial Unicode MS"/>
          <w:noProof/>
          <w:sz w:val="14"/>
          <w:szCs w:val="14"/>
          <w:lang w:val="tr-TR"/>
        </w:rPr>
        <w:t xml:space="preserve">Parent </w:t>
      </w:r>
      <w:r w:rsidR="00CB7C06" w:rsidRPr="00977D25">
        <w:rPr>
          <w:rFonts w:eastAsia="Arial Unicode MS"/>
          <w:noProof/>
          <w:sz w:val="14"/>
          <w:szCs w:val="14"/>
          <w:lang w:val="tr-TR"/>
        </w:rPr>
        <w:t xml:space="preserve">Bank’s </w:t>
      </w:r>
      <w:r w:rsidR="00F142CB" w:rsidRPr="00977D25">
        <w:rPr>
          <w:rFonts w:eastAsia="Arial Unicode MS"/>
          <w:noProof/>
          <w:sz w:val="14"/>
          <w:szCs w:val="14"/>
          <w:lang w:val="tr-TR"/>
        </w:rPr>
        <w:t>establishment</w:t>
      </w:r>
      <w:r w:rsidR="00CB7C06" w:rsidRPr="00977D25">
        <w:rPr>
          <w:rFonts w:eastAsia="Arial Unicode MS"/>
          <w:noProof/>
          <w:sz w:val="14"/>
          <w:szCs w:val="14"/>
          <w:lang w:val="tr-TR"/>
        </w:rPr>
        <w:t xml:space="preserve"> date, </w:t>
      </w:r>
      <w:r w:rsidR="00F142CB" w:rsidRPr="00977D25">
        <w:rPr>
          <w:rFonts w:eastAsia="Arial Unicode MS"/>
          <w:noProof/>
          <w:sz w:val="14"/>
          <w:szCs w:val="14"/>
          <w:lang w:val="tr-TR"/>
        </w:rPr>
        <w:t>initial status</w:t>
      </w:r>
      <w:r w:rsidR="00CB7C06" w:rsidRPr="00977D25">
        <w:rPr>
          <w:rFonts w:eastAsia="Arial Unicode MS"/>
          <w:noProof/>
          <w:sz w:val="14"/>
          <w:szCs w:val="14"/>
          <w:lang w:val="tr-TR"/>
        </w:rPr>
        <w:t xml:space="preserve">, history </w:t>
      </w:r>
      <w:r w:rsidR="00F142CB" w:rsidRPr="00977D25">
        <w:rPr>
          <w:rFonts w:eastAsia="Arial Unicode MS"/>
          <w:noProof/>
          <w:sz w:val="14"/>
          <w:szCs w:val="14"/>
          <w:lang w:val="tr-TR"/>
        </w:rPr>
        <w:t>including the changes in the</w:t>
      </w:r>
      <w:r w:rsidR="00CB7C06" w:rsidRPr="00977D25">
        <w:rPr>
          <w:rFonts w:eastAsia="Arial Unicode MS"/>
          <w:noProof/>
          <w:sz w:val="14"/>
          <w:szCs w:val="14"/>
          <w:lang w:val="tr-TR"/>
        </w:rPr>
        <w:t xml:space="preserve"> </w:t>
      </w:r>
      <w:r w:rsidR="00F142CB" w:rsidRPr="00977D25">
        <w:rPr>
          <w:rFonts w:eastAsia="Arial Unicode MS"/>
          <w:noProof/>
          <w:sz w:val="14"/>
          <w:szCs w:val="14"/>
          <w:lang w:val="tr-TR"/>
        </w:rPr>
        <w:t>former status</w:t>
      </w:r>
      <w:r w:rsidR="00CB7C06" w:rsidRPr="00977D25">
        <w:rPr>
          <w:rFonts w:eastAsia="Arial Unicode MS"/>
          <w:noProof/>
          <w:sz w:val="14"/>
          <w:szCs w:val="14"/>
          <w:lang w:val="tr-TR"/>
        </w:rPr>
        <w:tab/>
      </w:r>
      <w:r w:rsidR="00CB7C06" w:rsidRPr="00977D25">
        <w:rPr>
          <w:rFonts w:eastAsia="Arial Unicode MS"/>
          <w:noProof/>
          <w:sz w:val="14"/>
          <w:szCs w:val="14"/>
          <w:lang w:val="tr-TR"/>
        </w:rPr>
        <w:tab/>
        <w:t>1</w:t>
      </w:r>
    </w:p>
    <w:p w14:paraId="2B7A2A5C" w14:textId="4BAC9716" w:rsidR="00533203" w:rsidRPr="00702B52" w:rsidRDefault="00533203" w:rsidP="001651E8">
      <w:pPr>
        <w:pStyle w:val="BodyTextIndent"/>
        <w:widowControl w:val="0"/>
        <w:numPr>
          <w:ilvl w:val="0"/>
          <w:numId w:val="2"/>
        </w:numPr>
        <w:tabs>
          <w:tab w:val="left" w:pos="851"/>
          <w:tab w:val="right" w:leader="dot" w:pos="10009"/>
          <w:tab w:val="right" w:leader="dot" w:pos="10191"/>
          <w:tab w:val="right" w:pos="10772"/>
        </w:tabs>
        <w:adjustRightInd w:val="0"/>
        <w:spacing w:after="0" w:line="216" w:lineRule="auto"/>
        <w:ind w:hanging="1080"/>
        <w:jc w:val="both"/>
        <w:textAlignment w:val="baseline"/>
        <w:rPr>
          <w:sz w:val="14"/>
          <w:szCs w:val="14"/>
        </w:rPr>
      </w:pPr>
      <w:r w:rsidRPr="00702B52">
        <w:rPr>
          <w:sz w:val="14"/>
          <w:szCs w:val="14"/>
        </w:rPr>
        <w:t>Explanation on the Capital Structure, Share</w:t>
      </w:r>
      <w:r w:rsidR="001651E8">
        <w:rPr>
          <w:sz w:val="14"/>
          <w:szCs w:val="14"/>
        </w:rPr>
        <w:t>h</w:t>
      </w:r>
      <w:r w:rsidRPr="00702B52">
        <w:rPr>
          <w:sz w:val="14"/>
          <w:szCs w:val="14"/>
        </w:rPr>
        <w:t>olders who Directly or Indirectly, Solely or Jointly Undertake the Management and Control of the Parent Bank, any</w:t>
      </w:r>
    </w:p>
    <w:p w14:paraId="08B7D036" w14:textId="7DB5B669" w:rsidR="00533203" w:rsidRPr="00702B52" w:rsidRDefault="00533203" w:rsidP="001651E8">
      <w:pPr>
        <w:pStyle w:val="BodyTextIndent"/>
        <w:widowControl w:val="0"/>
        <w:tabs>
          <w:tab w:val="left" w:pos="851"/>
          <w:tab w:val="right" w:leader="dot" w:pos="10009"/>
          <w:tab w:val="right" w:leader="dot" w:pos="10037"/>
          <w:tab w:val="right" w:pos="10772"/>
        </w:tabs>
        <w:adjustRightInd w:val="0"/>
        <w:spacing w:after="0" w:line="216" w:lineRule="auto"/>
        <w:ind w:left="851" w:hanging="1080"/>
        <w:jc w:val="both"/>
        <w:textAlignment w:val="baseline"/>
        <w:rPr>
          <w:sz w:val="14"/>
          <w:szCs w:val="14"/>
        </w:rPr>
      </w:pPr>
      <w:r>
        <w:rPr>
          <w:sz w:val="14"/>
          <w:szCs w:val="14"/>
        </w:rPr>
        <w:tab/>
      </w:r>
      <w:r w:rsidRPr="00702B52">
        <w:rPr>
          <w:sz w:val="14"/>
          <w:szCs w:val="14"/>
        </w:rPr>
        <w:t xml:space="preserve">Changes in the Period, and Information on the </w:t>
      </w:r>
      <w:r w:rsidR="00BF5475">
        <w:rPr>
          <w:sz w:val="14"/>
          <w:szCs w:val="14"/>
        </w:rPr>
        <w:t xml:space="preserve">Parent </w:t>
      </w:r>
      <w:r w:rsidRPr="00702B52">
        <w:rPr>
          <w:sz w:val="14"/>
          <w:szCs w:val="14"/>
        </w:rPr>
        <w:t>Bank’s Risk Group</w:t>
      </w:r>
      <w:r w:rsidRPr="00702B52">
        <w:rPr>
          <w:sz w:val="14"/>
          <w:szCs w:val="14"/>
        </w:rPr>
        <w:tab/>
      </w:r>
      <w:r w:rsidRPr="00702B52">
        <w:rPr>
          <w:sz w:val="14"/>
          <w:szCs w:val="14"/>
        </w:rPr>
        <w:tab/>
        <w:t xml:space="preserve">         </w:t>
      </w:r>
      <w:r>
        <w:rPr>
          <w:sz w:val="14"/>
          <w:szCs w:val="14"/>
        </w:rPr>
        <w:t xml:space="preserve">    </w:t>
      </w:r>
      <w:r w:rsidR="001651E8">
        <w:rPr>
          <w:sz w:val="14"/>
          <w:szCs w:val="14"/>
        </w:rPr>
        <w:tab/>
      </w:r>
      <w:r w:rsidRPr="00702B52">
        <w:rPr>
          <w:sz w:val="14"/>
          <w:szCs w:val="14"/>
        </w:rPr>
        <w:t>1</w:t>
      </w:r>
    </w:p>
    <w:p w14:paraId="7D9B1F7A" w14:textId="64D88EAE" w:rsidR="00533203" w:rsidRPr="00533203" w:rsidRDefault="00533203" w:rsidP="001651E8">
      <w:pPr>
        <w:pStyle w:val="BodyTextIndent"/>
        <w:widowControl w:val="0"/>
        <w:numPr>
          <w:ilvl w:val="0"/>
          <w:numId w:val="2"/>
        </w:numPr>
        <w:tabs>
          <w:tab w:val="left" w:pos="851"/>
          <w:tab w:val="right" w:leader="dot" w:pos="10009"/>
          <w:tab w:val="right" w:leader="dot" w:pos="10037"/>
          <w:tab w:val="right" w:pos="10772"/>
        </w:tabs>
        <w:adjustRightInd w:val="0"/>
        <w:spacing w:after="0" w:line="216" w:lineRule="auto"/>
        <w:ind w:hanging="1080"/>
        <w:jc w:val="both"/>
        <w:textAlignment w:val="baseline"/>
        <w:rPr>
          <w:sz w:val="14"/>
          <w:szCs w:val="14"/>
        </w:rPr>
      </w:pPr>
      <w:r w:rsidRPr="00533203">
        <w:rPr>
          <w:sz w:val="14"/>
          <w:szCs w:val="14"/>
        </w:rPr>
        <w:t>Explanation on the Board of directors, members of the audit committee, president and executive vice presidents,</w:t>
      </w:r>
      <w:r w:rsidR="00BF5475">
        <w:rPr>
          <w:sz w:val="14"/>
          <w:szCs w:val="14"/>
        </w:rPr>
        <w:t xml:space="preserve"> </w:t>
      </w:r>
    </w:p>
    <w:p w14:paraId="432CCA34" w14:textId="4C528134" w:rsidR="00533203" w:rsidRPr="00946F32" w:rsidRDefault="00533203" w:rsidP="001651E8">
      <w:pPr>
        <w:pStyle w:val="BodyTextIndent"/>
        <w:widowControl w:val="0"/>
        <w:tabs>
          <w:tab w:val="left" w:pos="851"/>
          <w:tab w:val="right" w:leader="dot" w:pos="10009"/>
          <w:tab w:val="right" w:leader="dot" w:pos="10037"/>
          <w:tab w:val="right" w:pos="10772"/>
        </w:tabs>
        <w:adjustRightInd w:val="0"/>
        <w:spacing w:after="0" w:line="216" w:lineRule="auto"/>
        <w:ind w:left="0"/>
        <w:jc w:val="both"/>
        <w:textAlignment w:val="baseline"/>
        <w:rPr>
          <w:sz w:val="14"/>
          <w:szCs w:val="14"/>
        </w:rPr>
      </w:pPr>
      <w:r>
        <w:rPr>
          <w:sz w:val="14"/>
          <w:szCs w:val="14"/>
        </w:rPr>
        <w:tab/>
      </w:r>
      <w:proofErr w:type="gramStart"/>
      <w:r w:rsidRPr="00533203">
        <w:rPr>
          <w:sz w:val="14"/>
          <w:szCs w:val="14"/>
        </w:rPr>
        <w:t>changes</w:t>
      </w:r>
      <w:proofErr w:type="gramEnd"/>
      <w:r w:rsidRPr="00533203">
        <w:rPr>
          <w:sz w:val="14"/>
          <w:szCs w:val="14"/>
        </w:rPr>
        <w:t xml:space="preserve"> in these matters (if any) and shares in the </w:t>
      </w:r>
      <w:r w:rsidR="005B5D37">
        <w:rPr>
          <w:sz w:val="14"/>
          <w:szCs w:val="14"/>
        </w:rPr>
        <w:t xml:space="preserve">Parent </w:t>
      </w:r>
      <w:r w:rsidRPr="00533203">
        <w:rPr>
          <w:sz w:val="14"/>
          <w:szCs w:val="14"/>
        </w:rPr>
        <w:t>Bank</w:t>
      </w:r>
      <w:r w:rsidRPr="00946F32">
        <w:rPr>
          <w:sz w:val="14"/>
          <w:szCs w:val="14"/>
        </w:rPr>
        <w:tab/>
      </w:r>
      <w:r w:rsidRPr="00946F32">
        <w:rPr>
          <w:sz w:val="14"/>
          <w:szCs w:val="14"/>
        </w:rPr>
        <w:tab/>
      </w:r>
      <w:r w:rsidR="001651E8">
        <w:rPr>
          <w:sz w:val="14"/>
          <w:szCs w:val="14"/>
        </w:rPr>
        <w:tab/>
      </w:r>
      <w:r w:rsidRPr="00946F32">
        <w:rPr>
          <w:sz w:val="14"/>
          <w:szCs w:val="14"/>
        </w:rPr>
        <w:t>2</w:t>
      </w:r>
    </w:p>
    <w:p w14:paraId="27BAE811" w14:textId="1E642B3F" w:rsidR="00CB7C06" w:rsidRPr="00977D25" w:rsidRDefault="00533203" w:rsidP="001651E8">
      <w:pPr>
        <w:pStyle w:val="BodyTextIndent"/>
        <w:widowControl w:val="0"/>
        <w:numPr>
          <w:ilvl w:val="0"/>
          <w:numId w:val="2"/>
        </w:numPr>
        <w:tabs>
          <w:tab w:val="left" w:pos="851"/>
          <w:tab w:val="right" w:leader="dot" w:pos="10009"/>
          <w:tab w:val="right" w:leader="dot" w:pos="10037"/>
          <w:tab w:val="right" w:pos="10772"/>
        </w:tabs>
        <w:adjustRightInd w:val="0"/>
        <w:spacing w:after="0" w:line="216" w:lineRule="auto"/>
        <w:ind w:hanging="1080"/>
        <w:jc w:val="both"/>
        <w:textAlignment w:val="baseline"/>
        <w:rPr>
          <w:rFonts w:eastAsia="Arial Unicode MS"/>
          <w:noProof/>
          <w:sz w:val="14"/>
          <w:szCs w:val="14"/>
          <w:lang w:val="tr-TR"/>
        </w:rPr>
      </w:pPr>
      <w:r w:rsidRPr="00946F32">
        <w:rPr>
          <w:sz w:val="14"/>
          <w:szCs w:val="14"/>
        </w:rPr>
        <w:t xml:space="preserve">Information on the </w:t>
      </w:r>
      <w:r w:rsidR="00BF5475">
        <w:rPr>
          <w:sz w:val="14"/>
          <w:szCs w:val="14"/>
        </w:rPr>
        <w:t xml:space="preserve">Parent </w:t>
      </w:r>
      <w:r w:rsidRPr="00946F32">
        <w:rPr>
          <w:sz w:val="14"/>
          <w:szCs w:val="14"/>
        </w:rPr>
        <w:t>Bank’s Qualified Shareholders</w:t>
      </w:r>
      <w:r w:rsidRPr="00702B52">
        <w:rPr>
          <w:sz w:val="14"/>
          <w:szCs w:val="14"/>
        </w:rPr>
        <w:tab/>
      </w:r>
      <w:r w:rsidR="00D36A19" w:rsidRPr="00977D25">
        <w:rPr>
          <w:rFonts w:eastAsia="Arial Unicode MS"/>
          <w:noProof/>
          <w:sz w:val="14"/>
          <w:szCs w:val="14"/>
          <w:lang w:val="tr-TR"/>
        </w:rPr>
        <w:tab/>
      </w:r>
      <w:r w:rsidR="001651E8">
        <w:rPr>
          <w:rFonts w:eastAsia="Arial Unicode MS"/>
          <w:noProof/>
          <w:sz w:val="14"/>
          <w:szCs w:val="14"/>
          <w:lang w:val="tr-TR"/>
        </w:rPr>
        <w:tab/>
      </w:r>
      <w:r w:rsidR="00D36A19" w:rsidRPr="00977D25">
        <w:rPr>
          <w:rFonts w:eastAsia="Arial Unicode MS"/>
          <w:noProof/>
          <w:sz w:val="14"/>
          <w:szCs w:val="14"/>
          <w:lang w:val="tr-TR"/>
        </w:rPr>
        <w:t>3</w:t>
      </w:r>
    </w:p>
    <w:p w14:paraId="4865AEB0" w14:textId="5C7F6575" w:rsidR="002A20AD" w:rsidRPr="00533203" w:rsidRDefault="00467F8D" w:rsidP="001651E8">
      <w:pPr>
        <w:pStyle w:val="BodyTextIndent"/>
        <w:widowControl w:val="0"/>
        <w:numPr>
          <w:ilvl w:val="0"/>
          <w:numId w:val="2"/>
        </w:numPr>
        <w:tabs>
          <w:tab w:val="left" w:pos="851"/>
          <w:tab w:val="right" w:leader="dot" w:pos="10009"/>
          <w:tab w:val="right" w:pos="10773"/>
        </w:tabs>
        <w:adjustRightInd w:val="0"/>
        <w:spacing w:after="0" w:line="216" w:lineRule="auto"/>
        <w:ind w:hanging="1080"/>
        <w:jc w:val="both"/>
        <w:textAlignment w:val="baseline"/>
        <w:rPr>
          <w:sz w:val="14"/>
          <w:szCs w:val="14"/>
        </w:rPr>
      </w:pPr>
      <w:r w:rsidRPr="00977D25">
        <w:rPr>
          <w:rFonts w:eastAsia="Arial Unicode MS"/>
          <w:noProof/>
          <w:sz w:val="14"/>
          <w:szCs w:val="14"/>
          <w:lang w:val="tr-TR"/>
        </w:rPr>
        <w:t>Summary i</w:t>
      </w:r>
      <w:r w:rsidR="00D36A19" w:rsidRPr="00977D25">
        <w:rPr>
          <w:rFonts w:eastAsia="Arial Unicode MS"/>
          <w:noProof/>
          <w:sz w:val="14"/>
          <w:szCs w:val="14"/>
          <w:lang w:val="tr-TR"/>
        </w:rPr>
        <w:t>nformation on the</w:t>
      </w:r>
      <w:r w:rsidR="00BF5475">
        <w:rPr>
          <w:rFonts w:eastAsia="Arial Unicode MS"/>
          <w:noProof/>
          <w:sz w:val="14"/>
          <w:szCs w:val="14"/>
          <w:lang w:val="tr-TR"/>
        </w:rPr>
        <w:t xml:space="preserve"> P</w:t>
      </w:r>
      <w:r w:rsidR="00A5251E" w:rsidRPr="00977D25">
        <w:rPr>
          <w:rFonts w:eastAsia="Arial Unicode MS"/>
          <w:noProof/>
          <w:sz w:val="14"/>
          <w:szCs w:val="14"/>
          <w:lang w:val="tr-TR"/>
        </w:rPr>
        <w:t>arent</w:t>
      </w:r>
      <w:r w:rsidR="00D36A19" w:rsidRPr="00977D25">
        <w:rPr>
          <w:rFonts w:eastAsia="Arial Unicode MS"/>
          <w:noProof/>
          <w:sz w:val="14"/>
          <w:szCs w:val="14"/>
          <w:lang w:val="tr-TR"/>
        </w:rPr>
        <w:t xml:space="preserve"> bank’s activities and services</w:t>
      </w:r>
      <w:r w:rsidR="00D36A19" w:rsidRPr="00977D25">
        <w:rPr>
          <w:rFonts w:eastAsia="Arial Unicode MS"/>
          <w:noProof/>
          <w:sz w:val="14"/>
          <w:szCs w:val="14"/>
          <w:lang w:val="tr-TR"/>
        </w:rPr>
        <w:tab/>
      </w:r>
      <w:r w:rsidR="00D36A19" w:rsidRPr="00533203">
        <w:rPr>
          <w:sz w:val="14"/>
          <w:szCs w:val="14"/>
        </w:rPr>
        <w:tab/>
        <w:t>3</w:t>
      </w:r>
    </w:p>
    <w:p w14:paraId="3CA3FC4B" w14:textId="528B38AC" w:rsidR="00051DB0" w:rsidRPr="00533203" w:rsidRDefault="00D77F06" w:rsidP="001651E8">
      <w:pPr>
        <w:pStyle w:val="BodyTextIndent"/>
        <w:widowControl w:val="0"/>
        <w:numPr>
          <w:ilvl w:val="0"/>
          <w:numId w:val="2"/>
        </w:numPr>
        <w:tabs>
          <w:tab w:val="clear" w:pos="1080"/>
          <w:tab w:val="left" w:pos="851"/>
          <w:tab w:val="right" w:leader="dot" w:pos="10009"/>
          <w:tab w:val="right" w:pos="10773"/>
        </w:tabs>
        <w:adjustRightInd w:val="0"/>
        <w:spacing w:after="0" w:line="216" w:lineRule="auto"/>
        <w:ind w:hanging="1080"/>
        <w:jc w:val="both"/>
        <w:textAlignment w:val="baseline"/>
        <w:rPr>
          <w:sz w:val="14"/>
          <w:szCs w:val="14"/>
        </w:rPr>
      </w:pPr>
      <w:r w:rsidRPr="00533203">
        <w:rPr>
          <w:sz w:val="14"/>
          <w:szCs w:val="14"/>
        </w:rPr>
        <w:t xml:space="preserve">Differences </w:t>
      </w:r>
      <w:r w:rsidR="00FF547C">
        <w:rPr>
          <w:sz w:val="14"/>
          <w:szCs w:val="14"/>
        </w:rPr>
        <w:t xml:space="preserve">between the </w:t>
      </w:r>
      <w:proofErr w:type="spellStart"/>
      <w:r w:rsidR="00FF547C">
        <w:rPr>
          <w:sz w:val="14"/>
          <w:szCs w:val="14"/>
        </w:rPr>
        <w:t>communique</w:t>
      </w:r>
      <w:proofErr w:type="spellEnd"/>
      <w:r w:rsidR="00FF547C">
        <w:rPr>
          <w:sz w:val="14"/>
          <w:szCs w:val="14"/>
        </w:rPr>
        <w:t xml:space="preserve"> on prepa</w:t>
      </w:r>
      <w:r w:rsidRPr="00533203">
        <w:rPr>
          <w:sz w:val="14"/>
          <w:szCs w:val="14"/>
        </w:rPr>
        <w:t xml:space="preserve">ration of consolidated financial </w:t>
      </w:r>
      <w:proofErr w:type="spellStart"/>
      <w:r w:rsidRPr="00533203">
        <w:rPr>
          <w:sz w:val="14"/>
          <w:szCs w:val="14"/>
        </w:rPr>
        <w:t>statemnets</w:t>
      </w:r>
      <w:proofErr w:type="spellEnd"/>
      <w:r w:rsidRPr="00533203">
        <w:rPr>
          <w:sz w:val="14"/>
          <w:szCs w:val="14"/>
        </w:rPr>
        <w:t xml:space="preserve"> of banks and Turkish Accounting </w:t>
      </w:r>
      <w:proofErr w:type="spellStart"/>
      <w:r w:rsidRPr="00533203">
        <w:rPr>
          <w:sz w:val="14"/>
          <w:szCs w:val="14"/>
        </w:rPr>
        <w:t>Standarts</w:t>
      </w:r>
      <w:proofErr w:type="spellEnd"/>
      <w:r w:rsidRPr="00533203">
        <w:rPr>
          <w:sz w:val="14"/>
          <w:szCs w:val="14"/>
        </w:rPr>
        <w:t xml:space="preserve"> and short explanation about</w:t>
      </w:r>
    </w:p>
    <w:p w14:paraId="7FEB7FF5" w14:textId="4D77A0D3" w:rsidR="002A20AD" w:rsidRPr="00533203" w:rsidRDefault="00533203" w:rsidP="001651E8">
      <w:pPr>
        <w:pStyle w:val="BodyTextIndent"/>
        <w:widowControl w:val="0"/>
        <w:tabs>
          <w:tab w:val="left" w:pos="851"/>
          <w:tab w:val="right" w:leader="dot" w:pos="10009"/>
          <w:tab w:val="right" w:pos="10772"/>
        </w:tabs>
        <w:adjustRightInd w:val="0"/>
        <w:spacing w:after="0" w:line="216" w:lineRule="auto"/>
        <w:ind w:left="851" w:hanging="1080"/>
        <w:jc w:val="both"/>
        <w:textAlignment w:val="baseline"/>
        <w:rPr>
          <w:sz w:val="14"/>
          <w:szCs w:val="14"/>
        </w:rPr>
      </w:pPr>
      <w:r>
        <w:rPr>
          <w:sz w:val="14"/>
          <w:szCs w:val="14"/>
        </w:rPr>
        <w:tab/>
      </w:r>
      <w:proofErr w:type="gramStart"/>
      <w:r w:rsidR="00D77F06" w:rsidRPr="00533203">
        <w:rPr>
          <w:sz w:val="14"/>
          <w:szCs w:val="14"/>
        </w:rPr>
        <w:t>the</w:t>
      </w:r>
      <w:proofErr w:type="gramEnd"/>
      <w:r w:rsidR="00D77F06" w:rsidRPr="00533203">
        <w:rPr>
          <w:sz w:val="14"/>
          <w:szCs w:val="14"/>
        </w:rPr>
        <w:t xml:space="preserve"> </w:t>
      </w:r>
      <w:r w:rsidR="00A10E43" w:rsidRPr="00533203">
        <w:rPr>
          <w:sz w:val="14"/>
          <w:szCs w:val="14"/>
        </w:rPr>
        <w:t>institutions subject to line-by-line method or propor</w:t>
      </w:r>
      <w:r w:rsidR="00FF547C">
        <w:rPr>
          <w:sz w:val="14"/>
          <w:szCs w:val="14"/>
        </w:rPr>
        <w:t>tional consolidated and institu</w:t>
      </w:r>
      <w:r w:rsidR="00A10E43" w:rsidRPr="00533203">
        <w:rPr>
          <w:sz w:val="14"/>
          <w:szCs w:val="14"/>
        </w:rPr>
        <w:t>tions which are deducted from equity or not included in these three method</w:t>
      </w:r>
      <w:r w:rsidR="00977D25" w:rsidRPr="00533203">
        <w:rPr>
          <w:sz w:val="14"/>
          <w:szCs w:val="14"/>
        </w:rPr>
        <w:tab/>
      </w:r>
      <w:r w:rsidR="001651E8">
        <w:rPr>
          <w:sz w:val="14"/>
          <w:szCs w:val="14"/>
        </w:rPr>
        <w:tab/>
      </w:r>
      <w:r w:rsidR="00A10E43" w:rsidRPr="00533203">
        <w:rPr>
          <w:sz w:val="14"/>
          <w:szCs w:val="14"/>
        </w:rPr>
        <w:t>3</w:t>
      </w:r>
    </w:p>
    <w:p w14:paraId="6B1793A7" w14:textId="0EB409DC" w:rsidR="002A20AD" w:rsidRPr="00533203" w:rsidRDefault="00D36A19" w:rsidP="001651E8">
      <w:pPr>
        <w:pStyle w:val="BodyTextIndent"/>
        <w:widowControl w:val="0"/>
        <w:numPr>
          <w:ilvl w:val="0"/>
          <w:numId w:val="2"/>
        </w:numPr>
        <w:tabs>
          <w:tab w:val="clear" w:pos="1080"/>
          <w:tab w:val="left" w:pos="851"/>
          <w:tab w:val="right" w:leader="dot" w:pos="10009"/>
          <w:tab w:val="right" w:pos="10773"/>
        </w:tabs>
        <w:adjustRightInd w:val="0"/>
        <w:spacing w:after="0" w:line="216" w:lineRule="auto"/>
        <w:ind w:hanging="1080"/>
        <w:jc w:val="both"/>
        <w:textAlignment w:val="baseline"/>
        <w:rPr>
          <w:sz w:val="14"/>
          <w:szCs w:val="14"/>
        </w:rPr>
      </w:pPr>
      <w:r w:rsidRPr="00533203">
        <w:rPr>
          <w:sz w:val="14"/>
          <w:szCs w:val="14"/>
        </w:rPr>
        <w:t>Ex</w:t>
      </w:r>
      <w:r w:rsidR="00C56A6A" w:rsidRPr="00533203">
        <w:rPr>
          <w:sz w:val="14"/>
          <w:szCs w:val="14"/>
        </w:rPr>
        <w:t>i</w:t>
      </w:r>
      <w:r w:rsidRPr="00533203">
        <w:rPr>
          <w:sz w:val="14"/>
          <w:szCs w:val="14"/>
        </w:rPr>
        <w:t>st</w:t>
      </w:r>
      <w:r w:rsidR="00C56A6A" w:rsidRPr="00533203">
        <w:rPr>
          <w:sz w:val="14"/>
          <w:szCs w:val="14"/>
        </w:rPr>
        <w:t>i</w:t>
      </w:r>
      <w:r w:rsidRPr="00533203">
        <w:rPr>
          <w:sz w:val="14"/>
          <w:szCs w:val="14"/>
        </w:rPr>
        <w:t>ng or potent</w:t>
      </w:r>
      <w:r w:rsidR="00C56A6A" w:rsidRPr="00533203">
        <w:rPr>
          <w:sz w:val="14"/>
          <w:szCs w:val="14"/>
        </w:rPr>
        <w:t>i</w:t>
      </w:r>
      <w:r w:rsidRPr="00533203">
        <w:rPr>
          <w:sz w:val="14"/>
          <w:szCs w:val="14"/>
        </w:rPr>
        <w:t xml:space="preserve">al, actual or legal obstacles to </w:t>
      </w:r>
      <w:r w:rsidR="00C56A6A" w:rsidRPr="00533203">
        <w:rPr>
          <w:sz w:val="14"/>
          <w:szCs w:val="14"/>
        </w:rPr>
        <w:t>i</w:t>
      </w:r>
      <w:r w:rsidRPr="00533203">
        <w:rPr>
          <w:sz w:val="14"/>
          <w:szCs w:val="14"/>
        </w:rPr>
        <w:t>mmed</w:t>
      </w:r>
      <w:r w:rsidR="00C56A6A" w:rsidRPr="00533203">
        <w:rPr>
          <w:sz w:val="14"/>
          <w:szCs w:val="14"/>
        </w:rPr>
        <w:t>i</w:t>
      </w:r>
      <w:r w:rsidRPr="00533203">
        <w:rPr>
          <w:sz w:val="14"/>
          <w:szCs w:val="14"/>
        </w:rPr>
        <w:t>ate transfer of equ</w:t>
      </w:r>
      <w:r w:rsidR="00C56A6A" w:rsidRPr="00533203">
        <w:rPr>
          <w:sz w:val="14"/>
          <w:szCs w:val="14"/>
        </w:rPr>
        <w:t>i</w:t>
      </w:r>
      <w:r w:rsidRPr="00533203">
        <w:rPr>
          <w:sz w:val="14"/>
          <w:szCs w:val="14"/>
        </w:rPr>
        <w:t xml:space="preserve">ty, or repayment of debt between the </w:t>
      </w:r>
      <w:r w:rsidR="00467F8D" w:rsidRPr="00533203">
        <w:rPr>
          <w:sz w:val="14"/>
          <w:szCs w:val="14"/>
        </w:rPr>
        <w:t xml:space="preserve">parent </w:t>
      </w:r>
      <w:r w:rsidRPr="00533203">
        <w:rPr>
          <w:sz w:val="14"/>
          <w:szCs w:val="14"/>
        </w:rPr>
        <w:t xml:space="preserve">bank and </w:t>
      </w:r>
      <w:r w:rsidR="00C56A6A" w:rsidRPr="00533203">
        <w:rPr>
          <w:sz w:val="14"/>
          <w:szCs w:val="14"/>
        </w:rPr>
        <w:t>i</w:t>
      </w:r>
      <w:r w:rsidRPr="00533203">
        <w:rPr>
          <w:sz w:val="14"/>
          <w:szCs w:val="14"/>
        </w:rPr>
        <w:t>ts subs</w:t>
      </w:r>
      <w:r w:rsidR="00C56A6A" w:rsidRPr="00533203">
        <w:rPr>
          <w:sz w:val="14"/>
          <w:szCs w:val="14"/>
        </w:rPr>
        <w:t>i</w:t>
      </w:r>
      <w:r w:rsidRPr="00533203">
        <w:rPr>
          <w:sz w:val="14"/>
          <w:szCs w:val="14"/>
        </w:rPr>
        <w:t>d</w:t>
      </w:r>
      <w:r w:rsidR="00C56A6A" w:rsidRPr="00533203">
        <w:rPr>
          <w:sz w:val="14"/>
          <w:szCs w:val="14"/>
        </w:rPr>
        <w:t>i</w:t>
      </w:r>
      <w:r w:rsidRPr="00533203">
        <w:rPr>
          <w:sz w:val="14"/>
          <w:szCs w:val="14"/>
        </w:rPr>
        <w:t>ar</w:t>
      </w:r>
      <w:r w:rsidR="00C56A6A" w:rsidRPr="00533203">
        <w:rPr>
          <w:sz w:val="14"/>
          <w:szCs w:val="14"/>
        </w:rPr>
        <w:t>i</w:t>
      </w:r>
      <w:r w:rsidRPr="00533203">
        <w:rPr>
          <w:sz w:val="14"/>
          <w:szCs w:val="14"/>
        </w:rPr>
        <w:t>es</w:t>
      </w:r>
      <w:r w:rsidR="00977D25" w:rsidRPr="00533203">
        <w:rPr>
          <w:sz w:val="14"/>
          <w:szCs w:val="14"/>
        </w:rPr>
        <w:tab/>
      </w:r>
      <w:r w:rsidR="00977D25" w:rsidRPr="00533203">
        <w:rPr>
          <w:sz w:val="14"/>
          <w:szCs w:val="14"/>
        </w:rPr>
        <w:tab/>
      </w:r>
      <w:r w:rsidR="00D0636C" w:rsidRPr="00533203">
        <w:rPr>
          <w:sz w:val="14"/>
          <w:szCs w:val="14"/>
        </w:rPr>
        <w:t>3</w:t>
      </w:r>
    </w:p>
    <w:p w14:paraId="02884E08" w14:textId="77777777" w:rsidR="00D36A19" w:rsidRPr="00977D25" w:rsidRDefault="00D36A19" w:rsidP="001651E8">
      <w:pPr>
        <w:pStyle w:val="BodyTextIndent"/>
        <w:tabs>
          <w:tab w:val="right" w:leader="dot" w:pos="10009"/>
          <w:tab w:val="right" w:pos="10772"/>
        </w:tabs>
        <w:spacing w:after="0" w:line="216" w:lineRule="auto"/>
        <w:ind w:hanging="1080"/>
        <w:jc w:val="center"/>
        <w:rPr>
          <w:b/>
          <w:sz w:val="14"/>
          <w:szCs w:val="14"/>
        </w:rPr>
      </w:pPr>
    </w:p>
    <w:p w14:paraId="42262CCC" w14:textId="77777777" w:rsidR="00D36A19" w:rsidRPr="001651E8" w:rsidRDefault="00D36A19" w:rsidP="001651E8">
      <w:pPr>
        <w:pStyle w:val="BodyTextIndent"/>
        <w:tabs>
          <w:tab w:val="left" w:pos="4140"/>
          <w:tab w:val="right" w:leader="dot" w:pos="10009"/>
        </w:tabs>
        <w:spacing w:after="0" w:line="216" w:lineRule="auto"/>
        <w:ind w:left="4253" w:hanging="4253"/>
        <w:jc w:val="center"/>
        <w:rPr>
          <w:b/>
          <w:noProof/>
          <w:sz w:val="14"/>
          <w:szCs w:val="14"/>
          <w:u w:val="single"/>
          <w:lang w:val="tr-TR"/>
        </w:rPr>
      </w:pPr>
      <w:r w:rsidRPr="001651E8">
        <w:rPr>
          <w:b/>
          <w:noProof/>
          <w:sz w:val="14"/>
          <w:szCs w:val="14"/>
          <w:u w:val="single"/>
          <w:lang w:val="tr-TR"/>
        </w:rPr>
        <w:t>SECTION TWO</w:t>
      </w:r>
    </w:p>
    <w:p w14:paraId="4CD90863" w14:textId="7B098ECF" w:rsidR="00D36A19" w:rsidRPr="00977D25" w:rsidRDefault="00677268" w:rsidP="001651E8">
      <w:pPr>
        <w:pStyle w:val="BodyTextIndent"/>
        <w:tabs>
          <w:tab w:val="left" w:pos="4140"/>
          <w:tab w:val="right" w:leader="dot" w:pos="10009"/>
        </w:tabs>
        <w:spacing w:after="0" w:line="216" w:lineRule="auto"/>
        <w:ind w:left="4253" w:hanging="4253"/>
        <w:jc w:val="center"/>
        <w:rPr>
          <w:bCs/>
          <w:sz w:val="14"/>
          <w:szCs w:val="14"/>
        </w:rPr>
      </w:pPr>
      <w:r w:rsidRPr="001651E8">
        <w:rPr>
          <w:b/>
          <w:noProof/>
          <w:sz w:val="14"/>
          <w:szCs w:val="14"/>
          <w:lang w:val="tr-TR"/>
        </w:rPr>
        <w:t>Consolidated Financial</w:t>
      </w:r>
      <w:r w:rsidRPr="00977D25">
        <w:rPr>
          <w:b/>
          <w:sz w:val="14"/>
          <w:szCs w:val="14"/>
        </w:rPr>
        <w:t xml:space="preserve"> Statements</w:t>
      </w:r>
    </w:p>
    <w:p w14:paraId="3D23A571" w14:textId="56539C72" w:rsidR="00D36A19" w:rsidRPr="00977D25" w:rsidRDefault="00E235B3" w:rsidP="001651E8">
      <w:pPr>
        <w:pStyle w:val="BodyTextIndent"/>
        <w:widowControl w:val="0"/>
        <w:numPr>
          <w:ilvl w:val="0"/>
          <w:numId w:val="78"/>
        </w:numPr>
        <w:tabs>
          <w:tab w:val="left" w:pos="851"/>
          <w:tab w:val="right" w:leader="dot" w:pos="10009"/>
          <w:tab w:val="right" w:pos="10773"/>
        </w:tabs>
        <w:adjustRightInd w:val="0"/>
        <w:spacing w:after="0" w:line="216" w:lineRule="auto"/>
        <w:ind w:hanging="1080"/>
        <w:jc w:val="both"/>
        <w:textAlignment w:val="baseline"/>
        <w:rPr>
          <w:sz w:val="14"/>
          <w:szCs w:val="14"/>
        </w:rPr>
      </w:pPr>
      <w:r w:rsidRPr="00977D25">
        <w:rPr>
          <w:sz w:val="14"/>
          <w:szCs w:val="14"/>
        </w:rPr>
        <w:t>B</w:t>
      </w:r>
      <w:r w:rsidR="00D36A19" w:rsidRPr="00977D25">
        <w:rPr>
          <w:sz w:val="14"/>
          <w:szCs w:val="14"/>
        </w:rPr>
        <w:t>alance sheet</w:t>
      </w:r>
      <w:r w:rsidR="00F142CB" w:rsidRPr="00977D25">
        <w:rPr>
          <w:sz w:val="14"/>
          <w:szCs w:val="14"/>
        </w:rPr>
        <w:t xml:space="preserve"> (Statement of Financial Position)</w:t>
      </w:r>
      <w:r w:rsidR="00D36A19" w:rsidRPr="00977D25">
        <w:rPr>
          <w:sz w:val="14"/>
          <w:szCs w:val="14"/>
        </w:rPr>
        <w:tab/>
      </w:r>
      <w:r w:rsidR="00D36A19" w:rsidRPr="00977D25">
        <w:rPr>
          <w:sz w:val="14"/>
          <w:szCs w:val="14"/>
        </w:rPr>
        <w:tab/>
      </w:r>
      <w:r w:rsidR="00D0636C" w:rsidRPr="00977D25">
        <w:rPr>
          <w:sz w:val="14"/>
          <w:szCs w:val="14"/>
        </w:rPr>
        <w:t>4</w:t>
      </w:r>
      <w:r w:rsidR="00D36A19" w:rsidRPr="00977D25">
        <w:rPr>
          <w:sz w:val="14"/>
          <w:szCs w:val="14"/>
        </w:rPr>
        <w:t>-</w:t>
      </w:r>
      <w:r w:rsidR="00D0636C" w:rsidRPr="00977D25">
        <w:rPr>
          <w:sz w:val="14"/>
          <w:szCs w:val="14"/>
        </w:rPr>
        <w:t>5</w:t>
      </w:r>
    </w:p>
    <w:p w14:paraId="1B8EB3F9" w14:textId="77777777" w:rsidR="00D36A19" w:rsidRPr="00977D25" w:rsidRDefault="00E235B3" w:rsidP="001651E8">
      <w:pPr>
        <w:pStyle w:val="BodyTextIndent"/>
        <w:widowControl w:val="0"/>
        <w:numPr>
          <w:ilvl w:val="0"/>
          <w:numId w:val="78"/>
        </w:numPr>
        <w:tabs>
          <w:tab w:val="left" w:pos="851"/>
          <w:tab w:val="right" w:leader="dot" w:pos="10009"/>
          <w:tab w:val="right" w:pos="10773"/>
        </w:tabs>
        <w:adjustRightInd w:val="0"/>
        <w:spacing w:after="0" w:line="216" w:lineRule="auto"/>
        <w:ind w:hanging="1080"/>
        <w:jc w:val="both"/>
        <w:textAlignment w:val="baseline"/>
        <w:rPr>
          <w:sz w:val="14"/>
          <w:szCs w:val="14"/>
        </w:rPr>
      </w:pPr>
      <w:r w:rsidRPr="00977D25">
        <w:rPr>
          <w:sz w:val="14"/>
          <w:szCs w:val="14"/>
        </w:rPr>
        <w:t>O</w:t>
      </w:r>
      <w:r w:rsidR="00D36A19" w:rsidRPr="00977D25">
        <w:rPr>
          <w:sz w:val="14"/>
          <w:szCs w:val="14"/>
        </w:rPr>
        <w:t>ff-balance sheet</w:t>
      </w:r>
      <w:r w:rsidR="00D0636C" w:rsidRPr="00977D25">
        <w:rPr>
          <w:sz w:val="14"/>
          <w:szCs w:val="14"/>
        </w:rPr>
        <w:t xml:space="preserve"> items</w:t>
      </w:r>
      <w:r w:rsidR="00D36A19" w:rsidRPr="00977D25">
        <w:rPr>
          <w:sz w:val="14"/>
          <w:szCs w:val="14"/>
        </w:rPr>
        <w:t xml:space="preserve"> </w:t>
      </w:r>
      <w:r w:rsidR="00D36A19" w:rsidRPr="00977D25">
        <w:rPr>
          <w:sz w:val="14"/>
          <w:szCs w:val="14"/>
        </w:rPr>
        <w:tab/>
      </w:r>
      <w:r w:rsidR="00D36A19" w:rsidRPr="00977D25">
        <w:rPr>
          <w:sz w:val="14"/>
          <w:szCs w:val="14"/>
        </w:rPr>
        <w:tab/>
      </w:r>
      <w:r w:rsidR="00D0636C" w:rsidRPr="00977D25">
        <w:rPr>
          <w:sz w:val="14"/>
          <w:szCs w:val="14"/>
        </w:rPr>
        <w:t>6</w:t>
      </w:r>
    </w:p>
    <w:p w14:paraId="4C9B1BB7" w14:textId="77777777" w:rsidR="00D36A19" w:rsidRPr="00977D25" w:rsidRDefault="00E235B3" w:rsidP="001651E8">
      <w:pPr>
        <w:pStyle w:val="BodyTextIndent"/>
        <w:widowControl w:val="0"/>
        <w:numPr>
          <w:ilvl w:val="0"/>
          <w:numId w:val="78"/>
        </w:numPr>
        <w:tabs>
          <w:tab w:val="left" w:pos="851"/>
          <w:tab w:val="right" w:leader="dot" w:pos="10009"/>
          <w:tab w:val="right" w:pos="10773"/>
        </w:tabs>
        <w:adjustRightInd w:val="0"/>
        <w:spacing w:after="0" w:line="216" w:lineRule="auto"/>
        <w:ind w:hanging="1080"/>
        <w:jc w:val="both"/>
        <w:textAlignment w:val="baseline"/>
        <w:rPr>
          <w:sz w:val="14"/>
          <w:szCs w:val="14"/>
        </w:rPr>
      </w:pPr>
      <w:r w:rsidRPr="00977D25">
        <w:rPr>
          <w:sz w:val="14"/>
          <w:szCs w:val="14"/>
        </w:rPr>
        <w:t>I</w:t>
      </w:r>
      <w:r w:rsidR="00D36A19" w:rsidRPr="00977D25">
        <w:rPr>
          <w:sz w:val="14"/>
          <w:szCs w:val="14"/>
        </w:rPr>
        <w:t>ncome statement</w:t>
      </w:r>
      <w:r w:rsidR="00D36A19" w:rsidRPr="00977D25">
        <w:rPr>
          <w:sz w:val="14"/>
          <w:szCs w:val="14"/>
        </w:rPr>
        <w:tab/>
      </w:r>
      <w:r w:rsidR="00D36A19" w:rsidRPr="00977D25">
        <w:rPr>
          <w:sz w:val="14"/>
          <w:szCs w:val="14"/>
        </w:rPr>
        <w:tab/>
      </w:r>
      <w:r w:rsidR="00D0636C" w:rsidRPr="00977D25">
        <w:rPr>
          <w:sz w:val="14"/>
          <w:szCs w:val="14"/>
        </w:rPr>
        <w:t>7</w:t>
      </w:r>
    </w:p>
    <w:p w14:paraId="75832786" w14:textId="77777777" w:rsidR="00D36A19" w:rsidRPr="00977D25" w:rsidRDefault="00E235B3" w:rsidP="001651E8">
      <w:pPr>
        <w:pStyle w:val="BodyTextIndent"/>
        <w:widowControl w:val="0"/>
        <w:numPr>
          <w:ilvl w:val="0"/>
          <w:numId w:val="78"/>
        </w:numPr>
        <w:tabs>
          <w:tab w:val="left" w:pos="851"/>
          <w:tab w:val="right" w:leader="dot" w:pos="10009"/>
          <w:tab w:val="right" w:pos="10773"/>
        </w:tabs>
        <w:adjustRightInd w:val="0"/>
        <w:spacing w:after="0" w:line="216" w:lineRule="auto"/>
        <w:ind w:hanging="1080"/>
        <w:jc w:val="both"/>
        <w:textAlignment w:val="baseline"/>
        <w:rPr>
          <w:sz w:val="14"/>
          <w:szCs w:val="14"/>
        </w:rPr>
      </w:pPr>
      <w:r w:rsidRPr="00977D25">
        <w:rPr>
          <w:sz w:val="14"/>
          <w:szCs w:val="14"/>
        </w:rPr>
        <w:t>S</w:t>
      </w:r>
      <w:r w:rsidR="00D36A19" w:rsidRPr="00977D25">
        <w:rPr>
          <w:sz w:val="14"/>
          <w:szCs w:val="14"/>
        </w:rPr>
        <w:t xml:space="preserve">tatement of </w:t>
      </w:r>
      <w:r w:rsidR="00D0636C" w:rsidRPr="00977D25">
        <w:rPr>
          <w:sz w:val="14"/>
          <w:szCs w:val="14"/>
        </w:rPr>
        <w:t>comprehensive income</w:t>
      </w:r>
      <w:r w:rsidR="00D36A19" w:rsidRPr="00977D25">
        <w:rPr>
          <w:sz w:val="14"/>
          <w:szCs w:val="14"/>
        </w:rPr>
        <w:t xml:space="preserve"> </w:t>
      </w:r>
      <w:r w:rsidR="00D36A19" w:rsidRPr="00977D25">
        <w:rPr>
          <w:sz w:val="14"/>
          <w:szCs w:val="14"/>
        </w:rPr>
        <w:tab/>
      </w:r>
      <w:r w:rsidR="00D36A19" w:rsidRPr="00977D25">
        <w:rPr>
          <w:sz w:val="14"/>
          <w:szCs w:val="14"/>
        </w:rPr>
        <w:tab/>
      </w:r>
      <w:r w:rsidR="00D0636C" w:rsidRPr="00977D25">
        <w:rPr>
          <w:sz w:val="14"/>
          <w:szCs w:val="14"/>
        </w:rPr>
        <w:t>8</w:t>
      </w:r>
    </w:p>
    <w:p w14:paraId="43903D09" w14:textId="77777777" w:rsidR="00D36A19" w:rsidRPr="00977D25" w:rsidRDefault="00E235B3" w:rsidP="001651E8">
      <w:pPr>
        <w:pStyle w:val="BodyTextIndent"/>
        <w:widowControl w:val="0"/>
        <w:numPr>
          <w:ilvl w:val="0"/>
          <w:numId w:val="78"/>
        </w:numPr>
        <w:tabs>
          <w:tab w:val="left" w:pos="851"/>
          <w:tab w:val="right" w:leader="dot" w:pos="10009"/>
          <w:tab w:val="right" w:pos="10773"/>
        </w:tabs>
        <w:adjustRightInd w:val="0"/>
        <w:spacing w:after="0" w:line="216" w:lineRule="auto"/>
        <w:ind w:hanging="1080"/>
        <w:jc w:val="both"/>
        <w:textAlignment w:val="baseline"/>
        <w:rPr>
          <w:sz w:val="14"/>
          <w:szCs w:val="14"/>
        </w:rPr>
      </w:pPr>
      <w:r w:rsidRPr="00977D25">
        <w:rPr>
          <w:sz w:val="14"/>
          <w:szCs w:val="14"/>
        </w:rPr>
        <w:t>S</w:t>
      </w:r>
      <w:r w:rsidR="00D36A19" w:rsidRPr="00977D25">
        <w:rPr>
          <w:sz w:val="14"/>
          <w:szCs w:val="14"/>
        </w:rPr>
        <w:t>tatement of changes in shareholders’ equity</w:t>
      </w:r>
      <w:r w:rsidR="00D36A19" w:rsidRPr="00977D25">
        <w:rPr>
          <w:sz w:val="14"/>
          <w:szCs w:val="14"/>
        </w:rPr>
        <w:tab/>
      </w:r>
      <w:r w:rsidR="00D36A19" w:rsidRPr="00977D25">
        <w:rPr>
          <w:sz w:val="14"/>
          <w:szCs w:val="14"/>
        </w:rPr>
        <w:tab/>
      </w:r>
      <w:r w:rsidR="00D0636C" w:rsidRPr="00977D25">
        <w:rPr>
          <w:sz w:val="14"/>
          <w:szCs w:val="14"/>
        </w:rPr>
        <w:t>9</w:t>
      </w:r>
      <w:r w:rsidR="00D36A19" w:rsidRPr="00977D25">
        <w:rPr>
          <w:sz w:val="14"/>
          <w:szCs w:val="14"/>
        </w:rPr>
        <w:t>-</w:t>
      </w:r>
      <w:r w:rsidR="00935A7B" w:rsidRPr="00977D25">
        <w:rPr>
          <w:sz w:val="14"/>
          <w:szCs w:val="14"/>
        </w:rPr>
        <w:t>1</w:t>
      </w:r>
      <w:r w:rsidR="00D0636C" w:rsidRPr="00977D25">
        <w:rPr>
          <w:sz w:val="14"/>
          <w:szCs w:val="14"/>
        </w:rPr>
        <w:t>0</w:t>
      </w:r>
    </w:p>
    <w:p w14:paraId="0F8257C4" w14:textId="77777777" w:rsidR="00D36A19" w:rsidRPr="00977D25" w:rsidRDefault="00E235B3" w:rsidP="001651E8">
      <w:pPr>
        <w:pStyle w:val="BodyTextIndent"/>
        <w:widowControl w:val="0"/>
        <w:numPr>
          <w:ilvl w:val="0"/>
          <w:numId w:val="78"/>
        </w:numPr>
        <w:tabs>
          <w:tab w:val="left" w:pos="851"/>
          <w:tab w:val="right" w:leader="dot" w:pos="10009"/>
          <w:tab w:val="right" w:pos="10773"/>
        </w:tabs>
        <w:adjustRightInd w:val="0"/>
        <w:spacing w:after="0" w:line="216" w:lineRule="auto"/>
        <w:ind w:hanging="1080"/>
        <w:jc w:val="both"/>
        <w:textAlignment w:val="baseline"/>
        <w:rPr>
          <w:sz w:val="14"/>
          <w:szCs w:val="14"/>
        </w:rPr>
      </w:pPr>
      <w:r w:rsidRPr="00977D25">
        <w:rPr>
          <w:sz w:val="14"/>
          <w:szCs w:val="14"/>
        </w:rPr>
        <w:t>S</w:t>
      </w:r>
      <w:r w:rsidR="00D36A19" w:rsidRPr="00977D25">
        <w:rPr>
          <w:sz w:val="14"/>
          <w:szCs w:val="14"/>
        </w:rPr>
        <w:t>tatement of cash flows</w:t>
      </w:r>
      <w:r w:rsidR="00D36A19" w:rsidRPr="00977D25">
        <w:rPr>
          <w:sz w:val="14"/>
          <w:szCs w:val="14"/>
        </w:rPr>
        <w:tab/>
      </w:r>
      <w:r w:rsidR="00D36A19" w:rsidRPr="00977D25">
        <w:rPr>
          <w:sz w:val="14"/>
          <w:szCs w:val="14"/>
        </w:rPr>
        <w:tab/>
      </w:r>
      <w:r w:rsidR="00935A7B" w:rsidRPr="00977D25">
        <w:rPr>
          <w:sz w:val="14"/>
          <w:szCs w:val="14"/>
        </w:rPr>
        <w:t>1</w:t>
      </w:r>
      <w:r w:rsidR="00D0636C" w:rsidRPr="00977D25">
        <w:rPr>
          <w:sz w:val="14"/>
          <w:szCs w:val="14"/>
        </w:rPr>
        <w:t>1</w:t>
      </w:r>
    </w:p>
    <w:p w14:paraId="05F6333D" w14:textId="4FA64F36" w:rsidR="00FC2264" w:rsidRPr="00977D25" w:rsidRDefault="00C26FCD" w:rsidP="001651E8">
      <w:pPr>
        <w:pStyle w:val="BodyTextIndent"/>
        <w:widowControl w:val="0"/>
        <w:numPr>
          <w:ilvl w:val="0"/>
          <w:numId w:val="78"/>
        </w:numPr>
        <w:tabs>
          <w:tab w:val="left" w:pos="851"/>
          <w:tab w:val="right" w:leader="dot" w:pos="10009"/>
          <w:tab w:val="right" w:pos="10773"/>
        </w:tabs>
        <w:adjustRightInd w:val="0"/>
        <w:spacing w:after="0" w:line="216" w:lineRule="auto"/>
        <w:ind w:hanging="1080"/>
        <w:jc w:val="both"/>
        <w:textAlignment w:val="baseline"/>
        <w:rPr>
          <w:sz w:val="14"/>
          <w:szCs w:val="14"/>
        </w:rPr>
      </w:pPr>
      <w:r>
        <w:rPr>
          <w:sz w:val="14"/>
          <w:szCs w:val="14"/>
        </w:rPr>
        <w:t>Statement of p</w:t>
      </w:r>
      <w:r w:rsidR="00F142CB" w:rsidRPr="00977D25">
        <w:rPr>
          <w:sz w:val="14"/>
          <w:szCs w:val="14"/>
        </w:rPr>
        <w:t xml:space="preserve">rofit </w:t>
      </w:r>
      <w:r>
        <w:rPr>
          <w:sz w:val="14"/>
          <w:szCs w:val="14"/>
        </w:rPr>
        <w:t>distribution</w:t>
      </w:r>
      <w:r w:rsidR="00FC2264" w:rsidRPr="00977D25">
        <w:rPr>
          <w:sz w:val="14"/>
          <w:szCs w:val="14"/>
        </w:rPr>
        <w:tab/>
      </w:r>
      <w:r w:rsidR="00FC2264" w:rsidRPr="00977D25">
        <w:rPr>
          <w:sz w:val="14"/>
          <w:szCs w:val="14"/>
        </w:rPr>
        <w:tab/>
        <w:t>12</w:t>
      </w:r>
    </w:p>
    <w:p w14:paraId="0A1F8D34" w14:textId="77777777" w:rsidR="00D36A19" w:rsidRPr="00977D25" w:rsidRDefault="00D36A19" w:rsidP="001651E8">
      <w:pPr>
        <w:pStyle w:val="BodyTextIndent"/>
        <w:tabs>
          <w:tab w:val="right" w:leader="dot" w:pos="10009"/>
        </w:tabs>
        <w:spacing w:after="0" w:line="216" w:lineRule="auto"/>
        <w:ind w:left="3960" w:firstLine="360"/>
        <w:rPr>
          <w:sz w:val="14"/>
          <w:szCs w:val="14"/>
        </w:rPr>
      </w:pPr>
    </w:p>
    <w:p w14:paraId="7778BC62" w14:textId="77777777" w:rsidR="00935A7B" w:rsidRPr="001651E8" w:rsidRDefault="00935A7B" w:rsidP="001651E8">
      <w:pPr>
        <w:pStyle w:val="BodyTextIndent"/>
        <w:tabs>
          <w:tab w:val="left" w:pos="4140"/>
          <w:tab w:val="right" w:leader="dot" w:pos="10009"/>
        </w:tabs>
        <w:spacing w:after="0" w:line="216" w:lineRule="auto"/>
        <w:ind w:left="4253" w:hanging="4253"/>
        <w:jc w:val="center"/>
        <w:rPr>
          <w:b/>
          <w:noProof/>
          <w:sz w:val="14"/>
          <w:szCs w:val="14"/>
          <w:u w:val="single"/>
          <w:lang w:val="tr-TR"/>
        </w:rPr>
      </w:pPr>
      <w:r w:rsidRPr="001651E8">
        <w:rPr>
          <w:b/>
          <w:noProof/>
          <w:sz w:val="14"/>
          <w:szCs w:val="14"/>
          <w:u w:val="single"/>
          <w:lang w:val="tr-TR"/>
        </w:rPr>
        <w:t>SECTION THREE</w:t>
      </w:r>
    </w:p>
    <w:p w14:paraId="448CA26E" w14:textId="0F950817" w:rsidR="00935A7B" w:rsidRPr="00977D25" w:rsidRDefault="00677268" w:rsidP="001651E8">
      <w:pPr>
        <w:pStyle w:val="BodyTextIndent"/>
        <w:tabs>
          <w:tab w:val="left" w:pos="4140"/>
          <w:tab w:val="right" w:leader="dot" w:pos="10009"/>
        </w:tabs>
        <w:spacing w:after="0" w:line="216" w:lineRule="auto"/>
        <w:ind w:left="4253" w:hanging="4253"/>
        <w:jc w:val="center"/>
        <w:rPr>
          <w:b/>
          <w:sz w:val="14"/>
          <w:szCs w:val="14"/>
        </w:rPr>
      </w:pPr>
      <w:r w:rsidRPr="001651E8">
        <w:rPr>
          <w:b/>
          <w:noProof/>
          <w:sz w:val="14"/>
          <w:szCs w:val="14"/>
          <w:lang w:val="tr-TR"/>
        </w:rPr>
        <w:t>Explanations on Accounting</w:t>
      </w:r>
      <w:r w:rsidRPr="00977D25">
        <w:rPr>
          <w:b/>
          <w:sz w:val="14"/>
          <w:szCs w:val="14"/>
        </w:rPr>
        <w:t xml:space="preserve"> Policies</w:t>
      </w:r>
    </w:p>
    <w:p w14:paraId="50CA7BEC" w14:textId="7F48098D" w:rsidR="00935A7B" w:rsidRPr="00977D25" w:rsidRDefault="00935A7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Basis of presentation</w:t>
      </w:r>
      <w:r w:rsidRPr="00977D25">
        <w:rPr>
          <w:sz w:val="14"/>
          <w:szCs w:val="14"/>
        </w:rPr>
        <w:tab/>
      </w:r>
      <w:r w:rsidRPr="00977D25">
        <w:rPr>
          <w:sz w:val="14"/>
          <w:szCs w:val="14"/>
        </w:rPr>
        <w:tab/>
        <w:t>1</w:t>
      </w:r>
      <w:r w:rsidR="00FC2264" w:rsidRPr="00977D25">
        <w:rPr>
          <w:sz w:val="14"/>
          <w:szCs w:val="14"/>
        </w:rPr>
        <w:t>3</w:t>
      </w:r>
    </w:p>
    <w:p w14:paraId="0300FBDB" w14:textId="0E22B72B"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St</w:t>
      </w:r>
      <w:r w:rsidR="00935A7B" w:rsidRPr="00977D25">
        <w:rPr>
          <w:sz w:val="14"/>
          <w:szCs w:val="14"/>
        </w:rPr>
        <w:t>rategy of using financial instruments and foreign currency transactions</w:t>
      </w:r>
      <w:r w:rsidR="00935A7B" w:rsidRPr="00977D25">
        <w:rPr>
          <w:sz w:val="14"/>
          <w:szCs w:val="14"/>
        </w:rPr>
        <w:tab/>
      </w:r>
      <w:r w:rsidR="00935A7B" w:rsidRPr="00977D25">
        <w:rPr>
          <w:sz w:val="14"/>
          <w:szCs w:val="14"/>
        </w:rPr>
        <w:tab/>
        <w:t>1</w:t>
      </w:r>
      <w:r w:rsidR="00FC2264" w:rsidRPr="00977D25">
        <w:rPr>
          <w:sz w:val="14"/>
          <w:szCs w:val="14"/>
        </w:rPr>
        <w:t>3</w:t>
      </w:r>
    </w:p>
    <w:p w14:paraId="57CAC258" w14:textId="0CFF23D3"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C</w:t>
      </w:r>
      <w:r w:rsidR="003D45A9" w:rsidRPr="00977D25">
        <w:rPr>
          <w:sz w:val="14"/>
          <w:szCs w:val="14"/>
        </w:rPr>
        <w:t xml:space="preserve">onsolidated </w:t>
      </w:r>
      <w:r w:rsidR="00935A7B" w:rsidRPr="00977D25">
        <w:rPr>
          <w:sz w:val="14"/>
          <w:szCs w:val="14"/>
        </w:rPr>
        <w:t>subsidiaries</w:t>
      </w:r>
      <w:r w:rsidR="00935A7B" w:rsidRPr="00977D25">
        <w:rPr>
          <w:sz w:val="14"/>
          <w:szCs w:val="14"/>
        </w:rPr>
        <w:tab/>
      </w:r>
      <w:r w:rsidR="00935A7B" w:rsidRPr="00977D25">
        <w:rPr>
          <w:sz w:val="14"/>
          <w:szCs w:val="14"/>
        </w:rPr>
        <w:tab/>
        <w:t>1</w:t>
      </w:r>
      <w:r w:rsidR="00FC2264" w:rsidRPr="00977D25">
        <w:rPr>
          <w:sz w:val="14"/>
          <w:szCs w:val="14"/>
        </w:rPr>
        <w:t>4</w:t>
      </w:r>
    </w:p>
    <w:p w14:paraId="188E963F" w14:textId="3DEB385E"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F</w:t>
      </w:r>
      <w:r w:rsidR="00935A7B" w:rsidRPr="00977D25">
        <w:rPr>
          <w:sz w:val="14"/>
          <w:szCs w:val="14"/>
        </w:rPr>
        <w:t>orward transactions, options and derivative instruments</w:t>
      </w:r>
      <w:r w:rsidR="00935A7B" w:rsidRPr="00977D25">
        <w:rPr>
          <w:sz w:val="14"/>
          <w:szCs w:val="14"/>
        </w:rPr>
        <w:tab/>
      </w:r>
      <w:r w:rsidR="00935A7B" w:rsidRPr="00977D25">
        <w:rPr>
          <w:sz w:val="14"/>
          <w:szCs w:val="14"/>
        </w:rPr>
        <w:tab/>
        <w:t>1</w:t>
      </w:r>
      <w:r w:rsidR="00FC2264" w:rsidRPr="00977D25">
        <w:rPr>
          <w:sz w:val="14"/>
          <w:szCs w:val="14"/>
        </w:rPr>
        <w:t>5</w:t>
      </w:r>
    </w:p>
    <w:p w14:paraId="3126A510" w14:textId="7E57AACA"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I</w:t>
      </w:r>
      <w:r w:rsidR="00935A7B" w:rsidRPr="00977D25">
        <w:rPr>
          <w:sz w:val="14"/>
          <w:szCs w:val="14"/>
        </w:rPr>
        <w:t>nterest income and expense</w:t>
      </w:r>
      <w:r w:rsidR="00935A7B" w:rsidRPr="00977D25">
        <w:rPr>
          <w:sz w:val="14"/>
          <w:szCs w:val="14"/>
        </w:rPr>
        <w:tab/>
      </w:r>
      <w:r w:rsidR="00935A7B" w:rsidRPr="00977D25">
        <w:rPr>
          <w:sz w:val="14"/>
          <w:szCs w:val="14"/>
        </w:rPr>
        <w:tab/>
        <w:t>1</w:t>
      </w:r>
      <w:r w:rsidR="00FC2264" w:rsidRPr="00977D25">
        <w:rPr>
          <w:sz w:val="14"/>
          <w:szCs w:val="14"/>
        </w:rPr>
        <w:t>5</w:t>
      </w:r>
    </w:p>
    <w:p w14:paraId="329716CD" w14:textId="27D192D8"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F</w:t>
      </w:r>
      <w:r w:rsidR="00935A7B" w:rsidRPr="00977D25">
        <w:rPr>
          <w:sz w:val="14"/>
          <w:szCs w:val="14"/>
        </w:rPr>
        <w:t>ee and commission income and expense</w:t>
      </w:r>
      <w:r w:rsidR="00935A7B" w:rsidRPr="00977D25">
        <w:rPr>
          <w:sz w:val="14"/>
          <w:szCs w:val="14"/>
        </w:rPr>
        <w:tab/>
      </w:r>
      <w:r w:rsidR="00935A7B" w:rsidRPr="00977D25">
        <w:rPr>
          <w:sz w:val="14"/>
          <w:szCs w:val="14"/>
        </w:rPr>
        <w:tab/>
        <w:t>1</w:t>
      </w:r>
      <w:r w:rsidR="00FC2264" w:rsidRPr="00977D25">
        <w:rPr>
          <w:sz w:val="14"/>
          <w:szCs w:val="14"/>
        </w:rPr>
        <w:t>5</w:t>
      </w:r>
    </w:p>
    <w:p w14:paraId="695294F4" w14:textId="1865A251"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F</w:t>
      </w:r>
      <w:r w:rsidR="00FC2264" w:rsidRPr="00977D25">
        <w:rPr>
          <w:sz w:val="14"/>
          <w:szCs w:val="14"/>
        </w:rPr>
        <w:t>inancial assets</w:t>
      </w:r>
      <w:r w:rsidR="00FC2264" w:rsidRPr="00977D25">
        <w:rPr>
          <w:sz w:val="14"/>
          <w:szCs w:val="14"/>
        </w:rPr>
        <w:tab/>
      </w:r>
      <w:r w:rsidR="00FC2264" w:rsidRPr="00977D25">
        <w:rPr>
          <w:sz w:val="14"/>
          <w:szCs w:val="14"/>
        </w:rPr>
        <w:tab/>
        <w:t>16</w:t>
      </w:r>
      <w:r w:rsidR="00935A7B" w:rsidRPr="00977D25">
        <w:rPr>
          <w:sz w:val="14"/>
          <w:szCs w:val="14"/>
        </w:rPr>
        <w:t>-1</w:t>
      </w:r>
      <w:r w:rsidR="00FC2264" w:rsidRPr="00977D25">
        <w:rPr>
          <w:sz w:val="14"/>
          <w:szCs w:val="14"/>
        </w:rPr>
        <w:t>7</w:t>
      </w:r>
    </w:p>
    <w:p w14:paraId="202956B8" w14:textId="345EDD10"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I</w:t>
      </w:r>
      <w:r w:rsidR="00935A7B" w:rsidRPr="00977D25">
        <w:rPr>
          <w:sz w:val="14"/>
          <w:szCs w:val="14"/>
        </w:rPr>
        <w:t>m</w:t>
      </w:r>
      <w:r w:rsidR="00FC2264" w:rsidRPr="00977D25">
        <w:rPr>
          <w:sz w:val="14"/>
          <w:szCs w:val="14"/>
        </w:rPr>
        <w:t>pairment of financial assets</w:t>
      </w:r>
      <w:r w:rsidR="00FC2264" w:rsidRPr="00977D25">
        <w:rPr>
          <w:sz w:val="14"/>
          <w:szCs w:val="14"/>
        </w:rPr>
        <w:tab/>
      </w:r>
      <w:r w:rsidR="00FC2264" w:rsidRPr="00977D25">
        <w:rPr>
          <w:sz w:val="14"/>
          <w:szCs w:val="14"/>
        </w:rPr>
        <w:tab/>
        <w:t>18</w:t>
      </w:r>
    </w:p>
    <w:p w14:paraId="6CF090E8" w14:textId="39B1CE40"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O</w:t>
      </w:r>
      <w:r w:rsidR="002F30F5" w:rsidRPr="00977D25">
        <w:rPr>
          <w:sz w:val="14"/>
          <w:szCs w:val="14"/>
        </w:rPr>
        <w:t>ffsetting financial assets</w:t>
      </w:r>
      <w:r w:rsidR="00FC2264" w:rsidRPr="00977D25">
        <w:rPr>
          <w:sz w:val="14"/>
          <w:szCs w:val="14"/>
        </w:rPr>
        <w:tab/>
      </w:r>
      <w:r w:rsidR="00FC2264" w:rsidRPr="00977D25">
        <w:rPr>
          <w:sz w:val="14"/>
          <w:szCs w:val="14"/>
        </w:rPr>
        <w:tab/>
        <w:t>18</w:t>
      </w:r>
    </w:p>
    <w:p w14:paraId="63F3F9BB" w14:textId="0B6326E2"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S</w:t>
      </w:r>
      <w:r w:rsidR="00935A7B" w:rsidRPr="00977D25">
        <w:rPr>
          <w:sz w:val="14"/>
          <w:szCs w:val="14"/>
        </w:rPr>
        <w:t>ales and repurchase agreements and sec</w:t>
      </w:r>
      <w:r w:rsidR="00FC2264" w:rsidRPr="00977D25">
        <w:rPr>
          <w:sz w:val="14"/>
          <w:szCs w:val="14"/>
        </w:rPr>
        <w:t>urities lending transactions</w:t>
      </w:r>
      <w:r w:rsidR="00FC2264" w:rsidRPr="00977D25">
        <w:rPr>
          <w:sz w:val="14"/>
          <w:szCs w:val="14"/>
        </w:rPr>
        <w:tab/>
      </w:r>
      <w:r w:rsidR="00FC2264" w:rsidRPr="00977D25">
        <w:rPr>
          <w:sz w:val="14"/>
          <w:szCs w:val="14"/>
        </w:rPr>
        <w:tab/>
        <w:t>18</w:t>
      </w:r>
    </w:p>
    <w:p w14:paraId="21C0790A" w14:textId="63C233B1"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A</w:t>
      </w:r>
      <w:r w:rsidR="00935A7B" w:rsidRPr="00977D25">
        <w:rPr>
          <w:sz w:val="14"/>
          <w:szCs w:val="14"/>
        </w:rPr>
        <w:t xml:space="preserve">ssets held for sale </w:t>
      </w:r>
      <w:r w:rsidR="00FC2264" w:rsidRPr="00977D25">
        <w:rPr>
          <w:sz w:val="14"/>
          <w:szCs w:val="14"/>
        </w:rPr>
        <w:t xml:space="preserve">and discontinued operations </w:t>
      </w:r>
      <w:r w:rsidR="00FC2264" w:rsidRPr="00977D25">
        <w:rPr>
          <w:sz w:val="14"/>
          <w:szCs w:val="14"/>
        </w:rPr>
        <w:tab/>
      </w:r>
      <w:r w:rsidR="00FC2264" w:rsidRPr="00977D25">
        <w:rPr>
          <w:sz w:val="14"/>
          <w:szCs w:val="14"/>
        </w:rPr>
        <w:tab/>
        <w:t>19</w:t>
      </w:r>
    </w:p>
    <w:p w14:paraId="6FF04301" w14:textId="1505709C"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G</w:t>
      </w:r>
      <w:r w:rsidR="00935A7B" w:rsidRPr="00977D25">
        <w:rPr>
          <w:sz w:val="14"/>
          <w:szCs w:val="14"/>
        </w:rPr>
        <w:t xml:space="preserve">oodwill </w:t>
      </w:r>
      <w:r w:rsidR="00FC2264" w:rsidRPr="00977D25">
        <w:rPr>
          <w:sz w:val="14"/>
          <w:szCs w:val="14"/>
        </w:rPr>
        <w:t xml:space="preserve">and other intangible assets </w:t>
      </w:r>
      <w:r w:rsidR="00FC2264" w:rsidRPr="00977D25">
        <w:rPr>
          <w:sz w:val="14"/>
          <w:szCs w:val="14"/>
        </w:rPr>
        <w:tab/>
      </w:r>
      <w:r w:rsidR="00FC2264" w:rsidRPr="00977D25">
        <w:rPr>
          <w:sz w:val="14"/>
          <w:szCs w:val="14"/>
        </w:rPr>
        <w:tab/>
        <w:t>19</w:t>
      </w:r>
    </w:p>
    <w:p w14:paraId="6F477D6A" w14:textId="6811EC5A"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P</w:t>
      </w:r>
      <w:r w:rsidR="002F30F5" w:rsidRPr="00977D25">
        <w:rPr>
          <w:sz w:val="14"/>
          <w:szCs w:val="14"/>
        </w:rPr>
        <w:t>roperty and equipm</w:t>
      </w:r>
      <w:r w:rsidR="00FC2264" w:rsidRPr="00977D25">
        <w:rPr>
          <w:sz w:val="14"/>
          <w:szCs w:val="14"/>
        </w:rPr>
        <w:t>ent</w:t>
      </w:r>
      <w:r w:rsidR="00FC2264" w:rsidRPr="00977D25">
        <w:rPr>
          <w:sz w:val="14"/>
          <w:szCs w:val="14"/>
        </w:rPr>
        <w:tab/>
      </w:r>
      <w:r w:rsidR="00FC2264" w:rsidRPr="00977D25">
        <w:rPr>
          <w:sz w:val="14"/>
          <w:szCs w:val="14"/>
        </w:rPr>
        <w:tab/>
        <w:t>20</w:t>
      </w:r>
    </w:p>
    <w:p w14:paraId="24A335AF" w14:textId="6614B1C7"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L</w:t>
      </w:r>
      <w:r w:rsidR="00935A7B" w:rsidRPr="00977D25">
        <w:rPr>
          <w:sz w:val="14"/>
          <w:szCs w:val="14"/>
        </w:rPr>
        <w:t xml:space="preserve">easing </w:t>
      </w:r>
      <w:r w:rsidR="00FC2264" w:rsidRPr="00977D25">
        <w:rPr>
          <w:sz w:val="14"/>
          <w:szCs w:val="14"/>
        </w:rPr>
        <w:t>transactions</w:t>
      </w:r>
      <w:r w:rsidR="00FC2264" w:rsidRPr="00977D25">
        <w:rPr>
          <w:sz w:val="14"/>
          <w:szCs w:val="14"/>
        </w:rPr>
        <w:tab/>
      </w:r>
      <w:r w:rsidR="00FC2264" w:rsidRPr="00977D25">
        <w:rPr>
          <w:sz w:val="14"/>
          <w:szCs w:val="14"/>
        </w:rPr>
        <w:tab/>
        <w:t>20</w:t>
      </w:r>
    </w:p>
    <w:p w14:paraId="244F3CE3" w14:textId="4F44EE23"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P</w:t>
      </w:r>
      <w:r w:rsidR="00935A7B" w:rsidRPr="00977D25">
        <w:rPr>
          <w:sz w:val="14"/>
          <w:szCs w:val="14"/>
        </w:rPr>
        <w:t>rovisions</w:t>
      </w:r>
      <w:r w:rsidR="00ED0828" w:rsidRPr="00977D25">
        <w:rPr>
          <w:sz w:val="14"/>
          <w:szCs w:val="14"/>
        </w:rPr>
        <w:t>,</w:t>
      </w:r>
      <w:r w:rsidR="00935A7B" w:rsidRPr="00977D25">
        <w:rPr>
          <w:sz w:val="14"/>
          <w:szCs w:val="14"/>
        </w:rPr>
        <w:t xml:space="preserve"> contingent </w:t>
      </w:r>
      <w:r w:rsidR="002C60E9" w:rsidRPr="00977D25">
        <w:rPr>
          <w:sz w:val="14"/>
          <w:szCs w:val="14"/>
        </w:rPr>
        <w:t>asset and liabilities</w:t>
      </w:r>
      <w:r w:rsidR="00935A7B" w:rsidRPr="00977D25">
        <w:rPr>
          <w:sz w:val="14"/>
          <w:szCs w:val="14"/>
        </w:rPr>
        <w:tab/>
      </w:r>
      <w:r w:rsidR="00935A7B" w:rsidRPr="00977D25">
        <w:rPr>
          <w:sz w:val="14"/>
          <w:szCs w:val="14"/>
        </w:rPr>
        <w:tab/>
        <w:t>2</w:t>
      </w:r>
      <w:r w:rsidR="00FC2264" w:rsidRPr="00977D25">
        <w:rPr>
          <w:sz w:val="14"/>
          <w:szCs w:val="14"/>
        </w:rPr>
        <w:t>1</w:t>
      </w:r>
    </w:p>
    <w:p w14:paraId="0EDFA0CB" w14:textId="1F365C1E"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O</w:t>
      </w:r>
      <w:r w:rsidR="00113FA2" w:rsidRPr="00977D25">
        <w:rPr>
          <w:sz w:val="14"/>
          <w:szCs w:val="14"/>
        </w:rPr>
        <w:t>bligations related to employee rights</w:t>
      </w:r>
      <w:r w:rsidR="00FC2264" w:rsidRPr="00977D25">
        <w:rPr>
          <w:sz w:val="14"/>
          <w:szCs w:val="14"/>
        </w:rPr>
        <w:tab/>
      </w:r>
      <w:r w:rsidR="00FC2264" w:rsidRPr="00977D25">
        <w:rPr>
          <w:sz w:val="14"/>
          <w:szCs w:val="14"/>
        </w:rPr>
        <w:tab/>
        <w:t>21</w:t>
      </w:r>
    </w:p>
    <w:p w14:paraId="3428346F" w14:textId="490F7021"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T</w:t>
      </w:r>
      <w:r w:rsidR="00FC2264" w:rsidRPr="00977D25">
        <w:rPr>
          <w:sz w:val="14"/>
          <w:szCs w:val="14"/>
        </w:rPr>
        <w:t>axation</w:t>
      </w:r>
      <w:r w:rsidR="00FC2264" w:rsidRPr="00977D25">
        <w:rPr>
          <w:sz w:val="14"/>
          <w:szCs w:val="14"/>
        </w:rPr>
        <w:tab/>
      </w:r>
      <w:r w:rsidR="00FC2264" w:rsidRPr="00977D25">
        <w:rPr>
          <w:sz w:val="14"/>
          <w:szCs w:val="14"/>
        </w:rPr>
        <w:tab/>
        <w:t>21-22</w:t>
      </w:r>
    </w:p>
    <w:p w14:paraId="05705201" w14:textId="04BAA1D8" w:rsidR="00935A7B" w:rsidRPr="00977D25" w:rsidRDefault="002C60E9"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rFonts w:eastAsia="Arial Unicode MS"/>
          <w:sz w:val="14"/>
          <w:szCs w:val="14"/>
        </w:rPr>
        <w:t>Additional e</w:t>
      </w:r>
      <w:r w:rsidR="00935A7B" w:rsidRPr="00977D25">
        <w:rPr>
          <w:rFonts w:eastAsia="Arial Unicode MS"/>
          <w:sz w:val="14"/>
          <w:szCs w:val="14"/>
        </w:rPr>
        <w:t xml:space="preserve">xplanations </w:t>
      </w:r>
      <w:r w:rsidR="00FC2264" w:rsidRPr="00977D25">
        <w:rPr>
          <w:sz w:val="14"/>
          <w:szCs w:val="14"/>
        </w:rPr>
        <w:t>on borrowings</w:t>
      </w:r>
      <w:r w:rsidR="00FC2264" w:rsidRPr="00977D25">
        <w:rPr>
          <w:sz w:val="14"/>
          <w:szCs w:val="14"/>
        </w:rPr>
        <w:tab/>
      </w:r>
      <w:r w:rsidR="00FC2264" w:rsidRPr="00977D25">
        <w:rPr>
          <w:sz w:val="14"/>
          <w:szCs w:val="14"/>
        </w:rPr>
        <w:tab/>
        <w:t>22</w:t>
      </w:r>
    </w:p>
    <w:p w14:paraId="4106B55F" w14:textId="662A15FB"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S</w:t>
      </w:r>
      <w:r w:rsidR="00935A7B" w:rsidRPr="00977D25">
        <w:rPr>
          <w:sz w:val="14"/>
          <w:szCs w:val="14"/>
        </w:rPr>
        <w:t>hare certificates and issuance of share certificates</w:t>
      </w:r>
      <w:r w:rsidR="00935A7B" w:rsidRPr="00977D25">
        <w:rPr>
          <w:sz w:val="14"/>
          <w:szCs w:val="14"/>
        </w:rPr>
        <w:tab/>
      </w:r>
      <w:r w:rsidR="00935A7B" w:rsidRPr="00977D25">
        <w:rPr>
          <w:sz w:val="14"/>
          <w:szCs w:val="14"/>
        </w:rPr>
        <w:tab/>
        <w:t>2</w:t>
      </w:r>
      <w:r w:rsidR="00FC2264" w:rsidRPr="00977D25">
        <w:rPr>
          <w:sz w:val="14"/>
          <w:szCs w:val="14"/>
        </w:rPr>
        <w:t>2</w:t>
      </w:r>
    </w:p>
    <w:p w14:paraId="3968E284" w14:textId="709ACD31"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proofErr w:type="spellStart"/>
      <w:r w:rsidRPr="00977D25">
        <w:rPr>
          <w:sz w:val="14"/>
          <w:szCs w:val="14"/>
        </w:rPr>
        <w:t>A</w:t>
      </w:r>
      <w:r w:rsidR="00935A7B" w:rsidRPr="00977D25">
        <w:rPr>
          <w:sz w:val="14"/>
          <w:szCs w:val="14"/>
        </w:rPr>
        <w:t>valized</w:t>
      </w:r>
      <w:proofErr w:type="spellEnd"/>
      <w:r w:rsidR="00935A7B" w:rsidRPr="00977D25">
        <w:rPr>
          <w:sz w:val="14"/>
          <w:szCs w:val="14"/>
        </w:rPr>
        <w:t xml:space="preserve"> drafts and acceptances</w:t>
      </w:r>
      <w:r w:rsidR="00935A7B" w:rsidRPr="00977D25">
        <w:rPr>
          <w:sz w:val="14"/>
          <w:szCs w:val="14"/>
        </w:rPr>
        <w:tab/>
      </w:r>
      <w:r w:rsidR="00935A7B" w:rsidRPr="00977D25">
        <w:rPr>
          <w:sz w:val="14"/>
          <w:szCs w:val="14"/>
        </w:rPr>
        <w:tab/>
        <w:t>2</w:t>
      </w:r>
      <w:r w:rsidR="00FC2264" w:rsidRPr="00977D25">
        <w:rPr>
          <w:sz w:val="14"/>
          <w:szCs w:val="14"/>
        </w:rPr>
        <w:t>2</w:t>
      </w:r>
    </w:p>
    <w:p w14:paraId="07C6B61A" w14:textId="17D019E1" w:rsidR="00935A7B" w:rsidRPr="00977D25" w:rsidRDefault="00F142CB" w:rsidP="001651E8">
      <w:pPr>
        <w:widowControl w:val="0"/>
        <w:numPr>
          <w:ilvl w:val="0"/>
          <w:numId w:val="36"/>
        </w:numPr>
        <w:tabs>
          <w:tab w:val="clear" w:pos="1080"/>
          <w:tab w:val="num" w:pos="851"/>
          <w:tab w:val="right" w:leader="dot" w:pos="10009"/>
          <w:tab w:val="right" w:pos="10773"/>
        </w:tabs>
        <w:adjustRightInd w:val="0"/>
        <w:spacing w:line="216" w:lineRule="auto"/>
        <w:ind w:left="0" w:firstLine="0"/>
        <w:jc w:val="both"/>
        <w:textAlignment w:val="baseline"/>
        <w:rPr>
          <w:sz w:val="14"/>
          <w:szCs w:val="14"/>
        </w:rPr>
      </w:pPr>
      <w:r w:rsidRPr="00977D25">
        <w:rPr>
          <w:sz w:val="14"/>
          <w:szCs w:val="14"/>
        </w:rPr>
        <w:t>G</w:t>
      </w:r>
      <w:r w:rsidR="00935A7B" w:rsidRPr="00977D25">
        <w:rPr>
          <w:sz w:val="14"/>
          <w:szCs w:val="14"/>
        </w:rPr>
        <w:t>overnment grants</w:t>
      </w:r>
      <w:r w:rsidR="00935A7B" w:rsidRPr="00977D25">
        <w:rPr>
          <w:sz w:val="14"/>
          <w:szCs w:val="14"/>
        </w:rPr>
        <w:tab/>
      </w:r>
      <w:r w:rsidR="00935A7B" w:rsidRPr="00977D25">
        <w:rPr>
          <w:sz w:val="14"/>
          <w:szCs w:val="14"/>
        </w:rPr>
        <w:tab/>
        <w:t>2</w:t>
      </w:r>
      <w:r w:rsidR="00FC2264" w:rsidRPr="00977D25">
        <w:rPr>
          <w:sz w:val="14"/>
          <w:szCs w:val="14"/>
        </w:rPr>
        <w:t>2</w:t>
      </w:r>
    </w:p>
    <w:p w14:paraId="6D44B63F" w14:textId="5AAC8FA7" w:rsidR="00935A7B" w:rsidRPr="00977D25" w:rsidRDefault="00F142CB" w:rsidP="001651E8">
      <w:pPr>
        <w:numPr>
          <w:ilvl w:val="0"/>
          <w:numId w:val="36"/>
        </w:numPr>
        <w:tabs>
          <w:tab w:val="clear" w:pos="1080"/>
          <w:tab w:val="num" w:pos="851"/>
          <w:tab w:val="right" w:leader="dot" w:pos="10009"/>
          <w:tab w:val="right" w:pos="10773"/>
        </w:tabs>
        <w:spacing w:line="216" w:lineRule="auto"/>
        <w:ind w:left="0" w:firstLine="0"/>
        <w:jc w:val="both"/>
        <w:rPr>
          <w:sz w:val="14"/>
          <w:szCs w:val="14"/>
        </w:rPr>
      </w:pPr>
      <w:r w:rsidRPr="00977D25">
        <w:rPr>
          <w:sz w:val="14"/>
          <w:szCs w:val="14"/>
        </w:rPr>
        <w:t>P</w:t>
      </w:r>
      <w:r w:rsidR="00935A7B" w:rsidRPr="00977D25">
        <w:rPr>
          <w:rFonts w:eastAsia="Arial Unicode MS"/>
          <w:sz w:val="14"/>
          <w:szCs w:val="14"/>
        </w:rPr>
        <w:t>rofit reserves and profit distribution</w:t>
      </w:r>
      <w:r w:rsidR="00935A7B" w:rsidRPr="00977D25">
        <w:rPr>
          <w:sz w:val="14"/>
          <w:szCs w:val="14"/>
        </w:rPr>
        <w:tab/>
      </w:r>
      <w:r w:rsidR="00935A7B" w:rsidRPr="00977D25">
        <w:rPr>
          <w:sz w:val="14"/>
          <w:szCs w:val="14"/>
        </w:rPr>
        <w:tab/>
        <w:t>2</w:t>
      </w:r>
      <w:r w:rsidR="00FC2264" w:rsidRPr="00977D25">
        <w:rPr>
          <w:sz w:val="14"/>
          <w:szCs w:val="14"/>
        </w:rPr>
        <w:t>2</w:t>
      </w:r>
    </w:p>
    <w:p w14:paraId="00106E93" w14:textId="5F20B4AC" w:rsidR="00935A7B" w:rsidRPr="00977D25" w:rsidRDefault="00F142CB" w:rsidP="001651E8">
      <w:pPr>
        <w:numPr>
          <w:ilvl w:val="0"/>
          <w:numId w:val="36"/>
        </w:numPr>
        <w:tabs>
          <w:tab w:val="clear" w:pos="1080"/>
          <w:tab w:val="num" w:pos="851"/>
          <w:tab w:val="right" w:leader="dot" w:pos="10009"/>
          <w:tab w:val="right" w:pos="10773"/>
        </w:tabs>
        <w:spacing w:line="216" w:lineRule="auto"/>
        <w:ind w:left="0" w:firstLine="0"/>
        <w:jc w:val="both"/>
        <w:rPr>
          <w:sz w:val="14"/>
          <w:szCs w:val="14"/>
        </w:rPr>
      </w:pPr>
      <w:r w:rsidRPr="00977D25">
        <w:rPr>
          <w:sz w:val="14"/>
          <w:szCs w:val="14"/>
        </w:rPr>
        <w:t>E</w:t>
      </w:r>
      <w:r w:rsidR="00935A7B" w:rsidRPr="00977D25">
        <w:rPr>
          <w:sz w:val="14"/>
          <w:szCs w:val="14"/>
        </w:rPr>
        <w:t>arnings per share</w:t>
      </w:r>
      <w:r w:rsidR="00935A7B" w:rsidRPr="00977D25">
        <w:rPr>
          <w:sz w:val="14"/>
          <w:szCs w:val="14"/>
        </w:rPr>
        <w:tab/>
      </w:r>
      <w:r w:rsidR="00935A7B" w:rsidRPr="00977D25">
        <w:rPr>
          <w:sz w:val="14"/>
          <w:szCs w:val="14"/>
        </w:rPr>
        <w:tab/>
        <w:t>2</w:t>
      </w:r>
      <w:r w:rsidR="00FC2264" w:rsidRPr="00977D25">
        <w:rPr>
          <w:sz w:val="14"/>
          <w:szCs w:val="14"/>
        </w:rPr>
        <w:t>3</w:t>
      </w:r>
    </w:p>
    <w:p w14:paraId="116EAF3C" w14:textId="124CAAEC" w:rsidR="00935A7B" w:rsidRPr="00977D25" w:rsidRDefault="00F142CB" w:rsidP="001651E8">
      <w:pPr>
        <w:numPr>
          <w:ilvl w:val="0"/>
          <w:numId w:val="36"/>
        </w:numPr>
        <w:tabs>
          <w:tab w:val="clear" w:pos="1080"/>
          <w:tab w:val="num" w:pos="851"/>
          <w:tab w:val="right" w:leader="dot" w:pos="10009"/>
          <w:tab w:val="right" w:pos="10773"/>
        </w:tabs>
        <w:spacing w:line="216" w:lineRule="auto"/>
        <w:ind w:left="0" w:firstLine="0"/>
        <w:jc w:val="both"/>
        <w:rPr>
          <w:sz w:val="14"/>
          <w:szCs w:val="14"/>
        </w:rPr>
      </w:pPr>
      <w:r w:rsidRPr="00977D25">
        <w:rPr>
          <w:sz w:val="14"/>
          <w:szCs w:val="14"/>
        </w:rPr>
        <w:t>R</w:t>
      </w:r>
      <w:r w:rsidR="00935A7B" w:rsidRPr="00977D25">
        <w:rPr>
          <w:sz w:val="14"/>
          <w:szCs w:val="14"/>
        </w:rPr>
        <w:t>elated parties</w:t>
      </w:r>
      <w:r w:rsidR="00935A7B" w:rsidRPr="00977D25">
        <w:rPr>
          <w:sz w:val="14"/>
          <w:szCs w:val="14"/>
        </w:rPr>
        <w:tab/>
      </w:r>
      <w:r w:rsidR="00935A7B" w:rsidRPr="00977D25">
        <w:rPr>
          <w:sz w:val="14"/>
          <w:szCs w:val="14"/>
        </w:rPr>
        <w:tab/>
      </w:r>
      <w:r w:rsidR="000144BE" w:rsidRPr="00977D25">
        <w:rPr>
          <w:sz w:val="14"/>
          <w:szCs w:val="14"/>
        </w:rPr>
        <w:t>2</w:t>
      </w:r>
      <w:r w:rsidR="00FC2264" w:rsidRPr="00977D25">
        <w:rPr>
          <w:sz w:val="14"/>
          <w:szCs w:val="14"/>
        </w:rPr>
        <w:t>3</w:t>
      </w:r>
    </w:p>
    <w:p w14:paraId="5E453C41" w14:textId="6B239787" w:rsidR="00935A7B" w:rsidRPr="00977D25" w:rsidRDefault="00F142CB" w:rsidP="001651E8">
      <w:pPr>
        <w:numPr>
          <w:ilvl w:val="0"/>
          <w:numId w:val="36"/>
        </w:numPr>
        <w:tabs>
          <w:tab w:val="clear" w:pos="1080"/>
          <w:tab w:val="num" w:pos="851"/>
          <w:tab w:val="right" w:leader="dot" w:pos="10009"/>
          <w:tab w:val="right" w:pos="10773"/>
        </w:tabs>
        <w:spacing w:line="216" w:lineRule="auto"/>
        <w:ind w:left="0" w:firstLine="0"/>
        <w:jc w:val="both"/>
        <w:rPr>
          <w:sz w:val="14"/>
          <w:szCs w:val="14"/>
        </w:rPr>
      </w:pPr>
      <w:r w:rsidRPr="00977D25">
        <w:rPr>
          <w:sz w:val="14"/>
          <w:szCs w:val="14"/>
        </w:rPr>
        <w:t>C</w:t>
      </w:r>
      <w:r w:rsidR="000144BE" w:rsidRPr="00977D25">
        <w:rPr>
          <w:sz w:val="14"/>
          <w:szCs w:val="14"/>
        </w:rPr>
        <w:t>ash and cash equivalents</w:t>
      </w:r>
      <w:r w:rsidR="00935A7B" w:rsidRPr="00977D25">
        <w:rPr>
          <w:sz w:val="14"/>
          <w:szCs w:val="14"/>
        </w:rPr>
        <w:tab/>
      </w:r>
      <w:r w:rsidR="00935A7B" w:rsidRPr="00977D25">
        <w:rPr>
          <w:sz w:val="14"/>
          <w:szCs w:val="14"/>
        </w:rPr>
        <w:tab/>
        <w:t>2</w:t>
      </w:r>
      <w:r w:rsidR="00FC2264" w:rsidRPr="00977D25">
        <w:rPr>
          <w:sz w:val="14"/>
          <w:szCs w:val="14"/>
        </w:rPr>
        <w:t>3</w:t>
      </w:r>
    </w:p>
    <w:p w14:paraId="21257E99" w14:textId="465AF0CD" w:rsidR="00935A7B" w:rsidRPr="00977D25" w:rsidRDefault="000144BE" w:rsidP="001651E8">
      <w:pPr>
        <w:numPr>
          <w:ilvl w:val="0"/>
          <w:numId w:val="36"/>
        </w:numPr>
        <w:tabs>
          <w:tab w:val="clear" w:pos="1080"/>
          <w:tab w:val="num" w:pos="851"/>
          <w:tab w:val="right" w:leader="dot" w:pos="10009"/>
          <w:tab w:val="right" w:pos="10773"/>
        </w:tabs>
        <w:spacing w:line="216" w:lineRule="auto"/>
        <w:ind w:left="0" w:firstLine="0"/>
        <w:jc w:val="both"/>
        <w:rPr>
          <w:sz w:val="14"/>
          <w:szCs w:val="14"/>
        </w:rPr>
      </w:pPr>
      <w:r w:rsidRPr="00977D25">
        <w:rPr>
          <w:sz w:val="14"/>
          <w:szCs w:val="14"/>
        </w:rPr>
        <w:t>Operating segment</w:t>
      </w:r>
      <w:r w:rsidR="002C60E9" w:rsidRPr="00977D25">
        <w:rPr>
          <w:sz w:val="14"/>
          <w:szCs w:val="14"/>
        </w:rPr>
        <w:t>s</w:t>
      </w:r>
      <w:r w:rsidR="00935A7B" w:rsidRPr="00977D25">
        <w:rPr>
          <w:sz w:val="14"/>
          <w:szCs w:val="14"/>
        </w:rPr>
        <w:tab/>
      </w:r>
      <w:r w:rsidR="00935A7B" w:rsidRPr="00977D25">
        <w:rPr>
          <w:sz w:val="14"/>
          <w:szCs w:val="14"/>
        </w:rPr>
        <w:tab/>
        <w:t>2</w:t>
      </w:r>
      <w:r w:rsidR="00FC2264" w:rsidRPr="00977D25">
        <w:rPr>
          <w:sz w:val="14"/>
          <w:szCs w:val="14"/>
        </w:rPr>
        <w:t>3-25</w:t>
      </w:r>
    </w:p>
    <w:p w14:paraId="43A3D9D8" w14:textId="77777777" w:rsidR="000144BE" w:rsidRPr="00616A79" w:rsidRDefault="000144BE" w:rsidP="00616A79">
      <w:pPr>
        <w:pStyle w:val="BodyTextIndent"/>
        <w:tabs>
          <w:tab w:val="left" w:pos="4140"/>
        </w:tabs>
        <w:spacing w:after="0" w:line="216" w:lineRule="auto"/>
        <w:ind w:left="4253" w:hanging="4253"/>
        <w:jc w:val="center"/>
        <w:rPr>
          <w:b/>
          <w:noProof/>
          <w:sz w:val="14"/>
          <w:szCs w:val="14"/>
          <w:u w:val="single"/>
          <w:lang w:val="tr-TR"/>
        </w:rPr>
      </w:pPr>
      <w:r w:rsidRPr="00616A79">
        <w:rPr>
          <w:b/>
          <w:noProof/>
          <w:sz w:val="14"/>
          <w:szCs w:val="14"/>
          <w:u w:val="single"/>
          <w:lang w:val="tr-TR"/>
        </w:rPr>
        <w:t>SECTION FOUR</w:t>
      </w:r>
    </w:p>
    <w:p w14:paraId="2AD5BFB1" w14:textId="3BB7ED21" w:rsidR="000144BE" w:rsidRPr="00616A79" w:rsidRDefault="00677268" w:rsidP="00616A79">
      <w:pPr>
        <w:pStyle w:val="BodyTextIndent"/>
        <w:tabs>
          <w:tab w:val="left" w:pos="4140"/>
        </w:tabs>
        <w:spacing w:after="0" w:line="216" w:lineRule="auto"/>
        <w:ind w:left="4253" w:hanging="4253"/>
        <w:jc w:val="center"/>
        <w:rPr>
          <w:b/>
          <w:noProof/>
          <w:sz w:val="14"/>
          <w:szCs w:val="14"/>
          <w:lang w:val="tr-TR"/>
        </w:rPr>
      </w:pPr>
      <w:r w:rsidRPr="00616A79">
        <w:rPr>
          <w:b/>
          <w:noProof/>
          <w:sz w:val="14"/>
          <w:szCs w:val="14"/>
          <w:lang w:val="tr-TR"/>
        </w:rPr>
        <w:t xml:space="preserve">Information </w:t>
      </w:r>
      <w:r w:rsidR="00F142CB" w:rsidRPr="00616A79">
        <w:rPr>
          <w:b/>
          <w:noProof/>
          <w:sz w:val="14"/>
          <w:szCs w:val="14"/>
          <w:lang w:val="tr-TR"/>
        </w:rPr>
        <w:t>on the</w:t>
      </w:r>
      <w:r w:rsidRPr="00616A79">
        <w:rPr>
          <w:b/>
          <w:noProof/>
          <w:sz w:val="14"/>
          <w:szCs w:val="14"/>
          <w:lang w:val="tr-TR"/>
        </w:rPr>
        <w:t xml:space="preserve"> Fianncial Position of the Group</w:t>
      </w:r>
    </w:p>
    <w:p w14:paraId="3F2028A6" w14:textId="142F2BA5" w:rsidR="000144BE" w:rsidRPr="00977D25" w:rsidRDefault="00C56A6A"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I</w:t>
      </w:r>
      <w:r w:rsidR="00B90C9F" w:rsidRPr="00977D25">
        <w:rPr>
          <w:rFonts w:ascii="Times New Roman" w:hAnsi="Times New Roman"/>
          <w:b w:val="0"/>
          <w:sz w:val="14"/>
          <w:szCs w:val="14"/>
        </w:rPr>
        <w:t xml:space="preserve">nformation </w:t>
      </w:r>
      <w:r w:rsidR="00CB5D72" w:rsidRPr="00977D25">
        <w:rPr>
          <w:rFonts w:ascii="Times New Roman" w:hAnsi="Times New Roman"/>
          <w:b w:val="0"/>
          <w:sz w:val="14"/>
          <w:szCs w:val="14"/>
        </w:rPr>
        <w:t xml:space="preserve">on </w:t>
      </w:r>
      <w:r w:rsidR="00B90C9F" w:rsidRPr="00977D25">
        <w:rPr>
          <w:rFonts w:ascii="Times New Roman" w:hAnsi="Times New Roman"/>
          <w:b w:val="0"/>
          <w:sz w:val="14"/>
          <w:szCs w:val="14"/>
        </w:rPr>
        <w:t xml:space="preserve">capital adequacy ratio </w:t>
      </w:r>
      <w:r w:rsidR="000144BE" w:rsidRPr="00977D25">
        <w:rPr>
          <w:rFonts w:ascii="Times New Roman" w:hAnsi="Times New Roman"/>
          <w:b w:val="0"/>
          <w:sz w:val="14"/>
          <w:szCs w:val="14"/>
        </w:rPr>
        <w:tab/>
      </w:r>
      <w:r w:rsidR="000144BE" w:rsidRPr="00977D25">
        <w:rPr>
          <w:rFonts w:ascii="Times New Roman" w:hAnsi="Times New Roman"/>
          <w:b w:val="0"/>
          <w:sz w:val="14"/>
          <w:szCs w:val="14"/>
        </w:rPr>
        <w:tab/>
        <w:t>2</w:t>
      </w:r>
      <w:r w:rsidR="00FC2264" w:rsidRPr="00977D25">
        <w:rPr>
          <w:rFonts w:ascii="Times New Roman" w:hAnsi="Times New Roman"/>
          <w:b w:val="0"/>
          <w:sz w:val="14"/>
          <w:szCs w:val="14"/>
        </w:rPr>
        <w:t>6</w:t>
      </w:r>
      <w:r w:rsidR="000144BE" w:rsidRPr="00977D25">
        <w:rPr>
          <w:rFonts w:ascii="Times New Roman" w:hAnsi="Times New Roman"/>
          <w:b w:val="0"/>
          <w:sz w:val="14"/>
          <w:szCs w:val="14"/>
        </w:rPr>
        <w:t>-</w:t>
      </w:r>
      <w:r w:rsidRPr="00977D25">
        <w:rPr>
          <w:rFonts w:ascii="Times New Roman" w:hAnsi="Times New Roman"/>
          <w:b w:val="0"/>
          <w:sz w:val="14"/>
          <w:szCs w:val="14"/>
        </w:rPr>
        <w:t>3</w:t>
      </w:r>
      <w:r w:rsidR="00FC2264" w:rsidRPr="00977D25">
        <w:rPr>
          <w:rFonts w:ascii="Times New Roman" w:hAnsi="Times New Roman"/>
          <w:b w:val="0"/>
          <w:sz w:val="14"/>
          <w:szCs w:val="14"/>
        </w:rPr>
        <w:t>3</w:t>
      </w:r>
    </w:p>
    <w:p w14:paraId="4FC44EE2" w14:textId="623AD1BB" w:rsidR="000144BE" w:rsidRPr="00977D25" w:rsidRDefault="000144BE"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Explanations on credit risk</w:t>
      </w:r>
      <w:r w:rsidRPr="00977D25">
        <w:rPr>
          <w:rFonts w:ascii="Times New Roman" w:hAnsi="Times New Roman"/>
          <w:b w:val="0"/>
          <w:sz w:val="14"/>
          <w:szCs w:val="14"/>
        </w:rPr>
        <w:tab/>
      </w:r>
      <w:r w:rsidRPr="00977D25">
        <w:rPr>
          <w:rFonts w:ascii="Times New Roman" w:hAnsi="Times New Roman"/>
          <w:b w:val="0"/>
          <w:sz w:val="14"/>
          <w:szCs w:val="14"/>
        </w:rPr>
        <w:tab/>
      </w:r>
      <w:r w:rsidR="00EE364D" w:rsidRPr="00977D25">
        <w:rPr>
          <w:rFonts w:ascii="Times New Roman" w:hAnsi="Times New Roman"/>
          <w:b w:val="0"/>
          <w:sz w:val="14"/>
          <w:szCs w:val="14"/>
        </w:rPr>
        <w:t>3</w:t>
      </w:r>
      <w:r w:rsidR="00FC2264" w:rsidRPr="00977D25">
        <w:rPr>
          <w:rFonts w:ascii="Times New Roman" w:hAnsi="Times New Roman"/>
          <w:b w:val="0"/>
          <w:sz w:val="14"/>
          <w:szCs w:val="14"/>
        </w:rPr>
        <w:t>4-42</w:t>
      </w:r>
    </w:p>
    <w:p w14:paraId="39130121" w14:textId="06BBE2A4" w:rsidR="000144BE" w:rsidRPr="00977D25" w:rsidRDefault="000144BE"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Explanations on market risk</w:t>
      </w:r>
      <w:r w:rsidRPr="00977D25">
        <w:rPr>
          <w:rFonts w:ascii="Times New Roman" w:hAnsi="Times New Roman"/>
          <w:b w:val="0"/>
          <w:sz w:val="14"/>
          <w:szCs w:val="14"/>
        </w:rPr>
        <w:tab/>
      </w:r>
      <w:r w:rsidRPr="00977D25">
        <w:rPr>
          <w:rFonts w:ascii="Times New Roman" w:hAnsi="Times New Roman"/>
          <w:b w:val="0"/>
          <w:sz w:val="14"/>
          <w:szCs w:val="14"/>
        </w:rPr>
        <w:tab/>
      </w:r>
      <w:r w:rsidR="00FC2264" w:rsidRPr="00977D25">
        <w:rPr>
          <w:rFonts w:ascii="Times New Roman" w:hAnsi="Times New Roman"/>
          <w:b w:val="0"/>
          <w:sz w:val="14"/>
          <w:szCs w:val="14"/>
        </w:rPr>
        <w:t>4</w:t>
      </w:r>
      <w:r w:rsidR="0077765F" w:rsidRPr="00977D25">
        <w:rPr>
          <w:rFonts w:ascii="Times New Roman" w:hAnsi="Times New Roman"/>
          <w:b w:val="0"/>
          <w:sz w:val="14"/>
          <w:szCs w:val="14"/>
        </w:rPr>
        <w:t>2</w:t>
      </w:r>
      <w:r w:rsidR="00FC2264" w:rsidRPr="00977D25">
        <w:rPr>
          <w:rFonts w:ascii="Times New Roman" w:hAnsi="Times New Roman"/>
          <w:b w:val="0"/>
          <w:sz w:val="14"/>
          <w:szCs w:val="14"/>
        </w:rPr>
        <w:t>-44</w:t>
      </w:r>
    </w:p>
    <w:p w14:paraId="37DF385A" w14:textId="48FD7F1E" w:rsidR="00FC2264" w:rsidRPr="00977D25" w:rsidRDefault="00FC2264"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Explanations on operational risk</w:t>
      </w:r>
      <w:r w:rsidRPr="00977D25">
        <w:rPr>
          <w:rFonts w:ascii="Times New Roman" w:hAnsi="Times New Roman"/>
          <w:b w:val="0"/>
          <w:sz w:val="14"/>
          <w:szCs w:val="14"/>
        </w:rPr>
        <w:tab/>
      </w:r>
      <w:r w:rsidRPr="00977D25">
        <w:rPr>
          <w:rFonts w:ascii="Times New Roman" w:hAnsi="Times New Roman"/>
          <w:b w:val="0"/>
          <w:sz w:val="14"/>
          <w:szCs w:val="14"/>
        </w:rPr>
        <w:tab/>
        <w:t>44</w:t>
      </w:r>
    </w:p>
    <w:p w14:paraId="291F1E57" w14:textId="469FD253" w:rsidR="000144BE" w:rsidRPr="00977D25" w:rsidRDefault="00EE364D"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Explanations on currency</w:t>
      </w:r>
      <w:r w:rsidR="000144BE" w:rsidRPr="00977D25">
        <w:rPr>
          <w:rFonts w:ascii="Times New Roman" w:hAnsi="Times New Roman"/>
          <w:b w:val="0"/>
          <w:sz w:val="14"/>
          <w:szCs w:val="14"/>
        </w:rPr>
        <w:t xml:space="preserve"> risk</w:t>
      </w:r>
      <w:r w:rsidR="000144BE" w:rsidRPr="00977D25">
        <w:rPr>
          <w:rFonts w:ascii="Times New Roman" w:hAnsi="Times New Roman"/>
          <w:b w:val="0"/>
          <w:sz w:val="14"/>
          <w:szCs w:val="14"/>
        </w:rPr>
        <w:tab/>
      </w:r>
      <w:r w:rsidR="000144BE" w:rsidRPr="00977D25">
        <w:rPr>
          <w:rFonts w:ascii="Times New Roman" w:hAnsi="Times New Roman"/>
          <w:b w:val="0"/>
          <w:sz w:val="14"/>
          <w:szCs w:val="14"/>
        </w:rPr>
        <w:tab/>
      </w:r>
      <w:r w:rsidR="00FC2264" w:rsidRPr="00977D25">
        <w:rPr>
          <w:rFonts w:ascii="Times New Roman" w:hAnsi="Times New Roman"/>
          <w:b w:val="0"/>
          <w:sz w:val="14"/>
          <w:szCs w:val="14"/>
        </w:rPr>
        <w:t>45-47</w:t>
      </w:r>
    </w:p>
    <w:p w14:paraId="29DBB0CB" w14:textId="3166B1E3" w:rsidR="000144BE" w:rsidRPr="00977D25" w:rsidRDefault="00EE364D"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Explanations on interest</w:t>
      </w:r>
      <w:r w:rsidR="000144BE" w:rsidRPr="00977D25">
        <w:rPr>
          <w:rFonts w:ascii="Times New Roman" w:hAnsi="Times New Roman"/>
          <w:b w:val="0"/>
          <w:sz w:val="14"/>
          <w:szCs w:val="14"/>
        </w:rPr>
        <w:t xml:space="preserve"> </w:t>
      </w:r>
      <w:r w:rsidRPr="00977D25">
        <w:rPr>
          <w:rFonts w:ascii="Times New Roman" w:hAnsi="Times New Roman"/>
          <w:b w:val="0"/>
          <w:sz w:val="14"/>
          <w:szCs w:val="14"/>
        </w:rPr>
        <w:t xml:space="preserve">rate </w:t>
      </w:r>
      <w:r w:rsidR="000144BE" w:rsidRPr="00977D25">
        <w:rPr>
          <w:rFonts w:ascii="Times New Roman" w:hAnsi="Times New Roman"/>
          <w:b w:val="0"/>
          <w:sz w:val="14"/>
          <w:szCs w:val="14"/>
        </w:rPr>
        <w:t>risk</w:t>
      </w:r>
      <w:r w:rsidR="000144BE" w:rsidRPr="00977D25">
        <w:rPr>
          <w:rFonts w:ascii="Times New Roman" w:hAnsi="Times New Roman"/>
          <w:b w:val="0"/>
          <w:sz w:val="14"/>
          <w:szCs w:val="14"/>
        </w:rPr>
        <w:tab/>
      </w:r>
      <w:r w:rsidR="000144BE" w:rsidRPr="00977D25">
        <w:rPr>
          <w:rFonts w:ascii="Times New Roman" w:hAnsi="Times New Roman"/>
          <w:b w:val="0"/>
          <w:sz w:val="14"/>
          <w:szCs w:val="14"/>
        </w:rPr>
        <w:tab/>
      </w:r>
      <w:r w:rsidR="00AD6A3F" w:rsidRPr="00977D25">
        <w:rPr>
          <w:rFonts w:ascii="Times New Roman" w:hAnsi="Times New Roman"/>
          <w:b w:val="0"/>
          <w:sz w:val="14"/>
          <w:szCs w:val="14"/>
        </w:rPr>
        <w:t>47</w:t>
      </w:r>
      <w:r w:rsidR="00FC2264" w:rsidRPr="00977D25">
        <w:rPr>
          <w:rFonts w:ascii="Times New Roman" w:hAnsi="Times New Roman"/>
          <w:b w:val="0"/>
          <w:sz w:val="14"/>
          <w:szCs w:val="14"/>
        </w:rPr>
        <w:t>-52</w:t>
      </w:r>
    </w:p>
    <w:p w14:paraId="6C1A36A2" w14:textId="18390E55" w:rsidR="000144BE" w:rsidRPr="00977D25" w:rsidRDefault="000E5611"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Explanations on</w:t>
      </w:r>
      <w:r w:rsidR="00B9145B" w:rsidRPr="00977D25">
        <w:rPr>
          <w:rFonts w:ascii="Times New Roman" w:hAnsi="Times New Roman"/>
          <w:b w:val="0"/>
          <w:sz w:val="14"/>
          <w:szCs w:val="14"/>
        </w:rPr>
        <w:t xml:space="preserve"> </w:t>
      </w:r>
      <w:r w:rsidR="00EE364D" w:rsidRPr="00977D25">
        <w:rPr>
          <w:rFonts w:ascii="Times New Roman" w:hAnsi="Times New Roman"/>
          <w:b w:val="0"/>
          <w:sz w:val="14"/>
          <w:szCs w:val="14"/>
        </w:rPr>
        <w:t>liquidity</w:t>
      </w:r>
      <w:r w:rsidR="00FC2264" w:rsidRPr="00977D25">
        <w:rPr>
          <w:rFonts w:ascii="Times New Roman" w:hAnsi="Times New Roman"/>
          <w:b w:val="0"/>
          <w:sz w:val="14"/>
          <w:szCs w:val="14"/>
        </w:rPr>
        <w:t xml:space="preserve"> risk</w:t>
      </w:r>
      <w:r w:rsidR="00FC2264" w:rsidRPr="00977D25">
        <w:rPr>
          <w:rFonts w:ascii="Times New Roman" w:hAnsi="Times New Roman"/>
          <w:b w:val="0"/>
          <w:sz w:val="14"/>
          <w:szCs w:val="14"/>
        </w:rPr>
        <w:tab/>
      </w:r>
      <w:r w:rsidR="00FC2264" w:rsidRPr="00977D25">
        <w:rPr>
          <w:rFonts w:ascii="Times New Roman" w:hAnsi="Times New Roman"/>
          <w:b w:val="0"/>
          <w:sz w:val="14"/>
          <w:szCs w:val="14"/>
        </w:rPr>
        <w:tab/>
      </w:r>
      <w:r w:rsidR="00AD6A3F" w:rsidRPr="00977D25">
        <w:rPr>
          <w:rFonts w:ascii="Times New Roman" w:hAnsi="Times New Roman"/>
          <w:b w:val="0"/>
          <w:sz w:val="14"/>
          <w:szCs w:val="14"/>
        </w:rPr>
        <w:t>52-62</w:t>
      </w:r>
    </w:p>
    <w:p w14:paraId="7D64BB8D" w14:textId="70B768D9" w:rsidR="00FC2264" w:rsidRPr="00977D25" w:rsidRDefault="00FC2264"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Explanations on</w:t>
      </w:r>
      <w:r w:rsidR="00AD6A3F" w:rsidRPr="00977D25">
        <w:rPr>
          <w:rFonts w:ascii="Times New Roman" w:hAnsi="Times New Roman"/>
          <w:b w:val="0"/>
          <w:sz w:val="14"/>
          <w:szCs w:val="14"/>
        </w:rPr>
        <w:t xml:space="preserve"> leverage ratio</w:t>
      </w:r>
      <w:r w:rsidR="00AD6A3F" w:rsidRPr="00977D25">
        <w:rPr>
          <w:rFonts w:ascii="Times New Roman" w:hAnsi="Times New Roman"/>
          <w:b w:val="0"/>
          <w:sz w:val="14"/>
          <w:szCs w:val="14"/>
        </w:rPr>
        <w:tab/>
      </w:r>
      <w:r w:rsidR="00AD6A3F" w:rsidRPr="00977D25">
        <w:rPr>
          <w:rFonts w:ascii="Times New Roman" w:hAnsi="Times New Roman"/>
          <w:b w:val="0"/>
          <w:sz w:val="14"/>
          <w:szCs w:val="14"/>
        </w:rPr>
        <w:tab/>
        <w:t>62-63</w:t>
      </w:r>
    </w:p>
    <w:p w14:paraId="44AECB5A" w14:textId="32185894" w:rsidR="000144BE" w:rsidRPr="00977D25" w:rsidRDefault="00EE364D"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 xml:space="preserve">Explanations on the risk management objectives and policies </w:t>
      </w:r>
      <w:r w:rsidR="000144BE" w:rsidRPr="00977D25">
        <w:rPr>
          <w:rFonts w:ascii="Times New Roman" w:hAnsi="Times New Roman"/>
          <w:b w:val="0"/>
          <w:sz w:val="14"/>
          <w:szCs w:val="14"/>
        </w:rPr>
        <w:tab/>
      </w:r>
      <w:r w:rsidR="000144BE" w:rsidRPr="00977D25">
        <w:rPr>
          <w:rFonts w:ascii="Times New Roman" w:hAnsi="Times New Roman"/>
          <w:b w:val="0"/>
          <w:sz w:val="14"/>
          <w:szCs w:val="14"/>
        </w:rPr>
        <w:tab/>
      </w:r>
      <w:r w:rsidR="00AD6A3F" w:rsidRPr="00977D25">
        <w:rPr>
          <w:rFonts w:ascii="Times New Roman" w:hAnsi="Times New Roman"/>
          <w:b w:val="0"/>
          <w:sz w:val="14"/>
          <w:szCs w:val="14"/>
        </w:rPr>
        <w:t>63-64</w:t>
      </w:r>
    </w:p>
    <w:p w14:paraId="0A35D60E" w14:textId="049E7396" w:rsidR="00FC2264" w:rsidRPr="00977D25" w:rsidRDefault="00FC2264"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Explanations regarding the presentation of financial assets and lia</w:t>
      </w:r>
      <w:r w:rsidR="00AD6A3F" w:rsidRPr="00977D25">
        <w:rPr>
          <w:rFonts w:ascii="Times New Roman" w:hAnsi="Times New Roman"/>
          <w:b w:val="0"/>
          <w:sz w:val="14"/>
          <w:szCs w:val="14"/>
        </w:rPr>
        <w:t>bilities at their fair value</w:t>
      </w:r>
      <w:r w:rsidR="00AD6A3F" w:rsidRPr="00977D25">
        <w:rPr>
          <w:rFonts w:ascii="Times New Roman" w:hAnsi="Times New Roman"/>
          <w:b w:val="0"/>
          <w:sz w:val="14"/>
          <w:szCs w:val="14"/>
        </w:rPr>
        <w:tab/>
      </w:r>
      <w:r w:rsidR="00AD6A3F" w:rsidRPr="00977D25">
        <w:rPr>
          <w:rFonts w:ascii="Times New Roman" w:hAnsi="Times New Roman"/>
          <w:b w:val="0"/>
          <w:sz w:val="14"/>
          <w:szCs w:val="14"/>
        </w:rPr>
        <w:tab/>
        <w:t>64-65</w:t>
      </w:r>
    </w:p>
    <w:p w14:paraId="00BC281F" w14:textId="166431E0" w:rsidR="000144BE" w:rsidRPr="00977D25" w:rsidRDefault="000144BE"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Explanations o</w:t>
      </w:r>
      <w:r w:rsidR="00EE364D" w:rsidRPr="00977D25">
        <w:rPr>
          <w:rFonts w:ascii="Times New Roman" w:hAnsi="Times New Roman"/>
          <w:b w:val="0"/>
          <w:sz w:val="14"/>
          <w:szCs w:val="14"/>
        </w:rPr>
        <w:t>n hedge accounting</w:t>
      </w:r>
      <w:r w:rsidRPr="00977D25">
        <w:rPr>
          <w:rFonts w:ascii="Times New Roman" w:hAnsi="Times New Roman"/>
          <w:b w:val="0"/>
          <w:sz w:val="14"/>
          <w:szCs w:val="14"/>
        </w:rPr>
        <w:tab/>
      </w:r>
      <w:r w:rsidRPr="00977D25">
        <w:rPr>
          <w:rFonts w:ascii="Times New Roman" w:hAnsi="Times New Roman"/>
          <w:b w:val="0"/>
          <w:sz w:val="14"/>
          <w:szCs w:val="14"/>
        </w:rPr>
        <w:tab/>
      </w:r>
      <w:r w:rsidR="00AD6A3F" w:rsidRPr="00977D25">
        <w:rPr>
          <w:rFonts w:ascii="Times New Roman" w:hAnsi="Times New Roman"/>
          <w:b w:val="0"/>
          <w:sz w:val="14"/>
          <w:szCs w:val="14"/>
        </w:rPr>
        <w:t>66</w:t>
      </w:r>
    </w:p>
    <w:p w14:paraId="28856D07" w14:textId="568FD3BA" w:rsidR="000144BE" w:rsidRPr="00977D25" w:rsidRDefault="000144BE" w:rsidP="001651E8">
      <w:pPr>
        <w:pStyle w:val="Heading3"/>
        <w:widowControl w:val="0"/>
        <w:numPr>
          <w:ilvl w:val="0"/>
          <w:numId w:val="37"/>
        </w:numPr>
        <w:tabs>
          <w:tab w:val="clear" w:pos="1080"/>
          <w:tab w:val="num" w:pos="851"/>
          <w:tab w:val="right" w:leader="dot" w:pos="10009"/>
          <w:tab w:val="right" w:pos="10773"/>
        </w:tabs>
        <w:adjustRightInd w:val="0"/>
        <w:spacing w:line="216" w:lineRule="auto"/>
        <w:ind w:left="0" w:firstLine="0"/>
        <w:jc w:val="both"/>
        <w:textAlignment w:val="baseline"/>
        <w:rPr>
          <w:rFonts w:ascii="Times New Roman" w:hAnsi="Times New Roman"/>
          <w:b w:val="0"/>
          <w:sz w:val="14"/>
          <w:szCs w:val="14"/>
        </w:rPr>
      </w:pPr>
      <w:r w:rsidRPr="00977D25">
        <w:rPr>
          <w:rFonts w:ascii="Times New Roman" w:hAnsi="Times New Roman"/>
          <w:b w:val="0"/>
          <w:sz w:val="14"/>
          <w:szCs w:val="14"/>
        </w:rPr>
        <w:t>Explanation</w:t>
      </w:r>
      <w:r w:rsidR="00C27744" w:rsidRPr="00977D25">
        <w:rPr>
          <w:rFonts w:ascii="Times New Roman" w:hAnsi="Times New Roman"/>
          <w:b w:val="0"/>
          <w:sz w:val="14"/>
          <w:szCs w:val="14"/>
        </w:rPr>
        <w:t xml:space="preserve"> related to transaction </w:t>
      </w:r>
      <w:r w:rsidR="00005733">
        <w:rPr>
          <w:rFonts w:ascii="Times New Roman" w:hAnsi="Times New Roman"/>
          <w:b w:val="0"/>
          <w:sz w:val="14"/>
          <w:szCs w:val="14"/>
        </w:rPr>
        <w:t xml:space="preserve">carried out </w:t>
      </w:r>
      <w:r w:rsidR="00C27744" w:rsidRPr="00977D25">
        <w:rPr>
          <w:rFonts w:ascii="Times New Roman" w:hAnsi="Times New Roman"/>
          <w:b w:val="0"/>
          <w:sz w:val="14"/>
          <w:szCs w:val="14"/>
        </w:rPr>
        <w:t>on behalf of others a</w:t>
      </w:r>
      <w:r w:rsidR="00FC2264" w:rsidRPr="00977D25">
        <w:rPr>
          <w:rFonts w:ascii="Times New Roman" w:hAnsi="Times New Roman"/>
          <w:b w:val="0"/>
          <w:sz w:val="14"/>
          <w:szCs w:val="14"/>
        </w:rPr>
        <w:t>n</w:t>
      </w:r>
      <w:r w:rsidR="00AD6A3F" w:rsidRPr="00977D25">
        <w:rPr>
          <w:rFonts w:ascii="Times New Roman" w:hAnsi="Times New Roman"/>
          <w:b w:val="0"/>
          <w:sz w:val="14"/>
          <w:szCs w:val="14"/>
        </w:rPr>
        <w:t>d transaction based on trust</w:t>
      </w:r>
      <w:r w:rsidR="00AD6A3F" w:rsidRPr="00977D25">
        <w:rPr>
          <w:rFonts w:ascii="Times New Roman" w:hAnsi="Times New Roman"/>
          <w:b w:val="0"/>
          <w:sz w:val="14"/>
          <w:szCs w:val="14"/>
        </w:rPr>
        <w:tab/>
      </w:r>
      <w:r w:rsidR="00AD6A3F" w:rsidRPr="00977D25">
        <w:rPr>
          <w:rFonts w:ascii="Times New Roman" w:hAnsi="Times New Roman"/>
          <w:b w:val="0"/>
          <w:sz w:val="14"/>
          <w:szCs w:val="14"/>
        </w:rPr>
        <w:tab/>
        <w:t>66</w:t>
      </w:r>
    </w:p>
    <w:p w14:paraId="00E38748" w14:textId="77777777" w:rsidR="00FC2264" w:rsidRPr="00977D25" w:rsidRDefault="00FC2264" w:rsidP="001651E8">
      <w:pPr>
        <w:pStyle w:val="NormalIndent"/>
        <w:tabs>
          <w:tab w:val="right" w:leader="dot" w:pos="10009"/>
        </w:tabs>
        <w:spacing w:line="216" w:lineRule="auto"/>
        <w:rPr>
          <w:sz w:val="14"/>
          <w:szCs w:val="14"/>
        </w:rPr>
      </w:pPr>
    </w:p>
    <w:p w14:paraId="21B47246" w14:textId="77777777" w:rsidR="000144BE" w:rsidRPr="00616A79" w:rsidRDefault="000144BE" w:rsidP="00616A79">
      <w:pPr>
        <w:pStyle w:val="BodyTextIndent"/>
        <w:tabs>
          <w:tab w:val="left" w:pos="4140"/>
        </w:tabs>
        <w:spacing w:after="0" w:line="216" w:lineRule="auto"/>
        <w:ind w:left="4253" w:hanging="4253"/>
        <w:jc w:val="center"/>
        <w:rPr>
          <w:b/>
          <w:noProof/>
          <w:sz w:val="14"/>
          <w:szCs w:val="14"/>
          <w:u w:val="single"/>
          <w:lang w:val="tr-TR"/>
        </w:rPr>
      </w:pPr>
      <w:r w:rsidRPr="00616A79">
        <w:rPr>
          <w:b/>
          <w:noProof/>
          <w:sz w:val="14"/>
          <w:szCs w:val="14"/>
          <w:u w:val="single"/>
          <w:lang w:val="tr-TR"/>
        </w:rPr>
        <w:t>SECTION FIVE</w:t>
      </w:r>
    </w:p>
    <w:p w14:paraId="209387F5" w14:textId="4BCC7E4B" w:rsidR="000144BE" w:rsidRPr="00977D25" w:rsidRDefault="00B27B7B" w:rsidP="001651E8">
      <w:pPr>
        <w:tabs>
          <w:tab w:val="right" w:leader="dot" w:pos="10009"/>
          <w:tab w:val="right" w:pos="10773"/>
          <w:tab w:val="left" w:pos="15680"/>
          <w:tab w:val="left" w:pos="16640"/>
          <w:tab w:val="left" w:pos="17740"/>
        </w:tabs>
        <w:spacing w:line="216" w:lineRule="auto"/>
        <w:jc w:val="center"/>
        <w:rPr>
          <w:b/>
          <w:sz w:val="14"/>
          <w:szCs w:val="14"/>
        </w:rPr>
      </w:pPr>
      <w:r>
        <w:rPr>
          <w:b/>
          <w:sz w:val="14"/>
          <w:szCs w:val="14"/>
        </w:rPr>
        <w:t>Explanations and Notes</w:t>
      </w:r>
      <w:r w:rsidR="00677268" w:rsidRPr="00977D25">
        <w:rPr>
          <w:b/>
          <w:sz w:val="14"/>
          <w:szCs w:val="14"/>
        </w:rPr>
        <w:t xml:space="preserve"> on</w:t>
      </w:r>
      <w:r>
        <w:rPr>
          <w:b/>
          <w:sz w:val="14"/>
          <w:szCs w:val="14"/>
        </w:rPr>
        <w:t xml:space="preserve"> the</w:t>
      </w:r>
      <w:r w:rsidR="00677268" w:rsidRPr="00977D25">
        <w:rPr>
          <w:b/>
          <w:sz w:val="14"/>
          <w:szCs w:val="14"/>
        </w:rPr>
        <w:t xml:space="preserve"> Consolidated</w:t>
      </w:r>
      <w:r w:rsidR="000144BE" w:rsidRPr="00977D25">
        <w:rPr>
          <w:b/>
          <w:sz w:val="14"/>
          <w:szCs w:val="14"/>
        </w:rPr>
        <w:t xml:space="preserve"> </w:t>
      </w:r>
      <w:r w:rsidR="00677268" w:rsidRPr="00977D25">
        <w:rPr>
          <w:b/>
          <w:sz w:val="14"/>
          <w:szCs w:val="14"/>
        </w:rPr>
        <w:t>Financial Statements</w:t>
      </w:r>
    </w:p>
    <w:p w14:paraId="093D8223" w14:textId="1864A669" w:rsidR="000144BE" w:rsidRPr="00977D25" w:rsidRDefault="000144BE" w:rsidP="001651E8">
      <w:pPr>
        <w:widowControl w:val="0"/>
        <w:numPr>
          <w:ilvl w:val="0"/>
          <w:numId w:val="38"/>
        </w:numPr>
        <w:tabs>
          <w:tab w:val="clear" w:pos="1080"/>
          <w:tab w:val="left" w:pos="851"/>
          <w:tab w:val="right" w:leader="dot" w:pos="10009"/>
          <w:tab w:val="right" w:pos="10773"/>
        </w:tabs>
        <w:adjustRightInd w:val="0"/>
        <w:spacing w:line="216" w:lineRule="auto"/>
        <w:ind w:left="851" w:hanging="851"/>
        <w:jc w:val="both"/>
        <w:textAlignment w:val="baseline"/>
        <w:rPr>
          <w:sz w:val="14"/>
          <w:szCs w:val="14"/>
        </w:rPr>
      </w:pPr>
      <w:r w:rsidRPr="00977D25">
        <w:rPr>
          <w:sz w:val="14"/>
          <w:szCs w:val="14"/>
        </w:rPr>
        <w:t xml:space="preserve">Explanations and notes </w:t>
      </w:r>
      <w:r w:rsidR="00F142CB" w:rsidRPr="00977D25">
        <w:rPr>
          <w:sz w:val="14"/>
          <w:szCs w:val="14"/>
        </w:rPr>
        <w:t>on the</w:t>
      </w:r>
      <w:r w:rsidR="001523D7" w:rsidRPr="00977D25">
        <w:rPr>
          <w:sz w:val="14"/>
          <w:szCs w:val="14"/>
        </w:rPr>
        <w:t xml:space="preserve"> </w:t>
      </w:r>
      <w:r w:rsidRPr="00977D25">
        <w:rPr>
          <w:sz w:val="14"/>
          <w:szCs w:val="14"/>
        </w:rPr>
        <w:t>assets</w:t>
      </w:r>
      <w:r w:rsidRPr="00977D25">
        <w:rPr>
          <w:sz w:val="14"/>
          <w:szCs w:val="14"/>
        </w:rPr>
        <w:tab/>
      </w:r>
      <w:r w:rsidRPr="00977D25">
        <w:rPr>
          <w:sz w:val="14"/>
          <w:szCs w:val="14"/>
        </w:rPr>
        <w:tab/>
      </w:r>
      <w:r w:rsidR="00AD6A3F" w:rsidRPr="00977D25">
        <w:rPr>
          <w:sz w:val="14"/>
          <w:szCs w:val="14"/>
        </w:rPr>
        <w:t>67-81</w:t>
      </w:r>
    </w:p>
    <w:p w14:paraId="17B61E1B" w14:textId="07D0A1E2" w:rsidR="000144BE" w:rsidRPr="00977D25" w:rsidRDefault="000144BE" w:rsidP="001651E8">
      <w:pPr>
        <w:widowControl w:val="0"/>
        <w:numPr>
          <w:ilvl w:val="0"/>
          <w:numId w:val="38"/>
        </w:numPr>
        <w:tabs>
          <w:tab w:val="clear" w:pos="1080"/>
          <w:tab w:val="left" w:pos="851"/>
          <w:tab w:val="right" w:leader="dot" w:pos="10009"/>
          <w:tab w:val="right" w:pos="10773"/>
        </w:tabs>
        <w:adjustRightInd w:val="0"/>
        <w:spacing w:line="216" w:lineRule="auto"/>
        <w:ind w:left="851" w:hanging="851"/>
        <w:jc w:val="both"/>
        <w:textAlignment w:val="baseline"/>
        <w:rPr>
          <w:sz w:val="14"/>
          <w:szCs w:val="14"/>
        </w:rPr>
      </w:pPr>
      <w:r w:rsidRPr="00977D25">
        <w:rPr>
          <w:sz w:val="14"/>
          <w:szCs w:val="14"/>
        </w:rPr>
        <w:t xml:space="preserve">Explanations and notes </w:t>
      </w:r>
      <w:r w:rsidR="00F142CB" w:rsidRPr="00977D25">
        <w:rPr>
          <w:sz w:val="14"/>
          <w:szCs w:val="14"/>
        </w:rPr>
        <w:t>on the</w:t>
      </w:r>
      <w:r w:rsidRPr="00977D25">
        <w:rPr>
          <w:sz w:val="14"/>
          <w:szCs w:val="14"/>
        </w:rPr>
        <w:t xml:space="preserve"> liabilities</w:t>
      </w:r>
      <w:r w:rsidRPr="00977D25">
        <w:rPr>
          <w:sz w:val="14"/>
          <w:szCs w:val="14"/>
        </w:rPr>
        <w:tab/>
      </w:r>
      <w:r w:rsidRPr="00977D25">
        <w:rPr>
          <w:sz w:val="14"/>
          <w:szCs w:val="14"/>
        </w:rPr>
        <w:tab/>
      </w:r>
      <w:r w:rsidR="00AD6A3F" w:rsidRPr="00977D25">
        <w:rPr>
          <w:sz w:val="14"/>
          <w:szCs w:val="14"/>
        </w:rPr>
        <w:t>82</w:t>
      </w:r>
      <w:r w:rsidRPr="00977D25">
        <w:rPr>
          <w:sz w:val="14"/>
          <w:szCs w:val="14"/>
        </w:rPr>
        <w:t>-</w:t>
      </w:r>
      <w:r w:rsidR="00AD6A3F" w:rsidRPr="00977D25">
        <w:rPr>
          <w:sz w:val="14"/>
          <w:szCs w:val="14"/>
        </w:rPr>
        <w:t>88</w:t>
      </w:r>
    </w:p>
    <w:p w14:paraId="40ADBDC9" w14:textId="754881AB" w:rsidR="000144BE" w:rsidRPr="00977D25" w:rsidRDefault="000144BE" w:rsidP="001651E8">
      <w:pPr>
        <w:widowControl w:val="0"/>
        <w:numPr>
          <w:ilvl w:val="0"/>
          <w:numId w:val="38"/>
        </w:numPr>
        <w:tabs>
          <w:tab w:val="clear" w:pos="1080"/>
          <w:tab w:val="left" w:pos="851"/>
          <w:tab w:val="right" w:leader="dot" w:pos="10009"/>
          <w:tab w:val="right" w:pos="10773"/>
        </w:tabs>
        <w:adjustRightInd w:val="0"/>
        <w:spacing w:line="216" w:lineRule="auto"/>
        <w:ind w:left="851" w:hanging="851"/>
        <w:jc w:val="both"/>
        <w:textAlignment w:val="baseline"/>
        <w:rPr>
          <w:sz w:val="14"/>
          <w:szCs w:val="14"/>
        </w:rPr>
      </w:pPr>
      <w:r w:rsidRPr="00977D25">
        <w:rPr>
          <w:sz w:val="14"/>
          <w:szCs w:val="14"/>
        </w:rPr>
        <w:t>Ex</w:t>
      </w:r>
      <w:r w:rsidR="001523D7" w:rsidRPr="00977D25">
        <w:rPr>
          <w:sz w:val="14"/>
          <w:szCs w:val="14"/>
        </w:rPr>
        <w:t xml:space="preserve">planations and notes </w:t>
      </w:r>
      <w:r w:rsidR="00F142CB" w:rsidRPr="00977D25">
        <w:rPr>
          <w:sz w:val="14"/>
          <w:szCs w:val="14"/>
        </w:rPr>
        <w:t>on the</w:t>
      </w:r>
      <w:r w:rsidR="00802D7D" w:rsidRPr="00977D25">
        <w:rPr>
          <w:sz w:val="14"/>
          <w:szCs w:val="14"/>
        </w:rPr>
        <w:t xml:space="preserve"> </w:t>
      </w:r>
      <w:r w:rsidRPr="00977D25">
        <w:rPr>
          <w:sz w:val="14"/>
          <w:szCs w:val="14"/>
        </w:rPr>
        <w:t>off-balance sheet accounts</w:t>
      </w:r>
      <w:r w:rsidRPr="00977D25">
        <w:rPr>
          <w:sz w:val="14"/>
          <w:szCs w:val="14"/>
        </w:rPr>
        <w:tab/>
      </w:r>
      <w:r w:rsidRPr="00977D25">
        <w:rPr>
          <w:sz w:val="14"/>
          <w:szCs w:val="14"/>
        </w:rPr>
        <w:tab/>
      </w:r>
      <w:r w:rsidR="00AD6A3F" w:rsidRPr="00977D25">
        <w:rPr>
          <w:sz w:val="14"/>
          <w:szCs w:val="14"/>
        </w:rPr>
        <w:t>89-91</w:t>
      </w:r>
    </w:p>
    <w:p w14:paraId="6456A8E6" w14:textId="6BB9D36B" w:rsidR="000144BE" w:rsidRPr="00977D25" w:rsidRDefault="000144BE" w:rsidP="001651E8">
      <w:pPr>
        <w:widowControl w:val="0"/>
        <w:numPr>
          <w:ilvl w:val="0"/>
          <w:numId w:val="38"/>
        </w:numPr>
        <w:tabs>
          <w:tab w:val="clear" w:pos="1080"/>
          <w:tab w:val="left" w:pos="851"/>
          <w:tab w:val="right" w:leader="dot" w:pos="10009"/>
          <w:tab w:val="right" w:pos="10773"/>
        </w:tabs>
        <w:adjustRightInd w:val="0"/>
        <w:spacing w:line="216" w:lineRule="auto"/>
        <w:ind w:left="851" w:hanging="851"/>
        <w:jc w:val="both"/>
        <w:textAlignment w:val="baseline"/>
        <w:rPr>
          <w:sz w:val="14"/>
          <w:szCs w:val="14"/>
        </w:rPr>
      </w:pPr>
      <w:r w:rsidRPr="00977D25">
        <w:rPr>
          <w:sz w:val="14"/>
          <w:szCs w:val="14"/>
        </w:rPr>
        <w:t xml:space="preserve">Explanations and notes </w:t>
      </w:r>
      <w:r w:rsidR="00F142CB" w:rsidRPr="00977D25">
        <w:rPr>
          <w:sz w:val="14"/>
          <w:szCs w:val="14"/>
        </w:rPr>
        <w:t>on the</w:t>
      </w:r>
      <w:r w:rsidRPr="00977D25">
        <w:rPr>
          <w:sz w:val="14"/>
          <w:szCs w:val="14"/>
        </w:rPr>
        <w:t xml:space="preserve"> income statement</w:t>
      </w:r>
      <w:r w:rsidRPr="00977D25">
        <w:rPr>
          <w:sz w:val="14"/>
          <w:szCs w:val="14"/>
        </w:rPr>
        <w:tab/>
      </w:r>
      <w:r w:rsidRPr="00977D25">
        <w:rPr>
          <w:sz w:val="14"/>
          <w:szCs w:val="14"/>
        </w:rPr>
        <w:tab/>
      </w:r>
      <w:r w:rsidR="00AD6A3F" w:rsidRPr="00977D25">
        <w:rPr>
          <w:sz w:val="14"/>
          <w:szCs w:val="14"/>
        </w:rPr>
        <w:t>92-96</w:t>
      </w:r>
    </w:p>
    <w:p w14:paraId="6B9A7A6F" w14:textId="722799A8" w:rsidR="000144BE" w:rsidRPr="00977D25" w:rsidRDefault="000144BE" w:rsidP="001651E8">
      <w:pPr>
        <w:widowControl w:val="0"/>
        <w:numPr>
          <w:ilvl w:val="0"/>
          <w:numId w:val="38"/>
        </w:numPr>
        <w:tabs>
          <w:tab w:val="clear" w:pos="1080"/>
          <w:tab w:val="left" w:pos="851"/>
          <w:tab w:val="right" w:leader="dot" w:pos="10009"/>
          <w:tab w:val="right" w:pos="10773"/>
        </w:tabs>
        <w:adjustRightInd w:val="0"/>
        <w:spacing w:line="216" w:lineRule="auto"/>
        <w:ind w:left="851" w:hanging="851"/>
        <w:jc w:val="both"/>
        <w:textAlignment w:val="baseline"/>
        <w:rPr>
          <w:sz w:val="14"/>
          <w:szCs w:val="14"/>
        </w:rPr>
      </w:pPr>
      <w:r w:rsidRPr="00977D25">
        <w:rPr>
          <w:sz w:val="14"/>
          <w:szCs w:val="14"/>
        </w:rPr>
        <w:t xml:space="preserve">Explanations and notes </w:t>
      </w:r>
      <w:r w:rsidR="00F142CB" w:rsidRPr="00977D25">
        <w:rPr>
          <w:sz w:val="14"/>
          <w:szCs w:val="14"/>
        </w:rPr>
        <w:t xml:space="preserve">on the </w:t>
      </w:r>
      <w:r w:rsidR="00FC2264" w:rsidRPr="00977D25">
        <w:rPr>
          <w:sz w:val="14"/>
          <w:szCs w:val="14"/>
        </w:rPr>
        <w:t>changes in shareholders’ equity</w:t>
      </w:r>
      <w:r w:rsidRPr="00977D25">
        <w:rPr>
          <w:sz w:val="14"/>
          <w:szCs w:val="14"/>
        </w:rPr>
        <w:tab/>
      </w:r>
      <w:r w:rsidRPr="00977D25">
        <w:rPr>
          <w:sz w:val="14"/>
          <w:szCs w:val="14"/>
        </w:rPr>
        <w:tab/>
      </w:r>
      <w:r w:rsidR="00AD6A3F" w:rsidRPr="00977D25">
        <w:rPr>
          <w:sz w:val="14"/>
          <w:szCs w:val="14"/>
        </w:rPr>
        <w:t>97</w:t>
      </w:r>
    </w:p>
    <w:p w14:paraId="2057F055" w14:textId="6643FB73" w:rsidR="000144BE" w:rsidRPr="00977D25" w:rsidRDefault="000144BE" w:rsidP="001651E8">
      <w:pPr>
        <w:widowControl w:val="0"/>
        <w:numPr>
          <w:ilvl w:val="0"/>
          <w:numId w:val="38"/>
        </w:numPr>
        <w:tabs>
          <w:tab w:val="clear" w:pos="1080"/>
          <w:tab w:val="left" w:pos="851"/>
          <w:tab w:val="right" w:leader="dot" w:pos="10009"/>
          <w:tab w:val="right" w:pos="10773"/>
        </w:tabs>
        <w:adjustRightInd w:val="0"/>
        <w:spacing w:line="216" w:lineRule="auto"/>
        <w:ind w:left="851" w:hanging="851"/>
        <w:jc w:val="both"/>
        <w:textAlignment w:val="baseline"/>
        <w:rPr>
          <w:sz w:val="14"/>
          <w:szCs w:val="14"/>
        </w:rPr>
      </w:pPr>
      <w:r w:rsidRPr="00977D25">
        <w:rPr>
          <w:sz w:val="14"/>
          <w:szCs w:val="14"/>
        </w:rPr>
        <w:t xml:space="preserve">Explanations and notes </w:t>
      </w:r>
      <w:r w:rsidR="00F142CB" w:rsidRPr="00977D25">
        <w:rPr>
          <w:sz w:val="14"/>
          <w:szCs w:val="14"/>
        </w:rPr>
        <w:t>on the</w:t>
      </w:r>
      <w:r w:rsidR="00347896" w:rsidRPr="00977D25">
        <w:rPr>
          <w:sz w:val="14"/>
          <w:szCs w:val="14"/>
        </w:rPr>
        <w:t xml:space="preserve"> </w:t>
      </w:r>
      <w:r w:rsidR="00FC2264" w:rsidRPr="00977D25">
        <w:rPr>
          <w:sz w:val="14"/>
          <w:szCs w:val="14"/>
        </w:rPr>
        <w:t>statement of cash flows</w:t>
      </w:r>
      <w:r w:rsidRPr="00977D25">
        <w:rPr>
          <w:sz w:val="14"/>
          <w:szCs w:val="14"/>
        </w:rPr>
        <w:tab/>
      </w:r>
      <w:r w:rsidRPr="00977D25">
        <w:rPr>
          <w:sz w:val="14"/>
          <w:szCs w:val="14"/>
        </w:rPr>
        <w:tab/>
      </w:r>
      <w:r w:rsidR="00AD6A3F" w:rsidRPr="00977D25">
        <w:rPr>
          <w:sz w:val="14"/>
          <w:szCs w:val="14"/>
        </w:rPr>
        <w:t>97-98</w:t>
      </w:r>
    </w:p>
    <w:p w14:paraId="07856BA4" w14:textId="24F2EF4C" w:rsidR="00FC2264" w:rsidRPr="00977D25" w:rsidRDefault="00FC2264" w:rsidP="001651E8">
      <w:pPr>
        <w:widowControl w:val="0"/>
        <w:numPr>
          <w:ilvl w:val="0"/>
          <w:numId w:val="38"/>
        </w:numPr>
        <w:tabs>
          <w:tab w:val="clear" w:pos="1080"/>
          <w:tab w:val="left" w:pos="851"/>
          <w:tab w:val="right" w:leader="dot" w:pos="10009"/>
          <w:tab w:val="right" w:pos="10773"/>
        </w:tabs>
        <w:adjustRightInd w:val="0"/>
        <w:spacing w:line="216" w:lineRule="auto"/>
        <w:ind w:left="851" w:hanging="851"/>
        <w:jc w:val="both"/>
        <w:textAlignment w:val="baseline"/>
        <w:rPr>
          <w:sz w:val="14"/>
          <w:szCs w:val="14"/>
        </w:rPr>
      </w:pPr>
      <w:r w:rsidRPr="00977D25">
        <w:rPr>
          <w:sz w:val="14"/>
          <w:szCs w:val="14"/>
        </w:rPr>
        <w:t xml:space="preserve">Explanations and notes </w:t>
      </w:r>
      <w:r w:rsidR="00F142CB" w:rsidRPr="00977D25">
        <w:rPr>
          <w:sz w:val="14"/>
          <w:szCs w:val="14"/>
        </w:rPr>
        <w:t>on the</w:t>
      </w:r>
      <w:r w:rsidR="00AD6A3F" w:rsidRPr="00977D25">
        <w:rPr>
          <w:sz w:val="14"/>
          <w:szCs w:val="14"/>
        </w:rPr>
        <w:t xml:space="preserve"> parent bank’s risk group</w:t>
      </w:r>
      <w:r w:rsidR="00AD6A3F" w:rsidRPr="00977D25">
        <w:rPr>
          <w:sz w:val="14"/>
          <w:szCs w:val="14"/>
        </w:rPr>
        <w:tab/>
      </w:r>
      <w:r w:rsidR="00AD6A3F" w:rsidRPr="00977D25">
        <w:rPr>
          <w:sz w:val="14"/>
          <w:szCs w:val="14"/>
        </w:rPr>
        <w:tab/>
        <w:t>99-101</w:t>
      </w:r>
    </w:p>
    <w:p w14:paraId="5BD890D3" w14:textId="3E7665AF" w:rsidR="00FC2264" w:rsidRPr="00977D25" w:rsidRDefault="00FC2264" w:rsidP="001651E8">
      <w:pPr>
        <w:widowControl w:val="0"/>
        <w:numPr>
          <w:ilvl w:val="0"/>
          <w:numId w:val="38"/>
        </w:numPr>
        <w:tabs>
          <w:tab w:val="clear" w:pos="1080"/>
          <w:tab w:val="left" w:pos="851"/>
          <w:tab w:val="right" w:leader="dot" w:pos="10009"/>
          <w:tab w:val="right" w:pos="10773"/>
        </w:tabs>
        <w:adjustRightInd w:val="0"/>
        <w:spacing w:line="216" w:lineRule="auto"/>
        <w:ind w:left="851" w:hanging="851"/>
        <w:jc w:val="both"/>
        <w:textAlignment w:val="baseline"/>
        <w:rPr>
          <w:sz w:val="14"/>
          <w:szCs w:val="14"/>
        </w:rPr>
      </w:pPr>
      <w:r w:rsidRPr="00977D25">
        <w:rPr>
          <w:sz w:val="14"/>
          <w:szCs w:val="14"/>
        </w:rPr>
        <w:t xml:space="preserve">Explanations </w:t>
      </w:r>
      <w:r w:rsidR="004B6E5C" w:rsidRPr="00977D25">
        <w:rPr>
          <w:sz w:val="14"/>
          <w:szCs w:val="14"/>
        </w:rPr>
        <w:t xml:space="preserve">and notes </w:t>
      </w:r>
      <w:r w:rsidR="00F142CB" w:rsidRPr="00977D25">
        <w:rPr>
          <w:sz w:val="14"/>
          <w:szCs w:val="14"/>
        </w:rPr>
        <w:t>on</w:t>
      </w:r>
      <w:r w:rsidRPr="00977D25">
        <w:rPr>
          <w:sz w:val="14"/>
          <w:szCs w:val="14"/>
        </w:rPr>
        <w:t xml:space="preserve"> domestic, foreign, off-shore branches and foreign </w:t>
      </w:r>
      <w:proofErr w:type="spellStart"/>
      <w:r w:rsidR="00AD6A3F" w:rsidRPr="00977D25">
        <w:rPr>
          <w:sz w:val="14"/>
          <w:szCs w:val="14"/>
        </w:rPr>
        <w:t>represantatives</w:t>
      </w:r>
      <w:proofErr w:type="spellEnd"/>
      <w:r w:rsidR="00AD6A3F" w:rsidRPr="00977D25">
        <w:rPr>
          <w:sz w:val="14"/>
          <w:szCs w:val="14"/>
        </w:rPr>
        <w:t xml:space="preserve"> of the bank</w:t>
      </w:r>
      <w:r w:rsidR="00AD6A3F" w:rsidRPr="00977D25">
        <w:rPr>
          <w:sz w:val="14"/>
          <w:szCs w:val="14"/>
        </w:rPr>
        <w:tab/>
      </w:r>
      <w:r w:rsidR="00AD6A3F" w:rsidRPr="00977D25">
        <w:rPr>
          <w:sz w:val="14"/>
          <w:szCs w:val="14"/>
        </w:rPr>
        <w:tab/>
        <w:t>101</w:t>
      </w:r>
    </w:p>
    <w:p w14:paraId="3E26BE5C" w14:textId="6A152B72" w:rsidR="00FC2264" w:rsidRPr="00977D25" w:rsidRDefault="00FC2264" w:rsidP="001651E8">
      <w:pPr>
        <w:widowControl w:val="0"/>
        <w:numPr>
          <w:ilvl w:val="0"/>
          <w:numId w:val="38"/>
        </w:numPr>
        <w:tabs>
          <w:tab w:val="clear" w:pos="1080"/>
          <w:tab w:val="left" w:pos="851"/>
          <w:tab w:val="right" w:leader="dot" w:pos="10009"/>
          <w:tab w:val="right" w:pos="10773"/>
        </w:tabs>
        <w:adjustRightInd w:val="0"/>
        <w:spacing w:line="216" w:lineRule="auto"/>
        <w:ind w:left="851" w:hanging="851"/>
        <w:jc w:val="both"/>
        <w:textAlignment w:val="baseline"/>
        <w:rPr>
          <w:sz w:val="14"/>
          <w:szCs w:val="14"/>
        </w:rPr>
      </w:pPr>
      <w:r w:rsidRPr="00977D25">
        <w:rPr>
          <w:sz w:val="14"/>
          <w:szCs w:val="14"/>
        </w:rPr>
        <w:t xml:space="preserve">Explanations and notes </w:t>
      </w:r>
      <w:r w:rsidR="00F142CB" w:rsidRPr="00977D25">
        <w:rPr>
          <w:sz w:val="14"/>
          <w:szCs w:val="14"/>
        </w:rPr>
        <w:t xml:space="preserve">on the </w:t>
      </w:r>
      <w:r w:rsidRPr="00977D25">
        <w:rPr>
          <w:sz w:val="14"/>
          <w:szCs w:val="14"/>
        </w:rPr>
        <w:t>subsequent events</w:t>
      </w:r>
      <w:r w:rsidRPr="00977D25">
        <w:rPr>
          <w:sz w:val="14"/>
          <w:szCs w:val="14"/>
        </w:rPr>
        <w:tab/>
      </w:r>
      <w:r w:rsidRPr="00977D25">
        <w:rPr>
          <w:sz w:val="14"/>
          <w:szCs w:val="14"/>
        </w:rPr>
        <w:tab/>
        <w:t>1</w:t>
      </w:r>
      <w:r w:rsidR="00AD6A3F" w:rsidRPr="00977D25">
        <w:rPr>
          <w:sz w:val="14"/>
          <w:szCs w:val="14"/>
        </w:rPr>
        <w:t>01</w:t>
      </w:r>
    </w:p>
    <w:p w14:paraId="68ABB808" w14:textId="77777777" w:rsidR="000144BE" w:rsidRPr="00977D25" w:rsidRDefault="000144BE" w:rsidP="001651E8">
      <w:pPr>
        <w:pStyle w:val="BodyTextIndent"/>
        <w:tabs>
          <w:tab w:val="right" w:leader="dot" w:pos="10009"/>
          <w:tab w:val="right" w:pos="10773"/>
        </w:tabs>
        <w:spacing w:after="0" w:line="216" w:lineRule="auto"/>
        <w:ind w:left="3960" w:firstLine="360"/>
        <w:rPr>
          <w:b/>
          <w:sz w:val="14"/>
          <w:szCs w:val="14"/>
        </w:rPr>
      </w:pPr>
    </w:p>
    <w:p w14:paraId="1EBFEBDE" w14:textId="77777777" w:rsidR="000144BE" w:rsidRPr="00616A79" w:rsidRDefault="000144BE" w:rsidP="00616A79">
      <w:pPr>
        <w:pStyle w:val="BodyTextIndent"/>
        <w:tabs>
          <w:tab w:val="left" w:pos="4140"/>
        </w:tabs>
        <w:spacing w:after="0" w:line="216" w:lineRule="auto"/>
        <w:ind w:left="4253" w:hanging="4253"/>
        <w:jc w:val="center"/>
        <w:rPr>
          <w:b/>
          <w:noProof/>
          <w:sz w:val="14"/>
          <w:szCs w:val="14"/>
          <w:u w:val="single"/>
          <w:lang w:val="tr-TR"/>
        </w:rPr>
      </w:pPr>
      <w:r w:rsidRPr="00616A79">
        <w:rPr>
          <w:b/>
          <w:noProof/>
          <w:sz w:val="14"/>
          <w:szCs w:val="14"/>
          <w:u w:val="single"/>
          <w:lang w:val="tr-TR"/>
        </w:rPr>
        <w:t>SECTION SIX</w:t>
      </w:r>
    </w:p>
    <w:p w14:paraId="78027573" w14:textId="172516C2" w:rsidR="000144BE" w:rsidRPr="00977D25" w:rsidRDefault="00677268" w:rsidP="001651E8">
      <w:pPr>
        <w:tabs>
          <w:tab w:val="right" w:leader="dot" w:pos="10009"/>
          <w:tab w:val="left" w:pos="10080"/>
          <w:tab w:val="right" w:pos="10773"/>
          <w:tab w:val="left" w:pos="15680"/>
          <w:tab w:val="left" w:pos="16640"/>
          <w:tab w:val="left" w:pos="17740"/>
        </w:tabs>
        <w:spacing w:line="216" w:lineRule="auto"/>
        <w:ind w:firstLine="284"/>
        <w:jc w:val="center"/>
        <w:rPr>
          <w:b/>
          <w:sz w:val="14"/>
          <w:szCs w:val="14"/>
        </w:rPr>
      </w:pPr>
      <w:r w:rsidRPr="00977D25">
        <w:rPr>
          <w:b/>
          <w:sz w:val="14"/>
          <w:szCs w:val="14"/>
        </w:rPr>
        <w:t xml:space="preserve">Other </w:t>
      </w:r>
      <w:r w:rsidR="000144BE" w:rsidRPr="00977D25">
        <w:rPr>
          <w:b/>
          <w:sz w:val="14"/>
          <w:szCs w:val="14"/>
        </w:rPr>
        <w:t>E</w:t>
      </w:r>
      <w:r w:rsidRPr="00977D25">
        <w:rPr>
          <w:b/>
          <w:sz w:val="14"/>
          <w:szCs w:val="14"/>
        </w:rPr>
        <w:t>xplanations</w:t>
      </w:r>
      <w:r w:rsidR="000144BE" w:rsidRPr="00977D25">
        <w:rPr>
          <w:b/>
          <w:sz w:val="14"/>
          <w:szCs w:val="14"/>
        </w:rPr>
        <w:t xml:space="preserve"> </w:t>
      </w:r>
      <w:r w:rsidRPr="00977D25">
        <w:rPr>
          <w:b/>
          <w:sz w:val="14"/>
          <w:szCs w:val="14"/>
        </w:rPr>
        <w:t>and</w:t>
      </w:r>
      <w:r w:rsidR="000144BE" w:rsidRPr="00977D25">
        <w:rPr>
          <w:b/>
          <w:sz w:val="14"/>
          <w:szCs w:val="14"/>
        </w:rPr>
        <w:t xml:space="preserve"> N</w:t>
      </w:r>
      <w:r w:rsidRPr="00977D25">
        <w:rPr>
          <w:b/>
          <w:sz w:val="14"/>
          <w:szCs w:val="14"/>
        </w:rPr>
        <w:t>otes</w:t>
      </w:r>
      <w:r w:rsidR="000144BE" w:rsidRPr="00977D25">
        <w:rPr>
          <w:b/>
          <w:sz w:val="14"/>
          <w:szCs w:val="14"/>
        </w:rPr>
        <w:t xml:space="preserve"> </w:t>
      </w:r>
    </w:p>
    <w:p w14:paraId="4516D3C3" w14:textId="6CF55E6A" w:rsidR="000144BE" w:rsidRPr="00977D25" w:rsidRDefault="000144BE" w:rsidP="00D9777F">
      <w:pPr>
        <w:widowControl w:val="0"/>
        <w:numPr>
          <w:ilvl w:val="0"/>
          <w:numId w:val="40"/>
        </w:numPr>
        <w:tabs>
          <w:tab w:val="left" w:pos="851"/>
          <w:tab w:val="right" w:leader="dot" w:pos="10009"/>
          <w:tab w:val="right" w:pos="10773"/>
        </w:tabs>
        <w:adjustRightInd w:val="0"/>
        <w:spacing w:line="216" w:lineRule="auto"/>
        <w:ind w:right="-1" w:hanging="1176"/>
        <w:jc w:val="both"/>
        <w:textAlignment w:val="baseline"/>
        <w:rPr>
          <w:sz w:val="14"/>
          <w:szCs w:val="14"/>
        </w:rPr>
      </w:pPr>
      <w:r w:rsidRPr="00977D25">
        <w:rPr>
          <w:rFonts w:eastAsia="Arial Unicode MS"/>
          <w:sz w:val="14"/>
          <w:szCs w:val="14"/>
        </w:rPr>
        <w:t>Other explanations related to</w:t>
      </w:r>
      <w:r w:rsidR="00C56A6A" w:rsidRPr="00977D25">
        <w:rPr>
          <w:rFonts w:eastAsia="Arial Unicode MS"/>
          <w:sz w:val="14"/>
          <w:szCs w:val="14"/>
        </w:rPr>
        <w:t xml:space="preserve"> the Parent</w:t>
      </w:r>
      <w:r w:rsidRPr="00977D25">
        <w:rPr>
          <w:rFonts w:eastAsia="Arial Unicode MS"/>
          <w:sz w:val="14"/>
          <w:szCs w:val="14"/>
        </w:rPr>
        <w:t xml:space="preserve"> Bank</w:t>
      </w:r>
      <w:r w:rsidR="004C32EE" w:rsidRPr="00977D25">
        <w:rPr>
          <w:rFonts w:eastAsia="Arial Unicode MS"/>
          <w:sz w:val="14"/>
          <w:szCs w:val="14"/>
        </w:rPr>
        <w:t>’s operations</w:t>
      </w:r>
      <w:r w:rsidRPr="00977D25">
        <w:rPr>
          <w:sz w:val="14"/>
          <w:szCs w:val="14"/>
        </w:rPr>
        <w:tab/>
      </w:r>
      <w:r w:rsidRPr="00977D25">
        <w:rPr>
          <w:sz w:val="14"/>
          <w:szCs w:val="14"/>
        </w:rPr>
        <w:tab/>
      </w:r>
      <w:r w:rsidR="00AD6A3F" w:rsidRPr="00977D25">
        <w:rPr>
          <w:sz w:val="14"/>
          <w:szCs w:val="14"/>
        </w:rPr>
        <w:t>102</w:t>
      </w:r>
    </w:p>
    <w:p w14:paraId="17C6B1D0" w14:textId="77777777" w:rsidR="000144BE" w:rsidRPr="00977D25" w:rsidRDefault="000144BE" w:rsidP="001651E8">
      <w:pPr>
        <w:tabs>
          <w:tab w:val="right" w:pos="8460"/>
          <w:tab w:val="right" w:leader="dot" w:pos="10009"/>
          <w:tab w:val="right" w:pos="10773"/>
        </w:tabs>
        <w:suppressAutoHyphens/>
        <w:spacing w:line="216" w:lineRule="auto"/>
        <w:rPr>
          <w:sz w:val="14"/>
          <w:szCs w:val="14"/>
        </w:rPr>
      </w:pPr>
    </w:p>
    <w:p w14:paraId="3CA04776" w14:textId="77777777" w:rsidR="000144BE" w:rsidRPr="00616A79" w:rsidRDefault="000144BE" w:rsidP="00616A79">
      <w:pPr>
        <w:pStyle w:val="BodyTextIndent"/>
        <w:tabs>
          <w:tab w:val="left" w:pos="4140"/>
        </w:tabs>
        <w:spacing w:after="0" w:line="216" w:lineRule="auto"/>
        <w:ind w:left="4253" w:hanging="4253"/>
        <w:jc w:val="center"/>
        <w:rPr>
          <w:b/>
          <w:noProof/>
          <w:sz w:val="14"/>
          <w:szCs w:val="14"/>
          <w:u w:val="single"/>
          <w:lang w:val="tr-TR"/>
        </w:rPr>
      </w:pPr>
      <w:r w:rsidRPr="00616A79">
        <w:rPr>
          <w:b/>
          <w:noProof/>
          <w:sz w:val="14"/>
          <w:szCs w:val="14"/>
          <w:u w:val="single"/>
          <w:lang w:val="tr-TR"/>
        </w:rPr>
        <w:t>SECTION SEVEN</w:t>
      </w:r>
    </w:p>
    <w:p w14:paraId="663BE6B5" w14:textId="42475246" w:rsidR="000144BE" w:rsidRPr="00977D25" w:rsidRDefault="00F142CB" w:rsidP="001651E8">
      <w:pPr>
        <w:tabs>
          <w:tab w:val="right" w:leader="dot" w:pos="9923"/>
          <w:tab w:val="right" w:leader="dot" w:pos="10009"/>
          <w:tab w:val="left" w:pos="10080"/>
          <w:tab w:val="right" w:pos="10773"/>
          <w:tab w:val="left" w:pos="15680"/>
          <w:tab w:val="left" w:pos="16640"/>
          <w:tab w:val="left" w:pos="17740"/>
        </w:tabs>
        <w:spacing w:line="216" w:lineRule="auto"/>
        <w:ind w:firstLine="140"/>
        <w:jc w:val="center"/>
        <w:rPr>
          <w:b/>
          <w:sz w:val="14"/>
          <w:szCs w:val="14"/>
        </w:rPr>
      </w:pPr>
      <w:r w:rsidRPr="00977D25">
        <w:rPr>
          <w:b/>
          <w:sz w:val="14"/>
          <w:szCs w:val="14"/>
        </w:rPr>
        <w:t xml:space="preserve">Disclosures </w:t>
      </w:r>
      <w:r w:rsidR="00677268" w:rsidRPr="00977D25">
        <w:rPr>
          <w:b/>
          <w:sz w:val="14"/>
          <w:szCs w:val="14"/>
        </w:rPr>
        <w:t>on Independent Auditor’s Review Report</w:t>
      </w:r>
    </w:p>
    <w:p w14:paraId="010711CA" w14:textId="41160DA7" w:rsidR="000144BE" w:rsidRPr="00977D25" w:rsidRDefault="000144BE" w:rsidP="001651E8">
      <w:pPr>
        <w:widowControl w:val="0"/>
        <w:numPr>
          <w:ilvl w:val="0"/>
          <w:numId w:val="39"/>
        </w:numPr>
        <w:tabs>
          <w:tab w:val="clear" w:pos="1080"/>
          <w:tab w:val="left" w:pos="851"/>
          <w:tab w:val="right" w:leader="dot" w:pos="9923"/>
          <w:tab w:val="right" w:leader="dot" w:pos="10009"/>
          <w:tab w:val="right" w:pos="10773"/>
        </w:tabs>
        <w:adjustRightInd w:val="0"/>
        <w:spacing w:line="216" w:lineRule="auto"/>
        <w:ind w:left="851" w:right="-1" w:hanging="851"/>
        <w:jc w:val="both"/>
        <w:textAlignment w:val="baseline"/>
        <w:rPr>
          <w:sz w:val="14"/>
          <w:szCs w:val="14"/>
        </w:rPr>
      </w:pPr>
      <w:r w:rsidRPr="00977D25">
        <w:rPr>
          <w:rFonts w:eastAsia="Arial Unicode MS"/>
          <w:sz w:val="14"/>
          <w:szCs w:val="14"/>
        </w:rPr>
        <w:t>Explanations on independent auditor’s</w:t>
      </w:r>
      <w:r w:rsidR="00FC2264" w:rsidRPr="00977D25">
        <w:rPr>
          <w:rFonts w:eastAsia="Arial Unicode MS"/>
          <w:sz w:val="14"/>
          <w:szCs w:val="14"/>
        </w:rPr>
        <w:t xml:space="preserve"> </w:t>
      </w:r>
      <w:r w:rsidRPr="00977D25">
        <w:rPr>
          <w:rFonts w:eastAsia="Arial Unicode MS"/>
          <w:sz w:val="14"/>
          <w:szCs w:val="14"/>
        </w:rPr>
        <w:t>report</w:t>
      </w:r>
      <w:r w:rsidRPr="00977D25">
        <w:rPr>
          <w:sz w:val="14"/>
          <w:szCs w:val="14"/>
        </w:rPr>
        <w:tab/>
      </w:r>
      <w:r w:rsidRPr="00977D25">
        <w:rPr>
          <w:sz w:val="14"/>
          <w:szCs w:val="14"/>
        </w:rPr>
        <w:tab/>
      </w:r>
      <w:r w:rsidR="00646FA7">
        <w:rPr>
          <w:sz w:val="14"/>
          <w:szCs w:val="14"/>
        </w:rPr>
        <w:tab/>
      </w:r>
      <w:r w:rsidR="00AD6A3F" w:rsidRPr="00977D25">
        <w:rPr>
          <w:sz w:val="14"/>
          <w:szCs w:val="14"/>
        </w:rPr>
        <w:t>103</w:t>
      </w:r>
    </w:p>
    <w:p w14:paraId="074223EA" w14:textId="3D55D5CF" w:rsidR="000144BE" w:rsidRPr="00977D25" w:rsidRDefault="000144BE" w:rsidP="001651E8">
      <w:pPr>
        <w:widowControl w:val="0"/>
        <w:numPr>
          <w:ilvl w:val="0"/>
          <w:numId w:val="39"/>
        </w:numPr>
        <w:tabs>
          <w:tab w:val="clear" w:pos="1080"/>
          <w:tab w:val="left" w:pos="851"/>
          <w:tab w:val="right" w:leader="dot" w:pos="9923"/>
          <w:tab w:val="right" w:leader="dot" w:pos="10009"/>
          <w:tab w:val="right" w:pos="10773"/>
        </w:tabs>
        <w:adjustRightInd w:val="0"/>
        <w:spacing w:line="216" w:lineRule="auto"/>
        <w:ind w:left="851" w:right="-1" w:hanging="851"/>
        <w:jc w:val="both"/>
        <w:textAlignment w:val="baseline"/>
        <w:rPr>
          <w:sz w:val="14"/>
          <w:szCs w:val="14"/>
        </w:rPr>
      </w:pPr>
      <w:r w:rsidRPr="00977D25">
        <w:rPr>
          <w:rFonts w:eastAsia="Arial Unicode MS"/>
          <w:sz w:val="14"/>
          <w:szCs w:val="14"/>
        </w:rPr>
        <w:t xml:space="preserve">Explanations and </w:t>
      </w:r>
      <w:r w:rsidR="00F142CB" w:rsidRPr="00977D25">
        <w:rPr>
          <w:rFonts w:eastAsia="Arial Unicode MS"/>
          <w:sz w:val="14"/>
          <w:szCs w:val="14"/>
        </w:rPr>
        <w:t>foot</w:t>
      </w:r>
      <w:r w:rsidRPr="00977D25">
        <w:rPr>
          <w:rFonts w:eastAsia="Arial Unicode MS"/>
          <w:sz w:val="14"/>
          <w:szCs w:val="14"/>
        </w:rPr>
        <w:t>notes prepared by independent auditor</w:t>
      </w:r>
      <w:r w:rsidRPr="00977D25">
        <w:rPr>
          <w:sz w:val="14"/>
          <w:szCs w:val="14"/>
        </w:rPr>
        <w:tab/>
      </w:r>
      <w:r w:rsidRPr="00977D25">
        <w:rPr>
          <w:sz w:val="14"/>
          <w:szCs w:val="14"/>
        </w:rPr>
        <w:tab/>
      </w:r>
      <w:r w:rsidR="00646FA7">
        <w:rPr>
          <w:sz w:val="14"/>
          <w:szCs w:val="14"/>
        </w:rPr>
        <w:tab/>
      </w:r>
      <w:r w:rsidR="00AD6A3F" w:rsidRPr="00977D25">
        <w:rPr>
          <w:sz w:val="14"/>
          <w:szCs w:val="14"/>
        </w:rPr>
        <w:t>103</w:t>
      </w:r>
    </w:p>
    <w:p w14:paraId="0F687DF6" w14:textId="3FB0013D" w:rsidR="00FC2264" w:rsidRPr="00977D25" w:rsidRDefault="00FC2264" w:rsidP="001651E8">
      <w:pPr>
        <w:tabs>
          <w:tab w:val="right" w:leader="dot" w:pos="10009"/>
        </w:tabs>
        <w:spacing w:after="200" w:line="276" w:lineRule="auto"/>
        <w:rPr>
          <w:sz w:val="14"/>
          <w:szCs w:val="14"/>
        </w:rPr>
      </w:pPr>
      <w:r w:rsidRPr="00977D25">
        <w:rPr>
          <w:sz w:val="14"/>
          <w:szCs w:val="14"/>
        </w:rPr>
        <w:br w:type="page"/>
      </w:r>
    </w:p>
    <w:p w14:paraId="5858EFC6" w14:textId="77777777" w:rsidR="008D06EC" w:rsidRPr="00977D25" w:rsidRDefault="008D06EC" w:rsidP="001651E8">
      <w:pPr>
        <w:tabs>
          <w:tab w:val="right" w:pos="5040"/>
          <w:tab w:val="right" w:pos="8460"/>
          <w:tab w:val="right" w:leader="dot" w:pos="10009"/>
        </w:tabs>
        <w:suppressAutoHyphens/>
        <w:ind w:right="-29"/>
        <w:rPr>
          <w:b/>
          <w:noProof/>
          <w:sz w:val="14"/>
          <w:szCs w:val="14"/>
          <w:lang w:val="tr-TR"/>
        </w:rPr>
        <w:sectPr w:rsidR="008D06EC" w:rsidRPr="00977D25" w:rsidSect="00CF6669">
          <w:footerReference w:type="default" r:id="rId10"/>
          <w:pgSz w:w="12240" w:h="15840" w:code="1"/>
          <w:pgMar w:top="539" w:right="748" w:bottom="539" w:left="720" w:header="709" w:footer="709" w:gutter="0"/>
          <w:cols w:space="720"/>
          <w:docGrid w:linePitch="360"/>
        </w:sectPr>
      </w:pPr>
    </w:p>
    <w:p w14:paraId="66F359E4" w14:textId="77777777" w:rsidR="0017354D" w:rsidRPr="00604C75" w:rsidRDefault="0017354D" w:rsidP="00F142CB">
      <w:pPr>
        <w:tabs>
          <w:tab w:val="right" w:pos="5040"/>
          <w:tab w:val="right" w:pos="8460"/>
        </w:tabs>
        <w:suppressAutoHyphens/>
        <w:spacing w:before="120"/>
        <w:ind w:right="-28"/>
        <w:jc w:val="center"/>
        <w:rPr>
          <w:b/>
          <w:noProof/>
          <w:sz w:val="20"/>
          <w:szCs w:val="20"/>
          <w:lang w:val="tr-TR"/>
        </w:rPr>
      </w:pPr>
      <w:r w:rsidRPr="00604C75">
        <w:rPr>
          <w:b/>
          <w:noProof/>
          <w:sz w:val="20"/>
          <w:szCs w:val="20"/>
          <w:lang w:val="tr-TR"/>
        </w:rPr>
        <w:lastRenderedPageBreak/>
        <w:t>SECTION ONE</w:t>
      </w:r>
    </w:p>
    <w:p w14:paraId="5D89E4E8" w14:textId="77777777" w:rsidR="0017354D" w:rsidRPr="00604C75" w:rsidRDefault="0017354D" w:rsidP="00F142CB">
      <w:pPr>
        <w:tabs>
          <w:tab w:val="left" w:pos="360"/>
          <w:tab w:val="right" w:pos="5040"/>
          <w:tab w:val="right" w:pos="8460"/>
        </w:tabs>
        <w:suppressAutoHyphens/>
        <w:spacing w:before="120"/>
        <w:ind w:right="-28"/>
        <w:jc w:val="center"/>
        <w:rPr>
          <w:noProof/>
          <w:sz w:val="20"/>
          <w:szCs w:val="20"/>
          <w:lang w:val="tr-TR"/>
        </w:rPr>
      </w:pPr>
      <w:r w:rsidRPr="00604C75">
        <w:rPr>
          <w:b/>
          <w:noProof/>
          <w:sz w:val="20"/>
          <w:szCs w:val="20"/>
          <w:lang w:val="tr-TR"/>
        </w:rPr>
        <w:t>GENERAL INFORMATION</w:t>
      </w:r>
      <w:r w:rsidR="008036F7" w:rsidRPr="00604C75">
        <w:rPr>
          <w:b/>
          <w:noProof/>
          <w:sz w:val="20"/>
          <w:szCs w:val="20"/>
          <w:lang w:val="tr-TR"/>
        </w:rPr>
        <w:t xml:space="preserve"> ABOUT THE GROUP</w:t>
      </w:r>
    </w:p>
    <w:p w14:paraId="7AB9BAFA" w14:textId="4C86F89B" w:rsidR="0017354D" w:rsidRPr="00F142CB" w:rsidRDefault="00F142CB" w:rsidP="00F142CB">
      <w:pPr>
        <w:pStyle w:val="BodyTextIndent"/>
        <w:numPr>
          <w:ilvl w:val="0"/>
          <w:numId w:val="3"/>
        </w:numPr>
        <w:tabs>
          <w:tab w:val="clear" w:pos="1080"/>
        </w:tabs>
        <w:spacing w:before="120"/>
        <w:ind w:left="709" w:right="-28" w:hanging="709"/>
        <w:jc w:val="both"/>
        <w:rPr>
          <w:b/>
          <w:bCs/>
          <w:noProof/>
          <w:sz w:val="20"/>
          <w:szCs w:val="20"/>
          <w:lang w:val="tr-TR"/>
        </w:rPr>
      </w:pPr>
      <w:r w:rsidRPr="00F142CB">
        <w:rPr>
          <w:b/>
          <w:bCs/>
          <w:noProof/>
          <w:sz w:val="20"/>
          <w:szCs w:val="20"/>
          <w:lang w:val="tr-TR"/>
        </w:rPr>
        <w:t xml:space="preserve">Explanations on the Establishment Date and Initial Status of the Parent Bank, and History Including the Changes in the Former Status </w:t>
      </w:r>
    </w:p>
    <w:p w14:paraId="424705E0" w14:textId="77777777" w:rsidR="0017354D" w:rsidRPr="00604C75" w:rsidRDefault="0017354D" w:rsidP="00F142CB">
      <w:pPr>
        <w:spacing w:before="120"/>
        <w:ind w:right="-28"/>
        <w:jc w:val="both"/>
        <w:rPr>
          <w:sz w:val="20"/>
          <w:szCs w:val="20"/>
        </w:rPr>
      </w:pPr>
      <w:proofErr w:type="spellStart"/>
      <w:r w:rsidRPr="00604C75">
        <w:rPr>
          <w:sz w:val="20"/>
          <w:szCs w:val="20"/>
        </w:rPr>
        <w:t>Alternatifbank</w:t>
      </w:r>
      <w:proofErr w:type="spellEnd"/>
      <w:r w:rsidRPr="00604C75">
        <w:rPr>
          <w:sz w:val="20"/>
          <w:szCs w:val="20"/>
        </w:rPr>
        <w:t xml:space="preserve"> A.Ş. </w:t>
      </w:r>
      <w:r w:rsidR="00986F67" w:rsidRPr="00604C75">
        <w:rPr>
          <w:sz w:val="20"/>
          <w:szCs w:val="20"/>
        </w:rPr>
        <w:t>(“the Bank”</w:t>
      </w:r>
      <w:r w:rsidR="00C9657C">
        <w:rPr>
          <w:sz w:val="20"/>
          <w:szCs w:val="20"/>
        </w:rPr>
        <w:t xml:space="preserve"> </w:t>
      </w:r>
      <w:r w:rsidR="008A7EFC" w:rsidRPr="00604C75">
        <w:rPr>
          <w:sz w:val="20"/>
          <w:szCs w:val="20"/>
        </w:rPr>
        <w:t xml:space="preserve">or </w:t>
      </w:r>
      <w:r w:rsidR="008A7EFC" w:rsidRPr="00604C75">
        <w:rPr>
          <w:color w:val="000000"/>
          <w:sz w:val="20"/>
          <w:szCs w:val="20"/>
        </w:rPr>
        <w:t>“the Parent Bank”</w:t>
      </w:r>
      <w:r w:rsidRPr="00604C75">
        <w:rPr>
          <w:sz w:val="20"/>
          <w:szCs w:val="20"/>
        </w:rPr>
        <w:t>), was established</w:t>
      </w:r>
      <w:r w:rsidR="008A7EFC" w:rsidRPr="00604C75">
        <w:rPr>
          <w:sz w:val="20"/>
          <w:szCs w:val="20"/>
        </w:rPr>
        <w:t xml:space="preserve"> in Istanbul</w:t>
      </w:r>
      <w:r w:rsidRPr="00604C75">
        <w:rPr>
          <w:sz w:val="20"/>
          <w:szCs w:val="20"/>
        </w:rPr>
        <w:t xml:space="preserve"> on 6 November 1991 and started Banking </w:t>
      </w:r>
      <w:r w:rsidR="00DD00BA" w:rsidRPr="00604C75">
        <w:rPr>
          <w:sz w:val="20"/>
          <w:szCs w:val="20"/>
        </w:rPr>
        <w:t>activit</w:t>
      </w:r>
      <w:r w:rsidR="00C42548" w:rsidRPr="00604C75">
        <w:rPr>
          <w:sz w:val="20"/>
          <w:szCs w:val="20"/>
        </w:rPr>
        <w:t>ies on February 1992. The</w:t>
      </w:r>
      <w:r w:rsidR="00DD00BA" w:rsidRPr="00604C75">
        <w:rPr>
          <w:sz w:val="20"/>
          <w:szCs w:val="20"/>
        </w:rPr>
        <w:t xml:space="preserve"> B</w:t>
      </w:r>
      <w:r w:rsidR="00C42548" w:rsidRPr="00604C75">
        <w:rPr>
          <w:sz w:val="20"/>
          <w:szCs w:val="20"/>
        </w:rPr>
        <w:t>ank</w:t>
      </w:r>
      <w:r w:rsidR="005B6A31" w:rsidRPr="00604C75">
        <w:rPr>
          <w:sz w:val="20"/>
          <w:szCs w:val="20"/>
        </w:rPr>
        <w:t>’</w:t>
      </w:r>
      <w:r w:rsidR="00DD00BA" w:rsidRPr="00604C75">
        <w:rPr>
          <w:sz w:val="20"/>
          <w:szCs w:val="20"/>
        </w:rPr>
        <w:t xml:space="preserve">s ordinary shares started to be traded </w:t>
      </w:r>
      <w:r w:rsidR="001544EF" w:rsidRPr="00604C75">
        <w:rPr>
          <w:sz w:val="20"/>
          <w:szCs w:val="20"/>
        </w:rPr>
        <w:t>in Istanbul Stock Exchange on</w:t>
      </w:r>
      <w:r w:rsidR="00DD00BA" w:rsidRPr="00604C75">
        <w:rPr>
          <w:sz w:val="20"/>
          <w:szCs w:val="20"/>
        </w:rPr>
        <w:t xml:space="preserve"> 3 July 1995. The Bank is still a privately owned </w:t>
      </w:r>
      <w:r w:rsidR="00B42A6D" w:rsidRPr="00604C75">
        <w:rPr>
          <w:sz w:val="20"/>
          <w:szCs w:val="20"/>
        </w:rPr>
        <w:t xml:space="preserve">commercial bank status and </w:t>
      </w:r>
      <w:r w:rsidR="00FE5D50" w:rsidRPr="00604C75">
        <w:rPr>
          <w:color w:val="000000"/>
          <w:sz w:val="20"/>
          <w:szCs w:val="20"/>
        </w:rPr>
        <w:t>pr</w:t>
      </w:r>
      <w:r w:rsidR="009D38D3">
        <w:rPr>
          <w:color w:val="000000"/>
          <w:sz w:val="20"/>
          <w:szCs w:val="20"/>
        </w:rPr>
        <w:t>ovides banking services through 59</w:t>
      </w:r>
      <w:r w:rsidR="00FA73BB">
        <w:rPr>
          <w:sz w:val="20"/>
          <w:szCs w:val="20"/>
        </w:rPr>
        <w:t xml:space="preserve"> </w:t>
      </w:r>
      <w:r w:rsidR="00B42A6D" w:rsidRPr="00604C75">
        <w:rPr>
          <w:sz w:val="20"/>
          <w:szCs w:val="20"/>
        </w:rPr>
        <w:t>(</w:t>
      </w:r>
      <w:r w:rsidR="006541B5" w:rsidRPr="00604C75">
        <w:rPr>
          <w:sz w:val="20"/>
          <w:szCs w:val="20"/>
        </w:rPr>
        <w:t xml:space="preserve">31 December </w:t>
      </w:r>
      <w:r w:rsidR="00B42A6D" w:rsidRPr="00604C75">
        <w:rPr>
          <w:sz w:val="20"/>
          <w:szCs w:val="20"/>
        </w:rPr>
        <w:t>201</w:t>
      </w:r>
      <w:r w:rsidR="00EF20E9" w:rsidRPr="00604C75">
        <w:rPr>
          <w:sz w:val="20"/>
          <w:szCs w:val="20"/>
        </w:rPr>
        <w:t>4</w:t>
      </w:r>
      <w:r w:rsidR="00F72314" w:rsidRPr="00604C75">
        <w:rPr>
          <w:sz w:val="20"/>
          <w:szCs w:val="20"/>
        </w:rPr>
        <w:t>:73</w:t>
      </w:r>
      <w:r w:rsidR="00B42A6D" w:rsidRPr="00604C75">
        <w:rPr>
          <w:sz w:val="20"/>
          <w:szCs w:val="20"/>
        </w:rPr>
        <w:t>) branches.</w:t>
      </w:r>
    </w:p>
    <w:p w14:paraId="1333910D" w14:textId="263E05B6" w:rsidR="0095748C" w:rsidRPr="00604C75" w:rsidRDefault="0095748C" w:rsidP="00F142CB">
      <w:pPr>
        <w:spacing w:before="120"/>
        <w:jc w:val="both"/>
        <w:rPr>
          <w:sz w:val="20"/>
          <w:szCs w:val="20"/>
        </w:rPr>
      </w:pPr>
      <w:r w:rsidRPr="00604C75">
        <w:rPr>
          <w:sz w:val="20"/>
          <w:szCs w:val="20"/>
        </w:rPr>
        <w:t>The sale of the shares of the</w:t>
      </w:r>
      <w:r w:rsidR="002C3B01">
        <w:rPr>
          <w:sz w:val="20"/>
          <w:szCs w:val="20"/>
        </w:rPr>
        <w:t xml:space="preserve"> Parent</w:t>
      </w:r>
      <w:r w:rsidRPr="00604C75">
        <w:rPr>
          <w:sz w:val="20"/>
          <w:szCs w:val="20"/>
        </w:rPr>
        <w:t xml:space="preserve"> Bank belonging to </w:t>
      </w:r>
      <w:proofErr w:type="spellStart"/>
      <w:r w:rsidRPr="00604C75">
        <w:rPr>
          <w:sz w:val="20"/>
          <w:szCs w:val="20"/>
        </w:rPr>
        <w:t>Anadolu</w:t>
      </w:r>
      <w:proofErr w:type="spellEnd"/>
      <w:r w:rsidRPr="00604C75">
        <w:rPr>
          <w:sz w:val="20"/>
          <w:szCs w:val="20"/>
        </w:rPr>
        <w:t xml:space="preserve"> Group companies to The Commercial Bank </w:t>
      </w:r>
      <w:r w:rsidR="00F142CB">
        <w:rPr>
          <w:sz w:val="20"/>
          <w:szCs w:val="20"/>
        </w:rPr>
        <w:t>of Qatar</w:t>
      </w:r>
      <w:r w:rsidR="0047139F">
        <w:rPr>
          <w:sz w:val="20"/>
          <w:szCs w:val="20"/>
        </w:rPr>
        <w:t xml:space="preserve"> (“CBQ”)</w:t>
      </w:r>
      <w:r w:rsidR="00F142CB">
        <w:rPr>
          <w:sz w:val="20"/>
          <w:szCs w:val="20"/>
        </w:rPr>
        <w:t xml:space="preserve"> </w:t>
      </w:r>
      <w:r w:rsidRPr="00604C75">
        <w:rPr>
          <w:sz w:val="20"/>
          <w:szCs w:val="20"/>
        </w:rPr>
        <w:t xml:space="preserve">has been </w:t>
      </w:r>
      <w:proofErr w:type="spellStart"/>
      <w:r w:rsidRPr="00604C75">
        <w:rPr>
          <w:sz w:val="20"/>
          <w:szCs w:val="20"/>
        </w:rPr>
        <w:t>finalised</w:t>
      </w:r>
      <w:proofErr w:type="spellEnd"/>
      <w:r w:rsidRPr="00604C75">
        <w:rPr>
          <w:sz w:val="20"/>
          <w:szCs w:val="20"/>
        </w:rPr>
        <w:t xml:space="preserve"> on 18 July 2013 and the share transfer has been registered in accordance with the Board of Directors meeting at the same date. </w:t>
      </w:r>
    </w:p>
    <w:p w14:paraId="719D114C" w14:textId="0CAF8B18" w:rsidR="00322013" w:rsidRPr="00DF3165" w:rsidRDefault="00660E79" w:rsidP="00F142CB">
      <w:pPr>
        <w:pStyle w:val="BodyText"/>
        <w:tabs>
          <w:tab w:val="clear" w:pos="0"/>
          <w:tab w:val="clear" w:pos="567"/>
          <w:tab w:val="clear" w:pos="720"/>
        </w:tabs>
        <w:spacing w:before="120"/>
        <w:ind w:right="-28"/>
        <w:rPr>
          <w:color w:val="auto"/>
          <w:sz w:val="20"/>
        </w:rPr>
      </w:pPr>
      <w:r w:rsidRPr="00604C75">
        <w:rPr>
          <w:color w:val="auto"/>
          <w:sz w:val="20"/>
          <w:lang w:val="tr-TR"/>
        </w:rPr>
        <w:t xml:space="preserve">The Parent </w:t>
      </w:r>
      <w:r w:rsidR="00005AB9" w:rsidRPr="00604C75">
        <w:rPr>
          <w:color w:val="auto"/>
          <w:sz w:val="20"/>
          <w:lang w:val="tr-TR"/>
        </w:rPr>
        <w:t>B</w:t>
      </w:r>
      <w:r w:rsidRPr="00604C75">
        <w:rPr>
          <w:color w:val="auto"/>
          <w:sz w:val="20"/>
          <w:lang w:val="tr-TR"/>
        </w:rPr>
        <w:t>ank</w:t>
      </w:r>
      <w:r w:rsidR="00DF0042" w:rsidRPr="00604C75">
        <w:rPr>
          <w:color w:val="auto"/>
          <w:sz w:val="20"/>
          <w:lang w:val="tr-TR"/>
        </w:rPr>
        <w:t xml:space="preserve"> made an application to Capital Market Board and Borsa İstanbul A.Ş.</w:t>
      </w:r>
      <w:r w:rsidR="00C60861" w:rsidRPr="00604C75">
        <w:rPr>
          <w:color w:val="auto"/>
          <w:sz w:val="20"/>
          <w:lang w:val="tr-TR"/>
        </w:rPr>
        <w:t xml:space="preserve"> </w:t>
      </w:r>
      <w:r w:rsidR="00DF0042" w:rsidRPr="00604C75">
        <w:rPr>
          <w:color w:val="auto"/>
          <w:sz w:val="20"/>
          <w:lang w:val="tr-TR"/>
        </w:rPr>
        <w:t xml:space="preserve">about to leave the partnership and </w:t>
      </w:r>
      <w:r w:rsidR="00FF4751" w:rsidRPr="00604C75">
        <w:rPr>
          <w:color w:val="auto"/>
          <w:sz w:val="20"/>
          <w:lang w:val="tr-TR"/>
        </w:rPr>
        <w:t xml:space="preserve">delisting the stock-exchange quotation in accordance with clauses of </w:t>
      </w:r>
      <w:r w:rsidR="00DF0042" w:rsidRPr="00604C75">
        <w:rPr>
          <w:color w:val="auto"/>
          <w:sz w:val="20"/>
          <w:lang w:val="tr-TR"/>
        </w:rPr>
        <w:t>Capital Market Board “</w:t>
      </w:r>
      <w:r w:rsidR="00632439" w:rsidRPr="00AF1C1D">
        <w:rPr>
          <w:color w:val="auto"/>
          <w:sz w:val="20"/>
        </w:rPr>
        <w:t>S</w:t>
      </w:r>
      <w:r w:rsidR="00632439">
        <w:rPr>
          <w:color w:val="auto"/>
          <w:sz w:val="20"/>
        </w:rPr>
        <w:t>queeze-out and Sell-out</w:t>
      </w:r>
      <w:r w:rsidR="00632439" w:rsidRPr="00AF1C1D">
        <w:rPr>
          <w:color w:val="auto"/>
          <w:sz w:val="20"/>
        </w:rPr>
        <w:t xml:space="preserve"> Rights Communiqué</w:t>
      </w:r>
      <w:r w:rsidR="00632439" w:rsidRPr="00604C75" w:rsidDel="00632439">
        <w:rPr>
          <w:color w:val="auto"/>
          <w:sz w:val="20"/>
          <w:lang w:val="tr-TR"/>
        </w:rPr>
        <w:t xml:space="preserve"> </w:t>
      </w:r>
      <w:r w:rsidR="00DF0042" w:rsidRPr="00604C75">
        <w:rPr>
          <w:color w:val="auto"/>
          <w:sz w:val="20"/>
          <w:lang w:val="tr-TR"/>
        </w:rPr>
        <w:t>”on 11 July 2014.</w:t>
      </w:r>
      <w:r w:rsidR="00C60861" w:rsidRPr="00604C75">
        <w:rPr>
          <w:color w:val="auto"/>
          <w:sz w:val="20"/>
          <w:lang w:val="tr-TR"/>
        </w:rPr>
        <w:t xml:space="preserve"> </w:t>
      </w:r>
      <w:r w:rsidR="0047139F">
        <w:rPr>
          <w:color w:val="auto"/>
          <w:sz w:val="20"/>
          <w:lang w:val="tr-TR"/>
        </w:rPr>
        <w:t>“</w:t>
      </w:r>
      <w:r w:rsidR="00632439">
        <w:rPr>
          <w:color w:val="auto"/>
          <w:sz w:val="20"/>
        </w:rPr>
        <w:t xml:space="preserve">Capital </w:t>
      </w:r>
      <w:r w:rsidR="00F142CB">
        <w:rPr>
          <w:color w:val="auto"/>
          <w:sz w:val="20"/>
        </w:rPr>
        <w:t>Issue D</w:t>
      </w:r>
      <w:r w:rsidR="00632439">
        <w:rPr>
          <w:color w:val="auto"/>
          <w:sz w:val="20"/>
        </w:rPr>
        <w:t>ocument</w:t>
      </w:r>
      <w:r w:rsidR="0047139F">
        <w:rPr>
          <w:color w:val="auto"/>
          <w:sz w:val="20"/>
        </w:rPr>
        <w:t>”</w:t>
      </w:r>
      <w:r w:rsidR="00632439">
        <w:rPr>
          <w:color w:val="auto"/>
          <w:sz w:val="20"/>
        </w:rPr>
        <w:t xml:space="preserve"> prepared for the capital increase allocated to controlling shareholder Commercial Bank</w:t>
      </w:r>
      <w:r w:rsidR="00F142CB">
        <w:rPr>
          <w:color w:val="auto"/>
          <w:sz w:val="20"/>
        </w:rPr>
        <w:t xml:space="preserve"> of Qatar</w:t>
      </w:r>
      <w:r w:rsidR="00632439">
        <w:rPr>
          <w:color w:val="auto"/>
          <w:sz w:val="20"/>
        </w:rPr>
        <w:t xml:space="preserve"> in the context of the process of squeeze-out and sell-out rights from the minority in accordance with </w:t>
      </w:r>
      <w:r w:rsidR="00632439" w:rsidRPr="00AF1C1D">
        <w:rPr>
          <w:color w:val="auto"/>
          <w:sz w:val="20"/>
        </w:rPr>
        <w:t>“S</w:t>
      </w:r>
      <w:r w:rsidR="00632439">
        <w:rPr>
          <w:color w:val="auto"/>
          <w:sz w:val="20"/>
        </w:rPr>
        <w:t>queeze-out and Sell-out</w:t>
      </w:r>
      <w:r w:rsidR="00632439" w:rsidRPr="00AF1C1D">
        <w:rPr>
          <w:color w:val="auto"/>
          <w:sz w:val="20"/>
        </w:rPr>
        <w:t xml:space="preserve"> Rights Communiqué”</w:t>
      </w:r>
      <w:r w:rsidR="00632439">
        <w:rPr>
          <w:color w:val="auto"/>
          <w:sz w:val="20"/>
        </w:rPr>
        <w:t xml:space="preserve"> </w:t>
      </w:r>
      <w:r w:rsidR="00524596">
        <w:rPr>
          <w:color w:val="auto"/>
          <w:sz w:val="20"/>
        </w:rPr>
        <w:t>has been</w:t>
      </w:r>
      <w:r w:rsidR="00632439">
        <w:rPr>
          <w:color w:val="auto"/>
          <w:sz w:val="20"/>
        </w:rPr>
        <w:t xml:space="preserve"> a</w:t>
      </w:r>
      <w:r w:rsidR="00322013">
        <w:rPr>
          <w:color w:val="auto"/>
          <w:sz w:val="20"/>
        </w:rPr>
        <w:t xml:space="preserve">pproved by Capital Market Board on 23 July 2015. </w:t>
      </w:r>
      <w:r w:rsidR="00F142CB">
        <w:rPr>
          <w:color w:val="auto"/>
          <w:sz w:val="20"/>
        </w:rPr>
        <w:t xml:space="preserve">As of </w:t>
      </w:r>
      <w:r w:rsidR="00322013">
        <w:rPr>
          <w:color w:val="auto"/>
          <w:sz w:val="20"/>
        </w:rPr>
        <w:t xml:space="preserve">this date, </w:t>
      </w:r>
      <w:proofErr w:type="spellStart"/>
      <w:r w:rsidR="00322013">
        <w:rPr>
          <w:color w:val="auto"/>
          <w:sz w:val="20"/>
        </w:rPr>
        <w:t>Alternatifbank</w:t>
      </w:r>
      <w:proofErr w:type="spellEnd"/>
      <w:r w:rsidR="00322013">
        <w:rPr>
          <w:color w:val="auto"/>
          <w:sz w:val="20"/>
        </w:rPr>
        <w:t xml:space="preserve"> A.Ş. delisted</w:t>
      </w:r>
      <w:r w:rsidR="007C101A">
        <w:rPr>
          <w:color w:val="auto"/>
          <w:sz w:val="20"/>
        </w:rPr>
        <w:t xml:space="preserve"> from</w:t>
      </w:r>
      <w:r w:rsidR="00322013">
        <w:rPr>
          <w:color w:val="auto"/>
          <w:sz w:val="20"/>
        </w:rPr>
        <w:t xml:space="preserve"> </w:t>
      </w:r>
      <w:r w:rsidR="00322013" w:rsidRPr="00AF1C1D">
        <w:rPr>
          <w:color w:val="auto"/>
          <w:sz w:val="20"/>
        </w:rPr>
        <w:t>the stock-exchange</w:t>
      </w:r>
      <w:r w:rsidR="00322013">
        <w:rPr>
          <w:color w:val="auto"/>
          <w:sz w:val="20"/>
        </w:rPr>
        <w:t>.</w:t>
      </w:r>
    </w:p>
    <w:p w14:paraId="6B348653" w14:textId="6C7EAC54" w:rsidR="002C3EC2" w:rsidRPr="00F142CB" w:rsidRDefault="000013DB" w:rsidP="00F142CB">
      <w:pPr>
        <w:pStyle w:val="BodyTextIndent"/>
        <w:numPr>
          <w:ilvl w:val="0"/>
          <w:numId w:val="3"/>
        </w:numPr>
        <w:tabs>
          <w:tab w:val="clear" w:pos="1080"/>
        </w:tabs>
        <w:spacing w:before="120"/>
        <w:ind w:left="709" w:right="-28" w:hanging="709"/>
        <w:jc w:val="both"/>
        <w:rPr>
          <w:b/>
          <w:bCs/>
          <w:noProof/>
          <w:sz w:val="20"/>
          <w:szCs w:val="20"/>
          <w:lang w:val="tr-TR"/>
        </w:rPr>
      </w:pPr>
      <w:r w:rsidRPr="00F142CB">
        <w:rPr>
          <w:b/>
          <w:bCs/>
          <w:noProof/>
          <w:sz w:val="20"/>
          <w:szCs w:val="20"/>
          <w:lang w:val="tr-TR"/>
        </w:rPr>
        <w:tab/>
      </w:r>
      <w:r w:rsidR="00F142CB" w:rsidRPr="00F142CB">
        <w:rPr>
          <w:b/>
          <w:bCs/>
          <w:noProof/>
          <w:sz w:val="20"/>
          <w:szCs w:val="20"/>
          <w:lang w:val="tr-TR"/>
        </w:rPr>
        <w:t>Explanations on the Capital Structure, Shareholders who Directly or Indirectly, Solely or Jointly Undertake the Management and Control of the Parent Bank, any Changes in the Period, and Information on the Parent Bank’s Risk Group</w:t>
      </w:r>
    </w:p>
    <w:p w14:paraId="2382E481" w14:textId="0BBA504F" w:rsidR="00031D72" w:rsidRPr="00604C75" w:rsidRDefault="00D405BC" w:rsidP="00F142CB">
      <w:pPr>
        <w:pStyle w:val="BodyTextIndent"/>
        <w:spacing w:before="120" w:after="0"/>
        <w:ind w:left="0" w:right="-28"/>
        <w:jc w:val="both"/>
        <w:rPr>
          <w:sz w:val="20"/>
          <w:szCs w:val="20"/>
        </w:rPr>
      </w:pPr>
      <w:r>
        <w:rPr>
          <w:sz w:val="20"/>
          <w:szCs w:val="20"/>
        </w:rPr>
        <w:t>As of 3</w:t>
      </w:r>
      <w:r w:rsidR="004C2D2A">
        <w:rPr>
          <w:sz w:val="20"/>
          <w:szCs w:val="20"/>
        </w:rPr>
        <w:t>1</w:t>
      </w:r>
      <w:r>
        <w:rPr>
          <w:sz w:val="20"/>
          <w:szCs w:val="20"/>
        </w:rPr>
        <w:t xml:space="preserve"> </w:t>
      </w:r>
      <w:r w:rsidR="004C2D2A">
        <w:rPr>
          <w:sz w:val="20"/>
          <w:szCs w:val="20"/>
        </w:rPr>
        <w:t xml:space="preserve">December </w:t>
      </w:r>
      <w:r w:rsidR="00031D72" w:rsidRPr="00604C75">
        <w:rPr>
          <w:sz w:val="20"/>
          <w:szCs w:val="20"/>
        </w:rPr>
        <w:t>201</w:t>
      </w:r>
      <w:r w:rsidR="00EF20E9" w:rsidRPr="00604C75">
        <w:rPr>
          <w:sz w:val="20"/>
          <w:szCs w:val="20"/>
        </w:rPr>
        <w:t>5</w:t>
      </w:r>
      <w:r w:rsidR="00031D72" w:rsidRPr="009D38D3">
        <w:rPr>
          <w:sz w:val="20"/>
          <w:szCs w:val="20"/>
        </w:rPr>
        <w:t xml:space="preserve">, </w:t>
      </w:r>
      <w:r w:rsidR="006D6096" w:rsidRPr="009D38D3">
        <w:rPr>
          <w:sz w:val="20"/>
          <w:szCs w:val="20"/>
        </w:rPr>
        <w:t>75</w:t>
      </w:r>
      <w:r w:rsidR="004B1208" w:rsidRPr="009D38D3">
        <w:rPr>
          <w:sz w:val="20"/>
          <w:szCs w:val="20"/>
        </w:rPr>
        <w:t>%</w:t>
      </w:r>
      <w:r w:rsidR="004B1208" w:rsidRPr="00604C75">
        <w:rPr>
          <w:sz w:val="20"/>
          <w:szCs w:val="20"/>
        </w:rPr>
        <w:t xml:space="preserve"> of the shares of </w:t>
      </w:r>
      <w:r w:rsidR="00BC2641" w:rsidRPr="00604C75">
        <w:rPr>
          <w:sz w:val="20"/>
          <w:szCs w:val="20"/>
        </w:rPr>
        <w:t xml:space="preserve">the </w:t>
      </w:r>
      <w:r w:rsidR="002144C2" w:rsidRPr="00604C75">
        <w:rPr>
          <w:sz w:val="20"/>
          <w:szCs w:val="20"/>
        </w:rPr>
        <w:t xml:space="preserve">Parent </w:t>
      </w:r>
      <w:r w:rsidR="00BC2641" w:rsidRPr="00604C75">
        <w:rPr>
          <w:sz w:val="20"/>
          <w:szCs w:val="20"/>
        </w:rPr>
        <w:t xml:space="preserve">Bank </w:t>
      </w:r>
      <w:r w:rsidR="00031D72" w:rsidRPr="00604C75">
        <w:rPr>
          <w:sz w:val="20"/>
          <w:szCs w:val="20"/>
        </w:rPr>
        <w:t>are owned by Commercial Bank</w:t>
      </w:r>
      <w:r w:rsidR="00F142CB">
        <w:rPr>
          <w:sz w:val="20"/>
          <w:szCs w:val="20"/>
        </w:rPr>
        <w:t xml:space="preserve"> of Qatar</w:t>
      </w:r>
      <w:r w:rsidR="00031D72" w:rsidRPr="00604C75">
        <w:rPr>
          <w:sz w:val="20"/>
          <w:szCs w:val="20"/>
        </w:rPr>
        <w:t>.</w:t>
      </w:r>
      <w:r w:rsidR="00072E8A">
        <w:rPr>
          <w:sz w:val="20"/>
          <w:szCs w:val="20"/>
        </w:rPr>
        <w:t xml:space="preserve"> </w:t>
      </w:r>
      <w:r w:rsidR="004B1208" w:rsidRPr="00604C75">
        <w:rPr>
          <w:sz w:val="20"/>
          <w:szCs w:val="20"/>
        </w:rPr>
        <w:t xml:space="preserve">Shareholder’s structure </w:t>
      </w:r>
      <w:r w:rsidR="00031D72" w:rsidRPr="00604C75">
        <w:rPr>
          <w:sz w:val="20"/>
          <w:szCs w:val="20"/>
        </w:rPr>
        <w:t>of the</w:t>
      </w:r>
      <w:r w:rsidR="002144C2" w:rsidRPr="00604C75">
        <w:rPr>
          <w:sz w:val="20"/>
          <w:szCs w:val="20"/>
        </w:rPr>
        <w:t xml:space="preserve"> Parent</w:t>
      </w:r>
      <w:r w:rsidR="00031D72" w:rsidRPr="00604C75">
        <w:rPr>
          <w:sz w:val="20"/>
          <w:szCs w:val="20"/>
        </w:rPr>
        <w:t xml:space="preserve"> </w:t>
      </w:r>
      <w:r w:rsidR="004B1208" w:rsidRPr="00604C75">
        <w:rPr>
          <w:sz w:val="20"/>
          <w:szCs w:val="20"/>
        </w:rPr>
        <w:t>Bank</w:t>
      </w:r>
      <w:r w:rsidR="00CC0AA3" w:rsidRPr="00604C75">
        <w:rPr>
          <w:sz w:val="20"/>
          <w:szCs w:val="20"/>
        </w:rPr>
        <w:t xml:space="preserve"> is as follows</w:t>
      </w:r>
      <w:r w:rsidR="002F14DF" w:rsidRPr="00604C75">
        <w:rPr>
          <w:sz w:val="20"/>
          <w:szCs w:val="20"/>
        </w:rPr>
        <w:t>:</w:t>
      </w:r>
    </w:p>
    <w:p w14:paraId="6F84F6A3" w14:textId="77777777" w:rsidR="00031D72" w:rsidRPr="00604C75" w:rsidRDefault="00031D72" w:rsidP="00EF20E9">
      <w:pPr>
        <w:pStyle w:val="BodyTextIndent"/>
        <w:spacing w:after="0"/>
        <w:ind w:left="0" w:right="-28"/>
        <w:jc w:val="both"/>
        <w:rPr>
          <w:sz w:val="20"/>
          <w:szCs w:val="20"/>
        </w:rPr>
      </w:pPr>
    </w:p>
    <w:tbl>
      <w:tblPr>
        <w:tblW w:w="957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671"/>
        <w:gridCol w:w="1417"/>
        <w:gridCol w:w="1334"/>
        <w:gridCol w:w="1574"/>
        <w:gridCol w:w="1576"/>
      </w:tblGrid>
      <w:tr w:rsidR="00031D72" w:rsidRPr="00604C75" w14:paraId="03A0E723" w14:textId="77777777" w:rsidTr="0047139F">
        <w:trPr>
          <w:trHeight w:val="258"/>
        </w:trPr>
        <w:tc>
          <w:tcPr>
            <w:tcW w:w="3671" w:type="dxa"/>
            <w:noWrap/>
            <w:vAlign w:val="bottom"/>
          </w:tcPr>
          <w:p w14:paraId="5AF6B9E2" w14:textId="77777777" w:rsidR="00031D72" w:rsidRPr="00604C75" w:rsidRDefault="00031D72" w:rsidP="00EF20E9">
            <w:pPr>
              <w:rPr>
                <w:b/>
                <w:bCs/>
                <w:sz w:val="18"/>
                <w:szCs w:val="18"/>
              </w:rPr>
            </w:pPr>
          </w:p>
        </w:tc>
        <w:tc>
          <w:tcPr>
            <w:tcW w:w="2751" w:type="dxa"/>
            <w:gridSpan w:val="2"/>
            <w:noWrap/>
            <w:vAlign w:val="bottom"/>
          </w:tcPr>
          <w:p w14:paraId="4645F7E1" w14:textId="77777777" w:rsidR="00031D72" w:rsidRPr="00604C75" w:rsidRDefault="00D405BC">
            <w:pPr>
              <w:jc w:val="center"/>
              <w:rPr>
                <w:b/>
                <w:bCs/>
                <w:sz w:val="18"/>
                <w:szCs w:val="18"/>
              </w:rPr>
            </w:pPr>
            <w:r>
              <w:rPr>
                <w:b/>
                <w:bCs/>
                <w:sz w:val="18"/>
                <w:szCs w:val="18"/>
              </w:rPr>
              <w:t>3</w:t>
            </w:r>
            <w:r w:rsidR="004C2D2A">
              <w:rPr>
                <w:b/>
                <w:bCs/>
                <w:sz w:val="18"/>
                <w:szCs w:val="18"/>
              </w:rPr>
              <w:t>1</w:t>
            </w:r>
            <w:r>
              <w:rPr>
                <w:b/>
                <w:bCs/>
                <w:sz w:val="18"/>
                <w:szCs w:val="18"/>
              </w:rPr>
              <w:t xml:space="preserve"> </w:t>
            </w:r>
            <w:r w:rsidR="004C2D2A">
              <w:rPr>
                <w:b/>
                <w:bCs/>
                <w:sz w:val="18"/>
                <w:szCs w:val="18"/>
              </w:rPr>
              <w:t>December</w:t>
            </w:r>
            <w:r w:rsidR="004C2D2A" w:rsidRPr="00604C75">
              <w:rPr>
                <w:b/>
                <w:bCs/>
                <w:sz w:val="18"/>
                <w:szCs w:val="18"/>
              </w:rPr>
              <w:t xml:space="preserve"> </w:t>
            </w:r>
            <w:r w:rsidR="00031D72" w:rsidRPr="00604C75">
              <w:rPr>
                <w:b/>
                <w:bCs/>
                <w:sz w:val="18"/>
                <w:szCs w:val="18"/>
              </w:rPr>
              <w:t>201</w:t>
            </w:r>
            <w:r w:rsidR="00EF20E9" w:rsidRPr="00604C75">
              <w:rPr>
                <w:b/>
                <w:bCs/>
                <w:sz w:val="18"/>
                <w:szCs w:val="18"/>
              </w:rPr>
              <w:t>5</w:t>
            </w:r>
          </w:p>
        </w:tc>
        <w:tc>
          <w:tcPr>
            <w:tcW w:w="3150" w:type="dxa"/>
            <w:gridSpan w:val="2"/>
            <w:noWrap/>
            <w:vAlign w:val="bottom"/>
          </w:tcPr>
          <w:p w14:paraId="05435858" w14:textId="77777777" w:rsidR="00031D72" w:rsidRPr="00604C75" w:rsidRDefault="00031D72" w:rsidP="00EF20E9">
            <w:pPr>
              <w:jc w:val="center"/>
              <w:rPr>
                <w:b/>
                <w:bCs/>
                <w:sz w:val="18"/>
                <w:szCs w:val="18"/>
              </w:rPr>
            </w:pPr>
            <w:r w:rsidRPr="00604C75">
              <w:rPr>
                <w:b/>
                <w:bCs/>
                <w:sz w:val="18"/>
                <w:szCs w:val="18"/>
              </w:rPr>
              <w:t>31 December 201</w:t>
            </w:r>
            <w:r w:rsidR="00EF20E9" w:rsidRPr="00604C75">
              <w:rPr>
                <w:b/>
                <w:bCs/>
                <w:sz w:val="18"/>
                <w:szCs w:val="18"/>
              </w:rPr>
              <w:t>4</w:t>
            </w:r>
          </w:p>
        </w:tc>
      </w:tr>
      <w:tr w:rsidR="00031D72" w:rsidRPr="00604C75" w14:paraId="13B42E7A" w14:textId="77777777" w:rsidTr="0047139F">
        <w:trPr>
          <w:trHeight w:val="258"/>
        </w:trPr>
        <w:tc>
          <w:tcPr>
            <w:tcW w:w="3671" w:type="dxa"/>
            <w:noWrap/>
            <w:vAlign w:val="bottom"/>
          </w:tcPr>
          <w:p w14:paraId="4ECFE1E9" w14:textId="77777777" w:rsidR="00031D72" w:rsidRPr="00604C75" w:rsidRDefault="00031D72" w:rsidP="00EF20E9">
            <w:pPr>
              <w:rPr>
                <w:b/>
                <w:sz w:val="18"/>
                <w:szCs w:val="18"/>
              </w:rPr>
            </w:pPr>
            <w:r w:rsidRPr="00604C75">
              <w:rPr>
                <w:b/>
                <w:sz w:val="18"/>
                <w:szCs w:val="18"/>
              </w:rPr>
              <w:t>Name/Commercial Name</w:t>
            </w:r>
          </w:p>
        </w:tc>
        <w:tc>
          <w:tcPr>
            <w:tcW w:w="1417" w:type="dxa"/>
            <w:noWrap/>
            <w:vAlign w:val="bottom"/>
          </w:tcPr>
          <w:p w14:paraId="181A8A54" w14:textId="77777777" w:rsidR="00031D72" w:rsidRPr="00604C75" w:rsidRDefault="00031D72" w:rsidP="00EF20E9">
            <w:pPr>
              <w:ind w:right="-42"/>
              <w:jc w:val="right"/>
              <w:rPr>
                <w:b/>
                <w:bCs/>
                <w:sz w:val="18"/>
                <w:szCs w:val="18"/>
              </w:rPr>
            </w:pPr>
            <w:r w:rsidRPr="00604C75">
              <w:rPr>
                <w:b/>
                <w:bCs/>
                <w:sz w:val="18"/>
                <w:szCs w:val="18"/>
              </w:rPr>
              <w:t>Share Amount</w:t>
            </w:r>
          </w:p>
        </w:tc>
        <w:tc>
          <w:tcPr>
            <w:tcW w:w="1334" w:type="dxa"/>
            <w:noWrap/>
            <w:vAlign w:val="bottom"/>
          </w:tcPr>
          <w:p w14:paraId="4D397475" w14:textId="77777777" w:rsidR="00031D72" w:rsidRPr="00604C75" w:rsidRDefault="00031D72" w:rsidP="00EF20E9">
            <w:pPr>
              <w:ind w:right="-42"/>
              <w:jc w:val="right"/>
              <w:rPr>
                <w:b/>
                <w:bCs/>
                <w:sz w:val="18"/>
                <w:szCs w:val="18"/>
              </w:rPr>
            </w:pPr>
            <w:r w:rsidRPr="00604C75">
              <w:rPr>
                <w:b/>
                <w:bCs/>
                <w:sz w:val="18"/>
                <w:szCs w:val="18"/>
              </w:rPr>
              <w:t>Share Ratio</w:t>
            </w:r>
          </w:p>
        </w:tc>
        <w:tc>
          <w:tcPr>
            <w:tcW w:w="1574" w:type="dxa"/>
            <w:noWrap/>
            <w:vAlign w:val="bottom"/>
          </w:tcPr>
          <w:p w14:paraId="30359255" w14:textId="77777777" w:rsidR="00031D72" w:rsidRPr="00604C75" w:rsidRDefault="00031D72" w:rsidP="00EF20E9">
            <w:pPr>
              <w:ind w:right="-42"/>
              <w:jc w:val="right"/>
              <w:rPr>
                <w:b/>
                <w:bCs/>
                <w:sz w:val="18"/>
                <w:szCs w:val="18"/>
              </w:rPr>
            </w:pPr>
            <w:r w:rsidRPr="00604C75">
              <w:rPr>
                <w:b/>
                <w:bCs/>
                <w:sz w:val="18"/>
                <w:szCs w:val="18"/>
              </w:rPr>
              <w:t>Share Amount</w:t>
            </w:r>
          </w:p>
        </w:tc>
        <w:tc>
          <w:tcPr>
            <w:tcW w:w="1576" w:type="dxa"/>
            <w:noWrap/>
            <w:vAlign w:val="bottom"/>
          </w:tcPr>
          <w:p w14:paraId="123B9AF4" w14:textId="77777777" w:rsidR="00031D72" w:rsidRPr="00604C75" w:rsidRDefault="00031D72" w:rsidP="00EF20E9">
            <w:pPr>
              <w:ind w:right="-42"/>
              <w:jc w:val="right"/>
              <w:rPr>
                <w:b/>
                <w:bCs/>
                <w:sz w:val="18"/>
                <w:szCs w:val="18"/>
              </w:rPr>
            </w:pPr>
            <w:r w:rsidRPr="00604C75">
              <w:rPr>
                <w:b/>
                <w:bCs/>
                <w:sz w:val="18"/>
                <w:szCs w:val="18"/>
              </w:rPr>
              <w:t>Share Ratio</w:t>
            </w:r>
          </w:p>
        </w:tc>
      </w:tr>
      <w:tr w:rsidR="00031D72" w:rsidRPr="00604C75" w14:paraId="3E271DDB" w14:textId="77777777" w:rsidTr="0047139F">
        <w:trPr>
          <w:trHeight w:val="258"/>
        </w:trPr>
        <w:tc>
          <w:tcPr>
            <w:tcW w:w="3671" w:type="dxa"/>
            <w:noWrap/>
            <w:vAlign w:val="bottom"/>
          </w:tcPr>
          <w:p w14:paraId="0267BBC4" w14:textId="77777777" w:rsidR="00031D72" w:rsidRPr="00604C75" w:rsidRDefault="00031D72" w:rsidP="00EF20E9">
            <w:pPr>
              <w:rPr>
                <w:b/>
                <w:bCs/>
                <w:sz w:val="18"/>
                <w:szCs w:val="18"/>
              </w:rPr>
            </w:pPr>
          </w:p>
        </w:tc>
        <w:tc>
          <w:tcPr>
            <w:tcW w:w="1417" w:type="dxa"/>
            <w:noWrap/>
            <w:vAlign w:val="bottom"/>
          </w:tcPr>
          <w:p w14:paraId="609AFF94" w14:textId="77777777" w:rsidR="00031D72" w:rsidRPr="009D38D3" w:rsidRDefault="00031D72" w:rsidP="00EF20E9">
            <w:pPr>
              <w:ind w:right="-42"/>
              <w:jc w:val="right"/>
              <w:rPr>
                <w:sz w:val="18"/>
                <w:szCs w:val="18"/>
              </w:rPr>
            </w:pPr>
          </w:p>
        </w:tc>
        <w:tc>
          <w:tcPr>
            <w:tcW w:w="1334" w:type="dxa"/>
            <w:noWrap/>
            <w:vAlign w:val="bottom"/>
          </w:tcPr>
          <w:p w14:paraId="354BC582" w14:textId="77777777" w:rsidR="00031D72" w:rsidRPr="009D38D3" w:rsidRDefault="00031D72" w:rsidP="00EF20E9">
            <w:pPr>
              <w:ind w:right="-42"/>
              <w:jc w:val="right"/>
              <w:rPr>
                <w:sz w:val="18"/>
                <w:szCs w:val="18"/>
              </w:rPr>
            </w:pPr>
          </w:p>
        </w:tc>
        <w:tc>
          <w:tcPr>
            <w:tcW w:w="1574" w:type="dxa"/>
            <w:noWrap/>
            <w:vAlign w:val="bottom"/>
          </w:tcPr>
          <w:p w14:paraId="36E4D68E" w14:textId="77777777" w:rsidR="00031D72" w:rsidRPr="009D38D3" w:rsidRDefault="00031D72" w:rsidP="00EF20E9">
            <w:pPr>
              <w:ind w:right="-42"/>
              <w:jc w:val="right"/>
              <w:rPr>
                <w:sz w:val="18"/>
                <w:szCs w:val="18"/>
              </w:rPr>
            </w:pPr>
          </w:p>
        </w:tc>
        <w:tc>
          <w:tcPr>
            <w:tcW w:w="1576" w:type="dxa"/>
            <w:noWrap/>
            <w:vAlign w:val="bottom"/>
          </w:tcPr>
          <w:p w14:paraId="0407E69F" w14:textId="77777777" w:rsidR="00031D72" w:rsidRPr="00604C75" w:rsidRDefault="00031D72" w:rsidP="00EF20E9">
            <w:pPr>
              <w:ind w:right="-42"/>
              <w:jc w:val="right"/>
              <w:rPr>
                <w:sz w:val="18"/>
                <w:szCs w:val="18"/>
              </w:rPr>
            </w:pPr>
          </w:p>
        </w:tc>
      </w:tr>
      <w:tr w:rsidR="00980409" w:rsidRPr="00604C75" w14:paraId="6DEEBCB4" w14:textId="77777777" w:rsidTr="0047139F">
        <w:trPr>
          <w:trHeight w:val="258"/>
        </w:trPr>
        <w:tc>
          <w:tcPr>
            <w:tcW w:w="3671" w:type="dxa"/>
            <w:noWrap/>
            <w:vAlign w:val="bottom"/>
          </w:tcPr>
          <w:p w14:paraId="7DB127F5" w14:textId="0557934B" w:rsidR="00980409" w:rsidRPr="0047139F" w:rsidRDefault="00980409" w:rsidP="00980409">
            <w:pPr>
              <w:rPr>
                <w:bCs/>
                <w:sz w:val="18"/>
                <w:szCs w:val="18"/>
              </w:rPr>
            </w:pPr>
            <w:r w:rsidRPr="0047139F">
              <w:rPr>
                <w:bCs/>
                <w:sz w:val="18"/>
                <w:szCs w:val="18"/>
              </w:rPr>
              <w:t>Commercial Bank</w:t>
            </w:r>
            <w:r w:rsidR="00F142CB" w:rsidRPr="0047139F">
              <w:rPr>
                <w:bCs/>
                <w:sz w:val="18"/>
                <w:szCs w:val="18"/>
              </w:rPr>
              <w:t xml:space="preserve"> of Qatar</w:t>
            </w:r>
          </w:p>
        </w:tc>
        <w:tc>
          <w:tcPr>
            <w:tcW w:w="1417" w:type="dxa"/>
            <w:noWrap/>
            <w:vAlign w:val="bottom"/>
          </w:tcPr>
          <w:p w14:paraId="1056D433" w14:textId="7758FA2A" w:rsidR="00980409" w:rsidRPr="009D38D3" w:rsidRDefault="00980409" w:rsidP="00980409">
            <w:pPr>
              <w:ind w:right="-42"/>
              <w:jc w:val="right"/>
              <w:rPr>
                <w:sz w:val="18"/>
                <w:szCs w:val="18"/>
              </w:rPr>
            </w:pPr>
            <w:r w:rsidRPr="00C92283">
              <w:rPr>
                <w:sz w:val="18"/>
                <w:szCs w:val="18"/>
              </w:rPr>
              <w:t>465,000</w:t>
            </w:r>
          </w:p>
        </w:tc>
        <w:tc>
          <w:tcPr>
            <w:tcW w:w="1334" w:type="dxa"/>
            <w:noWrap/>
            <w:vAlign w:val="bottom"/>
          </w:tcPr>
          <w:p w14:paraId="6E17551B" w14:textId="3F07C533" w:rsidR="00980409" w:rsidRPr="009D38D3" w:rsidRDefault="00980409" w:rsidP="00980409">
            <w:pPr>
              <w:ind w:right="-42"/>
              <w:jc w:val="right"/>
              <w:rPr>
                <w:sz w:val="18"/>
                <w:szCs w:val="18"/>
              </w:rPr>
            </w:pPr>
            <w:r w:rsidRPr="00C92283">
              <w:rPr>
                <w:sz w:val="18"/>
                <w:szCs w:val="18"/>
              </w:rPr>
              <w:t>75.00</w:t>
            </w:r>
            <w:r w:rsidR="00FD0C7A">
              <w:rPr>
                <w:sz w:val="18"/>
                <w:szCs w:val="18"/>
              </w:rPr>
              <w:t>%</w:t>
            </w:r>
          </w:p>
        </w:tc>
        <w:tc>
          <w:tcPr>
            <w:tcW w:w="1574" w:type="dxa"/>
            <w:noWrap/>
            <w:vAlign w:val="bottom"/>
          </w:tcPr>
          <w:p w14:paraId="1028EFF0" w14:textId="7790ECF3" w:rsidR="00980409" w:rsidRPr="009D38D3" w:rsidRDefault="00980409" w:rsidP="00980409">
            <w:pPr>
              <w:ind w:right="-42"/>
              <w:jc w:val="right"/>
              <w:rPr>
                <w:sz w:val="18"/>
                <w:szCs w:val="18"/>
              </w:rPr>
            </w:pPr>
            <w:r w:rsidRPr="00EA3453">
              <w:rPr>
                <w:sz w:val="18"/>
                <w:szCs w:val="18"/>
              </w:rPr>
              <w:t>460,341</w:t>
            </w:r>
          </w:p>
        </w:tc>
        <w:tc>
          <w:tcPr>
            <w:tcW w:w="1576" w:type="dxa"/>
            <w:noWrap/>
            <w:vAlign w:val="bottom"/>
          </w:tcPr>
          <w:p w14:paraId="0D8978DF" w14:textId="2ED73153" w:rsidR="00980409" w:rsidRPr="00692926" w:rsidRDefault="00980409" w:rsidP="00980409">
            <w:pPr>
              <w:ind w:right="-42"/>
              <w:jc w:val="right"/>
              <w:rPr>
                <w:sz w:val="18"/>
                <w:szCs w:val="18"/>
              </w:rPr>
            </w:pPr>
            <w:r w:rsidRPr="00EA3453">
              <w:rPr>
                <w:sz w:val="18"/>
                <w:szCs w:val="18"/>
              </w:rPr>
              <w:t>74.25</w:t>
            </w:r>
            <w:r w:rsidR="00FD0C7A">
              <w:rPr>
                <w:sz w:val="18"/>
                <w:szCs w:val="18"/>
              </w:rPr>
              <w:t>%</w:t>
            </w:r>
          </w:p>
        </w:tc>
      </w:tr>
      <w:tr w:rsidR="00980409" w:rsidRPr="00604C75" w14:paraId="3900DED8" w14:textId="77777777" w:rsidTr="0047139F">
        <w:trPr>
          <w:trHeight w:val="258"/>
        </w:trPr>
        <w:tc>
          <w:tcPr>
            <w:tcW w:w="3671" w:type="dxa"/>
            <w:noWrap/>
            <w:vAlign w:val="bottom"/>
          </w:tcPr>
          <w:p w14:paraId="7ACA4058" w14:textId="77777777" w:rsidR="00980409" w:rsidRPr="0047139F" w:rsidRDefault="00980409" w:rsidP="00980409">
            <w:pPr>
              <w:rPr>
                <w:bCs/>
                <w:sz w:val="18"/>
                <w:szCs w:val="18"/>
              </w:rPr>
            </w:pPr>
            <w:proofErr w:type="spellStart"/>
            <w:r w:rsidRPr="0047139F">
              <w:rPr>
                <w:bCs/>
                <w:sz w:val="18"/>
                <w:szCs w:val="18"/>
              </w:rPr>
              <w:t>Anadolu</w:t>
            </w:r>
            <w:proofErr w:type="spellEnd"/>
            <w:r w:rsidRPr="0047139F">
              <w:rPr>
                <w:bCs/>
                <w:sz w:val="18"/>
                <w:szCs w:val="18"/>
              </w:rPr>
              <w:t xml:space="preserve"> </w:t>
            </w:r>
            <w:proofErr w:type="spellStart"/>
            <w:r w:rsidRPr="0047139F">
              <w:rPr>
                <w:bCs/>
                <w:sz w:val="18"/>
                <w:szCs w:val="18"/>
              </w:rPr>
              <w:t>Endüstri</w:t>
            </w:r>
            <w:proofErr w:type="spellEnd"/>
            <w:r w:rsidRPr="0047139F">
              <w:rPr>
                <w:bCs/>
                <w:sz w:val="18"/>
                <w:szCs w:val="18"/>
              </w:rPr>
              <w:t xml:space="preserve"> Holding A.Ş.</w:t>
            </w:r>
          </w:p>
        </w:tc>
        <w:tc>
          <w:tcPr>
            <w:tcW w:w="1417" w:type="dxa"/>
            <w:noWrap/>
            <w:vAlign w:val="bottom"/>
          </w:tcPr>
          <w:p w14:paraId="3C137305" w14:textId="784F17CF" w:rsidR="00980409" w:rsidRPr="009D38D3" w:rsidRDefault="00980409" w:rsidP="00980409">
            <w:pPr>
              <w:ind w:right="-42"/>
              <w:jc w:val="right"/>
              <w:rPr>
                <w:sz w:val="18"/>
                <w:szCs w:val="18"/>
              </w:rPr>
            </w:pPr>
            <w:r w:rsidRPr="00C92283">
              <w:rPr>
                <w:sz w:val="18"/>
                <w:szCs w:val="18"/>
              </w:rPr>
              <w:t>106,683</w:t>
            </w:r>
          </w:p>
        </w:tc>
        <w:tc>
          <w:tcPr>
            <w:tcW w:w="1334" w:type="dxa"/>
            <w:noWrap/>
            <w:vAlign w:val="bottom"/>
          </w:tcPr>
          <w:p w14:paraId="513054D1" w14:textId="4E877E5E" w:rsidR="00980409" w:rsidRPr="009D38D3" w:rsidRDefault="00980409" w:rsidP="00980409">
            <w:pPr>
              <w:ind w:right="-42"/>
              <w:jc w:val="right"/>
              <w:rPr>
                <w:sz w:val="18"/>
                <w:szCs w:val="18"/>
              </w:rPr>
            </w:pPr>
            <w:r w:rsidRPr="00C92283">
              <w:rPr>
                <w:sz w:val="18"/>
                <w:szCs w:val="18"/>
              </w:rPr>
              <w:t>17.21</w:t>
            </w:r>
            <w:r w:rsidR="00FD0C7A">
              <w:rPr>
                <w:sz w:val="18"/>
                <w:szCs w:val="18"/>
              </w:rPr>
              <w:t>%</w:t>
            </w:r>
          </w:p>
        </w:tc>
        <w:tc>
          <w:tcPr>
            <w:tcW w:w="1574" w:type="dxa"/>
            <w:noWrap/>
            <w:vAlign w:val="bottom"/>
          </w:tcPr>
          <w:p w14:paraId="4632B323" w14:textId="56699ABD" w:rsidR="00980409" w:rsidRPr="009D38D3" w:rsidRDefault="00980409" w:rsidP="00980409">
            <w:pPr>
              <w:ind w:right="-42"/>
              <w:jc w:val="right"/>
              <w:rPr>
                <w:sz w:val="18"/>
                <w:szCs w:val="18"/>
              </w:rPr>
            </w:pPr>
            <w:r w:rsidRPr="00EA3453">
              <w:rPr>
                <w:sz w:val="18"/>
                <w:szCs w:val="18"/>
              </w:rPr>
              <w:t>106,683</w:t>
            </w:r>
          </w:p>
        </w:tc>
        <w:tc>
          <w:tcPr>
            <w:tcW w:w="1576" w:type="dxa"/>
            <w:noWrap/>
            <w:vAlign w:val="bottom"/>
          </w:tcPr>
          <w:p w14:paraId="220F1E0F" w14:textId="07816A99" w:rsidR="00980409" w:rsidRPr="00692926" w:rsidRDefault="00980409" w:rsidP="00980409">
            <w:pPr>
              <w:ind w:right="-42"/>
              <w:jc w:val="right"/>
              <w:rPr>
                <w:sz w:val="18"/>
                <w:szCs w:val="18"/>
              </w:rPr>
            </w:pPr>
            <w:r w:rsidRPr="00EA3453">
              <w:rPr>
                <w:sz w:val="18"/>
                <w:szCs w:val="18"/>
              </w:rPr>
              <w:t>17.21</w:t>
            </w:r>
            <w:r w:rsidR="00FD0C7A">
              <w:rPr>
                <w:sz w:val="18"/>
                <w:szCs w:val="18"/>
              </w:rPr>
              <w:t>%</w:t>
            </w:r>
          </w:p>
        </w:tc>
      </w:tr>
      <w:tr w:rsidR="00980409" w:rsidRPr="00604C75" w14:paraId="77B11397" w14:textId="77777777" w:rsidTr="0047139F">
        <w:trPr>
          <w:trHeight w:val="258"/>
        </w:trPr>
        <w:tc>
          <w:tcPr>
            <w:tcW w:w="3671" w:type="dxa"/>
            <w:noWrap/>
            <w:vAlign w:val="bottom"/>
          </w:tcPr>
          <w:p w14:paraId="7171E38D" w14:textId="5C9AD239" w:rsidR="00980409" w:rsidRPr="0047139F" w:rsidRDefault="00980409" w:rsidP="00980409">
            <w:pPr>
              <w:rPr>
                <w:bCs/>
                <w:sz w:val="18"/>
                <w:szCs w:val="18"/>
                <w:lang w:val="es-ES"/>
              </w:rPr>
            </w:pPr>
            <w:proofErr w:type="spellStart"/>
            <w:r w:rsidRPr="0047139F">
              <w:rPr>
                <w:bCs/>
                <w:sz w:val="18"/>
                <w:szCs w:val="18"/>
              </w:rPr>
              <w:t>Anadolu</w:t>
            </w:r>
            <w:proofErr w:type="spellEnd"/>
            <w:r w:rsidRPr="0047139F">
              <w:rPr>
                <w:bCs/>
                <w:sz w:val="18"/>
                <w:szCs w:val="18"/>
              </w:rPr>
              <w:t xml:space="preserve"> </w:t>
            </w:r>
            <w:proofErr w:type="spellStart"/>
            <w:r w:rsidRPr="0047139F">
              <w:rPr>
                <w:bCs/>
                <w:sz w:val="18"/>
                <w:szCs w:val="18"/>
              </w:rPr>
              <w:t>Aktif</w:t>
            </w:r>
            <w:proofErr w:type="spellEnd"/>
            <w:r w:rsidRPr="0047139F">
              <w:rPr>
                <w:bCs/>
                <w:sz w:val="18"/>
                <w:szCs w:val="18"/>
              </w:rPr>
              <w:t xml:space="preserve"> </w:t>
            </w:r>
            <w:proofErr w:type="spellStart"/>
            <w:r w:rsidRPr="0047139F">
              <w:rPr>
                <w:bCs/>
                <w:sz w:val="18"/>
                <w:szCs w:val="18"/>
              </w:rPr>
              <w:t>Teşebbus</w:t>
            </w:r>
            <w:proofErr w:type="spellEnd"/>
            <w:r w:rsidRPr="0047139F">
              <w:rPr>
                <w:bCs/>
                <w:sz w:val="18"/>
                <w:szCs w:val="18"/>
              </w:rPr>
              <w:t xml:space="preserve"> </w:t>
            </w:r>
            <w:proofErr w:type="spellStart"/>
            <w:r w:rsidRPr="0047139F">
              <w:rPr>
                <w:bCs/>
                <w:sz w:val="18"/>
                <w:szCs w:val="18"/>
              </w:rPr>
              <w:t>ve</w:t>
            </w:r>
            <w:proofErr w:type="spellEnd"/>
            <w:r w:rsidRPr="0047139F">
              <w:rPr>
                <w:bCs/>
                <w:sz w:val="18"/>
                <w:szCs w:val="18"/>
              </w:rPr>
              <w:t xml:space="preserve"> </w:t>
            </w:r>
            <w:proofErr w:type="spellStart"/>
            <w:r w:rsidRPr="0047139F">
              <w:rPr>
                <w:bCs/>
                <w:sz w:val="18"/>
                <w:szCs w:val="18"/>
              </w:rPr>
              <w:t>Makine</w:t>
            </w:r>
            <w:proofErr w:type="spellEnd"/>
            <w:r w:rsidRPr="0047139F">
              <w:rPr>
                <w:bCs/>
                <w:sz w:val="18"/>
                <w:szCs w:val="18"/>
              </w:rPr>
              <w:t xml:space="preserve"> </w:t>
            </w:r>
            <w:proofErr w:type="spellStart"/>
            <w:r w:rsidRPr="0047139F">
              <w:rPr>
                <w:bCs/>
                <w:sz w:val="18"/>
                <w:szCs w:val="18"/>
              </w:rPr>
              <w:t>Ticaret</w:t>
            </w:r>
            <w:proofErr w:type="spellEnd"/>
            <w:r w:rsidRPr="0047139F">
              <w:rPr>
                <w:bCs/>
                <w:sz w:val="18"/>
                <w:szCs w:val="18"/>
              </w:rPr>
              <w:t xml:space="preserve"> A.Ş.</w:t>
            </w:r>
          </w:p>
        </w:tc>
        <w:tc>
          <w:tcPr>
            <w:tcW w:w="1417" w:type="dxa"/>
            <w:noWrap/>
            <w:vAlign w:val="bottom"/>
          </w:tcPr>
          <w:p w14:paraId="39338552" w14:textId="119ED42D" w:rsidR="00980409" w:rsidRPr="009D38D3" w:rsidRDefault="00980409" w:rsidP="00980409">
            <w:pPr>
              <w:ind w:right="-42"/>
              <w:jc w:val="right"/>
              <w:rPr>
                <w:sz w:val="18"/>
                <w:szCs w:val="18"/>
              </w:rPr>
            </w:pPr>
            <w:r w:rsidRPr="00C92283">
              <w:rPr>
                <w:sz w:val="18"/>
                <w:szCs w:val="18"/>
              </w:rPr>
              <w:t>48,317</w:t>
            </w:r>
          </w:p>
        </w:tc>
        <w:tc>
          <w:tcPr>
            <w:tcW w:w="1334" w:type="dxa"/>
            <w:noWrap/>
            <w:vAlign w:val="bottom"/>
          </w:tcPr>
          <w:p w14:paraId="088E6040" w14:textId="5F2CA374" w:rsidR="00980409" w:rsidRPr="009D38D3" w:rsidRDefault="00980409" w:rsidP="00980409">
            <w:pPr>
              <w:ind w:right="-42"/>
              <w:jc w:val="right"/>
              <w:rPr>
                <w:sz w:val="18"/>
                <w:szCs w:val="18"/>
              </w:rPr>
            </w:pPr>
            <w:r w:rsidRPr="00C92283">
              <w:rPr>
                <w:sz w:val="18"/>
                <w:szCs w:val="18"/>
              </w:rPr>
              <w:t>7.79</w:t>
            </w:r>
            <w:r w:rsidR="00FD0C7A">
              <w:rPr>
                <w:sz w:val="18"/>
                <w:szCs w:val="18"/>
              </w:rPr>
              <w:t>%</w:t>
            </w:r>
          </w:p>
        </w:tc>
        <w:tc>
          <w:tcPr>
            <w:tcW w:w="1574" w:type="dxa"/>
            <w:noWrap/>
            <w:vAlign w:val="bottom"/>
          </w:tcPr>
          <w:p w14:paraId="590F3956" w14:textId="2CBFA19C" w:rsidR="00980409" w:rsidRPr="009D38D3" w:rsidRDefault="00980409" w:rsidP="00980409">
            <w:pPr>
              <w:ind w:right="-42"/>
              <w:jc w:val="right"/>
              <w:rPr>
                <w:sz w:val="18"/>
                <w:szCs w:val="18"/>
              </w:rPr>
            </w:pPr>
            <w:r w:rsidRPr="00EA3453">
              <w:rPr>
                <w:sz w:val="18"/>
                <w:szCs w:val="18"/>
              </w:rPr>
              <w:t>48,317</w:t>
            </w:r>
          </w:p>
        </w:tc>
        <w:tc>
          <w:tcPr>
            <w:tcW w:w="1576" w:type="dxa"/>
            <w:noWrap/>
            <w:vAlign w:val="bottom"/>
          </w:tcPr>
          <w:p w14:paraId="38177A06" w14:textId="1CDA8DDF" w:rsidR="00980409" w:rsidRPr="00692926" w:rsidRDefault="00980409" w:rsidP="00980409">
            <w:pPr>
              <w:ind w:right="-42"/>
              <w:jc w:val="right"/>
              <w:rPr>
                <w:sz w:val="18"/>
                <w:szCs w:val="18"/>
              </w:rPr>
            </w:pPr>
            <w:r w:rsidRPr="00EA3453">
              <w:rPr>
                <w:sz w:val="18"/>
                <w:szCs w:val="18"/>
              </w:rPr>
              <w:t>7.79</w:t>
            </w:r>
            <w:r w:rsidR="00FD0C7A">
              <w:rPr>
                <w:sz w:val="18"/>
                <w:szCs w:val="18"/>
              </w:rPr>
              <w:t>%</w:t>
            </w:r>
          </w:p>
        </w:tc>
      </w:tr>
      <w:tr w:rsidR="00980409" w:rsidRPr="00604C75" w14:paraId="32AF7559" w14:textId="77777777" w:rsidTr="0047139F">
        <w:trPr>
          <w:trHeight w:val="258"/>
        </w:trPr>
        <w:tc>
          <w:tcPr>
            <w:tcW w:w="3671" w:type="dxa"/>
            <w:noWrap/>
            <w:vAlign w:val="bottom"/>
          </w:tcPr>
          <w:p w14:paraId="5F4978C5" w14:textId="77777777" w:rsidR="00980409" w:rsidRPr="0047139F" w:rsidRDefault="00980409" w:rsidP="00980409">
            <w:pPr>
              <w:rPr>
                <w:bCs/>
                <w:sz w:val="18"/>
                <w:szCs w:val="18"/>
              </w:rPr>
            </w:pPr>
            <w:r w:rsidRPr="0047139F">
              <w:rPr>
                <w:bCs/>
                <w:sz w:val="18"/>
                <w:szCs w:val="18"/>
              </w:rPr>
              <w:t>Other</w:t>
            </w:r>
          </w:p>
        </w:tc>
        <w:tc>
          <w:tcPr>
            <w:tcW w:w="1417" w:type="dxa"/>
            <w:noWrap/>
            <w:vAlign w:val="bottom"/>
          </w:tcPr>
          <w:p w14:paraId="20AB1395" w14:textId="1B53871E" w:rsidR="00980409" w:rsidRPr="009D38D3" w:rsidRDefault="00980409" w:rsidP="00980409">
            <w:pPr>
              <w:ind w:right="-42"/>
              <w:jc w:val="right"/>
              <w:rPr>
                <w:sz w:val="18"/>
                <w:szCs w:val="18"/>
              </w:rPr>
            </w:pPr>
            <w:r w:rsidRPr="00C92283">
              <w:rPr>
                <w:sz w:val="18"/>
                <w:szCs w:val="18"/>
              </w:rPr>
              <w:t>-</w:t>
            </w:r>
          </w:p>
        </w:tc>
        <w:tc>
          <w:tcPr>
            <w:tcW w:w="1334" w:type="dxa"/>
            <w:noWrap/>
            <w:vAlign w:val="bottom"/>
          </w:tcPr>
          <w:p w14:paraId="5E1AF1D3" w14:textId="584543AE" w:rsidR="00980409" w:rsidRPr="009D38D3" w:rsidRDefault="00980409" w:rsidP="00980409">
            <w:pPr>
              <w:ind w:right="-42"/>
              <w:jc w:val="right"/>
              <w:rPr>
                <w:sz w:val="18"/>
                <w:szCs w:val="18"/>
              </w:rPr>
            </w:pPr>
            <w:r w:rsidRPr="00C92283">
              <w:rPr>
                <w:sz w:val="18"/>
                <w:szCs w:val="18"/>
              </w:rPr>
              <w:t>-</w:t>
            </w:r>
          </w:p>
        </w:tc>
        <w:tc>
          <w:tcPr>
            <w:tcW w:w="1574" w:type="dxa"/>
            <w:noWrap/>
            <w:vAlign w:val="bottom"/>
          </w:tcPr>
          <w:p w14:paraId="4ABC1C6B" w14:textId="3024D6C5" w:rsidR="00980409" w:rsidRPr="009D38D3" w:rsidRDefault="00980409" w:rsidP="00980409">
            <w:pPr>
              <w:ind w:right="-42"/>
              <w:jc w:val="right"/>
              <w:rPr>
                <w:sz w:val="18"/>
                <w:szCs w:val="18"/>
              </w:rPr>
            </w:pPr>
            <w:r w:rsidRPr="00EA3453">
              <w:rPr>
                <w:sz w:val="18"/>
                <w:szCs w:val="18"/>
              </w:rPr>
              <w:t>4,659</w:t>
            </w:r>
          </w:p>
        </w:tc>
        <w:tc>
          <w:tcPr>
            <w:tcW w:w="1576" w:type="dxa"/>
            <w:noWrap/>
            <w:vAlign w:val="bottom"/>
          </w:tcPr>
          <w:p w14:paraId="2D9B1CDF" w14:textId="4D10E97F" w:rsidR="00980409" w:rsidRPr="00692926" w:rsidRDefault="00980409" w:rsidP="00980409">
            <w:pPr>
              <w:ind w:right="-42"/>
              <w:jc w:val="right"/>
              <w:rPr>
                <w:sz w:val="18"/>
                <w:szCs w:val="18"/>
              </w:rPr>
            </w:pPr>
            <w:r w:rsidRPr="00EA3453">
              <w:rPr>
                <w:sz w:val="18"/>
                <w:szCs w:val="18"/>
              </w:rPr>
              <w:t>0.75</w:t>
            </w:r>
            <w:r w:rsidR="00FD0C7A">
              <w:rPr>
                <w:sz w:val="18"/>
                <w:szCs w:val="18"/>
              </w:rPr>
              <w:t>%</w:t>
            </w:r>
          </w:p>
        </w:tc>
      </w:tr>
      <w:tr w:rsidR="00980409" w:rsidRPr="00604C75" w14:paraId="5CC536CD" w14:textId="77777777" w:rsidTr="0047139F">
        <w:trPr>
          <w:trHeight w:val="258"/>
        </w:trPr>
        <w:tc>
          <w:tcPr>
            <w:tcW w:w="3671" w:type="dxa"/>
            <w:noWrap/>
            <w:vAlign w:val="bottom"/>
          </w:tcPr>
          <w:p w14:paraId="1035A51C" w14:textId="77777777" w:rsidR="00980409" w:rsidRPr="0047139F" w:rsidRDefault="00980409" w:rsidP="00980409">
            <w:pPr>
              <w:rPr>
                <w:b/>
                <w:bCs/>
                <w:sz w:val="18"/>
                <w:szCs w:val="18"/>
              </w:rPr>
            </w:pPr>
            <w:r w:rsidRPr="0047139F">
              <w:rPr>
                <w:b/>
                <w:bCs/>
                <w:sz w:val="18"/>
                <w:szCs w:val="18"/>
              </w:rPr>
              <w:t>Total</w:t>
            </w:r>
          </w:p>
        </w:tc>
        <w:tc>
          <w:tcPr>
            <w:tcW w:w="1417" w:type="dxa"/>
            <w:noWrap/>
            <w:vAlign w:val="bottom"/>
          </w:tcPr>
          <w:p w14:paraId="750BEB7A" w14:textId="44F91532" w:rsidR="00980409" w:rsidRPr="009D38D3" w:rsidRDefault="00980409" w:rsidP="00980409">
            <w:pPr>
              <w:ind w:right="-42"/>
              <w:jc w:val="right"/>
              <w:rPr>
                <w:b/>
                <w:sz w:val="18"/>
                <w:szCs w:val="18"/>
              </w:rPr>
            </w:pPr>
            <w:r w:rsidRPr="00C92283">
              <w:rPr>
                <w:b/>
                <w:sz w:val="18"/>
                <w:szCs w:val="18"/>
              </w:rPr>
              <w:t>620,000</w:t>
            </w:r>
          </w:p>
        </w:tc>
        <w:tc>
          <w:tcPr>
            <w:tcW w:w="1334" w:type="dxa"/>
            <w:noWrap/>
            <w:vAlign w:val="bottom"/>
          </w:tcPr>
          <w:p w14:paraId="65558C06" w14:textId="63A27CB3" w:rsidR="00980409" w:rsidRPr="009D38D3" w:rsidRDefault="00980409" w:rsidP="00980409">
            <w:pPr>
              <w:ind w:right="-42"/>
              <w:jc w:val="right"/>
              <w:rPr>
                <w:b/>
                <w:sz w:val="18"/>
                <w:szCs w:val="18"/>
              </w:rPr>
            </w:pPr>
            <w:r w:rsidRPr="00C92283">
              <w:rPr>
                <w:b/>
                <w:sz w:val="18"/>
                <w:szCs w:val="18"/>
              </w:rPr>
              <w:t>100</w:t>
            </w:r>
            <w:r w:rsidR="00FD0C7A">
              <w:rPr>
                <w:b/>
                <w:sz w:val="18"/>
                <w:szCs w:val="18"/>
              </w:rPr>
              <w:t>%</w:t>
            </w:r>
          </w:p>
        </w:tc>
        <w:tc>
          <w:tcPr>
            <w:tcW w:w="1574" w:type="dxa"/>
            <w:noWrap/>
            <w:vAlign w:val="bottom"/>
          </w:tcPr>
          <w:p w14:paraId="1DE9A0D1" w14:textId="2E2C23D9" w:rsidR="00980409" w:rsidRPr="009D38D3" w:rsidRDefault="00980409" w:rsidP="00980409">
            <w:pPr>
              <w:ind w:right="-42"/>
              <w:jc w:val="right"/>
              <w:rPr>
                <w:b/>
                <w:sz w:val="18"/>
                <w:szCs w:val="18"/>
              </w:rPr>
            </w:pPr>
            <w:r w:rsidRPr="00EA3453">
              <w:rPr>
                <w:b/>
                <w:sz w:val="18"/>
                <w:szCs w:val="18"/>
              </w:rPr>
              <w:t>620,000</w:t>
            </w:r>
          </w:p>
        </w:tc>
        <w:tc>
          <w:tcPr>
            <w:tcW w:w="1576" w:type="dxa"/>
            <w:noWrap/>
            <w:vAlign w:val="bottom"/>
          </w:tcPr>
          <w:p w14:paraId="26CB3537" w14:textId="6FA94D8C" w:rsidR="00980409" w:rsidRPr="00692926" w:rsidRDefault="00980409" w:rsidP="00980409">
            <w:pPr>
              <w:ind w:right="-42"/>
              <w:jc w:val="right"/>
              <w:rPr>
                <w:b/>
                <w:sz w:val="18"/>
                <w:szCs w:val="18"/>
              </w:rPr>
            </w:pPr>
            <w:r w:rsidRPr="00EA3453">
              <w:rPr>
                <w:b/>
                <w:sz w:val="18"/>
                <w:szCs w:val="18"/>
              </w:rPr>
              <w:t>100</w:t>
            </w:r>
            <w:r w:rsidR="00FD0C7A">
              <w:rPr>
                <w:b/>
                <w:sz w:val="18"/>
                <w:szCs w:val="18"/>
              </w:rPr>
              <w:t>%</w:t>
            </w:r>
          </w:p>
        </w:tc>
      </w:tr>
    </w:tbl>
    <w:p w14:paraId="14D43CAE" w14:textId="77777777" w:rsidR="000013DB" w:rsidRPr="00604C75" w:rsidRDefault="000013DB" w:rsidP="001860B4">
      <w:pPr>
        <w:pStyle w:val="BodyTextIndent"/>
        <w:ind w:left="851"/>
        <w:rPr>
          <w:sz w:val="20"/>
          <w:szCs w:val="20"/>
        </w:rPr>
      </w:pPr>
    </w:p>
    <w:p w14:paraId="2D288966" w14:textId="77777777" w:rsidR="008D06EC" w:rsidRPr="00604C75" w:rsidRDefault="008D06EC" w:rsidP="001860B4">
      <w:pPr>
        <w:spacing w:after="200"/>
        <w:rPr>
          <w:sz w:val="20"/>
          <w:szCs w:val="20"/>
        </w:rPr>
      </w:pPr>
      <w:r w:rsidRPr="00604C75">
        <w:rPr>
          <w:sz w:val="20"/>
          <w:szCs w:val="20"/>
        </w:rPr>
        <w:br w:type="page"/>
      </w:r>
    </w:p>
    <w:p w14:paraId="072BCBA6" w14:textId="77777777" w:rsidR="000202EF" w:rsidRPr="00604C75" w:rsidRDefault="000202EF" w:rsidP="0008575D">
      <w:pPr>
        <w:tabs>
          <w:tab w:val="left" w:pos="360"/>
          <w:tab w:val="right" w:pos="5040"/>
          <w:tab w:val="right" w:pos="8460"/>
        </w:tabs>
        <w:suppressAutoHyphens/>
        <w:spacing w:line="218" w:lineRule="auto"/>
        <w:ind w:right="-28"/>
        <w:jc w:val="both"/>
        <w:rPr>
          <w:noProof/>
          <w:sz w:val="20"/>
          <w:szCs w:val="20"/>
          <w:lang w:val="tr-TR"/>
        </w:rPr>
      </w:pPr>
      <w:r w:rsidRPr="00604C75">
        <w:rPr>
          <w:b/>
          <w:noProof/>
          <w:sz w:val="20"/>
          <w:szCs w:val="20"/>
          <w:lang w:val="tr-TR"/>
        </w:rPr>
        <w:lastRenderedPageBreak/>
        <w:t>GENERAL INFORMATION (Continued)</w:t>
      </w:r>
    </w:p>
    <w:p w14:paraId="36305E9F" w14:textId="55FE722B" w:rsidR="00E72638" w:rsidRPr="00604C75" w:rsidRDefault="00E72638" w:rsidP="008477F3">
      <w:pPr>
        <w:pStyle w:val="BodyTextIndent"/>
        <w:numPr>
          <w:ilvl w:val="0"/>
          <w:numId w:val="50"/>
        </w:numPr>
        <w:tabs>
          <w:tab w:val="num" w:pos="709"/>
        </w:tabs>
        <w:spacing w:before="120" w:after="0" w:line="218" w:lineRule="auto"/>
        <w:ind w:left="0" w:firstLine="0"/>
        <w:jc w:val="both"/>
        <w:rPr>
          <w:b/>
          <w:noProof/>
          <w:sz w:val="20"/>
          <w:szCs w:val="20"/>
          <w:lang w:val="tr-TR"/>
        </w:rPr>
      </w:pPr>
      <w:r w:rsidRPr="00604C75">
        <w:rPr>
          <w:b/>
          <w:noProof/>
          <w:sz w:val="20"/>
          <w:szCs w:val="20"/>
          <w:lang w:val="tr-TR"/>
        </w:rPr>
        <w:t>E</w:t>
      </w:r>
      <w:r w:rsidR="005D0ED1" w:rsidRPr="00604C75">
        <w:rPr>
          <w:b/>
          <w:noProof/>
          <w:sz w:val="20"/>
          <w:szCs w:val="20"/>
          <w:lang w:val="tr-TR"/>
        </w:rPr>
        <w:t>xplanation</w:t>
      </w:r>
      <w:r w:rsidRPr="00604C75">
        <w:rPr>
          <w:b/>
          <w:noProof/>
          <w:sz w:val="20"/>
          <w:szCs w:val="20"/>
          <w:lang w:val="tr-TR"/>
        </w:rPr>
        <w:t xml:space="preserve"> </w:t>
      </w:r>
      <w:r w:rsidR="002F5E25" w:rsidRPr="00604C75">
        <w:rPr>
          <w:b/>
          <w:noProof/>
          <w:sz w:val="20"/>
          <w:szCs w:val="20"/>
          <w:lang w:val="tr-TR"/>
        </w:rPr>
        <w:t>on the Board o</w:t>
      </w:r>
      <w:r w:rsidR="005D0ED1" w:rsidRPr="00604C75">
        <w:rPr>
          <w:b/>
          <w:noProof/>
          <w:sz w:val="20"/>
          <w:szCs w:val="20"/>
          <w:lang w:val="tr-TR"/>
        </w:rPr>
        <w:t>f Di</w:t>
      </w:r>
      <w:r w:rsidR="002F5E25" w:rsidRPr="00604C75">
        <w:rPr>
          <w:b/>
          <w:noProof/>
          <w:sz w:val="20"/>
          <w:szCs w:val="20"/>
          <w:lang w:val="tr-TR"/>
        </w:rPr>
        <w:t>rectors, Members o</w:t>
      </w:r>
      <w:r w:rsidR="005F2B16" w:rsidRPr="00604C75">
        <w:rPr>
          <w:b/>
          <w:noProof/>
          <w:sz w:val="20"/>
          <w:szCs w:val="20"/>
          <w:lang w:val="tr-TR"/>
        </w:rPr>
        <w:t>f t</w:t>
      </w:r>
      <w:r w:rsidR="005D0ED1" w:rsidRPr="00604C75">
        <w:rPr>
          <w:b/>
          <w:noProof/>
          <w:sz w:val="20"/>
          <w:szCs w:val="20"/>
          <w:lang w:val="tr-TR"/>
        </w:rPr>
        <w:t>he Audit Committee, Presi</w:t>
      </w:r>
      <w:r w:rsidR="005F2B16" w:rsidRPr="00604C75">
        <w:rPr>
          <w:b/>
          <w:noProof/>
          <w:sz w:val="20"/>
          <w:szCs w:val="20"/>
          <w:lang w:val="tr-TR"/>
        </w:rPr>
        <w:t>dent a</w:t>
      </w:r>
      <w:r w:rsidR="005D0ED1" w:rsidRPr="00604C75">
        <w:rPr>
          <w:b/>
          <w:noProof/>
          <w:sz w:val="20"/>
          <w:szCs w:val="20"/>
          <w:lang w:val="tr-TR"/>
        </w:rPr>
        <w:t xml:space="preserve">nd </w:t>
      </w:r>
      <w:r w:rsidR="005D0ED1" w:rsidRPr="00604C75">
        <w:rPr>
          <w:b/>
          <w:noProof/>
          <w:sz w:val="20"/>
          <w:szCs w:val="20"/>
          <w:lang w:val="tr-TR"/>
        </w:rPr>
        <w:tab/>
        <w:t>Exec</w:t>
      </w:r>
      <w:r w:rsidR="005F2B16" w:rsidRPr="00604C75">
        <w:rPr>
          <w:b/>
          <w:noProof/>
          <w:sz w:val="20"/>
          <w:szCs w:val="20"/>
          <w:lang w:val="tr-TR"/>
        </w:rPr>
        <w:t>utive Vice Presidents, Changes in These Matters (If Any) and Shares in t</w:t>
      </w:r>
      <w:r w:rsidR="005D0ED1" w:rsidRPr="00604C75">
        <w:rPr>
          <w:b/>
          <w:noProof/>
          <w:sz w:val="20"/>
          <w:szCs w:val="20"/>
          <w:lang w:val="tr-TR"/>
        </w:rPr>
        <w:t xml:space="preserve">he </w:t>
      </w:r>
      <w:r w:rsidR="00C0697D">
        <w:rPr>
          <w:b/>
          <w:noProof/>
          <w:sz w:val="20"/>
          <w:szCs w:val="20"/>
          <w:lang w:val="tr-TR"/>
        </w:rPr>
        <w:t xml:space="preserve">Parent </w:t>
      </w:r>
      <w:r w:rsidR="005D0ED1" w:rsidRPr="00604C75">
        <w:rPr>
          <w:b/>
          <w:noProof/>
          <w:sz w:val="20"/>
          <w:szCs w:val="20"/>
          <w:lang w:val="tr-TR"/>
        </w:rPr>
        <w:t>Bank</w:t>
      </w:r>
      <w:r w:rsidR="005D0ED1" w:rsidRPr="00604C75" w:rsidDel="005D0ED1">
        <w:rPr>
          <w:b/>
          <w:noProof/>
          <w:sz w:val="20"/>
          <w:szCs w:val="20"/>
          <w:lang w:val="tr-TR"/>
        </w:rPr>
        <w:t xml:space="preserve"> </w:t>
      </w:r>
    </w:p>
    <w:p w14:paraId="78AABFE4" w14:textId="77777777" w:rsidR="002968C9" w:rsidRPr="00604C75" w:rsidRDefault="002968C9" w:rsidP="004B6373">
      <w:pPr>
        <w:pStyle w:val="BodyTextIndent"/>
        <w:spacing w:after="0" w:line="72" w:lineRule="auto"/>
        <w:ind w:left="1077"/>
        <w:jc w:val="both"/>
        <w:rPr>
          <w:b/>
          <w:noProof/>
          <w:sz w:val="20"/>
          <w:szCs w:val="20"/>
          <w:lang w:val="tr-TR"/>
        </w:rPr>
      </w:pPr>
    </w:p>
    <w:p w14:paraId="49908EA1" w14:textId="77777777" w:rsidR="00E72638" w:rsidRPr="00604C75" w:rsidRDefault="00E72638" w:rsidP="00441C60">
      <w:pPr>
        <w:pStyle w:val="BodyTextIndent"/>
        <w:spacing w:after="0" w:line="72" w:lineRule="auto"/>
        <w:ind w:left="0"/>
        <w:rPr>
          <w:b/>
          <w:noProof/>
          <w:sz w:val="16"/>
          <w:szCs w:val="16"/>
          <w:u w:val="single"/>
          <w:lang w:val="tr-TR"/>
        </w:rPr>
      </w:pPr>
    </w:p>
    <w:tbl>
      <w:tblPr>
        <w:tblW w:w="10333" w:type="dxa"/>
        <w:tblInd w:w="-1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620"/>
        <w:gridCol w:w="2625"/>
        <w:gridCol w:w="3975"/>
        <w:gridCol w:w="1113"/>
      </w:tblGrid>
      <w:tr w:rsidR="002968C9" w:rsidRPr="009D38D3" w14:paraId="7BC04107" w14:textId="77777777" w:rsidTr="00F142CB">
        <w:trPr>
          <w:trHeight w:val="630"/>
        </w:trPr>
        <w:tc>
          <w:tcPr>
            <w:tcW w:w="2620" w:type="dxa"/>
            <w:shd w:val="clear" w:color="auto" w:fill="auto"/>
            <w:vAlign w:val="bottom"/>
            <w:hideMark/>
          </w:tcPr>
          <w:p w14:paraId="49BC999E" w14:textId="77777777" w:rsidR="002968C9" w:rsidRPr="009D38D3" w:rsidRDefault="002F14DF" w:rsidP="001F181F">
            <w:pPr>
              <w:rPr>
                <w:b/>
                <w:bCs/>
                <w:sz w:val="17"/>
                <w:szCs w:val="17"/>
              </w:rPr>
            </w:pPr>
            <w:r w:rsidRPr="009D38D3">
              <w:rPr>
                <w:b/>
                <w:bCs/>
                <w:sz w:val="17"/>
                <w:szCs w:val="17"/>
              </w:rPr>
              <w:t>Title</w:t>
            </w:r>
          </w:p>
        </w:tc>
        <w:tc>
          <w:tcPr>
            <w:tcW w:w="2625" w:type="dxa"/>
            <w:shd w:val="clear" w:color="auto" w:fill="auto"/>
            <w:vAlign w:val="bottom"/>
            <w:hideMark/>
          </w:tcPr>
          <w:p w14:paraId="635E2826" w14:textId="77777777" w:rsidR="002968C9" w:rsidRPr="009D38D3" w:rsidRDefault="002F14DF" w:rsidP="001F181F">
            <w:pPr>
              <w:rPr>
                <w:b/>
                <w:bCs/>
                <w:sz w:val="17"/>
                <w:szCs w:val="17"/>
              </w:rPr>
            </w:pPr>
            <w:r w:rsidRPr="009D38D3">
              <w:rPr>
                <w:b/>
                <w:bCs/>
                <w:sz w:val="17"/>
                <w:szCs w:val="17"/>
              </w:rPr>
              <w:t>Name</w:t>
            </w:r>
          </w:p>
        </w:tc>
        <w:tc>
          <w:tcPr>
            <w:tcW w:w="3975" w:type="dxa"/>
            <w:shd w:val="clear" w:color="auto" w:fill="auto"/>
            <w:vAlign w:val="bottom"/>
            <w:hideMark/>
          </w:tcPr>
          <w:p w14:paraId="2E372D45" w14:textId="77777777" w:rsidR="002968C9" w:rsidRPr="009D38D3" w:rsidRDefault="002968C9" w:rsidP="001F181F">
            <w:pPr>
              <w:rPr>
                <w:b/>
                <w:bCs/>
                <w:sz w:val="17"/>
                <w:szCs w:val="17"/>
              </w:rPr>
            </w:pPr>
            <w:r w:rsidRPr="009D38D3">
              <w:rPr>
                <w:b/>
                <w:bCs/>
                <w:sz w:val="17"/>
                <w:szCs w:val="17"/>
              </w:rPr>
              <w:t>Responsibility</w:t>
            </w:r>
          </w:p>
        </w:tc>
        <w:tc>
          <w:tcPr>
            <w:tcW w:w="1113" w:type="dxa"/>
            <w:shd w:val="clear" w:color="auto" w:fill="auto"/>
            <w:vAlign w:val="bottom"/>
            <w:hideMark/>
          </w:tcPr>
          <w:p w14:paraId="15D08663" w14:textId="77777777" w:rsidR="002968C9" w:rsidRPr="009D38D3" w:rsidRDefault="002968C9" w:rsidP="001F181F">
            <w:pPr>
              <w:jc w:val="right"/>
              <w:rPr>
                <w:b/>
                <w:bCs/>
                <w:sz w:val="17"/>
                <w:szCs w:val="17"/>
              </w:rPr>
            </w:pPr>
            <w:r w:rsidRPr="009D38D3">
              <w:rPr>
                <w:b/>
                <w:bCs/>
                <w:sz w:val="17"/>
                <w:szCs w:val="17"/>
              </w:rPr>
              <w:t>Indirect Share Capital (%)</w:t>
            </w:r>
          </w:p>
        </w:tc>
      </w:tr>
      <w:tr w:rsidR="00384FD1" w:rsidRPr="009D38D3" w14:paraId="308E590D" w14:textId="77777777" w:rsidTr="00F142CB">
        <w:trPr>
          <w:trHeight w:val="227"/>
        </w:trPr>
        <w:tc>
          <w:tcPr>
            <w:tcW w:w="2620" w:type="dxa"/>
            <w:shd w:val="clear" w:color="auto" w:fill="auto"/>
            <w:vAlign w:val="bottom"/>
          </w:tcPr>
          <w:p w14:paraId="198BAB2C" w14:textId="77777777" w:rsidR="00384FD1" w:rsidRPr="009D38D3" w:rsidRDefault="00384FD1" w:rsidP="00F0291B">
            <w:pPr>
              <w:rPr>
                <w:sz w:val="16"/>
                <w:szCs w:val="16"/>
              </w:rPr>
            </w:pPr>
            <w:r w:rsidRPr="009D38D3">
              <w:rPr>
                <w:sz w:val="16"/>
                <w:szCs w:val="16"/>
              </w:rPr>
              <w:t>Chairman of Board of Directors</w:t>
            </w:r>
          </w:p>
        </w:tc>
        <w:tc>
          <w:tcPr>
            <w:tcW w:w="2625" w:type="dxa"/>
            <w:shd w:val="clear" w:color="auto" w:fill="auto"/>
            <w:vAlign w:val="bottom"/>
          </w:tcPr>
          <w:p w14:paraId="1E3273C1" w14:textId="77777777" w:rsidR="00384FD1" w:rsidRPr="009D38D3" w:rsidRDefault="00384FD1" w:rsidP="00F0291B">
            <w:pPr>
              <w:rPr>
                <w:sz w:val="16"/>
                <w:szCs w:val="16"/>
              </w:rPr>
            </w:pPr>
            <w:proofErr w:type="spellStart"/>
            <w:r w:rsidRPr="009D38D3">
              <w:rPr>
                <w:sz w:val="16"/>
                <w:szCs w:val="16"/>
              </w:rPr>
              <w:t>Tuncay</w:t>
            </w:r>
            <w:proofErr w:type="spellEnd"/>
            <w:r w:rsidRPr="009D38D3">
              <w:rPr>
                <w:sz w:val="16"/>
                <w:szCs w:val="16"/>
              </w:rPr>
              <w:t xml:space="preserve"> </w:t>
            </w:r>
            <w:proofErr w:type="spellStart"/>
            <w:r w:rsidRPr="009D38D3">
              <w:rPr>
                <w:sz w:val="16"/>
                <w:szCs w:val="16"/>
              </w:rPr>
              <w:t>Özilhan</w:t>
            </w:r>
            <w:proofErr w:type="spellEnd"/>
          </w:p>
        </w:tc>
        <w:tc>
          <w:tcPr>
            <w:tcW w:w="3975" w:type="dxa"/>
            <w:shd w:val="clear" w:color="auto" w:fill="auto"/>
            <w:vAlign w:val="bottom"/>
            <w:hideMark/>
          </w:tcPr>
          <w:p w14:paraId="108F7281" w14:textId="77777777" w:rsidR="00384FD1" w:rsidRPr="009D38D3" w:rsidRDefault="00384FD1" w:rsidP="00F0291B">
            <w:pPr>
              <w:rPr>
                <w:sz w:val="16"/>
                <w:szCs w:val="16"/>
              </w:rPr>
            </w:pPr>
            <w:r w:rsidRPr="009D38D3">
              <w:rPr>
                <w:sz w:val="16"/>
                <w:szCs w:val="16"/>
              </w:rPr>
              <w:t>-</w:t>
            </w:r>
          </w:p>
        </w:tc>
        <w:tc>
          <w:tcPr>
            <w:tcW w:w="1113" w:type="dxa"/>
            <w:shd w:val="clear" w:color="auto" w:fill="auto"/>
            <w:vAlign w:val="bottom"/>
            <w:hideMark/>
          </w:tcPr>
          <w:p w14:paraId="6A288BF6" w14:textId="77777777" w:rsidR="00384FD1" w:rsidRPr="009D38D3" w:rsidRDefault="00384FD1" w:rsidP="00F0291B">
            <w:pPr>
              <w:jc w:val="right"/>
              <w:rPr>
                <w:sz w:val="16"/>
                <w:szCs w:val="16"/>
              </w:rPr>
            </w:pPr>
            <w:r w:rsidRPr="009D38D3">
              <w:rPr>
                <w:sz w:val="16"/>
                <w:szCs w:val="16"/>
              </w:rPr>
              <w:t>3</w:t>
            </w:r>
          </w:p>
        </w:tc>
      </w:tr>
      <w:tr w:rsidR="00384FD1" w:rsidRPr="009D38D3" w14:paraId="0F989792" w14:textId="77777777" w:rsidTr="00F142CB">
        <w:trPr>
          <w:trHeight w:val="227"/>
        </w:trPr>
        <w:tc>
          <w:tcPr>
            <w:tcW w:w="2620" w:type="dxa"/>
            <w:shd w:val="clear" w:color="auto" w:fill="auto"/>
            <w:vAlign w:val="bottom"/>
          </w:tcPr>
          <w:p w14:paraId="5FFB04CA" w14:textId="77777777" w:rsidR="00384FD1" w:rsidRPr="009D38D3" w:rsidRDefault="00384FD1" w:rsidP="00F0291B">
            <w:pPr>
              <w:rPr>
                <w:sz w:val="16"/>
                <w:szCs w:val="16"/>
              </w:rPr>
            </w:pPr>
          </w:p>
        </w:tc>
        <w:tc>
          <w:tcPr>
            <w:tcW w:w="2625" w:type="dxa"/>
            <w:shd w:val="clear" w:color="auto" w:fill="auto"/>
            <w:vAlign w:val="bottom"/>
          </w:tcPr>
          <w:p w14:paraId="3BF394A5" w14:textId="77777777" w:rsidR="00384FD1" w:rsidRPr="009D38D3" w:rsidRDefault="00384FD1" w:rsidP="00F0291B">
            <w:pPr>
              <w:rPr>
                <w:sz w:val="16"/>
                <w:szCs w:val="16"/>
              </w:rPr>
            </w:pPr>
          </w:p>
        </w:tc>
        <w:tc>
          <w:tcPr>
            <w:tcW w:w="3975" w:type="dxa"/>
            <w:shd w:val="clear" w:color="auto" w:fill="auto"/>
            <w:vAlign w:val="bottom"/>
            <w:hideMark/>
          </w:tcPr>
          <w:p w14:paraId="0A9A60ED" w14:textId="77777777" w:rsidR="00384FD1" w:rsidRPr="009D38D3" w:rsidRDefault="00384FD1" w:rsidP="00F0291B">
            <w:pPr>
              <w:rPr>
                <w:sz w:val="16"/>
                <w:szCs w:val="16"/>
              </w:rPr>
            </w:pPr>
          </w:p>
        </w:tc>
        <w:tc>
          <w:tcPr>
            <w:tcW w:w="1113" w:type="dxa"/>
            <w:shd w:val="clear" w:color="auto" w:fill="auto"/>
            <w:vAlign w:val="bottom"/>
            <w:hideMark/>
          </w:tcPr>
          <w:p w14:paraId="5F85158C" w14:textId="77777777" w:rsidR="00384FD1" w:rsidRPr="009D38D3" w:rsidRDefault="00384FD1" w:rsidP="00F0291B">
            <w:pPr>
              <w:jc w:val="right"/>
              <w:rPr>
                <w:sz w:val="16"/>
                <w:szCs w:val="16"/>
              </w:rPr>
            </w:pPr>
          </w:p>
        </w:tc>
      </w:tr>
      <w:tr w:rsidR="00384FD1" w:rsidRPr="009D38D3" w14:paraId="796EEB51" w14:textId="77777777" w:rsidTr="00F142CB">
        <w:trPr>
          <w:trHeight w:val="571"/>
        </w:trPr>
        <w:tc>
          <w:tcPr>
            <w:tcW w:w="2620" w:type="dxa"/>
            <w:shd w:val="clear" w:color="auto" w:fill="auto"/>
            <w:vAlign w:val="bottom"/>
          </w:tcPr>
          <w:p w14:paraId="6BFB6B3E" w14:textId="77777777" w:rsidR="00384FD1" w:rsidRPr="009D38D3" w:rsidRDefault="00384FD1" w:rsidP="00F0291B">
            <w:pPr>
              <w:rPr>
                <w:sz w:val="16"/>
                <w:szCs w:val="16"/>
              </w:rPr>
            </w:pPr>
            <w:r w:rsidRPr="009D38D3">
              <w:rPr>
                <w:sz w:val="16"/>
                <w:szCs w:val="16"/>
              </w:rPr>
              <w:t>Member of Board of Directors and General Manager</w:t>
            </w:r>
          </w:p>
        </w:tc>
        <w:tc>
          <w:tcPr>
            <w:tcW w:w="2625" w:type="dxa"/>
            <w:shd w:val="clear" w:color="auto" w:fill="auto"/>
            <w:vAlign w:val="bottom"/>
          </w:tcPr>
          <w:p w14:paraId="274E1400" w14:textId="77777777" w:rsidR="00384FD1" w:rsidRPr="009D38D3" w:rsidRDefault="00384FD1" w:rsidP="00F0291B">
            <w:pPr>
              <w:rPr>
                <w:sz w:val="16"/>
                <w:szCs w:val="16"/>
              </w:rPr>
            </w:pPr>
            <w:proofErr w:type="spellStart"/>
            <w:r w:rsidRPr="009D38D3">
              <w:rPr>
                <w:sz w:val="16"/>
                <w:szCs w:val="16"/>
              </w:rPr>
              <w:t>Meriç</w:t>
            </w:r>
            <w:proofErr w:type="spellEnd"/>
            <w:r w:rsidRPr="009D38D3">
              <w:rPr>
                <w:sz w:val="16"/>
                <w:szCs w:val="16"/>
              </w:rPr>
              <w:t xml:space="preserve"> </w:t>
            </w:r>
            <w:proofErr w:type="spellStart"/>
            <w:r w:rsidRPr="009D38D3">
              <w:rPr>
                <w:sz w:val="16"/>
                <w:szCs w:val="16"/>
              </w:rPr>
              <w:t>Uluşahin</w:t>
            </w:r>
            <w:proofErr w:type="spellEnd"/>
          </w:p>
        </w:tc>
        <w:tc>
          <w:tcPr>
            <w:tcW w:w="3975" w:type="dxa"/>
            <w:shd w:val="clear" w:color="auto" w:fill="auto"/>
            <w:vAlign w:val="bottom"/>
            <w:hideMark/>
          </w:tcPr>
          <w:p w14:paraId="0C80FE83" w14:textId="77777777" w:rsidR="00793DEE" w:rsidRDefault="00384FD1" w:rsidP="00F0291B">
            <w:pPr>
              <w:jc w:val="both"/>
              <w:rPr>
                <w:sz w:val="16"/>
                <w:szCs w:val="16"/>
              </w:rPr>
            </w:pPr>
            <w:r w:rsidRPr="009D38D3">
              <w:rPr>
                <w:sz w:val="16"/>
                <w:szCs w:val="16"/>
              </w:rPr>
              <w:t xml:space="preserve">Member of the Credit Committee and </w:t>
            </w:r>
          </w:p>
          <w:p w14:paraId="7961FBD2" w14:textId="14FC5DB6" w:rsidR="00384FD1" w:rsidRPr="009D38D3" w:rsidRDefault="00793DEE" w:rsidP="00F0291B">
            <w:pPr>
              <w:jc w:val="both"/>
              <w:rPr>
                <w:sz w:val="16"/>
                <w:szCs w:val="16"/>
              </w:rPr>
            </w:pPr>
            <w:r>
              <w:rPr>
                <w:sz w:val="16"/>
                <w:szCs w:val="16"/>
              </w:rPr>
              <w:t>T</w:t>
            </w:r>
            <w:r w:rsidR="00384FD1" w:rsidRPr="009D38D3">
              <w:rPr>
                <w:sz w:val="16"/>
                <w:szCs w:val="16"/>
              </w:rPr>
              <w:t>he Executive Committee of the Board</w:t>
            </w:r>
          </w:p>
        </w:tc>
        <w:tc>
          <w:tcPr>
            <w:tcW w:w="1113" w:type="dxa"/>
            <w:shd w:val="clear" w:color="auto" w:fill="auto"/>
            <w:vAlign w:val="bottom"/>
            <w:hideMark/>
          </w:tcPr>
          <w:p w14:paraId="3F068D7E"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597DEE5C" w14:textId="77777777" w:rsidTr="00F142CB">
        <w:trPr>
          <w:trHeight w:val="227"/>
        </w:trPr>
        <w:tc>
          <w:tcPr>
            <w:tcW w:w="2620" w:type="dxa"/>
            <w:shd w:val="clear" w:color="auto" w:fill="auto"/>
            <w:vAlign w:val="bottom"/>
          </w:tcPr>
          <w:p w14:paraId="2F468CBF" w14:textId="77777777" w:rsidR="00384FD1" w:rsidRPr="009D38D3" w:rsidRDefault="00384FD1" w:rsidP="00F0291B">
            <w:pPr>
              <w:rPr>
                <w:sz w:val="16"/>
                <w:szCs w:val="16"/>
              </w:rPr>
            </w:pPr>
          </w:p>
        </w:tc>
        <w:tc>
          <w:tcPr>
            <w:tcW w:w="2625" w:type="dxa"/>
            <w:shd w:val="clear" w:color="auto" w:fill="auto"/>
            <w:vAlign w:val="bottom"/>
          </w:tcPr>
          <w:p w14:paraId="40923ADA" w14:textId="77777777" w:rsidR="00384FD1" w:rsidRPr="009D38D3" w:rsidRDefault="00384FD1" w:rsidP="00F0291B">
            <w:pPr>
              <w:rPr>
                <w:sz w:val="16"/>
                <w:szCs w:val="16"/>
              </w:rPr>
            </w:pPr>
          </w:p>
        </w:tc>
        <w:tc>
          <w:tcPr>
            <w:tcW w:w="3975" w:type="dxa"/>
            <w:shd w:val="clear" w:color="auto" w:fill="auto"/>
            <w:vAlign w:val="bottom"/>
            <w:hideMark/>
          </w:tcPr>
          <w:p w14:paraId="44E89144" w14:textId="77777777" w:rsidR="00384FD1" w:rsidRPr="009D38D3" w:rsidRDefault="00384FD1" w:rsidP="00F0291B">
            <w:pPr>
              <w:jc w:val="both"/>
              <w:rPr>
                <w:sz w:val="16"/>
                <w:szCs w:val="16"/>
              </w:rPr>
            </w:pPr>
          </w:p>
        </w:tc>
        <w:tc>
          <w:tcPr>
            <w:tcW w:w="1113" w:type="dxa"/>
            <w:shd w:val="clear" w:color="auto" w:fill="auto"/>
            <w:vAlign w:val="bottom"/>
            <w:hideMark/>
          </w:tcPr>
          <w:p w14:paraId="2919AFE7" w14:textId="77777777" w:rsidR="00384FD1" w:rsidRPr="009D38D3" w:rsidRDefault="00384FD1" w:rsidP="00F0291B">
            <w:pPr>
              <w:autoSpaceDE w:val="0"/>
              <w:autoSpaceDN w:val="0"/>
              <w:jc w:val="right"/>
              <w:rPr>
                <w:sz w:val="16"/>
                <w:szCs w:val="16"/>
              </w:rPr>
            </w:pPr>
          </w:p>
        </w:tc>
      </w:tr>
      <w:tr w:rsidR="00384FD1" w:rsidRPr="009D38D3" w14:paraId="29695511" w14:textId="77777777" w:rsidTr="00F142CB">
        <w:trPr>
          <w:trHeight w:val="421"/>
        </w:trPr>
        <w:tc>
          <w:tcPr>
            <w:tcW w:w="2620" w:type="dxa"/>
            <w:shd w:val="clear" w:color="auto" w:fill="auto"/>
            <w:vAlign w:val="bottom"/>
          </w:tcPr>
          <w:p w14:paraId="4F2E172A" w14:textId="77777777" w:rsidR="00384FD1" w:rsidRPr="009D38D3" w:rsidRDefault="00384FD1" w:rsidP="00F0291B">
            <w:pPr>
              <w:rPr>
                <w:sz w:val="16"/>
                <w:szCs w:val="16"/>
              </w:rPr>
            </w:pPr>
            <w:r w:rsidRPr="009D38D3">
              <w:rPr>
                <w:sz w:val="16"/>
                <w:szCs w:val="16"/>
              </w:rPr>
              <w:t>Member of Board of Directors</w:t>
            </w:r>
          </w:p>
        </w:tc>
        <w:tc>
          <w:tcPr>
            <w:tcW w:w="2625" w:type="dxa"/>
            <w:shd w:val="clear" w:color="auto" w:fill="auto"/>
            <w:vAlign w:val="bottom"/>
          </w:tcPr>
          <w:p w14:paraId="363B74A2" w14:textId="77777777" w:rsidR="00384FD1" w:rsidRPr="009D38D3" w:rsidRDefault="00384FD1" w:rsidP="00F0291B">
            <w:pPr>
              <w:rPr>
                <w:sz w:val="16"/>
                <w:szCs w:val="16"/>
              </w:rPr>
            </w:pPr>
            <w:proofErr w:type="spellStart"/>
            <w:r w:rsidRPr="009D38D3">
              <w:rPr>
                <w:sz w:val="16"/>
                <w:szCs w:val="16"/>
              </w:rPr>
              <w:t>Ömer</w:t>
            </w:r>
            <w:proofErr w:type="spellEnd"/>
            <w:r w:rsidRPr="009D38D3">
              <w:rPr>
                <w:sz w:val="16"/>
                <w:szCs w:val="16"/>
              </w:rPr>
              <w:t xml:space="preserve"> </w:t>
            </w:r>
            <w:proofErr w:type="spellStart"/>
            <w:r w:rsidRPr="009D38D3">
              <w:rPr>
                <w:sz w:val="16"/>
                <w:szCs w:val="16"/>
              </w:rPr>
              <w:t>Hussain</w:t>
            </w:r>
            <w:proofErr w:type="spellEnd"/>
            <w:r w:rsidRPr="009D38D3">
              <w:rPr>
                <w:sz w:val="16"/>
                <w:szCs w:val="16"/>
              </w:rPr>
              <w:t xml:space="preserve"> I H Al-</w:t>
            </w:r>
            <w:proofErr w:type="spellStart"/>
            <w:r w:rsidRPr="009D38D3">
              <w:rPr>
                <w:sz w:val="16"/>
                <w:szCs w:val="16"/>
              </w:rPr>
              <w:t>Fardan</w:t>
            </w:r>
            <w:proofErr w:type="spellEnd"/>
          </w:p>
        </w:tc>
        <w:tc>
          <w:tcPr>
            <w:tcW w:w="3975" w:type="dxa"/>
            <w:shd w:val="clear" w:color="auto" w:fill="auto"/>
            <w:vAlign w:val="bottom"/>
            <w:hideMark/>
          </w:tcPr>
          <w:p w14:paraId="30A3BF99" w14:textId="77777777" w:rsidR="00793DEE" w:rsidRDefault="00384FD1" w:rsidP="00F0291B">
            <w:pPr>
              <w:jc w:val="both"/>
              <w:rPr>
                <w:sz w:val="16"/>
                <w:szCs w:val="16"/>
              </w:rPr>
            </w:pPr>
            <w:r w:rsidRPr="009D38D3">
              <w:rPr>
                <w:sz w:val="16"/>
                <w:szCs w:val="16"/>
              </w:rPr>
              <w:t xml:space="preserve">Vice Chairman and </w:t>
            </w:r>
          </w:p>
          <w:p w14:paraId="21F6448B" w14:textId="14FA1811" w:rsidR="00384FD1" w:rsidRPr="009D38D3" w:rsidRDefault="00384FD1" w:rsidP="00F0291B">
            <w:pPr>
              <w:jc w:val="both"/>
              <w:rPr>
                <w:color w:val="000000"/>
                <w:sz w:val="16"/>
                <w:szCs w:val="16"/>
              </w:rPr>
            </w:pPr>
            <w:r w:rsidRPr="009D38D3">
              <w:rPr>
                <w:sz w:val="16"/>
                <w:szCs w:val="16"/>
              </w:rPr>
              <w:t>Chairman of the Executive Committee of the Board</w:t>
            </w:r>
          </w:p>
        </w:tc>
        <w:tc>
          <w:tcPr>
            <w:tcW w:w="1113" w:type="dxa"/>
            <w:shd w:val="clear" w:color="auto" w:fill="auto"/>
            <w:vAlign w:val="bottom"/>
            <w:hideMark/>
          </w:tcPr>
          <w:p w14:paraId="7FB04C3A"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4457EC73" w14:textId="77777777" w:rsidTr="00F142CB">
        <w:trPr>
          <w:trHeight w:val="226"/>
        </w:trPr>
        <w:tc>
          <w:tcPr>
            <w:tcW w:w="2620" w:type="dxa"/>
            <w:shd w:val="clear" w:color="auto" w:fill="auto"/>
            <w:vAlign w:val="bottom"/>
          </w:tcPr>
          <w:p w14:paraId="48F13ABA" w14:textId="77777777" w:rsidR="00384FD1" w:rsidRPr="009D38D3" w:rsidRDefault="00384FD1" w:rsidP="00F0291B">
            <w:pPr>
              <w:rPr>
                <w:sz w:val="16"/>
                <w:szCs w:val="16"/>
              </w:rPr>
            </w:pPr>
          </w:p>
        </w:tc>
        <w:tc>
          <w:tcPr>
            <w:tcW w:w="2625" w:type="dxa"/>
            <w:shd w:val="clear" w:color="auto" w:fill="auto"/>
            <w:vAlign w:val="bottom"/>
          </w:tcPr>
          <w:p w14:paraId="6966CB55" w14:textId="77777777" w:rsidR="00384FD1" w:rsidRPr="009D38D3" w:rsidRDefault="00384FD1" w:rsidP="00F0291B">
            <w:pPr>
              <w:rPr>
                <w:sz w:val="16"/>
                <w:szCs w:val="16"/>
              </w:rPr>
            </w:pPr>
            <w:proofErr w:type="spellStart"/>
            <w:r w:rsidRPr="009D38D3">
              <w:rPr>
                <w:sz w:val="16"/>
                <w:szCs w:val="16"/>
              </w:rPr>
              <w:t>Fahad</w:t>
            </w:r>
            <w:proofErr w:type="spellEnd"/>
            <w:r w:rsidRPr="009D38D3">
              <w:rPr>
                <w:sz w:val="16"/>
                <w:szCs w:val="16"/>
              </w:rPr>
              <w:t xml:space="preserve"> </w:t>
            </w:r>
            <w:proofErr w:type="spellStart"/>
            <w:r w:rsidRPr="009D38D3">
              <w:rPr>
                <w:sz w:val="16"/>
                <w:szCs w:val="16"/>
              </w:rPr>
              <w:t>Abdulrahman</w:t>
            </w:r>
            <w:proofErr w:type="spellEnd"/>
            <w:r w:rsidRPr="009D38D3">
              <w:rPr>
                <w:sz w:val="16"/>
                <w:szCs w:val="16"/>
              </w:rPr>
              <w:t xml:space="preserve"> </w:t>
            </w:r>
            <w:proofErr w:type="spellStart"/>
            <w:r w:rsidRPr="009D38D3">
              <w:rPr>
                <w:sz w:val="16"/>
                <w:szCs w:val="16"/>
              </w:rPr>
              <w:t>Badar</w:t>
            </w:r>
            <w:proofErr w:type="spellEnd"/>
          </w:p>
        </w:tc>
        <w:tc>
          <w:tcPr>
            <w:tcW w:w="3975" w:type="dxa"/>
            <w:shd w:val="clear" w:color="auto" w:fill="auto"/>
            <w:vAlign w:val="bottom"/>
            <w:hideMark/>
          </w:tcPr>
          <w:p w14:paraId="27936CF3" w14:textId="77777777" w:rsidR="00384FD1" w:rsidRPr="009D38D3" w:rsidRDefault="00384FD1" w:rsidP="00F0291B">
            <w:pPr>
              <w:jc w:val="both"/>
              <w:rPr>
                <w:color w:val="000000"/>
                <w:sz w:val="16"/>
                <w:szCs w:val="16"/>
              </w:rPr>
            </w:pPr>
            <w:r w:rsidRPr="009D38D3">
              <w:rPr>
                <w:sz w:val="16"/>
                <w:szCs w:val="16"/>
              </w:rPr>
              <w:t>Member of the Credit Committee</w:t>
            </w:r>
          </w:p>
        </w:tc>
        <w:tc>
          <w:tcPr>
            <w:tcW w:w="1113" w:type="dxa"/>
            <w:shd w:val="clear" w:color="auto" w:fill="auto"/>
            <w:vAlign w:val="bottom"/>
            <w:hideMark/>
          </w:tcPr>
          <w:p w14:paraId="5DC75D6C"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37BBCD8E" w14:textId="77777777" w:rsidTr="00F142CB">
        <w:trPr>
          <w:trHeight w:val="315"/>
        </w:trPr>
        <w:tc>
          <w:tcPr>
            <w:tcW w:w="2620" w:type="dxa"/>
            <w:shd w:val="clear" w:color="auto" w:fill="auto"/>
            <w:vAlign w:val="bottom"/>
          </w:tcPr>
          <w:p w14:paraId="7C16C70C" w14:textId="77777777" w:rsidR="00384FD1" w:rsidRPr="009D38D3" w:rsidRDefault="00384FD1" w:rsidP="00F0291B">
            <w:pPr>
              <w:rPr>
                <w:sz w:val="16"/>
                <w:szCs w:val="16"/>
              </w:rPr>
            </w:pPr>
          </w:p>
        </w:tc>
        <w:tc>
          <w:tcPr>
            <w:tcW w:w="2625" w:type="dxa"/>
            <w:shd w:val="clear" w:color="auto" w:fill="auto"/>
            <w:vAlign w:val="bottom"/>
          </w:tcPr>
          <w:p w14:paraId="10DF1E4F" w14:textId="77777777" w:rsidR="00384FD1" w:rsidRPr="009D38D3" w:rsidRDefault="00384FD1" w:rsidP="00F0291B">
            <w:pPr>
              <w:rPr>
                <w:sz w:val="16"/>
                <w:szCs w:val="16"/>
              </w:rPr>
            </w:pPr>
            <w:r w:rsidRPr="009D38D3">
              <w:rPr>
                <w:sz w:val="16"/>
                <w:szCs w:val="16"/>
              </w:rPr>
              <w:t>Nicholas Charles Coleman</w:t>
            </w:r>
          </w:p>
        </w:tc>
        <w:tc>
          <w:tcPr>
            <w:tcW w:w="3975" w:type="dxa"/>
            <w:shd w:val="clear" w:color="auto" w:fill="auto"/>
            <w:vAlign w:val="bottom"/>
            <w:hideMark/>
          </w:tcPr>
          <w:p w14:paraId="5A9A756B" w14:textId="77777777" w:rsidR="00384FD1" w:rsidRPr="009D38D3" w:rsidRDefault="00384FD1" w:rsidP="00B623B1">
            <w:pPr>
              <w:jc w:val="both"/>
              <w:rPr>
                <w:color w:val="000000"/>
                <w:sz w:val="16"/>
                <w:szCs w:val="16"/>
              </w:rPr>
            </w:pPr>
            <w:r w:rsidRPr="009D38D3">
              <w:rPr>
                <w:sz w:val="16"/>
                <w:szCs w:val="16"/>
              </w:rPr>
              <w:t>Member of the Audit Committee and Risk Committee</w:t>
            </w:r>
          </w:p>
        </w:tc>
        <w:tc>
          <w:tcPr>
            <w:tcW w:w="1113" w:type="dxa"/>
            <w:shd w:val="clear" w:color="auto" w:fill="auto"/>
            <w:vAlign w:val="bottom"/>
            <w:hideMark/>
          </w:tcPr>
          <w:p w14:paraId="729776F7"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49A36415" w14:textId="77777777" w:rsidTr="00F142CB">
        <w:trPr>
          <w:trHeight w:val="227"/>
        </w:trPr>
        <w:tc>
          <w:tcPr>
            <w:tcW w:w="2620" w:type="dxa"/>
            <w:shd w:val="clear" w:color="auto" w:fill="auto"/>
            <w:vAlign w:val="bottom"/>
          </w:tcPr>
          <w:p w14:paraId="3AC982C0" w14:textId="77777777" w:rsidR="00384FD1" w:rsidRPr="009D38D3" w:rsidRDefault="00384FD1" w:rsidP="00F0291B">
            <w:pPr>
              <w:rPr>
                <w:sz w:val="16"/>
                <w:szCs w:val="16"/>
              </w:rPr>
            </w:pPr>
          </w:p>
        </w:tc>
        <w:tc>
          <w:tcPr>
            <w:tcW w:w="2625" w:type="dxa"/>
            <w:shd w:val="clear" w:color="auto" w:fill="auto"/>
            <w:vAlign w:val="bottom"/>
          </w:tcPr>
          <w:p w14:paraId="5FA9C223" w14:textId="77777777" w:rsidR="00384FD1" w:rsidRPr="009D38D3" w:rsidRDefault="00384FD1" w:rsidP="00F0291B">
            <w:pPr>
              <w:rPr>
                <w:sz w:val="16"/>
                <w:szCs w:val="16"/>
              </w:rPr>
            </w:pPr>
            <w:proofErr w:type="spellStart"/>
            <w:r w:rsidRPr="009D38D3">
              <w:rPr>
                <w:sz w:val="16"/>
                <w:szCs w:val="16"/>
              </w:rPr>
              <w:t>Didem</w:t>
            </w:r>
            <w:proofErr w:type="spellEnd"/>
            <w:r w:rsidRPr="009D38D3">
              <w:rPr>
                <w:sz w:val="16"/>
                <w:szCs w:val="16"/>
              </w:rPr>
              <w:t xml:space="preserve"> </w:t>
            </w:r>
            <w:proofErr w:type="spellStart"/>
            <w:r w:rsidRPr="009D38D3">
              <w:rPr>
                <w:sz w:val="16"/>
                <w:szCs w:val="16"/>
              </w:rPr>
              <w:t>Çerçi</w:t>
            </w:r>
            <w:proofErr w:type="spellEnd"/>
          </w:p>
        </w:tc>
        <w:tc>
          <w:tcPr>
            <w:tcW w:w="3975" w:type="dxa"/>
            <w:shd w:val="clear" w:color="auto" w:fill="auto"/>
            <w:vAlign w:val="bottom"/>
            <w:hideMark/>
          </w:tcPr>
          <w:p w14:paraId="193B86E8" w14:textId="77777777" w:rsidR="00793DEE" w:rsidRDefault="00384FD1" w:rsidP="00B623B1">
            <w:pPr>
              <w:jc w:val="both"/>
              <w:rPr>
                <w:sz w:val="16"/>
                <w:szCs w:val="16"/>
              </w:rPr>
            </w:pPr>
            <w:r w:rsidRPr="009D38D3">
              <w:rPr>
                <w:sz w:val="16"/>
                <w:szCs w:val="16"/>
              </w:rPr>
              <w:t xml:space="preserve">Chairman of the Remuneration Committee, </w:t>
            </w:r>
          </w:p>
          <w:p w14:paraId="0E899002" w14:textId="1BB32C94" w:rsidR="00384FD1" w:rsidRPr="009D38D3" w:rsidRDefault="00384FD1" w:rsidP="00B623B1">
            <w:pPr>
              <w:jc w:val="both"/>
              <w:rPr>
                <w:sz w:val="16"/>
                <w:szCs w:val="16"/>
              </w:rPr>
            </w:pPr>
            <w:r w:rsidRPr="009D38D3">
              <w:rPr>
                <w:sz w:val="16"/>
                <w:szCs w:val="16"/>
              </w:rPr>
              <w:t>Member of the Risk Committee and the Credit Committee</w:t>
            </w:r>
          </w:p>
        </w:tc>
        <w:tc>
          <w:tcPr>
            <w:tcW w:w="1113" w:type="dxa"/>
            <w:shd w:val="clear" w:color="auto" w:fill="auto"/>
            <w:vAlign w:val="bottom"/>
            <w:hideMark/>
          </w:tcPr>
          <w:p w14:paraId="4E6667A8"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0C5E0DAC" w14:textId="77777777" w:rsidTr="00F142CB">
        <w:trPr>
          <w:trHeight w:val="450"/>
        </w:trPr>
        <w:tc>
          <w:tcPr>
            <w:tcW w:w="2620" w:type="dxa"/>
            <w:shd w:val="clear" w:color="auto" w:fill="auto"/>
            <w:vAlign w:val="bottom"/>
          </w:tcPr>
          <w:p w14:paraId="1C43617B" w14:textId="77777777" w:rsidR="00384FD1" w:rsidRPr="009D38D3" w:rsidRDefault="00384FD1" w:rsidP="00F0291B">
            <w:pPr>
              <w:rPr>
                <w:sz w:val="16"/>
                <w:szCs w:val="16"/>
              </w:rPr>
            </w:pPr>
          </w:p>
        </w:tc>
        <w:tc>
          <w:tcPr>
            <w:tcW w:w="2625" w:type="dxa"/>
            <w:shd w:val="clear" w:color="auto" w:fill="auto"/>
            <w:vAlign w:val="bottom"/>
          </w:tcPr>
          <w:p w14:paraId="5FFF7C14" w14:textId="77777777" w:rsidR="00384FD1" w:rsidRPr="009D38D3" w:rsidRDefault="00384FD1" w:rsidP="00F0291B">
            <w:pPr>
              <w:rPr>
                <w:sz w:val="16"/>
                <w:szCs w:val="16"/>
              </w:rPr>
            </w:pPr>
            <w:proofErr w:type="spellStart"/>
            <w:r w:rsidRPr="009D38D3">
              <w:rPr>
                <w:sz w:val="16"/>
                <w:szCs w:val="16"/>
              </w:rPr>
              <w:t>İzzat</w:t>
            </w:r>
            <w:proofErr w:type="spellEnd"/>
            <w:r w:rsidRPr="009D38D3">
              <w:rPr>
                <w:sz w:val="16"/>
                <w:szCs w:val="16"/>
              </w:rPr>
              <w:t xml:space="preserve"> </w:t>
            </w:r>
            <w:proofErr w:type="spellStart"/>
            <w:r w:rsidRPr="009D38D3">
              <w:rPr>
                <w:sz w:val="16"/>
                <w:szCs w:val="16"/>
              </w:rPr>
              <w:t>Dajani</w:t>
            </w:r>
            <w:proofErr w:type="spellEnd"/>
          </w:p>
        </w:tc>
        <w:tc>
          <w:tcPr>
            <w:tcW w:w="3975" w:type="dxa"/>
            <w:shd w:val="clear" w:color="auto" w:fill="auto"/>
            <w:vAlign w:val="bottom"/>
            <w:hideMark/>
          </w:tcPr>
          <w:p w14:paraId="674807A5" w14:textId="12852E41" w:rsidR="00384FD1" w:rsidRPr="009D38D3" w:rsidRDefault="00384FD1" w:rsidP="00793DEE">
            <w:pPr>
              <w:jc w:val="both"/>
              <w:rPr>
                <w:sz w:val="16"/>
                <w:szCs w:val="16"/>
              </w:rPr>
            </w:pPr>
            <w:r w:rsidRPr="009D38D3">
              <w:rPr>
                <w:sz w:val="16"/>
                <w:szCs w:val="16"/>
              </w:rPr>
              <w:t>Chairman of the Corporate Governance Committee</w:t>
            </w:r>
            <w:r w:rsidR="00793DEE">
              <w:rPr>
                <w:sz w:val="16"/>
                <w:szCs w:val="16"/>
              </w:rPr>
              <w:t>,</w:t>
            </w:r>
            <w:r w:rsidRPr="009D38D3">
              <w:rPr>
                <w:sz w:val="16"/>
                <w:szCs w:val="16"/>
              </w:rPr>
              <w:t xml:space="preserve"> Member of Risk Committee</w:t>
            </w:r>
          </w:p>
        </w:tc>
        <w:tc>
          <w:tcPr>
            <w:tcW w:w="1113" w:type="dxa"/>
            <w:shd w:val="clear" w:color="auto" w:fill="auto"/>
            <w:vAlign w:val="bottom"/>
            <w:hideMark/>
          </w:tcPr>
          <w:p w14:paraId="515A32DC"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0E43B32D" w14:textId="77777777" w:rsidTr="00F142CB">
        <w:trPr>
          <w:trHeight w:val="227"/>
        </w:trPr>
        <w:tc>
          <w:tcPr>
            <w:tcW w:w="2620" w:type="dxa"/>
            <w:shd w:val="clear" w:color="auto" w:fill="auto"/>
            <w:vAlign w:val="bottom"/>
          </w:tcPr>
          <w:p w14:paraId="0F3F3A9B" w14:textId="77777777" w:rsidR="00384FD1" w:rsidRPr="009D38D3" w:rsidRDefault="00384FD1" w:rsidP="00F0291B">
            <w:pPr>
              <w:rPr>
                <w:sz w:val="16"/>
                <w:szCs w:val="16"/>
              </w:rPr>
            </w:pPr>
          </w:p>
        </w:tc>
        <w:tc>
          <w:tcPr>
            <w:tcW w:w="2625" w:type="dxa"/>
            <w:shd w:val="clear" w:color="auto" w:fill="auto"/>
            <w:vAlign w:val="bottom"/>
          </w:tcPr>
          <w:p w14:paraId="07B80BDA" w14:textId="77777777" w:rsidR="00384FD1" w:rsidRPr="009D38D3" w:rsidRDefault="00384FD1" w:rsidP="00F0291B">
            <w:pPr>
              <w:rPr>
                <w:sz w:val="16"/>
                <w:szCs w:val="16"/>
              </w:rPr>
            </w:pPr>
            <w:proofErr w:type="spellStart"/>
            <w:r w:rsidRPr="009D38D3">
              <w:rPr>
                <w:sz w:val="16"/>
                <w:szCs w:val="16"/>
              </w:rPr>
              <w:t>Mohd</w:t>
            </w:r>
            <w:proofErr w:type="spellEnd"/>
            <w:r w:rsidRPr="009D38D3">
              <w:rPr>
                <w:sz w:val="16"/>
                <w:szCs w:val="16"/>
              </w:rPr>
              <w:t xml:space="preserve"> İsmail M </w:t>
            </w:r>
            <w:proofErr w:type="spellStart"/>
            <w:r w:rsidRPr="009D38D3">
              <w:rPr>
                <w:sz w:val="16"/>
                <w:szCs w:val="16"/>
              </w:rPr>
              <w:t>Mandani</w:t>
            </w:r>
            <w:proofErr w:type="spellEnd"/>
            <w:r w:rsidRPr="009D38D3">
              <w:rPr>
                <w:sz w:val="16"/>
                <w:szCs w:val="16"/>
              </w:rPr>
              <w:t xml:space="preserve"> Al-</w:t>
            </w:r>
            <w:proofErr w:type="spellStart"/>
            <w:r w:rsidRPr="009D38D3">
              <w:rPr>
                <w:sz w:val="16"/>
                <w:szCs w:val="16"/>
              </w:rPr>
              <w:t>Emadi</w:t>
            </w:r>
            <w:proofErr w:type="spellEnd"/>
          </w:p>
        </w:tc>
        <w:tc>
          <w:tcPr>
            <w:tcW w:w="3975" w:type="dxa"/>
            <w:shd w:val="clear" w:color="auto" w:fill="auto"/>
            <w:vAlign w:val="bottom"/>
            <w:hideMark/>
          </w:tcPr>
          <w:p w14:paraId="3AAB5EDF" w14:textId="77777777" w:rsidR="00384FD1" w:rsidRPr="009D38D3" w:rsidRDefault="00384FD1" w:rsidP="00B623B1">
            <w:pPr>
              <w:jc w:val="both"/>
              <w:rPr>
                <w:sz w:val="16"/>
                <w:szCs w:val="16"/>
              </w:rPr>
            </w:pPr>
            <w:r w:rsidRPr="009D38D3">
              <w:rPr>
                <w:sz w:val="16"/>
                <w:szCs w:val="16"/>
              </w:rPr>
              <w:t xml:space="preserve">Chairman of </w:t>
            </w:r>
            <w:r w:rsidR="00CB5630" w:rsidRPr="009D38D3">
              <w:rPr>
                <w:sz w:val="16"/>
                <w:szCs w:val="16"/>
              </w:rPr>
              <w:t xml:space="preserve">the </w:t>
            </w:r>
            <w:r w:rsidRPr="009D38D3">
              <w:rPr>
                <w:sz w:val="16"/>
                <w:szCs w:val="16"/>
              </w:rPr>
              <w:t>Risk Committee</w:t>
            </w:r>
          </w:p>
        </w:tc>
        <w:tc>
          <w:tcPr>
            <w:tcW w:w="1113" w:type="dxa"/>
            <w:shd w:val="clear" w:color="auto" w:fill="auto"/>
            <w:vAlign w:val="bottom"/>
            <w:hideMark/>
          </w:tcPr>
          <w:p w14:paraId="5B635F16"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1EE1BF4A" w14:textId="77777777" w:rsidTr="00F142CB">
        <w:trPr>
          <w:trHeight w:val="284"/>
        </w:trPr>
        <w:tc>
          <w:tcPr>
            <w:tcW w:w="2620" w:type="dxa"/>
            <w:shd w:val="clear" w:color="auto" w:fill="auto"/>
            <w:vAlign w:val="bottom"/>
          </w:tcPr>
          <w:p w14:paraId="563D7334" w14:textId="77777777" w:rsidR="00384FD1" w:rsidRPr="009D38D3" w:rsidRDefault="00384FD1" w:rsidP="00F0291B">
            <w:pPr>
              <w:rPr>
                <w:sz w:val="16"/>
                <w:szCs w:val="16"/>
              </w:rPr>
            </w:pPr>
          </w:p>
        </w:tc>
        <w:tc>
          <w:tcPr>
            <w:tcW w:w="2625" w:type="dxa"/>
            <w:shd w:val="clear" w:color="auto" w:fill="auto"/>
            <w:vAlign w:val="bottom"/>
          </w:tcPr>
          <w:p w14:paraId="0E797207" w14:textId="77777777" w:rsidR="00384FD1" w:rsidRPr="009D38D3" w:rsidRDefault="00384FD1" w:rsidP="00F0291B">
            <w:pPr>
              <w:rPr>
                <w:sz w:val="16"/>
                <w:szCs w:val="16"/>
              </w:rPr>
            </w:pPr>
            <w:proofErr w:type="spellStart"/>
            <w:r w:rsidRPr="009D38D3">
              <w:rPr>
                <w:sz w:val="16"/>
                <w:szCs w:val="16"/>
              </w:rPr>
              <w:t>Bahattin</w:t>
            </w:r>
            <w:proofErr w:type="spellEnd"/>
            <w:r w:rsidRPr="009D38D3">
              <w:rPr>
                <w:sz w:val="16"/>
                <w:szCs w:val="16"/>
              </w:rPr>
              <w:t xml:space="preserve"> </w:t>
            </w:r>
            <w:proofErr w:type="spellStart"/>
            <w:r w:rsidRPr="009D38D3">
              <w:rPr>
                <w:sz w:val="16"/>
                <w:szCs w:val="16"/>
              </w:rPr>
              <w:t>Gürbüz</w:t>
            </w:r>
            <w:proofErr w:type="spellEnd"/>
          </w:p>
        </w:tc>
        <w:tc>
          <w:tcPr>
            <w:tcW w:w="3975" w:type="dxa"/>
            <w:shd w:val="clear" w:color="auto" w:fill="auto"/>
            <w:vAlign w:val="bottom"/>
            <w:hideMark/>
          </w:tcPr>
          <w:p w14:paraId="64182BBD" w14:textId="77777777" w:rsidR="00384FD1" w:rsidRPr="009D38D3" w:rsidRDefault="00384FD1" w:rsidP="00F0291B">
            <w:pPr>
              <w:jc w:val="both"/>
              <w:rPr>
                <w:sz w:val="16"/>
                <w:szCs w:val="16"/>
              </w:rPr>
            </w:pPr>
            <w:r w:rsidRPr="009D38D3">
              <w:rPr>
                <w:sz w:val="16"/>
                <w:szCs w:val="16"/>
              </w:rPr>
              <w:t>Chairman of the Credit Committee</w:t>
            </w:r>
          </w:p>
        </w:tc>
        <w:tc>
          <w:tcPr>
            <w:tcW w:w="1113" w:type="dxa"/>
            <w:shd w:val="clear" w:color="auto" w:fill="auto"/>
            <w:vAlign w:val="bottom"/>
            <w:hideMark/>
          </w:tcPr>
          <w:p w14:paraId="0E52F084"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12CBB40D" w14:textId="77777777" w:rsidTr="00F142CB">
        <w:trPr>
          <w:trHeight w:val="284"/>
        </w:trPr>
        <w:tc>
          <w:tcPr>
            <w:tcW w:w="2620" w:type="dxa"/>
            <w:shd w:val="clear" w:color="auto" w:fill="auto"/>
            <w:vAlign w:val="bottom"/>
          </w:tcPr>
          <w:p w14:paraId="55742A5C" w14:textId="77777777" w:rsidR="00384FD1" w:rsidRPr="009D38D3" w:rsidRDefault="00384FD1" w:rsidP="00F0291B">
            <w:pPr>
              <w:rPr>
                <w:sz w:val="16"/>
                <w:szCs w:val="16"/>
              </w:rPr>
            </w:pPr>
          </w:p>
        </w:tc>
        <w:tc>
          <w:tcPr>
            <w:tcW w:w="2625" w:type="dxa"/>
            <w:shd w:val="clear" w:color="auto" w:fill="auto"/>
            <w:vAlign w:val="bottom"/>
          </w:tcPr>
          <w:p w14:paraId="6489F944" w14:textId="77777777" w:rsidR="00384FD1" w:rsidRPr="009D38D3" w:rsidRDefault="00384FD1" w:rsidP="00F0291B">
            <w:pPr>
              <w:rPr>
                <w:sz w:val="16"/>
                <w:szCs w:val="16"/>
              </w:rPr>
            </w:pPr>
            <w:proofErr w:type="spellStart"/>
            <w:r w:rsidRPr="009D38D3">
              <w:rPr>
                <w:sz w:val="16"/>
                <w:szCs w:val="16"/>
              </w:rPr>
              <w:t>İpek</w:t>
            </w:r>
            <w:proofErr w:type="spellEnd"/>
            <w:r w:rsidRPr="009D38D3">
              <w:rPr>
                <w:sz w:val="16"/>
                <w:szCs w:val="16"/>
              </w:rPr>
              <w:t xml:space="preserve"> </w:t>
            </w:r>
            <w:proofErr w:type="spellStart"/>
            <w:r w:rsidRPr="009D38D3">
              <w:rPr>
                <w:sz w:val="16"/>
                <w:szCs w:val="16"/>
              </w:rPr>
              <w:t>Nezahat</w:t>
            </w:r>
            <w:proofErr w:type="spellEnd"/>
            <w:r w:rsidRPr="009D38D3">
              <w:rPr>
                <w:sz w:val="16"/>
                <w:szCs w:val="16"/>
              </w:rPr>
              <w:t xml:space="preserve"> </w:t>
            </w:r>
            <w:proofErr w:type="spellStart"/>
            <w:r w:rsidRPr="009D38D3">
              <w:rPr>
                <w:sz w:val="16"/>
                <w:szCs w:val="16"/>
              </w:rPr>
              <w:t>Özkan</w:t>
            </w:r>
            <w:proofErr w:type="spellEnd"/>
          </w:p>
        </w:tc>
        <w:tc>
          <w:tcPr>
            <w:tcW w:w="3975" w:type="dxa"/>
            <w:shd w:val="clear" w:color="auto" w:fill="auto"/>
            <w:vAlign w:val="bottom"/>
            <w:hideMark/>
          </w:tcPr>
          <w:p w14:paraId="1C2C8A7C" w14:textId="77777777" w:rsidR="00384FD1" w:rsidRPr="009D38D3" w:rsidRDefault="00384FD1" w:rsidP="00F0291B">
            <w:pPr>
              <w:jc w:val="both"/>
              <w:rPr>
                <w:sz w:val="16"/>
                <w:szCs w:val="16"/>
              </w:rPr>
            </w:pPr>
            <w:r w:rsidRPr="009D38D3">
              <w:rPr>
                <w:sz w:val="16"/>
                <w:szCs w:val="16"/>
              </w:rPr>
              <w:t>Member of the Audit Committee, the Corporate Governance Committee and Executive Committee of the Board and Alternate Member of the Credit Committee</w:t>
            </w:r>
          </w:p>
        </w:tc>
        <w:tc>
          <w:tcPr>
            <w:tcW w:w="1113" w:type="dxa"/>
            <w:shd w:val="clear" w:color="auto" w:fill="auto"/>
            <w:vAlign w:val="bottom"/>
            <w:hideMark/>
          </w:tcPr>
          <w:p w14:paraId="73C97649"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4303FEF3" w14:textId="77777777" w:rsidTr="00F142CB">
        <w:trPr>
          <w:trHeight w:val="407"/>
        </w:trPr>
        <w:tc>
          <w:tcPr>
            <w:tcW w:w="2620" w:type="dxa"/>
            <w:shd w:val="clear" w:color="auto" w:fill="auto"/>
            <w:vAlign w:val="bottom"/>
          </w:tcPr>
          <w:p w14:paraId="2BC70EFF" w14:textId="77777777" w:rsidR="00384FD1" w:rsidRPr="009D38D3" w:rsidRDefault="00384FD1" w:rsidP="00F0291B">
            <w:pPr>
              <w:rPr>
                <w:sz w:val="16"/>
                <w:szCs w:val="16"/>
              </w:rPr>
            </w:pPr>
          </w:p>
        </w:tc>
        <w:tc>
          <w:tcPr>
            <w:tcW w:w="2625" w:type="dxa"/>
            <w:shd w:val="clear" w:color="auto" w:fill="auto"/>
            <w:vAlign w:val="bottom"/>
          </w:tcPr>
          <w:p w14:paraId="0E970FED" w14:textId="77777777" w:rsidR="00384FD1" w:rsidRPr="009D38D3" w:rsidRDefault="00384FD1" w:rsidP="00F0291B">
            <w:pPr>
              <w:rPr>
                <w:sz w:val="16"/>
                <w:szCs w:val="16"/>
              </w:rPr>
            </w:pPr>
            <w:r w:rsidRPr="009D38D3">
              <w:rPr>
                <w:sz w:val="16"/>
                <w:szCs w:val="16"/>
              </w:rPr>
              <w:t xml:space="preserve">Kemal </w:t>
            </w:r>
            <w:proofErr w:type="spellStart"/>
            <w:r w:rsidRPr="009D38D3">
              <w:rPr>
                <w:sz w:val="16"/>
                <w:szCs w:val="16"/>
              </w:rPr>
              <w:t>Semerciler</w:t>
            </w:r>
            <w:proofErr w:type="spellEnd"/>
          </w:p>
        </w:tc>
        <w:tc>
          <w:tcPr>
            <w:tcW w:w="3975" w:type="dxa"/>
            <w:shd w:val="clear" w:color="auto" w:fill="auto"/>
            <w:vAlign w:val="bottom"/>
            <w:hideMark/>
          </w:tcPr>
          <w:p w14:paraId="071124E7" w14:textId="77777777" w:rsidR="00793DEE" w:rsidRDefault="00793DEE" w:rsidP="00793DEE">
            <w:pPr>
              <w:jc w:val="both"/>
              <w:rPr>
                <w:sz w:val="16"/>
                <w:szCs w:val="16"/>
              </w:rPr>
            </w:pPr>
            <w:r>
              <w:rPr>
                <w:sz w:val="16"/>
                <w:szCs w:val="16"/>
              </w:rPr>
              <w:t>Chairman of the Audit Committee,</w:t>
            </w:r>
          </w:p>
          <w:p w14:paraId="544AAEEB" w14:textId="1C9E7C3E" w:rsidR="00384FD1" w:rsidRPr="009D38D3" w:rsidRDefault="00384FD1" w:rsidP="00793DEE">
            <w:pPr>
              <w:jc w:val="both"/>
              <w:rPr>
                <w:sz w:val="16"/>
                <w:szCs w:val="16"/>
              </w:rPr>
            </w:pPr>
            <w:r w:rsidRPr="009D38D3">
              <w:rPr>
                <w:sz w:val="16"/>
                <w:szCs w:val="16"/>
              </w:rPr>
              <w:t>Member of the Corporate Governance Committee</w:t>
            </w:r>
          </w:p>
        </w:tc>
        <w:tc>
          <w:tcPr>
            <w:tcW w:w="1113" w:type="dxa"/>
            <w:shd w:val="clear" w:color="auto" w:fill="auto"/>
            <w:vAlign w:val="bottom"/>
            <w:hideMark/>
          </w:tcPr>
          <w:p w14:paraId="50255393"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24C0B602" w14:textId="77777777" w:rsidTr="00F142CB">
        <w:trPr>
          <w:trHeight w:val="227"/>
        </w:trPr>
        <w:tc>
          <w:tcPr>
            <w:tcW w:w="2620" w:type="dxa"/>
            <w:shd w:val="clear" w:color="auto" w:fill="auto"/>
            <w:vAlign w:val="bottom"/>
          </w:tcPr>
          <w:p w14:paraId="0B58943C" w14:textId="37C1653F" w:rsidR="00384FD1" w:rsidRPr="009D38D3" w:rsidRDefault="00384FD1" w:rsidP="00F0291B">
            <w:pPr>
              <w:rPr>
                <w:sz w:val="16"/>
                <w:szCs w:val="16"/>
              </w:rPr>
            </w:pPr>
          </w:p>
        </w:tc>
        <w:tc>
          <w:tcPr>
            <w:tcW w:w="2625" w:type="dxa"/>
            <w:shd w:val="clear" w:color="auto" w:fill="auto"/>
            <w:vAlign w:val="bottom"/>
          </w:tcPr>
          <w:p w14:paraId="603B811C" w14:textId="77777777" w:rsidR="00384FD1" w:rsidRPr="009D38D3" w:rsidRDefault="00384FD1" w:rsidP="00F0291B">
            <w:pPr>
              <w:rPr>
                <w:sz w:val="16"/>
                <w:szCs w:val="16"/>
              </w:rPr>
            </w:pPr>
            <w:r w:rsidRPr="009D38D3">
              <w:rPr>
                <w:sz w:val="16"/>
                <w:szCs w:val="16"/>
              </w:rPr>
              <w:t>Andrew Charles Stevens</w:t>
            </w:r>
          </w:p>
        </w:tc>
        <w:tc>
          <w:tcPr>
            <w:tcW w:w="3975" w:type="dxa"/>
            <w:shd w:val="clear" w:color="auto" w:fill="auto"/>
            <w:vAlign w:val="bottom"/>
            <w:hideMark/>
          </w:tcPr>
          <w:p w14:paraId="65D4FBAB" w14:textId="77777777" w:rsidR="00384FD1" w:rsidRPr="009D38D3" w:rsidRDefault="00384FD1" w:rsidP="00F0291B">
            <w:pPr>
              <w:jc w:val="both"/>
              <w:rPr>
                <w:sz w:val="16"/>
                <w:szCs w:val="16"/>
              </w:rPr>
            </w:pPr>
            <w:r w:rsidRPr="009D38D3">
              <w:rPr>
                <w:sz w:val="16"/>
                <w:szCs w:val="16"/>
              </w:rPr>
              <w:t>Member of the Remuneration Committee, the Credit Committee and the Executive Committee of the Board</w:t>
            </w:r>
          </w:p>
        </w:tc>
        <w:tc>
          <w:tcPr>
            <w:tcW w:w="1113" w:type="dxa"/>
            <w:shd w:val="clear" w:color="auto" w:fill="auto"/>
            <w:vAlign w:val="bottom"/>
            <w:hideMark/>
          </w:tcPr>
          <w:p w14:paraId="36C7A98F"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670E6981" w14:textId="77777777" w:rsidTr="00F142CB">
        <w:trPr>
          <w:trHeight w:val="227"/>
        </w:trPr>
        <w:tc>
          <w:tcPr>
            <w:tcW w:w="2620" w:type="dxa"/>
            <w:shd w:val="clear" w:color="auto" w:fill="auto"/>
            <w:vAlign w:val="bottom"/>
          </w:tcPr>
          <w:p w14:paraId="10132327" w14:textId="77777777" w:rsidR="00384FD1" w:rsidRPr="009D38D3" w:rsidRDefault="00384FD1" w:rsidP="00F0291B">
            <w:pPr>
              <w:rPr>
                <w:sz w:val="16"/>
                <w:szCs w:val="16"/>
              </w:rPr>
            </w:pPr>
          </w:p>
        </w:tc>
        <w:tc>
          <w:tcPr>
            <w:tcW w:w="2625" w:type="dxa"/>
            <w:shd w:val="clear" w:color="auto" w:fill="auto"/>
            <w:vAlign w:val="bottom"/>
          </w:tcPr>
          <w:p w14:paraId="49383A07" w14:textId="77777777" w:rsidR="00384FD1" w:rsidRPr="009D38D3" w:rsidRDefault="00384FD1" w:rsidP="00F0291B">
            <w:pPr>
              <w:rPr>
                <w:sz w:val="16"/>
                <w:szCs w:val="16"/>
              </w:rPr>
            </w:pPr>
            <w:r w:rsidRPr="009D38D3">
              <w:rPr>
                <w:sz w:val="16"/>
                <w:szCs w:val="16"/>
              </w:rPr>
              <w:t xml:space="preserve">Mehmet </w:t>
            </w:r>
            <w:proofErr w:type="spellStart"/>
            <w:r w:rsidRPr="009D38D3">
              <w:rPr>
                <w:sz w:val="16"/>
                <w:szCs w:val="16"/>
              </w:rPr>
              <w:t>Hurşit</w:t>
            </w:r>
            <w:proofErr w:type="spellEnd"/>
            <w:r w:rsidRPr="009D38D3">
              <w:rPr>
                <w:sz w:val="16"/>
                <w:szCs w:val="16"/>
              </w:rPr>
              <w:t xml:space="preserve"> </w:t>
            </w:r>
            <w:proofErr w:type="spellStart"/>
            <w:r w:rsidRPr="009D38D3">
              <w:rPr>
                <w:sz w:val="16"/>
                <w:szCs w:val="16"/>
              </w:rPr>
              <w:t>Zorlu</w:t>
            </w:r>
            <w:proofErr w:type="spellEnd"/>
          </w:p>
        </w:tc>
        <w:tc>
          <w:tcPr>
            <w:tcW w:w="3975" w:type="dxa"/>
            <w:shd w:val="clear" w:color="auto" w:fill="auto"/>
            <w:vAlign w:val="bottom"/>
            <w:hideMark/>
          </w:tcPr>
          <w:p w14:paraId="0D16F47D" w14:textId="77777777" w:rsidR="00384FD1" w:rsidRPr="009D38D3" w:rsidRDefault="00384FD1" w:rsidP="00B623B1">
            <w:pPr>
              <w:jc w:val="both"/>
              <w:rPr>
                <w:sz w:val="16"/>
                <w:szCs w:val="16"/>
              </w:rPr>
            </w:pPr>
            <w:r w:rsidRPr="009D38D3">
              <w:rPr>
                <w:sz w:val="16"/>
                <w:szCs w:val="16"/>
              </w:rPr>
              <w:t>Member of the Risk Committee, the Remuneration Committee and the Executive Committee of the Board and Alternate Member of the Credit Committee</w:t>
            </w:r>
          </w:p>
        </w:tc>
        <w:tc>
          <w:tcPr>
            <w:tcW w:w="1113" w:type="dxa"/>
            <w:shd w:val="clear" w:color="auto" w:fill="auto"/>
            <w:vAlign w:val="bottom"/>
            <w:hideMark/>
          </w:tcPr>
          <w:p w14:paraId="44AE2000"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2749AB72" w14:textId="77777777" w:rsidTr="00F142CB">
        <w:trPr>
          <w:trHeight w:val="227"/>
        </w:trPr>
        <w:tc>
          <w:tcPr>
            <w:tcW w:w="2620" w:type="dxa"/>
            <w:shd w:val="clear" w:color="auto" w:fill="auto"/>
            <w:vAlign w:val="bottom"/>
          </w:tcPr>
          <w:p w14:paraId="2EF25AF9" w14:textId="77777777" w:rsidR="00384FD1" w:rsidRPr="009D38D3" w:rsidRDefault="00384FD1" w:rsidP="00F0291B">
            <w:pPr>
              <w:rPr>
                <w:sz w:val="16"/>
                <w:szCs w:val="16"/>
              </w:rPr>
            </w:pPr>
          </w:p>
        </w:tc>
        <w:tc>
          <w:tcPr>
            <w:tcW w:w="2625" w:type="dxa"/>
            <w:shd w:val="clear" w:color="auto" w:fill="auto"/>
            <w:vAlign w:val="bottom"/>
          </w:tcPr>
          <w:p w14:paraId="2298C585" w14:textId="77777777" w:rsidR="00384FD1" w:rsidRPr="009D38D3" w:rsidRDefault="00384FD1" w:rsidP="00F0291B">
            <w:pPr>
              <w:rPr>
                <w:sz w:val="16"/>
                <w:szCs w:val="16"/>
              </w:rPr>
            </w:pPr>
          </w:p>
        </w:tc>
        <w:tc>
          <w:tcPr>
            <w:tcW w:w="3975" w:type="dxa"/>
            <w:shd w:val="clear" w:color="auto" w:fill="auto"/>
            <w:vAlign w:val="bottom"/>
            <w:hideMark/>
          </w:tcPr>
          <w:p w14:paraId="59DE4898" w14:textId="77777777" w:rsidR="00384FD1" w:rsidRPr="009D38D3" w:rsidRDefault="00384FD1" w:rsidP="00F0291B">
            <w:pPr>
              <w:jc w:val="both"/>
              <w:rPr>
                <w:sz w:val="16"/>
                <w:szCs w:val="16"/>
              </w:rPr>
            </w:pPr>
          </w:p>
        </w:tc>
        <w:tc>
          <w:tcPr>
            <w:tcW w:w="1113" w:type="dxa"/>
            <w:shd w:val="clear" w:color="auto" w:fill="auto"/>
            <w:vAlign w:val="bottom"/>
            <w:hideMark/>
          </w:tcPr>
          <w:p w14:paraId="3F93E1C9" w14:textId="77777777" w:rsidR="00384FD1" w:rsidRPr="009D38D3" w:rsidRDefault="00384FD1" w:rsidP="00F0291B">
            <w:pPr>
              <w:autoSpaceDE w:val="0"/>
              <w:autoSpaceDN w:val="0"/>
              <w:jc w:val="right"/>
              <w:rPr>
                <w:sz w:val="16"/>
                <w:szCs w:val="16"/>
              </w:rPr>
            </w:pPr>
          </w:p>
        </w:tc>
      </w:tr>
      <w:tr w:rsidR="00384FD1" w:rsidRPr="009D38D3" w14:paraId="06288DAF" w14:textId="77777777" w:rsidTr="00F142CB">
        <w:trPr>
          <w:trHeight w:val="227"/>
        </w:trPr>
        <w:tc>
          <w:tcPr>
            <w:tcW w:w="2620" w:type="dxa"/>
            <w:shd w:val="clear" w:color="auto" w:fill="auto"/>
            <w:vAlign w:val="bottom"/>
          </w:tcPr>
          <w:p w14:paraId="5042FC92" w14:textId="77777777" w:rsidR="00384FD1" w:rsidRPr="009D38D3" w:rsidRDefault="00384FD1" w:rsidP="00F0291B">
            <w:pPr>
              <w:rPr>
                <w:sz w:val="16"/>
                <w:szCs w:val="16"/>
              </w:rPr>
            </w:pPr>
            <w:r w:rsidRPr="009D38D3">
              <w:rPr>
                <w:sz w:val="16"/>
                <w:szCs w:val="16"/>
              </w:rPr>
              <w:t>Executive Vice President</w:t>
            </w:r>
          </w:p>
        </w:tc>
        <w:tc>
          <w:tcPr>
            <w:tcW w:w="2625" w:type="dxa"/>
            <w:shd w:val="clear" w:color="auto" w:fill="auto"/>
            <w:vAlign w:val="bottom"/>
          </w:tcPr>
          <w:p w14:paraId="34E043CF" w14:textId="77777777" w:rsidR="00384FD1" w:rsidRPr="009D38D3" w:rsidRDefault="00384FD1" w:rsidP="00F0291B">
            <w:pPr>
              <w:rPr>
                <w:sz w:val="16"/>
                <w:szCs w:val="16"/>
              </w:rPr>
            </w:pPr>
            <w:proofErr w:type="spellStart"/>
            <w:r w:rsidRPr="009D38D3">
              <w:rPr>
                <w:sz w:val="16"/>
                <w:szCs w:val="16"/>
                <w:lang w:eastAsia="tr-TR"/>
              </w:rPr>
              <w:t>Müge</w:t>
            </w:r>
            <w:proofErr w:type="spellEnd"/>
            <w:r w:rsidRPr="009D38D3">
              <w:rPr>
                <w:sz w:val="16"/>
                <w:szCs w:val="16"/>
                <w:lang w:eastAsia="tr-TR"/>
              </w:rPr>
              <w:t xml:space="preserve"> </w:t>
            </w:r>
            <w:proofErr w:type="spellStart"/>
            <w:r w:rsidRPr="009D38D3">
              <w:rPr>
                <w:sz w:val="16"/>
                <w:szCs w:val="16"/>
                <w:lang w:eastAsia="tr-TR"/>
              </w:rPr>
              <w:t>Öner</w:t>
            </w:r>
            <w:proofErr w:type="spellEnd"/>
          </w:p>
        </w:tc>
        <w:tc>
          <w:tcPr>
            <w:tcW w:w="3975" w:type="dxa"/>
            <w:shd w:val="clear" w:color="auto" w:fill="auto"/>
            <w:vAlign w:val="bottom"/>
            <w:hideMark/>
          </w:tcPr>
          <w:p w14:paraId="1A961CB7" w14:textId="77777777" w:rsidR="00384FD1" w:rsidRPr="009D38D3" w:rsidRDefault="00384FD1" w:rsidP="00F0291B">
            <w:pPr>
              <w:jc w:val="both"/>
              <w:rPr>
                <w:sz w:val="16"/>
                <w:szCs w:val="16"/>
              </w:rPr>
            </w:pPr>
            <w:r w:rsidRPr="009D38D3">
              <w:rPr>
                <w:sz w:val="16"/>
                <w:szCs w:val="16"/>
              </w:rPr>
              <w:t>Deputy CEO -Chief Financial Officer</w:t>
            </w:r>
          </w:p>
        </w:tc>
        <w:tc>
          <w:tcPr>
            <w:tcW w:w="1113" w:type="dxa"/>
            <w:shd w:val="clear" w:color="auto" w:fill="auto"/>
            <w:vAlign w:val="bottom"/>
            <w:hideMark/>
          </w:tcPr>
          <w:p w14:paraId="0BD85B05" w14:textId="77777777" w:rsidR="00384FD1" w:rsidRPr="009D38D3" w:rsidRDefault="00384FD1" w:rsidP="00F0291B">
            <w:pPr>
              <w:tabs>
                <w:tab w:val="left" w:pos="900"/>
              </w:tabs>
              <w:autoSpaceDE w:val="0"/>
              <w:autoSpaceDN w:val="0"/>
              <w:adjustRightInd w:val="0"/>
              <w:jc w:val="right"/>
              <w:rPr>
                <w:sz w:val="16"/>
                <w:szCs w:val="16"/>
                <w:lang w:eastAsia="tr-TR"/>
              </w:rPr>
            </w:pPr>
            <w:r w:rsidRPr="009D38D3">
              <w:rPr>
                <w:sz w:val="16"/>
                <w:szCs w:val="16"/>
                <w:lang w:eastAsia="tr-TR"/>
              </w:rPr>
              <w:t>-</w:t>
            </w:r>
          </w:p>
        </w:tc>
      </w:tr>
      <w:tr w:rsidR="00384FD1" w:rsidRPr="009D38D3" w14:paraId="673D624A" w14:textId="77777777" w:rsidTr="00F142CB">
        <w:trPr>
          <w:trHeight w:val="227"/>
        </w:trPr>
        <w:tc>
          <w:tcPr>
            <w:tcW w:w="2620" w:type="dxa"/>
            <w:shd w:val="clear" w:color="auto" w:fill="auto"/>
            <w:vAlign w:val="bottom"/>
          </w:tcPr>
          <w:p w14:paraId="5CD03542" w14:textId="77777777" w:rsidR="00384FD1" w:rsidRPr="009D38D3" w:rsidRDefault="00384FD1" w:rsidP="00F0291B">
            <w:pPr>
              <w:rPr>
                <w:sz w:val="16"/>
                <w:szCs w:val="16"/>
              </w:rPr>
            </w:pPr>
          </w:p>
        </w:tc>
        <w:tc>
          <w:tcPr>
            <w:tcW w:w="2625" w:type="dxa"/>
            <w:shd w:val="clear" w:color="auto" w:fill="auto"/>
            <w:vAlign w:val="bottom"/>
          </w:tcPr>
          <w:p w14:paraId="3A981824" w14:textId="77777777" w:rsidR="00384FD1" w:rsidRPr="009D38D3" w:rsidRDefault="00384FD1" w:rsidP="00F0291B">
            <w:pPr>
              <w:rPr>
                <w:sz w:val="16"/>
                <w:szCs w:val="16"/>
              </w:rPr>
            </w:pPr>
            <w:proofErr w:type="spellStart"/>
            <w:r w:rsidRPr="009D38D3">
              <w:rPr>
                <w:rFonts w:eastAsiaTheme="minorHAnsi"/>
                <w:sz w:val="16"/>
                <w:szCs w:val="16"/>
                <w:lang w:eastAsia="tr-TR"/>
              </w:rPr>
              <w:t>Seher</w:t>
            </w:r>
            <w:proofErr w:type="spellEnd"/>
            <w:r w:rsidRPr="009D38D3">
              <w:rPr>
                <w:rFonts w:eastAsiaTheme="minorHAnsi"/>
                <w:sz w:val="16"/>
                <w:szCs w:val="16"/>
                <w:lang w:eastAsia="tr-TR"/>
              </w:rPr>
              <w:t xml:space="preserve"> </w:t>
            </w:r>
            <w:proofErr w:type="spellStart"/>
            <w:r w:rsidRPr="009D38D3">
              <w:rPr>
                <w:rFonts w:eastAsiaTheme="minorHAnsi"/>
                <w:sz w:val="16"/>
                <w:szCs w:val="16"/>
                <w:lang w:eastAsia="tr-TR"/>
              </w:rPr>
              <w:t>Demet</w:t>
            </w:r>
            <w:proofErr w:type="spellEnd"/>
            <w:r w:rsidRPr="009D38D3">
              <w:rPr>
                <w:rFonts w:eastAsiaTheme="minorHAnsi"/>
                <w:sz w:val="16"/>
                <w:szCs w:val="16"/>
                <w:lang w:eastAsia="tr-TR"/>
              </w:rPr>
              <w:t xml:space="preserve"> </w:t>
            </w:r>
            <w:proofErr w:type="spellStart"/>
            <w:r w:rsidRPr="009D38D3">
              <w:rPr>
                <w:rFonts w:eastAsiaTheme="minorHAnsi"/>
                <w:sz w:val="16"/>
                <w:szCs w:val="16"/>
                <w:lang w:eastAsia="tr-TR"/>
              </w:rPr>
              <w:t>Tanrıöver</w:t>
            </w:r>
            <w:proofErr w:type="spellEnd"/>
            <w:r w:rsidRPr="009D38D3">
              <w:rPr>
                <w:rFonts w:eastAsiaTheme="minorHAnsi"/>
                <w:sz w:val="16"/>
                <w:szCs w:val="16"/>
                <w:lang w:eastAsia="tr-TR"/>
              </w:rPr>
              <w:t xml:space="preserve"> </w:t>
            </w:r>
            <w:proofErr w:type="spellStart"/>
            <w:r w:rsidRPr="009D38D3">
              <w:rPr>
                <w:rFonts w:eastAsiaTheme="minorHAnsi"/>
                <w:sz w:val="16"/>
                <w:szCs w:val="16"/>
                <w:lang w:eastAsia="tr-TR"/>
              </w:rPr>
              <w:t>Çaldağ</w:t>
            </w:r>
            <w:proofErr w:type="spellEnd"/>
          </w:p>
        </w:tc>
        <w:tc>
          <w:tcPr>
            <w:tcW w:w="3975" w:type="dxa"/>
            <w:shd w:val="clear" w:color="auto" w:fill="auto"/>
            <w:vAlign w:val="bottom"/>
            <w:hideMark/>
          </w:tcPr>
          <w:p w14:paraId="77E2FDE2" w14:textId="77777777" w:rsidR="00384FD1" w:rsidRPr="009D38D3" w:rsidRDefault="00384FD1" w:rsidP="00F0291B">
            <w:pPr>
              <w:jc w:val="both"/>
              <w:rPr>
                <w:sz w:val="16"/>
                <w:szCs w:val="16"/>
              </w:rPr>
            </w:pPr>
            <w:r w:rsidRPr="009D38D3">
              <w:rPr>
                <w:sz w:val="16"/>
                <w:szCs w:val="16"/>
              </w:rPr>
              <w:t>Credit Risk Management-Chief Risk Officer</w:t>
            </w:r>
          </w:p>
        </w:tc>
        <w:tc>
          <w:tcPr>
            <w:tcW w:w="1113" w:type="dxa"/>
            <w:shd w:val="clear" w:color="auto" w:fill="auto"/>
            <w:vAlign w:val="bottom"/>
            <w:hideMark/>
          </w:tcPr>
          <w:p w14:paraId="5A32BB04" w14:textId="77777777" w:rsidR="00384FD1" w:rsidRPr="009D38D3" w:rsidRDefault="00384FD1" w:rsidP="00F0291B">
            <w:pPr>
              <w:jc w:val="right"/>
              <w:rPr>
                <w:rFonts w:eastAsiaTheme="minorHAnsi"/>
                <w:sz w:val="16"/>
                <w:szCs w:val="16"/>
                <w:lang w:eastAsia="tr-TR"/>
              </w:rPr>
            </w:pPr>
            <w:r w:rsidRPr="009D38D3">
              <w:rPr>
                <w:rFonts w:eastAsiaTheme="minorHAnsi"/>
                <w:sz w:val="16"/>
                <w:szCs w:val="16"/>
                <w:lang w:eastAsia="tr-TR"/>
              </w:rPr>
              <w:t>-</w:t>
            </w:r>
          </w:p>
        </w:tc>
      </w:tr>
      <w:tr w:rsidR="00384FD1" w:rsidRPr="009D38D3" w14:paraId="5F590870" w14:textId="77777777" w:rsidTr="00F142CB">
        <w:trPr>
          <w:trHeight w:val="227"/>
        </w:trPr>
        <w:tc>
          <w:tcPr>
            <w:tcW w:w="2620" w:type="dxa"/>
            <w:shd w:val="clear" w:color="auto" w:fill="auto"/>
            <w:vAlign w:val="bottom"/>
          </w:tcPr>
          <w:p w14:paraId="38F0A8EB" w14:textId="77777777" w:rsidR="00384FD1" w:rsidRPr="009D38D3" w:rsidRDefault="00384FD1" w:rsidP="00F0291B">
            <w:pPr>
              <w:rPr>
                <w:sz w:val="16"/>
                <w:szCs w:val="16"/>
              </w:rPr>
            </w:pPr>
          </w:p>
        </w:tc>
        <w:tc>
          <w:tcPr>
            <w:tcW w:w="2625" w:type="dxa"/>
            <w:shd w:val="clear" w:color="auto" w:fill="auto"/>
            <w:vAlign w:val="bottom"/>
          </w:tcPr>
          <w:p w14:paraId="038D18C4" w14:textId="77777777" w:rsidR="00384FD1" w:rsidRPr="009D38D3" w:rsidRDefault="00384FD1" w:rsidP="00F0291B">
            <w:pPr>
              <w:rPr>
                <w:sz w:val="16"/>
                <w:szCs w:val="16"/>
              </w:rPr>
            </w:pPr>
            <w:proofErr w:type="spellStart"/>
            <w:r w:rsidRPr="009D38D3">
              <w:rPr>
                <w:sz w:val="16"/>
                <w:szCs w:val="16"/>
              </w:rPr>
              <w:t>Tanol</w:t>
            </w:r>
            <w:proofErr w:type="spellEnd"/>
            <w:r w:rsidRPr="009D38D3">
              <w:rPr>
                <w:sz w:val="16"/>
                <w:szCs w:val="16"/>
              </w:rPr>
              <w:t xml:space="preserve"> </w:t>
            </w:r>
            <w:proofErr w:type="spellStart"/>
            <w:r w:rsidRPr="009D38D3">
              <w:rPr>
                <w:sz w:val="16"/>
                <w:szCs w:val="16"/>
              </w:rPr>
              <w:t>Türkoğlu</w:t>
            </w:r>
            <w:proofErr w:type="spellEnd"/>
          </w:p>
        </w:tc>
        <w:tc>
          <w:tcPr>
            <w:tcW w:w="3975" w:type="dxa"/>
            <w:shd w:val="clear" w:color="auto" w:fill="auto"/>
            <w:vAlign w:val="bottom"/>
            <w:hideMark/>
          </w:tcPr>
          <w:p w14:paraId="11F357C0" w14:textId="23433349" w:rsidR="00CB4647" w:rsidRDefault="00384FD1" w:rsidP="00F0291B">
            <w:pPr>
              <w:jc w:val="both"/>
              <w:rPr>
                <w:sz w:val="16"/>
                <w:szCs w:val="16"/>
              </w:rPr>
            </w:pPr>
            <w:r w:rsidRPr="009D38D3">
              <w:rPr>
                <w:sz w:val="16"/>
                <w:szCs w:val="16"/>
              </w:rPr>
              <w:t>Informat</w:t>
            </w:r>
            <w:r w:rsidR="00CB4647">
              <w:rPr>
                <w:sz w:val="16"/>
                <w:szCs w:val="16"/>
              </w:rPr>
              <w:t>ion Technologies and Operations-</w:t>
            </w:r>
          </w:p>
          <w:p w14:paraId="56FBBF10" w14:textId="3F7A2C34" w:rsidR="00384FD1" w:rsidRPr="009D38D3" w:rsidRDefault="00384FD1" w:rsidP="00F0291B">
            <w:pPr>
              <w:jc w:val="both"/>
              <w:rPr>
                <w:sz w:val="16"/>
                <w:szCs w:val="16"/>
              </w:rPr>
            </w:pPr>
            <w:r w:rsidRPr="009D38D3">
              <w:rPr>
                <w:sz w:val="16"/>
                <w:szCs w:val="16"/>
              </w:rPr>
              <w:t>Chief Operating Officer</w:t>
            </w:r>
          </w:p>
        </w:tc>
        <w:tc>
          <w:tcPr>
            <w:tcW w:w="1113" w:type="dxa"/>
            <w:shd w:val="clear" w:color="auto" w:fill="auto"/>
            <w:vAlign w:val="bottom"/>
            <w:hideMark/>
          </w:tcPr>
          <w:p w14:paraId="12DDBAEE" w14:textId="77777777" w:rsidR="00384FD1" w:rsidRPr="009D38D3" w:rsidRDefault="00384FD1" w:rsidP="00F0291B">
            <w:pPr>
              <w:jc w:val="right"/>
              <w:rPr>
                <w:sz w:val="16"/>
                <w:szCs w:val="16"/>
                <w:lang w:eastAsia="tr-TR"/>
              </w:rPr>
            </w:pPr>
            <w:r w:rsidRPr="009D38D3">
              <w:rPr>
                <w:sz w:val="16"/>
                <w:szCs w:val="16"/>
                <w:lang w:eastAsia="tr-TR"/>
              </w:rPr>
              <w:t>-</w:t>
            </w:r>
          </w:p>
        </w:tc>
      </w:tr>
      <w:tr w:rsidR="00384FD1" w:rsidRPr="009D38D3" w14:paraId="72A8AC77" w14:textId="77777777" w:rsidTr="00F142CB">
        <w:trPr>
          <w:trHeight w:val="227"/>
        </w:trPr>
        <w:tc>
          <w:tcPr>
            <w:tcW w:w="2620" w:type="dxa"/>
            <w:shd w:val="clear" w:color="auto" w:fill="auto"/>
            <w:vAlign w:val="bottom"/>
          </w:tcPr>
          <w:p w14:paraId="75A59191" w14:textId="77777777" w:rsidR="00384FD1" w:rsidRPr="009D38D3" w:rsidRDefault="00384FD1" w:rsidP="00F0291B">
            <w:pPr>
              <w:rPr>
                <w:sz w:val="16"/>
                <w:szCs w:val="16"/>
              </w:rPr>
            </w:pPr>
          </w:p>
        </w:tc>
        <w:tc>
          <w:tcPr>
            <w:tcW w:w="2625" w:type="dxa"/>
            <w:shd w:val="clear" w:color="auto" w:fill="auto"/>
            <w:vAlign w:val="bottom"/>
          </w:tcPr>
          <w:p w14:paraId="6BCE628E" w14:textId="77777777" w:rsidR="00384FD1" w:rsidRPr="009D38D3" w:rsidRDefault="00384FD1" w:rsidP="00F0291B">
            <w:pPr>
              <w:rPr>
                <w:sz w:val="16"/>
                <w:szCs w:val="16"/>
              </w:rPr>
            </w:pPr>
            <w:proofErr w:type="spellStart"/>
            <w:r w:rsidRPr="009D38D3">
              <w:rPr>
                <w:sz w:val="16"/>
                <w:szCs w:val="16"/>
              </w:rPr>
              <w:t>Işıl</w:t>
            </w:r>
            <w:proofErr w:type="spellEnd"/>
            <w:r w:rsidRPr="009D38D3">
              <w:rPr>
                <w:sz w:val="16"/>
                <w:szCs w:val="16"/>
              </w:rPr>
              <w:t xml:space="preserve"> </w:t>
            </w:r>
            <w:proofErr w:type="spellStart"/>
            <w:r w:rsidRPr="009D38D3">
              <w:rPr>
                <w:sz w:val="16"/>
                <w:szCs w:val="16"/>
              </w:rPr>
              <w:t>Funda</w:t>
            </w:r>
            <w:proofErr w:type="spellEnd"/>
            <w:r w:rsidRPr="009D38D3">
              <w:rPr>
                <w:sz w:val="16"/>
                <w:szCs w:val="16"/>
              </w:rPr>
              <w:t xml:space="preserve"> </w:t>
            </w:r>
            <w:proofErr w:type="spellStart"/>
            <w:r w:rsidRPr="009D38D3">
              <w:rPr>
                <w:sz w:val="16"/>
                <w:szCs w:val="16"/>
              </w:rPr>
              <w:t>Öney</w:t>
            </w:r>
            <w:proofErr w:type="spellEnd"/>
            <w:r w:rsidRPr="009D38D3">
              <w:rPr>
                <w:sz w:val="16"/>
                <w:szCs w:val="16"/>
              </w:rPr>
              <w:t xml:space="preserve"> </w:t>
            </w:r>
            <w:proofErr w:type="spellStart"/>
            <w:r w:rsidRPr="009D38D3">
              <w:rPr>
                <w:sz w:val="16"/>
                <w:szCs w:val="16"/>
              </w:rPr>
              <w:t>Babacan</w:t>
            </w:r>
            <w:proofErr w:type="spellEnd"/>
          </w:p>
        </w:tc>
        <w:tc>
          <w:tcPr>
            <w:tcW w:w="3975" w:type="dxa"/>
            <w:shd w:val="clear" w:color="auto" w:fill="auto"/>
            <w:vAlign w:val="bottom"/>
            <w:hideMark/>
          </w:tcPr>
          <w:p w14:paraId="67A7DD97" w14:textId="77777777" w:rsidR="00384FD1" w:rsidRPr="009D38D3" w:rsidRDefault="00384FD1" w:rsidP="00F0291B">
            <w:pPr>
              <w:jc w:val="both"/>
              <w:rPr>
                <w:sz w:val="16"/>
                <w:szCs w:val="16"/>
              </w:rPr>
            </w:pPr>
            <w:r w:rsidRPr="009D38D3">
              <w:rPr>
                <w:sz w:val="16"/>
                <w:szCs w:val="16"/>
              </w:rPr>
              <w:t>Information Technologies</w:t>
            </w:r>
          </w:p>
        </w:tc>
        <w:tc>
          <w:tcPr>
            <w:tcW w:w="1113" w:type="dxa"/>
            <w:shd w:val="clear" w:color="auto" w:fill="auto"/>
            <w:vAlign w:val="bottom"/>
            <w:hideMark/>
          </w:tcPr>
          <w:p w14:paraId="2DECDB60" w14:textId="77777777" w:rsidR="00384FD1" w:rsidRPr="009D38D3" w:rsidRDefault="00384FD1" w:rsidP="00F0291B">
            <w:pPr>
              <w:autoSpaceDE w:val="0"/>
              <w:autoSpaceDN w:val="0"/>
              <w:jc w:val="right"/>
              <w:rPr>
                <w:sz w:val="16"/>
                <w:szCs w:val="16"/>
              </w:rPr>
            </w:pPr>
            <w:r w:rsidRPr="009D38D3">
              <w:rPr>
                <w:sz w:val="16"/>
                <w:szCs w:val="16"/>
              </w:rPr>
              <w:t>-</w:t>
            </w:r>
          </w:p>
        </w:tc>
      </w:tr>
      <w:tr w:rsidR="00384FD1" w:rsidRPr="009D38D3" w14:paraId="7B5645A3" w14:textId="77777777" w:rsidTr="00F142CB">
        <w:trPr>
          <w:trHeight w:val="227"/>
        </w:trPr>
        <w:tc>
          <w:tcPr>
            <w:tcW w:w="2620" w:type="dxa"/>
            <w:shd w:val="clear" w:color="auto" w:fill="auto"/>
            <w:vAlign w:val="bottom"/>
          </w:tcPr>
          <w:p w14:paraId="4BED5315" w14:textId="77777777" w:rsidR="00384FD1" w:rsidRPr="009D38D3" w:rsidRDefault="00384FD1" w:rsidP="00F0291B">
            <w:pPr>
              <w:rPr>
                <w:sz w:val="16"/>
                <w:szCs w:val="16"/>
              </w:rPr>
            </w:pPr>
          </w:p>
        </w:tc>
        <w:tc>
          <w:tcPr>
            <w:tcW w:w="2625" w:type="dxa"/>
            <w:shd w:val="clear" w:color="auto" w:fill="auto"/>
            <w:vAlign w:val="bottom"/>
          </w:tcPr>
          <w:p w14:paraId="6A991E39" w14:textId="77777777" w:rsidR="00384FD1" w:rsidRPr="009D38D3" w:rsidRDefault="00384FD1" w:rsidP="00F0291B">
            <w:pPr>
              <w:rPr>
                <w:sz w:val="16"/>
                <w:szCs w:val="16"/>
              </w:rPr>
            </w:pPr>
            <w:proofErr w:type="spellStart"/>
            <w:r w:rsidRPr="009D38D3">
              <w:rPr>
                <w:sz w:val="16"/>
                <w:szCs w:val="16"/>
              </w:rPr>
              <w:t>Suat</w:t>
            </w:r>
            <w:proofErr w:type="spellEnd"/>
            <w:r w:rsidRPr="009D38D3">
              <w:rPr>
                <w:sz w:val="16"/>
                <w:szCs w:val="16"/>
              </w:rPr>
              <w:t xml:space="preserve"> </w:t>
            </w:r>
            <w:proofErr w:type="spellStart"/>
            <w:r w:rsidRPr="009D38D3">
              <w:rPr>
                <w:sz w:val="16"/>
                <w:szCs w:val="16"/>
              </w:rPr>
              <w:t>Çetin</w:t>
            </w:r>
            <w:proofErr w:type="spellEnd"/>
          </w:p>
        </w:tc>
        <w:tc>
          <w:tcPr>
            <w:tcW w:w="3975" w:type="dxa"/>
            <w:shd w:val="clear" w:color="auto" w:fill="auto"/>
            <w:vAlign w:val="bottom"/>
          </w:tcPr>
          <w:p w14:paraId="0F29697F" w14:textId="77777777" w:rsidR="00384FD1" w:rsidRPr="009D38D3" w:rsidRDefault="00384FD1" w:rsidP="00F0291B">
            <w:pPr>
              <w:jc w:val="both"/>
              <w:rPr>
                <w:sz w:val="16"/>
                <w:szCs w:val="16"/>
              </w:rPr>
            </w:pPr>
            <w:r w:rsidRPr="009D38D3">
              <w:rPr>
                <w:sz w:val="16"/>
                <w:szCs w:val="16"/>
              </w:rPr>
              <w:t>Operations - Consumer Relations Coordination Officer</w:t>
            </w:r>
          </w:p>
        </w:tc>
        <w:tc>
          <w:tcPr>
            <w:tcW w:w="1113" w:type="dxa"/>
            <w:shd w:val="clear" w:color="auto" w:fill="auto"/>
            <w:vAlign w:val="bottom"/>
          </w:tcPr>
          <w:p w14:paraId="42C0D91F" w14:textId="77777777" w:rsidR="00384FD1" w:rsidRPr="009D38D3" w:rsidRDefault="00384FD1" w:rsidP="00F0291B">
            <w:pPr>
              <w:tabs>
                <w:tab w:val="left" w:pos="900"/>
              </w:tabs>
              <w:autoSpaceDE w:val="0"/>
              <w:autoSpaceDN w:val="0"/>
              <w:adjustRightInd w:val="0"/>
              <w:jc w:val="right"/>
              <w:rPr>
                <w:sz w:val="16"/>
                <w:szCs w:val="16"/>
              </w:rPr>
            </w:pPr>
            <w:r w:rsidRPr="009D38D3">
              <w:rPr>
                <w:sz w:val="16"/>
                <w:szCs w:val="16"/>
              </w:rPr>
              <w:t>-</w:t>
            </w:r>
          </w:p>
        </w:tc>
      </w:tr>
      <w:tr w:rsidR="00384FD1" w:rsidRPr="009D38D3" w14:paraId="23EAC856" w14:textId="77777777" w:rsidTr="00F142CB">
        <w:trPr>
          <w:trHeight w:val="227"/>
        </w:trPr>
        <w:tc>
          <w:tcPr>
            <w:tcW w:w="2620" w:type="dxa"/>
            <w:shd w:val="clear" w:color="auto" w:fill="auto"/>
            <w:vAlign w:val="bottom"/>
          </w:tcPr>
          <w:p w14:paraId="37BA7414" w14:textId="77777777" w:rsidR="00384FD1" w:rsidRPr="009D38D3" w:rsidRDefault="00384FD1" w:rsidP="00F0291B">
            <w:pPr>
              <w:rPr>
                <w:sz w:val="17"/>
                <w:szCs w:val="17"/>
              </w:rPr>
            </w:pPr>
          </w:p>
        </w:tc>
        <w:tc>
          <w:tcPr>
            <w:tcW w:w="2625" w:type="dxa"/>
            <w:shd w:val="clear" w:color="auto" w:fill="auto"/>
            <w:vAlign w:val="bottom"/>
          </w:tcPr>
          <w:p w14:paraId="0703F278" w14:textId="77777777" w:rsidR="00384FD1" w:rsidRPr="009D38D3" w:rsidRDefault="00384FD1" w:rsidP="00F0291B">
            <w:pPr>
              <w:rPr>
                <w:sz w:val="16"/>
                <w:szCs w:val="16"/>
              </w:rPr>
            </w:pPr>
            <w:proofErr w:type="spellStart"/>
            <w:r w:rsidRPr="009D38D3">
              <w:rPr>
                <w:sz w:val="16"/>
                <w:szCs w:val="16"/>
              </w:rPr>
              <w:t>Sezin</w:t>
            </w:r>
            <w:proofErr w:type="spellEnd"/>
            <w:r w:rsidRPr="009D38D3">
              <w:rPr>
                <w:sz w:val="16"/>
                <w:szCs w:val="16"/>
              </w:rPr>
              <w:t xml:space="preserve"> </w:t>
            </w:r>
            <w:proofErr w:type="spellStart"/>
            <w:r w:rsidRPr="009D38D3">
              <w:rPr>
                <w:sz w:val="16"/>
                <w:szCs w:val="16"/>
              </w:rPr>
              <w:t>Erken</w:t>
            </w:r>
            <w:proofErr w:type="spellEnd"/>
          </w:p>
        </w:tc>
        <w:tc>
          <w:tcPr>
            <w:tcW w:w="3975" w:type="dxa"/>
            <w:shd w:val="clear" w:color="auto" w:fill="auto"/>
            <w:vAlign w:val="bottom"/>
          </w:tcPr>
          <w:p w14:paraId="3D7998D8" w14:textId="77777777" w:rsidR="00384FD1" w:rsidRPr="009D38D3" w:rsidRDefault="00384FD1" w:rsidP="00F0291B">
            <w:pPr>
              <w:jc w:val="both"/>
              <w:rPr>
                <w:sz w:val="16"/>
                <w:szCs w:val="16"/>
              </w:rPr>
            </w:pPr>
            <w:r w:rsidRPr="009D38D3">
              <w:rPr>
                <w:sz w:val="16"/>
                <w:szCs w:val="16"/>
              </w:rPr>
              <w:t>Retail Banking</w:t>
            </w:r>
          </w:p>
        </w:tc>
        <w:tc>
          <w:tcPr>
            <w:tcW w:w="1113" w:type="dxa"/>
            <w:shd w:val="clear" w:color="auto" w:fill="auto"/>
            <w:vAlign w:val="bottom"/>
          </w:tcPr>
          <w:p w14:paraId="7CE97998" w14:textId="77777777" w:rsidR="00384FD1" w:rsidRPr="009D38D3" w:rsidRDefault="00384FD1" w:rsidP="00F0291B">
            <w:pPr>
              <w:jc w:val="right"/>
              <w:rPr>
                <w:sz w:val="16"/>
                <w:szCs w:val="16"/>
              </w:rPr>
            </w:pPr>
            <w:r w:rsidRPr="009D38D3">
              <w:rPr>
                <w:sz w:val="16"/>
                <w:szCs w:val="16"/>
              </w:rPr>
              <w:t>-</w:t>
            </w:r>
          </w:p>
        </w:tc>
      </w:tr>
      <w:tr w:rsidR="00384FD1" w:rsidRPr="009D38D3" w14:paraId="03F1FFFF" w14:textId="77777777" w:rsidTr="00F142CB">
        <w:trPr>
          <w:trHeight w:val="227"/>
        </w:trPr>
        <w:tc>
          <w:tcPr>
            <w:tcW w:w="2620" w:type="dxa"/>
            <w:shd w:val="clear" w:color="auto" w:fill="auto"/>
            <w:vAlign w:val="bottom"/>
          </w:tcPr>
          <w:p w14:paraId="0114587F" w14:textId="77777777" w:rsidR="00384FD1" w:rsidRPr="009D38D3" w:rsidRDefault="00384FD1" w:rsidP="00F0291B">
            <w:pPr>
              <w:rPr>
                <w:sz w:val="16"/>
                <w:szCs w:val="16"/>
              </w:rPr>
            </w:pPr>
          </w:p>
        </w:tc>
        <w:tc>
          <w:tcPr>
            <w:tcW w:w="2625" w:type="dxa"/>
            <w:shd w:val="clear" w:color="auto" w:fill="auto"/>
            <w:vAlign w:val="bottom"/>
          </w:tcPr>
          <w:p w14:paraId="0493BE08" w14:textId="77777777" w:rsidR="00384FD1" w:rsidRPr="009D38D3" w:rsidRDefault="00384FD1" w:rsidP="00F0291B">
            <w:pPr>
              <w:rPr>
                <w:sz w:val="16"/>
                <w:szCs w:val="16"/>
              </w:rPr>
            </w:pPr>
            <w:r w:rsidRPr="009D38D3">
              <w:rPr>
                <w:rFonts w:eastAsiaTheme="minorHAnsi"/>
                <w:sz w:val="16"/>
                <w:szCs w:val="16"/>
                <w:lang w:eastAsia="tr-TR"/>
              </w:rPr>
              <w:t xml:space="preserve">Mete </w:t>
            </w:r>
            <w:proofErr w:type="spellStart"/>
            <w:r w:rsidRPr="009D38D3">
              <w:rPr>
                <w:rFonts w:eastAsiaTheme="minorHAnsi"/>
                <w:sz w:val="16"/>
                <w:szCs w:val="16"/>
                <w:lang w:eastAsia="tr-TR"/>
              </w:rPr>
              <w:t>Hakan</w:t>
            </w:r>
            <w:proofErr w:type="spellEnd"/>
            <w:r w:rsidRPr="009D38D3">
              <w:rPr>
                <w:rFonts w:eastAsiaTheme="minorHAnsi"/>
                <w:sz w:val="16"/>
                <w:szCs w:val="16"/>
                <w:lang w:eastAsia="tr-TR"/>
              </w:rPr>
              <w:t xml:space="preserve"> </w:t>
            </w:r>
            <w:proofErr w:type="spellStart"/>
            <w:r w:rsidRPr="009D38D3">
              <w:rPr>
                <w:rFonts w:eastAsiaTheme="minorHAnsi"/>
                <w:sz w:val="16"/>
                <w:szCs w:val="16"/>
                <w:lang w:eastAsia="tr-TR"/>
              </w:rPr>
              <w:t>Güner</w:t>
            </w:r>
            <w:proofErr w:type="spellEnd"/>
          </w:p>
        </w:tc>
        <w:tc>
          <w:tcPr>
            <w:tcW w:w="3975" w:type="dxa"/>
            <w:shd w:val="clear" w:color="auto" w:fill="auto"/>
            <w:vAlign w:val="bottom"/>
          </w:tcPr>
          <w:p w14:paraId="32EDEDBC" w14:textId="77777777" w:rsidR="00384FD1" w:rsidRPr="009D38D3" w:rsidRDefault="00384FD1" w:rsidP="00F0291B">
            <w:pPr>
              <w:jc w:val="both"/>
              <w:rPr>
                <w:sz w:val="16"/>
                <w:szCs w:val="16"/>
              </w:rPr>
            </w:pPr>
            <w:r w:rsidRPr="009D38D3">
              <w:rPr>
                <w:sz w:val="16"/>
                <w:szCs w:val="16"/>
              </w:rPr>
              <w:t>Commercial Banking</w:t>
            </w:r>
          </w:p>
        </w:tc>
        <w:tc>
          <w:tcPr>
            <w:tcW w:w="1113" w:type="dxa"/>
            <w:shd w:val="clear" w:color="auto" w:fill="auto"/>
            <w:vAlign w:val="bottom"/>
          </w:tcPr>
          <w:p w14:paraId="6CC60671" w14:textId="77777777" w:rsidR="00384FD1" w:rsidRPr="009D38D3" w:rsidRDefault="00384FD1" w:rsidP="00F0291B">
            <w:pPr>
              <w:jc w:val="right"/>
              <w:rPr>
                <w:rFonts w:eastAsiaTheme="minorHAnsi"/>
                <w:sz w:val="16"/>
                <w:szCs w:val="16"/>
                <w:lang w:eastAsia="tr-TR"/>
              </w:rPr>
            </w:pPr>
            <w:r w:rsidRPr="009D38D3">
              <w:rPr>
                <w:rFonts w:eastAsiaTheme="minorHAnsi"/>
                <w:sz w:val="16"/>
                <w:szCs w:val="16"/>
                <w:lang w:eastAsia="tr-TR"/>
              </w:rPr>
              <w:t>-</w:t>
            </w:r>
          </w:p>
        </w:tc>
      </w:tr>
      <w:tr w:rsidR="00384FD1" w:rsidRPr="009D38D3" w14:paraId="2BABCE0D" w14:textId="77777777" w:rsidTr="00F142CB">
        <w:trPr>
          <w:trHeight w:val="227"/>
        </w:trPr>
        <w:tc>
          <w:tcPr>
            <w:tcW w:w="2620" w:type="dxa"/>
            <w:shd w:val="clear" w:color="auto" w:fill="auto"/>
            <w:vAlign w:val="bottom"/>
          </w:tcPr>
          <w:p w14:paraId="75F69AE5" w14:textId="77777777" w:rsidR="00384FD1" w:rsidRPr="009D38D3" w:rsidRDefault="00384FD1" w:rsidP="00F0291B">
            <w:pPr>
              <w:rPr>
                <w:sz w:val="16"/>
                <w:szCs w:val="16"/>
              </w:rPr>
            </w:pPr>
          </w:p>
        </w:tc>
        <w:tc>
          <w:tcPr>
            <w:tcW w:w="2625" w:type="dxa"/>
            <w:shd w:val="clear" w:color="auto" w:fill="auto"/>
            <w:vAlign w:val="bottom"/>
          </w:tcPr>
          <w:p w14:paraId="10A14B6A" w14:textId="77777777" w:rsidR="00384FD1" w:rsidRPr="009D38D3" w:rsidRDefault="00384FD1" w:rsidP="00F0291B">
            <w:pPr>
              <w:rPr>
                <w:sz w:val="16"/>
                <w:szCs w:val="16"/>
              </w:rPr>
            </w:pPr>
            <w:proofErr w:type="spellStart"/>
            <w:r w:rsidRPr="009D38D3">
              <w:rPr>
                <w:rFonts w:eastAsiaTheme="minorHAnsi"/>
                <w:sz w:val="16"/>
                <w:szCs w:val="16"/>
                <w:lang w:eastAsia="tr-TR"/>
              </w:rPr>
              <w:t>İzzet</w:t>
            </w:r>
            <w:proofErr w:type="spellEnd"/>
            <w:r w:rsidRPr="009D38D3">
              <w:rPr>
                <w:rFonts w:eastAsiaTheme="minorHAnsi"/>
                <w:sz w:val="16"/>
                <w:szCs w:val="16"/>
                <w:lang w:eastAsia="tr-TR"/>
              </w:rPr>
              <w:t xml:space="preserve"> </w:t>
            </w:r>
            <w:proofErr w:type="spellStart"/>
            <w:r w:rsidRPr="009D38D3">
              <w:rPr>
                <w:rFonts w:eastAsiaTheme="minorHAnsi"/>
                <w:sz w:val="16"/>
                <w:szCs w:val="16"/>
                <w:lang w:eastAsia="tr-TR"/>
              </w:rPr>
              <w:t>Metcan</w:t>
            </w:r>
            <w:proofErr w:type="spellEnd"/>
          </w:p>
        </w:tc>
        <w:tc>
          <w:tcPr>
            <w:tcW w:w="3975" w:type="dxa"/>
            <w:shd w:val="clear" w:color="auto" w:fill="auto"/>
            <w:vAlign w:val="bottom"/>
          </w:tcPr>
          <w:p w14:paraId="16D6DDAE" w14:textId="77777777" w:rsidR="00384FD1" w:rsidRPr="009D38D3" w:rsidRDefault="00BB12A3" w:rsidP="00F0291B">
            <w:pPr>
              <w:jc w:val="both"/>
              <w:rPr>
                <w:sz w:val="16"/>
                <w:szCs w:val="16"/>
              </w:rPr>
            </w:pPr>
            <w:r w:rsidRPr="009D38D3">
              <w:rPr>
                <w:sz w:val="16"/>
                <w:szCs w:val="16"/>
              </w:rPr>
              <w:t>Digital Banking</w:t>
            </w:r>
          </w:p>
        </w:tc>
        <w:tc>
          <w:tcPr>
            <w:tcW w:w="1113" w:type="dxa"/>
            <w:shd w:val="clear" w:color="auto" w:fill="auto"/>
            <w:vAlign w:val="bottom"/>
          </w:tcPr>
          <w:p w14:paraId="4C030A37" w14:textId="77777777" w:rsidR="00384FD1" w:rsidRPr="009D38D3" w:rsidRDefault="00384FD1" w:rsidP="00F0291B">
            <w:pPr>
              <w:jc w:val="right"/>
              <w:rPr>
                <w:rFonts w:eastAsiaTheme="minorHAnsi"/>
                <w:sz w:val="16"/>
                <w:szCs w:val="16"/>
                <w:lang w:eastAsia="tr-TR"/>
              </w:rPr>
            </w:pPr>
            <w:r w:rsidRPr="009D38D3">
              <w:rPr>
                <w:rFonts w:eastAsiaTheme="minorHAnsi"/>
                <w:sz w:val="16"/>
                <w:szCs w:val="16"/>
                <w:lang w:eastAsia="tr-TR"/>
              </w:rPr>
              <w:t>-</w:t>
            </w:r>
          </w:p>
        </w:tc>
      </w:tr>
      <w:tr w:rsidR="00384FD1" w:rsidRPr="009D38D3" w14:paraId="50AD0EEB" w14:textId="77777777" w:rsidTr="00F142CB">
        <w:trPr>
          <w:trHeight w:val="227"/>
        </w:trPr>
        <w:tc>
          <w:tcPr>
            <w:tcW w:w="2620" w:type="dxa"/>
            <w:shd w:val="clear" w:color="auto" w:fill="auto"/>
            <w:vAlign w:val="bottom"/>
          </w:tcPr>
          <w:p w14:paraId="790C9C0A" w14:textId="77777777" w:rsidR="00384FD1" w:rsidRPr="009D38D3" w:rsidRDefault="00384FD1" w:rsidP="00F0291B">
            <w:pPr>
              <w:rPr>
                <w:sz w:val="16"/>
                <w:szCs w:val="16"/>
              </w:rPr>
            </w:pPr>
          </w:p>
        </w:tc>
        <w:tc>
          <w:tcPr>
            <w:tcW w:w="2625" w:type="dxa"/>
            <w:shd w:val="clear" w:color="auto" w:fill="auto"/>
            <w:vAlign w:val="bottom"/>
          </w:tcPr>
          <w:p w14:paraId="73CB2B3C" w14:textId="77777777" w:rsidR="00384FD1" w:rsidRPr="009D38D3" w:rsidRDefault="00384FD1" w:rsidP="00F0291B">
            <w:pPr>
              <w:rPr>
                <w:sz w:val="16"/>
                <w:szCs w:val="16"/>
              </w:rPr>
            </w:pPr>
            <w:r w:rsidRPr="009D38D3">
              <w:rPr>
                <w:sz w:val="16"/>
                <w:szCs w:val="16"/>
              </w:rPr>
              <w:t xml:space="preserve">Musa </w:t>
            </w:r>
            <w:proofErr w:type="spellStart"/>
            <w:r w:rsidRPr="009D38D3">
              <w:rPr>
                <w:sz w:val="16"/>
                <w:szCs w:val="16"/>
              </w:rPr>
              <w:t>Kerim</w:t>
            </w:r>
            <w:proofErr w:type="spellEnd"/>
            <w:r w:rsidRPr="009D38D3">
              <w:rPr>
                <w:sz w:val="16"/>
                <w:szCs w:val="16"/>
              </w:rPr>
              <w:t xml:space="preserve"> </w:t>
            </w:r>
            <w:proofErr w:type="spellStart"/>
            <w:r w:rsidRPr="009D38D3">
              <w:rPr>
                <w:sz w:val="16"/>
                <w:szCs w:val="16"/>
              </w:rPr>
              <w:t>Mutluay</w:t>
            </w:r>
            <w:proofErr w:type="spellEnd"/>
          </w:p>
        </w:tc>
        <w:tc>
          <w:tcPr>
            <w:tcW w:w="3975" w:type="dxa"/>
            <w:shd w:val="clear" w:color="auto" w:fill="auto"/>
            <w:vAlign w:val="bottom"/>
            <w:hideMark/>
          </w:tcPr>
          <w:p w14:paraId="54468386" w14:textId="77777777" w:rsidR="00384FD1" w:rsidRPr="009D38D3" w:rsidRDefault="00384FD1" w:rsidP="00F0291B">
            <w:pPr>
              <w:jc w:val="both"/>
              <w:rPr>
                <w:sz w:val="16"/>
                <w:szCs w:val="16"/>
              </w:rPr>
            </w:pPr>
            <w:r w:rsidRPr="009D38D3">
              <w:rPr>
                <w:sz w:val="16"/>
                <w:szCs w:val="16"/>
              </w:rPr>
              <w:t>Restructuring and Legal Follow-up</w:t>
            </w:r>
          </w:p>
        </w:tc>
        <w:tc>
          <w:tcPr>
            <w:tcW w:w="1113" w:type="dxa"/>
            <w:shd w:val="clear" w:color="auto" w:fill="auto"/>
            <w:vAlign w:val="bottom"/>
            <w:hideMark/>
          </w:tcPr>
          <w:p w14:paraId="303086B8" w14:textId="77777777" w:rsidR="00384FD1" w:rsidRPr="009D38D3" w:rsidRDefault="00384FD1" w:rsidP="00F0291B">
            <w:pPr>
              <w:jc w:val="right"/>
              <w:rPr>
                <w:sz w:val="16"/>
                <w:szCs w:val="16"/>
                <w:lang w:eastAsia="tr-TR"/>
              </w:rPr>
            </w:pPr>
            <w:r w:rsidRPr="009D38D3">
              <w:rPr>
                <w:sz w:val="16"/>
                <w:szCs w:val="16"/>
                <w:lang w:eastAsia="tr-TR"/>
              </w:rPr>
              <w:t>-</w:t>
            </w:r>
          </w:p>
        </w:tc>
      </w:tr>
      <w:tr w:rsidR="00384FD1" w:rsidRPr="009D38D3" w14:paraId="587124B4" w14:textId="77777777" w:rsidTr="00F142CB">
        <w:trPr>
          <w:trHeight w:val="227"/>
        </w:trPr>
        <w:tc>
          <w:tcPr>
            <w:tcW w:w="2620" w:type="dxa"/>
            <w:shd w:val="clear" w:color="auto" w:fill="auto"/>
            <w:vAlign w:val="bottom"/>
          </w:tcPr>
          <w:p w14:paraId="1A22318E" w14:textId="77777777" w:rsidR="00384FD1" w:rsidRPr="009D38D3" w:rsidRDefault="00384FD1" w:rsidP="00F0291B">
            <w:pPr>
              <w:rPr>
                <w:sz w:val="16"/>
                <w:szCs w:val="16"/>
              </w:rPr>
            </w:pPr>
          </w:p>
        </w:tc>
        <w:tc>
          <w:tcPr>
            <w:tcW w:w="2625" w:type="dxa"/>
            <w:shd w:val="clear" w:color="auto" w:fill="auto"/>
            <w:vAlign w:val="bottom"/>
          </w:tcPr>
          <w:p w14:paraId="2CD3C272" w14:textId="77777777" w:rsidR="00384FD1" w:rsidRPr="009D38D3" w:rsidRDefault="00384FD1" w:rsidP="00F0291B">
            <w:pPr>
              <w:rPr>
                <w:sz w:val="16"/>
                <w:szCs w:val="16"/>
              </w:rPr>
            </w:pPr>
            <w:r w:rsidRPr="009D38D3">
              <w:rPr>
                <w:sz w:val="16"/>
                <w:szCs w:val="16"/>
              </w:rPr>
              <w:t xml:space="preserve">Murat </w:t>
            </w:r>
            <w:proofErr w:type="spellStart"/>
            <w:r w:rsidRPr="009D38D3">
              <w:rPr>
                <w:sz w:val="16"/>
                <w:szCs w:val="16"/>
              </w:rPr>
              <w:t>Özer</w:t>
            </w:r>
            <w:proofErr w:type="spellEnd"/>
          </w:p>
        </w:tc>
        <w:tc>
          <w:tcPr>
            <w:tcW w:w="3975" w:type="dxa"/>
            <w:shd w:val="clear" w:color="auto" w:fill="auto"/>
            <w:vAlign w:val="bottom"/>
            <w:hideMark/>
          </w:tcPr>
          <w:p w14:paraId="52D7492F" w14:textId="77777777" w:rsidR="00384FD1" w:rsidRPr="009D38D3" w:rsidRDefault="00384FD1" w:rsidP="00F0291B">
            <w:pPr>
              <w:jc w:val="both"/>
              <w:rPr>
                <w:sz w:val="16"/>
                <w:szCs w:val="16"/>
              </w:rPr>
            </w:pPr>
            <w:r w:rsidRPr="009D38D3">
              <w:rPr>
                <w:sz w:val="16"/>
                <w:szCs w:val="16"/>
              </w:rPr>
              <w:t>Human Resources</w:t>
            </w:r>
          </w:p>
        </w:tc>
        <w:tc>
          <w:tcPr>
            <w:tcW w:w="1113" w:type="dxa"/>
            <w:shd w:val="clear" w:color="auto" w:fill="auto"/>
            <w:vAlign w:val="bottom"/>
            <w:hideMark/>
          </w:tcPr>
          <w:p w14:paraId="281F6BA3" w14:textId="77777777" w:rsidR="00384FD1" w:rsidRPr="009D38D3" w:rsidRDefault="00384FD1" w:rsidP="00F0291B">
            <w:pPr>
              <w:jc w:val="right"/>
              <w:rPr>
                <w:sz w:val="16"/>
                <w:szCs w:val="16"/>
                <w:lang w:eastAsia="tr-TR"/>
              </w:rPr>
            </w:pPr>
            <w:r w:rsidRPr="009D38D3">
              <w:rPr>
                <w:sz w:val="16"/>
                <w:szCs w:val="16"/>
                <w:lang w:eastAsia="tr-TR"/>
              </w:rPr>
              <w:t>-</w:t>
            </w:r>
          </w:p>
        </w:tc>
      </w:tr>
      <w:tr w:rsidR="00384FD1" w:rsidRPr="009D38D3" w14:paraId="2A61C3A7" w14:textId="77777777" w:rsidTr="00F142CB">
        <w:trPr>
          <w:trHeight w:val="227"/>
        </w:trPr>
        <w:tc>
          <w:tcPr>
            <w:tcW w:w="2620" w:type="dxa"/>
            <w:shd w:val="clear" w:color="auto" w:fill="auto"/>
            <w:vAlign w:val="bottom"/>
          </w:tcPr>
          <w:p w14:paraId="0799FB17" w14:textId="77777777" w:rsidR="00384FD1" w:rsidRPr="009D38D3" w:rsidRDefault="00384FD1" w:rsidP="00F0291B">
            <w:pPr>
              <w:rPr>
                <w:sz w:val="16"/>
                <w:szCs w:val="16"/>
              </w:rPr>
            </w:pPr>
          </w:p>
        </w:tc>
        <w:tc>
          <w:tcPr>
            <w:tcW w:w="2625" w:type="dxa"/>
            <w:shd w:val="clear" w:color="auto" w:fill="auto"/>
            <w:vAlign w:val="bottom"/>
          </w:tcPr>
          <w:p w14:paraId="394251D6" w14:textId="77777777" w:rsidR="00384FD1" w:rsidRPr="009D38D3" w:rsidRDefault="00384FD1" w:rsidP="00F0291B">
            <w:pPr>
              <w:rPr>
                <w:sz w:val="16"/>
                <w:szCs w:val="16"/>
              </w:rPr>
            </w:pPr>
            <w:proofErr w:type="spellStart"/>
            <w:r w:rsidRPr="009D38D3">
              <w:rPr>
                <w:rFonts w:eastAsiaTheme="minorHAnsi"/>
                <w:sz w:val="16"/>
                <w:szCs w:val="16"/>
                <w:lang w:eastAsia="tr-TR"/>
              </w:rPr>
              <w:t>Muzaffer</w:t>
            </w:r>
            <w:proofErr w:type="spellEnd"/>
            <w:r w:rsidRPr="009D38D3">
              <w:rPr>
                <w:rFonts w:eastAsiaTheme="minorHAnsi"/>
                <w:sz w:val="16"/>
                <w:szCs w:val="16"/>
                <w:lang w:eastAsia="tr-TR"/>
              </w:rPr>
              <w:t xml:space="preserve"> </w:t>
            </w:r>
            <w:proofErr w:type="spellStart"/>
            <w:r w:rsidRPr="009D38D3">
              <w:rPr>
                <w:rFonts w:eastAsiaTheme="minorHAnsi"/>
                <w:sz w:val="16"/>
                <w:szCs w:val="16"/>
                <w:lang w:eastAsia="tr-TR"/>
              </w:rPr>
              <w:t>Gökhan</w:t>
            </w:r>
            <w:proofErr w:type="spellEnd"/>
            <w:r w:rsidRPr="009D38D3">
              <w:rPr>
                <w:rFonts w:eastAsiaTheme="minorHAnsi"/>
                <w:sz w:val="16"/>
                <w:szCs w:val="16"/>
                <w:lang w:eastAsia="tr-TR"/>
              </w:rPr>
              <w:t xml:space="preserve"> </w:t>
            </w:r>
            <w:proofErr w:type="spellStart"/>
            <w:r w:rsidRPr="009D38D3">
              <w:rPr>
                <w:rFonts w:eastAsiaTheme="minorHAnsi"/>
                <w:sz w:val="16"/>
                <w:szCs w:val="16"/>
                <w:lang w:eastAsia="tr-TR"/>
              </w:rPr>
              <w:t>Songül</w:t>
            </w:r>
            <w:proofErr w:type="spellEnd"/>
          </w:p>
        </w:tc>
        <w:tc>
          <w:tcPr>
            <w:tcW w:w="3975" w:type="dxa"/>
            <w:shd w:val="clear" w:color="auto" w:fill="auto"/>
            <w:vAlign w:val="bottom"/>
            <w:hideMark/>
          </w:tcPr>
          <w:p w14:paraId="404A4639" w14:textId="77777777" w:rsidR="00384FD1" w:rsidRPr="009D38D3" w:rsidRDefault="00384FD1" w:rsidP="00F0291B">
            <w:pPr>
              <w:jc w:val="both"/>
              <w:rPr>
                <w:sz w:val="16"/>
                <w:szCs w:val="16"/>
              </w:rPr>
            </w:pPr>
            <w:r w:rsidRPr="009D38D3">
              <w:rPr>
                <w:sz w:val="16"/>
                <w:szCs w:val="16"/>
              </w:rPr>
              <w:t>Credit Allocation</w:t>
            </w:r>
          </w:p>
        </w:tc>
        <w:tc>
          <w:tcPr>
            <w:tcW w:w="1113" w:type="dxa"/>
            <w:shd w:val="clear" w:color="auto" w:fill="auto"/>
            <w:vAlign w:val="bottom"/>
            <w:hideMark/>
          </w:tcPr>
          <w:p w14:paraId="7C74DD7B" w14:textId="77777777" w:rsidR="00384FD1" w:rsidRPr="009D38D3" w:rsidRDefault="00384FD1" w:rsidP="00F0291B">
            <w:pPr>
              <w:jc w:val="right"/>
              <w:rPr>
                <w:rFonts w:eastAsiaTheme="minorHAnsi"/>
                <w:sz w:val="16"/>
                <w:szCs w:val="16"/>
                <w:lang w:eastAsia="tr-TR"/>
              </w:rPr>
            </w:pPr>
            <w:r w:rsidRPr="009D38D3">
              <w:rPr>
                <w:rFonts w:eastAsiaTheme="minorHAnsi"/>
                <w:sz w:val="16"/>
                <w:szCs w:val="16"/>
                <w:lang w:eastAsia="tr-TR"/>
              </w:rPr>
              <w:t>-</w:t>
            </w:r>
          </w:p>
        </w:tc>
      </w:tr>
      <w:tr w:rsidR="00384FD1" w:rsidRPr="009D38D3" w14:paraId="62DEEE77" w14:textId="77777777" w:rsidTr="00F142CB">
        <w:trPr>
          <w:trHeight w:val="227"/>
        </w:trPr>
        <w:tc>
          <w:tcPr>
            <w:tcW w:w="2620" w:type="dxa"/>
            <w:shd w:val="clear" w:color="auto" w:fill="auto"/>
            <w:vAlign w:val="bottom"/>
          </w:tcPr>
          <w:p w14:paraId="039B9CD6" w14:textId="77777777" w:rsidR="00384FD1" w:rsidRPr="009D38D3" w:rsidRDefault="00384FD1" w:rsidP="00F0291B">
            <w:pPr>
              <w:rPr>
                <w:sz w:val="16"/>
                <w:szCs w:val="16"/>
              </w:rPr>
            </w:pPr>
          </w:p>
        </w:tc>
        <w:tc>
          <w:tcPr>
            <w:tcW w:w="2625" w:type="dxa"/>
            <w:shd w:val="clear" w:color="auto" w:fill="auto"/>
            <w:vAlign w:val="bottom"/>
          </w:tcPr>
          <w:p w14:paraId="03DC75F1" w14:textId="77777777" w:rsidR="00384FD1" w:rsidRPr="009D38D3" w:rsidRDefault="00384FD1" w:rsidP="00F0291B">
            <w:pPr>
              <w:rPr>
                <w:sz w:val="16"/>
                <w:szCs w:val="16"/>
              </w:rPr>
            </w:pPr>
            <w:proofErr w:type="spellStart"/>
            <w:r w:rsidRPr="009D38D3">
              <w:rPr>
                <w:sz w:val="16"/>
                <w:szCs w:val="16"/>
                <w:lang w:eastAsia="tr-TR"/>
              </w:rPr>
              <w:t>Şakir</w:t>
            </w:r>
            <w:proofErr w:type="spellEnd"/>
            <w:r w:rsidRPr="009D38D3">
              <w:rPr>
                <w:sz w:val="16"/>
                <w:szCs w:val="16"/>
                <w:lang w:eastAsia="tr-TR"/>
              </w:rPr>
              <w:t xml:space="preserve"> </w:t>
            </w:r>
            <w:proofErr w:type="spellStart"/>
            <w:r w:rsidRPr="009D38D3">
              <w:rPr>
                <w:sz w:val="16"/>
                <w:szCs w:val="16"/>
                <w:lang w:eastAsia="tr-TR"/>
              </w:rPr>
              <w:t>Sömek</w:t>
            </w:r>
            <w:proofErr w:type="spellEnd"/>
          </w:p>
        </w:tc>
        <w:tc>
          <w:tcPr>
            <w:tcW w:w="3975" w:type="dxa"/>
            <w:shd w:val="clear" w:color="auto" w:fill="auto"/>
            <w:vAlign w:val="bottom"/>
            <w:hideMark/>
          </w:tcPr>
          <w:p w14:paraId="3BA55ADE" w14:textId="77777777" w:rsidR="00384FD1" w:rsidRPr="009D38D3" w:rsidRDefault="00384FD1" w:rsidP="00F0291B">
            <w:pPr>
              <w:jc w:val="both"/>
              <w:rPr>
                <w:sz w:val="16"/>
                <w:szCs w:val="16"/>
              </w:rPr>
            </w:pPr>
            <w:r w:rsidRPr="009D38D3">
              <w:rPr>
                <w:sz w:val="16"/>
                <w:szCs w:val="16"/>
              </w:rPr>
              <w:t>Financial Institutions</w:t>
            </w:r>
          </w:p>
        </w:tc>
        <w:tc>
          <w:tcPr>
            <w:tcW w:w="1113" w:type="dxa"/>
            <w:shd w:val="clear" w:color="auto" w:fill="auto"/>
            <w:vAlign w:val="bottom"/>
            <w:hideMark/>
          </w:tcPr>
          <w:p w14:paraId="519BD8F4" w14:textId="77777777" w:rsidR="00384FD1" w:rsidRPr="009D38D3" w:rsidRDefault="00384FD1" w:rsidP="00F0291B">
            <w:pPr>
              <w:jc w:val="right"/>
              <w:rPr>
                <w:sz w:val="16"/>
                <w:szCs w:val="16"/>
                <w:lang w:eastAsia="tr-TR"/>
              </w:rPr>
            </w:pPr>
            <w:r w:rsidRPr="009D38D3">
              <w:rPr>
                <w:sz w:val="16"/>
                <w:szCs w:val="16"/>
                <w:lang w:eastAsia="tr-TR"/>
              </w:rPr>
              <w:t>-</w:t>
            </w:r>
          </w:p>
        </w:tc>
      </w:tr>
      <w:tr w:rsidR="00384FD1" w:rsidRPr="009D38D3" w14:paraId="7E89C5E7" w14:textId="77777777" w:rsidTr="00F142CB">
        <w:trPr>
          <w:trHeight w:val="227"/>
        </w:trPr>
        <w:tc>
          <w:tcPr>
            <w:tcW w:w="2620" w:type="dxa"/>
            <w:shd w:val="clear" w:color="auto" w:fill="auto"/>
            <w:vAlign w:val="bottom"/>
          </w:tcPr>
          <w:p w14:paraId="1D6F45AA" w14:textId="77777777" w:rsidR="00384FD1" w:rsidRPr="009D38D3" w:rsidRDefault="00384FD1" w:rsidP="00F0291B">
            <w:pPr>
              <w:rPr>
                <w:sz w:val="16"/>
                <w:szCs w:val="16"/>
              </w:rPr>
            </w:pPr>
          </w:p>
        </w:tc>
        <w:tc>
          <w:tcPr>
            <w:tcW w:w="2625" w:type="dxa"/>
            <w:shd w:val="clear" w:color="auto" w:fill="auto"/>
            <w:vAlign w:val="bottom"/>
          </w:tcPr>
          <w:p w14:paraId="50D05CF4" w14:textId="77777777" w:rsidR="00384FD1" w:rsidRPr="009D38D3" w:rsidRDefault="00384FD1" w:rsidP="00F0291B">
            <w:pPr>
              <w:rPr>
                <w:sz w:val="16"/>
                <w:szCs w:val="16"/>
              </w:rPr>
            </w:pPr>
            <w:proofErr w:type="spellStart"/>
            <w:r w:rsidRPr="009D38D3">
              <w:rPr>
                <w:sz w:val="16"/>
                <w:szCs w:val="16"/>
              </w:rPr>
              <w:t>Aytay</w:t>
            </w:r>
            <w:proofErr w:type="spellEnd"/>
            <w:r w:rsidRPr="009D38D3">
              <w:rPr>
                <w:sz w:val="16"/>
                <w:szCs w:val="16"/>
              </w:rPr>
              <w:t xml:space="preserve"> </w:t>
            </w:r>
            <w:proofErr w:type="spellStart"/>
            <w:r w:rsidRPr="009D38D3">
              <w:rPr>
                <w:sz w:val="16"/>
                <w:szCs w:val="16"/>
              </w:rPr>
              <w:t>Tolga</w:t>
            </w:r>
            <w:proofErr w:type="spellEnd"/>
            <w:r w:rsidRPr="009D38D3">
              <w:rPr>
                <w:sz w:val="16"/>
                <w:szCs w:val="16"/>
              </w:rPr>
              <w:t xml:space="preserve"> </w:t>
            </w:r>
            <w:proofErr w:type="spellStart"/>
            <w:r w:rsidRPr="009D38D3">
              <w:rPr>
                <w:sz w:val="16"/>
                <w:szCs w:val="16"/>
              </w:rPr>
              <w:t>Şenefe</w:t>
            </w:r>
            <w:proofErr w:type="spellEnd"/>
          </w:p>
        </w:tc>
        <w:tc>
          <w:tcPr>
            <w:tcW w:w="3975" w:type="dxa"/>
            <w:shd w:val="clear" w:color="auto" w:fill="auto"/>
            <w:vAlign w:val="bottom"/>
          </w:tcPr>
          <w:p w14:paraId="648AE071" w14:textId="77777777" w:rsidR="00384FD1" w:rsidRPr="009D38D3" w:rsidRDefault="00384FD1" w:rsidP="00F0291B">
            <w:pPr>
              <w:jc w:val="both"/>
              <w:rPr>
                <w:sz w:val="16"/>
                <w:szCs w:val="16"/>
              </w:rPr>
            </w:pPr>
            <w:r w:rsidRPr="009D38D3">
              <w:rPr>
                <w:sz w:val="16"/>
                <w:szCs w:val="16"/>
              </w:rPr>
              <w:t>Treasury</w:t>
            </w:r>
          </w:p>
        </w:tc>
        <w:tc>
          <w:tcPr>
            <w:tcW w:w="1113" w:type="dxa"/>
            <w:shd w:val="clear" w:color="auto" w:fill="auto"/>
            <w:vAlign w:val="bottom"/>
          </w:tcPr>
          <w:p w14:paraId="3ED14D28" w14:textId="77777777" w:rsidR="00384FD1" w:rsidRPr="009D38D3" w:rsidRDefault="00384FD1" w:rsidP="00F0291B">
            <w:pPr>
              <w:jc w:val="right"/>
              <w:rPr>
                <w:sz w:val="16"/>
                <w:szCs w:val="16"/>
                <w:lang w:eastAsia="tr-TR"/>
              </w:rPr>
            </w:pPr>
            <w:r w:rsidRPr="009D38D3">
              <w:rPr>
                <w:sz w:val="16"/>
                <w:szCs w:val="16"/>
                <w:lang w:eastAsia="tr-TR"/>
              </w:rPr>
              <w:t>-</w:t>
            </w:r>
          </w:p>
        </w:tc>
      </w:tr>
      <w:tr w:rsidR="00384FD1" w:rsidRPr="009D38D3" w14:paraId="6474E178" w14:textId="77777777" w:rsidTr="00F142CB">
        <w:trPr>
          <w:trHeight w:val="227"/>
        </w:trPr>
        <w:tc>
          <w:tcPr>
            <w:tcW w:w="2620" w:type="dxa"/>
            <w:shd w:val="clear" w:color="auto" w:fill="auto"/>
            <w:vAlign w:val="bottom"/>
          </w:tcPr>
          <w:p w14:paraId="067A2EF9" w14:textId="77777777" w:rsidR="00384FD1" w:rsidRPr="009D38D3" w:rsidRDefault="00384FD1" w:rsidP="00F0291B">
            <w:pPr>
              <w:rPr>
                <w:sz w:val="16"/>
                <w:szCs w:val="16"/>
              </w:rPr>
            </w:pPr>
          </w:p>
        </w:tc>
        <w:tc>
          <w:tcPr>
            <w:tcW w:w="2625" w:type="dxa"/>
            <w:shd w:val="clear" w:color="auto" w:fill="auto"/>
            <w:vAlign w:val="bottom"/>
          </w:tcPr>
          <w:p w14:paraId="1868CA45" w14:textId="77777777" w:rsidR="00384FD1" w:rsidRPr="009D38D3" w:rsidRDefault="00384FD1" w:rsidP="00F0291B">
            <w:pPr>
              <w:rPr>
                <w:sz w:val="16"/>
                <w:szCs w:val="16"/>
              </w:rPr>
            </w:pPr>
            <w:proofErr w:type="spellStart"/>
            <w:r w:rsidRPr="009D38D3">
              <w:rPr>
                <w:sz w:val="16"/>
                <w:szCs w:val="16"/>
              </w:rPr>
              <w:t>Ahmet</w:t>
            </w:r>
            <w:proofErr w:type="spellEnd"/>
            <w:r w:rsidRPr="009D38D3">
              <w:rPr>
                <w:sz w:val="16"/>
                <w:szCs w:val="16"/>
              </w:rPr>
              <w:t xml:space="preserve"> </w:t>
            </w:r>
            <w:proofErr w:type="spellStart"/>
            <w:r w:rsidRPr="009D38D3">
              <w:rPr>
                <w:sz w:val="16"/>
                <w:szCs w:val="16"/>
              </w:rPr>
              <w:t>Kağan</w:t>
            </w:r>
            <w:proofErr w:type="spellEnd"/>
            <w:r w:rsidRPr="009D38D3">
              <w:rPr>
                <w:sz w:val="16"/>
                <w:szCs w:val="16"/>
              </w:rPr>
              <w:t xml:space="preserve"> </w:t>
            </w:r>
            <w:proofErr w:type="spellStart"/>
            <w:r w:rsidRPr="009D38D3">
              <w:rPr>
                <w:sz w:val="16"/>
                <w:szCs w:val="16"/>
              </w:rPr>
              <w:t>Yıldırım</w:t>
            </w:r>
            <w:proofErr w:type="spellEnd"/>
          </w:p>
        </w:tc>
        <w:tc>
          <w:tcPr>
            <w:tcW w:w="3975" w:type="dxa"/>
            <w:shd w:val="clear" w:color="auto" w:fill="auto"/>
            <w:vAlign w:val="bottom"/>
          </w:tcPr>
          <w:p w14:paraId="07247B4F" w14:textId="77777777" w:rsidR="00384FD1" w:rsidRPr="009D38D3" w:rsidRDefault="00384FD1" w:rsidP="00F0291B">
            <w:pPr>
              <w:jc w:val="both"/>
              <w:rPr>
                <w:sz w:val="16"/>
                <w:szCs w:val="16"/>
              </w:rPr>
            </w:pPr>
            <w:r w:rsidRPr="009D38D3">
              <w:rPr>
                <w:sz w:val="16"/>
                <w:szCs w:val="16"/>
              </w:rPr>
              <w:t>Corporate Banking</w:t>
            </w:r>
          </w:p>
        </w:tc>
        <w:tc>
          <w:tcPr>
            <w:tcW w:w="1113" w:type="dxa"/>
            <w:shd w:val="clear" w:color="auto" w:fill="auto"/>
            <w:vAlign w:val="bottom"/>
          </w:tcPr>
          <w:p w14:paraId="1D9B28B1" w14:textId="77777777" w:rsidR="00384FD1" w:rsidRPr="009D38D3" w:rsidRDefault="00384FD1" w:rsidP="00F0291B">
            <w:pPr>
              <w:jc w:val="right"/>
              <w:rPr>
                <w:sz w:val="16"/>
                <w:szCs w:val="16"/>
                <w:lang w:eastAsia="tr-TR"/>
              </w:rPr>
            </w:pPr>
            <w:r w:rsidRPr="009D38D3">
              <w:rPr>
                <w:sz w:val="16"/>
                <w:szCs w:val="16"/>
                <w:lang w:eastAsia="tr-TR"/>
              </w:rPr>
              <w:t>-</w:t>
            </w:r>
          </w:p>
        </w:tc>
      </w:tr>
      <w:tr w:rsidR="00384FD1" w:rsidRPr="009D38D3" w14:paraId="78FC0BA9" w14:textId="77777777" w:rsidTr="00F142CB">
        <w:trPr>
          <w:trHeight w:val="227"/>
        </w:trPr>
        <w:tc>
          <w:tcPr>
            <w:tcW w:w="2620" w:type="dxa"/>
            <w:shd w:val="clear" w:color="auto" w:fill="auto"/>
            <w:vAlign w:val="bottom"/>
          </w:tcPr>
          <w:p w14:paraId="72FAAA42" w14:textId="77777777" w:rsidR="00384FD1" w:rsidRPr="009D38D3" w:rsidRDefault="00384FD1" w:rsidP="00F0291B">
            <w:pPr>
              <w:rPr>
                <w:sz w:val="16"/>
                <w:szCs w:val="16"/>
              </w:rPr>
            </w:pPr>
          </w:p>
        </w:tc>
        <w:tc>
          <w:tcPr>
            <w:tcW w:w="2625" w:type="dxa"/>
            <w:shd w:val="clear" w:color="auto" w:fill="auto"/>
            <w:vAlign w:val="bottom"/>
          </w:tcPr>
          <w:p w14:paraId="156294E0" w14:textId="77777777" w:rsidR="00384FD1" w:rsidRPr="009D38D3" w:rsidRDefault="00384FD1" w:rsidP="00F0291B">
            <w:pPr>
              <w:rPr>
                <w:sz w:val="16"/>
                <w:szCs w:val="16"/>
              </w:rPr>
            </w:pPr>
          </w:p>
        </w:tc>
        <w:tc>
          <w:tcPr>
            <w:tcW w:w="3975" w:type="dxa"/>
            <w:shd w:val="clear" w:color="auto" w:fill="auto"/>
            <w:vAlign w:val="bottom"/>
          </w:tcPr>
          <w:p w14:paraId="01F60243" w14:textId="77777777" w:rsidR="00384FD1" w:rsidRPr="009D38D3" w:rsidRDefault="00384FD1" w:rsidP="00F0291B">
            <w:pPr>
              <w:jc w:val="both"/>
              <w:rPr>
                <w:sz w:val="16"/>
                <w:szCs w:val="16"/>
              </w:rPr>
            </w:pPr>
          </w:p>
        </w:tc>
        <w:tc>
          <w:tcPr>
            <w:tcW w:w="1113" w:type="dxa"/>
            <w:shd w:val="clear" w:color="auto" w:fill="auto"/>
            <w:vAlign w:val="bottom"/>
          </w:tcPr>
          <w:p w14:paraId="55C1703F" w14:textId="77777777" w:rsidR="00384FD1" w:rsidRPr="009D38D3" w:rsidRDefault="00384FD1" w:rsidP="00F0291B">
            <w:pPr>
              <w:jc w:val="right"/>
              <w:rPr>
                <w:sz w:val="16"/>
                <w:szCs w:val="16"/>
                <w:lang w:eastAsia="tr-TR"/>
              </w:rPr>
            </w:pPr>
          </w:p>
        </w:tc>
      </w:tr>
      <w:tr w:rsidR="00384FD1" w:rsidRPr="009D38D3" w14:paraId="5DEE9C4D" w14:textId="77777777" w:rsidTr="00F142CB">
        <w:trPr>
          <w:trHeight w:val="227"/>
        </w:trPr>
        <w:tc>
          <w:tcPr>
            <w:tcW w:w="2620" w:type="dxa"/>
            <w:shd w:val="clear" w:color="auto" w:fill="auto"/>
            <w:vAlign w:val="bottom"/>
          </w:tcPr>
          <w:p w14:paraId="78583D04" w14:textId="77777777" w:rsidR="00384FD1" w:rsidRPr="009D38D3" w:rsidRDefault="00384FD1" w:rsidP="00F0291B">
            <w:pPr>
              <w:rPr>
                <w:sz w:val="16"/>
                <w:szCs w:val="16"/>
              </w:rPr>
            </w:pPr>
            <w:r w:rsidRPr="009D38D3">
              <w:rPr>
                <w:sz w:val="16"/>
                <w:szCs w:val="16"/>
              </w:rPr>
              <w:t>Chairman of Board of Inspectors</w:t>
            </w:r>
          </w:p>
        </w:tc>
        <w:tc>
          <w:tcPr>
            <w:tcW w:w="2625" w:type="dxa"/>
            <w:shd w:val="clear" w:color="auto" w:fill="auto"/>
            <w:vAlign w:val="bottom"/>
          </w:tcPr>
          <w:p w14:paraId="6C29AE93" w14:textId="77777777" w:rsidR="00384FD1" w:rsidRPr="009D38D3" w:rsidRDefault="00384FD1" w:rsidP="00F0291B">
            <w:pPr>
              <w:rPr>
                <w:sz w:val="16"/>
                <w:szCs w:val="16"/>
              </w:rPr>
            </w:pPr>
            <w:r w:rsidRPr="009D38D3">
              <w:rPr>
                <w:sz w:val="16"/>
                <w:szCs w:val="16"/>
              </w:rPr>
              <w:t xml:space="preserve">Mustafa </w:t>
            </w:r>
            <w:proofErr w:type="spellStart"/>
            <w:r w:rsidRPr="009D38D3">
              <w:rPr>
                <w:sz w:val="16"/>
                <w:szCs w:val="16"/>
              </w:rPr>
              <w:t>Mutlu</w:t>
            </w:r>
            <w:proofErr w:type="spellEnd"/>
            <w:r w:rsidRPr="009D38D3">
              <w:rPr>
                <w:sz w:val="16"/>
                <w:szCs w:val="16"/>
              </w:rPr>
              <w:t xml:space="preserve"> </w:t>
            </w:r>
            <w:proofErr w:type="spellStart"/>
            <w:r w:rsidRPr="009D38D3">
              <w:rPr>
                <w:sz w:val="16"/>
                <w:szCs w:val="16"/>
              </w:rPr>
              <w:t>Çalışkan</w:t>
            </w:r>
            <w:proofErr w:type="spellEnd"/>
          </w:p>
        </w:tc>
        <w:tc>
          <w:tcPr>
            <w:tcW w:w="3975" w:type="dxa"/>
            <w:shd w:val="clear" w:color="auto" w:fill="auto"/>
            <w:vAlign w:val="bottom"/>
          </w:tcPr>
          <w:p w14:paraId="161B1B71" w14:textId="77777777" w:rsidR="00384FD1" w:rsidRPr="009D38D3" w:rsidRDefault="00384FD1" w:rsidP="00F0291B">
            <w:pPr>
              <w:jc w:val="both"/>
              <w:rPr>
                <w:sz w:val="16"/>
                <w:szCs w:val="16"/>
              </w:rPr>
            </w:pPr>
            <w:r w:rsidRPr="009D38D3">
              <w:rPr>
                <w:sz w:val="16"/>
                <w:szCs w:val="16"/>
              </w:rPr>
              <w:t>Board of Inspectors</w:t>
            </w:r>
          </w:p>
        </w:tc>
        <w:tc>
          <w:tcPr>
            <w:tcW w:w="1113" w:type="dxa"/>
            <w:shd w:val="clear" w:color="auto" w:fill="auto"/>
            <w:vAlign w:val="bottom"/>
          </w:tcPr>
          <w:p w14:paraId="28F87008" w14:textId="77777777" w:rsidR="00384FD1" w:rsidRPr="009D38D3" w:rsidRDefault="00384FD1" w:rsidP="00F0291B">
            <w:pPr>
              <w:jc w:val="right"/>
              <w:rPr>
                <w:sz w:val="16"/>
                <w:szCs w:val="16"/>
                <w:lang w:eastAsia="tr-TR"/>
              </w:rPr>
            </w:pPr>
            <w:r w:rsidRPr="009D38D3">
              <w:rPr>
                <w:sz w:val="16"/>
                <w:szCs w:val="16"/>
                <w:lang w:eastAsia="tr-TR"/>
              </w:rPr>
              <w:t>-</w:t>
            </w:r>
          </w:p>
        </w:tc>
      </w:tr>
    </w:tbl>
    <w:p w14:paraId="25EF150F" w14:textId="77777777" w:rsidR="002911B8" w:rsidRPr="00604C75" w:rsidRDefault="002911B8" w:rsidP="000202EF">
      <w:pPr>
        <w:tabs>
          <w:tab w:val="left" w:pos="360"/>
          <w:tab w:val="right" w:pos="5040"/>
          <w:tab w:val="right" w:pos="8460"/>
        </w:tabs>
        <w:suppressAutoHyphens/>
        <w:ind w:right="-28"/>
        <w:jc w:val="both"/>
        <w:rPr>
          <w:b/>
          <w:noProof/>
          <w:sz w:val="20"/>
          <w:szCs w:val="20"/>
          <w:lang w:val="tr-TR"/>
        </w:rPr>
      </w:pPr>
    </w:p>
    <w:p w14:paraId="6007A72E" w14:textId="77777777" w:rsidR="00384FD1" w:rsidRDefault="00384FD1">
      <w:pPr>
        <w:spacing w:after="200" w:line="276" w:lineRule="auto"/>
        <w:rPr>
          <w:b/>
          <w:noProof/>
          <w:sz w:val="20"/>
          <w:szCs w:val="20"/>
          <w:lang w:val="tr-TR"/>
        </w:rPr>
      </w:pPr>
      <w:r>
        <w:rPr>
          <w:b/>
          <w:noProof/>
          <w:sz w:val="20"/>
          <w:szCs w:val="20"/>
          <w:lang w:val="tr-TR"/>
        </w:rPr>
        <w:br w:type="page"/>
      </w:r>
    </w:p>
    <w:p w14:paraId="20A57B89" w14:textId="77777777" w:rsidR="000202EF" w:rsidRPr="00604C75" w:rsidRDefault="000202EF" w:rsidP="00F142CB">
      <w:pPr>
        <w:tabs>
          <w:tab w:val="left" w:pos="360"/>
          <w:tab w:val="right" w:pos="5040"/>
          <w:tab w:val="right" w:pos="8460"/>
        </w:tabs>
        <w:suppressAutoHyphens/>
        <w:spacing w:before="120"/>
        <w:ind w:right="-28"/>
        <w:jc w:val="both"/>
        <w:rPr>
          <w:noProof/>
          <w:sz w:val="20"/>
          <w:szCs w:val="20"/>
          <w:lang w:val="tr-TR"/>
        </w:rPr>
      </w:pPr>
      <w:r w:rsidRPr="00604C75">
        <w:rPr>
          <w:b/>
          <w:noProof/>
          <w:sz w:val="20"/>
          <w:szCs w:val="20"/>
          <w:lang w:val="tr-TR"/>
        </w:rPr>
        <w:lastRenderedPageBreak/>
        <w:t>GENERAL INFORMATION (Continued)</w:t>
      </w:r>
    </w:p>
    <w:p w14:paraId="79D7CB56" w14:textId="7880BADB" w:rsidR="005A22DE" w:rsidRPr="00604C75" w:rsidRDefault="00FD1CC2" w:rsidP="00F142CB">
      <w:pPr>
        <w:pStyle w:val="BodyTextIndent"/>
        <w:widowControl w:val="0"/>
        <w:numPr>
          <w:ilvl w:val="0"/>
          <w:numId w:val="4"/>
        </w:numPr>
        <w:tabs>
          <w:tab w:val="clear" w:pos="1275"/>
          <w:tab w:val="left" w:pos="567"/>
        </w:tabs>
        <w:spacing w:before="120" w:after="0" w:line="221" w:lineRule="auto"/>
        <w:ind w:left="851" w:hanging="851"/>
        <w:jc w:val="both"/>
        <w:rPr>
          <w:b/>
          <w:bCs/>
          <w:caps/>
          <w:noProof/>
          <w:sz w:val="20"/>
          <w:szCs w:val="20"/>
          <w:lang w:val="tr-TR"/>
        </w:rPr>
      </w:pPr>
      <w:r>
        <w:rPr>
          <w:b/>
          <w:noProof/>
          <w:sz w:val="20"/>
          <w:szCs w:val="20"/>
          <w:lang w:val="tr-TR"/>
        </w:rPr>
        <w:t>Information</w:t>
      </w:r>
      <w:r w:rsidR="005A22DE" w:rsidRPr="00604C75">
        <w:rPr>
          <w:b/>
          <w:bCs/>
          <w:caps/>
          <w:noProof/>
          <w:sz w:val="20"/>
          <w:szCs w:val="20"/>
          <w:lang w:val="tr-TR"/>
        </w:rPr>
        <w:t xml:space="preserve"> </w:t>
      </w:r>
      <w:r w:rsidR="005F2B16" w:rsidRPr="00604C75">
        <w:rPr>
          <w:b/>
          <w:bCs/>
          <w:sz w:val="20"/>
          <w:szCs w:val="20"/>
        </w:rPr>
        <w:t>o</w:t>
      </w:r>
      <w:r w:rsidR="004D367D" w:rsidRPr="00604C75">
        <w:rPr>
          <w:b/>
          <w:bCs/>
          <w:sz w:val="20"/>
          <w:szCs w:val="20"/>
        </w:rPr>
        <w:t xml:space="preserve">n </w:t>
      </w:r>
      <w:r w:rsidR="005F2B16" w:rsidRPr="00604C75">
        <w:rPr>
          <w:b/>
          <w:bCs/>
          <w:sz w:val="20"/>
          <w:szCs w:val="20"/>
        </w:rPr>
        <w:t>t</w:t>
      </w:r>
      <w:r w:rsidR="004D367D" w:rsidRPr="00604C75">
        <w:rPr>
          <w:b/>
          <w:bCs/>
          <w:sz w:val="20"/>
          <w:szCs w:val="20"/>
        </w:rPr>
        <w:t>he Parent Bank</w:t>
      </w:r>
      <w:r w:rsidR="00D04F5E">
        <w:rPr>
          <w:b/>
          <w:bCs/>
          <w:sz w:val="20"/>
          <w:szCs w:val="20"/>
        </w:rPr>
        <w:t>’</w:t>
      </w:r>
      <w:r w:rsidR="004D367D" w:rsidRPr="00604C75">
        <w:rPr>
          <w:b/>
          <w:bCs/>
          <w:sz w:val="20"/>
          <w:szCs w:val="20"/>
        </w:rPr>
        <w:t>s</w:t>
      </w:r>
      <w:r w:rsidR="004D367D" w:rsidRPr="00604C75">
        <w:rPr>
          <w:b/>
          <w:bCs/>
          <w:caps/>
          <w:noProof/>
          <w:sz w:val="20"/>
          <w:szCs w:val="20"/>
          <w:lang w:val="tr-TR"/>
        </w:rPr>
        <w:t xml:space="preserve"> </w:t>
      </w:r>
      <w:r w:rsidR="00621CC7" w:rsidRPr="00604C75">
        <w:rPr>
          <w:b/>
          <w:bCs/>
          <w:sz w:val="20"/>
          <w:szCs w:val="20"/>
        </w:rPr>
        <w:t>Qualified Shareholder</w:t>
      </w:r>
      <w:r w:rsidR="004D367D" w:rsidRPr="00604C75">
        <w:rPr>
          <w:b/>
          <w:bCs/>
          <w:sz w:val="20"/>
          <w:szCs w:val="20"/>
        </w:rPr>
        <w:t>s</w:t>
      </w:r>
    </w:p>
    <w:p w14:paraId="3BC11E5F" w14:textId="77777777" w:rsidR="005A22DE" w:rsidRPr="00604C75" w:rsidRDefault="005A22DE" w:rsidP="00F142CB">
      <w:pPr>
        <w:widowControl w:val="0"/>
        <w:spacing w:before="120" w:after="120" w:line="221" w:lineRule="auto"/>
        <w:jc w:val="both"/>
        <w:rPr>
          <w:bCs/>
          <w:sz w:val="20"/>
          <w:szCs w:val="20"/>
        </w:rPr>
      </w:pPr>
      <w:r w:rsidRPr="00604C75">
        <w:rPr>
          <w:bCs/>
          <w:sz w:val="20"/>
          <w:szCs w:val="20"/>
        </w:rPr>
        <w:t>Accordin</w:t>
      </w:r>
      <w:r w:rsidR="00D4534C" w:rsidRPr="00604C75">
        <w:rPr>
          <w:bCs/>
          <w:sz w:val="20"/>
          <w:szCs w:val="20"/>
        </w:rPr>
        <w:t>g to the Banking Act No: 5411 regarding</w:t>
      </w:r>
      <w:r w:rsidRPr="00604C75">
        <w:rPr>
          <w:bCs/>
          <w:sz w:val="20"/>
          <w:szCs w:val="20"/>
        </w:rPr>
        <w:t xml:space="preserve"> </w:t>
      </w:r>
      <w:r w:rsidR="00D4534C" w:rsidRPr="00604C75">
        <w:rPr>
          <w:bCs/>
          <w:sz w:val="20"/>
          <w:szCs w:val="20"/>
        </w:rPr>
        <w:t>d</w:t>
      </w:r>
      <w:r w:rsidRPr="00604C75">
        <w:rPr>
          <w:bCs/>
          <w:sz w:val="20"/>
          <w:szCs w:val="20"/>
        </w:rPr>
        <w:t>efinitio</w:t>
      </w:r>
      <w:r w:rsidR="00D4534C" w:rsidRPr="00604C75">
        <w:rPr>
          <w:bCs/>
          <w:sz w:val="20"/>
          <w:szCs w:val="20"/>
        </w:rPr>
        <w:t>n of Qualified Shares and Bank T</w:t>
      </w:r>
      <w:r w:rsidRPr="00604C75">
        <w:rPr>
          <w:bCs/>
          <w:sz w:val="20"/>
          <w:szCs w:val="20"/>
        </w:rPr>
        <w:t xml:space="preserve">ransactions </w:t>
      </w:r>
      <w:r w:rsidR="00D4534C" w:rsidRPr="00604C75">
        <w:rPr>
          <w:bCs/>
          <w:sz w:val="20"/>
          <w:szCs w:val="20"/>
        </w:rPr>
        <w:t>that are subject to Permission and Indirect S</w:t>
      </w:r>
      <w:r w:rsidRPr="00604C75">
        <w:rPr>
          <w:bCs/>
          <w:sz w:val="20"/>
          <w:szCs w:val="20"/>
        </w:rPr>
        <w:t xml:space="preserve">hareholding </w:t>
      </w:r>
      <w:r w:rsidR="00D4534C" w:rsidRPr="00604C75">
        <w:rPr>
          <w:bCs/>
          <w:sz w:val="20"/>
          <w:szCs w:val="20"/>
        </w:rPr>
        <w:t>R</w:t>
      </w:r>
      <w:r w:rsidRPr="00604C75">
        <w:rPr>
          <w:bCs/>
          <w:sz w:val="20"/>
          <w:szCs w:val="20"/>
        </w:rPr>
        <w:t>egulation</w:t>
      </w:r>
      <w:r w:rsidR="005328B4" w:rsidRPr="00604C75">
        <w:rPr>
          <w:bCs/>
          <w:sz w:val="20"/>
          <w:szCs w:val="20"/>
        </w:rPr>
        <w:t xml:space="preserve">’s </w:t>
      </w:r>
      <w:r w:rsidR="00D4534C" w:rsidRPr="00604C75">
        <w:rPr>
          <w:bCs/>
          <w:sz w:val="20"/>
          <w:szCs w:val="20"/>
        </w:rPr>
        <w:t>article</w:t>
      </w:r>
      <w:r w:rsidR="005328B4" w:rsidRPr="00604C75">
        <w:rPr>
          <w:bCs/>
          <w:sz w:val="20"/>
          <w:szCs w:val="20"/>
        </w:rPr>
        <w:t xml:space="preserve"> 13</w:t>
      </w:r>
      <w:r w:rsidR="00D4534C" w:rsidRPr="00604C75">
        <w:rPr>
          <w:bCs/>
          <w:sz w:val="20"/>
          <w:szCs w:val="20"/>
        </w:rPr>
        <w:t xml:space="preserve">, direct and indirect qualified shareholders of the </w:t>
      </w:r>
      <w:r w:rsidR="009A49B7" w:rsidRPr="00604C75">
        <w:rPr>
          <w:bCs/>
          <w:sz w:val="20"/>
          <w:szCs w:val="20"/>
        </w:rPr>
        <w:t xml:space="preserve">Parent </w:t>
      </w:r>
      <w:r w:rsidR="003E2094" w:rsidRPr="00604C75">
        <w:rPr>
          <w:bCs/>
          <w:sz w:val="20"/>
          <w:szCs w:val="20"/>
        </w:rPr>
        <w:t>Bank</w:t>
      </w:r>
      <w:r w:rsidR="0079118B" w:rsidRPr="00604C75">
        <w:rPr>
          <w:bCs/>
          <w:sz w:val="20"/>
          <w:szCs w:val="20"/>
        </w:rPr>
        <w:t>’s</w:t>
      </w:r>
      <w:r w:rsidR="00D4534C" w:rsidRPr="00604C75">
        <w:rPr>
          <w:bCs/>
          <w:sz w:val="20"/>
          <w:szCs w:val="20"/>
        </w:rPr>
        <w:t xml:space="preserve"> Capital is as follows. </w:t>
      </w:r>
    </w:p>
    <w:tbl>
      <w:tblPr>
        <w:tblW w:w="9086"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549"/>
        <w:gridCol w:w="1825"/>
        <w:gridCol w:w="1241"/>
        <w:gridCol w:w="1637"/>
        <w:gridCol w:w="1834"/>
      </w:tblGrid>
      <w:tr w:rsidR="005A22DE" w:rsidRPr="00604C75" w14:paraId="5002CF64" w14:textId="77777777" w:rsidTr="00AD726D">
        <w:trPr>
          <w:trHeight w:val="284"/>
        </w:trPr>
        <w:tc>
          <w:tcPr>
            <w:tcW w:w="2549" w:type="dxa"/>
            <w:vAlign w:val="bottom"/>
          </w:tcPr>
          <w:p w14:paraId="57720C15" w14:textId="77777777" w:rsidR="005A22DE" w:rsidRPr="00604C75" w:rsidRDefault="005A22DE" w:rsidP="00F142CB">
            <w:pPr>
              <w:widowControl w:val="0"/>
              <w:spacing w:before="120" w:line="221" w:lineRule="auto"/>
              <w:ind w:right="2"/>
              <w:rPr>
                <w:rFonts w:eastAsia="Arial Unicode MS"/>
                <w:b/>
                <w:sz w:val="18"/>
              </w:rPr>
            </w:pPr>
            <w:r w:rsidRPr="00604C75">
              <w:rPr>
                <w:rFonts w:eastAsia="Arial Unicode MS"/>
                <w:b/>
                <w:sz w:val="18"/>
              </w:rPr>
              <w:t>Name/Commercial Title</w:t>
            </w:r>
          </w:p>
        </w:tc>
        <w:tc>
          <w:tcPr>
            <w:tcW w:w="1825" w:type="dxa"/>
            <w:vAlign w:val="bottom"/>
          </w:tcPr>
          <w:p w14:paraId="4D467697" w14:textId="77777777" w:rsidR="005A22DE" w:rsidRPr="00604C75" w:rsidRDefault="005A22DE" w:rsidP="00F142CB">
            <w:pPr>
              <w:widowControl w:val="0"/>
              <w:spacing w:before="120" w:line="221" w:lineRule="auto"/>
              <w:ind w:right="40"/>
              <w:jc w:val="right"/>
              <w:rPr>
                <w:rFonts w:eastAsia="Arial Unicode MS"/>
                <w:b/>
                <w:sz w:val="18"/>
              </w:rPr>
            </w:pPr>
            <w:r w:rsidRPr="00604C75">
              <w:rPr>
                <w:b/>
                <w:sz w:val="18"/>
              </w:rPr>
              <w:t>Share Amounts (Nominal)</w:t>
            </w:r>
          </w:p>
        </w:tc>
        <w:tc>
          <w:tcPr>
            <w:tcW w:w="1241" w:type="dxa"/>
            <w:vAlign w:val="bottom"/>
          </w:tcPr>
          <w:p w14:paraId="23406D74" w14:textId="77777777" w:rsidR="005A22DE" w:rsidRPr="00604C75" w:rsidRDefault="005A22DE" w:rsidP="00F142CB">
            <w:pPr>
              <w:widowControl w:val="0"/>
              <w:spacing w:before="120" w:line="221" w:lineRule="auto"/>
              <w:ind w:right="40"/>
              <w:jc w:val="right"/>
              <w:rPr>
                <w:rFonts w:eastAsia="Arial Unicode MS"/>
                <w:b/>
                <w:sz w:val="18"/>
              </w:rPr>
            </w:pPr>
            <w:r w:rsidRPr="00604C75">
              <w:rPr>
                <w:b/>
                <w:sz w:val="18"/>
              </w:rPr>
              <w:t xml:space="preserve">Share </w:t>
            </w:r>
            <w:r w:rsidR="00D37D66" w:rsidRPr="00604C75">
              <w:rPr>
                <w:b/>
                <w:sz w:val="18"/>
              </w:rPr>
              <w:t>Ratio</w:t>
            </w:r>
          </w:p>
        </w:tc>
        <w:tc>
          <w:tcPr>
            <w:tcW w:w="1637" w:type="dxa"/>
            <w:vAlign w:val="bottom"/>
          </w:tcPr>
          <w:p w14:paraId="79B3B282" w14:textId="77777777" w:rsidR="005A22DE" w:rsidRPr="00604C75" w:rsidRDefault="005A22DE" w:rsidP="00F142CB">
            <w:pPr>
              <w:widowControl w:val="0"/>
              <w:spacing w:before="120" w:line="221" w:lineRule="auto"/>
              <w:ind w:right="40"/>
              <w:jc w:val="right"/>
              <w:rPr>
                <w:rFonts w:eastAsia="Arial Unicode MS"/>
                <w:b/>
                <w:sz w:val="18"/>
              </w:rPr>
            </w:pPr>
            <w:r w:rsidRPr="00604C75">
              <w:rPr>
                <w:b/>
                <w:sz w:val="18"/>
              </w:rPr>
              <w:t>Paid-in Capital (Nominal)</w:t>
            </w:r>
          </w:p>
        </w:tc>
        <w:tc>
          <w:tcPr>
            <w:tcW w:w="1834" w:type="dxa"/>
            <w:vAlign w:val="bottom"/>
          </w:tcPr>
          <w:p w14:paraId="7DD42E58" w14:textId="77777777" w:rsidR="005A22DE" w:rsidRPr="00604C75" w:rsidRDefault="005A22DE" w:rsidP="00F142CB">
            <w:pPr>
              <w:widowControl w:val="0"/>
              <w:spacing w:before="120" w:line="221" w:lineRule="auto"/>
              <w:ind w:right="40"/>
              <w:jc w:val="right"/>
              <w:rPr>
                <w:rFonts w:eastAsia="Arial Unicode MS"/>
                <w:b/>
                <w:sz w:val="18"/>
              </w:rPr>
            </w:pPr>
            <w:r w:rsidRPr="00604C75">
              <w:rPr>
                <w:b/>
                <w:sz w:val="18"/>
              </w:rPr>
              <w:t>Unpaid Portion</w:t>
            </w:r>
          </w:p>
        </w:tc>
      </w:tr>
      <w:tr w:rsidR="00723A0E" w:rsidRPr="00604C75" w14:paraId="0A06A042" w14:textId="77777777" w:rsidTr="00723A0E">
        <w:trPr>
          <w:trHeight w:val="212"/>
        </w:trPr>
        <w:tc>
          <w:tcPr>
            <w:tcW w:w="2549" w:type="dxa"/>
            <w:vAlign w:val="bottom"/>
          </w:tcPr>
          <w:p w14:paraId="16DB1F0D" w14:textId="3952751C" w:rsidR="00723A0E" w:rsidRPr="00604C75" w:rsidRDefault="00723A0E" w:rsidP="00F142CB">
            <w:pPr>
              <w:widowControl w:val="0"/>
              <w:spacing w:before="120" w:line="221" w:lineRule="auto"/>
              <w:ind w:right="2"/>
              <w:rPr>
                <w:rFonts w:eastAsia="Arial Unicode MS"/>
                <w:sz w:val="18"/>
              </w:rPr>
            </w:pPr>
            <w:r w:rsidRPr="00604C75">
              <w:rPr>
                <w:rFonts w:eastAsia="Arial Unicode MS"/>
                <w:sz w:val="18"/>
              </w:rPr>
              <w:t>Commercial Bank</w:t>
            </w:r>
            <w:r w:rsidR="00F142CB">
              <w:rPr>
                <w:rFonts w:eastAsia="Arial Unicode MS"/>
                <w:sz w:val="18"/>
              </w:rPr>
              <w:t xml:space="preserve"> of Qatar</w:t>
            </w:r>
          </w:p>
        </w:tc>
        <w:tc>
          <w:tcPr>
            <w:tcW w:w="1825" w:type="dxa"/>
            <w:vAlign w:val="bottom"/>
          </w:tcPr>
          <w:p w14:paraId="6F42E287" w14:textId="77777777" w:rsidR="00723A0E" w:rsidRPr="009D38D3" w:rsidRDefault="00723A0E" w:rsidP="00F142CB">
            <w:pPr>
              <w:spacing w:before="120" w:line="223" w:lineRule="auto"/>
              <w:ind w:left="-85" w:right="106"/>
              <w:jc w:val="right"/>
              <w:rPr>
                <w:rFonts w:eastAsia="Arial Unicode MS"/>
                <w:sz w:val="18"/>
              </w:rPr>
            </w:pPr>
            <w:r w:rsidRPr="009D38D3">
              <w:rPr>
                <w:rFonts w:eastAsia="Arial Unicode MS"/>
                <w:sz w:val="18"/>
              </w:rPr>
              <w:t xml:space="preserve">    465,000</w:t>
            </w:r>
          </w:p>
        </w:tc>
        <w:tc>
          <w:tcPr>
            <w:tcW w:w="1241" w:type="dxa"/>
            <w:vAlign w:val="bottom"/>
          </w:tcPr>
          <w:p w14:paraId="73F946B5" w14:textId="77777777" w:rsidR="00723A0E" w:rsidRPr="009D38D3" w:rsidRDefault="00723A0E" w:rsidP="00F142CB">
            <w:pPr>
              <w:spacing w:before="120" w:line="223" w:lineRule="auto"/>
              <w:ind w:left="-85" w:right="71"/>
              <w:jc w:val="right"/>
              <w:rPr>
                <w:rFonts w:eastAsia="Arial Unicode MS"/>
                <w:sz w:val="18"/>
              </w:rPr>
            </w:pPr>
            <w:r w:rsidRPr="009D38D3">
              <w:rPr>
                <w:rFonts w:eastAsia="Arial Unicode MS"/>
                <w:sz w:val="18"/>
              </w:rPr>
              <w:t xml:space="preserve"> 75.00</w:t>
            </w:r>
            <w:r w:rsidR="001E4A39" w:rsidRPr="009D38D3">
              <w:rPr>
                <w:rFonts w:eastAsia="Arial Unicode MS"/>
                <w:sz w:val="18"/>
              </w:rPr>
              <w:t>%</w:t>
            </w:r>
          </w:p>
        </w:tc>
        <w:tc>
          <w:tcPr>
            <w:tcW w:w="1637" w:type="dxa"/>
            <w:vAlign w:val="bottom"/>
          </w:tcPr>
          <w:p w14:paraId="3D1A7CB9" w14:textId="77777777" w:rsidR="00723A0E" w:rsidRPr="009D38D3" w:rsidRDefault="00723A0E" w:rsidP="00F142CB">
            <w:pPr>
              <w:spacing w:before="120" w:line="223" w:lineRule="auto"/>
              <w:ind w:left="-85" w:right="149"/>
              <w:jc w:val="right"/>
              <w:rPr>
                <w:rFonts w:eastAsia="Arial Unicode MS"/>
                <w:sz w:val="18"/>
              </w:rPr>
            </w:pPr>
            <w:r w:rsidRPr="009D38D3">
              <w:rPr>
                <w:rFonts w:eastAsia="Arial Unicode MS"/>
                <w:sz w:val="18"/>
              </w:rPr>
              <w:t>465,000</w:t>
            </w:r>
          </w:p>
        </w:tc>
        <w:tc>
          <w:tcPr>
            <w:tcW w:w="1834" w:type="dxa"/>
            <w:vAlign w:val="bottom"/>
          </w:tcPr>
          <w:p w14:paraId="3C2F9F7F" w14:textId="77777777" w:rsidR="00723A0E" w:rsidRPr="009D38D3" w:rsidRDefault="00723A0E" w:rsidP="00F142CB">
            <w:pPr>
              <w:pStyle w:val="xl79"/>
              <w:pBdr>
                <w:left w:val="none" w:sz="0" w:space="0" w:color="auto"/>
                <w:bottom w:val="none" w:sz="0" w:space="0" w:color="auto"/>
                <w:right w:val="none" w:sz="0" w:space="0" w:color="auto"/>
              </w:pBdr>
              <w:spacing w:before="120" w:beforeAutospacing="0" w:after="0" w:afterAutospacing="0" w:line="223" w:lineRule="auto"/>
              <w:ind w:left="-85" w:right="270"/>
              <w:jc w:val="right"/>
            </w:pPr>
            <w:r w:rsidRPr="009D38D3">
              <w:t>-</w:t>
            </w:r>
          </w:p>
        </w:tc>
      </w:tr>
      <w:tr w:rsidR="00723A0E" w:rsidRPr="00604C75" w14:paraId="1E9164D2" w14:textId="77777777" w:rsidTr="00723A0E">
        <w:trPr>
          <w:trHeight w:val="284"/>
        </w:trPr>
        <w:tc>
          <w:tcPr>
            <w:tcW w:w="2549" w:type="dxa"/>
            <w:vAlign w:val="bottom"/>
          </w:tcPr>
          <w:p w14:paraId="3B3EC4A4" w14:textId="77777777" w:rsidR="00723A0E" w:rsidRPr="00604C75" w:rsidRDefault="00723A0E" w:rsidP="00F142CB">
            <w:pPr>
              <w:widowControl w:val="0"/>
              <w:spacing w:before="120" w:line="221" w:lineRule="auto"/>
              <w:ind w:right="2"/>
              <w:rPr>
                <w:rFonts w:eastAsia="Arial Unicode MS"/>
                <w:sz w:val="18"/>
              </w:rPr>
            </w:pPr>
            <w:proofErr w:type="spellStart"/>
            <w:r w:rsidRPr="00604C75">
              <w:rPr>
                <w:rFonts w:eastAsia="Arial Unicode MS"/>
                <w:sz w:val="18"/>
              </w:rPr>
              <w:t>Anadolu</w:t>
            </w:r>
            <w:proofErr w:type="spellEnd"/>
            <w:r w:rsidRPr="00604C75">
              <w:rPr>
                <w:rFonts w:eastAsia="Arial Unicode MS"/>
                <w:sz w:val="18"/>
              </w:rPr>
              <w:t xml:space="preserve"> </w:t>
            </w:r>
            <w:proofErr w:type="spellStart"/>
            <w:r w:rsidRPr="00604C75">
              <w:rPr>
                <w:rFonts w:eastAsia="Arial Unicode MS"/>
                <w:sz w:val="18"/>
              </w:rPr>
              <w:t>Endüstri</w:t>
            </w:r>
            <w:proofErr w:type="spellEnd"/>
            <w:r w:rsidRPr="00604C75">
              <w:rPr>
                <w:rFonts w:eastAsia="Arial Unicode MS"/>
                <w:sz w:val="18"/>
              </w:rPr>
              <w:t xml:space="preserve"> Holding A.Ş.</w:t>
            </w:r>
          </w:p>
        </w:tc>
        <w:tc>
          <w:tcPr>
            <w:tcW w:w="1825" w:type="dxa"/>
            <w:vAlign w:val="bottom"/>
          </w:tcPr>
          <w:p w14:paraId="720A980C" w14:textId="77777777" w:rsidR="00723A0E" w:rsidRPr="009D38D3" w:rsidRDefault="00723A0E" w:rsidP="00F142CB">
            <w:pPr>
              <w:spacing w:before="120"/>
              <w:ind w:right="-177"/>
              <w:jc w:val="center"/>
              <w:rPr>
                <w:sz w:val="18"/>
                <w:szCs w:val="18"/>
              </w:rPr>
            </w:pPr>
            <w:r w:rsidRPr="009D38D3">
              <w:rPr>
                <w:sz w:val="18"/>
                <w:szCs w:val="18"/>
              </w:rPr>
              <w:t xml:space="preserve">                  106,683</w:t>
            </w:r>
          </w:p>
        </w:tc>
        <w:tc>
          <w:tcPr>
            <w:tcW w:w="1241" w:type="dxa"/>
            <w:vAlign w:val="bottom"/>
          </w:tcPr>
          <w:p w14:paraId="1B7807B6" w14:textId="77777777" w:rsidR="00723A0E" w:rsidRPr="009D38D3" w:rsidRDefault="00723A0E" w:rsidP="00F142CB">
            <w:pPr>
              <w:spacing w:before="120"/>
              <w:ind w:right="-125"/>
              <w:jc w:val="center"/>
              <w:rPr>
                <w:sz w:val="18"/>
                <w:szCs w:val="18"/>
              </w:rPr>
            </w:pPr>
            <w:r w:rsidRPr="009D38D3">
              <w:rPr>
                <w:sz w:val="18"/>
                <w:szCs w:val="18"/>
              </w:rPr>
              <w:t xml:space="preserve">         17.21</w:t>
            </w:r>
            <w:r w:rsidR="001E4A39" w:rsidRPr="009D38D3">
              <w:rPr>
                <w:sz w:val="18"/>
                <w:szCs w:val="18"/>
              </w:rPr>
              <w:t>%</w:t>
            </w:r>
          </w:p>
        </w:tc>
        <w:tc>
          <w:tcPr>
            <w:tcW w:w="1637" w:type="dxa"/>
            <w:vAlign w:val="bottom"/>
          </w:tcPr>
          <w:p w14:paraId="66CC94A0" w14:textId="77777777" w:rsidR="00723A0E" w:rsidRPr="009D38D3" w:rsidRDefault="00723A0E" w:rsidP="00F142CB">
            <w:pPr>
              <w:tabs>
                <w:tab w:val="left" w:pos="1637"/>
              </w:tabs>
              <w:spacing w:before="120" w:line="223" w:lineRule="auto"/>
              <w:ind w:left="-85" w:right="149"/>
              <w:jc w:val="right"/>
              <w:rPr>
                <w:rFonts w:eastAsia="Arial Unicode MS"/>
                <w:sz w:val="18"/>
              </w:rPr>
            </w:pPr>
            <w:r w:rsidRPr="009D38D3">
              <w:rPr>
                <w:rFonts w:eastAsia="Arial Unicode MS"/>
                <w:sz w:val="18"/>
              </w:rPr>
              <w:t xml:space="preserve"> 106,683</w:t>
            </w:r>
          </w:p>
        </w:tc>
        <w:tc>
          <w:tcPr>
            <w:tcW w:w="1834" w:type="dxa"/>
            <w:vAlign w:val="bottom"/>
          </w:tcPr>
          <w:p w14:paraId="516EB137" w14:textId="77777777" w:rsidR="00723A0E" w:rsidRPr="009D38D3" w:rsidRDefault="00723A0E" w:rsidP="00F142CB">
            <w:pPr>
              <w:pStyle w:val="xl79"/>
              <w:pBdr>
                <w:left w:val="none" w:sz="0" w:space="0" w:color="auto"/>
                <w:bottom w:val="none" w:sz="0" w:space="0" w:color="auto"/>
                <w:right w:val="none" w:sz="0" w:space="0" w:color="auto"/>
              </w:pBdr>
              <w:spacing w:before="120" w:beforeAutospacing="0" w:after="0" w:afterAutospacing="0" w:line="223" w:lineRule="auto"/>
              <w:ind w:left="-85" w:right="270"/>
              <w:jc w:val="right"/>
            </w:pPr>
            <w:r w:rsidRPr="009D38D3">
              <w:t>-</w:t>
            </w:r>
          </w:p>
        </w:tc>
      </w:tr>
    </w:tbl>
    <w:p w14:paraId="0019BFC3" w14:textId="77777777" w:rsidR="00D4534C" w:rsidRPr="00604C75" w:rsidRDefault="00D4534C" w:rsidP="00F142CB">
      <w:pPr>
        <w:widowControl w:val="0"/>
        <w:tabs>
          <w:tab w:val="left" w:pos="567"/>
        </w:tabs>
        <w:spacing w:before="240" w:after="120" w:line="221" w:lineRule="auto"/>
        <w:jc w:val="both"/>
        <w:rPr>
          <w:b/>
          <w:sz w:val="20"/>
          <w:szCs w:val="20"/>
        </w:rPr>
      </w:pPr>
      <w:r w:rsidRPr="00604C75">
        <w:rPr>
          <w:b/>
          <w:bCs/>
          <w:sz w:val="20"/>
          <w:szCs w:val="20"/>
        </w:rPr>
        <w:t>V.</w:t>
      </w:r>
      <w:r w:rsidRPr="00604C75">
        <w:rPr>
          <w:b/>
          <w:bCs/>
          <w:sz w:val="20"/>
          <w:szCs w:val="20"/>
        </w:rPr>
        <w:tab/>
        <w:t>S</w:t>
      </w:r>
      <w:r w:rsidR="004D367D" w:rsidRPr="00604C75">
        <w:rPr>
          <w:b/>
          <w:bCs/>
          <w:sz w:val="20"/>
          <w:szCs w:val="20"/>
        </w:rPr>
        <w:t xml:space="preserve">ummary </w:t>
      </w:r>
      <w:r w:rsidR="005F2B16" w:rsidRPr="00604C75">
        <w:rPr>
          <w:b/>
          <w:bCs/>
          <w:sz w:val="20"/>
          <w:szCs w:val="20"/>
        </w:rPr>
        <w:t>Information o</w:t>
      </w:r>
      <w:r w:rsidR="004D367D" w:rsidRPr="00604C75">
        <w:rPr>
          <w:b/>
          <w:bCs/>
          <w:sz w:val="20"/>
          <w:szCs w:val="20"/>
        </w:rPr>
        <w:t xml:space="preserve">n </w:t>
      </w:r>
      <w:r w:rsidR="005F2B16" w:rsidRPr="00604C75">
        <w:rPr>
          <w:b/>
          <w:bCs/>
          <w:sz w:val="20"/>
          <w:szCs w:val="20"/>
        </w:rPr>
        <w:t>t</w:t>
      </w:r>
      <w:r w:rsidR="004D367D" w:rsidRPr="00604C75">
        <w:rPr>
          <w:b/>
          <w:bCs/>
          <w:sz w:val="20"/>
          <w:szCs w:val="20"/>
        </w:rPr>
        <w:t>he Parent Bank’</w:t>
      </w:r>
      <w:r w:rsidR="002F5E25" w:rsidRPr="00604C75">
        <w:rPr>
          <w:b/>
          <w:bCs/>
          <w:sz w:val="20"/>
          <w:szCs w:val="20"/>
        </w:rPr>
        <w:t>s Activities a</w:t>
      </w:r>
      <w:r w:rsidR="004D367D" w:rsidRPr="00604C75">
        <w:rPr>
          <w:b/>
          <w:bCs/>
          <w:sz w:val="20"/>
          <w:szCs w:val="20"/>
        </w:rPr>
        <w:t>nd Services</w:t>
      </w:r>
    </w:p>
    <w:p w14:paraId="47D81C25" w14:textId="6301F7CB" w:rsidR="000D78B0" w:rsidRPr="00604C75" w:rsidRDefault="002C3B01" w:rsidP="00F142CB">
      <w:pPr>
        <w:spacing w:before="120" w:after="120"/>
        <w:jc w:val="both"/>
        <w:rPr>
          <w:sz w:val="20"/>
          <w:szCs w:val="20"/>
        </w:rPr>
      </w:pPr>
      <w:r>
        <w:rPr>
          <w:sz w:val="20"/>
          <w:szCs w:val="20"/>
        </w:rPr>
        <w:t>The P</w:t>
      </w:r>
      <w:r w:rsidR="001F2E8C" w:rsidRPr="00604C75">
        <w:rPr>
          <w:sz w:val="20"/>
          <w:szCs w:val="20"/>
        </w:rPr>
        <w:t xml:space="preserve">arent </w:t>
      </w:r>
      <w:r>
        <w:rPr>
          <w:sz w:val="20"/>
          <w:szCs w:val="20"/>
        </w:rPr>
        <w:t>Ba</w:t>
      </w:r>
      <w:r w:rsidR="001F2E8C" w:rsidRPr="00604C75">
        <w:rPr>
          <w:sz w:val="20"/>
          <w:szCs w:val="20"/>
        </w:rPr>
        <w:t xml:space="preserve">nk’s operations are extending </w:t>
      </w:r>
      <w:r w:rsidR="004F495A" w:rsidRPr="00604C75">
        <w:rPr>
          <w:sz w:val="20"/>
          <w:szCs w:val="20"/>
        </w:rPr>
        <w:t xml:space="preserve">TL and foreign currency </w:t>
      </w:r>
      <w:r w:rsidR="001F2E8C" w:rsidRPr="00604C75">
        <w:rPr>
          <w:sz w:val="20"/>
          <w:szCs w:val="20"/>
        </w:rPr>
        <w:t xml:space="preserve">cash and </w:t>
      </w:r>
      <w:proofErr w:type="spellStart"/>
      <w:r w:rsidR="001F2E8C" w:rsidRPr="00604C75">
        <w:rPr>
          <w:sz w:val="20"/>
          <w:szCs w:val="20"/>
        </w:rPr>
        <w:t>non cash</w:t>
      </w:r>
      <w:proofErr w:type="spellEnd"/>
      <w:r w:rsidR="001F2E8C" w:rsidRPr="00604C75">
        <w:rPr>
          <w:sz w:val="20"/>
          <w:szCs w:val="20"/>
        </w:rPr>
        <w:t xml:space="preserve"> loans</w:t>
      </w:r>
      <w:r w:rsidR="00D04F5E">
        <w:rPr>
          <w:sz w:val="20"/>
          <w:szCs w:val="20"/>
        </w:rPr>
        <w:t>,</w:t>
      </w:r>
      <w:r w:rsidR="001F2E8C" w:rsidRPr="00604C75">
        <w:rPr>
          <w:sz w:val="20"/>
          <w:szCs w:val="20"/>
        </w:rPr>
        <w:t xml:space="preserve"> </w:t>
      </w:r>
      <w:r w:rsidR="00F142CB">
        <w:rPr>
          <w:sz w:val="20"/>
          <w:szCs w:val="20"/>
        </w:rPr>
        <w:t>performing</w:t>
      </w:r>
      <w:r w:rsidR="001F2E8C" w:rsidRPr="00604C75">
        <w:rPr>
          <w:sz w:val="20"/>
          <w:szCs w:val="20"/>
        </w:rPr>
        <w:t xml:space="preserve"> capital market transactions, opening deposit and </w:t>
      </w:r>
      <w:r w:rsidR="004F495A" w:rsidRPr="00604C75">
        <w:rPr>
          <w:sz w:val="20"/>
          <w:szCs w:val="20"/>
        </w:rPr>
        <w:t xml:space="preserve">making </w:t>
      </w:r>
      <w:r w:rsidR="001F2E8C" w:rsidRPr="00604C75">
        <w:rPr>
          <w:sz w:val="20"/>
          <w:szCs w:val="20"/>
        </w:rPr>
        <w:t>other banking transactions according to regulation principles given</w:t>
      </w:r>
      <w:r w:rsidR="00A77456" w:rsidRPr="00604C75">
        <w:rPr>
          <w:sz w:val="20"/>
          <w:szCs w:val="20"/>
        </w:rPr>
        <w:t xml:space="preserve"> by</w:t>
      </w:r>
      <w:r w:rsidR="001F2E8C" w:rsidRPr="00604C75">
        <w:rPr>
          <w:sz w:val="20"/>
          <w:szCs w:val="20"/>
        </w:rPr>
        <w:t xml:space="preserve"> the Bank’s Articles of Association. </w:t>
      </w:r>
    </w:p>
    <w:p w14:paraId="2B1BB19A" w14:textId="2FC198CE" w:rsidR="00CF1427" w:rsidRPr="00F75AEA" w:rsidRDefault="007C4385" w:rsidP="00F142CB">
      <w:pPr>
        <w:pStyle w:val="ListParagraph"/>
        <w:widowControl w:val="0"/>
        <w:spacing w:before="120" w:after="120" w:line="221" w:lineRule="auto"/>
        <w:ind w:left="0"/>
        <w:jc w:val="both"/>
        <w:rPr>
          <w:rStyle w:val="hps"/>
          <w:rFonts w:eastAsia="Arial Unicode MS"/>
          <w:sz w:val="20"/>
          <w:szCs w:val="20"/>
          <w:lang w:val="tr-TR"/>
        </w:rPr>
      </w:pPr>
      <w:r w:rsidRPr="00F75AEA">
        <w:rPr>
          <w:rStyle w:val="hps"/>
          <w:sz w:val="20"/>
          <w:szCs w:val="20"/>
        </w:rPr>
        <w:t>As of</w:t>
      </w:r>
      <w:r w:rsidRPr="00F75AEA">
        <w:rPr>
          <w:sz w:val="20"/>
          <w:szCs w:val="20"/>
        </w:rPr>
        <w:t xml:space="preserve"> </w:t>
      </w:r>
      <w:r w:rsidR="00D405BC" w:rsidRPr="00F75AEA">
        <w:rPr>
          <w:sz w:val="20"/>
          <w:szCs w:val="20"/>
        </w:rPr>
        <w:t>3</w:t>
      </w:r>
      <w:r w:rsidR="004A6331">
        <w:rPr>
          <w:sz w:val="20"/>
          <w:szCs w:val="20"/>
        </w:rPr>
        <w:t>1</w:t>
      </w:r>
      <w:r w:rsidR="00D405BC" w:rsidRPr="00F75AEA">
        <w:rPr>
          <w:sz w:val="20"/>
          <w:szCs w:val="20"/>
        </w:rPr>
        <w:t xml:space="preserve"> </w:t>
      </w:r>
      <w:r w:rsidR="004A6331">
        <w:rPr>
          <w:sz w:val="20"/>
          <w:szCs w:val="20"/>
        </w:rPr>
        <w:t>December</w:t>
      </w:r>
      <w:r w:rsidR="004A6331" w:rsidRPr="00F75AEA">
        <w:rPr>
          <w:rStyle w:val="hps"/>
          <w:sz w:val="20"/>
          <w:szCs w:val="20"/>
        </w:rPr>
        <w:t xml:space="preserve"> </w:t>
      </w:r>
      <w:r w:rsidRPr="00F75AEA">
        <w:rPr>
          <w:rStyle w:val="hps"/>
          <w:sz w:val="20"/>
          <w:szCs w:val="20"/>
        </w:rPr>
        <w:t>201</w:t>
      </w:r>
      <w:r w:rsidR="004C4CF5" w:rsidRPr="00F75AEA">
        <w:rPr>
          <w:rStyle w:val="hps"/>
          <w:sz w:val="20"/>
          <w:szCs w:val="20"/>
        </w:rPr>
        <w:t>5</w:t>
      </w:r>
      <w:r w:rsidR="00046000" w:rsidRPr="00F75AEA">
        <w:rPr>
          <w:sz w:val="20"/>
          <w:szCs w:val="20"/>
        </w:rPr>
        <w:t xml:space="preserve">, </w:t>
      </w:r>
      <w:r w:rsidR="00D37D66" w:rsidRPr="00F75AEA">
        <w:rPr>
          <w:sz w:val="20"/>
          <w:szCs w:val="20"/>
        </w:rPr>
        <w:t>the</w:t>
      </w:r>
      <w:r w:rsidR="002C3B01">
        <w:rPr>
          <w:sz w:val="20"/>
          <w:szCs w:val="20"/>
        </w:rPr>
        <w:t xml:space="preserve"> Parent</w:t>
      </w:r>
      <w:r w:rsidR="00D37D66" w:rsidRPr="00F75AEA">
        <w:rPr>
          <w:sz w:val="20"/>
          <w:szCs w:val="20"/>
        </w:rPr>
        <w:t xml:space="preserve"> </w:t>
      </w:r>
      <w:r w:rsidRPr="00F75AEA">
        <w:rPr>
          <w:sz w:val="20"/>
          <w:szCs w:val="20"/>
        </w:rPr>
        <w:t xml:space="preserve">Bank </w:t>
      </w:r>
      <w:r w:rsidRPr="00F75AEA">
        <w:rPr>
          <w:rStyle w:val="hps"/>
          <w:sz w:val="20"/>
          <w:szCs w:val="20"/>
        </w:rPr>
        <w:t>has</w:t>
      </w:r>
      <w:r w:rsidR="009D38D3">
        <w:rPr>
          <w:rStyle w:val="hps"/>
          <w:sz w:val="20"/>
          <w:szCs w:val="20"/>
        </w:rPr>
        <w:t xml:space="preserve"> 59</w:t>
      </w:r>
      <w:r w:rsidR="004A6331">
        <w:rPr>
          <w:sz w:val="20"/>
          <w:szCs w:val="20"/>
        </w:rPr>
        <w:t xml:space="preserve"> </w:t>
      </w:r>
      <w:r w:rsidRPr="00F75AEA">
        <w:rPr>
          <w:rStyle w:val="hps"/>
          <w:sz w:val="20"/>
          <w:szCs w:val="20"/>
        </w:rPr>
        <w:t>branches</w:t>
      </w:r>
      <w:r w:rsidRPr="00F75AEA">
        <w:rPr>
          <w:sz w:val="20"/>
          <w:szCs w:val="20"/>
        </w:rPr>
        <w:t xml:space="preserve"> </w:t>
      </w:r>
      <w:r w:rsidRPr="00F75AEA">
        <w:rPr>
          <w:rStyle w:val="hps"/>
          <w:sz w:val="20"/>
          <w:szCs w:val="20"/>
        </w:rPr>
        <w:t>(</w:t>
      </w:r>
      <w:r w:rsidR="00A77456" w:rsidRPr="00F75AEA">
        <w:rPr>
          <w:rStyle w:val="hps"/>
          <w:sz w:val="20"/>
          <w:szCs w:val="20"/>
        </w:rPr>
        <w:t xml:space="preserve">31 December </w:t>
      </w:r>
      <w:r w:rsidRPr="00F75AEA">
        <w:rPr>
          <w:rStyle w:val="hps"/>
          <w:sz w:val="20"/>
          <w:szCs w:val="20"/>
        </w:rPr>
        <w:t>201</w:t>
      </w:r>
      <w:r w:rsidR="004C4CF5" w:rsidRPr="00F75AEA">
        <w:rPr>
          <w:rStyle w:val="hps"/>
          <w:sz w:val="20"/>
          <w:szCs w:val="20"/>
        </w:rPr>
        <w:t>4</w:t>
      </w:r>
      <w:r w:rsidRPr="00F75AEA">
        <w:rPr>
          <w:sz w:val="20"/>
          <w:szCs w:val="20"/>
        </w:rPr>
        <w:t xml:space="preserve">: </w:t>
      </w:r>
      <w:r w:rsidR="00046000" w:rsidRPr="00F75AEA">
        <w:rPr>
          <w:sz w:val="20"/>
          <w:szCs w:val="20"/>
        </w:rPr>
        <w:t>73</w:t>
      </w:r>
      <w:r w:rsidRPr="00F75AEA">
        <w:rPr>
          <w:sz w:val="20"/>
          <w:szCs w:val="20"/>
        </w:rPr>
        <w:t xml:space="preserve"> </w:t>
      </w:r>
      <w:r w:rsidRPr="00F75AEA">
        <w:rPr>
          <w:rStyle w:val="hps"/>
          <w:sz w:val="20"/>
          <w:szCs w:val="20"/>
        </w:rPr>
        <w:t>branches)</w:t>
      </w:r>
      <w:r w:rsidR="00F142CB">
        <w:rPr>
          <w:rStyle w:val="hps"/>
          <w:sz w:val="20"/>
          <w:szCs w:val="20"/>
        </w:rPr>
        <w:t xml:space="preserve"> and </w:t>
      </w:r>
      <w:r w:rsidR="009D38D3">
        <w:rPr>
          <w:rStyle w:val="hps"/>
          <w:sz w:val="20"/>
          <w:szCs w:val="20"/>
        </w:rPr>
        <w:t xml:space="preserve">has 1,038 </w:t>
      </w:r>
      <w:r w:rsidR="000F6509" w:rsidRPr="00F75AEA">
        <w:rPr>
          <w:rStyle w:val="hps"/>
          <w:sz w:val="20"/>
          <w:szCs w:val="20"/>
        </w:rPr>
        <w:t>employees</w:t>
      </w:r>
      <w:r w:rsidRPr="00F75AEA">
        <w:rPr>
          <w:sz w:val="20"/>
          <w:szCs w:val="20"/>
        </w:rPr>
        <w:t xml:space="preserve"> </w:t>
      </w:r>
      <w:r w:rsidRPr="00F75AEA">
        <w:rPr>
          <w:rStyle w:val="hps"/>
          <w:sz w:val="20"/>
          <w:szCs w:val="20"/>
        </w:rPr>
        <w:t>(</w:t>
      </w:r>
      <w:r w:rsidR="00A77456" w:rsidRPr="00F75AEA">
        <w:rPr>
          <w:rStyle w:val="hps"/>
          <w:sz w:val="20"/>
          <w:szCs w:val="20"/>
        </w:rPr>
        <w:t xml:space="preserve">31 December </w:t>
      </w:r>
      <w:r w:rsidRPr="00F75AEA">
        <w:rPr>
          <w:rStyle w:val="hps"/>
          <w:sz w:val="20"/>
          <w:szCs w:val="20"/>
        </w:rPr>
        <w:t>201</w:t>
      </w:r>
      <w:r w:rsidR="004C4CF5" w:rsidRPr="00F75AEA">
        <w:rPr>
          <w:rStyle w:val="hps"/>
          <w:sz w:val="20"/>
          <w:szCs w:val="20"/>
        </w:rPr>
        <w:t>4</w:t>
      </w:r>
      <w:r w:rsidRPr="00F75AEA">
        <w:rPr>
          <w:sz w:val="20"/>
          <w:szCs w:val="20"/>
        </w:rPr>
        <w:t xml:space="preserve">: </w:t>
      </w:r>
      <w:r w:rsidR="004C4CF5" w:rsidRPr="00F75AEA">
        <w:rPr>
          <w:rStyle w:val="hps"/>
          <w:sz w:val="20"/>
          <w:szCs w:val="20"/>
        </w:rPr>
        <w:t>1,231</w:t>
      </w:r>
      <w:r w:rsidRPr="00F75AEA">
        <w:rPr>
          <w:sz w:val="20"/>
          <w:szCs w:val="20"/>
        </w:rPr>
        <w:t xml:space="preserve"> </w:t>
      </w:r>
      <w:r w:rsidR="00A46B45" w:rsidRPr="00F75AEA">
        <w:rPr>
          <w:rStyle w:val="hps"/>
          <w:sz w:val="20"/>
          <w:szCs w:val="20"/>
        </w:rPr>
        <w:t>employees).</w:t>
      </w:r>
    </w:p>
    <w:p w14:paraId="607933BD" w14:textId="77777777" w:rsidR="000D78B0" w:rsidRPr="00604C75" w:rsidRDefault="00FC0560" w:rsidP="00F142CB">
      <w:pPr>
        <w:tabs>
          <w:tab w:val="left" w:pos="1134"/>
        </w:tabs>
        <w:spacing w:before="120" w:after="120" w:line="228" w:lineRule="auto"/>
        <w:ind w:right="2"/>
        <w:jc w:val="both"/>
        <w:rPr>
          <w:sz w:val="20"/>
          <w:szCs w:val="20"/>
        </w:rPr>
      </w:pPr>
      <w:r w:rsidRPr="00F75AEA">
        <w:rPr>
          <w:sz w:val="20"/>
          <w:szCs w:val="20"/>
        </w:rPr>
        <w:t xml:space="preserve">Parent Bank and its </w:t>
      </w:r>
      <w:r w:rsidR="00ED4A1B" w:rsidRPr="00F75AEA">
        <w:rPr>
          <w:sz w:val="20"/>
          <w:szCs w:val="20"/>
        </w:rPr>
        <w:t>subsidiaries</w:t>
      </w:r>
      <w:r w:rsidR="009A49B7" w:rsidRPr="00F75AEA">
        <w:rPr>
          <w:sz w:val="20"/>
          <w:szCs w:val="20"/>
        </w:rPr>
        <w:t xml:space="preserve"> </w:t>
      </w:r>
      <w:r w:rsidRPr="00F75AEA">
        <w:rPr>
          <w:sz w:val="20"/>
          <w:szCs w:val="20"/>
        </w:rPr>
        <w:t xml:space="preserve">that are consolidated with the </w:t>
      </w:r>
      <w:r w:rsidR="000F6509" w:rsidRPr="00F75AEA">
        <w:rPr>
          <w:sz w:val="20"/>
          <w:szCs w:val="20"/>
        </w:rPr>
        <w:t xml:space="preserve">Parent </w:t>
      </w:r>
      <w:r w:rsidRPr="00F75AEA">
        <w:rPr>
          <w:sz w:val="20"/>
          <w:szCs w:val="20"/>
        </w:rPr>
        <w:t>Bank are called “Group” as a whole</w:t>
      </w:r>
      <w:r w:rsidR="00D405BC" w:rsidRPr="00F75AEA">
        <w:rPr>
          <w:sz w:val="20"/>
          <w:szCs w:val="20"/>
        </w:rPr>
        <w:t>. As of 3</w:t>
      </w:r>
      <w:r w:rsidR="004A6331">
        <w:rPr>
          <w:sz w:val="20"/>
          <w:szCs w:val="20"/>
        </w:rPr>
        <w:t>1</w:t>
      </w:r>
      <w:r w:rsidR="00D405BC" w:rsidRPr="00F75AEA">
        <w:rPr>
          <w:sz w:val="20"/>
          <w:szCs w:val="20"/>
        </w:rPr>
        <w:t xml:space="preserve"> </w:t>
      </w:r>
      <w:r w:rsidR="004A6331">
        <w:rPr>
          <w:sz w:val="20"/>
          <w:szCs w:val="20"/>
        </w:rPr>
        <w:t>December</w:t>
      </w:r>
      <w:r w:rsidR="004A6331" w:rsidRPr="00F75AEA">
        <w:rPr>
          <w:sz w:val="20"/>
          <w:szCs w:val="20"/>
        </w:rPr>
        <w:t xml:space="preserve"> </w:t>
      </w:r>
      <w:r w:rsidR="004C4CF5" w:rsidRPr="00F75AEA">
        <w:rPr>
          <w:sz w:val="20"/>
          <w:szCs w:val="20"/>
        </w:rPr>
        <w:t>2015</w:t>
      </w:r>
      <w:r w:rsidR="006021DC" w:rsidRPr="00F75AEA">
        <w:rPr>
          <w:sz w:val="20"/>
          <w:szCs w:val="20"/>
        </w:rPr>
        <w:t>, The</w:t>
      </w:r>
      <w:r w:rsidR="002F5933" w:rsidRPr="00F75AEA">
        <w:rPr>
          <w:sz w:val="20"/>
          <w:szCs w:val="20"/>
        </w:rPr>
        <w:t xml:space="preserve"> Group</w:t>
      </w:r>
      <w:r w:rsidR="009D38D3">
        <w:rPr>
          <w:sz w:val="20"/>
          <w:szCs w:val="20"/>
        </w:rPr>
        <w:t xml:space="preserve"> has 1,107 </w:t>
      </w:r>
      <w:r w:rsidR="000F6509" w:rsidRPr="00F75AEA">
        <w:rPr>
          <w:sz w:val="20"/>
          <w:szCs w:val="20"/>
        </w:rPr>
        <w:t>employees</w:t>
      </w:r>
      <w:r w:rsidR="009A49B7" w:rsidRPr="00F75AEA">
        <w:rPr>
          <w:sz w:val="20"/>
          <w:szCs w:val="20"/>
        </w:rPr>
        <w:t xml:space="preserve"> (</w:t>
      </w:r>
      <w:r w:rsidR="000D78B0" w:rsidRPr="00F75AEA">
        <w:rPr>
          <w:sz w:val="20"/>
          <w:szCs w:val="20"/>
        </w:rPr>
        <w:t xml:space="preserve">31 </w:t>
      </w:r>
      <w:r w:rsidR="002F5933" w:rsidRPr="00F75AEA">
        <w:rPr>
          <w:sz w:val="20"/>
          <w:szCs w:val="20"/>
        </w:rPr>
        <w:t>December</w:t>
      </w:r>
      <w:r w:rsidR="000D78B0" w:rsidRPr="00F75AEA">
        <w:rPr>
          <w:sz w:val="20"/>
          <w:szCs w:val="20"/>
        </w:rPr>
        <w:t xml:space="preserve"> 201</w:t>
      </w:r>
      <w:r w:rsidR="004C4CF5" w:rsidRPr="00F75AEA">
        <w:rPr>
          <w:sz w:val="20"/>
          <w:szCs w:val="20"/>
        </w:rPr>
        <w:t>4</w:t>
      </w:r>
      <w:r w:rsidR="000D78B0" w:rsidRPr="00F75AEA">
        <w:rPr>
          <w:sz w:val="20"/>
          <w:szCs w:val="20"/>
        </w:rPr>
        <w:t xml:space="preserve">: </w:t>
      </w:r>
      <w:r w:rsidR="004C4CF5" w:rsidRPr="00F75AEA">
        <w:rPr>
          <w:sz w:val="20"/>
          <w:szCs w:val="20"/>
        </w:rPr>
        <w:t>1,340</w:t>
      </w:r>
      <w:r w:rsidR="000D78B0" w:rsidRPr="00F75AEA">
        <w:rPr>
          <w:sz w:val="20"/>
          <w:szCs w:val="20"/>
        </w:rPr>
        <w:t xml:space="preserve"> </w:t>
      </w:r>
      <w:r w:rsidR="002F5933" w:rsidRPr="00F75AEA">
        <w:rPr>
          <w:rStyle w:val="hps"/>
          <w:sz w:val="20"/>
          <w:szCs w:val="20"/>
        </w:rPr>
        <w:t>employees</w:t>
      </w:r>
      <w:r w:rsidR="000D78B0" w:rsidRPr="00F75AEA">
        <w:rPr>
          <w:sz w:val="20"/>
          <w:szCs w:val="20"/>
        </w:rPr>
        <w:t>).</w:t>
      </w:r>
    </w:p>
    <w:p w14:paraId="608637F7" w14:textId="77777777" w:rsidR="007C4385" w:rsidRPr="00604C75" w:rsidRDefault="007C4385" w:rsidP="00F142CB">
      <w:pPr>
        <w:widowControl w:val="0"/>
        <w:tabs>
          <w:tab w:val="left" w:pos="567"/>
        </w:tabs>
        <w:spacing w:before="120" w:after="120"/>
        <w:ind w:left="567" w:hanging="567"/>
        <w:jc w:val="both"/>
        <w:rPr>
          <w:b/>
          <w:bCs/>
          <w:sz w:val="20"/>
          <w:szCs w:val="20"/>
        </w:rPr>
      </w:pPr>
      <w:r w:rsidRPr="00604C75">
        <w:rPr>
          <w:b/>
          <w:bCs/>
          <w:sz w:val="20"/>
          <w:szCs w:val="20"/>
        </w:rPr>
        <w:t>VI.</w:t>
      </w:r>
      <w:r w:rsidRPr="00604C75">
        <w:rPr>
          <w:b/>
          <w:bCs/>
          <w:sz w:val="20"/>
          <w:szCs w:val="20"/>
        </w:rPr>
        <w:tab/>
      </w:r>
      <w:r w:rsidR="00046147" w:rsidRPr="00604C75">
        <w:rPr>
          <w:b/>
          <w:bCs/>
          <w:sz w:val="20"/>
          <w:szCs w:val="20"/>
        </w:rPr>
        <w:t>D</w:t>
      </w:r>
      <w:r w:rsidR="003A1E38" w:rsidRPr="00604C75">
        <w:rPr>
          <w:b/>
          <w:bCs/>
          <w:sz w:val="20"/>
          <w:szCs w:val="20"/>
        </w:rPr>
        <w:t>ifferences</w:t>
      </w:r>
      <w:r w:rsidR="003552D5" w:rsidRPr="00604C75">
        <w:rPr>
          <w:b/>
          <w:bCs/>
          <w:sz w:val="20"/>
          <w:szCs w:val="20"/>
        </w:rPr>
        <w:t xml:space="preserve"> B</w:t>
      </w:r>
      <w:r w:rsidR="003A1E38" w:rsidRPr="00604C75">
        <w:rPr>
          <w:b/>
          <w:bCs/>
          <w:sz w:val="20"/>
          <w:szCs w:val="20"/>
        </w:rPr>
        <w:t>etween</w:t>
      </w:r>
      <w:r w:rsidR="003552D5" w:rsidRPr="00604C75">
        <w:rPr>
          <w:b/>
          <w:bCs/>
          <w:sz w:val="20"/>
          <w:szCs w:val="20"/>
        </w:rPr>
        <w:t xml:space="preserve"> </w:t>
      </w:r>
      <w:r w:rsidR="003A1E38" w:rsidRPr="00604C75">
        <w:rPr>
          <w:b/>
          <w:bCs/>
          <w:sz w:val="20"/>
          <w:szCs w:val="20"/>
        </w:rPr>
        <w:t>the</w:t>
      </w:r>
      <w:r w:rsidR="003552D5" w:rsidRPr="00604C75">
        <w:rPr>
          <w:b/>
          <w:bCs/>
          <w:sz w:val="20"/>
          <w:szCs w:val="20"/>
        </w:rPr>
        <w:t xml:space="preserve"> </w:t>
      </w:r>
      <w:proofErr w:type="spellStart"/>
      <w:r w:rsidR="003552D5" w:rsidRPr="00604C75">
        <w:rPr>
          <w:b/>
          <w:bCs/>
          <w:sz w:val="20"/>
          <w:szCs w:val="20"/>
        </w:rPr>
        <w:t>C</w:t>
      </w:r>
      <w:r w:rsidR="003A1E38" w:rsidRPr="00604C75">
        <w:rPr>
          <w:b/>
          <w:bCs/>
          <w:sz w:val="20"/>
          <w:szCs w:val="20"/>
        </w:rPr>
        <w:t>ommunique</w:t>
      </w:r>
      <w:proofErr w:type="spellEnd"/>
      <w:r w:rsidR="003552D5" w:rsidRPr="00604C75">
        <w:rPr>
          <w:b/>
          <w:bCs/>
          <w:sz w:val="20"/>
          <w:szCs w:val="20"/>
        </w:rPr>
        <w:t xml:space="preserve"> </w:t>
      </w:r>
      <w:r w:rsidR="003A1E38" w:rsidRPr="00604C75">
        <w:rPr>
          <w:b/>
          <w:bCs/>
          <w:sz w:val="20"/>
          <w:szCs w:val="20"/>
        </w:rPr>
        <w:t xml:space="preserve">on </w:t>
      </w:r>
      <w:proofErr w:type="spellStart"/>
      <w:r w:rsidR="00046147" w:rsidRPr="00604C75">
        <w:rPr>
          <w:b/>
          <w:bCs/>
          <w:sz w:val="20"/>
          <w:szCs w:val="20"/>
        </w:rPr>
        <w:t>P</w:t>
      </w:r>
      <w:r w:rsidR="003A1E38" w:rsidRPr="00604C75">
        <w:rPr>
          <w:b/>
          <w:bCs/>
          <w:sz w:val="20"/>
          <w:szCs w:val="20"/>
        </w:rPr>
        <w:t>reperation</w:t>
      </w:r>
      <w:proofErr w:type="spellEnd"/>
      <w:r w:rsidR="00241144" w:rsidRPr="00604C75">
        <w:rPr>
          <w:b/>
          <w:bCs/>
          <w:sz w:val="20"/>
          <w:szCs w:val="20"/>
        </w:rPr>
        <w:t xml:space="preserve"> </w:t>
      </w:r>
      <w:r w:rsidR="003A1E38" w:rsidRPr="00604C75">
        <w:rPr>
          <w:b/>
          <w:bCs/>
          <w:sz w:val="20"/>
          <w:szCs w:val="20"/>
        </w:rPr>
        <w:t xml:space="preserve">of </w:t>
      </w:r>
      <w:r w:rsidR="00241144" w:rsidRPr="00604C75">
        <w:rPr>
          <w:b/>
          <w:bCs/>
          <w:sz w:val="20"/>
          <w:szCs w:val="20"/>
        </w:rPr>
        <w:t>C</w:t>
      </w:r>
      <w:r w:rsidR="003A1E38" w:rsidRPr="00604C75">
        <w:rPr>
          <w:b/>
          <w:bCs/>
          <w:sz w:val="20"/>
          <w:szCs w:val="20"/>
        </w:rPr>
        <w:t>onsolidated</w:t>
      </w:r>
      <w:r w:rsidR="00046147" w:rsidRPr="00604C75">
        <w:rPr>
          <w:b/>
          <w:bCs/>
          <w:sz w:val="20"/>
          <w:szCs w:val="20"/>
        </w:rPr>
        <w:t xml:space="preserve"> </w:t>
      </w:r>
      <w:r w:rsidR="003A1E38" w:rsidRPr="00604C75">
        <w:rPr>
          <w:b/>
          <w:bCs/>
          <w:sz w:val="20"/>
          <w:szCs w:val="20"/>
        </w:rPr>
        <w:t>Financial</w:t>
      </w:r>
      <w:r w:rsidR="00EA426A" w:rsidRPr="00604C75">
        <w:rPr>
          <w:b/>
          <w:bCs/>
          <w:sz w:val="20"/>
          <w:szCs w:val="20"/>
        </w:rPr>
        <w:t xml:space="preserve"> </w:t>
      </w:r>
      <w:r w:rsidR="00241144" w:rsidRPr="00604C75">
        <w:rPr>
          <w:b/>
          <w:bCs/>
          <w:sz w:val="20"/>
          <w:szCs w:val="20"/>
        </w:rPr>
        <w:t>S</w:t>
      </w:r>
      <w:r w:rsidR="003A1E38" w:rsidRPr="00604C75">
        <w:rPr>
          <w:b/>
          <w:bCs/>
          <w:sz w:val="20"/>
          <w:szCs w:val="20"/>
        </w:rPr>
        <w:t>tatements</w:t>
      </w:r>
      <w:r w:rsidR="00241144" w:rsidRPr="00604C75">
        <w:rPr>
          <w:b/>
          <w:bCs/>
          <w:sz w:val="20"/>
          <w:szCs w:val="20"/>
        </w:rPr>
        <w:t xml:space="preserve"> </w:t>
      </w:r>
      <w:r w:rsidR="003A1E38" w:rsidRPr="00604C75">
        <w:rPr>
          <w:b/>
          <w:bCs/>
          <w:sz w:val="20"/>
          <w:szCs w:val="20"/>
        </w:rPr>
        <w:t xml:space="preserve">of </w:t>
      </w:r>
      <w:r w:rsidR="00241144" w:rsidRPr="00604C75">
        <w:rPr>
          <w:b/>
          <w:bCs/>
          <w:sz w:val="20"/>
          <w:szCs w:val="20"/>
        </w:rPr>
        <w:t>B</w:t>
      </w:r>
      <w:r w:rsidR="003A1E38" w:rsidRPr="00604C75">
        <w:rPr>
          <w:b/>
          <w:bCs/>
          <w:sz w:val="20"/>
          <w:szCs w:val="20"/>
        </w:rPr>
        <w:t>anks</w:t>
      </w:r>
      <w:r w:rsidR="00241144" w:rsidRPr="00604C75">
        <w:rPr>
          <w:b/>
          <w:bCs/>
          <w:sz w:val="20"/>
          <w:szCs w:val="20"/>
        </w:rPr>
        <w:t xml:space="preserve"> </w:t>
      </w:r>
      <w:r w:rsidR="003A1E38" w:rsidRPr="00604C75">
        <w:rPr>
          <w:b/>
          <w:bCs/>
          <w:sz w:val="20"/>
          <w:szCs w:val="20"/>
        </w:rPr>
        <w:t xml:space="preserve">and </w:t>
      </w:r>
      <w:r w:rsidR="00241144" w:rsidRPr="00604C75">
        <w:rPr>
          <w:b/>
          <w:bCs/>
          <w:sz w:val="20"/>
          <w:szCs w:val="20"/>
        </w:rPr>
        <w:t>T</w:t>
      </w:r>
      <w:r w:rsidR="003A1E38" w:rsidRPr="00604C75">
        <w:rPr>
          <w:b/>
          <w:bCs/>
          <w:sz w:val="20"/>
          <w:szCs w:val="20"/>
        </w:rPr>
        <w:t xml:space="preserve">urkish </w:t>
      </w:r>
      <w:r w:rsidR="00241144" w:rsidRPr="00604C75">
        <w:rPr>
          <w:b/>
          <w:bCs/>
          <w:sz w:val="20"/>
          <w:szCs w:val="20"/>
        </w:rPr>
        <w:t>A</w:t>
      </w:r>
      <w:r w:rsidR="003A1E38" w:rsidRPr="00604C75">
        <w:rPr>
          <w:b/>
          <w:bCs/>
          <w:sz w:val="20"/>
          <w:szCs w:val="20"/>
        </w:rPr>
        <w:t>ccounting</w:t>
      </w:r>
      <w:r w:rsidR="00241144" w:rsidRPr="00604C75">
        <w:rPr>
          <w:b/>
          <w:bCs/>
          <w:sz w:val="20"/>
          <w:szCs w:val="20"/>
        </w:rPr>
        <w:t xml:space="preserve"> </w:t>
      </w:r>
      <w:proofErr w:type="spellStart"/>
      <w:r w:rsidR="00241144" w:rsidRPr="00604C75">
        <w:rPr>
          <w:b/>
          <w:bCs/>
          <w:sz w:val="20"/>
          <w:szCs w:val="20"/>
        </w:rPr>
        <w:t>S</w:t>
      </w:r>
      <w:r w:rsidR="003A1E38" w:rsidRPr="00604C75">
        <w:rPr>
          <w:b/>
          <w:bCs/>
          <w:sz w:val="20"/>
          <w:szCs w:val="20"/>
        </w:rPr>
        <w:t>tandarts</w:t>
      </w:r>
      <w:proofErr w:type="spellEnd"/>
      <w:r w:rsidR="003A1E38" w:rsidRPr="00604C75">
        <w:rPr>
          <w:b/>
          <w:bCs/>
          <w:sz w:val="20"/>
          <w:szCs w:val="20"/>
        </w:rPr>
        <w:t xml:space="preserve"> and</w:t>
      </w:r>
      <w:r w:rsidR="00241144" w:rsidRPr="00604C75">
        <w:rPr>
          <w:b/>
          <w:bCs/>
          <w:sz w:val="20"/>
          <w:szCs w:val="20"/>
        </w:rPr>
        <w:t xml:space="preserve"> S</w:t>
      </w:r>
      <w:r w:rsidR="003A1E38" w:rsidRPr="00604C75">
        <w:rPr>
          <w:b/>
          <w:bCs/>
          <w:sz w:val="20"/>
          <w:szCs w:val="20"/>
        </w:rPr>
        <w:t xml:space="preserve">hort </w:t>
      </w:r>
      <w:r w:rsidR="00241144" w:rsidRPr="00604C75">
        <w:rPr>
          <w:b/>
          <w:bCs/>
          <w:sz w:val="20"/>
          <w:szCs w:val="20"/>
        </w:rPr>
        <w:t>E</w:t>
      </w:r>
      <w:r w:rsidR="003A1E38" w:rsidRPr="00604C75">
        <w:rPr>
          <w:b/>
          <w:bCs/>
          <w:sz w:val="20"/>
          <w:szCs w:val="20"/>
        </w:rPr>
        <w:t>xplanation</w:t>
      </w:r>
      <w:r w:rsidR="00241144" w:rsidRPr="00604C75">
        <w:rPr>
          <w:b/>
          <w:bCs/>
          <w:sz w:val="20"/>
          <w:szCs w:val="20"/>
        </w:rPr>
        <w:t xml:space="preserve"> A</w:t>
      </w:r>
      <w:r w:rsidR="003A1E38" w:rsidRPr="00604C75">
        <w:rPr>
          <w:b/>
          <w:bCs/>
          <w:sz w:val="20"/>
          <w:szCs w:val="20"/>
        </w:rPr>
        <w:t>bout</w:t>
      </w:r>
      <w:r w:rsidR="00241144" w:rsidRPr="00604C75">
        <w:rPr>
          <w:b/>
          <w:bCs/>
          <w:sz w:val="20"/>
          <w:szCs w:val="20"/>
        </w:rPr>
        <w:t xml:space="preserve"> </w:t>
      </w:r>
      <w:r w:rsidR="003A1E38" w:rsidRPr="00604C75">
        <w:rPr>
          <w:b/>
          <w:bCs/>
          <w:sz w:val="20"/>
          <w:szCs w:val="20"/>
        </w:rPr>
        <w:t xml:space="preserve">the </w:t>
      </w:r>
      <w:r w:rsidR="00241144" w:rsidRPr="00604C75">
        <w:rPr>
          <w:b/>
          <w:bCs/>
          <w:sz w:val="20"/>
          <w:szCs w:val="20"/>
        </w:rPr>
        <w:t>I</w:t>
      </w:r>
      <w:r w:rsidR="003A1E38" w:rsidRPr="00604C75">
        <w:rPr>
          <w:b/>
          <w:bCs/>
          <w:sz w:val="20"/>
          <w:szCs w:val="20"/>
        </w:rPr>
        <w:t>nsti</w:t>
      </w:r>
      <w:r w:rsidR="00EA426A" w:rsidRPr="00604C75">
        <w:rPr>
          <w:b/>
          <w:bCs/>
          <w:sz w:val="20"/>
          <w:szCs w:val="20"/>
        </w:rPr>
        <w:t xml:space="preserve">tutions </w:t>
      </w:r>
      <w:r w:rsidR="00241144" w:rsidRPr="00604C75">
        <w:rPr>
          <w:b/>
          <w:bCs/>
          <w:sz w:val="20"/>
          <w:szCs w:val="20"/>
        </w:rPr>
        <w:t>S</w:t>
      </w:r>
      <w:r w:rsidR="00EA426A" w:rsidRPr="00604C75">
        <w:rPr>
          <w:b/>
          <w:bCs/>
          <w:sz w:val="20"/>
          <w:szCs w:val="20"/>
        </w:rPr>
        <w:t>ubject</w:t>
      </w:r>
      <w:r w:rsidR="00241144" w:rsidRPr="00604C75">
        <w:rPr>
          <w:b/>
          <w:bCs/>
          <w:sz w:val="20"/>
          <w:szCs w:val="20"/>
        </w:rPr>
        <w:t xml:space="preserve"> </w:t>
      </w:r>
      <w:r w:rsidR="00EA426A" w:rsidRPr="00604C75">
        <w:rPr>
          <w:b/>
          <w:bCs/>
          <w:sz w:val="20"/>
          <w:szCs w:val="20"/>
        </w:rPr>
        <w:t>to Line</w:t>
      </w:r>
      <w:r w:rsidR="00241144" w:rsidRPr="00604C75">
        <w:rPr>
          <w:b/>
          <w:bCs/>
          <w:sz w:val="20"/>
          <w:szCs w:val="20"/>
        </w:rPr>
        <w:t>-</w:t>
      </w:r>
      <w:r w:rsidR="00EA426A" w:rsidRPr="00604C75">
        <w:rPr>
          <w:b/>
          <w:bCs/>
          <w:sz w:val="20"/>
          <w:szCs w:val="20"/>
        </w:rPr>
        <w:t>by</w:t>
      </w:r>
      <w:r w:rsidR="00241144" w:rsidRPr="00604C75">
        <w:rPr>
          <w:b/>
          <w:bCs/>
          <w:sz w:val="20"/>
          <w:szCs w:val="20"/>
        </w:rPr>
        <w:t>-L</w:t>
      </w:r>
      <w:r w:rsidR="00EA426A" w:rsidRPr="00604C75">
        <w:rPr>
          <w:b/>
          <w:bCs/>
          <w:sz w:val="20"/>
          <w:szCs w:val="20"/>
        </w:rPr>
        <w:t>ine</w:t>
      </w:r>
      <w:r w:rsidR="00241144" w:rsidRPr="00604C75">
        <w:rPr>
          <w:b/>
          <w:bCs/>
          <w:sz w:val="20"/>
          <w:szCs w:val="20"/>
        </w:rPr>
        <w:t xml:space="preserve"> M</w:t>
      </w:r>
      <w:r w:rsidR="00EA426A" w:rsidRPr="00604C75">
        <w:rPr>
          <w:b/>
          <w:bCs/>
          <w:sz w:val="20"/>
          <w:szCs w:val="20"/>
        </w:rPr>
        <w:t>ethod</w:t>
      </w:r>
      <w:r w:rsidR="00046147" w:rsidRPr="00604C75">
        <w:rPr>
          <w:b/>
          <w:bCs/>
          <w:sz w:val="20"/>
          <w:szCs w:val="20"/>
        </w:rPr>
        <w:t xml:space="preserve"> </w:t>
      </w:r>
      <w:r w:rsidR="00EA426A" w:rsidRPr="00604C75">
        <w:rPr>
          <w:b/>
          <w:bCs/>
          <w:sz w:val="20"/>
          <w:szCs w:val="20"/>
        </w:rPr>
        <w:t xml:space="preserve">or </w:t>
      </w:r>
      <w:r w:rsidR="00241144" w:rsidRPr="00604C75">
        <w:rPr>
          <w:b/>
          <w:bCs/>
          <w:sz w:val="20"/>
          <w:szCs w:val="20"/>
        </w:rPr>
        <w:t>P</w:t>
      </w:r>
      <w:r w:rsidR="00EA426A" w:rsidRPr="00604C75">
        <w:rPr>
          <w:b/>
          <w:bCs/>
          <w:sz w:val="20"/>
          <w:szCs w:val="20"/>
        </w:rPr>
        <w:t>roportional</w:t>
      </w:r>
      <w:r w:rsidR="00241144" w:rsidRPr="00604C75">
        <w:rPr>
          <w:b/>
          <w:bCs/>
          <w:sz w:val="20"/>
          <w:szCs w:val="20"/>
        </w:rPr>
        <w:t xml:space="preserve"> C</w:t>
      </w:r>
      <w:r w:rsidR="00EA426A" w:rsidRPr="00604C75">
        <w:rPr>
          <w:b/>
          <w:bCs/>
          <w:sz w:val="20"/>
          <w:szCs w:val="20"/>
        </w:rPr>
        <w:t>onsolidation</w:t>
      </w:r>
      <w:r w:rsidR="00241144" w:rsidRPr="00604C75">
        <w:rPr>
          <w:b/>
          <w:bCs/>
          <w:sz w:val="20"/>
          <w:szCs w:val="20"/>
        </w:rPr>
        <w:t xml:space="preserve"> </w:t>
      </w:r>
      <w:r w:rsidR="00EA426A" w:rsidRPr="00604C75">
        <w:rPr>
          <w:b/>
          <w:bCs/>
          <w:sz w:val="20"/>
          <w:szCs w:val="20"/>
        </w:rPr>
        <w:t>and Institutions</w:t>
      </w:r>
      <w:r w:rsidR="00EA426A" w:rsidRPr="00604C75" w:rsidDel="00EA426A">
        <w:rPr>
          <w:b/>
          <w:bCs/>
          <w:sz w:val="20"/>
          <w:szCs w:val="20"/>
        </w:rPr>
        <w:t xml:space="preserve"> </w:t>
      </w:r>
      <w:r w:rsidR="00347CD0" w:rsidRPr="00604C75">
        <w:rPr>
          <w:b/>
          <w:bCs/>
          <w:sz w:val="20"/>
          <w:szCs w:val="20"/>
        </w:rPr>
        <w:t>W</w:t>
      </w:r>
      <w:r w:rsidR="00EA426A" w:rsidRPr="00604C75">
        <w:rPr>
          <w:b/>
          <w:bCs/>
          <w:sz w:val="20"/>
          <w:szCs w:val="20"/>
        </w:rPr>
        <w:t>hich</w:t>
      </w:r>
      <w:r w:rsidR="00347CD0" w:rsidRPr="00604C75">
        <w:rPr>
          <w:b/>
          <w:bCs/>
          <w:sz w:val="20"/>
          <w:szCs w:val="20"/>
        </w:rPr>
        <w:t xml:space="preserve"> A</w:t>
      </w:r>
      <w:r w:rsidR="00EA426A" w:rsidRPr="00604C75">
        <w:rPr>
          <w:b/>
          <w:bCs/>
          <w:sz w:val="20"/>
          <w:szCs w:val="20"/>
        </w:rPr>
        <w:t xml:space="preserve">re </w:t>
      </w:r>
      <w:r w:rsidR="00347CD0" w:rsidRPr="00604C75">
        <w:rPr>
          <w:b/>
          <w:bCs/>
          <w:sz w:val="20"/>
          <w:szCs w:val="20"/>
        </w:rPr>
        <w:t>D</w:t>
      </w:r>
      <w:r w:rsidR="00EA426A" w:rsidRPr="00604C75">
        <w:rPr>
          <w:b/>
          <w:bCs/>
          <w:sz w:val="20"/>
          <w:szCs w:val="20"/>
        </w:rPr>
        <w:t>educted</w:t>
      </w:r>
      <w:r w:rsidR="00347CD0" w:rsidRPr="00604C75">
        <w:rPr>
          <w:b/>
          <w:bCs/>
          <w:sz w:val="20"/>
          <w:szCs w:val="20"/>
        </w:rPr>
        <w:t xml:space="preserve"> </w:t>
      </w:r>
      <w:r w:rsidR="00EA426A" w:rsidRPr="00604C75">
        <w:rPr>
          <w:b/>
          <w:bCs/>
          <w:sz w:val="20"/>
          <w:szCs w:val="20"/>
        </w:rPr>
        <w:t xml:space="preserve">From Equity or </w:t>
      </w:r>
      <w:r w:rsidR="00347CD0" w:rsidRPr="00604C75">
        <w:rPr>
          <w:b/>
          <w:bCs/>
          <w:sz w:val="20"/>
          <w:szCs w:val="20"/>
        </w:rPr>
        <w:t>N</w:t>
      </w:r>
      <w:r w:rsidR="00EA426A" w:rsidRPr="00604C75">
        <w:rPr>
          <w:b/>
          <w:bCs/>
          <w:sz w:val="20"/>
          <w:szCs w:val="20"/>
        </w:rPr>
        <w:t>ot</w:t>
      </w:r>
      <w:r w:rsidR="00046147" w:rsidRPr="00604C75">
        <w:rPr>
          <w:b/>
          <w:bCs/>
          <w:sz w:val="20"/>
          <w:szCs w:val="20"/>
        </w:rPr>
        <w:t xml:space="preserve"> </w:t>
      </w:r>
      <w:r w:rsidR="00EA426A" w:rsidRPr="00604C75">
        <w:rPr>
          <w:b/>
          <w:bCs/>
          <w:sz w:val="20"/>
          <w:szCs w:val="20"/>
        </w:rPr>
        <w:t xml:space="preserve">Included in These </w:t>
      </w:r>
      <w:r w:rsidR="00347CD0" w:rsidRPr="00604C75">
        <w:rPr>
          <w:b/>
          <w:bCs/>
          <w:sz w:val="20"/>
          <w:szCs w:val="20"/>
        </w:rPr>
        <w:t>T</w:t>
      </w:r>
      <w:r w:rsidR="00EA426A" w:rsidRPr="00604C75">
        <w:rPr>
          <w:b/>
          <w:bCs/>
          <w:sz w:val="20"/>
          <w:szCs w:val="20"/>
        </w:rPr>
        <w:t>hree</w:t>
      </w:r>
      <w:r w:rsidR="00347CD0" w:rsidRPr="00604C75">
        <w:rPr>
          <w:b/>
          <w:bCs/>
          <w:sz w:val="20"/>
          <w:szCs w:val="20"/>
        </w:rPr>
        <w:t xml:space="preserve"> </w:t>
      </w:r>
      <w:r w:rsidR="00EA426A" w:rsidRPr="00604C75">
        <w:rPr>
          <w:b/>
          <w:bCs/>
          <w:sz w:val="20"/>
          <w:szCs w:val="20"/>
        </w:rPr>
        <w:t>Methods</w:t>
      </w:r>
    </w:p>
    <w:p w14:paraId="5085171C" w14:textId="77777777" w:rsidR="007C4385" w:rsidRPr="00604C75" w:rsidRDefault="007C4385" w:rsidP="00F142CB">
      <w:pPr>
        <w:widowControl w:val="0"/>
        <w:spacing w:before="120" w:after="120"/>
        <w:jc w:val="both"/>
        <w:rPr>
          <w:sz w:val="20"/>
          <w:szCs w:val="20"/>
        </w:rPr>
      </w:pPr>
      <w:r w:rsidRPr="00604C75">
        <w:rPr>
          <w:sz w:val="20"/>
          <w:szCs w:val="20"/>
        </w:rPr>
        <w:t>None.</w:t>
      </w:r>
    </w:p>
    <w:p w14:paraId="1C3B875C" w14:textId="77777777" w:rsidR="007C4385" w:rsidRPr="00604C75" w:rsidRDefault="007C4385" w:rsidP="00F142CB">
      <w:pPr>
        <w:tabs>
          <w:tab w:val="left" w:pos="567"/>
        </w:tabs>
        <w:spacing w:before="120" w:after="120"/>
        <w:ind w:left="567" w:hanging="567"/>
        <w:jc w:val="both"/>
        <w:rPr>
          <w:rFonts w:eastAsia="Arial Unicode MS"/>
          <w:b/>
          <w:bCs/>
          <w:sz w:val="20"/>
          <w:szCs w:val="20"/>
        </w:rPr>
      </w:pPr>
      <w:r w:rsidRPr="00604C75">
        <w:rPr>
          <w:rFonts w:eastAsia="Arial Unicode MS"/>
          <w:b/>
          <w:bCs/>
          <w:sz w:val="20"/>
          <w:szCs w:val="20"/>
        </w:rPr>
        <w:t>VI</w:t>
      </w:r>
      <w:r w:rsidR="003C3156" w:rsidRPr="00604C75">
        <w:rPr>
          <w:rFonts w:eastAsia="Arial Unicode MS"/>
          <w:b/>
          <w:bCs/>
          <w:sz w:val="20"/>
          <w:szCs w:val="20"/>
        </w:rPr>
        <w:t>I.</w:t>
      </w:r>
      <w:r w:rsidR="003C3156" w:rsidRPr="00604C75">
        <w:rPr>
          <w:rFonts w:eastAsia="Arial Unicode MS"/>
          <w:b/>
          <w:bCs/>
          <w:sz w:val="20"/>
          <w:szCs w:val="20"/>
        </w:rPr>
        <w:tab/>
      </w:r>
      <w:r w:rsidRPr="00604C75">
        <w:rPr>
          <w:rFonts w:eastAsia="Arial Unicode MS"/>
          <w:b/>
          <w:bCs/>
          <w:sz w:val="20"/>
          <w:szCs w:val="20"/>
        </w:rPr>
        <w:t>E</w:t>
      </w:r>
      <w:r w:rsidR="005F2B16" w:rsidRPr="00604C75">
        <w:rPr>
          <w:rFonts w:eastAsia="Arial Unicode MS"/>
          <w:b/>
          <w:bCs/>
          <w:sz w:val="20"/>
          <w:szCs w:val="20"/>
        </w:rPr>
        <w:t>xisting</w:t>
      </w:r>
      <w:r w:rsidR="002F5E25" w:rsidRPr="00604C75">
        <w:rPr>
          <w:rFonts w:eastAsia="Arial Unicode MS"/>
          <w:b/>
          <w:bCs/>
          <w:sz w:val="20"/>
          <w:szCs w:val="20"/>
        </w:rPr>
        <w:t xml:space="preserve"> or Potential, Actual or Legal Obstacles to Immediate Transfer </w:t>
      </w:r>
      <w:r w:rsidR="005F2B16" w:rsidRPr="00604C75">
        <w:rPr>
          <w:rFonts w:eastAsia="Arial Unicode MS"/>
          <w:b/>
          <w:bCs/>
          <w:sz w:val="20"/>
          <w:szCs w:val="20"/>
        </w:rPr>
        <w:t>o</w:t>
      </w:r>
      <w:r w:rsidR="002F5E25" w:rsidRPr="00604C75">
        <w:rPr>
          <w:rFonts w:eastAsia="Arial Unicode MS"/>
          <w:b/>
          <w:bCs/>
          <w:sz w:val="20"/>
          <w:szCs w:val="20"/>
        </w:rPr>
        <w:t xml:space="preserve">f </w:t>
      </w:r>
      <w:r w:rsidR="005F2B16" w:rsidRPr="00604C75">
        <w:rPr>
          <w:rFonts w:eastAsia="Arial Unicode MS"/>
          <w:b/>
          <w:bCs/>
          <w:sz w:val="20"/>
          <w:szCs w:val="20"/>
        </w:rPr>
        <w:t xml:space="preserve">Equity, or Repayment of Debt </w:t>
      </w:r>
      <w:proofErr w:type="gramStart"/>
      <w:r w:rsidR="005F2B16" w:rsidRPr="00604C75">
        <w:rPr>
          <w:rFonts w:eastAsia="Arial Unicode MS"/>
          <w:b/>
          <w:bCs/>
          <w:sz w:val="20"/>
          <w:szCs w:val="20"/>
        </w:rPr>
        <w:t>Between</w:t>
      </w:r>
      <w:proofErr w:type="gramEnd"/>
      <w:r w:rsidR="005F2B16" w:rsidRPr="00604C75">
        <w:rPr>
          <w:rFonts w:eastAsia="Arial Unicode MS"/>
          <w:b/>
          <w:bCs/>
          <w:sz w:val="20"/>
          <w:szCs w:val="20"/>
        </w:rPr>
        <w:t xml:space="preserve"> the </w:t>
      </w:r>
      <w:r w:rsidR="00FE4485" w:rsidRPr="00604C75">
        <w:rPr>
          <w:rFonts w:eastAsia="Arial Unicode MS"/>
          <w:b/>
          <w:bCs/>
          <w:sz w:val="20"/>
          <w:szCs w:val="20"/>
        </w:rPr>
        <w:t xml:space="preserve">Parent </w:t>
      </w:r>
      <w:r w:rsidR="005F2B16" w:rsidRPr="00604C75">
        <w:rPr>
          <w:rFonts w:eastAsia="Arial Unicode MS"/>
          <w:b/>
          <w:bCs/>
          <w:sz w:val="20"/>
          <w:szCs w:val="20"/>
        </w:rPr>
        <w:t>Bank a</w:t>
      </w:r>
      <w:r w:rsidR="00562886">
        <w:rPr>
          <w:rFonts w:eastAsia="Arial Unicode MS"/>
          <w:b/>
          <w:bCs/>
          <w:sz w:val="20"/>
          <w:szCs w:val="20"/>
        </w:rPr>
        <w:t>nd Its Subsidiaries</w:t>
      </w:r>
    </w:p>
    <w:p w14:paraId="38A6F3D7" w14:textId="77777777" w:rsidR="007C4385" w:rsidRPr="00604C75" w:rsidRDefault="007C4385" w:rsidP="00F142CB">
      <w:pPr>
        <w:spacing w:before="120" w:after="120"/>
        <w:jc w:val="both"/>
        <w:rPr>
          <w:rFonts w:eastAsia="Arial Unicode MS"/>
          <w:bCs/>
          <w:sz w:val="20"/>
          <w:szCs w:val="20"/>
        </w:rPr>
      </w:pPr>
      <w:r w:rsidRPr="00604C75">
        <w:rPr>
          <w:rFonts w:eastAsia="Arial Unicode MS"/>
          <w:bCs/>
          <w:sz w:val="20"/>
          <w:szCs w:val="20"/>
        </w:rPr>
        <w:t>None.</w:t>
      </w:r>
    </w:p>
    <w:p w14:paraId="32A683B4" w14:textId="77777777" w:rsidR="004025E4" w:rsidRPr="00604C75" w:rsidRDefault="004025E4" w:rsidP="00526D7D">
      <w:pPr>
        <w:jc w:val="both"/>
        <w:rPr>
          <w:rFonts w:eastAsia="Arial Unicode MS"/>
          <w:bCs/>
          <w:sz w:val="20"/>
          <w:szCs w:val="20"/>
        </w:rPr>
      </w:pPr>
    </w:p>
    <w:p w14:paraId="391751A7" w14:textId="77777777" w:rsidR="003C3156" w:rsidRPr="00604C75" w:rsidRDefault="003C3156" w:rsidP="003C3156">
      <w:pPr>
        <w:ind w:left="851"/>
        <w:jc w:val="both"/>
        <w:rPr>
          <w:rFonts w:eastAsia="Arial Unicode MS"/>
          <w:b/>
          <w:bCs/>
          <w:sz w:val="20"/>
          <w:szCs w:val="20"/>
        </w:rPr>
        <w:sectPr w:rsidR="003C3156" w:rsidRPr="00604C75" w:rsidSect="00EF20E9">
          <w:headerReference w:type="default" r:id="rId11"/>
          <w:footerReference w:type="default" r:id="rId12"/>
          <w:pgSz w:w="12240" w:h="15840" w:code="1"/>
          <w:pgMar w:top="1134" w:right="1750" w:bottom="720" w:left="1418" w:header="709" w:footer="709" w:gutter="0"/>
          <w:pgNumType w:start="1"/>
          <w:cols w:space="720"/>
          <w:docGrid w:linePitch="360"/>
        </w:sectPr>
      </w:pPr>
    </w:p>
    <w:p w14:paraId="16FBD4D7" w14:textId="77777777" w:rsidR="007C4385" w:rsidRPr="00604C75" w:rsidRDefault="007C4385" w:rsidP="00D67915">
      <w:pPr>
        <w:spacing w:line="204" w:lineRule="auto"/>
        <w:rPr>
          <w:sz w:val="16"/>
          <w:szCs w:val="16"/>
        </w:rPr>
      </w:pPr>
    </w:p>
    <w:tbl>
      <w:tblPr>
        <w:tblW w:w="10111" w:type="dxa"/>
        <w:tblLayout w:type="fixed"/>
        <w:tblCellMar>
          <w:left w:w="0" w:type="dxa"/>
          <w:right w:w="0" w:type="dxa"/>
        </w:tblCellMar>
        <w:tblLook w:val="0000" w:firstRow="0" w:lastRow="0" w:firstColumn="0" w:lastColumn="0" w:noHBand="0" w:noVBand="0"/>
      </w:tblPr>
      <w:tblGrid>
        <w:gridCol w:w="557"/>
        <w:gridCol w:w="4767"/>
        <w:gridCol w:w="531"/>
        <w:gridCol w:w="630"/>
        <w:gridCol w:w="791"/>
        <w:gridCol w:w="745"/>
        <w:gridCol w:w="745"/>
        <w:gridCol w:w="659"/>
        <w:gridCol w:w="686"/>
      </w:tblGrid>
      <w:tr w:rsidR="00AB1F1C" w:rsidRPr="00604C75" w14:paraId="0751D42D" w14:textId="77777777" w:rsidTr="0032757D">
        <w:trPr>
          <w:cantSplit/>
          <w:trHeight w:val="62"/>
        </w:trPr>
        <w:tc>
          <w:tcPr>
            <w:tcW w:w="557" w:type="dxa"/>
            <w:noWrap/>
            <w:tcMar>
              <w:top w:w="18" w:type="dxa"/>
              <w:left w:w="18" w:type="dxa"/>
              <w:bottom w:w="0" w:type="dxa"/>
              <w:right w:w="18" w:type="dxa"/>
            </w:tcMar>
            <w:vAlign w:val="bottom"/>
          </w:tcPr>
          <w:p w14:paraId="5620E850" w14:textId="77777777" w:rsidR="00AB1F1C" w:rsidRPr="00604C75" w:rsidRDefault="00AB1F1C" w:rsidP="00D67915">
            <w:pPr>
              <w:spacing w:line="204" w:lineRule="auto"/>
              <w:rPr>
                <w:rFonts w:eastAsia="Arial Unicode MS"/>
                <w:b/>
                <w:bCs/>
                <w:noProof/>
                <w:sz w:val="16"/>
                <w:szCs w:val="16"/>
                <w:lang w:val="tr-TR"/>
              </w:rPr>
            </w:pPr>
            <w:r w:rsidRPr="00604C75">
              <w:rPr>
                <w:rFonts w:eastAsia="Arial Unicode MS"/>
                <w:b/>
                <w:bCs/>
                <w:noProof/>
                <w:sz w:val="16"/>
                <w:szCs w:val="16"/>
                <w:lang w:val="tr-TR"/>
              </w:rPr>
              <w:t>I.</w:t>
            </w:r>
          </w:p>
        </w:tc>
        <w:tc>
          <w:tcPr>
            <w:tcW w:w="4767" w:type="dxa"/>
            <w:noWrap/>
            <w:tcMar>
              <w:top w:w="18" w:type="dxa"/>
              <w:left w:w="18" w:type="dxa"/>
              <w:bottom w:w="0" w:type="dxa"/>
              <w:right w:w="18" w:type="dxa"/>
            </w:tcMar>
            <w:vAlign w:val="bottom"/>
          </w:tcPr>
          <w:p w14:paraId="477D2558" w14:textId="53736D84" w:rsidR="00AB1F1C" w:rsidRPr="00C26D33" w:rsidRDefault="00AB1F1C" w:rsidP="00D67915">
            <w:pPr>
              <w:spacing w:line="204" w:lineRule="auto"/>
              <w:rPr>
                <w:b/>
                <w:bCs/>
                <w:noProof/>
                <w:sz w:val="14"/>
                <w:szCs w:val="14"/>
                <w:lang w:val="tr-TR"/>
              </w:rPr>
            </w:pPr>
            <w:r w:rsidRPr="00C26D33">
              <w:rPr>
                <w:b/>
                <w:bCs/>
                <w:noProof/>
                <w:sz w:val="14"/>
                <w:szCs w:val="14"/>
                <w:lang w:val="tr-TR"/>
              </w:rPr>
              <w:t>BALANCE SHEET</w:t>
            </w:r>
            <w:r w:rsidR="00F142CB" w:rsidRPr="00C26D33">
              <w:rPr>
                <w:b/>
                <w:bCs/>
                <w:noProof/>
                <w:sz w:val="14"/>
                <w:szCs w:val="14"/>
                <w:lang w:val="tr-TR"/>
              </w:rPr>
              <w:t xml:space="preserve"> (STATEMENT OF FINANCIAL POSITION)</w:t>
            </w:r>
          </w:p>
        </w:tc>
        <w:tc>
          <w:tcPr>
            <w:tcW w:w="531" w:type="dxa"/>
            <w:noWrap/>
            <w:tcMar>
              <w:top w:w="18" w:type="dxa"/>
              <w:left w:w="18" w:type="dxa"/>
              <w:bottom w:w="0" w:type="dxa"/>
              <w:right w:w="18" w:type="dxa"/>
            </w:tcMar>
            <w:vAlign w:val="bottom"/>
          </w:tcPr>
          <w:p w14:paraId="270E8A78" w14:textId="77777777" w:rsidR="00AB1F1C" w:rsidRPr="00604C75" w:rsidRDefault="00AB1F1C" w:rsidP="00D67915">
            <w:pPr>
              <w:spacing w:line="204" w:lineRule="auto"/>
              <w:jc w:val="center"/>
              <w:rPr>
                <w:rFonts w:eastAsia="Arial Unicode MS"/>
                <w:b/>
                <w:bCs/>
                <w:noProof/>
                <w:sz w:val="14"/>
                <w:szCs w:val="14"/>
                <w:lang w:val="tr-TR"/>
              </w:rPr>
            </w:pPr>
            <w:r w:rsidRPr="00604C75">
              <w:rPr>
                <w:b/>
                <w:bCs/>
                <w:noProof/>
                <w:sz w:val="14"/>
                <w:szCs w:val="14"/>
                <w:lang w:val="tr-TR"/>
              </w:rPr>
              <w:t>Note</w:t>
            </w:r>
          </w:p>
        </w:tc>
        <w:tc>
          <w:tcPr>
            <w:tcW w:w="2166" w:type="dxa"/>
            <w:gridSpan w:val="3"/>
            <w:vMerge w:val="restart"/>
            <w:tcBorders>
              <w:bottom w:val="single" w:sz="4" w:space="0" w:color="auto"/>
            </w:tcBorders>
            <w:noWrap/>
            <w:tcMar>
              <w:top w:w="18" w:type="dxa"/>
              <w:left w:w="18" w:type="dxa"/>
              <w:bottom w:w="0" w:type="dxa"/>
              <w:right w:w="18" w:type="dxa"/>
            </w:tcMar>
            <w:vAlign w:val="bottom"/>
          </w:tcPr>
          <w:p w14:paraId="73E2EDD7" w14:textId="77777777" w:rsidR="00AB1F1C" w:rsidRPr="00604C75" w:rsidRDefault="00D405BC" w:rsidP="00BF6A2D">
            <w:pPr>
              <w:spacing w:line="204" w:lineRule="auto"/>
              <w:jc w:val="center"/>
              <w:rPr>
                <w:b/>
                <w:bCs/>
                <w:noProof/>
                <w:sz w:val="14"/>
                <w:szCs w:val="14"/>
                <w:lang w:val="tr-TR"/>
              </w:rPr>
            </w:pPr>
            <w:r>
              <w:rPr>
                <w:b/>
                <w:bCs/>
                <w:noProof/>
                <w:sz w:val="14"/>
                <w:szCs w:val="14"/>
                <w:lang w:val="tr-TR"/>
              </w:rPr>
              <w:t>3</w:t>
            </w:r>
            <w:r w:rsidR="00BF6A2D">
              <w:rPr>
                <w:b/>
                <w:bCs/>
                <w:noProof/>
                <w:sz w:val="14"/>
                <w:szCs w:val="14"/>
                <w:lang w:val="tr-TR"/>
              </w:rPr>
              <w:t>1</w:t>
            </w:r>
            <w:r>
              <w:rPr>
                <w:b/>
                <w:bCs/>
                <w:noProof/>
                <w:sz w:val="14"/>
                <w:szCs w:val="14"/>
                <w:lang w:val="tr-TR"/>
              </w:rPr>
              <w:t xml:space="preserve"> </w:t>
            </w:r>
            <w:r w:rsidR="00BF6A2D">
              <w:rPr>
                <w:b/>
                <w:bCs/>
                <w:noProof/>
                <w:sz w:val="14"/>
                <w:szCs w:val="14"/>
                <w:lang w:val="tr-TR"/>
              </w:rPr>
              <w:t>December</w:t>
            </w:r>
            <w:r w:rsidR="00BF6A2D" w:rsidRPr="00604C75">
              <w:rPr>
                <w:b/>
                <w:bCs/>
                <w:noProof/>
                <w:sz w:val="14"/>
                <w:szCs w:val="14"/>
                <w:lang w:val="tr-TR"/>
              </w:rPr>
              <w:t xml:space="preserve"> </w:t>
            </w:r>
            <w:r w:rsidR="00B35753" w:rsidRPr="00604C75">
              <w:rPr>
                <w:b/>
                <w:bCs/>
                <w:noProof/>
                <w:sz w:val="14"/>
                <w:szCs w:val="14"/>
                <w:lang w:val="tr-TR"/>
              </w:rPr>
              <w:t>2015</w:t>
            </w:r>
          </w:p>
        </w:tc>
        <w:tc>
          <w:tcPr>
            <w:tcW w:w="2090" w:type="dxa"/>
            <w:gridSpan w:val="3"/>
            <w:vMerge w:val="restart"/>
            <w:tcBorders>
              <w:bottom w:val="single" w:sz="4" w:space="0" w:color="auto"/>
            </w:tcBorders>
            <w:noWrap/>
            <w:tcMar>
              <w:top w:w="18" w:type="dxa"/>
              <w:left w:w="18" w:type="dxa"/>
              <w:bottom w:w="0" w:type="dxa"/>
              <w:right w:w="18" w:type="dxa"/>
            </w:tcMar>
            <w:vAlign w:val="bottom"/>
          </w:tcPr>
          <w:p w14:paraId="63CB3F8C" w14:textId="77777777" w:rsidR="00AB1F1C" w:rsidRPr="00604C75" w:rsidRDefault="00ED41A2">
            <w:pPr>
              <w:spacing w:line="204" w:lineRule="auto"/>
              <w:jc w:val="center"/>
              <w:rPr>
                <w:b/>
                <w:bCs/>
                <w:noProof/>
                <w:sz w:val="14"/>
                <w:szCs w:val="14"/>
                <w:lang w:val="tr-TR"/>
              </w:rPr>
            </w:pPr>
            <w:r w:rsidRPr="00604C75">
              <w:rPr>
                <w:b/>
                <w:bCs/>
                <w:noProof/>
                <w:sz w:val="14"/>
                <w:szCs w:val="14"/>
                <w:lang w:val="tr-TR"/>
              </w:rPr>
              <w:t>31</w:t>
            </w:r>
            <w:r w:rsidR="00B35753" w:rsidRPr="00604C75">
              <w:rPr>
                <w:b/>
                <w:bCs/>
                <w:noProof/>
                <w:sz w:val="14"/>
                <w:szCs w:val="14"/>
                <w:lang w:val="tr-TR"/>
              </w:rPr>
              <w:t xml:space="preserve"> December 2014</w:t>
            </w:r>
          </w:p>
        </w:tc>
      </w:tr>
      <w:tr w:rsidR="00AB1F1C" w:rsidRPr="00604C75" w14:paraId="0EDBA36C" w14:textId="77777777" w:rsidTr="0032757D">
        <w:trPr>
          <w:cantSplit/>
          <w:trHeight w:val="62"/>
        </w:trPr>
        <w:tc>
          <w:tcPr>
            <w:tcW w:w="557" w:type="dxa"/>
            <w:noWrap/>
            <w:tcMar>
              <w:top w:w="18" w:type="dxa"/>
              <w:left w:w="18" w:type="dxa"/>
              <w:bottom w:w="0" w:type="dxa"/>
              <w:right w:w="18" w:type="dxa"/>
            </w:tcMar>
            <w:vAlign w:val="bottom"/>
          </w:tcPr>
          <w:p w14:paraId="69456E8E" w14:textId="77777777" w:rsidR="00AB1F1C" w:rsidRPr="00604C75" w:rsidRDefault="00AB1F1C" w:rsidP="00D67915">
            <w:pPr>
              <w:spacing w:line="204" w:lineRule="auto"/>
              <w:jc w:val="right"/>
              <w:rPr>
                <w:rFonts w:eastAsia="Arial Unicode MS"/>
                <w:b/>
                <w:bCs/>
                <w:noProof/>
                <w:sz w:val="14"/>
                <w:szCs w:val="14"/>
                <w:lang w:val="tr-TR"/>
              </w:rPr>
            </w:pPr>
          </w:p>
        </w:tc>
        <w:tc>
          <w:tcPr>
            <w:tcW w:w="4767" w:type="dxa"/>
            <w:noWrap/>
            <w:tcMar>
              <w:top w:w="18" w:type="dxa"/>
              <w:left w:w="18" w:type="dxa"/>
              <w:bottom w:w="0" w:type="dxa"/>
              <w:right w:w="18" w:type="dxa"/>
            </w:tcMar>
            <w:vAlign w:val="bottom"/>
          </w:tcPr>
          <w:p w14:paraId="27AF1DDF" w14:textId="77777777" w:rsidR="00AB1F1C" w:rsidRPr="00604C75" w:rsidRDefault="00AB1F1C" w:rsidP="00D67915">
            <w:pPr>
              <w:spacing w:line="204" w:lineRule="auto"/>
              <w:rPr>
                <w:b/>
                <w:bCs/>
                <w:noProof/>
                <w:sz w:val="6"/>
                <w:szCs w:val="6"/>
                <w:lang w:val="tr-TR"/>
              </w:rPr>
            </w:pPr>
          </w:p>
        </w:tc>
        <w:tc>
          <w:tcPr>
            <w:tcW w:w="531" w:type="dxa"/>
            <w:noWrap/>
            <w:tcMar>
              <w:top w:w="18" w:type="dxa"/>
              <w:left w:w="18" w:type="dxa"/>
              <w:bottom w:w="0" w:type="dxa"/>
              <w:right w:w="18" w:type="dxa"/>
            </w:tcMar>
            <w:vAlign w:val="bottom"/>
          </w:tcPr>
          <w:p w14:paraId="0419B727" w14:textId="77777777" w:rsidR="00AB1F1C" w:rsidRPr="00604C75" w:rsidRDefault="00AB1F1C" w:rsidP="00D67915">
            <w:pPr>
              <w:spacing w:line="204" w:lineRule="auto"/>
              <w:jc w:val="center"/>
              <w:rPr>
                <w:rFonts w:eastAsia="Arial Unicode MS"/>
                <w:b/>
                <w:bCs/>
                <w:noProof/>
                <w:sz w:val="14"/>
                <w:szCs w:val="14"/>
                <w:lang w:val="tr-TR"/>
              </w:rPr>
            </w:pPr>
            <w:r w:rsidRPr="00604C75">
              <w:rPr>
                <w:rFonts w:eastAsia="Arial Unicode MS"/>
                <w:b/>
                <w:bCs/>
                <w:noProof/>
                <w:sz w:val="14"/>
                <w:szCs w:val="14"/>
                <w:lang w:val="tr-TR"/>
              </w:rPr>
              <w:t>(Section</w:t>
            </w:r>
          </w:p>
        </w:tc>
        <w:tc>
          <w:tcPr>
            <w:tcW w:w="2166" w:type="dxa"/>
            <w:gridSpan w:val="3"/>
            <w:vMerge/>
            <w:tcBorders>
              <w:bottom w:val="single" w:sz="4" w:space="0" w:color="auto"/>
            </w:tcBorders>
            <w:noWrap/>
            <w:tcMar>
              <w:top w:w="18" w:type="dxa"/>
              <w:left w:w="18" w:type="dxa"/>
              <w:bottom w:w="0" w:type="dxa"/>
              <w:right w:w="18" w:type="dxa"/>
            </w:tcMar>
            <w:vAlign w:val="bottom"/>
          </w:tcPr>
          <w:p w14:paraId="6993FD0D" w14:textId="77777777" w:rsidR="00AB1F1C" w:rsidRPr="00604C75" w:rsidRDefault="00AB1F1C" w:rsidP="00D67915">
            <w:pPr>
              <w:spacing w:line="204" w:lineRule="auto"/>
              <w:jc w:val="right"/>
              <w:rPr>
                <w:b/>
                <w:bCs/>
                <w:noProof/>
                <w:sz w:val="14"/>
                <w:szCs w:val="14"/>
                <w:lang w:val="tr-TR"/>
              </w:rPr>
            </w:pPr>
          </w:p>
        </w:tc>
        <w:tc>
          <w:tcPr>
            <w:tcW w:w="2090" w:type="dxa"/>
            <w:gridSpan w:val="3"/>
            <w:vMerge/>
            <w:tcBorders>
              <w:bottom w:val="single" w:sz="4" w:space="0" w:color="auto"/>
            </w:tcBorders>
            <w:noWrap/>
            <w:tcMar>
              <w:top w:w="18" w:type="dxa"/>
              <w:left w:w="18" w:type="dxa"/>
              <w:bottom w:w="0" w:type="dxa"/>
              <w:right w:w="18" w:type="dxa"/>
            </w:tcMar>
            <w:vAlign w:val="bottom"/>
          </w:tcPr>
          <w:p w14:paraId="6D5FCA2A" w14:textId="77777777" w:rsidR="00AB1F1C" w:rsidRPr="00604C75" w:rsidRDefault="00AB1F1C" w:rsidP="00D67915">
            <w:pPr>
              <w:spacing w:line="204" w:lineRule="auto"/>
              <w:jc w:val="right"/>
              <w:rPr>
                <w:b/>
                <w:bCs/>
                <w:noProof/>
                <w:sz w:val="14"/>
                <w:szCs w:val="14"/>
                <w:lang w:val="tr-TR"/>
              </w:rPr>
            </w:pPr>
          </w:p>
        </w:tc>
      </w:tr>
      <w:tr w:rsidR="00AB1F1C" w:rsidRPr="00604C75" w14:paraId="08D4CE1C" w14:textId="77777777" w:rsidTr="0032757D">
        <w:trPr>
          <w:trHeight w:val="62"/>
        </w:trPr>
        <w:tc>
          <w:tcPr>
            <w:tcW w:w="557" w:type="dxa"/>
            <w:noWrap/>
            <w:tcMar>
              <w:top w:w="18" w:type="dxa"/>
              <w:left w:w="18" w:type="dxa"/>
              <w:bottom w:w="0" w:type="dxa"/>
              <w:right w:w="18" w:type="dxa"/>
            </w:tcMar>
            <w:vAlign w:val="bottom"/>
          </w:tcPr>
          <w:p w14:paraId="1B192AF2" w14:textId="77777777" w:rsidR="00AB1F1C" w:rsidRPr="00604C75" w:rsidRDefault="00AB1F1C" w:rsidP="00D67915">
            <w:pPr>
              <w:spacing w:line="204" w:lineRule="auto"/>
              <w:jc w:val="right"/>
              <w:rPr>
                <w:rFonts w:eastAsia="Arial Unicode MS"/>
                <w:b/>
                <w:bCs/>
                <w:noProof/>
                <w:sz w:val="14"/>
                <w:szCs w:val="14"/>
                <w:lang w:val="tr-TR"/>
              </w:rPr>
            </w:pPr>
          </w:p>
        </w:tc>
        <w:tc>
          <w:tcPr>
            <w:tcW w:w="4767" w:type="dxa"/>
            <w:noWrap/>
            <w:tcMar>
              <w:top w:w="18" w:type="dxa"/>
              <w:left w:w="18" w:type="dxa"/>
              <w:bottom w:w="0" w:type="dxa"/>
              <w:right w:w="18" w:type="dxa"/>
            </w:tcMar>
            <w:vAlign w:val="bottom"/>
          </w:tcPr>
          <w:p w14:paraId="2F914F0C" w14:textId="77777777" w:rsidR="00AB1F1C" w:rsidRPr="00604C75" w:rsidRDefault="00AB1F1C" w:rsidP="00D67915">
            <w:pPr>
              <w:spacing w:line="204" w:lineRule="auto"/>
              <w:rPr>
                <w:rFonts w:eastAsia="Arial Unicode MS"/>
                <w:b/>
                <w:bCs/>
                <w:noProof/>
                <w:sz w:val="14"/>
                <w:szCs w:val="14"/>
                <w:lang w:val="tr-TR"/>
              </w:rPr>
            </w:pPr>
            <w:r w:rsidRPr="00604C75">
              <w:rPr>
                <w:b/>
                <w:bCs/>
                <w:noProof/>
                <w:sz w:val="14"/>
                <w:szCs w:val="14"/>
                <w:lang w:val="tr-TR"/>
              </w:rPr>
              <w:t>ASSETS</w:t>
            </w:r>
          </w:p>
        </w:tc>
        <w:tc>
          <w:tcPr>
            <w:tcW w:w="531" w:type="dxa"/>
            <w:noWrap/>
            <w:tcMar>
              <w:top w:w="18" w:type="dxa"/>
              <w:left w:w="18" w:type="dxa"/>
              <w:bottom w:w="0" w:type="dxa"/>
              <w:right w:w="18" w:type="dxa"/>
            </w:tcMar>
            <w:vAlign w:val="bottom"/>
          </w:tcPr>
          <w:p w14:paraId="74923D9F" w14:textId="77777777" w:rsidR="00AB1F1C" w:rsidRPr="00604C75" w:rsidRDefault="00AB1F1C" w:rsidP="00D67915">
            <w:pPr>
              <w:spacing w:line="204" w:lineRule="auto"/>
              <w:jc w:val="center"/>
              <w:rPr>
                <w:rFonts w:eastAsia="Arial Unicode MS"/>
                <w:b/>
                <w:bCs/>
                <w:noProof/>
                <w:sz w:val="14"/>
                <w:szCs w:val="14"/>
                <w:lang w:val="tr-TR"/>
              </w:rPr>
            </w:pPr>
            <w:r w:rsidRPr="00604C75">
              <w:rPr>
                <w:rFonts w:eastAsia="Arial Unicode MS"/>
                <w:b/>
                <w:bCs/>
                <w:noProof/>
                <w:sz w:val="14"/>
                <w:szCs w:val="14"/>
                <w:lang w:val="tr-TR"/>
              </w:rPr>
              <w:t>Five)</w:t>
            </w:r>
          </w:p>
        </w:tc>
        <w:tc>
          <w:tcPr>
            <w:tcW w:w="630" w:type="dxa"/>
            <w:tcBorders>
              <w:top w:val="single" w:sz="4" w:space="0" w:color="auto"/>
              <w:bottom w:val="single" w:sz="4" w:space="0" w:color="auto"/>
            </w:tcBorders>
            <w:noWrap/>
            <w:tcMar>
              <w:top w:w="18" w:type="dxa"/>
              <w:left w:w="18" w:type="dxa"/>
              <w:bottom w:w="0" w:type="dxa"/>
              <w:right w:w="18" w:type="dxa"/>
            </w:tcMar>
            <w:vAlign w:val="bottom"/>
          </w:tcPr>
          <w:p w14:paraId="2952FACB" w14:textId="77777777"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TL</w:t>
            </w:r>
          </w:p>
        </w:tc>
        <w:tc>
          <w:tcPr>
            <w:tcW w:w="791" w:type="dxa"/>
            <w:tcBorders>
              <w:top w:val="single" w:sz="4" w:space="0" w:color="auto"/>
              <w:bottom w:val="single" w:sz="4" w:space="0" w:color="auto"/>
            </w:tcBorders>
            <w:noWrap/>
            <w:tcMar>
              <w:top w:w="18" w:type="dxa"/>
              <w:left w:w="18" w:type="dxa"/>
              <w:bottom w:w="0" w:type="dxa"/>
              <w:right w:w="18" w:type="dxa"/>
            </w:tcMar>
            <w:vAlign w:val="bottom"/>
          </w:tcPr>
          <w:p w14:paraId="6F6C054D" w14:textId="77777777"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FC</w:t>
            </w:r>
          </w:p>
        </w:tc>
        <w:tc>
          <w:tcPr>
            <w:tcW w:w="745" w:type="dxa"/>
            <w:tcBorders>
              <w:top w:val="single" w:sz="4" w:space="0" w:color="auto"/>
              <w:bottom w:val="single" w:sz="4" w:space="0" w:color="auto"/>
            </w:tcBorders>
            <w:noWrap/>
            <w:tcMar>
              <w:top w:w="18" w:type="dxa"/>
              <w:left w:w="18" w:type="dxa"/>
              <w:bottom w:w="0" w:type="dxa"/>
              <w:right w:w="18" w:type="dxa"/>
            </w:tcMar>
            <w:vAlign w:val="bottom"/>
          </w:tcPr>
          <w:p w14:paraId="1E1446B9" w14:textId="77777777"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Total</w:t>
            </w:r>
          </w:p>
        </w:tc>
        <w:tc>
          <w:tcPr>
            <w:tcW w:w="745" w:type="dxa"/>
            <w:tcBorders>
              <w:top w:val="single" w:sz="4" w:space="0" w:color="auto"/>
              <w:bottom w:val="single" w:sz="4" w:space="0" w:color="auto"/>
            </w:tcBorders>
            <w:noWrap/>
            <w:tcMar>
              <w:top w:w="18" w:type="dxa"/>
              <w:left w:w="18" w:type="dxa"/>
              <w:bottom w:w="0" w:type="dxa"/>
              <w:right w:w="18" w:type="dxa"/>
            </w:tcMar>
            <w:vAlign w:val="bottom"/>
          </w:tcPr>
          <w:p w14:paraId="0AE9E27B" w14:textId="77777777"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TL</w:t>
            </w:r>
          </w:p>
        </w:tc>
        <w:tc>
          <w:tcPr>
            <w:tcW w:w="659" w:type="dxa"/>
            <w:tcBorders>
              <w:top w:val="single" w:sz="4" w:space="0" w:color="auto"/>
              <w:bottom w:val="single" w:sz="4" w:space="0" w:color="auto"/>
            </w:tcBorders>
            <w:noWrap/>
            <w:tcMar>
              <w:top w:w="18" w:type="dxa"/>
              <w:left w:w="18" w:type="dxa"/>
              <w:bottom w:w="0" w:type="dxa"/>
              <w:right w:w="18" w:type="dxa"/>
            </w:tcMar>
            <w:vAlign w:val="bottom"/>
          </w:tcPr>
          <w:p w14:paraId="49A22FCC" w14:textId="77777777"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FC</w:t>
            </w:r>
          </w:p>
        </w:tc>
        <w:tc>
          <w:tcPr>
            <w:tcW w:w="686" w:type="dxa"/>
            <w:tcBorders>
              <w:top w:val="single" w:sz="4" w:space="0" w:color="auto"/>
              <w:bottom w:val="single" w:sz="4" w:space="0" w:color="auto"/>
            </w:tcBorders>
            <w:noWrap/>
            <w:tcMar>
              <w:top w:w="18" w:type="dxa"/>
              <w:left w:w="18" w:type="dxa"/>
              <w:bottom w:w="0" w:type="dxa"/>
              <w:right w:w="18" w:type="dxa"/>
            </w:tcMar>
            <w:vAlign w:val="bottom"/>
          </w:tcPr>
          <w:p w14:paraId="6E1077E7" w14:textId="77777777" w:rsidR="00AB1F1C" w:rsidRPr="00604C75" w:rsidRDefault="00AB1F1C" w:rsidP="00D67915">
            <w:pPr>
              <w:spacing w:line="204" w:lineRule="auto"/>
              <w:ind w:left="-571" w:right="24"/>
              <w:jc w:val="right"/>
              <w:rPr>
                <w:rFonts w:eastAsia="Arial Unicode MS"/>
                <w:b/>
                <w:bCs/>
                <w:noProof/>
                <w:sz w:val="14"/>
                <w:szCs w:val="14"/>
                <w:lang w:val="tr-TR"/>
              </w:rPr>
            </w:pPr>
            <w:r w:rsidRPr="00604C75">
              <w:rPr>
                <w:rFonts w:eastAsia="Arial Unicode MS"/>
                <w:b/>
                <w:bCs/>
                <w:noProof/>
                <w:sz w:val="14"/>
                <w:szCs w:val="14"/>
                <w:lang w:val="tr-TR"/>
              </w:rPr>
              <w:t>Total</w:t>
            </w:r>
          </w:p>
        </w:tc>
      </w:tr>
      <w:tr w:rsidR="00224102" w:rsidRPr="00604C75" w14:paraId="16F4A9A7" w14:textId="77777777" w:rsidTr="00373D13">
        <w:trPr>
          <w:trHeight w:val="237"/>
        </w:trPr>
        <w:tc>
          <w:tcPr>
            <w:tcW w:w="557" w:type="dxa"/>
            <w:noWrap/>
            <w:tcMar>
              <w:top w:w="18" w:type="dxa"/>
              <w:left w:w="18" w:type="dxa"/>
              <w:bottom w:w="0" w:type="dxa"/>
              <w:right w:w="18" w:type="dxa"/>
            </w:tcMar>
            <w:vAlign w:val="bottom"/>
          </w:tcPr>
          <w:p w14:paraId="66F3BEF1"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I.</w:t>
            </w:r>
          </w:p>
        </w:tc>
        <w:tc>
          <w:tcPr>
            <w:tcW w:w="4767" w:type="dxa"/>
            <w:noWrap/>
            <w:tcMar>
              <w:top w:w="18" w:type="dxa"/>
              <w:left w:w="18" w:type="dxa"/>
              <w:bottom w:w="0" w:type="dxa"/>
              <w:right w:w="18" w:type="dxa"/>
            </w:tcMar>
            <w:vAlign w:val="bottom"/>
          </w:tcPr>
          <w:p w14:paraId="2FF11B4A" w14:textId="77777777" w:rsidR="00224102" w:rsidRPr="00604C75" w:rsidRDefault="00224102" w:rsidP="00224102">
            <w:pPr>
              <w:pStyle w:val="Heading2"/>
              <w:spacing w:before="0" w:line="204" w:lineRule="auto"/>
              <w:jc w:val="both"/>
              <w:rPr>
                <w:rFonts w:ascii="Times New Roman" w:hAnsi="Times New Roman"/>
                <w:bCs/>
                <w:noProof/>
                <w:sz w:val="14"/>
                <w:szCs w:val="14"/>
                <w:lang w:val="tr-TR"/>
              </w:rPr>
            </w:pPr>
            <w:r w:rsidRPr="00604C75">
              <w:rPr>
                <w:rFonts w:ascii="Times New Roman" w:hAnsi="Times New Roman"/>
                <w:bCs/>
                <w:noProof/>
                <w:sz w:val="14"/>
                <w:szCs w:val="14"/>
                <w:lang w:val="tr-TR"/>
              </w:rPr>
              <w:t>CASH AND BALANCES WITH CENTRAL BANK</w:t>
            </w:r>
          </w:p>
        </w:tc>
        <w:tc>
          <w:tcPr>
            <w:tcW w:w="531" w:type="dxa"/>
            <w:noWrap/>
            <w:tcMar>
              <w:top w:w="18" w:type="dxa"/>
              <w:left w:w="18" w:type="dxa"/>
              <w:bottom w:w="0" w:type="dxa"/>
              <w:right w:w="18" w:type="dxa"/>
            </w:tcMar>
            <w:vAlign w:val="bottom"/>
          </w:tcPr>
          <w:p w14:paraId="4FB0A366" w14:textId="5BA82ADD"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I-a</w:t>
            </w:r>
          </w:p>
        </w:tc>
        <w:tc>
          <w:tcPr>
            <w:tcW w:w="630" w:type="dxa"/>
            <w:tcBorders>
              <w:top w:val="single" w:sz="4" w:space="0" w:color="auto"/>
            </w:tcBorders>
            <w:noWrap/>
            <w:tcMar>
              <w:top w:w="18" w:type="dxa"/>
              <w:left w:w="18" w:type="dxa"/>
              <w:bottom w:w="0" w:type="dxa"/>
              <w:right w:w="18" w:type="dxa"/>
            </w:tcMar>
            <w:vAlign w:val="bottom"/>
          </w:tcPr>
          <w:p w14:paraId="46795EC4" w14:textId="5B71D020" w:rsidR="00224102" w:rsidRPr="00EF6596" w:rsidRDefault="00224102" w:rsidP="00224102">
            <w:pPr>
              <w:jc w:val="right"/>
              <w:rPr>
                <w:b/>
                <w:bCs/>
                <w:sz w:val="14"/>
                <w:szCs w:val="14"/>
              </w:rPr>
            </w:pPr>
            <w:r w:rsidRPr="00EF6596">
              <w:rPr>
                <w:b/>
                <w:bCs/>
                <w:sz w:val="14"/>
                <w:szCs w:val="14"/>
              </w:rPr>
              <w:t>51,568</w:t>
            </w:r>
          </w:p>
        </w:tc>
        <w:tc>
          <w:tcPr>
            <w:tcW w:w="791" w:type="dxa"/>
            <w:tcBorders>
              <w:top w:val="single" w:sz="4" w:space="0" w:color="auto"/>
            </w:tcBorders>
            <w:noWrap/>
            <w:tcMar>
              <w:top w:w="18" w:type="dxa"/>
              <w:left w:w="18" w:type="dxa"/>
              <w:bottom w:w="0" w:type="dxa"/>
              <w:right w:w="18" w:type="dxa"/>
            </w:tcMar>
            <w:vAlign w:val="bottom"/>
          </w:tcPr>
          <w:p w14:paraId="39354F75" w14:textId="14368DC8" w:rsidR="00224102" w:rsidRPr="00EF6596" w:rsidRDefault="00224102" w:rsidP="00224102">
            <w:pPr>
              <w:jc w:val="right"/>
              <w:rPr>
                <w:b/>
                <w:bCs/>
                <w:sz w:val="14"/>
                <w:szCs w:val="14"/>
              </w:rPr>
            </w:pPr>
            <w:r w:rsidRPr="00EF6596">
              <w:rPr>
                <w:b/>
                <w:bCs/>
                <w:sz w:val="14"/>
                <w:szCs w:val="14"/>
              </w:rPr>
              <w:t>1,493,930</w:t>
            </w:r>
          </w:p>
        </w:tc>
        <w:tc>
          <w:tcPr>
            <w:tcW w:w="745" w:type="dxa"/>
            <w:tcBorders>
              <w:top w:val="single" w:sz="4" w:space="0" w:color="auto"/>
            </w:tcBorders>
            <w:noWrap/>
            <w:tcMar>
              <w:top w:w="18" w:type="dxa"/>
              <w:left w:w="18" w:type="dxa"/>
              <w:bottom w:w="0" w:type="dxa"/>
              <w:right w:w="18" w:type="dxa"/>
            </w:tcMar>
            <w:vAlign w:val="bottom"/>
          </w:tcPr>
          <w:p w14:paraId="4D361591" w14:textId="28B187E3" w:rsidR="00224102" w:rsidRPr="00EF6596" w:rsidRDefault="00224102" w:rsidP="00224102">
            <w:pPr>
              <w:jc w:val="right"/>
              <w:rPr>
                <w:b/>
                <w:bCs/>
                <w:sz w:val="14"/>
                <w:szCs w:val="14"/>
              </w:rPr>
            </w:pPr>
            <w:r w:rsidRPr="00EF6596">
              <w:rPr>
                <w:b/>
                <w:bCs/>
                <w:sz w:val="14"/>
                <w:szCs w:val="14"/>
              </w:rPr>
              <w:t>1,545,498</w:t>
            </w:r>
          </w:p>
        </w:tc>
        <w:tc>
          <w:tcPr>
            <w:tcW w:w="745" w:type="dxa"/>
            <w:tcBorders>
              <w:top w:val="single" w:sz="4" w:space="0" w:color="auto"/>
            </w:tcBorders>
            <w:noWrap/>
            <w:tcMar>
              <w:top w:w="18" w:type="dxa"/>
              <w:left w:w="18" w:type="dxa"/>
              <w:bottom w:w="0" w:type="dxa"/>
              <w:right w:w="18" w:type="dxa"/>
            </w:tcMar>
            <w:vAlign w:val="bottom"/>
          </w:tcPr>
          <w:p w14:paraId="2EE64241" w14:textId="27E5A347" w:rsidR="00224102" w:rsidRPr="00692926" w:rsidRDefault="00224102" w:rsidP="00224102">
            <w:pPr>
              <w:spacing w:line="221" w:lineRule="auto"/>
              <w:jc w:val="right"/>
              <w:rPr>
                <w:b/>
                <w:sz w:val="14"/>
                <w:szCs w:val="14"/>
              </w:rPr>
            </w:pPr>
            <w:r w:rsidRPr="00692926">
              <w:rPr>
                <w:b/>
                <w:sz w:val="14"/>
                <w:szCs w:val="14"/>
              </w:rPr>
              <w:t>165,485</w:t>
            </w:r>
          </w:p>
        </w:tc>
        <w:tc>
          <w:tcPr>
            <w:tcW w:w="659" w:type="dxa"/>
            <w:tcBorders>
              <w:top w:val="single" w:sz="4" w:space="0" w:color="auto"/>
            </w:tcBorders>
            <w:noWrap/>
            <w:tcMar>
              <w:top w:w="18" w:type="dxa"/>
              <w:left w:w="18" w:type="dxa"/>
              <w:bottom w:w="0" w:type="dxa"/>
              <w:right w:w="18" w:type="dxa"/>
            </w:tcMar>
            <w:vAlign w:val="bottom"/>
          </w:tcPr>
          <w:p w14:paraId="528884A4" w14:textId="6364BBA2" w:rsidR="00224102" w:rsidRPr="00692926" w:rsidRDefault="00224102" w:rsidP="00224102">
            <w:pPr>
              <w:spacing w:line="221" w:lineRule="auto"/>
              <w:jc w:val="right"/>
              <w:rPr>
                <w:b/>
                <w:sz w:val="14"/>
                <w:szCs w:val="14"/>
              </w:rPr>
            </w:pPr>
            <w:r w:rsidRPr="00692926">
              <w:rPr>
                <w:b/>
                <w:sz w:val="14"/>
                <w:szCs w:val="14"/>
              </w:rPr>
              <w:t>1,192,759</w:t>
            </w:r>
          </w:p>
        </w:tc>
        <w:tc>
          <w:tcPr>
            <w:tcW w:w="686" w:type="dxa"/>
            <w:tcBorders>
              <w:top w:val="single" w:sz="4" w:space="0" w:color="auto"/>
            </w:tcBorders>
            <w:noWrap/>
            <w:tcMar>
              <w:top w:w="18" w:type="dxa"/>
              <w:left w:w="18" w:type="dxa"/>
              <w:bottom w:w="0" w:type="dxa"/>
              <w:right w:w="18" w:type="dxa"/>
            </w:tcMar>
            <w:vAlign w:val="bottom"/>
          </w:tcPr>
          <w:p w14:paraId="5A5556ED" w14:textId="69E56FD0" w:rsidR="00224102" w:rsidRPr="00692926" w:rsidRDefault="00224102" w:rsidP="00224102">
            <w:pPr>
              <w:spacing w:line="221" w:lineRule="auto"/>
              <w:jc w:val="right"/>
              <w:rPr>
                <w:b/>
                <w:sz w:val="14"/>
                <w:szCs w:val="14"/>
              </w:rPr>
            </w:pPr>
            <w:r w:rsidRPr="00692926">
              <w:rPr>
                <w:b/>
                <w:sz w:val="14"/>
                <w:szCs w:val="14"/>
              </w:rPr>
              <w:t>1,358,244</w:t>
            </w:r>
          </w:p>
        </w:tc>
      </w:tr>
      <w:tr w:rsidR="00224102" w:rsidRPr="00604C75" w14:paraId="2D1DD7F9" w14:textId="77777777" w:rsidTr="00373D13">
        <w:trPr>
          <w:trHeight w:val="128"/>
        </w:trPr>
        <w:tc>
          <w:tcPr>
            <w:tcW w:w="557" w:type="dxa"/>
            <w:noWrap/>
            <w:tcMar>
              <w:top w:w="18" w:type="dxa"/>
              <w:left w:w="18" w:type="dxa"/>
              <w:bottom w:w="0" w:type="dxa"/>
              <w:right w:w="18" w:type="dxa"/>
            </w:tcMar>
          </w:tcPr>
          <w:p w14:paraId="431D2031"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II.</w:t>
            </w:r>
          </w:p>
        </w:tc>
        <w:tc>
          <w:tcPr>
            <w:tcW w:w="4767" w:type="dxa"/>
            <w:noWrap/>
            <w:tcMar>
              <w:top w:w="18" w:type="dxa"/>
              <w:left w:w="18" w:type="dxa"/>
              <w:bottom w:w="0" w:type="dxa"/>
              <w:right w:w="18" w:type="dxa"/>
            </w:tcMar>
            <w:vAlign w:val="bottom"/>
          </w:tcPr>
          <w:p w14:paraId="4F68DE4D" w14:textId="77777777" w:rsidR="00224102" w:rsidRPr="00604C75" w:rsidRDefault="00224102" w:rsidP="00224102">
            <w:pPr>
              <w:spacing w:line="204" w:lineRule="auto"/>
              <w:jc w:val="both"/>
              <w:rPr>
                <w:b/>
                <w:bCs/>
                <w:noProof/>
                <w:sz w:val="14"/>
                <w:szCs w:val="14"/>
                <w:lang w:val="tr-TR"/>
              </w:rPr>
            </w:pPr>
            <w:r w:rsidRPr="00604C75">
              <w:rPr>
                <w:b/>
                <w:bCs/>
                <w:noProof/>
                <w:sz w:val="14"/>
                <w:szCs w:val="14"/>
                <w:lang w:val="tr-TR"/>
              </w:rPr>
              <w:t>FINANCIAL ASSETS AT FAIR VALUE THROUGH PROFIT or LOSS (Net)</w:t>
            </w:r>
          </w:p>
        </w:tc>
        <w:tc>
          <w:tcPr>
            <w:tcW w:w="531" w:type="dxa"/>
            <w:noWrap/>
            <w:tcMar>
              <w:top w:w="18" w:type="dxa"/>
              <w:left w:w="18" w:type="dxa"/>
              <w:bottom w:w="0" w:type="dxa"/>
              <w:right w:w="18" w:type="dxa"/>
            </w:tcMar>
            <w:vAlign w:val="bottom"/>
          </w:tcPr>
          <w:p w14:paraId="05251C66" w14:textId="455164C0"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I-b</w:t>
            </w:r>
          </w:p>
        </w:tc>
        <w:tc>
          <w:tcPr>
            <w:tcW w:w="630" w:type="dxa"/>
            <w:noWrap/>
            <w:tcMar>
              <w:top w:w="18" w:type="dxa"/>
              <w:left w:w="18" w:type="dxa"/>
              <w:bottom w:w="0" w:type="dxa"/>
              <w:right w:w="18" w:type="dxa"/>
            </w:tcMar>
            <w:vAlign w:val="bottom"/>
          </w:tcPr>
          <w:p w14:paraId="7BBF2229" w14:textId="5E679CA3" w:rsidR="00224102" w:rsidRPr="00EF6596" w:rsidRDefault="00224102" w:rsidP="00224102">
            <w:pPr>
              <w:jc w:val="right"/>
              <w:rPr>
                <w:b/>
                <w:bCs/>
                <w:sz w:val="14"/>
                <w:szCs w:val="14"/>
              </w:rPr>
            </w:pPr>
            <w:r w:rsidRPr="00EF6596">
              <w:rPr>
                <w:b/>
                <w:bCs/>
                <w:sz w:val="14"/>
                <w:szCs w:val="14"/>
              </w:rPr>
              <w:t>22,625</w:t>
            </w:r>
          </w:p>
        </w:tc>
        <w:tc>
          <w:tcPr>
            <w:tcW w:w="791" w:type="dxa"/>
            <w:noWrap/>
            <w:tcMar>
              <w:top w:w="18" w:type="dxa"/>
              <w:left w:w="18" w:type="dxa"/>
              <w:bottom w:w="0" w:type="dxa"/>
              <w:right w:w="18" w:type="dxa"/>
            </w:tcMar>
            <w:vAlign w:val="bottom"/>
          </w:tcPr>
          <w:p w14:paraId="6E8E6611" w14:textId="03B45A39" w:rsidR="00224102" w:rsidRPr="00EF6596" w:rsidRDefault="00224102" w:rsidP="00224102">
            <w:pPr>
              <w:jc w:val="right"/>
              <w:rPr>
                <w:b/>
                <w:bCs/>
                <w:sz w:val="14"/>
                <w:szCs w:val="14"/>
              </w:rPr>
            </w:pPr>
            <w:r w:rsidRPr="00EF6596">
              <w:rPr>
                <w:b/>
                <w:bCs/>
                <w:sz w:val="14"/>
                <w:szCs w:val="14"/>
              </w:rPr>
              <w:t>5,037</w:t>
            </w:r>
          </w:p>
        </w:tc>
        <w:tc>
          <w:tcPr>
            <w:tcW w:w="745" w:type="dxa"/>
            <w:noWrap/>
            <w:tcMar>
              <w:top w:w="18" w:type="dxa"/>
              <w:left w:w="18" w:type="dxa"/>
              <w:bottom w:w="0" w:type="dxa"/>
              <w:right w:w="18" w:type="dxa"/>
            </w:tcMar>
            <w:vAlign w:val="bottom"/>
          </w:tcPr>
          <w:p w14:paraId="67EE9F06" w14:textId="508FEFC7" w:rsidR="00224102" w:rsidRPr="00EF6596" w:rsidRDefault="00224102" w:rsidP="00224102">
            <w:pPr>
              <w:jc w:val="right"/>
              <w:rPr>
                <w:b/>
                <w:bCs/>
                <w:sz w:val="14"/>
                <w:szCs w:val="14"/>
              </w:rPr>
            </w:pPr>
            <w:r w:rsidRPr="00EF6596">
              <w:rPr>
                <w:b/>
                <w:bCs/>
                <w:sz w:val="14"/>
                <w:szCs w:val="14"/>
              </w:rPr>
              <w:t>27,662</w:t>
            </w:r>
          </w:p>
        </w:tc>
        <w:tc>
          <w:tcPr>
            <w:tcW w:w="745" w:type="dxa"/>
            <w:noWrap/>
            <w:tcMar>
              <w:top w:w="18" w:type="dxa"/>
              <w:left w:w="18" w:type="dxa"/>
              <w:bottom w:w="0" w:type="dxa"/>
              <w:right w:w="18" w:type="dxa"/>
            </w:tcMar>
            <w:vAlign w:val="bottom"/>
          </w:tcPr>
          <w:p w14:paraId="485784F7" w14:textId="2422D1F1" w:rsidR="00224102" w:rsidRPr="00692926" w:rsidRDefault="00224102" w:rsidP="00224102">
            <w:pPr>
              <w:spacing w:line="221" w:lineRule="auto"/>
              <w:jc w:val="right"/>
              <w:rPr>
                <w:b/>
                <w:sz w:val="14"/>
                <w:szCs w:val="14"/>
              </w:rPr>
            </w:pPr>
            <w:r w:rsidRPr="00692926">
              <w:rPr>
                <w:b/>
                <w:sz w:val="14"/>
                <w:szCs w:val="14"/>
              </w:rPr>
              <w:t>58,226</w:t>
            </w:r>
          </w:p>
        </w:tc>
        <w:tc>
          <w:tcPr>
            <w:tcW w:w="659" w:type="dxa"/>
            <w:noWrap/>
            <w:tcMar>
              <w:top w:w="18" w:type="dxa"/>
              <w:left w:w="18" w:type="dxa"/>
              <w:bottom w:w="0" w:type="dxa"/>
              <w:right w:w="18" w:type="dxa"/>
            </w:tcMar>
            <w:vAlign w:val="bottom"/>
          </w:tcPr>
          <w:p w14:paraId="6094E520" w14:textId="3DDA5F8F" w:rsidR="00224102" w:rsidRPr="00692926" w:rsidRDefault="00224102" w:rsidP="00224102">
            <w:pPr>
              <w:spacing w:line="221" w:lineRule="auto"/>
              <w:jc w:val="right"/>
              <w:rPr>
                <w:b/>
                <w:sz w:val="14"/>
                <w:szCs w:val="14"/>
              </w:rPr>
            </w:pPr>
            <w:r w:rsidRPr="00692926">
              <w:rPr>
                <w:b/>
                <w:sz w:val="14"/>
                <w:szCs w:val="14"/>
              </w:rPr>
              <w:t>15,971</w:t>
            </w:r>
          </w:p>
        </w:tc>
        <w:tc>
          <w:tcPr>
            <w:tcW w:w="686" w:type="dxa"/>
            <w:noWrap/>
            <w:tcMar>
              <w:top w:w="18" w:type="dxa"/>
              <w:left w:w="18" w:type="dxa"/>
              <w:bottom w:w="0" w:type="dxa"/>
              <w:right w:w="18" w:type="dxa"/>
            </w:tcMar>
            <w:vAlign w:val="bottom"/>
          </w:tcPr>
          <w:p w14:paraId="4B26DDF5" w14:textId="3772B10A" w:rsidR="00224102" w:rsidRPr="00692926" w:rsidRDefault="00224102" w:rsidP="00224102">
            <w:pPr>
              <w:spacing w:line="221" w:lineRule="auto"/>
              <w:jc w:val="right"/>
              <w:rPr>
                <w:b/>
                <w:sz w:val="14"/>
                <w:szCs w:val="14"/>
              </w:rPr>
            </w:pPr>
            <w:r w:rsidRPr="00692926">
              <w:rPr>
                <w:b/>
                <w:sz w:val="14"/>
                <w:szCs w:val="14"/>
              </w:rPr>
              <w:t>74,197</w:t>
            </w:r>
          </w:p>
        </w:tc>
      </w:tr>
      <w:tr w:rsidR="00224102" w:rsidRPr="00604C75" w14:paraId="1FEBBB06" w14:textId="77777777" w:rsidTr="00373D13">
        <w:trPr>
          <w:trHeight w:val="127"/>
        </w:trPr>
        <w:tc>
          <w:tcPr>
            <w:tcW w:w="557" w:type="dxa"/>
            <w:noWrap/>
            <w:tcMar>
              <w:top w:w="18" w:type="dxa"/>
              <w:left w:w="18" w:type="dxa"/>
              <w:bottom w:w="0" w:type="dxa"/>
              <w:right w:w="18" w:type="dxa"/>
            </w:tcMar>
            <w:vAlign w:val="bottom"/>
          </w:tcPr>
          <w:p w14:paraId="6CF3285F" w14:textId="77777777" w:rsidR="00224102" w:rsidRPr="00604C75" w:rsidRDefault="00224102" w:rsidP="00224102">
            <w:pPr>
              <w:spacing w:line="204" w:lineRule="auto"/>
              <w:rPr>
                <w:bCs/>
                <w:noProof/>
                <w:sz w:val="14"/>
                <w:szCs w:val="14"/>
                <w:lang w:val="tr-TR"/>
              </w:rPr>
            </w:pPr>
            <w:r w:rsidRPr="00604C75">
              <w:rPr>
                <w:bCs/>
                <w:noProof/>
                <w:sz w:val="14"/>
                <w:szCs w:val="14"/>
                <w:lang w:val="tr-TR"/>
              </w:rPr>
              <w:t>2.1</w:t>
            </w:r>
          </w:p>
        </w:tc>
        <w:tc>
          <w:tcPr>
            <w:tcW w:w="4767" w:type="dxa"/>
            <w:noWrap/>
            <w:tcMar>
              <w:top w:w="18" w:type="dxa"/>
              <w:left w:w="18" w:type="dxa"/>
              <w:bottom w:w="0" w:type="dxa"/>
              <w:right w:w="18" w:type="dxa"/>
            </w:tcMar>
            <w:vAlign w:val="bottom"/>
          </w:tcPr>
          <w:p w14:paraId="4760B833" w14:textId="77777777" w:rsidR="00224102" w:rsidRPr="00604C75" w:rsidRDefault="00224102" w:rsidP="00224102">
            <w:pPr>
              <w:spacing w:line="204" w:lineRule="auto"/>
              <w:rPr>
                <w:bCs/>
                <w:noProof/>
                <w:sz w:val="14"/>
                <w:szCs w:val="14"/>
                <w:lang w:val="tr-TR"/>
              </w:rPr>
            </w:pPr>
            <w:r w:rsidRPr="00604C75">
              <w:rPr>
                <w:bCs/>
                <w:noProof/>
                <w:sz w:val="14"/>
                <w:szCs w:val="14"/>
                <w:lang w:val="tr-TR"/>
              </w:rPr>
              <w:t>Financial Assets Held for Trading</w:t>
            </w:r>
          </w:p>
        </w:tc>
        <w:tc>
          <w:tcPr>
            <w:tcW w:w="531" w:type="dxa"/>
            <w:noWrap/>
            <w:tcMar>
              <w:top w:w="18" w:type="dxa"/>
              <w:left w:w="18" w:type="dxa"/>
              <w:bottom w:w="0" w:type="dxa"/>
              <w:right w:w="18" w:type="dxa"/>
            </w:tcMar>
            <w:vAlign w:val="bottom"/>
          </w:tcPr>
          <w:p w14:paraId="648767BF" w14:textId="77777777" w:rsidR="00224102" w:rsidRPr="00604C75" w:rsidRDefault="00224102" w:rsidP="00224102">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14:paraId="39A407D1" w14:textId="51686E1E" w:rsidR="00224102" w:rsidRPr="00EF6596" w:rsidRDefault="00224102" w:rsidP="00224102">
            <w:pPr>
              <w:jc w:val="right"/>
              <w:rPr>
                <w:sz w:val="14"/>
                <w:szCs w:val="14"/>
              </w:rPr>
            </w:pPr>
            <w:r w:rsidRPr="00EF6596">
              <w:rPr>
                <w:sz w:val="14"/>
                <w:szCs w:val="14"/>
              </w:rPr>
              <w:t>22,625</w:t>
            </w:r>
          </w:p>
        </w:tc>
        <w:tc>
          <w:tcPr>
            <w:tcW w:w="791" w:type="dxa"/>
            <w:noWrap/>
            <w:tcMar>
              <w:top w:w="18" w:type="dxa"/>
              <w:left w:w="18" w:type="dxa"/>
              <w:bottom w:w="0" w:type="dxa"/>
              <w:right w:w="18" w:type="dxa"/>
            </w:tcMar>
            <w:vAlign w:val="bottom"/>
          </w:tcPr>
          <w:p w14:paraId="64CCB94F" w14:textId="19643E37" w:rsidR="00224102" w:rsidRPr="00EF6596" w:rsidRDefault="00224102" w:rsidP="00224102">
            <w:pPr>
              <w:jc w:val="right"/>
              <w:rPr>
                <w:sz w:val="14"/>
                <w:szCs w:val="14"/>
              </w:rPr>
            </w:pPr>
            <w:r w:rsidRPr="00EF6596">
              <w:rPr>
                <w:sz w:val="14"/>
                <w:szCs w:val="14"/>
              </w:rPr>
              <w:t>5,037</w:t>
            </w:r>
          </w:p>
        </w:tc>
        <w:tc>
          <w:tcPr>
            <w:tcW w:w="745" w:type="dxa"/>
            <w:noWrap/>
            <w:tcMar>
              <w:top w:w="18" w:type="dxa"/>
              <w:left w:w="18" w:type="dxa"/>
              <w:bottom w:w="0" w:type="dxa"/>
              <w:right w:w="18" w:type="dxa"/>
            </w:tcMar>
            <w:vAlign w:val="bottom"/>
          </w:tcPr>
          <w:p w14:paraId="1CEE0A7B" w14:textId="42310735" w:rsidR="00224102" w:rsidRPr="00EF6596" w:rsidRDefault="00224102" w:rsidP="00224102">
            <w:pPr>
              <w:jc w:val="right"/>
              <w:rPr>
                <w:sz w:val="14"/>
                <w:szCs w:val="14"/>
              </w:rPr>
            </w:pPr>
            <w:r w:rsidRPr="00EF6596">
              <w:rPr>
                <w:sz w:val="14"/>
                <w:szCs w:val="14"/>
              </w:rPr>
              <w:t>27,662</w:t>
            </w:r>
          </w:p>
        </w:tc>
        <w:tc>
          <w:tcPr>
            <w:tcW w:w="745" w:type="dxa"/>
            <w:noWrap/>
            <w:tcMar>
              <w:top w:w="18" w:type="dxa"/>
              <w:left w:w="18" w:type="dxa"/>
              <w:bottom w:w="0" w:type="dxa"/>
              <w:right w:w="18" w:type="dxa"/>
            </w:tcMar>
            <w:vAlign w:val="bottom"/>
          </w:tcPr>
          <w:p w14:paraId="7314D10B" w14:textId="6DA2CEC8" w:rsidR="00224102" w:rsidRPr="00AD658B" w:rsidRDefault="00224102" w:rsidP="00224102">
            <w:pPr>
              <w:spacing w:line="221" w:lineRule="auto"/>
              <w:jc w:val="right"/>
              <w:rPr>
                <w:sz w:val="14"/>
                <w:szCs w:val="14"/>
              </w:rPr>
            </w:pPr>
            <w:r w:rsidRPr="00AD658B">
              <w:rPr>
                <w:sz w:val="14"/>
                <w:szCs w:val="14"/>
              </w:rPr>
              <w:t>58,226</w:t>
            </w:r>
          </w:p>
        </w:tc>
        <w:tc>
          <w:tcPr>
            <w:tcW w:w="659" w:type="dxa"/>
            <w:noWrap/>
            <w:tcMar>
              <w:top w:w="18" w:type="dxa"/>
              <w:left w:w="18" w:type="dxa"/>
              <w:bottom w:w="0" w:type="dxa"/>
              <w:right w:w="18" w:type="dxa"/>
            </w:tcMar>
            <w:vAlign w:val="bottom"/>
          </w:tcPr>
          <w:p w14:paraId="00A49454" w14:textId="51E5B24A" w:rsidR="00224102" w:rsidRPr="00AD658B" w:rsidRDefault="00224102" w:rsidP="00224102">
            <w:pPr>
              <w:spacing w:line="221" w:lineRule="auto"/>
              <w:jc w:val="right"/>
              <w:rPr>
                <w:sz w:val="14"/>
                <w:szCs w:val="14"/>
              </w:rPr>
            </w:pPr>
            <w:r w:rsidRPr="00AD658B">
              <w:rPr>
                <w:sz w:val="14"/>
                <w:szCs w:val="14"/>
              </w:rPr>
              <w:t>15,971</w:t>
            </w:r>
          </w:p>
        </w:tc>
        <w:tc>
          <w:tcPr>
            <w:tcW w:w="686" w:type="dxa"/>
            <w:noWrap/>
            <w:tcMar>
              <w:top w:w="18" w:type="dxa"/>
              <w:left w:w="18" w:type="dxa"/>
              <w:bottom w:w="0" w:type="dxa"/>
              <w:right w:w="18" w:type="dxa"/>
            </w:tcMar>
            <w:vAlign w:val="bottom"/>
          </w:tcPr>
          <w:p w14:paraId="44DAFB69" w14:textId="33E97297" w:rsidR="00224102" w:rsidRPr="00AD658B" w:rsidRDefault="00224102" w:rsidP="00224102">
            <w:pPr>
              <w:spacing w:line="221" w:lineRule="auto"/>
              <w:jc w:val="right"/>
              <w:rPr>
                <w:sz w:val="14"/>
                <w:szCs w:val="14"/>
              </w:rPr>
            </w:pPr>
            <w:r w:rsidRPr="00AD658B">
              <w:rPr>
                <w:sz w:val="14"/>
                <w:szCs w:val="14"/>
              </w:rPr>
              <w:t>74,197</w:t>
            </w:r>
          </w:p>
        </w:tc>
      </w:tr>
      <w:tr w:rsidR="00224102" w:rsidRPr="00604C75" w14:paraId="6AA2411D" w14:textId="77777777" w:rsidTr="00373D13">
        <w:trPr>
          <w:trHeight w:val="110"/>
        </w:trPr>
        <w:tc>
          <w:tcPr>
            <w:tcW w:w="557" w:type="dxa"/>
            <w:noWrap/>
            <w:tcMar>
              <w:top w:w="18" w:type="dxa"/>
              <w:left w:w="18" w:type="dxa"/>
              <w:bottom w:w="0" w:type="dxa"/>
              <w:right w:w="18" w:type="dxa"/>
            </w:tcMar>
            <w:vAlign w:val="bottom"/>
          </w:tcPr>
          <w:p w14:paraId="317285E2" w14:textId="77777777" w:rsidR="00224102" w:rsidRPr="00604C75" w:rsidRDefault="00224102" w:rsidP="00224102">
            <w:pPr>
              <w:spacing w:line="204" w:lineRule="auto"/>
              <w:rPr>
                <w:bCs/>
                <w:noProof/>
                <w:sz w:val="14"/>
                <w:szCs w:val="14"/>
                <w:lang w:val="tr-TR"/>
              </w:rPr>
            </w:pPr>
            <w:r w:rsidRPr="00604C75">
              <w:rPr>
                <w:bCs/>
                <w:noProof/>
                <w:sz w:val="14"/>
                <w:szCs w:val="14"/>
                <w:lang w:val="tr-TR"/>
              </w:rPr>
              <w:t>2.1.1</w:t>
            </w:r>
          </w:p>
        </w:tc>
        <w:tc>
          <w:tcPr>
            <w:tcW w:w="4767" w:type="dxa"/>
            <w:noWrap/>
            <w:tcMar>
              <w:top w:w="18" w:type="dxa"/>
              <w:left w:w="18" w:type="dxa"/>
              <w:bottom w:w="0" w:type="dxa"/>
              <w:right w:w="18" w:type="dxa"/>
            </w:tcMar>
            <w:vAlign w:val="bottom"/>
          </w:tcPr>
          <w:p w14:paraId="11870B7E" w14:textId="77777777" w:rsidR="00224102" w:rsidRPr="00604C75" w:rsidRDefault="00224102" w:rsidP="00224102">
            <w:pPr>
              <w:spacing w:line="204" w:lineRule="auto"/>
              <w:rPr>
                <w:bCs/>
                <w:noProof/>
                <w:sz w:val="14"/>
                <w:szCs w:val="14"/>
                <w:lang w:val="tr-TR"/>
              </w:rPr>
            </w:pPr>
            <w:r w:rsidRPr="00604C75">
              <w:rPr>
                <w:bCs/>
                <w:noProof/>
                <w:sz w:val="14"/>
                <w:szCs w:val="14"/>
                <w:lang w:val="tr-TR"/>
              </w:rPr>
              <w:t>Public Sector Debt Securities</w:t>
            </w:r>
          </w:p>
        </w:tc>
        <w:tc>
          <w:tcPr>
            <w:tcW w:w="531" w:type="dxa"/>
            <w:noWrap/>
            <w:tcMar>
              <w:top w:w="18" w:type="dxa"/>
              <w:left w:w="18" w:type="dxa"/>
              <w:bottom w:w="0" w:type="dxa"/>
              <w:right w:w="18" w:type="dxa"/>
            </w:tcMar>
            <w:vAlign w:val="bottom"/>
          </w:tcPr>
          <w:p w14:paraId="04D092D4" w14:textId="448F70EF"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509D8F61" w14:textId="63D21B63" w:rsidR="00224102" w:rsidRPr="00EF6596" w:rsidRDefault="00224102" w:rsidP="00224102">
            <w:pPr>
              <w:jc w:val="right"/>
              <w:rPr>
                <w:sz w:val="14"/>
                <w:szCs w:val="14"/>
              </w:rPr>
            </w:pPr>
            <w:r w:rsidRPr="00EF6596">
              <w:rPr>
                <w:sz w:val="14"/>
                <w:szCs w:val="14"/>
              </w:rPr>
              <w:t>1</w:t>
            </w:r>
          </w:p>
        </w:tc>
        <w:tc>
          <w:tcPr>
            <w:tcW w:w="791" w:type="dxa"/>
            <w:noWrap/>
            <w:tcMar>
              <w:top w:w="18" w:type="dxa"/>
              <w:left w:w="18" w:type="dxa"/>
              <w:bottom w:w="0" w:type="dxa"/>
              <w:right w:w="18" w:type="dxa"/>
            </w:tcMar>
            <w:vAlign w:val="bottom"/>
          </w:tcPr>
          <w:p w14:paraId="47925733" w14:textId="3605D4E2" w:rsidR="00224102" w:rsidRPr="00EF6596" w:rsidRDefault="00224102" w:rsidP="00224102">
            <w:pPr>
              <w:jc w:val="right"/>
              <w:rPr>
                <w:sz w:val="14"/>
                <w:szCs w:val="14"/>
              </w:rPr>
            </w:pPr>
            <w:r w:rsidRPr="00EF6596">
              <w:rPr>
                <w:sz w:val="14"/>
                <w:szCs w:val="14"/>
              </w:rPr>
              <w:t>421</w:t>
            </w:r>
          </w:p>
        </w:tc>
        <w:tc>
          <w:tcPr>
            <w:tcW w:w="745" w:type="dxa"/>
            <w:noWrap/>
            <w:tcMar>
              <w:top w:w="18" w:type="dxa"/>
              <w:left w:w="18" w:type="dxa"/>
              <w:bottom w:w="0" w:type="dxa"/>
              <w:right w:w="18" w:type="dxa"/>
            </w:tcMar>
            <w:vAlign w:val="bottom"/>
          </w:tcPr>
          <w:p w14:paraId="54282CFF" w14:textId="4EC11A58" w:rsidR="00224102" w:rsidRPr="00EF6596" w:rsidRDefault="00224102" w:rsidP="00224102">
            <w:pPr>
              <w:jc w:val="right"/>
              <w:rPr>
                <w:sz w:val="14"/>
                <w:szCs w:val="14"/>
              </w:rPr>
            </w:pPr>
            <w:r w:rsidRPr="00EF6596">
              <w:rPr>
                <w:sz w:val="14"/>
                <w:szCs w:val="14"/>
              </w:rPr>
              <w:t>422</w:t>
            </w:r>
          </w:p>
        </w:tc>
        <w:tc>
          <w:tcPr>
            <w:tcW w:w="745" w:type="dxa"/>
            <w:noWrap/>
            <w:tcMar>
              <w:top w:w="18" w:type="dxa"/>
              <w:left w:w="18" w:type="dxa"/>
              <w:bottom w:w="0" w:type="dxa"/>
              <w:right w:w="18" w:type="dxa"/>
            </w:tcMar>
            <w:vAlign w:val="bottom"/>
          </w:tcPr>
          <w:p w14:paraId="24531AF0" w14:textId="1B6D9565" w:rsidR="00224102" w:rsidRPr="00692926" w:rsidRDefault="00224102" w:rsidP="00224102">
            <w:pPr>
              <w:spacing w:line="221" w:lineRule="auto"/>
              <w:jc w:val="right"/>
              <w:rPr>
                <w:sz w:val="14"/>
                <w:szCs w:val="14"/>
              </w:rPr>
            </w:pPr>
            <w:r w:rsidRPr="00692926">
              <w:rPr>
                <w:sz w:val="14"/>
                <w:szCs w:val="14"/>
              </w:rPr>
              <w:t>1,400</w:t>
            </w:r>
          </w:p>
        </w:tc>
        <w:tc>
          <w:tcPr>
            <w:tcW w:w="659" w:type="dxa"/>
            <w:noWrap/>
            <w:tcMar>
              <w:top w:w="18" w:type="dxa"/>
              <w:left w:w="18" w:type="dxa"/>
              <w:bottom w:w="0" w:type="dxa"/>
              <w:right w:w="18" w:type="dxa"/>
            </w:tcMar>
            <w:vAlign w:val="bottom"/>
          </w:tcPr>
          <w:p w14:paraId="233D3D09" w14:textId="304CC650" w:rsidR="00224102" w:rsidRPr="00692926" w:rsidRDefault="00224102" w:rsidP="00224102">
            <w:pPr>
              <w:spacing w:line="221" w:lineRule="auto"/>
              <w:jc w:val="right"/>
              <w:rPr>
                <w:sz w:val="14"/>
                <w:szCs w:val="14"/>
              </w:rPr>
            </w:pPr>
            <w:r w:rsidRPr="00692926">
              <w:rPr>
                <w:sz w:val="14"/>
                <w:szCs w:val="14"/>
              </w:rPr>
              <w:t>355</w:t>
            </w:r>
          </w:p>
        </w:tc>
        <w:tc>
          <w:tcPr>
            <w:tcW w:w="686" w:type="dxa"/>
            <w:noWrap/>
            <w:tcMar>
              <w:top w:w="18" w:type="dxa"/>
              <w:left w:w="18" w:type="dxa"/>
              <w:bottom w:w="0" w:type="dxa"/>
              <w:right w:w="18" w:type="dxa"/>
            </w:tcMar>
            <w:vAlign w:val="bottom"/>
          </w:tcPr>
          <w:p w14:paraId="7F5B3F8F" w14:textId="75693ADE" w:rsidR="00224102" w:rsidRPr="00692926" w:rsidRDefault="00224102" w:rsidP="00224102">
            <w:pPr>
              <w:spacing w:line="221" w:lineRule="auto"/>
              <w:jc w:val="right"/>
              <w:rPr>
                <w:sz w:val="14"/>
                <w:szCs w:val="14"/>
              </w:rPr>
            </w:pPr>
            <w:r w:rsidRPr="00692926">
              <w:rPr>
                <w:sz w:val="14"/>
                <w:szCs w:val="14"/>
              </w:rPr>
              <w:t>1,755</w:t>
            </w:r>
          </w:p>
        </w:tc>
      </w:tr>
      <w:tr w:rsidR="00224102" w:rsidRPr="00604C75" w14:paraId="1B55FDFF" w14:textId="77777777" w:rsidTr="00373D13">
        <w:trPr>
          <w:trHeight w:val="122"/>
        </w:trPr>
        <w:tc>
          <w:tcPr>
            <w:tcW w:w="557" w:type="dxa"/>
            <w:noWrap/>
            <w:tcMar>
              <w:top w:w="18" w:type="dxa"/>
              <w:left w:w="18" w:type="dxa"/>
              <w:bottom w:w="0" w:type="dxa"/>
              <w:right w:w="18" w:type="dxa"/>
            </w:tcMar>
            <w:vAlign w:val="bottom"/>
          </w:tcPr>
          <w:p w14:paraId="6DA8F297" w14:textId="77777777" w:rsidR="00224102" w:rsidRPr="00604C75" w:rsidRDefault="00224102" w:rsidP="00224102">
            <w:pPr>
              <w:spacing w:line="204" w:lineRule="auto"/>
              <w:rPr>
                <w:bCs/>
                <w:noProof/>
                <w:sz w:val="14"/>
                <w:szCs w:val="14"/>
                <w:lang w:val="tr-TR"/>
              </w:rPr>
            </w:pPr>
            <w:r w:rsidRPr="00604C75">
              <w:rPr>
                <w:bCs/>
                <w:noProof/>
                <w:sz w:val="14"/>
                <w:szCs w:val="14"/>
                <w:lang w:val="tr-TR"/>
              </w:rPr>
              <w:t>2.1.2</w:t>
            </w:r>
          </w:p>
        </w:tc>
        <w:tc>
          <w:tcPr>
            <w:tcW w:w="4767" w:type="dxa"/>
            <w:noWrap/>
            <w:tcMar>
              <w:top w:w="18" w:type="dxa"/>
              <w:left w:w="18" w:type="dxa"/>
              <w:bottom w:w="0" w:type="dxa"/>
              <w:right w:w="18" w:type="dxa"/>
            </w:tcMar>
            <w:vAlign w:val="bottom"/>
          </w:tcPr>
          <w:p w14:paraId="056F6AC5" w14:textId="77777777" w:rsidR="00224102" w:rsidRPr="00604C75" w:rsidRDefault="00224102" w:rsidP="00224102">
            <w:pPr>
              <w:spacing w:line="204" w:lineRule="auto"/>
              <w:rPr>
                <w:bCs/>
                <w:noProof/>
                <w:sz w:val="14"/>
                <w:szCs w:val="14"/>
                <w:lang w:val="tr-TR"/>
              </w:rPr>
            </w:pPr>
            <w:r w:rsidRPr="00604C75">
              <w:rPr>
                <w:bCs/>
                <w:noProof/>
                <w:sz w:val="14"/>
                <w:szCs w:val="14"/>
                <w:lang w:val="tr-TR"/>
              </w:rPr>
              <w:t>Equity Securities</w:t>
            </w:r>
          </w:p>
        </w:tc>
        <w:tc>
          <w:tcPr>
            <w:tcW w:w="531" w:type="dxa"/>
            <w:noWrap/>
            <w:tcMar>
              <w:top w:w="18" w:type="dxa"/>
              <w:left w:w="18" w:type="dxa"/>
              <w:bottom w:w="0" w:type="dxa"/>
              <w:right w:w="18" w:type="dxa"/>
            </w:tcMar>
            <w:vAlign w:val="bottom"/>
          </w:tcPr>
          <w:p w14:paraId="1E5FA7DD" w14:textId="01DA40DA"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56B787C6" w14:textId="7AA227B0"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59E0A380" w14:textId="65ED4197"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9ED46E9" w14:textId="6CBEDE90"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3EC61137" w14:textId="04FD9C0E" w:rsidR="00224102" w:rsidRPr="00692926" w:rsidRDefault="00224102" w:rsidP="00224102">
            <w:pPr>
              <w:spacing w:line="221" w:lineRule="auto"/>
              <w:jc w:val="right"/>
              <w:rPr>
                <w:sz w:val="14"/>
                <w:szCs w:val="14"/>
              </w:rPr>
            </w:pPr>
            <w:r w:rsidRPr="00692926">
              <w:rPr>
                <w:sz w:val="14"/>
                <w:szCs w:val="14"/>
              </w:rPr>
              <w:t>96</w:t>
            </w:r>
          </w:p>
        </w:tc>
        <w:tc>
          <w:tcPr>
            <w:tcW w:w="659" w:type="dxa"/>
            <w:noWrap/>
            <w:tcMar>
              <w:top w:w="18" w:type="dxa"/>
              <w:left w:w="18" w:type="dxa"/>
              <w:bottom w:w="0" w:type="dxa"/>
              <w:right w:w="18" w:type="dxa"/>
            </w:tcMar>
            <w:vAlign w:val="bottom"/>
          </w:tcPr>
          <w:p w14:paraId="4F8F4A24" w14:textId="2AF9964D"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471C14C7" w14:textId="78BD304A" w:rsidR="00224102" w:rsidRPr="00692926" w:rsidRDefault="00224102" w:rsidP="00224102">
            <w:pPr>
              <w:spacing w:line="221" w:lineRule="auto"/>
              <w:jc w:val="right"/>
              <w:rPr>
                <w:sz w:val="14"/>
                <w:szCs w:val="14"/>
              </w:rPr>
            </w:pPr>
            <w:r w:rsidRPr="00692926">
              <w:rPr>
                <w:sz w:val="14"/>
                <w:szCs w:val="14"/>
              </w:rPr>
              <w:t>96</w:t>
            </w:r>
          </w:p>
        </w:tc>
      </w:tr>
      <w:tr w:rsidR="00224102" w:rsidRPr="00604C75" w14:paraId="50FD6B37" w14:textId="77777777" w:rsidTr="00373D13">
        <w:trPr>
          <w:trHeight w:val="122"/>
        </w:trPr>
        <w:tc>
          <w:tcPr>
            <w:tcW w:w="557" w:type="dxa"/>
            <w:noWrap/>
            <w:tcMar>
              <w:top w:w="18" w:type="dxa"/>
              <w:left w:w="18" w:type="dxa"/>
              <w:bottom w:w="0" w:type="dxa"/>
              <w:right w:w="18" w:type="dxa"/>
            </w:tcMar>
            <w:vAlign w:val="bottom"/>
          </w:tcPr>
          <w:p w14:paraId="4CFDE219" w14:textId="77777777" w:rsidR="00224102" w:rsidRPr="00604C75" w:rsidRDefault="00224102" w:rsidP="00224102">
            <w:pPr>
              <w:spacing w:line="204" w:lineRule="auto"/>
              <w:rPr>
                <w:bCs/>
                <w:noProof/>
                <w:sz w:val="14"/>
                <w:szCs w:val="14"/>
                <w:lang w:val="tr-TR"/>
              </w:rPr>
            </w:pPr>
            <w:r w:rsidRPr="00604C75">
              <w:rPr>
                <w:bCs/>
                <w:noProof/>
                <w:sz w:val="14"/>
                <w:szCs w:val="14"/>
                <w:lang w:val="tr-TR"/>
              </w:rPr>
              <w:t>2.1.3</w:t>
            </w:r>
          </w:p>
        </w:tc>
        <w:tc>
          <w:tcPr>
            <w:tcW w:w="4767" w:type="dxa"/>
            <w:noWrap/>
            <w:tcMar>
              <w:top w:w="18" w:type="dxa"/>
              <w:left w:w="18" w:type="dxa"/>
              <w:bottom w:w="0" w:type="dxa"/>
              <w:right w:w="18" w:type="dxa"/>
            </w:tcMar>
            <w:vAlign w:val="bottom"/>
          </w:tcPr>
          <w:p w14:paraId="42D7B758" w14:textId="77777777" w:rsidR="00224102" w:rsidRPr="00604C75" w:rsidRDefault="00224102" w:rsidP="00224102">
            <w:pPr>
              <w:spacing w:line="204" w:lineRule="auto"/>
              <w:ind w:right="-18"/>
              <w:rPr>
                <w:bCs/>
                <w:noProof/>
                <w:sz w:val="14"/>
                <w:szCs w:val="14"/>
                <w:lang w:val="tr-TR"/>
              </w:rPr>
            </w:pPr>
            <w:r w:rsidRPr="00604C75">
              <w:rPr>
                <w:bCs/>
                <w:noProof/>
                <w:sz w:val="14"/>
                <w:szCs w:val="14"/>
                <w:lang w:val="tr-TR"/>
              </w:rPr>
              <w:t>Derivative Financial Assets Held for Trading</w:t>
            </w:r>
          </w:p>
        </w:tc>
        <w:tc>
          <w:tcPr>
            <w:tcW w:w="531" w:type="dxa"/>
            <w:noWrap/>
            <w:tcMar>
              <w:top w:w="18" w:type="dxa"/>
              <w:left w:w="18" w:type="dxa"/>
              <w:bottom w:w="0" w:type="dxa"/>
              <w:right w:w="18" w:type="dxa"/>
            </w:tcMar>
            <w:vAlign w:val="bottom"/>
          </w:tcPr>
          <w:p w14:paraId="68A171C6" w14:textId="0D9F0DBD"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1496ABB9" w14:textId="4E942FFB" w:rsidR="00224102" w:rsidRPr="00EF6596" w:rsidRDefault="00224102" w:rsidP="00224102">
            <w:pPr>
              <w:jc w:val="right"/>
              <w:rPr>
                <w:sz w:val="14"/>
                <w:szCs w:val="14"/>
              </w:rPr>
            </w:pPr>
            <w:r w:rsidRPr="00EF6596">
              <w:rPr>
                <w:sz w:val="14"/>
                <w:szCs w:val="14"/>
              </w:rPr>
              <w:t>22,624</w:t>
            </w:r>
          </w:p>
        </w:tc>
        <w:tc>
          <w:tcPr>
            <w:tcW w:w="791" w:type="dxa"/>
            <w:noWrap/>
            <w:tcMar>
              <w:top w:w="18" w:type="dxa"/>
              <w:left w:w="18" w:type="dxa"/>
              <w:bottom w:w="0" w:type="dxa"/>
              <w:right w:w="18" w:type="dxa"/>
            </w:tcMar>
            <w:vAlign w:val="bottom"/>
          </w:tcPr>
          <w:p w14:paraId="7346962C" w14:textId="2529ED91" w:rsidR="00224102" w:rsidRPr="00EF6596" w:rsidRDefault="00224102" w:rsidP="00224102">
            <w:pPr>
              <w:jc w:val="right"/>
              <w:rPr>
                <w:sz w:val="14"/>
                <w:szCs w:val="14"/>
              </w:rPr>
            </w:pPr>
            <w:r w:rsidRPr="00EF6596">
              <w:rPr>
                <w:sz w:val="14"/>
                <w:szCs w:val="14"/>
              </w:rPr>
              <w:t>4,616</w:t>
            </w:r>
          </w:p>
        </w:tc>
        <w:tc>
          <w:tcPr>
            <w:tcW w:w="745" w:type="dxa"/>
            <w:noWrap/>
            <w:tcMar>
              <w:top w:w="18" w:type="dxa"/>
              <w:left w:w="18" w:type="dxa"/>
              <w:bottom w:w="0" w:type="dxa"/>
              <w:right w:w="18" w:type="dxa"/>
            </w:tcMar>
            <w:vAlign w:val="bottom"/>
          </w:tcPr>
          <w:p w14:paraId="75FBF823" w14:textId="0C4D60FC" w:rsidR="00224102" w:rsidRPr="00EF6596" w:rsidRDefault="00224102" w:rsidP="00224102">
            <w:pPr>
              <w:jc w:val="right"/>
              <w:rPr>
                <w:sz w:val="14"/>
                <w:szCs w:val="14"/>
              </w:rPr>
            </w:pPr>
            <w:r w:rsidRPr="00EF6596">
              <w:rPr>
                <w:sz w:val="14"/>
                <w:szCs w:val="14"/>
              </w:rPr>
              <w:t>27,240</w:t>
            </w:r>
          </w:p>
        </w:tc>
        <w:tc>
          <w:tcPr>
            <w:tcW w:w="745" w:type="dxa"/>
            <w:noWrap/>
            <w:tcMar>
              <w:top w:w="18" w:type="dxa"/>
              <w:left w:w="18" w:type="dxa"/>
              <w:bottom w:w="0" w:type="dxa"/>
              <w:right w:w="18" w:type="dxa"/>
            </w:tcMar>
            <w:vAlign w:val="bottom"/>
          </w:tcPr>
          <w:p w14:paraId="5E6B551E" w14:textId="622BF8AB" w:rsidR="00224102" w:rsidRPr="00692926" w:rsidRDefault="00224102" w:rsidP="00224102">
            <w:pPr>
              <w:spacing w:line="221" w:lineRule="auto"/>
              <w:jc w:val="right"/>
              <w:rPr>
                <w:sz w:val="14"/>
                <w:szCs w:val="14"/>
              </w:rPr>
            </w:pPr>
            <w:r w:rsidRPr="00692926">
              <w:rPr>
                <w:sz w:val="14"/>
                <w:szCs w:val="14"/>
              </w:rPr>
              <w:t>20,661</w:t>
            </w:r>
          </w:p>
        </w:tc>
        <w:tc>
          <w:tcPr>
            <w:tcW w:w="659" w:type="dxa"/>
            <w:noWrap/>
            <w:tcMar>
              <w:top w:w="18" w:type="dxa"/>
              <w:left w:w="18" w:type="dxa"/>
              <w:bottom w:w="0" w:type="dxa"/>
              <w:right w:w="18" w:type="dxa"/>
            </w:tcMar>
            <w:vAlign w:val="bottom"/>
          </w:tcPr>
          <w:p w14:paraId="56AD4A38" w14:textId="45798598" w:rsidR="00224102" w:rsidRPr="00692926" w:rsidRDefault="00224102" w:rsidP="00224102">
            <w:pPr>
              <w:spacing w:line="221" w:lineRule="auto"/>
              <w:jc w:val="right"/>
              <w:rPr>
                <w:sz w:val="14"/>
                <w:szCs w:val="14"/>
              </w:rPr>
            </w:pPr>
            <w:r w:rsidRPr="00692926">
              <w:rPr>
                <w:sz w:val="14"/>
                <w:szCs w:val="14"/>
              </w:rPr>
              <w:t>15,616</w:t>
            </w:r>
          </w:p>
        </w:tc>
        <w:tc>
          <w:tcPr>
            <w:tcW w:w="686" w:type="dxa"/>
            <w:noWrap/>
            <w:tcMar>
              <w:top w:w="18" w:type="dxa"/>
              <w:left w:w="18" w:type="dxa"/>
              <w:bottom w:w="0" w:type="dxa"/>
              <w:right w:w="18" w:type="dxa"/>
            </w:tcMar>
            <w:vAlign w:val="bottom"/>
          </w:tcPr>
          <w:p w14:paraId="51053CE1" w14:textId="3E252AC5" w:rsidR="00224102" w:rsidRPr="00692926" w:rsidRDefault="00224102" w:rsidP="00224102">
            <w:pPr>
              <w:spacing w:line="221" w:lineRule="auto"/>
              <w:jc w:val="right"/>
              <w:rPr>
                <w:sz w:val="14"/>
                <w:szCs w:val="14"/>
              </w:rPr>
            </w:pPr>
            <w:r w:rsidRPr="00692926">
              <w:rPr>
                <w:sz w:val="14"/>
                <w:szCs w:val="14"/>
              </w:rPr>
              <w:t>36,277</w:t>
            </w:r>
          </w:p>
        </w:tc>
      </w:tr>
      <w:tr w:rsidR="00224102" w:rsidRPr="00604C75" w14:paraId="2B504397" w14:textId="77777777" w:rsidTr="00373D13">
        <w:trPr>
          <w:trHeight w:val="106"/>
        </w:trPr>
        <w:tc>
          <w:tcPr>
            <w:tcW w:w="557" w:type="dxa"/>
            <w:noWrap/>
            <w:tcMar>
              <w:top w:w="18" w:type="dxa"/>
              <w:left w:w="18" w:type="dxa"/>
              <w:bottom w:w="0" w:type="dxa"/>
              <w:right w:w="18" w:type="dxa"/>
            </w:tcMar>
            <w:vAlign w:val="bottom"/>
          </w:tcPr>
          <w:p w14:paraId="2506F0E7" w14:textId="77777777" w:rsidR="00224102" w:rsidRPr="00604C75" w:rsidRDefault="00224102" w:rsidP="00224102">
            <w:pPr>
              <w:spacing w:line="204" w:lineRule="auto"/>
              <w:rPr>
                <w:bCs/>
                <w:noProof/>
                <w:sz w:val="14"/>
                <w:szCs w:val="14"/>
                <w:lang w:val="tr-TR"/>
              </w:rPr>
            </w:pPr>
            <w:r w:rsidRPr="00604C75">
              <w:rPr>
                <w:bCs/>
                <w:noProof/>
                <w:sz w:val="14"/>
                <w:szCs w:val="14"/>
                <w:lang w:val="tr-TR"/>
              </w:rPr>
              <w:t>2.1.4</w:t>
            </w:r>
          </w:p>
        </w:tc>
        <w:tc>
          <w:tcPr>
            <w:tcW w:w="4767" w:type="dxa"/>
            <w:noWrap/>
            <w:tcMar>
              <w:top w:w="18" w:type="dxa"/>
              <w:left w:w="18" w:type="dxa"/>
              <w:bottom w:w="0" w:type="dxa"/>
              <w:right w:w="18" w:type="dxa"/>
            </w:tcMar>
            <w:vAlign w:val="bottom"/>
          </w:tcPr>
          <w:p w14:paraId="1654922E" w14:textId="77777777" w:rsidR="00224102" w:rsidRPr="00604C75" w:rsidRDefault="00224102" w:rsidP="00224102">
            <w:pPr>
              <w:spacing w:line="204" w:lineRule="auto"/>
              <w:rPr>
                <w:bCs/>
                <w:noProof/>
                <w:sz w:val="14"/>
                <w:szCs w:val="14"/>
                <w:lang w:val="tr-TR"/>
              </w:rPr>
            </w:pPr>
            <w:r w:rsidRPr="00604C75">
              <w:rPr>
                <w:bCs/>
                <w:noProof/>
                <w:sz w:val="14"/>
                <w:szCs w:val="14"/>
                <w:lang w:val="tr-TR"/>
              </w:rPr>
              <w:t xml:space="preserve">Other Marketable Securities </w:t>
            </w:r>
          </w:p>
        </w:tc>
        <w:tc>
          <w:tcPr>
            <w:tcW w:w="531" w:type="dxa"/>
            <w:noWrap/>
            <w:tcMar>
              <w:top w:w="18" w:type="dxa"/>
              <w:left w:w="18" w:type="dxa"/>
              <w:bottom w:w="0" w:type="dxa"/>
              <w:right w:w="18" w:type="dxa"/>
            </w:tcMar>
            <w:vAlign w:val="bottom"/>
          </w:tcPr>
          <w:p w14:paraId="4578B465" w14:textId="6106F702"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42AD5DAF" w14:textId="54B6C55C"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0FEFD7FF" w14:textId="54697136"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7F3E07CE" w14:textId="7D4C04F1"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9BE768E" w14:textId="3FB384BA" w:rsidR="00224102" w:rsidRPr="00692926" w:rsidRDefault="00224102" w:rsidP="00224102">
            <w:pPr>
              <w:spacing w:line="221" w:lineRule="auto"/>
              <w:jc w:val="right"/>
              <w:rPr>
                <w:sz w:val="14"/>
                <w:szCs w:val="14"/>
              </w:rPr>
            </w:pPr>
            <w:r w:rsidRPr="00692926">
              <w:rPr>
                <w:sz w:val="14"/>
                <w:szCs w:val="14"/>
              </w:rPr>
              <w:t>36,069</w:t>
            </w:r>
          </w:p>
        </w:tc>
        <w:tc>
          <w:tcPr>
            <w:tcW w:w="659" w:type="dxa"/>
            <w:noWrap/>
            <w:tcMar>
              <w:top w:w="18" w:type="dxa"/>
              <w:left w:w="18" w:type="dxa"/>
              <w:bottom w:w="0" w:type="dxa"/>
              <w:right w:w="18" w:type="dxa"/>
            </w:tcMar>
            <w:vAlign w:val="bottom"/>
          </w:tcPr>
          <w:p w14:paraId="6AD6DDDB" w14:textId="0AC79DB6"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500A0435" w14:textId="604532C2" w:rsidR="00224102" w:rsidRPr="00692926" w:rsidRDefault="00224102" w:rsidP="00224102">
            <w:pPr>
              <w:spacing w:line="221" w:lineRule="auto"/>
              <w:jc w:val="right"/>
              <w:rPr>
                <w:sz w:val="14"/>
                <w:szCs w:val="14"/>
              </w:rPr>
            </w:pPr>
            <w:r w:rsidRPr="00692926">
              <w:rPr>
                <w:sz w:val="14"/>
                <w:szCs w:val="14"/>
              </w:rPr>
              <w:t>36,069</w:t>
            </w:r>
          </w:p>
        </w:tc>
      </w:tr>
      <w:tr w:rsidR="00224102" w:rsidRPr="00604C75" w14:paraId="0F3DFE60" w14:textId="77777777" w:rsidTr="00373D13">
        <w:trPr>
          <w:trHeight w:val="106"/>
        </w:trPr>
        <w:tc>
          <w:tcPr>
            <w:tcW w:w="557" w:type="dxa"/>
            <w:noWrap/>
            <w:tcMar>
              <w:top w:w="18" w:type="dxa"/>
              <w:left w:w="18" w:type="dxa"/>
              <w:bottom w:w="0" w:type="dxa"/>
              <w:right w:w="18" w:type="dxa"/>
            </w:tcMar>
            <w:vAlign w:val="bottom"/>
          </w:tcPr>
          <w:p w14:paraId="413DC5A2" w14:textId="77777777" w:rsidR="00224102" w:rsidRPr="00604C75" w:rsidRDefault="00224102" w:rsidP="00224102">
            <w:pPr>
              <w:spacing w:line="204" w:lineRule="auto"/>
              <w:rPr>
                <w:bCs/>
                <w:noProof/>
                <w:sz w:val="14"/>
                <w:szCs w:val="14"/>
                <w:lang w:val="tr-TR"/>
              </w:rPr>
            </w:pPr>
            <w:r w:rsidRPr="00604C75">
              <w:rPr>
                <w:bCs/>
                <w:noProof/>
                <w:sz w:val="14"/>
                <w:szCs w:val="14"/>
                <w:lang w:val="tr-TR"/>
              </w:rPr>
              <w:t>2.2</w:t>
            </w:r>
          </w:p>
        </w:tc>
        <w:tc>
          <w:tcPr>
            <w:tcW w:w="4767" w:type="dxa"/>
            <w:noWrap/>
            <w:tcMar>
              <w:top w:w="18" w:type="dxa"/>
              <w:left w:w="18" w:type="dxa"/>
              <w:bottom w:w="0" w:type="dxa"/>
              <w:right w:w="18" w:type="dxa"/>
            </w:tcMar>
            <w:vAlign w:val="bottom"/>
          </w:tcPr>
          <w:p w14:paraId="79D3A027" w14:textId="77777777" w:rsidR="00224102" w:rsidRPr="00604C75" w:rsidRDefault="00224102" w:rsidP="00224102">
            <w:pPr>
              <w:spacing w:line="204" w:lineRule="auto"/>
              <w:ind w:right="-18"/>
              <w:rPr>
                <w:bCs/>
                <w:noProof/>
                <w:sz w:val="14"/>
                <w:szCs w:val="14"/>
                <w:lang w:val="tr-TR"/>
              </w:rPr>
            </w:pPr>
            <w:r w:rsidRPr="00604C75">
              <w:rPr>
                <w:bCs/>
                <w:noProof/>
                <w:sz w:val="14"/>
                <w:szCs w:val="14"/>
                <w:lang w:val="tr-TR"/>
              </w:rPr>
              <w:t xml:space="preserve">Financial Assets at Fair Value through Profit and Loss </w:t>
            </w:r>
          </w:p>
        </w:tc>
        <w:tc>
          <w:tcPr>
            <w:tcW w:w="531" w:type="dxa"/>
            <w:noWrap/>
            <w:tcMar>
              <w:top w:w="18" w:type="dxa"/>
              <w:left w:w="18" w:type="dxa"/>
              <w:bottom w:w="0" w:type="dxa"/>
              <w:right w:w="18" w:type="dxa"/>
            </w:tcMar>
            <w:vAlign w:val="bottom"/>
          </w:tcPr>
          <w:p w14:paraId="46B4033C" w14:textId="7E5A899A"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02ECF36F" w14:textId="31AA58C6"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5743AC9C" w14:textId="306E3EA2"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5A41BADC" w14:textId="2251D8AC"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6AA60C4" w14:textId="356BF593" w:rsidR="00224102" w:rsidRPr="00AD658B" w:rsidRDefault="00224102" w:rsidP="00224102">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14:paraId="714F06AF" w14:textId="1298CF8C" w:rsidR="00224102" w:rsidRPr="00AD658B" w:rsidRDefault="00224102" w:rsidP="00224102">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14:paraId="7FC04C59" w14:textId="5236AF11" w:rsidR="00224102" w:rsidRPr="00AD658B" w:rsidRDefault="00224102" w:rsidP="00224102">
            <w:pPr>
              <w:spacing w:line="221" w:lineRule="auto"/>
              <w:jc w:val="right"/>
              <w:rPr>
                <w:sz w:val="14"/>
                <w:szCs w:val="14"/>
              </w:rPr>
            </w:pPr>
            <w:r w:rsidRPr="00AD658B">
              <w:rPr>
                <w:sz w:val="14"/>
                <w:szCs w:val="14"/>
              </w:rPr>
              <w:t>-</w:t>
            </w:r>
          </w:p>
        </w:tc>
      </w:tr>
      <w:tr w:rsidR="00224102" w:rsidRPr="00604C75" w14:paraId="30288B7A" w14:textId="77777777" w:rsidTr="00373D13">
        <w:trPr>
          <w:trHeight w:val="104"/>
        </w:trPr>
        <w:tc>
          <w:tcPr>
            <w:tcW w:w="557" w:type="dxa"/>
            <w:noWrap/>
            <w:tcMar>
              <w:top w:w="18" w:type="dxa"/>
              <w:left w:w="18" w:type="dxa"/>
              <w:bottom w:w="0" w:type="dxa"/>
              <w:right w:w="18" w:type="dxa"/>
            </w:tcMar>
            <w:vAlign w:val="bottom"/>
          </w:tcPr>
          <w:p w14:paraId="58546F15" w14:textId="77777777" w:rsidR="00224102" w:rsidRPr="00604C75" w:rsidRDefault="00224102" w:rsidP="00224102">
            <w:pPr>
              <w:spacing w:line="204" w:lineRule="auto"/>
              <w:rPr>
                <w:bCs/>
                <w:noProof/>
                <w:sz w:val="14"/>
                <w:szCs w:val="14"/>
                <w:lang w:val="tr-TR"/>
              </w:rPr>
            </w:pPr>
            <w:r w:rsidRPr="00604C75">
              <w:rPr>
                <w:bCs/>
                <w:noProof/>
                <w:sz w:val="14"/>
                <w:szCs w:val="14"/>
                <w:lang w:val="tr-TR"/>
              </w:rPr>
              <w:t>2.2.1</w:t>
            </w:r>
          </w:p>
        </w:tc>
        <w:tc>
          <w:tcPr>
            <w:tcW w:w="4767" w:type="dxa"/>
            <w:noWrap/>
            <w:tcMar>
              <w:top w:w="18" w:type="dxa"/>
              <w:left w:w="18" w:type="dxa"/>
              <w:bottom w:w="0" w:type="dxa"/>
              <w:right w:w="18" w:type="dxa"/>
            </w:tcMar>
            <w:vAlign w:val="bottom"/>
          </w:tcPr>
          <w:p w14:paraId="3A365A09" w14:textId="77777777" w:rsidR="00224102" w:rsidRPr="00604C75" w:rsidRDefault="00224102" w:rsidP="00224102">
            <w:pPr>
              <w:spacing w:line="204" w:lineRule="auto"/>
              <w:rPr>
                <w:bCs/>
                <w:noProof/>
                <w:sz w:val="14"/>
                <w:szCs w:val="14"/>
                <w:lang w:val="tr-TR"/>
              </w:rPr>
            </w:pPr>
            <w:r w:rsidRPr="00604C75">
              <w:rPr>
                <w:bCs/>
                <w:noProof/>
                <w:sz w:val="14"/>
                <w:szCs w:val="14"/>
                <w:lang w:val="tr-TR"/>
              </w:rPr>
              <w:t>Government Debt Securities</w:t>
            </w:r>
          </w:p>
        </w:tc>
        <w:tc>
          <w:tcPr>
            <w:tcW w:w="531" w:type="dxa"/>
            <w:noWrap/>
            <w:tcMar>
              <w:top w:w="18" w:type="dxa"/>
              <w:left w:w="18" w:type="dxa"/>
              <w:bottom w:w="0" w:type="dxa"/>
              <w:right w:w="18" w:type="dxa"/>
            </w:tcMar>
            <w:vAlign w:val="bottom"/>
          </w:tcPr>
          <w:p w14:paraId="5228EA34" w14:textId="168B4B1B"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06ADAC0E" w14:textId="3983B6BE"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4FAE3C6C" w14:textId="48EB7990"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6A50E2EF" w14:textId="749B0FC4"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3C1ED3A6" w14:textId="7B52FE33" w:rsidR="00224102" w:rsidRPr="00AD658B" w:rsidRDefault="00224102" w:rsidP="00224102">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14:paraId="05AA6592" w14:textId="1BF52D99" w:rsidR="00224102" w:rsidRPr="00AD658B" w:rsidRDefault="00224102" w:rsidP="00224102">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14:paraId="7507327B" w14:textId="4DB913EB" w:rsidR="00224102" w:rsidRPr="00AD658B" w:rsidRDefault="00224102" w:rsidP="00224102">
            <w:pPr>
              <w:spacing w:line="221" w:lineRule="auto"/>
              <w:jc w:val="right"/>
              <w:rPr>
                <w:sz w:val="14"/>
                <w:szCs w:val="14"/>
              </w:rPr>
            </w:pPr>
            <w:r w:rsidRPr="00AD658B">
              <w:rPr>
                <w:sz w:val="14"/>
                <w:szCs w:val="14"/>
              </w:rPr>
              <w:t>-</w:t>
            </w:r>
          </w:p>
        </w:tc>
      </w:tr>
      <w:tr w:rsidR="00224102" w:rsidRPr="00604C75" w14:paraId="4FEB1437" w14:textId="77777777" w:rsidTr="00373D13">
        <w:trPr>
          <w:trHeight w:val="87"/>
        </w:trPr>
        <w:tc>
          <w:tcPr>
            <w:tcW w:w="557" w:type="dxa"/>
            <w:noWrap/>
            <w:tcMar>
              <w:top w:w="18" w:type="dxa"/>
              <w:left w:w="18" w:type="dxa"/>
              <w:bottom w:w="0" w:type="dxa"/>
              <w:right w:w="18" w:type="dxa"/>
            </w:tcMar>
            <w:vAlign w:val="bottom"/>
          </w:tcPr>
          <w:p w14:paraId="1E7B854A" w14:textId="77777777" w:rsidR="00224102" w:rsidRPr="00604C75" w:rsidRDefault="00224102" w:rsidP="00224102">
            <w:pPr>
              <w:spacing w:line="204" w:lineRule="auto"/>
              <w:rPr>
                <w:bCs/>
                <w:noProof/>
                <w:sz w:val="14"/>
                <w:szCs w:val="14"/>
                <w:lang w:val="tr-TR"/>
              </w:rPr>
            </w:pPr>
            <w:r w:rsidRPr="00604C75">
              <w:rPr>
                <w:bCs/>
                <w:noProof/>
                <w:sz w:val="14"/>
                <w:szCs w:val="14"/>
                <w:lang w:val="tr-TR"/>
              </w:rPr>
              <w:t>2.2.2</w:t>
            </w:r>
          </w:p>
        </w:tc>
        <w:tc>
          <w:tcPr>
            <w:tcW w:w="4767" w:type="dxa"/>
            <w:noWrap/>
            <w:tcMar>
              <w:top w:w="18" w:type="dxa"/>
              <w:left w:w="18" w:type="dxa"/>
              <w:bottom w:w="0" w:type="dxa"/>
              <w:right w:w="18" w:type="dxa"/>
            </w:tcMar>
            <w:vAlign w:val="bottom"/>
          </w:tcPr>
          <w:p w14:paraId="03B523AE" w14:textId="77777777" w:rsidR="00224102" w:rsidRPr="00604C75" w:rsidRDefault="00224102" w:rsidP="00224102">
            <w:pPr>
              <w:spacing w:line="204" w:lineRule="auto"/>
              <w:rPr>
                <w:bCs/>
                <w:noProof/>
                <w:sz w:val="14"/>
                <w:szCs w:val="14"/>
                <w:lang w:val="tr-TR"/>
              </w:rPr>
            </w:pPr>
            <w:r w:rsidRPr="00604C75">
              <w:rPr>
                <w:bCs/>
                <w:noProof/>
                <w:sz w:val="14"/>
                <w:szCs w:val="14"/>
                <w:lang w:val="tr-TR"/>
              </w:rPr>
              <w:t>Equity Securities</w:t>
            </w:r>
          </w:p>
        </w:tc>
        <w:tc>
          <w:tcPr>
            <w:tcW w:w="531" w:type="dxa"/>
            <w:noWrap/>
            <w:tcMar>
              <w:top w:w="18" w:type="dxa"/>
              <w:left w:w="18" w:type="dxa"/>
              <w:bottom w:w="0" w:type="dxa"/>
              <w:right w:w="18" w:type="dxa"/>
            </w:tcMar>
            <w:vAlign w:val="bottom"/>
          </w:tcPr>
          <w:p w14:paraId="57267BBD" w14:textId="6B440830"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7A65DDF8" w14:textId="73232FE6"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31016AE8" w14:textId="791FDDBD"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E6F0AD8" w14:textId="1E92DEB9"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4FFBBAA" w14:textId="0A3FB34F" w:rsidR="00224102" w:rsidRPr="00AD658B" w:rsidRDefault="00224102" w:rsidP="00224102">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14:paraId="01CF2F45" w14:textId="39CF040F" w:rsidR="00224102" w:rsidRPr="00AD658B" w:rsidRDefault="00224102" w:rsidP="00224102">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14:paraId="04551AA0" w14:textId="6440B09C" w:rsidR="00224102" w:rsidRPr="00AD658B" w:rsidRDefault="00224102" w:rsidP="00224102">
            <w:pPr>
              <w:spacing w:line="221" w:lineRule="auto"/>
              <w:jc w:val="right"/>
              <w:rPr>
                <w:sz w:val="14"/>
                <w:szCs w:val="14"/>
              </w:rPr>
            </w:pPr>
            <w:r w:rsidRPr="00AD658B">
              <w:rPr>
                <w:sz w:val="14"/>
                <w:szCs w:val="14"/>
              </w:rPr>
              <w:t>-</w:t>
            </w:r>
          </w:p>
        </w:tc>
      </w:tr>
      <w:tr w:rsidR="00224102" w:rsidRPr="00604C75" w14:paraId="08FD7C4A" w14:textId="77777777" w:rsidTr="00373D13">
        <w:trPr>
          <w:trHeight w:val="100"/>
        </w:trPr>
        <w:tc>
          <w:tcPr>
            <w:tcW w:w="557" w:type="dxa"/>
            <w:noWrap/>
            <w:tcMar>
              <w:top w:w="18" w:type="dxa"/>
              <w:left w:w="18" w:type="dxa"/>
              <w:bottom w:w="0" w:type="dxa"/>
              <w:right w:w="18" w:type="dxa"/>
            </w:tcMar>
            <w:vAlign w:val="bottom"/>
          </w:tcPr>
          <w:p w14:paraId="08735346" w14:textId="77777777" w:rsidR="00224102" w:rsidRPr="00604C75" w:rsidRDefault="00224102" w:rsidP="00224102">
            <w:pPr>
              <w:spacing w:line="204" w:lineRule="auto"/>
              <w:rPr>
                <w:bCs/>
                <w:noProof/>
                <w:sz w:val="14"/>
                <w:szCs w:val="14"/>
                <w:lang w:val="tr-TR"/>
              </w:rPr>
            </w:pPr>
            <w:r w:rsidRPr="00604C75">
              <w:rPr>
                <w:bCs/>
                <w:noProof/>
                <w:sz w:val="14"/>
                <w:szCs w:val="14"/>
                <w:lang w:val="tr-TR"/>
              </w:rPr>
              <w:t>2.2.3</w:t>
            </w:r>
          </w:p>
        </w:tc>
        <w:tc>
          <w:tcPr>
            <w:tcW w:w="4767" w:type="dxa"/>
            <w:noWrap/>
            <w:tcMar>
              <w:top w:w="18" w:type="dxa"/>
              <w:left w:w="18" w:type="dxa"/>
              <w:bottom w:w="0" w:type="dxa"/>
              <w:right w:w="18" w:type="dxa"/>
            </w:tcMar>
            <w:vAlign w:val="bottom"/>
          </w:tcPr>
          <w:p w14:paraId="4B4E4BB1" w14:textId="77777777" w:rsidR="00224102" w:rsidRPr="00604C75" w:rsidRDefault="00224102" w:rsidP="00224102">
            <w:pPr>
              <w:spacing w:line="204" w:lineRule="auto"/>
              <w:rPr>
                <w:bCs/>
                <w:noProof/>
                <w:sz w:val="14"/>
                <w:szCs w:val="14"/>
                <w:lang w:val="tr-TR"/>
              </w:rPr>
            </w:pPr>
            <w:r w:rsidRPr="00604C75">
              <w:rPr>
                <w:bCs/>
                <w:noProof/>
                <w:sz w:val="14"/>
                <w:szCs w:val="14"/>
                <w:lang w:val="tr-TR"/>
              </w:rPr>
              <w:t>Loans</w:t>
            </w:r>
          </w:p>
        </w:tc>
        <w:tc>
          <w:tcPr>
            <w:tcW w:w="531" w:type="dxa"/>
            <w:noWrap/>
            <w:tcMar>
              <w:top w:w="18" w:type="dxa"/>
              <w:left w:w="18" w:type="dxa"/>
              <w:bottom w:w="0" w:type="dxa"/>
              <w:right w:w="18" w:type="dxa"/>
            </w:tcMar>
            <w:vAlign w:val="bottom"/>
          </w:tcPr>
          <w:p w14:paraId="15BAA609" w14:textId="77777777" w:rsidR="00224102" w:rsidRPr="00604C75" w:rsidRDefault="00224102" w:rsidP="00224102">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14:paraId="34806DDA" w14:textId="25E3D89C"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3E032215" w14:textId="74005741"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93F49F6" w14:textId="0D921768"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C051D0A" w14:textId="535DE416" w:rsidR="00224102" w:rsidRPr="00AD658B" w:rsidRDefault="00224102" w:rsidP="00224102">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14:paraId="5B37C4B9" w14:textId="39B3799C" w:rsidR="00224102" w:rsidRPr="00AD658B" w:rsidRDefault="00224102" w:rsidP="00224102">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14:paraId="0582E0FA" w14:textId="6B55BB15" w:rsidR="00224102" w:rsidRPr="00AD658B" w:rsidRDefault="00224102" w:rsidP="00224102">
            <w:pPr>
              <w:spacing w:line="221" w:lineRule="auto"/>
              <w:jc w:val="right"/>
              <w:rPr>
                <w:sz w:val="14"/>
                <w:szCs w:val="14"/>
              </w:rPr>
            </w:pPr>
            <w:r w:rsidRPr="00AD658B">
              <w:rPr>
                <w:sz w:val="14"/>
                <w:szCs w:val="14"/>
              </w:rPr>
              <w:t>-</w:t>
            </w:r>
          </w:p>
        </w:tc>
      </w:tr>
      <w:tr w:rsidR="00224102" w:rsidRPr="00604C75" w14:paraId="1BA47DB5" w14:textId="77777777" w:rsidTr="00373D13">
        <w:trPr>
          <w:trHeight w:val="98"/>
        </w:trPr>
        <w:tc>
          <w:tcPr>
            <w:tcW w:w="557" w:type="dxa"/>
            <w:noWrap/>
            <w:tcMar>
              <w:top w:w="18" w:type="dxa"/>
              <w:left w:w="18" w:type="dxa"/>
              <w:bottom w:w="0" w:type="dxa"/>
              <w:right w:w="18" w:type="dxa"/>
            </w:tcMar>
            <w:vAlign w:val="bottom"/>
          </w:tcPr>
          <w:p w14:paraId="7F95CF76" w14:textId="77777777" w:rsidR="00224102" w:rsidRPr="00604C75" w:rsidRDefault="00224102" w:rsidP="00224102">
            <w:pPr>
              <w:spacing w:line="204" w:lineRule="auto"/>
              <w:rPr>
                <w:bCs/>
                <w:noProof/>
                <w:sz w:val="14"/>
                <w:szCs w:val="14"/>
                <w:lang w:val="tr-TR"/>
              </w:rPr>
            </w:pPr>
            <w:r w:rsidRPr="00604C75">
              <w:rPr>
                <w:bCs/>
                <w:noProof/>
                <w:sz w:val="14"/>
                <w:szCs w:val="14"/>
                <w:lang w:val="tr-TR"/>
              </w:rPr>
              <w:t>2.2.4</w:t>
            </w:r>
          </w:p>
        </w:tc>
        <w:tc>
          <w:tcPr>
            <w:tcW w:w="4767" w:type="dxa"/>
            <w:noWrap/>
            <w:tcMar>
              <w:top w:w="18" w:type="dxa"/>
              <w:left w:w="18" w:type="dxa"/>
              <w:bottom w:w="0" w:type="dxa"/>
              <w:right w:w="18" w:type="dxa"/>
            </w:tcMar>
            <w:vAlign w:val="bottom"/>
          </w:tcPr>
          <w:p w14:paraId="3144E4FE" w14:textId="77777777" w:rsidR="00224102" w:rsidRPr="00604C75" w:rsidRDefault="00224102" w:rsidP="00224102">
            <w:pPr>
              <w:spacing w:line="204" w:lineRule="auto"/>
              <w:rPr>
                <w:bCs/>
                <w:noProof/>
                <w:sz w:val="14"/>
                <w:szCs w:val="14"/>
                <w:lang w:val="tr-TR"/>
              </w:rPr>
            </w:pPr>
            <w:r w:rsidRPr="00604C75">
              <w:rPr>
                <w:bCs/>
                <w:noProof/>
                <w:sz w:val="14"/>
                <w:szCs w:val="14"/>
                <w:lang w:val="tr-TR"/>
              </w:rPr>
              <w:t>Other Marketable Securities</w:t>
            </w:r>
          </w:p>
        </w:tc>
        <w:tc>
          <w:tcPr>
            <w:tcW w:w="531" w:type="dxa"/>
            <w:noWrap/>
            <w:tcMar>
              <w:top w:w="18" w:type="dxa"/>
              <w:left w:w="18" w:type="dxa"/>
              <w:bottom w:w="0" w:type="dxa"/>
              <w:right w:w="18" w:type="dxa"/>
            </w:tcMar>
            <w:vAlign w:val="bottom"/>
          </w:tcPr>
          <w:p w14:paraId="3B11B951" w14:textId="5B07FAD7"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1FF387C" w14:textId="67C81083"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2726C1A5" w14:textId="6A6F1158"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4DF8D31" w14:textId="1292CB00"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5F3857C2" w14:textId="3BBF005F" w:rsidR="00224102" w:rsidRPr="00AD658B" w:rsidRDefault="00224102" w:rsidP="00224102">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14:paraId="0F8B87D8" w14:textId="650F8DA9" w:rsidR="00224102" w:rsidRPr="00AD658B" w:rsidRDefault="00224102" w:rsidP="00224102">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14:paraId="76E71F30" w14:textId="2A4CD955" w:rsidR="00224102" w:rsidRPr="00AD658B" w:rsidRDefault="00224102" w:rsidP="00224102">
            <w:pPr>
              <w:spacing w:line="221" w:lineRule="auto"/>
              <w:jc w:val="right"/>
              <w:rPr>
                <w:sz w:val="14"/>
                <w:szCs w:val="14"/>
              </w:rPr>
            </w:pPr>
            <w:r w:rsidRPr="00AD658B">
              <w:rPr>
                <w:sz w:val="14"/>
                <w:szCs w:val="14"/>
              </w:rPr>
              <w:t>-</w:t>
            </w:r>
          </w:p>
        </w:tc>
      </w:tr>
      <w:tr w:rsidR="00224102" w:rsidRPr="00604C75" w14:paraId="40BD29AF" w14:textId="77777777" w:rsidTr="00373D13">
        <w:trPr>
          <w:trHeight w:val="81"/>
        </w:trPr>
        <w:tc>
          <w:tcPr>
            <w:tcW w:w="557" w:type="dxa"/>
            <w:noWrap/>
            <w:tcMar>
              <w:top w:w="18" w:type="dxa"/>
              <w:left w:w="18" w:type="dxa"/>
              <w:bottom w:w="0" w:type="dxa"/>
              <w:right w:w="18" w:type="dxa"/>
            </w:tcMar>
            <w:vAlign w:val="bottom"/>
          </w:tcPr>
          <w:p w14:paraId="1077599B"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III.</w:t>
            </w:r>
          </w:p>
        </w:tc>
        <w:tc>
          <w:tcPr>
            <w:tcW w:w="4767" w:type="dxa"/>
            <w:noWrap/>
            <w:tcMar>
              <w:top w:w="18" w:type="dxa"/>
              <w:left w:w="18" w:type="dxa"/>
              <w:bottom w:w="0" w:type="dxa"/>
              <w:right w:w="18" w:type="dxa"/>
            </w:tcMar>
            <w:vAlign w:val="bottom"/>
          </w:tcPr>
          <w:p w14:paraId="4DB54269"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 xml:space="preserve">BANKS </w:t>
            </w:r>
          </w:p>
        </w:tc>
        <w:tc>
          <w:tcPr>
            <w:tcW w:w="531" w:type="dxa"/>
            <w:noWrap/>
            <w:tcMar>
              <w:top w:w="18" w:type="dxa"/>
              <w:left w:w="18" w:type="dxa"/>
              <w:bottom w:w="0" w:type="dxa"/>
              <w:right w:w="18" w:type="dxa"/>
            </w:tcMar>
            <w:vAlign w:val="bottom"/>
          </w:tcPr>
          <w:p w14:paraId="3DC18B57" w14:textId="115E04E3"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I-c</w:t>
            </w:r>
          </w:p>
        </w:tc>
        <w:tc>
          <w:tcPr>
            <w:tcW w:w="630" w:type="dxa"/>
            <w:noWrap/>
            <w:tcMar>
              <w:top w:w="18" w:type="dxa"/>
              <w:left w:w="18" w:type="dxa"/>
              <w:bottom w:w="0" w:type="dxa"/>
              <w:right w:w="18" w:type="dxa"/>
            </w:tcMar>
            <w:vAlign w:val="bottom"/>
          </w:tcPr>
          <w:p w14:paraId="450B503D" w14:textId="16AE2143" w:rsidR="00224102" w:rsidRPr="00EF6596" w:rsidRDefault="00224102" w:rsidP="00224102">
            <w:pPr>
              <w:jc w:val="right"/>
              <w:rPr>
                <w:b/>
                <w:bCs/>
                <w:sz w:val="14"/>
                <w:szCs w:val="14"/>
              </w:rPr>
            </w:pPr>
            <w:r w:rsidRPr="00EF6596">
              <w:rPr>
                <w:b/>
                <w:bCs/>
                <w:sz w:val="14"/>
                <w:szCs w:val="14"/>
              </w:rPr>
              <w:t>289,918</w:t>
            </w:r>
          </w:p>
        </w:tc>
        <w:tc>
          <w:tcPr>
            <w:tcW w:w="791" w:type="dxa"/>
            <w:noWrap/>
            <w:tcMar>
              <w:top w:w="18" w:type="dxa"/>
              <w:left w:w="18" w:type="dxa"/>
              <w:bottom w:w="0" w:type="dxa"/>
              <w:right w:w="18" w:type="dxa"/>
            </w:tcMar>
            <w:vAlign w:val="bottom"/>
          </w:tcPr>
          <w:p w14:paraId="5E120083" w14:textId="5291078F" w:rsidR="00224102" w:rsidRPr="00EF6596" w:rsidRDefault="00224102" w:rsidP="00224102">
            <w:pPr>
              <w:jc w:val="right"/>
              <w:rPr>
                <w:b/>
                <w:bCs/>
                <w:sz w:val="14"/>
                <w:szCs w:val="14"/>
              </w:rPr>
            </w:pPr>
            <w:r w:rsidRPr="00EF6596">
              <w:rPr>
                <w:b/>
                <w:bCs/>
                <w:sz w:val="14"/>
                <w:szCs w:val="14"/>
              </w:rPr>
              <w:t>322,078</w:t>
            </w:r>
          </w:p>
        </w:tc>
        <w:tc>
          <w:tcPr>
            <w:tcW w:w="745" w:type="dxa"/>
            <w:noWrap/>
            <w:tcMar>
              <w:top w:w="18" w:type="dxa"/>
              <w:left w:w="18" w:type="dxa"/>
              <w:bottom w:w="0" w:type="dxa"/>
              <w:right w:w="18" w:type="dxa"/>
            </w:tcMar>
            <w:vAlign w:val="bottom"/>
          </w:tcPr>
          <w:p w14:paraId="73AA7EF3" w14:textId="2ABCB1DE" w:rsidR="00224102" w:rsidRPr="00EF6596" w:rsidRDefault="00224102" w:rsidP="00224102">
            <w:pPr>
              <w:jc w:val="right"/>
              <w:rPr>
                <w:b/>
                <w:bCs/>
                <w:sz w:val="14"/>
                <w:szCs w:val="14"/>
              </w:rPr>
            </w:pPr>
            <w:r w:rsidRPr="00EF6596">
              <w:rPr>
                <w:b/>
                <w:bCs/>
                <w:sz w:val="14"/>
                <w:szCs w:val="14"/>
              </w:rPr>
              <w:t>611,996</w:t>
            </w:r>
          </w:p>
        </w:tc>
        <w:tc>
          <w:tcPr>
            <w:tcW w:w="745" w:type="dxa"/>
            <w:noWrap/>
            <w:tcMar>
              <w:top w:w="18" w:type="dxa"/>
              <w:left w:w="18" w:type="dxa"/>
              <w:bottom w:w="0" w:type="dxa"/>
              <w:right w:w="18" w:type="dxa"/>
            </w:tcMar>
            <w:vAlign w:val="bottom"/>
          </w:tcPr>
          <w:p w14:paraId="6ED5168D" w14:textId="3EE36F30" w:rsidR="00224102" w:rsidRPr="00692926" w:rsidRDefault="00224102" w:rsidP="00224102">
            <w:pPr>
              <w:spacing w:line="221" w:lineRule="auto"/>
              <w:jc w:val="right"/>
              <w:rPr>
                <w:b/>
                <w:sz w:val="14"/>
                <w:szCs w:val="14"/>
              </w:rPr>
            </w:pPr>
            <w:r w:rsidRPr="00692926">
              <w:rPr>
                <w:b/>
                <w:sz w:val="14"/>
                <w:szCs w:val="14"/>
              </w:rPr>
              <w:t>71,781</w:t>
            </w:r>
          </w:p>
        </w:tc>
        <w:tc>
          <w:tcPr>
            <w:tcW w:w="659" w:type="dxa"/>
            <w:noWrap/>
            <w:tcMar>
              <w:top w:w="18" w:type="dxa"/>
              <w:left w:w="18" w:type="dxa"/>
              <w:bottom w:w="0" w:type="dxa"/>
              <w:right w:w="18" w:type="dxa"/>
            </w:tcMar>
            <w:vAlign w:val="bottom"/>
          </w:tcPr>
          <w:p w14:paraId="7FCF1D2C" w14:textId="0308782E" w:rsidR="00224102" w:rsidRPr="00692926" w:rsidRDefault="00224102" w:rsidP="00224102">
            <w:pPr>
              <w:spacing w:line="221" w:lineRule="auto"/>
              <w:jc w:val="right"/>
              <w:rPr>
                <w:b/>
                <w:sz w:val="14"/>
                <w:szCs w:val="14"/>
              </w:rPr>
            </w:pPr>
            <w:r w:rsidRPr="00692926">
              <w:rPr>
                <w:b/>
                <w:sz w:val="14"/>
                <w:szCs w:val="14"/>
              </w:rPr>
              <w:t>33,434</w:t>
            </w:r>
          </w:p>
        </w:tc>
        <w:tc>
          <w:tcPr>
            <w:tcW w:w="686" w:type="dxa"/>
            <w:noWrap/>
            <w:tcMar>
              <w:top w:w="18" w:type="dxa"/>
              <w:left w:w="18" w:type="dxa"/>
              <w:bottom w:w="0" w:type="dxa"/>
              <w:right w:w="18" w:type="dxa"/>
            </w:tcMar>
            <w:vAlign w:val="bottom"/>
          </w:tcPr>
          <w:p w14:paraId="479F2E39" w14:textId="030EFDFB" w:rsidR="00224102" w:rsidRPr="00692926" w:rsidRDefault="00224102" w:rsidP="00224102">
            <w:pPr>
              <w:spacing w:line="221" w:lineRule="auto"/>
              <w:jc w:val="right"/>
              <w:rPr>
                <w:b/>
                <w:sz w:val="14"/>
                <w:szCs w:val="14"/>
              </w:rPr>
            </w:pPr>
            <w:r w:rsidRPr="00692926">
              <w:rPr>
                <w:b/>
                <w:sz w:val="14"/>
                <w:szCs w:val="14"/>
              </w:rPr>
              <w:t>105,215</w:t>
            </w:r>
          </w:p>
        </w:tc>
      </w:tr>
      <w:tr w:rsidR="00224102" w:rsidRPr="00604C75" w14:paraId="248E7BC0" w14:textId="77777777" w:rsidTr="00373D13">
        <w:trPr>
          <w:trHeight w:val="72"/>
        </w:trPr>
        <w:tc>
          <w:tcPr>
            <w:tcW w:w="557" w:type="dxa"/>
            <w:noWrap/>
            <w:tcMar>
              <w:top w:w="18" w:type="dxa"/>
              <w:left w:w="18" w:type="dxa"/>
              <w:bottom w:w="0" w:type="dxa"/>
              <w:right w:w="18" w:type="dxa"/>
            </w:tcMar>
            <w:vAlign w:val="bottom"/>
          </w:tcPr>
          <w:p w14:paraId="33F4E469"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IV.</w:t>
            </w:r>
          </w:p>
        </w:tc>
        <w:tc>
          <w:tcPr>
            <w:tcW w:w="4767" w:type="dxa"/>
            <w:noWrap/>
            <w:tcMar>
              <w:top w:w="18" w:type="dxa"/>
              <w:left w:w="18" w:type="dxa"/>
              <w:bottom w:w="0" w:type="dxa"/>
              <w:right w:w="18" w:type="dxa"/>
            </w:tcMar>
            <w:vAlign w:val="bottom"/>
          </w:tcPr>
          <w:p w14:paraId="54EB4EB5"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MONEY MARKETS PLACEMENTS</w:t>
            </w:r>
          </w:p>
        </w:tc>
        <w:tc>
          <w:tcPr>
            <w:tcW w:w="531" w:type="dxa"/>
            <w:noWrap/>
            <w:tcMar>
              <w:top w:w="18" w:type="dxa"/>
              <w:left w:w="18" w:type="dxa"/>
              <w:bottom w:w="0" w:type="dxa"/>
              <w:right w:w="18" w:type="dxa"/>
            </w:tcMar>
            <w:vAlign w:val="bottom"/>
          </w:tcPr>
          <w:p w14:paraId="6237694B" w14:textId="7226ED93"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02CF3F89" w14:textId="2CA1B3AD" w:rsidR="00224102" w:rsidRPr="00EF6596" w:rsidRDefault="00224102" w:rsidP="00224102">
            <w:pPr>
              <w:jc w:val="right"/>
              <w:rPr>
                <w:b/>
                <w:bCs/>
                <w:sz w:val="14"/>
                <w:szCs w:val="14"/>
              </w:rPr>
            </w:pPr>
            <w:r w:rsidRPr="00EF6596">
              <w:rPr>
                <w:b/>
                <w:bCs/>
                <w:sz w:val="14"/>
                <w:szCs w:val="14"/>
              </w:rPr>
              <w:t>350,105</w:t>
            </w:r>
          </w:p>
        </w:tc>
        <w:tc>
          <w:tcPr>
            <w:tcW w:w="791" w:type="dxa"/>
            <w:noWrap/>
            <w:tcMar>
              <w:top w:w="18" w:type="dxa"/>
              <w:left w:w="18" w:type="dxa"/>
              <w:bottom w:w="0" w:type="dxa"/>
              <w:right w:w="18" w:type="dxa"/>
            </w:tcMar>
            <w:vAlign w:val="bottom"/>
          </w:tcPr>
          <w:p w14:paraId="63C523B7" w14:textId="31EEB3EC"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1CF7FF1F" w14:textId="1DCA3171" w:rsidR="00224102" w:rsidRPr="00EF6596" w:rsidRDefault="00224102" w:rsidP="00224102">
            <w:pPr>
              <w:jc w:val="right"/>
              <w:rPr>
                <w:b/>
                <w:bCs/>
                <w:sz w:val="14"/>
                <w:szCs w:val="14"/>
              </w:rPr>
            </w:pPr>
            <w:r w:rsidRPr="00EF6596">
              <w:rPr>
                <w:b/>
                <w:bCs/>
                <w:sz w:val="14"/>
                <w:szCs w:val="14"/>
              </w:rPr>
              <w:t>350,105</w:t>
            </w:r>
          </w:p>
        </w:tc>
        <w:tc>
          <w:tcPr>
            <w:tcW w:w="745" w:type="dxa"/>
            <w:noWrap/>
            <w:tcMar>
              <w:top w:w="18" w:type="dxa"/>
              <w:left w:w="18" w:type="dxa"/>
              <w:bottom w:w="0" w:type="dxa"/>
              <w:right w:w="18" w:type="dxa"/>
            </w:tcMar>
            <w:vAlign w:val="bottom"/>
          </w:tcPr>
          <w:p w14:paraId="7103185B" w14:textId="1542CFAE" w:rsidR="00224102" w:rsidRPr="00692926" w:rsidRDefault="00224102" w:rsidP="00224102">
            <w:pPr>
              <w:spacing w:line="221" w:lineRule="auto"/>
              <w:jc w:val="right"/>
              <w:rPr>
                <w:b/>
                <w:sz w:val="14"/>
                <w:szCs w:val="14"/>
              </w:rPr>
            </w:pPr>
            <w:r w:rsidRPr="00692926">
              <w:rPr>
                <w:b/>
                <w:sz w:val="14"/>
                <w:szCs w:val="14"/>
              </w:rPr>
              <w:t>6,774</w:t>
            </w:r>
          </w:p>
        </w:tc>
        <w:tc>
          <w:tcPr>
            <w:tcW w:w="659" w:type="dxa"/>
            <w:noWrap/>
            <w:tcMar>
              <w:top w:w="18" w:type="dxa"/>
              <w:left w:w="18" w:type="dxa"/>
              <w:bottom w:w="0" w:type="dxa"/>
              <w:right w:w="18" w:type="dxa"/>
            </w:tcMar>
            <w:vAlign w:val="bottom"/>
          </w:tcPr>
          <w:p w14:paraId="1ECA61EF" w14:textId="32C57A1F" w:rsidR="00224102" w:rsidRPr="00692926" w:rsidRDefault="00224102" w:rsidP="00224102">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14:paraId="551BBF80" w14:textId="379861CA" w:rsidR="00224102" w:rsidRPr="00692926" w:rsidRDefault="00224102" w:rsidP="00224102">
            <w:pPr>
              <w:spacing w:line="221" w:lineRule="auto"/>
              <w:jc w:val="right"/>
              <w:rPr>
                <w:b/>
                <w:sz w:val="14"/>
                <w:szCs w:val="14"/>
              </w:rPr>
            </w:pPr>
            <w:r w:rsidRPr="00692926">
              <w:rPr>
                <w:b/>
                <w:sz w:val="14"/>
                <w:szCs w:val="14"/>
              </w:rPr>
              <w:t>6,774</w:t>
            </w:r>
          </w:p>
        </w:tc>
      </w:tr>
      <w:tr w:rsidR="00224102" w:rsidRPr="00604C75" w14:paraId="00860ADF" w14:textId="77777777" w:rsidTr="00373D13">
        <w:trPr>
          <w:trHeight w:val="78"/>
        </w:trPr>
        <w:tc>
          <w:tcPr>
            <w:tcW w:w="557" w:type="dxa"/>
            <w:noWrap/>
            <w:tcMar>
              <w:top w:w="18" w:type="dxa"/>
              <w:left w:w="18" w:type="dxa"/>
              <w:bottom w:w="0" w:type="dxa"/>
              <w:right w:w="18" w:type="dxa"/>
            </w:tcMar>
            <w:vAlign w:val="bottom"/>
          </w:tcPr>
          <w:p w14:paraId="092E3DF5" w14:textId="77777777" w:rsidR="00224102" w:rsidRPr="00604C75" w:rsidRDefault="00224102" w:rsidP="00224102">
            <w:pPr>
              <w:spacing w:line="204" w:lineRule="auto"/>
              <w:rPr>
                <w:bCs/>
                <w:noProof/>
                <w:sz w:val="14"/>
                <w:szCs w:val="14"/>
                <w:lang w:val="tr-TR"/>
              </w:rPr>
            </w:pPr>
            <w:r w:rsidRPr="00604C75">
              <w:rPr>
                <w:bCs/>
                <w:noProof/>
                <w:sz w:val="14"/>
                <w:szCs w:val="14"/>
                <w:lang w:val="tr-TR"/>
              </w:rPr>
              <w:t>4.1</w:t>
            </w:r>
          </w:p>
        </w:tc>
        <w:tc>
          <w:tcPr>
            <w:tcW w:w="4767" w:type="dxa"/>
            <w:noWrap/>
            <w:tcMar>
              <w:top w:w="18" w:type="dxa"/>
              <w:left w:w="18" w:type="dxa"/>
              <w:bottom w:w="0" w:type="dxa"/>
              <w:right w:w="18" w:type="dxa"/>
            </w:tcMar>
            <w:vAlign w:val="bottom"/>
          </w:tcPr>
          <w:p w14:paraId="4E0BA53D" w14:textId="77777777" w:rsidR="00224102" w:rsidRPr="00604C75" w:rsidRDefault="00224102" w:rsidP="00224102">
            <w:pPr>
              <w:spacing w:line="204" w:lineRule="auto"/>
              <w:rPr>
                <w:bCs/>
                <w:noProof/>
                <w:sz w:val="14"/>
                <w:szCs w:val="14"/>
                <w:lang w:val="tr-TR"/>
              </w:rPr>
            </w:pPr>
            <w:r w:rsidRPr="00604C75">
              <w:rPr>
                <w:bCs/>
                <w:noProof/>
                <w:sz w:val="14"/>
                <w:szCs w:val="14"/>
                <w:lang w:val="tr-TR"/>
              </w:rPr>
              <w:t>Interbank Money Market Placements</w:t>
            </w:r>
          </w:p>
        </w:tc>
        <w:tc>
          <w:tcPr>
            <w:tcW w:w="531" w:type="dxa"/>
            <w:noWrap/>
            <w:tcMar>
              <w:top w:w="18" w:type="dxa"/>
              <w:left w:w="18" w:type="dxa"/>
              <w:bottom w:w="0" w:type="dxa"/>
              <w:right w:w="18" w:type="dxa"/>
            </w:tcMar>
            <w:vAlign w:val="bottom"/>
          </w:tcPr>
          <w:p w14:paraId="2FCEE8B5" w14:textId="5748F078"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2FC22F89" w14:textId="65EB44C1"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47A6750F" w14:textId="25311622"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57E59591" w14:textId="746D238F"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DA7C2B4" w14:textId="28CCC4D1" w:rsidR="00224102" w:rsidRPr="00692926" w:rsidRDefault="00224102" w:rsidP="00224102">
            <w:pPr>
              <w:spacing w:line="221" w:lineRule="auto"/>
              <w:jc w:val="right"/>
              <w:rPr>
                <w:sz w:val="14"/>
                <w:szCs w:val="14"/>
              </w:rPr>
            </w:pPr>
            <w:r w:rsidRPr="00692926">
              <w:rPr>
                <w:sz w:val="14"/>
                <w:szCs w:val="14"/>
              </w:rPr>
              <w:t>6,774</w:t>
            </w:r>
          </w:p>
        </w:tc>
        <w:tc>
          <w:tcPr>
            <w:tcW w:w="659" w:type="dxa"/>
            <w:noWrap/>
            <w:tcMar>
              <w:top w:w="18" w:type="dxa"/>
              <w:left w:w="18" w:type="dxa"/>
              <w:bottom w:w="0" w:type="dxa"/>
              <w:right w:w="18" w:type="dxa"/>
            </w:tcMar>
            <w:vAlign w:val="bottom"/>
          </w:tcPr>
          <w:p w14:paraId="47E543DD" w14:textId="79EC558E"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41695245" w14:textId="29EF27CB" w:rsidR="00224102" w:rsidRPr="00692926" w:rsidRDefault="00224102" w:rsidP="00224102">
            <w:pPr>
              <w:spacing w:line="221" w:lineRule="auto"/>
              <w:jc w:val="right"/>
              <w:rPr>
                <w:sz w:val="14"/>
                <w:szCs w:val="14"/>
              </w:rPr>
            </w:pPr>
            <w:r w:rsidRPr="00692926">
              <w:rPr>
                <w:sz w:val="14"/>
                <w:szCs w:val="14"/>
              </w:rPr>
              <w:t>6,774</w:t>
            </w:r>
          </w:p>
        </w:tc>
      </w:tr>
      <w:tr w:rsidR="00224102" w:rsidRPr="00604C75" w14:paraId="049D1537" w14:textId="77777777" w:rsidTr="00373D13">
        <w:trPr>
          <w:trHeight w:val="75"/>
        </w:trPr>
        <w:tc>
          <w:tcPr>
            <w:tcW w:w="557" w:type="dxa"/>
            <w:noWrap/>
            <w:tcMar>
              <w:top w:w="18" w:type="dxa"/>
              <w:left w:w="18" w:type="dxa"/>
              <w:bottom w:w="0" w:type="dxa"/>
              <w:right w:w="18" w:type="dxa"/>
            </w:tcMar>
            <w:vAlign w:val="bottom"/>
          </w:tcPr>
          <w:p w14:paraId="315BAC68" w14:textId="77777777" w:rsidR="00224102" w:rsidRPr="00604C75" w:rsidRDefault="00224102" w:rsidP="00224102">
            <w:pPr>
              <w:spacing w:line="204" w:lineRule="auto"/>
              <w:rPr>
                <w:bCs/>
                <w:noProof/>
                <w:sz w:val="14"/>
                <w:szCs w:val="14"/>
                <w:lang w:val="tr-TR"/>
              </w:rPr>
            </w:pPr>
            <w:r w:rsidRPr="00604C75">
              <w:rPr>
                <w:bCs/>
                <w:noProof/>
                <w:sz w:val="14"/>
                <w:szCs w:val="14"/>
                <w:lang w:val="tr-TR"/>
              </w:rPr>
              <w:t>4.2</w:t>
            </w:r>
          </w:p>
        </w:tc>
        <w:tc>
          <w:tcPr>
            <w:tcW w:w="4767" w:type="dxa"/>
            <w:noWrap/>
            <w:tcMar>
              <w:top w:w="18" w:type="dxa"/>
              <w:left w:w="18" w:type="dxa"/>
              <w:bottom w:w="0" w:type="dxa"/>
              <w:right w:w="18" w:type="dxa"/>
            </w:tcMar>
            <w:vAlign w:val="bottom"/>
          </w:tcPr>
          <w:p w14:paraId="24F1EFBF" w14:textId="77777777" w:rsidR="00224102" w:rsidRPr="00604C75" w:rsidRDefault="00224102" w:rsidP="00224102">
            <w:pPr>
              <w:spacing w:line="204" w:lineRule="auto"/>
              <w:rPr>
                <w:bCs/>
                <w:noProof/>
                <w:sz w:val="14"/>
                <w:szCs w:val="14"/>
                <w:lang w:val="tr-TR"/>
              </w:rPr>
            </w:pPr>
            <w:r w:rsidRPr="00604C75">
              <w:rPr>
                <w:bCs/>
                <w:noProof/>
                <w:sz w:val="14"/>
                <w:szCs w:val="14"/>
                <w:lang w:val="tr-TR"/>
              </w:rPr>
              <w:t>Receivables from Istanbul Stock Exchange Money Market</w:t>
            </w:r>
          </w:p>
        </w:tc>
        <w:tc>
          <w:tcPr>
            <w:tcW w:w="531" w:type="dxa"/>
            <w:noWrap/>
            <w:tcMar>
              <w:top w:w="18" w:type="dxa"/>
              <w:left w:w="18" w:type="dxa"/>
              <w:bottom w:w="0" w:type="dxa"/>
              <w:right w:w="18" w:type="dxa"/>
            </w:tcMar>
            <w:vAlign w:val="bottom"/>
          </w:tcPr>
          <w:p w14:paraId="708728D2" w14:textId="7D79C16E"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0C35EBDA" w14:textId="7AAD078B" w:rsidR="00224102" w:rsidRPr="00EF6596" w:rsidRDefault="00224102" w:rsidP="00224102">
            <w:pPr>
              <w:jc w:val="right"/>
              <w:rPr>
                <w:sz w:val="14"/>
                <w:szCs w:val="14"/>
              </w:rPr>
            </w:pPr>
            <w:r w:rsidRPr="00EF6596">
              <w:rPr>
                <w:sz w:val="14"/>
                <w:szCs w:val="14"/>
              </w:rPr>
              <w:t>50,017</w:t>
            </w:r>
          </w:p>
        </w:tc>
        <w:tc>
          <w:tcPr>
            <w:tcW w:w="791" w:type="dxa"/>
            <w:noWrap/>
            <w:tcMar>
              <w:top w:w="18" w:type="dxa"/>
              <w:left w:w="18" w:type="dxa"/>
              <w:bottom w:w="0" w:type="dxa"/>
              <w:right w:w="18" w:type="dxa"/>
            </w:tcMar>
            <w:vAlign w:val="bottom"/>
          </w:tcPr>
          <w:p w14:paraId="0BA5C71E" w14:textId="41B90CC3"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71D470DC" w14:textId="63A3C1FE" w:rsidR="00224102" w:rsidRPr="00EF6596" w:rsidRDefault="00224102" w:rsidP="00224102">
            <w:pPr>
              <w:jc w:val="right"/>
              <w:rPr>
                <w:sz w:val="14"/>
                <w:szCs w:val="14"/>
              </w:rPr>
            </w:pPr>
            <w:r w:rsidRPr="00EF6596">
              <w:rPr>
                <w:sz w:val="14"/>
                <w:szCs w:val="14"/>
              </w:rPr>
              <w:t>50,017</w:t>
            </w:r>
          </w:p>
        </w:tc>
        <w:tc>
          <w:tcPr>
            <w:tcW w:w="745" w:type="dxa"/>
            <w:noWrap/>
            <w:tcMar>
              <w:top w:w="18" w:type="dxa"/>
              <w:left w:w="18" w:type="dxa"/>
              <w:bottom w:w="0" w:type="dxa"/>
              <w:right w:w="18" w:type="dxa"/>
            </w:tcMar>
            <w:vAlign w:val="bottom"/>
          </w:tcPr>
          <w:p w14:paraId="7DFA9324" w14:textId="3085F9B8"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10EBC996" w14:textId="3F712471"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40A13C8F" w14:textId="10B00FD1" w:rsidR="00224102" w:rsidRPr="00692926" w:rsidRDefault="00224102" w:rsidP="00224102">
            <w:pPr>
              <w:spacing w:line="221" w:lineRule="auto"/>
              <w:jc w:val="right"/>
              <w:rPr>
                <w:sz w:val="14"/>
                <w:szCs w:val="14"/>
              </w:rPr>
            </w:pPr>
            <w:r w:rsidRPr="00692926">
              <w:rPr>
                <w:sz w:val="14"/>
                <w:szCs w:val="14"/>
              </w:rPr>
              <w:t>-</w:t>
            </w:r>
          </w:p>
        </w:tc>
      </w:tr>
      <w:tr w:rsidR="00224102" w:rsidRPr="00604C75" w14:paraId="6998C1CD" w14:textId="77777777" w:rsidTr="00373D13">
        <w:trPr>
          <w:trHeight w:val="74"/>
        </w:trPr>
        <w:tc>
          <w:tcPr>
            <w:tcW w:w="557" w:type="dxa"/>
            <w:noWrap/>
            <w:tcMar>
              <w:top w:w="18" w:type="dxa"/>
              <w:left w:w="18" w:type="dxa"/>
              <w:bottom w:w="0" w:type="dxa"/>
              <w:right w:w="18" w:type="dxa"/>
            </w:tcMar>
            <w:vAlign w:val="bottom"/>
          </w:tcPr>
          <w:p w14:paraId="19439B9A" w14:textId="77777777" w:rsidR="00224102" w:rsidRPr="00604C75" w:rsidRDefault="00224102" w:rsidP="00224102">
            <w:pPr>
              <w:spacing w:line="204" w:lineRule="auto"/>
              <w:rPr>
                <w:bCs/>
                <w:noProof/>
                <w:sz w:val="14"/>
                <w:szCs w:val="14"/>
                <w:lang w:val="tr-TR"/>
              </w:rPr>
            </w:pPr>
            <w:r w:rsidRPr="00604C75">
              <w:rPr>
                <w:bCs/>
                <w:noProof/>
                <w:sz w:val="14"/>
                <w:szCs w:val="14"/>
                <w:lang w:val="tr-TR"/>
              </w:rPr>
              <w:t>4.3</w:t>
            </w:r>
          </w:p>
        </w:tc>
        <w:tc>
          <w:tcPr>
            <w:tcW w:w="4767" w:type="dxa"/>
            <w:noWrap/>
            <w:tcMar>
              <w:top w:w="18" w:type="dxa"/>
              <w:left w:w="18" w:type="dxa"/>
              <w:bottom w:w="0" w:type="dxa"/>
              <w:right w:w="18" w:type="dxa"/>
            </w:tcMar>
            <w:vAlign w:val="bottom"/>
          </w:tcPr>
          <w:p w14:paraId="51B51466" w14:textId="77777777" w:rsidR="00224102" w:rsidRPr="00604C75" w:rsidRDefault="00224102" w:rsidP="00224102">
            <w:pPr>
              <w:spacing w:line="204" w:lineRule="auto"/>
              <w:rPr>
                <w:bCs/>
                <w:noProof/>
                <w:sz w:val="14"/>
                <w:szCs w:val="14"/>
                <w:lang w:val="tr-TR"/>
              </w:rPr>
            </w:pPr>
            <w:r w:rsidRPr="00604C75">
              <w:rPr>
                <w:bCs/>
                <w:noProof/>
                <w:sz w:val="14"/>
                <w:szCs w:val="14"/>
                <w:lang w:val="tr-TR"/>
              </w:rPr>
              <w:t>Receivables from Reverse Repurchase Agreements</w:t>
            </w:r>
          </w:p>
        </w:tc>
        <w:tc>
          <w:tcPr>
            <w:tcW w:w="531" w:type="dxa"/>
            <w:noWrap/>
            <w:tcMar>
              <w:top w:w="18" w:type="dxa"/>
              <w:left w:w="18" w:type="dxa"/>
              <w:bottom w:w="0" w:type="dxa"/>
              <w:right w:w="18" w:type="dxa"/>
            </w:tcMar>
            <w:vAlign w:val="bottom"/>
          </w:tcPr>
          <w:p w14:paraId="2ADC6266" w14:textId="39193688"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63B7B89F" w14:textId="4CE12E27" w:rsidR="00224102" w:rsidRPr="00EF6596" w:rsidRDefault="00224102" w:rsidP="00224102">
            <w:pPr>
              <w:jc w:val="right"/>
              <w:rPr>
                <w:sz w:val="14"/>
                <w:szCs w:val="14"/>
              </w:rPr>
            </w:pPr>
            <w:r w:rsidRPr="00EF6596">
              <w:rPr>
                <w:sz w:val="14"/>
                <w:szCs w:val="14"/>
              </w:rPr>
              <w:t>300,088</w:t>
            </w:r>
          </w:p>
        </w:tc>
        <w:tc>
          <w:tcPr>
            <w:tcW w:w="791" w:type="dxa"/>
            <w:noWrap/>
            <w:tcMar>
              <w:top w:w="18" w:type="dxa"/>
              <w:left w:w="18" w:type="dxa"/>
              <w:bottom w:w="0" w:type="dxa"/>
              <w:right w:w="18" w:type="dxa"/>
            </w:tcMar>
            <w:vAlign w:val="bottom"/>
          </w:tcPr>
          <w:p w14:paraId="1A32963D" w14:textId="26E410EF"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1BA59E9" w14:textId="0916D54D" w:rsidR="00224102" w:rsidRPr="00EF6596" w:rsidRDefault="00224102" w:rsidP="00224102">
            <w:pPr>
              <w:jc w:val="right"/>
              <w:rPr>
                <w:sz w:val="14"/>
                <w:szCs w:val="14"/>
              </w:rPr>
            </w:pPr>
            <w:r w:rsidRPr="00EF6596">
              <w:rPr>
                <w:sz w:val="14"/>
                <w:szCs w:val="14"/>
              </w:rPr>
              <w:t>300,088</w:t>
            </w:r>
          </w:p>
        </w:tc>
        <w:tc>
          <w:tcPr>
            <w:tcW w:w="745" w:type="dxa"/>
            <w:noWrap/>
            <w:tcMar>
              <w:top w:w="18" w:type="dxa"/>
              <w:left w:w="18" w:type="dxa"/>
              <w:bottom w:w="0" w:type="dxa"/>
              <w:right w:w="18" w:type="dxa"/>
            </w:tcMar>
            <w:vAlign w:val="bottom"/>
          </w:tcPr>
          <w:p w14:paraId="0517F885" w14:textId="776D1953"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03A5B4A0" w14:textId="2CFF74E2"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070F1B58" w14:textId="5F594E76" w:rsidR="00224102" w:rsidRPr="00692926" w:rsidRDefault="00224102" w:rsidP="00224102">
            <w:pPr>
              <w:spacing w:line="221" w:lineRule="auto"/>
              <w:jc w:val="right"/>
              <w:rPr>
                <w:sz w:val="14"/>
                <w:szCs w:val="14"/>
              </w:rPr>
            </w:pPr>
            <w:r w:rsidRPr="00692926">
              <w:rPr>
                <w:sz w:val="14"/>
                <w:szCs w:val="14"/>
              </w:rPr>
              <w:t>-</w:t>
            </w:r>
          </w:p>
        </w:tc>
      </w:tr>
      <w:tr w:rsidR="00224102" w:rsidRPr="00604C75" w14:paraId="7A0D9841" w14:textId="77777777" w:rsidTr="00373D13">
        <w:trPr>
          <w:trHeight w:val="72"/>
        </w:trPr>
        <w:tc>
          <w:tcPr>
            <w:tcW w:w="557" w:type="dxa"/>
            <w:noWrap/>
            <w:tcMar>
              <w:top w:w="18" w:type="dxa"/>
              <w:left w:w="18" w:type="dxa"/>
              <w:bottom w:w="0" w:type="dxa"/>
              <w:right w:w="18" w:type="dxa"/>
            </w:tcMar>
            <w:vAlign w:val="bottom"/>
          </w:tcPr>
          <w:p w14:paraId="244FD693"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V.</w:t>
            </w:r>
          </w:p>
        </w:tc>
        <w:tc>
          <w:tcPr>
            <w:tcW w:w="4767" w:type="dxa"/>
            <w:noWrap/>
            <w:tcMar>
              <w:top w:w="18" w:type="dxa"/>
              <w:left w:w="18" w:type="dxa"/>
              <w:bottom w:w="0" w:type="dxa"/>
              <w:right w:w="18" w:type="dxa"/>
            </w:tcMar>
            <w:vAlign w:val="bottom"/>
          </w:tcPr>
          <w:p w14:paraId="25E79DF8"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 xml:space="preserve">FINANCIAL ASSETS AVAILABLE-FOR-SALE (Net)  </w:t>
            </w:r>
          </w:p>
        </w:tc>
        <w:tc>
          <w:tcPr>
            <w:tcW w:w="531" w:type="dxa"/>
            <w:noWrap/>
            <w:tcMar>
              <w:top w:w="18" w:type="dxa"/>
              <w:left w:w="18" w:type="dxa"/>
              <w:bottom w:w="0" w:type="dxa"/>
              <w:right w:w="18" w:type="dxa"/>
            </w:tcMar>
            <w:vAlign w:val="bottom"/>
          </w:tcPr>
          <w:p w14:paraId="41A40165" w14:textId="1D10600A"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I-d</w:t>
            </w:r>
          </w:p>
        </w:tc>
        <w:tc>
          <w:tcPr>
            <w:tcW w:w="630" w:type="dxa"/>
            <w:noWrap/>
            <w:tcMar>
              <w:top w:w="18" w:type="dxa"/>
              <w:left w:w="18" w:type="dxa"/>
              <w:bottom w:w="0" w:type="dxa"/>
              <w:right w:w="18" w:type="dxa"/>
            </w:tcMar>
            <w:vAlign w:val="bottom"/>
          </w:tcPr>
          <w:p w14:paraId="4BD65269" w14:textId="7B76F3AC" w:rsidR="00224102" w:rsidRPr="00EF6596" w:rsidRDefault="00224102" w:rsidP="00224102">
            <w:pPr>
              <w:jc w:val="right"/>
              <w:rPr>
                <w:b/>
                <w:bCs/>
                <w:sz w:val="14"/>
                <w:szCs w:val="14"/>
              </w:rPr>
            </w:pPr>
            <w:r w:rsidRPr="00EF6596">
              <w:rPr>
                <w:b/>
                <w:bCs/>
                <w:sz w:val="14"/>
                <w:szCs w:val="14"/>
              </w:rPr>
              <w:t>354,939</w:t>
            </w:r>
          </w:p>
        </w:tc>
        <w:tc>
          <w:tcPr>
            <w:tcW w:w="791" w:type="dxa"/>
            <w:noWrap/>
            <w:tcMar>
              <w:top w:w="18" w:type="dxa"/>
              <w:left w:w="18" w:type="dxa"/>
              <w:bottom w:w="0" w:type="dxa"/>
              <w:right w:w="18" w:type="dxa"/>
            </w:tcMar>
            <w:vAlign w:val="bottom"/>
          </w:tcPr>
          <w:p w14:paraId="7824745C" w14:textId="47B22167" w:rsidR="00224102" w:rsidRPr="00EF6596" w:rsidRDefault="00224102" w:rsidP="00224102">
            <w:pPr>
              <w:jc w:val="right"/>
              <w:rPr>
                <w:b/>
                <w:bCs/>
                <w:sz w:val="14"/>
                <w:szCs w:val="14"/>
              </w:rPr>
            </w:pPr>
            <w:r w:rsidRPr="00EF6596">
              <w:rPr>
                <w:b/>
                <w:bCs/>
                <w:sz w:val="14"/>
                <w:szCs w:val="14"/>
              </w:rPr>
              <w:t>462,164</w:t>
            </w:r>
          </w:p>
        </w:tc>
        <w:tc>
          <w:tcPr>
            <w:tcW w:w="745" w:type="dxa"/>
            <w:noWrap/>
            <w:tcMar>
              <w:top w:w="18" w:type="dxa"/>
              <w:left w:w="18" w:type="dxa"/>
              <w:bottom w:w="0" w:type="dxa"/>
              <w:right w:w="18" w:type="dxa"/>
            </w:tcMar>
            <w:vAlign w:val="bottom"/>
          </w:tcPr>
          <w:p w14:paraId="2990F50B" w14:textId="12890DDE" w:rsidR="00224102" w:rsidRPr="00EF6596" w:rsidRDefault="00224102" w:rsidP="00224102">
            <w:pPr>
              <w:jc w:val="right"/>
              <w:rPr>
                <w:b/>
                <w:bCs/>
                <w:sz w:val="14"/>
                <w:szCs w:val="14"/>
              </w:rPr>
            </w:pPr>
            <w:r w:rsidRPr="00EF6596">
              <w:rPr>
                <w:b/>
                <w:bCs/>
                <w:sz w:val="14"/>
                <w:szCs w:val="14"/>
              </w:rPr>
              <w:t>817,103</w:t>
            </w:r>
          </w:p>
        </w:tc>
        <w:tc>
          <w:tcPr>
            <w:tcW w:w="745" w:type="dxa"/>
            <w:noWrap/>
            <w:tcMar>
              <w:top w:w="18" w:type="dxa"/>
              <w:left w:w="18" w:type="dxa"/>
              <w:bottom w:w="0" w:type="dxa"/>
              <w:right w:w="18" w:type="dxa"/>
            </w:tcMar>
            <w:vAlign w:val="bottom"/>
          </w:tcPr>
          <w:p w14:paraId="39157825" w14:textId="3F836ADF" w:rsidR="00224102" w:rsidRPr="00692926" w:rsidRDefault="00224102" w:rsidP="00224102">
            <w:pPr>
              <w:spacing w:line="221" w:lineRule="auto"/>
              <w:jc w:val="right"/>
              <w:rPr>
                <w:b/>
                <w:sz w:val="14"/>
                <w:szCs w:val="14"/>
              </w:rPr>
            </w:pPr>
            <w:r w:rsidRPr="00692926">
              <w:rPr>
                <w:b/>
                <w:sz w:val="14"/>
                <w:szCs w:val="14"/>
              </w:rPr>
              <w:t>791,737</w:t>
            </w:r>
          </w:p>
        </w:tc>
        <w:tc>
          <w:tcPr>
            <w:tcW w:w="659" w:type="dxa"/>
            <w:noWrap/>
            <w:tcMar>
              <w:top w:w="18" w:type="dxa"/>
              <w:left w:w="18" w:type="dxa"/>
              <w:bottom w:w="0" w:type="dxa"/>
              <w:right w:w="18" w:type="dxa"/>
            </w:tcMar>
            <w:vAlign w:val="bottom"/>
          </w:tcPr>
          <w:p w14:paraId="07AEF26B" w14:textId="51DAD27F" w:rsidR="00224102" w:rsidRPr="00692926" w:rsidRDefault="00224102" w:rsidP="00224102">
            <w:pPr>
              <w:spacing w:line="221" w:lineRule="auto"/>
              <w:jc w:val="right"/>
              <w:rPr>
                <w:b/>
                <w:sz w:val="14"/>
                <w:szCs w:val="14"/>
              </w:rPr>
            </w:pPr>
            <w:r w:rsidRPr="00692926">
              <w:rPr>
                <w:b/>
                <w:sz w:val="14"/>
                <w:szCs w:val="14"/>
              </w:rPr>
              <w:t>104,371</w:t>
            </w:r>
          </w:p>
        </w:tc>
        <w:tc>
          <w:tcPr>
            <w:tcW w:w="686" w:type="dxa"/>
            <w:noWrap/>
            <w:tcMar>
              <w:top w:w="18" w:type="dxa"/>
              <w:left w:w="18" w:type="dxa"/>
              <w:bottom w:w="0" w:type="dxa"/>
              <w:right w:w="18" w:type="dxa"/>
            </w:tcMar>
            <w:vAlign w:val="bottom"/>
          </w:tcPr>
          <w:p w14:paraId="5D96B794" w14:textId="32E5F1E5" w:rsidR="00224102" w:rsidRPr="00692926" w:rsidRDefault="00224102" w:rsidP="00224102">
            <w:pPr>
              <w:spacing w:line="221" w:lineRule="auto"/>
              <w:jc w:val="right"/>
              <w:rPr>
                <w:b/>
                <w:sz w:val="14"/>
                <w:szCs w:val="14"/>
              </w:rPr>
            </w:pPr>
            <w:r w:rsidRPr="00692926">
              <w:rPr>
                <w:b/>
                <w:sz w:val="14"/>
                <w:szCs w:val="14"/>
              </w:rPr>
              <w:t>896,108</w:t>
            </w:r>
          </w:p>
        </w:tc>
      </w:tr>
      <w:tr w:rsidR="00224102" w:rsidRPr="00604C75" w14:paraId="2AD974CD" w14:textId="77777777" w:rsidTr="00373D13">
        <w:trPr>
          <w:trHeight w:val="72"/>
        </w:trPr>
        <w:tc>
          <w:tcPr>
            <w:tcW w:w="557" w:type="dxa"/>
            <w:noWrap/>
            <w:tcMar>
              <w:top w:w="18" w:type="dxa"/>
              <w:left w:w="18" w:type="dxa"/>
              <w:bottom w:w="0" w:type="dxa"/>
              <w:right w:w="18" w:type="dxa"/>
            </w:tcMar>
            <w:vAlign w:val="bottom"/>
          </w:tcPr>
          <w:p w14:paraId="7697009A" w14:textId="77777777" w:rsidR="00224102" w:rsidRPr="00604C75" w:rsidRDefault="00224102" w:rsidP="00224102">
            <w:pPr>
              <w:spacing w:line="204" w:lineRule="auto"/>
              <w:rPr>
                <w:bCs/>
                <w:noProof/>
                <w:sz w:val="14"/>
                <w:szCs w:val="14"/>
                <w:lang w:val="tr-TR"/>
              </w:rPr>
            </w:pPr>
            <w:r w:rsidRPr="00604C75">
              <w:rPr>
                <w:bCs/>
                <w:noProof/>
                <w:sz w:val="14"/>
                <w:szCs w:val="14"/>
                <w:lang w:val="tr-TR"/>
              </w:rPr>
              <w:t>5.1</w:t>
            </w:r>
          </w:p>
        </w:tc>
        <w:tc>
          <w:tcPr>
            <w:tcW w:w="4767" w:type="dxa"/>
            <w:noWrap/>
            <w:tcMar>
              <w:top w:w="18" w:type="dxa"/>
              <w:left w:w="18" w:type="dxa"/>
              <w:bottom w:w="0" w:type="dxa"/>
              <w:right w:w="18" w:type="dxa"/>
            </w:tcMar>
            <w:vAlign w:val="bottom"/>
          </w:tcPr>
          <w:p w14:paraId="19FF120D" w14:textId="77777777" w:rsidR="00224102" w:rsidRPr="00604C75" w:rsidRDefault="00224102" w:rsidP="00224102">
            <w:pPr>
              <w:spacing w:line="204" w:lineRule="auto"/>
              <w:rPr>
                <w:bCs/>
                <w:noProof/>
                <w:sz w:val="14"/>
                <w:szCs w:val="14"/>
                <w:lang w:val="tr-TR"/>
              </w:rPr>
            </w:pPr>
            <w:r w:rsidRPr="00604C75">
              <w:rPr>
                <w:bCs/>
                <w:noProof/>
                <w:sz w:val="14"/>
                <w:szCs w:val="14"/>
                <w:lang w:val="tr-TR"/>
              </w:rPr>
              <w:t>Share Certificates</w:t>
            </w:r>
          </w:p>
        </w:tc>
        <w:tc>
          <w:tcPr>
            <w:tcW w:w="531" w:type="dxa"/>
            <w:noWrap/>
            <w:tcMar>
              <w:top w:w="18" w:type="dxa"/>
              <w:left w:w="18" w:type="dxa"/>
              <w:bottom w:w="0" w:type="dxa"/>
              <w:right w:w="18" w:type="dxa"/>
            </w:tcMar>
            <w:vAlign w:val="bottom"/>
          </w:tcPr>
          <w:p w14:paraId="69644B2C" w14:textId="170AA25E"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47A4B7A4" w14:textId="0451B959" w:rsidR="00224102" w:rsidRPr="00EF6596" w:rsidRDefault="00224102" w:rsidP="00224102">
            <w:pPr>
              <w:jc w:val="right"/>
              <w:rPr>
                <w:sz w:val="14"/>
                <w:szCs w:val="14"/>
              </w:rPr>
            </w:pPr>
            <w:r w:rsidRPr="00EF6596">
              <w:rPr>
                <w:sz w:val="14"/>
                <w:szCs w:val="14"/>
              </w:rPr>
              <w:t>5,882</w:t>
            </w:r>
          </w:p>
        </w:tc>
        <w:tc>
          <w:tcPr>
            <w:tcW w:w="791" w:type="dxa"/>
            <w:noWrap/>
            <w:tcMar>
              <w:top w:w="18" w:type="dxa"/>
              <w:left w:w="18" w:type="dxa"/>
              <w:bottom w:w="0" w:type="dxa"/>
              <w:right w:w="18" w:type="dxa"/>
            </w:tcMar>
            <w:vAlign w:val="bottom"/>
          </w:tcPr>
          <w:p w14:paraId="1525F48F" w14:textId="1373E8D4"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6C23CD97" w14:textId="0651BD13" w:rsidR="00224102" w:rsidRPr="00EF6596" w:rsidRDefault="00224102" w:rsidP="00224102">
            <w:pPr>
              <w:jc w:val="right"/>
              <w:rPr>
                <w:sz w:val="14"/>
                <w:szCs w:val="14"/>
              </w:rPr>
            </w:pPr>
            <w:r w:rsidRPr="00EF6596">
              <w:rPr>
                <w:sz w:val="14"/>
                <w:szCs w:val="14"/>
              </w:rPr>
              <w:t>5,882</w:t>
            </w:r>
          </w:p>
        </w:tc>
        <w:tc>
          <w:tcPr>
            <w:tcW w:w="745" w:type="dxa"/>
            <w:noWrap/>
            <w:tcMar>
              <w:top w:w="18" w:type="dxa"/>
              <w:left w:w="18" w:type="dxa"/>
              <w:bottom w:w="0" w:type="dxa"/>
              <w:right w:w="18" w:type="dxa"/>
            </w:tcMar>
            <w:vAlign w:val="bottom"/>
          </w:tcPr>
          <w:p w14:paraId="34930A2D" w14:textId="1292A125" w:rsidR="00224102" w:rsidRPr="00692926" w:rsidRDefault="00224102" w:rsidP="00224102">
            <w:pPr>
              <w:spacing w:line="221" w:lineRule="auto"/>
              <w:jc w:val="right"/>
              <w:rPr>
                <w:sz w:val="14"/>
                <w:szCs w:val="14"/>
              </w:rPr>
            </w:pPr>
            <w:r w:rsidRPr="00692926">
              <w:rPr>
                <w:sz w:val="14"/>
                <w:szCs w:val="14"/>
              </w:rPr>
              <w:t>161</w:t>
            </w:r>
          </w:p>
        </w:tc>
        <w:tc>
          <w:tcPr>
            <w:tcW w:w="659" w:type="dxa"/>
            <w:noWrap/>
            <w:tcMar>
              <w:top w:w="18" w:type="dxa"/>
              <w:left w:w="18" w:type="dxa"/>
              <w:bottom w:w="0" w:type="dxa"/>
              <w:right w:w="18" w:type="dxa"/>
            </w:tcMar>
            <w:vAlign w:val="bottom"/>
          </w:tcPr>
          <w:p w14:paraId="07FA1E9E" w14:textId="1994E878"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217544B4" w14:textId="2401B571" w:rsidR="00224102" w:rsidRPr="00692926" w:rsidRDefault="00224102" w:rsidP="00224102">
            <w:pPr>
              <w:spacing w:line="221" w:lineRule="auto"/>
              <w:jc w:val="right"/>
              <w:rPr>
                <w:sz w:val="14"/>
                <w:szCs w:val="14"/>
              </w:rPr>
            </w:pPr>
            <w:r w:rsidRPr="00692926">
              <w:rPr>
                <w:sz w:val="14"/>
                <w:szCs w:val="14"/>
              </w:rPr>
              <w:t>161</w:t>
            </w:r>
          </w:p>
        </w:tc>
      </w:tr>
      <w:tr w:rsidR="00224102" w:rsidRPr="00604C75" w14:paraId="02FEA845" w14:textId="77777777" w:rsidTr="00373D13">
        <w:trPr>
          <w:trHeight w:val="72"/>
        </w:trPr>
        <w:tc>
          <w:tcPr>
            <w:tcW w:w="557" w:type="dxa"/>
            <w:noWrap/>
            <w:tcMar>
              <w:top w:w="18" w:type="dxa"/>
              <w:left w:w="18" w:type="dxa"/>
              <w:bottom w:w="0" w:type="dxa"/>
              <w:right w:w="18" w:type="dxa"/>
            </w:tcMar>
            <w:vAlign w:val="bottom"/>
          </w:tcPr>
          <w:p w14:paraId="736293EB" w14:textId="77777777" w:rsidR="00224102" w:rsidRPr="00604C75" w:rsidRDefault="00224102" w:rsidP="00224102">
            <w:pPr>
              <w:spacing w:line="204" w:lineRule="auto"/>
              <w:rPr>
                <w:bCs/>
                <w:noProof/>
                <w:sz w:val="14"/>
                <w:szCs w:val="14"/>
                <w:lang w:val="tr-TR"/>
              </w:rPr>
            </w:pPr>
            <w:r w:rsidRPr="00604C75">
              <w:rPr>
                <w:bCs/>
                <w:noProof/>
                <w:sz w:val="14"/>
                <w:szCs w:val="14"/>
                <w:lang w:val="tr-TR"/>
              </w:rPr>
              <w:t>5.2</w:t>
            </w:r>
          </w:p>
        </w:tc>
        <w:tc>
          <w:tcPr>
            <w:tcW w:w="4767" w:type="dxa"/>
            <w:noWrap/>
            <w:tcMar>
              <w:top w:w="18" w:type="dxa"/>
              <w:left w:w="18" w:type="dxa"/>
              <w:bottom w:w="0" w:type="dxa"/>
              <w:right w:w="18" w:type="dxa"/>
            </w:tcMar>
            <w:vAlign w:val="bottom"/>
          </w:tcPr>
          <w:p w14:paraId="27D18819" w14:textId="77777777" w:rsidR="00224102" w:rsidRPr="00604C75" w:rsidRDefault="00224102" w:rsidP="00224102">
            <w:pPr>
              <w:spacing w:line="204" w:lineRule="auto"/>
              <w:rPr>
                <w:bCs/>
                <w:noProof/>
                <w:sz w:val="14"/>
                <w:szCs w:val="14"/>
                <w:lang w:val="tr-TR"/>
              </w:rPr>
            </w:pPr>
            <w:r w:rsidRPr="00604C75">
              <w:rPr>
                <w:bCs/>
                <w:noProof/>
                <w:sz w:val="14"/>
                <w:szCs w:val="14"/>
                <w:lang w:val="tr-TR"/>
              </w:rPr>
              <w:t>Government Debt Securities</w:t>
            </w:r>
          </w:p>
        </w:tc>
        <w:tc>
          <w:tcPr>
            <w:tcW w:w="531" w:type="dxa"/>
            <w:noWrap/>
            <w:tcMar>
              <w:top w:w="18" w:type="dxa"/>
              <w:left w:w="18" w:type="dxa"/>
              <w:bottom w:w="0" w:type="dxa"/>
              <w:right w:w="18" w:type="dxa"/>
            </w:tcMar>
            <w:vAlign w:val="bottom"/>
          </w:tcPr>
          <w:p w14:paraId="2C5EE5F3" w14:textId="3EC28A9D"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4FA85DF7" w14:textId="6F955BF2" w:rsidR="00224102" w:rsidRPr="00EF6596" w:rsidRDefault="00224102" w:rsidP="00224102">
            <w:pPr>
              <w:jc w:val="right"/>
              <w:rPr>
                <w:sz w:val="14"/>
                <w:szCs w:val="14"/>
              </w:rPr>
            </w:pPr>
            <w:r w:rsidRPr="00EF6596">
              <w:rPr>
                <w:sz w:val="14"/>
                <w:szCs w:val="14"/>
              </w:rPr>
              <w:t>343,916</w:t>
            </w:r>
          </w:p>
        </w:tc>
        <w:tc>
          <w:tcPr>
            <w:tcW w:w="791" w:type="dxa"/>
            <w:noWrap/>
            <w:tcMar>
              <w:top w:w="18" w:type="dxa"/>
              <w:left w:w="18" w:type="dxa"/>
              <w:bottom w:w="0" w:type="dxa"/>
              <w:right w:w="18" w:type="dxa"/>
            </w:tcMar>
            <w:vAlign w:val="bottom"/>
          </w:tcPr>
          <w:p w14:paraId="09299989" w14:textId="0DDF218D" w:rsidR="00224102" w:rsidRPr="00EF6596" w:rsidRDefault="00224102" w:rsidP="00224102">
            <w:pPr>
              <w:jc w:val="right"/>
              <w:rPr>
                <w:sz w:val="14"/>
                <w:szCs w:val="14"/>
              </w:rPr>
            </w:pPr>
            <w:r w:rsidRPr="00EF6596">
              <w:rPr>
                <w:sz w:val="14"/>
                <w:szCs w:val="14"/>
              </w:rPr>
              <w:t>323,156</w:t>
            </w:r>
          </w:p>
        </w:tc>
        <w:tc>
          <w:tcPr>
            <w:tcW w:w="745" w:type="dxa"/>
            <w:noWrap/>
            <w:tcMar>
              <w:top w:w="18" w:type="dxa"/>
              <w:left w:w="18" w:type="dxa"/>
              <w:bottom w:w="0" w:type="dxa"/>
              <w:right w:w="18" w:type="dxa"/>
            </w:tcMar>
            <w:vAlign w:val="bottom"/>
          </w:tcPr>
          <w:p w14:paraId="1BF3D737" w14:textId="3A523362" w:rsidR="00224102" w:rsidRPr="00EF6596" w:rsidRDefault="00224102" w:rsidP="00224102">
            <w:pPr>
              <w:jc w:val="right"/>
              <w:rPr>
                <w:sz w:val="14"/>
                <w:szCs w:val="14"/>
              </w:rPr>
            </w:pPr>
            <w:r w:rsidRPr="00EF6596">
              <w:rPr>
                <w:sz w:val="14"/>
                <w:szCs w:val="14"/>
              </w:rPr>
              <w:t>667,072</w:t>
            </w:r>
          </w:p>
        </w:tc>
        <w:tc>
          <w:tcPr>
            <w:tcW w:w="745" w:type="dxa"/>
            <w:noWrap/>
            <w:tcMar>
              <w:top w:w="18" w:type="dxa"/>
              <w:left w:w="18" w:type="dxa"/>
              <w:bottom w:w="0" w:type="dxa"/>
              <w:right w:w="18" w:type="dxa"/>
            </w:tcMar>
            <w:vAlign w:val="bottom"/>
          </w:tcPr>
          <w:p w14:paraId="74942687" w14:textId="0E1C1977" w:rsidR="00224102" w:rsidRPr="00692926" w:rsidRDefault="00224102" w:rsidP="00224102">
            <w:pPr>
              <w:spacing w:line="221" w:lineRule="auto"/>
              <w:jc w:val="right"/>
              <w:rPr>
                <w:sz w:val="14"/>
                <w:szCs w:val="14"/>
              </w:rPr>
            </w:pPr>
            <w:r w:rsidRPr="00692926">
              <w:rPr>
                <w:sz w:val="14"/>
                <w:szCs w:val="14"/>
              </w:rPr>
              <w:t>791,574</w:t>
            </w:r>
          </w:p>
        </w:tc>
        <w:tc>
          <w:tcPr>
            <w:tcW w:w="659" w:type="dxa"/>
            <w:noWrap/>
            <w:tcMar>
              <w:top w:w="18" w:type="dxa"/>
              <w:left w:w="18" w:type="dxa"/>
              <w:bottom w:w="0" w:type="dxa"/>
              <w:right w:w="18" w:type="dxa"/>
            </w:tcMar>
            <w:vAlign w:val="bottom"/>
          </w:tcPr>
          <w:p w14:paraId="7297092B" w14:textId="75F705CE" w:rsidR="00224102" w:rsidRPr="00692926" w:rsidRDefault="00224102" w:rsidP="00224102">
            <w:pPr>
              <w:spacing w:line="221" w:lineRule="auto"/>
              <w:jc w:val="right"/>
              <w:rPr>
                <w:sz w:val="14"/>
                <w:szCs w:val="14"/>
              </w:rPr>
            </w:pPr>
            <w:r w:rsidRPr="00692926">
              <w:rPr>
                <w:sz w:val="14"/>
                <w:szCs w:val="14"/>
              </w:rPr>
              <w:t>104,371</w:t>
            </w:r>
          </w:p>
        </w:tc>
        <w:tc>
          <w:tcPr>
            <w:tcW w:w="686" w:type="dxa"/>
            <w:noWrap/>
            <w:tcMar>
              <w:top w:w="18" w:type="dxa"/>
              <w:left w:w="18" w:type="dxa"/>
              <w:bottom w:w="0" w:type="dxa"/>
              <w:right w:w="18" w:type="dxa"/>
            </w:tcMar>
            <w:vAlign w:val="bottom"/>
          </w:tcPr>
          <w:p w14:paraId="2747A7D7" w14:textId="3286265E" w:rsidR="00224102" w:rsidRPr="00692926" w:rsidRDefault="00224102" w:rsidP="00224102">
            <w:pPr>
              <w:spacing w:line="221" w:lineRule="auto"/>
              <w:jc w:val="right"/>
              <w:rPr>
                <w:sz w:val="14"/>
                <w:szCs w:val="14"/>
              </w:rPr>
            </w:pPr>
            <w:r w:rsidRPr="00692926">
              <w:rPr>
                <w:sz w:val="14"/>
                <w:szCs w:val="14"/>
              </w:rPr>
              <w:t>895,945</w:t>
            </w:r>
          </w:p>
        </w:tc>
      </w:tr>
      <w:tr w:rsidR="00224102" w:rsidRPr="00604C75" w14:paraId="63656F9A" w14:textId="77777777" w:rsidTr="00373D13">
        <w:trPr>
          <w:trHeight w:val="72"/>
        </w:trPr>
        <w:tc>
          <w:tcPr>
            <w:tcW w:w="557" w:type="dxa"/>
            <w:noWrap/>
            <w:tcMar>
              <w:top w:w="18" w:type="dxa"/>
              <w:left w:w="18" w:type="dxa"/>
              <w:bottom w:w="0" w:type="dxa"/>
              <w:right w:w="18" w:type="dxa"/>
            </w:tcMar>
            <w:vAlign w:val="bottom"/>
          </w:tcPr>
          <w:p w14:paraId="7E8A0547" w14:textId="77777777" w:rsidR="00224102" w:rsidRPr="00604C75" w:rsidRDefault="00224102" w:rsidP="00224102">
            <w:pPr>
              <w:spacing w:line="204" w:lineRule="auto"/>
              <w:rPr>
                <w:bCs/>
                <w:noProof/>
                <w:sz w:val="14"/>
                <w:szCs w:val="14"/>
                <w:lang w:val="tr-TR"/>
              </w:rPr>
            </w:pPr>
            <w:r w:rsidRPr="00604C75">
              <w:rPr>
                <w:bCs/>
                <w:noProof/>
                <w:sz w:val="14"/>
                <w:szCs w:val="14"/>
                <w:lang w:val="tr-TR"/>
              </w:rPr>
              <w:t>5.3</w:t>
            </w:r>
          </w:p>
        </w:tc>
        <w:tc>
          <w:tcPr>
            <w:tcW w:w="4767" w:type="dxa"/>
            <w:noWrap/>
            <w:tcMar>
              <w:top w:w="18" w:type="dxa"/>
              <w:left w:w="18" w:type="dxa"/>
              <w:bottom w:w="0" w:type="dxa"/>
              <w:right w:w="18" w:type="dxa"/>
            </w:tcMar>
            <w:vAlign w:val="bottom"/>
          </w:tcPr>
          <w:p w14:paraId="0FF96710" w14:textId="77777777" w:rsidR="00224102" w:rsidRPr="00604C75" w:rsidRDefault="00224102" w:rsidP="00224102">
            <w:pPr>
              <w:spacing w:line="204" w:lineRule="auto"/>
              <w:rPr>
                <w:bCs/>
                <w:noProof/>
                <w:sz w:val="14"/>
                <w:szCs w:val="14"/>
                <w:lang w:val="tr-TR"/>
              </w:rPr>
            </w:pPr>
            <w:r w:rsidRPr="00604C75">
              <w:rPr>
                <w:bCs/>
                <w:noProof/>
                <w:sz w:val="14"/>
                <w:szCs w:val="14"/>
                <w:lang w:val="tr-TR"/>
              </w:rPr>
              <w:t>Other Marketable Securities</w:t>
            </w:r>
          </w:p>
        </w:tc>
        <w:tc>
          <w:tcPr>
            <w:tcW w:w="531" w:type="dxa"/>
            <w:noWrap/>
            <w:tcMar>
              <w:top w:w="18" w:type="dxa"/>
              <w:left w:w="18" w:type="dxa"/>
              <w:bottom w:w="0" w:type="dxa"/>
              <w:right w:w="18" w:type="dxa"/>
            </w:tcMar>
            <w:vAlign w:val="bottom"/>
          </w:tcPr>
          <w:p w14:paraId="6DF39B5D" w14:textId="39B303A5"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59C34B9" w14:textId="02394BB3" w:rsidR="00224102" w:rsidRPr="00EF6596" w:rsidRDefault="00224102" w:rsidP="00224102">
            <w:pPr>
              <w:jc w:val="right"/>
              <w:rPr>
                <w:sz w:val="14"/>
                <w:szCs w:val="14"/>
              </w:rPr>
            </w:pPr>
            <w:r w:rsidRPr="00EF6596">
              <w:rPr>
                <w:sz w:val="14"/>
                <w:szCs w:val="14"/>
              </w:rPr>
              <w:t>5,141</w:t>
            </w:r>
          </w:p>
        </w:tc>
        <w:tc>
          <w:tcPr>
            <w:tcW w:w="791" w:type="dxa"/>
            <w:noWrap/>
            <w:tcMar>
              <w:top w:w="18" w:type="dxa"/>
              <w:left w:w="18" w:type="dxa"/>
              <w:bottom w:w="0" w:type="dxa"/>
              <w:right w:w="18" w:type="dxa"/>
            </w:tcMar>
            <w:vAlign w:val="bottom"/>
          </w:tcPr>
          <w:p w14:paraId="449F7373" w14:textId="56225E64" w:rsidR="00224102" w:rsidRPr="00EF6596" w:rsidRDefault="00224102" w:rsidP="00224102">
            <w:pPr>
              <w:jc w:val="right"/>
              <w:rPr>
                <w:sz w:val="14"/>
                <w:szCs w:val="14"/>
              </w:rPr>
            </w:pPr>
            <w:r w:rsidRPr="00EF6596">
              <w:rPr>
                <w:sz w:val="14"/>
                <w:szCs w:val="14"/>
              </w:rPr>
              <w:t>139,008</w:t>
            </w:r>
          </w:p>
        </w:tc>
        <w:tc>
          <w:tcPr>
            <w:tcW w:w="745" w:type="dxa"/>
            <w:noWrap/>
            <w:tcMar>
              <w:top w:w="18" w:type="dxa"/>
              <w:left w:w="18" w:type="dxa"/>
              <w:bottom w:w="0" w:type="dxa"/>
              <w:right w:w="18" w:type="dxa"/>
            </w:tcMar>
            <w:vAlign w:val="bottom"/>
          </w:tcPr>
          <w:p w14:paraId="341CDF3D" w14:textId="39F3BCAC" w:rsidR="00224102" w:rsidRPr="00EF6596" w:rsidRDefault="00224102" w:rsidP="00224102">
            <w:pPr>
              <w:jc w:val="right"/>
              <w:rPr>
                <w:sz w:val="14"/>
                <w:szCs w:val="14"/>
              </w:rPr>
            </w:pPr>
            <w:r w:rsidRPr="00EF6596">
              <w:rPr>
                <w:sz w:val="14"/>
                <w:szCs w:val="14"/>
              </w:rPr>
              <w:t>144,149</w:t>
            </w:r>
          </w:p>
        </w:tc>
        <w:tc>
          <w:tcPr>
            <w:tcW w:w="745" w:type="dxa"/>
            <w:noWrap/>
            <w:tcMar>
              <w:top w:w="18" w:type="dxa"/>
              <w:left w:w="18" w:type="dxa"/>
              <w:bottom w:w="0" w:type="dxa"/>
              <w:right w:w="18" w:type="dxa"/>
            </w:tcMar>
            <w:vAlign w:val="bottom"/>
          </w:tcPr>
          <w:p w14:paraId="52AD068B" w14:textId="674E9D61" w:rsidR="00224102" w:rsidRPr="00692926" w:rsidRDefault="00224102" w:rsidP="00224102">
            <w:pPr>
              <w:spacing w:line="221" w:lineRule="auto"/>
              <w:jc w:val="right"/>
              <w:rPr>
                <w:sz w:val="14"/>
                <w:szCs w:val="14"/>
              </w:rPr>
            </w:pPr>
            <w:r w:rsidRPr="00692926">
              <w:rPr>
                <w:sz w:val="14"/>
                <w:szCs w:val="14"/>
              </w:rPr>
              <w:t>2</w:t>
            </w:r>
          </w:p>
        </w:tc>
        <w:tc>
          <w:tcPr>
            <w:tcW w:w="659" w:type="dxa"/>
            <w:noWrap/>
            <w:tcMar>
              <w:top w:w="18" w:type="dxa"/>
              <w:left w:w="18" w:type="dxa"/>
              <w:bottom w:w="0" w:type="dxa"/>
              <w:right w:w="18" w:type="dxa"/>
            </w:tcMar>
            <w:vAlign w:val="bottom"/>
          </w:tcPr>
          <w:p w14:paraId="52E0E51A" w14:textId="4F7C3FBF"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18C1F1C9" w14:textId="455AECAC" w:rsidR="00224102" w:rsidRPr="00692926" w:rsidRDefault="00224102" w:rsidP="00224102">
            <w:pPr>
              <w:spacing w:line="221" w:lineRule="auto"/>
              <w:jc w:val="right"/>
              <w:rPr>
                <w:sz w:val="14"/>
                <w:szCs w:val="14"/>
              </w:rPr>
            </w:pPr>
            <w:r w:rsidRPr="00692926">
              <w:rPr>
                <w:sz w:val="14"/>
                <w:szCs w:val="14"/>
              </w:rPr>
              <w:t>2</w:t>
            </w:r>
          </w:p>
        </w:tc>
      </w:tr>
      <w:tr w:rsidR="00224102" w:rsidRPr="00604C75" w14:paraId="31AB2D24" w14:textId="77777777" w:rsidTr="00373D13">
        <w:trPr>
          <w:trHeight w:val="187"/>
        </w:trPr>
        <w:tc>
          <w:tcPr>
            <w:tcW w:w="557" w:type="dxa"/>
            <w:noWrap/>
            <w:tcMar>
              <w:top w:w="18" w:type="dxa"/>
              <w:left w:w="18" w:type="dxa"/>
              <w:bottom w:w="0" w:type="dxa"/>
              <w:right w:w="18" w:type="dxa"/>
            </w:tcMar>
            <w:vAlign w:val="bottom"/>
          </w:tcPr>
          <w:p w14:paraId="45776101"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VI.</w:t>
            </w:r>
          </w:p>
        </w:tc>
        <w:tc>
          <w:tcPr>
            <w:tcW w:w="4767" w:type="dxa"/>
            <w:noWrap/>
            <w:tcMar>
              <w:top w:w="18" w:type="dxa"/>
              <w:left w:w="18" w:type="dxa"/>
              <w:bottom w:w="0" w:type="dxa"/>
              <w:right w:w="18" w:type="dxa"/>
            </w:tcMar>
            <w:vAlign w:val="bottom"/>
          </w:tcPr>
          <w:p w14:paraId="0FD13916"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 xml:space="preserve">LOANS </w:t>
            </w:r>
          </w:p>
        </w:tc>
        <w:tc>
          <w:tcPr>
            <w:tcW w:w="531" w:type="dxa"/>
            <w:noWrap/>
            <w:tcMar>
              <w:top w:w="18" w:type="dxa"/>
              <w:left w:w="18" w:type="dxa"/>
              <w:bottom w:w="0" w:type="dxa"/>
              <w:right w:w="18" w:type="dxa"/>
            </w:tcMar>
            <w:vAlign w:val="bottom"/>
          </w:tcPr>
          <w:p w14:paraId="6887ACAC" w14:textId="3C56CFA2"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I-e</w:t>
            </w:r>
          </w:p>
        </w:tc>
        <w:tc>
          <w:tcPr>
            <w:tcW w:w="630" w:type="dxa"/>
            <w:noWrap/>
            <w:tcMar>
              <w:top w:w="18" w:type="dxa"/>
              <w:left w:w="18" w:type="dxa"/>
              <w:bottom w:w="0" w:type="dxa"/>
              <w:right w:w="18" w:type="dxa"/>
            </w:tcMar>
            <w:vAlign w:val="bottom"/>
          </w:tcPr>
          <w:p w14:paraId="37F83EB7" w14:textId="5E131BB8" w:rsidR="00224102" w:rsidRPr="00EF6596" w:rsidRDefault="00224102" w:rsidP="00224102">
            <w:pPr>
              <w:jc w:val="right"/>
              <w:rPr>
                <w:b/>
                <w:bCs/>
                <w:sz w:val="14"/>
                <w:szCs w:val="14"/>
              </w:rPr>
            </w:pPr>
            <w:r w:rsidRPr="00EF6596">
              <w:rPr>
                <w:b/>
                <w:bCs/>
                <w:sz w:val="14"/>
                <w:szCs w:val="14"/>
              </w:rPr>
              <w:t>5,112,325</w:t>
            </w:r>
          </w:p>
        </w:tc>
        <w:tc>
          <w:tcPr>
            <w:tcW w:w="791" w:type="dxa"/>
            <w:noWrap/>
            <w:tcMar>
              <w:top w:w="18" w:type="dxa"/>
              <w:left w:w="18" w:type="dxa"/>
              <w:bottom w:w="0" w:type="dxa"/>
              <w:right w:w="18" w:type="dxa"/>
            </w:tcMar>
            <w:vAlign w:val="bottom"/>
          </w:tcPr>
          <w:p w14:paraId="498AD277" w14:textId="1582BD9D" w:rsidR="00224102" w:rsidRPr="00EF6596" w:rsidRDefault="00224102" w:rsidP="00224102">
            <w:pPr>
              <w:jc w:val="right"/>
              <w:rPr>
                <w:b/>
                <w:bCs/>
                <w:sz w:val="14"/>
                <w:szCs w:val="14"/>
              </w:rPr>
            </w:pPr>
            <w:r w:rsidRPr="00EF6596">
              <w:rPr>
                <w:b/>
                <w:bCs/>
                <w:sz w:val="14"/>
                <w:szCs w:val="14"/>
              </w:rPr>
              <w:t>4,193,337</w:t>
            </w:r>
          </w:p>
        </w:tc>
        <w:tc>
          <w:tcPr>
            <w:tcW w:w="745" w:type="dxa"/>
            <w:noWrap/>
            <w:tcMar>
              <w:top w:w="18" w:type="dxa"/>
              <w:left w:w="18" w:type="dxa"/>
              <w:bottom w:w="0" w:type="dxa"/>
              <w:right w:w="18" w:type="dxa"/>
            </w:tcMar>
            <w:vAlign w:val="bottom"/>
          </w:tcPr>
          <w:p w14:paraId="6DB8ECDB" w14:textId="42D2F8BF" w:rsidR="00224102" w:rsidRPr="00EF6596" w:rsidRDefault="00224102" w:rsidP="00224102">
            <w:pPr>
              <w:jc w:val="right"/>
              <w:rPr>
                <w:b/>
                <w:bCs/>
                <w:sz w:val="14"/>
                <w:szCs w:val="14"/>
              </w:rPr>
            </w:pPr>
            <w:r w:rsidRPr="00EF6596">
              <w:rPr>
                <w:b/>
                <w:bCs/>
                <w:sz w:val="14"/>
                <w:szCs w:val="14"/>
              </w:rPr>
              <w:t>9,305,662</w:t>
            </w:r>
          </w:p>
        </w:tc>
        <w:tc>
          <w:tcPr>
            <w:tcW w:w="745" w:type="dxa"/>
            <w:noWrap/>
            <w:tcMar>
              <w:top w:w="18" w:type="dxa"/>
              <w:left w:w="18" w:type="dxa"/>
              <w:bottom w:w="0" w:type="dxa"/>
              <w:right w:w="18" w:type="dxa"/>
            </w:tcMar>
            <w:vAlign w:val="bottom"/>
          </w:tcPr>
          <w:p w14:paraId="6A636E4A" w14:textId="61F5EE72" w:rsidR="00224102" w:rsidRPr="00692926" w:rsidRDefault="00224102" w:rsidP="00224102">
            <w:pPr>
              <w:spacing w:line="221" w:lineRule="auto"/>
              <w:jc w:val="right"/>
              <w:rPr>
                <w:b/>
                <w:sz w:val="14"/>
                <w:szCs w:val="14"/>
              </w:rPr>
            </w:pPr>
            <w:r w:rsidRPr="00692926">
              <w:rPr>
                <w:b/>
                <w:sz w:val="14"/>
                <w:szCs w:val="14"/>
              </w:rPr>
              <w:t>5,863,873</w:t>
            </w:r>
          </w:p>
        </w:tc>
        <w:tc>
          <w:tcPr>
            <w:tcW w:w="659" w:type="dxa"/>
            <w:noWrap/>
            <w:tcMar>
              <w:top w:w="18" w:type="dxa"/>
              <w:left w:w="18" w:type="dxa"/>
              <w:bottom w:w="0" w:type="dxa"/>
              <w:right w:w="18" w:type="dxa"/>
            </w:tcMar>
            <w:vAlign w:val="bottom"/>
          </w:tcPr>
          <w:p w14:paraId="038AF9E8" w14:textId="787F83C2" w:rsidR="00224102" w:rsidRPr="00692926" w:rsidRDefault="00224102" w:rsidP="00224102">
            <w:pPr>
              <w:spacing w:line="221" w:lineRule="auto"/>
              <w:jc w:val="right"/>
              <w:rPr>
                <w:b/>
                <w:sz w:val="14"/>
                <w:szCs w:val="14"/>
              </w:rPr>
            </w:pPr>
            <w:r w:rsidRPr="00692926">
              <w:rPr>
                <w:b/>
                <w:sz w:val="14"/>
                <w:szCs w:val="14"/>
              </w:rPr>
              <w:t>2,035,667</w:t>
            </w:r>
          </w:p>
        </w:tc>
        <w:tc>
          <w:tcPr>
            <w:tcW w:w="686" w:type="dxa"/>
            <w:noWrap/>
            <w:tcMar>
              <w:top w:w="18" w:type="dxa"/>
              <w:left w:w="18" w:type="dxa"/>
              <w:bottom w:w="0" w:type="dxa"/>
              <w:right w:w="18" w:type="dxa"/>
            </w:tcMar>
            <w:vAlign w:val="bottom"/>
          </w:tcPr>
          <w:p w14:paraId="05A1F7C6" w14:textId="334C9CD7" w:rsidR="00224102" w:rsidRPr="00692926" w:rsidRDefault="00224102" w:rsidP="00224102">
            <w:pPr>
              <w:spacing w:line="221" w:lineRule="auto"/>
              <w:jc w:val="right"/>
              <w:rPr>
                <w:b/>
                <w:sz w:val="14"/>
                <w:szCs w:val="14"/>
              </w:rPr>
            </w:pPr>
            <w:r w:rsidRPr="00692926">
              <w:rPr>
                <w:b/>
                <w:sz w:val="14"/>
                <w:szCs w:val="14"/>
              </w:rPr>
              <w:t>7,899,540</w:t>
            </w:r>
          </w:p>
        </w:tc>
      </w:tr>
      <w:tr w:rsidR="00224102" w:rsidRPr="00604C75" w14:paraId="73C6C306" w14:textId="77777777" w:rsidTr="00373D13">
        <w:trPr>
          <w:trHeight w:val="72"/>
        </w:trPr>
        <w:tc>
          <w:tcPr>
            <w:tcW w:w="557" w:type="dxa"/>
            <w:noWrap/>
            <w:tcMar>
              <w:top w:w="18" w:type="dxa"/>
              <w:left w:w="18" w:type="dxa"/>
              <w:bottom w:w="0" w:type="dxa"/>
              <w:right w:w="18" w:type="dxa"/>
            </w:tcMar>
            <w:vAlign w:val="bottom"/>
          </w:tcPr>
          <w:p w14:paraId="0EEF7920" w14:textId="77777777" w:rsidR="00224102" w:rsidRPr="00604C75" w:rsidRDefault="00224102" w:rsidP="00224102">
            <w:pPr>
              <w:spacing w:line="204" w:lineRule="auto"/>
              <w:rPr>
                <w:bCs/>
                <w:noProof/>
                <w:sz w:val="14"/>
                <w:szCs w:val="14"/>
                <w:lang w:val="tr-TR"/>
              </w:rPr>
            </w:pPr>
            <w:r w:rsidRPr="00604C75">
              <w:rPr>
                <w:bCs/>
                <w:noProof/>
                <w:sz w:val="14"/>
                <w:szCs w:val="14"/>
                <w:lang w:val="tr-TR"/>
              </w:rPr>
              <w:t>6.1</w:t>
            </w:r>
          </w:p>
        </w:tc>
        <w:tc>
          <w:tcPr>
            <w:tcW w:w="4767" w:type="dxa"/>
            <w:noWrap/>
            <w:tcMar>
              <w:top w:w="18" w:type="dxa"/>
              <w:left w:w="18" w:type="dxa"/>
              <w:bottom w:w="0" w:type="dxa"/>
              <w:right w:w="18" w:type="dxa"/>
            </w:tcMar>
            <w:vAlign w:val="bottom"/>
          </w:tcPr>
          <w:p w14:paraId="14067933" w14:textId="77777777" w:rsidR="00224102" w:rsidRPr="00604C75" w:rsidRDefault="00224102" w:rsidP="00224102">
            <w:pPr>
              <w:spacing w:line="204" w:lineRule="auto"/>
              <w:rPr>
                <w:bCs/>
                <w:noProof/>
                <w:sz w:val="14"/>
                <w:szCs w:val="14"/>
                <w:lang w:val="tr-TR"/>
              </w:rPr>
            </w:pPr>
            <w:r w:rsidRPr="00604C75">
              <w:rPr>
                <w:bCs/>
                <w:noProof/>
                <w:sz w:val="14"/>
                <w:szCs w:val="14"/>
                <w:lang w:val="tr-TR"/>
              </w:rPr>
              <w:t>Loans</w:t>
            </w:r>
          </w:p>
        </w:tc>
        <w:tc>
          <w:tcPr>
            <w:tcW w:w="531" w:type="dxa"/>
            <w:noWrap/>
            <w:tcMar>
              <w:top w:w="18" w:type="dxa"/>
              <w:left w:w="18" w:type="dxa"/>
              <w:bottom w:w="0" w:type="dxa"/>
              <w:right w:w="18" w:type="dxa"/>
            </w:tcMar>
            <w:vAlign w:val="bottom"/>
          </w:tcPr>
          <w:p w14:paraId="57645252" w14:textId="642E4A26"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EB707DA" w14:textId="64912849" w:rsidR="00224102" w:rsidRPr="00EF6596" w:rsidRDefault="00224102" w:rsidP="00224102">
            <w:pPr>
              <w:jc w:val="right"/>
              <w:rPr>
                <w:sz w:val="14"/>
                <w:szCs w:val="14"/>
              </w:rPr>
            </w:pPr>
            <w:r w:rsidRPr="00EF6596">
              <w:rPr>
                <w:sz w:val="14"/>
                <w:szCs w:val="14"/>
              </w:rPr>
              <w:t>4,884,144</w:t>
            </w:r>
          </w:p>
        </w:tc>
        <w:tc>
          <w:tcPr>
            <w:tcW w:w="791" w:type="dxa"/>
            <w:noWrap/>
            <w:tcMar>
              <w:top w:w="18" w:type="dxa"/>
              <w:left w:w="18" w:type="dxa"/>
              <w:bottom w:w="0" w:type="dxa"/>
              <w:right w:w="18" w:type="dxa"/>
            </w:tcMar>
            <w:vAlign w:val="bottom"/>
          </w:tcPr>
          <w:p w14:paraId="0EB51DE6" w14:textId="737D821E" w:rsidR="00224102" w:rsidRPr="00EF6596" w:rsidRDefault="00224102" w:rsidP="00224102">
            <w:pPr>
              <w:jc w:val="right"/>
              <w:rPr>
                <w:sz w:val="14"/>
                <w:szCs w:val="14"/>
              </w:rPr>
            </w:pPr>
            <w:r w:rsidRPr="00EF6596">
              <w:rPr>
                <w:sz w:val="14"/>
                <w:szCs w:val="14"/>
              </w:rPr>
              <w:t>4,185,677</w:t>
            </w:r>
          </w:p>
        </w:tc>
        <w:tc>
          <w:tcPr>
            <w:tcW w:w="745" w:type="dxa"/>
            <w:noWrap/>
            <w:tcMar>
              <w:top w:w="18" w:type="dxa"/>
              <w:left w:w="18" w:type="dxa"/>
              <w:bottom w:w="0" w:type="dxa"/>
              <w:right w:w="18" w:type="dxa"/>
            </w:tcMar>
            <w:vAlign w:val="bottom"/>
          </w:tcPr>
          <w:p w14:paraId="5548C304" w14:textId="5B04EC0F" w:rsidR="00224102" w:rsidRPr="00EF6596" w:rsidRDefault="00224102" w:rsidP="00224102">
            <w:pPr>
              <w:jc w:val="right"/>
              <w:rPr>
                <w:sz w:val="14"/>
                <w:szCs w:val="14"/>
              </w:rPr>
            </w:pPr>
            <w:r w:rsidRPr="00EF6596">
              <w:rPr>
                <w:sz w:val="14"/>
                <w:szCs w:val="14"/>
              </w:rPr>
              <w:t>9,069,821</w:t>
            </w:r>
          </w:p>
        </w:tc>
        <w:tc>
          <w:tcPr>
            <w:tcW w:w="745" w:type="dxa"/>
            <w:noWrap/>
            <w:tcMar>
              <w:top w:w="18" w:type="dxa"/>
              <w:left w:w="18" w:type="dxa"/>
              <w:bottom w:w="0" w:type="dxa"/>
              <w:right w:w="18" w:type="dxa"/>
            </w:tcMar>
            <w:vAlign w:val="bottom"/>
          </w:tcPr>
          <w:p w14:paraId="636E4EB6" w14:textId="5D62C706" w:rsidR="00224102" w:rsidRPr="00692926" w:rsidRDefault="00224102" w:rsidP="00224102">
            <w:pPr>
              <w:spacing w:line="221" w:lineRule="auto"/>
              <w:jc w:val="right"/>
              <w:rPr>
                <w:sz w:val="14"/>
                <w:szCs w:val="14"/>
              </w:rPr>
            </w:pPr>
            <w:r w:rsidRPr="00692926">
              <w:rPr>
                <w:sz w:val="14"/>
                <w:szCs w:val="14"/>
              </w:rPr>
              <w:t>5,703,830</w:t>
            </w:r>
          </w:p>
        </w:tc>
        <w:tc>
          <w:tcPr>
            <w:tcW w:w="659" w:type="dxa"/>
            <w:noWrap/>
            <w:tcMar>
              <w:top w:w="18" w:type="dxa"/>
              <w:left w:w="18" w:type="dxa"/>
              <w:bottom w:w="0" w:type="dxa"/>
              <w:right w:w="18" w:type="dxa"/>
            </w:tcMar>
            <w:vAlign w:val="bottom"/>
          </w:tcPr>
          <w:p w14:paraId="19CE894A" w14:textId="33C8DC2F" w:rsidR="00224102" w:rsidRPr="00692926" w:rsidRDefault="00224102" w:rsidP="00224102">
            <w:pPr>
              <w:spacing w:line="221" w:lineRule="auto"/>
              <w:jc w:val="right"/>
              <w:rPr>
                <w:sz w:val="14"/>
                <w:szCs w:val="14"/>
              </w:rPr>
            </w:pPr>
            <w:r w:rsidRPr="00692926">
              <w:rPr>
                <w:sz w:val="14"/>
                <w:szCs w:val="14"/>
              </w:rPr>
              <w:t>2,024,080</w:t>
            </w:r>
          </w:p>
        </w:tc>
        <w:tc>
          <w:tcPr>
            <w:tcW w:w="686" w:type="dxa"/>
            <w:noWrap/>
            <w:tcMar>
              <w:top w:w="18" w:type="dxa"/>
              <w:left w:w="18" w:type="dxa"/>
              <w:bottom w:w="0" w:type="dxa"/>
              <w:right w:w="18" w:type="dxa"/>
            </w:tcMar>
            <w:vAlign w:val="bottom"/>
          </w:tcPr>
          <w:p w14:paraId="2375A850" w14:textId="7D178A87" w:rsidR="00224102" w:rsidRPr="00692926" w:rsidRDefault="00224102" w:rsidP="00224102">
            <w:pPr>
              <w:spacing w:line="221" w:lineRule="auto"/>
              <w:jc w:val="right"/>
              <w:rPr>
                <w:sz w:val="14"/>
                <w:szCs w:val="14"/>
              </w:rPr>
            </w:pPr>
            <w:r w:rsidRPr="00692926">
              <w:rPr>
                <w:sz w:val="14"/>
                <w:szCs w:val="14"/>
              </w:rPr>
              <w:t>7,727,910</w:t>
            </w:r>
          </w:p>
        </w:tc>
      </w:tr>
      <w:tr w:rsidR="00224102" w:rsidRPr="00604C75" w14:paraId="530E71E5" w14:textId="77777777" w:rsidTr="00373D13">
        <w:trPr>
          <w:trHeight w:val="72"/>
        </w:trPr>
        <w:tc>
          <w:tcPr>
            <w:tcW w:w="557" w:type="dxa"/>
            <w:noWrap/>
            <w:tcMar>
              <w:top w:w="18" w:type="dxa"/>
              <w:left w:w="18" w:type="dxa"/>
              <w:bottom w:w="0" w:type="dxa"/>
              <w:right w:w="18" w:type="dxa"/>
            </w:tcMar>
            <w:vAlign w:val="bottom"/>
          </w:tcPr>
          <w:p w14:paraId="2B34C5B3" w14:textId="77777777" w:rsidR="00224102" w:rsidRPr="00604C75" w:rsidRDefault="00224102" w:rsidP="00224102">
            <w:pPr>
              <w:spacing w:line="204" w:lineRule="auto"/>
              <w:rPr>
                <w:bCs/>
                <w:noProof/>
                <w:sz w:val="14"/>
                <w:szCs w:val="14"/>
                <w:lang w:val="tr-TR"/>
              </w:rPr>
            </w:pPr>
            <w:r w:rsidRPr="00604C75">
              <w:rPr>
                <w:bCs/>
                <w:noProof/>
                <w:sz w:val="14"/>
                <w:szCs w:val="14"/>
                <w:lang w:val="tr-TR"/>
              </w:rPr>
              <w:t>6.1.1</w:t>
            </w:r>
          </w:p>
        </w:tc>
        <w:tc>
          <w:tcPr>
            <w:tcW w:w="4767" w:type="dxa"/>
            <w:noWrap/>
            <w:tcMar>
              <w:top w:w="18" w:type="dxa"/>
              <w:left w:w="18" w:type="dxa"/>
              <w:bottom w:w="0" w:type="dxa"/>
              <w:right w:w="18" w:type="dxa"/>
            </w:tcMar>
            <w:vAlign w:val="bottom"/>
          </w:tcPr>
          <w:p w14:paraId="22913C12" w14:textId="77777777" w:rsidR="00224102" w:rsidRPr="00604C75" w:rsidRDefault="00224102" w:rsidP="00224102">
            <w:pPr>
              <w:spacing w:line="204" w:lineRule="auto"/>
              <w:rPr>
                <w:bCs/>
                <w:noProof/>
                <w:sz w:val="14"/>
                <w:szCs w:val="14"/>
                <w:lang w:val="tr-TR"/>
              </w:rPr>
            </w:pPr>
            <w:r w:rsidRPr="00604C75">
              <w:rPr>
                <w:bCs/>
                <w:noProof/>
                <w:sz w:val="14"/>
                <w:szCs w:val="14"/>
                <w:lang w:val="tr-TR"/>
              </w:rPr>
              <w:t>Loans to the Bank’s Risk Group</w:t>
            </w:r>
          </w:p>
        </w:tc>
        <w:tc>
          <w:tcPr>
            <w:tcW w:w="531" w:type="dxa"/>
            <w:noWrap/>
            <w:tcMar>
              <w:top w:w="18" w:type="dxa"/>
              <w:left w:w="18" w:type="dxa"/>
              <w:bottom w:w="0" w:type="dxa"/>
              <w:right w:w="18" w:type="dxa"/>
            </w:tcMar>
            <w:vAlign w:val="bottom"/>
          </w:tcPr>
          <w:p w14:paraId="38BA426D" w14:textId="77777777" w:rsidR="00224102" w:rsidRPr="00604C75" w:rsidRDefault="00224102" w:rsidP="00224102">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14:paraId="5C9318CD" w14:textId="748CDCF1" w:rsidR="00224102" w:rsidRPr="00EF6596" w:rsidRDefault="00224102" w:rsidP="00224102">
            <w:pPr>
              <w:jc w:val="right"/>
              <w:rPr>
                <w:sz w:val="14"/>
                <w:szCs w:val="14"/>
              </w:rPr>
            </w:pPr>
            <w:r w:rsidRPr="00EF6596">
              <w:rPr>
                <w:sz w:val="14"/>
                <w:szCs w:val="14"/>
              </w:rPr>
              <w:t>15,853</w:t>
            </w:r>
          </w:p>
        </w:tc>
        <w:tc>
          <w:tcPr>
            <w:tcW w:w="791" w:type="dxa"/>
            <w:noWrap/>
            <w:tcMar>
              <w:top w:w="18" w:type="dxa"/>
              <w:left w:w="18" w:type="dxa"/>
              <w:bottom w:w="0" w:type="dxa"/>
              <w:right w:w="18" w:type="dxa"/>
            </w:tcMar>
            <w:vAlign w:val="bottom"/>
          </w:tcPr>
          <w:p w14:paraId="122B5C13" w14:textId="6A76ACE4" w:rsidR="00224102" w:rsidRPr="00EF6596" w:rsidRDefault="00224102" w:rsidP="00224102">
            <w:pPr>
              <w:jc w:val="right"/>
              <w:rPr>
                <w:sz w:val="14"/>
                <w:szCs w:val="14"/>
              </w:rPr>
            </w:pPr>
            <w:r w:rsidRPr="00EF6596">
              <w:rPr>
                <w:sz w:val="14"/>
                <w:szCs w:val="14"/>
              </w:rPr>
              <w:t>194,899</w:t>
            </w:r>
          </w:p>
        </w:tc>
        <w:tc>
          <w:tcPr>
            <w:tcW w:w="745" w:type="dxa"/>
            <w:noWrap/>
            <w:tcMar>
              <w:top w:w="18" w:type="dxa"/>
              <w:left w:w="18" w:type="dxa"/>
              <w:bottom w:w="0" w:type="dxa"/>
              <w:right w:w="18" w:type="dxa"/>
            </w:tcMar>
            <w:vAlign w:val="bottom"/>
          </w:tcPr>
          <w:p w14:paraId="2477F216" w14:textId="0190E88B" w:rsidR="00224102" w:rsidRPr="00EF6596" w:rsidRDefault="00224102" w:rsidP="00224102">
            <w:pPr>
              <w:jc w:val="right"/>
              <w:rPr>
                <w:sz w:val="14"/>
                <w:szCs w:val="14"/>
              </w:rPr>
            </w:pPr>
            <w:r w:rsidRPr="00EF6596">
              <w:rPr>
                <w:sz w:val="14"/>
                <w:szCs w:val="14"/>
              </w:rPr>
              <w:t>210,752</w:t>
            </w:r>
          </w:p>
        </w:tc>
        <w:tc>
          <w:tcPr>
            <w:tcW w:w="745" w:type="dxa"/>
            <w:noWrap/>
            <w:tcMar>
              <w:top w:w="18" w:type="dxa"/>
              <w:left w:w="18" w:type="dxa"/>
              <w:bottom w:w="0" w:type="dxa"/>
              <w:right w:w="18" w:type="dxa"/>
            </w:tcMar>
            <w:vAlign w:val="bottom"/>
          </w:tcPr>
          <w:p w14:paraId="288EFDC6" w14:textId="3CDD47A0" w:rsidR="00224102" w:rsidRPr="00692926" w:rsidRDefault="00224102" w:rsidP="00224102">
            <w:pPr>
              <w:spacing w:line="221" w:lineRule="auto"/>
              <w:jc w:val="right"/>
              <w:rPr>
                <w:sz w:val="14"/>
                <w:szCs w:val="14"/>
              </w:rPr>
            </w:pPr>
            <w:r w:rsidRPr="00692926">
              <w:rPr>
                <w:sz w:val="14"/>
                <w:szCs w:val="14"/>
              </w:rPr>
              <w:t>253</w:t>
            </w:r>
          </w:p>
        </w:tc>
        <w:tc>
          <w:tcPr>
            <w:tcW w:w="659" w:type="dxa"/>
            <w:noWrap/>
            <w:tcMar>
              <w:top w:w="18" w:type="dxa"/>
              <w:left w:w="18" w:type="dxa"/>
              <w:bottom w:w="0" w:type="dxa"/>
              <w:right w:w="18" w:type="dxa"/>
            </w:tcMar>
            <w:vAlign w:val="bottom"/>
          </w:tcPr>
          <w:p w14:paraId="10AA6F39" w14:textId="0D084295" w:rsidR="00224102" w:rsidRPr="00692926" w:rsidRDefault="00224102" w:rsidP="00224102">
            <w:pPr>
              <w:spacing w:line="221" w:lineRule="auto"/>
              <w:jc w:val="right"/>
              <w:rPr>
                <w:sz w:val="14"/>
                <w:szCs w:val="14"/>
              </w:rPr>
            </w:pPr>
            <w:r w:rsidRPr="00692926">
              <w:rPr>
                <w:sz w:val="14"/>
                <w:szCs w:val="14"/>
              </w:rPr>
              <w:t>85,716</w:t>
            </w:r>
          </w:p>
        </w:tc>
        <w:tc>
          <w:tcPr>
            <w:tcW w:w="686" w:type="dxa"/>
            <w:noWrap/>
            <w:tcMar>
              <w:top w:w="18" w:type="dxa"/>
              <w:left w:w="18" w:type="dxa"/>
              <w:bottom w:w="0" w:type="dxa"/>
              <w:right w:w="18" w:type="dxa"/>
            </w:tcMar>
            <w:vAlign w:val="bottom"/>
          </w:tcPr>
          <w:p w14:paraId="75798C76" w14:textId="3D25DD15" w:rsidR="00224102" w:rsidRPr="00692926" w:rsidRDefault="00224102" w:rsidP="00224102">
            <w:pPr>
              <w:spacing w:line="221" w:lineRule="auto"/>
              <w:jc w:val="right"/>
              <w:rPr>
                <w:sz w:val="14"/>
                <w:szCs w:val="14"/>
              </w:rPr>
            </w:pPr>
            <w:r w:rsidRPr="00692926">
              <w:rPr>
                <w:sz w:val="14"/>
                <w:szCs w:val="14"/>
              </w:rPr>
              <w:t>85,969</w:t>
            </w:r>
          </w:p>
        </w:tc>
      </w:tr>
      <w:tr w:rsidR="00224102" w:rsidRPr="00604C75" w14:paraId="6129295E" w14:textId="77777777" w:rsidTr="00373D13">
        <w:trPr>
          <w:trHeight w:val="72"/>
        </w:trPr>
        <w:tc>
          <w:tcPr>
            <w:tcW w:w="557" w:type="dxa"/>
            <w:noWrap/>
            <w:tcMar>
              <w:top w:w="18" w:type="dxa"/>
              <w:left w:w="18" w:type="dxa"/>
              <w:bottom w:w="0" w:type="dxa"/>
              <w:right w:w="18" w:type="dxa"/>
            </w:tcMar>
            <w:vAlign w:val="bottom"/>
          </w:tcPr>
          <w:p w14:paraId="6C342EBD" w14:textId="77777777" w:rsidR="00224102" w:rsidRPr="00604C75" w:rsidRDefault="00224102" w:rsidP="00224102">
            <w:pPr>
              <w:spacing w:line="204" w:lineRule="auto"/>
              <w:rPr>
                <w:bCs/>
                <w:noProof/>
                <w:sz w:val="14"/>
                <w:szCs w:val="14"/>
                <w:lang w:val="tr-TR"/>
              </w:rPr>
            </w:pPr>
            <w:r w:rsidRPr="00604C75">
              <w:rPr>
                <w:bCs/>
                <w:noProof/>
                <w:sz w:val="14"/>
                <w:szCs w:val="14"/>
                <w:lang w:val="tr-TR"/>
              </w:rPr>
              <w:t>6.1.2</w:t>
            </w:r>
          </w:p>
        </w:tc>
        <w:tc>
          <w:tcPr>
            <w:tcW w:w="4767" w:type="dxa"/>
            <w:noWrap/>
            <w:tcMar>
              <w:top w:w="18" w:type="dxa"/>
              <w:left w:w="18" w:type="dxa"/>
              <w:bottom w:w="0" w:type="dxa"/>
              <w:right w:w="18" w:type="dxa"/>
            </w:tcMar>
            <w:vAlign w:val="bottom"/>
          </w:tcPr>
          <w:p w14:paraId="28F1EC9E" w14:textId="77777777" w:rsidR="00224102" w:rsidRPr="00604C75" w:rsidRDefault="00224102" w:rsidP="00224102">
            <w:pPr>
              <w:spacing w:line="204" w:lineRule="auto"/>
              <w:rPr>
                <w:bCs/>
                <w:noProof/>
                <w:sz w:val="14"/>
                <w:szCs w:val="14"/>
                <w:lang w:val="tr-TR"/>
              </w:rPr>
            </w:pPr>
            <w:r w:rsidRPr="00604C75">
              <w:rPr>
                <w:bCs/>
                <w:noProof/>
                <w:sz w:val="14"/>
                <w:szCs w:val="14"/>
                <w:lang w:val="tr-TR"/>
              </w:rPr>
              <w:t>Public Sector Debt Securities</w:t>
            </w:r>
          </w:p>
        </w:tc>
        <w:tc>
          <w:tcPr>
            <w:tcW w:w="531" w:type="dxa"/>
            <w:noWrap/>
            <w:tcMar>
              <w:top w:w="18" w:type="dxa"/>
              <w:left w:w="18" w:type="dxa"/>
              <w:bottom w:w="0" w:type="dxa"/>
              <w:right w:w="18" w:type="dxa"/>
            </w:tcMar>
            <w:vAlign w:val="bottom"/>
          </w:tcPr>
          <w:p w14:paraId="640F28DC" w14:textId="77777777" w:rsidR="00224102" w:rsidRPr="00604C75" w:rsidRDefault="00224102" w:rsidP="00224102">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14:paraId="349F7A5B" w14:textId="2A472E49"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6525C741" w14:textId="06E850E6"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7559EC6A" w14:textId="192C490D"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5CF9C9D" w14:textId="07ACA11A"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58B8017C" w14:textId="7E7118F0"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261DD2B5" w14:textId="6E865BE6" w:rsidR="00224102" w:rsidRPr="00692926" w:rsidRDefault="00224102" w:rsidP="00224102">
            <w:pPr>
              <w:spacing w:line="221" w:lineRule="auto"/>
              <w:jc w:val="right"/>
              <w:rPr>
                <w:sz w:val="14"/>
                <w:szCs w:val="14"/>
              </w:rPr>
            </w:pPr>
            <w:r w:rsidRPr="00692926">
              <w:rPr>
                <w:sz w:val="14"/>
                <w:szCs w:val="14"/>
              </w:rPr>
              <w:t>-</w:t>
            </w:r>
          </w:p>
        </w:tc>
      </w:tr>
      <w:tr w:rsidR="00224102" w:rsidRPr="00604C75" w14:paraId="3448E2D2" w14:textId="77777777" w:rsidTr="00373D13">
        <w:trPr>
          <w:trHeight w:val="72"/>
        </w:trPr>
        <w:tc>
          <w:tcPr>
            <w:tcW w:w="557" w:type="dxa"/>
            <w:noWrap/>
            <w:tcMar>
              <w:top w:w="18" w:type="dxa"/>
              <w:left w:w="18" w:type="dxa"/>
              <w:bottom w:w="0" w:type="dxa"/>
              <w:right w:w="18" w:type="dxa"/>
            </w:tcMar>
            <w:vAlign w:val="bottom"/>
          </w:tcPr>
          <w:p w14:paraId="0324DD29" w14:textId="77777777" w:rsidR="00224102" w:rsidRPr="00604C75" w:rsidRDefault="00224102" w:rsidP="00224102">
            <w:pPr>
              <w:spacing w:line="204" w:lineRule="auto"/>
              <w:rPr>
                <w:bCs/>
                <w:noProof/>
                <w:sz w:val="14"/>
                <w:szCs w:val="14"/>
                <w:lang w:val="tr-TR"/>
              </w:rPr>
            </w:pPr>
            <w:r w:rsidRPr="00604C75">
              <w:rPr>
                <w:bCs/>
                <w:noProof/>
                <w:sz w:val="14"/>
                <w:szCs w:val="14"/>
                <w:lang w:val="tr-TR"/>
              </w:rPr>
              <w:t>6.1.3</w:t>
            </w:r>
          </w:p>
        </w:tc>
        <w:tc>
          <w:tcPr>
            <w:tcW w:w="4767" w:type="dxa"/>
            <w:noWrap/>
            <w:tcMar>
              <w:top w:w="18" w:type="dxa"/>
              <w:left w:w="18" w:type="dxa"/>
              <w:bottom w:w="0" w:type="dxa"/>
              <w:right w:w="18" w:type="dxa"/>
            </w:tcMar>
            <w:vAlign w:val="bottom"/>
          </w:tcPr>
          <w:p w14:paraId="3845117C" w14:textId="77777777" w:rsidR="00224102" w:rsidRPr="00604C75" w:rsidRDefault="00224102" w:rsidP="00224102">
            <w:pPr>
              <w:spacing w:line="204" w:lineRule="auto"/>
              <w:rPr>
                <w:bCs/>
                <w:noProof/>
                <w:sz w:val="14"/>
                <w:szCs w:val="14"/>
                <w:lang w:val="tr-TR"/>
              </w:rPr>
            </w:pPr>
            <w:r w:rsidRPr="00604C75">
              <w:rPr>
                <w:bCs/>
                <w:noProof/>
                <w:sz w:val="14"/>
                <w:szCs w:val="14"/>
                <w:lang w:val="tr-TR"/>
              </w:rPr>
              <w:t>Other</w:t>
            </w:r>
          </w:p>
        </w:tc>
        <w:tc>
          <w:tcPr>
            <w:tcW w:w="531" w:type="dxa"/>
            <w:noWrap/>
            <w:tcMar>
              <w:top w:w="18" w:type="dxa"/>
              <w:left w:w="18" w:type="dxa"/>
              <w:bottom w:w="0" w:type="dxa"/>
              <w:right w:w="18" w:type="dxa"/>
            </w:tcMar>
            <w:vAlign w:val="bottom"/>
          </w:tcPr>
          <w:p w14:paraId="4CBCA69A" w14:textId="77777777" w:rsidR="00224102" w:rsidRPr="00604C75" w:rsidRDefault="00224102" w:rsidP="00224102">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14:paraId="7C5049A5" w14:textId="6403BAB4" w:rsidR="00224102" w:rsidRPr="00EF6596" w:rsidRDefault="00224102" w:rsidP="00224102">
            <w:pPr>
              <w:jc w:val="right"/>
              <w:rPr>
                <w:sz w:val="14"/>
                <w:szCs w:val="14"/>
              </w:rPr>
            </w:pPr>
            <w:r w:rsidRPr="00EF6596">
              <w:rPr>
                <w:sz w:val="14"/>
                <w:szCs w:val="14"/>
              </w:rPr>
              <w:t>4,868,291</w:t>
            </w:r>
          </w:p>
        </w:tc>
        <w:tc>
          <w:tcPr>
            <w:tcW w:w="791" w:type="dxa"/>
            <w:noWrap/>
            <w:tcMar>
              <w:top w:w="18" w:type="dxa"/>
              <w:left w:w="18" w:type="dxa"/>
              <w:bottom w:w="0" w:type="dxa"/>
              <w:right w:w="18" w:type="dxa"/>
            </w:tcMar>
            <w:vAlign w:val="bottom"/>
          </w:tcPr>
          <w:p w14:paraId="2F2627C4" w14:textId="7109E3FD" w:rsidR="00224102" w:rsidRPr="00EF6596" w:rsidRDefault="00224102" w:rsidP="00224102">
            <w:pPr>
              <w:jc w:val="right"/>
              <w:rPr>
                <w:sz w:val="14"/>
                <w:szCs w:val="14"/>
              </w:rPr>
            </w:pPr>
            <w:r w:rsidRPr="00EF6596">
              <w:rPr>
                <w:sz w:val="14"/>
                <w:szCs w:val="14"/>
              </w:rPr>
              <w:t>3,990,778</w:t>
            </w:r>
          </w:p>
        </w:tc>
        <w:tc>
          <w:tcPr>
            <w:tcW w:w="745" w:type="dxa"/>
            <w:noWrap/>
            <w:tcMar>
              <w:top w:w="18" w:type="dxa"/>
              <w:left w:w="18" w:type="dxa"/>
              <w:bottom w:w="0" w:type="dxa"/>
              <w:right w:w="18" w:type="dxa"/>
            </w:tcMar>
            <w:vAlign w:val="bottom"/>
          </w:tcPr>
          <w:p w14:paraId="65D06889" w14:textId="7378C05E" w:rsidR="00224102" w:rsidRPr="00EF6596" w:rsidRDefault="00224102" w:rsidP="00224102">
            <w:pPr>
              <w:jc w:val="right"/>
              <w:rPr>
                <w:sz w:val="14"/>
                <w:szCs w:val="14"/>
              </w:rPr>
            </w:pPr>
            <w:r w:rsidRPr="00EF6596">
              <w:rPr>
                <w:sz w:val="14"/>
                <w:szCs w:val="14"/>
              </w:rPr>
              <w:t>8,859,069</w:t>
            </w:r>
          </w:p>
        </w:tc>
        <w:tc>
          <w:tcPr>
            <w:tcW w:w="745" w:type="dxa"/>
            <w:noWrap/>
            <w:tcMar>
              <w:top w:w="18" w:type="dxa"/>
              <w:left w:w="18" w:type="dxa"/>
              <w:bottom w:w="0" w:type="dxa"/>
              <w:right w:w="18" w:type="dxa"/>
            </w:tcMar>
            <w:vAlign w:val="bottom"/>
          </w:tcPr>
          <w:p w14:paraId="074743EA" w14:textId="08D26BB9" w:rsidR="00224102" w:rsidRPr="00692926" w:rsidRDefault="00224102" w:rsidP="00224102">
            <w:pPr>
              <w:spacing w:line="221" w:lineRule="auto"/>
              <w:jc w:val="right"/>
              <w:rPr>
                <w:sz w:val="14"/>
                <w:szCs w:val="14"/>
              </w:rPr>
            </w:pPr>
            <w:r w:rsidRPr="00692926">
              <w:rPr>
                <w:sz w:val="14"/>
                <w:szCs w:val="14"/>
              </w:rPr>
              <w:t>5,703,577</w:t>
            </w:r>
          </w:p>
        </w:tc>
        <w:tc>
          <w:tcPr>
            <w:tcW w:w="659" w:type="dxa"/>
            <w:noWrap/>
            <w:tcMar>
              <w:top w:w="18" w:type="dxa"/>
              <w:left w:w="18" w:type="dxa"/>
              <w:bottom w:w="0" w:type="dxa"/>
              <w:right w:w="18" w:type="dxa"/>
            </w:tcMar>
            <w:vAlign w:val="bottom"/>
          </w:tcPr>
          <w:p w14:paraId="540509F3" w14:textId="16AE2C3F" w:rsidR="00224102" w:rsidRPr="00692926" w:rsidRDefault="00224102" w:rsidP="00224102">
            <w:pPr>
              <w:spacing w:line="221" w:lineRule="auto"/>
              <w:jc w:val="right"/>
              <w:rPr>
                <w:sz w:val="14"/>
                <w:szCs w:val="14"/>
              </w:rPr>
            </w:pPr>
            <w:r w:rsidRPr="00692926">
              <w:rPr>
                <w:sz w:val="14"/>
                <w:szCs w:val="14"/>
              </w:rPr>
              <w:t>1,938,364</w:t>
            </w:r>
          </w:p>
        </w:tc>
        <w:tc>
          <w:tcPr>
            <w:tcW w:w="686" w:type="dxa"/>
            <w:noWrap/>
            <w:tcMar>
              <w:top w:w="18" w:type="dxa"/>
              <w:left w:w="18" w:type="dxa"/>
              <w:bottom w:w="0" w:type="dxa"/>
              <w:right w:w="18" w:type="dxa"/>
            </w:tcMar>
            <w:vAlign w:val="bottom"/>
          </w:tcPr>
          <w:p w14:paraId="605B93FB" w14:textId="751C1D0F" w:rsidR="00224102" w:rsidRPr="00692926" w:rsidRDefault="00224102" w:rsidP="00224102">
            <w:pPr>
              <w:spacing w:line="221" w:lineRule="auto"/>
              <w:jc w:val="right"/>
              <w:rPr>
                <w:sz w:val="14"/>
                <w:szCs w:val="14"/>
              </w:rPr>
            </w:pPr>
            <w:r w:rsidRPr="00692926">
              <w:rPr>
                <w:sz w:val="14"/>
                <w:szCs w:val="14"/>
              </w:rPr>
              <w:t>7,641,941</w:t>
            </w:r>
          </w:p>
        </w:tc>
      </w:tr>
      <w:tr w:rsidR="00224102" w:rsidRPr="00604C75" w14:paraId="2EBBFA9D" w14:textId="77777777" w:rsidTr="00373D13">
        <w:trPr>
          <w:trHeight w:val="72"/>
        </w:trPr>
        <w:tc>
          <w:tcPr>
            <w:tcW w:w="557" w:type="dxa"/>
            <w:noWrap/>
            <w:tcMar>
              <w:top w:w="18" w:type="dxa"/>
              <w:left w:w="18" w:type="dxa"/>
              <w:bottom w:w="0" w:type="dxa"/>
              <w:right w:w="18" w:type="dxa"/>
            </w:tcMar>
            <w:vAlign w:val="bottom"/>
          </w:tcPr>
          <w:p w14:paraId="6B325593" w14:textId="77777777" w:rsidR="00224102" w:rsidRPr="00604C75" w:rsidRDefault="00224102" w:rsidP="00224102">
            <w:pPr>
              <w:spacing w:line="204" w:lineRule="auto"/>
              <w:rPr>
                <w:bCs/>
                <w:noProof/>
                <w:sz w:val="14"/>
                <w:szCs w:val="14"/>
                <w:lang w:val="tr-TR"/>
              </w:rPr>
            </w:pPr>
            <w:r w:rsidRPr="00604C75">
              <w:rPr>
                <w:bCs/>
                <w:noProof/>
                <w:sz w:val="14"/>
                <w:szCs w:val="14"/>
                <w:lang w:val="tr-TR"/>
              </w:rPr>
              <w:t>6.2</w:t>
            </w:r>
          </w:p>
        </w:tc>
        <w:tc>
          <w:tcPr>
            <w:tcW w:w="4767" w:type="dxa"/>
            <w:noWrap/>
            <w:tcMar>
              <w:top w:w="18" w:type="dxa"/>
              <w:left w:w="18" w:type="dxa"/>
              <w:bottom w:w="0" w:type="dxa"/>
              <w:right w:w="18" w:type="dxa"/>
            </w:tcMar>
            <w:vAlign w:val="bottom"/>
          </w:tcPr>
          <w:p w14:paraId="0509C697" w14:textId="77777777" w:rsidR="00224102" w:rsidRPr="00604C75" w:rsidRDefault="00224102" w:rsidP="00224102">
            <w:pPr>
              <w:spacing w:line="204" w:lineRule="auto"/>
              <w:rPr>
                <w:bCs/>
                <w:noProof/>
                <w:sz w:val="14"/>
                <w:szCs w:val="14"/>
                <w:lang w:val="tr-TR"/>
              </w:rPr>
            </w:pPr>
            <w:r w:rsidRPr="00604C75">
              <w:rPr>
                <w:bCs/>
                <w:noProof/>
                <w:sz w:val="14"/>
                <w:szCs w:val="14"/>
                <w:lang w:val="tr-TR"/>
              </w:rPr>
              <w:t>Non Performing Loans</w:t>
            </w:r>
          </w:p>
        </w:tc>
        <w:tc>
          <w:tcPr>
            <w:tcW w:w="531" w:type="dxa"/>
            <w:noWrap/>
            <w:tcMar>
              <w:top w:w="18" w:type="dxa"/>
              <w:left w:w="18" w:type="dxa"/>
              <w:bottom w:w="0" w:type="dxa"/>
              <w:right w:w="18" w:type="dxa"/>
            </w:tcMar>
            <w:vAlign w:val="bottom"/>
          </w:tcPr>
          <w:p w14:paraId="63144EC4" w14:textId="407A96B4"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1D1EB316" w14:textId="06B42C64" w:rsidR="00224102" w:rsidRPr="00EF6596" w:rsidRDefault="00224102" w:rsidP="00224102">
            <w:pPr>
              <w:jc w:val="right"/>
              <w:rPr>
                <w:sz w:val="14"/>
                <w:szCs w:val="14"/>
              </w:rPr>
            </w:pPr>
            <w:r w:rsidRPr="00EF6596">
              <w:rPr>
                <w:sz w:val="14"/>
                <w:szCs w:val="14"/>
              </w:rPr>
              <w:t>496,909</w:t>
            </w:r>
          </w:p>
        </w:tc>
        <w:tc>
          <w:tcPr>
            <w:tcW w:w="791" w:type="dxa"/>
            <w:noWrap/>
            <w:tcMar>
              <w:top w:w="18" w:type="dxa"/>
              <w:left w:w="18" w:type="dxa"/>
              <w:bottom w:w="0" w:type="dxa"/>
              <w:right w:w="18" w:type="dxa"/>
            </w:tcMar>
            <w:vAlign w:val="bottom"/>
          </w:tcPr>
          <w:p w14:paraId="3DC90C76" w14:textId="2A6383D0" w:rsidR="00224102" w:rsidRPr="00EF6596" w:rsidRDefault="00224102" w:rsidP="00224102">
            <w:pPr>
              <w:jc w:val="right"/>
              <w:rPr>
                <w:sz w:val="14"/>
                <w:szCs w:val="14"/>
              </w:rPr>
            </w:pPr>
            <w:r w:rsidRPr="00EF6596">
              <w:rPr>
                <w:sz w:val="14"/>
                <w:szCs w:val="14"/>
              </w:rPr>
              <w:t>20,432</w:t>
            </w:r>
          </w:p>
        </w:tc>
        <w:tc>
          <w:tcPr>
            <w:tcW w:w="745" w:type="dxa"/>
            <w:noWrap/>
            <w:tcMar>
              <w:top w:w="18" w:type="dxa"/>
              <w:left w:w="18" w:type="dxa"/>
              <w:bottom w:w="0" w:type="dxa"/>
              <w:right w:w="18" w:type="dxa"/>
            </w:tcMar>
            <w:vAlign w:val="bottom"/>
          </w:tcPr>
          <w:p w14:paraId="64EFF0EB" w14:textId="7ED956C9" w:rsidR="00224102" w:rsidRPr="00EF6596" w:rsidRDefault="00224102" w:rsidP="00224102">
            <w:pPr>
              <w:jc w:val="right"/>
              <w:rPr>
                <w:sz w:val="14"/>
                <w:szCs w:val="14"/>
              </w:rPr>
            </w:pPr>
            <w:r w:rsidRPr="00EF6596">
              <w:rPr>
                <w:sz w:val="14"/>
                <w:szCs w:val="14"/>
              </w:rPr>
              <w:t>517,341</w:t>
            </w:r>
          </w:p>
        </w:tc>
        <w:tc>
          <w:tcPr>
            <w:tcW w:w="745" w:type="dxa"/>
            <w:noWrap/>
            <w:tcMar>
              <w:top w:w="18" w:type="dxa"/>
              <w:left w:w="18" w:type="dxa"/>
              <w:bottom w:w="0" w:type="dxa"/>
              <w:right w:w="18" w:type="dxa"/>
            </w:tcMar>
            <w:vAlign w:val="bottom"/>
          </w:tcPr>
          <w:p w14:paraId="63FA5058" w14:textId="17BE428F" w:rsidR="00224102" w:rsidRPr="00692926" w:rsidRDefault="00224102" w:rsidP="00224102">
            <w:pPr>
              <w:spacing w:line="221" w:lineRule="auto"/>
              <w:jc w:val="right"/>
              <w:rPr>
                <w:sz w:val="14"/>
                <w:szCs w:val="14"/>
              </w:rPr>
            </w:pPr>
            <w:r w:rsidRPr="00692926">
              <w:rPr>
                <w:sz w:val="14"/>
                <w:szCs w:val="14"/>
              </w:rPr>
              <w:t>416,043</w:t>
            </w:r>
          </w:p>
        </w:tc>
        <w:tc>
          <w:tcPr>
            <w:tcW w:w="659" w:type="dxa"/>
            <w:noWrap/>
            <w:tcMar>
              <w:top w:w="18" w:type="dxa"/>
              <w:left w:w="18" w:type="dxa"/>
              <w:bottom w:w="0" w:type="dxa"/>
              <w:right w:w="18" w:type="dxa"/>
            </w:tcMar>
            <w:vAlign w:val="bottom"/>
          </w:tcPr>
          <w:p w14:paraId="14E92C2B" w14:textId="5FD87E07" w:rsidR="00224102" w:rsidRPr="00692926" w:rsidRDefault="00224102" w:rsidP="00224102">
            <w:pPr>
              <w:spacing w:line="221" w:lineRule="auto"/>
              <w:jc w:val="right"/>
              <w:rPr>
                <w:sz w:val="14"/>
                <w:szCs w:val="14"/>
              </w:rPr>
            </w:pPr>
            <w:r w:rsidRPr="00692926">
              <w:rPr>
                <w:sz w:val="14"/>
                <w:szCs w:val="14"/>
              </w:rPr>
              <w:t>24,830</w:t>
            </w:r>
          </w:p>
        </w:tc>
        <w:tc>
          <w:tcPr>
            <w:tcW w:w="686" w:type="dxa"/>
            <w:noWrap/>
            <w:tcMar>
              <w:top w:w="18" w:type="dxa"/>
              <w:left w:w="18" w:type="dxa"/>
              <w:bottom w:w="0" w:type="dxa"/>
              <w:right w:w="18" w:type="dxa"/>
            </w:tcMar>
            <w:vAlign w:val="bottom"/>
          </w:tcPr>
          <w:p w14:paraId="50502C30" w14:textId="19D0E04F" w:rsidR="00224102" w:rsidRPr="00692926" w:rsidRDefault="00224102" w:rsidP="00224102">
            <w:pPr>
              <w:spacing w:line="221" w:lineRule="auto"/>
              <w:jc w:val="right"/>
              <w:rPr>
                <w:sz w:val="14"/>
                <w:szCs w:val="14"/>
              </w:rPr>
            </w:pPr>
            <w:r w:rsidRPr="00692926">
              <w:rPr>
                <w:sz w:val="14"/>
                <w:szCs w:val="14"/>
              </w:rPr>
              <w:t>440,873</w:t>
            </w:r>
          </w:p>
        </w:tc>
      </w:tr>
      <w:tr w:rsidR="00224102" w:rsidRPr="00604C75" w14:paraId="34ECE9EC" w14:textId="77777777" w:rsidTr="00373D13">
        <w:trPr>
          <w:trHeight w:val="72"/>
        </w:trPr>
        <w:tc>
          <w:tcPr>
            <w:tcW w:w="557" w:type="dxa"/>
            <w:noWrap/>
            <w:tcMar>
              <w:top w:w="18" w:type="dxa"/>
              <w:left w:w="18" w:type="dxa"/>
              <w:bottom w:w="0" w:type="dxa"/>
              <w:right w:w="18" w:type="dxa"/>
            </w:tcMar>
            <w:vAlign w:val="bottom"/>
          </w:tcPr>
          <w:p w14:paraId="7C8A3651" w14:textId="77777777" w:rsidR="00224102" w:rsidRPr="00604C75" w:rsidRDefault="00224102" w:rsidP="00224102">
            <w:pPr>
              <w:spacing w:line="204" w:lineRule="auto"/>
              <w:rPr>
                <w:bCs/>
                <w:noProof/>
                <w:sz w:val="14"/>
                <w:szCs w:val="14"/>
                <w:lang w:val="tr-TR"/>
              </w:rPr>
            </w:pPr>
            <w:r w:rsidRPr="00604C75">
              <w:rPr>
                <w:bCs/>
                <w:noProof/>
                <w:sz w:val="14"/>
                <w:szCs w:val="14"/>
                <w:lang w:val="tr-TR"/>
              </w:rPr>
              <w:t>6.3</w:t>
            </w:r>
          </w:p>
        </w:tc>
        <w:tc>
          <w:tcPr>
            <w:tcW w:w="4767" w:type="dxa"/>
            <w:noWrap/>
            <w:tcMar>
              <w:top w:w="18" w:type="dxa"/>
              <w:left w:w="18" w:type="dxa"/>
              <w:bottom w:w="0" w:type="dxa"/>
              <w:right w:w="18" w:type="dxa"/>
            </w:tcMar>
            <w:vAlign w:val="bottom"/>
          </w:tcPr>
          <w:p w14:paraId="5D52C719" w14:textId="77777777" w:rsidR="00224102" w:rsidRPr="00604C75" w:rsidRDefault="00224102" w:rsidP="00224102">
            <w:pPr>
              <w:spacing w:line="204" w:lineRule="auto"/>
              <w:rPr>
                <w:bCs/>
                <w:noProof/>
                <w:sz w:val="14"/>
                <w:szCs w:val="14"/>
                <w:lang w:val="tr-TR"/>
              </w:rPr>
            </w:pPr>
            <w:r w:rsidRPr="00604C75">
              <w:rPr>
                <w:bCs/>
                <w:noProof/>
                <w:sz w:val="14"/>
                <w:szCs w:val="14"/>
                <w:lang w:val="tr-TR"/>
              </w:rPr>
              <w:t>Specific Provisions (-)</w:t>
            </w:r>
          </w:p>
        </w:tc>
        <w:tc>
          <w:tcPr>
            <w:tcW w:w="531" w:type="dxa"/>
            <w:noWrap/>
            <w:tcMar>
              <w:top w:w="18" w:type="dxa"/>
              <w:left w:w="18" w:type="dxa"/>
              <w:bottom w:w="0" w:type="dxa"/>
              <w:right w:w="18" w:type="dxa"/>
            </w:tcMar>
            <w:vAlign w:val="bottom"/>
          </w:tcPr>
          <w:p w14:paraId="4BACE5B8" w14:textId="6C057FCD"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42F5A34D" w14:textId="316C56EF" w:rsidR="00224102" w:rsidRPr="00EF6596" w:rsidRDefault="00224102" w:rsidP="00224102">
            <w:pPr>
              <w:jc w:val="right"/>
              <w:rPr>
                <w:sz w:val="14"/>
                <w:szCs w:val="14"/>
              </w:rPr>
            </w:pPr>
            <w:r w:rsidRPr="00EF6596">
              <w:rPr>
                <w:sz w:val="14"/>
                <w:szCs w:val="14"/>
              </w:rPr>
              <w:t>268,728</w:t>
            </w:r>
          </w:p>
        </w:tc>
        <w:tc>
          <w:tcPr>
            <w:tcW w:w="791" w:type="dxa"/>
            <w:noWrap/>
            <w:tcMar>
              <w:top w:w="18" w:type="dxa"/>
              <w:left w:w="18" w:type="dxa"/>
              <w:bottom w:w="0" w:type="dxa"/>
              <w:right w:w="18" w:type="dxa"/>
            </w:tcMar>
            <w:vAlign w:val="bottom"/>
          </w:tcPr>
          <w:p w14:paraId="6486AA8B" w14:textId="29050EC7" w:rsidR="00224102" w:rsidRPr="00EF6596" w:rsidRDefault="00224102" w:rsidP="00224102">
            <w:pPr>
              <w:jc w:val="right"/>
              <w:rPr>
                <w:sz w:val="14"/>
                <w:szCs w:val="14"/>
              </w:rPr>
            </w:pPr>
            <w:r w:rsidRPr="00EF6596">
              <w:rPr>
                <w:sz w:val="14"/>
                <w:szCs w:val="14"/>
              </w:rPr>
              <w:t>12,772</w:t>
            </w:r>
          </w:p>
        </w:tc>
        <w:tc>
          <w:tcPr>
            <w:tcW w:w="745" w:type="dxa"/>
            <w:noWrap/>
            <w:tcMar>
              <w:top w:w="18" w:type="dxa"/>
              <w:left w:w="18" w:type="dxa"/>
              <w:bottom w:w="0" w:type="dxa"/>
              <w:right w:w="18" w:type="dxa"/>
            </w:tcMar>
            <w:vAlign w:val="bottom"/>
          </w:tcPr>
          <w:p w14:paraId="1D499414" w14:textId="2C5ADE39" w:rsidR="00224102" w:rsidRPr="00EF6596" w:rsidRDefault="00224102" w:rsidP="00224102">
            <w:pPr>
              <w:jc w:val="right"/>
              <w:rPr>
                <w:sz w:val="14"/>
                <w:szCs w:val="14"/>
              </w:rPr>
            </w:pPr>
            <w:r w:rsidRPr="00EF6596">
              <w:rPr>
                <w:sz w:val="14"/>
                <w:szCs w:val="14"/>
              </w:rPr>
              <w:t>281,500</w:t>
            </w:r>
          </w:p>
        </w:tc>
        <w:tc>
          <w:tcPr>
            <w:tcW w:w="745" w:type="dxa"/>
            <w:noWrap/>
            <w:tcMar>
              <w:top w:w="18" w:type="dxa"/>
              <w:left w:w="18" w:type="dxa"/>
              <w:bottom w:w="0" w:type="dxa"/>
              <w:right w:w="18" w:type="dxa"/>
            </w:tcMar>
            <w:vAlign w:val="bottom"/>
          </w:tcPr>
          <w:p w14:paraId="2AC2873A" w14:textId="26209B05" w:rsidR="00224102" w:rsidRPr="00692926" w:rsidRDefault="00224102" w:rsidP="00224102">
            <w:pPr>
              <w:spacing w:line="221" w:lineRule="auto"/>
              <w:jc w:val="right"/>
              <w:rPr>
                <w:sz w:val="14"/>
                <w:szCs w:val="14"/>
              </w:rPr>
            </w:pPr>
            <w:r w:rsidRPr="00692926">
              <w:rPr>
                <w:sz w:val="14"/>
                <w:szCs w:val="14"/>
              </w:rPr>
              <w:t>256,000</w:t>
            </w:r>
          </w:p>
        </w:tc>
        <w:tc>
          <w:tcPr>
            <w:tcW w:w="659" w:type="dxa"/>
            <w:noWrap/>
            <w:tcMar>
              <w:top w:w="18" w:type="dxa"/>
              <w:left w:w="18" w:type="dxa"/>
              <w:bottom w:w="0" w:type="dxa"/>
              <w:right w:w="18" w:type="dxa"/>
            </w:tcMar>
            <w:vAlign w:val="bottom"/>
          </w:tcPr>
          <w:p w14:paraId="03CA8C3F" w14:textId="1A7F0A96" w:rsidR="00224102" w:rsidRPr="00692926" w:rsidRDefault="00224102" w:rsidP="00224102">
            <w:pPr>
              <w:spacing w:line="221" w:lineRule="auto"/>
              <w:jc w:val="right"/>
              <w:rPr>
                <w:sz w:val="14"/>
                <w:szCs w:val="14"/>
              </w:rPr>
            </w:pPr>
            <w:r w:rsidRPr="00692926">
              <w:rPr>
                <w:sz w:val="14"/>
                <w:szCs w:val="14"/>
              </w:rPr>
              <w:t>13,243</w:t>
            </w:r>
          </w:p>
        </w:tc>
        <w:tc>
          <w:tcPr>
            <w:tcW w:w="686" w:type="dxa"/>
            <w:noWrap/>
            <w:tcMar>
              <w:top w:w="18" w:type="dxa"/>
              <w:left w:w="18" w:type="dxa"/>
              <w:bottom w:w="0" w:type="dxa"/>
              <w:right w:w="18" w:type="dxa"/>
            </w:tcMar>
            <w:vAlign w:val="bottom"/>
          </w:tcPr>
          <w:p w14:paraId="0C730E01" w14:textId="3EFEA0CC" w:rsidR="00224102" w:rsidRPr="00692926" w:rsidRDefault="00224102" w:rsidP="00224102">
            <w:pPr>
              <w:spacing w:line="221" w:lineRule="auto"/>
              <w:jc w:val="right"/>
              <w:rPr>
                <w:sz w:val="14"/>
                <w:szCs w:val="14"/>
              </w:rPr>
            </w:pPr>
            <w:r w:rsidRPr="00692926">
              <w:rPr>
                <w:sz w:val="14"/>
                <w:szCs w:val="14"/>
              </w:rPr>
              <w:t>269,243</w:t>
            </w:r>
          </w:p>
        </w:tc>
      </w:tr>
      <w:tr w:rsidR="00224102" w:rsidRPr="00604C75" w14:paraId="0DCAB1BE" w14:textId="77777777" w:rsidTr="00373D13">
        <w:trPr>
          <w:trHeight w:val="154"/>
        </w:trPr>
        <w:tc>
          <w:tcPr>
            <w:tcW w:w="557" w:type="dxa"/>
            <w:noWrap/>
            <w:tcMar>
              <w:top w:w="18" w:type="dxa"/>
              <w:left w:w="18" w:type="dxa"/>
              <w:bottom w:w="0" w:type="dxa"/>
              <w:right w:w="18" w:type="dxa"/>
            </w:tcMar>
            <w:vAlign w:val="bottom"/>
          </w:tcPr>
          <w:p w14:paraId="7FD6C6FE"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VII.</w:t>
            </w:r>
          </w:p>
        </w:tc>
        <w:tc>
          <w:tcPr>
            <w:tcW w:w="4767" w:type="dxa"/>
            <w:noWrap/>
            <w:tcMar>
              <w:top w:w="18" w:type="dxa"/>
              <w:left w:w="18" w:type="dxa"/>
              <w:bottom w:w="0" w:type="dxa"/>
              <w:right w:w="18" w:type="dxa"/>
            </w:tcMar>
            <w:vAlign w:val="bottom"/>
          </w:tcPr>
          <w:p w14:paraId="6D9CEA51"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FACTORING RECEIVABLES</w:t>
            </w:r>
          </w:p>
        </w:tc>
        <w:tc>
          <w:tcPr>
            <w:tcW w:w="531" w:type="dxa"/>
            <w:noWrap/>
            <w:tcMar>
              <w:top w:w="18" w:type="dxa"/>
              <w:left w:w="18" w:type="dxa"/>
              <w:bottom w:w="0" w:type="dxa"/>
              <w:right w:w="18" w:type="dxa"/>
            </w:tcMar>
            <w:vAlign w:val="bottom"/>
          </w:tcPr>
          <w:p w14:paraId="37D622EE" w14:textId="17AE6AB3"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2D06E7E4" w14:textId="401DE158" w:rsidR="00224102" w:rsidRPr="00EF6596" w:rsidRDefault="00224102" w:rsidP="00224102">
            <w:pPr>
              <w:jc w:val="right"/>
              <w:rPr>
                <w:b/>
                <w:bCs/>
                <w:sz w:val="14"/>
                <w:szCs w:val="14"/>
              </w:rPr>
            </w:pPr>
            <w:r w:rsidRPr="00EF6596">
              <w:rPr>
                <w:b/>
                <w:bCs/>
                <w:sz w:val="14"/>
                <w:szCs w:val="14"/>
              </w:rPr>
              <w:t>-</w:t>
            </w:r>
          </w:p>
        </w:tc>
        <w:tc>
          <w:tcPr>
            <w:tcW w:w="791" w:type="dxa"/>
            <w:noWrap/>
            <w:tcMar>
              <w:top w:w="18" w:type="dxa"/>
              <w:left w:w="18" w:type="dxa"/>
              <w:bottom w:w="0" w:type="dxa"/>
              <w:right w:w="18" w:type="dxa"/>
            </w:tcMar>
            <w:vAlign w:val="bottom"/>
          </w:tcPr>
          <w:p w14:paraId="7CFAF116" w14:textId="14EBD77F"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41FFE256" w14:textId="21F4B872"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109AD523" w14:textId="0292641E" w:rsidR="00224102" w:rsidRPr="00692926" w:rsidRDefault="00224102" w:rsidP="00224102">
            <w:pPr>
              <w:spacing w:line="221" w:lineRule="auto"/>
              <w:jc w:val="right"/>
              <w:rPr>
                <w:sz w:val="14"/>
                <w:szCs w:val="14"/>
              </w:rPr>
            </w:pPr>
            <w:r w:rsidRPr="004F7E74">
              <w:rPr>
                <w:b/>
                <w:sz w:val="14"/>
                <w:szCs w:val="14"/>
              </w:rPr>
              <w:t>-</w:t>
            </w:r>
          </w:p>
        </w:tc>
        <w:tc>
          <w:tcPr>
            <w:tcW w:w="659" w:type="dxa"/>
            <w:noWrap/>
            <w:tcMar>
              <w:top w:w="18" w:type="dxa"/>
              <w:left w:w="18" w:type="dxa"/>
              <w:bottom w:w="0" w:type="dxa"/>
              <w:right w:w="18" w:type="dxa"/>
            </w:tcMar>
            <w:vAlign w:val="bottom"/>
          </w:tcPr>
          <w:p w14:paraId="1EEF55AA" w14:textId="336B1876" w:rsidR="00224102" w:rsidRPr="00692926" w:rsidRDefault="00224102" w:rsidP="00224102">
            <w:pPr>
              <w:spacing w:line="221" w:lineRule="auto"/>
              <w:jc w:val="right"/>
              <w:rPr>
                <w:sz w:val="14"/>
                <w:szCs w:val="14"/>
              </w:rPr>
            </w:pPr>
            <w:r w:rsidRPr="004F7E74">
              <w:rPr>
                <w:b/>
                <w:sz w:val="14"/>
                <w:szCs w:val="14"/>
              </w:rPr>
              <w:t>-</w:t>
            </w:r>
          </w:p>
        </w:tc>
        <w:tc>
          <w:tcPr>
            <w:tcW w:w="686" w:type="dxa"/>
            <w:noWrap/>
            <w:tcMar>
              <w:top w:w="18" w:type="dxa"/>
              <w:left w:w="18" w:type="dxa"/>
              <w:bottom w:w="0" w:type="dxa"/>
              <w:right w:w="18" w:type="dxa"/>
            </w:tcMar>
            <w:vAlign w:val="bottom"/>
          </w:tcPr>
          <w:p w14:paraId="5EB62C34" w14:textId="5670C396" w:rsidR="00224102" w:rsidRPr="00692926" w:rsidRDefault="00224102" w:rsidP="00224102">
            <w:pPr>
              <w:spacing w:line="221" w:lineRule="auto"/>
              <w:jc w:val="right"/>
              <w:rPr>
                <w:sz w:val="14"/>
                <w:szCs w:val="14"/>
              </w:rPr>
            </w:pPr>
            <w:r w:rsidRPr="004F7E74">
              <w:rPr>
                <w:b/>
                <w:sz w:val="14"/>
                <w:szCs w:val="14"/>
              </w:rPr>
              <w:t>-</w:t>
            </w:r>
          </w:p>
        </w:tc>
      </w:tr>
      <w:tr w:rsidR="00224102" w:rsidRPr="00604C75" w14:paraId="39E0A4EE" w14:textId="77777777" w:rsidTr="00373D13">
        <w:trPr>
          <w:trHeight w:val="167"/>
        </w:trPr>
        <w:tc>
          <w:tcPr>
            <w:tcW w:w="557" w:type="dxa"/>
            <w:noWrap/>
            <w:tcMar>
              <w:top w:w="18" w:type="dxa"/>
              <w:left w:w="18" w:type="dxa"/>
              <w:bottom w:w="0" w:type="dxa"/>
              <w:right w:w="18" w:type="dxa"/>
            </w:tcMar>
            <w:vAlign w:val="bottom"/>
          </w:tcPr>
          <w:p w14:paraId="34117A40"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VIII.</w:t>
            </w:r>
          </w:p>
        </w:tc>
        <w:tc>
          <w:tcPr>
            <w:tcW w:w="4767" w:type="dxa"/>
            <w:noWrap/>
            <w:tcMar>
              <w:top w:w="18" w:type="dxa"/>
              <w:left w:w="18" w:type="dxa"/>
              <w:bottom w:w="0" w:type="dxa"/>
              <w:right w:w="18" w:type="dxa"/>
            </w:tcMar>
            <w:vAlign w:val="bottom"/>
          </w:tcPr>
          <w:p w14:paraId="1D8BB3E2"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HELD-TO-MATURITY SECURITIES (Net)</w:t>
            </w:r>
          </w:p>
        </w:tc>
        <w:tc>
          <w:tcPr>
            <w:tcW w:w="531" w:type="dxa"/>
            <w:noWrap/>
            <w:tcMar>
              <w:top w:w="18" w:type="dxa"/>
              <w:left w:w="18" w:type="dxa"/>
              <w:bottom w:w="0" w:type="dxa"/>
              <w:right w:w="18" w:type="dxa"/>
            </w:tcMar>
            <w:vAlign w:val="bottom"/>
          </w:tcPr>
          <w:p w14:paraId="13809549" w14:textId="47E3B66D"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I-f</w:t>
            </w:r>
          </w:p>
        </w:tc>
        <w:tc>
          <w:tcPr>
            <w:tcW w:w="630" w:type="dxa"/>
            <w:noWrap/>
            <w:tcMar>
              <w:top w:w="18" w:type="dxa"/>
              <w:left w:w="18" w:type="dxa"/>
              <w:bottom w:w="0" w:type="dxa"/>
              <w:right w:w="18" w:type="dxa"/>
            </w:tcMar>
            <w:vAlign w:val="bottom"/>
          </w:tcPr>
          <w:p w14:paraId="46EBBD21" w14:textId="53BE6CD5" w:rsidR="00224102" w:rsidRPr="00EF6596" w:rsidRDefault="00224102" w:rsidP="00224102">
            <w:pPr>
              <w:jc w:val="right"/>
              <w:rPr>
                <w:b/>
                <w:bCs/>
                <w:sz w:val="14"/>
                <w:szCs w:val="14"/>
              </w:rPr>
            </w:pPr>
            <w:r w:rsidRPr="00EF6596">
              <w:rPr>
                <w:b/>
                <w:bCs/>
                <w:sz w:val="14"/>
                <w:szCs w:val="14"/>
              </w:rPr>
              <w:t>-</w:t>
            </w:r>
          </w:p>
        </w:tc>
        <w:tc>
          <w:tcPr>
            <w:tcW w:w="791" w:type="dxa"/>
            <w:noWrap/>
            <w:tcMar>
              <w:top w:w="18" w:type="dxa"/>
              <w:left w:w="18" w:type="dxa"/>
              <w:bottom w:w="0" w:type="dxa"/>
              <w:right w:w="18" w:type="dxa"/>
            </w:tcMar>
            <w:vAlign w:val="bottom"/>
          </w:tcPr>
          <w:p w14:paraId="5CC369E3" w14:textId="08BEBF90"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4FC20D92" w14:textId="41489E07"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628F674A" w14:textId="3D4CDBED" w:rsidR="00224102" w:rsidRPr="00692926" w:rsidRDefault="00224102" w:rsidP="00224102">
            <w:pPr>
              <w:spacing w:line="221" w:lineRule="auto"/>
              <w:jc w:val="right"/>
              <w:rPr>
                <w:b/>
                <w:sz w:val="14"/>
                <w:szCs w:val="14"/>
              </w:rPr>
            </w:pPr>
            <w:r w:rsidRPr="00692926">
              <w:rPr>
                <w:b/>
                <w:sz w:val="14"/>
                <w:szCs w:val="14"/>
              </w:rPr>
              <w:t>-</w:t>
            </w:r>
          </w:p>
        </w:tc>
        <w:tc>
          <w:tcPr>
            <w:tcW w:w="659" w:type="dxa"/>
            <w:noWrap/>
            <w:tcMar>
              <w:top w:w="18" w:type="dxa"/>
              <w:left w:w="18" w:type="dxa"/>
              <w:bottom w:w="0" w:type="dxa"/>
              <w:right w:w="18" w:type="dxa"/>
            </w:tcMar>
            <w:vAlign w:val="bottom"/>
          </w:tcPr>
          <w:p w14:paraId="327A6623" w14:textId="6A6A0975" w:rsidR="00224102" w:rsidRPr="00692926" w:rsidRDefault="00224102" w:rsidP="00224102">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14:paraId="1CAD27E8" w14:textId="06D1B2E9" w:rsidR="00224102" w:rsidRPr="00692926" w:rsidRDefault="00224102" w:rsidP="00224102">
            <w:pPr>
              <w:spacing w:line="221" w:lineRule="auto"/>
              <w:jc w:val="right"/>
              <w:rPr>
                <w:b/>
                <w:sz w:val="14"/>
                <w:szCs w:val="14"/>
              </w:rPr>
            </w:pPr>
            <w:r w:rsidRPr="00692926">
              <w:rPr>
                <w:b/>
                <w:sz w:val="14"/>
                <w:szCs w:val="14"/>
              </w:rPr>
              <w:t>-</w:t>
            </w:r>
          </w:p>
        </w:tc>
      </w:tr>
      <w:tr w:rsidR="00224102" w:rsidRPr="00604C75" w14:paraId="330858AC" w14:textId="77777777" w:rsidTr="00373D13">
        <w:trPr>
          <w:trHeight w:val="151"/>
        </w:trPr>
        <w:tc>
          <w:tcPr>
            <w:tcW w:w="557" w:type="dxa"/>
            <w:noWrap/>
            <w:tcMar>
              <w:top w:w="18" w:type="dxa"/>
              <w:left w:w="18" w:type="dxa"/>
              <w:bottom w:w="0" w:type="dxa"/>
              <w:right w:w="18" w:type="dxa"/>
            </w:tcMar>
            <w:vAlign w:val="bottom"/>
          </w:tcPr>
          <w:p w14:paraId="7A241A65" w14:textId="77777777" w:rsidR="00224102" w:rsidRPr="00604C75" w:rsidRDefault="00224102" w:rsidP="00224102">
            <w:pPr>
              <w:spacing w:line="204" w:lineRule="auto"/>
              <w:rPr>
                <w:bCs/>
                <w:noProof/>
                <w:sz w:val="14"/>
                <w:szCs w:val="14"/>
                <w:lang w:val="tr-TR"/>
              </w:rPr>
            </w:pPr>
            <w:r w:rsidRPr="00604C75">
              <w:rPr>
                <w:bCs/>
                <w:noProof/>
                <w:sz w:val="14"/>
                <w:szCs w:val="14"/>
                <w:lang w:val="tr-TR"/>
              </w:rPr>
              <w:t>8.1</w:t>
            </w:r>
          </w:p>
        </w:tc>
        <w:tc>
          <w:tcPr>
            <w:tcW w:w="4767" w:type="dxa"/>
            <w:noWrap/>
            <w:tcMar>
              <w:top w:w="18" w:type="dxa"/>
              <w:left w:w="18" w:type="dxa"/>
              <w:bottom w:w="0" w:type="dxa"/>
              <w:right w:w="18" w:type="dxa"/>
            </w:tcMar>
            <w:vAlign w:val="bottom"/>
          </w:tcPr>
          <w:p w14:paraId="56159006" w14:textId="77777777" w:rsidR="00224102" w:rsidRPr="00604C75" w:rsidRDefault="00224102" w:rsidP="00224102">
            <w:pPr>
              <w:spacing w:line="204" w:lineRule="auto"/>
              <w:rPr>
                <w:bCs/>
                <w:noProof/>
                <w:sz w:val="14"/>
                <w:szCs w:val="14"/>
                <w:lang w:val="tr-TR"/>
              </w:rPr>
            </w:pPr>
            <w:r w:rsidRPr="00604C75">
              <w:rPr>
                <w:bCs/>
                <w:noProof/>
                <w:sz w:val="14"/>
                <w:szCs w:val="14"/>
                <w:lang w:val="tr-TR"/>
              </w:rPr>
              <w:t>Public Sector Debt Securities</w:t>
            </w:r>
          </w:p>
        </w:tc>
        <w:tc>
          <w:tcPr>
            <w:tcW w:w="531" w:type="dxa"/>
            <w:noWrap/>
            <w:tcMar>
              <w:top w:w="18" w:type="dxa"/>
              <w:left w:w="18" w:type="dxa"/>
              <w:bottom w:w="0" w:type="dxa"/>
              <w:right w:w="18" w:type="dxa"/>
            </w:tcMar>
            <w:vAlign w:val="bottom"/>
          </w:tcPr>
          <w:p w14:paraId="14430F6C" w14:textId="203611C1"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6BB36285" w14:textId="03A4A42D"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5BD782AC" w14:textId="17E87203"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75BCF226" w14:textId="5155C690"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6CA28AB2" w14:textId="7F299669"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32AFC846" w14:textId="2D2DA1A3"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1CA2F7C7" w14:textId="43F74B3F" w:rsidR="00224102" w:rsidRPr="00692926" w:rsidRDefault="00224102" w:rsidP="00224102">
            <w:pPr>
              <w:spacing w:line="221" w:lineRule="auto"/>
              <w:jc w:val="right"/>
              <w:rPr>
                <w:sz w:val="14"/>
                <w:szCs w:val="14"/>
              </w:rPr>
            </w:pPr>
            <w:r w:rsidRPr="00692926">
              <w:rPr>
                <w:sz w:val="14"/>
                <w:szCs w:val="14"/>
              </w:rPr>
              <w:t>-</w:t>
            </w:r>
          </w:p>
        </w:tc>
      </w:tr>
      <w:tr w:rsidR="00224102" w:rsidRPr="00604C75" w14:paraId="37A35A28" w14:textId="77777777" w:rsidTr="00373D13">
        <w:trPr>
          <w:trHeight w:val="62"/>
        </w:trPr>
        <w:tc>
          <w:tcPr>
            <w:tcW w:w="557" w:type="dxa"/>
            <w:noWrap/>
            <w:tcMar>
              <w:top w:w="18" w:type="dxa"/>
              <w:left w:w="18" w:type="dxa"/>
              <w:bottom w:w="0" w:type="dxa"/>
              <w:right w:w="18" w:type="dxa"/>
            </w:tcMar>
            <w:vAlign w:val="bottom"/>
          </w:tcPr>
          <w:p w14:paraId="623E8DFB" w14:textId="77777777" w:rsidR="00224102" w:rsidRPr="00604C75" w:rsidRDefault="00224102" w:rsidP="00224102">
            <w:pPr>
              <w:spacing w:line="204" w:lineRule="auto"/>
              <w:rPr>
                <w:bCs/>
                <w:noProof/>
                <w:sz w:val="14"/>
                <w:szCs w:val="14"/>
                <w:lang w:val="tr-TR"/>
              </w:rPr>
            </w:pPr>
            <w:r w:rsidRPr="00604C75">
              <w:rPr>
                <w:bCs/>
                <w:noProof/>
                <w:sz w:val="14"/>
                <w:szCs w:val="14"/>
                <w:lang w:val="tr-TR"/>
              </w:rPr>
              <w:t>8.2</w:t>
            </w:r>
          </w:p>
        </w:tc>
        <w:tc>
          <w:tcPr>
            <w:tcW w:w="4767" w:type="dxa"/>
            <w:noWrap/>
            <w:tcMar>
              <w:top w:w="18" w:type="dxa"/>
              <w:left w:w="18" w:type="dxa"/>
              <w:bottom w:w="0" w:type="dxa"/>
              <w:right w:w="18" w:type="dxa"/>
            </w:tcMar>
            <w:vAlign w:val="bottom"/>
          </w:tcPr>
          <w:p w14:paraId="14D9CBAD" w14:textId="77777777" w:rsidR="00224102" w:rsidRPr="00604C75" w:rsidRDefault="00224102" w:rsidP="00224102">
            <w:pPr>
              <w:spacing w:line="204" w:lineRule="auto"/>
              <w:rPr>
                <w:bCs/>
                <w:noProof/>
                <w:sz w:val="14"/>
                <w:szCs w:val="14"/>
                <w:lang w:val="tr-TR"/>
              </w:rPr>
            </w:pPr>
            <w:r w:rsidRPr="00604C75">
              <w:rPr>
                <w:bCs/>
                <w:noProof/>
                <w:sz w:val="14"/>
                <w:szCs w:val="14"/>
                <w:lang w:val="tr-TR"/>
              </w:rPr>
              <w:t>Other Marketable Securities</w:t>
            </w:r>
          </w:p>
        </w:tc>
        <w:tc>
          <w:tcPr>
            <w:tcW w:w="531" w:type="dxa"/>
            <w:noWrap/>
            <w:tcMar>
              <w:top w:w="18" w:type="dxa"/>
              <w:left w:w="18" w:type="dxa"/>
              <w:bottom w:w="0" w:type="dxa"/>
              <w:right w:w="18" w:type="dxa"/>
            </w:tcMar>
            <w:vAlign w:val="bottom"/>
          </w:tcPr>
          <w:p w14:paraId="02675822" w14:textId="0C329F24"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51ACD13D" w14:textId="25703A20"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6DE3F68A" w14:textId="106BE1A8"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5D75F3C2" w14:textId="7E9D4549"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1153B69" w14:textId="7F969728"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7694EE21" w14:textId="4607D837"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4A8050AA" w14:textId="048F3E0E" w:rsidR="00224102" w:rsidRPr="00692926" w:rsidRDefault="00224102" w:rsidP="00224102">
            <w:pPr>
              <w:spacing w:line="221" w:lineRule="auto"/>
              <w:jc w:val="right"/>
              <w:rPr>
                <w:sz w:val="14"/>
                <w:szCs w:val="14"/>
              </w:rPr>
            </w:pPr>
            <w:r w:rsidRPr="00692926">
              <w:rPr>
                <w:sz w:val="14"/>
                <w:szCs w:val="14"/>
              </w:rPr>
              <w:t>-</w:t>
            </w:r>
          </w:p>
        </w:tc>
      </w:tr>
      <w:tr w:rsidR="00224102" w:rsidRPr="00604C75" w14:paraId="595064BF" w14:textId="77777777" w:rsidTr="00373D13">
        <w:trPr>
          <w:trHeight w:val="133"/>
        </w:trPr>
        <w:tc>
          <w:tcPr>
            <w:tcW w:w="557" w:type="dxa"/>
            <w:noWrap/>
            <w:tcMar>
              <w:top w:w="18" w:type="dxa"/>
              <w:left w:w="18" w:type="dxa"/>
              <w:bottom w:w="0" w:type="dxa"/>
              <w:right w:w="18" w:type="dxa"/>
            </w:tcMar>
            <w:vAlign w:val="bottom"/>
          </w:tcPr>
          <w:p w14:paraId="10C6868D"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IX.</w:t>
            </w:r>
          </w:p>
        </w:tc>
        <w:tc>
          <w:tcPr>
            <w:tcW w:w="4767" w:type="dxa"/>
            <w:noWrap/>
            <w:tcMar>
              <w:top w:w="18" w:type="dxa"/>
              <w:left w:w="18" w:type="dxa"/>
              <w:bottom w:w="0" w:type="dxa"/>
              <w:right w:w="18" w:type="dxa"/>
            </w:tcMar>
            <w:vAlign w:val="bottom"/>
          </w:tcPr>
          <w:p w14:paraId="2B2496C8"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INVESTMENTS IN ASSOCIATES (Net)</w:t>
            </w:r>
          </w:p>
        </w:tc>
        <w:tc>
          <w:tcPr>
            <w:tcW w:w="531" w:type="dxa"/>
            <w:noWrap/>
            <w:tcMar>
              <w:top w:w="18" w:type="dxa"/>
              <w:left w:w="18" w:type="dxa"/>
              <w:bottom w:w="0" w:type="dxa"/>
              <w:right w:w="18" w:type="dxa"/>
            </w:tcMar>
            <w:vAlign w:val="bottom"/>
          </w:tcPr>
          <w:p w14:paraId="35B93C0A" w14:textId="35947AAE"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I-g</w:t>
            </w:r>
          </w:p>
        </w:tc>
        <w:tc>
          <w:tcPr>
            <w:tcW w:w="630" w:type="dxa"/>
            <w:noWrap/>
            <w:tcMar>
              <w:top w:w="18" w:type="dxa"/>
              <w:left w:w="18" w:type="dxa"/>
              <w:bottom w:w="0" w:type="dxa"/>
              <w:right w:w="18" w:type="dxa"/>
            </w:tcMar>
            <w:vAlign w:val="bottom"/>
          </w:tcPr>
          <w:p w14:paraId="1E412D1E" w14:textId="3AD6FB2A" w:rsidR="00224102" w:rsidRPr="00EF6596" w:rsidRDefault="00224102" w:rsidP="00224102">
            <w:pPr>
              <w:jc w:val="right"/>
              <w:rPr>
                <w:b/>
                <w:bCs/>
                <w:sz w:val="14"/>
                <w:szCs w:val="14"/>
              </w:rPr>
            </w:pPr>
            <w:r w:rsidRPr="00EF6596">
              <w:rPr>
                <w:b/>
                <w:bCs/>
                <w:sz w:val="14"/>
                <w:szCs w:val="14"/>
              </w:rPr>
              <w:t>-</w:t>
            </w:r>
          </w:p>
        </w:tc>
        <w:tc>
          <w:tcPr>
            <w:tcW w:w="791" w:type="dxa"/>
            <w:noWrap/>
            <w:tcMar>
              <w:top w:w="18" w:type="dxa"/>
              <w:left w:w="18" w:type="dxa"/>
              <w:bottom w:w="0" w:type="dxa"/>
              <w:right w:w="18" w:type="dxa"/>
            </w:tcMar>
            <w:vAlign w:val="bottom"/>
          </w:tcPr>
          <w:p w14:paraId="456C9770" w14:textId="75D9C90E"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71FA7EB9" w14:textId="74D63840"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31DC73A6" w14:textId="788923FC" w:rsidR="00224102" w:rsidRPr="00692926" w:rsidRDefault="00224102" w:rsidP="00224102">
            <w:pPr>
              <w:spacing w:line="221" w:lineRule="auto"/>
              <w:jc w:val="right"/>
              <w:rPr>
                <w:sz w:val="14"/>
                <w:szCs w:val="14"/>
              </w:rPr>
            </w:pPr>
            <w:r w:rsidRPr="004F7E74">
              <w:rPr>
                <w:b/>
                <w:sz w:val="14"/>
                <w:szCs w:val="14"/>
              </w:rPr>
              <w:t>-</w:t>
            </w:r>
          </w:p>
        </w:tc>
        <w:tc>
          <w:tcPr>
            <w:tcW w:w="659" w:type="dxa"/>
            <w:noWrap/>
            <w:tcMar>
              <w:top w:w="18" w:type="dxa"/>
              <w:left w:w="18" w:type="dxa"/>
              <w:bottom w:w="0" w:type="dxa"/>
              <w:right w:w="18" w:type="dxa"/>
            </w:tcMar>
            <w:vAlign w:val="bottom"/>
          </w:tcPr>
          <w:p w14:paraId="714D6545" w14:textId="04609177" w:rsidR="00224102" w:rsidRPr="00692926" w:rsidRDefault="00224102" w:rsidP="00224102">
            <w:pPr>
              <w:spacing w:line="221" w:lineRule="auto"/>
              <w:jc w:val="right"/>
              <w:rPr>
                <w:sz w:val="14"/>
                <w:szCs w:val="14"/>
              </w:rPr>
            </w:pPr>
            <w:r w:rsidRPr="004F7E74">
              <w:rPr>
                <w:b/>
                <w:sz w:val="14"/>
                <w:szCs w:val="14"/>
              </w:rPr>
              <w:t>-</w:t>
            </w:r>
          </w:p>
        </w:tc>
        <w:tc>
          <w:tcPr>
            <w:tcW w:w="686" w:type="dxa"/>
            <w:noWrap/>
            <w:tcMar>
              <w:top w:w="18" w:type="dxa"/>
              <w:left w:w="18" w:type="dxa"/>
              <w:bottom w:w="0" w:type="dxa"/>
              <w:right w:w="18" w:type="dxa"/>
            </w:tcMar>
            <w:vAlign w:val="bottom"/>
          </w:tcPr>
          <w:p w14:paraId="4132EA39" w14:textId="66C158C3" w:rsidR="00224102" w:rsidRPr="00692926" w:rsidRDefault="00224102" w:rsidP="00224102">
            <w:pPr>
              <w:spacing w:line="221" w:lineRule="auto"/>
              <w:jc w:val="right"/>
              <w:rPr>
                <w:sz w:val="14"/>
                <w:szCs w:val="14"/>
              </w:rPr>
            </w:pPr>
            <w:r w:rsidRPr="004F7E74">
              <w:rPr>
                <w:b/>
                <w:sz w:val="14"/>
                <w:szCs w:val="14"/>
              </w:rPr>
              <w:t>-</w:t>
            </w:r>
          </w:p>
        </w:tc>
      </w:tr>
      <w:tr w:rsidR="00224102" w:rsidRPr="00604C75" w14:paraId="6F40BAAE" w14:textId="77777777" w:rsidTr="00373D13">
        <w:trPr>
          <w:trHeight w:val="145"/>
        </w:trPr>
        <w:tc>
          <w:tcPr>
            <w:tcW w:w="557" w:type="dxa"/>
            <w:noWrap/>
            <w:tcMar>
              <w:top w:w="18" w:type="dxa"/>
              <w:left w:w="18" w:type="dxa"/>
              <w:bottom w:w="0" w:type="dxa"/>
              <w:right w:w="18" w:type="dxa"/>
            </w:tcMar>
            <w:vAlign w:val="bottom"/>
          </w:tcPr>
          <w:p w14:paraId="7C35DDA2" w14:textId="77777777" w:rsidR="00224102" w:rsidRPr="00604C75" w:rsidRDefault="00224102" w:rsidP="00224102">
            <w:pPr>
              <w:spacing w:line="204" w:lineRule="auto"/>
              <w:rPr>
                <w:bCs/>
                <w:noProof/>
                <w:sz w:val="14"/>
                <w:szCs w:val="14"/>
                <w:lang w:val="tr-TR"/>
              </w:rPr>
            </w:pPr>
            <w:r w:rsidRPr="00604C75">
              <w:rPr>
                <w:bCs/>
                <w:noProof/>
                <w:sz w:val="14"/>
                <w:szCs w:val="14"/>
                <w:lang w:val="tr-TR"/>
              </w:rPr>
              <w:t>9.1</w:t>
            </w:r>
          </w:p>
        </w:tc>
        <w:tc>
          <w:tcPr>
            <w:tcW w:w="4767" w:type="dxa"/>
            <w:noWrap/>
            <w:tcMar>
              <w:top w:w="18" w:type="dxa"/>
              <w:left w:w="18" w:type="dxa"/>
              <w:bottom w:w="0" w:type="dxa"/>
              <w:right w:w="18" w:type="dxa"/>
            </w:tcMar>
            <w:vAlign w:val="bottom"/>
          </w:tcPr>
          <w:p w14:paraId="39847F6C" w14:textId="77777777" w:rsidR="00224102" w:rsidRPr="00604C75" w:rsidRDefault="00224102" w:rsidP="00224102">
            <w:pPr>
              <w:spacing w:line="204" w:lineRule="auto"/>
              <w:rPr>
                <w:bCs/>
                <w:noProof/>
                <w:sz w:val="14"/>
                <w:szCs w:val="14"/>
                <w:lang w:val="tr-TR"/>
              </w:rPr>
            </w:pPr>
            <w:r w:rsidRPr="00604C75">
              <w:rPr>
                <w:bCs/>
                <w:noProof/>
                <w:sz w:val="14"/>
                <w:szCs w:val="14"/>
                <w:lang w:val="tr-TR"/>
              </w:rPr>
              <w:t>Accounted for under Equity Method</w:t>
            </w:r>
          </w:p>
        </w:tc>
        <w:tc>
          <w:tcPr>
            <w:tcW w:w="531" w:type="dxa"/>
            <w:noWrap/>
            <w:tcMar>
              <w:top w:w="18" w:type="dxa"/>
              <w:left w:w="18" w:type="dxa"/>
              <w:bottom w:w="0" w:type="dxa"/>
              <w:right w:w="18" w:type="dxa"/>
            </w:tcMar>
            <w:vAlign w:val="bottom"/>
          </w:tcPr>
          <w:p w14:paraId="2B19178B" w14:textId="735A5AA9"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7CA90A02" w14:textId="4D545633"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7BF1D8BF" w14:textId="21B6CB28"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815187E" w14:textId="1D345706"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C594C0D" w14:textId="71E8C2A1"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78C763FD" w14:textId="7BA3F4FB"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1453D5E0" w14:textId="29B6EFC8" w:rsidR="00224102" w:rsidRPr="00692926" w:rsidRDefault="00224102" w:rsidP="00224102">
            <w:pPr>
              <w:spacing w:line="221" w:lineRule="auto"/>
              <w:jc w:val="right"/>
              <w:rPr>
                <w:sz w:val="14"/>
                <w:szCs w:val="14"/>
              </w:rPr>
            </w:pPr>
            <w:r w:rsidRPr="00692926">
              <w:rPr>
                <w:sz w:val="14"/>
                <w:szCs w:val="14"/>
              </w:rPr>
              <w:t>-</w:t>
            </w:r>
          </w:p>
        </w:tc>
      </w:tr>
      <w:tr w:rsidR="00224102" w:rsidRPr="00604C75" w14:paraId="3CC7E6F5" w14:textId="77777777" w:rsidTr="00373D13">
        <w:trPr>
          <w:trHeight w:val="129"/>
        </w:trPr>
        <w:tc>
          <w:tcPr>
            <w:tcW w:w="557" w:type="dxa"/>
            <w:noWrap/>
            <w:tcMar>
              <w:top w:w="18" w:type="dxa"/>
              <w:left w:w="18" w:type="dxa"/>
              <w:bottom w:w="0" w:type="dxa"/>
              <w:right w:w="18" w:type="dxa"/>
            </w:tcMar>
            <w:vAlign w:val="bottom"/>
          </w:tcPr>
          <w:p w14:paraId="214689EB" w14:textId="77777777" w:rsidR="00224102" w:rsidRPr="00604C75" w:rsidRDefault="00224102" w:rsidP="00224102">
            <w:pPr>
              <w:spacing w:line="204" w:lineRule="auto"/>
              <w:rPr>
                <w:bCs/>
                <w:noProof/>
                <w:sz w:val="14"/>
                <w:szCs w:val="14"/>
                <w:lang w:val="tr-TR"/>
              </w:rPr>
            </w:pPr>
            <w:r w:rsidRPr="00604C75">
              <w:rPr>
                <w:bCs/>
                <w:noProof/>
                <w:sz w:val="14"/>
                <w:szCs w:val="14"/>
                <w:lang w:val="tr-TR"/>
              </w:rPr>
              <w:t>9.2</w:t>
            </w:r>
          </w:p>
        </w:tc>
        <w:tc>
          <w:tcPr>
            <w:tcW w:w="4767" w:type="dxa"/>
            <w:noWrap/>
            <w:tcMar>
              <w:top w:w="18" w:type="dxa"/>
              <w:left w:w="18" w:type="dxa"/>
              <w:bottom w:w="0" w:type="dxa"/>
              <w:right w:w="18" w:type="dxa"/>
            </w:tcMar>
            <w:vAlign w:val="bottom"/>
          </w:tcPr>
          <w:p w14:paraId="2A25B4A5" w14:textId="77777777" w:rsidR="00224102" w:rsidRPr="00604C75" w:rsidRDefault="00224102" w:rsidP="00224102">
            <w:pPr>
              <w:spacing w:line="204" w:lineRule="auto"/>
              <w:rPr>
                <w:bCs/>
                <w:noProof/>
                <w:sz w:val="14"/>
                <w:szCs w:val="14"/>
                <w:lang w:val="tr-TR"/>
              </w:rPr>
            </w:pPr>
            <w:r w:rsidRPr="00604C75">
              <w:rPr>
                <w:bCs/>
                <w:noProof/>
                <w:sz w:val="14"/>
                <w:szCs w:val="14"/>
                <w:lang w:val="tr-TR"/>
              </w:rPr>
              <w:t>Unconsolidated Associates</w:t>
            </w:r>
          </w:p>
        </w:tc>
        <w:tc>
          <w:tcPr>
            <w:tcW w:w="531" w:type="dxa"/>
            <w:noWrap/>
            <w:tcMar>
              <w:top w:w="18" w:type="dxa"/>
              <w:left w:w="18" w:type="dxa"/>
              <w:bottom w:w="0" w:type="dxa"/>
              <w:right w:w="18" w:type="dxa"/>
            </w:tcMar>
            <w:vAlign w:val="bottom"/>
          </w:tcPr>
          <w:p w14:paraId="038FE13B" w14:textId="77777777" w:rsidR="00224102" w:rsidRPr="00604C75" w:rsidRDefault="00224102" w:rsidP="00224102">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14:paraId="41C04C41" w14:textId="71F50D14"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093A3FD2" w14:textId="63A6A958"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AAF057A" w14:textId="361A2D5F"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4771D6E9" w14:textId="5B62F133"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754E8E52" w14:textId="1B15E1B5"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61B6CC49" w14:textId="2D15AE81" w:rsidR="00224102" w:rsidRPr="00692926" w:rsidRDefault="00224102" w:rsidP="00224102">
            <w:pPr>
              <w:spacing w:line="221" w:lineRule="auto"/>
              <w:jc w:val="right"/>
              <w:rPr>
                <w:sz w:val="14"/>
                <w:szCs w:val="14"/>
              </w:rPr>
            </w:pPr>
            <w:r w:rsidRPr="00692926">
              <w:rPr>
                <w:sz w:val="14"/>
                <w:szCs w:val="14"/>
              </w:rPr>
              <w:t>-</w:t>
            </w:r>
          </w:p>
        </w:tc>
      </w:tr>
      <w:tr w:rsidR="00224102" w:rsidRPr="00604C75" w14:paraId="1D8BFCE6" w14:textId="77777777" w:rsidTr="00373D13">
        <w:trPr>
          <w:trHeight w:val="141"/>
        </w:trPr>
        <w:tc>
          <w:tcPr>
            <w:tcW w:w="557" w:type="dxa"/>
            <w:noWrap/>
            <w:tcMar>
              <w:top w:w="18" w:type="dxa"/>
              <w:left w:w="18" w:type="dxa"/>
              <w:bottom w:w="0" w:type="dxa"/>
              <w:right w:w="18" w:type="dxa"/>
            </w:tcMar>
            <w:vAlign w:val="bottom"/>
          </w:tcPr>
          <w:p w14:paraId="5BF4280F" w14:textId="77777777" w:rsidR="00224102" w:rsidRPr="00604C75" w:rsidRDefault="00224102" w:rsidP="00224102">
            <w:pPr>
              <w:spacing w:line="204" w:lineRule="auto"/>
              <w:rPr>
                <w:bCs/>
                <w:noProof/>
                <w:sz w:val="14"/>
                <w:szCs w:val="14"/>
                <w:lang w:val="tr-TR"/>
              </w:rPr>
            </w:pPr>
            <w:r w:rsidRPr="00604C75">
              <w:rPr>
                <w:bCs/>
                <w:noProof/>
                <w:sz w:val="14"/>
                <w:szCs w:val="14"/>
                <w:lang w:val="tr-TR"/>
              </w:rPr>
              <w:t>9.2.1</w:t>
            </w:r>
          </w:p>
        </w:tc>
        <w:tc>
          <w:tcPr>
            <w:tcW w:w="4767" w:type="dxa"/>
            <w:noWrap/>
            <w:tcMar>
              <w:top w:w="18" w:type="dxa"/>
              <w:left w:w="18" w:type="dxa"/>
              <w:bottom w:w="0" w:type="dxa"/>
              <w:right w:w="18" w:type="dxa"/>
            </w:tcMar>
            <w:vAlign w:val="bottom"/>
          </w:tcPr>
          <w:p w14:paraId="40B1A63C" w14:textId="77777777" w:rsidR="00224102" w:rsidRPr="00604C75" w:rsidRDefault="00224102" w:rsidP="00224102">
            <w:pPr>
              <w:spacing w:line="204" w:lineRule="auto"/>
              <w:rPr>
                <w:bCs/>
                <w:noProof/>
                <w:sz w:val="14"/>
                <w:szCs w:val="14"/>
                <w:lang w:val="tr-TR"/>
              </w:rPr>
            </w:pPr>
            <w:r w:rsidRPr="00604C75">
              <w:rPr>
                <w:bCs/>
                <w:noProof/>
                <w:sz w:val="14"/>
                <w:szCs w:val="14"/>
                <w:lang w:val="tr-TR"/>
              </w:rPr>
              <w:t xml:space="preserve">Financial Investments </w:t>
            </w:r>
          </w:p>
        </w:tc>
        <w:tc>
          <w:tcPr>
            <w:tcW w:w="531" w:type="dxa"/>
            <w:noWrap/>
            <w:tcMar>
              <w:top w:w="18" w:type="dxa"/>
              <w:left w:w="18" w:type="dxa"/>
              <w:bottom w:w="0" w:type="dxa"/>
              <w:right w:w="18" w:type="dxa"/>
            </w:tcMar>
            <w:vAlign w:val="bottom"/>
          </w:tcPr>
          <w:p w14:paraId="7A431D04" w14:textId="14BBF0A5"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7BBD1EC1" w14:textId="7170D560"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2151DF81" w14:textId="4F283E07"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5CF82869" w14:textId="1FCA04D5"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3733281A" w14:textId="34591FD7"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40962CC3" w14:textId="2DD3A90D"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5C3FFAF9" w14:textId="745DF9E9" w:rsidR="00224102" w:rsidRPr="00692926" w:rsidRDefault="00224102" w:rsidP="00224102">
            <w:pPr>
              <w:spacing w:line="221" w:lineRule="auto"/>
              <w:jc w:val="right"/>
              <w:rPr>
                <w:sz w:val="14"/>
                <w:szCs w:val="14"/>
              </w:rPr>
            </w:pPr>
            <w:r w:rsidRPr="00692926">
              <w:rPr>
                <w:sz w:val="14"/>
                <w:szCs w:val="14"/>
              </w:rPr>
              <w:t>-</w:t>
            </w:r>
          </w:p>
        </w:tc>
      </w:tr>
      <w:tr w:rsidR="00224102" w:rsidRPr="00604C75" w14:paraId="3644B20F" w14:textId="77777777" w:rsidTr="00373D13">
        <w:trPr>
          <w:trHeight w:val="139"/>
        </w:trPr>
        <w:tc>
          <w:tcPr>
            <w:tcW w:w="557" w:type="dxa"/>
            <w:noWrap/>
            <w:tcMar>
              <w:top w:w="18" w:type="dxa"/>
              <w:left w:w="18" w:type="dxa"/>
              <w:bottom w:w="0" w:type="dxa"/>
              <w:right w:w="18" w:type="dxa"/>
            </w:tcMar>
            <w:vAlign w:val="bottom"/>
          </w:tcPr>
          <w:p w14:paraId="1E71C040" w14:textId="77777777" w:rsidR="00224102" w:rsidRPr="00604C75" w:rsidRDefault="00224102" w:rsidP="00224102">
            <w:pPr>
              <w:spacing w:line="204" w:lineRule="auto"/>
              <w:rPr>
                <w:bCs/>
                <w:noProof/>
                <w:sz w:val="14"/>
                <w:szCs w:val="14"/>
                <w:lang w:val="tr-TR"/>
              </w:rPr>
            </w:pPr>
            <w:r w:rsidRPr="00604C75">
              <w:rPr>
                <w:bCs/>
                <w:noProof/>
                <w:sz w:val="14"/>
                <w:szCs w:val="14"/>
                <w:lang w:val="tr-TR"/>
              </w:rPr>
              <w:t>9.2.2</w:t>
            </w:r>
          </w:p>
        </w:tc>
        <w:tc>
          <w:tcPr>
            <w:tcW w:w="4767" w:type="dxa"/>
            <w:noWrap/>
            <w:tcMar>
              <w:top w:w="18" w:type="dxa"/>
              <w:left w:w="18" w:type="dxa"/>
              <w:bottom w:w="0" w:type="dxa"/>
              <w:right w:w="18" w:type="dxa"/>
            </w:tcMar>
            <w:vAlign w:val="bottom"/>
          </w:tcPr>
          <w:p w14:paraId="0CE90FAD" w14:textId="77777777" w:rsidR="00224102" w:rsidRPr="00604C75" w:rsidRDefault="00224102" w:rsidP="00224102">
            <w:pPr>
              <w:spacing w:line="204" w:lineRule="auto"/>
              <w:rPr>
                <w:bCs/>
                <w:noProof/>
                <w:sz w:val="14"/>
                <w:szCs w:val="14"/>
                <w:lang w:val="tr-TR"/>
              </w:rPr>
            </w:pPr>
            <w:r w:rsidRPr="00604C75">
              <w:rPr>
                <w:bCs/>
                <w:noProof/>
                <w:sz w:val="14"/>
                <w:szCs w:val="14"/>
                <w:lang w:val="tr-TR"/>
              </w:rPr>
              <w:t xml:space="preserve">Non-financial Investments </w:t>
            </w:r>
          </w:p>
        </w:tc>
        <w:tc>
          <w:tcPr>
            <w:tcW w:w="531" w:type="dxa"/>
            <w:noWrap/>
            <w:tcMar>
              <w:top w:w="18" w:type="dxa"/>
              <w:left w:w="18" w:type="dxa"/>
              <w:bottom w:w="0" w:type="dxa"/>
              <w:right w:w="18" w:type="dxa"/>
            </w:tcMar>
            <w:vAlign w:val="bottom"/>
          </w:tcPr>
          <w:p w14:paraId="640B0AB4" w14:textId="1F6ECEDA"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16A697B3" w14:textId="1A096662"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10166E9E" w14:textId="01E7EC7C"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479E6CE7" w14:textId="63913C3C"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3C4BB07" w14:textId="5E886563"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4D47BE9A" w14:textId="5AEA41D2"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54680996" w14:textId="627528D2" w:rsidR="00224102" w:rsidRPr="00692926" w:rsidRDefault="00224102" w:rsidP="00224102">
            <w:pPr>
              <w:spacing w:line="221" w:lineRule="auto"/>
              <w:jc w:val="right"/>
              <w:rPr>
                <w:sz w:val="14"/>
                <w:szCs w:val="14"/>
              </w:rPr>
            </w:pPr>
            <w:r w:rsidRPr="00692926">
              <w:rPr>
                <w:sz w:val="14"/>
                <w:szCs w:val="14"/>
              </w:rPr>
              <w:t>-</w:t>
            </w:r>
          </w:p>
        </w:tc>
      </w:tr>
      <w:tr w:rsidR="00224102" w:rsidRPr="00604C75" w14:paraId="11FAB0CF" w14:textId="77777777" w:rsidTr="00373D13">
        <w:trPr>
          <w:trHeight w:val="123"/>
        </w:trPr>
        <w:tc>
          <w:tcPr>
            <w:tcW w:w="557" w:type="dxa"/>
            <w:noWrap/>
            <w:tcMar>
              <w:top w:w="18" w:type="dxa"/>
              <w:left w:w="18" w:type="dxa"/>
              <w:bottom w:w="0" w:type="dxa"/>
              <w:right w:w="18" w:type="dxa"/>
            </w:tcMar>
            <w:vAlign w:val="bottom"/>
          </w:tcPr>
          <w:p w14:paraId="046FB8E1"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w:t>
            </w:r>
          </w:p>
        </w:tc>
        <w:tc>
          <w:tcPr>
            <w:tcW w:w="4767" w:type="dxa"/>
            <w:noWrap/>
            <w:tcMar>
              <w:top w:w="18" w:type="dxa"/>
              <w:left w:w="18" w:type="dxa"/>
              <w:bottom w:w="0" w:type="dxa"/>
              <w:right w:w="18" w:type="dxa"/>
            </w:tcMar>
            <w:vAlign w:val="bottom"/>
          </w:tcPr>
          <w:p w14:paraId="4D143188"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INVESTMENTS IN SUBSIDIARIES (Net)</w:t>
            </w:r>
          </w:p>
        </w:tc>
        <w:tc>
          <w:tcPr>
            <w:tcW w:w="531" w:type="dxa"/>
            <w:noWrap/>
            <w:tcMar>
              <w:top w:w="18" w:type="dxa"/>
              <w:left w:w="18" w:type="dxa"/>
              <w:bottom w:w="0" w:type="dxa"/>
              <w:right w:w="18" w:type="dxa"/>
            </w:tcMar>
            <w:vAlign w:val="bottom"/>
          </w:tcPr>
          <w:p w14:paraId="1ABD052D" w14:textId="69460721"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I-h</w:t>
            </w:r>
          </w:p>
        </w:tc>
        <w:tc>
          <w:tcPr>
            <w:tcW w:w="630" w:type="dxa"/>
            <w:noWrap/>
            <w:tcMar>
              <w:top w:w="18" w:type="dxa"/>
              <w:left w:w="18" w:type="dxa"/>
              <w:bottom w:w="0" w:type="dxa"/>
              <w:right w:w="18" w:type="dxa"/>
            </w:tcMar>
            <w:vAlign w:val="bottom"/>
          </w:tcPr>
          <w:p w14:paraId="607C4FDC" w14:textId="35B334F1" w:rsidR="00224102" w:rsidRPr="00EF6596" w:rsidRDefault="00224102" w:rsidP="00224102">
            <w:pPr>
              <w:jc w:val="right"/>
              <w:rPr>
                <w:b/>
                <w:bCs/>
                <w:sz w:val="14"/>
                <w:szCs w:val="14"/>
              </w:rPr>
            </w:pPr>
            <w:r w:rsidRPr="00EF6596">
              <w:rPr>
                <w:b/>
                <w:bCs/>
                <w:sz w:val="14"/>
                <w:szCs w:val="14"/>
              </w:rPr>
              <w:t>-</w:t>
            </w:r>
          </w:p>
        </w:tc>
        <w:tc>
          <w:tcPr>
            <w:tcW w:w="791" w:type="dxa"/>
            <w:noWrap/>
            <w:tcMar>
              <w:top w:w="18" w:type="dxa"/>
              <w:left w:w="18" w:type="dxa"/>
              <w:bottom w:w="0" w:type="dxa"/>
              <w:right w:w="18" w:type="dxa"/>
            </w:tcMar>
            <w:vAlign w:val="bottom"/>
          </w:tcPr>
          <w:p w14:paraId="1C1093D3" w14:textId="0290898C"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4303C484" w14:textId="682340E3"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0296E502" w14:textId="7AC99EF4" w:rsidR="00224102" w:rsidRPr="00E83EAC" w:rsidRDefault="00224102" w:rsidP="00224102">
            <w:pPr>
              <w:spacing w:line="221" w:lineRule="auto"/>
              <w:jc w:val="right"/>
              <w:rPr>
                <w:b/>
                <w:sz w:val="14"/>
                <w:szCs w:val="14"/>
              </w:rPr>
            </w:pPr>
            <w:r w:rsidRPr="004F7E74">
              <w:rPr>
                <w:b/>
                <w:sz w:val="14"/>
                <w:szCs w:val="14"/>
              </w:rPr>
              <w:t>-</w:t>
            </w:r>
          </w:p>
        </w:tc>
        <w:tc>
          <w:tcPr>
            <w:tcW w:w="659" w:type="dxa"/>
            <w:noWrap/>
            <w:tcMar>
              <w:top w:w="18" w:type="dxa"/>
              <w:left w:w="18" w:type="dxa"/>
              <w:bottom w:w="0" w:type="dxa"/>
              <w:right w:w="18" w:type="dxa"/>
            </w:tcMar>
            <w:vAlign w:val="bottom"/>
          </w:tcPr>
          <w:p w14:paraId="71DC2429" w14:textId="7873B164" w:rsidR="00224102" w:rsidRPr="00E83EAC" w:rsidRDefault="00224102" w:rsidP="00224102">
            <w:pPr>
              <w:spacing w:line="221" w:lineRule="auto"/>
              <w:jc w:val="right"/>
              <w:rPr>
                <w:b/>
                <w:sz w:val="14"/>
                <w:szCs w:val="14"/>
              </w:rPr>
            </w:pPr>
            <w:r w:rsidRPr="004F7E74">
              <w:rPr>
                <w:b/>
                <w:sz w:val="14"/>
                <w:szCs w:val="14"/>
              </w:rPr>
              <w:t>-</w:t>
            </w:r>
          </w:p>
        </w:tc>
        <w:tc>
          <w:tcPr>
            <w:tcW w:w="686" w:type="dxa"/>
            <w:noWrap/>
            <w:tcMar>
              <w:top w:w="18" w:type="dxa"/>
              <w:left w:w="18" w:type="dxa"/>
              <w:bottom w:w="0" w:type="dxa"/>
              <w:right w:w="18" w:type="dxa"/>
            </w:tcMar>
            <w:vAlign w:val="bottom"/>
          </w:tcPr>
          <w:p w14:paraId="25644012" w14:textId="23B300B6" w:rsidR="00224102" w:rsidRPr="00E83EAC" w:rsidRDefault="00224102" w:rsidP="00224102">
            <w:pPr>
              <w:spacing w:line="221" w:lineRule="auto"/>
              <w:jc w:val="right"/>
              <w:rPr>
                <w:b/>
                <w:sz w:val="14"/>
                <w:szCs w:val="14"/>
              </w:rPr>
            </w:pPr>
            <w:r w:rsidRPr="004F7E74">
              <w:rPr>
                <w:b/>
                <w:sz w:val="14"/>
                <w:szCs w:val="14"/>
              </w:rPr>
              <w:t>-</w:t>
            </w:r>
          </w:p>
        </w:tc>
      </w:tr>
      <w:tr w:rsidR="00224102" w:rsidRPr="00604C75" w14:paraId="23493F5D" w14:textId="77777777" w:rsidTr="00373D13">
        <w:trPr>
          <w:trHeight w:val="135"/>
        </w:trPr>
        <w:tc>
          <w:tcPr>
            <w:tcW w:w="557" w:type="dxa"/>
            <w:noWrap/>
            <w:tcMar>
              <w:top w:w="18" w:type="dxa"/>
              <w:left w:w="18" w:type="dxa"/>
              <w:bottom w:w="0" w:type="dxa"/>
              <w:right w:w="18" w:type="dxa"/>
            </w:tcMar>
            <w:vAlign w:val="bottom"/>
          </w:tcPr>
          <w:p w14:paraId="595DA680" w14:textId="77777777" w:rsidR="00224102" w:rsidRPr="00604C75" w:rsidRDefault="00224102" w:rsidP="00224102">
            <w:pPr>
              <w:spacing w:line="204" w:lineRule="auto"/>
              <w:rPr>
                <w:bCs/>
                <w:noProof/>
                <w:sz w:val="14"/>
                <w:szCs w:val="14"/>
                <w:lang w:val="tr-TR"/>
              </w:rPr>
            </w:pPr>
            <w:r w:rsidRPr="00604C75">
              <w:rPr>
                <w:bCs/>
                <w:noProof/>
                <w:sz w:val="14"/>
                <w:szCs w:val="14"/>
                <w:lang w:val="tr-TR"/>
              </w:rPr>
              <w:t>10.1</w:t>
            </w:r>
          </w:p>
        </w:tc>
        <w:tc>
          <w:tcPr>
            <w:tcW w:w="4767" w:type="dxa"/>
            <w:noWrap/>
            <w:tcMar>
              <w:top w:w="18" w:type="dxa"/>
              <w:left w:w="18" w:type="dxa"/>
              <w:bottom w:w="0" w:type="dxa"/>
              <w:right w:w="18" w:type="dxa"/>
            </w:tcMar>
            <w:vAlign w:val="bottom"/>
          </w:tcPr>
          <w:p w14:paraId="78C96A44" w14:textId="77777777" w:rsidR="00224102" w:rsidRPr="00604C75" w:rsidRDefault="00224102" w:rsidP="00224102">
            <w:pPr>
              <w:spacing w:line="204" w:lineRule="auto"/>
              <w:rPr>
                <w:bCs/>
                <w:noProof/>
                <w:sz w:val="14"/>
                <w:szCs w:val="14"/>
                <w:lang w:val="tr-TR"/>
              </w:rPr>
            </w:pPr>
            <w:r w:rsidRPr="00604C75">
              <w:rPr>
                <w:bCs/>
                <w:noProof/>
                <w:sz w:val="14"/>
                <w:szCs w:val="14"/>
                <w:lang w:val="tr-TR"/>
              </w:rPr>
              <w:t>Unconsolidated Financial Subsidiaries</w:t>
            </w:r>
          </w:p>
        </w:tc>
        <w:tc>
          <w:tcPr>
            <w:tcW w:w="531" w:type="dxa"/>
            <w:noWrap/>
            <w:tcMar>
              <w:top w:w="18" w:type="dxa"/>
              <w:left w:w="18" w:type="dxa"/>
              <w:bottom w:w="0" w:type="dxa"/>
              <w:right w:w="18" w:type="dxa"/>
            </w:tcMar>
            <w:vAlign w:val="bottom"/>
          </w:tcPr>
          <w:p w14:paraId="61FEB6E0" w14:textId="2E5B1618"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03BA991A" w14:textId="1604AF93"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2890393D" w14:textId="707EC8EE"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3FF094E1" w14:textId="59434117"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B8C4CAA" w14:textId="16919AA9"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2065CFD4" w14:textId="38E0C074"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7CE2C916" w14:textId="46CDAD60" w:rsidR="00224102" w:rsidRPr="00692926" w:rsidRDefault="00224102" w:rsidP="00224102">
            <w:pPr>
              <w:spacing w:line="221" w:lineRule="auto"/>
              <w:jc w:val="right"/>
              <w:rPr>
                <w:sz w:val="14"/>
                <w:szCs w:val="14"/>
              </w:rPr>
            </w:pPr>
            <w:r w:rsidRPr="00692926">
              <w:rPr>
                <w:sz w:val="14"/>
                <w:szCs w:val="14"/>
              </w:rPr>
              <w:t>-</w:t>
            </w:r>
          </w:p>
        </w:tc>
      </w:tr>
      <w:tr w:rsidR="00224102" w:rsidRPr="00604C75" w14:paraId="2AFC41A7" w14:textId="77777777" w:rsidTr="00373D13">
        <w:trPr>
          <w:trHeight w:val="119"/>
        </w:trPr>
        <w:tc>
          <w:tcPr>
            <w:tcW w:w="557" w:type="dxa"/>
            <w:noWrap/>
            <w:tcMar>
              <w:top w:w="18" w:type="dxa"/>
              <w:left w:w="18" w:type="dxa"/>
              <w:bottom w:w="0" w:type="dxa"/>
              <w:right w:w="18" w:type="dxa"/>
            </w:tcMar>
            <w:vAlign w:val="bottom"/>
          </w:tcPr>
          <w:p w14:paraId="4C109BB1" w14:textId="77777777" w:rsidR="00224102" w:rsidRPr="00604C75" w:rsidRDefault="00224102" w:rsidP="00224102">
            <w:pPr>
              <w:spacing w:line="204" w:lineRule="auto"/>
              <w:rPr>
                <w:bCs/>
                <w:noProof/>
                <w:sz w:val="14"/>
                <w:szCs w:val="14"/>
                <w:lang w:val="tr-TR"/>
              </w:rPr>
            </w:pPr>
            <w:r w:rsidRPr="00604C75">
              <w:rPr>
                <w:bCs/>
                <w:noProof/>
                <w:sz w:val="14"/>
                <w:szCs w:val="14"/>
                <w:lang w:val="tr-TR"/>
              </w:rPr>
              <w:t>10.2</w:t>
            </w:r>
          </w:p>
        </w:tc>
        <w:tc>
          <w:tcPr>
            <w:tcW w:w="4767" w:type="dxa"/>
            <w:noWrap/>
            <w:tcMar>
              <w:top w:w="18" w:type="dxa"/>
              <w:left w:w="18" w:type="dxa"/>
              <w:bottom w:w="0" w:type="dxa"/>
              <w:right w:w="18" w:type="dxa"/>
            </w:tcMar>
            <w:vAlign w:val="bottom"/>
          </w:tcPr>
          <w:p w14:paraId="3431A507" w14:textId="77777777" w:rsidR="00224102" w:rsidRPr="00604C75" w:rsidRDefault="00224102" w:rsidP="00224102">
            <w:pPr>
              <w:spacing w:line="204" w:lineRule="auto"/>
              <w:rPr>
                <w:bCs/>
                <w:noProof/>
                <w:sz w:val="14"/>
                <w:szCs w:val="14"/>
                <w:lang w:val="tr-TR"/>
              </w:rPr>
            </w:pPr>
            <w:r w:rsidRPr="00604C75">
              <w:rPr>
                <w:bCs/>
                <w:noProof/>
                <w:sz w:val="14"/>
                <w:szCs w:val="14"/>
                <w:lang w:val="tr-TR"/>
              </w:rPr>
              <w:t>Unconsolidated Non-Financial Subsidiaries</w:t>
            </w:r>
          </w:p>
        </w:tc>
        <w:tc>
          <w:tcPr>
            <w:tcW w:w="531" w:type="dxa"/>
            <w:noWrap/>
            <w:tcMar>
              <w:top w:w="18" w:type="dxa"/>
              <w:left w:w="18" w:type="dxa"/>
              <w:bottom w:w="0" w:type="dxa"/>
              <w:right w:w="18" w:type="dxa"/>
            </w:tcMar>
            <w:vAlign w:val="bottom"/>
          </w:tcPr>
          <w:p w14:paraId="6F94BB35" w14:textId="6FC42FE1"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7DECCE7" w14:textId="0178A72D"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79677C14" w14:textId="2603339B"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20FF405" w14:textId="12267B60"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91114E6" w14:textId="682F345F"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6F5B6E0E" w14:textId="70970797"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2199F943" w14:textId="5FAED851" w:rsidR="00224102" w:rsidRPr="00692926" w:rsidRDefault="00224102" w:rsidP="00224102">
            <w:pPr>
              <w:spacing w:line="221" w:lineRule="auto"/>
              <w:jc w:val="right"/>
              <w:rPr>
                <w:sz w:val="14"/>
                <w:szCs w:val="14"/>
              </w:rPr>
            </w:pPr>
            <w:r w:rsidRPr="00692926">
              <w:rPr>
                <w:sz w:val="14"/>
                <w:szCs w:val="14"/>
              </w:rPr>
              <w:t>-</w:t>
            </w:r>
          </w:p>
        </w:tc>
      </w:tr>
      <w:tr w:rsidR="00224102" w:rsidRPr="00604C75" w14:paraId="7DCC0992" w14:textId="77777777" w:rsidTr="00373D13">
        <w:trPr>
          <w:trHeight w:val="117"/>
        </w:trPr>
        <w:tc>
          <w:tcPr>
            <w:tcW w:w="557" w:type="dxa"/>
            <w:noWrap/>
            <w:tcMar>
              <w:top w:w="18" w:type="dxa"/>
              <w:left w:w="18" w:type="dxa"/>
              <w:bottom w:w="0" w:type="dxa"/>
              <w:right w:w="18" w:type="dxa"/>
            </w:tcMar>
            <w:vAlign w:val="bottom"/>
          </w:tcPr>
          <w:p w14:paraId="2A6F73FE"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XI.</w:t>
            </w:r>
          </w:p>
        </w:tc>
        <w:tc>
          <w:tcPr>
            <w:tcW w:w="4767" w:type="dxa"/>
            <w:noWrap/>
            <w:tcMar>
              <w:top w:w="18" w:type="dxa"/>
              <w:left w:w="18" w:type="dxa"/>
              <w:bottom w:w="0" w:type="dxa"/>
              <w:right w:w="18" w:type="dxa"/>
            </w:tcMar>
            <w:vAlign w:val="bottom"/>
          </w:tcPr>
          <w:p w14:paraId="10C1A653"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 xml:space="preserve">ENTITIES UNDER COMMON CONTROL (JOINT VENTURES) (Net)  </w:t>
            </w:r>
          </w:p>
        </w:tc>
        <w:tc>
          <w:tcPr>
            <w:tcW w:w="531" w:type="dxa"/>
            <w:noWrap/>
            <w:tcMar>
              <w:top w:w="18" w:type="dxa"/>
              <w:left w:w="18" w:type="dxa"/>
              <w:bottom w:w="0" w:type="dxa"/>
              <w:right w:w="18" w:type="dxa"/>
            </w:tcMar>
            <w:vAlign w:val="bottom"/>
          </w:tcPr>
          <w:p w14:paraId="701689D4" w14:textId="0E7A8611" w:rsidR="00224102" w:rsidRPr="00604C75" w:rsidRDefault="00224102" w:rsidP="00224102">
            <w:pPr>
              <w:spacing w:line="204" w:lineRule="auto"/>
              <w:jc w:val="center"/>
              <w:rPr>
                <w:rFonts w:eastAsia="Arial Unicode MS"/>
                <w:sz w:val="14"/>
                <w:szCs w:val="14"/>
              </w:rPr>
            </w:pPr>
            <w:r w:rsidRPr="00692926">
              <w:rPr>
                <w:rFonts w:eastAsia="Arial Unicode MS"/>
                <w:b/>
                <w:sz w:val="14"/>
                <w:szCs w:val="14"/>
              </w:rPr>
              <w:t>I-i</w:t>
            </w:r>
          </w:p>
        </w:tc>
        <w:tc>
          <w:tcPr>
            <w:tcW w:w="630" w:type="dxa"/>
            <w:noWrap/>
            <w:tcMar>
              <w:top w:w="18" w:type="dxa"/>
              <w:left w:w="18" w:type="dxa"/>
              <w:bottom w:w="0" w:type="dxa"/>
              <w:right w:w="18" w:type="dxa"/>
            </w:tcMar>
            <w:vAlign w:val="bottom"/>
          </w:tcPr>
          <w:p w14:paraId="2BB27564" w14:textId="08D42838" w:rsidR="00224102" w:rsidRPr="00EF6596" w:rsidRDefault="00224102" w:rsidP="00224102">
            <w:pPr>
              <w:jc w:val="right"/>
              <w:rPr>
                <w:b/>
                <w:bCs/>
                <w:sz w:val="14"/>
                <w:szCs w:val="14"/>
              </w:rPr>
            </w:pPr>
            <w:r w:rsidRPr="00EF6596">
              <w:rPr>
                <w:b/>
                <w:bCs/>
                <w:sz w:val="14"/>
                <w:szCs w:val="14"/>
              </w:rPr>
              <w:t>-</w:t>
            </w:r>
          </w:p>
        </w:tc>
        <w:tc>
          <w:tcPr>
            <w:tcW w:w="791" w:type="dxa"/>
            <w:noWrap/>
            <w:tcMar>
              <w:top w:w="18" w:type="dxa"/>
              <w:left w:w="18" w:type="dxa"/>
              <w:bottom w:w="0" w:type="dxa"/>
              <w:right w:w="18" w:type="dxa"/>
            </w:tcMar>
            <w:vAlign w:val="bottom"/>
          </w:tcPr>
          <w:p w14:paraId="784E3C0A" w14:textId="7DD37081"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6C624D1B" w14:textId="392A5763"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12350038" w14:textId="1B7D0BBB" w:rsidR="00224102" w:rsidRPr="00E83EAC" w:rsidRDefault="00224102" w:rsidP="00224102">
            <w:pPr>
              <w:spacing w:line="221" w:lineRule="auto"/>
              <w:jc w:val="right"/>
              <w:rPr>
                <w:b/>
                <w:sz w:val="14"/>
                <w:szCs w:val="14"/>
              </w:rPr>
            </w:pPr>
            <w:r w:rsidRPr="004F7E74">
              <w:rPr>
                <w:b/>
                <w:sz w:val="14"/>
                <w:szCs w:val="14"/>
              </w:rPr>
              <w:t>-</w:t>
            </w:r>
          </w:p>
        </w:tc>
        <w:tc>
          <w:tcPr>
            <w:tcW w:w="659" w:type="dxa"/>
            <w:noWrap/>
            <w:tcMar>
              <w:top w:w="18" w:type="dxa"/>
              <w:left w:w="18" w:type="dxa"/>
              <w:bottom w:w="0" w:type="dxa"/>
              <w:right w:w="18" w:type="dxa"/>
            </w:tcMar>
            <w:vAlign w:val="bottom"/>
          </w:tcPr>
          <w:p w14:paraId="16561E1E" w14:textId="1F4B8A16" w:rsidR="00224102" w:rsidRPr="00E83EAC" w:rsidRDefault="00224102" w:rsidP="00224102">
            <w:pPr>
              <w:spacing w:line="221" w:lineRule="auto"/>
              <w:jc w:val="right"/>
              <w:rPr>
                <w:b/>
                <w:sz w:val="14"/>
                <w:szCs w:val="14"/>
              </w:rPr>
            </w:pPr>
            <w:r w:rsidRPr="004F7E74">
              <w:rPr>
                <w:b/>
                <w:sz w:val="14"/>
                <w:szCs w:val="14"/>
              </w:rPr>
              <w:t>-</w:t>
            </w:r>
          </w:p>
        </w:tc>
        <w:tc>
          <w:tcPr>
            <w:tcW w:w="686" w:type="dxa"/>
            <w:noWrap/>
            <w:tcMar>
              <w:top w:w="18" w:type="dxa"/>
              <w:left w:w="18" w:type="dxa"/>
              <w:bottom w:w="0" w:type="dxa"/>
              <w:right w:w="18" w:type="dxa"/>
            </w:tcMar>
            <w:vAlign w:val="bottom"/>
          </w:tcPr>
          <w:p w14:paraId="00CE1A1A" w14:textId="200A86F6" w:rsidR="00224102" w:rsidRPr="00E83EAC" w:rsidRDefault="00224102" w:rsidP="00224102">
            <w:pPr>
              <w:spacing w:line="221" w:lineRule="auto"/>
              <w:jc w:val="right"/>
              <w:rPr>
                <w:b/>
                <w:sz w:val="14"/>
                <w:szCs w:val="14"/>
              </w:rPr>
            </w:pPr>
            <w:r w:rsidRPr="004F7E74">
              <w:rPr>
                <w:b/>
                <w:sz w:val="14"/>
                <w:szCs w:val="14"/>
              </w:rPr>
              <w:t>-</w:t>
            </w:r>
          </w:p>
        </w:tc>
      </w:tr>
      <w:tr w:rsidR="00224102" w:rsidRPr="00604C75" w14:paraId="3A17C464" w14:textId="77777777" w:rsidTr="00373D13">
        <w:trPr>
          <w:trHeight w:val="100"/>
        </w:trPr>
        <w:tc>
          <w:tcPr>
            <w:tcW w:w="557" w:type="dxa"/>
            <w:noWrap/>
            <w:tcMar>
              <w:top w:w="18" w:type="dxa"/>
              <w:left w:w="18" w:type="dxa"/>
              <w:bottom w:w="0" w:type="dxa"/>
              <w:right w:w="18" w:type="dxa"/>
            </w:tcMar>
            <w:vAlign w:val="bottom"/>
          </w:tcPr>
          <w:p w14:paraId="179813BD" w14:textId="77777777" w:rsidR="00224102" w:rsidRPr="00604C75" w:rsidRDefault="00224102" w:rsidP="00224102">
            <w:pPr>
              <w:spacing w:line="204" w:lineRule="auto"/>
              <w:rPr>
                <w:bCs/>
                <w:noProof/>
                <w:sz w:val="14"/>
                <w:szCs w:val="14"/>
                <w:lang w:val="tr-TR"/>
              </w:rPr>
            </w:pPr>
            <w:r w:rsidRPr="00604C75">
              <w:rPr>
                <w:bCs/>
                <w:noProof/>
                <w:sz w:val="14"/>
                <w:szCs w:val="14"/>
                <w:lang w:val="tr-TR"/>
              </w:rPr>
              <w:t>11.1</w:t>
            </w:r>
          </w:p>
        </w:tc>
        <w:tc>
          <w:tcPr>
            <w:tcW w:w="4767" w:type="dxa"/>
            <w:noWrap/>
            <w:tcMar>
              <w:top w:w="18" w:type="dxa"/>
              <w:left w:w="18" w:type="dxa"/>
              <w:bottom w:w="0" w:type="dxa"/>
              <w:right w:w="18" w:type="dxa"/>
            </w:tcMar>
            <w:vAlign w:val="bottom"/>
          </w:tcPr>
          <w:p w14:paraId="4039F5AE" w14:textId="77777777" w:rsidR="00224102" w:rsidRPr="00604C75" w:rsidRDefault="00224102" w:rsidP="00224102">
            <w:pPr>
              <w:spacing w:line="204" w:lineRule="auto"/>
              <w:rPr>
                <w:bCs/>
                <w:noProof/>
                <w:sz w:val="14"/>
                <w:szCs w:val="14"/>
                <w:lang w:val="tr-TR"/>
              </w:rPr>
            </w:pPr>
            <w:r w:rsidRPr="00604C75">
              <w:rPr>
                <w:bCs/>
                <w:noProof/>
                <w:sz w:val="14"/>
                <w:szCs w:val="14"/>
                <w:lang w:val="tr-TR"/>
              </w:rPr>
              <w:t>Consolidated Under Equity Method</w:t>
            </w:r>
          </w:p>
        </w:tc>
        <w:tc>
          <w:tcPr>
            <w:tcW w:w="531" w:type="dxa"/>
            <w:noWrap/>
            <w:tcMar>
              <w:top w:w="18" w:type="dxa"/>
              <w:left w:w="18" w:type="dxa"/>
              <w:bottom w:w="0" w:type="dxa"/>
              <w:right w:w="18" w:type="dxa"/>
            </w:tcMar>
            <w:vAlign w:val="bottom"/>
          </w:tcPr>
          <w:p w14:paraId="0A92DAA6" w14:textId="00281179"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EDABBE4" w14:textId="428E2A4D"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6866EC66" w14:textId="1BE56A8F"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4F87E556" w14:textId="66BF5C41"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B75FDBE" w14:textId="6823FA0E" w:rsidR="00224102" w:rsidRPr="00B623B1"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68943245" w14:textId="042D0950" w:rsidR="00224102" w:rsidRPr="001E4A39"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18596F83" w14:textId="5B5FDF1F" w:rsidR="00224102" w:rsidRPr="001E4A39" w:rsidRDefault="00224102" w:rsidP="00224102">
            <w:pPr>
              <w:spacing w:line="221" w:lineRule="auto"/>
              <w:jc w:val="right"/>
              <w:rPr>
                <w:sz w:val="14"/>
                <w:szCs w:val="14"/>
              </w:rPr>
            </w:pPr>
            <w:r w:rsidRPr="00692926">
              <w:rPr>
                <w:sz w:val="14"/>
                <w:szCs w:val="14"/>
              </w:rPr>
              <w:t>-</w:t>
            </w:r>
          </w:p>
        </w:tc>
      </w:tr>
      <w:tr w:rsidR="00224102" w:rsidRPr="00604C75" w14:paraId="7E804860" w14:textId="77777777" w:rsidTr="00373D13">
        <w:trPr>
          <w:trHeight w:val="72"/>
        </w:trPr>
        <w:tc>
          <w:tcPr>
            <w:tcW w:w="557" w:type="dxa"/>
            <w:noWrap/>
            <w:tcMar>
              <w:top w:w="18" w:type="dxa"/>
              <w:left w:w="18" w:type="dxa"/>
              <w:bottom w:w="0" w:type="dxa"/>
              <w:right w:w="18" w:type="dxa"/>
            </w:tcMar>
            <w:vAlign w:val="bottom"/>
          </w:tcPr>
          <w:p w14:paraId="3CD5F4F7" w14:textId="77777777" w:rsidR="00224102" w:rsidRPr="00604C75" w:rsidRDefault="00224102" w:rsidP="00224102">
            <w:pPr>
              <w:spacing w:line="204" w:lineRule="auto"/>
              <w:rPr>
                <w:bCs/>
                <w:noProof/>
                <w:sz w:val="14"/>
                <w:szCs w:val="14"/>
                <w:lang w:val="tr-TR"/>
              </w:rPr>
            </w:pPr>
            <w:r w:rsidRPr="00604C75">
              <w:rPr>
                <w:bCs/>
                <w:noProof/>
                <w:sz w:val="14"/>
                <w:szCs w:val="14"/>
                <w:lang w:val="tr-TR"/>
              </w:rPr>
              <w:t>11.2</w:t>
            </w:r>
          </w:p>
        </w:tc>
        <w:tc>
          <w:tcPr>
            <w:tcW w:w="4767" w:type="dxa"/>
            <w:noWrap/>
            <w:tcMar>
              <w:top w:w="18" w:type="dxa"/>
              <w:left w:w="18" w:type="dxa"/>
              <w:bottom w:w="0" w:type="dxa"/>
              <w:right w:w="18" w:type="dxa"/>
            </w:tcMar>
            <w:vAlign w:val="bottom"/>
          </w:tcPr>
          <w:p w14:paraId="772369E4" w14:textId="77777777" w:rsidR="00224102" w:rsidRPr="00604C75" w:rsidRDefault="00224102" w:rsidP="00224102">
            <w:pPr>
              <w:spacing w:line="204" w:lineRule="auto"/>
              <w:rPr>
                <w:bCs/>
                <w:noProof/>
                <w:sz w:val="14"/>
                <w:szCs w:val="14"/>
                <w:lang w:val="tr-TR"/>
              </w:rPr>
            </w:pPr>
            <w:r w:rsidRPr="00604C75">
              <w:rPr>
                <w:bCs/>
                <w:noProof/>
                <w:sz w:val="14"/>
                <w:szCs w:val="14"/>
                <w:lang w:val="tr-TR"/>
              </w:rPr>
              <w:t>Unconsolidated</w:t>
            </w:r>
          </w:p>
        </w:tc>
        <w:tc>
          <w:tcPr>
            <w:tcW w:w="531" w:type="dxa"/>
            <w:noWrap/>
            <w:tcMar>
              <w:top w:w="18" w:type="dxa"/>
              <w:left w:w="18" w:type="dxa"/>
              <w:bottom w:w="0" w:type="dxa"/>
              <w:right w:w="18" w:type="dxa"/>
            </w:tcMar>
            <w:vAlign w:val="bottom"/>
          </w:tcPr>
          <w:p w14:paraId="24A23894" w14:textId="6C7E07A8"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7E615D34" w14:textId="7395E9EE"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7841931E" w14:textId="7690038B"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6B5D03A" w14:textId="2127AFE1"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801EAF5" w14:textId="46265F05" w:rsidR="00224102" w:rsidRPr="00B623B1"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4C9F8116" w14:textId="3E26FE29" w:rsidR="00224102" w:rsidRPr="001E4A39"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1E27F8CB" w14:textId="586B6E8C" w:rsidR="00224102" w:rsidRPr="001E4A39" w:rsidRDefault="00224102" w:rsidP="00224102">
            <w:pPr>
              <w:spacing w:line="221" w:lineRule="auto"/>
              <w:jc w:val="right"/>
              <w:rPr>
                <w:sz w:val="14"/>
                <w:szCs w:val="14"/>
              </w:rPr>
            </w:pPr>
            <w:r w:rsidRPr="00692926">
              <w:rPr>
                <w:sz w:val="14"/>
                <w:szCs w:val="14"/>
              </w:rPr>
              <w:t>-</w:t>
            </w:r>
          </w:p>
        </w:tc>
      </w:tr>
      <w:tr w:rsidR="00224102" w:rsidRPr="00604C75" w14:paraId="175E2A63" w14:textId="77777777" w:rsidTr="00373D13">
        <w:trPr>
          <w:trHeight w:val="96"/>
        </w:trPr>
        <w:tc>
          <w:tcPr>
            <w:tcW w:w="557" w:type="dxa"/>
            <w:noWrap/>
            <w:tcMar>
              <w:top w:w="18" w:type="dxa"/>
              <w:left w:w="18" w:type="dxa"/>
              <w:bottom w:w="0" w:type="dxa"/>
              <w:right w:w="18" w:type="dxa"/>
            </w:tcMar>
            <w:vAlign w:val="bottom"/>
          </w:tcPr>
          <w:p w14:paraId="1A6599C4" w14:textId="77777777" w:rsidR="00224102" w:rsidRPr="00604C75" w:rsidRDefault="00224102" w:rsidP="00224102">
            <w:pPr>
              <w:spacing w:line="204" w:lineRule="auto"/>
              <w:rPr>
                <w:bCs/>
                <w:noProof/>
                <w:sz w:val="14"/>
                <w:szCs w:val="14"/>
                <w:lang w:val="tr-TR"/>
              </w:rPr>
            </w:pPr>
            <w:r w:rsidRPr="00604C75">
              <w:rPr>
                <w:bCs/>
                <w:noProof/>
                <w:sz w:val="14"/>
                <w:szCs w:val="14"/>
                <w:lang w:val="tr-TR"/>
              </w:rPr>
              <w:t>11.2.1</w:t>
            </w:r>
          </w:p>
        </w:tc>
        <w:tc>
          <w:tcPr>
            <w:tcW w:w="4767" w:type="dxa"/>
            <w:noWrap/>
            <w:tcMar>
              <w:top w:w="18" w:type="dxa"/>
              <w:left w:w="18" w:type="dxa"/>
              <w:bottom w:w="0" w:type="dxa"/>
              <w:right w:w="18" w:type="dxa"/>
            </w:tcMar>
            <w:vAlign w:val="bottom"/>
          </w:tcPr>
          <w:p w14:paraId="46C8B6AA" w14:textId="77777777" w:rsidR="00224102" w:rsidRPr="00604C75" w:rsidRDefault="00224102" w:rsidP="00224102">
            <w:pPr>
              <w:spacing w:line="204" w:lineRule="auto"/>
              <w:rPr>
                <w:bCs/>
                <w:noProof/>
                <w:sz w:val="14"/>
                <w:szCs w:val="14"/>
                <w:lang w:val="tr-TR"/>
              </w:rPr>
            </w:pPr>
            <w:r w:rsidRPr="00604C75">
              <w:rPr>
                <w:bCs/>
                <w:noProof/>
                <w:sz w:val="14"/>
                <w:szCs w:val="14"/>
                <w:lang w:val="tr-TR"/>
              </w:rPr>
              <w:t>Financial Joint Ventures</w:t>
            </w:r>
          </w:p>
        </w:tc>
        <w:tc>
          <w:tcPr>
            <w:tcW w:w="531" w:type="dxa"/>
            <w:noWrap/>
            <w:tcMar>
              <w:top w:w="18" w:type="dxa"/>
              <w:left w:w="18" w:type="dxa"/>
              <w:bottom w:w="0" w:type="dxa"/>
              <w:right w:w="18" w:type="dxa"/>
            </w:tcMar>
            <w:vAlign w:val="bottom"/>
          </w:tcPr>
          <w:p w14:paraId="1D147605" w14:textId="16534107"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50064A0" w14:textId="4EAC1655"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6B211A8D" w14:textId="79FF34ED"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7004778D" w14:textId="2FCECFCE"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766B3E73" w14:textId="1E671639" w:rsidR="00224102" w:rsidRPr="00B623B1"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0B47C714" w14:textId="00162741" w:rsidR="00224102" w:rsidRPr="001E4A39"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5BAD0323" w14:textId="4D2424E8" w:rsidR="00224102" w:rsidRPr="001E4A39" w:rsidRDefault="00224102" w:rsidP="00224102">
            <w:pPr>
              <w:spacing w:line="221" w:lineRule="auto"/>
              <w:jc w:val="right"/>
              <w:rPr>
                <w:sz w:val="14"/>
                <w:szCs w:val="14"/>
              </w:rPr>
            </w:pPr>
            <w:r w:rsidRPr="00692926">
              <w:rPr>
                <w:sz w:val="14"/>
                <w:szCs w:val="14"/>
              </w:rPr>
              <w:t>-</w:t>
            </w:r>
          </w:p>
        </w:tc>
      </w:tr>
      <w:tr w:rsidR="00224102" w:rsidRPr="00604C75" w14:paraId="06E198A9" w14:textId="77777777" w:rsidTr="00373D13">
        <w:trPr>
          <w:trHeight w:val="94"/>
        </w:trPr>
        <w:tc>
          <w:tcPr>
            <w:tcW w:w="557" w:type="dxa"/>
            <w:noWrap/>
            <w:tcMar>
              <w:top w:w="18" w:type="dxa"/>
              <w:left w:w="18" w:type="dxa"/>
              <w:bottom w:w="0" w:type="dxa"/>
              <w:right w:w="18" w:type="dxa"/>
            </w:tcMar>
            <w:vAlign w:val="bottom"/>
          </w:tcPr>
          <w:p w14:paraId="128CD52F" w14:textId="77777777" w:rsidR="00224102" w:rsidRPr="00604C75" w:rsidRDefault="00224102" w:rsidP="00224102">
            <w:pPr>
              <w:spacing w:line="204" w:lineRule="auto"/>
              <w:rPr>
                <w:bCs/>
                <w:noProof/>
                <w:sz w:val="14"/>
                <w:szCs w:val="14"/>
                <w:lang w:val="tr-TR"/>
              </w:rPr>
            </w:pPr>
            <w:r w:rsidRPr="00604C75">
              <w:rPr>
                <w:bCs/>
                <w:noProof/>
                <w:sz w:val="14"/>
                <w:szCs w:val="14"/>
                <w:lang w:val="tr-TR"/>
              </w:rPr>
              <w:t>11.2.2</w:t>
            </w:r>
          </w:p>
        </w:tc>
        <w:tc>
          <w:tcPr>
            <w:tcW w:w="4767" w:type="dxa"/>
            <w:noWrap/>
            <w:tcMar>
              <w:top w:w="18" w:type="dxa"/>
              <w:left w:w="18" w:type="dxa"/>
              <w:bottom w:w="0" w:type="dxa"/>
              <w:right w:w="18" w:type="dxa"/>
            </w:tcMar>
            <w:vAlign w:val="bottom"/>
          </w:tcPr>
          <w:p w14:paraId="3FDB2EE9" w14:textId="77777777" w:rsidR="00224102" w:rsidRPr="00604C75" w:rsidRDefault="00224102" w:rsidP="00224102">
            <w:pPr>
              <w:spacing w:line="204" w:lineRule="auto"/>
              <w:rPr>
                <w:bCs/>
                <w:noProof/>
                <w:sz w:val="14"/>
                <w:szCs w:val="14"/>
                <w:lang w:val="tr-TR"/>
              </w:rPr>
            </w:pPr>
            <w:r w:rsidRPr="00604C75">
              <w:rPr>
                <w:bCs/>
                <w:noProof/>
                <w:sz w:val="14"/>
                <w:szCs w:val="14"/>
                <w:lang w:val="tr-TR"/>
              </w:rPr>
              <w:t>Non-Financial Joint Ventures</w:t>
            </w:r>
          </w:p>
        </w:tc>
        <w:tc>
          <w:tcPr>
            <w:tcW w:w="531" w:type="dxa"/>
            <w:noWrap/>
            <w:tcMar>
              <w:top w:w="18" w:type="dxa"/>
              <w:left w:w="18" w:type="dxa"/>
              <w:bottom w:w="0" w:type="dxa"/>
              <w:right w:w="18" w:type="dxa"/>
            </w:tcMar>
            <w:vAlign w:val="bottom"/>
          </w:tcPr>
          <w:p w14:paraId="56A37B62" w14:textId="762C82E4"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58C1372A" w14:textId="296719B1"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076E3AED" w14:textId="16E5394E"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AD74275" w14:textId="4F66A29C"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F1D4A5D" w14:textId="5617149A" w:rsidR="00224102" w:rsidRPr="00B623B1"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41BA8CAE" w14:textId="5B6DF080" w:rsidR="00224102" w:rsidRPr="001E4A39"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2CB3C036" w14:textId="3A9C3135" w:rsidR="00224102" w:rsidRPr="001E4A39" w:rsidRDefault="00224102" w:rsidP="00224102">
            <w:pPr>
              <w:spacing w:line="221" w:lineRule="auto"/>
              <w:jc w:val="right"/>
              <w:rPr>
                <w:sz w:val="14"/>
                <w:szCs w:val="14"/>
              </w:rPr>
            </w:pPr>
            <w:r w:rsidRPr="00692926">
              <w:rPr>
                <w:sz w:val="14"/>
                <w:szCs w:val="14"/>
              </w:rPr>
              <w:t>-</w:t>
            </w:r>
          </w:p>
        </w:tc>
      </w:tr>
      <w:tr w:rsidR="00224102" w:rsidRPr="00604C75" w14:paraId="135F819A" w14:textId="77777777" w:rsidTr="00373D13">
        <w:trPr>
          <w:trHeight w:val="92"/>
        </w:trPr>
        <w:tc>
          <w:tcPr>
            <w:tcW w:w="557" w:type="dxa"/>
            <w:noWrap/>
            <w:tcMar>
              <w:top w:w="18" w:type="dxa"/>
              <w:left w:w="18" w:type="dxa"/>
              <w:bottom w:w="0" w:type="dxa"/>
              <w:right w:w="18" w:type="dxa"/>
            </w:tcMar>
            <w:vAlign w:val="bottom"/>
          </w:tcPr>
          <w:p w14:paraId="17AA31FC"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XII.</w:t>
            </w:r>
          </w:p>
        </w:tc>
        <w:tc>
          <w:tcPr>
            <w:tcW w:w="4767" w:type="dxa"/>
            <w:noWrap/>
            <w:tcMar>
              <w:top w:w="18" w:type="dxa"/>
              <w:left w:w="18" w:type="dxa"/>
              <w:bottom w:w="0" w:type="dxa"/>
              <w:right w:w="18" w:type="dxa"/>
            </w:tcMar>
            <w:vAlign w:val="bottom"/>
          </w:tcPr>
          <w:p w14:paraId="774C58ED"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LEASE RECEIVABLES (Net)</w:t>
            </w:r>
          </w:p>
        </w:tc>
        <w:tc>
          <w:tcPr>
            <w:tcW w:w="531" w:type="dxa"/>
            <w:noWrap/>
            <w:tcMar>
              <w:top w:w="18" w:type="dxa"/>
              <w:left w:w="18" w:type="dxa"/>
              <w:bottom w:w="0" w:type="dxa"/>
              <w:right w:w="18" w:type="dxa"/>
            </w:tcMar>
            <w:vAlign w:val="bottom"/>
          </w:tcPr>
          <w:p w14:paraId="46FC67C5" w14:textId="1E539785"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I-j </w:t>
            </w:r>
          </w:p>
        </w:tc>
        <w:tc>
          <w:tcPr>
            <w:tcW w:w="630" w:type="dxa"/>
            <w:noWrap/>
            <w:tcMar>
              <w:top w:w="18" w:type="dxa"/>
              <w:left w:w="18" w:type="dxa"/>
              <w:bottom w:w="0" w:type="dxa"/>
              <w:right w:w="18" w:type="dxa"/>
            </w:tcMar>
            <w:vAlign w:val="bottom"/>
          </w:tcPr>
          <w:p w14:paraId="5C25CB27" w14:textId="6D1C508B" w:rsidR="00224102" w:rsidRPr="00EF6596" w:rsidRDefault="00224102" w:rsidP="00224102">
            <w:pPr>
              <w:jc w:val="right"/>
              <w:rPr>
                <w:b/>
                <w:bCs/>
                <w:sz w:val="14"/>
                <w:szCs w:val="14"/>
              </w:rPr>
            </w:pPr>
            <w:r w:rsidRPr="00EF6596">
              <w:rPr>
                <w:b/>
                <w:bCs/>
                <w:sz w:val="14"/>
                <w:szCs w:val="14"/>
              </w:rPr>
              <w:t>243,003</w:t>
            </w:r>
          </w:p>
        </w:tc>
        <w:tc>
          <w:tcPr>
            <w:tcW w:w="791" w:type="dxa"/>
            <w:noWrap/>
            <w:tcMar>
              <w:top w:w="18" w:type="dxa"/>
              <w:left w:w="18" w:type="dxa"/>
              <w:bottom w:w="0" w:type="dxa"/>
              <w:right w:w="18" w:type="dxa"/>
            </w:tcMar>
            <w:vAlign w:val="bottom"/>
          </w:tcPr>
          <w:p w14:paraId="30EF8829" w14:textId="39663020" w:rsidR="00224102" w:rsidRPr="00EF6596" w:rsidRDefault="00224102" w:rsidP="00224102">
            <w:pPr>
              <w:jc w:val="right"/>
              <w:rPr>
                <w:b/>
                <w:bCs/>
                <w:sz w:val="14"/>
                <w:szCs w:val="14"/>
              </w:rPr>
            </w:pPr>
            <w:r w:rsidRPr="00EF6596">
              <w:rPr>
                <w:b/>
                <w:bCs/>
                <w:sz w:val="14"/>
                <w:szCs w:val="14"/>
              </w:rPr>
              <w:t>788,646</w:t>
            </w:r>
          </w:p>
        </w:tc>
        <w:tc>
          <w:tcPr>
            <w:tcW w:w="745" w:type="dxa"/>
            <w:noWrap/>
            <w:tcMar>
              <w:top w:w="18" w:type="dxa"/>
              <w:left w:w="18" w:type="dxa"/>
              <w:bottom w:w="0" w:type="dxa"/>
              <w:right w:w="18" w:type="dxa"/>
            </w:tcMar>
            <w:vAlign w:val="bottom"/>
          </w:tcPr>
          <w:p w14:paraId="7047636F" w14:textId="628BBE12" w:rsidR="00224102" w:rsidRPr="00EF6596" w:rsidRDefault="00224102" w:rsidP="00224102">
            <w:pPr>
              <w:jc w:val="right"/>
              <w:rPr>
                <w:b/>
                <w:bCs/>
                <w:sz w:val="14"/>
                <w:szCs w:val="14"/>
              </w:rPr>
            </w:pPr>
            <w:r w:rsidRPr="00EF6596">
              <w:rPr>
                <w:b/>
                <w:bCs/>
                <w:sz w:val="14"/>
                <w:szCs w:val="14"/>
              </w:rPr>
              <w:t>1,031,649</w:t>
            </w:r>
          </w:p>
        </w:tc>
        <w:tc>
          <w:tcPr>
            <w:tcW w:w="745" w:type="dxa"/>
            <w:noWrap/>
            <w:tcMar>
              <w:top w:w="18" w:type="dxa"/>
              <w:left w:w="18" w:type="dxa"/>
              <w:bottom w:w="0" w:type="dxa"/>
              <w:right w:w="18" w:type="dxa"/>
            </w:tcMar>
            <w:vAlign w:val="bottom"/>
          </w:tcPr>
          <w:p w14:paraId="7DBE91A8" w14:textId="10446E56" w:rsidR="00224102" w:rsidRPr="00692926" w:rsidRDefault="00224102" w:rsidP="00224102">
            <w:pPr>
              <w:spacing w:line="221" w:lineRule="auto"/>
              <w:jc w:val="right"/>
              <w:rPr>
                <w:b/>
                <w:sz w:val="14"/>
                <w:szCs w:val="14"/>
              </w:rPr>
            </w:pPr>
            <w:r w:rsidRPr="00692926">
              <w:rPr>
                <w:b/>
                <w:sz w:val="14"/>
                <w:szCs w:val="14"/>
              </w:rPr>
              <w:t>188,832</w:t>
            </w:r>
          </w:p>
        </w:tc>
        <w:tc>
          <w:tcPr>
            <w:tcW w:w="659" w:type="dxa"/>
            <w:noWrap/>
            <w:tcMar>
              <w:top w:w="18" w:type="dxa"/>
              <w:left w:w="18" w:type="dxa"/>
              <w:bottom w:w="0" w:type="dxa"/>
              <w:right w:w="18" w:type="dxa"/>
            </w:tcMar>
            <w:vAlign w:val="bottom"/>
          </w:tcPr>
          <w:p w14:paraId="12E6CF72" w14:textId="206E1510" w:rsidR="00224102" w:rsidRPr="00692926" w:rsidRDefault="00224102" w:rsidP="00224102">
            <w:pPr>
              <w:spacing w:line="221" w:lineRule="auto"/>
              <w:jc w:val="right"/>
              <w:rPr>
                <w:b/>
                <w:sz w:val="14"/>
                <w:szCs w:val="14"/>
              </w:rPr>
            </w:pPr>
            <w:r w:rsidRPr="00692926">
              <w:rPr>
                <w:b/>
                <w:sz w:val="14"/>
                <w:szCs w:val="14"/>
              </w:rPr>
              <w:t>462,577</w:t>
            </w:r>
          </w:p>
        </w:tc>
        <w:tc>
          <w:tcPr>
            <w:tcW w:w="686" w:type="dxa"/>
            <w:noWrap/>
            <w:tcMar>
              <w:top w:w="18" w:type="dxa"/>
              <w:left w:w="18" w:type="dxa"/>
              <w:bottom w:w="0" w:type="dxa"/>
              <w:right w:w="18" w:type="dxa"/>
            </w:tcMar>
            <w:vAlign w:val="bottom"/>
          </w:tcPr>
          <w:p w14:paraId="3BB1142B" w14:textId="195DFF53" w:rsidR="00224102" w:rsidRPr="00692926" w:rsidRDefault="00224102" w:rsidP="00224102">
            <w:pPr>
              <w:spacing w:line="221" w:lineRule="auto"/>
              <w:jc w:val="right"/>
              <w:rPr>
                <w:b/>
                <w:sz w:val="14"/>
                <w:szCs w:val="14"/>
              </w:rPr>
            </w:pPr>
            <w:r w:rsidRPr="00692926">
              <w:rPr>
                <w:b/>
                <w:sz w:val="14"/>
                <w:szCs w:val="14"/>
              </w:rPr>
              <w:t>651,409</w:t>
            </w:r>
          </w:p>
        </w:tc>
      </w:tr>
      <w:tr w:rsidR="00224102" w:rsidRPr="00604C75" w14:paraId="37F6D219" w14:textId="77777777" w:rsidTr="00373D13">
        <w:trPr>
          <w:trHeight w:val="90"/>
        </w:trPr>
        <w:tc>
          <w:tcPr>
            <w:tcW w:w="557" w:type="dxa"/>
            <w:noWrap/>
            <w:tcMar>
              <w:top w:w="18" w:type="dxa"/>
              <w:left w:w="18" w:type="dxa"/>
              <w:bottom w:w="0" w:type="dxa"/>
              <w:right w:w="18" w:type="dxa"/>
            </w:tcMar>
            <w:vAlign w:val="bottom"/>
          </w:tcPr>
          <w:p w14:paraId="51FBAB77" w14:textId="77777777" w:rsidR="00224102" w:rsidRPr="00604C75" w:rsidRDefault="00224102" w:rsidP="00224102">
            <w:pPr>
              <w:spacing w:line="204" w:lineRule="auto"/>
              <w:rPr>
                <w:bCs/>
                <w:noProof/>
                <w:sz w:val="14"/>
                <w:szCs w:val="14"/>
                <w:lang w:val="tr-TR"/>
              </w:rPr>
            </w:pPr>
            <w:r w:rsidRPr="00604C75">
              <w:rPr>
                <w:bCs/>
                <w:noProof/>
                <w:sz w:val="14"/>
                <w:szCs w:val="14"/>
                <w:lang w:val="tr-TR"/>
              </w:rPr>
              <w:t>12.1</w:t>
            </w:r>
          </w:p>
        </w:tc>
        <w:tc>
          <w:tcPr>
            <w:tcW w:w="4767" w:type="dxa"/>
            <w:noWrap/>
            <w:tcMar>
              <w:top w:w="18" w:type="dxa"/>
              <w:left w:w="18" w:type="dxa"/>
              <w:bottom w:w="0" w:type="dxa"/>
              <w:right w:w="18" w:type="dxa"/>
            </w:tcMar>
            <w:vAlign w:val="bottom"/>
          </w:tcPr>
          <w:p w14:paraId="3EEDC8C0" w14:textId="77777777" w:rsidR="00224102" w:rsidRPr="00604C75" w:rsidRDefault="00224102" w:rsidP="00224102">
            <w:pPr>
              <w:spacing w:line="204" w:lineRule="auto"/>
              <w:rPr>
                <w:bCs/>
                <w:noProof/>
                <w:sz w:val="14"/>
                <w:szCs w:val="14"/>
                <w:lang w:val="tr-TR"/>
              </w:rPr>
            </w:pPr>
            <w:r w:rsidRPr="00604C75">
              <w:rPr>
                <w:bCs/>
                <w:noProof/>
                <w:sz w:val="14"/>
                <w:szCs w:val="14"/>
                <w:lang w:val="tr-TR"/>
              </w:rPr>
              <w:t>Financial Lease Receivables</w:t>
            </w:r>
          </w:p>
        </w:tc>
        <w:tc>
          <w:tcPr>
            <w:tcW w:w="531" w:type="dxa"/>
            <w:noWrap/>
            <w:tcMar>
              <w:top w:w="18" w:type="dxa"/>
              <w:left w:w="18" w:type="dxa"/>
              <w:bottom w:w="0" w:type="dxa"/>
              <w:right w:w="18" w:type="dxa"/>
            </w:tcMar>
            <w:vAlign w:val="bottom"/>
          </w:tcPr>
          <w:p w14:paraId="433B4365" w14:textId="77777777" w:rsidR="00224102" w:rsidRPr="00604C75" w:rsidRDefault="00224102" w:rsidP="00224102">
            <w:pPr>
              <w:spacing w:line="204" w:lineRule="auto"/>
              <w:jc w:val="center"/>
              <w:rPr>
                <w:rFonts w:eastAsia="Arial Unicode MS"/>
                <w:sz w:val="14"/>
                <w:szCs w:val="14"/>
              </w:rPr>
            </w:pPr>
          </w:p>
        </w:tc>
        <w:tc>
          <w:tcPr>
            <w:tcW w:w="630" w:type="dxa"/>
            <w:noWrap/>
            <w:tcMar>
              <w:top w:w="18" w:type="dxa"/>
              <w:left w:w="18" w:type="dxa"/>
              <w:bottom w:w="0" w:type="dxa"/>
              <w:right w:w="18" w:type="dxa"/>
            </w:tcMar>
            <w:vAlign w:val="bottom"/>
          </w:tcPr>
          <w:p w14:paraId="539544C5" w14:textId="44122BEA" w:rsidR="00224102" w:rsidRPr="00EF6596" w:rsidRDefault="00224102" w:rsidP="00224102">
            <w:pPr>
              <w:jc w:val="right"/>
              <w:rPr>
                <w:sz w:val="14"/>
                <w:szCs w:val="14"/>
              </w:rPr>
            </w:pPr>
            <w:r w:rsidRPr="00EF6596">
              <w:rPr>
                <w:sz w:val="14"/>
                <w:szCs w:val="14"/>
              </w:rPr>
              <w:t>287,166</w:t>
            </w:r>
          </w:p>
        </w:tc>
        <w:tc>
          <w:tcPr>
            <w:tcW w:w="791" w:type="dxa"/>
            <w:noWrap/>
            <w:tcMar>
              <w:top w:w="18" w:type="dxa"/>
              <w:left w:w="18" w:type="dxa"/>
              <w:bottom w:w="0" w:type="dxa"/>
              <w:right w:w="18" w:type="dxa"/>
            </w:tcMar>
            <w:vAlign w:val="bottom"/>
          </w:tcPr>
          <w:p w14:paraId="207C138F" w14:textId="06F876AB" w:rsidR="00224102" w:rsidRPr="00EF6596" w:rsidRDefault="00224102" w:rsidP="00224102">
            <w:pPr>
              <w:jc w:val="right"/>
              <w:rPr>
                <w:sz w:val="14"/>
                <w:szCs w:val="14"/>
              </w:rPr>
            </w:pPr>
            <w:r w:rsidRPr="00EF6596">
              <w:rPr>
                <w:sz w:val="14"/>
                <w:szCs w:val="14"/>
              </w:rPr>
              <w:t>885,242</w:t>
            </w:r>
          </w:p>
        </w:tc>
        <w:tc>
          <w:tcPr>
            <w:tcW w:w="745" w:type="dxa"/>
            <w:noWrap/>
            <w:tcMar>
              <w:top w:w="18" w:type="dxa"/>
              <w:left w:w="18" w:type="dxa"/>
              <w:bottom w:w="0" w:type="dxa"/>
              <w:right w:w="18" w:type="dxa"/>
            </w:tcMar>
            <w:vAlign w:val="bottom"/>
          </w:tcPr>
          <w:p w14:paraId="53070E32" w14:textId="17F9AA43" w:rsidR="00224102" w:rsidRPr="00EF6596" w:rsidRDefault="00224102" w:rsidP="00224102">
            <w:pPr>
              <w:jc w:val="right"/>
              <w:rPr>
                <w:sz w:val="14"/>
                <w:szCs w:val="14"/>
              </w:rPr>
            </w:pPr>
            <w:r w:rsidRPr="00EF6596">
              <w:rPr>
                <w:sz w:val="14"/>
                <w:szCs w:val="14"/>
              </w:rPr>
              <w:t>1,172,408</w:t>
            </w:r>
          </w:p>
        </w:tc>
        <w:tc>
          <w:tcPr>
            <w:tcW w:w="745" w:type="dxa"/>
            <w:noWrap/>
            <w:tcMar>
              <w:top w:w="18" w:type="dxa"/>
              <w:left w:w="18" w:type="dxa"/>
              <w:bottom w:w="0" w:type="dxa"/>
              <w:right w:w="18" w:type="dxa"/>
            </w:tcMar>
            <w:vAlign w:val="bottom"/>
          </w:tcPr>
          <w:p w14:paraId="50B86550" w14:textId="4D810C8C" w:rsidR="00224102" w:rsidRPr="00692926" w:rsidRDefault="00224102" w:rsidP="00224102">
            <w:pPr>
              <w:spacing w:line="221" w:lineRule="auto"/>
              <w:jc w:val="right"/>
              <w:rPr>
                <w:sz w:val="14"/>
                <w:szCs w:val="14"/>
              </w:rPr>
            </w:pPr>
            <w:r w:rsidRPr="00692926">
              <w:rPr>
                <w:sz w:val="14"/>
                <w:szCs w:val="14"/>
              </w:rPr>
              <w:t>221,280</w:t>
            </w:r>
          </w:p>
        </w:tc>
        <w:tc>
          <w:tcPr>
            <w:tcW w:w="659" w:type="dxa"/>
            <w:noWrap/>
            <w:tcMar>
              <w:top w:w="18" w:type="dxa"/>
              <w:left w:w="18" w:type="dxa"/>
              <w:bottom w:w="0" w:type="dxa"/>
              <w:right w:w="18" w:type="dxa"/>
            </w:tcMar>
            <w:vAlign w:val="bottom"/>
          </w:tcPr>
          <w:p w14:paraId="4D137D09" w14:textId="0FB0995C" w:rsidR="00224102" w:rsidRPr="00692926" w:rsidRDefault="00224102" w:rsidP="00224102">
            <w:pPr>
              <w:spacing w:line="221" w:lineRule="auto"/>
              <w:jc w:val="right"/>
              <w:rPr>
                <w:sz w:val="14"/>
                <w:szCs w:val="14"/>
              </w:rPr>
            </w:pPr>
            <w:r w:rsidRPr="00692926">
              <w:rPr>
                <w:sz w:val="14"/>
                <w:szCs w:val="14"/>
              </w:rPr>
              <w:t>525,499</w:t>
            </w:r>
          </w:p>
        </w:tc>
        <w:tc>
          <w:tcPr>
            <w:tcW w:w="686" w:type="dxa"/>
            <w:noWrap/>
            <w:tcMar>
              <w:top w:w="18" w:type="dxa"/>
              <w:left w:w="18" w:type="dxa"/>
              <w:bottom w:w="0" w:type="dxa"/>
              <w:right w:w="18" w:type="dxa"/>
            </w:tcMar>
            <w:vAlign w:val="bottom"/>
          </w:tcPr>
          <w:p w14:paraId="7FB0AD57" w14:textId="3B047F8A" w:rsidR="00224102" w:rsidRPr="00692926" w:rsidRDefault="00224102" w:rsidP="00224102">
            <w:pPr>
              <w:spacing w:line="221" w:lineRule="auto"/>
              <w:jc w:val="right"/>
              <w:rPr>
                <w:sz w:val="14"/>
                <w:szCs w:val="14"/>
              </w:rPr>
            </w:pPr>
            <w:r w:rsidRPr="00692926">
              <w:rPr>
                <w:sz w:val="14"/>
                <w:szCs w:val="14"/>
              </w:rPr>
              <w:t>746,779</w:t>
            </w:r>
          </w:p>
        </w:tc>
      </w:tr>
      <w:tr w:rsidR="00224102" w:rsidRPr="00604C75" w14:paraId="285E465F" w14:textId="77777777" w:rsidTr="00373D13">
        <w:trPr>
          <w:trHeight w:val="101"/>
        </w:trPr>
        <w:tc>
          <w:tcPr>
            <w:tcW w:w="557" w:type="dxa"/>
            <w:noWrap/>
            <w:tcMar>
              <w:top w:w="18" w:type="dxa"/>
              <w:left w:w="18" w:type="dxa"/>
              <w:bottom w:w="0" w:type="dxa"/>
              <w:right w:w="18" w:type="dxa"/>
            </w:tcMar>
            <w:vAlign w:val="bottom"/>
          </w:tcPr>
          <w:p w14:paraId="12E6EDB7" w14:textId="77777777" w:rsidR="00224102" w:rsidRPr="00604C75" w:rsidRDefault="00224102" w:rsidP="00224102">
            <w:pPr>
              <w:spacing w:line="204" w:lineRule="auto"/>
              <w:rPr>
                <w:bCs/>
                <w:noProof/>
                <w:sz w:val="14"/>
                <w:szCs w:val="14"/>
                <w:lang w:val="tr-TR"/>
              </w:rPr>
            </w:pPr>
            <w:r w:rsidRPr="00604C75">
              <w:rPr>
                <w:bCs/>
                <w:noProof/>
                <w:sz w:val="14"/>
                <w:szCs w:val="14"/>
                <w:lang w:val="tr-TR"/>
              </w:rPr>
              <w:t>12.2</w:t>
            </w:r>
          </w:p>
        </w:tc>
        <w:tc>
          <w:tcPr>
            <w:tcW w:w="4767" w:type="dxa"/>
            <w:noWrap/>
            <w:tcMar>
              <w:top w:w="18" w:type="dxa"/>
              <w:left w:w="18" w:type="dxa"/>
              <w:bottom w:w="0" w:type="dxa"/>
              <w:right w:w="18" w:type="dxa"/>
            </w:tcMar>
            <w:vAlign w:val="bottom"/>
          </w:tcPr>
          <w:p w14:paraId="403A36C9" w14:textId="77777777" w:rsidR="00224102" w:rsidRPr="00604C75" w:rsidRDefault="00224102" w:rsidP="00224102">
            <w:pPr>
              <w:spacing w:line="204" w:lineRule="auto"/>
              <w:rPr>
                <w:bCs/>
                <w:noProof/>
                <w:sz w:val="14"/>
                <w:szCs w:val="14"/>
                <w:lang w:val="tr-TR"/>
              </w:rPr>
            </w:pPr>
            <w:r w:rsidRPr="00604C75">
              <w:rPr>
                <w:bCs/>
                <w:noProof/>
                <w:sz w:val="14"/>
                <w:szCs w:val="14"/>
                <w:lang w:val="tr-TR"/>
              </w:rPr>
              <w:t>Operational Lease Receivables</w:t>
            </w:r>
          </w:p>
        </w:tc>
        <w:tc>
          <w:tcPr>
            <w:tcW w:w="531" w:type="dxa"/>
            <w:noWrap/>
            <w:tcMar>
              <w:top w:w="18" w:type="dxa"/>
              <w:left w:w="18" w:type="dxa"/>
              <w:bottom w:w="0" w:type="dxa"/>
              <w:right w:w="18" w:type="dxa"/>
            </w:tcMar>
            <w:vAlign w:val="bottom"/>
          </w:tcPr>
          <w:p w14:paraId="1454846E" w14:textId="007AC1B8"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09692769" w14:textId="581CB67E"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2219AA82" w14:textId="57BA9DAB"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4DAEFC04" w14:textId="7C66FCCE"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4D070789" w14:textId="37701FD4"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21B8E3B2" w14:textId="056CA6A5"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4D03DDBC" w14:textId="5821B0A8" w:rsidR="00224102" w:rsidRPr="00692926" w:rsidRDefault="00224102" w:rsidP="00224102">
            <w:pPr>
              <w:spacing w:line="221" w:lineRule="auto"/>
              <w:jc w:val="right"/>
              <w:rPr>
                <w:sz w:val="14"/>
                <w:szCs w:val="14"/>
              </w:rPr>
            </w:pPr>
            <w:r w:rsidRPr="00692926">
              <w:rPr>
                <w:sz w:val="14"/>
                <w:szCs w:val="14"/>
              </w:rPr>
              <w:t>-</w:t>
            </w:r>
          </w:p>
        </w:tc>
      </w:tr>
      <w:tr w:rsidR="00224102" w:rsidRPr="00604C75" w14:paraId="02D50BA2" w14:textId="77777777" w:rsidTr="00373D13">
        <w:trPr>
          <w:trHeight w:val="86"/>
        </w:trPr>
        <w:tc>
          <w:tcPr>
            <w:tcW w:w="557" w:type="dxa"/>
            <w:noWrap/>
            <w:tcMar>
              <w:top w:w="18" w:type="dxa"/>
              <w:left w:w="18" w:type="dxa"/>
              <w:bottom w:w="0" w:type="dxa"/>
              <w:right w:w="18" w:type="dxa"/>
            </w:tcMar>
            <w:vAlign w:val="bottom"/>
          </w:tcPr>
          <w:p w14:paraId="43BE7285" w14:textId="77777777" w:rsidR="00224102" w:rsidRPr="00604C75" w:rsidRDefault="00224102" w:rsidP="00224102">
            <w:pPr>
              <w:spacing w:line="204" w:lineRule="auto"/>
              <w:rPr>
                <w:bCs/>
                <w:noProof/>
                <w:sz w:val="14"/>
                <w:szCs w:val="14"/>
                <w:lang w:val="tr-TR"/>
              </w:rPr>
            </w:pPr>
            <w:r w:rsidRPr="00604C75">
              <w:rPr>
                <w:bCs/>
                <w:noProof/>
                <w:sz w:val="14"/>
                <w:szCs w:val="14"/>
                <w:lang w:val="tr-TR"/>
              </w:rPr>
              <w:t>12.3</w:t>
            </w:r>
          </w:p>
        </w:tc>
        <w:tc>
          <w:tcPr>
            <w:tcW w:w="4767" w:type="dxa"/>
            <w:noWrap/>
            <w:tcMar>
              <w:top w:w="18" w:type="dxa"/>
              <w:left w:w="18" w:type="dxa"/>
              <w:bottom w:w="0" w:type="dxa"/>
              <w:right w:w="18" w:type="dxa"/>
            </w:tcMar>
            <w:vAlign w:val="bottom"/>
          </w:tcPr>
          <w:p w14:paraId="7C3C2125" w14:textId="77777777" w:rsidR="00224102" w:rsidRPr="00604C75" w:rsidRDefault="00224102" w:rsidP="00224102">
            <w:pPr>
              <w:spacing w:line="204" w:lineRule="auto"/>
              <w:rPr>
                <w:bCs/>
                <w:noProof/>
                <w:sz w:val="14"/>
                <w:szCs w:val="14"/>
                <w:lang w:val="tr-TR"/>
              </w:rPr>
            </w:pPr>
            <w:r w:rsidRPr="00604C75">
              <w:rPr>
                <w:bCs/>
                <w:noProof/>
                <w:sz w:val="14"/>
                <w:szCs w:val="14"/>
                <w:lang w:val="tr-TR"/>
              </w:rPr>
              <w:t>Other</w:t>
            </w:r>
          </w:p>
        </w:tc>
        <w:tc>
          <w:tcPr>
            <w:tcW w:w="531" w:type="dxa"/>
            <w:noWrap/>
            <w:tcMar>
              <w:top w:w="18" w:type="dxa"/>
              <w:left w:w="18" w:type="dxa"/>
              <w:bottom w:w="0" w:type="dxa"/>
              <w:right w:w="18" w:type="dxa"/>
            </w:tcMar>
            <w:vAlign w:val="bottom"/>
          </w:tcPr>
          <w:p w14:paraId="29D07790" w14:textId="730B71D0"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D87912D" w14:textId="7DAD4189" w:rsidR="00224102" w:rsidRPr="00EF6596" w:rsidRDefault="00224102" w:rsidP="00224102">
            <w:pPr>
              <w:jc w:val="right"/>
              <w:rPr>
                <w:sz w:val="14"/>
                <w:szCs w:val="14"/>
              </w:rPr>
            </w:pPr>
            <w:r w:rsidRPr="00EF6596">
              <w:rPr>
                <w:sz w:val="14"/>
                <w:szCs w:val="14"/>
              </w:rPr>
              <w:t>6,568</w:t>
            </w:r>
          </w:p>
        </w:tc>
        <w:tc>
          <w:tcPr>
            <w:tcW w:w="791" w:type="dxa"/>
            <w:noWrap/>
            <w:tcMar>
              <w:top w:w="18" w:type="dxa"/>
              <w:left w:w="18" w:type="dxa"/>
              <w:bottom w:w="0" w:type="dxa"/>
              <w:right w:w="18" w:type="dxa"/>
            </w:tcMar>
            <w:vAlign w:val="bottom"/>
          </w:tcPr>
          <w:p w14:paraId="14D9383A" w14:textId="039AAB37" w:rsidR="00224102" w:rsidRPr="00EF6596" w:rsidRDefault="00224102" w:rsidP="00224102">
            <w:pPr>
              <w:jc w:val="right"/>
              <w:rPr>
                <w:sz w:val="14"/>
                <w:szCs w:val="14"/>
              </w:rPr>
            </w:pPr>
            <w:r w:rsidRPr="00EF6596">
              <w:rPr>
                <w:sz w:val="14"/>
                <w:szCs w:val="14"/>
              </w:rPr>
              <w:t>12,979</w:t>
            </w:r>
          </w:p>
        </w:tc>
        <w:tc>
          <w:tcPr>
            <w:tcW w:w="745" w:type="dxa"/>
            <w:noWrap/>
            <w:tcMar>
              <w:top w:w="18" w:type="dxa"/>
              <w:left w:w="18" w:type="dxa"/>
              <w:bottom w:w="0" w:type="dxa"/>
              <w:right w:w="18" w:type="dxa"/>
            </w:tcMar>
            <w:vAlign w:val="bottom"/>
          </w:tcPr>
          <w:p w14:paraId="6C4ECA7B" w14:textId="244F4B49" w:rsidR="00224102" w:rsidRPr="00EF6596" w:rsidRDefault="00224102" w:rsidP="00224102">
            <w:pPr>
              <w:jc w:val="right"/>
              <w:rPr>
                <w:sz w:val="14"/>
                <w:szCs w:val="14"/>
              </w:rPr>
            </w:pPr>
            <w:r w:rsidRPr="00EF6596">
              <w:rPr>
                <w:sz w:val="14"/>
                <w:szCs w:val="14"/>
              </w:rPr>
              <w:t>19,547</w:t>
            </w:r>
          </w:p>
        </w:tc>
        <w:tc>
          <w:tcPr>
            <w:tcW w:w="745" w:type="dxa"/>
            <w:noWrap/>
            <w:tcMar>
              <w:top w:w="18" w:type="dxa"/>
              <w:left w:w="18" w:type="dxa"/>
              <w:bottom w:w="0" w:type="dxa"/>
              <w:right w:w="18" w:type="dxa"/>
            </w:tcMar>
            <w:vAlign w:val="bottom"/>
          </w:tcPr>
          <w:p w14:paraId="25BAC07B" w14:textId="796AC1F9" w:rsidR="00224102" w:rsidRPr="00692926" w:rsidRDefault="00224102" w:rsidP="00224102">
            <w:pPr>
              <w:spacing w:line="221" w:lineRule="auto"/>
              <w:jc w:val="right"/>
              <w:rPr>
                <w:sz w:val="14"/>
                <w:szCs w:val="14"/>
              </w:rPr>
            </w:pPr>
            <w:r w:rsidRPr="00692926">
              <w:rPr>
                <w:sz w:val="14"/>
                <w:szCs w:val="14"/>
              </w:rPr>
              <w:t>4,246</w:t>
            </w:r>
          </w:p>
        </w:tc>
        <w:tc>
          <w:tcPr>
            <w:tcW w:w="659" w:type="dxa"/>
            <w:noWrap/>
            <w:tcMar>
              <w:top w:w="18" w:type="dxa"/>
              <w:left w:w="18" w:type="dxa"/>
              <w:bottom w:w="0" w:type="dxa"/>
              <w:right w:w="18" w:type="dxa"/>
            </w:tcMar>
            <w:vAlign w:val="bottom"/>
          </w:tcPr>
          <w:p w14:paraId="0876E276" w14:textId="195F355A" w:rsidR="00224102" w:rsidRPr="00692926" w:rsidRDefault="00224102" w:rsidP="00224102">
            <w:pPr>
              <w:spacing w:line="221" w:lineRule="auto"/>
              <w:jc w:val="right"/>
              <w:rPr>
                <w:sz w:val="14"/>
                <w:szCs w:val="14"/>
              </w:rPr>
            </w:pPr>
            <w:r w:rsidRPr="00692926">
              <w:rPr>
                <w:sz w:val="14"/>
                <w:szCs w:val="14"/>
              </w:rPr>
              <w:t>9,751</w:t>
            </w:r>
          </w:p>
        </w:tc>
        <w:tc>
          <w:tcPr>
            <w:tcW w:w="686" w:type="dxa"/>
            <w:noWrap/>
            <w:tcMar>
              <w:top w:w="18" w:type="dxa"/>
              <w:left w:w="18" w:type="dxa"/>
              <w:bottom w:w="0" w:type="dxa"/>
              <w:right w:w="18" w:type="dxa"/>
            </w:tcMar>
            <w:vAlign w:val="bottom"/>
          </w:tcPr>
          <w:p w14:paraId="53DA900C" w14:textId="16D21F95" w:rsidR="00224102" w:rsidRPr="00692926" w:rsidRDefault="00224102" w:rsidP="00224102">
            <w:pPr>
              <w:spacing w:line="221" w:lineRule="auto"/>
              <w:jc w:val="right"/>
              <w:rPr>
                <w:sz w:val="14"/>
                <w:szCs w:val="14"/>
              </w:rPr>
            </w:pPr>
            <w:r w:rsidRPr="00692926">
              <w:rPr>
                <w:sz w:val="14"/>
                <w:szCs w:val="14"/>
              </w:rPr>
              <w:t>13,997</w:t>
            </w:r>
          </w:p>
        </w:tc>
      </w:tr>
      <w:tr w:rsidR="00224102" w:rsidRPr="00604C75" w14:paraId="0C66E7CC" w14:textId="77777777" w:rsidTr="00373D13">
        <w:trPr>
          <w:trHeight w:val="84"/>
        </w:trPr>
        <w:tc>
          <w:tcPr>
            <w:tcW w:w="557" w:type="dxa"/>
            <w:noWrap/>
            <w:tcMar>
              <w:top w:w="18" w:type="dxa"/>
              <w:left w:w="18" w:type="dxa"/>
              <w:bottom w:w="0" w:type="dxa"/>
              <w:right w:w="18" w:type="dxa"/>
            </w:tcMar>
            <w:vAlign w:val="bottom"/>
          </w:tcPr>
          <w:p w14:paraId="422BEF36" w14:textId="77777777" w:rsidR="00224102" w:rsidRPr="00604C75" w:rsidRDefault="00224102" w:rsidP="00224102">
            <w:pPr>
              <w:spacing w:line="204" w:lineRule="auto"/>
              <w:rPr>
                <w:bCs/>
                <w:noProof/>
                <w:sz w:val="14"/>
                <w:szCs w:val="14"/>
                <w:lang w:val="tr-TR"/>
              </w:rPr>
            </w:pPr>
            <w:r w:rsidRPr="00604C75">
              <w:rPr>
                <w:bCs/>
                <w:noProof/>
                <w:sz w:val="14"/>
                <w:szCs w:val="14"/>
                <w:lang w:val="tr-TR"/>
              </w:rPr>
              <w:t>12.4</w:t>
            </w:r>
          </w:p>
        </w:tc>
        <w:tc>
          <w:tcPr>
            <w:tcW w:w="4767" w:type="dxa"/>
            <w:noWrap/>
            <w:tcMar>
              <w:top w:w="18" w:type="dxa"/>
              <w:left w:w="18" w:type="dxa"/>
              <w:bottom w:w="0" w:type="dxa"/>
              <w:right w:w="18" w:type="dxa"/>
            </w:tcMar>
            <w:vAlign w:val="bottom"/>
          </w:tcPr>
          <w:p w14:paraId="2A84CEA7" w14:textId="77777777" w:rsidR="00224102" w:rsidRPr="00604C75" w:rsidRDefault="00224102" w:rsidP="00224102">
            <w:pPr>
              <w:spacing w:line="204" w:lineRule="auto"/>
              <w:rPr>
                <w:bCs/>
                <w:noProof/>
                <w:sz w:val="14"/>
                <w:szCs w:val="14"/>
                <w:lang w:val="tr-TR"/>
              </w:rPr>
            </w:pPr>
            <w:r w:rsidRPr="00604C75">
              <w:rPr>
                <w:bCs/>
                <w:noProof/>
                <w:sz w:val="14"/>
                <w:szCs w:val="14"/>
                <w:lang w:val="tr-TR"/>
              </w:rPr>
              <w:t>Unearned Income ( - )</w:t>
            </w:r>
          </w:p>
        </w:tc>
        <w:tc>
          <w:tcPr>
            <w:tcW w:w="531" w:type="dxa"/>
            <w:noWrap/>
            <w:tcMar>
              <w:top w:w="18" w:type="dxa"/>
              <w:left w:w="18" w:type="dxa"/>
              <w:bottom w:w="0" w:type="dxa"/>
              <w:right w:w="18" w:type="dxa"/>
            </w:tcMar>
            <w:vAlign w:val="bottom"/>
          </w:tcPr>
          <w:p w14:paraId="43F89397" w14:textId="1C91F553"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242E72A" w14:textId="59151357" w:rsidR="00224102" w:rsidRPr="00EF6596" w:rsidRDefault="00224102" w:rsidP="00224102">
            <w:pPr>
              <w:jc w:val="right"/>
              <w:rPr>
                <w:sz w:val="14"/>
                <w:szCs w:val="14"/>
              </w:rPr>
            </w:pPr>
            <w:r w:rsidRPr="00EF6596">
              <w:rPr>
                <w:sz w:val="14"/>
                <w:szCs w:val="14"/>
              </w:rPr>
              <w:t>50,731</w:t>
            </w:r>
          </w:p>
        </w:tc>
        <w:tc>
          <w:tcPr>
            <w:tcW w:w="791" w:type="dxa"/>
            <w:noWrap/>
            <w:tcMar>
              <w:top w:w="18" w:type="dxa"/>
              <w:left w:w="18" w:type="dxa"/>
              <w:bottom w:w="0" w:type="dxa"/>
              <w:right w:w="18" w:type="dxa"/>
            </w:tcMar>
            <w:vAlign w:val="bottom"/>
          </w:tcPr>
          <w:p w14:paraId="4BAB11E5" w14:textId="77FB5265" w:rsidR="00224102" w:rsidRPr="00EF6596" w:rsidRDefault="00224102" w:rsidP="00224102">
            <w:pPr>
              <w:jc w:val="right"/>
              <w:rPr>
                <w:sz w:val="14"/>
                <w:szCs w:val="14"/>
              </w:rPr>
            </w:pPr>
            <w:r w:rsidRPr="00EF6596">
              <w:rPr>
                <w:sz w:val="14"/>
                <w:szCs w:val="14"/>
              </w:rPr>
              <w:t>109,575</w:t>
            </w:r>
          </w:p>
        </w:tc>
        <w:tc>
          <w:tcPr>
            <w:tcW w:w="745" w:type="dxa"/>
            <w:noWrap/>
            <w:tcMar>
              <w:top w:w="18" w:type="dxa"/>
              <w:left w:w="18" w:type="dxa"/>
              <w:bottom w:w="0" w:type="dxa"/>
              <w:right w:w="18" w:type="dxa"/>
            </w:tcMar>
            <w:vAlign w:val="bottom"/>
          </w:tcPr>
          <w:p w14:paraId="7CDA5DA6" w14:textId="0DB8B14E" w:rsidR="00224102" w:rsidRPr="00EF6596" w:rsidRDefault="00224102" w:rsidP="00224102">
            <w:pPr>
              <w:jc w:val="right"/>
              <w:rPr>
                <w:sz w:val="14"/>
                <w:szCs w:val="14"/>
              </w:rPr>
            </w:pPr>
            <w:r w:rsidRPr="00EF6596">
              <w:rPr>
                <w:sz w:val="14"/>
                <w:szCs w:val="14"/>
              </w:rPr>
              <w:t>160,306</w:t>
            </w:r>
          </w:p>
        </w:tc>
        <w:tc>
          <w:tcPr>
            <w:tcW w:w="745" w:type="dxa"/>
            <w:noWrap/>
            <w:tcMar>
              <w:top w:w="18" w:type="dxa"/>
              <w:left w:w="18" w:type="dxa"/>
              <w:bottom w:w="0" w:type="dxa"/>
              <w:right w:w="18" w:type="dxa"/>
            </w:tcMar>
            <w:vAlign w:val="bottom"/>
          </w:tcPr>
          <w:p w14:paraId="604792E1" w14:textId="43DC910B" w:rsidR="00224102" w:rsidRPr="00692926" w:rsidRDefault="00224102" w:rsidP="00224102">
            <w:pPr>
              <w:spacing w:line="221" w:lineRule="auto"/>
              <w:jc w:val="right"/>
              <w:rPr>
                <w:sz w:val="14"/>
                <w:szCs w:val="14"/>
              </w:rPr>
            </w:pPr>
            <w:r w:rsidRPr="00692926">
              <w:rPr>
                <w:sz w:val="14"/>
                <w:szCs w:val="14"/>
              </w:rPr>
              <w:t>36,694</w:t>
            </w:r>
          </w:p>
        </w:tc>
        <w:tc>
          <w:tcPr>
            <w:tcW w:w="659" w:type="dxa"/>
            <w:noWrap/>
            <w:tcMar>
              <w:top w:w="18" w:type="dxa"/>
              <w:left w:w="18" w:type="dxa"/>
              <w:bottom w:w="0" w:type="dxa"/>
              <w:right w:w="18" w:type="dxa"/>
            </w:tcMar>
            <w:vAlign w:val="bottom"/>
          </w:tcPr>
          <w:p w14:paraId="34DA9908" w14:textId="620D8754" w:rsidR="00224102" w:rsidRPr="00692926" w:rsidRDefault="00224102" w:rsidP="00224102">
            <w:pPr>
              <w:spacing w:line="221" w:lineRule="auto"/>
              <w:jc w:val="right"/>
              <w:rPr>
                <w:sz w:val="14"/>
                <w:szCs w:val="14"/>
              </w:rPr>
            </w:pPr>
            <w:r w:rsidRPr="00692926">
              <w:rPr>
                <w:sz w:val="14"/>
                <w:szCs w:val="14"/>
              </w:rPr>
              <w:t>72,673</w:t>
            </w:r>
          </w:p>
        </w:tc>
        <w:tc>
          <w:tcPr>
            <w:tcW w:w="686" w:type="dxa"/>
            <w:noWrap/>
            <w:tcMar>
              <w:top w:w="18" w:type="dxa"/>
              <w:left w:w="18" w:type="dxa"/>
              <w:bottom w:w="0" w:type="dxa"/>
              <w:right w:w="18" w:type="dxa"/>
            </w:tcMar>
            <w:vAlign w:val="bottom"/>
          </w:tcPr>
          <w:p w14:paraId="412D92D6" w14:textId="6EA38850" w:rsidR="00224102" w:rsidRPr="00692926" w:rsidRDefault="00224102" w:rsidP="00224102">
            <w:pPr>
              <w:spacing w:line="221" w:lineRule="auto"/>
              <w:jc w:val="right"/>
              <w:rPr>
                <w:sz w:val="14"/>
                <w:szCs w:val="14"/>
              </w:rPr>
            </w:pPr>
            <w:r w:rsidRPr="00692926">
              <w:rPr>
                <w:sz w:val="14"/>
                <w:szCs w:val="14"/>
              </w:rPr>
              <w:t>109,367</w:t>
            </w:r>
          </w:p>
        </w:tc>
      </w:tr>
      <w:tr w:rsidR="00224102" w:rsidRPr="00604C75" w14:paraId="548A7AD2" w14:textId="77777777" w:rsidTr="00373D13">
        <w:trPr>
          <w:trHeight w:val="72"/>
        </w:trPr>
        <w:tc>
          <w:tcPr>
            <w:tcW w:w="557" w:type="dxa"/>
            <w:noWrap/>
            <w:tcMar>
              <w:top w:w="18" w:type="dxa"/>
              <w:left w:w="18" w:type="dxa"/>
              <w:bottom w:w="0" w:type="dxa"/>
              <w:right w:w="18" w:type="dxa"/>
            </w:tcMar>
            <w:vAlign w:val="bottom"/>
          </w:tcPr>
          <w:p w14:paraId="62D73E98"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XIII.</w:t>
            </w:r>
          </w:p>
        </w:tc>
        <w:tc>
          <w:tcPr>
            <w:tcW w:w="4767" w:type="dxa"/>
            <w:noWrap/>
            <w:tcMar>
              <w:top w:w="18" w:type="dxa"/>
              <w:left w:w="18" w:type="dxa"/>
              <w:bottom w:w="0" w:type="dxa"/>
              <w:right w:w="18" w:type="dxa"/>
            </w:tcMar>
            <w:vAlign w:val="bottom"/>
          </w:tcPr>
          <w:p w14:paraId="768943FA"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HEDGING DERIVATIVE FINANCIAL ASSETS</w:t>
            </w:r>
          </w:p>
        </w:tc>
        <w:tc>
          <w:tcPr>
            <w:tcW w:w="531" w:type="dxa"/>
            <w:noWrap/>
            <w:tcMar>
              <w:top w:w="18" w:type="dxa"/>
              <w:left w:w="18" w:type="dxa"/>
              <w:bottom w:w="0" w:type="dxa"/>
              <w:right w:w="18" w:type="dxa"/>
            </w:tcMar>
            <w:vAlign w:val="bottom"/>
          </w:tcPr>
          <w:p w14:paraId="0B01CA34" w14:textId="2A7FDFD3" w:rsidR="00224102" w:rsidRPr="00604C75" w:rsidRDefault="00224102" w:rsidP="00224102">
            <w:pPr>
              <w:spacing w:line="204" w:lineRule="auto"/>
              <w:jc w:val="center"/>
              <w:rPr>
                <w:rFonts w:eastAsia="Arial Unicode MS"/>
                <w:sz w:val="14"/>
                <w:szCs w:val="14"/>
              </w:rPr>
            </w:pPr>
            <w:r w:rsidRPr="00692926">
              <w:rPr>
                <w:rFonts w:eastAsia="Arial Unicode MS"/>
                <w:b/>
                <w:sz w:val="14"/>
                <w:szCs w:val="14"/>
              </w:rPr>
              <w:t>I-k</w:t>
            </w:r>
          </w:p>
        </w:tc>
        <w:tc>
          <w:tcPr>
            <w:tcW w:w="630" w:type="dxa"/>
            <w:noWrap/>
            <w:tcMar>
              <w:top w:w="18" w:type="dxa"/>
              <w:left w:w="18" w:type="dxa"/>
              <w:bottom w:w="0" w:type="dxa"/>
              <w:right w:w="18" w:type="dxa"/>
            </w:tcMar>
            <w:vAlign w:val="bottom"/>
          </w:tcPr>
          <w:p w14:paraId="5EB6F472" w14:textId="36032771" w:rsidR="00224102" w:rsidRPr="00EF6596" w:rsidRDefault="00224102" w:rsidP="00224102">
            <w:pPr>
              <w:jc w:val="right"/>
              <w:rPr>
                <w:b/>
                <w:bCs/>
                <w:sz w:val="14"/>
                <w:szCs w:val="14"/>
              </w:rPr>
            </w:pPr>
            <w:r w:rsidRPr="00EF6596">
              <w:rPr>
                <w:b/>
                <w:bCs/>
                <w:sz w:val="14"/>
                <w:szCs w:val="14"/>
              </w:rPr>
              <w:t>-</w:t>
            </w:r>
          </w:p>
        </w:tc>
        <w:tc>
          <w:tcPr>
            <w:tcW w:w="791" w:type="dxa"/>
            <w:noWrap/>
            <w:tcMar>
              <w:top w:w="18" w:type="dxa"/>
              <w:left w:w="18" w:type="dxa"/>
              <w:bottom w:w="0" w:type="dxa"/>
              <w:right w:w="18" w:type="dxa"/>
            </w:tcMar>
            <w:vAlign w:val="bottom"/>
          </w:tcPr>
          <w:p w14:paraId="2BCCA52A" w14:textId="323DCE4F"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64E8F760" w14:textId="60386BF0"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586703C7" w14:textId="4334AD0D" w:rsidR="00224102" w:rsidRPr="00692926" w:rsidRDefault="00224102" w:rsidP="00224102">
            <w:pPr>
              <w:spacing w:line="221" w:lineRule="auto"/>
              <w:jc w:val="right"/>
              <w:rPr>
                <w:b/>
                <w:sz w:val="14"/>
                <w:szCs w:val="14"/>
              </w:rPr>
            </w:pPr>
            <w:r w:rsidRPr="00692926">
              <w:rPr>
                <w:b/>
                <w:sz w:val="14"/>
                <w:szCs w:val="14"/>
              </w:rPr>
              <w:t>-</w:t>
            </w:r>
          </w:p>
        </w:tc>
        <w:tc>
          <w:tcPr>
            <w:tcW w:w="659" w:type="dxa"/>
            <w:noWrap/>
            <w:tcMar>
              <w:top w:w="18" w:type="dxa"/>
              <w:left w:w="18" w:type="dxa"/>
              <w:bottom w:w="0" w:type="dxa"/>
              <w:right w:w="18" w:type="dxa"/>
            </w:tcMar>
            <w:vAlign w:val="bottom"/>
          </w:tcPr>
          <w:p w14:paraId="0308C456" w14:textId="5D01D56E" w:rsidR="00224102" w:rsidRPr="00692926" w:rsidRDefault="00224102" w:rsidP="00224102">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14:paraId="0260BEF5" w14:textId="1F27B9D9" w:rsidR="00224102" w:rsidRPr="00692926" w:rsidRDefault="00224102" w:rsidP="00224102">
            <w:pPr>
              <w:spacing w:line="221" w:lineRule="auto"/>
              <w:jc w:val="right"/>
              <w:rPr>
                <w:b/>
                <w:sz w:val="14"/>
                <w:szCs w:val="14"/>
              </w:rPr>
            </w:pPr>
            <w:r w:rsidRPr="00692926">
              <w:rPr>
                <w:b/>
                <w:sz w:val="14"/>
                <w:szCs w:val="14"/>
              </w:rPr>
              <w:t>-</w:t>
            </w:r>
          </w:p>
        </w:tc>
      </w:tr>
      <w:tr w:rsidR="00224102" w:rsidRPr="00604C75" w14:paraId="5BAD3737" w14:textId="77777777" w:rsidTr="00373D13">
        <w:trPr>
          <w:trHeight w:val="80"/>
        </w:trPr>
        <w:tc>
          <w:tcPr>
            <w:tcW w:w="557" w:type="dxa"/>
            <w:noWrap/>
            <w:tcMar>
              <w:top w:w="18" w:type="dxa"/>
              <w:left w:w="18" w:type="dxa"/>
              <w:bottom w:w="0" w:type="dxa"/>
              <w:right w:w="18" w:type="dxa"/>
            </w:tcMar>
            <w:vAlign w:val="bottom"/>
          </w:tcPr>
          <w:p w14:paraId="5F96B581" w14:textId="77777777" w:rsidR="00224102" w:rsidRPr="00604C75" w:rsidRDefault="00224102" w:rsidP="00224102">
            <w:pPr>
              <w:spacing w:line="204" w:lineRule="auto"/>
              <w:rPr>
                <w:bCs/>
                <w:noProof/>
                <w:sz w:val="14"/>
                <w:szCs w:val="14"/>
                <w:lang w:val="tr-TR"/>
              </w:rPr>
            </w:pPr>
            <w:r w:rsidRPr="00604C75">
              <w:rPr>
                <w:bCs/>
                <w:noProof/>
                <w:sz w:val="14"/>
                <w:szCs w:val="14"/>
                <w:lang w:val="tr-TR"/>
              </w:rPr>
              <w:t>13.1</w:t>
            </w:r>
          </w:p>
        </w:tc>
        <w:tc>
          <w:tcPr>
            <w:tcW w:w="4767" w:type="dxa"/>
            <w:noWrap/>
            <w:tcMar>
              <w:top w:w="18" w:type="dxa"/>
              <w:left w:w="18" w:type="dxa"/>
              <w:bottom w:w="0" w:type="dxa"/>
              <w:right w:w="18" w:type="dxa"/>
            </w:tcMar>
            <w:vAlign w:val="bottom"/>
          </w:tcPr>
          <w:p w14:paraId="33BE0BA7" w14:textId="77777777" w:rsidR="00224102" w:rsidRPr="00604C75" w:rsidRDefault="00224102" w:rsidP="00224102">
            <w:pPr>
              <w:spacing w:line="204" w:lineRule="auto"/>
              <w:rPr>
                <w:bCs/>
                <w:noProof/>
                <w:sz w:val="14"/>
                <w:szCs w:val="14"/>
                <w:lang w:val="tr-TR"/>
              </w:rPr>
            </w:pPr>
            <w:r w:rsidRPr="00604C75">
              <w:rPr>
                <w:bCs/>
                <w:noProof/>
                <w:sz w:val="14"/>
                <w:szCs w:val="14"/>
                <w:lang w:val="tr-TR"/>
              </w:rPr>
              <w:t>Fair Value Hedge</w:t>
            </w:r>
          </w:p>
        </w:tc>
        <w:tc>
          <w:tcPr>
            <w:tcW w:w="531" w:type="dxa"/>
            <w:noWrap/>
            <w:tcMar>
              <w:top w:w="18" w:type="dxa"/>
              <w:left w:w="18" w:type="dxa"/>
              <w:bottom w:w="0" w:type="dxa"/>
              <w:right w:w="18" w:type="dxa"/>
            </w:tcMar>
            <w:vAlign w:val="bottom"/>
          </w:tcPr>
          <w:p w14:paraId="1CD1CDD4" w14:textId="398B14AE"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7D1EE6C" w14:textId="04A91E33"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0BB465C0" w14:textId="5B1C4D4B"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2B0394A" w14:textId="6B1D41B1"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5D928ABF" w14:textId="0541410D"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59E1AA6F" w14:textId="65FC4773"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4154577D" w14:textId="3D40CA6F" w:rsidR="00224102" w:rsidRPr="00692926" w:rsidRDefault="00224102" w:rsidP="00224102">
            <w:pPr>
              <w:spacing w:line="221" w:lineRule="auto"/>
              <w:jc w:val="right"/>
              <w:rPr>
                <w:sz w:val="14"/>
                <w:szCs w:val="14"/>
              </w:rPr>
            </w:pPr>
            <w:r w:rsidRPr="00692926">
              <w:rPr>
                <w:sz w:val="14"/>
                <w:szCs w:val="14"/>
              </w:rPr>
              <w:t>-</w:t>
            </w:r>
          </w:p>
        </w:tc>
      </w:tr>
      <w:tr w:rsidR="00224102" w:rsidRPr="00604C75" w14:paraId="7A37CAAE" w14:textId="77777777" w:rsidTr="00373D13">
        <w:trPr>
          <w:trHeight w:val="62"/>
        </w:trPr>
        <w:tc>
          <w:tcPr>
            <w:tcW w:w="557" w:type="dxa"/>
            <w:noWrap/>
            <w:tcMar>
              <w:top w:w="18" w:type="dxa"/>
              <w:left w:w="18" w:type="dxa"/>
              <w:bottom w:w="0" w:type="dxa"/>
              <w:right w:w="18" w:type="dxa"/>
            </w:tcMar>
            <w:vAlign w:val="bottom"/>
          </w:tcPr>
          <w:p w14:paraId="1F2C2CE6" w14:textId="77777777" w:rsidR="00224102" w:rsidRPr="00604C75" w:rsidRDefault="00224102" w:rsidP="00224102">
            <w:pPr>
              <w:spacing w:line="204" w:lineRule="auto"/>
              <w:rPr>
                <w:bCs/>
                <w:noProof/>
                <w:sz w:val="14"/>
                <w:szCs w:val="14"/>
                <w:lang w:val="tr-TR"/>
              </w:rPr>
            </w:pPr>
            <w:r w:rsidRPr="00604C75">
              <w:rPr>
                <w:bCs/>
                <w:noProof/>
                <w:sz w:val="14"/>
                <w:szCs w:val="14"/>
                <w:lang w:val="tr-TR"/>
              </w:rPr>
              <w:t>13.2</w:t>
            </w:r>
          </w:p>
        </w:tc>
        <w:tc>
          <w:tcPr>
            <w:tcW w:w="4767" w:type="dxa"/>
            <w:noWrap/>
            <w:tcMar>
              <w:top w:w="18" w:type="dxa"/>
              <w:left w:w="18" w:type="dxa"/>
              <w:bottom w:w="0" w:type="dxa"/>
              <w:right w:w="18" w:type="dxa"/>
            </w:tcMar>
            <w:vAlign w:val="bottom"/>
          </w:tcPr>
          <w:p w14:paraId="7CC326F4" w14:textId="77777777" w:rsidR="00224102" w:rsidRPr="00604C75" w:rsidRDefault="00224102" w:rsidP="00224102">
            <w:pPr>
              <w:spacing w:line="204" w:lineRule="auto"/>
              <w:rPr>
                <w:bCs/>
                <w:noProof/>
                <w:sz w:val="14"/>
                <w:szCs w:val="14"/>
                <w:lang w:val="tr-TR"/>
              </w:rPr>
            </w:pPr>
            <w:r w:rsidRPr="00604C75">
              <w:rPr>
                <w:bCs/>
                <w:noProof/>
                <w:sz w:val="14"/>
                <w:szCs w:val="14"/>
                <w:lang w:val="tr-TR"/>
              </w:rPr>
              <w:t>Cash Flow Hedge</w:t>
            </w:r>
          </w:p>
        </w:tc>
        <w:tc>
          <w:tcPr>
            <w:tcW w:w="531" w:type="dxa"/>
            <w:noWrap/>
            <w:tcMar>
              <w:top w:w="18" w:type="dxa"/>
              <w:left w:w="18" w:type="dxa"/>
              <w:bottom w:w="0" w:type="dxa"/>
              <w:right w:w="18" w:type="dxa"/>
            </w:tcMar>
            <w:vAlign w:val="bottom"/>
          </w:tcPr>
          <w:p w14:paraId="65BA4FB5" w14:textId="081DE87A"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3790B057" w14:textId="79BB9135"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44C9CE6D" w14:textId="4C642E25"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D00F6C1" w14:textId="6F230229"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790704B4" w14:textId="60460197"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1D4C6F3E" w14:textId="42A09965"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18546F20" w14:textId="20A1C408" w:rsidR="00224102" w:rsidRPr="00692926" w:rsidRDefault="00224102" w:rsidP="00224102">
            <w:pPr>
              <w:spacing w:line="221" w:lineRule="auto"/>
              <w:jc w:val="right"/>
              <w:rPr>
                <w:sz w:val="14"/>
                <w:szCs w:val="14"/>
              </w:rPr>
            </w:pPr>
            <w:r w:rsidRPr="00692926">
              <w:rPr>
                <w:sz w:val="14"/>
                <w:szCs w:val="14"/>
              </w:rPr>
              <w:t>-</w:t>
            </w:r>
          </w:p>
        </w:tc>
      </w:tr>
      <w:tr w:rsidR="00224102" w:rsidRPr="00604C75" w14:paraId="113C15AC" w14:textId="77777777" w:rsidTr="00373D13">
        <w:trPr>
          <w:trHeight w:val="62"/>
        </w:trPr>
        <w:tc>
          <w:tcPr>
            <w:tcW w:w="557" w:type="dxa"/>
            <w:noWrap/>
            <w:tcMar>
              <w:top w:w="18" w:type="dxa"/>
              <w:left w:w="18" w:type="dxa"/>
              <w:bottom w:w="0" w:type="dxa"/>
              <w:right w:w="18" w:type="dxa"/>
            </w:tcMar>
            <w:vAlign w:val="bottom"/>
          </w:tcPr>
          <w:p w14:paraId="49676DEC" w14:textId="77777777" w:rsidR="00224102" w:rsidRPr="00604C75" w:rsidRDefault="00224102" w:rsidP="00224102">
            <w:pPr>
              <w:spacing w:line="204" w:lineRule="auto"/>
              <w:rPr>
                <w:bCs/>
                <w:noProof/>
                <w:sz w:val="14"/>
                <w:szCs w:val="14"/>
                <w:lang w:val="tr-TR"/>
              </w:rPr>
            </w:pPr>
            <w:r w:rsidRPr="00604C75">
              <w:rPr>
                <w:bCs/>
                <w:noProof/>
                <w:sz w:val="14"/>
                <w:szCs w:val="14"/>
                <w:lang w:val="tr-TR"/>
              </w:rPr>
              <w:t>13.3</w:t>
            </w:r>
          </w:p>
        </w:tc>
        <w:tc>
          <w:tcPr>
            <w:tcW w:w="4767" w:type="dxa"/>
            <w:noWrap/>
            <w:tcMar>
              <w:top w:w="18" w:type="dxa"/>
              <w:left w:w="18" w:type="dxa"/>
              <w:bottom w:w="0" w:type="dxa"/>
              <w:right w:w="18" w:type="dxa"/>
            </w:tcMar>
            <w:vAlign w:val="bottom"/>
          </w:tcPr>
          <w:p w14:paraId="1FF0C230" w14:textId="77777777" w:rsidR="00224102" w:rsidRPr="00604C75" w:rsidRDefault="00224102" w:rsidP="00224102">
            <w:pPr>
              <w:spacing w:line="204" w:lineRule="auto"/>
              <w:rPr>
                <w:bCs/>
                <w:noProof/>
                <w:sz w:val="14"/>
                <w:szCs w:val="14"/>
                <w:lang w:val="tr-TR"/>
              </w:rPr>
            </w:pPr>
            <w:r w:rsidRPr="00604C75">
              <w:rPr>
                <w:bCs/>
                <w:noProof/>
                <w:sz w:val="14"/>
                <w:szCs w:val="14"/>
                <w:lang w:val="tr-TR"/>
              </w:rPr>
              <w:t>Net Foreign Investment Hedge</w:t>
            </w:r>
          </w:p>
        </w:tc>
        <w:tc>
          <w:tcPr>
            <w:tcW w:w="531" w:type="dxa"/>
            <w:noWrap/>
            <w:tcMar>
              <w:top w:w="18" w:type="dxa"/>
              <w:left w:w="18" w:type="dxa"/>
              <w:bottom w:w="0" w:type="dxa"/>
              <w:right w:w="18" w:type="dxa"/>
            </w:tcMar>
            <w:vAlign w:val="bottom"/>
          </w:tcPr>
          <w:p w14:paraId="725681E7" w14:textId="1801F6D9"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7BC26C48" w14:textId="4CE83AE3"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6CC0FF9D" w14:textId="0C20A7AA"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431B14CF" w14:textId="5ED4ED58"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0FA1CE6" w14:textId="4DC79DBB"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163352EA" w14:textId="1E44FFA8"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4A0086B1" w14:textId="0CD6E0CC" w:rsidR="00224102" w:rsidRPr="00692926" w:rsidRDefault="00224102" w:rsidP="00224102">
            <w:pPr>
              <w:spacing w:line="221" w:lineRule="auto"/>
              <w:jc w:val="right"/>
              <w:rPr>
                <w:sz w:val="14"/>
                <w:szCs w:val="14"/>
              </w:rPr>
            </w:pPr>
            <w:r w:rsidRPr="00692926">
              <w:rPr>
                <w:sz w:val="14"/>
                <w:szCs w:val="14"/>
              </w:rPr>
              <w:t>-</w:t>
            </w:r>
          </w:p>
        </w:tc>
      </w:tr>
      <w:tr w:rsidR="00224102" w:rsidRPr="00604C75" w14:paraId="22CBCE7C" w14:textId="77777777" w:rsidTr="00373D13">
        <w:trPr>
          <w:trHeight w:val="62"/>
        </w:trPr>
        <w:tc>
          <w:tcPr>
            <w:tcW w:w="557" w:type="dxa"/>
            <w:noWrap/>
            <w:tcMar>
              <w:top w:w="18" w:type="dxa"/>
              <w:left w:w="18" w:type="dxa"/>
              <w:bottom w:w="0" w:type="dxa"/>
              <w:right w:w="18" w:type="dxa"/>
            </w:tcMar>
            <w:vAlign w:val="bottom"/>
          </w:tcPr>
          <w:p w14:paraId="49182FB7"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XIV.</w:t>
            </w:r>
          </w:p>
        </w:tc>
        <w:tc>
          <w:tcPr>
            <w:tcW w:w="4767" w:type="dxa"/>
            <w:noWrap/>
            <w:tcMar>
              <w:top w:w="18" w:type="dxa"/>
              <w:left w:w="18" w:type="dxa"/>
              <w:bottom w:w="0" w:type="dxa"/>
              <w:right w:w="18" w:type="dxa"/>
            </w:tcMar>
            <w:vAlign w:val="bottom"/>
          </w:tcPr>
          <w:p w14:paraId="3FEB5D37"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TANGIBLE ASSETS (Net)</w:t>
            </w:r>
          </w:p>
        </w:tc>
        <w:tc>
          <w:tcPr>
            <w:tcW w:w="531" w:type="dxa"/>
            <w:noWrap/>
            <w:tcMar>
              <w:top w:w="18" w:type="dxa"/>
              <w:left w:w="18" w:type="dxa"/>
              <w:bottom w:w="0" w:type="dxa"/>
              <w:right w:w="18" w:type="dxa"/>
            </w:tcMar>
            <w:vAlign w:val="bottom"/>
          </w:tcPr>
          <w:p w14:paraId="4363E9BC" w14:textId="08B8D275"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I-l</w:t>
            </w:r>
          </w:p>
        </w:tc>
        <w:tc>
          <w:tcPr>
            <w:tcW w:w="630" w:type="dxa"/>
            <w:noWrap/>
            <w:tcMar>
              <w:top w:w="18" w:type="dxa"/>
              <w:left w:w="18" w:type="dxa"/>
              <w:bottom w:w="0" w:type="dxa"/>
              <w:right w:w="18" w:type="dxa"/>
            </w:tcMar>
            <w:vAlign w:val="bottom"/>
          </w:tcPr>
          <w:p w14:paraId="6B0ABA92" w14:textId="408AE202" w:rsidR="00224102" w:rsidRPr="00EF6596" w:rsidRDefault="00224102" w:rsidP="00224102">
            <w:pPr>
              <w:jc w:val="right"/>
              <w:rPr>
                <w:b/>
                <w:bCs/>
                <w:sz w:val="14"/>
                <w:szCs w:val="14"/>
              </w:rPr>
            </w:pPr>
            <w:r w:rsidRPr="00EF6596">
              <w:rPr>
                <w:b/>
                <w:bCs/>
                <w:sz w:val="14"/>
                <w:szCs w:val="14"/>
              </w:rPr>
              <w:t>29,493</w:t>
            </w:r>
          </w:p>
        </w:tc>
        <w:tc>
          <w:tcPr>
            <w:tcW w:w="791" w:type="dxa"/>
            <w:noWrap/>
            <w:tcMar>
              <w:top w:w="18" w:type="dxa"/>
              <w:left w:w="18" w:type="dxa"/>
              <w:bottom w:w="0" w:type="dxa"/>
              <w:right w:w="18" w:type="dxa"/>
            </w:tcMar>
            <w:vAlign w:val="bottom"/>
          </w:tcPr>
          <w:p w14:paraId="15A454C0" w14:textId="332B721D"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5C53F7D4" w14:textId="48584B39" w:rsidR="00224102" w:rsidRPr="00EF6596" w:rsidRDefault="00224102" w:rsidP="00224102">
            <w:pPr>
              <w:jc w:val="right"/>
              <w:rPr>
                <w:b/>
                <w:bCs/>
                <w:sz w:val="14"/>
                <w:szCs w:val="14"/>
              </w:rPr>
            </w:pPr>
            <w:r w:rsidRPr="00EF6596">
              <w:rPr>
                <w:b/>
                <w:bCs/>
                <w:sz w:val="14"/>
                <w:szCs w:val="14"/>
              </w:rPr>
              <w:t>29,493</w:t>
            </w:r>
          </w:p>
        </w:tc>
        <w:tc>
          <w:tcPr>
            <w:tcW w:w="745" w:type="dxa"/>
            <w:noWrap/>
            <w:tcMar>
              <w:top w:w="18" w:type="dxa"/>
              <w:left w:w="18" w:type="dxa"/>
              <w:bottom w:w="0" w:type="dxa"/>
              <w:right w:w="18" w:type="dxa"/>
            </w:tcMar>
            <w:vAlign w:val="bottom"/>
          </w:tcPr>
          <w:p w14:paraId="1C57750E" w14:textId="12F4E691" w:rsidR="00224102" w:rsidRPr="00692926" w:rsidRDefault="00224102" w:rsidP="00224102">
            <w:pPr>
              <w:spacing w:line="221" w:lineRule="auto"/>
              <w:jc w:val="right"/>
              <w:rPr>
                <w:b/>
                <w:sz w:val="14"/>
                <w:szCs w:val="14"/>
              </w:rPr>
            </w:pPr>
            <w:r w:rsidRPr="00692926">
              <w:rPr>
                <w:b/>
                <w:sz w:val="14"/>
                <w:szCs w:val="14"/>
              </w:rPr>
              <w:t>31,601</w:t>
            </w:r>
          </w:p>
        </w:tc>
        <w:tc>
          <w:tcPr>
            <w:tcW w:w="659" w:type="dxa"/>
            <w:noWrap/>
            <w:tcMar>
              <w:top w:w="18" w:type="dxa"/>
              <w:left w:w="18" w:type="dxa"/>
              <w:bottom w:w="0" w:type="dxa"/>
              <w:right w:w="18" w:type="dxa"/>
            </w:tcMar>
            <w:vAlign w:val="bottom"/>
          </w:tcPr>
          <w:p w14:paraId="62326949" w14:textId="5C97BA7E" w:rsidR="00224102" w:rsidRPr="00692926" w:rsidRDefault="00224102" w:rsidP="00224102">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14:paraId="42FDEF22" w14:textId="2DCB5910" w:rsidR="00224102" w:rsidRPr="00692926" w:rsidRDefault="00224102" w:rsidP="00224102">
            <w:pPr>
              <w:spacing w:line="221" w:lineRule="auto"/>
              <w:jc w:val="right"/>
              <w:rPr>
                <w:b/>
                <w:sz w:val="14"/>
                <w:szCs w:val="14"/>
              </w:rPr>
            </w:pPr>
            <w:r w:rsidRPr="00692926">
              <w:rPr>
                <w:b/>
                <w:sz w:val="14"/>
                <w:szCs w:val="14"/>
              </w:rPr>
              <w:t>31,601</w:t>
            </w:r>
          </w:p>
        </w:tc>
      </w:tr>
      <w:tr w:rsidR="00224102" w:rsidRPr="00604C75" w14:paraId="726B789E" w14:textId="77777777" w:rsidTr="00373D13">
        <w:trPr>
          <w:trHeight w:val="62"/>
        </w:trPr>
        <w:tc>
          <w:tcPr>
            <w:tcW w:w="557" w:type="dxa"/>
            <w:noWrap/>
            <w:tcMar>
              <w:top w:w="18" w:type="dxa"/>
              <w:left w:w="18" w:type="dxa"/>
              <w:bottom w:w="0" w:type="dxa"/>
              <w:right w:w="18" w:type="dxa"/>
            </w:tcMar>
            <w:vAlign w:val="bottom"/>
          </w:tcPr>
          <w:p w14:paraId="7FBD2A6F"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XV.</w:t>
            </w:r>
          </w:p>
        </w:tc>
        <w:tc>
          <w:tcPr>
            <w:tcW w:w="4767" w:type="dxa"/>
            <w:noWrap/>
            <w:tcMar>
              <w:top w:w="18" w:type="dxa"/>
              <w:left w:w="18" w:type="dxa"/>
              <w:bottom w:w="0" w:type="dxa"/>
              <w:right w:w="18" w:type="dxa"/>
            </w:tcMar>
            <w:vAlign w:val="bottom"/>
          </w:tcPr>
          <w:p w14:paraId="1711D7CB"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INTANGIBLE ASSETS (Net)</w:t>
            </w:r>
          </w:p>
        </w:tc>
        <w:tc>
          <w:tcPr>
            <w:tcW w:w="531" w:type="dxa"/>
            <w:noWrap/>
            <w:tcMar>
              <w:top w:w="18" w:type="dxa"/>
              <w:left w:w="18" w:type="dxa"/>
              <w:bottom w:w="0" w:type="dxa"/>
              <w:right w:w="18" w:type="dxa"/>
            </w:tcMar>
            <w:vAlign w:val="bottom"/>
          </w:tcPr>
          <w:p w14:paraId="229036C7" w14:textId="6EA6225E"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I-m</w:t>
            </w:r>
          </w:p>
        </w:tc>
        <w:tc>
          <w:tcPr>
            <w:tcW w:w="630" w:type="dxa"/>
            <w:noWrap/>
            <w:tcMar>
              <w:top w:w="18" w:type="dxa"/>
              <w:left w:w="18" w:type="dxa"/>
              <w:bottom w:w="0" w:type="dxa"/>
              <w:right w:w="18" w:type="dxa"/>
            </w:tcMar>
            <w:vAlign w:val="bottom"/>
          </w:tcPr>
          <w:p w14:paraId="11923455" w14:textId="2F0BA07B" w:rsidR="00224102" w:rsidRPr="00EF6596" w:rsidRDefault="00224102" w:rsidP="00224102">
            <w:pPr>
              <w:jc w:val="right"/>
              <w:rPr>
                <w:b/>
                <w:bCs/>
                <w:sz w:val="14"/>
                <w:szCs w:val="14"/>
              </w:rPr>
            </w:pPr>
            <w:r w:rsidRPr="00EF6596">
              <w:rPr>
                <w:b/>
                <w:bCs/>
                <w:sz w:val="14"/>
                <w:szCs w:val="14"/>
              </w:rPr>
              <w:t>82,808</w:t>
            </w:r>
          </w:p>
        </w:tc>
        <w:tc>
          <w:tcPr>
            <w:tcW w:w="791" w:type="dxa"/>
            <w:noWrap/>
            <w:tcMar>
              <w:top w:w="18" w:type="dxa"/>
              <w:left w:w="18" w:type="dxa"/>
              <w:bottom w:w="0" w:type="dxa"/>
              <w:right w:w="18" w:type="dxa"/>
            </w:tcMar>
            <w:vAlign w:val="bottom"/>
          </w:tcPr>
          <w:p w14:paraId="30EE51A9" w14:textId="7C27541D"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41BF7D63" w14:textId="2FBC3AD4" w:rsidR="00224102" w:rsidRPr="00EF6596" w:rsidRDefault="00224102" w:rsidP="00224102">
            <w:pPr>
              <w:jc w:val="right"/>
              <w:rPr>
                <w:b/>
                <w:bCs/>
                <w:sz w:val="14"/>
                <w:szCs w:val="14"/>
              </w:rPr>
            </w:pPr>
            <w:r w:rsidRPr="00EF6596">
              <w:rPr>
                <w:b/>
                <w:bCs/>
                <w:sz w:val="14"/>
                <w:szCs w:val="14"/>
              </w:rPr>
              <w:t>82,808</w:t>
            </w:r>
          </w:p>
        </w:tc>
        <w:tc>
          <w:tcPr>
            <w:tcW w:w="745" w:type="dxa"/>
            <w:noWrap/>
            <w:tcMar>
              <w:top w:w="18" w:type="dxa"/>
              <w:left w:w="18" w:type="dxa"/>
              <w:bottom w:w="0" w:type="dxa"/>
              <w:right w:w="18" w:type="dxa"/>
            </w:tcMar>
            <w:vAlign w:val="bottom"/>
          </w:tcPr>
          <w:p w14:paraId="6A3A1342" w14:textId="4E05DAAD" w:rsidR="00224102" w:rsidRPr="00692926" w:rsidRDefault="00224102" w:rsidP="00224102">
            <w:pPr>
              <w:spacing w:line="221" w:lineRule="auto"/>
              <w:jc w:val="right"/>
              <w:rPr>
                <w:b/>
                <w:sz w:val="14"/>
                <w:szCs w:val="14"/>
              </w:rPr>
            </w:pPr>
            <w:r w:rsidRPr="00692926">
              <w:rPr>
                <w:b/>
                <w:sz w:val="14"/>
                <w:szCs w:val="14"/>
              </w:rPr>
              <w:t>74,558</w:t>
            </w:r>
          </w:p>
        </w:tc>
        <w:tc>
          <w:tcPr>
            <w:tcW w:w="659" w:type="dxa"/>
            <w:noWrap/>
            <w:tcMar>
              <w:top w:w="18" w:type="dxa"/>
              <w:left w:w="18" w:type="dxa"/>
              <w:bottom w:w="0" w:type="dxa"/>
              <w:right w:w="18" w:type="dxa"/>
            </w:tcMar>
            <w:vAlign w:val="bottom"/>
          </w:tcPr>
          <w:p w14:paraId="5101B214" w14:textId="72BE3A08" w:rsidR="00224102" w:rsidRPr="00692926" w:rsidRDefault="00224102" w:rsidP="00224102">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14:paraId="491980B5" w14:textId="56D9CD6F" w:rsidR="00224102" w:rsidRPr="00692926" w:rsidRDefault="00224102" w:rsidP="00224102">
            <w:pPr>
              <w:spacing w:line="221" w:lineRule="auto"/>
              <w:jc w:val="right"/>
              <w:rPr>
                <w:b/>
                <w:sz w:val="14"/>
                <w:szCs w:val="14"/>
              </w:rPr>
            </w:pPr>
            <w:r w:rsidRPr="00692926">
              <w:rPr>
                <w:b/>
                <w:sz w:val="14"/>
                <w:szCs w:val="14"/>
              </w:rPr>
              <w:t>74,558</w:t>
            </w:r>
          </w:p>
        </w:tc>
      </w:tr>
      <w:tr w:rsidR="00224102" w:rsidRPr="00604C75" w14:paraId="4424D30C" w14:textId="77777777" w:rsidTr="00373D13">
        <w:trPr>
          <w:trHeight w:val="62"/>
        </w:trPr>
        <w:tc>
          <w:tcPr>
            <w:tcW w:w="557" w:type="dxa"/>
            <w:noWrap/>
            <w:tcMar>
              <w:top w:w="18" w:type="dxa"/>
              <w:left w:w="18" w:type="dxa"/>
              <w:bottom w:w="0" w:type="dxa"/>
              <w:right w:w="18" w:type="dxa"/>
            </w:tcMar>
            <w:vAlign w:val="bottom"/>
          </w:tcPr>
          <w:p w14:paraId="1FFF2F93" w14:textId="77777777" w:rsidR="00224102" w:rsidRPr="00604C75" w:rsidRDefault="00224102" w:rsidP="00224102">
            <w:pPr>
              <w:spacing w:line="204" w:lineRule="auto"/>
              <w:rPr>
                <w:bCs/>
                <w:noProof/>
                <w:sz w:val="14"/>
                <w:szCs w:val="14"/>
                <w:lang w:val="tr-TR"/>
              </w:rPr>
            </w:pPr>
            <w:r w:rsidRPr="00604C75">
              <w:rPr>
                <w:bCs/>
                <w:noProof/>
                <w:sz w:val="14"/>
                <w:szCs w:val="14"/>
                <w:lang w:val="tr-TR"/>
              </w:rPr>
              <w:t>15.1</w:t>
            </w:r>
          </w:p>
        </w:tc>
        <w:tc>
          <w:tcPr>
            <w:tcW w:w="4767" w:type="dxa"/>
            <w:noWrap/>
            <w:tcMar>
              <w:top w:w="18" w:type="dxa"/>
              <w:left w:w="18" w:type="dxa"/>
              <w:bottom w:w="0" w:type="dxa"/>
              <w:right w:w="18" w:type="dxa"/>
            </w:tcMar>
            <w:vAlign w:val="bottom"/>
          </w:tcPr>
          <w:p w14:paraId="1BD0DCB7" w14:textId="77777777" w:rsidR="00224102" w:rsidRPr="00604C75" w:rsidRDefault="00224102" w:rsidP="00224102">
            <w:pPr>
              <w:spacing w:line="204" w:lineRule="auto"/>
              <w:rPr>
                <w:bCs/>
                <w:noProof/>
                <w:sz w:val="14"/>
                <w:szCs w:val="14"/>
                <w:lang w:val="tr-TR"/>
              </w:rPr>
            </w:pPr>
            <w:r w:rsidRPr="00604C75">
              <w:rPr>
                <w:bCs/>
                <w:noProof/>
                <w:sz w:val="14"/>
                <w:szCs w:val="14"/>
                <w:lang w:val="tr-TR"/>
              </w:rPr>
              <w:t>Goodwill</w:t>
            </w:r>
          </w:p>
        </w:tc>
        <w:tc>
          <w:tcPr>
            <w:tcW w:w="531" w:type="dxa"/>
            <w:noWrap/>
            <w:tcMar>
              <w:top w:w="18" w:type="dxa"/>
              <w:left w:w="18" w:type="dxa"/>
              <w:bottom w:w="0" w:type="dxa"/>
              <w:right w:w="18" w:type="dxa"/>
            </w:tcMar>
            <w:vAlign w:val="bottom"/>
          </w:tcPr>
          <w:p w14:paraId="36B028CE" w14:textId="5BDA5FCF"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1F1A35E3" w14:textId="494F129B" w:rsidR="00224102" w:rsidRPr="00EF6596" w:rsidRDefault="00224102" w:rsidP="00224102">
            <w:pPr>
              <w:jc w:val="right"/>
              <w:rPr>
                <w:sz w:val="14"/>
                <w:szCs w:val="14"/>
              </w:rPr>
            </w:pPr>
            <w:r w:rsidRPr="00EF6596">
              <w:rPr>
                <w:sz w:val="14"/>
                <w:szCs w:val="14"/>
              </w:rPr>
              <w:t>49,647</w:t>
            </w:r>
          </w:p>
        </w:tc>
        <w:tc>
          <w:tcPr>
            <w:tcW w:w="791" w:type="dxa"/>
            <w:noWrap/>
            <w:tcMar>
              <w:top w:w="18" w:type="dxa"/>
              <w:left w:w="18" w:type="dxa"/>
              <w:bottom w:w="0" w:type="dxa"/>
              <w:right w:w="18" w:type="dxa"/>
            </w:tcMar>
            <w:vAlign w:val="bottom"/>
          </w:tcPr>
          <w:p w14:paraId="4B921124" w14:textId="2F8AA938"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3DA87D73" w14:textId="6155A2BF" w:rsidR="00224102" w:rsidRPr="00EF6596" w:rsidRDefault="00224102" w:rsidP="00224102">
            <w:pPr>
              <w:jc w:val="right"/>
              <w:rPr>
                <w:sz w:val="14"/>
                <w:szCs w:val="14"/>
              </w:rPr>
            </w:pPr>
            <w:r w:rsidRPr="00EF6596">
              <w:rPr>
                <w:sz w:val="14"/>
                <w:szCs w:val="14"/>
              </w:rPr>
              <w:t>49,647</w:t>
            </w:r>
          </w:p>
        </w:tc>
        <w:tc>
          <w:tcPr>
            <w:tcW w:w="745" w:type="dxa"/>
            <w:noWrap/>
            <w:tcMar>
              <w:top w:w="18" w:type="dxa"/>
              <w:left w:w="18" w:type="dxa"/>
              <w:bottom w:w="0" w:type="dxa"/>
              <w:right w:w="18" w:type="dxa"/>
            </w:tcMar>
            <w:vAlign w:val="bottom"/>
          </w:tcPr>
          <w:p w14:paraId="03E189C9" w14:textId="268D8BBE" w:rsidR="00224102" w:rsidRPr="00692926" w:rsidRDefault="00224102" w:rsidP="00224102">
            <w:pPr>
              <w:spacing w:line="221" w:lineRule="auto"/>
              <w:jc w:val="right"/>
              <w:rPr>
                <w:sz w:val="14"/>
                <w:szCs w:val="14"/>
              </w:rPr>
            </w:pPr>
            <w:r w:rsidRPr="00692926">
              <w:rPr>
                <w:sz w:val="14"/>
                <w:szCs w:val="14"/>
              </w:rPr>
              <w:t>49,647</w:t>
            </w:r>
          </w:p>
        </w:tc>
        <w:tc>
          <w:tcPr>
            <w:tcW w:w="659" w:type="dxa"/>
            <w:noWrap/>
            <w:tcMar>
              <w:top w:w="18" w:type="dxa"/>
              <w:left w:w="18" w:type="dxa"/>
              <w:bottom w:w="0" w:type="dxa"/>
              <w:right w:w="18" w:type="dxa"/>
            </w:tcMar>
            <w:vAlign w:val="bottom"/>
          </w:tcPr>
          <w:p w14:paraId="7E6F91CC" w14:textId="0FBFDAC7"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19393EA4" w14:textId="72DD3BFE" w:rsidR="00224102" w:rsidRPr="00692926" w:rsidRDefault="00224102" w:rsidP="00224102">
            <w:pPr>
              <w:spacing w:line="221" w:lineRule="auto"/>
              <w:jc w:val="right"/>
              <w:rPr>
                <w:sz w:val="14"/>
                <w:szCs w:val="14"/>
              </w:rPr>
            </w:pPr>
            <w:r w:rsidRPr="00692926">
              <w:rPr>
                <w:sz w:val="14"/>
                <w:szCs w:val="14"/>
              </w:rPr>
              <w:t>49,647</w:t>
            </w:r>
          </w:p>
        </w:tc>
      </w:tr>
      <w:tr w:rsidR="00224102" w:rsidRPr="00604C75" w14:paraId="40BB8038" w14:textId="77777777" w:rsidTr="00373D13">
        <w:trPr>
          <w:trHeight w:val="79"/>
        </w:trPr>
        <w:tc>
          <w:tcPr>
            <w:tcW w:w="557" w:type="dxa"/>
            <w:noWrap/>
            <w:tcMar>
              <w:top w:w="18" w:type="dxa"/>
              <w:left w:w="18" w:type="dxa"/>
              <w:bottom w:w="0" w:type="dxa"/>
              <w:right w:w="18" w:type="dxa"/>
            </w:tcMar>
            <w:vAlign w:val="bottom"/>
          </w:tcPr>
          <w:p w14:paraId="53C15969" w14:textId="77777777" w:rsidR="00224102" w:rsidRPr="00604C75" w:rsidRDefault="00224102" w:rsidP="00224102">
            <w:pPr>
              <w:spacing w:line="204" w:lineRule="auto"/>
              <w:rPr>
                <w:bCs/>
                <w:noProof/>
                <w:sz w:val="14"/>
                <w:szCs w:val="14"/>
                <w:lang w:val="tr-TR"/>
              </w:rPr>
            </w:pPr>
            <w:r w:rsidRPr="00604C75">
              <w:rPr>
                <w:bCs/>
                <w:noProof/>
                <w:sz w:val="14"/>
                <w:szCs w:val="14"/>
                <w:lang w:val="tr-TR"/>
              </w:rPr>
              <w:t>15.2</w:t>
            </w:r>
          </w:p>
        </w:tc>
        <w:tc>
          <w:tcPr>
            <w:tcW w:w="4767" w:type="dxa"/>
            <w:noWrap/>
            <w:tcMar>
              <w:top w:w="18" w:type="dxa"/>
              <w:left w:w="18" w:type="dxa"/>
              <w:bottom w:w="0" w:type="dxa"/>
              <w:right w:w="18" w:type="dxa"/>
            </w:tcMar>
            <w:vAlign w:val="bottom"/>
          </w:tcPr>
          <w:p w14:paraId="3B8FFA1F" w14:textId="77777777" w:rsidR="00224102" w:rsidRPr="00604C75" w:rsidRDefault="00224102" w:rsidP="00224102">
            <w:pPr>
              <w:spacing w:line="204" w:lineRule="auto"/>
              <w:rPr>
                <w:bCs/>
                <w:noProof/>
                <w:sz w:val="14"/>
                <w:szCs w:val="14"/>
                <w:lang w:val="tr-TR"/>
              </w:rPr>
            </w:pPr>
            <w:r w:rsidRPr="00604C75">
              <w:rPr>
                <w:bCs/>
                <w:noProof/>
                <w:sz w:val="14"/>
                <w:szCs w:val="14"/>
                <w:lang w:val="tr-TR"/>
              </w:rPr>
              <w:t>Other</w:t>
            </w:r>
          </w:p>
        </w:tc>
        <w:tc>
          <w:tcPr>
            <w:tcW w:w="531" w:type="dxa"/>
            <w:noWrap/>
            <w:tcMar>
              <w:top w:w="18" w:type="dxa"/>
              <w:left w:w="18" w:type="dxa"/>
              <w:bottom w:w="0" w:type="dxa"/>
              <w:right w:w="18" w:type="dxa"/>
            </w:tcMar>
            <w:vAlign w:val="bottom"/>
          </w:tcPr>
          <w:p w14:paraId="1D7B3D19" w14:textId="340932CE" w:rsidR="00224102" w:rsidRPr="00604C75" w:rsidRDefault="00224102" w:rsidP="00224102">
            <w:pPr>
              <w:spacing w:line="204" w:lineRule="auto"/>
              <w:jc w:val="center"/>
              <w:rPr>
                <w:rFonts w:eastAsia="Arial Unicode MS"/>
                <w:sz w:val="14"/>
                <w:szCs w:val="14"/>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1BE3A6A6" w14:textId="177F9D67" w:rsidR="00224102" w:rsidRPr="00EF6596" w:rsidRDefault="00224102" w:rsidP="00224102">
            <w:pPr>
              <w:jc w:val="right"/>
              <w:rPr>
                <w:sz w:val="14"/>
                <w:szCs w:val="14"/>
              </w:rPr>
            </w:pPr>
            <w:r w:rsidRPr="00EF6596">
              <w:rPr>
                <w:sz w:val="14"/>
                <w:szCs w:val="14"/>
              </w:rPr>
              <w:t>33,161</w:t>
            </w:r>
          </w:p>
        </w:tc>
        <w:tc>
          <w:tcPr>
            <w:tcW w:w="791" w:type="dxa"/>
            <w:noWrap/>
            <w:tcMar>
              <w:top w:w="18" w:type="dxa"/>
              <w:left w:w="18" w:type="dxa"/>
              <w:bottom w:w="0" w:type="dxa"/>
              <w:right w:w="18" w:type="dxa"/>
            </w:tcMar>
            <w:vAlign w:val="bottom"/>
          </w:tcPr>
          <w:p w14:paraId="077CFB7C" w14:textId="6EB4202E"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60C87AF8" w14:textId="29F611DC" w:rsidR="00224102" w:rsidRPr="00EF6596" w:rsidRDefault="00224102" w:rsidP="00224102">
            <w:pPr>
              <w:jc w:val="right"/>
              <w:rPr>
                <w:sz w:val="14"/>
                <w:szCs w:val="14"/>
              </w:rPr>
            </w:pPr>
            <w:r w:rsidRPr="00EF6596">
              <w:rPr>
                <w:sz w:val="14"/>
                <w:szCs w:val="14"/>
              </w:rPr>
              <w:t>33,161</w:t>
            </w:r>
          </w:p>
        </w:tc>
        <w:tc>
          <w:tcPr>
            <w:tcW w:w="745" w:type="dxa"/>
            <w:noWrap/>
            <w:tcMar>
              <w:top w:w="18" w:type="dxa"/>
              <w:left w:w="18" w:type="dxa"/>
              <w:bottom w:w="0" w:type="dxa"/>
              <w:right w:w="18" w:type="dxa"/>
            </w:tcMar>
            <w:vAlign w:val="bottom"/>
          </w:tcPr>
          <w:p w14:paraId="06225B68" w14:textId="1272FD94" w:rsidR="00224102" w:rsidRPr="00692926" w:rsidRDefault="00224102" w:rsidP="00224102">
            <w:pPr>
              <w:spacing w:line="221" w:lineRule="auto"/>
              <w:jc w:val="right"/>
              <w:rPr>
                <w:sz w:val="14"/>
                <w:szCs w:val="14"/>
              </w:rPr>
            </w:pPr>
            <w:r w:rsidRPr="00692926">
              <w:rPr>
                <w:sz w:val="14"/>
                <w:szCs w:val="14"/>
              </w:rPr>
              <w:t>24,911</w:t>
            </w:r>
          </w:p>
        </w:tc>
        <w:tc>
          <w:tcPr>
            <w:tcW w:w="659" w:type="dxa"/>
            <w:noWrap/>
            <w:tcMar>
              <w:top w:w="18" w:type="dxa"/>
              <w:left w:w="18" w:type="dxa"/>
              <w:bottom w:w="0" w:type="dxa"/>
              <w:right w:w="18" w:type="dxa"/>
            </w:tcMar>
            <w:vAlign w:val="bottom"/>
          </w:tcPr>
          <w:p w14:paraId="6F195A0D" w14:textId="474AE8EE"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3AA0AA8C" w14:textId="0DDB9DFC" w:rsidR="00224102" w:rsidRPr="00692926" w:rsidRDefault="00224102" w:rsidP="00224102">
            <w:pPr>
              <w:spacing w:line="221" w:lineRule="auto"/>
              <w:jc w:val="right"/>
              <w:rPr>
                <w:sz w:val="14"/>
                <w:szCs w:val="14"/>
              </w:rPr>
            </w:pPr>
            <w:r w:rsidRPr="00692926">
              <w:rPr>
                <w:sz w:val="14"/>
                <w:szCs w:val="14"/>
              </w:rPr>
              <w:t>24,911</w:t>
            </w:r>
          </w:p>
        </w:tc>
      </w:tr>
      <w:tr w:rsidR="00224102" w:rsidRPr="00604C75" w14:paraId="43CB6256" w14:textId="77777777" w:rsidTr="00373D13">
        <w:trPr>
          <w:trHeight w:val="62"/>
        </w:trPr>
        <w:tc>
          <w:tcPr>
            <w:tcW w:w="557" w:type="dxa"/>
            <w:noWrap/>
            <w:tcMar>
              <w:top w:w="18" w:type="dxa"/>
              <w:left w:w="18" w:type="dxa"/>
              <w:bottom w:w="0" w:type="dxa"/>
              <w:right w:w="18" w:type="dxa"/>
            </w:tcMar>
            <w:vAlign w:val="bottom"/>
          </w:tcPr>
          <w:p w14:paraId="7432C97E"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XVI.</w:t>
            </w:r>
          </w:p>
        </w:tc>
        <w:tc>
          <w:tcPr>
            <w:tcW w:w="4767" w:type="dxa"/>
            <w:noWrap/>
            <w:tcMar>
              <w:top w:w="18" w:type="dxa"/>
              <w:left w:w="18" w:type="dxa"/>
              <w:bottom w:w="0" w:type="dxa"/>
              <w:right w:w="18" w:type="dxa"/>
            </w:tcMar>
            <w:vAlign w:val="bottom"/>
          </w:tcPr>
          <w:p w14:paraId="5B68EF37" w14:textId="77777777" w:rsidR="00224102" w:rsidRPr="00604C75" w:rsidRDefault="00224102" w:rsidP="00224102">
            <w:pPr>
              <w:spacing w:line="204" w:lineRule="auto"/>
              <w:jc w:val="both"/>
              <w:rPr>
                <w:b/>
                <w:bCs/>
                <w:noProof/>
                <w:sz w:val="14"/>
                <w:szCs w:val="14"/>
                <w:lang w:val="tr-TR"/>
              </w:rPr>
            </w:pPr>
            <w:r w:rsidRPr="00604C75">
              <w:rPr>
                <w:b/>
                <w:bCs/>
                <w:noProof/>
                <w:sz w:val="14"/>
                <w:szCs w:val="14"/>
                <w:lang w:val="tr-TR"/>
              </w:rPr>
              <w:t>INVESTMENT PROPERTY (Net)</w:t>
            </w:r>
          </w:p>
        </w:tc>
        <w:tc>
          <w:tcPr>
            <w:tcW w:w="531" w:type="dxa"/>
            <w:noWrap/>
            <w:tcMar>
              <w:top w:w="18" w:type="dxa"/>
              <w:left w:w="18" w:type="dxa"/>
              <w:bottom w:w="0" w:type="dxa"/>
              <w:right w:w="18" w:type="dxa"/>
            </w:tcMar>
            <w:vAlign w:val="bottom"/>
          </w:tcPr>
          <w:p w14:paraId="63AE0857" w14:textId="6BBCCA08"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I-n</w:t>
            </w:r>
          </w:p>
        </w:tc>
        <w:tc>
          <w:tcPr>
            <w:tcW w:w="630" w:type="dxa"/>
            <w:noWrap/>
            <w:tcMar>
              <w:top w:w="18" w:type="dxa"/>
              <w:left w:w="18" w:type="dxa"/>
              <w:bottom w:w="0" w:type="dxa"/>
              <w:right w:w="18" w:type="dxa"/>
            </w:tcMar>
            <w:vAlign w:val="bottom"/>
          </w:tcPr>
          <w:p w14:paraId="2682D902" w14:textId="22D7072C" w:rsidR="00224102" w:rsidRPr="00EF6596" w:rsidRDefault="00224102" w:rsidP="00224102">
            <w:pPr>
              <w:jc w:val="right"/>
              <w:rPr>
                <w:b/>
                <w:bCs/>
                <w:sz w:val="14"/>
                <w:szCs w:val="14"/>
              </w:rPr>
            </w:pPr>
            <w:r w:rsidRPr="00EF6596">
              <w:rPr>
                <w:b/>
                <w:bCs/>
                <w:sz w:val="14"/>
                <w:szCs w:val="14"/>
              </w:rPr>
              <w:t>-</w:t>
            </w:r>
          </w:p>
        </w:tc>
        <w:tc>
          <w:tcPr>
            <w:tcW w:w="791" w:type="dxa"/>
            <w:noWrap/>
            <w:tcMar>
              <w:top w:w="18" w:type="dxa"/>
              <w:left w:w="18" w:type="dxa"/>
              <w:bottom w:w="0" w:type="dxa"/>
              <w:right w:w="18" w:type="dxa"/>
            </w:tcMar>
            <w:vAlign w:val="bottom"/>
          </w:tcPr>
          <w:p w14:paraId="04CBEEAF" w14:textId="2302D5E0"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1E905198" w14:textId="5D1A997D"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2196F988" w14:textId="0C4AAAFB" w:rsidR="00224102" w:rsidRPr="00E83EAC" w:rsidRDefault="00224102" w:rsidP="00224102">
            <w:pPr>
              <w:spacing w:line="221" w:lineRule="auto"/>
              <w:jc w:val="right"/>
              <w:rPr>
                <w:b/>
                <w:sz w:val="14"/>
                <w:szCs w:val="14"/>
              </w:rPr>
            </w:pPr>
            <w:r w:rsidRPr="00692926">
              <w:rPr>
                <w:sz w:val="14"/>
                <w:szCs w:val="14"/>
              </w:rPr>
              <w:t>-</w:t>
            </w:r>
          </w:p>
        </w:tc>
        <w:tc>
          <w:tcPr>
            <w:tcW w:w="659" w:type="dxa"/>
            <w:noWrap/>
            <w:tcMar>
              <w:top w:w="18" w:type="dxa"/>
              <w:left w:w="18" w:type="dxa"/>
              <w:bottom w:w="0" w:type="dxa"/>
              <w:right w:w="18" w:type="dxa"/>
            </w:tcMar>
            <w:vAlign w:val="bottom"/>
          </w:tcPr>
          <w:p w14:paraId="37EF8A8F" w14:textId="130C70F0" w:rsidR="00224102" w:rsidRPr="00E83EAC" w:rsidRDefault="00224102" w:rsidP="00224102">
            <w:pPr>
              <w:spacing w:line="221" w:lineRule="auto"/>
              <w:jc w:val="right"/>
              <w:rPr>
                <w:b/>
                <w:sz w:val="14"/>
                <w:szCs w:val="14"/>
              </w:rPr>
            </w:pPr>
            <w:r w:rsidRPr="00692926">
              <w:rPr>
                <w:sz w:val="14"/>
                <w:szCs w:val="14"/>
              </w:rPr>
              <w:t>-</w:t>
            </w:r>
          </w:p>
        </w:tc>
        <w:tc>
          <w:tcPr>
            <w:tcW w:w="686" w:type="dxa"/>
            <w:noWrap/>
            <w:tcMar>
              <w:top w:w="18" w:type="dxa"/>
              <w:left w:w="18" w:type="dxa"/>
              <w:bottom w:w="0" w:type="dxa"/>
              <w:right w:w="18" w:type="dxa"/>
            </w:tcMar>
            <w:vAlign w:val="bottom"/>
          </w:tcPr>
          <w:p w14:paraId="7BA3539B" w14:textId="6847A025" w:rsidR="00224102" w:rsidRPr="00E83EAC" w:rsidRDefault="00224102" w:rsidP="00224102">
            <w:pPr>
              <w:spacing w:line="221" w:lineRule="auto"/>
              <w:jc w:val="right"/>
              <w:rPr>
                <w:b/>
                <w:sz w:val="14"/>
                <w:szCs w:val="14"/>
              </w:rPr>
            </w:pPr>
            <w:r w:rsidRPr="00692926">
              <w:rPr>
                <w:sz w:val="14"/>
                <w:szCs w:val="14"/>
              </w:rPr>
              <w:t>-</w:t>
            </w:r>
          </w:p>
        </w:tc>
      </w:tr>
      <w:tr w:rsidR="00224102" w:rsidRPr="00604C75" w14:paraId="3EB7D253" w14:textId="77777777" w:rsidTr="00373D13">
        <w:trPr>
          <w:trHeight w:val="62"/>
        </w:trPr>
        <w:tc>
          <w:tcPr>
            <w:tcW w:w="557" w:type="dxa"/>
            <w:noWrap/>
            <w:tcMar>
              <w:top w:w="18" w:type="dxa"/>
              <w:left w:w="18" w:type="dxa"/>
              <w:bottom w:w="0" w:type="dxa"/>
              <w:right w:w="18" w:type="dxa"/>
            </w:tcMar>
            <w:vAlign w:val="bottom"/>
          </w:tcPr>
          <w:p w14:paraId="6C884EFD"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XVII.</w:t>
            </w:r>
          </w:p>
        </w:tc>
        <w:tc>
          <w:tcPr>
            <w:tcW w:w="4767" w:type="dxa"/>
            <w:noWrap/>
            <w:tcMar>
              <w:top w:w="18" w:type="dxa"/>
              <w:left w:w="18" w:type="dxa"/>
              <w:bottom w:w="0" w:type="dxa"/>
              <w:right w:w="18" w:type="dxa"/>
            </w:tcMar>
            <w:vAlign w:val="bottom"/>
          </w:tcPr>
          <w:p w14:paraId="444B2045" w14:textId="77777777" w:rsidR="00224102" w:rsidRPr="00604C75" w:rsidRDefault="00224102" w:rsidP="00224102">
            <w:pPr>
              <w:spacing w:line="204" w:lineRule="auto"/>
              <w:jc w:val="both"/>
              <w:rPr>
                <w:b/>
                <w:bCs/>
                <w:noProof/>
                <w:sz w:val="14"/>
                <w:szCs w:val="14"/>
                <w:lang w:val="tr-TR"/>
              </w:rPr>
            </w:pPr>
            <w:r w:rsidRPr="00604C75">
              <w:rPr>
                <w:b/>
                <w:bCs/>
                <w:noProof/>
                <w:sz w:val="14"/>
                <w:szCs w:val="14"/>
                <w:lang w:val="tr-TR"/>
              </w:rPr>
              <w:t>TAX ASSET</w:t>
            </w:r>
          </w:p>
        </w:tc>
        <w:tc>
          <w:tcPr>
            <w:tcW w:w="531" w:type="dxa"/>
            <w:noWrap/>
            <w:tcMar>
              <w:top w:w="18" w:type="dxa"/>
              <w:left w:w="18" w:type="dxa"/>
              <w:bottom w:w="0" w:type="dxa"/>
              <w:right w:w="18" w:type="dxa"/>
            </w:tcMar>
            <w:vAlign w:val="bottom"/>
          </w:tcPr>
          <w:p w14:paraId="1121C153" w14:textId="38E8E7C4"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II-i</w:t>
            </w:r>
          </w:p>
        </w:tc>
        <w:tc>
          <w:tcPr>
            <w:tcW w:w="630" w:type="dxa"/>
            <w:noWrap/>
            <w:tcMar>
              <w:top w:w="18" w:type="dxa"/>
              <w:left w:w="18" w:type="dxa"/>
              <w:bottom w:w="0" w:type="dxa"/>
              <w:right w:w="18" w:type="dxa"/>
            </w:tcMar>
            <w:vAlign w:val="bottom"/>
          </w:tcPr>
          <w:p w14:paraId="570240DA" w14:textId="4E883CA9" w:rsidR="00224102" w:rsidRPr="00EF6596" w:rsidRDefault="00224102" w:rsidP="00224102">
            <w:pPr>
              <w:jc w:val="right"/>
              <w:rPr>
                <w:b/>
                <w:bCs/>
                <w:sz w:val="14"/>
                <w:szCs w:val="14"/>
              </w:rPr>
            </w:pPr>
            <w:r w:rsidRPr="00EF6596">
              <w:rPr>
                <w:b/>
                <w:bCs/>
                <w:sz w:val="14"/>
                <w:szCs w:val="14"/>
              </w:rPr>
              <w:t>26,707</w:t>
            </w:r>
          </w:p>
        </w:tc>
        <w:tc>
          <w:tcPr>
            <w:tcW w:w="791" w:type="dxa"/>
            <w:noWrap/>
            <w:tcMar>
              <w:top w:w="18" w:type="dxa"/>
              <w:left w:w="18" w:type="dxa"/>
              <w:bottom w:w="0" w:type="dxa"/>
              <w:right w:w="18" w:type="dxa"/>
            </w:tcMar>
            <w:vAlign w:val="bottom"/>
          </w:tcPr>
          <w:p w14:paraId="0C7ED1C7" w14:textId="271E3F5B"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784265F4" w14:textId="69A1E3F7" w:rsidR="00224102" w:rsidRPr="00EF6596" w:rsidRDefault="00224102" w:rsidP="00224102">
            <w:pPr>
              <w:jc w:val="right"/>
              <w:rPr>
                <w:b/>
                <w:bCs/>
                <w:sz w:val="14"/>
                <w:szCs w:val="14"/>
              </w:rPr>
            </w:pPr>
            <w:r w:rsidRPr="00EF6596">
              <w:rPr>
                <w:b/>
                <w:bCs/>
                <w:sz w:val="14"/>
                <w:szCs w:val="14"/>
              </w:rPr>
              <w:t>26,707</w:t>
            </w:r>
          </w:p>
        </w:tc>
        <w:tc>
          <w:tcPr>
            <w:tcW w:w="745" w:type="dxa"/>
            <w:noWrap/>
            <w:tcMar>
              <w:top w:w="18" w:type="dxa"/>
              <w:left w:w="18" w:type="dxa"/>
              <w:bottom w:w="0" w:type="dxa"/>
              <w:right w:w="18" w:type="dxa"/>
            </w:tcMar>
            <w:vAlign w:val="bottom"/>
          </w:tcPr>
          <w:p w14:paraId="264E375B" w14:textId="3666C3B3" w:rsidR="00224102" w:rsidRPr="00692926" w:rsidRDefault="00224102" w:rsidP="00224102">
            <w:pPr>
              <w:spacing w:line="221" w:lineRule="auto"/>
              <w:jc w:val="right"/>
              <w:rPr>
                <w:b/>
                <w:sz w:val="14"/>
                <w:szCs w:val="14"/>
              </w:rPr>
            </w:pPr>
            <w:r w:rsidRPr="00692926">
              <w:rPr>
                <w:b/>
                <w:sz w:val="14"/>
                <w:szCs w:val="14"/>
              </w:rPr>
              <w:t>24,242</w:t>
            </w:r>
          </w:p>
        </w:tc>
        <w:tc>
          <w:tcPr>
            <w:tcW w:w="659" w:type="dxa"/>
            <w:noWrap/>
            <w:tcMar>
              <w:top w:w="18" w:type="dxa"/>
              <w:left w:w="18" w:type="dxa"/>
              <w:bottom w:w="0" w:type="dxa"/>
              <w:right w:w="18" w:type="dxa"/>
            </w:tcMar>
            <w:vAlign w:val="bottom"/>
          </w:tcPr>
          <w:p w14:paraId="21AE5F53" w14:textId="6EE81742" w:rsidR="00224102" w:rsidRPr="00692926" w:rsidRDefault="00224102" w:rsidP="00224102">
            <w:pPr>
              <w:spacing w:line="221" w:lineRule="auto"/>
              <w:jc w:val="right"/>
              <w:rPr>
                <w:b/>
                <w:sz w:val="14"/>
                <w:szCs w:val="14"/>
              </w:rPr>
            </w:pPr>
            <w:r w:rsidRPr="00692926">
              <w:rPr>
                <w:b/>
                <w:sz w:val="14"/>
                <w:szCs w:val="14"/>
              </w:rPr>
              <w:t>-</w:t>
            </w:r>
          </w:p>
        </w:tc>
        <w:tc>
          <w:tcPr>
            <w:tcW w:w="686" w:type="dxa"/>
            <w:noWrap/>
            <w:tcMar>
              <w:top w:w="18" w:type="dxa"/>
              <w:left w:w="18" w:type="dxa"/>
              <w:bottom w:w="0" w:type="dxa"/>
              <w:right w:w="18" w:type="dxa"/>
            </w:tcMar>
            <w:vAlign w:val="bottom"/>
          </w:tcPr>
          <w:p w14:paraId="398BAEA5" w14:textId="6DE1DFEC" w:rsidR="00224102" w:rsidRPr="00692926" w:rsidRDefault="00224102" w:rsidP="00224102">
            <w:pPr>
              <w:spacing w:line="221" w:lineRule="auto"/>
              <w:jc w:val="right"/>
              <w:rPr>
                <w:b/>
                <w:sz w:val="14"/>
                <w:szCs w:val="14"/>
              </w:rPr>
            </w:pPr>
            <w:r w:rsidRPr="00692926">
              <w:rPr>
                <w:b/>
                <w:sz w:val="14"/>
                <w:szCs w:val="14"/>
              </w:rPr>
              <w:t>24,242</w:t>
            </w:r>
          </w:p>
        </w:tc>
      </w:tr>
      <w:tr w:rsidR="00224102" w:rsidRPr="00604C75" w14:paraId="462B8891" w14:textId="77777777" w:rsidTr="00373D13">
        <w:trPr>
          <w:trHeight w:val="62"/>
        </w:trPr>
        <w:tc>
          <w:tcPr>
            <w:tcW w:w="557" w:type="dxa"/>
            <w:noWrap/>
            <w:tcMar>
              <w:top w:w="18" w:type="dxa"/>
              <w:left w:w="18" w:type="dxa"/>
              <w:bottom w:w="0" w:type="dxa"/>
              <w:right w:w="18" w:type="dxa"/>
            </w:tcMar>
            <w:vAlign w:val="bottom"/>
          </w:tcPr>
          <w:p w14:paraId="2D0C8096" w14:textId="77777777" w:rsidR="00224102" w:rsidRPr="00604C75" w:rsidRDefault="00224102" w:rsidP="00224102">
            <w:pPr>
              <w:spacing w:line="204" w:lineRule="auto"/>
              <w:rPr>
                <w:bCs/>
                <w:noProof/>
                <w:sz w:val="14"/>
                <w:szCs w:val="14"/>
                <w:lang w:val="tr-TR"/>
              </w:rPr>
            </w:pPr>
            <w:r w:rsidRPr="00604C75">
              <w:rPr>
                <w:bCs/>
                <w:noProof/>
                <w:sz w:val="14"/>
                <w:szCs w:val="14"/>
                <w:lang w:val="tr-TR"/>
              </w:rPr>
              <w:t>17.1</w:t>
            </w:r>
          </w:p>
        </w:tc>
        <w:tc>
          <w:tcPr>
            <w:tcW w:w="4767" w:type="dxa"/>
            <w:noWrap/>
            <w:tcMar>
              <w:top w:w="18" w:type="dxa"/>
              <w:left w:w="18" w:type="dxa"/>
              <w:bottom w:w="0" w:type="dxa"/>
              <w:right w:w="18" w:type="dxa"/>
            </w:tcMar>
            <w:vAlign w:val="bottom"/>
          </w:tcPr>
          <w:p w14:paraId="53ADCA71" w14:textId="77777777" w:rsidR="00224102" w:rsidRPr="00604C75" w:rsidRDefault="00224102" w:rsidP="00224102">
            <w:pPr>
              <w:spacing w:line="204" w:lineRule="auto"/>
              <w:rPr>
                <w:bCs/>
                <w:noProof/>
                <w:sz w:val="14"/>
                <w:szCs w:val="14"/>
                <w:lang w:val="tr-TR"/>
              </w:rPr>
            </w:pPr>
            <w:r w:rsidRPr="00604C75">
              <w:rPr>
                <w:bCs/>
                <w:noProof/>
                <w:sz w:val="14"/>
                <w:szCs w:val="14"/>
                <w:lang w:val="tr-TR"/>
              </w:rPr>
              <w:t>Current Tax Asset</w:t>
            </w:r>
          </w:p>
        </w:tc>
        <w:tc>
          <w:tcPr>
            <w:tcW w:w="531" w:type="dxa"/>
            <w:noWrap/>
            <w:tcMar>
              <w:top w:w="18" w:type="dxa"/>
              <w:left w:w="18" w:type="dxa"/>
              <w:bottom w:w="0" w:type="dxa"/>
              <w:right w:w="18" w:type="dxa"/>
            </w:tcMar>
            <w:vAlign w:val="bottom"/>
          </w:tcPr>
          <w:p w14:paraId="4D3C239F" w14:textId="35948A94" w:rsidR="00224102" w:rsidRPr="00604C75" w:rsidRDefault="00224102" w:rsidP="00224102">
            <w:pPr>
              <w:tabs>
                <w:tab w:val="right" w:pos="432"/>
              </w:tabs>
              <w:spacing w:line="204" w:lineRule="auto"/>
              <w:jc w:val="center"/>
              <w:rPr>
                <w:rFonts w:eastAsia="Arial Unicode MS"/>
                <w:b/>
                <w:noProof/>
                <w:sz w:val="14"/>
                <w:szCs w:val="14"/>
                <w:lang w:val="tr-TR"/>
              </w:rPr>
            </w:pPr>
            <w:r w:rsidRPr="00692926">
              <w:rPr>
                <w:rFonts w:eastAsia="Arial Unicode MS"/>
                <w:sz w:val="14"/>
                <w:szCs w:val="14"/>
              </w:rPr>
              <w:t> </w:t>
            </w:r>
          </w:p>
        </w:tc>
        <w:tc>
          <w:tcPr>
            <w:tcW w:w="630" w:type="dxa"/>
            <w:noWrap/>
            <w:tcMar>
              <w:top w:w="18" w:type="dxa"/>
              <w:left w:w="18" w:type="dxa"/>
              <w:bottom w:w="0" w:type="dxa"/>
              <w:right w:w="18" w:type="dxa"/>
            </w:tcMar>
            <w:vAlign w:val="bottom"/>
          </w:tcPr>
          <w:p w14:paraId="172F6B0C" w14:textId="0FE82741"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112A6E80" w14:textId="436500A3"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23DDCE63" w14:textId="7C9E882D"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F43740D" w14:textId="38B67451" w:rsidR="00224102" w:rsidRPr="00692926" w:rsidRDefault="00224102" w:rsidP="00224102">
            <w:pPr>
              <w:spacing w:line="221" w:lineRule="auto"/>
              <w:jc w:val="right"/>
              <w:rPr>
                <w:sz w:val="14"/>
                <w:szCs w:val="14"/>
              </w:rPr>
            </w:pPr>
            <w:r w:rsidRPr="00692926">
              <w:rPr>
                <w:sz w:val="14"/>
                <w:szCs w:val="14"/>
              </w:rPr>
              <w:t>-</w:t>
            </w:r>
          </w:p>
        </w:tc>
        <w:tc>
          <w:tcPr>
            <w:tcW w:w="659" w:type="dxa"/>
            <w:noWrap/>
            <w:tcMar>
              <w:top w:w="18" w:type="dxa"/>
              <w:left w:w="18" w:type="dxa"/>
              <w:bottom w:w="0" w:type="dxa"/>
              <w:right w:w="18" w:type="dxa"/>
            </w:tcMar>
            <w:vAlign w:val="bottom"/>
          </w:tcPr>
          <w:p w14:paraId="29C7C029" w14:textId="6BEC49EC"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6F23A987" w14:textId="4B20EF38" w:rsidR="00224102" w:rsidRPr="00692926" w:rsidRDefault="00224102" w:rsidP="00224102">
            <w:pPr>
              <w:spacing w:line="221" w:lineRule="auto"/>
              <w:jc w:val="right"/>
              <w:rPr>
                <w:sz w:val="14"/>
                <w:szCs w:val="14"/>
              </w:rPr>
            </w:pPr>
            <w:r w:rsidRPr="00692926">
              <w:rPr>
                <w:sz w:val="14"/>
                <w:szCs w:val="14"/>
              </w:rPr>
              <w:t>-</w:t>
            </w:r>
          </w:p>
        </w:tc>
      </w:tr>
      <w:tr w:rsidR="00224102" w:rsidRPr="00604C75" w14:paraId="031E60B2" w14:textId="77777777" w:rsidTr="00373D13">
        <w:trPr>
          <w:trHeight w:val="62"/>
        </w:trPr>
        <w:tc>
          <w:tcPr>
            <w:tcW w:w="557" w:type="dxa"/>
            <w:noWrap/>
            <w:tcMar>
              <w:top w:w="18" w:type="dxa"/>
              <w:left w:w="18" w:type="dxa"/>
              <w:bottom w:w="0" w:type="dxa"/>
              <w:right w:w="18" w:type="dxa"/>
            </w:tcMar>
            <w:vAlign w:val="bottom"/>
          </w:tcPr>
          <w:p w14:paraId="0F230B81" w14:textId="77777777" w:rsidR="00224102" w:rsidRPr="00604C75" w:rsidRDefault="00224102" w:rsidP="00224102">
            <w:pPr>
              <w:spacing w:line="204" w:lineRule="auto"/>
              <w:rPr>
                <w:bCs/>
                <w:noProof/>
                <w:sz w:val="14"/>
                <w:szCs w:val="14"/>
                <w:lang w:val="tr-TR"/>
              </w:rPr>
            </w:pPr>
            <w:r w:rsidRPr="00604C75">
              <w:rPr>
                <w:bCs/>
                <w:noProof/>
                <w:sz w:val="14"/>
                <w:szCs w:val="14"/>
                <w:lang w:val="tr-TR"/>
              </w:rPr>
              <w:t>17.2</w:t>
            </w:r>
          </w:p>
        </w:tc>
        <w:tc>
          <w:tcPr>
            <w:tcW w:w="4767" w:type="dxa"/>
            <w:noWrap/>
            <w:tcMar>
              <w:top w:w="18" w:type="dxa"/>
              <w:left w:w="18" w:type="dxa"/>
              <w:bottom w:w="0" w:type="dxa"/>
              <w:right w:w="18" w:type="dxa"/>
            </w:tcMar>
            <w:vAlign w:val="bottom"/>
          </w:tcPr>
          <w:p w14:paraId="4E7D0BC2" w14:textId="77777777" w:rsidR="00224102" w:rsidRPr="00604C75" w:rsidRDefault="00224102" w:rsidP="00224102">
            <w:pPr>
              <w:spacing w:line="204" w:lineRule="auto"/>
              <w:rPr>
                <w:bCs/>
                <w:noProof/>
                <w:sz w:val="14"/>
                <w:szCs w:val="14"/>
                <w:lang w:val="tr-TR"/>
              </w:rPr>
            </w:pPr>
            <w:r w:rsidRPr="00604C75">
              <w:rPr>
                <w:bCs/>
                <w:noProof/>
                <w:sz w:val="14"/>
                <w:szCs w:val="14"/>
                <w:lang w:val="tr-TR"/>
              </w:rPr>
              <w:t>Deferred Tax Asset</w:t>
            </w:r>
          </w:p>
        </w:tc>
        <w:tc>
          <w:tcPr>
            <w:tcW w:w="531" w:type="dxa"/>
            <w:noWrap/>
            <w:tcMar>
              <w:top w:w="18" w:type="dxa"/>
              <w:left w:w="18" w:type="dxa"/>
              <w:bottom w:w="0" w:type="dxa"/>
              <w:right w:w="18" w:type="dxa"/>
            </w:tcMar>
            <w:vAlign w:val="bottom"/>
          </w:tcPr>
          <w:p w14:paraId="2E38FEA6" w14:textId="77777777" w:rsidR="00224102" w:rsidRPr="00604C75" w:rsidRDefault="00224102" w:rsidP="00224102">
            <w:pPr>
              <w:tabs>
                <w:tab w:val="right" w:pos="432"/>
              </w:tabs>
              <w:spacing w:line="204" w:lineRule="auto"/>
              <w:jc w:val="center"/>
              <w:rPr>
                <w:rFonts w:eastAsia="Arial Unicode MS"/>
                <w:noProof/>
                <w:sz w:val="14"/>
                <w:szCs w:val="14"/>
                <w:lang w:val="tr-TR"/>
              </w:rPr>
            </w:pPr>
          </w:p>
        </w:tc>
        <w:tc>
          <w:tcPr>
            <w:tcW w:w="630" w:type="dxa"/>
            <w:noWrap/>
            <w:tcMar>
              <w:top w:w="18" w:type="dxa"/>
              <w:left w:w="18" w:type="dxa"/>
              <w:bottom w:w="0" w:type="dxa"/>
              <w:right w:w="18" w:type="dxa"/>
            </w:tcMar>
            <w:vAlign w:val="bottom"/>
          </w:tcPr>
          <w:p w14:paraId="5B8DF2BB" w14:textId="3659B4BD" w:rsidR="00224102" w:rsidRPr="00EF6596" w:rsidRDefault="00224102" w:rsidP="00224102">
            <w:pPr>
              <w:jc w:val="right"/>
              <w:rPr>
                <w:sz w:val="14"/>
                <w:szCs w:val="14"/>
              </w:rPr>
            </w:pPr>
            <w:r w:rsidRPr="00EF6596">
              <w:rPr>
                <w:sz w:val="14"/>
                <w:szCs w:val="14"/>
              </w:rPr>
              <w:t>26,707</w:t>
            </w:r>
          </w:p>
        </w:tc>
        <w:tc>
          <w:tcPr>
            <w:tcW w:w="791" w:type="dxa"/>
            <w:noWrap/>
            <w:tcMar>
              <w:top w:w="18" w:type="dxa"/>
              <w:left w:w="18" w:type="dxa"/>
              <w:bottom w:w="0" w:type="dxa"/>
              <w:right w:w="18" w:type="dxa"/>
            </w:tcMar>
            <w:vAlign w:val="bottom"/>
          </w:tcPr>
          <w:p w14:paraId="6FA5D443" w14:textId="489EA848"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47CCF07F" w14:textId="76162A77" w:rsidR="00224102" w:rsidRPr="00EF6596" w:rsidRDefault="00224102" w:rsidP="00224102">
            <w:pPr>
              <w:jc w:val="right"/>
              <w:rPr>
                <w:sz w:val="14"/>
                <w:szCs w:val="14"/>
              </w:rPr>
            </w:pPr>
            <w:r w:rsidRPr="00EF6596">
              <w:rPr>
                <w:sz w:val="14"/>
                <w:szCs w:val="14"/>
              </w:rPr>
              <w:t>26,707</w:t>
            </w:r>
          </w:p>
        </w:tc>
        <w:tc>
          <w:tcPr>
            <w:tcW w:w="745" w:type="dxa"/>
            <w:noWrap/>
            <w:tcMar>
              <w:top w:w="18" w:type="dxa"/>
              <w:left w:w="18" w:type="dxa"/>
              <w:bottom w:w="0" w:type="dxa"/>
              <w:right w:w="18" w:type="dxa"/>
            </w:tcMar>
            <w:vAlign w:val="bottom"/>
          </w:tcPr>
          <w:p w14:paraId="1C33102E" w14:textId="7388ACCB" w:rsidR="00224102" w:rsidRPr="00692926" w:rsidRDefault="00224102" w:rsidP="00224102">
            <w:pPr>
              <w:spacing w:line="221" w:lineRule="auto"/>
              <w:jc w:val="right"/>
              <w:rPr>
                <w:sz w:val="14"/>
                <w:szCs w:val="14"/>
              </w:rPr>
            </w:pPr>
            <w:r w:rsidRPr="00692926">
              <w:rPr>
                <w:sz w:val="14"/>
                <w:szCs w:val="14"/>
              </w:rPr>
              <w:t>24,242</w:t>
            </w:r>
          </w:p>
        </w:tc>
        <w:tc>
          <w:tcPr>
            <w:tcW w:w="659" w:type="dxa"/>
            <w:noWrap/>
            <w:tcMar>
              <w:top w:w="18" w:type="dxa"/>
              <w:left w:w="18" w:type="dxa"/>
              <w:bottom w:w="0" w:type="dxa"/>
              <w:right w:w="18" w:type="dxa"/>
            </w:tcMar>
            <w:vAlign w:val="bottom"/>
          </w:tcPr>
          <w:p w14:paraId="6E007898" w14:textId="5E12BC5D" w:rsidR="00224102" w:rsidRPr="00692926" w:rsidRDefault="00224102" w:rsidP="00224102">
            <w:pPr>
              <w:spacing w:line="221" w:lineRule="auto"/>
              <w:jc w:val="right"/>
              <w:rPr>
                <w:sz w:val="14"/>
                <w:szCs w:val="14"/>
              </w:rPr>
            </w:pPr>
            <w:r w:rsidRPr="00692926">
              <w:rPr>
                <w:sz w:val="14"/>
                <w:szCs w:val="14"/>
              </w:rPr>
              <w:t>-</w:t>
            </w:r>
          </w:p>
        </w:tc>
        <w:tc>
          <w:tcPr>
            <w:tcW w:w="686" w:type="dxa"/>
            <w:noWrap/>
            <w:tcMar>
              <w:top w:w="18" w:type="dxa"/>
              <w:left w:w="18" w:type="dxa"/>
              <w:bottom w:w="0" w:type="dxa"/>
              <w:right w:w="18" w:type="dxa"/>
            </w:tcMar>
            <w:vAlign w:val="bottom"/>
          </w:tcPr>
          <w:p w14:paraId="231F4ECA" w14:textId="65B86FF5" w:rsidR="00224102" w:rsidRPr="00692926" w:rsidRDefault="00224102" w:rsidP="00224102">
            <w:pPr>
              <w:spacing w:line="221" w:lineRule="auto"/>
              <w:jc w:val="right"/>
              <w:rPr>
                <w:sz w:val="14"/>
                <w:szCs w:val="14"/>
              </w:rPr>
            </w:pPr>
            <w:r w:rsidRPr="00692926">
              <w:rPr>
                <w:sz w:val="14"/>
                <w:szCs w:val="14"/>
              </w:rPr>
              <w:t>24,242</w:t>
            </w:r>
          </w:p>
        </w:tc>
      </w:tr>
      <w:tr w:rsidR="00224102" w:rsidRPr="00604C75" w14:paraId="7BB66D4B" w14:textId="77777777" w:rsidTr="00373D13">
        <w:trPr>
          <w:trHeight w:val="187"/>
        </w:trPr>
        <w:tc>
          <w:tcPr>
            <w:tcW w:w="557" w:type="dxa"/>
            <w:noWrap/>
            <w:tcMar>
              <w:top w:w="18" w:type="dxa"/>
              <w:left w:w="18" w:type="dxa"/>
              <w:bottom w:w="0" w:type="dxa"/>
              <w:right w:w="18" w:type="dxa"/>
            </w:tcMar>
            <w:vAlign w:val="bottom"/>
          </w:tcPr>
          <w:p w14:paraId="3F7040D1"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XVIII.</w:t>
            </w:r>
          </w:p>
        </w:tc>
        <w:tc>
          <w:tcPr>
            <w:tcW w:w="4767" w:type="dxa"/>
            <w:noWrap/>
            <w:tcMar>
              <w:top w:w="18" w:type="dxa"/>
              <w:left w:w="18" w:type="dxa"/>
              <w:bottom w:w="0" w:type="dxa"/>
              <w:right w:w="18" w:type="dxa"/>
            </w:tcMar>
            <w:vAlign w:val="bottom"/>
          </w:tcPr>
          <w:p w14:paraId="50735596"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ASSETS HELD FOR SALE AND DISCONTINUED OPERATIONS (Net)</w:t>
            </w:r>
          </w:p>
        </w:tc>
        <w:tc>
          <w:tcPr>
            <w:tcW w:w="531" w:type="dxa"/>
            <w:noWrap/>
            <w:tcMar>
              <w:top w:w="18" w:type="dxa"/>
              <w:left w:w="18" w:type="dxa"/>
              <w:bottom w:w="0" w:type="dxa"/>
              <w:right w:w="18" w:type="dxa"/>
            </w:tcMar>
            <w:vAlign w:val="bottom"/>
          </w:tcPr>
          <w:p w14:paraId="73A74D28" w14:textId="5978A75A"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I-o</w:t>
            </w:r>
          </w:p>
        </w:tc>
        <w:tc>
          <w:tcPr>
            <w:tcW w:w="630" w:type="dxa"/>
            <w:noWrap/>
            <w:tcMar>
              <w:top w:w="18" w:type="dxa"/>
              <w:left w:w="18" w:type="dxa"/>
              <w:bottom w:w="0" w:type="dxa"/>
              <w:right w:w="18" w:type="dxa"/>
            </w:tcMar>
            <w:vAlign w:val="bottom"/>
          </w:tcPr>
          <w:p w14:paraId="7447E66C" w14:textId="308184F1" w:rsidR="00224102" w:rsidRPr="00EF6596" w:rsidRDefault="00224102" w:rsidP="00224102">
            <w:pPr>
              <w:jc w:val="right"/>
              <w:rPr>
                <w:b/>
                <w:bCs/>
                <w:sz w:val="14"/>
                <w:szCs w:val="14"/>
              </w:rPr>
            </w:pPr>
            <w:r w:rsidRPr="00EF6596">
              <w:rPr>
                <w:b/>
                <w:bCs/>
                <w:sz w:val="14"/>
                <w:szCs w:val="14"/>
              </w:rPr>
              <w:t>-</w:t>
            </w:r>
          </w:p>
        </w:tc>
        <w:tc>
          <w:tcPr>
            <w:tcW w:w="791" w:type="dxa"/>
            <w:noWrap/>
            <w:tcMar>
              <w:top w:w="18" w:type="dxa"/>
              <w:left w:w="18" w:type="dxa"/>
              <w:bottom w:w="0" w:type="dxa"/>
              <w:right w:w="18" w:type="dxa"/>
            </w:tcMar>
            <w:vAlign w:val="bottom"/>
          </w:tcPr>
          <w:p w14:paraId="055FB6D9" w14:textId="71A5A222"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43F64ED1" w14:textId="01BD0568" w:rsidR="00224102" w:rsidRPr="00EF6596" w:rsidRDefault="00224102" w:rsidP="00224102">
            <w:pPr>
              <w:jc w:val="right"/>
              <w:rPr>
                <w:b/>
                <w:bCs/>
                <w:sz w:val="14"/>
                <w:szCs w:val="14"/>
              </w:rPr>
            </w:pPr>
            <w:r w:rsidRPr="00EF6596">
              <w:rPr>
                <w:b/>
                <w:bCs/>
                <w:sz w:val="14"/>
                <w:szCs w:val="14"/>
              </w:rPr>
              <w:t>-</w:t>
            </w:r>
          </w:p>
        </w:tc>
        <w:tc>
          <w:tcPr>
            <w:tcW w:w="745" w:type="dxa"/>
            <w:noWrap/>
            <w:tcMar>
              <w:top w:w="18" w:type="dxa"/>
              <w:left w:w="18" w:type="dxa"/>
              <w:bottom w:w="0" w:type="dxa"/>
              <w:right w:w="18" w:type="dxa"/>
            </w:tcMar>
            <w:vAlign w:val="bottom"/>
          </w:tcPr>
          <w:p w14:paraId="5B3A734D" w14:textId="4BAC2EE5" w:rsidR="00224102" w:rsidRPr="003261E3" w:rsidRDefault="00224102" w:rsidP="00224102">
            <w:pPr>
              <w:spacing w:line="221" w:lineRule="auto"/>
              <w:jc w:val="right"/>
              <w:rPr>
                <w:b/>
                <w:sz w:val="14"/>
                <w:szCs w:val="14"/>
              </w:rPr>
            </w:pPr>
            <w:r w:rsidRPr="003261E3">
              <w:rPr>
                <w:b/>
                <w:sz w:val="14"/>
                <w:szCs w:val="14"/>
              </w:rPr>
              <w:t>-</w:t>
            </w:r>
          </w:p>
        </w:tc>
        <w:tc>
          <w:tcPr>
            <w:tcW w:w="659" w:type="dxa"/>
            <w:noWrap/>
            <w:tcMar>
              <w:top w:w="18" w:type="dxa"/>
              <w:left w:w="18" w:type="dxa"/>
              <w:bottom w:w="0" w:type="dxa"/>
              <w:right w:w="18" w:type="dxa"/>
            </w:tcMar>
            <w:vAlign w:val="bottom"/>
          </w:tcPr>
          <w:p w14:paraId="6C6646D5" w14:textId="53713BD5" w:rsidR="00224102" w:rsidRPr="003261E3" w:rsidRDefault="00224102" w:rsidP="00224102">
            <w:pPr>
              <w:spacing w:line="221" w:lineRule="auto"/>
              <w:jc w:val="right"/>
              <w:rPr>
                <w:b/>
                <w:sz w:val="14"/>
                <w:szCs w:val="14"/>
              </w:rPr>
            </w:pPr>
            <w:r w:rsidRPr="003261E3">
              <w:rPr>
                <w:b/>
                <w:sz w:val="14"/>
                <w:szCs w:val="14"/>
              </w:rPr>
              <w:t>-</w:t>
            </w:r>
          </w:p>
        </w:tc>
        <w:tc>
          <w:tcPr>
            <w:tcW w:w="686" w:type="dxa"/>
            <w:noWrap/>
            <w:tcMar>
              <w:top w:w="18" w:type="dxa"/>
              <w:left w:w="18" w:type="dxa"/>
              <w:bottom w:w="0" w:type="dxa"/>
              <w:right w:w="18" w:type="dxa"/>
            </w:tcMar>
            <w:vAlign w:val="bottom"/>
          </w:tcPr>
          <w:p w14:paraId="2AB84EDE" w14:textId="3FDF4798" w:rsidR="00224102" w:rsidRPr="003261E3" w:rsidRDefault="00224102" w:rsidP="00224102">
            <w:pPr>
              <w:spacing w:line="221" w:lineRule="auto"/>
              <w:jc w:val="right"/>
              <w:rPr>
                <w:b/>
                <w:sz w:val="14"/>
                <w:szCs w:val="14"/>
              </w:rPr>
            </w:pPr>
            <w:r w:rsidRPr="003261E3">
              <w:rPr>
                <w:b/>
                <w:sz w:val="14"/>
                <w:szCs w:val="14"/>
              </w:rPr>
              <w:t>-</w:t>
            </w:r>
          </w:p>
        </w:tc>
      </w:tr>
      <w:tr w:rsidR="00224102" w:rsidRPr="00604C75" w14:paraId="1CC33E64" w14:textId="77777777" w:rsidTr="00373D13">
        <w:trPr>
          <w:trHeight w:val="187"/>
        </w:trPr>
        <w:tc>
          <w:tcPr>
            <w:tcW w:w="557" w:type="dxa"/>
            <w:noWrap/>
            <w:tcMar>
              <w:top w:w="18" w:type="dxa"/>
              <w:left w:w="18" w:type="dxa"/>
              <w:bottom w:w="0" w:type="dxa"/>
              <w:right w:w="18" w:type="dxa"/>
            </w:tcMar>
            <w:vAlign w:val="bottom"/>
          </w:tcPr>
          <w:p w14:paraId="208BBD80" w14:textId="77777777" w:rsidR="00224102" w:rsidRPr="00604C75" w:rsidRDefault="00224102" w:rsidP="00224102">
            <w:pPr>
              <w:spacing w:line="204" w:lineRule="auto"/>
              <w:rPr>
                <w:bCs/>
                <w:noProof/>
                <w:sz w:val="14"/>
                <w:szCs w:val="14"/>
                <w:lang w:val="tr-TR"/>
              </w:rPr>
            </w:pPr>
            <w:r w:rsidRPr="00604C75">
              <w:rPr>
                <w:bCs/>
                <w:noProof/>
                <w:sz w:val="14"/>
                <w:szCs w:val="14"/>
                <w:lang w:val="tr-TR"/>
              </w:rPr>
              <w:t>18.1</w:t>
            </w:r>
          </w:p>
        </w:tc>
        <w:tc>
          <w:tcPr>
            <w:tcW w:w="4767" w:type="dxa"/>
            <w:noWrap/>
            <w:tcMar>
              <w:top w:w="18" w:type="dxa"/>
              <w:left w:w="18" w:type="dxa"/>
              <w:bottom w:w="0" w:type="dxa"/>
              <w:right w:w="18" w:type="dxa"/>
            </w:tcMar>
            <w:vAlign w:val="bottom"/>
          </w:tcPr>
          <w:p w14:paraId="2BF196AB" w14:textId="77777777" w:rsidR="00224102" w:rsidRPr="00604C75" w:rsidRDefault="00224102" w:rsidP="00224102">
            <w:pPr>
              <w:spacing w:line="204" w:lineRule="auto"/>
              <w:rPr>
                <w:bCs/>
                <w:noProof/>
                <w:sz w:val="14"/>
                <w:szCs w:val="14"/>
                <w:lang w:val="tr-TR"/>
              </w:rPr>
            </w:pPr>
            <w:r w:rsidRPr="00604C75">
              <w:rPr>
                <w:bCs/>
                <w:noProof/>
                <w:sz w:val="14"/>
                <w:szCs w:val="14"/>
                <w:lang w:val="tr-TR"/>
              </w:rPr>
              <w:t>Assets Held for Sale</w:t>
            </w:r>
          </w:p>
        </w:tc>
        <w:tc>
          <w:tcPr>
            <w:tcW w:w="531" w:type="dxa"/>
            <w:noWrap/>
            <w:tcMar>
              <w:top w:w="18" w:type="dxa"/>
              <w:left w:w="18" w:type="dxa"/>
              <w:bottom w:w="0" w:type="dxa"/>
              <w:right w:w="18" w:type="dxa"/>
            </w:tcMar>
            <w:vAlign w:val="bottom"/>
          </w:tcPr>
          <w:p w14:paraId="6E2DD651" w14:textId="77777777" w:rsidR="00224102" w:rsidRPr="00604C75" w:rsidRDefault="00224102" w:rsidP="00224102">
            <w:pPr>
              <w:spacing w:line="204" w:lineRule="auto"/>
              <w:jc w:val="center"/>
              <w:rPr>
                <w:rFonts w:eastAsia="Arial Unicode MS"/>
                <w:b/>
                <w:sz w:val="14"/>
                <w:szCs w:val="14"/>
              </w:rPr>
            </w:pPr>
          </w:p>
        </w:tc>
        <w:tc>
          <w:tcPr>
            <w:tcW w:w="630" w:type="dxa"/>
            <w:noWrap/>
            <w:tcMar>
              <w:top w:w="18" w:type="dxa"/>
              <w:left w:w="18" w:type="dxa"/>
              <w:bottom w:w="0" w:type="dxa"/>
              <w:right w:w="18" w:type="dxa"/>
            </w:tcMar>
            <w:vAlign w:val="bottom"/>
          </w:tcPr>
          <w:p w14:paraId="6F83C41B" w14:textId="392A1B67"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2D072231" w14:textId="45C3DB8B"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05B77850" w14:textId="3A552147"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6A8F459D" w14:textId="332D7902" w:rsidR="00224102" w:rsidRPr="00AD658B" w:rsidRDefault="00224102" w:rsidP="00224102">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14:paraId="156E8CDA" w14:textId="6AB8D9CB" w:rsidR="00224102" w:rsidRPr="00AD658B" w:rsidRDefault="00224102" w:rsidP="00224102">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14:paraId="4D1E417D" w14:textId="147B8F9C" w:rsidR="00224102" w:rsidRPr="00AD658B" w:rsidRDefault="00224102" w:rsidP="00224102">
            <w:pPr>
              <w:spacing w:line="221" w:lineRule="auto"/>
              <w:jc w:val="right"/>
              <w:rPr>
                <w:sz w:val="14"/>
                <w:szCs w:val="14"/>
              </w:rPr>
            </w:pPr>
            <w:r w:rsidRPr="00AD658B">
              <w:rPr>
                <w:sz w:val="14"/>
                <w:szCs w:val="14"/>
              </w:rPr>
              <w:t>-</w:t>
            </w:r>
          </w:p>
        </w:tc>
      </w:tr>
      <w:tr w:rsidR="00224102" w:rsidRPr="00604C75" w14:paraId="55E3FA15" w14:textId="77777777" w:rsidTr="00373D13">
        <w:trPr>
          <w:trHeight w:val="187"/>
        </w:trPr>
        <w:tc>
          <w:tcPr>
            <w:tcW w:w="557" w:type="dxa"/>
            <w:noWrap/>
            <w:tcMar>
              <w:top w:w="18" w:type="dxa"/>
              <w:left w:w="18" w:type="dxa"/>
              <w:bottom w:w="0" w:type="dxa"/>
              <w:right w:w="18" w:type="dxa"/>
            </w:tcMar>
            <w:vAlign w:val="bottom"/>
          </w:tcPr>
          <w:p w14:paraId="093D3DFA" w14:textId="77777777" w:rsidR="00224102" w:rsidRPr="00604C75" w:rsidRDefault="00224102" w:rsidP="00224102">
            <w:pPr>
              <w:spacing w:line="204" w:lineRule="auto"/>
              <w:rPr>
                <w:bCs/>
                <w:noProof/>
                <w:sz w:val="14"/>
                <w:szCs w:val="14"/>
                <w:lang w:val="tr-TR"/>
              </w:rPr>
            </w:pPr>
            <w:r w:rsidRPr="00604C75">
              <w:rPr>
                <w:bCs/>
                <w:noProof/>
                <w:sz w:val="14"/>
                <w:szCs w:val="14"/>
                <w:lang w:val="tr-TR"/>
              </w:rPr>
              <w:t>18.2</w:t>
            </w:r>
          </w:p>
        </w:tc>
        <w:tc>
          <w:tcPr>
            <w:tcW w:w="4767" w:type="dxa"/>
            <w:noWrap/>
            <w:tcMar>
              <w:top w:w="18" w:type="dxa"/>
              <w:left w:w="18" w:type="dxa"/>
              <w:bottom w:w="0" w:type="dxa"/>
              <w:right w:w="18" w:type="dxa"/>
            </w:tcMar>
            <w:vAlign w:val="bottom"/>
          </w:tcPr>
          <w:p w14:paraId="0D7F436A" w14:textId="77777777" w:rsidR="00224102" w:rsidRPr="00604C75" w:rsidRDefault="00224102" w:rsidP="00224102">
            <w:pPr>
              <w:spacing w:line="204" w:lineRule="auto"/>
              <w:rPr>
                <w:bCs/>
                <w:noProof/>
                <w:sz w:val="14"/>
                <w:szCs w:val="14"/>
                <w:lang w:val="tr-TR"/>
              </w:rPr>
            </w:pPr>
            <w:r w:rsidRPr="00604C75">
              <w:rPr>
                <w:bCs/>
                <w:noProof/>
                <w:sz w:val="14"/>
                <w:szCs w:val="14"/>
                <w:lang w:val="tr-TR"/>
              </w:rPr>
              <w:t>Assets of Discontinued Operations</w:t>
            </w:r>
          </w:p>
        </w:tc>
        <w:tc>
          <w:tcPr>
            <w:tcW w:w="531" w:type="dxa"/>
            <w:noWrap/>
            <w:tcMar>
              <w:top w:w="18" w:type="dxa"/>
              <w:left w:w="18" w:type="dxa"/>
              <w:bottom w:w="0" w:type="dxa"/>
              <w:right w:w="18" w:type="dxa"/>
            </w:tcMar>
            <w:vAlign w:val="bottom"/>
          </w:tcPr>
          <w:p w14:paraId="6649F7B2" w14:textId="77777777" w:rsidR="00224102" w:rsidRPr="00604C75" w:rsidRDefault="00224102" w:rsidP="00224102">
            <w:pPr>
              <w:spacing w:line="204" w:lineRule="auto"/>
              <w:jc w:val="center"/>
              <w:rPr>
                <w:rFonts w:eastAsia="Arial Unicode MS"/>
                <w:b/>
                <w:sz w:val="14"/>
                <w:szCs w:val="14"/>
              </w:rPr>
            </w:pPr>
          </w:p>
        </w:tc>
        <w:tc>
          <w:tcPr>
            <w:tcW w:w="630" w:type="dxa"/>
            <w:noWrap/>
            <w:tcMar>
              <w:top w:w="18" w:type="dxa"/>
              <w:left w:w="18" w:type="dxa"/>
              <w:bottom w:w="0" w:type="dxa"/>
              <w:right w:w="18" w:type="dxa"/>
            </w:tcMar>
            <w:vAlign w:val="bottom"/>
          </w:tcPr>
          <w:p w14:paraId="3EB05EBA" w14:textId="528DB986" w:rsidR="00224102" w:rsidRPr="00EF6596" w:rsidRDefault="00224102" w:rsidP="00224102">
            <w:pPr>
              <w:jc w:val="right"/>
              <w:rPr>
                <w:sz w:val="14"/>
                <w:szCs w:val="14"/>
              </w:rPr>
            </w:pPr>
            <w:r w:rsidRPr="00EF6596">
              <w:rPr>
                <w:sz w:val="14"/>
                <w:szCs w:val="14"/>
              </w:rPr>
              <w:t>-</w:t>
            </w:r>
          </w:p>
        </w:tc>
        <w:tc>
          <w:tcPr>
            <w:tcW w:w="791" w:type="dxa"/>
            <w:noWrap/>
            <w:tcMar>
              <w:top w:w="18" w:type="dxa"/>
              <w:left w:w="18" w:type="dxa"/>
              <w:bottom w:w="0" w:type="dxa"/>
              <w:right w:w="18" w:type="dxa"/>
            </w:tcMar>
            <w:vAlign w:val="bottom"/>
          </w:tcPr>
          <w:p w14:paraId="0F2ED11A" w14:textId="56A4D030"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12188985" w14:textId="5459D207" w:rsidR="00224102" w:rsidRPr="00EF6596" w:rsidRDefault="00224102" w:rsidP="00224102">
            <w:pPr>
              <w:jc w:val="right"/>
              <w:rPr>
                <w:sz w:val="14"/>
                <w:szCs w:val="14"/>
              </w:rPr>
            </w:pPr>
            <w:r w:rsidRPr="00EF6596">
              <w:rPr>
                <w:sz w:val="14"/>
                <w:szCs w:val="14"/>
              </w:rPr>
              <w:t>-</w:t>
            </w:r>
          </w:p>
        </w:tc>
        <w:tc>
          <w:tcPr>
            <w:tcW w:w="745" w:type="dxa"/>
            <w:noWrap/>
            <w:tcMar>
              <w:top w:w="18" w:type="dxa"/>
              <w:left w:w="18" w:type="dxa"/>
              <w:bottom w:w="0" w:type="dxa"/>
              <w:right w:w="18" w:type="dxa"/>
            </w:tcMar>
            <w:vAlign w:val="bottom"/>
          </w:tcPr>
          <w:p w14:paraId="52607A33" w14:textId="3865EB11" w:rsidR="00224102" w:rsidRPr="00AD658B" w:rsidRDefault="00224102" w:rsidP="00224102">
            <w:pPr>
              <w:spacing w:line="221" w:lineRule="auto"/>
              <w:jc w:val="right"/>
              <w:rPr>
                <w:sz w:val="14"/>
                <w:szCs w:val="14"/>
              </w:rPr>
            </w:pPr>
            <w:r w:rsidRPr="00AD658B">
              <w:rPr>
                <w:sz w:val="14"/>
                <w:szCs w:val="14"/>
              </w:rPr>
              <w:t>-</w:t>
            </w:r>
          </w:p>
        </w:tc>
        <w:tc>
          <w:tcPr>
            <w:tcW w:w="659" w:type="dxa"/>
            <w:noWrap/>
            <w:tcMar>
              <w:top w:w="18" w:type="dxa"/>
              <w:left w:w="18" w:type="dxa"/>
              <w:bottom w:w="0" w:type="dxa"/>
              <w:right w:w="18" w:type="dxa"/>
            </w:tcMar>
            <w:vAlign w:val="bottom"/>
          </w:tcPr>
          <w:p w14:paraId="5A3CC9EC" w14:textId="1356C740" w:rsidR="00224102" w:rsidRPr="00AD658B" w:rsidRDefault="00224102" w:rsidP="00224102">
            <w:pPr>
              <w:spacing w:line="221" w:lineRule="auto"/>
              <w:jc w:val="right"/>
              <w:rPr>
                <w:sz w:val="14"/>
                <w:szCs w:val="14"/>
              </w:rPr>
            </w:pPr>
            <w:r w:rsidRPr="00AD658B">
              <w:rPr>
                <w:sz w:val="14"/>
                <w:szCs w:val="14"/>
              </w:rPr>
              <w:t>-</w:t>
            </w:r>
          </w:p>
        </w:tc>
        <w:tc>
          <w:tcPr>
            <w:tcW w:w="686" w:type="dxa"/>
            <w:noWrap/>
            <w:tcMar>
              <w:top w:w="18" w:type="dxa"/>
              <w:left w:w="18" w:type="dxa"/>
              <w:bottom w:w="0" w:type="dxa"/>
              <w:right w:w="18" w:type="dxa"/>
            </w:tcMar>
            <w:vAlign w:val="bottom"/>
          </w:tcPr>
          <w:p w14:paraId="691B42F1" w14:textId="7B98433D" w:rsidR="00224102" w:rsidRPr="00AD658B" w:rsidRDefault="00224102" w:rsidP="00224102">
            <w:pPr>
              <w:spacing w:line="221" w:lineRule="auto"/>
              <w:jc w:val="right"/>
              <w:rPr>
                <w:sz w:val="14"/>
                <w:szCs w:val="14"/>
              </w:rPr>
            </w:pPr>
            <w:r w:rsidRPr="00AD658B">
              <w:rPr>
                <w:sz w:val="14"/>
                <w:szCs w:val="14"/>
              </w:rPr>
              <w:t>-</w:t>
            </w:r>
          </w:p>
        </w:tc>
      </w:tr>
      <w:tr w:rsidR="00224102" w:rsidRPr="00604C75" w14:paraId="07EA6D70" w14:textId="77777777" w:rsidTr="00373D13">
        <w:trPr>
          <w:trHeight w:val="62"/>
        </w:trPr>
        <w:tc>
          <w:tcPr>
            <w:tcW w:w="557" w:type="dxa"/>
            <w:noWrap/>
            <w:tcMar>
              <w:top w:w="18" w:type="dxa"/>
              <w:left w:w="18" w:type="dxa"/>
              <w:bottom w:w="0" w:type="dxa"/>
              <w:right w:w="18" w:type="dxa"/>
            </w:tcMar>
            <w:vAlign w:val="bottom"/>
          </w:tcPr>
          <w:p w14:paraId="25FDCC00"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XIX.</w:t>
            </w:r>
          </w:p>
        </w:tc>
        <w:tc>
          <w:tcPr>
            <w:tcW w:w="4767" w:type="dxa"/>
            <w:noWrap/>
            <w:tcMar>
              <w:top w:w="18" w:type="dxa"/>
              <w:left w:w="18" w:type="dxa"/>
              <w:bottom w:w="0" w:type="dxa"/>
              <w:right w:w="18" w:type="dxa"/>
            </w:tcMar>
            <w:vAlign w:val="bottom"/>
          </w:tcPr>
          <w:p w14:paraId="1487E3B6" w14:textId="77777777" w:rsidR="00224102" w:rsidRPr="00604C75" w:rsidRDefault="00224102" w:rsidP="00224102">
            <w:pPr>
              <w:spacing w:line="204" w:lineRule="auto"/>
              <w:rPr>
                <w:b/>
                <w:bCs/>
                <w:noProof/>
                <w:sz w:val="14"/>
                <w:szCs w:val="14"/>
                <w:lang w:val="tr-TR"/>
              </w:rPr>
            </w:pPr>
            <w:r w:rsidRPr="00604C75">
              <w:rPr>
                <w:b/>
                <w:bCs/>
                <w:noProof/>
                <w:sz w:val="14"/>
                <w:szCs w:val="14"/>
                <w:lang w:val="tr-TR"/>
              </w:rPr>
              <w:t>OTHER ASSETS</w:t>
            </w:r>
          </w:p>
        </w:tc>
        <w:tc>
          <w:tcPr>
            <w:tcW w:w="531" w:type="dxa"/>
            <w:noWrap/>
            <w:tcMar>
              <w:top w:w="18" w:type="dxa"/>
              <w:left w:w="18" w:type="dxa"/>
              <w:bottom w:w="0" w:type="dxa"/>
              <w:right w:w="18" w:type="dxa"/>
            </w:tcMar>
            <w:vAlign w:val="bottom"/>
          </w:tcPr>
          <w:p w14:paraId="3C376A13" w14:textId="4BC6F08C" w:rsidR="00224102" w:rsidRPr="00604C75" w:rsidRDefault="00224102" w:rsidP="00224102">
            <w:pPr>
              <w:spacing w:line="204" w:lineRule="auto"/>
              <w:jc w:val="center"/>
              <w:rPr>
                <w:rFonts w:eastAsia="Arial Unicode MS"/>
                <w:b/>
                <w:sz w:val="14"/>
                <w:szCs w:val="14"/>
              </w:rPr>
            </w:pPr>
            <w:r w:rsidRPr="00692926">
              <w:rPr>
                <w:rFonts w:eastAsia="Arial Unicode MS"/>
                <w:b/>
                <w:sz w:val="14"/>
                <w:szCs w:val="14"/>
              </w:rPr>
              <w:t>I-p</w:t>
            </w:r>
          </w:p>
        </w:tc>
        <w:tc>
          <w:tcPr>
            <w:tcW w:w="630" w:type="dxa"/>
            <w:noWrap/>
            <w:tcMar>
              <w:top w:w="18" w:type="dxa"/>
              <w:left w:w="18" w:type="dxa"/>
              <w:bottom w:w="0" w:type="dxa"/>
              <w:right w:w="18" w:type="dxa"/>
            </w:tcMar>
            <w:vAlign w:val="bottom"/>
          </w:tcPr>
          <w:p w14:paraId="34ED3425" w14:textId="29C9E6C2" w:rsidR="00224102" w:rsidRPr="00EF6596" w:rsidRDefault="00224102" w:rsidP="00224102">
            <w:pPr>
              <w:jc w:val="right"/>
              <w:rPr>
                <w:b/>
                <w:bCs/>
                <w:sz w:val="14"/>
                <w:szCs w:val="14"/>
              </w:rPr>
            </w:pPr>
            <w:r w:rsidRPr="00EF6596">
              <w:rPr>
                <w:b/>
                <w:bCs/>
                <w:sz w:val="14"/>
                <w:szCs w:val="14"/>
              </w:rPr>
              <w:t>196,319</w:t>
            </w:r>
          </w:p>
        </w:tc>
        <w:tc>
          <w:tcPr>
            <w:tcW w:w="791" w:type="dxa"/>
            <w:noWrap/>
            <w:tcMar>
              <w:top w:w="18" w:type="dxa"/>
              <w:left w:w="18" w:type="dxa"/>
              <w:bottom w:w="0" w:type="dxa"/>
              <w:right w:w="18" w:type="dxa"/>
            </w:tcMar>
            <w:vAlign w:val="bottom"/>
          </w:tcPr>
          <w:p w14:paraId="0AF62FBC" w14:textId="293C77C8" w:rsidR="00224102" w:rsidRPr="00EF6596" w:rsidRDefault="00224102" w:rsidP="00224102">
            <w:pPr>
              <w:jc w:val="right"/>
              <w:rPr>
                <w:b/>
                <w:bCs/>
                <w:sz w:val="14"/>
                <w:szCs w:val="14"/>
              </w:rPr>
            </w:pPr>
            <w:r w:rsidRPr="00EF6596">
              <w:rPr>
                <w:b/>
                <w:bCs/>
                <w:sz w:val="14"/>
                <w:szCs w:val="14"/>
              </w:rPr>
              <w:t>39,821</w:t>
            </w:r>
          </w:p>
        </w:tc>
        <w:tc>
          <w:tcPr>
            <w:tcW w:w="745" w:type="dxa"/>
            <w:noWrap/>
            <w:tcMar>
              <w:top w:w="18" w:type="dxa"/>
              <w:left w:w="18" w:type="dxa"/>
              <w:bottom w:w="0" w:type="dxa"/>
              <w:right w:w="18" w:type="dxa"/>
            </w:tcMar>
            <w:vAlign w:val="bottom"/>
          </w:tcPr>
          <w:p w14:paraId="2191ECEE" w14:textId="214B7D07" w:rsidR="00224102" w:rsidRPr="00EF6596" w:rsidRDefault="00224102" w:rsidP="00224102">
            <w:pPr>
              <w:jc w:val="right"/>
              <w:rPr>
                <w:b/>
                <w:bCs/>
                <w:sz w:val="14"/>
                <w:szCs w:val="14"/>
              </w:rPr>
            </w:pPr>
            <w:r w:rsidRPr="00EF6596">
              <w:rPr>
                <w:b/>
                <w:bCs/>
                <w:sz w:val="14"/>
                <w:szCs w:val="14"/>
              </w:rPr>
              <w:t>236,140</w:t>
            </w:r>
          </w:p>
        </w:tc>
        <w:tc>
          <w:tcPr>
            <w:tcW w:w="745" w:type="dxa"/>
            <w:noWrap/>
            <w:tcMar>
              <w:top w:w="18" w:type="dxa"/>
              <w:left w:w="18" w:type="dxa"/>
              <w:bottom w:w="0" w:type="dxa"/>
              <w:right w:w="18" w:type="dxa"/>
            </w:tcMar>
            <w:vAlign w:val="bottom"/>
          </w:tcPr>
          <w:p w14:paraId="763B31B0" w14:textId="1ED4F710" w:rsidR="00224102" w:rsidRPr="00692926" w:rsidRDefault="00224102" w:rsidP="00224102">
            <w:pPr>
              <w:spacing w:line="221" w:lineRule="auto"/>
              <w:jc w:val="right"/>
              <w:rPr>
                <w:b/>
                <w:sz w:val="14"/>
                <w:szCs w:val="14"/>
              </w:rPr>
            </w:pPr>
            <w:r w:rsidRPr="00692926">
              <w:rPr>
                <w:b/>
                <w:sz w:val="14"/>
                <w:szCs w:val="14"/>
              </w:rPr>
              <w:t>209,790</w:t>
            </w:r>
          </w:p>
        </w:tc>
        <w:tc>
          <w:tcPr>
            <w:tcW w:w="659" w:type="dxa"/>
            <w:noWrap/>
            <w:tcMar>
              <w:top w:w="18" w:type="dxa"/>
              <w:left w:w="18" w:type="dxa"/>
              <w:bottom w:w="0" w:type="dxa"/>
              <w:right w:w="18" w:type="dxa"/>
            </w:tcMar>
            <w:vAlign w:val="bottom"/>
          </w:tcPr>
          <w:p w14:paraId="57EE14DD" w14:textId="6AF111F8" w:rsidR="00224102" w:rsidRPr="00692926" w:rsidRDefault="00224102" w:rsidP="00224102">
            <w:pPr>
              <w:spacing w:line="221" w:lineRule="auto"/>
              <w:jc w:val="right"/>
              <w:rPr>
                <w:b/>
                <w:sz w:val="14"/>
                <w:szCs w:val="14"/>
              </w:rPr>
            </w:pPr>
            <w:r w:rsidRPr="00692926">
              <w:rPr>
                <w:b/>
                <w:sz w:val="14"/>
                <w:szCs w:val="14"/>
              </w:rPr>
              <w:t>15,989</w:t>
            </w:r>
          </w:p>
        </w:tc>
        <w:tc>
          <w:tcPr>
            <w:tcW w:w="686" w:type="dxa"/>
            <w:noWrap/>
            <w:tcMar>
              <w:top w:w="18" w:type="dxa"/>
              <w:left w:w="18" w:type="dxa"/>
              <w:bottom w:w="0" w:type="dxa"/>
              <w:right w:w="18" w:type="dxa"/>
            </w:tcMar>
            <w:vAlign w:val="bottom"/>
          </w:tcPr>
          <w:p w14:paraId="63A339BA" w14:textId="0A83FCD9" w:rsidR="00224102" w:rsidRPr="00692926" w:rsidRDefault="00224102" w:rsidP="00224102">
            <w:pPr>
              <w:spacing w:line="221" w:lineRule="auto"/>
              <w:jc w:val="right"/>
              <w:rPr>
                <w:b/>
                <w:sz w:val="14"/>
                <w:szCs w:val="14"/>
              </w:rPr>
            </w:pPr>
            <w:r w:rsidRPr="00692926">
              <w:rPr>
                <w:b/>
                <w:sz w:val="14"/>
                <w:szCs w:val="14"/>
              </w:rPr>
              <w:t>225,779</w:t>
            </w:r>
          </w:p>
        </w:tc>
      </w:tr>
      <w:tr w:rsidR="00980409" w:rsidRPr="00604C75" w14:paraId="4AAB28B7" w14:textId="77777777" w:rsidTr="00373D13">
        <w:trPr>
          <w:trHeight w:val="52"/>
        </w:trPr>
        <w:tc>
          <w:tcPr>
            <w:tcW w:w="557" w:type="dxa"/>
            <w:tcBorders>
              <w:top w:val="single" w:sz="4" w:space="0" w:color="auto"/>
              <w:bottom w:val="single" w:sz="4" w:space="0" w:color="auto"/>
            </w:tcBorders>
            <w:noWrap/>
            <w:tcMar>
              <w:top w:w="18" w:type="dxa"/>
              <w:left w:w="18" w:type="dxa"/>
              <w:bottom w:w="0" w:type="dxa"/>
              <w:right w:w="18" w:type="dxa"/>
            </w:tcMar>
            <w:vAlign w:val="bottom"/>
          </w:tcPr>
          <w:p w14:paraId="4775257F" w14:textId="77777777" w:rsidR="00980409" w:rsidRPr="00604C75" w:rsidRDefault="00980409" w:rsidP="00980409">
            <w:pPr>
              <w:spacing w:line="204" w:lineRule="auto"/>
              <w:rPr>
                <w:b/>
                <w:bCs/>
                <w:noProof/>
                <w:sz w:val="14"/>
                <w:szCs w:val="14"/>
                <w:lang w:val="tr-TR"/>
              </w:rPr>
            </w:pPr>
            <w:r w:rsidRPr="00604C75">
              <w:rPr>
                <w:b/>
                <w:bCs/>
                <w:noProof/>
                <w:sz w:val="14"/>
                <w:szCs w:val="14"/>
                <w:lang w:val="tr-TR"/>
              </w:rPr>
              <w:t> </w:t>
            </w:r>
          </w:p>
        </w:tc>
        <w:tc>
          <w:tcPr>
            <w:tcW w:w="4767" w:type="dxa"/>
            <w:tcBorders>
              <w:top w:val="single" w:sz="4" w:space="0" w:color="auto"/>
              <w:bottom w:val="single" w:sz="4" w:space="0" w:color="auto"/>
            </w:tcBorders>
            <w:noWrap/>
            <w:tcMar>
              <w:top w:w="18" w:type="dxa"/>
              <w:left w:w="18" w:type="dxa"/>
              <w:bottom w:w="0" w:type="dxa"/>
              <w:right w:w="18" w:type="dxa"/>
            </w:tcMar>
            <w:vAlign w:val="bottom"/>
          </w:tcPr>
          <w:p w14:paraId="742C61BC" w14:textId="77777777" w:rsidR="00980409" w:rsidRPr="00604C75" w:rsidRDefault="00980409" w:rsidP="00980409">
            <w:pPr>
              <w:spacing w:line="204" w:lineRule="auto"/>
              <w:jc w:val="both"/>
              <w:rPr>
                <w:b/>
                <w:bCs/>
                <w:noProof/>
                <w:sz w:val="14"/>
                <w:szCs w:val="14"/>
                <w:lang w:val="tr-TR"/>
              </w:rPr>
            </w:pPr>
            <w:r w:rsidRPr="00604C75">
              <w:rPr>
                <w:b/>
                <w:bCs/>
                <w:noProof/>
                <w:sz w:val="14"/>
                <w:szCs w:val="14"/>
                <w:lang w:val="tr-TR"/>
              </w:rPr>
              <w:t>TOTAL ASSETS</w:t>
            </w:r>
          </w:p>
        </w:tc>
        <w:tc>
          <w:tcPr>
            <w:tcW w:w="531" w:type="dxa"/>
            <w:tcBorders>
              <w:top w:val="single" w:sz="4" w:space="0" w:color="auto"/>
              <w:bottom w:val="single" w:sz="4" w:space="0" w:color="auto"/>
            </w:tcBorders>
            <w:noWrap/>
            <w:tcMar>
              <w:top w:w="18" w:type="dxa"/>
              <w:left w:w="18" w:type="dxa"/>
              <w:bottom w:w="0" w:type="dxa"/>
              <w:right w:w="18" w:type="dxa"/>
            </w:tcMar>
            <w:vAlign w:val="bottom"/>
          </w:tcPr>
          <w:p w14:paraId="65AE5903" w14:textId="77777777" w:rsidR="00980409" w:rsidRPr="00604C75" w:rsidRDefault="00980409" w:rsidP="00980409">
            <w:pPr>
              <w:spacing w:line="204" w:lineRule="auto"/>
              <w:jc w:val="center"/>
              <w:rPr>
                <w:rFonts w:eastAsia="Arial Unicode MS"/>
                <w:b/>
                <w:bCs/>
                <w:noProof/>
                <w:sz w:val="14"/>
                <w:szCs w:val="14"/>
                <w:lang w:val="tr-TR"/>
              </w:rPr>
            </w:pPr>
          </w:p>
        </w:tc>
        <w:tc>
          <w:tcPr>
            <w:tcW w:w="630" w:type="dxa"/>
            <w:tcBorders>
              <w:top w:val="single" w:sz="4" w:space="0" w:color="auto"/>
              <w:bottom w:val="single" w:sz="4" w:space="0" w:color="auto"/>
            </w:tcBorders>
            <w:noWrap/>
            <w:tcMar>
              <w:top w:w="18" w:type="dxa"/>
              <w:left w:w="18" w:type="dxa"/>
              <w:bottom w:w="0" w:type="dxa"/>
              <w:right w:w="18" w:type="dxa"/>
            </w:tcMar>
            <w:vAlign w:val="bottom"/>
          </w:tcPr>
          <w:p w14:paraId="6C99C1B2" w14:textId="6837F439" w:rsidR="00980409" w:rsidRPr="00EF6596" w:rsidRDefault="00980409" w:rsidP="00980409">
            <w:pPr>
              <w:jc w:val="right"/>
              <w:rPr>
                <w:b/>
                <w:bCs/>
                <w:sz w:val="14"/>
                <w:szCs w:val="14"/>
              </w:rPr>
            </w:pPr>
            <w:r w:rsidRPr="00EF6596">
              <w:rPr>
                <w:b/>
                <w:bCs/>
                <w:sz w:val="14"/>
                <w:szCs w:val="14"/>
              </w:rPr>
              <w:t>6,759,810</w:t>
            </w:r>
          </w:p>
        </w:tc>
        <w:tc>
          <w:tcPr>
            <w:tcW w:w="791" w:type="dxa"/>
            <w:tcBorders>
              <w:top w:val="single" w:sz="4" w:space="0" w:color="auto"/>
              <w:bottom w:val="single" w:sz="4" w:space="0" w:color="auto"/>
            </w:tcBorders>
            <w:noWrap/>
            <w:tcMar>
              <w:top w:w="18" w:type="dxa"/>
              <w:left w:w="18" w:type="dxa"/>
              <w:bottom w:w="0" w:type="dxa"/>
              <w:right w:w="18" w:type="dxa"/>
            </w:tcMar>
            <w:vAlign w:val="bottom"/>
          </w:tcPr>
          <w:p w14:paraId="61A8C24C" w14:textId="4F1685EB" w:rsidR="00980409" w:rsidRPr="00EF6596" w:rsidRDefault="00980409" w:rsidP="00980409">
            <w:pPr>
              <w:jc w:val="right"/>
              <w:rPr>
                <w:b/>
                <w:bCs/>
                <w:sz w:val="14"/>
                <w:szCs w:val="14"/>
              </w:rPr>
            </w:pPr>
            <w:r w:rsidRPr="00EF6596">
              <w:rPr>
                <w:b/>
                <w:bCs/>
                <w:sz w:val="14"/>
                <w:szCs w:val="14"/>
              </w:rPr>
              <w:t>7,305,013</w:t>
            </w:r>
          </w:p>
        </w:tc>
        <w:tc>
          <w:tcPr>
            <w:tcW w:w="745" w:type="dxa"/>
            <w:tcBorders>
              <w:top w:val="single" w:sz="4" w:space="0" w:color="auto"/>
              <w:bottom w:val="single" w:sz="4" w:space="0" w:color="auto"/>
            </w:tcBorders>
            <w:noWrap/>
            <w:tcMar>
              <w:top w:w="18" w:type="dxa"/>
              <w:left w:w="18" w:type="dxa"/>
              <w:bottom w:w="0" w:type="dxa"/>
              <w:right w:w="18" w:type="dxa"/>
            </w:tcMar>
            <w:vAlign w:val="bottom"/>
          </w:tcPr>
          <w:p w14:paraId="2232C889" w14:textId="11132D40" w:rsidR="00980409" w:rsidRPr="00EF6596" w:rsidRDefault="00980409" w:rsidP="00980409">
            <w:pPr>
              <w:jc w:val="right"/>
              <w:rPr>
                <w:b/>
                <w:bCs/>
                <w:sz w:val="14"/>
                <w:szCs w:val="14"/>
              </w:rPr>
            </w:pPr>
            <w:r w:rsidRPr="00EF6596">
              <w:rPr>
                <w:b/>
                <w:bCs/>
                <w:sz w:val="14"/>
                <w:szCs w:val="14"/>
              </w:rPr>
              <w:t>14,064,823</w:t>
            </w:r>
          </w:p>
        </w:tc>
        <w:tc>
          <w:tcPr>
            <w:tcW w:w="745" w:type="dxa"/>
            <w:tcBorders>
              <w:top w:val="single" w:sz="4" w:space="0" w:color="auto"/>
              <w:bottom w:val="single" w:sz="4" w:space="0" w:color="auto"/>
            </w:tcBorders>
            <w:noWrap/>
            <w:tcMar>
              <w:top w:w="18" w:type="dxa"/>
              <w:left w:w="18" w:type="dxa"/>
              <w:bottom w:w="0" w:type="dxa"/>
              <w:right w:w="18" w:type="dxa"/>
            </w:tcMar>
            <w:vAlign w:val="bottom"/>
          </w:tcPr>
          <w:p w14:paraId="1143EAF7" w14:textId="6603370A" w:rsidR="00980409" w:rsidRPr="00692926" w:rsidRDefault="00980409" w:rsidP="00980409">
            <w:pPr>
              <w:spacing w:line="221" w:lineRule="auto"/>
              <w:jc w:val="right"/>
              <w:rPr>
                <w:b/>
                <w:sz w:val="14"/>
                <w:szCs w:val="14"/>
              </w:rPr>
            </w:pPr>
            <w:r w:rsidRPr="00692926">
              <w:rPr>
                <w:b/>
                <w:sz w:val="14"/>
                <w:szCs w:val="14"/>
              </w:rPr>
              <w:t>7,486,899</w:t>
            </w:r>
          </w:p>
        </w:tc>
        <w:tc>
          <w:tcPr>
            <w:tcW w:w="659" w:type="dxa"/>
            <w:tcBorders>
              <w:top w:val="single" w:sz="4" w:space="0" w:color="auto"/>
              <w:bottom w:val="single" w:sz="4" w:space="0" w:color="auto"/>
            </w:tcBorders>
            <w:noWrap/>
            <w:tcMar>
              <w:top w:w="18" w:type="dxa"/>
              <w:left w:w="18" w:type="dxa"/>
              <w:bottom w:w="0" w:type="dxa"/>
              <w:right w:w="18" w:type="dxa"/>
            </w:tcMar>
            <w:vAlign w:val="bottom"/>
          </w:tcPr>
          <w:p w14:paraId="7599CC3C" w14:textId="15B46934" w:rsidR="00980409" w:rsidRPr="00692926" w:rsidRDefault="00980409" w:rsidP="00980409">
            <w:pPr>
              <w:spacing w:line="221" w:lineRule="auto"/>
              <w:jc w:val="right"/>
              <w:rPr>
                <w:b/>
                <w:sz w:val="14"/>
                <w:szCs w:val="14"/>
              </w:rPr>
            </w:pPr>
            <w:r w:rsidRPr="00692926">
              <w:rPr>
                <w:b/>
                <w:sz w:val="14"/>
                <w:szCs w:val="14"/>
              </w:rPr>
              <w:t>3,860,768</w:t>
            </w:r>
          </w:p>
        </w:tc>
        <w:tc>
          <w:tcPr>
            <w:tcW w:w="686" w:type="dxa"/>
            <w:tcBorders>
              <w:top w:val="single" w:sz="4" w:space="0" w:color="auto"/>
              <w:bottom w:val="single" w:sz="4" w:space="0" w:color="auto"/>
            </w:tcBorders>
            <w:noWrap/>
            <w:tcMar>
              <w:top w:w="18" w:type="dxa"/>
              <w:left w:w="18" w:type="dxa"/>
              <w:bottom w:w="0" w:type="dxa"/>
              <w:right w:w="18" w:type="dxa"/>
            </w:tcMar>
            <w:vAlign w:val="bottom"/>
          </w:tcPr>
          <w:p w14:paraId="283D1714" w14:textId="11DBE2C2" w:rsidR="00980409" w:rsidRPr="00692926" w:rsidRDefault="00980409" w:rsidP="00980409">
            <w:pPr>
              <w:spacing w:line="221" w:lineRule="auto"/>
              <w:jc w:val="right"/>
              <w:rPr>
                <w:b/>
                <w:sz w:val="14"/>
                <w:szCs w:val="14"/>
              </w:rPr>
            </w:pPr>
            <w:r w:rsidRPr="00692926">
              <w:rPr>
                <w:b/>
                <w:sz w:val="14"/>
                <w:szCs w:val="14"/>
              </w:rPr>
              <w:t>11,347,667</w:t>
            </w:r>
          </w:p>
        </w:tc>
      </w:tr>
    </w:tbl>
    <w:p w14:paraId="178D0639" w14:textId="77777777" w:rsidR="005337DE" w:rsidRDefault="00E54030" w:rsidP="00576E0A">
      <w:pPr>
        <w:spacing w:before="80" w:after="200" w:line="204" w:lineRule="auto"/>
        <w:rPr>
          <w:bCs/>
          <w:noProof/>
          <w:snapToGrid w:val="0"/>
          <w:sz w:val="16"/>
          <w:szCs w:val="16"/>
          <w:lang w:val="tr-TR"/>
        </w:rPr>
      </w:pPr>
      <w:r w:rsidRPr="00604C75">
        <w:rPr>
          <w:bCs/>
          <w:noProof/>
          <w:snapToGrid w:val="0"/>
          <w:sz w:val="16"/>
          <w:szCs w:val="16"/>
          <w:lang w:val="tr-TR"/>
        </w:rPr>
        <w:t xml:space="preserve">                                                         </w:t>
      </w:r>
    </w:p>
    <w:p w14:paraId="2345D524" w14:textId="18348177" w:rsidR="001A1E54" w:rsidRPr="00373D13" w:rsidRDefault="00AF0AEB" w:rsidP="005337DE">
      <w:pPr>
        <w:spacing w:before="80" w:after="200" w:line="204" w:lineRule="auto"/>
        <w:jc w:val="center"/>
        <w:rPr>
          <w:bCs/>
          <w:noProof/>
          <w:snapToGrid w:val="0"/>
          <w:sz w:val="16"/>
          <w:szCs w:val="16"/>
          <w:lang w:val="tr-TR"/>
        </w:rPr>
      </w:pPr>
      <w:r w:rsidRPr="00604C75">
        <w:rPr>
          <w:sz w:val="16"/>
          <w:szCs w:val="16"/>
        </w:rPr>
        <w:t>The accompanying notes are an integral part of these consolidated financial statements.</w:t>
      </w:r>
      <w:r w:rsidRPr="00604C75" w:rsidDel="00AF0AEB">
        <w:rPr>
          <w:bCs/>
          <w:noProof/>
          <w:snapToGrid w:val="0"/>
          <w:sz w:val="16"/>
          <w:szCs w:val="16"/>
          <w:lang w:val="tr-TR"/>
        </w:rPr>
        <w:t xml:space="preserve"> </w:t>
      </w:r>
      <w:r w:rsidR="001A1E54" w:rsidRPr="00604C75">
        <w:rPr>
          <w:rFonts w:eastAsia="Arial Unicode MS"/>
          <w:noProof/>
          <w:sz w:val="16"/>
          <w:szCs w:val="16"/>
          <w:lang w:val="tr-TR"/>
        </w:rPr>
        <w:br w:type="page"/>
      </w:r>
    </w:p>
    <w:tbl>
      <w:tblPr>
        <w:tblW w:w="10202" w:type="dxa"/>
        <w:tblLayout w:type="fixed"/>
        <w:tblCellMar>
          <w:left w:w="0" w:type="dxa"/>
          <w:right w:w="0" w:type="dxa"/>
        </w:tblCellMar>
        <w:tblLook w:val="0000" w:firstRow="0" w:lastRow="0" w:firstColumn="0" w:lastColumn="0" w:noHBand="0" w:noVBand="0"/>
      </w:tblPr>
      <w:tblGrid>
        <w:gridCol w:w="537"/>
        <w:gridCol w:w="4615"/>
        <w:gridCol w:w="640"/>
        <w:gridCol w:w="779"/>
        <w:gridCol w:w="759"/>
        <w:gridCol w:w="720"/>
        <w:gridCol w:w="733"/>
        <w:gridCol w:w="707"/>
        <w:gridCol w:w="712"/>
      </w:tblGrid>
      <w:tr w:rsidR="00ED41A2" w:rsidRPr="00604C75" w14:paraId="1E411C50" w14:textId="77777777" w:rsidTr="00C26D33">
        <w:trPr>
          <w:cantSplit/>
          <w:trHeight w:val="62"/>
        </w:trPr>
        <w:tc>
          <w:tcPr>
            <w:tcW w:w="537" w:type="dxa"/>
            <w:noWrap/>
            <w:tcMar>
              <w:top w:w="18" w:type="dxa"/>
              <w:left w:w="18" w:type="dxa"/>
              <w:bottom w:w="0" w:type="dxa"/>
              <w:right w:w="18" w:type="dxa"/>
            </w:tcMar>
            <w:vAlign w:val="bottom"/>
          </w:tcPr>
          <w:p w14:paraId="490E85B1" w14:textId="77777777" w:rsidR="00ED41A2" w:rsidRPr="00604C75" w:rsidRDefault="00ED41A2" w:rsidP="00ED41A2">
            <w:pPr>
              <w:spacing w:line="226" w:lineRule="auto"/>
              <w:rPr>
                <w:rFonts w:eastAsia="Arial Unicode MS"/>
                <w:b/>
                <w:bCs/>
                <w:noProof/>
                <w:sz w:val="16"/>
                <w:szCs w:val="16"/>
                <w:lang w:val="tr-TR"/>
              </w:rPr>
            </w:pPr>
            <w:r w:rsidRPr="00604C75">
              <w:rPr>
                <w:rFonts w:eastAsia="Arial Unicode MS"/>
                <w:b/>
                <w:bCs/>
                <w:noProof/>
                <w:sz w:val="16"/>
                <w:szCs w:val="16"/>
                <w:lang w:val="tr-TR"/>
              </w:rPr>
              <w:lastRenderedPageBreak/>
              <w:t>I.</w:t>
            </w:r>
          </w:p>
        </w:tc>
        <w:tc>
          <w:tcPr>
            <w:tcW w:w="4615" w:type="dxa"/>
            <w:noWrap/>
            <w:tcMar>
              <w:top w:w="18" w:type="dxa"/>
              <w:left w:w="18" w:type="dxa"/>
              <w:bottom w:w="0" w:type="dxa"/>
              <w:right w:w="18" w:type="dxa"/>
            </w:tcMar>
            <w:vAlign w:val="bottom"/>
          </w:tcPr>
          <w:p w14:paraId="4D2BB94E" w14:textId="2B1B1820" w:rsidR="00ED41A2" w:rsidRPr="00C26D33" w:rsidRDefault="00ED41A2" w:rsidP="00ED41A2">
            <w:pPr>
              <w:spacing w:line="226" w:lineRule="auto"/>
              <w:rPr>
                <w:b/>
                <w:bCs/>
                <w:noProof/>
                <w:sz w:val="14"/>
                <w:szCs w:val="14"/>
                <w:lang w:val="tr-TR"/>
              </w:rPr>
            </w:pPr>
            <w:r w:rsidRPr="00C26D33">
              <w:rPr>
                <w:b/>
                <w:bCs/>
                <w:noProof/>
                <w:sz w:val="14"/>
                <w:szCs w:val="14"/>
                <w:lang w:val="tr-TR"/>
              </w:rPr>
              <w:t>BALANCE</w:t>
            </w:r>
            <w:r w:rsidR="00D10E09" w:rsidRPr="00C26D33">
              <w:rPr>
                <w:b/>
                <w:bCs/>
                <w:noProof/>
                <w:sz w:val="14"/>
                <w:szCs w:val="14"/>
                <w:lang w:val="tr-TR"/>
              </w:rPr>
              <w:t xml:space="preserve"> </w:t>
            </w:r>
            <w:r w:rsidRPr="00C26D33">
              <w:rPr>
                <w:b/>
                <w:bCs/>
                <w:noProof/>
                <w:sz w:val="14"/>
                <w:szCs w:val="14"/>
                <w:lang w:val="tr-TR"/>
              </w:rPr>
              <w:t>SHEET</w:t>
            </w:r>
            <w:r w:rsidR="00C26D33" w:rsidRPr="00C26D33">
              <w:rPr>
                <w:b/>
                <w:bCs/>
                <w:noProof/>
                <w:sz w:val="14"/>
                <w:szCs w:val="14"/>
                <w:lang w:val="tr-TR"/>
              </w:rPr>
              <w:t xml:space="preserve"> </w:t>
            </w:r>
            <w:r w:rsidR="00F142CB" w:rsidRPr="00C26D33">
              <w:rPr>
                <w:b/>
                <w:bCs/>
                <w:noProof/>
                <w:sz w:val="14"/>
                <w:szCs w:val="14"/>
                <w:lang w:val="tr-TR"/>
              </w:rPr>
              <w:t xml:space="preserve">(STATEMENT OF FINANCIAL POSITION) </w:t>
            </w:r>
          </w:p>
        </w:tc>
        <w:tc>
          <w:tcPr>
            <w:tcW w:w="640" w:type="dxa"/>
            <w:noWrap/>
            <w:tcMar>
              <w:top w:w="18" w:type="dxa"/>
              <w:left w:w="18" w:type="dxa"/>
              <w:bottom w:w="0" w:type="dxa"/>
              <w:right w:w="18" w:type="dxa"/>
            </w:tcMar>
            <w:vAlign w:val="bottom"/>
          </w:tcPr>
          <w:p w14:paraId="2170D5A8" w14:textId="77777777" w:rsidR="00ED41A2" w:rsidRPr="00604C75" w:rsidRDefault="00ED41A2" w:rsidP="00ED41A2">
            <w:pPr>
              <w:spacing w:line="226" w:lineRule="auto"/>
              <w:jc w:val="center"/>
              <w:rPr>
                <w:rFonts w:eastAsia="Arial Unicode MS"/>
                <w:b/>
                <w:bCs/>
                <w:noProof/>
                <w:sz w:val="14"/>
                <w:szCs w:val="14"/>
                <w:lang w:val="tr-TR"/>
              </w:rPr>
            </w:pPr>
            <w:r w:rsidRPr="00604C75">
              <w:rPr>
                <w:b/>
                <w:bCs/>
                <w:noProof/>
                <w:sz w:val="14"/>
                <w:szCs w:val="14"/>
                <w:lang w:val="tr-TR"/>
              </w:rPr>
              <w:t>Note</w:t>
            </w:r>
          </w:p>
        </w:tc>
        <w:tc>
          <w:tcPr>
            <w:tcW w:w="2258" w:type="dxa"/>
            <w:gridSpan w:val="3"/>
            <w:vMerge w:val="restart"/>
            <w:tcBorders>
              <w:bottom w:val="single" w:sz="4" w:space="0" w:color="auto"/>
            </w:tcBorders>
            <w:noWrap/>
            <w:tcMar>
              <w:top w:w="18" w:type="dxa"/>
              <w:left w:w="18" w:type="dxa"/>
              <w:bottom w:w="0" w:type="dxa"/>
              <w:right w:w="18" w:type="dxa"/>
            </w:tcMar>
            <w:vAlign w:val="bottom"/>
          </w:tcPr>
          <w:p w14:paraId="00C14C3A" w14:textId="77777777" w:rsidR="00ED41A2" w:rsidRPr="00604C75" w:rsidRDefault="00D405BC">
            <w:pPr>
              <w:spacing w:line="226" w:lineRule="auto"/>
              <w:jc w:val="center"/>
              <w:rPr>
                <w:b/>
                <w:bCs/>
                <w:noProof/>
                <w:sz w:val="14"/>
                <w:szCs w:val="14"/>
                <w:lang w:val="tr-TR"/>
              </w:rPr>
            </w:pPr>
            <w:r>
              <w:rPr>
                <w:b/>
                <w:bCs/>
                <w:noProof/>
                <w:sz w:val="14"/>
                <w:szCs w:val="14"/>
                <w:lang w:val="tr-TR"/>
              </w:rPr>
              <w:t>3</w:t>
            </w:r>
            <w:r w:rsidR="005A2321">
              <w:rPr>
                <w:b/>
                <w:bCs/>
                <w:noProof/>
                <w:sz w:val="14"/>
                <w:szCs w:val="14"/>
                <w:lang w:val="tr-TR"/>
              </w:rPr>
              <w:t>1</w:t>
            </w:r>
            <w:r>
              <w:rPr>
                <w:b/>
                <w:bCs/>
                <w:noProof/>
                <w:sz w:val="14"/>
                <w:szCs w:val="14"/>
                <w:lang w:val="tr-TR"/>
              </w:rPr>
              <w:t xml:space="preserve"> </w:t>
            </w:r>
            <w:r w:rsidR="005A2321">
              <w:rPr>
                <w:b/>
                <w:bCs/>
                <w:noProof/>
                <w:sz w:val="14"/>
                <w:szCs w:val="14"/>
                <w:lang w:val="tr-TR"/>
              </w:rPr>
              <w:t xml:space="preserve">December </w:t>
            </w:r>
            <w:r w:rsidR="00B35753" w:rsidRPr="00604C75">
              <w:rPr>
                <w:b/>
                <w:bCs/>
                <w:noProof/>
                <w:sz w:val="14"/>
                <w:szCs w:val="14"/>
                <w:lang w:val="tr-TR"/>
              </w:rPr>
              <w:t>2015</w:t>
            </w:r>
          </w:p>
        </w:tc>
        <w:tc>
          <w:tcPr>
            <w:tcW w:w="2152" w:type="dxa"/>
            <w:gridSpan w:val="3"/>
            <w:vMerge w:val="restart"/>
            <w:tcBorders>
              <w:bottom w:val="single" w:sz="4" w:space="0" w:color="auto"/>
            </w:tcBorders>
            <w:noWrap/>
            <w:tcMar>
              <w:top w:w="18" w:type="dxa"/>
              <w:left w:w="18" w:type="dxa"/>
              <w:bottom w:w="0" w:type="dxa"/>
              <w:right w:w="18" w:type="dxa"/>
            </w:tcMar>
            <w:vAlign w:val="bottom"/>
          </w:tcPr>
          <w:p w14:paraId="1295F768" w14:textId="77777777" w:rsidR="00ED41A2" w:rsidRPr="00604C75" w:rsidRDefault="00ED41A2" w:rsidP="00ED41A2">
            <w:pPr>
              <w:spacing w:line="226" w:lineRule="auto"/>
              <w:jc w:val="center"/>
              <w:rPr>
                <w:b/>
                <w:bCs/>
                <w:noProof/>
                <w:sz w:val="14"/>
                <w:szCs w:val="14"/>
                <w:lang w:val="tr-TR"/>
              </w:rPr>
            </w:pPr>
            <w:r w:rsidRPr="00604C75">
              <w:rPr>
                <w:b/>
                <w:bCs/>
                <w:noProof/>
                <w:sz w:val="14"/>
                <w:szCs w:val="14"/>
                <w:lang w:val="tr-TR"/>
              </w:rPr>
              <w:t>31</w:t>
            </w:r>
            <w:r w:rsidR="00B35753" w:rsidRPr="00604C75">
              <w:rPr>
                <w:b/>
                <w:bCs/>
                <w:noProof/>
                <w:sz w:val="14"/>
                <w:szCs w:val="14"/>
                <w:lang w:val="tr-TR"/>
              </w:rPr>
              <w:t xml:space="preserve"> December 2014</w:t>
            </w:r>
          </w:p>
        </w:tc>
      </w:tr>
      <w:tr w:rsidR="00FF4CA2" w:rsidRPr="00604C75" w14:paraId="3E9BFA4F" w14:textId="77777777" w:rsidTr="00C26D33">
        <w:trPr>
          <w:cantSplit/>
          <w:trHeight w:val="62"/>
        </w:trPr>
        <w:tc>
          <w:tcPr>
            <w:tcW w:w="537" w:type="dxa"/>
            <w:noWrap/>
            <w:tcMar>
              <w:top w:w="18" w:type="dxa"/>
              <w:left w:w="18" w:type="dxa"/>
              <w:bottom w:w="0" w:type="dxa"/>
              <w:right w:w="18" w:type="dxa"/>
            </w:tcMar>
            <w:vAlign w:val="bottom"/>
          </w:tcPr>
          <w:p w14:paraId="42E7EBA3" w14:textId="77777777" w:rsidR="00FF4CA2" w:rsidRPr="00604C75" w:rsidRDefault="00FF4CA2" w:rsidP="00D67915">
            <w:pPr>
              <w:spacing w:line="226" w:lineRule="auto"/>
              <w:jc w:val="right"/>
              <w:rPr>
                <w:rFonts w:eastAsia="Arial Unicode MS"/>
                <w:b/>
                <w:bCs/>
                <w:noProof/>
                <w:sz w:val="14"/>
                <w:szCs w:val="14"/>
                <w:lang w:val="tr-TR"/>
              </w:rPr>
            </w:pPr>
          </w:p>
        </w:tc>
        <w:tc>
          <w:tcPr>
            <w:tcW w:w="4615" w:type="dxa"/>
            <w:noWrap/>
            <w:tcMar>
              <w:top w:w="18" w:type="dxa"/>
              <w:left w:w="18" w:type="dxa"/>
              <w:bottom w:w="0" w:type="dxa"/>
              <w:right w:w="18" w:type="dxa"/>
            </w:tcMar>
            <w:vAlign w:val="bottom"/>
          </w:tcPr>
          <w:p w14:paraId="5647A1BF" w14:textId="77777777" w:rsidR="00FF4CA2" w:rsidRPr="00604C75" w:rsidRDefault="00FF4CA2" w:rsidP="00D67915">
            <w:pPr>
              <w:spacing w:line="226" w:lineRule="auto"/>
              <w:rPr>
                <w:b/>
                <w:bCs/>
                <w:noProof/>
                <w:sz w:val="14"/>
                <w:szCs w:val="14"/>
                <w:lang w:val="tr-TR"/>
              </w:rPr>
            </w:pPr>
          </w:p>
        </w:tc>
        <w:tc>
          <w:tcPr>
            <w:tcW w:w="640" w:type="dxa"/>
            <w:noWrap/>
            <w:tcMar>
              <w:top w:w="18" w:type="dxa"/>
              <w:left w:w="18" w:type="dxa"/>
              <w:bottom w:w="0" w:type="dxa"/>
              <w:right w:w="18" w:type="dxa"/>
            </w:tcMar>
            <w:vAlign w:val="bottom"/>
          </w:tcPr>
          <w:p w14:paraId="1514F029" w14:textId="77777777" w:rsidR="00FF4CA2" w:rsidRPr="00604C75" w:rsidRDefault="00FF4CA2" w:rsidP="00D67915">
            <w:pPr>
              <w:spacing w:line="226" w:lineRule="auto"/>
              <w:jc w:val="center"/>
              <w:rPr>
                <w:rFonts w:eastAsia="Arial Unicode MS"/>
                <w:b/>
                <w:bCs/>
                <w:noProof/>
                <w:sz w:val="14"/>
                <w:szCs w:val="14"/>
                <w:lang w:val="tr-TR"/>
              </w:rPr>
            </w:pPr>
            <w:r w:rsidRPr="00604C75">
              <w:rPr>
                <w:rFonts w:eastAsia="Arial Unicode MS"/>
                <w:b/>
                <w:bCs/>
                <w:noProof/>
                <w:sz w:val="14"/>
                <w:szCs w:val="14"/>
                <w:lang w:val="tr-TR"/>
              </w:rPr>
              <w:t>(Section</w:t>
            </w:r>
          </w:p>
        </w:tc>
        <w:tc>
          <w:tcPr>
            <w:tcW w:w="2258" w:type="dxa"/>
            <w:gridSpan w:val="3"/>
            <w:vMerge/>
            <w:tcBorders>
              <w:bottom w:val="single" w:sz="4" w:space="0" w:color="auto"/>
            </w:tcBorders>
            <w:noWrap/>
            <w:tcMar>
              <w:top w:w="18" w:type="dxa"/>
              <w:left w:w="18" w:type="dxa"/>
              <w:bottom w:w="0" w:type="dxa"/>
              <w:right w:w="18" w:type="dxa"/>
            </w:tcMar>
            <w:vAlign w:val="bottom"/>
          </w:tcPr>
          <w:p w14:paraId="5F4E0B37" w14:textId="77777777" w:rsidR="00FF4CA2" w:rsidRPr="00604C75" w:rsidRDefault="00FF4CA2" w:rsidP="00D67915">
            <w:pPr>
              <w:spacing w:line="226" w:lineRule="auto"/>
              <w:jc w:val="right"/>
              <w:rPr>
                <w:b/>
                <w:bCs/>
                <w:noProof/>
                <w:sz w:val="14"/>
                <w:szCs w:val="14"/>
                <w:lang w:val="tr-TR"/>
              </w:rPr>
            </w:pPr>
          </w:p>
        </w:tc>
        <w:tc>
          <w:tcPr>
            <w:tcW w:w="2152" w:type="dxa"/>
            <w:gridSpan w:val="3"/>
            <w:vMerge/>
            <w:tcBorders>
              <w:bottom w:val="single" w:sz="4" w:space="0" w:color="auto"/>
            </w:tcBorders>
            <w:noWrap/>
            <w:tcMar>
              <w:top w:w="18" w:type="dxa"/>
              <w:left w:w="18" w:type="dxa"/>
              <w:bottom w:w="0" w:type="dxa"/>
              <w:right w:w="18" w:type="dxa"/>
            </w:tcMar>
            <w:vAlign w:val="bottom"/>
          </w:tcPr>
          <w:p w14:paraId="50113145" w14:textId="77777777" w:rsidR="00FF4CA2" w:rsidRPr="00604C75" w:rsidRDefault="00FF4CA2" w:rsidP="00D67915">
            <w:pPr>
              <w:spacing w:line="226" w:lineRule="auto"/>
              <w:jc w:val="right"/>
              <w:rPr>
                <w:b/>
                <w:bCs/>
                <w:noProof/>
                <w:sz w:val="14"/>
                <w:szCs w:val="14"/>
                <w:lang w:val="tr-TR"/>
              </w:rPr>
            </w:pPr>
          </w:p>
        </w:tc>
      </w:tr>
      <w:tr w:rsidR="00FF4CA2" w:rsidRPr="00604C75" w14:paraId="2FA2D164" w14:textId="77777777" w:rsidTr="00C26D33">
        <w:trPr>
          <w:trHeight w:val="62"/>
        </w:trPr>
        <w:tc>
          <w:tcPr>
            <w:tcW w:w="537" w:type="dxa"/>
            <w:noWrap/>
            <w:tcMar>
              <w:top w:w="18" w:type="dxa"/>
              <w:left w:w="18" w:type="dxa"/>
              <w:bottom w:w="0" w:type="dxa"/>
              <w:right w:w="18" w:type="dxa"/>
            </w:tcMar>
            <w:vAlign w:val="bottom"/>
          </w:tcPr>
          <w:p w14:paraId="00DE852A" w14:textId="77777777" w:rsidR="00FF4CA2" w:rsidRPr="00604C75" w:rsidRDefault="00FF4CA2" w:rsidP="00D67915">
            <w:pPr>
              <w:spacing w:line="226" w:lineRule="auto"/>
              <w:jc w:val="right"/>
              <w:rPr>
                <w:rFonts w:eastAsia="Arial Unicode MS"/>
                <w:b/>
                <w:bCs/>
                <w:noProof/>
                <w:sz w:val="14"/>
                <w:szCs w:val="14"/>
                <w:lang w:val="tr-TR"/>
              </w:rPr>
            </w:pPr>
          </w:p>
        </w:tc>
        <w:tc>
          <w:tcPr>
            <w:tcW w:w="4615" w:type="dxa"/>
            <w:noWrap/>
            <w:tcMar>
              <w:top w:w="18" w:type="dxa"/>
              <w:left w:w="18" w:type="dxa"/>
              <w:bottom w:w="0" w:type="dxa"/>
              <w:right w:w="18" w:type="dxa"/>
            </w:tcMar>
            <w:vAlign w:val="bottom"/>
          </w:tcPr>
          <w:p w14:paraId="73A75547" w14:textId="77777777" w:rsidR="00FF4CA2" w:rsidRPr="00604C75" w:rsidRDefault="00FF4CA2" w:rsidP="00D67915">
            <w:pPr>
              <w:spacing w:line="226" w:lineRule="auto"/>
              <w:rPr>
                <w:rFonts w:eastAsia="Arial Unicode MS"/>
                <w:b/>
                <w:bCs/>
                <w:noProof/>
                <w:sz w:val="14"/>
                <w:szCs w:val="14"/>
                <w:lang w:val="tr-TR"/>
              </w:rPr>
            </w:pPr>
            <w:r w:rsidRPr="00604C75">
              <w:rPr>
                <w:rFonts w:eastAsia="Arial Unicode MS"/>
                <w:b/>
                <w:bCs/>
                <w:noProof/>
                <w:sz w:val="14"/>
                <w:szCs w:val="14"/>
                <w:lang w:val="tr-TR"/>
              </w:rPr>
              <w:t>LIABILITIES</w:t>
            </w:r>
          </w:p>
        </w:tc>
        <w:tc>
          <w:tcPr>
            <w:tcW w:w="640" w:type="dxa"/>
            <w:noWrap/>
            <w:tcMar>
              <w:top w:w="18" w:type="dxa"/>
              <w:left w:w="18" w:type="dxa"/>
              <w:bottom w:w="0" w:type="dxa"/>
              <w:right w:w="18" w:type="dxa"/>
            </w:tcMar>
            <w:vAlign w:val="bottom"/>
          </w:tcPr>
          <w:p w14:paraId="757F6766" w14:textId="77777777" w:rsidR="00FF4CA2" w:rsidRPr="00604C75" w:rsidRDefault="00FF4CA2" w:rsidP="00D67915">
            <w:pPr>
              <w:spacing w:line="226" w:lineRule="auto"/>
              <w:jc w:val="center"/>
              <w:rPr>
                <w:rFonts w:eastAsia="Arial Unicode MS"/>
                <w:b/>
                <w:bCs/>
                <w:noProof/>
                <w:sz w:val="14"/>
                <w:szCs w:val="14"/>
                <w:lang w:val="tr-TR"/>
              </w:rPr>
            </w:pPr>
            <w:r w:rsidRPr="00604C75">
              <w:rPr>
                <w:rFonts w:eastAsia="Arial Unicode MS"/>
                <w:b/>
                <w:bCs/>
                <w:noProof/>
                <w:sz w:val="14"/>
                <w:szCs w:val="14"/>
                <w:lang w:val="tr-TR"/>
              </w:rPr>
              <w:t>Five)</w:t>
            </w:r>
          </w:p>
        </w:tc>
        <w:tc>
          <w:tcPr>
            <w:tcW w:w="779" w:type="dxa"/>
            <w:tcBorders>
              <w:top w:val="single" w:sz="4" w:space="0" w:color="auto"/>
              <w:bottom w:val="single" w:sz="4" w:space="0" w:color="auto"/>
            </w:tcBorders>
            <w:noWrap/>
            <w:tcMar>
              <w:top w:w="18" w:type="dxa"/>
              <w:left w:w="18" w:type="dxa"/>
              <w:bottom w:w="0" w:type="dxa"/>
              <w:right w:w="18" w:type="dxa"/>
            </w:tcMar>
            <w:vAlign w:val="bottom"/>
          </w:tcPr>
          <w:p w14:paraId="33AE9AEF" w14:textId="77777777"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TL</w:t>
            </w:r>
          </w:p>
        </w:tc>
        <w:tc>
          <w:tcPr>
            <w:tcW w:w="759" w:type="dxa"/>
            <w:tcBorders>
              <w:top w:val="single" w:sz="4" w:space="0" w:color="auto"/>
              <w:bottom w:val="single" w:sz="4" w:space="0" w:color="auto"/>
            </w:tcBorders>
            <w:noWrap/>
            <w:tcMar>
              <w:top w:w="18" w:type="dxa"/>
              <w:left w:w="18" w:type="dxa"/>
              <w:bottom w:w="0" w:type="dxa"/>
              <w:right w:w="18" w:type="dxa"/>
            </w:tcMar>
            <w:vAlign w:val="bottom"/>
          </w:tcPr>
          <w:p w14:paraId="4C7A856F" w14:textId="77777777"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FC</w:t>
            </w:r>
          </w:p>
        </w:tc>
        <w:tc>
          <w:tcPr>
            <w:tcW w:w="720" w:type="dxa"/>
            <w:tcBorders>
              <w:top w:val="single" w:sz="4" w:space="0" w:color="auto"/>
              <w:bottom w:val="single" w:sz="4" w:space="0" w:color="auto"/>
            </w:tcBorders>
            <w:noWrap/>
            <w:tcMar>
              <w:top w:w="18" w:type="dxa"/>
              <w:left w:w="18" w:type="dxa"/>
              <w:bottom w:w="0" w:type="dxa"/>
              <w:right w:w="18" w:type="dxa"/>
            </w:tcMar>
            <w:vAlign w:val="bottom"/>
          </w:tcPr>
          <w:p w14:paraId="135DDF86" w14:textId="77777777"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Total</w:t>
            </w:r>
          </w:p>
        </w:tc>
        <w:tc>
          <w:tcPr>
            <w:tcW w:w="733" w:type="dxa"/>
            <w:tcBorders>
              <w:top w:val="single" w:sz="4" w:space="0" w:color="auto"/>
              <w:bottom w:val="single" w:sz="4" w:space="0" w:color="auto"/>
            </w:tcBorders>
            <w:noWrap/>
            <w:tcMar>
              <w:top w:w="18" w:type="dxa"/>
              <w:left w:w="18" w:type="dxa"/>
              <w:bottom w:w="0" w:type="dxa"/>
              <w:right w:w="18" w:type="dxa"/>
            </w:tcMar>
            <w:vAlign w:val="bottom"/>
          </w:tcPr>
          <w:p w14:paraId="1354D63F" w14:textId="77777777"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TL</w:t>
            </w:r>
          </w:p>
        </w:tc>
        <w:tc>
          <w:tcPr>
            <w:tcW w:w="707" w:type="dxa"/>
            <w:tcBorders>
              <w:top w:val="single" w:sz="4" w:space="0" w:color="auto"/>
              <w:bottom w:val="single" w:sz="4" w:space="0" w:color="auto"/>
            </w:tcBorders>
            <w:noWrap/>
            <w:tcMar>
              <w:top w:w="18" w:type="dxa"/>
              <w:left w:w="18" w:type="dxa"/>
              <w:bottom w:w="0" w:type="dxa"/>
              <w:right w:w="18" w:type="dxa"/>
            </w:tcMar>
            <w:vAlign w:val="bottom"/>
          </w:tcPr>
          <w:p w14:paraId="38ABFC10" w14:textId="77777777"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FC</w:t>
            </w:r>
          </w:p>
        </w:tc>
        <w:tc>
          <w:tcPr>
            <w:tcW w:w="712" w:type="dxa"/>
            <w:tcBorders>
              <w:top w:val="single" w:sz="4" w:space="0" w:color="auto"/>
              <w:bottom w:val="single" w:sz="4" w:space="0" w:color="auto"/>
            </w:tcBorders>
            <w:noWrap/>
            <w:tcMar>
              <w:top w:w="18" w:type="dxa"/>
              <w:left w:w="18" w:type="dxa"/>
              <w:bottom w:w="0" w:type="dxa"/>
              <w:right w:w="18" w:type="dxa"/>
            </w:tcMar>
            <w:vAlign w:val="bottom"/>
          </w:tcPr>
          <w:p w14:paraId="38F1CF19" w14:textId="77777777" w:rsidR="00FF4CA2" w:rsidRPr="00604C75" w:rsidRDefault="00FF4CA2" w:rsidP="00D67915">
            <w:pPr>
              <w:spacing w:line="226" w:lineRule="auto"/>
              <w:ind w:left="-855" w:right="24"/>
              <w:jc w:val="right"/>
              <w:rPr>
                <w:rFonts w:eastAsia="Arial Unicode MS"/>
                <w:b/>
                <w:bCs/>
                <w:noProof/>
                <w:sz w:val="14"/>
                <w:szCs w:val="14"/>
                <w:lang w:val="tr-TR"/>
              </w:rPr>
            </w:pPr>
            <w:r w:rsidRPr="00604C75">
              <w:rPr>
                <w:rFonts w:eastAsia="Arial Unicode MS"/>
                <w:b/>
                <w:bCs/>
                <w:noProof/>
                <w:sz w:val="14"/>
                <w:szCs w:val="14"/>
                <w:lang w:val="tr-TR"/>
              </w:rPr>
              <w:t>Total</w:t>
            </w:r>
          </w:p>
        </w:tc>
      </w:tr>
      <w:tr w:rsidR="00224102" w:rsidRPr="00604C75" w14:paraId="6A5F2B73" w14:textId="77777777" w:rsidTr="00C26D33">
        <w:trPr>
          <w:trHeight w:val="230"/>
        </w:trPr>
        <w:tc>
          <w:tcPr>
            <w:tcW w:w="537" w:type="dxa"/>
            <w:noWrap/>
            <w:tcMar>
              <w:top w:w="18" w:type="dxa"/>
              <w:left w:w="18" w:type="dxa"/>
              <w:bottom w:w="0" w:type="dxa"/>
              <w:right w:w="18" w:type="dxa"/>
            </w:tcMar>
            <w:vAlign w:val="bottom"/>
          </w:tcPr>
          <w:p w14:paraId="1447C4F8" w14:textId="77777777" w:rsidR="00224102" w:rsidRPr="00604C75" w:rsidRDefault="00224102" w:rsidP="00224102">
            <w:pPr>
              <w:spacing w:line="226" w:lineRule="auto"/>
              <w:rPr>
                <w:b/>
                <w:bCs/>
                <w:noProof/>
                <w:sz w:val="14"/>
                <w:szCs w:val="14"/>
                <w:lang w:val="tr-TR"/>
              </w:rPr>
            </w:pPr>
            <w:r w:rsidRPr="00604C75">
              <w:rPr>
                <w:b/>
                <w:bCs/>
                <w:noProof/>
                <w:sz w:val="14"/>
                <w:szCs w:val="14"/>
                <w:lang w:val="tr-TR"/>
              </w:rPr>
              <w:t>I.</w:t>
            </w:r>
          </w:p>
        </w:tc>
        <w:tc>
          <w:tcPr>
            <w:tcW w:w="4615" w:type="dxa"/>
            <w:noWrap/>
            <w:tcMar>
              <w:top w:w="18" w:type="dxa"/>
              <w:left w:w="18" w:type="dxa"/>
              <w:bottom w:w="0" w:type="dxa"/>
              <w:right w:w="18" w:type="dxa"/>
            </w:tcMar>
            <w:vAlign w:val="bottom"/>
          </w:tcPr>
          <w:p w14:paraId="205C1731" w14:textId="77777777" w:rsidR="00224102" w:rsidRPr="00604C75" w:rsidRDefault="00224102" w:rsidP="00224102">
            <w:pPr>
              <w:spacing w:line="226" w:lineRule="auto"/>
              <w:rPr>
                <w:rFonts w:eastAsia="Arial Unicode MS"/>
                <w:b/>
                <w:bCs/>
                <w:noProof/>
                <w:sz w:val="14"/>
                <w:szCs w:val="14"/>
                <w:lang w:val="tr-TR"/>
              </w:rPr>
            </w:pPr>
            <w:r w:rsidRPr="00604C75">
              <w:rPr>
                <w:b/>
                <w:bCs/>
                <w:noProof/>
                <w:sz w:val="14"/>
                <w:szCs w:val="14"/>
                <w:lang w:val="tr-TR"/>
              </w:rPr>
              <w:t xml:space="preserve">DEPOSITS  </w:t>
            </w:r>
          </w:p>
        </w:tc>
        <w:tc>
          <w:tcPr>
            <w:tcW w:w="640" w:type="dxa"/>
            <w:noWrap/>
            <w:tcMar>
              <w:top w:w="18" w:type="dxa"/>
              <w:left w:w="18" w:type="dxa"/>
              <w:bottom w:w="0" w:type="dxa"/>
              <w:right w:w="18" w:type="dxa"/>
            </w:tcMar>
            <w:vAlign w:val="bottom"/>
          </w:tcPr>
          <w:p w14:paraId="07F27604" w14:textId="0B0A2278"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II-a</w:t>
            </w:r>
          </w:p>
        </w:tc>
        <w:tc>
          <w:tcPr>
            <w:tcW w:w="779" w:type="dxa"/>
            <w:tcBorders>
              <w:top w:val="single" w:sz="4" w:space="0" w:color="auto"/>
            </w:tcBorders>
            <w:noWrap/>
            <w:tcMar>
              <w:top w:w="18" w:type="dxa"/>
              <w:left w:w="18" w:type="dxa"/>
              <w:bottom w:w="0" w:type="dxa"/>
              <w:right w:w="18" w:type="dxa"/>
            </w:tcMar>
            <w:vAlign w:val="bottom"/>
          </w:tcPr>
          <w:p w14:paraId="7BA6284E" w14:textId="0F3785EF" w:rsidR="00224102" w:rsidRPr="00850582" w:rsidRDefault="00224102" w:rsidP="00224102">
            <w:pPr>
              <w:jc w:val="right"/>
              <w:rPr>
                <w:b/>
                <w:bCs/>
                <w:sz w:val="14"/>
                <w:szCs w:val="14"/>
              </w:rPr>
            </w:pPr>
            <w:r w:rsidRPr="00850582">
              <w:rPr>
                <w:b/>
                <w:bCs/>
                <w:sz w:val="14"/>
                <w:szCs w:val="14"/>
              </w:rPr>
              <w:t>3,410,988</w:t>
            </w:r>
          </w:p>
        </w:tc>
        <w:tc>
          <w:tcPr>
            <w:tcW w:w="759" w:type="dxa"/>
            <w:tcBorders>
              <w:top w:val="single" w:sz="4" w:space="0" w:color="auto"/>
            </w:tcBorders>
            <w:noWrap/>
            <w:tcMar>
              <w:top w:w="18" w:type="dxa"/>
              <w:left w:w="18" w:type="dxa"/>
              <w:bottom w:w="0" w:type="dxa"/>
              <w:right w:w="18" w:type="dxa"/>
            </w:tcMar>
            <w:vAlign w:val="bottom"/>
          </w:tcPr>
          <w:p w14:paraId="306522A9" w14:textId="59720425" w:rsidR="00224102" w:rsidRPr="00850582" w:rsidRDefault="00224102" w:rsidP="00224102">
            <w:pPr>
              <w:jc w:val="right"/>
              <w:rPr>
                <w:b/>
                <w:bCs/>
                <w:sz w:val="14"/>
                <w:szCs w:val="14"/>
              </w:rPr>
            </w:pPr>
            <w:r w:rsidRPr="00850582">
              <w:rPr>
                <w:b/>
                <w:bCs/>
                <w:sz w:val="14"/>
                <w:szCs w:val="14"/>
              </w:rPr>
              <w:t>2,827,495</w:t>
            </w:r>
          </w:p>
        </w:tc>
        <w:tc>
          <w:tcPr>
            <w:tcW w:w="720" w:type="dxa"/>
            <w:tcBorders>
              <w:top w:val="single" w:sz="4" w:space="0" w:color="auto"/>
            </w:tcBorders>
            <w:noWrap/>
            <w:tcMar>
              <w:top w:w="18" w:type="dxa"/>
              <w:left w:w="18" w:type="dxa"/>
              <w:bottom w:w="0" w:type="dxa"/>
              <w:right w:w="18" w:type="dxa"/>
            </w:tcMar>
            <w:vAlign w:val="bottom"/>
          </w:tcPr>
          <w:p w14:paraId="32EF7DA5" w14:textId="107F6259" w:rsidR="00224102" w:rsidRPr="00850582" w:rsidRDefault="00224102" w:rsidP="00224102">
            <w:pPr>
              <w:jc w:val="right"/>
              <w:rPr>
                <w:b/>
                <w:bCs/>
                <w:sz w:val="14"/>
                <w:szCs w:val="14"/>
              </w:rPr>
            </w:pPr>
            <w:r w:rsidRPr="00850582">
              <w:rPr>
                <w:b/>
                <w:bCs/>
                <w:sz w:val="14"/>
                <w:szCs w:val="14"/>
              </w:rPr>
              <w:t>6,238,483</w:t>
            </w:r>
          </w:p>
        </w:tc>
        <w:tc>
          <w:tcPr>
            <w:tcW w:w="733" w:type="dxa"/>
            <w:tcBorders>
              <w:top w:val="single" w:sz="4" w:space="0" w:color="auto"/>
            </w:tcBorders>
            <w:noWrap/>
            <w:tcMar>
              <w:top w:w="18" w:type="dxa"/>
              <w:left w:w="18" w:type="dxa"/>
              <w:bottom w:w="0" w:type="dxa"/>
              <w:right w:w="18" w:type="dxa"/>
            </w:tcMar>
            <w:vAlign w:val="bottom"/>
          </w:tcPr>
          <w:p w14:paraId="28B3EB06" w14:textId="6E15D0B7" w:rsidR="00224102" w:rsidRPr="00692926" w:rsidRDefault="00224102" w:rsidP="00224102">
            <w:pPr>
              <w:jc w:val="right"/>
              <w:rPr>
                <w:b/>
                <w:sz w:val="14"/>
                <w:szCs w:val="14"/>
              </w:rPr>
            </w:pPr>
            <w:r w:rsidRPr="00692926">
              <w:rPr>
                <w:b/>
                <w:sz w:val="14"/>
                <w:szCs w:val="14"/>
              </w:rPr>
              <w:t>3,940,146</w:t>
            </w:r>
          </w:p>
        </w:tc>
        <w:tc>
          <w:tcPr>
            <w:tcW w:w="707" w:type="dxa"/>
            <w:tcBorders>
              <w:top w:val="single" w:sz="4" w:space="0" w:color="auto"/>
            </w:tcBorders>
            <w:noWrap/>
            <w:tcMar>
              <w:top w:w="18" w:type="dxa"/>
              <w:left w:w="18" w:type="dxa"/>
              <w:bottom w:w="0" w:type="dxa"/>
              <w:right w:w="18" w:type="dxa"/>
            </w:tcMar>
            <w:vAlign w:val="bottom"/>
          </w:tcPr>
          <w:p w14:paraId="194C14FB" w14:textId="2ED45930" w:rsidR="00224102" w:rsidRPr="00692926" w:rsidRDefault="00224102" w:rsidP="00224102">
            <w:pPr>
              <w:jc w:val="right"/>
              <w:rPr>
                <w:b/>
                <w:sz w:val="14"/>
                <w:szCs w:val="14"/>
              </w:rPr>
            </w:pPr>
            <w:r w:rsidRPr="00692926">
              <w:rPr>
                <w:b/>
                <w:sz w:val="14"/>
                <w:szCs w:val="14"/>
              </w:rPr>
              <w:t>1,712,425</w:t>
            </w:r>
          </w:p>
        </w:tc>
        <w:tc>
          <w:tcPr>
            <w:tcW w:w="712" w:type="dxa"/>
            <w:tcBorders>
              <w:top w:val="single" w:sz="4" w:space="0" w:color="auto"/>
            </w:tcBorders>
            <w:noWrap/>
            <w:tcMar>
              <w:top w:w="18" w:type="dxa"/>
              <w:left w:w="18" w:type="dxa"/>
              <w:bottom w:w="0" w:type="dxa"/>
              <w:right w:w="18" w:type="dxa"/>
            </w:tcMar>
            <w:vAlign w:val="bottom"/>
          </w:tcPr>
          <w:p w14:paraId="16CDA5D2" w14:textId="5914DC22" w:rsidR="00224102" w:rsidRPr="00692926" w:rsidRDefault="00224102" w:rsidP="00224102">
            <w:pPr>
              <w:jc w:val="right"/>
              <w:rPr>
                <w:b/>
                <w:sz w:val="14"/>
                <w:szCs w:val="14"/>
              </w:rPr>
            </w:pPr>
            <w:r w:rsidRPr="00692926">
              <w:rPr>
                <w:b/>
                <w:sz w:val="14"/>
                <w:szCs w:val="14"/>
              </w:rPr>
              <w:t>5,652,571</w:t>
            </w:r>
          </w:p>
        </w:tc>
      </w:tr>
      <w:tr w:rsidR="00224102" w:rsidRPr="00604C75" w14:paraId="7CF098B5" w14:textId="77777777" w:rsidTr="00C26D33">
        <w:trPr>
          <w:trHeight w:val="127"/>
        </w:trPr>
        <w:tc>
          <w:tcPr>
            <w:tcW w:w="537" w:type="dxa"/>
            <w:noWrap/>
            <w:tcMar>
              <w:top w:w="18" w:type="dxa"/>
              <w:left w:w="18" w:type="dxa"/>
              <w:bottom w:w="0" w:type="dxa"/>
              <w:right w:w="18" w:type="dxa"/>
            </w:tcMar>
            <w:vAlign w:val="bottom"/>
          </w:tcPr>
          <w:p w14:paraId="6012C387"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1.1</w:t>
            </w:r>
          </w:p>
        </w:tc>
        <w:tc>
          <w:tcPr>
            <w:tcW w:w="4615" w:type="dxa"/>
            <w:noWrap/>
            <w:tcMar>
              <w:top w:w="18" w:type="dxa"/>
              <w:left w:w="18" w:type="dxa"/>
              <w:bottom w:w="0" w:type="dxa"/>
              <w:right w:w="18" w:type="dxa"/>
            </w:tcMar>
            <w:vAlign w:val="bottom"/>
          </w:tcPr>
          <w:p w14:paraId="4AE3E956"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Deposits from Bank’s Risk Group</w:t>
            </w:r>
          </w:p>
        </w:tc>
        <w:tc>
          <w:tcPr>
            <w:tcW w:w="640" w:type="dxa"/>
            <w:noWrap/>
            <w:tcMar>
              <w:top w:w="18" w:type="dxa"/>
              <w:left w:w="18" w:type="dxa"/>
              <w:bottom w:w="0" w:type="dxa"/>
              <w:right w:w="18" w:type="dxa"/>
            </w:tcMar>
            <w:vAlign w:val="bottom"/>
          </w:tcPr>
          <w:p w14:paraId="247B532C" w14:textId="77777777" w:rsidR="00224102" w:rsidRPr="00604C75" w:rsidRDefault="00224102" w:rsidP="00224102">
            <w:pPr>
              <w:spacing w:line="226" w:lineRule="auto"/>
              <w:jc w:val="center"/>
              <w:rPr>
                <w:rFonts w:eastAsia="Arial Unicode MS"/>
                <w:b/>
                <w:sz w:val="14"/>
                <w:szCs w:val="14"/>
              </w:rPr>
            </w:pPr>
          </w:p>
        </w:tc>
        <w:tc>
          <w:tcPr>
            <w:tcW w:w="779" w:type="dxa"/>
            <w:noWrap/>
            <w:tcMar>
              <w:top w:w="18" w:type="dxa"/>
              <w:left w:w="18" w:type="dxa"/>
              <w:bottom w:w="0" w:type="dxa"/>
              <w:right w:w="18" w:type="dxa"/>
            </w:tcMar>
            <w:vAlign w:val="bottom"/>
          </w:tcPr>
          <w:p w14:paraId="2A328B0A" w14:textId="16EFE85D" w:rsidR="00224102" w:rsidRPr="00850582" w:rsidRDefault="00224102" w:rsidP="00224102">
            <w:pPr>
              <w:jc w:val="right"/>
              <w:rPr>
                <w:sz w:val="14"/>
                <w:szCs w:val="14"/>
              </w:rPr>
            </w:pPr>
            <w:r w:rsidRPr="00850582">
              <w:rPr>
                <w:sz w:val="14"/>
                <w:szCs w:val="14"/>
              </w:rPr>
              <w:t>238,127</w:t>
            </w:r>
          </w:p>
        </w:tc>
        <w:tc>
          <w:tcPr>
            <w:tcW w:w="759" w:type="dxa"/>
            <w:noWrap/>
            <w:tcMar>
              <w:top w:w="18" w:type="dxa"/>
              <w:left w:w="18" w:type="dxa"/>
              <w:bottom w:w="0" w:type="dxa"/>
              <w:right w:w="18" w:type="dxa"/>
            </w:tcMar>
            <w:vAlign w:val="bottom"/>
          </w:tcPr>
          <w:p w14:paraId="700CC01E" w14:textId="211115B6" w:rsidR="00224102" w:rsidRPr="00850582" w:rsidRDefault="00224102" w:rsidP="00224102">
            <w:pPr>
              <w:jc w:val="right"/>
              <w:rPr>
                <w:sz w:val="14"/>
                <w:szCs w:val="14"/>
              </w:rPr>
            </w:pPr>
            <w:r w:rsidRPr="00850582">
              <w:rPr>
                <w:sz w:val="14"/>
                <w:szCs w:val="14"/>
              </w:rPr>
              <w:t>112,564</w:t>
            </w:r>
          </w:p>
        </w:tc>
        <w:tc>
          <w:tcPr>
            <w:tcW w:w="720" w:type="dxa"/>
            <w:noWrap/>
            <w:tcMar>
              <w:top w:w="18" w:type="dxa"/>
              <w:left w:w="18" w:type="dxa"/>
              <w:bottom w:w="0" w:type="dxa"/>
              <w:right w:w="18" w:type="dxa"/>
            </w:tcMar>
            <w:vAlign w:val="bottom"/>
          </w:tcPr>
          <w:p w14:paraId="343335A9" w14:textId="28E50439" w:rsidR="00224102" w:rsidRPr="00850582" w:rsidRDefault="00224102" w:rsidP="00224102">
            <w:pPr>
              <w:jc w:val="right"/>
              <w:rPr>
                <w:sz w:val="14"/>
                <w:szCs w:val="14"/>
              </w:rPr>
            </w:pPr>
            <w:r w:rsidRPr="00850582">
              <w:rPr>
                <w:sz w:val="14"/>
                <w:szCs w:val="14"/>
              </w:rPr>
              <w:t>350,691</w:t>
            </w:r>
          </w:p>
        </w:tc>
        <w:tc>
          <w:tcPr>
            <w:tcW w:w="733" w:type="dxa"/>
            <w:noWrap/>
            <w:tcMar>
              <w:top w:w="18" w:type="dxa"/>
              <w:left w:w="18" w:type="dxa"/>
              <w:bottom w:w="0" w:type="dxa"/>
              <w:right w:w="18" w:type="dxa"/>
            </w:tcMar>
            <w:vAlign w:val="bottom"/>
          </w:tcPr>
          <w:p w14:paraId="2B9E6A7D" w14:textId="49C2AD32" w:rsidR="00224102" w:rsidRPr="00692926" w:rsidRDefault="00224102" w:rsidP="00224102">
            <w:pPr>
              <w:jc w:val="right"/>
              <w:rPr>
                <w:sz w:val="14"/>
                <w:szCs w:val="14"/>
              </w:rPr>
            </w:pPr>
            <w:r w:rsidRPr="00692926">
              <w:rPr>
                <w:sz w:val="14"/>
                <w:szCs w:val="14"/>
              </w:rPr>
              <w:t>650,681</w:t>
            </w:r>
          </w:p>
        </w:tc>
        <w:tc>
          <w:tcPr>
            <w:tcW w:w="707" w:type="dxa"/>
            <w:noWrap/>
            <w:tcMar>
              <w:top w:w="18" w:type="dxa"/>
              <w:left w:w="18" w:type="dxa"/>
              <w:bottom w:w="0" w:type="dxa"/>
              <w:right w:w="18" w:type="dxa"/>
            </w:tcMar>
            <w:vAlign w:val="bottom"/>
          </w:tcPr>
          <w:p w14:paraId="77680BEF" w14:textId="2E27B89F" w:rsidR="00224102" w:rsidRPr="00692926" w:rsidRDefault="00224102" w:rsidP="00224102">
            <w:pPr>
              <w:jc w:val="right"/>
              <w:rPr>
                <w:sz w:val="14"/>
                <w:szCs w:val="14"/>
              </w:rPr>
            </w:pPr>
            <w:r w:rsidRPr="00692926">
              <w:rPr>
                <w:sz w:val="14"/>
                <w:szCs w:val="14"/>
              </w:rPr>
              <w:t>584,368</w:t>
            </w:r>
          </w:p>
        </w:tc>
        <w:tc>
          <w:tcPr>
            <w:tcW w:w="712" w:type="dxa"/>
            <w:noWrap/>
            <w:tcMar>
              <w:top w:w="18" w:type="dxa"/>
              <w:left w:w="18" w:type="dxa"/>
              <w:bottom w:w="0" w:type="dxa"/>
              <w:right w:w="18" w:type="dxa"/>
            </w:tcMar>
            <w:vAlign w:val="bottom"/>
          </w:tcPr>
          <w:p w14:paraId="6D9EB773" w14:textId="3F4F0C16" w:rsidR="00224102" w:rsidRPr="00692926" w:rsidRDefault="00224102" w:rsidP="00224102">
            <w:pPr>
              <w:jc w:val="right"/>
              <w:rPr>
                <w:sz w:val="14"/>
                <w:szCs w:val="14"/>
              </w:rPr>
            </w:pPr>
            <w:r w:rsidRPr="00692926">
              <w:rPr>
                <w:sz w:val="14"/>
                <w:szCs w:val="14"/>
              </w:rPr>
              <w:t>1,235,049</w:t>
            </w:r>
          </w:p>
        </w:tc>
      </w:tr>
      <w:tr w:rsidR="00224102" w:rsidRPr="00604C75" w14:paraId="0A46D495" w14:textId="77777777" w:rsidTr="00C26D33">
        <w:trPr>
          <w:trHeight w:val="127"/>
        </w:trPr>
        <w:tc>
          <w:tcPr>
            <w:tcW w:w="537" w:type="dxa"/>
            <w:noWrap/>
            <w:tcMar>
              <w:top w:w="18" w:type="dxa"/>
              <w:left w:w="18" w:type="dxa"/>
              <w:bottom w:w="0" w:type="dxa"/>
              <w:right w:w="18" w:type="dxa"/>
            </w:tcMar>
            <w:vAlign w:val="bottom"/>
          </w:tcPr>
          <w:p w14:paraId="351F412E" w14:textId="77777777" w:rsidR="00224102" w:rsidRPr="00604C75" w:rsidRDefault="00224102" w:rsidP="00224102">
            <w:pPr>
              <w:spacing w:line="226" w:lineRule="auto"/>
              <w:rPr>
                <w:bCs/>
                <w:noProof/>
                <w:sz w:val="14"/>
                <w:szCs w:val="14"/>
                <w:lang w:val="tr-TR"/>
              </w:rPr>
            </w:pPr>
            <w:r w:rsidRPr="00604C75">
              <w:rPr>
                <w:bCs/>
                <w:noProof/>
                <w:sz w:val="14"/>
                <w:szCs w:val="14"/>
                <w:lang w:val="tr-TR"/>
              </w:rPr>
              <w:t>1.2</w:t>
            </w:r>
          </w:p>
        </w:tc>
        <w:tc>
          <w:tcPr>
            <w:tcW w:w="4615" w:type="dxa"/>
            <w:noWrap/>
            <w:tcMar>
              <w:top w:w="18" w:type="dxa"/>
              <w:left w:w="18" w:type="dxa"/>
              <w:bottom w:w="0" w:type="dxa"/>
              <w:right w:w="18" w:type="dxa"/>
            </w:tcMar>
            <w:vAlign w:val="bottom"/>
          </w:tcPr>
          <w:p w14:paraId="0B144B12" w14:textId="77777777" w:rsidR="00224102" w:rsidRPr="00604C75" w:rsidRDefault="00224102" w:rsidP="00224102">
            <w:pPr>
              <w:spacing w:line="226" w:lineRule="auto"/>
              <w:rPr>
                <w:noProof/>
                <w:sz w:val="14"/>
                <w:szCs w:val="14"/>
                <w:lang w:val="tr-TR"/>
              </w:rPr>
            </w:pPr>
            <w:r w:rsidRPr="00604C75">
              <w:rPr>
                <w:noProof/>
                <w:sz w:val="14"/>
                <w:szCs w:val="14"/>
                <w:lang w:val="tr-TR"/>
              </w:rPr>
              <w:t>Other</w:t>
            </w:r>
          </w:p>
        </w:tc>
        <w:tc>
          <w:tcPr>
            <w:tcW w:w="640" w:type="dxa"/>
            <w:noWrap/>
            <w:tcMar>
              <w:top w:w="18" w:type="dxa"/>
              <w:left w:w="18" w:type="dxa"/>
              <w:bottom w:w="0" w:type="dxa"/>
              <w:right w:w="18" w:type="dxa"/>
            </w:tcMar>
            <w:vAlign w:val="bottom"/>
          </w:tcPr>
          <w:p w14:paraId="24909E59" w14:textId="77777777" w:rsidR="00224102" w:rsidRPr="00604C75" w:rsidRDefault="00224102" w:rsidP="00224102">
            <w:pPr>
              <w:spacing w:line="226" w:lineRule="auto"/>
              <w:jc w:val="center"/>
              <w:rPr>
                <w:rFonts w:eastAsia="Arial Unicode MS"/>
                <w:b/>
                <w:sz w:val="14"/>
                <w:szCs w:val="14"/>
              </w:rPr>
            </w:pPr>
          </w:p>
        </w:tc>
        <w:tc>
          <w:tcPr>
            <w:tcW w:w="779" w:type="dxa"/>
            <w:noWrap/>
            <w:tcMar>
              <w:top w:w="18" w:type="dxa"/>
              <w:left w:w="18" w:type="dxa"/>
              <w:bottom w:w="0" w:type="dxa"/>
              <w:right w:w="18" w:type="dxa"/>
            </w:tcMar>
            <w:vAlign w:val="bottom"/>
          </w:tcPr>
          <w:p w14:paraId="5B1787A2" w14:textId="596C25F3" w:rsidR="00224102" w:rsidRPr="00850582" w:rsidRDefault="00224102" w:rsidP="00224102">
            <w:pPr>
              <w:jc w:val="right"/>
              <w:rPr>
                <w:sz w:val="14"/>
                <w:szCs w:val="14"/>
              </w:rPr>
            </w:pPr>
            <w:r w:rsidRPr="00850582">
              <w:rPr>
                <w:sz w:val="14"/>
                <w:szCs w:val="14"/>
              </w:rPr>
              <w:t>3,172,861</w:t>
            </w:r>
          </w:p>
        </w:tc>
        <w:tc>
          <w:tcPr>
            <w:tcW w:w="759" w:type="dxa"/>
            <w:noWrap/>
            <w:tcMar>
              <w:top w:w="18" w:type="dxa"/>
              <w:left w:w="18" w:type="dxa"/>
              <w:bottom w:w="0" w:type="dxa"/>
              <w:right w:w="18" w:type="dxa"/>
            </w:tcMar>
            <w:vAlign w:val="bottom"/>
          </w:tcPr>
          <w:p w14:paraId="30BB40BF" w14:textId="738B5A1A" w:rsidR="00224102" w:rsidRPr="00850582" w:rsidRDefault="00224102" w:rsidP="00224102">
            <w:pPr>
              <w:jc w:val="right"/>
              <w:rPr>
                <w:sz w:val="14"/>
                <w:szCs w:val="14"/>
              </w:rPr>
            </w:pPr>
            <w:r w:rsidRPr="00850582">
              <w:rPr>
                <w:sz w:val="14"/>
                <w:szCs w:val="14"/>
              </w:rPr>
              <w:t>2,714,931</w:t>
            </w:r>
          </w:p>
        </w:tc>
        <w:tc>
          <w:tcPr>
            <w:tcW w:w="720" w:type="dxa"/>
            <w:noWrap/>
            <w:tcMar>
              <w:top w:w="18" w:type="dxa"/>
              <w:left w:w="18" w:type="dxa"/>
              <w:bottom w:w="0" w:type="dxa"/>
              <w:right w:w="18" w:type="dxa"/>
            </w:tcMar>
            <w:vAlign w:val="bottom"/>
          </w:tcPr>
          <w:p w14:paraId="1AAFB2A2" w14:textId="329587E1" w:rsidR="00224102" w:rsidRPr="00850582" w:rsidRDefault="00224102" w:rsidP="00224102">
            <w:pPr>
              <w:jc w:val="right"/>
              <w:rPr>
                <w:sz w:val="14"/>
                <w:szCs w:val="14"/>
              </w:rPr>
            </w:pPr>
            <w:r w:rsidRPr="00850582">
              <w:rPr>
                <w:sz w:val="14"/>
                <w:szCs w:val="14"/>
              </w:rPr>
              <w:t>5,887,792</w:t>
            </w:r>
          </w:p>
        </w:tc>
        <w:tc>
          <w:tcPr>
            <w:tcW w:w="733" w:type="dxa"/>
            <w:noWrap/>
            <w:tcMar>
              <w:top w:w="18" w:type="dxa"/>
              <w:left w:w="18" w:type="dxa"/>
              <w:bottom w:w="0" w:type="dxa"/>
              <w:right w:w="18" w:type="dxa"/>
            </w:tcMar>
            <w:vAlign w:val="bottom"/>
          </w:tcPr>
          <w:p w14:paraId="6164C31F" w14:textId="38EAD3D8" w:rsidR="00224102" w:rsidRPr="00692926" w:rsidRDefault="00224102" w:rsidP="00224102">
            <w:pPr>
              <w:jc w:val="right"/>
              <w:rPr>
                <w:sz w:val="14"/>
                <w:szCs w:val="14"/>
              </w:rPr>
            </w:pPr>
            <w:r w:rsidRPr="00692926">
              <w:rPr>
                <w:sz w:val="14"/>
                <w:szCs w:val="14"/>
              </w:rPr>
              <w:t>3,289,465</w:t>
            </w:r>
          </w:p>
        </w:tc>
        <w:tc>
          <w:tcPr>
            <w:tcW w:w="707" w:type="dxa"/>
            <w:noWrap/>
            <w:tcMar>
              <w:top w:w="18" w:type="dxa"/>
              <w:left w:w="18" w:type="dxa"/>
              <w:bottom w:w="0" w:type="dxa"/>
              <w:right w:w="18" w:type="dxa"/>
            </w:tcMar>
            <w:vAlign w:val="bottom"/>
          </w:tcPr>
          <w:p w14:paraId="719E6708" w14:textId="2BD18D50" w:rsidR="00224102" w:rsidRPr="00692926" w:rsidRDefault="00224102" w:rsidP="00224102">
            <w:pPr>
              <w:jc w:val="right"/>
              <w:rPr>
                <w:sz w:val="14"/>
                <w:szCs w:val="14"/>
              </w:rPr>
            </w:pPr>
            <w:r w:rsidRPr="00692926">
              <w:rPr>
                <w:sz w:val="14"/>
                <w:szCs w:val="14"/>
              </w:rPr>
              <w:t>1,128,057</w:t>
            </w:r>
          </w:p>
        </w:tc>
        <w:tc>
          <w:tcPr>
            <w:tcW w:w="712" w:type="dxa"/>
            <w:noWrap/>
            <w:tcMar>
              <w:top w:w="18" w:type="dxa"/>
              <w:left w:w="18" w:type="dxa"/>
              <w:bottom w:w="0" w:type="dxa"/>
              <w:right w:w="18" w:type="dxa"/>
            </w:tcMar>
            <w:vAlign w:val="bottom"/>
          </w:tcPr>
          <w:p w14:paraId="64E397E3" w14:textId="704C9D19" w:rsidR="00224102" w:rsidRPr="00692926" w:rsidRDefault="00224102" w:rsidP="00224102">
            <w:pPr>
              <w:jc w:val="right"/>
              <w:rPr>
                <w:sz w:val="14"/>
                <w:szCs w:val="14"/>
              </w:rPr>
            </w:pPr>
            <w:r w:rsidRPr="00692926">
              <w:rPr>
                <w:sz w:val="14"/>
                <w:szCs w:val="14"/>
              </w:rPr>
              <w:t>4,417,522</w:t>
            </w:r>
          </w:p>
        </w:tc>
      </w:tr>
      <w:tr w:rsidR="00224102" w:rsidRPr="00604C75" w14:paraId="3ADCE411" w14:textId="77777777" w:rsidTr="00C26D33">
        <w:trPr>
          <w:trHeight w:val="127"/>
        </w:trPr>
        <w:tc>
          <w:tcPr>
            <w:tcW w:w="537" w:type="dxa"/>
            <w:noWrap/>
            <w:tcMar>
              <w:top w:w="18" w:type="dxa"/>
              <w:left w:w="18" w:type="dxa"/>
              <w:bottom w:w="0" w:type="dxa"/>
              <w:right w:w="18" w:type="dxa"/>
            </w:tcMar>
            <w:vAlign w:val="bottom"/>
          </w:tcPr>
          <w:p w14:paraId="5A5607EF" w14:textId="77777777" w:rsidR="00224102" w:rsidRPr="00604C75" w:rsidRDefault="00224102" w:rsidP="00224102">
            <w:pPr>
              <w:spacing w:line="226" w:lineRule="auto"/>
              <w:rPr>
                <w:rFonts w:eastAsia="Arial Unicode MS"/>
                <w:noProof/>
                <w:sz w:val="14"/>
                <w:szCs w:val="14"/>
                <w:lang w:val="tr-TR"/>
              </w:rPr>
            </w:pPr>
            <w:r w:rsidRPr="00604C75">
              <w:rPr>
                <w:b/>
                <w:bCs/>
                <w:noProof/>
                <w:sz w:val="14"/>
                <w:szCs w:val="14"/>
                <w:lang w:val="tr-TR"/>
              </w:rPr>
              <w:t>II.</w:t>
            </w:r>
          </w:p>
        </w:tc>
        <w:tc>
          <w:tcPr>
            <w:tcW w:w="4615" w:type="dxa"/>
            <w:noWrap/>
            <w:tcMar>
              <w:top w:w="18" w:type="dxa"/>
              <w:left w:w="18" w:type="dxa"/>
              <w:bottom w:w="0" w:type="dxa"/>
              <w:right w:w="18" w:type="dxa"/>
            </w:tcMar>
            <w:vAlign w:val="bottom"/>
          </w:tcPr>
          <w:p w14:paraId="317B3152" w14:textId="77777777" w:rsidR="00224102" w:rsidRPr="00604C75" w:rsidRDefault="00224102" w:rsidP="00224102">
            <w:pPr>
              <w:spacing w:line="226" w:lineRule="auto"/>
              <w:rPr>
                <w:rFonts w:eastAsia="Arial Unicode MS"/>
                <w:b/>
                <w:noProof/>
                <w:sz w:val="14"/>
                <w:szCs w:val="14"/>
                <w:lang w:val="tr-TR"/>
              </w:rPr>
            </w:pPr>
            <w:r w:rsidRPr="00604C75">
              <w:rPr>
                <w:b/>
                <w:noProof/>
                <w:sz w:val="14"/>
                <w:szCs w:val="14"/>
                <w:lang w:val="tr-TR"/>
              </w:rPr>
              <w:t>DERIVATIVE FINANCIAL LIABILITIES HELD FOR TRADING</w:t>
            </w:r>
          </w:p>
        </w:tc>
        <w:tc>
          <w:tcPr>
            <w:tcW w:w="640" w:type="dxa"/>
            <w:noWrap/>
            <w:tcMar>
              <w:top w:w="18" w:type="dxa"/>
              <w:left w:w="18" w:type="dxa"/>
              <w:bottom w:w="0" w:type="dxa"/>
              <w:right w:w="18" w:type="dxa"/>
            </w:tcMar>
            <w:vAlign w:val="bottom"/>
          </w:tcPr>
          <w:p w14:paraId="5E1FD3EE" w14:textId="0543DFFA"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II-b</w:t>
            </w:r>
          </w:p>
        </w:tc>
        <w:tc>
          <w:tcPr>
            <w:tcW w:w="779" w:type="dxa"/>
            <w:noWrap/>
            <w:tcMar>
              <w:top w:w="18" w:type="dxa"/>
              <w:left w:w="18" w:type="dxa"/>
              <w:bottom w:w="0" w:type="dxa"/>
              <w:right w:w="18" w:type="dxa"/>
            </w:tcMar>
            <w:vAlign w:val="bottom"/>
          </w:tcPr>
          <w:p w14:paraId="061233B2" w14:textId="4BA5C98B" w:rsidR="00224102" w:rsidRPr="00850582" w:rsidRDefault="00224102" w:rsidP="00224102">
            <w:pPr>
              <w:jc w:val="right"/>
              <w:rPr>
                <w:b/>
                <w:bCs/>
                <w:sz w:val="14"/>
                <w:szCs w:val="14"/>
              </w:rPr>
            </w:pPr>
            <w:r w:rsidRPr="00850582">
              <w:rPr>
                <w:b/>
                <w:bCs/>
                <w:sz w:val="14"/>
                <w:szCs w:val="14"/>
              </w:rPr>
              <w:t>1,093</w:t>
            </w:r>
          </w:p>
        </w:tc>
        <w:tc>
          <w:tcPr>
            <w:tcW w:w="759" w:type="dxa"/>
            <w:noWrap/>
            <w:tcMar>
              <w:top w:w="18" w:type="dxa"/>
              <w:left w:w="18" w:type="dxa"/>
              <w:bottom w:w="0" w:type="dxa"/>
              <w:right w:w="18" w:type="dxa"/>
            </w:tcMar>
            <w:vAlign w:val="bottom"/>
          </w:tcPr>
          <w:p w14:paraId="0355EC2A" w14:textId="3A51BE0A" w:rsidR="00224102" w:rsidRPr="00850582" w:rsidRDefault="00224102" w:rsidP="00224102">
            <w:pPr>
              <w:jc w:val="right"/>
              <w:rPr>
                <w:b/>
                <w:bCs/>
                <w:sz w:val="14"/>
                <w:szCs w:val="14"/>
              </w:rPr>
            </w:pPr>
            <w:r w:rsidRPr="00850582">
              <w:rPr>
                <w:b/>
                <w:bCs/>
                <w:sz w:val="14"/>
                <w:szCs w:val="14"/>
              </w:rPr>
              <w:t>13,766</w:t>
            </w:r>
          </w:p>
        </w:tc>
        <w:tc>
          <w:tcPr>
            <w:tcW w:w="720" w:type="dxa"/>
            <w:noWrap/>
            <w:tcMar>
              <w:top w:w="18" w:type="dxa"/>
              <w:left w:w="18" w:type="dxa"/>
              <w:bottom w:w="0" w:type="dxa"/>
              <w:right w:w="18" w:type="dxa"/>
            </w:tcMar>
            <w:vAlign w:val="bottom"/>
          </w:tcPr>
          <w:p w14:paraId="1251B917" w14:textId="76FF4B1E" w:rsidR="00224102" w:rsidRPr="00850582" w:rsidRDefault="00224102" w:rsidP="00224102">
            <w:pPr>
              <w:jc w:val="right"/>
              <w:rPr>
                <w:b/>
                <w:bCs/>
                <w:sz w:val="14"/>
                <w:szCs w:val="14"/>
              </w:rPr>
            </w:pPr>
            <w:r w:rsidRPr="00850582">
              <w:rPr>
                <w:b/>
                <w:bCs/>
                <w:sz w:val="14"/>
                <w:szCs w:val="14"/>
              </w:rPr>
              <w:t>14,859</w:t>
            </w:r>
          </w:p>
        </w:tc>
        <w:tc>
          <w:tcPr>
            <w:tcW w:w="733" w:type="dxa"/>
            <w:noWrap/>
            <w:tcMar>
              <w:top w:w="18" w:type="dxa"/>
              <w:left w:w="18" w:type="dxa"/>
              <w:bottom w:w="0" w:type="dxa"/>
              <w:right w:w="18" w:type="dxa"/>
            </w:tcMar>
            <w:vAlign w:val="bottom"/>
          </w:tcPr>
          <w:p w14:paraId="643652D0" w14:textId="63CF62F4" w:rsidR="00224102" w:rsidRPr="00692926" w:rsidRDefault="00224102" w:rsidP="00224102">
            <w:pPr>
              <w:jc w:val="right"/>
              <w:rPr>
                <w:b/>
                <w:sz w:val="14"/>
                <w:szCs w:val="14"/>
              </w:rPr>
            </w:pPr>
            <w:r w:rsidRPr="00692926">
              <w:rPr>
                <w:b/>
                <w:sz w:val="14"/>
                <w:szCs w:val="14"/>
              </w:rPr>
              <w:t>2,406</w:t>
            </w:r>
          </w:p>
        </w:tc>
        <w:tc>
          <w:tcPr>
            <w:tcW w:w="707" w:type="dxa"/>
            <w:noWrap/>
            <w:tcMar>
              <w:top w:w="18" w:type="dxa"/>
              <w:left w:w="18" w:type="dxa"/>
              <w:bottom w:w="0" w:type="dxa"/>
              <w:right w:w="18" w:type="dxa"/>
            </w:tcMar>
            <w:vAlign w:val="bottom"/>
          </w:tcPr>
          <w:p w14:paraId="1313DCE4" w14:textId="6C1330CA" w:rsidR="00224102" w:rsidRPr="00692926" w:rsidRDefault="00224102" w:rsidP="00224102">
            <w:pPr>
              <w:jc w:val="right"/>
              <w:rPr>
                <w:b/>
                <w:sz w:val="14"/>
                <w:szCs w:val="14"/>
              </w:rPr>
            </w:pPr>
            <w:r w:rsidRPr="00692926">
              <w:rPr>
                <w:b/>
                <w:sz w:val="14"/>
                <w:szCs w:val="14"/>
              </w:rPr>
              <w:t>10,023</w:t>
            </w:r>
          </w:p>
        </w:tc>
        <w:tc>
          <w:tcPr>
            <w:tcW w:w="712" w:type="dxa"/>
            <w:noWrap/>
            <w:tcMar>
              <w:top w:w="18" w:type="dxa"/>
              <w:left w:w="18" w:type="dxa"/>
              <w:bottom w:w="0" w:type="dxa"/>
              <w:right w:w="18" w:type="dxa"/>
            </w:tcMar>
            <w:vAlign w:val="bottom"/>
          </w:tcPr>
          <w:p w14:paraId="7C0DDCCF" w14:textId="386C91C4" w:rsidR="00224102" w:rsidRPr="00692926" w:rsidRDefault="00224102" w:rsidP="00224102">
            <w:pPr>
              <w:jc w:val="right"/>
              <w:rPr>
                <w:b/>
                <w:sz w:val="14"/>
                <w:szCs w:val="14"/>
              </w:rPr>
            </w:pPr>
            <w:r w:rsidRPr="00692926">
              <w:rPr>
                <w:b/>
                <w:sz w:val="14"/>
                <w:szCs w:val="14"/>
              </w:rPr>
              <w:t>12,429</w:t>
            </w:r>
          </w:p>
        </w:tc>
      </w:tr>
      <w:tr w:rsidR="00224102" w:rsidRPr="00604C75" w14:paraId="12B6FC78" w14:textId="77777777" w:rsidTr="00C26D33">
        <w:trPr>
          <w:trHeight w:val="126"/>
        </w:trPr>
        <w:tc>
          <w:tcPr>
            <w:tcW w:w="537" w:type="dxa"/>
            <w:noWrap/>
            <w:tcMar>
              <w:top w:w="18" w:type="dxa"/>
              <w:left w:w="18" w:type="dxa"/>
              <w:bottom w:w="0" w:type="dxa"/>
              <w:right w:w="18" w:type="dxa"/>
            </w:tcMar>
            <w:vAlign w:val="bottom"/>
          </w:tcPr>
          <w:p w14:paraId="4726252F" w14:textId="77777777" w:rsidR="00224102" w:rsidRPr="00604C75" w:rsidRDefault="00224102" w:rsidP="00224102">
            <w:pPr>
              <w:spacing w:line="226" w:lineRule="auto"/>
              <w:rPr>
                <w:rFonts w:eastAsia="Arial Unicode MS"/>
                <w:b/>
                <w:noProof/>
                <w:sz w:val="14"/>
                <w:szCs w:val="14"/>
                <w:lang w:val="tr-TR"/>
              </w:rPr>
            </w:pPr>
            <w:r w:rsidRPr="00604C75">
              <w:rPr>
                <w:b/>
                <w:noProof/>
                <w:sz w:val="14"/>
                <w:szCs w:val="14"/>
                <w:lang w:val="tr-TR"/>
              </w:rPr>
              <w:t>III.</w:t>
            </w:r>
          </w:p>
        </w:tc>
        <w:tc>
          <w:tcPr>
            <w:tcW w:w="4615" w:type="dxa"/>
            <w:noWrap/>
            <w:tcMar>
              <w:top w:w="18" w:type="dxa"/>
              <w:left w:w="18" w:type="dxa"/>
              <w:bottom w:w="0" w:type="dxa"/>
              <w:right w:w="18" w:type="dxa"/>
            </w:tcMar>
            <w:vAlign w:val="bottom"/>
          </w:tcPr>
          <w:p w14:paraId="1D6D6114" w14:textId="77777777" w:rsidR="00224102" w:rsidRPr="00604C75" w:rsidRDefault="00224102" w:rsidP="00224102">
            <w:pPr>
              <w:spacing w:line="226" w:lineRule="auto"/>
              <w:rPr>
                <w:rFonts w:eastAsia="Arial Unicode MS"/>
                <w:b/>
                <w:noProof/>
                <w:sz w:val="14"/>
                <w:szCs w:val="14"/>
                <w:lang w:val="tr-TR"/>
              </w:rPr>
            </w:pPr>
            <w:r w:rsidRPr="00604C75">
              <w:rPr>
                <w:b/>
                <w:noProof/>
                <w:sz w:val="14"/>
                <w:szCs w:val="14"/>
                <w:lang w:val="tr-TR"/>
              </w:rPr>
              <w:t>FUNDS BORROWED</w:t>
            </w:r>
          </w:p>
        </w:tc>
        <w:tc>
          <w:tcPr>
            <w:tcW w:w="640" w:type="dxa"/>
            <w:noWrap/>
            <w:tcMar>
              <w:top w:w="18" w:type="dxa"/>
              <w:left w:w="18" w:type="dxa"/>
              <w:bottom w:w="0" w:type="dxa"/>
              <w:right w:w="18" w:type="dxa"/>
            </w:tcMar>
            <w:vAlign w:val="bottom"/>
          </w:tcPr>
          <w:p w14:paraId="0832106A" w14:textId="0CDF5545"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II-c</w:t>
            </w:r>
            <w:r w:rsidRPr="00692926" w:rsidDel="00231683">
              <w:rPr>
                <w:rFonts w:eastAsia="Arial Unicode MS"/>
                <w:b/>
                <w:sz w:val="14"/>
                <w:szCs w:val="14"/>
              </w:rPr>
              <w:t xml:space="preserve"> </w:t>
            </w:r>
          </w:p>
        </w:tc>
        <w:tc>
          <w:tcPr>
            <w:tcW w:w="779" w:type="dxa"/>
            <w:noWrap/>
            <w:tcMar>
              <w:top w:w="18" w:type="dxa"/>
              <w:left w:w="18" w:type="dxa"/>
              <w:bottom w:w="0" w:type="dxa"/>
              <w:right w:w="18" w:type="dxa"/>
            </w:tcMar>
            <w:vAlign w:val="bottom"/>
          </w:tcPr>
          <w:p w14:paraId="03AC6550" w14:textId="5DA24E25" w:rsidR="00224102" w:rsidRPr="00850582" w:rsidRDefault="00224102" w:rsidP="00224102">
            <w:pPr>
              <w:jc w:val="right"/>
              <w:rPr>
                <w:b/>
                <w:bCs/>
                <w:sz w:val="14"/>
                <w:szCs w:val="14"/>
              </w:rPr>
            </w:pPr>
            <w:r w:rsidRPr="00850582">
              <w:rPr>
                <w:b/>
                <w:bCs/>
                <w:sz w:val="14"/>
                <w:szCs w:val="14"/>
              </w:rPr>
              <w:t>125,343</w:t>
            </w:r>
          </w:p>
        </w:tc>
        <w:tc>
          <w:tcPr>
            <w:tcW w:w="759" w:type="dxa"/>
            <w:noWrap/>
            <w:tcMar>
              <w:top w:w="18" w:type="dxa"/>
              <w:left w:w="18" w:type="dxa"/>
              <w:bottom w:w="0" w:type="dxa"/>
              <w:right w:w="18" w:type="dxa"/>
            </w:tcMar>
            <w:vAlign w:val="bottom"/>
          </w:tcPr>
          <w:p w14:paraId="07B76763" w14:textId="394D425A" w:rsidR="00224102" w:rsidRPr="00850582" w:rsidRDefault="00224102" w:rsidP="00224102">
            <w:pPr>
              <w:jc w:val="right"/>
              <w:rPr>
                <w:b/>
                <w:bCs/>
                <w:sz w:val="14"/>
                <w:szCs w:val="14"/>
              </w:rPr>
            </w:pPr>
            <w:r w:rsidRPr="00850582">
              <w:rPr>
                <w:b/>
                <w:bCs/>
                <w:sz w:val="14"/>
                <w:szCs w:val="14"/>
              </w:rPr>
              <w:t>4,136,794</w:t>
            </w:r>
          </w:p>
        </w:tc>
        <w:tc>
          <w:tcPr>
            <w:tcW w:w="720" w:type="dxa"/>
            <w:noWrap/>
            <w:tcMar>
              <w:top w:w="18" w:type="dxa"/>
              <w:left w:w="18" w:type="dxa"/>
              <w:bottom w:w="0" w:type="dxa"/>
              <w:right w:w="18" w:type="dxa"/>
            </w:tcMar>
            <w:vAlign w:val="bottom"/>
          </w:tcPr>
          <w:p w14:paraId="2205F2B8" w14:textId="1E33337A" w:rsidR="00224102" w:rsidRPr="00850582" w:rsidRDefault="00224102" w:rsidP="00224102">
            <w:pPr>
              <w:jc w:val="right"/>
              <w:rPr>
                <w:b/>
                <w:bCs/>
                <w:sz w:val="14"/>
                <w:szCs w:val="14"/>
              </w:rPr>
            </w:pPr>
            <w:r w:rsidRPr="00850582">
              <w:rPr>
                <w:b/>
                <w:bCs/>
                <w:sz w:val="14"/>
                <w:szCs w:val="14"/>
              </w:rPr>
              <w:t>4,262,137</w:t>
            </w:r>
          </w:p>
        </w:tc>
        <w:tc>
          <w:tcPr>
            <w:tcW w:w="733" w:type="dxa"/>
            <w:noWrap/>
            <w:tcMar>
              <w:top w:w="18" w:type="dxa"/>
              <w:left w:w="18" w:type="dxa"/>
              <w:bottom w:w="0" w:type="dxa"/>
              <w:right w:w="18" w:type="dxa"/>
            </w:tcMar>
            <w:vAlign w:val="bottom"/>
          </w:tcPr>
          <w:p w14:paraId="593D47B2" w14:textId="1DF60461" w:rsidR="00224102" w:rsidRPr="00692926" w:rsidRDefault="00224102" w:rsidP="00224102">
            <w:pPr>
              <w:jc w:val="right"/>
              <w:rPr>
                <w:b/>
                <w:sz w:val="14"/>
                <w:szCs w:val="14"/>
              </w:rPr>
            </w:pPr>
            <w:r w:rsidRPr="00692926">
              <w:rPr>
                <w:b/>
                <w:sz w:val="14"/>
                <w:szCs w:val="14"/>
              </w:rPr>
              <w:t>137,120</w:t>
            </w:r>
          </w:p>
        </w:tc>
        <w:tc>
          <w:tcPr>
            <w:tcW w:w="707" w:type="dxa"/>
            <w:noWrap/>
            <w:tcMar>
              <w:top w:w="18" w:type="dxa"/>
              <w:left w:w="18" w:type="dxa"/>
              <w:bottom w:w="0" w:type="dxa"/>
              <w:right w:w="18" w:type="dxa"/>
            </w:tcMar>
            <w:vAlign w:val="bottom"/>
          </w:tcPr>
          <w:p w14:paraId="1EF4631D" w14:textId="24C12F3F" w:rsidR="00224102" w:rsidRPr="00692926" w:rsidRDefault="00224102" w:rsidP="00224102">
            <w:pPr>
              <w:jc w:val="right"/>
              <w:rPr>
                <w:b/>
                <w:sz w:val="14"/>
                <w:szCs w:val="14"/>
              </w:rPr>
            </w:pPr>
            <w:r w:rsidRPr="00692926">
              <w:rPr>
                <w:b/>
                <w:sz w:val="14"/>
                <w:szCs w:val="14"/>
              </w:rPr>
              <w:t>2,398,453</w:t>
            </w:r>
          </w:p>
        </w:tc>
        <w:tc>
          <w:tcPr>
            <w:tcW w:w="712" w:type="dxa"/>
            <w:noWrap/>
            <w:tcMar>
              <w:top w:w="18" w:type="dxa"/>
              <w:left w:w="18" w:type="dxa"/>
              <w:bottom w:w="0" w:type="dxa"/>
              <w:right w:w="18" w:type="dxa"/>
            </w:tcMar>
            <w:vAlign w:val="bottom"/>
          </w:tcPr>
          <w:p w14:paraId="208B1525" w14:textId="49AD9EA3" w:rsidR="00224102" w:rsidRPr="00692926" w:rsidRDefault="00224102" w:rsidP="00224102">
            <w:pPr>
              <w:jc w:val="right"/>
              <w:rPr>
                <w:b/>
                <w:sz w:val="14"/>
                <w:szCs w:val="14"/>
              </w:rPr>
            </w:pPr>
            <w:r w:rsidRPr="00692926">
              <w:rPr>
                <w:b/>
                <w:sz w:val="14"/>
                <w:szCs w:val="14"/>
              </w:rPr>
              <w:t>2,535,573</w:t>
            </w:r>
          </w:p>
        </w:tc>
      </w:tr>
      <w:tr w:rsidR="00224102" w:rsidRPr="00604C75" w14:paraId="6824AA90" w14:textId="77777777" w:rsidTr="00C26D33">
        <w:trPr>
          <w:trHeight w:val="110"/>
        </w:trPr>
        <w:tc>
          <w:tcPr>
            <w:tcW w:w="537" w:type="dxa"/>
            <w:noWrap/>
            <w:tcMar>
              <w:top w:w="18" w:type="dxa"/>
              <w:left w:w="18" w:type="dxa"/>
              <w:bottom w:w="0" w:type="dxa"/>
              <w:right w:w="18" w:type="dxa"/>
            </w:tcMar>
            <w:vAlign w:val="bottom"/>
          </w:tcPr>
          <w:p w14:paraId="11003AC6"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IV.</w:t>
            </w:r>
          </w:p>
        </w:tc>
        <w:tc>
          <w:tcPr>
            <w:tcW w:w="4615" w:type="dxa"/>
            <w:noWrap/>
            <w:tcMar>
              <w:top w:w="18" w:type="dxa"/>
              <w:left w:w="18" w:type="dxa"/>
              <w:bottom w:w="0" w:type="dxa"/>
              <w:right w:w="18" w:type="dxa"/>
            </w:tcMar>
            <w:vAlign w:val="bottom"/>
          </w:tcPr>
          <w:p w14:paraId="50DB73BA"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MONEY MARKET FUNDS</w:t>
            </w:r>
          </w:p>
        </w:tc>
        <w:tc>
          <w:tcPr>
            <w:tcW w:w="640" w:type="dxa"/>
            <w:noWrap/>
            <w:tcMar>
              <w:top w:w="18" w:type="dxa"/>
              <w:left w:w="18" w:type="dxa"/>
              <w:bottom w:w="0" w:type="dxa"/>
              <w:right w:w="18" w:type="dxa"/>
            </w:tcMar>
            <w:vAlign w:val="bottom"/>
          </w:tcPr>
          <w:p w14:paraId="0DF39073" w14:textId="44E09323"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53F93224" w14:textId="6BBB657E" w:rsidR="00224102" w:rsidRPr="00850582" w:rsidRDefault="00224102" w:rsidP="00224102">
            <w:pPr>
              <w:jc w:val="right"/>
              <w:rPr>
                <w:b/>
                <w:bCs/>
                <w:sz w:val="14"/>
                <w:szCs w:val="14"/>
              </w:rPr>
            </w:pPr>
            <w:r w:rsidRPr="00850582">
              <w:rPr>
                <w:b/>
                <w:bCs/>
                <w:sz w:val="14"/>
                <w:szCs w:val="14"/>
              </w:rPr>
              <w:t>242,379</w:t>
            </w:r>
          </w:p>
        </w:tc>
        <w:tc>
          <w:tcPr>
            <w:tcW w:w="759" w:type="dxa"/>
            <w:noWrap/>
            <w:tcMar>
              <w:top w:w="18" w:type="dxa"/>
              <w:left w:w="18" w:type="dxa"/>
              <w:bottom w:w="0" w:type="dxa"/>
              <w:right w:w="18" w:type="dxa"/>
            </w:tcMar>
            <w:vAlign w:val="bottom"/>
          </w:tcPr>
          <w:p w14:paraId="1A0568EB" w14:textId="7B05DC64" w:rsidR="00224102" w:rsidRPr="00850582" w:rsidRDefault="00224102" w:rsidP="00224102">
            <w:pPr>
              <w:jc w:val="right"/>
              <w:rPr>
                <w:b/>
                <w:bCs/>
                <w:sz w:val="14"/>
                <w:szCs w:val="14"/>
              </w:rPr>
            </w:pPr>
            <w:r w:rsidRPr="00850582">
              <w:rPr>
                <w:b/>
                <w:bCs/>
                <w:sz w:val="14"/>
                <w:szCs w:val="14"/>
              </w:rPr>
              <w:t>116,444</w:t>
            </w:r>
          </w:p>
        </w:tc>
        <w:tc>
          <w:tcPr>
            <w:tcW w:w="720" w:type="dxa"/>
            <w:noWrap/>
            <w:tcMar>
              <w:top w:w="18" w:type="dxa"/>
              <w:left w:w="18" w:type="dxa"/>
              <w:bottom w:w="0" w:type="dxa"/>
              <w:right w:w="18" w:type="dxa"/>
            </w:tcMar>
            <w:vAlign w:val="bottom"/>
          </w:tcPr>
          <w:p w14:paraId="5C96D10B" w14:textId="2CA5051D" w:rsidR="00224102" w:rsidRPr="00850582" w:rsidRDefault="00224102" w:rsidP="00224102">
            <w:pPr>
              <w:jc w:val="right"/>
              <w:rPr>
                <w:b/>
                <w:bCs/>
                <w:sz w:val="14"/>
                <w:szCs w:val="14"/>
              </w:rPr>
            </w:pPr>
            <w:r w:rsidRPr="00850582">
              <w:rPr>
                <w:b/>
                <w:bCs/>
                <w:sz w:val="14"/>
                <w:szCs w:val="14"/>
              </w:rPr>
              <w:t>358,823</w:t>
            </w:r>
          </w:p>
        </w:tc>
        <w:tc>
          <w:tcPr>
            <w:tcW w:w="733" w:type="dxa"/>
            <w:noWrap/>
            <w:tcMar>
              <w:top w:w="18" w:type="dxa"/>
              <w:left w:w="18" w:type="dxa"/>
              <w:bottom w:w="0" w:type="dxa"/>
              <w:right w:w="18" w:type="dxa"/>
            </w:tcMar>
            <w:vAlign w:val="bottom"/>
          </w:tcPr>
          <w:p w14:paraId="20DE6C63" w14:textId="1AEE6CB7" w:rsidR="00224102" w:rsidRPr="00692926" w:rsidRDefault="00224102" w:rsidP="00224102">
            <w:pPr>
              <w:jc w:val="right"/>
              <w:rPr>
                <w:b/>
                <w:sz w:val="14"/>
                <w:szCs w:val="14"/>
              </w:rPr>
            </w:pPr>
            <w:r w:rsidRPr="00692926">
              <w:rPr>
                <w:b/>
                <w:sz w:val="14"/>
                <w:szCs w:val="14"/>
              </w:rPr>
              <w:t>363,386</w:t>
            </w:r>
          </w:p>
        </w:tc>
        <w:tc>
          <w:tcPr>
            <w:tcW w:w="707" w:type="dxa"/>
            <w:noWrap/>
            <w:tcMar>
              <w:top w:w="18" w:type="dxa"/>
              <w:left w:w="18" w:type="dxa"/>
              <w:bottom w:w="0" w:type="dxa"/>
              <w:right w:w="18" w:type="dxa"/>
            </w:tcMar>
            <w:vAlign w:val="bottom"/>
          </w:tcPr>
          <w:p w14:paraId="0FF0E031" w14:textId="2C0B7AA7" w:rsidR="00224102" w:rsidRPr="00692926" w:rsidRDefault="00224102" w:rsidP="00224102">
            <w:pPr>
              <w:jc w:val="right"/>
              <w:rPr>
                <w:b/>
                <w:sz w:val="14"/>
                <w:szCs w:val="14"/>
              </w:rPr>
            </w:pPr>
            <w:r w:rsidRPr="00692926">
              <w:rPr>
                <w:b/>
                <w:sz w:val="14"/>
                <w:szCs w:val="14"/>
              </w:rPr>
              <w:t>82,101</w:t>
            </w:r>
          </w:p>
        </w:tc>
        <w:tc>
          <w:tcPr>
            <w:tcW w:w="712" w:type="dxa"/>
            <w:noWrap/>
            <w:tcMar>
              <w:top w:w="18" w:type="dxa"/>
              <w:left w:w="18" w:type="dxa"/>
              <w:bottom w:w="0" w:type="dxa"/>
              <w:right w:w="18" w:type="dxa"/>
            </w:tcMar>
            <w:vAlign w:val="bottom"/>
          </w:tcPr>
          <w:p w14:paraId="26D5838E" w14:textId="281B3AB9" w:rsidR="00224102" w:rsidRPr="00692926" w:rsidRDefault="00224102" w:rsidP="00224102">
            <w:pPr>
              <w:jc w:val="right"/>
              <w:rPr>
                <w:b/>
                <w:sz w:val="14"/>
                <w:szCs w:val="14"/>
              </w:rPr>
            </w:pPr>
            <w:r w:rsidRPr="00692926">
              <w:rPr>
                <w:b/>
                <w:sz w:val="14"/>
                <w:szCs w:val="14"/>
              </w:rPr>
              <w:t>445,487</w:t>
            </w:r>
          </w:p>
        </w:tc>
      </w:tr>
      <w:tr w:rsidR="00224102" w:rsidRPr="00604C75" w14:paraId="065F1469" w14:textId="77777777" w:rsidTr="00C26D33">
        <w:trPr>
          <w:trHeight w:val="121"/>
        </w:trPr>
        <w:tc>
          <w:tcPr>
            <w:tcW w:w="537" w:type="dxa"/>
            <w:noWrap/>
            <w:tcMar>
              <w:top w:w="18" w:type="dxa"/>
              <w:left w:w="18" w:type="dxa"/>
              <w:bottom w:w="0" w:type="dxa"/>
              <w:right w:w="18" w:type="dxa"/>
            </w:tcMar>
            <w:vAlign w:val="bottom"/>
          </w:tcPr>
          <w:p w14:paraId="61B03731"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4.1</w:t>
            </w:r>
          </w:p>
        </w:tc>
        <w:tc>
          <w:tcPr>
            <w:tcW w:w="4615" w:type="dxa"/>
            <w:noWrap/>
            <w:tcMar>
              <w:top w:w="18" w:type="dxa"/>
              <w:left w:w="18" w:type="dxa"/>
              <w:bottom w:w="0" w:type="dxa"/>
              <w:right w:w="18" w:type="dxa"/>
            </w:tcMar>
            <w:vAlign w:val="bottom"/>
          </w:tcPr>
          <w:p w14:paraId="40424DAF"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Funds from Interbank Money Market</w:t>
            </w:r>
          </w:p>
        </w:tc>
        <w:tc>
          <w:tcPr>
            <w:tcW w:w="640" w:type="dxa"/>
            <w:noWrap/>
            <w:tcMar>
              <w:top w:w="18" w:type="dxa"/>
              <w:left w:w="18" w:type="dxa"/>
              <w:bottom w:w="0" w:type="dxa"/>
              <w:right w:w="18" w:type="dxa"/>
            </w:tcMar>
            <w:vAlign w:val="bottom"/>
          </w:tcPr>
          <w:p w14:paraId="4AAB0838" w14:textId="2BC95729"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1E67176D" w14:textId="5A57FFF9"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73FA6438" w14:textId="1640CA46"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67E3BE50" w14:textId="6B88343D"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2708FA93" w14:textId="01FB3EBF"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1E81A861" w14:textId="672D160E"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6F2555F2" w14:textId="5EE3721C" w:rsidR="00224102" w:rsidRPr="00692926" w:rsidRDefault="00224102" w:rsidP="00224102">
            <w:pPr>
              <w:jc w:val="right"/>
              <w:rPr>
                <w:sz w:val="14"/>
                <w:szCs w:val="14"/>
              </w:rPr>
            </w:pPr>
            <w:r w:rsidRPr="00692926">
              <w:rPr>
                <w:sz w:val="14"/>
                <w:szCs w:val="14"/>
              </w:rPr>
              <w:t>-</w:t>
            </w:r>
          </w:p>
        </w:tc>
      </w:tr>
      <w:tr w:rsidR="00224102" w:rsidRPr="00604C75" w14:paraId="1FFA75C6" w14:textId="77777777" w:rsidTr="00C26D33">
        <w:trPr>
          <w:trHeight w:val="106"/>
        </w:trPr>
        <w:tc>
          <w:tcPr>
            <w:tcW w:w="537" w:type="dxa"/>
            <w:noWrap/>
            <w:tcMar>
              <w:top w:w="18" w:type="dxa"/>
              <w:left w:w="18" w:type="dxa"/>
              <w:bottom w:w="0" w:type="dxa"/>
              <w:right w:w="18" w:type="dxa"/>
            </w:tcMar>
            <w:vAlign w:val="bottom"/>
          </w:tcPr>
          <w:p w14:paraId="089EBE6A"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4.2</w:t>
            </w:r>
          </w:p>
        </w:tc>
        <w:tc>
          <w:tcPr>
            <w:tcW w:w="4615" w:type="dxa"/>
            <w:noWrap/>
            <w:tcMar>
              <w:top w:w="18" w:type="dxa"/>
              <w:left w:w="18" w:type="dxa"/>
              <w:bottom w:w="0" w:type="dxa"/>
              <w:right w:w="18" w:type="dxa"/>
            </w:tcMar>
            <w:vAlign w:val="bottom"/>
          </w:tcPr>
          <w:p w14:paraId="4CFB99CF"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Funds from Istanbul Stock Exchange Money Market</w:t>
            </w:r>
          </w:p>
        </w:tc>
        <w:tc>
          <w:tcPr>
            <w:tcW w:w="640" w:type="dxa"/>
            <w:noWrap/>
            <w:tcMar>
              <w:top w:w="18" w:type="dxa"/>
              <w:left w:w="18" w:type="dxa"/>
              <w:bottom w:w="0" w:type="dxa"/>
              <w:right w:w="18" w:type="dxa"/>
            </w:tcMar>
            <w:vAlign w:val="bottom"/>
          </w:tcPr>
          <w:p w14:paraId="6B4887F8" w14:textId="2E423EF1"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589512E7" w14:textId="7590B70C" w:rsidR="00224102" w:rsidRPr="00850582" w:rsidRDefault="00224102" w:rsidP="00224102">
            <w:pPr>
              <w:jc w:val="right"/>
              <w:rPr>
                <w:sz w:val="14"/>
                <w:szCs w:val="14"/>
              </w:rPr>
            </w:pPr>
            <w:r w:rsidRPr="00850582">
              <w:rPr>
                <w:sz w:val="14"/>
                <w:szCs w:val="14"/>
              </w:rPr>
              <w:t>800</w:t>
            </w:r>
          </w:p>
        </w:tc>
        <w:tc>
          <w:tcPr>
            <w:tcW w:w="759" w:type="dxa"/>
            <w:noWrap/>
            <w:tcMar>
              <w:top w:w="18" w:type="dxa"/>
              <w:left w:w="18" w:type="dxa"/>
              <w:bottom w:w="0" w:type="dxa"/>
              <w:right w:w="18" w:type="dxa"/>
            </w:tcMar>
            <w:vAlign w:val="bottom"/>
          </w:tcPr>
          <w:p w14:paraId="6A0311A4" w14:textId="4EADC645"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12C8A5BC" w14:textId="2E212A0D" w:rsidR="00224102" w:rsidRPr="00850582" w:rsidRDefault="00224102" w:rsidP="00224102">
            <w:pPr>
              <w:jc w:val="right"/>
              <w:rPr>
                <w:sz w:val="14"/>
                <w:szCs w:val="14"/>
              </w:rPr>
            </w:pPr>
            <w:r w:rsidRPr="00850582">
              <w:rPr>
                <w:sz w:val="14"/>
                <w:szCs w:val="14"/>
              </w:rPr>
              <w:t>800</w:t>
            </w:r>
          </w:p>
        </w:tc>
        <w:tc>
          <w:tcPr>
            <w:tcW w:w="733" w:type="dxa"/>
            <w:noWrap/>
            <w:tcMar>
              <w:top w:w="18" w:type="dxa"/>
              <w:left w:w="18" w:type="dxa"/>
              <w:bottom w:w="0" w:type="dxa"/>
              <w:right w:w="18" w:type="dxa"/>
            </w:tcMar>
            <w:vAlign w:val="bottom"/>
          </w:tcPr>
          <w:p w14:paraId="368AD904" w14:textId="2A1BCFE7" w:rsidR="00224102" w:rsidRPr="00692926" w:rsidRDefault="00224102" w:rsidP="00224102">
            <w:pPr>
              <w:jc w:val="right"/>
              <w:rPr>
                <w:sz w:val="14"/>
                <w:szCs w:val="14"/>
              </w:rPr>
            </w:pPr>
            <w:r w:rsidRPr="00692926">
              <w:rPr>
                <w:sz w:val="14"/>
                <w:szCs w:val="14"/>
              </w:rPr>
              <w:t>43,232</w:t>
            </w:r>
          </w:p>
        </w:tc>
        <w:tc>
          <w:tcPr>
            <w:tcW w:w="707" w:type="dxa"/>
            <w:noWrap/>
            <w:tcMar>
              <w:top w:w="18" w:type="dxa"/>
              <w:left w:w="18" w:type="dxa"/>
              <w:bottom w:w="0" w:type="dxa"/>
              <w:right w:w="18" w:type="dxa"/>
            </w:tcMar>
            <w:vAlign w:val="bottom"/>
          </w:tcPr>
          <w:p w14:paraId="07B43F61" w14:textId="0D08C531"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28F0264F" w14:textId="1A01F0BA" w:rsidR="00224102" w:rsidRPr="00692926" w:rsidRDefault="00224102" w:rsidP="00224102">
            <w:pPr>
              <w:jc w:val="right"/>
              <w:rPr>
                <w:sz w:val="14"/>
                <w:szCs w:val="14"/>
              </w:rPr>
            </w:pPr>
            <w:r w:rsidRPr="00692926">
              <w:rPr>
                <w:sz w:val="14"/>
                <w:szCs w:val="14"/>
              </w:rPr>
              <w:t>43,232</w:t>
            </w:r>
          </w:p>
        </w:tc>
      </w:tr>
      <w:tr w:rsidR="00224102" w:rsidRPr="00604C75" w14:paraId="2EC3079C" w14:textId="77777777" w:rsidTr="00C26D33">
        <w:trPr>
          <w:trHeight w:val="104"/>
        </w:trPr>
        <w:tc>
          <w:tcPr>
            <w:tcW w:w="537" w:type="dxa"/>
            <w:noWrap/>
            <w:tcMar>
              <w:top w:w="18" w:type="dxa"/>
              <w:left w:w="18" w:type="dxa"/>
              <w:bottom w:w="0" w:type="dxa"/>
              <w:right w:w="18" w:type="dxa"/>
            </w:tcMar>
            <w:vAlign w:val="bottom"/>
          </w:tcPr>
          <w:p w14:paraId="6684F4EF"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4.3</w:t>
            </w:r>
          </w:p>
        </w:tc>
        <w:tc>
          <w:tcPr>
            <w:tcW w:w="4615" w:type="dxa"/>
            <w:noWrap/>
            <w:tcMar>
              <w:top w:w="18" w:type="dxa"/>
              <w:left w:w="18" w:type="dxa"/>
              <w:bottom w:w="0" w:type="dxa"/>
              <w:right w:w="18" w:type="dxa"/>
            </w:tcMar>
            <w:vAlign w:val="bottom"/>
          </w:tcPr>
          <w:p w14:paraId="15B56405"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Funds Provided Under Repurchase Agreements</w:t>
            </w:r>
          </w:p>
        </w:tc>
        <w:tc>
          <w:tcPr>
            <w:tcW w:w="640" w:type="dxa"/>
            <w:noWrap/>
            <w:tcMar>
              <w:top w:w="18" w:type="dxa"/>
              <w:left w:w="18" w:type="dxa"/>
              <w:bottom w:w="0" w:type="dxa"/>
              <w:right w:w="18" w:type="dxa"/>
            </w:tcMar>
            <w:vAlign w:val="bottom"/>
          </w:tcPr>
          <w:p w14:paraId="6ACADC92" w14:textId="39899755"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037CB532" w14:textId="6C24C90F" w:rsidR="00224102" w:rsidRPr="00850582" w:rsidRDefault="00224102" w:rsidP="00224102">
            <w:pPr>
              <w:jc w:val="right"/>
              <w:rPr>
                <w:sz w:val="14"/>
                <w:szCs w:val="14"/>
              </w:rPr>
            </w:pPr>
            <w:r w:rsidRPr="00850582">
              <w:rPr>
                <w:sz w:val="14"/>
                <w:szCs w:val="14"/>
              </w:rPr>
              <w:t>241,579</w:t>
            </w:r>
          </w:p>
        </w:tc>
        <w:tc>
          <w:tcPr>
            <w:tcW w:w="759" w:type="dxa"/>
            <w:noWrap/>
            <w:tcMar>
              <w:top w:w="18" w:type="dxa"/>
              <w:left w:w="18" w:type="dxa"/>
              <w:bottom w:w="0" w:type="dxa"/>
              <w:right w:w="18" w:type="dxa"/>
            </w:tcMar>
            <w:vAlign w:val="bottom"/>
          </w:tcPr>
          <w:p w14:paraId="623FDEDB" w14:textId="383CEFDA" w:rsidR="00224102" w:rsidRPr="00850582" w:rsidRDefault="00224102" w:rsidP="00224102">
            <w:pPr>
              <w:jc w:val="right"/>
              <w:rPr>
                <w:sz w:val="14"/>
                <w:szCs w:val="14"/>
              </w:rPr>
            </w:pPr>
            <w:r w:rsidRPr="00850582">
              <w:rPr>
                <w:sz w:val="14"/>
                <w:szCs w:val="14"/>
              </w:rPr>
              <w:t>116,444</w:t>
            </w:r>
          </w:p>
        </w:tc>
        <w:tc>
          <w:tcPr>
            <w:tcW w:w="720" w:type="dxa"/>
            <w:noWrap/>
            <w:tcMar>
              <w:top w:w="18" w:type="dxa"/>
              <w:left w:w="18" w:type="dxa"/>
              <w:bottom w:w="0" w:type="dxa"/>
              <w:right w:w="18" w:type="dxa"/>
            </w:tcMar>
            <w:vAlign w:val="bottom"/>
          </w:tcPr>
          <w:p w14:paraId="47557164" w14:textId="2F589D32" w:rsidR="00224102" w:rsidRPr="00850582" w:rsidRDefault="00224102" w:rsidP="00224102">
            <w:pPr>
              <w:jc w:val="right"/>
              <w:rPr>
                <w:sz w:val="14"/>
                <w:szCs w:val="14"/>
              </w:rPr>
            </w:pPr>
            <w:r w:rsidRPr="00850582">
              <w:rPr>
                <w:sz w:val="14"/>
                <w:szCs w:val="14"/>
              </w:rPr>
              <w:t>358,023</w:t>
            </w:r>
          </w:p>
        </w:tc>
        <w:tc>
          <w:tcPr>
            <w:tcW w:w="733" w:type="dxa"/>
            <w:noWrap/>
            <w:tcMar>
              <w:top w:w="18" w:type="dxa"/>
              <w:left w:w="18" w:type="dxa"/>
              <w:bottom w:w="0" w:type="dxa"/>
              <w:right w:w="18" w:type="dxa"/>
            </w:tcMar>
            <w:vAlign w:val="bottom"/>
          </w:tcPr>
          <w:p w14:paraId="33EBF081" w14:textId="30CF629E" w:rsidR="00224102" w:rsidRPr="00692926" w:rsidRDefault="00224102" w:rsidP="00224102">
            <w:pPr>
              <w:jc w:val="right"/>
              <w:rPr>
                <w:sz w:val="14"/>
                <w:szCs w:val="14"/>
              </w:rPr>
            </w:pPr>
            <w:r w:rsidRPr="00692926">
              <w:rPr>
                <w:sz w:val="14"/>
                <w:szCs w:val="14"/>
              </w:rPr>
              <w:t>320,154</w:t>
            </w:r>
          </w:p>
        </w:tc>
        <w:tc>
          <w:tcPr>
            <w:tcW w:w="707" w:type="dxa"/>
            <w:noWrap/>
            <w:tcMar>
              <w:top w:w="18" w:type="dxa"/>
              <w:left w:w="18" w:type="dxa"/>
              <w:bottom w:w="0" w:type="dxa"/>
              <w:right w:w="18" w:type="dxa"/>
            </w:tcMar>
            <w:vAlign w:val="bottom"/>
          </w:tcPr>
          <w:p w14:paraId="7D766345" w14:textId="6B5FE333" w:rsidR="00224102" w:rsidRPr="00692926" w:rsidRDefault="00224102" w:rsidP="00224102">
            <w:pPr>
              <w:jc w:val="right"/>
              <w:rPr>
                <w:sz w:val="14"/>
                <w:szCs w:val="14"/>
              </w:rPr>
            </w:pPr>
            <w:r w:rsidRPr="00692926">
              <w:rPr>
                <w:sz w:val="14"/>
                <w:szCs w:val="14"/>
              </w:rPr>
              <w:t>82,101</w:t>
            </w:r>
          </w:p>
        </w:tc>
        <w:tc>
          <w:tcPr>
            <w:tcW w:w="712" w:type="dxa"/>
            <w:noWrap/>
            <w:tcMar>
              <w:top w:w="18" w:type="dxa"/>
              <w:left w:w="18" w:type="dxa"/>
              <w:bottom w:w="0" w:type="dxa"/>
              <w:right w:w="18" w:type="dxa"/>
            </w:tcMar>
            <w:vAlign w:val="bottom"/>
          </w:tcPr>
          <w:p w14:paraId="41CB492C" w14:textId="73125E07" w:rsidR="00224102" w:rsidRPr="00692926" w:rsidRDefault="00224102" w:rsidP="00224102">
            <w:pPr>
              <w:jc w:val="right"/>
              <w:rPr>
                <w:sz w:val="14"/>
                <w:szCs w:val="14"/>
              </w:rPr>
            </w:pPr>
            <w:r w:rsidRPr="00692926">
              <w:rPr>
                <w:sz w:val="14"/>
                <w:szCs w:val="14"/>
              </w:rPr>
              <w:t>402,255</w:t>
            </w:r>
          </w:p>
        </w:tc>
      </w:tr>
      <w:tr w:rsidR="00224102" w:rsidRPr="00604C75" w14:paraId="4A1AB1C1" w14:textId="77777777" w:rsidTr="00C26D33">
        <w:trPr>
          <w:trHeight w:val="87"/>
        </w:trPr>
        <w:tc>
          <w:tcPr>
            <w:tcW w:w="537" w:type="dxa"/>
            <w:noWrap/>
            <w:tcMar>
              <w:top w:w="18" w:type="dxa"/>
              <w:left w:w="18" w:type="dxa"/>
              <w:bottom w:w="0" w:type="dxa"/>
              <w:right w:w="18" w:type="dxa"/>
            </w:tcMar>
            <w:vAlign w:val="bottom"/>
          </w:tcPr>
          <w:p w14:paraId="0B07B15C"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V.</w:t>
            </w:r>
          </w:p>
        </w:tc>
        <w:tc>
          <w:tcPr>
            <w:tcW w:w="4615" w:type="dxa"/>
            <w:noWrap/>
            <w:tcMar>
              <w:top w:w="18" w:type="dxa"/>
              <w:left w:w="18" w:type="dxa"/>
              <w:bottom w:w="0" w:type="dxa"/>
              <w:right w:w="18" w:type="dxa"/>
            </w:tcMar>
            <w:vAlign w:val="bottom"/>
          </w:tcPr>
          <w:p w14:paraId="412BC70D"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MARKETABLE SECURITIES ISSUED (Net)</w:t>
            </w:r>
          </w:p>
        </w:tc>
        <w:tc>
          <w:tcPr>
            <w:tcW w:w="640" w:type="dxa"/>
            <w:noWrap/>
            <w:tcMar>
              <w:top w:w="18" w:type="dxa"/>
              <w:left w:w="18" w:type="dxa"/>
              <w:bottom w:w="0" w:type="dxa"/>
              <w:right w:w="18" w:type="dxa"/>
            </w:tcMar>
            <w:vAlign w:val="bottom"/>
          </w:tcPr>
          <w:p w14:paraId="47801324" w14:textId="29547BDD"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176B289E" w14:textId="10B53183" w:rsidR="00224102" w:rsidRPr="00850582" w:rsidRDefault="00224102" w:rsidP="00224102">
            <w:pPr>
              <w:jc w:val="right"/>
              <w:rPr>
                <w:b/>
                <w:bCs/>
                <w:sz w:val="14"/>
                <w:szCs w:val="14"/>
              </w:rPr>
            </w:pPr>
            <w:r w:rsidRPr="00850582">
              <w:rPr>
                <w:b/>
                <w:bCs/>
                <w:sz w:val="14"/>
                <w:szCs w:val="14"/>
              </w:rPr>
              <w:t>142,088</w:t>
            </w:r>
          </w:p>
        </w:tc>
        <w:tc>
          <w:tcPr>
            <w:tcW w:w="759" w:type="dxa"/>
            <w:noWrap/>
            <w:tcMar>
              <w:top w:w="18" w:type="dxa"/>
              <w:left w:w="18" w:type="dxa"/>
              <w:bottom w:w="0" w:type="dxa"/>
              <w:right w:w="18" w:type="dxa"/>
            </w:tcMar>
            <w:vAlign w:val="bottom"/>
          </w:tcPr>
          <w:p w14:paraId="0501F564" w14:textId="368EC452" w:rsidR="00224102" w:rsidRPr="00850582" w:rsidRDefault="00224102" w:rsidP="00224102">
            <w:pPr>
              <w:jc w:val="right"/>
              <w:rPr>
                <w:b/>
                <w:bCs/>
                <w:sz w:val="14"/>
                <w:szCs w:val="14"/>
              </w:rPr>
            </w:pPr>
            <w:r w:rsidRPr="00850582">
              <w:rPr>
                <w:b/>
                <w:bCs/>
                <w:sz w:val="14"/>
                <w:szCs w:val="14"/>
              </w:rPr>
              <w:t>735,736</w:t>
            </w:r>
          </w:p>
        </w:tc>
        <w:tc>
          <w:tcPr>
            <w:tcW w:w="720" w:type="dxa"/>
            <w:noWrap/>
            <w:tcMar>
              <w:top w:w="18" w:type="dxa"/>
              <w:left w:w="18" w:type="dxa"/>
              <w:bottom w:w="0" w:type="dxa"/>
              <w:right w:w="18" w:type="dxa"/>
            </w:tcMar>
            <w:vAlign w:val="bottom"/>
          </w:tcPr>
          <w:p w14:paraId="372FB573" w14:textId="25EE7C8D" w:rsidR="00224102" w:rsidRPr="00850582" w:rsidRDefault="00224102" w:rsidP="00224102">
            <w:pPr>
              <w:jc w:val="right"/>
              <w:rPr>
                <w:b/>
                <w:bCs/>
                <w:sz w:val="14"/>
                <w:szCs w:val="14"/>
              </w:rPr>
            </w:pPr>
            <w:r w:rsidRPr="00850582">
              <w:rPr>
                <w:b/>
                <w:bCs/>
                <w:sz w:val="14"/>
                <w:szCs w:val="14"/>
              </w:rPr>
              <w:t>877,824</w:t>
            </w:r>
          </w:p>
        </w:tc>
        <w:tc>
          <w:tcPr>
            <w:tcW w:w="733" w:type="dxa"/>
            <w:noWrap/>
            <w:tcMar>
              <w:top w:w="18" w:type="dxa"/>
              <w:left w:w="18" w:type="dxa"/>
              <w:bottom w:w="0" w:type="dxa"/>
              <w:right w:w="18" w:type="dxa"/>
            </w:tcMar>
            <w:vAlign w:val="bottom"/>
          </w:tcPr>
          <w:p w14:paraId="3C50D87D" w14:textId="5E24719D" w:rsidR="00224102" w:rsidRPr="00692926" w:rsidRDefault="00224102" w:rsidP="00224102">
            <w:pPr>
              <w:jc w:val="right"/>
              <w:rPr>
                <w:b/>
                <w:sz w:val="14"/>
                <w:szCs w:val="14"/>
              </w:rPr>
            </w:pPr>
            <w:r w:rsidRPr="00692926">
              <w:rPr>
                <w:b/>
                <w:sz w:val="14"/>
                <w:szCs w:val="14"/>
              </w:rPr>
              <w:t>281,356</w:t>
            </w:r>
          </w:p>
        </w:tc>
        <w:tc>
          <w:tcPr>
            <w:tcW w:w="707" w:type="dxa"/>
            <w:noWrap/>
            <w:tcMar>
              <w:top w:w="18" w:type="dxa"/>
              <w:left w:w="18" w:type="dxa"/>
              <w:bottom w:w="0" w:type="dxa"/>
              <w:right w:w="18" w:type="dxa"/>
            </w:tcMar>
            <w:vAlign w:val="bottom"/>
          </w:tcPr>
          <w:p w14:paraId="048E19D7" w14:textId="01E23731" w:rsidR="00224102" w:rsidRPr="00692926" w:rsidRDefault="00224102" w:rsidP="00224102">
            <w:pPr>
              <w:jc w:val="right"/>
              <w:rPr>
                <w:b/>
                <w:sz w:val="14"/>
                <w:szCs w:val="14"/>
              </w:rPr>
            </w:pPr>
            <w:r w:rsidRPr="00692926">
              <w:rPr>
                <w:b/>
                <w:sz w:val="14"/>
                <w:szCs w:val="14"/>
              </w:rPr>
              <w:t>586,742</w:t>
            </w:r>
          </w:p>
        </w:tc>
        <w:tc>
          <w:tcPr>
            <w:tcW w:w="712" w:type="dxa"/>
            <w:noWrap/>
            <w:tcMar>
              <w:top w:w="18" w:type="dxa"/>
              <w:left w:w="18" w:type="dxa"/>
              <w:bottom w:w="0" w:type="dxa"/>
              <w:right w:w="18" w:type="dxa"/>
            </w:tcMar>
            <w:vAlign w:val="bottom"/>
          </w:tcPr>
          <w:p w14:paraId="5A820C32" w14:textId="735EAAC3" w:rsidR="00224102" w:rsidRPr="00692926" w:rsidRDefault="00224102" w:rsidP="00224102">
            <w:pPr>
              <w:jc w:val="right"/>
              <w:rPr>
                <w:b/>
                <w:sz w:val="14"/>
                <w:szCs w:val="14"/>
              </w:rPr>
            </w:pPr>
            <w:r w:rsidRPr="00692926">
              <w:rPr>
                <w:b/>
                <w:sz w:val="14"/>
                <w:szCs w:val="14"/>
              </w:rPr>
              <w:t>868,098</w:t>
            </w:r>
          </w:p>
        </w:tc>
      </w:tr>
      <w:tr w:rsidR="00224102" w:rsidRPr="00604C75" w14:paraId="6889C948" w14:textId="77777777" w:rsidTr="00C26D33">
        <w:trPr>
          <w:trHeight w:val="100"/>
        </w:trPr>
        <w:tc>
          <w:tcPr>
            <w:tcW w:w="537" w:type="dxa"/>
            <w:noWrap/>
            <w:tcMar>
              <w:top w:w="18" w:type="dxa"/>
              <w:left w:w="18" w:type="dxa"/>
              <w:bottom w:w="0" w:type="dxa"/>
              <w:right w:w="18" w:type="dxa"/>
            </w:tcMar>
            <w:vAlign w:val="bottom"/>
          </w:tcPr>
          <w:p w14:paraId="7D221FE9" w14:textId="77777777" w:rsidR="00224102" w:rsidRPr="00604C75" w:rsidRDefault="00224102" w:rsidP="00224102">
            <w:pPr>
              <w:spacing w:line="226" w:lineRule="auto"/>
              <w:rPr>
                <w:rFonts w:eastAsia="Arial Unicode MS"/>
                <w:b/>
                <w:bCs/>
                <w:noProof/>
                <w:sz w:val="14"/>
                <w:szCs w:val="14"/>
                <w:lang w:val="tr-TR"/>
              </w:rPr>
            </w:pPr>
            <w:r w:rsidRPr="00604C75">
              <w:rPr>
                <w:noProof/>
                <w:sz w:val="14"/>
                <w:szCs w:val="14"/>
                <w:lang w:val="tr-TR"/>
              </w:rPr>
              <w:t>5.1</w:t>
            </w:r>
          </w:p>
        </w:tc>
        <w:tc>
          <w:tcPr>
            <w:tcW w:w="4615" w:type="dxa"/>
            <w:noWrap/>
            <w:tcMar>
              <w:top w:w="18" w:type="dxa"/>
              <w:left w:w="18" w:type="dxa"/>
              <w:bottom w:w="0" w:type="dxa"/>
              <w:right w:w="18" w:type="dxa"/>
            </w:tcMar>
            <w:vAlign w:val="bottom"/>
          </w:tcPr>
          <w:p w14:paraId="212F35F1"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Bills</w:t>
            </w:r>
          </w:p>
        </w:tc>
        <w:tc>
          <w:tcPr>
            <w:tcW w:w="640" w:type="dxa"/>
            <w:noWrap/>
            <w:tcMar>
              <w:top w:w="18" w:type="dxa"/>
              <w:left w:w="18" w:type="dxa"/>
              <w:bottom w:w="0" w:type="dxa"/>
              <w:right w:w="18" w:type="dxa"/>
            </w:tcMar>
            <w:vAlign w:val="bottom"/>
          </w:tcPr>
          <w:p w14:paraId="2B35219D" w14:textId="6256E3B6"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30574D51" w14:textId="0D182217" w:rsidR="00224102" w:rsidRPr="00850582" w:rsidRDefault="00224102" w:rsidP="00224102">
            <w:pPr>
              <w:jc w:val="right"/>
              <w:rPr>
                <w:sz w:val="14"/>
                <w:szCs w:val="14"/>
              </w:rPr>
            </w:pPr>
            <w:r w:rsidRPr="00850582">
              <w:rPr>
                <w:sz w:val="14"/>
                <w:szCs w:val="14"/>
              </w:rPr>
              <w:t>142,088</w:t>
            </w:r>
          </w:p>
        </w:tc>
        <w:tc>
          <w:tcPr>
            <w:tcW w:w="759" w:type="dxa"/>
            <w:noWrap/>
            <w:tcMar>
              <w:top w:w="18" w:type="dxa"/>
              <w:left w:w="18" w:type="dxa"/>
              <w:bottom w:w="0" w:type="dxa"/>
              <w:right w:w="18" w:type="dxa"/>
            </w:tcMar>
            <w:vAlign w:val="bottom"/>
          </w:tcPr>
          <w:p w14:paraId="203DE8A1" w14:textId="4E526C01" w:rsidR="00224102" w:rsidRPr="00850582" w:rsidRDefault="00224102" w:rsidP="00224102">
            <w:pPr>
              <w:jc w:val="right"/>
              <w:rPr>
                <w:sz w:val="14"/>
                <w:szCs w:val="14"/>
              </w:rPr>
            </w:pPr>
            <w:r w:rsidRPr="00850582">
              <w:rPr>
                <w:sz w:val="14"/>
                <w:szCs w:val="14"/>
              </w:rPr>
              <w:t>735,736</w:t>
            </w:r>
          </w:p>
        </w:tc>
        <w:tc>
          <w:tcPr>
            <w:tcW w:w="720" w:type="dxa"/>
            <w:noWrap/>
            <w:tcMar>
              <w:top w:w="18" w:type="dxa"/>
              <w:left w:w="18" w:type="dxa"/>
              <w:bottom w:w="0" w:type="dxa"/>
              <w:right w:w="18" w:type="dxa"/>
            </w:tcMar>
            <w:vAlign w:val="bottom"/>
          </w:tcPr>
          <w:p w14:paraId="021237EB" w14:textId="4B34920F" w:rsidR="00224102" w:rsidRPr="00850582" w:rsidRDefault="00224102" w:rsidP="00224102">
            <w:pPr>
              <w:jc w:val="right"/>
              <w:rPr>
                <w:sz w:val="14"/>
                <w:szCs w:val="14"/>
              </w:rPr>
            </w:pPr>
            <w:r w:rsidRPr="00850582">
              <w:rPr>
                <w:sz w:val="14"/>
                <w:szCs w:val="14"/>
              </w:rPr>
              <w:t>877,824</w:t>
            </w:r>
          </w:p>
        </w:tc>
        <w:tc>
          <w:tcPr>
            <w:tcW w:w="733" w:type="dxa"/>
            <w:noWrap/>
            <w:tcMar>
              <w:top w:w="18" w:type="dxa"/>
              <w:left w:w="18" w:type="dxa"/>
              <w:bottom w:w="0" w:type="dxa"/>
              <w:right w:w="18" w:type="dxa"/>
            </w:tcMar>
            <w:vAlign w:val="bottom"/>
          </w:tcPr>
          <w:p w14:paraId="0FF7D42B" w14:textId="790F8BE5" w:rsidR="00224102" w:rsidRPr="00692926" w:rsidRDefault="00224102" w:rsidP="00224102">
            <w:pPr>
              <w:jc w:val="right"/>
              <w:rPr>
                <w:sz w:val="14"/>
                <w:szCs w:val="14"/>
              </w:rPr>
            </w:pPr>
            <w:r w:rsidRPr="00692926">
              <w:rPr>
                <w:sz w:val="14"/>
                <w:szCs w:val="14"/>
              </w:rPr>
              <w:t>233,771</w:t>
            </w:r>
          </w:p>
        </w:tc>
        <w:tc>
          <w:tcPr>
            <w:tcW w:w="707" w:type="dxa"/>
            <w:noWrap/>
            <w:tcMar>
              <w:top w:w="18" w:type="dxa"/>
              <w:left w:w="18" w:type="dxa"/>
              <w:bottom w:w="0" w:type="dxa"/>
              <w:right w:w="18" w:type="dxa"/>
            </w:tcMar>
            <w:vAlign w:val="bottom"/>
          </w:tcPr>
          <w:p w14:paraId="31932607" w14:textId="3B315AF1" w:rsidR="00224102" w:rsidRPr="00692926" w:rsidRDefault="00224102" w:rsidP="00224102">
            <w:pPr>
              <w:jc w:val="right"/>
              <w:rPr>
                <w:sz w:val="14"/>
                <w:szCs w:val="14"/>
              </w:rPr>
            </w:pPr>
            <w:r w:rsidRPr="00692926">
              <w:rPr>
                <w:sz w:val="14"/>
                <w:szCs w:val="14"/>
              </w:rPr>
              <w:t>586,742</w:t>
            </w:r>
          </w:p>
        </w:tc>
        <w:tc>
          <w:tcPr>
            <w:tcW w:w="712" w:type="dxa"/>
            <w:noWrap/>
            <w:tcMar>
              <w:top w:w="18" w:type="dxa"/>
              <w:left w:w="18" w:type="dxa"/>
              <w:bottom w:w="0" w:type="dxa"/>
              <w:right w:w="18" w:type="dxa"/>
            </w:tcMar>
            <w:vAlign w:val="bottom"/>
          </w:tcPr>
          <w:p w14:paraId="7526B20E" w14:textId="4EF51C2E" w:rsidR="00224102" w:rsidRPr="00692926" w:rsidRDefault="00224102" w:rsidP="00224102">
            <w:pPr>
              <w:jc w:val="right"/>
              <w:rPr>
                <w:sz w:val="14"/>
                <w:szCs w:val="14"/>
              </w:rPr>
            </w:pPr>
            <w:r w:rsidRPr="00692926">
              <w:rPr>
                <w:sz w:val="14"/>
                <w:szCs w:val="14"/>
              </w:rPr>
              <w:t>820,513</w:t>
            </w:r>
          </w:p>
        </w:tc>
      </w:tr>
      <w:tr w:rsidR="00224102" w:rsidRPr="00604C75" w14:paraId="378ED09E" w14:textId="77777777" w:rsidTr="00C26D33">
        <w:trPr>
          <w:trHeight w:val="98"/>
        </w:trPr>
        <w:tc>
          <w:tcPr>
            <w:tcW w:w="537" w:type="dxa"/>
            <w:noWrap/>
            <w:tcMar>
              <w:top w:w="18" w:type="dxa"/>
              <w:left w:w="18" w:type="dxa"/>
              <w:bottom w:w="0" w:type="dxa"/>
              <w:right w:w="18" w:type="dxa"/>
            </w:tcMar>
            <w:vAlign w:val="bottom"/>
          </w:tcPr>
          <w:p w14:paraId="08FBB54A"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5.2</w:t>
            </w:r>
          </w:p>
        </w:tc>
        <w:tc>
          <w:tcPr>
            <w:tcW w:w="4615" w:type="dxa"/>
            <w:noWrap/>
            <w:tcMar>
              <w:top w:w="18" w:type="dxa"/>
              <w:left w:w="18" w:type="dxa"/>
              <w:bottom w:w="0" w:type="dxa"/>
              <w:right w:w="18" w:type="dxa"/>
            </w:tcMar>
            <w:vAlign w:val="bottom"/>
          </w:tcPr>
          <w:p w14:paraId="3B667B1A"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Asset Backed Securities</w:t>
            </w:r>
          </w:p>
        </w:tc>
        <w:tc>
          <w:tcPr>
            <w:tcW w:w="640" w:type="dxa"/>
            <w:noWrap/>
            <w:tcMar>
              <w:top w:w="18" w:type="dxa"/>
              <w:left w:w="18" w:type="dxa"/>
              <w:bottom w:w="0" w:type="dxa"/>
              <w:right w:w="18" w:type="dxa"/>
            </w:tcMar>
            <w:vAlign w:val="bottom"/>
          </w:tcPr>
          <w:p w14:paraId="658D5628" w14:textId="2A8F143E"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7A2F21D5" w14:textId="3B2D4C07"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7D31D865" w14:textId="1B37F86E"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7C4789CF" w14:textId="06533BFB"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5F7EB26C" w14:textId="60FC61AC"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1A8FCC8D" w14:textId="0E21F9C2"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19A7059B" w14:textId="2003C0FD" w:rsidR="00224102" w:rsidRPr="00692926" w:rsidRDefault="00224102" w:rsidP="00224102">
            <w:pPr>
              <w:jc w:val="right"/>
              <w:rPr>
                <w:sz w:val="14"/>
                <w:szCs w:val="14"/>
              </w:rPr>
            </w:pPr>
            <w:r w:rsidRPr="00692926">
              <w:rPr>
                <w:sz w:val="14"/>
                <w:szCs w:val="14"/>
              </w:rPr>
              <w:t>-</w:t>
            </w:r>
          </w:p>
        </w:tc>
      </w:tr>
      <w:tr w:rsidR="00224102" w:rsidRPr="00604C75" w14:paraId="586CC2A9" w14:textId="77777777" w:rsidTr="00C26D33">
        <w:trPr>
          <w:trHeight w:val="81"/>
        </w:trPr>
        <w:tc>
          <w:tcPr>
            <w:tcW w:w="537" w:type="dxa"/>
            <w:noWrap/>
            <w:tcMar>
              <w:top w:w="18" w:type="dxa"/>
              <w:left w:w="18" w:type="dxa"/>
              <w:bottom w:w="0" w:type="dxa"/>
              <w:right w:w="18" w:type="dxa"/>
            </w:tcMar>
            <w:vAlign w:val="bottom"/>
          </w:tcPr>
          <w:p w14:paraId="7CE617E9"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5.3</w:t>
            </w:r>
          </w:p>
        </w:tc>
        <w:tc>
          <w:tcPr>
            <w:tcW w:w="4615" w:type="dxa"/>
            <w:noWrap/>
            <w:tcMar>
              <w:top w:w="18" w:type="dxa"/>
              <w:left w:w="18" w:type="dxa"/>
              <w:bottom w:w="0" w:type="dxa"/>
              <w:right w:w="18" w:type="dxa"/>
            </w:tcMar>
            <w:vAlign w:val="bottom"/>
          </w:tcPr>
          <w:p w14:paraId="22302FAC"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Bonds</w:t>
            </w:r>
          </w:p>
        </w:tc>
        <w:tc>
          <w:tcPr>
            <w:tcW w:w="640" w:type="dxa"/>
            <w:noWrap/>
            <w:tcMar>
              <w:top w:w="18" w:type="dxa"/>
              <w:left w:w="18" w:type="dxa"/>
              <w:bottom w:w="0" w:type="dxa"/>
              <w:right w:w="18" w:type="dxa"/>
            </w:tcMar>
            <w:vAlign w:val="bottom"/>
          </w:tcPr>
          <w:p w14:paraId="2DA18DDC" w14:textId="2E62C577"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29CC097D" w14:textId="2A754E7F"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1394CEB7" w14:textId="51BB1C10"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4ECAEED6" w14:textId="68E91CF5"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5A3975F6" w14:textId="34AEB73A" w:rsidR="00224102" w:rsidRPr="00692926" w:rsidRDefault="00224102" w:rsidP="00224102">
            <w:pPr>
              <w:jc w:val="right"/>
              <w:rPr>
                <w:sz w:val="14"/>
                <w:szCs w:val="14"/>
              </w:rPr>
            </w:pPr>
            <w:r w:rsidRPr="00692926">
              <w:rPr>
                <w:sz w:val="14"/>
                <w:szCs w:val="14"/>
              </w:rPr>
              <w:t>47,585</w:t>
            </w:r>
          </w:p>
        </w:tc>
        <w:tc>
          <w:tcPr>
            <w:tcW w:w="707" w:type="dxa"/>
            <w:noWrap/>
            <w:tcMar>
              <w:top w:w="18" w:type="dxa"/>
              <w:left w:w="18" w:type="dxa"/>
              <w:bottom w:w="0" w:type="dxa"/>
              <w:right w:w="18" w:type="dxa"/>
            </w:tcMar>
            <w:vAlign w:val="bottom"/>
          </w:tcPr>
          <w:p w14:paraId="696F3F9F" w14:textId="073D9387"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6BE8AE1F" w14:textId="2C1F576B" w:rsidR="00224102" w:rsidRPr="00692926" w:rsidRDefault="00224102" w:rsidP="00224102">
            <w:pPr>
              <w:jc w:val="right"/>
              <w:rPr>
                <w:sz w:val="14"/>
                <w:szCs w:val="14"/>
              </w:rPr>
            </w:pPr>
            <w:r w:rsidRPr="00692926">
              <w:rPr>
                <w:sz w:val="14"/>
                <w:szCs w:val="14"/>
              </w:rPr>
              <w:t>47,585</w:t>
            </w:r>
          </w:p>
        </w:tc>
      </w:tr>
      <w:tr w:rsidR="00224102" w:rsidRPr="00604C75" w14:paraId="1AC118C8" w14:textId="77777777" w:rsidTr="00C26D33">
        <w:trPr>
          <w:trHeight w:val="72"/>
        </w:trPr>
        <w:tc>
          <w:tcPr>
            <w:tcW w:w="537" w:type="dxa"/>
            <w:noWrap/>
            <w:tcMar>
              <w:top w:w="18" w:type="dxa"/>
              <w:left w:w="18" w:type="dxa"/>
              <w:bottom w:w="0" w:type="dxa"/>
              <w:right w:w="18" w:type="dxa"/>
            </w:tcMar>
            <w:vAlign w:val="bottom"/>
          </w:tcPr>
          <w:p w14:paraId="5F74C0B5"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b/>
                <w:bCs/>
                <w:noProof/>
                <w:sz w:val="14"/>
                <w:szCs w:val="14"/>
                <w:lang w:val="tr-TR"/>
              </w:rPr>
              <w:t>VI.</w:t>
            </w:r>
          </w:p>
        </w:tc>
        <w:tc>
          <w:tcPr>
            <w:tcW w:w="4615" w:type="dxa"/>
            <w:noWrap/>
            <w:tcMar>
              <w:top w:w="18" w:type="dxa"/>
              <w:left w:w="18" w:type="dxa"/>
              <w:bottom w:w="0" w:type="dxa"/>
              <w:right w:w="18" w:type="dxa"/>
            </w:tcMar>
            <w:vAlign w:val="bottom"/>
          </w:tcPr>
          <w:p w14:paraId="1D11CE80"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FUNDS</w:t>
            </w:r>
          </w:p>
        </w:tc>
        <w:tc>
          <w:tcPr>
            <w:tcW w:w="640" w:type="dxa"/>
            <w:noWrap/>
            <w:tcMar>
              <w:top w:w="18" w:type="dxa"/>
              <w:left w:w="18" w:type="dxa"/>
              <w:bottom w:w="0" w:type="dxa"/>
              <w:right w:w="18" w:type="dxa"/>
            </w:tcMar>
            <w:vAlign w:val="bottom"/>
          </w:tcPr>
          <w:p w14:paraId="4F2BC9CF" w14:textId="54358F55"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5DE9E4B6" w14:textId="6F41FE33" w:rsidR="00224102" w:rsidRPr="00850582" w:rsidRDefault="00224102" w:rsidP="00224102">
            <w:pPr>
              <w:jc w:val="right"/>
              <w:rPr>
                <w:b/>
                <w:bCs/>
                <w:sz w:val="14"/>
                <w:szCs w:val="14"/>
              </w:rPr>
            </w:pPr>
            <w:r w:rsidRPr="00850582">
              <w:rPr>
                <w:b/>
                <w:bCs/>
                <w:sz w:val="14"/>
                <w:szCs w:val="14"/>
              </w:rPr>
              <w:t>-</w:t>
            </w:r>
          </w:p>
        </w:tc>
        <w:tc>
          <w:tcPr>
            <w:tcW w:w="759" w:type="dxa"/>
            <w:noWrap/>
            <w:tcMar>
              <w:top w:w="18" w:type="dxa"/>
              <w:left w:w="18" w:type="dxa"/>
              <w:bottom w:w="0" w:type="dxa"/>
              <w:right w:w="18" w:type="dxa"/>
            </w:tcMar>
            <w:vAlign w:val="bottom"/>
          </w:tcPr>
          <w:p w14:paraId="70F80423" w14:textId="166B244A" w:rsidR="00224102" w:rsidRPr="00850582" w:rsidRDefault="00224102" w:rsidP="00224102">
            <w:pPr>
              <w:jc w:val="right"/>
              <w:rPr>
                <w:b/>
                <w:bCs/>
                <w:sz w:val="14"/>
                <w:szCs w:val="14"/>
              </w:rPr>
            </w:pPr>
            <w:r w:rsidRPr="00850582">
              <w:rPr>
                <w:b/>
                <w:bCs/>
                <w:sz w:val="14"/>
                <w:szCs w:val="14"/>
              </w:rPr>
              <w:t>-</w:t>
            </w:r>
          </w:p>
        </w:tc>
        <w:tc>
          <w:tcPr>
            <w:tcW w:w="720" w:type="dxa"/>
            <w:noWrap/>
            <w:tcMar>
              <w:top w:w="18" w:type="dxa"/>
              <w:left w:w="18" w:type="dxa"/>
              <w:bottom w:w="0" w:type="dxa"/>
              <w:right w:w="18" w:type="dxa"/>
            </w:tcMar>
            <w:vAlign w:val="bottom"/>
          </w:tcPr>
          <w:p w14:paraId="75C3B3BD" w14:textId="0A4EA285" w:rsidR="00224102" w:rsidRPr="00850582" w:rsidRDefault="00224102" w:rsidP="00224102">
            <w:pPr>
              <w:jc w:val="right"/>
              <w:rPr>
                <w:b/>
                <w:bCs/>
                <w:sz w:val="14"/>
                <w:szCs w:val="14"/>
              </w:rPr>
            </w:pPr>
            <w:r w:rsidRPr="00850582">
              <w:rPr>
                <w:b/>
                <w:bCs/>
                <w:sz w:val="14"/>
                <w:szCs w:val="14"/>
              </w:rPr>
              <w:t>-</w:t>
            </w:r>
          </w:p>
        </w:tc>
        <w:tc>
          <w:tcPr>
            <w:tcW w:w="733" w:type="dxa"/>
            <w:noWrap/>
            <w:tcMar>
              <w:top w:w="18" w:type="dxa"/>
              <w:left w:w="18" w:type="dxa"/>
              <w:bottom w:w="0" w:type="dxa"/>
              <w:right w:w="18" w:type="dxa"/>
            </w:tcMar>
            <w:vAlign w:val="bottom"/>
          </w:tcPr>
          <w:p w14:paraId="6FD351C5" w14:textId="523D012A" w:rsidR="00224102" w:rsidRPr="00692926" w:rsidRDefault="00224102" w:rsidP="00224102">
            <w:pPr>
              <w:jc w:val="right"/>
              <w:rPr>
                <w:sz w:val="14"/>
                <w:szCs w:val="14"/>
              </w:rPr>
            </w:pPr>
            <w:r w:rsidRPr="004F7E74">
              <w:rPr>
                <w:b/>
                <w:sz w:val="14"/>
                <w:szCs w:val="14"/>
              </w:rPr>
              <w:t>-</w:t>
            </w:r>
          </w:p>
        </w:tc>
        <w:tc>
          <w:tcPr>
            <w:tcW w:w="707" w:type="dxa"/>
            <w:noWrap/>
            <w:tcMar>
              <w:top w:w="18" w:type="dxa"/>
              <w:left w:w="18" w:type="dxa"/>
              <w:bottom w:w="0" w:type="dxa"/>
              <w:right w:w="18" w:type="dxa"/>
            </w:tcMar>
            <w:vAlign w:val="bottom"/>
          </w:tcPr>
          <w:p w14:paraId="18F4D300" w14:textId="26D78035" w:rsidR="00224102" w:rsidRPr="00692926" w:rsidRDefault="00224102" w:rsidP="00224102">
            <w:pPr>
              <w:jc w:val="right"/>
              <w:rPr>
                <w:sz w:val="14"/>
                <w:szCs w:val="14"/>
              </w:rPr>
            </w:pPr>
            <w:r w:rsidRPr="004F7E74">
              <w:rPr>
                <w:b/>
                <w:sz w:val="14"/>
                <w:szCs w:val="14"/>
              </w:rPr>
              <w:t>-</w:t>
            </w:r>
          </w:p>
        </w:tc>
        <w:tc>
          <w:tcPr>
            <w:tcW w:w="712" w:type="dxa"/>
            <w:noWrap/>
            <w:tcMar>
              <w:top w:w="18" w:type="dxa"/>
              <w:left w:w="18" w:type="dxa"/>
              <w:bottom w:w="0" w:type="dxa"/>
              <w:right w:w="18" w:type="dxa"/>
            </w:tcMar>
            <w:vAlign w:val="bottom"/>
          </w:tcPr>
          <w:p w14:paraId="034F7827" w14:textId="1E6B60CD" w:rsidR="00224102" w:rsidRPr="00692926" w:rsidRDefault="00224102" w:rsidP="00224102">
            <w:pPr>
              <w:jc w:val="right"/>
              <w:rPr>
                <w:sz w:val="14"/>
                <w:szCs w:val="14"/>
              </w:rPr>
            </w:pPr>
            <w:r w:rsidRPr="004F7E74">
              <w:rPr>
                <w:b/>
                <w:sz w:val="14"/>
                <w:szCs w:val="14"/>
              </w:rPr>
              <w:t>-</w:t>
            </w:r>
          </w:p>
        </w:tc>
      </w:tr>
      <w:tr w:rsidR="00224102" w:rsidRPr="00604C75" w14:paraId="7A7F6000" w14:textId="77777777" w:rsidTr="00C26D33">
        <w:trPr>
          <w:trHeight w:val="72"/>
        </w:trPr>
        <w:tc>
          <w:tcPr>
            <w:tcW w:w="537" w:type="dxa"/>
            <w:noWrap/>
            <w:tcMar>
              <w:top w:w="18" w:type="dxa"/>
              <w:left w:w="18" w:type="dxa"/>
              <w:bottom w:w="0" w:type="dxa"/>
              <w:right w:w="18" w:type="dxa"/>
            </w:tcMar>
            <w:vAlign w:val="bottom"/>
          </w:tcPr>
          <w:p w14:paraId="7CE0755D"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6.1</w:t>
            </w:r>
          </w:p>
        </w:tc>
        <w:tc>
          <w:tcPr>
            <w:tcW w:w="4615" w:type="dxa"/>
            <w:noWrap/>
            <w:tcMar>
              <w:top w:w="18" w:type="dxa"/>
              <w:left w:w="18" w:type="dxa"/>
              <w:bottom w:w="0" w:type="dxa"/>
              <w:right w:w="18" w:type="dxa"/>
            </w:tcMar>
            <w:vAlign w:val="bottom"/>
          </w:tcPr>
          <w:p w14:paraId="4A037748"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Borrower Funds</w:t>
            </w:r>
          </w:p>
        </w:tc>
        <w:tc>
          <w:tcPr>
            <w:tcW w:w="640" w:type="dxa"/>
            <w:noWrap/>
            <w:tcMar>
              <w:top w:w="18" w:type="dxa"/>
              <w:left w:w="18" w:type="dxa"/>
              <w:bottom w:w="0" w:type="dxa"/>
              <w:right w:w="18" w:type="dxa"/>
            </w:tcMar>
            <w:vAlign w:val="bottom"/>
          </w:tcPr>
          <w:p w14:paraId="0203E0CC" w14:textId="77777777" w:rsidR="00224102" w:rsidRPr="00604C75" w:rsidRDefault="00224102" w:rsidP="00224102">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14:paraId="69D3AB34" w14:textId="3682BE5E"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785BD377" w14:textId="09CFCC29"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75CC6A72" w14:textId="10C37B4C"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3E1C9F1C" w14:textId="465FAD58"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6B10CD36" w14:textId="4A053765"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7E9D7ADD" w14:textId="1B671997" w:rsidR="00224102" w:rsidRPr="00692926" w:rsidRDefault="00224102" w:rsidP="00224102">
            <w:pPr>
              <w:jc w:val="right"/>
              <w:rPr>
                <w:sz w:val="14"/>
                <w:szCs w:val="14"/>
              </w:rPr>
            </w:pPr>
            <w:r w:rsidRPr="00692926">
              <w:rPr>
                <w:sz w:val="14"/>
                <w:szCs w:val="14"/>
              </w:rPr>
              <w:t>-</w:t>
            </w:r>
          </w:p>
        </w:tc>
      </w:tr>
      <w:tr w:rsidR="00224102" w:rsidRPr="00604C75" w14:paraId="0C658CF0" w14:textId="77777777" w:rsidTr="00C26D33">
        <w:trPr>
          <w:trHeight w:val="72"/>
        </w:trPr>
        <w:tc>
          <w:tcPr>
            <w:tcW w:w="537" w:type="dxa"/>
            <w:noWrap/>
            <w:tcMar>
              <w:top w:w="18" w:type="dxa"/>
              <w:left w:w="18" w:type="dxa"/>
              <w:bottom w:w="0" w:type="dxa"/>
              <w:right w:w="18" w:type="dxa"/>
            </w:tcMar>
            <w:vAlign w:val="bottom"/>
          </w:tcPr>
          <w:p w14:paraId="0392D99D"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6.2</w:t>
            </w:r>
          </w:p>
        </w:tc>
        <w:tc>
          <w:tcPr>
            <w:tcW w:w="4615" w:type="dxa"/>
            <w:noWrap/>
            <w:tcMar>
              <w:top w:w="18" w:type="dxa"/>
              <w:left w:w="18" w:type="dxa"/>
              <w:bottom w:w="0" w:type="dxa"/>
              <w:right w:w="18" w:type="dxa"/>
            </w:tcMar>
            <w:vAlign w:val="bottom"/>
          </w:tcPr>
          <w:p w14:paraId="33B30805"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Other</w:t>
            </w:r>
          </w:p>
        </w:tc>
        <w:tc>
          <w:tcPr>
            <w:tcW w:w="640" w:type="dxa"/>
            <w:noWrap/>
            <w:tcMar>
              <w:top w:w="18" w:type="dxa"/>
              <w:left w:w="18" w:type="dxa"/>
              <w:bottom w:w="0" w:type="dxa"/>
              <w:right w:w="18" w:type="dxa"/>
            </w:tcMar>
            <w:vAlign w:val="bottom"/>
          </w:tcPr>
          <w:p w14:paraId="76477331" w14:textId="77777777" w:rsidR="00224102" w:rsidRPr="00604C75" w:rsidRDefault="00224102" w:rsidP="00224102">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14:paraId="2E1B14AA" w14:textId="00F66F37"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5FF48CF5" w14:textId="0ECDBB3E"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43D06C9E" w14:textId="3E1F918E"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2DE3CC88" w14:textId="4AC1F2DB"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172A3CCC" w14:textId="354D95F7"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4A6B2B36" w14:textId="2CCB51CD" w:rsidR="00224102" w:rsidRPr="00692926" w:rsidRDefault="00224102" w:rsidP="00224102">
            <w:pPr>
              <w:jc w:val="right"/>
              <w:rPr>
                <w:sz w:val="14"/>
                <w:szCs w:val="14"/>
              </w:rPr>
            </w:pPr>
            <w:r w:rsidRPr="00692926">
              <w:rPr>
                <w:sz w:val="14"/>
                <w:szCs w:val="14"/>
              </w:rPr>
              <w:t>-</w:t>
            </w:r>
          </w:p>
        </w:tc>
      </w:tr>
      <w:tr w:rsidR="00224102" w:rsidRPr="00604C75" w14:paraId="1075428A" w14:textId="77777777" w:rsidTr="00C26D33">
        <w:trPr>
          <w:trHeight w:val="78"/>
        </w:trPr>
        <w:tc>
          <w:tcPr>
            <w:tcW w:w="537" w:type="dxa"/>
            <w:noWrap/>
            <w:tcMar>
              <w:top w:w="18" w:type="dxa"/>
              <w:left w:w="18" w:type="dxa"/>
              <w:bottom w:w="0" w:type="dxa"/>
              <w:right w:w="18" w:type="dxa"/>
            </w:tcMar>
            <w:vAlign w:val="bottom"/>
          </w:tcPr>
          <w:p w14:paraId="2EDC9041" w14:textId="77777777" w:rsidR="00224102" w:rsidRPr="00604C75" w:rsidRDefault="00224102" w:rsidP="00224102">
            <w:pPr>
              <w:spacing w:line="226" w:lineRule="auto"/>
              <w:rPr>
                <w:rFonts w:eastAsia="Arial Unicode MS"/>
                <w:b/>
                <w:bCs/>
                <w:noProof/>
                <w:sz w:val="14"/>
                <w:szCs w:val="14"/>
                <w:lang w:val="tr-TR"/>
              </w:rPr>
            </w:pPr>
            <w:r w:rsidRPr="00604C75">
              <w:rPr>
                <w:rFonts w:eastAsia="Arial Unicode MS"/>
                <w:b/>
                <w:noProof/>
                <w:sz w:val="14"/>
                <w:szCs w:val="14"/>
                <w:lang w:val="tr-TR"/>
              </w:rPr>
              <w:t>VII.</w:t>
            </w:r>
          </w:p>
        </w:tc>
        <w:tc>
          <w:tcPr>
            <w:tcW w:w="4615" w:type="dxa"/>
            <w:noWrap/>
            <w:tcMar>
              <w:top w:w="18" w:type="dxa"/>
              <w:left w:w="18" w:type="dxa"/>
              <w:bottom w:w="0" w:type="dxa"/>
              <w:right w:w="18" w:type="dxa"/>
            </w:tcMar>
            <w:vAlign w:val="bottom"/>
          </w:tcPr>
          <w:p w14:paraId="5E96E8E0" w14:textId="77777777" w:rsidR="00224102" w:rsidRPr="00604C75" w:rsidRDefault="00224102" w:rsidP="00224102">
            <w:pPr>
              <w:spacing w:line="226" w:lineRule="auto"/>
              <w:rPr>
                <w:rFonts w:eastAsia="Arial Unicode MS"/>
                <w:b/>
                <w:bCs/>
                <w:noProof/>
                <w:sz w:val="14"/>
                <w:szCs w:val="14"/>
                <w:lang w:val="tr-TR"/>
              </w:rPr>
            </w:pPr>
            <w:r w:rsidRPr="00604C75">
              <w:rPr>
                <w:rFonts w:eastAsia="Arial Unicode MS"/>
                <w:b/>
                <w:bCs/>
                <w:noProof/>
                <w:sz w:val="14"/>
                <w:szCs w:val="14"/>
                <w:lang w:val="tr-TR"/>
              </w:rPr>
              <w:t>MISCELLANEOUS PAYABLES</w:t>
            </w:r>
          </w:p>
        </w:tc>
        <w:tc>
          <w:tcPr>
            <w:tcW w:w="640" w:type="dxa"/>
            <w:noWrap/>
            <w:tcMar>
              <w:top w:w="18" w:type="dxa"/>
              <w:left w:w="18" w:type="dxa"/>
              <w:bottom w:w="0" w:type="dxa"/>
              <w:right w:w="18" w:type="dxa"/>
            </w:tcMar>
            <w:vAlign w:val="bottom"/>
          </w:tcPr>
          <w:p w14:paraId="5E70BC5B" w14:textId="1AA59A84"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25F6C6E0" w14:textId="260B7D1E" w:rsidR="00224102" w:rsidRPr="00850582" w:rsidRDefault="00224102" w:rsidP="00224102">
            <w:pPr>
              <w:jc w:val="right"/>
              <w:rPr>
                <w:b/>
                <w:bCs/>
                <w:sz w:val="14"/>
                <w:szCs w:val="14"/>
              </w:rPr>
            </w:pPr>
            <w:r w:rsidRPr="00850582">
              <w:rPr>
                <w:b/>
                <w:bCs/>
                <w:sz w:val="14"/>
                <w:szCs w:val="14"/>
              </w:rPr>
              <w:t>94,534</w:t>
            </w:r>
          </w:p>
        </w:tc>
        <w:tc>
          <w:tcPr>
            <w:tcW w:w="759" w:type="dxa"/>
            <w:noWrap/>
            <w:tcMar>
              <w:top w:w="18" w:type="dxa"/>
              <w:left w:w="18" w:type="dxa"/>
              <w:bottom w:w="0" w:type="dxa"/>
              <w:right w:w="18" w:type="dxa"/>
            </w:tcMar>
            <w:vAlign w:val="bottom"/>
          </w:tcPr>
          <w:p w14:paraId="073854B9" w14:textId="1D9E2652" w:rsidR="00224102" w:rsidRPr="00850582" w:rsidRDefault="00224102" w:rsidP="00224102">
            <w:pPr>
              <w:jc w:val="right"/>
              <w:rPr>
                <w:b/>
                <w:bCs/>
                <w:sz w:val="14"/>
                <w:szCs w:val="14"/>
              </w:rPr>
            </w:pPr>
            <w:r w:rsidRPr="00850582">
              <w:rPr>
                <w:b/>
                <w:bCs/>
                <w:sz w:val="14"/>
                <w:szCs w:val="14"/>
              </w:rPr>
              <w:t>124,914</w:t>
            </w:r>
          </w:p>
        </w:tc>
        <w:tc>
          <w:tcPr>
            <w:tcW w:w="720" w:type="dxa"/>
            <w:noWrap/>
            <w:tcMar>
              <w:top w:w="18" w:type="dxa"/>
              <w:left w:w="18" w:type="dxa"/>
              <w:bottom w:w="0" w:type="dxa"/>
              <w:right w:w="18" w:type="dxa"/>
            </w:tcMar>
            <w:vAlign w:val="bottom"/>
          </w:tcPr>
          <w:p w14:paraId="1716EC6A" w14:textId="0A09124E" w:rsidR="00224102" w:rsidRPr="00850582" w:rsidRDefault="00224102" w:rsidP="00224102">
            <w:pPr>
              <w:jc w:val="right"/>
              <w:rPr>
                <w:b/>
                <w:bCs/>
                <w:sz w:val="14"/>
                <w:szCs w:val="14"/>
              </w:rPr>
            </w:pPr>
            <w:r w:rsidRPr="00850582">
              <w:rPr>
                <w:b/>
                <w:bCs/>
                <w:sz w:val="14"/>
                <w:szCs w:val="14"/>
              </w:rPr>
              <w:t>219,448</w:t>
            </w:r>
          </w:p>
        </w:tc>
        <w:tc>
          <w:tcPr>
            <w:tcW w:w="733" w:type="dxa"/>
            <w:noWrap/>
            <w:tcMar>
              <w:top w:w="18" w:type="dxa"/>
              <w:left w:w="18" w:type="dxa"/>
              <w:bottom w:w="0" w:type="dxa"/>
              <w:right w:w="18" w:type="dxa"/>
            </w:tcMar>
            <w:vAlign w:val="bottom"/>
          </w:tcPr>
          <w:p w14:paraId="6578629E" w14:textId="127C5DBD" w:rsidR="00224102" w:rsidRPr="00692926" w:rsidRDefault="00224102" w:rsidP="00224102">
            <w:pPr>
              <w:jc w:val="right"/>
              <w:rPr>
                <w:b/>
                <w:sz w:val="14"/>
                <w:szCs w:val="14"/>
              </w:rPr>
            </w:pPr>
            <w:r w:rsidRPr="00692926">
              <w:rPr>
                <w:b/>
                <w:sz w:val="14"/>
                <w:szCs w:val="14"/>
              </w:rPr>
              <w:t>148,449</w:t>
            </w:r>
          </w:p>
        </w:tc>
        <w:tc>
          <w:tcPr>
            <w:tcW w:w="707" w:type="dxa"/>
            <w:noWrap/>
            <w:tcMar>
              <w:top w:w="18" w:type="dxa"/>
              <w:left w:w="18" w:type="dxa"/>
              <w:bottom w:w="0" w:type="dxa"/>
              <w:right w:w="18" w:type="dxa"/>
            </w:tcMar>
            <w:vAlign w:val="bottom"/>
          </w:tcPr>
          <w:p w14:paraId="566C2582" w14:textId="486D34E7" w:rsidR="00224102" w:rsidRPr="00692926" w:rsidRDefault="00224102" w:rsidP="00224102">
            <w:pPr>
              <w:jc w:val="right"/>
              <w:rPr>
                <w:b/>
                <w:sz w:val="14"/>
                <w:szCs w:val="14"/>
              </w:rPr>
            </w:pPr>
            <w:r w:rsidRPr="00692926">
              <w:rPr>
                <w:b/>
                <w:sz w:val="14"/>
                <w:szCs w:val="14"/>
              </w:rPr>
              <w:t>82,749</w:t>
            </w:r>
          </w:p>
        </w:tc>
        <w:tc>
          <w:tcPr>
            <w:tcW w:w="712" w:type="dxa"/>
            <w:noWrap/>
            <w:tcMar>
              <w:top w:w="18" w:type="dxa"/>
              <w:left w:w="18" w:type="dxa"/>
              <w:bottom w:w="0" w:type="dxa"/>
              <w:right w:w="18" w:type="dxa"/>
            </w:tcMar>
            <w:vAlign w:val="bottom"/>
          </w:tcPr>
          <w:p w14:paraId="0DE7CB77" w14:textId="4FF4B5FE" w:rsidR="00224102" w:rsidRPr="00692926" w:rsidRDefault="00224102" w:rsidP="00224102">
            <w:pPr>
              <w:jc w:val="right"/>
              <w:rPr>
                <w:b/>
                <w:sz w:val="14"/>
                <w:szCs w:val="14"/>
              </w:rPr>
            </w:pPr>
            <w:r w:rsidRPr="00692926">
              <w:rPr>
                <w:b/>
                <w:sz w:val="14"/>
                <w:szCs w:val="14"/>
              </w:rPr>
              <w:t>231,198</w:t>
            </w:r>
          </w:p>
        </w:tc>
      </w:tr>
      <w:tr w:rsidR="00224102" w:rsidRPr="00604C75" w14:paraId="663C0B76" w14:textId="77777777" w:rsidTr="00C26D33">
        <w:trPr>
          <w:trHeight w:val="75"/>
        </w:trPr>
        <w:tc>
          <w:tcPr>
            <w:tcW w:w="537" w:type="dxa"/>
            <w:noWrap/>
            <w:tcMar>
              <w:top w:w="18" w:type="dxa"/>
              <w:left w:w="18" w:type="dxa"/>
              <w:bottom w:w="0" w:type="dxa"/>
              <w:right w:w="18" w:type="dxa"/>
            </w:tcMar>
            <w:vAlign w:val="bottom"/>
          </w:tcPr>
          <w:p w14:paraId="7D866559"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VIII.</w:t>
            </w:r>
          </w:p>
        </w:tc>
        <w:tc>
          <w:tcPr>
            <w:tcW w:w="4615" w:type="dxa"/>
            <w:noWrap/>
            <w:tcMar>
              <w:top w:w="18" w:type="dxa"/>
              <w:left w:w="18" w:type="dxa"/>
              <w:bottom w:w="0" w:type="dxa"/>
              <w:right w:w="18" w:type="dxa"/>
            </w:tcMar>
            <w:vAlign w:val="bottom"/>
          </w:tcPr>
          <w:p w14:paraId="27EAF088"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OTHER LIABILITIES</w:t>
            </w:r>
          </w:p>
        </w:tc>
        <w:tc>
          <w:tcPr>
            <w:tcW w:w="640" w:type="dxa"/>
            <w:noWrap/>
            <w:tcMar>
              <w:top w:w="18" w:type="dxa"/>
              <w:left w:w="18" w:type="dxa"/>
              <w:bottom w:w="0" w:type="dxa"/>
              <w:right w:w="18" w:type="dxa"/>
            </w:tcMar>
            <w:vAlign w:val="bottom"/>
          </w:tcPr>
          <w:p w14:paraId="7B1A6C24" w14:textId="5FEC03B7"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II-d</w:t>
            </w:r>
          </w:p>
        </w:tc>
        <w:tc>
          <w:tcPr>
            <w:tcW w:w="779" w:type="dxa"/>
            <w:noWrap/>
            <w:tcMar>
              <w:top w:w="18" w:type="dxa"/>
              <w:left w:w="18" w:type="dxa"/>
              <w:bottom w:w="0" w:type="dxa"/>
              <w:right w:w="18" w:type="dxa"/>
            </w:tcMar>
            <w:vAlign w:val="bottom"/>
          </w:tcPr>
          <w:p w14:paraId="3FB3A002" w14:textId="0914B1EF" w:rsidR="00224102" w:rsidRPr="00850582" w:rsidRDefault="00224102" w:rsidP="00224102">
            <w:pPr>
              <w:jc w:val="right"/>
              <w:rPr>
                <w:b/>
                <w:bCs/>
                <w:sz w:val="14"/>
                <w:szCs w:val="14"/>
              </w:rPr>
            </w:pPr>
            <w:r w:rsidRPr="00850582">
              <w:rPr>
                <w:b/>
                <w:bCs/>
                <w:sz w:val="14"/>
                <w:szCs w:val="14"/>
              </w:rPr>
              <w:t>128,043</w:t>
            </w:r>
          </w:p>
        </w:tc>
        <w:tc>
          <w:tcPr>
            <w:tcW w:w="759" w:type="dxa"/>
            <w:noWrap/>
            <w:tcMar>
              <w:top w:w="18" w:type="dxa"/>
              <w:left w:w="18" w:type="dxa"/>
              <w:bottom w:w="0" w:type="dxa"/>
              <w:right w:w="18" w:type="dxa"/>
            </w:tcMar>
            <w:vAlign w:val="bottom"/>
          </w:tcPr>
          <w:p w14:paraId="690E3B2D" w14:textId="24425F68" w:rsidR="00224102" w:rsidRPr="00850582" w:rsidRDefault="00224102" w:rsidP="00224102">
            <w:pPr>
              <w:jc w:val="right"/>
              <w:rPr>
                <w:b/>
                <w:bCs/>
                <w:sz w:val="14"/>
                <w:szCs w:val="14"/>
              </w:rPr>
            </w:pPr>
            <w:r w:rsidRPr="00850582">
              <w:rPr>
                <w:b/>
                <w:bCs/>
                <w:sz w:val="14"/>
                <w:szCs w:val="14"/>
              </w:rPr>
              <w:t>11,042</w:t>
            </w:r>
          </w:p>
        </w:tc>
        <w:tc>
          <w:tcPr>
            <w:tcW w:w="720" w:type="dxa"/>
            <w:noWrap/>
            <w:tcMar>
              <w:top w:w="18" w:type="dxa"/>
              <w:left w:w="18" w:type="dxa"/>
              <w:bottom w:w="0" w:type="dxa"/>
              <w:right w:w="18" w:type="dxa"/>
            </w:tcMar>
            <w:vAlign w:val="bottom"/>
          </w:tcPr>
          <w:p w14:paraId="62010E01" w14:textId="059D162A" w:rsidR="00224102" w:rsidRPr="00850582" w:rsidRDefault="00224102" w:rsidP="00224102">
            <w:pPr>
              <w:jc w:val="right"/>
              <w:rPr>
                <w:b/>
                <w:bCs/>
                <w:sz w:val="14"/>
                <w:szCs w:val="14"/>
              </w:rPr>
            </w:pPr>
            <w:r w:rsidRPr="00850582">
              <w:rPr>
                <w:b/>
                <w:bCs/>
                <w:sz w:val="14"/>
                <w:szCs w:val="14"/>
              </w:rPr>
              <w:t>139,085</w:t>
            </w:r>
          </w:p>
        </w:tc>
        <w:tc>
          <w:tcPr>
            <w:tcW w:w="733" w:type="dxa"/>
            <w:noWrap/>
            <w:tcMar>
              <w:top w:w="18" w:type="dxa"/>
              <w:left w:w="18" w:type="dxa"/>
              <w:bottom w:w="0" w:type="dxa"/>
              <w:right w:w="18" w:type="dxa"/>
            </w:tcMar>
            <w:vAlign w:val="bottom"/>
          </w:tcPr>
          <w:p w14:paraId="5D832257" w14:textId="0BE4E62A" w:rsidR="00224102" w:rsidRPr="00692926" w:rsidRDefault="00224102" w:rsidP="00224102">
            <w:pPr>
              <w:jc w:val="right"/>
              <w:rPr>
                <w:b/>
                <w:sz w:val="14"/>
                <w:szCs w:val="14"/>
              </w:rPr>
            </w:pPr>
            <w:r w:rsidRPr="00692926">
              <w:rPr>
                <w:b/>
                <w:sz w:val="14"/>
                <w:szCs w:val="14"/>
              </w:rPr>
              <w:t>144,436</w:t>
            </w:r>
          </w:p>
        </w:tc>
        <w:tc>
          <w:tcPr>
            <w:tcW w:w="707" w:type="dxa"/>
            <w:noWrap/>
            <w:tcMar>
              <w:top w:w="18" w:type="dxa"/>
              <w:left w:w="18" w:type="dxa"/>
              <w:bottom w:w="0" w:type="dxa"/>
              <w:right w:w="18" w:type="dxa"/>
            </w:tcMar>
            <w:vAlign w:val="bottom"/>
          </w:tcPr>
          <w:p w14:paraId="0AC9459E" w14:textId="339FBF12" w:rsidR="00224102" w:rsidRPr="00692926" w:rsidRDefault="00224102" w:rsidP="00224102">
            <w:pPr>
              <w:jc w:val="right"/>
              <w:rPr>
                <w:b/>
                <w:sz w:val="14"/>
                <w:szCs w:val="14"/>
              </w:rPr>
            </w:pPr>
            <w:r w:rsidRPr="00692926">
              <w:rPr>
                <w:b/>
                <w:sz w:val="14"/>
                <w:szCs w:val="14"/>
              </w:rPr>
              <w:t>6,083</w:t>
            </w:r>
          </w:p>
        </w:tc>
        <w:tc>
          <w:tcPr>
            <w:tcW w:w="712" w:type="dxa"/>
            <w:noWrap/>
            <w:tcMar>
              <w:top w:w="18" w:type="dxa"/>
              <w:left w:w="18" w:type="dxa"/>
              <w:bottom w:w="0" w:type="dxa"/>
              <w:right w:w="18" w:type="dxa"/>
            </w:tcMar>
            <w:vAlign w:val="bottom"/>
          </w:tcPr>
          <w:p w14:paraId="668061FD" w14:textId="35EE0573" w:rsidR="00224102" w:rsidRPr="00692926" w:rsidRDefault="00224102" w:rsidP="00224102">
            <w:pPr>
              <w:jc w:val="right"/>
              <w:rPr>
                <w:b/>
                <w:sz w:val="14"/>
                <w:szCs w:val="14"/>
              </w:rPr>
            </w:pPr>
            <w:r w:rsidRPr="00692926">
              <w:rPr>
                <w:b/>
                <w:sz w:val="14"/>
                <w:szCs w:val="14"/>
              </w:rPr>
              <w:t>150,519</w:t>
            </w:r>
          </w:p>
        </w:tc>
      </w:tr>
      <w:tr w:rsidR="00224102" w:rsidRPr="00604C75" w14:paraId="57A4918A" w14:textId="77777777" w:rsidTr="00C26D33">
        <w:trPr>
          <w:trHeight w:val="74"/>
        </w:trPr>
        <w:tc>
          <w:tcPr>
            <w:tcW w:w="537" w:type="dxa"/>
            <w:noWrap/>
            <w:tcMar>
              <w:top w:w="18" w:type="dxa"/>
              <w:left w:w="18" w:type="dxa"/>
              <w:bottom w:w="0" w:type="dxa"/>
              <w:right w:w="18" w:type="dxa"/>
            </w:tcMar>
            <w:vAlign w:val="bottom"/>
          </w:tcPr>
          <w:p w14:paraId="2890A4EE"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IX.</w:t>
            </w:r>
          </w:p>
        </w:tc>
        <w:tc>
          <w:tcPr>
            <w:tcW w:w="4615" w:type="dxa"/>
            <w:noWrap/>
            <w:tcMar>
              <w:top w:w="18" w:type="dxa"/>
              <w:left w:w="18" w:type="dxa"/>
              <w:bottom w:w="0" w:type="dxa"/>
              <w:right w:w="18" w:type="dxa"/>
            </w:tcMar>
            <w:vAlign w:val="bottom"/>
          </w:tcPr>
          <w:p w14:paraId="501409FD"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FACTORING PAYABLES</w:t>
            </w:r>
          </w:p>
        </w:tc>
        <w:tc>
          <w:tcPr>
            <w:tcW w:w="640" w:type="dxa"/>
            <w:noWrap/>
            <w:tcMar>
              <w:top w:w="18" w:type="dxa"/>
              <w:left w:w="18" w:type="dxa"/>
              <w:bottom w:w="0" w:type="dxa"/>
              <w:right w:w="18" w:type="dxa"/>
            </w:tcMar>
            <w:vAlign w:val="bottom"/>
          </w:tcPr>
          <w:p w14:paraId="2BD00C59" w14:textId="3E8CE57F"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 </w:t>
            </w:r>
          </w:p>
        </w:tc>
        <w:tc>
          <w:tcPr>
            <w:tcW w:w="779" w:type="dxa"/>
            <w:noWrap/>
            <w:tcMar>
              <w:top w:w="18" w:type="dxa"/>
              <w:left w:w="18" w:type="dxa"/>
              <w:bottom w:w="0" w:type="dxa"/>
              <w:right w:w="18" w:type="dxa"/>
            </w:tcMar>
            <w:vAlign w:val="bottom"/>
          </w:tcPr>
          <w:p w14:paraId="67767936" w14:textId="361CAB98" w:rsidR="00224102" w:rsidRPr="00850582" w:rsidRDefault="00224102" w:rsidP="00224102">
            <w:pPr>
              <w:jc w:val="right"/>
              <w:rPr>
                <w:b/>
                <w:bCs/>
                <w:sz w:val="14"/>
                <w:szCs w:val="14"/>
              </w:rPr>
            </w:pPr>
            <w:r w:rsidRPr="00850582">
              <w:rPr>
                <w:b/>
                <w:bCs/>
                <w:sz w:val="14"/>
                <w:szCs w:val="14"/>
              </w:rPr>
              <w:t>-</w:t>
            </w:r>
          </w:p>
        </w:tc>
        <w:tc>
          <w:tcPr>
            <w:tcW w:w="759" w:type="dxa"/>
            <w:noWrap/>
            <w:tcMar>
              <w:top w:w="18" w:type="dxa"/>
              <w:left w:w="18" w:type="dxa"/>
              <w:bottom w:w="0" w:type="dxa"/>
              <w:right w:w="18" w:type="dxa"/>
            </w:tcMar>
            <w:vAlign w:val="bottom"/>
          </w:tcPr>
          <w:p w14:paraId="47150660" w14:textId="78DC3CD4" w:rsidR="00224102" w:rsidRPr="00850582" w:rsidRDefault="00224102" w:rsidP="00224102">
            <w:pPr>
              <w:jc w:val="right"/>
              <w:rPr>
                <w:b/>
                <w:bCs/>
                <w:sz w:val="14"/>
                <w:szCs w:val="14"/>
              </w:rPr>
            </w:pPr>
            <w:r w:rsidRPr="00850582">
              <w:rPr>
                <w:b/>
                <w:bCs/>
                <w:sz w:val="14"/>
                <w:szCs w:val="14"/>
              </w:rPr>
              <w:t>-</w:t>
            </w:r>
          </w:p>
        </w:tc>
        <w:tc>
          <w:tcPr>
            <w:tcW w:w="720" w:type="dxa"/>
            <w:noWrap/>
            <w:tcMar>
              <w:top w:w="18" w:type="dxa"/>
              <w:left w:w="18" w:type="dxa"/>
              <w:bottom w:w="0" w:type="dxa"/>
              <w:right w:w="18" w:type="dxa"/>
            </w:tcMar>
            <w:vAlign w:val="bottom"/>
          </w:tcPr>
          <w:p w14:paraId="0CA27116" w14:textId="6282CF6E" w:rsidR="00224102" w:rsidRPr="00850582" w:rsidRDefault="00224102" w:rsidP="00224102">
            <w:pPr>
              <w:jc w:val="right"/>
              <w:rPr>
                <w:b/>
                <w:bCs/>
                <w:sz w:val="14"/>
                <w:szCs w:val="14"/>
              </w:rPr>
            </w:pPr>
            <w:r w:rsidRPr="00850582">
              <w:rPr>
                <w:b/>
                <w:bCs/>
                <w:sz w:val="14"/>
                <w:szCs w:val="14"/>
              </w:rPr>
              <w:t>-</w:t>
            </w:r>
          </w:p>
        </w:tc>
        <w:tc>
          <w:tcPr>
            <w:tcW w:w="733" w:type="dxa"/>
            <w:noWrap/>
            <w:tcMar>
              <w:top w:w="18" w:type="dxa"/>
              <w:left w:w="18" w:type="dxa"/>
              <w:bottom w:w="0" w:type="dxa"/>
              <w:right w:w="18" w:type="dxa"/>
            </w:tcMar>
            <w:vAlign w:val="bottom"/>
          </w:tcPr>
          <w:p w14:paraId="4ED91529" w14:textId="30CFDA68" w:rsidR="00224102" w:rsidRPr="00E83EAC" w:rsidRDefault="00224102" w:rsidP="00224102">
            <w:pPr>
              <w:jc w:val="right"/>
              <w:rPr>
                <w:b/>
                <w:sz w:val="14"/>
                <w:szCs w:val="14"/>
              </w:rPr>
            </w:pPr>
            <w:r w:rsidRPr="004F7E74">
              <w:rPr>
                <w:b/>
                <w:sz w:val="14"/>
                <w:szCs w:val="14"/>
              </w:rPr>
              <w:t>-</w:t>
            </w:r>
          </w:p>
        </w:tc>
        <w:tc>
          <w:tcPr>
            <w:tcW w:w="707" w:type="dxa"/>
            <w:noWrap/>
            <w:tcMar>
              <w:top w:w="18" w:type="dxa"/>
              <w:left w:w="18" w:type="dxa"/>
              <w:bottom w:w="0" w:type="dxa"/>
              <w:right w:w="18" w:type="dxa"/>
            </w:tcMar>
            <w:vAlign w:val="bottom"/>
          </w:tcPr>
          <w:p w14:paraId="790D9A43" w14:textId="184E1700" w:rsidR="00224102" w:rsidRPr="00E83EAC" w:rsidRDefault="00224102" w:rsidP="00224102">
            <w:pPr>
              <w:jc w:val="right"/>
              <w:rPr>
                <w:b/>
                <w:sz w:val="14"/>
                <w:szCs w:val="14"/>
              </w:rPr>
            </w:pPr>
            <w:r w:rsidRPr="004F7E74">
              <w:rPr>
                <w:b/>
                <w:sz w:val="14"/>
                <w:szCs w:val="14"/>
              </w:rPr>
              <w:t>-</w:t>
            </w:r>
          </w:p>
        </w:tc>
        <w:tc>
          <w:tcPr>
            <w:tcW w:w="712" w:type="dxa"/>
            <w:noWrap/>
            <w:tcMar>
              <w:top w:w="18" w:type="dxa"/>
              <w:left w:w="18" w:type="dxa"/>
              <w:bottom w:w="0" w:type="dxa"/>
              <w:right w:w="18" w:type="dxa"/>
            </w:tcMar>
            <w:vAlign w:val="bottom"/>
          </w:tcPr>
          <w:p w14:paraId="19E3EA6A" w14:textId="36FDCB77" w:rsidR="00224102" w:rsidRPr="00E83EAC" w:rsidRDefault="00224102" w:rsidP="00224102">
            <w:pPr>
              <w:jc w:val="right"/>
              <w:rPr>
                <w:b/>
                <w:sz w:val="14"/>
                <w:szCs w:val="14"/>
              </w:rPr>
            </w:pPr>
            <w:r w:rsidRPr="004F7E74">
              <w:rPr>
                <w:b/>
                <w:sz w:val="14"/>
                <w:szCs w:val="14"/>
              </w:rPr>
              <w:t>-</w:t>
            </w:r>
          </w:p>
        </w:tc>
      </w:tr>
      <w:tr w:rsidR="00224102" w:rsidRPr="00604C75" w14:paraId="37F64ED9" w14:textId="77777777" w:rsidTr="00C26D33">
        <w:trPr>
          <w:trHeight w:val="72"/>
        </w:trPr>
        <w:tc>
          <w:tcPr>
            <w:tcW w:w="537" w:type="dxa"/>
            <w:noWrap/>
            <w:tcMar>
              <w:top w:w="18" w:type="dxa"/>
              <w:left w:w="18" w:type="dxa"/>
              <w:bottom w:w="0" w:type="dxa"/>
              <w:right w:w="18" w:type="dxa"/>
            </w:tcMar>
            <w:vAlign w:val="bottom"/>
          </w:tcPr>
          <w:p w14:paraId="5F703B57"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X.</w:t>
            </w:r>
          </w:p>
        </w:tc>
        <w:tc>
          <w:tcPr>
            <w:tcW w:w="4615" w:type="dxa"/>
            <w:noWrap/>
            <w:tcMar>
              <w:top w:w="18" w:type="dxa"/>
              <w:left w:w="18" w:type="dxa"/>
              <w:bottom w:w="0" w:type="dxa"/>
              <w:right w:w="18" w:type="dxa"/>
            </w:tcMar>
            <w:vAlign w:val="bottom"/>
          </w:tcPr>
          <w:p w14:paraId="6FA15B22"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LEASE PAYABLES (Net)</w:t>
            </w:r>
          </w:p>
        </w:tc>
        <w:tc>
          <w:tcPr>
            <w:tcW w:w="640" w:type="dxa"/>
            <w:noWrap/>
            <w:tcMar>
              <w:top w:w="18" w:type="dxa"/>
              <w:left w:w="18" w:type="dxa"/>
              <w:bottom w:w="0" w:type="dxa"/>
              <w:right w:w="18" w:type="dxa"/>
            </w:tcMar>
            <w:vAlign w:val="bottom"/>
          </w:tcPr>
          <w:p w14:paraId="1C322216" w14:textId="2D035C53"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II-e</w:t>
            </w:r>
          </w:p>
        </w:tc>
        <w:tc>
          <w:tcPr>
            <w:tcW w:w="779" w:type="dxa"/>
            <w:noWrap/>
            <w:tcMar>
              <w:top w:w="18" w:type="dxa"/>
              <w:left w:w="18" w:type="dxa"/>
              <w:bottom w:w="0" w:type="dxa"/>
              <w:right w:w="18" w:type="dxa"/>
            </w:tcMar>
            <w:vAlign w:val="bottom"/>
          </w:tcPr>
          <w:p w14:paraId="4A526DD9" w14:textId="05A2CB15" w:rsidR="00224102" w:rsidRPr="00850582" w:rsidRDefault="00224102" w:rsidP="00224102">
            <w:pPr>
              <w:jc w:val="right"/>
              <w:rPr>
                <w:b/>
                <w:bCs/>
                <w:sz w:val="14"/>
                <w:szCs w:val="14"/>
              </w:rPr>
            </w:pPr>
            <w:r w:rsidRPr="00850582">
              <w:rPr>
                <w:b/>
                <w:bCs/>
                <w:sz w:val="14"/>
                <w:szCs w:val="14"/>
              </w:rPr>
              <w:t>-</w:t>
            </w:r>
          </w:p>
        </w:tc>
        <w:tc>
          <w:tcPr>
            <w:tcW w:w="759" w:type="dxa"/>
            <w:noWrap/>
            <w:tcMar>
              <w:top w:w="18" w:type="dxa"/>
              <w:left w:w="18" w:type="dxa"/>
              <w:bottom w:w="0" w:type="dxa"/>
              <w:right w:w="18" w:type="dxa"/>
            </w:tcMar>
            <w:vAlign w:val="bottom"/>
          </w:tcPr>
          <w:p w14:paraId="574CFF16" w14:textId="5E2319AD" w:rsidR="00224102" w:rsidRPr="00850582" w:rsidRDefault="00224102" w:rsidP="00224102">
            <w:pPr>
              <w:jc w:val="right"/>
              <w:rPr>
                <w:b/>
                <w:bCs/>
                <w:sz w:val="14"/>
                <w:szCs w:val="14"/>
              </w:rPr>
            </w:pPr>
            <w:r w:rsidRPr="00850582">
              <w:rPr>
                <w:b/>
                <w:bCs/>
                <w:sz w:val="14"/>
                <w:szCs w:val="14"/>
              </w:rPr>
              <w:t>-</w:t>
            </w:r>
          </w:p>
        </w:tc>
        <w:tc>
          <w:tcPr>
            <w:tcW w:w="720" w:type="dxa"/>
            <w:noWrap/>
            <w:tcMar>
              <w:top w:w="18" w:type="dxa"/>
              <w:left w:w="18" w:type="dxa"/>
              <w:bottom w:w="0" w:type="dxa"/>
              <w:right w:w="18" w:type="dxa"/>
            </w:tcMar>
            <w:vAlign w:val="bottom"/>
          </w:tcPr>
          <w:p w14:paraId="3FE2E65A" w14:textId="3306A7B9" w:rsidR="00224102" w:rsidRPr="00850582" w:rsidRDefault="00224102" w:rsidP="00224102">
            <w:pPr>
              <w:jc w:val="right"/>
              <w:rPr>
                <w:b/>
                <w:bCs/>
                <w:sz w:val="14"/>
                <w:szCs w:val="14"/>
              </w:rPr>
            </w:pPr>
            <w:r w:rsidRPr="00850582">
              <w:rPr>
                <w:b/>
                <w:bCs/>
                <w:sz w:val="14"/>
                <w:szCs w:val="14"/>
              </w:rPr>
              <w:t>-</w:t>
            </w:r>
          </w:p>
        </w:tc>
        <w:tc>
          <w:tcPr>
            <w:tcW w:w="733" w:type="dxa"/>
            <w:noWrap/>
            <w:tcMar>
              <w:top w:w="18" w:type="dxa"/>
              <w:left w:w="18" w:type="dxa"/>
              <w:bottom w:w="0" w:type="dxa"/>
              <w:right w:w="18" w:type="dxa"/>
            </w:tcMar>
            <w:vAlign w:val="bottom"/>
          </w:tcPr>
          <w:p w14:paraId="7EABF218" w14:textId="1089CAE4" w:rsidR="00224102" w:rsidRPr="00E83EAC" w:rsidRDefault="00224102" w:rsidP="00224102">
            <w:pPr>
              <w:jc w:val="right"/>
              <w:rPr>
                <w:b/>
                <w:sz w:val="14"/>
                <w:szCs w:val="14"/>
              </w:rPr>
            </w:pPr>
            <w:r w:rsidRPr="004F7E74">
              <w:rPr>
                <w:b/>
                <w:sz w:val="14"/>
                <w:szCs w:val="14"/>
              </w:rPr>
              <w:t>-</w:t>
            </w:r>
          </w:p>
        </w:tc>
        <w:tc>
          <w:tcPr>
            <w:tcW w:w="707" w:type="dxa"/>
            <w:noWrap/>
            <w:tcMar>
              <w:top w:w="18" w:type="dxa"/>
              <w:left w:w="18" w:type="dxa"/>
              <w:bottom w:w="0" w:type="dxa"/>
              <w:right w:w="18" w:type="dxa"/>
            </w:tcMar>
            <w:vAlign w:val="bottom"/>
          </w:tcPr>
          <w:p w14:paraId="25737609" w14:textId="5A903716" w:rsidR="00224102" w:rsidRPr="00E83EAC" w:rsidRDefault="00224102" w:rsidP="00224102">
            <w:pPr>
              <w:jc w:val="right"/>
              <w:rPr>
                <w:b/>
                <w:sz w:val="14"/>
                <w:szCs w:val="14"/>
              </w:rPr>
            </w:pPr>
            <w:r w:rsidRPr="004F7E74">
              <w:rPr>
                <w:b/>
                <w:sz w:val="14"/>
                <w:szCs w:val="14"/>
              </w:rPr>
              <w:t>-</w:t>
            </w:r>
          </w:p>
        </w:tc>
        <w:tc>
          <w:tcPr>
            <w:tcW w:w="712" w:type="dxa"/>
            <w:noWrap/>
            <w:tcMar>
              <w:top w:w="18" w:type="dxa"/>
              <w:left w:w="18" w:type="dxa"/>
              <w:bottom w:w="0" w:type="dxa"/>
              <w:right w:w="18" w:type="dxa"/>
            </w:tcMar>
            <w:vAlign w:val="bottom"/>
          </w:tcPr>
          <w:p w14:paraId="5983FFB9" w14:textId="753B5C12" w:rsidR="00224102" w:rsidRPr="00E83EAC" w:rsidRDefault="00224102" w:rsidP="00224102">
            <w:pPr>
              <w:jc w:val="right"/>
              <w:rPr>
                <w:b/>
                <w:sz w:val="14"/>
                <w:szCs w:val="14"/>
              </w:rPr>
            </w:pPr>
            <w:r w:rsidRPr="004F7E74">
              <w:rPr>
                <w:b/>
                <w:sz w:val="14"/>
                <w:szCs w:val="14"/>
              </w:rPr>
              <w:t>-</w:t>
            </w:r>
          </w:p>
        </w:tc>
      </w:tr>
      <w:tr w:rsidR="00224102" w:rsidRPr="00604C75" w14:paraId="4EBA388D" w14:textId="77777777" w:rsidTr="00C26D33">
        <w:trPr>
          <w:trHeight w:val="72"/>
        </w:trPr>
        <w:tc>
          <w:tcPr>
            <w:tcW w:w="537" w:type="dxa"/>
            <w:noWrap/>
            <w:tcMar>
              <w:top w:w="18" w:type="dxa"/>
              <w:left w:w="18" w:type="dxa"/>
              <w:bottom w:w="0" w:type="dxa"/>
              <w:right w:w="18" w:type="dxa"/>
            </w:tcMar>
            <w:vAlign w:val="bottom"/>
          </w:tcPr>
          <w:p w14:paraId="7F3BB139"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Cs/>
                <w:noProof/>
                <w:sz w:val="14"/>
                <w:szCs w:val="14"/>
                <w:lang w:val="tr-TR"/>
              </w:rPr>
              <w:t>10.1</w:t>
            </w:r>
          </w:p>
        </w:tc>
        <w:tc>
          <w:tcPr>
            <w:tcW w:w="4615" w:type="dxa"/>
            <w:noWrap/>
            <w:tcMar>
              <w:top w:w="18" w:type="dxa"/>
              <w:left w:w="18" w:type="dxa"/>
              <w:bottom w:w="0" w:type="dxa"/>
              <w:right w:w="18" w:type="dxa"/>
            </w:tcMar>
            <w:vAlign w:val="bottom"/>
          </w:tcPr>
          <w:p w14:paraId="300AC21B"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Finance Lease Payables</w:t>
            </w:r>
          </w:p>
        </w:tc>
        <w:tc>
          <w:tcPr>
            <w:tcW w:w="640" w:type="dxa"/>
            <w:noWrap/>
            <w:tcMar>
              <w:top w:w="18" w:type="dxa"/>
              <w:left w:w="18" w:type="dxa"/>
              <w:bottom w:w="0" w:type="dxa"/>
              <w:right w:w="18" w:type="dxa"/>
            </w:tcMar>
            <w:vAlign w:val="bottom"/>
          </w:tcPr>
          <w:p w14:paraId="27C55CF4" w14:textId="77777777" w:rsidR="00224102" w:rsidRPr="00604C75" w:rsidRDefault="00224102" w:rsidP="00224102">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14:paraId="598BB9A2" w14:textId="447D2B77"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605D5025" w14:textId="487F76CD"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76D8828A" w14:textId="043D228C"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6B14E5EF" w14:textId="47CB395E"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1BC60121" w14:textId="5FECA8AB"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162619D8" w14:textId="13BC5535" w:rsidR="00224102" w:rsidRPr="00692926" w:rsidRDefault="00224102" w:rsidP="00224102">
            <w:pPr>
              <w:jc w:val="right"/>
              <w:rPr>
                <w:sz w:val="14"/>
                <w:szCs w:val="14"/>
              </w:rPr>
            </w:pPr>
            <w:r w:rsidRPr="00692926">
              <w:rPr>
                <w:sz w:val="14"/>
                <w:szCs w:val="14"/>
              </w:rPr>
              <w:t>-</w:t>
            </w:r>
          </w:p>
        </w:tc>
      </w:tr>
      <w:tr w:rsidR="00224102" w:rsidRPr="00604C75" w14:paraId="73C7AE89" w14:textId="77777777" w:rsidTr="00C26D33">
        <w:trPr>
          <w:trHeight w:val="72"/>
        </w:trPr>
        <w:tc>
          <w:tcPr>
            <w:tcW w:w="537" w:type="dxa"/>
            <w:noWrap/>
            <w:tcMar>
              <w:top w:w="18" w:type="dxa"/>
              <w:left w:w="18" w:type="dxa"/>
              <w:bottom w:w="0" w:type="dxa"/>
              <w:right w:w="18" w:type="dxa"/>
            </w:tcMar>
            <w:vAlign w:val="bottom"/>
          </w:tcPr>
          <w:p w14:paraId="59186531" w14:textId="77777777" w:rsidR="00224102" w:rsidRPr="00604C75" w:rsidRDefault="00224102" w:rsidP="00224102">
            <w:pPr>
              <w:spacing w:line="226" w:lineRule="auto"/>
              <w:rPr>
                <w:rFonts w:eastAsia="Arial Unicode MS"/>
                <w:bCs/>
                <w:noProof/>
                <w:sz w:val="14"/>
                <w:szCs w:val="14"/>
                <w:lang w:val="tr-TR"/>
              </w:rPr>
            </w:pPr>
            <w:r w:rsidRPr="00604C75">
              <w:rPr>
                <w:noProof/>
                <w:sz w:val="14"/>
                <w:szCs w:val="14"/>
                <w:lang w:val="tr-TR"/>
              </w:rPr>
              <w:t>10.2</w:t>
            </w:r>
          </w:p>
        </w:tc>
        <w:tc>
          <w:tcPr>
            <w:tcW w:w="4615" w:type="dxa"/>
            <w:noWrap/>
            <w:tcMar>
              <w:top w:w="18" w:type="dxa"/>
              <w:left w:w="18" w:type="dxa"/>
              <w:bottom w:w="0" w:type="dxa"/>
              <w:right w:w="18" w:type="dxa"/>
            </w:tcMar>
            <w:vAlign w:val="bottom"/>
          </w:tcPr>
          <w:p w14:paraId="17EEFF31"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Operating Lease Payables</w:t>
            </w:r>
          </w:p>
        </w:tc>
        <w:tc>
          <w:tcPr>
            <w:tcW w:w="640" w:type="dxa"/>
            <w:noWrap/>
            <w:tcMar>
              <w:top w:w="18" w:type="dxa"/>
              <w:left w:w="18" w:type="dxa"/>
              <w:bottom w:w="0" w:type="dxa"/>
              <w:right w:w="18" w:type="dxa"/>
            </w:tcMar>
            <w:vAlign w:val="bottom"/>
          </w:tcPr>
          <w:p w14:paraId="46C0ADFA" w14:textId="25E81B13"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68DF2BFB" w14:textId="7929CB60"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54A7260E" w14:textId="74BABE26"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2B6BDA2D" w14:textId="7E8D9205"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639DCA2F" w14:textId="47252EAB"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3762651C" w14:textId="4E266F1A"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54CDBC8F" w14:textId="78BB96CB" w:rsidR="00224102" w:rsidRPr="00692926" w:rsidRDefault="00224102" w:rsidP="00224102">
            <w:pPr>
              <w:jc w:val="right"/>
              <w:rPr>
                <w:sz w:val="14"/>
                <w:szCs w:val="14"/>
              </w:rPr>
            </w:pPr>
            <w:r w:rsidRPr="00692926">
              <w:rPr>
                <w:sz w:val="14"/>
                <w:szCs w:val="14"/>
              </w:rPr>
              <w:t>-</w:t>
            </w:r>
          </w:p>
        </w:tc>
      </w:tr>
      <w:tr w:rsidR="00224102" w:rsidRPr="00604C75" w14:paraId="33AFABAE" w14:textId="77777777" w:rsidTr="00C26D33">
        <w:trPr>
          <w:trHeight w:val="72"/>
        </w:trPr>
        <w:tc>
          <w:tcPr>
            <w:tcW w:w="537" w:type="dxa"/>
            <w:noWrap/>
            <w:tcMar>
              <w:top w:w="18" w:type="dxa"/>
              <w:left w:w="18" w:type="dxa"/>
              <w:bottom w:w="0" w:type="dxa"/>
              <w:right w:w="18" w:type="dxa"/>
            </w:tcMar>
            <w:vAlign w:val="bottom"/>
          </w:tcPr>
          <w:p w14:paraId="4E7FAFE3"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10.3</w:t>
            </w:r>
          </w:p>
        </w:tc>
        <w:tc>
          <w:tcPr>
            <w:tcW w:w="4615" w:type="dxa"/>
            <w:noWrap/>
            <w:tcMar>
              <w:top w:w="18" w:type="dxa"/>
              <w:left w:w="18" w:type="dxa"/>
              <w:bottom w:w="0" w:type="dxa"/>
              <w:right w:w="18" w:type="dxa"/>
            </w:tcMar>
            <w:vAlign w:val="bottom"/>
          </w:tcPr>
          <w:p w14:paraId="138B6385"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Other</w:t>
            </w:r>
          </w:p>
        </w:tc>
        <w:tc>
          <w:tcPr>
            <w:tcW w:w="640" w:type="dxa"/>
            <w:noWrap/>
            <w:tcMar>
              <w:top w:w="18" w:type="dxa"/>
              <w:left w:w="18" w:type="dxa"/>
              <w:bottom w:w="0" w:type="dxa"/>
              <w:right w:w="18" w:type="dxa"/>
            </w:tcMar>
            <w:vAlign w:val="bottom"/>
          </w:tcPr>
          <w:p w14:paraId="6575A6CD" w14:textId="06364190"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6D8CFD3B" w14:textId="1DB4EE7A"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54DBBCD0" w14:textId="096A7A27"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0CE7657C" w14:textId="3946A812"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242D0B6F" w14:textId="368FDB7E"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6F1C5C71" w14:textId="1A7FACB0"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2E1340F4" w14:textId="28E4CC7C" w:rsidR="00224102" w:rsidRPr="00692926" w:rsidRDefault="00224102" w:rsidP="00224102">
            <w:pPr>
              <w:jc w:val="right"/>
              <w:rPr>
                <w:sz w:val="14"/>
                <w:szCs w:val="14"/>
              </w:rPr>
            </w:pPr>
            <w:r w:rsidRPr="00692926">
              <w:rPr>
                <w:sz w:val="14"/>
                <w:szCs w:val="14"/>
              </w:rPr>
              <w:t>-</w:t>
            </w:r>
          </w:p>
        </w:tc>
      </w:tr>
      <w:tr w:rsidR="00224102" w:rsidRPr="00604C75" w14:paraId="3973EC8C" w14:textId="77777777" w:rsidTr="00C26D33">
        <w:trPr>
          <w:trHeight w:val="72"/>
        </w:trPr>
        <w:tc>
          <w:tcPr>
            <w:tcW w:w="537" w:type="dxa"/>
            <w:noWrap/>
            <w:tcMar>
              <w:top w:w="18" w:type="dxa"/>
              <w:left w:w="18" w:type="dxa"/>
              <w:bottom w:w="0" w:type="dxa"/>
              <w:right w:w="18" w:type="dxa"/>
            </w:tcMar>
            <w:vAlign w:val="bottom"/>
          </w:tcPr>
          <w:p w14:paraId="755A0049"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10.4</w:t>
            </w:r>
          </w:p>
        </w:tc>
        <w:tc>
          <w:tcPr>
            <w:tcW w:w="4615" w:type="dxa"/>
            <w:noWrap/>
            <w:tcMar>
              <w:top w:w="18" w:type="dxa"/>
              <w:left w:w="18" w:type="dxa"/>
              <w:bottom w:w="0" w:type="dxa"/>
              <w:right w:w="18" w:type="dxa"/>
            </w:tcMar>
            <w:vAlign w:val="bottom"/>
          </w:tcPr>
          <w:p w14:paraId="18C9D4B4"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Deferred Financial Lease Expenses (-)</w:t>
            </w:r>
          </w:p>
        </w:tc>
        <w:tc>
          <w:tcPr>
            <w:tcW w:w="640" w:type="dxa"/>
            <w:noWrap/>
            <w:tcMar>
              <w:top w:w="18" w:type="dxa"/>
              <w:left w:w="18" w:type="dxa"/>
              <w:bottom w:w="0" w:type="dxa"/>
              <w:right w:w="18" w:type="dxa"/>
            </w:tcMar>
            <w:vAlign w:val="bottom"/>
          </w:tcPr>
          <w:p w14:paraId="11F1AB53" w14:textId="7D768BC1"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7F464FE3" w14:textId="56B0005B"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4773B545" w14:textId="64B0BAD8"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3CFDF102" w14:textId="7F574574"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7513A481" w14:textId="5B9BCEEC"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0D9ACD58" w14:textId="4C1B9C7A"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06C472C7" w14:textId="1C8FA956" w:rsidR="00224102" w:rsidRPr="00692926" w:rsidRDefault="00224102" w:rsidP="00224102">
            <w:pPr>
              <w:jc w:val="right"/>
              <w:rPr>
                <w:sz w:val="14"/>
                <w:szCs w:val="14"/>
              </w:rPr>
            </w:pPr>
            <w:r w:rsidRPr="00692926">
              <w:rPr>
                <w:sz w:val="14"/>
                <w:szCs w:val="14"/>
              </w:rPr>
              <w:t>-</w:t>
            </w:r>
          </w:p>
        </w:tc>
      </w:tr>
      <w:tr w:rsidR="00224102" w:rsidRPr="00604C75" w14:paraId="1420AE61" w14:textId="77777777" w:rsidTr="00C26D33">
        <w:trPr>
          <w:trHeight w:val="72"/>
        </w:trPr>
        <w:tc>
          <w:tcPr>
            <w:tcW w:w="537" w:type="dxa"/>
            <w:noWrap/>
            <w:tcMar>
              <w:top w:w="18" w:type="dxa"/>
              <w:left w:w="18" w:type="dxa"/>
              <w:bottom w:w="0" w:type="dxa"/>
              <w:right w:w="18" w:type="dxa"/>
            </w:tcMar>
            <w:vAlign w:val="bottom"/>
          </w:tcPr>
          <w:p w14:paraId="2F468FCD"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b/>
                <w:bCs/>
                <w:noProof/>
                <w:sz w:val="14"/>
                <w:szCs w:val="14"/>
                <w:lang w:val="tr-TR"/>
              </w:rPr>
              <w:t>XI.</w:t>
            </w:r>
          </w:p>
        </w:tc>
        <w:tc>
          <w:tcPr>
            <w:tcW w:w="4615" w:type="dxa"/>
            <w:noWrap/>
            <w:tcMar>
              <w:top w:w="18" w:type="dxa"/>
              <w:left w:w="18" w:type="dxa"/>
              <w:bottom w:w="0" w:type="dxa"/>
              <w:right w:w="18" w:type="dxa"/>
            </w:tcMar>
            <w:vAlign w:val="bottom"/>
          </w:tcPr>
          <w:p w14:paraId="41077640"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DERIVATIVE FINANCIAL LIABILITIES FOR HEDGING PURPOSES</w:t>
            </w:r>
          </w:p>
        </w:tc>
        <w:tc>
          <w:tcPr>
            <w:tcW w:w="640" w:type="dxa"/>
            <w:noWrap/>
            <w:tcMar>
              <w:top w:w="18" w:type="dxa"/>
              <w:left w:w="18" w:type="dxa"/>
              <w:bottom w:w="0" w:type="dxa"/>
              <w:right w:w="18" w:type="dxa"/>
            </w:tcMar>
            <w:vAlign w:val="bottom"/>
          </w:tcPr>
          <w:p w14:paraId="565059BA" w14:textId="6E0254B0" w:rsidR="00224102" w:rsidRPr="00604C75" w:rsidRDefault="00224102" w:rsidP="00224102">
            <w:pPr>
              <w:spacing w:line="226" w:lineRule="auto"/>
              <w:jc w:val="center"/>
              <w:rPr>
                <w:rFonts w:eastAsia="Arial Unicode MS"/>
                <w:sz w:val="14"/>
                <w:szCs w:val="14"/>
              </w:rPr>
            </w:pPr>
            <w:r w:rsidRPr="00692926">
              <w:rPr>
                <w:rFonts w:eastAsia="Arial Unicode MS"/>
                <w:b/>
                <w:sz w:val="14"/>
                <w:szCs w:val="14"/>
              </w:rPr>
              <w:t>II-f</w:t>
            </w:r>
          </w:p>
        </w:tc>
        <w:tc>
          <w:tcPr>
            <w:tcW w:w="779" w:type="dxa"/>
            <w:noWrap/>
            <w:tcMar>
              <w:top w:w="18" w:type="dxa"/>
              <w:left w:w="18" w:type="dxa"/>
              <w:bottom w:w="0" w:type="dxa"/>
              <w:right w:w="18" w:type="dxa"/>
            </w:tcMar>
            <w:vAlign w:val="bottom"/>
          </w:tcPr>
          <w:p w14:paraId="638F24A9" w14:textId="55061F78" w:rsidR="00224102" w:rsidRPr="00850582" w:rsidRDefault="00224102" w:rsidP="00224102">
            <w:pPr>
              <w:jc w:val="right"/>
              <w:rPr>
                <w:b/>
                <w:bCs/>
                <w:sz w:val="14"/>
                <w:szCs w:val="14"/>
              </w:rPr>
            </w:pPr>
            <w:r w:rsidRPr="00850582">
              <w:rPr>
                <w:b/>
                <w:bCs/>
                <w:sz w:val="14"/>
                <w:szCs w:val="14"/>
              </w:rPr>
              <w:t>113</w:t>
            </w:r>
          </w:p>
        </w:tc>
        <w:tc>
          <w:tcPr>
            <w:tcW w:w="759" w:type="dxa"/>
            <w:noWrap/>
            <w:tcMar>
              <w:top w:w="18" w:type="dxa"/>
              <w:left w:w="18" w:type="dxa"/>
              <w:bottom w:w="0" w:type="dxa"/>
              <w:right w:w="18" w:type="dxa"/>
            </w:tcMar>
            <w:vAlign w:val="bottom"/>
          </w:tcPr>
          <w:p w14:paraId="057E5D69" w14:textId="7291759F" w:rsidR="00224102" w:rsidRPr="00850582" w:rsidRDefault="00224102" w:rsidP="00224102">
            <w:pPr>
              <w:jc w:val="right"/>
              <w:rPr>
                <w:b/>
                <w:bCs/>
                <w:sz w:val="14"/>
                <w:szCs w:val="14"/>
              </w:rPr>
            </w:pPr>
            <w:r w:rsidRPr="00850582">
              <w:rPr>
                <w:b/>
                <w:bCs/>
                <w:sz w:val="14"/>
                <w:szCs w:val="14"/>
              </w:rPr>
              <w:t>-</w:t>
            </w:r>
          </w:p>
        </w:tc>
        <w:tc>
          <w:tcPr>
            <w:tcW w:w="720" w:type="dxa"/>
            <w:noWrap/>
            <w:tcMar>
              <w:top w:w="18" w:type="dxa"/>
              <w:left w:w="18" w:type="dxa"/>
              <w:bottom w:w="0" w:type="dxa"/>
              <w:right w:w="18" w:type="dxa"/>
            </w:tcMar>
            <w:vAlign w:val="bottom"/>
          </w:tcPr>
          <w:p w14:paraId="5BD23BD7" w14:textId="0E0DA100" w:rsidR="00224102" w:rsidRPr="00850582" w:rsidRDefault="00224102" w:rsidP="00224102">
            <w:pPr>
              <w:jc w:val="right"/>
              <w:rPr>
                <w:b/>
                <w:bCs/>
                <w:sz w:val="14"/>
                <w:szCs w:val="14"/>
              </w:rPr>
            </w:pPr>
            <w:r w:rsidRPr="00850582">
              <w:rPr>
                <w:b/>
                <w:bCs/>
                <w:sz w:val="14"/>
                <w:szCs w:val="14"/>
              </w:rPr>
              <w:t>113</w:t>
            </w:r>
          </w:p>
        </w:tc>
        <w:tc>
          <w:tcPr>
            <w:tcW w:w="733" w:type="dxa"/>
            <w:noWrap/>
            <w:tcMar>
              <w:top w:w="18" w:type="dxa"/>
              <w:left w:w="18" w:type="dxa"/>
              <w:bottom w:w="0" w:type="dxa"/>
              <w:right w:w="18" w:type="dxa"/>
            </w:tcMar>
            <w:vAlign w:val="bottom"/>
          </w:tcPr>
          <w:p w14:paraId="2B4E97E0" w14:textId="0988225E" w:rsidR="00224102" w:rsidRPr="00692926" w:rsidRDefault="00224102" w:rsidP="00224102">
            <w:pPr>
              <w:jc w:val="right"/>
              <w:rPr>
                <w:b/>
                <w:sz w:val="14"/>
                <w:szCs w:val="14"/>
              </w:rPr>
            </w:pPr>
            <w:r w:rsidRPr="00692926">
              <w:rPr>
                <w:b/>
                <w:sz w:val="14"/>
                <w:szCs w:val="14"/>
              </w:rPr>
              <w:t>8,578</w:t>
            </w:r>
          </w:p>
        </w:tc>
        <w:tc>
          <w:tcPr>
            <w:tcW w:w="707" w:type="dxa"/>
            <w:noWrap/>
            <w:tcMar>
              <w:top w:w="18" w:type="dxa"/>
              <w:left w:w="18" w:type="dxa"/>
              <w:bottom w:w="0" w:type="dxa"/>
              <w:right w:w="18" w:type="dxa"/>
            </w:tcMar>
            <w:vAlign w:val="bottom"/>
          </w:tcPr>
          <w:p w14:paraId="01252E04" w14:textId="46AFF9F2" w:rsidR="00224102" w:rsidRPr="00692926" w:rsidRDefault="00224102" w:rsidP="00224102">
            <w:pPr>
              <w:jc w:val="right"/>
              <w:rPr>
                <w:b/>
                <w:sz w:val="14"/>
                <w:szCs w:val="14"/>
              </w:rPr>
            </w:pPr>
            <w:r w:rsidRPr="00692926">
              <w:rPr>
                <w:b/>
                <w:sz w:val="14"/>
                <w:szCs w:val="14"/>
              </w:rPr>
              <w:t>-</w:t>
            </w:r>
          </w:p>
        </w:tc>
        <w:tc>
          <w:tcPr>
            <w:tcW w:w="712" w:type="dxa"/>
            <w:noWrap/>
            <w:tcMar>
              <w:top w:w="18" w:type="dxa"/>
              <w:left w:w="18" w:type="dxa"/>
              <w:bottom w:w="0" w:type="dxa"/>
              <w:right w:w="18" w:type="dxa"/>
            </w:tcMar>
            <w:vAlign w:val="bottom"/>
          </w:tcPr>
          <w:p w14:paraId="0A63076E" w14:textId="798DD96D" w:rsidR="00224102" w:rsidRPr="00692926" w:rsidRDefault="00224102" w:rsidP="00224102">
            <w:pPr>
              <w:jc w:val="right"/>
              <w:rPr>
                <w:b/>
                <w:sz w:val="14"/>
                <w:szCs w:val="14"/>
              </w:rPr>
            </w:pPr>
            <w:r w:rsidRPr="00692926">
              <w:rPr>
                <w:b/>
                <w:sz w:val="14"/>
                <w:szCs w:val="14"/>
              </w:rPr>
              <w:t>8,578</w:t>
            </w:r>
          </w:p>
        </w:tc>
      </w:tr>
      <w:tr w:rsidR="00224102" w:rsidRPr="00604C75" w14:paraId="25005D4D" w14:textId="77777777" w:rsidTr="00C26D33">
        <w:trPr>
          <w:trHeight w:val="72"/>
        </w:trPr>
        <w:tc>
          <w:tcPr>
            <w:tcW w:w="537" w:type="dxa"/>
            <w:noWrap/>
            <w:tcMar>
              <w:top w:w="18" w:type="dxa"/>
              <w:left w:w="18" w:type="dxa"/>
              <w:bottom w:w="0" w:type="dxa"/>
              <w:right w:w="18" w:type="dxa"/>
            </w:tcMar>
            <w:vAlign w:val="bottom"/>
          </w:tcPr>
          <w:p w14:paraId="44CE6CAF" w14:textId="77777777" w:rsidR="00224102" w:rsidRPr="00604C75" w:rsidRDefault="00224102" w:rsidP="00224102">
            <w:pPr>
              <w:spacing w:line="226" w:lineRule="auto"/>
              <w:rPr>
                <w:rFonts w:eastAsia="Arial Unicode MS"/>
                <w:b/>
                <w:bCs/>
                <w:noProof/>
                <w:sz w:val="14"/>
                <w:szCs w:val="14"/>
                <w:lang w:val="tr-TR"/>
              </w:rPr>
            </w:pPr>
            <w:r w:rsidRPr="00604C75">
              <w:rPr>
                <w:bCs/>
                <w:noProof/>
                <w:sz w:val="14"/>
                <w:szCs w:val="14"/>
                <w:lang w:val="tr-TR"/>
              </w:rPr>
              <w:t>11.1</w:t>
            </w:r>
          </w:p>
        </w:tc>
        <w:tc>
          <w:tcPr>
            <w:tcW w:w="4615" w:type="dxa"/>
            <w:noWrap/>
            <w:tcMar>
              <w:top w:w="18" w:type="dxa"/>
              <w:left w:w="18" w:type="dxa"/>
              <w:bottom w:w="0" w:type="dxa"/>
              <w:right w:w="18" w:type="dxa"/>
            </w:tcMar>
            <w:vAlign w:val="bottom"/>
          </w:tcPr>
          <w:p w14:paraId="3E2C4290"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Fair Value Hedge</w:t>
            </w:r>
          </w:p>
        </w:tc>
        <w:tc>
          <w:tcPr>
            <w:tcW w:w="640" w:type="dxa"/>
            <w:noWrap/>
            <w:tcMar>
              <w:top w:w="18" w:type="dxa"/>
              <w:left w:w="18" w:type="dxa"/>
              <w:bottom w:w="0" w:type="dxa"/>
              <w:right w:w="18" w:type="dxa"/>
            </w:tcMar>
            <w:vAlign w:val="bottom"/>
          </w:tcPr>
          <w:p w14:paraId="43026D52" w14:textId="122AC56A"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4F28C8EA" w14:textId="6064A7E0" w:rsidR="00224102" w:rsidRPr="00850582" w:rsidRDefault="00224102" w:rsidP="00224102">
            <w:pPr>
              <w:jc w:val="right"/>
              <w:rPr>
                <w:sz w:val="14"/>
                <w:szCs w:val="14"/>
              </w:rPr>
            </w:pPr>
            <w:r w:rsidRPr="00850582">
              <w:rPr>
                <w:sz w:val="14"/>
                <w:szCs w:val="14"/>
              </w:rPr>
              <w:t>113</w:t>
            </w:r>
          </w:p>
        </w:tc>
        <w:tc>
          <w:tcPr>
            <w:tcW w:w="759" w:type="dxa"/>
            <w:noWrap/>
            <w:tcMar>
              <w:top w:w="18" w:type="dxa"/>
              <w:left w:w="18" w:type="dxa"/>
              <w:bottom w:w="0" w:type="dxa"/>
              <w:right w:w="18" w:type="dxa"/>
            </w:tcMar>
            <w:vAlign w:val="bottom"/>
          </w:tcPr>
          <w:p w14:paraId="6AB0A8F3" w14:textId="78B2904B"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164E5A5B" w14:textId="1235C0B5" w:rsidR="00224102" w:rsidRPr="00850582" w:rsidRDefault="00224102" w:rsidP="00224102">
            <w:pPr>
              <w:jc w:val="right"/>
              <w:rPr>
                <w:sz w:val="14"/>
                <w:szCs w:val="14"/>
              </w:rPr>
            </w:pPr>
            <w:r w:rsidRPr="00850582">
              <w:rPr>
                <w:sz w:val="14"/>
                <w:szCs w:val="14"/>
              </w:rPr>
              <w:t>113</w:t>
            </w:r>
          </w:p>
        </w:tc>
        <w:tc>
          <w:tcPr>
            <w:tcW w:w="733" w:type="dxa"/>
            <w:noWrap/>
            <w:tcMar>
              <w:top w:w="18" w:type="dxa"/>
              <w:left w:w="18" w:type="dxa"/>
              <w:bottom w:w="0" w:type="dxa"/>
              <w:right w:w="18" w:type="dxa"/>
            </w:tcMar>
            <w:vAlign w:val="bottom"/>
          </w:tcPr>
          <w:p w14:paraId="56ED13FF" w14:textId="1BA81D8F" w:rsidR="00224102" w:rsidRPr="00692926" w:rsidRDefault="00224102" w:rsidP="00224102">
            <w:pPr>
              <w:jc w:val="right"/>
              <w:rPr>
                <w:sz w:val="14"/>
                <w:szCs w:val="14"/>
              </w:rPr>
            </w:pPr>
            <w:r w:rsidRPr="00692926">
              <w:rPr>
                <w:sz w:val="14"/>
                <w:szCs w:val="14"/>
              </w:rPr>
              <w:t>8,578</w:t>
            </w:r>
          </w:p>
        </w:tc>
        <w:tc>
          <w:tcPr>
            <w:tcW w:w="707" w:type="dxa"/>
            <w:noWrap/>
            <w:tcMar>
              <w:top w:w="18" w:type="dxa"/>
              <w:left w:w="18" w:type="dxa"/>
              <w:bottom w:w="0" w:type="dxa"/>
              <w:right w:w="18" w:type="dxa"/>
            </w:tcMar>
            <w:vAlign w:val="bottom"/>
          </w:tcPr>
          <w:p w14:paraId="60250DA7" w14:textId="7FBC9EA9"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0889AEB7" w14:textId="1728686F" w:rsidR="00224102" w:rsidRPr="00692926" w:rsidRDefault="00224102" w:rsidP="00224102">
            <w:pPr>
              <w:jc w:val="right"/>
              <w:rPr>
                <w:sz w:val="14"/>
                <w:szCs w:val="14"/>
              </w:rPr>
            </w:pPr>
            <w:r w:rsidRPr="00692926">
              <w:rPr>
                <w:sz w:val="14"/>
                <w:szCs w:val="14"/>
              </w:rPr>
              <w:t>8,578</w:t>
            </w:r>
          </w:p>
        </w:tc>
      </w:tr>
      <w:tr w:rsidR="00224102" w:rsidRPr="00604C75" w14:paraId="09810DCD" w14:textId="77777777" w:rsidTr="00C26D33">
        <w:trPr>
          <w:trHeight w:val="153"/>
        </w:trPr>
        <w:tc>
          <w:tcPr>
            <w:tcW w:w="537" w:type="dxa"/>
            <w:noWrap/>
            <w:tcMar>
              <w:top w:w="18" w:type="dxa"/>
              <w:left w:w="18" w:type="dxa"/>
              <w:bottom w:w="0" w:type="dxa"/>
              <w:right w:w="18" w:type="dxa"/>
            </w:tcMar>
            <w:vAlign w:val="bottom"/>
          </w:tcPr>
          <w:p w14:paraId="1A081D01" w14:textId="77777777" w:rsidR="00224102" w:rsidRPr="00604C75" w:rsidRDefault="00224102" w:rsidP="00224102">
            <w:pPr>
              <w:spacing w:line="226" w:lineRule="auto"/>
              <w:rPr>
                <w:rFonts w:eastAsia="Arial Unicode MS"/>
                <w:bCs/>
                <w:noProof/>
                <w:sz w:val="14"/>
                <w:szCs w:val="14"/>
                <w:lang w:val="tr-TR"/>
              </w:rPr>
            </w:pPr>
            <w:r w:rsidRPr="00604C75">
              <w:rPr>
                <w:bCs/>
                <w:noProof/>
                <w:sz w:val="14"/>
                <w:szCs w:val="14"/>
                <w:lang w:val="tr-TR"/>
              </w:rPr>
              <w:t>11.2</w:t>
            </w:r>
          </w:p>
        </w:tc>
        <w:tc>
          <w:tcPr>
            <w:tcW w:w="4615" w:type="dxa"/>
            <w:noWrap/>
            <w:tcMar>
              <w:top w:w="18" w:type="dxa"/>
              <w:left w:w="18" w:type="dxa"/>
              <w:bottom w:w="0" w:type="dxa"/>
              <w:right w:w="18" w:type="dxa"/>
            </w:tcMar>
            <w:vAlign w:val="bottom"/>
          </w:tcPr>
          <w:p w14:paraId="444D7486" w14:textId="4A085E45"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Cash Flow Hedge</w:t>
            </w:r>
          </w:p>
        </w:tc>
        <w:tc>
          <w:tcPr>
            <w:tcW w:w="640" w:type="dxa"/>
            <w:noWrap/>
            <w:tcMar>
              <w:top w:w="18" w:type="dxa"/>
              <w:left w:w="18" w:type="dxa"/>
              <w:bottom w:w="0" w:type="dxa"/>
              <w:right w:w="18" w:type="dxa"/>
            </w:tcMar>
            <w:vAlign w:val="bottom"/>
          </w:tcPr>
          <w:p w14:paraId="6A7C0541" w14:textId="06DD6A85"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32E280E1" w14:textId="6C99B722"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367711A7" w14:textId="69D702EB"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10ED0C50" w14:textId="74303335"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70FE07F7" w14:textId="670254A6"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5C8483B1" w14:textId="5A84F1B6"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62BD0BF8" w14:textId="746807C7" w:rsidR="00224102" w:rsidRPr="00692926" w:rsidRDefault="00224102" w:rsidP="00224102">
            <w:pPr>
              <w:jc w:val="right"/>
              <w:rPr>
                <w:sz w:val="14"/>
                <w:szCs w:val="14"/>
              </w:rPr>
            </w:pPr>
            <w:r w:rsidRPr="00692926">
              <w:rPr>
                <w:sz w:val="14"/>
                <w:szCs w:val="14"/>
              </w:rPr>
              <w:t>-</w:t>
            </w:r>
          </w:p>
        </w:tc>
      </w:tr>
      <w:tr w:rsidR="00224102" w:rsidRPr="00604C75" w14:paraId="0353C5C2" w14:textId="77777777" w:rsidTr="00C26D33">
        <w:trPr>
          <w:trHeight w:val="166"/>
        </w:trPr>
        <w:tc>
          <w:tcPr>
            <w:tcW w:w="537" w:type="dxa"/>
            <w:noWrap/>
            <w:tcMar>
              <w:top w:w="18" w:type="dxa"/>
              <w:left w:w="18" w:type="dxa"/>
              <w:bottom w:w="0" w:type="dxa"/>
              <w:right w:w="18" w:type="dxa"/>
            </w:tcMar>
            <w:vAlign w:val="bottom"/>
          </w:tcPr>
          <w:p w14:paraId="36FB29BF" w14:textId="77777777" w:rsidR="00224102" w:rsidRPr="00604C75" w:rsidRDefault="00224102" w:rsidP="00224102">
            <w:pPr>
              <w:spacing w:line="226" w:lineRule="auto"/>
              <w:rPr>
                <w:rFonts w:eastAsia="Arial Unicode MS"/>
                <w:bCs/>
                <w:noProof/>
                <w:sz w:val="14"/>
                <w:szCs w:val="14"/>
                <w:lang w:val="tr-TR"/>
              </w:rPr>
            </w:pPr>
            <w:r w:rsidRPr="00604C75">
              <w:rPr>
                <w:bCs/>
                <w:noProof/>
                <w:sz w:val="14"/>
                <w:szCs w:val="14"/>
                <w:lang w:val="tr-TR"/>
              </w:rPr>
              <w:t>11.3</w:t>
            </w:r>
          </w:p>
        </w:tc>
        <w:tc>
          <w:tcPr>
            <w:tcW w:w="4615" w:type="dxa"/>
            <w:noWrap/>
            <w:tcMar>
              <w:top w:w="18" w:type="dxa"/>
              <w:left w:w="18" w:type="dxa"/>
              <w:bottom w:w="0" w:type="dxa"/>
              <w:right w:w="18" w:type="dxa"/>
            </w:tcMar>
            <w:vAlign w:val="bottom"/>
          </w:tcPr>
          <w:p w14:paraId="5C7D47AC"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Net Foreign Investment Hedge</w:t>
            </w:r>
          </w:p>
        </w:tc>
        <w:tc>
          <w:tcPr>
            <w:tcW w:w="640" w:type="dxa"/>
            <w:noWrap/>
            <w:tcMar>
              <w:top w:w="18" w:type="dxa"/>
              <w:left w:w="18" w:type="dxa"/>
              <w:bottom w:w="0" w:type="dxa"/>
              <w:right w:w="18" w:type="dxa"/>
            </w:tcMar>
            <w:vAlign w:val="bottom"/>
          </w:tcPr>
          <w:p w14:paraId="4D336FAB" w14:textId="41BAB540"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494FD953" w14:textId="3E347F98"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175115B4" w14:textId="1AFB23F6"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1CBA57FC" w14:textId="0CB67998"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33CE1DDD" w14:textId="33062541"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055C6D6C" w14:textId="7E2F3AD9"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45DE7C4F" w14:textId="71E8D546" w:rsidR="00224102" w:rsidRPr="00692926" w:rsidRDefault="00224102" w:rsidP="00224102">
            <w:pPr>
              <w:jc w:val="right"/>
              <w:rPr>
                <w:sz w:val="14"/>
                <w:szCs w:val="14"/>
              </w:rPr>
            </w:pPr>
            <w:r w:rsidRPr="00692926">
              <w:rPr>
                <w:sz w:val="14"/>
                <w:szCs w:val="14"/>
              </w:rPr>
              <w:t>-</w:t>
            </w:r>
          </w:p>
        </w:tc>
      </w:tr>
      <w:tr w:rsidR="00224102" w:rsidRPr="00604C75" w14:paraId="619E47CB" w14:textId="77777777" w:rsidTr="00C26D33">
        <w:trPr>
          <w:trHeight w:val="150"/>
        </w:trPr>
        <w:tc>
          <w:tcPr>
            <w:tcW w:w="537" w:type="dxa"/>
            <w:noWrap/>
            <w:tcMar>
              <w:top w:w="18" w:type="dxa"/>
              <w:left w:w="18" w:type="dxa"/>
              <w:bottom w:w="0" w:type="dxa"/>
              <w:right w:w="18" w:type="dxa"/>
            </w:tcMar>
            <w:vAlign w:val="bottom"/>
          </w:tcPr>
          <w:p w14:paraId="3FD65BE6"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
                <w:bCs/>
                <w:noProof/>
                <w:sz w:val="14"/>
                <w:szCs w:val="14"/>
                <w:lang w:val="tr-TR"/>
              </w:rPr>
              <w:t>XII.</w:t>
            </w:r>
          </w:p>
        </w:tc>
        <w:tc>
          <w:tcPr>
            <w:tcW w:w="4615" w:type="dxa"/>
            <w:noWrap/>
            <w:tcMar>
              <w:top w:w="18" w:type="dxa"/>
              <w:left w:w="18" w:type="dxa"/>
              <w:bottom w:w="0" w:type="dxa"/>
              <w:right w:w="18" w:type="dxa"/>
            </w:tcMar>
            <w:vAlign w:val="bottom"/>
          </w:tcPr>
          <w:p w14:paraId="1D9057C8" w14:textId="77777777" w:rsidR="00224102" w:rsidRPr="00604C75" w:rsidRDefault="00224102" w:rsidP="00224102">
            <w:pPr>
              <w:spacing w:line="226" w:lineRule="auto"/>
              <w:rPr>
                <w:rFonts w:eastAsia="Arial Unicode MS"/>
                <w:b/>
                <w:bCs/>
                <w:noProof/>
                <w:sz w:val="14"/>
                <w:szCs w:val="14"/>
                <w:lang w:val="tr-TR"/>
              </w:rPr>
            </w:pPr>
            <w:r w:rsidRPr="00604C75">
              <w:rPr>
                <w:rFonts w:eastAsia="Arial Unicode MS"/>
                <w:b/>
                <w:bCs/>
                <w:noProof/>
                <w:sz w:val="14"/>
                <w:szCs w:val="14"/>
                <w:lang w:val="tr-TR"/>
              </w:rPr>
              <w:t>PROVISIONS</w:t>
            </w:r>
          </w:p>
        </w:tc>
        <w:tc>
          <w:tcPr>
            <w:tcW w:w="640" w:type="dxa"/>
            <w:noWrap/>
            <w:tcMar>
              <w:top w:w="18" w:type="dxa"/>
              <w:left w:w="18" w:type="dxa"/>
              <w:bottom w:w="0" w:type="dxa"/>
              <w:right w:w="18" w:type="dxa"/>
            </w:tcMar>
            <w:vAlign w:val="bottom"/>
          </w:tcPr>
          <w:p w14:paraId="45845A3D" w14:textId="45CBE74D"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II-g</w:t>
            </w:r>
            <w:r w:rsidRPr="00692926" w:rsidDel="00231683">
              <w:rPr>
                <w:rFonts w:eastAsia="Arial Unicode MS"/>
                <w:b/>
                <w:sz w:val="14"/>
                <w:szCs w:val="14"/>
              </w:rPr>
              <w:t xml:space="preserve"> </w:t>
            </w:r>
          </w:p>
        </w:tc>
        <w:tc>
          <w:tcPr>
            <w:tcW w:w="779" w:type="dxa"/>
            <w:noWrap/>
            <w:tcMar>
              <w:top w:w="18" w:type="dxa"/>
              <w:left w:w="18" w:type="dxa"/>
              <w:bottom w:w="0" w:type="dxa"/>
              <w:right w:w="18" w:type="dxa"/>
            </w:tcMar>
            <w:vAlign w:val="bottom"/>
          </w:tcPr>
          <w:p w14:paraId="0186B40D" w14:textId="2E6B88B0" w:rsidR="00224102" w:rsidRPr="00850582" w:rsidRDefault="00224102" w:rsidP="00224102">
            <w:pPr>
              <w:jc w:val="right"/>
              <w:rPr>
                <w:b/>
                <w:bCs/>
                <w:sz w:val="14"/>
                <w:szCs w:val="14"/>
              </w:rPr>
            </w:pPr>
            <w:r w:rsidRPr="00850582">
              <w:rPr>
                <w:b/>
                <w:bCs/>
                <w:sz w:val="14"/>
                <w:szCs w:val="14"/>
              </w:rPr>
              <w:t>140,217</w:t>
            </w:r>
          </w:p>
        </w:tc>
        <w:tc>
          <w:tcPr>
            <w:tcW w:w="759" w:type="dxa"/>
            <w:noWrap/>
            <w:tcMar>
              <w:top w:w="18" w:type="dxa"/>
              <w:left w:w="18" w:type="dxa"/>
              <w:bottom w:w="0" w:type="dxa"/>
              <w:right w:w="18" w:type="dxa"/>
            </w:tcMar>
            <w:vAlign w:val="bottom"/>
          </w:tcPr>
          <w:p w14:paraId="27B5FAB1" w14:textId="161E1ED8" w:rsidR="00224102" w:rsidRPr="00850582" w:rsidRDefault="00224102" w:rsidP="00224102">
            <w:pPr>
              <w:jc w:val="right"/>
              <w:rPr>
                <w:b/>
                <w:bCs/>
                <w:sz w:val="14"/>
                <w:szCs w:val="14"/>
              </w:rPr>
            </w:pPr>
            <w:r w:rsidRPr="00850582">
              <w:rPr>
                <w:b/>
                <w:bCs/>
                <w:sz w:val="14"/>
                <w:szCs w:val="14"/>
              </w:rPr>
              <w:t>3</w:t>
            </w:r>
          </w:p>
        </w:tc>
        <w:tc>
          <w:tcPr>
            <w:tcW w:w="720" w:type="dxa"/>
            <w:noWrap/>
            <w:tcMar>
              <w:top w:w="18" w:type="dxa"/>
              <w:left w:w="18" w:type="dxa"/>
              <w:bottom w:w="0" w:type="dxa"/>
              <w:right w:w="18" w:type="dxa"/>
            </w:tcMar>
            <w:vAlign w:val="bottom"/>
          </w:tcPr>
          <w:p w14:paraId="0B5F12F9" w14:textId="25C25D85" w:rsidR="00224102" w:rsidRPr="00850582" w:rsidRDefault="00224102" w:rsidP="00224102">
            <w:pPr>
              <w:jc w:val="right"/>
              <w:rPr>
                <w:b/>
                <w:bCs/>
                <w:sz w:val="14"/>
                <w:szCs w:val="14"/>
              </w:rPr>
            </w:pPr>
            <w:r w:rsidRPr="00850582">
              <w:rPr>
                <w:b/>
                <w:bCs/>
                <w:sz w:val="14"/>
                <w:szCs w:val="14"/>
              </w:rPr>
              <w:t>140,220</w:t>
            </w:r>
          </w:p>
        </w:tc>
        <w:tc>
          <w:tcPr>
            <w:tcW w:w="733" w:type="dxa"/>
            <w:noWrap/>
            <w:tcMar>
              <w:top w:w="18" w:type="dxa"/>
              <w:left w:w="18" w:type="dxa"/>
              <w:bottom w:w="0" w:type="dxa"/>
              <w:right w:w="18" w:type="dxa"/>
            </w:tcMar>
            <w:vAlign w:val="bottom"/>
          </w:tcPr>
          <w:p w14:paraId="5967A20D" w14:textId="5962CF0D" w:rsidR="00224102" w:rsidRPr="00692926" w:rsidRDefault="00224102" w:rsidP="00224102">
            <w:pPr>
              <w:jc w:val="right"/>
              <w:rPr>
                <w:b/>
                <w:sz w:val="14"/>
                <w:szCs w:val="14"/>
              </w:rPr>
            </w:pPr>
            <w:r w:rsidRPr="00692926">
              <w:rPr>
                <w:b/>
                <w:sz w:val="14"/>
                <w:szCs w:val="14"/>
              </w:rPr>
              <w:t>103,671</w:t>
            </w:r>
          </w:p>
        </w:tc>
        <w:tc>
          <w:tcPr>
            <w:tcW w:w="707" w:type="dxa"/>
            <w:noWrap/>
            <w:tcMar>
              <w:top w:w="18" w:type="dxa"/>
              <w:left w:w="18" w:type="dxa"/>
              <w:bottom w:w="0" w:type="dxa"/>
              <w:right w:w="18" w:type="dxa"/>
            </w:tcMar>
            <w:vAlign w:val="bottom"/>
          </w:tcPr>
          <w:p w14:paraId="77C0A8C5" w14:textId="331E1567" w:rsidR="00224102" w:rsidRPr="00692926" w:rsidRDefault="00224102" w:rsidP="00224102">
            <w:pPr>
              <w:jc w:val="right"/>
              <w:rPr>
                <w:b/>
                <w:sz w:val="14"/>
                <w:szCs w:val="14"/>
              </w:rPr>
            </w:pPr>
            <w:r w:rsidRPr="00692926">
              <w:rPr>
                <w:b/>
                <w:sz w:val="14"/>
                <w:szCs w:val="14"/>
              </w:rPr>
              <w:t>7</w:t>
            </w:r>
          </w:p>
        </w:tc>
        <w:tc>
          <w:tcPr>
            <w:tcW w:w="712" w:type="dxa"/>
            <w:noWrap/>
            <w:tcMar>
              <w:top w:w="18" w:type="dxa"/>
              <w:left w:w="18" w:type="dxa"/>
              <w:bottom w:w="0" w:type="dxa"/>
              <w:right w:w="18" w:type="dxa"/>
            </w:tcMar>
            <w:vAlign w:val="bottom"/>
          </w:tcPr>
          <w:p w14:paraId="35178035" w14:textId="264DA5F3" w:rsidR="00224102" w:rsidRPr="00692926" w:rsidRDefault="00224102" w:rsidP="00224102">
            <w:pPr>
              <w:jc w:val="right"/>
              <w:rPr>
                <w:b/>
                <w:sz w:val="14"/>
                <w:szCs w:val="14"/>
              </w:rPr>
            </w:pPr>
            <w:r w:rsidRPr="00692926">
              <w:rPr>
                <w:b/>
                <w:sz w:val="14"/>
                <w:szCs w:val="14"/>
              </w:rPr>
              <w:t>103,678</w:t>
            </w:r>
          </w:p>
        </w:tc>
      </w:tr>
      <w:tr w:rsidR="00224102" w:rsidRPr="00604C75" w14:paraId="29449369" w14:textId="77777777" w:rsidTr="00C26D33">
        <w:trPr>
          <w:trHeight w:val="148"/>
        </w:trPr>
        <w:tc>
          <w:tcPr>
            <w:tcW w:w="537" w:type="dxa"/>
            <w:noWrap/>
            <w:tcMar>
              <w:top w:w="18" w:type="dxa"/>
              <w:left w:w="18" w:type="dxa"/>
              <w:bottom w:w="0" w:type="dxa"/>
              <w:right w:w="18" w:type="dxa"/>
            </w:tcMar>
            <w:vAlign w:val="bottom"/>
          </w:tcPr>
          <w:p w14:paraId="10352F16" w14:textId="77777777" w:rsidR="00224102" w:rsidRPr="00604C75" w:rsidRDefault="00224102" w:rsidP="00224102">
            <w:pPr>
              <w:spacing w:line="226" w:lineRule="auto"/>
              <w:rPr>
                <w:rFonts w:eastAsia="Arial Unicode MS"/>
                <w:b/>
                <w:bCs/>
                <w:noProof/>
                <w:sz w:val="14"/>
                <w:szCs w:val="14"/>
                <w:lang w:val="tr-TR"/>
              </w:rPr>
            </w:pPr>
            <w:r w:rsidRPr="00604C75">
              <w:rPr>
                <w:bCs/>
                <w:noProof/>
                <w:sz w:val="14"/>
                <w:szCs w:val="14"/>
                <w:lang w:val="tr-TR"/>
              </w:rPr>
              <w:t>12.1</w:t>
            </w:r>
          </w:p>
        </w:tc>
        <w:tc>
          <w:tcPr>
            <w:tcW w:w="4615" w:type="dxa"/>
            <w:noWrap/>
            <w:tcMar>
              <w:top w:w="18" w:type="dxa"/>
              <w:left w:w="18" w:type="dxa"/>
              <w:bottom w:w="0" w:type="dxa"/>
              <w:right w:w="18" w:type="dxa"/>
            </w:tcMar>
            <w:vAlign w:val="bottom"/>
          </w:tcPr>
          <w:p w14:paraId="635C0787"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General Loan Loss Provision</w:t>
            </w:r>
          </w:p>
        </w:tc>
        <w:tc>
          <w:tcPr>
            <w:tcW w:w="640" w:type="dxa"/>
            <w:noWrap/>
            <w:tcMar>
              <w:top w:w="18" w:type="dxa"/>
              <w:left w:w="18" w:type="dxa"/>
              <w:bottom w:w="0" w:type="dxa"/>
              <w:right w:w="18" w:type="dxa"/>
            </w:tcMar>
            <w:vAlign w:val="bottom"/>
          </w:tcPr>
          <w:p w14:paraId="5C99AA25" w14:textId="43AD7898"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0E21410F" w14:textId="49A6364C" w:rsidR="00224102" w:rsidRPr="00850582" w:rsidRDefault="00224102" w:rsidP="00224102">
            <w:pPr>
              <w:jc w:val="right"/>
              <w:rPr>
                <w:sz w:val="14"/>
                <w:szCs w:val="14"/>
              </w:rPr>
            </w:pPr>
            <w:r w:rsidRPr="00850582">
              <w:rPr>
                <w:sz w:val="14"/>
                <w:szCs w:val="14"/>
              </w:rPr>
              <w:t>93,386</w:t>
            </w:r>
          </w:p>
        </w:tc>
        <w:tc>
          <w:tcPr>
            <w:tcW w:w="759" w:type="dxa"/>
            <w:noWrap/>
            <w:tcMar>
              <w:top w:w="18" w:type="dxa"/>
              <w:left w:w="18" w:type="dxa"/>
              <w:bottom w:w="0" w:type="dxa"/>
              <w:right w:w="18" w:type="dxa"/>
            </w:tcMar>
            <w:vAlign w:val="bottom"/>
          </w:tcPr>
          <w:p w14:paraId="2CC99A57" w14:textId="6232BB99"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4D32D6CB" w14:textId="5D94F059" w:rsidR="00224102" w:rsidRPr="00850582" w:rsidRDefault="00224102" w:rsidP="00224102">
            <w:pPr>
              <w:jc w:val="right"/>
              <w:rPr>
                <w:sz w:val="14"/>
                <w:szCs w:val="14"/>
              </w:rPr>
            </w:pPr>
            <w:r w:rsidRPr="00850582">
              <w:rPr>
                <w:sz w:val="14"/>
                <w:szCs w:val="14"/>
              </w:rPr>
              <w:t>93,386</w:t>
            </w:r>
          </w:p>
        </w:tc>
        <w:tc>
          <w:tcPr>
            <w:tcW w:w="733" w:type="dxa"/>
            <w:noWrap/>
            <w:tcMar>
              <w:top w:w="18" w:type="dxa"/>
              <w:left w:w="18" w:type="dxa"/>
              <w:bottom w:w="0" w:type="dxa"/>
              <w:right w:w="18" w:type="dxa"/>
            </w:tcMar>
            <w:vAlign w:val="bottom"/>
          </w:tcPr>
          <w:p w14:paraId="326705C2" w14:textId="57A8F4B4" w:rsidR="00224102" w:rsidRPr="00692926" w:rsidRDefault="00224102" w:rsidP="00224102">
            <w:pPr>
              <w:jc w:val="right"/>
              <w:rPr>
                <w:sz w:val="14"/>
                <w:szCs w:val="14"/>
              </w:rPr>
            </w:pPr>
            <w:r w:rsidRPr="00692926">
              <w:rPr>
                <w:sz w:val="14"/>
                <w:szCs w:val="14"/>
              </w:rPr>
              <w:t>62,858</w:t>
            </w:r>
          </w:p>
        </w:tc>
        <w:tc>
          <w:tcPr>
            <w:tcW w:w="707" w:type="dxa"/>
            <w:noWrap/>
            <w:tcMar>
              <w:top w:w="18" w:type="dxa"/>
              <w:left w:w="18" w:type="dxa"/>
              <w:bottom w:w="0" w:type="dxa"/>
              <w:right w:w="18" w:type="dxa"/>
            </w:tcMar>
            <w:vAlign w:val="bottom"/>
          </w:tcPr>
          <w:p w14:paraId="3554BF6A" w14:textId="01093D50"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0F401A7B" w14:textId="4124A495" w:rsidR="00224102" w:rsidRPr="00692926" w:rsidRDefault="00224102" w:rsidP="00224102">
            <w:pPr>
              <w:jc w:val="right"/>
              <w:rPr>
                <w:sz w:val="14"/>
                <w:szCs w:val="14"/>
              </w:rPr>
            </w:pPr>
            <w:r w:rsidRPr="00692926">
              <w:rPr>
                <w:sz w:val="14"/>
                <w:szCs w:val="14"/>
              </w:rPr>
              <w:t>62,858</w:t>
            </w:r>
          </w:p>
        </w:tc>
      </w:tr>
      <w:tr w:rsidR="00224102" w:rsidRPr="00604C75" w14:paraId="21BD8098" w14:textId="77777777" w:rsidTr="00C26D33">
        <w:trPr>
          <w:trHeight w:val="132"/>
        </w:trPr>
        <w:tc>
          <w:tcPr>
            <w:tcW w:w="537" w:type="dxa"/>
            <w:noWrap/>
            <w:tcMar>
              <w:top w:w="18" w:type="dxa"/>
              <w:left w:w="18" w:type="dxa"/>
              <w:bottom w:w="0" w:type="dxa"/>
              <w:right w:w="18" w:type="dxa"/>
            </w:tcMar>
            <w:vAlign w:val="bottom"/>
          </w:tcPr>
          <w:p w14:paraId="46D7FBDC" w14:textId="77777777" w:rsidR="00224102" w:rsidRPr="00604C75" w:rsidRDefault="00224102" w:rsidP="00224102">
            <w:pPr>
              <w:spacing w:line="226" w:lineRule="auto"/>
              <w:rPr>
                <w:rFonts w:eastAsia="Arial Unicode MS"/>
                <w:bCs/>
                <w:noProof/>
                <w:sz w:val="14"/>
                <w:szCs w:val="14"/>
                <w:lang w:val="tr-TR"/>
              </w:rPr>
            </w:pPr>
            <w:r w:rsidRPr="00604C75">
              <w:rPr>
                <w:noProof/>
                <w:sz w:val="14"/>
                <w:szCs w:val="14"/>
                <w:lang w:val="tr-TR"/>
              </w:rPr>
              <w:t>12.2</w:t>
            </w:r>
          </w:p>
        </w:tc>
        <w:tc>
          <w:tcPr>
            <w:tcW w:w="4615" w:type="dxa"/>
            <w:noWrap/>
            <w:tcMar>
              <w:top w:w="18" w:type="dxa"/>
              <w:left w:w="18" w:type="dxa"/>
              <w:bottom w:w="0" w:type="dxa"/>
              <w:right w:w="18" w:type="dxa"/>
            </w:tcMar>
            <w:vAlign w:val="bottom"/>
          </w:tcPr>
          <w:p w14:paraId="66E60328"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Provisions for Restructuring</w:t>
            </w:r>
          </w:p>
        </w:tc>
        <w:tc>
          <w:tcPr>
            <w:tcW w:w="640" w:type="dxa"/>
            <w:noWrap/>
            <w:tcMar>
              <w:top w:w="18" w:type="dxa"/>
              <w:left w:w="18" w:type="dxa"/>
              <w:bottom w:w="0" w:type="dxa"/>
              <w:right w:w="18" w:type="dxa"/>
            </w:tcMar>
            <w:vAlign w:val="bottom"/>
          </w:tcPr>
          <w:p w14:paraId="21140660" w14:textId="7CE2CF6E"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1845597C" w14:textId="40C1DEC5"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37869DE6" w14:textId="60FFBE33"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42644EB4" w14:textId="375E2FCB"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1D2C3A8A" w14:textId="78BC644A"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44CE903B" w14:textId="0485D655"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438007F1" w14:textId="3E78BCD6" w:rsidR="00224102" w:rsidRPr="00692926" w:rsidRDefault="00224102" w:rsidP="00224102">
            <w:pPr>
              <w:jc w:val="right"/>
              <w:rPr>
                <w:sz w:val="14"/>
                <w:szCs w:val="14"/>
              </w:rPr>
            </w:pPr>
            <w:r w:rsidRPr="00692926">
              <w:rPr>
                <w:sz w:val="14"/>
                <w:szCs w:val="14"/>
              </w:rPr>
              <w:t>-</w:t>
            </w:r>
          </w:p>
        </w:tc>
      </w:tr>
      <w:tr w:rsidR="00224102" w:rsidRPr="00604C75" w14:paraId="225AA71C" w14:textId="77777777" w:rsidTr="00C26D33">
        <w:trPr>
          <w:trHeight w:val="144"/>
        </w:trPr>
        <w:tc>
          <w:tcPr>
            <w:tcW w:w="537" w:type="dxa"/>
            <w:noWrap/>
            <w:tcMar>
              <w:top w:w="18" w:type="dxa"/>
              <w:left w:w="18" w:type="dxa"/>
              <w:bottom w:w="0" w:type="dxa"/>
              <w:right w:w="18" w:type="dxa"/>
            </w:tcMar>
            <w:vAlign w:val="bottom"/>
          </w:tcPr>
          <w:p w14:paraId="7DFB0B1A"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12.3</w:t>
            </w:r>
          </w:p>
        </w:tc>
        <w:tc>
          <w:tcPr>
            <w:tcW w:w="4615" w:type="dxa"/>
            <w:noWrap/>
            <w:tcMar>
              <w:top w:w="18" w:type="dxa"/>
              <w:left w:w="18" w:type="dxa"/>
              <w:bottom w:w="0" w:type="dxa"/>
              <w:right w:w="18" w:type="dxa"/>
            </w:tcMar>
            <w:vAlign w:val="bottom"/>
          </w:tcPr>
          <w:p w14:paraId="22E5D404"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Reserve for Employee Benefit</w:t>
            </w:r>
          </w:p>
        </w:tc>
        <w:tc>
          <w:tcPr>
            <w:tcW w:w="640" w:type="dxa"/>
            <w:noWrap/>
            <w:tcMar>
              <w:top w:w="18" w:type="dxa"/>
              <w:left w:w="18" w:type="dxa"/>
              <w:bottom w:w="0" w:type="dxa"/>
              <w:right w:w="18" w:type="dxa"/>
            </w:tcMar>
            <w:vAlign w:val="bottom"/>
          </w:tcPr>
          <w:p w14:paraId="660362C3" w14:textId="4586421C"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2AF0AD5B" w14:textId="19165EFE" w:rsidR="00224102" w:rsidRPr="00850582" w:rsidRDefault="00224102" w:rsidP="00224102">
            <w:pPr>
              <w:jc w:val="right"/>
              <w:rPr>
                <w:sz w:val="14"/>
                <w:szCs w:val="14"/>
              </w:rPr>
            </w:pPr>
            <w:r w:rsidRPr="00850582">
              <w:rPr>
                <w:sz w:val="14"/>
                <w:szCs w:val="14"/>
              </w:rPr>
              <w:t>9,326</w:t>
            </w:r>
          </w:p>
        </w:tc>
        <w:tc>
          <w:tcPr>
            <w:tcW w:w="759" w:type="dxa"/>
            <w:noWrap/>
            <w:tcMar>
              <w:top w:w="18" w:type="dxa"/>
              <w:left w:w="18" w:type="dxa"/>
              <w:bottom w:w="0" w:type="dxa"/>
              <w:right w:w="18" w:type="dxa"/>
            </w:tcMar>
            <w:vAlign w:val="bottom"/>
          </w:tcPr>
          <w:p w14:paraId="6E373FB7" w14:textId="604B1C59"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58945081" w14:textId="4B5B7EA3" w:rsidR="00224102" w:rsidRPr="00850582" w:rsidRDefault="00224102" w:rsidP="00224102">
            <w:pPr>
              <w:jc w:val="right"/>
              <w:rPr>
                <w:sz w:val="14"/>
                <w:szCs w:val="14"/>
              </w:rPr>
            </w:pPr>
            <w:r w:rsidRPr="00850582">
              <w:rPr>
                <w:sz w:val="14"/>
                <w:szCs w:val="14"/>
              </w:rPr>
              <w:t>9,326</w:t>
            </w:r>
          </w:p>
        </w:tc>
        <w:tc>
          <w:tcPr>
            <w:tcW w:w="733" w:type="dxa"/>
            <w:noWrap/>
            <w:tcMar>
              <w:top w:w="18" w:type="dxa"/>
              <w:left w:w="18" w:type="dxa"/>
              <w:bottom w:w="0" w:type="dxa"/>
              <w:right w:w="18" w:type="dxa"/>
            </w:tcMar>
            <w:vAlign w:val="bottom"/>
          </w:tcPr>
          <w:p w14:paraId="4CE15CF9" w14:textId="383C2C8E" w:rsidR="00224102" w:rsidRPr="00692926" w:rsidRDefault="00224102" w:rsidP="00224102">
            <w:pPr>
              <w:jc w:val="right"/>
              <w:rPr>
                <w:sz w:val="14"/>
                <w:szCs w:val="14"/>
              </w:rPr>
            </w:pPr>
            <w:r w:rsidRPr="00692926">
              <w:rPr>
                <w:sz w:val="14"/>
                <w:szCs w:val="14"/>
              </w:rPr>
              <w:t>8,622</w:t>
            </w:r>
          </w:p>
        </w:tc>
        <w:tc>
          <w:tcPr>
            <w:tcW w:w="707" w:type="dxa"/>
            <w:noWrap/>
            <w:tcMar>
              <w:top w:w="18" w:type="dxa"/>
              <w:left w:w="18" w:type="dxa"/>
              <w:bottom w:w="0" w:type="dxa"/>
              <w:right w:w="18" w:type="dxa"/>
            </w:tcMar>
            <w:vAlign w:val="bottom"/>
          </w:tcPr>
          <w:p w14:paraId="7CB89CD0" w14:textId="6B131F15"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5164C807" w14:textId="25B68D68" w:rsidR="00224102" w:rsidRPr="00692926" w:rsidRDefault="00224102" w:rsidP="00224102">
            <w:pPr>
              <w:jc w:val="right"/>
              <w:rPr>
                <w:sz w:val="14"/>
                <w:szCs w:val="14"/>
              </w:rPr>
            </w:pPr>
            <w:r w:rsidRPr="00692926">
              <w:rPr>
                <w:sz w:val="14"/>
                <w:szCs w:val="14"/>
              </w:rPr>
              <w:t>8,622</w:t>
            </w:r>
          </w:p>
        </w:tc>
      </w:tr>
      <w:tr w:rsidR="00224102" w:rsidRPr="00604C75" w14:paraId="47DF3646" w14:textId="77777777" w:rsidTr="00C26D33">
        <w:trPr>
          <w:trHeight w:val="128"/>
        </w:trPr>
        <w:tc>
          <w:tcPr>
            <w:tcW w:w="537" w:type="dxa"/>
            <w:noWrap/>
            <w:tcMar>
              <w:top w:w="18" w:type="dxa"/>
              <w:left w:w="18" w:type="dxa"/>
              <w:bottom w:w="0" w:type="dxa"/>
              <w:right w:w="18" w:type="dxa"/>
            </w:tcMar>
            <w:vAlign w:val="bottom"/>
          </w:tcPr>
          <w:p w14:paraId="0AC9AC99" w14:textId="77777777" w:rsidR="00224102" w:rsidRPr="00604C75" w:rsidRDefault="00224102" w:rsidP="00224102">
            <w:pPr>
              <w:spacing w:line="226" w:lineRule="auto"/>
              <w:rPr>
                <w:rFonts w:eastAsia="Arial Unicode MS"/>
                <w:noProof/>
                <w:sz w:val="14"/>
                <w:szCs w:val="14"/>
                <w:lang w:val="tr-TR"/>
              </w:rPr>
            </w:pPr>
            <w:r w:rsidRPr="00604C75">
              <w:rPr>
                <w:bCs/>
                <w:noProof/>
                <w:sz w:val="14"/>
                <w:szCs w:val="14"/>
                <w:lang w:val="tr-TR"/>
              </w:rPr>
              <w:t>12.4</w:t>
            </w:r>
          </w:p>
        </w:tc>
        <w:tc>
          <w:tcPr>
            <w:tcW w:w="4615" w:type="dxa"/>
            <w:noWrap/>
            <w:tcMar>
              <w:top w:w="18" w:type="dxa"/>
              <w:left w:w="18" w:type="dxa"/>
              <w:bottom w:w="0" w:type="dxa"/>
              <w:right w:w="18" w:type="dxa"/>
            </w:tcMar>
            <w:vAlign w:val="bottom"/>
          </w:tcPr>
          <w:p w14:paraId="75EF31BC"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Insurance Technical Provisions (Net)</w:t>
            </w:r>
          </w:p>
        </w:tc>
        <w:tc>
          <w:tcPr>
            <w:tcW w:w="640" w:type="dxa"/>
            <w:noWrap/>
            <w:tcMar>
              <w:top w:w="18" w:type="dxa"/>
              <w:left w:w="18" w:type="dxa"/>
              <w:bottom w:w="0" w:type="dxa"/>
              <w:right w:w="18" w:type="dxa"/>
            </w:tcMar>
            <w:vAlign w:val="bottom"/>
          </w:tcPr>
          <w:p w14:paraId="7453F66D" w14:textId="6C5E04EC"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54219AA0" w14:textId="3CE30CAD"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2835BCAD" w14:textId="18FB8B8E"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3093F671" w14:textId="0CCAE6D4"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37620C5E" w14:textId="06591442"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47813848" w14:textId="789FC0BD"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4358FC98" w14:textId="03172830" w:rsidR="00224102" w:rsidRPr="00692926" w:rsidRDefault="00224102" w:rsidP="00224102">
            <w:pPr>
              <w:jc w:val="right"/>
              <w:rPr>
                <w:sz w:val="14"/>
                <w:szCs w:val="14"/>
              </w:rPr>
            </w:pPr>
            <w:r w:rsidRPr="00692926">
              <w:rPr>
                <w:sz w:val="14"/>
                <w:szCs w:val="14"/>
              </w:rPr>
              <w:t>-</w:t>
            </w:r>
          </w:p>
        </w:tc>
      </w:tr>
      <w:tr w:rsidR="00224102" w:rsidRPr="00604C75" w14:paraId="799A86E5" w14:textId="77777777" w:rsidTr="00C26D33">
        <w:trPr>
          <w:trHeight w:val="140"/>
        </w:trPr>
        <w:tc>
          <w:tcPr>
            <w:tcW w:w="537" w:type="dxa"/>
            <w:noWrap/>
            <w:tcMar>
              <w:top w:w="18" w:type="dxa"/>
              <w:left w:w="18" w:type="dxa"/>
              <w:bottom w:w="0" w:type="dxa"/>
              <w:right w:w="18" w:type="dxa"/>
            </w:tcMar>
            <w:vAlign w:val="bottom"/>
          </w:tcPr>
          <w:p w14:paraId="5931FA36" w14:textId="77777777" w:rsidR="00224102" w:rsidRPr="00604C75" w:rsidRDefault="00224102" w:rsidP="00224102">
            <w:pPr>
              <w:spacing w:line="226" w:lineRule="auto"/>
              <w:rPr>
                <w:rFonts w:eastAsia="Arial Unicode MS"/>
                <w:bCs/>
                <w:noProof/>
                <w:sz w:val="14"/>
                <w:szCs w:val="14"/>
                <w:lang w:val="tr-TR"/>
              </w:rPr>
            </w:pPr>
            <w:r w:rsidRPr="00604C75">
              <w:rPr>
                <w:noProof/>
                <w:sz w:val="14"/>
                <w:szCs w:val="14"/>
                <w:lang w:val="tr-TR"/>
              </w:rPr>
              <w:t>12.5</w:t>
            </w:r>
          </w:p>
        </w:tc>
        <w:tc>
          <w:tcPr>
            <w:tcW w:w="4615" w:type="dxa"/>
            <w:noWrap/>
            <w:tcMar>
              <w:top w:w="18" w:type="dxa"/>
              <w:left w:w="18" w:type="dxa"/>
              <w:bottom w:w="0" w:type="dxa"/>
              <w:right w:w="18" w:type="dxa"/>
            </w:tcMar>
            <w:vAlign w:val="bottom"/>
          </w:tcPr>
          <w:p w14:paraId="6D58E133"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Other Provisions</w:t>
            </w:r>
          </w:p>
        </w:tc>
        <w:tc>
          <w:tcPr>
            <w:tcW w:w="640" w:type="dxa"/>
            <w:noWrap/>
            <w:tcMar>
              <w:top w:w="18" w:type="dxa"/>
              <w:left w:w="18" w:type="dxa"/>
              <w:bottom w:w="0" w:type="dxa"/>
              <w:right w:w="18" w:type="dxa"/>
            </w:tcMar>
            <w:vAlign w:val="bottom"/>
          </w:tcPr>
          <w:p w14:paraId="05C45DD6" w14:textId="216D375B"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59509B67" w14:textId="44F4E7CB" w:rsidR="00224102" w:rsidRPr="00850582" w:rsidRDefault="00224102" w:rsidP="00224102">
            <w:pPr>
              <w:jc w:val="right"/>
              <w:rPr>
                <w:sz w:val="14"/>
                <w:szCs w:val="14"/>
              </w:rPr>
            </w:pPr>
            <w:r w:rsidRPr="00850582">
              <w:rPr>
                <w:sz w:val="14"/>
                <w:szCs w:val="14"/>
              </w:rPr>
              <w:t>37,505</w:t>
            </w:r>
          </w:p>
        </w:tc>
        <w:tc>
          <w:tcPr>
            <w:tcW w:w="759" w:type="dxa"/>
            <w:noWrap/>
            <w:tcMar>
              <w:top w:w="18" w:type="dxa"/>
              <w:left w:w="18" w:type="dxa"/>
              <w:bottom w:w="0" w:type="dxa"/>
              <w:right w:w="18" w:type="dxa"/>
            </w:tcMar>
            <w:vAlign w:val="bottom"/>
          </w:tcPr>
          <w:p w14:paraId="0466B542" w14:textId="2F7B185C" w:rsidR="00224102" w:rsidRPr="00850582" w:rsidRDefault="00224102" w:rsidP="00224102">
            <w:pPr>
              <w:jc w:val="right"/>
              <w:rPr>
                <w:sz w:val="14"/>
                <w:szCs w:val="14"/>
              </w:rPr>
            </w:pPr>
            <w:r w:rsidRPr="00850582">
              <w:rPr>
                <w:sz w:val="14"/>
                <w:szCs w:val="14"/>
              </w:rPr>
              <w:t>3</w:t>
            </w:r>
          </w:p>
        </w:tc>
        <w:tc>
          <w:tcPr>
            <w:tcW w:w="720" w:type="dxa"/>
            <w:noWrap/>
            <w:tcMar>
              <w:top w:w="18" w:type="dxa"/>
              <w:left w:w="18" w:type="dxa"/>
              <w:bottom w:w="0" w:type="dxa"/>
              <w:right w:w="18" w:type="dxa"/>
            </w:tcMar>
            <w:vAlign w:val="bottom"/>
          </w:tcPr>
          <w:p w14:paraId="73445B99" w14:textId="74EA2954" w:rsidR="00224102" w:rsidRPr="00850582" w:rsidRDefault="00224102" w:rsidP="00224102">
            <w:pPr>
              <w:jc w:val="right"/>
              <w:rPr>
                <w:sz w:val="14"/>
                <w:szCs w:val="14"/>
              </w:rPr>
            </w:pPr>
            <w:r w:rsidRPr="00850582">
              <w:rPr>
                <w:sz w:val="14"/>
                <w:szCs w:val="14"/>
              </w:rPr>
              <w:t>37,508</w:t>
            </w:r>
          </w:p>
        </w:tc>
        <w:tc>
          <w:tcPr>
            <w:tcW w:w="733" w:type="dxa"/>
            <w:noWrap/>
            <w:tcMar>
              <w:top w:w="18" w:type="dxa"/>
              <w:left w:w="18" w:type="dxa"/>
              <w:bottom w:w="0" w:type="dxa"/>
              <w:right w:w="18" w:type="dxa"/>
            </w:tcMar>
            <w:vAlign w:val="bottom"/>
          </w:tcPr>
          <w:p w14:paraId="207AE662" w14:textId="7F701AB3" w:rsidR="00224102" w:rsidRPr="00692926" w:rsidRDefault="00224102" w:rsidP="00224102">
            <w:pPr>
              <w:jc w:val="right"/>
              <w:rPr>
                <w:sz w:val="14"/>
                <w:szCs w:val="14"/>
              </w:rPr>
            </w:pPr>
            <w:r w:rsidRPr="00692926">
              <w:rPr>
                <w:sz w:val="14"/>
                <w:szCs w:val="14"/>
              </w:rPr>
              <w:t>32,191</w:t>
            </w:r>
          </w:p>
        </w:tc>
        <w:tc>
          <w:tcPr>
            <w:tcW w:w="707" w:type="dxa"/>
            <w:noWrap/>
            <w:tcMar>
              <w:top w:w="18" w:type="dxa"/>
              <w:left w:w="18" w:type="dxa"/>
              <w:bottom w:w="0" w:type="dxa"/>
              <w:right w:w="18" w:type="dxa"/>
            </w:tcMar>
            <w:vAlign w:val="bottom"/>
          </w:tcPr>
          <w:p w14:paraId="25E5035D" w14:textId="176C78E9" w:rsidR="00224102" w:rsidRPr="00692926" w:rsidRDefault="00224102" w:rsidP="00224102">
            <w:pPr>
              <w:jc w:val="right"/>
              <w:rPr>
                <w:sz w:val="14"/>
                <w:szCs w:val="14"/>
              </w:rPr>
            </w:pPr>
            <w:r w:rsidRPr="00692926">
              <w:rPr>
                <w:sz w:val="14"/>
                <w:szCs w:val="14"/>
              </w:rPr>
              <w:t>7</w:t>
            </w:r>
          </w:p>
        </w:tc>
        <w:tc>
          <w:tcPr>
            <w:tcW w:w="712" w:type="dxa"/>
            <w:noWrap/>
            <w:tcMar>
              <w:top w:w="18" w:type="dxa"/>
              <w:left w:w="18" w:type="dxa"/>
              <w:bottom w:w="0" w:type="dxa"/>
              <w:right w:w="18" w:type="dxa"/>
            </w:tcMar>
            <w:vAlign w:val="bottom"/>
          </w:tcPr>
          <w:p w14:paraId="5DBEBE61" w14:textId="0C7D417B" w:rsidR="00224102" w:rsidRPr="00692926" w:rsidRDefault="00224102" w:rsidP="00224102">
            <w:pPr>
              <w:jc w:val="right"/>
              <w:rPr>
                <w:sz w:val="14"/>
                <w:szCs w:val="14"/>
              </w:rPr>
            </w:pPr>
            <w:r w:rsidRPr="00692926">
              <w:rPr>
                <w:sz w:val="14"/>
                <w:szCs w:val="14"/>
              </w:rPr>
              <w:t>32,198</w:t>
            </w:r>
          </w:p>
        </w:tc>
      </w:tr>
      <w:tr w:rsidR="00224102" w:rsidRPr="00604C75" w14:paraId="706AC07B" w14:textId="77777777" w:rsidTr="00C26D33">
        <w:trPr>
          <w:trHeight w:val="142"/>
        </w:trPr>
        <w:tc>
          <w:tcPr>
            <w:tcW w:w="537" w:type="dxa"/>
            <w:noWrap/>
            <w:tcMar>
              <w:top w:w="18" w:type="dxa"/>
              <w:left w:w="18" w:type="dxa"/>
              <w:bottom w:w="0" w:type="dxa"/>
              <w:right w:w="18" w:type="dxa"/>
            </w:tcMar>
            <w:vAlign w:val="bottom"/>
          </w:tcPr>
          <w:p w14:paraId="38360277"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b/>
                <w:noProof/>
                <w:sz w:val="14"/>
                <w:szCs w:val="14"/>
                <w:lang w:val="tr-TR"/>
              </w:rPr>
              <w:t>XIII.</w:t>
            </w:r>
          </w:p>
        </w:tc>
        <w:tc>
          <w:tcPr>
            <w:tcW w:w="4615" w:type="dxa"/>
            <w:noWrap/>
            <w:tcMar>
              <w:top w:w="18" w:type="dxa"/>
              <w:left w:w="18" w:type="dxa"/>
              <w:bottom w:w="0" w:type="dxa"/>
              <w:right w:w="18" w:type="dxa"/>
            </w:tcMar>
            <w:vAlign w:val="bottom"/>
          </w:tcPr>
          <w:p w14:paraId="0B097210"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TAX LIABILITY</w:t>
            </w:r>
          </w:p>
        </w:tc>
        <w:tc>
          <w:tcPr>
            <w:tcW w:w="640" w:type="dxa"/>
            <w:noWrap/>
            <w:tcMar>
              <w:top w:w="18" w:type="dxa"/>
              <w:left w:w="18" w:type="dxa"/>
              <w:bottom w:w="0" w:type="dxa"/>
              <w:right w:w="18" w:type="dxa"/>
            </w:tcMar>
            <w:vAlign w:val="bottom"/>
          </w:tcPr>
          <w:p w14:paraId="046999B2" w14:textId="4A7D90A4"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II-h</w:t>
            </w:r>
          </w:p>
        </w:tc>
        <w:tc>
          <w:tcPr>
            <w:tcW w:w="779" w:type="dxa"/>
            <w:noWrap/>
            <w:tcMar>
              <w:top w:w="18" w:type="dxa"/>
              <w:left w:w="18" w:type="dxa"/>
              <w:bottom w:w="0" w:type="dxa"/>
              <w:right w:w="18" w:type="dxa"/>
            </w:tcMar>
            <w:vAlign w:val="bottom"/>
          </w:tcPr>
          <w:p w14:paraId="6239F8E2" w14:textId="5D1C1E89" w:rsidR="00224102" w:rsidRPr="00850582" w:rsidRDefault="00224102" w:rsidP="00224102">
            <w:pPr>
              <w:jc w:val="right"/>
              <w:rPr>
                <w:b/>
                <w:bCs/>
                <w:sz w:val="14"/>
                <w:szCs w:val="14"/>
              </w:rPr>
            </w:pPr>
            <w:r w:rsidRPr="00850582">
              <w:rPr>
                <w:b/>
                <w:bCs/>
                <w:sz w:val="14"/>
                <w:szCs w:val="14"/>
              </w:rPr>
              <w:t>28,497</w:t>
            </w:r>
          </w:p>
        </w:tc>
        <w:tc>
          <w:tcPr>
            <w:tcW w:w="759" w:type="dxa"/>
            <w:noWrap/>
            <w:tcMar>
              <w:top w:w="18" w:type="dxa"/>
              <w:left w:w="18" w:type="dxa"/>
              <w:bottom w:w="0" w:type="dxa"/>
              <w:right w:w="18" w:type="dxa"/>
            </w:tcMar>
            <w:vAlign w:val="bottom"/>
          </w:tcPr>
          <w:p w14:paraId="650DF148" w14:textId="2CFA79C8" w:rsidR="00224102" w:rsidRPr="00850582" w:rsidRDefault="00224102" w:rsidP="00224102">
            <w:pPr>
              <w:jc w:val="right"/>
              <w:rPr>
                <w:b/>
                <w:bCs/>
                <w:sz w:val="14"/>
                <w:szCs w:val="14"/>
              </w:rPr>
            </w:pPr>
            <w:r w:rsidRPr="00850582">
              <w:rPr>
                <w:b/>
                <w:bCs/>
                <w:sz w:val="14"/>
                <w:szCs w:val="14"/>
              </w:rPr>
              <w:t>-</w:t>
            </w:r>
          </w:p>
        </w:tc>
        <w:tc>
          <w:tcPr>
            <w:tcW w:w="720" w:type="dxa"/>
            <w:noWrap/>
            <w:tcMar>
              <w:top w:w="18" w:type="dxa"/>
              <w:left w:w="18" w:type="dxa"/>
              <w:bottom w:w="0" w:type="dxa"/>
              <w:right w:w="18" w:type="dxa"/>
            </w:tcMar>
            <w:vAlign w:val="bottom"/>
          </w:tcPr>
          <w:p w14:paraId="62EE48AC" w14:textId="54AAA968" w:rsidR="00224102" w:rsidRPr="00850582" w:rsidRDefault="00224102" w:rsidP="00224102">
            <w:pPr>
              <w:jc w:val="right"/>
              <w:rPr>
                <w:b/>
                <w:bCs/>
                <w:sz w:val="14"/>
                <w:szCs w:val="14"/>
              </w:rPr>
            </w:pPr>
            <w:r w:rsidRPr="00850582">
              <w:rPr>
                <w:b/>
                <w:bCs/>
                <w:sz w:val="14"/>
                <w:szCs w:val="14"/>
              </w:rPr>
              <w:t>28,497</w:t>
            </w:r>
          </w:p>
        </w:tc>
        <w:tc>
          <w:tcPr>
            <w:tcW w:w="733" w:type="dxa"/>
            <w:noWrap/>
            <w:tcMar>
              <w:top w:w="18" w:type="dxa"/>
              <w:left w:w="18" w:type="dxa"/>
              <w:bottom w:w="0" w:type="dxa"/>
              <w:right w:w="18" w:type="dxa"/>
            </w:tcMar>
            <w:vAlign w:val="bottom"/>
          </w:tcPr>
          <w:p w14:paraId="6A66CF70" w14:textId="3EF2AFB3" w:rsidR="00224102" w:rsidRPr="00692926" w:rsidRDefault="00224102" w:rsidP="00224102">
            <w:pPr>
              <w:jc w:val="right"/>
              <w:rPr>
                <w:b/>
                <w:sz w:val="14"/>
                <w:szCs w:val="14"/>
              </w:rPr>
            </w:pPr>
            <w:r w:rsidRPr="00692926">
              <w:rPr>
                <w:b/>
                <w:sz w:val="14"/>
                <w:szCs w:val="14"/>
              </w:rPr>
              <w:t>30,938</w:t>
            </w:r>
          </w:p>
        </w:tc>
        <w:tc>
          <w:tcPr>
            <w:tcW w:w="707" w:type="dxa"/>
            <w:noWrap/>
            <w:tcMar>
              <w:top w:w="18" w:type="dxa"/>
              <w:left w:w="18" w:type="dxa"/>
              <w:bottom w:w="0" w:type="dxa"/>
              <w:right w:w="18" w:type="dxa"/>
            </w:tcMar>
            <w:vAlign w:val="bottom"/>
          </w:tcPr>
          <w:p w14:paraId="0530FD8B" w14:textId="02A1F30F" w:rsidR="00224102" w:rsidRPr="00692926" w:rsidRDefault="00224102" w:rsidP="00224102">
            <w:pPr>
              <w:jc w:val="right"/>
              <w:rPr>
                <w:b/>
                <w:sz w:val="14"/>
                <w:szCs w:val="14"/>
              </w:rPr>
            </w:pPr>
            <w:r w:rsidRPr="00692926">
              <w:rPr>
                <w:b/>
                <w:sz w:val="14"/>
                <w:szCs w:val="14"/>
              </w:rPr>
              <w:t>-</w:t>
            </w:r>
          </w:p>
        </w:tc>
        <w:tc>
          <w:tcPr>
            <w:tcW w:w="712" w:type="dxa"/>
            <w:noWrap/>
            <w:tcMar>
              <w:top w:w="18" w:type="dxa"/>
              <w:left w:w="18" w:type="dxa"/>
              <w:bottom w:w="0" w:type="dxa"/>
              <w:right w:w="18" w:type="dxa"/>
            </w:tcMar>
            <w:vAlign w:val="bottom"/>
          </w:tcPr>
          <w:p w14:paraId="437B68A8" w14:textId="18357276" w:rsidR="00224102" w:rsidRPr="00692926" w:rsidRDefault="00224102" w:rsidP="00224102">
            <w:pPr>
              <w:jc w:val="right"/>
              <w:rPr>
                <w:b/>
                <w:sz w:val="14"/>
                <w:szCs w:val="14"/>
              </w:rPr>
            </w:pPr>
            <w:r w:rsidRPr="00692926">
              <w:rPr>
                <w:b/>
                <w:sz w:val="14"/>
                <w:szCs w:val="14"/>
              </w:rPr>
              <w:t>30,938</w:t>
            </w:r>
          </w:p>
        </w:tc>
      </w:tr>
      <w:tr w:rsidR="00224102" w:rsidRPr="00604C75" w14:paraId="279F764E" w14:textId="77777777" w:rsidTr="00C26D33">
        <w:trPr>
          <w:trHeight w:val="122"/>
        </w:trPr>
        <w:tc>
          <w:tcPr>
            <w:tcW w:w="537" w:type="dxa"/>
            <w:noWrap/>
            <w:tcMar>
              <w:top w:w="18" w:type="dxa"/>
              <w:left w:w="18" w:type="dxa"/>
              <w:bottom w:w="0" w:type="dxa"/>
              <w:right w:w="18" w:type="dxa"/>
            </w:tcMar>
            <w:vAlign w:val="bottom"/>
          </w:tcPr>
          <w:p w14:paraId="4A672B84" w14:textId="77777777" w:rsidR="00224102" w:rsidRPr="00604C75" w:rsidRDefault="00224102" w:rsidP="00224102">
            <w:pPr>
              <w:spacing w:line="226" w:lineRule="auto"/>
              <w:rPr>
                <w:rFonts w:eastAsia="Arial Unicode MS"/>
                <w:b/>
                <w:noProof/>
                <w:sz w:val="14"/>
                <w:szCs w:val="14"/>
                <w:lang w:val="tr-TR"/>
              </w:rPr>
            </w:pPr>
            <w:r w:rsidRPr="00604C75">
              <w:rPr>
                <w:noProof/>
                <w:sz w:val="14"/>
                <w:szCs w:val="14"/>
                <w:lang w:val="tr-TR"/>
              </w:rPr>
              <w:t>13.1</w:t>
            </w:r>
          </w:p>
        </w:tc>
        <w:tc>
          <w:tcPr>
            <w:tcW w:w="4615" w:type="dxa"/>
            <w:noWrap/>
            <w:tcMar>
              <w:top w:w="18" w:type="dxa"/>
              <w:left w:w="18" w:type="dxa"/>
              <w:bottom w:w="0" w:type="dxa"/>
              <w:right w:w="18" w:type="dxa"/>
            </w:tcMar>
            <w:vAlign w:val="bottom"/>
          </w:tcPr>
          <w:p w14:paraId="72FD321A"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Current Tax Liability</w:t>
            </w:r>
          </w:p>
        </w:tc>
        <w:tc>
          <w:tcPr>
            <w:tcW w:w="640" w:type="dxa"/>
            <w:noWrap/>
            <w:tcMar>
              <w:top w:w="18" w:type="dxa"/>
              <w:left w:w="18" w:type="dxa"/>
              <w:bottom w:w="0" w:type="dxa"/>
              <w:right w:w="18" w:type="dxa"/>
            </w:tcMar>
            <w:vAlign w:val="bottom"/>
          </w:tcPr>
          <w:p w14:paraId="767816C3" w14:textId="2789EF5F"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780E38D6" w14:textId="7F11E3A4" w:rsidR="00224102" w:rsidRPr="00850582" w:rsidRDefault="00224102" w:rsidP="00224102">
            <w:pPr>
              <w:jc w:val="right"/>
              <w:rPr>
                <w:sz w:val="14"/>
                <w:szCs w:val="14"/>
              </w:rPr>
            </w:pPr>
            <w:r w:rsidRPr="00850582">
              <w:rPr>
                <w:sz w:val="14"/>
                <w:szCs w:val="14"/>
              </w:rPr>
              <w:t>28,497</w:t>
            </w:r>
          </w:p>
        </w:tc>
        <w:tc>
          <w:tcPr>
            <w:tcW w:w="759" w:type="dxa"/>
            <w:noWrap/>
            <w:tcMar>
              <w:top w:w="18" w:type="dxa"/>
              <w:left w:w="18" w:type="dxa"/>
              <w:bottom w:w="0" w:type="dxa"/>
              <w:right w:w="18" w:type="dxa"/>
            </w:tcMar>
            <w:vAlign w:val="bottom"/>
          </w:tcPr>
          <w:p w14:paraId="54A76FA3" w14:textId="648CF239"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3672B0D5" w14:textId="3137FE52" w:rsidR="00224102" w:rsidRPr="00850582" w:rsidRDefault="00224102" w:rsidP="00224102">
            <w:pPr>
              <w:jc w:val="right"/>
              <w:rPr>
                <w:sz w:val="14"/>
                <w:szCs w:val="14"/>
              </w:rPr>
            </w:pPr>
            <w:r w:rsidRPr="00850582">
              <w:rPr>
                <w:sz w:val="14"/>
                <w:szCs w:val="14"/>
              </w:rPr>
              <w:t>28,497</w:t>
            </w:r>
          </w:p>
        </w:tc>
        <w:tc>
          <w:tcPr>
            <w:tcW w:w="733" w:type="dxa"/>
            <w:noWrap/>
            <w:tcMar>
              <w:top w:w="18" w:type="dxa"/>
              <w:left w:w="18" w:type="dxa"/>
              <w:bottom w:w="0" w:type="dxa"/>
              <w:right w:w="18" w:type="dxa"/>
            </w:tcMar>
            <w:vAlign w:val="bottom"/>
          </w:tcPr>
          <w:p w14:paraId="68F6B571" w14:textId="2B70DD1C" w:rsidR="00224102" w:rsidRPr="00692926" w:rsidRDefault="00224102" w:rsidP="00224102">
            <w:pPr>
              <w:jc w:val="right"/>
              <w:rPr>
                <w:sz w:val="14"/>
                <w:szCs w:val="14"/>
              </w:rPr>
            </w:pPr>
            <w:r w:rsidRPr="00692926">
              <w:rPr>
                <w:sz w:val="14"/>
                <w:szCs w:val="14"/>
              </w:rPr>
              <w:t>30,938</w:t>
            </w:r>
          </w:p>
        </w:tc>
        <w:tc>
          <w:tcPr>
            <w:tcW w:w="707" w:type="dxa"/>
            <w:noWrap/>
            <w:tcMar>
              <w:top w:w="18" w:type="dxa"/>
              <w:left w:w="18" w:type="dxa"/>
              <w:bottom w:w="0" w:type="dxa"/>
              <w:right w:w="18" w:type="dxa"/>
            </w:tcMar>
            <w:vAlign w:val="bottom"/>
          </w:tcPr>
          <w:p w14:paraId="5B9B96A0" w14:textId="4965AA6B"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7AEE6B83" w14:textId="42B1F55C" w:rsidR="00224102" w:rsidRPr="00692926" w:rsidRDefault="00224102" w:rsidP="00224102">
            <w:pPr>
              <w:jc w:val="right"/>
              <w:rPr>
                <w:sz w:val="14"/>
                <w:szCs w:val="14"/>
              </w:rPr>
            </w:pPr>
            <w:r w:rsidRPr="00692926">
              <w:rPr>
                <w:sz w:val="14"/>
                <w:szCs w:val="14"/>
              </w:rPr>
              <w:t>30,938</w:t>
            </w:r>
          </w:p>
        </w:tc>
      </w:tr>
      <w:tr w:rsidR="00224102" w:rsidRPr="00604C75" w14:paraId="48B3AEDE" w14:textId="77777777" w:rsidTr="00C26D33">
        <w:trPr>
          <w:trHeight w:val="134"/>
        </w:trPr>
        <w:tc>
          <w:tcPr>
            <w:tcW w:w="537" w:type="dxa"/>
            <w:noWrap/>
            <w:tcMar>
              <w:top w:w="18" w:type="dxa"/>
              <w:left w:w="18" w:type="dxa"/>
              <w:bottom w:w="0" w:type="dxa"/>
              <w:right w:w="18" w:type="dxa"/>
            </w:tcMar>
            <w:vAlign w:val="bottom"/>
          </w:tcPr>
          <w:p w14:paraId="2B8A4F9A"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13.2</w:t>
            </w:r>
          </w:p>
        </w:tc>
        <w:tc>
          <w:tcPr>
            <w:tcW w:w="4615" w:type="dxa"/>
            <w:noWrap/>
            <w:tcMar>
              <w:top w:w="18" w:type="dxa"/>
              <w:left w:w="18" w:type="dxa"/>
              <w:bottom w:w="0" w:type="dxa"/>
              <w:right w:w="18" w:type="dxa"/>
            </w:tcMar>
            <w:vAlign w:val="bottom"/>
          </w:tcPr>
          <w:p w14:paraId="741C826F"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Deferred Tax Liability</w:t>
            </w:r>
          </w:p>
        </w:tc>
        <w:tc>
          <w:tcPr>
            <w:tcW w:w="640" w:type="dxa"/>
            <w:noWrap/>
            <w:tcMar>
              <w:top w:w="18" w:type="dxa"/>
              <w:left w:w="18" w:type="dxa"/>
              <w:bottom w:w="0" w:type="dxa"/>
              <w:right w:w="18" w:type="dxa"/>
            </w:tcMar>
            <w:vAlign w:val="bottom"/>
          </w:tcPr>
          <w:p w14:paraId="04C4E513" w14:textId="26886653"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II-i </w:t>
            </w:r>
          </w:p>
        </w:tc>
        <w:tc>
          <w:tcPr>
            <w:tcW w:w="779" w:type="dxa"/>
            <w:noWrap/>
            <w:tcMar>
              <w:top w:w="18" w:type="dxa"/>
              <w:left w:w="18" w:type="dxa"/>
              <w:bottom w:w="0" w:type="dxa"/>
              <w:right w:w="18" w:type="dxa"/>
            </w:tcMar>
            <w:vAlign w:val="bottom"/>
          </w:tcPr>
          <w:p w14:paraId="1094AA0D" w14:textId="72347426"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324C6547" w14:textId="24C9C27F"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37D6233E" w14:textId="446347EB"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2D12E22F" w14:textId="12526D9B"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487BE4B0" w14:textId="5DA4D289"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540115F1" w14:textId="4D7C5896" w:rsidR="00224102" w:rsidRPr="00692926" w:rsidRDefault="00224102" w:rsidP="00224102">
            <w:pPr>
              <w:jc w:val="right"/>
              <w:rPr>
                <w:sz w:val="14"/>
                <w:szCs w:val="14"/>
              </w:rPr>
            </w:pPr>
            <w:r w:rsidRPr="00692926">
              <w:rPr>
                <w:sz w:val="14"/>
                <w:szCs w:val="14"/>
              </w:rPr>
              <w:t>-</w:t>
            </w:r>
          </w:p>
        </w:tc>
      </w:tr>
      <w:tr w:rsidR="00224102" w:rsidRPr="00604C75" w14:paraId="0F8005B3" w14:textId="77777777" w:rsidTr="00C26D33">
        <w:trPr>
          <w:trHeight w:val="118"/>
        </w:trPr>
        <w:tc>
          <w:tcPr>
            <w:tcW w:w="537" w:type="dxa"/>
            <w:noWrap/>
            <w:tcMar>
              <w:top w:w="18" w:type="dxa"/>
              <w:left w:w="18" w:type="dxa"/>
              <w:bottom w:w="0" w:type="dxa"/>
              <w:right w:w="18" w:type="dxa"/>
            </w:tcMar>
          </w:tcPr>
          <w:p w14:paraId="30485F34" w14:textId="77777777" w:rsidR="00224102" w:rsidRPr="00604C75" w:rsidRDefault="00224102" w:rsidP="00224102">
            <w:pPr>
              <w:spacing w:line="226" w:lineRule="auto"/>
              <w:rPr>
                <w:rFonts w:eastAsia="Arial Unicode MS"/>
                <w:noProof/>
                <w:sz w:val="14"/>
                <w:szCs w:val="14"/>
                <w:lang w:val="tr-TR"/>
              </w:rPr>
            </w:pPr>
            <w:r w:rsidRPr="00604C75">
              <w:rPr>
                <w:b/>
                <w:bCs/>
                <w:noProof/>
                <w:sz w:val="14"/>
                <w:szCs w:val="14"/>
                <w:lang w:val="tr-TR"/>
              </w:rPr>
              <w:t>XIV.</w:t>
            </w:r>
          </w:p>
        </w:tc>
        <w:tc>
          <w:tcPr>
            <w:tcW w:w="4615" w:type="dxa"/>
            <w:noWrap/>
            <w:tcMar>
              <w:top w:w="18" w:type="dxa"/>
              <w:left w:w="18" w:type="dxa"/>
              <w:bottom w:w="0" w:type="dxa"/>
              <w:right w:w="18" w:type="dxa"/>
            </w:tcMar>
            <w:vAlign w:val="bottom"/>
          </w:tcPr>
          <w:p w14:paraId="63791E96"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PAYABLES FOR ASSET-HELD-FOR-RESALE AND DISCONTINUED OPERATIONS (Net)</w:t>
            </w:r>
          </w:p>
        </w:tc>
        <w:tc>
          <w:tcPr>
            <w:tcW w:w="640" w:type="dxa"/>
            <w:noWrap/>
            <w:tcMar>
              <w:top w:w="18" w:type="dxa"/>
              <w:left w:w="18" w:type="dxa"/>
              <w:bottom w:w="0" w:type="dxa"/>
              <w:right w:w="18" w:type="dxa"/>
            </w:tcMar>
            <w:vAlign w:val="bottom"/>
          </w:tcPr>
          <w:p w14:paraId="38975262" w14:textId="77777777" w:rsidR="00224102" w:rsidRPr="00604C75" w:rsidRDefault="00224102" w:rsidP="00224102">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14:paraId="2040570A" w14:textId="0105EA4C" w:rsidR="00224102" w:rsidRPr="00850582" w:rsidRDefault="00224102" w:rsidP="00224102">
            <w:pPr>
              <w:jc w:val="right"/>
              <w:rPr>
                <w:b/>
                <w:bCs/>
                <w:sz w:val="14"/>
                <w:szCs w:val="14"/>
              </w:rPr>
            </w:pPr>
            <w:r w:rsidRPr="00850582">
              <w:rPr>
                <w:b/>
                <w:bCs/>
                <w:sz w:val="14"/>
                <w:szCs w:val="14"/>
              </w:rPr>
              <w:t>-</w:t>
            </w:r>
          </w:p>
        </w:tc>
        <w:tc>
          <w:tcPr>
            <w:tcW w:w="759" w:type="dxa"/>
            <w:noWrap/>
            <w:tcMar>
              <w:top w:w="18" w:type="dxa"/>
              <w:left w:w="18" w:type="dxa"/>
              <w:bottom w:w="0" w:type="dxa"/>
              <w:right w:w="18" w:type="dxa"/>
            </w:tcMar>
            <w:vAlign w:val="bottom"/>
          </w:tcPr>
          <w:p w14:paraId="5F57E183" w14:textId="4653C1AB" w:rsidR="00224102" w:rsidRPr="00850582" w:rsidRDefault="00224102" w:rsidP="00224102">
            <w:pPr>
              <w:jc w:val="right"/>
              <w:rPr>
                <w:b/>
                <w:bCs/>
                <w:sz w:val="14"/>
                <w:szCs w:val="14"/>
              </w:rPr>
            </w:pPr>
            <w:r w:rsidRPr="00850582">
              <w:rPr>
                <w:b/>
                <w:bCs/>
                <w:sz w:val="14"/>
                <w:szCs w:val="14"/>
              </w:rPr>
              <w:t>2,660</w:t>
            </w:r>
          </w:p>
        </w:tc>
        <w:tc>
          <w:tcPr>
            <w:tcW w:w="720" w:type="dxa"/>
            <w:noWrap/>
            <w:tcMar>
              <w:top w:w="18" w:type="dxa"/>
              <w:left w:w="18" w:type="dxa"/>
              <w:bottom w:w="0" w:type="dxa"/>
              <w:right w:w="18" w:type="dxa"/>
            </w:tcMar>
            <w:vAlign w:val="bottom"/>
          </w:tcPr>
          <w:p w14:paraId="49735859" w14:textId="38EE5DB9" w:rsidR="00224102" w:rsidRPr="00850582" w:rsidRDefault="00224102" w:rsidP="00224102">
            <w:pPr>
              <w:jc w:val="right"/>
              <w:rPr>
                <w:b/>
                <w:bCs/>
                <w:sz w:val="14"/>
                <w:szCs w:val="14"/>
              </w:rPr>
            </w:pPr>
            <w:r w:rsidRPr="00850582">
              <w:rPr>
                <w:b/>
                <w:bCs/>
                <w:sz w:val="14"/>
                <w:szCs w:val="14"/>
              </w:rPr>
              <w:t>2,660</w:t>
            </w:r>
          </w:p>
        </w:tc>
        <w:tc>
          <w:tcPr>
            <w:tcW w:w="733" w:type="dxa"/>
            <w:noWrap/>
            <w:tcMar>
              <w:top w:w="18" w:type="dxa"/>
              <w:left w:w="18" w:type="dxa"/>
              <w:bottom w:w="0" w:type="dxa"/>
              <w:right w:w="18" w:type="dxa"/>
            </w:tcMar>
            <w:vAlign w:val="bottom"/>
          </w:tcPr>
          <w:p w14:paraId="69112E8A" w14:textId="0E8AF440" w:rsidR="00224102" w:rsidRPr="00692926" w:rsidRDefault="00224102" w:rsidP="00224102">
            <w:pPr>
              <w:jc w:val="right"/>
              <w:rPr>
                <w:b/>
                <w:sz w:val="14"/>
                <w:szCs w:val="14"/>
              </w:rPr>
            </w:pPr>
            <w:r w:rsidRPr="00692926">
              <w:rPr>
                <w:b/>
                <w:sz w:val="14"/>
                <w:szCs w:val="14"/>
              </w:rPr>
              <w:t>2,393</w:t>
            </w:r>
          </w:p>
        </w:tc>
        <w:tc>
          <w:tcPr>
            <w:tcW w:w="707" w:type="dxa"/>
            <w:noWrap/>
            <w:tcMar>
              <w:top w:w="18" w:type="dxa"/>
              <w:left w:w="18" w:type="dxa"/>
              <w:bottom w:w="0" w:type="dxa"/>
              <w:right w:w="18" w:type="dxa"/>
            </w:tcMar>
            <w:vAlign w:val="bottom"/>
          </w:tcPr>
          <w:p w14:paraId="533346AA" w14:textId="5135A7D1" w:rsidR="00224102" w:rsidRPr="00692926" w:rsidRDefault="00224102" w:rsidP="00224102">
            <w:pPr>
              <w:jc w:val="right"/>
              <w:rPr>
                <w:b/>
                <w:sz w:val="14"/>
                <w:szCs w:val="14"/>
              </w:rPr>
            </w:pPr>
            <w:r w:rsidRPr="00692926">
              <w:rPr>
                <w:b/>
                <w:sz w:val="14"/>
                <w:szCs w:val="14"/>
              </w:rPr>
              <w:t>3,479</w:t>
            </w:r>
          </w:p>
        </w:tc>
        <w:tc>
          <w:tcPr>
            <w:tcW w:w="712" w:type="dxa"/>
            <w:noWrap/>
            <w:tcMar>
              <w:top w:w="18" w:type="dxa"/>
              <w:left w:w="18" w:type="dxa"/>
              <w:bottom w:w="0" w:type="dxa"/>
              <w:right w:w="18" w:type="dxa"/>
            </w:tcMar>
            <w:vAlign w:val="bottom"/>
          </w:tcPr>
          <w:p w14:paraId="712ABC20" w14:textId="00595682" w:rsidR="00224102" w:rsidRPr="00692926" w:rsidRDefault="00224102" w:rsidP="00224102">
            <w:pPr>
              <w:jc w:val="right"/>
              <w:rPr>
                <w:b/>
                <w:sz w:val="14"/>
                <w:szCs w:val="14"/>
              </w:rPr>
            </w:pPr>
            <w:r w:rsidRPr="00692926">
              <w:rPr>
                <w:b/>
                <w:sz w:val="14"/>
                <w:szCs w:val="14"/>
              </w:rPr>
              <w:t>5,872</w:t>
            </w:r>
          </w:p>
        </w:tc>
      </w:tr>
      <w:tr w:rsidR="00224102" w:rsidRPr="00604C75" w14:paraId="196F1237" w14:textId="77777777" w:rsidTr="00C26D33">
        <w:trPr>
          <w:trHeight w:val="118"/>
        </w:trPr>
        <w:tc>
          <w:tcPr>
            <w:tcW w:w="537" w:type="dxa"/>
            <w:noWrap/>
            <w:tcMar>
              <w:top w:w="18" w:type="dxa"/>
              <w:left w:w="18" w:type="dxa"/>
              <w:bottom w:w="0" w:type="dxa"/>
              <w:right w:w="18" w:type="dxa"/>
            </w:tcMar>
          </w:tcPr>
          <w:p w14:paraId="3D67510F" w14:textId="77777777" w:rsidR="00224102" w:rsidRPr="00604C75" w:rsidRDefault="00224102" w:rsidP="00224102">
            <w:pPr>
              <w:spacing w:line="226" w:lineRule="auto"/>
              <w:rPr>
                <w:bCs/>
                <w:noProof/>
                <w:sz w:val="14"/>
                <w:szCs w:val="14"/>
                <w:lang w:val="tr-TR"/>
              </w:rPr>
            </w:pPr>
            <w:r w:rsidRPr="00604C75">
              <w:rPr>
                <w:bCs/>
                <w:noProof/>
                <w:sz w:val="14"/>
                <w:szCs w:val="14"/>
                <w:lang w:val="tr-TR"/>
              </w:rPr>
              <w:t>14.1</w:t>
            </w:r>
          </w:p>
        </w:tc>
        <w:tc>
          <w:tcPr>
            <w:tcW w:w="4615" w:type="dxa"/>
            <w:noWrap/>
            <w:tcMar>
              <w:top w:w="18" w:type="dxa"/>
              <w:left w:w="18" w:type="dxa"/>
              <w:bottom w:w="0" w:type="dxa"/>
              <w:right w:w="18" w:type="dxa"/>
            </w:tcMar>
            <w:vAlign w:val="bottom"/>
          </w:tcPr>
          <w:p w14:paraId="3F9D8CA8"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Held for Sale</w:t>
            </w:r>
          </w:p>
        </w:tc>
        <w:tc>
          <w:tcPr>
            <w:tcW w:w="640" w:type="dxa"/>
            <w:noWrap/>
            <w:tcMar>
              <w:top w:w="18" w:type="dxa"/>
              <w:left w:w="18" w:type="dxa"/>
              <w:bottom w:w="0" w:type="dxa"/>
              <w:right w:w="18" w:type="dxa"/>
            </w:tcMar>
            <w:vAlign w:val="bottom"/>
          </w:tcPr>
          <w:p w14:paraId="1A29EB91" w14:textId="77777777" w:rsidR="00224102" w:rsidRPr="00604C75" w:rsidRDefault="00224102" w:rsidP="00224102">
            <w:pPr>
              <w:spacing w:line="226" w:lineRule="auto"/>
              <w:jc w:val="center"/>
              <w:rPr>
                <w:rFonts w:eastAsia="Arial Unicode MS"/>
                <w:b/>
                <w:sz w:val="14"/>
                <w:szCs w:val="14"/>
              </w:rPr>
            </w:pPr>
          </w:p>
        </w:tc>
        <w:tc>
          <w:tcPr>
            <w:tcW w:w="779" w:type="dxa"/>
            <w:noWrap/>
            <w:tcMar>
              <w:top w:w="18" w:type="dxa"/>
              <w:left w:w="18" w:type="dxa"/>
              <w:bottom w:w="0" w:type="dxa"/>
              <w:right w:w="18" w:type="dxa"/>
            </w:tcMar>
            <w:vAlign w:val="bottom"/>
          </w:tcPr>
          <w:p w14:paraId="553EC7AE" w14:textId="232F1178"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647F4C47" w14:textId="14231405" w:rsidR="00224102" w:rsidRPr="00850582" w:rsidRDefault="00224102" w:rsidP="00224102">
            <w:pPr>
              <w:jc w:val="right"/>
              <w:rPr>
                <w:sz w:val="14"/>
                <w:szCs w:val="14"/>
              </w:rPr>
            </w:pPr>
            <w:r w:rsidRPr="00850582">
              <w:rPr>
                <w:sz w:val="14"/>
                <w:szCs w:val="14"/>
              </w:rPr>
              <w:t>2,660</w:t>
            </w:r>
          </w:p>
        </w:tc>
        <w:tc>
          <w:tcPr>
            <w:tcW w:w="720" w:type="dxa"/>
            <w:noWrap/>
            <w:tcMar>
              <w:top w:w="18" w:type="dxa"/>
              <w:left w:w="18" w:type="dxa"/>
              <w:bottom w:w="0" w:type="dxa"/>
              <w:right w:w="18" w:type="dxa"/>
            </w:tcMar>
            <w:vAlign w:val="bottom"/>
          </w:tcPr>
          <w:p w14:paraId="029E397B" w14:textId="12A2E428" w:rsidR="00224102" w:rsidRPr="00850582" w:rsidRDefault="00224102" w:rsidP="00224102">
            <w:pPr>
              <w:jc w:val="right"/>
              <w:rPr>
                <w:sz w:val="14"/>
                <w:szCs w:val="14"/>
              </w:rPr>
            </w:pPr>
            <w:r w:rsidRPr="00850582">
              <w:rPr>
                <w:sz w:val="14"/>
                <w:szCs w:val="14"/>
              </w:rPr>
              <w:t>2,660</w:t>
            </w:r>
          </w:p>
        </w:tc>
        <w:tc>
          <w:tcPr>
            <w:tcW w:w="733" w:type="dxa"/>
            <w:noWrap/>
            <w:tcMar>
              <w:top w:w="18" w:type="dxa"/>
              <w:left w:w="18" w:type="dxa"/>
              <w:bottom w:w="0" w:type="dxa"/>
              <w:right w:w="18" w:type="dxa"/>
            </w:tcMar>
            <w:vAlign w:val="bottom"/>
          </w:tcPr>
          <w:p w14:paraId="0B0FD690" w14:textId="3B0EE346" w:rsidR="00224102" w:rsidRPr="00692926" w:rsidRDefault="00224102" w:rsidP="00224102">
            <w:pPr>
              <w:jc w:val="right"/>
              <w:rPr>
                <w:sz w:val="14"/>
                <w:szCs w:val="14"/>
              </w:rPr>
            </w:pPr>
            <w:r w:rsidRPr="00692926">
              <w:rPr>
                <w:sz w:val="14"/>
                <w:szCs w:val="14"/>
              </w:rPr>
              <w:t>2,393</w:t>
            </w:r>
          </w:p>
        </w:tc>
        <w:tc>
          <w:tcPr>
            <w:tcW w:w="707" w:type="dxa"/>
            <w:noWrap/>
            <w:tcMar>
              <w:top w:w="18" w:type="dxa"/>
              <w:left w:w="18" w:type="dxa"/>
              <w:bottom w:w="0" w:type="dxa"/>
              <w:right w:w="18" w:type="dxa"/>
            </w:tcMar>
            <w:vAlign w:val="bottom"/>
          </w:tcPr>
          <w:p w14:paraId="79A7129A" w14:textId="21C60A1F" w:rsidR="00224102" w:rsidRPr="00692926" w:rsidRDefault="00224102" w:rsidP="00224102">
            <w:pPr>
              <w:jc w:val="right"/>
              <w:rPr>
                <w:sz w:val="14"/>
                <w:szCs w:val="14"/>
              </w:rPr>
            </w:pPr>
            <w:r w:rsidRPr="00692926">
              <w:rPr>
                <w:sz w:val="14"/>
                <w:szCs w:val="14"/>
              </w:rPr>
              <w:t>3,479</w:t>
            </w:r>
          </w:p>
        </w:tc>
        <w:tc>
          <w:tcPr>
            <w:tcW w:w="712" w:type="dxa"/>
            <w:noWrap/>
            <w:tcMar>
              <w:top w:w="18" w:type="dxa"/>
              <w:left w:w="18" w:type="dxa"/>
              <w:bottom w:w="0" w:type="dxa"/>
              <w:right w:w="18" w:type="dxa"/>
            </w:tcMar>
            <w:vAlign w:val="bottom"/>
          </w:tcPr>
          <w:p w14:paraId="198188F0" w14:textId="35EF991B" w:rsidR="00224102" w:rsidRPr="00692926" w:rsidRDefault="00224102" w:rsidP="00224102">
            <w:pPr>
              <w:jc w:val="right"/>
              <w:rPr>
                <w:sz w:val="14"/>
                <w:szCs w:val="14"/>
              </w:rPr>
            </w:pPr>
            <w:r w:rsidRPr="00692926">
              <w:rPr>
                <w:sz w:val="14"/>
                <w:szCs w:val="14"/>
              </w:rPr>
              <w:t>5,872</w:t>
            </w:r>
          </w:p>
        </w:tc>
      </w:tr>
      <w:tr w:rsidR="00224102" w:rsidRPr="00604C75" w14:paraId="5FCEBAD5" w14:textId="77777777" w:rsidTr="00C26D33">
        <w:trPr>
          <w:trHeight w:val="118"/>
        </w:trPr>
        <w:tc>
          <w:tcPr>
            <w:tcW w:w="537" w:type="dxa"/>
            <w:noWrap/>
            <w:tcMar>
              <w:top w:w="18" w:type="dxa"/>
              <w:left w:w="18" w:type="dxa"/>
              <w:bottom w:w="0" w:type="dxa"/>
              <w:right w:w="18" w:type="dxa"/>
            </w:tcMar>
          </w:tcPr>
          <w:p w14:paraId="551A9634" w14:textId="77777777" w:rsidR="00224102" w:rsidRPr="00604C75" w:rsidRDefault="00224102" w:rsidP="00224102">
            <w:pPr>
              <w:spacing w:line="226" w:lineRule="auto"/>
              <w:rPr>
                <w:bCs/>
                <w:noProof/>
                <w:sz w:val="14"/>
                <w:szCs w:val="14"/>
                <w:lang w:val="tr-TR"/>
              </w:rPr>
            </w:pPr>
            <w:r w:rsidRPr="00604C75">
              <w:rPr>
                <w:bCs/>
                <w:noProof/>
                <w:sz w:val="14"/>
                <w:szCs w:val="14"/>
                <w:lang w:val="tr-TR"/>
              </w:rPr>
              <w:t>14.2</w:t>
            </w:r>
          </w:p>
        </w:tc>
        <w:tc>
          <w:tcPr>
            <w:tcW w:w="4615" w:type="dxa"/>
            <w:noWrap/>
            <w:tcMar>
              <w:top w:w="18" w:type="dxa"/>
              <w:left w:w="18" w:type="dxa"/>
              <w:bottom w:w="0" w:type="dxa"/>
              <w:right w:w="18" w:type="dxa"/>
            </w:tcMar>
            <w:vAlign w:val="bottom"/>
          </w:tcPr>
          <w:p w14:paraId="78013B01"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Discontinued Operations</w:t>
            </w:r>
          </w:p>
        </w:tc>
        <w:tc>
          <w:tcPr>
            <w:tcW w:w="640" w:type="dxa"/>
            <w:noWrap/>
            <w:tcMar>
              <w:top w:w="18" w:type="dxa"/>
              <w:left w:w="18" w:type="dxa"/>
              <w:bottom w:w="0" w:type="dxa"/>
              <w:right w:w="18" w:type="dxa"/>
            </w:tcMar>
            <w:vAlign w:val="bottom"/>
          </w:tcPr>
          <w:p w14:paraId="624187B4" w14:textId="77777777" w:rsidR="00224102" w:rsidRPr="00604C75" w:rsidRDefault="00224102" w:rsidP="00224102">
            <w:pPr>
              <w:spacing w:line="226" w:lineRule="auto"/>
              <w:jc w:val="center"/>
              <w:rPr>
                <w:rFonts w:eastAsia="Arial Unicode MS"/>
                <w:b/>
                <w:sz w:val="14"/>
                <w:szCs w:val="14"/>
              </w:rPr>
            </w:pPr>
          </w:p>
        </w:tc>
        <w:tc>
          <w:tcPr>
            <w:tcW w:w="779" w:type="dxa"/>
            <w:noWrap/>
            <w:tcMar>
              <w:top w:w="18" w:type="dxa"/>
              <w:left w:w="18" w:type="dxa"/>
              <w:bottom w:w="0" w:type="dxa"/>
              <w:right w:w="18" w:type="dxa"/>
            </w:tcMar>
            <w:vAlign w:val="bottom"/>
          </w:tcPr>
          <w:p w14:paraId="06FFE56D" w14:textId="54B1971E"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221142B1" w14:textId="47C9F2D5"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0B384DB5" w14:textId="2411BA88"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0A09BE39" w14:textId="12E87E68"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32D33D4A" w14:textId="28C9915F"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6CE31CA4" w14:textId="7C8B3C20" w:rsidR="00224102" w:rsidRPr="00692926" w:rsidRDefault="00224102" w:rsidP="00224102">
            <w:pPr>
              <w:jc w:val="right"/>
              <w:rPr>
                <w:sz w:val="14"/>
                <w:szCs w:val="14"/>
              </w:rPr>
            </w:pPr>
            <w:r w:rsidRPr="00692926">
              <w:rPr>
                <w:sz w:val="14"/>
                <w:szCs w:val="14"/>
              </w:rPr>
              <w:t>-</w:t>
            </w:r>
          </w:p>
        </w:tc>
      </w:tr>
      <w:tr w:rsidR="00224102" w:rsidRPr="00604C75" w14:paraId="4E7A7D75" w14:textId="77777777" w:rsidTr="00C26D33">
        <w:trPr>
          <w:trHeight w:val="116"/>
        </w:trPr>
        <w:tc>
          <w:tcPr>
            <w:tcW w:w="537" w:type="dxa"/>
            <w:noWrap/>
            <w:tcMar>
              <w:top w:w="18" w:type="dxa"/>
              <w:left w:w="18" w:type="dxa"/>
              <w:bottom w:w="0" w:type="dxa"/>
              <w:right w:w="18" w:type="dxa"/>
            </w:tcMar>
            <w:vAlign w:val="bottom"/>
          </w:tcPr>
          <w:p w14:paraId="18E275F1" w14:textId="77777777" w:rsidR="00224102" w:rsidRPr="00604C75" w:rsidRDefault="00224102" w:rsidP="00224102">
            <w:pPr>
              <w:spacing w:line="226" w:lineRule="auto"/>
              <w:rPr>
                <w:rFonts w:eastAsia="Arial Unicode MS"/>
                <w:b/>
                <w:bCs/>
                <w:noProof/>
                <w:sz w:val="14"/>
                <w:szCs w:val="14"/>
                <w:lang w:val="tr-TR"/>
              </w:rPr>
            </w:pPr>
            <w:r w:rsidRPr="00604C75">
              <w:rPr>
                <w:rFonts w:eastAsia="Arial Unicode MS"/>
                <w:b/>
                <w:noProof/>
                <w:sz w:val="14"/>
                <w:szCs w:val="14"/>
                <w:lang w:val="tr-TR"/>
              </w:rPr>
              <w:t>XV.</w:t>
            </w:r>
          </w:p>
        </w:tc>
        <w:tc>
          <w:tcPr>
            <w:tcW w:w="4615" w:type="dxa"/>
            <w:noWrap/>
            <w:tcMar>
              <w:top w:w="18" w:type="dxa"/>
              <w:left w:w="18" w:type="dxa"/>
              <w:bottom w:w="0" w:type="dxa"/>
              <w:right w:w="18" w:type="dxa"/>
            </w:tcMar>
            <w:vAlign w:val="bottom"/>
          </w:tcPr>
          <w:p w14:paraId="42D35BFE" w14:textId="77777777" w:rsidR="00224102" w:rsidRPr="00604C75" w:rsidRDefault="00224102" w:rsidP="00224102">
            <w:pPr>
              <w:spacing w:line="226" w:lineRule="auto"/>
              <w:rPr>
                <w:rFonts w:eastAsia="Arial Unicode MS"/>
                <w:b/>
                <w:bCs/>
                <w:noProof/>
                <w:sz w:val="14"/>
                <w:szCs w:val="14"/>
                <w:lang w:val="tr-TR"/>
              </w:rPr>
            </w:pPr>
            <w:r w:rsidRPr="00604C75">
              <w:rPr>
                <w:rFonts w:eastAsia="Arial Unicode MS"/>
                <w:b/>
                <w:bCs/>
                <w:noProof/>
                <w:sz w:val="14"/>
                <w:szCs w:val="14"/>
                <w:lang w:val="tr-TR"/>
              </w:rPr>
              <w:t>SUBORDINATED LOANS</w:t>
            </w:r>
          </w:p>
        </w:tc>
        <w:tc>
          <w:tcPr>
            <w:tcW w:w="640" w:type="dxa"/>
            <w:noWrap/>
            <w:tcMar>
              <w:top w:w="18" w:type="dxa"/>
              <w:left w:w="18" w:type="dxa"/>
              <w:bottom w:w="0" w:type="dxa"/>
              <w:right w:w="18" w:type="dxa"/>
            </w:tcMar>
            <w:vAlign w:val="bottom"/>
          </w:tcPr>
          <w:p w14:paraId="417CF704" w14:textId="3EAAAA78"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II-j</w:t>
            </w:r>
          </w:p>
        </w:tc>
        <w:tc>
          <w:tcPr>
            <w:tcW w:w="779" w:type="dxa"/>
            <w:noWrap/>
            <w:tcMar>
              <w:top w:w="18" w:type="dxa"/>
              <w:left w:w="18" w:type="dxa"/>
              <w:bottom w:w="0" w:type="dxa"/>
              <w:right w:w="18" w:type="dxa"/>
            </w:tcMar>
            <w:vAlign w:val="bottom"/>
          </w:tcPr>
          <w:p w14:paraId="721D22D3" w14:textId="6CC838BE" w:rsidR="00224102" w:rsidRPr="00850582" w:rsidRDefault="00224102" w:rsidP="00224102">
            <w:pPr>
              <w:jc w:val="right"/>
              <w:rPr>
                <w:b/>
                <w:bCs/>
                <w:sz w:val="14"/>
                <w:szCs w:val="14"/>
              </w:rPr>
            </w:pPr>
            <w:r w:rsidRPr="00850582">
              <w:rPr>
                <w:b/>
                <w:bCs/>
                <w:sz w:val="14"/>
                <w:szCs w:val="14"/>
              </w:rPr>
              <w:t>-</w:t>
            </w:r>
          </w:p>
        </w:tc>
        <w:tc>
          <w:tcPr>
            <w:tcW w:w="759" w:type="dxa"/>
            <w:noWrap/>
            <w:tcMar>
              <w:top w:w="18" w:type="dxa"/>
              <w:left w:w="18" w:type="dxa"/>
              <w:bottom w:w="0" w:type="dxa"/>
              <w:right w:w="18" w:type="dxa"/>
            </w:tcMar>
            <w:vAlign w:val="bottom"/>
          </w:tcPr>
          <w:p w14:paraId="62CDF8B4" w14:textId="237D51AF" w:rsidR="00224102" w:rsidRPr="00850582" w:rsidRDefault="00224102" w:rsidP="00224102">
            <w:pPr>
              <w:jc w:val="right"/>
              <w:rPr>
                <w:b/>
                <w:bCs/>
                <w:sz w:val="14"/>
                <w:szCs w:val="14"/>
              </w:rPr>
            </w:pPr>
            <w:r w:rsidRPr="00850582">
              <w:rPr>
                <w:b/>
                <w:bCs/>
                <w:sz w:val="14"/>
                <w:szCs w:val="14"/>
              </w:rPr>
              <w:t>767,558</w:t>
            </w:r>
          </w:p>
        </w:tc>
        <w:tc>
          <w:tcPr>
            <w:tcW w:w="720" w:type="dxa"/>
            <w:noWrap/>
            <w:tcMar>
              <w:top w:w="18" w:type="dxa"/>
              <w:left w:w="18" w:type="dxa"/>
              <w:bottom w:w="0" w:type="dxa"/>
              <w:right w:w="18" w:type="dxa"/>
            </w:tcMar>
            <w:vAlign w:val="bottom"/>
          </w:tcPr>
          <w:p w14:paraId="12CAFB91" w14:textId="1404EEB2" w:rsidR="00224102" w:rsidRPr="00850582" w:rsidRDefault="00224102" w:rsidP="00224102">
            <w:pPr>
              <w:jc w:val="right"/>
              <w:rPr>
                <w:b/>
                <w:bCs/>
                <w:sz w:val="14"/>
                <w:szCs w:val="14"/>
              </w:rPr>
            </w:pPr>
            <w:r w:rsidRPr="00850582">
              <w:rPr>
                <w:b/>
                <w:bCs/>
                <w:sz w:val="14"/>
                <w:szCs w:val="14"/>
              </w:rPr>
              <w:t>767,558</w:t>
            </w:r>
          </w:p>
        </w:tc>
        <w:tc>
          <w:tcPr>
            <w:tcW w:w="733" w:type="dxa"/>
            <w:noWrap/>
            <w:tcMar>
              <w:top w:w="18" w:type="dxa"/>
              <w:left w:w="18" w:type="dxa"/>
              <w:bottom w:w="0" w:type="dxa"/>
              <w:right w:w="18" w:type="dxa"/>
            </w:tcMar>
            <w:vAlign w:val="bottom"/>
          </w:tcPr>
          <w:p w14:paraId="1021ABEA" w14:textId="3E43541B" w:rsidR="00224102" w:rsidRPr="00692926" w:rsidRDefault="00224102" w:rsidP="00224102">
            <w:pPr>
              <w:jc w:val="right"/>
              <w:rPr>
                <w:b/>
                <w:sz w:val="14"/>
                <w:szCs w:val="14"/>
              </w:rPr>
            </w:pPr>
            <w:r w:rsidRPr="00692926">
              <w:rPr>
                <w:b/>
                <w:sz w:val="14"/>
                <w:szCs w:val="14"/>
              </w:rPr>
              <w:t>-</w:t>
            </w:r>
          </w:p>
        </w:tc>
        <w:tc>
          <w:tcPr>
            <w:tcW w:w="707" w:type="dxa"/>
            <w:noWrap/>
            <w:tcMar>
              <w:top w:w="18" w:type="dxa"/>
              <w:left w:w="18" w:type="dxa"/>
              <w:bottom w:w="0" w:type="dxa"/>
              <w:right w:w="18" w:type="dxa"/>
            </w:tcMar>
            <w:vAlign w:val="bottom"/>
          </w:tcPr>
          <w:p w14:paraId="76CCF95C" w14:textId="33001B51" w:rsidR="00224102" w:rsidRPr="00692926" w:rsidRDefault="00224102" w:rsidP="00224102">
            <w:pPr>
              <w:jc w:val="right"/>
              <w:rPr>
                <w:b/>
                <w:sz w:val="14"/>
                <w:szCs w:val="14"/>
              </w:rPr>
            </w:pPr>
            <w:r w:rsidRPr="00692926">
              <w:rPr>
                <w:b/>
                <w:sz w:val="14"/>
                <w:szCs w:val="14"/>
              </w:rPr>
              <w:t>329,826</w:t>
            </w:r>
          </w:p>
        </w:tc>
        <w:tc>
          <w:tcPr>
            <w:tcW w:w="712" w:type="dxa"/>
            <w:noWrap/>
            <w:tcMar>
              <w:top w:w="18" w:type="dxa"/>
              <w:left w:w="18" w:type="dxa"/>
              <w:bottom w:w="0" w:type="dxa"/>
              <w:right w:w="18" w:type="dxa"/>
            </w:tcMar>
            <w:vAlign w:val="bottom"/>
          </w:tcPr>
          <w:p w14:paraId="308737F5" w14:textId="6DBCF2DD" w:rsidR="00224102" w:rsidRPr="00692926" w:rsidRDefault="00224102" w:rsidP="00224102">
            <w:pPr>
              <w:jc w:val="right"/>
              <w:rPr>
                <w:b/>
                <w:sz w:val="14"/>
                <w:szCs w:val="14"/>
              </w:rPr>
            </w:pPr>
            <w:r w:rsidRPr="00692926">
              <w:rPr>
                <w:b/>
                <w:sz w:val="14"/>
                <w:szCs w:val="14"/>
              </w:rPr>
              <w:t>329,826</w:t>
            </w:r>
          </w:p>
        </w:tc>
      </w:tr>
      <w:tr w:rsidR="00224102" w:rsidRPr="00604C75" w14:paraId="6961ED40" w14:textId="77777777" w:rsidTr="00C26D33">
        <w:trPr>
          <w:trHeight w:val="100"/>
        </w:trPr>
        <w:tc>
          <w:tcPr>
            <w:tcW w:w="537" w:type="dxa"/>
            <w:noWrap/>
            <w:tcMar>
              <w:top w:w="18" w:type="dxa"/>
              <w:left w:w="18" w:type="dxa"/>
              <w:bottom w:w="0" w:type="dxa"/>
              <w:right w:w="18" w:type="dxa"/>
            </w:tcMar>
            <w:vAlign w:val="bottom"/>
          </w:tcPr>
          <w:p w14:paraId="4C2BC7F9"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XVI.</w:t>
            </w:r>
          </w:p>
        </w:tc>
        <w:tc>
          <w:tcPr>
            <w:tcW w:w="4615" w:type="dxa"/>
            <w:noWrap/>
            <w:tcMar>
              <w:top w:w="18" w:type="dxa"/>
              <w:left w:w="18" w:type="dxa"/>
              <w:bottom w:w="0" w:type="dxa"/>
              <w:right w:w="18" w:type="dxa"/>
            </w:tcMar>
            <w:vAlign w:val="bottom"/>
          </w:tcPr>
          <w:p w14:paraId="46A36676" w14:textId="77777777" w:rsidR="00224102" w:rsidRPr="00604C75" w:rsidRDefault="00224102" w:rsidP="00224102">
            <w:pPr>
              <w:spacing w:line="226" w:lineRule="auto"/>
              <w:rPr>
                <w:rFonts w:eastAsia="Arial Unicode MS"/>
                <w:b/>
                <w:noProof/>
                <w:sz w:val="14"/>
                <w:szCs w:val="14"/>
                <w:lang w:val="tr-TR"/>
              </w:rPr>
            </w:pPr>
            <w:r w:rsidRPr="00604C75">
              <w:rPr>
                <w:rFonts w:eastAsia="Arial Unicode MS"/>
                <w:b/>
                <w:noProof/>
                <w:sz w:val="14"/>
                <w:szCs w:val="14"/>
                <w:lang w:val="tr-TR"/>
              </w:rPr>
              <w:t>SHAREHOLDERS' EQUITY</w:t>
            </w:r>
          </w:p>
        </w:tc>
        <w:tc>
          <w:tcPr>
            <w:tcW w:w="640" w:type="dxa"/>
            <w:noWrap/>
            <w:tcMar>
              <w:top w:w="18" w:type="dxa"/>
              <w:left w:w="18" w:type="dxa"/>
              <w:bottom w:w="0" w:type="dxa"/>
              <w:right w:w="18" w:type="dxa"/>
            </w:tcMar>
            <w:vAlign w:val="bottom"/>
          </w:tcPr>
          <w:p w14:paraId="059E8FE4" w14:textId="114B1C31" w:rsidR="00224102" w:rsidRPr="00604C75" w:rsidRDefault="00224102" w:rsidP="00224102">
            <w:pPr>
              <w:spacing w:line="226" w:lineRule="auto"/>
              <w:jc w:val="center"/>
              <w:rPr>
                <w:rFonts w:eastAsia="Arial Unicode MS"/>
                <w:b/>
                <w:sz w:val="14"/>
                <w:szCs w:val="14"/>
              </w:rPr>
            </w:pPr>
            <w:r w:rsidRPr="00692926">
              <w:rPr>
                <w:rFonts w:eastAsia="Arial Unicode MS"/>
                <w:b/>
                <w:sz w:val="14"/>
                <w:szCs w:val="14"/>
              </w:rPr>
              <w:t>II-k</w:t>
            </w:r>
          </w:p>
        </w:tc>
        <w:tc>
          <w:tcPr>
            <w:tcW w:w="779" w:type="dxa"/>
            <w:noWrap/>
            <w:tcMar>
              <w:top w:w="18" w:type="dxa"/>
              <w:left w:w="18" w:type="dxa"/>
              <w:bottom w:w="0" w:type="dxa"/>
              <w:right w:w="18" w:type="dxa"/>
            </w:tcMar>
            <w:vAlign w:val="bottom"/>
          </w:tcPr>
          <w:p w14:paraId="2F02DB32" w14:textId="060E3B21" w:rsidR="00224102" w:rsidRPr="00850582" w:rsidRDefault="00224102" w:rsidP="00224102">
            <w:pPr>
              <w:jc w:val="right"/>
              <w:rPr>
                <w:b/>
                <w:bCs/>
                <w:sz w:val="14"/>
                <w:szCs w:val="14"/>
              </w:rPr>
            </w:pPr>
            <w:r w:rsidRPr="00850582">
              <w:rPr>
                <w:b/>
                <w:bCs/>
                <w:sz w:val="14"/>
                <w:szCs w:val="14"/>
              </w:rPr>
              <w:t>1,026,512</w:t>
            </w:r>
          </w:p>
        </w:tc>
        <w:tc>
          <w:tcPr>
            <w:tcW w:w="759" w:type="dxa"/>
            <w:noWrap/>
            <w:tcMar>
              <w:top w:w="18" w:type="dxa"/>
              <w:left w:w="18" w:type="dxa"/>
              <w:bottom w:w="0" w:type="dxa"/>
              <w:right w:w="18" w:type="dxa"/>
            </w:tcMar>
            <w:vAlign w:val="bottom"/>
          </w:tcPr>
          <w:p w14:paraId="1B9FDDF0" w14:textId="55C11669" w:rsidR="00224102" w:rsidRPr="00850582" w:rsidRDefault="00224102" w:rsidP="00224102">
            <w:pPr>
              <w:jc w:val="right"/>
              <w:rPr>
                <w:b/>
                <w:bCs/>
                <w:sz w:val="14"/>
                <w:szCs w:val="14"/>
              </w:rPr>
            </w:pPr>
            <w:r w:rsidRPr="00850582">
              <w:rPr>
                <w:b/>
                <w:bCs/>
                <w:sz w:val="14"/>
                <w:szCs w:val="14"/>
              </w:rPr>
              <w:t>(11,396)</w:t>
            </w:r>
          </w:p>
        </w:tc>
        <w:tc>
          <w:tcPr>
            <w:tcW w:w="720" w:type="dxa"/>
            <w:noWrap/>
            <w:tcMar>
              <w:top w:w="18" w:type="dxa"/>
              <w:left w:w="18" w:type="dxa"/>
              <w:bottom w:w="0" w:type="dxa"/>
              <w:right w:w="18" w:type="dxa"/>
            </w:tcMar>
            <w:vAlign w:val="bottom"/>
          </w:tcPr>
          <w:p w14:paraId="5F1212AF" w14:textId="01B597C1" w:rsidR="00224102" w:rsidRPr="00850582" w:rsidRDefault="00224102" w:rsidP="00224102">
            <w:pPr>
              <w:jc w:val="right"/>
              <w:rPr>
                <w:b/>
                <w:bCs/>
                <w:sz w:val="14"/>
                <w:szCs w:val="14"/>
              </w:rPr>
            </w:pPr>
            <w:r w:rsidRPr="00850582">
              <w:rPr>
                <w:b/>
                <w:bCs/>
                <w:sz w:val="14"/>
                <w:szCs w:val="14"/>
              </w:rPr>
              <w:t>1,015,116</w:t>
            </w:r>
          </w:p>
        </w:tc>
        <w:tc>
          <w:tcPr>
            <w:tcW w:w="733" w:type="dxa"/>
            <w:noWrap/>
            <w:tcMar>
              <w:top w:w="18" w:type="dxa"/>
              <w:left w:w="18" w:type="dxa"/>
              <w:bottom w:w="0" w:type="dxa"/>
              <w:right w:w="18" w:type="dxa"/>
            </w:tcMar>
            <w:vAlign w:val="bottom"/>
          </w:tcPr>
          <w:p w14:paraId="53639CE3" w14:textId="362A58B5" w:rsidR="00224102" w:rsidRPr="00692926" w:rsidRDefault="00224102" w:rsidP="00224102">
            <w:pPr>
              <w:jc w:val="right"/>
              <w:rPr>
                <w:b/>
                <w:sz w:val="14"/>
                <w:szCs w:val="14"/>
              </w:rPr>
            </w:pPr>
            <w:r w:rsidRPr="00692926">
              <w:rPr>
                <w:b/>
                <w:sz w:val="14"/>
                <w:szCs w:val="14"/>
              </w:rPr>
              <w:t>972,634</w:t>
            </w:r>
          </w:p>
        </w:tc>
        <w:tc>
          <w:tcPr>
            <w:tcW w:w="707" w:type="dxa"/>
            <w:noWrap/>
            <w:tcMar>
              <w:top w:w="18" w:type="dxa"/>
              <w:left w:w="18" w:type="dxa"/>
              <w:bottom w:w="0" w:type="dxa"/>
              <w:right w:w="18" w:type="dxa"/>
            </w:tcMar>
            <w:vAlign w:val="bottom"/>
          </w:tcPr>
          <w:p w14:paraId="2F869E16" w14:textId="56133137" w:rsidR="00224102" w:rsidRPr="00692926" w:rsidRDefault="00224102" w:rsidP="00224102">
            <w:pPr>
              <w:jc w:val="right"/>
              <w:rPr>
                <w:b/>
                <w:sz w:val="14"/>
                <w:szCs w:val="14"/>
              </w:rPr>
            </w:pPr>
            <w:r w:rsidRPr="00692926">
              <w:rPr>
                <w:b/>
                <w:sz w:val="14"/>
                <w:szCs w:val="14"/>
              </w:rPr>
              <w:t>266</w:t>
            </w:r>
          </w:p>
        </w:tc>
        <w:tc>
          <w:tcPr>
            <w:tcW w:w="712" w:type="dxa"/>
            <w:noWrap/>
            <w:tcMar>
              <w:top w:w="18" w:type="dxa"/>
              <w:left w:w="18" w:type="dxa"/>
              <w:bottom w:w="0" w:type="dxa"/>
              <w:right w:w="18" w:type="dxa"/>
            </w:tcMar>
            <w:vAlign w:val="bottom"/>
          </w:tcPr>
          <w:p w14:paraId="5A6B81DD" w14:textId="6258BFA4" w:rsidR="00224102" w:rsidRPr="00692926" w:rsidRDefault="00224102" w:rsidP="00224102">
            <w:pPr>
              <w:jc w:val="right"/>
              <w:rPr>
                <w:b/>
                <w:sz w:val="14"/>
                <w:szCs w:val="14"/>
              </w:rPr>
            </w:pPr>
            <w:r w:rsidRPr="00692926">
              <w:rPr>
                <w:b/>
                <w:sz w:val="14"/>
                <w:szCs w:val="14"/>
              </w:rPr>
              <w:t>972,900</w:t>
            </w:r>
          </w:p>
        </w:tc>
      </w:tr>
      <w:tr w:rsidR="00224102" w:rsidRPr="00604C75" w14:paraId="796E8212" w14:textId="77777777" w:rsidTr="00C26D33">
        <w:trPr>
          <w:trHeight w:val="72"/>
        </w:trPr>
        <w:tc>
          <w:tcPr>
            <w:tcW w:w="537" w:type="dxa"/>
            <w:noWrap/>
            <w:tcMar>
              <w:top w:w="18" w:type="dxa"/>
              <w:left w:w="18" w:type="dxa"/>
              <w:bottom w:w="0" w:type="dxa"/>
              <w:right w:w="18" w:type="dxa"/>
            </w:tcMar>
            <w:vAlign w:val="bottom"/>
          </w:tcPr>
          <w:p w14:paraId="6CD794A7" w14:textId="77777777" w:rsidR="00224102" w:rsidRPr="00604C75" w:rsidRDefault="00224102" w:rsidP="00224102">
            <w:pPr>
              <w:spacing w:line="226" w:lineRule="auto"/>
              <w:rPr>
                <w:rFonts w:eastAsia="Arial Unicode MS"/>
                <w:b/>
                <w:noProof/>
                <w:sz w:val="14"/>
                <w:szCs w:val="14"/>
                <w:lang w:val="tr-TR"/>
              </w:rPr>
            </w:pPr>
            <w:r w:rsidRPr="00604C75">
              <w:rPr>
                <w:noProof/>
                <w:sz w:val="14"/>
                <w:szCs w:val="14"/>
                <w:lang w:val="tr-TR"/>
              </w:rPr>
              <w:t>16.1</w:t>
            </w:r>
          </w:p>
        </w:tc>
        <w:tc>
          <w:tcPr>
            <w:tcW w:w="4615" w:type="dxa"/>
            <w:noWrap/>
            <w:tcMar>
              <w:top w:w="18" w:type="dxa"/>
              <w:left w:w="18" w:type="dxa"/>
              <w:bottom w:w="0" w:type="dxa"/>
              <w:right w:w="18" w:type="dxa"/>
            </w:tcMar>
            <w:vAlign w:val="bottom"/>
          </w:tcPr>
          <w:p w14:paraId="256EB3CB"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Paid-in Capital</w:t>
            </w:r>
          </w:p>
        </w:tc>
        <w:tc>
          <w:tcPr>
            <w:tcW w:w="640" w:type="dxa"/>
            <w:noWrap/>
            <w:tcMar>
              <w:top w:w="18" w:type="dxa"/>
              <w:left w:w="18" w:type="dxa"/>
              <w:bottom w:w="0" w:type="dxa"/>
              <w:right w:w="18" w:type="dxa"/>
            </w:tcMar>
            <w:vAlign w:val="bottom"/>
          </w:tcPr>
          <w:p w14:paraId="22F44698" w14:textId="77777777" w:rsidR="00224102" w:rsidRPr="00604C75" w:rsidRDefault="00224102" w:rsidP="00224102">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14:paraId="1044F283" w14:textId="45CAB111" w:rsidR="00224102" w:rsidRPr="00850582" w:rsidRDefault="00224102" w:rsidP="00224102">
            <w:pPr>
              <w:jc w:val="right"/>
              <w:rPr>
                <w:sz w:val="14"/>
                <w:szCs w:val="14"/>
              </w:rPr>
            </w:pPr>
            <w:r w:rsidRPr="00850582">
              <w:rPr>
                <w:sz w:val="14"/>
                <w:szCs w:val="14"/>
              </w:rPr>
              <w:t>620,000</w:t>
            </w:r>
          </w:p>
        </w:tc>
        <w:tc>
          <w:tcPr>
            <w:tcW w:w="759" w:type="dxa"/>
            <w:noWrap/>
            <w:tcMar>
              <w:top w:w="18" w:type="dxa"/>
              <w:left w:w="18" w:type="dxa"/>
              <w:bottom w:w="0" w:type="dxa"/>
              <w:right w:w="18" w:type="dxa"/>
            </w:tcMar>
            <w:vAlign w:val="bottom"/>
          </w:tcPr>
          <w:p w14:paraId="40185565" w14:textId="379BB4A4"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0090DA50" w14:textId="6B13F510" w:rsidR="00224102" w:rsidRPr="00850582" w:rsidRDefault="00224102" w:rsidP="00224102">
            <w:pPr>
              <w:jc w:val="right"/>
              <w:rPr>
                <w:sz w:val="14"/>
                <w:szCs w:val="14"/>
              </w:rPr>
            </w:pPr>
            <w:r w:rsidRPr="00850582">
              <w:rPr>
                <w:sz w:val="14"/>
                <w:szCs w:val="14"/>
              </w:rPr>
              <w:t>620,000</w:t>
            </w:r>
          </w:p>
        </w:tc>
        <w:tc>
          <w:tcPr>
            <w:tcW w:w="733" w:type="dxa"/>
            <w:noWrap/>
            <w:tcMar>
              <w:top w:w="18" w:type="dxa"/>
              <w:left w:w="18" w:type="dxa"/>
              <w:bottom w:w="0" w:type="dxa"/>
              <w:right w:w="18" w:type="dxa"/>
            </w:tcMar>
            <w:vAlign w:val="bottom"/>
          </w:tcPr>
          <w:p w14:paraId="5013E1A3" w14:textId="51366322" w:rsidR="00224102" w:rsidRPr="00692926" w:rsidRDefault="00224102" w:rsidP="00224102">
            <w:pPr>
              <w:jc w:val="right"/>
              <w:rPr>
                <w:sz w:val="14"/>
                <w:szCs w:val="14"/>
              </w:rPr>
            </w:pPr>
            <w:r w:rsidRPr="00692926">
              <w:rPr>
                <w:sz w:val="14"/>
                <w:szCs w:val="14"/>
              </w:rPr>
              <w:t>620,000</w:t>
            </w:r>
          </w:p>
        </w:tc>
        <w:tc>
          <w:tcPr>
            <w:tcW w:w="707" w:type="dxa"/>
            <w:noWrap/>
            <w:tcMar>
              <w:top w:w="18" w:type="dxa"/>
              <w:left w:w="18" w:type="dxa"/>
              <w:bottom w:w="0" w:type="dxa"/>
              <w:right w:w="18" w:type="dxa"/>
            </w:tcMar>
            <w:vAlign w:val="bottom"/>
          </w:tcPr>
          <w:p w14:paraId="25C41B5C" w14:textId="61D15429"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6F5A6200" w14:textId="4B3E48A3" w:rsidR="00224102" w:rsidRPr="00692926" w:rsidRDefault="00224102" w:rsidP="00224102">
            <w:pPr>
              <w:jc w:val="right"/>
              <w:rPr>
                <w:sz w:val="14"/>
                <w:szCs w:val="14"/>
              </w:rPr>
            </w:pPr>
            <w:r w:rsidRPr="00692926">
              <w:rPr>
                <w:sz w:val="14"/>
                <w:szCs w:val="14"/>
              </w:rPr>
              <w:t>620,000</w:t>
            </w:r>
          </w:p>
        </w:tc>
      </w:tr>
      <w:tr w:rsidR="00224102" w:rsidRPr="00604C75" w14:paraId="0D27F1AB" w14:textId="77777777" w:rsidTr="00C26D33">
        <w:trPr>
          <w:trHeight w:val="96"/>
        </w:trPr>
        <w:tc>
          <w:tcPr>
            <w:tcW w:w="537" w:type="dxa"/>
            <w:noWrap/>
            <w:tcMar>
              <w:top w:w="18" w:type="dxa"/>
              <w:left w:w="18" w:type="dxa"/>
              <w:bottom w:w="0" w:type="dxa"/>
              <w:right w:w="18" w:type="dxa"/>
            </w:tcMar>
            <w:vAlign w:val="bottom"/>
          </w:tcPr>
          <w:p w14:paraId="1F80F848"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16.2</w:t>
            </w:r>
          </w:p>
        </w:tc>
        <w:tc>
          <w:tcPr>
            <w:tcW w:w="4615" w:type="dxa"/>
            <w:noWrap/>
            <w:tcMar>
              <w:top w:w="18" w:type="dxa"/>
              <w:left w:w="18" w:type="dxa"/>
              <w:bottom w:w="0" w:type="dxa"/>
              <w:right w:w="18" w:type="dxa"/>
            </w:tcMar>
            <w:vAlign w:val="bottom"/>
          </w:tcPr>
          <w:p w14:paraId="31C1B2DB"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Capital Reserves</w:t>
            </w:r>
          </w:p>
        </w:tc>
        <w:tc>
          <w:tcPr>
            <w:tcW w:w="640" w:type="dxa"/>
            <w:noWrap/>
            <w:tcMar>
              <w:top w:w="18" w:type="dxa"/>
              <w:left w:w="18" w:type="dxa"/>
              <w:bottom w:w="0" w:type="dxa"/>
              <w:right w:w="18" w:type="dxa"/>
            </w:tcMar>
            <w:vAlign w:val="bottom"/>
          </w:tcPr>
          <w:p w14:paraId="6EF74715" w14:textId="5655F416"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1F6EF46E" w14:textId="454F537C" w:rsidR="00224102" w:rsidRPr="00850582" w:rsidRDefault="00224102" w:rsidP="00224102">
            <w:pPr>
              <w:jc w:val="right"/>
              <w:rPr>
                <w:sz w:val="14"/>
                <w:szCs w:val="14"/>
              </w:rPr>
            </w:pPr>
            <w:r w:rsidRPr="00850582">
              <w:rPr>
                <w:sz w:val="14"/>
                <w:szCs w:val="14"/>
              </w:rPr>
              <w:t>(17,511)</w:t>
            </w:r>
          </w:p>
        </w:tc>
        <w:tc>
          <w:tcPr>
            <w:tcW w:w="759" w:type="dxa"/>
            <w:noWrap/>
            <w:tcMar>
              <w:top w:w="18" w:type="dxa"/>
              <w:left w:w="18" w:type="dxa"/>
              <w:bottom w:w="0" w:type="dxa"/>
              <w:right w:w="18" w:type="dxa"/>
            </w:tcMar>
            <w:vAlign w:val="bottom"/>
          </w:tcPr>
          <w:p w14:paraId="7EA3E6EA" w14:textId="08B0B4D0" w:rsidR="00224102" w:rsidRPr="00850582" w:rsidRDefault="00224102" w:rsidP="00224102">
            <w:pPr>
              <w:jc w:val="right"/>
              <w:rPr>
                <w:sz w:val="14"/>
                <w:szCs w:val="14"/>
              </w:rPr>
            </w:pPr>
            <w:r w:rsidRPr="00850582">
              <w:rPr>
                <w:sz w:val="14"/>
                <w:szCs w:val="14"/>
              </w:rPr>
              <w:t>(11,396)</w:t>
            </w:r>
          </w:p>
        </w:tc>
        <w:tc>
          <w:tcPr>
            <w:tcW w:w="720" w:type="dxa"/>
            <w:noWrap/>
            <w:tcMar>
              <w:top w:w="18" w:type="dxa"/>
              <w:left w:w="18" w:type="dxa"/>
              <w:bottom w:w="0" w:type="dxa"/>
              <w:right w:w="18" w:type="dxa"/>
            </w:tcMar>
            <w:vAlign w:val="bottom"/>
          </w:tcPr>
          <w:p w14:paraId="70DE9FBB" w14:textId="110A24B0" w:rsidR="00224102" w:rsidRPr="00850582" w:rsidRDefault="00224102" w:rsidP="00224102">
            <w:pPr>
              <w:jc w:val="right"/>
              <w:rPr>
                <w:sz w:val="14"/>
                <w:szCs w:val="14"/>
              </w:rPr>
            </w:pPr>
            <w:r w:rsidRPr="00850582">
              <w:rPr>
                <w:sz w:val="14"/>
                <w:szCs w:val="14"/>
              </w:rPr>
              <w:t>(28,907)</w:t>
            </w:r>
          </w:p>
        </w:tc>
        <w:tc>
          <w:tcPr>
            <w:tcW w:w="733" w:type="dxa"/>
            <w:noWrap/>
            <w:tcMar>
              <w:top w:w="18" w:type="dxa"/>
              <w:left w:w="18" w:type="dxa"/>
              <w:bottom w:w="0" w:type="dxa"/>
              <w:right w:w="18" w:type="dxa"/>
            </w:tcMar>
            <w:vAlign w:val="bottom"/>
          </w:tcPr>
          <w:p w14:paraId="27A2CB89" w14:textId="7E93E036" w:rsidR="00224102" w:rsidRPr="00692926" w:rsidRDefault="00224102" w:rsidP="00224102">
            <w:pPr>
              <w:jc w:val="right"/>
              <w:rPr>
                <w:sz w:val="14"/>
                <w:szCs w:val="14"/>
              </w:rPr>
            </w:pPr>
            <w:r w:rsidRPr="00692926">
              <w:rPr>
                <w:sz w:val="14"/>
                <w:szCs w:val="14"/>
              </w:rPr>
              <w:t>(9,597)</w:t>
            </w:r>
          </w:p>
        </w:tc>
        <w:tc>
          <w:tcPr>
            <w:tcW w:w="707" w:type="dxa"/>
            <w:noWrap/>
            <w:tcMar>
              <w:top w:w="18" w:type="dxa"/>
              <w:left w:w="18" w:type="dxa"/>
              <w:bottom w:w="0" w:type="dxa"/>
              <w:right w:w="18" w:type="dxa"/>
            </w:tcMar>
            <w:vAlign w:val="bottom"/>
          </w:tcPr>
          <w:p w14:paraId="2B671153" w14:textId="40DA4F20" w:rsidR="00224102" w:rsidRPr="00692926" w:rsidRDefault="00224102" w:rsidP="00224102">
            <w:pPr>
              <w:jc w:val="right"/>
              <w:rPr>
                <w:sz w:val="14"/>
                <w:szCs w:val="14"/>
              </w:rPr>
            </w:pPr>
            <w:r w:rsidRPr="00692926">
              <w:rPr>
                <w:sz w:val="14"/>
                <w:szCs w:val="14"/>
              </w:rPr>
              <w:t>266</w:t>
            </w:r>
          </w:p>
        </w:tc>
        <w:tc>
          <w:tcPr>
            <w:tcW w:w="712" w:type="dxa"/>
            <w:noWrap/>
            <w:tcMar>
              <w:top w:w="18" w:type="dxa"/>
              <w:left w:w="18" w:type="dxa"/>
              <w:bottom w:w="0" w:type="dxa"/>
              <w:right w:w="18" w:type="dxa"/>
            </w:tcMar>
            <w:vAlign w:val="bottom"/>
          </w:tcPr>
          <w:p w14:paraId="2C106CBA" w14:textId="15289CC8" w:rsidR="00224102" w:rsidRPr="00692926" w:rsidRDefault="00224102" w:rsidP="00224102">
            <w:pPr>
              <w:jc w:val="right"/>
              <w:rPr>
                <w:sz w:val="14"/>
                <w:szCs w:val="14"/>
              </w:rPr>
            </w:pPr>
            <w:r w:rsidRPr="00692926">
              <w:rPr>
                <w:sz w:val="14"/>
                <w:szCs w:val="14"/>
              </w:rPr>
              <w:t>(9,331)</w:t>
            </w:r>
          </w:p>
        </w:tc>
      </w:tr>
      <w:tr w:rsidR="00224102" w:rsidRPr="00604C75" w14:paraId="4D4A3B98" w14:textId="77777777" w:rsidTr="00C26D33">
        <w:trPr>
          <w:trHeight w:val="94"/>
        </w:trPr>
        <w:tc>
          <w:tcPr>
            <w:tcW w:w="537" w:type="dxa"/>
            <w:noWrap/>
            <w:tcMar>
              <w:top w:w="18" w:type="dxa"/>
              <w:left w:w="18" w:type="dxa"/>
              <w:bottom w:w="0" w:type="dxa"/>
              <w:right w:w="18" w:type="dxa"/>
            </w:tcMar>
            <w:vAlign w:val="bottom"/>
          </w:tcPr>
          <w:p w14:paraId="506ED548"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16.2.1</w:t>
            </w:r>
          </w:p>
        </w:tc>
        <w:tc>
          <w:tcPr>
            <w:tcW w:w="4615" w:type="dxa"/>
            <w:noWrap/>
            <w:tcMar>
              <w:top w:w="18" w:type="dxa"/>
              <w:left w:w="18" w:type="dxa"/>
              <w:bottom w:w="0" w:type="dxa"/>
              <w:right w:w="18" w:type="dxa"/>
            </w:tcMar>
            <w:vAlign w:val="bottom"/>
          </w:tcPr>
          <w:p w14:paraId="46F912C8"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Share Premium</w:t>
            </w:r>
          </w:p>
        </w:tc>
        <w:tc>
          <w:tcPr>
            <w:tcW w:w="640" w:type="dxa"/>
            <w:noWrap/>
            <w:tcMar>
              <w:top w:w="18" w:type="dxa"/>
              <w:left w:w="18" w:type="dxa"/>
              <w:bottom w:w="0" w:type="dxa"/>
              <w:right w:w="18" w:type="dxa"/>
            </w:tcMar>
            <w:vAlign w:val="bottom"/>
          </w:tcPr>
          <w:p w14:paraId="5C526483" w14:textId="20230250"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5FE6D7F8" w14:textId="4A068F16" w:rsidR="00224102" w:rsidRPr="00850582" w:rsidRDefault="00224102" w:rsidP="00224102">
            <w:pPr>
              <w:jc w:val="right"/>
              <w:rPr>
                <w:sz w:val="14"/>
                <w:szCs w:val="14"/>
              </w:rPr>
            </w:pPr>
            <w:r w:rsidRPr="00850582">
              <w:rPr>
                <w:sz w:val="14"/>
                <w:szCs w:val="14"/>
              </w:rPr>
              <w:t>54</w:t>
            </w:r>
          </w:p>
        </w:tc>
        <w:tc>
          <w:tcPr>
            <w:tcW w:w="759" w:type="dxa"/>
            <w:noWrap/>
            <w:tcMar>
              <w:top w:w="18" w:type="dxa"/>
              <w:left w:w="18" w:type="dxa"/>
              <w:bottom w:w="0" w:type="dxa"/>
              <w:right w:w="18" w:type="dxa"/>
            </w:tcMar>
            <w:vAlign w:val="bottom"/>
          </w:tcPr>
          <w:p w14:paraId="35F831E4" w14:textId="7C52DFC8"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0D9EC7C8" w14:textId="06C3FEE1" w:rsidR="00224102" w:rsidRPr="00850582" w:rsidRDefault="00224102" w:rsidP="00224102">
            <w:pPr>
              <w:jc w:val="right"/>
              <w:rPr>
                <w:sz w:val="14"/>
                <w:szCs w:val="14"/>
              </w:rPr>
            </w:pPr>
            <w:r w:rsidRPr="00850582">
              <w:rPr>
                <w:sz w:val="14"/>
                <w:szCs w:val="14"/>
              </w:rPr>
              <w:t>54</w:t>
            </w:r>
          </w:p>
        </w:tc>
        <w:tc>
          <w:tcPr>
            <w:tcW w:w="733" w:type="dxa"/>
            <w:noWrap/>
            <w:tcMar>
              <w:top w:w="18" w:type="dxa"/>
              <w:left w:w="18" w:type="dxa"/>
              <w:bottom w:w="0" w:type="dxa"/>
              <w:right w:w="18" w:type="dxa"/>
            </w:tcMar>
            <w:vAlign w:val="bottom"/>
          </w:tcPr>
          <w:p w14:paraId="1F62EFDE" w14:textId="651C670E" w:rsidR="00224102" w:rsidRPr="00692926" w:rsidRDefault="00224102" w:rsidP="00224102">
            <w:pPr>
              <w:jc w:val="right"/>
              <w:rPr>
                <w:sz w:val="14"/>
                <w:szCs w:val="14"/>
              </w:rPr>
            </w:pPr>
            <w:r w:rsidRPr="00692926">
              <w:rPr>
                <w:sz w:val="14"/>
                <w:szCs w:val="14"/>
              </w:rPr>
              <w:t>119</w:t>
            </w:r>
          </w:p>
        </w:tc>
        <w:tc>
          <w:tcPr>
            <w:tcW w:w="707" w:type="dxa"/>
            <w:noWrap/>
            <w:tcMar>
              <w:top w:w="18" w:type="dxa"/>
              <w:left w:w="18" w:type="dxa"/>
              <w:bottom w:w="0" w:type="dxa"/>
              <w:right w:w="18" w:type="dxa"/>
            </w:tcMar>
            <w:vAlign w:val="bottom"/>
          </w:tcPr>
          <w:p w14:paraId="3198D192" w14:textId="5C29FB89"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4EAC912D" w14:textId="0CAD0E4D" w:rsidR="00224102" w:rsidRPr="00692926" w:rsidRDefault="00224102" w:rsidP="00224102">
            <w:pPr>
              <w:jc w:val="right"/>
              <w:rPr>
                <w:sz w:val="14"/>
                <w:szCs w:val="14"/>
              </w:rPr>
            </w:pPr>
            <w:r w:rsidRPr="00692926">
              <w:rPr>
                <w:sz w:val="14"/>
                <w:szCs w:val="14"/>
              </w:rPr>
              <w:t>119</w:t>
            </w:r>
          </w:p>
        </w:tc>
      </w:tr>
      <w:tr w:rsidR="00224102" w:rsidRPr="00604C75" w14:paraId="29989E0D" w14:textId="77777777" w:rsidTr="00C26D33">
        <w:trPr>
          <w:trHeight w:val="92"/>
        </w:trPr>
        <w:tc>
          <w:tcPr>
            <w:tcW w:w="537" w:type="dxa"/>
            <w:noWrap/>
            <w:tcMar>
              <w:top w:w="18" w:type="dxa"/>
              <w:left w:w="18" w:type="dxa"/>
              <w:bottom w:w="0" w:type="dxa"/>
              <w:right w:w="18" w:type="dxa"/>
            </w:tcMar>
            <w:vAlign w:val="bottom"/>
          </w:tcPr>
          <w:p w14:paraId="33DD24AA"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bCs/>
                <w:noProof/>
                <w:sz w:val="14"/>
                <w:szCs w:val="14"/>
                <w:lang w:val="tr-TR"/>
              </w:rPr>
              <w:t>16.2.2</w:t>
            </w:r>
          </w:p>
        </w:tc>
        <w:tc>
          <w:tcPr>
            <w:tcW w:w="4615" w:type="dxa"/>
            <w:noWrap/>
            <w:tcMar>
              <w:top w:w="18" w:type="dxa"/>
              <w:left w:w="18" w:type="dxa"/>
              <w:bottom w:w="0" w:type="dxa"/>
              <w:right w:w="18" w:type="dxa"/>
            </w:tcMar>
            <w:vAlign w:val="bottom"/>
          </w:tcPr>
          <w:p w14:paraId="45D45D8E"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Share Cancellation Profits</w:t>
            </w:r>
          </w:p>
        </w:tc>
        <w:tc>
          <w:tcPr>
            <w:tcW w:w="640" w:type="dxa"/>
            <w:noWrap/>
            <w:tcMar>
              <w:top w:w="18" w:type="dxa"/>
              <w:left w:w="18" w:type="dxa"/>
              <w:bottom w:w="0" w:type="dxa"/>
              <w:right w:w="18" w:type="dxa"/>
            </w:tcMar>
            <w:vAlign w:val="bottom"/>
          </w:tcPr>
          <w:p w14:paraId="7F15FB94" w14:textId="305AF45B"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09616BA8" w14:textId="37217E14"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796BCE7D" w14:textId="4BEDE7ED"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37DD9609" w14:textId="4278E149"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4AD19E3A" w14:textId="46A16A00" w:rsidR="00224102" w:rsidRPr="00692926" w:rsidRDefault="00224102" w:rsidP="00224102">
            <w:pPr>
              <w:jc w:val="right"/>
              <w:rPr>
                <w:sz w:val="14"/>
                <w:szCs w:val="14"/>
              </w:rPr>
            </w:pPr>
            <w:r w:rsidRPr="00692926">
              <w:rPr>
                <w:sz w:val="14"/>
                <w:szCs w:val="14"/>
              </w:rPr>
              <w:t>(3,296)</w:t>
            </w:r>
          </w:p>
        </w:tc>
        <w:tc>
          <w:tcPr>
            <w:tcW w:w="707" w:type="dxa"/>
            <w:noWrap/>
            <w:tcMar>
              <w:top w:w="18" w:type="dxa"/>
              <w:left w:w="18" w:type="dxa"/>
              <w:bottom w:w="0" w:type="dxa"/>
              <w:right w:w="18" w:type="dxa"/>
            </w:tcMar>
            <w:vAlign w:val="bottom"/>
          </w:tcPr>
          <w:p w14:paraId="66AFF16F" w14:textId="0D84D359"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06CE0B6A" w14:textId="6DC52750" w:rsidR="00224102" w:rsidRPr="00692926" w:rsidRDefault="00224102" w:rsidP="00224102">
            <w:pPr>
              <w:jc w:val="right"/>
              <w:rPr>
                <w:sz w:val="14"/>
                <w:szCs w:val="14"/>
              </w:rPr>
            </w:pPr>
            <w:r w:rsidRPr="00692926">
              <w:rPr>
                <w:sz w:val="14"/>
                <w:szCs w:val="14"/>
              </w:rPr>
              <w:t>(3,296)</w:t>
            </w:r>
          </w:p>
        </w:tc>
      </w:tr>
      <w:tr w:rsidR="00224102" w:rsidRPr="00604C75" w14:paraId="6288ABF0" w14:textId="77777777" w:rsidTr="00C26D33">
        <w:trPr>
          <w:trHeight w:val="90"/>
        </w:trPr>
        <w:tc>
          <w:tcPr>
            <w:tcW w:w="537" w:type="dxa"/>
            <w:noWrap/>
            <w:tcMar>
              <w:top w:w="18" w:type="dxa"/>
              <w:left w:w="18" w:type="dxa"/>
              <w:bottom w:w="0" w:type="dxa"/>
              <w:right w:w="18" w:type="dxa"/>
            </w:tcMar>
            <w:vAlign w:val="bottom"/>
          </w:tcPr>
          <w:p w14:paraId="5EF42992" w14:textId="77777777" w:rsidR="00224102" w:rsidRPr="00604C75" w:rsidRDefault="00224102" w:rsidP="00224102">
            <w:pPr>
              <w:spacing w:line="226" w:lineRule="auto"/>
              <w:rPr>
                <w:rFonts w:eastAsia="Arial Unicode MS"/>
                <w:bCs/>
                <w:noProof/>
                <w:sz w:val="14"/>
                <w:szCs w:val="14"/>
                <w:lang w:val="tr-TR"/>
              </w:rPr>
            </w:pPr>
            <w:r w:rsidRPr="00604C75">
              <w:rPr>
                <w:bCs/>
                <w:noProof/>
                <w:sz w:val="14"/>
                <w:szCs w:val="14"/>
                <w:lang w:val="tr-TR"/>
              </w:rPr>
              <w:t>16.2.3</w:t>
            </w:r>
          </w:p>
        </w:tc>
        <w:tc>
          <w:tcPr>
            <w:tcW w:w="4615" w:type="dxa"/>
            <w:noWrap/>
            <w:tcMar>
              <w:top w:w="18" w:type="dxa"/>
              <w:left w:w="18" w:type="dxa"/>
              <w:bottom w:w="0" w:type="dxa"/>
              <w:right w:w="18" w:type="dxa"/>
            </w:tcMar>
            <w:vAlign w:val="bottom"/>
          </w:tcPr>
          <w:p w14:paraId="57EB9F81"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bCs/>
                <w:noProof/>
                <w:sz w:val="14"/>
                <w:szCs w:val="14"/>
                <w:lang w:val="tr-TR"/>
              </w:rPr>
              <w:t>Marketable Securities Valuation Reserve</w:t>
            </w:r>
          </w:p>
        </w:tc>
        <w:tc>
          <w:tcPr>
            <w:tcW w:w="640" w:type="dxa"/>
            <w:noWrap/>
            <w:tcMar>
              <w:top w:w="18" w:type="dxa"/>
              <w:left w:w="18" w:type="dxa"/>
              <w:bottom w:w="0" w:type="dxa"/>
              <w:right w:w="18" w:type="dxa"/>
            </w:tcMar>
            <w:vAlign w:val="bottom"/>
          </w:tcPr>
          <w:p w14:paraId="0552ED10" w14:textId="0ABB7521"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bookmarkStart w:id="0" w:name="OLE_LINK194"/>
            <w:r w:rsidRPr="00692926">
              <w:rPr>
                <w:rFonts w:eastAsia="Arial Unicode MS"/>
                <w:sz w:val="14"/>
                <w:szCs w:val="14"/>
              </w:rPr>
              <w:t>II-</w:t>
            </w:r>
            <w:bookmarkEnd w:id="0"/>
            <w:r>
              <w:rPr>
                <w:rFonts w:eastAsia="Arial Unicode MS"/>
                <w:sz w:val="14"/>
                <w:szCs w:val="14"/>
              </w:rPr>
              <w:t>k.8</w:t>
            </w:r>
          </w:p>
        </w:tc>
        <w:tc>
          <w:tcPr>
            <w:tcW w:w="779" w:type="dxa"/>
            <w:noWrap/>
            <w:tcMar>
              <w:top w:w="18" w:type="dxa"/>
              <w:left w:w="18" w:type="dxa"/>
              <w:bottom w:w="0" w:type="dxa"/>
              <w:right w:w="18" w:type="dxa"/>
            </w:tcMar>
            <w:vAlign w:val="bottom"/>
          </w:tcPr>
          <w:p w14:paraId="595D2014" w14:textId="7E07D931" w:rsidR="00224102" w:rsidRPr="00850582" w:rsidRDefault="00224102" w:rsidP="00224102">
            <w:pPr>
              <w:jc w:val="right"/>
              <w:rPr>
                <w:sz w:val="14"/>
                <w:szCs w:val="14"/>
              </w:rPr>
            </w:pPr>
            <w:r w:rsidRPr="00850582">
              <w:rPr>
                <w:sz w:val="14"/>
                <w:szCs w:val="14"/>
              </w:rPr>
              <w:t>(16,041)</w:t>
            </w:r>
          </w:p>
        </w:tc>
        <w:tc>
          <w:tcPr>
            <w:tcW w:w="759" w:type="dxa"/>
            <w:noWrap/>
            <w:tcMar>
              <w:top w:w="18" w:type="dxa"/>
              <w:left w:w="18" w:type="dxa"/>
              <w:bottom w:w="0" w:type="dxa"/>
              <w:right w:w="18" w:type="dxa"/>
            </w:tcMar>
            <w:vAlign w:val="bottom"/>
          </w:tcPr>
          <w:p w14:paraId="64A491FB" w14:textId="1983D7B5" w:rsidR="00224102" w:rsidRPr="00850582" w:rsidRDefault="00224102" w:rsidP="00224102">
            <w:pPr>
              <w:jc w:val="right"/>
              <w:rPr>
                <w:sz w:val="14"/>
                <w:szCs w:val="14"/>
              </w:rPr>
            </w:pPr>
            <w:r w:rsidRPr="00850582">
              <w:rPr>
                <w:sz w:val="14"/>
                <w:szCs w:val="14"/>
              </w:rPr>
              <w:t>(11,396)</w:t>
            </w:r>
          </w:p>
        </w:tc>
        <w:tc>
          <w:tcPr>
            <w:tcW w:w="720" w:type="dxa"/>
            <w:noWrap/>
            <w:tcMar>
              <w:top w:w="18" w:type="dxa"/>
              <w:left w:w="18" w:type="dxa"/>
              <w:bottom w:w="0" w:type="dxa"/>
              <w:right w:w="18" w:type="dxa"/>
            </w:tcMar>
            <w:vAlign w:val="bottom"/>
          </w:tcPr>
          <w:p w14:paraId="1881278C" w14:textId="29BC37FF" w:rsidR="00224102" w:rsidRPr="00850582" w:rsidRDefault="00224102" w:rsidP="00224102">
            <w:pPr>
              <w:jc w:val="right"/>
              <w:rPr>
                <w:sz w:val="14"/>
                <w:szCs w:val="14"/>
              </w:rPr>
            </w:pPr>
            <w:r w:rsidRPr="00850582">
              <w:rPr>
                <w:sz w:val="14"/>
                <w:szCs w:val="14"/>
              </w:rPr>
              <w:t>(27,437)</w:t>
            </w:r>
          </w:p>
        </w:tc>
        <w:tc>
          <w:tcPr>
            <w:tcW w:w="733" w:type="dxa"/>
            <w:noWrap/>
            <w:tcMar>
              <w:top w:w="18" w:type="dxa"/>
              <w:left w:w="18" w:type="dxa"/>
              <w:bottom w:w="0" w:type="dxa"/>
              <w:right w:w="18" w:type="dxa"/>
            </w:tcMar>
            <w:vAlign w:val="bottom"/>
          </w:tcPr>
          <w:p w14:paraId="2DD6E5C6" w14:textId="4E2715C6" w:rsidR="00224102" w:rsidRPr="00692926" w:rsidRDefault="00224102" w:rsidP="00224102">
            <w:pPr>
              <w:jc w:val="right"/>
              <w:rPr>
                <w:sz w:val="14"/>
                <w:szCs w:val="14"/>
              </w:rPr>
            </w:pPr>
            <w:r w:rsidRPr="00692926">
              <w:rPr>
                <w:sz w:val="14"/>
                <w:szCs w:val="14"/>
              </w:rPr>
              <w:t>(6,420)</w:t>
            </w:r>
          </w:p>
        </w:tc>
        <w:tc>
          <w:tcPr>
            <w:tcW w:w="707" w:type="dxa"/>
            <w:noWrap/>
            <w:tcMar>
              <w:top w:w="18" w:type="dxa"/>
              <w:left w:w="18" w:type="dxa"/>
              <w:bottom w:w="0" w:type="dxa"/>
              <w:right w:w="18" w:type="dxa"/>
            </w:tcMar>
            <w:vAlign w:val="bottom"/>
          </w:tcPr>
          <w:p w14:paraId="2839B473" w14:textId="2E4885AF" w:rsidR="00224102" w:rsidRPr="00692926" w:rsidRDefault="00224102" w:rsidP="00224102">
            <w:pPr>
              <w:jc w:val="right"/>
              <w:rPr>
                <w:sz w:val="14"/>
                <w:szCs w:val="14"/>
              </w:rPr>
            </w:pPr>
            <w:r w:rsidRPr="00692926">
              <w:rPr>
                <w:sz w:val="14"/>
                <w:szCs w:val="14"/>
              </w:rPr>
              <w:t>266</w:t>
            </w:r>
          </w:p>
        </w:tc>
        <w:tc>
          <w:tcPr>
            <w:tcW w:w="712" w:type="dxa"/>
            <w:noWrap/>
            <w:tcMar>
              <w:top w:w="18" w:type="dxa"/>
              <w:left w:w="18" w:type="dxa"/>
              <w:bottom w:w="0" w:type="dxa"/>
              <w:right w:w="18" w:type="dxa"/>
            </w:tcMar>
            <w:vAlign w:val="bottom"/>
          </w:tcPr>
          <w:p w14:paraId="48CC593F" w14:textId="5FFA56EC" w:rsidR="00224102" w:rsidRPr="00692926" w:rsidRDefault="00224102" w:rsidP="00224102">
            <w:pPr>
              <w:jc w:val="right"/>
              <w:rPr>
                <w:sz w:val="14"/>
                <w:szCs w:val="14"/>
              </w:rPr>
            </w:pPr>
            <w:r w:rsidRPr="00692926">
              <w:rPr>
                <w:sz w:val="14"/>
                <w:szCs w:val="14"/>
              </w:rPr>
              <w:t>(6,154)</w:t>
            </w:r>
          </w:p>
        </w:tc>
      </w:tr>
      <w:tr w:rsidR="00224102" w:rsidRPr="00604C75" w14:paraId="49388DF0" w14:textId="77777777" w:rsidTr="00C26D33">
        <w:trPr>
          <w:trHeight w:val="86"/>
        </w:trPr>
        <w:tc>
          <w:tcPr>
            <w:tcW w:w="537" w:type="dxa"/>
            <w:noWrap/>
            <w:tcMar>
              <w:top w:w="18" w:type="dxa"/>
              <w:left w:w="18" w:type="dxa"/>
              <w:bottom w:w="0" w:type="dxa"/>
              <w:right w:w="18" w:type="dxa"/>
            </w:tcMar>
            <w:vAlign w:val="bottom"/>
          </w:tcPr>
          <w:p w14:paraId="3038FF2A" w14:textId="77777777" w:rsidR="00224102" w:rsidRPr="00604C75" w:rsidRDefault="00224102" w:rsidP="00224102">
            <w:pPr>
              <w:spacing w:line="226" w:lineRule="auto"/>
              <w:rPr>
                <w:bCs/>
                <w:noProof/>
                <w:sz w:val="14"/>
                <w:szCs w:val="14"/>
                <w:lang w:val="tr-TR"/>
              </w:rPr>
            </w:pPr>
            <w:r w:rsidRPr="00604C75">
              <w:rPr>
                <w:rFonts w:eastAsia="Arial Unicode MS"/>
                <w:bCs/>
                <w:noProof/>
                <w:sz w:val="14"/>
                <w:szCs w:val="14"/>
                <w:lang w:val="tr-TR"/>
              </w:rPr>
              <w:t>16.2.4</w:t>
            </w:r>
          </w:p>
        </w:tc>
        <w:tc>
          <w:tcPr>
            <w:tcW w:w="4615" w:type="dxa"/>
            <w:noWrap/>
            <w:tcMar>
              <w:top w:w="18" w:type="dxa"/>
              <w:left w:w="18" w:type="dxa"/>
              <w:bottom w:w="0" w:type="dxa"/>
              <w:right w:w="18" w:type="dxa"/>
            </w:tcMar>
            <w:vAlign w:val="bottom"/>
          </w:tcPr>
          <w:p w14:paraId="15A1B418" w14:textId="77777777" w:rsidR="00224102" w:rsidRPr="00604C75" w:rsidRDefault="00224102" w:rsidP="00224102">
            <w:pPr>
              <w:spacing w:line="226" w:lineRule="auto"/>
              <w:rPr>
                <w:bCs/>
                <w:noProof/>
                <w:sz w:val="14"/>
                <w:szCs w:val="14"/>
                <w:lang w:val="tr-TR"/>
              </w:rPr>
            </w:pPr>
            <w:r w:rsidRPr="00604C75">
              <w:rPr>
                <w:bCs/>
                <w:noProof/>
                <w:sz w:val="14"/>
                <w:szCs w:val="14"/>
                <w:lang w:val="tr-TR"/>
              </w:rPr>
              <w:t>Tangible Assets Revaluation Reserve</w:t>
            </w:r>
          </w:p>
        </w:tc>
        <w:tc>
          <w:tcPr>
            <w:tcW w:w="640" w:type="dxa"/>
            <w:noWrap/>
            <w:tcMar>
              <w:top w:w="18" w:type="dxa"/>
              <w:left w:w="18" w:type="dxa"/>
              <w:bottom w:w="0" w:type="dxa"/>
              <w:right w:w="18" w:type="dxa"/>
            </w:tcMar>
            <w:vAlign w:val="bottom"/>
          </w:tcPr>
          <w:p w14:paraId="7786BB48" w14:textId="2BD7BD70"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06CBACB3" w14:textId="7C354A8D"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4EAD0619" w14:textId="1B71F7E1"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5ECFDA53" w14:textId="5C4188C2"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66F79BE9" w14:textId="7B87F579"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442519DA" w14:textId="3CF1EEEF"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5E5DA2B9" w14:textId="3F213B44" w:rsidR="00224102" w:rsidRPr="00692926" w:rsidRDefault="00224102" w:rsidP="00224102">
            <w:pPr>
              <w:jc w:val="right"/>
              <w:rPr>
                <w:sz w:val="14"/>
                <w:szCs w:val="14"/>
              </w:rPr>
            </w:pPr>
            <w:r w:rsidRPr="00692926">
              <w:rPr>
                <w:sz w:val="14"/>
                <w:szCs w:val="14"/>
              </w:rPr>
              <w:t>-</w:t>
            </w:r>
          </w:p>
        </w:tc>
      </w:tr>
      <w:tr w:rsidR="00224102" w:rsidRPr="00604C75" w14:paraId="7F8AFA28" w14:textId="77777777" w:rsidTr="00C26D33">
        <w:trPr>
          <w:trHeight w:val="86"/>
        </w:trPr>
        <w:tc>
          <w:tcPr>
            <w:tcW w:w="537" w:type="dxa"/>
            <w:noWrap/>
            <w:tcMar>
              <w:top w:w="18" w:type="dxa"/>
              <w:left w:w="18" w:type="dxa"/>
              <w:bottom w:w="0" w:type="dxa"/>
              <w:right w:w="18" w:type="dxa"/>
            </w:tcMar>
            <w:vAlign w:val="bottom"/>
          </w:tcPr>
          <w:p w14:paraId="19AA1E43"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noProof/>
                <w:sz w:val="14"/>
                <w:szCs w:val="14"/>
                <w:lang w:val="tr-TR"/>
              </w:rPr>
              <w:t>16.2.5</w:t>
            </w:r>
          </w:p>
        </w:tc>
        <w:tc>
          <w:tcPr>
            <w:tcW w:w="4615" w:type="dxa"/>
            <w:noWrap/>
            <w:tcMar>
              <w:top w:w="18" w:type="dxa"/>
              <w:left w:w="18" w:type="dxa"/>
              <w:bottom w:w="0" w:type="dxa"/>
              <w:right w:w="18" w:type="dxa"/>
            </w:tcMar>
            <w:vAlign w:val="bottom"/>
          </w:tcPr>
          <w:p w14:paraId="2E579D4C" w14:textId="77777777" w:rsidR="00224102" w:rsidRPr="00604C75" w:rsidRDefault="00224102" w:rsidP="00224102">
            <w:pPr>
              <w:spacing w:line="226" w:lineRule="auto"/>
              <w:rPr>
                <w:rFonts w:eastAsia="Arial Unicode MS"/>
                <w:bCs/>
                <w:noProof/>
                <w:sz w:val="14"/>
                <w:szCs w:val="14"/>
                <w:lang w:val="tr-TR"/>
              </w:rPr>
            </w:pPr>
            <w:r w:rsidRPr="00604C75">
              <w:rPr>
                <w:bCs/>
                <w:noProof/>
                <w:sz w:val="14"/>
                <w:szCs w:val="14"/>
                <w:lang w:val="tr-TR"/>
              </w:rPr>
              <w:t>Intangible Assets Revaluation Reserve</w:t>
            </w:r>
          </w:p>
        </w:tc>
        <w:tc>
          <w:tcPr>
            <w:tcW w:w="640" w:type="dxa"/>
            <w:noWrap/>
            <w:tcMar>
              <w:top w:w="18" w:type="dxa"/>
              <w:left w:w="18" w:type="dxa"/>
              <w:bottom w:w="0" w:type="dxa"/>
              <w:right w:w="18" w:type="dxa"/>
            </w:tcMar>
            <w:vAlign w:val="bottom"/>
          </w:tcPr>
          <w:p w14:paraId="723A45D9" w14:textId="1150468C"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40967C7C" w14:textId="7A1BD843"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68327530" w14:textId="753C95A3"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72C6B1F6" w14:textId="73C97AD4"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4BA6306A" w14:textId="4E832989"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419C2AB3" w14:textId="7BFEBF6F"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1F1EE6DA" w14:textId="4B53AE11" w:rsidR="00224102" w:rsidRPr="00692926" w:rsidRDefault="00224102" w:rsidP="00224102">
            <w:pPr>
              <w:jc w:val="right"/>
              <w:rPr>
                <w:sz w:val="14"/>
                <w:szCs w:val="14"/>
              </w:rPr>
            </w:pPr>
            <w:r w:rsidRPr="00692926">
              <w:rPr>
                <w:sz w:val="14"/>
                <w:szCs w:val="14"/>
              </w:rPr>
              <w:t>-</w:t>
            </w:r>
          </w:p>
        </w:tc>
      </w:tr>
      <w:tr w:rsidR="00224102" w:rsidRPr="00604C75" w14:paraId="49865249" w14:textId="77777777" w:rsidTr="00C26D33">
        <w:trPr>
          <w:trHeight w:val="84"/>
        </w:trPr>
        <w:tc>
          <w:tcPr>
            <w:tcW w:w="537" w:type="dxa"/>
            <w:noWrap/>
            <w:tcMar>
              <w:top w:w="18" w:type="dxa"/>
              <w:left w:w="18" w:type="dxa"/>
              <w:bottom w:w="0" w:type="dxa"/>
              <w:right w:w="18" w:type="dxa"/>
            </w:tcMar>
            <w:vAlign w:val="bottom"/>
          </w:tcPr>
          <w:p w14:paraId="11ABBCE1" w14:textId="77777777" w:rsidR="00224102" w:rsidRPr="00604C75" w:rsidRDefault="00224102" w:rsidP="00224102">
            <w:pPr>
              <w:spacing w:line="226" w:lineRule="auto"/>
              <w:rPr>
                <w:rFonts w:eastAsia="Arial Unicode MS"/>
                <w:bCs/>
                <w:noProof/>
                <w:sz w:val="14"/>
                <w:szCs w:val="14"/>
                <w:lang w:val="tr-TR"/>
              </w:rPr>
            </w:pPr>
            <w:r w:rsidRPr="00604C75">
              <w:rPr>
                <w:rFonts w:eastAsia="Arial Unicode MS"/>
                <w:noProof/>
                <w:sz w:val="14"/>
                <w:szCs w:val="14"/>
                <w:lang w:val="tr-TR"/>
              </w:rPr>
              <w:t>16.2.6</w:t>
            </w:r>
          </w:p>
        </w:tc>
        <w:tc>
          <w:tcPr>
            <w:tcW w:w="4615" w:type="dxa"/>
            <w:noWrap/>
            <w:tcMar>
              <w:top w:w="18" w:type="dxa"/>
              <w:left w:w="18" w:type="dxa"/>
              <w:bottom w:w="0" w:type="dxa"/>
              <w:right w:w="18" w:type="dxa"/>
            </w:tcMar>
            <w:vAlign w:val="bottom"/>
          </w:tcPr>
          <w:p w14:paraId="0479D065" w14:textId="77777777" w:rsidR="00224102" w:rsidRPr="00604C75" w:rsidRDefault="00224102" w:rsidP="00224102">
            <w:pPr>
              <w:spacing w:line="226" w:lineRule="auto"/>
              <w:rPr>
                <w:rFonts w:eastAsia="Arial Unicode MS"/>
                <w:noProof/>
                <w:sz w:val="14"/>
                <w:szCs w:val="14"/>
                <w:lang w:val="tr-TR"/>
              </w:rPr>
            </w:pPr>
            <w:r w:rsidRPr="00604C75">
              <w:rPr>
                <w:bCs/>
                <w:noProof/>
                <w:sz w:val="14"/>
                <w:szCs w:val="14"/>
                <w:lang w:val="tr-TR"/>
              </w:rPr>
              <w:t>Investment Property Revaluation Reserve</w:t>
            </w:r>
          </w:p>
        </w:tc>
        <w:tc>
          <w:tcPr>
            <w:tcW w:w="640" w:type="dxa"/>
            <w:noWrap/>
            <w:tcMar>
              <w:top w:w="18" w:type="dxa"/>
              <w:left w:w="18" w:type="dxa"/>
              <w:bottom w:w="0" w:type="dxa"/>
              <w:right w:w="18" w:type="dxa"/>
            </w:tcMar>
            <w:vAlign w:val="bottom"/>
          </w:tcPr>
          <w:p w14:paraId="503C5F33" w14:textId="0A18B55A"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371CFD52" w14:textId="76E797A4"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6E2F0BCD" w14:textId="079B26F2"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1DE4AF96" w14:textId="1F79B2FA"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6930C78F" w14:textId="4B815969"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0F64B063" w14:textId="618370E1"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24CF8DF9" w14:textId="12A10C76" w:rsidR="00224102" w:rsidRPr="00692926" w:rsidRDefault="00224102" w:rsidP="00224102">
            <w:pPr>
              <w:jc w:val="right"/>
              <w:rPr>
                <w:sz w:val="14"/>
                <w:szCs w:val="14"/>
              </w:rPr>
            </w:pPr>
            <w:r w:rsidRPr="00692926">
              <w:rPr>
                <w:sz w:val="14"/>
                <w:szCs w:val="14"/>
              </w:rPr>
              <w:t>-</w:t>
            </w:r>
          </w:p>
        </w:tc>
      </w:tr>
      <w:tr w:rsidR="00224102" w:rsidRPr="00604C75" w14:paraId="1B9B3C9E" w14:textId="77777777" w:rsidTr="00C26D33">
        <w:trPr>
          <w:trHeight w:val="84"/>
        </w:trPr>
        <w:tc>
          <w:tcPr>
            <w:tcW w:w="537" w:type="dxa"/>
            <w:noWrap/>
            <w:tcMar>
              <w:top w:w="18" w:type="dxa"/>
              <w:left w:w="18" w:type="dxa"/>
              <w:bottom w:w="0" w:type="dxa"/>
              <w:right w:w="18" w:type="dxa"/>
            </w:tcMar>
          </w:tcPr>
          <w:p w14:paraId="410FA9A3"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16.2.7</w:t>
            </w:r>
          </w:p>
        </w:tc>
        <w:tc>
          <w:tcPr>
            <w:tcW w:w="4615" w:type="dxa"/>
            <w:noWrap/>
            <w:tcMar>
              <w:top w:w="18" w:type="dxa"/>
              <w:left w:w="18" w:type="dxa"/>
              <w:bottom w:w="0" w:type="dxa"/>
              <w:right w:w="18" w:type="dxa"/>
            </w:tcMar>
            <w:vAlign w:val="bottom"/>
          </w:tcPr>
          <w:p w14:paraId="10EBBA5E"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 xml:space="preserve">Bonus Shares Obtained from Investments in Associates, Subsidiaries and </w:t>
            </w:r>
            <w:r w:rsidRPr="00604C75">
              <w:rPr>
                <w:rFonts w:eastAsia="Arial Unicode MS"/>
                <w:noProof/>
                <w:sz w:val="14"/>
                <w:szCs w:val="14"/>
                <w:lang w:val="tr-TR"/>
              </w:rPr>
              <w:br/>
              <w:t>Joint Ventures</w:t>
            </w:r>
          </w:p>
        </w:tc>
        <w:tc>
          <w:tcPr>
            <w:tcW w:w="640" w:type="dxa"/>
            <w:noWrap/>
            <w:tcMar>
              <w:top w:w="18" w:type="dxa"/>
              <w:left w:w="18" w:type="dxa"/>
              <w:bottom w:w="0" w:type="dxa"/>
              <w:right w:w="18" w:type="dxa"/>
            </w:tcMar>
            <w:vAlign w:val="bottom"/>
          </w:tcPr>
          <w:p w14:paraId="3E596E0F" w14:textId="0C84793F"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07DFFAFD" w14:textId="72C45EB7"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36AC5E9A" w14:textId="2E025176"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0DB6179C" w14:textId="401F88AC"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1DB47119" w14:textId="48F78D42"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2E63931E" w14:textId="156065AB"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3D0FA0DE" w14:textId="7566017A" w:rsidR="00224102" w:rsidRPr="00692926" w:rsidRDefault="00224102" w:rsidP="00224102">
            <w:pPr>
              <w:jc w:val="right"/>
              <w:rPr>
                <w:sz w:val="14"/>
                <w:szCs w:val="14"/>
              </w:rPr>
            </w:pPr>
            <w:r w:rsidRPr="00692926">
              <w:rPr>
                <w:sz w:val="14"/>
                <w:szCs w:val="14"/>
              </w:rPr>
              <w:t>-</w:t>
            </w:r>
          </w:p>
        </w:tc>
      </w:tr>
      <w:tr w:rsidR="00224102" w:rsidRPr="00604C75" w14:paraId="27EC81FB" w14:textId="77777777" w:rsidTr="00C26D33">
        <w:trPr>
          <w:trHeight w:val="72"/>
        </w:trPr>
        <w:tc>
          <w:tcPr>
            <w:tcW w:w="537" w:type="dxa"/>
            <w:noWrap/>
            <w:tcMar>
              <w:top w:w="18" w:type="dxa"/>
              <w:left w:w="18" w:type="dxa"/>
              <w:bottom w:w="0" w:type="dxa"/>
              <w:right w:w="18" w:type="dxa"/>
            </w:tcMar>
            <w:vAlign w:val="bottom"/>
          </w:tcPr>
          <w:p w14:paraId="2D713651"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16.2.8</w:t>
            </w:r>
          </w:p>
        </w:tc>
        <w:tc>
          <w:tcPr>
            <w:tcW w:w="4615" w:type="dxa"/>
            <w:noWrap/>
            <w:tcMar>
              <w:top w:w="18" w:type="dxa"/>
              <w:left w:w="18" w:type="dxa"/>
              <w:bottom w:w="0" w:type="dxa"/>
              <w:right w:w="18" w:type="dxa"/>
            </w:tcMar>
            <w:vAlign w:val="bottom"/>
          </w:tcPr>
          <w:p w14:paraId="6B3D8EC0"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Hedging Reserves (Effective portion)</w:t>
            </w:r>
          </w:p>
        </w:tc>
        <w:tc>
          <w:tcPr>
            <w:tcW w:w="640" w:type="dxa"/>
            <w:noWrap/>
            <w:tcMar>
              <w:top w:w="18" w:type="dxa"/>
              <w:left w:w="18" w:type="dxa"/>
              <w:bottom w:w="0" w:type="dxa"/>
              <w:right w:w="18" w:type="dxa"/>
            </w:tcMar>
            <w:vAlign w:val="bottom"/>
          </w:tcPr>
          <w:p w14:paraId="339A46F9" w14:textId="24A4CD26"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40A19599" w14:textId="53E2645C"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11F4F1F1" w14:textId="04093CD6"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7CF2587A" w14:textId="5F1D4EC8"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78394DC8" w14:textId="5BD92F1D"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4969EF76" w14:textId="034D2492"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00145AD0" w14:textId="022C2658" w:rsidR="00224102" w:rsidRPr="00692926" w:rsidRDefault="00224102" w:rsidP="00224102">
            <w:pPr>
              <w:jc w:val="right"/>
              <w:rPr>
                <w:sz w:val="14"/>
                <w:szCs w:val="14"/>
              </w:rPr>
            </w:pPr>
            <w:r w:rsidRPr="00692926">
              <w:rPr>
                <w:sz w:val="14"/>
                <w:szCs w:val="14"/>
              </w:rPr>
              <w:t>-</w:t>
            </w:r>
          </w:p>
        </w:tc>
      </w:tr>
      <w:tr w:rsidR="00224102" w:rsidRPr="00604C75" w14:paraId="1901C2E9" w14:textId="77777777" w:rsidTr="00C26D33">
        <w:trPr>
          <w:trHeight w:val="80"/>
        </w:trPr>
        <w:tc>
          <w:tcPr>
            <w:tcW w:w="537" w:type="dxa"/>
            <w:noWrap/>
            <w:tcMar>
              <w:top w:w="18" w:type="dxa"/>
              <w:left w:w="18" w:type="dxa"/>
              <w:bottom w:w="0" w:type="dxa"/>
              <w:right w:w="18" w:type="dxa"/>
            </w:tcMar>
          </w:tcPr>
          <w:p w14:paraId="3743384D"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16.2.9</w:t>
            </w:r>
          </w:p>
        </w:tc>
        <w:tc>
          <w:tcPr>
            <w:tcW w:w="4615" w:type="dxa"/>
            <w:noWrap/>
            <w:tcMar>
              <w:top w:w="18" w:type="dxa"/>
              <w:left w:w="18" w:type="dxa"/>
              <w:bottom w:w="0" w:type="dxa"/>
              <w:right w:w="18" w:type="dxa"/>
            </w:tcMar>
            <w:vAlign w:val="bottom"/>
          </w:tcPr>
          <w:p w14:paraId="28D3B957"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Value Differences of Assets Held for Resale and Discontinued Operations</w:t>
            </w:r>
          </w:p>
        </w:tc>
        <w:tc>
          <w:tcPr>
            <w:tcW w:w="640" w:type="dxa"/>
            <w:noWrap/>
            <w:tcMar>
              <w:top w:w="18" w:type="dxa"/>
              <w:left w:w="18" w:type="dxa"/>
              <w:bottom w:w="0" w:type="dxa"/>
              <w:right w:w="18" w:type="dxa"/>
            </w:tcMar>
            <w:vAlign w:val="bottom"/>
          </w:tcPr>
          <w:p w14:paraId="5D7A1080" w14:textId="10F7F105"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2ED7ECCC" w14:textId="717C3942"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2CA40FF9" w14:textId="2F3392F6"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2D059056" w14:textId="6A2367A0"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497EF4A8" w14:textId="464A3B63"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267C9A76" w14:textId="11FD62AB"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153E7B02" w14:textId="782C528F" w:rsidR="00224102" w:rsidRPr="00692926" w:rsidRDefault="00224102" w:rsidP="00224102">
            <w:pPr>
              <w:jc w:val="right"/>
              <w:rPr>
                <w:sz w:val="14"/>
                <w:szCs w:val="14"/>
              </w:rPr>
            </w:pPr>
            <w:r w:rsidRPr="00692926">
              <w:rPr>
                <w:sz w:val="14"/>
                <w:szCs w:val="14"/>
              </w:rPr>
              <w:t>-</w:t>
            </w:r>
          </w:p>
        </w:tc>
      </w:tr>
      <w:tr w:rsidR="00224102" w:rsidRPr="00604C75" w14:paraId="3048B386" w14:textId="77777777" w:rsidTr="00C26D33">
        <w:trPr>
          <w:trHeight w:val="72"/>
        </w:trPr>
        <w:tc>
          <w:tcPr>
            <w:tcW w:w="537" w:type="dxa"/>
            <w:noWrap/>
            <w:tcMar>
              <w:top w:w="18" w:type="dxa"/>
              <w:left w:w="18" w:type="dxa"/>
              <w:bottom w:w="0" w:type="dxa"/>
              <w:right w:w="18" w:type="dxa"/>
            </w:tcMar>
            <w:vAlign w:val="bottom"/>
          </w:tcPr>
          <w:p w14:paraId="739F2D8C"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16.2.10</w:t>
            </w:r>
          </w:p>
        </w:tc>
        <w:tc>
          <w:tcPr>
            <w:tcW w:w="4615" w:type="dxa"/>
            <w:noWrap/>
            <w:tcMar>
              <w:top w:w="18" w:type="dxa"/>
              <w:left w:w="18" w:type="dxa"/>
              <w:bottom w:w="0" w:type="dxa"/>
              <w:right w:w="18" w:type="dxa"/>
            </w:tcMar>
            <w:vAlign w:val="bottom"/>
          </w:tcPr>
          <w:p w14:paraId="3CA349F2"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Other Capital Reserves</w:t>
            </w:r>
          </w:p>
        </w:tc>
        <w:tc>
          <w:tcPr>
            <w:tcW w:w="640" w:type="dxa"/>
            <w:noWrap/>
            <w:tcMar>
              <w:top w:w="18" w:type="dxa"/>
              <w:left w:w="18" w:type="dxa"/>
              <w:bottom w:w="0" w:type="dxa"/>
              <w:right w:w="18" w:type="dxa"/>
            </w:tcMar>
            <w:vAlign w:val="bottom"/>
          </w:tcPr>
          <w:p w14:paraId="5F58ACF1" w14:textId="1CC88D5E"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67EF8632" w14:textId="55C03096" w:rsidR="00224102" w:rsidRPr="00850582" w:rsidRDefault="00224102" w:rsidP="00224102">
            <w:pPr>
              <w:jc w:val="right"/>
              <w:rPr>
                <w:sz w:val="14"/>
                <w:szCs w:val="14"/>
              </w:rPr>
            </w:pPr>
            <w:r w:rsidRPr="00850582">
              <w:rPr>
                <w:sz w:val="14"/>
                <w:szCs w:val="14"/>
              </w:rPr>
              <w:t>(1,524)</w:t>
            </w:r>
          </w:p>
        </w:tc>
        <w:tc>
          <w:tcPr>
            <w:tcW w:w="759" w:type="dxa"/>
            <w:noWrap/>
            <w:tcMar>
              <w:top w:w="18" w:type="dxa"/>
              <w:left w:w="18" w:type="dxa"/>
              <w:bottom w:w="0" w:type="dxa"/>
              <w:right w:w="18" w:type="dxa"/>
            </w:tcMar>
            <w:vAlign w:val="bottom"/>
          </w:tcPr>
          <w:p w14:paraId="6AFC1489" w14:textId="3B72316C"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63ACCCF2" w14:textId="4FBE71F1" w:rsidR="00224102" w:rsidRPr="00850582" w:rsidRDefault="00224102" w:rsidP="00224102">
            <w:pPr>
              <w:jc w:val="right"/>
              <w:rPr>
                <w:sz w:val="14"/>
                <w:szCs w:val="14"/>
              </w:rPr>
            </w:pPr>
            <w:r w:rsidRPr="00850582">
              <w:rPr>
                <w:sz w:val="14"/>
                <w:szCs w:val="14"/>
              </w:rPr>
              <w:t>(1,524)</w:t>
            </w:r>
          </w:p>
        </w:tc>
        <w:tc>
          <w:tcPr>
            <w:tcW w:w="733" w:type="dxa"/>
            <w:noWrap/>
            <w:tcMar>
              <w:top w:w="18" w:type="dxa"/>
              <w:left w:w="18" w:type="dxa"/>
              <w:bottom w:w="0" w:type="dxa"/>
              <w:right w:w="18" w:type="dxa"/>
            </w:tcMar>
            <w:vAlign w:val="bottom"/>
          </w:tcPr>
          <w:p w14:paraId="773F3F72" w14:textId="469A1575"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5071E8F5" w14:textId="50AFD539"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3D02D240" w14:textId="327ECF82" w:rsidR="00224102" w:rsidRPr="00692926" w:rsidRDefault="00224102" w:rsidP="00224102">
            <w:pPr>
              <w:jc w:val="right"/>
              <w:rPr>
                <w:sz w:val="14"/>
                <w:szCs w:val="14"/>
              </w:rPr>
            </w:pPr>
            <w:r w:rsidRPr="00692926">
              <w:rPr>
                <w:sz w:val="14"/>
                <w:szCs w:val="14"/>
              </w:rPr>
              <w:t>-</w:t>
            </w:r>
          </w:p>
        </w:tc>
      </w:tr>
      <w:tr w:rsidR="00224102" w:rsidRPr="00604C75" w14:paraId="3E897ECE" w14:textId="77777777" w:rsidTr="00C26D33">
        <w:trPr>
          <w:trHeight w:val="72"/>
        </w:trPr>
        <w:tc>
          <w:tcPr>
            <w:tcW w:w="537" w:type="dxa"/>
            <w:noWrap/>
            <w:tcMar>
              <w:top w:w="18" w:type="dxa"/>
              <w:left w:w="18" w:type="dxa"/>
              <w:bottom w:w="0" w:type="dxa"/>
              <w:right w:w="18" w:type="dxa"/>
            </w:tcMar>
            <w:vAlign w:val="bottom"/>
          </w:tcPr>
          <w:p w14:paraId="701BE016"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16.3</w:t>
            </w:r>
          </w:p>
        </w:tc>
        <w:tc>
          <w:tcPr>
            <w:tcW w:w="4615" w:type="dxa"/>
            <w:noWrap/>
            <w:tcMar>
              <w:top w:w="18" w:type="dxa"/>
              <w:left w:w="18" w:type="dxa"/>
              <w:bottom w:w="0" w:type="dxa"/>
              <w:right w:w="18" w:type="dxa"/>
            </w:tcMar>
            <w:vAlign w:val="bottom"/>
          </w:tcPr>
          <w:p w14:paraId="7870A5F9"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Profit Reserves</w:t>
            </w:r>
          </w:p>
        </w:tc>
        <w:tc>
          <w:tcPr>
            <w:tcW w:w="640" w:type="dxa"/>
            <w:noWrap/>
            <w:tcMar>
              <w:top w:w="18" w:type="dxa"/>
              <w:left w:w="18" w:type="dxa"/>
              <w:bottom w:w="0" w:type="dxa"/>
              <w:right w:w="18" w:type="dxa"/>
            </w:tcMar>
            <w:vAlign w:val="bottom"/>
          </w:tcPr>
          <w:p w14:paraId="149C3693" w14:textId="77777777" w:rsidR="00224102" w:rsidRPr="00604C75" w:rsidRDefault="00224102" w:rsidP="00224102">
            <w:pPr>
              <w:spacing w:line="226" w:lineRule="auto"/>
              <w:jc w:val="center"/>
              <w:rPr>
                <w:rFonts w:eastAsia="Arial Unicode MS"/>
                <w:sz w:val="14"/>
                <w:szCs w:val="14"/>
              </w:rPr>
            </w:pPr>
          </w:p>
        </w:tc>
        <w:tc>
          <w:tcPr>
            <w:tcW w:w="779" w:type="dxa"/>
            <w:noWrap/>
            <w:tcMar>
              <w:top w:w="18" w:type="dxa"/>
              <w:left w:w="18" w:type="dxa"/>
              <w:bottom w:w="0" w:type="dxa"/>
              <w:right w:w="18" w:type="dxa"/>
            </w:tcMar>
            <w:vAlign w:val="bottom"/>
          </w:tcPr>
          <w:p w14:paraId="47E65548" w14:textId="7759EB26" w:rsidR="00224102" w:rsidRPr="00850582" w:rsidRDefault="00224102" w:rsidP="00224102">
            <w:pPr>
              <w:jc w:val="right"/>
              <w:rPr>
                <w:sz w:val="14"/>
                <w:szCs w:val="14"/>
              </w:rPr>
            </w:pPr>
            <w:r w:rsidRPr="00850582">
              <w:rPr>
                <w:sz w:val="14"/>
                <w:szCs w:val="14"/>
              </w:rPr>
              <w:t>358,143</w:t>
            </w:r>
          </w:p>
        </w:tc>
        <w:tc>
          <w:tcPr>
            <w:tcW w:w="759" w:type="dxa"/>
            <w:noWrap/>
            <w:tcMar>
              <w:top w:w="18" w:type="dxa"/>
              <w:left w:w="18" w:type="dxa"/>
              <w:bottom w:w="0" w:type="dxa"/>
              <w:right w:w="18" w:type="dxa"/>
            </w:tcMar>
            <w:vAlign w:val="bottom"/>
          </w:tcPr>
          <w:p w14:paraId="6A62879E" w14:textId="20DE539F"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60F997C8" w14:textId="4482B194" w:rsidR="00224102" w:rsidRPr="00850582" w:rsidRDefault="00224102" w:rsidP="00224102">
            <w:pPr>
              <w:jc w:val="right"/>
              <w:rPr>
                <w:sz w:val="14"/>
                <w:szCs w:val="14"/>
              </w:rPr>
            </w:pPr>
            <w:r w:rsidRPr="00850582">
              <w:rPr>
                <w:sz w:val="14"/>
                <w:szCs w:val="14"/>
              </w:rPr>
              <w:t>358,143</w:t>
            </w:r>
          </w:p>
        </w:tc>
        <w:tc>
          <w:tcPr>
            <w:tcW w:w="733" w:type="dxa"/>
            <w:noWrap/>
            <w:tcMar>
              <w:top w:w="18" w:type="dxa"/>
              <w:left w:w="18" w:type="dxa"/>
              <w:bottom w:w="0" w:type="dxa"/>
              <w:right w:w="18" w:type="dxa"/>
            </w:tcMar>
            <w:vAlign w:val="bottom"/>
          </w:tcPr>
          <w:p w14:paraId="6240B643" w14:textId="013CE3F5" w:rsidR="00224102" w:rsidRPr="00692926" w:rsidRDefault="00224102" w:rsidP="00224102">
            <w:pPr>
              <w:jc w:val="right"/>
              <w:rPr>
                <w:sz w:val="14"/>
                <w:szCs w:val="14"/>
              </w:rPr>
            </w:pPr>
            <w:r w:rsidRPr="00692926">
              <w:rPr>
                <w:sz w:val="14"/>
                <w:szCs w:val="14"/>
              </w:rPr>
              <w:t>232,062</w:t>
            </w:r>
          </w:p>
        </w:tc>
        <w:tc>
          <w:tcPr>
            <w:tcW w:w="707" w:type="dxa"/>
            <w:noWrap/>
            <w:tcMar>
              <w:top w:w="18" w:type="dxa"/>
              <w:left w:w="18" w:type="dxa"/>
              <w:bottom w:w="0" w:type="dxa"/>
              <w:right w:w="18" w:type="dxa"/>
            </w:tcMar>
            <w:vAlign w:val="bottom"/>
          </w:tcPr>
          <w:p w14:paraId="679D03AD" w14:textId="1B311D7D"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0DA2EDCD" w14:textId="612CA6F2" w:rsidR="00224102" w:rsidRPr="00692926" w:rsidRDefault="00224102" w:rsidP="00224102">
            <w:pPr>
              <w:jc w:val="right"/>
              <w:rPr>
                <w:sz w:val="14"/>
                <w:szCs w:val="14"/>
              </w:rPr>
            </w:pPr>
            <w:r w:rsidRPr="00692926">
              <w:rPr>
                <w:sz w:val="14"/>
                <w:szCs w:val="14"/>
              </w:rPr>
              <w:t>232,062</w:t>
            </w:r>
          </w:p>
        </w:tc>
      </w:tr>
      <w:tr w:rsidR="00224102" w:rsidRPr="00604C75" w14:paraId="2312F901" w14:textId="77777777" w:rsidTr="00C26D33">
        <w:trPr>
          <w:trHeight w:val="72"/>
        </w:trPr>
        <w:tc>
          <w:tcPr>
            <w:tcW w:w="537" w:type="dxa"/>
            <w:noWrap/>
            <w:tcMar>
              <w:top w:w="18" w:type="dxa"/>
              <w:left w:w="18" w:type="dxa"/>
              <w:bottom w:w="0" w:type="dxa"/>
              <w:right w:w="18" w:type="dxa"/>
            </w:tcMar>
            <w:vAlign w:val="bottom"/>
          </w:tcPr>
          <w:p w14:paraId="3BD27A8E"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16.3.1</w:t>
            </w:r>
          </w:p>
        </w:tc>
        <w:tc>
          <w:tcPr>
            <w:tcW w:w="4615" w:type="dxa"/>
            <w:noWrap/>
            <w:tcMar>
              <w:top w:w="18" w:type="dxa"/>
              <w:left w:w="18" w:type="dxa"/>
              <w:bottom w:w="0" w:type="dxa"/>
              <w:right w:w="18" w:type="dxa"/>
            </w:tcMar>
            <w:vAlign w:val="bottom"/>
          </w:tcPr>
          <w:p w14:paraId="14B46BA3"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Legal Reserves</w:t>
            </w:r>
          </w:p>
        </w:tc>
        <w:tc>
          <w:tcPr>
            <w:tcW w:w="640" w:type="dxa"/>
            <w:noWrap/>
            <w:tcMar>
              <w:top w:w="18" w:type="dxa"/>
              <w:left w:w="18" w:type="dxa"/>
              <w:bottom w:w="0" w:type="dxa"/>
              <w:right w:w="18" w:type="dxa"/>
            </w:tcMar>
            <w:vAlign w:val="bottom"/>
          </w:tcPr>
          <w:p w14:paraId="6891FBB8" w14:textId="4E4A977F"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4372A1D4" w14:textId="67274C07" w:rsidR="00224102" w:rsidRPr="00850582" w:rsidRDefault="00224102" w:rsidP="00224102">
            <w:pPr>
              <w:jc w:val="right"/>
              <w:rPr>
                <w:sz w:val="14"/>
                <w:szCs w:val="14"/>
              </w:rPr>
            </w:pPr>
            <w:r w:rsidRPr="00850582">
              <w:rPr>
                <w:sz w:val="14"/>
                <w:szCs w:val="14"/>
              </w:rPr>
              <w:t>24,972</w:t>
            </w:r>
          </w:p>
        </w:tc>
        <w:tc>
          <w:tcPr>
            <w:tcW w:w="759" w:type="dxa"/>
            <w:noWrap/>
            <w:tcMar>
              <w:top w:w="18" w:type="dxa"/>
              <w:left w:w="18" w:type="dxa"/>
              <w:bottom w:w="0" w:type="dxa"/>
              <w:right w:w="18" w:type="dxa"/>
            </w:tcMar>
            <w:vAlign w:val="bottom"/>
          </w:tcPr>
          <w:p w14:paraId="1FB70FA5" w14:textId="37143AD0"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4CDFE74F" w14:textId="76B0FA68" w:rsidR="00224102" w:rsidRPr="00850582" w:rsidRDefault="00224102" w:rsidP="00224102">
            <w:pPr>
              <w:jc w:val="right"/>
              <w:rPr>
                <w:sz w:val="14"/>
                <w:szCs w:val="14"/>
              </w:rPr>
            </w:pPr>
            <w:r w:rsidRPr="00850582">
              <w:rPr>
                <w:sz w:val="14"/>
                <w:szCs w:val="14"/>
              </w:rPr>
              <w:t>24,972</w:t>
            </w:r>
          </w:p>
        </w:tc>
        <w:tc>
          <w:tcPr>
            <w:tcW w:w="733" w:type="dxa"/>
            <w:noWrap/>
            <w:tcMar>
              <w:top w:w="18" w:type="dxa"/>
              <w:left w:w="18" w:type="dxa"/>
              <w:bottom w:w="0" w:type="dxa"/>
              <w:right w:w="18" w:type="dxa"/>
            </w:tcMar>
            <w:vAlign w:val="bottom"/>
          </w:tcPr>
          <w:p w14:paraId="44B9AEA5" w14:textId="0FE03B67" w:rsidR="00224102" w:rsidRPr="00692926" w:rsidRDefault="00224102" w:rsidP="00224102">
            <w:pPr>
              <w:jc w:val="right"/>
              <w:rPr>
                <w:sz w:val="14"/>
                <w:szCs w:val="14"/>
              </w:rPr>
            </w:pPr>
            <w:r w:rsidRPr="00692926">
              <w:rPr>
                <w:sz w:val="14"/>
                <w:szCs w:val="14"/>
              </w:rPr>
              <w:t>20,052</w:t>
            </w:r>
          </w:p>
        </w:tc>
        <w:tc>
          <w:tcPr>
            <w:tcW w:w="707" w:type="dxa"/>
            <w:noWrap/>
            <w:tcMar>
              <w:top w:w="18" w:type="dxa"/>
              <w:left w:w="18" w:type="dxa"/>
              <w:bottom w:w="0" w:type="dxa"/>
              <w:right w:w="18" w:type="dxa"/>
            </w:tcMar>
            <w:vAlign w:val="bottom"/>
          </w:tcPr>
          <w:p w14:paraId="226DCDD4" w14:textId="27F15CCC"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697E0858" w14:textId="1BB9A8CC" w:rsidR="00224102" w:rsidRPr="00692926" w:rsidRDefault="00224102" w:rsidP="00224102">
            <w:pPr>
              <w:jc w:val="right"/>
              <w:rPr>
                <w:sz w:val="14"/>
                <w:szCs w:val="14"/>
              </w:rPr>
            </w:pPr>
            <w:r w:rsidRPr="00692926">
              <w:rPr>
                <w:sz w:val="14"/>
                <w:szCs w:val="14"/>
              </w:rPr>
              <w:t>20,052</w:t>
            </w:r>
          </w:p>
        </w:tc>
      </w:tr>
      <w:tr w:rsidR="00224102" w:rsidRPr="00604C75" w14:paraId="7A195653" w14:textId="77777777" w:rsidTr="00C26D33">
        <w:trPr>
          <w:trHeight w:val="72"/>
        </w:trPr>
        <w:tc>
          <w:tcPr>
            <w:tcW w:w="537" w:type="dxa"/>
            <w:noWrap/>
            <w:tcMar>
              <w:top w:w="18" w:type="dxa"/>
              <w:left w:w="18" w:type="dxa"/>
              <w:bottom w:w="0" w:type="dxa"/>
              <w:right w:w="18" w:type="dxa"/>
            </w:tcMar>
            <w:vAlign w:val="bottom"/>
          </w:tcPr>
          <w:p w14:paraId="29E75775"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16.3.2</w:t>
            </w:r>
          </w:p>
        </w:tc>
        <w:tc>
          <w:tcPr>
            <w:tcW w:w="4615" w:type="dxa"/>
            <w:noWrap/>
            <w:tcMar>
              <w:top w:w="18" w:type="dxa"/>
              <w:left w:w="18" w:type="dxa"/>
              <w:bottom w:w="0" w:type="dxa"/>
              <w:right w:w="18" w:type="dxa"/>
            </w:tcMar>
            <w:vAlign w:val="bottom"/>
          </w:tcPr>
          <w:p w14:paraId="2B12F0E8"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Status Reserves</w:t>
            </w:r>
          </w:p>
        </w:tc>
        <w:tc>
          <w:tcPr>
            <w:tcW w:w="640" w:type="dxa"/>
            <w:noWrap/>
            <w:tcMar>
              <w:top w:w="18" w:type="dxa"/>
              <w:left w:w="18" w:type="dxa"/>
              <w:bottom w:w="0" w:type="dxa"/>
              <w:right w:w="18" w:type="dxa"/>
            </w:tcMar>
            <w:vAlign w:val="bottom"/>
          </w:tcPr>
          <w:p w14:paraId="10B0C01D" w14:textId="67467150"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67C6C51E" w14:textId="18920F5E"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4F84ECA9" w14:textId="403143E2"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3977E44A" w14:textId="2947A9F4"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477DBD01" w14:textId="36F1D4B9"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3DC8AC33" w14:textId="564C8CB0"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5682FC63" w14:textId="062DAFC2" w:rsidR="00224102" w:rsidRPr="00692926" w:rsidRDefault="00224102" w:rsidP="00224102">
            <w:pPr>
              <w:jc w:val="right"/>
              <w:rPr>
                <w:sz w:val="14"/>
                <w:szCs w:val="14"/>
              </w:rPr>
            </w:pPr>
            <w:r w:rsidRPr="00692926">
              <w:rPr>
                <w:sz w:val="14"/>
                <w:szCs w:val="14"/>
              </w:rPr>
              <w:t>-</w:t>
            </w:r>
          </w:p>
        </w:tc>
      </w:tr>
      <w:tr w:rsidR="00224102" w:rsidRPr="00604C75" w14:paraId="02B17BD3" w14:textId="77777777" w:rsidTr="00C26D33">
        <w:trPr>
          <w:trHeight w:val="72"/>
        </w:trPr>
        <w:tc>
          <w:tcPr>
            <w:tcW w:w="537" w:type="dxa"/>
            <w:noWrap/>
            <w:tcMar>
              <w:top w:w="18" w:type="dxa"/>
              <w:left w:w="18" w:type="dxa"/>
              <w:bottom w:w="0" w:type="dxa"/>
              <w:right w:w="18" w:type="dxa"/>
            </w:tcMar>
            <w:vAlign w:val="bottom"/>
          </w:tcPr>
          <w:p w14:paraId="3911B1BA"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16.3.3</w:t>
            </w:r>
          </w:p>
        </w:tc>
        <w:tc>
          <w:tcPr>
            <w:tcW w:w="4615" w:type="dxa"/>
            <w:noWrap/>
            <w:tcMar>
              <w:top w:w="18" w:type="dxa"/>
              <w:left w:w="18" w:type="dxa"/>
              <w:bottom w:w="0" w:type="dxa"/>
              <w:right w:w="18" w:type="dxa"/>
            </w:tcMar>
            <w:vAlign w:val="bottom"/>
          </w:tcPr>
          <w:p w14:paraId="76DC04E8"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Extraordinary Reserves</w:t>
            </w:r>
          </w:p>
        </w:tc>
        <w:tc>
          <w:tcPr>
            <w:tcW w:w="640" w:type="dxa"/>
            <w:noWrap/>
            <w:tcMar>
              <w:top w:w="18" w:type="dxa"/>
              <w:left w:w="18" w:type="dxa"/>
              <w:bottom w:w="0" w:type="dxa"/>
              <w:right w:w="18" w:type="dxa"/>
            </w:tcMar>
            <w:vAlign w:val="bottom"/>
          </w:tcPr>
          <w:p w14:paraId="71B53E66" w14:textId="0E2173A4"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5127D4A7" w14:textId="53CF81BD" w:rsidR="00224102" w:rsidRPr="00850582" w:rsidRDefault="00224102" w:rsidP="00224102">
            <w:pPr>
              <w:jc w:val="right"/>
              <w:rPr>
                <w:sz w:val="14"/>
                <w:szCs w:val="14"/>
              </w:rPr>
            </w:pPr>
            <w:r w:rsidRPr="00850582">
              <w:rPr>
                <w:sz w:val="14"/>
                <w:szCs w:val="14"/>
              </w:rPr>
              <w:t>333,171</w:t>
            </w:r>
          </w:p>
        </w:tc>
        <w:tc>
          <w:tcPr>
            <w:tcW w:w="759" w:type="dxa"/>
            <w:noWrap/>
            <w:tcMar>
              <w:top w:w="18" w:type="dxa"/>
              <w:left w:w="18" w:type="dxa"/>
              <w:bottom w:w="0" w:type="dxa"/>
              <w:right w:w="18" w:type="dxa"/>
            </w:tcMar>
            <w:vAlign w:val="bottom"/>
          </w:tcPr>
          <w:p w14:paraId="0015DF6B" w14:textId="58191EE4"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6228A9B1" w14:textId="0FCB271F" w:rsidR="00224102" w:rsidRPr="00850582" w:rsidRDefault="00224102" w:rsidP="00224102">
            <w:pPr>
              <w:jc w:val="right"/>
              <w:rPr>
                <w:sz w:val="14"/>
                <w:szCs w:val="14"/>
              </w:rPr>
            </w:pPr>
            <w:r w:rsidRPr="00850582">
              <w:rPr>
                <w:sz w:val="14"/>
                <w:szCs w:val="14"/>
              </w:rPr>
              <w:t>333,171</w:t>
            </w:r>
          </w:p>
        </w:tc>
        <w:tc>
          <w:tcPr>
            <w:tcW w:w="733" w:type="dxa"/>
            <w:noWrap/>
            <w:tcMar>
              <w:top w:w="18" w:type="dxa"/>
              <w:left w:w="18" w:type="dxa"/>
              <w:bottom w:w="0" w:type="dxa"/>
              <w:right w:w="18" w:type="dxa"/>
            </w:tcMar>
            <w:vAlign w:val="bottom"/>
          </w:tcPr>
          <w:p w14:paraId="4D02D061" w14:textId="01791CD1" w:rsidR="00224102" w:rsidRPr="00692926" w:rsidRDefault="00224102" w:rsidP="00224102">
            <w:pPr>
              <w:jc w:val="right"/>
              <w:rPr>
                <w:sz w:val="14"/>
                <w:szCs w:val="14"/>
              </w:rPr>
            </w:pPr>
            <w:r w:rsidRPr="00692926">
              <w:rPr>
                <w:sz w:val="14"/>
                <w:szCs w:val="14"/>
              </w:rPr>
              <w:t>212,010</w:t>
            </w:r>
          </w:p>
        </w:tc>
        <w:tc>
          <w:tcPr>
            <w:tcW w:w="707" w:type="dxa"/>
            <w:noWrap/>
            <w:tcMar>
              <w:top w:w="18" w:type="dxa"/>
              <w:left w:w="18" w:type="dxa"/>
              <w:bottom w:w="0" w:type="dxa"/>
              <w:right w:w="18" w:type="dxa"/>
            </w:tcMar>
            <w:vAlign w:val="bottom"/>
          </w:tcPr>
          <w:p w14:paraId="000101FE" w14:textId="768A25E2"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41B61E34" w14:textId="1B2A4191" w:rsidR="00224102" w:rsidRPr="00692926" w:rsidRDefault="00224102" w:rsidP="00224102">
            <w:pPr>
              <w:jc w:val="right"/>
              <w:rPr>
                <w:sz w:val="14"/>
                <w:szCs w:val="14"/>
              </w:rPr>
            </w:pPr>
            <w:r w:rsidRPr="00692926">
              <w:rPr>
                <w:sz w:val="14"/>
                <w:szCs w:val="14"/>
              </w:rPr>
              <w:t>212,010</w:t>
            </w:r>
          </w:p>
        </w:tc>
      </w:tr>
      <w:tr w:rsidR="00224102" w:rsidRPr="00604C75" w14:paraId="79FA65CF" w14:textId="77777777" w:rsidTr="00C26D33">
        <w:trPr>
          <w:trHeight w:val="72"/>
        </w:trPr>
        <w:tc>
          <w:tcPr>
            <w:tcW w:w="537" w:type="dxa"/>
            <w:noWrap/>
            <w:tcMar>
              <w:top w:w="18" w:type="dxa"/>
              <w:left w:w="18" w:type="dxa"/>
              <w:bottom w:w="0" w:type="dxa"/>
              <w:right w:w="18" w:type="dxa"/>
            </w:tcMar>
            <w:vAlign w:val="bottom"/>
          </w:tcPr>
          <w:p w14:paraId="6DE80133" w14:textId="77777777" w:rsidR="00224102" w:rsidRPr="00604C75" w:rsidRDefault="00224102" w:rsidP="00224102">
            <w:pPr>
              <w:spacing w:line="226" w:lineRule="auto"/>
              <w:rPr>
                <w:noProof/>
                <w:sz w:val="14"/>
                <w:szCs w:val="14"/>
                <w:lang w:val="tr-TR"/>
              </w:rPr>
            </w:pPr>
            <w:r w:rsidRPr="00604C75">
              <w:rPr>
                <w:rFonts w:eastAsia="Arial Unicode MS"/>
                <w:noProof/>
                <w:sz w:val="14"/>
                <w:szCs w:val="14"/>
                <w:lang w:val="tr-TR"/>
              </w:rPr>
              <w:t>16.3.4</w:t>
            </w:r>
          </w:p>
        </w:tc>
        <w:tc>
          <w:tcPr>
            <w:tcW w:w="4615" w:type="dxa"/>
            <w:noWrap/>
            <w:tcMar>
              <w:top w:w="18" w:type="dxa"/>
              <w:left w:w="18" w:type="dxa"/>
              <w:bottom w:w="0" w:type="dxa"/>
              <w:right w:w="18" w:type="dxa"/>
            </w:tcMar>
            <w:vAlign w:val="bottom"/>
          </w:tcPr>
          <w:p w14:paraId="78830088" w14:textId="77777777" w:rsidR="00224102" w:rsidRPr="00604C75" w:rsidRDefault="00224102" w:rsidP="00224102">
            <w:pPr>
              <w:spacing w:line="226" w:lineRule="auto"/>
              <w:rPr>
                <w:noProof/>
                <w:sz w:val="14"/>
                <w:szCs w:val="14"/>
                <w:lang w:val="tr-TR"/>
              </w:rPr>
            </w:pPr>
            <w:r w:rsidRPr="00604C75">
              <w:rPr>
                <w:noProof/>
                <w:sz w:val="14"/>
                <w:szCs w:val="14"/>
                <w:lang w:val="tr-TR"/>
              </w:rPr>
              <w:t>Other Profit Reserves</w:t>
            </w:r>
          </w:p>
        </w:tc>
        <w:tc>
          <w:tcPr>
            <w:tcW w:w="640" w:type="dxa"/>
            <w:noWrap/>
            <w:tcMar>
              <w:top w:w="18" w:type="dxa"/>
              <w:left w:w="18" w:type="dxa"/>
              <w:bottom w:w="0" w:type="dxa"/>
              <w:right w:w="18" w:type="dxa"/>
            </w:tcMar>
            <w:vAlign w:val="bottom"/>
          </w:tcPr>
          <w:p w14:paraId="54B84DAD" w14:textId="155F9701"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3D88D1D2" w14:textId="19D5F48A" w:rsidR="00224102" w:rsidRPr="00850582" w:rsidRDefault="00224102" w:rsidP="00224102">
            <w:pPr>
              <w:jc w:val="right"/>
              <w:rPr>
                <w:sz w:val="14"/>
                <w:szCs w:val="14"/>
              </w:rPr>
            </w:pPr>
            <w:r w:rsidRPr="00850582">
              <w:rPr>
                <w:sz w:val="14"/>
                <w:szCs w:val="14"/>
              </w:rPr>
              <w:t>-</w:t>
            </w:r>
          </w:p>
        </w:tc>
        <w:tc>
          <w:tcPr>
            <w:tcW w:w="759" w:type="dxa"/>
            <w:noWrap/>
            <w:tcMar>
              <w:top w:w="18" w:type="dxa"/>
              <w:left w:w="18" w:type="dxa"/>
              <w:bottom w:w="0" w:type="dxa"/>
              <w:right w:w="18" w:type="dxa"/>
            </w:tcMar>
            <w:vAlign w:val="bottom"/>
          </w:tcPr>
          <w:p w14:paraId="44E63550" w14:textId="35801B32"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4E98179A" w14:textId="3249F46C" w:rsidR="00224102" w:rsidRPr="00850582" w:rsidRDefault="00224102" w:rsidP="00224102">
            <w:pPr>
              <w:jc w:val="right"/>
              <w:rPr>
                <w:sz w:val="14"/>
                <w:szCs w:val="14"/>
              </w:rPr>
            </w:pPr>
            <w:r w:rsidRPr="00850582">
              <w:rPr>
                <w:sz w:val="14"/>
                <w:szCs w:val="14"/>
              </w:rPr>
              <w:t>-</w:t>
            </w:r>
          </w:p>
        </w:tc>
        <w:tc>
          <w:tcPr>
            <w:tcW w:w="733" w:type="dxa"/>
            <w:noWrap/>
            <w:tcMar>
              <w:top w:w="18" w:type="dxa"/>
              <w:left w:w="18" w:type="dxa"/>
              <w:bottom w:w="0" w:type="dxa"/>
              <w:right w:w="18" w:type="dxa"/>
            </w:tcMar>
            <w:vAlign w:val="bottom"/>
          </w:tcPr>
          <w:p w14:paraId="3BCE4B1C" w14:textId="64492D88" w:rsidR="00224102" w:rsidRPr="00692926" w:rsidRDefault="00224102" w:rsidP="00224102">
            <w:pPr>
              <w:jc w:val="right"/>
              <w:rPr>
                <w:sz w:val="14"/>
                <w:szCs w:val="14"/>
              </w:rPr>
            </w:pPr>
            <w:r w:rsidRPr="00692926">
              <w:rPr>
                <w:sz w:val="14"/>
                <w:szCs w:val="14"/>
              </w:rPr>
              <w:t>-</w:t>
            </w:r>
          </w:p>
        </w:tc>
        <w:tc>
          <w:tcPr>
            <w:tcW w:w="707" w:type="dxa"/>
            <w:noWrap/>
            <w:tcMar>
              <w:top w:w="18" w:type="dxa"/>
              <w:left w:w="18" w:type="dxa"/>
              <w:bottom w:w="0" w:type="dxa"/>
              <w:right w:w="18" w:type="dxa"/>
            </w:tcMar>
            <w:vAlign w:val="bottom"/>
          </w:tcPr>
          <w:p w14:paraId="742434AE" w14:textId="3D16555C"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2C05EA4D" w14:textId="448803CC" w:rsidR="00224102" w:rsidRPr="00692926" w:rsidRDefault="00224102" w:rsidP="00224102">
            <w:pPr>
              <w:jc w:val="right"/>
              <w:rPr>
                <w:sz w:val="14"/>
                <w:szCs w:val="14"/>
              </w:rPr>
            </w:pPr>
            <w:r w:rsidRPr="00692926">
              <w:rPr>
                <w:sz w:val="14"/>
                <w:szCs w:val="14"/>
              </w:rPr>
              <w:t>-</w:t>
            </w:r>
          </w:p>
        </w:tc>
      </w:tr>
      <w:tr w:rsidR="00224102" w:rsidRPr="00604C75" w14:paraId="56E4C693" w14:textId="77777777" w:rsidTr="00C26D33">
        <w:trPr>
          <w:trHeight w:val="72"/>
        </w:trPr>
        <w:tc>
          <w:tcPr>
            <w:tcW w:w="537" w:type="dxa"/>
            <w:noWrap/>
            <w:tcMar>
              <w:top w:w="18" w:type="dxa"/>
              <w:left w:w="18" w:type="dxa"/>
              <w:bottom w:w="0" w:type="dxa"/>
              <w:right w:w="18" w:type="dxa"/>
            </w:tcMar>
            <w:vAlign w:val="bottom"/>
          </w:tcPr>
          <w:p w14:paraId="1620AE3D"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16.4</w:t>
            </w:r>
          </w:p>
        </w:tc>
        <w:tc>
          <w:tcPr>
            <w:tcW w:w="4615" w:type="dxa"/>
            <w:noWrap/>
            <w:tcMar>
              <w:top w:w="18" w:type="dxa"/>
              <w:left w:w="18" w:type="dxa"/>
              <w:bottom w:w="0" w:type="dxa"/>
              <w:right w:w="18" w:type="dxa"/>
            </w:tcMar>
            <w:vAlign w:val="bottom"/>
          </w:tcPr>
          <w:p w14:paraId="7EC90D55"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Profit or (Loss)</w:t>
            </w:r>
          </w:p>
        </w:tc>
        <w:tc>
          <w:tcPr>
            <w:tcW w:w="640" w:type="dxa"/>
            <w:noWrap/>
            <w:tcMar>
              <w:top w:w="18" w:type="dxa"/>
              <w:left w:w="18" w:type="dxa"/>
              <w:bottom w:w="0" w:type="dxa"/>
              <w:right w:w="18" w:type="dxa"/>
            </w:tcMar>
            <w:vAlign w:val="bottom"/>
          </w:tcPr>
          <w:p w14:paraId="02117868" w14:textId="5D428EFF"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7344F170" w14:textId="644A39E2" w:rsidR="00224102" w:rsidRPr="004F7E74" w:rsidRDefault="00224102" w:rsidP="00224102">
            <w:pPr>
              <w:jc w:val="right"/>
              <w:rPr>
                <w:bCs/>
                <w:sz w:val="14"/>
                <w:szCs w:val="14"/>
              </w:rPr>
            </w:pPr>
            <w:r w:rsidRPr="004F7E74">
              <w:rPr>
                <w:bCs/>
                <w:sz w:val="14"/>
                <w:szCs w:val="14"/>
              </w:rPr>
              <w:t>65,869</w:t>
            </w:r>
          </w:p>
        </w:tc>
        <w:tc>
          <w:tcPr>
            <w:tcW w:w="759" w:type="dxa"/>
            <w:noWrap/>
            <w:tcMar>
              <w:top w:w="18" w:type="dxa"/>
              <w:left w:w="18" w:type="dxa"/>
              <w:bottom w:w="0" w:type="dxa"/>
              <w:right w:w="18" w:type="dxa"/>
            </w:tcMar>
            <w:vAlign w:val="bottom"/>
          </w:tcPr>
          <w:p w14:paraId="36EF56B8" w14:textId="7F949E58" w:rsidR="00224102" w:rsidRPr="004F7E74" w:rsidRDefault="00224102" w:rsidP="00224102">
            <w:pPr>
              <w:jc w:val="right"/>
              <w:rPr>
                <w:bCs/>
                <w:sz w:val="14"/>
                <w:szCs w:val="14"/>
              </w:rPr>
            </w:pPr>
            <w:r w:rsidRPr="004F7E74">
              <w:rPr>
                <w:bCs/>
                <w:sz w:val="14"/>
                <w:szCs w:val="14"/>
              </w:rPr>
              <w:t>-</w:t>
            </w:r>
          </w:p>
        </w:tc>
        <w:tc>
          <w:tcPr>
            <w:tcW w:w="720" w:type="dxa"/>
            <w:noWrap/>
            <w:tcMar>
              <w:top w:w="18" w:type="dxa"/>
              <w:left w:w="18" w:type="dxa"/>
              <w:bottom w:w="0" w:type="dxa"/>
              <w:right w:w="18" w:type="dxa"/>
            </w:tcMar>
            <w:vAlign w:val="bottom"/>
          </w:tcPr>
          <w:p w14:paraId="16DE9328" w14:textId="1B665AAB" w:rsidR="00224102" w:rsidRPr="004F7E74" w:rsidRDefault="00224102" w:rsidP="00224102">
            <w:pPr>
              <w:jc w:val="right"/>
              <w:rPr>
                <w:bCs/>
                <w:sz w:val="14"/>
                <w:szCs w:val="14"/>
              </w:rPr>
            </w:pPr>
            <w:r w:rsidRPr="004F7E74">
              <w:rPr>
                <w:bCs/>
                <w:sz w:val="14"/>
                <w:szCs w:val="14"/>
              </w:rPr>
              <w:t>65,869</w:t>
            </w:r>
          </w:p>
        </w:tc>
        <w:tc>
          <w:tcPr>
            <w:tcW w:w="733" w:type="dxa"/>
            <w:noWrap/>
            <w:tcMar>
              <w:top w:w="18" w:type="dxa"/>
              <w:left w:w="18" w:type="dxa"/>
              <w:bottom w:w="0" w:type="dxa"/>
              <w:right w:w="18" w:type="dxa"/>
            </w:tcMar>
            <w:vAlign w:val="bottom"/>
          </w:tcPr>
          <w:p w14:paraId="73C035DA" w14:textId="66AB7CA7" w:rsidR="00224102" w:rsidRPr="00692926" w:rsidRDefault="00224102" w:rsidP="00224102">
            <w:pPr>
              <w:jc w:val="right"/>
              <w:rPr>
                <w:sz w:val="14"/>
                <w:szCs w:val="14"/>
              </w:rPr>
            </w:pPr>
            <w:r w:rsidRPr="00692926">
              <w:rPr>
                <w:sz w:val="14"/>
                <w:szCs w:val="14"/>
              </w:rPr>
              <w:t>120,955</w:t>
            </w:r>
          </w:p>
        </w:tc>
        <w:tc>
          <w:tcPr>
            <w:tcW w:w="707" w:type="dxa"/>
            <w:noWrap/>
            <w:tcMar>
              <w:top w:w="18" w:type="dxa"/>
              <w:left w:w="18" w:type="dxa"/>
              <w:bottom w:w="0" w:type="dxa"/>
              <w:right w:w="18" w:type="dxa"/>
            </w:tcMar>
            <w:vAlign w:val="bottom"/>
          </w:tcPr>
          <w:p w14:paraId="2FDEE19C" w14:textId="530DE07E"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1481E96D" w14:textId="3FBAC752" w:rsidR="00224102" w:rsidRPr="00692926" w:rsidRDefault="00224102" w:rsidP="00224102">
            <w:pPr>
              <w:jc w:val="right"/>
              <w:rPr>
                <w:sz w:val="14"/>
                <w:szCs w:val="14"/>
              </w:rPr>
            </w:pPr>
            <w:r w:rsidRPr="00692926">
              <w:rPr>
                <w:sz w:val="14"/>
                <w:szCs w:val="14"/>
              </w:rPr>
              <w:t>120,955</w:t>
            </w:r>
          </w:p>
        </w:tc>
      </w:tr>
      <w:tr w:rsidR="00224102" w:rsidRPr="00604C75" w14:paraId="0F9E2AF2" w14:textId="77777777" w:rsidTr="00C26D33">
        <w:trPr>
          <w:trHeight w:val="72"/>
        </w:trPr>
        <w:tc>
          <w:tcPr>
            <w:tcW w:w="537" w:type="dxa"/>
            <w:noWrap/>
            <w:tcMar>
              <w:top w:w="18" w:type="dxa"/>
              <w:left w:w="18" w:type="dxa"/>
              <w:bottom w:w="0" w:type="dxa"/>
              <w:right w:w="18" w:type="dxa"/>
            </w:tcMar>
            <w:vAlign w:val="bottom"/>
          </w:tcPr>
          <w:p w14:paraId="21A2D649" w14:textId="77777777" w:rsidR="00224102" w:rsidRPr="00604C75" w:rsidRDefault="00224102" w:rsidP="00224102">
            <w:pPr>
              <w:spacing w:line="226" w:lineRule="auto"/>
              <w:rPr>
                <w:rFonts w:eastAsia="Arial Unicode MS"/>
                <w:noProof/>
                <w:sz w:val="14"/>
                <w:szCs w:val="14"/>
                <w:lang w:val="tr-TR"/>
              </w:rPr>
            </w:pPr>
            <w:r w:rsidRPr="00604C75">
              <w:rPr>
                <w:noProof/>
                <w:sz w:val="14"/>
                <w:szCs w:val="14"/>
                <w:lang w:val="tr-TR"/>
              </w:rPr>
              <w:t>16.4.1</w:t>
            </w:r>
          </w:p>
        </w:tc>
        <w:tc>
          <w:tcPr>
            <w:tcW w:w="4615" w:type="dxa"/>
            <w:noWrap/>
            <w:tcMar>
              <w:top w:w="18" w:type="dxa"/>
              <w:left w:w="18" w:type="dxa"/>
              <w:bottom w:w="0" w:type="dxa"/>
              <w:right w:w="18" w:type="dxa"/>
            </w:tcMar>
            <w:vAlign w:val="bottom"/>
          </w:tcPr>
          <w:p w14:paraId="7F038309" w14:textId="77777777" w:rsidR="00224102" w:rsidRPr="00604C75" w:rsidRDefault="00224102" w:rsidP="00224102">
            <w:pPr>
              <w:spacing w:line="226" w:lineRule="auto"/>
              <w:rPr>
                <w:rFonts w:eastAsia="Arial Unicode MS"/>
                <w:noProof/>
                <w:sz w:val="14"/>
                <w:szCs w:val="14"/>
                <w:lang w:val="tr-TR"/>
              </w:rPr>
            </w:pPr>
            <w:r w:rsidRPr="00604C75">
              <w:rPr>
                <w:rFonts w:eastAsia="Arial Unicode MS"/>
                <w:noProof/>
                <w:sz w:val="14"/>
                <w:szCs w:val="14"/>
                <w:lang w:val="tr-TR"/>
              </w:rPr>
              <w:t>Prior Years’ Profit or (Loss)</w:t>
            </w:r>
          </w:p>
        </w:tc>
        <w:tc>
          <w:tcPr>
            <w:tcW w:w="640" w:type="dxa"/>
            <w:noWrap/>
            <w:tcMar>
              <w:top w:w="18" w:type="dxa"/>
              <w:left w:w="18" w:type="dxa"/>
              <w:bottom w:w="0" w:type="dxa"/>
              <w:right w:w="18" w:type="dxa"/>
            </w:tcMar>
            <w:vAlign w:val="bottom"/>
          </w:tcPr>
          <w:p w14:paraId="44C6EC47" w14:textId="61904C0E"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1E632AF3" w14:textId="141E5E47" w:rsidR="00224102" w:rsidRPr="00850582" w:rsidRDefault="00224102" w:rsidP="00224102">
            <w:pPr>
              <w:jc w:val="right"/>
              <w:rPr>
                <w:sz w:val="14"/>
                <w:szCs w:val="14"/>
              </w:rPr>
            </w:pPr>
            <w:r w:rsidRPr="00850582">
              <w:rPr>
                <w:sz w:val="14"/>
                <w:szCs w:val="14"/>
              </w:rPr>
              <w:t>(4,007)</w:t>
            </w:r>
          </w:p>
        </w:tc>
        <w:tc>
          <w:tcPr>
            <w:tcW w:w="759" w:type="dxa"/>
            <w:noWrap/>
            <w:tcMar>
              <w:top w:w="18" w:type="dxa"/>
              <w:left w:w="18" w:type="dxa"/>
              <w:bottom w:w="0" w:type="dxa"/>
              <w:right w:w="18" w:type="dxa"/>
            </w:tcMar>
            <w:vAlign w:val="bottom"/>
          </w:tcPr>
          <w:p w14:paraId="5D7366DF" w14:textId="44CA79F1"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2F3E5480" w14:textId="072AFB01" w:rsidR="00224102" w:rsidRPr="00850582" w:rsidRDefault="00224102" w:rsidP="00224102">
            <w:pPr>
              <w:jc w:val="right"/>
              <w:rPr>
                <w:sz w:val="14"/>
                <w:szCs w:val="14"/>
              </w:rPr>
            </w:pPr>
            <w:r w:rsidRPr="00850582">
              <w:rPr>
                <w:sz w:val="14"/>
                <w:szCs w:val="14"/>
              </w:rPr>
              <w:t>(4,007)</w:t>
            </w:r>
          </w:p>
        </w:tc>
        <w:tc>
          <w:tcPr>
            <w:tcW w:w="733" w:type="dxa"/>
            <w:noWrap/>
            <w:tcMar>
              <w:top w:w="18" w:type="dxa"/>
              <w:left w:w="18" w:type="dxa"/>
              <w:bottom w:w="0" w:type="dxa"/>
              <w:right w:w="18" w:type="dxa"/>
            </w:tcMar>
            <w:vAlign w:val="bottom"/>
          </w:tcPr>
          <w:p w14:paraId="053C8407" w14:textId="75645112" w:rsidR="00224102" w:rsidRPr="00692926" w:rsidRDefault="00224102" w:rsidP="00224102">
            <w:pPr>
              <w:jc w:val="right"/>
              <w:rPr>
                <w:sz w:val="14"/>
                <w:szCs w:val="14"/>
              </w:rPr>
            </w:pPr>
            <w:r w:rsidRPr="00692926">
              <w:rPr>
                <w:sz w:val="14"/>
                <w:szCs w:val="14"/>
              </w:rPr>
              <w:t>(15,636)</w:t>
            </w:r>
          </w:p>
        </w:tc>
        <w:tc>
          <w:tcPr>
            <w:tcW w:w="707" w:type="dxa"/>
            <w:noWrap/>
            <w:tcMar>
              <w:top w:w="18" w:type="dxa"/>
              <w:left w:w="18" w:type="dxa"/>
              <w:bottom w:w="0" w:type="dxa"/>
              <w:right w:w="18" w:type="dxa"/>
            </w:tcMar>
            <w:vAlign w:val="bottom"/>
          </w:tcPr>
          <w:p w14:paraId="7DA1A5A1" w14:textId="6EC28ECD"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3D5C0E52" w14:textId="031B32BC" w:rsidR="00224102" w:rsidRPr="00692926" w:rsidRDefault="00224102" w:rsidP="00224102">
            <w:pPr>
              <w:jc w:val="right"/>
              <w:rPr>
                <w:sz w:val="14"/>
                <w:szCs w:val="14"/>
              </w:rPr>
            </w:pPr>
            <w:r w:rsidRPr="00692926">
              <w:rPr>
                <w:sz w:val="14"/>
                <w:szCs w:val="14"/>
              </w:rPr>
              <w:t>(15,636)</w:t>
            </w:r>
          </w:p>
        </w:tc>
      </w:tr>
      <w:tr w:rsidR="00224102" w:rsidRPr="00604C75" w14:paraId="40849BAB" w14:textId="77777777" w:rsidTr="00C26D33">
        <w:trPr>
          <w:trHeight w:val="62"/>
        </w:trPr>
        <w:tc>
          <w:tcPr>
            <w:tcW w:w="537" w:type="dxa"/>
            <w:noWrap/>
            <w:tcMar>
              <w:top w:w="18" w:type="dxa"/>
              <w:left w:w="18" w:type="dxa"/>
              <w:bottom w:w="0" w:type="dxa"/>
              <w:right w:w="18" w:type="dxa"/>
            </w:tcMar>
            <w:vAlign w:val="bottom"/>
          </w:tcPr>
          <w:p w14:paraId="41E24082" w14:textId="77777777" w:rsidR="00224102" w:rsidRPr="00604C75" w:rsidRDefault="00224102" w:rsidP="00224102">
            <w:pPr>
              <w:spacing w:line="226" w:lineRule="auto"/>
              <w:rPr>
                <w:noProof/>
                <w:sz w:val="14"/>
                <w:szCs w:val="14"/>
                <w:lang w:val="tr-TR"/>
              </w:rPr>
            </w:pPr>
            <w:r w:rsidRPr="00604C75">
              <w:rPr>
                <w:noProof/>
                <w:sz w:val="14"/>
                <w:szCs w:val="14"/>
                <w:lang w:val="tr-TR"/>
              </w:rPr>
              <w:t>16.4.2</w:t>
            </w:r>
          </w:p>
        </w:tc>
        <w:tc>
          <w:tcPr>
            <w:tcW w:w="4615" w:type="dxa"/>
            <w:noWrap/>
            <w:tcMar>
              <w:top w:w="18" w:type="dxa"/>
              <w:left w:w="18" w:type="dxa"/>
              <w:bottom w:w="0" w:type="dxa"/>
              <w:right w:w="18" w:type="dxa"/>
            </w:tcMar>
            <w:vAlign w:val="bottom"/>
          </w:tcPr>
          <w:p w14:paraId="1FD196B7" w14:textId="77777777" w:rsidR="00224102" w:rsidRPr="00604C75" w:rsidRDefault="00224102" w:rsidP="00224102">
            <w:pPr>
              <w:spacing w:line="226" w:lineRule="auto"/>
              <w:rPr>
                <w:noProof/>
                <w:sz w:val="14"/>
                <w:szCs w:val="14"/>
                <w:lang w:val="tr-TR"/>
              </w:rPr>
            </w:pPr>
            <w:r w:rsidRPr="00604C75">
              <w:rPr>
                <w:noProof/>
                <w:sz w:val="14"/>
                <w:szCs w:val="14"/>
                <w:lang w:val="tr-TR"/>
              </w:rPr>
              <w:t>Current Year Profit or (Loss)</w:t>
            </w:r>
          </w:p>
        </w:tc>
        <w:tc>
          <w:tcPr>
            <w:tcW w:w="640" w:type="dxa"/>
            <w:noWrap/>
            <w:tcMar>
              <w:top w:w="18" w:type="dxa"/>
              <w:left w:w="18" w:type="dxa"/>
              <w:bottom w:w="0" w:type="dxa"/>
              <w:right w:w="18" w:type="dxa"/>
            </w:tcMar>
            <w:vAlign w:val="bottom"/>
          </w:tcPr>
          <w:p w14:paraId="468FBC01" w14:textId="027577C9" w:rsidR="00224102" w:rsidRPr="00604C75" w:rsidRDefault="00224102" w:rsidP="00224102">
            <w:pPr>
              <w:spacing w:line="226" w:lineRule="auto"/>
              <w:jc w:val="center"/>
              <w:rPr>
                <w:rFonts w:eastAsia="Arial Unicode MS"/>
                <w:sz w:val="14"/>
                <w:szCs w:val="14"/>
              </w:rPr>
            </w:pPr>
            <w:r w:rsidRPr="00692926">
              <w:rPr>
                <w:rFonts w:eastAsia="Arial Unicode MS"/>
                <w:sz w:val="14"/>
                <w:szCs w:val="14"/>
              </w:rPr>
              <w:t> </w:t>
            </w:r>
          </w:p>
        </w:tc>
        <w:tc>
          <w:tcPr>
            <w:tcW w:w="779" w:type="dxa"/>
            <w:noWrap/>
            <w:tcMar>
              <w:top w:w="18" w:type="dxa"/>
              <w:left w:w="18" w:type="dxa"/>
              <w:bottom w:w="0" w:type="dxa"/>
              <w:right w:w="18" w:type="dxa"/>
            </w:tcMar>
            <w:vAlign w:val="bottom"/>
          </w:tcPr>
          <w:p w14:paraId="132C3DD2" w14:textId="5AE373CE" w:rsidR="00224102" w:rsidRPr="00850582" w:rsidRDefault="00224102" w:rsidP="00224102">
            <w:pPr>
              <w:jc w:val="right"/>
              <w:rPr>
                <w:sz w:val="14"/>
                <w:szCs w:val="14"/>
              </w:rPr>
            </w:pPr>
            <w:r w:rsidRPr="00850582">
              <w:rPr>
                <w:sz w:val="14"/>
                <w:szCs w:val="14"/>
              </w:rPr>
              <w:t>69,876</w:t>
            </w:r>
          </w:p>
        </w:tc>
        <w:tc>
          <w:tcPr>
            <w:tcW w:w="759" w:type="dxa"/>
            <w:noWrap/>
            <w:tcMar>
              <w:top w:w="18" w:type="dxa"/>
              <w:left w:w="18" w:type="dxa"/>
              <w:bottom w:w="0" w:type="dxa"/>
              <w:right w:w="18" w:type="dxa"/>
            </w:tcMar>
            <w:vAlign w:val="bottom"/>
          </w:tcPr>
          <w:p w14:paraId="234C5165" w14:textId="0C1CE9CD" w:rsidR="00224102" w:rsidRPr="00850582" w:rsidRDefault="00224102" w:rsidP="00224102">
            <w:pPr>
              <w:jc w:val="right"/>
              <w:rPr>
                <w:sz w:val="14"/>
                <w:szCs w:val="14"/>
              </w:rPr>
            </w:pPr>
            <w:r w:rsidRPr="00850582">
              <w:rPr>
                <w:sz w:val="14"/>
                <w:szCs w:val="14"/>
              </w:rPr>
              <w:t>-</w:t>
            </w:r>
          </w:p>
        </w:tc>
        <w:tc>
          <w:tcPr>
            <w:tcW w:w="720" w:type="dxa"/>
            <w:noWrap/>
            <w:tcMar>
              <w:top w:w="18" w:type="dxa"/>
              <w:left w:w="18" w:type="dxa"/>
              <w:bottom w:w="0" w:type="dxa"/>
              <w:right w:w="18" w:type="dxa"/>
            </w:tcMar>
            <w:vAlign w:val="bottom"/>
          </w:tcPr>
          <w:p w14:paraId="41DB5AB2" w14:textId="1CC7D501" w:rsidR="00224102" w:rsidRPr="00850582" w:rsidRDefault="00224102" w:rsidP="00224102">
            <w:pPr>
              <w:jc w:val="right"/>
              <w:rPr>
                <w:sz w:val="14"/>
                <w:szCs w:val="14"/>
              </w:rPr>
            </w:pPr>
            <w:r w:rsidRPr="00850582">
              <w:rPr>
                <w:sz w:val="14"/>
                <w:szCs w:val="14"/>
              </w:rPr>
              <w:t>69,876</w:t>
            </w:r>
          </w:p>
        </w:tc>
        <w:tc>
          <w:tcPr>
            <w:tcW w:w="733" w:type="dxa"/>
            <w:noWrap/>
            <w:tcMar>
              <w:top w:w="18" w:type="dxa"/>
              <w:left w:w="18" w:type="dxa"/>
              <w:bottom w:w="0" w:type="dxa"/>
              <w:right w:w="18" w:type="dxa"/>
            </w:tcMar>
            <w:vAlign w:val="bottom"/>
          </w:tcPr>
          <w:p w14:paraId="173331B0" w14:textId="66207A27" w:rsidR="00224102" w:rsidRPr="00692926" w:rsidRDefault="00224102" w:rsidP="00224102">
            <w:pPr>
              <w:jc w:val="right"/>
              <w:rPr>
                <w:sz w:val="14"/>
                <w:szCs w:val="14"/>
              </w:rPr>
            </w:pPr>
            <w:r w:rsidRPr="00692926">
              <w:rPr>
                <w:sz w:val="14"/>
                <w:szCs w:val="14"/>
              </w:rPr>
              <w:t>136,591</w:t>
            </w:r>
          </w:p>
        </w:tc>
        <w:tc>
          <w:tcPr>
            <w:tcW w:w="707" w:type="dxa"/>
            <w:noWrap/>
            <w:tcMar>
              <w:top w:w="18" w:type="dxa"/>
              <w:left w:w="18" w:type="dxa"/>
              <w:bottom w:w="0" w:type="dxa"/>
              <w:right w:w="18" w:type="dxa"/>
            </w:tcMar>
            <w:vAlign w:val="bottom"/>
          </w:tcPr>
          <w:p w14:paraId="2205EA4E" w14:textId="672BCE84"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57FA831C" w14:textId="5CCD45B9" w:rsidR="00224102" w:rsidRPr="00692926" w:rsidRDefault="00224102" w:rsidP="00224102">
            <w:pPr>
              <w:jc w:val="right"/>
              <w:rPr>
                <w:sz w:val="14"/>
                <w:szCs w:val="14"/>
              </w:rPr>
            </w:pPr>
            <w:r w:rsidRPr="00692926">
              <w:rPr>
                <w:sz w:val="14"/>
                <w:szCs w:val="14"/>
              </w:rPr>
              <w:t>136,591</w:t>
            </w:r>
          </w:p>
        </w:tc>
      </w:tr>
      <w:tr w:rsidR="00224102" w:rsidRPr="00604C75" w14:paraId="6F4C305E" w14:textId="77777777" w:rsidTr="00C26D33">
        <w:trPr>
          <w:trHeight w:val="62"/>
        </w:trPr>
        <w:tc>
          <w:tcPr>
            <w:tcW w:w="537" w:type="dxa"/>
            <w:noWrap/>
            <w:tcMar>
              <w:top w:w="18" w:type="dxa"/>
              <w:left w:w="18" w:type="dxa"/>
              <w:bottom w:w="0" w:type="dxa"/>
              <w:right w:w="18" w:type="dxa"/>
            </w:tcMar>
            <w:vAlign w:val="bottom"/>
          </w:tcPr>
          <w:p w14:paraId="3A54C870" w14:textId="77777777" w:rsidR="00224102" w:rsidRPr="00604C75" w:rsidRDefault="00224102" w:rsidP="00224102">
            <w:pPr>
              <w:spacing w:line="226" w:lineRule="auto"/>
              <w:rPr>
                <w:noProof/>
                <w:sz w:val="14"/>
                <w:szCs w:val="14"/>
                <w:lang w:val="tr-TR"/>
              </w:rPr>
            </w:pPr>
            <w:r w:rsidRPr="00604C75">
              <w:rPr>
                <w:noProof/>
                <w:sz w:val="14"/>
                <w:szCs w:val="14"/>
                <w:lang w:val="tr-TR"/>
              </w:rPr>
              <w:t>16.5</w:t>
            </w:r>
          </w:p>
        </w:tc>
        <w:tc>
          <w:tcPr>
            <w:tcW w:w="4615" w:type="dxa"/>
            <w:noWrap/>
            <w:tcMar>
              <w:top w:w="18" w:type="dxa"/>
              <w:left w:w="18" w:type="dxa"/>
              <w:bottom w:w="0" w:type="dxa"/>
              <w:right w:w="18" w:type="dxa"/>
            </w:tcMar>
            <w:vAlign w:val="bottom"/>
          </w:tcPr>
          <w:p w14:paraId="619A37F1" w14:textId="77777777" w:rsidR="00224102" w:rsidRPr="00604C75" w:rsidRDefault="00224102" w:rsidP="00224102">
            <w:pPr>
              <w:spacing w:line="226" w:lineRule="auto"/>
              <w:rPr>
                <w:noProof/>
                <w:sz w:val="14"/>
                <w:szCs w:val="14"/>
                <w:lang w:val="tr-TR"/>
              </w:rPr>
            </w:pPr>
            <w:r w:rsidRPr="00604C75">
              <w:rPr>
                <w:noProof/>
                <w:sz w:val="14"/>
                <w:szCs w:val="14"/>
                <w:lang w:val="tr-TR"/>
              </w:rPr>
              <w:t>Minority Shares</w:t>
            </w:r>
          </w:p>
        </w:tc>
        <w:tc>
          <w:tcPr>
            <w:tcW w:w="640" w:type="dxa"/>
            <w:noWrap/>
            <w:tcMar>
              <w:top w:w="18" w:type="dxa"/>
              <w:left w:w="18" w:type="dxa"/>
              <w:bottom w:w="0" w:type="dxa"/>
              <w:right w:w="18" w:type="dxa"/>
            </w:tcMar>
            <w:vAlign w:val="bottom"/>
          </w:tcPr>
          <w:p w14:paraId="74610EC9" w14:textId="43D01FBE" w:rsidR="00224102" w:rsidRPr="00604C75" w:rsidRDefault="00224102" w:rsidP="00224102">
            <w:pPr>
              <w:spacing w:line="226" w:lineRule="auto"/>
              <w:jc w:val="center"/>
              <w:rPr>
                <w:rFonts w:eastAsia="Arial Unicode MS"/>
                <w:b/>
                <w:sz w:val="14"/>
                <w:szCs w:val="14"/>
              </w:rPr>
            </w:pPr>
            <w:r w:rsidRPr="00692926">
              <w:rPr>
                <w:rFonts w:eastAsia="Arial Unicode MS"/>
                <w:sz w:val="14"/>
                <w:szCs w:val="14"/>
              </w:rPr>
              <w:t>II-</w:t>
            </w:r>
            <w:r>
              <w:rPr>
                <w:rFonts w:eastAsia="Arial Unicode MS"/>
                <w:sz w:val="14"/>
                <w:szCs w:val="14"/>
              </w:rPr>
              <w:t>l</w:t>
            </w:r>
          </w:p>
        </w:tc>
        <w:tc>
          <w:tcPr>
            <w:tcW w:w="779" w:type="dxa"/>
            <w:noWrap/>
            <w:tcMar>
              <w:top w:w="18" w:type="dxa"/>
              <w:left w:w="18" w:type="dxa"/>
              <w:bottom w:w="0" w:type="dxa"/>
              <w:right w:w="18" w:type="dxa"/>
            </w:tcMar>
            <w:vAlign w:val="bottom"/>
          </w:tcPr>
          <w:p w14:paraId="4A8126FC" w14:textId="6207FA0C" w:rsidR="00224102" w:rsidRPr="00850582" w:rsidRDefault="00224102" w:rsidP="00224102">
            <w:pPr>
              <w:jc w:val="right"/>
              <w:rPr>
                <w:sz w:val="14"/>
                <w:szCs w:val="14"/>
              </w:rPr>
            </w:pPr>
            <w:r w:rsidRPr="00850582">
              <w:rPr>
                <w:sz w:val="14"/>
                <w:szCs w:val="14"/>
              </w:rPr>
              <w:t>11</w:t>
            </w:r>
          </w:p>
        </w:tc>
        <w:tc>
          <w:tcPr>
            <w:tcW w:w="759" w:type="dxa"/>
            <w:noWrap/>
            <w:tcMar>
              <w:top w:w="18" w:type="dxa"/>
              <w:left w:w="18" w:type="dxa"/>
              <w:bottom w:w="0" w:type="dxa"/>
              <w:right w:w="18" w:type="dxa"/>
            </w:tcMar>
            <w:vAlign w:val="bottom"/>
          </w:tcPr>
          <w:p w14:paraId="57C17606" w14:textId="019A6344" w:rsidR="00224102" w:rsidRPr="00850582" w:rsidRDefault="00224102" w:rsidP="00224102">
            <w:pPr>
              <w:rPr>
                <w:sz w:val="14"/>
                <w:szCs w:val="14"/>
              </w:rPr>
            </w:pPr>
            <w:r w:rsidRPr="00850582">
              <w:rPr>
                <w:sz w:val="14"/>
                <w:szCs w:val="14"/>
              </w:rPr>
              <w:t>-</w:t>
            </w:r>
          </w:p>
        </w:tc>
        <w:tc>
          <w:tcPr>
            <w:tcW w:w="720" w:type="dxa"/>
            <w:noWrap/>
            <w:tcMar>
              <w:top w:w="18" w:type="dxa"/>
              <w:left w:w="18" w:type="dxa"/>
              <w:bottom w:w="0" w:type="dxa"/>
              <w:right w:w="18" w:type="dxa"/>
            </w:tcMar>
            <w:vAlign w:val="bottom"/>
          </w:tcPr>
          <w:p w14:paraId="33D9B446" w14:textId="74686FEA" w:rsidR="00224102" w:rsidRPr="00850582" w:rsidRDefault="00224102" w:rsidP="00224102">
            <w:pPr>
              <w:jc w:val="right"/>
              <w:rPr>
                <w:sz w:val="14"/>
                <w:szCs w:val="14"/>
              </w:rPr>
            </w:pPr>
            <w:r w:rsidRPr="00850582">
              <w:rPr>
                <w:sz w:val="14"/>
                <w:szCs w:val="14"/>
              </w:rPr>
              <w:t>11</w:t>
            </w:r>
          </w:p>
        </w:tc>
        <w:tc>
          <w:tcPr>
            <w:tcW w:w="733" w:type="dxa"/>
            <w:noWrap/>
            <w:tcMar>
              <w:top w:w="18" w:type="dxa"/>
              <w:left w:w="18" w:type="dxa"/>
              <w:bottom w:w="0" w:type="dxa"/>
              <w:right w:w="18" w:type="dxa"/>
            </w:tcMar>
            <w:vAlign w:val="bottom"/>
          </w:tcPr>
          <w:p w14:paraId="41E5B114" w14:textId="6BE2B16B" w:rsidR="00224102" w:rsidRPr="00692926" w:rsidRDefault="00224102" w:rsidP="00224102">
            <w:pPr>
              <w:jc w:val="right"/>
              <w:rPr>
                <w:sz w:val="14"/>
                <w:szCs w:val="14"/>
              </w:rPr>
            </w:pPr>
            <w:r w:rsidRPr="00692926">
              <w:rPr>
                <w:sz w:val="14"/>
                <w:szCs w:val="14"/>
              </w:rPr>
              <w:t>9,214</w:t>
            </w:r>
          </w:p>
        </w:tc>
        <w:tc>
          <w:tcPr>
            <w:tcW w:w="707" w:type="dxa"/>
            <w:noWrap/>
            <w:tcMar>
              <w:top w:w="18" w:type="dxa"/>
              <w:left w:w="18" w:type="dxa"/>
              <w:bottom w:w="0" w:type="dxa"/>
              <w:right w:w="18" w:type="dxa"/>
            </w:tcMar>
            <w:vAlign w:val="bottom"/>
          </w:tcPr>
          <w:p w14:paraId="23C72954" w14:textId="5FE1BF2B" w:rsidR="00224102" w:rsidRPr="00692926" w:rsidRDefault="00224102" w:rsidP="00224102">
            <w:pPr>
              <w:jc w:val="right"/>
              <w:rPr>
                <w:sz w:val="14"/>
                <w:szCs w:val="14"/>
              </w:rPr>
            </w:pPr>
            <w:r w:rsidRPr="00692926">
              <w:rPr>
                <w:sz w:val="14"/>
                <w:szCs w:val="14"/>
              </w:rPr>
              <w:t>-</w:t>
            </w:r>
          </w:p>
        </w:tc>
        <w:tc>
          <w:tcPr>
            <w:tcW w:w="712" w:type="dxa"/>
            <w:noWrap/>
            <w:tcMar>
              <w:top w:w="18" w:type="dxa"/>
              <w:left w:w="18" w:type="dxa"/>
              <w:bottom w:w="0" w:type="dxa"/>
              <w:right w:w="18" w:type="dxa"/>
            </w:tcMar>
            <w:vAlign w:val="bottom"/>
          </w:tcPr>
          <w:p w14:paraId="2A8945EC" w14:textId="44D79042" w:rsidR="00224102" w:rsidRPr="00692926" w:rsidRDefault="00224102" w:rsidP="00224102">
            <w:pPr>
              <w:jc w:val="right"/>
              <w:rPr>
                <w:sz w:val="14"/>
                <w:szCs w:val="14"/>
              </w:rPr>
            </w:pPr>
            <w:r w:rsidRPr="00692926">
              <w:rPr>
                <w:sz w:val="14"/>
                <w:szCs w:val="14"/>
              </w:rPr>
              <w:t>9,214</w:t>
            </w:r>
          </w:p>
        </w:tc>
      </w:tr>
      <w:tr w:rsidR="00980409" w:rsidRPr="00604C75" w14:paraId="30D89120" w14:textId="77777777" w:rsidTr="00C26D33">
        <w:trPr>
          <w:trHeight w:val="118"/>
        </w:trPr>
        <w:tc>
          <w:tcPr>
            <w:tcW w:w="537" w:type="dxa"/>
            <w:tcBorders>
              <w:top w:val="single" w:sz="4" w:space="0" w:color="auto"/>
              <w:bottom w:val="single" w:sz="4" w:space="0" w:color="auto"/>
            </w:tcBorders>
            <w:noWrap/>
            <w:tcMar>
              <w:top w:w="18" w:type="dxa"/>
              <w:left w:w="18" w:type="dxa"/>
              <w:bottom w:w="0" w:type="dxa"/>
              <w:right w:w="18" w:type="dxa"/>
            </w:tcMar>
            <w:vAlign w:val="bottom"/>
          </w:tcPr>
          <w:p w14:paraId="58E88AD8" w14:textId="77777777" w:rsidR="00980409" w:rsidRPr="00604C75" w:rsidRDefault="00980409" w:rsidP="00980409">
            <w:pPr>
              <w:spacing w:line="226" w:lineRule="auto"/>
              <w:rPr>
                <w:b/>
                <w:bCs/>
                <w:noProof/>
                <w:sz w:val="14"/>
                <w:szCs w:val="14"/>
                <w:lang w:val="tr-TR"/>
              </w:rPr>
            </w:pPr>
          </w:p>
        </w:tc>
        <w:tc>
          <w:tcPr>
            <w:tcW w:w="4615" w:type="dxa"/>
            <w:tcBorders>
              <w:top w:val="single" w:sz="4" w:space="0" w:color="auto"/>
              <w:bottom w:val="single" w:sz="4" w:space="0" w:color="auto"/>
            </w:tcBorders>
            <w:noWrap/>
            <w:tcMar>
              <w:top w:w="18" w:type="dxa"/>
              <w:left w:w="18" w:type="dxa"/>
              <w:bottom w:w="0" w:type="dxa"/>
              <w:right w:w="18" w:type="dxa"/>
            </w:tcMar>
            <w:vAlign w:val="bottom"/>
          </w:tcPr>
          <w:p w14:paraId="6C2374AE" w14:textId="77777777" w:rsidR="00980409" w:rsidRPr="00604C75" w:rsidRDefault="00980409" w:rsidP="00980409">
            <w:pPr>
              <w:spacing w:line="226" w:lineRule="auto"/>
              <w:rPr>
                <w:b/>
                <w:bCs/>
                <w:noProof/>
                <w:sz w:val="14"/>
                <w:szCs w:val="14"/>
                <w:lang w:val="tr-TR"/>
              </w:rPr>
            </w:pPr>
            <w:r w:rsidRPr="00604C75">
              <w:rPr>
                <w:b/>
                <w:bCs/>
                <w:noProof/>
                <w:sz w:val="14"/>
                <w:szCs w:val="14"/>
                <w:lang w:val="tr-TR"/>
              </w:rPr>
              <w:t>TOTAL LIABILITIES</w:t>
            </w:r>
          </w:p>
        </w:tc>
        <w:tc>
          <w:tcPr>
            <w:tcW w:w="640" w:type="dxa"/>
            <w:tcBorders>
              <w:top w:val="single" w:sz="4" w:space="0" w:color="auto"/>
              <w:bottom w:val="single" w:sz="4" w:space="0" w:color="auto"/>
            </w:tcBorders>
            <w:noWrap/>
            <w:tcMar>
              <w:top w:w="18" w:type="dxa"/>
              <w:left w:w="18" w:type="dxa"/>
              <w:bottom w:w="0" w:type="dxa"/>
              <w:right w:w="18" w:type="dxa"/>
            </w:tcMar>
            <w:vAlign w:val="bottom"/>
          </w:tcPr>
          <w:p w14:paraId="27402CDA" w14:textId="77777777" w:rsidR="00980409" w:rsidRPr="00604C75" w:rsidRDefault="00980409" w:rsidP="00980409">
            <w:pPr>
              <w:spacing w:line="226" w:lineRule="auto"/>
              <w:jc w:val="center"/>
              <w:rPr>
                <w:rFonts w:eastAsia="Arial Unicode MS"/>
                <w:b/>
                <w:bCs/>
                <w:noProof/>
                <w:sz w:val="14"/>
                <w:szCs w:val="14"/>
                <w:lang w:val="tr-TR"/>
              </w:rPr>
            </w:pPr>
          </w:p>
        </w:tc>
        <w:tc>
          <w:tcPr>
            <w:tcW w:w="779" w:type="dxa"/>
            <w:tcBorders>
              <w:top w:val="single" w:sz="4" w:space="0" w:color="auto"/>
              <w:bottom w:val="single" w:sz="4" w:space="0" w:color="auto"/>
            </w:tcBorders>
            <w:noWrap/>
            <w:tcMar>
              <w:top w:w="18" w:type="dxa"/>
              <w:left w:w="18" w:type="dxa"/>
              <w:bottom w:w="0" w:type="dxa"/>
              <w:right w:w="18" w:type="dxa"/>
            </w:tcMar>
            <w:vAlign w:val="bottom"/>
          </w:tcPr>
          <w:p w14:paraId="64056190" w14:textId="762C4FA9" w:rsidR="00980409" w:rsidRDefault="00980409" w:rsidP="00980409">
            <w:pPr>
              <w:jc w:val="right"/>
              <w:rPr>
                <w:b/>
                <w:bCs/>
                <w:sz w:val="14"/>
                <w:szCs w:val="14"/>
              </w:rPr>
            </w:pPr>
            <w:r>
              <w:rPr>
                <w:b/>
                <w:bCs/>
                <w:sz w:val="14"/>
                <w:szCs w:val="14"/>
              </w:rPr>
              <w:t>5,339,807</w:t>
            </w:r>
          </w:p>
        </w:tc>
        <w:tc>
          <w:tcPr>
            <w:tcW w:w="759" w:type="dxa"/>
            <w:tcBorders>
              <w:top w:val="single" w:sz="4" w:space="0" w:color="auto"/>
              <w:bottom w:val="single" w:sz="4" w:space="0" w:color="auto"/>
            </w:tcBorders>
            <w:noWrap/>
            <w:tcMar>
              <w:top w:w="18" w:type="dxa"/>
              <w:left w:w="18" w:type="dxa"/>
              <w:bottom w:w="0" w:type="dxa"/>
              <w:right w:w="18" w:type="dxa"/>
            </w:tcMar>
            <w:vAlign w:val="bottom"/>
          </w:tcPr>
          <w:p w14:paraId="3D7CBE42" w14:textId="19E91D09" w:rsidR="00980409" w:rsidRDefault="00980409" w:rsidP="00980409">
            <w:pPr>
              <w:jc w:val="right"/>
              <w:rPr>
                <w:b/>
                <w:bCs/>
                <w:sz w:val="14"/>
                <w:szCs w:val="14"/>
              </w:rPr>
            </w:pPr>
            <w:r>
              <w:rPr>
                <w:b/>
                <w:bCs/>
                <w:sz w:val="14"/>
                <w:szCs w:val="14"/>
              </w:rPr>
              <w:t>8,725,016</w:t>
            </w:r>
          </w:p>
        </w:tc>
        <w:tc>
          <w:tcPr>
            <w:tcW w:w="720" w:type="dxa"/>
            <w:tcBorders>
              <w:top w:val="single" w:sz="4" w:space="0" w:color="auto"/>
              <w:bottom w:val="single" w:sz="4" w:space="0" w:color="auto"/>
            </w:tcBorders>
            <w:noWrap/>
            <w:tcMar>
              <w:top w:w="18" w:type="dxa"/>
              <w:left w:w="18" w:type="dxa"/>
              <w:bottom w:w="0" w:type="dxa"/>
              <w:right w:w="18" w:type="dxa"/>
            </w:tcMar>
            <w:vAlign w:val="bottom"/>
          </w:tcPr>
          <w:p w14:paraId="759BC7DC" w14:textId="1E22C808" w:rsidR="00980409" w:rsidRDefault="00980409" w:rsidP="00980409">
            <w:pPr>
              <w:jc w:val="right"/>
              <w:rPr>
                <w:b/>
                <w:bCs/>
                <w:sz w:val="14"/>
                <w:szCs w:val="14"/>
              </w:rPr>
            </w:pPr>
            <w:r>
              <w:rPr>
                <w:b/>
                <w:bCs/>
                <w:sz w:val="14"/>
                <w:szCs w:val="14"/>
              </w:rPr>
              <w:t>14,064,823</w:t>
            </w:r>
          </w:p>
        </w:tc>
        <w:tc>
          <w:tcPr>
            <w:tcW w:w="733" w:type="dxa"/>
            <w:tcBorders>
              <w:top w:val="single" w:sz="4" w:space="0" w:color="auto"/>
              <w:bottom w:val="single" w:sz="4" w:space="0" w:color="auto"/>
            </w:tcBorders>
            <w:noWrap/>
            <w:tcMar>
              <w:top w:w="18" w:type="dxa"/>
              <w:left w:w="18" w:type="dxa"/>
              <w:bottom w:w="0" w:type="dxa"/>
              <w:right w:w="18" w:type="dxa"/>
            </w:tcMar>
            <w:vAlign w:val="bottom"/>
          </w:tcPr>
          <w:p w14:paraId="744F339C" w14:textId="0EB3323C" w:rsidR="00980409" w:rsidRPr="00692926" w:rsidRDefault="00980409" w:rsidP="00980409">
            <w:pPr>
              <w:jc w:val="right"/>
              <w:rPr>
                <w:b/>
                <w:sz w:val="14"/>
                <w:szCs w:val="14"/>
              </w:rPr>
            </w:pPr>
            <w:r w:rsidRPr="00692926">
              <w:rPr>
                <w:b/>
                <w:sz w:val="14"/>
                <w:szCs w:val="14"/>
              </w:rPr>
              <w:t>6,135,513</w:t>
            </w:r>
          </w:p>
        </w:tc>
        <w:tc>
          <w:tcPr>
            <w:tcW w:w="707" w:type="dxa"/>
            <w:tcBorders>
              <w:top w:val="single" w:sz="4" w:space="0" w:color="auto"/>
              <w:bottom w:val="single" w:sz="4" w:space="0" w:color="auto"/>
            </w:tcBorders>
            <w:noWrap/>
            <w:tcMar>
              <w:top w:w="18" w:type="dxa"/>
              <w:left w:w="18" w:type="dxa"/>
              <w:bottom w:w="0" w:type="dxa"/>
              <w:right w:w="18" w:type="dxa"/>
            </w:tcMar>
            <w:vAlign w:val="bottom"/>
          </w:tcPr>
          <w:p w14:paraId="1D7BEF12" w14:textId="4DB2CB6C" w:rsidR="00980409" w:rsidRPr="00692926" w:rsidRDefault="00980409" w:rsidP="00980409">
            <w:pPr>
              <w:jc w:val="right"/>
              <w:rPr>
                <w:b/>
                <w:sz w:val="14"/>
                <w:szCs w:val="14"/>
              </w:rPr>
            </w:pPr>
            <w:r w:rsidRPr="00692926">
              <w:rPr>
                <w:b/>
                <w:sz w:val="14"/>
                <w:szCs w:val="14"/>
              </w:rPr>
              <w:t>5,212,154</w:t>
            </w:r>
          </w:p>
        </w:tc>
        <w:tc>
          <w:tcPr>
            <w:tcW w:w="712" w:type="dxa"/>
            <w:tcBorders>
              <w:top w:val="single" w:sz="4" w:space="0" w:color="auto"/>
              <w:bottom w:val="single" w:sz="4" w:space="0" w:color="auto"/>
            </w:tcBorders>
            <w:noWrap/>
            <w:tcMar>
              <w:top w:w="18" w:type="dxa"/>
              <w:left w:w="18" w:type="dxa"/>
              <w:bottom w:w="0" w:type="dxa"/>
              <w:right w:w="18" w:type="dxa"/>
            </w:tcMar>
            <w:vAlign w:val="bottom"/>
          </w:tcPr>
          <w:p w14:paraId="368F41B5" w14:textId="3A7FEF15" w:rsidR="00980409" w:rsidRPr="00692926" w:rsidRDefault="00980409" w:rsidP="00980409">
            <w:pPr>
              <w:jc w:val="right"/>
              <w:rPr>
                <w:b/>
                <w:sz w:val="14"/>
                <w:szCs w:val="14"/>
              </w:rPr>
            </w:pPr>
            <w:r w:rsidRPr="00692926">
              <w:rPr>
                <w:b/>
                <w:sz w:val="14"/>
                <w:szCs w:val="14"/>
              </w:rPr>
              <w:t>11,347,667</w:t>
            </w:r>
          </w:p>
        </w:tc>
      </w:tr>
    </w:tbl>
    <w:p w14:paraId="7F444054" w14:textId="77777777" w:rsidR="00E86A6A" w:rsidRPr="00604C75" w:rsidRDefault="004A620D" w:rsidP="004A620D">
      <w:pPr>
        <w:spacing w:line="216" w:lineRule="auto"/>
        <w:rPr>
          <w:bCs/>
          <w:noProof/>
          <w:snapToGrid w:val="0"/>
          <w:sz w:val="18"/>
          <w:szCs w:val="18"/>
          <w:lang w:val="tr-TR"/>
        </w:rPr>
      </w:pPr>
      <w:r w:rsidRPr="00604C75">
        <w:rPr>
          <w:bCs/>
          <w:noProof/>
          <w:snapToGrid w:val="0"/>
          <w:sz w:val="18"/>
          <w:szCs w:val="18"/>
          <w:lang w:val="tr-TR"/>
        </w:rPr>
        <w:t xml:space="preserve">                                          </w:t>
      </w:r>
      <w:r w:rsidR="001A7C4A" w:rsidRPr="00604C75">
        <w:rPr>
          <w:bCs/>
          <w:noProof/>
          <w:snapToGrid w:val="0"/>
          <w:sz w:val="18"/>
          <w:szCs w:val="18"/>
          <w:lang w:val="tr-TR"/>
        </w:rPr>
        <w:tab/>
        <w:t xml:space="preserve">   </w:t>
      </w:r>
      <w:r w:rsidRPr="00604C75">
        <w:rPr>
          <w:bCs/>
          <w:noProof/>
          <w:snapToGrid w:val="0"/>
          <w:sz w:val="18"/>
          <w:szCs w:val="18"/>
          <w:lang w:val="tr-TR"/>
        </w:rPr>
        <w:t xml:space="preserve"> </w:t>
      </w:r>
    </w:p>
    <w:p w14:paraId="7864D032" w14:textId="77777777" w:rsidR="00E86A6A" w:rsidRPr="00604C75" w:rsidRDefault="00E86A6A" w:rsidP="004A620D">
      <w:pPr>
        <w:spacing w:line="216" w:lineRule="auto"/>
        <w:rPr>
          <w:bCs/>
          <w:noProof/>
          <w:snapToGrid w:val="0"/>
          <w:sz w:val="18"/>
          <w:szCs w:val="18"/>
          <w:lang w:val="tr-TR"/>
        </w:rPr>
      </w:pPr>
    </w:p>
    <w:p w14:paraId="4E940DC4" w14:textId="77777777" w:rsidR="00E86A6A" w:rsidRPr="00604C75" w:rsidRDefault="00E86A6A" w:rsidP="00980409">
      <w:pPr>
        <w:spacing w:line="216" w:lineRule="auto"/>
        <w:jc w:val="right"/>
        <w:rPr>
          <w:bCs/>
          <w:noProof/>
          <w:snapToGrid w:val="0"/>
          <w:sz w:val="18"/>
          <w:szCs w:val="18"/>
          <w:lang w:val="tr-TR"/>
        </w:rPr>
      </w:pPr>
    </w:p>
    <w:p w14:paraId="31577405" w14:textId="77777777" w:rsidR="005337DE" w:rsidRDefault="005337DE" w:rsidP="0032757D">
      <w:pPr>
        <w:spacing w:line="216" w:lineRule="auto"/>
        <w:ind w:left="1440" w:firstLine="720"/>
        <w:rPr>
          <w:sz w:val="16"/>
          <w:szCs w:val="16"/>
        </w:rPr>
      </w:pPr>
    </w:p>
    <w:p w14:paraId="20E0FEEF" w14:textId="77777777" w:rsidR="001A1E54" w:rsidRPr="00604C75" w:rsidRDefault="00BD00CB" w:rsidP="005337DE">
      <w:pPr>
        <w:spacing w:line="216" w:lineRule="auto"/>
        <w:jc w:val="center"/>
        <w:rPr>
          <w:bCs/>
          <w:noProof/>
          <w:snapToGrid w:val="0"/>
          <w:sz w:val="18"/>
          <w:szCs w:val="18"/>
          <w:lang w:val="tr-TR"/>
        </w:rPr>
        <w:sectPr w:rsidR="001A1E54" w:rsidRPr="00604C75" w:rsidSect="00CF6669">
          <w:headerReference w:type="default" r:id="rId13"/>
          <w:pgSz w:w="11907" w:h="16840" w:code="9"/>
          <w:pgMar w:top="1134" w:right="748" w:bottom="720" w:left="1077" w:header="709" w:footer="709" w:gutter="0"/>
          <w:cols w:space="720"/>
          <w:docGrid w:linePitch="360"/>
        </w:sectPr>
      </w:pPr>
      <w:r w:rsidRPr="00604C75">
        <w:rPr>
          <w:sz w:val="16"/>
          <w:szCs w:val="16"/>
        </w:rPr>
        <w:t>The accompanying notes are an integral part of these consolidated financial statements.</w:t>
      </w:r>
      <w:r w:rsidRPr="00604C75" w:rsidDel="00AF0AEB">
        <w:rPr>
          <w:bCs/>
          <w:noProof/>
          <w:snapToGrid w:val="0"/>
          <w:sz w:val="16"/>
          <w:szCs w:val="16"/>
          <w:lang w:val="tr-TR"/>
        </w:rPr>
        <w:t xml:space="preserve"> </w:t>
      </w:r>
    </w:p>
    <w:tbl>
      <w:tblPr>
        <w:tblW w:w="10372" w:type="dxa"/>
        <w:tblInd w:w="18" w:type="dxa"/>
        <w:tblLayout w:type="fixed"/>
        <w:tblCellMar>
          <w:left w:w="0" w:type="dxa"/>
          <w:right w:w="0" w:type="dxa"/>
        </w:tblCellMar>
        <w:tblLook w:val="0000" w:firstRow="0" w:lastRow="0" w:firstColumn="0" w:lastColumn="0" w:noHBand="0" w:noVBand="0"/>
      </w:tblPr>
      <w:tblGrid>
        <w:gridCol w:w="494"/>
        <w:gridCol w:w="3580"/>
        <w:gridCol w:w="644"/>
        <w:gridCol w:w="895"/>
        <w:gridCol w:w="1191"/>
        <w:gridCol w:w="896"/>
        <w:gridCol w:w="881"/>
        <w:gridCol w:w="895"/>
        <w:gridCol w:w="896"/>
      </w:tblGrid>
      <w:tr w:rsidR="00B927E8" w:rsidRPr="00604C75" w14:paraId="34BE7374" w14:textId="77777777" w:rsidTr="009340BC">
        <w:trPr>
          <w:cantSplit/>
          <w:trHeight w:val="147"/>
        </w:trPr>
        <w:tc>
          <w:tcPr>
            <w:tcW w:w="4074" w:type="dxa"/>
            <w:gridSpan w:val="2"/>
            <w:noWrap/>
            <w:tcMar>
              <w:top w:w="18" w:type="dxa"/>
              <w:left w:w="18" w:type="dxa"/>
              <w:bottom w:w="0" w:type="dxa"/>
              <w:right w:w="18" w:type="dxa"/>
            </w:tcMar>
            <w:vAlign w:val="bottom"/>
          </w:tcPr>
          <w:p w14:paraId="72A0CB6C" w14:textId="77777777" w:rsidR="00887C85" w:rsidRPr="00604C75" w:rsidRDefault="0037148C" w:rsidP="0037148C">
            <w:pPr>
              <w:spacing w:line="211" w:lineRule="auto"/>
              <w:ind w:hanging="18"/>
              <w:rPr>
                <w:rFonts w:eastAsia="Arial Unicode MS"/>
                <w:b/>
                <w:bCs/>
                <w:sz w:val="10"/>
                <w:szCs w:val="10"/>
                <w:lang w:val="tr-TR"/>
              </w:rPr>
            </w:pPr>
            <w:r w:rsidRPr="00604C75">
              <w:rPr>
                <w:rFonts w:eastAsia="Arial Unicode MS"/>
                <w:b/>
                <w:bCs/>
                <w:sz w:val="16"/>
                <w:szCs w:val="16"/>
              </w:rPr>
              <w:lastRenderedPageBreak/>
              <w:t xml:space="preserve">II.        </w:t>
            </w:r>
            <w:r w:rsidR="006A31E6" w:rsidRPr="00604C75">
              <w:rPr>
                <w:rFonts w:eastAsia="Arial Unicode MS"/>
                <w:b/>
                <w:bCs/>
                <w:sz w:val="16"/>
                <w:szCs w:val="16"/>
              </w:rPr>
              <w:t>OFF-BALANCE SHEET ITEMS</w:t>
            </w:r>
          </w:p>
        </w:tc>
        <w:tc>
          <w:tcPr>
            <w:tcW w:w="644" w:type="dxa"/>
            <w:vAlign w:val="bottom"/>
          </w:tcPr>
          <w:p w14:paraId="1DA8DBB5" w14:textId="77777777" w:rsidR="00887C85" w:rsidRPr="00604C75" w:rsidRDefault="00887C85" w:rsidP="00887C85">
            <w:pPr>
              <w:spacing w:line="211" w:lineRule="auto"/>
              <w:rPr>
                <w:rFonts w:eastAsia="Arial Unicode MS"/>
                <w:b/>
                <w:bCs/>
                <w:sz w:val="10"/>
                <w:szCs w:val="10"/>
                <w:lang w:val="tr-TR"/>
              </w:rPr>
            </w:pPr>
          </w:p>
        </w:tc>
        <w:tc>
          <w:tcPr>
            <w:tcW w:w="895" w:type="dxa"/>
            <w:tcBorders>
              <w:bottom w:val="single" w:sz="4" w:space="0" w:color="auto"/>
            </w:tcBorders>
            <w:vAlign w:val="bottom"/>
          </w:tcPr>
          <w:p w14:paraId="720170C3" w14:textId="77777777" w:rsidR="00887C85" w:rsidRPr="00604C75" w:rsidRDefault="00887C85" w:rsidP="00887C85">
            <w:pPr>
              <w:spacing w:line="211" w:lineRule="auto"/>
              <w:jc w:val="center"/>
              <w:rPr>
                <w:b/>
                <w:bCs/>
                <w:sz w:val="10"/>
                <w:szCs w:val="10"/>
                <w:lang w:val="tr-TR"/>
              </w:rPr>
            </w:pPr>
          </w:p>
        </w:tc>
        <w:tc>
          <w:tcPr>
            <w:tcW w:w="1191" w:type="dxa"/>
            <w:tcBorders>
              <w:bottom w:val="single" w:sz="4" w:space="0" w:color="auto"/>
            </w:tcBorders>
            <w:vAlign w:val="bottom"/>
          </w:tcPr>
          <w:p w14:paraId="3C4FEA04" w14:textId="77777777" w:rsidR="00887C85" w:rsidRPr="00604C75" w:rsidRDefault="00D405BC">
            <w:pPr>
              <w:spacing w:line="226" w:lineRule="auto"/>
              <w:jc w:val="center"/>
              <w:rPr>
                <w:b/>
                <w:bCs/>
                <w:noProof/>
                <w:sz w:val="14"/>
                <w:szCs w:val="14"/>
                <w:lang w:val="tr-TR"/>
              </w:rPr>
            </w:pPr>
            <w:r>
              <w:rPr>
                <w:b/>
                <w:bCs/>
                <w:noProof/>
                <w:sz w:val="14"/>
                <w:szCs w:val="14"/>
                <w:lang w:val="tr-TR"/>
              </w:rPr>
              <w:t>3</w:t>
            </w:r>
            <w:r w:rsidR="005A2321">
              <w:rPr>
                <w:b/>
                <w:bCs/>
                <w:noProof/>
                <w:sz w:val="14"/>
                <w:szCs w:val="14"/>
                <w:lang w:val="tr-TR"/>
              </w:rPr>
              <w:t>1</w:t>
            </w:r>
            <w:r>
              <w:rPr>
                <w:b/>
                <w:bCs/>
                <w:noProof/>
                <w:sz w:val="14"/>
                <w:szCs w:val="14"/>
                <w:lang w:val="tr-TR"/>
              </w:rPr>
              <w:t xml:space="preserve"> </w:t>
            </w:r>
            <w:r w:rsidR="005A2321">
              <w:rPr>
                <w:b/>
                <w:bCs/>
                <w:noProof/>
                <w:sz w:val="14"/>
                <w:szCs w:val="14"/>
                <w:lang w:val="tr-TR"/>
              </w:rPr>
              <w:t>December</w:t>
            </w:r>
            <w:r w:rsidR="005A2321" w:rsidRPr="00604C75">
              <w:rPr>
                <w:b/>
                <w:bCs/>
                <w:noProof/>
                <w:sz w:val="14"/>
                <w:szCs w:val="14"/>
                <w:lang w:val="tr-TR"/>
              </w:rPr>
              <w:t xml:space="preserve"> </w:t>
            </w:r>
            <w:r w:rsidR="00B35753" w:rsidRPr="00604C75">
              <w:rPr>
                <w:b/>
                <w:bCs/>
                <w:noProof/>
                <w:sz w:val="14"/>
                <w:szCs w:val="14"/>
                <w:lang w:val="tr-TR"/>
              </w:rPr>
              <w:t>2015</w:t>
            </w:r>
          </w:p>
        </w:tc>
        <w:tc>
          <w:tcPr>
            <w:tcW w:w="896" w:type="dxa"/>
            <w:tcBorders>
              <w:bottom w:val="single" w:sz="4" w:space="0" w:color="auto"/>
            </w:tcBorders>
            <w:vAlign w:val="bottom"/>
          </w:tcPr>
          <w:p w14:paraId="60D17AFC" w14:textId="77777777" w:rsidR="00887C85" w:rsidRPr="00604C75" w:rsidRDefault="00887C85" w:rsidP="00887C85">
            <w:pPr>
              <w:spacing w:line="226" w:lineRule="auto"/>
              <w:jc w:val="center"/>
              <w:rPr>
                <w:b/>
                <w:bCs/>
                <w:noProof/>
                <w:sz w:val="14"/>
                <w:szCs w:val="14"/>
                <w:lang w:val="tr-TR"/>
              </w:rPr>
            </w:pPr>
            <w:r w:rsidRPr="00604C75">
              <w:rPr>
                <w:b/>
                <w:bCs/>
                <w:noProof/>
                <w:sz w:val="14"/>
                <w:szCs w:val="14"/>
                <w:lang w:val="tr-TR"/>
              </w:rPr>
              <w:t xml:space="preserve">                                  </w:t>
            </w:r>
          </w:p>
        </w:tc>
        <w:tc>
          <w:tcPr>
            <w:tcW w:w="2672" w:type="dxa"/>
            <w:gridSpan w:val="3"/>
            <w:tcBorders>
              <w:bottom w:val="single" w:sz="4" w:space="0" w:color="auto"/>
            </w:tcBorders>
            <w:vAlign w:val="bottom"/>
          </w:tcPr>
          <w:p w14:paraId="5F680616" w14:textId="77777777" w:rsidR="00887C85" w:rsidRPr="00604C75" w:rsidRDefault="009921A3" w:rsidP="00C85FD2">
            <w:pPr>
              <w:spacing w:line="226" w:lineRule="auto"/>
              <w:jc w:val="center"/>
              <w:rPr>
                <w:b/>
                <w:bCs/>
                <w:noProof/>
                <w:sz w:val="14"/>
                <w:szCs w:val="14"/>
                <w:lang w:val="tr-TR"/>
              </w:rPr>
            </w:pPr>
            <w:r w:rsidRPr="00604C75">
              <w:rPr>
                <w:b/>
                <w:bCs/>
                <w:noProof/>
                <w:sz w:val="14"/>
                <w:szCs w:val="14"/>
                <w:lang w:val="tr-TR"/>
              </w:rPr>
              <w:t>31 December</w:t>
            </w:r>
            <w:r w:rsidR="006A31E6" w:rsidRPr="00604C75">
              <w:rPr>
                <w:b/>
                <w:bCs/>
                <w:noProof/>
                <w:sz w:val="14"/>
                <w:szCs w:val="14"/>
                <w:lang w:val="tr-TR"/>
              </w:rPr>
              <w:t xml:space="preserve"> 2014</w:t>
            </w:r>
          </w:p>
        </w:tc>
      </w:tr>
      <w:tr w:rsidR="00B927E8" w:rsidRPr="00604C75" w14:paraId="740DCC4D" w14:textId="77777777" w:rsidTr="009340BC">
        <w:trPr>
          <w:cantSplit/>
          <w:trHeight w:hRule="exact" w:val="227"/>
        </w:trPr>
        <w:tc>
          <w:tcPr>
            <w:tcW w:w="4074" w:type="dxa"/>
            <w:gridSpan w:val="2"/>
            <w:noWrap/>
            <w:tcMar>
              <w:top w:w="18" w:type="dxa"/>
              <w:left w:w="18" w:type="dxa"/>
              <w:bottom w:w="0" w:type="dxa"/>
              <w:right w:w="18" w:type="dxa"/>
            </w:tcMar>
            <w:vAlign w:val="bottom"/>
          </w:tcPr>
          <w:p w14:paraId="095FED7B" w14:textId="77777777" w:rsidR="00887C85" w:rsidRPr="00604C75" w:rsidRDefault="00887C85" w:rsidP="00887C85">
            <w:pPr>
              <w:spacing w:line="211" w:lineRule="auto"/>
              <w:rPr>
                <w:rFonts w:eastAsia="Arial Unicode MS"/>
                <w:b/>
                <w:bCs/>
                <w:sz w:val="10"/>
                <w:szCs w:val="10"/>
                <w:lang w:val="tr-TR"/>
              </w:rPr>
            </w:pPr>
          </w:p>
        </w:tc>
        <w:tc>
          <w:tcPr>
            <w:tcW w:w="644" w:type="dxa"/>
            <w:vAlign w:val="bottom"/>
          </w:tcPr>
          <w:p w14:paraId="40262DF9" w14:textId="77777777" w:rsidR="00887C85" w:rsidRPr="00604C75" w:rsidRDefault="00565984" w:rsidP="00887C85">
            <w:pPr>
              <w:spacing w:line="211" w:lineRule="auto"/>
              <w:jc w:val="center"/>
              <w:rPr>
                <w:rFonts w:eastAsia="Arial Unicode MS"/>
                <w:b/>
                <w:bCs/>
                <w:sz w:val="10"/>
                <w:szCs w:val="10"/>
                <w:lang w:val="tr-TR"/>
              </w:rPr>
            </w:pPr>
            <w:r w:rsidRPr="00604C75">
              <w:rPr>
                <w:rFonts w:eastAsia="Arial Unicode MS"/>
                <w:b/>
                <w:bCs/>
                <w:sz w:val="10"/>
                <w:szCs w:val="10"/>
                <w:lang w:val="tr-TR"/>
              </w:rPr>
              <w:t>Note (Section</w:t>
            </w:r>
            <w:r w:rsidR="00B927E8" w:rsidRPr="00604C75">
              <w:rPr>
                <w:rFonts w:eastAsia="Arial Unicode MS"/>
                <w:b/>
                <w:bCs/>
                <w:sz w:val="10"/>
                <w:szCs w:val="10"/>
                <w:lang w:val="tr-TR"/>
              </w:rPr>
              <w:t xml:space="preserve"> </w:t>
            </w:r>
            <w:r w:rsidRPr="00604C75">
              <w:rPr>
                <w:rFonts w:eastAsia="Arial Unicode MS"/>
                <w:b/>
                <w:bCs/>
                <w:sz w:val="10"/>
                <w:szCs w:val="10"/>
                <w:lang w:val="tr-TR"/>
              </w:rPr>
              <w:t>Fi</w:t>
            </w:r>
            <w:r w:rsidR="009E34C3" w:rsidRPr="00604C75">
              <w:rPr>
                <w:rFonts w:eastAsia="Arial Unicode MS"/>
                <w:b/>
                <w:bCs/>
                <w:sz w:val="10"/>
                <w:szCs w:val="10"/>
                <w:lang w:val="tr-TR"/>
              </w:rPr>
              <w:t>ve</w:t>
            </w:r>
            <w:r w:rsidRPr="00604C75">
              <w:rPr>
                <w:rFonts w:eastAsia="Arial Unicode MS"/>
                <w:b/>
                <w:bCs/>
                <w:sz w:val="10"/>
                <w:szCs w:val="10"/>
                <w:lang w:val="tr-TR"/>
              </w:rPr>
              <w:t>)</w:t>
            </w:r>
          </w:p>
        </w:tc>
        <w:tc>
          <w:tcPr>
            <w:tcW w:w="895" w:type="dxa"/>
            <w:tcBorders>
              <w:top w:val="single" w:sz="4" w:space="0" w:color="auto"/>
              <w:bottom w:val="single" w:sz="4" w:space="0" w:color="auto"/>
            </w:tcBorders>
            <w:vAlign w:val="bottom"/>
          </w:tcPr>
          <w:p w14:paraId="13BE7C55" w14:textId="77777777" w:rsidR="00887C85" w:rsidRPr="00604C75" w:rsidRDefault="00887C85" w:rsidP="00887C85">
            <w:pPr>
              <w:spacing w:line="211" w:lineRule="auto"/>
              <w:ind w:left="-46" w:right="16" w:firstLine="46"/>
              <w:jc w:val="right"/>
              <w:rPr>
                <w:rFonts w:eastAsia="Arial Unicode MS"/>
                <w:b/>
                <w:bCs/>
                <w:sz w:val="10"/>
                <w:szCs w:val="10"/>
                <w:lang w:val="tr-TR"/>
              </w:rPr>
            </w:pPr>
            <w:r w:rsidRPr="00604C75">
              <w:rPr>
                <w:b/>
                <w:bCs/>
                <w:sz w:val="10"/>
                <w:szCs w:val="10"/>
                <w:lang w:val="tr-TR"/>
              </w:rPr>
              <w:t xml:space="preserve"> TL</w:t>
            </w:r>
          </w:p>
        </w:tc>
        <w:tc>
          <w:tcPr>
            <w:tcW w:w="1191" w:type="dxa"/>
            <w:tcBorders>
              <w:top w:val="single" w:sz="4" w:space="0" w:color="auto"/>
              <w:bottom w:val="single" w:sz="4" w:space="0" w:color="auto"/>
            </w:tcBorders>
            <w:vAlign w:val="bottom"/>
          </w:tcPr>
          <w:p w14:paraId="0DB47850" w14:textId="77777777" w:rsidR="00887C85" w:rsidRPr="00604C75" w:rsidRDefault="00887C85" w:rsidP="00887C85">
            <w:pPr>
              <w:spacing w:line="211" w:lineRule="auto"/>
              <w:ind w:left="-46" w:right="16" w:firstLine="46"/>
              <w:jc w:val="right"/>
              <w:rPr>
                <w:rFonts w:eastAsia="Arial Unicode MS"/>
                <w:b/>
                <w:bCs/>
                <w:sz w:val="10"/>
                <w:szCs w:val="10"/>
                <w:lang w:val="tr-TR"/>
              </w:rPr>
            </w:pPr>
            <w:r w:rsidRPr="00604C75">
              <w:rPr>
                <w:b/>
                <w:bCs/>
                <w:sz w:val="10"/>
                <w:szCs w:val="10"/>
                <w:lang w:val="tr-TR"/>
              </w:rPr>
              <w:t>FC</w:t>
            </w:r>
          </w:p>
        </w:tc>
        <w:tc>
          <w:tcPr>
            <w:tcW w:w="896" w:type="dxa"/>
            <w:tcBorders>
              <w:top w:val="single" w:sz="4" w:space="0" w:color="auto"/>
              <w:bottom w:val="single" w:sz="4" w:space="0" w:color="auto"/>
            </w:tcBorders>
            <w:vAlign w:val="bottom"/>
          </w:tcPr>
          <w:p w14:paraId="5F7847B6" w14:textId="77777777" w:rsidR="00887C85" w:rsidRPr="00604C75" w:rsidRDefault="00887C85" w:rsidP="00887C85">
            <w:pPr>
              <w:spacing w:line="211" w:lineRule="auto"/>
              <w:ind w:right="28"/>
              <w:jc w:val="right"/>
              <w:rPr>
                <w:rFonts w:eastAsia="Arial Unicode MS"/>
                <w:b/>
                <w:bCs/>
                <w:sz w:val="10"/>
                <w:szCs w:val="10"/>
                <w:lang w:val="tr-TR"/>
              </w:rPr>
            </w:pPr>
            <w:r w:rsidRPr="00604C75">
              <w:rPr>
                <w:b/>
                <w:bCs/>
                <w:sz w:val="10"/>
                <w:szCs w:val="10"/>
                <w:lang w:val="tr-TR"/>
              </w:rPr>
              <w:t>Total</w:t>
            </w:r>
          </w:p>
        </w:tc>
        <w:tc>
          <w:tcPr>
            <w:tcW w:w="881" w:type="dxa"/>
            <w:tcBorders>
              <w:top w:val="single" w:sz="4" w:space="0" w:color="auto"/>
              <w:bottom w:val="single" w:sz="4" w:space="0" w:color="auto"/>
            </w:tcBorders>
            <w:noWrap/>
            <w:tcMar>
              <w:top w:w="18" w:type="dxa"/>
              <w:left w:w="18" w:type="dxa"/>
              <w:bottom w:w="0" w:type="dxa"/>
              <w:right w:w="18" w:type="dxa"/>
            </w:tcMar>
            <w:vAlign w:val="bottom"/>
          </w:tcPr>
          <w:p w14:paraId="2464093B" w14:textId="77777777" w:rsidR="00887C85" w:rsidRPr="00604C75" w:rsidRDefault="00887C85" w:rsidP="009A09A2">
            <w:pPr>
              <w:spacing w:line="211" w:lineRule="auto"/>
              <w:ind w:left="-46" w:right="16" w:firstLine="46"/>
              <w:jc w:val="right"/>
              <w:rPr>
                <w:rFonts w:eastAsia="Arial Unicode MS"/>
                <w:b/>
                <w:bCs/>
                <w:sz w:val="10"/>
                <w:szCs w:val="10"/>
                <w:lang w:val="tr-TR"/>
              </w:rPr>
            </w:pPr>
            <w:r w:rsidRPr="00604C75">
              <w:rPr>
                <w:b/>
                <w:bCs/>
                <w:sz w:val="10"/>
                <w:szCs w:val="10"/>
                <w:lang w:val="tr-TR"/>
              </w:rPr>
              <w:t xml:space="preserve"> TL</w:t>
            </w:r>
          </w:p>
        </w:tc>
        <w:tc>
          <w:tcPr>
            <w:tcW w:w="895" w:type="dxa"/>
            <w:tcBorders>
              <w:top w:val="single" w:sz="4" w:space="0" w:color="auto"/>
              <w:bottom w:val="single" w:sz="4" w:space="0" w:color="auto"/>
            </w:tcBorders>
            <w:vAlign w:val="bottom"/>
          </w:tcPr>
          <w:p w14:paraId="2CC2D66E" w14:textId="77777777" w:rsidR="00887C85" w:rsidRPr="00604C75" w:rsidRDefault="00887C85" w:rsidP="009A09A2">
            <w:pPr>
              <w:spacing w:line="211" w:lineRule="auto"/>
              <w:ind w:left="-46" w:right="16" w:firstLine="46"/>
              <w:jc w:val="right"/>
              <w:rPr>
                <w:rFonts w:eastAsia="Arial Unicode MS"/>
                <w:b/>
                <w:bCs/>
                <w:sz w:val="10"/>
                <w:szCs w:val="10"/>
                <w:lang w:val="tr-TR"/>
              </w:rPr>
            </w:pPr>
            <w:r w:rsidRPr="00604C75">
              <w:rPr>
                <w:b/>
                <w:bCs/>
                <w:sz w:val="10"/>
                <w:szCs w:val="10"/>
                <w:lang w:val="tr-TR"/>
              </w:rPr>
              <w:t>FC</w:t>
            </w:r>
          </w:p>
        </w:tc>
        <w:tc>
          <w:tcPr>
            <w:tcW w:w="896" w:type="dxa"/>
            <w:tcBorders>
              <w:top w:val="single" w:sz="4" w:space="0" w:color="auto"/>
              <w:bottom w:val="single" w:sz="4" w:space="0" w:color="auto"/>
            </w:tcBorders>
            <w:vAlign w:val="bottom"/>
          </w:tcPr>
          <w:p w14:paraId="49A90411" w14:textId="77777777" w:rsidR="00887C85" w:rsidRPr="00604C75" w:rsidRDefault="00887C85" w:rsidP="009A09A2">
            <w:pPr>
              <w:spacing w:line="211" w:lineRule="auto"/>
              <w:ind w:right="28"/>
              <w:jc w:val="right"/>
              <w:rPr>
                <w:rFonts w:eastAsia="Arial Unicode MS"/>
                <w:b/>
                <w:bCs/>
                <w:sz w:val="10"/>
                <w:szCs w:val="10"/>
                <w:lang w:val="tr-TR"/>
              </w:rPr>
            </w:pPr>
            <w:r w:rsidRPr="00604C75">
              <w:rPr>
                <w:b/>
                <w:bCs/>
                <w:sz w:val="10"/>
                <w:szCs w:val="10"/>
                <w:lang w:val="tr-TR"/>
              </w:rPr>
              <w:t>Total</w:t>
            </w:r>
          </w:p>
        </w:tc>
      </w:tr>
      <w:tr w:rsidR="00B927E8" w:rsidRPr="00604C75" w14:paraId="071181ED" w14:textId="77777777" w:rsidTr="009340BC">
        <w:trPr>
          <w:trHeight w:val="51"/>
        </w:trPr>
        <w:tc>
          <w:tcPr>
            <w:tcW w:w="4074" w:type="dxa"/>
            <w:gridSpan w:val="2"/>
            <w:noWrap/>
            <w:tcMar>
              <w:top w:w="18" w:type="dxa"/>
              <w:left w:w="18" w:type="dxa"/>
              <w:bottom w:w="0" w:type="dxa"/>
              <w:right w:w="18" w:type="dxa"/>
            </w:tcMar>
            <w:vAlign w:val="center"/>
          </w:tcPr>
          <w:p w14:paraId="506394CA" w14:textId="77777777" w:rsidR="00A63D36" w:rsidRPr="00604C75" w:rsidRDefault="00A63D36" w:rsidP="00C85FD2">
            <w:pPr>
              <w:rPr>
                <w:rFonts w:eastAsia="Arial Unicode MS"/>
                <w:b/>
                <w:bCs/>
                <w:noProof/>
                <w:sz w:val="12"/>
                <w:szCs w:val="12"/>
                <w:lang w:val="tr-TR"/>
              </w:rPr>
            </w:pPr>
          </w:p>
        </w:tc>
        <w:tc>
          <w:tcPr>
            <w:tcW w:w="644" w:type="dxa"/>
            <w:noWrap/>
            <w:tcMar>
              <w:top w:w="18" w:type="dxa"/>
              <w:left w:w="18" w:type="dxa"/>
              <w:bottom w:w="0" w:type="dxa"/>
              <w:right w:w="18" w:type="dxa"/>
            </w:tcMar>
            <w:vAlign w:val="bottom"/>
          </w:tcPr>
          <w:p w14:paraId="174FFC1A" w14:textId="77777777" w:rsidR="00A63D36" w:rsidRPr="00604C75" w:rsidRDefault="00A63D36" w:rsidP="00C85FD2">
            <w:pPr>
              <w:spacing w:line="211" w:lineRule="auto"/>
              <w:jc w:val="center"/>
              <w:rPr>
                <w:rFonts w:eastAsia="Arial Unicode MS"/>
                <w:sz w:val="10"/>
                <w:szCs w:val="10"/>
                <w:lang w:val="tr-TR"/>
              </w:rPr>
            </w:pPr>
          </w:p>
        </w:tc>
        <w:tc>
          <w:tcPr>
            <w:tcW w:w="895" w:type="dxa"/>
            <w:vAlign w:val="bottom"/>
          </w:tcPr>
          <w:p w14:paraId="72872871" w14:textId="77777777" w:rsidR="00A63D36" w:rsidRPr="00604C75" w:rsidRDefault="00A63D36" w:rsidP="00A63D36">
            <w:pPr>
              <w:ind w:left="-46" w:right="16" w:firstLine="46"/>
              <w:jc w:val="right"/>
              <w:rPr>
                <w:b/>
                <w:bCs/>
                <w:color w:val="000000"/>
                <w:sz w:val="10"/>
                <w:szCs w:val="10"/>
                <w:lang w:val="tr-TR"/>
              </w:rPr>
            </w:pPr>
          </w:p>
        </w:tc>
        <w:tc>
          <w:tcPr>
            <w:tcW w:w="1191" w:type="dxa"/>
            <w:vAlign w:val="bottom"/>
          </w:tcPr>
          <w:p w14:paraId="46275D54" w14:textId="77777777" w:rsidR="00A63D36" w:rsidRPr="00604C75" w:rsidRDefault="00A63D36" w:rsidP="00A63D36">
            <w:pPr>
              <w:ind w:left="-46" w:right="16" w:firstLine="46"/>
              <w:jc w:val="right"/>
              <w:rPr>
                <w:b/>
                <w:bCs/>
                <w:color w:val="000000"/>
                <w:sz w:val="10"/>
                <w:szCs w:val="10"/>
                <w:lang w:val="tr-TR"/>
              </w:rPr>
            </w:pPr>
          </w:p>
        </w:tc>
        <w:tc>
          <w:tcPr>
            <w:tcW w:w="896" w:type="dxa"/>
            <w:vAlign w:val="bottom"/>
          </w:tcPr>
          <w:p w14:paraId="6F34371B" w14:textId="77777777" w:rsidR="00A63D36" w:rsidRPr="00604C75" w:rsidRDefault="00A63D36" w:rsidP="00A63D36">
            <w:pPr>
              <w:ind w:right="28"/>
              <w:jc w:val="right"/>
              <w:rPr>
                <w:b/>
                <w:bCs/>
                <w:color w:val="000000"/>
                <w:sz w:val="10"/>
                <w:szCs w:val="10"/>
                <w:lang w:val="tr-TR"/>
              </w:rPr>
            </w:pPr>
          </w:p>
        </w:tc>
        <w:tc>
          <w:tcPr>
            <w:tcW w:w="881" w:type="dxa"/>
            <w:noWrap/>
            <w:tcMar>
              <w:top w:w="18" w:type="dxa"/>
              <w:left w:w="18" w:type="dxa"/>
              <w:bottom w:w="0" w:type="dxa"/>
              <w:right w:w="18" w:type="dxa"/>
            </w:tcMar>
            <w:vAlign w:val="bottom"/>
          </w:tcPr>
          <w:p w14:paraId="4132ED9C" w14:textId="77777777" w:rsidR="00A63D36" w:rsidRPr="00604C75" w:rsidRDefault="00A63D36" w:rsidP="00A63D36">
            <w:pPr>
              <w:spacing w:line="211" w:lineRule="auto"/>
              <w:jc w:val="right"/>
              <w:rPr>
                <w:b/>
                <w:sz w:val="10"/>
                <w:szCs w:val="10"/>
                <w:lang w:val="tr-TR"/>
              </w:rPr>
            </w:pPr>
          </w:p>
        </w:tc>
        <w:tc>
          <w:tcPr>
            <w:tcW w:w="895" w:type="dxa"/>
            <w:noWrap/>
            <w:tcMar>
              <w:top w:w="18" w:type="dxa"/>
              <w:left w:w="18" w:type="dxa"/>
              <w:bottom w:w="0" w:type="dxa"/>
              <w:right w:w="18" w:type="dxa"/>
            </w:tcMar>
            <w:vAlign w:val="bottom"/>
          </w:tcPr>
          <w:p w14:paraId="59D25B9A" w14:textId="77777777" w:rsidR="00A63D36" w:rsidRPr="00604C75" w:rsidRDefault="00A63D36" w:rsidP="00A63D36">
            <w:pPr>
              <w:spacing w:line="211" w:lineRule="auto"/>
              <w:jc w:val="right"/>
              <w:rPr>
                <w:b/>
                <w:sz w:val="10"/>
                <w:szCs w:val="10"/>
                <w:lang w:val="tr-TR"/>
              </w:rPr>
            </w:pPr>
          </w:p>
        </w:tc>
        <w:tc>
          <w:tcPr>
            <w:tcW w:w="896" w:type="dxa"/>
            <w:noWrap/>
            <w:tcMar>
              <w:top w:w="18" w:type="dxa"/>
              <w:left w:w="18" w:type="dxa"/>
              <w:bottom w:w="0" w:type="dxa"/>
              <w:right w:w="18" w:type="dxa"/>
            </w:tcMar>
            <w:vAlign w:val="bottom"/>
          </w:tcPr>
          <w:p w14:paraId="76110C4B" w14:textId="77777777" w:rsidR="00A63D36" w:rsidRPr="00604C75" w:rsidRDefault="00A63D36" w:rsidP="00A63D36">
            <w:pPr>
              <w:spacing w:line="211" w:lineRule="auto"/>
              <w:jc w:val="right"/>
              <w:rPr>
                <w:b/>
                <w:sz w:val="10"/>
                <w:szCs w:val="10"/>
                <w:lang w:val="tr-TR"/>
              </w:rPr>
            </w:pPr>
          </w:p>
        </w:tc>
      </w:tr>
      <w:tr w:rsidR="00980409" w:rsidRPr="00604C75" w14:paraId="68788A70" w14:textId="77777777" w:rsidTr="009340BC">
        <w:trPr>
          <w:trHeight w:hRule="exact" w:val="142"/>
        </w:trPr>
        <w:tc>
          <w:tcPr>
            <w:tcW w:w="494" w:type="dxa"/>
            <w:noWrap/>
            <w:tcMar>
              <w:top w:w="18" w:type="dxa"/>
              <w:left w:w="18" w:type="dxa"/>
              <w:bottom w:w="0" w:type="dxa"/>
              <w:right w:w="18" w:type="dxa"/>
            </w:tcMar>
            <w:vAlign w:val="bottom"/>
          </w:tcPr>
          <w:p w14:paraId="45B20B22" w14:textId="77777777" w:rsidR="00980409" w:rsidRPr="00604C75" w:rsidRDefault="00980409" w:rsidP="00980409">
            <w:pPr>
              <w:ind w:left="567" w:hanging="567"/>
              <w:rPr>
                <w:rFonts w:eastAsia="Arial Unicode MS"/>
                <w:b/>
                <w:bCs/>
                <w:noProof/>
                <w:sz w:val="12"/>
                <w:szCs w:val="12"/>
                <w:lang w:val="tr-TR"/>
              </w:rPr>
            </w:pPr>
            <w:r w:rsidRPr="00604C75">
              <w:rPr>
                <w:rFonts w:eastAsia="Arial Unicode MS"/>
                <w:b/>
                <w:bCs/>
                <w:noProof/>
                <w:sz w:val="12"/>
                <w:szCs w:val="12"/>
                <w:lang w:val="tr-TR"/>
              </w:rPr>
              <w:t xml:space="preserve">A </w:t>
            </w:r>
            <w:r w:rsidRPr="00604C75">
              <w:rPr>
                <w:rFonts w:eastAsia="Arial Unicode MS"/>
                <w:b/>
                <w:bCs/>
                <w:noProof/>
                <w:sz w:val="12"/>
                <w:szCs w:val="12"/>
                <w:lang w:val="tr-TR"/>
              </w:rPr>
              <w:tab/>
              <w:t>OFF-BALANCE SHEET COMMITMENTS (I+II+III)</w:t>
            </w:r>
          </w:p>
        </w:tc>
        <w:tc>
          <w:tcPr>
            <w:tcW w:w="3580" w:type="dxa"/>
            <w:noWrap/>
            <w:tcMar>
              <w:top w:w="18" w:type="dxa"/>
              <w:left w:w="18" w:type="dxa"/>
              <w:bottom w:w="0" w:type="dxa"/>
              <w:right w:w="18" w:type="dxa"/>
            </w:tcMar>
            <w:vAlign w:val="bottom"/>
          </w:tcPr>
          <w:p w14:paraId="5A61ED5E" w14:textId="77777777" w:rsidR="00980409" w:rsidRPr="00604C75" w:rsidRDefault="00980409" w:rsidP="00980409">
            <w:pPr>
              <w:spacing w:line="211" w:lineRule="auto"/>
              <w:rPr>
                <w:rFonts w:eastAsia="Arial Unicode MS"/>
                <w:b/>
                <w:bCs/>
                <w:sz w:val="10"/>
                <w:szCs w:val="10"/>
                <w:lang w:val="tr-TR"/>
              </w:rPr>
            </w:pPr>
            <w:r w:rsidRPr="00604C75">
              <w:rPr>
                <w:rFonts w:eastAsia="Arial Unicode MS"/>
                <w:b/>
                <w:bCs/>
                <w:noProof/>
                <w:sz w:val="12"/>
                <w:szCs w:val="12"/>
                <w:lang w:val="tr-TR"/>
              </w:rPr>
              <w:t>OFF-BALANCE SHEET COMMITMENTS (I+II+III)</w:t>
            </w:r>
          </w:p>
        </w:tc>
        <w:tc>
          <w:tcPr>
            <w:tcW w:w="644" w:type="dxa"/>
            <w:noWrap/>
            <w:tcMar>
              <w:top w:w="18" w:type="dxa"/>
              <w:left w:w="18" w:type="dxa"/>
              <w:bottom w:w="0" w:type="dxa"/>
              <w:right w:w="18" w:type="dxa"/>
            </w:tcMar>
            <w:vAlign w:val="bottom"/>
          </w:tcPr>
          <w:p w14:paraId="79DC1D11" w14:textId="77777777" w:rsidR="00980409" w:rsidRPr="00604C75" w:rsidRDefault="00980409" w:rsidP="00980409">
            <w:pPr>
              <w:spacing w:line="211" w:lineRule="auto"/>
              <w:jc w:val="center"/>
              <w:rPr>
                <w:rFonts w:eastAsia="Arial Unicode MS"/>
                <w:b/>
                <w:bCs/>
                <w:sz w:val="10"/>
                <w:szCs w:val="10"/>
                <w:lang w:val="tr-TR"/>
              </w:rPr>
            </w:pPr>
          </w:p>
        </w:tc>
        <w:tc>
          <w:tcPr>
            <w:tcW w:w="895" w:type="dxa"/>
            <w:vAlign w:val="bottom"/>
          </w:tcPr>
          <w:p w14:paraId="0C5400ED" w14:textId="71B88038" w:rsidR="00980409" w:rsidRPr="003F3682" w:rsidRDefault="00980409" w:rsidP="00980409">
            <w:pPr>
              <w:jc w:val="right"/>
              <w:rPr>
                <w:b/>
                <w:sz w:val="11"/>
                <w:szCs w:val="11"/>
              </w:rPr>
            </w:pPr>
            <w:r w:rsidRPr="003F3682">
              <w:rPr>
                <w:b/>
                <w:sz w:val="11"/>
                <w:szCs w:val="11"/>
              </w:rPr>
              <w:t>5,226,557</w:t>
            </w:r>
          </w:p>
        </w:tc>
        <w:tc>
          <w:tcPr>
            <w:tcW w:w="1191" w:type="dxa"/>
            <w:vAlign w:val="bottom"/>
          </w:tcPr>
          <w:p w14:paraId="0DB43F5F" w14:textId="1DA031AE" w:rsidR="00980409" w:rsidRPr="003F3682" w:rsidRDefault="00980409" w:rsidP="00980409">
            <w:pPr>
              <w:jc w:val="right"/>
              <w:rPr>
                <w:b/>
                <w:sz w:val="11"/>
                <w:szCs w:val="11"/>
              </w:rPr>
            </w:pPr>
            <w:r w:rsidRPr="003F3682">
              <w:rPr>
                <w:b/>
                <w:sz w:val="11"/>
                <w:szCs w:val="11"/>
              </w:rPr>
              <w:t>9,883,775</w:t>
            </w:r>
          </w:p>
        </w:tc>
        <w:tc>
          <w:tcPr>
            <w:tcW w:w="896" w:type="dxa"/>
            <w:vAlign w:val="bottom"/>
          </w:tcPr>
          <w:p w14:paraId="56EFC6A0" w14:textId="51972176" w:rsidR="00980409" w:rsidRPr="003F3682" w:rsidRDefault="00980409" w:rsidP="00980409">
            <w:pPr>
              <w:jc w:val="right"/>
              <w:rPr>
                <w:b/>
                <w:sz w:val="11"/>
                <w:szCs w:val="11"/>
              </w:rPr>
            </w:pPr>
            <w:r w:rsidRPr="003F3682">
              <w:rPr>
                <w:b/>
                <w:sz w:val="11"/>
                <w:szCs w:val="11"/>
              </w:rPr>
              <w:t>15,110,332</w:t>
            </w:r>
          </w:p>
        </w:tc>
        <w:tc>
          <w:tcPr>
            <w:tcW w:w="881" w:type="dxa"/>
            <w:noWrap/>
            <w:tcMar>
              <w:top w:w="18" w:type="dxa"/>
              <w:left w:w="18" w:type="dxa"/>
              <w:bottom w:w="0" w:type="dxa"/>
              <w:right w:w="18" w:type="dxa"/>
            </w:tcMar>
            <w:vAlign w:val="bottom"/>
          </w:tcPr>
          <w:p w14:paraId="47A3BAEC" w14:textId="3E13B255" w:rsidR="00980409" w:rsidRPr="00692926" w:rsidRDefault="00980409" w:rsidP="00980409">
            <w:pPr>
              <w:spacing w:line="211" w:lineRule="auto"/>
              <w:jc w:val="right"/>
              <w:rPr>
                <w:b/>
                <w:sz w:val="11"/>
                <w:szCs w:val="11"/>
              </w:rPr>
            </w:pPr>
            <w:r w:rsidRPr="00692926">
              <w:rPr>
                <w:b/>
                <w:sz w:val="11"/>
                <w:szCs w:val="11"/>
              </w:rPr>
              <w:t>3,866,422</w:t>
            </w:r>
          </w:p>
        </w:tc>
        <w:tc>
          <w:tcPr>
            <w:tcW w:w="895" w:type="dxa"/>
            <w:noWrap/>
            <w:tcMar>
              <w:top w:w="18" w:type="dxa"/>
              <w:left w:w="18" w:type="dxa"/>
              <w:bottom w:w="0" w:type="dxa"/>
              <w:right w:w="18" w:type="dxa"/>
            </w:tcMar>
            <w:vAlign w:val="bottom"/>
          </w:tcPr>
          <w:p w14:paraId="6F46BE8E" w14:textId="56C0B732" w:rsidR="00980409" w:rsidRPr="00692926" w:rsidRDefault="00980409" w:rsidP="00980409">
            <w:pPr>
              <w:spacing w:line="211" w:lineRule="auto"/>
              <w:jc w:val="right"/>
              <w:rPr>
                <w:b/>
                <w:sz w:val="11"/>
                <w:szCs w:val="11"/>
              </w:rPr>
            </w:pPr>
            <w:r w:rsidRPr="00692926">
              <w:rPr>
                <w:b/>
                <w:sz w:val="11"/>
                <w:szCs w:val="11"/>
              </w:rPr>
              <w:t>3,744,418</w:t>
            </w:r>
          </w:p>
        </w:tc>
        <w:tc>
          <w:tcPr>
            <w:tcW w:w="896" w:type="dxa"/>
            <w:noWrap/>
            <w:tcMar>
              <w:top w:w="18" w:type="dxa"/>
              <w:left w:w="18" w:type="dxa"/>
              <w:bottom w:w="0" w:type="dxa"/>
              <w:right w:w="18" w:type="dxa"/>
            </w:tcMar>
            <w:vAlign w:val="bottom"/>
          </w:tcPr>
          <w:p w14:paraId="08095117" w14:textId="637B8414" w:rsidR="00980409" w:rsidRPr="00692926" w:rsidRDefault="00980409" w:rsidP="00980409">
            <w:pPr>
              <w:spacing w:line="211" w:lineRule="auto"/>
              <w:jc w:val="right"/>
              <w:rPr>
                <w:b/>
                <w:sz w:val="11"/>
                <w:szCs w:val="11"/>
              </w:rPr>
            </w:pPr>
            <w:r w:rsidRPr="00692926">
              <w:rPr>
                <w:b/>
                <w:sz w:val="11"/>
                <w:szCs w:val="11"/>
              </w:rPr>
              <w:t>7,610,840</w:t>
            </w:r>
          </w:p>
        </w:tc>
      </w:tr>
      <w:tr w:rsidR="00224102" w:rsidRPr="00604C75" w14:paraId="3F886F6F" w14:textId="77777777" w:rsidTr="009340BC">
        <w:trPr>
          <w:trHeight w:hRule="exact" w:val="142"/>
        </w:trPr>
        <w:tc>
          <w:tcPr>
            <w:tcW w:w="494" w:type="dxa"/>
            <w:noWrap/>
            <w:tcMar>
              <w:top w:w="18" w:type="dxa"/>
              <w:left w:w="18" w:type="dxa"/>
              <w:bottom w:w="0" w:type="dxa"/>
              <w:right w:w="18" w:type="dxa"/>
            </w:tcMar>
            <w:vAlign w:val="bottom"/>
          </w:tcPr>
          <w:p w14:paraId="7363D588"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I.</w:t>
            </w:r>
          </w:p>
        </w:tc>
        <w:tc>
          <w:tcPr>
            <w:tcW w:w="3580" w:type="dxa"/>
            <w:noWrap/>
            <w:tcMar>
              <w:top w:w="18" w:type="dxa"/>
              <w:left w:w="18" w:type="dxa"/>
              <w:bottom w:w="0" w:type="dxa"/>
              <w:right w:w="18" w:type="dxa"/>
            </w:tcMar>
            <w:vAlign w:val="bottom"/>
          </w:tcPr>
          <w:p w14:paraId="5803C35B"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GUARANTEES AND WARRANTIES</w:t>
            </w:r>
          </w:p>
        </w:tc>
        <w:tc>
          <w:tcPr>
            <w:tcW w:w="644" w:type="dxa"/>
            <w:noWrap/>
            <w:tcMar>
              <w:top w:w="18" w:type="dxa"/>
              <w:left w:w="18" w:type="dxa"/>
              <w:bottom w:w="0" w:type="dxa"/>
              <w:right w:w="18" w:type="dxa"/>
            </w:tcMar>
            <w:vAlign w:val="bottom"/>
          </w:tcPr>
          <w:p w14:paraId="236A6B21" w14:textId="231945CC" w:rsidR="00224102" w:rsidRPr="00604C75" w:rsidRDefault="00224102" w:rsidP="00224102">
            <w:pPr>
              <w:spacing w:line="211" w:lineRule="auto"/>
              <w:jc w:val="center"/>
              <w:rPr>
                <w:rFonts w:eastAsia="Arial Unicode MS"/>
                <w:bCs/>
                <w:sz w:val="10"/>
                <w:szCs w:val="10"/>
                <w:lang w:val="tr-TR"/>
              </w:rPr>
            </w:pPr>
            <w:r w:rsidRPr="00692926">
              <w:rPr>
                <w:rFonts w:eastAsia="Arial Unicode MS"/>
                <w:b/>
                <w:bCs/>
                <w:sz w:val="10"/>
                <w:szCs w:val="10"/>
              </w:rPr>
              <w:t>III-a-3.1</w:t>
            </w:r>
          </w:p>
        </w:tc>
        <w:tc>
          <w:tcPr>
            <w:tcW w:w="895" w:type="dxa"/>
            <w:vAlign w:val="bottom"/>
          </w:tcPr>
          <w:p w14:paraId="449C8823" w14:textId="137CEAB7" w:rsidR="00224102" w:rsidRPr="003F3682" w:rsidRDefault="00224102" w:rsidP="00224102">
            <w:pPr>
              <w:jc w:val="right"/>
              <w:rPr>
                <w:b/>
                <w:sz w:val="11"/>
                <w:szCs w:val="11"/>
              </w:rPr>
            </w:pPr>
            <w:r w:rsidRPr="005C7ECF">
              <w:rPr>
                <w:b/>
                <w:sz w:val="11"/>
                <w:szCs w:val="11"/>
              </w:rPr>
              <w:t>1,227,311</w:t>
            </w:r>
          </w:p>
        </w:tc>
        <w:tc>
          <w:tcPr>
            <w:tcW w:w="1191" w:type="dxa"/>
            <w:vAlign w:val="bottom"/>
          </w:tcPr>
          <w:p w14:paraId="441F7491" w14:textId="0A6DD795" w:rsidR="00224102" w:rsidRPr="003F3682" w:rsidRDefault="00224102" w:rsidP="00224102">
            <w:pPr>
              <w:jc w:val="right"/>
              <w:rPr>
                <w:b/>
                <w:sz w:val="11"/>
                <w:szCs w:val="11"/>
              </w:rPr>
            </w:pPr>
            <w:r w:rsidRPr="005C7ECF">
              <w:rPr>
                <w:b/>
                <w:sz w:val="11"/>
                <w:szCs w:val="11"/>
              </w:rPr>
              <w:t>1,946,660</w:t>
            </w:r>
          </w:p>
        </w:tc>
        <w:tc>
          <w:tcPr>
            <w:tcW w:w="896" w:type="dxa"/>
            <w:vAlign w:val="bottom"/>
          </w:tcPr>
          <w:p w14:paraId="05C7ADF4" w14:textId="5C7B737C" w:rsidR="00224102" w:rsidRPr="003F3682" w:rsidRDefault="00224102" w:rsidP="00224102">
            <w:pPr>
              <w:jc w:val="right"/>
              <w:rPr>
                <w:b/>
                <w:sz w:val="11"/>
                <w:szCs w:val="11"/>
              </w:rPr>
            </w:pPr>
            <w:r w:rsidRPr="005C7ECF">
              <w:rPr>
                <w:b/>
                <w:sz w:val="11"/>
                <w:szCs w:val="11"/>
              </w:rPr>
              <w:t>3,173,971</w:t>
            </w:r>
          </w:p>
        </w:tc>
        <w:tc>
          <w:tcPr>
            <w:tcW w:w="881" w:type="dxa"/>
            <w:noWrap/>
            <w:tcMar>
              <w:top w:w="18" w:type="dxa"/>
              <w:left w:w="18" w:type="dxa"/>
              <w:bottom w:w="0" w:type="dxa"/>
              <w:right w:w="18" w:type="dxa"/>
            </w:tcMar>
            <w:vAlign w:val="bottom"/>
          </w:tcPr>
          <w:p w14:paraId="586923DC" w14:textId="315CCDA0" w:rsidR="00224102" w:rsidRPr="00692926" w:rsidRDefault="00224102" w:rsidP="00224102">
            <w:pPr>
              <w:spacing w:line="211" w:lineRule="auto"/>
              <w:jc w:val="right"/>
              <w:rPr>
                <w:b/>
                <w:sz w:val="11"/>
                <w:szCs w:val="11"/>
              </w:rPr>
            </w:pPr>
            <w:r w:rsidRPr="00692926">
              <w:rPr>
                <w:b/>
                <w:sz w:val="11"/>
                <w:szCs w:val="11"/>
              </w:rPr>
              <w:t>1,287,724</w:t>
            </w:r>
          </w:p>
        </w:tc>
        <w:tc>
          <w:tcPr>
            <w:tcW w:w="895" w:type="dxa"/>
            <w:noWrap/>
            <w:tcMar>
              <w:top w:w="18" w:type="dxa"/>
              <w:left w:w="18" w:type="dxa"/>
              <w:bottom w:w="0" w:type="dxa"/>
              <w:right w:w="18" w:type="dxa"/>
            </w:tcMar>
            <w:vAlign w:val="bottom"/>
          </w:tcPr>
          <w:p w14:paraId="54918DEE" w14:textId="24433220" w:rsidR="00224102" w:rsidRPr="00692926" w:rsidRDefault="00224102" w:rsidP="00224102">
            <w:pPr>
              <w:spacing w:line="211" w:lineRule="auto"/>
              <w:jc w:val="right"/>
              <w:rPr>
                <w:b/>
                <w:sz w:val="11"/>
                <w:szCs w:val="11"/>
              </w:rPr>
            </w:pPr>
            <w:r w:rsidRPr="00692926">
              <w:rPr>
                <w:b/>
                <w:sz w:val="11"/>
                <w:szCs w:val="11"/>
              </w:rPr>
              <w:t>986,441</w:t>
            </w:r>
          </w:p>
        </w:tc>
        <w:tc>
          <w:tcPr>
            <w:tcW w:w="896" w:type="dxa"/>
            <w:noWrap/>
            <w:tcMar>
              <w:top w:w="18" w:type="dxa"/>
              <w:left w:w="18" w:type="dxa"/>
              <w:bottom w:w="0" w:type="dxa"/>
              <w:right w:w="18" w:type="dxa"/>
            </w:tcMar>
            <w:vAlign w:val="bottom"/>
          </w:tcPr>
          <w:p w14:paraId="6EFEC996" w14:textId="6CE6711F" w:rsidR="00224102" w:rsidRPr="00692926" w:rsidRDefault="00224102" w:rsidP="00224102">
            <w:pPr>
              <w:spacing w:line="211" w:lineRule="auto"/>
              <w:jc w:val="right"/>
              <w:rPr>
                <w:b/>
                <w:sz w:val="11"/>
                <w:szCs w:val="11"/>
              </w:rPr>
            </w:pPr>
            <w:r w:rsidRPr="00692926">
              <w:rPr>
                <w:b/>
                <w:sz w:val="11"/>
                <w:szCs w:val="11"/>
              </w:rPr>
              <w:t>2,274,165</w:t>
            </w:r>
          </w:p>
        </w:tc>
      </w:tr>
      <w:tr w:rsidR="00224102" w:rsidRPr="00604C75" w14:paraId="2FDBE10E" w14:textId="77777777" w:rsidTr="009340BC">
        <w:trPr>
          <w:trHeight w:hRule="exact" w:val="142"/>
        </w:trPr>
        <w:tc>
          <w:tcPr>
            <w:tcW w:w="494" w:type="dxa"/>
            <w:noWrap/>
            <w:tcMar>
              <w:top w:w="18" w:type="dxa"/>
              <w:left w:w="18" w:type="dxa"/>
              <w:bottom w:w="0" w:type="dxa"/>
              <w:right w:w="18" w:type="dxa"/>
            </w:tcMar>
            <w:vAlign w:val="bottom"/>
          </w:tcPr>
          <w:p w14:paraId="7027DD8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1.1</w:t>
            </w:r>
          </w:p>
        </w:tc>
        <w:tc>
          <w:tcPr>
            <w:tcW w:w="3580" w:type="dxa"/>
            <w:noWrap/>
            <w:tcMar>
              <w:top w:w="18" w:type="dxa"/>
              <w:left w:w="18" w:type="dxa"/>
              <w:bottom w:w="0" w:type="dxa"/>
              <w:right w:w="18" w:type="dxa"/>
            </w:tcMar>
            <w:vAlign w:val="bottom"/>
          </w:tcPr>
          <w:p w14:paraId="446B3719"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Letters of Guarantee</w:t>
            </w:r>
          </w:p>
        </w:tc>
        <w:tc>
          <w:tcPr>
            <w:tcW w:w="644" w:type="dxa"/>
            <w:noWrap/>
            <w:tcMar>
              <w:top w:w="18" w:type="dxa"/>
              <w:left w:w="18" w:type="dxa"/>
              <w:bottom w:w="0" w:type="dxa"/>
              <w:right w:w="18" w:type="dxa"/>
            </w:tcMar>
            <w:vAlign w:val="bottom"/>
          </w:tcPr>
          <w:p w14:paraId="602DA202" w14:textId="1A8DAB63" w:rsidR="00224102" w:rsidRPr="00604C75" w:rsidRDefault="00224102" w:rsidP="00224102">
            <w:pPr>
              <w:spacing w:line="211" w:lineRule="auto"/>
              <w:jc w:val="center"/>
              <w:rPr>
                <w:rFonts w:eastAsia="Arial Unicode MS"/>
                <w:sz w:val="10"/>
                <w:szCs w:val="10"/>
                <w:lang w:val="tr-TR"/>
              </w:rPr>
            </w:pPr>
            <w:r w:rsidRPr="00692926">
              <w:rPr>
                <w:rFonts w:eastAsia="Arial Unicode MS"/>
                <w:bCs/>
                <w:sz w:val="10"/>
                <w:szCs w:val="10"/>
              </w:rPr>
              <w:t>III-a-2.2</w:t>
            </w:r>
          </w:p>
        </w:tc>
        <w:tc>
          <w:tcPr>
            <w:tcW w:w="895" w:type="dxa"/>
            <w:vAlign w:val="bottom"/>
          </w:tcPr>
          <w:p w14:paraId="51ACFE18" w14:textId="7F8F7A7D" w:rsidR="00224102" w:rsidRPr="003F3682" w:rsidRDefault="00224102" w:rsidP="00224102">
            <w:pPr>
              <w:jc w:val="right"/>
              <w:rPr>
                <w:b/>
                <w:sz w:val="11"/>
                <w:szCs w:val="11"/>
              </w:rPr>
            </w:pPr>
            <w:r w:rsidRPr="00E46F2D">
              <w:rPr>
                <w:sz w:val="11"/>
                <w:szCs w:val="11"/>
              </w:rPr>
              <w:t>1,227,311</w:t>
            </w:r>
          </w:p>
        </w:tc>
        <w:tc>
          <w:tcPr>
            <w:tcW w:w="1191" w:type="dxa"/>
            <w:vAlign w:val="bottom"/>
          </w:tcPr>
          <w:p w14:paraId="749CB09D" w14:textId="4742A50E" w:rsidR="00224102" w:rsidRPr="003F3682" w:rsidRDefault="00224102" w:rsidP="00224102">
            <w:pPr>
              <w:jc w:val="right"/>
              <w:rPr>
                <w:b/>
                <w:sz w:val="11"/>
                <w:szCs w:val="11"/>
              </w:rPr>
            </w:pPr>
            <w:r w:rsidRPr="00E46F2D">
              <w:rPr>
                <w:sz w:val="11"/>
                <w:szCs w:val="11"/>
              </w:rPr>
              <w:t>1,013,753</w:t>
            </w:r>
          </w:p>
        </w:tc>
        <w:tc>
          <w:tcPr>
            <w:tcW w:w="896" w:type="dxa"/>
            <w:vAlign w:val="bottom"/>
          </w:tcPr>
          <w:p w14:paraId="3A306555" w14:textId="680DFF85" w:rsidR="00224102" w:rsidRPr="003F3682" w:rsidRDefault="00224102" w:rsidP="00224102">
            <w:pPr>
              <w:jc w:val="right"/>
              <w:rPr>
                <w:b/>
                <w:sz w:val="11"/>
                <w:szCs w:val="11"/>
              </w:rPr>
            </w:pPr>
            <w:r w:rsidRPr="00E46F2D">
              <w:rPr>
                <w:sz w:val="11"/>
                <w:szCs w:val="11"/>
              </w:rPr>
              <w:t>2,241,064</w:t>
            </w:r>
          </w:p>
        </w:tc>
        <w:tc>
          <w:tcPr>
            <w:tcW w:w="881" w:type="dxa"/>
            <w:noWrap/>
            <w:tcMar>
              <w:top w:w="18" w:type="dxa"/>
              <w:left w:w="18" w:type="dxa"/>
              <w:bottom w:w="0" w:type="dxa"/>
              <w:right w:w="18" w:type="dxa"/>
            </w:tcMar>
            <w:vAlign w:val="bottom"/>
          </w:tcPr>
          <w:p w14:paraId="6DAC2FBD" w14:textId="202A69D5" w:rsidR="00224102" w:rsidRPr="00692926" w:rsidRDefault="00224102" w:rsidP="00224102">
            <w:pPr>
              <w:spacing w:line="211" w:lineRule="auto"/>
              <w:jc w:val="right"/>
              <w:rPr>
                <w:sz w:val="11"/>
                <w:szCs w:val="11"/>
              </w:rPr>
            </w:pPr>
            <w:r w:rsidRPr="00201F1D">
              <w:rPr>
                <w:sz w:val="11"/>
                <w:szCs w:val="11"/>
              </w:rPr>
              <w:t>1,287,724</w:t>
            </w:r>
          </w:p>
        </w:tc>
        <w:tc>
          <w:tcPr>
            <w:tcW w:w="895" w:type="dxa"/>
            <w:noWrap/>
            <w:tcMar>
              <w:top w:w="18" w:type="dxa"/>
              <w:left w:w="18" w:type="dxa"/>
              <w:bottom w:w="0" w:type="dxa"/>
              <w:right w:w="18" w:type="dxa"/>
            </w:tcMar>
            <w:vAlign w:val="bottom"/>
          </w:tcPr>
          <w:p w14:paraId="01B058E7" w14:textId="0157FDDB" w:rsidR="00224102" w:rsidRPr="00692926" w:rsidRDefault="00224102" w:rsidP="00224102">
            <w:pPr>
              <w:spacing w:line="211" w:lineRule="auto"/>
              <w:jc w:val="right"/>
              <w:rPr>
                <w:sz w:val="11"/>
                <w:szCs w:val="11"/>
              </w:rPr>
            </w:pPr>
            <w:r w:rsidRPr="00201F1D">
              <w:rPr>
                <w:sz w:val="11"/>
                <w:szCs w:val="11"/>
              </w:rPr>
              <w:t>567,518</w:t>
            </w:r>
          </w:p>
        </w:tc>
        <w:tc>
          <w:tcPr>
            <w:tcW w:w="896" w:type="dxa"/>
            <w:noWrap/>
            <w:tcMar>
              <w:top w:w="18" w:type="dxa"/>
              <w:left w:w="18" w:type="dxa"/>
              <w:bottom w:w="0" w:type="dxa"/>
              <w:right w:w="18" w:type="dxa"/>
            </w:tcMar>
            <w:vAlign w:val="bottom"/>
          </w:tcPr>
          <w:p w14:paraId="654F577A" w14:textId="032E6135" w:rsidR="00224102" w:rsidRPr="00692926" w:rsidRDefault="00224102" w:rsidP="00224102">
            <w:pPr>
              <w:spacing w:line="211" w:lineRule="auto"/>
              <w:jc w:val="right"/>
              <w:rPr>
                <w:sz w:val="11"/>
                <w:szCs w:val="11"/>
              </w:rPr>
            </w:pPr>
            <w:r w:rsidRPr="00201F1D">
              <w:rPr>
                <w:sz w:val="11"/>
                <w:szCs w:val="11"/>
              </w:rPr>
              <w:t>1,855,242</w:t>
            </w:r>
          </w:p>
        </w:tc>
      </w:tr>
      <w:tr w:rsidR="00224102" w:rsidRPr="00604C75" w14:paraId="04C95C10" w14:textId="77777777" w:rsidTr="009340BC">
        <w:trPr>
          <w:trHeight w:hRule="exact" w:val="142"/>
        </w:trPr>
        <w:tc>
          <w:tcPr>
            <w:tcW w:w="494" w:type="dxa"/>
            <w:noWrap/>
            <w:tcMar>
              <w:top w:w="18" w:type="dxa"/>
              <w:left w:w="18" w:type="dxa"/>
              <w:bottom w:w="0" w:type="dxa"/>
              <w:right w:w="18" w:type="dxa"/>
            </w:tcMar>
            <w:vAlign w:val="bottom"/>
          </w:tcPr>
          <w:p w14:paraId="215598A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1.1.1</w:t>
            </w:r>
          </w:p>
        </w:tc>
        <w:tc>
          <w:tcPr>
            <w:tcW w:w="3580" w:type="dxa"/>
            <w:noWrap/>
            <w:tcMar>
              <w:top w:w="18" w:type="dxa"/>
              <w:left w:w="18" w:type="dxa"/>
              <w:bottom w:w="0" w:type="dxa"/>
              <w:right w:w="18" w:type="dxa"/>
            </w:tcMar>
            <w:vAlign w:val="bottom"/>
          </w:tcPr>
          <w:p w14:paraId="6BCCF0FD"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Guarantees Subject to State Tender Law</w:t>
            </w:r>
          </w:p>
        </w:tc>
        <w:tc>
          <w:tcPr>
            <w:tcW w:w="644" w:type="dxa"/>
            <w:noWrap/>
            <w:tcMar>
              <w:top w:w="18" w:type="dxa"/>
              <w:left w:w="18" w:type="dxa"/>
              <w:bottom w:w="0" w:type="dxa"/>
              <w:right w:w="18" w:type="dxa"/>
            </w:tcMar>
            <w:vAlign w:val="bottom"/>
          </w:tcPr>
          <w:p w14:paraId="304602F6"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08EC6452" w14:textId="1B2C0586" w:rsidR="00224102" w:rsidRPr="003F3682" w:rsidRDefault="00224102" w:rsidP="00224102">
            <w:pPr>
              <w:jc w:val="right"/>
              <w:rPr>
                <w:b/>
                <w:sz w:val="11"/>
                <w:szCs w:val="11"/>
              </w:rPr>
            </w:pPr>
            <w:r w:rsidRPr="00E46F2D">
              <w:rPr>
                <w:sz w:val="11"/>
                <w:szCs w:val="11"/>
              </w:rPr>
              <w:t>26,863</w:t>
            </w:r>
          </w:p>
        </w:tc>
        <w:tc>
          <w:tcPr>
            <w:tcW w:w="1191" w:type="dxa"/>
            <w:vAlign w:val="bottom"/>
          </w:tcPr>
          <w:p w14:paraId="6FD1662B" w14:textId="666078F2" w:rsidR="00224102" w:rsidRPr="003F3682" w:rsidRDefault="00224102" w:rsidP="00224102">
            <w:pPr>
              <w:jc w:val="right"/>
              <w:rPr>
                <w:b/>
                <w:sz w:val="11"/>
                <w:szCs w:val="11"/>
              </w:rPr>
            </w:pPr>
            <w:r w:rsidRPr="00E46F2D">
              <w:rPr>
                <w:sz w:val="11"/>
                <w:szCs w:val="11"/>
              </w:rPr>
              <w:t>10,339</w:t>
            </w:r>
          </w:p>
        </w:tc>
        <w:tc>
          <w:tcPr>
            <w:tcW w:w="896" w:type="dxa"/>
            <w:vAlign w:val="bottom"/>
          </w:tcPr>
          <w:p w14:paraId="4F496B4B" w14:textId="68BE04A6" w:rsidR="00224102" w:rsidRPr="003F3682" w:rsidRDefault="00224102" w:rsidP="00224102">
            <w:pPr>
              <w:jc w:val="right"/>
              <w:rPr>
                <w:b/>
                <w:sz w:val="11"/>
                <w:szCs w:val="11"/>
              </w:rPr>
            </w:pPr>
            <w:r w:rsidRPr="00E46F2D">
              <w:rPr>
                <w:sz w:val="11"/>
                <w:szCs w:val="11"/>
              </w:rPr>
              <w:t>37,202</w:t>
            </w:r>
          </w:p>
        </w:tc>
        <w:tc>
          <w:tcPr>
            <w:tcW w:w="881" w:type="dxa"/>
            <w:noWrap/>
            <w:tcMar>
              <w:top w:w="18" w:type="dxa"/>
              <w:left w:w="18" w:type="dxa"/>
              <w:bottom w:w="0" w:type="dxa"/>
              <w:right w:w="18" w:type="dxa"/>
            </w:tcMar>
            <w:vAlign w:val="bottom"/>
          </w:tcPr>
          <w:p w14:paraId="4EA5F6D5" w14:textId="17D50196" w:rsidR="00224102" w:rsidRPr="00692926" w:rsidRDefault="00224102" w:rsidP="00224102">
            <w:pPr>
              <w:spacing w:line="211" w:lineRule="auto"/>
              <w:jc w:val="right"/>
              <w:rPr>
                <w:sz w:val="11"/>
                <w:szCs w:val="11"/>
              </w:rPr>
            </w:pPr>
            <w:r w:rsidRPr="00201F1D">
              <w:rPr>
                <w:sz w:val="11"/>
                <w:szCs w:val="11"/>
              </w:rPr>
              <w:t>37,089</w:t>
            </w:r>
          </w:p>
        </w:tc>
        <w:tc>
          <w:tcPr>
            <w:tcW w:w="895" w:type="dxa"/>
            <w:noWrap/>
            <w:tcMar>
              <w:top w:w="18" w:type="dxa"/>
              <w:left w:w="18" w:type="dxa"/>
              <w:bottom w:w="0" w:type="dxa"/>
              <w:right w:w="18" w:type="dxa"/>
            </w:tcMar>
            <w:vAlign w:val="bottom"/>
          </w:tcPr>
          <w:p w14:paraId="4FFB3A5F" w14:textId="65BF07FB" w:rsidR="00224102" w:rsidRPr="00692926" w:rsidRDefault="00224102" w:rsidP="00224102">
            <w:pPr>
              <w:spacing w:line="211" w:lineRule="auto"/>
              <w:jc w:val="right"/>
              <w:rPr>
                <w:sz w:val="11"/>
                <w:szCs w:val="11"/>
              </w:rPr>
            </w:pPr>
            <w:r w:rsidRPr="00201F1D">
              <w:rPr>
                <w:sz w:val="11"/>
                <w:szCs w:val="11"/>
              </w:rPr>
              <w:t>13,923</w:t>
            </w:r>
          </w:p>
        </w:tc>
        <w:tc>
          <w:tcPr>
            <w:tcW w:w="896" w:type="dxa"/>
            <w:noWrap/>
            <w:tcMar>
              <w:top w:w="18" w:type="dxa"/>
              <w:left w:w="18" w:type="dxa"/>
              <w:bottom w:w="0" w:type="dxa"/>
              <w:right w:w="18" w:type="dxa"/>
            </w:tcMar>
            <w:vAlign w:val="bottom"/>
          </w:tcPr>
          <w:p w14:paraId="73FB250D" w14:textId="20EEF26D" w:rsidR="00224102" w:rsidRPr="00692926" w:rsidRDefault="00224102" w:rsidP="00224102">
            <w:pPr>
              <w:spacing w:line="211" w:lineRule="auto"/>
              <w:jc w:val="right"/>
              <w:rPr>
                <w:sz w:val="11"/>
                <w:szCs w:val="11"/>
              </w:rPr>
            </w:pPr>
            <w:r w:rsidRPr="00201F1D">
              <w:rPr>
                <w:sz w:val="11"/>
                <w:szCs w:val="11"/>
              </w:rPr>
              <w:t>51,012</w:t>
            </w:r>
          </w:p>
        </w:tc>
      </w:tr>
      <w:tr w:rsidR="00224102" w:rsidRPr="00604C75" w14:paraId="70775559" w14:textId="77777777" w:rsidTr="009340BC">
        <w:trPr>
          <w:trHeight w:hRule="exact" w:val="142"/>
        </w:trPr>
        <w:tc>
          <w:tcPr>
            <w:tcW w:w="494" w:type="dxa"/>
            <w:noWrap/>
            <w:tcMar>
              <w:top w:w="18" w:type="dxa"/>
              <w:left w:w="18" w:type="dxa"/>
              <w:bottom w:w="0" w:type="dxa"/>
              <w:right w:w="18" w:type="dxa"/>
            </w:tcMar>
            <w:vAlign w:val="bottom"/>
          </w:tcPr>
          <w:p w14:paraId="3BDD7A8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1.1.2</w:t>
            </w:r>
          </w:p>
        </w:tc>
        <w:tc>
          <w:tcPr>
            <w:tcW w:w="3580" w:type="dxa"/>
            <w:noWrap/>
            <w:tcMar>
              <w:top w:w="18" w:type="dxa"/>
              <w:left w:w="18" w:type="dxa"/>
              <w:bottom w:w="0" w:type="dxa"/>
              <w:right w:w="18" w:type="dxa"/>
            </w:tcMar>
            <w:vAlign w:val="bottom"/>
          </w:tcPr>
          <w:p w14:paraId="3AB14C2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Guarantees Given for Foreign Trade Operations</w:t>
            </w:r>
          </w:p>
        </w:tc>
        <w:tc>
          <w:tcPr>
            <w:tcW w:w="644" w:type="dxa"/>
            <w:noWrap/>
            <w:tcMar>
              <w:top w:w="18" w:type="dxa"/>
              <w:left w:w="18" w:type="dxa"/>
              <w:bottom w:w="0" w:type="dxa"/>
              <w:right w:w="18" w:type="dxa"/>
            </w:tcMar>
            <w:vAlign w:val="bottom"/>
          </w:tcPr>
          <w:p w14:paraId="3EC445B8"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0AB388DA" w14:textId="1B50F6DD" w:rsidR="00224102" w:rsidRPr="003F3682" w:rsidRDefault="00224102" w:rsidP="00224102">
            <w:pPr>
              <w:jc w:val="right"/>
              <w:rPr>
                <w:b/>
                <w:sz w:val="11"/>
                <w:szCs w:val="11"/>
              </w:rPr>
            </w:pPr>
            <w:r w:rsidRPr="00E46F2D">
              <w:rPr>
                <w:sz w:val="11"/>
                <w:szCs w:val="11"/>
              </w:rPr>
              <w:t>-</w:t>
            </w:r>
          </w:p>
        </w:tc>
        <w:tc>
          <w:tcPr>
            <w:tcW w:w="1191" w:type="dxa"/>
            <w:vAlign w:val="bottom"/>
          </w:tcPr>
          <w:p w14:paraId="2495C0FA" w14:textId="0B460F08" w:rsidR="00224102" w:rsidRPr="003F3682" w:rsidRDefault="00224102" w:rsidP="00224102">
            <w:pPr>
              <w:jc w:val="right"/>
              <w:rPr>
                <w:b/>
                <w:sz w:val="11"/>
                <w:szCs w:val="11"/>
              </w:rPr>
            </w:pPr>
            <w:r w:rsidRPr="00E46F2D">
              <w:rPr>
                <w:sz w:val="11"/>
                <w:szCs w:val="11"/>
              </w:rPr>
              <w:t>-</w:t>
            </w:r>
          </w:p>
        </w:tc>
        <w:tc>
          <w:tcPr>
            <w:tcW w:w="896" w:type="dxa"/>
            <w:vAlign w:val="bottom"/>
          </w:tcPr>
          <w:p w14:paraId="20190FFD" w14:textId="4321991E" w:rsidR="00224102" w:rsidRPr="003F3682" w:rsidRDefault="00224102" w:rsidP="00224102">
            <w:pPr>
              <w:jc w:val="right"/>
              <w:rPr>
                <w:b/>
                <w:sz w:val="11"/>
                <w:szCs w:val="11"/>
              </w:rPr>
            </w:pPr>
            <w:r w:rsidRPr="00E46F2D">
              <w:rPr>
                <w:sz w:val="11"/>
                <w:szCs w:val="11"/>
              </w:rPr>
              <w:t>-</w:t>
            </w:r>
          </w:p>
        </w:tc>
        <w:tc>
          <w:tcPr>
            <w:tcW w:w="881" w:type="dxa"/>
            <w:noWrap/>
            <w:tcMar>
              <w:top w:w="18" w:type="dxa"/>
              <w:left w:w="18" w:type="dxa"/>
              <w:bottom w:w="0" w:type="dxa"/>
              <w:right w:w="18" w:type="dxa"/>
            </w:tcMar>
            <w:vAlign w:val="bottom"/>
          </w:tcPr>
          <w:p w14:paraId="7C87163A" w14:textId="2FE1A60E" w:rsidR="00224102" w:rsidRPr="00692926" w:rsidRDefault="00224102" w:rsidP="00224102">
            <w:pPr>
              <w:spacing w:line="211" w:lineRule="auto"/>
              <w:jc w:val="right"/>
              <w:rPr>
                <w:sz w:val="11"/>
                <w:szCs w:val="11"/>
              </w:rPr>
            </w:pPr>
            <w:r w:rsidRPr="00201F1D">
              <w:rPr>
                <w:sz w:val="11"/>
                <w:szCs w:val="11"/>
              </w:rPr>
              <w:t>-</w:t>
            </w:r>
          </w:p>
        </w:tc>
        <w:tc>
          <w:tcPr>
            <w:tcW w:w="895" w:type="dxa"/>
            <w:noWrap/>
            <w:tcMar>
              <w:top w:w="18" w:type="dxa"/>
              <w:left w:w="18" w:type="dxa"/>
              <w:bottom w:w="0" w:type="dxa"/>
              <w:right w:w="18" w:type="dxa"/>
            </w:tcMar>
            <w:vAlign w:val="bottom"/>
          </w:tcPr>
          <w:p w14:paraId="656CAD8C" w14:textId="2F49AC88" w:rsidR="00224102" w:rsidRPr="00692926" w:rsidRDefault="00224102" w:rsidP="00224102">
            <w:pPr>
              <w:spacing w:line="211" w:lineRule="auto"/>
              <w:jc w:val="right"/>
              <w:rPr>
                <w:sz w:val="11"/>
                <w:szCs w:val="11"/>
              </w:rPr>
            </w:pPr>
            <w:r w:rsidRPr="00201F1D">
              <w:rPr>
                <w:sz w:val="11"/>
                <w:szCs w:val="11"/>
              </w:rPr>
              <w:t>-</w:t>
            </w:r>
          </w:p>
        </w:tc>
        <w:tc>
          <w:tcPr>
            <w:tcW w:w="896" w:type="dxa"/>
            <w:noWrap/>
            <w:tcMar>
              <w:top w:w="18" w:type="dxa"/>
              <w:left w:w="18" w:type="dxa"/>
              <w:bottom w:w="0" w:type="dxa"/>
              <w:right w:w="18" w:type="dxa"/>
            </w:tcMar>
            <w:vAlign w:val="bottom"/>
          </w:tcPr>
          <w:p w14:paraId="154AC514" w14:textId="3D294449" w:rsidR="00224102" w:rsidRPr="00692926" w:rsidRDefault="00224102" w:rsidP="00224102">
            <w:pPr>
              <w:spacing w:line="211" w:lineRule="auto"/>
              <w:jc w:val="right"/>
              <w:rPr>
                <w:sz w:val="11"/>
                <w:szCs w:val="11"/>
              </w:rPr>
            </w:pPr>
            <w:r w:rsidRPr="00201F1D">
              <w:rPr>
                <w:sz w:val="11"/>
                <w:szCs w:val="11"/>
              </w:rPr>
              <w:t>-</w:t>
            </w:r>
          </w:p>
        </w:tc>
      </w:tr>
      <w:tr w:rsidR="00224102" w:rsidRPr="00604C75" w14:paraId="1A914AEB" w14:textId="77777777" w:rsidTr="009340BC">
        <w:trPr>
          <w:trHeight w:hRule="exact" w:val="142"/>
        </w:trPr>
        <w:tc>
          <w:tcPr>
            <w:tcW w:w="494" w:type="dxa"/>
            <w:noWrap/>
            <w:tcMar>
              <w:top w:w="18" w:type="dxa"/>
              <w:left w:w="18" w:type="dxa"/>
              <w:bottom w:w="0" w:type="dxa"/>
              <w:right w:w="18" w:type="dxa"/>
            </w:tcMar>
            <w:vAlign w:val="bottom"/>
          </w:tcPr>
          <w:p w14:paraId="2D12234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1.1.3</w:t>
            </w:r>
          </w:p>
        </w:tc>
        <w:tc>
          <w:tcPr>
            <w:tcW w:w="3580" w:type="dxa"/>
            <w:noWrap/>
            <w:tcMar>
              <w:top w:w="18" w:type="dxa"/>
              <w:left w:w="18" w:type="dxa"/>
              <w:bottom w:w="0" w:type="dxa"/>
              <w:right w:w="18" w:type="dxa"/>
            </w:tcMar>
            <w:vAlign w:val="bottom"/>
          </w:tcPr>
          <w:p w14:paraId="2BE1377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Letters of Guarantee</w:t>
            </w:r>
          </w:p>
        </w:tc>
        <w:tc>
          <w:tcPr>
            <w:tcW w:w="644" w:type="dxa"/>
            <w:noWrap/>
            <w:tcMar>
              <w:top w:w="18" w:type="dxa"/>
              <w:left w:w="18" w:type="dxa"/>
              <w:bottom w:w="0" w:type="dxa"/>
              <w:right w:w="18" w:type="dxa"/>
            </w:tcMar>
            <w:vAlign w:val="bottom"/>
          </w:tcPr>
          <w:p w14:paraId="7A187DD4"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18A02C6C" w14:textId="30E2BD4A" w:rsidR="00224102" w:rsidRPr="003F3682" w:rsidRDefault="00224102" w:rsidP="00224102">
            <w:pPr>
              <w:jc w:val="right"/>
              <w:rPr>
                <w:b/>
                <w:sz w:val="11"/>
                <w:szCs w:val="11"/>
              </w:rPr>
            </w:pPr>
            <w:r w:rsidRPr="00E46F2D">
              <w:rPr>
                <w:sz w:val="11"/>
                <w:szCs w:val="11"/>
              </w:rPr>
              <w:t>1,200,448</w:t>
            </w:r>
          </w:p>
        </w:tc>
        <w:tc>
          <w:tcPr>
            <w:tcW w:w="1191" w:type="dxa"/>
            <w:vAlign w:val="bottom"/>
          </w:tcPr>
          <w:p w14:paraId="53D4EF32" w14:textId="47A04732" w:rsidR="00224102" w:rsidRPr="003F3682" w:rsidRDefault="00224102" w:rsidP="00224102">
            <w:pPr>
              <w:jc w:val="right"/>
              <w:rPr>
                <w:b/>
                <w:sz w:val="11"/>
                <w:szCs w:val="11"/>
              </w:rPr>
            </w:pPr>
            <w:r w:rsidRPr="00E46F2D">
              <w:rPr>
                <w:sz w:val="11"/>
                <w:szCs w:val="11"/>
              </w:rPr>
              <w:t>1,003,414</w:t>
            </w:r>
          </w:p>
        </w:tc>
        <w:tc>
          <w:tcPr>
            <w:tcW w:w="896" w:type="dxa"/>
            <w:vAlign w:val="bottom"/>
          </w:tcPr>
          <w:p w14:paraId="2AE92157" w14:textId="7EB88692" w:rsidR="00224102" w:rsidRPr="003F3682" w:rsidRDefault="00224102" w:rsidP="00224102">
            <w:pPr>
              <w:jc w:val="right"/>
              <w:rPr>
                <w:b/>
                <w:sz w:val="11"/>
                <w:szCs w:val="11"/>
              </w:rPr>
            </w:pPr>
            <w:r w:rsidRPr="00E46F2D">
              <w:rPr>
                <w:sz w:val="11"/>
                <w:szCs w:val="11"/>
              </w:rPr>
              <w:t>2,203,862</w:t>
            </w:r>
          </w:p>
        </w:tc>
        <w:tc>
          <w:tcPr>
            <w:tcW w:w="881" w:type="dxa"/>
            <w:noWrap/>
            <w:tcMar>
              <w:top w:w="18" w:type="dxa"/>
              <w:left w:w="18" w:type="dxa"/>
              <w:bottom w:w="0" w:type="dxa"/>
              <w:right w:w="18" w:type="dxa"/>
            </w:tcMar>
            <w:vAlign w:val="bottom"/>
          </w:tcPr>
          <w:p w14:paraId="4CB0C7B8" w14:textId="5550ADCA" w:rsidR="00224102" w:rsidRPr="00692926" w:rsidRDefault="00224102" w:rsidP="00224102">
            <w:pPr>
              <w:spacing w:line="211" w:lineRule="auto"/>
              <w:jc w:val="right"/>
              <w:rPr>
                <w:sz w:val="11"/>
                <w:szCs w:val="11"/>
              </w:rPr>
            </w:pPr>
            <w:r w:rsidRPr="00201F1D">
              <w:rPr>
                <w:sz w:val="11"/>
                <w:szCs w:val="11"/>
              </w:rPr>
              <w:t>1,250,635</w:t>
            </w:r>
          </w:p>
        </w:tc>
        <w:tc>
          <w:tcPr>
            <w:tcW w:w="895" w:type="dxa"/>
            <w:noWrap/>
            <w:tcMar>
              <w:top w:w="18" w:type="dxa"/>
              <w:left w:w="18" w:type="dxa"/>
              <w:bottom w:w="0" w:type="dxa"/>
              <w:right w:w="18" w:type="dxa"/>
            </w:tcMar>
            <w:vAlign w:val="bottom"/>
          </w:tcPr>
          <w:p w14:paraId="34EAB1C4" w14:textId="0269F1DA" w:rsidR="00224102" w:rsidRPr="00692926" w:rsidRDefault="00224102" w:rsidP="00224102">
            <w:pPr>
              <w:spacing w:line="211" w:lineRule="auto"/>
              <w:jc w:val="right"/>
              <w:rPr>
                <w:sz w:val="11"/>
                <w:szCs w:val="11"/>
              </w:rPr>
            </w:pPr>
            <w:r w:rsidRPr="00201F1D">
              <w:rPr>
                <w:sz w:val="11"/>
                <w:szCs w:val="11"/>
              </w:rPr>
              <w:t>553,595</w:t>
            </w:r>
          </w:p>
        </w:tc>
        <w:tc>
          <w:tcPr>
            <w:tcW w:w="896" w:type="dxa"/>
            <w:noWrap/>
            <w:tcMar>
              <w:top w:w="18" w:type="dxa"/>
              <w:left w:w="18" w:type="dxa"/>
              <w:bottom w:w="0" w:type="dxa"/>
              <w:right w:w="18" w:type="dxa"/>
            </w:tcMar>
            <w:vAlign w:val="bottom"/>
          </w:tcPr>
          <w:p w14:paraId="2AB27077" w14:textId="237442DB" w:rsidR="00224102" w:rsidRPr="00692926" w:rsidRDefault="00224102" w:rsidP="00224102">
            <w:pPr>
              <w:spacing w:line="211" w:lineRule="auto"/>
              <w:jc w:val="right"/>
              <w:rPr>
                <w:sz w:val="11"/>
                <w:szCs w:val="11"/>
              </w:rPr>
            </w:pPr>
            <w:r w:rsidRPr="00201F1D">
              <w:rPr>
                <w:sz w:val="11"/>
                <w:szCs w:val="11"/>
              </w:rPr>
              <w:t>1,804,230</w:t>
            </w:r>
          </w:p>
        </w:tc>
      </w:tr>
      <w:tr w:rsidR="00224102" w:rsidRPr="00604C75" w14:paraId="67962754" w14:textId="77777777" w:rsidTr="009340BC">
        <w:trPr>
          <w:trHeight w:hRule="exact" w:val="142"/>
        </w:trPr>
        <w:tc>
          <w:tcPr>
            <w:tcW w:w="494" w:type="dxa"/>
            <w:noWrap/>
            <w:tcMar>
              <w:top w:w="18" w:type="dxa"/>
              <w:left w:w="18" w:type="dxa"/>
              <w:bottom w:w="0" w:type="dxa"/>
              <w:right w:w="18" w:type="dxa"/>
            </w:tcMar>
            <w:vAlign w:val="bottom"/>
          </w:tcPr>
          <w:p w14:paraId="52F3CA0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1.2</w:t>
            </w:r>
          </w:p>
        </w:tc>
        <w:tc>
          <w:tcPr>
            <w:tcW w:w="3580" w:type="dxa"/>
            <w:noWrap/>
            <w:tcMar>
              <w:top w:w="18" w:type="dxa"/>
              <w:left w:w="18" w:type="dxa"/>
              <w:bottom w:w="0" w:type="dxa"/>
              <w:right w:w="18" w:type="dxa"/>
            </w:tcMar>
            <w:vAlign w:val="bottom"/>
          </w:tcPr>
          <w:p w14:paraId="6D99376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Bank Acceptances</w:t>
            </w:r>
          </w:p>
        </w:tc>
        <w:tc>
          <w:tcPr>
            <w:tcW w:w="644" w:type="dxa"/>
            <w:noWrap/>
            <w:tcMar>
              <w:top w:w="18" w:type="dxa"/>
              <w:left w:w="18" w:type="dxa"/>
              <w:bottom w:w="0" w:type="dxa"/>
              <w:right w:w="18" w:type="dxa"/>
            </w:tcMar>
            <w:vAlign w:val="bottom"/>
          </w:tcPr>
          <w:p w14:paraId="29EFE069" w14:textId="125BACCB" w:rsidR="00224102" w:rsidRPr="00604C75" w:rsidRDefault="00224102" w:rsidP="00224102">
            <w:pPr>
              <w:spacing w:line="211" w:lineRule="auto"/>
              <w:jc w:val="center"/>
              <w:rPr>
                <w:rFonts w:eastAsia="Arial Unicode MS"/>
                <w:sz w:val="10"/>
                <w:szCs w:val="10"/>
                <w:lang w:val="tr-TR"/>
              </w:rPr>
            </w:pPr>
            <w:r w:rsidRPr="00692926">
              <w:rPr>
                <w:rFonts w:eastAsia="Arial Unicode MS"/>
                <w:bCs/>
                <w:sz w:val="10"/>
                <w:szCs w:val="10"/>
              </w:rPr>
              <w:t>III-a-2.</w:t>
            </w:r>
            <w:r>
              <w:rPr>
                <w:rFonts w:eastAsia="Arial Unicode MS"/>
                <w:bCs/>
                <w:sz w:val="10"/>
                <w:szCs w:val="10"/>
              </w:rPr>
              <w:t>1</w:t>
            </w:r>
          </w:p>
        </w:tc>
        <w:tc>
          <w:tcPr>
            <w:tcW w:w="895" w:type="dxa"/>
            <w:vAlign w:val="bottom"/>
          </w:tcPr>
          <w:p w14:paraId="7280DC35" w14:textId="297EDE18" w:rsidR="00224102" w:rsidRPr="003F3682" w:rsidRDefault="00224102" w:rsidP="00224102">
            <w:pPr>
              <w:jc w:val="right"/>
              <w:rPr>
                <w:sz w:val="11"/>
                <w:szCs w:val="11"/>
              </w:rPr>
            </w:pPr>
            <w:r w:rsidRPr="00201F1D">
              <w:rPr>
                <w:sz w:val="11"/>
                <w:szCs w:val="11"/>
              </w:rPr>
              <w:t>-</w:t>
            </w:r>
          </w:p>
        </w:tc>
        <w:tc>
          <w:tcPr>
            <w:tcW w:w="1191" w:type="dxa"/>
            <w:vAlign w:val="bottom"/>
          </w:tcPr>
          <w:p w14:paraId="548CC2B5" w14:textId="3D2EA9CD" w:rsidR="00224102" w:rsidRPr="003F3682" w:rsidRDefault="00224102" w:rsidP="00224102">
            <w:pPr>
              <w:jc w:val="right"/>
              <w:rPr>
                <w:sz w:val="11"/>
                <w:szCs w:val="11"/>
              </w:rPr>
            </w:pPr>
            <w:r w:rsidRPr="00201F1D">
              <w:rPr>
                <w:sz w:val="11"/>
                <w:szCs w:val="11"/>
              </w:rPr>
              <w:t>35,849</w:t>
            </w:r>
          </w:p>
        </w:tc>
        <w:tc>
          <w:tcPr>
            <w:tcW w:w="896" w:type="dxa"/>
            <w:vAlign w:val="bottom"/>
          </w:tcPr>
          <w:p w14:paraId="3716717F" w14:textId="0317F6BA" w:rsidR="00224102" w:rsidRPr="003F3682" w:rsidRDefault="00224102" w:rsidP="00224102">
            <w:pPr>
              <w:jc w:val="right"/>
              <w:rPr>
                <w:sz w:val="11"/>
                <w:szCs w:val="11"/>
              </w:rPr>
            </w:pPr>
            <w:r w:rsidRPr="00201F1D">
              <w:rPr>
                <w:sz w:val="11"/>
                <w:szCs w:val="11"/>
              </w:rPr>
              <w:t>35,849</w:t>
            </w:r>
          </w:p>
        </w:tc>
        <w:tc>
          <w:tcPr>
            <w:tcW w:w="881" w:type="dxa"/>
            <w:noWrap/>
            <w:tcMar>
              <w:top w:w="18" w:type="dxa"/>
              <w:left w:w="18" w:type="dxa"/>
              <w:bottom w:w="0" w:type="dxa"/>
              <w:right w:w="18" w:type="dxa"/>
            </w:tcMar>
            <w:vAlign w:val="bottom"/>
          </w:tcPr>
          <w:p w14:paraId="730CE382" w14:textId="27204A21" w:rsidR="00224102" w:rsidRPr="00692926" w:rsidRDefault="00224102" w:rsidP="00224102">
            <w:pPr>
              <w:spacing w:line="211" w:lineRule="auto"/>
              <w:jc w:val="right"/>
              <w:rPr>
                <w:sz w:val="11"/>
                <w:szCs w:val="11"/>
              </w:rPr>
            </w:pPr>
            <w:r w:rsidRPr="00201F1D">
              <w:rPr>
                <w:sz w:val="11"/>
                <w:szCs w:val="11"/>
              </w:rPr>
              <w:t>-</w:t>
            </w:r>
          </w:p>
        </w:tc>
        <w:tc>
          <w:tcPr>
            <w:tcW w:w="895" w:type="dxa"/>
            <w:noWrap/>
            <w:tcMar>
              <w:top w:w="18" w:type="dxa"/>
              <w:left w:w="18" w:type="dxa"/>
              <w:bottom w:w="0" w:type="dxa"/>
              <w:right w:w="18" w:type="dxa"/>
            </w:tcMar>
            <w:vAlign w:val="bottom"/>
          </w:tcPr>
          <w:p w14:paraId="5080F247" w14:textId="58CFFA8D" w:rsidR="00224102" w:rsidRPr="00692926" w:rsidRDefault="00224102" w:rsidP="00224102">
            <w:pPr>
              <w:spacing w:line="211" w:lineRule="auto"/>
              <w:jc w:val="right"/>
              <w:rPr>
                <w:sz w:val="11"/>
                <w:szCs w:val="11"/>
              </w:rPr>
            </w:pPr>
            <w:r w:rsidRPr="00201F1D">
              <w:rPr>
                <w:sz w:val="11"/>
                <w:szCs w:val="11"/>
              </w:rPr>
              <w:t>43,905</w:t>
            </w:r>
          </w:p>
        </w:tc>
        <w:tc>
          <w:tcPr>
            <w:tcW w:w="896" w:type="dxa"/>
            <w:noWrap/>
            <w:tcMar>
              <w:top w:w="18" w:type="dxa"/>
              <w:left w:w="18" w:type="dxa"/>
              <w:bottom w:w="0" w:type="dxa"/>
              <w:right w:w="18" w:type="dxa"/>
            </w:tcMar>
            <w:vAlign w:val="bottom"/>
          </w:tcPr>
          <w:p w14:paraId="7DDB77F7" w14:textId="4E97EFB5" w:rsidR="00224102" w:rsidRPr="00692926" w:rsidRDefault="00224102" w:rsidP="00224102">
            <w:pPr>
              <w:spacing w:line="211" w:lineRule="auto"/>
              <w:jc w:val="right"/>
              <w:rPr>
                <w:sz w:val="11"/>
                <w:szCs w:val="11"/>
              </w:rPr>
            </w:pPr>
            <w:r w:rsidRPr="00201F1D">
              <w:rPr>
                <w:sz w:val="11"/>
                <w:szCs w:val="11"/>
              </w:rPr>
              <w:t>43,905</w:t>
            </w:r>
          </w:p>
        </w:tc>
      </w:tr>
      <w:tr w:rsidR="00224102" w:rsidRPr="00604C75" w14:paraId="78521355" w14:textId="77777777" w:rsidTr="009340BC">
        <w:trPr>
          <w:trHeight w:hRule="exact" w:val="142"/>
        </w:trPr>
        <w:tc>
          <w:tcPr>
            <w:tcW w:w="494" w:type="dxa"/>
            <w:noWrap/>
            <w:tcMar>
              <w:top w:w="18" w:type="dxa"/>
              <w:left w:w="18" w:type="dxa"/>
              <w:bottom w:w="0" w:type="dxa"/>
              <w:right w:w="18" w:type="dxa"/>
            </w:tcMar>
            <w:vAlign w:val="bottom"/>
          </w:tcPr>
          <w:p w14:paraId="066FB13D"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1.2.1</w:t>
            </w:r>
          </w:p>
        </w:tc>
        <w:tc>
          <w:tcPr>
            <w:tcW w:w="3580" w:type="dxa"/>
            <w:noWrap/>
            <w:tcMar>
              <w:top w:w="18" w:type="dxa"/>
              <w:left w:w="18" w:type="dxa"/>
              <w:bottom w:w="0" w:type="dxa"/>
              <w:right w:w="18" w:type="dxa"/>
            </w:tcMar>
            <w:vAlign w:val="bottom"/>
          </w:tcPr>
          <w:p w14:paraId="05EF1DF9"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Import Letter of Acceptance</w:t>
            </w:r>
          </w:p>
        </w:tc>
        <w:tc>
          <w:tcPr>
            <w:tcW w:w="644" w:type="dxa"/>
            <w:noWrap/>
            <w:tcMar>
              <w:top w:w="18" w:type="dxa"/>
              <w:left w:w="18" w:type="dxa"/>
              <w:bottom w:w="0" w:type="dxa"/>
              <w:right w:w="18" w:type="dxa"/>
            </w:tcMar>
            <w:vAlign w:val="bottom"/>
          </w:tcPr>
          <w:p w14:paraId="415D7E66"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3AC6D796" w14:textId="1B569E22" w:rsidR="00224102" w:rsidRPr="003F3682" w:rsidRDefault="00224102" w:rsidP="00224102">
            <w:pPr>
              <w:jc w:val="right"/>
              <w:rPr>
                <w:sz w:val="11"/>
                <w:szCs w:val="11"/>
              </w:rPr>
            </w:pPr>
            <w:r w:rsidRPr="00201F1D">
              <w:rPr>
                <w:sz w:val="11"/>
                <w:szCs w:val="11"/>
              </w:rPr>
              <w:t>-</w:t>
            </w:r>
          </w:p>
        </w:tc>
        <w:tc>
          <w:tcPr>
            <w:tcW w:w="1191" w:type="dxa"/>
            <w:vAlign w:val="bottom"/>
          </w:tcPr>
          <w:p w14:paraId="794968BC" w14:textId="60E61E41" w:rsidR="00224102" w:rsidRPr="003F3682" w:rsidRDefault="00224102" w:rsidP="00224102">
            <w:pPr>
              <w:jc w:val="right"/>
              <w:rPr>
                <w:sz w:val="11"/>
                <w:szCs w:val="11"/>
              </w:rPr>
            </w:pPr>
            <w:r w:rsidRPr="00201F1D">
              <w:rPr>
                <w:sz w:val="11"/>
                <w:szCs w:val="11"/>
              </w:rPr>
              <w:t>35,849</w:t>
            </w:r>
          </w:p>
        </w:tc>
        <w:tc>
          <w:tcPr>
            <w:tcW w:w="896" w:type="dxa"/>
            <w:vAlign w:val="bottom"/>
          </w:tcPr>
          <w:p w14:paraId="1043ECEF" w14:textId="2A4DFD42" w:rsidR="00224102" w:rsidRPr="003F3682" w:rsidRDefault="00224102" w:rsidP="00224102">
            <w:pPr>
              <w:jc w:val="right"/>
              <w:rPr>
                <w:sz w:val="11"/>
                <w:szCs w:val="11"/>
              </w:rPr>
            </w:pPr>
            <w:r w:rsidRPr="00201F1D">
              <w:rPr>
                <w:sz w:val="11"/>
                <w:szCs w:val="11"/>
              </w:rPr>
              <w:t>35,849</w:t>
            </w:r>
          </w:p>
        </w:tc>
        <w:tc>
          <w:tcPr>
            <w:tcW w:w="881" w:type="dxa"/>
            <w:noWrap/>
            <w:tcMar>
              <w:top w:w="18" w:type="dxa"/>
              <w:left w:w="18" w:type="dxa"/>
              <w:bottom w:w="0" w:type="dxa"/>
              <w:right w:w="18" w:type="dxa"/>
            </w:tcMar>
            <w:vAlign w:val="bottom"/>
          </w:tcPr>
          <w:p w14:paraId="18E55163" w14:textId="5F3F8015" w:rsidR="00224102" w:rsidRPr="00692926" w:rsidRDefault="00224102" w:rsidP="00224102">
            <w:pPr>
              <w:spacing w:line="211" w:lineRule="auto"/>
              <w:jc w:val="right"/>
              <w:rPr>
                <w:sz w:val="11"/>
                <w:szCs w:val="11"/>
              </w:rPr>
            </w:pPr>
            <w:r w:rsidRPr="00201F1D">
              <w:rPr>
                <w:sz w:val="11"/>
                <w:szCs w:val="11"/>
              </w:rPr>
              <w:t>-</w:t>
            </w:r>
          </w:p>
        </w:tc>
        <w:tc>
          <w:tcPr>
            <w:tcW w:w="895" w:type="dxa"/>
            <w:noWrap/>
            <w:tcMar>
              <w:top w:w="18" w:type="dxa"/>
              <w:left w:w="18" w:type="dxa"/>
              <w:bottom w:w="0" w:type="dxa"/>
              <w:right w:w="18" w:type="dxa"/>
            </w:tcMar>
            <w:vAlign w:val="bottom"/>
          </w:tcPr>
          <w:p w14:paraId="306FFE29" w14:textId="7A40AEF8" w:rsidR="00224102" w:rsidRPr="00692926" w:rsidRDefault="00224102" w:rsidP="00224102">
            <w:pPr>
              <w:spacing w:line="211" w:lineRule="auto"/>
              <w:jc w:val="right"/>
              <w:rPr>
                <w:sz w:val="11"/>
                <w:szCs w:val="11"/>
              </w:rPr>
            </w:pPr>
            <w:r w:rsidRPr="00201F1D">
              <w:rPr>
                <w:sz w:val="11"/>
                <w:szCs w:val="11"/>
              </w:rPr>
              <w:t>43,905</w:t>
            </w:r>
          </w:p>
        </w:tc>
        <w:tc>
          <w:tcPr>
            <w:tcW w:w="896" w:type="dxa"/>
            <w:noWrap/>
            <w:tcMar>
              <w:top w:w="18" w:type="dxa"/>
              <w:left w:w="18" w:type="dxa"/>
              <w:bottom w:w="0" w:type="dxa"/>
              <w:right w:w="18" w:type="dxa"/>
            </w:tcMar>
            <w:vAlign w:val="bottom"/>
          </w:tcPr>
          <w:p w14:paraId="53763167" w14:textId="7D4D9B0B" w:rsidR="00224102" w:rsidRPr="00692926" w:rsidRDefault="00224102" w:rsidP="00224102">
            <w:pPr>
              <w:spacing w:line="211" w:lineRule="auto"/>
              <w:jc w:val="right"/>
              <w:rPr>
                <w:sz w:val="11"/>
                <w:szCs w:val="11"/>
              </w:rPr>
            </w:pPr>
            <w:r w:rsidRPr="00201F1D">
              <w:rPr>
                <w:sz w:val="11"/>
                <w:szCs w:val="11"/>
              </w:rPr>
              <w:t>43,905</w:t>
            </w:r>
          </w:p>
        </w:tc>
      </w:tr>
      <w:tr w:rsidR="00224102" w:rsidRPr="00604C75" w14:paraId="36571213" w14:textId="77777777" w:rsidTr="009340BC">
        <w:trPr>
          <w:trHeight w:hRule="exact" w:val="142"/>
        </w:trPr>
        <w:tc>
          <w:tcPr>
            <w:tcW w:w="494" w:type="dxa"/>
            <w:noWrap/>
            <w:tcMar>
              <w:top w:w="18" w:type="dxa"/>
              <w:left w:w="18" w:type="dxa"/>
              <w:bottom w:w="0" w:type="dxa"/>
              <w:right w:w="18" w:type="dxa"/>
            </w:tcMar>
            <w:vAlign w:val="bottom"/>
          </w:tcPr>
          <w:p w14:paraId="7FBC98B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1.2.2</w:t>
            </w:r>
          </w:p>
        </w:tc>
        <w:tc>
          <w:tcPr>
            <w:tcW w:w="3580" w:type="dxa"/>
            <w:noWrap/>
            <w:tcMar>
              <w:top w:w="18" w:type="dxa"/>
              <w:left w:w="18" w:type="dxa"/>
              <w:bottom w:w="0" w:type="dxa"/>
              <w:right w:w="18" w:type="dxa"/>
            </w:tcMar>
            <w:vAlign w:val="bottom"/>
          </w:tcPr>
          <w:p w14:paraId="013A9F0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Bank Acceptances</w:t>
            </w:r>
          </w:p>
        </w:tc>
        <w:tc>
          <w:tcPr>
            <w:tcW w:w="644" w:type="dxa"/>
            <w:noWrap/>
            <w:tcMar>
              <w:top w:w="18" w:type="dxa"/>
              <w:left w:w="18" w:type="dxa"/>
              <w:bottom w:w="0" w:type="dxa"/>
              <w:right w:w="18" w:type="dxa"/>
            </w:tcMar>
            <w:vAlign w:val="bottom"/>
          </w:tcPr>
          <w:p w14:paraId="40F3E2ED"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675582F3" w14:textId="6DD01E33" w:rsidR="00224102" w:rsidRPr="003F3682" w:rsidRDefault="00224102" w:rsidP="00224102">
            <w:pPr>
              <w:jc w:val="right"/>
              <w:rPr>
                <w:sz w:val="11"/>
                <w:szCs w:val="11"/>
              </w:rPr>
            </w:pPr>
            <w:r w:rsidRPr="003F3682">
              <w:rPr>
                <w:sz w:val="11"/>
                <w:szCs w:val="11"/>
              </w:rPr>
              <w:t>-</w:t>
            </w:r>
          </w:p>
        </w:tc>
        <w:tc>
          <w:tcPr>
            <w:tcW w:w="1191" w:type="dxa"/>
            <w:vAlign w:val="bottom"/>
          </w:tcPr>
          <w:p w14:paraId="568D9C50" w14:textId="42D016C8" w:rsidR="00224102" w:rsidRPr="003F3682" w:rsidRDefault="00224102" w:rsidP="00224102">
            <w:pPr>
              <w:jc w:val="right"/>
              <w:rPr>
                <w:sz w:val="11"/>
                <w:szCs w:val="11"/>
              </w:rPr>
            </w:pPr>
            <w:r w:rsidRPr="003F3682">
              <w:rPr>
                <w:sz w:val="11"/>
                <w:szCs w:val="11"/>
              </w:rPr>
              <w:t>-</w:t>
            </w:r>
          </w:p>
        </w:tc>
        <w:tc>
          <w:tcPr>
            <w:tcW w:w="896" w:type="dxa"/>
            <w:vAlign w:val="bottom"/>
          </w:tcPr>
          <w:p w14:paraId="11B28275" w14:textId="53CA11B2" w:rsidR="00224102" w:rsidRPr="003F3682" w:rsidRDefault="00224102" w:rsidP="00224102">
            <w:pPr>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08436A5F" w14:textId="00B069B7"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1D5463E7" w14:textId="0DBC4D4A"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498960E5" w14:textId="3E5380AA" w:rsidR="00224102" w:rsidRPr="00692926" w:rsidRDefault="00224102" w:rsidP="00224102">
            <w:pPr>
              <w:spacing w:line="211" w:lineRule="auto"/>
              <w:jc w:val="right"/>
              <w:rPr>
                <w:sz w:val="11"/>
                <w:szCs w:val="11"/>
              </w:rPr>
            </w:pPr>
            <w:r w:rsidRPr="00692926">
              <w:rPr>
                <w:sz w:val="11"/>
                <w:szCs w:val="11"/>
              </w:rPr>
              <w:t>-</w:t>
            </w:r>
          </w:p>
        </w:tc>
      </w:tr>
      <w:tr w:rsidR="00224102" w:rsidRPr="00604C75" w14:paraId="7175F81B" w14:textId="77777777" w:rsidTr="009340BC">
        <w:trPr>
          <w:trHeight w:hRule="exact" w:val="142"/>
        </w:trPr>
        <w:tc>
          <w:tcPr>
            <w:tcW w:w="494" w:type="dxa"/>
            <w:noWrap/>
            <w:tcMar>
              <w:top w:w="18" w:type="dxa"/>
              <w:left w:w="18" w:type="dxa"/>
              <w:bottom w:w="0" w:type="dxa"/>
              <w:right w:w="18" w:type="dxa"/>
            </w:tcMar>
            <w:vAlign w:val="bottom"/>
          </w:tcPr>
          <w:p w14:paraId="455D376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1.3</w:t>
            </w:r>
          </w:p>
        </w:tc>
        <w:tc>
          <w:tcPr>
            <w:tcW w:w="3580" w:type="dxa"/>
            <w:noWrap/>
            <w:tcMar>
              <w:top w:w="18" w:type="dxa"/>
              <w:left w:w="18" w:type="dxa"/>
              <w:bottom w:w="0" w:type="dxa"/>
              <w:right w:w="18" w:type="dxa"/>
            </w:tcMar>
            <w:vAlign w:val="bottom"/>
          </w:tcPr>
          <w:p w14:paraId="2423FFE1"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Letters of Credit</w:t>
            </w:r>
          </w:p>
        </w:tc>
        <w:tc>
          <w:tcPr>
            <w:tcW w:w="644" w:type="dxa"/>
            <w:noWrap/>
            <w:tcMar>
              <w:top w:w="18" w:type="dxa"/>
              <w:left w:w="18" w:type="dxa"/>
              <w:bottom w:w="0" w:type="dxa"/>
              <w:right w:w="18" w:type="dxa"/>
            </w:tcMar>
            <w:vAlign w:val="bottom"/>
          </w:tcPr>
          <w:p w14:paraId="141C25D2" w14:textId="4B13799B" w:rsidR="00224102" w:rsidRPr="00604C75" w:rsidRDefault="00224102" w:rsidP="00224102">
            <w:pPr>
              <w:spacing w:line="211" w:lineRule="auto"/>
              <w:jc w:val="center"/>
              <w:rPr>
                <w:rFonts w:eastAsia="Arial Unicode MS"/>
                <w:b/>
                <w:bCs/>
                <w:sz w:val="10"/>
                <w:szCs w:val="10"/>
                <w:lang w:val="tr-TR"/>
              </w:rPr>
            </w:pPr>
            <w:r w:rsidRPr="00692926">
              <w:rPr>
                <w:rFonts w:eastAsia="Arial Unicode MS"/>
                <w:bCs/>
                <w:sz w:val="10"/>
                <w:szCs w:val="10"/>
              </w:rPr>
              <w:t>III-a-2.</w:t>
            </w:r>
            <w:r>
              <w:rPr>
                <w:rFonts w:eastAsia="Arial Unicode MS"/>
                <w:bCs/>
                <w:sz w:val="10"/>
                <w:szCs w:val="10"/>
              </w:rPr>
              <w:t>1</w:t>
            </w:r>
          </w:p>
        </w:tc>
        <w:tc>
          <w:tcPr>
            <w:tcW w:w="895" w:type="dxa"/>
            <w:vAlign w:val="bottom"/>
          </w:tcPr>
          <w:p w14:paraId="16E39CEB" w14:textId="3BD4E8C6" w:rsidR="00224102" w:rsidRPr="003F3682" w:rsidRDefault="00224102" w:rsidP="00224102">
            <w:pPr>
              <w:jc w:val="right"/>
              <w:rPr>
                <w:sz w:val="11"/>
                <w:szCs w:val="11"/>
              </w:rPr>
            </w:pPr>
            <w:r w:rsidRPr="003F3682">
              <w:rPr>
                <w:sz w:val="11"/>
                <w:szCs w:val="11"/>
              </w:rPr>
              <w:t>-</w:t>
            </w:r>
          </w:p>
        </w:tc>
        <w:tc>
          <w:tcPr>
            <w:tcW w:w="1191" w:type="dxa"/>
            <w:vAlign w:val="bottom"/>
          </w:tcPr>
          <w:p w14:paraId="35079C9E" w14:textId="0C98BB8D" w:rsidR="00224102" w:rsidRPr="003F3682" w:rsidRDefault="00224102" w:rsidP="00224102">
            <w:pPr>
              <w:jc w:val="right"/>
              <w:rPr>
                <w:sz w:val="11"/>
                <w:szCs w:val="11"/>
              </w:rPr>
            </w:pPr>
            <w:r w:rsidRPr="003F3682">
              <w:rPr>
                <w:sz w:val="11"/>
                <w:szCs w:val="11"/>
              </w:rPr>
              <w:t>345,726</w:t>
            </w:r>
          </w:p>
        </w:tc>
        <w:tc>
          <w:tcPr>
            <w:tcW w:w="896" w:type="dxa"/>
            <w:vAlign w:val="bottom"/>
          </w:tcPr>
          <w:p w14:paraId="00102A8D" w14:textId="25C408A2" w:rsidR="00224102" w:rsidRPr="003F3682" w:rsidRDefault="00224102" w:rsidP="00224102">
            <w:pPr>
              <w:jc w:val="right"/>
              <w:rPr>
                <w:sz w:val="11"/>
                <w:szCs w:val="11"/>
              </w:rPr>
            </w:pPr>
            <w:r w:rsidRPr="003F3682">
              <w:rPr>
                <w:sz w:val="11"/>
                <w:szCs w:val="11"/>
              </w:rPr>
              <w:t>345,726</w:t>
            </w:r>
          </w:p>
        </w:tc>
        <w:tc>
          <w:tcPr>
            <w:tcW w:w="881" w:type="dxa"/>
            <w:noWrap/>
            <w:tcMar>
              <w:top w:w="18" w:type="dxa"/>
              <w:left w:w="18" w:type="dxa"/>
              <w:bottom w:w="0" w:type="dxa"/>
              <w:right w:w="18" w:type="dxa"/>
            </w:tcMar>
            <w:vAlign w:val="bottom"/>
          </w:tcPr>
          <w:p w14:paraId="073D0BD6" w14:textId="51A991D2"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4BFBD574" w14:textId="0A737314" w:rsidR="00224102" w:rsidRPr="00692926" w:rsidRDefault="00224102" w:rsidP="00224102">
            <w:pPr>
              <w:spacing w:line="211" w:lineRule="auto"/>
              <w:jc w:val="right"/>
              <w:rPr>
                <w:sz w:val="11"/>
                <w:szCs w:val="11"/>
              </w:rPr>
            </w:pPr>
            <w:r w:rsidRPr="00692926">
              <w:rPr>
                <w:sz w:val="11"/>
                <w:szCs w:val="11"/>
              </w:rPr>
              <w:t>362,242</w:t>
            </w:r>
          </w:p>
        </w:tc>
        <w:tc>
          <w:tcPr>
            <w:tcW w:w="896" w:type="dxa"/>
            <w:noWrap/>
            <w:tcMar>
              <w:top w:w="18" w:type="dxa"/>
              <w:left w:w="18" w:type="dxa"/>
              <w:bottom w:w="0" w:type="dxa"/>
              <w:right w:w="18" w:type="dxa"/>
            </w:tcMar>
            <w:vAlign w:val="bottom"/>
          </w:tcPr>
          <w:p w14:paraId="173899EE" w14:textId="0395AB86" w:rsidR="00224102" w:rsidRPr="00692926" w:rsidRDefault="00224102" w:rsidP="00224102">
            <w:pPr>
              <w:spacing w:line="211" w:lineRule="auto"/>
              <w:jc w:val="right"/>
              <w:rPr>
                <w:sz w:val="11"/>
                <w:szCs w:val="11"/>
              </w:rPr>
            </w:pPr>
            <w:r w:rsidRPr="00692926">
              <w:rPr>
                <w:sz w:val="11"/>
                <w:szCs w:val="11"/>
              </w:rPr>
              <w:t>362,242</w:t>
            </w:r>
          </w:p>
        </w:tc>
      </w:tr>
      <w:tr w:rsidR="00224102" w:rsidRPr="00604C75" w14:paraId="5354825E" w14:textId="77777777" w:rsidTr="009340BC">
        <w:trPr>
          <w:trHeight w:hRule="exact" w:val="142"/>
        </w:trPr>
        <w:tc>
          <w:tcPr>
            <w:tcW w:w="494" w:type="dxa"/>
            <w:noWrap/>
            <w:tcMar>
              <w:top w:w="18" w:type="dxa"/>
              <w:left w:w="18" w:type="dxa"/>
              <w:bottom w:w="0" w:type="dxa"/>
              <w:right w:w="18" w:type="dxa"/>
            </w:tcMar>
            <w:vAlign w:val="bottom"/>
          </w:tcPr>
          <w:p w14:paraId="55BC09EF"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1.3.1</w:t>
            </w:r>
          </w:p>
        </w:tc>
        <w:tc>
          <w:tcPr>
            <w:tcW w:w="3580" w:type="dxa"/>
            <w:noWrap/>
            <w:tcMar>
              <w:top w:w="18" w:type="dxa"/>
              <w:left w:w="18" w:type="dxa"/>
              <w:bottom w:w="0" w:type="dxa"/>
              <w:right w:w="18" w:type="dxa"/>
            </w:tcMar>
            <w:vAlign w:val="bottom"/>
          </w:tcPr>
          <w:p w14:paraId="29D605D8" w14:textId="3E155C13"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Documentary Letters of Credit</w:t>
            </w:r>
          </w:p>
        </w:tc>
        <w:tc>
          <w:tcPr>
            <w:tcW w:w="644" w:type="dxa"/>
            <w:noWrap/>
            <w:tcMar>
              <w:top w:w="18" w:type="dxa"/>
              <w:left w:w="18" w:type="dxa"/>
              <w:bottom w:w="0" w:type="dxa"/>
              <w:right w:w="18" w:type="dxa"/>
            </w:tcMar>
            <w:vAlign w:val="bottom"/>
          </w:tcPr>
          <w:p w14:paraId="12AAF827"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43FEAAFD" w14:textId="39C0EBF1" w:rsidR="00224102" w:rsidRPr="003F3682" w:rsidRDefault="00224102" w:rsidP="00224102">
            <w:pPr>
              <w:jc w:val="right"/>
              <w:rPr>
                <w:sz w:val="11"/>
                <w:szCs w:val="11"/>
              </w:rPr>
            </w:pPr>
            <w:r w:rsidRPr="003F3682">
              <w:rPr>
                <w:sz w:val="11"/>
                <w:szCs w:val="11"/>
              </w:rPr>
              <w:t>-</w:t>
            </w:r>
          </w:p>
        </w:tc>
        <w:tc>
          <w:tcPr>
            <w:tcW w:w="1191" w:type="dxa"/>
            <w:vAlign w:val="bottom"/>
          </w:tcPr>
          <w:p w14:paraId="1BF275F1" w14:textId="5D52F74E" w:rsidR="00224102" w:rsidRPr="003F3682" w:rsidRDefault="00224102" w:rsidP="00224102">
            <w:pPr>
              <w:jc w:val="right"/>
              <w:rPr>
                <w:sz w:val="11"/>
                <w:szCs w:val="11"/>
              </w:rPr>
            </w:pPr>
            <w:r w:rsidRPr="003F3682">
              <w:rPr>
                <w:sz w:val="11"/>
                <w:szCs w:val="11"/>
              </w:rPr>
              <w:t>345,726</w:t>
            </w:r>
          </w:p>
        </w:tc>
        <w:tc>
          <w:tcPr>
            <w:tcW w:w="896" w:type="dxa"/>
            <w:vAlign w:val="bottom"/>
          </w:tcPr>
          <w:p w14:paraId="3FA363B6" w14:textId="6B932BFE" w:rsidR="00224102" w:rsidRPr="003F3682" w:rsidRDefault="00224102" w:rsidP="00224102">
            <w:pPr>
              <w:jc w:val="right"/>
              <w:rPr>
                <w:sz w:val="11"/>
                <w:szCs w:val="11"/>
              </w:rPr>
            </w:pPr>
            <w:r w:rsidRPr="003F3682">
              <w:rPr>
                <w:sz w:val="11"/>
                <w:szCs w:val="11"/>
              </w:rPr>
              <w:t>345,726</w:t>
            </w:r>
          </w:p>
        </w:tc>
        <w:tc>
          <w:tcPr>
            <w:tcW w:w="881" w:type="dxa"/>
            <w:noWrap/>
            <w:tcMar>
              <w:top w:w="18" w:type="dxa"/>
              <w:left w:w="18" w:type="dxa"/>
              <w:bottom w:w="0" w:type="dxa"/>
              <w:right w:w="18" w:type="dxa"/>
            </w:tcMar>
            <w:vAlign w:val="bottom"/>
          </w:tcPr>
          <w:p w14:paraId="7A3509B1" w14:textId="430730B0"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5FC1BD91" w14:textId="0AFA9D33" w:rsidR="00224102" w:rsidRPr="00692926" w:rsidRDefault="00224102" w:rsidP="00224102">
            <w:pPr>
              <w:spacing w:line="211" w:lineRule="auto"/>
              <w:jc w:val="right"/>
              <w:rPr>
                <w:sz w:val="11"/>
                <w:szCs w:val="11"/>
              </w:rPr>
            </w:pPr>
            <w:r w:rsidRPr="00692926">
              <w:rPr>
                <w:sz w:val="11"/>
                <w:szCs w:val="11"/>
              </w:rPr>
              <w:t>362,242</w:t>
            </w:r>
          </w:p>
        </w:tc>
        <w:tc>
          <w:tcPr>
            <w:tcW w:w="896" w:type="dxa"/>
            <w:noWrap/>
            <w:tcMar>
              <w:top w:w="18" w:type="dxa"/>
              <w:left w:w="18" w:type="dxa"/>
              <w:bottom w:w="0" w:type="dxa"/>
              <w:right w:w="18" w:type="dxa"/>
            </w:tcMar>
            <w:vAlign w:val="bottom"/>
          </w:tcPr>
          <w:p w14:paraId="26923DAB" w14:textId="3F6886F0" w:rsidR="00224102" w:rsidRPr="00692926" w:rsidRDefault="00224102" w:rsidP="00224102">
            <w:pPr>
              <w:spacing w:line="211" w:lineRule="auto"/>
              <w:jc w:val="right"/>
              <w:rPr>
                <w:sz w:val="11"/>
                <w:szCs w:val="11"/>
              </w:rPr>
            </w:pPr>
            <w:r w:rsidRPr="00692926">
              <w:rPr>
                <w:sz w:val="11"/>
                <w:szCs w:val="11"/>
              </w:rPr>
              <w:t>362,242</w:t>
            </w:r>
          </w:p>
        </w:tc>
      </w:tr>
      <w:tr w:rsidR="00224102" w:rsidRPr="00604C75" w14:paraId="76F8BFE8" w14:textId="77777777" w:rsidTr="009340BC">
        <w:trPr>
          <w:trHeight w:hRule="exact" w:val="142"/>
        </w:trPr>
        <w:tc>
          <w:tcPr>
            <w:tcW w:w="494" w:type="dxa"/>
            <w:noWrap/>
            <w:tcMar>
              <w:top w:w="18" w:type="dxa"/>
              <w:left w:w="18" w:type="dxa"/>
              <w:bottom w:w="0" w:type="dxa"/>
              <w:right w:w="18" w:type="dxa"/>
            </w:tcMar>
            <w:vAlign w:val="bottom"/>
          </w:tcPr>
          <w:p w14:paraId="6C1A214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1.3.2</w:t>
            </w:r>
          </w:p>
        </w:tc>
        <w:tc>
          <w:tcPr>
            <w:tcW w:w="3580" w:type="dxa"/>
            <w:noWrap/>
            <w:tcMar>
              <w:top w:w="18" w:type="dxa"/>
              <w:left w:w="18" w:type="dxa"/>
              <w:bottom w:w="0" w:type="dxa"/>
              <w:right w:w="18" w:type="dxa"/>
            </w:tcMar>
            <w:vAlign w:val="bottom"/>
          </w:tcPr>
          <w:p w14:paraId="417C2F96"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Letters of Credit</w:t>
            </w:r>
          </w:p>
        </w:tc>
        <w:tc>
          <w:tcPr>
            <w:tcW w:w="644" w:type="dxa"/>
            <w:noWrap/>
            <w:tcMar>
              <w:top w:w="18" w:type="dxa"/>
              <w:left w:w="18" w:type="dxa"/>
              <w:bottom w:w="0" w:type="dxa"/>
              <w:right w:w="18" w:type="dxa"/>
            </w:tcMar>
            <w:vAlign w:val="bottom"/>
          </w:tcPr>
          <w:p w14:paraId="543A525A"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5C761DC3" w14:textId="2A6A0EB9" w:rsidR="00224102" w:rsidRPr="003F3682" w:rsidRDefault="00224102" w:rsidP="00224102">
            <w:pPr>
              <w:jc w:val="right"/>
              <w:rPr>
                <w:b/>
                <w:sz w:val="11"/>
                <w:szCs w:val="11"/>
              </w:rPr>
            </w:pPr>
            <w:r w:rsidRPr="005C7ECF">
              <w:rPr>
                <w:b/>
                <w:sz w:val="11"/>
                <w:szCs w:val="11"/>
              </w:rPr>
              <w:t>-</w:t>
            </w:r>
          </w:p>
        </w:tc>
        <w:tc>
          <w:tcPr>
            <w:tcW w:w="1191" w:type="dxa"/>
            <w:vAlign w:val="bottom"/>
          </w:tcPr>
          <w:p w14:paraId="3A609E3A" w14:textId="0813FBBC" w:rsidR="00224102" w:rsidRPr="003F3682" w:rsidRDefault="00224102" w:rsidP="00224102">
            <w:pPr>
              <w:jc w:val="right"/>
              <w:rPr>
                <w:b/>
                <w:sz w:val="11"/>
                <w:szCs w:val="11"/>
              </w:rPr>
            </w:pPr>
            <w:r w:rsidRPr="005C7ECF">
              <w:rPr>
                <w:b/>
                <w:sz w:val="11"/>
                <w:szCs w:val="11"/>
              </w:rPr>
              <w:t>-</w:t>
            </w:r>
          </w:p>
        </w:tc>
        <w:tc>
          <w:tcPr>
            <w:tcW w:w="896" w:type="dxa"/>
            <w:vAlign w:val="bottom"/>
          </w:tcPr>
          <w:p w14:paraId="27A2EF7D" w14:textId="6A05121B" w:rsidR="00224102" w:rsidRPr="003F3682" w:rsidRDefault="00224102" w:rsidP="00224102">
            <w:pPr>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30CA4EC6" w14:textId="5D8070FC"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5C3CDCE4" w14:textId="4FE6B783"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25F3044D" w14:textId="616FB703" w:rsidR="00224102" w:rsidRPr="00692926" w:rsidRDefault="00224102" w:rsidP="00224102">
            <w:pPr>
              <w:spacing w:line="211" w:lineRule="auto"/>
              <w:jc w:val="right"/>
              <w:rPr>
                <w:sz w:val="11"/>
                <w:szCs w:val="11"/>
              </w:rPr>
            </w:pPr>
            <w:r w:rsidRPr="00692926">
              <w:rPr>
                <w:sz w:val="11"/>
                <w:szCs w:val="11"/>
              </w:rPr>
              <w:t>-</w:t>
            </w:r>
          </w:p>
        </w:tc>
      </w:tr>
      <w:tr w:rsidR="00224102" w:rsidRPr="00604C75" w14:paraId="72972328" w14:textId="77777777" w:rsidTr="009340BC">
        <w:trPr>
          <w:trHeight w:hRule="exact" w:val="142"/>
        </w:trPr>
        <w:tc>
          <w:tcPr>
            <w:tcW w:w="494" w:type="dxa"/>
            <w:noWrap/>
            <w:tcMar>
              <w:top w:w="18" w:type="dxa"/>
              <w:left w:w="18" w:type="dxa"/>
              <w:bottom w:w="0" w:type="dxa"/>
              <w:right w:w="18" w:type="dxa"/>
            </w:tcMar>
            <w:vAlign w:val="bottom"/>
          </w:tcPr>
          <w:p w14:paraId="3FE7217D"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1.4</w:t>
            </w:r>
          </w:p>
        </w:tc>
        <w:tc>
          <w:tcPr>
            <w:tcW w:w="3580" w:type="dxa"/>
            <w:noWrap/>
            <w:tcMar>
              <w:top w:w="18" w:type="dxa"/>
              <w:left w:w="18" w:type="dxa"/>
              <w:bottom w:w="0" w:type="dxa"/>
              <w:right w:w="18" w:type="dxa"/>
            </w:tcMar>
            <w:vAlign w:val="bottom"/>
          </w:tcPr>
          <w:p w14:paraId="20FC9C24"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Prefinancing Given as Guarantee</w:t>
            </w:r>
          </w:p>
        </w:tc>
        <w:tc>
          <w:tcPr>
            <w:tcW w:w="644" w:type="dxa"/>
            <w:noWrap/>
            <w:tcMar>
              <w:top w:w="18" w:type="dxa"/>
              <w:left w:w="18" w:type="dxa"/>
              <w:bottom w:w="0" w:type="dxa"/>
              <w:right w:w="18" w:type="dxa"/>
            </w:tcMar>
            <w:vAlign w:val="bottom"/>
          </w:tcPr>
          <w:p w14:paraId="15FEE1DB"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6E2B3AB0" w14:textId="6EA869E7" w:rsidR="00224102" w:rsidRPr="003F3682" w:rsidRDefault="00224102" w:rsidP="00224102">
            <w:pPr>
              <w:jc w:val="right"/>
              <w:rPr>
                <w:b/>
                <w:sz w:val="11"/>
                <w:szCs w:val="11"/>
              </w:rPr>
            </w:pPr>
            <w:r w:rsidRPr="005C7ECF">
              <w:rPr>
                <w:b/>
                <w:sz w:val="11"/>
                <w:szCs w:val="11"/>
              </w:rPr>
              <w:t>-</w:t>
            </w:r>
          </w:p>
        </w:tc>
        <w:tc>
          <w:tcPr>
            <w:tcW w:w="1191" w:type="dxa"/>
            <w:vAlign w:val="bottom"/>
          </w:tcPr>
          <w:p w14:paraId="0B77719E" w14:textId="19E7E127" w:rsidR="00224102" w:rsidRPr="003F3682" w:rsidRDefault="00224102" w:rsidP="00224102">
            <w:pPr>
              <w:jc w:val="right"/>
              <w:rPr>
                <w:b/>
                <w:sz w:val="11"/>
                <w:szCs w:val="11"/>
              </w:rPr>
            </w:pPr>
            <w:r w:rsidRPr="005C7ECF">
              <w:rPr>
                <w:b/>
                <w:sz w:val="11"/>
                <w:szCs w:val="11"/>
              </w:rPr>
              <w:t>-</w:t>
            </w:r>
          </w:p>
        </w:tc>
        <w:tc>
          <w:tcPr>
            <w:tcW w:w="896" w:type="dxa"/>
            <w:vAlign w:val="bottom"/>
          </w:tcPr>
          <w:p w14:paraId="004E81A9" w14:textId="19154F17" w:rsidR="00224102" w:rsidRPr="003F3682" w:rsidRDefault="00224102" w:rsidP="00224102">
            <w:pPr>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5ED0D9E7" w14:textId="34E965CB"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0D4464E4" w14:textId="17F6D7B1"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13DF24E5" w14:textId="404AB4E6" w:rsidR="00224102" w:rsidRPr="00692926" w:rsidRDefault="00224102" w:rsidP="00224102">
            <w:pPr>
              <w:spacing w:line="211" w:lineRule="auto"/>
              <w:jc w:val="right"/>
              <w:rPr>
                <w:sz w:val="11"/>
                <w:szCs w:val="11"/>
              </w:rPr>
            </w:pPr>
            <w:r w:rsidRPr="00692926">
              <w:rPr>
                <w:sz w:val="11"/>
                <w:szCs w:val="11"/>
              </w:rPr>
              <w:t>-</w:t>
            </w:r>
          </w:p>
        </w:tc>
      </w:tr>
      <w:tr w:rsidR="00224102" w:rsidRPr="00604C75" w14:paraId="4C5D326E" w14:textId="77777777" w:rsidTr="009340BC">
        <w:trPr>
          <w:trHeight w:hRule="exact" w:val="142"/>
        </w:trPr>
        <w:tc>
          <w:tcPr>
            <w:tcW w:w="494" w:type="dxa"/>
            <w:noWrap/>
            <w:tcMar>
              <w:top w:w="18" w:type="dxa"/>
              <w:left w:w="18" w:type="dxa"/>
              <w:bottom w:w="0" w:type="dxa"/>
              <w:right w:w="18" w:type="dxa"/>
            </w:tcMar>
            <w:vAlign w:val="bottom"/>
          </w:tcPr>
          <w:p w14:paraId="2B2C97B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1.5</w:t>
            </w:r>
          </w:p>
        </w:tc>
        <w:tc>
          <w:tcPr>
            <w:tcW w:w="3580" w:type="dxa"/>
            <w:noWrap/>
            <w:tcMar>
              <w:top w:w="18" w:type="dxa"/>
              <w:left w:w="18" w:type="dxa"/>
              <w:bottom w:w="0" w:type="dxa"/>
              <w:right w:w="18" w:type="dxa"/>
            </w:tcMar>
            <w:vAlign w:val="bottom"/>
          </w:tcPr>
          <w:p w14:paraId="68C412F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Endorsements</w:t>
            </w:r>
          </w:p>
        </w:tc>
        <w:tc>
          <w:tcPr>
            <w:tcW w:w="644" w:type="dxa"/>
            <w:noWrap/>
            <w:tcMar>
              <w:top w:w="18" w:type="dxa"/>
              <w:left w:w="18" w:type="dxa"/>
              <w:bottom w:w="0" w:type="dxa"/>
              <w:right w:w="18" w:type="dxa"/>
            </w:tcMar>
            <w:vAlign w:val="bottom"/>
          </w:tcPr>
          <w:p w14:paraId="4518EB12" w14:textId="77777777" w:rsidR="00224102" w:rsidRPr="00604C75" w:rsidRDefault="00224102" w:rsidP="00224102">
            <w:pPr>
              <w:spacing w:line="211" w:lineRule="auto"/>
              <w:jc w:val="center"/>
              <w:rPr>
                <w:rFonts w:eastAsia="Arial Unicode MS"/>
                <w:b/>
                <w:bCs/>
                <w:sz w:val="10"/>
                <w:szCs w:val="10"/>
                <w:lang w:val="tr-TR"/>
              </w:rPr>
            </w:pPr>
          </w:p>
        </w:tc>
        <w:tc>
          <w:tcPr>
            <w:tcW w:w="895" w:type="dxa"/>
            <w:vAlign w:val="bottom"/>
          </w:tcPr>
          <w:p w14:paraId="67FEDABE" w14:textId="6D56C6F3" w:rsidR="00224102" w:rsidRPr="003F3682" w:rsidRDefault="00224102" w:rsidP="00224102">
            <w:pPr>
              <w:jc w:val="right"/>
              <w:rPr>
                <w:b/>
                <w:sz w:val="11"/>
                <w:szCs w:val="11"/>
              </w:rPr>
            </w:pPr>
            <w:r w:rsidRPr="005C7ECF">
              <w:rPr>
                <w:b/>
                <w:sz w:val="11"/>
                <w:szCs w:val="11"/>
              </w:rPr>
              <w:t>-</w:t>
            </w:r>
          </w:p>
        </w:tc>
        <w:tc>
          <w:tcPr>
            <w:tcW w:w="1191" w:type="dxa"/>
            <w:vAlign w:val="bottom"/>
          </w:tcPr>
          <w:p w14:paraId="371A969F" w14:textId="72CE1312" w:rsidR="00224102" w:rsidRPr="003F3682" w:rsidRDefault="00224102" w:rsidP="00224102">
            <w:pPr>
              <w:jc w:val="right"/>
              <w:rPr>
                <w:b/>
                <w:sz w:val="11"/>
                <w:szCs w:val="11"/>
              </w:rPr>
            </w:pPr>
            <w:r w:rsidRPr="005C7ECF">
              <w:rPr>
                <w:b/>
                <w:sz w:val="11"/>
                <w:szCs w:val="11"/>
              </w:rPr>
              <w:t>-</w:t>
            </w:r>
          </w:p>
        </w:tc>
        <w:tc>
          <w:tcPr>
            <w:tcW w:w="896" w:type="dxa"/>
            <w:vAlign w:val="bottom"/>
          </w:tcPr>
          <w:p w14:paraId="1211254F" w14:textId="3514EE20" w:rsidR="00224102" w:rsidRPr="003F3682" w:rsidRDefault="00224102" w:rsidP="00224102">
            <w:pPr>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36D10F7B" w14:textId="3F983385"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0D4BBBFA" w14:textId="2A76DE5D"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2D771494" w14:textId="26553CCD" w:rsidR="00224102" w:rsidRPr="00692926" w:rsidRDefault="00224102" w:rsidP="00224102">
            <w:pPr>
              <w:spacing w:line="211" w:lineRule="auto"/>
              <w:jc w:val="right"/>
              <w:rPr>
                <w:sz w:val="11"/>
                <w:szCs w:val="11"/>
              </w:rPr>
            </w:pPr>
            <w:r w:rsidRPr="00692926">
              <w:rPr>
                <w:sz w:val="11"/>
                <w:szCs w:val="11"/>
              </w:rPr>
              <w:t>-</w:t>
            </w:r>
          </w:p>
        </w:tc>
      </w:tr>
      <w:tr w:rsidR="00224102" w:rsidRPr="00604C75" w14:paraId="43B4DF41" w14:textId="77777777" w:rsidTr="009340BC">
        <w:trPr>
          <w:trHeight w:hRule="exact" w:val="142"/>
        </w:trPr>
        <w:tc>
          <w:tcPr>
            <w:tcW w:w="494" w:type="dxa"/>
            <w:noWrap/>
            <w:tcMar>
              <w:top w:w="18" w:type="dxa"/>
              <w:left w:w="18" w:type="dxa"/>
              <w:bottom w:w="0" w:type="dxa"/>
              <w:right w:w="18" w:type="dxa"/>
            </w:tcMar>
            <w:vAlign w:val="bottom"/>
          </w:tcPr>
          <w:p w14:paraId="2E64766F"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1.5.1</w:t>
            </w:r>
          </w:p>
        </w:tc>
        <w:tc>
          <w:tcPr>
            <w:tcW w:w="3580" w:type="dxa"/>
            <w:noWrap/>
            <w:tcMar>
              <w:top w:w="18" w:type="dxa"/>
              <w:left w:w="18" w:type="dxa"/>
              <w:bottom w:w="0" w:type="dxa"/>
              <w:right w:w="18" w:type="dxa"/>
            </w:tcMar>
            <w:vAlign w:val="bottom"/>
          </w:tcPr>
          <w:p w14:paraId="5F205D4F"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Endorsements to the Central Bank of the Republic of Turkey</w:t>
            </w:r>
          </w:p>
        </w:tc>
        <w:tc>
          <w:tcPr>
            <w:tcW w:w="644" w:type="dxa"/>
            <w:noWrap/>
            <w:tcMar>
              <w:top w:w="18" w:type="dxa"/>
              <w:left w:w="18" w:type="dxa"/>
              <w:bottom w:w="0" w:type="dxa"/>
              <w:right w:w="18" w:type="dxa"/>
            </w:tcMar>
            <w:vAlign w:val="bottom"/>
          </w:tcPr>
          <w:p w14:paraId="77A8897F"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17AFB943" w14:textId="3B4CBAAF" w:rsidR="00224102" w:rsidRPr="003F3682" w:rsidRDefault="00224102" w:rsidP="00224102">
            <w:pPr>
              <w:jc w:val="right"/>
              <w:rPr>
                <w:b/>
                <w:sz w:val="11"/>
                <w:szCs w:val="11"/>
              </w:rPr>
            </w:pPr>
            <w:r w:rsidRPr="005C7ECF">
              <w:rPr>
                <w:b/>
                <w:sz w:val="11"/>
                <w:szCs w:val="11"/>
              </w:rPr>
              <w:t>-</w:t>
            </w:r>
          </w:p>
        </w:tc>
        <w:tc>
          <w:tcPr>
            <w:tcW w:w="1191" w:type="dxa"/>
            <w:vAlign w:val="bottom"/>
          </w:tcPr>
          <w:p w14:paraId="4B62F703" w14:textId="3F4929D6" w:rsidR="00224102" w:rsidRPr="003F3682" w:rsidRDefault="00224102" w:rsidP="00224102">
            <w:pPr>
              <w:jc w:val="right"/>
              <w:rPr>
                <w:b/>
                <w:sz w:val="11"/>
                <w:szCs w:val="11"/>
              </w:rPr>
            </w:pPr>
            <w:r w:rsidRPr="005C7ECF">
              <w:rPr>
                <w:b/>
                <w:sz w:val="11"/>
                <w:szCs w:val="11"/>
              </w:rPr>
              <w:t>-</w:t>
            </w:r>
          </w:p>
        </w:tc>
        <w:tc>
          <w:tcPr>
            <w:tcW w:w="896" w:type="dxa"/>
            <w:vAlign w:val="bottom"/>
          </w:tcPr>
          <w:p w14:paraId="2EAB065B" w14:textId="6F37FF5E" w:rsidR="00224102" w:rsidRPr="003F3682" w:rsidRDefault="00224102" w:rsidP="00224102">
            <w:pPr>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721FA9D9" w14:textId="64138794"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43C3CD0A" w14:textId="64658DC2"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499DBEFD" w14:textId="35861FB0" w:rsidR="00224102" w:rsidRPr="00692926" w:rsidRDefault="00224102" w:rsidP="00224102">
            <w:pPr>
              <w:spacing w:line="211" w:lineRule="auto"/>
              <w:jc w:val="right"/>
              <w:rPr>
                <w:sz w:val="11"/>
                <w:szCs w:val="11"/>
              </w:rPr>
            </w:pPr>
            <w:r w:rsidRPr="00692926">
              <w:rPr>
                <w:sz w:val="11"/>
                <w:szCs w:val="11"/>
              </w:rPr>
              <w:t>-</w:t>
            </w:r>
          </w:p>
        </w:tc>
      </w:tr>
      <w:tr w:rsidR="00224102" w:rsidRPr="00604C75" w14:paraId="28255D1D" w14:textId="77777777" w:rsidTr="009340BC">
        <w:trPr>
          <w:trHeight w:hRule="exact" w:val="142"/>
        </w:trPr>
        <w:tc>
          <w:tcPr>
            <w:tcW w:w="494" w:type="dxa"/>
            <w:noWrap/>
            <w:tcMar>
              <w:top w:w="18" w:type="dxa"/>
              <w:left w:w="18" w:type="dxa"/>
              <w:bottom w:w="0" w:type="dxa"/>
              <w:right w:w="18" w:type="dxa"/>
            </w:tcMar>
            <w:vAlign w:val="bottom"/>
          </w:tcPr>
          <w:p w14:paraId="0CE5974F"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1.5.2</w:t>
            </w:r>
          </w:p>
        </w:tc>
        <w:tc>
          <w:tcPr>
            <w:tcW w:w="3580" w:type="dxa"/>
            <w:noWrap/>
            <w:tcMar>
              <w:top w:w="18" w:type="dxa"/>
              <w:left w:w="18" w:type="dxa"/>
              <w:bottom w:w="0" w:type="dxa"/>
              <w:right w:w="18" w:type="dxa"/>
            </w:tcMar>
            <w:vAlign w:val="bottom"/>
          </w:tcPr>
          <w:p w14:paraId="5EEA6B3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Endorsements</w:t>
            </w:r>
          </w:p>
        </w:tc>
        <w:tc>
          <w:tcPr>
            <w:tcW w:w="644" w:type="dxa"/>
            <w:noWrap/>
            <w:tcMar>
              <w:top w:w="18" w:type="dxa"/>
              <w:left w:w="18" w:type="dxa"/>
              <w:bottom w:w="0" w:type="dxa"/>
              <w:right w:w="18" w:type="dxa"/>
            </w:tcMar>
            <w:vAlign w:val="bottom"/>
          </w:tcPr>
          <w:p w14:paraId="6221168B"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2A6AB75A" w14:textId="778D4A67" w:rsidR="00224102" w:rsidRPr="003F3682" w:rsidRDefault="00224102" w:rsidP="00224102">
            <w:pPr>
              <w:jc w:val="right"/>
              <w:rPr>
                <w:b/>
                <w:sz w:val="11"/>
                <w:szCs w:val="11"/>
              </w:rPr>
            </w:pPr>
            <w:r w:rsidRPr="005C7ECF">
              <w:rPr>
                <w:b/>
                <w:sz w:val="11"/>
                <w:szCs w:val="11"/>
              </w:rPr>
              <w:t>-</w:t>
            </w:r>
          </w:p>
        </w:tc>
        <w:tc>
          <w:tcPr>
            <w:tcW w:w="1191" w:type="dxa"/>
            <w:vAlign w:val="bottom"/>
          </w:tcPr>
          <w:p w14:paraId="5B08BDE7" w14:textId="0CE67C28" w:rsidR="00224102" w:rsidRPr="003F3682" w:rsidRDefault="00224102" w:rsidP="00224102">
            <w:pPr>
              <w:jc w:val="right"/>
              <w:rPr>
                <w:b/>
                <w:sz w:val="11"/>
                <w:szCs w:val="11"/>
              </w:rPr>
            </w:pPr>
            <w:r w:rsidRPr="005C7ECF">
              <w:rPr>
                <w:b/>
                <w:sz w:val="11"/>
                <w:szCs w:val="11"/>
              </w:rPr>
              <w:t>-</w:t>
            </w:r>
          </w:p>
        </w:tc>
        <w:tc>
          <w:tcPr>
            <w:tcW w:w="896" w:type="dxa"/>
            <w:vAlign w:val="bottom"/>
          </w:tcPr>
          <w:p w14:paraId="796A2852" w14:textId="0465AB4E" w:rsidR="00224102" w:rsidRPr="003F3682" w:rsidRDefault="00224102" w:rsidP="00224102">
            <w:pPr>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7899D715" w14:textId="274F3365"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40DD463A" w14:textId="7C424454"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03DBF3D1" w14:textId="76C5743E" w:rsidR="00224102" w:rsidRPr="00692926" w:rsidRDefault="00224102" w:rsidP="00224102">
            <w:pPr>
              <w:spacing w:line="211" w:lineRule="auto"/>
              <w:jc w:val="right"/>
              <w:rPr>
                <w:sz w:val="11"/>
                <w:szCs w:val="11"/>
              </w:rPr>
            </w:pPr>
            <w:r w:rsidRPr="00692926">
              <w:rPr>
                <w:sz w:val="11"/>
                <w:szCs w:val="11"/>
              </w:rPr>
              <w:t>-</w:t>
            </w:r>
          </w:p>
        </w:tc>
      </w:tr>
      <w:tr w:rsidR="00224102" w:rsidRPr="00604C75" w14:paraId="22D2F197" w14:textId="77777777" w:rsidTr="009340BC">
        <w:trPr>
          <w:trHeight w:hRule="exact" w:val="142"/>
        </w:trPr>
        <w:tc>
          <w:tcPr>
            <w:tcW w:w="494" w:type="dxa"/>
            <w:noWrap/>
            <w:tcMar>
              <w:top w:w="18" w:type="dxa"/>
              <w:left w:w="18" w:type="dxa"/>
              <w:bottom w:w="0" w:type="dxa"/>
              <w:right w:w="18" w:type="dxa"/>
            </w:tcMar>
            <w:vAlign w:val="bottom"/>
          </w:tcPr>
          <w:p w14:paraId="3C71E04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1.6</w:t>
            </w:r>
          </w:p>
        </w:tc>
        <w:tc>
          <w:tcPr>
            <w:tcW w:w="3580" w:type="dxa"/>
            <w:noWrap/>
            <w:tcMar>
              <w:top w:w="18" w:type="dxa"/>
              <w:left w:w="18" w:type="dxa"/>
              <w:bottom w:w="0" w:type="dxa"/>
              <w:right w:w="18" w:type="dxa"/>
            </w:tcMar>
            <w:vAlign w:val="bottom"/>
          </w:tcPr>
          <w:p w14:paraId="77B4D25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Securities Issue Purchase Guarantees</w:t>
            </w:r>
          </w:p>
        </w:tc>
        <w:tc>
          <w:tcPr>
            <w:tcW w:w="644" w:type="dxa"/>
            <w:noWrap/>
            <w:tcMar>
              <w:top w:w="18" w:type="dxa"/>
              <w:left w:w="18" w:type="dxa"/>
              <w:bottom w:w="0" w:type="dxa"/>
              <w:right w:w="18" w:type="dxa"/>
            </w:tcMar>
            <w:vAlign w:val="bottom"/>
          </w:tcPr>
          <w:p w14:paraId="6EF70ED4"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1700BB27" w14:textId="52CA5FD5" w:rsidR="00224102" w:rsidRPr="003F3682" w:rsidRDefault="00224102" w:rsidP="00224102">
            <w:pPr>
              <w:jc w:val="right"/>
              <w:rPr>
                <w:b/>
                <w:sz w:val="11"/>
                <w:szCs w:val="11"/>
              </w:rPr>
            </w:pPr>
            <w:r w:rsidRPr="005C7ECF">
              <w:rPr>
                <w:b/>
                <w:sz w:val="11"/>
                <w:szCs w:val="11"/>
              </w:rPr>
              <w:t>-</w:t>
            </w:r>
          </w:p>
        </w:tc>
        <w:tc>
          <w:tcPr>
            <w:tcW w:w="1191" w:type="dxa"/>
            <w:vAlign w:val="bottom"/>
          </w:tcPr>
          <w:p w14:paraId="12187C72" w14:textId="6D6152B0" w:rsidR="00224102" w:rsidRPr="003F3682" w:rsidRDefault="00224102" w:rsidP="00224102">
            <w:pPr>
              <w:jc w:val="right"/>
              <w:rPr>
                <w:b/>
                <w:sz w:val="11"/>
                <w:szCs w:val="11"/>
              </w:rPr>
            </w:pPr>
            <w:r w:rsidRPr="005C7ECF">
              <w:rPr>
                <w:b/>
                <w:sz w:val="11"/>
                <w:szCs w:val="11"/>
              </w:rPr>
              <w:t>-</w:t>
            </w:r>
          </w:p>
        </w:tc>
        <w:tc>
          <w:tcPr>
            <w:tcW w:w="896" w:type="dxa"/>
            <w:vAlign w:val="bottom"/>
          </w:tcPr>
          <w:p w14:paraId="506ADA82" w14:textId="3996589F" w:rsidR="00224102" w:rsidRPr="003F3682" w:rsidRDefault="00224102" w:rsidP="00224102">
            <w:pPr>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2E4D96CD" w14:textId="46787E82"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719F0DB0" w14:textId="0B69AB3E"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7DDD0342" w14:textId="454A6B48" w:rsidR="00224102" w:rsidRPr="00692926" w:rsidRDefault="00224102" w:rsidP="00224102">
            <w:pPr>
              <w:spacing w:line="211" w:lineRule="auto"/>
              <w:jc w:val="right"/>
              <w:rPr>
                <w:sz w:val="11"/>
                <w:szCs w:val="11"/>
              </w:rPr>
            </w:pPr>
            <w:r w:rsidRPr="00692926">
              <w:rPr>
                <w:sz w:val="11"/>
                <w:szCs w:val="11"/>
              </w:rPr>
              <w:t>-</w:t>
            </w:r>
          </w:p>
        </w:tc>
      </w:tr>
      <w:tr w:rsidR="00224102" w:rsidRPr="00604C75" w14:paraId="7FB91DC2" w14:textId="77777777" w:rsidTr="009340BC">
        <w:trPr>
          <w:trHeight w:hRule="exact" w:val="142"/>
        </w:trPr>
        <w:tc>
          <w:tcPr>
            <w:tcW w:w="494" w:type="dxa"/>
            <w:noWrap/>
            <w:tcMar>
              <w:top w:w="18" w:type="dxa"/>
              <w:left w:w="18" w:type="dxa"/>
              <w:bottom w:w="0" w:type="dxa"/>
              <w:right w:w="18" w:type="dxa"/>
            </w:tcMar>
            <w:vAlign w:val="bottom"/>
          </w:tcPr>
          <w:p w14:paraId="118AF604"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1.7</w:t>
            </w:r>
          </w:p>
        </w:tc>
        <w:tc>
          <w:tcPr>
            <w:tcW w:w="3580" w:type="dxa"/>
            <w:noWrap/>
            <w:tcMar>
              <w:top w:w="18" w:type="dxa"/>
              <w:left w:w="18" w:type="dxa"/>
              <w:bottom w:w="0" w:type="dxa"/>
              <w:right w:w="18" w:type="dxa"/>
            </w:tcMar>
            <w:vAlign w:val="bottom"/>
          </w:tcPr>
          <w:p w14:paraId="1B0CA7D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Factoring Guarantees</w:t>
            </w:r>
          </w:p>
        </w:tc>
        <w:tc>
          <w:tcPr>
            <w:tcW w:w="644" w:type="dxa"/>
            <w:noWrap/>
            <w:tcMar>
              <w:top w:w="18" w:type="dxa"/>
              <w:left w:w="18" w:type="dxa"/>
              <w:bottom w:w="0" w:type="dxa"/>
              <w:right w:w="18" w:type="dxa"/>
            </w:tcMar>
            <w:vAlign w:val="bottom"/>
          </w:tcPr>
          <w:p w14:paraId="4F90636F"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71438239" w14:textId="2398F49A" w:rsidR="00224102" w:rsidRPr="003F3682" w:rsidRDefault="00224102" w:rsidP="00224102">
            <w:pPr>
              <w:jc w:val="right"/>
              <w:rPr>
                <w:b/>
                <w:sz w:val="11"/>
                <w:szCs w:val="11"/>
              </w:rPr>
            </w:pPr>
            <w:r w:rsidRPr="005C7ECF">
              <w:rPr>
                <w:b/>
                <w:sz w:val="11"/>
                <w:szCs w:val="11"/>
              </w:rPr>
              <w:t>-</w:t>
            </w:r>
          </w:p>
        </w:tc>
        <w:tc>
          <w:tcPr>
            <w:tcW w:w="1191" w:type="dxa"/>
            <w:vAlign w:val="bottom"/>
          </w:tcPr>
          <w:p w14:paraId="45E7A9EF" w14:textId="35573813" w:rsidR="00224102" w:rsidRPr="003F3682" w:rsidRDefault="00224102" w:rsidP="00224102">
            <w:pPr>
              <w:jc w:val="right"/>
              <w:rPr>
                <w:b/>
                <w:sz w:val="11"/>
                <w:szCs w:val="11"/>
              </w:rPr>
            </w:pPr>
            <w:r w:rsidRPr="005C7ECF">
              <w:rPr>
                <w:b/>
                <w:sz w:val="11"/>
                <w:szCs w:val="11"/>
              </w:rPr>
              <w:t>-</w:t>
            </w:r>
          </w:p>
        </w:tc>
        <w:tc>
          <w:tcPr>
            <w:tcW w:w="896" w:type="dxa"/>
            <w:vAlign w:val="bottom"/>
          </w:tcPr>
          <w:p w14:paraId="636F1EF2" w14:textId="518C3329" w:rsidR="00224102" w:rsidRPr="003F3682" w:rsidRDefault="00224102" w:rsidP="00224102">
            <w:pPr>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3903240C" w14:textId="5A8F372C"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488ABD0C" w14:textId="34575D95"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0D83434A" w14:textId="296CEAD7" w:rsidR="00224102" w:rsidRPr="00692926" w:rsidRDefault="00224102" w:rsidP="00224102">
            <w:pPr>
              <w:spacing w:line="211" w:lineRule="auto"/>
              <w:jc w:val="right"/>
              <w:rPr>
                <w:sz w:val="11"/>
                <w:szCs w:val="11"/>
              </w:rPr>
            </w:pPr>
            <w:r w:rsidRPr="00692926">
              <w:rPr>
                <w:sz w:val="11"/>
                <w:szCs w:val="11"/>
              </w:rPr>
              <w:t>-</w:t>
            </w:r>
          </w:p>
        </w:tc>
      </w:tr>
      <w:tr w:rsidR="00224102" w:rsidRPr="00604C75" w14:paraId="38F23D5E" w14:textId="77777777" w:rsidTr="009340BC">
        <w:trPr>
          <w:trHeight w:hRule="exact" w:val="142"/>
        </w:trPr>
        <w:tc>
          <w:tcPr>
            <w:tcW w:w="494" w:type="dxa"/>
            <w:noWrap/>
            <w:tcMar>
              <w:top w:w="18" w:type="dxa"/>
              <w:left w:w="18" w:type="dxa"/>
              <w:bottom w:w="0" w:type="dxa"/>
              <w:right w:w="18" w:type="dxa"/>
            </w:tcMar>
            <w:vAlign w:val="bottom"/>
          </w:tcPr>
          <w:p w14:paraId="7BB79E4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1.8</w:t>
            </w:r>
          </w:p>
        </w:tc>
        <w:tc>
          <w:tcPr>
            <w:tcW w:w="3580" w:type="dxa"/>
            <w:noWrap/>
            <w:tcMar>
              <w:top w:w="18" w:type="dxa"/>
              <w:left w:w="18" w:type="dxa"/>
              <w:bottom w:w="0" w:type="dxa"/>
              <w:right w:w="18" w:type="dxa"/>
            </w:tcMar>
            <w:vAlign w:val="bottom"/>
          </w:tcPr>
          <w:p w14:paraId="4E40CF81"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Guarantees</w:t>
            </w:r>
          </w:p>
        </w:tc>
        <w:tc>
          <w:tcPr>
            <w:tcW w:w="644" w:type="dxa"/>
            <w:noWrap/>
            <w:tcMar>
              <w:top w:w="18" w:type="dxa"/>
              <w:left w:w="18" w:type="dxa"/>
              <w:bottom w:w="0" w:type="dxa"/>
              <w:right w:w="18" w:type="dxa"/>
            </w:tcMar>
            <w:vAlign w:val="bottom"/>
          </w:tcPr>
          <w:p w14:paraId="2765787B"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7ACBE0BE" w14:textId="2B9373AE" w:rsidR="00224102" w:rsidRPr="003F3682" w:rsidRDefault="00224102" w:rsidP="00224102">
            <w:pPr>
              <w:jc w:val="right"/>
              <w:rPr>
                <w:sz w:val="11"/>
                <w:szCs w:val="11"/>
              </w:rPr>
            </w:pPr>
            <w:r w:rsidRPr="003F3682">
              <w:rPr>
                <w:sz w:val="11"/>
                <w:szCs w:val="11"/>
              </w:rPr>
              <w:t>-</w:t>
            </w:r>
          </w:p>
        </w:tc>
        <w:tc>
          <w:tcPr>
            <w:tcW w:w="1191" w:type="dxa"/>
            <w:vAlign w:val="bottom"/>
          </w:tcPr>
          <w:p w14:paraId="7A79E5F6" w14:textId="1D9D38F3" w:rsidR="00224102" w:rsidRPr="003F3682" w:rsidRDefault="00224102" w:rsidP="00224102">
            <w:pPr>
              <w:jc w:val="right"/>
              <w:rPr>
                <w:sz w:val="11"/>
                <w:szCs w:val="11"/>
              </w:rPr>
            </w:pPr>
            <w:r w:rsidRPr="003F3682">
              <w:rPr>
                <w:sz w:val="11"/>
                <w:szCs w:val="11"/>
              </w:rPr>
              <w:t>551,332</w:t>
            </w:r>
          </w:p>
        </w:tc>
        <w:tc>
          <w:tcPr>
            <w:tcW w:w="896" w:type="dxa"/>
            <w:vAlign w:val="bottom"/>
          </w:tcPr>
          <w:p w14:paraId="317801D5" w14:textId="6556CDE6" w:rsidR="00224102" w:rsidRPr="003F3682" w:rsidRDefault="00224102" w:rsidP="00224102">
            <w:pPr>
              <w:jc w:val="right"/>
              <w:rPr>
                <w:sz w:val="11"/>
                <w:szCs w:val="11"/>
              </w:rPr>
            </w:pPr>
            <w:r w:rsidRPr="003F3682">
              <w:rPr>
                <w:sz w:val="11"/>
                <w:szCs w:val="11"/>
              </w:rPr>
              <w:t>551,332</w:t>
            </w:r>
          </w:p>
        </w:tc>
        <w:tc>
          <w:tcPr>
            <w:tcW w:w="881" w:type="dxa"/>
            <w:noWrap/>
            <w:tcMar>
              <w:top w:w="18" w:type="dxa"/>
              <w:left w:w="18" w:type="dxa"/>
              <w:bottom w:w="0" w:type="dxa"/>
              <w:right w:w="18" w:type="dxa"/>
            </w:tcMar>
            <w:vAlign w:val="bottom"/>
          </w:tcPr>
          <w:p w14:paraId="63EB1EC5" w14:textId="1D05BD05"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4E0855F7" w14:textId="76B57F50" w:rsidR="00224102" w:rsidRPr="00692926" w:rsidRDefault="00224102" w:rsidP="00224102">
            <w:pPr>
              <w:spacing w:line="211" w:lineRule="auto"/>
              <w:jc w:val="right"/>
              <w:rPr>
                <w:sz w:val="11"/>
                <w:szCs w:val="11"/>
              </w:rPr>
            </w:pPr>
            <w:r w:rsidRPr="00692926">
              <w:rPr>
                <w:sz w:val="11"/>
                <w:szCs w:val="11"/>
              </w:rPr>
              <w:t>12,776</w:t>
            </w:r>
          </w:p>
        </w:tc>
        <w:tc>
          <w:tcPr>
            <w:tcW w:w="896" w:type="dxa"/>
            <w:noWrap/>
            <w:tcMar>
              <w:top w:w="18" w:type="dxa"/>
              <w:left w:w="18" w:type="dxa"/>
              <w:bottom w:w="0" w:type="dxa"/>
              <w:right w:w="18" w:type="dxa"/>
            </w:tcMar>
            <w:vAlign w:val="bottom"/>
          </w:tcPr>
          <w:p w14:paraId="30D6BBE0" w14:textId="1AEBC8A2" w:rsidR="00224102" w:rsidRPr="00692926" w:rsidRDefault="00224102" w:rsidP="00224102">
            <w:pPr>
              <w:spacing w:line="211" w:lineRule="auto"/>
              <w:jc w:val="right"/>
              <w:rPr>
                <w:sz w:val="11"/>
                <w:szCs w:val="11"/>
              </w:rPr>
            </w:pPr>
            <w:r w:rsidRPr="00692926">
              <w:rPr>
                <w:sz w:val="11"/>
                <w:szCs w:val="11"/>
              </w:rPr>
              <w:t>12,776</w:t>
            </w:r>
          </w:p>
        </w:tc>
      </w:tr>
      <w:tr w:rsidR="00224102" w:rsidRPr="00604C75" w14:paraId="070A3184" w14:textId="77777777" w:rsidTr="009340BC">
        <w:trPr>
          <w:trHeight w:hRule="exact" w:val="142"/>
        </w:trPr>
        <w:tc>
          <w:tcPr>
            <w:tcW w:w="494" w:type="dxa"/>
            <w:noWrap/>
            <w:tcMar>
              <w:top w:w="18" w:type="dxa"/>
              <w:left w:w="18" w:type="dxa"/>
              <w:bottom w:w="0" w:type="dxa"/>
              <w:right w:w="18" w:type="dxa"/>
            </w:tcMar>
            <w:vAlign w:val="bottom"/>
          </w:tcPr>
          <w:p w14:paraId="40291371"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1.9</w:t>
            </w:r>
          </w:p>
        </w:tc>
        <w:tc>
          <w:tcPr>
            <w:tcW w:w="3580" w:type="dxa"/>
            <w:noWrap/>
            <w:tcMar>
              <w:top w:w="18" w:type="dxa"/>
              <w:left w:w="18" w:type="dxa"/>
              <w:bottom w:w="0" w:type="dxa"/>
              <w:right w:w="18" w:type="dxa"/>
            </w:tcMar>
            <w:vAlign w:val="bottom"/>
          </w:tcPr>
          <w:p w14:paraId="02DBBD2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Warrantees</w:t>
            </w:r>
          </w:p>
        </w:tc>
        <w:tc>
          <w:tcPr>
            <w:tcW w:w="644" w:type="dxa"/>
            <w:noWrap/>
            <w:tcMar>
              <w:top w:w="18" w:type="dxa"/>
              <w:left w:w="18" w:type="dxa"/>
              <w:bottom w:w="0" w:type="dxa"/>
              <w:right w:w="18" w:type="dxa"/>
            </w:tcMar>
            <w:vAlign w:val="bottom"/>
          </w:tcPr>
          <w:p w14:paraId="42F4589C" w14:textId="77777777" w:rsidR="00224102" w:rsidRPr="00604C75" w:rsidRDefault="00224102" w:rsidP="00224102">
            <w:pPr>
              <w:spacing w:line="211" w:lineRule="auto"/>
              <w:jc w:val="center"/>
              <w:rPr>
                <w:rFonts w:eastAsia="Arial Unicode MS"/>
                <w:b/>
                <w:bCs/>
                <w:sz w:val="10"/>
                <w:szCs w:val="10"/>
                <w:lang w:val="tr-TR"/>
              </w:rPr>
            </w:pPr>
          </w:p>
        </w:tc>
        <w:tc>
          <w:tcPr>
            <w:tcW w:w="895" w:type="dxa"/>
            <w:vAlign w:val="bottom"/>
          </w:tcPr>
          <w:p w14:paraId="32F8318A" w14:textId="67152C84" w:rsidR="00224102" w:rsidRPr="003F3682" w:rsidRDefault="00224102" w:rsidP="00224102">
            <w:pPr>
              <w:jc w:val="right"/>
              <w:rPr>
                <w:b/>
                <w:sz w:val="11"/>
                <w:szCs w:val="11"/>
              </w:rPr>
            </w:pPr>
            <w:r w:rsidRPr="005C7ECF">
              <w:rPr>
                <w:b/>
                <w:sz w:val="11"/>
                <w:szCs w:val="11"/>
              </w:rPr>
              <w:t>-</w:t>
            </w:r>
          </w:p>
        </w:tc>
        <w:tc>
          <w:tcPr>
            <w:tcW w:w="1191" w:type="dxa"/>
            <w:vAlign w:val="bottom"/>
          </w:tcPr>
          <w:p w14:paraId="769155F1" w14:textId="35600B64" w:rsidR="00224102" w:rsidRPr="003F3682" w:rsidRDefault="00224102" w:rsidP="00224102">
            <w:pPr>
              <w:jc w:val="right"/>
              <w:rPr>
                <w:b/>
                <w:sz w:val="11"/>
                <w:szCs w:val="11"/>
              </w:rPr>
            </w:pPr>
            <w:r w:rsidRPr="005C7ECF">
              <w:rPr>
                <w:b/>
                <w:sz w:val="11"/>
                <w:szCs w:val="11"/>
              </w:rPr>
              <w:t>-</w:t>
            </w:r>
          </w:p>
        </w:tc>
        <w:tc>
          <w:tcPr>
            <w:tcW w:w="896" w:type="dxa"/>
            <w:vAlign w:val="bottom"/>
          </w:tcPr>
          <w:p w14:paraId="409B0473" w14:textId="18D262F2" w:rsidR="00224102" w:rsidRPr="003F3682" w:rsidRDefault="00224102" w:rsidP="00224102">
            <w:pPr>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16067A09" w14:textId="30AABD63"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11845EF9" w14:textId="5347F0FC"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1E3C36AC" w14:textId="12FBD829" w:rsidR="00224102" w:rsidRPr="00692926" w:rsidRDefault="00224102" w:rsidP="00224102">
            <w:pPr>
              <w:spacing w:line="211" w:lineRule="auto"/>
              <w:jc w:val="right"/>
              <w:rPr>
                <w:sz w:val="11"/>
                <w:szCs w:val="11"/>
              </w:rPr>
            </w:pPr>
            <w:r w:rsidRPr="00692926">
              <w:rPr>
                <w:sz w:val="11"/>
                <w:szCs w:val="11"/>
              </w:rPr>
              <w:t>-</w:t>
            </w:r>
          </w:p>
        </w:tc>
      </w:tr>
      <w:tr w:rsidR="00224102" w:rsidRPr="00604C75" w14:paraId="14DA3A47" w14:textId="77777777" w:rsidTr="009340BC">
        <w:trPr>
          <w:trHeight w:hRule="exact" w:val="142"/>
        </w:trPr>
        <w:tc>
          <w:tcPr>
            <w:tcW w:w="494" w:type="dxa"/>
            <w:noWrap/>
            <w:tcMar>
              <w:top w:w="18" w:type="dxa"/>
              <w:left w:w="18" w:type="dxa"/>
              <w:bottom w:w="0" w:type="dxa"/>
              <w:right w:w="18" w:type="dxa"/>
            </w:tcMar>
            <w:vAlign w:val="bottom"/>
          </w:tcPr>
          <w:p w14:paraId="2D1A3DF1"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II.</w:t>
            </w:r>
          </w:p>
        </w:tc>
        <w:tc>
          <w:tcPr>
            <w:tcW w:w="3580" w:type="dxa"/>
            <w:noWrap/>
            <w:tcMar>
              <w:top w:w="18" w:type="dxa"/>
              <w:left w:w="18" w:type="dxa"/>
              <w:bottom w:w="0" w:type="dxa"/>
              <w:right w:w="18" w:type="dxa"/>
            </w:tcMar>
            <w:vAlign w:val="bottom"/>
          </w:tcPr>
          <w:p w14:paraId="62C707BD"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COMMITMENTS</w:t>
            </w:r>
          </w:p>
        </w:tc>
        <w:tc>
          <w:tcPr>
            <w:tcW w:w="644" w:type="dxa"/>
            <w:noWrap/>
            <w:tcMar>
              <w:top w:w="18" w:type="dxa"/>
              <w:left w:w="18" w:type="dxa"/>
              <w:bottom w:w="0" w:type="dxa"/>
              <w:right w:w="18" w:type="dxa"/>
            </w:tcMar>
            <w:vAlign w:val="bottom"/>
          </w:tcPr>
          <w:p w14:paraId="0880B88D"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4D34B95C" w14:textId="3D51A600" w:rsidR="00224102" w:rsidRPr="003F3682" w:rsidRDefault="00224102" w:rsidP="00224102">
            <w:pPr>
              <w:jc w:val="right"/>
              <w:rPr>
                <w:b/>
                <w:sz w:val="11"/>
                <w:szCs w:val="11"/>
              </w:rPr>
            </w:pPr>
            <w:r w:rsidRPr="005C7ECF">
              <w:rPr>
                <w:b/>
                <w:sz w:val="11"/>
                <w:szCs w:val="11"/>
              </w:rPr>
              <w:t>661,729</w:t>
            </w:r>
          </w:p>
        </w:tc>
        <w:tc>
          <w:tcPr>
            <w:tcW w:w="1191" w:type="dxa"/>
            <w:vAlign w:val="bottom"/>
          </w:tcPr>
          <w:p w14:paraId="7AB7EAD7" w14:textId="1D249B60" w:rsidR="00224102" w:rsidRPr="003F3682" w:rsidRDefault="00224102" w:rsidP="00224102">
            <w:pPr>
              <w:jc w:val="right"/>
              <w:rPr>
                <w:b/>
                <w:sz w:val="11"/>
                <w:szCs w:val="11"/>
              </w:rPr>
            </w:pPr>
            <w:r w:rsidRPr="005C7ECF">
              <w:rPr>
                <w:b/>
                <w:sz w:val="11"/>
                <w:szCs w:val="11"/>
              </w:rPr>
              <w:t>370,952</w:t>
            </w:r>
          </w:p>
        </w:tc>
        <w:tc>
          <w:tcPr>
            <w:tcW w:w="896" w:type="dxa"/>
            <w:vAlign w:val="bottom"/>
          </w:tcPr>
          <w:p w14:paraId="7CB933EF" w14:textId="09110ED9" w:rsidR="00224102" w:rsidRPr="003F3682" w:rsidRDefault="00224102" w:rsidP="00224102">
            <w:pPr>
              <w:jc w:val="right"/>
              <w:rPr>
                <w:b/>
                <w:sz w:val="11"/>
                <w:szCs w:val="11"/>
              </w:rPr>
            </w:pPr>
            <w:r w:rsidRPr="005C7ECF">
              <w:rPr>
                <w:b/>
                <w:sz w:val="11"/>
                <w:szCs w:val="11"/>
              </w:rPr>
              <w:t>1,032,681</w:t>
            </w:r>
          </w:p>
        </w:tc>
        <w:tc>
          <w:tcPr>
            <w:tcW w:w="881" w:type="dxa"/>
            <w:noWrap/>
            <w:tcMar>
              <w:top w:w="18" w:type="dxa"/>
              <w:left w:w="18" w:type="dxa"/>
              <w:bottom w:w="0" w:type="dxa"/>
              <w:right w:w="18" w:type="dxa"/>
            </w:tcMar>
            <w:vAlign w:val="bottom"/>
          </w:tcPr>
          <w:p w14:paraId="680A6583" w14:textId="59A6D1D3" w:rsidR="00224102" w:rsidRPr="00692926" w:rsidRDefault="00224102" w:rsidP="00224102">
            <w:pPr>
              <w:spacing w:line="211" w:lineRule="auto"/>
              <w:jc w:val="right"/>
              <w:rPr>
                <w:b/>
                <w:sz w:val="11"/>
                <w:szCs w:val="11"/>
              </w:rPr>
            </w:pPr>
            <w:r w:rsidRPr="00692926">
              <w:rPr>
                <w:b/>
                <w:sz w:val="11"/>
                <w:szCs w:val="11"/>
              </w:rPr>
              <w:t>957,422</w:t>
            </w:r>
          </w:p>
        </w:tc>
        <w:tc>
          <w:tcPr>
            <w:tcW w:w="895" w:type="dxa"/>
            <w:noWrap/>
            <w:tcMar>
              <w:top w:w="18" w:type="dxa"/>
              <w:left w:w="18" w:type="dxa"/>
              <w:bottom w:w="0" w:type="dxa"/>
              <w:right w:w="18" w:type="dxa"/>
            </w:tcMar>
            <w:vAlign w:val="bottom"/>
          </w:tcPr>
          <w:p w14:paraId="71E53F02" w14:textId="12A5BEAF" w:rsidR="00224102" w:rsidRPr="00692926" w:rsidRDefault="00224102" w:rsidP="00224102">
            <w:pPr>
              <w:spacing w:line="211" w:lineRule="auto"/>
              <w:jc w:val="right"/>
              <w:rPr>
                <w:b/>
                <w:sz w:val="11"/>
                <w:szCs w:val="11"/>
              </w:rPr>
            </w:pPr>
            <w:r w:rsidRPr="00692926">
              <w:rPr>
                <w:b/>
                <w:sz w:val="11"/>
                <w:szCs w:val="11"/>
              </w:rPr>
              <w:t>99,298</w:t>
            </w:r>
          </w:p>
        </w:tc>
        <w:tc>
          <w:tcPr>
            <w:tcW w:w="896" w:type="dxa"/>
            <w:noWrap/>
            <w:tcMar>
              <w:top w:w="18" w:type="dxa"/>
              <w:left w:w="18" w:type="dxa"/>
              <w:bottom w:w="0" w:type="dxa"/>
              <w:right w:w="18" w:type="dxa"/>
            </w:tcMar>
            <w:vAlign w:val="bottom"/>
          </w:tcPr>
          <w:p w14:paraId="02AF2990" w14:textId="0660E204" w:rsidR="00224102" w:rsidRPr="00692926" w:rsidRDefault="00224102" w:rsidP="00224102">
            <w:pPr>
              <w:spacing w:line="211" w:lineRule="auto"/>
              <w:jc w:val="right"/>
              <w:rPr>
                <w:b/>
                <w:sz w:val="11"/>
                <w:szCs w:val="11"/>
              </w:rPr>
            </w:pPr>
            <w:r w:rsidRPr="00692926">
              <w:rPr>
                <w:b/>
                <w:sz w:val="11"/>
                <w:szCs w:val="11"/>
              </w:rPr>
              <w:t>1,056,720</w:t>
            </w:r>
          </w:p>
        </w:tc>
      </w:tr>
      <w:tr w:rsidR="00224102" w:rsidRPr="00604C75" w14:paraId="481590BA" w14:textId="77777777" w:rsidTr="009340BC">
        <w:trPr>
          <w:trHeight w:hRule="exact" w:val="142"/>
        </w:trPr>
        <w:tc>
          <w:tcPr>
            <w:tcW w:w="494" w:type="dxa"/>
            <w:noWrap/>
            <w:tcMar>
              <w:top w:w="18" w:type="dxa"/>
              <w:left w:w="18" w:type="dxa"/>
              <w:bottom w:w="0" w:type="dxa"/>
              <w:right w:w="18" w:type="dxa"/>
            </w:tcMar>
            <w:vAlign w:val="bottom"/>
          </w:tcPr>
          <w:p w14:paraId="12FA7BC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w:t>
            </w:r>
          </w:p>
        </w:tc>
        <w:tc>
          <w:tcPr>
            <w:tcW w:w="3580" w:type="dxa"/>
            <w:noWrap/>
            <w:tcMar>
              <w:top w:w="18" w:type="dxa"/>
              <w:left w:w="18" w:type="dxa"/>
              <w:bottom w:w="0" w:type="dxa"/>
              <w:right w:w="18" w:type="dxa"/>
            </w:tcMar>
            <w:vAlign w:val="bottom"/>
          </w:tcPr>
          <w:p w14:paraId="2E6B64CD"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Irrevocable Commitments</w:t>
            </w:r>
          </w:p>
        </w:tc>
        <w:tc>
          <w:tcPr>
            <w:tcW w:w="644" w:type="dxa"/>
            <w:noWrap/>
            <w:tcMar>
              <w:top w:w="18" w:type="dxa"/>
              <w:left w:w="18" w:type="dxa"/>
              <w:bottom w:w="0" w:type="dxa"/>
              <w:right w:w="18" w:type="dxa"/>
            </w:tcMar>
            <w:vAlign w:val="bottom"/>
          </w:tcPr>
          <w:p w14:paraId="6906C857" w14:textId="77777777" w:rsidR="00224102" w:rsidRPr="00604C75" w:rsidRDefault="00224102" w:rsidP="00224102">
            <w:pPr>
              <w:spacing w:line="211" w:lineRule="auto"/>
              <w:jc w:val="center"/>
              <w:rPr>
                <w:sz w:val="10"/>
                <w:szCs w:val="10"/>
                <w:lang w:val="tr-TR"/>
              </w:rPr>
            </w:pPr>
          </w:p>
        </w:tc>
        <w:tc>
          <w:tcPr>
            <w:tcW w:w="895" w:type="dxa"/>
            <w:vAlign w:val="bottom"/>
          </w:tcPr>
          <w:p w14:paraId="44409077" w14:textId="0D05237C" w:rsidR="00224102" w:rsidRPr="003F3682" w:rsidRDefault="00224102" w:rsidP="00224102">
            <w:pPr>
              <w:jc w:val="right"/>
              <w:rPr>
                <w:sz w:val="11"/>
                <w:szCs w:val="11"/>
              </w:rPr>
            </w:pPr>
            <w:r w:rsidRPr="003F3682">
              <w:rPr>
                <w:sz w:val="11"/>
                <w:szCs w:val="11"/>
              </w:rPr>
              <w:t>642,402</w:t>
            </w:r>
          </w:p>
        </w:tc>
        <w:tc>
          <w:tcPr>
            <w:tcW w:w="1191" w:type="dxa"/>
            <w:vAlign w:val="bottom"/>
          </w:tcPr>
          <w:p w14:paraId="7BF2FD6B" w14:textId="3B4CC682" w:rsidR="00224102" w:rsidRPr="003F3682" w:rsidRDefault="00224102" w:rsidP="00224102">
            <w:pPr>
              <w:jc w:val="right"/>
              <w:rPr>
                <w:sz w:val="11"/>
                <w:szCs w:val="11"/>
              </w:rPr>
            </w:pPr>
            <w:r w:rsidRPr="003F3682">
              <w:rPr>
                <w:sz w:val="11"/>
                <w:szCs w:val="11"/>
              </w:rPr>
              <w:t>303,575</w:t>
            </w:r>
          </w:p>
        </w:tc>
        <w:tc>
          <w:tcPr>
            <w:tcW w:w="896" w:type="dxa"/>
            <w:vAlign w:val="bottom"/>
          </w:tcPr>
          <w:p w14:paraId="33F0EA0F" w14:textId="37B9CDAE" w:rsidR="00224102" w:rsidRPr="003F3682" w:rsidRDefault="00224102" w:rsidP="00224102">
            <w:pPr>
              <w:jc w:val="right"/>
              <w:rPr>
                <w:sz w:val="11"/>
                <w:szCs w:val="11"/>
              </w:rPr>
            </w:pPr>
            <w:r w:rsidRPr="003F3682">
              <w:rPr>
                <w:sz w:val="11"/>
                <w:szCs w:val="11"/>
              </w:rPr>
              <w:t>945,977</w:t>
            </w:r>
          </w:p>
        </w:tc>
        <w:tc>
          <w:tcPr>
            <w:tcW w:w="881" w:type="dxa"/>
            <w:noWrap/>
            <w:tcMar>
              <w:top w:w="18" w:type="dxa"/>
              <w:left w:w="18" w:type="dxa"/>
              <w:bottom w:w="0" w:type="dxa"/>
              <w:right w:w="18" w:type="dxa"/>
            </w:tcMar>
            <w:vAlign w:val="bottom"/>
          </w:tcPr>
          <w:p w14:paraId="3C50026A" w14:textId="1D62AC01" w:rsidR="00224102" w:rsidRPr="00692926" w:rsidRDefault="00224102" w:rsidP="00224102">
            <w:pPr>
              <w:spacing w:line="211" w:lineRule="auto"/>
              <w:jc w:val="right"/>
              <w:rPr>
                <w:sz w:val="11"/>
                <w:szCs w:val="11"/>
              </w:rPr>
            </w:pPr>
            <w:r w:rsidRPr="00692926">
              <w:rPr>
                <w:sz w:val="11"/>
                <w:szCs w:val="11"/>
              </w:rPr>
              <w:t>912,954</w:t>
            </w:r>
          </w:p>
        </w:tc>
        <w:tc>
          <w:tcPr>
            <w:tcW w:w="895" w:type="dxa"/>
            <w:noWrap/>
            <w:tcMar>
              <w:top w:w="18" w:type="dxa"/>
              <w:left w:w="18" w:type="dxa"/>
              <w:bottom w:w="0" w:type="dxa"/>
              <w:right w:w="18" w:type="dxa"/>
            </w:tcMar>
            <w:vAlign w:val="bottom"/>
          </w:tcPr>
          <w:p w14:paraId="6479627D" w14:textId="17FE59B6" w:rsidR="00224102" w:rsidRPr="00692926" w:rsidRDefault="00224102" w:rsidP="00224102">
            <w:pPr>
              <w:spacing w:line="211" w:lineRule="auto"/>
              <w:jc w:val="right"/>
              <w:rPr>
                <w:sz w:val="11"/>
                <w:szCs w:val="11"/>
              </w:rPr>
            </w:pPr>
            <w:r w:rsidRPr="00692926">
              <w:rPr>
                <w:sz w:val="11"/>
                <w:szCs w:val="11"/>
              </w:rPr>
              <w:t>47,502</w:t>
            </w:r>
          </w:p>
        </w:tc>
        <w:tc>
          <w:tcPr>
            <w:tcW w:w="896" w:type="dxa"/>
            <w:noWrap/>
            <w:tcMar>
              <w:top w:w="18" w:type="dxa"/>
              <w:left w:w="18" w:type="dxa"/>
              <w:bottom w:w="0" w:type="dxa"/>
              <w:right w:w="18" w:type="dxa"/>
            </w:tcMar>
            <w:vAlign w:val="bottom"/>
          </w:tcPr>
          <w:p w14:paraId="1FC44847" w14:textId="6BF3FB4E" w:rsidR="00224102" w:rsidRPr="00692926" w:rsidRDefault="00224102" w:rsidP="00224102">
            <w:pPr>
              <w:spacing w:line="211" w:lineRule="auto"/>
              <w:jc w:val="right"/>
              <w:rPr>
                <w:sz w:val="11"/>
                <w:szCs w:val="11"/>
              </w:rPr>
            </w:pPr>
            <w:r w:rsidRPr="00692926">
              <w:rPr>
                <w:sz w:val="11"/>
                <w:szCs w:val="11"/>
              </w:rPr>
              <w:t>960,456</w:t>
            </w:r>
          </w:p>
        </w:tc>
      </w:tr>
      <w:tr w:rsidR="00224102" w:rsidRPr="00604C75" w14:paraId="782DF970" w14:textId="77777777" w:rsidTr="009340BC">
        <w:trPr>
          <w:trHeight w:hRule="exact" w:val="142"/>
        </w:trPr>
        <w:tc>
          <w:tcPr>
            <w:tcW w:w="494" w:type="dxa"/>
            <w:noWrap/>
            <w:tcMar>
              <w:top w:w="18" w:type="dxa"/>
              <w:left w:w="18" w:type="dxa"/>
              <w:bottom w:w="0" w:type="dxa"/>
              <w:right w:w="18" w:type="dxa"/>
            </w:tcMar>
            <w:vAlign w:val="bottom"/>
          </w:tcPr>
          <w:p w14:paraId="7E5E0D9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2.1.1</w:t>
            </w:r>
          </w:p>
        </w:tc>
        <w:tc>
          <w:tcPr>
            <w:tcW w:w="3580" w:type="dxa"/>
            <w:noWrap/>
            <w:tcMar>
              <w:top w:w="18" w:type="dxa"/>
              <w:left w:w="18" w:type="dxa"/>
              <w:bottom w:w="0" w:type="dxa"/>
              <w:right w:w="18" w:type="dxa"/>
            </w:tcMar>
            <w:vAlign w:val="bottom"/>
          </w:tcPr>
          <w:p w14:paraId="793CCB9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Asset Purchase and Sales Commitments</w:t>
            </w:r>
          </w:p>
        </w:tc>
        <w:tc>
          <w:tcPr>
            <w:tcW w:w="644" w:type="dxa"/>
            <w:noWrap/>
            <w:tcMar>
              <w:top w:w="18" w:type="dxa"/>
              <w:left w:w="18" w:type="dxa"/>
              <w:bottom w:w="0" w:type="dxa"/>
              <w:right w:w="18" w:type="dxa"/>
            </w:tcMar>
            <w:vAlign w:val="bottom"/>
          </w:tcPr>
          <w:p w14:paraId="2C5A9F58" w14:textId="77777777" w:rsidR="00224102" w:rsidRPr="00604C75" w:rsidRDefault="00224102" w:rsidP="00224102">
            <w:pPr>
              <w:spacing w:line="211" w:lineRule="auto"/>
              <w:jc w:val="center"/>
              <w:rPr>
                <w:sz w:val="10"/>
                <w:szCs w:val="10"/>
                <w:lang w:val="tr-TR"/>
              </w:rPr>
            </w:pPr>
          </w:p>
        </w:tc>
        <w:tc>
          <w:tcPr>
            <w:tcW w:w="895" w:type="dxa"/>
            <w:vAlign w:val="bottom"/>
          </w:tcPr>
          <w:p w14:paraId="2B9FBDD3" w14:textId="4113712E" w:rsidR="00224102" w:rsidRPr="003F3682" w:rsidRDefault="00224102" w:rsidP="00224102">
            <w:pPr>
              <w:jc w:val="right"/>
              <w:rPr>
                <w:sz w:val="11"/>
                <w:szCs w:val="11"/>
              </w:rPr>
            </w:pPr>
            <w:r w:rsidRPr="003F3682">
              <w:rPr>
                <w:sz w:val="11"/>
                <w:szCs w:val="11"/>
              </w:rPr>
              <w:t>7,151</w:t>
            </w:r>
          </w:p>
        </w:tc>
        <w:tc>
          <w:tcPr>
            <w:tcW w:w="1191" w:type="dxa"/>
            <w:vAlign w:val="bottom"/>
          </w:tcPr>
          <w:p w14:paraId="2A420CBD" w14:textId="1F0DAA99" w:rsidR="00224102" w:rsidRPr="003F3682" w:rsidRDefault="00224102" w:rsidP="00224102">
            <w:pPr>
              <w:jc w:val="right"/>
              <w:rPr>
                <w:sz w:val="11"/>
                <w:szCs w:val="11"/>
              </w:rPr>
            </w:pPr>
            <w:r w:rsidRPr="003F3682">
              <w:rPr>
                <w:sz w:val="11"/>
                <w:szCs w:val="11"/>
              </w:rPr>
              <w:t>78,176</w:t>
            </w:r>
          </w:p>
        </w:tc>
        <w:tc>
          <w:tcPr>
            <w:tcW w:w="896" w:type="dxa"/>
            <w:vAlign w:val="bottom"/>
          </w:tcPr>
          <w:p w14:paraId="42EF7445" w14:textId="120B86A1" w:rsidR="00224102" w:rsidRPr="003F3682" w:rsidRDefault="00224102" w:rsidP="00224102">
            <w:pPr>
              <w:jc w:val="right"/>
              <w:rPr>
                <w:sz w:val="11"/>
                <w:szCs w:val="11"/>
              </w:rPr>
            </w:pPr>
            <w:r w:rsidRPr="003F3682">
              <w:rPr>
                <w:sz w:val="11"/>
                <w:szCs w:val="11"/>
              </w:rPr>
              <w:t>85,327</w:t>
            </w:r>
          </w:p>
        </w:tc>
        <w:tc>
          <w:tcPr>
            <w:tcW w:w="881" w:type="dxa"/>
            <w:noWrap/>
            <w:tcMar>
              <w:top w:w="18" w:type="dxa"/>
              <w:left w:w="18" w:type="dxa"/>
              <w:bottom w:w="0" w:type="dxa"/>
              <w:right w:w="18" w:type="dxa"/>
            </w:tcMar>
            <w:vAlign w:val="bottom"/>
          </w:tcPr>
          <w:p w14:paraId="774C4B16" w14:textId="16D3076A" w:rsidR="00224102" w:rsidRPr="00692926" w:rsidRDefault="00224102" w:rsidP="00224102">
            <w:pPr>
              <w:spacing w:line="211" w:lineRule="auto"/>
              <w:jc w:val="right"/>
              <w:rPr>
                <w:sz w:val="11"/>
                <w:szCs w:val="11"/>
              </w:rPr>
            </w:pPr>
            <w:r w:rsidRPr="00692926">
              <w:rPr>
                <w:sz w:val="11"/>
                <w:szCs w:val="11"/>
              </w:rPr>
              <w:t>19,715</w:t>
            </w:r>
          </w:p>
        </w:tc>
        <w:tc>
          <w:tcPr>
            <w:tcW w:w="895" w:type="dxa"/>
            <w:noWrap/>
            <w:tcMar>
              <w:top w:w="18" w:type="dxa"/>
              <w:left w:w="18" w:type="dxa"/>
              <w:bottom w:w="0" w:type="dxa"/>
              <w:right w:w="18" w:type="dxa"/>
            </w:tcMar>
            <w:vAlign w:val="bottom"/>
          </w:tcPr>
          <w:p w14:paraId="44E98AE5" w14:textId="22BC5EA9" w:rsidR="00224102" w:rsidRPr="00692926" w:rsidRDefault="00224102" w:rsidP="00224102">
            <w:pPr>
              <w:spacing w:line="211" w:lineRule="auto"/>
              <w:jc w:val="right"/>
              <w:rPr>
                <w:sz w:val="11"/>
                <w:szCs w:val="11"/>
              </w:rPr>
            </w:pPr>
            <w:r w:rsidRPr="00692926">
              <w:rPr>
                <w:sz w:val="11"/>
                <w:szCs w:val="11"/>
              </w:rPr>
              <w:t>29,007</w:t>
            </w:r>
          </w:p>
        </w:tc>
        <w:tc>
          <w:tcPr>
            <w:tcW w:w="896" w:type="dxa"/>
            <w:noWrap/>
            <w:tcMar>
              <w:top w:w="18" w:type="dxa"/>
              <w:left w:w="18" w:type="dxa"/>
              <w:bottom w:w="0" w:type="dxa"/>
              <w:right w:w="18" w:type="dxa"/>
            </w:tcMar>
            <w:vAlign w:val="bottom"/>
          </w:tcPr>
          <w:p w14:paraId="4E824F6D" w14:textId="1AF3E1B9" w:rsidR="00224102" w:rsidRPr="00692926" w:rsidRDefault="00224102" w:rsidP="00224102">
            <w:pPr>
              <w:spacing w:line="211" w:lineRule="auto"/>
              <w:jc w:val="right"/>
              <w:rPr>
                <w:sz w:val="11"/>
                <w:szCs w:val="11"/>
              </w:rPr>
            </w:pPr>
            <w:r w:rsidRPr="00692926">
              <w:rPr>
                <w:sz w:val="11"/>
                <w:szCs w:val="11"/>
              </w:rPr>
              <w:t>48,722</w:t>
            </w:r>
          </w:p>
        </w:tc>
      </w:tr>
      <w:tr w:rsidR="00224102" w:rsidRPr="00604C75" w14:paraId="07A58878" w14:textId="77777777" w:rsidTr="009340BC">
        <w:trPr>
          <w:trHeight w:hRule="exact" w:val="142"/>
        </w:trPr>
        <w:tc>
          <w:tcPr>
            <w:tcW w:w="494" w:type="dxa"/>
            <w:noWrap/>
            <w:tcMar>
              <w:top w:w="18" w:type="dxa"/>
              <w:left w:w="18" w:type="dxa"/>
              <w:bottom w:w="0" w:type="dxa"/>
              <w:right w:w="18" w:type="dxa"/>
            </w:tcMar>
            <w:vAlign w:val="bottom"/>
          </w:tcPr>
          <w:p w14:paraId="16C72CA9"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2.1.2</w:t>
            </w:r>
          </w:p>
        </w:tc>
        <w:tc>
          <w:tcPr>
            <w:tcW w:w="3580" w:type="dxa"/>
            <w:noWrap/>
            <w:tcMar>
              <w:top w:w="18" w:type="dxa"/>
              <w:left w:w="18" w:type="dxa"/>
              <w:bottom w:w="0" w:type="dxa"/>
              <w:right w:w="18" w:type="dxa"/>
            </w:tcMar>
            <w:vAlign w:val="bottom"/>
          </w:tcPr>
          <w:p w14:paraId="72090351"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Deposit Purchase and Sales Commitments</w:t>
            </w:r>
          </w:p>
        </w:tc>
        <w:tc>
          <w:tcPr>
            <w:tcW w:w="644" w:type="dxa"/>
            <w:noWrap/>
            <w:tcMar>
              <w:top w:w="18" w:type="dxa"/>
              <w:left w:w="18" w:type="dxa"/>
              <w:bottom w:w="0" w:type="dxa"/>
              <w:right w:w="18" w:type="dxa"/>
            </w:tcMar>
            <w:vAlign w:val="bottom"/>
          </w:tcPr>
          <w:p w14:paraId="5ED135E8" w14:textId="77777777" w:rsidR="00224102" w:rsidRPr="00604C75" w:rsidRDefault="00224102" w:rsidP="00224102">
            <w:pPr>
              <w:spacing w:line="211" w:lineRule="auto"/>
              <w:jc w:val="center"/>
              <w:rPr>
                <w:sz w:val="10"/>
                <w:szCs w:val="10"/>
                <w:lang w:val="tr-TR"/>
              </w:rPr>
            </w:pPr>
          </w:p>
        </w:tc>
        <w:tc>
          <w:tcPr>
            <w:tcW w:w="895" w:type="dxa"/>
            <w:vAlign w:val="bottom"/>
          </w:tcPr>
          <w:p w14:paraId="1B0DEC4F" w14:textId="10627A22" w:rsidR="00224102" w:rsidRPr="003F3682" w:rsidRDefault="00224102" w:rsidP="00224102">
            <w:pPr>
              <w:jc w:val="right"/>
              <w:rPr>
                <w:sz w:val="11"/>
                <w:szCs w:val="11"/>
              </w:rPr>
            </w:pPr>
            <w:r w:rsidRPr="003F3682">
              <w:rPr>
                <w:sz w:val="11"/>
                <w:szCs w:val="11"/>
              </w:rPr>
              <w:t>-</w:t>
            </w:r>
          </w:p>
        </w:tc>
        <w:tc>
          <w:tcPr>
            <w:tcW w:w="1191" w:type="dxa"/>
            <w:vAlign w:val="bottom"/>
          </w:tcPr>
          <w:p w14:paraId="002F632D" w14:textId="2FB856B1" w:rsidR="00224102" w:rsidRPr="003F3682" w:rsidRDefault="00224102" w:rsidP="00224102">
            <w:pPr>
              <w:jc w:val="right"/>
              <w:rPr>
                <w:sz w:val="11"/>
                <w:szCs w:val="11"/>
              </w:rPr>
            </w:pPr>
            <w:r w:rsidRPr="003F3682">
              <w:rPr>
                <w:sz w:val="11"/>
                <w:szCs w:val="11"/>
              </w:rPr>
              <w:t>204,579</w:t>
            </w:r>
          </w:p>
        </w:tc>
        <w:tc>
          <w:tcPr>
            <w:tcW w:w="896" w:type="dxa"/>
            <w:vAlign w:val="bottom"/>
          </w:tcPr>
          <w:p w14:paraId="34FC6BF9" w14:textId="097AC105" w:rsidR="00224102" w:rsidRPr="003F3682" w:rsidRDefault="00224102" w:rsidP="00224102">
            <w:pPr>
              <w:jc w:val="right"/>
              <w:rPr>
                <w:sz w:val="11"/>
                <w:szCs w:val="11"/>
              </w:rPr>
            </w:pPr>
            <w:r w:rsidRPr="003F3682">
              <w:rPr>
                <w:sz w:val="11"/>
                <w:szCs w:val="11"/>
              </w:rPr>
              <w:t>204,579</w:t>
            </w:r>
          </w:p>
        </w:tc>
        <w:tc>
          <w:tcPr>
            <w:tcW w:w="881" w:type="dxa"/>
            <w:noWrap/>
            <w:tcMar>
              <w:top w:w="18" w:type="dxa"/>
              <w:left w:w="18" w:type="dxa"/>
              <w:bottom w:w="0" w:type="dxa"/>
              <w:right w:w="18" w:type="dxa"/>
            </w:tcMar>
            <w:vAlign w:val="bottom"/>
          </w:tcPr>
          <w:p w14:paraId="52C6F2E5" w14:textId="01FC1B9E"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35610F56" w14:textId="2F942C6D"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67962F68" w14:textId="58C17031" w:rsidR="00224102" w:rsidRPr="00692926" w:rsidRDefault="00224102" w:rsidP="00224102">
            <w:pPr>
              <w:spacing w:line="211" w:lineRule="auto"/>
              <w:jc w:val="right"/>
              <w:rPr>
                <w:sz w:val="11"/>
                <w:szCs w:val="11"/>
              </w:rPr>
            </w:pPr>
            <w:r w:rsidRPr="00692926">
              <w:rPr>
                <w:sz w:val="11"/>
                <w:szCs w:val="11"/>
              </w:rPr>
              <w:t>-</w:t>
            </w:r>
          </w:p>
        </w:tc>
      </w:tr>
      <w:tr w:rsidR="00224102" w:rsidRPr="00604C75" w14:paraId="7CE60057" w14:textId="77777777" w:rsidTr="009340BC">
        <w:trPr>
          <w:trHeight w:hRule="exact" w:val="142"/>
        </w:trPr>
        <w:tc>
          <w:tcPr>
            <w:tcW w:w="494" w:type="dxa"/>
            <w:noWrap/>
            <w:tcMar>
              <w:top w:w="18" w:type="dxa"/>
              <w:left w:w="18" w:type="dxa"/>
              <w:bottom w:w="0" w:type="dxa"/>
              <w:right w:w="18" w:type="dxa"/>
            </w:tcMar>
            <w:vAlign w:val="bottom"/>
          </w:tcPr>
          <w:p w14:paraId="7471155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2.1.3</w:t>
            </w:r>
          </w:p>
        </w:tc>
        <w:tc>
          <w:tcPr>
            <w:tcW w:w="3580" w:type="dxa"/>
            <w:noWrap/>
            <w:tcMar>
              <w:top w:w="18" w:type="dxa"/>
              <w:left w:w="18" w:type="dxa"/>
              <w:bottom w:w="0" w:type="dxa"/>
              <w:right w:w="18" w:type="dxa"/>
            </w:tcMar>
            <w:vAlign w:val="bottom"/>
          </w:tcPr>
          <w:p w14:paraId="314CC23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Share Capital Commitments to Associates and Subsidiaries</w:t>
            </w:r>
          </w:p>
        </w:tc>
        <w:tc>
          <w:tcPr>
            <w:tcW w:w="644" w:type="dxa"/>
            <w:noWrap/>
            <w:tcMar>
              <w:top w:w="18" w:type="dxa"/>
              <w:left w:w="18" w:type="dxa"/>
              <w:bottom w:w="0" w:type="dxa"/>
              <w:right w:w="18" w:type="dxa"/>
            </w:tcMar>
            <w:vAlign w:val="bottom"/>
          </w:tcPr>
          <w:p w14:paraId="68C27098" w14:textId="77777777" w:rsidR="00224102" w:rsidRPr="00604C75" w:rsidRDefault="00224102" w:rsidP="00224102">
            <w:pPr>
              <w:spacing w:line="211" w:lineRule="auto"/>
              <w:jc w:val="center"/>
              <w:rPr>
                <w:sz w:val="10"/>
                <w:szCs w:val="10"/>
                <w:lang w:val="tr-TR"/>
              </w:rPr>
            </w:pPr>
          </w:p>
        </w:tc>
        <w:tc>
          <w:tcPr>
            <w:tcW w:w="895" w:type="dxa"/>
            <w:vAlign w:val="bottom"/>
          </w:tcPr>
          <w:p w14:paraId="06666A2A" w14:textId="0365BED2" w:rsidR="00224102" w:rsidRPr="003F3682" w:rsidRDefault="00224102" w:rsidP="00224102">
            <w:pPr>
              <w:jc w:val="right"/>
              <w:rPr>
                <w:sz w:val="11"/>
                <w:szCs w:val="11"/>
              </w:rPr>
            </w:pPr>
            <w:r w:rsidRPr="003F3682">
              <w:rPr>
                <w:sz w:val="11"/>
                <w:szCs w:val="11"/>
              </w:rPr>
              <w:t>-</w:t>
            </w:r>
          </w:p>
        </w:tc>
        <w:tc>
          <w:tcPr>
            <w:tcW w:w="1191" w:type="dxa"/>
            <w:vAlign w:val="bottom"/>
          </w:tcPr>
          <w:p w14:paraId="220372CD" w14:textId="10309B5D" w:rsidR="00224102" w:rsidRPr="003F3682" w:rsidRDefault="00224102" w:rsidP="00224102">
            <w:pPr>
              <w:jc w:val="right"/>
              <w:rPr>
                <w:sz w:val="11"/>
                <w:szCs w:val="11"/>
              </w:rPr>
            </w:pPr>
            <w:r w:rsidRPr="003F3682">
              <w:rPr>
                <w:sz w:val="11"/>
                <w:szCs w:val="11"/>
              </w:rPr>
              <w:t>-</w:t>
            </w:r>
          </w:p>
        </w:tc>
        <w:tc>
          <w:tcPr>
            <w:tcW w:w="896" w:type="dxa"/>
            <w:vAlign w:val="bottom"/>
          </w:tcPr>
          <w:p w14:paraId="7957D605" w14:textId="2857A5F1" w:rsidR="00224102" w:rsidRPr="003F3682" w:rsidRDefault="00224102" w:rsidP="00224102">
            <w:pPr>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39BA7CD2" w14:textId="39710132"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425359A2" w14:textId="3C3441D4"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12A2716C" w14:textId="738A3ED4" w:rsidR="00224102" w:rsidRPr="00692926" w:rsidRDefault="00224102" w:rsidP="00224102">
            <w:pPr>
              <w:spacing w:line="211" w:lineRule="auto"/>
              <w:jc w:val="right"/>
              <w:rPr>
                <w:sz w:val="11"/>
                <w:szCs w:val="11"/>
              </w:rPr>
            </w:pPr>
            <w:r w:rsidRPr="00692926">
              <w:rPr>
                <w:sz w:val="11"/>
                <w:szCs w:val="11"/>
              </w:rPr>
              <w:t>-</w:t>
            </w:r>
          </w:p>
        </w:tc>
      </w:tr>
      <w:tr w:rsidR="00224102" w:rsidRPr="00604C75" w14:paraId="22A061C8" w14:textId="77777777" w:rsidTr="009340BC">
        <w:trPr>
          <w:trHeight w:hRule="exact" w:val="142"/>
        </w:trPr>
        <w:tc>
          <w:tcPr>
            <w:tcW w:w="494" w:type="dxa"/>
            <w:noWrap/>
            <w:tcMar>
              <w:top w:w="18" w:type="dxa"/>
              <w:left w:w="18" w:type="dxa"/>
              <w:bottom w:w="0" w:type="dxa"/>
              <w:right w:w="18" w:type="dxa"/>
            </w:tcMar>
            <w:vAlign w:val="bottom"/>
          </w:tcPr>
          <w:p w14:paraId="1EA80E15"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2.1.4</w:t>
            </w:r>
          </w:p>
        </w:tc>
        <w:tc>
          <w:tcPr>
            <w:tcW w:w="3580" w:type="dxa"/>
            <w:noWrap/>
            <w:tcMar>
              <w:top w:w="18" w:type="dxa"/>
              <w:left w:w="18" w:type="dxa"/>
              <w:bottom w:w="0" w:type="dxa"/>
              <w:right w:w="18" w:type="dxa"/>
            </w:tcMar>
            <w:vAlign w:val="bottom"/>
          </w:tcPr>
          <w:p w14:paraId="3030F48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Commitments for Loan Limits</w:t>
            </w:r>
          </w:p>
        </w:tc>
        <w:tc>
          <w:tcPr>
            <w:tcW w:w="644" w:type="dxa"/>
            <w:noWrap/>
            <w:tcMar>
              <w:top w:w="18" w:type="dxa"/>
              <w:left w:w="18" w:type="dxa"/>
              <w:bottom w:w="0" w:type="dxa"/>
              <w:right w:w="18" w:type="dxa"/>
            </w:tcMar>
            <w:vAlign w:val="bottom"/>
          </w:tcPr>
          <w:p w14:paraId="6120A72B" w14:textId="6AA55568" w:rsidR="00224102" w:rsidRPr="00604C75" w:rsidRDefault="00224102" w:rsidP="00224102">
            <w:pPr>
              <w:spacing w:line="211" w:lineRule="auto"/>
              <w:jc w:val="center"/>
              <w:rPr>
                <w:sz w:val="10"/>
                <w:szCs w:val="10"/>
                <w:lang w:val="tr-TR"/>
              </w:rPr>
            </w:pPr>
            <w:r w:rsidRPr="00692926">
              <w:rPr>
                <w:rFonts w:eastAsia="Arial Unicode MS"/>
                <w:bCs/>
                <w:sz w:val="10"/>
                <w:szCs w:val="10"/>
              </w:rPr>
              <w:t>III-a-1</w:t>
            </w:r>
          </w:p>
        </w:tc>
        <w:tc>
          <w:tcPr>
            <w:tcW w:w="895" w:type="dxa"/>
            <w:vAlign w:val="bottom"/>
          </w:tcPr>
          <w:p w14:paraId="3CBA0034" w14:textId="282F7D5F" w:rsidR="00224102" w:rsidRPr="003F3682" w:rsidRDefault="00224102" w:rsidP="00224102">
            <w:pPr>
              <w:jc w:val="right"/>
              <w:rPr>
                <w:sz w:val="11"/>
                <w:szCs w:val="11"/>
              </w:rPr>
            </w:pPr>
            <w:r w:rsidRPr="003F3682">
              <w:rPr>
                <w:sz w:val="11"/>
                <w:szCs w:val="11"/>
              </w:rPr>
              <w:t>228,546</w:t>
            </w:r>
          </w:p>
        </w:tc>
        <w:tc>
          <w:tcPr>
            <w:tcW w:w="1191" w:type="dxa"/>
            <w:vAlign w:val="bottom"/>
          </w:tcPr>
          <w:p w14:paraId="46A68DBA" w14:textId="5349D09B" w:rsidR="00224102" w:rsidRPr="003F3682" w:rsidRDefault="00224102" w:rsidP="00224102">
            <w:pPr>
              <w:jc w:val="right"/>
              <w:rPr>
                <w:sz w:val="11"/>
                <w:szCs w:val="11"/>
              </w:rPr>
            </w:pPr>
            <w:r w:rsidRPr="003F3682">
              <w:rPr>
                <w:sz w:val="11"/>
                <w:szCs w:val="11"/>
              </w:rPr>
              <w:t>-</w:t>
            </w:r>
          </w:p>
        </w:tc>
        <w:tc>
          <w:tcPr>
            <w:tcW w:w="896" w:type="dxa"/>
            <w:vAlign w:val="bottom"/>
          </w:tcPr>
          <w:p w14:paraId="7E97F34E" w14:textId="68A3D534" w:rsidR="00224102" w:rsidRPr="003F3682" w:rsidRDefault="00224102" w:rsidP="00224102">
            <w:pPr>
              <w:jc w:val="right"/>
              <w:rPr>
                <w:sz w:val="11"/>
                <w:szCs w:val="11"/>
              </w:rPr>
            </w:pPr>
            <w:r w:rsidRPr="003F3682">
              <w:rPr>
                <w:sz w:val="11"/>
                <w:szCs w:val="11"/>
              </w:rPr>
              <w:t>228,546</w:t>
            </w:r>
          </w:p>
        </w:tc>
        <w:tc>
          <w:tcPr>
            <w:tcW w:w="881" w:type="dxa"/>
            <w:noWrap/>
            <w:tcMar>
              <w:top w:w="18" w:type="dxa"/>
              <w:left w:w="18" w:type="dxa"/>
              <w:bottom w:w="0" w:type="dxa"/>
              <w:right w:w="18" w:type="dxa"/>
            </w:tcMar>
            <w:vAlign w:val="bottom"/>
          </w:tcPr>
          <w:p w14:paraId="265DF644" w14:textId="0CE32614" w:rsidR="00224102" w:rsidRPr="00692926" w:rsidRDefault="00224102" w:rsidP="00224102">
            <w:pPr>
              <w:spacing w:line="211" w:lineRule="auto"/>
              <w:jc w:val="right"/>
              <w:rPr>
                <w:sz w:val="11"/>
                <w:szCs w:val="11"/>
              </w:rPr>
            </w:pPr>
            <w:r w:rsidRPr="00692926">
              <w:rPr>
                <w:sz w:val="11"/>
                <w:szCs w:val="11"/>
              </w:rPr>
              <w:t>237,190</w:t>
            </w:r>
          </w:p>
        </w:tc>
        <w:tc>
          <w:tcPr>
            <w:tcW w:w="895" w:type="dxa"/>
            <w:noWrap/>
            <w:tcMar>
              <w:top w:w="18" w:type="dxa"/>
              <w:left w:w="18" w:type="dxa"/>
              <w:bottom w:w="0" w:type="dxa"/>
              <w:right w:w="18" w:type="dxa"/>
            </w:tcMar>
            <w:vAlign w:val="bottom"/>
          </w:tcPr>
          <w:p w14:paraId="7DBD5D26" w14:textId="7175F642"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64AB81D3" w14:textId="0E8FBAF7" w:rsidR="00224102" w:rsidRPr="00692926" w:rsidRDefault="00224102" w:rsidP="00224102">
            <w:pPr>
              <w:spacing w:line="211" w:lineRule="auto"/>
              <w:jc w:val="right"/>
              <w:rPr>
                <w:sz w:val="11"/>
                <w:szCs w:val="11"/>
              </w:rPr>
            </w:pPr>
            <w:r w:rsidRPr="00692926">
              <w:rPr>
                <w:sz w:val="11"/>
                <w:szCs w:val="11"/>
              </w:rPr>
              <w:t>237,190</w:t>
            </w:r>
          </w:p>
        </w:tc>
      </w:tr>
      <w:tr w:rsidR="00224102" w:rsidRPr="00604C75" w14:paraId="01C41FBF" w14:textId="77777777" w:rsidTr="009340BC">
        <w:trPr>
          <w:trHeight w:hRule="exact" w:val="142"/>
        </w:trPr>
        <w:tc>
          <w:tcPr>
            <w:tcW w:w="494" w:type="dxa"/>
            <w:noWrap/>
            <w:tcMar>
              <w:top w:w="18" w:type="dxa"/>
              <w:left w:w="18" w:type="dxa"/>
              <w:bottom w:w="0" w:type="dxa"/>
              <w:right w:w="18" w:type="dxa"/>
            </w:tcMar>
            <w:vAlign w:val="bottom"/>
          </w:tcPr>
          <w:p w14:paraId="7DD3FF3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2.1.5</w:t>
            </w:r>
          </w:p>
        </w:tc>
        <w:tc>
          <w:tcPr>
            <w:tcW w:w="3580" w:type="dxa"/>
            <w:noWrap/>
            <w:tcMar>
              <w:top w:w="18" w:type="dxa"/>
              <w:left w:w="18" w:type="dxa"/>
              <w:bottom w:w="0" w:type="dxa"/>
              <w:right w:w="18" w:type="dxa"/>
            </w:tcMar>
            <w:vAlign w:val="bottom"/>
          </w:tcPr>
          <w:p w14:paraId="48F388DF"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Securities Issue Brokerage Commitments</w:t>
            </w:r>
          </w:p>
        </w:tc>
        <w:tc>
          <w:tcPr>
            <w:tcW w:w="644" w:type="dxa"/>
            <w:noWrap/>
            <w:tcMar>
              <w:top w:w="18" w:type="dxa"/>
              <w:left w:w="18" w:type="dxa"/>
              <w:bottom w:w="0" w:type="dxa"/>
              <w:right w:w="18" w:type="dxa"/>
            </w:tcMar>
            <w:vAlign w:val="bottom"/>
          </w:tcPr>
          <w:p w14:paraId="41D6B864" w14:textId="77777777" w:rsidR="00224102" w:rsidRPr="00604C75" w:rsidRDefault="00224102" w:rsidP="00224102">
            <w:pPr>
              <w:spacing w:line="211" w:lineRule="auto"/>
              <w:jc w:val="center"/>
              <w:rPr>
                <w:sz w:val="10"/>
                <w:szCs w:val="10"/>
                <w:lang w:val="tr-TR"/>
              </w:rPr>
            </w:pPr>
          </w:p>
        </w:tc>
        <w:tc>
          <w:tcPr>
            <w:tcW w:w="895" w:type="dxa"/>
            <w:vAlign w:val="bottom"/>
          </w:tcPr>
          <w:p w14:paraId="656CA4F3" w14:textId="301A152D" w:rsidR="00224102" w:rsidRPr="003F3682" w:rsidRDefault="00224102" w:rsidP="00224102">
            <w:pPr>
              <w:jc w:val="right"/>
              <w:rPr>
                <w:sz w:val="11"/>
                <w:szCs w:val="11"/>
              </w:rPr>
            </w:pPr>
            <w:r w:rsidRPr="003F3682">
              <w:rPr>
                <w:sz w:val="11"/>
                <w:szCs w:val="11"/>
              </w:rPr>
              <w:t>-</w:t>
            </w:r>
          </w:p>
        </w:tc>
        <w:tc>
          <w:tcPr>
            <w:tcW w:w="1191" w:type="dxa"/>
            <w:vAlign w:val="bottom"/>
          </w:tcPr>
          <w:p w14:paraId="1400E934" w14:textId="075C7F0A" w:rsidR="00224102" w:rsidRPr="003F3682" w:rsidRDefault="00224102" w:rsidP="00224102">
            <w:pPr>
              <w:jc w:val="right"/>
              <w:rPr>
                <w:sz w:val="11"/>
                <w:szCs w:val="11"/>
              </w:rPr>
            </w:pPr>
            <w:r w:rsidRPr="003F3682">
              <w:rPr>
                <w:sz w:val="11"/>
                <w:szCs w:val="11"/>
              </w:rPr>
              <w:t>-</w:t>
            </w:r>
          </w:p>
        </w:tc>
        <w:tc>
          <w:tcPr>
            <w:tcW w:w="896" w:type="dxa"/>
            <w:vAlign w:val="bottom"/>
          </w:tcPr>
          <w:p w14:paraId="01FF2B17" w14:textId="5F0B6C60" w:rsidR="00224102" w:rsidRPr="003F3682" w:rsidRDefault="00224102" w:rsidP="00224102">
            <w:pPr>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3524B180" w14:textId="228EE2D0"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5BBA526B" w14:textId="3B0A9BD4"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15F8B854" w14:textId="70404938" w:rsidR="00224102" w:rsidRPr="00692926" w:rsidRDefault="00224102" w:rsidP="00224102">
            <w:pPr>
              <w:spacing w:line="211" w:lineRule="auto"/>
              <w:jc w:val="right"/>
              <w:rPr>
                <w:sz w:val="11"/>
                <w:szCs w:val="11"/>
              </w:rPr>
            </w:pPr>
            <w:r w:rsidRPr="00692926">
              <w:rPr>
                <w:sz w:val="11"/>
                <w:szCs w:val="11"/>
              </w:rPr>
              <w:t>-</w:t>
            </w:r>
          </w:p>
        </w:tc>
      </w:tr>
      <w:tr w:rsidR="00224102" w:rsidRPr="00604C75" w14:paraId="6A060760" w14:textId="77777777" w:rsidTr="009340BC">
        <w:trPr>
          <w:trHeight w:hRule="exact" w:val="142"/>
        </w:trPr>
        <w:tc>
          <w:tcPr>
            <w:tcW w:w="494" w:type="dxa"/>
            <w:noWrap/>
            <w:tcMar>
              <w:top w:w="18" w:type="dxa"/>
              <w:left w:w="18" w:type="dxa"/>
              <w:bottom w:w="0" w:type="dxa"/>
              <w:right w:w="18" w:type="dxa"/>
            </w:tcMar>
            <w:vAlign w:val="bottom"/>
          </w:tcPr>
          <w:p w14:paraId="5C02A2D3"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2.1.6</w:t>
            </w:r>
          </w:p>
        </w:tc>
        <w:tc>
          <w:tcPr>
            <w:tcW w:w="3580" w:type="dxa"/>
            <w:noWrap/>
            <w:tcMar>
              <w:top w:w="18" w:type="dxa"/>
              <w:left w:w="18" w:type="dxa"/>
              <w:bottom w:w="0" w:type="dxa"/>
              <w:right w:w="18" w:type="dxa"/>
            </w:tcMar>
            <w:vAlign w:val="bottom"/>
          </w:tcPr>
          <w:p w14:paraId="6C2D5A95"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Commitments for Reserve Deposit Requirements</w:t>
            </w:r>
          </w:p>
        </w:tc>
        <w:tc>
          <w:tcPr>
            <w:tcW w:w="644" w:type="dxa"/>
            <w:noWrap/>
            <w:tcMar>
              <w:top w:w="18" w:type="dxa"/>
              <w:left w:w="18" w:type="dxa"/>
              <w:bottom w:w="0" w:type="dxa"/>
              <w:right w:w="18" w:type="dxa"/>
            </w:tcMar>
            <w:vAlign w:val="bottom"/>
          </w:tcPr>
          <w:p w14:paraId="22F9067C" w14:textId="77777777" w:rsidR="00224102" w:rsidRPr="00604C75" w:rsidRDefault="00224102" w:rsidP="00224102">
            <w:pPr>
              <w:spacing w:line="211" w:lineRule="auto"/>
              <w:jc w:val="center"/>
              <w:rPr>
                <w:sz w:val="10"/>
                <w:szCs w:val="10"/>
                <w:lang w:val="tr-TR"/>
              </w:rPr>
            </w:pPr>
          </w:p>
        </w:tc>
        <w:tc>
          <w:tcPr>
            <w:tcW w:w="895" w:type="dxa"/>
            <w:vAlign w:val="bottom"/>
          </w:tcPr>
          <w:p w14:paraId="467A7C5E" w14:textId="298006B0" w:rsidR="00224102" w:rsidRPr="003F3682" w:rsidRDefault="00224102" w:rsidP="00224102">
            <w:pPr>
              <w:jc w:val="right"/>
              <w:rPr>
                <w:sz w:val="11"/>
                <w:szCs w:val="11"/>
              </w:rPr>
            </w:pPr>
            <w:r w:rsidRPr="003F3682">
              <w:rPr>
                <w:sz w:val="11"/>
                <w:szCs w:val="11"/>
              </w:rPr>
              <w:t>-</w:t>
            </w:r>
          </w:p>
        </w:tc>
        <w:tc>
          <w:tcPr>
            <w:tcW w:w="1191" w:type="dxa"/>
            <w:vAlign w:val="bottom"/>
          </w:tcPr>
          <w:p w14:paraId="6401FA43" w14:textId="59E247DE" w:rsidR="00224102" w:rsidRPr="003F3682" w:rsidRDefault="00224102" w:rsidP="00224102">
            <w:pPr>
              <w:jc w:val="right"/>
              <w:rPr>
                <w:sz w:val="11"/>
                <w:szCs w:val="11"/>
              </w:rPr>
            </w:pPr>
            <w:r w:rsidRPr="003F3682">
              <w:rPr>
                <w:sz w:val="11"/>
                <w:szCs w:val="11"/>
              </w:rPr>
              <w:t>-</w:t>
            </w:r>
          </w:p>
        </w:tc>
        <w:tc>
          <w:tcPr>
            <w:tcW w:w="896" w:type="dxa"/>
            <w:vAlign w:val="bottom"/>
          </w:tcPr>
          <w:p w14:paraId="3AEACD8F" w14:textId="6EDEE144" w:rsidR="00224102" w:rsidRPr="003F3682" w:rsidRDefault="00224102" w:rsidP="00224102">
            <w:pPr>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5CDCAC08" w14:textId="5BFA2D7A"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18C09AE1" w14:textId="11682D54"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300279C3" w14:textId="5DBADF3C" w:rsidR="00224102" w:rsidRPr="00692926" w:rsidRDefault="00224102" w:rsidP="00224102">
            <w:pPr>
              <w:spacing w:line="211" w:lineRule="auto"/>
              <w:jc w:val="right"/>
              <w:rPr>
                <w:sz w:val="11"/>
                <w:szCs w:val="11"/>
              </w:rPr>
            </w:pPr>
            <w:r w:rsidRPr="00692926">
              <w:rPr>
                <w:sz w:val="11"/>
                <w:szCs w:val="11"/>
              </w:rPr>
              <w:t>-</w:t>
            </w:r>
          </w:p>
        </w:tc>
      </w:tr>
      <w:tr w:rsidR="00224102" w:rsidRPr="00604C75" w14:paraId="66EC170C" w14:textId="77777777" w:rsidTr="009340BC">
        <w:trPr>
          <w:trHeight w:hRule="exact" w:val="142"/>
        </w:trPr>
        <w:tc>
          <w:tcPr>
            <w:tcW w:w="494" w:type="dxa"/>
            <w:noWrap/>
            <w:tcMar>
              <w:top w:w="18" w:type="dxa"/>
              <w:left w:w="18" w:type="dxa"/>
              <w:bottom w:w="0" w:type="dxa"/>
              <w:right w:w="18" w:type="dxa"/>
            </w:tcMar>
            <w:vAlign w:val="bottom"/>
          </w:tcPr>
          <w:p w14:paraId="0455F067"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2.1.7</w:t>
            </w:r>
          </w:p>
        </w:tc>
        <w:tc>
          <w:tcPr>
            <w:tcW w:w="3580" w:type="dxa"/>
            <w:noWrap/>
            <w:tcMar>
              <w:top w:w="18" w:type="dxa"/>
              <w:left w:w="18" w:type="dxa"/>
              <w:bottom w:w="0" w:type="dxa"/>
              <w:right w:w="18" w:type="dxa"/>
            </w:tcMar>
            <w:vAlign w:val="bottom"/>
          </w:tcPr>
          <w:p w14:paraId="6FF462ED"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Commitments for Cheques</w:t>
            </w:r>
          </w:p>
        </w:tc>
        <w:tc>
          <w:tcPr>
            <w:tcW w:w="644" w:type="dxa"/>
            <w:noWrap/>
            <w:tcMar>
              <w:top w:w="18" w:type="dxa"/>
              <w:left w:w="18" w:type="dxa"/>
              <w:bottom w:w="0" w:type="dxa"/>
              <w:right w:w="18" w:type="dxa"/>
            </w:tcMar>
            <w:vAlign w:val="bottom"/>
          </w:tcPr>
          <w:p w14:paraId="0D841131" w14:textId="77777777" w:rsidR="00224102" w:rsidRPr="00604C75" w:rsidRDefault="00224102" w:rsidP="00224102">
            <w:pPr>
              <w:spacing w:line="211" w:lineRule="auto"/>
              <w:jc w:val="center"/>
              <w:rPr>
                <w:sz w:val="10"/>
                <w:szCs w:val="10"/>
                <w:lang w:val="tr-TR"/>
              </w:rPr>
            </w:pPr>
          </w:p>
        </w:tc>
        <w:tc>
          <w:tcPr>
            <w:tcW w:w="895" w:type="dxa"/>
            <w:vAlign w:val="bottom"/>
          </w:tcPr>
          <w:p w14:paraId="1E943847" w14:textId="20296794" w:rsidR="00224102" w:rsidRPr="003F3682" w:rsidRDefault="00224102" w:rsidP="00224102">
            <w:pPr>
              <w:jc w:val="right"/>
              <w:rPr>
                <w:sz w:val="11"/>
                <w:szCs w:val="11"/>
              </w:rPr>
            </w:pPr>
            <w:r w:rsidRPr="003F3682">
              <w:rPr>
                <w:sz w:val="11"/>
                <w:szCs w:val="11"/>
              </w:rPr>
              <w:t>234,439</w:t>
            </w:r>
          </w:p>
        </w:tc>
        <w:tc>
          <w:tcPr>
            <w:tcW w:w="1191" w:type="dxa"/>
            <w:vAlign w:val="bottom"/>
          </w:tcPr>
          <w:p w14:paraId="373FCD77" w14:textId="502A6762" w:rsidR="00224102" w:rsidRPr="003F3682" w:rsidRDefault="00224102" w:rsidP="00224102">
            <w:pPr>
              <w:jc w:val="right"/>
              <w:rPr>
                <w:sz w:val="11"/>
                <w:szCs w:val="11"/>
              </w:rPr>
            </w:pPr>
            <w:r w:rsidRPr="003F3682">
              <w:rPr>
                <w:sz w:val="11"/>
                <w:szCs w:val="11"/>
              </w:rPr>
              <w:t>-</w:t>
            </w:r>
          </w:p>
        </w:tc>
        <w:tc>
          <w:tcPr>
            <w:tcW w:w="896" w:type="dxa"/>
            <w:vAlign w:val="bottom"/>
          </w:tcPr>
          <w:p w14:paraId="25BA279F" w14:textId="22ECE32C" w:rsidR="00224102" w:rsidRPr="003F3682" w:rsidRDefault="00224102" w:rsidP="00224102">
            <w:pPr>
              <w:jc w:val="right"/>
              <w:rPr>
                <w:sz w:val="11"/>
                <w:szCs w:val="11"/>
              </w:rPr>
            </w:pPr>
            <w:r w:rsidRPr="003F3682">
              <w:rPr>
                <w:sz w:val="11"/>
                <w:szCs w:val="11"/>
              </w:rPr>
              <w:t>234,439</w:t>
            </w:r>
          </w:p>
        </w:tc>
        <w:tc>
          <w:tcPr>
            <w:tcW w:w="881" w:type="dxa"/>
            <w:noWrap/>
            <w:tcMar>
              <w:top w:w="18" w:type="dxa"/>
              <w:left w:w="18" w:type="dxa"/>
              <w:bottom w:w="0" w:type="dxa"/>
              <w:right w:w="18" w:type="dxa"/>
            </w:tcMar>
            <w:vAlign w:val="bottom"/>
          </w:tcPr>
          <w:p w14:paraId="718ECCFC" w14:textId="7EDD0C3D" w:rsidR="00224102" w:rsidRPr="00692926" w:rsidRDefault="00224102" w:rsidP="00224102">
            <w:pPr>
              <w:spacing w:line="211" w:lineRule="auto"/>
              <w:jc w:val="right"/>
              <w:rPr>
                <w:sz w:val="11"/>
                <w:szCs w:val="11"/>
              </w:rPr>
            </w:pPr>
            <w:r w:rsidRPr="00692926">
              <w:rPr>
                <w:sz w:val="11"/>
                <w:szCs w:val="11"/>
              </w:rPr>
              <w:t>311,229</w:t>
            </w:r>
          </w:p>
        </w:tc>
        <w:tc>
          <w:tcPr>
            <w:tcW w:w="895" w:type="dxa"/>
            <w:noWrap/>
            <w:tcMar>
              <w:top w:w="18" w:type="dxa"/>
              <w:left w:w="18" w:type="dxa"/>
              <w:bottom w:w="0" w:type="dxa"/>
              <w:right w:w="18" w:type="dxa"/>
            </w:tcMar>
            <w:vAlign w:val="bottom"/>
          </w:tcPr>
          <w:p w14:paraId="0E5AD1AB" w14:textId="7A366091"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4D2A32CF" w14:textId="57B1AA2E" w:rsidR="00224102" w:rsidRPr="00692926" w:rsidRDefault="00224102" w:rsidP="00224102">
            <w:pPr>
              <w:spacing w:line="211" w:lineRule="auto"/>
              <w:jc w:val="right"/>
              <w:rPr>
                <w:sz w:val="11"/>
                <w:szCs w:val="11"/>
              </w:rPr>
            </w:pPr>
            <w:r w:rsidRPr="00692926">
              <w:rPr>
                <w:sz w:val="11"/>
                <w:szCs w:val="11"/>
              </w:rPr>
              <w:t>311,229</w:t>
            </w:r>
          </w:p>
        </w:tc>
      </w:tr>
      <w:tr w:rsidR="00224102" w:rsidRPr="00604C75" w14:paraId="46798229" w14:textId="77777777" w:rsidTr="009340BC">
        <w:trPr>
          <w:trHeight w:hRule="exact" w:val="142"/>
        </w:trPr>
        <w:tc>
          <w:tcPr>
            <w:tcW w:w="494" w:type="dxa"/>
            <w:noWrap/>
            <w:tcMar>
              <w:top w:w="18" w:type="dxa"/>
              <w:left w:w="18" w:type="dxa"/>
              <w:bottom w:w="0" w:type="dxa"/>
              <w:right w:w="18" w:type="dxa"/>
            </w:tcMar>
            <w:vAlign w:val="bottom"/>
          </w:tcPr>
          <w:p w14:paraId="0A3D1E2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2.1.8</w:t>
            </w:r>
          </w:p>
        </w:tc>
        <w:tc>
          <w:tcPr>
            <w:tcW w:w="3580" w:type="dxa"/>
            <w:noWrap/>
            <w:tcMar>
              <w:top w:w="18" w:type="dxa"/>
              <w:left w:w="18" w:type="dxa"/>
              <w:bottom w:w="0" w:type="dxa"/>
              <w:right w:w="18" w:type="dxa"/>
            </w:tcMar>
            <w:vAlign w:val="bottom"/>
          </w:tcPr>
          <w:p w14:paraId="65B96147"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Tax and Fund Liabilities from Export Commitments</w:t>
            </w:r>
          </w:p>
        </w:tc>
        <w:tc>
          <w:tcPr>
            <w:tcW w:w="644" w:type="dxa"/>
            <w:noWrap/>
            <w:tcMar>
              <w:top w:w="18" w:type="dxa"/>
              <w:left w:w="18" w:type="dxa"/>
              <w:bottom w:w="0" w:type="dxa"/>
              <w:right w:w="18" w:type="dxa"/>
            </w:tcMar>
            <w:vAlign w:val="bottom"/>
          </w:tcPr>
          <w:p w14:paraId="13D5CEB7" w14:textId="77777777" w:rsidR="00224102" w:rsidRPr="00604C75" w:rsidRDefault="00224102" w:rsidP="00224102">
            <w:pPr>
              <w:spacing w:line="211" w:lineRule="auto"/>
              <w:jc w:val="center"/>
              <w:rPr>
                <w:sz w:val="10"/>
                <w:szCs w:val="10"/>
                <w:lang w:val="tr-TR"/>
              </w:rPr>
            </w:pPr>
          </w:p>
        </w:tc>
        <w:tc>
          <w:tcPr>
            <w:tcW w:w="895" w:type="dxa"/>
            <w:vAlign w:val="bottom"/>
          </w:tcPr>
          <w:p w14:paraId="0C6807DE" w14:textId="3E39E817" w:rsidR="00224102" w:rsidRPr="003F3682" w:rsidRDefault="00224102" w:rsidP="00224102">
            <w:pPr>
              <w:jc w:val="right"/>
              <w:rPr>
                <w:sz w:val="11"/>
                <w:szCs w:val="11"/>
              </w:rPr>
            </w:pPr>
            <w:r w:rsidRPr="003F3682">
              <w:rPr>
                <w:sz w:val="11"/>
                <w:szCs w:val="11"/>
              </w:rPr>
              <w:t>3,738</w:t>
            </w:r>
          </w:p>
        </w:tc>
        <w:tc>
          <w:tcPr>
            <w:tcW w:w="1191" w:type="dxa"/>
            <w:vAlign w:val="bottom"/>
          </w:tcPr>
          <w:p w14:paraId="0E028AC5" w14:textId="0BC29979" w:rsidR="00224102" w:rsidRPr="003F3682" w:rsidRDefault="00224102" w:rsidP="00224102">
            <w:pPr>
              <w:jc w:val="right"/>
              <w:rPr>
                <w:sz w:val="11"/>
                <w:szCs w:val="11"/>
              </w:rPr>
            </w:pPr>
            <w:r w:rsidRPr="003F3682">
              <w:rPr>
                <w:sz w:val="11"/>
                <w:szCs w:val="11"/>
              </w:rPr>
              <w:t>-</w:t>
            </w:r>
          </w:p>
        </w:tc>
        <w:tc>
          <w:tcPr>
            <w:tcW w:w="896" w:type="dxa"/>
            <w:vAlign w:val="bottom"/>
          </w:tcPr>
          <w:p w14:paraId="1292671C" w14:textId="181B0593" w:rsidR="00224102" w:rsidRPr="003F3682" w:rsidRDefault="00224102" w:rsidP="00224102">
            <w:pPr>
              <w:jc w:val="right"/>
              <w:rPr>
                <w:sz w:val="11"/>
                <w:szCs w:val="11"/>
              </w:rPr>
            </w:pPr>
            <w:r w:rsidRPr="003F3682">
              <w:rPr>
                <w:sz w:val="11"/>
                <w:szCs w:val="11"/>
              </w:rPr>
              <w:t>3,738</w:t>
            </w:r>
          </w:p>
        </w:tc>
        <w:tc>
          <w:tcPr>
            <w:tcW w:w="881" w:type="dxa"/>
            <w:noWrap/>
            <w:tcMar>
              <w:top w:w="18" w:type="dxa"/>
              <w:left w:w="18" w:type="dxa"/>
              <w:bottom w:w="0" w:type="dxa"/>
              <w:right w:w="18" w:type="dxa"/>
            </w:tcMar>
            <w:vAlign w:val="bottom"/>
          </w:tcPr>
          <w:p w14:paraId="158A51D9" w14:textId="3B4CD185" w:rsidR="00224102" w:rsidRPr="00692926" w:rsidRDefault="00224102" w:rsidP="00224102">
            <w:pPr>
              <w:spacing w:line="211" w:lineRule="auto"/>
              <w:jc w:val="right"/>
              <w:rPr>
                <w:sz w:val="11"/>
                <w:szCs w:val="11"/>
              </w:rPr>
            </w:pPr>
            <w:r w:rsidRPr="00692926">
              <w:rPr>
                <w:sz w:val="11"/>
                <w:szCs w:val="11"/>
              </w:rPr>
              <w:t>3,738</w:t>
            </w:r>
          </w:p>
        </w:tc>
        <w:tc>
          <w:tcPr>
            <w:tcW w:w="895" w:type="dxa"/>
            <w:noWrap/>
            <w:tcMar>
              <w:top w:w="18" w:type="dxa"/>
              <w:left w:w="18" w:type="dxa"/>
              <w:bottom w:w="0" w:type="dxa"/>
              <w:right w:w="18" w:type="dxa"/>
            </w:tcMar>
            <w:vAlign w:val="bottom"/>
          </w:tcPr>
          <w:p w14:paraId="7672BFE8" w14:textId="082332E3"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2B390B76" w14:textId="1A15F2C0" w:rsidR="00224102" w:rsidRPr="00692926" w:rsidRDefault="00224102" w:rsidP="00224102">
            <w:pPr>
              <w:spacing w:line="211" w:lineRule="auto"/>
              <w:jc w:val="right"/>
              <w:rPr>
                <w:sz w:val="11"/>
                <w:szCs w:val="11"/>
              </w:rPr>
            </w:pPr>
            <w:r w:rsidRPr="00692926">
              <w:rPr>
                <w:sz w:val="11"/>
                <w:szCs w:val="11"/>
              </w:rPr>
              <w:t>3,738</w:t>
            </w:r>
          </w:p>
        </w:tc>
      </w:tr>
      <w:tr w:rsidR="00224102" w:rsidRPr="00604C75" w14:paraId="1E79DC67" w14:textId="77777777" w:rsidTr="009340BC">
        <w:trPr>
          <w:trHeight w:hRule="exact" w:val="142"/>
        </w:trPr>
        <w:tc>
          <w:tcPr>
            <w:tcW w:w="494" w:type="dxa"/>
            <w:noWrap/>
            <w:tcMar>
              <w:top w:w="18" w:type="dxa"/>
              <w:left w:w="18" w:type="dxa"/>
              <w:bottom w:w="0" w:type="dxa"/>
              <w:right w:w="18" w:type="dxa"/>
            </w:tcMar>
            <w:vAlign w:val="bottom"/>
          </w:tcPr>
          <w:p w14:paraId="3E8345FF"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2.1.9</w:t>
            </w:r>
          </w:p>
        </w:tc>
        <w:tc>
          <w:tcPr>
            <w:tcW w:w="3580" w:type="dxa"/>
            <w:noWrap/>
            <w:tcMar>
              <w:top w:w="18" w:type="dxa"/>
              <w:left w:w="18" w:type="dxa"/>
              <w:bottom w:w="0" w:type="dxa"/>
              <w:right w:w="18" w:type="dxa"/>
            </w:tcMar>
            <w:vAlign w:val="bottom"/>
          </w:tcPr>
          <w:p w14:paraId="4D211F14" w14:textId="547A2B0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Commitments for Credit Card Limits</w:t>
            </w:r>
          </w:p>
        </w:tc>
        <w:tc>
          <w:tcPr>
            <w:tcW w:w="644" w:type="dxa"/>
            <w:noWrap/>
            <w:tcMar>
              <w:top w:w="18" w:type="dxa"/>
              <w:left w:w="18" w:type="dxa"/>
              <w:bottom w:w="0" w:type="dxa"/>
              <w:right w:w="18" w:type="dxa"/>
            </w:tcMar>
            <w:vAlign w:val="bottom"/>
          </w:tcPr>
          <w:p w14:paraId="0AB21B22" w14:textId="77777777" w:rsidR="00224102" w:rsidRPr="00604C75" w:rsidRDefault="00224102" w:rsidP="00224102">
            <w:pPr>
              <w:spacing w:line="211" w:lineRule="auto"/>
              <w:jc w:val="center"/>
              <w:rPr>
                <w:sz w:val="10"/>
                <w:szCs w:val="10"/>
                <w:lang w:val="tr-TR"/>
              </w:rPr>
            </w:pPr>
          </w:p>
        </w:tc>
        <w:tc>
          <w:tcPr>
            <w:tcW w:w="895" w:type="dxa"/>
            <w:vAlign w:val="bottom"/>
          </w:tcPr>
          <w:p w14:paraId="6DC7AB29" w14:textId="5D01A540" w:rsidR="00224102" w:rsidRPr="003F3682" w:rsidRDefault="00224102" w:rsidP="00224102">
            <w:pPr>
              <w:jc w:val="right"/>
              <w:rPr>
                <w:sz w:val="11"/>
                <w:szCs w:val="11"/>
              </w:rPr>
            </w:pPr>
            <w:r w:rsidRPr="003F3682">
              <w:rPr>
                <w:sz w:val="11"/>
                <w:szCs w:val="11"/>
              </w:rPr>
              <w:t>125,780</w:t>
            </w:r>
          </w:p>
        </w:tc>
        <w:tc>
          <w:tcPr>
            <w:tcW w:w="1191" w:type="dxa"/>
            <w:vAlign w:val="bottom"/>
          </w:tcPr>
          <w:p w14:paraId="1FFE2C7F" w14:textId="224099B0" w:rsidR="00224102" w:rsidRPr="003F3682" w:rsidRDefault="00224102" w:rsidP="00224102">
            <w:pPr>
              <w:jc w:val="right"/>
              <w:rPr>
                <w:sz w:val="11"/>
                <w:szCs w:val="11"/>
              </w:rPr>
            </w:pPr>
            <w:r w:rsidRPr="003F3682">
              <w:rPr>
                <w:sz w:val="11"/>
                <w:szCs w:val="11"/>
              </w:rPr>
              <w:t>-</w:t>
            </w:r>
          </w:p>
        </w:tc>
        <w:tc>
          <w:tcPr>
            <w:tcW w:w="896" w:type="dxa"/>
            <w:vAlign w:val="bottom"/>
          </w:tcPr>
          <w:p w14:paraId="74FDCD7D" w14:textId="066B2708" w:rsidR="00224102" w:rsidRPr="003F3682" w:rsidRDefault="00224102" w:rsidP="00224102">
            <w:pPr>
              <w:jc w:val="right"/>
              <w:rPr>
                <w:sz w:val="11"/>
                <w:szCs w:val="11"/>
              </w:rPr>
            </w:pPr>
            <w:r w:rsidRPr="003F3682">
              <w:rPr>
                <w:sz w:val="11"/>
                <w:szCs w:val="11"/>
              </w:rPr>
              <w:t>125,780</w:t>
            </w:r>
          </w:p>
        </w:tc>
        <w:tc>
          <w:tcPr>
            <w:tcW w:w="881" w:type="dxa"/>
            <w:noWrap/>
            <w:tcMar>
              <w:top w:w="18" w:type="dxa"/>
              <w:left w:w="18" w:type="dxa"/>
              <w:bottom w:w="0" w:type="dxa"/>
              <w:right w:w="18" w:type="dxa"/>
            </w:tcMar>
            <w:vAlign w:val="bottom"/>
          </w:tcPr>
          <w:p w14:paraId="47C12DF2" w14:textId="3D4A1902" w:rsidR="00224102" w:rsidRPr="00692926" w:rsidRDefault="00224102" w:rsidP="00224102">
            <w:pPr>
              <w:spacing w:line="211" w:lineRule="auto"/>
              <w:jc w:val="right"/>
              <w:rPr>
                <w:sz w:val="11"/>
                <w:szCs w:val="11"/>
              </w:rPr>
            </w:pPr>
            <w:r w:rsidRPr="00692926">
              <w:rPr>
                <w:sz w:val="11"/>
                <w:szCs w:val="11"/>
              </w:rPr>
              <w:t>161,841</w:t>
            </w:r>
          </w:p>
        </w:tc>
        <w:tc>
          <w:tcPr>
            <w:tcW w:w="895" w:type="dxa"/>
            <w:noWrap/>
            <w:tcMar>
              <w:top w:w="18" w:type="dxa"/>
              <w:left w:w="18" w:type="dxa"/>
              <w:bottom w:w="0" w:type="dxa"/>
              <w:right w:w="18" w:type="dxa"/>
            </w:tcMar>
            <w:vAlign w:val="bottom"/>
          </w:tcPr>
          <w:p w14:paraId="590C685E" w14:textId="5CA321AF"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4C0CB49E" w14:textId="11055380" w:rsidR="00224102" w:rsidRPr="00692926" w:rsidRDefault="00224102" w:rsidP="00224102">
            <w:pPr>
              <w:spacing w:line="211" w:lineRule="auto"/>
              <w:jc w:val="right"/>
              <w:rPr>
                <w:sz w:val="11"/>
                <w:szCs w:val="11"/>
              </w:rPr>
            </w:pPr>
            <w:r w:rsidRPr="00692926">
              <w:rPr>
                <w:sz w:val="11"/>
                <w:szCs w:val="11"/>
              </w:rPr>
              <w:t>161,841</w:t>
            </w:r>
          </w:p>
        </w:tc>
      </w:tr>
      <w:tr w:rsidR="00224102" w:rsidRPr="00604C75" w14:paraId="0FBD26D9" w14:textId="77777777" w:rsidTr="009340BC">
        <w:trPr>
          <w:trHeight w:hRule="exact" w:val="142"/>
        </w:trPr>
        <w:tc>
          <w:tcPr>
            <w:tcW w:w="494" w:type="dxa"/>
            <w:noWrap/>
            <w:tcMar>
              <w:top w:w="18" w:type="dxa"/>
              <w:left w:w="18" w:type="dxa"/>
              <w:bottom w:w="0" w:type="dxa"/>
              <w:right w:w="18" w:type="dxa"/>
            </w:tcMar>
            <w:vAlign w:val="bottom"/>
          </w:tcPr>
          <w:p w14:paraId="44092E7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2.1.10</w:t>
            </w:r>
          </w:p>
        </w:tc>
        <w:tc>
          <w:tcPr>
            <w:tcW w:w="3580" w:type="dxa"/>
            <w:noWrap/>
            <w:tcMar>
              <w:top w:w="18" w:type="dxa"/>
              <w:left w:w="18" w:type="dxa"/>
              <w:bottom w:w="0" w:type="dxa"/>
              <w:right w:w="18" w:type="dxa"/>
            </w:tcMar>
            <w:vAlign w:val="bottom"/>
          </w:tcPr>
          <w:p w14:paraId="2F47626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Promotion Commitments for Credit Cards and Banking Services</w:t>
            </w:r>
          </w:p>
        </w:tc>
        <w:tc>
          <w:tcPr>
            <w:tcW w:w="644" w:type="dxa"/>
            <w:noWrap/>
            <w:tcMar>
              <w:top w:w="18" w:type="dxa"/>
              <w:left w:w="18" w:type="dxa"/>
              <w:bottom w:w="0" w:type="dxa"/>
              <w:right w:w="18" w:type="dxa"/>
            </w:tcMar>
            <w:vAlign w:val="bottom"/>
          </w:tcPr>
          <w:p w14:paraId="609773A4" w14:textId="77777777" w:rsidR="00224102" w:rsidRPr="00604C75" w:rsidRDefault="00224102" w:rsidP="00224102">
            <w:pPr>
              <w:spacing w:line="211" w:lineRule="auto"/>
              <w:jc w:val="center"/>
              <w:rPr>
                <w:sz w:val="10"/>
                <w:szCs w:val="10"/>
                <w:lang w:val="tr-TR"/>
              </w:rPr>
            </w:pPr>
          </w:p>
        </w:tc>
        <w:tc>
          <w:tcPr>
            <w:tcW w:w="895" w:type="dxa"/>
            <w:vAlign w:val="bottom"/>
          </w:tcPr>
          <w:p w14:paraId="2D3C5370" w14:textId="6A65A7B2" w:rsidR="00224102" w:rsidRPr="003F3682" w:rsidRDefault="00224102" w:rsidP="00224102">
            <w:pPr>
              <w:jc w:val="right"/>
              <w:rPr>
                <w:sz w:val="11"/>
                <w:szCs w:val="11"/>
              </w:rPr>
            </w:pPr>
            <w:r w:rsidRPr="003F3682">
              <w:rPr>
                <w:sz w:val="11"/>
                <w:szCs w:val="11"/>
              </w:rPr>
              <w:t>-</w:t>
            </w:r>
          </w:p>
        </w:tc>
        <w:tc>
          <w:tcPr>
            <w:tcW w:w="1191" w:type="dxa"/>
            <w:vAlign w:val="bottom"/>
          </w:tcPr>
          <w:p w14:paraId="7E59C900" w14:textId="09690646" w:rsidR="00224102" w:rsidRPr="003F3682" w:rsidRDefault="00224102" w:rsidP="00224102">
            <w:pPr>
              <w:jc w:val="right"/>
              <w:rPr>
                <w:sz w:val="11"/>
                <w:szCs w:val="11"/>
              </w:rPr>
            </w:pPr>
            <w:r w:rsidRPr="003F3682">
              <w:rPr>
                <w:sz w:val="11"/>
                <w:szCs w:val="11"/>
              </w:rPr>
              <w:t>-</w:t>
            </w:r>
          </w:p>
        </w:tc>
        <w:tc>
          <w:tcPr>
            <w:tcW w:w="896" w:type="dxa"/>
            <w:vAlign w:val="bottom"/>
          </w:tcPr>
          <w:p w14:paraId="5580F29E" w14:textId="4CDEA216" w:rsidR="00224102" w:rsidRPr="003F3682" w:rsidRDefault="00224102" w:rsidP="00224102">
            <w:pPr>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4EE88DB6" w14:textId="6ED4FEAF"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4A9151B0" w14:textId="0D747727"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43F7AD38" w14:textId="0793F0D3" w:rsidR="00224102" w:rsidRPr="00692926" w:rsidRDefault="00224102" w:rsidP="00224102">
            <w:pPr>
              <w:spacing w:line="211" w:lineRule="auto"/>
              <w:jc w:val="right"/>
              <w:rPr>
                <w:sz w:val="11"/>
                <w:szCs w:val="11"/>
              </w:rPr>
            </w:pPr>
            <w:r w:rsidRPr="00692926">
              <w:rPr>
                <w:sz w:val="11"/>
                <w:szCs w:val="11"/>
              </w:rPr>
              <w:t>-</w:t>
            </w:r>
          </w:p>
        </w:tc>
      </w:tr>
      <w:tr w:rsidR="00224102" w:rsidRPr="00604C75" w14:paraId="2C071466" w14:textId="77777777" w:rsidTr="009340BC">
        <w:trPr>
          <w:trHeight w:hRule="exact" w:val="142"/>
        </w:trPr>
        <w:tc>
          <w:tcPr>
            <w:tcW w:w="494" w:type="dxa"/>
            <w:noWrap/>
            <w:tcMar>
              <w:top w:w="18" w:type="dxa"/>
              <w:left w:w="18" w:type="dxa"/>
              <w:bottom w:w="0" w:type="dxa"/>
              <w:right w:w="18" w:type="dxa"/>
            </w:tcMar>
            <w:vAlign w:val="bottom"/>
          </w:tcPr>
          <w:p w14:paraId="6687FCB7"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2.1.11</w:t>
            </w:r>
          </w:p>
        </w:tc>
        <w:tc>
          <w:tcPr>
            <w:tcW w:w="3580" w:type="dxa"/>
            <w:noWrap/>
            <w:tcMar>
              <w:top w:w="18" w:type="dxa"/>
              <w:left w:w="18" w:type="dxa"/>
              <w:bottom w:w="0" w:type="dxa"/>
              <w:right w:w="18" w:type="dxa"/>
            </w:tcMar>
            <w:vAlign w:val="bottom"/>
          </w:tcPr>
          <w:p w14:paraId="09F6E6E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Receivables from Short Sale Commitments of Marketable Securities</w:t>
            </w:r>
          </w:p>
        </w:tc>
        <w:tc>
          <w:tcPr>
            <w:tcW w:w="644" w:type="dxa"/>
            <w:noWrap/>
            <w:tcMar>
              <w:top w:w="18" w:type="dxa"/>
              <w:left w:w="18" w:type="dxa"/>
              <w:bottom w:w="0" w:type="dxa"/>
              <w:right w:w="18" w:type="dxa"/>
            </w:tcMar>
            <w:vAlign w:val="bottom"/>
          </w:tcPr>
          <w:p w14:paraId="6005E1E5" w14:textId="77777777" w:rsidR="00224102" w:rsidRPr="00604C75" w:rsidRDefault="00224102" w:rsidP="00224102">
            <w:pPr>
              <w:spacing w:line="211" w:lineRule="auto"/>
              <w:jc w:val="center"/>
              <w:rPr>
                <w:sz w:val="10"/>
                <w:szCs w:val="10"/>
                <w:lang w:val="tr-TR"/>
              </w:rPr>
            </w:pPr>
          </w:p>
        </w:tc>
        <w:tc>
          <w:tcPr>
            <w:tcW w:w="895" w:type="dxa"/>
            <w:vAlign w:val="bottom"/>
          </w:tcPr>
          <w:p w14:paraId="5CB7F930" w14:textId="47DD529C" w:rsidR="00224102" w:rsidRPr="003F3682" w:rsidRDefault="00224102" w:rsidP="00224102">
            <w:pPr>
              <w:jc w:val="right"/>
              <w:rPr>
                <w:sz w:val="11"/>
                <w:szCs w:val="11"/>
              </w:rPr>
            </w:pPr>
            <w:r w:rsidRPr="003F3682">
              <w:rPr>
                <w:sz w:val="11"/>
                <w:szCs w:val="11"/>
              </w:rPr>
              <w:t>-</w:t>
            </w:r>
          </w:p>
        </w:tc>
        <w:tc>
          <w:tcPr>
            <w:tcW w:w="1191" w:type="dxa"/>
            <w:vAlign w:val="bottom"/>
          </w:tcPr>
          <w:p w14:paraId="18DF8EF7" w14:textId="5A73CD65" w:rsidR="00224102" w:rsidRPr="003F3682" w:rsidRDefault="00224102" w:rsidP="00224102">
            <w:pPr>
              <w:jc w:val="right"/>
              <w:rPr>
                <w:sz w:val="11"/>
                <w:szCs w:val="11"/>
              </w:rPr>
            </w:pPr>
            <w:r w:rsidRPr="003F3682">
              <w:rPr>
                <w:sz w:val="11"/>
                <w:szCs w:val="11"/>
              </w:rPr>
              <w:t>-</w:t>
            </w:r>
          </w:p>
        </w:tc>
        <w:tc>
          <w:tcPr>
            <w:tcW w:w="896" w:type="dxa"/>
            <w:vAlign w:val="bottom"/>
          </w:tcPr>
          <w:p w14:paraId="537C5C1E" w14:textId="14DE52B7" w:rsidR="00224102" w:rsidRPr="003F3682" w:rsidRDefault="00224102" w:rsidP="00224102">
            <w:pPr>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64E6C230" w14:textId="22099B93"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03B49CBC" w14:textId="141711C7"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42ED7DFC" w14:textId="44C20FB9" w:rsidR="00224102" w:rsidRPr="00692926" w:rsidRDefault="00224102" w:rsidP="00224102">
            <w:pPr>
              <w:spacing w:line="211" w:lineRule="auto"/>
              <w:jc w:val="right"/>
              <w:rPr>
                <w:sz w:val="11"/>
                <w:szCs w:val="11"/>
              </w:rPr>
            </w:pPr>
            <w:r w:rsidRPr="00692926">
              <w:rPr>
                <w:sz w:val="11"/>
                <w:szCs w:val="11"/>
              </w:rPr>
              <w:t>-</w:t>
            </w:r>
          </w:p>
        </w:tc>
      </w:tr>
      <w:tr w:rsidR="00224102" w:rsidRPr="00604C75" w14:paraId="4E2F9AA7" w14:textId="77777777" w:rsidTr="009340BC">
        <w:trPr>
          <w:trHeight w:hRule="exact" w:val="142"/>
        </w:trPr>
        <w:tc>
          <w:tcPr>
            <w:tcW w:w="494" w:type="dxa"/>
            <w:noWrap/>
            <w:tcMar>
              <w:top w:w="18" w:type="dxa"/>
              <w:left w:w="18" w:type="dxa"/>
              <w:bottom w:w="0" w:type="dxa"/>
              <w:right w:w="18" w:type="dxa"/>
            </w:tcMar>
            <w:vAlign w:val="bottom"/>
          </w:tcPr>
          <w:p w14:paraId="26A65D74"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2.1.12</w:t>
            </w:r>
          </w:p>
        </w:tc>
        <w:tc>
          <w:tcPr>
            <w:tcW w:w="3580" w:type="dxa"/>
            <w:noWrap/>
            <w:tcMar>
              <w:top w:w="18" w:type="dxa"/>
              <w:left w:w="18" w:type="dxa"/>
              <w:bottom w:w="0" w:type="dxa"/>
              <w:right w:w="18" w:type="dxa"/>
            </w:tcMar>
            <w:vAlign w:val="bottom"/>
          </w:tcPr>
          <w:p w14:paraId="575C012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Payables for Short Sale Commitments of Marketable Securities</w:t>
            </w:r>
          </w:p>
        </w:tc>
        <w:tc>
          <w:tcPr>
            <w:tcW w:w="644" w:type="dxa"/>
            <w:noWrap/>
            <w:tcMar>
              <w:top w:w="18" w:type="dxa"/>
              <w:left w:w="18" w:type="dxa"/>
              <w:bottom w:w="0" w:type="dxa"/>
              <w:right w:w="18" w:type="dxa"/>
            </w:tcMar>
            <w:vAlign w:val="bottom"/>
          </w:tcPr>
          <w:p w14:paraId="7FA54973" w14:textId="77777777" w:rsidR="00224102" w:rsidRPr="00604C75" w:rsidRDefault="00224102" w:rsidP="00224102">
            <w:pPr>
              <w:spacing w:line="211" w:lineRule="auto"/>
              <w:jc w:val="center"/>
              <w:rPr>
                <w:sz w:val="10"/>
                <w:szCs w:val="10"/>
                <w:lang w:val="tr-TR"/>
              </w:rPr>
            </w:pPr>
          </w:p>
        </w:tc>
        <w:tc>
          <w:tcPr>
            <w:tcW w:w="895" w:type="dxa"/>
            <w:vAlign w:val="bottom"/>
          </w:tcPr>
          <w:p w14:paraId="02FFAC87" w14:textId="712B8ABC" w:rsidR="00224102" w:rsidRPr="003F3682" w:rsidRDefault="00224102" w:rsidP="00224102">
            <w:pPr>
              <w:jc w:val="right"/>
              <w:rPr>
                <w:sz w:val="11"/>
                <w:szCs w:val="11"/>
              </w:rPr>
            </w:pPr>
            <w:r w:rsidRPr="003F3682">
              <w:rPr>
                <w:sz w:val="11"/>
                <w:szCs w:val="11"/>
              </w:rPr>
              <w:t>-</w:t>
            </w:r>
          </w:p>
        </w:tc>
        <w:tc>
          <w:tcPr>
            <w:tcW w:w="1191" w:type="dxa"/>
            <w:vAlign w:val="bottom"/>
          </w:tcPr>
          <w:p w14:paraId="258A7250" w14:textId="0B2FDBF1" w:rsidR="00224102" w:rsidRPr="003F3682" w:rsidRDefault="00224102" w:rsidP="00224102">
            <w:pPr>
              <w:jc w:val="right"/>
              <w:rPr>
                <w:sz w:val="11"/>
                <w:szCs w:val="11"/>
              </w:rPr>
            </w:pPr>
            <w:r w:rsidRPr="003F3682">
              <w:rPr>
                <w:sz w:val="11"/>
                <w:szCs w:val="11"/>
              </w:rPr>
              <w:t>-</w:t>
            </w:r>
          </w:p>
        </w:tc>
        <w:tc>
          <w:tcPr>
            <w:tcW w:w="896" w:type="dxa"/>
            <w:vAlign w:val="bottom"/>
          </w:tcPr>
          <w:p w14:paraId="4B50348A" w14:textId="3C796512" w:rsidR="00224102" w:rsidRPr="003F3682" w:rsidRDefault="00224102" w:rsidP="00224102">
            <w:pPr>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5EFC7BEE" w14:textId="3295F8FE"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172B4596" w14:textId="00412573"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72194316" w14:textId="4A946A0F" w:rsidR="00224102" w:rsidRPr="00692926" w:rsidRDefault="00224102" w:rsidP="00224102">
            <w:pPr>
              <w:spacing w:line="211" w:lineRule="auto"/>
              <w:jc w:val="right"/>
              <w:rPr>
                <w:sz w:val="11"/>
                <w:szCs w:val="11"/>
              </w:rPr>
            </w:pPr>
            <w:r w:rsidRPr="00692926">
              <w:rPr>
                <w:sz w:val="11"/>
                <w:szCs w:val="11"/>
              </w:rPr>
              <w:t>-</w:t>
            </w:r>
          </w:p>
        </w:tc>
      </w:tr>
      <w:tr w:rsidR="00224102" w:rsidRPr="00604C75" w14:paraId="78C3DA1E" w14:textId="77777777" w:rsidTr="009340BC">
        <w:trPr>
          <w:trHeight w:hRule="exact" w:val="142"/>
        </w:trPr>
        <w:tc>
          <w:tcPr>
            <w:tcW w:w="494" w:type="dxa"/>
            <w:noWrap/>
            <w:tcMar>
              <w:top w:w="18" w:type="dxa"/>
              <w:left w:w="18" w:type="dxa"/>
              <w:bottom w:w="0" w:type="dxa"/>
              <w:right w:w="18" w:type="dxa"/>
            </w:tcMar>
            <w:vAlign w:val="bottom"/>
          </w:tcPr>
          <w:p w14:paraId="134CD5A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2.1.13</w:t>
            </w:r>
          </w:p>
        </w:tc>
        <w:tc>
          <w:tcPr>
            <w:tcW w:w="3580" w:type="dxa"/>
            <w:noWrap/>
            <w:tcMar>
              <w:top w:w="18" w:type="dxa"/>
              <w:left w:w="18" w:type="dxa"/>
              <w:bottom w:w="0" w:type="dxa"/>
              <w:right w:w="18" w:type="dxa"/>
            </w:tcMar>
            <w:vAlign w:val="bottom"/>
          </w:tcPr>
          <w:p w14:paraId="05AD517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Irrevocable Commitments</w:t>
            </w:r>
          </w:p>
        </w:tc>
        <w:tc>
          <w:tcPr>
            <w:tcW w:w="644" w:type="dxa"/>
            <w:noWrap/>
            <w:tcMar>
              <w:top w:w="18" w:type="dxa"/>
              <w:left w:w="18" w:type="dxa"/>
              <w:bottom w:w="0" w:type="dxa"/>
              <w:right w:w="18" w:type="dxa"/>
            </w:tcMar>
            <w:vAlign w:val="bottom"/>
          </w:tcPr>
          <w:p w14:paraId="651B2E5A" w14:textId="77777777" w:rsidR="00224102" w:rsidRPr="00604C75" w:rsidRDefault="00224102" w:rsidP="00224102">
            <w:pPr>
              <w:spacing w:line="211" w:lineRule="auto"/>
              <w:jc w:val="center"/>
              <w:rPr>
                <w:sz w:val="10"/>
                <w:szCs w:val="10"/>
                <w:lang w:val="tr-TR"/>
              </w:rPr>
            </w:pPr>
          </w:p>
        </w:tc>
        <w:tc>
          <w:tcPr>
            <w:tcW w:w="895" w:type="dxa"/>
            <w:vAlign w:val="bottom"/>
          </w:tcPr>
          <w:p w14:paraId="5ECE10A7" w14:textId="61C5F211" w:rsidR="00224102" w:rsidRPr="003F3682" w:rsidRDefault="00224102" w:rsidP="00224102">
            <w:pPr>
              <w:jc w:val="right"/>
              <w:rPr>
                <w:sz w:val="11"/>
                <w:szCs w:val="11"/>
              </w:rPr>
            </w:pPr>
            <w:r w:rsidRPr="003F3682">
              <w:rPr>
                <w:sz w:val="11"/>
                <w:szCs w:val="11"/>
              </w:rPr>
              <w:t>42,748</w:t>
            </w:r>
          </w:p>
        </w:tc>
        <w:tc>
          <w:tcPr>
            <w:tcW w:w="1191" w:type="dxa"/>
            <w:vAlign w:val="bottom"/>
          </w:tcPr>
          <w:p w14:paraId="2261CE55" w14:textId="2EECDA7B" w:rsidR="00224102" w:rsidRPr="003F3682" w:rsidRDefault="00224102" w:rsidP="00224102">
            <w:pPr>
              <w:jc w:val="right"/>
              <w:rPr>
                <w:sz w:val="11"/>
                <w:szCs w:val="11"/>
              </w:rPr>
            </w:pPr>
            <w:r w:rsidRPr="003F3682">
              <w:rPr>
                <w:sz w:val="11"/>
                <w:szCs w:val="11"/>
              </w:rPr>
              <w:t>20,820</w:t>
            </w:r>
          </w:p>
        </w:tc>
        <w:tc>
          <w:tcPr>
            <w:tcW w:w="896" w:type="dxa"/>
            <w:vAlign w:val="bottom"/>
          </w:tcPr>
          <w:p w14:paraId="1D35496E" w14:textId="71EF93B1" w:rsidR="00224102" w:rsidRPr="003F3682" w:rsidRDefault="00224102" w:rsidP="00224102">
            <w:pPr>
              <w:jc w:val="right"/>
              <w:rPr>
                <w:sz w:val="11"/>
                <w:szCs w:val="11"/>
              </w:rPr>
            </w:pPr>
            <w:r w:rsidRPr="003F3682">
              <w:rPr>
                <w:sz w:val="11"/>
                <w:szCs w:val="11"/>
              </w:rPr>
              <w:t>63,568</w:t>
            </w:r>
          </w:p>
        </w:tc>
        <w:tc>
          <w:tcPr>
            <w:tcW w:w="881" w:type="dxa"/>
            <w:noWrap/>
            <w:tcMar>
              <w:top w:w="18" w:type="dxa"/>
              <w:left w:w="18" w:type="dxa"/>
              <w:bottom w:w="0" w:type="dxa"/>
              <w:right w:w="18" w:type="dxa"/>
            </w:tcMar>
            <w:vAlign w:val="bottom"/>
          </w:tcPr>
          <w:p w14:paraId="204EBD6E" w14:textId="57A543BF" w:rsidR="00224102" w:rsidRPr="00692926" w:rsidRDefault="00224102" w:rsidP="00224102">
            <w:pPr>
              <w:spacing w:line="211" w:lineRule="auto"/>
              <w:jc w:val="right"/>
              <w:rPr>
                <w:sz w:val="11"/>
                <w:szCs w:val="11"/>
              </w:rPr>
            </w:pPr>
            <w:r w:rsidRPr="00692926">
              <w:rPr>
                <w:sz w:val="11"/>
                <w:szCs w:val="11"/>
              </w:rPr>
              <w:t>179,241</w:t>
            </w:r>
          </w:p>
        </w:tc>
        <w:tc>
          <w:tcPr>
            <w:tcW w:w="895" w:type="dxa"/>
            <w:noWrap/>
            <w:tcMar>
              <w:top w:w="18" w:type="dxa"/>
              <w:left w:w="18" w:type="dxa"/>
              <w:bottom w:w="0" w:type="dxa"/>
              <w:right w:w="18" w:type="dxa"/>
            </w:tcMar>
            <w:vAlign w:val="bottom"/>
          </w:tcPr>
          <w:p w14:paraId="07C5EED8" w14:textId="74D30A85" w:rsidR="00224102" w:rsidRPr="00692926" w:rsidRDefault="00224102" w:rsidP="00224102">
            <w:pPr>
              <w:spacing w:line="211" w:lineRule="auto"/>
              <w:jc w:val="right"/>
              <w:rPr>
                <w:sz w:val="11"/>
                <w:szCs w:val="11"/>
              </w:rPr>
            </w:pPr>
            <w:r w:rsidRPr="00692926">
              <w:rPr>
                <w:sz w:val="11"/>
                <w:szCs w:val="11"/>
              </w:rPr>
              <w:t>18,495</w:t>
            </w:r>
          </w:p>
        </w:tc>
        <w:tc>
          <w:tcPr>
            <w:tcW w:w="896" w:type="dxa"/>
            <w:noWrap/>
            <w:tcMar>
              <w:top w:w="18" w:type="dxa"/>
              <w:left w:w="18" w:type="dxa"/>
              <w:bottom w:w="0" w:type="dxa"/>
              <w:right w:w="18" w:type="dxa"/>
            </w:tcMar>
            <w:vAlign w:val="bottom"/>
          </w:tcPr>
          <w:p w14:paraId="4F688BB1" w14:textId="5518EBBD" w:rsidR="00224102" w:rsidRPr="00692926" w:rsidRDefault="00224102" w:rsidP="00224102">
            <w:pPr>
              <w:spacing w:line="211" w:lineRule="auto"/>
              <w:jc w:val="right"/>
              <w:rPr>
                <w:sz w:val="11"/>
                <w:szCs w:val="11"/>
              </w:rPr>
            </w:pPr>
            <w:r w:rsidRPr="00692926">
              <w:rPr>
                <w:sz w:val="11"/>
                <w:szCs w:val="11"/>
              </w:rPr>
              <w:t>197,736</w:t>
            </w:r>
          </w:p>
        </w:tc>
      </w:tr>
      <w:tr w:rsidR="00224102" w:rsidRPr="00604C75" w14:paraId="297BD9E6" w14:textId="77777777" w:rsidTr="009340BC">
        <w:trPr>
          <w:trHeight w:hRule="exact" w:val="142"/>
        </w:trPr>
        <w:tc>
          <w:tcPr>
            <w:tcW w:w="494" w:type="dxa"/>
            <w:noWrap/>
            <w:tcMar>
              <w:top w:w="18" w:type="dxa"/>
              <w:left w:w="18" w:type="dxa"/>
              <w:bottom w:w="0" w:type="dxa"/>
              <w:right w:w="18" w:type="dxa"/>
            </w:tcMar>
            <w:vAlign w:val="bottom"/>
          </w:tcPr>
          <w:p w14:paraId="0C93A26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2.2</w:t>
            </w:r>
          </w:p>
        </w:tc>
        <w:tc>
          <w:tcPr>
            <w:tcW w:w="3580" w:type="dxa"/>
            <w:noWrap/>
            <w:tcMar>
              <w:top w:w="18" w:type="dxa"/>
              <w:left w:w="18" w:type="dxa"/>
              <w:bottom w:w="0" w:type="dxa"/>
              <w:right w:w="18" w:type="dxa"/>
            </w:tcMar>
            <w:vAlign w:val="bottom"/>
          </w:tcPr>
          <w:p w14:paraId="16CA9D8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Revocable Commitments</w:t>
            </w:r>
          </w:p>
        </w:tc>
        <w:tc>
          <w:tcPr>
            <w:tcW w:w="644" w:type="dxa"/>
            <w:noWrap/>
            <w:tcMar>
              <w:top w:w="18" w:type="dxa"/>
              <w:left w:w="18" w:type="dxa"/>
              <w:bottom w:w="0" w:type="dxa"/>
              <w:right w:w="18" w:type="dxa"/>
            </w:tcMar>
            <w:vAlign w:val="bottom"/>
          </w:tcPr>
          <w:p w14:paraId="760A9996" w14:textId="77777777" w:rsidR="00224102" w:rsidRPr="00604C75" w:rsidRDefault="00224102" w:rsidP="00224102">
            <w:pPr>
              <w:spacing w:line="211" w:lineRule="auto"/>
              <w:jc w:val="center"/>
              <w:rPr>
                <w:sz w:val="10"/>
                <w:szCs w:val="10"/>
                <w:lang w:val="tr-TR"/>
              </w:rPr>
            </w:pPr>
          </w:p>
        </w:tc>
        <w:tc>
          <w:tcPr>
            <w:tcW w:w="895" w:type="dxa"/>
            <w:vAlign w:val="bottom"/>
          </w:tcPr>
          <w:p w14:paraId="0FB30342" w14:textId="219554B3" w:rsidR="00224102" w:rsidRPr="003F3682" w:rsidRDefault="00224102" w:rsidP="00224102">
            <w:pPr>
              <w:jc w:val="right"/>
              <w:rPr>
                <w:sz w:val="11"/>
                <w:szCs w:val="11"/>
              </w:rPr>
            </w:pPr>
            <w:r w:rsidRPr="003F3682">
              <w:rPr>
                <w:sz w:val="11"/>
                <w:szCs w:val="11"/>
              </w:rPr>
              <w:t>19,327</w:t>
            </w:r>
          </w:p>
        </w:tc>
        <w:tc>
          <w:tcPr>
            <w:tcW w:w="1191" w:type="dxa"/>
            <w:vAlign w:val="bottom"/>
          </w:tcPr>
          <w:p w14:paraId="6190C6E1" w14:textId="21495587" w:rsidR="00224102" w:rsidRPr="003F3682" w:rsidRDefault="00224102" w:rsidP="00224102">
            <w:pPr>
              <w:jc w:val="right"/>
              <w:rPr>
                <w:sz w:val="11"/>
                <w:szCs w:val="11"/>
              </w:rPr>
            </w:pPr>
            <w:r w:rsidRPr="003F3682">
              <w:rPr>
                <w:sz w:val="11"/>
                <w:szCs w:val="11"/>
              </w:rPr>
              <w:t>67,377</w:t>
            </w:r>
          </w:p>
        </w:tc>
        <w:tc>
          <w:tcPr>
            <w:tcW w:w="896" w:type="dxa"/>
            <w:vAlign w:val="bottom"/>
          </w:tcPr>
          <w:p w14:paraId="0A2A7FA8" w14:textId="0BE525CD" w:rsidR="00224102" w:rsidRPr="003F3682" w:rsidRDefault="00224102" w:rsidP="00224102">
            <w:pPr>
              <w:jc w:val="right"/>
              <w:rPr>
                <w:sz w:val="11"/>
                <w:szCs w:val="11"/>
              </w:rPr>
            </w:pPr>
            <w:r w:rsidRPr="003F3682">
              <w:rPr>
                <w:sz w:val="11"/>
                <w:szCs w:val="11"/>
              </w:rPr>
              <w:t>86,704</w:t>
            </w:r>
          </w:p>
        </w:tc>
        <w:tc>
          <w:tcPr>
            <w:tcW w:w="881" w:type="dxa"/>
            <w:noWrap/>
            <w:tcMar>
              <w:top w:w="18" w:type="dxa"/>
              <w:left w:w="18" w:type="dxa"/>
              <w:bottom w:w="0" w:type="dxa"/>
              <w:right w:w="18" w:type="dxa"/>
            </w:tcMar>
            <w:vAlign w:val="bottom"/>
          </w:tcPr>
          <w:p w14:paraId="1B700250" w14:textId="0A4225E2" w:rsidR="00224102" w:rsidRPr="00692926" w:rsidRDefault="00224102" w:rsidP="00224102">
            <w:pPr>
              <w:spacing w:line="211" w:lineRule="auto"/>
              <w:jc w:val="right"/>
              <w:rPr>
                <w:sz w:val="11"/>
                <w:szCs w:val="11"/>
              </w:rPr>
            </w:pPr>
            <w:r w:rsidRPr="00692926">
              <w:rPr>
                <w:sz w:val="11"/>
                <w:szCs w:val="11"/>
              </w:rPr>
              <w:t>44,468</w:t>
            </w:r>
          </w:p>
        </w:tc>
        <w:tc>
          <w:tcPr>
            <w:tcW w:w="895" w:type="dxa"/>
            <w:noWrap/>
            <w:tcMar>
              <w:top w:w="18" w:type="dxa"/>
              <w:left w:w="18" w:type="dxa"/>
              <w:bottom w:w="0" w:type="dxa"/>
              <w:right w:w="18" w:type="dxa"/>
            </w:tcMar>
            <w:vAlign w:val="bottom"/>
          </w:tcPr>
          <w:p w14:paraId="331565F8" w14:textId="64662754" w:rsidR="00224102" w:rsidRPr="00692926" w:rsidRDefault="00224102" w:rsidP="00224102">
            <w:pPr>
              <w:spacing w:line="211" w:lineRule="auto"/>
              <w:jc w:val="right"/>
              <w:rPr>
                <w:sz w:val="11"/>
                <w:szCs w:val="11"/>
              </w:rPr>
            </w:pPr>
            <w:r w:rsidRPr="00692926">
              <w:rPr>
                <w:sz w:val="11"/>
                <w:szCs w:val="11"/>
              </w:rPr>
              <w:t>51,796</w:t>
            </w:r>
          </w:p>
        </w:tc>
        <w:tc>
          <w:tcPr>
            <w:tcW w:w="896" w:type="dxa"/>
            <w:noWrap/>
            <w:tcMar>
              <w:top w:w="18" w:type="dxa"/>
              <w:left w:w="18" w:type="dxa"/>
              <w:bottom w:w="0" w:type="dxa"/>
              <w:right w:w="18" w:type="dxa"/>
            </w:tcMar>
            <w:vAlign w:val="bottom"/>
          </w:tcPr>
          <w:p w14:paraId="56F5A9B1" w14:textId="176CC4E2" w:rsidR="00224102" w:rsidRPr="00692926" w:rsidRDefault="00224102" w:rsidP="00224102">
            <w:pPr>
              <w:spacing w:line="211" w:lineRule="auto"/>
              <w:jc w:val="right"/>
              <w:rPr>
                <w:sz w:val="11"/>
                <w:szCs w:val="11"/>
              </w:rPr>
            </w:pPr>
            <w:r w:rsidRPr="00692926">
              <w:rPr>
                <w:sz w:val="11"/>
                <w:szCs w:val="11"/>
              </w:rPr>
              <w:t>96,264</w:t>
            </w:r>
          </w:p>
        </w:tc>
      </w:tr>
      <w:tr w:rsidR="00224102" w:rsidRPr="00604C75" w14:paraId="1077ACCF" w14:textId="77777777" w:rsidTr="009340BC">
        <w:trPr>
          <w:trHeight w:hRule="exact" w:val="142"/>
        </w:trPr>
        <w:tc>
          <w:tcPr>
            <w:tcW w:w="494" w:type="dxa"/>
            <w:noWrap/>
            <w:tcMar>
              <w:top w:w="18" w:type="dxa"/>
              <w:left w:w="18" w:type="dxa"/>
              <w:bottom w:w="0" w:type="dxa"/>
              <w:right w:w="18" w:type="dxa"/>
            </w:tcMar>
            <w:vAlign w:val="bottom"/>
          </w:tcPr>
          <w:p w14:paraId="0F6303E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2.2.1</w:t>
            </w:r>
          </w:p>
        </w:tc>
        <w:tc>
          <w:tcPr>
            <w:tcW w:w="3580" w:type="dxa"/>
            <w:noWrap/>
            <w:tcMar>
              <w:top w:w="18" w:type="dxa"/>
              <w:left w:w="18" w:type="dxa"/>
              <w:bottom w:w="0" w:type="dxa"/>
              <w:right w:w="18" w:type="dxa"/>
            </w:tcMar>
            <w:vAlign w:val="bottom"/>
          </w:tcPr>
          <w:p w14:paraId="649A7DD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Revocable Commitments for Loan Limits</w:t>
            </w:r>
          </w:p>
        </w:tc>
        <w:tc>
          <w:tcPr>
            <w:tcW w:w="644" w:type="dxa"/>
            <w:noWrap/>
            <w:tcMar>
              <w:top w:w="18" w:type="dxa"/>
              <w:left w:w="18" w:type="dxa"/>
              <w:bottom w:w="0" w:type="dxa"/>
              <w:right w:w="18" w:type="dxa"/>
            </w:tcMar>
            <w:vAlign w:val="bottom"/>
          </w:tcPr>
          <w:p w14:paraId="15DAFD79" w14:textId="77777777" w:rsidR="00224102" w:rsidRPr="00604C75" w:rsidRDefault="00224102" w:rsidP="00224102">
            <w:pPr>
              <w:spacing w:line="211" w:lineRule="auto"/>
              <w:jc w:val="center"/>
              <w:rPr>
                <w:sz w:val="10"/>
                <w:szCs w:val="10"/>
                <w:lang w:val="tr-TR"/>
              </w:rPr>
            </w:pPr>
          </w:p>
        </w:tc>
        <w:tc>
          <w:tcPr>
            <w:tcW w:w="895" w:type="dxa"/>
            <w:vAlign w:val="bottom"/>
          </w:tcPr>
          <w:p w14:paraId="0D3AC64E" w14:textId="506B9EEC" w:rsidR="00224102" w:rsidRPr="003F3682" w:rsidRDefault="00224102" w:rsidP="00224102">
            <w:pPr>
              <w:jc w:val="right"/>
              <w:rPr>
                <w:sz w:val="11"/>
                <w:szCs w:val="11"/>
              </w:rPr>
            </w:pPr>
            <w:r w:rsidRPr="003F3682">
              <w:rPr>
                <w:sz w:val="11"/>
                <w:szCs w:val="11"/>
              </w:rPr>
              <w:t>-</w:t>
            </w:r>
          </w:p>
        </w:tc>
        <w:tc>
          <w:tcPr>
            <w:tcW w:w="1191" w:type="dxa"/>
            <w:vAlign w:val="bottom"/>
          </w:tcPr>
          <w:p w14:paraId="22D64C6B" w14:textId="1E12A0C9" w:rsidR="00224102" w:rsidRPr="003F3682" w:rsidRDefault="00224102" w:rsidP="00224102">
            <w:pPr>
              <w:jc w:val="right"/>
              <w:rPr>
                <w:sz w:val="11"/>
                <w:szCs w:val="11"/>
              </w:rPr>
            </w:pPr>
            <w:r w:rsidRPr="003F3682">
              <w:rPr>
                <w:sz w:val="11"/>
                <w:szCs w:val="11"/>
              </w:rPr>
              <w:t>-</w:t>
            </w:r>
          </w:p>
        </w:tc>
        <w:tc>
          <w:tcPr>
            <w:tcW w:w="896" w:type="dxa"/>
            <w:vAlign w:val="bottom"/>
          </w:tcPr>
          <w:p w14:paraId="123E738D" w14:textId="111B4981" w:rsidR="00224102" w:rsidRPr="003F3682" w:rsidRDefault="00224102" w:rsidP="00224102">
            <w:pPr>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00E39110" w14:textId="3F9A6729"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3540C610" w14:textId="082638B3"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10FB36F2" w14:textId="3BED8A35" w:rsidR="00224102" w:rsidRPr="00692926" w:rsidRDefault="00224102" w:rsidP="00224102">
            <w:pPr>
              <w:spacing w:line="211" w:lineRule="auto"/>
              <w:jc w:val="right"/>
              <w:rPr>
                <w:sz w:val="11"/>
                <w:szCs w:val="11"/>
              </w:rPr>
            </w:pPr>
            <w:r w:rsidRPr="00692926">
              <w:rPr>
                <w:sz w:val="11"/>
                <w:szCs w:val="11"/>
              </w:rPr>
              <w:t>-</w:t>
            </w:r>
          </w:p>
        </w:tc>
      </w:tr>
      <w:tr w:rsidR="00224102" w:rsidRPr="00604C75" w14:paraId="4483CCCF" w14:textId="77777777" w:rsidTr="009340BC">
        <w:trPr>
          <w:trHeight w:hRule="exact" w:val="142"/>
        </w:trPr>
        <w:tc>
          <w:tcPr>
            <w:tcW w:w="494" w:type="dxa"/>
            <w:noWrap/>
            <w:tcMar>
              <w:top w:w="18" w:type="dxa"/>
              <w:left w:w="18" w:type="dxa"/>
              <w:bottom w:w="0" w:type="dxa"/>
              <w:right w:w="18" w:type="dxa"/>
            </w:tcMar>
            <w:vAlign w:val="bottom"/>
          </w:tcPr>
          <w:p w14:paraId="5A2D3696"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2.2.2</w:t>
            </w:r>
          </w:p>
        </w:tc>
        <w:tc>
          <w:tcPr>
            <w:tcW w:w="3580" w:type="dxa"/>
            <w:noWrap/>
            <w:tcMar>
              <w:top w:w="18" w:type="dxa"/>
              <w:left w:w="18" w:type="dxa"/>
              <w:bottom w:w="0" w:type="dxa"/>
              <w:right w:w="18" w:type="dxa"/>
            </w:tcMar>
            <w:vAlign w:val="bottom"/>
          </w:tcPr>
          <w:p w14:paraId="1393EF3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Revocable Commitments</w:t>
            </w:r>
          </w:p>
        </w:tc>
        <w:tc>
          <w:tcPr>
            <w:tcW w:w="644" w:type="dxa"/>
            <w:noWrap/>
            <w:tcMar>
              <w:top w:w="18" w:type="dxa"/>
              <w:left w:w="18" w:type="dxa"/>
              <w:bottom w:w="0" w:type="dxa"/>
              <w:right w:w="18" w:type="dxa"/>
            </w:tcMar>
            <w:vAlign w:val="bottom"/>
          </w:tcPr>
          <w:p w14:paraId="2D4D2DE2" w14:textId="77777777" w:rsidR="00224102" w:rsidRPr="00604C75" w:rsidRDefault="00224102" w:rsidP="00224102">
            <w:pPr>
              <w:spacing w:line="211" w:lineRule="auto"/>
              <w:jc w:val="center"/>
              <w:rPr>
                <w:rFonts w:eastAsia="Arial Unicode MS"/>
                <w:b/>
                <w:sz w:val="10"/>
                <w:szCs w:val="10"/>
                <w:lang w:val="tr-TR"/>
              </w:rPr>
            </w:pPr>
          </w:p>
        </w:tc>
        <w:tc>
          <w:tcPr>
            <w:tcW w:w="895" w:type="dxa"/>
            <w:vAlign w:val="bottom"/>
          </w:tcPr>
          <w:p w14:paraId="04E5F838" w14:textId="6A73FFC4" w:rsidR="00224102" w:rsidRPr="003F3682" w:rsidRDefault="00224102" w:rsidP="00224102">
            <w:pPr>
              <w:jc w:val="right"/>
              <w:rPr>
                <w:sz w:val="11"/>
                <w:szCs w:val="11"/>
              </w:rPr>
            </w:pPr>
            <w:r w:rsidRPr="003F3682">
              <w:rPr>
                <w:sz w:val="11"/>
                <w:szCs w:val="11"/>
              </w:rPr>
              <w:t>19,327</w:t>
            </w:r>
          </w:p>
        </w:tc>
        <w:tc>
          <w:tcPr>
            <w:tcW w:w="1191" w:type="dxa"/>
            <w:vAlign w:val="bottom"/>
          </w:tcPr>
          <w:p w14:paraId="057029E7" w14:textId="3CD462BF" w:rsidR="00224102" w:rsidRPr="003F3682" w:rsidRDefault="00224102" w:rsidP="00224102">
            <w:pPr>
              <w:jc w:val="right"/>
              <w:rPr>
                <w:sz w:val="11"/>
                <w:szCs w:val="11"/>
              </w:rPr>
            </w:pPr>
            <w:r w:rsidRPr="003F3682">
              <w:rPr>
                <w:sz w:val="11"/>
                <w:szCs w:val="11"/>
              </w:rPr>
              <w:t>67,377</w:t>
            </w:r>
          </w:p>
        </w:tc>
        <w:tc>
          <w:tcPr>
            <w:tcW w:w="896" w:type="dxa"/>
            <w:vAlign w:val="bottom"/>
          </w:tcPr>
          <w:p w14:paraId="3B04472E" w14:textId="4E93659A" w:rsidR="00224102" w:rsidRPr="003F3682" w:rsidRDefault="00224102" w:rsidP="00224102">
            <w:pPr>
              <w:jc w:val="right"/>
              <w:rPr>
                <w:sz w:val="11"/>
                <w:szCs w:val="11"/>
              </w:rPr>
            </w:pPr>
            <w:r w:rsidRPr="003F3682">
              <w:rPr>
                <w:sz w:val="11"/>
                <w:szCs w:val="11"/>
              </w:rPr>
              <w:t>86,704</w:t>
            </w:r>
          </w:p>
        </w:tc>
        <w:tc>
          <w:tcPr>
            <w:tcW w:w="881" w:type="dxa"/>
            <w:noWrap/>
            <w:tcMar>
              <w:top w:w="18" w:type="dxa"/>
              <w:left w:w="18" w:type="dxa"/>
              <w:bottom w:w="0" w:type="dxa"/>
              <w:right w:w="18" w:type="dxa"/>
            </w:tcMar>
            <w:vAlign w:val="bottom"/>
          </w:tcPr>
          <w:p w14:paraId="2E2B7565" w14:textId="2DDBF239" w:rsidR="00224102" w:rsidRPr="00692926" w:rsidRDefault="00224102" w:rsidP="00224102">
            <w:pPr>
              <w:spacing w:line="211" w:lineRule="auto"/>
              <w:jc w:val="right"/>
              <w:rPr>
                <w:sz w:val="11"/>
                <w:szCs w:val="11"/>
              </w:rPr>
            </w:pPr>
            <w:r w:rsidRPr="00692926">
              <w:rPr>
                <w:sz w:val="11"/>
                <w:szCs w:val="11"/>
              </w:rPr>
              <w:t>44,468</w:t>
            </w:r>
          </w:p>
        </w:tc>
        <w:tc>
          <w:tcPr>
            <w:tcW w:w="895" w:type="dxa"/>
            <w:noWrap/>
            <w:tcMar>
              <w:top w:w="18" w:type="dxa"/>
              <w:left w:w="18" w:type="dxa"/>
              <w:bottom w:w="0" w:type="dxa"/>
              <w:right w:w="18" w:type="dxa"/>
            </w:tcMar>
            <w:vAlign w:val="bottom"/>
          </w:tcPr>
          <w:p w14:paraId="54437AAF" w14:textId="0E59B6B6" w:rsidR="00224102" w:rsidRPr="00692926" w:rsidRDefault="00224102" w:rsidP="00224102">
            <w:pPr>
              <w:spacing w:line="211" w:lineRule="auto"/>
              <w:jc w:val="right"/>
              <w:rPr>
                <w:sz w:val="11"/>
                <w:szCs w:val="11"/>
              </w:rPr>
            </w:pPr>
            <w:r w:rsidRPr="00692926">
              <w:rPr>
                <w:sz w:val="11"/>
                <w:szCs w:val="11"/>
              </w:rPr>
              <w:t>51,796</w:t>
            </w:r>
          </w:p>
        </w:tc>
        <w:tc>
          <w:tcPr>
            <w:tcW w:w="896" w:type="dxa"/>
            <w:noWrap/>
            <w:tcMar>
              <w:top w:w="18" w:type="dxa"/>
              <w:left w:w="18" w:type="dxa"/>
              <w:bottom w:w="0" w:type="dxa"/>
              <w:right w:w="18" w:type="dxa"/>
            </w:tcMar>
            <w:vAlign w:val="bottom"/>
          </w:tcPr>
          <w:p w14:paraId="3BC660FE" w14:textId="2FF744B4" w:rsidR="00224102" w:rsidRPr="00692926" w:rsidRDefault="00224102" w:rsidP="00224102">
            <w:pPr>
              <w:spacing w:line="211" w:lineRule="auto"/>
              <w:jc w:val="right"/>
              <w:rPr>
                <w:sz w:val="11"/>
                <w:szCs w:val="11"/>
              </w:rPr>
            </w:pPr>
            <w:r w:rsidRPr="00692926">
              <w:rPr>
                <w:sz w:val="11"/>
                <w:szCs w:val="11"/>
              </w:rPr>
              <w:t>96,264</w:t>
            </w:r>
          </w:p>
        </w:tc>
      </w:tr>
      <w:tr w:rsidR="00224102" w:rsidRPr="00604C75" w14:paraId="52478C3B" w14:textId="77777777" w:rsidTr="009340BC">
        <w:trPr>
          <w:trHeight w:hRule="exact" w:val="142"/>
        </w:trPr>
        <w:tc>
          <w:tcPr>
            <w:tcW w:w="494" w:type="dxa"/>
            <w:noWrap/>
            <w:tcMar>
              <w:top w:w="18" w:type="dxa"/>
              <w:left w:w="18" w:type="dxa"/>
              <w:bottom w:w="0" w:type="dxa"/>
              <w:right w:w="18" w:type="dxa"/>
            </w:tcMar>
            <w:vAlign w:val="bottom"/>
          </w:tcPr>
          <w:p w14:paraId="0F55078E"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III.</w:t>
            </w:r>
          </w:p>
        </w:tc>
        <w:tc>
          <w:tcPr>
            <w:tcW w:w="3580" w:type="dxa"/>
            <w:noWrap/>
            <w:tcMar>
              <w:top w:w="18" w:type="dxa"/>
              <w:left w:w="18" w:type="dxa"/>
              <w:bottom w:w="0" w:type="dxa"/>
              <w:right w:w="18" w:type="dxa"/>
            </w:tcMar>
            <w:vAlign w:val="bottom"/>
          </w:tcPr>
          <w:p w14:paraId="4C0F8AB5"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DERIVATIVE FINANCIAL INSTRUMENTS</w:t>
            </w:r>
          </w:p>
        </w:tc>
        <w:tc>
          <w:tcPr>
            <w:tcW w:w="644" w:type="dxa"/>
            <w:noWrap/>
            <w:tcMar>
              <w:top w:w="18" w:type="dxa"/>
              <w:left w:w="18" w:type="dxa"/>
              <w:bottom w:w="0" w:type="dxa"/>
              <w:right w:w="18" w:type="dxa"/>
            </w:tcMar>
            <w:vAlign w:val="bottom"/>
          </w:tcPr>
          <w:p w14:paraId="0B491D78" w14:textId="67B6C510" w:rsidR="00224102" w:rsidRPr="00604C75" w:rsidRDefault="00224102" w:rsidP="00224102">
            <w:pPr>
              <w:spacing w:line="211" w:lineRule="auto"/>
              <w:jc w:val="center"/>
              <w:rPr>
                <w:rFonts w:eastAsia="Arial Unicode MS"/>
                <w:sz w:val="10"/>
                <w:szCs w:val="10"/>
                <w:lang w:val="tr-TR"/>
              </w:rPr>
            </w:pPr>
            <w:r w:rsidRPr="00692926">
              <w:rPr>
                <w:rFonts w:eastAsia="Arial Unicode MS"/>
                <w:b/>
                <w:bCs/>
                <w:sz w:val="10"/>
                <w:szCs w:val="10"/>
              </w:rPr>
              <w:t>III-b</w:t>
            </w:r>
          </w:p>
        </w:tc>
        <w:tc>
          <w:tcPr>
            <w:tcW w:w="895" w:type="dxa"/>
            <w:vAlign w:val="bottom"/>
          </w:tcPr>
          <w:p w14:paraId="0EFC44A9" w14:textId="53F2B735" w:rsidR="00224102" w:rsidRPr="003F3682" w:rsidRDefault="00224102" w:rsidP="00224102">
            <w:pPr>
              <w:jc w:val="right"/>
              <w:rPr>
                <w:b/>
                <w:sz w:val="11"/>
                <w:szCs w:val="11"/>
              </w:rPr>
            </w:pPr>
            <w:r w:rsidRPr="005C7ECF">
              <w:rPr>
                <w:b/>
                <w:sz w:val="11"/>
                <w:szCs w:val="11"/>
              </w:rPr>
              <w:t>3,337,517</w:t>
            </w:r>
          </w:p>
        </w:tc>
        <w:tc>
          <w:tcPr>
            <w:tcW w:w="1191" w:type="dxa"/>
            <w:vAlign w:val="bottom"/>
          </w:tcPr>
          <w:p w14:paraId="7EE2C67B" w14:textId="2EAE72E3" w:rsidR="00224102" w:rsidRPr="003F3682" w:rsidRDefault="00224102" w:rsidP="00224102">
            <w:pPr>
              <w:jc w:val="right"/>
              <w:rPr>
                <w:b/>
                <w:sz w:val="11"/>
                <w:szCs w:val="11"/>
              </w:rPr>
            </w:pPr>
            <w:r w:rsidRPr="005C7ECF">
              <w:rPr>
                <w:b/>
                <w:sz w:val="11"/>
                <w:szCs w:val="11"/>
              </w:rPr>
              <w:t>7,566,163</w:t>
            </w:r>
          </w:p>
        </w:tc>
        <w:tc>
          <w:tcPr>
            <w:tcW w:w="896" w:type="dxa"/>
            <w:vAlign w:val="bottom"/>
          </w:tcPr>
          <w:p w14:paraId="5CE55AA3" w14:textId="6E4334DE" w:rsidR="00224102" w:rsidRPr="003F3682" w:rsidRDefault="00224102" w:rsidP="00224102">
            <w:pPr>
              <w:jc w:val="right"/>
              <w:rPr>
                <w:b/>
                <w:sz w:val="11"/>
                <w:szCs w:val="11"/>
              </w:rPr>
            </w:pPr>
            <w:r w:rsidRPr="005C7ECF">
              <w:rPr>
                <w:b/>
                <w:sz w:val="11"/>
                <w:szCs w:val="11"/>
              </w:rPr>
              <w:t>10,903,680</w:t>
            </w:r>
          </w:p>
        </w:tc>
        <w:tc>
          <w:tcPr>
            <w:tcW w:w="881" w:type="dxa"/>
            <w:noWrap/>
            <w:tcMar>
              <w:top w:w="18" w:type="dxa"/>
              <w:left w:w="18" w:type="dxa"/>
              <w:bottom w:w="0" w:type="dxa"/>
              <w:right w:w="18" w:type="dxa"/>
            </w:tcMar>
            <w:vAlign w:val="bottom"/>
          </w:tcPr>
          <w:p w14:paraId="65D30617" w14:textId="555303E8" w:rsidR="00224102" w:rsidRPr="00692926" w:rsidRDefault="00224102" w:rsidP="00224102">
            <w:pPr>
              <w:spacing w:line="211" w:lineRule="auto"/>
              <w:jc w:val="right"/>
              <w:rPr>
                <w:b/>
                <w:sz w:val="11"/>
                <w:szCs w:val="11"/>
              </w:rPr>
            </w:pPr>
            <w:r w:rsidRPr="00692926">
              <w:rPr>
                <w:b/>
                <w:sz w:val="11"/>
                <w:szCs w:val="11"/>
              </w:rPr>
              <w:t>1,621,276</w:t>
            </w:r>
          </w:p>
        </w:tc>
        <w:tc>
          <w:tcPr>
            <w:tcW w:w="895" w:type="dxa"/>
            <w:noWrap/>
            <w:tcMar>
              <w:top w:w="18" w:type="dxa"/>
              <w:left w:w="18" w:type="dxa"/>
              <w:bottom w:w="0" w:type="dxa"/>
              <w:right w:w="18" w:type="dxa"/>
            </w:tcMar>
            <w:vAlign w:val="bottom"/>
          </w:tcPr>
          <w:p w14:paraId="6B9D8941" w14:textId="12FF4360" w:rsidR="00224102" w:rsidRPr="00692926" w:rsidRDefault="00224102" w:rsidP="00224102">
            <w:pPr>
              <w:spacing w:line="211" w:lineRule="auto"/>
              <w:jc w:val="right"/>
              <w:rPr>
                <w:b/>
                <w:sz w:val="11"/>
                <w:szCs w:val="11"/>
              </w:rPr>
            </w:pPr>
            <w:r w:rsidRPr="00692926">
              <w:rPr>
                <w:b/>
                <w:sz w:val="11"/>
                <w:szCs w:val="11"/>
              </w:rPr>
              <w:t>2,658,679</w:t>
            </w:r>
          </w:p>
        </w:tc>
        <w:tc>
          <w:tcPr>
            <w:tcW w:w="896" w:type="dxa"/>
            <w:noWrap/>
            <w:tcMar>
              <w:top w:w="18" w:type="dxa"/>
              <w:left w:w="18" w:type="dxa"/>
              <w:bottom w:w="0" w:type="dxa"/>
              <w:right w:w="18" w:type="dxa"/>
            </w:tcMar>
            <w:vAlign w:val="bottom"/>
          </w:tcPr>
          <w:p w14:paraId="15A767D8" w14:textId="5493AD51" w:rsidR="00224102" w:rsidRPr="00692926" w:rsidRDefault="00224102" w:rsidP="00224102">
            <w:pPr>
              <w:spacing w:line="211" w:lineRule="auto"/>
              <w:jc w:val="right"/>
              <w:rPr>
                <w:b/>
                <w:sz w:val="11"/>
                <w:szCs w:val="11"/>
              </w:rPr>
            </w:pPr>
            <w:r w:rsidRPr="00692926">
              <w:rPr>
                <w:b/>
                <w:sz w:val="11"/>
                <w:szCs w:val="11"/>
              </w:rPr>
              <w:t>4,279,955</w:t>
            </w:r>
          </w:p>
        </w:tc>
      </w:tr>
      <w:tr w:rsidR="00224102" w:rsidRPr="00604C75" w14:paraId="622A2D58" w14:textId="77777777" w:rsidTr="009340BC">
        <w:trPr>
          <w:trHeight w:hRule="exact" w:val="142"/>
        </w:trPr>
        <w:tc>
          <w:tcPr>
            <w:tcW w:w="494" w:type="dxa"/>
            <w:noWrap/>
            <w:tcMar>
              <w:top w:w="18" w:type="dxa"/>
              <w:left w:w="18" w:type="dxa"/>
              <w:bottom w:w="0" w:type="dxa"/>
              <w:right w:w="18" w:type="dxa"/>
            </w:tcMar>
            <w:vAlign w:val="bottom"/>
          </w:tcPr>
          <w:p w14:paraId="1DDB8735"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3.1</w:t>
            </w:r>
          </w:p>
        </w:tc>
        <w:tc>
          <w:tcPr>
            <w:tcW w:w="3580" w:type="dxa"/>
            <w:noWrap/>
            <w:tcMar>
              <w:top w:w="18" w:type="dxa"/>
              <w:left w:w="18" w:type="dxa"/>
              <w:bottom w:w="0" w:type="dxa"/>
              <w:right w:w="18" w:type="dxa"/>
            </w:tcMar>
            <w:vAlign w:val="bottom"/>
          </w:tcPr>
          <w:p w14:paraId="09DEB295"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Hedging Derivative Financial Instruments</w:t>
            </w:r>
          </w:p>
        </w:tc>
        <w:tc>
          <w:tcPr>
            <w:tcW w:w="644" w:type="dxa"/>
            <w:noWrap/>
            <w:tcMar>
              <w:top w:w="18" w:type="dxa"/>
              <w:left w:w="18" w:type="dxa"/>
              <w:bottom w:w="0" w:type="dxa"/>
              <w:right w:w="18" w:type="dxa"/>
            </w:tcMar>
            <w:vAlign w:val="bottom"/>
          </w:tcPr>
          <w:p w14:paraId="3F75A5B1"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1F624D8C" w14:textId="29FD4508" w:rsidR="00224102" w:rsidRPr="003F3682" w:rsidRDefault="00224102" w:rsidP="00224102">
            <w:pPr>
              <w:spacing w:line="211" w:lineRule="auto"/>
              <w:jc w:val="right"/>
              <w:rPr>
                <w:sz w:val="11"/>
                <w:szCs w:val="11"/>
              </w:rPr>
            </w:pPr>
            <w:r w:rsidRPr="003F3682">
              <w:rPr>
                <w:sz w:val="11"/>
                <w:szCs w:val="11"/>
              </w:rPr>
              <w:t>220,000</w:t>
            </w:r>
          </w:p>
        </w:tc>
        <w:tc>
          <w:tcPr>
            <w:tcW w:w="1191" w:type="dxa"/>
            <w:vAlign w:val="bottom"/>
          </w:tcPr>
          <w:p w14:paraId="1945A9F6" w14:textId="730343A0"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2095FB64" w14:textId="274ED967" w:rsidR="00224102" w:rsidRPr="003F3682" w:rsidRDefault="00224102" w:rsidP="00224102">
            <w:pPr>
              <w:spacing w:line="211" w:lineRule="auto"/>
              <w:jc w:val="right"/>
              <w:rPr>
                <w:sz w:val="11"/>
                <w:szCs w:val="11"/>
              </w:rPr>
            </w:pPr>
            <w:r w:rsidRPr="003F3682">
              <w:rPr>
                <w:sz w:val="11"/>
                <w:szCs w:val="11"/>
              </w:rPr>
              <w:t>220,000</w:t>
            </w:r>
          </w:p>
        </w:tc>
        <w:tc>
          <w:tcPr>
            <w:tcW w:w="881" w:type="dxa"/>
            <w:noWrap/>
            <w:tcMar>
              <w:top w:w="18" w:type="dxa"/>
              <w:left w:w="18" w:type="dxa"/>
              <w:bottom w:w="0" w:type="dxa"/>
              <w:right w:w="18" w:type="dxa"/>
            </w:tcMar>
            <w:vAlign w:val="bottom"/>
          </w:tcPr>
          <w:p w14:paraId="34D9E792" w14:textId="1F0ED5A5" w:rsidR="00224102" w:rsidRPr="00692926" w:rsidRDefault="00224102" w:rsidP="00224102">
            <w:pPr>
              <w:spacing w:line="211" w:lineRule="auto"/>
              <w:jc w:val="right"/>
              <w:rPr>
                <w:sz w:val="11"/>
                <w:szCs w:val="11"/>
              </w:rPr>
            </w:pPr>
            <w:r w:rsidRPr="00692926">
              <w:rPr>
                <w:sz w:val="11"/>
                <w:szCs w:val="11"/>
              </w:rPr>
              <w:t>220,000</w:t>
            </w:r>
          </w:p>
        </w:tc>
        <w:tc>
          <w:tcPr>
            <w:tcW w:w="895" w:type="dxa"/>
            <w:noWrap/>
            <w:tcMar>
              <w:top w:w="18" w:type="dxa"/>
              <w:left w:w="18" w:type="dxa"/>
              <w:bottom w:w="0" w:type="dxa"/>
              <w:right w:w="18" w:type="dxa"/>
            </w:tcMar>
            <w:vAlign w:val="bottom"/>
          </w:tcPr>
          <w:p w14:paraId="2695A761" w14:textId="4A1F6A22"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5642F7D3" w14:textId="14ECE7EA" w:rsidR="00224102" w:rsidRPr="00692926" w:rsidRDefault="00224102" w:rsidP="00224102">
            <w:pPr>
              <w:spacing w:line="211" w:lineRule="auto"/>
              <w:jc w:val="right"/>
              <w:rPr>
                <w:sz w:val="11"/>
                <w:szCs w:val="11"/>
              </w:rPr>
            </w:pPr>
            <w:r w:rsidRPr="00692926">
              <w:rPr>
                <w:sz w:val="11"/>
                <w:szCs w:val="11"/>
              </w:rPr>
              <w:t>220,000</w:t>
            </w:r>
          </w:p>
        </w:tc>
      </w:tr>
      <w:tr w:rsidR="00224102" w:rsidRPr="00604C75" w14:paraId="45308103" w14:textId="77777777" w:rsidTr="009340BC">
        <w:trPr>
          <w:trHeight w:hRule="exact" w:val="142"/>
        </w:trPr>
        <w:tc>
          <w:tcPr>
            <w:tcW w:w="494" w:type="dxa"/>
            <w:noWrap/>
            <w:tcMar>
              <w:top w:w="18" w:type="dxa"/>
              <w:left w:w="18" w:type="dxa"/>
              <w:bottom w:w="0" w:type="dxa"/>
              <w:right w:w="18" w:type="dxa"/>
            </w:tcMar>
            <w:vAlign w:val="bottom"/>
          </w:tcPr>
          <w:p w14:paraId="071A850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3.1.1</w:t>
            </w:r>
          </w:p>
        </w:tc>
        <w:tc>
          <w:tcPr>
            <w:tcW w:w="3580" w:type="dxa"/>
            <w:noWrap/>
            <w:tcMar>
              <w:top w:w="18" w:type="dxa"/>
              <w:left w:w="18" w:type="dxa"/>
              <w:bottom w:w="0" w:type="dxa"/>
              <w:right w:w="18" w:type="dxa"/>
            </w:tcMar>
            <w:vAlign w:val="bottom"/>
          </w:tcPr>
          <w:p w14:paraId="1F6F15C5"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Transactions for Fair Value Hedge</w:t>
            </w:r>
          </w:p>
        </w:tc>
        <w:tc>
          <w:tcPr>
            <w:tcW w:w="644" w:type="dxa"/>
            <w:noWrap/>
            <w:tcMar>
              <w:top w:w="18" w:type="dxa"/>
              <w:left w:w="18" w:type="dxa"/>
              <w:bottom w:w="0" w:type="dxa"/>
              <w:right w:w="18" w:type="dxa"/>
            </w:tcMar>
            <w:vAlign w:val="bottom"/>
          </w:tcPr>
          <w:p w14:paraId="03A2FC70"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1EBB0E4F" w14:textId="423D4147" w:rsidR="00224102" w:rsidRPr="003F3682" w:rsidRDefault="00224102" w:rsidP="00224102">
            <w:pPr>
              <w:spacing w:line="211" w:lineRule="auto"/>
              <w:jc w:val="right"/>
              <w:rPr>
                <w:sz w:val="11"/>
                <w:szCs w:val="11"/>
              </w:rPr>
            </w:pPr>
            <w:r w:rsidRPr="003F3682">
              <w:rPr>
                <w:sz w:val="11"/>
                <w:szCs w:val="11"/>
              </w:rPr>
              <w:t>220,000</w:t>
            </w:r>
          </w:p>
        </w:tc>
        <w:tc>
          <w:tcPr>
            <w:tcW w:w="1191" w:type="dxa"/>
            <w:vAlign w:val="bottom"/>
          </w:tcPr>
          <w:p w14:paraId="0920BA54" w14:textId="2781BF59"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4798E2E2" w14:textId="2279E01F" w:rsidR="00224102" w:rsidRPr="003F3682" w:rsidRDefault="00224102" w:rsidP="00224102">
            <w:pPr>
              <w:spacing w:line="211" w:lineRule="auto"/>
              <w:jc w:val="right"/>
              <w:rPr>
                <w:sz w:val="11"/>
                <w:szCs w:val="11"/>
              </w:rPr>
            </w:pPr>
            <w:r w:rsidRPr="003F3682">
              <w:rPr>
                <w:sz w:val="11"/>
                <w:szCs w:val="11"/>
              </w:rPr>
              <w:t>220,000</w:t>
            </w:r>
          </w:p>
        </w:tc>
        <w:tc>
          <w:tcPr>
            <w:tcW w:w="881" w:type="dxa"/>
            <w:noWrap/>
            <w:tcMar>
              <w:top w:w="18" w:type="dxa"/>
              <w:left w:w="18" w:type="dxa"/>
              <w:bottom w:w="0" w:type="dxa"/>
              <w:right w:w="18" w:type="dxa"/>
            </w:tcMar>
            <w:vAlign w:val="bottom"/>
          </w:tcPr>
          <w:p w14:paraId="4F44E50C" w14:textId="31F5810C" w:rsidR="00224102" w:rsidRPr="00692926" w:rsidRDefault="00224102" w:rsidP="00224102">
            <w:pPr>
              <w:spacing w:line="211" w:lineRule="auto"/>
              <w:jc w:val="right"/>
              <w:rPr>
                <w:sz w:val="11"/>
                <w:szCs w:val="11"/>
              </w:rPr>
            </w:pPr>
            <w:r w:rsidRPr="00692926">
              <w:rPr>
                <w:sz w:val="11"/>
                <w:szCs w:val="11"/>
              </w:rPr>
              <w:t>220,000</w:t>
            </w:r>
          </w:p>
        </w:tc>
        <w:tc>
          <w:tcPr>
            <w:tcW w:w="895" w:type="dxa"/>
            <w:noWrap/>
            <w:tcMar>
              <w:top w:w="18" w:type="dxa"/>
              <w:left w:w="18" w:type="dxa"/>
              <w:bottom w:w="0" w:type="dxa"/>
              <w:right w:w="18" w:type="dxa"/>
            </w:tcMar>
            <w:vAlign w:val="bottom"/>
          </w:tcPr>
          <w:p w14:paraId="2113DB3F" w14:textId="51249A13"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11CECA38" w14:textId="673BED3C" w:rsidR="00224102" w:rsidRPr="00692926" w:rsidRDefault="00224102" w:rsidP="00224102">
            <w:pPr>
              <w:spacing w:line="211" w:lineRule="auto"/>
              <w:jc w:val="right"/>
              <w:rPr>
                <w:sz w:val="11"/>
                <w:szCs w:val="11"/>
              </w:rPr>
            </w:pPr>
            <w:r w:rsidRPr="00692926">
              <w:rPr>
                <w:sz w:val="11"/>
                <w:szCs w:val="11"/>
              </w:rPr>
              <w:t>220,000</w:t>
            </w:r>
          </w:p>
        </w:tc>
      </w:tr>
      <w:tr w:rsidR="00224102" w:rsidRPr="00604C75" w14:paraId="38C97CDA" w14:textId="77777777" w:rsidTr="009340BC">
        <w:trPr>
          <w:trHeight w:hRule="exact" w:val="142"/>
        </w:trPr>
        <w:tc>
          <w:tcPr>
            <w:tcW w:w="494" w:type="dxa"/>
            <w:noWrap/>
            <w:tcMar>
              <w:top w:w="18" w:type="dxa"/>
              <w:left w:w="18" w:type="dxa"/>
              <w:bottom w:w="0" w:type="dxa"/>
              <w:right w:w="18" w:type="dxa"/>
            </w:tcMar>
            <w:vAlign w:val="bottom"/>
          </w:tcPr>
          <w:p w14:paraId="70D2328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3.1.2</w:t>
            </w:r>
          </w:p>
        </w:tc>
        <w:tc>
          <w:tcPr>
            <w:tcW w:w="3580" w:type="dxa"/>
            <w:noWrap/>
            <w:tcMar>
              <w:top w:w="18" w:type="dxa"/>
              <w:left w:w="18" w:type="dxa"/>
              <w:bottom w:w="0" w:type="dxa"/>
              <w:right w:w="18" w:type="dxa"/>
            </w:tcMar>
            <w:vAlign w:val="bottom"/>
          </w:tcPr>
          <w:p w14:paraId="4AE9F243"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Transactions for Cash Flow Hedge</w:t>
            </w:r>
          </w:p>
        </w:tc>
        <w:tc>
          <w:tcPr>
            <w:tcW w:w="644" w:type="dxa"/>
            <w:noWrap/>
            <w:tcMar>
              <w:top w:w="18" w:type="dxa"/>
              <w:left w:w="18" w:type="dxa"/>
              <w:bottom w:w="0" w:type="dxa"/>
              <w:right w:w="18" w:type="dxa"/>
            </w:tcMar>
            <w:vAlign w:val="bottom"/>
          </w:tcPr>
          <w:p w14:paraId="0BFFC03F"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6D7EE46F" w14:textId="51D02EAF"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380E7554" w14:textId="06EC54BE"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1DB7ECDD" w14:textId="28B0CCE2"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3406897E" w14:textId="16CE2117"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79D56AE1" w14:textId="0ACE5647"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0B723E37" w14:textId="66F532FA" w:rsidR="00224102" w:rsidRPr="00692926" w:rsidRDefault="00224102" w:rsidP="00224102">
            <w:pPr>
              <w:spacing w:line="211" w:lineRule="auto"/>
              <w:jc w:val="right"/>
              <w:rPr>
                <w:sz w:val="11"/>
                <w:szCs w:val="11"/>
              </w:rPr>
            </w:pPr>
            <w:r w:rsidRPr="00692926">
              <w:rPr>
                <w:sz w:val="11"/>
                <w:szCs w:val="11"/>
              </w:rPr>
              <w:t>-</w:t>
            </w:r>
          </w:p>
        </w:tc>
      </w:tr>
      <w:tr w:rsidR="00224102" w:rsidRPr="00604C75" w14:paraId="7A926144" w14:textId="77777777" w:rsidTr="009340BC">
        <w:trPr>
          <w:trHeight w:hRule="exact" w:val="142"/>
        </w:trPr>
        <w:tc>
          <w:tcPr>
            <w:tcW w:w="494" w:type="dxa"/>
            <w:noWrap/>
            <w:tcMar>
              <w:top w:w="18" w:type="dxa"/>
              <w:left w:w="18" w:type="dxa"/>
              <w:bottom w:w="0" w:type="dxa"/>
              <w:right w:w="18" w:type="dxa"/>
            </w:tcMar>
            <w:vAlign w:val="bottom"/>
          </w:tcPr>
          <w:p w14:paraId="24C78BD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3.1.3</w:t>
            </w:r>
          </w:p>
        </w:tc>
        <w:tc>
          <w:tcPr>
            <w:tcW w:w="3580" w:type="dxa"/>
            <w:noWrap/>
            <w:tcMar>
              <w:top w:w="18" w:type="dxa"/>
              <w:left w:w="18" w:type="dxa"/>
              <w:bottom w:w="0" w:type="dxa"/>
              <w:right w:w="18" w:type="dxa"/>
            </w:tcMar>
            <w:vAlign w:val="bottom"/>
          </w:tcPr>
          <w:p w14:paraId="164D80D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Transactions for Foreign Net Investment Hedge</w:t>
            </w:r>
          </w:p>
        </w:tc>
        <w:tc>
          <w:tcPr>
            <w:tcW w:w="644" w:type="dxa"/>
            <w:noWrap/>
            <w:tcMar>
              <w:top w:w="18" w:type="dxa"/>
              <w:left w:w="18" w:type="dxa"/>
              <w:bottom w:w="0" w:type="dxa"/>
              <w:right w:w="18" w:type="dxa"/>
            </w:tcMar>
            <w:vAlign w:val="bottom"/>
          </w:tcPr>
          <w:p w14:paraId="3655877C"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0A3B7ACA" w14:textId="1F3431A3"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26E24996" w14:textId="1448D16C"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522DCDCB" w14:textId="5B639988"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423CB778" w14:textId="566BC30A"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2E573E74" w14:textId="77AE1D29"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6403A308" w14:textId="6C6D602D" w:rsidR="00224102" w:rsidRPr="00692926" w:rsidRDefault="00224102" w:rsidP="00224102">
            <w:pPr>
              <w:spacing w:line="211" w:lineRule="auto"/>
              <w:jc w:val="right"/>
              <w:rPr>
                <w:sz w:val="11"/>
                <w:szCs w:val="11"/>
              </w:rPr>
            </w:pPr>
            <w:r w:rsidRPr="00692926">
              <w:rPr>
                <w:sz w:val="11"/>
                <w:szCs w:val="11"/>
              </w:rPr>
              <w:t>-</w:t>
            </w:r>
          </w:p>
        </w:tc>
      </w:tr>
      <w:tr w:rsidR="00224102" w:rsidRPr="00604C75" w14:paraId="105E5D99" w14:textId="77777777" w:rsidTr="009340BC">
        <w:trPr>
          <w:trHeight w:hRule="exact" w:val="142"/>
        </w:trPr>
        <w:tc>
          <w:tcPr>
            <w:tcW w:w="494" w:type="dxa"/>
            <w:noWrap/>
            <w:tcMar>
              <w:top w:w="18" w:type="dxa"/>
              <w:left w:w="18" w:type="dxa"/>
              <w:bottom w:w="0" w:type="dxa"/>
              <w:right w:w="18" w:type="dxa"/>
            </w:tcMar>
            <w:vAlign w:val="bottom"/>
          </w:tcPr>
          <w:p w14:paraId="5CAA551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w:t>
            </w:r>
          </w:p>
        </w:tc>
        <w:tc>
          <w:tcPr>
            <w:tcW w:w="3580" w:type="dxa"/>
            <w:noWrap/>
            <w:tcMar>
              <w:top w:w="18" w:type="dxa"/>
              <w:left w:w="18" w:type="dxa"/>
              <w:bottom w:w="0" w:type="dxa"/>
              <w:right w:w="18" w:type="dxa"/>
            </w:tcMar>
            <w:vAlign w:val="bottom"/>
          </w:tcPr>
          <w:p w14:paraId="0D8FB9C3" w14:textId="6DD19B7C"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Trading Derivative Financial Instruments</w:t>
            </w:r>
          </w:p>
        </w:tc>
        <w:tc>
          <w:tcPr>
            <w:tcW w:w="644" w:type="dxa"/>
            <w:noWrap/>
            <w:tcMar>
              <w:top w:w="18" w:type="dxa"/>
              <w:left w:w="18" w:type="dxa"/>
              <w:bottom w:w="0" w:type="dxa"/>
              <w:right w:w="18" w:type="dxa"/>
            </w:tcMar>
            <w:vAlign w:val="bottom"/>
          </w:tcPr>
          <w:p w14:paraId="5DD63638"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7DEAEE03" w14:textId="5CD00C2E" w:rsidR="00224102" w:rsidRPr="003F3682" w:rsidRDefault="00224102" w:rsidP="00224102">
            <w:pPr>
              <w:spacing w:line="211" w:lineRule="auto"/>
              <w:jc w:val="right"/>
              <w:rPr>
                <w:sz w:val="11"/>
                <w:szCs w:val="11"/>
              </w:rPr>
            </w:pPr>
            <w:r w:rsidRPr="003F3682">
              <w:rPr>
                <w:sz w:val="11"/>
                <w:szCs w:val="11"/>
              </w:rPr>
              <w:t>3,117,517</w:t>
            </w:r>
          </w:p>
        </w:tc>
        <w:tc>
          <w:tcPr>
            <w:tcW w:w="1191" w:type="dxa"/>
            <w:vAlign w:val="bottom"/>
          </w:tcPr>
          <w:p w14:paraId="38B9E9F8" w14:textId="4FCAD5F3" w:rsidR="00224102" w:rsidRPr="003F3682" w:rsidRDefault="00224102" w:rsidP="00224102">
            <w:pPr>
              <w:spacing w:line="211" w:lineRule="auto"/>
              <w:jc w:val="right"/>
              <w:rPr>
                <w:sz w:val="11"/>
                <w:szCs w:val="11"/>
              </w:rPr>
            </w:pPr>
            <w:r w:rsidRPr="003F3682">
              <w:rPr>
                <w:sz w:val="11"/>
                <w:szCs w:val="11"/>
              </w:rPr>
              <w:t>7,566,163</w:t>
            </w:r>
          </w:p>
        </w:tc>
        <w:tc>
          <w:tcPr>
            <w:tcW w:w="896" w:type="dxa"/>
            <w:vAlign w:val="bottom"/>
          </w:tcPr>
          <w:p w14:paraId="4F5192C1" w14:textId="1C88A1F6" w:rsidR="00224102" w:rsidRPr="003F3682" w:rsidRDefault="00224102" w:rsidP="00224102">
            <w:pPr>
              <w:spacing w:line="211" w:lineRule="auto"/>
              <w:jc w:val="right"/>
              <w:rPr>
                <w:sz w:val="11"/>
                <w:szCs w:val="11"/>
              </w:rPr>
            </w:pPr>
            <w:r w:rsidRPr="003F3682">
              <w:rPr>
                <w:sz w:val="11"/>
                <w:szCs w:val="11"/>
              </w:rPr>
              <w:t>10,683,680</w:t>
            </w:r>
          </w:p>
        </w:tc>
        <w:tc>
          <w:tcPr>
            <w:tcW w:w="881" w:type="dxa"/>
            <w:noWrap/>
            <w:tcMar>
              <w:top w:w="18" w:type="dxa"/>
              <w:left w:w="18" w:type="dxa"/>
              <w:bottom w:w="0" w:type="dxa"/>
              <w:right w:w="18" w:type="dxa"/>
            </w:tcMar>
            <w:vAlign w:val="bottom"/>
          </w:tcPr>
          <w:p w14:paraId="0777D0C8" w14:textId="3E7AF494" w:rsidR="00224102" w:rsidRPr="00692926" w:rsidRDefault="00224102" w:rsidP="00224102">
            <w:pPr>
              <w:spacing w:line="211" w:lineRule="auto"/>
              <w:jc w:val="right"/>
              <w:rPr>
                <w:sz w:val="11"/>
                <w:szCs w:val="11"/>
              </w:rPr>
            </w:pPr>
            <w:r w:rsidRPr="00692926">
              <w:rPr>
                <w:sz w:val="11"/>
                <w:szCs w:val="11"/>
              </w:rPr>
              <w:t>1,401,276</w:t>
            </w:r>
          </w:p>
        </w:tc>
        <w:tc>
          <w:tcPr>
            <w:tcW w:w="895" w:type="dxa"/>
            <w:noWrap/>
            <w:tcMar>
              <w:top w:w="18" w:type="dxa"/>
              <w:left w:w="18" w:type="dxa"/>
              <w:bottom w:w="0" w:type="dxa"/>
              <w:right w:w="18" w:type="dxa"/>
            </w:tcMar>
            <w:vAlign w:val="bottom"/>
          </w:tcPr>
          <w:p w14:paraId="1A9133E4" w14:textId="0A0E1110" w:rsidR="00224102" w:rsidRPr="00692926" w:rsidRDefault="00224102" w:rsidP="00224102">
            <w:pPr>
              <w:spacing w:line="211" w:lineRule="auto"/>
              <w:jc w:val="right"/>
              <w:rPr>
                <w:sz w:val="11"/>
                <w:szCs w:val="11"/>
              </w:rPr>
            </w:pPr>
            <w:r w:rsidRPr="00692926">
              <w:rPr>
                <w:sz w:val="11"/>
                <w:szCs w:val="11"/>
              </w:rPr>
              <w:t>2,658,679</w:t>
            </w:r>
          </w:p>
        </w:tc>
        <w:tc>
          <w:tcPr>
            <w:tcW w:w="896" w:type="dxa"/>
            <w:noWrap/>
            <w:tcMar>
              <w:top w:w="18" w:type="dxa"/>
              <w:left w:w="18" w:type="dxa"/>
              <w:bottom w:w="0" w:type="dxa"/>
              <w:right w:w="18" w:type="dxa"/>
            </w:tcMar>
            <w:vAlign w:val="bottom"/>
          </w:tcPr>
          <w:p w14:paraId="4F808440" w14:textId="2418F419" w:rsidR="00224102" w:rsidRPr="00692926" w:rsidRDefault="00224102" w:rsidP="00224102">
            <w:pPr>
              <w:spacing w:line="211" w:lineRule="auto"/>
              <w:jc w:val="right"/>
              <w:rPr>
                <w:sz w:val="11"/>
                <w:szCs w:val="11"/>
              </w:rPr>
            </w:pPr>
            <w:r w:rsidRPr="00692926">
              <w:rPr>
                <w:sz w:val="11"/>
                <w:szCs w:val="11"/>
              </w:rPr>
              <w:t>4,059,955</w:t>
            </w:r>
          </w:p>
        </w:tc>
      </w:tr>
      <w:tr w:rsidR="00224102" w:rsidRPr="00604C75" w14:paraId="46CB17F0" w14:textId="77777777" w:rsidTr="009340BC">
        <w:trPr>
          <w:trHeight w:hRule="exact" w:val="142"/>
        </w:trPr>
        <w:tc>
          <w:tcPr>
            <w:tcW w:w="494" w:type="dxa"/>
            <w:noWrap/>
            <w:tcMar>
              <w:top w:w="18" w:type="dxa"/>
              <w:left w:w="18" w:type="dxa"/>
              <w:bottom w:w="0" w:type="dxa"/>
              <w:right w:w="18" w:type="dxa"/>
            </w:tcMar>
            <w:vAlign w:val="bottom"/>
          </w:tcPr>
          <w:p w14:paraId="0F3981F7"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3.2.1</w:t>
            </w:r>
          </w:p>
        </w:tc>
        <w:tc>
          <w:tcPr>
            <w:tcW w:w="3580" w:type="dxa"/>
            <w:noWrap/>
            <w:tcMar>
              <w:top w:w="18" w:type="dxa"/>
              <w:left w:w="18" w:type="dxa"/>
              <w:bottom w:w="0" w:type="dxa"/>
              <w:right w:w="18" w:type="dxa"/>
            </w:tcMar>
            <w:vAlign w:val="bottom"/>
          </w:tcPr>
          <w:p w14:paraId="2C3B89D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Forward Foreign Currency Buy/Sell Transactions</w:t>
            </w:r>
          </w:p>
        </w:tc>
        <w:tc>
          <w:tcPr>
            <w:tcW w:w="644" w:type="dxa"/>
            <w:noWrap/>
            <w:tcMar>
              <w:top w:w="18" w:type="dxa"/>
              <w:left w:w="18" w:type="dxa"/>
              <w:bottom w:w="0" w:type="dxa"/>
              <w:right w:w="18" w:type="dxa"/>
            </w:tcMar>
            <w:vAlign w:val="bottom"/>
          </w:tcPr>
          <w:p w14:paraId="0324D8C7"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379CF694" w14:textId="36355EE6" w:rsidR="00224102" w:rsidRPr="003F3682" w:rsidRDefault="00224102" w:rsidP="00224102">
            <w:pPr>
              <w:spacing w:line="211" w:lineRule="auto"/>
              <w:jc w:val="right"/>
              <w:rPr>
                <w:sz w:val="11"/>
                <w:szCs w:val="11"/>
              </w:rPr>
            </w:pPr>
            <w:r w:rsidRPr="003F3682">
              <w:rPr>
                <w:sz w:val="11"/>
                <w:szCs w:val="11"/>
              </w:rPr>
              <w:t>165,022</w:t>
            </w:r>
          </w:p>
        </w:tc>
        <w:tc>
          <w:tcPr>
            <w:tcW w:w="1191" w:type="dxa"/>
            <w:vAlign w:val="bottom"/>
          </w:tcPr>
          <w:p w14:paraId="1BAC4CA9" w14:textId="18FE369C" w:rsidR="00224102" w:rsidRPr="003F3682" w:rsidRDefault="00224102" w:rsidP="00224102">
            <w:pPr>
              <w:spacing w:line="211" w:lineRule="auto"/>
              <w:jc w:val="right"/>
              <w:rPr>
                <w:sz w:val="11"/>
                <w:szCs w:val="11"/>
              </w:rPr>
            </w:pPr>
            <w:r w:rsidRPr="003F3682">
              <w:rPr>
                <w:sz w:val="11"/>
                <w:szCs w:val="11"/>
              </w:rPr>
              <w:t>169,878</w:t>
            </w:r>
          </w:p>
        </w:tc>
        <w:tc>
          <w:tcPr>
            <w:tcW w:w="896" w:type="dxa"/>
            <w:vAlign w:val="bottom"/>
          </w:tcPr>
          <w:p w14:paraId="3C059F0D" w14:textId="69A1ED37" w:rsidR="00224102" w:rsidRPr="003F3682" w:rsidRDefault="00224102" w:rsidP="00224102">
            <w:pPr>
              <w:spacing w:line="211" w:lineRule="auto"/>
              <w:jc w:val="right"/>
              <w:rPr>
                <w:sz w:val="11"/>
                <w:szCs w:val="11"/>
              </w:rPr>
            </w:pPr>
            <w:r w:rsidRPr="003F3682">
              <w:rPr>
                <w:sz w:val="11"/>
                <w:szCs w:val="11"/>
              </w:rPr>
              <w:t>334,900</w:t>
            </w:r>
          </w:p>
        </w:tc>
        <w:tc>
          <w:tcPr>
            <w:tcW w:w="881" w:type="dxa"/>
            <w:noWrap/>
            <w:tcMar>
              <w:top w:w="18" w:type="dxa"/>
              <w:left w:w="18" w:type="dxa"/>
              <w:bottom w:w="0" w:type="dxa"/>
              <w:right w:w="18" w:type="dxa"/>
            </w:tcMar>
            <w:vAlign w:val="bottom"/>
          </w:tcPr>
          <w:p w14:paraId="3EB37D48" w14:textId="66CE06BF" w:rsidR="00224102" w:rsidRPr="00692926" w:rsidRDefault="00224102" w:rsidP="00224102">
            <w:pPr>
              <w:spacing w:line="211" w:lineRule="auto"/>
              <w:jc w:val="right"/>
              <w:rPr>
                <w:sz w:val="11"/>
                <w:szCs w:val="11"/>
              </w:rPr>
            </w:pPr>
            <w:r w:rsidRPr="00692926">
              <w:rPr>
                <w:sz w:val="11"/>
                <w:szCs w:val="11"/>
              </w:rPr>
              <w:t>115,544</w:t>
            </w:r>
          </w:p>
        </w:tc>
        <w:tc>
          <w:tcPr>
            <w:tcW w:w="895" w:type="dxa"/>
            <w:noWrap/>
            <w:tcMar>
              <w:top w:w="18" w:type="dxa"/>
              <w:left w:w="18" w:type="dxa"/>
              <w:bottom w:w="0" w:type="dxa"/>
              <w:right w:w="18" w:type="dxa"/>
            </w:tcMar>
            <w:vAlign w:val="bottom"/>
          </w:tcPr>
          <w:p w14:paraId="06D9F88B" w14:textId="6FE24FFF" w:rsidR="00224102" w:rsidRPr="00692926" w:rsidRDefault="00224102" w:rsidP="00224102">
            <w:pPr>
              <w:spacing w:line="211" w:lineRule="auto"/>
              <w:jc w:val="right"/>
              <w:rPr>
                <w:sz w:val="11"/>
                <w:szCs w:val="11"/>
              </w:rPr>
            </w:pPr>
            <w:r w:rsidRPr="00692926">
              <w:rPr>
                <w:sz w:val="11"/>
                <w:szCs w:val="11"/>
              </w:rPr>
              <w:t>407,060</w:t>
            </w:r>
          </w:p>
        </w:tc>
        <w:tc>
          <w:tcPr>
            <w:tcW w:w="896" w:type="dxa"/>
            <w:noWrap/>
            <w:tcMar>
              <w:top w:w="18" w:type="dxa"/>
              <w:left w:w="18" w:type="dxa"/>
              <w:bottom w:w="0" w:type="dxa"/>
              <w:right w:w="18" w:type="dxa"/>
            </w:tcMar>
            <w:vAlign w:val="bottom"/>
          </w:tcPr>
          <w:p w14:paraId="7320A79D" w14:textId="70ACDE71" w:rsidR="00224102" w:rsidRPr="00692926" w:rsidRDefault="00224102" w:rsidP="00224102">
            <w:pPr>
              <w:spacing w:line="211" w:lineRule="auto"/>
              <w:jc w:val="right"/>
              <w:rPr>
                <w:sz w:val="11"/>
                <w:szCs w:val="11"/>
              </w:rPr>
            </w:pPr>
            <w:r w:rsidRPr="00692926">
              <w:rPr>
                <w:sz w:val="11"/>
                <w:szCs w:val="11"/>
              </w:rPr>
              <w:t>522,604</w:t>
            </w:r>
          </w:p>
        </w:tc>
      </w:tr>
      <w:tr w:rsidR="00224102" w:rsidRPr="00604C75" w14:paraId="0C9B1D8D" w14:textId="77777777" w:rsidTr="009340BC">
        <w:trPr>
          <w:trHeight w:hRule="exact" w:val="142"/>
        </w:trPr>
        <w:tc>
          <w:tcPr>
            <w:tcW w:w="494" w:type="dxa"/>
            <w:noWrap/>
            <w:tcMar>
              <w:top w:w="18" w:type="dxa"/>
              <w:left w:w="18" w:type="dxa"/>
              <w:bottom w:w="0" w:type="dxa"/>
              <w:right w:w="18" w:type="dxa"/>
            </w:tcMar>
            <w:vAlign w:val="bottom"/>
          </w:tcPr>
          <w:p w14:paraId="78622D39"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3.2.1.1</w:t>
            </w:r>
          </w:p>
        </w:tc>
        <w:tc>
          <w:tcPr>
            <w:tcW w:w="3580" w:type="dxa"/>
            <w:noWrap/>
            <w:tcMar>
              <w:top w:w="18" w:type="dxa"/>
              <w:left w:w="18" w:type="dxa"/>
              <w:bottom w:w="0" w:type="dxa"/>
              <w:right w:w="18" w:type="dxa"/>
            </w:tcMar>
            <w:vAlign w:val="bottom"/>
          </w:tcPr>
          <w:p w14:paraId="696DD825"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Forward Foreign Currency Transactions-Buy</w:t>
            </w:r>
          </w:p>
        </w:tc>
        <w:tc>
          <w:tcPr>
            <w:tcW w:w="644" w:type="dxa"/>
            <w:noWrap/>
            <w:tcMar>
              <w:top w:w="18" w:type="dxa"/>
              <w:left w:w="18" w:type="dxa"/>
              <w:bottom w:w="0" w:type="dxa"/>
              <w:right w:w="18" w:type="dxa"/>
            </w:tcMar>
            <w:vAlign w:val="bottom"/>
          </w:tcPr>
          <w:p w14:paraId="3609E7C5"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350D52B9" w14:textId="1E58E439" w:rsidR="00224102" w:rsidRPr="003F3682" w:rsidRDefault="00224102" w:rsidP="00224102">
            <w:pPr>
              <w:spacing w:line="211" w:lineRule="auto"/>
              <w:jc w:val="right"/>
              <w:rPr>
                <w:sz w:val="11"/>
                <w:szCs w:val="11"/>
              </w:rPr>
            </w:pPr>
            <w:r w:rsidRPr="003F3682">
              <w:rPr>
                <w:sz w:val="11"/>
                <w:szCs w:val="11"/>
              </w:rPr>
              <w:t>77,419</w:t>
            </w:r>
          </w:p>
        </w:tc>
        <w:tc>
          <w:tcPr>
            <w:tcW w:w="1191" w:type="dxa"/>
            <w:vAlign w:val="bottom"/>
          </w:tcPr>
          <w:p w14:paraId="5B2B5B19" w14:textId="2DA4D2A1" w:rsidR="00224102" w:rsidRPr="003F3682" w:rsidRDefault="00224102" w:rsidP="00224102">
            <w:pPr>
              <w:spacing w:line="211" w:lineRule="auto"/>
              <w:jc w:val="right"/>
              <w:rPr>
                <w:sz w:val="11"/>
                <w:szCs w:val="11"/>
              </w:rPr>
            </w:pPr>
            <w:r w:rsidRPr="003F3682">
              <w:rPr>
                <w:sz w:val="11"/>
                <w:szCs w:val="11"/>
              </w:rPr>
              <w:t>79,246</w:t>
            </w:r>
          </w:p>
        </w:tc>
        <w:tc>
          <w:tcPr>
            <w:tcW w:w="896" w:type="dxa"/>
            <w:vAlign w:val="bottom"/>
          </w:tcPr>
          <w:p w14:paraId="2952AA65" w14:textId="2659903C" w:rsidR="00224102" w:rsidRPr="003F3682" w:rsidRDefault="00224102" w:rsidP="00224102">
            <w:pPr>
              <w:spacing w:line="211" w:lineRule="auto"/>
              <w:jc w:val="right"/>
              <w:rPr>
                <w:sz w:val="11"/>
                <w:szCs w:val="11"/>
              </w:rPr>
            </w:pPr>
            <w:r w:rsidRPr="003F3682">
              <w:rPr>
                <w:sz w:val="11"/>
                <w:szCs w:val="11"/>
              </w:rPr>
              <w:t>156,665</w:t>
            </w:r>
          </w:p>
        </w:tc>
        <w:tc>
          <w:tcPr>
            <w:tcW w:w="881" w:type="dxa"/>
            <w:noWrap/>
            <w:tcMar>
              <w:top w:w="18" w:type="dxa"/>
              <w:left w:w="18" w:type="dxa"/>
              <w:bottom w:w="0" w:type="dxa"/>
              <w:right w:w="18" w:type="dxa"/>
            </w:tcMar>
            <w:vAlign w:val="bottom"/>
          </w:tcPr>
          <w:p w14:paraId="635FB623" w14:textId="598CA1D0" w:rsidR="00224102" w:rsidRPr="00692926" w:rsidRDefault="00224102" w:rsidP="00224102">
            <w:pPr>
              <w:spacing w:line="211" w:lineRule="auto"/>
              <w:jc w:val="right"/>
              <w:rPr>
                <w:sz w:val="11"/>
                <w:szCs w:val="11"/>
              </w:rPr>
            </w:pPr>
            <w:r w:rsidRPr="00692926">
              <w:rPr>
                <w:sz w:val="11"/>
                <w:szCs w:val="11"/>
              </w:rPr>
              <w:t>54,407</w:t>
            </w:r>
          </w:p>
        </w:tc>
        <w:tc>
          <w:tcPr>
            <w:tcW w:w="895" w:type="dxa"/>
            <w:noWrap/>
            <w:tcMar>
              <w:top w:w="18" w:type="dxa"/>
              <w:left w:w="18" w:type="dxa"/>
              <w:bottom w:w="0" w:type="dxa"/>
              <w:right w:w="18" w:type="dxa"/>
            </w:tcMar>
            <w:vAlign w:val="bottom"/>
          </w:tcPr>
          <w:p w14:paraId="69DB478F" w14:textId="43536446" w:rsidR="00224102" w:rsidRPr="00692926" w:rsidRDefault="00224102" w:rsidP="00224102">
            <w:pPr>
              <w:spacing w:line="211" w:lineRule="auto"/>
              <w:jc w:val="right"/>
              <w:rPr>
                <w:sz w:val="11"/>
                <w:szCs w:val="11"/>
              </w:rPr>
            </w:pPr>
            <w:r w:rsidRPr="00692926">
              <w:rPr>
                <w:sz w:val="11"/>
                <w:szCs w:val="11"/>
              </w:rPr>
              <w:t>206,572</w:t>
            </w:r>
          </w:p>
        </w:tc>
        <w:tc>
          <w:tcPr>
            <w:tcW w:w="896" w:type="dxa"/>
            <w:noWrap/>
            <w:tcMar>
              <w:top w:w="18" w:type="dxa"/>
              <w:left w:w="18" w:type="dxa"/>
              <w:bottom w:w="0" w:type="dxa"/>
              <w:right w:w="18" w:type="dxa"/>
            </w:tcMar>
            <w:vAlign w:val="bottom"/>
          </w:tcPr>
          <w:p w14:paraId="1C5539E7" w14:textId="70931837" w:rsidR="00224102" w:rsidRPr="00692926" w:rsidRDefault="00224102" w:rsidP="00224102">
            <w:pPr>
              <w:spacing w:line="211" w:lineRule="auto"/>
              <w:jc w:val="right"/>
              <w:rPr>
                <w:sz w:val="11"/>
                <w:szCs w:val="11"/>
              </w:rPr>
            </w:pPr>
            <w:r w:rsidRPr="00692926">
              <w:rPr>
                <w:sz w:val="11"/>
                <w:szCs w:val="11"/>
              </w:rPr>
              <w:t>260,979</w:t>
            </w:r>
          </w:p>
        </w:tc>
      </w:tr>
      <w:tr w:rsidR="00224102" w:rsidRPr="00604C75" w14:paraId="7F3D3828" w14:textId="77777777" w:rsidTr="009340BC">
        <w:trPr>
          <w:trHeight w:hRule="exact" w:val="142"/>
        </w:trPr>
        <w:tc>
          <w:tcPr>
            <w:tcW w:w="494" w:type="dxa"/>
            <w:noWrap/>
            <w:tcMar>
              <w:top w:w="18" w:type="dxa"/>
              <w:left w:w="18" w:type="dxa"/>
              <w:bottom w:w="0" w:type="dxa"/>
              <w:right w:w="18" w:type="dxa"/>
            </w:tcMar>
            <w:vAlign w:val="bottom"/>
          </w:tcPr>
          <w:p w14:paraId="35C95A67"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3.2.1.2</w:t>
            </w:r>
          </w:p>
        </w:tc>
        <w:tc>
          <w:tcPr>
            <w:tcW w:w="3580" w:type="dxa"/>
            <w:noWrap/>
            <w:tcMar>
              <w:top w:w="18" w:type="dxa"/>
              <w:left w:w="18" w:type="dxa"/>
              <w:bottom w:w="0" w:type="dxa"/>
              <w:right w:w="18" w:type="dxa"/>
            </w:tcMar>
            <w:vAlign w:val="bottom"/>
          </w:tcPr>
          <w:p w14:paraId="089DF365"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Forward Foreign Currency Transactions-Sell</w:t>
            </w:r>
          </w:p>
        </w:tc>
        <w:tc>
          <w:tcPr>
            <w:tcW w:w="644" w:type="dxa"/>
            <w:noWrap/>
            <w:tcMar>
              <w:top w:w="18" w:type="dxa"/>
              <w:left w:w="18" w:type="dxa"/>
              <w:bottom w:w="0" w:type="dxa"/>
              <w:right w:w="18" w:type="dxa"/>
            </w:tcMar>
            <w:vAlign w:val="bottom"/>
          </w:tcPr>
          <w:p w14:paraId="2E8F123B"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41BB1F2D" w14:textId="7CB6C082" w:rsidR="00224102" w:rsidRPr="003F3682" w:rsidRDefault="00224102" w:rsidP="00224102">
            <w:pPr>
              <w:spacing w:line="211" w:lineRule="auto"/>
              <w:jc w:val="right"/>
              <w:rPr>
                <w:sz w:val="11"/>
                <w:szCs w:val="11"/>
              </w:rPr>
            </w:pPr>
            <w:r w:rsidRPr="003F3682">
              <w:rPr>
                <w:sz w:val="11"/>
                <w:szCs w:val="11"/>
              </w:rPr>
              <w:t>87,603</w:t>
            </w:r>
          </w:p>
        </w:tc>
        <w:tc>
          <w:tcPr>
            <w:tcW w:w="1191" w:type="dxa"/>
            <w:vAlign w:val="bottom"/>
          </w:tcPr>
          <w:p w14:paraId="42A7CE99" w14:textId="5ED063A3" w:rsidR="00224102" w:rsidRPr="003F3682" w:rsidRDefault="00224102" w:rsidP="00224102">
            <w:pPr>
              <w:spacing w:line="211" w:lineRule="auto"/>
              <w:jc w:val="right"/>
              <w:rPr>
                <w:sz w:val="11"/>
                <w:szCs w:val="11"/>
              </w:rPr>
            </w:pPr>
            <w:r w:rsidRPr="003F3682">
              <w:rPr>
                <w:sz w:val="11"/>
                <w:szCs w:val="11"/>
              </w:rPr>
              <w:t>90,632</w:t>
            </w:r>
          </w:p>
        </w:tc>
        <w:tc>
          <w:tcPr>
            <w:tcW w:w="896" w:type="dxa"/>
            <w:vAlign w:val="bottom"/>
          </w:tcPr>
          <w:p w14:paraId="3AADA7D6" w14:textId="281A8DC9" w:rsidR="00224102" w:rsidRPr="003F3682" w:rsidRDefault="00224102" w:rsidP="00224102">
            <w:pPr>
              <w:spacing w:line="211" w:lineRule="auto"/>
              <w:jc w:val="right"/>
              <w:rPr>
                <w:sz w:val="11"/>
                <w:szCs w:val="11"/>
              </w:rPr>
            </w:pPr>
            <w:r w:rsidRPr="003F3682">
              <w:rPr>
                <w:sz w:val="11"/>
                <w:szCs w:val="11"/>
              </w:rPr>
              <w:t>178,235</w:t>
            </w:r>
          </w:p>
        </w:tc>
        <w:tc>
          <w:tcPr>
            <w:tcW w:w="881" w:type="dxa"/>
            <w:noWrap/>
            <w:tcMar>
              <w:top w:w="18" w:type="dxa"/>
              <w:left w:w="18" w:type="dxa"/>
              <w:bottom w:w="0" w:type="dxa"/>
              <w:right w:w="18" w:type="dxa"/>
            </w:tcMar>
            <w:vAlign w:val="bottom"/>
          </w:tcPr>
          <w:p w14:paraId="330C97EE" w14:textId="21C87669" w:rsidR="00224102" w:rsidRPr="00692926" w:rsidRDefault="00224102" w:rsidP="00224102">
            <w:pPr>
              <w:spacing w:line="211" w:lineRule="auto"/>
              <w:jc w:val="right"/>
              <w:rPr>
                <w:sz w:val="11"/>
                <w:szCs w:val="11"/>
              </w:rPr>
            </w:pPr>
            <w:r w:rsidRPr="00692926">
              <w:rPr>
                <w:sz w:val="11"/>
                <w:szCs w:val="11"/>
              </w:rPr>
              <w:t>61,137</w:t>
            </w:r>
          </w:p>
        </w:tc>
        <w:tc>
          <w:tcPr>
            <w:tcW w:w="895" w:type="dxa"/>
            <w:noWrap/>
            <w:tcMar>
              <w:top w:w="18" w:type="dxa"/>
              <w:left w:w="18" w:type="dxa"/>
              <w:bottom w:w="0" w:type="dxa"/>
              <w:right w:w="18" w:type="dxa"/>
            </w:tcMar>
            <w:vAlign w:val="bottom"/>
          </w:tcPr>
          <w:p w14:paraId="052D617A" w14:textId="3ED70304" w:rsidR="00224102" w:rsidRPr="00692926" w:rsidRDefault="00224102" w:rsidP="00224102">
            <w:pPr>
              <w:spacing w:line="211" w:lineRule="auto"/>
              <w:jc w:val="right"/>
              <w:rPr>
                <w:sz w:val="11"/>
                <w:szCs w:val="11"/>
              </w:rPr>
            </w:pPr>
            <w:r w:rsidRPr="00692926">
              <w:rPr>
                <w:sz w:val="11"/>
                <w:szCs w:val="11"/>
              </w:rPr>
              <w:t>200,488</w:t>
            </w:r>
          </w:p>
        </w:tc>
        <w:tc>
          <w:tcPr>
            <w:tcW w:w="896" w:type="dxa"/>
            <w:noWrap/>
            <w:tcMar>
              <w:top w:w="18" w:type="dxa"/>
              <w:left w:w="18" w:type="dxa"/>
              <w:bottom w:w="0" w:type="dxa"/>
              <w:right w:w="18" w:type="dxa"/>
            </w:tcMar>
            <w:vAlign w:val="bottom"/>
          </w:tcPr>
          <w:p w14:paraId="39013AE5" w14:textId="405162B1" w:rsidR="00224102" w:rsidRPr="00692926" w:rsidRDefault="00224102" w:rsidP="00224102">
            <w:pPr>
              <w:spacing w:line="211" w:lineRule="auto"/>
              <w:jc w:val="right"/>
              <w:rPr>
                <w:sz w:val="11"/>
                <w:szCs w:val="11"/>
              </w:rPr>
            </w:pPr>
            <w:r w:rsidRPr="00692926">
              <w:rPr>
                <w:sz w:val="11"/>
                <w:szCs w:val="11"/>
              </w:rPr>
              <w:t>261,625</w:t>
            </w:r>
          </w:p>
        </w:tc>
      </w:tr>
      <w:tr w:rsidR="00224102" w:rsidRPr="00604C75" w14:paraId="3CE3EEFA" w14:textId="77777777" w:rsidTr="009340BC">
        <w:trPr>
          <w:trHeight w:hRule="exact" w:val="142"/>
        </w:trPr>
        <w:tc>
          <w:tcPr>
            <w:tcW w:w="494" w:type="dxa"/>
            <w:noWrap/>
            <w:tcMar>
              <w:top w:w="18" w:type="dxa"/>
              <w:left w:w="18" w:type="dxa"/>
              <w:bottom w:w="0" w:type="dxa"/>
              <w:right w:w="18" w:type="dxa"/>
            </w:tcMar>
            <w:vAlign w:val="bottom"/>
          </w:tcPr>
          <w:p w14:paraId="6AA055F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3.2.2</w:t>
            </w:r>
          </w:p>
        </w:tc>
        <w:tc>
          <w:tcPr>
            <w:tcW w:w="3580" w:type="dxa"/>
            <w:noWrap/>
            <w:tcMar>
              <w:top w:w="18" w:type="dxa"/>
              <w:left w:w="18" w:type="dxa"/>
              <w:bottom w:w="0" w:type="dxa"/>
              <w:right w:w="18" w:type="dxa"/>
            </w:tcMar>
            <w:vAlign w:val="bottom"/>
          </w:tcPr>
          <w:p w14:paraId="240F7D57"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Swap Transactions Related to Foreign Currency and Interest Rates</w:t>
            </w:r>
          </w:p>
        </w:tc>
        <w:tc>
          <w:tcPr>
            <w:tcW w:w="644" w:type="dxa"/>
            <w:noWrap/>
            <w:tcMar>
              <w:top w:w="18" w:type="dxa"/>
              <w:left w:w="18" w:type="dxa"/>
              <w:bottom w:w="0" w:type="dxa"/>
              <w:right w:w="18" w:type="dxa"/>
            </w:tcMar>
            <w:vAlign w:val="bottom"/>
          </w:tcPr>
          <w:p w14:paraId="01482F74" w14:textId="77777777" w:rsidR="00224102" w:rsidRPr="00604C75" w:rsidRDefault="00224102" w:rsidP="00224102">
            <w:pPr>
              <w:spacing w:line="211" w:lineRule="auto"/>
              <w:jc w:val="center"/>
              <w:rPr>
                <w:rFonts w:eastAsia="Arial Unicode MS"/>
                <w:b/>
                <w:bCs/>
                <w:sz w:val="10"/>
                <w:szCs w:val="10"/>
                <w:lang w:val="tr-TR"/>
              </w:rPr>
            </w:pPr>
          </w:p>
        </w:tc>
        <w:tc>
          <w:tcPr>
            <w:tcW w:w="895" w:type="dxa"/>
            <w:vAlign w:val="bottom"/>
          </w:tcPr>
          <w:p w14:paraId="49511523" w14:textId="04DCFD60" w:rsidR="00224102" w:rsidRPr="003F3682" w:rsidRDefault="00224102" w:rsidP="00224102">
            <w:pPr>
              <w:spacing w:line="211" w:lineRule="auto"/>
              <w:jc w:val="right"/>
              <w:rPr>
                <w:sz w:val="11"/>
                <w:szCs w:val="11"/>
              </w:rPr>
            </w:pPr>
            <w:r w:rsidRPr="003F3682">
              <w:rPr>
                <w:sz w:val="11"/>
                <w:szCs w:val="11"/>
              </w:rPr>
              <w:t>2,842,823</w:t>
            </w:r>
          </w:p>
        </w:tc>
        <w:tc>
          <w:tcPr>
            <w:tcW w:w="1191" w:type="dxa"/>
            <w:vAlign w:val="bottom"/>
          </w:tcPr>
          <w:p w14:paraId="46A4A8B2" w14:textId="31D4D026" w:rsidR="00224102" w:rsidRPr="003F3682" w:rsidRDefault="00224102" w:rsidP="00224102">
            <w:pPr>
              <w:spacing w:line="211" w:lineRule="auto"/>
              <w:jc w:val="right"/>
              <w:rPr>
                <w:sz w:val="11"/>
                <w:szCs w:val="11"/>
              </w:rPr>
            </w:pPr>
            <w:r w:rsidRPr="003F3682">
              <w:rPr>
                <w:sz w:val="11"/>
                <w:szCs w:val="11"/>
              </w:rPr>
              <w:t>5,000,065</w:t>
            </w:r>
          </w:p>
        </w:tc>
        <w:tc>
          <w:tcPr>
            <w:tcW w:w="896" w:type="dxa"/>
            <w:vAlign w:val="bottom"/>
          </w:tcPr>
          <w:p w14:paraId="35E896D2" w14:textId="1C9BF81A" w:rsidR="00224102" w:rsidRPr="003F3682" w:rsidRDefault="00224102" w:rsidP="00224102">
            <w:pPr>
              <w:spacing w:line="211" w:lineRule="auto"/>
              <w:jc w:val="right"/>
              <w:rPr>
                <w:sz w:val="11"/>
                <w:szCs w:val="11"/>
              </w:rPr>
            </w:pPr>
            <w:r w:rsidRPr="003F3682">
              <w:rPr>
                <w:sz w:val="11"/>
                <w:szCs w:val="11"/>
              </w:rPr>
              <w:t>7,842,888</w:t>
            </w:r>
          </w:p>
        </w:tc>
        <w:tc>
          <w:tcPr>
            <w:tcW w:w="881" w:type="dxa"/>
            <w:noWrap/>
            <w:tcMar>
              <w:top w:w="18" w:type="dxa"/>
              <w:left w:w="18" w:type="dxa"/>
              <w:bottom w:w="0" w:type="dxa"/>
              <w:right w:w="18" w:type="dxa"/>
            </w:tcMar>
            <w:vAlign w:val="bottom"/>
          </w:tcPr>
          <w:p w14:paraId="36EECE2E" w14:textId="0E183F98" w:rsidR="00224102" w:rsidRPr="00692926" w:rsidRDefault="00224102" w:rsidP="00224102">
            <w:pPr>
              <w:spacing w:line="211" w:lineRule="auto"/>
              <w:jc w:val="right"/>
              <w:rPr>
                <w:sz w:val="11"/>
                <w:szCs w:val="11"/>
              </w:rPr>
            </w:pPr>
            <w:r w:rsidRPr="00692926">
              <w:rPr>
                <w:sz w:val="11"/>
                <w:szCs w:val="11"/>
              </w:rPr>
              <w:t>1,007,213</w:t>
            </w:r>
          </w:p>
        </w:tc>
        <w:tc>
          <w:tcPr>
            <w:tcW w:w="895" w:type="dxa"/>
            <w:noWrap/>
            <w:tcMar>
              <w:top w:w="18" w:type="dxa"/>
              <w:left w:w="18" w:type="dxa"/>
              <w:bottom w:w="0" w:type="dxa"/>
              <w:right w:w="18" w:type="dxa"/>
            </w:tcMar>
            <w:vAlign w:val="bottom"/>
          </w:tcPr>
          <w:p w14:paraId="02689707" w14:textId="36EF2217" w:rsidR="00224102" w:rsidRPr="00692926" w:rsidRDefault="00224102" w:rsidP="00224102">
            <w:pPr>
              <w:spacing w:line="211" w:lineRule="auto"/>
              <w:jc w:val="right"/>
              <w:rPr>
                <w:sz w:val="11"/>
                <w:szCs w:val="11"/>
              </w:rPr>
            </w:pPr>
            <w:r w:rsidRPr="00692926">
              <w:rPr>
                <w:sz w:val="11"/>
                <w:szCs w:val="11"/>
              </w:rPr>
              <w:t>1,972,806</w:t>
            </w:r>
          </w:p>
        </w:tc>
        <w:tc>
          <w:tcPr>
            <w:tcW w:w="896" w:type="dxa"/>
            <w:noWrap/>
            <w:tcMar>
              <w:top w:w="18" w:type="dxa"/>
              <w:left w:w="18" w:type="dxa"/>
              <w:bottom w:w="0" w:type="dxa"/>
              <w:right w:w="18" w:type="dxa"/>
            </w:tcMar>
            <w:vAlign w:val="bottom"/>
          </w:tcPr>
          <w:p w14:paraId="017692A2" w14:textId="676E5A79" w:rsidR="00224102" w:rsidRPr="00692926" w:rsidRDefault="00224102" w:rsidP="00224102">
            <w:pPr>
              <w:spacing w:line="211" w:lineRule="auto"/>
              <w:jc w:val="right"/>
              <w:rPr>
                <w:sz w:val="11"/>
                <w:szCs w:val="11"/>
              </w:rPr>
            </w:pPr>
            <w:r w:rsidRPr="00692926">
              <w:rPr>
                <w:sz w:val="11"/>
                <w:szCs w:val="11"/>
              </w:rPr>
              <w:t>2,980,019</w:t>
            </w:r>
          </w:p>
        </w:tc>
      </w:tr>
      <w:tr w:rsidR="00224102" w:rsidRPr="00604C75" w14:paraId="45B1C5CC" w14:textId="77777777" w:rsidTr="009340BC">
        <w:trPr>
          <w:trHeight w:hRule="exact" w:val="142"/>
        </w:trPr>
        <w:tc>
          <w:tcPr>
            <w:tcW w:w="494" w:type="dxa"/>
            <w:noWrap/>
            <w:tcMar>
              <w:top w:w="18" w:type="dxa"/>
              <w:left w:w="18" w:type="dxa"/>
              <w:bottom w:w="0" w:type="dxa"/>
              <w:right w:w="18" w:type="dxa"/>
            </w:tcMar>
            <w:vAlign w:val="bottom"/>
          </w:tcPr>
          <w:p w14:paraId="0F53B80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3.2.2.1</w:t>
            </w:r>
          </w:p>
        </w:tc>
        <w:tc>
          <w:tcPr>
            <w:tcW w:w="3580" w:type="dxa"/>
            <w:noWrap/>
            <w:tcMar>
              <w:top w:w="18" w:type="dxa"/>
              <w:left w:w="18" w:type="dxa"/>
              <w:bottom w:w="0" w:type="dxa"/>
              <w:right w:w="18" w:type="dxa"/>
            </w:tcMar>
            <w:vAlign w:val="bottom"/>
          </w:tcPr>
          <w:p w14:paraId="19C852D1"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Foreign Currency Swap-Buy</w:t>
            </w:r>
          </w:p>
        </w:tc>
        <w:tc>
          <w:tcPr>
            <w:tcW w:w="644" w:type="dxa"/>
            <w:noWrap/>
            <w:tcMar>
              <w:top w:w="18" w:type="dxa"/>
              <w:left w:w="18" w:type="dxa"/>
              <w:bottom w:w="0" w:type="dxa"/>
              <w:right w:w="18" w:type="dxa"/>
            </w:tcMar>
            <w:vAlign w:val="bottom"/>
          </w:tcPr>
          <w:p w14:paraId="351DE714"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5736CB39" w14:textId="63E4AFD9" w:rsidR="00224102" w:rsidRPr="003F3682" w:rsidRDefault="00224102" w:rsidP="00224102">
            <w:pPr>
              <w:spacing w:line="211" w:lineRule="auto"/>
              <w:jc w:val="right"/>
              <w:rPr>
                <w:sz w:val="11"/>
                <w:szCs w:val="11"/>
              </w:rPr>
            </w:pPr>
            <w:r w:rsidRPr="003F3682">
              <w:rPr>
                <w:sz w:val="11"/>
                <w:szCs w:val="11"/>
              </w:rPr>
              <w:t>1,196,966</w:t>
            </w:r>
          </w:p>
        </w:tc>
        <w:tc>
          <w:tcPr>
            <w:tcW w:w="1191" w:type="dxa"/>
            <w:vAlign w:val="bottom"/>
          </w:tcPr>
          <w:p w14:paraId="6C1F2531" w14:textId="0CC054DD" w:rsidR="00224102" w:rsidRPr="003F3682" w:rsidRDefault="00224102" w:rsidP="00224102">
            <w:pPr>
              <w:spacing w:line="211" w:lineRule="auto"/>
              <w:jc w:val="right"/>
              <w:rPr>
                <w:sz w:val="11"/>
                <w:szCs w:val="11"/>
              </w:rPr>
            </w:pPr>
            <w:r w:rsidRPr="003F3682">
              <w:rPr>
                <w:sz w:val="11"/>
                <w:szCs w:val="11"/>
              </w:rPr>
              <w:t>2,729,152</w:t>
            </w:r>
          </w:p>
        </w:tc>
        <w:tc>
          <w:tcPr>
            <w:tcW w:w="896" w:type="dxa"/>
            <w:vAlign w:val="bottom"/>
          </w:tcPr>
          <w:p w14:paraId="01E2C0B1" w14:textId="7775CD81" w:rsidR="00224102" w:rsidRPr="003F3682" w:rsidRDefault="00224102" w:rsidP="00224102">
            <w:pPr>
              <w:spacing w:line="211" w:lineRule="auto"/>
              <w:jc w:val="right"/>
              <w:rPr>
                <w:sz w:val="11"/>
                <w:szCs w:val="11"/>
              </w:rPr>
            </w:pPr>
            <w:r w:rsidRPr="003F3682">
              <w:rPr>
                <w:sz w:val="11"/>
                <w:szCs w:val="11"/>
              </w:rPr>
              <w:t>3,926,118</w:t>
            </w:r>
          </w:p>
        </w:tc>
        <w:tc>
          <w:tcPr>
            <w:tcW w:w="881" w:type="dxa"/>
            <w:noWrap/>
            <w:tcMar>
              <w:top w:w="18" w:type="dxa"/>
              <w:left w:w="18" w:type="dxa"/>
              <w:bottom w:w="0" w:type="dxa"/>
              <w:right w:w="18" w:type="dxa"/>
            </w:tcMar>
            <w:vAlign w:val="bottom"/>
          </w:tcPr>
          <w:p w14:paraId="7306EB63" w14:textId="79A4EF86" w:rsidR="00224102" w:rsidRPr="00692926" w:rsidRDefault="00224102" w:rsidP="00224102">
            <w:pPr>
              <w:spacing w:line="211" w:lineRule="auto"/>
              <w:jc w:val="right"/>
              <w:rPr>
                <w:sz w:val="11"/>
                <w:szCs w:val="11"/>
              </w:rPr>
            </w:pPr>
            <w:r w:rsidRPr="00692926">
              <w:rPr>
                <w:sz w:val="11"/>
                <w:szCs w:val="11"/>
              </w:rPr>
              <w:t>358,543</w:t>
            </w:r>
          </w:p>
        </w:tc>
        <w:tc>
          <w:tcPr>
            <w:tcW w:w="895" w:type="dxa"/>
            <w:noWrap/>
            <w:tcMar>
              <w:top w:w="18" w:type="dxa"/>
              <w:left w:w="18" w:type="dxa"/>
              <w:bottom w:w="0" w:type="dxa"/>
              <w:right w:w="18" w:type="dxa"/>
            </w:tcMar>
            <w:vAlign w:val="bottom"/>
          </w:tcPr>
          <w:p w14:paraId="6B8131CC" w14:textId="745A7AA9" w:rsidR="00224102" w:rsidRPr="00692926" w:rsidRDefault="00224102" w:rsidP="00224102">
            <w:pPr>
              <w:spacing w:line="211" w:lineRule="auto"/>
              <w:jc w:val="right"/>
              <w:rPr>
                <w:sz w:val="11"/>
                <w:szCs w:val="11"/>
              </w:rPr>
            </w:pPr>
            <w:r w:rsidRPr="00692926">
              <w:rPr>
                <w:sz w:val="11"/>
                <w:szCs w:val="11"/>
              </w:rPr>
              <w:t>1,142,834</w:t>
            </w:r>
          </w:p>
        </w:tc>
        <w:tc>
          <w:tcPr>
            <w:tcW w:w="896" w:type="dxa"/>
            <w:noWrap/>
            <w:tcMar>
              <w:top w:w="18" w:type="dxa"/>
              <w:left w:w="18" w:type="dxa"/>
              <w:bottom w:w="0" w:type="dxa"/>
              <w:right w:w="18" w:type="dxa"/>
            </w:tcMar>
            <w:vAlign w:val="bottom"/>
          </w:tcPr>
          <w:p w14:paraId="56604131" w14:textId="532AAB06" w:rsidR="00224102" w:rsidRPr="00692926" w:rsidRDefault="00224102" w:rsidP="00224102">
            <w:pPr>
              <w:spacing w:line="211" w:lineRule="auto"/>
              <w:jc w:val="right"/>
              <w:rPr>
                <w:sz w:val="11"/>
                <w:szCs w:val="11"/>
              </w:rPr>
            </w:pPr>
            <w:r w:rsidRPr="00692926">
              <w:rPr>
                <w:sz w:val="11"/>
                <w:szCs w:val="11"/>
              </w:rPr>
              <w:t>1,501,377</w:t>
            </w:r>
          </w:p>
        </w:tc>
      </w:tr>
      <w:tr w:rsidR="00224102" w:rsidRPr="00604C75" w14:paraId="156E9140" w14:textId="77777777" w:rsidTr="009340BC">
        <w:trPr>
          <w:trHeight w:hRule="exact" w:val="142"/>
        </w:trPr>
        <w:tc>
          <w:tcPr>
            <w:tcW w:w="494" w:type="dxa"/>
            <w:noWrap/>
            <w:tcMar>
              <w:top w:w="18" w:type="dxa"/>
              <w:left w:w="18" w:type="dxa"/>
              <w:bottom w:w="0" w:type="dxa"/>
              <w:right w:w="18" w:type="dxa"/>
            </w:tcMar>
            <w:vAlign w:val="bottom"/>
          </w:tcPr>
          <w:p w14:paraId="4FFE0A83"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3.2.2.2</w:t>
            </w:r>
          </w:p>
        </w:tc>
        <w:tc>
          <w:tcPr>
            <w:tcW w:w="3580" w:type="dxa"/>
            <w:noWrap/>
            <w:tcMar>
              <w:top w:w="18" w:type="dxa"/>
              <w:left w:w="18" w:type="dxa"/>
              <w:bottom w:w="0" w:type="dxa"/>
              <w:right w:w="18" w:type="dxa"/>
            </w:tcMar>
            <w:vAlign w:val="bottom"/>
          </w:tcPr>
          <w:p w14:paraId="5FE6108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Foreign Currency Swap-Sell</w:t>
            </w:r>
          </w:p>
        </w:tc>
        <w:tc>
          <w:tcPr>
            <w:tcW w:w="644" w:type="dxa"/>
            <w:noWrap/>
            <w:tcMar>
              <w:top w:w="18" w:type="dxa"/>
              <w:left w:w="18" w:type="dxa"/>
              <w:bottom w:w="0" w:type="dxa"/>
              <w:right w:w="18" w:type="dxa"/>
            </w:tcMar>
            <w:vAlign w:val="bottom"/>
          </w:tcPr>
          <w:p w14:paraId="18156CE1"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08FEB90D" w14:textId="5C96259D" w:rsidR="00224102" w:rsidRPr="003F3682" w:rsidRDefault="00224102" w:rsidP="00224102">
            <w:pPr>
              <w:spacing w:line="211" w:lineRule="auto"/>
              <w:jc w:val="right"/>
              <w:rPr>
                <w:sz w:val="11"/>
                <w:szCs w:val="11"/>
              </w:rPr>
            </w:pPr>
            <w:r w:rsidRPr="003F3682">
              <w:rPr>
                <w:sz w:val="11"/>
                <w:szCs w:val="11"/>
              </w:rPr>
              <w:t>1,645,857</w:t>
            </w:r>
          </w:p>
        </w:tc>
        <w:tc>
          <w:tcPr>
            <w:tcW w:w="1191" w:type="dxa"/>
            <w:vAlign w:val="bottom"/>
          </w:tcPr>
          <w:p w14:paraId="2F0DDBE0" w14:textId="077F8605" w:rsidR="00224102" w:rsidRPr="003F3682" w:rsidRDefault="00224102" w:rsidP="00224102">
            <w:pPr>
              <w:spacing w:line="211" w:lineRule="auto"/>
              <w:jc w:val="right"/>
              <w:rPr>
                <w:sz w:val="11"/>
                <w:szCs w:val="11"/>
              </w:rPr>
            </w:pPr>
            <w:r w:rsidRPr="003F3682">
              <w:rPr>
                <w:sz w:val="11"/>
                <w:szCs w:val="11"/>
              </w:rPr>
              <w:t>2,270,913</w:t>
            </w:r>
          </w:p>
        </w:tc>
        <w:tc>
          <w:tcPr>
            <w:tcW w:w="896" w:type="dxa"/>
            <w:vAlign w:val="bottom"/>
          </w:tcPr>
          <w:p w14:paraId="41B8E409" w14:textId="718B26DF" w:rsidR="00224102" w:rsidRPr="003F3682" w:rsidRDefault="00224102" w:rsidP="00224102">
            <w:pPr>
              <w:spacing w:line="211" w:lineRule="auto"/>
              <w:jc w:val="right"/>
              <w:rPr>
                <w:sz w:val="11"/>
                <w:szCs w:val="11"/>
              </w:rPr>
            </w:pPr>
            <w:r w:rsidRPr="003F3682">
              <w:rPr>
                <w:sz w:val="11"/>
                <w:szCs w:val="11"/>
              </w:rPr>
              <w:t>3,916,770</w:t>
            </w:r>
          </w:p>
        </w:tc>
        <w:tc>
          <w:tcPr>
            <w:tcW w:w="881" w:type="dxa"/>
            <w:noWrap/>
            <w:tcMar>
              <w:top w:w="18" w:type="dxa"/>
              <w:left w:w="18" w:type="dxa"/>
              <w:bottom w:w="0" w:type="dxa"/>
              <w:right w:w="18" w:type="dxa"/>
            </w:tcMar>
            <w:vAlign w:val="bottom"/>
          </w:tcPr>
          <w:p w14:paraId="6D1107EE" w14:textId="18FAB1FA" w:rsidR="00224102" w:rsidRPr="00692926" w:rsidRDefault="00224102" w:rsidP="00224102">
            <w:pPr>
              <w:spacing w:line="211" w:lineRule="auto"/>
              <w:jc w:val="right"/>
              <w:rPr>
                <w:sz w:val="11"/>
                <w:szCs w:val="11"/>
              </w:rPr>
            </w:pPr>
            <w:r w:rsidRPr="00692926">
              <w:rPr>
                <w:sz w:val="11"/>
                <w:szCs w:val="11"/>
              </w:rPr>
              <w:t>648,670</w:t>
            </w:r>
          </w:p>
        </w:tc>
        <w:tc>
          <w:tcPr>
            <w:tcW w:w="895" w:type="dxa"/>
            <w:noWrap/>
            <w:tcMar>
              <w:top w:w="18" w:type="dxa"/>
              <w:left w:w="18" w:type="dxa"/>
              <w:bottom w:w="0" w:type="dxa"/>
              <w:right w:w="18" w:type="dxa"/>
            </w:tcMar>
            <w:vAlign w:val="bottom"/>
          </w:tcPr>
          <w:p w14:paraId="416A2D6C" w14:textId="2F5D23CB" w:rsidR="00224102" w:rsidRPr="00692926" w:rsidRDefault="00224102" w:rsidP="00224102">
            <w:pPr>
              <w:spacing w:line="211" w:lineRule="auto"/>
              <w:jc w:val="right"/>
              <w:rPr>
                <w:sz w:val="11"/>
                <w:szCs w:val="11"/>
              </w:rPr>
            </w:pPr>
            <w:r w:rsidRPr="00692926">
              <w:rPr>
                <w:sz w:val="11"/>
                <w:szCs w:val="11"/>
              </w:rPr>
              <w:t>829,972</w:t>
            </w:r>
          </w:p>
        </w:tc>
        <w:tc>
          <w:tcPr>
            <w:tcW w:w="896" w:type="dxa"/>
            <w:noWrap/>
            <w:tcMar>
              <w:top w:w="18" w:type="dxa"/>
              <w:left w:w="18" w:type="dxa"/>
              <w:bottom w:w="0" w:type="dxa"/>
              <w:right w:w="18" w:type="dxa"/>
            </w:tcMar>
            <w:vAlign w:val="bottom"/>
          </w:tcPr>
          <w:p w14:paraId="215D5ABC" w14:textId="753661FD" w:rsidR="00224102" w:rsidRPr="00692926" w:rsidRDefault="00224102" w:rsidP="00224102">
            <w:pPr>
              <w:spacing w:line="211" w:lineRule="auto"/>
              <w:jc w:val="right"/>
              <w:rPr>
                <w:sz w:val="11"/>
                <w:szCs w:val="11"/>
              </w:rPr>
            </w:pPr>
            <w:r w:rsidRPr="00692926">
              <w:rPr>
                <w:sz w:val="11"/>
                <w:szCs w:val="11"/>
              </w:rPr>
              <w:t>1,478,642</w:t>
            </w:r>
          </w:p>
        </w:tc>
      </w:tr>
      <w:tr w:rsidR="00224102" w:rsidRPr="00604C75" w14:paraId="20849802" w14:textId="77777777" w:rsidTr="009340BC">
        <w:trPr>
          <w:trHeight w:hRule="exact" w:val="142"/>
        </w:trPr>
        <w:tc>
          <w:tcPr>
            <w:tcW w:w="494" w:type="dxa"/>
            <w:noWrap/>
            <w:tcMar>
              <w:top w:w="18" w:type="dxa"/>
              <w:left w:w="18" w:type="dxa"/>
              <w:bottom w:w="0" w:type="dxa"/>
              <w:right w:w="18" w:type="dxa"/>
            </w:tcMar>
            <w:vAlign w:val="bottom"/>
          </w:tcPr>
          <w:p w14:paraId="4DC70B8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3.2.2.3</w:t>
            </w:r>
          </w:p>
        </w:tc>
        <w:tc>
          <w:tcPr>
            <w:tcW w:w="3580" w:type="dxa"/>
            <w:noWrap/>
            <w:tcMar>
              <w:top w:w="18" w:type="dxa"/>
              <w:left w:w="18" w:type="dxa"/>
              <w:bottom w:w="0" w:type="dxa"/>
              <w:right w:w="18" w:type="dxa"/>
            </w:tcMar>
            <w:vAlign w:val="bottom"/>
          </w:tcPr>
          <w:p w14:paraId="68114A19"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Interest Rate Swap-Buy</w:t>
            </w:r>
          </w:p>
        </w:tc>
        <w:tc>
          <w:tcPr>
            <w:tcW w:w="644" w:type="dxa"/>
            <w:noWrap/>
            <w:tcMar>
              <w:top w:w="18" w:type="dxa"/>
              <w:left w:w="18" w:type="dxa"/>
              <w:bottom w:w="0" w:type="dxa"/>
              <w:right w:w="18" w:type="dxa"/>
            </w:tcMar>
            <w:vAlign w:val="bottom"/>
          </w:tcPr>
          <w:p w14:paraId="7A54930B"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199A17C4" w14:textId="187B8B32"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478E7CF7" w14:textId="18EC80E0"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405CE380" w14:textId="080AB0ED"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46908230" w14:textId="2AC2C5F1"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30DF395D" w14:textId="19B0D8B8"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7EA87B06" w14:textId="57D7714B" w:rsidR="00224102" w:rsidRPr="00692926" w:rsidRDefault="00224102" w:rsidP="00224102">
            <w:pPr>
              <w:spacing w:line="211" w:lineRule="auto"/>
              <w:jc w:val="right"/>
              <w:rPr>
                <w:sz w:val="11"/>
                <w:szCs w:val="11"/>
              </w:rPr>
            </w:pPr>
            <w:r w:rsidRPr="00692926">
              <w:rPr>
                <w:sz w:val="11"/>
                <w:szCs w:val="11"/>
              </w:rPr>
              <w:t>-</w:t>
            </w:r>
          </w:p>
        </w:tc>
      </w:tr>
      <w:tr w:rsidR="00224102" w:rsidRPr="00604C75" w14:paraId="2AFF7170" w14:textId="77777777" w:rsidTr="009340BC">
        <w:trPr>
          <w:trHeight w:hRule="exact" w:val="142"/>
        </w:trPr>
        <w:tc>
          <w:tcPr>
            <w:tcW w:w="494" w:type="dxa"/>
            <w:noWrap/>
            <w:tcMar>
              <w:top w:w="18" w:type="dxa"/>
              <w:left w:w="18" w:type="dxa"/>
              <w:bottom w:w="0" w:type="dxa"/>
              <w:right w:w="18" w:type="dxa"/>
            </w:tcMar>
            <w:vAlign w:val="bottom"/>
          </w:tcPr>
          <w:p w14:paraId="19C83DE6"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3.2.2.4</w:t>
            </w:r>
          </w:p>
        </w:tc>
        <w:tc>
          <w:tcPr>
            <w:tcW w:w="3580" w:type="dxa"/>
            <w:noWrap/>
            <w:tcMar>
              <w:top w:w="18" w:type="dxa"/>
              <w:left w:w="18" w:type="dxa"/>
              <w:bottom w:w="0" w:type="dxa"/>
              <w:right w:w="18" w:type="dxa"/>
            </w:tcMar>
            <w:vAlign w:val="bottom"/>
          </w:tcPr>
          <w:p w14:paraId="31FB6AB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Interest Rate Swap-Sell</w:t>
            </w:r>
          </w:p>
        </w:tc>
        <w:tc>
          <w:tcPr>
            <w:tcW w:w="644" w:type="dxa"/>
            <w:noWrap/>
            <w:tcMar>
              <w:top w:w="18" w:type="dxa"/>
              <w:left w:w="18" w:type="dxa"/>
              <w:bottom w:w="0" w:type="dxa"/>
              <w:right w:w="18" w:type="dxa"/>
            </w:tcMar>
            <w:vAlign w:val="bottom"/>
          </w:tcPr>
          <w:p w14:paraId="153A8165"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0082C408" w14:textId="5F082C8C"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33A70D32" w14:textId="76BBEA17"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2AB20A0A" w14:textId="6D5CD7CC"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0B37DC91" w14:textId="3F1F7717"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791567F9" w14:textId="6C5097EF"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4542B3FB" w14:textId="69BA71F4" w:rsidR="00224102" w:rsidRPr="00692926" w:rsidRDefault="00224102" w:rsidP="00224102">
            <w:pPr>
              <w:spacing w:line="211" w:lineRule="auto"/>
              <w:jc w:val="right"/>
              <w:rPr>
                <w:sz w:val="11"/>
                <w:szCs w:val="11"/>
              </w:rPr>
            </w:pPr>
            <w:r w:rsidRPr="00692926">
              <w:rPr>
                <w:sz w:val="11"/>
                <w:szCs w:val="11"/>
              </w:rPr>
              <w:t>-</w:t>
            </w:r>
          </w:p>
        </w:tc>
      </w:tr>
      <w:tr w:rsidR="00224102" w:rsidRPr="00604C75" w14:paraId="55691D74" w14:textId="77777777" w:rsidTr="009340BC">
        <w:trPr>
          <w:trHeight w:hRule="exact" w:val="142"/>
        </w:trPr>
        <w:tc>
          <w:tcPr>
            <w:tcW w:w="494" w:type="dxa"/>
            <w:noWrap/>
            <w:tcMar>
              <w:top w:w="18" w:type="dxa"/>
              <w:left w:w="18" w:type="dxa"/>
              <w:bottom w:w="0" w:type="dxa"/>
              <w:right w:w="18" w:type="dxa"/>
            </w:tcMar>
            <w:vAlign w:val="bottom"/>
          </w:tcPr>
          <w:p w14:paraId="24AF9395"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3.2.3</w:t>
            </w:r>
          </w:p>
        </w:tc>
        <w:tc>
          <w:tcPr>
            <w:tcW w:w="3580" w:type="dxa"/>
            <w:noWrap/>
            <w:tcMar>
              <w:top w:w="18" w:type="dxa"/>
              <w:left w:w="18" w:type="dxa"/>
              <w:bottom w:w="0" w:type="dxa"/>
              <w:right w:w="18" w:type="dxa"/>
            </w:tcMar>
            <w:vAlign w:val="bottom"/>
          </w:tcPr>
          <w:p w14:paraId="7EBD6FF3"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Foreign Currency, Interest rate and Securities Options</w:t>
            </w:r>
          </w:p>
        </w:tc>
        <w:tc>
          <w:tcPr>
            <w:tcW w:w="644" w:type="dxa"/>
            <w:noWrap/>
            <w:tcMar>
              <w:top w:w="18" w:type="dxa"/>
              <w:left w:w="18" w:type="dxa"/>
              <w:bottom w:w="0" w:type="dxa"/>
              <w:right w:w="18" w:type="dxa"/>
            </w:tcMar>
            <w:vAlign w:val="bottom"/>
          </w:tcPr>
          <w:p w14:paraId="447CBFA7"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00D1459C" w14:textId="4B47E837" w:rsidR="00224102" w:rsidRPr="003F3682" w:rsidRDefault="00224102" w:rsidP="00224102">
            <w:pPr>
              <w:spacing w:line="211" w:lineRule="auto"/>
              <w:jc w:val="right"/>
              <w:rPr>
                <w:sz w:val="11"/>
                <w:szCs w:val="11"/>
              </w:rPr>
            </w:pPr>
            <w:r w:rsidRPr="003F3682">
              <w:rPr>
                <w:sz w:val="11"/>
                <w:szCs w:val="11"/>
              </w:rPr>
              <w:t>109,672</w:t>
            </w:r>
          </w:p>
        </w:tc>
        <w:tc>
          <w:tcPr>
            <w:tcW w:w="1191" w:type="dxa"/>
            <w:vAlign w:val="bottom"/>
          </w:tcPr>
          <w:p w14:paraId="77682046" w14:textId="5D810703" w:rsidR="00224102" w:rsidRPr="003F3682" w:rsidRDefault="00224102" w:rsidP="00224102">
            <w:pPr>
              <w:spacing w:line="211" w:lineRule="auto"/>
              <w:jc w:val="right"/>
              <w:rPr>
                <w:sz w:val="11"/>
                <w:szCs w:val="11"/>
              </w:rPr>
            </w:pPr>
            <w:r w:rsidRPr="003F3682">
              <w:rPr>
                <w:sz w:val="11"/>
                <w:szCs w:val="11"/>
              </w:rPr>
              <w:t>2,349,530</w:t>
            </w:r>
          </w:p>
        </w:tc>
        <w:tc>
          <w:tcPr>
            <w:tcW w:w="896" w:type="dxa"/>
            <w:vAlign w:val="bottom"/>
          </w:tcPr>
          <w:p w14:paraId="70AB1CE2" w14:textId="4E0B9407" w:rsidR="00224102" w:rsidRPr="003F3682" w:rsidRDefault="00224102" w:rsidP="00224102">
            <w:pPr>
              <w:spacing w:line="211" w:lineRule="auto"/>
              <w:jc w:val="right"/>
              <w:rPr>
                <w:sz w:val="11"/>
                <w:szCs w:val="11"/>
              </w:rPr>
            </w:pPr>
            <w:r w:rsidRPr="003F3682">
              <w:rPr>
                <w:sz w:val="11"/>
                <w:szCs w:val="11"/>
              </w:rPr>
              <w:t>2,459,202</w:t>
            </w:r>
          </w:p>
        </w:tc>
        <w:tc>
          <w:tcPr>
            <w:tcW w:w="881" w:type="dxa"/>
            <w:noWrap/>
            <w:tcMar>
              <w:top w:w="18" w:type="dxa"/>
              <w:left w:w="18" w:type="dxa"/>
              <w:bottom w:w="0" w:type="dxa"/>
              <w:right w:w="18" w:type="dxa"/>
            </w:tcMar>
            <w:vAlign w:val="bottom"/>
          </w:tcPr>
          <w:p w14:paraId="6F7FEE6E" w14:textId="4102E81D" w:rsidR="00224102" w:rsidRPr="00692926" w:rsidRDefault="00224102" w:rsidP="00224102">
            <w:pPr>
              <w:spacing w:line="211" w:lineRule="auto"/>
              <w:jc w:val="right"/>
              <w:rPr>
                <w:sz w:val="11"/>
                <w:szCs w:val="11"/>
              </w:rPr>
            </w:pPr>
            <w:r w:rsidRPr="00692926">
              <w:rPr>
                <w:sz w:val="11"/>
                <w:szCs w:val="11"/>
              </w:rPr>
              <w:t>278,519</w:t>
            </w:r>
          </w:p>
        </w:tc>
        <w:tc>
          <w:tcPr>
            <w:tcW w:w="895" w:type="dxa"/>
            <w:noWrap/>
            <w:tcMar>
              <w:top w:w="18" w:type="dxa"/>
              <w:left w:w="18" w:type="dxa"/>
              <w:bottom w:w="0" w:type="dxa"/>
              <w:right w:w="18" w:type="dxa"/>
            </w:tcMar>
            <w:vAlign w:val="bottom"/>
          </w:tcPr>
          <w:p w14:paraId="19EAD432" w14:textId="48CEEA18" w:rsidR="00224102" w:rsidRPr="00692926" w:rsidRDefault="00224102" w:rsidP="00224102">
            <w:pPr>
              <w:spacing w:line="211" w:lineRule="auto"/>
              <w:jc w:val="right"/>
              <w:rPr>
                <w:sz w:val="11"/>
                <w:szCs w:val="11"/>
              </w:rPr>
            </w:pPr>
            <w:r w:rsidRPr="00692926">
              <w:rPr>
                <w:sz w:val="11"/>
                <w:szCs w:val="11"/>
              </w:rPr>
              <w:t>278,813</w:t>
            </w:r>
          </w:p>
        </w:tc>
        <w:tc>
          <w:tcPr>
            <w:tcW w:w="896" w:type="dxa"/>
            <w:noWrap/>
            <w:tcMar>
              <w:top w:w="18" w:type="dxa"/>
              <w:left w:w="18" w:type="dxa"/>
              <w:bottom w:w="0" w:type="dxa"/>
              <w:right w:w="18" w:type="dxa"/>
            </w:tcMar>
            <w:vAlign w:val="bottom"/>
          </w:tcPr>
          <w:p w14:paraId="60DB3ABC" w14:textId="664A8C15" w:rsidR="00224102" w:rsidRPr="00692926" w:rsidRDefault="00224102" w:rsidP="00224102">
            <w:pPr>
              <w:spacing w:line="211" w:lineRule="auto"/>
              <w:jc w:val="right"/>
              <w:rPr>
                <w:sz w:val="11"/>
                <w:szCs w:val="11"/>
              </w:rPr>
            </w:pPr>
            <w:r w:rsidRPr="00692926">
              <w:rPr>
                <w:sz w:val="11"/>
                <w:szCs w:val="11"/>
              </w:rPr>
              <w:t>557,332</w:t>
            </w:r>
          </w:p>
        </w:tc>
      </w:tr>
      <w:tr w:rsidR="00224102" w:rsidRPr="00604C75" w14:paraId="4DF38385" w14:textId="77777777" w:rsidTr="009340BC">
        <w:trPr>
          <w:trHeight w:hRule="exact" w:val="142"/>
        </w:trPr>
        <w:tc>
          <w:tcPr>
            <w:tcW w:w="494" w:type="dxa"/>
            <w:noWrap/>
            <w:tcMar>
              <w:top w:w="18" w:type="dxa"/>
              <w:left w:w="18" w:type="dxa"/>
              <w:bottom w:w="0" w:type="dxa"/>
              <w:right w:w="18" w:type="dxa"/>
            </w:tcMar>
            <w:vAlign w:val="bottom"/>
          </w:tcPr>
          <w:p w14:paraId="3C9BDF35"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3.2.3.1</w:t>
            </w:r>
          </w:p>
        </w:tc>
        <w:tc>
          <w:tcPr>
            <w:tcW w:w="3580" w:type="dxa"/>
            <w:noWrap/>
            <w:tcMar>
              <w:top w:w="18" w:type="dxa"/>
              <w:left w:w="18" w:type="dxa"/>
              <w:bottom w:w="0" w:type="dxa"/>
              <w:right w:w="18" w:type="dxa"/>
            </w:tcMar>
            <w:vAlign w:val="bottom"/>
          </w:tcPr>
          <w:p w14:paraId="42CEB597"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Foreign Currency Options-Buy</w:t>
            </w:r>
          </w:p>
        </w:tc>
        <w:tc>
          <w:tcPr>
            <w:tcW w:w="644" w:type="dxa"/>
            <w:noWrap/>
            <w:tcMar>
              <w:top w:w="18" w:type="dxa"/>
              <w:left w:w="18" w:type="dxa"/>
              <w:bottom w:w="0" w:type="dxa"/>
              <w:right w:w="18" w:type="dxa"/>
            </w:tcMar>
            <w:vAlign w:val="bottom"/>
          </w:tcPr>
          <w:p w14:paraId="0F194AAF"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5852D378" w14:textId="20303F4D" w:rsidR="00224102" w:rsidRPr="003F3682" w:rsidRDefault="00224102" w:rsidP="00224102">
            <w:pPr>
              <w:spacing w:line="211" w:lineRule="auto"/>
              <w:jc w:val="right"/>
              <w:rPr>
                <w:sz w:val="11"/>
                <w:szCs w:val="11"/>
              </w:rPr>
            </w:pPr>
            <w:r w:rsidRPr="003F3682">
              <w:rPr>
                <w:sz w:val="11"/>
                <w:szCs w:val="11"/>
              </w:rPr>
              <w:t>43,385</w:t>
            </w:r>
          </w:p>
        </w:tc>
        <w:tc>
          <w:tcPr>
            <w:tcW w:w="1191" w:type="dxa"/>
            <w:vAlign w:val="bottom"/>
          </w:tcPr>
          <w:p w14:paraId="7C878FC3" w14:textId="70F1725C" w:rsidR="00224102" w:rsidRPr="003F3682" w:rsidRDefault="00224102" w:rsidP="00224102">
            <w:pPr>
              <w:spacing w:line="211" w:lineRule="auto"/>
              <w:jc w:val="right"/>
              <w:rPr>
                <w:sz w:val="11"/>
                <w:szCs w:val="11"/>
              </w:rPr>
            </w:pPr>
            <w:r w:rsidRPr="003F3682">
              <w:rPr>
                <w:sz w:val="11"/>
                <w:szCs w:val="11"/>
              </w:rPr>
              <w:t>626,975</w:t>
            </w:r>
          </w:p>
        </w:tc>
        <w:tc>
          <w:tcPr>
            <w:tcW w:w="896" w:type="dxa"/>
            <w:vAlign w:val="bottom"/>
          </w:tcPr>
          <w:p w14:paraId="77A31EA0" w14:textId="6AD9CE37" w:rsidR="00224102" w:rsidRPr="003F3682" w:rsidRDefault="00224102" w:rsidP="00224102">
            <w:pPr>
              <w:spacing w:line="211" w:lineRule="auto"/>
              <w:jc w:val="right"/>
              <w:rPr>
                <w:sz w:val="11"/>
                <w:szCs w:val="11"/>
              </w:rPr>
            </w:pPr>
            <w:r w:rsidRPr="003F3682">
              <w:rPr>
                <w:sz w:val="11"/>
                <w:szCs w:val="11"/>
              </w:rPr>
              <w:t>670,360</w:t>
            </w:r>
          </w:p>
        </w:tc>
        <w:tc>
          <w:tcPr>
            <w:tcW w:w="881" w:type="dxa"/>
            <w:noWrap/>
            <w:tcMar>
              <w:top w:w="18" w:type="dxa"/>
              <w:left w:w="18" w:type="dxa"/>
              <w:bottom w:w="0" w:type="dxa"/>
              <w:right w:w="18" w:type="dxa"/>
            </w:tcMar>
            <w:vAlign w:val="bottom"/>
          </w:tcPr>
          <w:p w14:paraId="47DAEAD1" w14:textId="7918CEDC" w:rsidR="00224102" w:rsidRPr="00692926" w:rsidRDefault="00224102" w:rsidP="00224102">
            <w:pPr>
              <w:spacing w:line="211" w:lineRule="auto"/>
              <w:jc w:val="right"/>
              <w:rPr>
                <w:sz w:val="11"/>
                <w:szCs w:val="11"/>
              </w:rPr>
            </w:pPr>
            <w:r w:rsidRPr="00692926">
              <w:rPr>
                <w:sz w:val="11"/>
                <w:szCs w:val="11"/>
              </w:rPr>
              <w:t>130,832</w:t>
            </w:r>
          </w:p>
        </w:tc>
        <w:tc>
          <w:tcPr>
            <w:tcW w:w="895" w:type="dxa"/>
            <w:noWrap/>
            <w:tcMar>
              <w:top w:w="18" w:type="dxa"/>
              <w:left w:w="18" w:type="dxa"/>
              <w:bottom w:w="0" w:type="dxa"/>
              <w:right w:w="18" w:type="dxa"/>
            </w:tcMar>
            <w:vAlign w:val="bottom"/>
          </w:tcPr>
          <w:p w14:paraId="346F3628" w14:textId="60C33A5F" w:rsidR="00224102" w:rsidRPr="00692926" w:rsidRDefault="00224102" w:rsidP="00224102">
            <w:pPr>
              <w:spacing w:line="211" w:lineRule="auto"/>
              <w:jc w:val="right"/>
              <w:rPr>
                <w:sz w:val="11"/>
                <w:szCs w:val="11"/>
              </w:rPr>
            </w:pPr>
            <w:r w:rsidRPr="00692926">
              <w:rPr>
                <w:sz w:val="11"/>
                <w:szCs w:val="11"/>
              </w:rPr>
              <w:t>148,922</w:t>
            </w:r>
          </w:p>
        </w:tc>
        <w:tc>
          <w:tcPr>
            <w:tcW w:w="896" w:type="dxa"/>
            <w:noWrap/>
            <w:tcMar>
              <w:top w:w="18" w:type="dxa"/>
              <w:left w:w="18" w:type="dxa"/>
              <w:bottom w:w="0" w:type="dxa"/>
              <w:right w:w="18" w:type="dxa"/>
            </w:tcMar>
            <w:vAlign w:val="bottom"/>
          </w:tcPr>
          <w:p w14:paraId="297D7B64" w14:textId="5E40C8F9" w:rsidR="00224102" w:rsidRPr="00692926" w:rsidRDefault="00224102" w:rsidP="00224102">
            <w:pPr>
              <w:spacing w:line="211" w:lineRule="auto"/>
              <w:jc w:val="right"/>
              <w:rPr>
                <w:sz w:val="11"/>
                <w:szCs w:val="11"/>
              </w:rPr>
            </w:pPr>
            <w:r w:rsidRPr="00692926">
              <w:rPr>
                <w:sz w:val="11"/>
                <w:szCs w:val="11"/>
              </w:rPr>
              <w:t>279,754</w:t>
            </w:r>
          </w:p>
        </w:tc>
      </w:tr>
      <w:tr w:rsidR="00224102" w:rsidRPr="00604C75" w14:paraId="6D0B1456" w14:textId="77777777" w:rsidTr="009340BC">
        <w:trPr>
          <w:trHeight w:hRule="exact" w:val="142"/>
        </w:trPr>
        <w:tc>
          <w:tcPr>
            <w:tcW w:w="494" w:type="dxa"/>
            <w:noWrap/>
            <w:tcMar>
              <w:top w:w="18" w:type="dxa"/>
              <w:left w:w="18" w:type="dxa"/>
              <w:bottom w:w="0" w:type="dxa"/>
              <w:right w:w="18" w:type="dxa"/>
            </w:tcMar>
            <w:vAlign w:val="bottom"/>
          </w:tcPr>
          <w:p w14:paraId="12095724"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3.2.3.2</w:t>
            </w:r>
          </w:p>
        </w:tc>
        <w:tc>
          <w:tcPr>
            <w:tcW w:w="3580" w:type="dxa"/>
            <w:noWrap/>
            <w:tcMar>
              <w:top w:w="18" w:type="dxa"/>
              <w:left w:w="18" w:type="dxa"/>
              <w:bottom w:w="0" w:type="dxa"/>
              <w:right w:w="18" w:type="dxa"/>
            </w:tcMar>
            <w:vAlign w:val="bottom"/>
          </w:tcPr>
          <w:p w14:paraId="0B60C10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Foreign Currency Options-Sell</w:t>
            </w:r>
          </w:p>
        </w:tc>
        <w:tc>
          <w:tcPr>
            <w:tcW w:w="644" w:type="dxa"/>
            <w:noWrap/>
            <w:tcMar>
              <w:top w:w="18" w:type="dxa"/>
              <w:left w:w="18" w:type="dxa"/>
              <w:bottom w:w="0" w:type="dxa"/>
              <w:right w:w="18" w:type="dxa"/>
            </w:tcMar>
            <w:vAlign w:val="bottom"/>
          </w:tcPr>
          <w:p w14:paraId="19DA88FB"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6FC5D1AF" w14:textId="7CB34C87" w:rsidR="00224102" w:rsidRPr="003F3682" w:rsidRDefault="00224102" w:rsidP="00224102">
            <w:pPr>
              <w:spacing w:line="211" w:lineRule="auto"/>
              <w:jc w:val="right"/>
              <w:rPr>
                <w:sz w:val="11"/>
                <w:szCs w:val="11"/>
              </w:rPr>
            </w:pPr>
            <w:r w:rsidRPr="003F3682">
              <w:rPr>
                <w:sz w:val="11"/>
                <w:szCs w:val="11"/>
              </w:rPr>
              <w:t>66,287</w:t>
            </w:r>
          </w:p>
        </w:tc>
        <w:tc>
          <w:tcPr>
            <w:tcW w:w="1191" w:type="dxa"/>
            <w:vAlign w:val="bottom"/>
          </w:tcPr>
          <w:p w14:paraId="130A11E0" w14:textId="5D6F046E" w:rsidR="00224102" w:rsidRPr="003F3682" w:rsidRDefault="00224102" w:rsidP="00224102">
            <w:pPr>
              <w:spacing w:line="211" w:lineRule="auto"/>
              <w:jc w:val="right"/>
              <w:rPr>
                <w:sz w:val="11"/>
                <w:szCs w:val="11"/>
              </w:rPr>
            </w:pPr>
            <w:r w:rsidRPr="003F3682">
              <w:rPr>
                <w:sz w:val="11"/>
                <w:szCs w:val="11"/>
              </w:rPr>
              <w:t>603,127</w:t>
            </w:r>
          </w:p>
        </w:tc>
        <w:tc>
          <w:tcPr>
            <w:tcW w:w="896" w:type="dxa"/>
            <w:vAlign w:val="bottom"/>
          </w:tcPr>
          <w:p w14:paraId="045C760D" w14:textId="1FD714E5" w:rsidR="00224102" w:rsidRPr="003F3682" w:rsidRDefault="00224102" w:rsidP="00224102">
            <w:pPr>
              <w:spacing w:line="211" w:lineRule="auto"/>
              <w:jc w:val="right"/>
              <w:rPr>
                <w:sz w:val="11"/>
                <w:szCs w:val="11"/>
              </w:rPr>
            </w:pPr>
            <w:r w:rsidRPr="003F3682">
              <w:rPr>
                <w:sz w:val="11"/>
                <w:szCs w:val="11"/>
              </w:rPr>
              <w:t>669,414</w:t>
            </w:r>
          </w:p>
        </w:tc>
        <w:tc>
          <w:tcPr>
            <w:tcW w:w="881" w:type="dxa"/>
            <w:noWrap/>
            <w:tcMar>
              <w:top w:w="18" w:type="dxa"/>
              <w:left w:w="18" w:type="dxa"/>
              <w:bottom w:w="0" w:type="dxa"/>
              <w:right w:w="18" w:type="dxa"/>
            </w:tcMar>
            <w:vAlign w:val="bottom"/>
          </w:tcPr>
          <w:p w14:paraId="6A29829F" w14:textId="2C80EDC4" w:rsidR="00224102" w:rsidRPr="00692926" w:rsidRDefault="00224102" w:rsidP="00224102">
            <w:pPr>
              <w:spacing w:line="211" w:lineRule="auto"/>
              <w:jc w:val="right"/>
              <w:rPr>
                <w:sz w:val="11"/>
                <w:szCs w:val="11"/>
              </w:rPr>
            </w:pPr>
            <w:r w:rsidRPr="00692926">
              <w:rPr>
                <w:sz w:val="11"/>
                <w:szCs w:val="11"/>
              </w:rPr>
              <w:t>147,687</w:t>
            </w:r>
          </w:p>
        </w:tc>
        <w:tc>
          <w:tcPr>
            <w:tcW w:w="895" w:type="dxa"/>
            <w:noWrap/>
            <w:tcMar>
              <w:top w:w="18" w:type="dxa"/>
              <w:left w:w="18" w:type="dxa"/>
              <w:bottom w:w="0" w:type="dxa"/>
              <w:right w:w="18" w:type="dxa"/>
            </w:tcMar>
            <w:vAlign w:val="bottom"/>
          </w:tcPr>
          <w:p w14:paraId="55850CEA" w14:textId="310B61CC" w:rsidR="00224102" w:rsidRPr="00692926" w:rsidRDefault="00224102" w:rsidP="00224102">
            <w:pPr>
              <w:spacing w:line="211" w:lineRule="auto"/>
              <w:jc w:val="right"/>
              <w:rPr>
                <w:sz w:val="11"/>
                <w:szCs w:val="11"/>
              </w:rPr>
            </w:pPr>
            <w:r w:rsidRPr="00692926">
              <w:rPr>
                <w:sz w:val="11"/>
                <w:szCs w:val="11"/>
              </w:rPr>
              <w:t>129,891</w:t>
            </w:r>
          </w:p>
        </w:tc>
        <w:tc>
          <w:tcPr>
            <w:tcW w:w="896" w:type="dxa"/>
            <w:noWrap/>
            <w:tcMar>
              <w:top w:w="18" w:type="dxa"/>
              <w:left w:w="18" w:type="dxa"/>
              <w:bottom w:w="0" w:type="dxa"/>
              <w:right w:w="18" w:type="dxa"/>
            </w:tcMar>
            <w:vAlign w:val="bottom"/>
          </w:tcPr>
          <w:p w14:paraId="6C4D5036" w14:textId="33F21D9D" w:rsidR="00224102" w:rsidRPr="00692926" w:rsidRDefault="00224102" w:rsidP="00224102">
            <w:pPr>
              <w:spacing w:line="211" w:lineRule="auto"/>
              <w:jc w:val="right"/>
              <w:rPr>
                <w:sz w:val="11"/>
                <w:szCs w:val="11"/>
              </w:rPr>
            </w:pPr>
            <w:r w:rsidRPr="00692926">
              <w:rPr>
                <w:sz w:val="11"/>
                <w:szCs w:val="11"/>
              </w:rPr>
              <w:t>277,578</w:t>
            </w:r>
          </w:p>
        </w:tc>
      </w:tr>
      <w:tr w:rsidR="00224102" w:rsidRPr="00604C75" w14:paraId="77816AD3" w14:textId="77777777" w:rsidTr="009340BC">
        <w:trPr>
          <w:trHeight w:hRule="exact" w:val="142"/>
        </w:trPr>
        <w:tc>
          <w:tcPr>
            <w:tcW w:w="494" w:type="dxa"/>
            <w:noWrap/>
            <w:tcMar>
              <w:top w:w="18" w:type="dxa"/>
              <w:left w:w="18" w:type="dxa"/>
              <w:bottom w:w="0" w:type="dxa"/>
              <w:right w:w="18" w:type="dxa"/>
            </w:tcMar>
            <w:vAlign w:val="bottom"/>
          </w:tcPr>
          <w:p w14:paraId="5D1816A9"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3.2.3.3</w:t>
            </w:r>
          </w:p>
        </w:tc>
        <w:tc>
          <w:tcPr>
            <w:tcW w:w="3580" w:type="dxa"/>
            <w:noWrap/>
            <w:tcMar>
              <w:top w:w="18" w:type="dxa"/>
              <w:left w:w="18" w:type="dxa"/>
              <w:bottom w:w="0" w:type="dxa"/>
              <w:right w:w="18" w:type="dxa"/>
            </w:tcMar>
            <w:vAlign w:val="bottom"/>
          </w:tcPr>
          <w:p w14:paraId="002A2F2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Interest Rate Options-Buy</w:t>
            </w:r>
          </w:p>
        </w:tc>
        <w:tc>
          <w:tcPr>
            <w:tcW w:w="644" w:type="dxa"/>
            <w:noWrap/>
            <w:tcMar>
              <w:top w:w="18" w:type="dxa"/>
              <w:left w:w="18" w:type="dxa"/>
              <w:bottom w:w="0" w:type="dxa"/>
              <w:right w:w="18" w:type="dxa"/>
            </w:tcMar>
            <w:vAlign w:val="bottom"/>
          </w:tcPr>
          <w:p w14:paraId="6D5EE7BE"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6CED4D4C" w14:textId="0791BA49"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66BB4CC6" w14:textId="437EA063" w:rsidR="00224102" w:rsidRPr="003F3682" w:rsidRDefault="00224102" w:rsidP="00224102">
            <w:pPr>
              <w:spacing w:line="211" w:lineRule="auto"/>
              <w:jc w:val="right"/>
              <w:rPr>
                <w:sz w:val="11"/>
                <w:szCs w:val="11"/>
              </w:rPr>
            </w:pPr>
            <w:r w:rsidRPr="003F3682">
              <w:rPr>
                <w:sz w:val="11"/>
                <w:szCs w:val="11"/>
              </w:rPr>
              <w:t>559,714</w:t>
            </w:r>
          </w:p>
        </w:tc>
        <w:tc>
          <w:tcPr>
            <w:tcW w:w="896" w:type="dxa"/>
            <w:vAlign w:val="bottom"/>
          </w:tcPr>
          <w:p w14:paraId="3A7D44FC" w14:textId="6852FF71" w:rsidR="00224102" w:rsidRPr="003F3682" w:rsidRDefault="00224102" w:rsidP="00224102">
            <w:pPr>
              <w:spacing w:line="211" w:lineRule="auto"/>
              <w:jc w:val="right"/>
              <w:rPr>
                <w:sz w:val="11"/>
                <w:szCs w:val="11"/>
              </w:rPr>
            </w:pPr>
            <w:r w:rsidRPr="003F3682">
              <w:rPr>
                <w:sz w:val="11"/>
                <w:szCs w:val="11"/>
              </w:rPr>
              <w:t>559,714</w:t>
            </w:r>
          </w:p>
        </w:tc>
        <w:tc>
          <w:tcPr>
            <w:tcW w:w="881" w:type="dxa"/>
            <w:noWrap/>
            <w:tcMar>
              <w:top w:w="18" w:type="dxa"/>
              <w:left w:w="18" w:type="dxa"/>
              <w:bottom w:w="0" w:type="dxa"/>
              <w:right w:w="18" w:type="dxa"/>
            </w:tcMar>
            <w:vAlign w:val="bottom"/>
          </w:tcPr>
          <w:p w14:paraId="72CC5774" w14:textId="523D4E91"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2443EA2A" w14:textId="20CACB55"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5C7B0BD2" w14:textId="28AB69BB" w:rsidR="00224102" w:rsidRPr="00692926" w:rsidRDefault="00224102" w:rsidP="00224102">
            <w:pPr>
              <w:spacing w:line="211" w:lineRule="auto"/>
              <w:jc w:val="right"/>
              <w:rPr>
                <w:sz w:val="11"/>
                <w:szCs w:val="11"/>
              </w:rPr>
            </w:pPr>
            <w:r w:rsidRPr="00692926">
              <w:rPr>
                <w:sz w:val="11"/>
                <w:szCs w:val="11"/>
              </w:rPr>
              <w:t>-</w:t>
            </w:r>
          </w:p>
        </w:tc>
      </w:tr>
      <w:tr w:rsidR="00224102" w:rsidRPr="00604C75" w14:paraId="6986548C" w14:textId="77777777" w:rsidTr="009340BC">
        <w:trPr>
          <w:trHeight w:hRule="exact" w:val="142"/>
        </w:trPr>
        <w:tc>
          <w:tcPr>
            <w:tcW w:w="494" w:type="dxa"/>
            <w:noWrap/>
            <w:tcMar>
              <w:top w:w="18" w:type="dxa"/>
              <w:left w:w="18" w:type="dxa"/>
              <w:bottom w:w="0" w:type="dxa"/>
              <w:right w:w="18" w:type="dxa"/>
            </w:tcMar>
            <w:vAlign w:val="bottom"/>
          </w:tcPr>
          <w:p w14:paraId="3AEC244D"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3.2.3.4</w:t>
            </w:r>
          </w:p>
        </w:tc>
        <w:tc>
          <w:tcPr>
            <w:tcW w:w="3580" w:type="dxa"/>
            <w:noWrap/>
            <w:tcMar>
              <w:top w:w="18" w:type="dxa"/>
              <w:left w:w="18" w:type="dxa"/>
              <w:bottom w:w="0" w:type="dxa"/>
              <w:right w:w="18" w:type="dxa"/>
            </w:tcMar>
            <w:vAlign w:val="bottom"/>
          </w:tcPr>
          <w:p w14:paraId="10397D5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Interest Rate Options-Sell</w:t>
            </w:r>
          </w:p>
        </w:tc>
        <w:tc>
          <w:tcPr>
            <w:tcW w:w="644" w:type="dxa"/>
            <w:noWrap/>
            <w:tcMar>
              <w:top w:w="18" w:type="dxa"/>
              <w:left w:w="18" w:type="dxa"/>
              <w:bottom w:w="0" w:type="dxa"/>
              <w:right w:w="18" w:type="dxa"/>
            </w:tcMar>
            <w:vAlign w:val="bottom"/>
          </w:tcPr>
          <w:p w14:paraId="088AEEAB"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54F2CB18" w14:textId="56D9EF6B"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016641AC" w14:textId="27B0428C" w:rsidR="00224102" w:rsidRPr="003F3682" w:rsidRDefault="00224102" w:rsidP="00224102">
            <w:pPr>
              <w:spacing w:line="211" w:lineRule="auto"/>
              <w:jc w:val="right"/>
              <w:rPr>
                <w:sz w:val="11"/>
                <w:szCs w:val="11"/>
              </w:rPr>
            </w:pPr>
            <w:r w:rsidRPr="003F3682">
              <w:rPr>
                <w:sz w:val="11"/>
                <w:szCs w:val="11"/>
              </w:rPr>
              <w:t>559,714</w:t>
            </w:r>
          </w:p>
        </w:tc>
        <w:tc>
          <w:tcPr>
            <w:tcW w:w="896" w:type="dxa"/>
            <w:vAlign w:val="bottom"/>
          </w:tcPr>
          <w:p w14:paraId="4AF210D1" w14:textId="0138F20A" w:rsidR="00224102" w:rsidRPr="003F3682" w:rsidRDefault="00224102" w:rsidP="00224102">
            <w:pPr>
              <w:spacing w:line="211" w:lineRule="auto"/>
              <w:jc w:val="right"/>
              <w:rPr>
                <w:sz w:val="11"/>
                <w:szCs w:val="11"/>
              </w:rPr>
            </w:pPr>
            <w:r w:rsidRPr="003F3682">
              <w:rPr>
                <w:sz w:val="11"/>
                <w:szCs w:val="11"/>
              </w:rPr>
              <w:t>559,714</w:t>
            </w:r>
          </w:p>
        </w:tc>
        <w:tc>
          <w:tcPr>
            <w:tcW w:w="881" w:type="dxa"/>
            <w:noWrap/>
            <w:tcMar>
              <w:top w:w="18" w:type="dxa"/>
              <w:left w:w="18" w:type="dxa"/>
              <w:bottom w:w="0" w:type="dxa"/>
              <w:right w:w="18" w:type="dxa"/>
            </w:tcMar>
            <w:vAlign w:val="bottom"/>
          </w:tcPr>
          <w:p w14:paraId="437BF7A5" w14:textId="16E9C6D8" w:rsidR="00224102" w:rsidRPr="00692926" w:rsidRDefault="00224102" w:rsidP="00224102">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14:paraId="05D85275" w14:textId="791FD989" w:rsidR="00224102" w:rsidRPr="00692926" w:rsidRDefault="00224102" w:rsidP="00224102">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14:paraId="56DFF9FD" w14:textId="70C80A88" w:rsidR="00224102" w:rsidRPr="00692926" w:rsidRDefault="00224102" w:rsidP="00224102">
            <w:pPr>
              <w:spacing w:line="211" w:lineRule="auto"/>
              <w:jc w:val="right"/>
              <w:rPr>
                <w:b/>
                <w:sz w:val="11"/>
                <w:szCs w:val="11"/>
              </w:rPr>
            </w:pPr>
            <w:r w:rsidRPr="00692926">
              <w:rPr>
                <w:b/>
                <w:sz w:val="11"/>
                <w:szCs w:val="11"/>
              </w:rPr>
              <w:t>-</w:t>
            </w:r>
          </w:p>
        </w:tc>
      </w:tr>
      <w:tr w:rsidR="00224102" w:rsidRPr="00604C75" w14:paraId="4DF8CEDD" w14:textId="77777777" w:rsidTr="009340BC">
        <w:trPr>
          <w:trHeight w:hRule="exact" w:val="142"/>
        </w:trPr>
        <w:tc>
          <w:tcPr>
            <w:tcW w:w="494" w:type="dxa"/>
            <w:noWrap/>
            <w:tcMar>
              <w:top w:w="18" w:type="dxa"/>
              <w:left w:w="18" w:type="dxa"/>
              <w:bottom w:w="0" w:type="dxa"/>
              <w:right w:w="18" w:type="dxa"/>
            </w:tcMar>
            <w:vAlign w:val="bottom"/>
          </w:tcPr>
          <w:p w14:paraId="61665F71"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3.2.3.5</w:t>
            </w:r>
          </w:p>
        </w:tc>
        <w:tc>
          <w:tcPr>
            <w:tcW w:w="3580" w:type="dxa"/>
            <w:noWrap/>
            <w:tcMar>
              <w:top w:w="18" w:type="dxa"/>
              <w:left w:w="18" w:type="dxa"/>
              <w:bottom w:w="0" w:type="dxa"/>
              <w:right w:w="18" w:type="dxa"/>
            </w:tcMar>
            <w:vAlign w:val="bottom"/>
          </w:tcPr>
          <w:p w14:paraId="2F68511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Securities Options-Buy</w:t>
            </w:r>
          </w:p>
        </w:tc>
        <w:tc>
          <w:tcPr>
            <w:tcW w:w="644" w:type="dxa"/>
            <w:noWrap/>
            <w:tcMar>
              <w:top w:w="18" w:type="dxa"/>
              <w:left w:w="18" w:type="dxa"/>
              <w:bottom w:w="0" w:type="dxa"/>
              <w:right w:w="18" w:type="dxa"/>
            </w:tcMar>
            <w:vAlign w:val="bottom"/>
          </w:tcPr>
          <w:p w14:paraId="4FFA9293"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5AD60158" w14:textId="1D69E601" w:rsidR="00224102" w:rsidRPr="00692926" w:rsidRDefault="00224102" w:rsidP="00224102">
            <w:pPr>
              <w:spacing w:line="211" w:lineRule="auto"/>
              <w:jc w:val="right"/>
              <w:rPr>
                <w:b/>
                <w:sz w:val="11"/>
                <w:szCs w:val="11"/>
              </w:rPr>
            </w:pPr>
            <w:r w:rsidRPr="005C7ECF">
              <w:rPr>
                <w:b/>
                <w:sz w:val="11"/>
                <w:szCs w:val="11"/>
              </w:rPr>
              <w:t>-</w:t>
            </w:r>
          </w:p>
        </w:tc>
        <w:tc>
          <w:tcPr>
            <w:tcW w:w="1191" w:type="dxa"/>
            <w:vAlign w:val="bottom"/>
          </w:tcPr>
          <w:p w14:paraId="5EFE750B" w14:textId="3A9976E7" w:rsidR="00224102" w:rsidRPr="00692926" w:rsidRDefault="00224102" w:rsidP="00224102">
            <w:pPr>
              <w:spacing w:line="211" w:lineRule="auto"/>
              <w:jc w:val="right"/>
              <w:rPr>
                <w:b/>
                <w:sz w:val="11"/>
                <w:szCs w:val="11"/>
              </w:rPr>
            </w:pPr>
            <w:r w:rsidRPr="005C7ECF">
              <w:rPr>
                <w:b/>
                <w:sz w:val="11"/>
                <w:szCs w:val="11"/>
              </w:rPr>
              <w:t>-</w:t>
            </w:r>
          </w:p>
        </w:tc>
        <w:tc>
          <w:tcPr>
            <w:tcW w:w="896" w:type="dxa"/>
            <w:vAlign w:val="bottom"/>
          </w:tcPr>
          <w:p w14:paraId="62DD0C4C" w14:textId="60ADB0A4" w:rsidR="00224102" w:rsidRPr="00692926" w:rsidRDefault="00224102" w:rsidP="00224102">
            <w:pPr>
              <w:spacing w:line="211" w:lineRule="auto"/>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552DAFA0" w14:textId="7A4C56DE" w:rsidR="00224102" w:rsidRPr="00692926" w:rsidRDefault="00224102" w:rsidP="00224102">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14:paraId="54B77C2B" w14:textId="61687190" w:rsidR="00224102" w:rsidRPr="00692926" w:rsidRDefault="00224102" w:rsidP="00224102">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14:paraId="1E235ECE" w14:textId="7AA39E53" w:rsidR="00224102" w:rsidRPr="00692926" w:rsidRDefault="00224102" w:rsidP="00224102">
            <w:pPr>
              <w:spacing w:line="211" w:lineRule="auto"/>
              <w:jc w:val="right"/>
              <w:rPr>
                <w:b/>
                <w:sz w:val="11"/>
                <w:szCs w:val="11"/>
              </w:rPr>
            </w:pPr>
            <w:r w:rsidRPr="00692926">
              <w:rPr>
                <w:b/>
                <w:sz w:val="11"/>
                <w:szCs w:val="11"/>
              </w:rPr>
              <w:t>-</w:t>
            </w:r>
          </w:p>
        </w:tc>
      </w:tr>
      <w:tr w:rsidR="00224102" w:rsidRPr="00604C75" w14:paraId="257A7A80" w14:textId="77777777" w:rsidTr="009340BC">
        <w:trPr>
          <w:trHeight w:hRule="exact" w:val="142"/>
        </w:trPr>
        <w:tc>
          <w:tcPr>
            <w:tcW w:w="494" w:type="dxa"/>
            <w:noWrap/>
            <w:tcMar>
              <w:top w:w="18" w:type="dxa"/>
              <w:left w:w="18" w:type="dxa"/>
              <w:bottom w:w="0" w:type="dxa"/>
              <w:right w:w="18" w:type="dxa"/>
            </w:tcMar>
            <w:vAlign w:val="bottom"/>
          </w:tcPr>
          <w:p w14:paraId="5D24DFC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3.2.3.6</w:t>
            </w:r>
          </w:p>
        </w:tc>
        <w:tc>
          <w:tcPr>
            <w:tcW w:w="3580" w:type="dxa"/>
            <w:noWrap/>
            <w:tcMar>
              <w:top w:w="18" w:type="dxa"/>
              <w:left w:w="18" w:type="dxa"/>
              <w:bottom w:w="0" w:type="dxa"/>
              <w:right w:w="18" w:type="dxa"/>
            </w:tcMar>
            <w:vAlign w:val="bottom"/>
          </w:tcPr>
          <w:p w14:paraId="6AAAD4C6"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Securities Options-Sell</w:t>
            </w:r>
          </w:p>
        </w:tc>
        <w:tc>
          <w:tcPr>
            <w:tcW w:w="644" w:type="dxa"/>
            <w:noWrap/>
            <w:tcMar>
              <w:top w:w="18" w:type="dxa"/>
              <w:left w:w="18" w:type="dxa"/>
              <w:bottom w:w="0" w:type="dxa"/>
              <w:right w:w="18" w:type="dxa"/>
            </w:tcMar>
            <w:vAlign w:val="bottom"/>
          </w:tcPr>
          <w:p w14:paraId="36B1A232"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57A83214" w14:textId="31E734E0" w:rsidR="00224102" w:rsidRPr="00692926" w:rsidRDefault="00224102" w:rsidP="00224102">
            <w:pPr>
              <w:spacing w:line="211" w:lineRule="auto"/>
              <w:jc w:val="right"/>
              <w:rPr>
                <w:b/>
                <w:sz w:val="11"/>
                <w:szCs w:val="11"/>
              </w:rPr>
            </w:pPr>
            <w:r w:rsidRPr="005C7ECF">
              <w:rPr>
                <w:b/>
                <w:sz w:val="11"/>
                <w:szCs w:val="11"/>
              </w:rPr>
              <w:t>-</w:t>
            </w:r>
          </w:p>
        </w:tc>
        <w:tc>
          <w:tcPr>
            <w:tcW w:w="1191" w:type="dxa"/>
            <w:vAlign w:val="bottom"/>
          </w:tcPr>
          <w:p w14:paraId="6A9601E7" w14:textId="0A1EC9E6" w:rsidR="00224102" w:rsidRPr="00692926" w:rsidRDefault="00224102" w:rsidP="00224102">
            <w:pPr>
              <w:spacing w:line="211" w:lineRule="auto"/>
              <w:jc w:val="right"/>
              <w:rPr>
                <w:b/>
                <w:sz w:val="11"/>
                <w:szCs w:val="11"/>
              </w:rPr>
            </w:pPr>
            <w:r w:rsidRPr="005C7ECF">
              <w:rPr>
                <w:b/>
                <w:sz w:val="11"/>
                <w:szCs w:val="11"/>
              </w:rPr>
              <w:t>-</w:t>
            </w:r>
          </w:p>
        </w:tc>
        <w:tc>
          <w:tcPr>
            <w:tcW w:w="896" w:type="dxa"/>
            <w:vAlign w:val="bottom"/>
          </w:tcPr>
          <w:p w14:paraId="17D3F68D" w14:textId="1F293452" w:rsidR="00224102" w:rsidRPr="00692926" w:rsidRDefault="00224102" w:rsidP="00224102">
            <w:pPr>
              <w:spacing w:line="211" w:lineRule="auto"/>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39A64DD3" w14:textId="5BE90C29" w:rsidR="00224102" w:rsidRPr="00692926" w:rsidRDefault="00224102" w:rsidP="00224102">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14:paraId="3C045FE2" w14:textId="712ED239" w:rsidR="00224102" w:rsidRPr="00692926" w:rsidRDefault="00224102" w:rsidP="00224102">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14:paraId="0EDF3ED7" w14:textId="3D29EFFC" w:rsidR="00224102" w:rsidRPr="00692926" w:rsidRDefault="00224102" w:rsidP="00224102">
            <w:pPr>
              <w:spacing w:line="211" w:lineRule="auto"/>
              <w:jc w:val="right"/>
              <w:rPr>
                <w:b/>
                <w:sz w:val="11"/>
                <w:szCs w:val="11"/>
              </w:rPr>
            </w:pPr>
            <w:r w:rsidRPr="00692926">
              <w:rPr>
                <w:b/>
                <w:sz w:val="11"/>
                <w:szCs w:val="11"/>
              </w:rPr>
              <w:t>-</w:t>
            </w:r>
          </w:p>
        </w:tc>
      </w:tr>
      <w:tr w:rsidR="00224102" w:rsidRPr="00604C75" w14:paraId="2202AFAF" w14:textId="77777777" w:rsidTr="009340BC">
        <w:trPr>
          <w:trHeight w:hRule="exact" w:val="142"/>
        </w:trPr>
        <w:tc>
          <w:tcPr>
            <w:tcW w:w="494" w:type="dxa"/>
            <w:noWrap/>
            <w:tcMar>
              <w:top w:w="18" w:type="dxa"/>
              <w:left w:w="18" w:type="dxa"/>
              <w:bottom w:w="0" w:type="dxa"/>
              <w:right w:w="18" w:type="dxa"/>
            </w:tcMar>
            <w:vAlign w:val="bottom"/>
          </w:tcPr>
          <w:p w14:paraId="66BA4369"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3.2.4</w:t>
            </w:r>
          </w:p>
        </w:tc>
        <w:tc>
          <w:tcPr>
            <w:tcW w:w="3580" w:type="dxa"/>
            <w:noWrap/>
            <w:tcMar>
              <w:top w:w="18" w:type="dxa"/>
              <w:left w:w="18" w:type="dxa"/>
              <w:bottom w:w="0" w:type="dxa"/>
              <w:right w:w="18" w:type="dxa"/>
            </w:tcMar>
            <w:vAlign w:val="bottom"/>
          </w:tcPr>
          <w:p w14:paraId="12B8F4D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Foreign Currency Futures</w:t>
            </w:r>
          </w:p>
        </w:tc>
        <w:tc>
          <w:tcPr>
            <w:tcW w:w="644" w:type="dxa"/>
            <w:noWrap/>
            <w:tcMar>
              <w:top w:w="18" w:type="dxa"/>
              <w:left w:w="18" w:type="dxa"/>
              <w:bottom w:w="0" w:type="dxa"/>
              <w:right w:w="18" w:type="dxa"/>
            </w:tcMar>
            <w:vAlign w:val="bottom"/>
          </w:tcPr>
          <w:p w14:paraId="5C9623A3"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06E21942" w14:textId="4A748B6C" w:rsidR="00224102" w:rsidRPr="003F3682" w:rsidRDefault="00224102" w:rsidP="00224102">
            <w:pPr>
              <w:spacing w:line="211" w:lineRule="auto"/>
              <w:jc w:val="right"/>
              <w:rPr>
                <w:b/>
                <w:sz w:val="11"/>
                <w:szCs w:val="11"/>
              </w:rPr>
            </w:pPr>
            <w:r w:rsidRPr="005C7ECF">
              <w:rPr>
                <w:b/>
                <w:sz w:val="11"/>
                <w:szCs w:val="11"/>
              </w:rPr>
              <w:t>-</w:t>
            </w:r>
          </w:p>
        </w:tc>
        <w:tc>
          <w:tcPr>
            <w:tcW w:w="1191" w:type="dxa"/>
            <w:vAlign w:val="bottom"/>
          </w:tcPr>
          <w:p w14:paraId="2AEFA1D0" w14:textId="7B81D682" w:rsidR="00224102" w:rsidRPr="003F3682" w:rsidRDefault="00224102" w:rsidP="00224102">
            <w:pPr>
              <w:spacing w:line="211" w:lineRule="auto"/>
              <w:jc w:val="right"/>
              <w:rPr>
                <w:b/>
                <w:sz w:val="11"/>
                <w:szCs w:val="11"/>
              </w:rPr>
            </w:pPr>
            <w:r w:rsidRPr="005C7ECF">
              <w:rPr>
                <w:b/>
                <w:sz w:val="11"/>
                <w:szCs w:val="11"/>
              </w:rPr>
              <w:t>-</w:t>
            </w:r>
          </w:p>
        </w:tc>
        <w:tc>
          <w:tcPr>
            <w:tcW w:w="896" w:type="dxa"/>
            <w:vAlign w:val="bottom"/>
          </w:tcPr>
          <w:p w14:paraId="461F822D" w14:textId="444397EB" w:rsidR="00224102" w:rsidRPr="003F3682" w:rsidRDefault="00224102" w:rsidP="00224102">
            <w:pPr>
              <w:spacing w:line="211" w:lineRule="auto"/>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41D1DB7A" w14:textId="45645363" w:rsidR="00224102" w:rsidRPr="00692926" w:rsidRDefault="00224102" w:rsidP="00224102">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14:paraId="2ADDBD13" w14:textId="0885C26D" w:rsidR="00224102" w:rsidRPr="00692926" w:rsidRDefault="00224102" w:rsidP="00224102">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14:paraId="17AB4F02" w14:textId="763F1E65" w:rsidR="00224102" w:rsidRPr="00692926" w:rsidRDefault="00224102" w:rsidP="00224102">
            <w:pPr>
              <w:spacing w:line="211" w:lineRule="auto"/>
              <w:jc w:val="right"/>
              <w:rPr>
                <w:b/>
                <w:sz w:val="11"/>
                <w:szCs w:val="11"/>
              </w:rPr>
            </w:pPr>
            <w:r w:rsidRPr="00692926">
              <w:rPr>
                <w:b/>
                <w:sz w:val="11"/>
                <w:szCs w:val="11"/>
              </w:rPr>
              <w:t>-</w:t>
            </w:r>
          </w:p>
        </w:tc>
      </w:tr>
      <w:tr w:rsidR="00224102" w:rsidRPr="00604C75" w14:paraId="299B7E15" w14:textId="77777777" w:rsidTr="009340BC">
        <w:trPr>
          <w:trHeight w:hRule="exact" w:val="142"/>
        </w:trPr>
        <w:tc>
          <w:tcPr>
            <w:tcW w:w="494" w:type="dxa"/>
            <w:noWrap/>
            <w:tcMar>
              <w:top w:w="18" w:type="dxa"/>
              <w:left w:w="18" w:type="dxa"/>
              <w:bottom w:w="0" w:type="dxa"/>
              <w:right w:w="18" w:type="dxa"/>
            </w:tcMar>
            <w:vAlign w:val="bottom"/>
          </w:tcPr>
          <w:p w14:paraId="5C1A89A4"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3.2.4.1</w:t>
            </w:r>
          </w:p>
        </w:tc>
        <w:tc>
          <w:tcPr>
            <w:tcW w:w="3580" w:type="dxa"/>
            <w:noWrap/>
            <w:tcMar>
              <w:top w:w="18" w:type="dxa"/>
              <w:left w:w="18" w:type="dxa"/>
              <w:bottom w:w="0" w:type="dxa"/>
              <w:right w:w="18" w:type="dxa"/>
            </w:tcMar>
            <w:vAlign w:val="bottom"/>
          </w:tcPr>
          <w:p w14:paraId="011F33D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Foreign Currency Futures-Buy</w:t>
            </w:r>
          </w:p>
        </w:tc>
        <w:tc>
          <w:tcPr>
            <w:tcW w:w="644" w:type="dxa"/>
            <w:noWrap/>
            <w:tcMar>
              <w:top w:w="18" w:type="dxa"/>
              <w:left w:w="18" w:type="dxa"/>
              <w:bottom w:w="0" w:type="dxa"/>
              <w:right w:w="18" w:type="dxa"/>
            </w:tcMar>
            <w:vAlign w:val="bottom"/>
          </w:tcPr>
          <w:p w14:paraId="2514A216" w14:textId="77777777" w:rsidR="00224102" w:rsidRPr="00604C75" w:rsidRDefault="00224102" w:rsidP="00224102">
            <w:pPr>
              <w:spacing w:line="211" w:lineRule="auto"/>
              <w:jc w:val="center"/>
              <w:rPr>
                <w:b/>
                <w:bCs/>
                <w:sz w:val="10"/>
                <w:szCs w:val="10"/>
                <w:lang w:val="tr-TR"/>
              </w:rPr>
            </w:pPr>
          </w:p>
        </w:tc>
        <w:tc>
          <w:tcPr>
            <w:tcW w:w="895" w:type="dxa"/>
            <w:vAlign w:val="bottom"/>
          </w:tcPr>
          <w:p w14:paraId="239AFDD0" w14:textId="72D4DA32" w:rsidR="00224102" w:rsidRPr="00692926" w:rsidRDefault="00224102" w:rsidP="00224102">
            <w:pPr>
              <w:spacing w:line="211" w:lineRule="auto"/>
              <w:jc w:val="right"/>
              <w:rPr>
                <w:b/>
                <w:sz w:val="11"/>
                <w:szCs w:val="11"/>
              </w:rPr>
            </w:pPr>
            <w:r w:rsidRPr="005C7ECF">
              <w:rPr>
                <w:b/>
                <w:sz w:val="11"/>
                <w:szCs w:val="11"/>
              </w:rPr>
              <w:t>-</w:t>
            </w:r>
          </w:p>
        </w:tc>
        <w:tc>
          <w:tcPr>
            <w:tcW w:w="1191" w:type="dxa"/>
            <w:vAlign w:val="bottom"/>
          </w:tcPr>
          <w:p w14:paraId="0C07CF0C" w14:textId="6F71A1FB" w:rsidR="00224102" w:rsidRPr="00692926" w:rsidRDefault="00224102" w:rsidP="00224102">
            <w:pPr>
              <w:spacing w:line="211" w:lineRule="auto"/>
              <w:jc w:val="right"/>
              <w:rPr>
                <w:b/>
                <w:sz w:val="11"/>
                <w:szCs w:val="11"/>
              </w:rPr>
            </w:pPr>
            <w:r w:rsidRPr="005C7ECF">
              <w:rPr>
                <w:b/>
                <w:sz w:val="11"/>
                <w:szCs w:val="11"/>
              </w:rPr>
              <w:t>-</w:t>
            </w:r>
          </w:p>
        </w:tc>
        <w:tc>
          <w:tcPr>
            <w:tcW w:w="896" w:type="dxa"/>
            <w:vAlign w:val="bottom"/>
          </w:tcPr>
          <w:p w14:paraId="229EBD37" w14:textId="00491784" w:rsidR="00224102" w:rsidRPr="00692926" w:rsidRDefault="00224102" w:rsidP="00224102">
            <w:pPr>
              <w:spacing w:line="211" w:lineRule="auto"/>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3ECDAB81" w14:textId="1F6A9892" w:rsidR="00224102" w:rsidRPr="00692926" w:rsidRDefault="00224102" w:rsidP="00224102">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14:paraId="73393EC0" w14:textId="5E2C36B1" w:rsidR="00224102" w:rsidRPr="00692926" w:rsidRDefault="00224102" w:rsidP="00224102">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14:paraId="76294DD3" w14:textId="30B2CB8D" w:rsidR="00224102" w:rsidRPr="00692926" w:rsidRDefault="00224102" w:rsidP="00224102">
            <w:pPr>
              <w:spacing w:line="211" w:lineRule="auto"/>
              <w:jc w:val="right"/>
              <w:rPr>
                <w:b/>
                <w:sz w:val="11"/>
                <w:szCs w:val="11"/>
              </w:rPr>
            </w:pPr>
            <w:r w:rsidRPr="00692926">
              <w:rPr>
                <w:b/>
                <w:sz w:val="11"/>
                <w:szCs w:val="11"/>
              </w:rPr>
              <w:t>-</w:t>
            </w:r>
          </w:p>
        </w:tc>
      </w:tr>
      <w:tr w:rsidR="00224102" w:rsidRPr="00604C75" w14:paraId="3AC410EA" w14:textId="77777777" w:rsidTr="009340BC">
        <w:trPr>
          <w:trHeight w:hRule="exact" w:val="142"/>
        </w:trPr>
        <w:tc>
          <w:tcPr>
            <w:tcW w:w="494" w:type="dxa"/>
            <w:noWrap/>
            <w:tcMar>
              <w:top w:w="18" w:type="dxa"/>
              <w:left w:w="18" w:type="dxa"/>
              <w:bottom w:w="0" w:type="dxa"/>
              <w:right w:w="18" w:type="dxa"/>
            </w:tcMar>
            <w:vAlign w:val="bottom"/>
          </w:tcPr>
          <w:p w14:paraId="4D40AAC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3.2.4.2</w:t>
            </w:r>
          </w:p>
        </w:tc>
        <w:tc>
          <w:tcPr>
            <w:tcW w:w="3580" w:type="dxa"/>
            <w:noWrap/>
            <w:tcMar>
              <w:top w:w="18" w:type="dxa"/>
              <w:left w:w="18" w:type="dxa"/>
              <w:bottom w:w="0" w:type="dxa"/>
              <w:right w:w="18" w:type="dxa"/>
            </w:tcMar>
            <w:vAlign w:val="bottom"/>
          </w:tcPr>
          <w:p w14:paraId="44E50C4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Foreign Currency Futures-Sell</w:t>
            </w:r>
          </w:p>
        </w:tc>
        <w:tc>
          <w:tcPr>
            <w:tcW w:w="644" w:type="dxa"/>
            <w:noWrap/>
            <w:tcMar>
              <w:top w:w="18" w:type="dxa"/>
              <w:left w:w="18" w:type="dxa"/>
              <w:bottom w:w="0" w:type="dxa"/>
              <w:right w:w="18" w:type="dxa"/>
            </w:tcMar>
            <w:vAlign w:val="bottom"/>
          </w:tcPr>
          <w:p w14:paraId="2215EF05"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3E7F4EC2" w14:textId="3131FD46" w:rsidR="00224102" w:rsidRPr="00692926" w:rsidRDefault="00224102" w:rsidP="00224102">
            <w:pPr>
              <w:spacing w:line="211" w:lineRule="auto"/>
              <w:jc w:val="right"/>
              <w:rPr>
                <w:b/>
                <w:sz w:val="11"/>
                <w:szCs w:val="11"/>
              </w:rPr>
            </w:pPr>
            <w:r w:rsidRPr="005C7ECF">
              <w:rPr>
                <w:b/>
                <w:sz w:val="11"/>
                <w:szCs w:val="11"/>
              </w:rPr>
              <w:t>-</w:t>
            </w:r>
          </w:p>
        </w:tc>
        <w:tc>
          <w:tcPr>
            <w:tcW w:w="1191" w:type="dxa"/>
            <w:vAlign w:val="bottom"/>
          </w:tcPr>
          <w:p w14:paraId="34FD4E4E" w14:textId="31346EE4" w:rsidR="00224102" w:rsidRPr="00692926" w:rsidRDefault="00224102" w:rsidP="00224102">
            <w:pPr>
              <w:spacing w:line="211" w:lineRule="auto"/>
              <w:jc w:val="right"/>
              <w:rPr>
                <w:b/>
                <w:sz w:val="11"/>
                <w:szCs w:val="11"/>
              </w:rPr>
            </w:pPr>
            <w:r w:rsidRPr="005C7ECF">
              <w:rPr>
                <w:b/>
                <w:sz w:val="11"/>
                <w:szCs w:val="11"/>
              </w:rPr>
              <w:t>-</w:t>
            </w:r>
          </w:p>
        </w:tc>
        <w:tc>
          <w:tcPr>
            <w:tcW w:w="896" w:type="dxa"/>
            <w:vAlign w:val="bottom"/>
          </w:tcPr>
          <w:p w14:paraId="74B1DA67" w14:textId="5D58F921" w:rsidR="00224102" w:rsidRPr="00692926" w:rsidRDefault="00224102" w:rsidP="00224102">
            <w:pPr>
              <w:spacing w:line="211" w:lineRule="auto"/>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661499FA" w14:textId="5A8F077B" w:rsidR="00224102" w:rsidRPr="00692926" w:rsidRDefault="00224102" w:rsidP="00224102">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14:paraId="3F63EFB3" w14:textId="0A2079C1" w:rsidR="00224102" w:rsidRPr="00692926" w:rsidRDefault="00224102" w:rsidP="00224102">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14:paraId="77EF84BC" w14:textId="5B6B0E1F" w:rsidR="00224102" w:rsidRPr="00692926" w:rsidRDefault="00224102" w:rsidP="00224102">
            <w:pPr>
              <w:spacing w:line="211" w:lineRule="auto"/>
              <w:jc w:val="right"/>
              <w:rPr>
                <w:b/>
                <w:sz w:val="11"/>
                <w:szCs w:val="11"/>
              </w:rPr>
            </w:pPr>
            <w:r w:rsidRPr="00692926">
              <w:rPr>
                <w:b/>
                <w:sz w:val="11"/>
                <w:szCs w:val="11"/>
              </w:rPr>
              <w:t>-</w:t>
            </w:r>
          </w:p>
        </w:tc>
      </w:tr>
      <w:tr w:rsidR="00224102" w:rsidRPr="00604C75" w14:paraId="33293A90" w14:textId="77777777" w:rsidTr="009340BC">
        <w:trPr>
          <w:trHeight w:hRule="exact" w:val="142"/>
        </w:trPr>
        <w:tc>
          <w:tcPr>
            <w:tcW w:w="494" w:type="dxa"/>
            <w:noWrap/>
            <w:tcMar>
              <w:top w:w="18" w:type="dxa"/>
              <w:left w:w="18" w:type="dxa"/>
              <w:bottom w:w="0" w:type="dxa"/>
              <w:right w:w="18" w:type="dxa"/>
            </w:tcMar>
            <w:vAlign w:val="bottom"/>
          </w:tcPr>
          <w:p w14:paraId="0EC9BB26"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3.2.5</w:t>
            </w:r>
          </w:p>
        </w:tc>
        <w:tc>
          <w:tcPr>
            <w:tcW w:w="3580" w:type="dxa"/>
            <w:noWrap/>
            <w:tcMar>
              <w:top w:w="18" w:type="dxa"/>
              <w:left w:w="18" w:type="dxa"/>
              <w:bottom w:w="0" w:type="dxa"/>
              <w:right w:w="18" w:type="dxa"/>
            </w:tcMar>
            <w:vAlign w:val="bottom"/>
          </w:tcPr>
          <w:p w14:paraId="6C1D67F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Interest Rate Futures</w:t>
            </w:r>
          </w:p>
        </w:tc>
        <w:tc>
          <w:tcPr>
            <w:tcW w:w="644" w:type="dxa"/>
            <w:noWrap/>
            <w:tcMar>
              <w:top w:w="18" w:type="dxa"/>
              <w:left w:w="18" w:type="dxa"/>
              <w:bottom w:w="0" w:type="dxa"/>
              <w:right w:w="18" w:type="dxa"/>
            </w:tcMar>
            <w:vAlign w:val="bottom"/>
          </w:tcPr>
          <w:p w14:paraId="3F2B1DD1"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7423AAB9" w14:textId="4BB277BB" w:rsidR="00224102" w:rsidRPr="003F3682" w:rsidRDefault="00224102" w:rsidP="00224102">
            <w:pPr>
              <w:spacing w:line="211" w:lineRule="auto"/>
              <w:jc w:val="right"/>
              <w:rPr>
                <w:b/>
                <w:sz w:val="11"/>
                <w:szCs w:val="11"/>
              </w:rPr>
            </w:pPr>
            <w:r w:rsidRPr="005C7ECF">
              <w:rPr>
                <w:b/>
                <w:sz w:val="11"/>
                <w:szCs w:val="11"/>
              </w:rPr>
              <w:t>-</w:t>
            </w:r>
          </w:p>
        </w:tc>
        <w:tc>
          <w:tcPr>
            <w:tcW w:w="1191" w:type="dxa"/>
            <w:vAlign w:val="bottom"/>
          </w:tcPr>
          <w:p w14:paraId="17596635" w14:textId="022C65B8" w:rsidR="00224102" w:rsidRPr="003F3682" w:rsidRDefault="00224102" w:rsidP="00224102">
            <w:pPr>
              <w:spacing w:line="211" w:lineRule="auto"/>
              <w:jc w:val="right"/>
              <w:rPr>
                <w:b/>
                <w:sz w:val="11"/>
                <w:szCs w:val="11"/>
              </w:rPr>
            </w:pPr>
            <w:r w:rsidRPr="005C7ECF">
              <w:rPr>
                <w:b/>
                <w:sz w:val="11"/>
                <w:szCs w:val="11"/>
              </w:rPr>
              <w:t>-</w:t>
            </w:r>
          </w:p>
        </w:tc>
        <w:tc>
          <w:tcPr>
            <w:tcW w:w="896" w:type="dxa"/>
            <w:vAlign w:val="bottom"/>
          </w:tcPr>
          <w:p w14:paraId="5BB2C16A" w14:textId="4B98DECC" w:rsidR="00224102" w:rsidRPr="00692926" w:rsidRDefault="00224102" w:rsidP="00224102">
            <w:pPr>
              <w:spacing w:line="211" w:lineRule="auto"/>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73B2E841" w14:textId="445DED9B" w:rsidR="00224102" w:rsidRPr="00692926" w:rsidRDefault="00224102" w:rsidP="00224102">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14:paraId="31850345" w14:textId="2A09260C" w:rsidR="00224102" w:rsidRPr="00692926" w:rsidRDefault="00224102" w:rsidP="00224102">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14:paraId="56DB3912" w14:textId="37EB9E57" w:rsidR="00224102" w:rsidRPr="00692926" w:rsidRDefault="00224102" w:rsidP="00224102">
            <w:pPr>
              <w:spacing w:line="211" w:lineRule="auto"/>
              <w:jc w:val="right"/>
              <w:rPr>
                <w:b/>
                <w:sz w:val="11"/>
                <w:szCs w:val="11"/>
              </w:rPr>
            </w:pPr>
            <w:r w:rsidRPr="00692926">
              <w:rPr>
                <w:b/>
                <w:sz w:val="11"/>
                <w:szCs w:val="11"/>
              </w:rPr>
              <w:t>-</w:t>
            </w:r>
          </w:p>
        </w:tc>
      </w:tr>
      <w:tr w:rsidR="00224102" w:rsidRPr="00604C75" w14:paraId="360A4B38" w14:textId="77777777" w:rsidTr="009340BC">
        <w:trPr>
          <w:trHeight w:hRule="exact" w:val="142"/>
        </w:trPr>
        <w:tc>
          <w:tcPr>
            <w:tcW w:w="494" w:type="dxa"/>
            <w:noWrap/>
            <w:tcMar>
              <w:top w:w="18" w:type="dxa"/>
              <w:left w:w="18" w:type="dxa"/>
              <w:bottom w:w="0" w:type="dxa"/>
              <w:right w:w="18" w:type="dxa"/>
            </w:tcMar>
            <w:vAlign w:val="bottom"/>
          </w:tcPr>
          <w:p w14:paraId="4FB863A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3.2.5.1</w:t>
            </w:r>
          </w:p>
        </w:tc>
        <w:tc>
          <w:tcPr>
            <w:tcW w:w="3580" w:type="dxa"/>
            <w:noWrap/>
            <w:tcMar>
              <w:top w:w="18" w:type="dxa"/>
              <w:left w:w="18" w:type="dxa"/>
              <w:bottom w:w="0" w:type="dxa"/>
              <w:right w:w="18" w:type="dxa"/>
            </w:tcMar>
            <w:vAlign w:val="bottom"/>
          </w:tcPr>
          <w:p w14:paraId="6FD4DAF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Interest Rate Futures-Buy</w:t>
            </w:r>
          </w:p>
        </w:tc>
        <w:tc>
          <w:tcPr>
            <w:tcW w:w="644" w:type="dxa"/>
            <w:noWrap/>
            <w:tcMar>
              <w:top w:w="18" w:type="dxa"/>
              <w:left w:w="18" w:type="dxa"/>
              <w:bottom w:w="0" w:type="dxa"/>
              <w:right w:w="18" w:type="dxa"/>
            </w:tcMar>
            <w:vAlign w:val="bottom"/>
          </w:tcPr>
          <w:p w14:paraId="53E1C80B"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17C42763" w14:textId="058F521D" w:rsidR="00224102" w:rsidRPr="00692926" w:rsidRDefault="00224102" w:rsidP="00224102">
            <w:pPr>
              <w:spacing w:line="211" w:lineRule="auto"/>
              <w:jc w:val="right"/>
              <w:rPr>
                <w:b/>
                <w:sz w:val="11"/>
                <w:szCs w:val="11"/>
              </w:rPr>
            </w:pPr>
            <w:r w:rsidRPr="005C7ECF">
              <w:rPr>
                <w:b/>
                <w:sz w:val="11"/>
                <w:szCs w:val="11"/>
              </w:rPr>
              <w:t>-</w:t>
            </w:r>
          </w:p>
        </w:tc>
        <w:tc>
          <w:tcPr>
            <w:tcW w:w="1191" w:type="dxa"/>
            <w:vAlign w:val="bottom"/>
          </w:tcPr>
          <w:p w14:paraId="5B27CF30" w14:textId="509F9F36" w:rsidR="00224102" w:rsidRPr="00692926" w:rsidRDefault="00224102" w:rsidP="00224102">
            <w:pPr>
              <w:spacing w:line="211" w:lineRule="auto"/>
              <w:jc w:val="right"/>
              <w:rPr>
                <w:b/>
                <w:sz w:val="11"/>
                <w:szCs w:val="11"/>
              </w:rPr>
            </w:pPr>
            <w:r w:rsidRPr="005C7ECF">
              <w:rPr>
                <w:b/>
                <w:sz w:val="11"/>
                <w:szCs w:val="11"/>
              </w:rPr>
              <w:t>-</w:t>
            </w:r>
          </w:p>
        </w:tc>
        <w:tc>
          <w:tcPr>
            <w:tcW w:w="896" w:type="dxa"/>
            <w:vAlign w:val="bottom"/>
          </w:tcPr>
          <w:p w14:paraId="2144568E" w14:textId="57C8D50D" w:rsidR="00224102" w:rsidRPr="00692926" w:rsidRDefault="00224102" w:rsidP="00224102">
            <w:pPr>
              <w:spacing w:line="211" w:lineRule="auto"/>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55B95190" w14:textId="3DBDCA5E" w:rsidR="00224102" w:rsidRPr="00692926" w:rsidRDefault="00224102" w:rsidP="00224102">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14:paraId="417AE232" w14:textId="3E650D92" w:rsidR="00224102" w:rsidRPr="00692926" w:rsidRDefault="00224102" w:rsidP="00224102">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14:paraId="22446CAF" w14:textId="67AEE38C" w:rsidR="00224102" w:rsidRPr="00692926" w:rsidRDefault="00224102" w:rsidP="00224102">
            <w:pPr>
              <w:spacing w:line="211" w:lineRule="auto"/>
              <w:jc w:val="right"/>
              <w:rPr>
                <w:b/>
                <w:sz w:val="11"/>
                <w:szCs w:val="11"/>
              </w:rPr>
            </w:pPr>
            <w:r w:rsidRPr="00692926">
              <w:rPr>
                <w:b/>
                <w:sz w:val="11"/>
                <w:szCs w:val="11"/>
              </w:rPr>
              <w:t>-</w:t>
            </w:r>
          </w:p>
        </w:tc>
      </w:tr>
      <w:tr w:rsidR="00224102" w:rsidRPr="00604C75" w14:paraId="29F402F9" w14:textId="77777777" w:rsidTr="009340BC">
        <w:trPr>
          <w:trHeight w:hRule="exact" w:val="142"/>
        </w:trPr>
        <w:tc>
          <w:tcPr>
            <w:tcW w:w="494" w:type="dxa"/>
            <w:noWrap/>
            <w:tcMar>
              <w:top w:w="18" w:type="dxa"/>
              <w:left w:w="18" w:type="dxa"/>
              <w:bottom w:w="0" w:type="dxa"/>
              <w:right w:w="18" w:type="dxa"/>
            </w:tcMar>
            <w:vAlign w:val="bottom"/>
          </w:tcPr>
          <w:p w14:paraId="43F46E6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3.2.5.2</w:t>
            </w:r>
          </w:p>
        </w:tc>
        <w:tc>
          <w:tcPr>
            <w:tcW w:w="3580" w:type="dxa"/>
            <w:noWrap/>
            <w:tcMar>
              <w:top w:w="18" w:type="dxa"/>
              <w:left w:w="18" w:type="dxa"/>
              <w:bottom w:w="0" w:type="dxa"/>
              <w:right w:w="18" w:type="dxa"/>
            </w:tcMar>
            <w:vAlign w:val="bottom"/>
          </w:tcPr>
          <w:p w14:paraId="133CFF3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Interest Rate Futures-Sell</w:t>
            </w:r>
          </w:p>
        </w:tc>
        <w:tc>
          <w:tcPr>
            <w:tcW w:w="644" w:type="dxa"/>
            <w:noWrap/>
            <w:tcMar>
              <w:top w:w="18" w:type="dxa"/>
              <w:left w:w="18" w:type="dxa"/>
              <w:bottom w:w="0" w:type="dxa"/>
              <w:right w:w="18" w:type="dxa"/>
            </w:tcMar>
            <w:vAlign w:val="bottom"/>
          </w:tcPr>
          <w:p w14:paraId="26180D51"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03C3AD94" w14:textId="63E9E8FC" w:rsidR="00224102" w:rsidRPr="00692926" w:rsidRDefault="00224102" w:rsidP="00224102">
            <w:pPr>
              <w:spacing w:line="211" w:lineRule="auto"/>
              <w:jc w:val="right"/>
              <w:rPr>
                <w:b/>
                <w:sz w:val="11"/>
                <w:szCs w:val="11"/>
              </w:rPr>
            </w:pPr>
            <w:r w:rsidRPr="005C7ECF">
              <w:rPr>
                <w:b/>
                <w:sz w:val="11"/>
                <w:szCs w:val="11"/>
              </w:rPr>
              <w:t>-</w:t>
            </w:r>
          </w:p>
        </w:tc>
        <w:tc>
          <w:tcPr>
            <w:tcW w:w="1191" w:type="dxa"/>
            <w:vAlign w:val="bottom"/>
          </w:tcPr>
          <w:p w14:paraId="04E6AF61" w14:textId="3BFDCA27" w:rsidR="00224102" w:rsidRPr="00692926" w:rsidRDefault="00224102" w:rsidP="00224102">
            <w:pPr>
              <w:spacing w:line="211" w:lineRule="auto"/>
              <w:jc w:val="right"/>
              <w:rPr>
                <w:b/>
                <w:sz w:val="11"/>
                <w:szCs w:val="11"/>
              </w:rPr>
            </w:pPr>
            <w:r w:rsidRPr="005C7ECF">
              <w:rPr>
                <w:b/>
                <w:sz w:val="11"/>
                <w:szCs w:val="11"/>
              </w:rPr>
              <w:t>-</w:t>
            </w:r>
          </w:p>
        </w:tc>
        <w:tc>
          <w:tcPr>
            <w:tcW w:w="896" w:type="dxa"/>
            <w:vAlign w:val="bottom"/>
          </w:tcPr>
          <w:p w14:paraId="20E2E0F3" w14:textId="656A253E" w:rsidR="00224102" w:rsidRPr="00692926" w:rsidRDefault="00224102" w:rsidP="00224102">
            <w:pPr>
              <w:spacing w:line="211" w:lineRule="auto"/>
              <w:jc w:val="right"/>
              <w:rPr>
                <w:b/>
                <w:sz w:val="11"/>
                <w:szCs w:val="11"/>
              </w:rPr>
            </w:pPr>
            <w:r w:rsidRPr="005C7ECF">
              <w:rPr>
                <w:b/>
                <w:sz w:val="11"/>
                <w:szCs w:val="11"/>
              </w:rPr>
              <w:t>-</w:t>
            </w:r>
          </w:p>
        </w:tc>
        <w:tc>
          <w:tcPr>
            <w:tcW w:w="881" w:type="dxa"/>
            <w:noWrap/>
            <w:tcMar>
              <w:top w:w="18" w:type="dxa"/>
              <w:left w:w="18" w:type="dxa"/>
              <w:bottom w:w="0" w:type="dxa"/>
              <w:right w:w="18" w:type="dxa"/>
            </w:tcMar>
            <w:vAlign w:val="bottom"/>
          </w:tcPr>
          <w:p w14:paraId="3ADC9368" w14:textId="562B4B2D" w:rsidR="00224102" w:rsidRPr="00692926" w:rsidRDefault="00224102" w:rsidP="00224102">
            <w:pPr>
              <w:spacing w:line="211" w:lineRule="auto"/>
              <w:jc w:val="right"/>
              <w:rPr>
                <w:b/>
                <w:sz w:val="11"/>
                <w:szCs w:val="11"/>
              </w:rPr>
            </w:pPr>
            <w:r w:rsidRPr="00692926">
              <w:rPr>
                <w:b/>
                <w:sz w:val="11"/>
                <w:szCs w:val="11"/>
              </w:rPr>
              <w:t>-</w:t>
            </w:r>
          </w:p>
        </w:tc>
        <w:tc>
          <w:tcPr>
            <w:tcW w:w="895" w:type="dxa"/>
            <w:noWrap/>
            <w:tcMar>
              <w:top w:w="18" w:type="dxa"/>
              <w:left w:w="18" w:type="dxa"/>
              <w:bottom w:w="0" w:type="dxa"/>
              <w:right w:w="18" w:type="dxa"/>
            </w:tcMar>
            <w:vAlign w:val="bottom"/>
          </w:tcPr>
          <w:p w14:paraId="3B0FE169" w14:textId="70DF32E9" w:rsidR="00224102" w:rsidRPr="00692926" w:rsidRDefault="00224102" w:rsidP="00224102">
            <w:pPr>
              <w:spacing w:line="211" w:lineRule="auto"/>
              <w:jc w:val="right"/>
              <w:rPr>
                <w:b/>
                <w:sz w:val="11"/>
                <w:szCs w:val="11"/>
              </w:rPr>
            </w:pPr>
            <w:r w:rsidRPr="00692926">
              <w:rPr>
                <w:b/>
                <w:sz w:val="11"/>
                <w:szCs w:val="11"/>
              </w:rPr>
              <w:t>-</w:t>
            </w:r>
          </w:p>
        </w:tc>
        <w:tc>
          <w:tcPr>
            <w:tcW w:w="896" w:type="dxa"/>
            <w:noWrap/>
            <w:tcMar>
              <w:top w:w="18" w:type="dxa"/>
              <w:left w:w="18" w:type="dxa"/>
              <w:bottom w:w="0" w:type="dxa"/>
              <w:right w:w="18" w:type="dxa"/>
            </w:tcMar>
            <w:vAlign w:val="bottom"/>
          </w:tcPr>
          <w:p w14:paraId="6B4750CF" w14:textId="4E1A9356" w:rsidR="00224102" w:rsidRPr="00692926" w:rsidRDefault="00224102" w:rsidP="00224102">
            <w:pPr>
              <w:spacing w:line="211" w:lineRule="auto"/>
              <w:jc w:val="right"/>
              <w:rPr>
                <w:b/>
                <w:sz w:val="11"/>
                <w:szCs w:val="11"/>
              </w:rPr>
            </w:pPr>
            <w:r w:rsidRPr="00692926">
              <w:rPr>
                <w:b/>
                <w:sz w:val="11"/>
                <w:szCs w:val="11"/>
              </w:rPr>
              <w:t>-</w:t>
            </w:r>
          </w:p>
        </w:tc>
      </w:tr>
      <w:tr w:rsidR="00224102" w:rsidRPr="00604C75" w14:paraId="0BD1DC35" w14:textId="77777777" w:rsidTr="009340BC">
        <w:trPr>
          <w:trHeight w:hRule="exact" w:val="142"/>
        </w:trPr>
        <w:tc>
          <w:tcPr>
            <w:tcW w:w="494" w:type="dxa"/>
            <w:noWrap/>
            <w:tcMar>
              <w:top w:w="18" w:type="dxa"/>
              <w:left w:w="18" w:type="dxa"/>
              <w:bottom w:w="0" w:type="dxa"/>
              <w:right w:w="18" w:type="dxa"/>
            </w:tcMar>
            <w:vAlign w:val="bottom"/>
          </w:tcPr>
          <w:p w14:paraId="1122C1F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3.2.6</w:t>
            </w:r>
          </w:p>
        </w:tc>
        <w:tc>
          <w:tcPr>
            <w:tcW w:w="3580" w:type="dxa"/>
            <w:noWrap/>
            <w:tcMar>
              <w:top w:w="18" w:type="dxa"/>
              <w:left w:w="18" w:type="dxa"/>
              <w:bottom w:w="0" w:type="dxa"/>
              <w:right w:w="18" w:type="dxa"/>
            </w:tcMar>
            <w:vAlign w:val="bottom"/>
          </w:tcPr>
          <w:p w14:paraId="7D78848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w:t>
            </w:r>
          </w:p>
        </w:tc>
        <w:tc>
          <w:tcPr>
            <w:tcW w:w="644" w:type="dxa"/>
            <w:noWrap/>
            <w:tcMar>
              <w:top w:w="18" w:type="dxa"/>
              <w:left w:w="18" w:type="dxa"/>
              <w:bottom w:w="0" w:type="dxa"/>
              <w:right w:w="18" w:type="dxa"/>
            </w:tcMar>
            <w:vAlign w:val="bottom"/>
          </w:tcPr>
          <w:p w14:paraId="138076A0"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4253944B" w14:textId="64BF2115"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1B6CD59E" w14:textId="271BF7E7" w:rsidR="00224102" w:rsidRPr="003F3682" w:rsidRDefault="00224102" w:rsidP="00224102">
            <w:pPr>
              <w:spacing w:line="211" w:lineRule="auto"/>
              <w:jc w:val="right"/>
              <w:rPr>
                <w:sz w:val="11"/>
                <w:szCs w:val="11"/>
              </w:rPr>
            </w:pPr>
            <w:r w:rsidRPr="003F3682">
              <w:rPr>
                <w:sz w:val="11"/>
                <w:szCs w:val="11"/>
              </w:rPr>
              <w:t>46,690</w:t>
            </w:r>
          </w:p>
        </w:tc>
        <w:tc>
          <w:tcPr>
            <w:tcW w:w="896" w:type="dxa"/>
            <w:vAlign w:val="bottom"/>
          </w:tcPr>
          <w:p w14:paraId="394BD61B" w14:textId="2634BE42" w:rsidR="00224102" w:rsidRPr="003F3682" w:rsidRDefault="00224102" w:rsidP="00224102">
            <w:pPr>
              <w:spacing w:line="211" w:lineRule="auto"/>
              <w:jc w:val="right"/>
              <w:rPr>
                <w:sz w:val="11"/>
                <w:szCs w:val="11"/>
              </w:rPr>
            </w:pPr>
            <w:r w:rsidRPr="003F3682">
              <w:rPr>
                <w:sz w:val="11"/>
                <w:szCs w:val="11"/>
              </w:rPr>
              <w:t>46,690</w:t>
            </w:r>
          </w:p>
        </w:tc>
        <w:tc>
          <w:tcPr>
            <w:tcW w:w="881" w:type="dxa"/>
            <w:noWrap/>
            <w:tcMar>
              <w:top w:w="18" w:type="dxa"/>
              <w:left w:w="18" w:type="dxa"/>
              <w:bottom w:w="0" w:type="dxa"/>
              <w:right w:w="18" w:type="dxa"/>
            </w:tcMar>
            <w:vAlign w:val="bottom"/>
          </w:tcPr>
          <w:p w14:paraId="2D619D21" w14:textId="03E6FDB5"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14D5D43B" w14:textId="3B86D1D1"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6A3B9BB8" w14:textId="3BCD73BD" w:rsidR="00224102" w:rsidRPr="00692926" w:rsidRDefault="00224102" w:rsidP="00224102">
            <w:pPr>
              <w:spacing w:line="211" w:lineRule="auto"/>
              <w:jc w:val="right"/>
              <w:rPr>
                <w:sz w:val="11"/>
                <w:szCs w:val="11"/>
              </w:rPr>
            </w:pPr>
            <w:r w:rsidRPr="00692926">
              <w:rPr>
                <w:sz w:val="11"/>
                <w:szCs w:val="11"/>
              </w:rPr>
              <w:t>-</w:t>
            </w:r>
          </w:p>
        </w:tc>
      </w:tr>
      <w:tr w:rsidR="00224102" w:rsidRPr="00604C75" w14:paraId="48C54747" w14:textId="77777777" w:rsidTr="009340BC">
        <w:trPr>
          <w:trHeight w:hRule="exact" w:val="142"/>
        </w:trPr>
        <w:tc>
          <w:tcPr>
            <w:tcW w:w="494" w:type="dxa"/>
            <w:noWrap/>
            <w:tcMar>
              <w:top w:w="18" w:type="dxa"/>
              <w:left w:w="18" w:type="dxa"/>
              <w:bottom w:w="0" w:type="dxa"/>
              <w:right w:w="18" w:type="dxa"/>
            </w:tcMar>
            <w:vAlign w:val="bottom"/>
          </w:tcPr>
          <w:p w14:paraId="0CF9821F"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B.</w:t>
            </w:r>
          </w:p>
        </w:tc>
        <w:tc>
          <w:tcPr>
            <w:tcW w:w="3580" w:type="dxa"/>
            <w:noWrap/>
            <w:tcMar>
              <w:top w:w="18" w:type="dxa"/>
              <w:left w:w="18" w:type="dxa"/>
              <w:bottom w:w="0" w:type="dxa"/>
              <w:right w:w="18" w:type="dxa"/>
            </w:tcMar>
            <w:vAlign w:val="bottom"/>
          </w:tcPr>
          <w:p w14:paraId="5B01A0D3"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CUSTODY AND PLEDGES RECEIVED (IV+V+VI)</w:t>
            </w:r>
          </w:p>
        </w:tc>
        <w:tc>
          <w:tcPr>
            <w:tcW w:w="644" w:type="dxa"/>
            <w:noWrap/>
            <w:tcMar>
              <w:top w:w="18" w:type="dxa"/>
              <w:left w:w="18" w:type="dxa"/>
              <w:bottom w:w="0" w:type="dxa"/>
              <w:right w:w="18" w:type="dxa"/>
            </w:tcMar>
            <w:vAlign w:val="bottom"/>
          </w:tcPr>
          <w:p w14:paraId="68839604"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1B1F0FB7" w14:textId="04E48666" w:rsidR="00224102" w:rsidRPr="003F3682" w:rsidRDefault="00224102" w:rsidP="00224102">
            <w:pPr>
              <w:spacing w:line="211" w:lineRule="auto"/>
              <w:jc w:val="right"/>
              <w:rPr>
                <w:b/>
                <w:sz w:val="11"/>
                <w:szCs w:val="11"/>
              </w:rPr>
            </w:pPr>
            <w:r w:rsidRPr="005C7ECF">
              <w:rPr>
                <w:b/>
                <w:sz w:val="11"/>
                <w:szCs w:val="11"/>
              </w:rPr>
              <w:t>37,398,536</w:t>
            </w:r>
          </w:p>
        </w:tc>
        <w:tc>
          <w:tcPr>
            <w:tcW w:w="1191" w:type="dxa"/>
            <w:vAlign w:val="bottom"/>
          </w:tcPr>
          <w:p w14:paraId="11AAA76A" w14:textId="2608DE52" w:rsidR="00224102" w:rsidRPr="003F3682" w:rsidRDefault="00224102" w:rsidP="00224102">
            <w:pPr>
              <w:spacing w:line="211" w:lineRule="auto"/>
              <w:jc w:val="right"/>
              <w:rPr>
                <w:b/>
                <w:sz w:val="11"/>
                <w:szCs w:val="11"/>
              </w:rPr>
            </w:pPr>
            <w:r w:rsidRPr="005C7ECF">
              <w:rPr>
                <w:b/>
                <w:sz w:val="11"/>
                <w:szCs w:val="11"/>
              </w:rPr>
              <w:t>16,992,419</w:t>
            </w:r>
          </w:p>
        </w:tc>
        <w:tc>
          <w:tcPr>
            <w:tcW w:w="896" w:type="dxa"/>
            <w:vAlign w:val="bottom"/>
          </w:tcPr>
          <w:p w14:paraId="5AE54F5E" w14:textId="340DF3F2" w:rsidR="00224102" w:rsidRPr="003F3682" w:rsidRDefault="00224102" w:rsidP="00224102">
            <w:pPr>
              <w:spacing w:line="211" w:lineRule="auto"/>
              <w:jc w:val="right"/>
              <w:rPr>
                <w:b/>
                <w:sz w:val="11"/>
                <w:szCs w:val="11"/>
              </w:rPr>
            </w:pPr>
            <w:r w:rsidRPr="005C7ECF">
              <w:rPr>
                <w:b/>
                <w:sz w:val="11"/>
                <w:szCs w:val="11"/>
              </w:rPr>
              <w:t>54,390,955</w:t>
            </w:r>
          </w:p>
        </w:tc>
        <w:tc>
          <w:tcPr>
            <w:tcW w:w="881" w:type="dxa"/>
            <w:noWrap/>
            <w:tcMar>
              <w:top w:w="18" w:type="dxa"/>
              <w:left w:w="18" w:type="dxa"/>
              <w:bottom w:w="0" w:type="dxa"/>
              <w:right w:w="18" w:type="dxa"/>
            </w:tcMar>
            <w:vAlign w:val="bottom"/>
          </w:tcPr>
          <w:p w14:paraId="2A22BC64" w14:textId="3BA7B472" w:rsidR="00224102" w:rsidRPr="00692926" w:rsidRDefault="00224102" w:rsidP="00224102">
            <w:pPr>
              <w:spacing w:line="211" w:lineRule="auto"/>
              <w:jc w:val="right"/>
              <w:rPr>
                <w:b/>
                <w:sz w:val="11"/>
                <w:szCs w:val="11"/>
              </w:rPr>
            </w:pPr>
            <w:r w:rsidRPr="00692926">
              <w:rPr>
                <w:b/>
                <w:sz w:val="11"/>
                <w:szCs w:val="11"/>
              </w:rPr>
              <w:t>31,039,866</w:t>
            </w:r>
          </w:p>
        </w:tc>
        <w:tc>
          <w:tcPr>
            <w:tcW w:w="895" w:type="dxa"/>
            <w:noWrap/>
            <w:tcMar>
              <w:top w:w="18" w:type="dxa"/>
              <w:left w:w="18" w:type="dxa"/>
              <w:bottom w:w="0" w:type="dxa"/>
              <w:right w:w="18" w:type="dxa"/>
            </w:tcMar>
            <w:vAlign w:val="bottom"/>
          </w:tcPr>
          <w:p w14:paraId="11A209BE" w14:textId="57B90507" w:rsidR="00224102" w:rsidRPr="00692926" w:rsidRDefault="00224102" w:rsidP="00224102">
            <w:pPr>
              <w:spacing w:line="211" w:lineRule="auto"/>
              <w:jc w:val="right"/>
              <w:rPr>
                <w:b/>
                <w:sz w:val="11"/>
                <w:szCs w:val="11"/>
              </w:rPr>
            </w:pPr>
            <w:r w:rsidRPr="00692926">
              <w:rPr>
                <w:b/>
                <w:sz w:val="11"/>
                <w:szCs w:val="11"/>
              </w:rPr>
              <w:t>8,801,182</w:t>
            </w:r>
          </w:p>
        </w:tc>
        <w:tc>
          <w:tcPr>
            <w:tcW w:w="896" w:type="dxa"/>
            <w:noWrap/>
            <w:tcMar>
              <w:top w:w="18" w:type="dxa"/>
              <w:left w:w="18" w:type="dxa"/>
              <w:bottom w:w="0" w:type="dxa"/>
              <w:right w:w="18" w:type="dxa"/>
            </w:tcMar>
            <w:vAlign w:val="bottom"/>
          </w:tcPr>
          <w:p w14:paraId="105C8775" w14:textId="349AECC1" w:rsidR="00224102" w:rsidRPr="00692926" w:rsidRDefault="00224102" w:rsidP="00224102">
            <w:pPr>
              <w:spacing w:line="211" w:lineRule="auto"/>
              <w:jc w:val="right"/>
              <w:rPr>
                <w:b/>
                <w:sz w:val="11"/>
                <w:szCs w:val="11"/>
              </w:rPr>
            </w:pPr>
            <w:r w:rsidRPr="00692926">
              <w:rPr>
                <w:b/>
                <w:sz w:val="11"/>
                <w:szCs w:val="11"/>
              </w:rPr>
              <w:t>39,841,048</w:t>
            </w:r>
          </w:p>
        </w:tc>
      </w:tr>
      <w:tr w:rsidR="00224102" w:rsidRPr="00604C75" w14:paraId="26C30CD0" w14:textId="77777777" w:rsidTr="009340BC">
        <w:trPr>
          <w:trHeight w:hRule="exact" w:val="142"/>
        </w:trPr>
        <w:tc>
          <w:tcPr>
            <w:tcW w:w="494" w:type="dxa"/>
            <w:noWrap/>
            <w:tcMar>
              <w:top w:w="18" w:type="dxa"/>
              <w:left w:w="18" w:type="dxa"/>
              <w:bottom w:w="0" w:type="dxa"/>
              <w:right w:w="18" w:type="dxa"/>
            </w:tcMar>
            <w:vAlign w:val="bottom"/>
          </w:tcPr>
          <w:p w14:paraId="534C5C56"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IV.</w:t>
            </w:r>
          </w:p>
        </w:tc>
        <w:tc>
          <w:tcPr>
            <w:tcW w:w="3580" w:type="dxa"/>
            <w:noWrap/>
            <w:tcMar>
              <w:top w:w="18" w:type="dxa"/>
              <w:left w:w="18" w:type="dxa"/>
              <w:bottom w:w="0" w:type="dxa"/>
              <w:right w:w="18" w:type="dxa"/>
            </w:tcMar>
            <w:vAlign w:val="bottom"/>
          </w:tcPr>
          <w:p w14:paraId="337F3E83" w14:textId="77777777" w:rsidR="00224102" w:rsidRPr="00604C75" w:rsidRDefault="00224102" w:rsidP="00224102">
            <w:pPr>
              <w:tabs>
                <w:tab w:val="center" w:pos="539"/>
                <w:tab w:val="center" w:pos="5310"/>
                <w:tab w:val="center" w:pos="7560"/>
              </w:tabs>
              <w:rPr>
                <w:rFonts w:eastAsia="Arial Unicode MS"/>
                <w:b/>
                <w:bCs/>
                <w:noProof/>
                <w:sz w:val="12"/>
                <w:szCs w:val="12"/>
                <w:lang w:val="tr-TR"/>
              </w:rPr>
            </w:pPr>
            <w:r w:rsidRPr="00604C75">
              <w:rPr>
                <w:rFonts w:eastAsia="Arial Unicode MS"/>
                <w:b/>
                <w:bCs/>
                <w:noProof/>
                <w:sz w:val="12"/>
                <w:szCs w:val="12"/>
                <w:lang w:val="tr-TR"/>
              </w:rPr>
              <w:t>ITEMS HELD IN CUSTODY</w:t>
            </w:r>
          </w:p>
        </w:tc>
        <w:tc>
          <w:tcPr>
            <w:tcW w:w="644" w:type="dxa"/>
            <w:noWrap/>
            <w:tcMar>
              <w:top w:w="18" w:type="dxa"/>
              <w:left w:w="18" w:type="dxa"/>
              <w:bottom w:w="0" w:type="dxa"/>
              <w:right w:w="18" w:type="dxa"/>
            </w:tcMar>
            <w:vAlign w:val="bottom"/>
          </w:tcPr>
          <w:p w14:paraId="338DF751"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68559C17" w14:textId="6F10B896" w:rsidR="00224102" w:rsidRPr="003F3682" w:rsidRDefault="00224102" w:rsidP="00224102">
            <w:pPr>
              <w:spacing w:line="211" w:lineRule="auto"/>
              <w:jc w:val="right"/>
              <w:rPr>
                <w:b/>
                <w:sz w:val="11"/>
                <w:szCs w:val="11"/>
              </w:rPr>
            </w:pPr>
            <w:r w:rsidRPr="005C7ECF">
              <w:rPr>
                <w:b/>
                <w:sz w:val="11"/>
                <w:szCs w:val="11"/>
              </w:rPr>
              <w:t>1,235,505</w:t>
            </w:r>
          </w:p>
        </w:tc>
        <w:tc>
          <w:tcPr>
            <w:tcW w:w="1191" w:type="dxa"/>
            <w:vAlign w:val="bottom"/>
          </w:tcPr>
          <w:p w14:paraId="37520B01" w14:textId="0BAFAFFD" w:rsidR="00224102" w:rsidRPr="003F3682" w:rsidRDefault="00224102" w:rsidP="00224102">
            <w:pPr>
              <w:spacing w:line="211" w:lineRule="auto"/>
              <w:jc w:val="right"/>
              <w:rPr>
                <w:b/>
                <w:sz w:val="11"/>
                <w:szCs w:val="11"/>
              </w:rPr>
            </w:pPr>
            <w:r w:rsidRPr="005C7ECF">
              <w:rPr>
                <w:b/>
                <w:sz w:val="11"/>
                <w:szCs w:val="11"/>
              </w:rPr>
              <w:t>920,190</w:t>
            </w:r>
          </w:p>
        </w:tc>
        <w:tc>
          <w:tcPr>
            <w:tcW w:w="896" w:type="dxa"/>
            <w:vAlign w:val="bottom"/>
          </w:tcPr>
          <w:p w14:paraId="617CE760" w14:textId="722F54CA" w:rsidR="00224102" w:rsidRPr="003F3682" w:rsidRDefault="00224102" w:rsidP="00224102">
            <w:pPr>
              <w:spacing w:line="211" w:lineRule="auto"/>
              <w:jc w:val="right"/>
              <w:rPr>
                <w:b/>
                <w:sz w:val="11"/>
                <w:szCs w:val="11"/>
              </w:rPr>
            </w:pPr>
            <w:r w:rsidRPr="005C7ECF">
              <w:rPr>
                <w:b/>
                <w:sz w:val="11"/>
                <w:szCs w:val="11"/>
              </w:rPr>
              <w:t>2,155,695</w:t>
            </w:r>
          </w:p>
        </w:tc>
        <w:tc>
          <w:tcPr>
            <w:tcW w:w="881" w:type="dxa"/>
            <w:noWrap/>
            <w:tcMar>
              <w:top w:w="18" w:type="dxa"/>
              <w:left w:w="18" w:type="dxa"/>
              <w:bottom w:w="0" w:type="dxa"/>
              <w:right w:w="18" w:type="dxa"/>
            </w:tcMar>
            <w:vAlign w:val="bottom"/>
          </w:tcPr>
          <w:p w14:paraId="0FC528B1" w14:textId="281E6A12" w:rsidR="00224102" w:rsidRPr="00692926" w:rsidRDefault="00224102" w:rsidP="00224102">
            <w:pPr>
              <w:spacing w:line="211" w:lineRule="auto"/>
              <w:jc w:val="right"/>
              <w:rPr>
                <w:b/>
                <w:sz w:val="11"/>
                <w:szCs w:val="11"/>
              </w:rPr>
            </w:pPr>
            <w:r w:rsidRPr="00692926">
              <w:rPr>
                <w:b/>
                <w:sz w:val="11"/>
                <w:szCs w:val="11"/>
              </w:rPr>
              <w:t>1,327,551</w:t>
            </w:r>
          </w:p>
        </w:tc>
        <w:tc>
          <w:tcPr>
            <w:tcW w:w="895" w:type="dxa"/>
            <w:noWrap/>
            <w:tcMar>
              <w:top w:w="18" w:type="dxa"/>
              <w:left w:w="18" w:type="dxa"/>
              <w:bottom w:w="0" w:type="dxa"/>
              <w:right w:w="18" w:type="dxa"/>
            </w:tcMar>
            <w:vAlign w:val="bottom"/>
          </w:tcPr>
          <w:p w14:paraId="19B6C779" w14:textId="477E9E7D" w:rsidR="00224102" w:rsidRPr="00692926" w:rsidRDefault="00224102" w:rsidP="00224102">
            <w:pPr>
              <w:spacing w:line="211" w:lineRule="auto"/>
              <w:jc w:val="right"/>
              <w:rPr>
                <w:b/>
                <w:sz w:val="11"/>
                <w:szCs w:val="11"/>
              </w:rPr>
            </w:pPr>
            <w:r w:rsidRPr="00692926">
              <w:rPr>
                <w:b/>
                <w:sz w:val="11"/>
                <w:szCs w:val="11"/>
              </w:rPr>
              <w:t>627,049</w:t>
            </w:r>
          </w:p>
        </w:tc>
        <w:tc>
          <w:tcPr>
            <w:tcW w:w="896" w:type="dxa"/>
            <w:noWrap/>
            <w:tcMar>
              <w:top w:w="18" w:type="dxa"/>
              <w:left w:w="18" w:type="dxa"/>
              <w:bottom w:w="0" w:type="dxa"/>
              <w:right w:w="18" w:type="dxa"/>
            </w:tcMar>
            <w:vAlign w:val="bottom"/>
          </w:tcPr>
          <w:p w14:paraId="140F3724" w14:textId="26476635" w:rsidR="00224102" w:rsidRPr="00692926" w:rsidRDefault="00224102" w:rsidP="00224102">
            <w:pPr>
              <w:spacing w:line="211" w:lineRule="auto"/>
              <w:jc w:val="right"/>
              <w:rPr>
                <w:b/>
                <w:sz w:val="11"/>
                <w:szCs w:val="11"/>
              </w:rPr>
            </w:pPr>
            <w:r w:rsidRPr="00692926">
              <w:rPr>
                <w:b/>
                <w:sz w:val="11"/>
                <w:szCs w:val="11"/>
              </w:rPr>
              <w:t>1,954,600</w:t>
            </w:r>
          </w:p>
        </w:tc>
      </w:tr>
      <w:tr w:rsidR="00224102" w:rsidRPr="00604C75" w14:paraId="46A0B6B2" w14:textId="77777777" w:rsidTr="009340BC">
        <w:trPr>
          <w:trHeight w:hRule="exact" w:val="142"/>
        </w:trPr>
        <w:tc>
          <w:tcPr>
            <w:tcW w:w="494" w:type="dxa"/>
            <w:noWrap/>
            <w:tcMar>
              <w:top w:w="18" w:type="dxa"/>
              <w:left w:w="18" w:type="dxa"/>
              <w:bottom w:w="0" w:type="dxa"/>
              <w:right w:w="18" w:type="dxa"/>
            </w:tcMar>
            <w:vAlign w:val="bottom"/>
          </w:tcPr>
          <w:p w14:paraId="23CF4BE6"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4.1</w:t>
            </w:r>
          </w:p>
        </w:tc>
        <w:tc>
          <w:tcPr>
            <w:tcW w:w="3580" w:type="dxa"/>
            <w:noWrap/>
            <w:tcMar>
              <w:top w:w="18" w:type="dxa"/>
              <w:left w:w="18" w:type="dxa"/>
              <w:bottom w:w="0" w:type="dxa"/>
              <w:right w:w="18" w:type="dxa"/>
            </w:tcMar>
            <w:vAlign w:val="bottom"/>
          </w:tcPr>
          <w:p w14:paraId="629F8334"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Customer Fund and Portfolio Balances</w:t>
            </w:r>
          </w:p>
        </w:tc>
        <w:tc>
          <w:tcPr>
            <w:tcW w:w="644" w:type="dxa"/>
            <w:noWrap/>
            <w:tcMar>
              <w:top w:w="18" w:type="dxa"/>
              <w:left w:w="18" w:type="dxa"/>
              <w:bottom w:w="0" w:type="dxa"/>
              <w:right w:w="18" w:type="dxa"/>
            </w:tcMar>
            <w:vAlign w:val="bottom"/>
          </w:tcPr>
          <w:p w14:paraId="1C795B21"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76A9B06A" w14:textId="61ED0FA1" w:rsidR="00224102" w:rsidRPr="003F3682" w:rsidRDefault="00224102" w:rsidP="00224102">
            <w:pPr>
              <w:spacing w:line="211" w:lineRule="auto"/>
              <w:jc w:val="right"/>
              <w:rPr>
                <w:sz w:val="11"/>
                <w:szCs w:val="11"/>
              </w:rPr>
            </w:pPr>
            <w:r w:rsidRPr="003F3682">
              <w:rPr>
                <w:sz w:val="11"/>
                <w:szCs w:val="11"/>
              </w:rPr>
              <w:t>282,335</w:t>
            </w:r>
          </w:p>
        </w:tc>
        <w:tc>
          <w:tcPr>
            <w:tcW w:w="1191" w:type="dxa"/>
            <w:vAlign w:val="bottom"/>
          </w:tcPr>
          <w:p w14:paraId="66E1D1E2" w14:textId="0D2B5D71"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003DC337" w14:textId="17EB1420" w:rsidR="00224102" w:rsidRPr="003F3682" w:rsidRDefault="00224102" w:rsidP="00224102">
            <w:pPr>
              <w:spacing w:line="211" w:lineRule="auto"/>
              <w:jc w:val="right"/>
              <w:rPr>
                <w:sz w:val="11"/>
                <w:szCs w:val="11"/>
              </w:rPr>
            </w:pPr>
            <w:r w:rsidRPr="003F3682">
              <w:rPr>
                <w:sz w:val="11"/>
                <w:szCs w:val="11"/>
              </w:rPr>
              <w:t>282,335</w:t>
            </w:r>
          </w:p>
        </w:tc>
        <w:tc>
          <w:tcPr>
            <w:tcW w:w="881" w:type="dxa"/>
            <w:noWrap/>
            <w:tcMar>
              <w:top w:w="18" w:type="dxa"/>
              <w:left w:w="18" w:type="dxa"/>
              <w:bottom w:w="0" w:type="dxa"/>
              <w:right w:w="18" w:type="dxa"/>
            </w:tcMar>
            <w:vAlign w:val="bottom"/>
          </w:tcPr>
          <w:p w14:paraId="5C76CEF9" w14:textId="4A71700F" w:rsidR="00224102" w:rsidRPr="00692926" w:rsidRDefault="00224102" w:rsidP="00224102">
            <w:pPr>
              <w:spacing w:line="211" w:lineRule="auto"/>
              <w:jc w:val="right"/>
              <w:rPr>
                <w:sz w:val="11"/>
                <w:szCs w:val="11"/>
              </w:rPr>
            </w:pPr>
            <w:r w:rsidRPr="00692926">
              <w:rPr>
                <w:sz w:val="11"/>
                <w:szCs w:val="11"/>
              </w:rPr>
              <w:t>135,917</w:t>
            </w:r>
          </w:p>
        </w:tc>
        <w:tc>
          <w:tcPr>
            <w:tcW w:w="895" w:type="dxa"/>
            <w:noWrap/>
            <w:tcMar>
              <w:top w:w="18" w:type="dxa"/>
              <w:left w:w="18" w:type="dxa"/>
              <w:bottom w:w="0" w:type="dxa"/>
              <w:right w:w="18" w:type="dxa"/>
            </w:tcMar>
            <w:vAlign w:val="bottom"/>
          </w:tcPr>
          <w:p w14:paraId="54EF16ED" w14:textId="6DBDA810"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734F5C9C" w14:textId="3FCBA06D" w:rsidR="00224102" w:rsidRPr="00692926" w:rsidRDefault="00224102" w:rsidP="00224102">
            <w:pPr>
              <w:spacing w:line="211" w:lineRule="auto"/>
              <w:jc w:val="right"/>
              <w:rPr>
                <w:sz w:val="11"/>
                <w:szCs w:val="11"/>
              </w:rPr>
            </w:pPr>
            <w:r w:rsidRPr="00692926">
              <w:rPr>
                <w:sz w:val="11"/>
                <w:szCs w:val="11"/>
              </w:rPr>
              <w:t>135,917</w:t>
            </w:r>
          </w:p>
        </w:tc>
      </w:tr>
      <w:tr w:rsidR="00224102" w:rsidRPr="00604C75" w14:paraId="0C8CD573" w14:textId="77777777" w:rsidTr="009340BC">
        <w:trPr>
          <w:trHeight w:hRule="exact" w:val="142"/>
        </w:trPr>
        <w:tc>
          <w:tcPr>
            <w:tcW w:w="494" w:type="dxa"/>
            <w:noWrap/>
            <w:tcMar>
              <w:top w:w="18" w:type="dxa"/>
              <w:left w:w="18" w:type="dxa"/>
              <w:bottom w:w="0" w:type="dxa"/>
              <w:right w:w="18" w:type="dxa"/>
            </w:tcMar>
            <w:vAlign w:val="bottom"/>
          </w:tcPr>
          <w:p w14:paraId="1E8DA56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4.2</w:t>
            </w:r>
          </w:p>
        </w:tc>
        <w:tc>
          <w:tcPr>
            <w:tcW w:w="3580" w:type="dxa"/>
            <w:noWrap/>
            <w:tcMar>
              <w:top w:w="18" w:type="dxa"/>
              <w:left w:w="18" w:type="dxa"/>
              <w:bottom w:w="0" w:type="dxa"/>
              <w:right w:w="18" w:type="dxa"/>
            </w:tcMar>
            <w:vAlign w:val="bottom"/>
          </w:tcPr>
          <w:p w14:paraId="3B0F38F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Investment Securities Held in Custody</w:t>
            </w:r>
          </w:p>
        </w:tc>
        <w:tc>
          <w:tcPr>
            <w:tcW w:w="644" w:type="dxa"/>
            <w:noWrap/>
            <w:tcMar>
              <w:top w:w="18" w:type="dxa"/>
              <w:left w:w="18" w:type="dxa"/>
              <w:bottom w:w="0" w:type="dxa"/>
              <w:right w:w="18" w:type="dxa"/>
            </w:tcMar>
            <w:vAlign w:val="bottom"/>
          </w:tcPr>
          <w:p w14:paraId="5209E9D9"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615CFC8D" w14:textId="12F7CCCA" w:rsidR="00224102" w:rsidRPr="003F3682" w:rsidRDefault="00224102" w:rsidP="00224102">
            <w:pPr>
              <w:spacing w:line="211" w:lineRule="auto"/>
              <w:jc w:val="right"/>
              <w:rPr>
                <w:sz w:val="11"/>
                <w:szCs w:val="11"/>
              </w:rPr>
            </w:pPr>
            <w:r w:rsidRPr="003F3682">
              <w:rPr>
                <w:sz w:val="11"/>
                <w:szCs w:val="11"/>
              </w:rPr>
              <w:t>440,482</w:t>
            </w:r>
          </w:p>
        </w:tc>
        <w:tc>
          <w:tcPr>
            <w:tcW w:w="1191" w:type="dxa"/>
            <w:vAlign w:val="bottom"/>
          </w:tcPr>
          <w:p w14:paraId="47519B71" w14:textId="654C3E84" w:rsidR="00224102" w:rsidRPr="003F3682" w:rsidRDefault="00224102" w:rsidP="00224102">
            <w:pPr>
              <w:spacing w:line="211" w:lineRule="auto"/>
              <w:jc w:val="right"/>
              <w:rPr>
                <w:sz w:val="11"/>
                <w:szCs w:val="11"/>
              </w:rPr>
            </w:pPr>
            <w:r w:rsidRPr="003F3682">
              <w:rPr>
                <w:sz w:val="11"/>
                <w:szCs w:val="11"/>
              </w:rPr>
              <w:t>17,717</w:t>
            </w:r>
          </w:p>
        </w:tc>
        <w:tc>
          <w:tcPr>
            <w:tcW w:w="896" w:type="dxa"/>
            <w:vAlign w:val="bottom"/>
          </w:tcPr>
          <w:p w14:paraId="20C51F4F" w14:textId="669939DC" w:rsidR="00224102" w:rsidRPr="003F3682" w:rsidRDefault="00224102" w:rsidP="00224102">
            <w:pPr>
              <w:spacing w:line="211" w:lineRule="auto"/>
              <w:jc w:val="right"/>
              <w:rPr>
                <w:sz w:val="11"/>
                <w:szCs w:val="11"/>
              </w:rPr>
            </w:pPr>
            <w:r w:rsidRPr="003F3682">
              <w:rPr>
                <w:sz w:val="11"/>
                <w:szCs w:val="11"/>
              </w:rPr>
              <w:t>458,199</w:t>
            </w:r>
          </w:p>
        </w:tc>
        <w:tc>
          <w:tcPr>
            <w:tcW w:w="881" w:type="dxa"/>
            <w:noWrap/>
            <w:tcMar>
              <w:top w:w="18" w:type="dxa"/>
              <w:left w:w="18" w:type="dxa"/>
              <w:bottom w:w="0" w:type="dxa"/>
              <w:right w:w="18" w:type="dxa"/>
            </w:tcMar>
            <w:vAlign w:val="bottom"/>
          </w:tcPr>
          <w:p w14:paraId="454EEAB2" w14:textId="7E09638F" w:rsidR="00224102" w:rsidRPr="00692926" w:rsidRDefault="00224102" w:rsidP="00224102">
            <w:pPr>
              <w:spacing w:line="211" w:lineRule="auto"/>
              <w:jc w:val="right"/>
              <w:rPr>
                <w:sz w:val="11"/>
                <w:szCs w:val="11"/>
              </w:rPr>
            </w:pPr>
            <w:r w:rsidRPr="00692926">
              <w:rPr>
                <w:sz w:val="11"/>
                <w:szCs w:val="11"/>
              </w:rPr>
              <w:t>718,864</w:t>
            </w:r>
          </w:p>
        </w:tc>
        <w:tc>
          <w:tcPr>
            <w:tcW w:w="895" w:type="dxa"/>
            <w:noWrap/>
            <w:tcMar>
              <w:top w:w="18" w:type="dxa"/>
              <w:left w:w="18" w:type="dxa"/>
              <w:bottom w:w="0" w:type="dxa"/>
              <w:right w:w="18" w:type="dxa"/>
            </w:tcMar>
            <w:vAlign w:val="bottom"/>
          </w:tcPr>
          <w:p w14:paraId="7F8E9610" w14:textId="50FCF655" w:rsidR="00224102" w:rsidRPr="00692926" w:rsidRDefault="00224102" w:rsidP="00224102">
            <w:pPr>
              <w:spacing w:line="211" w:lineRule="auto"/>
              <w:jc w:val="right"/>
              <w:rPr>
                <w:sz w:val="11"/>
                <w:szCs w:val="11"/>
              </w:rPr>
            </w:pPr>
            <w:r w:rsidRPr="00692926">
              <w:rPr>
                <w:sz w:val="11"/>
                <w:szCs w:val="11"/>
              </w:rPr>
              <w:t>21,282</w:t>
            </w:r>
          </w:p>
        </w:tc>
        <w:tc>
          <w:tcPr>
            <w:tcW w:w="896" w:type="dxa"/>
            <w:noWrap/>
            <w:tcMar>
              <w:top w:w="18" w:type="dxa"/>
              <w:left w:w="18" w:type="dxa"/>
              <w:bottom w:w="0" w:type="dxa"/>
              <w:right w:w="18" w:type="dxa"/>
            </w:tcMar>
            <w:vAlign w:val="bottom"/>
          </w:tcPr>
          <w:p w14:paraId="1C1FD721" w14:textId="219FAC45" w:rsidR="00224102" w:rsidRPr="00692926" w:rsidRDefault="00224102" w:rsidP="00224102">
            <w:pPr>
              <w:spacing w:line="211" w:lineRule="auto"/>
              <w:jc w:val="right"/>
              <w:rPr>
                <w:sz w:val="11"/>
                <w:szCs w:val="11"/>
              </w:rPr>
            </w:pPr>
            <w:r w:rsidRPr="00692926">
              <w:rPr>
                <w:sz w:val="11"/>
                <w:szCs w:val="11"/>
              </w:rPr>
              <w:t>740,146</w:t>
            </w:r>
          </w:p>
        </w:tc>
      </w:tr>
      <w:tr w:rsidR="00224102" w:rsidRPr="00604C75" w14:paraId="54E08A5D" w14:textId="77777777" w:rsidTr="009340BC">
        <w:trPr>
          <w:trHeight w:hRule="exact" w:val="142"/>
        </w:trPr>
        <w:tc>
          <w:tcPr>
            <w:tcW w:w="494" w:type="dxa"/>
            <w:noWrap/>
            <w:tcMar>
              <w:top w:w="18" w:type="dxa"/>
              <w:left w:w="18" w:type="dxa"/>
              <w:bottom w:w="0" w:type="dxa"/>
              <w:right w:w="18" w:type="dxa"/>
            </w:tcMar>
            <w:vAlign w:val="bottom"/>
          </w:tcPr>
          <w:p w14:paraId="11E542B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4.3</w:t>
            </w:r>
          </w:p>
        </w:tc>
        <w:tc>
          <w:tcPr>
            <w:tcW w:w="3580" w:type="dxa"/>
            <w:noWrap/>
            <w:tcMar>
              <w:top w:w="18" w:type="dxa"/>
              <w:left w:w="18" w:type="dxa"/>
              <w:bottom w:w="0" w:type="dxa"/>
              <w:right w:w="18" w:type="dxa"/>
            </w:tcMar>
            <w:vAlign w:val="bottom"/>
          </w:tcPr>
          <w:p w14:paraId="233C56B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Cheques Received for Collection</w:t>
            </w:r>
          </w:p>
        </w:tc>
        <w:tc>
          <w:tcPr>
            <w:tcW w:w="644" w:type="dxa"/>
            <w:noWrap/>
            <w:tcMar>
              <w:top w:w="18" w:type="dxa"/>
              <w:left w:w="18" w:type="dxa"/>
              <w:bottom w:w="0" w:type="dxa"/>
              <w:right w:w="18" w:type="dxa"/>
            </w:tcMar>
            <w:vAlign w:val="bottom"/>
          </w:tcPr>
          <w:p w14:paraId="5CD6AEB3" w14:textId="77777777" w:rsidR="00224102" w:rsidRPr="00604C75" w:rsidRDefault="00224102" w:rsidP="00224102">
            <w:pPr>
              <w:spacing w:line="211" w:lineRule="auto"/>
              <w:jc w:val="center"/>
              <w:rPr>
                <w:rFonts w:eastAsia="Arial Unicode MS"/>
                <w:b/>
                <w:bCs/>
                <w:sz w:val="10"/>
                <w:szCs w:val="10"/>
                <w:lang w:val="tr-TR"/>
              </w:rPr>
            </w:pPr>
          </w:p>
        </w:tc>
        <w:tc>
          <w:tcPr>
            <w:tcW w:w="895" w:type="dxa"/>
            <w:vAlign w:val="bottom"/>
          </w:tcPr>
          <w:p w14:paraId="32F8E02C" w14:textId="7AEEAD4F" w:rsidR="00224102" w:rsidRPr="003F3682" w:rsidRDefault="00224102" w:rsidP="00224102">
            <w:pPr>
              <w:spacing w:line="211" w:lineRule="auto"/>
              <w:jc w:val="right"/>
              <w:rPr>
                <w:sz w:val="11"/>
                <w:szCs w:val="11"/>
              </w:rPr>
            </w:pPr>
            <w:r w:rsidRPr="003F3682">
              <w:rPr>
                <w:sz w:val="11"/>
                <w:szCs w:val="11"/>
              </w:rPr>
              <w:t>258,787</w:t>
            </w:r>
          </w:p>
        </w:tc>
        <w:tc>
          <w:tcPr>
            <w:tcW w:w="1191" w:type="dxa"/>
            <w:vAlign w:val="bottom"/>
          </w:tcPr>
          <w:p w14:paraId="10BCB4FB" w14:textId="72CA0F35" w:rsidR="00224102" w:rsidRPr="003F3682" w:rsidRDefault="00224102" w:rsidP="00224102">
            <w:pPr>
              <w:spacing w:line="211" w:lineRule="auto"/>
              <w:jc w:val="right"/>
              <w:rPr>
                <w:sz w:val="11"/>
                <w:szCs w:val="11"/>
              </w:rPr>
            </w:pPr>
            <w:r w:rsidRPr="003F3682">
              <w:rPr>
                <w:sz w:val="11"/>
                <w:szCs w:val="11"/>
              </w:rPr>
              <w:t>20,059</w:t>
            </w:r>
          </w:p>
        </w:tc>
        <w:tc>
          <w:tcPr>
            <w:tcW w:w="896" w:type="dxa"/>
            <w:vAlign w:val="bottom"/>
          </w:tcPr>
          <w:p w14:paraId="3277AF1E" w14:textId="0CF945AA" w:rsidR="00224102" w:rsidRPr="003F3682" w:rsidRDefault="00224102" w:rsidP="00224102">
            <w:pPr>
              <w:spacing w:line="211" w:lineRule="auto"/>
              <w:jc w:val="right"/>
              <w:rPr>
                <w:sz w:val="11"/>
                <w:szCs w:val="11"/>
              </w:rPr>
            </w:pPr>
            <w:r w:rsidRPr="003F3682">
              <w:rPr>
                <w:sz w:val="11"/>
                <w:szCs w:val="11"/>
              </w:rPr>
              <w:t>278,846</w:t>
            </w:r>
          </w:p>
        </w:tc>
        <w:tc>
          <w:tcPr>
            <w:tcW w:w="881" w:type="dxa"/>
            <w:noWrap/>
            <w:tcMar>
              <w:top w:w="18" w:type="dxa"/>
              <w:left w:w="18" w:type="dxa"/>
              <w:bottom w:w="0" w:type="dxa"/>
              <w:right w:w="18" w:type="dxa"/>
            </w:tcMar>
            <w:vAlign w:val="bottom"/>
          </w:tcPr>
          <w:p w14:paraId="3485D2A3" w14:textId="562D6B40" w:rsidR="00224102" w:rsidRPr="00692926" w:rsidRDefault="00224102" w:rsidP="00224102">
            <w:pPr>
              <w:spacing w:line="211" w:lineRule="auto"/>
              <w:jc w:val="right"/>
              <w:rPr>
                <w:sz w:val="11"/>
                <w:szCs w:val="11"/>
              </w:rPr>
            </w:pPr>
            <w:r w:rsidRPr="00692926">
              <w:rPr>
                <w:sz w:val="11"/>
                <w:szCs w:val="11"/>
              </w:rPr>
              <w:t>195,748</w:t>
            </w:r>
          </w:p>
        </w:tc>
        <w:tc>
          <w:tcPr>
            <w:tcW w:w="895" w:type="dxa"/>
            <w:noWrap/>
            <w:tcMar>
              <w:top w:w="18" w:type="dxa"/>
              <w:left w:w="18" w:type="dxa"/>
              <w:bottom w:w="0" w:type="dxa"/>
              <w:right w:w="18" w:type="dxa"/>
            </w:tcMar>
            <w:vAlign w:val="bottom"/>
          </w:tcPr>
          <w:p w14:paraId="0CEE8EA9" w14:textId="508812CA" w:rsidR="00224102" w:rsidRPr="00692926" w:rsidRDefault="00224102" w:rsidP="00224102">
            <w:pPr>
              <w:spacing w:line="211" w:lineRule="auto"/>
              <w:jc w:val="right"/>
              <w:rPr>
                <w:sz w:val="11"/>
                <w:szCs w:val="11"/>
              </w:rPr>
            </w:pPr>
            <w:r w:rsidRPr="00692926">
              <w:rPr>
                <w:sz w:val="11"/>
                <w:szCs w:val="11"/>
              </w:rPr>
              <w:t>40,493</w:t>
            </w:r>
          </w:p>
        </w:tc>
        <w:tc>
          <w:tcPr>
            <w:tcW w:w="896" w:type="dxa"/>
            <w:noWrap/>
            <w:tcMar>
              <w:top w:w="18" w:type="dxa"/>
              <w:left w:w="18" w:type="dxa"/>
              <w:bottom w:w="0" w:type="dxa"/>
              <w:right w:w="18" w:type="dxa"/>
            </w:tcMar>
            <w:vAlign w:val="bottom"/>
          </w:tcPr>
          <w:p w14:paraId="36E39BE6" w14:textId="00AA482A" w:rsidR="00224102" w:rsidRPr="00692926" w:rsidRDefault="00224102" w:rsidP="00224102">
            <w:pPr>
              <w:spacing w:line="211" w:lineRule="auto"/>
              <w:jc w:val="right"/>
              <w:rPr>
                <w:sz w:val="11"/>
                <w:szCs w:val="11"/>
              </w:rPr>
            </w:pPr>
            <w:r w:rsidRPr="00692926">
              <w:rPr>
                <w:sz w:val="11"/>
                <w:szCs w:val="11"/>
              </w:rPr>
              <w:t>236,241</w:t>
            </w:r>
          </w:p>
        </w:tc>
      </w:tr>
      <w:tr w:rsidR="00224102" w:rsidRPr="00604C75" w14:paraId="4097758D" w14:textId="77777777" w:rsidTr="009340BC">
        <w:trPr>
          <w:trHeight w:hRule="exact" w:val="142"/>
        </w:trPr>
        <w:tc>
          <w:tcPr>
            <w:tcW w:w="494" w:type="dxa"/>
            <w:noWrap/>
            <w:tcMar>
              <w:top w:w="18" w:type="dxa"/>
              <w:left w:w="18" w:type="dxa"/>
              <w:bottom w:w="0" w:type="dxa"/>
              <w:right w:w="18" w:type="dxa"/>
            </w:tcMar>
            <w:vAlign w:val="bottom"/>
          </w:tcPr>
          <w:p w14:paraId="4528FA63"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4.4</w:t>
            </w:r>
          </w:p>
        </w:tc>
        <w:tc>
          <w:tcPr>
            <w:tcW w:w="3580" w:type="dxa"/>
            <w:noWrap/>
            <w:tcMar>
              <w:top w:w="18" w:type="dxa"/>
              <w:left w:w="18" w:type="dxa"/>
              <w:bottom w:w="0" w:type="dxa"/>
              <w:right w:w="18" w:type="dxa"/>
            </w:tcMar>
            <w:vAlign w:val="bottom"/>
          </w:tcPr>
          <w:p w14:paraId="501A715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Commercial Notes Received for Collection</w:t>
            </w:r>
          </w:p>
        </w:tc>
        <w:tc>
          <w:tcPr>
            <w:tcW w:w="644" w:type="dxa"/>
            <w:noWrap/>
            <w:tcMar>
              <w:top w:w="18" w:type="dxa"/>
              <w:left w:w="18" w:type="dxa"/>
              <w:bottom w:w="0" w:type="dxa"/>
              <w:right w:w="18" w:type="dxa"/>
            </w:tcMar>
            <w:vAlign w:val="bottom"/>
          </w:tcPr>
          <w:p w14:paraId="217A29F6"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66A88DAB" w14:textId="37DA2941" w:rsidR="00224102" w:rsidRPr="003F3682" w:rsidRDefault="00224102" w:rsidP="00224102">
            <w:pPr>
              <w:spacing w:line="211" w:lineRule="auto"/>
              <w:jc w:val="right"/>
              <w:rPr>
                <w:sz w:val="11"/>
                <w:szCs w:val="11"/>
              </w:rPr>
            </w:pPr>
            <w:r w:rsidRPr="003F3682">
              <w:rPr>
                <w:sz w:val="11"/>
                <w:szCs w:val="11"/>
              </w:rPr>
              <w:t>29,649</w:t>
            </w:r>
          </w:p>
        </w:tc>
        <w:tc>
          <w:tcPr>
            <w:tcW w:w="1191" w:type="dxa"/>
            <w:vAlign w:val="bottom"/>
          </w:tcPr>
          <w:p w14:paraId="6B4FC803" w14:textId="4E7BADA4" w:rsidR="00224102" w:rsidRPr="003F3682" w:rsidRDefault="00224102" w:rsidP="00224102">
            <w:pPr>
              <w:spacing w:line="211" w:lineRule="auto"/>
              <w:jc w:val="right"/>
              <w:rPr>
                <w:sz w:val="11"/>
                <w:szCs w:val="11"/>
              </w:rPr>
            </w:pPr>
            <w:r w:rsidRPr="003F3682">
              <w:rPr>
                <w:sz w:val="11"/>
                <w:szCs w:val="11"/>
              </w:rPr>
              <w:t>1,951</w:t>
            </w:r>
          </w:p>
        </w:tc>
        <w:tc>
          <w:tcPr>
            <w:tcW w:w="896" w:type="dxa"/>
            <w:vAlign w:val="bottom"/>
          </w:tcPr>
          <w:p w14:paraId="6EB914B2" w14:textId="076F4045" w:rsidR="00224102" w:rsidRPr="003F3682" w:rsidRDefault="00224102" w:rsidP="00224102">
            <w:pPr>
              <w:spacing w:line="211" w:lineRule="auto"/>
              <w:jc w:val="right"/>
              <w:rPr>
                <w:sz w:val="11"/>
                <w:szCs w:val="11"/>
              </w:rPr>
            </w:pPr>
            <w:r w:rsidRPr="003F3682">
              <w:rPr>
                <w:sz w:val="11"/>
                <w:szCs w:val="11"/>
              </w:rPr>
              <w:t>31,600</w:t>
            </w:r>
          </w:p>
        </w:tc>
        <w:tc>
          <w:tcPr>
            <w:tcW w:w="881" w:type="dxa"/>
            <w:noWrap/>
            <w:tcMar>
              <w:top w:w="18" w:type="dxa"/>
              <w:left w:w="18" w:type="dxa"/>
              <w:bottom w:w="0" w:type="dxa"/>
              <w:right w:w="18" w:type="dxa"/>
            </w:tcMar>
            <w:vAlign w:val="bottom"/>
          </w:tcPr>
          <w:p w14:paraId="4D5BE960" w14:textId="17420069" w:rsidR="00224102" w:rsidRPr="00692926" w:rsidRDefault="00224102" w:rsidP="00224102">
            <w:pPr>
              <w:spacing w:line="211" w:lineRule="auto"/>
              <w:jc w:val="right"/>
              <w:rPr>
                <w:sz w:val="11"/>
                <w:szCs w:val="11"/>
              </w:rPr>
            </w:pPr>
            <w:r w:rsidRPr="00692926">
              <w:rPr>
                <w:sz w:val="11"/>
                <w:szCs w:val="11"/>
              </w:rPr>
              <w:t>34,397</w:t>
            </w:r>
          </w:p>
        </w:tc>
        <w:tc>
          <w:tcPr>
            <w:tcW w:w="895" w:type="dxa"/>
            <w:noWrap/>
            <w:tcMar>
              <w:top w:w="18" w:type="dxa"/>
              <w:left w:w="18" w:type="dxa"/>
              <w:bottom w:w="0" w:type="dxa"/>
              <w:right w:w="18" w:type="dxa"/>
            </w:tcMar>
            <w:vAlign w:val="bottom"/>
          </w:tcPr>
          <w:p w14:paraId="5A14D354" w14:textId="2CE4147C" w:rsidR="00224102" w:rsidRPr="00692926" w:rsidRDefault="00224102" w:rsidP="00224102">
            <w:pPr>
              <w:spacing w:line="211" w:lineRule="auto"/>
              <w:jc w:val="right"/>
              <w:rPr>
                <w:sz w:val="11"/>
                <w:szCs w:val="11"/>
              </w:rPr>
            </w:pPr>
            <w:r w:rsidRPr="00692926">
              <w:rPr>
                <w:sz w:val="11"/>
                <w:szCs w:val="11"/>
              </w:rPr>
              <w:t>3,590</w:t>
            </w:r>
          </w:p>
        </w:tc>
        <w:tc>
          <w:tcPr>
            <w:tcW w:w="896" w:type="dxa"/>
            <w:noWrap/>
            <w:tcMar>
              <w:top w:w="18" w:type="dxa"/>
              <w:left w:w="18" w:type="dxa"/>
              <w:bottom w:w="0" w:type="dxa"/>
              <w:right w:w="18" w:type="dxa"/>
            </w:tcMar>
            <w:vAlign w:val="bottom"/>
          </w:tcPr>
          <w:p w14:paraId="6BFC13FB" w14:textId="28BDBA14" w:rsidR="00224102" w:rsidRPr="00692926" w:rsidRDefault="00224102" w:rsidP="00224102">
            <w:pPr>
              <w:spacing w:line="211" w:lineRule="auto"/>
              <w:jc w:val="right"/>
              <w:rPr>
                <w:sz w:val="11"/>
                <w:szCs w:val="11"/>
              </w:rPr>
            </w:pPr>
            <w:r w:rsidRPr="00692926">
              <w:rPr>
                <w:sz w:val="11"/>
                <w:szCs w:val="11"/>
              </w:rPr>
              <w:t>37,987</w:t>
            </w:r>
          </w:p>
        </w:tc>
      </w:tr>
      <w:tr w:rsidR="00224102" w:rsidRPr="00604C75" w14:paraId="5F5F85B3" w14:textId="77777777" w:rsidTr="009340BC">
        <w:trPr>
          <w:trHeight w:hRule="exact" w:val="142"/>
        </w:trPr>
        <w:tc>
          <w:tcPr>
            <w:tcW w:w="494" w:type="dxa"/>
            <w:noWrap/>
            <w:tcMar>
              <w:top w:w="18" w:type="dxa"/>
              <w:left w:w="18" w:type="dxa"/>
              <w:bottom w:w="0" w:type="dxa"/>
              <w:right w:w="18" w:type="dxa"/>
            </w:tcMar>
            <w:vAlign w:val="bottom"/>
          </w:tcPr>
          <w:p w14:paraId="0D85755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4.5</w:t>
            </w:r>
          </w:p>
        </w:tc>
        <w:tc>
          <w:tcPr>
            <w:tcW w:w="3580" w:type="dxa"/>
            <w:noWrap/>
            <w:tcMar>
              <w:top w:w="18" w:type="dxa"/>
              <w:left w:w="18" w:type="dxa"/>
              <w:bottom w:w="0" w:type="dxa"/>
              <w:right w:w="18" w:type="dxa"/>
            </w:tcMar>
            <w:vAlign w:val="bottom"/>
          </w:tcPr>
          <w:p w14:paraId="53F28F1F"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Assets Received for Collection</w:t>
            </w:r>
          </w:p>
        </w:tc>
        <w:tc>
          <w:tcPr>
            <w:tcW w:w="644" w:type="dxa"/>
            <w:noWrap/>
            <w:tcMar>
              <w:top w:w="18" w:type="dxa"/>
              <w:left w:w="18" w:type="dxa"/>
              <w:bottom w:w="0" w:type="dxa"/>
              <w:right w:w="18" w:type="dxa"/>
            </w:tcMar>
            <w:vAlign w:val="bottom"/>
          </w:tcPr>
          <w:p w14:paraId="1B698B47"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3B10F5AA" w14:textId="1A38B732"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14AD508E" w14:textId="73BF2F12"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57F80A3D" w14:textId="581E498D"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61AD97E8" w14:textId="05780A6D"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5BA97FA3" w14:textId="255FE065"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109280AF" w14:textId="58AEA95E" w:rsidR="00224102" w:rsidRPr="00692926" w:rsidRDefault="00224102" w:rsidP="00224102">
            <w:pPr>
              <w:spacing w:line="211" w:lineRule="auto"/>
              <w:jc w:val="right"/>
              <w:rPr>
                <w:sz w:val="11"/>
                <w:szCs w:val="11"/>
              </w:rPr>
            </w:pPr>
            <w:r w:rsidRPr="00692926">
              <w:rPr>
                <w:sz w:val="11"/>
                <w:szCs w:val="11"/>
              </w:rPr>
              <w:t>-</w:t>
            </w:r>
          </w:p>
        </w:tc>
      </w:tr>
      <w:tr w:rsidR="00224102" w:rsidRPr="00604C75" w14:paraId="1EA358A1" w14:textId="77777777" w:rsidTr="009340BC">
        <w:trPr>
          <w:trHeight w:hRule="exact" w:val="142"/>
        </w:trPr>
        <w:tc>
          <w:tcPr>
            <w:tcW w:w="494" w:type="dxa"/>
            <w:noWrap/>
            <w:tcMar>
              <w:top w:w="18" w:type="dxa"/>
              <w:left w:w="18" w:type="dxa"/>
              <w:bottom w:w="0" w:type="dxa"/>
              <w:right w:w="18" w:type="dxa"/>
            </w:tcMar>
            <w:vAlign w:val="bottom"/>
          </w:tcPr>
          <w:p w14:paraId="6E9912D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4.6</w:t>
            </w:r>
          </w:p>
        </w:tc>
        <w:tc>
          <w:tcPr>
            <w:tcW w:w="3580" w:type="dxa"/>
            <w:noWrap/>
            <w:tcMar>
              <w:top w:w="18" w:type="dxa"/>
              <w:left w:w="18" w:type="dxa"/>
              <w:bottom w:w="0" w:type="dxa"/>
              <w:right w:w="18" w:type="dxa"/>
            </w:tcMar>
            <w:vAlign w:val="bottom"/>
          </w:tcPr>
          <w:p w14:paraId="0174DB1D"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Assets Received for Public Offering</w:t>
            </w:r>
          </w:p>
        </w:tc>
        <w:tc>
          <w:tcPr>
            <w:tcW w:w="644" w:type="dxa"/>
            <w:noWrap/>
            <w:tcMar>
              <w:top w:w="18" w:type="dxa"/>
              <w:left w:w="18" w:type="dxa"/>
              <w:bottom w:w="0" w:type="dxa"/>
              <w:right w:w="18" w:type="dxa"/>
            </w:tcMar>
            <w:vAlign w:val="bottom"/>
          </w:tcPr>
          <w:p w14:paraId="7B0697B6" w14:textId="77777777" w:rsidR="00224102" w:rsidRPr="00604C75" w:rsidRDefault="00224102" w:rsidP="00224102">
            <w:pPr>
              <w:spacing w:line="211" w:lineRule="auto"/>
              <w:jc w:val="center"/>
              <w:rPr>
                <w:rFonts w:eastAsia="Arial Unicode MS"/>
                <w:sz w:val="10"/>
                <w:szCs w:val="10"/>
                <w:lang w:val="tr-TR"/>
              </w:rPr>
            </w:pPr>
          </w:p>
        </w:tc>
        <w:tc>
          <w:tcPr>
            <w:tcW w:w="895" w:type="dxa"/>
            <w:vAlign w:val="bottom"/>
          </w:tcPr>
          <w:p w14:paraId="46F71974" w14:textId="1F06D7F4"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10985195" w14:textId="21E60882"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3E7E7DD2" w14:textId="276FDAB6"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15ADC014" w14:textId="18C213A0"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45AE6A20" w14:textId="51192C42"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4F2A2391" w14:textId="6C3490A2" w:rsidR="00224102" w:rsidRPr="00692926" w:rsidRDefault="00224102" w:rsidP="00224102">
            <w:pPr>
              <w:spacing w:line="211" w:lineRule="auto"/>
              <w:jc w:val="right"/>
              <w:rPr>
                <w:sz w:val="11"/>
                <w:szCs w:val="11"/>
              </w:rPr>
            </w:pPr>
            <w:r w:rsidRPr="00692926">
              <w:rPr>
                <w:sz w:val="11"/>
                <w:szCs w:val="11"/>
              </w:rPr>
              <w:t>-</w:t>
            </w:r>
          </w:p>
        </w:tc>
      </w:tr>
      <w:tr w:rsidR="00224102" w:rsidRPr="00604C75" w14:paraId="76B28F9F" w14:textId="77777777" w:rsidTr="009340BC">
        <w:trPr>
          <w:trHeight w:hRule="exact" w:val="142"/>
        </w:trPr>
        <w:tc>
          <w:tcPr>
            <w:tcW w:w="494" w:type="dxa"/>
            <w:noWrap/>
            <w:tcMar>
              <w:top w:w="18" w:type="dxa"/>
              <w:left w:w="18" w:type="dxa"/>
              <w:bottom w:w="0" w:type="dxa"/>
              <w:right w:w="18" w:type="dxa"/>
            </w:tcMar>
            <w:vAlign w:val="bottom"/>
          </w:tcPr>
          <w:p w14:paraId="7B8BE1FD"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4.7</w:t>
            </w:r>
          </w:p>
        </w:tc>
        <w:tc>
          <w:tcPr>
            <w:tcW w:w="3580" w:type="dxa"/>
            <w:noWrap/>
            <w:tcMar>
              <w:top w:w="18" w:type="dxa"/>
              <w:left w:w="18" w:type="dxa"/>
              <w:bottom w:w="0" w:type="dxa"/>
              <w:right w:w="18" w:type="dxa"/>
            </w:tcMar>
            <w:vAlign w:val="bottom"/>
          </w:tcPr>
          <w:p w14:paraId="4069AE61"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Items Under Custody</w:t>
            </w:r>
          </w:p>
        </w:tc>
        <w:tc>
          <w:tcPr>
            <w:tcW w:w="644" w:type="dxa"/>
            <w:noWrap/>
            <w:tcMar>
              <w:top w:w="18" w:type="dxa"/>
              <w:left w:w="18" w:type="dxa"/>
              <w:bottom w:w="0" w:type="dxa"/>
              <w:right w:w="18" w:type="dxa"/>
            </w:tcMar>
            <w:vAlign w:val="bottom"/>
          </w:tcPr>
          <w:p w14:paraId="3153A8AA" w14:textId="77777777" w:rsidR="00224102" w:rsidRPr="00604C75" w:rsidRDefault="00224102" w:rsidP="00224102">
            <w:pPr>
              <w:spacing w:line="211" w:lineRule="auto"/>
              <w:jc w:val="center"/>
              <w:rPr>
                <w:sz w:val="10"/>
                <w:szCs w:val="10"/>
                <w:lang w:val="tr-TR"/>
              </w:rPr>
            </w:pPr>
          </w:p>
        </w:tc>
        <w:tc>
          <w:tcPr>
            <w:tcW w:w="895" w:type="dxa"/>
            <w:vAlign w:val="bottom"/>
          </w:tcPr>
          <w:p w14:paraId="717A4B09" w14:textId="328AF37D" w:rsidR="00224102" w:rsidRPr="003F3682" w:rsidRDefault="00224102" w:rsidP="00224102">
            <w:pPr>
              <w:spacing w:line="211" w:lineRule="auto"/>
              <w:jc w:val="right"/>
              <w:rPr>
                <w:sz w:val="11"/>
                <w:szCs w:val="11"/>
              </w:rPr>
            </w:pPr>
            <w:r w:rsidRPr="003F3682">
              <w:rPr>
                <w:sz w:val="11"/>
                <w:szCs w:val="11"/>
              </w:rPr>
              <w:t>224,252</w:t>
            </w:r>
          </w:p>
        </w:tc>
        <w:tc>
          <w:tcPr>
            <w:tcW w:w="1191" w:type="dxa"/>
            <w:vAlign w:val="bottom"/>
          </w:tcPr>
          <w:p w14:paraId="7B9D8AD5" w14:textId="350E0D5E" w:rsidR="00224102" w:rsidRPr="003F3682" w:rsidRDefault="00224102" w:rsidP="00224102">
            <w:pPr>
              <w:spacing w:line="211" w:lineRule="auto"/>
              <w:jc w:val="right"/>
              <w:rPr>
                <w:sz w:val="11"/>
                <w:szCs w:val="11"/>
              </w:rPr>
            </w:pPr>
            <w:r w:rsidRPr="003F3682">
              <w:rPr>
                <w:sz w:val="11"/>
                <w:szCs w:val="11"/>
              </w:rPr>
              <w:t>880,463</w:t>
            </w:r>
          </w:p>
        </w:tc>
        <w:tc>
          <w:tcPr>
            <w:tcW w:w="896" w:type="dxa"/>
            <w:vAlign w:val="bottom"/>
          </w:tcPr>
          <w:p w14:paraId="65E4033D" w14:textId="2A035287" w:rsidR="00224102" w:rsidRPr="003F3682" w:rsidRDefault="00224102" w:rsidP="00224102">
            <w:pPr>
              <w:spacing w:line="211" w:lineRule="auto"/>
              <w:jc w:val="right"/>
              <w:rPr>
                <w:sz w:val="11"/>
                <w:szCs w:val="11"/>
              </w:rPr>
            </w:pPr>
            <w:r w:rsidRPr="003F3682">
              <w:rPr>
                <w:sz w:val="11"/>
                <w:szCs w:val="11"/>
              </w:rPr>
              <w:t>1,104,715</w:t>
            </w:r>
          </w:p>
        </w:tc>
        <w:tc>
          <w:tcPr>
            <w:tcW w:w="881" w:type="dxa"/>
            <w:noWrap/>
            <w:tcMar>
              <w:top w:w="18" w:type="dxa"/>
              <w:left w:w="18" w:type="dxa"/>
              <w:bottom w:w="0" w:type="dxa"/>
              <w:right w:w="18" w:type="dxa"/>
            </w:tcMar>
            <w:vAlign w:val="bottom"/>
          </w:tcPr>
          <w:p w14:paraId="775D30B8" w14:textId="7D3956CE" w:rsidR="00224102" w:rsidRPr="00692926" w:rsidRDefault="00224102" w:rsidP="00224102">
            <w:pPr>
              <w:spacing w:line="211" w:lineRule="auto"/>
              <w:jc w:val="right"/>
              <w:rPr>
                <w:sz w:val="11"/>
                <w:szCs w:val="11"/>
              </w:rPr>
            </w:pPr>
            <w:r w:rsidRPr="00692926">
              <w:rPr>
                <w:sz w:val="11"/>
                <w:szCs w:val="11"/>
              </w:rPr>
              <w:t>242,625</w:t>
            </w:r>
          </w:p>
        </w:tc>
        <w:tc>
          <w:tcPr>
            <w:tcW w:w="895" w:type="dxa"/>
            <w:noWrap/>
            <w:tcMar>
              <w:top w:w="18" w:type="dxa"/>
              <w:left w:w="18" w:type="dxa"/>
              <w:bottom w:w="0" w:type="dxa"/>
              <w:right w:w="18" w:type="dxa"/>
            </w:tcMar>
            <w:vAlign w:val="bottom"/>
          </w:tcPr>
          <w:p w14:paraId="4D2302D2" w14:textId="4CBAA477" w:rsidR="00224102" w:rsidRPr="00692926" w:rsidRDefault="00224102" w:rsidP="00224102">
            <w:pPr>
              <w:spacing w:line="211" w:lineRule="auto"/>
              <w:jc w:val="right"/>
              <w:rPr>
                <w:sz w:val="11"/>
                <w:szCs w:val="11"/>
              </w:rPr>
            </w:pPr>
            <w:r w:rsidRPr="00692926">
              <w:rPr>
                <w:sz w:val="11"/>
                <w:szCs w:val="11"/>
              </w:rPr>
              <w:t>561,684</w:t>
            </w:r>
          </w:p>
        </w:tc>
        <w:tc>
          <w:tcPr>
            <w:tcW w:w="896" w:type="dxa"/>
            <w:noWrap/>
            <w:tcMar>
              <w:top w:w="18" w:type="dxa"/>
              <w:left w:w="18" w:type="dxa"/>
              <w:bottom w:w="0" w:type="dxa"/>
              <w:right w:w="18" w:type="dxa"/>
            </w:tcMar>
            <w:vAlign w:val="bottom"/>
          </w:tcPr>
          <w:p w14:paraId="5330156B" w14:textId="6BF596DE" w:rsidR="00224102" w:rsidRPr="00692926" w:rsidRDefault="00224102" w:rsidP="00224102">
            <w:pPr>
              <w:spacing w:line="211" w:lineRule="auto"/>
              <w:jc w:val="right"/>
              <w:rPr>
                <w:sz w:val="11"/>
                <w:szCs w:val="11"/>
              </w:rPr>
            </w:pPr>
            <w:r w:rsidRPr="00692926">
              <w:rPr>
                <w:sz w:val="11"/>
                <w:szCs w:val="11"/>
              </w:rPr>
              <w:t>804,309</w:t>
            </w:r>
          </w:p>
        </w:tc>
      </w:tr>
      <w:tr w:rsidR="00224102" w:rsidRPr="00604C75" w14:paraId="3E324042" w14:textId="77777777" w:rsidTr="009340BC">
        <w:trPr>
          <w:trHeight w:hRule="exact" w:val="142"/>
        </w:trPr>
        <w:tc>
          <w:tcPr>
            <w:tcW w:w="494" w:type="dxa"/>
            <w:noWrap/>
            <w:tcMar>
              <w:top w:w="18" w:type="dxa"/>
              <w:left w:w="18" w:type="dxa"/>
              <w:bottom w:w="0" w:type="dxa"/>
              <w:right w:w="18" w:type="dxa"/>
            </w:tcMar>
            <w:vAlign w:val="bottom"/>
          </w:tcPr>
          <w:p w14:paraId="3B3CBA3A"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4.8</w:t>
            </w:r>
          </w:p>
        </w:tc>
        <w:tc>
          <w:tcPr>
            <w:tcW w:w="3580" w:type="dxa"/>
            <w:noWrap/>
            <w:tcMar>
              <w:top w:w="18" w:type="dxa"/>
              <w:left w:w="18" w:type="dxa"/>
              <w:bottom w:w="0" w:type="dxa"/>
              <w:right w:w="18" w:type="dxa"/>
            </w:tcMar>
            <w:vAlign w:val="bottom"/>
          </w:tcPr>
          <w:p w14:paraId="23C11977"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Custodians</w:t>
            </w:r>
          </w:p>
        </w:tc>
        <w:tc>
          <w:tcPr>
            <w:tcW w:w="644" w:type="dxa"/>
            <w:noWrap/>
            <w:tcMar>
              <w:top w:w="18" w:type="dxa"/>
              <w:left w:w="18" w:type="dxa"/>
              <w:bottom w:w="0" w:type="dxa"/>
              <w:right w:w="18" w:type="dxa"/>
            </w:tcMar>
            <w:vAlign w:val="bottom"/>
          </w:tcPr>
          <w:p w14:paraId="41FAAE44" w14:textId="77777777" w:rsidR="00224102" w:rsidRPr="00604C75" w:rsidRDefault="00224102" w:rsidP="00224102">
            <w:pPr>
              <w:spacing w:line="211" w:lineRule="auto"/>
              <w:jc w:val="center"/>
              <w:rPr>
                <w:sz w:val="10"/>
                <w:szCs w:val="10"/>
                <w:lang w:val="tr-TR"/>
              </w:rPr>
            </w:pPr>
          </w:p>
        </w:tc>
        <w:tc>
          <w:tcPr>
            <w:tcW w:w="895" w:type="dxa"/>
            <w:vAlign w:val="bottom"/>
          </w:tcPr>
          <w:p w14:paraId="48FC3DD8" w14:textId="5582A414"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0FDD6AD4" w14:textId="3DD78929"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3C57F4F2" w14:textId="27B2BA04"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155CCF05" w14:textId="4DF8B65D"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247EA3E5" w14:textId="0F9408B4"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2962610F" w14:textId="5ADCE7D3" w:rsidR="00224102" w:rsidRPr="00692926" w:rsidRDefault="00224102" w:rsidP="00224102">
            <w:pPr>
              <w:spacing w:line="211" w:lineRule="auto"/>
              <w:jc w:val="right"/>
              <w:rPr>
                <w:sz w:val="11"/>
                <w:szCs w:val="11"/>
              </w:rPr>
            </w:pPr>
            <w:r w:rsidRPr="00692926">
              <w:rPr>
                <w:sz w:val="11"/>
                <w:szCs w:val="11"/>
              </w:rPr>
              <w:t>-</w:t>
            </w:r>
          </w:p>
        </w:tc>
      </w:tr>
      <w:tr w:rsidR="00224102" w:rsidRPr="00604C75" w14:paraId="4428B562" w14:textId="77777777" w:rsidTr="009340BC">
        <w:trPr>
          <w:trHeight w:hRule="exact" w:val="142"/>
        </w:trPr>
        <w:tc>
          <w:tcPr>
            <w:tcW w:w="494" w:type="dxa"/>
            <w:noWrap/>
            <w:tcMar>
              <w:top w:w="18" w:type="dxa"/>
              <w:left w:w="18" w:type="dxa"/>
              <w:bottom w:w="0" w:type="dxa"/>
              <w:right w:w="18" w:type="dxa"/>
            </w:tcMar>
            <w:vAlign w:val="bottom"/>
          </w:tcPr>
          <w:p w14:paraId="28D80C94"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V.</w:t>
            </w:r>
          </w:p>
        </w:tc>
        <w:tc>
          <w:tcPr>
            <w:tcW w:w="3580" w:type="dxa"/>
            <w:noWrap/>
            <w:tcMar>
              <w:top w:w="18" w:type="dxa"/>
              <w:left w:w="18" w:type="dxa"/>
              <w:bottom w:w="0" w:type="dxa"/>
              <w:right w:w="18" w:type="dxa"/>
            </w:tcMar>
            <w:vAlign w:val="bottom"/>
          </w:tcPr>
          <w:p w14:paraId="03675320"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PLEDGES RECEIVED</w:t>
            </w:r>
          </w:p>
        </w:tc>
        <w:tc>
          <w:tcPr>
            <w:tcW w:w="644" w:type="dxa"/>
            <w:noWrap/>
            <w:tcMar>
              <w:top w:w="18" w:type="dxa"/>
              <w:left w:w="18" w:type="dxa"/>
              <w:bottom w:w="0" w:type="dxa"/>
              <w:right w:w="18" w:type="dxa"/>
            </w:tcMar>
            <w:vAlign w:val="bottom"/>
          </w:tcPr>
          <w:p w14:paraId="2DEC9F6F" w14:textId="77777777" w:rsidR="00224102" w:rsidRPr="00604C75" w:rsidRDefault="00224102" w:rsidP="00224102">
            <w:pPr>
              <w:spacing w:line="211" w:lineRule="auto"/>
              <w:jc w:val="center"/>
              <w:rPr>
                <w:sz w:val="10"/>
                <w:szCs w:val="10"/>
                <w:lang w:val="tr-TR"/>
              </w:rPr>
            </w:pPr>
          </w:p>
        </w:tc>
        <w:tc>
          <w:tcPr>
            <w:tcW w:w="895" w:type="dxa"/>
            <w:vAlign w:val="bottom"/>
          </w:tcPr>
          <w:p w14:paraId="69AD30A0" w14:textId="5EAE60EE" w:rsidR="00224102" w:rsidRPr="003F3682" w:rsidRDefault="00224102" w:rsidP="00224102">
            <w:pPr>
              <w:spacing w:line="211" w:lineRule="auto"/>
              <w:jc w:val="right"/>
              <w:rPr>
                <w:b/>
                <w:sz w:val="11"/>
                <w:szCs w:val="11"/>
              </w:rPr>
            </w:pPr>
            <w:r w:rsidRPr="005C7ECF">
              <w:rPr>
                <w:b/>
                <w:sz w:val="11"/>
                <w:szCs w:val="11"/>
              </w:rPr>
              <w:t>36,150,274</w:t>
            </w:r>
          </w:p>
        </w:tc>
        <w:tc>
          <w:tcPr>
            <w:tcW w:w="1191" w:type="dxa"/>
            <w:vAlign w:val="bottom"/>
          </w:tcPr>
          <w:p w14:paraId="342F5905" w14:textId="66022E26" w:rsidR="00224102" w:rsidRPr="003F3682" w:rsidRDefault="00224102" w:rsidP="00224102">
            <w:pPr>
              <w:spacing w:line="211" w:lineRule="auto"/>
              <w:jc w:val="right"/>
              <w:rPr>
                <w:b/>
                <w:sz w:val="11"/>
                <w:szCs w:val="11"/>
              </w:rPr>
            </w:pPr>
            <w:r w:rsidRPr="005C7ECF">
              <w:rPr>
                <w:b/>
                <w:sz w:val="11"/>
                <w:szCs w:val="11"/>
              </w:rPr>
              <w:t>16,072,070</w:t>
            </w:r>
          </w:p>
        </w:tc>
        <w:tc>
          <w:tcPr>
            <w:tcW w:w="896" w:type="dxa"/>
            <w:vAlign w:val="bottom"/>
          </w:tcPr>
          <w:p w14:paraId="1776E811" w14:textId="38247D9F" w:rsidR="00224102" w:rsidRPr="003F3682" w:rsidRDefault="00224102" w:rsidP="00224102">
            <w:pPr>
              <w:spacing w:line="211" w:lineRule="auto"/>
              <w:jc w:val="right"/>
              <w:rPr>
                <w:b/>
                <w:sz w:val="11"/>
                <w:szCs w:val="11"/>
              </w:rPr>
            </w:pPr>
            <w:r w:rsidRPr="005C7ECF">
              <w:rPr>
                <w:b/>
                <w:sz w:val="11"/>
                <w:szCs w:val="11"/>
              </w:rPr>
              <w:t>52,222,344</w:t>
            </w:r>
          </w:p>
        </w:tc>
        <w:tc>
          <w:tcPr>
            <w:tcW w:w="881" w:type="dxa"/>
            <w:noWrap/>
            <w:tcMar>
              <w:top w:w="18" w:type="dxa"/>
              <w:left w:w="18" w:type="dxa"/>
              <w:bottom w:w="0" w:type="dxa"/>
              <w:right w:w="18" w:type="dxa"/>
            </w:tcMar>
            <w:vAlign w:val="bottom"/>
          </w:tcPr>
          <w:p w14:paraId="47B18015" w14:textId="3044ECEE" w:rsidR="00224102" w:rsidRPr="00692926" w:rsidRDefault="00224102" w:rsidP="00224102">
            <w:pPr>
              <w:spacing w:line="211" w:lineRule="auto"/>
              <w:jc w:val="right"/>
              <w:rPr>
                <w:b/>
                <w:sz w:val="11"/>
                <w:szCs w:val="11"/>
              </w:rPr>
            </w:pPr>
            <w:r w:rsidRPr="00692926">
              <w:rPr>
                <w:b/>
                <w:sz w:val="11"/>
                <w:szCs w:val="11"/>
              </w:rPr>
              <w:t>29,704,422</w:t>
            </w:r>
          </w:p>
        </w:tc>
        <w:tc>
          <w:tcPr>
            <w:tcW w:w="895" w:type="dxa"/>
            <w:noWrap/>
            <w:tcMar>
              <w:top w:w="18" w:type="dxa"/>
              <w:left w:w="18" w:type="dxa"/>
              <w:bottom w:w="0" w:type="dxa"/>
              <w:right w:w="18" w:type="dxa"/>
            </w:tcMar>
            <w:vAlign w:val="bottom"/>
          </w:tcPr>
          <w:p w14:paraId="7F8B9066" w14:textId="0A172DC1" w:rsidR="00224102" w:rsidRPr="00692926" w:rsidRDefault="00224102" w:rsidP="00224102">
            <w:pPr>
              <w:spacing w:line="211" w:lineRule="auto"/>
              <w:jc w:val="right"/>
              <w:rPr>
                <w:b/>
                <w:sz w:val="11"/>
                <w:szCs w:val="11"/>
              </w:rPr>
            </w:pPr>
            <w:r w:rsidRPr="00692926">
              <w:rPr>
                <w:b/>
                <w:sz w:val="11"/>
                <w:szCs w:val="11"/>
              </w:rPr>
              <w:t>8,174,006</w:t>
            </w:r>
          </w:p>
        </w:tc>
        <w:tc>
          <w:tcPr>
            <w:tcW w:w="896" w:type="dxa"/>
            <w:noWrap/>
            <w:tcMar>
              <w:top w:w="18" w:type="dxa"/>
              <w:left w:w="18" w:type="dxa"/>
              <w:bottom w:w="0" w:type="dxa"/>
              <w:right w:w="18" w:type="dxa"/>
            </w:tcMar>
            <w:vAlign w:val="bottom"/>
          </w:tcPr>
          <w:p w14:paraId="282F930A" w14:textId="426FC8B8" w:rsidR="00224102" w:rsidRPr="00692926" w:rsidRDefault="00224102" w:rsidP="00224102">
            <w:pPr>
              <w:spacing w:line="211" w:lineRule="auto"/>
              <w:jc w:val="right"/>
              <w:rPr>
                <w:b/>
                <w:sz w:val="11"/>
                <w:szCs w:val="11"/>
              </w:rPr>
            </w:pPr>
            <w:r w:rsidRPr="00692926">
              <w:rPr>
                <w:b/>
                <w:sz w:val="11"/>
                <w:szCs w:val="11"/>
              </w:rPr>
              <w:t>37,878,428</w:t>
            </w:r>
          </w:p>
        </w:tc>
      </w:tr>
      <w:tr w:rsidR="00224102" w:rsidRPr="00604C75" w14:paraId="2A77514C" w14:textId="77777777" w:rsidTr="009340BC">
        <w:trPr>
          <w:trHeight w:hRule="exact" w:val="142"/>
        </w:trPr>
        <w:tc>
          <w:tcPr>
            <w:tcW w:w="494" w:type="dxa"/>
            <w:noWrap/>
            <w:tcMar>
              <w:top w:w="18" w:type="dxa"/>
              <w:left w:w="18" w:type="dxa"/>
              <w:bottom w:w="0" w:type="dxa"/>
              <w:right w:w="18" w:type="dxa"/>
            </w:tcMar>
            <w:vAlign w:val="bottom"/>
          </w:tcPr>
          <w:p w14:paraId="68C346C4"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5.1</w:t>
            </w:r>
          </w:p>
        </w:tc>
        <w:tc>
          <w:tcPr>
            <w:tcW w:w="3580" w:type="dxa"/>
            <w:noWrap/>
            <w:tcMar>
              <w:top w:w="18" w:type="dxa"/>
              <w:left w:w="18" w:type="dxa"/>
              <w:bottom w:w="0" w:type="dxa"/>
              <w:right w:w="18" w:type="dxa"/>
            </w:tcMar>
            <w:vAlign w:val="bottom"/>
          </w:tcPr>
          <w:p w14:paraId="267EC91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Marketable Securities</w:t>
            </w:r>
          </w:p>
        </w:tc>
        <w:tc>
          <w:tcPr>
            <w:tcW w:w="644" w:type="dxa"/>
            <w:noWrap/>
            <w:tcMar>
              <w:top w:w="18" w:type="dxa"/>
              <w:left w:w="18" w:type="dxa"/>
              <w:bottom w:w="0" w:type="dxa"/>
              <w:right w:w="18" w:type="dxa"/>
            </w:tcMar>
            <w:vAlign w:val="bottom"/>
          </w:tcPr>
          <w:p w14:paraId="68F427F4" w14:textId="77777777" w:rsidR="00224102" w:rsidRPr="00604C75" w:rsidRDefault="00224102" w:rsidP="00224102">
            <w:pPr>
              <w:spacing w:line="211" w:lineRule="auto"/>
              <w:jc w:val="center"/>
              <w:rPr>
                <w:sz w:val="10"/>
                <w:szCs w:val="10"/>
                <w:lang w:val="tr-TR"/>
              </w:rPr>
            </w:pPr>
          </w:p>
        </w:tc>
        <w:tc>
          <w:tcPr>
            <w:tcW w:w="895" w:type="dxa"/>
            <w:vAlign w:val="bottom"/>
          </w:tcPr>
          <w:p w14:paraId="79AD9DDE" w14:textId="5E537163"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148E52E0" w14:textId="0B24A57E"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330E0D5A" w14:textId="0D809FB8"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3D231574" w14:textId="252D8D10"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05FAE23A" w14:textId="372E789E" w:rsidR="00224102" w:rsidRPr="00692926" w:rsidRDefault="00224102" w:rsidP="00224102">
            <w:pPr>
              <w:spacing w:line="211" w:lineRule="auto"/>
              <w:jc w:val="right"/>
              <w:rPr>
                <w:sz w:val="11"/>
                <w:szCs w:val="11"/>
              </w:rPr>
            </w:pPr>
            <w:r w:rsidRPr="00692926">
              <w:rPr>
                <w:sz w:val="11"/>
                <w:szCs w:val="11"/>
              </w:rPr>
              <w:t>1,191</w:t>
            </w:r>
          </w:p>
        </w:tc>
        <w:tc>
          <w:tcPr>
            <w:tcW w:w="896" w:type="dxa"/>
            <w:noWrap/>
            <w:tcMar>
              <w:top w:w="18" w:type="dxa"/>
              <w:left w:w="18" w:type="dxa"/>
              <w:bottom w:w="0" w:type="dxa"/>
              <w:right w:w="18" w:type="dxa"/>
            </w:tcMar>
            <w:vAlign w:val="bottom"/>
          </w:tcPr>
          <w:p w14:paraId="04C591CE" w14:textId="0CB001E3" w:rsidR="00224102" w:rsidRPr="00692926" w:rsidRDefault="00224102" w:rsidP="00224102">
            <w:pPr>
              <w:spacing w:line="211" w:lineRule="auto"/>
              <w:jc w:val="right"/>
              <w:rPr>
                <w:sz w:val="11"/>
                <w:szCs w:val="11"/>
              </w:rPr>
            </w:pPr>
            <w:r w:rsidRPr="00692926">
              <w:rPr>
                <w:sz w:val="11"/>
                <w:szCs w:val="11"/>
              </w:rPr>
              <w:t>1,191</w:t>
            </w:r>
          </w:p>
        </w:tc>
      </w:tr>
      <w:tr w:rsidR="00224102" w:rsidRPr="00604C75" w14:paraId="0394F454" w14:textId="77777777" w:rsidTr="009340BC">
        <w:trPr>
          <w:trHeight w:hRule="exact" w:val="142"/>
        </w:trPr>
        <w:tc>
          <w:tcPr>
            <w:tcW w:w="494" w:type="dxa"/>
            <w:noWrap/>
            <w:tcMar>
              <w:top w:w="18" w:type="dxa"/>
              <w:left w:w="18" w:type="dxa"/>
              <w:bottom w:w="0" w:type="dxa"/>
              <w:right w:w="18" w:type="dxa"/>
            </w:tcMar>
            <w:vAlign w:val="bottom"/>
          </w:tcPr>
          <w:p w14:paraId="3E7692B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5.2</w:t>
            </w:r>
          </w:p>
        </w:tc>
        <w:tc>
          <w:tcPr>
            <w:tcW w:w="3580" w:type="dxa"/>
            <w:noWrap/>
            <w:tcMar>
              <w:top w:w="18" w:type="dxa"/>
              <w:left w:w="18" w:type="dxa"/>
              <w:bottom w:w="0" w:type="dxa"/>
              <w:right w:w="18" w:type="dxa"/>
            </w:tcMar>
            <w:vAlign w:val="bottom"/>
          </w:tcPr>
          <w:p w14:paraId="65E69872"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Guarantee Notes</w:t>
            </w:r>
          </w:p>
        </w:tc>
        <w:tc>
          <w:tcPr>
            <w:tcW w:w="644" w:type="dxa"/>
            <w:noWrap/>
            <w:tcMar>
              <w:top w:w="18" w:type="dxa"/>
              <w:left w:w="18" w:type="dxa"/>
              <w:bottom w:w="0" w:type="dxa"/>
              <w:right w:w="18" w:type="dxa"/>
            </w:tcMar>
            <w:vAlign w:val="bottom"/>
          </w:tcPr>
          <w:p w14:paraId="5A7328D3" w14:textId="77777777" w:rsidR="00224102" w:rsidRPr="00604C75" w:rsidRDefault="00224102" w:rsidP="00224102">
            <w:pPr>
              <w:spacing w:line="211" w:lineRule="auto"/>
              <w:jc w:val="center"/>
              <w:rPr>
                <w:b/>
                <w:sz w:val="10"/>
                <w:szCs w:val="10"/>
                <w:lang w:val="tr-TR"/>
              </w:rPr>
            </w:pPr>
          </w:p>
        </w:tc>
        <w:tc>
          <w:tcPr>
            <w:tcW w:w="895" w:type="dxa"/>
            <w:vAlign w:val="bottom"/>
          </w:tcPr>
          <w:p w14:paraId="0EF21793" w14:textId="132C919A" w:rsidR="00224102" w:rsidRPr="003F3682" w:rsidRDefault="00224102" w:rsidP="00224102">
            <w:pPr>
              <w:spacing w:line="211" w:lineRule="auto"/>
              <w:jc w:val="right"/>
              <w:rPr>
                <w:sz w:val="11"/>
                <w:szCs w:val="11"/>
              </w:rPr>
            </w:pPr>
            <w:r w:rsidRPr="003F3682">
              <w:rPr>
                <w:sz w:val="11"/>
                <w:szCs w:val="11"/>
              </w:rPr>
              <w:t>27,224,938</w:t>
            </w:r>
          </w:p>
        </w:tc>
        <w:tc>
          <w:tcPr>
            <w:tcW w:w="1191" w:type="dxa"/>
            <w:vAlign w:val="bottom"/>
          </w:tcPr>
          <w:p w14:paraId="787F0B9C" w14:textId="6B076106" w:rsidR="00224102" w:rsidRPr="003F3682" w:rsidRDefault="00224102" w:rsidP="00224102">
            <w:pPr>
              <w:spacing w:line="211" w:lineRule="auto"/>
              <w:jc w:val="right"/>
              <w:rPr>
                <w:sz w:val="11"/>
                <w:szCs w:val="11"/>
              </w:rPr>
            </w:pPr>
            <w:r w:rsidRPr="003F3682">
              <w:rPr>
                <w:sz w:val="11"/>
                <w:szCs w:val="11"/>
              </w:rPr>
              <w:t>10,804,073</w:t>
            </w:r>
          </w:p>
        </w:tc>
        <w:tc>
          <w:tcPr>
            <w:tcW w:w="896" w:type="dxa"/>
            <w:vAlign w:val="bottom"/>
          </w:tcPr>
          <w:p w14:paraId="3CED5C21" w14:textId="585B47DE" w:rsidR="00224102" w:rsidRPr="003F3682" w:rsidRDefault="00224102" w:rsidP="00224102">
            <w:pPr>
              <w:spacing w:line="211" w:lineRule="auto"/>
              <w:jc w:val="right"/>
              <w:rPr>
                <w:sz w:val="11"/>
                <w:szCs w:val="11"/>
              </w:rPr>
            </w:pPr>
            <w:r w:rsidRPr="003F3682">
              <w:rPr>
                <w:sz w:val="11"/>
                <w:szCs w:val="11"/>
              </w:rPr>
              <w:t>38,029,011</w:t>
            </w:r>
          </w:p>
        </w:tc>
        <w:tc>
          <w:tcPr>
            <w:tcW w:w="881" w:type="dxa"/>
            <w:noWrap/>
            <w:tcMar>
              <w:top w:w="18" w:type="dxa"/>
              <w:left w:w="18" w:type="dxa"/>
              <w:bottom w:w="0" w:type="dxa"/>
              <w:right w:w="18" w:type="dxa"/>
            </w:tcMar>
            <w:vAlign w:val="bottom"/>
          </w:tcPr>
          <w:p w14:paraId="78F42C96" w14:textId="0FC34E13" w:rsidR="00224102" w:rsidRPr="00692926" w:rsidRDefault="00224102" w:rsidP="00224102">
            <w:pPr>
              <w:spacing w:line="211" w:lineRule="auto"/>
              <w:jc w:val="right"/>
              <w:rPr>
                <w:sz w:val="11"/>
                <w:szCs w:val="11"/>
              </w:rPr>
            </w:pPr>
            <w:r w:rsidRPr="00692926">
              <w:rPr>
                <w:sz w:val="11"/>
                <w:szCs w:val="11"/>
              </w:rPr>
              <w:t>22,911,508</w:t>
            </w:r>
          </w:p>
        </w:tc>
        <w:tc>
          <w:tcPr>
            <w:tcW w:w="895" w:type="dxa"/>
            <w:noWrap/>
            <w:tcMar>
              <w:top w:w="18" w:type="dxa"/>
              <w:left w:w="18" w:type="dxa"/>
              <w:bottom w:w="0" w:type="dxa"/>
              <w:right w:w="18" w:type="dxa"/>
            </w:tcMar>
            <w:vAlign w:val="bottom"/>
          </w:tcPr>
          <w:p w14:paraId="4A5F6516" w14:textId="05402955" w:rsidR="00224102" w:rsidRPr="00692926" w:rsidRDefault="00224102" w:rsidP="00224102">
            <w:pPr>
              <w:spacing w:line="211" w:lineRule="auto"/>
              <w:jc w:val="right"/>
              <w:rPr>
                <w:sz w:val="11"/>
                <w:szCs w:val="11"/>
              </w:rPr>
            </w:pPr>
            <w:r w:rsidRPr="00692926">
              <w:rPr>
                <w:sz w:val="11"/>
                <w:szCs w:val="11"/>
              </w:rPr>
              <w:t>6,706,148</w:t>
            </w:r>
          </w:p>
        </w:tc>
        <w:tc>
          <w:tcPr>
            <w:tcW w:w="896" w:type="dxa"/>
            <w:noWrap/>
            <w:tcMar>
              <w:top w:w="18" w:type="dxa"/>
              <w:left w:w="18" w:type="dxa"/>
              <w:bottom w:w="0" w:type="dxa"/>
              <w:right w:w="18" w:type="dxa"/>
            </w:tcMar>
            <w:vAlign w:val="bottom"/>
          </w:tcPr>
          <w:p w14:paraId="48B5DABA" w14:textId="4D6403D4" w:rsidR="00224102" w:rsidRPr="00692926" w:rsidRDefault="00224102" w:rsidP="00224102">
            <w:pPr>
              <w:spacing w:line="211" w:lineRule="auto"/>
              <w:jc w:val="right"/>
              <w:rPr>
                <w:sz w:val="11"/>
                <w:szCs w:val="11"/>
              </w:rPr>
            </w:pPr>
            <w:r w:rsidRPr="00692926">
              <w:rPr>
                <w:sz w:val="11"/>
                <w:szCs w:val="11"/>
              </w:rPr>
              <w:t>29,617,656</w:t>
            </w:r>
          </w:p>
        </w:tc>
      </w:tr>
      <w:tr w:rsidR="00224102" w:rsidRPr="00604C75" w14:paraId="3E62E3A2" w14:textId="77777777" w:rsidTr="009340BC">
        <w:trPr>
          <w:trHeight w:hRule="exact" w:val="142"/>
        </w:trPr>
        <w:tc>
          <w:tcPr>
            <w:tcW w:w="494" w:type="dxa"/>
            <w:noWrap/>
            <w:tcMar>
              <w:top w:w="18" w:type="dxa"/>
              <w:left w:w="18" w:type="dxa"/>
              <w:bottom w:w="0" w:type="dxa"/>
              <w:right w:w="18" w:type="dxa"/>
            </w:tcMar>
            <w:vAlign w:val="bottom"/>
          </w:tcPr>
          <w:p w14:paraId="046DFD6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5.3</w:t>
            </w:r>
          </w:p>
        </w:tc>
        <w:tc>
          <w:tcPr>
            <w:tcW w:w="3580" w:type="dxa"/>
            <w:noWrap/>
            <w:tcMar>
              <w:top w:w="18" w:type="dxa"/>
              <w:left w:w="18" w:type="dxa"/>
              <w:bottom w:w="0" w:type="dxa"/>
              <w:right w:w="18" w:type="dxa"/>
            </w:tcMar>
            <w:vAlign w:val="bottom"/>
          </w:tcPr>
          <w:p w14:paraId="0AA0204F"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Commodity</w:t>
            </w:r>
          </w:p>
        </w:tc>
        <w:tc>
          <w:tcPr>
            <w:tcW w:w="644" w:type="dxa"/>
            <w:noWrap/>
            <w:tcMar>
              <w:top w:w="18" w:type="dxa"/>
              <w:left w:w="18" w:type="dxa"/>
              <w:bottom w:w="0" w:type="dxa"/>
              <w:right w:w="18" w:type="dxa"/>
            </w:tcMar>
            <w:vAlign w:val="bottom"/>
          </w:tcPr>
          <w:p w14:paraId="3C0424C8" w14:textId="77777777" w:rsidR="00224102" w:rsidRPr="00604C75" w:rsidRDefault="00224102" w:rsidP="00224102">
            <w:pPr>
              <w:spacing w:line="211" w:lineRule="auto"/>
              <w:jc w:val="center"/>
              <w:rPr>
                <w:b/>
                <w:sz w:val="10"/>
                <w:szCs w:val="10"/>
                <w:lang w:val="tr-TR"/>
              </w:rPr>
            </w:pPr>
          </w:p>
        </w:tc>
        <w:tc>
          <w:tcPr>
            <w:tcW w:w="895" w:type="dxa"/>
            <w:vAlign w:val="bottom"/>
          </w:tcPr>
          <w:p w14:paraId="0603DB56" w14:textId="6ED6D846" w:rsidR="00224102" w:rsidRPr="003F3682" w:rsidRDefault="00224102" w:rsidP="00224102">
            <w:pPr>
              <w:spacing w:line="211" w:lineRule="auto"/>
              <w:jc w:val="right"/>
              <w:rPr>
                <w:sz w:val="11"/>
                <w:szCs w:val="11"/>
              </w:rPr>
            </w:pPr>
            <w:r w:rsidRPr="003F3682">
              <w:rPr>
                <w:sz w:val="11"/>
                <w:szCs w:val="11"/>
              </w:rPr>
              <w:t>147,207</w:t>
            </w:r>
          </w:p>
        </w:tc>
        <w:tc>
          <w:tcPr>
            <w:tcW w:w="1191" w:type="dxa"/>
            <w:vAlign w:val="bottom"/>
          </w:tcPr>
          <w:p w14:paraId="5D021B14" w14:textId="394F5199" w:rsidR="00224102" w:rsidRPr="003F3682" w:rsidRDefault="00224102" w:rsidP="00224102">
            <w:pPr>
              <w:spacing w:line="211" w:lineRule="auto"/>
              <w:jc w:val="right"/>
              <w:rPr>
                <w:sz w:val="11"/>
                <w:szCs w:val="11"/>
              </w:rPr>
            </w:pPr>
            <w:r w:rsidRPr="003F3682">
              <w:rPr>
                <w:sz w:val="11"/>
                <w:szCs w:val="11"/>
              </w:rPr>
              <w:t>75,869</w:t>
            </w:r>
          </w:p>
        </w:tc>
        <w:tc>
          <w:tcPr>
            <w:tcW w:w="896" w:type="dxa"/>
            <w:vAlign w:val="bottom"/>
          </w:tcPr>
          <w:p w14:paraId="34D5A7E2" w14:textId="45047609" w:rsidR="00224102" w:rsidRPr="003F3682" w:rsidRDefault="00224102" w:rsidP="00224102">
            <w:pPr>
              <w:spacing w:line="211" w:lineRule="auto"/>
              <w:jc w:val="right"/>
              <w:rPr>
                <w:sz w:val="11"/>
                <w:szCs w:val="11"/>
              </w:rPr>
            </w:pPr>
            <w:r w:rsidRPr="003F3682">
              <w:rPr>
                <w:sz w:val="11"/>
                <w:szCs w:val="11"/>
              </w:rPr>
              <w:t>223,076</w:t>
            </w:r>
          </w:p>
        </w:tc>
        <w:tc>
          <w:tcPr>
            <w:tcW w:w="881" w:type="dxa"/>
            <w:noWrap/>
            <w:tcMar>
              <w:top w:w="18" w:type="dxa"/>
              <w:left w:w="18" w:type="dxa"/>
              <w:bottom w:w="0" w:type="dxa"/>
              <w:right w:w="18" w:type="dxa"/>
            </w:tcMar>
            <w:vAlign w:val="bottom"/>
          </w:tcPr>
          <w:p w14:paraId="039645DF" w14:textId="0E50A908" w:rsidR="00224102" w:rsidRPr="00692926" w:rsidRDefault="00224102" w:rsidP="00224102">
            <w:pPr>
              <w:spacing w:line="211" w:lineRule="auto"/>
              <w:jc w:val="right"/>
              <w:rPr>
                <w:sz w:val="11"/>
                <w:szCs w:val="11"/>
              </w:rPr>
            </w:pPr>
            <w:r w:rsidRPr="00692926">
              <w:rPr>
                <w:sz w:val="11"/>
                <w:szCs w:val="11"/>
              </w:rPr>
              <w:t>43,017</w:t>
            </w:r>
          </w:p>
        </w:tc>
        <w:tc>
          <w:tcPr>
            <w:tcW w:w="895" w:type="dxa"/>
            <w:noWrap/>
            <w:tcMar>
              <w:top w:w="18" w:type="dxa"/>
              <w:left w:w="18" w:type="dxa"/>
              <w:bottom w:w="0" w:type="dxa"/>
              <w:right w:w="18" w:type="dxa"/>
            </w:tcMar>
            <w:vAlign w:val="bottom"/>
          </w:tcPr>
          <w:p w14:paraId="37033B67" w14:textId="60D5DB3A" w:rsidR="00224102" w:rsidRPr="00692926" w:rsidRDefault="00224102" w:rsidP="00224102">
            <w:pPr>
              <w:spacing w:line="211" w:lineRule="auto"/>
              <w:jc w:val="right"/>
              <w:rPr>
                <w:sz w:val="11"/>
                <w:szCs w:val="11"/>
              </w:rPr>
            </w:pPr>
            <w:r w:rsidRPr="00692926">
              <w:rPr>
                <w:sz w:val="11"/>
                <w:szCs w:val="11"/>
              </w:rPr>
              <w:t>127,431</w:t>
            </w:r>
          </w:p>
        </w:tc>
        <w:tc>
          <w:tcPr>
            <w:tcW w:w="896" w:type="dxa"/>
            <w:noWrap/>
            <w:tcMar>
              <w:top w:w="18" w:type="dxa"/>
              <w:left w:w="18" w:type="dxa"/>
              <w:bottom w:w="0" w:type="dxa"/>
              <w:right w:w="18" w:type="dxa"/>
            </w:tcMar>
            <w:vAlign w:val="bottom"/>
          </w:tcPr>
          <w:p w14:paraId="120AAB86" w14:textId="78AE7C6B" w:rsidR="00224102" w:rsidRPr="00692926" w:rsidRDefault="00224102" w:rsidP="00224102">
            <w:pPr>
              <w:spacing w:line="211" w:lineRule="auto"/>
              <w:jc w:val="right"/>
              <w:rPr>
                <w:sz w:val="11"/>
                <w:szCs w:val="11"/>
              </w:rPr>
            </w:pPr>
            <w:r w:rsidRPr="00692926">
              <w:rPr>
                <w:sz w:val="11"/>
                <w:szCs w:val="11"/>
              </w:rPr>
              <w:t>170,448</w:t>
            </w:r>
          </w:p>
        </w:tc>
      </w:tr>
      <w:tr w:rsidR="00224102" w:rsidRPr="00604C75" w14:paraId="101114CE" w14:textId="77777777" w:rsidTr="009340BC">
        <w:trPr>
          <w:trHeight w:hRule="exact" w:val="142"/>
        </w:trPr>
        <w:tc>
          <w:tcPr>
            <w:tcW w:w="494" w:type="dxa"/>
            <w:noWrap/>
            <w:tcMar>
              <w:top w:w="18" w:type="dxa"/>
              <w:left w:w="18" w:type="dxa"/>
              <w:bottom w:w="0" w:type="dxa"/>
              <w:right w:w="18" w:type="dxa"/>
            </w:tcMar>
            <w:vAlign w:val="bottom"/>
          </w:tcPr>
          <w:p w14:paraId="72C3A147"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5.4</w:t>
            </w:r>
          </w:p>
        </w:tc>
        <w:tc>
          <w:tcPr>
            <w:tcW w:w="3580" w:type="dxa"/>
            <w:noWrap/>
            <w:tcMar>
              <w:top w:w="18" w:type="dxa"/>
              <w:left w:w="18" w:type="dxa"/>
              <w:bottom w:w="0" w:type="dxa"/>
              <w:right w:w="18" w:type="dxa"/>
            </w:tcMar>
            <w:vAlign w:val="bottom"/>
          </w:tcPr>
          <w:p w14:paraId="560F226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Warranty</w:t>
            </w:r>
          </w:p>
        </w:tc>
        <w:tc>
          <w:tcPr>
            <w:tcW w:w="644" w:type="dxa"/>
            <w:noWrap/>
            <w:tcMar>
              <w:top w:w="18" w:type="dxa"/>
              <w:left w:w="18" w:type="dxa"/>
              <w:bottom w:w="0" w:type="dxa"/>
              <w:right w:w="18" w:type="dxa"/>
            </w:tcMar>
            <w:vAlign w:val="bottom"/>
          </w:tcPr>
          <w:p w14:paraId="1DA84601" w14:textId="77777777" w:rsidR="00224102" w:rsidRPr="00604C75" w:rsidRDefault="00224102" w:rsidP="00224102">
            <w:pPr>
              <w:spacing w:line="211" w:lineRule="auto"/>
              <w:jc w:val="center"/>
              <w:rPr>
                <w:b/>
                <w:sz w:val="10"/>
                <w:szCs w:val="10"/>
                <w:lang w:val="tr-TR"/>
              </w:rPr>
            </w:pPr>
          </w:p>
        </w:tc>
        <w:tc>
          <w:tcPr>
            <w:tcW w:w="895" w:type="dxa"/>
            <w:vAlign w:val="bottom"/>
          </w:tcPr>
          <w:p w14:paraId="5B9253C0" w14:textId="5ACAE83B"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17A3E038" w14:textId="5B6EC63A"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04DD744D" w14:textId="71A628CE"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3EC36B0A" w14:textId="38CB8259"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69EE39E5" w14:textId="2A7A172B"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732FE92B" w14:textId="7184AC48" w:rsidR="00224102" w:rsidRPr="00692926" w:rsidRDefault="00224102" w:rsidP="00224102">
            <w:pPr>
              <w:spacing w:line="211" w:lineRule="auto"/>
              <w:jc w:val="right"/>
              <w:rPr>
                <w:sz w:val="11"/>
                <w:szCs w:val="11"/>
              </w:rPr>
            </w:pPr>
            <w:r w:rsidRPr="00692926">
              <w:rPr>
                <w:sz w:val="11"/>
                <w:szCs w:val="11"/>
              </w:rPr>
              <w:t>-</w:t>
            </w:r>
          </w:p>
        </w:tc>
      </w:tr>
      <w:tr w:rsidR="00224102" w:rsidRPr="00604C75" w14:paraId="08EDBE6F" w14:textId="77777777" w:rsidTr="009340BC">
        <w:trPr>
          <w:trHeight w:hRule="exact" w:val="142"/>
        </w:trPr>
        <w:tc>
          <w:tcPr>
            <w:tcW w:w="494" w:type="dxa"/>
            <w:noWrap/>
            <w:tcMar>
              <w:top w:w="18" w:type="dxa"/>
              <w:left w:w="18" w:type="dxa"/>
              <w:bottom w:w="0" w:type="dxa"/>
              <w:right w:w="18" w:type="dxa"/>
            </w:tcMar>
            <w:vAlign w:val="bottom"/>
          </w:tcPr>
          <w:p w14:paraId="7A57D1D0"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5.5</w:t>
            </w:r>
          </w:p>
        </w:tc>
        <w:tc>
          <w:tcPr>
            <w:tcW w:w="3580" w:type="dxa"/>
            <w:noWrap/>
            <w:tcMar>
              <w:top w:w="18" w:type="dxa"/>
              <w:left w:w="18" w:type="dxa"/>
              <w:bottom w:w="0" w:type="dxa"/>
              <w:right w:w="18" w:type="dxa"/>
            </w:tcMar>
            <w:vAlign w:val="bottom"/>
          </w:tcPr>
          <w:p w14:paraId="1619147F"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Immovable</w:t>
            </w:r>
          </w:p>
        </w:tc>
        <w:tc>
          <w:tcPr>
            <w:tcW w:w="644" w:type="dxa"/>
            <w:noWrap/>
            <w:tcMar>
              <w:top w:w="18" w:type="dxa"/>
              <w:left w:w="18" w:type="dxa"/>
              <w:bottom w:w="0" w:type="dxa"/>
              <w:right w:w="18" w:type="dxa"/>
            </w:tcMar>
            <w:vAlign w:val="bottom"/>
          </w:tcPr>
          <w:p w14:paraId="5B341065" w14:textId="77777777" w:rsidR="00224102" w:rsidRPr="00604C75" w:rsidRDefault="00224102" w:rsidP="00224102">
            <w:pPr>
              <w:spacing w:line="211" w:lineRule="auto"/>
              <w:jc w:val="center"/>
              <w:rPr>
                <w:b/>
                <w:sz w:val="10"/>
                <w:szCs w:val="10"/>
                <w:lang w:val="tr-TR"/>
              </w:rPr>
            </w:pPr>
          </w:p>
        </w:tc>
        <w:tc>
          <w:tcPr>
            <w:tcW w:w="895" w:type="dxa"/>
            <w:vAlign w:val="bottom"/>
          </w:tcPr>
          <w:p w14:paraId="7765DEBC" w14:textId="61219D57" w:rsidR="00224102" w:rsidRPr="003F3682" w:rsidRDefault="00224102" w:rsidP="00224102">
            <w:pPr>
              <w:spacing w:line="211" w:lineRule="auto"/>
              <w:jc w:val="right"/>
              <w:rPr>
                <w:sz w:val="11"/>
                <w:szCs w:val="11"/>
              </w:rPr>
            </w:pPr>
            <w:r w:rsidRPr="003F3682">
              <w:rPr>
                <w:sz w:val="11"/>
                <w:szCs w:val="11"/>
              </w:rPr>
              <w:t>7,260,996</w:t>
            </w:r>
          </w:p>
        </w:tc>
        <w:tc>
          <w:tcPr>
            <w:tcW w:w="1191" w:type="dxa"/>
            <w:vAlign w:val="bottom"/>
          </w:tcPr>
          <w:p w14:paraId="1A1ECFA8" w14:textId="07DA05A9" w:rsidR="00224102" w:rsidRPr="003F3682" w:rsidRDefault="00224102" w:rsidP="00224102">
            <w:pPr>
              <w:spacing w:line="211" w:lineRule="auto"/>
              <w:jc w:val="right"/>
              <w:rPr>
                <w:sz w:val="11"/>
                <w:szCs w:val="11"/>
              </w:rPr>
            </w:pPr>
            <w:r w:rsidRPr="003F3682">
              <w:rPr>
                <w:sz w:val="11"/>
                <w:szCs w:val="11"/>
              </w:rPr>
              <w:t>4,294,007</w:t>
            </w:r>
          </w:p>
        </w:tc>
        <w:tc>
          <w:tcPr>
            <w:tcW w:w="896" w:type="dxa"/>
            <w:vAlign w:val="bottom"/>
          </w:tcPr>
          <w:p w14:paraId="2B110F2A" w14:textId="778ABA23" w:rsidR="00224102" w:rsidRPr="003F3682" w:rsidRDefault="00224102" w:rsidP="00224102">
            <w:pPr>
              <w:spacing w:line="211" w:lineRule="auto"/>
              <w:jc w:val="right"/>
              <w:rPr>
                <w:sz w:val="11"/>
                <w:szCs w:val="11"/>
              </w:rPr>
            </w:pPr>
            <w:r w:rsidRPr="003F3682">
              <w:rPr>
                <w:sz w:val="11"/>
                <w:szCs w:val="11"/>
              </w:rPr>
              <w:t>11,555,003</w:t>
            </w:r>
          </w:p>
        </w:tc>
        <w:tc>
          <w:tcPr>
            <w:tcW w:w="881" w:type="dxa"/>
            <w:noWrap/>
            <w:tcMar>
              <w:top w:w="18" w:type="dxa"/>
              <w:left w:w="18" w:type="dxa"/>
              <w:bottom w:w="0" w:type="dxa"/>
              <w:right w:w="18" w:type="dxa"/>
            </w:tcMar>
            <w:vAlign w:val="bottom"/>
          </w:tcPr>
          <w:p w14:paraId="487F7B66" w14:textId="336DB741" w:rsidR="00224102" w:rsidRPr="00692926" w:rsidRDefault="00224102" w:rsidP="00224102">
            <w:pPr>
              <w:spacing w:line="211" w:lineRule="auto"/>
              <w:jc w:val="right"/>
              <w:rPr>
                <w:sz w:val="11"/>
                <w:szCs w:val="11"/>
              </w:rPr>
            </w:pPr>
            <w:r w:rsidRPr="00692926">
              <w:rPr>
                <w:sz w:val="11"/>
                <w:szCs w:val="11"/>
              </w:rPr>
              <w:t>6,327,811</w:t>
            </w:r>
          </w:p>
        </w:tc>
        <w:tc>
          <w:tcPr>
            <w:tcW w:w="895" w:type="dxa"/>
            <w:noWrap/>
            <w:tcMar>
              <w:top w:w="18" w:type="dxa"/>
              <w:left w:w="18" w:type="dxa"/>
              <w:bottom w:w="0" w:type="dxa"/>
              <w:right w:w="18" w:type="dxa"/>
            </w:tcMar>
            <w:vAlign w:val="bottom"/>
          </w:tcPr>
          <w:p w14:paraId="5DADDA49" w14:textId="357E6F04" w:rsidR="00224102" w:rsidRPr="00692926" w:rsidRDefault="00224102" w:rsidP="00224102">
            <w:pPr>
              <w:spacing w:line="211" w:lineRule="auto"/>
              <w:jc w:val="right"/>
              <w:rPr>
                <w:sz w:val="11"/>
                <w:szCs w:val="11"/>
              </w:rPr>
            </w:pPr>
            <w:r w:rsidRPr="00692926">
              <w:rPr>
                <w:sz w:val="11"/>
                <w:szCs w:val="11"/>
              </w:rPr>
              <w:t>1,147,610</w:t>
            </w:r>
          </w:p>
        </w:tc>
        <w:tc>
          <w:tcPr>
            <w:tcW w:w="896" w:type="dxa"/>
            <w:noWrap/>
            <w:tcMar>
              <w:top w:w="18" w:type="dxa"/>
              <w:left w:w="18" w:type="dxa"/>
              <w:bottom w:w="0" w:type="dxa"/>
              <w:right w:w="18" w:type="dxa"/>
            </w:tcMar>
            <w:vAlign w:val="bottom"/>
          </w:tcPr>
          <w:p w14:paraId="719C0160" w14:textId="131A8CE7" w:rsidR="00224102" w:rsidRPr="00692926" w:rsidRDefault="00224102" w:rsidP="00224102">
            <w:pPr>
              <w:spacing w:line="211" w:lineRule="auto"/>
              <w:jc w:val="right"/>
              <w:rPr>
                <w:sz w:val="11"/>
                <w:szCs w:val="11"/>
              </w:rPr>
            </w:pPr>
            <w:r w:rsidRPr="00692926">
              <w:rPr>
                <w:sz w:val="11"/>
                <w:szCs w:val="11"/>
              </w:rPr>
              <w:t>7,475,421</w:t>
            </w:r>
          </w:p>
        </w:tc>
      </w:tr>
      <w:tr w:rsidR="00224102" w:rsidRPr="00604C75" w14:paraId="576D0CE6" w14:textId="77777777" w:rsidTr="009340BC">
        <w:trPr>
          <w:trHeight w:hRule="exact" w:val="142"/>
        </w:trPr>
        <w:tc>
          <w:tcPr>
            <w:tcW w:w="494" w:type="dxa"/>
            <w:noWrap/>
            <w:tcMar>
              <w:top w:w="18" w:type="dxa"/>
              <w:left w:w="18" w:type="dxa"/>
              <w:bottom w:w="0" w:type="dxa"/>
              <w:right w:w="18" w:type="dxa"/>
            </w:tcMar>
            <w:vAlign w:val="bottom"/>
          </w:tcPr>
          <w:p w14:paraId="23AF53DC"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5.6</w:t>
            </w:r>
          </w:p>
        </w:tc>
        <w:tc>
          <w:tcPr>
            <w:tcW w:w="3580" w:type="dxa"/>
            <w:noWrap/>
            <w:tcMar>
              <w:top w:w="18" w:type="dxa"/>
              <w:left w:w="18" w:type="dxa"/>
              <w:bottom w:w="0" w:type="dxa"/>
              <w:right w:w="18" w:type="dxa"/>
            </w:tcMar>
            <w:vAlign w:val="bottom"/>
          </w:tcPr>
          <w:p w14:paraId="1830E6DB"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Other Pledged Items</w:t>
            </w:r>
          </w:p>
        </w:tc>
        <w:tc>
          <w:tcPr>
            <w:tcW w:w="644" w:type="dxa"/>
            <w:noWrap/>
            <w:tcMar>
              <w:top w:w="18" w:type="dxa"/>
              <w:left w:w="18" w:type="dxa"/>
              <w:bottom w:w="0" w:type="dxa"/>
              <w:right w:w="18" w:type="dxa"/>
            </w:tcMar>
            <w:vAlign w:val="bottom"/>
          </w:tcPr>
          <w:p w14:paraId="2715216C" w14:textId="77777777" w:rsidR="00224102" w:rsidRPr="00604C75" w:rsidRDefault="00224102" w:rsidP="00224102">
            <w:pPr>
              <w:spacing w:line="211" w:lineRule="auto"/>
              <w:jc w:val="center"/>
              <w:rPr>
                <w:b/>
                <w:sz w:val="10"/>
                <w:szCs w:val="10"/>
                <w:lang w:val="tr-TR"/>
              </w:rPr>
            </w:pPr>
          </w:p>
        </w:tc>
        <w:tc>
          <w:tcPr>
            <w:tcW w:w="895" w:type="dxa"/>
            <w:vAlign w:val="bottom"/>
          </w:tcPr>
          <w:p w14:paraId="70AFF91C" w14:textId="0D9D77D8" w:rsidR="00224102" w:rsidRPr="003F3682" w:rsidRDefault="00224102" w:rsidP="00224102">
            <w:pPr>
              <w:spacing w:line="211" w:lineRule="auto"/>
              <w:jc w:val="right"/>
              <w:rPr>
                <w:sz w:val="11"/>
                <w:szCs w:val="11"/>
              </w:rPr>
            </w:pPr>
            <w:r w:rsidRPr="003F3682">
              <w:rPr>
                <w:sz w:val="11"/>
                <w:szCs w:val="11"/>
              </w:rPr>
              <w:t>1,517,133</w:t>
            </w:r>
          </w:p>
        </w:tc>
        <w:tc>
          <w:tcPr>
            <w:tcW w:w="1191" w:type="dxa"/>
            <w:vAlign w:val="bottom"/>
          </w:tcPr>
          <w:p w14:paraId="29F48EF3" w14:textId="63CD8604" w:rsidR="00224102" w:rsidRPr="003F3682" w:rsidRDefault="00224102" w:rsidP="00224102">
            <w:pPr>
              <w:spacing w:line="211" w:lineRule="auto"/>
              <w:jc w:val="right"/>
              <w:rPr>
                <w:sz w:val="11"/>
                <w:szCs w:val="11"/>
              </w:rPr>
            </w:pPr>
            <w:r w:rsidRPr="003F3682">
              <w:rPr>
                <w:sz w:val="11"/>
                <w:szCs w:val="11"/>
              </w:rPr>
              <w:t>898,121</w:t>
            </w:r>
          </w:p>
        </w:tc>
        <w:tc>
          <w:tcPr>
            <w:tcW w:w="896" w:type="dxa"/>
            <w:vAlign w:val="bottom"/>
          </w:tcPr>
          <w:p w14:paraId="261CC9C9" w14:textId="05DF4C4B" w:rsidR="00224102" w:rsidRPr="003F3682" w:rsidRDefault="00224102" w:rsidP="00224102">
            <w:pPr>
              <w:spacing w:line="211" w:lineRule="auto"/>
              <w:jc w:val="right"/>
              <w:rPr>
                <w:sz w:val="11"/>
                <w:szCs w:val="11"/>
              </w:rPr>
            </w:pPr>
            <w:r w:rsidRPr="003F3682">
              <w:rPr>
                <w:sz w:val="11"/>
                <w:szCs w:val="11"/>
              </w:rPr>
              <w:t>2,415,254</w:t>
            </w:r>
          </w:p>
        </w:tc>
        <w:tc>
          <w:tcPr>
            <w:tcW w:w="881" w:type="dxa"/>
            <w:noWrap/>
            <w:tcMar>
              <w:top w:w="18" w:type="dxa"/>
              <w:left w:w="18" w:type="dxa"/>
              <w:bottom w:w="0" w:type="dxa"/>
              <w:right w:w="18" w:type="dxa"/>
            </w:tcMar>
            <w:vAlign w:val="bottom"/>
          </w:tcPr>
          <w:p w14:paraId="3975DEC4" w14:textId="2CB29DD4" w:rsidR="00224102" w:rsidRPr="00692926" w:rsidRDefault="00224102" w:rsidP="00224102">
            <w:pPr>
              <w:spacing w:line="211" w:lineRule="auto"/>
              <w:jc w:val="right"/>
              <w:rPr>
                <w:sz w:val="11"/>
                <w:szCs w:val="11"/>
              </w:rPr>
            </w:pPr>
            <w:r w:rsidRPr="00692926">
              <w:rPr>
                <w:sz w:val="11"/>
                <w:szCs w:val="11"/>
              </w:rPr>
              <w:t>422,086</w:t>
            </w:r>
          </w:p>
        </w:tc>
        <w:tc>
          <w:tcPr>
            <w:tcW w:w="895" w:type="dxa"/>
            <w:noWrap/>
            <w:tcMar>
              <w:top w:w="18" w:type="dxa"/>
              <w:left w:w="18" w:type="dxa"/>
              <w:bottom w:w="0" w:type="dxa"/>
              <w:right w:w="18" w:type="dxa"/>
            </w:tcMar>
            <w:vAlign w:val="bottom"/>
          </w:tcPr>
          <w:p w14:paraId="79EFC843" w14:textId="2FEF7169" w:rsidR="00224102" w:rsidRPr="00692926" w:rsidRDefault="00224102" w:rsidP="00224102">
            <w:pPr>
              <w:spacing w:line="211" w:lineRule="auto"/>
              <w:jc w:val="right"/>
              <w:rPr>
                <w:sz w:val="11"/>
                <w:szCs w:val="11"/>
              </w:rPr>
            </w:pPr>
            <w:r w:rsidRPr="00692926">
              <w:rPr>
                <w:sz w:val="11"/>
                <w:szCs w:val="11"/>
              </w:rPr>
              <w:t>191,626</w:t>
            </w:r>
          </w:p>
        </w:tc>
        <w:tc>
          <w:tcPr>
            <w:tcW w:w="896" w:type="dxa"/>
            <w:noWrap/>
            <w:tcMar>
              <w:top w:w="18" w:type="dxa"/>
              <w:left w:w="18" w:type="dxa"/>
              <w:bottom w:w="0" w:type="dxa"/>
              <w:right w:w="18" w:type="dxa"/>
            </w:tcMar>
            <w:vAlign w:val="bottom"/>
          </w:tcPr>
          <w:p w14:paraId="7EE2A1FB" w14:textId="669063B9" w:rsidR="00224102" w:rsidRPr="00692926" w:rsidRDefault="00224102" w:rsidP="00224102">
            <w:pPr>
              <w:spacing w:line="211" w:lineRule="auto"/>
              <w:jc w:val="right"/>
              <w:rPr>
                <w:sz w:val="11"/>
                <w:szCs w:val="11"/>
              </w:rPr>
            </w:pPr>
            <w:r w:rsidRPr="00692926">
              <w:rPr>
                <w:sz w:val="11"/>
                <w:szCs w:val="11"/>
              </w:rPr>
              <w:t>613,712</w:t>
            </w:r>
          </w:p>
        </w:tc>
      </w:tr>
      <w:tr w:rsidR="00224102" w:rsidRPr="00604C75" w14:paraId="4BF84DD0" w14:textId="77777777" w:rsidTr="009340BC">
        <w:trPr>
          <w:trHeight w:hRule="exact" w:val="142"/>
        </w:trPr>
        <w:tc>
          <w:tcPr>
            <w:tcW w:w="494" w:type="dxa"/>
            <w:noWrap/>
            <w:tcMar>
              <w:top w:w="18" w:type="dxa"/>
              <w:left w:w="18" w:type="dxa"/>
              <w:bottom w:w="0" w:type="dxa"/>
              <w:right w:w="18" w:type="dxa"/>
            </w:tcMar>
            <w:vAlign w:val="bottom"/>
          </w:tcPr>
          <w:p w14:paraId="0D94B0FE"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5.7</w:t>
            </w:r>
          </w:p>
        </w:tc>
        <w:tc>
          <w:tcPr>
            <w:tcW w:w="3580" w:type="dxa"/>
            <w:noWrap/>
            <w:tcMar>
              <w:top w:w="18" w:type="dxa"/>
              <w:left w:w="18" w:type="dxa"/>
              <w:bottom w:w="0" w:type="dxa"/>
              <w:right w:w="18" w:type="dxa"/>
            </w:tcMar>
            <w:vAlign w:val="bottom"/>
          </w:tcPr>
          <w:p w14:paraId="1C56C728" w14:textId="77777777" w:rsidR="00224102" w:rsidRPr="00604C75" w:rsidRDefault="00224102" w:rsidP="00224102">
            <w:pPr>
              <w:rPr>
                <w:rFonts w:eastAsia="Arial Unicode MS"/>
                <w:bCs/>
                <w:noProof/>
                <w:sz w:val="12"/>
                <w:szCs w:val="12"/>
                <w:lang w:val="tr-TR"/>
              </w:rPr>
            </w:pPr>
            <w:r w:rsidRPr="00604C75">
              <w:rPr>
                <w:rFonts w:eastAsia="Arial Unicode MS"/>
                <w:bCs/>
                <w:noProof/>
                <w:sz w:val="12"/>
                <w:szCs w:val="12"/>
                <w:lang w:val="tr-TR"/>
              </w:rPr>
              <w:t>Pledged Items-Depository</w:t>
            </w:r>
          </w:p>
        </w:tc>
        <w:tc>
          <w:tcPr>
            <w:tcW w:w="644" w:type="dxa"/>
            <w:noWrap/>
            <w:tcMar>
              <w:top w:w="18" w:type="dxa"/>
              <w:left w:w="18" w:type="dxa"/>
              <w:bottom w:w="0" w:type="dxa"/>
              <w:right w:w="18" w:type="dxa"/>
            </w:tcMar>
            <w:vAlign w:val="bottom"/>
          </w:tcPr>
          <w:p w14:paraId="48231CED" w14:textId="77777777" w:rsidR="00224102" w:rsidRPr="00604C75" w:rsidRDefault="00224102" w:rsidP="00224102">
            <w:pPr>
              <w:spacing w:line="211" w:lineRule="auto"/>
              <w:jc w:val="center"/>
              <w:rPr>
                <w:b/>
                <w:sz w:val="10"/>
                <w:szCs w:val="10"/>
                <w:lang w:val="tr-TR"/>
              </w:rPr>
            </w:pPr>
          </w:p>
        </w:tc>
        <w:tc>
          <w:tcPr>
            <w:tcW w:w="895" w:type="dxa"/>
            <w:vAlign w:val="bottom"/>
          </w:tcPr>
          <w:p w14:paraId="0619904F" w14:textId="7F881832" w:rsidR="00224102" w:rsidRPr="003F3682" w:rsidRDefault="00224102" w:rsidP="00224102">
            <w:pPr>
              <w:spacing w:line="211" w:lineRule="auto"/>
              <w:jc w:val="right"/>
              <w:rPr>
                <w:sz w:val="11"/>
                <w:szCs w:val="11"/>
              </w:rPr>
            </w:pPr>
            <w:r w:rsidRPr="003F3682">
              <w:rPr>
                <w:sz w:val="11"/>
                <w:szCs w:val="11"/>
              </w:rPr>
              <w:t>-</w:t>
            </w:r>
          </w:p>
        </w:tc>
        <w:tc>
          <w:tcPr>
            <w:tcW w:w="1191" w:type="dxa"/>
            <w:vAlign w:val="bottom"/>
          </w:tcPr>
          <w:p w14:paraId="1DC1E2DE" w14:textId="7F43CC5C" w:rsidR="00224102" w:rsidRPr="003F3682" w:rsidRDefault="00224102" w:rsidP="00224102">
            <w:pPr>
              <w:spacing w:line="211" w:lineRule="auto"/>
              <w:jc w:val="right"/>
              <w:rPr>
                <w:sz w:val="11"/>
                <w:szCs w:val="11"/>
              </w:rPr>
            </w:pPr>
            <w:r w:rsidRPr="003F3682">
              <w:rPr>
                <w:sz w:val="11"/>
                <w:szCs w:val="11"/>
              </w:rPr>
              <w:t>-</w:t>
            </w:r>
          </w:p>
        </w:tc>
        <w:tc>
          <w:tcPr>
            <w:tcW w:w="896" w:type="dxa"/>
            <w:vAlign w:val="bottom"/>
          </w:tcPr>
          <w:p w14:paraId="32293305" w14:textId="18E97B31" w:rsidR="00224102" w:rsidRPr="003F3682" w:rsidRDefault="00224102" w:rsidP="00224102">
            <w:pPr>
              <w:spacing w:line="211" w:lineRule="auto"/>
              <w:jc w:val="right"/>
              <w:rPr>
                <w:sz w:val="11"/>
                <w:szCs w:val="11"/>
              </w:rPr>
            </w:pPr>
            <w:r w:rsidRPr="003F3682">
              <w:rPr>
                <w:sz w:val="11"/>
                <w:szCs w:val="11"/>
              </w:rPr>
              <w:t>-</w:t>
            </w:r>
          </w:p>
        </w:tc>
        <w:tc>
          <w:tcPr>
            <w:tcW w:w="881" w:type="dxa"/>
            <w:noWrap/>
            <w:tcMar>
              <w:top w:w="18" w:type="dxa"/>
              <w:left w:w="18" w:type="dxa"/>
              <w:bottom w:w="0" w:type="dxa"/>
              <w:right w:w="18" w:type="dxa"/>
            </w:tcMar>
            <w:vAlign w:val="bottom"/>
          </w:tcPr>
          <w:p w14:paraId="71970E85" w14:textId="20781814" w:rsidR="00224102" w:rsidRPr="00692926" w:rsidRDefault="00224102" w:rsidP="00224102">
            <w:pPr>
              <w:spacing w:line="211" w:lineRule="auto"/>
              <w:jc w:val="right"/>
              <w:rPr>
                <w:sz w:val="11"/>
                <w:szCs w:val="11"/>
              </w:rPr>
            </w:pPr>
            <w:r w:rsidRPr="00692926">
              <w:rPr>
                <w:sz w:val="11"/>
                <w:szCs w:val="11"/>
              </w:rPr>
              <w:t>-</w:t>
            </w:r>
          </w:p>
        </w:tc>
        <w:tc>
          <w:tcPr>
            <w:tcW w:w="895" w:type="dxa"/>
            <w:noWrap/>
            <w:tcMar>
              <w:top w:w="18" w:type="dxa"/>
              <w:left w:w="18" w:type="dxa"/>
              <w:bottom w:w="0" w:type="dxa"/>
              <w:right w:w="18" w:type="dxa"/>
            </w:tcMar>
            <w:vAlign w:val="bottom"/>
          </w:tcPr>
          <w:p w14:paraId="4B14FE00" w14:textId="55799F1D" w:rsidR="00224102" w:rsidRPr="00692926" w:rsidRDefault="00224102" w:rsidP="00224102">
            <w:pPr>
              <w:spacing w:line="211" w:lineRule="auto"/>
              <w:jc w:val="right"/>
              <w:rPr>
                <w:sz w:val="11"/>
                <w:szCs w:val="11"/>
              </w:rPr>
            </w:pPr>
            <w:r w:rsidRPr="00692926">
              <w:rPr>
                <w:sz w:val="11"/>
                <w:szCs w:val="11"/>
              </w:rPr>
              <w:t>-</w:t>
            </w:r>
          </w:p>
        </w:tc>
        <w:tc>
          <w:tcPr>
            <w:tcW w:w="896" w:type="dxa"/>
            <w:noWrap/>
            <w:tcMar>
              <w:top w:w="18" w:type="dxa"/>
              <w:left w:w="18" w:type="dxa"/>
              <w:bottom w:w="0" w:type="dxa"/>
              <w:right w:w="18" w:type="dxa"/>
            </w:tcMar>
            <w:vAlign w:val="bottom"/>
          </w:tcPr>
          <w:p w14:paraId="7F611F3C" w14:textId="09BAA69B" w:rsidR="00224102" w:rsidRPr="00692926" w:rsidRDefault="00224102" w:rsidP="00224102">
            <w:pPr>
              <w:spacing w:line="211" w:lineRule="auto"/>
              <w:jc w:val="right"/>
              <w:rPr>
                <w:sz w:val="11"/>
                <w:szCs w:val="11"/>
              </w:rPr>
            </w:pPr>
            <w:r w:rsidRPr="00692926">
              <w:rPr>
                <w:sz w:val="11"/>
                <w:szCs w:val="11"/>
              </w:rPr>
              <w:t>-</w:t>
            </w:r>
          </w:p>
        </w:tc>
      </w:tr>
      <w:tr w:rsidR="00224102" w:rsidRPr="00604C75" w14:paraId="3541C0FE" w14:textId="77777777" w:rsidTr="009340BC">
        <w:trPr>
          <w:trHeight w:val="148"/>
        </w:trPr>
        <w:tc>
          <w:tcPr>
            <w:tcW w:w="494" w:type="dxa"/>
            <w:noWrap/>
            <w:tcMar>
              <w:top w:w="18" w:type="dxa"/>
              <w:left w:w="18" w:type="dxa"/>
              <w:bottom w:w="0" w:type="dxa"/>
              <w:right w:w="18" w:type="dxa"/>
            </w:tcMar>
            <w:vAlign w:val="bottom"/>
          </w:tcPr>
          <w:p w14:paraId="0FCDF8B6" w14:textId="77777777"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VI.</w:t>
            </w:r>
          </w:p>
        </w:tc>
        <w:tc>
          <w:tcPr>
            <w:tcW w:w="3580" w:type="dxa"/>
            <w:noWrap/>
            <w:tcMar>
              <w:top w:w="18" w:type="dxa"/>
              <w:left w:w="18" w:type="dxa"/>
              <w:bottom w:w="0" w:type="dxa"/>
              <w:right w:w="18" w:type="dxa"/>
            </w:tcMar>
            <w:vAlign w:val="bottom"/>
          </w:tcPr>
          <w:p w14:paraId="6BCB10EB" w14:textId="1D46CC20" w:rsidR="00224102" w:rsidRPr="00604C75" w:rsidRDefault="00224102" w:rsidP="00224102">
            <w:pPr>
              <w:rPr>
                <w:rFonts w:eastAsia="Arial Unicode MS"/>
                <w:b/>
                <w:bCs/>
                <w:noProof/>
                <w:sz w:val="12"/>
                <w:szCs w:val="12"/>
                <w:lang w:val="tr-TR"/>
              </w:rPr>
            </w:pPr>
            <w:r w:rsidRPr="00604C75">
              <w:rPr>
                <w:rFonts w:eastAsia="Arial Unicode MS"/>
                <w:b/>
                <w:bCs/>
                <w:noProof/>
                <w:sz w:val="12"/>
                <w:szCs w:val="12"/>
                <w:lang w:val="tr-TR"/>
              </w:rPr>
              <w:t>ACCEPTED INDEPENDENT GUARANTEES AND WARRANTIES</w:t>
            </w:r>
          </w:p>
        </w:tc>
        <w:tc>
          <w:tcPr>
            <w:tcW w:w="644" w:type="dxa"/>
            <w:noWrap/>
            <w:tcMar>
              <w:top w:w="18" w:type="dxa"/>
              <w:left w:w="18" w:type="dxa"/>
              <w:bottom w:w="0" w:type="dxa"/>
              <w:right w:w="18" w:type="dxa"/>
            </w:tcMar>
            <w:vAlign w:val="bottom"/>
          </w:tcPr>
          <w:p w14:paraId="6854E70D" w14:textId="77777777" w:rsidR="00224102" w:rsidRPr="00604C75" w:rsidRDefault="00224102" w:rsidP="00224102">
            <w:pPr>
              <w:spacing w:line="211" w:lineRule="auto"/>
              <w:jc w:val="center"/>
              <w:rPr>
                <w:sz w:val="10"/>
                <w:szCs w:val="10"/>
                <w:lang w:val="tr-TR"/>
              </w:rPr>
            </w:pPr>
          </w:p>
        </w:tc>
        <w:tc>
          <w:tcPr>
            <w:tcW w:w="895" w:type="dxa"/>
            <w:vAlign w:val="bottom"/>
          </w:tcPr>
          <w:p w14:paraId="1C30DC47" w14:textId="1677C015" w:rsidR="00224102" w:rsidRPr="003F3682" w:rsidRDefault="00224102" w:rsidP="00224102">
            <w:pPr>
              <w:spacing w:line="211" w:lineRule="auto"/>
              <w:jc w:val="right"/>
              <w:rPr>
                <w:b/>
                <w:sz w:val="11"/>
                <w:szCs w:val="11"/>
              </w:rPr>
            </w:pPr>
            <w:r w:rsidRPr="005C7ECF">
              <w:rPr>
                <w:b/>
                <w:sz w:val="11"/>
                <w:szCs w:val="11"/>
              </w:rPr>
              <w:t>12,757</w:t>
            </w:r>
          </w:p>
        </w:tc>
        <w:tc>
          <w:tcPr>
            <w:tcW w:w="1191" w:type="dxa"/>
            <w:vAlign w:val="bottom"/>
          </w:tcPr>
          <w:p w14:paraId="197F619E" w14:textId="18977DEC" w:rsidR="00224102" w:rsidRPr="003F3682" w:rsidRDefault="00224102" w:rsidP="00224102">
            <w:pPr>
              <w:spacing w:line="211" w:lineRule="auto"/>
              <w:jc w:val="right"/>
              <w:rPr>
                <w:b/>
                <w:sz w:val="11"/>
                <w:szCs w:val="11"/>
              </w:rPr>
            </w:pPr>
            <w:r w:rsidRPr="005C7ECF">
              <w:rPr>
                <w:b/>
                <w:sz w:val="11"/>
                <w:szCs w:val="11"/>
              </w:rPr>
              <w:t>159</w:t>
            </w:r>
          </w:p>
        </w:tc>
        <w:tc>
          <w:tcPr>
            <w:tcW w:w="896" w:type="dxa"/>
            <w:vAlign w:val="bottom"/>
          </w:tcPr>
          <w:p w14:paraId="46D0AB5C" w14:textId="06C4215F" w:rsidR="00224102" w:rsidRPr="003F3682" w:rsidRDefault="00224102" w:rsidP="00224102">
            <w:pPr>
              <w:spacing w:line="211" w:lineRule="auto"/>
              <w:jc w:val="right"/>
              <w:rPr>
                <w:b/>
                <w:sz w:val="11"/>
                <w:szCs w:val="11"/>
              </w:rPr>
            </w:pPr>
            <w:r w:rsidRPr="005C7ECF">
              <w:rPr>
                <w:b/>
                <w:sz w:val="11"/>
                <w:szCs w:val="11"/>
              </w:rPr>
              <w:t>12,916</w:t>
            </w:r>
          </w:p>
        </w:tc>
        <w:tc>
          <w:tcPr>
            <w:tcW w:w="881" w:type="dxa"/>
            <w:noWrap/>
            <w:tcMar>
              <w:top w:w="18" w:type="dxa"/>
              <w:left w:w="18" w:type="dxa"/>
              <w:bottom w:w="0" w:type="dxa"/>
              <w:right w:w="18" w:type="dxa"/>
            </w:tcMar>
            <w:vAlign w:val="bottom"/>
          </w:tcPr>
          <w:p w14:paraId="4E4AD4C5" w14:textId="2F071520" w:rsidR="00224102" w:rsidRPr="00692926" w:rsidRDefault="00224102" w:rsidP="00224102">
            <w:pPr>
              <w:spacing w:line="211" w:lineRule="auto"/>
              <w:jc w:val="right"/>
              <w:rPr>
                <w:b/>
                <w:sz w:val="11"/>
                <w:szCs w:val="11"/>
              </w:rPr>
            </w:pPr>
            <w:r w:rsidRPr="00692926">
              <w:rPr>
                <w:b/>
                <w:sz w:val="11"/>
                <w:szCs w:val="11"/>
              </w:rPr>
              <w:t>7,893</w:t>
            </w:r>
          </w:p>
        </w:tc>
        <w:tc>
          <w:tcPr>
            <w:tcW w:w="895" w:type="dxa"/>
            <w:noWrap/>
            <w:tcMar>
              <w:top w:w="18" w:type="dxa"/>
              <w:left w:w="18" w:type="dxa"/>
              <w:bottom w:w="0" w:type="dxa"/>
              <w:right w:w="18" w:type="dxa"/>
            </w:tcMar>
            <w:vAlign w:val="bottom"/>
          </w:tcPr>
          <w:p w14:paraId="27D15612" w14:textId="60C87864" w:rsidR="00224102" w:rsidRPr="00692926" w:rsidRDefault="00224102" w:rsidP="00224102">
            <w:pPr>
              <w:spacing w:line="211" w:lineRule="auto"/>
              <w:jc w:val="right"/>
              <w:rPr>
                <w:b/>
                <w:sz w:val="11"/>
                <w:szCs w:val="11"/>
              </w:rPr>
            </w:pPr>
            <w:r w:rsidRPr="00692926">
              <w:rPr>
                <w:b/>
                <w:sz w:val="11"/>
                <w:szCs w:val="11"/>
              </w:rPr>
              <w:t>127</w:t>
            </w:r>
          </w:p>
        </w:tc>
        <w:tc>
          <w:tcPr>
            <w:tcW w:w="896" w:type="dxa"/>
            <w:noWrap/>
            <w:tcMar>
              <w:top w:w="18" w:type="dxa"/>
              <w:left w:w="18" w:type="dxa"/>
              <w:bottom w:w="0" w:type="dxa"/>
              <w:right w:w="18" w:type="dxa"/>
            </w:tcMar>
            <w:vAlign w:val="bottom"/>
          </w:tcPr>
          <w:p w14:paraId="24DFB57A" w14:textId="210E1E74" w:rsidR="00224102" w:rsidRPr="00692926" w:rsidRDefault="00224102" w:rsidP="00224102">
            <w:pPr>
              <w:spacing w:line="211" w:lineRule="auto"/>
              <w:jc w:val="right"/>
              <w:rPr>
                <w:b/>
                <w:sz w:val="11"/>
                <w:szCs w:val="11"/>
              </w:rPr>
            </w:pPr>
            <w:r w:rsidRPr="00692926">
              <w:rPr>
                <w:b/>
                <w:sz w:val="11"/>
                <w:szCs w:val="11"/>
              </w:rPr>
              <w:t>8,020</w:t>
            </w:r>
          </w:p>
        </w:tc>
      </w:tr>
      <w:tr w:rsidR="00980409" w:rsidRPr="00604C75" w14:paraId="1B2DB6BA" w14:textId="77777777" w:rsidTr="00F1171C">
        <w:trPr>
          <w:trHeight w:val="46"/>
        </w:trPr>
        <w:tc>
          <w:tcPr>
            <w:tcW w:w="494" w:type="dxa"/>
            <w:noWrap/>
            <w:tcMar>
              <w:top w:w="18" w:type="dxa"/>
              <w:left w:w="18" w:type="dxa"/>
              <w:bottom w:w="0" w:type="dxa"/>
              <w:right w:w="18" w:type="dxa"/>
            </w:tcMar>
            <w:vAlign w:val="bottom"/>
          </w:tcPr>
          <w:p w14:paraId="3695A88A" w14:textId="77777777" w:rsidR="00980409" w:rsidRPr="00604C75" w:rsidRDefault="00980409" w:rsidP="00980409">
            <w:pPr>
              <w:rPr>
                <w:rFonts w:eastAsia="Arial Unicode MS"/>
                <w:b/>
                <w:bCs/>
                <w:noProof/>
                <w:sz w:val="12"/>
                <w:szCs w:val="12"/>
                <w:lang w:val="tr-TR"/>
              </w:rPr>
            </w:pPr>
          </w:p>
        </w:tc>
        <w:tc>
          <w:tcPr>
            <w:tcW w:w="3580" w:type="dxa"/>
            <w:tcBorders>
              <w:top w:val="single" w:sz="4" w:space="0" w:color="auto"/>
              <w:bottom w:val="single" w:sz="4" w:space="0" w:color="auto"/>
            </w:tcBorders>
            <w:noWrap/>
            <w:tcMar>
              <w:top w:w="18" w:type="dxa"/>
              <w:left w:w="18" w:type="dxa"/>
              <w:bottom w:w="0" w:type="dxa"/>
              <w:right w:w="18" w:type="dxa"/>
            </w:tcMar>
            <w:vAlign w:val="bottom"/>
          </w:tcPr>
          <w:p w14:paraId="266F8EED" w14:textId="431C1258" w:rsidR="00980409" w:rsidRPr="00604C75" w:rsidRDefault="00980409" w:rsidP="00980409">
            <w:pPr>
              <w:rPr>
                <w:rFonts w:eastAsia="Arial Unicode MS"/>
                <w:b/>
                <w:bCs/>
                <w:noProof/>
                <w:sz w:val="12"/>
                <w:szCs w:val="12"/>
                <w:lang w:val="tr-TR"/>
              </w:rPr>
            </w:pPr>
          </w:p>
        </w:tc>
        <w:tc>
          <w:tcPr>
            <w:tcW w:w="644" w:type="dxa"/>
            <w:tcBorders>
              <w:top w:val="single" w:sz="4" w:space="0" w:color="auto"/>
              <w:bottom w:val="single" w:sz="4" w:space="0" w:color="auto"/>
            </w:tcBorders>
            <w:noWrap/>
            <w:tcMar>
              <w:top w:w="18" w:type="dxa"/>
              <w:left w:w="18" w:type="dxa"/>
              <w:bottom w:w="0" w:type="dxa"/>
              <w:right w:w="18" w:type="dxa"/>
            </w:tcMar>
            <w:vAlign w:val="bottom"/>
          </w:tcPr>
          <w:p w14:paraId="20CAD6F1" w14:textId="77777777" w:rsidR="00980409" w:rsidRPr="00604C75" w:rsidRDefault="00980409" w:rsidP="00980409">
            <w:pPr>
              <w:spacing w:line="211" w:lineRule="auto"/>
              <w:jc w:val="center"/>
              <w:rPr>
                <w:sz w:val="10"/>
                <w:szCs w:val="10"/>
                <w:lang w:val="tr-TR"/>
              </w:rPr>
            </w:pPr>
          </w:p>
        </w:tc>
        <w:tc>
          <w:tcPr>
            <w:tcW w:w="895" w:type="dxa"/>
            <w:tcBorders>
              <w:top w:val="single" w:sz="4" w:space="0" w:color="auto"/>
              <w:bottom w:val="single" w:sz="4" w:space="0" w:color="auto"/>
            </w:tcBorders>
            <w:vAlign w:val="bottom"/>
          </w:tcPr>
          <w:p w14:paraId="20A4A1E9" w14:textId="77777777" w:rsidR="00980409" w:rsidRPr="003F3682" w:rsidRDefault="00980409" w:rsidP="00980409">
            <w:pPr>
              <w:spacing w:line="211" w:lineRule="auto"/>
              <w:jc w:val="right"/>
              <w:rPr>
                <w:b/>
                <w:sz w:val="11"/>
                <w:szCs w:val="11"/>
              </w:rPr>
            </w:pPr>
          </w:p>
        </w:tc>
        <w:tc>
          <w:tcPr>
            <w:tcW w:w="1191" w:type="dxa"/>
            <w:tcBorders>
              <w:top w:val="single" w:sz="4" w:space="0" w:color="auto"/>
              <w:bottom w:val="single" w:sz="4" w:space="0" w:color="auto"/>
            </w:tcBorders>
            <w:vAlign w:val="bottom"/>
          </w:tcPr>
          <w:p w14:paraId="66E4309F" w14:textId="77777777" w:rsidR="00980409" w:rsidRPr="003F3682" w:rsidRDefault="00980409" w:rsidP="00980409">
            <w:pPr>
              <w:spacing w:line="211" w:lineRule="auto"/>
              <w:jc w:val="right"/>
              <w:rPr>
                <w:b/>
                <w:sz w:val="11"/>
                <w:szCs w:val="11"/>
              </w:rPr>
            </w:pPr>
          </w:p>
        </w:tc>
        <w:tc>
          <w:tcPr>
            <w:tcW w:w="896" w:type="dxa"/>
            <w:tcBorders>
              <w:top w:val="single" w:sz="4" w:space="0" w:color="auto"/>
              <w:bottom w:val="single" w:sz="4" w:space="0" w:color="auto"/>
            </w:tcBorders>
            <w:vAlign w:val="bottom"/>
          </w:tcPr>
          <w:p w14:paraId="5B2A40D1" w14:textId="77777777" w:rsidR="00980409" w:rsidRPr="003F3682" w:rsidRDefault="00980409" w:rsidP="00980409">
            <w:pPr>
              <w:spacing w:line="211" w:lineRule="auto"/>
              <w:jc w:val="right"/>
              <w:rPr>
                <w:b/>
                <w:sz w:val="11"/>
                <w:szCs w:val="11"/>
              </w:rPr>
            </w:pPr>
          </w:p>
        </w:tc>
        <w:tc>
          <w:tcPr>
            <w:tcW w:w="881" w:type="dxa"/>
            <w:tcBorders>
              <w:top w:val="single" w:sz="4" w:space="0" w:color="auto"/>
              <w:bottom w:val="single" w:sz="4" w:space="0" w:color="auto"/>
            </w:tcBorders>
            <w:noWrap/>
            <w:tcMar>
              <w:top w:w="18" w:type="dxa"/>
              <w:left w:w="18" w:type="dxa"/>
              <w:bottom w:w="0" w:type="dxa"/>
              <w:right w:w="18" w:type="dxa"/>
            </w:tcMar>
            <w:vAlign w:val="bottom"/>
          </w:tcPr>
          <w:p w14:paraId="7F0571D5" w14:textId="35B2FFE3" w:rsidR="00980409" w:rsidRPr="00692926" w:rsidRDefault="00980409" w:rsidP="00980409">
            <w:pPr>
              <w:spacing w:line="211" w:lineRule="auto"/>
              <w:jc w:val="right"/>
              <w:rPr>
                <w:b/>
                <w:sz w:val="11"/>
                <w:szCs w:val="11"/>
              </w:rPr>
            </w:pPr>
          </w:p>
        </w:tc>
        <w:tc>
          <w:tcPr>
            <w:tcW w:w="895" w:type="dxa"/>
            <w:tcBorders>
              <w:top w:val="single" w:sz="4" w:space="0" w:color="auto"/>
              <w:bottom w:val="single" w:sz="4" w:space="0" w:color="auto"/>
            </w:tcBorders>
            <w:noWrap/>
            <w:tcMar>
              <w:top w:w="18" w:type="dxa"/>
              <w:left w:w="18" w:type="dxa"/>
              <w:bottom w:w="0" w:type="dxa"/>
              <w:right w:w="18" w:type="dxa"/>
            </w:tcMar>
            <w:vAlign w:val="bottom"/>
          </w:tcPr>
          <w:p w14:paraId="0EECE567" w14:textId="2F0F86B3" w:rsidR="00980409" w:rsidRPr="00692926" w:rsidRDefault="00980409" w:rsidP="00980409">
            <w:pPr>
              <w:spacing w:line="211" w:lineRule="auto"/>
              <w:jc w:val="right"/>
              <w:rPr>
                <w:b/>
                <w:sz w:val="11"/>
                <w:szCs w:val="11"/>
              </w:rPr>
            </w:pPr>
          </w:p>
        </w:tc>
        <w:tc>
          <w:tcPr>
            <w:tcW w:w="896" w:type="dxa"/>
            <w:tcBorders>
              <w:top w:val="single" w:sz="4" w:space="0" w:color="auto"/>
              <w:bottom w:val="single" w:sz="4" w:space="0" w:color="auto"/>
            </w:tcBorders>
            <w:noWrap/>
            <w:tcMar>
              <w:top w:w="18" w:type="dxa"/>
              <w:left w:w="18" w:type="dxa"/>
              <w:bottom w:w="0" w:type="dxa"/>
              <w:right w:w="18" w:type="dxa"/>
            </w:tcMar>
            <w:vAlign w:val="bottom"/>
          </w:tcPr>
          <w:p w14:paraId="31295EFC" w14:textId="01AF55B3" w:rsidR="00980409" w:rsidRPr="00692926" w:rsidRDefault="00980409" w:rsidP="00980409">
            <w:pPr>
              <w:spacing w:line="211" w:lineRule="auto"/>
              <w:jc w:val="right"/>
              <w:rPr>
                <w:b/>
                <w:sz w:val="11"/>
                <w:szCs w:val="11"/>
              </w:rPr>
            </w:pPr>
          </w:p>
        </w:tc>
      </w:tr>
      <w:tr w:rsidR="00980409" w:rsidRPr="00604C75" w14:paraId="59C1A57A" w14:textId="77777777" w:rsidTr="00F1171C">
        <w:trPr>
          <w:trHeight w:val="46"/>
        </w:trPr>
        <w:tc>
          <w:tcPr>
            <w:tcW w:w="494" w:type="dxa"/>
            <w:noWrap/>
            <w:tcMar>
              <w:top w:w="18" w:type="dxa"/>
              <w:left w:w="18" w:type="dxa"/>
              <w:bottom w:w="0" w:type="dxa"/>
              <w:right w:w="18" w:type="dxa"/>
            </w:tcMar>
            <w:vAlign w:val="bottom"/>
          </w:tcPr>
          <w:p w14:paraId="43C7B47E" w14:textId="77777777" w:rsidR="00980409" w:rsidRPr="00604C75" w:rsidRDefault="00980409" w:rsidP="00980409">
            <w:pPr>
              <w:rPr>
                <w:rFonts w:eastAsia="Arial Unicode MS"/>
                <w:b/>
                <w:bCs/>
                <w:noProof/>
                <w:sz w:val="12"/>
                <w:szCs w:val="12"/>
                <w:lang w:val="tr-TR"/>
              </w:rPr>
            </w:pPr>
          </w:p>
        </w:tc>
        <w:tc>
          <w:tcPr>
            <w:tcW w:w="3580" w:type="dxa"/>
            <w:tcBorders>
              <w:top w:val="single" w:sz="4" w:space="0" w:color="auto"/>
              <w:bottom w:val="single" w:sz="4" w:space="0" w:color="auto"/>
            </w:tcBorders>
            <w:noWrap/>
            <w:tcMar>
              <w:top w:w="18" w:type="dxa"/>
              <w:left w:w="18" w:type="dxa"/>
              <w:bottom w:w="0" w:type="dxa"/>
              <w:right w:w="18" w:type="dxa"/>
            </w:tcMar>
            <w:vAlign w:val="bottom"/>
          </w:tcPr>
          <w:p w14:paraId="5F642515" w14:textId="26F89B3A" w:rsidR="00980409" w:rsidRPr="00604C75" w:rsidRDefault="00980409" w:rsidP="00980409">
            <w:pPr>
              <w:rPr>
                <w:rFonts w:eastAsia="Arial Unicode MS"/>
                <w:b/>
                <w:bCs/>
                <w:noProof/>
                <w:sz w:val="12"/>
                <w:szCs w:val="12"/>
                <w:lang w:val="tr-TR"/>
              </w:rPr>
            </w:pPr>
            <w:r w:rsidRPr="00604C75">
              <w:rPr>
                <w:rFonts w:eastAsia="Arial Unicode MS"/>
                <w:b/>
                <w:bCs/>
                <w:noProof/>
                <w:sz w:val="12"/>
                <w:szCs w:val="12"/>
                <w:lang w:val="tr-TR"/>
              </w:rPr>
              <w:t>TOTAL OFF-BALANCE SHEET COMMITMENTS (A+B)</w:t>
            </w:r>
          </w:p>
        </w:tc>
        <w:tc>
          <w:tcPr>
            <w:tcW w:w="644" w:type="dxa"/>
            <w:tcBorders>
              <w:top w:val="single" w:sz="4" w:space="0" w:color="auto"/>
              <w:bottom w:val="single" w:sz="4" w:space="0" w:color="auto"/>
            </w:tcBorders>
            <w:noWrap/>
            <w:tcMar>
              <w:top w:w="18" w:type="dxa"/>
              <w:left w:w="18" w:type="dxa"/>
              <w:bottom w:w="0" w:type="dxa"/>
              <w:right w:w="18" w:type="dxa"/>
            </w:tcMar>
            <w:vAlign w:val="bottom"/>
          </w:tcPr>
          <w:p w14:paraId="1FEF7245" w14:textId="77777777" w:rsidR="00980409" w:rsidRPr="00604C75" w:rsidRDefault="00980409" w:rsidP="00980409">
            <w:pPr>
              <w:spacing w:line="211" w:lineRule="auto"/>
              <w:jc w:val="center"/>
              <w:rPr>
                <w:sz w:val="10"/>
                <w:szCs w:val="10"/>
                <w:lang w:val="tr-TR"/>
              </w:rPr>
            </w:pPr>
          </w:p>
        </w:tc>
        <w:tc>
          <w:tcPr>
            <w:tcW w:w="895" w:type="dxa"/>
            <w:tcBorders>
              <w:top w:val="single" w:sz="4" w:space="0" w:color="auto"/>
              <w:bottom w:val="single" w:sz="4" w:space="0" w:color="auto"/>
            </w:tcBorders>
            <w:vAlign w:val="bottom"/>
          </w:tcPr>
          <w:p w14:paraId="3FFF7A29" w14:textId="074040BB" w:rsidR="00980409" w:rsidRPr="003F3682" w:rsidRDefault="00980409" w:rsidP="00980409">
            <w:pPr>
              <w:jc w:val="right"/>
              <w:rPr>
                <w:b/>
                <w:sz w:val="11"/>
                <w:szCs w:val="11"/>
              </w:rPr>
            </w:pPr>
            <w:r w:rsidRPr="005C7ECF">
              <w:rPr>
                <w:b/>
                <w:sz w:val="11"/>
                <w:szCs w:val="11"/>
              </w:rPr>
              <w:t>42,625,093</w:t>
            </w:r>
          </w:p>
        </w:tc>
        <w:tc>
          <w:tcPr>
            <w:tcW w:w="1191" w:type="dxa"/>
            <w:tcBorders>
              <w:top w:val="single" w:sz="4" w:space="0" w:color="auto"/>
              <w:bottom w:val="single" w:sz="4" w:space="0" w:color="auto"/>
            </w:tcBorders>
            <w:vAlign w:val="bottom"/>
          </w:tcPr>
          <w:p w14:paraId="46FE6078" w14:textId="62E53BC6" w:rsidR="00980409" w:rsidRPr="003F3682" w:rsidRDefault="00980409" w:rsidP="00980409">
            <w:pPr>
              <w:jc w:val="right"/>
              <w:rPr>
                <w:b/>
                <w:sz w:val="11"/>
                <w:szCs w:val="11"/>
              </w:rPr>
            </w:pPr>
            <w:r w:rsidRPr="005C7ECF">
              <w:rPr>
                <w:b/>
                <w:sz w:val="11"/>
                <w:szCs w:val="11"/>
              </w:rPr>
              <w:t>26,876,194</w:t>
            </w:r>
          </w:p>
        </w:tc>
        <w:tc>
          <w:tcPr>
            <w:tcW w:w="896" w:type="dxa"/>
            <w:tcBorders>
              <w:top w:val="single" w:sz="4" w:space="0" w:color="auto"/>
              <w:bottom w:val="single" w:sz="4" w:space="0" w:color="auto"/>
            </w:tcBorders>
            <w:vAlign w:val="bottom"/>
          </w:tcPr>
          <w:p w14:paraId="27C7B2D0" w14:textId="3509AB85" w:rsidR="00980409" w:rsidRPr="003F3682" w:rsidRDefault="00980409" w:rsidP="00980409">
            <w:pPr>
              <w:jc w:val="right"/>
              <w:rPr>
                <w:b/>
                <w:sz w:val="11"/>
                <w:szCs w:val="11"/>
              </w:rPr>
            </w:pPr>
            <w:r w:rsidRPr="005C7ECF">
              <w:rPr>
                <w:b/>
                <w:sz w:val="11"/>
                <w:szCs w:val="11"/>
              </w:rPr>
              <w:t>69,501,287</w:t>
            </w:r>
          </w:p>
        </w:tc>
        <w:tc>
          <w:tcPr>
            <w:tcW w:w="881" w:type="dxa"/>
            <w:tcBorders>
              <w:top w:val="single" w:sz="4" w:space="0" w:color="auto"/>
              <w:bottom w:val="single" w:sz="4" w:space="0" w:color="auto"/>
            </w:tcBorders>
            <w:noWrap/>
            <w:tcMar>
              <w:top w:w="18" w:type="dxa"/>
              <w:left w:w="18" w:type="dxa"/>
              <w:bottom w:w="0" w:type="dxa"/>
              <w:right w:w="18" w:type="dxa"/>
            </w:tcMar>
            <w:vAlign w:val="bottom"/>
          </w:tcPr>
          <w:p w14:paraId="33239986" w14:textId="4F05CE34" w:rsidR="00980409" w:rsidRPr="00692926" w:rsidRDefault="00980409" w:rsidP="00980409">
            <w:pPr>
              <w:spacing w:line="211" w:lineRule="auto"/>
              <w:jc w:val="right"/>
              <w:rPr>
                <w:b/>
                <w:sz w:val="11"/>
                <w:szCs w:val="11"/>
              </w:rPr>
            </w:pPr>
            <w:r w:rsidRPr="00692926">
              <w:rPr>
                <w:b/>
                <w:sz w:val="11"/>
                <w:szCs w:val="11"/>
              </w:rPr>
              <w:t>34,906,288</w:t>
            </w:r>
          </w:p>
        </w:tc>
        <w:tc>
          <w:tcPr>
            <w:tcW w:w="895" w:type="dxa"/>
            <w:tcBorders>
              <w:top w:val="single" w:sz="4" w:space="0" w:color="auto"/>
              <w:bottom w:val="single" w:sz="4" w:space="0" w:color="auto"/>
            </w:tcBorders>
            <w:noWrap/>
            <w:tcMar>
              <w:top w:w="18" w:type="dxa"/>
              <w:left w:w="18" w:type="dxa"/>
              <w:bottom w:w="0" w:type="dxa"/>
              <w:right w:w="18" w:type="dxa"/>
            </w:tcMar>
            <w:vAlign w:val="bottom"/>
          </w:tcPr>
          <w:p w14:paraId="77C579DA" w14:textId="2CC48645" w:rsidR="00980409" w:rsidRPr="00692926" w:rsidRDefault="00980409" w:rsidP="00980409">
            <w:pPr>
              <w:spacing w:line="211" w:lineRule="auto"/>
              <w:jc w:val="right"/>
              <w:rPr>
                <w:b/>
                <w:sz w:val="11"/>
                <w:szCs w:val="11"/>
              </w:rPr>
            </w:pPr>
            <w:r w:rsidRPr="00692926">
              <w:rPr>
                <w:b/>
                <w:sz w:val="11"/>
                <w:szCs w:val="11"/>
              </w:rPr>
              <w:t>12,545,600</w:t>
            </w:r>
          </w:p>
        </w:tc>
        <w:tc>
          <w:tcPr>
            <w:tcW w:w="896" w:type="dxa"/>
            <w:tcBorders>
              <w:top w:val="single" w:sz="4" w:space="0" w:color="auto"/>
              <w:bottom w:val="single" w:sz="4" w:space="0" w:color="auto"/>
            </w:tcBorders>
            <w:noWrap/>
            <w:tcMar>
              <w:top w:w="18" w:type="dxa"/>
              <w:left w:w="18" w:type="dxa"/>
              <w:bottom w:w="0" w:type="dxa"/>
              <w:right w:w="18" w:type="dxa"/>
            </w:tcMar>
            <w:vAlign w:val="bottom"/>
          </w:tcPr>
          <w:p w14:paraId="6DE087AB" w14:textId="0A5FD5B1" w:rsidR="00980409" w:rsidRPr="00692926" w:rsidRDefault="00980409" w:rsidP="00980409">
            <w:pPr>
              <w:spacing w:line="211" w:lineRule="auto"/>
              <w:jc w:val="right"/>
              <w:rPr>
                <w:b/>
                <w:sz w:val="11"/>
                <w:szCs w:val="11"/>
              </w:rPr>
            </w:pPr>
            <w:r w:rsidRPr="00692926">
              <w:rPr>
                <w:b/>
                <w:sz w:val="11"/>
                <w:szCs w:val="11"/>
              </w:rPr>
              <w:t>47,451,888</w:t>
            </w:r>
          </w:p>
        </w:tc>
      </w:tr>
    </w:tbl>
    <w:p w14:paraId="74F62AFC" w14:textId="77777777" w:rsidR="00566F19" w:rsidRPr="00604C75" w:rsidRDefault="00A63D36" w:rsidP="00B01F1F">
      <w:pPr>
        <w:tabs>
          <w:tab w:val="left" w:pos="9291"/>
          <w:tab w:val="right" w:pos="10082"/>
        </w:tabs>
      </w:pPr>
      <w:r w:rsidRPr="00604C75">
        <w:tab/>
      </w:r>
      <w:r w:rsidR="00B01F1F" w:rsidRPr="00604C75">
        <w:tab/>
      </w:r>
    </w:p>
    <w:p w14:paraId="22DBF471" w14:textId="77777777" w:rsidR="001A1E54" w:rsidRPr="00604C75" w:rsidRDefault="00BD00CB" w:rsidP="00F32178">
      <w:pPr>
        <w:tabs>
          <w:tab w:val="left" w:pos="280"/>
          <w:tab w:val="left" w:pos="1200"/>
          <w:tab w:val="left" w:pos="10080"/>
          <w:tab w:val="left" w:pos="10920"/>
          <w:tab w:val="left" w:pos="12520"/>
          <w:tab w:val="left" w:pos="13480"/>
          <w:tab w:val="left" w:pos="15680"/>
          <w:tab w:val="left" w:pos="16640"/>
          <w:tab w:val="left" w:pos="17740"/>
        </w:tabs>
        <w:spacing w:line="192" w:lineRule="auto"/>
        <w:jc w:val="center"/>
        <w:rPr>
          <w:bCs/>
          <w:noProof/>
          <w:snapToGrid w:val="0"/>
          <w:sz w:val="12"/>
          <w:szCs w:val="12"/>
          <w:lang w:val="tr-TR"/>
        </w:rPr>
        <w:sectPr w:rsidR="001A1E54" w:rsidRPr="00604C75" w:rsidSect="00CF6669">
          <w:headerReference w:type="default" r:id="rId14"/>
          <w:pgSz w:w="11907" w:h="16840" w:code="9"/>
          <w:pgMar w:top="1134" w:right="748" w:bottom="720" w:left="1077" w:header="709" w:footer="709" w:gutter="0"/>
          <w:cols w:space="720"/>
          <w:docGrid w:linePitch="360"/>
        </w:sectPr>
      </w:pPr>
      <w:r w:rsidRPr="00604C75">
        <w:rPr>
          <w:sz w:val="16"/>
          <w:szCs w:val="16"/>
        </w:rPr>
        <w:t>The accompanying notes are an integral part of these consolidated financial statements.</w:t>
      </w:r>
      <w:r w:rsidRPr="00604C75" w:rsidDel="00AF0AEB">
        <w:rPr>
          <w:bCs/>
          <w:noProof/>
          <w:snapToGrid w:val="0"/>
          <w:sz w:val="16"/>
          <w:szCs w:val="16"/>
          <w:lang w:val="tr-TR"/>
        </w:rPr>
        <w:t xml:space="preserve"> </w:t>
      </w:r>
    </w:p>
    <w:tbl>
      <w:tblPr>
        <w:tblW w:w="10346" w:type="dxa"/>
        <w:tblInd w:w="108" w:type="dxa"/>
        <w:tblLayout w:type="fixed"/>
        <w:tblLook w:val="01E0" w:firstRow="1" w:lastRow="1" w:firstColumn="1" w:lastColumn="1" w:noHBand="0" w:noVBand="0"/>
      </w:tblPr>
      <w:tblGrid>
        <w:gridCol w:w="560"/>
        <w:gridCol w:w="4861"/>
        <w:gridCol w:w="851"/>
        <w:gridCol w:w="2037"/>
        <w:gridCol w:w="2037"/>
      </w:tblGrid>
      <w:tr w:rsidR="005C4442" w:rsidRPr="007C0BA6" w14:paraId="01A49369" w14:textId="77777777" w:rsidTr="00F142CB">
        <w:trPr>
          <w:trHeight w:val="468"/>
        </w:trPr>
        <w:tc>
          <w:tcPr>
            <w:tcW w:w="5421" w:type="dxa"/>
            <w:gridSpan w:val="2"/>
          </w:tcPr>
          <w:p w14:paraId="6B3D664B" w14:textId="77777777" w:rsidR="005C4442" w:rsidRPr="007C0BA6" w:rsidRDefault="005C444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p>
          <w:p w14:paraId="2D8A43E2" w14:textId="77777777" w:rsidR="005C4442" w:rsidRPr="005337DE" w:rsidRDefault="005C4442" w:rsidP="005337DE">
            <w:pPr>
              <w:pStyle w:val="ListParagraph"/>
              <w:numPr>
                <w:ilvl w:val="0"/>
                <w:numId w:val="44"/>
              </w:numPr>
              <w:tabs>
                <w:tab w:val="clear" w:pos="1080"/>
                <w:tab w:val="left" w:pos="498"/>
                <w:tab w:val="left" w:pos="10080"/>
                <w:tab w:val="left" w:pos="10920"/>
                <w:tab w:val="left" w:pos="12520"/>
                <w:tab w:val="left" w:pos="13480"/>
                <w:tab w:val="left" w:pos="15680"/>
                <w:tab w:val="left" w:pos="16640"/>
                <w:tab w:val="left" w:pos="17740"/>
              </w:tabs>
              <w:ind w:left="-76" w:hanging="12"/>
              <w:rPr>
                <w:b/>
                <w:bCs/>
                <w:snapToGrid w:val="0"/>
                <w:sz w:val="14"/>
                <w:szCs w:val="14"/>
              </w:rPr>
            </w:pPr>
            <w:r w:rsidRPr="005337DE">
              <w:rPr>
                <w:b/>
                <w:bCs/>
                <w:sz w:val="14"/>
                <w:szCs w:val="14"/>
              </w:rPr>
              <w:t>INCOME STATEMENT</w:t>
            </w:r>
          </w:p>
          <w:p w14:paraId="2C5AF9AA" w14:textId="77777777" w:rsidR="005C4442" w:rsidRPr="007C0BA6" w:rsidRDefault="005C444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p>
          <w:p w14:paraId="3928A9F4" w14:textId="5286B85A" w:rsidR="005C4442" w:rsidRPr="007C0BA6" w:rsidRDefault="005337DE" w:rsidP="005A3E2C">
            <w:pPr>
              <w:tabs>
                <w:tab w:val="left" w:pos="470"/>
                <w:tab w:val="left" w:pos="1200"/>
                <w:tab w:val="left" w:pos="10080"/>
                <w:tab w:val="left" w:pos="10920"/>
                <w:tab w:val="left" w:pos="12520"/>
                <w:tab w:val="left" w:pos="13480"/>
                <w:tab w:val="left" w:pos="15680"/>
                <w:tab w:val="left" w:pos="16640"/>
                <w:tab w:val="left" w:pos="17740"/>
              </w:tabs>
              <w:ind w:left="-76" w:firstLine="14"/>
              <w:rPr>
                <w:b/>
                <w:bCs/>
                <w:snapToGrid w:val="0"/>
                <w:sz w:val="12"/>
                <w:szCs w:val="12"/>
              </w:rPr>
            </w:pPr>
            <w:r>
              <w:rPr>
                <w:b/>
                <w:bCs/>
                <w:sz w:val="14"/>
                <w:szCs w:val="14"/>
              </w:rPr>
              <w:t xml:space="preserve">                </w:t>
            </w:r>
            <w:r w:rsidR="005C4442" w:rsidRPr="007C0BA6">
              <w:rPr>
                <w:b/>
                <w:bCs/>
                <w:sz w:val="14"/>
                <w:szCs w:val="14"/>
              </w:rPr>
              <w:t>INCOME AND EXPENSE ITEMS</w:t>
            </w:r>
          </w:p>
        </w:tc>
        <w:tc>
          <w:tcPr>
            <w:tcW w:w="851" w:type="dxa"/>
            <w:vAlign w:val="bottom"/>
          </w:tcPr>
          <w:p w14:paraId="680CBC25" w14:textId="77777777" w:rsidR="005C4442" w:rsidRPr="007C0BA6" w:rsidRDefault="005C4442" w:rsidP="00F573AF">
            <w:pPr>
              <w:tabs>
                <w:tab w:val="left" w:pos="280"/>
                <w:tab w:val="left" w:pos="1200"/>
                <w:tab w:val="left" w:pos="10080"/>
                <w:tab w:val="left" w:pos="10920"/>
                <w:tab w:val="left" w:pos="12520"/>
                <w:tab w:val="left" w:pos="13480"/>
                <w:tab w:val="left" w:pos="15680"/>
                <w:tab w:val="left" w:pos="16640"/>
                <w:tab w:val="left" w:pos="17740"/>
              </w:tabs>
              <w:jc w:val="center"/>
              <w:rPr>
                <w:b/>
                <w:bCs/>
                <w:snapToGrid w:val="0"/>
                <w:sz w:val="14"/>
                <w:szCs w:val="14"/>
              </w:rPr>
            </w:pPr>
            <w:r w:rsidRPr="007C0BA6">
              <w:rPr>
                <w:b/>
                <w:bCs/>
                <w:snapToGrid w:val="0"/>
                <w:sz w:val="14"/>
                <w:szCs w:val="14"/>
              </w:rPr>
              <w:t>Note (Section</w:t>
            </w:r>
          </w:p>
          <w:p w14:paraId="4B9AD4B9" w14:textId="77777777" w:rsidR="005C4442" w:rsidRPr="007C0BA6" w:rsidRDefault="005C4442" w:rsidP="00F573AF">
            <w:pPr>
              <w:tabs>
                <w:tab w:val="left" w:pos="280"/>
                <w:tab w:val="left" w:pos="1200"/>
                <w:tab w:val="left" w:pos="10080"/>
                <w:tab w:val="left" w:pos="10920"/>
                <w:tab w:val="left" w:pos="12520"/>
                <w:tab w:val="left" w:pos="13480"/>
                <w:tab w:val="left" w:pos="15680"/>
                <w:tab w:val="left" w:pos="16640"/>
                <w:tab w:val="left" w:pos="17740"/>
              </w:tabs>
              <w:jc w:val="center"/>
              <w:rPr>
                <w:b/>
                <w:bCs/>
                <w:snapToGrid w:val="0"/>
                <w:sz w:val="14"/>
                <w:szCs w:val="14"/>
              </w:rPr>
            </w:pPr>
            <w:r w:rsidRPr="007C0BA6">
              <w:rPr>
                <w:b/>
                <w:bCs/>
                <w:snapToGrid w:val="0"/>
                <w:sz w:val="14"/>
                <w:szCs w:val="14"/>
              </w:rPr>
              <w:t>Five)</w:t>
            </w:r>
          </w:p>
        </w:tc>
        <w:tc>
          <w:tcPr>
            <w:tcW w:w="2037" w:type="dxa"/>
            <w:tcBorders>
              <w:bottom w:val="single" w:sz="4" w:space="0" w:color="auto"/>
            </w:tcBorders>
            <w:vAlign w:val="bottom"/>
          </w:tcPr>
          <w:p w14:paraId="0DDF8BA9" w14:textId="77777777" w:rsidR="005C4442" w:rsidRPr="007C0BA6" w:rsidRDefault="005C4442" w:rsidP="00F573AF">
            <w:pPr>
              <w:tabs>
                <w:tab w:val="left" w:pos="280"/>
                <w:tab w:val="left" w:pos="10080"/>
                <w:tab w:val="left" w:pos="10920"/>
                <w:tab w:val="left" w:pos="12520"/>
                <w:tab w:val="left" w:pos="13480"/>
                <w:tab w:val="left" w:pos="15680"/>
                <w:tab w:val="left" w:pos="16640"/>
                <w:tab w:val="left" w:pos="17740"/>
              </w:tabs>
              <w:ind w:right="-75"/>
              <w:jc w:val="right"/>
              <w:rPr>
                <w:b/>
                <w:bCs/>
                <w:snapToGrid w:val="0"/>
                <w:sz w:val="14"/>
                <w:szCs w:val="14"/>
              </w:rPr>
            </w:pPr>
          </w:p>
          <w:p w14:paraId="53FD8CB0" w14:textId="77777777" w:rsidR="005C4442" w:rsidRPr="007C0BA6" w:rsidRDefault="005C4442" w:rsidP="005C4442">
            <w:pPr>
              <w:tabs>
                <w:tab w:val="left" w:pos="280"/>
                <w:tab w:val="left" w:pos="10080"/>
                <w:tab w:val="left" w:pos="10920"/>
                <w:tab w:val="left" w:pos="12520"/>
                <w:tab w:val="left" w:pos="13480"/>
                <w:tab w:val="left" w:pos="15680"/>
                <w:tab w:val="left" w:pos="16640"/>
                <w:tab w:val="left" w:pos="17740"/>
              </w:tabs>
              <w:ind w:right="-75"/>
              <w:jc w:val="right"/>
              <w:rPr>
                <w:b/>
                <w:bCs/>
                <w:snapToGrid w:val="0"/>
                <w:sz w:val="14"/>
                <w:szCs w:val="14"/>
              </w:rPr>
            </w:pPr>
            <w:r>
              <w:rPr>
                <w:b/>
                <w:bCs/>
                <w:snapToGrid w:val="0"/>
                <w:sz w:val="14"/>
                <w:szCs w:val="14"/>
              </w:rPr>
              <w:t>1 January – 31 December 2015</w:t>
            </w:r>
          </w:p>
        </w:tc>
        <w:tc>
          <w:tcPr>
            <w:tcW w:w="2037" w:type="dxa"/>
            <w:tcBorders>
              <w:bottom w:val="single" w:sz="4" w:space="0" w:color="auto"/>
            </w:tcBorders>
            <w:vAlign w:val="bottom"/>
          </w:tcPr>
          <w:p w14:paraId="410B21EA" w14:textId="77777777" w:rsidR="005C4442" w:rsidRPr="007C0BA6" w:rsidRDefault="005C4442" w:rsidP="00F573AF">
            <w:pPr>
              <w:tabs>
                <w:tab w:val="left" w:pos="280"/>
                <w:tab w:val="left" w:pos="10080"/>
                <w:tab w:val="left" w:pos="10920"/>
                <w:tab w:val="left" w:pos="12520"/>
                <w:tab w:val="left" w:pos="13480"/>
                <w:tab w:val="left" w:pos="15680"/>
                <w:tab w:val="left" w:pos="16640"/>
                <w:tab w:val="left" w:pos="17740"/>
              </w:tabs>
              <w:ind w:right="-75"/>
              <w:jc w:val="right"/>
              <w:rPr>
                <w:b/>
                <w:bCs/>
                <w:snapToGrid w:val="0"/>
                <w:sz w:val="14"/>
                <w:szCs w:val="14"/>
              </w:rPr>
            </w:pPr>
          </w:p>
          <w:p w14:paraId="6320F003" w14:textId="77777777" w:rsidR="005C4442" w:rsidRPr="007C0BA6" w:rsidRDefault="005C4442" w:rsidP="005C4442">
            <w:pPr>
              <w:tabs>
                <w:tab w:val="left" w:pos="280"/>
                <w:tab w:val="left" w:pos="10080"/>
                <w:tab w:val="left" w:pos="10920"/>
                <w:tab w:val="left" w:pos="12520"/>
                <w:tab w:val="left" w:pos="13480"/>
                <w:tab w:val="left" w:pos="15680"/>
                <w:tab w:val="left" w:pos="16640"/>
                <w:tab w:val="left" w:pos="17740"/>
              </w:tabs>
              <w:ind w:right="-75"/>
              <w:jc w:val="right"/>
              <w:rPr>
                <w:b/>
                <w:bCs/>
                <w:snapToGrid w:val="0"/>
                <w:sz w:val="14"/>
                <w:szCs w:val="14"/>
              </w:rPr>
            </w:pPr>
            <w:r>
              <w:rPr>
                <w:b/>
                <w:bCs/>
                <w:snapToGrid w:val="0"/>
                <w:sz w:val="14"/>
                <w:szCs w:val="14"/>
              </w:rPr>
              <w:t>1 January – 31 December 2014</w:t>
            </w:r>
          </w:p>
        </w:tc>
      </w:tr>
      <w:tr w:rsidR="00224102" w:rsidRPr="007C0BA6" w14:paraId="009F50E4" w14:textId="77777777" w:rsidTr="00F142CB">
        <w:trPr>
          <w:trHeight w:val="130"/>
        </w:trPr>
        <w:tc>
          <w:tcPr>
            <w:tcW w:w="560" w:type="dxa"/>
            <w:vAlign w:val="bottom"/>
          </w:tcPr>
          <w:p w14:paraId="21B7E156"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b/>
                <w:bCs/>
                <w:sz w:val="12"/>
                <w:szCs w:val="12"/>
              </w:rPr>
              <w:t>I.</w:t>
            </w:r>
          </w:p>
        </w:tc>
        <w:tc>
          <w:tcPr>
            <w:tcW w:w="4861" w:type="dxa"/>
            <w:vAlign w:val="bottom"/>
          </w:tcPr>
          <w:p w14:paraId="264C70F1" w14:textId="77777777" w:rsidR="00224102" w:rsidRPr="007C0BA6" w:rsidRDefault="00224102" w:rsidP="005337DE">
            <w:pPr>
              <w:ind w:left="-76"/>
              <w:rPr>
                <w:rFonts w:eastAsia="Arial Unicode MS"/>
                <w:b/>
                <w:bCs/>
                <w:sz w:val="14"/>
                <w:szCs w:val="14"/>
              </w:rPr>
            </w:pPr>
            <w:r w:rsidRPr="007C0BA6">
              <w:rPr>
                <w:b/>
                <w:bCs/>
                <w:sz w:val="14"/>
                <w:szCs w:val="14"/>
              </w:rPr>
              <w:t>INTEREST INCOME</w:t>
            </w:r>
          </w:p>
        </w:tc>
        <w:tc>
          <w:tcPr>
            <w:tcW w:w="851" w:type="dxa"/>
            <w:vAlign w:val="bottom"/>
          </w:tcPr>
          <w:p w14:paraId="5D95A494" w14:textId="6AC44271" w:rsidR="00224102" w:rsidRPr="00923A53" w:rsidRDefault="00224102" w:rsidP="00224102">
            <w:pPr>
              <w:jc w:val="center"/>
              <w:rPr>
                <w:rFonts w:eastAsia="Arial Unicode MS"/>
                <w:sz w:val="14"/>
                <w:szCs w:val="14"/>
              </w:rPr>
            </w:pPr>
            <w:r w:rsidRPr="00A36623">
              <w:rPr>
                <w:rFonts w:eastAsia="Arial Unicode MS"/>
                <w:b/>
                <w:bCs/>
                <w:sz w:val="14"/>
                <w:szCs w:val="14"/>
              </w:rPr>
              <w:t>IV-a</w:t>
            </w:r>
          </w:p>
        </w:tc>
        <w:tc>
          <w:tcPr>
            <w:tcW w:w="2037" w:type="dxa"/>
            <w:tcBorders>
              <w:top w:val="single" w:sz="4" w:space="0" w:color="auto"/>
            </w:tcBorders>
            <w:vAlign w:val="bottom"/>
          </w:tcPr>
          <w:p w14:paraId="50D7ADD9" w14:textId="667F688F" w:rsidR="00224102" w:rsidRPr="00CE6C92" w:rsidRDefault="00224102" w:rsidP="00224102">
            <w:pPr>
              <w:jc w:val="right"/>
              <w:rPr>
                <w:b/>
                <w:bCs/>
                <w:sz w:val="14"/>
                <w:szCs w:val="14"/>
              </w:rPr>
            </w:pPr>
            <w:r w:rsidRPr="00CE6C92">
              <w:rPr>
                <w:b/>
                <w:bCs/>
                <w:sz w:val="14"/>
                <w:szCs w:val="14"/>
              </w:rPr>
              <w:t>1,147,765</w:t>
            </w:r>
          </w:p>
        </w:tc>
        <w:tc>
          <w:tcPr>
            <w:tcW w:w="2037" w:type="dxa"/>
            <w:tcBorders>
              <w:top w:val="single" w:sz="4" w:space="0" w:color="auto"/>
            </w:tcBorders>
            <w:vAlign w:val="bottom"/>
          </w:tcPr>
          <w:p w14:paraId="7D354B86" w14:textId="3215C63C" w:rsidR="00224102" w:rsidRPr="00A36623" w:rsidRDefault="00224102" w:rsidP="00224102">
            <w:pPr>
              <w:jc w:val="right"/>
              <w:rPr>
                <w:b/>
                <w:sz w:val="14"/>
                <w:szCs w:val="14"/>
              </w:rPr>
            </w:pPr>
            <w:r w:rsidRPr="00A36623">
              <w:rPr>
                <w:b/>
                <w:sz w:val="14"/>
                <w:szCs w:val="14"/>
              </w:rPr>
              <w:t>1</w:t>
            </w:r>
            <w:r>
              <w:rPr>
                <w:b/>
                <w:sz w:val="14"/>
                <w:szCs w:val="14"/>
              </w:rPr>
              <w:t>,</w:t>
            </w:r>
            <w:r w:rsidRPr="00A36623">
              <w:rPr>
                <w:b/>
                <w:sz w:val="14"/>
                <w:szCs w:val="14"/>
              </w:rPr>
              <w:t>115</w:t>
            </w:r>
            <w:r>
              <w:rPr>
                <w:b/>
                <w:sz w:val="14"/>
                <w:szCs w:val="14"/>
              </w:rPr>
              <w:t>,</w:t>
            </w:r>
            <w:r w:rsidRPr="00A36623">
              <w:rPr>
                <w:b/>
                <w:sz w:val="14"/>
                <w:szCs w:val="14"/>
              </w:rPr>
              <w:t>986</w:t>
            </w:r>
          </w:p>
        </w:tc>
      </w:tr>
      <w:tr w:rsidR="00224102" w:rsidRPr="007C0BA6" w14:paraId="650A1502" w14:textId="77777777" w:rsidTr="00F142CB">
        <w:trPr>
          <w:trHeight w:val="141"/>
        </w:trPr>
        <w:tc>
          <w:tcPr>
            <w:tcW w:w="560" w:type="dxa"/>
            <w:vAlign w:val="bottom"/>
          </w:tcPr>
          <w:p w14:paraId="7AEEDC05"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sz w:val="12"/>
                <w:szCs w:val="12"/>
              </w:rPr>
              <w:t>1.1</w:t>
            </w:r>
          </w:p>
        </w:tc>
        <w:tc>
          <w:tcPr>
            <w:tcW w:w="4861" w:type="dxa"/>
            <w:vAlign w:val="bottom"/>
          </w:tcPr>
          <w:p w14:paraId="387B9791" w14:textId="77777777" w:rsidR="00224102" w:rsidRPr="007C0BA6" w:rsidRDefault="00224102" w:rsidP="005337DE">
            <w:pPr>
              <w:ind w:left="-76"/>
              <w:rPr>
                <w:rFonts w:eastAsia="Arial Unicode MS"/>
                <w:sz w:val="14"/>
                <w:szCs w:val="14"/>
              </w:rPr>
            </w:pPr>
            <w:r w:rsidRPr="007C0BA6">
              <w:rPr>
                <w:sz w:val="14"/>
                <w:szCs w:val="14"/>
              </w:rPr>
              <w:t>Interest on Loans</w:t>
            </w:r>
          </w:p>
        </w:tc>
        <w:tc>
          <w:tcPr>
            <w:tcW w:w="851" w:type="dxa"/>
            <w:vAlign w:val="bottom"/>
          </w:tcPr>
          <w:p w14:paraId="78725C54" w14:textId="5AE0CFC7" w:rsidR="00224102" w:rsidRPr="00A36623" w:rsidRDefault="00224102" w:rsidP="00224102">
            <w:pPr>
              <w:jc w:val="center"/>
              <w:rPr>
                <w:rFonts w:eastAsia="Arial Unicode MS"/>
                <w:sz w:val="14"/>
                <w:szCs w:val="14"/>
              </w:rPr>
            </w:pPr>
            <w:r w:rsidRPr="00A36623">
              <w:rPr>
                <w:rFonts w:eastAsia="Arial Unicode MS"/>
                <w:sz w:val="14"/>
                <w:szCs w:val="14"/>
              </w:rPr>
              <w:t>IV</w:t>
            </w:r>
            <w:r w:rsidRPr="00A36623">
              <w:rPr>
                <w:rFonts w:eastAsia="Arial Unicode MS"/>
                <w:bCs/>
                <w:sz w:val="14"/>
                <w:szCs w:val="14"/>
              </w:rPr>
              <w:t>-a-1</w:t>
            </w:r>
          </w:p>
        </w:tc>
        <w:tc>
          <w:tcPr>
            <w:tcW w:w="2037" w:type="dxa"/>
            <w:vAlign w:val="bottom"/>
          </w:tcPr>
          <w:p w14:paraId="564D0DBB" w14:textId="4BDB22B6" w:rsidR="00224102" w:rsidRPr="00CE6C92" w:rsidRDefault="00224102" w:rsidP="00224102">
            <w:pPr>
              <w:jc w:val="right"/>
              <w:rPr>
                <w:sz w:val="14"/>
                <w:szCs w:val="14"/>
              </w:rPr>
            </w:pPr>
            <w:r w:rsidRPr="00CE6C92">
              <w:rPr>
                <w:sz w:val="14"/>
                <w:szCs w:val="14"/>
              </w:rPr>
              <w:t>967,077</w:t>
            </w:r>
          </w:p>
        </w:tc>
        <w:tc>
          <w:tcPr>
            <w:tcW w:w="2037" w:type="dxa"/>
            <w:vAlign w:val="bottom"/>
          </w:tcPr>
          <w:p w14:paraId="6514ABA7" w14:textId="23B45019" w:rsidR="00224102" w:rsidRPr="00A36623" w:rsidRDefault="00224102" w:rsidP="00224102">
            <w:pPr>
              <w:jc w:val="right"/>
              <w:rPr>
                <w:sz w:val="14"/>
                <w:szCs w:val="14"/>
              </w:rPr>
            </w:pPr>
            <w:r w:rsidRPr="00A36623">
              <w:rPr>
                <w:sz w:val="14"/>
                <w:szCs w:val="14"/>
              </w:rPr>
              <w:t>876</w:t>
            </w:r>
            <w:r>
              <w:rPr>
                <w:sz w:val="14"/>
                <w:szCs w:val="14"/>
              </w:rPr>
              <w:t>,</w:t>
            </w:r>
            <w:r w:rsidRPr="00A36623">
              <w:rPr>
                <w:sz w:val="14"/>
                <w:szCs w:val="14"/>
              </w:rPr>
              <w:t>212</w:t>
            </w:r>
          </w:p>
        </w:tc>
      </w:tr>
      <w:tr w:rsidR="00224102" w:rsidRPr="007C0BA6" w14:paraId="7C341F45" w14:textId="77777777" w:rsidTr="00F142CB">
        <w:tc>
          <w:tcPr>
            <w:tcW w:w="560" w:type="dxa"/>
            <w:vAlign w:val="bottom"/>
          </w:tcPr>
          <w:p w14:paraId="4ED4EAC8"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1.2</w:t>
            </w:r>
          </w:p>
        </w:tc>
        <w:tc>
          <w:tcPr>
            <w:tcW w:w="4861" w:type="dxa"/>
            <w:vAlign w:val="bottom"/>
          </w:tcPr>
          <w:p w14:paraId="593FDA90" w14:textId="77777777" w:rsidR="00224102" w:rsidRPr="007C0BA6" w:rsidRDefault="00224102" w:rsidP="005337DE">
            <w:pPr>
              <w:ind w:left="-76"/>
              <w:rPr>
                <w:rFonts w:eastAsia="Arial Unicode MS"/>
                <w:sz w:val="14"/>
                <w:szCs w:val="14"/>
              </w:rPr>
            </w:pPr>
            <w:r w:rsidRPr="007C0BA6">
              <w:rPr>
                <w:sz w:val="14"/>
                <w:szCs w:val="14"/>
              </w:rPr>
              <w:t>Interest Received from Reserve Requirements</w:t>
            </w:r>
          </w:p>
        </w:tc>
        <w:tc>
          <w:tcPr>
            <w:tcW w:w="851" w:type="dxa"/>
            <w:vAlign w:val="bottom"/>
          </w:tcPr>
          <w:p w14:paraId="01B0B356" w14:textId="77777777" w:rsidR="00224102" w:rsidRPr="00A36623" w:rsidRDefault="00224102" w:rsidP="00224102">
            <w:pPr>
              <w:jc w:val="center"/>
              <w:rPr>
                <w:rFonts w:eastAsia="Arial Unicode MS"/>
                <w:sz w:val="14"/>
                <w:szCs w:val="14"/>
              </w:rPr>
            </w:pPr>
          </w:p>
        </w:tc>
        <w:tc>
          <w:tcPr>
            <w:tcW w:w="2037" w:type="dxa"/>
            <w:vAlign w:val="bottom"/>
          </w:tcPr>
          <w:p w14:paraId="72DCA8BB" w14:textId="3CBDEAAD" w:rsidR="00224102" w:rsidRPr="00CE6C92" w:rsidRDefault="00224102" w:rsidP="00224102">
            <w:pPr>
              <w:jc w:val="right"/>
              <w:rPr>
                <w:sz w:val="14"/>
                <w:szCs w:val="14"/>
              </w:rPr>
            </w:pPr>
            <w:r w:rsidRPr="00CE6C92">
              <w:rPr>
                <w:sz w:val="14"/>
                <w:szCs w:val="14"/>
              </w:rPr>
              <w:t>3,194</w:t>
            </w:r>
          </w:p>
        </w:tc>
        <w:tc>
          <w:tcPr>
            <w:tcW w:w="2037" w:type="dxa"/>
            <w:vAlign w:val="bottom"/>
          </w:tcPr>
          <w:p w14:paraId="1641FA83" w14:textId="36773A00" w:rsidR="00224102" w:rsidRPr="00A36623" w:rsidRDefault="00224102" w:rsidP="00224102">
            <w:pPr>
              <w:jc w:val="right"/>
              <w:rPr>
                <w:sz w:val="14"/>
                <w:szCs w:val="14"/>
              </w:rPr>
            </w:pPr>
            <w:r w:rsidRPr="00A36623">
              <w:rPr>
                <w:sz w:val="14"/>
                <w:szCs w:val="14"/>
              </w:rPr>
              <w:t>223</w:t>
            </w:r>
          </w:p>
        </w:tc>
      </w:tr>
      <w:tr w:rsidR="00224102" w:rsidRPr="007C0BA6" w14:paraId="149D97C9" w14:textId="77777777" w:rsidTr="00F142CB">
        <w:tc>
          <w:tcPr>
            <w:tcW w:w="560" w:type="dxa"/>
            <w:vAlign w:val="bottom"/>
          </w:tcPr>
          <w:p w14:paraId="76A0964B"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1.3</w:t>
            </w:r>
          </w:p>
        </w:tc>
        <w:tc>
          <w:tcPr>
            <w:tcW w:w="4861" w:type="dxa"/>
            <w:vAlign w:val="bottom"/>
          </w:tcPr>
          <w:p w14:paraId="09B2C1BF" w14:textId="77777777" w:rsidR="00224102" w:rsidRPr="007C0BA6" w:rsidRDefault="00224102" w:rsidP="005337DE">
            <w:pPr>
              <w:ind w:left="-76"/>
              <w:rPr>
                <w:rFonts w:eastAsia="Arial Unicode MS"/>
                <w:sz w:val="14"/>
                <w:szCs w:val="14"/>
              </w:rPr>
            </w:pPr>
            <w:r w:rsidRPr="007C0BA6">
              <w:rPr>
                <w:sz w:val="14"/>
                <w:szCs w:val="14"/>
              </w:rPr>
              <w:t>Interest Received from Banks</w:t>
            </w:r>
          </w:p>
        </w:tc>
        <w:tc>
          <w:tcPr>
            <w:tcW w:w="851" w:type="dxa"/>
            <w:vAlign w:val="bottom"/>
          </w:tcPr>
          <w:p w14:paraId="29BF71AA" w14:textId="131C90C7" w:rsidR="00224102" w:rsidRPr="00A36623" w:rsidRDefault="00224102" w:rsidP="00224102">
            <w:pPr>
              <w:jc w:val="center"/>
              <w:rPr>
                <w:rFonts w:eastAsia="Arial Unicode MS"/>
                <w:sz w:val="14"/>
                <w:szCs w:val="14"/>
              </w:rPr>
            </w:pPr>
            <w:r w:rsidRPr="00A36623">
              <w:rPr>
                <w:rFonts w:eastAsia="Arial Unicode MS"/>
                <w:sz w:val="14"/>
                <w:szCs w:val="14"/>
              </w:rPr>
              <w:t>IV</w:t>
            </w:r>
            <w:r w:rsidRPr="00A36623">
              <w:rPr>
                <w:rFonts w:eastAsia="Arial Unicode MS"/>
                <w:bCs/>
                <w:sz w:val="14"/>
                <w:szCs w:val="14"/>
              </w:rPr>
              <w:t>-a-2</w:t>
            </w:r>
          </w:p>
        </w:tc>
        <w:tc>
          <w:tcPr>
            <w:tcW w:w="2037" w:type="dxa"/>
            <w:vAlign w:val="bottom"/>
          </w:tcPr>
          <w:p w14:paraId="30783FDB" w14:textId="6285B66D" w:rsidR="00224102" w:rsidRPr="00CE6C92" w:rsidRDefault="00224102" w:rsidP="00224102">
            <w:pPr>
              <w:jc w:val="right"/>
              <w:rPr>
                <w:sz w:val="14"/>
                <w:szCs w:val="14"/>
              </w:rPr>
            </w:pPr>
            <w:r w:rsidRPr="00CE6C92">
              <w:rPr>
                <w:sz w:val="14"/>
                <w:szCs w:val="14"/>
              </w:rPr>
              <w:t>10,474</w:t>
            </w:r>
          </w:p>
        </w:tc>
        <w:tc>
          <w:tcPr>
            <w:tcW w:w="2037" w:type="dxa"/>
            <w:vAlign w:val="bottom"/>
          </w:tcPr>
          <w:p w14:paraId="103677C6" w14:textId="2B443739" w:rsidR="00224102" w:rsidRPr="00A36623" w:rsidRDefault="00224102" w:rsidP="00224102">
            <w:pPr>
              <w:jc w:val="right"/>
              <w:rPr>
                <w:sz w:val="14"/>
                <w:szCs w:val="14"/>
              </w:rPr>
            </w:pPr>
            <w:r w:rsidRPr="00A36623">
              <w:rPr>
                <w:sz w:val="14"/>
                <w:szCs w:val="14"/>
              </w:rPr>
              <w:t>2</w:t>
            </w:r>
            <w:r>
              <w:rPr>
                <w:sz w:val="14"/>
                <w:szCs w:val="14"/>
              </w:rPr>
              <w:t>,</w:t>
            </w:r>
            <w:r w:rsidRPr="00A36623">
              <w:rPr>
                <w:sz w:val="14"/>
                <w:szCs w:val="14"/>
              </w:rPr>
              <w:t>246</w:t>
            </w:r>
          </w:p>
        </w:tc>
      </w:tr>
      <w:tr w:rsidR="00224102" w:rsidRPr="007C0BA6" w14:paraId="0775F768" w14:textId="77777777" w:rsidTr="00F142CB">
        <w:tc>
          <w:tcPr>
            <w:tcW w:w="560" w:type="dxa"/>
            <w:vAlign w:val="bottom"/>
          </w:tcPr>
          <w:p w14:paraId="7CD4BDFA"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1.4</w:t>
            </w:r>
          </w:p>
        </w:tc>
        <w:tc>
          <w:tcPr>
            <w:tcW w:w="4861" w:type="dxa"/>
            <w:vAlign w:val="bottom"/>
          </w:tcPr>
          <w:p w14:paraId="0889165C" w14:textId="77777777" w:rsidR="00224102" w:rsidRPr="007C0BA6" w:rsidRDefault="00224102" w:rsidP="005337DE">
            <w:pPr>
              <w:ind w:left="-76"/>
              <w:rPr>
                <w:rFonts w:eastAsia="Arial Unicode MS"/>
                <w:sz w:val="14"/>
                <w:szCs w:val="14"/>
              </w:rPr>
            </w:pPr>
            <w:r w:rsidRPr="007C0BA6">
              <w:rPr>
                <w:sz w:val="14"/>
                <w:szCs w:val="14"/>
              </w:rPr>
              <w:t>Interest Received from Money Market Transactions</w:t>
            </w:r>
          </w:p>
        </w:tc>
        <w:tc>
          <w:tcPr>
            <w:tcW w:w="851" w:type="dxa"/>
            <w:vAlign w:val="bottom"/>
          </w:tcPr>
          <w:p w14:paraId="0E2B88B0" w14:textId="77777777" w:rsidR="00224102" w:rsidRPr="00A36623" w:rsidRDefault="00224102" w:rsidP="00224102">
            <w:pPr>
              <w:jc w:val="center"/>
              <w:rPr>
                <w:rFonts w:eastAsia="Arial Unicode MS"/>
                <w:sz w:val="14"/>
                <w:szCs w:val="14"/>
              </w:rPr>
            </w:pPr>
          </w:p>
        </w:tc>
        <w:tc>
          <w:tcPr>
            <w:tcW w:w="2037" w:type="dxa"/>
            <w:vAlign w:val="bottom"/>
          </w:tcPr>
          <w:p w14:paraId="3727836E" w14:textId="7D1FED12" w:rsidR="00224102" w:rsidRPr="00CE6C92" w:rsidRDefault="00224102" w:rsidP="00224102">
            <w:pPr>
              <w:jc w:val="right"/>
              <w:rPr>
                <w:sz w:val="14"/>
                <w:szCs w:val="14"/>
              </w:rPr>
            </w:pPr>
            <w:r w:rsidRPr="00CE6C92">
              <w:rPr>
                <w:sz w:val="14"/>
                <w:szCs w:val="14"/>
              </w:rPr>
              <w:t>27,150</w:t>
            </w:r>
          </w:p>
        </w:tc>
        <w:tc>
          <w:tcPr>
            <w:tcW w:w="2037" w:type="dxa"/>
            <w:vAlign w:val="bottom"/>
          </w:tcPr>
          <w:p w14:paraId="01E9F559" w14:textId="67084D21" w:rsidR="00224102" w:rsidRPr="00A36623" w:rsidRDefault="00224102" w:rsidP="00224102">
            <w:pPr>
              <w:jc w:val="right"/>
              <w:rPr>
                <w:sz w:val="14"/>
                <w:szCs w:val="14"/>
              </w:rPr>
            </w:pPr>
            <w:r w:rsidRPr="00A36623">
              <w:rPr>
                <w:sz w:val="14"/>
                <w:szCs w:val="14"/>
              </w:rPr>
              <w:t>990</w:t>
            </w:r>
          </w:p>
        </w:tc>
      </w:tr>
      <w:tr w:rsidR="00224102" w:rsidRPr="007C0BA6" w14:paraId="7B834B9C" w14:textId="77777777" w:rsidTr="00F142CB">
        <w:tc>
          <w:tcPr>
            <w:tcW w:w="560" w:type="dxa"/>
            <w:vAlign w:val="bottom"/>
          </w:tcPr>
          <w:p w14:paraId="53A0FA5E"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1.5</w:t>
            </w:r>
          </w:p>
        </w:tc>
        <w:tc>
          <w:tcPr>
            <w:tcW w:w="4861" w:type="dxa"/>
            <w:vAlign w:val="bottom"/>
          </w:tcPr>
          <w:p w14:paraId="61B1D1B6" w14:textId="77777777" w:rsidR="00224102" w:rsidRPr="007C0BA6" w:rsidRDefault="00224102" w:rsidP="005337DE">
            <w:pPr>
              <w:ind w:left="-76"/>
              <w:rPr>
                <w:rFonts w:eastAsia="Arial Unicode MS"/>
                <w:sz w:val="14"/>
                <w:szCs w:val="14"/>
              </w:rPr>
            </w:pPr>
            <w:r w:rsidRPr="007C0BA6">
              <w:rPr>
                <w:sz w:val="14"/>
                <w:szCs w:val="14"/>
              </w:rPr>
              <w:t>Interest Received from Marketable Securities Portfolio</w:t>
            </w:r>
          </w:p>
        </w:tc>
        <w:tc>
          <w:tcPr>
            <w:tcW w:w="851" w:type="dxa"/>
            <w:vAlign w:val="bottom"/>
          </w:tcPr>
          <w:p w14:paraId="7DC72168" w14:textId="51B2F141" w:rsidR="00224102" w:rsidRPr="00A36623" w:rsidRDefault="00224102" w:rsidP="00224102">
            <w:pPr>
              <w:jc w:val="center"/>
              <w:rPr>
                <w:rFonts w:eastAsia="Arial Unicode MS"/>
                <w:sz w:val="14"/>
                <w:szCs w:val="14"/>
              </w:rPr>
            </w:pPr>
            <w:r w:rsidRPr="00A36623">
              <w:rPr>
                <w:rFonts w:eastAsia="Arial Unicode MS"/>
                <w:sz w:val="14"/>
                <w:szCs w:val="14"/>
              </w:rPr>
              <w:t>IV</w:t>
            </w:r>
            <w:r w:rsidRPr="00A36623">
              <w:rPr>
                <w:rFonts w:eastAsia="Arial Unicode MS"/>
                <w:bCs/>
                <w:sz w:val="14"/>
                <w:szCs w:val="14"/>
              </w:rPr>
              <w:t>-a-3</w:t>
            </w:r>
          </w:p>
        </w:tc>
        <w:tc>
          <w:tcPr>
            <w:tcW w:w="2037" w:type="dxa"/>
            <w:vAlign w:val="bottom"/>
          </w:tcPr>
          <w:p w14:paraId="5B59A15E" w14:textId="13ABEAEF" w:rsidR="00224102" w:rsidRPr="00CE6C92" w:rsidRDefault="00224102" w:rsidP="00224102">
            <w:pPr>
              <w:jc w:val="right"/>
              <w:rPr>
                <w:sz w:val="14"/>
                <w:szCs w:val="14"/>
              </w:rPr>
            </w:pPr>
            <w:r w:rsidRPr="00CE6C92">
              <w:rPr>
                <w:sz w:val="14"/>
                <w:szCs w:val="14"/>
              </w:rPr>
              <w:t>60,853</w:t>
            </w:r>
          </w:p>
        </w:tc>
        <w:tc>
          <w:tcPr>
            <w:tcW w:w="2037" w:type="dxa"/>
            <w:vAlign w:val="bottom"/>
          </w:tcPr>
          <w:p w14:paraId="18908677" w14:textId="233827B5" w:rsidR="00224102" w:rsidRPr="00A36623" w:rsidRDefault="00224102" w:rsidP="00224102">
            <w:pPr>
              <w:jc w:val="right"/>
              <w:rPr>
                <w:sz w:val="14"/>
                <w:szCs w:val="14"/>
              </w:rPr>
            </w:pPr>
            <w:r w:rsidRPr="00A36623">
              <w:rPr>
                <w:sz w:val="14"/>
                <w:szCs w:val="14"/>
              </w:rPr>
              <w:t>174</w:t>
            </w:r>
            <w:r>
              <w:rPr>
                <w:sz w:val="14"/>
                <w:szCs w:val="14"/>
              </w:rPr>
              <w:t>,</w:t>
            </w:r>
            <w:r w:rsidRPr="00A36623">
              <w:rPr>
                <w:sz w:val="14"/>
                <w:szCs w:val="14"/>
              </w:rPr>
              <w:t>028</w:t>
            </w:r>
          </w:p>
        </w:tc>
      </w:tr>
      <w:tr w:rsidR="00224102" w:rsidRPr="007C0BA6" w14:paraId="2DAA0297" w14:textId="77777777" w:rsidTr="00F142CB">
        <w:tc>
          <w:tcPr>
            <w:tcW w:w="560" w:type="dxa"/>
            <w:vAlign w:val="bottom"/>
          </w:tcPr>
          <w:p w14:paraId="76F88B57"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1.5.1</w:t>
            </w:r>
          </w:p>
        </w:tc>
        <w:tc>
          <w:tcPr>
            <w:tcW w:w="4861" w:type="dxa"/>
            <w:vAlign w:val="bottom"/>
          </w:tcPr>
          <w:p w14:paraId="3806898F" w14:textId="77777777" w:rsidR="00224102" w:rsidRPr="007C0BA6" w:rsidRDefault="00224102" w:rsidP="005337DE">
            <w:pPr>
              <w:ind w:left="-76"/>
              <w:rPr>
                <w:rFonts w:eastAsia="Arial Unicode MS"/>
                <w:sz w:val="14"/>
                <w:szCs w:val="14"/>
              </w:rPr>
            </w:pPr>
            <w:r w:rsidRPr="007C0BA6">
              <w:rPr>
                <w:rFonts w:eastAsia="Arial Unicode MS"/>
                <w:sz w:val="14"/>
                <w:szCs w:val="14"/>
              </w:rPr>
              <w:t>Trading Financial Assets</w:t>
            </w:r>
          </w:p>
        </w:tc>
        <w:tc>
          <w:tcPr>
            <w:tcW w:w="851" w:type="dxa"/>
            <w:vAlign w:val="bottom"/>
          </w:tcPr>
          <w:p w14:paraId="6DD7FDA6" w14:textId="77777777" w:rsidR="00224102" w:rsidRPr="00A36623" w:rsidRDefault="00224102" w:rsidP="00224102">
            <w:pPr>
              <w:jc w:val="center"/>
              <w:rPr>
                <w:rFonts w:eastAsia="Arial Unicode MS"/>
                <w:sz w:val="14"/>
                <w:szCs w:val="14"/>
              </w:rPr>
            </w:pPr>
          </w:p>
        </w:tc>
        <w:tc>
          <w:tcPr>
            <w:tcW w:w="2037" w:type="dxa"/>
            <w:vAlign w:val="bottom"/>
          </w:tcPr>
          <w:p w14:paraId="122ACD2E" w14:textId="18EBB626" w:rsidR="00224102" w:rsidRPr="00CE6C92" w:rsidRDefault="00224102" w:rsidP="00224102">
            <w:pPr>
              <w:jc w:val="right"/>
              <w:rPr>
                <w:sz w:val="14"/>
                <w:szCs w:val="14"/>
              </w:rPr>
            </w:pPr>
            <w:r w:rsidRPr="00CE6C92">
              <w:rPr>
                <w:sz w:val="14"/>
                <w:szCs w:val="14"/>
              </w:rPr>
              <w:t>862</w:t>
            </w:r>
          </w:p>
        </w:tc>
        <w:tc>
          <w:tcPr>
            <w:tcW w:w="2037" w:type="dxa"/>
            <w:vAlign w:val="bottom"/>
          </w:tcPr>
          <w:p w14:paraId="0F0E2B91" w14:textId="0DACC1E4" w:rsidR="00224102" w:rsidRPr="00A36623" w:rsidRDefault="00224102" w:rsidP="00224102">
            <w:pPr>
              <w:jc w:val="right"/>
              <w:rPr>
                <w:sz w:val="14"/>
                <w:szCs w:val="14"/>
              </w:rPr>
            </w:pPr>
            <w:r w:rsidRPr="00A36623">
              <w:rPr>
                <w:sz w:val="14"/>
                <w:szCs w:val="14"/>
              </w:rPr>
              <w:t>11</w:t>
            </w:r>
            <w:r>
              <w:rPr>
                <w:sz w:val="14"/>
                <w:szCs w:val="14"/>
              </w:rPr>
              <w:t>,</w:t>
            </w:r>
            <w:r w:rsidRPr="00A36623">
              <w:rPr>
                <w:sz w:val="14"/>
                <w:szCs w:val="14"/>
              </w:rPr>
              <w:t>028</w:t>
            </w:r>
          </w:p>
        </w:tc>
      </w:tr>
      <w:tr w:rsidR="00224102" w:rsidRPr="007C0BA6" w14:paraId="6AF8EB04" w14:textId="77777777" w:rsidTr="00F142CB">
        <w:tc>
          <w:tcPr>
            <w:tcW w:w="560" w:type="dxa"/>
            <w:vAlign w:val="bottom"/>
          </w:tcPr>
          <w:p w14:paraId="6E321512"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1.5.2</w:t>
            </w:r>
          </w:p>
        </w:tc>
        <w:tc>
          <w:tcPr>
            <w:tcW w:w="4861" w:type="dxa"/>
            <w:vAlign w:val="bottom"/>
          </w:tcPr>
          <w:p w14:paraId="125F58EA" w14:textId="77777777" w:rsidR="00224102" w:rsidRPr="007C0BA6" w:rsidRDefault="00224102" w:rsidP="005337DE">
            <w:pPr>
              <w:ind w:left="-76"/>
              <w:rPr>
                <w:rFonts w:eastAsia="Arial Unicode MS"/>
                <w:sz w:val="14"/>
                <w:szCs w:val="14"/>
              </w:rPr>
            </w:pPr>
            <w:r w:rsidRPr="007C0BA6">
              <w:rPr>
                <w:sz w:val="14"/>
                <w:szCs w:val="14"/>
              </w:rPr>
              <w:t>Financial Assets at Fair Value through Profit or Loss</w:t>
            </w:r>
          </w:p>
        </w:tc>
        <w:tc>
          <w:tcPr>
            <w:tcW w:w="851" w:type="dxa"/>
            <w:vAlign w:val="bottom"/>
          </w:tcPr>
          <w:p w14:paraId="6EE2C8C5" w14:textId="77777777" w:rsidR="00224102" w:rsidRPr="00A36623" w:rsidRDefault="00224102" w:rsidP="00224102">
            <w:pPr>
              <w:jc w:val="center"/>
              <w:rPr>
                <w:rFonts w:eastAsia="Arial Unicode MS"/>
                <w:sz w:val="14"/>
                <w:szCs w:val="14"/>
              </w:rPr>
            </w:pPr>
          </w:p>
        </w:tc>
        <w:tc>
          <w:tcPr>
            <w:tcW w:w="2037" w:type="dxa"/>
            <w:vAlign w:val="bottom"/>
          </w:tcPr>
          <w:p w14:paraId="0D3D1D83" w14:textId="35B81692" w:rsidR="00224102" w:rsidRPr="00CE6C92" w:rsidRDefault="00224102" w:rsidP="00224102">
            <w:pPr>
              <w:jc w:val="right"/>
              <w:rPr>
                <w:sz w:val="14"/>
                <w:szCs w:val="14"/>
              </w:rPr>
            </w:pPr>
            <w:r w:rsidRPr="00CE6C92">
              <w:rPr>
                <w:sz w:val="14"/>
                <w:szCs w:val="14"/>
              </w:rPr>
              <w:t>-</w:t>
            </w:r>
          </w:p>
        </w:tc>
        <w:tc>
          <w:tcPr>
            <w:tcW w:w="2037" w:type="dxa"/>
            <w:vAlign w:val="bottom"/>
          </w:tcPr>
          <w:p w14:paraId="7CA1EC73" w14:textId="1BED9B68" w:rsidR="00224102" w:rsidRPr="00A36623" w:rsidRDefault="00224102" w:rsidP="00224102">
            <w:pPr>
              <w:jc w:val="right"/>
              <w:rPr>
                <w:sz w:val="14"/>
                <w:szCs w:val="14"/>
              </w:rPr>
            </w:pPr>
            <w:r w:rsidRPr="00A36623">
              <w:rPr>
                <w:sz w:val="14"/>
                <w:szCs w:val="14"/>
              </w:rPr>
              <w:t>-</w:t>
            </w:r>
          </w:p>
        </w:tc>
      </w:tr>
      <w:tr w:rsidR="00224102" w:rsidRPr="007C0BA6" w14:paraId="2B6DB238" w14:textId="77777777" w:rsidTr="00F142CB">
        <w:tc>
          <w:tcPr>
            <w:tcW w:w="560" w:type="dxa"/>
            <w:vAlign w:val="bottom"/>
          </w:tcPr>
          <w:p w14:paraId="6A5CE060"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1.5.3</w:t>
            </w:r>
          </w:p>
        </w:tc>
        <w:tc>
          <w:tcPr>
            <w:tcW w:w="4861" w:type="dxa"/>
            <w:vAlign w:val="bottom"/>
          </w:tcPr>
          <w:p w14:paraId="0818C0AF" w14:textId="77777777" w:rsidR="00224102" w:rsidRPr="007C0BA6" w:rsidRDefault="00224102" w:rsidP="005337DE">
            <w:pPr>
              <w:ind w:left="-76"/>
              <w:rPr>
                <w:rFonts w:eastAsia="Arial Unicode MS"/>
                <w:sz w:val="14"/>
                <w:szCs w:val="14"/>
              </w:rPr>
            </w:pPr>
            <w:r w:rsidRPr="007C0BA6">
              <w:rPr>
                <w:rFonts w:eastAsia="Arial Unicode MS"/>
                <w:sz w:val="14"/>
                <w:szCs w:val="14"/>
              </w:rPr>
              <w:t>Available-for-sale Financial Assets</w:t>
            </w:r>
          </w:p>
        </w:tc>
        <w:tc>
          <w:tcPr>
            <w:tcW w:w="851" w:type="dxa"/>
            <w:vAlign w:val="bottom"/>
          </w:tcPr>
          <w:p w14:paraId="38A4AC14" w14:textId="77777777" w:rsidR="00224102" w:rsidRPr="00A36623" w:rsidRDefault="00224102" w:rsidP="00224102">
            <w:pPr>
              <w:jc w:val="center"/>
              <w:rPr>
                <w:rFonts w:eastAsia="Arial Unicode MS"/>
                <w:sz w:val="14"/>
                <w:szCs w:val="14"/>
              </w:rPr>
            </w:pPr>
          </w:p>
        </w:tc>
        <w:tc>
          <w:tcPr>
            <w:tcW w:w="2037" w:type="dxa"/>
            <w:vAlign w:val="bottom"/>
          </w:tcPr>
          <w:p w14:paraId="206A3F14" w14:textId="2889871C" w:rsidR="00224102" w:rsidRPr="00CE6C92" w:rsidRDefault="00224102" w:rsidP="00224102">
            <w:pPr>
              <w:jc w:val="right"/>
              <w:rPr>
                <w:sz w:val="14"/>
                <w:szCs w:val="14"/>
              </w:rPr>
            </w:pPr>
            <w:r w:rsidRPr="00CE6C92">
              <w:rPr>
                <w:sz w:val="14"/>
                <w:szCs w:val="14"/>
              </w:rPr>
              <w:t>59,991</w:t>
            </w:r>
          </w:p>
        </w:tc>
        <w:tc>
          <w:tcPr>
            <w:tcW w:w="2037" w:type="dxa"/>
            <w:vAlign w:val="bottom"/>
          </w:tcPr>
          <w:p w14:paraId="2702A481" w14:textId="0D8A2151" w:rsidR="00224102" w:rsidRPr="00A36623" w:rsidRDefault="00224102" w:rsidP="00224102">
            <w:pPr>
              <w:jc w:val="right"/>
              <w:rPr>
                <w:sz w:val="14"/>
                <w:szCs w:val="14"/>
              </w:rPr>
            </w:pPr>
            <w:r w:rsidRPr="00A36623">
              <w:rPr>
                <w:sz w:val="14"/>
                <w:szCs w:val="14"/>
              </w:rPr>
              <w:t>43</w:t>
            </w:r>
            <w:r>
              <w:rPr>
                <w:sz w:val="14"/>
                <w:szCs w:val="14"/>
              </w:rPr>
              <w:t>,</w:t>
            </w:r>
            <w:r w:rsidRPr="00A36623">
              <w:rPr>
                <w:sz w:val="14"/>
                <w:szCs w:val="14"/>
              </w:rPr>
              <w:t>579</w:t>
            </w:r>
          </w:p>
        </w:tc>
      </w:tr>
      <w:tr w:rsidR="00224102" w:rsidRPr="007C0BA6" w14:paraId="696C29D7" w14:textId="77777777" w:rsidTr="00F142CB">
        <w:tc>
          <w:tcPr>
            <w:tcW w:w="560" w:type="dxa"/>
            <w:vAlign w:val="bottom"/>
          </w:tcPr>
          <w:p w14:paraId="2A5AE184"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1.5.4</w:t>
            </w:r>
          </w:p>
        </w:tc>
        <w:tc>
          <w:tcPr>
            <w:tcW w:w="4861" w:type="dxa"/>
            <w:vAlign w:val="bottom"/>
          </w:tcPr>
          <w:p w14:paraId="7B8A5041" w14:textId="77777777" w:rsidR="00224102" w:rsidRPr="007C0BA6" w:rsidRDefault="00224102" w:rsidP="005337DE">
            <w:pPr>
              <w:ind w:left="-76"/>
              <w:rPr>
                <w:rFonts w:eastAsia="Arial Unicode MS"/>
                <w:sz w:val="14"/>
                <w:szCs w:val="14"/>
              </w:rPr>
            </w:pPr>
            <w:r w:rsidRPr="007C0BA6">
              <w:rPr>
                <w:rFonts w:eastAsia="Arial Unicode MS"/>
                <w:sz w:val="14"/>
                <w:szCs w:val="14"/>
              </w:rPr>
              <w:t>Held-to-maturity Investments</w:t>
            </w:r>
          </w:p>
        </w:tc>
        <w:tc>
          <w:tcPr>
            <w:tcW w:w="851" w:type="dxa"/>
            <w:vAlign w:val="bottom"/>
          </w:tcPr>
          <w:p w14:paraId="0435BC83" w14:textId="77777777" w:rsidR="00224102" w:rsidRPr="00A36623" w:rsidRDefault="00224102" w:rsidP="00224102">
            <w:pPr>
              <w:jc w:val="center"/>
              <w:rPr>
                <w:rFonts w:eastAsia="Arial Unicode MS"/>
                <w:sz w:val="14"/>
                <w:szCs w:val="14"/>
              </w:rPr>
            </w:pPr>
          </w:p>
        </w:tc>
        <w:tc>
          <w:tcPr>
            <w:tcW w:w="2037" w:type="dxa"/>
            <w:vAlign w:val="bottom"/>
          </w:tcPr>
          <w:p w14:paraId="1C8D9A79" w14:textId="5F624439" w:rsidR="00224102" w:rsidRPr="00CE6C92" w:rsidRDefault="00224102" w:rsidP="00224102">
            <w:pPr>
              <w:jc w:val="right"/>
              <w:rPr>
                <w:sz w:val="14"/>
                <w:szCs w:val="14"/>
              </w:rPr>
            </w:pPr>
            <w:r w:rsidRPr="00CE6C92">
              <w:rPr>
                <w:sz w:val="14"/>
                <w:szCs w:val="14"/>
              </w:rPr>
              <w:t>-</w:t>
            </w:r>
          </w:p>
        </w:tc>
        <w:tc>
          <w:tcPr>
            <w:tcW w:w="2037" w:type="dxa"/>
            <w:vAlign w:val="bottom"/>
          </w:tcPr>
          <w:p w14:paraId="7F6BE63A" w14:textId="4F5353E7" w:rsidR="00224102" w:rsidRPr="00A36623" w:rsidRDefault="00224102" w:rsidP="00224102">
            <w:pPr>
              <w:jc w:val="right"/>
              <w:rPr>
                <w:sz w:val="14"/>
                <w:szCs w:val="14"/>
              </w:rPr>
            </w:pPr>
            <w:r w:rsidRPr="00A36623">
              <w:rPr>
                <w:sz w:val="14"/>
                <w:szCs w:val="14"/>
              </w:rPr>
              <w:t>119</w:t>
            </w:r>
            <w:r>
              <w:rPr>
                <w:sz w:val="14"/>
                <w:szCs w:val="14"/>
              </w:rPr>
              <w:t>,</w:t>
            </w:r>
            <w:r w:rsidRPr="00A36623">
              <w:rPr>
                <w:sz w:val="14"/>
                <w:szCs w:val="14"/>
              </w:rPr>
              <w:t>421</w:t>
            </w:r>
          </w:p>
        </w:tc>
      </w:tr>
      <w:tr w:rsidR="00224102" w:rsidRPr="007C0BA6" w14:paraId="5963ACE3" w14:textId="77777777" w:rsidTr="00F142CB">
        <w:tc>
          <w:tcPr>
            <w:tcW w:w="560" w:type="dxa"/>
            <w:vAlign w:val="bottom"/>
          </w:tcPr>
          <w:p w14:paraId="758E1729"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1.6</w:t>
            </w:r>
          </w:p>
        </w:tc>
        <w:tc>
          <w:tcPr>
            <w:tcW w:w="4861" w:type="dxa"/>
            <w:vAlign w:val="bottom"/>
          </w:tcPr>
          <w:p w14:paraId="671B7BF9" w14:textId="77777777" w:rsidR="00224102" w:rsidRPr="007C0BA6" w:rsidRDefault="00224102" w:rsidP="005337DE">
            <w:pPr>
              <w:ind w:left="-76"/>
              <w:rPr>
                <w:rFonts w:eastAsia="Arial Unicode MS"/>
                <w:sz w:val="14"/>
                <w:szCs w:val="14"/>
              </w:rPr>
            </w:pPr>
            <w:r w:rsidRPr="007C0BA6">
              <w:rPr>
                <w:rFonts w:eastAsia="Arial Unicode MS"/>
                <w:sz w:val="14"/>
                <w:szCs w:val="14"/>
              </w:rPr>
              <w:t>Financial Lease Income</w:t>
            </w:r>
          </w:p>
        </w:tc>
        <w:tc>
          <w:tcPr>
            <w:tcW w:w="851" w:type="dxa"/>
            <w:vAlign w:val="bottom"/>
          </w:tcPr>
          <w:p w14:paraId="246FF7DE" w14:textId="77777777" w:rsidR="00224102" w:rsidRPr="00A36623" w:rsidRDefault="00224102" w:rsidP="00224102">
            <w:pPr>
              <w:jc w:val="center"/>
              <w:rPr>
                <w:rFonts w:eastAsia="Arial Unicode MS"/>
                <w:sz w:val="14"/>
                <w:szCs w:val="14"/>
              </w:rPr>
            </w:pPr>
          </w:p>
        </w:tc>
        <w:tc>
          <w:tcPr>
            <w:tcW w:w="2037" w:type="dxa"/>
            <w:vAlign w:val="bottom"/>
          </w:tcPr>
          <w:p w14:paraId="7684D583" w14:textId="4434E293" w:rsidR="00224102" w:rsidRPr="00CE6C92" w:rsidRDefault="00224102" w:rsidP="00224102">
            <w:pPr>
              <w:jc w:val="right"/>
              <w:rPr>
                <w:sz w:val="14"/>
                <w:szCs w:val="14"/>
              </w:rPr>
            </w:pPr>
            <w:r w:rsidRPr="00CE6C92">
              <w:rPr>
                <w:sz w:val="14"/>
                <w:szCs w:val="14"/>
              </w:rPr>
              <w:t>73,121</w:t>
            </w:r>
          </w:p>
        </w:tc>
        <w:tc>
          <w:tcPr>
            <w:tcW w:w="2037" w:type="dxa"/>
            <w:vAlign w:val="bottom"/>
          </w:tcPr>
          <w:p w14:paraId="610008EF" w14:textId="5B33C36F" w:rsidR="00224102" w:rsidRPr="00A36623" w:rsidRDefault="00224102" w:rsidP="00224102">
            <w:pPr>
              <w:jc w:val="right"/>
              <w:rPr>
                <w:sz w:val="14"/>
                <w:szCs w:val="14"/>
              </w:rPr>
            </w:pPr>
            <w:r w:rsidRPr="00A36623">
              <w:rPr>
                <w:sz w:val="14"/>
                <w:szCs w:val="14"/>
              </w:rPr>
              <w:t>54</w:t>
            </w:r>
            <w:r>
              <w:rPr>
                <w:sz w:val="14"/>
                <w:szCs w:val="14"/>
              </w:rPr>
              <w:t>,</w:t>
            </w:r>
            <w:r w:rsidRPr="00A36623">
              <w:rPr>
                <w:sz w:val="14"/>
                <w:szCs w:val="14"/>
              </w:rPr>
              <w:t>406</w:t>
            </w:r>
          </w:p>
        </w:tc>
      </w:tr>
      <w:tr w:rsidR="00224102" w:rsidRPr="007C0BA6" w14:paraId="3E6730E8" w14:textId="77777777" w:rsidTr="00F142CB">
        <w:tc>
          <w:tcPr>
            <w:tcW w:w="560" w:type="dxa"/>
            <w:vAlign w:val="bottom"/>
          </w:tcPr>
          <w:p w14:paraId="5FEC682A"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1.7</w:t>
            </w:r>
          </w:p>
        </w:tc>
        <w:tc>
          <w:tcPr>
            <w:tcW w:w="4861" w:type="dxa"/>
            <w:vAlign w:val="bottom"/>
          </w:tcPr>
          <w:p w14:paraId="0B64FC16" w14:textId="77777777" w:rsidR="00224102" w:rsidRPr="007C0BA6" w:rsidRDefault="00224102" w:rsidP="005337DE">
            <w:pPr>
              <w:ind w:left="-76"/>
              <w:rPr>
                <w:rFonts w:eastAsia="Arial Unicode MS"/>
                <w:sz w:val="14"/>
                <w:szCs w:val="14"/>
              </w:rPr>
            </w:pPr>
            <w:r w:rsidRPr="007C0BA6">
              <w:rPr>
                <w:rFonts w:eastAsia="Arial Unicode MS"/>
                <w:sz w:val="14"/>
                <w:szCs w:val="14"/>
              </w:rPr>
              <w:t>Other Interest Income</w:t>
            </w:r>
          </w:p>
        </w:tc>
        <w:tc>
          <w:tcPr>
            <w:tcW w:w="851" w:type="dxa"/>
            <w:vAlign w:val="bottom"/>
          </w:tcPr>
          <w:p w14:paraId="3C278FE4" w14:textId="77777777" w:rsidR="00224102" w:rsidRPr="00A36623" w:rsidRDefault="00224102" w:rsidP="00224102">
            <w:pPr>
              <w:jc w:val="center"/>
              <w:rPr>
                <w:rFonts w:eastAsia="Arial Unicode MS"/>
                <w:sz w:val="14"/>
                <w:szCs w:val="14"/>
              </w:rPr>
            </w:pPr>
          </w:p>
        </w:tc>
        <w:tc>
          <w:tcPr>
            <w:tcW w:w="2037" w:type="dxa"/>
            <w:vAlign w:val="bottom"/>
          </w:tcPr>
          <w:p w14:paraId="54C7E4A2" w14:textId="27EB5FFB" w:rsidR="00224102" w:rsidRPr="00CE6C92" w:rsidRDefault="00224102" w:rsidP="00224102">
            <w:pPr>
              <w:jc w:val="right"/>
              <w:rPr>
                <w:sz w:val="14"/>
                <w:szCs w:val="14"/>
              </w:rPr>
            </w:pPr>
            <w:r w:rsidRPr="00CE6C92">
              <w:rPr>
                <w:sz w:val="14"/>
                <w:szCs w:val="14"/>
              </w:rPr>
              <w:t>5,896</w:t>
            </w:r>
          </w:p>
        </w:tc>
        <w:tc>
          <w:tcPr>
            <w:tcW w:w="2037" w:type="dxa"/>
            <w:vAlign w:val="bottom"/>
          </w:tcPr>
          <w:p w14:paraId="139B0DA5" w14:textId="72F5C3C9" w:rsidR="00224102" w:rsidRPr="00A36623" w:rsidRDefault="00224102" w:rsidP="00224102">
            <w:pPr>
              <w:jc w:val="right"/>
              <w:rPr>
                <w:sz w:val="14"/>
                <w:szCs w:val="14"/>
              </w:rPr>
            </w:pPr>
            <w:r w:rsidRPr="00A36623">
              <w:rPr>
                <w:sz w:val="14"/>
                <w:szCs w:val="14"/>
              </w:rPr>
              <w:t>7</w:t>
            </w:r>
            <w:r>
              <w:rPr>
                <w:sz w:val="14"/>
                <w:szCs w:val="14"/>
              </w:rPr>
              <w:t>,</w:t>
            </w:r>
            <w:r w:rsidRPr="00A36623">
              <w:rPr>
                <w:sz w:val="14"/>
                <w:szCs w:val="14"/>
              </w:rPr>
              <w:t>881</w:t>
            </w:r>
          </w:p>
        </w:tc>
      </w:tr>
      <w:tr w:rsidR="00224102" w:rsidRPr="007C0BA6" w14:paraId="1C0CCE52" w14:textId="77777777" w:rsidTr="00F142CB">
        <w:tc>
          <w:tcPr>
            <w:tcW w:w="560" w:type="dxa"/>
            <w:vAlign w:val="bottom"/>
          </w:tcPr>
          <w:p w14:paraId="17CC1671"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II.</w:t>
            </w:r>
          </w:p>
        </w:tc>
        <w:tc>
          <w:tcPr>
            <w:tcW w:w="4861" w:type="dxa"/>
            <w:vAlign w:val="bottom"/>
          </w:tcPr>
          <w:p w14:paraId="0B859E95" w14:textId="77777777" w:rsidR="00224102" w:rsidRPr="007C0BA6" w:rsidRDefault="00224102" w:rsidP="005337DE">
            <w:pPr>
              <w:ind w:left="-76"/>
              <w:rPr>
                <w:rFonts w:eastAsia="Arial Unicode MS"/>
                <w:b/>
                <w:sz w:val="14"/>
                <w:szCs w:val="14"/>
              </w:rPr>
            </w:pPr>
            <w:r w:rsidRPr="007C0BA6">
              <w:rPr>
                <w:rFonts w:eastAsia="Arial Unicode MS"/>
                <w:b/>
                <w:sz w:val="14"/>
                <w:szCs w:val="14"/>
              </w:rPr>
              <w:t>INTEREST EXPENSE</w:t>
            </w:r>
          </w:p>
        </w:tc>
        <w:tc>
          <w:tcPr>
            <w:tcW w:w="851" w:type="dxa"/>
            <w:vAlign w:val="bottom"/>
          </w:tcPr>
          <w:p w14:paraId="20217014" w14:textId="5E3D3B65" w:rsidR="00224102" w:rsidRPr="00A36623" w:rsidRDefault="00224102" w:rsidP="00224102">
            <w:pPr>
              <w:jc w:val="center"/>
              <w:rPr>
                <w:rFonts w:eastAsia="Arial Unicode MS"/>
                <w:sz w:val="14"/>
                <w:szCs w:val="14"/>
              </w:rPr>
            </w:pPr>
            <w:r w:rsidRPr="00A36623">
              <w:rPr>
                <w:rFonts w:eastAsia="Arial Unicode MS"/>
                <w:b/>
                <w:bCs/>
                <w:sz w:val="14"/>
                <w:szCs w:val="14"/>
              </w:rPr>
              <w:t>IV-b</w:t>
            </w:r>
          </w:p>
        </w:tc>
        <w:tc>
          <w:tcPr>
            <w:tcW w:w="2037" w:type="dxa"/>
            <w:vAlign w:val="bottom"/>
          </w:tcPr>
          <w:p w14:paraId="3DD580B7" w14:textId="11ED72F5" w:rsidR="00224102" w:rsidRPr="00CE6C92" w:rsidRDefault="00224102" w:rsidP="00224102">
            <w:pPr>
              <w:jc w:val="right"/>
              <w:rPr>
                <w:b/>
                <w:bCs/>
                <w:sz w:val="14"/>
                <w:szCs w:val="14"/>
              </w:rPr>
            </w:pPr>
            <w:r w:rsidRPr="00CE6C92">
              <w:rPr>
                <w:b/>
                <w:bCs/>
                <w:sz w:val="14"/>
                <w:szCs w:val="14"/>
              </w:rPr>
              <w:t>601,929</w:t>
            </w:r>
          </w:p>
        </w:tc>
        <w:tc>
          <w:tcPr>
            <w:tcW w:w="2037" w:type="dxa"/>
            <w:vAlign w:val="bottom"/>
          </w:tcPr>
          <w:p w14:paraId="42B7B0F7" w14:textId="400E285D" w:rsidR="00224102" w:rsidRPr="00A36623" w:rsidRDefault="00224102" w:rsidP="00224102">
            <w:pPr>
              <w:jc w:val="right"/>
              <w:rPr>
                <w:b/>
                <w:sz w:val="14"/>
                <w:szCs w:val="14"/>
              </w:rPr>
            </w:pPr>
            <w:r w:rsidRPr="00A36623">
              <w:rPr>
                <w:b/>
                <w:sz w:val="14"/>
                <w:szCs w:val="14"/>
              </w:rPr>
              <w:t>627</w:t>
            </w:r>
            <w:r>
              <w:rPr>
                <w:b/>
                <w:sz w:val="14"/>
                <w:szCs w:val="14"/>
              </w:rPr>
              <w:t>,</w:t>
            </w:r>
            <w:r w:rsidRPr="00A36623">
              <w:rPr>
                <w:b/>
                <w:sz w:val="14"/>
                <w:szCs w:val="14"/>
              </w:rPr>
              <w:t>752</w:t>
            </w:r>
          </w:p>
        </w:tc>
      </w:tr>
      <w:tr w:rsidR="00224102" w:rsidRPr="007C0BA6" w14:paraId="43C33D0C" w14:textId="77777777" w:rsidTr="00F142CB">
        <w:tc>
          <w:tcPr>
            <w:tcW w:w="560" w:type="dxa"/>
            <w:vAlign w:val="bottom"/>
          </w:tcPr>
          <w:p w14:paraId="3253EA6B"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2.1</w:t>
            </w:r>
          </w:p>
        </w:tc>
        <w:tc>
          <w:tcPr>
            <w:tcW w:w="4861" w:type="dxa"/>
            <w:vAlign w:val="bottom"/>
          </w:tcPr>
          <w:p w14:paraId="5854E16A" w14:textId="77777777" w:rsidR="00224102" w:rsidRPr="007C0BA6" w:rsidRDefault="00224102" w:rsidP="005337DE">
            <w:pPr>
              <w:ind w:left="-76"/>
              <w:rPr>
                <w:rFonts w:eastAsia="Arial Unicode MS"/>
                <w:sz w:val="14"/>
                <w:szCs w:val="14"/>
              </w:rPr>
            </w:pPr>
            <w:r w:rsidRPr="007C0BA6">
              <w:rPr>
                <w:rFonts w:eastAsia="Arial Unicode MS"/>
                <w:sz w:val="14"/>
                <w:szCs w:val="14"/>
              </w:rPr>
              <w:t xml:space="preserve">Interest on Deposits </w:t>
            </w:r>
          </w:p>
        </w:tc>
        <w:tc>
          <w:tcPr>
            <w:tcW w:w="851" w:type="dxa"/>
            <w:vAlign w:val="bottom"/>
          </w:tcPr>
          <w:p w14:paraId="4B58717B" w14:textId="77777777" w:rsidR="00224102" w:rsidRPr="00A36623" w:rsidRDefault="00224102" w:rsidP="00224102">
            <w:pPr>
              <w:jc w:val="center"/>
              <w:rPr>
                <w:rFonts w:eastAsia="Arial Unicode MS"/>
                <w:sz w:val="14"/>
                <w:szCs w:val="14"/>
              </w:rPr>
            </w:pPr>
          </w:p>
        </w:tc>
        <w:tc>
          <w:tcPr>
            <w:tcW w:w="2037" w:type="dxa"/>
            <w:vAlign w:val="bottom"/>
          </w:tcPr>
          <w:p w14:paraId="1B064A96" w14:textId="062FC3B8" w:rsidR="00224102" w:rsidRPr="00CE6C92" w:rsidRDefault="00224102" w:rsidP="00224102">
            <w:pPr>
              <w:jc w:val="right"/>
              <w:rPr>
                <w:sz w:val="14"/>
                <w:szCs w:val="14"/>
              </w:rPr>
            </w:pPr>
            <w:r w:rsidRPr="00CE6C92">
              <w:rPr>
                <w:sz w:val="14"/>
                <w:szCs w:val="14"/>
              </w:rPr>
              <w:t>416,476</w:t>
            </w:r>
          </w:p>
        </w:tc>
        <w:tc>
          <w:tcPr>
            <w:tcW w:w="2037" w:type="dxa"/>
            <w:vAlign w:val="bottom"/>
          </w:tcPr>
          <w:p w14:paraId="5B681A3B" w14:textId="1158C4A6" w:rsidR="00224102" w:rsidRPr="00A36623" w:rsidRDefault="00224102" w:rsidP="00224102">
            <w:pPr>
              <w:jc w:val="right"/>
              <w:rPr>
                <w:sz w:val="14"/>
                <w:szCs w:val="14"/>
              </w:rPr>
            </w:pPr>
            <w:r w:rsidRPr="00A36623">
              <w:rPr>
                <w:sz w:val="14"/>
                <w:szCs w:val="14"/>
              </w:rPr>
              <w:t>399</w:t>
            </w:r>
            <w:r>
              <w:rPr>
                <w:sz w:val="14"/>
                <w:szCs w:val="14"/>
              </w:rPr>
              <w:t>,</w:t>
            </w:r>
            <w:r w:rsidRPr="00A36623">
              <w:rPr>
                <w:sz w:val="14"/>
                <w:szCs w:val="14"/>
              </w:rPr>
              <w:t>660</w:t>
            </w:r>
          </w:p>
        </w:tc>
      </w:tr>
      <w:tr w:rsidR="00224102" w:rsidRPr="007C0BA6" w14:paraId="55CA8F5D" w14:textId="77777777" w:rsidTr="00F142CB">
        <w:tc>
          <w:tcPr>
            <w:tcW w:w="560" w:type="dxa"/>
            <w:vAlign w:val="bottom"/>
          </w:tcPr>
          <w:p w14:paraId="3409D99D"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2.2</w:t>
            </w:r>
          </w:p>
        </w:tc>
        <w:tc>
          <w:tcPr>
            <w:tcW w:w="4861" w:type="dxa"/>
            <w:vAlign w:val="bottom"/>
          </w:tcPr>
          <w:p w14:paraId="78EE3738" w14:textId="77777777" w:rsidR="00224102" w:rsidRPr="007C0BA6" w:rsidRDefault="00224102" w:rsidP="005337DE">
            <w:pPr>
              <w:ind w:left="-76"/>
              <w:rPr>
                <w:rFonts w:eastAsia="Arial Unicode MS"/>
                <w:sz w:val="14"/>
                <w:szCs w:val="14"/>
              </w:rPr>
            </w:pPr>
            <w:r w:rsidRPr="007C0BA6">
              <w:rPr>
                <w:rFonts w:eastAsia="Arial Unicode MS"/>
                <w:sz w:val="14"/>
                <w:szCs w:val="14"/>
              </w:rPr>
              <w:t xml:space="preserve">Interest on Funds Borrowed </w:t>
            </w:r>
          </w:p>
        </w:tc>
        <w:tc>
          <w:tcPr>
            <w:tcW w:w="851" w:type="dxa"/>
            <w:vAlign w:val="bottom"/>
          </w:tcPr>
          <w:p w14:paraId="65C961B8" w14:textId="5738A555" w:rsidR="00224102" w:rsidRPr="00A36623" w:rsidRDefault="00224102" w:rsidP="00224102">
            <w:pPr>
              <w:jc w:val="center"/>
              <w:rPr>
                <w:rFonts w:eastAsia="Arial Unicode MS"/>
                <w:sz w:val="14"/>
                <w:szCs w:val="14"/>
              </w:rPr>
            </w:pPr>
            <w:r w:rsidRPr="00A36623">
              <w:rPr>
                <w:rFonts w:eastAsia="Arial Unicode MS"/>
                <w:sz w:val="14"/>
                <w:szCs w:val="14"/>
              </w:rPr>
              <w:t>IV</w:t>
            </w:r>
            <w:r w:rsidRPr="00A36623">
              <w:rPr>
                <w:rFonts w:eastAsia="Arial Unicode MS"/>
                <w:bCs/>
                <w:sz w:val="14"/>
                <w:szCs w:val="14"/>
              </w:rPr>
              <w:t>-b-1</w:t>
            </w:r>
          </w:p>
        </w:tc>
        <w:tc>
          <w:tcPr>
            <w:tcW w:w="2037" w:type="dxa"/>
            <w:vAlign w:val="bottom"/>
          </w:tcPr>
          <w:p w14:paraId="79B6ABC7" w14:textId="7244F014" w:rsidR="00224102" w:rsidRPr="00CE6C92" w:rsidRDefault="00224102" w:rsidP="00224102">
            <w:pPr>
              <w:jc w:val="right"/>
              <w:rPr>
                <w:sz w:val="14"/>
                <w:szCs w:val="14"/>
              </w:rPr>
            </w:pPr>
            <w:r w:rsidRPr="00CE6C92">
              <w:rPr>
                <w:sz w:val="14"/>
                <w:szCs w:val="14"/>
              </w:rPr>
              <w:t>123,113</w:t>
            </w:r>
          </w:p>
        </w:tc>
        <w:tc>
          <w:tcPr>
            <w:tcW w:w="2037" w:type="dxa"/>
            <w:vAlign w:val="bottom"/>
          </w:tcPr>
          <w:p w14:paraId="6FE8EC9F" w14:textId="7D639CFA" w:rsidR="00224102" w:rsidRPr="00A36623" w:rsidRDefault="00224102" w:rsidP="00224102">
            <w:pPr>
              <w:jc w:val="right"/>
              <w:rPr>
                <w:sz w:val="14"/>
                <w:szCs w:val="14"/>
              </w:rPr>
            </w:pPr>
            <w:r w:rsidRPr="00A36623">
              <w:rPr>
                <w:sz w:val="14"/>
                <w:szCs w:val="14"/>
              </w:rPr>
              <w:t>78</w:t>
            </w:r>
            <w:r>
              <w:rPr>
                <w:sz w:val="14"/>
                <w:szCs w:val="14"/>
              </w:rPr>
              <w:t>,</w:t>
            </w:r>
            <w:r w:rsidRPr="00A36623">
              <w:rPr>
                <w:sz w:val="14"/>
                <w:szCs w:val="14"/>
              </w:rPr>
              <w:t>497</w:t>
            </w:r>
          </w:p>
        </w:tc>
      </w:tr>
      <w:tr w:rsidR="00224102" w:rsidRPr="007C0BA6" w14:paraId="30A7090A" w14:textId="77777777" w:rsidTr="00F142CB">
        <w:tc>
          <w:tcPr>
            <w:tcW w:w="560" w:type="dxa"/>
            <w:vAlign w:val="bottom"/>
          </w:tcPr>
          <w:p w14:paraId="56EAC983"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2.3</w:t>
            </w:r>
          </w:p>
        </w:tc>
        <w:tc>
          <w:tcPr>
            <w:tcW w:w="4861" w:type="dxa"/>
            <w:vAlign w:val="bottom"/>
          </w:tcPr>
          <w:p w14:paraId="0841818E" w14:textId="77777777" w:rsidR="00224102" w:rsidRPr="007C0BA6" w:rsidRDefault="00224102" w:rsidP="005337DE">
            <w:pPr>
              <w:ind w:left="-76"/>
              <w:rPr>
                <w:rFonts w:eastAsia="Arial Unicode MS"/>
                <w:sz w:val="14"/>
                <w:szCs w:val="14"/>
              </w:rPr>
            </w:pPr>
            <w:r w:rsidRPr="007C0BA6">
              <w:rPr>
                <w:rFonts w:eastAsia="Arial Unicode MS"/>
                <w:sz w:val="14"/>
                <w:szCs w:val="14"/>
              </w:rPr>
              <w:t xml:space="preserve">Interest Expense on Money Market Transactions </w:t>
            </w:r>
            <w:r w:rsidRPr="007C0BA6">
              <w:rPr>
                <w:rFonts w:eastAsia="Arial Unicode MS"/>
                <w:sz w:val="14"/>
                <w:szCs w:val="14"/>
              </w:rPr>
              <w:tab/>
            </w:r>
          </w:p>
        </w:tc>
        <w:tc>
          <w:tcPr>
            <w:tcW w:w="851" w:type="dxa"/>
            <w:vAlign w:val="bottom"/>
          </w:tcPr>
          <w:p w14:paraId="5413EBB1" w14:textId="77777777" w:rsidR="00224102" w:rsidRPr="00A36623" w:rsidRDefault="00224102" w:rsidP="00224102">
            <w:pPr>
              <w:jc w:val="center"/>
              <w:rPr>
                <w:rFonts w:eastAsia="Arial Unicode MS"/>
                <w:sz w:val="14"/>
                <w:szCs w:val="14"/>
              </w:rPr>
            </w:pPr>
          </w:p>
        </w:tc>
        <w:tc>
          <w:tcPr>
            <w:tcW w:w="2037" w:type="dxa"/>
            <w:vAlign w:val="bottom"/>
          </w:tcPr>
          <w:p w14:paraId="1B45CD9B" w14:textId="57D9781B" w:rsidR="00224102" w:rsidRPr="00CE6C92" w:rsidRDefault="00224102" w:rsidP="00224102">
            <w:pPr>
              <w:jc w:val="right"/>
              <w:rPr>
                <w:sz w:val="14"/>
                <w:szCs w:val="14"/>
              </w:rPr>
            </w:pPr>
            <w:r w:rsidRPr="00CE6C92">
              <w:rPr>
                <w:sz w:val="14"/>
                <w:szCs w:val="14"/>
              </w:rPr>
              <w:t>24,364</w:t>
            </w:r>
          </w:p>
        </w:tc>
        <w:tc>
          <w:tcPr>
            <w:tcW w:w="2037" w:type="dxa"/>
            <w:vAlign w:val="bottom"/>
          </w:tcPr>
          <w:p w14:paraId="5FED60CA" w14:textId="031989E9" w:rsidR="00224102" w:rsidRPr="00A36623" w:rsidRDefault="00224102" w:rsidP="00224102">
            <w:pPr>
              <w:jc w:val="right"/>
              <w:rPr>
                <w:sz w:val="14"/>
                <w:szCs w:val="14"/>
              </w:rPr>
            </w:pPr>
            <w:r w:rsidRPr="00A36623">
              <w:rPr>
                <w:sz w:val="14"/>
                <w:szCs w:val="14"/>
              </w:rPr>
              <w:t>117</w:t>
            </w:r>
            <w:r>
              <w:rPr>
                <w:sz w:val="14"/>
                <w:szCs w:val="14"/>
              </w:rPr>
              <w:t>,</w:t>
            </w:r>
            <w:r w:rsidRPr="00A36623">
              <w:rPr>
                <w:sz w:val="14"/>
                <w:szCs w:val="14"/>
              </w:rPr>
              <w:t>878</w:t>
            </w:r>
          </w:p>
        </w:tc>
      </w:tr>
      <w:tr w:rsidR="00224102" w:rsidRPr="007C0BA6" w14:paraId="1BC158CA" w14:textId="77777777" w:rsidTr="00F142CB">
        <w:tc>
          <w:tcPr>
            <w:tcW w:w="560" w:type="dxa"/>
            <w:vAlign w:val="bottom"/>
          </w:tcPr>
          <w:p w14:paraId="13128E71"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2.4</w:t>
            </w:r>
          </w:p>
        </w:tc>
        <w:tc>
          <w:tcPr>
            <w:tcW w:w="4861" w:type="dxa"/>
            <w:vAlign w:val="bottom"/>
          </w:tcPr>
          <w:p w14:paraId="49EF354E" w14:textId="77777777" w:rsidR="00224102" w:rsidRPr="007C0BA6" w:rsidRDefault="00224102" w:rsidP="005337DE">
            <w:pPr>
              <w:ind w:left="-76"/>
              <w:rPr>
                <w:rFonts w:eastAsia="Arial Unicode MS"/>
                <w:sz w:val="14"/>
                <w:szCs w:val="14"/>
              </w:rPr>
            </w:pPr>
            <w:r w:rsidRPr="007C0BA6">
              <w:rPr>
                <w:rFonts w:eastAsia="Arial Unicode MS"/>
                <w:sz w:val="14"/>
                <w:szCs w:val="14"/>
              </w:rPr>
              <w:t xml:space="preserve">Interest on Securities Issued </w:t>
            </w:r>
          </w:p>
        </w:tc>
        <w:tc>
          <w:tcPr>
            <w:tcW w:w="851" w:type="dxa"/>
            <w:vAlign w:val="bottom"/>
          </w:tcPr>
          <w:p w14:paraId="78DCCA46" w14:textId="77777777" w:rsidR="00224102" w:rsidRPr="00A36623" w:rsidRDefault="00224102" w:rsidP="00224102">
            <w:pPr>
              <w:jc w:val="center"/>
              <w:rPr>
                <w:rFonts w:eastAsia="Arial Unicode MS"/>
                <w:sz w:val="14"/>
                <w:szCs w:val="14"/>
              </w:rPr>
            </w:pPr>
          </w:p>
        </w:tc>
        <w:tc>
          <w:tcPr>
            <w:tcW w:w="2037" w:type="dxa"/>
            <w:vAlign w:val="bottom"/>
          </w:tcPr>
          <w:p w14:paraId="4948D092" w14:textId="0BE9BA9D" w:rsidR="00224102" w:rsidRPr="00CE6C92" w:rsidRDefault="00224102" w:rsidP="00224102">
            <w:pPr>
              <w:jc w:val="right"/>
              <w:rPr>
                <w:sz w:val="14"/>
                <w:szCs w:val="14"/>
              </w:rPr>
            </w:pPr>
            <w:r w:rsidRPr="00CE6C92">
              <w:rPr>
                <w:sz w:val="14"/>
                <w:szCs w:val="14"/>
              </w:rPr>
              <w:t>35,114</w:t>
            </w:r>
          </w:p>
        </w:tc>
        <w:tc>
          <w:tcPr>
            <w:tcW w:w="2037" w:type="dxa"/>
            <w:vAlign w:val="bottom"/>
          </w:tcPr>
          <w:p w14:paraId="097655AC" w14:textId="0763CBA7" w:rsidR="00224102" w:rsidRPr="00A36623" w:rsidRDefault="00224102" w:rsidP="00224102">
            <w:pPr>
              <w:jc w:val="right"/>
              <w:rPr>
                <w:sz w:val="14"/>
                <w:szCs w:val="14"/>
              </w:rPr>
            </w:pPr>
            <w:r w:rsidRPr="00A36623">
              <w:rPr>
                <w:sz w:val="14"/>
                <w:szCs w:val="14"/>
              </w:rPr>
              <w:t>26</w:t>
            </w:r>
            <w:r>
              <w:rPr>
                <w:sz w:val="14"/>
                <w:szCs w:val="14"/>
              </w:rPr>
              <w:t>,</w:t>
            </w:r>
            <w:r w:rsidRPr="00A36623">
              <w:rPr>
                <w:sz w:val="14"/>
                <w:szCs w:val="14"/>
              </w:rPr>
              <w:t>886</w:t>
            </w:r>
          </w:p>
        </w:tc>
      </w:tr>
      <w:tr w:rsidR="00224102" w:rsidRPr="007C0BA6" w14:paraId="541105CA" w14:textId="77777777" w:rsidTr="00F142CB">
        <w:tc>
          <w:tcPr>
            <w:tcW w:w="560" w:type="dxa"/>
            <w:vAlign w:val="bottom"/>
          </w:tcPr>
          <w:p w14:paraId="637804CA"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2.5</w:t>
            </w:r>
          </w:p>
        </w:tc>
        <w:tc>
          <w:tcPr>
            <w:tcW w:w="4861" w:type="dxa"/>
            <w:vAlign w:val="bottom"/>
          </w:tcPr>
          <w:p w14:paraId="0E5C9732" w14:textId="77777777" w:rsidR="00224102" w:rsidRPr="007C0BA6" w:rsidRDefault="00224102" w:rsidP="005337DE">
            <w:pPr>
              <w:ind w:left="-76"/>
              <w:rPr>
                <w:rFonts w:eastAsia="Arial Unicode MS"/>
                <w:sz w:val="14"/>
                <w:szCs w:val="14"/>
              </w:rPr>
            </w:pPr>
            <w:r w:rsidRPr="007C0BA6">
              <w:rPr>
                <w:rFonts w:eastAsia="Arial Unicode MS"/>
                <w:sz w:val="14"/>
                <w:szCs w:val="14"/>
              </w:rPr>
              <w:t xml:space="preserve">Other Interest Expenses </w:t>
            </w:r>
          </w:p>
        </w:tc>
        <w:tc>
          <w:tcPr>
            <w:tcW w:w="851" w:type="dxa"/>
            <w:vAlign w:val="bottom"/>
          </w:tcPr>
          <w:p w14:paraId="11211C87" w14:textId="77777777" w:rsidR="00224102" w:rsidRPr="00A36623" w:rsidRDefault="00224102" w:rsidP="00224102">
            <w:pPr>
              <w:jc w:val="center"/>
              <w:rPr>
                <w:rFonts w:eastAsia="Arial Unicode MS"/>
                <w:sz w:val="14"/>
                <w:szCs w:val="14"/>
              </w:rPr>
            </w:pPr>
          </w:p>
        </w:tc>
        <w:tc>
          <w:tcPr>
            <w:tcW w:w="2037" w:type="dxa"/>
            <w:vAlign w:val="bottom"/>
          </w:tcPr>
          <w:p w14:paraId="3E5025D5" w14:textId="7F65E014" w:rsidR="00224102" w:rsidRPr="00CE6C92" w:rsidRDefault="00224102" w:rsidP="00224102">
            <w:pPr>
              <w:jc w:val="right"/>
              <w:rPr>
                <w:sz w:val="14"/>
                <w:szCs w:val="14"/>
              </w:rPr>
            </w:pPr>
            <w:r w:rsidRPr="00CE6C92">
              <w:rPr>
                <w:sz w:val="14"/>
                <w:szCs w:val="14"/>
              </w:rPr>
              <w:t>2,862</w:t>
            </w:r>
          </w:p>
        </w:tc>
        <w:tc>
          <w:tcPr>
            <w:tcW w:w="2037" w:type="dxa"/>
            <w:vAlign w:val="bottom"/>
          </w:tcPr>
          <w:p w14:paraId="23C83E76" w14:textId="2AC9AB80" w:rsidR="00224102" w:rsidRPr="00A36623" w:rsidRDefault="00224102" w:rsidP="00224102">
            <w:pPr>
              <w:jc w:val="right"/>
              <w:rPr>
                <w:sz w:val="14"/>
                <w:szCs w:val="14"/>
              </w:rPr>
            </w:pPr>
            <w:r w:rsidRPr="00A36623">
              <w:rPr>
                <w:sz w:val="14"/>
                <w:szCs w:val="14"/>
              </w:rPr>
              <w:t>4</w:t>
            </w:r>
            <w:r>
              <w:rPr>
                <w:sz w:val="14"/>
                <w:szCs w:val="14"/>
              </w:rPr>
              <w:t>,</w:t>
            </w:r>
            <w:r w:rsidRPr="00A36623">
              <w:rPr>
                <w:sz w:val="14"/>
                <w:szCs w:val="14"/>
              </w:rPr>
              <w:t>831</w:t>
            </w:r>
          </w:p>
        </w:tc>
      </w:tr>
      <w:tr w:rsidR="00224102" w:rsidRPr="007C0BA6" w14:paraId="66D4358A" w14:textId="77777777" w:rsidTr="00F142CB">
        <w:tc>
          <w:tcPr>
            <w:tcW w:w="560" w:type="dxa"/>
            <w:vAlign w:val="bottom"/>
          </w:tcPr>
          <w:p w14:paraId="2C17F6D1"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III.</w:t>
            </w:r>
          </w:p>
        </w:tc>
        <w:tc>
          <w:tcPr>
            <w:tcW w:w="4861" w:type="dxa"/>
            <w:vAlign w:val="bottom"/>
          </w:tcPr>
          <w:p w14:paraId="2E648100" w14:textId="4011A6A4" w:rsidR="00224102" w:rsidRPr="007C0BA6" w:rsidRDefault="00224102" w:rsidP="005337DE">
            <w:pPr>
              <w:ind w:left="-76"/>
              <w:rPr>
                <w:rFonts w:eastAsia="Arial Unicode MS"/>
                <w:b/>
                <w:sz w:val="14"/>
                <w:szCs w:val="14"/>
              </w:rPr>
            </w:pPr>
            <w:r w:rsidRPr="007C0BA6">
              <w:rPr>
                <w:rFonts w:eastAsia="Arial Unicode MS"/>
                <w:b/>
                <w:sz w:val="14"/>
                <w:szCs w:val="14"/>
              </w:rPr>
              <w:t>NET INTEREST INCOME (I - II)</w:t>
            </w:r>
          </w:p>
        </w:tc>
        <w:tc>
          <w:tcPr>
            <w:tcW w:w="851" w:type="dxa"/>
            <w:vAlign w:val="bottom"/>
          </w:tcPr>
          <w:p w14:paraId="60B5A501" w14:textId="77777777" w:rsidR="00224102" w:rsidRPr="00A36623" w:rsidRDefault="00224102" w:rsidP="00224102">
            <w:pPr>
              <w:jc w:val="center"/>
              <w:rPr>
                <w:rFonts w:eastAsia="Arial Unicode MS"/>
                <w:sz w:val="14"/>
                <w:szCs w:val="14"/>
              </w:rPr>
            </w:pPr>
          </w:p>
        </w:tc>
        <w:tc>
          <w:tcPr>
            <w:tcW w:w="2037" w:type="dxa"/>
            <w:vAlign w:val="bottom"/>
          </w:tcPr>
          <w:p w14:paraId="3388068F" w14:textId="45F38F42" w:rsidR="00224102" w:rsidRPr="00CE6C92" w:rsidRDefault="00224102" w:rsidP="00224102">
            <w:pPr>
              <w:jc w:val="right"/>
              <w:rPr>
                <w:b/>
                <w:bCs/>
                <w:sz w:val="14"/>
                <w:szCs w:val="14"/>
              </w:rPr>
            </w:pPr>
            <w:r w:rsidRPr="00CE6C92">
              <w:rPr>
                <w:b/>
                <w:bCs/>
                <w:sz w:val="14"/>
                <w:szCs w:val="14"/>
              </w:rPr>
              <w:t>545,836</w:t>
            </w:r>
          </w:p>
        </w:tc>
        <w:tc>
          <w:tcPr>
            <w:tcW w:w="2037" w:type="dxa"/>
            <w:vAlign w:val="bottom"/>
          </w:tcPr>
          <w:p w14:paraId="047064B5" w14:textId="3E79688D" w:rsidR="00224102" w:rsidRPr="00A36623" w:rsidRDefault="00224102" w:rsidP="00224102">
            <w:pPr>
              <w:jc w:val="right"/>
              <w:rPr>
                <w:b/>
                <w:sz w:val="14"/>
                <w:szCs w:val="14"/>
              </w:rPr>
            </w:pPr>
            <w:r w:rsidRPr="00A36623">
              <w:rPr>
                <w:b/>
                <w:sz w:val="14"/>
                <w:szCs w:val="14"/>
              </w:rPr>
              <w:t>488</w:t>
            </w:r>
            <w:r>
              <w:rPr>
                <w:b/>
                <w:sz w:val="14"/>
                <w:szCs w:val="14"/>
              </w:rPr>
              <w:t>,</w:t>
            </w:r>
            <w:r w:rsidRPr="00A36623">
              <w:rPr>
                <w:b/>
                <w:sz w:val="14"/>
                <w:szCs w:val="14"/>
              </w:rPr>
              <w:t>234</w:t>
            </w:r>
          </w:p>
        </w:tc>
      </w:tr>
      <w:tr w:rsidR="00224102" w:rsidRPr="007C0BA6" w14:paraId="508D2A95" w14:textId="77777777" w:rsidTr="00F142CB">
        <w:tc>
          <w:tcPr>
            <w:tcW w:w="560" w:type="dxa"/>
            <w:vAlign w:val="bottom"/>
          </w:tcPr>
          <w:p w14:paraId="7616DB67"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IV.</w:t>
            </w:r>
          </w:p>
        </w:tc>
        <w:tc>
          <w:tcPr>
            <w:tcW w:w="4861" w:type="dxa"/>
            <w:vAlign w:val="bottom"/>
          </w:tcPr>
          <w:p w14:paraId="65EBEA50" w14:textId="77777777" w:rsidR="00224102" w:rsidRPr="007C0BA6" w:rsidRDefault="00224102" w:rsidP="005337DE">
            <w:pPr>
              <w:ind w:left="-76"/>
              <w:rPr>
                <w:rFonts w:eastAsia="Arial Unicode MS"/>
                <w:b/>
                <w:sz w:val="14"/>
                <w:szCs w:val="14"/>
              </w:rPr>
            </w:pPr>
            <w:r w:rsidRPr="007C0BA6">
              <w:rPr>
                <w:rFonts w:eastAsia="Arial Unicode MS"/>
                <w:b/>
                <w:sz w:val="14"/>
                <w:szCs w:val="14"/>
              </w:rPr>
              <w:t>NET FEES AND COMMISSIONS INCOME/EXPENSE</w:t>
            </w:r>
          </w:p>
        </w:tc>
        <w:tc>
          <w:tcPr>
            <w:tcW w:w="851" w:type="dxa"/>
            <w:vAlign w:val="bottom"/>
          </w:tcPr>
          <w:p w14:paraId="2688EE7C" w14:textId="77777777" w:rsidR="00224102" w:rsidRPr="00A36623" w:rsidRDefault="00224102" w:rsidP="00224102">
            <w:pPr>
              <w:jc w:val="center"/>
              <w:rPr>
                <w:rFonts w:eastAsia="Arial Unicode MS"/>
                <w:sz w:val="14"/>
                <w:szCs w:val="14"/>
              </w:rPr>
            </w:pPr>
          </w:p>
        </w:tc>
        <w:tc>
          <w:tcPr>
            <w:tcW w:w="2037" w:type="dxa"/>
            <w:vAlign w:val="bottom"/>
          </w:tcPr>
          <w:p w14:paraId="6E31C257" w14:textId="454336D6" w:rsidR="00224102" w:rsidRPr="00CE6C92" w:rsidRDefault="00224102" w:rsidP="00224102">
            <w:pPr>
              <w:jc w:val="right"/>
              <w:rPr>
                <w:b/>
                <w:bCs/>
                <w:sz w:val="14"/>
                <w:szCs w:val="14"/>
              </w:rPr>
            </w:pPr>
            <w:r w:rsidRPr="00CE6C92">
              <w:rPr>
                <w:b/>
                <w:bCs/>
                <w:sz w:val="14"/>
                <w:szCs w:val="14"/>
              </w:rPr>
              <w:t>64,609</w:t>
            </w:r>
          </w:p>
        </w:tc>
        <w:tc>
          <w:tcPr>
            <w:tcW w:w="2037" w:type="dxa"/>
            <w:vAlign w:val="bottom"/>
          </w:tcPr>
          <w:p w14:paraId="05F985C3" w14:textId="6D1FCBA6" w:rsidR="00224102" w:rsidRPr="00A36623" w:rsidRDefault="00224102" w:rsidP="00224102">
            <w:pPr>
              <w:jc w:val="right"/>
              <w:rPr>
                <w:b/>
                <w:sz w:val="14"/>
                <w:szCs w:val="14"/>
              </w:rPr>
            </w:pPr>
            <w:r w:rsidRPr="00A36623">
              <w:rPr>
                <w:b/>
                <w:sz w:val="14"/>
                <w:szCs w:val="14"/>
              </w:rPr>
              <w:t>50</w:t>
            </w:r>
            <w:r>
              <w:rPr>
                <w:b/>
                <w:sz w:val="14"/>
                <w:szCs w:val="14"/>
              </w:rPr>
              <w:t>,</w:t>
            </w:r>
            <w:r w:rsidRPr="00A36623">
              <w:rPr>
                <w:b/>
                <w:sz w:val="14"/>
                <w:szCs w:val="14"/>
              </w:rPr>
              <w:t>931</w:t>
            </w:r>
          </w:p>
        </w:tc>
      </w:tr>
      <w:tr w:rsidR="00224102" w:rsidRPr="007C0BA6" w14:paraId="5CCE0252" w14:textId="77777777" w:rsidTr="00F142CB">
        <w:tc>
          <w:tcPr>
            <w:tcW w:w="560" w:type="dxa"/>
            <w:vAlign w:val="bottom"/>
          </w:tcPr>
          <w:p w14:paraId="52A77E6E"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4.1</w:t>
            </w:r>
          </w:p>
        </w:tc>
        <w:tc>
          <w:tcPr>
            <w:tcW w:w="4861" w:type="dxa"/>
            <w:vAlign w:val="bottom"/>
          </w:tcPr>
          <w:p w14:paraId="7EAA15CD" w14:textId="77777777" w:rsidR="00224102" w:rsidRPr="007C0BA6" w:rsidRDefault="00224102" w:rsidP="005337DE">
            <w:pPr>
              <w:ind w:left="-76"/>
              <w:rPr>
                <w:rFonts w:eastAsia="Arial Unicode MS"/>
                <w:sz w:val="14"/>
                <w:szCs w:val="14"/>
              </w:rPr>
            </w:pPr>
            <w:r w:rsidRPr="007C0BA6">
              <w:rPr>
                <w:rFonts w:eastAsia="Arial Unicode MS"/>
                <w:sz w:val="14"/>
                <w:szCs w:val="14"/>
              </w:rPr>
              <w:t>Fees and Commissions Received</w:t>
            </w:r>
          </w:p>
        </w:tc>
        <w:tc>
          <w:tcPr>
            <w:tcW w:w="851" w:type="dxa"/>
            <w:vAlign w:val="bottom"/>
          </w:tcPr>
          <w:p w14:paraId="5E13637D" w14:textId="77777777" w:rsidR="00224102" w:rsidRPr="00A36623" w:rsidRDefault="00224102" w:rsidP="00224102">
            <w:pPr>
              <w:jc w:val="center"/>
              <w:rPr>
                <w:rFonts w:eastAsia="Arial Unicode MS"/>
                <w:sz w:val="14"/>
                <w:szCs w:val="14"/>
              </w:rPr>
            </w:pPr>
          </w:p>
        </w:tc>
        <w:tc>
          <w:tcPr>
            <w:tcW w:w="2037" w:type="dxa"/>
            <w:vAlign w:val="bottom"/>
          </w:tcPr>
          <w:p w14:paraId="28DCA2BB" w14:textId="2ECAC015" w:rsidR="00224102" w:rsidRPr="00CE6C92" w:rsidRDefault="00224102" w:rsidP="00224102">
            <w:pPr>
              <w:jc w:val="right"/>
              <w:rPr>
                <w:sz w:val="14"/>
                <w:szCs w:val="14"/>
              </w:rPr>
            </w:pPr>
            <w:r w:rsidRPr="00CE6C92">
              <w:rPr>
                <w:sz w:val="14"/>
                <w:szCs w:val="14"/>
              </w:rPr>
              <w:t>78,982</w:t>
            </w:r>
          </w:p>
        </w:tc>
        <w:tc>
          <w:tcPr>
            <w:tcW w:w="2037" w:type="dxa"/>
            <w:vAlign w:val="bottom"/>
          </w:tcPr>
          <w:p w14:paraId="335B9E20" w14:textId="7D7CA778" w:rsidR="00224102" w:rsidRPr="00A36623" w:rsidRDefault="00224102" w:rsidP="00224102">
            <w:pPr>
              <w:jc w:val="right"/>
              <w:rPr>
                <w:sz w:val="14"/>
                <w:szCs w:val="14"/>
              </w:rPr>
            </w:pPr>
            <w:r w:rsidRPr="00A36623">
              <w:rPr>
                <w:sz w:val="14"/>
                <w:szCs w:val="14"/>
              </w:rPr>
              <w:t>62</w:t>
            </w:r>
            <w:r>
              <w:rPr>
                <w:sz w:val="14"/>
                <w:szCs w:val="14"/>
              </w:rPr>
              <w:t>,</w:t>
            </w:r>
            <w:r w:rsidRPr="00A36623">
              <w:rPr>
                <w:sz w:val="14"/>
                <w:szCs w:val="14"/>
              </w:rPr>
              <w:t>823</w:t>
            </w:r>
          </w:p>
        </w:tc>
      </w:tr>
      <w:tr w:rsidR="00224102" w:rsidRPr="007C0BA6" w14:paraId="46324406" w14:textId="77777777" w:rsidTr="00F142CB">
        <w:tc>
          <w:tcPr>
            <w:tcW w:w="560" w:type="dxa"/>
            <w:vAlign w:val="bottom"/>
          </w:tcPr>
          <w:p w14:paraId="663BF5AE"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4.1.1</w:t>
            </w:r>
          </w:p>
        </w:tc>
        <w:tc>
          <w:tcPr>
            <w:tcW w:w="4861" w:type="dxa"/>
            <w:vAlign w:val="bottom"/>
          </w:tcPr>
          <w:p w14:paraId="254CF1A6" w14:textId="77777777" w:rsidR="00224102" w:rsidRPr="007C0BA6" w:rsidRDefault="00224102" w:rsidP="005337DE">
            <w:pPr>
              <w:ind w:left="-76"/>
              <w:rPr>
                <w:rFonts w:eastAsia="Arial Unicode MS"/>
                <w:sz w:val="14"/>
                <w:szCs w:val="14"/>
              </w:rPr>
            </w:pPr>
            <w:r w:rsidRPr="007C0BA6">
              <w:rPr>
                <w:rFonts w:eastAsia="Arial Unicode MS"/>
                <w:sz w:val="14"/>
                <w:szCs w:val="14"/>
              </w:rPr>
              <w:t>Non-cash Loans</w:t>
            </w:r>
          </w:p>
        </w:tc>
        <w:tc>
          <w:tcPr>
            <w:tcW w:w="851" w:type="dxa"/>
            <w:vAlign w:val="bottom"/>
          </w:tcPr>
          <w:p w14:paraId="13DF3431" w14:textId="77777777" w:rsidR="00224102" w:rsidRPr="00A36623" w:rsidRDefault="00224102" w:rsidP="00224102">
            <w:pPr>
              <w:jc w:val="center"/>
              <w:rPr>
                <w:rFonts w:eastAsia="Arial Unicode MS"/>
                <w:sz w:val="14"/>
                <w:szCs w:val="14"/>
              </w:rPr>
            </w:pPr>
          </w:p>
        </w:tc>
        <w:tc>
          <w:tcPr>
            <w:tcW w:w="2037" w:type="dxa"/>
            <w:vAlign w:val="bottom"/>
          </w:tcPr>
          <w:p w14:paraId="74E1E8D4" w14:textId="340706CF" w:rsidR="00224102" w:rsidRPr="00CE6C92" w:rsidRDefault="00224102" w:rsidP="00224102">
            <w:pPr>
              <w:jc w:val="right"/>
              <w:rPr>
                <w:sz w:val="14"/>
                <w:szCs w:val="14"/>
              </w:rPr>
            </w:pPr>
            <w:r w:rsidRPr="00CE6C92">
              <w:rPr>
                <w:sz w:val="14"/>
                <w:szCs w:val="14"/>
              </w:rPr>
              <w:t>31,862</w:t>
            </w:r>
          </w:p>
        </w:tc>
        <w:tc>
          <w:tcPr>
            <w:tcW w:w="2037" w:type="dxa"/>
            <w:vAlign w:val="bottom"/>
          </w:tcPr>
          <w:p w14:paraId="19AE1397" w14:textId="7D9486A0" w:rsidR="00224102" w:rsidRPr="00A36623" w:rsidRDefault="00224102" w:rsidP="00224102">
            <w:pPr>
              <w:jc w:val="right"/>
              <w:rPr>
                <w:sz w:val="14"/>
                <w:szCs w:val="14"/>
              </w:rPr>
            </w:pPr>
            <w:r w:rsidRPr="00A36623">
              <w:rPr>
                <w:sz w:val="14"/>
                <w:szCs w:val="14"/>
              </w:rPr>
              <w:t>27</w:t>
            </w:r>
            <w:r>
              <w:rPr>
                <w:sz w:val="14"/>
                <w:szCs w:val="14"/>
              </w:rPr>
              <w:t>,</w:t>
            </w:r>
            <w:r w:rsidRPr="00A36623">
              <w:rPr>
                <w:sz w:val="14"/>
                <w:szCs w:val="14"/>
              </w:rPr>
              <w:t>249</w:t>
            </w:r>
          </w:p>
        </w:tc>
      </w:tr>
      <w:tr w:rsidR="00224102" w:rsidRPr="007C0BA6" w14:paraId="2B7FF577" w14:textId="77777777" w:rsidTr="00F142CB">
        <w:tc>
          <w:tcPr>
            <w:tcW w:w="560" w:type="dxa"/>
            <w:vAlign w:val="bottom"/>
          </w:tcPr>
          <w:p w14:paraId="11686E8D"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4.1.2</w:t>
            </w:r>
          </w:p>
        </w:tc>
        <w:tc>
          <w:tcPr>
            <w:tcW w:w="4861" w:type="dxa"/>
            <w:vAlign w:val="bottom"/>
          </w:tcPr>
          <w:p w14:paraId="6E65DEED" w14:textId="77777777" w:rsidR="00224102" w:rsidRPr="007C0BA6" w:rsidRDefault="00224102" w:rsidP="005337DE">
            <w:pPr>
              <w:ind w:left="-76"/>
              <w:rPr>
                <w:rFonts w:eastAsia="Arial Unicode MS"/>
                <w:sz w:val="14"/>
                <w:szCs w:val="14"/>
              </w:rPr>
            </w:pPr>
            <w:r w:rsidRPr="007C0BA6">
              <w:rPr>
                <w:rFonts w:eastAsia="Arial Unicode MS"/>
                <w:sz w:val="14"/>
                <w:szCs w:val="14"/>
              </w:rPr>
              <w:t>Other</w:t>
            </w:r>
          </w:p>
        </w:tc>
        <w:tc>
          <w:tcPr>
            <w:tcW w:w="851" w:type="dxa"/>
            <w:vAlign w:val="bottom"/>
          </w:tcPr>
          <w:p w14:paraId="552623C8" w14:textId="26F9FB6A" w:rsidR="00224102" w:rsidRPr="00A36623" w:rsidRDefault="00224102" w:rsidP="00224102">
            <w:pPr>
              <w:jc w:val="center"/>
              <w:rPr>
                <w:rFonts w:eastAsia="Arial Unicode MS"/>
                <w:sz w:val="14"/>
                <w:szCs w:val="14"/>
              </w:rPr>
            </w:pPr>
            <w:r w:rsidRPr="00A36623">
              <w:rPr>
                <w:rFonts w:eastAsia="Arial Unicode MS"/>
                <w:sz w:val="14"/>
                <w:szCs w:val="14"/>
              </w:rPr>
              <w:t>IV</w:t>
            </w:r>
            <w:r w:rsidRPr="00A36623">
              <w:rPr>
                <w:rFonts w:eastAsia="Arial Unicode MS"/>
                <w:bCs/>
                <w:sz w:val="14"/>
                <w:szCs w:val="14"/>
              </w:rPr>
              <w:t>-</w:t>
            </w:r>
            <w:r>
              <w:rPr>
                <w:rFonts w:eastAsia="Arial Unicode MS"/>
                <w:bCs/>
                <w:sz w:val="14"/>
                <w:szCs w:val="14"/>
              </w:rPr>
              <w:t>k</w:t>
            </w:r>
          </w:p>
        </w:tc>
        <w:tc>
          <w:tcPr>
            <w:tcW w:w="2037" w:type="dxa"/>
            <w:vAlign w:val="bottom"/>
          </w:tcPr>
          <w:p w14:paraId="333788E6" w14:textId="2C63B08A" w:rsidR="00224102" w:rsidRPr="00CE6C92" w:rsidRDefault="00224102" w:rsidP="00224102">
            <w:pPr>
              <w:jc w:val="right"/>
              <w:rPr>
                <w:sz w:val="14"/>
                <w:szCs w:val="14"/>
              </w:rPr>
            </w:pPr>
            <w:r w:rsidRPr="00CE6C92">
              <w:rPr>
                <w:sz w:val="14"/>
                <w:szCs w:val="14"/>
              </w:rPr>
              <w:t>47,120</w:t>
            </w:r>
          </w:p>
        </w:tc>
        <w:tc>
          <w:tcPr>
            <w:tcW w:w="2037" w:type="dxa"/>
            <w:vAlign w:val="bottom"/>
          </w:tcPr>
          <w:p w14:paraId="748B9FD7" w14:textId="3431F689" w:rsidR="00224102" w:rsidRPr="00A36623" w:rsidRDefault="00224102" w:rsidP="00224102">
            <w:pPr>
              <w:jc w:val="right"/>
              <w:rPr>
                <w:sz w:val="14"/>
                <w:szCs w:val="14"/>
              </w:rPr>
            </w:pPr>
            <w:r w:rsidRPr="00A36623">
              <w:rPr>
                <w:sz w:val="14"/>
                <w:szCs w:val="14"/>
              </w:rPr>
              <w:t>35</w:t>
            </w:r>
            <w:r>
              <w:rPr>
                <w:sz w:val="14"/>
                <w:szCs w:val="14"/>
              </w:rPr>
              <w:t>,</w:t>
            </w:r>
            <w:r w:rsidRPr="00A36623">
              <w:rPr>
                <w:sz w:val="14"/>
                <w:szCs w:val="14"/>
              </w:rPr>
              <w:t>574</w:t>
            </w:r>
          </w:p>
        </w:tc>
      </w:tr>
      <w:tr w:rsidR="00224102" w:rsidRPr="007C0BA6" w14:paraId="21EAC395" w14:textId="77777777" w:rsidTr="00F142CB">
        <w:tc>
          <w:tcPr>
            <w:tcW w:w="560" w:type="dxa"/>
            <w:vAlign w:val="bottom"/>
          </w:tcPr>
          <w:p w14:paraId="66F8A188"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4.2</w:t>
            </w:r>
          </w:p>
        </w:tc>
        <w:tc>
          <w:tcPr>
            <w:tcW w:w="4861" w:type="dxa"/>
            <w:vAlign w:val="bottom"/>
          </w:tcPr>
          <w:p w14:paraId="6B59CD4C" w14:textId="77777777" w:rsidR="00224102" w:rsidRPr="007C0BA6" w:rsidRDefault="00224102" w:rsidP="005337DE">
            <w:pPr>
              <w:ind w:left="-76"/>
              <w:rPr>
                <w:rFonts w:eastAsia="Arial Unicode MS"/>
                <w:sz w:val="14"/>
                <w:szCs w:val="14"/>
              </w:rPr>
            </w:pPr>
            <w:r w:rsidRPr="007C0BA6">
              <w:rPr>
                <w:rFonts w:eastAsia="Arial Unicode MS"/>
                <w:sz w:val="14"/>
                <w:szCs w:val="14"/>
              </w:rPr>
              <w:t xml:space="preserve">Fees and Commissions Paid </w:t>
            </w:r>
          </w:p>
        </w:tc>
        <w:tc>
          <w:tcPr>
            <w:tcW w:w="851" w:type="dxa"/>
            <w:vAlign w:val="bottom"/>
          </w:tcPr>
          <w:p w14:paraId="6F25D637" w14:textId="77777777" w:rsidR="00224102" w:rsidRPr="00A36623" w:rsidRDefault="00224102" w:rsidP="00224102">
            <w:pPr>
              <w:jc w:val="center"/>
              <w:rPr>
                <w:rFonts w:eastAsia="Arial Unicode MS"/>
                <w:sz w:val="14"/>
                <w:szCs w:val="14"/>
              </w:rPr>
            </w:pPr>
          </w:p>
        </w:tc>
        <w:tc>
          <w:tcPr>
            <w:tcW w:w="2037" w:type="dxa"/>
            <w:vAlign w:val="bottom"/>
          </w:tcPr>
          <w:p w14:paraId="1997F4B1" w14:textId="4FB115CE" w:rsidR="00224102" w:rsidRPr="00CE6C92" w:rsidRDefault="00224102" w:rsidP="00224102">
            <w:pPr>
              <w:jc w:val="right"/>
              <w:rPr>
                <w:sz w:val="14"/>
                <w:szCs w:val="14"/>
              </w:rPr>
            </w:pPr>
            <w:r w:rsidRPr="00CE6C92">
              <w:rPr>
                <w:sz w:val="14"/>
                <w:szCs w:val="14"/>
              </w:rPr>
              <w:t>14,373</w:t>
            </w:r>
          </w:p>
        </w:tc>
        <w:tc>
          <w:tcPr>
            <w:tcW w:w="2037" w:type="dxa"/>
            <w:vAlign w:val="bottom"/>
          </w:tcPr>
          <w:p w14:paraId="7592F5C0" w14:textId="709E169F" w:rsidR="00224102" w:rsidRPr="00A36623" w:rsidRDefault="00224102" w:rsidP="00224102">
            <w:pPr>
              <w:jc w:val="right"/>
              <w:rPr>
                <w:sz w:val="14"/>
                <w:szCs w:val="14"/>
              </w:rPr>
            </w:pPr>
            <w:r w:rsidRPr="00A36623">
              <w:rPr>
                <w:sz w:val="14"/>
                <w:szCs w:val="14"/>
              </w:rPr>
              <w:t>11</w:t>
            </w:r>
            <w:r>
              <w:rPr>
                <w:sz w:val="14"/>
                <w:szCs w:val="14"/>
              </w:rPr>
              <w:t>,</w:t>
            </w:r>
            <w:r w:rsidRPr="00A36623">
              <w:rPr>
                <w:sz w:val="14"/>
                <w:szCs w:val="14"/>
              </w:rPr>
              <w:t>892</w:t>
            </w:r>
          </w:p>
        </w:tc>
      </w:tr>
      <w:tr w:rsidR="00224102" w:rsidRPr="007C0BA6" w14:paraId="785174EF" w14:textId="77777777" w:rsidTr="00F142CB">
        <w:tc>
          <w:tcPr>
            <w:tcW w:w="560" w:type="dxa"/>
            <w:vAlign w:val="bottom"/>
          </w:tcPr>
          <w:p w14:paraId="465DF648"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4.2.1</w:t>
            </w:r>
          </w:p>
        </w:tc>
        <w:tc>
          <w:tcPr>
            <w:tcW w:w="4861" w:type="dxa"/>
            <w:vAlign w:val="bottom"/>
          </w:tcPr>
          <w:p w14:paraId="1DBE091E" w14:textId="77777777" w:rsidR="00224102" w:rsidRPr="007C0BA6" w:rsidRDefault="00224102" w:rsidP="005337DE">
            <w:pPr>
              <w:ind w:left="-76"/>
              <w:rPr>
                <w:rFonts w:eastAsia="Arial Unicode MS"/>
                <w:sz w:val="14"/>
                <w:szCs w:val="14"/>
              </w:rPr>
            </w:pPr>
            <w:r w:rsidRPr="007C0BA6">
              <w:rPr>
                <w:rFonts w:eastAsia="Arial Unicode MS"/>
                <w:sz w:val="14"/>
                <w:szCs w:val="14"/>
              </w:rPr>
              <w:t xml:space="preserve">Non-cash Loans </w:t>
            </w:r>
          </w:p>
        </w:tc>
        <w:tc>
          <w:tcPr>
            <w:tcW w:w="851" w:type="dxa"/>
            <w:vAlign w:val="bottom"/>
          </w:tcPr>
          <w:p w14:paraId="1E707906" w14:textId="77777777" w:rsidR="00224102" w:rsidRPr="00A36623" w:rsidRDefault="00224102" w:rsidP="00224102">
            <w:pPr>
              <w:jc w:val="center"/>
              <w:rPr>
                <w:rFonts w:eastAsia="Arial Unicode MS"/>
                <w:sz w:val="14"/>
                <w:szCs w:val="14"/>
              </w:rPr>
            </w:pPr>
          </w:p>
        </w:tc>
        <w:tc>
          <w:tcPr>
            <w:tcW w:w="2037" w:type="dxa"/>
            <w:vAlign w:val="bottom"/>
          </w:tcPr>
          <w:p w14:paraId="5BDFACB3" w14:textId="78C39F2F" w:rsidR="00224102" w:rsidRPr="00CE6C92" w:rsidRDefault="00224102" w:rsidP="00224102">
            <w:pPr>
              <w:jc w:val="right"/>
              <w:rPr>
                <w:sz w:val="14"/>
                <w:szCs w:val="14"/>
              </w:rPr>
            </w:pPr>
            <w:r w:rsidRPr="00CE6C92">
              <w:rPr>
                <w:sz w:val="14"/>
                <w:szCs w:val="14"/>
              </w:rPr>
              <w:t>506</w:t>
            </w:r>
          </w:p>
        </w:tc>
        <w:tc>
          <w:tcPr>
            <w:tcW w:w="2037" w:type="dxa"/>
            <w:vAlign w:val="bottom"/>
          </w:tcPr>
          <w:p w14:paraId="2EF140D8" w14:textId="4A190A3F" w:rsidR="00224102" w:rsidRPr="00A36623" w:rsidRDefault="00224102" w:rsidP="00224102">
            <w:pPr>
              <w:jc w:val="right"/>
              <w:rPr>
                <w:sz w:val="14"/>
                <w:szCs w:val="14"/>
              </w:rPr>
            </w:pPr>
            <w:r w:rsidRPr="00A36623">
              <w:rPr>
                <w:sz w:val="14"/>
                <w:szCs w:val="14"/>
              </w:rPr>
              <w:t>637</w:t>
            </w:r>
          </w:p>
        </w:tc>
      </w:tr>
      <w:tr w:rsidR="00224102" w:rsidRPr="007C0BA6" w14:paraId="768E0887" w14:textId="77777777" w:rsidTr="00F142CB">
        <w:tc>
          <w:tcPr>
            <w:tcW w:w="560" w:type="dxa"/>
            <w:vAlign w:val="bottom"/>
          </w:tcPr>
          <w:p w14:paraId="67FFE630"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4.2.2</w:t>
            </w:r>
          </w:p>
        </w:tc>
        <w:tc>
          <w:tcPr>
            <w:tcW w:w="4861" w:type="dxa"/>
            <w:vAlign w:val="bottom"/>
          </w:tcPr>
          <w:p w14:paraId="5F2EB8E5" w14:textId="77777777" w:rsidR="00224102" w:rsidRPr="007C0BA6" w:rsidRDefault="00224102" w:rsidP="005337DE">
            <w:pPr>
              <w:ind w:left="-76"/>
              <w:rPr>
                <w:rFonts w:eastAsia="Arial Unicode MS"/>
                <w:sz w:val="14"/>
                <w:szCs w:val="14"/>
              </w:rPr>
            </w:pPr>
            <w:r w:rsidRPr="007C0BA6">
              <w:rPr>
                <w:rFonts w:eastAsia="Arial Unicode MS"/>
                <w:sz w:val="14"/>
                <w:szCs w:val="14"/>
              </w:rPr>
              <w:t xml:space="preserve">Other </w:t>
            </w:r>
          </w:p>
        </w:tc>
        <w:tc>
          <w:tcPr>
            <w:tcW w:w="851" w:type="dxa"/>
            <w:vAlign w:val="bottom"/>
          </w:tcPr>
          <w:p w14:paraId="1E7813E4" w14:textId="2549CF8B" w:rsidR="00224102" w:rsidRPr="00A36623" w:rsidRDefault="00224102" w:rsidP="00224102">
            <w:pPr>
              <w:jc w:val="center"/>
              <w:rPr>
                <w:rFonts w:eastAsia="Arial Unicode MS"/>
                <w:sz w:val="14"/>
                <w:szCs w:val="14"/>
              </w:rPr>
            </w:pPr>
            <w:r w:rsidRPr="00A36623">
              <w:rPr>
                <w:rFonts w:eastAsia="Arial Unicode MS"/>
                <w:sz w:val="14"/>
                <w:szCs w:val="14"/>
              </w:rPr>
              <w:t>IV</w:t>
            </w:r>
            <w:r w:rsidRPr="00A36623">
              <w:rPr>
                <w:rFonts w:eastAsia="Arial Unicode MS"/>
                <w:bCs/>
                <w:sz w:val="14"/>
                <w:szCs w:val="14"/>
              </w:rPr>
              <w:t>-</w:t>
            </w:r>
            <w:r>
              <w:rPr>
                <w:rFonts w:eastAsia="Arial Unicode MS"/>
                <w:bCs/>
                <w:sz w:val="14"/>
                <w:szCs w:val="14"/>
              </w:rPr>
              <w:t>k</w:t>
            </w:r>
          </w:p>
        </w:tc>
        <w:tc>
          <w:tcPr>
            <w:tcW w:w="2037" w:type="dxa"/>
            <w:vAlign w:val="bottom"/>
          </w:tcPr>
          <w:p w14:paraId="7F9FDE7A" w14:textId="61D546E7" w:rsidR="00224102" w:rsidRPr="00CE6C92" w:rsidRDefault="00224102" w:rsidP="00224102">
            <w:pPr>
              <w:jc w:val="right"/>
              <w:rPr>
                <w:sz w:val="14"/>
                <w:szCs w:val="14"/>
              </w:rPr>
            </w:pPr>
            <w:r w:rsidRPr="00CE6C92">
              <w:rPr>
                <w:sz w:val="14"/>
                <w:szCs w:val="14"/>
              </w:rPr>
              <w:t>13,867</w:t>
            </w:r>
          </w:p>
        </w:tc>
        <w:tc>
          <w:tcPr>
            <w:tcW w:w="2037" w:type="dxa"/>
            <w:vAlign w:val="bottom"/>
          </w:tcPr>
          <w:p w14:paraId="3326E78E" w14:textId="0A5E852C" w:rsidR="00224102" w:rsidRPr="00A36623" w:rsidRDefault="00224102" w:rsidP="00224102">
            <w:pPr>
              <w:jc w:val="right"/>
              <w:rPr>
                <w:sz w:val="14"/>
                <w:szCs w:val="14"/>
              </w:rPr>
            </w:pPr>
            <w:r w:rsidRPr="00A36623">
              <w:rPr>
                <w:sz w:val="14"/>
                <w:szCs w:val="14"/>
              </w:rPr>
              <w:t>11</w:t>
            </w:r>
            <w:r>
              <w:rPr>
                <w:sz w:val="14"/>
                <w:szCs w:val="14"/>
              </w:rPr>
              <w:t>,</w:t>
            </w:r>
            <w:r w:rsidRPr="00A36623">
              <w:rPr>
                <w:sz w:val="14"/>
                <w:szCs w:val="14"/>
              </w:rPr>
              <w:t>255</w:t>
            </w:r>
          </w:p>
        </w:tc>
      </w:tr>
      <w:tr w:rsidR="00224102" w:rsidRPr="007C0BA6" w14:paraId="0776759A" w14:textId="77777777" w:rsidTr="00F142CB">
        <w:tc>
          <w:tcPr>
            <w:tcW w:w="560" w:type="dxa"/>
            <w:vAlign w:val="bottom"/>
          </w:tcPr>
          <w:p w14:paraId="41EA09FF"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V.</w:t>
            </w:r>
          </w:p>
        </w:tc>
        <w:tc>
          <w:tcPr>
            <w:tcW w:w="4861" w:type="dxa"/>
            <w:vAlign w:val="bottom"/>
          </w:tcPr>
          <w:p w14:paraId="4A8E454A" w14:textId="77777777" w:rsidR="00224102" w:rsidRPr="007C0BA6" w:rsidRDefault="00224102" w:rsidP="005337DE">
            <w:pPr>
              <w:ind w:left="-76"/>
              <w:rPr>
                <w:rFonts w:eastAsia="Arial Unicode MS"/>
                <w:b/>
                <w:sz w:val="14"/>
                <w:szCs w:val="14"/>
              </w:rPr>
            </w:pPr>
            <w:r w:rsidRPr="007C0BA6">
              <w:rPr>
                <w:rFonts w:eastAsia="Arial Unicode MS"/>
                <w:b/>
                <w:sz w:val="14"/>
                <w:szCs w:val="14"/>
              </w:rPr>
              <w:t>DIVIDEND INCOME</w:t>
            </w:r>
          </w:p>
        </w:tc>
        <w:tc>
          <w:tcPr>
            <w:tcW w:w="851" w:type="dxa"/>
            <w:vAlign w:val="bottom"/>
          </w:tcPr>
          <w:p w14:paraId="4F0516ED" w14:textId="26A3AEF5" w:rsidR="00224102" w:rsidRPr="00A36623" w:rsidRDefault="00224102" w:rsidP="00224102">
            <w:pPr>
              <w:jc w:val="center"/>
              <w:rPr>
                <w:rFonts w:eastAsia="Arial Unicode MS"/>
                <w:b/>
                <w:sz w:val="14"/>
                <w:szCs w:val="14"/>
              </w:rPr>
            </w:pPr>
            <w:r w:rsidRPr="00A36623">
              <w:rPr>
                <w:rFonts w:eastAsia="Arial Unicode MS"/>
                <w:b/>
                <w:bCs/>
                <w:sz w:val="14"/>
                <w:szCs w:val="14"/>
              </w:rPr>
              <w:t>IV-c</w:t>
            </w:r>
          </w:p>
        </w:tc>
        <w:tc>
          <w:tcPr>
            <w:tcW w:w="2037" w:type="dxa"/>
            <w:vAlign w:val="bottom"/>
          </w:tcPr>
          <w:p w14:paraId="114D6348" w14:textId="7670839D" w:rsidR="00224102" w:rsidRPr="00CE6C92" w:rsidRDefault="00224102" w:rsidP="00224102">
            <w:pPr>
              <w:jc w:val="right"/>
              <w:rPr>
                <w:b/>
                <w:bCs/>
                <w:sz w:val="14"/>
                <w:szCs w:val="14"/>
              </w:rPr>
            </w:pPr>
            <w:r w:rsidRPr="00CE6C92">
              <w:rPr>
                <w:b/>
                <w:bCs/>
                <w:sz w:val="14"/>
                <w:szCs w:val="14"/>
              </w:rPr>
              <w:t>-</w:t>
            </w:r>
          </w:p>
        </w:tc>
        <w:tc>
          <w:tcPr>
            <w:tcW w:w="2037" w:type="dxa"/>
            <w:vAlign w:val="bottom"/>
          </w:tcPr>
          <w:p w14:paraId="60E68B2F" w14:textId="2D03180C" w:rsidR="00224102" w:rsidRPr="00A36623" w:rsidRDefault="00224102" w:rsidP="00224102">
            <w:pPr>
              <w:jc w:val="right"/>
              <w:rPr>
                <w:b/>
                <w:sz w:val="14"/>
                <w:szCs w:val="14"/>
              </w:rPr>
            </w:pPr>
            <w:r w:rsidRPr="00A36623">
              <w:rPr>
                <w:b/>
                <w:sz w:val="14"/>
                <w:szCs w:val="14"/>
              </w:rPr>
              <w:t>197</w:t>
            </w:r>
          </w:p>
        </w:tc>
      </w:tr>
      <w:tr w:rsidR="00224102" w:rsidRPr="007C0BA6" w14:paraId="6F440E8C" w14:textId="77777777" w:rsidTr="00F142CB">
        <w:tc>
          <w:tcPr>
            <w:tcW w:w="560" w:type="dxa"/>
            <w:vAlign w:val="bottom"/>
          </w:tcPr>
          <w:p w14:paraId="668A3B28"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VI.</w:t>
            </w:r>
          </w:p>
        </w:tc>
        <w:tc>
          <w:tcPr>
            <w:tcW w:w="4861" w:type="dxa"/>
            <w:vAlign w:val="bottom"/>
          </w:tcPr>
          <w:p w14:paraId="600C5FCC" w14:textId="77777777" w:rsidR="00224102" w:rsidRPr="007C0BA6" w:rsidRDefault="00224102" w:rsidP="005337DE">
            <w:pPr>
              <w:ind w:left="-76"/>
              <w:rPr>
                <w:rFonts w:eastAsia="Arial Unicode MS"/>
                <w:b/>
                <w:sz w:val="14"/>
                <w:szCs w:val="14"/>
              </w:rPr>
            </w:pPr>
            <w:r w:rsidRPr="007C0BA6">
              <w:rPr>
                <w:rFonts w:eastAsia="Arial Unicode MS"/>
                <w:b/>
                <w:sz w:val="14"/>
                <w:szCs w:val="14"/>
              </w:rPr>
              <w:t>TRADING INCOME / LOSS (Net)</w:t>
            </w:r>
          </w:p>
        </w:tc>
        <w:tc>
          <w:tcPr>
            <w:tcW w:w="851" w:type="dxa"/>
            <w:vAlign w:val="bottom"/>
          </w:tcPr>
          <w:p w14:paraId="55C3EF06" w14:textId="55C1F293" w:rsidR="00224102" w:rsidRPr="00A36623" w:rsidRDefault="00224102" w:rsidP="00224102">
            <w:pPr>
              <w:jc w:val="center"/>
              <w:rPr>
                <w:rFonts w:eastAsia="Arial Unicode MS"/>
                <w:sz w:val="14"/>
                <w:szCs w:val="14"/>
              </w:rPr>
            </w:pPr>
            <w:r w:rsidRPr="00A36623">
              <w:rPr>
                <w:rFonts w:eastAsia="Arial Unicode MS"/>
                <w:b/>
                <w:bCs/>
                <w:sz w:val="14"/>
                <w:szCs w:val="14"/>
              </w:rPr>
              <w:t>IV-d</w:t>
            </w:r>
          </w:p>
        </w:tc>
        <w:tc>
          <w:tcPr>
            <w:tcW w:w="2037" w:type="dxa"/>
            <w:vAlign w:val="bottom"/>
          </w:tcPr>
          <w:p w14:paraId="58B591D2" w14:textId="223F5293" w:rsidR="00224102" w:rsidRPr="00CE6C92" w:rsidRDefault="00224102" w:rsidP="00224102">
            <w:pPr>
              <w:jc w:val="right"/>
              <w:rPr>
                <w:b/>
                <w:bCs/>
                <w:sz w:val="14"/>
                <w:szCs w:val="14"/>
              </w:rPr>
            </w:pPr>
            <w:r w:rsidRPr="00CE6C92">
              <w:rPr>
                <w:b/>
                <w:bCs/>
                <w:sz w:val="14"/>
                <w:szCs w:val="14"/>
              </w:rPr>
              <w:t>(39,752)</w:t>
            </w:r>
          </w:p>
        </w:tc>
        <w:tc>
          <w:tcPr>
            <w:tcW w:w="2037" w:type="dxa"/>
            <w:vAlign w:val="bottom"/>
          </w:tcPr>
          <w:p w14:paraId="48A7FA8F" w14:textId="72F3B784" w:rsidR="00224102" w:rsidRPr="00A36623" w:rsidRDefault="00224102" w:rsidP="00224102">
            <w:pPr>
              <w:jc w:val="right"/>
              <w:rPr>
                <w:b/>
                <w:sz w:val="14"/>
                <w:szCs w:val="14"/>
              </w:rPr>
            </w:pPr>
            <w:r w:rsidRPr="00A36623">
              <w:rPr>
                <w:b/>
                <w:sz w:val="14"/>
                <w:szCs w:val="14"/>
              </w:rPr>
              <w:t>(27</w:t>
            </w:r>
            <w:r>
              <w:rPr>
                <w:b/>
                <w:sz w:val="14"/>
                <w:szCs w:val="14"/>
              </w:rPr>
              <w:t>,</w:t>
            </w:r>
            <w:r w:rsidRPr="00A36623">
              <w:rPr>
                <w:b/>
                <w:sz w:val="14"/>
                <w:szCs w:val="14"/>
              </w:rPr>
              <w:t>480)</w:t>
            </w:r>
          </w:p>
        </w:tc>
      </w:tr>
      <w:tr w:rsidR="00224102" w:rsidRPr="007C0BA6" w14:paraId="1E37214F" w14:textId="77777777" w:rsidTr="00F142CB">
        <w:tc>
          <w:tcPr>
            <w:tcW w:w="560" w:type="dxa"/>
            <w:vAlign w:val="bottom"/>
          </w:tcPr>
          <w:p w14:paraId="20EEFF75"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4"/>
                <w:szCs w:val="14"/>
              </w:rPr>
            </w:pPr>
            <w:r w:rsidRPr="007C0BA6">
              <w:rPr>
                <w:rFonts w:eastAsia="Arial Unicode MS"/>
                <w:sz w:val="14"/>
                <w:szCs w:val="14"/>
              </w:rPr>
              <w:t>6.1</w:t>
            </w:r>
          </w:p>
        </w:tc>
        <w:tc>
          <w:tcPr>
            <w:tcW w:w="4861" w:type="dxa"/>
            <w:vAlign w:val="bottom"/>
          </w:tcPr>
          <w:p w14:paraId="0BCAE2E1" w14:textId="77777777" w:rsidR="00224102" w:rsidRPr="007C0BA6" w:rsidRDefault="00224102" w:rsidP="005337DE">
            <w:pPr>
              <w:ind w:left="-76" w:firstLine="14"/>
              <w:rPr>
                <w:rFonts w:eastAsia="Arial Unicode MS"/>
                <w:sz w:val="14"/>
                <w:szCs w:val="14"/>
              </w:rPr>
            </w:pPr>
            <w:r w:rsidRPr="007C0BA6">
              <w:rPr>
                <w:rFonts w:eastAsia="Arial Unicode MS"/>
                <w:sz w:val="14"/>
                <w:szCs w:val="14"/>
              </w:rPr>
              <w:t>Trading Gains/Losses on Securities</w:t>
            </w:r>
          </w:p>
        </w:tc>
        <w:tc>
          <w:tcPr>
            <w:tcW w:w="851" w:type="dxa"/>
            <w:vAlign w:val="bottom"/>
          </w:tcPr>
          <w:p w14:paraId="016E8E22" w14:textId="77777777" w:rsidR="00224102" w:rsidRPr="00A36623" w:rsidRDefault="00224102" w:rsidP="00224102">
            <w:pPr>
              <w:jc w:val="center"/>
              <w:rPr>
                <w:rFonts w:eastAsia="Arial Unicode MS"/>
                <w:sz w:val="14"/>
                <w:szCs w:val="14"/>
              </w:rPr>
            </w:pPr>
          </w:p>
        </w:tc>
        <w:tc>
          <w:tcPr>
            <w:tcW w:w="2037" w:type="dxa"/>
            <w:vAlign w:val="bottom"/>
          </w:tcPr>
          <w:p w14:paraId="094F7144" w14:textId="0958475B" w:rsidR="00224102" w:rsidRPr="00CE6C92" w:rsidRDefault="00224102" w:rsidP="00224102">
            <w:pPr>
              <w:jc w:val="right"/>
              <w:rPr>
                <w:sz w:val="14"/>
                <w:szCs w:val="14"/>
              </w:rPr>
            </w:pPr>
            <w:r w:rsidRPr="00CE6C92">
              <w:rPr>
                <w:sz w:val="14"/>
                <w:szCs w:val="14"/>
              </w:rPr>
              <w:t>4,950</w:t>
            </w:r>
          </w:p>
        </w:tc>
        <w:tc>
          <w:tcPr>
            <w:tcW w:w="2037" w:type="dxa"/>
            <w:vAlign w:val="bottom"/>
          </w:tcPr>
          <w:p w14:paraId="47B8F90C" w14:textId="571A82FC" w:rsidR="00224102" w:rsidRPr="00A36623" w:rsidRDefault="00224102" w:rsidP="00224102">
            <w:pPr>
              <w:jc w:val="right"/>
              <w:rPr>
                <w:sz w:val="14"/>
                <w:szCs w:val="14"/>
              </w:rPr>
            </w:pPr>
            <w:r w:rsidRPr="00A36623">
              <w:rPr>
                <w:sz w:val="14"/>
                <w:szCs w:val="14"/>
              </w:rPr>
              <w:t>542</w:t>
            </w:r>
          </w:p>
        </w:tc>
      </w:tr>
      <w:tr w:rsidR="00224102" w:rsidRPr="007C0BA6" w14:paraId="7E1B6E44" w14:textId="77777777" w:rsidTr="00F142CB">
        <w:tc>
          <w:tcPr>
            <w:tcW w:w="560" w:type="dxa"/>
            <w:vAlign w:val="bottom"/>
          </w:tcPr>
          <w:p w14:paraId="44058AB2"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4"/>
                <w:szCs w:val="14"/>
              </w:rPr>
            </w:pPr>
            <w:r w:rsidRPr="007C0BA6">
              <w:rPr>
                <w:rFonts w:eastAsia="Arial Unicode MS"/>
                <w:sz w:val="14"/>
                <w:szCs w:val="14"/>
              </w:rPr>
              <w:t>6.2</w:t>
            </w:r>
          </w:p>
        </w:tc>
        <w:tc>
          <w:tcPr>
            <w:tcW w:w="4861" w:type="dxa"/>
            <w:vAlign w:val="bottom"/>
          </w:tcPr>
          <w:p w14:paraId="23A6B4F1" w14:textId="77777777" w:rsidR="00224102" w:rsidRPr="007C0BA6" w:rsidRDefault="00224102" w:rsidP="005337DE">
            <w:pPr>
              <w:ind w:left="-76" w:firstLine="14"/>
              <w:rPr>
                <w:rFonts w:eastAsia="Arial Unicode MS"/>
                <w:sz w:val="14"/>
                <w:szCs w:val="14"/>
              </w:rPr>
            </w:pPr>
            <w:r w:rsidRPr="007C0BA6">
              <w:rPr>
                <w:rFonts w:eastAsia="Arial Unicode MS"/>
                <w:sz w:val="14"/>
                <w:szCs w:val="14"/>
              </w:rPr>
              <w:t>Trading Gains/Losses on Derivative Financial Instruments</w:t>
            </w:r>
          </w:p>
        </w:tc>
        <w:tc>
          <w:tcPr>
            <w:tcW w:w="851" w:type="dxa"/>
            <w:vAlign w:val="bottom"/>
          </w:tcPr>
          <w:p w14:paraId="4D785911" w14:textId="36DF5DC8" w:rsidR="00224102" w:rsidRPr="00A36623" w:rsidRDefault="00224102" w:rsidP="00224102">
            <w:pPr>
              <w:jc w:val="center"/>
              <w:rPr>
                <w:rFonts w:eastAsia="Arial Unicode MS"/>
                <w:sz w:val="14"/>
                <w:szCs w:val="14"/>
              </w:rPr>
            </w:pPr>
            <w:r w:rsidRPr="00A36623">
              <w:rPr>
                <w:rFonts w:eastAsia="Arial Unicode MS"/>
                <w:bCs/>
                <w:sz w:val="14"/>
                <w:szCs w:val="14"/>
              </w:rPr>
              <w:t>IV-</w:t>
            </w:r>
            <w:r>
              <w:rPr>
                <w:rFonts w:eastAsia="Arial Unicode MS"/>
                <w:bCs/>
                <w:sz w:val="14"/>
                <w:szCs w:val="14"/>
              </w:rPr>
              <w:t>d</w:t>
            </w:r>
          </w:p>
        </w:tc>
        <w:tc>
          <w:tcPr>
            <w:tcW w:w="2037" w:type="dxa"/>
            <w:vAlign w:val="bottom"/>
          </w:tcPr>
          <w:p w14:paraId="1CFDC103" w14:textId="75EF879B" w:rsidR="00224102" w:rsidRPr="00CE6C92" w:rsidRDefault="00224102" w:rsidP="00224102">
            <w:pPr>
              <w:jc w:val="right"/>
              <w:rPr>
                <w:sz w:val="14"/>
                <w:szCs w:val="14"/>
              </w:rPr>
            </w:pPr>
            <w:r w:rsidRPr="00CE6C92">
              <w:rPr>
                <w:sz w:val="14"/>
                <w:szCs w:val="14"/>
              </w:rPr>
              <w:t>67,550</w:t>
            </w:r>
          </w:p>
        </w:tc>
        <w:tc>
          <w:tcPr>
            <w:tcW w:w="2037" w:type="dxa"/>
            <w:vAlign w:val="bottom"/>
          </w:tcPr>
          <w:p w14:paraId="4DE24FC7" w14:textId="7DF8430F" w:rsidR="00224102" w:rsidRPr="00A36623" w:rsidRDefault="00224102" w:rsidP="00224102">
            <w:pPr>
              <w:jc w:val="right"/>
              <w:rPr>
                <w:sz w:val="14"/>
                <w:szCs w:val="14"/>
              </w:rPr>
            </w:pPr>
            <w:r w:rsidRPr="00A36623">
              <w:rPr>
                <w:sz w:val="14"/>
                <w:szCs w:val="14"/>
              </w:rPr>
              <w:t>719</w:t>
            </w:r>
          </w:p>
        </w:tc>
      </w:tr>
      <w:tr w:rsidR="00224102" w:rsidRPr="007C0BA6" w14:paraId="6020E20B" w14:textId="77777777" w:rsidTr="00F142CB">
        <w:tc>
          <w:tcPr>
            <w:tcW w:w="560" w:type="dxa"/>
            <w:vAlign w:val="bottom"/>
          </w:tcPr>
          <w:p w14:paraId="7D6212E5" w14:textId="77777777" w:rsidR="00224102" w:rsidRPr="007C0BA6" w:rsidRDefault="00224102" w:rsidP="005337DE">
            <w:pPr>
              <w:ind w:left="-76"/>
              <w:rPr>
                <w:rFonts w:eastAsia="Arial Unicode MS"/>
                <w:sz w:val="14"/>
                <w:szCs w:val="14"/>
              </w:rPr>
            </w:pPr>
            <w:r w:rsidRPr="007C0BA6">
              <w:rPr>
                <w:sz w:val="14"/>
                <w:szCs w:val="14"/>
              </w:rPr>
              <w:t>6.3</w:t>
            </w:r>
          </w:p>
        </w:tc>
        <w:tc>
          <w:tcPr>
            <w:tcW w:w="4861" w:type="dxa"/>
            <w:vAlign w:val="bottom"/>
          </w:tcPr>
          <w:p w14:paraId="367BE67C" w14:textId="77777777" w:rsidR="00224102" w:rsidRPr="007C0BA6" w:rsidRDefault="00224102" w:rsidP="005337DE">
            <w:pPr>
              <w:ind w:left="-76" w:firstLine="14"/>
              <w:rPr>
                <w:rFonts w:eastAsia="Arial Unicode MS"/>
                <w:sz w:val="14"/>
                <w:szCs w:val="14"/>
              </w:rPr>
            </w:pPr>
            <w:r w:rsidRPr="007C0BA6">
              <w:rPr>
                <w:rFonts w:eastAsia="Arial Unicode MS"/>
                <w:sz w:val="14"/>
                <w:szCs w:val="14"/>
              </w:rPr>
              <w:t>Foreign Exchange Gains/Losses</w:t>
            </w:r>
          </w:p>
        </w:tc>
        <w:tc>
          <w:tcPr>
            <w:tcW w:w="851" w:type="dxa"/>
            <w:vAlign w:val="bottom"/>
          </w:tcPr>
          <w:p w14:paraId="4A45F04C" w14:textId="77777777" w:rsidR="00224102" w:rsidRPr="00A36623" w:rsidRDefault="00224102" w:rsidP="00224102">
            <w:pPr>
              <w:jc w:val="center"/>
              <w:rPr>
                <w:rFonts w:eastAsia="Arial Unicode MS"/>
                <w:sz w:val="14"/>
                <w:szCs w:val="14"/>
              </w:rPr>
            </w:pPr>
          </w:p>
        </w:tc>
        <w:tc>
          <w:tcPr>
            <w:tcW w:w="2037" w:type="dxa"/>
            <w:vAlign w:val="bottom"/>
          </w:tcPr>
          <w:p w14:paraId="782077DC" w14:textId="60568E6C" w:rsidR="00224102" w:rsidRPr="00CE6C92" w:rsidRDefault="00224102" w:rsidP="00224102">
            <w:pPr>
              <w:jc w:val="right"/>
              <w:rPr>
                <w:sz w:val="14"/>
                <w:szCs w:val="14"/>
              </w:rPr>
            </w:pPr>
            <w:r w:rsidRPr="00CE6C92">
              <w:rPr>
                <w:sz w:val="14"/>
                <w:szCs w:val="14"/>
              </w:rPr>
              <w:t>(112,252)</w:t>
            </w:r>
          </w:p>
        </w:tc>
        <w:tc>
          <w:tcPr>
            <w:tcW w:w="2037" w:type="dxa"/>
            <w:vAlign w:val="bottom"/>
          </w:tcPr>
          <w:p w14:paraId="10A3347A" w14:textId="42EDF45B" w:rsidR="00224102" w:rsidRPr="00A36623" w:rsidRDefault="00224102" w:rsidP="00224102">
            <w:pPr>
              <w:jc w:val="right"/>
              <w:rPr>
                <w:sz w:val="14"/>
                <w:szCs w:val="14"/>
              </w:rPr>
            </w:pPr>
            <w:r w:rsidRPr="00A36623">
              <w:rPr>
                <w:sz w:val="14"/>
                <w:szCs w:val="14"/>
              </w:rPr>
              <w:t>(28</w:t>
            </w:r>
            <w:r>
              <w:rPr>
                <w:sz w:val="14"/>
                <w:szCs w:val="14"/>
              </w:rPr>
              <w:t>,</w:t>
            </w:r>
            <w:r w:rsidRPr="00A36623">
              <w:rPr>
                <w:sz w:val="14"/>
                <w:szCs w:val="14"/>
              </w:rPr>
              <w:t>741)</w:t>
            </w:r>
          </w:p>
        </w:tc>
      </w:tr>
      <w:tr w:rsidR="00224102" w:rsidRPr="007C0BA6" w14:paraId="62D5FB95" w14:textId="77777777" w:rsidTr="00F142CB">
        <w:tc>
          <w:tcPr>
            <w:tcW w:w="560" w:type="dxa"/>
            <w:vAlign w:val="bottom"/>
          </w:tcPr>
          <w:p w14:paraId="688CA2E6"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VII.</w:t>
            </w:r>
          </w:p>
        </w:tc>
        <w:tc>
          <w:tcPr>
            <w:tcW w:w="4861" w:type="dxa"/>
            <w:vAlign w:val="bottom"/>
          </w:tcPr>
          <w:p w14:paraId="765248C3" w14:textId="77777777" w:rsidR="00224102" w:rsidRPr="007C0BA6" w:rsidRDefault="00224102" w:rsidP="005337DE">
            <w:pPr>
              <w:ind w:left="-76"/>
              <w:rPr>
                <w:rFonts w:eastAsia="Arial Unicode MS"/>
                <w:b/>
                <w:sz w:val="14"/>
                <w:szCs w:val="14"/>
              </w:rPr>
            </w:pPr>
            <w:r w:rsidRPr="007C0BA6">
              <w:rPr>
                <w:rFonts w:eastAsia="Arial Unicode MS"/>
                <w:b/>
                <w:sz w:val="14"/>
                <w:szCs w:val="14"/>
              </w:rPr>
              <w:t>OTHER OPERATING INCOME</w:t>
            </w:r>
          </w:p>
        </w:tc>
        <w:tc>
          <w:tcPr>
            <w:tcW w:w="851" w:type="dxa"/>
            <w:vAlign w:val="bottom"/>
          </w:tcPr>
          <w:p w14:paraId="4DBE60AB" w14:textId="35AC5FC2" w:rsidR="00224102" w:rsidRPr="00A36623" w:rsidRDefault="00224102" w:rsidP="00224102">
            <w:pPr>
              <w:jc w:val="center"/>
              <w:rPr>
                <w:rFonts w:eastAsia="Arial Unicode MS"/>
                <w:sz w:val="14"/>
                <w:szCs w:val="14"/>
              </w:rPr>
            </w:pPr>
            <w:r w:rsidRPr="00A36623">
              <w:rPr>
                <w:rFonts w:eastAsia="Arial Unicode MS"/>
                <w:b/>
                <w:bCs/>
                <w:sz w:val="14"/>
                <w:szCs w:val="14"/>
              </w:rPr>
              <w:t>IV-</w:t>
            </w:r>
            <w:r>
              <w:rPr>
                <w:rFonts w:eastAsia="Arial Unicode MS"/>
                <w:b/>
                <w:bCs/>
                <w:sz w:val="14"/>
                <w:szCs w:val="14"/>
              </w:rPr>
              <w:t>e</w:t>
            </w:r>
          </w:p>
        </w:tc>
        <w:tc>
          <w:tcPr>
            <w:tcW w:w="2037" w:type="dxa"/>
            <w:vAlign w:val="bottom"/>
          </w:tcPr>
          <w:p w14:paraId="1B8F5578" w14:textId="286E2662" w:rsidR="00224102" w:rsidRPr="00CE6C92" w:rsidRDefault="00224102" w:rsidP="00224102">
            <w:pPr>
              <w:jc w:val="right"/>
              <w:rPr>
                <w:b/>
                <w:bCs/>
                <w:sz w:val="14"/>
                <w:szCs w:val="14"/>
              </w:rPr>
            </w:pPr>
            <w:r w:rsidRPr="00CE6C92">
              <w:rPr>
                <w:b/>
                <w:bCs/>
                <w:sz w:val="14"/>
                <w:szCs w:val="14"/>
              </w:rPr>
              <w:t>170,094</w:t>
            </w:r>
          </w:p>
        </w:tc>
        <w:tc>
          <w:tcPr>
            <w:tcW w:w="2037" w:type="dxa"/>
            <w:vAlign w:val="bottom"/>
          </w:tcPr>
          <w:p w14:paraId="64CE8BCC" w14:textId="72D6748D" w:rsidR="00224102" w:rsidRPr="00A36623" w:rsidRDefault="00224102" w:rsidP="00224102">
            <w:pPr>
              <w:jc w:val="right"/>
              <w:rPr>
                <w:b/>
                <w:sz w:val="14"/>
                <w:szCs w:val="14"/>
              </w:rPr>
            </w:pPr>
            <w:r w:rsidRPr="00A36623">
              <w:rPr>
                <w:b/>
                <w:sz w:val="14"/>
                <w:szCs w:val="14"/>
              </w:rPr>
              <w:t>82</w:t>
            </w:r>
            <w:r>
              <w:rPr>
                <w:b/>
                <w:sz w:val="14"/>
                <w:szCs w:val="14"/>
              </w:rPr>
              <w:t>,</w:t>
            </w:r>
            <w:r w:rsidRPr="00A36623">
              <w:rPr>
                <w:b/>
                <w:sz w:val="14"/>
                <w:szCs w:val="14"/>
              </w:rPr>
              <w:t>368</w:t>
            </w:r>
          </w:p>
        </w:tc>
      </w:tr>
      <w:tr w:rsidR="00224102" w:rsidRPr="007C0BA6" w14:paraId="11DA0C45" w14:textId="77777777" w:rsidTr="00F142CB">
        <w:tc>
          <w:tcPr>
            <w:tcW w:w="560" w:type="dxa"/>
            <w:vAlign w:val="bottom"/>
          </w:tcPr>
          <w:p w14:paraId="4621613D"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VIII.</w:t>
            </w:r>
          </w:p>
        </w:tc>
        <w:tc>
          <w:tcPr>
            <w:tcW w:w="4861" w:type="dxa"/>
            <w:vAlign w:val="bottom"/>
          </w:tcPr>
          <w:p w14:paraId="099C4066" w14:textId="77777777" w:rsidR="00224102" w:rsidRPr="007C0BA6" w:rsidRDefault="00224102" w:rsidP="005337DE">
            <w:pPr>
              <w:ind w:left="-76"/>
              <w:rPr>
                <w:rFonts w:eastAsia="Arial Unicode MS"/>
                <w:b/>
                <w:sz w:val="14"/>
                <w:szCs w:val="14"/>
              </w:rPr>
            </w:pPr>
            <w:r w:rsidRPr="007C0BA6">
              <w:rPr>
                <w:rFonts w:eastAsia="Arial Unicode MS"/>
                <w:b/>
                <w:sz w:val="14"/>
                <w:szCs w:val="14"/>
              </w:rPr>
              <w:t>TOTAL OPERATING INCOME (III+IV+V+VI+VII)</w:t>
            </w:r>
          </w:p>
        </w:tc>
        <w:tc>
          <w:tcPr>
            <w:tcW w:w="851" w:type="dxa"/>
            <w:vAlign w:val="bottom"/>
          </w:tcPr>
          <w:p w14:paraId="4A5F375C" w14:textId="77777777" w:rsidR="00224102" w:rsidRPr="00A36623" w:rsidRDefault="00224102" w:rsidP="00224102">
            <w:pPr>
              <w:jc w:val="center"/>
              <w:rPr>
                <w:rFonts w:eastAsia="Arial Unicode MS"/>
                <w:sz w:val="14"/>
                <w:szCs w:val="14"/>
              </w:rPr>
            </w:pPr>
          </w:p>
        </w:tc>
        <w:tc>
          <w:tcPr>
            <w:tcW w:w="2037" w:type="dxa"/>
            <w:vAlign w:val="bottom"/>
          </w:tcPr>
          <w:p w14:paraId="41DBA800" w14:textId="0F3511F4" w:rsidR="00224102" w:rsidRPr="00CE6C92" w:rsidRDefault="00224102" w:rsidP="00224102">
            <w:pPr>
              <w:jc w:val="right"/>
              <w:rPr>
                <w:b/>
                <w:bCs/>
                <w:sz w:val="14"/>
                <w:szCs w:val="14"/>
              </w:rPr>
            </w:pPr>
            <w:r w:rsidRPr="00CE6C92">
              <w:rPr>
                <w:b/>
                <w:bCs/>
                <w:sz w:val="14"/>
                <w:szCs w:val="14"/>
              </w:rPr>
              <w:t>740,787</w:t>
            </w:r>
          </w:p>
        </w:tc>
        <w:tc>
          <w:tcPr>
            <w:tcW w:w="2037" w:type="dxa"/>
            <w:vAlign w:val="bottom"/>
          </w:tcPr>
          <w:p w14:paraId="22C8F134" w14:textId="1BCD2079" w:rsidR="00224102" w:rsidRPr="00A36623" w:rsidRDefault="00224102" w:rsidP="00224102">
            <w:pPr>
              <w:jc w:val="right"/>
              <w:rPr>
                <w:b/>
                <w:sz w:val="14"/>
                <w:szCs w:val="14"/>
              </w:rPr>
            </w:pPr>
            <w:r w:rsidRPr="00A36623">
              <w:rPr>
                <w:b/>
                <w:sz w:val="14"/>
                <w:szCs w:val="14"/>
              </w:rPr>
              <w:t>594</w:t>
            </w:r>
            <w:r>
              <w:rPr>
                <w:b/>
                <w:sz w:val="14"/>
                <w:szCs w:val="14"/>
              </w:rPr>
              <w:t>,</w:t>
            </w:r>
            <w:r w:rsidRPr="00A36623">
              <w:rPr>
                <w:b/>
                <w:sz w:val="14"/>
                <w:szCs w:val="14"/>
              </w:rPr>
              <w:t>250</w:t>
            </w:r>
          </w:p>
        </w:tc>
      </w:tr>
      <w:tr w:rsidR="00224102" w:rsidRPr="007C0BA6" w14:paraId="2B75D67C" w14:textId="77777777" w:rsidTr="00F142CB">
        <w:tc>
          <w:tcPr>
            <w:tcW w:w="560" w:type="dxa"/>
            <w:vAlign w:val="bottom"/>
          </w:tcPr>
          <w:p w14:paraId="75156544"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IX.</w:t>
            </w:r>
          </w:p>
        </w:tc>
        <w:tc>
          <w:tcPr>
            <w:tcW w:w="4861" w:type="dxa"/>
            <w:vAlign w:val="bottom"/>
          </w:tcPr>
          <w:p w14:paraId="50DAD65E" w14:textId="77777777" w:rsidR="00224102" w:rsidRPr="007C0BA6" w:rsidRDefault="00224102" w:rsidP="005337DE">
            <w:pPr>
              <w:ind w:left="-76" w:right="-155"/>
              <w:rPr>
                <w:rFonts w:eastAsia="Arial Unicode MS"/>
                <w:b/>
                <w:sz w:val="14"/>
                <w:szCs w:val="14"/>
              </w:rPr>
            </w:pPr>
            <w:r w:rsidRPr="007C0BA6">
              <w:rPr>
                <w:rFonts w:eastAsia="Arial Unicode MS"/>
                <w:b/>
                <w:sz w:val="14"/>
                <w:szCs w:val="14"/>
              </w:rPr>
              <w:t>PROVISION FOR LOAN LOSSES AND OTHER RECEIVABLES (-)</w:t>
            </w:r>
          </w:p>
        </w:tc>
        <w:tc>
          <w:tcPr>
            <w:tcW w:w="851" w:type="dxa"/>
            <w:vAlign w:val="bottom"/>
          </w:tcPr>
          <w:p w14:paraId="765EA6F1" w14:textId="76C76B45" w:rsidR="00224102" w:rsidRPr="00A36623" w:rsidRDefault="00224102" w:rsidP="00224102">
            <w:pPr>
              <w:jc w:val="center"/>
              <w:rPr>
                <w:rFonts w:eastAsia="Arial Unicode MS"/>
                <w:sz w:val="14"/>
                <w:szCs w:val="14"/>
              </w:rPr>
            </w:pPr>
            <w:r w:rsidRPr="00A36623">
              <w:rPr>
                <w:rFonts w:eastAsia="Arial Unicode MS"/>
                <w:b/>
                <w:bCs/>
                <w:sz w:val="14"/>
                <w:szCs w:val="14"/>
              </w:rPr>
              <w:t>IV-</w:t>
            </w:r>
            <w:r>
              <w:rPr>
                <w:rFonts w:eastAsia="Arial Unicode MS"/>
                <w:b/>
                <w:bCs/>
                <w:sz w:val="14"/>
                <w:szCs w:val="14"/>
              </w:rPr>
              <w:t>f</w:t>
            </w:r>
          </w:p>
        </w:tc>
        <w:tc>
          <w:tcPr>
            <w:tcW w:w="2037" w:type="dxa"/>
            <w:vAlign w:val="bottom"/>
          </w:tcPr>
          <w:p w14:paraId="283760BE" w14:textId="325175D0" w:rsidR="00224102" w:rsidRPr="00CE6C92" w:rsidRDefault="00224102" w:rsidP="00224102">
            <w:pPr>
              <w:jc w:val="right"/>
              <w:rPr>
                <w:b/>
                <w:bCs/>
                <w:sz w:val="14"/>
                <w:szCs w:val="14"/>
              </w:rPr>
            </w:pPr>
            <w:r w:rsidRPr="00CE6C92">
              <w:rPr>
                <w:b/>
                <w:bCs/>
                <w:sz w:val="14"/>
                <w:szCs w:val="14"/>
              </w:rPr>
              <w:t>211,041</w:t>
            </w:r>
          </w:p>
        </w:tc>
        <w:tc>
          <w:tcPr>
            <w:tcW w:w="2037" w:type="dxa"/>
            <w:vAlign w:val="bottom"/>
          </w:tcPr>
          <w:p w14:paraId="6F870FCB" w14:textId="71B28028" w:rsidR="00224102" w:rsidRPr="00A36623" w:rsidRDefault="00224102" w:rsidP="00224102">
            <w:pPr>
              <w:jc w:val="right"/>
              <w:rPr>
                <w:b/>
                <w:sz w:val="14"/>
                <w:szCs w:val="14"/>
              </w:rPr>
            </w:pPr>
            <w:r w:rsidRPr="00A36623">
              <w:rPr>
                <w:b/>
                <w:sz w:val="14"/>
                <w:szCs w:val="14"/>
              </w:rPr>
              <w:t>137</w:t>
            </w:r>
            <w:r>
              <w:rPr>
                <w:b/>
                <w:sz w:val="14"/>
                <w:szCs w:val="14"/>
              </w:rPr>
              <w:t>,</w:t>
            </w:r>
            <w:r w:rsidRPr="00A36623">
              <w:rPr>
                <w:b/>
                <w:sz w:val="14"/>
                <w:szCs w:val="14"/>
              </w:rPr>
              <w:t>455</w:t>
            </w:r>
          </w:p>
        </w:tc>
      </w:tr>
      <w:tr w:rsidR="00224102" w:rsidRPr="007C0BA6" w14:paraId="645DF255" w14:textId="77777777" w:rsidTr="00F142CB">
        <w:tc>
          <w:tcPr>
            <w:tcW w:w="560" w:type="dxa"/>
            <w:vAlign w:val="bottom"/>
          </w:tcPr>
          <w:p w14:paraId="62B210B6"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b/>
                <w:sz w:val="12"/>
                <w:szCs w:val="12"/>
              </w:rPr>
              <w:t>X.</w:t>
            </w:r>
          </w:p>
        </w:tc>
        <w:tc>
          <w:tcPr>
            <w:tcW w:w="4861" w:type="dxa"/>
            <w:vAlign w:val="bottom"/>
          </w:tcPr>
          <w:p w14:paraId="643802C3" w14:textId="77777777" w:rsidR="00224102" w:rsidRPr="007C0BA6" w:rsidRDefault="00224102" w:rsidP="005337DE">
            <w:pPr>
              <w:ind w:left="-76"/>
              <w:rPr>
                <w:b/>
                <w:sz w:val="14"/>
                <w:szCs w:val="14"/>
              </w:rPr>
            </w:pPr>
            <w:r w:rsidRPr="007C0BA6">
              <w:rPr>
                <w:b/>
                <w:sz w:val="14"/>
                <w:szCs w:val="14"/>
              </w:rPr>
              <w:t>OTHER OPERATING EXPENSES (-)</w:t>
            </w:r>
          </w:p>
        </w:tc>
        <w:tc>
          <w:tcPr>
            <w:tcW w:w="851" w:type="dxa"/>
            <w:vAlign w:val="bottom"/>
          </w:tcPr>
          <w:p w14:paraId="53CEDB37" w14:textId="3C3E791B" w:rsidR="00224102" w:rsidRPr="00A36623" w:rsidRDefault="00224102" w:rsidP="00224102">
            <w:pPr>
              <w:jc w:val="center"/>
              <w:rPr>
                <w:rFonts w:eastAsia="Arial Unicode MS"/>
                <w:sz w:val="14"/>
                <w:szCs w:val="14"/>
              </w:rPr>
            </w:pPr>
            <w:r w:rsidRPr="00A36623">
              <w:rPr>
                <w:rFonts w:eastAsia="Arial Unicode MS"/>
                <w:b/>
                <w:bCs/>
                <w:sz w:val="14"/>
                <w:szCs w:val="14"/>
              </w:rPr>
              <w:t>IV-</w:t>
            </w:r>
            <w:r>
              <w:rPr>
                <w:rFonts w:eastAsia="Arial Unicode MS"/>
                <w:b/>
                <w:bCs/>
                <w:sz w:val="14"/>
                <w:szCs w:val="14"/>
              </w:rPr>
              <w:t>g</w:t>
            </w:r>
          </w:p>
        </w:tc>
        <w:tc>
          <w:tcPr>
            <w:tcW w:w="2037" w:type="dxa"/>
            <w:vAlign w:val="bottom"/>
          </w:tcPr>
          <w:p w14:paraId="41BCA7CB" w14:textId="5166B8AA" w:rsidR="00224102" w:rsidRPr="00CE6C92" w:rsidRDefault="00224102" w:rsidP="00224102">
            <w:pPr>
              <w:jc w:val="right"/>
              <w:rPr>
                <w:b/>
                <w:bCs/>
                <w:sz w:val="14"/>
                <w:szCs w:val="14"/>
              </w:rPr>
            </w:pPr>
            <w:r w:rsidRPr="00CE6C92">
              <w:rPr>
                <w:b/>
                <w:bCs/>
                <w:sz w:val="14"/>
                <w:szCs w:val="14"/>
              </w:rPr>
              <w:t>432,137</w:t>
            </w:r>
          </w:p>
        </w:tc>
        <w:tc>
          <w:tcPr>
            <w:tcW w:w="2037" w:type="dxa"/>
            <w:vAlign w:val="bottom"/>
          </w:tcPr>
          <w:p w14:paraId="7D7DF647" w14:textId="2E3F9102" w:rsidR="00224102" w:rsidRPr="00A36623" w:rsidRDefault="00224102" w:rsidP="00224102">
            <w:pPr>
              <w:jc w:val="right"/>
              <w:rPr>
                <w:b/>
                <w:sz w:val="14"/>
                <w:szCs w:val="14"/>
              </w:rPr>
            </w:pPr>
            <w:r w:rsidRPr="00A36623">
              <w:rPr>
                <w:b/>
                <w:sz w:val="14"/>
                <w:szCs w:val="14"/>
              </w:rPr>
              <w:t>293</w:t>
            </w:r>
            <w:r>
              <w:rPr>
                <w:b/>
                <w:sz w:val="14"/>
                <w:szCs w:val="14"/>
              </w:rPr>
              <w:t>,</w:t>
            </w:r>
            <w:r w:rsidRPr="00A36623">
              <w:rPr>
                <w:b/>
                <w:sz w:val="14"/>
                <w:szCs w:val="14"/>
              </w:rPr>
              <w:t>547</w:t>
            </w:r>
          </w:p>
        </w:tc>
      </w:tr>
      <w:tr w:rsidR="00224102" w:rsidRPr="007C0BA6" w14:paraId="6B68231D" w14:textId="77777777" w:rsidTr="00F142CB">
        <w:tc>
          <w:tcPr>
            <w:tcW w:w="560" w:type="dxa"/>
            <w:vAlign w:val="bottom"/>
          </w:tcPr>
          <w:p w14:paraId="0326A07E"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XI.</w:t>
            </w:r>
          </w:p>
        </w:tc>
        <w:tc>
          <w:tcPr>
            <w:tcW w:w="4861" w:type="dxa"/>
            <w:vAlign w:val="bottom"/>
          </w:tcPr>
          <w:p w14:paraId="7BE7ADAE" w14:textId="77777777" w:rsidR="00224102" w:rsidRPr="007C0BA6" w:rsidRDefault="00224102" w:rsidP="005337DE">
            <w:pPr>
              <w:ind w:left="-76"/>
              <w:rPr>
                <w:rFonts w:eastAsia="Arial Unicode MS"/>
                <w:b/>
                <w:sz w:val="14"/>
                <w:szCs w:val="14"/>
              </w:rPr>
            </w:pPr>
            <w:r w:rsidRPr="007C0BA6">
              <w:rPr>
                <w:rFonts w:eastAsia="Arial Unicode MS"/>
                <w:b/>
                <w:sz w:val="14"/>
                <w:szCs w:val="14"/>
              </w:rPr>
              <w:t>NET OPERATING INCOME/(LOSS) (VIII-IX-X)</w:t>
            </w:r>
          </w:p>
        </w:tc>
        <w:tc>
          <w:tcPr>
            <w:tcW w:w="851" w:type="dxa"/>
            <w:vAlign w:val="bottom"/>
          </w:tcPr>
          <w:p w14:paraId="01FED6FD" w14:textId="77777777" w:rsidR="00224102" w:rsidRPr="00A36623" w:rsidRDefault="00224102" w:rsidP="00224102">
            <w:pPr>
              <w:jc w:val="center"/>
              <w:rPr>
                <w:rFonts w:eastAsia="Arial Unicode MS"/>
                <w:sz w:val="14"/>
                <w:szCs w:val="14"/>
              </w:rPr>
            </w:pPr>
          </w:p>
        </w:tc>
        <w:tc>
          <w:tcPr>
            <w:tcW w:w="2037" w:type="dxa"/>
            <w:vAlign w:val="bottom"/>
          </w:tcPr>
          <w:p w14:paraId="288A6C2C" w14:textId="4D05100F" w:rsidR="00224102" w:rsidRPr="00CE6C92" w:rsidRDefault="00224102" w:rsidP="00224102">
            <w:pPr>
              <w:jc w:val="right"/>
              <w:rPr>
                <w:b/>
                <w:bCs/>
                <w:sz w:val="14"/>
                <w:szCs w:val="14"/>
              </w:rPr>
            </w:pPr>
            <w:r w:rsidRPr="00CE6C92">
              <w:rPr>
                <w:b/>
                <w:bCs/>
                <w:sz w:val="14"/>
                <w:szCs w:val="14"/>
              </w:rPr>
              <w:t>97,609</w:t>
            </w:r>
          </w:p>
        </w:tc>
        <w:tc>
          <w:tcPr>
            <w:tcW w:w="2037" w:type="dxa"/>
            <w:vAlign w:val="bottom"/>
          </w:tcPr>
          <w:p w14:paraId="616499AB" w14:textId="5222186B" w:rsidR="00224102" w:rsidRPr="00A36623" w:rsidRDefault="00224102" w:rsidP="00224102">
            <w:pPr>
              <w:jc w:val="right"/>
              <w:rPr>
                <w:b/>
                <w:sz w:val="14"/>
                <w:szCs w:val="14"/>
              </w:rPr>
            </w:pPr>
            <w:r w:rsidRPr="00A36623">
              <w:rPr>
                <w:b/>
                <w:sz w:val="14"/>
                <w:szCs w:val="14"/>
              </w:rPr>
              <w:t>163</w:t>
            </w:r>
            <w:r>
              <w:rPr>
                <w:b/>
                <w:sz w:val="14"/>
                <w:szCs w:val="14"/>
              </w:rPr>
              <w:t>,</w:t>
            </w:r>
            <w:r w:rsidRPr="00A36623">
              <w:rPr>
                <w:b/>
                <w:sz w:val="14"/>
                <w:szCs w:val="14"/>
              </w:rPr>
              <w:t>248</w:t>
            </w:r>
          </w:p>
        </w:tc>
      </w:tr>
      <w:tr w:rsidR="00224102" w:rsidRPr="007C0BA6" w14:paraId="5E611F2F" w14:textId="77777777" w:rsidTr="00F142CB">
        <w:tc>
          <w:tcPr>
            <w:tcW w:w="560" w:type="dxa"/>
            <w:vAlign w:val="bottom"/>
          </w:tcPr>
          <w:p w14:paraId="15180241"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b/>
                <w:sz w:val="12"/>
                <w:szCs w:val="12"/>
              </w:rPr>
              <w:t>XII.</w:t>
            </w:r>
          </w:p>
        </w:tc>
        <w:tc>
          <w:tcPr>
            <w:tcW w:w="4861" w:type="dxa"/>
            <w:vAlign w:val="bottom"/>
          </w:tcPr>
          <w:p w14:paraId="551B2EAF" w14:textId="0032B235" w:rsidR="00224102" w:rsidRPr="007C0BA6" w:rsidRDefault="00224102" w:rsidP="005337DE">
            <w:pPr>
              <w:ind w:left="-76"/>
              <w:rPr>
                <w:rFonts w:eastAsia="Arial Unicode MS"/>
                <w:b/>
                <w:sz w:val="14"/>
                <w:szCs w:val="14"/>
              </w:rPr>
            </w:pPr>
            <w:r w:rsidRPr="007C0BA6">
              <w:rPr>
                <w:rFonts w:eastAsia="Arial Unicode MS"/>
                <w:b/>
                <w:sz w:val="14"/>
                <w:szCs w:val="14"/>
              </w:rPr>
              <w:t>EXCESS AMOUNT RECORDED AS INCOME AFTER MERGER</w:t>
            </w:r>
          </w:p>
        </w:tc>
        <w:tc>
          <w:tcPr>
            <w:tcW w:w="851" w:type="dxa"/>
            <w:vAlign w:val="bottom"/>
          </w:tcPr>
          <w:p w14:paraId="0EDADCD3" w14:textId="77777777" w:rsidR="00224102" w:rsidRPr="00A36623" w:rsidRDefault="00224102" w:rsidP="00224102">
            <w:pPr>
              <w:jc w:val="center"/>
              <w:rPr>
                <w:rFonts w:eastAsia="Arial Unicode MS"/>
                <w:sz w:val="14"/>
                <w:szCs w:val="14"/>
              </w:rPr>
            </w:pPr>
          </w:p>
        </w:tc>
        <w:tc>
          <w:tcPr>
            <w:tcW w:w="2037" w:type="dxa"/>
            <w:vAlign w:val="bottom"/>
          </w:tcPr>
          <w:p w14:paraId="7D5637AE" w14:textId="4EC04903" w:rsidR="00224102" w:rsidRPr="00A36623" w:rsidRDefault="00224102" w:rsidP="00224102">
            <w:pPr>
              <w:jc w:val="right"/>
              <w:rPr>
                <w:b/>
                <w:sz w:val="14"/>
                <w:szCs w:val="14"/>
              </w:rPr>
            </w:pPr>
            <w:r w:rsidRPr="00A36623">
              <w:rPr>
                <w:b/>
                <w:sz w:val="14"/>
                <w:szCs w:val="14"/>
              </w:rPr>
              <w:t>-</w:t>
            </w:r>
          </w:p>
        </w:tc>
        <w:tc>
          <w:tcPr>
            <w:tcW w:w="2037" w:type="dxa"/>
            <w:vAlign w:val="bottom"/>
          </w:tcPr>
          <w:p w14:paraId="6FA314C8" w14:textId="2C255DD6" w:rsidR="00224102" w:rsidRPr="00F15456" w:rsidRDefault="00224102" w:rsidP="00224102">
            <w:pPr>
              <w:jc w:val="right"/>
              <w:rPr>
                <w:b/>
                <w:bCs/>
                <w:color w:val="000000"/>
                <w:sz w:val="14"/>
                <w:szCs w:val="14"/>
              </w:rPr>
            </w:pPr>
            <w:r w:rsidRPr="00A36623">
              <w:rPr>
                <w:b/>
                <w:sz w:val="14"/>
                <w:szCs w:val="14"/>
              </w:rPr>
              <w:t>-</w:t>
            </w:r>
          </w:p>
        </w:tc>
      </w:tr>
      <w:tr w:rsidR="00224102" w:rsidRPr="007C0BA6" w14:paraId="375DBF79" w14:textId="77777777" w:rsidTr="00F142CB">
        <w:tc>
          <w:tcPr>
            <w:tcW w:w="560" w:type="dxa"/>
          </w:tcPr>
          <w:p w14:paraId="4EF648E2"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b/>
                <w:sz w:val="12"/>
                <w:szCs w:val="12"/>
              </w:rPr>
              <w:t>XIII.</w:t>
            </w:r>
          </w:p>
        </w:tc>
        <w:tc>
          <w:tcPr>
            <w:tcW w:w="4861" w:type="dxa"/>
            <w:vAlign w:val="bottom"/>
          </w:tcPr>
          <w:p w14:paraId="5956D4C6" w14:textId="77777777" w:rsidR="00224102" w:rsidRPr="007C0BA6" w:rsidRDefault="00224102" w:rsidP="005337DE">
            <w:pPr>
              <w:ind w:left="-76"/>
              <w:rPr>
                <w:rFonts w:eastAsia="Arial Unicode MS"/>
                <w:b/>
                <w:sz w:val="14"/>
                <w:szCs w:val="14"/>
              </w:rPr>
            </w:pPr>
            <w:r w:rsidRPr="007C0BA6">
              <w:rPr>
                <w:rFonts w:eastAsia="Arial Unicode MS"/>
                <w:b/>
                <w:sz w:val="14"/>
                <w:szCs w:val="14"/>
              </w:rPr>
              <w:t>INCOME/(LOSS) FROM INVESTMENTS IN SUBSIDIARIES CONSOLIDATED BASED ON EQUITY METHOD</w:t>
            </w:r>
          </w:p>
        </w:tc>
        <w:tc>
          <w:tcPr>
            <w:tcW w:w="851" w:type="dxa"/>
            <w:vAlign w:val="bottom"/>
          </w:tcPr>
          <w:p w14:paraId="732DA57D" w14:textId="77777777" w:rsidR="00224102" w:rsidRPr="00A36623" w:rsidRDefault="00224102" w:rsidP="00224102">
            <w:pPr>
              <w:jc w:val="center"/>
              <w:rPr>
                <w:rFonts w:eastAsia="Arial Unicode MS"/>
                <w:sz w:val="14"/>
                <w:szCs w:val="14"/>
              </w:rPr>
            </w:pPr>
          </w:p>
        </w:tc>
        <w:tc>
          <w:tcPr>
            <w:tcW w:w="2037" w:type="dxa"/>
            <w:vAlign w:val="bottom"/>
          </w:tcPr>
          <w:p w14:paraId="3932AC63" w14:textId="469AB235" w:rsidR="00224102" w:rsidRPr="00A36623" w:rsidRDefault="00224102" w:rsidP="00224102">
            <w:pPr>
              <w:jc w:val="right"/>
              <w:rPr>
                <w:b/>
                <w:sz w:val="14"/>
                <w:szCs w:val="14"/>
              </w:rPr>
            </w:pPr>
            <w:r w:rsidRPr="00A36623">
              <w:rPr>
                <w:b/>
                <w:sz w:val="14"/>
                <w:szCs w:val="14"/>
              </w:rPr>
              <w:t>-</w:t>
            </w:r>
          </w:p>
        </w:tc>
        <w:tc>
          <w:tcPr>
            <w:tcW w:w="2037" w:type="dxa"/>
            <w:vAlign w:val="bottom"/>
          </w:tcPr>
          <w:p w14:paraId="680C3518" w14:textId="7A74CD54" w:rsidR="00224102" w:rsidRPr="00F15456" w:rsidRDefault="00224102" w:rsidP="00224102">
            <w:pPr>
              <w:jc w:val="right"/>
              <w:rPr>
                <w:b/>
                <w:bCs/>
                <w:color w:val="000000"/>
                <w:sz w:val="14"/>
                <w:szCs w:val="14"/>
              </w:rPr>
            </w:pPr>
            <w:r w:rsidRPr="00A36623">
              <w:rPr>
                <w:b/>
                <w:sz w:val="14"/>
                <w:szCs w:val="14"/>
              </w:rPr>
              <w:t>-</w:t>
            </w:r>
          </w:p>
        </w:tc>
      </w:tr>
      <w:tr w:rsidR="00224102" w:rsidRPr="007C0BA6" w14:paraId="650C19C4" w14:textId="77777777" w:rsidTr="00F142CB">
        <w:tc>
          <w:tcPr>
            <w:tcW w:w="560" w:type="dxa"/>
            <w:vAlign w:val="bottom"/>
          </w:tcPr>
          <w:p w14:paraId="2287520F"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b/>
                <w:bCs/>
                <w:sz w:val="12"/>
                <w:szCs w:val="12"/>
              </w:rPr>
              <w:t>XIV.</w:t>
            </w:r>
          </w:p>
        </w:tc>
        <w:tc>
          <w:tcPr>
            <w:tcW w:w="4861" w:type="dxa"/>
            <w:vAlign w:val="bottom"/>
          </w:tcPr>
          <w:p w14:paraId="3C63DFC4" w14:textId="77777777" w:rsidR="00224102" w:rsidRPr="007C0BA6" w:rsidRDefault="00224102" w:rsidP="005337DE">
            <w:pPr>
              <w:ind w:left="-76"/>
              <w:rPr>
                <w:rFonts w:eastAsia="Arial Unicode MS"/>
                <w:b/>
                <w:bCs/>
                <w:sz w:val="14"/>
                <w:szCs w:val="14"/>
              </w:rPr>
            </w:pPr>
            <w:r w:rsidRPr="007C0BA6">
              <w:rPr>
                <w:rFonts w:eastAsia="Arial Unicode MS"/>
                <w:b/>
                <w:bCs/>
                <w:sz w:val="14"/>
                <w:szCs w:val="14"/>
              </w:rPr>
              <w:t>INCOME/(LOSS) ON NET MONETARY POSITION</w:t>
            </w:r>
          </w:p>
        </w:tc>
        <w:tc>
          <w:tcPr>
            <w:tcW w:w="851" w:type="dxa"/>
            <w:vAlign w:val="bottom"/>
          </w:tcPr>
          <w:p w14:paraId="5E8C45A2" w14:textId="77777777" w:rsidR="00224102" w:rsidRPr="00A36623" w:rsidRDefault="00224102" w:rsidP="00224102">
            <w:pPr>
              <w:jc w:val="center"/>
              <w:rPr>
                <w:rFonts w:eastAsia="Arial Unicode MS"/>
                <w:sz w:val="14"/>
                <w:szCs w:val="14"/>
              </w:rPr>
            </w:pPr>
          </w:p>
        </w:tc>
        <w:tc>
          <w:tcPr>
            <w:tcW w:w="2037" w:type="dxa"/>
            <w:vAlign w:val="bottom"/>
          </w:tcPr>
          <w:p w14:paraId="4658331D" w14:textId="1178922E" w:rsidR="00224102" w:rsidRPr="00A36623" w:rsidRDefault="00224102" w:rsidP="00224102">
            <w:pPr>
              <w:jc w:val="right"/>
              <w:rPr>
                <w:b/>
                <w:sz w:val="14"/>
                <w:szCs w:val="14"/>
              </w:rPr>
            </w:pPr>
            <w:r w:rsidRPr="00A36623">
              <w:rPr>
                <w:b/>
                <w:sz w:val="14"/>
                <w:szCs w:val="14"/>
              </w:rPr>
              <w:t>-</w:t>
            </w:r>
          </w:p>
        </w:tc>
        <w:tc>
          <w:tcPr>
            <w:tcW w:w="2037" w:type="dxa"/>
            <w:vAlign w:val="bottom"/>
          </w:tcPr>
          <w:p w14:paraId="40ADC284" w14:textId="055EC448" w:rsidR="00224102" w:rsidRPr="00F15456" w:rsidRDefault="00224102" w:rsidP="00224102">
            <w:pPr>
              <w:jc w:val="right"/>
              <w:rPr>
                <w:b/>
                <w:bCs/>
                <w:color w:val="000000"/>
                <w:sz w:val="14"/>
                <w:szCs w:val="14"/>
              </w:rPr>
            </w:pPr>
            <w:r w:rsidRPr="00A36623">
              <w:rPr>
                <w:b/>
                <w:sz w:val="14"/>
                <w:szCs w:val="14"/>
              </w:rPr>
              <w:t>-</w:t>
            </w:r>
          </w:p>
        </w:tc>
      </w:tr>
      <w:tr w:rsidR="00224102" w:rsidRPr="007C0BA6" w14:paraId="19DD6AE7" w14:textId="77777777" w:rsidTr="00F142CB">
        <w:trPr>
          <w:trHeight w:val="56"/>
        </w:trPr>
        <w:tc>
          <w:tcPr>
            <w:tcW w:w="560" w:type="dxa"/>
          </w:tcPr>
          <w:p w14:paraId="1C456FEA"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bCs/>
                <w:sz w:val="12"/>
                <w:szCs w:val="12"/>
              </w:rPr>
              <w:t>XV.</w:t>
            </w:r>
          </w:p>
        </w:tc>
        <w:tc>
          <w:tcPr>
            <w:tcW w:w="4861" w:type="dxa"/>
            <w:vAlign w:val="bottom"/>
          </w:tcPr>
          <w:p w14:paraId="2EE31337" w14:textId="33EB3973" w:rsidR="00224102" w:rsidRPr="007C0BA6" w:rsidRDefault="00224102" w:rsidP="005337DE">
            <w:pPr>
              <w:ind w:left="-76"/>
              <w:rPr>
                <w:rFonts w:eastAsia="Arial Unicode MS"/>
                <w:b/>
                <w:bCs/>
                <w:sz w:val="14"/>
                <w:szCs w:val="14"/>
              </w:rPr>
            </w:pPr>
            <w:r w:rsidRPr="007C0BA6">
              <w:rPr>
                <w:rFonts w:eastAsia="Arial Unicode MS"/>
                <w:b/>
                <w:bCs/>
                <w:sz w:val="14"/>
                <w:szCs w:val="14"/>
              </w:rPr>
              <w:t>INCOME/(LOSS) BEFORE TAX FROM CONTINUING OPERATIONS (XI+…+XIV)</w:t>
            </w:r>
          </w:p>
        </w:tc>
        <w:tc>
          <w:tcPr>
            <w:tcW w:w="851" w:type="dxa"/>
            <w:vAlign w:val="bottom"/>
          </w:tcPr>
          <w:p w14:paraId="5864E917" w14:textId="2469D255" w:rsidR="00224102" w:rsidRPr="00A36623" w:rsidRDefault="00224102" w:rsidP="00224102">
            <w:pPr>
              <w:jc w:val="center"/>
              <w:rPr>
                <w:rFonts w:eastAsia="Arial Unicode MS"/>
                <w:b/>
                <w:sz w:val="14"/>
                <w:szCs w:val="14"/>
              </w:rPr>
            </w:pPr>
            <w:r w:rsidRPr="00A36623">
              <w:rPr>
                <w:rFonts w:eastAsia="Arial Unicode MS"/>
                <w:b/>
                <w:bCs/>
                <w:sz w:val="14"/>
                <w:szCs w:val="14"/>
              </w:rPr>
              <w:t>IV</w:t>
            </w:r>
            <w:r w:rsidRPr="00A36623">
              <w:rPr>
                <w:rFonts w:eastAsia="Arial Unicode MS"/>
                <w:b/>
                <w:sz w:val="14"/>
                <w:szCs w:val="14"/>
              </w:rPr>
              <w:t>-</w:t>
            </w:r>
            <w:r>
              <w:rPr>
                <w:rFonts w:eastAsia="Arial Unicode MS"/>
                <w:b/>
                <w:sz w:val="14"/>
                <w:szCs w:val="14"/>
              </w:rPr>
              <w:t>h</w:t>
            </w:r>
          </w:p>
        </w:tc>
        <w:tc>
          <w:tcPr>
            <w:tcW w:w="2037" w:type="dxa"/>
            <w:vAlign w:val="bottom"/>
          </w:tcPr>
          <w:p w14:paraId="324EF577" w14:textId="5B6E0D78" w:rsidR="00224102" w:rsidRPr="004F7E74" w:rsidRDefault="00224102" w:rsidP="00224102">
            <w:pPr>
              <w:jc w:val="right"/>
              <w:rPr>
                <w:b/>
                <w:sz w:val="14"/>
                <w:szCs w:val="14"/>
              </w:rPr>
            </w:pPr>
            <w:r w:rsidRPr="004F7E74">
              <w:rPr>
                <w:b/>
                <w:sz w:val="14"/>
                <w:szCs w:val="14"/>
              </w:rPr>
              <w:t>97,609</w:t>
            </w:r>
          </w:p>
        </w:tc>
        <w:tc>
          <w:tcPr>
            <w:tcW w:w="2037" w:type="dxa"/>
            <w:vAlign w:val="bottom"/>
          </w:tcPr>
          <w:p w14:paraId="1A2BB578" w14:textId="44FB897B" w:rsidR="00224102" w:rsidRPr="00A36623" w:rsidRDefault="00224102" w:rsidP="00224102">
            <w:pPr>
              <w:jc w:val="right"/>
              <w:rPr>
                <w:b/>
                <w:sz w:val="14"/>
                <w:szCs w:val="14"/>
              </w:rPr>
            </w:pPr>
            <w:r w:rsidRPr="00A36623">
              <w:rPr>
                <w:b/>
                <w:sz w:val="14"/>
                <w:szCs w:val="14"/>
              </w:rPr>
              <w:t>163</w:t>
            </w:r>
            <w:r>
              <w:rPr>
                <w:b/>
                <w:sz w:val="14"/>
                <w:szCs w:val="14"/>
              </w:rPr>
              <w:t>,</w:t>
            </w:r>
            <w:r w:rsidRPr="00A36623">
              <w:rPr>
                <w:b/>
                <w:sz w:val="14"/>
                <w:szCs w:val="14"/>
              </w:rPr>
              <w:t>248</w:t>
            </w:r>
          </w:p>
        </w:tc>
      </w:tr>
      <w:tr w:rsidR="00224102" w:rsidRPr="007C0BA6" w14:paraId="0243CF5A" w14:textId="77777777" w:rsidTr="00F142CB">
        <w:tc>
          <w:tcPr>
            <w:tcW w:w="560" w:type="dxa"/>
            <w:vAlign w:val="bottom"/>
          </w:tcPr>
          <w:p w14:paraId="5E5ADD22"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r w:rsidRPr="007C0BA6">
              <w:rPr>
                <w:rFonts w:eastAsia="Arial Unicode MS"/>
                <w:b/>
                <w:sz w:val="12"/>
                <w:szCs w:val="12"/>
              </w:rPr>
              <w:t>XVI.</w:t>
            </w:r>
          </w:p>
        </w:tc>
        <w:tc>
          <w:tcPr>
            <w:tcW w:w="4861" w:type="dxa"/>
            <w:vAlign w:val="bottom"/>
          </w:tcPr>
          <w:p w14:paraId="5EE24A8D" w14:textId="77777777" w:rsidR="00224102" w:rsidRPr="007C0BA6" w:rsidRDefault="00224102" w:rsidP="005337DE">
            <w:pPr>
              <w:ind w:left="-76"/>
              <w:rPr>
                <w:rFonts w:eastAsia="Arial Unicode MS"/>
                <w:b/>
                <w:sz w:val="14"/>
                <w:szCs w:val="14"/>
              </w:rPr>
            </w:pPr>
            <w:r w:rsidRPr="007C0BA6">
              <w:rPr>
                <w:rFonts w:eastAsia="Arial Unicode MS"/>
                <w:b/>
                <w:sz w:val="14"/>
                <w:szCs w:val="14"/>
              </w:rPr>
              <w:t xml:space="preserve">TAX PROVISION FOR CONTINUING OPERATIONS </w:t>
            </w:r>
            <w:r w:rsidRPr="00A36623">
              <w:rPr>
                <w:rFonts w:eastAsia="Arial Unicode MS"/>
                <w:b/>
                <w:sz w:val="14"/>
                <w:szCs w:val="14"/>
              </w:rPr>
              <w:t>(±)</w:t>
            </w:r>
          </w:p>
        </w:tc>
        <w:tc>
          <w:tcPr>
            <w:tcW w:w="851" w:type="dxa"/>
            <w:vAlign w:val="bottom"/>
          </w:tcPr>
          <w:p w14:paraId="2A52DDF6" w14:textId="24566A56" w:rsidR="00224102" w:rsidRPr="00A36623" w:rsidRDefault="00224102" w:rsidP="00224102">
            <w:pPr>
              <w:jc w:val="center"/>
              <w:rPr>
                <w:rFonts w:eastAsia="Arial Unicode MS"/>
                <w:sz w:val="14"/>
                <w:szCs w:val="14"/>
              </w:rPr>
            </w:pPr>
            <w:r w:rsidRPr="00A36623">
              <w:rPr>
                <w:rFonts w:eastAsia="Arial Unicode MS"/>
                <w:b/>
                <w:bCs/>
                <w:sz w:val="14"/>
                <w:szCs w:val="14"/>
              </w:rPr>
              <w:t>IV-</w:t>
            </w:r>
            <w:r>
              <w:rPr>
                <w:rFonts w:eastAsia="Arial Unicode MS"/>
                <w:b/>
                <w:bCs/>
                <w:sz w:val="14"/>
                <w:szCs w:val="14"/>
              </w:rPr>
              <w:t>i</w:t>
            </w:r>
          </w:p>
        </w:tc>
        <w:tc>
          <w:tcPr>
            <w:tcW w:w="2037" w:type="dxa"/>
            <w:vAlign w:val="bottom"/>
          </w:tcPr>
          <w:p w14:paraId="4819FEEF" w14:textId="2C47FC95" w:rsidR="00224102" w:rsidRPr="004F7E74" w:rsidRDefault="00224102" w:rsidP="00224102">
            <w:pPr>
              <w:jc w:val="right"/>
              <w:rPr>
                <w:b/>
                <w:sz w:val="14"/>
                <w:szCs w:val="14"/>
              </w:rPr>
            </w:pPr>
            <w:r w:rsidRPr="004F7E74">
              <w:rPr>
                <w:b/>
                <w:sz w:val="14"/>
                <w:szCs w:val="14"/>
              </w:rPr>
              <w:t>27,734</w:t>
            </w:r>
          </w:p>
        </w:tc>
        <w:tc>
          <w:tcPr>
            <w:tcW w:w="2037" w:type="dxa"/>
            <w:vAlign w:val="bottom"/>
          </w:tcPr>
          <w:p w14:paraId="2855E520" w14:textId="18FF6CE5" w:rsidR="00224102" w:rsidRPr="00A36623" w:rsidRDefault="00224102" w:rsidP="00224102">
            <w:pPr>
              <w:jc w:val="right"/>
              <w:rPr>
                <w:b/>
                <w:sz w:val="14"/>
                <w:szCs w:val="14"/>
              </w:rPr>
            </w:pPr>
            <w:r w:rsidRPr="00A36623">
              <w:rPr>
                <w:b/>
                <w:sz w:val="14"/>
                <w:szCs w:val="14"/>
              </w:rPr>
              <w:t>26</w:t>
            </w:r>
            <w:r>
              <w:rPr>
                <w:b/>
                <w:sz w:val="14"/>
                <w:szCs w:val="14"/>
              </w:rPr>
              <w:t>,</w:t>
            </w:r>
            <w:r w:rsidRPr="00A36623">
              <w:rPr>
                <w:b/>
                <w:sz w:val="14"/>
                <w:szCs w:val="14"/>
              </w:rPr>
              <w:t>425</w:t>
            </w:r>
          </w:p>
        </w:tc>
      </w:tr>
      <w:tr w:rsidR="00224102" w:rsidRPr="007C0BA6" w14:paraId="0DA3D9A6" w14:textId="77777777" w:rsidTr="00F142CB">
        <w:tc>
          <w:tcPr>
            <w:tcW w:w="560" w:type="dxa"/>
            <w:vAlign w:val="bottom"/>
          </w:tcPr>
          <w:p w14:paraId="7E76512F"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16.1</w:t>
            </w:r>
          </w:p>
        </w:tc>
        <w:tc>
          <w:tcPr>
            <w:tcW w:w="4861" w:type="dxa"/>
            <w:vAlign w:val="bottom"/>
          </w:tcPr>
          <w:p w14:paraId="1C157FB3" w14:textId="77777777" w:rsidR="00224102" w:rsidRPr="007C0BA6" w:rsidRDefault="00224102" w:rsidP="005337DE">
            <w:pPr>
              <w:ind w:left="-76"/>
              <w:rPr>
                <w:rFonts w:eastAsia="Arial Unicode MS"/>
                <w:sz w:val="14"/>
                <w:szCs w:val="14"/>
              </w:rPr>
            </w:pPr>
            <w:r w:rsidRPr="007C0BA6">
              <w:rPr>
                <w:rFonts w:eastAsia="Arial Unicode MS"/>
                <w:sz w:val="14"/>
                <w:szCs w:val="14"/>
              </w:rPr>
              <w:t>Current Tax Provision</w:t>
            </w:r>
          </w:p>
        </w:tc>
        <w:tc>
          <w:tcPr>
            <w:tcW w:w="851" w:type="dxa"/>
            <w:vAlign w:val="bottom"/>
          </w:tcPr>
          <w:p w14:paraId="7FD0B7BC" w14:textId="77777777" w:rsidR="00224102" w:rsidRPr="00A36623" w:rsidRDefault="00224102" w:rsidP="00224102">
            <w:pPr>
              <w:jc w:val="center"/>
              <w:rPr>
                <w:rFonts w:eastAsia="Arial Unicode MS"/>
                <w:sz w:val="14"/>
                <w:szCs w:val="14"/>
              </w:rPr>
            </w:pPr>
          </w:p>
        </w:tc>
        <w:tc>
          <w:tcPr>
            <w:tcW w:w="2037" w:type="dxa"/>
            <w:vAlign w:val="bottom"/>
          </w:tcPr>
          <w:p w14:paraId="0525B2F8" w14:textId="4178DF7C" w:rsidR="00224102" w:rsidRPr="004F7E74" w:rsidRDefault="00224102" w:rsidP="00224102">
            <w:pPr>
              <w:jc w:val="right"/>
              <w:rPr>
                <w:bCs/>
                <w:sz w:val="14"/>
                <w:szCs w:val="14"/>
              </w:rPr>
            </w:pPr>
            <w:r w:rsidRPr="004F7E74">
              <w:rPr>
                <w:bCs/>
                <w:sz w:val="14"/>
                <w:szCs w:val="14"/>
              </w:rPr>
              <w:t>24,664</w:t>
            </w:r>
          </w:p>
        </w:tc>
        <w:tc>
          <w:tcPr>
            <w:tcW w:w="2037" w:type="dxa"/>
            <w:vAlign w:val="bottom"/>
          </w:tcPr>
          <w:p w14:paraId="124F7763" w14:textId="269FF5D1" w:rsidR="00224102" w:rsidRPr="00A36623" w:rsidRDefault="00224102" w:rsidP="00224102">
            <w:pPr>
              <w:jc w:val="right"/>
              <w:rPr>
                <w:sz w:val="14"/>
                <w:szCs w:val="14"/>
              </w:rPr>
            </w:pPr>
            <w:r w:rsidRPr="00A36623">
              <w:rPr>
                <w:sz w:val="14"/>
                <w:szCs w:val="14"/>
              </w:rPr>
              <w:t>32</w:t>
            </w:r>
            <w:r>
              <w:rPr>
                <w:sz w:val="14"/>
                <w:szCs w:val="14"/>
              </w:rPr>
              <w:t>,</w:t>
            </w:r>
            <w:r w:rsidRPr="00A36623">
              <w:rPr>
                <w:sz w:val="14"/>
                <w:szCs w:val="14"/>
              </w:rPr>
              <w:t>163</w:t>
            </w:r>
          </w:p>
        </w:tc>
      </w:tr>
      <w:tr w:rsidR="00224102" w:rsidRPr="007C0BA6" w14:paraId="3B1272FE" w14:textId="77777777" w:rsidTr="00F142CB">
        <w:tc>
          <w:tcPr>
            <w:tcW w:w="560" w:type="dxa"/>
            <w:vAlign w:val="bottom"/>
          </w:tcPr>
          <w:p w14:paraId="61E1701F"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Cs/>
                <w:snapToGrid w:val="0"/>
                <w:sz w:val="12"/>
                <w:szCs w:val="12"/>
              </w:rPr>
            </w:pPr>
            <w:r w:rsidRPr="007C0BA6">
              <w:rPr>
                <w:rFonts w:eastAsia="Arial Unicode MS"/>
                <w:sz w:val="12"/>
                <w:szCs w:val="12"/>
              </w:rPr>
              <w:t>16.2</w:t>
            </w:r>
          </w:p>
        </w:tc>
        <w:tc>
          <w:tcPr>
            <w:tcW w:w="4861" w:type="dxa"/>
            <w:vAlign w:val="bottom"/>
          </w:tcPr>
          <w:p w14:paraId="209745A8" w14:textId="77777777" w:rsidR="00224102" w:rsidRPr="007C0BA6" w:rsidRDefault="00224102" w:rsidP="005337DE">
            <w:pPr>
              <w:ind w:left="-76"/>
              <w:rPr>
                <w:rFonts w:eastAsia="Arial Unicode MS"/>
                <w:sz w:val="14"/>
                <w:szCs w:val="14"/>
              </w:rPr>
            </w:pPr>
            <w:r w:rsidRPr="007C0BA6">
              <w:rPr>
                <w:rFonts w:eastAsia="Arial Unicode MS"/>
                <w:sz w:val="14"/>
                <w:szCs w:val="14"/>
              </w:rPr>
              <w:t xml:space="preserve">Deferred Tax Provision </w:t>
            </w:r>
          </w:p>
        </w:tc>
        <w:tc>
          <w:tcPr>
            <w:tcW w:w="851" w:type="dxa"/>
            <w:vAlign w:val="bottom"/>
          </w:tcPr>
          <w:p w14:paraId="66580330" w14:textId="77777777" w:rsidR="00224102" w:rsidRPr="00A36623" w:rsidRDefault="00224102" w:rsidP="00224102">
            <w:pPr>
              <w:jc w:val="center"/>
              <w:rPr>
                <w:rFonts w:eastAsia="Arial Unicode MS"/>
                <w:sz w:val="14"/>
                <w:szCs w:val="14"/>
              </w:rPr>
            </w:pPr>
          </w:p>
        </w:tc>
        <w:tc>
          <w:tcPr>
            <w:tcW w:w="2037" w:type="dxa"/>
            <w:vAlign w:val="bottom"/>
          </w:tcPr>
          <w:p w14:paraId="597F3B60" w14:textId="3EA011EB" w:rsidR="00224102" w:rsidRPr="004F7E74" w:rsidRDefault="00224102" w:rsidP="00224102">
            <w:pPr>
              <w:jc w:val="right"/>
              <w:rPr>
                <w:bCs/>
                <w:sz w:val="14"/>
                <w:szCs w:val="14"/>
              </w:rPr>
            </w:pPr>
            <w:r w:rsidRPr="004F7E74">
              <w:rPr>
                <w:bCs/>
                <w:sz w:val="14"/>
                <w:szCs w:val="14"/>
              </w:rPr>
              <w:t>3,070</w:t>
            </w:r>
          </w:p>
        </w:tc>
        <w:tc>
          <w:tcPr>
            <w:tcW w:w="2037" w:type="dxa"/>
            <w:vAlign w:val="bottom"/>
          </w:tcPr>
          <w:p w14:paraId="0115C425" w14:textId="26510386" w:rsidR="00224102" w:rsidRPr="00A36623" w:rsidRDefault="00224102" w:rsidP="00224102">
            <w:pPr>
              <w:jc w:val="right"/>
              <w:rPr>
                <w:sz w:val="14"/>
                <w:szCs w:val="14"/>
              </w:rPr>
            </w:pPr>
            <w:r w:rsidRPr="00A36623">
              <w:rPr>
                <w:sz w:val="14"/>
                <w:szCs w:val="14"/>
              </w:rPr>
              <w:t>(5</w:t>
            </w:r>
            <w:r>
              <w:rPr>
                <w:sz w:val="14"/>
                <w:szCs w:val="14"/>
              </w:rPr>
              <w:t>,</w:t>
            </w:r>
            <w:r w:rsidRPr="00A36623">
              <w:rPr>
                <w:sz w:val="14"/>
                <w:szCs w:val="14"/>
              </w:rPr>
              <w:t>738)</w:t>
            </w:r>
          </w:p>
        </w:tc>
      </w:tr>
      <w:tr w:rsidR="00224102" w:rsidRPr="007C0BA6" w14:paraId="574BA8CE" w14:textId="77777777" w:rsidTr="00F142CB">
        <w:tc>
          <w:tcPr>
            <w:tcW w:w="560" w:type="dxa"/>
            <w:vAlign w:val="bottom"/>
          </w:tcPr>
          <w:p w14:paraId="4DD252EA"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
                <w:bCs/>
                <w:sz w:val="12"/>
                <w:szCs w:val="12"/>
              </w:rPr>
            </w:pPr>
            <w:r w:rsidRPr="007C0BA6">
              <w:rPr>
                <w:rFonts w:eastAsia="Arial Unicode MS"/>
                <w:b/>
                <w:bCs/>
                <w:sz w:val="12"/>
                <w:szCs w:val="12"/>
              </w:rPr>
              <w:t>XVII.</w:t>
            </w:r>
          </w:p>
        </w:tc>
        <w:tc>
          <w:tcPr>
            <w:tcW w:w="4861" w:type="dxa"/>
            <w:vAlign w:val="bottom"/>
          </w:tcPr>
          <w:p w14:paraId="18C3BBBE" w14:textId="77777777" w:rsidR="00224102" w:rsidRPr="007C0BA6" w:rsidRDefault="00224102" w:rsidP="005337DE">
            <w:pPr>
              <w:ind w:left="-76"/>
              <w:rPr>
                <w:rFonts w:eastAsia="Arial Unicode MS"/>
                <w:b/>
                <w:sz w:val="14"/>
                <w:szCs w:val="14"/>
              </w:rPr>
            </w:pPr>
            <w:r w:rsidRPr="007C0BA6">
              <w:rPr>
                <w:rFonts w:eastAsia="Arial Unicode MS"/>
                <w:b/>
                <w:sz w:val="14"/>
                <w:szCs w:val="14"/>
              </w:rPr>
              <w:t>NET INCOME/(LOSS) FROM CONTINUING OPERATIONS (XV</w:t>
            </w:r>
            <w:r w:rsidRPr="00A36623">
              <w:rPr>
                <w:rFonts w:eastAsia="Arial Unicode MS"/>
                <w:b/>
                <w:bCs/>
                <w:sz w:val="14"/>
                <w:szCs w:val="14"/>
              </w:rPr>
              <w:t>±</w:t>
            </w:r>
            <w:r w:rsidRPr="007C0BA6">
              <w:rPr>
                <w:rFonts w:eastAsia="Arial Unicode MS"/>
                <w:b/>
                <w:sz w:val="14"/>
                <w:szCs w:val="14"/>
              </w:rPr>
              <w:t xml:space="preserve"> XVI)</w:t>
            </w:r>
          </w:p>
        </w:tc>
        <w:tc>
          <w:tcPr>
            <w:tcW w:w="851" w:type="dxa"/>
            <w:vAlign w:val="bottom"/>
          </w:tcPr>
          <w:p w14:paraId="28062E9C" w14:textId="77777777" w:rsidR="00224102" w:rsidRPr="00A36623" w:rsidRDefault="00224102" w:rsidP="00224102">
            <w:pPr>
              <w:jc w:val="center"/>
              <w:rPr>
                <w:rFonts w:eastAsia="Arial Unicode MS"/>
                <w:sz w:val="14"/>
                <w:szCs w:val="14"/>
              </w:rPr>
            </w:pPr>
          </w:p>
        </w:tc>
        <w:tc>
          <w:tcPr>
            <w:tcW w:w="2037" w:type="dxa"/>
            <w:vAlign w:val="bottom"/>
          </w:tcPr>
          <w:p w14:paraId="1036CE32" w14:textId="76B7251B" w:rsidR="00224102" w:rsidRPr="004F7E74" w:rsidRDefault="00224102" w:rsidP="00224102">
            <w:pPr>
              <w:jc w:val="right"/>
              <w:rPr>
                <w:b/>
                <w:sz w:val="14"/>
                <w:szCs w:val="14"/>
              </w:rPr>
            </w:pPr>
            <w:r w:rsidRPr="004F7E74">
              <w:rPr>
                <w:b/>
                <w:sz w:val="14"/>
                <w:szCs w:val="14"/>
              </w:rPr>
              <w:t>69,875</w:t>
            </w:r>
          </w:p>
        </w:tc>
        <w:tc>
          <w:tcPr>
            <w:tcW w:w="2037" w:type="dxa"/>
            <w:vAlign w:val="bottom"/>
          </w:tcPr>
          <w:p w14:paraId="21911E7F" w14:textId="7AFEFDA1" w:rsidR="00224102" w:rsidRPr="00A36623" w:rsidRDefault="00224102" w:rsidP="00224102">
            <w:pPr>
              <w:jc w:val="right"/>
              <w:rPr>
                <w:b/>
                <w:sz w:val="14"/>
                <w:szCs w:val="14"/>
              </w:rPr>
            </w:pPr>
            <w:r w:rsidRPr="00A36623">
              <w:rPr>
                <w:b/>
                <w:sz w:val="14"/>
                <w:szCs w:val="14"/>
              </w:rPr>
              <w:t>136</w:t>
            </w:r>
            <w:r>
              <w:rPr>
                <w:b/>
                <w:sz w:val="14"/>
                <w:szCs w:val="14"/>
              </w:rPr>
              <w:t>,</w:t>
            </w:r>
            <w:r w:rsidRPr="00A36623">
              <w:rPr>
                <w:b/>
                <w:sz w:val="14"/>
                <w:szCs w:val="14"/>
              </w:rPr>
              <w:t>823</w:t>
            </w:r>
          </w:p>
        </w:tc>
      </w:tr>
      <w:tr w:rsidR="00224102" w:rsidRPr="007C0BA6" w14:paraId="5FE14F46" w14:textId="77777777" w:rsidTr="00F142CB">
        <w:tc>
          <w:tcPr>
            <w:tcW w:w="560" w:type="dxa"/>
            <w:vAlign w:val="bottom"/>
          </w:tcPr>
          <w:p w14:paraId="0C97C94C"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
                <w:bCs/>
                <w:sz w:val="12"/>
                <w:szCs w:val="12"/>
              </w:rPr>
            </w:pPr>
            <w:r w:rsidRPr="007C0BA6">
              <w:rPr>
                <w:rFonts w:eastAsia="Arial Unicode MS"/>
                <w:b/>
                <w:bCs/>
                <w:sz w:val="12"/>
                <w:szCs w:val="12"/>
              </w:rPr>
              <w:t>XVIII.</w:t>
            </w:r>
          </w:p>
        </w:tc>
        <w:tc>
          <w:tcPr>
            <w:tcW w:w="4861" w:type="dxa"/>
            <w:vAlign w:val="bottom"/>
          </w:tcPr>
          <w:p w14:paraId="36120FA6" w14:textId="77777777" w:rsidR="00224102" w:rsidRPr="007C0BA6" w:rsidRDefault="00224102" w:rsidP="005337DE">
            <w:pPr>
              <w:ind w:left="-76"/>
              <w:rPr>
                <w:rFonts w:eastAsia="Arial Unicode MS"/>
                <w:b/>
                <w:sz w:val="14"/>
                <w:szCs w:val="14"/>
              </w:rPr>
            </w:pPr>
            <w:r w:rsidRPr="007C0BA6">
              <w:rPr>
                <w:rFonts w:eastAsia="Arial Unicode MS"/>
                <w:b/>
                <w:sz w:val="14"/>
                <w:szCs w:val="14"/>
              </w:rPr>
              <w:t>INCOME FROM DISCONTINUED OPERATIONS</w:t>
            </w:r>
          </w:p>
        </w:tc>
        <w:tc>
          <w:tcPr>
            <w:tcW w:w="851" w:type="dxa"/>
            <w:vAlign w:val="bottom"/>
          </w:tcPr>
          <w:p w14:paraId="6DEF1F21" w14:textId="77777777" w:rsidR="00224102" w:rsidRPr="00A36623" w:rsidRDefault="00224102" w:rsidP="00224102">
            <w:pPr>
              <w:jc w:val="center"/>
              <w:rPr>
                <w:rFonts w:eastAsia="Arial Unicode MS"/>
                <w:sz w:val="14"/>
                <w:szCs w:val="14"/>
              </w:rPr>
            </w:pPr>
          </w:p>
        </w:tc>
        <w:tc>
          <w:tcPr>
            <w:tcW w:w="2037" w:type="dxa"/>
            <w:vAlign w:val="bottom"/>
          </w:tcPr>
          <w:p w14:paraId="098A2E4D" w14:textId="10561D91" w:rsidR="00224102" w:rsidRPr="00A36623" w:rsidRDefault="00224102" w:rsidP="00224102">
            <w:pPr>
              <w:jc w:val="right"/>
              <w:rPr>
                <w:b/>
                <w:sz w:val="14"/>
                <w:szCs w:val="14"/>
              </w:rPr>
            </w:pPr>
            <w:r w:rsidRPr="00A36623">
              <w:rPr>
                <w:b/>
                <w:sz w:val="14"/>
                <w:szCs w:val="14"/>
              </w:rPr>
              <w:t>-</w:t>
            </w:r>
          </w:p>
        </w:tc>
        <w:tc>
          <w:tcPr>
            <w:tcW w:w="2037" w:type="dxa"/>
            <w:vAlign w:val="bottom"/>
          </w:tcPr>
          <w:p w14:paraId="151EF673" w14:textId="2060DD24" w:rsidR="00224102" w:rsidRPr="00F15456" w:rsidRDefault="00224102" w:rsidP="00224102">
            <w:pPr>
              <w:jc w:val="right"/>
              <w:rPr>
                <w:b/>
                <w:bCs/>
                <w:color w:val="000000"/>
                <w:sz w:val="14"/>
                <w:szCs w:val="14"/>
              </w:rPr>
            </w:pPr>
            <w:r w:rsidRPr="00A36623">
              <w:rPr>
                <w:b/>
                <w:sz w:val="14"/>
                <w:szCs w:val="14"/>
              </w:rPr>
              <w:t>-</w:t>
            </w:r>
          </w:p>
        </w:tc>
      </w:tr>
      <w:tr w:rsidR="00224102" w:rsidRPr="007C0BA6" w14:paraId="6FD411A7" w14:textId="77777777" w:rsidTr="00F142CB">
        <w:tc>
          <w:tcPr>
            <w:tcW w:w="560" w:type="dxa"/>
            <w:vAlign w:val="bottom"/>
          </w:tcPr>
          <w:p w14:paraId="61AB24CB"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sz w:val="12"/>
                <w:szCs w:val="12"/>
              </w:rPr>
            </w:pPr>
            <w:r w:rsidRPr="007C0BA6">
              <w:rPr>
                <w:rFonts w:eastAsia="Arial Unicode MS"/>
                <w:sz w:val="12"/>
                <w:szCs w:val="12"/>
              </w:rPr>
              <w:t>18.1</w:t>
            </w:r>
          </w:p>
        </w:tc>
        <w:tc>
          <w:tcPr>
            <w:tcW w:w="4861" w:type="dxa"/>
            <w:vAlign w:val="bottom"/>
          </w:tcPr>
          <w:p w14:paraId="7DAF5CF4" w14:textId="77777777" w:rsidR="00224102" w:rsidRPr="007C0BA6" w:rsidRDefault="00224102" w:rsidP="005337DE">
            <w:pPr>
              <w:ind w:left="-76"/>
              <w:rPr>
                <w:rFonts w:eastAsia="Arial Unicode MS"/>
                <w:sz w:val="14"/>
                <w:szCs w:val="14"/>
              </w:rPr>
            </w:pPr>
            <w:r w:rsidRPr="007C0BA6">
              <w:rPr>
                <w:rFonts w:eastAsia="Arial Unicode MS"/>
                <w:sz w:val="14"/>
                <w:szCs w:val="14"/>
              </w:rPr>
              <w:t>Income from Non-Current Assets Held for Resale</w:t>
            </w:r>
          </w:p>
        </w:tc>
        <w:tc>
          <w:tcPr>
            <w:tcW w:w="851" w:type="dxa"/>
            <w:vAlign w:val="bottom"/>
          </w:tcPr>
          <w:p w14:paraId="4B8DFB58" w14:textId="77777777" w:rsidR="00224102" w:rsidRPr="00A36623" w:rsidRDefault="00224102" w:rsidP="00224102">
            <w:pPr>
              <w:jc w:val="center"/>
              <w:rPr>
                <w:rFonts w:eastAsia="Arial Unicode MS"/>
                <w:b/>
                <w:sz w:val="14"/>
                <w:szCs w:val="14"/>
              </w:rPr>
            </w:pPr>
          </w:p>
        </w:tc>
        <w:tc>
          <w:tcPr>
            <w:tcW w:w="2037" w:type="dxa"/>
            <w:vAlign w:val="bottom"/>
          </w:tcPr>
          <w:p w14:paraId="20F03ECE" w14:textId="7289B59C" w:rsidR="00224102" w:rsidRPr="00A36623" w:rsidRDefault="00224102" w:rsidP="00224102">
            <w:pPr>
              <w:jc w:val="right"/>
              <w:rPr>
                <w:sz w:val="14"/>
                <w:szCs w:val="14"/>
              </w:rPr>
            </w:pPr>
            <w:r w:rsidRPr="00A36623">
              <w:rPr>
                <w:sz w:val="14"/>
                <w:szCs w:val="14"/>
              </w:rPr>
              <w:t>-</w:t>
            </w:r>
          </w:p>
        </w:tc>
        <w:tc>
          <w:tcPr>
            <w:tcW w:w="2037" w:type="dxa"/>
            <w:vAlign w:val="bottom"/>
          </w:tcPr>
          <w:p w14:paraId="3BA62487" w14:textId="7E3DA489" w:rsidR="00224102" w:rsidRPr="00F15456" w:rsidRDefault="00224102" w:rsidP="00224102">
            <w:pPr>
              <w:jc w:val="right"/>
              <w:rPr>
                <w:b/>
                <w:bCs/>
                <w:color w:val="000000"/>
                <w:sz w:val="14"/>
                <w:szCs w:val="14"/>
              </w:rPr>
            </w:pPr>
            <w:r w:rsidRPr="00A36623">
              <w:rPr>
                <w:sz w:val="14"/>
                <w:szCs w:val="14"/>
              </w:rPr>
              <w:t>-</w:t>
            </w:r>
          </w:p>
        </w:tc>
      </w:tr>
      <w:tr w:rsidR="00224102" w:rsidRPr="007C0BA6" w14:paraId="430BF66F" w14:textId="77777777" w:rsidTr="00F142CB">
        <w:tc>
          <w:tcPr>
            <w:tcW w:w="560" w:type="dxa"/>
            <w:vAlign w:val="bottom"/>
          </w:tcPr>
          <w:p w14:paraId="35B61FDE"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sz w:val="12"/>
                <w:szCs w:val="12"/>
              </w:rPr>
            </w:pPr>
            <w:r w:rsidRPr="007C0BA6">
              <w:rPr>
                <w:rFonts w:eastAsia="Arial Unicode MS"/>
                <w:sz w:val="12"/>
                <w:szCs w:val="12"/>
              </w:rPr>
              <w:t>18.2</w:t>
            </w:r>
          </w:p>
        </w:tc>
        <w:tc>
          <w:tcPr>
            <w:tcW w:w="4861" w:type="dxa"/>
            <w:vAlign w:val="bottom"/>
          </w:tcPr>
          <w:p w14:paraId="26F14637" w14:textId="77777777" w:rsidR="00224102" w:rsidRPr="007C0BA6" w:rsidRDefault="00224102" w:rsidP="005337DE">
            <w:pPr>
              <w:ind w:left="-76"/>
              <w:rPr>
                <w:rFonts w:eastAsia="Arial Unicode MS"/>
                <w:sz w:val="14"/>
                <w:szCs w:val="14"/>
              </w:rPr>
            </w:pPr>
            <w:r w:rsidRPr="007C0BA6">
              <w:rPr>
                <w:rFonts w:eastAsia="Arial Unicode MS"/>
                <w:sz w:val="14"/>
                <w:szCs w:val="14"/>
              </w:rPr>
              <w:t>Sale Income from Associates, Subsidiaries and Joint Ventures</w:t>
            </w:r>
          </w:p>
        </w:tc>
        <w:tc>
          <w:tcPr>
            <w:tcW w:w="851" w:type="dxa"/>
            <w:vAlign w:val="bottom"/>
          </w:tcPr>
          <w:p w14:paraId="111F7929" w14:textId="77777777" w:rsidR="00224102" w:rsidRPr="00A36623" w:rsidRDefault="00224102" w:rsidP="00224102">
            <w:pPr>
              <w:jc w:val="center"/>
              <w:rPr>
                <w:rFonts w:eastAsia="Arial Unicode MS"/>
                <w:b/>
                <w:sz w:val="14"/>
                <w:szCs w:val="14"/>
              </w:rPr>
            </w:pPr>
          </w:p>
        </w:tc>
        <w:tc>
          <w:tcPr>
            <w:tcW w:w="2037" w:type="dxa"/>
            <w:vAlign w:val="bottom"/>
          </w:tcPr>
          <w:p w14:paraId="7F77D0D0" w14:textId="6A3AAFED" w:rsidR="00224102" w:rsidRPr="00A36623" w:rsidRDefault="00224102" w:rsidP="00224102">
            <w:pPr>
              <w:jc w:val="right"/>
              <w:rPr>
                <w:sz w:val="14"/>
                <w:szCs w:val="14"/>
              </w:rPr>
            </w:pPr>
            <w:r w:rsidRPr="00A36623">
              <w:rPr>
                <w:sz w:val="14"/>
                <w:szCs w:val="14"/>
              </w:rPr>
              <w:t>-</w:t>
            </w:r>
          </w:p>
        </w:tc>
        <w:tc>
          <w:tcPr>
            <w:tcW w:w="2037" w:type="dxa"/>
            <w:vAlign w:val="bottom"/>
          </w:tcPr>
          <w:p w14:paraId="3292C13C" w14:textId="7A7FE330" w:rsidR="00224102" w:rsidRPr="00F15456" w:rsidRDefault="00224102" w:rsidP="00224102">
            <w:pPr>
              <w:jc w:val="right"/>
              <w:rPr>
                <w:b/>
                <w:bCs/>
                <w:color w:val="000000"/>
                <w:sz w:val="14"/>
                <w:szCs w:val="14"/>
              </w:rPr>
            </w:pPr>
            <w:r w:rsidRPr="00A36623">
              <w:rPr>
                <w:sz w:val="14"/>
                <w:szCs w:val="14"/>
              </w:rPr>
              <w:t>-</w:t>
            </w:r>
          </w:p>
        </w:tc>
      </w:tr>
      <w:tr w:rsidR="00224102" w:rsidRPr="007C0BA6" w14:paraId="75636004" w14:textId="77777777" w:rsidTr="00F142CB">
        <w:tc>
          <w:tcPr>
            <w:tcW w:w="560" w:type="dxa"/>
            <w:vAlign w:val="bottom"/>
          </w:tcPr>
          <w:p w14:paraId="3CF9DFC9"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sz w:val="12"/>
                <w:szCs w:val="12"/>
              </w:rPr>
            </w:pPr>
            <w:r w:rsidRPr="007C0BA6">
              <w:rPr>
                <w:rFonts w:eastAsia="Arial Unicode MS"/>
                <w:sz w:val="12"/>
                <w:szCs w:val="12"/>
              </w:rPr>
              <w:t>18.3</w:t>
            </w:r>
          </w:p>
        </w:tc>
        <w:tc>
          <w:tcPr>
            <w:tcW w:w="4861" w:type="dxa"/>
            <w:vAlign w:val="bottom"/>
          </w:tcPr>
          <w:p w14:paraId="590AE53B" w14:textId="77777777" w:rsidR="00224102" w:rsidRPr="007C0BA6" w:rsidRDefault="00224102" w:rsidP="005337DE">
            <w:pPr>
              <w:ind w:left="-76"/>
              <w:rPr>
                <w:rFonts w:eastAsia="Arial Unicode MS"/>
                <w:sz w:val="14"/>
                <w:szCs w:val="14"/>
              </w:rPr>
            </w:pPr>
            <w:r w:rsidRPr="007C0BA6">
              <w:rPr>
                <w:rFonts w:eastAsia="Arial Unicode MS"/>
                <w:sz w:val="14"/>
                <w:szCs w:val="14"/>
              </w:rPr>
              <w:t>Other Income from Discontinued Operations</w:t>
            </w:r>
          </w:p>
        </w:tc>
        <w:tc>
          <w:tcPr>
            <w:tcW w:w="851" w:type="dxa"/>
            <w:vAlign w:val="bottom"/>
          </w:tcPr>
          <w:p w14:paraId="1208DFA7" w14:textId="77777777" w:rsidR="00224102" w:rsidRPr="00A36623" w:rsidRDefault="00224102" w:rsidP="00224102">
            <w:pPr>
              <w:jc w:val="center"/>
              <w:rPr>
                <w:rFonts w:eastAsia="Arial Unicode MS"/>
                <w:b/>
                <w:sz w:val="14"/>
                <w:szCs w:val="14"/>
              </w:rPr>
            </w:pPr>
          </w:p>
        </w:tc>
        <w:tc>
          <w:tcPr>
            <w:tcW w:w="2037" w:type="dxa"/>
            <w:vAlign w:val="bottom"/>
          </w:tcPr>
          <w:p w14:paraId="7978CDA0" w14:textId="635A746F" w:rsidR="00224102" w:rsidRPr="00A36623" w:rsidRDefault="00224102" w:rsidP="00224102">
            <w:pPr>
              <w:jc w:val="right"/>
              <w:rPr>
                <w:sz w:val="14"/>
                <w:szCs w:val="14"/>
              </w:rPr>
            </w:pPr>
            <w:r w:rsidRPr="00A36623">
              <w:rPr>
                <w:sz w:val="14"/>
                <w:szCs w:val="14"/>
              </w:rPr>
              <w:t>-</w:t>
            </w:r>
          </w:p>
        </w:tc>
        <w:tc>
          <w:tcPr>
            <w:tcW w:w="2037" w:type="dxa"/>
            <w:vAlign w:val="bottom"/>
          </w:tcPr>
          <w:p w14:paraId="2A7569AA" w14:textId="2DF0B95E" w:rsidR="00224102" w:rsidRPr="00F15456" w:rsidRDefault="00224102" w:rsidP="00224102">
            <w:pPr>
              <w:jc w:val="right"/>
              <w:rPr>
                <w:b/>
                <w:bCs/>
                <w:color w:val="000000"/>
                <w:sz w:val="14"/>
                <w:szCs w:val="14"/>
              </w:rPr>
            </w:pPr>
            <w:r w:rsidRPr="00A36623">
              <w:rPr>
                <w:sz w:val="14"/>
                <w:szCs w:val="14"/>
              </w:rPr>
              <w:t>-</w:t>
            </w:r>
          </w:p>
        </w:tc>
      </w:tr>
      <w:tr w:rsidR="00224102" w:rsidRPr="007C0BA6" w14:paraId="177E0646" w14:textId="77777777" w:rsidTr="00F142CB">
        <w:tc>
          <w:tcPr>
            <w:tcW w:w="560" w:type="dxa"/>
            <w:vAlign w:val="bottom"/>
          </w:tcPr>
          <w:p w14:paraId="006781AD"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
                <w:bCs/>
                <w:sz w:val="12"/>
                <w:szCs w:val="12"/>
              </w:rPr>
            </w:pPr>
            <w:r w:rsidRPr="007C0BA6">
              <w:rPr>
                <w:rFonts w:eastAsia="Arial Unicode MS"/>
                <w:b/>
                <w:bCs/>
                <w:sz w:val="12"/>
                <w:szCs w:val="12"/>
              </w:rPr>
              <w:t>XIX.</w:t>
            </w:r>
          </w:p>
        </w:tc>
        <w:tc>
          <w:tcPr>
            <w:tcW w:w="4861" w:type="dxa"/>
            <w:vAlign w:val="bottom"/>
          </w:tcPr>
          <w:p w14:paraId="1DE68604" w14:textId="77777777" w:rsidR="00224102" w:rsidRPr="007C0BA6" w:rsidRDefault="00224102" w:rsidP="005337DE">
            <w:pPr>
              <w:ind w:left="-76"/>
              <w:rPr>
                <w:rFonts w:eastAsia="Arial Unicode MS"/>
                <w:b/>
                <w:sz w:val="14"/>
                <w:szCs w:val="14"/>
              </w:rPr>
            </w:pPr>
            <w:r w:rsidRPr="007C0BA6">
              <w:rPr>
                <w:rFonts w:eastAsia="Arial Unicode MS"/>
                <w:b/>
                <w:sz w:val="14"/>
                <w:szCs w:val="14"/>
              </w:rPr>
              <w:t>EXPENSES FROM DISCONTINUED OPERATIONS (-)</w:t>
            </w:r>
          </w:p>
        </w:tc>
        <w:tc>
          <w:tcPr>
            <w:tcW w:w="851" w:type="dxa"/>
            <w:vAlign w:val="bottom"/>
          </w:tcPr>
          <w:p w14:paraId="2FB01BD3" w14:textId="77777777" w:rsidR="00224102" w:rsidRPr="00A36623" w:rsidRDefault="00224102" w:rsidP="00224102">
            <w:pPr>
              <w:jc w:val="center"/>
              <w:rPr>
                <w:rFonts w:eastAsia="Arial Unicode MS"/>
                <w:b/>
                <w:sz w:val="14"/>
                <w:szCs w:val="14"/>
              </w:rPr>
            </w:pPr>
          </w:p>
        </w:tc>
        <w:tc>
          <w:tcPr>
            <w:tcW w:w="2037" w:type="dxa"/>
            <w:vAlign w:val="bottom"/>
          </w:tcPr>
          <w:p w14:paraId="122843C0" w14:textId="41DE542E" w:rsidR="00224102" w:rsidRPr="00A36623" w:rsidRDefault="00224102" w:rsidP="00224102">
            <w:pPr>
              <w:jc w:val="right"/>
              <w:rPr>
                <w:b/>
                <w:sz w:val="14"/>
                <w:szCs w:val="14"/>
              </w:rPr>
            </w:pPr>
            <w:r w:rsidRPr="00A36623">
              <w:rPr>
                <w:b/>
                <w:sz w:val="14"/>
                <w:szCs w:val="14"/>
              </w:rPr>
              <w:t>-</w:t>
            </w:r>
          </w:p>
        </w:tc>
        <w:tc>
          <w:tcPr>
            <w:tcW w:w="2037" w:type="dxa"/>
            <w:vAlign w:val="bottom"/>
          </w:tcPr>
          <w:p w14:paraId="2DBBC4EA" w14:textId="6951F328" w:rsidR="00224102" w:rsidRPr="00F15456" w:rsidRDefault="00224102" w:rsidP="00224102">
            <w:pPr>
              <w:jc w:val="right"/>
              <w:rPr>
                <w:b/>
                <w:bCs/>
                <w:color w:val="000000"/>
                <w:sz w:val="14"/>
                <w:szCs w:val="14"/>
              </w:rPr>
            </w:pPr>
            <w:r w:rsidRPr="00A36623">
              <w:rPr>
                <w:b/>
                <w:sz w:val="14"/>
                <w:szCs w:val="14"/>
              </w:rPr>
              <w:t>-</w:t>
            </w:r>
          </w:p>
        </w:tc>
      </w:tr>
      <w:tr w:rsidR="00224102" w:rsidRPr="007C0BA6" w14:paraId="305B28C7" w14:textId="77777777" w:rsidTr="00F142CB">
        <w:tc>
          <w:tcPr>
            <w:tcW w:w="560" w:type="dxa"/>
            <w:vAlign w:val="bottom"/>
          </w:tcPr>
          <w:p w14:paraId="58C366EC"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Cs/>
                <w:sz w:val="12"/>
                <w:szCs w:val="12"/>
              </w:rPr>
            </w:pPr>
            <w:r w:rsidRPr="007C0BA6">
              <w:rPr>
                <w:rFonts w:eastAsia="Arial Unicode MS"/>
                <w:bCs/>
                <w:sz w:val="12"/>
                <w:szCs w:val="12"/>
              </w:rPr>
              <w:t>19.1</w:t>
            </w:r>
          </w:p>
        </w:tc>
        <w:tc>
          <w:tcPr>
            <w:tcW w:w="4861" w:type="dxa"/>
            <w:vAlign w:val="bottom"/>
          </w:tcPr>
          <w:p w14:paraId="5B504E1D" w14:textId="77777777" w:rsidR="00224102" w:rsidRPr="007C0BA6" w:rsidRDefault="00224102" w:rsidP="005337DE">
            <w:pPr>
              <w:ind w:left="-76"/>
              <w:rPr>
                <w:rFonts w:eastAsia="Arial Unicode MS"/>
                <w:sz w:val="14"/>
                <w:szCs w:val="14"/>
              </w:rPr>
            </w:pPr>
            <w:r w:rsidRPr="007C0BA6">
              <w:rPr>
                <w:rFonts w:eastAsia="Arial Unicode MS"/>
                <w:sz w:val="14"/>
                <w:szCs w:val="14"/>
              </w:rPr>
              <w:t>Expense from Non-Current Assets Held for Resale</w:t>
            </w:r>
          </w:p>
        </w:tc>
        <w:tc>
          <w:tcPr>
            <w:tcW w:w="851" w:type="dxa"/>
            <w:vAlign w:val="bottom"/>
          </w:tcPr>
          <w:p w14:paraId="32D19B55" w14:textId="77777777" w:rsidR="00224102" w:rsidRPr="00A36623" w:rsidRDefault="00224102" w:rsidP="00224102">
            <w:pPr>
              <w:jc w:val="center"/>
              <w:rPr>
                <w:rFonts w:eastAsia="Arial Unicode MS"/>
                <w:b/>
                <w:sz w:val="14"/>
                <w:szCs w:val="14"/>
              </w:rPr>
            </w:pPr>
          </w:p>
        </w:tc>
        <w:tc>
          <w:tcPr>
            <w:tcW w:w="2037" w:type="dxa"/>
            <w:vAlign w:val="bottom"/>
          </w:tcPr>
          <w:p w14:paraId="2E40DBD4" w14:textId="3F4608B4" w:rsidR="00224102" w:rsidRPr="00A36623" w:rsidRDefault="00224102" w:rsidP="00224102">
            <w:pPr>
              <w:jc w:val="right"/>
              <w:rPr>
                <w:sz w:val="14"/>
                <w:szCs w:val="14"/>
              </w:rPr>
            </w:pPr>
            <w:r w:rsidRPr="00A36623">
              <w:rPr>
                <w:sz w:val="14"/>
                <w:szCs w:val="14"/>
              </w:rPr>
              <w:t>-</w:t>
            </w:r>
          </w:p>
        </w:tc>
        <w:tc>
          <w:tcPr>
            <w:tcW w:w="2037" w:type="dxa"/>
            <w:vAlign w:val="bottom"/>
          </w:tcPr>
          <w:p w14:paraId="093E2697" w14:textId="3DDD1FEC" w:rsidR="00224102" w:rsidRPr="00F15456" w:rsidRDefault="00224102" w:rsidP="00224102">
            <w:pPr>
              <w:jc w:val="right"/>
              <w:rPr>
                <w:color w:val="000000"/>
                <w:sz w:val="14"/>
                <w:szCs w:val="14"/>
              </w:rPr>
            </w:pPr>
            <w:r w:rsidRPr="00A36623">
              <w:rPr>
                <w:sz w:val="14"/>
                <w:szCs w:val="14"/>
              </w:rPr>
              <w:t>-</w:t>
            </w:r>
          </w:p>
        </w:tc>
      </w:tr>
      <w:tr w:rsidR="00224102" w:rsidRPr="007C0BA6" w14:paraId="5BBFFFD4" w14:textId="77777777" w:rsidTr="00F142CB">
        <w:tc>
          <w:tcPr>
            <w:tcW w:w="560" w:type="dxa"/>
            <w:shd w:val="clear" w:color="auto" w:fill="FFFFFF"/>
            <w:vAlign w:val="bottom"/>
          </w:tcPr>
          <w:p w14:paraId="34381D6E"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Cs/>
                <w:sz w:val="12"/>
                <w:szCs w:val="12"/>
              </w:rPr>
            </w:pPr>
            <w:r w:rsidRPr="007C0BA6">
              <w:rPr>
                <w:rFonts w:eastAsia="Arial Unicode MS"/>
                <w:bCs/>
                <w:sz w:val="12"/>
                <w:szCs w:val="12"/>
              </w:rPr>
              <w:t>19.2</w:t>
            </w:r>
          </w:p>
        </w:tc>
        <w:tc>
          <w:tcPr>
            <w:tcW w:w="4861" w:type="dxa"/>
            <w:shd w:val="clear" w:color="auto" w:fill="FFFFFF"/>
            <w:vAlign w:val="bottom"/>
          </w:tcPr>
          <w:p w14:paraId="67CDD535" w14:textId="77777777" w:rsidR="00224102" w:rsidRPr="007C0BA6" w:rsidRDefault="00224102" w:rsidP="005337DE">
            <w:pPr>
              <w:ind w:left="-76"/>
              <w:rPr>
                <w:rFonts w:eastAsia="Arial Unicode MS"/>
                <w:sz w:val="14"/>
                <w:szCs w:val="14"/>
              </w:rPr>
            </w:pPr>
            <w:r w:rsidRPr="007C0BA6">
              <w:rPr>
                <w:rFonts w:eastAsia="Arial Unicode MS"/>
                <w:sz w:val="14"/>
                <w:szCs w:val="14"/>
              </w:rPr>
              <w:t>Sale Losses from Associates, Subsidiaries and Joint Ventures</w:t>
            </w:r>
          </w:p>
        </w:tc>
        <w:tc>
          <w:tcPr>
            <w:tcW w:w="851" w:type="dxa"/>
            <w:shd w:val="clear" w:color="auto" w:fill="FFFFFF"/>
            <w:vAlign w:val="bottom"/>
          </w:tcPr>
          <w:p w14:paraId="5E7940B2" w14:textId="77777777" w:rsidR="00224102" w:rsidRPr="00A36623" w:rsidRDefault="00224102" w:rsidP="00224102">
            <w:pPr>
              <w:jc w:val="center"/>
              <w:rPr>
                <w:rFonts w:eastAsia="Arial Unicode MS"/>
                <w:b/>
                <w:sz w:val="14"/>
                <w:szCs w:val="14"/>
              </w:rPr>
            </w:pPr>
          </w:p>
        </w:tc>
        <w:tc>
          <w:tcPr>
            <w:tcW w:w="2037" w:type="dxa"/>
            <w:shd w:val="clear" w:color="auto" w:fill="FFFFFF"/>
            <w:vAlign w:val="bottom"/>
          </w:tcPr>
          <w:p w14:paraId="6CB3E2D3" w14:textId="16C1718B" w:rsidR="00224102" w:rsidRPr="00A36623" w:rsidRDefault="00224102" w:rsidP="00224102">
            <w:pPr>
              <w:jc w:val="right"/>
              <w:rPr>
                <w:sz w:val="14"/>
                <w:szCs w:val="14"/>
              </w:rPr>
            </w:pPr>
            <w:r w:rsidRPr="00A36623">
              <w:rPr>
                <w:sz w:val="14"/>
                <w:szCs w:val="14"/>
              </w:rPr>
              <w:t>-</w:t>
            </w:r>
          </w:p>
        </w:tc>
        <w:tc>
          <w:tcPr>
            <w:tcW w:w="2037" w:type="dxa"/>
            <w:shd w:val="clear" w:color="auto" w:fill="FFFFFF"/>
            <w:vAlign w:val="bottom"/>
          </w:tcPr>
          <w:p w14:paraId="4C11A3A6" w14:textId="6FC9CE55" w:rsidR="00224102" w:rsidRPr="00F15456" w:rsidRDefault="00224102" w:rsidP="00224102">
            <w:pPr>
              <w:jc w:val="right"/>
              <w:rPr>
                <w:color w:val="000000"/>
                <w:sz w:val="14"/>
                <w:szCs w:val="14"/>
              </w:rPr>
            </w:pPr>
            <w:r w:rsidRPr="00A36623">
              <w:rPr>
                <w:sz w:val="14"/>
                <w:szCs w:val="14"/>
              </w:rPr>
              <w:t>-</w:t>
            </w:r>
          </w:p>
        </w:tc>
      </w:tr>
      <w:tr w:rsidR="00224102" w:rsidRPr="007C0BA6" w14:paraId="18E81357" w14:textId="77777777" w:rsidTr="00F142CB">
        <w:tc>
          <w:tcPr>
            <w:tcW w:w="560" w:type="dxa"/>
            <w:vAlign w:val="bottom"/>
          </w:tcPr>
          <w:p w14:paraId="6FC650C3"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Cs/>
                <w:sz w:val="12"/>
                <w:szCs w:val="12"/>
              </w:rPr>
            </w:pPr>
            <w:r w:rsidRPr="007C0BA6">
              <w:rPr>
                <w:rFonts w:eastAsia="Arial Unicode MS"/>
                <w:bCs/>
                <w:sz w:val="12"/>
                <w:szCs w:val="12"/>
              </w:rPr>
              <w:t>19.3</w:t>
            </w:r>
          </w:p>
        </w:tc>
        <w:tc>
          <w:tcPr>
            <w:tcW w:w="4861" w:type="dxa"/>
            <w:vAlign w:val="bottom"/>
          </w:tcPr>
          <w:p w14:paraId="2615467F" w14:textId="77777777" w:rsidR="00224102" w:rsidRPr="007C0BA6" w:rsidRDefault="00224102" w:rsidP="005337DE">
            <w:pPr>
              <w:ind w:left="-76"/>
              <w:rPr>
                <w:rFonts w:eastAsia="Arial Unicode MS"/>
                <w:sz w:val="14"/>
                <w:szCs w:val="14"/>
              </w:rPr>
            </w:pPr>
            <w:r w:rsidRPr="007C0BA6">
              <w:rPr>
                <w:rFonts w:eastAsia="Arial Unicode MS"/>
                <w:sz w:val="14"/>
                <w:szCs w:val="14"/>
              </w:rPr>
              <w:t>Other Expenses from Discontinued Operations</w:t>
            </w:r>
          </w:p>
        </w:tc>
        <w:tc>
          <w:tcPr>
            <w:tcW w:w="851" w:type="dxa"/>
            <w:vAlign w:val="bottom"/>
          </w:tcPr>
          <w:p w14:paraId="193E4125" w14:textId="77777777" w:rsidR="00224102" w:rsidRPr="00A36623" w:rsidRDefault="00224102" w:rsidP="00224102">
            <w:pPr>
              <w:jc w:val="center"/>
              <w:rPr>
                <w:rFonts w:eastAsia="Arial Unicode MS"/>
                <w:b/>
                <w:sz w:val="14"/>
                <w:szCs w:val="14"/>
              </w:rPr>
            </w:pPr>
          </w:p>
        </w:tc>
        <w:tc>
          <w:tcPr>
            <w:tcW w:w="2037" w:type="dxa"/>
            <w:vAlign w:val="bottom"/>
          </w:tcPr>
          <w:p w14:paraId="0455D51A" w14:textId="358851D9" w:rsidR="00224102" w:rsidRPr="00A36623" w:rsidRDefault="00224102" w:rsidP="00224102">
            <w:pPr>
              <w:jc w:val="right"/>
              <w:rPr>
                <w:sz w:val="14"/>
                <w:szCs w:val="14"/>
              </w:rPr>
            </w:pPr>
            <w:r w:rsidRPr="00A36623">
              <w:rPr>
                <w:sz w:val="14"/>
                <w:szCs w:val="14"/>
              </w:rPr>
              <w:t>-</w:t>
            </w:r>
          </w:p>
        </w:tc>
        <w:tc>
          <w:tcPr>
            <w:tcW w:w="2037" w:type="dxa"/>
            <w:vAlign w:val="bottom"/>
          </w:tcPr>
          <w:p w14:paraId="6BDD03CF" w14:textId="50FA3C33" w:rsidR="00224102" w:rsidRPr="00F15456" w:rsidRDefault="00224102" w:rsidP="00224102">
            <w:pPr>
              <w:jc w:val="right"/>
              <w:rPr>
                <w:color w:val="000000"/>
                <w:sz w:val="14"/>
                <w:szCs w:val="14"/>
              </w:rPr>
            </w:pPr>
            <w:r w:rsidRPr="00A36623">
              <w:rPr>
                <w:sz w:val="14"/>
                <w:szCs w:val="14"/>
              </w:rPr>
              <w:t>-</w:t>
            </w:r>
          </w:p>
        </w:tc>
      </w:tr>
      <w:tr w:rsidR="00224102" w:rsidRPr="007C0BA6" w14:paraId="6B12316D" w14:textId="77777777" w:rsidTr="00F142CB">
        <w:tc>
          <w:tcPr>
            <w:tcW w:w="560" w:type="dxa"/>
          </w:tcPr>
          <w:p w14:paraId="1A3A9CE4"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
                <w:bCs/>
                <w:sz w:val="12"/>
                <w:szCs w:val="12"/>
              </w:rPr>
            </w:pPr>
            <w:r w:rsidRPr="007C0BA6">
              <w:rPr>
                <w:rFonts w:eastAsia="Arial Unicode MS"/>
                <w:b/>
                <w:bCs/>
                <w:sz w:val="12"/>
                <w:szCs w:val="12"/>
              </w:rPr>
              <w:t>XX.</w:t>
            </w:r>
          </w:p>
        </w:tc>
        <w:tc>
          <w:tcPr>
            <w:tcW w:w="4861" w:type="dxa"/>
            <w:vAlign w:val="bottom"/>
          </w:tcPr>
          <w:p w14:paraId="55A197B7" w14:textId="77777777" w:rsidR="00224102" w:rsidRPr="007C0BA6" w:rsidDel="00971A9C" w:rsidRDefault="00224102" w:rsidP="005337DE">
            <w:pPr>
              <w:ind w:left="-76"/>
              <w:rPr>
                <w:rFonts w:eastAsia="Arial Unicode MS"/>
                <w:b/>
                <w:sz w:val="14"/>
                <w:szCs w:val="14"/>
              </w:rPr>
            </w:pPr>
            <w:r w:rsidRPr="007C0BA6">
              <w:rPr>
                <w:rFonts w:eastAsia="Arial Unicode MS"/>
                <w:b/>
                <w:sz w:val="14"/>
                <w:szCs w:val="14"/>
              </w:rPr>
              <w:t xml:space="preserve">INCOME/(LOSS) BEFORE TAX FROM DISCONTINUED OPERATIONS (XVIII-XIX)  </w:t>
            </w:r>
          </w:p>
        </w:tc>
        <w:tc>
          <w:tcPr>
            <w:tcW w:w="851" w:type="dxa"/>
            <w:vAlign w:val="bottom"/>
          </w:tcPr>
          <w:p w14:paraId="33462CDC" w14:textId="77777777" w:rsidR="00224102" w:rsidRPr="00A36623" w:rsidRDefault="00224102" w:rsidP="00224102">
            <w:pPr>
              <w:jc w:val="center"/>
              <w:rPr>
                <w:rFonts w:eastAsia="Arial Unicode MS"/>
                <w:b/>
                <w:sz w:val="14"/>
                <w:szCs w:val="14"/>
              </w:rPr>
            </w:pPr>
          </w:p>
        </w:tc>
        <w:tc>
          <w:tcPr>
            <w:tcW w:w="2037" w:type="dxa"/>
            <w:vAlign w:val="bottom"/>
          </w:tcPr>
          <w:p w14:paraId="2633C48C" w14:textId="140B5E0E" w:rsidR="00224102" w:rsidRPr="00A36623" w:rsidRDefault="00224102" w:rsidP="00224102">
            <w:pPr>
              <w:jc w:val="right"/>
              <w:rPr>
                <w:b/>
                <w:sz w:val="14"/>
                <w:szCs w:val="14"/>
              </w:rPr>
            </w:pPr>
            <w:r w:rsidRPr="00A36623">
              <w:rPr>
                <w:b/>
                <w:sz w:val="14"/>
                <w:szCs w:val="14"/>
              </w:rPr>
              <w:t>-</w:t>
            </w:r>
          </w:p>
        </w:tc>
        <w:tc>
          <w:tcPr>
            <w:tcW w:w="2037" w:type="dxa"/>
            <w:vAlign w:val="bottom"/>
          </w:tcPr>
          <w:p w14:paraId="2B07F36C" w14:textId="6656A1E3" w:rsidR="00224102" w:rsidRPr="00F15456" w:rsidRDefault="00224102" w:rsidP="00224102">
            <w:pPr>
              <w:jc w:val="right"/>
              <w:rPr>
                <w:b/>
                <w:bCs/>
                <w:color w:val="000000"/>
                <w:sz w:val="14"/>
                <w:szCs w:val="14"/>
              </w:rPr>
            </w:pPr>
            <w:r w:rsidRPr="00A36623">
              <w:rPr>
                <w:b/>
                <w:sz w:val="14"/>
                <w:szCs w:val="14"/>
              </w:rPr>
              <w:t>-</w:t>
            </w:r>
          </w:p>
        </w:tc>
      </w:tr>
      <w:tr w:rsidR="00224102" w:rsidRPr="007C0BA6" w14:paraId="2205224D" w14:textId="77777777" w:rsidTr="00F142CB">
        <w:tc>
          <w:tcPr>
            <w:tcW w:w="560" w:type="dxa"/>
            <w:vAlign w:val="bottom"/>
          </w:tcPr>
          <w:p w14:paraId="33FF0F78"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
                <w:bCs/>
                <w:sz w:val="12"/>
                <w:szCs w:val="12"/>
              </w:rPr>
            </w:pPr>
            <w:r w:rsidRPr="007C0BA6">
              <w:rPr>
                <w:rFonts w:eastAsia="Arial Unicode MS"/>
                <w:b/>
                <w:bCs/>
                <w:sz w:val="12"/>
                <w:szCs w:val="12"/>
              </w:rPr>
              <w:t>XXI.</w:t>
            </w:r>
          </w:p>
        </w:tc>
        <w:tc>
          <w:tcPr>
            <w:tcW w:w="4861" w:type="dxa"/>
            <w:vAlign w:val="bottom"/>
          </w:tcPr>
          <w:p w14:paraId="5B014596" w14:textId="6207D255" w:rsidR="00224102" w:rsidRPr="007C0BA6" w:rsidRDefault="00224102" w:rsidP="005337DE">
            <w:pPr>
              <w:ind w:left="-76"/>
              <w:rPr>
                <w:rFonts w:eastAsia="Arial Unicode MS"/>
                <w:b/>
                <w:sz w:val="14"/>
                <w:szCs w:val="14"/>
              </w:rPr>
            </w:pPr>
            <w:r w:rsidRPr="007C0BA6">
              <w:rPr>
                <w:rFonts w:eastAsia="Arial Unicode MS"/>
                <w:b/>
                <w:sz w:val="14"/>
                <w:szCs w:val="14"/>
              </w:rPr>
              <w:t xml:space="preserve">TAX PROVISION FOR DISCONTINUED OPERATIONS </w:t>
            </w:r>
            <w:r w:rsidRPr="00A36623">
              <w:rPr>
                <w:rFonts w:eastAsia="Arial Unicode MS"/>
                <w:b/>
                <w:sz w:val="14"/>
                <w:szCs w:val="14"/>
              </w:rPr>
              <w:t>(±)</w:t>
            </w:r>
            <w:r w:rsidRPr="007C0BA6" w:rsidDel="005D5159">
              <w:rPr>
                <w:rFonts w:eastAsia="Arial Unicode MS"/>
                <w:b/>
                <w:sz w:val="14"/>
                <w:szCs w:val="14"/>
              </w:rPr>
              <w:t xml:space="preserve"> </w:t>
            </w:r>
          </w:p>
        </w:tc>
        <w:tc>
          <w:tcPr>
            <w:tcW w:w="851" w:type="dxa"/>
            <w:vAlign w:val="bottom"/>
          </w:tcPr>
          <w:p w14:paraId="5AD760E9" w14:textId="77777777" w:rsidR="00224102" w:rsidRPr="00A36623" w:rsidRDefault="00224102" w:rsidP="00224102">
            <w:pPr>
              <w:jc w:val="center"/>
              <w:rPr>
                <w:rFonts w:eastAsia="Arial Unicode MS"/>
                <w:b/>
                <w:sz w:val="14"/>
                <w:szCs w:val="14"/>
              </w:rPr>
            </w:pPr>
          </w:p>
        </w:tc>
        <w:tc>
          <w:tcPr>
            <w:tcW w:w="2037" w:type="dxa"/>
            <w:vAlign w:val="bottom"/>
          </w:tcPr>
          <w:p w14:paraId="13ADA72F" w14:textId="5F8F9E83" w:rsidR="00224102" w:rsidRPr="00A36623" w:rsidRDefault="00224102" w:rsidP="00224102">
            <w:pPr>
              <w:jc w:val="right"/>
              <w:rPr>
                <w:b/>
                <w:sz w:val="14"/>
                <w:szCs w:val="14"/>
              </w:rPr>
            </w:pPr>
            <w:r w:rsidRPr="00A36623">
              <w:rPr>
                <w:b/>
                <w:sz w:val="14"/>
                <w:szCs w:val="14"/>
              </w:rPr>
              <w:t>-</w:t>
            </w:r>
          </w:p>
        </w:tc>
        <w:tc>
          <w:tcPr>
            <w:tcW w:w="2037" w:type="dxa"/>
            <w:vAlign w:val="bottom"/>
          </w:tcPr>
          <w:p w14:paraId="07F37611" w14:textId="3D2FC11F" w:rsidR="00224102" w:rsidRPr="00F15456" w:rsidRDefault="00224102" w:rsidP="00224102">
            <w:pPr>
              <w:jc w:val="right"/>
              <w:rPr>
                <w:b/>
                <w:bCs/>
                <w:color w:val="000000"/>
                <w:sz w:val="14"/>
                <w:szCs w:val="14"/>
              </w:rPr>
            </w:pPr>
            <w:r w:rsidRPr="00A36623">
              <w:rPr>
                <w:b/>
                <w:sz w:val="14"/>
                <w:szCs w:val="14"/>
              </w:rPr>
              <w:t>-</w:t>
            </w:r>
          </w:p>
        </w:tc>
      </w:tr>
      <w:tr w:rsidR="00224102" w:rsidRPr="007C0BA6" w14:paraId="71342721" w14:textId="77777777" w:rsidTr="00F142CB">
        <w:tc>
          <w:tcPr>
            <w:tcW w:w="560" w:type="dxa"/>
            <w:vAlign w:val="bottom"/>
          </w:tcPr>
          <w:p w14:paraId="3A019953"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Cs/>
                <w:sz w:val="12"/>
                <w:szCs w:val="12"/>
              </w:rPr>
            </w:pPr>
            <w:r w:rsidRPr="007C0BA6">
              <w:rPr>
                <w:rFonts w:eastAsia="Arial Unicode MS"/>
                <w:bCs/>
                <w:sz w:val="12"/>
                <w:szCs w:val="12"/>
              </w:rPr>
              <w:t>21.1</w:t>
            </w:r>
          </w:p>
        </w:tc>
        <w:tc>
          <w:tcPr>
            <w:tcW w:w="4861" w:type="dxa"/>
            <w:vAlign w:val="bottom"/>
          </w:tcPr>
          <w:p w14:paraId="6A63C537" w14:textId="77777777" w:rsidR="00224102" w:rsidRPr="007C0BA6" w:rsidDel="00971A9C" w:rsidRDefault="00224102" w:rsidP="005337DE">
            <w:pPr>
              <w:ind w:left="-76"/>
              <w:rPr>
                <w:rFonts w:eastAsia="Arial Unicode MS"/>
                <w:sz w:val="14"/>
                <w:szCs w:val="14"/>
              </w:rPr>
            </w:pPr>
            <w:r w:rsidRPr="007C0BA6">
              <w:rPr>
                <w:rFonts w:eastAsia="Arial Unicode MS"/>
                <w:sz w:val="14"/>
                <w:szCs w:val="14"/>
              </w:rPr>
              <w:t>Current tax provision</w:t>
            </w:r>
          </w:p>
        </w:tc>
        <w:tc>
          <w:tcPr>
            <w:tcW w:w="851" w:type="dxa"/>
            <w:vAlign w:val="bottom"/>
          </w:tcPr>
          <w:p w14:paraId="1091B470" w14:textId="77777777" w:rsidR="00224102" w:rsidRPr="00A36623" w:rsidRDefault="00224102" w:rsidP="00224102">
            <w:pPr>
              <w:jc w:val="center"/>
              <w:rPr>
                <w:rFonts w:eastAsia="Arial Unicode MS"/>
                <w:sz w:val="14"/>
                <w:szCs w:val="14"/>
              </w:rPr>
            </w:pPr>
          </w:p>
        </w:tc>
        <w:tc>
          <w:tcPr>
            <w:tcW w:w="2037" w:type="dxa"/>
            <w:vAlign w:val="bottom"/>
          </w:tcPr>
          <w:p w14:paraId="40C3DDEA" w14:textId="516A23D6" w:rsidR="00224102" w:rsidRPr="00A36623" w:rsidRDefault="00224102" w:rsidP="00224102">
            <w:pPr>
              <w:jc w:val="right"/>
              <w:rPr>
                <w:sz w:val="14"/>
                <w:szCs w:val="14"/>
              </w:rPr>
            </w:pPr>
            <w:r w:rsidRPr="00A36623">
              <w:rPr>
                <w:sz w:val="14"/>
                <w:szCs w:val="14"/>
              </w:rPr>
              <w:t>-</w:t>
            </w:r>
          </w:p>
        </w:tc>
        <w:tc>
          <w:tcPr>
            <w:tcW w:w="2037" w:type="dxa"/>
            <w:vAlign w:val="bottom"/>
          </w:tcPr>
          <w:p w14:paraId="352540CF" w14:textId="0B7A34AF" w:rsidR="00224102" w:rsidRPr="00F15456" w:rsidRDefault="00224102" w:rsidP="00224102">
            <w:pPr>
              <w:jc w:val="right"/>
              <w:rPr>
                <w:color w:val="000000"/>
                <w:sz w:val="14"/>
                <w:szCs w:val="14"/>
              </w:rPr>
            </w:pPr>
            <w:r w:rsidRPr="00A36623">
              <w:rPr>
                <w:sz w:val="14"/>
                <w:szCs w:val="14"/>
              </w:rPr>
              <w:t>-</w:t>
            </w:r>
          </w:p>
        </w:tc>
      </w:tr>
      <w:tr w:rsidR="00224102" w:rsidRPr="007C0BA6" w14:paraId="28A33FD9" w14:textId="77777777" w:rsidTr="00F142CB">
        <w:tc>
          <w:tcPr>
            <w:tcW w:w="560" w:type="dxa"/>
            <w:vAlign w:val="bottom"/>
          </w:tcPr>
          <w:p w14:paraId="78CE0656"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Cs/>
                <w:sz w:val="12"/>
                <w:szCs w:val="12"/>
              </w:rPr>
            </w:pPr>
            <w:r w:rsidRPr="007C0BA6">
              <w:rPr>
                <w:rFonts w:eastAsia="Arial Unicode MS"/>
                <w:bCs/>
                <w:sz w:val="12"/>
                <w:szCs w:val="12"/>
              </w:rPr>
              <w:t>21.2</w:t>
            </w:r>
          </w:p>
        </w:tc>
        <w:tc>
          <w:tcPr>
            <w:tcW w:w="4861" w:type="dxa"/>
            <w:vAlign w:val="bottom"/>
          </w:tcPr>
          <w:p w14:paraId="12D5FA12" w14:textId="77777777" w:rsidR="00224102" w:rsidRPr="007C0BA6" w:rsidDel="00971A9C" w:rsidRDefault="00224102" w:rsidP="005337DE">
            <w:pPr>
              <w:ind w:left="-76"/>
              <w:rPr>
                <w:rFonts w:eastAsia="Arial Unicode MS"/>
                <w:sz w:val="14"/>
                <w:szCs w:val="14"/>
              </w:rPr>
            </w:pPr>
            <w:r w:rsidRPr="007C0BA6">
              <w:rPr>
                <w:rFonts w:eastAsia="Arial Unicode MS"/>
                <w:sz w:val="14"/>
                <w:szCs w:val="14"/>
              </w:rPr>
              <w:t>Deferred tax provision</w:t>
            </w:r>
          </w:p>
        </w:tc>
        <w:tc>
          <w:tcPr>
            <w:tcW w:w="851" w:type="dxa"/>
            <w:vAlign w:val="bottom"/>
          </w:tcPr>
          <w:p w14:paraId="35E73C83" w14:textId="77777777" w:rsidR="00224102" w:rsidRPr="00A36623" w:rsidRDefault="00224102" w:rsidP="00224102">
            <w:pPr>
              <w:jc w:val="center"/>
              <w:rPr>
                <w:rFonts w:eastAsia="Arial Unicode MS"/>
                <w:sz w:val="14"/>
                <w:szCs w:val="14"/>
              </w:rPr>
            </w:pPr>
          </w:p>
        </w:tc>
        <w:tc>
          <w:tcPr>
            <w:tcW w:w="2037" w:type="dxa"/>
            <w:vAlign w:val="bottom"/>
          </w:tcPr>
          <w:p w14:paraId="03093B5F" w14:textId="4547C1F3" w:rsidR="00224102" w:rsidRPr="00A36623" w:rsidRDefault="00224102" w:rsidP="00224102">
            <w:pPr>
              <w:jc w:val="right"/>
              <w:rPr>
                <w:sz w:val="14"/>
                <w:szCs w:val="14"/>
              </w:rPr>
            </w:pPr>
            <w:r w:rsidRPr="00A36623">
              <w:rPr>
                <w:sz w:val="14"/>
                <w:szCs w:val="14"/>
              </w:rPr>
              <w:t>-</w:t>
            </w:r>
          </w:p>
        </w:tc>
        <w:tc>
          <w:tcPr>
            <w:tcW w:w="2037" w:type="dxa"/>
            <w:vAlign w:val="bottom"/>
          </w:tcPr>
          <w:p w14:paraId="14374D75" w14:textId="28615EE7" w:rsidR="00224102" w:rsidRPr="00F15456" w:rsidRDefault="00224102" w:rsidP="00224102">
            <w:pPr>
              <w:jc w:val="right"/>
              <w:rPr>
                <w:color w:val="000000"/>
                <w:sz w:val="14"/>
                <w:szCs w:val="14"/>
              </w:rPr>
            </w:pPr>
            <w:r w:rsidRPr="00A36623">
              <w:rPr>
                <w:sz w:val="14"/>
                <w:szCs w:val="14"/>
              </w:rPr>
              <w:t>-</w:t>
            </w:r>
          </w:p>
        </w:tc>
      </w:tr>
      <w:tr w:rsidR="00224102" w:rsidRPr="007C0BA6" w14:paraId="5299376E" w14:textId="77777777" w:rsidTr="000A6C33">
        <w:tc>
          <w:tcPr>
            <w:tcW w:w="560" w:type="dxa"/>
            <w:vAlign w:val="bottom"/>
          </w:tcPr>
          <w:p w14:paraId="19D5371C" w14:textId="77777777" w:rsidR="00224102" w:rsidRPr="007C0BA6" w:rsidRDefault="00224102" w:rsidP="000A6C33">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
                <w:bCs/>
                <w:sz w:val="12"/>
                <w:szCs w:val="12"/>
              </w:rPr>
            </w:pPr>
            <w:r w:rsidRPr="007C0BA6">
              <w:rPr>
                <w:rFonts w:eastAsia="Arial Unicode MS"/>
                <w:b/>
                <w:bCs/>
                <w:sz w:val="12"/>
                <w:szCs w:val="12"/>
              </w:rPr>
              <w:t>XXII.</w:t>
            </w:r>
          </w:p>
        </w:tc>
        <w:tc>
          <w:tcPr>
            <w:tcW w:w="4861" w:type="dxa"/>
            <w:vAlign w:val="bottom"/>
          </w:tcPr>
          <w:p w14:paraId="23AFE765" w14:textId="77777777" w:rsidR="00224102" w:rsidRPr="007C0BA6" w:rsidDel="00971A9C" w:rsidRDefault="00224102" w:rsidP="005337DE">
            <w:pPr>
              <w:ind w:left="-76"/>
              <w:rPr>
                <w:rFonts w:eastAsia="Arial Unicode MS"/>
                <w:b/>
                <w:sz w:val="14"/>
                <w:szCs w:val="14"/>
              </w:rPr>
            </w:pPr>
            <w:r w:rsidRPr="007C0BA6">
              <w:rPr>
                <w:rFonts w:eastAsia="Arial Unicode MS"/>
                <w:b/>
                <w:sz w:val="14"/>
                <w:szCs w:val="14"/>
              </w:rPr>
              <w:t>NET INCOME/LOSS FROM DISCONTINUED OPERATIONS (XX</w:t>
            </w:r>
            <w:r>
              <w:rPr>
                <w:rFonts w:eastAsia="Arial Unicode MS"/>
                <w:b/>
                <w:sz w:val="14"/>
                <w:szCs w:val="14"/>
              </w:rPr>
              <w:t>±</w:t>
            </w:r>
            <w:r w:rsidRPr="007C0BA6">
              <w:rPr>
                <w:rFonts w:eastAsia="Arial Unicode MS"/>
                <w:b/>
                <w:sz w:val="14"/>
                <w:szCs w:val="14"/>
              </w:rPr>
              <w:t>XXI)</w:t>
            </w:r>
          </w:p>
        </w:tc>
        <w:tc>
          <w:tcPr>
            <w:tcW w:w="851" w:type="dxa"/>
            <w:vAlign w:val="bottom"/>
          </w:tcPr>
          <w:p w14:paraId="2E4CC657" w14:textId="77777777" w:rsidR="00224102" w:rsidRPr="00A36623" w:rsidRDefault="00224102" w:rsidP="00224102">
            <w:pPr>
              <w:jc w:val="center"/>
              <w:rPr>
                <w:rFonts w:eastAsia="Arial Unicode MS"/>
                <w:sz w:val="14"/>
                <w:szCs w:val="14"/>
              </w:rPr>
            </w:pPr>
          </w:p>
        </w:tc>
        <w:tc>
          <w:tcPr>
            <w:tcW w:w="2037" w:type="dxa"/>
            <w:vAlign w:val="bottom"/>
          </w:tcPr>
          <w:p w14:paraId="5261B75E" w14:textId="3C5E9604" w:rsidR="00224102" w:rsidRPr="00A36623" w:rsidRDefault="00224102" w:rsidP="00224102">
            <w:pPr>
              <w:jc w:val="right"/>
              <w:rPr>
                <w:b/>
                <w:sz w:val="14"/>
                <w:szCs w:val="14"/>
              </w:rPr>
            </w:pPr>
            <w:r w:rsidRPr="00A36623">
              <w:rPr>
                <w:b/>
                <w:sz w:val="14"/>
                <w:szCs w:val="14"/>
              </w:rPr>
              <w:t>-</w:t>
            </w:r>
          </w:p>
        </w:tc>
        <w:tc>
          <w:tcPr>
            <w:tcW w:w="2037" w:type="dxa"/>
            <w:vAlign w:val="bottom"/>
          </w:tcPr>
          <w:p w14:paraId="09C48118" w14:textId="12ACE051" w:rsidR="00224102" w:rsidRPr="00F15456" w:rsidRDefault="00224102" w:rsidP="00224102">
            <w:pPr>
              <w:jc w:val="right"/>
              <w:rPr>
                <w:b/>
                <w:bCs/>
                <w:color w:val="000000"/>
                <w:sz w:val="14"/>
                <w:szCs w:val="14"/>
              </w:rPr>
            </w:pPr>
            <w:r w:rsidRPr="00A36623">
              <w:rPr>
                <w:b/>
                <w:sz w:val="14"/>
                <w:szCs w:val="14"/>
              </w:rPr>
              <w:t>-</w:t>
            </w:r>
          </w:p>
        </w:tc>
      </w:tr>
      <w:tr w:rsidR="00224102" w:rsidRPr="007C0BA6" w14:paraId="46A14B7A" w14:textId="77777777" w:rsidTr="00F142CB">
        <w:trPr>
          <w:trHeight w:val="191"/>
        </w:trPr>
        <w:tc>
          <w:tcPr>
            <w:tcW w:w="560" w:type="dxa"/>
            <w:vAlign w:val="bottom"/>
          </w:tcPr>
          <w:p w14:paraId="5AF05C43"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rFonts w:eastAsia="Arial Unicode MS"/>
                <w:b/>
                <w:bCs/>
                <w:sz w:val="12"/>
                <w:szCs w:val="12"/>
              </w:rPr>
            </w:pPr>
            <w:r w:rsidRPr="007C0BA6">
              <w:rPr>
                <w:rFonts w:eastAsia="Arial Unicode MS"/>
                <w:b/>
                <w:bCs/>
                <w:sz w:val="12"/>
                <w:szCs w:val="12"/>
              </w:rPr>
              <w:t>XXIII.</w:t>
            </w:r>
          </w:p>
        </w:tc>
        <w:tc>
          <w:tcPr>
            <w:tcW w:w="4861" w:type="dxa"/>
            <w:vAlign w:val="bottom"/>
          </w:tcPr>
          <w:p w14:paraId="5210665B" w14:textId="77777777" w:rsidR="00224102" w:rsidRPr="007C0BA6" w:rsidRDefault="00224102" w:rsidP="005337DE">
            <w:pPr>
              <w:ind w:left="-76"/>
              <w:rPr>
                <w:rFonts w:eastAsia="Arial Unicode MS"/>
                <w:b/>
                <w:sz w:val="14"/>
                <w:szCs w:val="14"/>
              </w:rPr>
            </w:pPr>
            <w:r w:rsidRPr="007C0BA6">
              <w:rPr>
                <w:rFonts w:eastAsia="Arial Unicode MS"/>
                <w:b/>
                <w:sz w:val="14"/>
                <w:szCs w:val="14"/>
              </w:rPr>
              <w:t>NET INCOME/LOSS (XVII+XXII)</w:t>
            </w:r>
          </w:p>
        </w:tc>
        <w:tc>
          <w:tcPr>
            <w:tcW w:w="851" w:type="dxa"/>
            <w:vAlign w:val="bottom"/>
          </w:tcPr>
          <w:p w14:paraId="5A33A01A" w14:textId="2E8D4612" w:rsidR="00224102" w:rsidRPr="00A36623" w:rsidRDefault="00224102" w:rsidP="00224102">
            <w:pPr>
              <w:jc w:val="center"/>
              <w:rPr>
                <w:rFonts w:eastAsia="Arial Unicode MS"/>
                <w:b/>
                <w:sz w:val="14"/>
                <w:szCs w:val="14"/>
              </w:rPr>
            </w:pPr>
            <w:r w:rsidRPr="00A36623">
              <w:rPr>
                <w:rFonts w:eastAsia="Arial Unicode MS"/>
                <w:b/>
                <w:bCs/>
                <w:sz w:val="14"/>
                <w:szCs w:val="14"/>
              </w:rPr>
              <w:t>IV</w:t>
            </w:r>
            <w:r w:rsidRPr="00A36623">
              <w:rPr>
                <w:rFonts w:eastAsia="Arial Unicode MS"/>
                <w:b/>
                <w:sz w:val="14"/>
                <w:szCs w:val="14"/>
              </w:rPr>
              <w:t>-</w:t>
            </w:r>
            <w:r>
              <w:rPr>
                <w:rFonts w:eastAsia="Arial Unicode MS"/>
                <w:b/>
                <w:sz w:val="14"/>
                <w:szCs w:val="14"/>
              </w:rPr>
              <w:t>j</w:t>
            </w:r>
          </w:p>
        </w:tc>
        <w:tc>
          <w:tcPr>
            <w:tcW w:w="2037" w:type="dxa"/>
            <w:vAlign w:val="bottom"/>
          </w:tcPr>
          <w:p w14:paraId="0991E6A2" w14:textId="11C3E32D" w:rsidR="00224102" w:rsidRPr="00A36623" w:rsidRDefault="00224102" w:rsidP="00224102">
            <w:pPr>
              <w:jc w:val="right"/>
              <w:rPr>
                <w:b/>
                <w:sz w:val="14"/>
                <w:szCs w:val="14"/>
              </w:rPr>
            </w:pPr>
            <w:r>
              <w:rPr>
                <w:b/>
                <w:sz w:val="14"/>
                <w:szCs w:val="14"/>
              </w:rPr>
              <w:t>69,875</w:t>
            </w:r>
          </w:p>
        </w:tc>
        <w:tc>
          <w:tcPr>
            <w:tcW w:w="2037" w:type="dxa"/>
            <w:vAlign w:val="bottom"/>
          </w:tcPr>
          <w:p w14:paraId="3D497885" w14:textId="40FC889F" w:rsidR="00224102" w:rsidRPr="00A36623" w:rsidRDefault="00224102" w:rsidP="00224102">
            <w:pPr>
              <w:jc w:val="right"/>
              <w:rPr>
                <w:b/>
                <w:sz w:val="14"/>
                <w:szCs w:val="14"/>
              </w:rPr>
            </w:pPr>
            <w:r w:rsidRPr="00A36623">
              <w:rPr>
                <w:b/>
                <w:sz w:val="14"/>
                <w:szCs w:val="14"/>
              </w:rPr>
              <w:t>136</w:t>
            </w:r>
            <w:r>
              <w:rPr>
                <w:b/>
                <w:sz w:val="14"/>
                <w:szCs w:val="14"/>
              </w:rPr>
              <w:t>,</w:t>
            </w:r>
            <w:r w:rsidRPr="00A36623">
              <w:rPr>
                <w:b/>
                <w:sz w:val="14"/>
                <w:szCs w:val="14"/>
              </w:rPr>
              <w:t>823</w:t>
            </w:r>
          </w:p>
        </w:tc>
      </w:tr>
      <w:tr w:rsidR="00224102" w:rsidRPr="007C0BA6" w14:paraId="521EC1AC" w14:textId="77777777" w:rsidTr="00F142CB">
        <w:tc>
          <w:tcPr>
            <w:tcW w:w="560" w:type="dxa"/>
            <w:vAlign w:val="bottom"/>
          </w:tcPr>
          <w:p w14:paraId="34D953E6" w14:textId="77777777" w:rsidR="00224102" w:rsidRPr="00A36623" w:rsidRDefault="00224102" w:rsidP="005337DE">
            <w:pPr>
              <w:ind w:left="-76"/>
              <w:rPr>
                <w:rFonts w:eastAsia="Arial Unicode MS"/>
                <w:sz w:val="14"/>
                <w:szCs w:val="14"/>
              </w:rPr>
            </w:pPr>
            <w:r w:rsidRPr="00A36623">
              <w:rPr>
                <w:rFonts w:eastAsia="Arial Unicode MS"/>
                <w:sz w:val="14"/>
                <w:szCs w:val="14"/>
              </w:rPr>
              <w:t>23.1</w:t>
            </w:r>
          </w:p>
        </w:tc>
        <w:tc>
          <w:tcPr>
            <w:tcW w:w="4861" w:type="dxa"/>
            <w:vAlign w:val="bottom"/>
          </w:tcPr>
          <w:p w14:paraId="10746A76" w14:textId="77777777" w:rsidR="00224102" w:rsidRPr="0032757D" w:rsidRDefault="00224102" w:rsidP="005337DE">
            <w:pPr>
              <w:ind w:left="-76"/>
              <w:rPr>
                <w:rFonts w:eastAsia="Arial Unicode MS"/>
                <w:sz w:val="14"/>
                <w:szCs w:val="14"/>
              </w:rPr>
            </w:pPr>
            <w:r w:rsidRPr="0032757D">
              <w:rPr>
                <w:sz w:val="14"/>
                <w:szCs w:val="14"/>
              </w:rPr>
              <w:t xml:space="preserve">Group’s </w:t>
            </w:r>
            <w:r>
              <w:rPr>
                <w:sz w:val="14"/>
                <w:szCs w:val="14"/>
              </w:rPr>
              <w:t>P</w:t>
            </w:r>
            <w:r w:rsidRPr="0032757D">
              <w:rPr>
                <w:sz w:val="14"/>
                <w:szCs w:val="14"/>
              </w:rPr>
              <w:t>rofit/</w:t>
            </w:r>
            <w:r>
              <w:rPr>
                <w:sz w:val="14"/>
                <w:szCs w:val="14"/>
              </w:rPr>
              <w:t>L</w:t>
            </w:r>
            <w:r w:rsidRPr="0032757D">
              <w:rPr>
                <w:sz w:val="14"/>
                <w:szCs w:val="14"/>
              </w:rPr>
              <w:t>oss</w:t>
            </w:r>
          </w:p>
        </w:tc>
        <w:tc>
          <w:tcPr>
            <w:tcW w:w="851" w:type="dxa"/>
            <w:vAlign w:val="bottom"/>
          </w:tcPr>
          <w:p w14:paraId="5D24E46B" w14:textId="77777777" w:rsidR="00224102" w:rsidRPr="00923A53" w:rsidRDefault="00224102" w:rsidP="00224102">
            <w:pPr>
              <w:jc w:val="center"/>
              <w:rPr>
                <w:rFonts w:eastAsia="Arial Unicode MS"/>
                <w:sz w:val="14"/>
                <w:szCs w:val="14"/>
              </w:rPr>
            </w:pPr>
          </w:p>
        </w:tc>
        <w:tc>
          <w:tcPr>
            <w:tcW w:w="2037" w:type="dxa"/>
            <w:vAlign w:val="bottom"/>
          </w:tcPr>
          <w:p w14:paraId="6B5BB582" w14:textId="5516262C" w:rsidR="00224102" w:rsidRPr="00A36623" w:rsidRDefault="00224102" w:rsidP="00224102">
            <w:pPr>
              <w:jc w:val="right"/>
              <w:rPr>
                <w:sz w:val="14"/>
                <w:szCs w:val="14"/>
              </w:rPr>
            </w:pPr>
            <w:r>
              <w:rPr>
                <w:sz w:val="14"/>
                <w:szCs w:val="14"/>
              </w:rPr>
              <w:t>69,876</w:t>
            </w:r>
          </w:p>
        </w:tc>
        <w:tc>
          <w:tcPr>
            <w:tcW w:w="2037" w:type="dxa"/>
            <w:vAlign w:val="bottom"/>
          </w:tcPr>
          <w:p w14:paraId="384F37DC" w14:textId="57998622" w:rsidR="00224102" w:rsidRPr="00A36623" w:rsidRDefault="00224102" w:rsidP="00224102">
            <w:pPr>
              <w:jc w:val="right"/>
              <w:rPr>
                <w:sz w:val="14"/>
                <w:szCs w:val="14"/>
              </w:rPr>
            </w:pPr>
            <w:r w:rsidRPr="00A36623">
              <w:rPr>
                <w:sz w:val="14"/>
                <w:szCs w:val="14"/>
              </w:rPr>
              <w:t>136</w:t>
            </w:r>
            <w:r>
              <w:rPr>
                <w:sz w:val="14"/>
                <w:szCs w:val="14"/>
              </w:rPr>
              <w:t>,</w:t>
            </w:r>
            <w:r w:rsidRPr="00A36623">
              <w:rPr>
                <w:sz w:val="14"/>
                <w:szCs w:val="14"/>
              </w:rPr>
              <w:t>591</w:t>
            </w:r>
          </w:p>
        </w:tc>
      </w:tr>
      <w:tr w:rsidR="00224102" w:rsidRPr="007C0BA6" w14:paraId="3C98B551" w14:textId="77777777" w:rsidTr="00F142CB">
        <w:tc>
          <w:tcPr>
            <w:tcW w:w="560" w:type="dxa"/>
            <w:vAlign w:val="bottom"/>
          </w:tcPr>
          <w:p w14:paraId="00F8B9A8" w14:textId="77777777" w:rsidR="00224102" w:rsidRPr="00A36623" w:rsidRDefault="00224102" w:rsidP="005337DE">
            <w:pPr>
              <w:ind w:left="-76"/>
              <w:rPr>
                <w:rFonts w:eastAsia="Arial Unicode MS"/>
                <w:sz w:val="14"/>
                <w:szCs w:val="14"/>
              </w:rPr>
            </w:pPr>
            <w:r w:rsidRPr="00A36623">
              <w:rPr>
                <w:rFonts w:eastAsia="Arial Unicode MS"/>
                <w:sz w:val="14"/>
                <w:szCs w:val="14"/>
              </w:rPr>
              <w:t>23.2</w:t>
            </w:r>
          </w:p>
        </w:tc>
        <w:tc>
          <w:tcPr>
            <w:tcW w:w="4861" w:type="dxa"/>
            <w:vAlign w:val="bottom"/>
          </w:tcPr>
          <w:p w14:paraId="60F71129" w14:textId="77777777" w:rsidR="00224102" w:rsidRPr="0032757D" w:rsidRDefault="00224102" w:rsidP="005337DE">
            <w:pPr>
              <w:ind w:left="-76"/>
              <w:rPr>
                <w:sz w:val="14"/>
                <w:szCs w:val="14"/>
              </w:rPr>
            </w:pPr>
            <w:r w:rsidRPr="0032757D">
              <w:rPr>
                <w:sz w:val="14"/>
                <w:szCs w:val="14"/>
              </w:rPr>
              <w:t>Non-controlling interest</w:t>
            </w:r>
            <w:r>
              <w:rPr>
                <w:sz w:val="14"/>
                <w:szCs w:val="14"/>
              </w:rPr>
              <w:t xml:space="preserve"> (-)</w:t>
            </w:r>
          </w:p>
        </w:tc>
        <w:tc>
          <w:tcPr>
            <w:tcW w:w="851" w:type="dxa"/>
            <w:vAlign w:val="bottom"/>
          </w:tcPr>
          <w:p w14:paraId="015A3568" w14:textId="50C75C8F" w:rsidR="00224102" w:rsidRPr="00923A53" w:rsidRDefault="00224102" w:rsidP="00224102">
            <w:pPr>
              <w:jc w:val="center"/>
              <w:rPr>
                <w:rFonts w:eastAsia="Arial Unicode MS"/>
                <w:sz w:val="14"/>
                <w:szCs w:val="14"/>
              </w:rPr>
            </w:pPr>
            <w:r w:rsidRPr="00A36623">
              <w:rPr>
                <w:rFonts w:eastAsia="Arial Unicode MS"/>
                <w:sz w:val="14"/>
                <w:szCs w:val="14"/>
              </w:rPr>
              <w:t>IV-</w:t>
            </w:r>
            <w:r>
              <w:rPr>
                <w:rFonts w:eastAsia="Arial Unicode MS"/>
                <w:sz w:val="14"/>
                <w:szCs w:val="14"/>
              </w:rPr>
              <w:t>l</w:t>
            </w:r>
          </w:p>
        </w:tc>
        <w:tc>
          <w:tcPr>
            <w:tcW w:w="2037" w:type="dxa"/>
            <w:vAlign w:val="bottom"/>
          </w:tcPr>
          <w:p w14:paraId="7CBF77BF" w14:textId="342B4768" w:rsidR="00224102" w:rsidRPr="00A36623" w:rsidRDefault="00224102" w:rsidP="00224102">
            <w:pPr>
              <w:jc w:val="right"/>
              <w:rPr>
                <w:sz w:val="14"/>
                <w:szCs w:val="14"/>
              </w:rPr>
            </w:pPr>
            <w:r>
              <w:rPr>
                <w:sz w:val="14"/>
                <w:szCs w:val="14"/>
              </w:rPr>
              <w:t>(1)</w:t>
            </w:r>
          </w:p>
        </w:tc>
        <w:tc>
          <w:tcPr>
            <w:tcW w:w="2037" w:type="dxa"/>
            <w:vAlign w:val="bottom"/>
          </w:tcPr>
          <w:p w14:paraId="5861D798" w14:textId="0B25A7CE" w:rsidR="00224102" w:rsidRPr="00A36623" w:rsidRDefault="00224102" w:rsidP="00224102">
            <w:pPr>
              <w:jc w:val="right"/>
              <w:rPr>
                <w:sz w:val="14"/>
                <w:szCs w:val="14"/>
              </w:rPr>
            </w:pPr>
            <w:r w:rsidRPr="00A36623">
              <w:rPr>
                <w:sz w:val="14"/>
                <w:szCs w:val="14"/>
              </w:rPr>
              <w:t>232</w:t>
            </w:r>
          </w:p>
        </w:tc>
      </w:tr>
      <w:tr w:rsidR="00224102" w:rsidRPr="007C0BA6" w14:paraId="157B801C" w14:textId="77777777" w:rsidTr="00F142CB">
        <w:tc>
          <w:tcPr>
            <w:tcW w:w="560" w:type="dxa"/>
            <w:tcBorders>
              <w:bottom w:val="single" w:sz="4" w:space="0" w:color="auto"/>
            </w:tcBorders>
            <w:vAlign w:val="bottom"/>
          </w:tcPr>
          <w:p w14:paraId="4970A8C3" w14:textId="77777777" w:rsidR="00224102" w:rsidRPr="007C0BA6" w:rsidRDefault="00224102" w:rsidP="005337DE">
            <w:pPr>
              <w:tabs>
                <w:tab w:val="left" w:pos="280"/>
                <w:tab w:val="left" w:pos="1200"/>
                <w:tab w:val="left" w:pos="10080"/>
                <w:tab w:val="left" w:pos="10920"/>
                <w:tab w:val="left" w:pos="12520"/>
                <w:tab w:val="left" w:pos="13480"/>
                <w:tab w:val="left" w:pos="15680"/>
                <w:tab w:val="left" w:pos="16640"/>
                <w:tab w:val="left" w:pos="17740"/>
              </w:tabs>
              <w:ind w:left="-76"/>
              <w:rPr>
                <w:b/>
                <w:bCs/>
                <w:snapToGrid w:val="0"/>
                <w:sz w:val="12"/>
                <w:szCs w:val="12"/>
              </w:rPr>
            </w:pPr>
          </w:p>
        </w:tc>
        <w:tc>
          <w:tcPr>
            <w:tcW w:w="4861" w:type="dxa"/>
            <w:tcBorders>
              <w:bottom w:val="single" w:sz="4" w:space="0" w:color="auto"/>
            </w:tcBorders>
            <w:vAlign w:val="bottom"/>
          </w:tcPr>
          <w:p w14:paraId="02070D7F" w14:textId="55FCFB4C" w:rsidR="00224102" w:rsidRPr="007C0BA6" w:rsidRDefault="00224102" w:rsidP="005337DE">
            <w:pPr>
              <w:ind w:left="-76" w:right="-251"/>
              <w:rPr>
                <w:rFonts w:eastAsia="Arial Unicode MS"/>
                <w:sz w:val="14"/>
                <w:szCs w:val="14"/>
              </w:rPr>
            </w:pPr>
            <w:r w:rsidRPr="007C0BA6">
              <w:rPr>
                <w:rFonts w:eastAsia="Arial Unicode MS"/>
                <w:sz w:val="14"/>
                <w:szCs w:val="14"/>
              </w:rPr>
              <w:t>Earnings / (Loss) per share in</w:t>
            </w:r>
            <w:r w:rsidR="00F142CB">
              <w:rPr>
                <w:rFonts w:eastAsia="Arial Unicode MS"/>
                <w:sz w:val="14"/>
                <w:szCs w:val="14"/>
              </w:rPr>
              <w:t xml:space="preserve"> </w:t>
            </w:r>
            <w:r w:rsidRPr="007C0BA6">
              <w:rPr>
                <w:rFonts w:eastAsia="Arial Unicode MS"/>
                <w:sz w:val="14"/>
                <w:szCs w:val="14"/>
              </w:rPr>
              <w:t xml:space="preserve"> </w:t>
            </w:r>
            <w:r w:rsidR="00F142CB">
              <w:rPr>
                <w:rFonts w:eastAsia="Arial Unicode MS"/>
                <w:sz w:val="14"/>
                <w:szCs w:val="14"/>
              </w:rPr>
              <w:t>(</w:t>
            </w:r>
            <w:r>
              <w:rPr>
                <w:rFonts w:eastAsia="Arial Unicode MS"/>
                <w:sz w:val="14"/>
                <w:szCs w:val="14"/>
              </w:rPr>
              <w:t>F</w:t>
            </w:r>
            <w:r w:rsidRPr="007C0BA6">
              <w:rPr>
                <w:rFonts w:eastAsia="Arial Unicode MS"/>
                <w:sz w:val="14"/>
                <w:szCs w:val="14"/>
              </w:rPr>
              <w:t>ull</w:t>
            </w:r>
            <w:r>
              <w:rPr>
                <w:rFonts w:eastAsia="Arial Unicode MS"/>
                <w:sz w:val="14"/>
                <w:szCs w:val="14"/>
              </w:rPr>
              <w:t xml:space="preserve"> TL</w:t>
            </w:r>
            <w:r w:rsidR="00F142CB">
              <w:rPr>
                <w:rFonts w:eastAsia="Arial Unicode MS"/>
                <w:sz w:val="14"/>
                <w:szCs w:val="14"/>
              </w:rPr>
              <w:t>)</w:t>
            </w:r>
          </w:p>
        </w:tc>
        <w:tc>
          <w:tcPr>
            <w:tcW w:w="851" w:type="dxa"/>
            <w:tcBorders>
              <w:bottom w:val="single" w:sz="4" w:space="0" w:color="auto"/>
            </w:tcBorders>
            <w:vAlign w:val="bottom"/>
          </w:tcPr>
          <w:p w14:paraId="639D6DA4" w14:textId="77777777" w:rsidR="00224102" w:rsidRPr="00923A53" w:rsidRDefault="00224102" w:rsidP="00224102">
            <w:pPr>
              <w:jc w:val="center"/>
              <w:rPr>
                <w:rFonts w:eastAsia="Arial Unicode MS"/>
                <w:sz w:val="14"/>
                <w:szCs w:val="14"/>
              </w:rPr>
            </w:pPr>
          </w:p>
        </w:tc>
        <w:tc>
          <w:tcPr>
            <w:tcW w:w="2037" w:type="dxa"/>
            <w:tcBorders>
              <w:bottom w:val="single" w:sz="4" w:space="0" w:color="auto"/>
            </w:tcBorders>
            <w:vAlign w:val="bottom"/>
          </w:tcPr>
          <w:p w14:paraId="298428BD" w14:textId="18656CE0" w:rsidR="00224102" w:rsidRPr="00A36623" w:rsidRDefault="00224102" w:rsidP="00224102">
            <w:pPr>
              <w:jc w:val="right"/>
              <w:rPr>
                <w:sz w:val="14"/>
                <w:szCs w:val="14"/>
              </w:rPr>
            </w:pPr>
            <w:r>
              <w:rPr>
                <w:sz w:val="14"/>
                <w:szCs w:val="14"/>
              </w:rPr>
              <w:t>0.1127</w:t>
            </w:r>
          </w:p>
        </w:tc>
        <w:tc>
          <w:tcPr>
            <w:tcW w:w="2037" w:type="dxa"/>
            <w:tcBorders>
              <w:bottom w:val="single" w:sz="4" w:space="0" w:color="auto"/>
            </w:tcBorders>
            <w:vAlign w:val="bottom"/>
          </w:tcPr>
          <w:p w14:paraId="4E1BA450" w14:textId="753E3F31" w:rsidR="00224102" w:rsidRPr="00A36623" w:rsidRDefault="00224102" w:rsidP="00224102">
            <w:pPr>
              <w:jc w:val="right"/>
              <w:rPr>
                <w:sz w:val="14"/>
                <w:szCs w:val="14"/>
              </w:rPr>
            </w:pPr>
            <w:r>
              <w:rPr>
                <w:sz w:val="14"/>
                <w:szCs w:val="14"/>
              </w:rPr>
              <w:t>0.</w:t>
            </w:r>
            <w:r w:rsidRPr="00A36623">
              <w:rPr>
                <w:sz w:val="14"/>
                <w:szCs w:val="14"/>
              </w:rPr>
              <w:t>2328</w:t>
            </w:r>
          </w:p>
        </w:tc>
      </w:tr>
    </w:tbl>
    <w:p w14:paraId="3DEE6CFE" w14:textId="77777777" w:rsidR="0026178A" w:rsidRPr="00604C75" w:rsidRDefault="0026178A" w:rsidP="00F82CC1"/>
    <w:p w14:paraId="7ED8164D" w14:textId="77777777" w:rsidR="00F82CC1" w:rsidRPr="00604C75" w:rsidRDefault="00F82CC1" w:rsidP="00CF1427">
      <w:pPr>
        <w:tabs>
          <w:tab w:val="left" w:pos="2175"/>
        </w:tabs>
      </w:pPr>
    </w:p>
    <w:p w14:paraId="42DC737F" w14:textId="77777777" w:rsidR="0044575F" w:rsidRPr="00604C75" w:rsidRDefault="0044575F" w:rsidP="00CF1427">
      <w:pPr>
        <w:tabs>
          <w:tab w:val="left" w:pos="2175"/>
        </w:tabs>
      </w:pPr>
    </w:p>
    <w:p w14:paraId="1E479BCA" w14:textId="77777777" w:rsidR="00BE3C51" w:rsidRPr="00604C75" w:rsidRDefault="00BE3C51" w:rsidP="00F142CB">
      <w:pPr>
        <w:tabs>
          <w:tab w:val="left" w:pos="2175"/>
        </w:tabs>
        <w:spacing w:before="480"/>
      </w:pPr>
    </w:p>
    <w:p w14:paraId="3C306741" w14:textId="77777777" w:rsidR="0044575F" w:rsidRPr="00604C75" w:rsidRDefault="0044575F" w:rsidP="00F142CB">
      <w:pPr>
        <w:tabs>
          <w:tab w:val="left" w:pos="2175"/>
        </w:tabs>
        <w:spacing w:before="240"/>
      </w:pPr>
    </w:p>
    <w:p w14:paraId="27F5FE68" w14:textId="77777777" w:rsidR="006F153D" w:rsidRPr="00604C75" w:rsidRDefault="00BD00CB" w:rsidP="0032757D">
      <w:pPr>
        <w:ind w:left="1440" w:firstLine="720"/>
        <w:sectPr w:rsidR="006F153D" w:rsidRPr="00604C75" w:rsidSect="00CF6669">
          <w:headerReference w:type="default" r:id="rId15"/>
          <w:pgSz w:w="11907" w:h="16840" w:code="9"/>
          <w:pgMar w:top="1134" w:right="748" w:bottom="720" w:left="1077" w:header="709" w:footer="709" w:gutter="0"/>
          <w:cols w:space="720"/>
          <w:docGrid w:linePitch="360"/>
        </w:sectPr>
      </w:pPr>
      <w:r w:rsidRPr="00604C75">
        <w:rPr>
          <w:sz w:val="16"/>
          <w:szCs w:val="16"/>
        </w:rPr>
        <w:t>The accompanying notes are an integral part of these consolidated financial statements.</w:t>
      </w:r>
      <w:r w:rsidRPr="00604C75" w:rsidDel="00AF0AEB">
        <w:rPr>
          <w:bCs/>
          <w:noProof/>
          <w:snapToGrid w:val="0"/>
          <w:sz w:val="16"/>
          <w:szCs w:val="16"/>
          <w:lang w:val="tr-TR"/>
        </w:rPr>
        <w:t xml:space="preserve"> </w:t>
      </w:r>
    </w:p>
    <w:tbl>
      <w:tblPr>
        <w:tblW w:w="10065" w:type="dxa"/>
        <w:tblInd w:w="-84" w:type="dxa"/>
        <w:tblLook w:val="0000" w:firstRow="0" w:lastRow="0" w:firstColumn="0" w:lastColumn="0" w:noHBand="0" w:noVBand="0"/>
      </w:tblPr>
      <w:tblGrid>
        <w:gridCol w:w="650"/>
        <w:gridCol w:w="6438"/>
        <w:gridCol w:w="1417"/>
        <w:gridCol w:w="1560"/>
      </w:tblGrid>
      <w:tr w:rsidR="006F153D" w:rsidRPr="00604C75" w14:paraId="1368FCEB" w14:textId="77777777" w:rsidTr="00D30277">
        <w:trPr>
          <w:trHeight w:hRule="exact" w:val="340"/>
        </w:trPr>
        <w:tc>
          <w:tcPr>
            <w:tcW w:w="10065" w:type="dxa"/>
            <w:gridSpan w:val="4"/>
            <w:shd w:val="clear" w:color="auto" w:fill="auto"/>
            <w:noWrap/>
            <w:vAlign w:val="center"/>
          </w:tcPr>
          <w:p w14:paraId="232DB4CC" w14:textId="77777777" w:rsidR="006F153D" w:rsidRPr="00604C75" w:rsidRDefault="006F153D" w:rsidP="006F153D">
            <w:pPr>
              <w:rPr>
                <w:b/>
                <w:bCs/>
                <w:sz w:val="14"/>
                <w:szCs w:val="14"/>
              </w:rPr>
            </w:pPr>
          </w:p>
          <w:p w14:paraId="2B7DC7DC" w14:textId="77777777" w:rsidR="006F153D" w:rsidRPr="00604C75" w:rsidRDefault="006F153D" w:rsidP="008477F3">
            <w:pPr>
              <w:pStyle w:val="ListParagraph"/>
              <w:numPr>
                <w:ilvl w:val="0"/>
                <w:numId w:val="44"/>
              </w:numPr>
              <w:tabs>
                <w:tab w:val="clear" w:pos="1080"/>
                <w:tab w:val="num" w:pos="540"/>
              </w:tabs>
              <w:ind w:hanging="1080"/>
              <w:rPr>
                <w:b/>
                <w:bCs/>
                <w:sz w:val="14"/>
                <w:szCs w:val="14"/>
              </w:rPr>
            </w:pPr>
            <w:r w:rsidRPr="00604C75">
              <w:rPr>
                <w:b/>
                <w:bCs/>
                <w:sz w:val="14"/>
                <w:szCs w:val="14"/>
              </w:rPr>
              <w:t xml:space="preserve">STATEMENT OF </w:t>
            </w:r>
            <w:r w:rsidR="00BB38BD" w:rsidRPr="00604C75">
              <w:rPr>
                <w:b/>
                <w:bCs/>
                <w:sz w:val="14"/>
                <w:szCs w:val="14"/>
              </w:rPr>
              <w:t>INCOME AND EXPENSE ITEMS ACCOUNTED UNDER SHAREHOLDER’S EQUITY</w:t>
            </w:r>
          </w:p>
        </w:tc>
      </w:tr>
      <w:tr w:rsidR="006F153D" w:rsidRPr="00604C75" w14:paraId="648FB64B" w14:textId="77777777" w:rsidTr="00D30277">
        <w:trPr>
          <w:trHeight w:hRule="exact" w:val="227"/>
        </w:trPr>
        <w:tc>
          <w:tcPr>
            <w:tcW w:w="650" w:type="dxa"/>
            <w:shd w:val="clear" w:color="auto" w:fill="auto"/>
            <w:noWrap/>
            <w:vAlign w:val="bottom"/>
          </w:tcPr>
          <w:p w14:paraId="3DBB8D7A" w14:textId="77777777" w:rsidR="006F153D" w:rsidRPr="00604C75" w:rsidRDefault="006F153D" w:rsidP="006F153D">
            <w:pPr>
              <w:rPr>
                <w:sz w:val="14"/>
                <w:szCs w:val="14"/>
              </w:rPr>
            </w:pPr>
            <w:r w:rsidRPr="00604C75">
              <w:rPr>
                <w:sz w:val="14"/>
                <w:szCs w:val="14"/>
              </w:rPr>
              <w:t> </w:t>
            </w:r>
          </w:p>
        </w:tc>
        <w:tc>
          <w:tcPr>
            <w:tcW w:w="6438" w:type="dxa"/>
            <w:shd w:val="clear" w:color="auto" w:fill="auto"/>
            <w:noWrap/>
            <w:vAlign w:val="bottom"/>
          </w:tcPr>
          <w:p w14:paraId="5F2F4D72" w14:textId="77777777" w:rsidR="006F153D" w:rsidRPr="00604C75" w:rsidRDefault="006F153D" w:rsidP="006F153D">
            <w:pPr>
              <w:rPr>
                <w:sz w:val="14"/>
                <w:szCs w:val="14"/>
              </w:rPr>
            </w:pPr>
            <w:r w:rsidRPr="00604C75">
              <w:rPr>
                <w:sz w:val="14"/>
                <w:szCs w:val="14"/>
              </w:rPr>
              <w:t> </w:t>
            </w:r>
          </w:p>
        </w:tc>
        <w:tc>
          <w:tcPr>
            <w:tcW w:w="1417" w:type="dxa"/>
            <w:shd w:val="clear" w:color="auto" w:fill="auto"/>
            <w:vAlign w:val="bottom"/>
          </w:tcPr>
          <w:p w14:paraId="34BAFD3C" w14:textId="77777777" w:rsidR="006F153D" w:rsidRPr="00604C75" w:rsidRDefault="006F153D" w:rsidP="006F153D">
            <w:pPr>
              <w:ind w:right="-80"/>
              <w:rPr>
                <w:sz w:val="14"/>
                <w:szCs w:val="14"/>
              </w:rPr>
            </w:pPr>
          </w:p>
        </w:tc>
        <w:tc>
          <w:tcPr>
            <w:tcW w:w="1560" w:type="dxa"/>
            <w:shd w:val="clear" w:color="auto" w:fill="auto"/>
            <w:vAlign w:val="bottom"/>
          </w:tcPr>
          <w:p w14:paraId="0491B314" w14:textId="77777777" w:rsidR="006F153D" w:rsidRPr="00604C75" w:rsidRDefault="006F153D" w:rsidP="006F153D">
            <w:pPr>
              <w:ind w:right="-80"/>
              <w:rPr>
                <w:sz w:val="14"/>
                <w:szCs w:val="14"/>
              </w:rPr>
            </w:pPr>
          </w:p>
        </w:tc>
      </w:tr>
      <w:tr w:rsidR="00693C44" w:rsidRPr="00604C75" w14:paraId="434291B6" w14:textId="77777777" w:rsidTr="00D30277">
        <w:trPr>
          <w:trHeight w:val="170"/>
        </w:trPr>
        <w:tc>
          <w:tcPr>
            <w:tcW w:w="7088" w:type="dxa"/>
            <w:gridSpan w:val="2"/>
            <w:shd w:val="clear" w:color="auto" w:fill="auto"/>
            <w:noWrap/>
            <w:vAlign w:val="bottom"/>
          </w:tcPr>
          <w:p w14:paraId="785145A4" w14:textId="611D0222" w:rsidR="00693C44" w:rsidRPr="00604C75" w:rsidRDefault="00693C44" w:rsidP="00693C44">
            <w:pPr>
              <w:ind w:left="550"/>
              <w:rPr>
                <w:b/>
                <w:bCs/>
                <w:sz w:val="14"/>
                <w:szCs w:val="14"/>
              </w:rPr>
            </w:pPr>
            <w:r w:rsidRPr="00604C75">
              <w:rPr>
                <w:b/>
                <w:bCs/>
                <w:sz w:val="14"/>
                <w:szCs w:val="14"/>
              </w:rPr>
              <w:t>INCOME AND EXPENSE ITEMS ACCOUNTED IN EQUITY</w:t>
            </w:r>
          </w:p>
        </w:tc>
        <w:tc>
          <w:tcPr>
            <w:tcW w:w="1417" w:type="dxa"/>
            <w:tcBorders>
              <w:bottom w:val="single" w:sz="4" w:space="0" w:color="auto"/>
            </w:tcBorders>
            <w:shd w:val="clear" w:color="auto" w:fill="auto"/>
            <w:noWrap/>
            <w:vAlign w:val="bottom"/>
          </w:tcPr>
          <w:p w14:paraId="60E9A215" w14:textId="77777777" w:rsidR="00693C44" w:rsidRPr="00604C75" w:rsidRDefault="00962E2C" w:rsidP="00F142CB">
            <w:pPr>
              <w:pStyle w:val="xl54"/>
              <w:pBdr>
                <w:left w:val="none" w:sz="0" w:space="0" w:color="auto"/>
                <w:right w:val="none" w:sz="0" w:space="0" w:color="auto"/>
              </w:pBdr>
              <w:spacing w:before="0" w:beforeAutospacing="0" w:after="0" w:afterAutospacing="0"/>
              <w:ind w:right="-23"/>
              <w:jc w:val="right"/>
              <w:rPr>
                <w:rFonts w:ascii="Times New Roman" w:hAnsi="Times New Roman"/>
                <w:noProof/>
                <w:sz w:val="14"/>
                <w:szCs w:val="14"/>
                <w:lang w:val="tr-TR"/>
              </w:rPr>
            </w:pPr>
            <w:r>
              <w:rPr>
                <w:rFonts w:ascii="Times New Roman" w:hAnsi="Times New Roman"/>
                <w:noProof/>
                <w:sz w:val="14"/>
                <w:szCs w:val="14"/>
                <w:lang w:val="tr-TR"/>
              </w:rPr>
              <w:t>31</w:t>
            </w:r>
            <w:r w:rsidR="00D405BC">
              <w:rPr>
                <w:rFonts w:ascii="Times New Roman" w:hAnsi="Times New Roman"/>
                <w:noProof/>
                <w:sz w:val="14"/>
                <w:szCs w:val="14"/>
                <w:lang w:val="tr-TR"/>
              </w:rPr>
              <w:t xml:space="preserve"> </w:t>
            </w:r>
            <w:r>
              <w:rPr>
                <w:rFonts w:ascii="Times New Roman" w:hAnsi="Times New Roman"/>
                <w:noProof/>
                <w:sz w:val="14"/>
                <w:szCs w:val="14"/>
                <w:lang w:val="tr-TR"/>
              </w:rPr>
              <w:t>December</w:t>
            </w:r>
            <w:r w:rsidR="00D405BC">
              <w:rPr>
                <w:rFonts w:ascii="Times New Roman" w:hAnsi="Times New Roman"/>
                <w:noProof/>
                <w:sz w:val="14"/>
                <w:szCs w:val="14"/>
                <w:lang w:val="tr-TR"/>
              </w:rPr>
              <w:t xml:space="preserve"> </w:t>
            </w:r>
            <w:r w:rsidR="00F40013" w:rsidRPr="00604C75">
              <w:rPr>
                <w:rFonts w:ascii="Times New Roman" w:hAnsi="Times New Roman"/>
                <w:noProof/>
                <w:sz w:val="14"/>
                <w:szCs w:val="14"/>
                <w:lang w:val="tr-TR"/>
              </w:rPr>
              <w:t xml:space="preserve"> 2015</w:t>
            </w:r>
          </w:p>
        </w:tc>
        <w:tc>
          <w:tcPr>
            <w:tcW w:w="1560" w:type="dxa"/>
            <w:tcBorders>
              <w:bottom w:val="single" w:sz="4" w:space="0" w:color="auto"/>
            </w:tcBorders>
            <w:shd w:val="clear" w:color="auto" w:fill="auto"/>
            <w:noWrap/>
            <w:vAlign w:val="bottom"/>
          </w:tcPr>
          <w:p w14:paraId="7DFBE30E" w14:textId="77777777" w:rsidR="00693C44" w:rsidRPr="00604C75" w:rsidRDefault="00962E2C" w:rsidP="00F142CB">
            <w:pPr>
              <w:ind w:right="78"/>
              <w:jc w:val="right"/>
              <w:rPr>
                <w:rFonts w:eastAsia="Arial Unicode MS"/>
                <w:b/>
                <w:sz w:val="14"/>
                <w:szCs w:val="14"/>
              </w:rPr>
            </w:pPr>
            <w:r>
              <w:rPr>
                <w:b/>
                <w:bCs/>
                <w:noProof/>
                <w:sz w:val="14"/>
                <w:szCs w:val="14"/>
                <w:lang w:val="tr-TR"/>
              </w:rPr>
              <w:t>31</w:t>
            </w:r>
            <w:r w:rsidR="00D405BC">
              <w:rPr>
                <w:b/>
                <w:bCs/>
                <w:noProof/>
                <w:sz w:val="14"/>
                <w:szCs w:val="14"/>
                <w:lang w:val="tr-TR"/>
              </w:rPr>
              <w:t xml:space="preserve"> </w:t>
            </w:r>
            <w:r>
              <w:rPr>
                <w:b/>
                <w:bCs/>
                <w:noProof/>
                <w:sz w:val="14"/>
                <w:szCs w:val="14"/>
                <w:lang w:val="tr-TR"/>
              </w:rPr>
              <w:t>December</w:t>
            </w:r>
            <w:r w:rsidR="00D405BC">
              <w:rPr>
                <w:b/>
                <w:bCs/>
                <w:noProof/>
                <w:sz w:val="14"/>
                <w:szCs w:val="14"/>
                <w:lang w:val="tr-TR"/>
              </w:rPr>
              <w:t xml:space="preserve"> </w:t>
            </w:r>
            <w:r w:rsidR="00F40013" w:rsidRPr="00604C75">
              <w:rPr>
                <w:b/>
                <w:bCs/>
                <w:noProof/>
                <w:sz w:val="14"/>
                <w:szCs w:val="14"/>
                <w:lang w:val="tr-TR"/>
              </w:rPr>
              <w:t>2014</w:t>
            </w:r>
          </w:p>
        </w:tc>
      </w:tr>
      <w:tr w:rsidR="006F153D" w:rsidRPr="00604C75" w14:paraId="29A35B41" w14:textId="77777777" w:rsidTr="00D30277">
        <w:trPr>
          <w:trHeight w:val="170"/>
        </w:trPr>
        <w:tc>
          <w:tcPr>
            <w:tcW w:w="650" w:type="dxa"/>
            <w:shd w:val="clear" w:color="auto" w:fill="auto"/>
            <w:noWrap/>
            <w:vAlign w:val="bottom"/>
          </w:tcPr>
          <w:p w14:paraId="6BDCD63F" w14:textId="77777777" w:rsidR="006F153D" w:rsidRPr="00604C75" w:rsidRDefault="006F153D" w:rsidP="006F153D">
            <w:pPr>
              <w:rPr>
                <w:sz w:val="14"/>
                <w:szCs w:val="14"/>
              </w:rPr>
            </w:pPr>
          </w:p>
        </w:tc>
        <w:tc>
          <w:tcPr>
            <w:tcW w:w="6438" w:type="dxa"/>
            <w:shd w:val="clear" w:color="auto" w:fill="auto"/>
            <w:noWrap/>
            <w:vAlign w:val="bottom"/>
          </w:tcPr>
          <w:p w14:paraId="121414A4" w14:textId="77777777" w:rsidR="006F153D" w:rsidRPr="00604C75" w:rsidRDefault="006F153D" w:rsidP="006F153D">
            <w:pPr>
              <w:rPr>
                <w:sz w:val="14"/>
                <w:szCs w:val="14"/>
              </w:rPr>
            </w:pPr>
            <w:r w:rsidRPr="00604C75">
              <w:rPr>
                <w:sz w:val="14"/>
                <w:szCs w:val="14"/>
              </w:rPr>
              <w:t> </w:t>
            </w:r>
          </w:p>
        </w:tc>
        <w:tc>
          <w:tcPr>
            <w:tcW w:w="1417" w:type="dxa"/>
            <w:shd w:val="clear" w:color="auto" w:fill="auto"/>
            <w:noWrap/>
            <w:vAlign w:val="bottom"/>
          </w:tcPr>
          <w:p w14:paraId="2768A4D5" w14:textId="77777777" w:rsidR="006F153D" w:rsidRPr="00604C75" w:rsidRDefault="006F153D" w:rsidP="00F142CB">
            <w:pPr>
              <w:ind w:right="-23"/>
              <w:jc w:val="right"/>
              <w:rPr>
                <w:rFonts w:eastAsia="Arial Unicode MS"/>
                <w:b/>
                <w:sz w:val="14"/>
                <w:szCs w:val="14"/>
              </w:rPr>
            </w:pPr>
          </w:p>
        </w:tc>
        <w:tc>
          <w:tcPr>
            <w:tcW w:w="1560" w:type="dxa"/>
            <w:tcBorders>
              <w:top w:val="single" w:sz="4" w:space="0" w:color="auto"/>
            </w:tcBorders>
            <w:shd w:val="clear" w:color="auto" w:fill="auto"/>
            <w:noWrap/>
            <w:vAlign w:val="bottom"/>
          </w:tcPr>
          <w:p w14:paraId="74883D44" w14:textId="77777777" w:rsidR="006F153D" w:rsidRPr="00604C75" w:rsidRDefault="006F153D" w:rsidP="00F142CB">
            <w:pPr>
              <w:ind w:right="78"/>
              <w:jc w:val="right"/>
              <w:rPr>
                <w:rFonts w:eastAsia="Arial Unicode MS"/>
                <w:b/>
                <w:sz w:val="14"/>
                <w:szCs w:val="14"/>
              </w:rPr>
            </w:pPr>
          </w:p>
        </w:tc>
      </w:tr>
      <w:tr w:rsidR="00980409" w:rsidRPr="00604C75" w14:paraId="0120FC58" w14:textId="77777777" w:rsidTr="00D30277">
        <w:trPr>
          <w:trHeight w:val="170"/>
        </w:trPr>
        <w:tc>
          <w:tcPr>
            <w:tcW w:w="650" w:type="dxa"/>
            <w:shd w:val="clear" w:color="auto" w:fill="auto"/>
            <w:noWrap/>
          </w:tcPr>
          <w:p w14:paraId="7AF0A8B2" w14:textId="77777777" w:rsidR="00980409" w:rsidRPr="00604C75" w:rsidRDefault="00980409" w:rsidP="00980409">
            <w:pPr>
              <w:rPr>
                <w:b/>
                <w:bCs/>
                <w:sz w:val="14"/>
                <w:szCs w:val="14"/>
              </w:rPr>
            </w:pPr>
            <w:r w:rsidRPr="00604C75">
              <w:rPr>
                <w:b/>
                <w:bCs/>
                <w:sz w:val="14"/>
                <w:szCs w:val="14"/>
              </w:rPr>
              <w:t>I.</w:t>
            </w:r>
          </w:p>
        </w:tc>
        <w:tc>
          <w:tcPr>
            <w:tcW w:w="6438" w:type="dxa"/>
            <w:shd w:val="clear" w:color="auto" w:fill="auto"/>
            <w:vAlign w:val="bottom"/>
          </w:tcPr>
          <w:p w14:paraId="7D84BDEE" w14:textId="475D5094" w:rsidR="00980409" w:rsidRPr="00604C75" w:rsidRDefault="00980409" w:rsidP="00980409">
            <w:pPr>
              <w:ind w:left="-101"/>
              <w:rPr>
                <w:b/>
                <w:bCs/>
                <w:sz w:val="14"/>
                <w:szCs w:val="14"/>
              </w:rPr>
            </w:pPr>
            <w:r w:rsidRPr="00604C75">
              <w:rPr>
                <w:b/>
                <w:bCs/>
                <w:sz w:val="14"/>
                <w:szCs w:val="14"/>
              </w:rPr>
              <w:t>ADDITIONS TO THE MARKETABLE SECURITIES VALUATION RESERVE FROM THE AVAILABLE FOR SALE FINANCIAL ASSETS</w:t>
            </w:r>
          </w:p>
        </w:tc>
        <w:tc>
          <w:tcPr>
            <w:tcW w:w="1417" w:type="dxa"/>
            <w:shd w:val="clear" w:color="auto" w:fill="auto"/>
            <w:noWrap/>
            <w:vAlign w:val="bottom"/>
          </w:tcPr>
          <w:p w14:paraId="68774AAB" w14:textId="7B96DD40" w:rsidR="00980409" w:rsidRPr="00692926" w:rsidRDefault="00980409" w:rsidP="00F142CB">
            <w:pPr>
              <w:tabs>
                <w:tab w:val="left" w:pos="1159"/>
              </w:tabs>
              <w:ind w:right="-23"/>
              <w:jc w:val="right"/>
              <w:rPr>
                <w:b/>
                <w:bCs/>
                <w:sz w:val="14"/>
                <w:szCs w:val="14"/>
              </w:rPr>
            </w:pPr>
            <w:r>
              <w:rPr>
                <w:b/>
                <w:bCs/>
                <w:sz w:val="14"/>
                <w:szCs w:val="14"/>
              </w:rPr>
              <w:t>(26,604)</w:t>
            </w:r>
          </w:p>
        </w:tc>
        <w:tc>
          <w:tcPr>
            <w:tcW w:w="1560" w:type="dxa"/>
            <w:shd w:val="clear" w:color="auto" w:fill="auto"/>
            <w:noWrap/>
            <w:vAlign w:val="bottom"/>
          </w:tcPr>
          <w:p w14:paraId="43788206" w14:textId="1A4B349D" w:rsidR="00980409" w:rsidRPr="00A36623" w:rsidRDefault="00980409" w:rsidP="00F142CB">
            <w:pPr>
              <w:ind w:right="78"/>
              <w:jc w:val="right"/>
              <w:rPr>
                <w:b/>
                <w:bCs/>
                <w:sz w:val="14"/>
                <w:szCs w:val="14"/>
              </w:rPr>
            </w:pPr>
            <w:r>
              <w:rPr>
                <w:b/>
                <w:bCs/>
                <w:sz w:val="14"/>
                <w:szCs w:val="14"/>
              </w:rPr>
              <w:t>33,</w:t>
            </w:r>
            <w:r w:rsidRPr="00A36623">
              <w:rPr>
                <w:b/>
                <w:bCs/>
                <w:sz w:val="14"/>
                <w:szCs w:val="14"/>
              </w:rPr>
              <w:t>132</w:t>
            </w:r>
          </w:p>
        </w:tc>
      </w:tr>
      <w:tr w:rsidR="00980409" w:rsidRPr="00604C75" w14:paraId="015C7B02" w14:textId="77777777" w:rsidTr="00D30277">
        <w:trPr>
          <w:trHeight w:val="170"/>
        </w:trPr>
        <w:tc>
          <w:tcPr>
            <w:tcW w:w="650" w:type="dxa"/>
            <w:shd w:val="clear" w:color="auto" w:fill="auto"/>
            <w:noWrap/>
          </w:tcPr>
          <w:p w14:paraId="697D7F7A" w14:textId="77777777" w:rsidR="00980409" w:rsidRPr="00604C75" w:rsidRDefault="00980409" w:rsidP="00980409">
            <w:pPr>
              <w:rPr>
                <w:b/>
                <w:bCs/>
                <w:sz w:val="14"/>
                <w:szCs w:val="14"/>
              </w:rPr>
            </w:pPr>
            <w:r w:rsidRPr="00604C75">
              <w:rPr>
                <w:b/>
                <w:bCs/>
                <w:sz w:val="14"/>
                <w:szCs w:val="14"/>
              </w:rPr>
              <w:t>II.</w:t>
            </w:r>
          </w:p>
        </w:tc>
        <w:tc>
          <w:tcPr>
            <w:tcW w:w="6438" w:type="dxa"/>
            <w:shd w:val="clear" w:color="auto" w:fill="auto"/>
            <w:vAlign w:val="bottom"/>
          </w:tcPr>
          <w:p w14:paraId="0E905E6A" w14:textId="77777777" w:rsidR="00980409" w:rsidRPr="00604C75" w:rsidRDefault="00980409" w:rsidP="00980409">
            <w:pPr>
              <w:ind w:left="-101"/>
              <w:rPr>
                <w:b/>
                <w:bCs/>
                <w:sz w:val="14"/>
                <w:szCs w:val="14"/>
              </w:rPr>
            </w:pPr>
            <w:r w:rsidRPr="00604C75">
              <w:rPr>
                <w:b/>
                <w:sz w:val="14"/>
                <w:szCs w:val="14"/>
              </w:rPr>
              <w:t>REVALUATION DIFFERENCES OF TANGIBLE ASSETS</w:t>
            </w:r>
            <w:r w:rsidRPr="00604C75">
              <w:rPr>
                <w:b/>
                <w:bCs/>
                <w:sz w:val="14"/>
                <w:szCs w:val="14"/>
              </w:rPr>
              <w:t xml:space="preserve"> </w:t>
            </w:r>
          </w:p>
        </w:tc>
        <w:tc>
          <w:tcPr>
            <w:tcW w:w="1417" w:type="dxa"/>
            <w:shd w:val="clear" w:color="auto" w:fill="auto"/>
            <w:noWrap/>
            <w:vAlign w:val="bottom"/>
          </w:tcPr>
          <w:p w14:paraId="5382C772" w14:textId="4DB180A2" w:rsidR="00980409" w:rsidRPr="00692926" w:rsidRDefault="00980409" w:rsidP="00F142CB">
            <w:pPr>
              <w:tabs>
                <w:tab w:val="left" w:pos="1159"/>
              </w:tabs>
              <w:ind w:right="-23"/>
              <w:jc w:val="right"/>
              <w:rPr>
                <w:b/>
                <w:bCs/>
                <w:sz w:val="14"/>
                <w:szCs w:val="14"/>
              </w:rPr>
            </w:pPr>
            <w:r w:rsidRPr="00A36623">
              <w:rPr>
                <w:b/>
                <w:bCs/>
                <w:sz w:val="14"/>
                <w:szCs w:val="14"/>
              </w:rPr>
              <w:t>-</w:t>
            </w:r>
          </w:p>
        </w:tc>
        <w:tc>
          <w:tcPr>
            <w:tcW w:w="1560" w:type="dxa"/>
            <w:shd w:val="clear" w:color="auto" w:fill="auto"/>
            <w:noWrap/>
            <w:vAlign w:val="bottom"/>
          </w:tcPr>
          <w:p w14:paraId="5B2A506E" w14:textId="06E5509B" w:rsidR="00980409" w:rsidRPr="00A36623" w:rsidRDefault="00980409" w:rsidP="00F142CB">
            <w:pPr>
              <w:ind w:right="78"/>
              <w:jc w:val="right"/>
              <w:rPr>
                <w:b/>
                <w:bCs/>
                <w:sz w:val="14"/>
                <w:szCs w:val="14"/>
              </w:rPr>
            </w:pPr>
            <w:r w:rsidRPr="00A36623">
              <w:rPr>
                <w:b/>
                <w:bCs/>
                <w:sz w:val="14"/>
                <w:szCs w:val="14"/>
              </w:rPr>
              <w:t>-</w:t>
            </w:r>
          </w:p>
        </w:tc>
      </w:tr>
      <w:tr w:rsidR="00980409" w:rsidRPr="00604C75" w14:paraId="2A1FFF96" w14:textId="77777777" w:rsidTr="00D30277">
        <w:trPr>
          <w:trHeight w:val="170"/>
        </w:trPr>
        <w:tc>
          <w:tcPr>
            <w:tcW w:w="650" w:type="dxa"/>
            <w:shd w:val="clear" w:color="auto" w:fill="auto"/>
            <w:noWrap/>
          </w:tcPr>
          <w:p w14:paraId="53E7B68B" w14:textId="77777777" w:rsidR="00980409" w:rsidRPr="00604C75" w:rsidRDefault="00980409" w:rsidP="00980409">
            <w:pPr>
              <w:rPr>
                <w:b/>
                <w:bCs/>
                <w:sz w:val="14"/>
                <w:szCs w:val="14"/>
              </w:rPr>
            </w:pPr>
            <w:r w:rsidRPr="00604C75">
              <w:rPr>
                <w:b/>
                <w:bCs/>
                <w:sz w:val="14"/>
                <w:szCs w:val="14"/>
              </w:rPr>
              <w:t>III.</w:t>
            </w:r>
          </w:p>
        </w:tc>
        <w:tc>
          <w:tcPr>
            <w:tcW w:w="6438" w:type="dxa"/>
            <w:shd w:val="clear" w:color="auto" w:fill="auto"/>
            <w:vAlign w:val="bottom"/>
          </w:tcPr>
          <w:p w14:paraId="7B52E2E3" w14:textId="77777777" w:rsidR="00980409" w:rsidRPr="00604C75" w:rsidRDefault="00980409" w:rsidP="00980409">
            <w:pPr>
              <w:ind w:left="-101"/>
              <w:rPr>
                <w:b/>
                <w:bCs/>
                <w:sz w:val="14"/>
                <w:szCs w:val="14"/>
              </w:rPr>
            </w:pPr>
            <w:r w:rsidRPr="00604C75">
              <w:rPr>
                <w:b/>
                <w:bCs/>
                <w:sz w:val="14"/>
                <w:szCs w:val="14"/>
              </w:rPr>
              <w:t xml:space="preserve">REVALUATION DIFFERENCES OF INTANGIBLE ASSETS </w:t>
            </w:r>
          </w:p>
        </w:tc>
        <w:tc>
          <w:tcPr>
            <w:tcW w:w="1417" w:type="dxa"/>
            <w:shd w:val="clear" w:color="auto" w:fill="auto"/>
            <w:noWrap/>
            <w:vAlign w:val="bottom"/>
          </w:tcPr>
          <w:p w14:paraId="35D71574" w14:textId="31BB829E" w:rsidR="00980409" w:rsidRPr="00692926" w:rsidRDefault="00980409" w:rsidP="00F142CB">
            <w:pPr>
              <w:tabs>
                <w:tab w:val="left" w:pos="1159"/>
              </w:tabs>
              <w:ind w:right="-23"/>
              <w:jc w:val="right"/>
              <w:rPr>
                <w:b/>
                <w:bCs/>
                <w:sz w:val="14"/>
                <w:szCs w:val="14"/>
              </w:rPr>
            </w:pPr>
            <w:r w:rsidRPr="00A36623">
              <w:rPr>
                <w:b/>
                <w:bCs/>
                <w:sz w:val="14"/>
                <w:szCs w:val="14"/>
              </w:rPr>
              <w:t>-</w:t>
            </w:r>
          </w:p>
        </w:tc>
        <w:tc>
          <w:tcPr>
            <w:tcW w:w="1560" w:type="dxa"/>
            <w:shd w:val="clear" w:color="auto" w:fill="auto"/>
            <w:noWrap/>
            <w:vAlign w:val="bottom"/>
          </w:tcPr>
          <w:p w14:paraId="175EC7B4" w14:textId="59259A89" w:rsidR="00980409" w:rsidRPr="00A36623" w:rsidRDefault="00980409" w:rsidP="00F142CB">
            <w:pPr>
              <w:ind w:right="78"/>
              <w:jc w:val="right"/>
              <w:rPr>
                <w:b/>
                <w:bCs/>
                <w:sz w:val="14"/>
                <w:szCs w:val="14"/>
              </w:rPr>
            </w:pPr>
            <w:r w:rsidRPr="00A36623">
              <w:rPr>
                <w:b/>
                <w:bCs/>
                <w:sz w:val="14"/>
                <w:szCs w:val="14"/>
              </w:rPr>
              <w:t>-</w:t>
            </w:r>
          </w:p>
        </w:tc>
      </w:tr>
      <w:tr w:rsidR="00980409" w:rsidRPr="00604C75" w14:paraId="4F0460E4" w14:textId="77777777" w:rsidTr="00D30277">
        <w:trPr>
          <w:trHeight w:val="170"/>
        </w:trPr>
        <w:tc>
          <w:tcPr>
            <w:tcW w:w="650" w:type="dxa"/>
            <w:shd w:val="clear" w:color="auto" w:fill="auto"/>
            <w:noWrap/>
          </w:tcPr>
          <w:p w14:paraId="289CE400" w14:textId="77777777" w:rsidR="00980409" w:rsidRPr="00604C75" w:rsidRDefault="00980409" w:rsidP="00980409">
            <w:pPr>
              <w:rPr>
                <w:b/>
                <w:bCs/>
                <w:sz w:val="14"/>
                <w:szCs w:val="14"/>
              </w:rPr>
            </w:pPr>
            <w:r w:rsidRPr="00604C75">
              <w:rPr>
                <w:b/>
                <w:bCs/>
                <w:sz w:val="14"/>
                <w:szCs w:val="14"/>
              </w:rPr>
              <w:t>IV.</w:t>
            </w:r>
          </w:p>
        </w:tc>
        <w:tc>
          <w:tcPr>
            <w:tcW w:w="6438" w:type="dxa"/>
            <w:shd w:val="clear" w:color="auto" w:fill="auto"/>
            <w:vAlign w:val="bottom"/>
          </w:tcPr>
          <w:p w14:paraId="25E3AAEB" w14:textId="77777777" w:rsidR="00980409" w:rsidRPr="00604C75" w:rsidRDefault="00980409" w:rsidP="00980409">
            <w:pPr>
              <w:ind w:left="-101"/>
              <w:rPr>
                <w:b/>
                <w:bCs/>
                <w:sz w:val="14"/>
                <w:szCs w:val="14"/>
              </w:rPr>
            </w:pPr>
            <w:r w:rsidRPr="00604C75">
              <w:rPr>
                <w:b/>
                <w:bCs/>
                <w:sz w:val="14"/>
                <w:szCs w:val="14"/>
              </w:rPr>
              <w:t>FOREIGN EXCHANGE TRANSLATION DIFFERENCES FOR FOREIGN CURRENCY TRANSACTIONS</w:t>
            </w:r>
          </w:p>
        </w:tc>
        <w:tc>
          <w:tcPr>
            <w:tcW w:w="1417" w:type="dxa"/>
            <w:shd w:val="clear" w:color="auto" w:fill="auto"/>
            <w:noWrap/>
            <w:vAlign w:val="bottom"/>
          </w:tcPr>
          <w:p w14:paraId="2A20C7D3" w14:textId="11B18702" w:rsidR="00980409" w:rsidRPr="00692926" w:rsidRDefault="00980409" w:rsidP="00F142CB">
            <w:pPr>
              <w:tabs>
                <w:tab w:val="left" w:pos="1159"/>
              </w:tabs>
              <w:ind w:right="-23"/>
              <w:jc w:val="right"/>
              <w:rPr>
                <w:b/>
                <w:bCs/>
                <w:sz w:val="14"/>
                <w:szCs w:val="14"/>
              </w:rPr>
            </w:pPr>
            <w:r w:rsidRPr="00A36623">
              <w:rPr>
                <w:b/>
                <w:bCs/>
                <w:sz w:val="14"/>
                <w:szCs w:val="14"/>
              </w:rPr>
              <w:t>-</w:t>
            </w:r>
          </w:p>
        </w:tc>
        <w:tc>
          <w:tcPr>
            <w:tcW w:w="1560" w:type="dxa"/>
            <w:shd w:val="clear" w:color="auto" w:fill="auto"/>
            <w:noWrap/>
            <w:vAlign w:val="bottom"/>
          </w:tcPr>
          <w:p w14:paraId="469EA3F2" w14:textId="0E56B37A" w:rsidR="00980409" w:rsidRPr="00A36623" w:rsidRDefault="00980409" w:rsidP="00F142CB">
            <w:pPr>
              <w:ind w:right="78"/>
              <w:jc w:val="right"/>
              <w:rPr>
                <w:b/>
                <w:bCs/>
                <w:sz w:val="14"/>
                <w:szCs w:val="14"/>
              </w:rPr>
            </w:pPr>
            <w:r w:rsidRPr="00A36623">
              <w:rPr>
                <w:b/>
                <w:bCs/>
                <w:sz w:val="14"/>
                <w:szCs w:val="14"/>
              </w:rPr>
              <w:t>-</w:t>
            </w:r>
          </w:p>
        </w:tc>
      </w:tr>
      <w:tr w:rsidR="00980409" w:rsidRPr="00604C75" w14:paraId="22CF0852" w14:textId="77777777" w:rsidTr="00D30277">
        <w:trPr>
          <w:trHeight w:val="170"/>
        </w:trPr>
        <w:tc>
          <w:tcPr>
            <w:tcW w:w="650" w:type="dxa"/>
            <w:shd w:val="clear" w:color="auto" w:fill="auto"/>
            <w:noWrap/>
          </w:tcPr>
          <w:p w14:paraId="7605ECD5" w14:textId="77777777" w:rsidR="00980409" w:rsidRPr="00604C75" w:rsidRDefault="00980409" w:rsidP="00980409">
            <w:pPr>
              <w:rPr>
                <w:b/>
                <w:bCs/>
                <w:sz w:val="14"/>
                <w:szCs w:val="14"/>
              </w:rPr>
            </w:pPr>
            <w:r w:rsidRPr="00604C75">
              <w:rPr>
                <w:b/>
                <w:bCs/>
                <w:sz w:val="14"/>
                <w:szCs w:val="14"/>
              </w:rPr>
              <w:t>V.</w:t>
            </w:r>
          </w:p>
        </w:tc>
        <w:tc>
          <w:tcPr>
            <w:tcW w:w="6438" w:type="dxa"/>
            <w:shd w:val="clear" w:color="auto" w:fill="auto"/>
            <w:vAlign w:val="bottom"/>
          </w:tcPr>
          <w:p w14:paraId="5C5B97B2" w14:textId="77777777" w:rsidR="00980409" w:rsidRPr="00604C75" w:rsidRDefault="00980409" w:rsidP="00980409">
            <w:pPr>
              <w:ind w:left="-101"/>
              <w:rPr>
                <w:b/>
                <w:bCs/>
                <w:sz w:val="14"/>
                <w:szCs w:val="14"/>
              </w:rPr>
            </w:pPr>
            <w:r w:rsidRPr="00604C75">
              <w:rPr>
                <w:b/>
                <w:bCs/>
                <w:sz w:val="14"/>
                <w:szCs w:val="14"/>
              </w:rPr>
              <w:t xml:space="preserve">INCOME/LOSS ON CASH FLOW HEDGE DERIVATIVE FINANCIAL ASSETS </w:t>
            </w:r>
          </w:p>
          <w:p w14:paraId="40D76C4B" w14:textId="77777777" w:rsidR="00980409" w:rsidRPr="00604C75" w:rsidRDefault="00980409" w:rsidP="00980409">
            <w:pPr>
              <w:ind w:left="-101"/>
              <w:rPr>
                <w:b/>
                <w:bCs/>
                <w:sz w:val="14"/>
                <w:szCs w:val="14"/>
              </w:rPr>
            </w:pPr>
            <w:r w:rsidRPr="00604C75">
              <w:rPr>
                <w:b/>
                <w:bCs/>
                <w:sz w:val="14"/>
                <w:szCs w:val="14"/>
              </w:rPr>
              <w:t>(Effective Part of Fair Value Changes)</w:t>
            </w:r>
          </w:p>
        </w:tc>
        <w:tc>
          <w:tcPr>
            <w:tcW w:w="1417" w:type="dxa"/>
            <w:shd w:val="clear" w:color="auto" w:fill="auto"/>
            <w:noWrap/>
            <w:vAlign w:val="bottom"/>
          </w:tcPr>
          <w:p w14:paraId="236250EA" w14:textId="5E1C3279" w:rsidR="00980409" w:rsidRPr="00692926" w:rsidRDefault="00980409" w:rsidP="00F142CB">
            <w:pPr>
              <w:tabs>
                <w:tab w:val="left" w:pos="1159"/>
              </w:tabs>
              <w:ind w:right="-23"/>
              <w:jc w:val="right"/>
              <w:rPr>
                <w:b/>
                <w:bCs/>
                <w:sz w:val="14"/>
                <w:szCs w:val="14"/>
              </w:rPr>
            </w:pPr>
            <w:r w:rsidRPr="00A36623">
              <w:rPr>
                <w:b/>
                <w:bCs/>
                <w:sz w:val="14"/>
                <w:szCs w:val="14"/>
              </w:rPr>
              <w:t>-</w:t>
            </w:r>
          </w:p>
        </w:tc>
        <w:tc>
          <w:tcPr>
            <w:tcW w:w="1560" w:type="dxa"/>
            <w:shd w:val="clear" w:color="auto" w:fill="auto"/>
            <w:noWrap/>
            <w:vAlign w:val="bottom"/>
          </w:tcPr>
          <w:p w14:paraId="0DC6E86B" w14:textId="12BE8925" w:rsidR="00980409" w:rsidRPr="00A36623" w:rsidRDefault="00980409" w:rsidP="00F142CB">
            <w:pPr>
              <w:ind w:right="78"/>
              <w:jc w:val="right"/>
              <w:rPr>
                <w:b/>
                <w:bCs/>
                <w:sz w:val="14"/>
                <w:szCs w:val="14"/>
              </w:rPr>
            </w:pPr>
            <w:r w:rsidRPr="00A36623">
              <w:rPr>
                <w:b/>
                <w:bCs/>
                <w:sz w:val="14"/>
                <w:szCs w:val="14"/>
              </w:rPr>
              <w:t>-</w:t>
            </w:r>
          </w:p>
        </w:tc>
      </w:tr>
      <w:tr w:rsidR="00980409" w:rsidRPr="00604C75" w14:paraId="056B053A" w14:textId="77777777" w:rsidTr="00D30277">
        <w:trPr>
          <w:trHeight w:val="170"/>
        </w:trPr>
        <w:tc>
          <w:tcPr>
            <w:tcW w:w="650" w:type="dxa"/>
            <w:shd w:val="clear" w:color="auto" w:fill="auto"/>
            <w:noWrap/>
          </w:tcPr>
          <w:p w14:paraId="7B7EF525" w14:textId="77777777" w:rsidR="00980409" w:rsidRPr="00604C75" w:rsidRDefault="00980409" w:rsidP="00980409">
            <w:pPr>
              <w:rPr>
                <w:b/>
                <w:bCs/>
                <w:sz w:val="14"/>
                <w:szCs w:val="14"/>
              </w:rPr>
            </w:pPr>
            <w:r w:rsidRPr="00604C75">
              <w:rPr>
                <w:b/>
                <w:bCs/>
                <w:sz w:val="14"/>
                <w:szCs w:val="14"/>
              </w:rPr>
              <w:t>VI.</w:t>
            </w:r>
          </w:p>
        </w:tc>
        <w:tc>
          <w:tcPr>
            <w:tcW w:w="6438" w:type="dxa"/>
            <w:shd w:val="clear" w:color="auto" w:fill="auto"/>
            <w:vAlign w:val="bottom"/>
          </w:tcPr>
          <w:p w14:paraId="508F97F5" w14:textId="61E919A0" w:rsidR="00980409" w:rsidRPr="00604C75" w:rsidRDefault="00980409" w:rsidP="00980409">
            <w:pPr>
              <w:ind w:left="-101"/>
              <w:rPr>
                <w:b/>
                <w:bCs/>
                <w:sz w:val="14"/>
                <w:szCs w:val="14"/>
              </w:rPr>
            </w:pPr>
            <w:r w:rsidRPr="00604C75">
              <w:rPr>
                <w:b/>
                <w:bCs/>
                <w:sz w:val="14"/>
                <w:szCs w:val="14"/>
              </w:rPr>
              <w:t>PROFIT/LOSS FROM FOREIGN INVESTMENT HEDGE DERIVATIVE FINANCIAL ASSETS (Effective Part of Fair Value Changes)</w:t>
            </w:r>
          </w:p>
        </w:tc>
        <w:tc>
          <w:tcPr>
            <w:tcW w:w="1417" w:type="dxa"/>
            <w:shd w:val="clear" w:color="auto" w:fill="auto"/>
            <w:noWrap/>
            <w:vAlign w:val="bottom"/>
          </w:tcPr>
          <w:p w14:paraId="2FC5743C" w14:textId="419A8AD5" w:rsidR="00980409" w:rsidRPr="00692926" w:rsidRDefault="00980409" w:rsidP="00F142CB">
            <w:pPr>
              <w:tabs>
                <w:tab w:val="left" w:pos="1159"/>
              </w:tabs>
              <w:ind w:right="-23"/>
              <w:jc w:val="right"/>
              <w:rPr>
                <w:b/>
                <w:bCs/>
                <w:sz w:val="14"/>
                <w:szCs w:val="14"/>
              </w:rPr>
            </w:pPr>
            <w:r w:rsidRPr="00A36623">
              <w:rPr>
                <w:b/>
                <w:bCs/>
                <w:sz w:val="14"/>
                <w:szCs w:val="14"/>
              </w:rPr>
              <w:t>-</w:t>
            </w:r>
          </w:p>
        </w:tc>
        <w:tc>
          <w:tcPr>
            <w:tcW w:w="1560" w:type="dxa"/>
            <w:shd w:val="clear" w:color="auto" w:fill="auto"/>
            <w:noWrap/>
            <w:vAlign w:val="bottom"/>
          </w:tcPr>
          <w:p w14:paraId="450900A8" w14:textId="31F14872" w:rsidR="00980409" w:rsidRPr="00A36623" w:rsidRDefault="00980409" w:rsidP="00F142CB">
            <w:pPr>
              <w:ind w:right="78"/>
              <w:jc w:val="right"/>
              <w:rPr>
                <w:b/>
                <w:bCs/>
                <w:sz w:val="14"/>
                <w:szCs w:val="14"/>
              </w:rPr>
            </w:pPr>
            <w:r w:rsidRPr="00A36623">
              <w:rPr>
                <w:b/>
                <w:bCs/>
                <w:sz w:val="14"/>
                <w:szCs w:val="14"/>
              </w:rPr>
              <w:t>-</w:t>
            </w:r>
          </w:p>
        </w:tc>
      </w:tr>
      <w:tr w:rsidR="00980409" w:rsidRPr="00604C75" w14:paraId="7A8BBF66" w14:textId="77777777" w:rsidTr="00D30277">
        <w:trPr>
          <w:trHeight w:val="170"/>
        </w:trPr>
        <w:tc>
          <w:tcPr>
            <w:tcW w:w="650" w:type="dxa"/>
            <w:shd w:val="clear" w:color="auto" w:fill="auto"/>
            <w:noWrap/>
          </w:tcPr>
          <w:p w14:paraId="75B42D87" w14:textId="77777777" w:rsidR="00980409" w:rsidRPr="00604C75" w:rsidRDefault="00980409" w:rsidP="00980409">
            <w:pPr>
              <w:rPr>
                <w:b/>
                <w:bCs/>
                <w:sz w:val="14"/>
                <w:szCs w:val="14"/>
              </w:rPr>
            </w:pPr>
            <w:r w:rsidRPr="00604C75">
              <w:rPr>
                <w:b/>
                <w:bCs/>
                <w:sz w:val="14"/>
                <w:szCs w:val="14"/>
              </w:rPr>
              <w:t>VII.</w:t>
            </w:r>
          </w:p>
        </w:tc>
        <w:tc>
          <w:tcPr>
            <w:tcW w:w="6438" w:type="dxa"/>
            <w:shd w:val="clear" w:color="auto" w:fill="auto"/>
            <w:vAlign w:val="bottom"/>
          </w:tcPr>
          <w:p w14:paraId="1C437B5F" w14:textId="77777777" w:rsidR="00980409" w:rsidRPr="00604C75" w:rsidRDefault="00980409" w:rsidP="00980409">
            <w:pPr>
              <w:ind w:left="-101"/>
              <w:rPr>
                <w:b/>
                <w:bCs/>
                <w:sz w:val="14"/>
                <w:szCs w:val="14"/>
              </w:rPr>
            </w:pPr>
            <w:r w:rsidRPr="00604C75">
              <w:rPr>
                <w:b/>
                <w:bCs/>
                <w:sz w:val="14"/>
                <w:szCs w:val="14"/>
              </w:rPr>
              <w:t>EFFECTS OF CHANGES IN ACCOUNTING POLICY AND ERRORS</w:t>
            </w:r>
          </w:p>
        </w:tc>
        <w:tc>
          <w:tcPr>
            <w:tcW w:w="1417" w:type="dxa"/>
            <w:shd w:val="clear" w:color="auto" w:fill="auto"/>
            <w:noWrap/>
            <w:vAlign w:val="bottom"/>
          </w:tcPr>
          <w:p w14:paraId="63E0B191" w14:textId="749D0637" w:rsidR="00980409" w:rsidRPr="00692926" w:rsidRDefault="00980409" w:rsidP="00F142CB">
            <w:pPr>
              <w:tabs>
                <w:tab w:val="left" w:pos="1159"/>
              </w:tabs>
              <w:ind w:right="-23"/>
              <w:jc w:val="right"/>
              <w:rPr>
                <w:b/>
                <w:bCs/>
                <w:sz w:val="14"/>
                <w:szCs w:val="14"/>
              </w:rPr>
            </w:pPr>
            <w:r w:rsidRPr="00A36623">
              <w:rPr>
                <w:b/>
                <w:bCs/>
                <w:sz w:val="14"/>
                <w:szCs w:val="14"/>
              </w:rPr>
              <w:t>-</w:t>
            </w:r>
          </w:p>
        </w:tc>
        <w:tc>
          <w:tcPr>
            <w:tcW w:w="1560" w:type="dxa"/>
            <w:shd w:val="clear" w:color="auto" w:fill="auto"/>
            <w:noWrap/>
            <w:vAlign w:val="bottom"/>
          </w:tcPr>
          <w:p w14:paraId="3E090182" w14:textId="10D0CC26" w:rsidR="00980409" w:rsidRPr="00A36623" w:rsidRDefault="00980409" w:rsidP="00F142CB">
            <w:pPr>
              <w:ind w:right="78"/>
              <w:jc w:val="right"/>
              <w:rPr>
                <w:b/>
                <w:bCs/>
                <w:sz w:val="14"/>
                <w:szCs w:val="14"/>
              </w:rPr>
            </w:pPr>
            <w:r w:rsidRPr="00A36623">
              <w:rPr>
                <w:b/>
                <w:bCs/>
                <w:sz w:val="14"/>
                <w:szCs w:val="14"/>
              </w:rPr>
              <w:t>-</w:t>
            </w:r>
          </w:p>
        </w:tc>
      </w:tr>
      <w:tr w:rsidR="00980409" w:rsidRPr="00604C75" w14:paraId="171CD018" w14:textId="77777777" w:rsidTr="00D30277">
        <w:trPr>
          <w:trHeight w:val="170"/>
        </w:trPr>
        <w:tc>
          <w:tcPr>
            <w:tcW w:w="650" w:type="dxa"/>
            <w:shd w:val="clear" w:color="auto" w:fill="auto"/>
            <w:noWrap/>
          </w:tcPr>
          <w:p w14:paraId="5E3AB0D3" w14:textId="77777777" w:rsidR="00980409" w:rsidRPr="00604C75" w:rsidRDefault="00980409" w:rsidP="00980409">
            <w:pPr>
              <w:rPr>
                <w:b/>
                <w:bCs/>
                <w:sz w:val="14"/>
                <w:szCs w:val="14"/>
              </w:rPr>
            </w:pPr>
            <w:r w:rsidRPr="00604C75">
              <w:rPr>
                <w:b/>
                <w:bCs/>
                <w:sz w:val="14"/>
                <w:szCs w:val="14"/>
              </w:rPr>
              <w:t>VIII.</w:t>
            </w:r>
          </w:p>
        </w:tc>
        <w:tc>
          <w:tcPr>
            <w:tcW w:w="6438" w:type="dxa"/>
            <w:shd w:val="clear" w:color="auto" w:fill="auto"/>
            <w:vAlign w:val="bottom"/>
          </w:tcPr>
          <w:p w14:paraId="0C9E89C3" w14:textId="77777777" w:rsidR="00980409" w:rsidRPr="00604C75" w:rsidRDefault="00980409" w:rsidP="00980409">
            <w:pPr>
              <w:ind w:left="-101"/>
              <w:rPr>
                <w:b/>
                <w:bCs/>
                <w:sz w:val="14"/>
                <w:szCs w:val="14"/>
              </w:rPr>
            </w:pPr>
            <w:r w:rsidRPr="00604C75">
              <w:rPr>
                <w:b/>
                <w:bCs/>
                <w:sz w:val="14"/>
                <w:szCs w:val="14"/>
              </w:rPr>
              <w:t>OTHER INCOME AND EXPENSE ITEMS ACCOUNTED IN EQUITY ACCORDING TO TAS</w:t>
            </w:r>
          </w:p>
        </w:tc>
        <w:tc>
          <w:tcPr>
            <w:tcW w:w="1417" w:type="dxa"/>
            <w:shd w:val="clear" w:color="auto" w:fill="auto"/>
            <w:noWrap/>
            <w:vAlign w:val="bottom"/>
          </w:tcPr>
          <w:p w14:paraId="3917C206" w14:textId="3E022E48" w:rsidR="00980409" w:rsidRPr="00692926" w:rsidRDefault="00980409" w:rsidP="00F142CB">
            <w:pPr>
              <w:tabs>
                <w:tab w:val="left" w:pos="1159"/>
              </w:tabs>
              <w:ind w:right="-23"/>
              <w:jc w:val="right"/>
              <w:rPr>
                <w:b/>
                <w:bCs/>
                <w:sz w:val="14"/>
                <w:szCs w:val="14"/>
              </w:rPr>
            </w:pPr>
            <w:r>
              <w:rPr>
                <w:b/>
                <w:bCs/>
                <w:sz w:val="14"/>
                <w:szCs w:val="14"/>
              </w:rPr>
              <w:t>(1,524)</w:t>
            </w:r>
          </w:p>
        </w:tc>
        <w:tc>
          <w:tcPr>
            <w:tcW w:w="1560" w:type="dxa"/>
            <w:shd w:val="clear" w:color="auto" w:fill="auto"/>
            <w:noWrap/>
            <w:vAlign w:val="bottom"/>
          </w:tcPr>
          <w:p w14:paraId="5F7B4542" w14:textId="109F14B8" w:rsidR="00980409" w:rsidRPr="00A36623" w:rsidRDefault="00980409" w:rsidP="00F142CB">
            <w:pPr>
              <w:ind w:right="78"/>
              <w:jc w:val="right"/>
              <w:rPr>
                <w:b/>
                <w:bCs/>
                <w:sz w:val="14"/>
                <w:szCs w:val="14"/>
              </w:rPr>
            </w:pPr>
            <w:r w:rsidRPr="00A36623">
              <w:rPr>
                <w:b/>
                <w:bCs/>
                <w:sz w:val="14"/>
                <w:szCs w:val="14"/>
              </w:rPr>
              <w:t>-</w:t>
            </w:r>
          </w:p>
        </w:tc>
      </w:tr>
      <w:tr w:rsidR="00980409" w:rsidRPr="00604C75" w14:paraId="5CC439C6" w14:textId="77777777" w:rsidTr="00D30277">
        <w:trPr>
          <w:trHeight w:val="170"/>
        </w:trPr>
        <w:tc>
          <w:tcPr>
            <w:tcW w:w="650" w:type="dxa"/>
            <w:shd w:val="clear" w:color="auto" w:fill="auto"/>
            <w:noWrap/>
          </w:tcPr>
          <w:p w14:paraId="4767D766" w14:textId="77777777" w:rsidR="00980409" w:rsidRPr="00604C75" w:rsidRDefault="00980409" w:rsidP="00980409">
            <w:pPr>
              <w:rPr>
                <w:b/>
                <w:bCs/>
                <w:sz w:val="14"/>
                <w:szCs w:val="14"/>
              </w:rPr>
            </w:pPr>
            <w:r w:rsidRPr="00604C75">
              <w:rPr>
                <w:b/>
                <w:bCs/>
                <w:sz w:val="14"/>
                <w:szCs w:val="14"/>
              </w:rPr>
              <w:t>IX.</w:t>
            </w:r>
          </w:p>
        </w:tc>
        <w:tc>
          <w:tcPr>
            <w:tcW w:w="6438" w:type="dxa"/>
            <w:shd w:val="clear" w:color="auto" w:fill="auto"/>
            <w:vAlign w:val="bottom"/>
          </w:tcPr>
          <w:p w14:paraId="75BF441C" w14:textId="77777777" w:rsidR="00980409" w:rsidRPr="00604C75" w:rsidRDefault="00980409" w:rsidP="00980409">
            <w:pPr>
              <w:ind w:left="-101"/>
              <w:rPr>
                <w:b/>
                <w:bCs/>
                <w:sz w:val="14"/>
                <w:szCs w:val="14"/>
              </w:rPr>
            </w:pPr>
            <w:r w:rsidRPr="00604C75">
              <w:rPr>
                <w:b/>
                <w:bCs/>
                <w:sz w:val="14"/>
                <w:szCs w:val="14"/>
              </w:rPr>
              <w:t>DEFERRED TAX ON VALUATION DIFFERENCES</w:t>
            </w:r>
          </w:p>
        </w:tc>
        <w:tc>
          <w:tcPr>
            <w:tcW w:w="1417" w:type="dxa"/>
            <w:shd w:val="clear" w:color="auto" w:fill="auto"/>
            <w:noWrap/>
            <w:vAlign w:val="bottom"/>
          </w:tcPr>
          <w:p w14:paraId="45A4E121" w14:textId="604760C0" w:rsidR="00980409" w:rsidRPr="00692926" w:rsidRDefault="00980409" w:rsidP="00F142CB">
            <w:pPr>
              <w:tabs>
                <w:tab w:val="left" w:pos="1159"/>
              </w:tabs>
              <w:ind w:right="-23"/>
              <w:jc w:val="right"/>
              <w:rPr>
                <w:b/>
                <w:bCs/>
                <w:sz w:val="14"/>
                <w:szCs w:val="14"/>
              </w:rPr>
            </w:pPr>
            <w:r>
              <w:rPr>
                <w:b/>
                <w:bCs/>
                <w:sz w:val="14"/>
                <w:szCs w:val="14"/>
              </w:rPr>
              <w:t>5,321</w:t>
            </w:r>
          </w:p>
        </w:tc>
        <w:tc>
          <w:tcPr>
            <w:tcW w:w="1560" w:type="dxa"/>
            <w:shd w:val="clear" w:color="auto" w:fill="auto"/>
            <w:noWrap/>
            <w:vAlign w:val="bottom"/>
          </w:tcPr>
          <w:p w14:paraId="615D8BAC" w14:textId="11958C38" w:rsidR="00980409" w:rsidRPr="00A36623" w:rsidRDefault="00980409" w:rsidP="00F142CB">
            <w:pPr>
              <w:ind w:right="78"/>
              <w:jc w:val="right"/>
              <w:rPr>
                <w:b/>
                <w:bCs/>
                <w:sz w:val="14"/>
                <w:szCs w:val="14"/>
              </w:rPr>
            </w:pPr>
            <w:r>
              <w:rPr>
                <w:b/>
                <w:bCs/>
                <w:sz w:val="14"/>
                <w:szCs w:val="14"/>
              </w:rPr>
              <w:t>1,</w:t>
            </w:r>
            <w:r w:rsidRPr="00A36623">
              <w:rPr>
                <w:b/>
                <w:bCs/>
                <w:sz w:val="14"/>
                <w:szCs w:val="14"/>
              </w:rPr>
              <w:t>538</w:t>
            </w:r>
          </w:p>
        </w:tc>
      </w:tr>
      <w:tr w:rsidR="00980409" w:rsidRPr="00604C75" w14:paraId="54E6FE99" w14:textId="77777777" w:rsidTr="00D30277">
        <w:trPr>
          <w:trHeight w:val="170"/>
        </w:trPr>
        <w:tc>
          <w:tcPr>
            <w:tcW w:w="650" w:type="dxa"/>
            <w:shd w:val="clear" w:color="auto" w:fill="auto"/>
            <w:noWrap/>
          </w:tcPr>
          <w:p w14:paraId="6EE9372B" w14:textId="77777777" w:rsidR="00980409" w:rsidRPr="00604C75" w:rsidRDefault="00980409" w:rsidP="00980409">
            <w:pPr>
              <w:rPr>
                <w:b/>
                <w:bCs/>
                <w:sz w:val="14"/>
                <w:szCs w:val="14"/>
              </w:rPr>
            </w:pPr>
            <w:r w:rsidRPr="00604C75">
              <w:rPr>
                <w:b/>
                <w:bCs/>
                <w:sz w:val="14"/>
                <w:szCs w:val="14"/>
              </w:rPr>
              <w:t>X.</w:t>
            </w:r>
          </w:p>
        </w:tc>
        <w:tc>
          <w:tcPr>
            <w:tcW w:w="6438" w:type="dxa"/>
            <w:shd w:val="clear" w:color="auto" w:fill="auto"/>
            <w:vAlign w:val="bottom"/>
          </w:tcPr>
          <w:p w14:paraId="03F66F73" w14:textId="77777777" w:rsidR="00980409" w:rsidRPr="00604C75" w:rsidRDefault="00980409" w:rsidP="00980409">
            <w:pPr>
              <w:ind w:left="-101"/>
              <w:rPr>
                <w:b/>
                <w:bCs/>
                <w:sz w:val="14"/>
                <w:szCs w:val="14"/>
              </w:rPr>
            </w:pPr>
            <w:r w:rsidRPr="00604C75">
              <w:rPr>
                <w:b/>
                <w:bCs/>
                <w:sz w:val="14"/>
                <w:szCs w:val="14"/>
              </w:rPr>
              <w:t>NET INCOME/LOSS ACCOUNTED DIRECTLY IN EQUITY (I+II+...+IX)</w:t>
            </w:r>
          </w:p>
        </w:tc>
        <w:tc>
          <w:tcPr>
            <w:tcW w:w="1417" w:type="dxa"/>
            <w:shd w:val="clear" w:color="auto" w:fill="auto"/>
            <w:noWrap/>
            <w:vAlign w:val="bottom"/>
          </w:tcPr>
          <w:p w14:paraId="201E47F3" w14:textId="3F7C4026" w:rsidR="00980409" w:rsidRPr="00692926" w:rsidRDefault="00980409" w:rsidP="00F142CB">
            <w:pPr>
              <w:tabs>
                <w:tab w:val="left" w:pos="1159"/>
              </w:tabs>
              <w:ind w:right="-23"/>
              <w:jc w:val="right"/>
              <w:rPr>
                <w:b/>
                <w:bCs/>
                <w:sz w:val="14"/>
                <w:szCs w:val="14"/>
              </w:rPr>
            </w:pPr>
            <w:r>
              <w:rPr>
                <w:b/>
                <w:bCs/>
                <w:sz w:val="14"/>
                <w:szCs w:val="14"/>
              </w:rPr>
              <w:t>(22,807)</w:t>
            </w:r>
          </w:p>
        </w:tc>
        <w:tc>
          <w:tcPr>
            <w:tcW w:w="1560" w:type="dxa"/>
            <w:shd w:val="clear" w:color="auto" w:fill="auto"/>
            <w:noWrap/>
            <w:vAlign w:val="bottom"/>
          </w:tcPr>
          <w:p w14:paraId="44BAFF75" w14:textId="0574C911" w:rsidR="00980409" w:rsidRPr="00A36623" w:rsidRDefault="00980409" w:rsidP="00F142CB">
            <w:pPr>
              <w:ind w:right="78"/>
              <w:jc w:val="right"/>
              <w:rPr>
                <w:b/>
                <w:bCs/>
                <w:sz w:val="14"/>
                <w:szCs w:val="14"/>
              </w:rPr>
            </w:pPr>
            <w:r>
              <w:rPr>
                <w:b/>
                <w:bCs/>
                <w:sz w:val="14"/>
                <w:szCs w:val="14"/>
              </w:rPr>
              <w:t>34,</w:t>
            </w:r>
            <w:r w:rsidRPr="00A36623">
              <w:rPr>
                <w:b/>
                <w:bCs/>
                <w:sz w:val="14"/>
                <w:szCs w:val="14"/>
              </w:rPr>
              <w:t>670</w:t>
            </w:r>
          </w:p>
        </w:tc>
      </w:tr>
      <w:tr w:rsidR="00980409" w:rsidRPr="00604C75" w14:paraId="250AC1A3" w14:textId="77777777" w:rsidTr="00D30277">
        <w:trPr>
          <w:trHeight w:val="170"/>
        </w:trPr>
        <w:tc>
          <w:tcPr>
            <w:tcW w:w="650" w:type="dxa"/>
            <w:shd w:val="clear" w:color="auto" w:fill="auto"/>
            <w:noWrap/>
          </w:tcPr>
          <w:p w14:paraId="3CC21E48" w14:textId="77777777" w:rsidR="00980409" w:rsidRPr="00604C75" w:rsidRDefault="00980409" w:rsidP="00980409">
            <w:pPr>
              <w:rPr>
                <w:b/>
                <w:bCs/>
                <w:sz w:val="14"/>
                <w:szCs w:val="14"/>
              </w:rPr>
            </w:pPr>
            <w:r w:rsidRPr="00604C75">
              <w:rPr>
                <w:b/>
                <w:bCs/>
                <w:sz w:val="14"/>
                <w:szCs w:val="14"/>
              </w:rPr>
              <w:t>XI.</w:t>
            </w:r>
          </w:p>
        </w:tc>
        <w:tc>
          <w:tcPr>
            <w:tcW w:w="6438" w:type="dxa"/>
            <w:shd w:val="clear" w:color="auto" w:fill="auto"/>
            <w:noWrap/>
            <w:vAlign w:val="bottom"/>
          </w:tcPr>
          <w:p w14:paraId="7E107CCE" w14:textId="4689037D" w:rsidR="00980409" w:rsidRPr="00604C75" w:rsidRDefault="00980409" w:rsidP="00980409">
            <w:pPr>
              <w:ind w:left="-101"/>
              <w:rPr>
                <w:b/>
                <w:bCs/>
                <w:sz w:val="14"/>
                <w:szCs w:val="14"/>
              </w:rPr>
            </w:pPr>
            <w:r w:rsidRPr="00604C75">
              <w:rPr>
                <w:b/>
                <w:bCs/>
                <w:sz w:val="14"/>
                <w:szCs w:val="14"/>
              </w:rPr>
              <w:t>CURRENT PERIOD INCOME/LOSS</w:t>
            </w:r>
          </w:p>
        </w:tc>
        <w:tc>
          <w:tcPr>
            <w:tcW w:w="1417" w:type="dxa"/>
            <w:shd w:val="clear" w:color="auto" w:fill="auto"/>
            <w:noWrap/>
            <w:vAlign w:val="bottom"/>
          </w:tcPr>
          <w:p w14:paraId="5990E412" w14:textId="2965E042" w:rsidR="00980409" w:rsidRPr="00692926" w:rsidRDefault="00980409" w:rsidP="00F142CB">
            <w:pPr>
              <w:tabs>
                <w:tab w:val="left" w:pos="1159"/>
              </w:tabs>
              <w:ind w:right="-23"/>
              <w:jc w:val="right"/>
              <w:rPr>
                <w:b/>
                <w:bCs/>
                <w:sz w:val="14"/>
                <w:szCs w:val="14"/>
              </w:rPr>
            </w:pPr>
            <w:r>
              <w:rPr>
                <w:b/>
                <w:bCs/>
                <w:sz w:val="14"/>
                <w:szCs w:val="14"/>
              </w:rPr>
              <w:t>69,876</w:t>
            </w:r>
          </w:p>
        </w:tc>
        <w:tc>
          <w:tcPr>
            <w:tcW w:w="1560" w:type="dxa"/>
            <w:shd w:val="clear" w:color="auto" w:fill="auto"/>
            <w:noWrap/>
            <w:vAlign w:val="bottom"/>
          </w:tcPr>
          <w:p w14:paraId="268A5C7C" w14:textId="2727CBA3" w:rsidR="00980409" w:rsidRPr="00A36623" w:rsidRDefault="00980409" w:rsidP="00F142CB">
            <w:pPr>
              <w:ind w:right="78"/>
              <w:jc w:val="right"/>
              <w:rPr>
                <w:b/>
                <w:bCs/>
                <w:sz w:val="14"/>
                <w:szCs w:val="14"/>
              </w:rPr>
            </w:pPr>
            <w:r>
              <w:rPr>
                <w:b/>
                <w:bCs/>
                <w:sz w:val="14"/>
                <w:szCs w:val="14"/>
              </w:rPr>
              <w:t>136,</w:t>
            </w:r>
            <w:r w:rsidRPr="00A36623">
              <w:rPr>
                <w:b/>
                <w:bCs/>
                <w:sz w:val="14"/>
                <w:szCs w:val="14"/>
              </w:rPr>
              <w:t>591</w:t>
            </w:r>
          </w:p>
        </w:tc>
      </w:tr>
      <w:tr w:rsidR="00980409" w:rsidRPr="00604C75" w14:paraId="3BD350B1" w14:textId="77777777" w:rsidTr="00D30277">
        <w:trPr>
          <w:trHeight w:val="170"/>
        </w:trPr>
        <w:tc>
          <w:tcPr>
            <w:tcW w:w="650" w:type="dxa"/>
            <w:shd w:val="clear" w:color="auto" w:fill="auto"/>
            <w:noWrap/>
          </w:tcPr>
          <w:p w14:paraId="28B353B9" w14:textId="77777777" w:rsidR="00980409" w:rsidRPr="00604C75" w:rsidRDefault="00980409" w:rsidP="00980409">
            <w:pPr>
              <w:rPr>
                <w:sz w:val="14"/>
                <w:szCs w:val="14"/>
              </w:rPr>
            </w:pPr>
            <w:r w:rsidRPr="00604C75">
              <w:rPr>
                <w:sz w:val="14"/>
                <w:szCs w:val="14"/>
              </w:rPr>
              <w:t>11.1</w:t>
            </w:r>
          </w:p>
        </w:tc>
        <w:tc>
          <w:tcPr>
            <w:tcW w:w="6438" w:type="dxa"/>
            <w:shd w:val="clear" w:color="auto" w:fill="auto"/>
            <w:vAlign w:val="bottom"/>
          </w:tcPr>
          <w:p w14:paraId="029F9AF4" w14:textId="77777777" w:rsidR="00980409" w:rsidRPr="00604C75" w:rsidRDefault="00980409" w:rsidP="00980409">
            <w:pPr>
              <w:ind w:left="-101"/>
              <w:rPr>
                <w:sz w:val="14"/>
                <w:szCs w:val="14"/>
              </w:rPr>
            </w:pPr>
            <w:r w:rsidRPr="00604C75">
              <w:rPr>
                <w:sz w:val="14"/>
                <w:szCs w:val="14"/>
              </w:rPr>
              <w:t xml:space="preserve">Net Change in Fair Value of Marketable Securities (Transfer to Income Statement) </w:t>
            </w:r>
          </w:p>
        </w:tc>
        <w:tc>
          <w:tcPr>
            <w:tcW w:w="1417" w:type="dxa"/>
            <w:shd w:val="clear" w:color="auto" w:fill="auto"/>
            <w:noWrap/>
            <w:vAlign w:val="bottom"/>
          </w:tcPr>
          <w:p w14:paraId="400845B4" w14:textId="12EDE805" w:rsidR="00980409" w:rsidRPr="00692926" w:rsidRDefault="00980409" w:rsidP="00F142CB">
            <w:pPr>
              <w:tabs>
                <w:tab w:val="left" w:pos="1159"/>
              </w:tabs>
              <w:ind w:right="-23"/>
              <w:jc w:val="right"/>
              <w:rPr>
                <w:bCs/>
                <w:sz w:val="14"/>
                <w:szCs w:val="14"/>
              </w:rPr>
            </w:pPr>
            <w:r>
              <w:rPr>
                <w:bCs/>
                <w:sz w:val="14"/>
                <w:szCs w:val="14"/>
              </w:rPr>
              <w:t>2,845</w:t>
            </w:r>
          </w:p>
        </w:tc>
        <w:tc>
          <w:tcPr>
            <w:tcW w:w="1560" w:type="dxa"/>
            <w:shd w:val="clear" w:color="auto" w:fill="auto"/>
            <w:noWrap/>
            <w:vAlign w:val="bottom"/>
          </w:tcPr>
          <w:p w14:paraId="1866D3AD" w14:textId="0AF151F3" w:rsidR="00980409" w:rsidRPr="00A36623" w:rsidRDefault="00980409" w:rsidP="00F142CB">
            <w:pPr>
              <w:ind w:right="78"/>
              <w:jc w:val="right"/>
              <w:rPr>
                <w:bCs/>
                <w:sz w:val="14"/>
                <w:szCs w:val="14"/>
              </w:rPr>
            </w:pPr>
            <w:r>
              <w:rPr>
                <w:bCs/>
                <w:sz w:val="14"/>
                <w:szCs w:val="14"/>
              </w:rPr>
              <w:t>10,</w:t>
            </w:r>
            <w:r w:rsidRPr="00A36623">
              <w:rPr>
                <w:bCs/>
                <w:sz w:val="14"/>
                <w:szCs w:val="14"/>
              </w:rPr>
              <w:t>263</w:t>
            </w:r>
          </w:p>
        </w:tc>
      </w:tr>
      <w:tr w:rsidR="00980409" w:rsidRPr="00604C75" w14:paraId="4FB17C05" w14:textId="77777777" w:rsidTr="00D30277">
        <w:trPr>
          <w:trHeight w:val="170"/>
        </w:trPr>
        <w:tc>
          <w:tcPr>
            <w:tcW w:w="650" w:type="dxa"/>
            <w:shd w:val="clear" w:color="auto" w:fill="auto"/>
            <w:noWrap/>
          </w:tcPr>
          <w:p w14:paraId="34CB5CA9" w14:textId="77777777" w:rsidR="00980409" w:rsidRPr="00604C75" w:rsidRDefault="00980409" w:rsidP="00980409">
            <w:pPr>
              <w:rPr>
                <w:sz w:val="14"/>
                <w:szCs w:val="14"/>
              </w:rPr>
            </w:pPr>
            <w:r w:rsidRPr="00604C75">
              <w:rPr>
                <w:sz w:val="14"/>
                <w:szCs w:val="14"/>
              </w:rPr>
              <w:t>11.2</w:t>
            </w:r>
          </w:p>
        </w:tc>
        <w:tc>
          <w:tcPr>
            <w:tcW w:w="6438" w:type="dxa"/>
            <w:shd w:val="clear" w:color="auto" w:fill="auto"/>
            <w:noWrap/>
            <w:vAlign w:val="bottom"/>
          </w:tcPr>
          <w:p w14:paraId="78AE885F" w14:textId="77777777" w:rsidR="00980409" w:rsidRPr="00604C75" w:rsidRDefault="00980409" w:rsidP="00980409">
            <w:pPr>
              <w:ind w:left="-101"/>
              <w:rPr>
                <w:sz w:val="14"/>
                <w:szCs w:val="14"/>
              </w:rPr>
            </w:pPr>
            <w:r w:rsidRPr="00604C75">
              <w:rPr>
                <w:sz w:val="14"/>
                <w:szCs w:val="14"/>
              </w:rPr>
              <w:t>Portion of Cash Flow Hedge Derivative Financial Assets Reclassified and Presented on the Income Statement</w:t>
            </w:r>
          </w:p>
        </w:tc>
        <w:tc>
          <w:tcPr>
            <w:tcW w:w="1417" w:type="dxa"/>
            <w:shd w:val="clear" w:color="auto" w:fill="auto"/>
            <w:noWrap/>
            <w:vAlign w:val="bottom"/>
          </w:tcPr>
          <w:p w14:paraId="5AB2A191" w14:textId="78410101" w:rsidR="00980409" w:rsidRPr="00692926" w:rsidRDefault="00980409" w:rsidP="00F142CB">
            <w:pPr>
              <w:tabs>
                <w:tab w:val="left" w:pos="1159"/>
              </w:tabs>
              <w:ind w:right="-23"/>
              <w:jc w:val="right"/>
              <w:rPr>
                <w:bCs/>
                <w:sz w:val="14"/>
                <w:szCs w:val="14"/>
              </w:rPr>
            </w:pPr>
            <w:r>
              <w:rPr>
                <w:bCs/>
                <w:sz w:val="14"/>
                <w:szCs w:val="14"/>
              </w:rPr>
              <w:t>-</w:t>
            </w:r>
          </w:p>
        </w:tc>
        <w:tc>
          <w:tcPr>
            <w:tcW w:w="1560" w:type="dxa"/>
            <w:shd w:val="clear" w:color="auto" w:fill="auto"/>
            <w:noWrap/>
            <w:vAlign w:val="bottom"/>
          </w:tcPr>
          <w:p w14:paraId="11ED17A9" w14:textId="070149B5" w:rsidR="00980409" w:rsidRPr="00A36623" w:rsidRDefault="00980409" w:rsidP="00F142CB">
            <w:pPr>
              <w:ind w:right="78"/>
              <w:jc w:val="right"/>
              <w:rPr>
                <w:sz w:val="14"/>
                <w:szCs w:val="14"/>
              </w:rPr>
            </w:pPr>
            <w:r w:rsidRPr="00A36623">
              <w:rPr>
                <w:sz w:val="14"/>
                <w:szCs w:val="14"/>
              </w:rPr>
              <w:t>-</w:t>
            </w:r>
          </w:p>
        </w:tc>
      </w:tr>
      <w:tr w:rsidR="00980409" w:rsidRPr="00604C75" w14:paraId="406E8ACD" w14:textId="77777777" w:rsidTr="00D30277">
        <w:trPr>
          <w:trHeight w:val="170"/>
        </w:trPr>
        <w:tc>
          <w:tcPr>
            <w:tcW w:w="650" w:type="dxa"/>
            <w:shd w:val="clear" w:color="auto" w:fill="auto"/>
            <w:noWrap/>
          </w:tcPr>
          <w:p w14:paraId="66EFAC8C" w14:textId="77777777" w:rsidR="00980409" w:rsidRPr="00604C75" w:rsidRDefault="00980409" w:rsidP="00980409">
            <w:pPr>
              <w:rPr>
                <w:sz w:val="14"/>
                <w:szCs w:val="14"/>
              </w:rPr>
            </w:pPr>
            <w:r w:rsidRPr="00604C75">
              <w:rPr>
                <w:sz w:val="14"/>
                <w:szCs w:val="14"/>
              </w:rPr>
              <w:t>11.3</w:t>
            </w:r>
          </w:p>
        </w:tc>
        <w:tc>
          <w:tcPr>
            <w:tcW w:w="6438" w:type="dxa"/>
            <w:shd w:val="clear" w:color="auto" w:fill="auto"/>
            <w:noWrap/>
            <w:vAlign w:val="bottom"/>
          </w:tcPr>
          <w:p w14:paraId="13BB63CF" w14:textId="77777777" w:rsidR="00980409" w:rsidRPr="00604C75" w:rsidRDefault="00980409" w:rsidP="00980409">
            <w:pPr>
              <w:ind w:left="-101"/>
              <w:rPr>
                <w:sz w:val="14"/>
                <w:szCs w:val="14"/>
              </w:rPr>
            </w:pPr>
            <w:r w:rsidRPr="00604C75">
              <w:rPr>
                <w:sz w:val="14"/>
                <w:szCs w:val="14"/>
              </w:rPr>
              <w:t>Portion of Foreign Investment Hedge Derivative Financial Assets Reclassified and Presented on the Income Statement</w:t>
            </w:r>
          </w:p>
        </w:tc>
        <w:tc>
          <w:tcPr>
            <w:tcW w:w="1417" w:type="dxa"/>
            <w:shd w:val="clear" w:color="auto" w:fill="auto"/>
            <w:noWrap/>
            <w:vAlign w:val="bottom"/>
          </w:tcPr>
          <w:p w14:paraId="16F0B3B9" w14:textId="4B98A32D" w:rsidR="00980409" w:rsidRPr="00692926" w:rsidRDefault="00980409" w:rsidP="00F142CB">
            <w:pPr>
              <w:tabs>
                <w:tab w:val="left" w:pos="1159"/>
              </w:tabs>
              <w:ind w:right="-23"/>
              <w:jc w:val="right"/>
              <w:rPr>
                <w:sz w:val="14"/>
                <w:szCs w:val="14"/>
              </w:rPr>
            </w:pPr>
            <w:r>
              <w:rPr>
                <w:sz w:val="14"/>
                <w:szCs w:val="14"/>
              </w:rPr>
              <w:t>-</w:t>
            </w:r>
          </w:p>
        </w:tc>
        <w:tc>
          <w:tcPr>
            <w:tcW w:w="1560" w:type="dxa"/>
            <w:shd w:val="clear" w:color="auto" w:fill="auto"/>
            <w:noWrap/>
            <w:vAlign w:val="bottom"/>
          </w:tcPr>
          <w:p w14:paraId="2B2B8A8A" w14:textId="00420983" w:rsidR="00980409" w:rsidRPr="00A36623" w:rsidRDefault="00980409" w:rsidP="00F142CB">
            <w:pPr>
              <w:ind w:right="78"/>
              <w:jc w:val="right"/>
              <w:rPr>
                <w:sz w:val="14"/>
                <w:szCs w:val="14"/>
              </w:rPr>
            </w:pPr>
            <w:r w:rsidRPr="00A36623">
              <w:rPr>
                <w:sz w:val="14"/>
                <w:szCs w:val="14"/>
              </w:rPr>
              <w:t>-</w:t>
            </w:r>
          </w:p>
        </w:tc>
      </w:tr>
      <w:tr w:rsidR="00980409" w:rsidRPr="00604C75" w14:paraId="50F9DD56" w14:textId="77777777" w:rsidTr="00D30277">
        <w:trPr>
          <w:trHeight w:val="170"/>
        </w:trPr>
        <w:tc>
          <w:tcPr>
            <w:tcW w:w="650" w:type="dxa"/>
            <w:tcBorders>
              <w:bottom w:val="single" w:sz="4" w:space="0" w:color="auto"/>
            </w:tcBorders>
            <w:shd w:val="clear" w:color="auto" w:fill="auto"/>
            <w:noWrap/>
          </w:tcPr>
          <w:p w14:paraId="6BCFBCED" w14:textId="77777777" w:rsidR="00980409" w:rsidRPr="00604C75" w:rsidRDefault="00980409" w:rsidP="00980409">
            <w:pPr>
              <w:rPr>
                <w:sz w:val="14"/>
                <w:szCs w:val="14"/>
              </w:rPr>
            </w:pPr>
            <w:r w:rsidRPr="00604C75">
              <w:rPr>
                <w:sz w:val="14"/>
                <w:szCs w:val="14"/>
              </w:rPr>
              <w:t>11.4</w:t>
            </w:r>
          </w:p>
        </w:tc>
        <w:tc>
          <w:tcPr>
            <w:tcW w:w="6438" w:type="dxa"/>
            <w:tcBorders>
              <w:bottom w:val="single" w:sz="4" w:space="0" w:color="auto"/>
            </w:tcBorders>
            <w:shd w:val="clear" w:color="auto" w:fill="auto"/>
            <w:noWrap/>
            <w:vAlign w:val="bottom"/>
          </w:tcPr>
          <w:p w14:paraId="1B8FC3DD" w14:textId="77777777" w:rsidR="00980409" w:rsidRPr="00604C75" w:rsidRDefault="00980409" w:rsidP="00980409">
            <w:pPr>
              <w:ind w:left="-101"/>
              <w:rPr>
                <w:sz w:val="14"/>
                <w:szCs w:val="14"/>
              </w:rPr>
            </w:pPr>
            <w:r w:rsidRPr="00604C75">
              <w:rPr>
                <w:sz w:val="14"/>
                <w:szCs w:val="14"/>
              </w:rPr>
              <w:t>Other</w:t>
            </w:r>
          </w:p>
        </w:tc>
        <w:tc>
          <w:tcPr>
            <w:tcW w:w="1417" w:type="dxa"/>
            <w:tcBorders>
              <w:bottom w:val="single" w:sz="4" w:space="0" w:color="auto"/>
            </w:tcBorders>
            <w:shd w:val="clear" w:color="auto" w:fill="auto"/>
            <w:noWrap/>
            <w:vAlign w:val="bottom"/>
          </w:tcPr>
          <w:p w14:paraId="7559C12F" w14:textId="6E7FC91F" w:rsidR="00980409" w:rsidRPr="00692926" w:rsidRDefault="00980409" w:rsidP="00F142CB">
            <w:pPr>
              <w:tabs>
                <w:tab w:val="left" w:pos="1159"/>
              </w:tabs>
              <w:ind w:right="-23"/>
              <w:jc w:val="right"/>
              <w:rPr>
                <w:bCs/>
                <w:sz w:val="14"/>
                <w:szCs w:val="14"/>
              </w:rPr>
            </w:pPr>
            <w:r>
              <w:rPr>
                <w:bCs/>
                <w:sz w:val="14"/>
                <w:szCs w:val="14"/>
              </w:rPr>
              <w:t>67,031</w:t>
            </w:r>
          </w:p>
        </w:tc>
        <w:tc>
          <w:tcPr>
            <w:tcW w:w="1560" w:type="dxa"/>
            <w:tcBorders>
              <w:bottom w:val="single" w:sz="4" w:space="0" w:color="auto"/>
            </w:tcBorders>
            <w:shd w:val="clear" w:color="auto" w:fill="auto"/>
            <w:noWrap/>
            <w:vAlign w:val="bottom"/>
          </w:tcPr>
          <w:p w14:paraId="0F55285B" w14:textId="1E77393E" w:rsidR="00980409" w:rsidRPr="00A36623" w:rsidRDefault="00980409" w:rsidP="00F142CB">
            <w:pPr>
              <w:ind w:right="78"/>
              <w:jc w:val="right"/>
              <w:rPr>
                <w:bCs/>
                <w:sz w:val="14"/>
                <w:szCs w:val="14"/>
              </w:rPr>
            </w:pPr>
            <w:r>
              <w:rPr>
                <w:bCs/>
                <w:sz w:val="14"/>
                <w:szCs w:val="14"/>
              </w:rPr>
              <w:t>126,</w:t>
            </w:r>
            <w:r w:rsidRPr="00A36623">
              <w:rPr>
                <w:bCs/>
                <w:sz w:val="14"/>
                <w:szCs w:val="14"/>
              </w:rPr>
              <w:t>328</w:t>
            </w:r>
          </w:p>
        </w:tc>
      </w:tr>
      <w:tr w:rsidR="00980409" w:rsidRPr="00604C75" w14:paraId="57D56755" w14:textId="77777777" w:rsidTr="00D30277">
        <w:trPr>
          <w:trHeight w:val="170"/>
        </w:trPr>
        <w:tc>
          <w:tcPr>
            <w:tcW w:w="650" w:type="dxa"/>
            <w:tcBorders>
              <w:top w:val="single" w:sz="4" w:space="0" w:color="auto"/>
              <w:bottom w:val="single" w:sz="4" w:space="0" w:color="auto"/>
            </w:tcBorders>
            <w:shd w:val="clear" w:color="auto" w:fill="auto"/>
            <w:noWrap/>
          </w:tcPr>
          <w:p w14:paraId="1CAD0183" w14:textId="77777777" w:rsidR="00980409" w:rsidRPr="00604C75" w:rsidRDefault="00980409" w:rsidP="00980409">
            <w:pPr>
              <w:rPr>
                <w:b/>
                <w:bCs/>
                <w:sz w:val="14"/>
                <w:szCs w:val="14"/>
              </w:rPr>
            </w:pPr>
            <w:r w:rsidRPr="00604C75">
              <w:rPr>
                <w:b/>
                <w:bCs/>
                <w:sz w:val="14"/>
                <w:szCs w:val="14"/>
              </w:rPr>
              <w:t>XII.</w:t>
            </w:r>
          </w:p>
        </w:tc>
        <w:tc>
          <w:tcPr>
            <w:tcW w:w="6438" w:type="dxa"/>
            <w:tcBorders>
              <w:top w:val="single" w:sz="4" w:space="0" w:color="auto"/>
              <w:bottom w:val="single" w:sz="4" w:space="0" w:color="auto"/>
            </w:tcBorders>
            <w:shd w:val="clear" w:color="auto" w:fill="auto"/>
            <w:vAlign w:val="bottom"/>
          </w:tcPr>
          <w:p w14:paraId="341FCD31" w14:textId="77777777" w:rsidR="00980409" w:rsidRPr="00604C75" w:rsidRDefault="00980409" w:rsidP="00980409">
            <w:pPr>
              <w:ind w:left="-101"/>
              <w:rPr>
                <w:b/>
                <w:bCs/>
                <w:sz w:val="14"/>
                <w:szCs w:val="14"/>
              </w:rPr>
            </w:pPr>
            <w:r w:rsidRPr="00604C75">
              <w:rPr>
                <w:b/>
                <w:bCs/>
                <w:sz w:val="14"/>
                <w:szCs w:val="14"/>
              </w:rPr>
              <w:t xml:space="preserve"> TOTAL PROFIT/LOSS RELATED TO THE CURRENT PERIOD (X±XI)</w:t>
            </w:r>
          </w:p>
        </w:tc>
        <w:tc>
          <w:tcPr>
            <w:tcW w:w="1417" w:type="dxa"/>
            <w:tcBorders>
              <w:top w:val="single" w:sz="4" w:space="0" w:color="auto"/>
              <w:bottom w:val="single" w:sz="4" w:space="0" w:color="auto"/>
            </w:tcBorders>
            <w:shd w:val="clear" w:color="auto" w:fill="auto"/>
            <w:noWrap/>
            <w:vAlign w:val="bottom"/>
          </w:tcPr>
          <w:p w14:paraId="430F9908" w14:textId="32120343" w:rsidR="00980409" w:rsidRPr="00692926" w:rsidRDefault="00980409" w:rsidP="00F142CB">
            <w:pPr>
              <w:tabs>
                <w:tab w:val="left" w:pos="1201"/>
              </w:tabs>
              <w:ind w:right="-66" w:firstLine="67"/>
              <w:jc w:val="center"/>
              <w:rPr>
                <w:b/>
                <w:bCs/>
                <w:sz w:val="14"/>
                <w:szCs w:val="14"/>
              </w:rPr>
            </w:pPr>
            <w:r>
              <w:rPr>
                <w:b/>
                <w:bCs/>
                <w:sz w:val="14"/>
                <w:szCs w:val="14"/>
              </w:rPr>
              <w:t xml:space="preserve">                     47,069</w:t>
            </w:r>
          </w:p>
        </w:tc>
        <w:tc>
          <w:tcPr>
            <w:tcW w:w="1560" w:type="dxa"/>
            <w:tcBorders>
              <w:top w:val="single" w:sz="4" w:space="0" w:color="auto"/>
              <w:bottom w:val="single" w:sz="4" w:space="0" w:color="auto"/>
            </w:tcBorders>
            <w:shd w:val="clear" w:color="auto" w:fill="auto"/>
            <w:noWrap/>
            <w:vAlign w:val="bottom"/>
          </w:tcPr>
          <w:p w14:paraId="486EA5A4" w14:textId="2F6D1E58" w:rsidR="00980409" w:rsidRPr="00A36623" w:rsidRDefault="00980409" w:rsidP="00F142CB">
            <w:pPr>
              <w:ind w:right="78"/>
              <w:jc w:val="right"/>
              <w:rPr>
                <w:b/>
                <w:bCs/>
                <w:sz w:val="14"/>
                <w:szCs w:val="14"/>
              </w:rPr>
            </w:pPr>
            <w:r>
              <w:rPr>
                <w:b/>
                <w:bCs/>
                <w:sz w:val="14"/>
                <w:szCs w:val="14"/>
              </w:rPr>
              <w:t>171,</w:t>
            </w:r>
            <w:r w:rsidRPr="00A36623">
              <w:rPr>
                <w:b/>
                <w:bCs/>
                <w:sz w:val="14"/>
                <w:szCs w:val="14"/>
              </w:rPr>
              <w:t>261</w:t>
            </w:r>
          </w:p>
        </w:tc>
      </w:tr>
    </w:tbl>
    <w:p w14:paraId="30EA1128" w14:textId="77777777" w:rsidR="00B01A55" w:rsidRPr="00604C75" w:rsidRDefault="00B01A55" w:rsidP="00F82CC1"/>
    <w:p w14:paraId="1EA0E6E0" w14:textId="77777777" w:rsidR="006F153D" w:rsidRPr="00604C75" w:rsidRDefault="006F153D" w:rsidP="00F82CC1"/>
    <w:p w14:paraId="1DC5F3D2" w14:textId="77777777" w:rsidR="006E1CDA" w:rsidRPr="00604C75" w:rsidRDefault="006E1CDA" w:rsidP="00F82CC1"/>
    <w:p w14:paraId="4E278DF7" w14:textId="77777777" w:rsidR="006E1CDA" w:rsidRPr="00604C75" w:rsidRDefault="006E1CDA" w:rsidP="00F82CC1"/>
    <w:p w14:paraId="5E7E0BEE" w14:textId="77777777" w:rsidR="006E1CDA" w:rsidRPr="00604C75" w:rsidRDefault="006E1CDA" w:rsidP="00F82CC1"/>
    <w:p w14:paraId="249C8314" w14:textId="77777777" w:rsidR="006E1CDA" w:rsidRPr="00604C75" w:rsidRDefault="006E1CDA" w:rsidP="00F82CC1"/>
    <w:p w14:paraId="235D5309" w14:textId="77777777" w:rsidR="006E1CDA" w:rsidRPr="00604C75" w:rsidRDefault="006E1CDA" w:rsidP="00F82CC1"/>
    <w:p w14:paraId="4E473FA9" w14:textId="77777777" w:rsidR="006E1CDA" w:rsidRPr="00604C75" w:rsidRDefault="006E1CDA" w:rsidP="00F82CC1"/>
    <w:p w14:paraId="1E620380" w14:textId="77777777" w:rsidR="006E1CDA" w:rsidRPr="00604C75" w:rsidRDefault="006E1CDA" w:rsidP="00F82CC1"/>
    <w:p w14:paraId="312CF575" w14:textId="77777777" w:rsidR="00BE3C51" w:rsidRPr="00604C75" w:rsidRDefault="00BE3C51" w:rsidP="00F82CC1"/>
    <w:p w14:paraId="24D14693" w14:textId="77777777" w:rsidR="006E1CDA" w:rsidRPr="00604C75" w:rsidRDefault="006E1CDA" w:rsidP="00F82CC1"/>
    <w:p w14:paraId="0B8D2A4E" w14:textId="77777777" w:rsidR="006E1CDA" w:rsidRPr="00604C75" w:rsidRDefault="006E1CDA" w:rsidP="00F82CC1"/>
    <w:p w14:paraId="419CAEF4" w14:textId="77777777" w:rsidR="0044575F" w:rsidRPr="00604C75" w:rsidRDefault="0044575F" w:rsidP="00F82CC1"/>
    <w:p w14:paraId="32F09E75" w14:textId="77777777" w:rsidR="005509B0" w:rsidRPr="00604C75" w:rsidRDefault="005509B0" w:rsidP="00F82CC1"/>
    <w:p w14:paraId="53FBC3D9" w14:textId="77777777" w:rsidR="0044575F" w:rsidRPr="00604C75" w:rsidRDefault="0044575F" w:rsidP="00F82CC1"/>
    <w:p w14:paraId="7C953166" w14:textId="77777777" w:rsidR="0044575F" w:rsidRPr="00604C75" w:rsidRDefault="0044575F" w:rsidP="00F82CC1"/>
    <w:p w14:paraId="02950088" w14:textId="77777777" w:rsidR="006E1CDA" w:rsidRPr="00604C75" w:rsidRDefault="006E1CDA" w:rsidP="00F82CC1"/>
    <w:p w14:paraId="2942193B" w14:textId="77777777" w:rsidR="00C33C0A" w:rsidRPr="00604C75" w:rsidRDefault="00C33C0A" w:rsidP="00F82CC1"/>
    <w:p w14:paraId="67CEAC46" w14:textId="77777777" w:rsidR="006E1CDA" w:rsidRPr="00604C75" w:rsidRDefault="006E1CDA" w:rsidP="00F82CC1"/>
    <w:p w14:paraId="7EB3E0FA" w14:textId="77777777" w:rsidR="00CE1C4A" w:rsidRPr="00604C75" w:rsidRDefault="00CE1C4A" w:rsidP="00F82CC1"/>
    <w:p w14:paraId="55CAD812" w14:textId="77777777" w:rsidR="00CE1C4A" w:rsidRPr="00604C75" w:rsidRDefault="00CE1C4A" w:rsidP="00F82CC1"/>
    <w:p w14:paraId="61D0111D" w14:textId="77777777" w:rsidR="00CE1C4A" w:rsidRPr="00604C75" w:rsidRDefault="00CE1C4A" w:rsidP="00F82CC1"/>
    <w:p w14:paraId="062D78EE" w14:textId="77777777" w:rsidR="00CE1C4A" w:rsidRPr="00604C75" w:rsidRDefault="00CE1C4A" w:rsidP="00F82CC1"/>
    <w:p w14:paraId="1984EB73" w14:textId="77777777" w:rsidR="00CE1C4A" w:rsidRPr="00604C75" w:rsidRDefault="00CE1C4A" w:rsidP="00F82CC1"/>
    <w:p w14:paraId="1B495BF8" w14:textId="77777777" w:rsidR="00CE1C4A" w:rsidRPr="00604C75" w:rsidRDefault="00CE1C4A" w:rsidP="00F82CC1"/>
    <w:p w14:paraId="6859ED9E" w14:textId="77777777" w:rsidR="00CE1C4A" w:rsidRPr="00604C75" w:rsidRDefault="00CE1C4A" w:rsidP="00F82CC1"/>
    <w:p w14:paraId="5CFDACE6" w14:textId="77777777" w:rsidR="00CE1C4A" w:rsidRPr="00604C75" w:rsidRDefault="00CE1C4A" w:rsidP="00F82CC1"/>
    <w:p w14:paraId="0ADEDFFB" w14:textId="77777777" w:rsidR="006F153D" w:rsidRPr="00604C75" w:rsidRDefault="006F153D" w:rsidP="00F82CC1"/>
    <w:p w14:paraId="23434D4B" w14:textId="77777777" w:rsidR="005A1D7D" w:rsidRPr="00604C75" w:rsidRDefault="005A1D7D" w:rsidP="0032757D">
      <w:pPr>
        <w:ind w:left="2160"/>
        <w:rPr>
          <w:sz w:val="16"/>
          <w:szCs w:val="16"/>
        </w:rPr>
      </w:pPr>
    </w:p>
    <w:p w14:paraId="67F8F70F" w14:textId="77777777" w:rsidR="005A1D7D" w:rsidRPr="00604C75" w:rsidRDefault="005A1D7D" w:rsidP="0032757D">
      <w:pPr>
        <w:ind w:left="2160"/>
        <w:rPr>
          <w:sz w:val="16"/>
          <w:szCs w:val="16"/>
        </w:rPr>
      </w:pPr>
    </w:p>
    <w:p w14:paraId="552AD8DC" w14:textId="77777777" w:rsidR="005A1D7D" w:rsidRPr="00604C75" w:rsidRDefault="005A1D7D" w:rsidP="0032757D">
      <w:pPr>
        <w:ind w:left="2160"/>
        <w:rPr>
          <w:sz w:val="16"/>
          <w:szCs w:val="16"/>
        </w:rPr>
      </w:pPr>
    </w:p>
    <w:p w14:paraId="67CE44AA" w14:textId="77777777" w:rsidR="005A1D7D" w:rsidRPr="00604C75" w:rsidRDefault="005A1D7D" w:rsidP="0032757D">
      <w:pPr>
        <w:ind w:left="2160"/>
        <w:rPr>
          <w:sz w:val="16"/>
          <w:szCs w:val="16"/>
        </w:rPr>
      </w:pPr>
    </w:p>
    <w:p w14:paraId="6F2D184E" w14:textId="77777777" w:rsidR="001C0D5D" w:rsidRPr="00604C75" w:rsidRDefault="00BD00CB" w:rsidP="0032757D">
      <w:pPr>
        <w:ind w:left="2160"/>
      </w:pPr>
      <w:r w:rsidRPr="00604C75">
        <w:rPr>
          <w:sz w:val="16"/>
          <w:szCs w:val="16"/>
        </w:rPr>
        <w:t>The accompanying notes are an integral part of these consolidated financial statements.</w:t>
      </w:r>
      <w:r w:rsidRPr="00604C75" w:rsidDel="00AF0AEB">
        <w:rPr>
          <w:bCs/>
          <w:noProof/>
          <w:snapToGrid w:val="0"/>
          <w:sz w:val="16"/>
          <w:szCs w:val="16"/>
          <w:lang w:val="tr-TR"/>
        </w:rPr>
        <w:t xml:space="preserve"> </w:t>
      </w:r>
    </w:p>
    <w:p w14:paraId="300A4D6A" w14:textId="77777777" w:rsidR="000B0925" w:rsidRPr="00604C75" w:rsidRDefault="000B0925" w:rsidP="00F82CC1">
      <w:pPr>
        <w:sectPr w:rsidR="000B0925" w:rsidRPr="00604C75" w:rsidSect="00CF6669">
          <w:headerReference w:type="default" r:id="rId16"/>
          <w:pgSz w:w="11907" w:h="16840" w:code="9"/>
          <w:pgMar w:top="1134" w:right="748" w:bottom="720" w:left="1077" w:header="720" w:footer="720" w:gutter="0"/>
          <w:cols w:space="720"/>
          <w:docGrid w:linePitch="360"/>
        </w:sectPr>
      </w:pPr>
    </w:p>
    <w:p w14:paraId="1648B6B3" w14:textId="77777777" w:rsidR="00FB6154" w:rsidRPr="00604C75" w:rsidRDefault="00FB6154" w:rsidP="00F82CC1">
      <w:pPr>
        <w:rPr>
          <w:sz w:val="20"/>
          <w:szCs w:val="20"/>
        </w:rPr>
      </w:pPr>
    </w:p>
    <w:tbl>
      <w:tblPr>
        <w:tblpPr w:leftFromText="180" w:rightFromText="180" w:vertAnchor="page" w:horzAnchor="margin" w:tblpY="1984"/>
        <w:tblW w:w="15304" w:type="dxa"/>
        <w:tblLayout w:type="fixed"/>
        <w:tblCellMar>
          <w:left w:w="0" w:type="dxa"/>
          <w:right w:w="0" w:type="dxa"/>
        </w:tblCellMar>
        <w:tblLook w:val="0000" w:firstRow="0" w:lastRow="0" w:firstColumn="0" w:lastColumn="0" w:noHBand="0" w:noVBand="0"/>
      </w:tblPr>
      <w:tblGrid>
        <w:gridCol w:w="362"/>
        <w:gridCol w:w="2332"/>
        <w:gridCol w:w="473"/>
        <w:gridCol w:w="525"/>
        <w:gridCol w:w="669"/>
        <w:gridCol w:w="536"/>
        <w:gridCol w:w="707"/>
        <w:gridCol w:w="602"/>
        <w:gridCol w:w="536"/>
        <w:gridCol w:w="821"/>
        <w:gridCol w:w="648"/>
        <w:gridCol w:w="617"/>
        <w:gridCol w:w="642"/>
        <w:gridCol w:w="732"/>
        <w:gridCol w:w="880"/>
        <w:gridCol w:w="722"/>
        <w:gridCol w:w="589"/>
        <w:gridCol w:w="801"/>
        <w:gridCol w:w="626"/>
        <w:gridCol w:w="728"/>
        <w:gridCol w:w="756"/>
      </w:tblGrid>
      <w:tr w:rsidR="00F573AF" w:rsidRPr="007C0BA6" w14:paraId="55157790" w14:textId="77777777" w:rsidTr="00F142CB">
        <w:trPr>
          <w:cantSplit/>
          <w:trHeight w:val="300"/>
        </w:trPr>
        <w:tc>
          <w:tcPr>
            <w:tcW w:w="362" w:type="dxa"/>
            <w:noWrap/>
            <w:tcMar>
              <w:top w:w="20" w:type="dxa"/>
              <w:left w:w="20" w:type="dxa"/>
              <w:bottom w:w="0" w:type="dxa"/>
              <w:right w:w="20" w:type="dxa"/>
            </w:tcMar>
            <w:vAlign w:val="bottom"/>
          </w:tcPr>
          <w:p w14:paraId="7E95A6AC" w14:textId="77777777" w:rsidR="00F573AF" w:rsidRPr="007C0BA6" w:rsidRDefault="00F573AF" w:rsidP="00F573AF">
            <w:pPr>
              <w:spacing w:line="192" w:lineRule="auto"/>
              <w:ind w:right="-30"/>
              <w:rPr>
                <w:b/>
                <w:bCs/>
                <w:sz w:val="12"/>
                <w:szCs w:val="12"/>
              </w:rPr>
            </w:pPr>
          </w:p>
          <w:p w14:paraId="4E2816C9" w14:textId="77777777" w:rsidR="00F573AF" w:rsidRPr="007C0BA6" w:rsidRDefault="00F573AF" w:rsidP="00F573AF">
            <w:pPr>
              <w:spacing w:line="192" w:lineRule="auto"/>
              <w:ind w:right="-30"/>
              <w:rPr>
                <w:b/>
                <w:bCs/>
                <w:sz w:val="12"/>
                <w:szCs w:val="12"/>
              </w:rPr>
            </w:pPr>
          </w:p>
          <w:p w14:paraId="72FEF20F" w14:textId="77777777" w:rsidR="00F573AF" w:rsidRPr="007C0BA6" w:rsidRDefault="00F573AF" w:rsidP="00F573AF">
            <w:pPr>
              <w:spacing w:line="192" w:lineRule="auto"/>
              <w:ind w:right="-30"/>
              <w:rPr>
                <w:b/>
                <w:bCs/>
                <w:sz w:val="12"/>
                <w:szCs w:val="12"/>
              </w:rPr>
            </w:pPr>
          </w:p>
          <w:p w14:paraId="39992FDF" w14:textId="77777777" w:rsidR="00F573AF" w:rsidRPr="007C0BA6" w:rsidRDefault="00F573AF" w:rsidP="00F573AF">
            <w:pPr>
              <w:spacing w:line="192" w:lineRule="auto"/>
              <w:ind w:right="-30"/>
              <w:rPr>
                <w:b/>
                <w:bCs/>
                <w:sz w:val="12"/>
                <w:szCs w:val="12"/>
              </w:rPr>
            </w:pPr>
          </w:p>
        </w:tc>
        <w:tc>
          <w:tcPr>
            <w:tcW w:w="2332" w:type="dxa"/>
            <w:tcBorders>
              <w:bottom w:val="single" w:sz="4" w:space="0" w:color="auto"/>
            </w:tcBorders>
            <w:vAlign w:val="bottom"/>
          </w:tcPr>
          <w:p w14:paraId="44CE52C1" w14:textId="1157AFA0" w:rsidR="00F573AF" w:rsidRPr="0032757D" w:rsidRDefault="00F573AF" w:rsidP="00F142CB">
            <w:pPr>
              <w:spacing w:line="192" w:lineRule="auto"/>
              <w:ind w:left="170" w:right="-850" w:hanging="170"/>
              <w:rPr>
                <w:b/>
                <w:bCs/>
                <w:sz w:val="14"/>
                <w:szCs w:val="14"/>
              </w:rPr>
            </w:pPr>
            <w:r w:rsidRPr="0032757D">
              <w:rPr>
                <w:b/>
                <w:bCs/>
                <w:sz w:val="14"/>
                <w:szCs w:val="14"/>
              </w:rPr>
              <w:t>V. STATEMENTS OF CHANGES IN SHAREHOLDERS’ EQUITY</w:t>
            </w:r>
          </w:p>
          <w:p w14:paraId="3A49A0A9" w14:textId="77777777" w:rsidR="00F573AF" w:rsidRDefault="00F573AF" w:rsidP="00F573AF">
            <w:pPr>
              <w:spacing w:line="192" w:lineRule="auto"/>
              <w:jc w:val="center"/>
              <w:rPr>
                <w:b/>
                <w:bCs/>
                <w:sz w:val="12"/>
                <w:szCs w:val="12"/>
              </w:rPr>
            </w:pPr>
          </w:p>
          <w:p w14:paraId="35A55879" w14:textId="77777777" w:rsidR="00F573AF" w:rsidRDefault="00F573AF" w:rsidP="00F573AF">
            <w:pPr>
              <w:spacing w:line="192" w:lineRule="auto"/>
              <w:jc w:val="center"/>
              <w:rPr>
                <w:b/>
                <w:bCs/>
                <w:sz w:val="12"/>
                <w:szCs w:val="12"/>
              </w:rPr>
            </w:pPr>
          </w:p>
          <w:p w14:paraId="233FF512" w14:textId="77777777" w:rsidR="00F573AF" w:rsidRDefault="00F573AF" w:rsidP="00F573AF">
            <w:pPr>
              <w:spacing w:line="192" w:lineRule="auto"/>
              <w:jc w:val="center"/>
              <w:rPr>
                <w:b/>
                <w:bCs/>
                <w:sz w:val="12"/>
                <w:szCs w:val="12"/>
              </w:rPr>
            </w:pPr>
          </w:p>
          <w:p w14:paraId="67A98895" w14:textId="77777777" w:rsidR="00F573AF" w:rsidRDefault="00F573AF" w:rsidP="00F573AF">
            <w:pPr>
              <w:spacing w:line="192" w:lineRule="auto"/>
              <w:jc w:val="center"/>
              <w:rPr>
                <w:b/>
                <w:bCs/>
                <w:sz w:val="12"/>
                <w:szCs w:val="12"/>
              </w:rPr>
            </w:pPr>
          </w:p>
          <w:p w14:paraId="6DE99C2F" w14:textId="77777777" w:rsidR="00F573AF" w:rsidRDefault="00F573AF" w:rsidP="00F573AF">
            <w:pPr>
              <w:spacing w:line="192" w:lineRule="auto"/>
              <w:jc w:val="both"/>
              <w:rPr>
                <w:b/>
                <w:bCs/>
                <w:sz w:val="12"/>
                <w:szCs w:val="12"/>
              </w:rPr>
            </w:pPr>
            <w:r>
              <w:rPr>
                <w:b/>
                <w:bCs/>
                <w:sz w:val="12"/>
                <w:szCs w:val="12"/>
              </w:rPr>
              <w:t>31 December 2014</w:t>
            </w:r>
          </w:p>
          <w:p w14:paraId="3619B208" w14:textId="77777777" w:rsidR="00F573AF" w:rsidRPr="007C0BA6" w:rsidRDefault="00F573AF" w:rsidP="00F573AF">
            <w:pPr>
              <w:spacing w:line="192" w:lineRule="auto"/>
              <w:rPr>
                <w:b/>
                <w:bCs/>
                <w:sz w:val="12"/>
                <w:szCs w:val="12"/>
              </w:rPr>
            </w:pPr>
          </w:p>
        </w:tc>
        <w:tc>
          <w:tcPr>
            <w:tcW w:w="473" w:type="dxa"/>
            <w:tcBorders>
              <w:bottom w:val="single" w:sz="4" w:space="0" w:color="auto"/>
            </w:tcBorders>
            <w:vAlign w:val="bottom"/>
          </w:tcPr>
          <w:p w14:paraId="12CFB998" w14:textId="77777777" w:rsidR="00F573AF" w:rsidRPr="007C0BA6" w:rsidRDefault="00F573AF" w:rsidP="00F573AF">
            <w:pPr>
              <w:tabs>
                <w:tab w:val="left" w:pos="280"/>
                <w:tab w:val="left" w:pos="1200"/>
                <w:tab w:val="left" w:pos="10080"/>
                <w:tab w:val="left" w:pos="10920"/>
                <w:tab w:val="left" w:pos="12520"/>
                <w:tab w:val="left" w:pos="13480"/>
                <w:tab w:val="left" w:pos="15680"/>
                <w:tab w:val="left" w:pos="16640"/>
                <w:tab w:val="left" w:pos="17740"/>
              </w:tabs>
              <w:spacing w:line="192" w:lineRule="auto"/>
              <w:jc w:val="center"/>
              <w:rPr>
                <w:b/>
                <w:bCs/>
                <w:snapToGrid w:val="0"/>
                <w:sz w:val="12"/>
                <w:szCs w:val="12"/>
              </w:rPr>
            </w:pPr>
            <w:r w:rsidRPr="007C0BA6">
              <w:rPr>
                <w:b/>
                <w:bCs/>
                <w:snapToGrid w:val="0"/>
                <w:sz w:val="12"/>
                <w:szCs w:val="12"/>
              </w:rPr>
              <w:t>Note</w:t>
            </w:r>
          </w:p>
          <w:p w14:paraId="460FCA25" w14:textId="77777777" w:rsidR="00F573AF" w:rsidRPr="007C0BA6" w:rsidRDefault="00F573AF" w:rsidP="00F573AF">
            <w:pPr>
              <w:spacing w:line="192" w:lineRule="auto"/>
              <w:jc w:val="center"/>
              <w:rPr>
                <w:b/>
                <w:sz w:val="12"/>
                <w:szCs w:val="12"/>
              </w:rPr>
            </w:pPr>
            <w:r w:rsidRPr="007C0BA6">
              <w:rPr>
                <w:b/>
                <w:sz w:val="12"/>
                <w:szCs w:val="12"/>
              </w:rPr>
              <w:t>(Section</w:t>
            </w:r>
          </w:p>
          <w:p w14:paraId="66CAC3AF" w14:textId="77777777" w:rsidR="00F573AF" w:rsidRPr="007C0BA6" w:rsidRDefault="00F573AF" w:rsidP="00F573AF">
            <w:pPr>
              <w:spacing w:line="192" w:lineRule="auto"/>
              <w:jc w:val="center"/>
              <w:rPr>
                <w:b/>
                <w:sz w:val="12"/>
                <w:szCs w:val="12"/>
              </w:rPr>
            </w:pPr>
            <w:r w:rsidRPr="007C0BA6">
              <w:rPr>
                <w:b/>
                <w:sz w:val="12"/>
                <w:szCs w:val="12"/>
              </w:rPr>
              <w:t>Five)</w:t>
            </w:r>
          </w:p>
        </w:tc>
        <w:tc>
          <w:tcPr>
            <w:tcW w:w="525" w:type="dxa"/>
            <w:tcBorders>
              <w:bottom w:val="single" w:sz="4" w:space="0" w:color="auto"/>
            </w:tcBorders>
            <w:noWrap/>
            <w:tcMar>
              <w:top w:w="20" w:type="dxa"/>
              <w:left w:w="20" w:type="dxa"/>
              <w:bottom w:w="0" w:type="dxa"/>
              <w:right w:w="20" w:type="dxa"/>
            </w:tcMar>
            <w:vAlign w:val="bottom"/>
          </w:tcPr>
          <w:p w14:paraId="0BC1ED0A" w14:textId="77777777" w:rsidR="00F573AF" w:rsidRPr="007C0BA6" w:rsidRDefault="00F573AF" w:rsidP="00F573AF">
            <w:pPr>
              <w:spacing w:line="192" w:lineRule="auto"/>
              <w:jc w:val="right"/>
              <w:rPr>
                <w:b/>
                <w:sz w:val="12"/>
                <w:szCs w:val="12"/>
              </w:rPr>
            </w:pPr>
            <w:r w:rsidRPr="007C0BA6">
              <w:rPr>
                <w:b/>
                <w:sz w:val="12"/>
                <w:szCs w:val="12"/>
              </w:rPr>
              <w:t>Paid-in Capital</w:t>
            </w:r>
          </w:p>
        </w:tc>
        <w:tc>
          <w:tcPr>
            <w:tcW w:w="669" w:type="dxa"/>
            <w:tcBorders>
              <w:bottom w:val="single" w:sz="4" w:space="0" w:color="auto"/>
            </w:tcBorders>
            <w:vAlign w:val="bottom"/>
          </w:tcPr>
          <w:p w14:paraId="29AF51A8" w14:textId="77777777" w:rsidR="00F573AF" w:rsidRPr="007C0BA6" w:rsidRDefault="00F573AF" w:rsidP="00F573AF">
            <w:pPr>
              <w:spacing w:line="192" w:lineRule="auto"/>
              <w:jc w:val="right"/>
              <w:rPr>
                <w:b/>
                <w:sz w:val="12"/>
                <w:szCs w:val="12"/>
              </w:rPr>
            </w:pPr>
            <w:r w:rsidRPr="007C0BA6">
              <w:rPr>
                <w:b/>
                <w:sz w:val="12"/>
                <w:szCs w:val="12"/>
              </w:rPr>
              <w:t>Adjustment to Share Capital</w:t>
            </w:r>
          </w:p>
        </w:tc>
        <w:tc>
          <w:tcPr>
            <w:tcW w:w="536" w:type="dxa"/>
            <w:tcBorders>
              <w:bottom w:val="single" w:sz="4" w:space="0" w:color="auto"/>
            </w:tcBorders>
            <w:noWrap/>
            <w:tcMar>
              <w:top w:w="20" w:type="dxa"/>
              <w:left w:w="20" w:type="dxa"/>
              <w:bottom w:w="0" w:type="dxa"/>
              <w:right w:w="20" w:type="dxa"/>
            </w:tcMar>
            <w:vAlign w:val="bottom"/>
          </w:tcPr>
          <w:p w14:paraId="45DC5646" w14:textId="77777777" w:rsidR="00F573AF" w:rsidRPr="007C0BA6" w:rsidRDefault="00F573AF" w:rsidP="00F573AF">
            <w:pPr>
              <w:spacing w:line="192" w:lineRule="auto"/>
              <w:jc w:val="right"/>
              <w:rPr>
                <w:b/>
                <w:sz w:val="12"/>
                <w:szCs w:val="12"/>
              </w:rPr>
            </w:pPr>
            <w:r w:rsidRPr="007C0BA6">
              <w:rPr>
                <w:b/>
                <w:sz w:val="12"/>
                <w:szCs w:val="12"/>
              </w:rPr>
              <w:t>Share Premium</w:t>
            </w:r>
          </w:p>
        </w:tc>
        <w:tc>
          <w:tcPr>
            <w:tcW w:w="707" w:type="dxa"/>
            <w:tcBorders>
              <w:bottom w:val="single" w:sz="4" w:space="0" w:color="auto"/>
            </w:tcBorders>
            <w:noWrap/>
            <w:tcMar>
              <w:top w:w="20" w:type="dxa"/>
              <w:left w:w="20" w:type="dxa"/>
              <w:bottom w:w="0" w:type="dxa"/>
              <w:right w:w="20" w:type="dxa"/>
            </w:tcMar>
            <w:vAlign w:val="bottom"/>
          </w:tcPr>
          <w:p w14:paraId="30E696C5" w14:textId="77777777" w:rsidR="00F573AF" w:rsidRPr="007C0BA6" w:rsidRDefault="00F573AF" w:rsidP="00F573AF">
            <w:pPr>
              <w:spacing w:line="192" w:lineRule="auto"/>
              <w:jc w:val="right"/>
              <w:rPr>
                <w:b/>
                <w:sz w:val="12"/>
                <w:szCs w:val="12"/>
              </w:rPr>
            </w:pPr>
            <w:r w:rsidRPr="007C0BA6">
              <w:rPr>
                <w:b/>
                <w:sz w:val="12"/>
                <w:szCs w:val="12"/>
              </w:rPr>
              <w:t>Share Cancellation</w:t>
            </w:r>
          </w:p>
          <w:p w14:paraId="1932C728" w14:textId="77777777" w:rsidR="00F573AF" w:rsidRPr="007C0BA6" w:rsidRDefault="00F573AF" w:rsidP="00F573AF">
            <w:pPr>
              <w:spacing w:line="192" w:lineRule="auto"/>
              <w:jc w:val="right"/>
              <w:rPr>
                <w:b/>
                <w:sz w:val="12"/>
                <w:szCs w:val="12"/>
              </w:rPr>
            </w:pPr>
            <w:r w:rsidRPr="007C0BA6">
              <w:rPr>
                <w:b/>
                <w:sz w:val="12"/>
                <w:szCs w:val="12"/>
              </w:rPr>
              <w:t>Profits</w:t>
            </w:r>
          </w:p>
        </w:tc>
        <w:tc>
          <w:tcPr>
            <w:tcW w:w="602" w:type="dxa"/>
            <w:tcBorders>
              <w:bottom w:val="single" w:sz="4" w:space="0" w:color="auto"/>
            </w:tcBorders>
            <w:noWrap/>
            <w:tcMar>
              <w:top w:w="20" w:type="dxa"/>
              <w:left w:w="20" w:type="dxa"/>
              <w:bottom w:w="0" w:type="dxa"/>
              <w:right w:w="20" w:type="dxa"/>
            </w:tcMar>
            <w:vAlign w:val="bottom"/>
          </w:tcPr>
          <w:p w14:paraId="4C0EF6DD" w14:textId="77777777" w:rsidR="00F573AF" w:rsidRPr="007C0BA6" w:rsidRDefault="00F573AF" w:rsidP="00F573AF">
            <w:pPr>
              <w:spacing w:line="192" w:lineRule="auto"/>
              <w:jc w:val="right"/>
              <w:rPr>
                <w:b/>
                <w:sz w:val="12"/>
                <w:szCs w:val="12"/>
              </w:rPr>
            </w:pPr>
            <w:r w:rsidRPr="007C0BA6">
              <w:rPr>
                <w:b/>
                <w:sz w:val="12"/>
                <w:szCs w:val="12"/>
              </w:rPr>
              <w:t>Legal Reserves</w:t>
            </w:r>
          </w:p>
        </w:tc>
        <w:tc>
          <w:tcPr>
            <w:tcW w:w="536" w:type="dxa"/>
            <w:tcBorders>
              <w:bottom w:val="single" w:sz="4" w:space="0" w:color="auto"/>
            </w:tcBorders>
            <w:noWrap/>
            <w:tcMar>
              <w:top w:w="20" w:type="dxa"/>
              <w:left w:w="20" w:type="dxa"/>
              <w:bottom w:w="0" w:type="dxa"/>
              <w:right w:w="20" w:type="dxa"/>
            </w:tcMar>
            <w:vAlign w:val="bottom"/>
          </w:tcPr>
          <w:p w14:paraId="75215200" w14:textId="77777777" w:rsidR="00F573AF" w:rsidRPr="007C0BA6" w:rsidRDefault="00F573AF" w:rsidP="00F573AF">
            <w:pPr>
              <w:spacing w:line="192" w:lineRule="auto"/>
              <w:jc w:val="right"/>
              <w:rPr>
                <w:b/>
                <w:sz w:val="12"/>
                <w:szCs w:val="12"/>
              </w:rPr>
            </w:pPr>
            <w:r w:rsidRPr="007C0BA6">
              <w:rPr>
                <w:b/>
                <w:sz w:val="12"/>
                <w:szCs w:val="12"/>
              </w:rPr>
              <w:t>Status Reserves</w:t>
            </w:r>
          </w:p>
        </w:tc>
        <w:tc>
          <w:tcPr>
            <w:tcW w:w="821" w:type="dxa"/>
            <w:tcBorders>
              <w:bottom w:val="single" w:sz="4" w:space="0" w:color="auto"/>
            </w:tcBorders>
            <w:noWrap/>
            <w:tcMar>
              <w:top w:w="20" w:type="dxa"/>
              <w:left w:w="20" w:type="dxa"/>
              <w:bottom w:w="0" w:type="dxa"/>
              <w:right w:w="20" w:type="dxa"/>
            </w:tcMar>
            <w:vAlign w:val="bottom"/>
          </w:tcPr>
          <w:p w14:paraId="1A53C26A" w14:textId="77777777" w:rsidR="00F573AF" w:rsidRPr="007C0BA6" w:rsidRDefault="00F573AF" w:rsidP="00F573AF">
            <w:pPr>
              <w:spacing w:line="192" w:lineRule="auto"/>
              <w:jc w:val="right"/>
              <w:rPr>
                <w:b/>
                <w:sz w:val="12"/>
                <w:szCs w:val="12"/>
              </w:rPr>
            </w:pPr>
            <w:r w:rsidRPr="007C0BA6">
              <w:rPr>
                <w:b/>
                <w:sz w:val="12"/>
                <w:szCs w:val="12"/>
              </w:rPr>
              <w:t>Extraordinary Reserves</w:t>
            </w:r>
          </w:p>
        </w:tc>
        <w:tc>
          <w:tcPr>
            <w:tcW w:w="648" w:type="dxa"/>
            <w:tcBorders>
              <w:bottom w:val="single" w:sz="4" w:space="0" w:color="auto"/>
            </w:tcBorders>
            <w:noWrap/>
            <w:tcMar>
              <w:top w:w="20" w:type="dxa"/>
              <w:left w:w="20" w:type="dxa"/>
              <w:bottom w:w="0" w:type="dxa"/>
              <w:right w:w="20" w:type="dxa"/>
            </w:tcMar>
            <w:vAlign w:val="bottom"/>
          </w:tcPr>
          <w:p w14:paraId="1A560C17" w14:textId="77777777" w:rsidR="00F573AF" w:rsidRPr="007C0BA6" w:rsidRDefault="00F573AF" w:rsidP="00F573AF">
            <w:pPr>
              <w:spacing w:line="192" w:lineRule="auto"/>
              <w:jc w:val="right"/>
              <w:rPr>
                <w:b/>
                <w:sz w:val="12"/>
                <w:szCs w:val="12"/>
              </w:rPr>
            </w:pPr>
            <w:r w:rsidRPr="007C0BA6">
              <w:rPr>
                <w:b/>
                <w:sz w:val="12"/>
                <w:szCs w:val="12"/>
              </w:rPr>
              <w:t xml:space="preserve">               Other Reserves</w:t>
            </w:r>
          </w:p>
        </w:tc>
        <w:tc>
          <w:tcPr>
            <w:tcW w:w="617" w:type="dxa"/>
            <w:tcBorders>
              <w:bottom w:val="single" w:sz="4" w:space="0" w:color="auto"/>
            </w:tcBorders>
            <w:noWrap/>
            <w:tcMar>
              <w:top w:w="20" w:type="dxa"/>
              <w:left w:w="20" w:type="dxa"/>
              <w:bottom w:w="0" w:type="dxa"/>
              <w:right w:w="20" w:type="dxa"/>
            </w:tcMar>
            <w:vAlign w:val="bottom"/>
          </w:tcPr>
          <w:p w14:paraId="721A8EF1" w14:textId="77777777" w:rsidR="00F573AF" w:rsidRPr="007C0BA6" w:rsidRDefault="00F573AF" w:rsidP="00F573AF">
            <w:pPr>
              <w:spacing w:line="192" w:lineRule="auto"/>
              <w:jc w:val="right"/>
              <w:rPr>
                <w:b/>
                <w:sz w:val="12"/>
                <w:szCs w:val="12"/>
              </w:rPr>
            </w:pPr>
            <w:r w:rsidRPr="007C0BA6">
              <w:rPr>
                <w:b/>
                <w:sz w:val="12"/>
                <w:szCs w:val="12"/>
              </w:rPr>
              <w:t>Current</w:t>
            </w:r>
          </w:p>
          <w:p w14:paraId="7FEAA36A" w14:textId="77777777" w:rsidR="00F573AF" w:rsidRPr="007C0BA6" w:rsidRDefault="00F573AF" w:rsidP="00F573AF">
            <w:pPr>
              <w:spacing w:line="192" w:lineRule="auto"/>
              <w:jc w:val="right"/>
              <w:rPr>
                <w:b/>
                <w:sz w:val="12"/>
                <w:szCs w:val="12"/>
              </w:rPr>
            </w:pPr>
            <w:r w:rsidRPr="007C0BA6">
              <w:rPr>
                <w:b/>
                <w:sz w:val="12"/>
                <w:szCs w:val="12"/>
              </w:rPr>
              <w:t>Period Net Income / (Loss)</w:t>
            </w:r>
          </w:p>
        </w:tc>
        <w:tc>
          <w:tcPr>
            <w:tcW w:w="642" w:type="dxa"/>
            <w:tcBorders>
              <w:bottom w:val="single" w:sz="4" w:space="0" w:color="auto"/>
            </w:tcBorders>
            <w:noWrap/>
            <w:tcMar>
              <w:top w:w="20" w:type="dxa"/>
              <w:left w:w="20" w:type="dxa"/>
              <w:bottom w:w="0" w:type="dxa"/>
              <w:right w:w="20" w:type="dxa"/>
            </w:tcMar>
            <w:vAlign w:val="bottom"/>
          </w:tcPr>
          <w:p w14:paraId="678C210D" w14:textId="77777777" w:rsidR="00F573AF" w:rsidRDefault="00F573AF" w:rsidP="00F573AF">
            <w:pPr>
              <w:spacing w:line="190" w:lineRule="auto"/>
              <w:jc w:val="right"/>
              <w:rPr>
                <w:b/>
                <w:bCs/>
                <w:sz w:val="12"/>
                <w:szCs w:val="12"/>
              </w:rPr>
            </w:pPr>
            <w:r w:rsidRPr="007C0BA6">
              <w:rPr>
                <w:b/>
                <w:bCs/>
                <w:sz w:val="12"/>
                <w:szCs w:val="12"/>
              </w:rPr>
              <w:t>Prior Period Net Income/</w:t>
            </w:r>
          </w:p>
          <w:p w14:paraId="05DCE032" w14:textId="77777777" w:rsidR="00F573AF" w:rsidRPr="007C0BA6" w:rsidRDefault="00F573AF" w:rsidP="00F573AF">
            <w:pPr>
              <w:spacing w:line="190" w:lineRule="auto"/>
              <w:jc w:val="right"/>
              <w:rPr>
                <w:b/>
                <w:bCs/>
                <w:sz w:val="12"/>
                <w:szCs w:val="12"/>
              </w:rPr>
            </w:pPr>
            <w:r w:rsidRPr="007C0BA6">
              <w:rPr>
                <w:b/>
                <w:bCs/>
                <w:sz w:val="12"/>
                <w:szCs w:val="12"/>
              </w:rPr>
              <w:t>(Loss)</w:t>
            </w:r>
          </w:p>
        </w:tc>
        <w:tc>
          <w:tcPr>
            <w:tcW w:w="732" w:type="dxa"/>
            <w:tcBorders>
              <w:bottom w:val="single" w:sz="4" w:space="0" w:color="auto"/>
            </w:tcBorders>
            <w:vAlign w:val="bottom"/>
          </w:tcPr>
          <w:p w14:paraId="059183EF" w14:textId="77777777" w:rsidR="00F573AF" w:rsidRPr="007C0BA6" w:rsidRDefault="00F573AF" w:rsidP="00F573AF">
            <w:pPr>
              <w:spacing w:line="190" w:lineRule="auto"/>
              <w:jc w:val="right"/>
              <w:rPr>
                <w:b/>
                <w:bCs/>
                <w:sz w:val="12"/>
                <w:szCs w:val="12"/>
              </w:rPr>
            </w:pPr>
            <w:r w:rsidRPr="007C0BA6">
              <w:rPr>
                <w:b/>
                <w:bCs/>
                <w:sz w:val="12"/>
                <w:szCs w:val="12"/>
              </w:rPr>
              <w:t>Marketable Securities Valuation Reserve</w:t>
            </w:r>
          </w:p>
        </w:tc>
        <w:tc>
          <w:tcPr>
            <w:tcW w:w="880" w:type="dxa"/>
            <w:tcBorders>
              <w:bottom w:val="single" w:sz="4" w:space="0" w:color="auto"/>
            </w:tcBorders>
            <w:vAlign w:val="bottom"/>
          </w:tcPr>
          <w:p w14:paraId="3A7F09EB" w14:textId="77777777" w:rsidR="00F573AF" w:rsidRPr="007C0BA6" w:rsidRDefault="00F573AF" w:rsidP="00F573AF">
            <w:pPr>
              <w:spacing w:line="190" w:lineRule="auto"/>
              <w:jc w:val="right"/>
              <w:rPr>
                <w:b/>
                <w:bCs/>
                <w:sz w:val="12"/>
                <w:szCs w:val="12"/>
              </w:rPr>
            </w:pPr>
            <w:r w:rsidRPr="007C0BA6">
              <w:rPr>
                <w:b/>
                <w:bCs/>
                <w:sz w:val="12"/>
                <w:szCs w:val="12"/>
              </w:rPr>
              <w:t>Tangible and Intangible Assets Revaluation Reserve</w:t>
            </w:r>
          </w:p>
        </w:tc>
        <w:tc>
          <w:tcPr>
            <w:tcW w:w="722" w:type="dxa"/>
            <w:tcBorders>
              <w:bottom w:val="single" w:sz="4" w:space="0" w:color="auto"/>
            </w:tcBorders>
            <w:noWrap/>
            <w:tcMar>
              <w:top w:w="20" w:type="dxa"/>
              <w:left w:w="20" w:type="dxa"/>
              <w:bottom w:w="0" w:type="dxa"/>
              <w:right w:w="20" w:type="dxa"/>
            </w:tcMar>
            <w:vAlign w:val="bottom"/>
          </w:tcPr>
          <w:p w14:paraId="36AC48A6" w14:textId="77777777" w:rsidR="00F573AF" w:rsidRPr="007C0BA6" w:rsidRDefault="00F573AF" w:rsidP="00F573AF">
            <w:pPr>
              <w:spacing w:line="190" w:lineRule="auto"/>
              <w:jc w:val="right"/>
              <w:rPr>
                <w:b/>
                <w:bCs/>
                <w:sz w:val="12"/>
                <w:szCs w:val="12"/>
              </w:rPr>
            </w:pPr>
            <w:r w:rsidRPr="007C0BA6">
              <w:rPr>
                <w:b/>
                <w:bCs/>
                <w:sz w:val="12"/>
                <w:szCs w:val="12"/>
              </w:rPr>
              <w:t>Bonus Shares Obtained from Investments</w:t>
            </w:r>
          </w:p>
        </w:tc>
        <w:tc>
          <w:tcPr>
            <w:tcW w:w="589" w:type="dxa"/>
            <w:tcBorders>
              <w:bottom w:val="single" w:sz="4" w:space="0" w:color="auto"/>
            </w:tcBorders>
            <w:noWrap/>
            <w:tcMar>
              <w:top w:w="20" w:type="dxa"/>
              <w:left w:w="20" w:type="dxa"/>
              <w:bottom w:w="0" w:type="dxa"/>
              <w:right w:w="20" w:type="dxa"/>
            </w:tcMar>
            <w:vAlign w:val="bottom"/>
          </w:tcPr>
          <w:p w14:paraId="0A6BDEB3" w14:textId="77777777" w:rsidR="00F573AF" w:rsidRPr="007C0BA6" w:rsidRDefault="00F573AF" w:rsidP="00F573AF">
            <w:pPr>
              <w:spacing w:line="190" w:lineRule="auto"/>
              <w:jc w:val="right"/>
              <w:rPr>
                <w:b/>
                <w:bCs/>
                <w:sz w:val="12"/>
                <w:szCs w:val="12"/>
              </w:rPr>
            </w:pPr>
            <w:r w:rsidRPr="007C0BA6">
              <w:rPr>
                <w:b/>
                <w:bCs/>
                <w:sz w:val="12"/>
                <w:szCs w:val="12"/>
              </w:rPr>
              <w:t>Hedging Reserves</w:t>
            </w:r>
          </w:p>
        </w:tc>
        <w:tc>
          <w:tcPr>
            <w:tcW w:w="801" w:type="dxa"/>
            <w:tcBorders>
              <w:bottom w:val="single" w:sz="4" w:space="0" w:color="auto"/>
            </w:tcBorders>
            <w:noWrap/>
            <w:tcMar>
              <w:top w:w="20" w:type="dxa"/>
              <w:left w:w="20" w:type="dxa"/>
              <w:bottom w:w="0" w:type="dxa"/>
              <w:right w:w="20" w:type="dxa"/>
            </w:tcMar>
            <w:vAlign w:val="bottom"/>
          </w:tcPr>
          <w:p w14:paraId="674B3D0F" w14:textId="77777777" w:rsidR="00F573AF" w:rsidRPr="007C0BA6" w:rsidRDefault="00F573AF" w:rsidP="00F573AF">
            <w:pPr>
              <w:spacing w:line="190" w:lineRule="auto"/>
              <w:jc w:val="right"/>
              <w:rPr>
                <w:b/>
                <w:bCs/>
                <w:sz w:val="12"/>
                <w:szCs w:val="12"/>
              </w:rPr>
            </w:pPr>
            <w:r w:rsidRPr="007C0BA6">
              <w:rPr>
                <w:b/>
                <w:bCs/>
                <w:sz w:val="12"/>
                <w:szCs w:val="12"/>
              </w:rPr>
              <w:t>Valuation Difference of AHS and Discontinued Operations</w:t>
            </w:r>
          </w:p>
        </w:tc>
        <w:tc>
          <w:tcPr>
            <w:tcW w:w="626" w:type="dxa"/>
            <w:tcBorders>
              <w:bottom w:val="single" w:sz="4" w:space="0" w:color="auto"/>
            </w:tcBorders>
            <w:vAlign w:val="bottom"/>
          </w:tcPr>
          <w:p w14:paraId="4C7265F4" w14:textId="77777777" w:rsidR="00F573AF" w:rsidRPr="0073159B" w:rsidRDefault="00F573AF" w:rsidP="00F573AF">
            <w:pPr>
              <w:spacing w:line="192" w:lineRule="auto"/>
              <w:jc w:val="right"/>
              <w:rPr>
                <w:b/>
                <w:sz w:val="11"/>
                <w:szCs w:val="11"/>
                <w:highlight w:val="yellow"/>
              </w:rPr>
            </w:pPr>
            <w:r w:rsidRPr="005D4129">
              <w:rPr>
                <w:b/>
                <w:sz w:val="11"/>
                <w:szCs w:val="11"/>
              </w:rPr>
              <w:t xml:space="preserve">Total Equity </w:t>
            </w:r>
            <w:r>
              <w:rPr>
                <w:b/>
                <w:sz w:val="11"/>
                <w:szCs w:val="11"/>
              </w:rPr>
              <w:t>Except for</w:t>
            </w:r>
            <w:r w:rsidRPr="005D4129">
              <w:rPr>
                <w:b/>
                <w:sz w:val="11"/>
                <w:szCs w:val="11"/>
              </w:rPr>
              <w:t xml:space="preserve"> Minority Shares</w:t>
            </w:r>
          </w:p>
        </w:tc>
        <w:tc>
          <w:tcPr>
            <w:tcW w:w="728" w:type="dxa"/>
            <w:tcBorders>
              <w:bottom w:val="single" w:sz="4" w:space="0" w:color="auto"/>
            </w:tcBorders>
            <w:shd w:val="clear" w:color="auto" w:fill="auto"/>
            <w:vAlign w:val="bottom"/>
          </w:tcPr>
          <w:p w14:paraId="5BBE24FF" w14:textId="77777777" w:rsidR="00F573AF" w:rsidRPr="0032757D" w:rsidRDefault="00F573AF" w:rsidP="00F573AF">
            <w:pPr>
              <w:spacing w:line="192" w:lineRule="auto"/>
              <w:jc w:val="right"/>
              <w:rPr>
                <w:b/>
                <w:sz w:val="11"/>
                <w:szCs w:val="11"/>
              </w:rPr>
            </w:pPr>
            <w:proofErr w:type="spellStart"/>
            <w:r w:rsidRPr="0032757D">
              <w:rPr>
                <w:b/>
                <w:sz w:val="11"/>
                <w:szCs w:val="11"/>
              </w:rPr>
              <w:t>Minorty</w:t>
            </w:r>
            <w:proofErr w:type="spellEnd"/>
            <w:r w:rsidRPr="0032757D">
              <w:rPr>
                <w:b/>
                <w:sz w:val="11"/>
                <w:szCs w:val="11"/>
              </w:rPr>
              <w:t xml:space="preserve"> shares</w:t>
            </w:r>
          </w:p>
        </w:tc>
        <w:tc>
          <w:tcPr>
            <w:tcW w:w="756" w:type="dxa"/>
            <w:tcBorders>
              <w:bottom w:val="single" w:sz="4" w:space="0" w:color="auto"/>
            </w:tcBorders>
            <w:vAlign w:val="bottom"/>
          </w:tcPr>
          <w:p w14:paraId="289E1EEF" w14:textId="77777777" w:rsidR="00F573AF" w:rsidRPr="001318F3" w:rsidRDefault="00F573AF" w:rsidP="00F573AF">
            <w:pPr>
              <w:spacing w:line="190" w:lineRule="auto"/>
              <w:jc w:val="right"/>
              <w:rPr>
                <w:b/>
                <w:bCs/>
                <w:sz w:val="12"/>
                <w:szCs w:val="12"/>
              </w:rPr>
            </w:pPr>
            <w:r w:rsidRPr="001318F3">
              <w:rPr>
                <w:b/>
                <w:bCs/>
                <w:sz w:val="12"/>
                <w:szCs w:val="12"/>
              </w:rPr>
              <w:t>Total Shareholders’ Equity</w:t>
            </w:r>
          </w:p>
        </w:tc>
      </w:tr>
      <w:tr w:rsidR="00F573AF" w:rsidRPr="007C0BA6" w14:paraId="423B1E20" w14:textId="77777777" w:rsidTr="00F142CB">
        <w:trPr>
          <w:trHeight w:val="54"/>
        </w:trPr>
        <w:tc>
          <w:tcPr>
            <w:tcW w:w="362" w:type="dxa"/>
            <w:noWrap/>
            <w:tcMar>
              <w:top w:w="20" w:type="dxa"/>
              <w:left w:w="20" w:type="dxa"/>
              <w:bottom w:w="0" w:type="dxa"/>
              <w:right w:w="20" w:type="dxa"/>
            </w:tcMar>
            <w:vAlign w:val="bottom"/>
          </w:tcPr>
          <w:p w14:paraId="3398A6C1" w14:textId="77777777" w:rsidR="00F573AF" w:rsidRPr="007C0BA6" w:rsidRDefault="00F573AF" w:rsidP="00F573AF">
            <w:pPr>
              <w:spacing w:line="192" w:lineRule="auto"/>
              <w:ind w:right="-30"/>
              <w:rPr>
                <w:rFonts w:eastAsia="Arial Unicode MS"/>
                <w:b/>
                <w:bCs/>
                <w:sz w:val="12"/>
                <w:szCs w:val="12"/>
              </w:rPr>
            </w:pPr>
          </w:p>
        </w:tc>
        <w:tc>
          <w:tcPr>
            <w:tcW w:w="2332" w:type="dxa"/>
            <w:noWrap/>
            <w:tcMar>
              <w:top w:w="20" w:type="dxa"/>
              <w:left w:w="20" w:type="dxa"/>
              <w:bottom w:w="0" w:type="dxa"/>
              <w:right w:w="20" w:type="dxa"/>
            </w:tcMar>
            <w:vAlign w:val="bottom"/>
          </w:tcPr>
          <w:p w14:paraId="024212FB" w14:textId="77777777" w:rsidR="00F573AF" w:rsidRPr="007C0BA6" w:rsidRDefault="00F573AF" w:rsidP="00F573AF">
            <w:pPr>
              <w:spacing w:line="192" w:lineRule="auto"/>
              <w:jc w:val="center"/>
              <w:rPr>
                <w:rFonts w:eastAsia="Arial Unicode MS"/>
                <w:b/>
                <w:bCs/>
                <w:sz w:val="12"/>
                <w:szCs w:val="12"/>
              </w:rPr>
            </w:pPr>
            <w:r w:rsidRPr="007C0BA6">
              <w:rPr>
                <w:b/>
                <w:bCs/>
                <w:sz w:val="12"/>
                <w:szCs w:val="12"/>
              </w:rPr>
              <w:t> </w:t>
            </w:r>
          </w:p>
        </w:tc>
        <w:tc>
          <w:tcPr>
            <w:tcW w:w="473" w:type="dxa"/>
          </w:tcPr>
          <w:p w14:paraId="3BDEEAFF" w14:textId="77777777" w:rsidR="00F573AF" w:rsidRPr="007C0BA6" w:rsidRDefault="00F573AF" w:rsidP="00F573AF">
            <w:pPr>
              <w:spacing w:line="192" w:lineRule="auto"/>
              <w:jc w:val="right"/>
              <w:rPr>
                <w:rFonts w:eastAsia="Arial Unicode MS"/>
                <w:sz w:val="12"/>
                <w:szCs w:val="12"/>
              </w:rPr>
            </w:pPr>
          </w:p>
        </w:tc>
        <w:tc>
          <w:tcPr>
            <w:tcW w:w="525" w:type="dxa"/>
            <w:noWrap/>
            <w:tcMar>
              <w:top w:w="20" w:type="dxa"/>
              <w:left w:w="20" w:type="dxa"/>
              <w:bottom w:w="0" w:type="dxa"/>
              <w:right w:w="20" w:type="dxa"/>
            </w:tcMar>
            <w:vAlign w:val="bottom"/>
          </w:tcPr>
          <w:p w14:paraId="71E9FADF" w14:textId="77777777" w:rsidR="00F573AF" w:rsidRPr="007C0BA6" w:rsidRDefault="00F573AF" w:rsidP="00F573AF">
            <w:pPr>
              <w:spacing w:line="192" w:lineRule="auto"/>
              <w:jc w:val="right"/>
              <w:rPr>
                <w:rFonts w:eastAsia="Arial Unicode MS"/>
                <w:sz w:val="12"/>
                <w:szCs w:val="12"/>
              </w:rPr>
            </w:pPr>
          </w:p>
        </w:tc>
        <w:tc>
          <w:tcPr>
            <w:tcW w:w="669" w:type="dxa"/>
            <w:vAlign w:val="bottom"/>
          </w:tcPr>
          <w:p w14:paraId="384A43BC" w14:textId="77777777" w:rsidR="00F573AF" w:rsidRPr="007C0BA6" w:rsidRDefault="00F573AF" w:rsidP="00F573AF">
            <w:pPr>
              <w:spacing w:line="192" w:lineRule="auto"/>
              <w:jc w:val="right"/>
              <w:rPr>
                <w:rFonts w:eastAsia="Arial Unicode MS"/>
                <w:sz w:val="12"/>
                <w:szCs w:val="12"/>
              </w:rPr>
            </w:pPr>
          </w:p>
        </w:tc>
        <w:tc>
          <w:tcPr>
            <w:tcW w:w="536" w:type="dxa"/>
            <w:noWrap/>
            <w:tcMar>
              <w:top w:w="20" w:type="dxa"/>
              <w:left w:w="20" w:type="dxa"/>
              <w:bottom w:w="0" w:type="dxa"/>
              <w:right w:w="20" w:type="dxa"/>
            </w:tcMar>
            <w:vAlign w:val="bottom"/>
          </w:tcPr>
          <w:p w14:paraId="14154D8E" w14:textId="77777777" w:rsidR="00F573AF" w:rsidRPr="007C0BA6" w:rsidRDefault="00F573AF" w:rsidP="00F573AF">
            <w:pPr>
              <w:spacing w:line="192" w:lineRule="auto"/>
              <w:jc w:val="right"/>
              <w:rPr>
                <w:rFonts w:eastAsia="Arial Unicode MS"/>
                <w:sz w:val="12"/>
                <w:szCs w:val="12"/>
              </w:rPr>
            </w:pPr>
          </w:p>
        </w:tc>
        <w:tc>
          <w:tcPr>
            <w:tcW w:w="707" w:type="dxa"/>
            <w:noWrap/>
            <w:tcMar>
              <w:top w:w="20" w:type="dxa"/>
              <w:left w:w="20" w:type="dxa"/>
              <w:bottom w:w="0" w:type="dxa"/>
              <w:right w:w="20" w:type="dxa"/>
            </w:tcMar>
            <w:vAlign w:val="bottom"/>
          </w:tcPr>
          <w:p w14:paraId="104CF44A" w14:textId="77777777" w:rsidR="00F573AF" w:rsidRPr="007C0BA6" w:rsidRDefault="00F573AF" w:rsidP="00F573AF">
            <w:pPr>
              <w:spacing w:line="192" w:lineRule="auto"/>
              <w:jc w:val="right"/>
              <w:rPr>
                <w:rFonts w:eastAsia="Arial Unicode MS"/>
                <w:sz w:val="12"/>
                <w:szCs w:val="12"/>
              </w:rPr>
            </w:pPr>
          </w:p>
        </w:tc>
        <w:tc>
          <w:tcPr>
            <w:tcW w:w="602" w:type="dxa"/>
            <w:noWrap/>
            <w:tcMar>
              <w:top w:w="20" w:type="dxa"/>
              <w:left w:w="20" w:type="dxa"/>
              <w:bottom w:w="0" w:type="dxa"/>
              <w:right w:w="20" w:type="dxa"/>
            </w:tcMar>
            <w:vAlign w:val="bottom"/>
          </w:tcPr>
          <w:p w14:paraId="73447B18" w14:textId="77777777" w:rsidR="00F573AF" w:rsidRPr="007C0BA6" w:rsidRDefault="00F573AF" w:rsidP="00F573AF">
            <w:pPr>
              <w:spacing w:line="192" w:lineRule="auto"/>
              <w:jc w:val="right"/>
              <w:rPr>
                <w:rFonts w:eastAsia="Arial Unicode MS"/>
                <w:sz w:val="12"/>
                <w:szCs w:val="12"/>
              </w:rPr>
            </w:pPr>
          </w:p>
        </w:tc>
        <w:tc>
          <w:tcPr>
            <w:tcW w:w="536" w:type="dxa"/>
            <w:noWrap/>
            <w:tcMar>
              <w:top w:w="20" w:type="dxa"/>
              <w:left w:w="20" w:type="dxa"/>
              <w:bottom w:w="0" w:type="dxa"/>
              <w:right w:w="20" w:type="dxa"/>
            </w:tcMar>
            <w:vAlign w:val="bottom"/>
          </w:tcPr>
          <w:p w14:paraId="25333B1C" w14:textId="77777777" w:rsidR="00F573AF" w:rsidRPr="007C0BA6" w:rsidRDefault="00F573AF" w:rsidP="00F573AF">
            <w:pPr>
              <w:spacing w:line="192" w:lineRule="auto"/>
              <w:jc w:val="right"/>
              <w:rPr>
                <w:rFonts w:eastAsia="Arial Unicode MS"/>
                <w:sz w:val="12"/>
                <w:szCs w:val="12"/>
              </w:rPr>
            </w:pPr>
          </w:p>
        </w:tc>
        <w:tc>
          <w:tcPr>
            <w:tcW w:w="821" w:type="dxa"/>
            <w:noWrap/>
            <w:tcMar>
              <w:top w:w="20" w:type="dxa"/>
              <w:left w:w="20" w:type="dxa"/>
              <w:bottom w:w="0" w:type="dxa"/>
              <w:right w:w="20" w:type="dxa"/>
            </w:tcMar>
            <w:vAlign w:val="bottom"/>
          </w:tcPr>
          <w:p w14:paraId="396F7086" w14:textId="77777777" w:rsidR="00F573AF" w:rsidRPr="007C0BA6" w:rsidRDefault="00F573AF" w:rsidP="00F573AF">
            <w:pPr>
              <w:spacing w:line="192" w:lineRule="auto"/>
              <w:jc w:val="right"/>
              <w:rPr>
                <w:rFonts w:eastAsia="Arial Unicode MS"/>
                <w:sz w:val="12"/>
                <w:szCs w:val="12"/>
              </w:rPr>
            </w:pPr>
          </w:p>
        </w:tc>
        <w:tc>
          <w:tcPr>
            <w:tcW w:w="648" w:type="dxa"/>
            <w:noWrap/>
            <w:tcMar>
              <w:top w:w="20" w:type="dxa"/>
              <w:left w:w="20" w:type="dxa"/>
              <w:bottom w:w="0" w:type="dxa"/>
              <w:right w:w="20" w:type="dxa"/>
            </w:tcMar>
            <w:vAlign w:val="bottom"/>
          </w:tcPr>
          <w:p w14:paraId="033C85DF" w14:textId="77777777" w:rsidR="00F573AF" w:rsidRPr="007C0BA6" w:rsidRDefault="00F573AF" w:rsidP="00F573AF">
            <w:pPr>
              <w:spacing w:line="192" w:lineRule="auto"/>
              <w:jc w:val="right"/>
              <w:rPr>
                <w:rFonts w:eastAsia="Arial Unicode MS"/>
                <w:sz w:val="12"/>
                <w:szCs w:val="12"/>
              </w:rPr>
            </w:pPr>
          </w:p>
        </w:tc>
        <w:tc>
          <w:tcPr>
            <w:tcW w:w="617" w:type="dxa"/>
            <w:noWrap/>
            <w:tcMar>
              <w:top w:w="20" w:type="dxa"/>
              <w:left w:w="20" w:type="dxa"/>
              <w:bottom w:w="0" w:type="dxa"/>
              <w:right w:w="20" w:type="dxa"/>
            </w:tcMar>
            <w:vAlign w:val="bottom"/>
          </w:tcPr>
          <w:p w14:paraId="43E87089" w14:textId="77777777" w:rsidR="00F573AF" w:rsidRPr="007C0BA6" w:rsidRDefault="00F573AF" w:rsidP="00F573AF">
            <w:pPr>
              <w:spacing w:line="192" w:lineRule="auto"/>
              <w:jc w:val="right"/>
              <w:rPr>
                <w:rFonts w:eastAsia="Arial Unicode MS"/>
                <w:sz w:val="12"/>
                <w:szCs w:val="12"/>
              </w:rPr>
            </w:pPr>
          </w:p>
        </w:tc>
        <w:tc>
          <w:tcPr>
            <w:tcW w:w="642" w:type="dxa"/>
            <w:noWrap/>
            <w:tcMar>
              <w:top w:w="20" w:type="dxa"/>
              <w:left w:w="20" w:type="dxa"/>
              <w:bottom w:w="0" w:type="dxa"/>
              <w:right w:w="20" w:type="dxa"/>
            </w:tcMar>
            <w:vAlign w:val="bottom"/>
          </w:tcPr>
          <w:p w14:paraId="47321E46" w14:textId="77777777" w:rsidR="00F573AF" w:rsidRPr="007C0BA6" w:rsidRDefault="00F573AF" w:rsidP="00F573AF">
            <w:pPr>
              <w:spacing w:line="192" w:lineRule="auto"/>
              <w:jc w:val="right"/>
              <w:rPr>
                <w:rFonts w:eastAsia="Arial Unicode MS"/>
                <w:sz w:val="12"/>
                <w:szCs w:val="12"/>
              </w:rPr>
            </w:pPr>
          </w:p>
        </w:tc>
        <w:tc>
          <w:tcPr>
            <w:tcW w:w="732" w:type="dxa"/>
          </w:tcPr>
          <w:p w14:paraId="68C0407D" w14:textId="77777777" w:rsidR="00F573AF" w:rsidRPr="007C0BA6" w:rsidRDefault="00F573AF" w:rsidP="00F573AF">
            <w:pPr>
              <w:spacing w:line="192" w:lineRule="auto"/>
              <w:jc w:val="right"/>
              <w:rPr>
                <w:rFonts w:eastAsia="Arial Unicode MS"/>
                <w:sz w:val="12"/>
                <w:szCs w:val="12"/>
              </w:rPr>
            </w:pPr>
          </w:p>
        </w:tc>
        <w:tc>
          <w:tcPr>
            <w:tcW w:w="880" w:type="dxa"/>
          </w:tcPr>
          <w:p w14:paraId="3276EC2E" w14:textId="77777777" w:rsidR="00F573AF" w:rsidRPr="007C0BA6" w:rsidRDefault="00F573AF" w:rsidP="00F573AF">
            <w:pPr>
              <w:spacing w:line="192" w:lineRule="auto"/>
              <w:jc w:val="right"/>
              <w:rPr>
                <w:rFonts w:eastAsia="Arial Unicode MS"/>
                <w:sz w:val="12"/>
                <w:szCs w:val="12"/>
              </w:rPr>
            </w:pPr>
          </w:p>
        </w:tc>
        <w:tc>
          <w:tcPr>
            <w:tcW w:w="722" w:type="dxa"/>
            <w:noWrap/>
            <w:tcMar>
              <w:top w:w="20" w:type="dxa"/>
              <w:left w:w="20" w:type="dxa"/>
              <w:bottom w:w="0" w:type="dxa"/>
              <w:right w:w="20" w:type="dxa"/>
            </w:tcMar>
            <w:vAlign w:val="bottom"/>
          </w:tcPr>
          <w:p w14:paraId="174F625A" w14:textId="77777777" w:rsidR="00F573AF" w:rsidRPr="007C0BA6" w:rsidRDefault="00F573AF" w:rsidP="00F573AF">
            <w:pPr>
              <w:spacing w:line="192" w:lineRule="auto"/>
              <w:jc w:val="right"/>
              <w:rPr>
                <w:rFonts w:eastAsia="Arial Unicode MS"/>
                <w:sz w:val="12"/>
                <w:szCs w:val="12"/>
              </w:rPr>
            </w:pPr>
          </w:p>
        </w:tc>
        <w:tc>
          <w:tcPr>
            <w:tcW w:w="589" w:type="dxa"/>
            <w:noWrap/>
            <w:tcMar>
              <w:top w:w="20" w:type="dxa"/>
              <w:left w:w="20" w:type="dxa"/>
              <w:bottom w:w="0" w:type="dxa"/>
              <w:right w:w="20" w:type="dxa"/>
            </w:tcMar>
            <w:vAlign w:val="bottom"/>
          </w:tcPr>
          <w:p w14:paraId="5B7CCEAA" w14:textId="77777777" w:rsidR="00F573AF" w:rsidRPr="007C0BA6" w:rsidRDefault="00F573AF" w:rsidP="00F573AF">
            <w:pPr>
              <w:spacing w:line="192" w:lineRule="auto"/>
              <w:jc w:val="right"/>
              <w:rPr>
                <w:rFonts w:eastAsia="Arial Unicode MS"/>
                <w:sz w:val="12"/>
                <w:szCs w:val="12"/>
              </w:rPr>
            </w:pPr>
          </w:p>
        </w:tc>
        <w:tc>
          <w:tcPr>
            <w:tcW w:w="801" w:type="dxa"/>
            <w:noWrap/>
            <w:tcMar>
              <w:top w:w="20" w:type="dxa"/>
              <w:left w:w="20" w:type="dxa"/>
              <w:bottom w:w="0" w:type="dxa"/>
              <w:right w:w="20" w:type="dxa"/>
            </w:tcMar>
            <w:vAlign w:val="bottom"/>
          </w:tcPr>
          <w:p w14:paraId="5E1143E5" w14:textId="77777777" w:rsidR="00F573AF" w:rsidRPr="007C0BA6" w:rsidRDefault="00F573AF" w:rsidP="00F573AF">
            <w:pPr>
              <w:spacing w:line="192" w:lineRule="auto"/>
              <w:jc w:val="right"/>
              <w:rPr>
                <w:rFonts w:eastAsia="Arial Unicode MS"/>
                <w:sz w:val="12"/>
                <w:szCs w:val="12"/>
              </w:rPr>
            </w:pPr>
          </w:p>
        </w:tc>
        <w:tc>
          <w:tcPr>
            <w:tcW w:w="626" w:type="dxa"/>
          </w:tcPr>
          <w:p w14:paraId="576696DC" w14:textId="77777777" w:rsidR="00F573AF" w:rsidRPr="007C0BA6" w:rsidRDefault="00F573AF" w:rsidP="00F573AF">
            <w:pPr>
              <w:spacing w:line="192" w:lineRule="auto"/>
              <w:ind w:right="92"/>
              <w:jc w:val="right"/>
              <w:rPr>
                <w:rFonts w:eastAsia="Arial Unicode MS"/>
                <w:sz w:val="12"/>
                <w:szCs w:val="12"/>
              </w:rPr>
            </w:pPr>
          </w:p>
        </w:tc>
        <w:tc>
          <w:tcPr>
            <w:tcW w:w="728" w:type="dxa"/>
          </w:tcPr>
          <w:p w14:paraId="15B65AA1" w14:textId="77777777" w:rsidR="00F573AF" w:rsidRPr="007C0BA6" w:rsidRDefault="00F573AF" w:rsidP="00F573AF">
            <w:pPr>
              <w:spacing w:line="192" w:lineRule="auto"/>
              <w:ind w:right="92"/>
              <w:jc w:val="right"/>
              <w:rPr>
                <w:rFonts w:eastAsia="Arial Unicode MS"/>
                <w:sz w:val="12"/>
                <w:szCs w:val="12"/>
              </w:rPr>
            </w:pPr>
          </w:p>
        </w:tc>
        <w:tc>
          <w:tcPr>
            <w:tcW w:w="756" w:type="dxa"/>
          </w:tcPr>
          <w:p w14:paraId="0FBF8AC3" w14:textId="77777777" w:rsidR="00F573AF" w:rsidRPr="007C0BA6" w:rsidRDefault="00F573AF" w:rsidP="00F573AF">
            <w:pPr>
              <w:spacing w:line="192" w:lineRule="auto"/>
              <w:ind w:right="92"/>
              <w:jc w:val="right"/>
              <w:rPr>
                <w:rFonts w:eastAsia="Arial Unicode MS"/>
                <w:sz w:val="12"/>
                <w:szCs w:val="12"/>
              </w:rPr>
            </w:pPr>
          </w:p>
        </w:tc>
      </w:tr>
      <w:tr w:rsidR="00F573AF" w:rsidRPr="007C0BA6" w14:paraId="12C7B63A" w14:textId="77777777" w:rsidTr="00F142CB">
        <w:trPr>
          <w:trHeight w:val="67"/>
        </w:trPr>
        <w:tc>
          <w:tcPr>
            <w:tcW w:w="362" w:type="dxa"/>
            <w:noWrap/>
            <w:tcMar>
              <w:top w:w="20" w:type="dxa"/>
              <w:left w:w="20" w:type="dxa"/>
              <w:bottom w:w="0" w:type="dxa"/>
              <w:right w:w="20" w:type="dxa"/>
            </w:tcMar>
            <w:vAlign w:val="bottom"/>
          </w:tcPr>
          <w:p w14:paraId="70FF8FCF" w14:textId="77777777" w:rsidR="00F573AF" w:rsidRPr="007C0BA6" w:rsidRDefault="00F573AF" w:rsidP="00F573AF">
            <w:pPr>
              <w:spacing w:line="192" w:lineRule="auto"/>
              <w:ind w:right="-30"/>
              <w:rPr>
                <w:rFonts w:eastAsia="Arial Unicode MS"/>
                <w:b/>
                <w:sz w:val="12"/>
                <w:szCs w:val="12"/>
              </w:rPr>
            </w:pPr>
            <w:bookmarkStart w:id="1" w:name="_Hlk192050817"/>
            <w:r w:rsidRPr="007C0BA6">
              <w:rPr>
                <w:b/>
                <w:sz w:val="12"/>
                <w:szCs w:val="12"/>
              </w:rPr>
              <w:t>I.</w:t>
            </w:r>
          </w:p>
        </w:tc>
        <w:tc>
          <w:tcPr>
            <w:tcW w:w="2332" w:type="dxa"/>
            <w:noWrap/>
            <w:tcMar>
              <w:top w:w="20" w:type="dxa"/>
              <w:left w:w="20" w:type="dxa"/>
              <w:bottom w:w="0" w:type="dxa"/>
              <w:right w:w="20" w:type="dxa"/>
            </w:tcMar>
            <w:vAlign w:val="bottom"/>
          </w:tcPr>
          <w:p w14:paraId="173CDE67" w14:textId="77777777" w:rsidR="00F573AF" w:rsidRPr="007C0BA6" w:rsidRDefault="00F573AF" w:rsidP="00F573AF">
            <w:pPr>
              <w:spacing w:line="192" w:lineRule="auto"/>
              <w:ind w:left="160" w:hanging="160"/>
              <w:jc w:val="both"/>
              <w:rPr>
                <w:rFonts w:eastAsia="Arial Unicode MS"/>
                <w:b/>
                <w:sz w:val="12"/>
                <w:szCs w:val="12"/>
              </w:rPr>
            </w:pPr>
            <w:r w:rsidRPr="007C0BA6">
              <w:rPr>
                <w:rFonts w:eastAsia="Arial Unicode MS"/>
                <w:b/>
                <w:sz w:val="12"/>
                <w:szCs w:val="12"/>
              </w:rPr>
              <w:t>Prior Period End Balance</w:t>
            </w:r>
          </w:p>
        </w:tc>
        <w:tc>
          <w:tcPr>
            <w:tcW w:w="473" w:type="dxa"/>
          </w:tcPr>
          <w:p w14:paraId="152CE5F8" w14:textId="77777777" w:rsidR="00F573AF" w:rsidRPr="007C0BA6" w:rsidRDefault="00F573AF" w:rsidP="00F573AF">
            <w:pPr>
              <w:autoSpaceDE w:val="0"/>
              <w:autoSpaceDN w:val="0"/>
              <w:adjustRightInd w:val="0"/>
              <w:jc w:val="center"/>
              <w:rPr>
                <w:sz w:val="12"/>
                <w:szCs w:val="12"/>
              </w:rPr>
            </w:pPr>
          </w:p>
        </w:tc>
        <w:tc>
          <w:tcPr>
            <w:tcW w:w="525" w:type="dxa"/>
            <w:noWrap/>
            <w:tcMar>
              <w:top w:w="20" w:type="dxa"/>
              <w:left w:w="20" w:type="dxa"/>
              <w:bottom w:w="0" w:type="dxa"/>
              <w:right w:w="20" w:type="dxa"/>
            </w:tcMar>
          </w:tcPr>
          <w:p w14:paraId="767F18AF" w14:textId="77777777" w:rsidR="00F573AF" w:rsidRPr="00A36623" w:rsidRDefault="00F573AF" w:rsidP="00F573AF">
            <w:pPr>
              <w:ind w:left="-1554" w:right="22"/>
              <w:jc w:val="right"/>
              <w:rPr>
                <w:rFonts w:eastAsia="Arial Unicode MS"/>
                <w:b/>
                <w:sz w:val="11"/>
                <w:szCs w:val="11"/>
              </w:rPr>
            </w:pPr>
          </w:p>
        </w:tc>
        <w:tc>
          <w:tcPr>
            <w:tcW w:w="669" w:type="dxa"/>
          </w:tcPr>
          <w:p w14:paraId="04E2D741" w14:textId="77777777" w:rsidR="00F573AF" w:rsidRPr="00A36623" w:rsidRDefault="00F573AF" w:rsidP="00F573AF">
            <w:pPr>
              <w:ind w:left="-1554" w:right="22"/>
              <w:jc w:val="right"/>
              <w:rPr>
                <w:rFonts w:eastAsia="Arial Unicode MS"/>
                <w:b/>
                <w:sz w:val="11"/>
                <w:szCs w:val="11"/>
              </w:rPr>
            </w:pPr>
          </w:p>
        </w:tc>
        <w:tc>
          <w:tcPr>
            <w:tcW w:w="536" w:type="dxa"/>
            <w:noWrap/>
            <w:tcMar>
              <w:top w:w="20" w:type="dxa"/>
              <w:left w:w="20" w:type="dxa"/>
              <w:bottom w:w="0" w:type="dxa"/>
              <w:right w:w="20" w:type="dxa"/>
            </w:tcMar>
          </w:tcPr>
          <w:p w14:paraId="0D689ED3" w14:textId="77777777" w:rsidR="00F573AF" w:rsidRPr="00A36623" w:rsidRDefault="00F573AF" w:rsidP="00F573AF">
            <w:pPr>
              <w:ind w:left="-1554" w:right="22"/>
              <w:jc w:val="right"/>
              <w:rPr>
                <w:rFonts w:eastAsia="Arial Unicode MS"/>
                <w:b/>
                <w:sz w:val="11"/>
                <w:szCs w:val="11"/>
              </w:rPr>
            </w:pPr>
          </w:p>
        </w:tc>
        <w:tc>
          <w:tcPr>
            <w:tcW w:w="707" w:type="dxa"/>
            <w:noWrap/>
            <w:tcMar>
              <w:top w:w="20" w:type="dxa"/>
              <w:left w:w="20" w:type="dxa"/>
              <w:bottom w:w="0" w:type="dxa"/>
              <w:right w:w="20" w:type="dxa"/>
            </w:tcMar>
          </w:tcPr>
          <w:p w14:paraId="01A1BFB3" w14:textId="77777777" w:rsidR="00F573AF" w:rsidRPr="00A36623" w:rsidRDefault="00F573AF" w:rsidP="00F573AF">
            <w:pPr>
              <w:ind w:left="-1554" w:right="22"/>
              <w:jc w:val="right"/>
              <w:rPr>
                <w:rFonts w:eastAsia="Arial Unicode MS"/>
                <w:b/>
                <w:sz w:val="11"/>
                <w:szCs w:val="11"/>
              </w:rPr>
            </w:pPr>
          </w:p>
        </w:tc>
        <w:tc>
          <w:tcPr>
            <w:tcW w:w="602" w:type="dxa"/>
            <w:noWrap/>
            <w:tcMar>
              <w:top w:w="20" w:type="dxa"/>
              <w:left w:w="20" w:type="dxa"/>
              <w:bottom w:w="0" w:type="dxa"/>
              <w:right w:w="20" w:type="dxa"/>
            </w:tcMar>
          </w:tcPr>
          <w:p w14:paraId="3543EE99" w14:textId="77777777" w:rsidR="00F573AF" w:rsidRPr="00A36623" w:rsidRDefault="00F573AF" w:rsidP="00F573AF">
            <w:pPr>
              <w:ind w:left="-1554" w:right="22"/>
              <w:jc w:val="right"/>
              <w:rPr>
                <w:rFonts w:eastAsia="Arial Unicode MS"/>
                <w:b/>
                <w:sz w:val="11"/>
                <w:szCs w:val="11"/>
              </w:rPr>
            </w:pPr>
          </w:p>
        </w:tc>
        <w:tc>
          <w:tcPr>
            <w:tcW w:w="536" w:type="dxa"/>
            <w:noWrap/>
            <w:tcMar>
              <w:top w:w="20" w:type="dxa"/>
              <w:left w:w="20" w:type="dxa"/>
              <w:bottom w:w="0" w:type="dxa"/>
              <w:right w:w="20" w:type="dxa"/>
            </w:tcMar>
          </w:tcPr>
          <w:p w14:paraId="0A2542BF" w14:textId="77777777" w:rsidR="00F573AF" w:rsidRPr="00A36623" w:rsidRDefault="00F573AF" w:rsidP="00F573AF">
            <w:pPr>
              <w:ind w:left="-1554" w:right="22"/>
              <w:jc w:val="right"/>
              <w:rPr>
                <w:rFonts w:eastAsia="Arial Unicode MS"/>
                <w:b/>
                <w:sz w:val="11"/>
                <w:szCs w:val="11"/>
              </w:rPr>
            </w:pPr>
          </w:p>
        </w:tc>
        <w:tc>
          <w:tcPr>
            <w:tcW w:w="821" w:type="dxa"/>
            <w:noWrap/>
            <w:tcMar>
              <w:top w:w="20" w:type="dxa"/>
              <w:left w:w="20" w:type="dxa"/>
              <w:bottom w:w="0" w:type="dxa"/>
              <w:right w:w="20" w:type="dxa"/>
            </w:tcMar>
          </w:tcPr>
          <w:p w14:paraId="527E4C3A" w14:textId="77777777" w:rsidR="00F573AF" w:rsidRPr="00A36623" w:rsidRDefault="00F573AF" w:rsidP="00F573AF">
            <w:pPr>
              <w:ind w:left="-1554" w:right="22"/>
              <w:jc w:val="right"/>
              <w:rPr>
                <w:rFonts w:eastAsia="Arial Unicode MS"/>
                <w:b/>
                <w:sz w:val="11"/>
                <w:szCs w:val="11"/>
              </w:rPr>
            </w:pPr>
          </w:p>
        </w:tc>
        <w:tc>
          <w:tcPr>
            <w:tcW w:w="648" w:type="dxa"/>
            <w:noWrap/>
            <w:tcMar>
              <w:top w:w="20" w:type="dxa"/>
              <w:left w:w="20" w:type="dxa"/>
              <w:bottom w:w="0" w:type="dxa"/>
              <w:right w:w="20" w:type="dxa"/>
            </w:tcMar>
          </w:tcPr>
          <w:p w14:paraId="523F1D0E" w14:textId="77777777" w:rsidR="00F573AF" w:rsidRPr="00A36623" w:rsidRDefault="00F573AF" w:rsidP="00F573AF">
            <w:pPr>
              <w:ind w:left="-1554" w:right="22"/>
              <w:jc w:val="right"/>
              <w:rPr>
                <w:rFonts w:eastAsia="Arial Unicode MS"/>
                <w:b/>
                <w:sz w:val="11"/>
                <w:szCs w:val="11"/>
              </w:rPr>
            </w:pPr>
          </w:p>
        </w:tc>
        <w:tc>
          <w:tcPr>
            <w:tcW w:w="617" w:type="dxa"/>
            <w:noWrap/>
            <w:tcMar>
              <w:top w:w="20" w:type="dxa"/>
              <w:left w:w="20" w:type="dxa"/>
              <w:bottom w:w="0" w:type="dxa"/>
              <w:right w:w="20" w:type="dxa"/>
            </w:tcMar>
          </w:tcPr>
          <w:p w14:paraId="5A4A8B49" w14:textId="77777777" w:rsidR="00F573AF" w:rsidRPr="00A36623" w:rsidRDefault="00F573AF" w:rsidP="00F573AF">
            <w:pPr>
              <w:ind w:left="-1554" w:right="22"/>
              <w:jc w:val="right"/>
              <w:rPr>
                <w:rFonts w:eastAsia="Arial Unicode MS"/>
                <w:b/>
                <w:sz w:val="11"/>
                <w:szCs w:val="11"/>
              </w:rPr>
            </w:pPr>
          </w:p>
        </w:tc>
        <w:tc>
          <w:tcPr>
            <w:tcW w:w="642" w:type="dxa"/>
            <w:noWrap/>
            <w:tcMar>
              <w:top w:w="20" w:type="dxa"/>
              <w:left w:w="20" w:type="dxa"/>
              <w:bottom w:w="0" w:type="dxa"/>
              <w:right w:w="20" w:type="dxa"/>
            </w:tcMar>
          </w:tcPr>
          <w:p w14:paraId="78CE4A41" w14:textId="77777777" w:rsidR="00F573AF" w:rsidRPr="00A36623" w:rsidRDefault="00F573AF" w:rsidP="00F573AF">
            <w:pPr>
              <w:ind w:left="-1554" w:right="22"/>
              <w:jc w:val="right"/>
              <w:rPr>
                <w:rFonts w:eastAsia="Arial Unicode MS"/>
                <w:b/>
                <w:sz w:val="11"/>
                <w:szCs w:val="11"/>
              </w:rPr>
            </w:pPr>
          </w:p>
        </w:tc>
        <w:tc>
          <w:tcPr>
            <w:tcW w:w="732" w:type="dxa"/>
          </w:tcPr>
          <w:p w14:paraId="1D039E8B" w14:textId="77777777" w:rsidR="00F573AF" w:rsidRPr="00A36623" w:rsidRDefault="00F573AF" w:rsidP="00F573AF">
            <w:pPr>
              <w:ind w:left="-1554" w:right="22"/>
              <w:jc w:val="right"/>
              <w:rPr>
                <w:rFonts w:eastAsia="Arial Unicode MS"/>
                <w:b/>
                <w:sz w:val="11"/>
                <w:szCs w:val="11"/>
              </w:rPr>
            </w:pPr>
          </w:p>
        </w:tc>
        <w:tc>
          <w:tcPr>
            <w:tcW w:w="880" w:type="dxa"/>
          </w:tcPr>
          <w:p w14:paraId="2EE608F3" w14:textId="77777777" w:rsidR="00F573AF" w:rsidRPr="00A36623" w:rsidRDefault="00F573AF" w:rsidP="00F573AF">
            <w:pPr>
              <w:ind w:left="-1554" w:right="22"/>
              <w:jc w:val="right"/>
              <w:rPr>
                <w:rFonts w:eastAsia="Arial Unicode MS"/>
                <w:b/>
                <w:sz w:val="11"/>
                <w:szCs w:val="11"/>
              </w:rPr>
            </w:pPr>
          </w:p>
        </w:tc>
        <w:tc>
          <w:tcPr>
            <w:tcW w:w="722" w:type="dxa"/>
            <w:noWrap/>
            <w:tcMar>
              <w:top w:w="20" w:type="dxa"/>
              <w:left w:w="20" w:type="dxa"/>
              <w:bottom w:w="0" w:type="dxa"/>
              <w:right w:w="20" w:type="dxa"/>
            </w:tcMar>
          </w:tcPr>
          <w:p w14:paraId="49F20C92" w14:textId="77777777" w:rsidR="00F573AF" w:rsidRPr="00A36623" w:rsidRDefault="00F573AF" w:rsidP="00F573AF">
            <w:pPr>
              <w:ind w:left="-1554" w:right="22"/>
              <w:jc w:val="right"/>
              <w:rPr>
                <w:rFonts w:eastAsia="Arial Unicode MS"/>
                <w:b/>
                <w:sz w:val="11"/>
                <w:szCs w:val="11"/>
              </w:rPr>
            </w:pPr>
          </w:p>
        </w:tc>
        <w:tc>
          <w:tcPr>
            <w:tcW w:w="589" w:type="dxa"/>
            <w:noWrap/>
            <w:tcMar>
              <w:top w:w="20" w:type="dxa"/>
              <w:left w:w="20" w:type="dxa"/>
              <w:bottom w:w="0" w:type="dxa"/>
              <w:right w:w="20" w:type="dxa"/>
            </w:tcMar>
          </w:tcPr>
          <w:p w14:paraId="65D92304" w14:textId="77777777" w:rsidR="00F573AF" w:rsidRPr="00A36623" w:rsidRDefault="00F573AF" w:rsidP="00F573AF">
            <w:pPr>
              <w:ind w:left="-1554" w:right="22"/>
              <w:jc w:val="right"/>
              <w:rPr>
                <w:rFonts w:eastAsia="Arial Unicode MS"/>
                <w:b/>
                <w:sz w:val="11"/>
                <w:szCs w:val="11"/>
              </w:rPr>
            </w:pPr>
          </w:p>
        </w:tc>
        <w:tc>
          <w:tcPr>
            <w:tcW w:w="801" w:type="dxa"/>
            <w:noWrap/>
            <w:tcMar>
              <w:top w:w="20" w:type="dxa"/>
              <w:left w:w="20" w:type="dxa"/>
              <w:bottom w:w="0" w:type="dxa"/>
              <w:right w:w="20" w:type="dxa"/>
            </w:tcMar>
          </w:tcPr>
          <w:p w14:paraId="56213275" w14:textId="77777777" w:rsidR="00F573AF" w:rsidRPr="00A36623" w:rsidRDefault="00F573AF" w:rsidP="00F573AF">
            <w:pPr>
              <w:ind w:left="-1554" w:right="22"/>
              <w:jc w:val="right"/>
              <w:rPr>
                <w:rFonts w:eastAsia="Arial Unicode MS"/>
                <w:b/>
                <w:sz w:val="11"/>
                <w:szCs w:val="11"/>
              </w:rPr>
            </w:pPr>
          </w:p>
        </w:tc>
        <w:tc>
          <w:tcPr>
            <w:tcW w:w="626" w:type="dxa"/>
          </w:tcPr>
          <w:p w14:paraId="5299A2D2" w14:textId="77777777" w:rsidR="00F573AF" w:rsidRPr="00A36623" w:rsidRDefault="00F573AF" w:rsidP="00F573AF">
            <w:pPr>
              <w:ind w:left="-1554" w:right="22"/>
              <w:jc w:val="right"/>
              <w:rPr>
                <w:rFonts w:eastAsia="Arial Unicode MS"/>
                <w:b/>
                <w:sz w:val="11"/>
                <w:szCs w:val="11"/>
              </w:rPr>
            </w:pPr>
          </w:p>
        </w:tc>
        <w:tc>
          <w:tcPr>
            <w:tcW w:w="728" w:type="dxa"/>
          </w:tcPr>
          <w:p w14:paraId="6B0836D7" w14:textId="77777777" w:rsidR="00F573AF" w:rsidRPr="00A36623" w:rsidRDefault="00F573AF" w:rsidP="00F573AF">
            <w:pPr>
              <w:ind w:left="-1554" w:right="22"/>
              <w:jc w:val="right"/>
              <w:rPr>
                <w:rFonts w:eastAsia="Arial Unicode MS"/>
                <w:b/>
                <w:sz w:val="11"/>
                <w:szCs w:val="11"/>
              </w:rPr>
            </w:pPr>
          </w:p>
        </w:tc>
        <w:tc>
          <w:tcPr>
            <w:tcW w:w="756" w:type="dxa"/>
          </w:tcPr>
          <w:p w14:paraId="352CCD2B" w14:textId="77777777" w:rsidR="00F573AF" w:rsidRPr="00A36623" w:rsidRDefault="00F573AF" w:rsidP="00F573AF">
            <w:pPr>
              <w:ind w:left="-1554" w:right="22"/>
              <w:jc w:val="right"/>
              <w:rPr>
                <w:rFonts w:eastAsia="Arial Unicode MS"/>
                <w:b/>
                <w:sz w:val="11"/>
                <w:szCs w:val="11"/>
              </w:rPr>
            </w:pPr>
          </w:p>
        </w:tc>
      </w:tr>
      <w:tr w:rsidR="00980409" w:rsidRPr="007C0BA6" w14:paraId="6283068A" w14:textId="77777777" w:rsidTr="00F142CB">
        <w:trPr>
          <w:trHeight w:val="141"/>
        </w:trPr>
        <w:tc>
          <w:tcPr>
            <w:tcW w:w="362" w:type="dxa"/>
            <w:noWrap/>
            <w:tcMar>
              <w:top w:w="20" w:type="dxa"/>
              <w:left w:w="20" w:type="dxa"/>
              <w:bottom w:w="0" w:type="dxa"/>
              <w:right w:w="20" w:type="dxa"/>
            </w:tcMar>
            <w:vAlign w:val="bottom"/>
          </w:tcPr>
          <w:p w14:paraId="12A68D1D" w14:textId="77777777" w:rsidR="00980409" w:rsidRPr="007C0BA6" w:rsidRDefault="00980409" w:rsidP="00980409">
            <w:pPr>
              <w:spacing w:line="192" w:lineRule="auto"/>
              <w:ind w:right="-30"/>
              <w:rPr>
                <w:rFonts w:eastAsia="Arial Unicode MS"/>
                <w:b/>
                <w:bCs/>
                <w:sz w:val="12"/>
                <w:szCs w:val="12"/>
              </w:rPr>
            </w:pPr>
          </w:p>
        </w:tc>
        <w:tc>
          <w:tcPr>
            <w:tcW w:w="2332" w:type="dxa"/>
            <w:noWrap/>
            <w:tcMar>
              <w:top w:w="20" w:type="dxa"/>
              <w:left w:w="20" w:type="dxa"/>
              <w:bottom w:w="0" w:type="dxa"/>
              <w:right w:w="20" w:type="dxa"/>
            </w:tcMar>
            <w:vAlign w:val="bottom"/>
          </w:tcPr>
          <w:p w14:paraId="1A80544D" w14:textId="77777777" w:rsidR="00980409" w:rsidRPr="007C0BA6" w:rsidRDefault="00980409" w:rsidP="00980409">
            <w:pPr>
              <w:spacing w:line="192" w:lineRule="auto"/>
              <w:jc w:val="both"/>
              <w:rPr>
                <w:rFonts w:eastAsia="Arial Unicode MS"/>
                <w:sz w:val="12"/>
                <w:szCs w:val="12"/>
              </w:rPr>
            </w:pPr>
          </w:p>
          <w:p w14:paraId="482EBB61" w14:textId="77777777" w:rsidR="00980409" w:rsidRPr="007C0BA6" w:rsidRDefault="00980409" w:rsidP="00980409">
            <w:pPr>
              <w:spacing w:line="192" w:lineRule="auto"/>
              <w:jc w:val="both"/>
              <w:rPr>
                <w:rFonts w:eastAsia="Arial Unicode MS"/>
                <w:b/>
                <w:sz w:val="12"/>
                <w:szCs w:val="12"/>
              </w:rPr>
            </w:pPr>
            <w:r w:rsidRPr="007C0BA6">
              <w:rPr>
                <w:rFonts w:eastAsia="Arial Unicode MS"/>
                <w:b/>
                <w:sz w:val="12"/>
                <w:szCs w:val="12"/>
              </w:rPr>
              <w:t>Changes in the Period</w:t>
            </w:r>
          </w:p>
        </w:tc>
        <w:tc>
          <w:tcPr>
            <w:tcW w:w="473" w:type="dxa"/>
          </w:tcPr>
          <w:p w14:paraId="43D754ED"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36E1D606" w14:textId="656667F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420</w:t>
            </w:r>
            <w:r>
              <w:rPr>
                <w:rFonts w:eastAsia="Arial Unicode MS"/>
                <w:b/>
                <w:bCs/>
                <w:sz w:val="11"/>
                <w:szCs w:val="11"/>
              </w:rPr>
              <w:t>,</w:t>
            </w:r>
            <w:r w:rsidRPr="00A36623">
              <w:rPr>
                <w:rFonts w:eastAsia="Arial Unicode MS"/>
                <w:b/>
                <w:bCs/>
                <w:sz w:val="11"/>
                <w:szCs w:val="11"/>
              </w:rPr>
              <w:t xml:space="preserve">000 </w:t>
            </w:r>
          </w:p>
        </w:tc>
        <w:tc>
          <w:tcPr>
            <w:tcW w:w="669" w:type="dxa"/>
            <w:vAlign w:val="bottom"/>
          </w:tcPr>
          <w:p w14:paraId="10DC7A6D" w14:textId="064042B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 </w:t>
            </w:r>
          </w:p>
        </w:tc>
        <w:tc>
          <w:tcPr>
            <w:tcW w:w="536" w:type="dxa"/>
            <w:noWrap/>
            <w:tcMar>
              <w:top w:w="20" w:type="dxa"/>
              <w:left w:w="20" w:type="dxa"/>
              <w:bottom w:w="0" w:type="dxa"/>
              <w:right w:w="20" w:type="dxa"/>
            </w:tcMar>
            <w:vAlign w:val="bottom"/>
          </w:tcPr>
          <w:p w14:paraId="75515DB1" w14:textId="2A74E913"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98 </w:t>
            </w:r>
          </w:p>
        </w:tc>
        <w:tc>
          <w:tcPr>
            <w:tcW w:w="707" w:type="dxa"/>
            <w:noWrap/>
            <w:tcMar>
              <w:top w:w="20" w:type="dxa"/>
              <w:left w:w="20" w:type="dxa"/>
              <w:bottom w:w="0" w:type="dxa"/>
              <w:right w:w="20" w:type="dxa"/>
            </w:tcMar>
            <w:vAlign w:val="bottom"/>
          </w:tcPr>
          <w:p w14:paraId="4D84550C" w14:textId="3D41D1ED"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 </w:t>
            </w:r>
          </w:p>
        </w:tc>
        <w:tc>
          <w:tcPr>
            <w:tcW w:w="602" w:type="dxa"/>
            <w:noWrap/>
            <w:tcMar>
              <w:top w:w="20" w:type="dxa"/>
              <w:left w:w="20" w:type="dxa"/>
              <w:bottom w:w="0" w:type="dxa"/>
              <w:right w:w="20" w:type="dxa"/>
            </w:tcMar>
            <w:vAlign w:val="bottom"/>
          </w:tcPr>
          <w:p w14:paraId="68BF900A" w14:textId="46F83CF7"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15</w:t>
            </w:r>
            <w:r>
              <w:rPr>
                <w:rFonts w:eastAsia="Arial Unicode MS"/>
                <w:b/>
                <w:bCs/>
                <w:sz w:val="11"/>
                <w:szCs w:val="11"/>
              </w:rPr>
              <w:t>,</w:t>
            </w:r>
            <w:r w:rsidRPr="00A36623">
              <w:rPr>
                <w:rFonts w:eastAsia="Arial Unicode MS"/>
                <w:b/>
                <w:bCs/>
                <w:sz w:val="11"/>
                <w:szCs w:val="11"/>
              </w:rPr>
              <w:t xml:space="preserve">165 </w:t>
            </w:r>
          </w:p>
        </w:tc>
        <w:tc>
          <w:tcPr>
            <w:tcW w:w="536" w:type="dxa"/>
            <w:noWrap/>
            <w:tcMar>
              <w:top w:w="20" w:type="dxa"/>
              <w:left w:w="20" w:type="dxa"/>
              <w:bottom w:w="0" w:type="dxa"/>
              <w:right w:w="20" w:type="dxa"/>
            </w:tcMar>
            <w:vAlign w:val="bottom"/>
          </w:tcPr>
          <w:p w14:paraId="1805B1F1" w14:textId="246955E7"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 </w:t>
            </w:r>
          </w:p>
        </w:tc>
        <w:tc>
          <w:tcPr>
            <w:tcW w:w="821" w:type="dxa"/>
            <w:noWrap/>
            <w:tcMar>
              <w:top w:w="20" w:type="dxa"/>
              <w:left w:w="20" w:type="dxa"/>
              <w:bottom w:w="0" w:type="dxa"/>
              <w:right w:w="20" w:type="dxa"/>
            </w:tcMar>
            <w:vAlign w:val="bottom"/>
          </w:tcPr>
          <w:p w14:paraId="2D882A04" w14:textId="498FFE4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119</w:t>
            </w:r>
            <w:r>
              <w:rPr>
                <w:rFonts w:eastAsia="Arial Unicode MS"/>
                <w:b/>
                <w:bCs/>
                <w:sz w:val="11"/>
                <w:szCs w:val="11"/>
              </w:rPr>
              <w:t>,</w:t>
            </w:r>
            <w:r w:rsidRPr="00A36623">
              <w:rPr>
                <w:rFonts w:eastAsia="Arial Unicode MS"/>
                <w:b/>
                <w:bCs/>
                <w:sz w:val="11"/>
                <w:szCs w:val="11"/>
              </w:rPr>
              <w:t xml:space="preserve">148 </w:t>
            </w:r>
          </w:p>
        </w:tc>
        <w:tc>
          <w:tcPr>
            <w:tcW w:w="648" w:type="dxa"/>
            <w:noWrap/>
            <w:tcMar>
              <w:top w:w="20" w:type="dxa"/>
              <w:left w:w="20" w:type="dxa"/>
              <w:bottom w:w="0" w:type="dxa"/>
              <w:right w:w="20" w:type="dxa"/>
            </w:tcMar>
            <w:vAlign w:val="bottom"/>
          </w:tcPr>
          <w:p w14:paraId="5BC0AF85" w14:textId="1514919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 </w:t>
            </w:r>
          </w:p>
        </w:tc>
        <w:tc>
          <w:tcPr>
            <w:tcW w:w="617" w:type="dxa"/>
            <w:noWrap/>
            <w:tcMar>
              <w:top w:w="20" w:type="dxa"/>
              <w:left w:w="20" w:type="dxa"/>
              <w:bottom w:w="0" w:type="dxa"/>
              <w:right w:w="20" w:type="dxa"/>
            </w:tcMar>
            <w:vAlign w:val="bottom"/>
          </w:tcPr>
          <w:p w14:paraId="0A1A79E1" w14:textId="359939B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71</w:t>
            </w:r>
            <w:r>
              <w:rPr>
                <w:rFonts w:eastAsia="Arial Unicode MS"/>
                <w:b/>
                <w:bCs/>
                <w:sz w:val="11"/>
                <w:szCs w:val="11"/>
              </w:rPr>
              <w:t>,</w:t>
            </w:r>
            <w:r w:rsidRPr="00A36623">
              <w:rPr>
                <w:rFonts w:eastAsia="Arial Unicode MS"/>
                <w:b/>
                <w:bCs/>
                <w:sz w:val="11"/>
                <w:szCs w:val="11"/>
              </w:rPr>
              <w:t xml:space="preserve">267 </w:t>
            </w:r>
          </w:p>
        </w:tc>
        <w:tc>
          <w:tcPr>
            <w:tcW w:w="642" w:type="dxa"/>
            <w:noWrap/>
            <w:tcMar>
              <w:top w:w="20" w:type="dxa"/>
              <w:left w:w="20" w:type="dxa"/>
              <w:bottom w:w="0" w:type="dxa"/>
              <w:right w:w="20" w:type="dxa"/>
            </w:tcMar>
            <w:vAlign w:val="bottom"/>
          </w:tcPr>
          <w:p w14:paraId="34C26A2E" w14:textId="2962856F"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10</w:t>
            </w:r>
            <w:r>
              <w:rPr>
                <w:rFonts w:eastAsia="Arial Unicode MS"/>
                <w:b/>
                <w:bCs/>
                <w:sz w:val="11"/>
                <w:szCs w:val="11"/>
              </w:rPr>
              <w:t>,</w:t>
            </w:r>
            <w:r w:rsidRPr="00A36623">
              <w:rPr>
                <w:rFonts w:eastAsia="Arial Unicode MS"/>
                <w:b/>
                <w:bCs/>
                <w:sz w:val="11"/>
                <w:szCs w:val="11"/>
              </w:rPr>
              <w:t xml:space="preserve">846 </w:t>
            </w:r>
          </w:p>
        </w:tc>
        <w:tc>
          <w:tcPr>
            <w:tcW w:w="732" w:type="dxa"/>
            <w:vAlign w:val="bottom"/>
          </w:tcPr>
          <w:p w14:paraId="21703E74" w14:textId="4A9457BD"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(40</w:t>
            </w:r>
            <w:r>
              <w:rPr>
                <w:rFonts w:eastAsia="Arial Unicode MS"/>
                <w:b/>
                <w:bCs/>
                <w:sz w:val="11"/>
                <w:szCs w:val="11"/>
              </w:rPr>
              <w:t>,</w:t>
            </w:r>
            <w:r w:rsidRPr="00A36623">
              <w:rPr>
                <w:rFonts w:eastAsia="Arial Unicode MS"/>
                <w:b/>
                <w:bCs/>
                <w:sz w:val="11"/>
                <w:szCs w:val="11"/>
              </w:rPr>
              <w:t>824)</w:t>
            </w:r>
          </w:p>
        </w:tc>
        <w:tc>
          <w:tcPr>
            <w:tcW w:w="880" w:type="dxa"/>
            <w:vAlign w:val="bottom"/>
          </w:tcPr>
          <w:p w14:paraId="6A18B683" w14:textId="1424AA9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 </w:t>
            </w:r>
          </w:p>
        </w:tc>
        <w:tc>
          <w:tcPr>
            <w:tcW w:w="722" w:type="dxa"/>
            <w:noWrap/>
            <w:tcMar>
              <w:top w:w="20" w:type="dxa"/>
              <w:left w:w="20" w:type="dxa"/>
              <w:bottom w:w="0" w:type="dxa"/>
              <w:right w:w="20" w:type="dxa"/>
            </w:tcMar>
            <w:vAlign w:val="bottom"/>
          </w:tcPr>
          <w:p w14:paraId="511EBFA4" w14:textId="677A1432"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 </w:t>
            </w:r>
          </w:p>
        </w:tc>
        <w:tc>
          <w:tcPr>
            <w:tcW w:w="589" w:type="dxa"/>
            <w:noWrap/>
            <w:tcMar>
              <w:top w:w="20" w:type="dxa"/>
              <w:left w:w="20" w:type="dxa"/>
              <w:bottom w:w="0" w:type="dxa"/>
              <w:right w:w="20" w:type="dxa"/>
            </w:tcMar>
            <w:vAlign w:val="bottom"/>
          </w:tcPr>
          <w:p w14:paraId="23AAE0AE" w14:textId="44FE82ED"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 </w:t>
            </w:r>
          </w:p>
        </w:tc>
        <w:tc>
          <w:tcPr>
            <w:tcW w:w="801" w:type="dxa"/>
            <w:noWrap/>
            <w:tcMar>
              <w:top w:w="20" w:type="dxa"/>
              <w:left w:w="20" w:type="dxa"/>
              <w:bottom w:w="0" w:type="dxa"/>
              <w:right w:w="20" w:type="dxa"/>
            </w:tcMar>
            <w:vAlign w:val="bottom"/>
          </w:tcPr>
          <w:p w14:paraId="6D7A2E7A" w14:textId="3C2D4387"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 </w:t>
            </w:r>
          </w:p>
        </w:tc>
        <w:tc>
          <w:tcPr>
            <w:tcW w:w="626" w:type="dxa"/>
            <w:vAlign w:val="bottom"/>
          </w:tcPr>
          <w:p w14:paraId="0355F22A" w14:textId="06EF05F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595</w:t>
            </w:r>
            <w:r>
              <w:rPr>
                <w:rFonts w:eastAsia="Arial Unicode MS"/>
                <w:b/>
                <w:bCs/>
                <w:sz w:val="11"/>
                <w:szCs w:val="11"/>
              </w:rPr>
              <w:t>,</w:t>
            </w:r>
            <w:r w:rsidRPr="00A36623">
              <w:rPr>
                <w:rFonts w:eastAsia="Arial Unicode MS"/>
                <w:b/>
                <w:bCs/>
                <w:sz w:val="11"/>
                <w:szCs w:val="11"/>
              </w:rPr>
              <w:t xml:space="preserve">700 </w:t>
            </w:r>
          </w:p>
        </w:tc>
        <w:tc>
          <w:tcPr>
            <w:tcW w:w="728" w:type="dxa"/>
            <w:vAlign w:val="bottom"/>
          </w:tcPr>
          <w:p w14:paraId="1337E1D8" w14:textId="1B9734C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10</w:t>
            </w:r>
            <w:r>
              <w:rPr>
                <w:rFonts w:eastAsia="Arial Unicode MS"/>
                <w:b/>
                <w:bCs/>
                <w:sz w:val="11"/>
                <w:szCs w:val="11"/>
              </w:rPr>
              <w:t>,</w:t>
            </w:r>
            <w:r w:rsidRPr="00A36623">
              <w:rPr>
                <w:rFonts w:eastAsia="Arial Unicode MS"/>
                <w:b/>
                <w:bCs/>
                <w:sz w:val="11"/>
                <w:szCs w:val="11"/>
              </w:rPr>
              <w:t xml:space="preserve">753 </w:t>
            </w:r>
          </w:p>
        </w:tc>
        <w:tc>
          <w:tcPr>
            <w:tcW w:w="756" w:type="dxa"/>
            <w:vAlign w:val="bottom"/>
          </w:tcPr>
          <w:p w14:paraId="61DFD1DD" w14:textId="0AF392DF"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 xml:space="preserve"> 606</w:t>
            </w:r>
            <w:r>
              <w:rPr>
                <w:rFonts w:eastAsia="Arial Unicode MS"/>
                <w:b/>
                <w:bCs/>
                <w:sz w:val="11"/>
                <w:szCs w:val="11"/>
              </w:rPr>
              <w:t>,</w:t>
            </w:r>
            <w:r w:rsidRPr="00A36623">
              <w:rPr>
                <w:rFonts w:eastAsia="Arial Unicode MS"/>
                <w:b/>
                <w:bCs/>
                <w:sz w:val="11"/>
                <w:szCs w:val="11"/>
              </w:rPr>
              <w:t xml:space="preserve">453 </w:t>
            </w:r>
          </w:p>
        </w:tc>
      </w:tr>
      <w:tr w:rsidR="00980409" w:rsidRPr="007C0BA6" w14:paraId="41015EF6" w14:textId="77777777" w:rsidTr="00F142CB">
        <w:trPr>
          <w:trHeight w:val="80"/>
        </w:trPr>
        <w:tc>
          <w:tcPr>
            <w:tcW w:w="362" w:type="dxa"/>
            <w:noWrap/>
            <w:tcMar>
              <w:top w:w="20" w:type="dxa"/>
              <w:left w:w="20" w:type="dxa"/>
              <w:bottom w:w="0" w:type="dxa"/>
              <w:right w:w="20" w:type="dxa"/>
            </w:tcMar>
            <w:vAlign w:val="bottom"/>
          </w:tcPr>
          <w:p w14:paraId="579ED49E" w14:textId="77777777" w:rsidR="00980409" w:rsidRPr="007C0BA6" w:rsidRDefault="00980409" w:rsidP="00980409">
            <w:pPr>
              <w:spacing w:line="192" w:lineRule="auto"/>
              <w:ind w:right="-30"/>
              <w:rPr>
                <w:b/>
                <w:bCs/>
                <w:sz w:val="12"/>
                <w:szCs w:val="12"/>
              </w:rPr>
            </w:pPr>
            <w:r w:rsidRPr="007C0BA6">
              <w:rPr>
                <w:b/>
                <w:bCs/>
                <w:sz w:val="12"/>
                <w:szCs w:val="12"/>
              </w:rPr>
              <w:t>II.</w:t>
            </w:r>
          </w:p>
        </w:tc>
        <w:tc>
          <w:tcPr>
            <w:tcW w:w="2332" w:type="dxa"/>
            <w:noWrap/>
            <w:tcMar>
              <w:top w:w="20" w:type="dxa"/>
              <w:left w:w="20" w:type="dxa"/>
              <w:bottom w:w="0" w:type="dxa"/>
              <w:right w:w="20" w:type="dxa"/>
            </w:tcMar>
            <w:vAlign w:val="bottom"/>
          </w:tcPr>
          <w:p w14:paraId="034F8E3D" w14:textId="77777777" w:rsidR="00980409" w:rsidRPr="007C0BA6" w:rsidRDefault="00980409" w:rsidP="00980409">
            <w:pPr>
              <w:spacing w:line="192" w:lineRule="auto"/>
              <w:jc w:val="both"/>
              <w:rPr>
                <w:b/>
                <w:sz w:val="12"/>
                <w:szCs w:val="12"/>
              </w:rPr>
            </w:pPr>
            <w:r w:rsidRPr="007C0BA6">
              <w:rPr>
                <w:b/>
                <w:sz w:val="12"/>
                <w:szCs w:val="12"/>
              </w:rPr>
              <w:t>Increase/Decrease due to the Merger</w:t>
            </w:r>
          </w:p>
        </w:tc>
        <w:tc>
          <w:tcPr>
            <w:tcW w:w="473" w:type="dxa"/>
          </w:tcPr>
          <w:p w14:paraId="1E106FA9"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77987465" w14:textId="3041B3B8"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2EB63AE8" w14:textId="666D825A"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1FFEA5A2" w14:textId="24E0AA97"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0724F90B" w14:textId="61CC58D2"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3072CF86" w14:textId="5CDD645E"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3F9007D2" w14:textId="6B9E9845"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1388C95A" w14:textId="65956EB1"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01A12ECE" w14:textId="7C119C3B"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1F8D55A7" w14:textId="7E3FF30F"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0C1B9FB8" w14:textId="55F72E61"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1ACB0FBA" w14:textId="5233EC25"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7B272566" w14:textId="20994F43"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27D2C5E9" w14:textId="0B685104"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5BFF43A6" w14:textId="4F15FBBD"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6AD3267F" w14:textId="2C031CA0"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4178C541" w14:textId="282D7004"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513436D6" w14:textId="10B27C3D"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5B28A2FB" w14:textId="164EAEA6" w:rsidR="00980409" w:rsidRPr="00A36623" w:rsidRDefault="00980409" w:rsidP="00980409">
            <w:pPr>
              <w:ind w:left="-1554" w:right="22"/>
              <w:jc w:val="right"/>
              <w:rPr>
                <w:b/>
                <w:sz w:val="12"/>
                <w:szCs w:val="12"/>
              </w:rPr>
            </w:pPr>
            <w:r w:rsidRPr="00A36623">
              <w:rPr>
                <w:b/>
                <w:sz w:val="12"/>
                <w:szCs w:val="12"/>
              </w:rPr>
              <w:t>-</w:t>
            </w:r>
          </w:p>
        </w:tc>
      </w:tr>
      <w:tr w:rsidR="00980409" w:rsidRPr="007C0BA6" w14:paraId="40C28141" w14:textId="77777777" w:rsidTr="00F142CB">
        <w:trPr>
          <w:trHeight w:val="80"/>
        </w:trPr>
        <w:tc>
          <w:tcPr>
            <w:tcW w:w="362" w:type="dxa"/>
            <w:noWrap/>
            <w:tcMar>
              <w:top w:w="20" w:type="dxa"/>
              <w:left w:w="20" w:type="dxa"/>
              <w:bottom w:w="0" w:type="dxa"/>
              <w:right w:w="20" w:type="dxa"/>
            </w:tcMar>
            <w:vAlign w:val="bottom"/>
          </w:tcPr>
          <w:p w14:paraId="6CA4CCCB" w14:textId="77777777" w:rsidR="00980409" w:rsidRPr="007C0BA6" w:rsidRDefault="00980409" w:rsidP="00980409">
            <w:pPr>
              <w:spacing w:line="192" w:lineRule="auto"/>
              <w:ind w:right="-30"/>
              <w:rPr>
                <w:b/>
                <w:bCs/>
                <w:sz w:val="12"/>
                <w:szCs w:val="12"/>
              </w:rPr>
            </w:pPr>
            <w:r w:rsidRPr="007C0BA6">
              <w:rPr>
                <w:b/>
                <w:bCs/>
                <w:sz w:val="12"/>
                <w:szCs w:val="12"/>
              </w:rPr>
              <w:t>III.</w:t>
            </w:r>
          </w:p>
        </w:tc>
        <w:tc>
          <w:tcPr>
            <w:tcW w:w="2332" w:type="dxa"/>
            <w:noWrap/>
            <w:tcMar>
              <w:top w:w="20" w:type="dxa"/>
              <w:left w:w="20" w:type="dxa"/>
              <w:bottom w:w="0" w:type="dxa"/>
              <w:right w:w="20" w:type="dxa"/>
            </w:tcMar>
            <w:vAlign w:val="bottom"/>
          </w:tcPr>
          <w:p w14:paraId="09518840" w14:textId="77777777" w:rsidR="00980409" w:rsidRPr="007C0BA6" w:rsidRDefault="00980409" w:rsidP="00980409">
            <w:pPr>
              <w:spacing w:line="192" w:lineRule="auto"/>
              <w:rPr>
                <w:b/>
                <w:sz w:val="12"/>
                <w:szCs w:val="12"/>
              </w:rPr>
            </w:pPr>
            <w:r w:rsidRPr="007C0BA6">
              <w:rPr>
                <w:b/>
                <w:sz w:val="12"/>
                <w:szCs w:val="12"/>
              </w:rPr>
              <w:t>Marketable Securities Valuation Differences</w:t>
            </w:r>
          </w:p>
        </w:tc>
        <w:tc>
          <w:tcPr>
            <w:tcW w:w="473" w:type="dxa"/>
            <w:vAlign w:val="bottom"/>
          </w:tcPr>
          <w:p w14:paraId="17E4C682"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3EA0391A" w14:textId="77B79123"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669" w:type="dxa"/>
            <w:vAlign w:val="bottom"/>
          </w:tcPr>
          <w:p w14:paraId="23BB660D" w14:textId="574709BE"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536" w:type="dxa"/>
            <w:noWrap/>
            <w:tcMar>
              <w:top w:w="20" w:type="dxa"/>
              <w:left w:w="20" w:type="dxa"/>
              <w:bottom w:w="0" w:type="dxa"/>
              <w:right w:w="20" w:type="dxa"/>
            </w:tcMar>
            <w:vAlign w:val="bottom"/>
          </w:tcPr>
          <w:p w14:paraId="6746BEC3" w14:textId="4B5A645C"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707" w:type="dxa"/>
            <w:noWrap/>
            <w:tcMar>
              <w:top w:w="20" w:type="dxa"/>
              <w:left w:w="20" w:type="dxa"/>
              <w:bottom w:w="0" w:type="dxa"/>
              <w:right w:w="20" w:type="dxa"/>
            </w:tcMar>
            <w:vAlign w:val="bottom"/>
          </w:tcPr>
          <w:p w14:paraId="201127F7" w14:textId="6CB0D541"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602" w:type="dxa"/>
            <w:noWrap/>
            <w:tcMar>
              <w:top w:w="20" w:type="dxa"/>
              <w:left w:w="20" w:type="dxa"/>
              <w:bottom w:w="0" w:type="dxa"/>
              <w:right w:w="20" w:type="dxa"/>
            </w:tcMar>
            <w:vAlign w:val="bottom"/>
          </w:tcPr>
          <w:p w14:paraId="4D370280" w14:textId="214D2CFC"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536" w:type="dxa"/>
            <w:noWrap/>
            <w:tcMar>
              <w:top w:w="20" w:type="dxa"/>
              <w:left w:w="20" w:type="dxa"/>
              <w:bottom w:w="0" w:type="dxa"/>
              <w:right w:w="20" w:type="dxa"/>
            </w:tcMar>
            <w:vAlign w:val="bottom"/>
          </w:tcPr>
          <w:p w14:paraId="5267C52F" w14:textId="6D571C64"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821" w:type="dxa"/>
            <w:noWrap/>
            <w:tcMar>
              <w:top w:w="20" w:type="dxa"/>
              <w:left w:w="20" w:type="dxa"/>
              <w:bottom w:w="0" w:type="dxa"/>
              <w:right w:w="20" w:type="dxa"/>
            </w:tcMar>
            <w:vAlign w:val="bottom"/>
          </w:tcPr>
          <w:p w14:paraId="7204905C" w14:textId="28771E92"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648" w:type="dxa"/>
            <w:noWrap/>
            <w:tcMar>
              <w:top w:w="20" w:type="dxa"/>
              <w:left w:w="20" w:type="dxa"/>
              <w:bottom w:w="0" w:type="dxa"/>
              <w:right w:w="20" w:type="dxa"/>
            </w:tcMar>
            <w:vAlign w:val="bottom"/>
          </w:tcPr>
          <w:p w14:paraId="34231607" w14:textId="3670D0C8"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617" w:type="dxa"/>
            <w:noWrap/>
            <w:tcMar>
              <w:top w:w="20" w:type="dxa"/>
              <w:left w:w="20" w:type="dxa"/>
              <w:bottom w:w="0" w:type="dxa"/>
              <w:right w:w="20" w:type="dxa"/>
            </w:tcMar>
            <w:vAlign w:val="bottom"/>
          </w:tcPr>
          <w:p w14:paraId="4110E714" w14:textId="0DA42C50"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642" w:type="dxa"/>
            <w:noWrap/>
            <w:tcMar>
              <w:top w:w="20" w:type="dxa"/>
              <w:left w:w="20" w:type="dxa"/>
              <w:bottom w:w="0" w:type="dxa"/>
              <w:right w:w="20" w:type="dxa"/>
            </w:tcMar>
            <w:vAlign w:val="bottom"/>
          </w:tcPr>
          <w:p w14:paraId="407DD09E" w14:textId="5A378BD7"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732" w:type="dxa"/>
            <w:vAlign w:val="bottom"/>
          </w:tcPr>
          <w:p w14:paraId="35B91BE2" w14:textId="391D50E5"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34</w:t>
            </w:r>
            <w:r>
              <w:rPr>
                <w:rFonts w:eastAsia="Arial Unicode MS"/>
                <w:b/>
                <w:sz w:val="11"/>
                <w:szCs w:val="11"/>
              </w:rPr>
              <w:t>,</w:t>
            </w:r>
            <w:r w:rsidRPr="00A36623">
              <w:rPr>
                <w:rFonts w:eastAsia="Arial Unicode MS"/>
                <w:b/>
                <w:sz w:val="11"/>
                <w:szCs w:val="11"/>
              </w:rPr>
              <w:t>670</w:t>
            </w:r>
          </w:p>
        </w:tc>
        <w:tc>
          <w:tcPr>
            <w:tcW w:w="880" w:type="dxa"/>
            <w:vAlign w:val="bottom"/>
          </w:tcPr>
          <w:p w14:paraId="196F88D1" w14:textId="268140C5"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722" w:type="dxa"/>
            <w:noWrap/>
            <w:tcMar>
              <w:top w:w="20" w:type="dxa"/>
              <w:left w:w="20" w:type="dxa"/>
              <w:bottom w:w="0" w:type="dxa"/>
              <w:right w:w="20" w:type="dxa"/>
            </w:tcMar>
            <w:vAlign w:val="bottom"/>
          </w:tcPr>
          <w:p w14:paraId="66E079FD" w14:textId="2B05AE13"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589" w:type="dxa"/>
            <w:noWrap/>
            <w:tcMar>
              <w:top w:w="20" w:type="dxa"/>
              <w:left w:w="20" w:type="dxa"/>
              <w:bottom w:w="0" w:type="dxa"/>
              <w:right w:w="20" w:type="dxa"/>
            </w:tcMar>
            <w:vAlign w:val="bottom"/>
          </w:tcPr>
          <w:p w14:paraId="4CB4C45D" w14:textId="0F2ED2F5"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801" w:type="dxa"/>
            <w:noWrap/>
            <w:tcMar>
              <w:top w:w="20" w:type="dxa"/>
              <w:left w:w="20" w:type="dxa"/>
              <w:bottom w:w="0" w:type="dxa"/>
              <w:right w:w="20" w:type="dxa"/>
            </w:tcMar>
            <w:vAlign w:val="bottom"/>
          </w:tcPr>
          <w:p w14:paraId="4DDDFB60" w14:textId="7DC696E7"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626" w:type="dxa"/>
            <w:vAlign w:val="bottom"/>
          </w:tcPr>
          <w:p w14:paraId="580178AD" w14:textId="536D6F2A"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34</w:t>
            </w:r>
            <w:r>
              <w:rPr>
                <w:rFonts w:eastAsia="Arial Unicode MS"/>
                <w:b/>
                <w:sz w:val="11"/>
                <w:szCs w:val="11"/>
              </w:rPr>
              <w:t>,</w:t>
            </w:r>
            <w:r w:rsidRPr="00A36623">
              <w:rPr>
                <w:rFonts w:eastAsia="Arial Unicode MS"/>
                <w:b/>
                <w:sz w:val="11"/>
                <w:szCs w:val="11"/>
              </w:rPr>
              <w:t>670</w:t>
            </w:r>
          </w:p>
        </w:tc>
        <w:tc>
          <w:tcPr>
            <w:tcW w:w="728" w:type="dxa"/>
            <w:vAlign w:val="bottom"/>
          </w:tcPr>
          <w:p w14:paraId="4B7F66C7" w14:textId="66EBF709"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 </w:t>
            </w:r>
          </w:p>
        </w:tc>
        <w:tc>
          <w:tcPr>
            <w:tcW w:w="756" w:type="dxa"/>
            <w:vAlign w:val="bottom"/>
          </w:tcPr>
          <w:p w14:paraId="7196C9A4" w14:textId="59FB07DE" w:rsidR="00980409" w:rsidRPr="00A36623" w:rsidRDefault="00980409" w:rsidP="00980409">
            <w:pPr>
              <w:ind w:left="-1554" w:right="22"/>
              <w:jc w:val="right"/>
              <w:rPr>
                <w:rFonts w:eastAsia="Arial Unicode MS"/>
                <w:b/>
                <w:sz w:val="11"/>
                <w:szCs w:val="11"/>
              </w:rPr>
            </w:pPr>
            <w:r w:rsidRPr="00A36623">
              <w:rPr>
                <w:rFonts w:eastAsia="Arial Unicode MS"/>
                <w:b/>
                <w:sz w:val="11"/>
                <w:szCs w:val="11"/>
              </w:rPr>
              <w:t xml:space="preserve"> 34</w:t>
            </w:r>
            <w:r>
              <w:rPr>
                <w:rFonts w:eastAsia="Arial Unicode MS"/>
                <w:b/>
                <w:sz w:val="11"/>
                <w:szCs w:val="11"/>
              </w:rPr>
              <w:t>,</w:t>
            </w:r>
            <w:r w:rsidRPr="00A36623">
              <w:rPr>
                <w:rFonts w:eastAsia="Arial Unicode MS"/>
                <w:b/>
                <w:sz w:val="11"/>
                <w:szCs w:val="11"/>
              </w:rPr>
              <w:t>670</w:t>
            </w:r>
          </w:p>
        </w:tc>
      </w:tr>
      <w:tr w:rsidR="00980409" w:rsidRPr="007C0BA6" w14:paraId="6FACF706" w14:textId="77777777" w:rsidTr="00F142CB">
        <w:trPr>
          <w:trHeight w:val="48"/>
        </w:trPr>
        <w:tc>
          <w:tcPr>
            <w:tcW w:w="362" w:type="dxa"/>
            <w:noWrap/>
            <w:tcMar>
              <w:top w:w="20" w:type="dxa"/>
              <w:left w:w="20" w:type="dxa"/>
              <w:bottom w:w="0" w:type="dxa"/>
              <w:right w:w="20" w:type="dxa"/>
            </w:tcMar>
            <w:vAlign w:val="bottom"/>
          </w:tcPr>
          <w:p w14:paraId="00E56B04" w14:textId="77777777" w:rsidR="00980409" w:rsidRPr="007C0BA6" w:rsidRDefault="00980409" w:rsidP="00980409">
            <w:pPr>
              <w:spacing w:line="192" w:lineRule="auto"/>
              <w:ind w:right="-30"/>
              <w:rPr>
                <w:b/>
                <w:bCs/>
                <w:sz w:val="12"/>
                <w:szCs w:val="12"/>
              </w:rPr>
            </w:pPr>
            <w:r w:rsidRPr="007C0BA6">
              <w:rPr>
                <w:b/>
                <w:bCs/>
                <w:sz w:val="12"/>
                <w:szCs w:val="12"/>
              </w:rPr>
              <w:t>IV.</w:t>
            </w:r>
          </w:p>
        </w:tc>
        <w:tc>
          <w:tcPr>
            <w:tcW w:w="2332" w:type="dxa"/>
            <w:noWrap/>
            <w:tcMar>
              <w:top w:w="20" w:type="dxa"/>
              <w:left w:w="20" w:type="dxa"/>
              <w:bottom w:w="0" w:type="dxa"/>
              <w:right w:w="20" w:type="dxa"/>
            </w:tcMar>
            <w:vAlign w:val="bottom"/>
          </w:tcPr>
          <w:p w14:paraId="7C47281B" w14:textId="77777777" w:rsidR="00980409" w:rsidRPr="007C0BA6" w:rsidRDefault="00980409" w:rsidP="00980409">
            <w:pPr>
              <w:spacing w:line="192" w:lineRule="auto"/>
              <w:rPr>
                <w:b/>
                <w:sz w:val="12"/>
                <w:szCs w:val="12"/>
              </w:rPr>
            </w:pPr>
            <w:r w:rsidRPr="007C0BA6">
              <w:rPr>
                <w:b/>
                <w:sz w:val="12"/>
                <w:szCs w:val="12"/>
              </w:rPr>
              <w:t>Hedging Reserves (Effective Portion)</w:t>
            </w:r>
          </w:p>
        </w:tc>
        <w:tc>
          <w:tcPr>
            <w:tcW w:w="473" w:type="dxa"/>
            <w:vAlign w:val="bottom"/>
          </w:tcPr>
          <w:p w14:paraId="50DA81BB"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69AFB3EE" w14:textId="06EB4E56"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149698DD" w14:textId="185348ED"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7073233C" w14:textId="71313E03"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0C1BA38B" w14:textId="682F3E94"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1B5DD0F5" w14:textId="1BEA4C48"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79260916" w14:textId="0B04CE3B"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43379923" w14:textId="094F1CD6"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46FAAF34" w14:textId="3CC6E757"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1A202F6A" w14:textId="34EDBD16"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5FC7C0F6" w14:textId="6BA953D3"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0D4273D6" w14:textId="0EF3CC9F"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4962A3BF" w14:textId="5485B4A6"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6830A968" w14:textId="6FAEA9B5"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2DDFDE83" w14:textId="2435C022"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0068185E" w14:textId="759E88CF"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347B7A48" w14:textId="5D124D19"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000EF57A" w14:textId="7479C8CD"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58EBF899" w14:textId="0C59761E" w:rsidR="00980409" w:rsidRPr="00A36623" w:rsidRDefault="00980409" w:rsidP="00980409">
            <w:pPr>
              <w:ind w:left="-1554" w:right="22"/>
              <w:jc w:val="right"/>
              <w:rPr>
                <w:b/>
                <w:sz w:val="12"/>
                <w:szCs w:val="12"/>
              </w:rPr>
            </w:pPr>
            <w:r w:rsidRPr="00A36623">
              <w:rPr>
                <w:b/>
                <w:sz w:val="12"/>
                <w:szCs w:val="12"/>
              </w:rPr>
              <w:t>-</w:t>
            </w:r>
          </w:p>
        </w:tc>
      </w:tr>
      <w:tr w:rsidR="00980409" w:rsidRPr="007C0BA6" w14:paraId="2935C9AB" w14:textId="77777777" w:rsidTr="00F142CB">
        <w:trPr>
          <w:trHeight w:val="80"/>
        </w:trPr>
        <w:tc>
          <w:tcPr>
            <w:tcW w:w="362" w:type="dxa"/>
            <w:noWrap/>
            <w:tcMar>
              <w:top w:w="20" w:type="dxa"/>
              <w:left w:w="20" w:type="dxa"/>
              <w:bottom w:w="0" w:type="dxa"/>
              <w:right w:w="20" w:type="dxa"/>
            </w:tcMar>
            <w:vAlign w:val="bottom"/>
          </w:tcPr>
          <w:p w14:paraId="598D88CE" w14:textId="77777777" w:rsidR="00980409" w:rsidRPr="007C0BA6" w:rsidRDefault="00980409" w:rsidP="00980409">
            <w:pPr>
              <w:spacing w:line="192" w:lineRule="auto"/>
              <w:ind w:right="-30"/>
              <w:rPr>
                <w:bCs/>
                <w:sz w:val="12"/>
                <w:szCs w:val="12"/>
              </w:rPr>
            </w:pPr>
            <w:r w:rsidRPr="007C0BA6">
              <w:rPr>
                <w:bCs/>
                <w:sz w:val="12"/>
                <w:szCs w:val="12"/>
              </w:rPr>
              <w:t>4.1</w:t>
            </w:r>
          </w:p>
        </w:tc>
        <w:tc>
          <w:tcPr>
            <w:tcW w:w="2332" w:type="dxa"/>
            <w:noWrap/>
            <w:tcMar>
              <w:top w:w="20" w:type="dxa"/>
              <w:left w:w="20" w:type="dxa"/>
              <w:bottom w:w="0" w:type="dxa"/>
              <w:right w:w="20" w:type="dxa"/>
            </w:tcMar>
            <w:vAlign w:val="bottom"/>
          </w:tcPr>
          <w:p w14:paraId="25C628C5" w14:textId="77777777" w:rsidR="00980409" w:rsidRPr="007C0BA6" w:rsidRDefault="00980409" w:rsidP="00980409">
            <w:pPr>
              <w:spacing w:line="192" w:lineRule="auto"/>
              <w:rPr>
                <w:sz w:val="12"/>
                <w:szCs w:val="12"/>
              </w:rPr>
            </w:pPr>
            <w:r w:rsidRPr="007C0BA6">
              <w:rPr>
                <w:sz w:val="12"/>
                <w:szCs w:val="12"/>
              </w:rPr>
              <w:t>Cash Flow Hedge</w:t>
            </w:r>
          </w:p>
        </w:tc>
        <w:tc>
          <w:tcPr>
            <w:tcW w:w="473" w:type="dxa"/>
            <w:vAlign w:val="bottom"/>
          </w:tcPr>
          <w:p w14:paraId="3E16D08E" w14:textId="77777777" w:rsidR="00980409" w:rsidRPr="007C0BA6" w:rsidRDefault="00980409" w:rsidP="00980409">
            <w:pPr>
              <w:jc w:val="center"/>
              <w:rPr>
                <w:sz w:val="12"/>
                <w:szCs w:val="12"/>
              </w:rPr>
            </w:pPr>
          </w:p>
        </w:tc>
        <w:tc>
          <w:tcPr>
            <w:tcW w:w="525" w:type="dxa"/>
            <w:noWrap/>
            <w:tcMar>
              <w:top w:w="20" w:type="dxa"/>
              <w:left w:w="20" w:type="dxa"/>
              <w:bottom w:w="0" w:type="dxa"/>
              <w:right w:w="20" w:type="dxa"/>
            </w:tcMar>
            <w:vAlign w:val="bottom"/>
          </w:tcPr>
          <w:p w14:paraId="0C4B99E7" w14:textId="462D8408"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4B5BDCE1" w14:textId="32B2CE4A"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1E3572CA" w14:textId="7EBBA980"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03817B10" w14:textId="62F6D90C"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195AD9D3" w14:textId="76F5FDBA"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4D63324B" w14:textId="4E5DD905"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718D3B63" w14:textId="2DBEFD0A"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522C447E" w14:textId="3B6F057D"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074C759C" w14:textId="02C71899"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1B48A15D" w14:textId="5418A450"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4C632F65" w14:textId="37E18C08"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141E21E4" w14:textId="59DE42D4"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6306E664" w14:textId="0203CDD7"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1AC17DDF" w14:textId="7D4C470C"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0C068AF0" w14:textId="4C2A8048"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720CD221" w14:textId="25E1DC64"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70E63DFC" w14:textId="379EBE54"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4BE4F271" w14:textId="59011CD1" w:rsidR="00980409" w:rsidRPr="00A36623" w:rsidRDefault="00980409" w:rsidP="00980409">
            <w:pPr>
              <w:ind w:left="-1554" w:right="22"/>
              <w:jc w:val="right"/>
              <w:rPr>
                <w:b/>
                <w:sz w:val="12"/>
                <w:szCs w:val="12"/>
              </w:rPr>
            </w:pPr>
            <w:r w:rsidRPr="00A36623">
              <w:rPr>
                <w:b/>
                <w:sz w:val="12"/>
                <w:szCs w:val="12"/>
              </w:rPr>
              <w:t>-</w:t>
            </w:r>
          </w:p>
        </w:tc>
      </w:tr>
      <w:tr w:rsidR="00980409" w:rsidRPr="007C0BA6" w14:paraId="465F1BAA" w14:textId="77777777" w:rsidTr="00F142CB">
        <w:trPr>
          <w:trHeight w:val="80"/>
        </w:trPr>
        <w:tc>
          <w:tcPr>
            <w:tcW w:w="362" w:type="dxa"/>
            <w:noWrap/>
            <w:tcMar>
              <w:top w:w="20" w:type="dxa"/>
              <w:left w:w="20" w:type="dxa"/>
              <w:bottom w:w="0" w:type="dxa"/>
              <w:right w:w="20" w:type="dxa"/>
            </w:tcMar>
            <w:vAlign w:val="bottom"/>
          </w:tcPr>
          <w:p w14:paraId="0F867F30" w14:textId="77777777" w:rsidR="00980409" w:rsidRPr="007C0BA6" w:rsidRDefault="00980409" w:rsidP="00980409">
            <w:pPr>
              <w:spacing w:line="192" w:lineRule="auto"/>
              <w:ind w:right="-30"/>
              <w:rPr>
                <w:bCs/>
                <w:sz w:val="12"/>
                <w:szCs w:val="12"/>
              </w:rPr>
            </w:pPr>
            <w:r w:rsidRPr="007C0BA6">
              <w:rPr>
                <w:bCs/>
                <w:sz w:val="12"/>
                <w:szCs w:val="12"/>
              </w:rPr>
              <w:t>4.2</w:t>
            </w:r>
          </w:p>
        </w:tc>
        <w:tc>
          <w:tcPr>
            <w:tcW w:w="2332" w:type="dxa"/>
            <w:noWrap/>
            <w:tcMar>
              <w:top w:w="20" w:type="dxa"/>
              <w:left w:w="20" w:type="dxa"/>
              <w:bottom w:w="0" w:type="dxa"/>
              <w:right w:w="20" w:type="dxa"/>
            </w:tcMar>
            <w:vAlign w:val="bottom"/>
          </w:tcPr>
          <w:p w14:paraId="35CA14A7" w14:textId="77777777" w:rsidR="00980409" w:rsidRPr="007C0BA6" w:rsidRDefault="00980409" w:rsidP="00980409">
            <w:pPr>
              <w:spacing w:line="192" w:lineRule="auto"/>
              <w:rPr>
                <w:sz w:val="12"/>
                <w:szCs w:val="12"/>
              </w:rPr>
            </w:pPr>
            <w:r w:rsidRPr="007C0BA6">
              <w:rPr>
                <w:sz w:val="12"/>
                <w:szCs w:val="12"/>
              </w:rPr>
              <w:t>Foreign Investment Hedge</w:t>
            </w:r>
          </w:p>
        </w:tc>
        <w:tc>
          <w:tcPr>
            <w:tcW w:w="473" w:type="dxa"/>
            <w:vAlign w:val="bottom"/>
          </w:tcPr>
          <w:p w14:paraId="248717B2" w14:textId="77777777" w:rsidR="00980409" w:rsidRPr="007C0BA6" w:rsidRDefault="00980409" w:rsidP="00980409">
            <w:pPr>
              <w:jc w:val="center"/>
              <w:rPr>
                <w:sz w:val="12"/>
                <w:szCs w:val="12"/>
              </w:rPr>
            </w:pPr>
          </w:p>
        </w:tc>
        <w:tc>
          <w:tcPr>
            <w:tcW w:w="525" w:type="dxa"/>
            <w:noWrap/>
            <w:tcMar>
              <w:top w:w="20" w:type="dxa"/>
              <w:left w:w="20" w:type="dxa"/>
              <w:bottom w:w="0" w:type="dxa"/>
              <w:right w:w="20" w:type="dxa"/>
            </w:tcMar>
            <w:vAlign w:val="bottom"/>
          </w:tcPr>
          <w:p w14:paraId="6DA4D703" w14:textId="223F3390"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67D975A3" w14:textId="2AFDF88D"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1C82EF9E" w14:textId="479147DE"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662F4E79" w14:textId="40EC99C5"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3FE25C23" w14:textId="1023592A"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69F57EEF" w14:textId="70610C23"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0A1376F6" w14:textId="7869E546"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27C77091" w14:textId="048821FC"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2936432B" w14:textId="25D0986F"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21BB8FF4" w14:textId="6CA3D2C6"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338E5A7C" w14:textId="3AB05484"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77320E87" w14:textId="3967F0B1"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566435D2" w14:textId="2C498AD5"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5D719EF7" w14:textId="25F9C3BC"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6AEC5639" w14:textId="3E95EB70"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07B4C983" w14:textId="7FA186AE"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3DA3635B" w14:textId="352B8DE5"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40277FD0" w14:textId="114B41B5" w:rsidR="00980409" w:rsidRPr="00A36623" w:rsidRDefault="00980409" w:rsidP="00980409">
            <w:pPr>
              <w:ind w:left="-1554" w:right="22"/>
              <w:jc w:val="right"/>
              <w:rPr>
                <w:b/>
                <w:sz w:val="12"/>
                <w:szCs w:val="12"/>
              </w:rPr>
            </w:pPr>
            <w:r w:rsidRPr="00A36623">
              <w:rPr>
                <w:b/>
                <w:sz w:val="12"/>
                <w:szCs w:val="12"/>
              </w:rPr>
              <w:t>-</w:t>
            </w:r>
          </w:p>
        </w:tc>
      </w:tr>
      <w:tr w:rsidR="00980409" w:rsidRPr="007C0BA6" w14:paraId="7C345B29" w14:textId="77777777" w:rsidTr="00F142CB">
        <w:trPr>
          <w:trHeight w:val="80"/>
        </w:trPr>
        <w:tc>
          <w:tcPr>
            <w:tcW w:w="362" w:type="dxa"/>
            <w:noWrap/>
            <w:tcMar>
              <w:top w:w="20" w:type="dxa"/>
              <w:left w:w="20" w:type="dxa"/>
              <w:bottom w:w="0" w:type="dxa"/>
              <w:right w:w="20" w:type="dxa"/>
            </w:tcMar>
          </w:tcPr>
          <w:p w14:paraId="49B51F13" w14:textId="77777777" w:rsidR="00980409" w:rsidRPr="007C0BA6" w:rsidRDefault="00980409" w:rsidP="00980409">
            <w:pPr>
              <w:spacing w:line="192" w:lineRule="auto"/>
              <w:ind w:right="-30"/>
              <w:rPr>
                <w:b/>
                <w:bCs/>
                <w:sz w:val="12"/>
                <w:szCs w:val="12"/>
              </w:rPr>
            </w:pPr>
            <w:r w:rsidRPr="007C0BA6">
              <w:rPr>
                <w:b/>
                <w:bCs/>
                <w:sz w:val="12"/>
                <w:szCs w:val="12"/>
              </w:rPr>
              <w:t>V.</w:t>
            </w:r>
          </w:p>
        </w:tc>
        <w:tc>
          <w:tcPr>
            <w:tcW w:w="2332" w:type="dxa"/>
            <w:noWrap/>
            <w:tcMar>
              <w:top w:w="20" w:type="dxa"/>
              <w:left w:w="20" w:type="dxa"/>
              <w:bottom w:w="0" w:type="dxa"/>
              <w:right w:w="20" w:type="dxa"/>
            </w:tcMar>
            <w:vAlign w:val="bottom"/>
          </w:tcPr>
          <w:p w14:paraId="4475FF55" w14:textId="77777777" w:rsidR="00980409" w:rsidRPr="007C0BA6" w:rsidRDefault="00980409" w:rsidP="00980409">
            <w:pPr>
              <w:spacing w:line="192" w:lineRule="auto"/>
              <w:rPr>
                <w:b/>
                <w:sz w:val="12"/>
                <w:szCs w:val="12"/>
              </w:rPr>
            </w:pPr>
            <w:r w:rsidRPr="007C0BA6">
              <w:rPr>
                <w:b/>
                <w:sz w:val="12"/>
                <w:szCs w:val="12"/>
              </w:rPr>
              <w:t>Revaluation Differences of Tangible Assets</w:t>
            </w:r>
          </w:p>
        </w:tc>
        <w:tc>
          <w:tcPr>
            <w:tcW w:w="473" w:type="dxa"/>
            <w:vAlign w:val="bottom"/>
          </w:tcPr>
          <w:p w14:paraId="7DD13B23" w14:textId="77777777" w:rsidR="00980409" w:rsidRPr="007C0BA6" w:rsidRDefault="00980409" w:rsidP="00980409">
            <w:pPr>
              <w:jc w:val="center"/>
              <w:rPr>
                <w:rFonts w:eastAsia="Arial Unicode MS"/>
                <w:b/>
                <w:sz w:val="12"/>
                <w:szCs w:val="12"/>
              </w:rPr>
            </w:pPr>
          </w:p>
        </w:tc>
        <w:tc>
          <w:tcPr>
            <w:tcW w:w="525" w:type="dxa"/>
            <w:noWrap/>
            <w:tcMar>
              <w:top w:w="20" w:type="dxa"/>
              <w:left w:w="20" w:type="dxa"/>
              <w:bottom w:w="0" w:type="dxa"/>
              <w:right w:w="20" w:type="dxa"/>
            </w:tcMar>
            <w:vAlign w:val="bottom"/>
          </w:tcPr>
          <w:p w14:paraId="5ED6B70F" w14:textId="04CCCF48"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6E399256" w14:textId="58DA5429"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31AFEFEB" w14:textId="65F90C83"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4593DBD1" w14:textId="2FB6ED67"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5464CBC6" w14:textId="7C95DD9D"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39EA4585" w14:textId="39DCE111"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6B79C9F1" w14:textId="16C3941B"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3A451F75" w14:textId="1BE47E7F"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08D49D8E" w14:textId="471BFBB6"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5FAD0017" w14:textId="31ED646C"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0AE95258" w14:textId="5734C78C"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3408A13B" w14:textId="6444E7B3"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4A1E352A" w14:textId="4DB2B219"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03EA7935" w14:textId="2162C1B9"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55389DC6" w14:textId="17F30418"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7809A59E" w14:textId="0E691715"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2523A5CC" w14:textId="598C8138"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639C3F46" w14:textId="66FFF888" w:rsidR="00980409" w:rsidRPr="00A36623" w:rsidRDefault="00980409" w:rsidP="00980409">
            <w:pPr>
              <w:ind w:left="-1554" w:right="22"/>
              <w:jc w:val="right"/>
              <w:rPr>
                <w:b/>
                <w:sz w:val="12"/>
                <w:szCs w:val="12"/>
              </w:rPr>
            </w:pPr>
            <w:r w:rsidRPr="00A36623">
              <w:rPr>
                <w:b/>
                <w:sz w:val="12"/>
                <w:szCs w:val="12"/>
              </w:rPr>
              <w:t>-</w:t>
            </w:r>
          </w:p>
        </w:tc>
      </w:tr>
      <w:tr w:rsidR="00980409" w:rsidRPr="007C0BA6" w14:paraId="048E3AA5" w14:textId="77777777" w:rsidTr="00F142CB">
        <w:trPr>
          <w:trHeight w:val="80"/>
        </w:trPr>
        <w:tc>
          <w:tcPr>
            <w:tcW w:w="362" w:type="dxa"/>
            <w:noWrap/>
            <w:tcMar>
              <w:top w:w="20" w:type="dxa"/>
              <w:left w:w="20" w:type="dxa"/>
              <w:bottom w:w="0" w:type="dxa"/>
              <w:right w:w="20" w:type="dxa"/>
            </w:tcMar>
          </w:tcPr>
          <w:p w14:paraId="7F9A21F6" w14:textId="77777777" w:rsidR="00980409" w:rsidRPr="007C0BA6" w:rsidRDefault="00980409" w:rsidP="00980409">
            <w:pPr>
              <w:spacing w:line="192" w:lineRule="auto"/>
              <w:ind w:right="-30"/>
              <w:rPr>
                <w:b/>
                <w:bCs/>
                <w:sz w:val="12"/>
                <w:szCs w:val="12"/>
              </w:rPr>
            </w:pPr>
            <w:r w:rsidRPr="007C0BA6">
              <w:rPr>
                <w:b/>
                <w:bCs/>
                <w:sz w:val="12"/>
                <w:szCs w:val="12"/>
              </w:rPr>
              <w:t>VI.</w:t>
            </w:r>
          </w:p>
        </w:tc>
        <w:tc>
          <w:tcPr>
            <w:tcW w:w="2332" w:type="dxa"/>
            <w:noWrap/>
            <w:tcMar>
              <w:top w:w="20" w:type="dxa"/>
              <w:left w:w="20" w:type="dxa"/>
              <w:bottom w:w="0" w:type="dxa"/>
              <w:right w:w="20" w:type="dxa"/>
            </w:tcMar>
            <w:vAlign w:val="bottom"/>
          </w:tcPr>
          <w:p w14:paraId="5715D420" w14:textId="77777777" w:rsidR="00980409" w:rsidRPr="007C0BA6" w:rsidRDefault="00980409" w:rsidP="00980409">
            <w:pPr>
              <w:spacing w:line="192" w:lineRule="auto"/>
              <w:rPr>
                <w:b/>
                <w:sz w:val="12"/>
                <w:szCs w:val="12"/>
              </w:rPr>
            </w:pPr>
            <w:r w:rsidRPr="007C0BA6">
              <w:rPr>
                <w:b/>
                <w:sz w:val="12"/>
                <w:szCs w:val="12"/>
              </w:rPr>
              <w:t>Revaluation Differences of Intangible Assets</w:t>
            </w:r>
          </w:p>
        </w:tc>
        <w:tc>
          <w:tcPr>
            <w:tcW w:w="473" w:type="dxa"/>
            <w:vAlign w:val="bottom"/>
          </w:tcPr>
          <w:p w14:paraId="7B77AFE8"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39A440C8" w14:textId="48974B8E"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6D5608E7" w14:textId="2DF3C2E0"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18A0745D" w14:textId="239FECA0"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5E9CE3BB" w14:textId="09E7E87B"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43D975DE" w14:textId="27A95124"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088BA5EF" w14:textId="364CCFE0"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706984F5" w14:textId="2762B0BD"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1B1EA19E" w14:textId="2D7F3262"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012AF28F" w14:textId="7451C05D"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67A8085A" w14:textId="629ECC12"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34554B93" w14:textId="1DF5E15C"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47411467" w14:textId="52661B6E"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26B890A1" w14:textId="080D23D7"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119148D5" w14:textId="45DA52AF"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0DA3CCC7" w14:textId="783212E7"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5FF3A703" w14:textId="519FBCAE"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215B0B30" w14:textId="08F349C0"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3CC8F5E6" w14:textId="3BFA4943" w:rsidR="00980409" w:rsidRPr="00A36623" w:rsidRDefault="00980409" w:rsidP="00980409">
            <w:pPr>
              <w:ind w:left="-1554" w:right="22"/>
              <w:jc w:val="right"/>
              <w:rPr>
                <w:b/>
                <w:sz w:val="12"/>
                <w:szCs w:val="12"/>
              </w:rPr>
            </w:pPr>
            <w:r w:rsidRPr="00A36623">
              <w:rPr>
                <w:b/>
                <w:sz w:val="12"/>
                <w:szCs w:val="12"/>
              </w:rPr>
              <w:t>-</w:t>
            </w:r>
          </w:p>
        </w:tc>
      </w:tr>
      <w:tr w:rsidR="00980409" w:rsidRPr="007C0BA6" w14:paraId="21785085" w14:textId="77777777" w:rsidTr="00F142CB">
        <w:trPr>
          <w:trHeight w:val="80"/>
        </w:trPr>
        <w:tc>
          <w:tcPr>
            <w:tcW w:w="362" w:type="dxa"/>
            <w:noWrap/>
            <w:tcMar>
              <w:top w:w="20" w:type="dxa"/>
              <w:left w:w="20" w:type="dxa"/>
              <w:bottom w:w="0" w:type="dxa"/>
              <w:right w:w="20" w:type="dxa"/>
            </w:tcMar>
          </w:tcPr>
          <w:p w14:paraId="5F6C875C" w14:textId="77777777" w:rsidR="00980409" w:rsidRPr="007C0BA6" w:rsidRDefault="00980409" w:rsidP="00980409">
            <w:pPr>
              <w:spacing w:line="192" w:lineRule="auto"/>
              <w:ind w:right="-30"/>
              <w:rPr>
                <w:b/>
                <w:bCs/>
                <w:sz w:val="12"/>
                <w:szCs w:val="12"/>
              </w:rPr>
            </w:pPr>
            <w:r w:rsidRPr="007C0BA6">
              <w:rPr>
                <w:b/>
                <w:bCs/>
                <w:sz w:val="12"/>
                <w:szCs w:val="12"/>
              </w:rPr>
              <w:t>VII.</w:t>
            </w:r>
          </w:p>
        </w:tc>
        <w:tc>
          <w:tcPr>
            <w:tcW w:w="2332" w:type="dxa"/>
            <w:noWrap/>
            <w:tcMar>
              <w:top w:w="20" w:type="dxa"/>
              <w:left w:w="20" w:type="dxa"/>
              <w:bottom w:w="0" w:type="dxa"/>
              <w:right w:w="20" w:type="dxa"/>
            </w:tcMar>
            <w:vAlign w:val="bottom"/>
          </w:tcPr>
          <w:p w14:paraId="6191AFD5" w14:textId="77777777" w:rsidR="00980409" w:rsidRPr="007C0BA6" w:rsidRDefault="00980409" w:rsidP="00980409">
            <w:pPr>
              <w:spacing w:line="192" w:lineRule="auto"/>
              <w:rPr>
                <w:sz w:val="12"/>
                <w:szCs w:val="12"/>
              </w:rPr>
            </w:pPr>
            <w:r w:rsidRPr="007C0BA6">
              <w:rPr>
                <w:b/>
                <w:sz w:val="12"/>
                <w:szCs w:val="12"/>
              </w:rPr>
              <w:t xml:space="preserve">Bonus Shares Obtained from Investments in Associates, Subsidiaries and Joint Ventures </w:t>
            </w:r>
          </w:p>
        </w:tc>
        <w:tc>
          <w:tcPr>
            <w:tcW w:w="473" w:type="dxa"/>
            <w:vAlign w:val="bottom"/>
          </w:tcPr>
          <w:p w14:paraId="2D136F4C"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5DA1862F" w14:textId="2B5201AA"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18A58F2B" w14:textId="74457D7A"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22723326" w14:textId="73E6C05B"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1220FA12" w14:textId="036178FC"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16264009" w14:textId="20401E70"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54735549" w14:textId="63914A2E"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679BBE50" w14:textId="0AEE5C95"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5CE0F95F" w14:textId="5C3C1B84"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3DCBAA72" w14:textId="3E7EE83F"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4956B7B2" w14:textId="1A638FAE"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1ED2112A" w14:textId="2325E933"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7BE94881" w14:textId="6418D7B9"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3F8F6B4F" w14:textId="574F8EAF"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7C1485A5" w14:textId="7F5C0576"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3A5803E0" w14:textId="2E3C978F"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5D9988CE" w14:textId="3D95A3CF"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66223E45" w14:textId="6B6B4C24"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4ABBCB6F" w14:textId="6DCB9CBA" w:rsidR="00980409" w:rsidRPr="00A36623" w:rsidRDefault="00980409" w:rsidP="00980409">
            <w:pPr>
              <w:ind w:left="-1554" w:right="22"/>
              <w:jc w:val="right"/>
              <w:rPr>
                <w:b/>
                <w:sz w:val="12"/>
                <w:szCs w:val="12"/>
              </w:rPr>
            </w:pPr>
            <w:r w:rsidRPr="00A36623">
              <w:rPr>
                <w:b/>
                <w:sz w:val="12"/>
                <w:szCs w:val="12"/>
              </w:rPr>
              <w:t>-</w:t>
            </w:r>
          </w:p>
        </w:tc>
      </w:tr>
      <w:tr w:rsidR="00980409" w:rsidRPr="007C0BA6" w14:paraId="596BB799" w14:textId="77777777" w:rsidTr="00F142CB">
        <w:trPr>
          <w:trHeight w:val="80"/>
        </w:trPr>
        <w:tc>
          <w:tcPr>
            <w:tcW w:w="362" w:type="dxa"/>
            <w:noWrap/>
            <w:tcMar>
              <w:top w:w="20" w:type="dxa"/>
              <w:left w:w="20" w:type="dxa"/>
              <w:bottom w:w="0" w:type="dxa"/>
              <w:right w:w="20" w:type="dxa"/>
            </w:tcMar>
            <w:vAlign w:val="bottom"/>
          </w:tcPr>
          <w:p w14:paraId="1FB5C713" w14:textId="77777777" w:rsidR="00980409" w:rsidRPr="007C0BA6" w:rsidRDefault="00980409" w:rsidP="00980409">
            <w:pPr>
              <w:spacing w:line="192" w:lineRule="auto"/>
              <w:ind w:right="-30"/>
              <w:rPr>
                <w:b/>
                <w:bCs/>
                <w:sz w:val="12"/>
                <w:szCs w:val="12"/>
              </w:rPr>
            </w:pPr>
            <w:r w:rsidRPr="007C0BA6">
              <w:rPr>
                <w:b/>
                <w:bCs/>
                <w:sz w:val="12"/>
                <w:szCs w:val="12"/>
              </w:rPr>
              <w:t>VIII.</w:t>
            </w:r>
          </w:p>
        </w:tc>
        <w:tc>
          <w:tcPr>
            <w:tcW w:w="2332" w:type="dxa"/>
            <w:noWrap/>
            <w:tcMar>
              <w:top w:w="20" w:type="dxa"/>
              <w:left w:w="20" w:type="dxa"/>
              <w:bottom w:w="0" w:type="dxa"/>
              <w:right w:w="20" w:type="dxa"/>
            </w:tcMar>
            <w:vAlign w:val="bottom"/>
          </w:tcPr>
          <w:p w14:paraId="1BA2E5B1" w14:textId="77777777" w:rsidR="00980409" w:rsidRPr="007C0BA6" w:rsidRDefault="00980409" w:rsidP="00980409">
            <w:pPr>
              <w:jc w:val="both"/>
              <w:rPr>
                <w:b/>
                <w:sz w:val="12"/>
                <w:szCs w:val="12"/>
              </w:rPr>
            </w:pPr>
            <w:r w:rsidRPr="007C0BA6">
              <w:rPr>
                <w:b/>
                <w:sz w:val="12"/>
                <w:szCs w:val="12"/>
              </w:rPr>
              <w:t>Foreign Exchange Difference</w:t>
            </w:r>
          </w:p>
        </w:tc>
        <w:tc>
          <w:tcPr>
            <w:tcW w:w="473" w:type="dxa"/>
            <w:vAlign w:val="bottom"/>
          </w:tcPr>
          <w:p w14:paraId="53527D35"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1E9A4627" w14:textId="7216400E"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1F820F3A" w14:textId="6C27F30A"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5B8EDB5E" w14:textId="4D7FEC85"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128280F0" w14:textId="33465978"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33993E38" w14:textId="224A1137"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18F4CBAE" w14:textId="57485F45"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023683D1" w14:textId="3C0D6D4E"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006BA5D9" w14:textId="7A6EE7AA"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3CC61CCC" w14:textId="06058278"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174B99F8" w14:textId="4D034322"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4A5E79FD" w14:textId="7732927B"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257AAFE9" w14:textId="76813B6B"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6EBB3EAE" w14:textId="3C0F6D33"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20608C87" w14:textId="5B23DF54"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32FBDF80" w14:textId="264695EA"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03B9FDC8" w14:textId="67E0AD80"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114991B0" w14:textId="3BF336E9"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4E66D0F9" w14:textId="7EF76E9C" w:rsidR="00980409" w:rsidRPr="00A36623" w:rsidRDefault="00980409" w:rsidP="00980409">
            <w:pPr>
              <w:ind w:left="-1554" w:right="22"/>
              <w:jc w:val="right"/>
              <w:rPr>
                <w:b/>
                <w:sz w:val="12"/>
                <w:szCs w:val="12"/>
              </w:rPr>
            </w:pPr>
            <w:r w:rsidRPr="00A36623">
              <w:rPr>
                <w:b/>
                <w:sz w:val="12"/>
                <w:szCs w:val="12"/>
              </w:rPr>
              <w:t>-</w:t>
            </w:r>
          </w:p>
        </w:tc>
      </w:tr>
      <w:tr w:rsidR="00980409" w:rsidRPr="007C0BA6" w14:paraId="5F04F998" w14:textId="77777777" w:rsidTr="00F142CB">
        <w:trPr>
          <w:trHeight w:val="80"/>
        </w:trPr>
        <w:tc>
          <w:tcPr>
            <w:tcW w:w="362" w:type="dxa"/>
            <w:noWrap/>
            <w:tcMar>
              <w:top w:w="20" w:type="dxa"/>
              <w:left w:w="20" w:type="dxa"/>
              <w:bottom w:w="0" w:type="dxa"/>
              <w:right w:w="20" w:type="dxa"/>
            </w:tcMar>
            <w:vAlign w:val="bottom"/>
          </w:tcPr>
          <w:p w14:paraId="146F4BF1" w14:textId="77777777" w:rsidR="00980409" w:rsidRPr="007C0BA6" w:rsidRDefault="00980409" w:rsidP="00980409">
            <w:pPr>
              <w:spacing w:line="192" w:lineRule="auto"/>
              <w:ind w:right="-30"/>
              <w:rPr>
                <w:rFonts w:eastAsia="Arial Unicode MS"/>
                <w:b/>
                <w:bCs/>
                <w:sz w:val="12"/>
                <w:szCs w:val="12"/>
              </w:rPr>
            </w:pPr>
            <w:r w:rsidRPr="007C0BA6">
              <w:rPr>
                <w:b/>
                <w:bCs/>
                <w:sz w:val="12"/>
                <w:szCs w:val="12"/>
              </w:rPr>
              <w:t>IX.</w:t>
            </w:r>
          </w:p>
        </w:tc>
        <w:tc>
          <w:tcPr>
            <w:tcW w:w="2332" w:type="dxa"/>
            <w:noWrap/>
            <w:tcMar>
              <w:top w:w="20" w:type="dxa"/>
              <w:left w:w="20" w:type="dxa"/>
              <w:bottom w:w="0" w:type="dxa"/>
              <w:right w:w="20" w:type="dxa"/>
            </w:tcMar>
            <w:vAlign w:val="bottom"/>
          </w:tcPr>
          <w:p w14:paraId="0CC10A7C" w14:textId="77777777" w:rsidR="00980409" w:rsidRPr="007C0BA6" w:rsidRDefault="00980409" w:rsidP="00980409">
            <w:pPr>
              <w:spacing w:line="192" w:lineRule="auto"/>
              <w:rPr>
                <w:b/>
                <w:sz w:val="12"/>
                <w:szCs w:val="12"/>
              </w:rPr>
            </w:pPr>
            <w:r w:rsidRPr="007C0BA6">
              <w:rPr>
                <w:b/>
                <w:sz w:val="12"/>
                <w:szCs w:val="12"/>
              </w:rPr>
              <w:t>Changes due to the Disposal of Assets</w:t>
            </w:r>
          </w:p>
        </w:tc>
        <w:tc>
          <w:tcPr>
            <w:tcW w:w="473" w:type="dxa"/>
            <w:vAlign w:val="bottom"/>
          </w:tcPr>
          <w:p w14:paraId="64BBF7C8"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1A1DB177" w14:textId="4BDBA43A"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002DD4BD" w14:textId="3696B2DF"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7946F41B" w14:textId="434EC432"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320F9869" w14:textId="34403AB0"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1B56CBE3" w14:textId="01BE275E"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6BD891D6" w14:textId="45BC8798"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6E5FBECB" w14:textId="6CA2B595"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6A275BEB" w14:textId="288C54E0"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02FE2F0D" w14:textId="75E43DC0"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6C5FAFAE" w14:textId="414EB303"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2DE39BA1" w14:textId="53DA5EAE"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0FD62BCF" w14:textId="6E7A2B0F"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265B6025" w14:textId="376F8185"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1A842AE9" w14:textId="6A01F1E2"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5B6EDA59" w14:textId="68A34B39"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46BB80E4" w14:textId="4D0E841B"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224C8EA2" w14:textId="2576EE9C"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6E08B497" w14:textId="1E1CAFE2" w:rsidR="00980409" w:rsidRPr="00A36623" w:rsidRDefault="00980409" w:rsidP="00980409">
            <w:pPr>
              <w:ind w:left="-1554" w:right="22"/>
              <w:jc w:val="right"/>
              <w:rPr>
                <w:b/>
                <w:sz w:val="12"/>
                <w:szCs w:val="12"/>
              </w:rPr>
            </w:pPr>
            <w:r w:rsidRPr="00A36623">
              <w:rPr>
                <w:b/>
                <w:sz w:val="12"/>
                <w:szCs w:val="12"/>
              </w:rPr>
              <w:t>-</w:t>
            </w:r>
          </w:p>
        </w:tc>
      </w:tr>
      <w:tr w:rsidR="00980409" w:rsidRPr="007C0BA6" w14:paraId="704A92A3" w14:textId="77777777" w:rsidTr="00F142CB">
        <w:trPr>
          <w:trHeight w:val="80"/>
        </w:trPr>
        <w:tc>
          <w:tcPr>
            <w:tcW w:w="362" w:type="dxa"/>
            <w:noWrap/>
            <w:tcMar>
              <w:top w:w="20" w:type="dxa"/>
              <w:left w:w="20" w:type="dxa"/>
              <w:bottom w:w="0" w:type="dxa"/>
              <w:right w:w="20" w:type="dxa"/>
            </w:tcMar>
          </w:tcPr>
          <w:p w14:paraId="5CE8160E" w14:textId="77777777" w:rsidR="00980409" w:rsidRPr="007C0BA6" w:rsidRDefault="00980409" w:rsidP="00980409">
            <w:pPr>
              <w:spacing w:line="192" w:lineRule="auto"/>
              <w:ind w:right="-30"/>
              <w:rPr>
                <w:rFonts w:eastAsia="Arial Unicode MS"/>
                <w:b/>
                <w:bCs/>
                <w:sz w:val="12"/>
                <w:szCs w:val="12"/>
              </w:rPr>
            </w:pPr>
            <w:r w:rsidRPr="007C0BA6">
              <w:rPr>
                <w:b/>
                <w:bCs/>
                <w:sz w:val="12"/>
                <w:szCs w:val="12"/>
              </w:rPr>
              <w:t>X.</w:t>
            </w:r>
          </w:p>
        </w:tc>
        <w:tc>
          <w:tcPr>
            <w:tcW w:w="2332" w:type="dxa"/>
            <w:noWrap/>
            <w:tcMar>
              <w:top w:w="20" w:type="dxa"/>
              <w:left w:w="20" w:type="dxa"/>
              <w:bottom w:w="0" w:type="dxa"/>
              <w:right w:w="20" w:type="dxa"/>
            </w:tcMar>
            <w:vAlign w:val="bottom"/>
          </w:tcPr>
          <w:p w14:paraId="4EA30F1F" w14:textId="77777777" w:rsidR="00980409" w:rsidRPr="007C0BA6" w:rsidRDefault="00980409" w:rsidP="00980409">
            <w:pPr>
              <w:spacing w:line="192" w:lineRule="auto"/>
              <w:rPr>
                <w:b/>
                <w:sz w:val="12"/>
                <w:szCs w:val="12"/>
              </w:rPr>
            </w:pPr>
            <w:r w:rsidRPr="007C0BA6">
              <w:rPr>
                <w:b/>
                <w:sz w:val="12"/>
                <w:szCs w:val="12"/>
              </w:rPr>
              <w:t>Changes due to the Reclassification of the Assets</w:t>
            </w:r>
          </w:p>
        </w:tc>
        <w:tc>
          <w:tcPr>
            <w:tcW w:w="473" w:type="dxa"/>
            <w:vAlign w:val="bottom"/>
          </w:tcPr>
          <w:p w14:paraId="6087F1A6"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5A4E61E4" w14:textId="4793F034"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0C0E59F3" w14:textId="7F15678E"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1D9D64E5" w14:textId="7CF30AAE"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3A345FB6" w14:textId="40EB9C92"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06489DA4" w14:textId="6C91C2EB"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2AD44BDC" w14:textId="39E423F3"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2D6F0200" w14:textId="49E32CA2"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16AC93FE" w14:textId="084EFD19"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75B63084" w14:textId="79907D3B"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69702F76" w14:textId="1274567C"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0FD9B748" w14:textId="250C33F7"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2E5910D6" w14:textId="065D7CD4"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29E7A6C1" w14:textId="1E17AFC8"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36F4F8C1" w14:textId="7ECB972A"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6EF7D841" w14:textId="52A2F9AE"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35303524" w14:textId="3CF15E74"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157385EA" w14:textId="1CB6AFF1"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0BE521B3" w14:textId="3635D4EE" w:rsidR="00980409" w:rsidRPr="00A36623" w:rsidRDefault="00980409" w:rsidP="00980409">
            <w:pPr>
              <w:ind w:left="-1554" w:right="22"/>
              <w:jc w:val="right"/>
              <w:rPr>
                <w:b/>
                <w:sz w:val="12"/>
                <w:szCs w:val="12"/>
              </w:rPr>
            </w:pPr>
            <w:r w:rsidRPr="00A36623">
              <w:rPr>
                <w:b/>
                <w:sz w:val="12"/>
                <w:szCs w:val="12"/>
              </w:rPr>
              <w:t>-</w:t>
            </w:r>
          </w:p>
        </w:tc>
      </w:tr>
      <w:tr w:rsidR="00980409" w:rsidRPr="007C0BA6" w14:paraId="2417A22C" w14:textId="77777777" w:rsidTr="00F142CB">
        <w:trPr>
          <w:trHeight w:val="80"/>
        </w:trPr>
        <w:tc>
          <w:tcPr>
            <w:tcW w:w="362" w:type="dxa"/>
            <w:noWrap/>
            <w:tcMar>
              <w:top w:w="20" w:type="dxa"/>
              <w:left w:w="20" w:type="dxa"/>
              <w:bottom w:w="0" w:type="dxa"/>
              <w:right w:w="20" w:type="dxa"/>
            </w:tcMar>
          </w:tcPr>
          <w:p w14:paraId="77E86369" w14:textId="77777777" w:rsidR="00980409" w:rsidRPr="007C0BA6" w:rsidRDefault="00980409" w:rsidP="00980409">
            <w:pPr>
              <w:spacing w:line="192" w:lineRule="auto"/>
              <w:ind w:right="-30"/>
              <w:rPr>
                <w:rFonts w:eastAsia="Arial Unicode MS"/>
                <w:b/>
                <w:bCs/>
                <w:sz w:val="12"/>
                <w:szCs w:val="12"/>
              </w:rPr>
            </w:pPr>
            <w:r w:rsidRPr="007C0BA6">
              <w:rPr>
                <w:b/>
                <w:bCs/>
                <w:sz w:val="12"/>
                <w:szCs w:val="12"/>
              </w:rPr>
              <w:t>XI.</w:t>
            </w:r>
          </w:p>
        </w:tc>
        <w:tc>
          <w:tcPr>
            <w:tcW w:w="2332" w:type="dxa"/>
            <w:noWrap/>
            <w:tcMar>
              <w:top w:w="20" w:type="dxa"/>
              <w:left w:w="20" w:type="dxa"/>
              <w:bottom w:w="0" w:type="dxa"/>
              <w:right w:w="20" w:type="dxa"/>
            </w:tcMar>
            <w:vAlign w:val="bottom"/>
          </w:tcPr>
          <w:p w14:paraId="293A9813" w14:textId="77777777" w:rsidR="00980409" w:rsidRPr="007C0BA6" w:rsidRDefault="00980409" w:rsidP="00980409">
            <w:pPr>
              <w:spacing w:line="192" w:lineRule="auto"/>
              <w:rPr>
                <w:sz w:val="12"/>
                <w:szCs w:val="12"/>
              </w:rPr>
            </w:pPr>
            <w:r w:rsidRPr="007C0BA6">
              <w:rPr>
                <w:b/>
                <w:sz w:val="12"/>
                <w:szCs w:val="12"/>
              </w:rPr>
              <w:t>Effects of Changes in Equity of Investments</w:t>
            </w:r>
            <w:r w:rsidRPr="007C0BA6">
              <w:rPr>
                <w:b/>
                <w:sz w:val="12"/>
                <w:szCs w:val="12"/>
              </w:rPr>
              <w:br/>
              <w:t xml:space="preserve"> in Associates </w:t>
            </w:r>
          </w:p>
        </w:tc>
        <w:tc>
          <w:tcPr>
            <w:tcW w:w="473" w:type="dxa"/>
            <w:vAlign w:val="bottom"/>
          </w:tcPr>
          <w:p w14:paraId="47E8DE27"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4B9F626C" w14:textId="2A7F137B" w:rsidR="00980409" w:rsidRPr="00A36623" w:rsidRDefault="00980409" w:rsidP="00980409">
            <w:pPr>
              <w:ind w:left="-1554" w:right="22"/>
              <w:jc w:val="right"/>
              <w:rPr>
                <w:b/>
                <w:sz w:val="12"/>
                <w:szCs w:val="12"/>
              </w:rPr>
            </w:pPr>
            <w:r w:rsidRPr="00A36623">
              <w:rPr>
                <w:b/>
                <w:sz w:val="12"/>
                <w:szCs w:val="12"/>
              </w:rPr>
              <w:t>-</w:t>
            </w:r>
          </w:p>
        </w:tc>
        <w:tc>
          <w:tcPr>
            <w:tcW w:w="669" w:type="dxa"/>
            <w:vAlign w:val="bottom"/>
          </w:tcPr>
          <w:p w14:paraId="3C8FA46C" w14:textId="73743672"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6DA39F3E" w14:textId="29355B99" w:rsidR="00980409" w:rsidRPr="00A36623" w:rsidRDefault="00980409" w:rsidP="00980409">
            <w:pPr>
              <w:ind w:left="-1554" w:right="22"/>
              <w:jc w:val="right"/>
              <w:rPr>
                <w:b/>
                <w:sz w:val="12"/>
                <w:szCs w:val="12"/>
              </w:rPr>
            </w:pPr>
            <w:r w:rsidRPr="00A36623">
              <w:rPr>
                <w:b/>
                <w:sz w:val="12"/>
                <w:szCs w:val="12"/>
              </w:rPr>
              <w:t>-</w:t>
            </w:r>
          </w:p>
        </w:tc>
        <w:tc>
          <w:tcPr>
            <w:tcW w:w="707" w:type="dxa"/>
            <w:noWrap/>
            <w:tcMar>
              <w:top w:w="20" w:type="dxa"/>
              <w:left w:w="20" w:type="dxa"/>
              <w:bottom w:w="0" w:type="dxa"/>
              <w:right w:w="20" w:type="dxa"/>
            </w:tcMar>
            <w:vAlign w:val="bottom"/>
          </w:tcPr>
          <w:p w14:paraId="39210FD3" w14:textId="66A08E1C" w:rsidR="00980409" w:rsidRPr="00A36623" w:rsidRDefault="00980409" w:rsidP="00980409">
            <w:pPr>
              <w:ind w:left="-1554" w:right="22"/>
              <w:jc w:val="right"/>
              <w:rPr>
                <w:b/>
                <w:sz w:val="12"/>
                <w:szCs w:val="12"/>
              </w:rPr>
            </w:pPr>
            <w:r w:rsidRPr="00A36623">
              <w:rPr>
                <w:b/>
                <w:sz w:val="12"/>
                <w:szCs w:val="12"/>
              </w:rPr>
              <w:t>-</w:t>
            </w:r>
          </w:p>
        </w:tc>
        <w:tc>
          <w:tcPr>
            <w:tcW w:w="602" w:type="dxa"/>
            <w:noWrap/>
            <w:tcMar>
              <w:top w:w="20" w:type="dxa"/>
              <w:left w:w="20" w:type="dxa"/>
              <w:bottom w:w="0" w:type="dxa"/>
              <w:right w:w="20" w:type="dxa"/>
            </w:tcMar>
            <w:vAlign w:val="bottom"/>
          </w:tcPr>
          <w:p w14:paraId="4468E6B2" w14:textId="08115193" w:rsidR="00980409" w:rsidRPr="00A36623" w:rsidRDefault="00980409" w:rsidP="00980409">
            <w:pPr>
              <w:ind w:left="-1554" w:right="22"/>
              <w:jc w:val="right"/>
              <w:rPr>
                <w:b/>
                <w:sz w:val="12"/>
                <w:szCs w:val="12"/>
              </w:rPr>
            </w:pPr>
            <w:r w:rsidRPr="00A36623">
              <w:rPr>
                <w:b/>
                <w:sz w:val="12"/>
                <w:szCs w:val="12"/>
              </w:rPr>
              <w:t>-</w:t>
            </w:r>
          </w:p>
        </w:tc>
        <w:tc>
          <w:tcPr>
            <w:tcW w:w="536" w:type="dxa"/>
            <w:noWrap/>
            <w:tcMar>
              <w:top w:w="20" w:type="dxa"/>
              <w:left w:w="20" w:type="dxa"/>
              <w:bottom w:w="0" w:type="dxa"/>
              <w:right w:w="20" w:type="dxa"/>
            </w:tcMar>
            <w:vAlign w:val="bottom"/>
          </w:tcPr>
          <w:p w14:paraId="07671ABA" w14:textId="2BFBB258" w:rsidR="00980409" w:rsidRPr="00A36623" w:rsidRDefault="00980409" w:rsidP="00980409">
            <w:pPr>
              <w:ind w:left="-1554" w:right="22"/>
              <w:jc w:val="right"/>
              <w:rPr>
                <w:b/>
                <w:sz w:val="12"/>
                <w:szCs w:val="12"/>
              </w:rPr>
            </w:pPr>
            <w:r w:rsidRPr="00A36623">
              <w:rPr>
                <w:b/>
                <w:sz w:val="12"/>
                <w:szCs w:val="12"/>
              </w:rPr>
              <w:t>-</w:t>
            </w:r>
          </w:p>
        </w:tc>
        <w:tc>
          <w:tcPr>
            <w:tcW w:w="821" w:type="dxa"/>
            <w:noWrap/>
            <w:tcMar>
              <w:top w:w="20" w:type="dxa"/>
              <w:left w:w="20" w:type="dxa"/>
              <w:bottom w:w="0" w:type="dxa"/>
              <w:right w:w="20" w:type="dxa"/>
            </w:tcMar>
            <w:vAlign w:val="bottom"/>
          </w:tcPr>
          <w:p w14:paraId="1978FFCE" w14:textId="75CCCE3C" w:rsidR="00980409" w:rsidRPr="00A36623" w:rsidRDefault="00980409" w:rsidP="00980409">
            <w:pPr>
              <w:ind w:left="-1554" w:right="22"/>
              <w:jc w:val="right"/>
              <w:rPr>
                <w:b/>
                <w:sz w:val="12"/>
                <w:szCs w:val="12"/>
              </w:rPr>
            </w:pPr>
            <w:r w:rsidRPr="00A36623">
              <w:rPr>
                <w:b/>
                <w:sz w:val="12"/>
                <w:szCs w:val="12"/>
              </w:rPr>
              <w:t>-</w:t>
            </w:r>
          </w:p>
        </w:tc>
        <w:tc>
          <w:tcPr>
            <w:tcW w:w="648" w:type="dxa"/>
            <w:noWrap/>
            <w:tcMar>
              <w:top w:w="20" w:type="dxa"/>
              <w:left w:w="20" w:type="dxa"/>
              <w:bottom w:w="0" w:type="dxa"/>
              <w:right w:w="20" w:type="dxa"/>
            </w:tcMar>
            <w:vAlign w:val="bottom"/>
          </w:tcPr>
          <w:p w14:paraId="51FA3815" w14:textId="1A934AE3" w:rsidR="00980409" w:rsidRPr="00A36623" w:rsidRDefault="00980409" w:rsidP="00980409">
            <w:pPr>
              <w:ind w:left="-1554" w:right="22"/>
              <w:jc w:val="right"/>
              <w:rPr>
                <w:b/>
                <w:sz w:val="12"/>
                <w:szCs w:val="12"/>
              </w:rPr>
            </w:pPr>
            <w:r w:rsidRPr="00A36623">
              <w:rPr>
                <w:b/>
                <w:sz w:val="12"/>
                <w:szCs w:val="12"/>
              </w:rPr>
              <w:t>-</w:t>
            </w:r>
          </w:p>
        </w:tc>
        <w:tc>
          <w:tcPr>
            <w:tcW w:w="617" w:type="dxa"/>
            <w:noWrap/>
            <w:tcMar>
              <w:top w:w="20" w:type="dxa"/>
              <w:left w:w="20" w:type="dxa"/>
              <w:bottom w:w="0" w:type="dxa"/>
              <w:right w:w="20" w:type="dxa"/>
            </w:tcMar>
            <w:vAlign w:val="bottom"/>
          </w:tcPr>
          <w:p w14:paraId="07466AF4" w14:textId="3C721A86" w:rsidR="00980409" w:rsidRPr="00A36623" w:rsidRDefault="00980409" w:rsidP="00980409">
            <w:pPr>
              <w:ind w:left="-1554" w:right="22"/>
              <w:jc w:val="right"/>
              <w:rPr>
                <w:b/>
                <w:sz w:val="12"/>
                <w:szCs w:val="12"/>
              </w:rPr>
            </w:pPr>
            <w:r w:rsidRPr="00A36623">
              <w:rPr>
                <w:b/>
                <w:sz w:val="12"/>
                <w:szCs w:val="12"/>
              </w:rPr>
              <w:t>-</w:t>
            </w:r>
          </w:p>
        </w:tc>
        <w:tc>
          <w:tcPr>
            <w:tcW w:w="642" w:type="dxa"/>
            <w:noWrap/>
            <w:tcMar>
              <w:top w:w="20" w:type="dxa"/>
              <w:left w:w="20" w:type="dxa"/>
              <w:bottom w:w="0" w:type="dxa"/>
              <w:right w:w="20" w:type="dxa"/>
            </w:tcMar>
            <w:vAlign w:val="bottom"/>
          </w:tcPr>
          <w:p w14:paraId="3381C6A4" w14:textId="71CF0483" w:rsidR="00980409" w:rsidRPr="00A36623" w:rsidRDefault="00980409" w:rsidP="00980409">
            <w:pPr>
              <w:ind w:left="-1554" w:right="22"/>
              <w:jc w:val="right"/>
              <w:rPr>
                <w:b/>
                <w:sz w:val="12"/>
                <w:szCs w:val="12"/>
              </w:rPr>
            </w:pPr>
            <w:r w:rsidRPr="00A36623">
              <w:rPr>
                <w:b/>
                <w:sz w:val="12"/>
                <w:szCs w:val="12"/>
              </w:rPr>
              <w:t>-</w:t>
            </w:r>
          </w:p>
        </w:tc>
        <w:tc>
          <w:tcPr>
            <w:tcW w:w="732" w:type="dxa"/>
            <w:vAlign w:val="bottom"/>
          </w:tcPr>
          <w:p w14:paraId="14AE5DAB" w14:textId="79F71AA3" w:rsidR="00980409" w:rsidRPr="00A36623" w:rsidRDefault="00980409" w:rsidP="00980409">
            <w:pPr>
              <w:ind w:left="-1554" w:right="22"/>
              <w:jc w:val="right"/>
              <w:rPr>
                <w:b/>
                <w:sz w:val="12"/>
                <w:szCs w:val="12"/>
              </w:rPr>
            </w:pPr>
            <w:r w:rsidRPr="00A36623">
              <w:rPr>
                <w:b/>
                <w:sz w:val="12"/>
                <w:szCs w:val="12"/>
              </w:rPr>
              <w:t>-</w:t>
            </w:r>
          </w:p>
        </w:tc>
        <w:tc>
          <w:tcPr>
            <w:tcW w:w="880" w:type="dxa"/>
            <w:vAlign w:val="bottom"/>
          </w:tcPr>
          <w:p w14:paraId="004C25AB" w14:textId="1C0D89B9" w:rsidR="00980409" w:rsidRPr="00A36623" w:rsidRDefault="00980409" w:rsidP="00980409">
            <w:pPr>
              <w:ind w:left="-1554" w:right="22"/>
              <w:jc w:val="right"/>
              <w:rPr>
                <w:b/>
                <w:sz w:val="12"/>
                <w:szCs w:val="12"/>
              </w:rPr>
            </w:pPr>
            <w:r w:rsidRPr="00A36623">
              <w:rPr>
                <w:b/>
                <w:sz w:val="12"/>
                <w:szCs w:val="12"/>
              </w:rPr>
              <w:t>-</w:t>
            </w:r>
          </w:p>
        </w:tc>
        <w:tc>
          <w:tcPr>
            <w:tcW w:w="722" w:type="dxa"/>
            <w:noWrap/>
            <w:tcMar>
              <w:top w:w="20" w:type="dxa"/>
              <w:left w:w="20" w:type="dxa"/>
              <w:bottom w:w="0" w:type="dxa"/>
              <w:right w:w="20" w:type="dxa"/>
            </w:tcMar>
            <w:vAlign w:val="bottom"/>
          </w:tcPr>
          <w:p w14:paraId="044DBB9C" w14:textId="369AE19D" w:rsidR="00980409" w:rsidRPr="00A36623" w:rsidRDefault="00980409" w:rsidP="00980409">
            <w:pPr>
              <w:ind w:left="-1554" w:right="22"/>
              <w:jc w:val="right"/>
              <w:rPr>
                <w:b/>
                <w:sz w:val="12"/>
                <w:szCs w:val="12"/>
              </w:rPr>
            </w:pPr>
            <w:r w:rsidRPr="00A36623">
              <w:rPr>
                <w:b/>
                <w:sz w:val="12"/>
                <w:szCs w:val="12"/>
              </w:rPr>
              <w:t>-</w:t>
            </w:r>
          </w:p>
        </w:tc>
        <w:tc>
          <w:tcPr>
            <w:tcW w:w="589" w:type="dxa"/>
            <w:noWrap/>
            <w:tcMar>
              <w:top w:w="20" w:type="dxa"/>
              <w:left w:w="20" w:type="dxa"/>
              <w:bottom w:w="0" w:type="dxa"/>
              <w:right w:w="20" w:type="dxa"/>
            </w:tcMar>
            <w:vAlign w:val="bottom"/>
          </w:tcPr>
          <w:p w14:paraId="352302C7" w14:textId="7573BF80" w:rsidR="00980409" w:rsidRPr="00A36623" w:rsidRDefault="00980409" w:rsidP="00980409">
            <w:pPr>
              <w:ind w:left="-1554" w:right="22"/>
              <w:jc w:val="right"/>
              <w:rPr>
                <w:b/>
                <w:sz w:val="12"/>
                <w:szCs w:val="12"/>
              </w:rPr>
            </w:pPr>
            <w:r w:rsidRPr="00A36623">
              <w:rPr>
                <w:b/>
                <w:sz w:val="12"/>
                <w:szCs w:val="12"/>
              </w:rPr>
              <w:t>-</w:t>
            </w:r>
          </w:p>
        </w:tc>
        <w:tc>
          <w:tcPr>
            <w:tcW w:w="801" w:type="dxa"/>
            <w:noWrap/>
            <w:tcMar>
              <w:top w:w="20" w:type="dxa"/>
              <w:left w:w="20" w:type="dxa"/>
              <w:bottom w:w="0" w:type="dxa"/>
              <w:right w:w="20" w:type="dxa"/>
            </w:tcMar>
            <w:vAlign w:val="bottom"/>
          </w:tcPr>
          <w:p w14:paraId="1B2E497F" w14:textId="67181496" w:rsidR="00980409" w:rsidRPr="00A36623" w:rsidRDefault="00980409" w:rsidP="00980409">
            <w:pPr>
              <w:ind w:left="-1554" w:right="22"/>
              <w:jc w:val="right"/>
              <w:rPr>
                <w:b/>
                <w:sz w:val="12"/>
                <w:szCs w:val="12"/>
              </w:rPr>
            </w:pPr>
            <w:r w:rsidRPr="00A36623">
              <w:rPr>
                <w:b/>
                <w:sz w:val="12"/>
                <w:szCs w:val="12"/>
              </w:rPr>
              <w:t>-</w:t>
            </w:r>
          </w:p>
        </w:tc>
        <w:tc>
          <w:tcPr>
            <w:tcW w:w="626" w:type="dxa"/>
            <w:vAlign w:val="bottom"/>
          </w:tcPr>
          <w:p w14:paraId="59C65F72" w14:textId="5EB31144" w:rsidR="00980409" w:rsidRPr="00A36623" w:rsidRDefault="00980409" w:rsidP="00980409">
            <w:pPr>
              <w:ind w:left="-1554" w:right="22"/>
              <w:jc w:val="right"/>
              <w:rPr>
                <w:b/>
                <w:sz w:val="12"/>
                <w:szCs w:val="12"/>
              </w:rPr>
            </w:pPr>
            <w:r w:rsidRPr="00A36623">
              <w:rPr>
                <w:b/>
                <w:sz w:val="12"/>
                <w:szCs w:val="12"/>
              </w:rPr>
              <w:t>-</w:t>
            </w:r>
          </w:p>
        </w:tc>
        <w:tc>
          <w:tcPr>
            <w:tcW w:w="728" w:type="dxa"/>
            <w:vAlign w:val="bottom"/>
          </w:tcPr>
          <w:p w14:paraId="2A48737E" w14:textId="1F54B0CD" w:rsidR="00980409" w:rsidRPr="00A36623" w:rsidRDefault="00980409" w:rsidP="00980409">
            <w:pPr>
              <w:ind w:left="-1554" w:right="22"/>
              <w:jc w:val="right"/>
              <w:rPr>
                <w:b/>
                <w:sz w:val="12"/>
                <w:szCs w:val="12"/>
              </w:rPr>
            </w:pPr>
            <w:r w:rsidRPr="00A36623">
              <w:rPr>
                <w:b/>
                <w:sz w:val="12"/>
                <w:szCs w:val="12"/>
              </w:rPr>
              <w:t>-</w:t>
            </w:r>
          </w:p>
        </w:tc>
        <w:tc>
          <w:tcPr>
            <w:tcW w:w="756" w:type="dxa"/>
            <w:vAlign w:val="bottom"/>
          </w:tcPr>
          <w:p w14:paraId="3883671D" w14:textId="5FF31526" w:rsidR="00980409" w:rsidRPr="00A36623" w:rsidRDefault="00980409" w:rsidP="00980409">
            <w:pPr>
              <w:ind w:left="-1554" w:right="22"/>
              <w:jc w:val="right"/>
              <w:rPr>
                <w:b/>
                <w:sz w:val="12"/>
                <w:szCs w:val="12"/>
              </w:rPr>
            </w:pPr>
            <w:r w:rsidRPr="00A36623">
              <w:rPr>
                <w:b/>
                <w:sz w:val="12"/>
                <w:szCs w:val="12"/>
              </w:rPr>
              <w:t>-</w:t>
            </w:r>
          </w:p>
        </w:tc>
      </w:tr>
      <w:tr w:rsidR="00980409" w:rsidRPr="007C0BA6" w14:paraId="75C08DC2" w14:textId="77777777" w:rsidTr="00F142CB">
        <w:trPr>
          <w:trHeight w:val="80"/>
        </w:trPr>
        <w:tc>
          <w:tcPr>
            <w:tcW w:w="362" w:type="dxa"/>
            <w:noWrap/>
            <w:tcMar>
              <w:top w:w="20" w:type="dxa"/>
              <w:left w:w="20" w:type="dxa"/>
              <w:bottom w:w="0" w:type="dxa"/>
              <w:right w:w="20" w:type="dxa"/>
            </w:tcMar>
            <w:vAlign w:val="bottom"/>
          </w:tcPr>
          <w:p w14:paraId="39B53545" w14:textId="77777777" w:rsidR="00980409" w:rsidRPr="007C0BA6" w:rsidRDefault="00980409" w:rsidP="00980409">
            <w:pPr>
              <w:spacing w:line="192" w:lineRule="auto"/>
              <w:ind w:right="-30"/>
              <w:rPr>
                <w:rFonts w:eastAsia="Arial Unicode MS"/>
                <w:b/>
                <w:bCs/>
                <w:sz w:val="12"/>
                <w:szCs w:val="12"/>
              </w:rPr>
            </w:pPr>
            <w:r w:rsidRPr="007C0BA6">
              <w:rPr>
                <w:rFonts w:eastAsia="Arial Unicode MS"/>
                <w:b/>
                <w:bCs/>
                <w:sz w:val="12"/>
                <w:szCs w:val="12"/>
              </w:rPr>
              <w:t>XII.</w:t>
            </w:r>
          </w:p>
        </w:tc>
        <w:tc>
          <w:tcPr>
            <w:tcW w:w="2332" w:type="dxa"/>
            <w:noWrap/>
            <w:tcMar>
              <w:top w:w="20" w:type="dxa"/>
              <w:left w:w="20" w:type="dxa"/>
              <w:bottom w:w="0" w:type="dxa"/>
              <w:right w:w="20" w:type="dxa"/>
            </w:tcMar>
            <w:vAlign w:val="bottom"/>
          </w:tcPr>
          <w:p w14:paraId="77C97640" w14:textId="77777777" w:rsidR="00980409" w:rsidRPr="007C0BA6" w:rsidRDefault="00980409" w:rsidP="00980409">
            <w:pPr>
              <w:spacing w:line="192" w:lineRule="auto"/>
              <w:jc w:val="both"/>
              <w:rPr>
                <w:rFonts w:eastAsia="Arial Unicode MS"/>
                <w:b/>
                <w:sz w:val="12"/>
                <w:szCs w:val="12"/>
              </w:rPr>
            </w:pPr>
            <w:r w:rsidRPr="007C0BA6">
              <w:rPr>
                <w:b/>
                <w:sz w:val="12"/>
                <w:szCs w:val="12"/>
              </w:rPr>
              <w:t>Capital Increase</w:t>
            </w:r>
          </w:p>
        </w:tc>
        <w:tc>
          <w:tcPr>
            <w:tcW w:w="473" w:type="dxa"/>
            <w:vAlign w:val="bottom"/>
          </w:tcPr>
          <w:p w14:paraId="06CA5B75"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1C2341B1" w14:textId="2A9B33B3"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200</w:t>
            </w:r>
            <w:r>
              <w:rPr>
                <w:rFonts w:eastAsia="Arial Unicode MS"/>
                <w:b/>
                <w:bCs/>
                <w:sz w:val="11"/>
                <w:szCs w:val="11"/>
              </w:rPr>
              <w:t>,</w:t>
            </w:r>
            <w:r w:rsidRPr="00A36623">
              <w:rPr>
                <w:rFonts w:eastAsia="Arial Unicode MS"/>
                <w:b/>
                <w:bCs/>
                <w:sz w:val="11"/>
                <w:szCs w:val="11"/>
              </w:rPr>
              <w:t>000</w:t>
            </w:r>
          </w:p>
        </w:tc>
        <w:tc>
          <w:tcPr>
            <w:tcW w:w="669" w:type="dxa"/>
            <w:vAlign w:val="bottom"/>
          </w:tcPr>
          <w:p w14:paraId="0F9BE0E5" w14:textId="6E71420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36" w:type="dxa"/>
            <w:noWrap/>
            <w:tcMar>
              <w:top w:w="20" w:type="dxa"/>
              <w:left w:w="20" w:type="dxa"/>
              <w:bottom w:w="0" w:type="dxa"/>
              <w:right w:w="20" w:type="dxa"/>
            </w:tcMar>
            <w:vAlign w:val="bottom"/>
          </w:tcPr>
          <w:p w14:paraId="6A0F7081" w14:textId="318BB56D"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21</w:t>
            </w:r>
          </w:p>
        </w:tc>
        <w:tc>
          <w:tcPr>
            <w:tcW w:w="707" w:type="dxa"/>
            <w:noWrap/>
            <w:tcMar>
              <w:top w:w="20" w:type="dxa"/>
              <w:left w:w="20" w:type="dxa"/>
              <w:bottom w:w="0" w:type="dxa"/>
              <w:right w:w="20" w:type="dxa"/>
            </w:tcMar>
            <w:vAlign w:val="bottom"/>
          </w:tcPr>
          <w:p w14:paraId="6D5BF15B" w14:textId="5F5A31FD"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02" w:type="dxa"/>
            <w:noWrap/>
            <w:tcMar>
              <w:top w:w="20" w:type="dxa"/>
              <w:left w:w="20" w:type="dxa"/>
              <w:bottom w:w="0" w:type="dxa"/>
              <w:right w:w="20" w:type="dxa"/>
            </w:tcMar>
            <w:vAlign w:val="bottom"/>
          </w:tcPr>
          <w:p w14:paraId="7B4730DB" w14:textId="0A69F1D4"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36" w:type="dxa"/>
            <w:noWrap/>
            <w:tcMar>
              <w:top w:w="20" w:type="dxa"/>
              <w:left w:w="20" w:type="dxa"/>
              <w:bottom w:w="0" w:type="dxa"/>
              <w:right w:w="20" w:type="dxa"/>
            </w:tcMar>
            <w:vAlign w:val="bottom"/>
          </w:tcPr>
          <w:p w14:paraId="752A4B0D" w14:textId="477A613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21" w:type="dxa"/>
            <w:noWrap/>
            <w:tcMar>
              <w:top w:w="20" w:type="dxa"/>
              <w:left w:w="20" w:type="dxa"/>
              <w:bottom w:w="0" w:type="dxa"/>
              <w:right w:w="20" w:type="dxa"/>
            </w:tcMar>
            <w:vAlign w:val="bottom"/>
          </w:tcPr>
          <w:p w14:paraId="728E178C" w14:textId="66F09C21"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8" w:type="dxa"/>
            <w:noWrap/>
            <w:tcMar>
              <w:top w:w="20" w:type="dxa"/>
              <w:left w:w="20" w:type="dxa"/>
              <w:bottom w:w="0" w:type="dxa"/>
              <w:right w:w="20" w:type="dxa"/>
            </w:tcMar>
            <w:vAlign w:val="bottom"/>
          </w:tcPr>
          <w:p w14:paraId="502A505E" w14:textId="70CD1B50"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17" w:type="dxa"/>
            <w:noWrap/>
            <w:tcMar>
              <w:top w:w="20" w:type="dxa"/>
              <w:left w:w="20" w:type="dxa"/>
              <w:bottom w:w="0" w:type="dxa"/>
              <w:right w:w="20" w:type="dxa"/>
            </w:tcMar>
            <w:vAlign w:val="bottom"/>
          </w:tcPr>
          <w:p w14:paraId="0259FF64" w14:textId="484565F8"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2" w:type="dxa"/>
            <w:noWrap/>
            <w:tcMar>
              <w:top w:w="20" w:type="dxa"/>
              <w:left w:w="20" w:type="dxa"/>
              <w:bottom w:w="0" w:type="dxa"/>
              <w:right w:w="20" w:type="dxa"/>
            </w:tcMar>
            <w:vAlign w:val="bottom"/>
          </w:tcPr>
          <w:p w14:paraId="51A75F9E" w14:textId="3E849ED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32" w:type="dxa"/>
            <w:vAlign w:val="bottom"/>
          </w:tcPr>
          <w:p w14:paraId="1D0C0466" w14:textId="3217F83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80" w:type="dxa"/>
            <w:vAlign w:val="bottom"/>
          </w:tcPr>
          <w:p w14:paraId="711178EB" w14:textId="3A677140"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noWrap/>
            <w:tcMar>
              <w:top w:w="20" w:type="dxa"/>
              <w:left w:w="20" w:type="dxa"/>
              <w:bottom w:w="0" w:type="dxa"/>
              <w:right w:w="20" w:type="dxa"/>
            </w:tcMar>
            <w:vAlign w:val="bottom"/>
          </w:tcPr>
          <w:p w14:paraId="4658D498" w14:textId="4C748EA0"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89" w:type="dxa"/>
            <w:noWrap/>
            <w:tcMar>
              <w:top w:w="20" w:type="dxa"/>
              <w:left w:w="20" w:type="dxa"/>
              <w:bottom w:w="0" w:type="dxa"/>
              <w:right w:w="20" w:type="dxa"/>
            </w:tcMar>
            <w:vAlign w:val="bottom"/>
          </w:tcPr>
          <w:p w14:paraId="58E0A38F" w14:textId="777A00A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01" w:type="dxa"/>
            <w:noWrap/>
            <w:tcMar>
              <w:top w:w="20" w:type="dxa"/>
              <w:left w:w="20" w:type="dxa"/>
              <w:bottom w:w="0" w:type="dxa"/>
              <w:right w:w="20" w:type="dxa"/>
            </w:tcMar>
            <w:vAlign w:val="bottom"/>
          </w:tcPr>
          <w:p w14:paraId="3CEF84B5" w14:textId="0CAF9DC7"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vAlign w:val="bottom"/>
          </w:tcPr>
          <w:p w14:paraId="4BC2F2D6" w14:textId="0B3F750F"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200</w:t>
            </w:r>
            <w:r>
              <w:rPr>
                <w:rFonts w:eastAsia="Arial Unicode MS"/>
                <w:b/>
                <w:bCs/>
                <w:sz w:val="11"/>
                <w:szCs w:val="11"/>
              </w:rPr>
              <w:t>,</w:t>
            </w:r>
            <w:r w:rsidRPr="00A36623">
              <w:rPr>
                <w:rFonts w:eastAsia="Arial Unicode MS"/>
                <w:b/>
                <w:bCs/>
                <w:sz w:val="11"/>
                <w:szCs w:val="11"/>
              </w:rPr>
              <w:t>021</w:t>
            </w:r>
          </w:p>
        </w:tc>
        <w:tc>
          <w:tcPr>
            <w:tcW w:w="728" w:type="dxa"/>
            <w:vAlign w:val="bottom"/>
          </w:tcPr>
          <w:p w14:paraId="10EAE8D7" w14:textId="202B835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56" w:type="dxa"/>
            <w:vAlign w:val="bottom"/>
          </w:tcPr>
          <w:p w14:paraId="1EF34591" w14:textId="0F45ACE4"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200</w:t>
            </w:r>
            <w:r>
              <w:rPr>
                <w:rFonts w:eastAsia="Arial Unicode MS"/>
                <w:b/>
                <w:bCs/>
                <w:sz w:val="11"/>
                <w:szCs w:val="11"/>
              </w:rPr>
              <w:t>,</w:t>
            </w:r>
            <w:r w:rsidRPr="00A36623">
              <w:rPr>
                <w:rFonts w:eastAsia="Arial Unicode MS"/>
                <w:b/>
                <w:bCs/>
                <w:sz w:val="11"/>
                <w:szCs w:val="11"/>
              </w:rPr>
              <w:t>021</w:t>
            </w:r>
          </w:p>
        </w:tc>
      </w:tr>
      <w:tr w:rsidR="00980409" w:rsidRPr="007C0BA6" w14:paraId="20275CC0" w14:textId="77777777" w:rsidTr="00F142CB">
        <w:trPr>
          <w:trHeight w:val="80"/>
        </w:trPr>
        <w:tc>
          <w:tcPr>
            <w:tcW w:w="362" w:type="dxa"/>
            <w:noWrap/>
            <w:tcMar>
              <w:top w:w="20" w:type="dxa"/>
              <w:left w:w="20" w:type="dxa"/>
              <w:bottom w:w="0" w:type="dxa"/>
              <w:right w:w="20" w:type="dxa"/>
            </w:tcMar>
            <w:vAlign w:val="bottom"/>
          </w:tcPr>
          <w:p w14:paraId="770B539E" w14:textId="77777777" w:rsidR="00980409" w:rsidRPr="007C0BA6" w:rsidRDefault="00980409" w:rsidP="00980409">
            <w:pPr>
              <w:spacing w:line="192" w:lineRule="auto"/>
              <w:ind w:right="-30"/>
              <w:rPr>
                <w:rFonts w:eastAsia="Arial Unicode MS"/>
                <w:bCs/>
                <w:sz w:val="12"/>
                <w:szCs w:val="12"/>
              </w:rPr>
            </w:pPr>
            <w:r w:rsidRPr="007C0BA6">
              <w:rPr>
                <w:rFonts w:eastAsia="Arial Unicode MS"/>
                <w:bCs/>
                <w:sz w:val="12"/>
                <w:szCs w:val="12"/>
              </w:rPr>
              <w:t>12.1</w:t>
            </w:r>
          </w:p>
        </w:tc>
        <w:tc>
          <w:tcPr>
            <w:tcW w:w="2332" w:type="dxa"/>
            <w:noWrap/>
            <w:tcMar>
              <w:top w:w="20" w:type="dxa"/>
              <w:left w:w="20" w:type="dxa"/>
              <w:bottom w:w="0" w:type="dxa"/>
              <w:right w:w="20" w:type="dxa"/>
            </w:tcMar>
            <w:vAlign w:val="bottom"/>
          </w:tcPr>
          <w:p w14:paraId="0893D641" w14:textId="77777777" w:rsidR="00980409" w:rsidRPr="007C0BA6" w:rsidRDefault="00980409" w:rsidP="00980409">
            <w:pPr>
              <w:spacing w:line="192" w:lineRule="auto"/>
              <w:jc w:val="both"/>
              <w:rPr>
                <w:rFonts w:eastAsia="Arial Unicode MS"/>
                <w:sz w:val="12"/>
                <w:szCs w:val="12"/>
              </w:rPr>
            </w:pPr>
            <w:r w:rsidRPr="007C0BA6">
              <w:rPr>
                <w:rFonts w:eastAsia="Arial Unicode MS"/>
                <w:sz w:val="12"/>
                <w:szCs w:val="12"/>
              </w:rPr>
              <w:t>Cash</w:t>
            </w:r>
          </w:p>
        </w:tc>
        <w:tc>
          <w:tcPr>
            <w:tcW w:w="473" w:type="dxa"/>
          </w:tcPr>
          <w:p w14:paraId="2A8F26D9"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50D22541" w14:textId="3391FF30"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200</w:t>
            </w:r>
            <w:r>
              <w:rPr>
                <w:rFonts w:eastAsia="Arial Unicode MS"/>
                <w:bCs/>
                <w:sz w:val="11"/>
                <w:szCs w:val="11"/>
              </w:rPr>
              <w:t>,</w:t>
            </w:r>
            <w:r w:rsidRPr="00A36623">
              <w:rPr>
                <w:rFonts w:eastAsia="Arial Unicode MS"/>
                <w:bCs/>
                <w:sz w:val="11"/>
                <w:szCs w:val="11"/>
              </w:rPr>
              <w:t>000</w:t>
            </w:r>
          </w:p>
        </w:tc>
        <w:tc>
          <w:tcPr>
            <w:tcW w:w="669" w:type="dxa"/>
            <w:vAlign w:val="bottom"/>
          </w:tcPr>
          <w:p w14:paraId="28EC00F6" w14:textId="71253FA3"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00EDA8C0" w14:textId="5B2F525B"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21</w:t>
            </w:r>
          </w:p>
        </w:tc>
        <w:tc>
          <w:tcPr>
            <w:tcW w:w="707" w:type="dxa"/>
            <w:noWrap/>
            <w:tcMar>
              <w:top w:w="20" w:type="dxa"/>
              <w:left w:w="20" w:type="dxa"/>
              <w:bottom w:w="0" w:type="dxa"/>
              <w:right w:w="20" w:type="dxa"/>
            </w:tcMar>
            <w:vAlign w:val="bottom"/>
          </w:tcPr>
          <w:p w14:paraId="386F76E3" w14:textId="1C06A7C4"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02" w:type="dxa"/>
            <w:noWrap/>
            <w:tcMar>
              <w:top w:w="20" w:type="dxa"/>
              <w:left w:w="20" w:type="dxa"/>
              <w:bottom w:w="0" w:type="dxa"/>
              <w:right w:w="20" w:type="dxa"/>
            </w:tcMar>
            <w:vAlign w:val="bottom"/>
          </w:tcPr>
          <w:p w14:paraId="2730B198" w14:textId="3EDE4882"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1219CBF8" w14:textId="71C76A98"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821" w:type="dxa"/>
            <w:noWrap/>
            <w:tcMar>
              <w:top w:w="20" w:type="dxa"/>
              <w:left w:w="20" w:type="dxa"/>
              <w:bottom w:w="0" w:type="dxa"/>
              <w:right w:w="20" w:type="dxa"/>
            </w:tcMar>
            <w:vAlign w:val="bottom"/>
          </w:tcPr>
          <w:p w14:paraId="02B2A1F8" w14:textId="6C15BEFF"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8" w:type="dxa"/>
            <w:noWrap/>
            <w:tcMar>
              <w:top w:w="20" w:type="dxa"/>
              <w:left w:w="20" w:type="dxa"/>
              <w:bottom w:w="0" w:type="dxa"/>
              <w:right w:w="20" w:type="dxa"/>
            </w:tcMar>
            <w:vAlign w:val="bottom"/>
          </w:tcPr>
          <w:p w14:paraId="19FC5567" w14:textId="3F835F8D"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17" w:type="dxa"/>
            <w:noWrap/>
            <w:tcMar>
              <w:top w:w="20" w:type="dxa"/>
              <w:left w:w="20" w:type="dxa"/>
              <w:bottom w:w="0" w:type="dxa"/>
              <w:right w:w="20" w:type="dxa"/>
            </w:tcMar>
            <w:vAlign w:val="bottom"/>
          </w:tcPr>
          <w:p w14:paraId="00650DA4" w14:textId="3C23324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2" w:type="dxa"/>
            <w:noWrap/>
            <w:tcMar>
              <w:top w:w="20" w:type="dxa"/>
              <w:left w:w="20" w:type="dxa"/>
              <w:bottom w:w="0" w:type="dxa"/>
              <w:right w:w="20" w:type="dxa"/>
            </w:tcMar>
            <w:vAlign w:val="bottom"/>
          </w:tcPr>
          <w:p w14:paraId="3FC9000E" w14:textId="1AA6C145"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32" w:type="dxa"/>
            <w:vAlign w:val="bottom"/>
          </w:tcPr>
          <w:p w14:paraId="1D13EAC3" w14:textId="68C555E1"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80" w:type="dxa"/>
            <w:vAlign w:val="bottom"/>
          </w:tcPr>
          <w:p w14:paraId="2021FC41" w14:textId="441EB41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noWrap/>
            <w:tcMar>
              <w:top w:w="20" w:type="dxa"/>
              <w:left w:w="20" w:type="dxa"/>
              <w:bottom w:w="0" w:type="dxa"/>
              <w:right w:w="20" w:type="dxa"/>
            </w:tcMar>
            <w:vAlign w:val="bottom"/>
          </w:tcPr>
          <w:p w14:paraId="52D7130B" w14:textId="5B4DA9D1"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89" w:type="dxa"/>
            <w:noWrap/>
            <w:tcMar>
              <w:top w:w="20" w:type="dxa"/>
              <w:left w:w="20" w:type="dxa"/>
              <w:bottom w:w="0" w:type="dxa"/>
              <w:right w:w="20" w:type="dxa"/>
            </w:tcMar>
            <w:vAlign w:val="bottom"/>
          </w:tcPr>
          <w:p w14:paraId="20026723" w14:textId="278427C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01" w:type="dxa"/>
            <w:noWrap/>
            <w:tcMar>
              <w:top w:w="20" w:type="dxa"/>
              <w:left w:w="20" w:type="dxa"/>
              <w:bottom w:w="0" w:type="dxa"/>
              <w:right w:w="20" w:type="dxa"/>
            </w:tcMar>
            <w:vAlign w:val="bottom"/>
          </w:tcPr>
          <w:p w14:paraId="173B70E6" w14:textId="0C01F6C5"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vAlign w:val="bottom"/>
          </w:tcPr>
          <w:p w14:paraId="5E66F075" w14:textId="27009E4F"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200</w:t>
            </w:r>
            <w:r>
              <w:rPr>
                <w:rFonts w:eastAsia="Arial Unicode MS"/>
                <w:bCs/>
                <w:sz w:val="11"/>
                <w:szCs w:val="11"/>
              </w:rPr>
              <w:t>,</w:t>
            </w:r>
            <w:r w:rsidRPr="00A36623">
              <w:rPr>
                <w:rFonts w:eastAsia="Arial Unicode MS"/>
                <w:bCs/>
                <w:sz w:val="11"/>
                <w:szCs w:val="11"/>
              </w:rPr>
              <w:t>021</w:t>
            </w:r>
          </w:p>
        </w:tc>
        <w:tc>
          <w:tcPr>
            <w:tcW w:w="728" w:type="dxa"/>
            <w:vAlign w:val="bottom"/>
          </w:tcPr>
          <w:p w14:paraId="2E23AE98" w14:textId="11619492"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56" w:type="dxa"/>
            <w:vAlign w:val="bottom"/>
          </w:tcPr>
          <w:p w14:paraId="29EDBAE3" w14:textId="33EE589C"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200</w:t>
            </w:r>
            <w:r>
              <w:rPr>
                <w:rFonts w:eastAsia="Arial Unicode MS"/>
                <w:bCs/>
                <w:sz w:val="11"/>
                <w:szCs w:val="11"/>
              </w:rPr>
              <w:t>,</w:t>
            </w:r>
            <w:r w:rsidRPr="00A36623">
              <w:rPr>
                <w:rFonts w:eastAsia="Arial Unicode MS"/>
                <w:bCs/>
                <w:sz w:val="11"/>
                <w:szCs w:val="11"/>
              </w:rPr>
              <w:t>021</w:t>
            </w:r>
          </w:p>
        </w:tc>
      </w:tr>
      <w:tr w:rsidR="00980409" w:rsidRPr="007C0BA6" w14:paraId="5C20D6CB" w14:textId="77777777" w:rsidTr="00F142CB">
        <w:trPr>
          <w:trHeight w:val="70"/>
        </w:trPr>
        <w:tc>
          <w:tcPr>
            <w:tcW w:w="362" w:type="dxa"/>
            <w:noWrap/>
            <w:tcMar>
              <w:top w:w="20" w:type="dxa"/>
              <w:left w:w="20" w:type="dxa"/>
              <w:bottom w:w="0" w:type="dxa"/>
              <w:right w:w="20" w:type="dxa"/>
            </w:tcMar>
            <w:vAlign w:val="bottom"/>
          </w:tcPr>
          <w:p w14:paraId="211DF3C4" w14:textId="77777777" w:rsidR="00980409" w:rsidRPr="007C0BA6" w:rsidRDefault="00980409" w:rsidP="00980409">
            <w:pPr>
              <w:spacing w:line="192" w:lineRule="auto"/>
              <w:ind w:right="-30"/>
              <w:rPr>
                <w:rFonts w:eastAsia="Arial Unicode MS"/>
                <w:bCs/>
                <w:sz w:val="12"/>
                <w:szCs w:val="12"/>
              </w:rPr>
            </w:pPr>
            <w:r w:rsidRPr="007C0BA6">
              <w:rPr>
                <w:rFonts w:eastAsia="Arial Unicode MS"/>
                <w:bCs/>
                <w:sz w:val="12"/>
                <w:szCs w:val="12"/>
              </w:rPr>
              <w:t>12.2</w:t>
            </w:r>
          </w:p>
        </w:tc>
        <w:tc>
          <w:tcPr>
            <w:tcW w:w="2332" w:type="dxa"/>
            <w:noWrap/>
            <w:tcMar>
              <w:top w:w="20" w:type="dxa"/>
              <w:left w:w="20" w:type="dxa"/>
              <w:bottom w:w="0" w:type="dxa"/>
              <w:right w:w="20" w:type="dxa"/>
            </w:tcMar>
            <w:vAlign w:val="bottom"/>
          </w:tcPr>
          <w:p w14:paraId="151D5AA8" w14:textId="77777777" w:rsidR="00980409" w:rsidRPr="007C0BA6" w:rsidRDefault="00980409" w:rsidP="00980409">
            <w:pPr>
              <w:spacing w:line="192" w:lineRule="auto"/>
              <w:jc w:val="both"/>
              <w:rPr>
                <w:rFonts w:eastAsia="Arial Unicode MS"/>
                <w:sz w:val="12"/>
                <w:szCs w:val="12"/>
              </w:rPr>
            </w:pPr>
            <w:r w:rsidRPr="007C0BA6">
              <w:rPr>
                <w:sz w:val="12"/>
                <w:szCs w:val="12"/>
              </w:rPr>
              <w:t>Internal Resources</w:t>
            </w:r>
          </w:p>
        </w:tc>
        <w:tc>
          <w:tcPr>
            <w:tcW w:w="473" w:type="dxa"/>
          </w:tcPr>
          <w:p w14:paraId="222B9834"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7D7ACD11" w14:textId="3BCA2B3B"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69" w:type="dxa"/>
            <w:vAlign w:val="bottom"/>
          </w:tcPr>
          <w:p w14:paraId="6B19FEA2" w14:textId="705DBA42"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5F4A779F" w14:textId="078AB277"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07" w:type="dxa"/>
            <w:noWrap/>
            <w:tcMar>
              <w:top w:w="20" w:type="dxa"/>
              <w:left w:w="20" w:type="dxa"/>
              <w:bottom w:w="0" w:type="dxa"/>
              <w:right w:w="20" w:type="dxa"/>
            </w:tcMar>
            <w:vAlign w:val="bottom"/>
          </w:tcPr>
          <w:p w14:paraId="46DC08D2" w14:textId="1D46355A"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02" w:type="dxa"/>
            <w:noWrap/>
            <w:tcMar>
              <w:top w:w="20" w:type="dxa"/>
              <w:left w:w="20" w:type="dxa"/>
              <w:bottom w:w="0" w:type="dxa"/>
              <w:right w:w="20" w:type="dxa"/>
            </w:tcMar>
            <w:vAlign w:val="bottom"/>
          </w:tcPr>
          <w:p w14:paraId="024B3603" w14:textId="32A13A8A"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1A63BCC7" w14:textId="7A496B60"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821" w:type="dxa"/>
            <w:noWrap/>
            <w:tcMar>
              <w:top w:w="20" w:type="dxa"/>
              <w:left w:w="20" w:type="dxa"/>
              <w:bottom w:w="0" w:type="dxa"/>
              <w:right w:w="20" w:type="dxa"/>
            </w:tcMar>
            <w:vAlign w:val="bottom"/>
          </w:tcPr>
          <w:p w14:paraId="7F4DCDCC" w14:textId="0DD7F35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8" w:type="dxa"/>
            <w:noWrap/>
            <w:tcMar>
              <w:top w:w="20" w:type="dxa"/>
              <w:left w:w="20" w:type="dxa"/>
              <w:bottom w:w="0" w:type="dxa"/>
              <w:right w:w="20" w:type="dxa"/>
            </w:tcMar>
            <w:vAlign w:val="bottom"/>
          </w:tcPr>
          <w:p w14:paraId="66DD0218" w14:textId="05DEB07E"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17" w:type="dxa"/>
            <w:noWrap/>
            <w:tcMar>
              <w:top w:w="20" w:type="dxa"/>
              <w:left w:w="20" w:type="dxa"/>
              <w:bottom w:w="0" w:type="dxa"/>
              <w:right w:w="20" w:type="dxa"/>
            </w:tcMar>
            <w:vAlign w:val="bottom"/>
          </w:tcPr>
          <w:p w14:paraId="47A63DA4" w14:textId="7A786E47"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2" w:type="dxa"/>
            <w:noWrap/>
            <w:tcMar>
              <w:top w:w="20" w:type="dxa"/>
              <w:left w:w="20" w:type="dxa"/>
              <w:bottom w:w="0" w:type="dxa"/>
              <w:right w:w="20" w:type="dxa"/>
            </w:tcMar>
            <w:vAlign w:val="bottom"/>
          </w:tcPr>
          <w:p w14:paraId="4F979E22" w14:textId="1A97082D"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32" w:type="dxa"/>
            <w:vAlign w:val="bottom"/>
          </w:tcPr>
          <w:p w14:paraId="069A6B3A" w14:textId="30B0209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80" w:type="dxa"/>
            <w:vAlign w:val="bottom"/>
          </w:tcPr>
          <w:p w14:paraId="6D10409F" w14:textId="6592CE4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noWrap/>
            <w:tcMar>
              <w:top w:w="20" w:type="dxa"/>
              <w:left w:w="20" w:type="dxa"/>
              <w:bottom w:w="0" w:type="dxa"/>
              <w:right w:w="20" w:type="dxa"/>
            </w:tcMar>
            <w:vAlign w:val="bottom"/>
          </w:tcPr>
          <w:p w14:paraId="238C0894" w14:textId="6F0F4AC5"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89" w:type="dxa"/>
            <w:noWrap/>
            <w:tcMar>
              <w:top w:w="20" w:type="dxa"/>
              <w:left w:w="20" w:type="dxa"/>
              <w:bottom w:w="0" w:type="dxa"/>
              <w:right w:w="20" w:type="dxa"/>
            </w:tcMar>
            <w:vAlign w:val="bottom"/>
          </w:tcPr>
          <w:p w14:paraId="4E31D022" w14:textId="7C487EF3"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01" w:type="dxa"/>
            <w:noWrap/>
            <w:tcMar>
              <w:top w:w="20" w:type="dxa"/>
              <w:left w:w="20" w:type="dxa"/>
              <w:bottom w:w="0" w:type="dxa"/>
              <w:right w:w="20" w:type="dxa"/>
            </w:tcMar>
            <w:vAlign w:val="bottom"/>
          </w:tcPr>
          <w:p w14:paraId="680A954C" w14:textId="6A2AB99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vAlign w:val="bottom"/>
          </w:tcPr>
          <w:p w14:paraId="790E627E" w14:textId="467E5552"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28" w:type="dxa"/>
            <w:vAlign w:val="bottom"/>
          </w:tcPr>
          <w:p w14:paraId="37E56C77" w14:textId="36EECBB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56" w:type="dxa"/>
            <w:vAlign w:val="bottom"/>
          </w:tcPr>
          <w:p w14:paraId="777EF242" w14:textId="5EBB81E5"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r>
      <w:tr w:rsidR="00980409" w:rsidRPr="007C0BA6" w14:paraId="097EE113" w14:textId="77777777" w:rsidTr="00F142CB">
        <w:trPr>
          <w:trHeight w:val="124"/>
        </w:trPr>
        <w:tc>
          <w:tcPr>
            <w:tcW w:w="362" w:type="dxa"/>
            <w:noWrap/>
            <w:tcMar>
              <w:top w:w="20" w:type="dxa"/>
              <w:left w:w="20" w:type="dxa"/>
              <w:bottom w:w="0" w:type="dxa"/>
              <w:right w:w="20" w:type="dxa"/>
            </w:tcMar>
            <w:vAlign w:val="bottom"/>
          </w:tcPr>
          <w:p w14:paraId="72DD1DA8" w14:textId="77777777" w:rsidR="00980409" w:rsidRPr="007C0BA6" w:rsidRDefault="00980409" w:rsidP="00980409">
            <w:pPr>
              <w:spacing w:line="192" w:lineRule="auto"/>
              <w:ind w:right="-30"/>
              <w:rPr>
                <w:rFonts w:eastAsia="Arial Unicode MS"/>
                <w:b/>
                <w:bCs/>
                <w:sz w:val="12"/>
                <w:szCs w:val="12"/>
              </w:rPr>
            </w:pPr>
            <w:r w:rsidRPr="007C0BA6">
              <w:rPr>
                <w:b/>
                <w:bCs/>
                <w:sz w:val="12"/>
                <w:szCs w:val="12"/>
              </w:rPr>
              <w:t>XIII.</w:t>
            </w:r>
          </w:p>
        </w:tc>
        <w:tc>
          <w:tcPr>
            <w:tcW w:w="2332" w:type="dxa"/>
            <w:noWrap/>
            <w:tcMar>
              <w:top w:w="20" w:type="dxa"/>
              <w:left w:w="20" w:type="dxa"/>
              <w:bottom w:w="0" w:type="dxa"/>
              <w:right w:w="20" w:type="dxa"/>
            </w:tcMar>
            <w:vAlign w:val="bottom"/>
          </w:tcPr>
          <w:p w14:paraId="27C7B629" w14:textId="77777777" w:rsidR="00980409" w:rsidRPr="007C0BA6" w:rsidRDefault="00980409" w:rsidP="00980409">
            <w:pPr>
              <w:spacing w:line="192" w:lineRule="auto"/>
              <w:jc w:val="both"/>
              <w:rPr>
                <w:rFonts w:eastAsia="Arial Unicode MS"/>
                <w:b/>
                <w:sz w:val="12"/>
                <w:szCs w:val="12"/>
              </w:rPr>
            </w:pPr>
            <w:r w:rsidRPr="007C0BA6">
              <w:rPr>
                <w:b/>
                <w:sz w:val="12"/>
                <w:szCs w:val="12"/>
              </w:rPr>
              <w:t>Share Premium</w:t>
            </w:r>
          </w:p>
        </w:tc>
        <w:tc>
          <w:tcPr>
            <w:tcW w:w="473" w:type="dxa"/>
          </w:tcPr>
          <w:p w14:paraId="33A40DC0"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37B043D6" w14:textId="0CBFA44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69" w:type="dxa"/>
            <w:vAlign w:val="bottom"/>
          </w:tcPr>
          <w:p w14:paraId="00272E5B" w14:textId="53DF7142"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36" w:type="dxa"/>
            <w:noWrap/>
            <w:tcMar>
              <w:top w:w="20" w:type="dxa"/>
              <w:left w:w="20" w:type="dxa"/>
              <w:bottom w:w="0" w:type="dxa"/>
              <w:right w:w="20" w:type="dxa"/>
            </w:tcMar>
            <w:vAlign w:val="bottom"/>
          </w:tcPr>
          <w:p w14:paraId="7A2A02B7" w14:textId="74BDCA0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07" w:type="dxa"/>
            <w:noWrap/>
            <w:tcMar>
              <w:top w:w="20" w:type="dxa"/>
              <w:left w:w="20" w:type="dxa"/>
              <w:bottom w:w="0" w:type="dxa"/>
              <w:right w:w="20" w:type="dxa"/>
            </w:tcMar>
            <w:vAlign w:val="bottom"/>
          </w:tcPr>
          <w:p w14:paraId="38B72663" w14:textId="1F8E350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02" w:type="dxa"/>
            <w:noWrap/>
            <w:tcMar>
              <w:top w:w="20" w:type="dxa"/>
              <w:left w:w="20" w:type="dxa"/>
              <w:bottom w:w="0" w:type="dxa"/>
              <w:right w:w="20" w:type="dxa"/>
            </w:tcMar>
            <w:vAlign w:val="bottom"/>
          </w:tcPr>
          <w:p w14:paraId="65486839" w14:textId="4521B35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36" w:type="dxa"/>
            <w:noWrap/>
            <w:tcMar>
              <w:top w:w="20" w:type="dxa"/>
              <w:left w:w="20" w:type="dxa"/>
              <w:bottom w:w="0" w:type="dxa"/>
              <w:right w:w="20" w:type="dxa"/>
            </w:tcMar>
            <w:vAlign w:val="bottom"/>
          </w:tcPr>
          <w:p w14:paraId="25D33EC1" w14:textId="0A0BDEE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21" w:type="dxa"/>
            <w:noWrap/>
            <w:tcMar>
              <w:top w:w="20" w:type="dxa"/>
              <w:left w:w="20" w:type="dxa"/>
              <w:bottom w:w="0" w:type="dxa"/>
              <w:right w:w="20" w:type="dxa"/>
            </w:tcMar>
            <w:vAlign w:val="bottom"/>
          </w:tcPr>
          <w:p w14:paraId="341B491B" w14:textId="599B164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8" w:type="dxa"/>
            <w:noWrap/>
            <w:tcMar>
              <w:top w:w="20" w:type="dxa"/>
              <w:left w:w="20" w:type="dxa"/>
              <w:bottom w:w="0" w:type="dxa"/>
              <w:right w:w="20" w:type="dxa"/>
            </w:tcMar>
            <w:vAlign w:val="bottom"/>
          </w:tcPr>
          <w:p w14:paraId="15D0663B" w14:textId="51864ABB"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17" w:type="dxa"/>
            <w:noWrap/>
            <w:tcMar>
              <w:top w:w="20" w:type="dxa"/>
              <w:left w:w="20" w:type="dxa"/>
              <w:bottom w:w="0" w:type="dxa"/>
              <w:right w:w="20" w:type="dxa"/>
            </w:tcMar>
            <w:vAlign w:val="bottom"/>
          </w:tcPr>
          <w:p w14:paraId="76EE9B9B" w14:textId="68BF28A0"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2" w:type="dxa"/>
            <w:noWrap/>
            <w:tcMar>
              <w:top w:w="20" w:type="dxa"/>
              <w:left w:w="20" w:type="dxa"/>
              <w:bottom w:w="0" w:type="dxa"/>
              <w:right w:w="20" w:type="dxa"/>
            </w:tcMar>
            <w:vAlign w:val="bottom"/>
          </w:tcPr>
          <w:p w14:paraId="3AD46FA9" w14:textId="25D640A7"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32" w:type="dxa"/>
            <w:vAlign w:val="bottom"/>
          </w:tcPr>
          <w:p w14:paraId="02CC8508" w14:textId="38E0154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80" w:type="dxa"/>
            <w:vAlign w:val="bottom"/>
          </w:tcPr>
          <w:p w14:paraId="7B184730" w14:textId="59C010F5"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noWrap/>
            <w:tcMar>
              <w:top w:w="20" w:type="dxa"/>
              <w:left w:w="20" w:type="dxa"/>
              <w:bottom w:w="0" w:type="dxa"/>
              <w:right w:w="20" w:type="dxa"/>
            </w:tcMar>
            <w:vAlign w:val="bottom"/>
          </w:tcPr>
          <w:p w14:paraId="6D7000FC" w14:textId="0E9D8871"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89" w:type="dxa"/>
            <w:noWrap/>
            <w:tcMar>
              <w:top w:w="20" w:type="dxa"/>
              <w:left w:w="20" w:type="dxa"/>
              <w:bottom w:w="0" w:type="dxa"/>
              <w:right w:w="20" w:type="dxa"/>
            </w:tcMar>
            <w:vAlign w:val="bottom"/>
          </w:tcPr>
          <w:p w14:paraId="7CE2C0C0" w14:textId="1A170E12"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01" w:type="dxa"/>
            <w:noWrap/>
            <w:tcMar>
              <w:top w:w="20" w:type="dxa"/>
              <w:left w:w="20" w:type="dxa"/>
              <w:bottom w:w="0" w:type="dxa"/>
              <w:right w:w="20" w:type="dxa"/>
            </w:tcMar>
            <w:vAlign w:val="bottom"/>
          </w:tcPr>
          <w:p w14:paraId="220973AC" w14:textId="2ED17941"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vAlign w:val="bottom"/>
          </w:tcPr>
          <w:p w14:paraId="5FA752F1" w14:textId="77CA3204"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8" w:type="dxa"/>
            <w:vAlign w:val="bottom"/>
          </w:tcPr>
          <w:p w14:paraId="3125D001" w14:textId="155F925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56" w:type="dxa"/>
            <w:vAlign w:val="bottom"/>
          </w:tcPr>
          <w:p w14:paraId="12A971C9" w14:textId="1EB7F70F"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r>
      <w:tr w:rsidR="00980409" w:rsidRPr="007C0BA6" w14:paraId="14BF634B" w14:textId="77777777" w:rsidTr="00F142CB">
        <w:trPr>
          <w:trHeight w:val="80"/>
        </w:trPr>
        <w:tc>
          <w:tcPr>
            <w:tcW w:w="362" w:type="dxa"/>
            <w:noWrap/>
            <w:tcMar>
              <w:top w:w="20" w:type="dxa"/>
              <w:left w:w="20" w:type="dxa"/>
              <w:bottom w:w="0" w:type="dxa"/>
              <w:right w:w="20" w:type="dxa"/>
            </w:tcMar>
            <w:vAlign w:val="bottom"/>
          </w:tcPr>
          <w:p w14:paraId="638D3A17" w14:textId="77777777" w:rsidR="00980409" w:rsidRPr="007C0BA6" w:rsidRDefault="00980409" w:rsidP="00980409">
            <w:pPr>
              <w:spacing w:line="192" w:lineRule="auto"/>
              <w:ind w:right="-30"/>
              <w:rPr>
                <w:rFonts w:eastAsia="Arial Unicode MS"/>
                <w:b/>
                <w:bCs/>
                <w:sz w:val="12"/>
                <w:szCs w:val="12"/>
              </w:rPr>
            </w:pPr>
            <w:r w:rsidRPr="007C0BA6">
              <w:rPr>
                <w:b/>
                <w:bCs/>
                <w:sz w:val="12"/>
                <w:szCs w:val="12"/>
              </w:rPr>
              <w:t>XIV.</w:t>
            </w:r>
          </w:p>
        </w:tc>
        <w:tc>
          <w:tcPr>
            <w:tcW w:w="2332" w:type="dxa"/>
            <w:noWrap/>
            <w:tcMar>
              <w:top w:w="20" w:type="dxa"/>
              <w:left w:w="20" w:type="dxa"/>
              <w:bottom w:w="0" w:type="dxa"/>
              <w:right w:w="20" w:type="dxa"/>
            </w:tcMar>
            <w:vAlign w:val="bottom"/>
          </w:tcPr>
          <w:p w14:paraId="3BFA7A4B" w14:textId="77777777" w:rsidR="00980409" w:rsidRPr="007C0BA6" w:rsidRDefault="00980409" w:rsidP="00980409">
            <w:pPr>
              <w:spacing w:line="192" w:lineRule="auto"/>
              <w:jc w:val="both"/>
              <w:rPr>
                <w:rFonts w:eastAsia="Arial Unicode MS"/>
                <w:b/>
                <w:sz w:val="12"/>
                <w:szCs w:val="12"/>
              </w:rPr>
            </w:pPr>
            <w:r w:rsidRPr="007C0BA6">
              <w:rPr>
                <w:b/>
                <w:bCs/>
                <w:sz w:val="12"/>
                <w:szCs w:val="12"/>
              </w:rPr>
              <w:t>Share Cancellation Profits</w:t>
            </w:r>
          </w:p>
        </w:tc>
        <w:tc>
          <w:tcPr>
            <w:tcW w:w="473" w:type="dxa"/>
          </w:tcPr>
          <w:p w14:paraId="13326557"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0F668922" w14:textId="63B767D7"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669" w:type="dxa"/>
            <w:vAlign w:val="bottom"/>
          </w:tcPr>
          <w:p w14:paraId="6BA79E9D" w14:textId="39E41643"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536" w:type="dxa"/>
            <w:noWrap/>
            <w:tcMar>
              <w:top w:w="20" w:type="dxa"/>
              <w:left w:w="20" w:type="dxa"/>
              <w:bottom w:w="0" w:type="dxa"/>
              <w:right w:w="20" w:type="dxa"/>
            </w:tcMar>
            <w:vAlign w:val="bottom"/>
          </w:tcPr>
          <w:p w14:paraId="187CCEE5" w14:textId="1A92B042"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707" w:type="dxa"/>
            <w:noWrap/>
            <w:tcMar>
              <w:top w:w="20" w:type="dxa"/>
              <w:left w:w="20" w:type="dxa"/>
              <w:bottom w:w="0" w:type="dxa"/>
              <w:right w:w="20" w:type="dxa"/>
            </w:tcMar>
            <w:vAlign w:val="bottom"/>
          </w:tcPr>
          <w:p w14:paraId="0719E35D" w14:textId="452CC692"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(3,296)</w:t>
            </w:r>
          </w:p>
        </w:tc>
        <w:tc>
          <w:tcPr>
            <w:tcW w:w="602" w:type="dxa"/>
            <w:noWrap/>
            <w:tcMar>
              <w:top w:w="20" w:type="dxa"/>
              <w:left w:w="20" w:type="dxa"/>
              <w:bottom w:w="0" w:type="dxa"/>
              <w:right w:w="20" w:type="dxa"/>
            </w:tcMar>
            <w:vAlign w:val="bottom"/>
          </w:tcPr>
          <w:p w14:paraId="073414CC" w14:textId="393BB4B3"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536" w:type="dxa"/>
            <w:noWrap/>
            <w:tcMar>
              <w:top w:w="20" w:type="dxa"/>
              <w:left w:w="20" w:type="dxa"/>
              <w:bottom w:w="0" w:type="dxa"/>
              <w:right w:w="20" w:type="dxa"/>
            </w:tcMar>
            <w:vAlign w:val="bottom"/>
          </w:tcPr>
          <w:p w14:paraId="740E7773" w14:textId="2CB2DD03"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821" w:type="dxa"/>
            <w:noWrap/>
            <w:tcMar>
              <w:top w:w="20" w:type="dxa"/>
              <w:left w:w="20" w:type="dxa"/>
              <w:bottom w:w="0" w:type="dxa"/>
              <w:right w:w="20" w:type="dxa"/>
            </w:tcMar>
            <w:vAlign w:val="bottom"/>
          </w:tcPr>
          <w:p w14:paraId="6A097075" w14:textId="6C9B8E88"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648" w:type="dxa"/>
            <w:noWrap/>
            <w:tcMar>
              <w:top w:w="20" w:type="dxa"/>
              <w:left w:w="20" w:type="dxa"/>
              <w:bottom w:w="0" w:type="dxa"/>
              <w:right w:w="20" w:type="dxa"/>
            </w:tcMar>
            <w:vAlign w:val="bottom"/>
          </w:tcPr>
          <w:p w14:paraId="072C381C" w14:textId="7AC56BDD"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617" w:type="dxa"/>
            <w:noWrap/>
            <w:tcMar>
              <w:top w:w="20" w:type="dxa"/>
              <w:left w:w="20" w:type="dxa"/>
              <w:bottom w:w="0" w:type="dxa"/>
              <w:right w:w="20" w:type="dxa"/>
            </w:tcMar>
            <w:vAlign w:val="bottom"/>
          </w:tcPr>
          <w:p w14:paraId="46714A76" w14:textId="4CA51E1F"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642" w:type="dxa"/>
            <w:noWrap/>
            <w:tcMar>
              <w:top w:w="20" w:type="dxa"/>
              <w:left w:w="20" w:type="dxa"/>
              <w:bottom w:w="0" w:type="dxa"/>
              <w:right w:w="20" w:type="dxa"/>
            </w:tcMar>
            <w:vAlign w:val="bottom"/>
          </w:tcPr>
          <w:p w14:paraId="034264DE" w14:textId="7F83A574"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732" w:type="dxa"/>
            <w:vAlign w:val="bottom"/>
          </w:tcPr>
          <w:p w14:paraId="25243D84" w14:textId="61F427AE"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880" w:type="dxa"/>
            <w:vAlign w:val="bottom"/>
          </w:tcPr>
          <w:p w14:paraId="7A58B284" w14:textId="03AA67B5"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722" w:type="dxa"/>
            <w:noWrap/>
            <w:tcMar>
              <w:top w:w="20" w:type="dxa"/>
              <w:left w:w="20" w:type="dxa"/>
              <w:bottom w:w="0" w:type="dxa"/>
              <w:right w:w="20" w:type="dxa"/>
            </w:tcMar>
            <w:vAlign w:val="bottom"/>
          </w:tcPr>
          <w:p w14:paraId="37C56053" w14:textId="6895BC09"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589" w:type="dxa"/>
            <w:noWrap/>
            <w:tcMar>
              <w:top w:w="20" w:type="dxa"/>
              <w:left w:w="20" w:type="dxa"/>
              <w:bottom w:w="0" w:type="dxa"/>
              <w:right w:w="20" w:type="dxa"/>
            </w:tcMar>
            <w:vAlign w:val="bottom"/>
          </w:tcPr>
          <w:p w14:paraId="2A0D190F" w14:textId="7C5B3679"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801" w:type="dxa"/>
            <w:noWrap/>
            <w:tcMar>
              <w:top w:w="20" w:type="dxa"/>
              <w:left w:w="20" w:type="dxa"/>
              <w:bottom w:w="0" w:type="dxa"/>
              <w:right w:w="20" w:type="dxa"/>
            </w:tcMar>
            <w:vAlign w:val="bottom"/>
          </w:tcPr>
          <w:p w14:paraId="5387242C" w14:textId="57D5C30E"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626" w:type="dxa"/>
            <w:vAlign w:val="bottom"/>
          </w:tcPr>
          <w:p w14:paraId="02839005" w14:textId="6F1D5AD3"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(3,296)</w:t>
            </w:r>
          </w:p>
        </w:tc>
        <w:tc>
          <w:tcPr>
            <w:tcW w:w="728" w:type="dxa"/>
            <w:vAlign w:val="bottom"/>
          </w:tcPr>
          <w:p w14:paraId="0C38AFBD" w14:textId="2632B750"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756" w:type="dxa"/>
            <w:vAlign w:val="bottom"/>
          </w:tcPr>
          <w:p w14:paraId="75BAA7AC" w14:textId="1AA97F4F"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(3,296)</w:t>
            </w:r>
          </w:p>
        </w:tc>
      </w:tr>
      <w:tr w:rsidR="00980409" w:rsidRPr="007C0BA6" w14:paraId="7DE73423" w14:textId="77777777" w:rsidTr="00F142CB">
        <w:trPr>
          <w:trHeight w:val="80"/>
        </w:trPr>
        <w:tc>
          <w:tcPr>
            <w:tcW w:w="362" w:type="dxa"/>
            <w:noWrap/>
            <w:tcMar>
              <w:top w:w="20" w:type="dxa"/>
              <w:left w:w="20" w:type="dxa"/>
              <w:bottom w:w="0" w:type="dxa"/>
              <w:right w:w="20" w:type="dxa"/>
            </w:tcMar>
            <w:vAlign w:val="bottom"/>
          </w:tcPr>
          <w:p w14:paraId="0D50FB82" w14:textId="77777777" w:rsidR="00980409" w:rsidRPr="007C0BA6" w:rsidRDefault="00980409" w:rsidP="00980409">
            <w:pPr>
              <w:spacing w:line="192" w:lineRule="auto"/>
              <w:ind w:right="-30"/>
              <w:rPr>
                <w:rFonts w:eastAsia="Arial Unicode MS"/>
                <w:b/>
                <w:bCs/>
                <w:sz w:val="12"/>
                <w:szCs w:val="12"/>
              </w:rPr>
            </w:pPr>
            <w:r w:rsidRPr="007C0BA6">
              <w:rPr>
                <w:rFonts w:eastAsia="Arial Unicode MS"/>
                <w:b/>
                <w:bCs/>
                <w:sz w:val="12"/>
                <w:szCs w:val="12"/>
              </w:rPr>
              <w:t>XV.</w:t>
            </w:r>
          </w:p>
        </w:tc>
        <w:tc>
          <w:tcPr>
            <w:tcW w:w="2332" w:type="dxa"/>
            <w:noWrap/>
            <w:tcMar>
              <w:top w:w="20" w:type="dxa"/>
              <w:left w:w="20" w:type="dxa"/>
              <w:bottom w:w="0" w:type="dxa"/>
              <w:right w:w="20" w:type="dxa"/>
            </w:tcMar>
            <w:vAlign w:val="bottom"/>
          </w:tcPr>
          <w:p w14:paraId="76CD53BC" w14:textId="77777777" w:rsidR="00980409" w:rsidRPr="007C0BA6" w:rsidRDefault="00980409" w:rsidP="00980409">
            <w:pPr>
              <w:spacing w:line="192" w:lineRule="auto"/>
              <w:rPr>
                <w:b/>
                <w:sz w:val="12"/>
                <w:szCs w:val="12"/>
              </w:rPr>
            </w:pPr>
            <w:r w:rsidRPr="007C0BA6">
              <w:rPr>
                <w:rFonts w:eastAsia="Arial Unicode MS"/>
                <w:b/>
                <w:bCs/>
                <w:sz w:val="12"/>
                <w:szCs w:val="12"/>
              </w:rPr>
              <w:t>Adjustment to Share Capital</w:t>
            </w:r>
          </w:p>
        </w:tc>
        <w:tc>
          <w:tcPr>
            <w:tcW w:w="473" w:type="dxa"/>
          </w:tcPr>
          <w:p w14:paraId="3E124543"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5DF7FFD1" w14:textId="6BB8CFDB"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69" w:type="dxa"/>
            <w:vAlign w:val="bottom"/>
          </w:tcPr>
          <w:p w14:paraId="0E1DE506" w14:textId="39E5AB13"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36" w:type="dxa"/>
            <w:noWrap/>
            <w:tcMar>
              <w:top w:w="20" w:type="dxa"/>
              <w:left w:w="20" w:type="dxa"/>
              <w:bottom w:w="0" w:type="dxa"/>
              <w:right w:w="20" w:type="dxa"/>
            </w:tcMar>
            <w:vAlign w:val="bottom"/>
          </w:tcPr>
          <w:p w14:paraId="2BE7C077" w14:textId="5E904F8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07" w:type="dxa"/>
            <w:noWrap/>
            <w:tcMar>
              <w:top w:w="20" w:type="dxa"/>
              <w:left w:w="20" w:type="dxa"/>
              <w:bottom w:w="0" w:type="dxa"/>
              <w:right w:w="20" w:type="dxa"/>
            </w:tcMar>
            <w:vAlign w:val="bottom"/>
          </w:tcPr>
          <w:p w14:paraId="74CF724A" w14:textId="37CF811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02" w:type="dxa"/>
            <w:noWrap/>
            <w:tcMar>
              <w:top w:w="20" w:type="dxa"/>
              <w:left w:w="20" w:type="dxa"/>
              <w:bottom w:w="0" w:type="dxa"/>
              <w:right w:w="20" w:type="dxa"/>
            </w:tcMar>
            <w:vAlign w:val="bottom"/>
          </w:tcPr>
          <w:p w14:paraId="556071A6" w14:textId="17D42103"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36" w:type="dxa"/>
            <w:noWrap/>
            <w:tcMar>
              <w:top w:w="20" w:type="dxa"/>
              <w:left w:w="20" w:type="dxa"/>
              <w:bottom w:w="0" w:type="dxa"/>
              <w:right w:w="20" w:type="dxa"/>
            </w:tcMar>
            <w:vAlign w:val="bottom"/>
          </w:tcPr>
          <w:p w14:paraId="6FF4D561" w14:textId="54F69225"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21" w:type="dxa"/>
            <w:noWrap/>
            <w:tcMar>
              <w:top w:w="20" w:type="dxa"/>
              <w:left w:w="20" w:type="dxa"/>
              <w:bottom w:w="0" w:type="dxa"/>
              <w:right w:w="20" w:type="dxa"/>
            </w:tcMar>
            <w:vAlign w:val="bottom"/>
          </w:tcPr>
          <w:p w14:paraId="1EAACF8B" w14:textId="5D2EE06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8" w:type="dxa"/>
            <w:noWrap/>
            <w:tcMar>
              <w:top w:w="20" w:type="dxa"/>
              <w:left w:w="20" w:type="dxa"/>
              <w:bottom w:w="0" w:type="dxa"/>
              <w:right w:w="20" w:type="dxa"/>
            </w:tcMar>
            <w:vAlign w:val="bottom"/>
          </w:tcPr>
          <w:p w14:paraId="19E8D127" w14:textId="091120C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17" w:type="dxa"/>
            <w:noWrap/>
            <w:tcMar>
              <w:top w:w="20" w:type="dxa"/>
              <w:left w:w="20" w:type="dxa"/>
              <w:bottom w:w="0" w:type="dxa"/>
              <w:right w:w="20" w:type="dxa"/>
            </w:tcMar>
            <w:vAlign w:val="bottom"/>
          </w:tcPr>
          <w:p w14:paraId="13AC8DDA" w14:textId="12D0AE14"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2" w:type="dxa"/>
            <w:noWrap/>
            <w:tcMar>
              <w:top w:w="20" w:type="dxa"/>
              <w:left w:w="20" w:type="dxa"/>
              <w:bottom w:w="0" w:type="dxa"/>
              <w:right w:w="20" w:type="dxa"/>
            </w:tcMar>
            <w:vAlign w:val="bottom"/>
          </w:tcPr>
          <w:p w14:paraId="5DCA9F03" w14:textId="6AF3E593"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32" w:type="dxa"/>
            <w:vAlign w:val="bottom"/>
          </w:tcPr>
          <w:p w14:paraId="4143267C" w14:textId="0C9479C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80" w:type="dxa"/>
            <w:vAlign w:val="bottom"/>
          </w:tcPr>
          <w:p w14:paraId="48282835" w14:textId="1B013675"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noWrap/>
            <w:tcMar>
              <w:top w:w="20" w:type="dxa"/>
              <w:left w:w="20" w:type="dxa"/>
              <w:bottom w:w="0" w:type="dxa"/>
              <w:right w:w="20" w:type="dxa"/>
            </w:tcMar>
            <w:vAlign w:val="bottom"/>
          </w:tcPr>
          <w:p w14:paraId="479B45D5" w14:textId="55201F9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89" w:type="dxa"/>
            <w:noWrap/>
            <w:tcMar>
              <w:top w:w="20" w:type="dxa"/>
              <w:left w:w="20" w:type="dxa"/>
              <w:bottom w:w="0" w:type="dxa"/>
              <w:right w:w="20" w:type="dxa"/>
            </w:tcMar>
            <w:vAlign w:val="bottom"/>
          </w:tcPr>
          <w:p w14:paraId="2AD2C848" w14:textId="660EEC31"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01" w:type="dxa"/>
            <w:noWrap/>
            <w:tcMar>
              <w:top w:w="20" w:type="dxa"/>
              <w:left w:w="20" w:type="dxa"/>
              <w:bottom w:w="0" w:type="dxa"/>
              <w:right w:w="20" w:type="dxa"/>
            </w:tcMar>
            <w:vAlign w:val="bottom"/>
          </w:tcPr>
          <w:p w14:paraId="735A4C11" w14:textId="2E2CB64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vAlign w:val="bottom"/>
          </w:tcPr>
          <w:p w14:paraId="6A25272D" w14:textId="0CC5CE7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8" w:type="dxa"/>
            <w:vAlign w:val="bottom"/>
          </w:tcPr>
          <w:p w14:paraId="2E5CE50E" w14:textId="3B9E27E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56" w:type="dxa"/>
            <w:vAlign w:val="bottom"/>
          </w:tcPr>
          <w:p w14:paraId="3CCC1FA8" w14:textId="5058011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r>
      <w:tr w:rsidR="00980409" w:rsidRPr="007C0BA6" w14:paraId="19FFE7AD" w14:textId="77777777" w:rsidTr="00F142CB">
        <w:trPr>
          <w:trHeight w:val="80"/>
        </w:trPr>
        <w:tc>
          <w:tcPr>
            <w:tcW w:w="362" w:type="dxa"/>
            <w:noWrap/>
            <w:tcMar>
              <w:top w:w="20" w:type="dxa"/>
              <w:left w:w="20" w:type="dxa"/>
              <w:bottom w:w="0" w:type="dxa"/>
              <w:right w:w="20" w:type="dxa"/>
            </w:tcMar>
            <w:vAlign w:val="bottom"/>
          </w:tcPr>
          <w:p w14:paraId="29C82731" w14:textId="77777777" w:rsidR="00980409" w:rsidRPr="007C0BA6" w:rsidRDefault="00980409" w:rsidP="00980409">
            <w:pPr>
              <w:spacing w:line="192" w:lineRule="auto"/>
              <w:ind w:right="-30"/>
              <w:rPr>
                <w:b/>
                <w:bCs/>
                <w:sz w:val="12"/>
                <w:szCs w:val="12"/>
              </w:rPr>
            </w:pPr>
            <w:r w:rsidRPr="007C0BA6">
              <w:rPr>
                <w:rFonts w:eastAsia="Arial Unicode MS"/>
                <w:b/>
                <w:bCs/>
                <w:sz w:val="12"/>
                <w:szCs w:val="12"/>
              </w:rPr>
              <w:t>XVI.</w:t>
            </w:r>
          </w:p>
        </w:tc>
        <w:tc>
          <w:tcPr>
            <w:tcW w:w="2332" w:type="dxa"/>
            <w:noWrap/>
            <w:tcMar>
              <w:top w:w="20" w:type="dxa"/>
              <w:left w:w="20" w:type="dxa"/>
              <w:bottom w:w="0" w:type="dxa"/>
              <w:right w:w="20" w:type="dxa"/>
            </w:tcMar>
            <w:vAlign w:val="bottom"/>
          </w:tcPr>
          <w:p w14:paraId="7E943BAB" w14:textId="77777777" w:rsidR="00980409" w:rsidRPr="007C0BA6" w:rsidRDefault="00980409" w:rsidP="00980409">
            <w:pPr>
              <w:spacing w:line="192" w:lineRule="auto"/>
              <w:rPr>
                <w:b/>
                <w:sz w:val="12"/>
                <w:szCs w:val="12"/>
              </w:rPr>
            </w:pPr>
            <w:r w:rsidRPr="007C0BA6">
              <w:rPr>
                <w:b/>
                <w:sz w:val="12"/>
                <w:szCs w:val="12"/>
              </w:rPr>
              <w:t>Other</w:t>
            </w:r>
          </w:p>
        </w:tc>
        <w:tc>
          <w:tcPr>
            <w:tcW w:w="473" w:type="dxa"/>
          </w:tcPr>
          <w:p w14:paraId="17C20A28"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0A0C5DE7" w14:textId="33F08CA8"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69" w:type="dxa"/>
            <w:vAlign w:val="bottom"/>
          </w:tcPr>
          <w:p w14:paraId="177B1155" w14:textId="6F617F16"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67549602" w14:textId="0A6C84C8"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07" w:type="dxa"/>
            <w:noWrap/>
            <w:tcMar>
              <w:top w:w="20" w:type="dxa"/>
              <w:left w:w="20" w:type="dxa"/>
              <w:bottom w:w="0" w:type="dxa"/>
              <w:right w:w="20" w:type="dxa"/>
            </w:tcMar>
            <w:vAlign w:val="bottom"/>
          </w:tcPr>
          <w:p w14:paraId="330BCA68" w14:textId="1574C48A"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02" w:type="dxa"/>
            <w:noWrap/>
            <w:tcMar>
              <w:top w:w="20" w:type="dxa"/>
              <w:left w:w="20" w:type="dxa"/>
              <w:bottom w:w="0" w:type="dxa"/>
              <w:right w:w="20" w:type="dxa"/>
            </w:tcMar>
            <w:vAlign w:val="bottom"/>
          </w:tcPr>
          <w:p w14:paraId="6660BF09" w14:textId="341AC111"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288DB282" w14:textId="5E962129"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821" w:type="dxa"/>
            <w:noWrap/>
            <w:tcMar>
              <w:top w:w="20" w:type="dxa"/>
              <w:left w:w="20" w:type="dxa"/>
              <w:bottom w:w="0" w:type="dxa"/>
              <w:right w:w="20" w:type="dxa"/>
            </w:tcMar>
            <w:vAlign w:val="bottom"/>
          </w:tcPr>
          <w:p w14:paraId="5F05F0D4" w14:textId="006CC57C"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48" w:type="dxa"/>
            <w:noWrap/>
            <w:tcMar>
              <w:top w:w="20" w:type="dxa"/>
              <w:left w:w="20" w:type="dxa"/>
              <w:bottom w:w="0" w:type="dxa"/>
              <w:right w:w="20" w:type="dxa"/>
            </w:tcMar>
            <w:vAlign w:val="bottom"/>
          </w:tcPr>
          <w:p w14:paraId="01F4D96C" w14:textId="67E0C49E"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17" w:type="dxa"/>
            <w:noWrap/>
            <w:tcMar>
              <w:top w:w="20" w:type="dxa"/>
              <w:left w:w="20" w:type="dxa"/>
              <w:bottom w:w="0" w:type="dxa"/>
              <w:right w:w="20" w:type="dxa"/>
            </w:tcMar>
            <w:vAlign w:val="bottom"/>
          </w:tcPr>
          <w:p w14:paraId="2945C6FF" w14:textId="2033E90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42" w:type="dxa"/>
            <w:noWrap/>
            <w:tcMar>
              <w:top w:w="20" w:type="dxa"/>
              <w:left w:w="20" w:type="dxa"/>
              <w:bottom w:w="0" w:type="dxa"/>
              <w:right w:w="20" w:type="dxa"/>
            </w:tcMar>
            <w:vAlign w:val="bottom"/>
          </w:tcPr>
          <w:p w14:paraId="74EFF868" w14:textId="18F5606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32" w:type="dxa"/>
            <w:vAlign w:val="bottom"/>
          </w:tcPr>
          <w:p w14:paraId="3519A179" w14:textId="1EA689B3"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80" w:type="dxa"/>
            <w:vAlign w:val="bottom"/>
          </w:tcPr>
          <w:p w14:paraId="335463D1" w14:textId="142C042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noWrap/>
            <w:tcMar>
              <w:top w:w="20" w:type="dxa"/>
              <w:left w:w="20" w:type="dxa"/>
              <w:bottom w:w="0" w:type="dxa"/>
              <w:right w:w="20" w:type="dxa"/>
            </w:tcMar>
            <w:vAlign w:val="bottom"/>
          </w:tcPr>
          <w:p w14:paraId="47861FFE" w14:textId="21585170"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89" w:type="dxa"/>
            <w:noWrap/>
            <w:tcMar>
              <w:top w:w="20" w:type="dxa"/>
              <w:left w:w="20" w:type="dxa"/>
              <w:bottom w:w="0" w:type="dxa"/>
              <w:right w:w="20" w:type="dxa"/>
            </w:tcMar>
            <w:vAlign w:val="bottom"/>
          </w:tcPr>
          <w:p w14:paraId="7F862FA8" w14:textId="2610C50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01" w:type="dxa"/>
            <w:noWrap/>
            <w:tcMar>
              <w:top w:w="20" w:type="dxa"/>
              <w:left w:w="20" w:type="dxa"/>
              <w:bottom w:w="0" w:type="dxa"/>
              <w:right w:w="20" w:type="dxa"/>
            </w:tcMar>
            <w:vAlign w:val="bottom"/>
          </w:tcPr>
          <w:p w14:paraId="59DF3ECF" w14:textId="47E9148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vAlign w:val="bottom"/>
          </w:tcPr>
          <w:p w14:paraId="647971ED" w14:textId="7C3C6321"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28" w:type="dxa"/>
            <w:vAlign w:val="bottom"/>
          </w:tcPr>
          <w:p w14:paraId="22146C10" w14:textId="18170DC6"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(1</w:t>
            </w:r>
            <w:r>
              <w:rPr>
                <w:rFonts w:eastAsia="Arial Unicode MS"/>
                <w:bCs/>
                <w:sz w:val="11"/>
                <w:szCs w:val="11"/>
              </w:rPr>
              <w:t>,</w:t>
            </w:r>
            <w:r w:rsidRPr="00A36623">
              <w:rPr>
                <w:rFonts w:eastAsia="Arial Unicode MS"/>
                <w:bCs/>
                <w:sz w:val="11"/>
                <w:szCs w:val="11"/>
              </w:rPr>
              <w:t>771)</w:t>
            </w:r>
          </w:p>
        </w:tc>
        <w:tc>
          <w:tcPr>
            <w:tcW w:w="756" w:type="dxa"/>
            <w:vAlign w:val="bottom"/>
          </w:tcPr>
          <w:p w14:paraId="048268EC" w14:textId="68525CAA"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(1</w:t>
            </w:r>
            <w:r>
              <w:rPr>
                <w:rFonts w:eastAsia="Arial Unicode MS"/>
                <w:bCs/>
                <w:sz w:val="11"/>
                <w:szCs w:val="11"/>
              </w:rPr>
              <w:t>,</w:t>
            </w:r>
            <w:r w:rsidRPr="00A36623">
              <w:rPr>
                <w:rFonts w:eastAsia="Arial Unicode MS"/>
                <w:bCs/>
                <w:sz w:val="11"/>
                <w:szCs w:val="11"/>
              </w:rPr>
              <w:t>771)</w:t>
            </w:r>
          </w:p>
        </w:tc>
      </w:tr>
      <w:tr w:rsidR="00980409" w:rsidRPr="007C0BA6" w14:paraId="1D259E46" w14:textId="77777777" w:rsidTr="00F142CB">
        <w:trPr>
          <w:trHeight w:val="80"/>
        </w:trPr>
        <w:tc>
          <w:tcPr>
            <w:tcW w:w="362" w:type="dxa"/>
            <w:noWrap/>
            <w:tcMar>
              <w:top w:w="20" w:type="dxa"/>
              <w:left w:w="20" w:type="dxa"/>
              <w:bottom w:w="0" w:type="dxa"/>
              <w:right w:w="20" w:type="dxa"/>
            </w:tcMar>
            <w:vAlign w:val="bottom"/>
          </w:tcPr>
          <w:p w14:paraId="09678555" w14:textId="77777777" w:rsidR="00980409" w:rsidRPr="007C0BA6" w:rsidRDefault="00980409" w:rsidP="00980409">
            <w:pPr>
              <w:spacing w:line="192" w:lineRule="auto"/>
              <w:ind w:right="-30"/>
              <w:rPr>
                <w:b/>
                <w:bCs/>
                <w:sz w:val="12"/>
                <w:szCs w:val="12"/>
              </w:rPr>
            </w:pPr>
            <w:r w:rsidRPr="007C0BA6">
              <w:rPr>
                <w:rFonts w:eastAsia="Arial Unicode MS"/>
                <w:b/>
                <w:bCs/>
                <w:sz w:val="12"/>
                <w:szCs w:val="12"/>
              </w:rPr>
              <w:t>XVII.</w:t>
            </w:r>
          </w:p>
        </w:tc>
        <w:tc>
          <w:tcPr>
            <w:tcW w:w="2332" w:type="dxa"/>
            <w:noWrap/>
            <w:tcMar>
              <w:top w:w="20" w:type="dxa"/>
              <w:left w:w="20" w:type="dxa"/>
              <w:bottom w:w="0" w:type="dxa"/>
              <w:right w:w="20" w:type="dxa"/>
            </w:tcMar>
            <w:vAlign w:val="bottom"/>
          </w:tcPr>
          <w:p w14:paraId="6372CB2B" w14:textId="77777777" w:rsidR="00980409" w:rsidRPr="007C0BA6" w:rsidRDefault="00980409" w:rsidP="00980409">
            <w:pPr>
              <w:spacing w:line="192" w:lineRule="auto"/>
              <w:rPr>
                <w:b/>
                <w:sz w:val="12"/>
                <w:szCs w:val="12"/>
              </w:rPr>
            </w:pPr>
            <w:r>
              <w:rPr>
                <w:b/>
                <w:sz w:val="12"/>
                <w:szCs w:val="12"/>
              </w:rPr>
              <w:t>Net Profit or Loss for the Period</w:t>
            </w:r>
          </w:p>
        </w:tc>
        <w:tc>
          <w:tcPr>
            <w:tcW w:w="473" w:type="dxa"/>
          </w:tcPr>
          <w:p w14:paraId="45E920CA"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1B9BBC01" w14:textId="037F3C2E"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69" w:type="dxa"/>
            <w:vAlign w:val="bottom"/>
          </w:tcPr>
          <w:p w14:paraId="408824F1" w14:textId="4B9B3B1E"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41FDFC54" w14:textId="01CAFA42"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07" w:type="dxa"/>
            <w:noWrap/>
            <w:tcMar>
              <w:top w:w="20" w:type="dxa"/>
              <w:left w:w="20" w:type="dxa"/>
              <w:bottom w:w="0" w:type="dxa"/>
              <w:right w:w="20" w:type="dxa"/>
            </w:tcMar>
            <w:vAlign w:val="bottom"/>
          </w:tcPr>
          <w:p w14:paraId="47C606FF" w14:textId="12ADDB59"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02" w:type="dxa"/>
            <w:noWrap/>
            <w:tcMar>
              <w:top w:w="20" w:type="dxa"/>
              <w:left w:w="20" w:type="dxa"/>
              <w:bottom w:w="0" w:type="dxa"/>
              <w:right w:w="20" w:type="dxa"/>
            </w:tcMar>
            <w:vAlign w:val="bottom"/>
          </w:tcPr>
          <w:p w14:paraId="13072E5F" w14:textId="3CB3BD06"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158A9BCD" w14:textId="59262BA0"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821" w:type="dxa"/>
            <w:noWrap/>
            <w:tcMar>
              <w:top w:w="20" w:type="dxa"/>
              <w:left w:w="20" w:type="dxa"/>
              <w:bottom w:w="0" w:type="dxa"/>
              <w:right w:w="20" w:type="dxa"/>
            </w:tcMar>
            <w:vAlign w:val="bottom"/>
          </w:tcPr>
          <w:p w14:paraId="0187BE2D" w14:textId="306781BB"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48" w:type="dxa"/>
            <w:noWrap/>
            <w:tcMar>
              <w:top w:w="20" w:type="dxa"/>
              <w:left w:w="20" w:type="dxa"/>
              <w:bottom w:w="0" w:type="dxa"/>
              <w:right w:w="20" w:type="dxa"/>
            </w:tcMar>
            <w:vAlign w:val="bottom"/>
          </w:tcPr>
          <w:p w14:paraId="4F976863" w14:textId="342BCEC7" w:rsidR="00980409" w:rsidRPr="00A36623" w:rsidRDefault="00980409" w:rsidP="00980409">
            <w:pPr>
              <w:ind w:left="-1554" w:right="22"/>
              <w:jc w:val="right"/>
              <w:rPr>
                <w:rFonts w:eastAsia="Arial Unicode MS"/>
                <w:bCs/>
                <w:sz w:val="11"/>
                <w:szCs w:val="11"/>
              </w:rPr>
            </w:pPr>
            <w:r w:rsidRPr="00E46F2D">
              <w:rPr>
                <w:rFonts w:eastAsia="Arial Unicode MS"/>
                <w:b/>
                <w:bCs/>
                <w:sz w:val="11"/>
                <w:szCs w:val="11"/>
              </w:rPr>
              <w:t>-</w:t>
            </w:r>
          </w:p>
        </w:tc>
        <w:tc>
          <w:tcPr>
            <w:tcW w:w="617" w:type="dxa"/>
            <w:noWrap/>
            <w:tcMar>
              <w:top w:w="20" w:type="dxa"/>
              <w:left w:w="20" w:type="dxa"/>
              <w:bottom w:w="0" w:type="dxa"/>
              <w:right w:w="20" w:type="dxa"/>
            </w:tcMar>
            <w:vAlign w:val="bottom"/>
          </w:tcPr>
          <w:p w14:paraId="7E8C85F7" w14:textId="4A79135B" w:rsidR="00980409" w:rsidRPr="00A36623" w:rsidRDefault="00980409" w:rsidP="00980409">
            <w:pPr>
              <w:ind w:left="-1554" w:right="22"/>
              <w:jc w:val="right"/>
              <w:rPr>
                <w:rFonts w:eastAsia="Arial Unicode MS"/>
                <w:bCs/>
                <w:sz w:val="11"/>
                <w:szCs w:val="11"/>
              </w:rPr>
            </w:pPr>
            <w:r w:rsidRPr="00E46F2D">
              <w:rPr>
                <w:rFonts w:eastAsia="Arial Unicode MS"/>
                <w:b/>
                <w:bCs/>
                <w:sz w:val="11"/>
                <w:szCs w:val="11"/>
              </w:rPr>
              <w:t>136,591</w:t>
            </w:r>
          </w:p>
        </w:tc>
        <w:tc>
          <w:tcPr>
            <w:tcW w:w="642" w:type="dxa"/>
            <w:noWrap/>
            <w:tcMar>
              <w:top w:w="20" w:type="dxa"/>
              <w:left w:w="20" w:type="dxa"/>
              <w:bottom w:w="0" w:type="dxa"/>
              <w:right w:w="20" w:type="dxa"/>
            </w:tcMar>
            <w:vAlign w:val="bottom"/>
          </w:tcPr>
          <w:p w14:paraId="6FFC3E87" w14:textId="6D0DAC0D" w:rsidR="00980409" w:rsidRPr="00A36623" w:rsidRDefault="00980409" w:rsidP="00980409">
            <w:pPr>
              <w:ind w:left="-1554" w:right="22"/>
              <w:jc w:val="right"/>
              <w:rPr>
                <w:rFonts w:eastAsia="Arial Unicode MS"/>
                <w:bCs/>
                <w:sz w:val="11"/>
                <w:szCs w:val="11"/>
              </w:rPr>
            </w:pPr>
            <w:r w:rsidRPr="00E46F2D">
              <w:rPr>
                <w:rFonts w:eastAsia="Arial Unicode MS"/>
                <w:b/>
                <w:bCs/>
                <w:sz w:val="11"/>
                <w:szCs w:val="11"/>
              </w:rPr>
              <w:t>-</w:t>
            </w:r>
          </w:p>
        </w:tc>
        <w:tc>
          <w:tcPr>
            <w:tcW w:w="732" w:type="dxa"/>
            <w:vAlign w:val="bottom"/>
          </w:tcPr>
          <w:p w14:paraId="3AF7AD2A" w14:textId="2ED5BECD"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880" w:type="dxa"/>
            <w:vAlign w:val="bottom"/>
          </w:tcPr>
          <w:p w14:paraId="4ABB024B" w14:textId="43C8883B" w:rsidR="00980409" w:rsidRPr="00A36623" w:rsidRDefault="00980409" w:rsidP="00980409">
            <w:pPr>
              <w:ind w:left="-1554" w:right="22"/>
              <w:jc w:val="right"/>
              <w:rPr>
                <w:rFonts w:eastAsia="Arial Unicode MS"/>
                <w:bCs/>
                <w:sz w:val="11"/>
                <w:szCs w:val="11"/>
              </w:rPr>
            </w:pPr>
            <w:r w:rsidRPr="00E46F2D">
              <w:rPr>
                <w:rFonts w:eastAsia="Arial Unicode MS"/>
                <w:b/>
                <w:bCs/>
                <w:sz w:val="11"/>
                <w:szCs w:val="11"/>
              </w:rPr>
              <w:t>-</w:t>
            </w:r>
          </w:p>
        </w:tc>
        <w:tc>
          <w:tcPr>
            <w:tcW w:w="722" w:type="dxa"/>
            <w:noWrap/>
            <w:tcMar>
              <w:top w:w="20" w:type="dxa"/>
              <w:left w:w="20" w:type="dxa"/>
              <w:bottom w:w="0" w:type="dxa"/>
              <w:right w:w="20" w:type="dxa"/>
            </w:tcMar>
            <w:vAlign w:val="bottom"/>
          </w:tcPr>
          <w:p w14:paraId="0353CF84" w14:textId="660290A5" w:rsidR="00980409" w:rsidRPr="00A36623" w:rsidRDefault="00980409" w:rsidP="00980409">
            <w:pPr>
              <w:ind w:left="-1554" w:right="22"/>
              <w:jc w:val="right"/>
              <w:rPr>
                <w:rFonts w:eastAsia="Arial Unicode MS"/>
                <w:bCs/>
                <w:sz w:val="11"/>
                <w:szCs w:val="11"/>
              </w:rPr>
            </w:pPr>
            <w:r w:rsidRPr="00E46F2D">
              <w:rPr>
                <w:rFonts w:eastAsia="Arial Unicode MS"/>
                <w:b/>
                <w:bCs/>
                <w:sz w:val="11"/>
                <w:szCs w:val="11"/>
              </w:rPr>
              <w:t>-</w:t>
            </w:r>
          </w:p>
        </w:tc>
        <w:tc>
          <w:tcPr>
            <w:tcW w:w="589" w:type="dxa"/>
            <w:noWrap/>
            <w:tcMar>
              <w:top w:w="20" w:type="dxa"/>
              <w:left w:w="20" w:type="dxa"/>
              <w:bottom w:w="0" w:type="dxa"/>
              <w:right w:w="20" w:type="dxa"/>
            </w:tcMar>
            <w:vAlign w:val="bottom"/>
          </w:tcPr>
          <w:p w14:paraId="414CAD61" w14:textId="7A51E62B"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801" w:type="dxa"/>
            <w:noWrap/>
            <w:tcMar>
              <w:top w:w="20" w:type="dxa"/>
              <w:left w:w="20" w:type="dxa"/>
              <w:bottom w:w="0" w:type="dxa"/>
              <w:right w:w="20" w:type="dxa"/>
            </w:tcMar>
            <w:vAlign w:val="bottom"/>
          </w:tcPr>
          <w:p w14:paraId="35A44572" w14:textId="6BD6B929" w:rsidR="00980409" w:rsidRPr="00A36623" w:rsidRDefault="00980409" w:rsidP="00980409">
            <w:pPr>
              <w:ind w:left="-1554" w:right="22"/>
              <w:jc w:val="right"/>
              <w:rPr>
                <w:rFonts w:eastAsia="Arial Unicode MS"/>
                <w:b/>
                <w:bCs/>
                <w:sz w:val="11"/>
                <w:szCs w:val="11"/>
              </w:rPr>
            </w:pPr>
            <w:r w:rsidRPr="00BA12DA">
              <w:rPr>
                <w:rFonts w:eastAsia="Arial Unicode MS"/>
                <w:b/>
                <w:bCs/>
                <w:sz w:val="11"/>
                <w:szCs w:val="11"/>
              </w:rPr>
              <w:t>-</w:t>
            </w:r>
          </w:p>
        </w:tc>
        <w:tc>
          <w:tcPr>
            <w:tcW w:w="626" w:type="dxa"/>
            <w:vAlign w:val="bottom"/>
          </w:tcPr>
          <w:p w14:paraId="7A0903C6" w14:textId="7F06018D" w:rsidR="00980409" w:rsidRPr="00A36623" w:rsidRDefault="00980409" w:rsidP="00980409">
            <w:pPr>
              <w:ind w:left="-1554" w:right="22"/>
              <w:jc w:val="right"/>
              <w:rPr>
                <w:rFonts w:eastAsia="Arial Unicode MS"/>
                <w:bCs/>
                <w:sz w:val="11"/>
                <w:szCs w:val="11"/>
              </w:rPr>
            </w:pPr>
            <w:r w:rsidRPr="00E46F2D">
              <w:rPr>
                <w:rFonts w:eastAsia="Arial Unicode MS"/>
                <w:b/>
                <w:bCs/>
                <w:sz w:val="11"/>
                <w:szCs w:val="11"/>
              </w:rPr>
              <w:t>136,591</w:t>
            </w:r>
          </w:p>
        </w:tc>
        <w:tc>
          <w:tcPr>
            <w:tcW w:w="728" w:type="dxa"/>
            <w:vAlign w:val="bottom"/>
          </w:tcPr>
          <w:p w14:paraId="46E2A935" w14:textId="6FC619F6" w:rsidR="00980409" w:rsidRPr="00A36623" w:rsidRDefault="00980409" w:rsidP="00980409">
            <w:pPr>
              <w:ind w:left="-1554" w:right="22"/>
              <w:jc w:val="right"/>
              <w:rPr>
                <w:rFonts w:eastAsia="Arial Unicode MS"/>
                <w:bCs/>
                <w:sz w:val="11"/>
                <w:szCs w:val="11"/>
              </w:rPr>
            </w:pPr>
            <w:r w:rsidRPr="00E46F2D">
              <w:rPr>
                <w:rFonts w:eastAsia="Arial Unicode MS"/>
                <w:b/>
                <w:bCs/>
                <w:sz w:val="11"/>
                <w:szCs w:val="11"/>
              </w:rPr>
              <w:t>232</w:t>
            </w:r>
          </w:p>
        </w:tc>
        <w:tc>
          <w:tcPr>
            <w:tcW w:w="756" w:type="dxa"/>
            <w:vAlign w:val="bottom"/>
          </w:tcPr>
          <w:p w14:paraId="00822DD9" w14:textId="0BBC4BFF" w:rsidR="00980409" w:rsidRPr="00A36623" w:rsidRDefault="00980409" w:rsidP="00980409">
            <w:pPr>
              <w:ind w:left="-1554" w:right="22"/>
              <w:jc w:val="right"/>
              <w:rPr>
                <w:rFonts w:eastAsia="Arial Unicode MS"/>
                <w:bCs/>
                <w:sz w:val="11"/>
                <w:szCs w:val="11"/>
              </w:rPr>
            </w:pPr>
            <w:r w:rsidRPr="00E46F2D">
              <w:rPr>
                <w:rFonts w:eastAsia="Arial Unicode MS"/>
                <w:b/>
                <w:bCs/>
                <w:sz w:val="11"/>
                <w:szCs w:val="11"/>
              </w:rPr>
              <w:t>136,823</w:t>
            </w:r>
          </w:p>
        </w:tc>
      </w:tr>
      <w:tr w:rsidR="00980409" w:rsidRPr="007C0BA6" w14:paraId="7933A63E" w14:textId="77777777" w:rsidTr="00F142CB">
        <w:trPr>
          <w:trHeight w:val="80"/>
        </w:trPr>
        <w:tc>
          <w:tcPr>
            <w:tcW w:w="362" w:type="dxa"/>
            <w:noWrap/>
            <w:tcMar>
              <w:top w:w="20" w:type="dxa"/>
              <w:left w:w="20" w:type="dxa"/>
              <w:bottom w:w="0" w:type="dxa"/>
              <w:right w:w="20" w:type="dxa"/>
            </w:tcMar>
            <w:vAlign w:val="bottom"/>
          </w:tcPr>
          <w:p w14:paraId="47359F00" w14:textId="77777777" w:rsidR="00980409" w:rsidRPr="007C0BA6" w:rsidRDefault="00980409" w:rsidP="00980409">
            <w:pPr>
              <w:spacing w:line="192" w:lineRule="auto"/>
              <w:ind w:right="-30"/>
              <w:rPr>
                <w:b/>
                <w:bCs/>
                <w:sz w:val="12"/>
                <w:szCs w:val="12"/>
              </w:rPr>
            </w:pPr>
            <w:r w:rsidRPr="007C0BA6">
              <w:rPr>
                <w:rFonts w:eastAsia="Arial Unicode MS"/>
                <w:b/>
                <w:bCs/>
                <w:sz w:val="12"/>
                <w:szCs w:val="12"/>
              </w:rPr>
              <w:t>XVIII.</w:t>
            </w:r>
          </w:p>
        </w:tc>
        <w:tc>
          <w:tcPr>
            <w:tcW w:w="2332" w:type="dxa"/>
            <w:noWrap/>
            <w:tcMar>
              <w:top w:w="20" w:type="dxa"/>
              <w:left w:w="20" w:type="dxa"/>
              <w:bottom w:w="0" w:type="dxa"/>
              <w:right w:w="20" w:type="dxa"/>
            </w:tcMar>
            <w:vAlign w:val="bottom"/>
          </w:tcPr>
          <w:p w14:paraId="6F21917C" w14:textId="77777777" w:rsidR="00980409" w:rsidRPr="007C0BA6" w:rsidRDefault="00980409" w:rsidP="00980409">
            <w:pPr>
              <w:spacing w:line="192" w:lineRule="auto"/>
              <w:rPr>
                <w:b/>
                <w:sz w:val="12"/>
                <w:szCs w:val="12"/>
              </w:rPr>
            </w:pPr>
            <w:r w:rsidRPr="007C0BA6">
              <w:rPr>
                <w:b/>
                <w:sz w:val="12"/>
                <w:szCs w:val="12"/>
              </w:rPr>
              <w:t>Profit Distribution</w:t>
            </w:r>
          </w:p>
        </w:tc>
        <w:tc>
          <w:tcPr>
            <w:tcW w:w="473" w:type="dxa"/>
          </w:tcPr>
          <w:p w14:paraId="75D73954"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5CBF524F" w14:textId="3A0C3483"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c>
          <w:tcPr>
            <w:tcW w:w="669" w:type="dxa"/>
            <w:vAlign w:val="bottom"/>
          </w:tcPr>
          <w:p w14:paraId="32C59836" w14:textId="26A6D8DB"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c>
          <w:tcPr>
            <w:tcW w:w="536" w:type="dxa"/>
            <w:noWrap/>
            <w:tcMar>
              <w:top w:w="20" w:type="dxa"/>
              <w:left w:w="20" w:type="dxa"/>
              <w:bottom w:w="0" w:type="dxa"/>
              <w:right w:w="20" w:type="dxa"/>
            </w:tcMar>
            <w:vAlign w:val="bottom"/>
          </w:tcPr>
          <w:p w14:paraId="616D1E97" w14:textId="6D14A530"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c>
          <w:tcPr>
            <w:tcW w:w="707" w:type="dxa"/>
            <w:noWrap/>
            <w:tcMar>
              <w:top w:w="20" w:type="dxa"/>
              <w:left w:w="20" w:type="dxa"/>
              <w:bottom w:w="0" w:type="dxa"/>
              <w:right w:w="20" w:type="dxa"/>
            </w:tcMar>
            <w:vAlign w:val="bottom"/>
          </w:tcPr>
          <w:p w14:paraId="323B71EE" w14:textId="6C46BC16"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c>
          <w:tcPr>
            <w:tcW w:w="602" w:type="dxa"/>
            <w:noWrap/>
            <w:tcMar>
              <w:top w:w="20" w:type="dxa"/>
              <w:left w:w="20" w:type="dxa"/>
              <w:bottom w:w="0" w:type="dxa"/>
              <w:right w:w="20" w:type="dxa"/>
            </w:tcMar>
            <w:vAlign w:val="bottom"/>
          </w:tcPr>
          <w:p w14:paraId="2D8E8098" w14:textId="5B4A2BBC"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4,887</w:t>
            </w:r>
          </w:p>
        </w:tc>
        <w:tc>
          <w:tcPr>
            <w:tcW w:w="536" w:type="dxa"/>
            <w:noWrap/>
            <w:tcMar>
              <w:top w:w="20" w:type="dxa"/>
              <w:left w:w="20" w:type="dxa"/>
              <w:bottom w:w="0" w:type="dxa"/>
              <w:right w:w="20" w:type="dxa"/>
            </w:tcMar>
            <w:vAlign w:val="bottom"/>
          </w:tcPr>
          <w:p w14:paraId="4EE8057C" w14:textId="1689E25A"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c>
          <w:tcPr>
            <w:tcW w:w="821" w:type="dxa"/>
            <w:noWrap/>
            <w:tcMar>
              <w:top w:w="20" w:type="dxa"/>
              <w:left w:w="20" w:type="dxa"/>
              <w:bottom w:w="0" w:type="dxa"/>
              <w:right w:w="20" w:type="dxa"/>
            </w:tcMar>
            <w:vAlign w:val="bottom"/>
          </w:tcPr>
          <w:p w14:paraId="36273DB7" w14:textId="7403FDF2"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92,862</w:t>
            </w:r>
          </w:p>
        </w:tc>
        <w:tc>
          <w:tcPr>
            <w:tcW w:w="648" w:type="dxa"/>
            <w:noWrap/>
            <w:tcMar>
              <w:top w:w="20" w:type="dxa"/>
              <w:left w:w="20" w:type="dxa"/>
              <w:bottom w:w="0" w:type="dxa"/>
              <w:right w:w="20" w:type="dxa"/>
            </w:tcMar>
            <w:vAlign w:val="bottom"/>
          </w:tcPr>
          <w:p w14:paraId="1A775CE4" w14:textId="15AF4408"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c>
          <w:tcPr>
            <w:tcW w:w="617" w:type="dxa"/>
            <w:noWrap/>
            <w:tcMar>
              <w:top w:w="20" w:type="dxa"/>
              <w:left w:w="20" w:type="dxa"/>
              <w:bottom w:w="0" w:type="dxa"/>
              <w:right w:w="20" w:type="dxa"/>
            </w:tcMar>
            <w:vAlign w:val="bottom"/>
          </w:tcPr>
          <w:p w14:paraId="70334E46" w14:textId="27980DB7"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(71,267)</w:t>
            </w:r>
          </w:p>
        </w:tc>
        <w:tc>
          <w:tcPr>
            <w:tcW w:w="642" w:type="dxa"/>
            <w:noWrap/>
            <w:tcMar>
              <w:top w:w="20" w:type="dxa"/>
              <w:left w:w="20" w:type="dxa"/>
              <w:bottom w:w="0" w:type="dxa"/>
              <w:right w:w="20" w:type="dxa"/>
            </w:tcMar>
            <w:vAlign w:val="bottom"/>
          </w:tcPr>
          <w:p w14:paraId="7B4EBD26" w14:textId="7A7C281A"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(26,482)</w:t>
            </w:r>
          </w:p>
        </w:tc>
        <w:tc>
          <w:tcPr>
            <w:tcW w:w="732" w:type="dxa"/>
            <w:vAlign w:val="bottom"/>
          </w:tcPr>
          <w:p w14:paraId="16BB6666" w14:textId="1CDD66FD" w:rsidR="00980409" w:rsidRPr="00A36623" w:rsidRDefault="00980409" w:rsidP="00980409">
            <w:pPr>
              <w:ind w:left="-1554" w:right="22"/>
              <w:jc w:val="right"/>
              <w:rPr>
                <w:rFonts w:eastAsia="Arial Unicode MS"/>
                <w:b/>
                <w:bCs/>
                <w:sz w:val="11"/>
                <w:szCs w:val="11"/>
              </w:rPr>
            </w:pPr>
            <w:r w:rsidRPr="003F33D8">
              <w:rPr>
                <w:rFonts w:eastAsia="Arial Unicode MS"/>
                <w:b/>
                <w:bCs/>
                <w:sz w:val="11"/>
                <w:szCs w:val="11"/>
              </w:rPr>
              <w:t>-</w:t>
            </w:r>
          </w:p>
        </w:tc>
        <w:tc>
          <w:tcPr>
            <w:tcW w:w="880" w:type="dxa"/>
            <w:vAlign w:val="bottom"/>
          </w:tcPr>
          <w:p w14:paraId="2E5419D1" w14:textId="3A14CDF0" w:rsidR="00980409" w:rsidRPr="00A36623" w:rsidRDefault="00980409" w:rsidP="00980409">
            <w:pPr>
              <w:ind w:left="-1554" w:right="22"/>
              <w:jc w:val="right"/>
              <w:rPr>
                <w:rFonts w:eastAsia="Arial Unicode MS"/>
                <w:b/>
                <w:bCs/>
                <w:sz w:val="11"/>
                <w:szCs w:val="11"/>
              </w:rPr>
            </w:pPr>
            <w:r w:rsidRPr="003F33D8">
              <w:rPr>
                <w:rFonts w:eastAsia="Arial Unicode MS"/>
                <w:b/>
                <w:bCs/>
                <w:sz w:val="11"/>
                <w:szCs w:val="11"/>
              </w:rPr>
              <w:t>-</w:t>
            </w:r>
          </w:p>
        </w:tc>
        <w:tc>
          <w:tcPr>
            <w:tcW w:w="722" w:type="dxa"/>
            <w:noWrap/>
            <w:tcMar>
              <w:top w:w="20" w:type="dxa"/>
              <w:left w:w="20" w:type="dxa"/>
              <w:bottom w:w="0" w:type="dxa"/>
              <w:right w:w="20" w:type="dxa"/>
            </w:tcMar>
            <w:vAlign w:val="bottom"/>
          </w:tcPr>
          <w:p w14:paraId="6B6F3AB1" w14:textId="2075A323"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c>
          <w:tcPr>
            <w:tcW w:w="589" w:type="dxa"/>
            <w:noWrap/>
            <w:tcMar>
              <w:top w:w="20" w:type="dxa"/>
              <w:left w:w="20" w:type="dxa"/>
              <w:bottom w:w="0" w:type="dxa"/>
              <w:right w:w="20" w:type="dxa"/>
            </w:tcMar>
            <w:vAlign w:val="bottom"/>
          </w:tcPr>
          <w:p w14:paraId="252B9B5A" w14:textId="0D2D8EFE" w:rsidR="00980409" w:rsidRPr="00A36623" w:rsidRDefault="00980409" w:rsidP="00980409">
            <w:pPr>
              <w:ind w:left="-1554" w:right="22"/>
              <w:jc w:val="right"/>
              <w:rPr>
                <w:rFonts w:eastAsia="Arial Unicode MS"/>
                <w:b/>
                <w:bCs/>
                <w:sz w:val="11"/>
                <w:szCs w:val="11"/>
              </w:rPr>
            </w:pPr>
            <w:r w:rsidRPr="003F33D8">
              <w:rPr>
                <w:rFonts w:eastAsia="Arial Unicode MS"/>
                <w:b/>
                <w:bCs/>
                <w:sz w:val="11"/>
                <w:szCs w:val="11"/>
              </w:rPr>
              <w:t>-</w:t>
            </w:r>
          </w:p>
        </w:tc>
        <w:tc>
          <w:tcPr>
            <w:tcW w:w="801" w:type="dxa"/>
            <w:noWrap/>
            <w:tcMar>
              <w:top w:w="20" w:type="dxa"/>
              <w:left w:w="20" w:type="dxa"/>
              <w:bottom w:w="0" w:type="dxa"/>
              <w:right w:w="20" w:type="dxa"/>
            </w:tcMar>
            <w:vAlign w:val="bottom"/>
          </w:tcPr>
          <w:p w14:paraId="14F399B3" w14:textId="748E10BE" w:rsidR="00980409" w:rsidRPr="00A36623" w:rsidRDefault="00980409" w:rsidP="00980409">
            <w:pPr>
              <w:ind w:left="-1554" w:right="22"/>
              <w:jc w:val="right"/>
              <w:rPr>
                <w:rFonts w:eastAsia="Arial Unicode MS"/>
                <w:b/>
                <w:bCs/>
                <w:sz w:val="11"/>
                <w:szCs w:val="11"/>
              </w:rPr>
            </w:pPr>
            <w:r w:rsidRPr="003F33D8">
              <w:rPr>
                <w:rFonts w:eastAsia="Arial Unicode MS"/>
                <w:b/>
                <w:bCs/>
                <w:sz w:val="11"/>
                <w:szCs w:val="11"/>
              </w:rPr>
              <w:t>-</w:t>
            </w:r>
          </w:p>
        </w:tc>
        <w:tc>
          <w:tcPr>
            <w:tcW w:w="626" w:type="dxa"/>
            <w:vAlign w:val="bottom"/>
          </w:tcPr>
          <w:p w14:paraId="605C1EE0" w14:textId="767707D0"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c>
          <w:tcPr>
            <w:tcW w:w="728" w:type="dxa"/>
            <w:vAlign w:val="bottom"/>
          </w:tcPr>
          <w:p w14:paraId="49194FB7" w14:textId="263163C6"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c>
          <w:tcPr>
            <w:tcW w:w="756" w:type="dxa"/>
            <w:vAlign w:val="bottom"/>
          </w:tcPr>
          <w:p w14:paraId="6B13FF3D" w14:textId="194102DA" w:rsidR="00980409" w:rsidRPr="00A36623" w:rsidRDefault="00980409" w:rsidP="00980409">
            <w:pPr>
              <w:ind w:left="-1554" w:right="22"/>
              <w:jc w:val="right"/>
              <w:rPr>
                <w:rFonts w:eastAsia="Arial Unicode MS"/>
                <w:bCs/>
                <w:sz w:val="11"/>
                <w:szCs w:val="11"/>
              </w:rPr>
            </w:pPr>
            <w:r w:rsidRPr="003F33D8">
              <w:rPr>
                <w:rFonts w:eastAsia="Arial Unicode MS"/>
                <w:b/>
                <w:bCs/>
                <w:sz w:val="11"/>
                <w:szCs w:val="11"/>
              </w:rPr>
              <w:t>-</w:t>
            </w:r>
          </w:p>
        </w:tc>
      </w:tr>
      <w:tr w:rsidR="00980409" w:rsidRPr="007C0BA6" w14:paraId="27C8C7A3" w14:textId="77777777" w:rsidTr="00F142CB">
        <w:trPr>
          <w:trHeight w:val="80"/>
        </w:trPr>
        <w:tc>
          <w:tcPr>
            <w:tcW w:w="362" w:type="dxa"/>
            <w:noWrap/>
            <w:tcMar>
              <w:top w:w="20" w:type="dxa"/>
              <w:left w:w="20" w:type="dxa"/>
              <w:bottom w:w="0" w:type="dxa"/>
              <w:right w:w="20" w:type="dxa"/>
            </w:tcMar>
            <w:vAlign w:val="bottom"/>
          </w:tcPr>
          <w:p w14:paraId="4D7D85B2" w14:textId="77777777" w:rsidR="00980409" w:rsidRPr="007C0BA6" w:rsidRDefault="00980409" w:rsidP="00980409">
            <w:pPr>
              <w:spacing w:line="192" w:lineRule="auto"/>
              <w:ind w:right="-30"/>
              <w:rPr>
                <w:rFonts w:eastAsia="Arial Unicode MS"/>
                <w:bCs/>
                <w:sz w:val="12"/>
                <w:szCs w:val="12"/>
              </w:rPr>
            </w:pPr>
            <w:r w:rsidRPr="007C0BA6">
              <w:rPr>
                <w:rFonts w:eastAsia="Arial Unicode MS"/>
                <w:bCs/>
                <w:sz w:val="12"/>
                <w:szCs w:val="12"/>
              </w:rPr>
              <w:t>18.1</w:t>
            </w:r>
          </w:p>
        </w:tc>
        <w:tc>
          <w:tcPr>
            <w:tcW w:w="2332" w:type="dxa"/>
            <w:noWrap/>
            <w:tcMar>
              <w:top w:w="20" w:type="dxa"/>
              <w:left w:w="20" w:type="dxa"/>
              <w:bottom w:w="0" w:type="dxa"/>
              <w:right w:w="20" w:type="dxa"/>
            </w:tcMar>
            <w:vAlign w:val="bottom"/>
          </w:tcPr>
          <w:p w14:paraId="637ECA2A" w14:textId="77777777" w:rsidR="00980409" w:rsidRPr="007C0BA6" w:rsidRDefault="00980409" w:rsidP="00980409">
            <w:pPr>
              <w:spacing w:line="192" w:lineRule="auto"/>
              <w:rPr>
                <w:sz w:val="12"/>
                <w:szCs w:val="12"/>
              </w:rPr>
            </w:pPr>
            <w:r w:rsidRPr="007C0BA6">
              <w:rPr>
                <w:sz w:val="12"/>
                <w:szCs w:val="12"/>
              </w:rPr>
              <w:t>Dividend Paid</w:t>
            </w:r>
          </w:p>
        </w:tc>
        <w:tc>
          <w:tcPr>
            <w:tcW w:w="473" w:type="dxa"/>
          </w:tcPr>
          <w:p w14:paraId="121E988F"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3ACF5D9F" w14:textId="0AEE840F"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69" w:type="dxa"/>
            <w:vAlign w:val="bottom"/>
          </w:tcPr>
          <w:p w14:paraId="40477507" w14:textId="5254CBF9"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10616656" w14:textId="234D4B48"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07" w:type="dxa"/>
            <w:noWrap/>
            <w:tcMar>
              <w:top w:w="20" w:type="dxa"/>
              <w:left w:w="20" w:type="dxa"/>
              <w:bottom w:w="0" w:type="dxa"/>
              <w:right w:w="20" w:type="dxa"/>
            </w:tcMar>
            <w:vAlign w:val="bottom"/>
          </w:tcPr>
          <w:p w14:paraId="039FAE17" w14:textId="2F52819B"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02" w:type="dxa"/>
            <w:noWrap/>
            <w:tcMar>
              <w:top w:w="20" w:type="dxa"/>
              <w:left w:w="20" w:type="dxa"/>
              <w:bottom w:w="0" w:type="dxa"/>
              <w:right w:w="20" w:type="dxa"/>
            </w:tcMar>
            <w:vAlign w:val="bottom"/>
          </w:tcPr>
          <w:p w14:paraId="1FE6485A" w14:textId="22131183"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60726DAC" w14:textId="4AD11FB8"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821" w:type="dxa"/>
            <w:noWrap/>
            <w:tcMar>
              <w:top w:w="20" w:type="dxa"/>
              <w:left w:w="20" w:type="dxa"/>
              <w:bottom w:w="0" w:type="dxa"/>
              <w:right w:w="20" w:type="dxa"/>
            </w:tcMar>
            <w:vAlign w:val="bottom"/>
          </w:tcPr>
          <w:p w14:paraId="20E65C8B" w14:textId="3E0F05EF"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48" w:type="dxa"/>
            <w:noWrap/>
            <w:tcMar>
              <w:top w:w="20" w:type="dxa"/>
              <w:left w:w="20" w:type="dxa"/>
              <w:bottom w:w="0" w:type="dxa"/>
              <w:right w:w="20" w:type="dxa"/>
            </w:tcMar>
            <w:vAlign w:val="bottom"/>
          </w:tcPr>
          <w:p w14:paraId="4078FA0B" w14:textId="3F5B4823"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17" w:type="dxa"/>
            <w:noWrap/>
            <w:tcMar>
              <w:top w:w="20" w:type="dxa"/>
              <w:left w:w="20" w:type="dxa"/>
              <w:bottom w:w="0" w:type="dxa"/>
              <w:right w:w="20" w:type="dxa"/>
            </w:tcMar>
            <w:vAlign w:val="bottom"/>
          </w:tcPr>
          <w:p w14:paraId="7C1D3EA6" w14:textId="77777777" w:rsidR="00980409" w:rsidRPr="00A36623" w:rsidRDefault="00980409" w:rsidP="00980409">
            <w:pPr>
              <w:ind w:left="-1554" w:right="22"/>
              <w:jc w:val="right"/>
              <w:rPr>
                <w:rFonts w:eastAsia="Arial Unicode MS"/>
                <w:bCs/>
                <w:sz w:val="11"/>
                <w:szCs w:val="11"/>
              </w:rPr>
            </w:pPr>
          </w:p>
        </w:tc>
        <w:tc>
          <w:tcPr>
            <w:tcW w:w="642" w:type="dxa"/>
            <w:noWrap/>
            <w:tcMar>
              <w:top w:w="20" w:type="dxa"/>
              <w:left w:w="20" w:type="dxa"/>
              <w:bottom w:w="0" w:type="dxa"/>
              <w:right w:w="20" w:type="dxa"/>
            </w:tcMar>
            <w:vAlign w:val="bottom"/>
          </w:tcPr>
          <w:p w14:paraId="08F97186" w14:textId="7D40406C"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32" w:type="dxa"/>
            <w:vAlign w:val="bottom"/>
          </w:tcPr>
          <w:p w14:paraId="6484E809" w14:textId="527A9561"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80" w:type="dxa"/>
            <w:vAlign w:val="bottom"/>
          </w:tcPr>
          <w:p w14:paraId="59C6909D" w14:textId="730B9864"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noWrap/>
            <w:tcMar>
              <w:top w:w="20" w:type="dxa"/>
              <w:left w:w="20" w:type="dxa"/>
              <w:bottom w:w="0" w:type="dxa"/>
              <w:right w:w="20" w:type="dxa"/>
            </w:tcMar>
            <w:vAlign w:val="bottom"/>
          </w:tcPr>
          <w:p w14:paraId="31A6ADBA" w14:textId="648AD3CF"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89" w:type="dxa"/>
            <w:noWrap/>
            <w:tcMar>
              <w:top w:w="20" w:type="dxa"/>
              <w:left w:w="20" w:type="dxa"/>
              <w:bottom w:w="0" w:type="dxa"/>
              <w:right w:w="20" w:type="dxa"/>
            </w:tcMar>
            <w:vAlign w:val="bottom"/>
          </w:tcPr>
          <w:p w14:paraId="6263987A" w14:textId="5966193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01" w:type="dxa"/>
            <w:noWrap/>
            <w:tcMar>
              <w:top w:w="20" w:type="dxa"/>
              <w:left w:w="20" w:type="dxa"/>
              <w:bottom w:w="0" w:type="dxa"/>
              <w:right w:w="20" w:type="dxa"/>
            </w:tcMar>
            <w:vAlign w:val="bottom"/>
          </w:tcPr>
          <w:p w14:paraId="21DD6D58" w14:textId="5CC46353"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vAlign w:val="bottom"/>
          </w:tcPr>
          <w:p w14:paraId="46B88775" w14:textId="6655ACDD"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28" w:type="dxa"/>
            <w:vAlign w:val="bottom"/>
          </w:tcPr>
          <w:p w14:paraId="30318014" w14:textId="3D97E17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56" w:type="dxa"/>
            <w:vAlign w:val="bottom"/>
          </w:tcPr>
          <w:p w14:paraId="760B3A4E" w14:textId="79C6921A"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r>
      <w:tr w:rsidR="00980409" w:rsidRPr="007C0BA6" w14:paraId="0109D8B6" w14:textId="77777777" w:rsidTr="00F142CB">
        <w:trPr>
          <w:trHeight w:val="70"/>
        </w:trPr>
        <w:tc>
          <w:tcPr>
            <w:tcW w:w="362" w:type="dxa"/>
            <w:noWrap/>
            <w:tcMar>
              <w:top w:w="20" w:type="dxa"/>
              <w:left w:w="20" w:type="dxa"/>
              <w:bottom w:w="0" w:type="dxa"/>
              <w:right w:w="20" w:type="dxa"/>
            </w:tcMar>
            <w:vAlign w:val="bottom"/>
          </w:tcPr>
          <w:p w14:paraId="5C9F7116" w14:textId="77777777" w:rsidR="00980409" w:rsidRPr="007C0BA6" w:rsidRDefault="00980409" w:rsidP="00980409">
            <w:pPr>
              <w:spacing w:line="192" w:lineRule="auto"/>
              <w:ind w:right="-30"/>
              <w:rPr>
                <w:sz w:val="12"/>
                <w:szCs w:val="12"/>
              </w:rPr>
            </w:pPr>
            <w:r w:rsidRPr="007C0BA6">
              <w:rPr>
                <w:rFonts w:eastAsia="Arial Unicode MS"/>
                <w:bCs/>
                <w:sz w:val="12"/>
                <w:szCs w:val="12"/>
              </w:rPr>
              <w:t>18.2</w:t>
            </w:r>
          </w:p>
        </w:tc>
        <w:tc>
          <w:tcPr>
            <w:tcW w:w="2332" w:type="dxa"/>
            <w:noWrap/>
            <w:tcMar>
              <w:top w:w="20" w:type="dxa"/>
              <w:left w:w="20" w:type="dxa"/>
              <w:bottom w:w="0" w:type="dxa"/>
              <w:right w:w="20" w:type="dxa"/>
            </w:tcMar>
            <w:vAlign w:val="bottom"/>
          </w:tcPr>
          <w:p w14:paraId="6BC22DA9" w14:textId="77777777" w:rsidR="00980409" w:rsidRPr="007C0BA6" w:rsidRDefault="00980409" w:rsidP="00980409">
            <w:pPr>
              <w:spacing w:line="192" w:lineRule="auto"/>
              <w:rPr>
                <w:sz w:val="12"/>
                <w:szCs w:val="12"/>
              </w:rPr>
            </w:pPr>
            <w:r w:rsidRPr="007C0BA6">
              <w:rPr>
                <w:sz w:val="12"/>
                <w:szCs w:val="12"/>
              </w:rPr>
              <w:t>Transfers to Reserves</w:t>
            </w:r>
          </w:p>
        </w:tc>
        <w:tc>
          <w:tcPr>
            <w:tcW w:w="473" w:type="dxa"/>
          </w:tcPr>
          <w:p w14:paraId="135E8FFA"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2DC62CBC" w14:textId="174441B1"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69" w:type="dxa"/>
            <w:vAlign w:val="bottom"/>
          </w:tcPr>
          <w:p w14:paraId="26AEE3A4" w14:textId="749F2901"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1E5FDF06" w14:textId="07825CC6"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07" w:type="dxa"/>
            <w:noWrap/>
            <w:tcMar>
              <w:top w:w="20" w:type="dxa"/>
              <w:left w:w="20" w:type="dxa"/>
              <w:bottom w:w="0" w:type="dxa"/>
              <w:right w:w="20" w:type="dxa"/>
            </w:tcMar>
            <w:vAlign w:val="bottom"/>
          </w:tcPr>
          <w:p w14:paraId="5EFBB7DA" w14:textId="0C7C33F7"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02" w:type="dxa"/>
            <w:noWrap/>
            <w:tcMar>
              <w:top w:w="20" w:type="dxa"/>
              <w:left w:w="20" w:type="dxa"/>
              <w:bottom w:w="0" w:type="dxa"/>
              <w:right w:w="20" w:type="dxa"/>
            </w:tcMar>
            <w:vAlign w:val="bottom"/>
          </w:tcPr>
          <w:p w14:paraId="79C91BC1" w14:textId="675441A0"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4</w:t>
            </w:r>
            <w:r>
              <w:rPr>
                <w:rFonts w:eastAsia="Arial Unicode MS"/>
                <w:bCs/>
                <w:sz w:val="11"/>
                <w:szCs w:val="11"/>
              </w:rPr>
              <w:t>,</w:t>
            </w:r>
            <w:r w:rsidRPr="00A36623">
              <w:rPr>
                <w:rFonts w:eastAsia="Arial Unicode MS"/>
                <w:bCs/>
                <w:sz w:val="11"/>
                <w:szCs w:val="11"/>
              </w:rPr>
              <w:t>887</w:t>
            </w:r>
          </w:p>
        </w:tc>
        <w:tc>
          <w:tcPr>
            <w:tcW w:w="536" w:type="dxa"/>
            <w:noWrap/>
            <w:tcMar>
              <w:top w:w="20" w:type="dxa"/>
              <w:left w:w="20" w:type="dxa"/>
              <w:bottom w:w="0" w:type="dxa"/>
              <w:right w:w="20" w:type="dxa"/>
            </w:tcMar>
            <w:vAlign w:val="bottom"/>
          </w:tcPr>
          <w:p w14:paraId="333ABB18" w14:textId="45F103E8"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821" w:type="dxa"/>
            <w:noWrap/>
            <w:tcMar>
              <w:top w:w="20" w:type="dxa"/>
              <w:left w:w="20" w:type="dxa"/>
              <w:bottom w:w="0" w:type="dxa"/>
              <w:right w:w="20" w:type="dxa"/>
            </w:tcMar>
            <w:vAlign w:val="bottom"/>
          </w:tcPr>
          <w:p w14:paraId="6F28447C" w14:textId="24388CF1"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92</w:t>
            </w:r>
            <w:r>
              <w:rPr>
                <w:rFonts w:eastAsia="Arial Unicode MS"/>
                <w:bCs/>
                <w:sz w:val="11"/>
                <w:szCs w:val="11"/>
              </w:rPr>
              <w:t>,</w:t>
            </w:r>
            <w:r w:rsidRPr="00A36623">
              <w:rPr>
                <w:rFonts w:eastAsia="Arial Unicode MS"/>
                <w:bCs/>
                <w:sz w:val="11"/>
                <w:szCs w:val="11"/>
              </w:rPr>
              <w:t>862</w:t>
            </w:r>
          </w:p>
        </w:tc>
        <w:tc>
          <w:tcPr>
            <w:tcW w:w="648" w:type="dxa"/>
            <w:noWrap/>
            <w:tcMar>
              <w:top w:w="20" w:type="dxa"/>
              <w:left w:w="20" w:type="dxa"/>
              <w:bottom w:w="0" w:type="dxa"/>
              <w:right w:w="20" w:type="dxa"/>
            </w:tcMar>
            <w:vAlign w:val="bottom"/>
          </w:tcPr>
          <w:p w14:paraId="76D82ECC" w14:textId="637F9E70"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17" w:type="dxa"/>
            <w:noWrap/>
            <w:tcMar>
              <w:top w:w="20" w:type="dxa"/>
              <w:left w:w="20" w:type="dxa"/>
              <w:bottom w:w="0" w:type="dxa"/>
              <w:right w:w="20" w:type="dxa"/>
            </w:tcMar>
            <w:vAlign w:val="bottom"/>
          </w:tcPr>
          <w:p w14:paraId="5E883BB9" w14:textId="188F9DC1"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(71</w:t>
            </w:r>
            <w:r>
              <w:rPr>
                <w:rFonts w:eastAsia="Arial Unicode MS"/>
                <w:bCs/>
                <w:sz w:val="11"/>
                <w:szCs w:val="11"/>
              </w:rPr>
              <w:t>,</w:t>
            </w:r>
            <w:r w:rsidRPr="00A36623">
              <w:rPr>
                <w:rFonts w:eastAsia="Arial Unicode MS"/>
                <w:bCs/>
                <w:sz w:val="11"/>
                <w:szCs w:val="11"/>
              </w:rPr>
              <w:t>267)</w:t>
            </w:r>
          </w:p>
        </w:tc>
        <w:tc>
          <w:tcPr>
            <w:tcW w:w="642" w:type="dxa"/>
            <w:noWrap/>
            <w:tcMar>
              <w:top w:w="20" w:type="dxa"/>
              <w:left w:w="20" w:type="dxa"/>
              <w:bottom w:w="0" w:type="dxa"/>
              <w:right w:w="20" w:type="dxa"/>
            </w:tcMar>
            <w:vAlign w:val="bottom"/>
          </w:tcPr>
          <w:p w14:paraId="2B680C8A" w14:textId="1B73046A"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(26</w:t>
            </w:r>
            <w:r>
              <w:rPr>
                <w:rFonts w:eastAsia="Arial Unicode MS"/>
                <w:bCs/>
                <w:sz w:val="11"/>
                <w:szCs w:val="11"/>
              </w:rPr>
              <w:t>,</w:t>
            </w:r>
            <w:r w:rsidRPr="00A36623">
              <w:rPr>
                <w:rFonts w:eastAsia="Arial Unicode MS"/>
                <w:bCs/>
                <w:sz w:val="11"/>
                <w:szCs w:val="11"/>
              </w:rPr>
              <w:t>482)</w:t>
            </w:r>
          </w:p>
        </w:tc>
        <w:tc>
          <w:tcPr>
            <w:tcW w:w="732" w:type="dxa"/>
            <w:vAlign w:val="bottom"/>
          </w:tcPr>
          <w:p w14:paraId="51B5C5ED" w14:textId="2984113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80" w:type="dxa"/>
            <w:vAlign w:val="bottom"/>
          </w:tcPr>
          <w:p w14:paraId="4576ECFD" w14:textId="669E9DC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noWrap/>
            <w:tcMar>
              <w:top w:w="20" w:type="dxa"/>
              <w:left w:w="20" w:type="dxa"/>
              <w:bottom w:w="0" w:type="dxa"/>
              <w:right w:w="20" w:type="dxa"/>
            </w:tcMar>
            <w:vAlign w:val="bottom"/>
          </w:tcPr>
          <w:p w14:paraId="7E6E8238" w14:textId="3E5C1CA5"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89" w:type="dxa"/>
            <w:noWrap/>
            <w:tcMar>
              <w:top w:w="20" w:type="dxa"/>
              <w:left w:w="20" w:type="dxa"/>
              <w:bottom w:w="0" w:type="dxa"/>
              <w:right w:w="20" w:type="dxa"/>
            </w:tcMar>
            <w:vAlign w:val="bottom"/>
          </w:tcPr>
          <w:p w14:paraId="70869627" w14:textId="64B2C392"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801" w:type="dxa"/>
            <w:noWrap/>
            <w:tcMar>
              <w:top w:w="20" w:type="dxa"/>
              <w:left w:w="20" w:type="dxa"/>
              <w:bottom w:w="0" w:type="dxa"/>
              <w:right w:w="20" w:type="dxa"/>
            </w:tcMar>
            <w:vAlign w:val="bottom"/>
          </w:tcPr>
          <w:p w14:paraId="763B4116" w14:textId="286C1760"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vAlign w:val="bottom"/>
          </w:tcPr>
          <w:p w14:paraId="5A3CF0FC" w14:textId="2D3F0DA9"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28" w:type="dxa"/>
            <w:vAlign w:val="bottom"/>
          </w:tcPr>
          <w:p w14:paraId="6EF5E775" w14:textId="6671F7D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56" w:type="dxa"/>
            <w:vAlign w:val="bottom"/>
          </w:tcPr>
          <w:p w14:paraId="6ABD73A1" w14:textId="179BB169"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r>
      <w:tr w:rsidR="00980409" w:rsidRPr="007C0BA6" w14:paraId="234F5CB8" w14:textId="77777777" w:rsidTr="00F142CB">
        <w:trPr>
          <w:trHeight w:val="70"/>
        </w:trPr>
        <w:tc>
          <w:tcPr>
            <w:tcW w:w="362" w:type="dxa"/>
            <w:noWrap/>
            <w:tcMar>
              <w:top w:w="20" w:type="dxa"/>
              <w:left w:w="20" w:type="dxa"/>
              <w:bottom w:w="0" w:type="dxa"/>
              <w:right w:w="20" w:type="dxa"/>
            </w:tcMar>
            <w:vAlign w:val="bottom"/>
          </w:tcPr>
          <w:p w14:paraId="71CB5CD6" w14:textId="77777777" w:rsidR="00980409" w:rsidRPr="007C0BA6" w:rsidRDefault="00980409" w:rsidP="00980409">
            <w:pPr>
              <w:spacing w:line="192" w:lineRule="auto"/>
              <w:ind w:right="-30"/>
              <w:rPr>
                <w:sz w:val="12"/>
                <w:szCs w:val="12"/>
              </w:rPr>
            </w:pPr>
            <w:r w:rsidRPr="007C0BA6">
              <w:rPr>
                <w:rFonts w:eastAsia="Arial Unicode MS"/>
                <w:bCs/>
                <w:sz w:val="12"/>
                <w:szCs w:val="12"/>
              </w:rPr>
              <w:t>18.3</w:t>
            </w:r>
          </w:p>
        </w:tc>
        <w:tc>
          <w:tcPr>
            <w:tcW w:w="2332" w:type="dxa"/>
            <w:noWrap/>
            <w:tcMar>
              <w:top w:w="20" w:type="dxa"/>
              <w:left w:w="20" w:type="dxa"/>
              <w:bottom w:w="0" w:type="dxa"/>
              <w:right w:w="20" w:type="dxa"/>
            </w:tcMar>
            <w:vAlign w:val="bottom"/>
          </w:tcPr>
          <w:p w14:paraId="21B569B8" w14:textId="77777777" w:rsidR="00980409" w:rsidRPr="007C0BA6" w:rsidRDefault="00980409" w:rsidP="00980409">
            <w:pPr>
              <w:spacing w:line="192" w:lineRule="auto"/>
              <w:rPr>
                <w:sz w:val="12"/>
                <w:szCs w:val="12"/>
              </w:rPr>
            </w:pPr>
            <w:r w:rsidRPr="007C0BA6">
              <w:rPr>
                <w:rFonts w:eastAsia="Arial Unicode MS"/>
                <w:sz w:val="12"/>
                <w:szCs w:val="12"/>
              </w:rPr>
              <w:t xml:space="preserve">Other </w:t>
            </w:r>
          </w:p>
        </w:tc>
        <w:tc>
          <w:tcPr>
            <w:tcW w:w="473" w:type="dxa"/>
          </w:tcPr>
          <w:p w14:paraId="47A56D1E"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3057F75C" w14:textId="38EED9A3"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69" w:type="dxa"/>
            <w:vAlign w:val="bottom"/>
          </w:tcPr>
          <w:p w14:paraId="39B947A2" w14:textId="7228C803"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13FDE912" w14:textId="623E6F10"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07" w:type="dxa"/>
            <w:noWrap/>
            <w:tcMar>
              <w:top w:w="20" w:type="dxa"/>
              <w:left w:w="20" w:type="dxa"/>
              <w:bottom w:w="0" w:type="dxa"/>
              <w:right w:w="20" w:type="dxa"/>
            </w:tcMar>
            <w:vAlign w:val="bottom"/>
          </w:tcPr>
          <w:p w14:paraId="0EE31B81" w14:textId="41046B31"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02" w:type="dxa"/>
            <w:noWrap/>
            <w:tcMar>
              <w:top w:w="20" w:type="dxa"/>
              <w:left w:w="20" w:type="dxa"/>
              <w:bottom w:w="0" w:type="dxa"/>
              <w:right w:w="20" w:type="dxa"/>
            </w:tcMar>
            <w:vAlign w:val="bottom"/>
          </w:tcPr>
          <w:p w14:paraId="39A2CDAD" w14:textId="13D6A529"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36" w:type="dxa"/>
            <w:noWrap/>
            <w:tcMar>
              <w:top w:w="20" w:type="dxa"/>
              <w:left w:w="20" w:type="dxa"/>
              <w:bottom w:w="0" w:type="dxa"/>
              <w:right w:w="20" w:type="dxa"/>
            </w:tcMar>
            <w:vAlign w:val="bottom"/>
          </w:tcPr>
          <w:p w14:paraId="35B926F6" w14:textId="648425DC"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821" w:type="dxa"/>
            <w:noWrap/>
            <w:tcMar>
              <w:top w:w="20" w:type="dxa"/>
              <w:left w:w="20" w:type="dxa"/>
              <w:bottom w:w="0" w:type="dxa"/>
              <w:right w:w="20" w:type="dxa"/>
            </w:tcMar>
            <w:vAlign w:val="bottom"/>
          </w:tcPr>
          <w:p w14:paraId="1B187F4A" w14:textId="6336A757"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48" w:type="dxa"/>
            <w:noWrap/>
            <w:tcMar>
              <w:top w:w="20" w:type="dxa"/>
              <w:left w:w="20" w:type="dxa"/>
              <w:bottom w:w="0" w:type="dxa"/>
              <w:right w:w="20" w:type="dxa"/>
            </w:tcMar>
            <w:vAlign w:val="bottom"/>
          </w:tcPr>
          <w:p w14:paraId="15D7FE25" w14:textId="24711152"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17" w:type="dxa"/>
            <w:noWrap/>
            <w:tcMar>
              <w:top w:w="20" w:type="dxa"/>
              <w:left w:w="20" w:type="dxa"/>
              <w:bottom w:w="0" w:type="dxa"/>
              <w:right w:w="20" w:type="dxa"/>
            </w:tcMar>
            <w:vAlign w:val="bottom"/>
          </w:tcPr>
          <w:p w14:paraId="1A3D9721" w14:textId="6F459647"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642" w:type="dxa"/>
            <w:noWrap/>
            <w:tcMar>
              <w:top w:w="20" w:type="dxa"/>
              <w:left w:w="20" w:type="dxa"/>
              <w:bottom w:w="0" w:type="dxa"/>
              <w:right w:w="20" w:type="dxa"/>
            </w:tcMar>
            <w:vAlign w:val="bottom"/>
          </w:tcPr>
          <w:p w14:paraId="47DB7D9E" w14:textId="1837552F"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32" w:type="dxa"/>
            <w:vAlign w:val="bottom"/>
          </w:tcPr>
          <w:p w14:paraId="4A6EEBD1" w14:textId="27A6568B"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80" w:type="dxa"/>
            <w:vAlign w:val="bottom"/>
          </w:tcPr>
          <w:p w14:paraId="1C598D77" w14:textId="0C86F058"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noWrap/>
            <w:tcMar>
              <w:top w:w="20" w:type="dxa"/>
              <w:left w:w="20" w:type="dxa"/>
              <w:bottom w:w="0" w:type="dxa"/>
              <w:right w:w="20" w:type="dxa"/>
            </w:tcMar>
            <w:vAlign w:val="bottom"/>
          </w:tcPr>
          <w:p w14:paraId="3294CE38" w14:textId="50E0E802"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589" w:type="dxa"/>
            <w:noWrap/>
            <w:tcMar>
              <w:top w:w="20" w:type="dxa"/>
              <w:left w:w="20" w:type="dxa"/>
              <w:bottom w:w="0" w:type="dxa"/>
              <w:right w:w="20" w:type="dxa"/>
            </w:tcMar>
            <w:vAlign w:val="bottom"/>
          </w:tcPr>
          <w:p w14:paraId="11B818D5" w14:textId="0612665C"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801" w:type="dxa"/>
            <w:noWrap/>
            <w:tcMar>
              <w:top w:w="20" w:type="dxa"/>
              <w:left w:w="20" w:type="dxa"/>
              <w:bottom w:w="0" w:type="dxa"/>
              <w:right w:w="20" w:type="dxa"/>
            </w:tcMar>
            <w:vAlign w:val="bottom"/>
          </w:tcPr>
          <w:p w14:paraId="5E9D58BA" w14:textId="57CAF625"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vAlign w:val="bottom"/>
          </w:tcPr>
          <w:p w14:paraId="5561BDFF" w14:textId="7E7DB324"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c>
          <w:tcPr>
            <w:tcW w:w="728" w:type="dxa"/>
            <w:vAlign w:val="bottom"/>
          </w:tcPr>
          <w:p w14:paraId="21C2C517" w14:textId="54B70DD5"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56" w:type="dxa"/>
            <w:vAlign w:val="bottom"/>
          </w:tcPr>
          <w:p w14:paraId="480FDAF2" w14:textId="7DD17A84" w:rsidR="00980409" w:rsidRPr="00A36623" w:rsidRDefault="00980409" w:rsidP="00980409">
            <w:pPr>
              <w:ind w:left="-1554" w:right="22"/>
              <w:jc w:val="right"/>
              <w:rPr>
                <w:rFonts w:eastAsia="Arial Unicode MS"/>
                <w:bCs/>
                <w:sz w:val="11"/>
                <w:szCs w:val="11"/>
              </w:rPr>
            </w:pPr>
            <w:r w:rsidRPr="00A36623">
              <w:rPr>
                <w:rFonts w:eastAsia="Arial Unicode MS"/>
                <w:bCs/>
                <w:sz w:val="11"/>
                <w:szCs w:val="11"/>
              </w:rPr>
              <w:t>-</w:t>
            </w:r>
          </w:p>
        </w:tc>
      </w:tr>
      <w:tr w:rsidR="00980409" w:rsidRPr="007C0BA6" w14:paraId="3CA1648C" w14:textId="77777777" w:rsidTr="00F142CB">
        <w:trPr>
          <w:trHeight w:val="80"/>
        </w:trPr>
        <w:tc>
          <w:tcPr>
            <w:tcW w:w="362" w:type="dxa"/>
            <w:noWrap/>
            <w:tcMar>
              <w:top w:w="20" w:type="dxa"/>
              <w:left w:w="20" w:type="dxa"/>
              <w:bottom w:w="0" w:type="dxa"/>
              <w:right w:w="20" w:type="dxa"/>
            </w:tcMar>
            <w:vAlign w:val="bottom"/>
          </w:tcPr>
          <w:p w14:paraId="36A4BA6A" w14:textId="77777777" w:rsidR="00980409" w:rsidRPr="007C0BA6" w:rsidRDefault="00980409" w:rsidP="00980409">
            <w:pPr>
              <w:spacing w:line="192" w:lineRule="auto"/>
              <w:ind w:right="-30"/>
              <w:rPr>
                <w:rFonts w:eastAsia="Arial Unicode MS"/>
                <w:b/>
                <w:bCs/>
                <w:sz w:val="12"/>
                <w:szCs w:val="12"/>
              </w:rPr>
            </w:pPr>
          </w:p>
        </w:tc>
        <w:tc>
          <w:tcPr>
            <w:tcW w:w="2332" w:type="dxa"/>
            <w:tcBorders>
              <w:top w:val="single" w:sz="4" w:space="0" w:color="auto"/>
              <w:bottom w:val="single" w:sz="4" w:space="0" w:color="auto"/>
            </w:tcBorders>
            <w:noWrap/>
            <w:tcMar>
              <w:top w:w="20" w:type="dxa"/>
              <w:left w:w="20" w:type="dxa"/>
              <w:bottom w:w="0" w:type="dxa"/>
              <w:right w:w="20" w:type="dxa"/>
            </w:tcMar>
            <w:vAlign w:val="bottom"/>
          </w:tcPr>
          <w:p w14:paraId="6890377E" w14:textId="77777777" w:rsidR="00980409" w:rsidRDefault="00980409" w:rsidP="00980409">
            <w:pPr>
              <w:spacing w:line="192" w:lineRule="auto"/>
              <w:rPr>
                <w:rFonts w:eastAsia="Arial Unicode MS"/>
                <w:b/>
                <w:bCs/>
                <w:sz w:val="12"/>
                <w:szCs w:val="12"/>
              </w:rPr>
            </w:pPr>
            <w:r w:rsidRPr="007C0BA6">
              <w:rPr>
                <w:rFonts w:eastAsia="Arial Unicode MS"/>
                <w:b/>
                <w:bCs/>
                <w:sz w:val="12"/>
                <w:szCs w:val="12"/>
              </w:rPr>
              <w:t xml:space="preserve">Period End Balance </w:t>
            </w:r>
          </w:p>
          <w:p w14:paraId="7FADC572" w14:textId="77777777" w:rsidR="00980409" w:rsidRPr="007C0BA6" w:rsidRDefault="00980409" w:rsidP="00980409">
            <w:pPr>
              <w:spacing w:line="192" w:lineRule="auto"/>
              <w:rPr>
                <w:rFonts w:eastAsia="Arial Unicode MS"/>
                <w:b/>
                <w:bCs/>
                <w:sz w:val="12"/>
                <w:szCs w:val="12"/>
              </w:rPr>
            </w:pPr>
            <w:r w:rsidRPr="007C0BA6">
              <w:rPr>
                <w:rFonts w:eastAsia="Arial Unicode MS"/>
                <w:b/>
                <w:bCs/>
                <w:sz w:val="12"/>
                <w:szCs w:val="12"/>
              </w:rPr>
              <w:t>(I+II+III+… +XVIII)</w:t>
            </w:r>
          </w:p>
        </w:tc>
        <w:tc>
          <w:tcPr>
            <w:tcW w:w="473" w:type="dxa"/>
            <w:tcBorders>
              <w:top w:val="single" w:sz="4" w:space="0" w:color="auto"/>
              <w:bottom w:val="single" w:sz="4" w:space="0" w:color="auto"/>
            </w:tcBorders>
          </w:tcPr>
          <w:p w14:paraId="487C9D1A" w14:textId="77777777" w:rsidR="00980409" w:rsidRPr="007C0BA6" w:rsidRDefault="00980409" w:rsidP="00980409">
            <w:pPr>
              <w:autoSpaceDE w:val="0"/>
              <w:autoSpaceDN w:val="0"/>
              <w:adjustRightInd w:val="0"/>
              <w:rPr>
                <w:sz w:val="12"/>
                <w:szCs w:val="12"/>
              </w:rPr>
            </w:pPr>
          </w:p>
        </w:tc>
        <w:tc>
          <w:tcPr>
            <w:tcW w:w="525" w:type="dxa"/>
            <w:tcBorders>
              <w:top w:val="single" w:sz="4" w:space="0" w:color="auto"/>
              <w:bottom w:val="single" w:sz="4" w:space="0" w:color="auto"/>
            </w:tcBorders>
            <w:noWrap/>
            <w:tcMar>
              <w:top w:w="20" w:type="dxa"/>
              <w:left w:w="20" w:type="dxa"/>
              <w:bottom w:w="0" w:type="dxa"/>
              <w:right w:w="20" w:type="dxa"/>
            </w:tcMar>
            <w:vAlign w:val="bottom"/>
          </w:tcPr>
          <w:p w14:paraId="6FA3BD7E" w14:textId="4B2A973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620</w:t>
            </w:r>
            <w:r>
              <w:rPr>
                <w:rFonts w:eastAsia="Arial Unicode MS"/>
                <w:b/>
                <w:bCs/>
                <w:sz w:val="11"/>
                <w:szCs w:val="11"/>
              </w:rPr>
              <w:t>,</w:t>
            </w:r>
            <w:r w:rsidRPr="00A36623">
              <w:rPr>
                <w:rFonts w:eastAsia="Arial Unicode MS"/>
                <w:b/>
                <w:bCs/>
                <w:sz w:val="11"/>
                <w:szCs w:val="11"/>
              </w:rPr>
              <w:t>000</w:t>
            </w:r>
          </w:p>
        </w:tc>
        <w:tc>
          <w:tcPr>
            <w:tcW w:w="669" w:type="dxa"/>
            <w:tcBorders>
              <w:top w:val="single" w:sz="4" w:space="0" w:color="auto"/>
              <w:bottom w:val="single" w:sz="4" w:space="0" w:color="auto"/>
            </w:tcBorders>
            <w:vAlign w:val="bottom"/>
          </w:tcPr>
          <w:p w14:paraId="77A97CD0" w14:textId="2B999F9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36" w:type="dxa"/>
            <w:tcBorders>
              <w:top w:val="single" w:sz="4" w:space="0" w:color="auto"/>
              <w:bottom w:val="single" w:sz="4" w:space="0" w:color="auto"/>
            </w:tcBorders>
            <w:noWrap/>
            <w:tcMar>
              <w:top w:w="20" w:type="dxa"/>
              <w:left w:w="20" w:type="dxa"/>
              <w:bottom w:w="0" w:type="dxa"/>
              <w:right w:w="20" w:type="dxa"/>
            </w:tcMar>
            <w:vAlign w:val="bottom"/>
          </w:tcPr>
          <w:p w14:paraId="3C262316" w14:textId="296BC31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119</w:t>
            </w:r>
          </w:p>
        </w:tc>
        <w:tc>
          <w:tcPr>
            <w:tcW w:w="707" w:type="dxa"/>
            <w:tcBorders>
              <w:top w:val="single" w:sz="4" w:space="0" w:color="auto"/>
              <w:bottom w:val="single" w:sz="4" w:space="0" w:color="auto"/>
            </w:tcBorders>
            <w:noWrap/>
            <w:tcMar>
              <w:top w:w="20" w:type="dxa"/>
              <w:left w:w="20" w:type="dxa"/>
              <w:bottom w:w="0" w:type="dxa"/>
              <w:right w:w="20" w:type="dxa"/>
            </w:tcMar>
            <w:vAlign w:val="bottom"/>
          </w:tcPr>
          <w:p w14:paraId="1E1CCFA5" w14:textId="6347152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(3</w:t>
            </w:r>
            <w:r>
              <w:rPr>
                <w:rFonts w:eastAsia="Arial Unicode MS"/>
                <w:b/>
                <w:bCs/>
                <w:sz w:val="11"/>
                <w:szCs w:val="11"/>
              </w:rPr>
              <w:t>,</w:t>
            </w:r>
            <w:r w:rsidRPr="00A36623">
              <w:rPr>
                <w:rFonts w:eastAsia="Arial Unicode MS"/>
                <w:b/>
                <w:bCs/>
                <w:sz w:val="11"/>
                <w:szCs w:val="11"/>
              </w:rPr>
              <w:t>296)</w:t>
            </w:r>
          </w:p>
        </w:tc>
        <w:tc>
          <w:tcPr>
            <w:tcW w:w="602" w:type="dxa"/>
            <w:tcBorders>
              <w:top w:val="single" w:sz="4" w:space="0" w:color="auto"/>
              <w:bottom w:val="single" w:sz="4" w:space="0" w:color="auto"/>
            </w:tcBorders>
            <w:noWrap/>
            <w:tcMar>
              <w:top w:w="20" w:type="dxa"/>
              <w:left w:w="20" w:type="dxa"/>
              <w:bottom w:w="0" w:type="dxa"/>
              <w:right w:w="20" w:type="dxa"/>
            </w:tcMar>
            <w:vAlign w:val="bottom"/>
          </w:tcPr>
          <w:p w14:paraId="5256BFD0" w14:textId="4D63BE9E"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20</w:t>
            </w:r>
            <w:r>
              <w:rPr>
                <w:rFonts w:eastAsia="Arial Unicode MS"/>
                <w:b/>
                <w:bCs/>
                <w:sz w:val="11"/>
                <w:szCs w:val="11"/>
              </w:rPr>
              <w:t>,</w:t>
            </w:r>
            <w:r w:rsidRPr="00A36623">
              <w:rPr>
                <w:rFonts w:eastAsia="Arial Unicode MS"/>
                <w:b/>
                <w:bCs/>
                <w:sz w:val="11"/>
                <w:szCs w:val="11"/>
              </w:rPr>
              <w:t>052</w:t>
            </w:r>
          </w:p>
        </w:tc>
        <w:tc>
          <w:tcPr>
            <w:tcW w:w="536" w:type="dxa"/>
            <w:tcBorders>
              <w:top w:val="single" w:sz="4" w:space="0" w:color="auto"/>
              <w:bottom w:val="single" w:sz="4" w:space="0" w:color="auto"/>
            </w:tcBorders>
            <w:noWrap/>
            <w:tcMar>
              <w:top w:w="20" w:type="dxa"/>
              <w:left w:w="20" w:type="dxa"/>
              <w:bottom w:w="0" w:type="dxa"/>
              <w:right w:w="20" w:type="dxa"/>
            </w:tcMar>
            <w:vAlign w:val="bottom"/>
          </w:tcPr>
          <w:p w14:paraId="6509645A" w14:textId="0B9C531A"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21" w:type="dxa"/>
            <w:tcBorders>
              <w:top w:val="single" w:sz="4" w:space="0" w:color="auto"/>
              <w:bottom w:val="single" w:sz="4" w:space="0" w:color="auto"/>
            </w:tcBorders>
            <w:noWrap/>
            <w:tcMar>
              <w:top w:w="20" w:type="dxa"/>
              <w:left w:w="20" w:type="dxa"/>
              <w:bottom w:w="0" w:type="dxa"/>
              <w:right w:w="20" w:type="dxa"/>
            </w:tcMar>
            <w:vAlign w:val="bottom"/>
          </w:tcPr>
          <w:p w14:paraId="345BD013" w14:textId="5DDC4F19"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212</w:t>
            </w:r>
            <w:r>
              <w:rPr>
                <w:rFonts w:eastAsia="Arial Unicode MS"/>
                <w:b/>
                <w:bCs/>
                <w:sz w:val="11"/>
                <w:szCs w:val="11"/>
              </w:rPr>
              <w:t>,</w:t>
            </w:r>
            <w:r w:rsidRPr="00A36623">
              <w:rPr>
                <w:rFonts w:eastAsia="Arial Unicode MS"/>
                <w:b/>
                <w:bCs/>
                <w:sz w:val="11"/>
                <w:szCs w:val="11"/>
              </w:rPr>
              <w:t>010</w:t>
            </w:r>
          </w:p>
        </w:tc>
        <w:tc>
          <w:tcPr>
            <w:tcW w:w="648" w:type="dxa"/>
            <w:tcBorders>
              <w:top w:val="single" w:sz="4" w:space="0" w:color="auto"/>
              <w:bottom w:val="single" w:sz="4" w:space="0" w:color="auto"/>
            </w:tcBorders>
            <w:noWrap/>
            <w:tcMar>
              <w:top w:w="20" w:type="dxa"/>
              <w:left w:w="20" w:type="dxa"/>
              <w:bottom w:w="0" w:type="dxa"/>
              <w:right w:w="20" w:type="dxa"/>
            </w:tcMar>
            <w:vAlign w:val="bottom"/>
          </w:tcPr>
          <w:p w14:paraId="414A3AA6" w14:textId="33E2E291"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17" w:type="dxa"/>
            <w:tcBorders>
              <w:top w:val="single" w:sz="4" w:space="0" w:color="auto"/>
              <w:bottom w:val="single" w:sz="4" w:space="0" w:color="auto"/>
            </w:tcBorders>
            <w:noWrap/>
            <w:tcMar>
              <w:top w:w="20" w:type="dxa"/>
              <w:left w:w="20" w:type="dxa"/>
              <w:bottom w:w="0" w:type="dxa"/>
              <w:right w:w="20" w:type="dxa"/>
            </w:tcMar>
            <w:vAlign w:val="bottom"/>
          </w:tcPr>
          <w:p w14:paraId="57B8D2A9" w14:textId="72304BF2"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136</w:t>
            </w:r>
            <w:r>
              <w:rPr>
                <w:rFonts w:eastAsia="Arial Unicode MS"/>
                <w:b/>
                <w:bCs/>
                <w:sz w:val="11"/>
                <w:szCs w:val="11"/>
              </w:rPr>
              <w:t>,</w:t>
            </w:r>
            <w:r w:rsidRPr="00A36623">
              <w:rPr>
                <w:rFonts w:eastAsia="Arial Unicode MS"/>
                <w:b/>
                <w:bCs/>
                <w:sz w:val="11"/>
                <w:szCs w:val="11"/>
              </w:rPr>
              <w:t>591</w:t>
            </w:r>
          </w:p>
        </w:tc>
        <w:tc>
          <w:tcPr>
            <w:tcW w:w="642" w:type="dxa"/>
            <w:tcBorders>
              <w:top w:val="single" w:sz="4" w:space="0" w:color="auto"/>
              <w:bottom w:val="single" w:sz="4" w:space="0" w:color="auto"/>
            </w:tcBorders>
            <w:noWrap/>
            <w:tcMar>
              <w:top w:w="20" w:type="dxa"/>
              <w:left w:w="20" w:type="dxa"/>
              <w:bottom w:w="0" w:type="dxa"/>
              <w:right w:w="20" w:type="dxa"/>
            </w:tcMar>
            <w:vAlign w:val="bottom"/>
          </w:tcPr>
          <w:p w14:paraId="68768DDC" w14:textId="0D8D27ED"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(15</w:t>
            </w:r>
            <w:r>
              <w:rPr>
                <w:rFonts w:eastAsia="Arial Unicode MS"/>
                <w:b/>
                <w:bCs/>
                <w:sz w:val="11"/>
                <w:szCs w:val="11"/>
              </w:rPr>
              <w:t>,</w:t>
            </w:r>
            <w:r w:rsidRPr="00A36623">
              <w:rPr>
                <w:rFonts w:eastAsia="Arial Unicode MS"/>
                <w:b/>
                <w:bCs/>
                <w:sz w:val="11"/>
                <w:szCs w:val="11"/>
              </w:rPr>
              <w:t>636)</w:t>
            </w:r>
          </w:p>
        </w:tc>
        <w:tc>
          <w:tcPr>
            <w:tcW w:w="732" w:type="dxa"/>
            <w:tcBorders>
              <w:top w:val="single" w:sz="4" w:space="0" w:color="auto"/>
              <w:bottom w:val="single" w:sz="4" w:space="0" w:color="auto"/>
            </w:tcBorders>
            <w:vAlign w:val="bottom"/>
          </w:tcPr>
          <w:p w14:paraId="272D236A" w14:textId="17020C7B"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(6</w:t>
            </w:r>
            <w:r>
              <w:rPr>
                <w:rFonts w:eastAsia="Arial Unicode MS"/>
                <w:b/>
                <w:bCs/>
                <w:sz w:val="11"/>
                <w:szCs w:val="11"/>
              </w:rPr>
              <w:t>,</w:t>
            </w:r>
            <w:r w:rsidRPr="00A36623">
              <w:rPr>
                <w:rFonts w:eastAsia="Arial Unicode MS"/>
                <w:b/>
                <w:bCs/>
                <w:sz w:val="11"/>
                <w:szCs w:val="11"/>
              </w:rPr>
              <w:t>154)</w:t>
            </w:r>
          </w:p>
        </w:tc>
        <w:tc>
          <w:tcPr>
            <w:tcW w:w="880" w:type="dxa"/>
            <w:tcBorders>
              <w:top w:val="single" w:sz="4" w:space="0" w:color="auto"/>
              <w:bottom w:val="single" w:sz="4" w:space="0" w:color="auto"/>
            </w:tcBorders>
            <w:vAlign w:val="bottom"/>
          </w:tcPr>
          <w:p w14:paraId="09B461F8" w14:textId="1ED6DAAF"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722" w:type="dxa"/>
            <w:tcBorders>
              <w:top w:val="single" w:sz="4" w:space="0" w:color="auto"/>
              <w:bottom w:val="single" w:sz="4" w:space="0" w:color="auto"/>
            </w:tcBorders>
            <w:noWrap/>
            <w:tcMar>
              <w:top w:w="20" w:type="dxa"/>
              <w:left w:w="20" w:type="dxa"/>
              <w:bottom w:w="0" w:type="dxa"/>
              <w:right w:w="20" w:type="dxa"/>
            </w:tcMar>
            <w:vAlign w:val="bottom"/>
          </w:tcPr>
          <w:p w14:paraId="681F0D01" w14:textId="3FDDCF87"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589" w:type="dxa"/>
            <w:tcBorders>
              <w:top w:val="single" w:sz="4" w:space="0" w:color="auto"/>
              <w:bottom w:val="single" w:sz="4" w:space="0" w:color="auto"/>
            </w:tcBorders>
            <w:noWrap/>
            <w:tcMar>
              <w:top w:w="20" w:type="dxa"/>
              <w:left w:w="20" w:type="dxa"/>
              <w:bottom w:w="0" w:type="dxa"/>
              <w:right w:w="20" w:type="dxa"/>
            </w:tcMar>
            <w:vAlign w:val="bottom"/>
          </w:tcPr>
          <w:p w14:paraId="0A42DC1F" w14:textId="34BE5673"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801" w:type="dxa"/>
            <w:tcBorders>
              <w:top w:val="single" w:sz="4" w:space="0" w:color="auto"/>
              <w:bottom w:val="single" w:sz="4" w:space="0" w:color="auto"/>
            </w:tcBorders>
            <w:noWrap/>
            <w:tcMar>
              <w:top w:w="20" w:type="dxa"/>
              <w:left w:w="20" w:type="dxa"/>
              <w:bottom w:w="0" w:type="dxa"/>
              <w:right w:w="20" w:type="dxa"/>
            </w:tcMar>
            <w:vAlign w:val="bottom"/>
          </w:tcPr>
          <w:p w14:paraId="4203554C" w14:textId="04FD27A0"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w:t>
            </w:r>
          </w:p>
        </w:tc>
        <w:tc>
          <w:tcPr>
            <w:tcW w:w="626" w:type="dxa"/>
            <w:tcBorders>
              <w:top w:val="single" w:sz="4" w:space="0" w:color="auto"/>
              <w:bottom w:val="single" w:sz="4" w:space="0" w:color="auto"/>
            </w:tcBorders>
            <w:vAlign w:val="bottom"/>
          </w:tcPr>
          <w:p w14:paraId="14EC1BC1" w14:textId="544B8B41"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963</w:t>
            </w:r>
            <w:r>
              <w:rPr>
                <w:rFonts w:eastAsia="Arial Unicode MS"/>
                <w:b/>
                <w:bCs/>
                <w:sz w:val="11"/>
                <w:szCs w:val="11"/>
              </w:rPr>
              <w:t>,</w:t>
            </w:r>
            <w:r w:rsidRPr="00A36623">
              <w:rPr>
                <w:rFonts w:eastAsia="Arial Unicode MS"/>
                <w:b/>
                <w:bCs/>
                <w:sz w:val="11"/>
                <w:szCs w:val="11"/>
              </w:rPr>
              <w:t>686</w:t>
            </w:r>
          </w:p>
        </w:tc>
        <w:tc>
          <w:tcPr>
            <w:tcW w:w="728" w:type="dxa"/>
            <w:tcBorders>
              <w:top w:val="single" w:sz="4" w:space="0" w:color="auto"/>
              <w:bottom w:val="single" w:sz="4" w:space="0" w:color="auto"/>
            </w:tcBorders>
            <w:vAlign w:val="bottom"/>
          </w:tcPr>
          <w:p w14:paraId="40F1781B" w14:textId="75254366"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9</w:t>
            </w:r>
            <w:r>
              <w:rPr>
                <w:rFonts w:eastAsia="Arial Unicode MS"/>
                <w:b/>
                <w:bCs/>
                <w:sz w:val="11"/>
                <w:szCs w:val="11"/>
              </w:rPr>
              <w:t>,</w:t>
            </w:r>
            <w:r w:rsidRPr="00A36623">
              <w:rPr>
                <w:rFonts w:eastAsia="Arial Unicode MS"/>
                <w:b/>
                <w:bCs/>
                <w:sz w:val="11"/>
                <w:szCs w:val="11"/>
              </w:rPr>
              <w:t>214</w:t>
            </w:r>
          </w:p>
        </w:tc>
        <w:tc>
          <w:tcPr>
            <w:tcW w:w="756" w:type="dxa"/>
            <w:tcBorders>
              <w:top w:val="single" w:sz="4" w:space="0" w:color="auto"/>
              <w:bottom w:val="single" w:sz="4" w:space="0" w:color="auto"/>
            </w:tcBorders>
            <w:vAlign w:val="bottom"/>
          </w:tcPr>
          <w:p w14:paraId="0A99781B" w14:textId="1EA1701C" w:rsidR="00980409" w:rsidRPr="00A36623" w:rsidRDefault="00980409" w:rsidP="00980409">
            <w:pPr>
              <w:ind w:left="-1554" w:right="22"/>
              <w:jc w:val="right"/>
              <w:rPr>
                <w:rFonts w:eastAsia="Arial Unicode MS"/>
                <w:b/>
                <w:bCs/>
                <w:sz w:val="11"/>
                <w:szCs w:val="11"/>
              </w:rPr>
            </w:pPr>
            <w:r w:rsidRPr="00A36623">
              <w:rPr>
                <w:rFonts w:eastAsia="Arial Unicode MS"/>
                <w:b/>
                <w:bCs/>
                <w:sz w:val="11"/>
                <w:szCs w:val="11"/>
              </w:rPr>
              <w:t>972</w:t>
            </w:r>
            <w:r>
              <w:rPr>
                <w:rFonts w:eastAsia="Arial Unicode MS"/>
                <w:b/>
                <w:bCs/>
                <w:sz w:val="11"/>
                <w:szCs w:val="11"/>
              </w:rPr>
              <w:t>,</w:t>
            </w:r>
            <w:r w:rsidRPr="00A36623">
              <w:rPr>
                <w:rFonts w:eastAsia="Arial Unicode MS"/>
                <w:b/>
                <w:bCs/>
                <w:sz w:val="11"/>
                <w:szCs w:val="11"/>
              </w:rPr>
              <w:t>900</w:t>
            </w:r>
          </w:p>
        </w:tc>
      </w:tr>
      <w:bookmarkEnd w:id="1"/>
    </w:tbl>
    <w:p w14:paraId="169B264E" w14:textId="77777777" w:rsidR="00FB6154" w:rsidRPr="00604C75" w:rsidRDefault="00FB6154" w:rsidP="00F82CC1">
      <w:pPr>
        <w:rPr>
          <w:sz w:val="20"/>
          <w:szCs w:val="20"/>
        </w:rPr>
      </w:pPr>
    </w:p>
    <w:p w14:paraId="591930D6" w14:textId="77777777" w:rsidR="00FB6154" w:rsidRPr="00604C75" w:rsidRDefault="00FB6154" w:rsidP="00F82CC1">
      <w:pPr>
        <w:rPr>
          <w:sz w:val="20"/>
          <w:szCs w:val="20"/>
        </w:rPr>
      </w:pPr>
    </w:p>
    <w:p w14:paraId="36736BEB" w14:textId="77777777" w:rsidR="00F573AF" w:rsidRDefault="00F573AF" w:rsidP="00F573AF">
      <w:pPr>
        <w:rPr>
          <w:sz w:val="16"/>
          <w:szCs w:val="16"/>
        </w:rPr>
      </w:pPr>
    </w:p>
    <w:p w14:paraId="04FFD89D" w14:textId="77777777" w:rsidR="00F573AF" w:rsidRDefault="00F573AF" w:rsidP="00872D6D">
      <w:pPr>
        <w:jc w:val="center"/>
        <w:rPr>
          <w:sz w:val="16"/>
          <w:szCs w:val="16"/>
        </w:rPr>
      </w:pPr>
    </w:p>
    <w:p w14:paraId="6625A206" w14:textId="77777777" w:rsidR="00F573AF" w:rsidRDefault="00F573AF" w:rsidP="00872D6D">
      <w:pPr>
        <w:jc w:val="center"/>
        <w:rPr>
          <w:sz w:val="16"/>
          <w:szCs w:val="16"/>
        </w:rPr>
      </w:pPr>
    </w:p>
    <w:p w14:paraId="4CC5B9B7" w14:textId="77777777" w:rsidR="00F573AF" w:rsidRDefault="00F573AF" w:rsidP="00F142CB">
      <w:pPr>
        <w:spacing w:before="480"/>
        <w:jc w:val="center"/>
        <w:rPr>
          <w:sz w:val="16"/>
          <w:szCs w:val="16"/>
        </w:rPr>
      </w:pPr>
    </w:p>
    <w:p w14:paraId="58726CC8" w14:textId="77777777" w:rsidR="00F573AF" w:rsidRPr="00604C75" w:rsidRDefault="00F573AF" w:rsidP="00872D6D">
      <w:pPr>
        <w:jc w:val="center"/>
        <w:rPr>
          <w:sz w:val="16"/>
          <w:szCs w:val="16"/>
        </w:rPr>
      </w:pPr>
    </w:p>
    <w:p w14:paraId="38C4238D" w14:textId="77777777" w:rsidR="00DC7B7B" w:rsidRPr="00604C75" w:rsidRDefault="00DC7B7B" w:rsidP="00872D6D">
      <w:pPr>
        <w:jc w:val="center"/>
        <w:rPr>
          <w:sz w:val="16"/>
          <w:szCs w:val="16"/>
        </w:rPr>
      </w:pPr>
    </w:p>
    <w:p w14:paraId="5794AB78" w14:textId="77777777" w:rsidR="00DC7B7B" w:rsidRPr="00604C75" w:rsidRDefault="00DC7B7B" w:rsidP="00872D6D">
      <w:pPr>
        <w:jc w:val="center"/>
        <w:rPr>
          <w:sz w:val="16"/>
          <w:szCs w:val="16"/>
        </w:rPr>
      </w:pPr>
    </w:p>
    <w:p w14:paraId="7D82ECDD" w14:textId="77777777" w:rsidR="00DC7B7B" w:rsidRPr="00604C75" w:rsidRDefault="00DC7B7B" w:rsidP="00872D6D">
      <w:pPr>
        <w:jc w:val="center"/>
        <w:rPr>
          <w:sz w:val="16"/>
          <w:szCs w:val="16"/>
        </w:rPr>
      </w:pPr>
    </w:p>
    <w:p w14:paraId="22C5C50F" w14:textId="77777777" w:rsidR="00FB6154" w:rsidRPr="00604C75" w:rsidRDefault="00872D6D" w:rsidP="00872D6D">
      <w:pPr>
        <w:jc w:val="center"/>
        <w:rPr>
          <w:sz w:val="20"/>
          <w:szCs w:val="20"/>
        </w:rPr>
      </w:pPr>
      <w:r w:rsidRPr="00604C75">
        <w:rPr>
          <w:sz w:val="16"/>
          <w:szCs w:val="16"/>
        </w:rPr>
        <w:t>The accompanying notes are an integral part of these consolidated financial statements.</w:t>
      </w:r>
    </w:p>
    <w:p w14:paraId="1825A426" w14:textId="77777777" w:rsidR="00872D6D" w:rsidRPr="00604C75" w:rsidRDefault="00872D6D" w:rsidP="00F573AF">
      <w:pPr>
        <w:rPr>
          <w:sz w:val="20"/>
          <w:szCs w:val="20"/>
        </w:rPr>
      </w:pPr>
    </w:p>
    <w:p w14:paraId="7716F528" w14:textId="77777777" w:rsidR="00872D6D" w:rsidRPr="00604C75" w:rsidRDefault="00872D6D" w:rsidP="00872D6D">
      <w:pPr>
        <w:jc w:val="center"/>
        <w:rPr>
          <w:sz w:val="16"/>
          <w:szCs w:val="16"/>
        </w:rPr>
      </w:pPr>
    </w:p>
    <w:p w14:paraId="3D55FEBA" w14:textId="77777777" w:rsidR="00872D6D" w:rsidRDefault="00872D6D" w:rsidP="00BA365B">
      <w:pPr>
        <w:rPr>
          <w:sz w:val="16"/>
          <w:szCs w:val="16"/>
        </w:rPr>
      </w:pPr>
    </w:p>
    <w:tbl>
      <w:tblPr>
        <w:tblpPr w:leftFromText="180" w:rightFromText="180" w:vertAnchor="page" w:horzAnchor="margin" w:tblpY="1984"/>
        <w:tblW w:w="15304" w:type="dxa"/>
        <w:tblLayout w:type="fixed"/>
        <w:tblCellMar>
          <w:left w:w="0" w:type="dxa"/>
          <w:right w:w="0" w:type="dxa"/>
        </w:tblCellMar>
        <w:tblLook w:val="0000" w:firstRow="0" w:lastRow="0" w:firstColumn="0" w:lastColumn="0" w:noHBand="0" w:noVBand="0"/>
      </w:tblPr>
      <w:tblGrid>
        <w:gridCol w:w="362"/>
        <w:gridCol w:w="2332"/>
        <w:gridCol w:w="473"/>
        <w:gridCol w:w="525"/>
        <w:gridCol w:w="669"/>
        <w:gridCol w:w="536"/>
        <w:gridCol w:w="707"/>
        <w:gridCol w:w="602"/>
        <w:gridCol w:w="536"/>
        <w:gridCol w:w="821"/>
        <w:gridCol w:w="648"/>
        <w:gridCol w:w="617"/>
        <w:gridCol w:w="642"/>
        <w:gridCol w:w="732"/>
        <w:gridCol w:w="880"/>
        <w:gridCol w:w="722"/>
        <w:gridCol w:w="589"/>
        <w:gridCol w:w="801"/>
        <w:gridCol w:w="626"/>
        <w:gridCol w:w="728"/>
        <w:gridCol w:w="756"/>
      </w:tblGrid>
      <w:tr w:rsidR="00BA365B" w:rsidRPr="007C0BA6" w14:paraId="617B0F60" w14:textId="77777777" w:rsidTr="006C5DC4">
        <w:trPr>
          <w:cantSplit/>
          <w:trHeight w:val="300"/>
        </w:trPr>
        <w:tc>
          <w:tcPr>
            <w:tcW w:w="362" w:type="dxa"/>
            <w:noWrap/>
            <w:tcMar>
              <w:top w:w="20" w:type="dxa"/>
              <w:left w:w="20" w:type="dxa"/>
              <w:bottom w:w="0" w:type="dxa"/>
              <w:right w:w="20" w:type="dxa"/>
            </w:tcMar>
            <w:vAlign w:val="bottom"/>
          </w:tcPr>
          <w:p w14:paraId="2719EF14" w14:textId="77777777" w:rsidR="00BA365B" w:rsidRPr="007C0BA6" w:rsidRDefault="00BA365B" w:rsidP="006C5DC4">
            <w:pPr>
              <w:spacing w:line="192" w:lineRule="auto"/>
              <w:ind w:right="-30"/>
              <w:rPr>
                <w:b/>
                <w:bCs/>
                <w:sz w:val="12"/>
                <w:szCs w:val="12"/>
              </w:rPr>
            </w:pPr>
          </w:p>
          <w:p w14:paraId="28F5987A" w14:textId="77777777" w:rsidR="00BA365B" w:rsidRPr="007C0BA6" w:rsidRDefault="00BA365B" w:rsidP="006C5DC4">
            <w:pPr>
              <w:spacing w:line="192" w:lineRule="auto"/>
              <w:ind w:right="-30"/>
              <w:rPr>
                <w:b/>
                <w:bCs/>
                <w:sz w:val="12"/>
                <w:szCs w:val="12"/>
              </w:rPr>
            </w:pPr>
          </w:p>
          <w:p w14:paraId="70E73B5C" w14:textId="77777777" w:rsidR="00BA365B" w:rsidRPr="007C0BA6" w:rsidRDefault="00BA365B" w:rsidP="006C5DC4">
            <w:pPr>
              <w:spacing w:line="192" w:lineRule="auto"/>
              <w:ind w:right="-30"/>
              <w:rPr>
                <w:b/>
                <w:bCs/>
                <w:sz w:val="12"/>
                <w:szCs w:val="12"/>
              </w:rPr>
            </w:pPr>
          </w:p>
          <w:p w14:paraId="71DD3DB7" w14:textId="77777777" w:rsidR="00BA365B" w:rsidRPr="007C0BA6" w:rsidRDefault="00BA365B" w:rsidP="006C5DC4">
            <w:pPr>
              <w:spacing w:line="192" w:lineRule="auto"/>
              <w:ind w:right="-30"/>
              <w:rPr>
                <w:b/>
                <w:bCs/>
                <w:sz w:val="12"/>
                <w:szCs w:val="12"/>
              </w:rPr>
            </w:pPr>
          </w:p>
        </w:tc>
        <w:tc>
          <w:tcPr>
            <w:tcW w:w="2332" w:type="dxa"/>
            <w:tcBorders>
              <w:bottom w:val="single" w:sz="4" w:space="0" w:color="auto"/>
            </w:tcBorders>
            <w:vAlign w:val="bottom"/>
          </w:tcPr>
          <w:p w14:paraId="4F959B14" w14:textId="6BF93F1A" w:rsidR="00BA365B" w:rsidRPr="0032757D" w:rsidRDefault="00BA365B" w:rsidP="006C5DC4">
            <w:pPr>
              <w:spacing w:line="192" w:lineRule="auto"/>
              <w:ind w:right="-283"/>
              <w:rPr>
                <w:b/>
                <w:bCs/>
                <w:sz w:val="14"/>
                <w:szCs w:val="14"/>
              </w:rPr>
            </w:pPr>
            <w:r w:rsidRPr="0032757D">
              <w:rPr>
                <w:b/>
                <w:bCs/>
                <w:sz w:val="14"/>
                <w:szCs w:val="14"/>
              </w:rPr>
              <w:t>V. STATEMENTS OF CHANGES IN SHAREHOLDERS’ EQUITY</w:t>
            </w:r>
          </w:p>
          <w:p w14:paraId="396B2303" w14:textId="77777777" w:rsidR="00BA365B" w:rsidRDefault="00BA365B" w:rsidP="006C5DC4">
            <w:pPr>
              <w:spacing w:line="192" w:lineRule="auto"/>
              <w:jc w:val="center"/>
              <w:rPr>
                <w:b/>
                <w:bCs/>
                <w:sz w:val="12"/>
                <w:szCs w:val="12"/>
              </w:rPr>
            </w:pPr>
          </w:p>
          <w:p w14:paraId="5E2AEE46" w14:textId="77777777" w:rsidR="00BA365B" w:rsidRDefault="00BA365B" w:rsidP="006C5DC4">
            <w:pPr>
              <w:spacing w:line="192" w:lineRule="auto"/>
              <w:jc w:val="center"/>
              <w:rPr>
                <w:b/>
                <w:bCs/>
                <w:sz w:val="12"/>
                <w:szCs w:val="12"/>
              </w:rPr>
            </w:pPr>
          </w:p>
          <w:p w14:paraId="3003D882" w14:textId="77777777" w:rsidR="00BA365B" w:rsidRDefault="00BA365B" w:rsidP="006C5DC4">
            <w:pPr>
              <w:spacing w:line="192" w:lineRule="auto"/>
              <w:jc w:val="center"/>
              <w:rPr>
                <w:b/>
                <w:bCs/>
                <w:sz w:val="12"/>
                <w:szCs w:val="12"/>
              </w:rPr>
            </w:pPr>
          </w:p>
          <w:p w14:paraId="1E95CE57" w14:textId="77777777" w:rsidR="00BA365B" w:rsidRDefault="00BA365B" w:rsidP="006C5DC4">
            <w:pPr>
              <w:spacing w:line="192" w:lineRule="auto"/>
              <w:jc w:val="center"/>
              <w:rPr>
                <w:b/>
                <w:bCs/>
                <w:sz w:val="12"/>
                <w:szCs w:val="12"/>
              </w:rPr>
            </w:pPr>
          </w:p>
          <w:p w14:paraId="7419B4A5" w14:textId="77777777" w:rsidR="00BA365B" w:rsidRDefault="00BA365B" w:rsidP="006C5DC4">
            <w:pPr>
              <w:spacing w:line="192" w:lineRule="auto"/>
              <w:jc w:val="both"/>
              <w:rPr>
                <w:b/>
                <w:bCs/>
                <w:sz w:val="12"/>
                <w:szCs w:val="12"/>
              </w:rPr>
            </w:pPr>
            <w:r>
              <w:rPr>
                <w:b/>
                <w:bCs/>
                <w:sz w:val="12"/>
                <w:szCs w:val="12"/>
              </w:rPr>
              <w:t>31 December 2015</w:t>
            </w:r>
          </w:p>
          <w:p w14:paraId="1934245E" w14:textId="77777777" w:rsidR="00BA365B" w:rsidRPr="007C0BA6" w:rsidRDefault="00BA365B" w:rsidP="006C5DC4">
            <w:pPr>
              <w:spacing w:line="192" w:lineRule="auto"/>
              <w:rPr>
                <w:b/>
                <w:bCs/>
                <w:sz w:val="12"/>
                <w:szCs w:val="12"/>
              </w:rPr>
            </w:pPr>
          </w:p>
        </w:tc>
        <w:tc>
          <w:tcPr>
            <w:tcW w:w="473" w:type="dxa"/>
            <w:tcBorders>
              <w:bottom w:val="single" w:sz="4" w:space="0" w:color="auto"/>
            </w:tcBorders>
            <w:vAlign w:val="bottom"/>
          </w:tcPr>
          <w:p w14:paraId="0063D889" w14:textId="77777777" w:rsidR="00BA365B" w:rsidRPr="007C0BA6" w:rsidRDefault="00BA365B" w:rsidP="006C5DC4">
            <w:pPr>
              <w:tabs>
                <w:tab w:val="left" w:pos="280"/>
                <w:tab w:val="left" w:pos="1200"/>
                <w:tab w:val="left" w:pos="10080"/>
                <w:tab w:val="left" w:pos="10920"/>
                <w:tab w:val="left" w:pos="12520"/>
                <w:tab w:val="left" w:pos="13480"/>
                <w:tab w:val="left" w:pos="15680"/>
                <w:tab w:val="left" w:pos="16640"/>
                <w:tab w:val="left" w:pos="17740"/>
              </w:tabs>
              <w:spacing w:line="192" w:lineRule="auto"/>
              <w:jc w:val="center"/>
              <w:rPr>
                <w:b/>
                <w:bCs/>
                <w:snapToGrid w:val="0"/>
                <w:sz w:val="12"/>
                <w:szCs w:val="12"/>
              </w:rPr>
            </w:pPr>
            <w:r w:rsidRPr="007C0BA6">
              <w:rPr>
                <w:b/>
                <w:bCs/>
                <w:snapToGrid w:val="0"/>
                <w:sz w:val="12"/>
                <w:szCs w:val="12"/>
              </w:rPr>
              <w:t>Note</w:t>
            </w:r>
          </w:p>
          <w:p w14:paraId="11769D98" w14:textId="77777777" w:rsidR="00BA365B" w:rsidRPr="007C0BA6" w:rsidRDefault="00BA365B" w:rsidP="006C5DC4">
            <w:pPr>
              <w:spacing w:line="192" w:lineRule="auto"/>
              <w:jc w:val="center"/>
              <w:rPr>
                <w:b/>
                <w:sz w:val="12"/>
                <w:szCs w:val="12"/>
              </w:rPr>
            </w:pPr>
            <w:r w:rsidRPr="007C0BA6">
              <w:rPr>
                <w:b/>
                <w:sz w:val="12"/>
                <w:szCs w:val="12"/>
              </w:rPr>
              <w:t>(Section</w:t>
            </w:r>
          </w:p>
          <w:p w14:paraId="0E888EF0" w14:textId="77777777" w:rsidR="00BA365B" w:rsidRPr="007C0BA6" w:rsidRDefault="00BA365B" w:rsidP="006C5DC4">
            <w:pPr>
              <w:spacing w:line="192" w:lineRule="auto"/>
              <w:jc w:val="center"/>
              <w:rPr>
                <w:b/>
                <w:sz w:val="12"/>
                <w:szCs w:val="12"/>
              </w:rPr>
            </w:pPr>
            <w:r w:rsidRPr="007C0BA6">
              <w:rPr>
                <w:b/>
                <w:sz w:val="12"/>
                <w:szCs w:val="12"/>
              </w:rPr>
              <w:t>Five)</w:t>
            </w:r>
          </w:p>
        </w:tc>
        <w:tc>
          <w:tcPr>
            <w:tcW w:w="525" w:type="dxa"/>
            <w:tcBorders>
              <w:bottom w:val="single" w:sz="4" w:space="0" w:color="auto"/>
            </w:tcBorders>
            <w:noWrap/>
            <w:tcMar>
              <w:top w:w="20" w:type="dxa"/>
              <w:left w:w="20" w:type="dxa"/>
              <w:bottom w:w="0" w:type="dxa"/>
              <w:right w:w="20" w:type="dxa"/>
            </w:tcMar>
            <w:vAlign w:val="bottom"/>
          </w:tcPr>
          <w:p w14:paraId="27E0504E" w14:textId="77777777" w:rsidR="00BA365B" w:rsidRPr="007C0BA6" w:rsidRDefault="00BA365B" w:rsidP="006C5DC4">
            <w:pPr>
              <w:spacing w:line="192" w:lineRule="auto"/>
              <w:jc w:val="right"/>
              <w:rPr>
                <w:b/>
                <w:sz w:val="12"/>
                <w:szCs w:val="12"/>
              </w:rPr>
            </w:pPr>
            <w:r w:rsidRPr="007C0BA6">
              <w:rPr>
                <w:b/>
                <w:sz w:val="12"/>
                <w:szCs w:val="12"/>
              </w:rPr>
              <w:t>Paid-in Capital</w:t>
            </w:r>
          </w:p>
        </w:tc>
        <w:tc>
          <w:tcPr>
            <w:tcW w:w="669" w:type="dxa"/>
            <w:tcBorders>
              <w:bottom w:val="single" w:sz="4" w:space="0" w:color="auto"/>
            </w:tcBorders>
            <w:vAlign w:val="bottom"/>
          </w:tcPr>
          <w:p w14:paraId="6375986E" w14:textId="77777777" w:rsidR="00BA365B" w:rsidRPr="007C0BA6" w:rsidRDefault="00BA365B" w:rsidP="006C5DC4">
            <w:pPr>
              <w:spacing w:line="192" w:lineRule="auto"/>
              <w:jc w:val="right"/>
              <w:rPr>
                <w:b/>
                <w:sz w:val="12"/>
                <w:szCs w:val="12"/>
              </w:rPr>
            </w:pPr>
            <w:r w:rsidRPr="007C0BA6">
              <w:rPr>
                <w:b/>
                <w:sz w:val="12"/>
                <w:szCs w:val="12"/>
              </w:rPr>
              <w:t>Adjustment to Share Capital</w:t>
            </w:r>
          </w:p>
        </w:tc>
        <w:tc>
          <w:tcPr>
            <w:tcW w:w="536" w:type="dxa"/>
            <w:tcBorders>
              <w:bottom w:val="single" w:sz="4" w:space="0" w:color="auto"/>
            </w:tcBorders>
            <w:noWrap/>
            <w:tcMar>
              <w:top w:w="20" w:type="dxa"/>
              <w:left w:w="20" w:type="dxa"/>
              <w:bottom w:w="0" w:type="dxa"/>
              <w:right w:w="20" w:type="dxa"/>
            </w:tcMar>
            <w:vAlign w:val="bottom"/>
          </w:tcPr>
          <w:p w14:paraId="3165AD0C" w14:textId="77777777" w:rsidR="00BA365B" w:rsidRPr="007C0BA6" w:rsidRDefault="00BA365B" w:rsidP="006C5DC4">
            <w:pPr>
              <w:spacing w:line="192" w:lineRule="auto"/>
              <w:jc w:val="right"/>
              <w:rPr>
                <w:b/>
                <w:sz w:val="12"/>
                <w:szCs w:val="12"/>
              </w:rPr>
            </w:pPr>
            <w:r w:rsidRPr="007C0BA6">
              <w:rPr>
                <w:b/>
                <w:sz w:val="12"/>
                <w:szCs w:val="12"/>
              </w:rPr>
              <w:t>Share Premium</w:t>
            </w:r>
          </w:p>
        </w:tc>
        <w:tc>
          <w:tcPr>
            <w:tcW w:w="707" w:type="dxa"/>
            <w:tcBorders>
              <w:bottom w:val="single" w:sz="4" w:space="0" w:color="auto"/>
            </w:tcBorders>
            <w:noWrap/>
            <w:tcMar>
              <w:top w:w="20" w:type="dxa"/>
              <w:left w:w="20" w:type="dxa"/>
              <w:bottom w:w="0" w:type="dxa"/>
              <w:right w:w="20" w:type="dxa"/>
            </w:tcMar>
            <w:vAlign w:val="bottom"/>
          </w:tcPr>
          <w:p w14:paraId="24AC6D38" w14:textId="77777777" w:rsidR="00BA365B" w:rsidRPr="007C0BA6" w:rsidRDefault="00BA365B" w:rsidP="006C5DC4">
            <w:pPr>
              <w:spacing w:line="192" w:lineRule="auto"/>
              <w:jc w:val="right"/>
              <w:rPr>
                <w:b/>
                <w:sz w:val="12"/>
                <w:szCs w:val="12"/>
              </w:rPr>
            </w:pPr>
            <w:r w:rsidRPr="007C0BA6">
              <w:rPr>
                <w:b/>
                <w:sz w:val="12"/>
                <w:szCs w:val="12"/>
              </w:rPr>
              <w:t>Share Cancellation</w:t>
            </w:r>
          </w:p>
          <w:p w14:paraId="05E6B83E" w14:textId="77777777" w:rsidR="00BA365B" w:rsidRPr="007C0BA6" w:rsidRDefault="00BA365B" w:rsidP="006C5DC4">
            <w:pPr>
              <w:spacing w:line="192" w:lineRule="auto"/>
              <w:jc w:val="right"/>
              <w:rPr>
                <w:b/>
                <w:sz w:val="12"/>
                <w:szCs w:val="12"/>
              </w:rPr>
            </w:pPr>
            <w:r w:rsidRPr="007C0BA6">
              <w:rPr>
                <w:b/>
                <w:sz w:val="12"/>
                <w:szCs w:val="12"/>
              </w:rPr>
              <w:t>Profits</w:t>
            </w:r>
          </w:p>
        </w:tc>
        <w:tc>
          <w:tcPr>
            <w:tcW w:w="602" w:type="dxa"/>
            <w:tcBorders>
              <w:bottom w:val="single" w:sz="4" w:space="0" w:color="auto"/>
            </w:tcBorders>
            <w:noWrap/>
            <w:tcMar>
              <w:top w:w="20" w:type="dxa"/>
              <w:left w:w="20" w:type="dxa"/>
              <w:bottom w:w="0" w:type="dxa"/>
              <w:right w:w="20" w:type="dxa"/>
            </w:tcMar>
            <w:vAlign w:val="bottom"/>
          </w:tcPr>
          <w:p w14:paraId="7F36CD27" w14:textId="77777777" w:rsidR="00BA365B" w:rsidRPr="007C0BA6" w:rsidRDefault="00BA365B" w:rsidP="006C5DC4">
            <w:pPr>
              <w:spacing w:line="192" w:lineRule="auto"/>
              <w:jc w:val="right"/>
              <w:rPr>
                <w:b/>
                <w:sz w:val="12"/>
                <w:szCs w:val="12"/>
              </w:rPr>
            </w:pPr>
            <w:r w:rsidRPr="007C0BA6">
              <w:rPr>
                <w:b/>
                <w:sz w:val="12"/>
                <w:szCs w:val="12"/>
              </w:rPr>
              <w:t>Legal Reserves</w:t>
            </w:r>
          </w:p>
        </w:tc>
        <w:tc>
          <w:tcPr>
            <w:tcW w:w="536" w:type="dxa"/>
            <w:tcBorders>
              <w:bottom w:val="single" w:sz="4" w:space="0" w:color="auto"/>
            </w:tcBorders>
            <w:noWrap/>
            <w:tcMar>
              <w:top w:w="20" w:type="dxa"/>
              <w:left w:w="20" w:type="dxa"/>
              <w:bottom w:w="0" w:type="dxa"/>
              <w:right w:w="20" w:type="dxa"/>
            </w:tcMar>
            <w:vAlign w:val="bottom"/>
          </w:tcPr>
          <w:p w14:paraId="74695EEE" w14:textId="77777777" w:rsidR="00BA365B" w:rsidRPr="007C0BA6" w:rsidRDefault="00BA365B" w:rsidP="006C5DC4">
            <w:pPr>
              <w:spacing w:line="192" w:lineRule="auto"/>
              <w:jc w:val="right"/>
              <w:rPr>
                <w:b/>
                <w:sz w:val="12"/>
                <w:szCs w:val="12"/>
              </w:rPr>
            </w:pPr>
            <w:r w:rsidRPr="007C0BA6">
              <w:rPr>
                <w:b/>
                <w:sz w:val="12"/>
                <w:szCs w:val="12"/>
              </w:rPr>
              <w:t>Status Reserves</w:t>
            </w:r>
          </w:p>
        </w:tc>
        <w:tc>
          <w:tcPr>
            <w:tcW w:w="821" w:type="dxa"/>
            <w:tcBorders>
              <w:bottom w:val="single" w:sz="4" w:space="0" w:color="auto"/>
            </w:tcBorders>
            <w:noWrap/>
            <w:tcMar>
              <w:top w:w="20" w:type="dxa"/>
              <w:left w:w="20" w:type="dxa"/>
              <w:bottom w:w="0" w:type="dxa"/>
              <w:right w:w="20" w:type="dxa"/>
            </w:tcMar>
            <w:vAlign w:val="bottom"/>
          </w:tcPr>
          <w:p w14:paraId="096BC3C7" w14:textId="77777777" w:rsidR="00BA365B" w:rsidRPr="007C0BA6" w:rsidRDefault="00BA365B" w:rsidP="006C5DC4">
            <w:pPr>
              <w:spacing w:line="192" w:lineRule="auto"/>
              <w:jc w:val="right"/>
              <w:rPr>
                <w:b/>
                <w:sz w:val="12"/>
                <w:szCs w:val="12"/>
              </w:rPr>
            </w:pPr>
            <w:r w:rsidRPr="007C0BA6">
              <w:rPr>
                <w:b/>
                <w:sz w:val="12"/>
                <w:szCs w:val="12"/>
              </w:rPr>
              <w:t>Extraordinary Reserves</w:t>
            </w:r>
          </w:p>
        </w:tc>
        <w:tc>
          <w:tcPr>
            <w:tcW w:w="648" w:type="dxa"/>
            <w:tcBorders>
              <w:bottom w:val="single" w:sz="4" w:space="0" w:color="auto"/>
            </w:tcBorders>
            <w:noWrap/>
            <w:tcMar>
              <w:top w:w="20" w:type="dxa"/>
              <w:left w:w="20" w:type="dxa"/>
              <w:bottom w:w="0" w:type="dxa"/>
              <w:right w:w="20" w:type="dxa"/>
            </w:tcMar>
            <w:vAlign w:val="bottom"/>
          </w:tcPr>
          <w:p w14:paraId="064271C1" w14:textId="77777777" w:rsidR="00BA365B" w:rsidRPr="007C0BA6" w:rsidRDefault="00BA365B" w:rsidP="006C5DC4">
            <w:pPr>
              <w:spacing w:line="192" w:lineRule="auto"/>
              <w:jc w:val="right"/>
              <w:rPr>
                <w:b/>
                <w:sz w:val="12"/>
                <w:szCs w:val="12"/>
              </w:rPr>
            </w:pPr>
            <w:r w:rsidRPr="007C0BA6">
              <w:rPr>
                <w:b/>
                <w:sz w:val="12"/>
                <w:szCs w:val="12"/>
              </w:rPr>
              <w:t xml:space="preserve">               Other Reserves</w:t>
            </w:r>
          </w:p>
        </w:tc>
        <w:tc>
          <w:tcPr>
            <w:tcW w:w="617" w:type="dxa"/>
            <w:tcBorders>
              <w:bottom w:val="single" w:sz="4" w:space="0" w:color="auto"/>
            </w:tcBorders>
            <w:noWrap/>
            <w:tcMar>
              <w:top w:w="20" w:type="dxa"/>
              <w:left w:w="20" w:type="dxa"/>
              <w:bottom w:w="0" w:type="dxa"/>
              <w:right w:w="20" w:type="dxa"/>
            </w:tcMar>
            <w:vAlign w:val="bottom"/>
          </w:tcPr>
          <w:p w14:paraId="3E129F07" w14:textId="77777777" w:rsidR="00BA365B" w:rsidRPr="007C0BA6" w:rsidRDefault="00BA365B" w:rsidP="006C5DC4">
            <w:pPr>
              <w:spacing w:line="192" w:lineRule="auto"/>
              <w:jc w:val="right"/>
              <w:rPr>
                <w:b/>
                <w:sz w:val="12"/>
                <w:szCs w:val="12"/>
              </w:rPr>
            </w:pPr>
            <w:r w:rsidRPr="007C0BA6">
              <w:rPr>
                <w:b/>
                <w:sz w:val="12"/>
                <w:szCs w:val="12"/>
              </w:rPr>
              <w:t>Current</w:t>
            </w:r>
          </w:p>
          <w:p w14:paraId="6B6BA5EF" w14:textId="77777777" w:rsidR="00BA365B" w:rsidRPr="007C0BA6" w:rsidRDefault="00BA365B" w:rsidP="006C5DC4">
            <w:pPr>
              <w:spacing w:line="192" w:lineRule="auto"/>
              <w:jc w:val="right"/>
              <w:rPr>
                <w:b/>
                <w:sz w:val="12"/>
                <w:szCs w:val="12"/>
              </w:rPr>
            </w:pPr>
            <w:r w:rsidRPr="007C0BA6">
              <w:rPr>
                <w:b/>
                <w:sz w:val="12"/>
                <w:szCs w:val="12"/>
              </w:rPr>
              <w:t>Period Net Income / (Loss)</w:t>
            </w:r>
          </w:p>
        </w:tc>
        <w:tc>
          <w:tcPr>
            <w:tcW w:w="642" w:type="dxa"/>
            <w:tcBorders>
              <w:bottom w:val="single" w:sz="4" w:space="0" w:color="auto"/>
            </w:tcBorders>
            <w:noWrap/>
            <w:tcMar>
              <w:top w:w="20" w:type="dxa"/>
              <w:left w:w="20" w:type="dxa"/>
              <w:bottom w:w="0" w:type="dxa"/>
              <w:right w:w="20" w:type="dxa"/>
            </w:tcMar>
            <w:vAlign w:val="bottom"/>
          </w:tcPr>
          <w:p w14:paraId="1BC9AC3A" w14:textId="77777777" w:rsidR="00BA365B" w:rsidRDefault="00BA365B" w:rsidP="006C5DC4">
            <w:pPr>
              <w:spacing w:line="190" w:lineRule="auto"/>
              <w:jc w:val="right"/>
              <w:rPr>
                <w:b/>
                <w:bCs/>
                <w:sz w:val="12"/>
                <w:szCs w:val="12"/>
              </w:rPr>
            </w:pPr>
            <w:r w:rsidRPr="007C0BA6">
              <w:rPr>
                <w:b/>
                <w:bCs/>
                <w:sz w:val="12"/>
                <w:szCs w:val="12"/>
              </w:rPr>
              <w:t>Prior Period Net Income/</w:t>
            </w:r>
          </w:p>
          <w:p w14:paraId="22E0DDDA" w14:textId="77777777" w:rsidR="00BA365B" w:rsidRPr="007C0BA6" w:rsidRDefault="00BA365B" w:rsidP="006C5DC4">
            <w:pPr>
              <w:spacing w:line="190" w:lineRule="auto"/>
              <w:jc w:val="right"/>
              <w:rPr>
                <w:b/>
                <w:bCs/>
                <w:sz w:val="12"/>
                <w:szCs w:val="12"/>
              </w:rPr>
            </w:pPr>
            <w:r w:rsidRPr="007C0BA6">
              <w:rPr>
                <w:b/>
                <w:bCs/>
                <w:sz w:val="12"/>
                <w:szCs w:val="12"/>
              </w:rPr>
              <w:t>(Loss)</w:t>
            </w:r>
          </w:p>
        </w:tc>
        <w:tc>
          <w:tcPr>
            <w:tcW w:w="732" w:type="dxa"/>
            <w:tcBorders>
              <w:bottom w:val="single" w:sz="4" w:space="0" w:color="auto"/>
            </w:tcBorders>
            <w:vAlign w:val="bottom"/>
          </w:tcPr>
          <w:p w14:paraId="27ABB130" w14:textId="77777777" w:rsidR="00BA365B" w:rsidRPr="007C0BA6" w:rsidRDefault="00BA365B" w:rsidP="006C5DC4">
            <w:pPr>
              <w:spacing w:line="190" w:lineRule="auto"/>
              <w:jc w:val="right"/>
              <w:rPr>
                <w:b/>
                <w:bCs/>
                <w:sz w:val="12"/>
                <w:szCs w:val="12"/>
              </w:rPr>
            </w:pPr>
            <w:r w:rsidRPr="007C0BA6">
              <w:rPr>
                <w:b/>
                <w:bCs/>
                <w:sz w:val="12"/>
                <w:szCs w:val="12"/>
              </w:rPr>
              <w:t>Marketable Securities Valuation Reserve</w:t>
            </w:r>
          </w:p>
        </w:tc>
        <w:tc>
          <w:tcPr>
            <w:tcW w:w="880" w:type="dxa"/>
            <w:tcBorders>
              <w:bottom w:val="single" w:sz="4" w:space="0" w:color="auto"/>
            </w:tcBorders>
            <w:vAlign w:val="bottom"/>
          </w:tcPr>
          <w:p w14:paraId="00B952BC" w14:textId="77777777" w:rsidR="00BA365B" w:rsidRPr="007C0BA6" w:rsidRDefault="00BA365B" w:rsidP="006C5DC4">
            <w:pPr>
              <w:spacing w:line="190" w:lineRule="auto"/>
              <w:jc w:val="right"/>
              <w:rPr>
                <w:b/>
                <w:bCs/>
                <w:sz w:val="12"/>
                <w:szCs w:val="12"/>
              </w:rPr>
            </w:pPr>
            <w:r w:rsidRPr="007C0BA6">
              <w:rPr>
                <w:b/>
                <w:bCs/>
                <w:sz w:val="12"/>
                <w:szCs w:val="12"/>
              </w:rPr>
              <w:t>Tangible and Intangible Assets Revaluation Reserve</w:t>
            </w:r>
          </w:p>
        </w:tc>
        <w:tc>
          <w:tcPr>
            <w:tcW w:w="722" w:type="dxa"/>
            <w:tcBorders>
              <w:bottom w:val="single" w:sz="4" w:space="0" w:color="auto"/>
            </w:tcBorders>
            <w:noWrap/>
            <w:tcMar>
              <w:top w:w="20" w:type="dxa"/>
              <w:left w:w="20" w:type="dxa"/>
              <w:bottom w:w="0" w:type="dxa"/>
              <w:right w:w="20" w:type="dxa"/>
            </w:tcMar>
            <w:vAlign w:val="bottom"/>
          </w:tcPr>
          <w:p w14:paraId="60A7B709" w14:textId="77777777" w:rsidR="00BA365B" w:rsidRPr="007C0BA6" w:rsidRDefault="00BA365B" w:rsidP="006C5DC4">
            <w:pPr>
              <w:spacing w:line="190" w:lineRule="auto"/>
              <w:jc w:val="right"/>
              <w:rPr>
                <w:b/>
                <w:bCs/>
                <w:sz w:val="12"/>
                <w:szCs w:val="12"/>
              </w:rPr>
            </w:pPr>
            <w:r w:rsidRPr="007C0BA6">
              <w:rPr>
                <w:b/>
                <w:bCs/>
                <w:sz w:val="12"/>
                <w:szCs w:val="12"/>
              </w:rPr>
              <w:t>Bonus Shares Obtained from Investments</w:t>
            </w:r>
          </w:p>
        </w:tc>
        <w:tc>
          <w:tcPr>
            <w:tcW w:w="589" w:type="dxa"/>
            <w:tcBorders>
              <w:bottom w:val="single" w:sz="4" w:space="0" w:color="auto"/>
            </w:tcBorders>
            <w:noWrap/>
            <w:tcMar>
              <w:top w:w="20" w:type="dxa"/>
              <w:left w:w="20" w:type="dxa"/>
              <w:bottom w:w="0" w:type="dxa"/>
              <w:right w:w="20" w:type="dxa"/>
            </w:tcMar>
            <w:vAlign w:val="bottom"/>
          </w:tcPr>
          <w:p w14:paraId="1D25ABB7" w14:textId="77777777" w:rsidR="00BA365B" w:rsidRPr="007C0BA6" w:rsidRDefault="00BA365B" w:rsidP="006C5DC4">
            <w:pPr>
              <w:spacing w:line="190" w:lineRule="auto"/>
              <w:jc w:val="right"/>
              <w:rPr>
                <w:b/>
                <w:bCs/>
                <w:sz w:val="12"/>
                <w:szCs w:val="12"/>
              </w:rPr>
            </w:pPr>
            <w:r w:rsidRPr="007C0BA6">
              <w:rPr>
                <w:b/>
                <w:bCs/>
                <w:sz w:val="12"/>
                <w:szCs w:val="12"/>
              </w:rPr>
              <w:t>Hedging Reserves</w:t>
            </w:r>
          </w:p>
        </w:tc>
        <w:tc>
          <w:tcPr>
            <w:tcW w:w="801" w:type="dxa"/>
            <w:tcBorders>
              <w:bottom w:val="single" w:sz="4" w:space="0" w:color="auto"/>
            </w:tcBorders>
            <w:noWrap/>
            <w:tcMar>
              <w:top w:w="20" w:type="dxa"/>
              <w:left w:w="20" w:type="dxa"/>
              <w:bottom w:w="0" w:type="dxa"/>
              <w:right w:w="20" w:type="dxa"/>
            </w:tcMar>
            <w:vAlign w:val="bottom"/>
          </w:tcPr>
          <w:p w14:paraId="49394972" w14:textId="77777777" w:rsidR="00BA365B" w:rsidRPr="007C0BA6" w:rsidRDefault="00BA365B" w:rsidP="006C5DC4">
            <w:pPr>
              <w:spacing w:line="190" w:lineRule="auto"/>
              <w:jc w:val="right"/>
              <w:rPr>
                <w:b/>
                <w:bCs/>
                <w:sz w:val="12"/>
                <w:szCs w:val="12"/>
              </w:rPr>
            </w:pPr>
            <w:r w:rsidRPr="007C0BA6">
              <w:rPr>
                <w:b/>
                <w:bCs/>
                <w:sz w:val="12"/>
                <w:szCs w:val="12"/>
              </w:rPr>
              <w:t>Valuation Difference of AHS and Discontinued Operations</w:t>
            </w:r>
          </w:p>
        </w:tc>
        <w:tc>
          <w:tcPr>
            <w:tcW w:w="626" w:type="dxa"/>
            <w:tcBorders>
              <w:bottom w:val="single" w:sz="4" w:space="0" w:color="auto"/>
            </w:tcBorders>
            <w:vAlign w:val="bottom"/>
          </w:tcPr>
          <w:p w14:paraId="35C37C92" w14:textId="77777777" w:rsidR="00BA365B" w:rsidRPr="0073159B" w:rsidRDefault="00BA365B" w:rsidP="006C5DC4">
            <w:pPr>
              <w:spacing w:line="192" w:lineRule="auto"/>
              <w:jc w:val="right"/>
              <w:rPr>
                <w:b/>
                <w:sz w:val="11"/>
                <w:szCs w:val="11"/>
                <w:highlight w:val="yellow"/>
              </w:rPr>
            </w:pPr>
            <w:r w:rsidRPr="005D4129">
              <w:rPr>
                <w:b/>
                <w:sz w:val="11"/>
                <w:szCs w:val="11"/>
              </w:rPr>
              <w:t xml:space="preserve">Total Equity </w:t>
            </w:r>
            <w:r>
              <w:rPr>
                <w:b/>
                <w:sz w:val="11"/>
                <w:szCs w:val="11"/>
              </w:rPr>
              <w:t>Except for</w:t>
            </w:r>
            <w:r w:rsidRPr="005D4129">
              <w:rPr>
                <w:b/>
                <w:sz w:val="11"/>
                <w:szCs w:val="11"/>
              </w:rPr>
              <w:t xml:space="preserve"> Minority Shares</w:t>
            </w:r>
          </w:p>
        </w:tc>
        <w:tc>
          <w:tcPr>
            <w:tcW w:w="728" w:type="dxa"/>
            <w:tcBorders>
              <w:bottom w:val="single" w:sz="4" w:space="0" w:color="auto"/>
            </w:tcBorders>
            <w:shd w:val="clear" w:color="auto" w:fill="auto"/>
            <w:vAlign w:val="bottom"/>
          </w:tcPr>
          <w:p w14:paraId="278EC4EF" w14:textId="77777777" w:rsidR="00BA365B" w:rsidRPr="0032757D" w:rsidRDefault="00BA365B" w:rsidP="006C5DC4">
            <w:pPr>
              <w:spacing w:line="192" w:lineRule="auto"/>
              <w:jc w:val="right"/>
              <w:rPr>
                <w:b/>
                <w:sz w:val="11"/>
                <w:szCs w:val="11"/>
              </w:rPr>
            </w:pPr>
            <w:proofErr w:type="spellStart"/>
            <w:r w:rsidRPr="0032757D">
              <w:rPr>
                <w:b/>
                <w:sz w:val="11"/>
                <w:szCs w:val="11"/>
              </w:rPr>
              <w:t>Minorty</w:t>
            </w:r>
            <w:proofErr w:type="spellEnd"/>
            <w:r w:rsidRPr="0032757D">
              <w:rPr>
                <w:b/>
                <w:sz w:val="11"/>
                <w:szCs w:val="11"/>
              </w:rPr>
              <w:t xml:space="preserve"> shares</w:t>
            </w:r>
          </w:p>
        </w:tc>
        <w:tc>
          <w:tcPr>
            <w:tcW w:w="756" w:type="dxa"/>
            <w:tcBorders>
              <w:bottom w:val="single" w:sz="4" w:space="0" w:color="auto"/>
            </w:tcBorders>
            <w:vAlign w:val="bottom"/>
          </w:tcPr>
          <w:p w14:paraId="2B25BAC6" w14:textId="77777777" w:rsidR="00BA365B" w:rsidRPr="001318F3" w:rsidRDefault="00BA365B" w:rsidP="006C5DC4">
            <w:pPr>
              <w:spacing w:line="190" w:lineRule="auto"/>
              <w:jc w:val="right"/>
              <w:rPr>
                <w:b/>
                <w:bCs/>
                <w:sz w:val="12"/>
                <w:szCs w:val="12"/>
              </w:rPr>
            </w:pPr>
            <w:r w:rsidRPr="001318F3">
              <w:rPr>
                <w:b/>
                <w:bCs/>
                <w:sz w:val="12"/>
                <w:szCs w:val="12"/>
              </w:rPr>
              <w:t>Total Shareholders’ Equity</w:t>
            </w:r>
          </w:p>
        </w:tc>
      </w:tr>
      <w:tr w:rsidR="00BA365B" w:rsidRPr="007C0BA6" w14:paraId="53E3056C" w14:textId="77777777" w:rsidTr="006C5DC4">
        <w:trPr>
          <w:trHeight w:val="54"/>
        </w:trPr>
        <w:tc>
          <w:tcPr>
            <w:tcW w:w="362" w:type="dxa"/>
            <w:noWrap/>
            <w:tcMar>
              <w:top w:w="20" w:type="dxa"/>
              <w:left w:w="20" w:type="dxa"/>
              <w:bottom w:w="0" w:type="dxa"/>
              <w:right w:w="20" w:type="dxa"/>
            </w:tcMar>
            <w:vAlign w:val="bottom"/>
          </w:tcPr>
          <w:p w14:paraId="4909C0B9" w14:textId="77777777" w:rsidR="00BA365B" w:rsidRPr="007C0BA6" w:rsidRDefault="00BA365B" w:rsidP="006C5DC4">
            <w:pPr>
              <w:spacing w:line="192" w:lineRule="auto"/>
              <w:ind w:right="-30"/>
              <w:rPr>
                <w:rFonts w:eastAsia="Arial Unicode MS"/>
                <w:b/>
                <w:bCs/>
                <w:sz w:val="12"/>
                <w:szCs w:val="12"/>
              </w:rPr>
            </w:pPr>
          </w:p>
        </w:tc>
        <w:tc>
          <w:tcPr>
            <w:tcW w:w="2332" w:type="dxa"/>
            <w:noWrap/>
            <w:tcMar>
              <w:top w:w="20" w:type="dxa"/>
              <w:left w:w="20" w:type="dxa"/>
              <w:bottom w:w="0" w:type="dxa"/>
              <w:right w:w="20" w:type="dxa"/>
            </w:tcMar>
            <w:vAlign w:val="bottom"/>
          </w:tcPr>
          <w:p w14:paraId="163353CC" w14:textId="77777777" w:rsidR="00BA365B" w:rsidRPr="007C0BA6" w:rsidRDefault="00BA365B" w:rsidP="006C5DC4">
            <w:pPr>
              <w:spacing w:line="192" w:lineRule="auto"/>
              <w:jc w:val="center"/>
              <w:rPr>
                <w:rFonts w:eastAsia="Arial Unicode MS"/>
                <w:b/>
                <w:bCs/>
                <w:sz w:val="12"/>
                <w:szCs w:val="12"/>
              </w:rPr>
            </w:pPr>
            <w:r w:rsidRPr="007C0BA6">
              <w:rPr>
                <w:b/>
                <w:bCs/>
                <w:sz w:val="12"/>
                <w:szCs w:val="12"/>
              </w:rPr>
              <w:t> </w:t>
            </w:r>
          </w:p>
        </w:tc>
        <w:tc>
          <w:tcPr>
            <w:tcW w:w="473" w:type="dxa"/>
          </w:tcPr>
          <w:p w14:paraId="4A2283BD" w14:textId="77777777" w:rsidR="00BA365B" w:rsidRPr="007C0BA6" w:rsidRDefault="00BA365B" w:rsidP="006C5DC4">
            <w:pPr>
              <w:spacing w:line="192" w:lineRule="auto"/>
              <w:jc w:val="right"/>
              <w:rPr>
                <w:rFonts w:eastAsia="Arial Unicode MS"/>
                <w:sz w:val="12"/>
                <w:szCs w:val="12"/>
              </w:rPr>
            </w:pPr>
          </w:p>
        </w:tc>
        <w:tc>
          <w:tcPr>
            <w:tcW w:w="525" w:type="dxa"/>
            <w:noWrap/>
            <w:tcMar>
              <w:top w:w="20" w:type="dxa"/>
              <w:left w:w="20" w:type="dxa"/>
              <w:bottom w:w="0" w:type="dxa"/>
              <w:right w:w="20" w:type="dxa"/>
            </w:tcMar>
            <w:vAlign w:val="bottom"/>
          </w:tcPr>
          <w:p w14:paraId="2924C034" w14:textId="77777777" w:rsidR="00BA365B" w:rsidRPr="007C0BA6" w:rsidRDefault="00BA365B" w:rsidP="006C5DC4">
            <w:pPr>
              <w:spacing w:line="192" w:lineRule="auto"/>
              <w:jc w:val="right"/>
              <w:rPr>
                <w:rFonts w:eastAsia="Arial Unicode MS"/>
                <w:sz w:val="12"/>
                <w:szCs w:val="12"/>
              </w:rPr>
            </w:pPr>
          </w:p>
        </w:tc>
        <w:tc>
          <w:tcPr>
            <w:tcW w:w="669" w:type="dxa"/>
            <w:vAlign w:val="bottom"/>
          </w:tcPr>
          <w:p w14:paraId="01EE5CDE" w14:textId="77777777" w:rsidR="00BA365B" w:rsidRPr="007C0BA6" w:rsidRDefault="00BA365B" w:rsidP="006C5DC4">
            <w:pPr>
              <w:spacing w:line="192" w:lineRule="auto"/>
              <w:jc w:val="right"/>
              <w:rPr>
                <w:rFonts w:eastAsia="Arial Unicode MS"/>
                <w:sz w:val="12"/>
                <w:szCs w:val="12"/>
              </w:rPr>
            </w:pPr>
          </w:p>
        </w:tc>
        <w:tc>
          <w:tcPr>
            <w:tcW w:w="536" w:type="dxa"/>
            <w:noWrap/>
            <w:tcMar>
              <w:top w:w="20" w:type="dxa"/>
              <w:left w:w="20" w:type="dxa"/>
              <w:bottom w:w="0" w:type="dxa"/>
              <w:right w:w="20" w:type="dxa"/>
            </w:tcMar>
            <w:vAlign w:val="bottom"/>
          </w:tcPr>
          <w:p w14:paraId="306D5930" w14:textId="77777777" w:rsidR="00BA365B" w:rsidRPr="007C0BA6" w:rsidRDefault="00BA365B" w:rsidP="006C5DC4">
            <w:pPr>
              <w:spacing w:line="192" w:lineRule="auto"/>
              <w:jc w:val="right"/>
              <w:rPr>
                <w:rFonts w:eastAsia="Arial Unicode MS"/>
                <w:sz w:val="12"/>
                <w:szCs w:val="12"/>
              </w:rPr>
            </w:pPr>
          </w:p>
        </w:tc>
        <w:tc>
          <w:tcPr>
            <w:tcW w:w="707" w:type="dxa"/>
            <w:noWrap/>
            <w:tcMar>
              <w:top w:w="20" w:type="dxa"/>
              <w:left w:w="20" w:type="dxa"/>
              <w:bottom w:w="0" w:type="dxa"/>
              <w:right w:w="20" w:type="dxa"/>
            </w:tcMar>
            <w:vAlign w:val="bottom"/>
          </w:tcPr>
          <w:p w14:paraId="6E03442E" w14:textId="77777777" w:rsidR="00BA365B" w:rsidRPr="007C0BA6" w:rsidRDefault="00BA365B" w:rsidP="006C5DC4">
            <w:pPr>
              <w:spacing w:line="192" w:lineRule="auto"/>
              <w:jc w:val="right"/>
              <w:rPr>
                <w:rFonts w:eastAsia="Arial Unicode MS"/>
                <w:sz w:val="12"/>
                <w:szCs w:val="12"/>
              </w:rPr>
            </w:pPr>
          </w:p>
        </w:tc>
        <w:tc>
          <w:tcPr>
            <w:tcW w:w="602" w:type="dxa"/>
            <w:noWrap/>
            <w:tcMar>
              <w:top w:w="20" w:type="dxa"/>
              <w:left w:w="20" w:type="dxa"/>
              <w:bottom w:w="0" w:type="dxa"/>
              <w:right w:w="20" w:type="dxa"/>
            </w:tcMar>
            <w:vAlign w:val="bottom"/>
          </w:tcPr>
          <w:p w14:paraId="0E5B7CF8" w14:textId="77777777" w:rsidR="00BA365B" w:rsidRPr="007C0BA6" w:rsidRDefault="00BA365B" w:rsidP="006C5DC4">
            <w:pPr>
              <w:spacing w:line="192" w:lineRule="auto"/>
              <w:jc w:val="right"/>
              <w:rPr>
                <w:rFonts w:eastAsia="Arial Unicode MS"/>
                <w:sz w:val="12"/>
                <w:szCs w:val="12"/>
              </w:rPr>
            </w:pPr>
          </w:p>
        </w:tc>
        <w:tc>
          <w:tcPr>
            <w:tcW w:w="536" w:type="dxa"/>
            <w:noWrap/>
            <w:tcMar>
              <w:top w:w="20" w:type="dxa"/>
              <w:left w:w="20" w:type="dxa"/>
              <w:bottom w:w="0" w:type="dxa"/>
              <w:right w:w="20" w:type="dxa"/>
            </w:tcMar>
            <w:vAlign w:val="bottom"/>
          </w:tcPr>
          <w:p w14:paraId="66D5EB11" w14:textId="77777777" w:rsidR="00BA365B" w:rsidRPr="007C0BA6" w:rsidRDefault="00BA365B" w:rsidP="006C5DC4">
            <w:pPr>
              <w:spacing w:line="192" w:lineRule="auto"/>
              <w:jc w:val="right"/>
              <w:rPr>
                <w:rFonts w:eastAsia="Arial Unicode MS"/>
                <w:sz w:val="12"/>
                <w:szCs w:val="12"/>
              </w:rPr>
            </w:pPr>
          </w:p>
        </w:tc>
        <w:tc>
          <w:tcPr>
            <w:tcW w:w="821" w:type="dxa"/>
            <w:noWrap/>
            <w:tcMar>
              <w:top w:w="20" w:type="dxa"/>
              <w:left w:w="20" w:type="dxa"/>
              <w:bottom w:w="0" w:type="dxa"/>
              <w:right w:w="20" w:type="dxa"/>
            </w:tcMar>
            <w:vAlign w:val="bottom"/>
          </w:tcPr>
          <w:p w14:paraId="37A7D520" w14:textId="77777777" w:rsidR="00BA365B" w:rsidRPr="007C0BA6" w:rsidRDefault="00BA365B" w:rsidP="006C5DC4">
            <w:pPr>
              <w:spacing w:line="192" w:lineRule="auto"/>
              <w:jc w:val="right"/>
              <w:rPr>
                <w:rFonts w:eastAsia="Arial Unicode MS"/>
                <w:sz w:val="12"/>
                <w:szCs w:val="12"/>
              </w:rPr>
            </w:pPr>
          </w:p>
        </w:tc>
        <w:tc>
          <w:tcPr>
            <w:tcW w:w="648" w:type="dxa"/>
            <w:noWrap/>
            <w:tcMar>
              <w:top w:w="20" w:type="dxa"/>
              <w:left w:w="20" w:type="dxa"/>
              <w:bottom w:w="0" w:type="dxa"/>
              <w:right w:w="20" w:type="dxa"/>
            </w:tcMar>
            <w:vAlign w:val="bottom"/>
          </w:tcPr>
          <w:p w14:paraId="3CA80052" w14:textId="77777777" w:rsidR="00BA365B" w:rsidRPr="007C0BA6" w:rsidRDefault="00BA365B" w:rsidP="006C5DC4">
            <w:pPr>
              <w:spacing w:line="192" w:lineRule="auto"/>
              <w:jc w:val="right"/>
              <w:rPr>
                <w:rFonts w:eastAsia="Arial Unicode MS"/>
                <w:sz w:val="12"/>
                <w:szCs w:val="12"/>
              </w:rPr>
            </w:pPr>
          </w:p>
        </w:tc>
        <w:tc>
          <w:tcPr>
            <w:tcW w:w="617" w:type="dxa"/>
            <w:noWrap/>
            <w:tcMar>
              <w:top w:w="20" w:type="dxa"/>
              <w:left w:w="20" w:type="dxa"/>
              <w:bottom w:w="0" w:type="dxa"/>
              <w:right w:w="20" w:type="dxa"/>
            </w:tcMar>
            <w:vAlign w:val="bottom"/>
          </w:tcPr>
          <w:p w14:paraId="14211F83" w14:textId="77777777" w:rsidR="00BA365B" w:rsidRPr="007C0BA6" w:rsidRDefault="00BA365B" w:rsidP="006C5DC4">
            <w:pPr>
              <w:spacing w:line="192" w:lineRule="auto"/>
              <w:jc w:val="right"/>
              <w:rPr>
                <w:rFonts w:eastAsia="Arial Unicode MS"/>
                <w:sz w:val="12"/>
                <w:szCs w:val="12"/>
              </w:rPr>
            </w:pPr>
          </w:p>
        </w:tc>
        <w:tc>
          <w:tcPr>
            <w:tcW w:w="642" w:type="dxa"/>
            <w:noWrap/>
            <w:tcMar>
              <w:top w:w="20" w:type="dxa"/>
              <w:left w:w="20" w:type="dxa"/>
              <w:bottom w:w="0" w:type="dxa"/>
              <w:right w:w="20" w:type="dxa"/>
            </w:tcMar>
            <w:vAlign w:val="bottom"/>
          </w:tcPr>
          <w:p w14:paraId="55C29046" w14:textId="77777777" w:rsidR="00BA365B" w:rsidRPr="007C0BA6" w:rsidRDefault="00BA365B" w:rsidP="006C5DC4">
            <w:pPr>
              <w:spacing w:line="192" w:lineRule="auto"/>
              <w:jc w:val="right"/>
              <w:rPr>
                <w:rFonts w:eastAsia="Arial Unicode MS"/>
                <w:sz w:val="12"/>
                <w:szCs w:val="12"/>
              </w:rPr>
            </w:pPr>
          </w:p>
        </w:tc>
        <w:tc>
          <w:tcPr>
            <w:tcW w:w="732" w:type="dxa"/>
          </w:tcPr>
          <w:p w14:paraId="2425A34D" w14:textId="77777777" w:rsidR="00BA365B" w:rsidRPr="007C0BA6" w:rsidRDefault="00BA365B" w:rsidP="006C5DC4">
            <w:pPr>
              <w:spacing w:line="192" w:lineRule="auto"/>
              <w:jc w:val="right"/>
              <w:rPr>
                <w:rFonts w:eastAsia="Arial Unicode MS"/>
                <w:sz w:val="12"/>
                <w:szCs w:val="12"/>
              </w:rPr>
            </w:pPr>
          </w:p>
        </w:tc>
        <w:tc>
          <w:tcPr>
            <w:tcW w:w="880" w:type="dxa"/>
          </w:tcPr>
          <w:p w14:paraId="52F67A97" w14:textId="77777777" w:rsidR="00BA365B" w:rsidRPr="007C0BA6" w:rsidRDefault="00BA365B" w:rsidP="006C5DC4">
            <w:pPr>
              <w:spacing w:line="192" w:lineRule="auto"/>
              <w:jc w:val="right"/>
              <w:rPr>
                <w:rFonts w:eastAsia="Arial Unicode MS"/>
                <w:sz w:val="12"/>
                <w:szCs w:val="12"/>
              </w:rPr>
            </w:pPr>
          </w:p>
        </w:tc>
        <w:tc>
          <w:tcPr>
            <w:tcW w:w="722" w:type="dxa"/>
            <w:noWrap/>
            <w:tcMar>
              <w:top w:w="20" w:type="dxa"/>
              <w:left w:w="20" w:type="dxa"/>
              <w:bottom w:w="0" w:type="dxa"/>
              <w:right w:w="20" w:type="dxa"/>
            </w:tcMar>
            <w:vAlign w:val="bottom"/>
          </w:tcPr>
          <w:p w14:paraId="54C9E6D8" w14:textId="77777777" w:rsidR="00BA365B" w:rsidRPr="007C0BA6" w:rsidRDefault="00BA365B" w:rsidP="006C5DC4">
            <w:pPr>
              <w:spacing w:line="192" w:lineRule="auto"/>
              <w:jc w:val="right"/>
              <w:rPr>
                <w:rFonts w:eastAsia="Arial Unicode MS"/>
                <w:sz w:val="12"/>
                <w:szCs w:val="12"/>
              </w:rPr>
            </w:pPr>
          </w:p>
        </w:tc>
        <w:tc>
          <w:tcPr>
            <w:tcW w:w="589" w:type="dxa"/>
            <w:noWrap/>
            <w:tcMar>
              <w:top w:w="20" w:type="dxa"/>
              <w:left w:w="20" w:type="dxa"/>
              <w:bottom w:w="0" w:type="dxa"/>
              <w:right w:w="20" w:type="dxa"/>
            </w:tcMar>
            <w:vAlign w:val="bottom"/>
          </w:tcPr>
          <w:p w14:paraId="60A9CD33" w14:textId="77777777" w:rsidR="00BA365B" w:rsidRPr="007C0BA6" w:rsidRDefault="00BA365B" w:rsidP="006C5DC4">
            <w:pPr>
              <w:spacing w:line="192" w:lineRule="auto"/>
              <w:jc w:val="right"/>
              <w:rPr>
                <w:rFonts w:eastAsia="Arial Unicode MS"/>
                <w:sz w:val="12"/>
                <w:szCs w:val="12"/>
              </w:rPr>
            </w:pPr>
          </w:p>
        </w:tc>
        <w:tc>
          <w:tcPr>
            <w:tcW w:w="801" w:type="dxa"/>
            <w:noWrap/>
            <w:tcMar>
              <w:top w:w="20" w:type="dxa"/>
              <w:left w:w="20" w:type="dxa"/>
              <w:bottom w:w="0" w:type="dxa"/>
              <w:right w:w="20" w:type="dxa"/>
            </w:tcMar>
            <w:vAlign w:val="bottom"/>
          </w:tcPr>
          <w:p w14:paraId="6D320A78" w14:textId="77777777" w:rsidR="00BA365B" w:rsidRPr="007C0BA6" w:rsidRDefault="00BA365B" w:rsidP="006C5DC4">
            <w:pPr>
              <w:spacing w:line="192" w:lineRule="auto"/>
              <w:jc w:val="right"/>
              <w:rPr>
                <w:rFonts w:eastAsia="Arial Unicode MS"/>
                <w:sz w:val="12"/>
                <w:szCs w:val="12"/>
              </w:rPr>
            </w:pPr>
          </w:p>
        </w:tc>
        <w:tc>
          <w:tcPr>
            <w:tcW w:w="626" w:type="dxa"/>
          </w:tcPr>
          <w:p w14:paraId="33C8A1D8" w14:textId="77777777" w:rsidR="00BA365B" w:rsidRPr="007C0BA6" w:rsidRDefault="00BA365B" w:rsidP="006C5DC4">
            <w:pPr>
              <w:spacing w:line="192" w:lineRule="auto"/>
              <w:ind w:right="92"/>
              <w:jc w:val="right"/>
              <w:rPr>
                <w:rFonts w:eastAsia="Arial Unicode MS"/>
                <w:sz w:val="12"/>
                <w:szCs w:val="12"/>
              </w:rPr>
            </w:pPr>
          </w:p>
        </w:tc>
        <w:tc>
          <w:tcPr>
            <w:tcW w:w="728" w:type="dxa"/>
          </w:tcPr>
          <w:p w14:paraId="32F5A5E0" w14:textId="77777777" w:rsidR="00BA365B" w:rsidRPr="007C0BA6" w:rsidRDefault="00BA365B" w:rsidP="006C5DC4">
            <w:pPr>
              <w:spacing w:line="192" w:lineRule="auto"/>
              <w:ind w:right="92"/>
              <w:jc w:val="right"/>
              <w:rPr>
                <w:rFonts w:eastAsia="Arial Unicode MS"/>
                <w:sz w:val="12"/>
                <w:szCs w:val="12"/>
              </w:rPr>
            </w:pPr>
          </w:p>
        </w:tc>
        <w:tc>
          <w:tcPr>
            <w:tcW w:w="756" w:type="dxa"/>
          </w:tcPr>
          <w:p w14:paraId="14E94404" w14:textId="77777777" w:rsidR="00BA365B" w:rsidRPr="007C0BA6" w:rsidRDefault="00BA365B" w:rsidP="006C5DC4">
            <w:pPr>
              <w:spacing w:line="192" w:lineRule="auto"/>
              <w:ind w:right="92"/>
              <w:jc w:val="right"/>
              <w:rPr>
                <w:rFonts w:eastAsia="Arial Unicode MS"/>
                <w:sz w:val="12"/>
                <w:szCs w:val="12"/>
              </w:rPr>
            </w:pPr>
          </w:p>
        </w:tc>
      </w:tr>
      <w:tr w:rsidR="00980409" w:rsidRPr="007C0BA6" w14:paraId="3F80761B" w14:textId="77777777" w:rsidTr="00677268">
        <w:trPr>
          <w:trHeight w:val="67"/>
        </w:trPr>
        <w:tc>
          <w:tcPr>
            <w:tcW w:w="362" w:type="dxa"/>
            <w:noWrap/>
            <w:tcMar>
              <w:top w:w="20" w:type="dxa"/>
              <w:left w:w="20" w:type="dxa"/>
              <w:bottom w:w="0" w:type="dxa"/>
              <w:right w:w="20" w:type="dxa"/>
            </w:tcMar>
            <w:vAlign w:val="bottom"/>
          </w:tcPr>
          <w:p w14:paraId="4753F460" w14:textId="77777777" w:rsidR="00980409" w:rsidRPr="007C0BA6" w:rsidRDefault="00980409" w:rsidP="00980409">
            <w:pPr>
              <w:spacing w:line="192" w:lineRule="auto"/>
              <w:ind w:right="-30"/>
              <w:rPr>
                <w:rFonts w:eastAsia="Arial Unicode MS"/>
                <w:b/>
                <w:sz w:val="12"/>
                <w:szCs w:val="12"/>
              </w:rPr>
            </w:pPr>
            <w:r w:rsidRPr="007C0BA6">
              <w:rPr>
                <w:b/>
                <w:sz w:val="12"/>
                <w:szCs w:val="12"/>
              </w:rPr>
              <w:t>I.</w:t>
            </w:r>
          </w:p>
        </w:tc>
        <w:tc>
          <w:tcPr>
            <w:tcW w:w="2332" w:type="dxa"/>
            <w:noWrap/>
            <w:tcMar>
              <w:top w:w="20" w:type="dxa"/>
              <w:left w:w="20" w:type="dxa"/>
              <w:bottom w:w="0" w:type="dxa"/>
              <w:right w:w="20" w:type="dxa"/>
            </w:tcMar>
            <w:vAlign w:val="bottom"/>
          </w:tcPr>
          <w:p w14:paraId="7AD2CF2D" w14:textId="77777777" w:rsidR="00980409" w:rsidRPr="007C0BA6" w:rsidRDefault="00980409" w:rsidP="00980409">
            <w:pPr>
              <w:spacing w:line="192" w:lineRule="auto"/>
              <w:ind w:left="160" w:hanging="160"/>
              <w:jc w:val="both"/>
              <w:rPr>
                <w:rFonts w:eastAsia="Arial Unicode MS"/>
                <w:b/>
                <w:sz w:val="12"/>
                <w:szCs w:val="12"/>
              </w:rPr>
            </w:pPr>
            <w:r w:rsidRPr="007C0BA6">
              <w:rPr>
                <w:rFonts w:eastAsia="Arial Unicode MS"/>
                <w:b/>
                <w:sz w:val="12"/>
                <w:szCs w:val="12"/>
              </w:rPr>
              <w:t>Prior Period End Balance</w:t>
            </w:r>
          </w:p>
        </w:tc>
        <w:tc>
          <w:tcPr>
            <w:tcW w:w="473" w:type="dxa"/>
          </w:tcPr>
          <w:p w14:paraId="0462FC6B"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647A4D24" w14:textId="04289190"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620,000 </w:t>
            </w:r>
          </w:p>
        </w:tc>
        <w:tc>
          <w:tcPr>
            <w:tcW w:w="669" w:type="dxa"/>
            <w:vAlign w:val="bottom"/>
          </w:tcPr>
          <w:p w14:paraId="42EE47BA" w14:textId="7240C45D"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 </w:t>
            </w:r>
          </w:p>
        </w:tc>
        <w:tc>
          <w:tcPr>
            <w:tcW w:w="536" w:type="dxa"/>
            <w:noWrap/>
            <w:tcMar>
              <w:top w:w="20" w:type="dxa"/>
              <w:left w:w="20" w:type="dxa"/>
              <w:bottom w:w="0" w:type="dxa"/>
              <w:right w:w="20" w:type="dxa"/>
            </w:tcMar>
            <w:vAlign w:val="bottom"/>
          </w:tcPr>
          <w:p w14:paraId="4A4288C1" w14:textId="336B4506"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119 </w:t>
            </w:r>
          </w:p>
        </w:tc>
        <w:tc>
          <w:tcPr>
            <w:tcW w:w="707" w:type="dxa"/>
            <w:noWrap/>
            <w:tcMar>
              <w:top w:w="20" w:type="dxa"/>
              <w:left w:w="20" w:type="dxa"/>
              <w:bottom w:w="0" w:type="dxa"/>
              <w:right w:w="20" w:type="dxa"/>
            </w:tcMar>
            <w:vAlign w:val="bottom"/>
          </w:tcPr>
          <w:p w14:paraId="75853A50" w14:textId="026684A5"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(3,296)</w:t>
            </w:r>
          </w:p>
        </w:tc>
        <w:tc>
          <w:tcPr>
            <w:tcW w:w="602" w:type="dxa"/>
            <w:noWrap/>
            <w:tcMar>
              <w:top w:w="20" w:type="dxa"/>
              <w:left w:w="20" w:type="dxa"/>
              <w:bottom w:w="0" w:type="dxa"/>
              <w:right w:w="20" w:type="dxa"/>
            </w:tcMar>
            <w:vAlign w:val="bottom"/>
          </w:tcPr>
          <w:p w14:paraId="131B05FA" w14:textId="11FACCE3"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20,052 </w:t>
            </w:r>
          </w:p>
        </w:tc>
        <w:tc>
          <w:tcPr>
            <w:tcW w:w="536" w:type="dxa"/>
            <w:noWrap/>
            <w:tcMar>
              <w:top w:w="20" w:type="dxa"/>
              <w:left w:w="20" w:type="dxa"/>
              <w:bottom w:w="0" w:type="dxa"/>
              <w:right w:w="20" w:type="dxa"/>
            </w:tcMar>
            <w:vAlign w:val="bottom"/>
          </w:tcPr>
          <w:p w14:paraId="0EC1057D" w14:textId="66A58187" w:rsidR="00980409" w:rsidRPr="00A53232" w:rsidRDefault="00980409" w:rsidP="00980409">
            <w:pPr>
              <w:ind w:left="-1554" w:right="22"/>
              <w:jc w:val="right"/>
              <w:rPr>
                <w:rFonts w:eastAsia="Arial Unicode MS"/>
                <w:b/>
                <w:bCs/>
                <w:sz w:val="11"/>
                <w:szCs w:val="11"/>
              </w:rPr>
            </w:pPr>
            <w:r w:rsidRPr="00A53232">
              <w:rPr>
                <w:b/>
                <w:sz w:val="11"/>
                <w:szCs w:val="11"/>
              </w:rPr>
              <w:t>-</w:t>
            </w:r>
          </w:p>
        </w:tc>
        <w:tc>
          <w:tcPr>
            <w:tcW w:w="821" w:type="dxa"/>
            <w:noWrap/>
            <w:tcMar>
              <w:top w:w="20" w:type="dxa"/>
              <w:left w:w="20" w:type="dxa"/>
              <w:bottom w:w="0" w:type="dxa"/>
              <w:right w:w="20" w:type="dxa"/>
            </w:tcMar>
            <w:vAlign w:val="bottom"/>
          </w:tcPr>
          <w:p w14:paraId="1DFC52B2" w14:textId="6AF4C7BF"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212,010</w:t>
            </w:r>
          </w:p>
        </w:tc>
        <w:tc>
          <w:tcPr>
            <w:tcW w:w="648" w:type="dxa"/>
            <w:noWrap/>
            <w:tcMar>
              <w:top w:w="20" w:type="dxa"/>
              <w:left w:w="20" w:type="dxa"/>
              <w:bottom w:w="0" w:type="dxa"/>
              <w:right w:w="20" w:type="dxa"/>
            </w:tcMar>
            <w:vAlign w:val="bottom"/>
          </w:tcPr>
          <w:p w14:paraId="73FD38AC" w14:textId="50A6F839"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 </w:t>
            </w:r>
          </w:p>
        </w:tc>
        <w:tc>
          <w:tcPr>
            <w:tcW w:w="617" w:type="dxa"/>
            <w:noWrap/>
            <w:tcMar>
              <w:top w:w="20" w:type="dxa"/>
              <w:left w:w="20" w:type="dxa"/>
              <w:bottom w:w="0" w:type="dxa"/>
              <w:right w:w="20" w:type="dxa"/>
            </w:tcMar>
            <w:vAlign w:val="bottom"/>
          </w:tcPr>
          <w:p w14:paraId="54741FA9" w14:textId="3FF56CC3"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136,591 </w:t>
            </w:r>
          </w:p>
        </w:tc>
        <w:tc>
          <w:tcPr>
            <w:tcW w:w="642" w:type="dxa"/>
            <w:noWrap/>
            <w:tcMar>
              <w:top w:w="20" w:type="dxa"/>
              <w:left w:w="20" w:type="dxa"/>
              <w:bottom w:w="0" w:type="dxa"/>
              <w:right w:w="20" w:type="dxa"/>
            </w:tcMar>
            <w:vAlign w:val="bottom"/>
          </w:tcPr>
          <w:p w14:paraId="05EF75EF" w14:textId="35C28CCA"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(15,636)</w:t>
            </w:r>
          </w:p>
        </w:tc>
        <w:tc>
          <w:tcPr>
            <w:tcW w:w="732" w:type="dxa"/>
            <w:vAlign w:val="bottom"/>
          </w:tcPr>
          <w:p w14:paraId="4E8BF5A4" w14:textId="2750DB1A"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(6,154)</w:t>
            </w:r>
          </w:p>
        </w:tc>
        <w:tc>
          <w:tcPr>
            <w:tcW w:w="880" w:type="dxa"/>
            <w:vAlign w:val="bottom"/>
          </w:tcPr>
          <w:p w14:paraId="6A5B67AC" w14:textId="5F8D10E4"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 </w:t>
            </w:r>
          </w:p>
        </w:tc>
        <w:tc>
          <w:tcPr>
            <w:tcW w:w="722" w:type="dxa"/>
            <w:noWrap/>
            <w:tcMar>
              <w:top w:w="20" w:type="dxa"/>
              <w:left w:w="20" w:type="dxa"/>
              <w:bottom w:w="0" w:type="dxa"/>
              <w:right w:w="20" w:type="dxa"/>
            </w:tcMar>
            <w:vAlign w:val="bottom"/>
          </w:tcPr>
          <w:p w14:paraId="4FA51C2E" w14:textId="134CF44D"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 </w:t>
            </w:r>
          </w:p>
        </w:tc>
        <w:tc>
          <w:tcPr>
            <w:tcW w:w="589" w:type="dxa"/>
            <w:noWrap/>
            <w:tcMar>
              <w:top w:w="20" w:type="dxa"/>
              <w:left w:w="20" w:type="dxa"/>
              <w:bottom w:w="0" w:type="dxa"/>
              <w:right w:w="20" w:type="dxa"/>
            </w:tcMar>
            <w:vAlign w:val="bottom"/>
          </w:tcPr>
          <w:p w14:paraId="0C3703BB" w14:textId="107E1F76"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 </w:t>
            </w:r>
          </w:p>
        </w:tc>
        <w:tc>
          <w:tcPr>
            <w:tcW w:w="801" w:type="dxa"/>
            <w:noWrap/>
            <w:tcMar>
              <w:top w:w="20" w:type="dxa"/>
              <w:left w:w="20" w:type="dxa"/>
              <w:bottom w:w="0" w:type="dxa"/>
              <w:right w:w="20" w:type="dxa"/>
            </w:tcMar>
            <w:vAlign w:val="bottom"/>
          </w:tcPr>
          <w:p w14:paraId="3596C971" w14:textId="27C71C15"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 </w:t>
            </w:r>
          </w:p>
        </w:tc>
        <w:tc>
          <w:tcPr>
            <w:tcW w:w="626" w:type="dxa"/>
            <w:vAlign w:val="bottom"/>
          </w:tcPr>
          <w:p w14:paraId="74BAC9D7" w14:textId="6DCF5784"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963,686 </w:t>
            </w:r>
          </w:p>
        </w:tc>
        <w:tc>
          <w:tcPr>
            <w:tcW w:w="728" w:type="dxa"/>
            <w:vAlign w:val="bottom"/>
          </w:tcPr>
          <w:p w14:paraId="3CDE3C7C" w14:textId="03DD9375"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9,214 </w:t>
            </w:r>
          </w:p>
        </w:tc>
        <w:tc>
          <w:tcPr>
            <w:tcW w:w="756" w:type="dxa"/>
            <w:vAlign w:val="bottom"/>
          </w:tcPr>
          <w:p w14:paraId="34C332CB" w14:textId="3D556A05" w:rsidR="00980409" w:rsidRPr="00A53232" w:rsidRDefault="00980409" w:rsidP="00980409">
            <w:pPr>
              <w:ind w:left="-1554" w:right="22"/>
              <w:jc w:val="right"/>
              <w:rPr>
                <w:rFonts w:eastAsia="Arial Unicode MS"/>
                <w:b/>
                <w:bCs/>
                <w:sz w:val="11"/>
                <w:szCs w:val="11"/>
              </w:rPr>
            </w:pPr>
            <w:r w:rsidRPr="00A53232">
              <w:rPr>
                <w:rFonts w:eastAsia="Arial Unicode MS"/>
                <w:b/>
                <w:bCs/>
                <w:sz w:val="11"/>
                <w:szCs w:val="11"/>
              </w:rPr>
              <w:t xml:space="preserve">                       972,900 </w:t>
            </w:r>
          </w:p>
        </w:tc>
      </w:tr>
      <w:tr w:rsidR="00980409" w:rsidRPr="007C0BA6" w14:paraId="56B576AF" w14:textId="77777777" w:rsidTr="00677268">
        <w:trPr>
          <w:trHeight w:val="141"/>
        </w:trPr>
        <w:tc>
          <w:tcPr>
            <w:tcW w:w="362" w:type="dxa"/>
            <w:noWrap/>
            <w:tcMar>
              <w:top w:w="20" w:type="dxa"/>
              <w:left w:w="20" w:type="dxa"/>
              <w:bottom w:w="0" w:type="dxa"/>
              <w:right w:w="20" w:type="dxa"/>
            </w:tcMar>
            <w:vAlign w:val="bottom"/>
          </w:tcPr>
          <w:p w14:paraId="3E3FB3EA" w14:textId="77777777" w:rsidR="00980409" w:rsidRPr="007C0BA6" w:rsidRDefault="00980409" w:rsidP="00980409">
            <w:pPr>
              <w:spacing w:line="192" w:lineRule="auto"/>
              <w:ind w:right="-30"/>
              <w:rPr>
                <w:rFonts w:eastAsia="Arial Unicode MS"/>
                <w:b/>
                <w:bCs/>
                <w:sz w:val="12"/>
                <w:szCs w:val="12"/>
              </w:rPr>
            </w:pPr>
            <w:r w:rsidRPr="007C0BA6">
              <w:rPr>
                <w:b/>
                <w:bCs/>
                <w:sz w:val="12"/>
                <w:szCs w:val="12"/>
              </w:rPr>
              <w:t>II.</w:t>
            </w:r>
          </w:p>
        </w:tc>
        <w:tc>
          <w:tcPr>
            <w:tcW w:w="2332" w:type="dxa"/>
            <w:noWrap/>
            <w:tcMar>
              <w:top w:w="20" w:type="dxa"/>
              <w:left w:w="20" w:type="dxa"/>
              <w:bottom w:w="0" w:type="dxa"/>
              <w:right w:w="20" w:type="dxa"/>
            </w:tcMar>
            <w:vAlign w:val="bottom"/>
          </w:tcPr>
          <w:p w14:paraId="2CE5E423" w14:textId="77777777" w:rsidR="00980409" w:rsidRPr="007C0BA6" w:rsidRDefault="00980409" w:rsidP="00980409">
            <w:pPr>
              <w:spacing w:line="192" w:lineRule="auto"/>
              <w:jc w:val="both"/>
              <w:rPr>
                <w:rFonts w:eastAsia="Arial Unicode MS"/>
                <w:b/>
                <w:sz w:val="12"/>
                <w:szCs w:val="12"/>
              </w:rPr>
            </w:pPr>
            <w:r w:rsidRPr="007C0BA6">
              <w:rPr>
                <w:b/>
                <w:sz w:val="12"/>
                <w:szCs w:val="12"/>
              </w:rPr>
              <w:t>Increase/Decrease due to the Merger</w:t>
            </w:r>
          </w:p>
        </w:tc>
        <w:tc>
          <w:tcPr>
            <w:tcW w:w="473" w:type="dxa"/>
          </w:tcPr>
          <w:p w14:paraId="0A6DDB2D"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337DF343" w14:textId="40DCB0AE" w:rsidR="00980409" w:rsidRPr="00A53232" w:rsidRDefault="00980409" w:rsidP="00980409">
            <w:pPr>
              <w:ind w:left="-1554" w:right="22"/>
              <w:jc w:val="right"/>
              <w:rPr>
                <w:b/>
                <w:sz w:val="11"/>
                <w:szCs w:val="11"/>
              </w:rPr>
            </w:pPr>
            <w:r w:rsidRPr="00A53232">
              <w:rPr>
                <w:b/>
                <w:sz w:val="11"/>
                <w:szCs w:val="11"/>
              </w:rPr>
              <w:t>-</w:t>
            </w:r>
          </w:p>
        </w:tc>
        <w:tc>
          <w:tcPr>
            <w:tcW w:w="669" w:type="dxa"/>
            <w:vAlign w:val="bottom"/>
          </w:tcPr>
          <w:p w14:paraId="01EA27BC" w14:textId="677AD137"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0F031B56" w14:textId="7244CC8E" w:rsidR="00980409" w:rsidRPr="00A53232" w:rsidRDefault="00980409" w:rsidP="00980409">
            <w:pPr>
              <w:ind w:left="-1554" w:right="22"/>
              <w:jc w:val="right"/>
              <w:rPr>
                <w:b/>
                <w:sz w:val="11"/>
                <w:szCs w:val="11"/>
              </w:rPr>
            </w:pPr>
            <w:r w:rsidRPr="00A53232">
              <w:rPr>
                <w:b/>
                <w:sz w:val="11"/>
                <w:szCs w:val="11"/>
              </w:rPr>
              <w:t>-</w:t>
            </w:r>
          </w:p>
        </w:tc>
        <w:tc>
          <w:tcPr>
            <w:tcW w:w="707" w:type="dxa"/>
            <w:noWrap/>
            <w:tcMar>
              <w:top w:w="20" w:type="dxa"/>
              <w:left w:w="20" w:type="dxa"/>
              <w:bottom w:w="0" w:type="dxa"/>
              <w:right w:w="20" w:type="dxa"/>
            </w:tcMar>
            <w:vAlign w:val="bottom"/>
          </w:tcPr>
          <w:p w14:paraId="053C6307" w14:textId="4384113C" w:rsidR="00980409" w:rsidRPr="00A53232" w:rsidRDefault="00980409" w:rsidP="00980409">
            <w:pPr>
              <w:ind w:left="-1554" w:right="22"/>
              <w:jc w:val="right"/>
              <w:rPr>
                <w:b/>
                <w:sz w:val="11"/>
                <w:szCs w:val="11"/>
              </w:rPr>
            </w:pPr>
            <w:r w:rsidRPr="00A53232">
              <w:rPr>
                <w:b/>
                <w:sz w:val="11"/>
                <w:szCs w:val="11"/>
              </w:rPr>
              <w:t>-</w:t>
            </w:r>
          </w:p>
        </w:tc>
        <w:tc>
          <w:tcPr>
            <w:tcW w:w="602" w:type="dxa"/>
            <w:noWrap/>
            <w:tcMar>
              <w:top w:w="20" w:type="dxa"/>
              <w:left w:w="20" w:type="dxa"/>
              <w:bottom w:w="0" w:type="dxa"/>
              <w:right w:w="20" w:type="dxa"/>
            </w:tcMar>
            <w:vAlign w:val="bottom"/>
          </w:tcPr>
          <w:p w14:paraId="78AFB12C" w14:textId="60C9E391"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072CD694" w14:textId="059F40A1" w:rsidR="00980409" w:rsidRPr="00A53232" w:rsidRDefault="00980409" w:rsidP="00980409">
            <w:pPr>
              <w:ind w:left="-1554" w:right="22"/>
              <w:jc w:val="right"/>
              <w:rPr>
                <w:b/>
                <w:sz w:val="11"/>
                <w:szCs w:val="11"/>
              </w:rPr>
            </w:pPr>
            <w:r w:rsidRPr="00A53232">
              <w:rPr>
                <w:b/>
                <w:sz w:val="11"/>
                <w:szCs w:val="11"/>
              </w:rPr>
              <w:t>-</w:t>
            </w:r>
          </w:p>
        </w:tc>
        <w:tc>
          <w:tcPr>
            <w:tcW w:w="821" w:type="dxa"/>
            <w:noWrap/>
            <w:tcMar>
              <w:top w:w="20" w:type="dxa"/>
              <w:left w:w="20" w:type="dxa"/>
              <w:bottom w:w="0" w:type="dxa"/>
              <w:right w:w="20" w:type="dxa"/>
            </w:tcMar>
            <w:vAlign w:val="bottom"/>
          </w:tcPr>
          <w:p w14:paraId="5E30AD54" w14:textId="2DE83CFA" w:rsidR="00980409" w:rsidRPr="00A53232" w:rsidRDefault="00980409" w:rsidP="00980409">
            <w:pPr>
              <w:ind w:left="-1554" w:right="22"/>
              <w:jc w:val="right"/>
              <w:rPr>
                <w:b/>
                <w:sz w:val="11"/>
                <w:szCs w:val="11"/>
              </w:rPr>
            </w:pPr>
            <w:r w:rsidRPr="00A53232">
              <w:rPr>
                <w:b/>
                <w:sz w:val="11"/>
                <w:szCs w:val="11"/>
              </w:rPr>
              <w:t>-</w:t>
            </w:r>
          </w:p>
        </w:tc>
        <w:tc>
          <w:tcPr>
            <w:tcW w:w="648" w:type="dxa"/>
            <w:noWrap/>
            <w:tcMar>
              <w:top w:w="20" w:type="dxa"/>
              <w:left w:w="20" w:type="dxa"/>
              <w:bottom w:w="0" w:type="dxa"/>
              <w:right w:w="20" w:type="dxa"/>
            </w:tcMar>
            <w:vAlign w:val="bottom"/>
          </w:tcPr>
          <w:p w14:paraId="0C7646E3" w14:textId="3746B8B3" w:rsidR="00980409" w:rsidRPr="00A53232" w:rsidRDefault="00980409" w:rsidP="00980409">
            <w:pPr>
              <w:ind w:left="-1554" w:right="22"/>
              <w:jc w:val="right"/>
              <w:rPr>
                <w:b/>
                <w:sz w:val="11"/>
                <w:szCs w:val="11"/>
              </w:rPr>
            </w:pPr>
            <w:r w:rsidRPr="00A53232">
              <w:rPr>
                <w:b/>
                <w:sz w:val="11"/>
                <w:szCs w:val="11"/>
              </w:rPr>
              <w:t>-</w:t>
            </w:r>
          </w:p>
        </w:tc>
        <w:tc>
          <w:tcPr>
            <w:tcW w:w="617" w:type="dxa"/>
            <w:noWrap/>
            <w:tcMar>
              <w:top w:w="20" w:type="dxa"/>
              <w:left w:w="20" w:type="dxa"/>
              <w:bottom w:w="0" w:type="dxa"/>
              <w:right w:w="20" w:type="dxa"/>
            </w:tcMar>
            <w:vAlign w:val="bottom"/>
          </w:tcPr>
          <w:p w14:paraId="308A1E00" w14:textId="3C9E56F0" w:rsidR="00980409" w:rsidRPr="00A53232" w:rsidRDefault="00980409" w:rsidP="00980409">
            <w:pPr>
              <w:ind w:left="-1554" w:right="22"/>
              <w:jc w:val="right"/>
              <w:rPr>
                <w:b/>
                <w:sz w:val="11"/>
                <w:szCs w:val="11"/>
              </w:rPr>
            </w:pPr>
            <w:r w:rsidRPr="00A53232">
              <w:rPr>
                <w:b/>
                <w:sz w:val="11"/>
                <w:szCs w:val="11"/>
              </w:rPr>
              <w:t>-</w:t>
            </w:r>
          </w:p>
        </w:tc>
        <w:tc>
          <w:tcPr>
            <w:tcW w:w="642" w:type="dxa"/>
            <w:noWrap/>
            <w:tcMar>
              <w:top w:w="20" w:type="dxa"/>
              <w:left w:w="20" w:type="dxa"/>
              <w:bottom w:w="0" w:type="dxa"/>
              <w:right w:w="20" w:type="dxa"/>
            </w:tcMar>
            <w:vAlign w:val="bottom"/>
          </w:tcPr>
          <w:p w14:paraId="3DADADEE" w14:textId="62E72DFB" w:rsidR="00980409" w:rsidRPr="00A53232" w:rsidRDefault="00980409" w:rsidP="00980409">
            <w:pPr>
              <w:ind w:left="-1554" w:right="22"/>
              <w:jc w:val="right"/>
              <w:rPr>
                <w:b/>
                <w:sz w:val="11"/>
                <w:szCs w:val="11"/>
              </w:rPr>
            </w:pPr>
            <w:r w:rsidRPr="00A53232">
              <w:rPr>
                <w:b/>
                <w:sz w:val="11"/>
                <w:szCs w:val="11"/>
              </w:rPr>
              <w:t>-</w:t>
            </w:r>
          </w:p>
        </w:tc>
        <w:tc>
          <w:tcPr>
            <w:tcW w:w="732" w:type="dxa"/>
            <w:vAlign w:val="bottom"/>
          </w:tcPr>
          <w:p w14:paraId="4AF66BB0" w14:textId="6285D3CE" w:rsidR="00980409" w:rsidRPr="00A53232" w:rsidRDefault="00980409" w:rsidP="00980409">
            <w:pPr>
              <w:ind w:left="-1554" w:right="22"/>
              <w:jc w:val="right"/>
              <w:rPr>
                <w:b/>
                <w:sz w:val="11"/>
                <w:szCs w:val="11"/>
              </w:rPr>
            </w:pPr>
            <w:r w:rsidRPr="00A53232">
              <w:rPr>
                <w:b/>
                <w:sz w:val="11"/>
                <w:szCs w:val="11"/>
              </w:rPr>
              <w:t>-</w:t>
            </w:r>
          </w:p>
        </w:tc>
        <w:tc>
          <w:tcPr>
            <w:tcW w:w="880" w:type="dxa"/>
            <w:vAlign w:val="bottom"/>
          </w:tcPr>
          <w:p w14:paraId="6A8E0BD0" w14:textId="0E238B26" w:rsidR="00980409" w:rsidRPr="00A53232" w:rsidRDefault="00980409" w:rsidP="00980409">
            <w:pPr>
              <w:ind w:left="-1554" w:right="22"/>
              <w:jc w:val="right"/>
              <w:rPr>
                <w:b/>
                <w:sz w:val="11"/>
                <w:szCs w:val="11"/>
              </w:rPr>
            </w:pPr>
            <w:r w:rsidRPr="00A53232">
              <w:rPr>
                <w:b/>
                <w:sz w:val="11"/>
                <w:szCs w:val="11"/>
              </w:rPr>
              <w:t>-</w:t>
            </w:r>
          </w:p>
        </w:tc>
        <w:tc>
          <w:tcPr>
            <w:tcW w:w="722" w:type="dxa"/>
            <w:noWrap/>
            <w:tcMar>
              <w:top w:w="20" w:type="dxa"/>
              <w:left w:w="20" w:type="dxa"/>
              <w:bottom w:w="0" w:type="dxa"/>
              <w:right w:w="20" w:type="dxa"/>
            </w:tcMar>
            <w:vAlign w:val="bottom"/>
          </w:tcPr>
          <w:p w14:paraId="66681256" w14:textId="3A9E750F" w:rsidR="00980409" w:rsidRPr="00A53232" w:rsidRDefault="00980409" w:rsidP="00980409">
            <w:pPr>
              <w:ind w:left="-1554" w:right="22"/>
              <w:jc w:val="right"/>
              <w:rPr>
                <w:b/>
                <w:sz w:val="11"/>
                <w:szCs w:val="11"/>
              </w:rPr>
            </w:pPr>
            <w:r w:rsidRPr="00A53232">
              <w:rPr>
                <w:b/>
                <w:sz w:val="11"/>
                <w:szCs w:val="11"/>
              </w:rPr>
              <w:t>-</w:t>
            </w:r>
          </w:p>
        </w:tc>
        <w:tc>
          <w:tcPr>
            <w:tcW w:w="589" w:type="dxa"/>
            <w:noWrap/>
            <w:tcMar>
              <w:top w:w="20" w:type="dxa"/>
              <w:left w:w="20" w:type="dxa"/>
              <w:bottom w:w="0" w:type="dxa"/>
              <w:right w:w="20" w:type="dxa"/>
            </w:tcMar>
            <w:vAlign w:val="bottom"/>
          </w:tcPr>
          <w:p w14:paraId="41945D09" w14:textId="79A7CAFA" w:rsidR="00980409" w:rsidRPr="00A53232" w:rsidRDefault="00980409" w:rsidP="00980409">
            <w:pPr>
              <w:ind w:left="-1554" w:right="22"/>
              <w:jc w:val="right"/>
              <w:rPr>
                <w:b/>
                <w:sz w:val="11"/>
                <w:szCs w:val="11"/>
              </w:rPr>
            </w:pPr>
            <w:r w:rsidRPr="00A53232">
              <w:rPr>
                <w:b/>
                <w:sz w:val="11"/>
                <w:szCs w:val="11"/>
              </w:rPr>
              <w:t>-</w:t>
            </w:r>
          </w:p>
        </w:tc>
        <w:tc>
          <w:tcPr>
            <w:tcW w:w="801" w:type="dxa"/>
            <w:noWrap/>
            <w:tcMar>
              <w:top w:w="20" w:type="dxa"/>
              <w:left w:w="20" w:type="dxa"/>
              <w:bottom w:w="0" w:type="dxa"/>
              <w:right w:w="20" w:type="dxa"/>
            </w:tcMar>
            <w:vAlign w:val="bottom"/>
          </w:tcPr>
          <w:p w14:paraId="73C1FC68" w14:textId="12D0253E" w:rsidR="00980409" w:rsidRPr="00A53232" w:rsidRDefault="00980409" w:rsidP="00980409">
            <w:pPr>
              <w:ind w:left="-1554" w:right="22"/>
              <w:jc w:val="right"/>
              <w:rPr>
                <w:b/>
                <w:sz w:val="11"/>
                <w:szCs w:val="11"/>
              </w:rPr>
            </w:pPr>
            <w:r w:rsidRPr="00A53232">
              <w:rPr>
                <w:b/>
                <w:sz w:val="11"/>
                <w:szCs w:val="11"/>
              </w:rPr>
              <w:t>-</w:t>
            </w:r>
          </w:p>
        </w:tc>
        <w:tc>
          <w:tcPr>
            <w:tcW w:w="626" w:type="dxa"/>
            <w:vAlign w:val="bottom"/>
          </w:tcPr>
          <w:p w14:paraId="73FD0F53" w14:textId="4395AC7D" w:rsidR="00980409" w:rsidRPr="00A53232" w:rsidRDefault="00980409" w:rsidP="00980409">
            <w:pPr>
              <w:ind w:left="-1554" w:right="22"/>
              <w:jc w:val="right"/>
              <w:rPr>
                <w:b/>
                <w:sz w:val="11"/>
                <w:szCs w:val="11"/>
              </w:rPr>
            </w:pPr>
            <w:r w:rsidRPr="00A53232">
              <w:rPr>
                <w:b/>
                <w:sz w:val="11"/>
                <w:szCs w:val="11"/>
              </w:rPr>
              <w:t>-</w:t>
            </w:r>
          </w:p>
        </w:tc>
        <w:tc>
          <w:tcPr>
            <w:tcW w:w="728" w:type="dxa"/>
            <w:vAlign w:val="bottom"/>
          </w:tcPr>
          <w:p w14:paraId="4E41D292" w14:textId="099AFC85" w:rsidR="00980409" w:rsidRPr="00A53232" w:rsidRDefault="00980409" w:rsidP="00980409">
            <w:pPr>
              <w:ind w:left="-1554" w:right="22"/>
              <w:jc w:val="right"/>
              <w:rPr>
                <w:b/>
                <w:sz w:val="11"/>
                <w:szCs w:val="11"/>
              </w:rPr>
            </w:pPr>
            <w:r w:rsidRPr="00A53232">
              <w:rPr>
                <w:b/>
                <w:sz w:val="11"/>
                <w:szCs w:val="11"/>
              </w:rPr>
              <w:t>-</w:t>
            </w:r>
          </w:p>
        </w:tc>
        <w:tc>
          <w:tcPr>
            <w:tcW w:w="756" w:type="dxa"/>
            <w:vAlign w:val="bottom"/>
          </w:tcPr>
          <w:p w14:paraId="4E3808C6" w14:textId="4B569782" w:rsidR="00980409" w:rsidRPr="00A53232" w:rsidRDefault="00980409" w:rsidP="00980409">
            <w:pPr>
              <w:ind w:left="-1554" w:right="22"/>
              <w:jc w:val="right"/>
              <w:rPr>
                <w:b/>
                <w:sz w:val="11"/>
                <w:szCs w:val="11"/>
              </w:rPr>
            </w:pPr>
            <w:r w:rsidRPr="00A53232">
              <w:rPr>
                <w:b/>
                <w:sz w:val="11"/>
                <w:szCs w:val="11"/>
              </w:rPr>
              <w:t>-</w:t>
            </w:r>
          </w:p>
        </w:tc>
      </w:tr>
      <w:tr w:rsidR="00980409" w:rsidRPr="007C0BA6" w14:paraId="5536B379" w14:textId="77777777" w:rsidTr="00677268">
        <w:trPr>
          <w:trHeight w:val="80"/>
        </w:trPr>
        <w:tc>
          <w:tcPr>
            <w:tcW w:w="362" w:type="dxa"/>
            <w:noWrap/>
            <w:tcMar>
              <w:top w:w="20" w:type="dxa"/>
              <w:left w:w="20" w:type="dxa"/>
              <w:bottom w:w="0" w:type="dxa"/>
              <w:right w:w="20" w:type="dxa"/>
            </w:tcMar>
            <w:vAlign w:val="bottom"/>
          </w:tcPr>
          <w:p w14:paraId="0A9700DA" w14:textId="77777777" w:rsidR="00980409" w:rsidRPr="007C0BA6" w:rsidRDefault="00980409" w:rsidP="00980409">
            <w:pPr>
              <w:spacing w:line="192" w:lineRule="auto"/>
              <w:ind w:right="-30"/>
              <w:rPr>
                <w:b/>
                <w:bCs/>
                <w:sz w:val="12"/>
                <w:szCs w:val="12"/>
              </w:rPr>
            </w:pPr>
            <w:r w:rsidRPr="007C0BA6">
              <w:rPr>
                <w:b/>
                <w:bCs/>
                <w:sz w:val="12"/>
                <w:szCs w:val="12"/>
              </w:rPr>
              <w:t>III.</w:t>
            </w:r>
          </w:p>
        </w:tc>
        <w:tc>
          <w:tcPr>
            <w:tcW w:w="2332" w:type="dxa"/>
            <w:noWrap/>
            <w:tcMar>
              <w:top w:w="20" w:type="dxa"/>
              <w:left w:w="20" w:type="dxa"/>
              <w:bottom w:w="0" w:type="dxa"/>
              <w:right w:w="20" w:type="dxa"/>
            </w:tcMar>
            <w:vAlign w:val="bottom"/>
          </w:tcPr>
          <w:p w14:paraId="5E086689" w14:textId="77777777" w:rsidR="00980409" w:rsidRPr="007C0BA6" w:rsidRDefault="00980409" w:rsidP="00980409">
            <w:pPr>
              <w:spacing w:line="192" w:lineRule="auto"/>
              <w:jc w:val="both"/>
              <w:rPr>
                <w:b/>
                <w:sz w:val="12"/>
                <w:szCs w:val="12"/>
              </w:rPr>
            </w:pPr>
            <w:r w:rsidRPr="007C0BA6">
              <w:rPr>
                <w:b/>
                <w:sz w:val="12"/>
                <w:szCs w:val="12"/>
              </w:rPr>
              <w:t>Marketable Securities Valuation Differences</w:t>
            </w:r>
          </w:p>
        </w:tc>
        <w:tc>
          <w:tcPr>
            <w:tcW w:w="473" w:type="dxa"/>
            <w:vAlign w:val="bottom"/>
          </w:tcPr>
          <w:p w14:paraId="03529095" w14:textId="77777777" w:rsidR="00980409" w:rsidRPr="007C0BA6" w:rsidRDefault="00980409" w:rsidP="00980409">
            <w:pPr>
              <w:autoSpaceDE w:val="0"/>
              <w:autoSpaceDN w:val="0"/>
              <w:adjustRightInd w:val="0"/>
              <w:jc w:val="center"/>
              <w:rPr>
                <w:sz w:val="12"/>
                <w:szCs w:val="12"/>
              </w:rPr>
            </w:pPr>
          </w:p>
        </w:tc>
        <w:tc>
          <w:tcPr>
            <w:tcW w:w="525" w:type="dxa"/>
            <w:noWrap/>
            <w:tcMar>
              <w:top w:w="20" w:type="dxa"/>
              <w:left w:w="20" w:type="dxa"/>
              <w:bottom w:w="0" w:type="dxa"/>
              <w:right w:w="20" w:type="dxa"/>
            </w:tcMar>
            <w:vAlign w:val="bottom"/>
          </w:tcPr>
          <w:p w14:paraId="11814C72" w14:textId="01B29908"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669" w:type="dxa"/>
            <w:vAlign w:val="bottom"/>
          </w:tcPr>
          <w:p w14:paraId="285E5A41" w14:textId="54B7E494"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536" w:type="dxa"/>
            <w:noWrap/>
            <w:tcMar>
              <w:top w:w="20" w:type="dxa"/>
              <w:left w:w="20" w:type="dxa"/>
              <w:bottom w:w="0" w:type="dxa"/>
              <w:right w:w="20" w:type="dxa"/>
            </w:tcMar>
            <w:vAlign w:val="bottom"/>
          </w:tcPr>
          <w:p w14:paraId="46B939DE" w14:textId="10387CFB"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707" w:type="dxa"/>
            <w:noWrap/>
            <w:tcMar>
              <w:top w:w="20" w:type="dxa"/>
              <w:left w:w="20" w:type="dxa"/>
              <w:bottom w:w="0" w:type="dxa"/>
              <w:right w:w="20" w:type="dxa"/>
            </w:tcMar>
            <w:vAlign w:val="bottom"/>
          </w:tcPr>
          <w:p w14:paraId="4AEDD3B6" w14:textId="68944CAB"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602" w:type="dxa"/>
            <w:noWrap/>
            <w:tcMar>
              <w:top w:w="20" w:type="dxa"/>
              <w:left w:w="20" w:type="dxa"/>
              <w:bottom w:w="0" w:type="dxa"/>
              <w:right w:w="20" w:type="dxa"/>
            </w:tcMar>
            <w:vAlign w:val="bottom"/>
          </w:tcPr>
          <w:p w14:paraId="20DFD3B2" w14:textId="7C9BB9CB"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536" w:type="dxa"/>
            <w:noWrap/>
            <w:tcMar>
              <w:top w:w="20" w:type="dxa"/>
              <w:left w:w="20" w:type="dxa"/>
              <w:bottom w:w="0" w:type="dxa"/>
              <w:right w:w="20" w:type="dxa"/>
            </w:tcMar>
            <w:vAlign w:val="bottom"/>
          </w:tcPr>
          <w:p w14:paraId="45C920B1" w14:textId="3DE3BC5B"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821" w:type="dxa"/>
            <w:noWrap/>
            <w:tcMar>
              <w:top w:w="20" w:type="dxa"/>
              <w:left w:w="20" w:type="dxa"/>
              <w:bottom w:w="0" w:type="dxa"/>
              <w:right w:w="20" w:type="dxa"/>
            </w:tcMar>
            <w:vAlign w:val="bottom"/>
          </w:tcPr>
          <w:p w14:paraId="4FF7F5A6" w14:textId="5FF92F6A"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648" w:type="dxa"/>
            <w:noWrap/>
            <w:tcMar>
              <w:top w:w="20" w:type="dxa"/>
              <w:left w:w="20" w:type="dxa"/>
              <w:bottom w:w="0" w:type="dxa"/>
              <w:right w:w="20" w:type="dxa"/>
            </w:tcMar>
            <w:vAlign w:val="bottom"/>
          </w:tcPr>
          <w:p w14:paraId="7697C8DA" w14:textId="1E943AEF"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617" w:type="dxa"/>
            <w:noWrap/>
            <w:tcMar>
              <w:top w:w="20" w:type="dxa"/>
              <w:left w:w="20" w:type="dxa"/>
              <w:bottom w:w="0" w:type="dxa"/>
              <w:right w:w="20" w:type="dxa"/>
            </w:tcMar>
            <w:vAlign w:val="bottom"/>
          </w:tcPr>
          <w:p w14:paraId="38015473" w14:textId="6889425D"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642" w:type="dxa"/>
            <w:noWrap/>
            <w:tcMar>
              <w:top w:w="20" w:type="dxa"/>
              <w:left w:w="20" w:type="dxa"/>
              <w:bottom w:w="0" w:type="dxa"/>
              <w:right w:w="20" w:type="dxa"/>
            </w:tcMar>
            <w:vAlign w:val="bottom"/>
          </w:tcPr>
          <w:p w14:paraId="26117FFE" w14:textId="18F4B79B"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732" w:type="dxa"/>
            <w:vAlign w:val="bottom"/>
          </w:tcPr>
          <w:p w14:paraId="0868004E" w14:textId="1945B174"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(21,283)</w:t>
            </w:r>
          </w:p>
        </w:tc>
        <w:tc>
          <w:tcPr>
            <w:tcW w:w="880" w:type="dxa"/>
            <w:vAlign w:val="bottom"/>
          </w:tcPr>
          <w:p w14:paraId="18E05953" w14:textId="46729A9F"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722" w:type="dxa"/>
            <w:noWrap/>
            <w:tcMar>
              <w:top w:w="20" w:type="dxa"/>
              <w:left w:w="20" w:type="dxa"/>
              <w:bottom w:w="0" w:type="dxa"/>
              <w:right w:w="20" w:type="dxa"/>
            </w:tcMar>
            <w:vAlign w:val="bottom"/>
          </w:tcPr>
          <w:p w14:paraId="71CF8656" w14:textId="3C69D641"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589" w:type="dxa"/>
            <w:noWrap/>
            <w:tcMar>
              <w:top w:w="20" w:type="dxa"/>
              <w:left w:w="20" w:type="dxa"/>
              <w:bottom w:w="0" w:type="dxa"/>
              <w:right w:w="20" w:type="dxa"/>
            </w:tcMar>
            <w:vAlign w:val="bottom"/>
          </w:tcPr>
          <w:p w14:paraId="4161927E" w14:textId="074D2668"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801" w:type="dxa"/>
            <w:noWrap/>
            <w:tcMar>
              <w:top w:w="20" w:type="dxa"/>
              <w:left w:w="20" w:type="dxa"/>
              <w:bottom w:w="0" w:type="dxa"/>
              <w:right w:w="20" w:type="dxa"/>
            </w:tcMar>
            <w:vAlign w:val="bottom"/>
          </w:tcPr>
          <w:p w14:paraId="573DD259" w14:textId="2F83EB4A"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626" w:type="dxa"/>
            <w:vAlign w:val="bottom"/>
          </w:tcPr>
          <w:p w14:paraId="79BB93B8" w14:textId="0939B61F"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(21,283)</w:t>
            </w:r>
          </w:p>
        </w:tc>
        <w:tc>
          <w:tcPr>
            <w:tcW w:w="728" w:type="dxa"/>
            <w:vAlign w:val="bottom"/>
          </w:tcPr>
          <w:p w14:paraId="2C1EEF8F" w14:textId="2A58DE1F"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 </w:t>
            </w:r>
          </w:p>
        </w:tc>
        <w:tc>
          <w:tcPr>
            <w:tcW w:w="756" w:type="dxa"/>
            <w:vAlign w:val="bottom"/>
          </w:tcPr>
          <w:p w14:paraId="39D90236" w14:textId="066DEE12" w:rsidR="00980409" w:rsidRPr="00A53232" w:rsidRDefault="00980409" w:rsidP="00980409">
            <w:pPr>
              <w:ind w:left="-1554" w:right="22"/>
              <w:jc w:val="right"/>
              <w:rPr>
                <w:rFonts w:eastAsia="Arial Unicode MS"/>
                <w:b/>
                <w:sz w:val="11"/>
                <w:szCs w:val="11"/>
              </w:rPr>
            </w:pPr>
            <w:r w:rsidRPr="00A53232">
              <w:rPr>
                <w:rFonts w:eastAsia="Arial Unicode MS"/>
                <w:b/>
                <w:sz w:val="11"/>
                <w:szCs w:val="11"/>
              </w:rPr>
              <w:t xml:space="preserve">                        (21,283)</w:t>
            </w:r>
          </w:p>
        </w:tc>
      </w:tr>
      <w:tr w:rsidR="00980409" w:rsidRPr="007C0BA6" w14:paraId="69A595B2" w14:textId="77777777" w:rsidTr="00677268">
        <w:trPr>
          <w:trHeight w:val="80"/>
        </w:trPr>
        <w:tc>
          <w:tcPr>
            <w:tcW w:w="362" w:type="dxa"/>
            <w:noWrap/>
            <w:tcMar>
              <w:top w:w="20" w:type="dxa"/>
              <w:left w:w="20" w:type="dxa"/>
              <w:bottom w:w="0" w:type="dxa"/>
              <w:right w:w="20" w:type="dxa"/>
            </w:tcMar>
            <w:vAlign w:val="bottom"/>
          </w:tcPr>
          <w:p w14:paraId="2E900B57" w14:textId="77777777" w:rsidR="00980409" w:rsidRPr="007C0BA6" w:rsidRDefault="00980409" w:rsidP="00980409">
            <w:pPr>
              <w:spacing w:line="192" w:lineRule="auto"/>
              <w:ind w:right="-30"/>
              <w:rPr>
                <w:b/>
                <w:bCs/>
                <w:sz w:val="12"/>
                <w:szCs w:val="12"/>
              </w:rPr>
            </w:pPr>
            <w:r w:rsidRPr="007C0BA6">
              <w:rPr>
                <w:b/>
                <w:bCs/>
                <w:sz w:val="12"/>
                <w:szCs w:val="12"/>
              </w:rPr>
              <w:t>IV.</w:t>
            </w:r>
          </w:p>
        </w:tc>
        <w:tc>
          <w:tcPr>
            <w:tcW w:w="2332" w:type="dxa"/>
            <w:noWrap/>
            <w:tcMar>
              <w:top w:w="20" w:type="dxa"/>
              <w:left w:w="20" w:type="dxa"/>
              <w:bottom w:w="0" w:type="dxa"/>
              <w:right w:w="20" w:type="dxa"/>
            </w:tcMar>
            <w:vAlign w:val="bottom"/>
          </w:tcPr>
          <w:p w14:paraId="670FCF09" w14:textId="77777777" w:rsidR="00980409" w:rsidRPr="007C0BA6" w:rsidRDefault="00980409" w:rsidP="00980409">
            <w:pPr>
              <w:spacing w:line="192" w:lineRule="auto"/>
              <w:rPr>
                <w:b/>
                <w:sz w:val="12"/>
                <w:szCs w:val="12"/>
              </w:rPr>
            </w:pPr>
            <w:r w:rsidRPr="007C0BA6">
              <w:rPr>
                <w:b/>
                <w:sz w:val="12"/>
                <w:szCs w:val="12"/>
              </w:rPr>
              <w:t>Hedging Reserves (Effective Portion)</w:t>
            </w:r>
          </w:p>
        </w:tc>
        <w:tc>
          <w:tcPr>
            <w:tcW w:w="473" w:type="dxa"/>
            <w:vAlign w:val="bottom"/>
          </w:tcPr>
          <w:p w14:paraId="64868294"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174C60B4" w14:textId="7F67DBC7" w:rsidR="00980409" w:rsidRPr="00A53232" w:rsidRDefault="00980409" w:rsidP="00980409">
            <w:pPr>
              <w:ind w:left="-1554" w:right="22"/>
              <w:jc w:val="right"/>
              <w:rPr>
                <w:b/>
                <w:sz w:val="11"/>
                <w:szCs w:val="11"/>
              </w:rPr>
            </w:pPr>
            <w:r w:rsidRPr="00A53232">
              <w:rPr>
                <w:b/>
                <w:sz w:val="11"/>
                <w:szCs w:val="11"/>
              </w:rPr>
              <w:t>-</w:t>
            </w:r>
          </w:p>
        </w:tc>
        <w:tc>
          <w:tcPr>
            <w:tcW w:w="669" w:type="dxa"/>
            <w:vAlign w:val="bottom"/>
          </w:tcPr>
          <w:p w14:paraId="6826934F" w14:textId="6E3F6073"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2AEE2733" w14:textId="6C4195F7" w:rsidR="00980409" w:rsidRPr="00A53232" w:rsidRDefault="00980409" w:rsidP="00980409">
            <w:pPr>
              <w:ind w:left="-1554" w:right="22"/>
              <w:jc w:val="right"/>
              <w:rPr>
                <w:b/>
                <w:sz w:val="11"/>
                <w:szCs w:val="11"/>
              </w:rPr>
            </w:pPr>
            <w:r w:rsidRPr="00A53232">
              <w:rPr>
                <w:b/>
                <w:sz w:val="11"/>
                <w:szCs w:val="11"/>
              </w:rPr>
              <w:t>-</w:t>
            </w:r>
          </w:p>
        </w:tc>
        <w:tc>
          <w:tcPr>
            <w:tcW w:w="707" w:type="dxa"/>
            <w:noWrap/>
            <w:tcMar>
              <w:top w:w="20" w:type="dxa"/>
              <w:left w:w="20" w:type="dxa"/>
              <w:bottom w:w="0" w:type="dxa"/>
              <w:right w:w="20" w:type="dxa"/>
            </w:tcMar>
            <w:vAlign w:val="bottom"/>
          </w:tcPr>
          <w:p w14:paraId="0D629FC7" w14:textId="7B0DFC05" w:rsidR="00980409" w:rsidRPr="00A53232" w:rsidRDefault="00980409" w:rsidP="00980409">
            <w:pPr>
              <w:ind w:left="-1554" w:right="22"/>
              <w:jc w:val="right"/>
              <w:rPr>
                <w:b/>
                <w:sz w:val="11"/>
                <w:szCs w:val="11"/>
              </w:rPr>
            </w:pPr>
            <w:r w:rsidRPr="00A53232">
              <w:rPr>
                <w:b/>
                <w:sz w:val="11"/>
                <w:szCs w:val="11"/>
              </w:rPr>
              <w:t>-</w:t>
            </w:r>
          </w:p>
        </w:tc>
        <w:tc>
          <w:tcPr>
            <w:tcW w:w="602" w:type="dxa"/>
            <w:noWrap/>
            <w:tcMar>
              <w:top w:w="20" w:type="dxa"/>
              <w:left w:w="20" w:type="dxa"/>
              <w:bottom w:w="0" w:type="dxa"/>
              <w:right w:w="20" w:type="dxa"/>
            </w:tcMar>
            <w:vAlign w:val="bottom"/>
          </w:tcPr>
          <w:p w14:paraId="1B985D60" w14:textId="6B1AF599"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3F42FBAD" w14:textId="13D3A4FA" w:rsidR="00980409" w:rsidRPr="00A53232" w:rsidRDefault="00980409" w:rsidP="00980409">
            <w:pPr>
              <w:ind w:left="-1554" w:right="22"/>
              <w:jc w:val="right"/>
              <w:rPr>
                <w:b/>
                <w:sz w:val="11"/>
                <w:szCs w:val="11"/>
              </w:rPr>
            </w:pPr>
            <w:r w:rsidRPr="00A53232">
              <w:rPr>
                <w:b/>
                <w:sz w:val="11"/>
                <w:szCs w:val="11"/>
              </w:rPr>
              <w:t>-</w:t>
            </w:r>
          </w:p>
        </w:tc>
        <w:tc>
          <w:tcPr>
            <w:tcW w:w="821" w:type="dxa"/>
            <w:noWrap/>
            <w:tcMar>
              <w:top w:w="20" w:type="dxa"/>
              <w:left w:w="20" w:type="dxa"/>
              <w:bottom w:w="0" w:type="dxa"/>
              <w:right w:w="20" w:type="dxa"/>
            </w:tcMar>
            <w:vAlign w:val="bottom"/>
          </w:tcPr>
          <w:p w14:paraId="07BDE07C" w14:textId="1DFDC211" w:rsidR="00980409" w:rsidRPr="00A53232" w:rsidRDefault="00980409" w:rsidP="00980409">
            <w:pPr>
              <w:ind w:left="-1554" w:right="22"/>
              <w:jc w:val="right"/>
              <w:rPr>
                <w:b/>
                <w:sz w:val="11"/>
                <w:szCs w:val="11"/>
              </w:rPr>
            </w:pPr>
            <w:r w:rsidRPr="00A53232">
              <w:rPr>
                <w:b/>
                <w:sz w:val="11"/>
                <w:szCs w:val="11"/>
              </w:rPr>
              <w:t>-</w:t>
            </w:r>
          </w:p>
        </w:tc>
        <w:tc>
          <w:tcPr>
            <w:tcW w:w="648" w:type="dxa"/>
            <w:noWrap/>
            <w:tcMar>
              <w:top w:w="20" w:type="dxa"/>
              <w:left w:w="20" w:type="dxa"/>
              <w:bottom w:w="0" w:type="dxa"/>
              <w:right w:w="20" w:type="dxa"/>
            </w:tcMar>
            <w:vAlign w:val="bottom"/>
          </w:tcPr>
          <w:p w14:paraId="1A59B736" w14:textId="55BD6A9F" w:rsidR="00980409" w:rsidRPr="00A53232" w:rsidRDefault="00980409" w:rsidP="00980409">
            <w:pPr>
              <w:ind w:left="-1554" w:right="22"/>
              <w:jc w:val="right"/>
              <w:rPr>
                <w:b/>
                <w:sz w:val="11"/>
                <w:szCs w:val="11"/>
              </w:rPr>
            </w:pPr>
            <w:r w:rsidRPr="00A53232">
              <w:rPr>
                <w:b/>
                <w:sz w:val="11"/>
                <w:szCs w:val="11"/>
              </w:rPr>
              <w:t>-</w:t>
            </w:r>
          </w:p>
        </w:tc>
        <w:tc>
          <w:tcPr>
            <w:tcW w:w="617" w:type="dxa"/>
            <w:noWrap/>
            <w:tcMar>
              <w:top w:w="20" w:type="dxa"/>
              <w:left w:w="20" w:type="dxa"/>
              <w:bottom w:w="0" w:type="dxa"/>
              <w:right w:w="20" w:type="dxa"/>
            </w:tcMar>
            <w:vAlign w:val="bottom"/>
          </w:tcPr>
          <w:p w14:paraId="7ED65500" w14:textId="2C54E81F" w:rsidR="00980409" w:rsidRPr="00A53232" w:rsidRDefault="00980409" w:rsidP="00980409">
            <w:pPr>
              <w:ind w:left="-1554" w:right="22"/>
              <w:jc w:val="right"/>
              <w:rPr>
                <w:b/>
                <w:sz w:val="11"/>
                <w:szCs w:val="11"/>
              </w:rPr>
            </w:pPr>
            <w:r w:rsidRPr="00A53232">
              <w:rPr>
                <w:b/>
                <w:sz w:val="11"/>
                <w:szCs w:val="11"/>
              </w:rPr>
              <w:t>-</w:t>
            </w:r>
          </w:p>
        </w:tc>
        <w:tc>
          <w:tcPr>
            <w:tcW w:w="642" w:type="dxa"/>
            <w:noWrap/>
            <w:tcMar>
              <w:top w:w="20" w:type="dxa"/>
              <w:left w:w="20" w:type="dxa"/>
              <w:bottom w:w="0" w:type="dxa"/>
              <w:right w:w="20" w:type="dxa"/>
            </w:tcMar>
            <w:vAlign w:val="bottom"/>
          </w:tcPr>
          <w:p w14:paraId="7F87DEA7" w14:textId="1D85F5A6" w:rsidR="00980409" w:rsidRPr="00A53232" w:rsidRDefault="00980409" w:rsidP="00980409">
            <w:pPr>
              <w:ind w:left="-1554" w:right="22"/>
              <w:jc w:val="right"/>
              <w:rPr>
                <w:b/>
                <w:sz w:val="11"/>
                <w:szCs w:val="11"/>
              </w:rPr>
            </w:pPr>
            <w:r w:rsidRPr="00A53232">
              <w:rPr>
                <w:b/>
                <w:sz w:val="11"/>
                <w:szCs w:val="11"/>
              </w:rPr>
              <w:t>-</w:t>
            </w:r>
          </w:p>
        </w:tc>
        <w:tc>
          <w:tcPr>
            <w:tcW w:w="732" w:type="dxa"/>
            <w:vAlign w:val="bottom"/>
          </w:tcPr>
          <w:p w14:paraId="1A759E09" w14:textId="6BE5207D" w:rsidR="00980409" w:rsidRPr="00A53232" w:rsidRDefault="00980409" w:rsidP="00980409">
            <w:pPr>
              <w:ind w:left="-1554" w:right="22"/>
              <w:jc w:val="right"/>
              <w:rPr>
                <w:b/>
                <w:sz w:val="11"/>
                <w:szCs w:val="11"/>
              </w:rPr>
            </w:pPr>
            <w:r w:rsidRPr="00A53232">
              <w:rPr>
                <w:b/>
                <w:sz w:val="11"/>
                <w:szCs w:val="11"/>
              </w:rPr>
              <w:t>-</w:t>
            </w:r>
          </w:p>
        </w:tc>
        <w:tc>
          <w:tcPr>
            <w:tcW w:w="880" w:type="dxa"/>
            <w:vAlign w:val="bottom"/>
          </w:tcPr>
          <w:p w14:paraId="2D3C925E" w14:textId="680AE933" w:rsidR="00980409" w:rsidRPr="00A53232" w:rsidRDefault="00980409" w:rsidP="00980409">
            <w:pPr>
              <w:ind w:left="-1554" w:right="22"/>
              <w:jc w:val="right"/>
              <w:rPr>
                <w:b/>
                <w:sz w:val="11"/>
                <w:szCs w:val="11"/>
              </w:rPr>
            </w:pPr>
            <w:r w:rsidRPr="00A53232">
              <w:rPr>
                <w:b/>
                <w:sz w:val="11"/>
                <w:szCs w:val="11"/>
              </w:rPr>
              <w:t>-</w:t>
            </w:r>
          </w:p>
        </w:tc>
        <w:tc>
          <w:tcPr>
            <w:tcW w:w="722" w:type="dxa"/>
            <w:noWrap/>
            <w:tcMar>
              <w:top w:w="20" w:type="dxa"/>
              <w:left w:w="20" w:type="dxa"/>
              <w:bottom w:w="0" w:type="dxa"/>
              <w:right w:w="20" w:type="dxa"/>
            </w:tcMar>
            <w:vAlign w:val="bottom"/>
          </w:tcPr>
          <w:p w14:paraId="07C7E47D" w14:textId="167F8927" w:rsidR="00980409" w:rsidRPr="00A53232" w:rsidRDefault="00980409" w:rsidP="00980409">
            <w:pPr>
              <w:ind w:left="-1554" w:right="22"/>
              <w:jc w:val="right"/>
              <w:rPr>
                <w:b/>
                <w:sz w:val="11"/>
                <w:szCs w:val="11"/>
              </w:rPr>
            </w:pPr>
            <w:r w:rsidRPr="00A53232">
              <w:rPr>
                <w:b/>
                <w:sz w:val="11"/>
                <w:szCs w:val="11"/>
              </w:rPr>
              <w:t>-</w:t>
            </w:r>
          </w:p>
        </w:tc>
        <w:tc>
          <w:tcPr>
            <w:tcW w:w="589" w:type="dxa"/>
            <w:noWrap/>
            <w:tcMar>
              <w:top w:w="20" w:type="dxa"/>
              <w:left w:w="20" w:type="dxa"/>
              <w:bottom w:w="0" w:type="dxa"/>
              <w:right w:w="20" w:type="dxa"/>
            </w:tcMar>
            <w:vAlign w:val="bottom"/>
          </w:tcPr>
          <w:p w14:paraId="1A9535B3" w14:textId="3D246096" w:rsidR="00980409" w:rsidRPr="00A53232" w:rsidRDefault="00980409" w:rsidP="00980409">
            <w:pPr>
              <w:ind w:left="-1554" w:right="22"/>
              <w:jc w:val="right"/>
              <w:rPr>
                <w:b/>
                <w:sz w:val="11"/>
                <w:szCs w:val="11"/>
              </w:rPr>
            </w:pPr>
            <w:r w:rsidRPr="00A53232">
              <w:rPr>
                <w:b/>
                <w:sz w:val="11"/>
                <w:szCs w:val="11"/>
              </w:rPr>
              <w:t>-</w:t>
            </w:r>
          </w:p>
        </w:tc>
        <w:tc>
          <w:tcPr>
            <w:tcW w:w="801" w:type="dxa"/>
            <w:noWrap/>
            <w:tcMar>
              <w:top w:w="20" w:type="dxa"/>
              <w:left w:w="20" w:type="dxa"/>
              <w:bottom w:w="0" w:type="dxa"/>
              <w:right w:w="20" w:type="dxa"/>
            </w:tcMar>
            <w:vAlign w:val="bottom"/>
          </w:tcPr>
          <w:p w14:paraId="6939E6E5" w14:textId="2F2D3134" w:rsidR="00980409" w:rsidRPr="00A53232" w:rsidRDefault="00980409" w:rsidP="00980409">
            <w:pPr>
              <w:ind w:left="-1554" w:right="22"/>
              <w:jc w:val="right"/>
              <w:rPr>
                <w:b/>
                <w:sz w:val="11"/>
                <w:szCs w:val="11"/>
              </w:rPr>
            </w:pPr>
            <w:r w:rsidRPr="00A53232">
              <w:rPr>
                <w:b/>
                <w:sz w:val="11"/>
                <w:szCs w:val="11"/>
              </w:rPr>
              <w:t>-</w:t>
            </w:r>
          </w:p>
        </w:tc>
        <w:tc>
          <w:tcPr>
            <w:tcW w:w="626" w:type="dxa"/>
            <w:vAlign w:val="bottom"/>
          </w:tcPr>
          <w:p w14:paraId="6D5BDB58" w14:textId="757B6934" w:rsidR="00980409" w:rsidRPr="00A53232" w:rsidRDefault="00980409" w:rsidP="00980409">
            <w:pPr>
              <w:ind w:left="-1554" w:right="22"/>
              <w:jc w:val="right"/>
              <w:rPr>
                <w:b/>
                <w:sz w:val="11"/>
                <w:szCs w:val="11"/>
              </w:rPr>
            </w:pPr>
            <w:r w:rsidRPr="00A53232">
              <w:rPr>
                <w:b/>
                <w:sz w:val="11"/>
                <w:szCs w:val="11"/>
              </w:rPr>
              <w:t>-</w:t>
            </w:r>
          </w:p>
        </w:tc>
        <w:tc>
          <w:tcPr>
            <w:tcW w:w="728" w:type="dxa"/>
            <w:vAlign w:val="bottom"/>
          </w:tcPr>
          <w:p w14:paraId="77FABE58" w14:textId="35A9C2D1" w:rsidR="00980409" w:rsidRPr="00A53232" w:rsidRDefault="00980409" w:rsidP="00980409">
            <w:pPr>
              <w:ind w:left="-1554" w:right="22"/>
              <w:jc w:val="right"/>
              <w:rPr>
                <w:b/>
                <w:sz w:val="11"/>
                <w:szCs w:val="11"/>
              </w:rPr>
            </w:pPr>
            <w:r w:rsidRPr="00A53232">
              <w:rPr>
                <w:b/>
                <w:sz w:val="11"/>
                <w:szCs w:val="11"/>
              </w:rPr>
              <w:t>-</w:t>
            </w:r>
          </w:p>
        </w:tc>
        <w:tc>
          <w:tcPr>
            <w:tcW w:w="756" w:type="dxa"/>
            <w:vAlign w:val="bottom"/>
          </w:tcPr>
          <w:p w14:paraId="69652E14" w14:textId="3B4C56B2" w:rsidR="00980409" w:rsidRPr="00A53232" w:rsidRDefault="00980409" w:rsidP="00980409">
            <w:pPr>
              <w:ind w:left="-1554" w:right="22"/>
              <w:jc w:val="right"/>
              <w:rPr>
                <w:b/>
                <w:sz w:val="11"/>
                <w:szCs w:val="11"/>
              </w:rPr>
            </w:pPr>
            <w:r w:rsidRPr="00A53232">
              <w:rPr>
                <w:b/>
                <w:sz w:val="11"/>
                <w:szCs w:val="11"/>
              </w:rPr>
              <w:t>-</w:t>
            </w:r>
          </w:p>
        </w:tc>
      </w:tr>
      <w:tr w:rsidR="00980409" w:rsidRPr="007C0BA6" w14:paraId="13AFBFB0" w14:textId="77777777" w:rsidTr="006C5DC4">
        <w:trPr>
          <w:trHeight w:val="48"/>
        </w:trPr>
        <w:tc>
          <w:tcPr>
            <w:tcW w:w="362" w:type="dxa"/>
            <w:noWrap/>
            <w:tcMar>
              <w:top w:w="20" w:type="dxa"/>
              <w:left w:w="20" w:type="dxa"/>
              <w:bottom w:w="0" w:type="dxa"/>
              <w:right w:w="20" w:type="dxa"/>
            </w:tcMar>
            <w:vAlign w:val="bottom"/>
          </w:tcPr>
          <w:p w14:paraId="106CC51A" w14:textId="77777777" w:rsidR="00980409" w:rsidRPr="007C0BA6" w:rsidRDefault="00980409" w:rsidP="00980409">
            <w:pPr>
              <w:spacing w:line="192" w:lineRule="auto"/>
              <w:ind w:right="-30"/>
              <w:rPr>
                <w:b/>
                <w:bCs/>
                <w:sz w:val="12"/>
                <w:szCs w:val="12"/>
              </w:rPr>
            </w:pPr>
            <w:r w:rsidRPr="007C0BA6">
              <w:rPr>
                <w:bCs/>
                <w:sz w:val="12"/>
                <w:szCs w:val="12"/>
              </w:rPr>
              <w:t>4.1</w:t>
            </w:r>
          </w:p>
        </w:tc>
        <w:tc>
          <w:tcPr>
            <w:tcW w:w="2332" w:type="dxa"/>
            <w:noWrap/>
            <w:tcMar>
              <w:top w:w="20" w:type="dxa"/>
              <w:left w:w="20" w:type="dxa"/>
              <w:bottom w:w="0" w:type="dxa"/>
              <w:right w:w="20" w:type="dxa"/>
            </w:tcMar>
            <w:vAlign w:val="bottom"/>
          </w:tcPr>
          <w:p w14:paraId="37D23E74" w14:textId="77777777" w:rsidR="00980409" w:rsidRPr="007C0BA6" w:rsidRDefault="00980409" w:rsidP="00980409">
            <w:pPr>
              <w:spacing w:line="192" w:lineRule="auto"/>
              <w:rPr>
                <w:b/>
                <w:sz w:val="12"/>
                <w:szCs w:val="12"/>
              </w:rPr>
            </w:pPr>
            <w:r w:rsidRPr="007C0BA6">
              <w:rPr>
                <w:sz w:val="12"/>
                <w:szCs w:val="12"/>
              </w:rPr>
              <w:t>Cash Flow Hedge</w:t>
            </w:r>
          </w:p>
        </w:tc>
        <w:tc>
          <w:tcPr>
            <w:tcW w:w="473" w:type="dxa"/>
            <w:vAlign w:val="bottom"/>
          </w:tcPr>
          <w:p w14:paraId="17B2B0F9"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3D3C0937" w14:textId="6C6E27C8" w:rsidR="00980409" w:rsidRPr="00A53232" w:rsidRDefault="00980409" w:rsidP="00980409">
            <w:pPr>
              <w:ind w:left="-1554" w:right="22"/>
              <w:jc w:val="right"/>
              <w:rPr>
                <w:b/>
                <w:sz w:val="11"/>
                <w:szCs w:val="11"/>
              </w:rPr>
            </w:pPr>
            <w:r w:rsidRPr="00A53232">
              <w:rPr>
                <w:b/>
                <w:sz w:val="11"/>
                <w:szCs w:val="11"/>
              </w:rPr>
              <w:t>-</w:t>
            </w:r>
          </w:p>
        </w:tc>
        <w:tc>
          <w:tcPr>
            <w:tcW w:w="669" w:type="dxa"/>
            <w:vAlign w:val="bottom"/>
          </w:tcPr>
          <w:p w14:paraId="433A44C5" w14:textId="65832777"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2D6CFF7A" w14:textId="263B3BF6" w:rsidR="00980409" w:rsidRPr="00A53232" w:rsidRDefault="00980409" w:rsidP="00980409">
            <w:pPr>
              <w:ind w:left="-1554" w:right="22"/>
              <w:jc w:val="right"/>
              <w:rPr>
                <w:b/>
                <w:sz w:val="11"/>
                <w:szCs w:val="11"/>
              </w:rPr>
            </w:pPr>
            <w:r w:rsidRPr="00A53232">
              <w:rPr>
                <w:b/>
                <w:sz w:val="11"/>
                <w:szCs w:val="11"/>
              </w:rPr>
              <w:t>-</w:t>
            </w:r>
          </w:p>
        </w:tc>
        <w:tc>
          <w:tcPr>
            <w:tcW w:w="707" w:type="dxa"/>
            <w:noWrap/>
            <w:tcMar>
              <w:top w:w="20" w:type="dxa"/>
              <w:left w:w="20" w:type="dxa"/>
              <w:bottom w:w="0" w:type="dxa"/>
              <w:right w:w="20" w:type="dxa"/>
            </w:tcMar>
            <w:vAlign w:val="bottom"/>
          </w:tcPr>
          <w:p w14:paraId="4991B0DA" w14:textId="1CAD06FD" w:rsidR="00980409" w:rsidRPr="00A53232" w:rsidRDefault="00980409" w:rsidP="00980409">
            <w:pPr>
              <w:ind w:left="-1554" w:right="22"/>
              <w:jc w:val="right"/>
              <w:rPr>
                <w:b/>
                <w:sz w:val="11"/>
                <w:szCs w:val="11"/>
              </w:rPr>
            </w:pPr>
            <w:r w:rsidRPr="00A53232">
              <w:rPr>
                <w:b/>
                <w:sz w:val="11"/>
                <w:szCs w:val="11"/>
              </w:rPr>
              <w:t>-</w:t>
            </w:r>
          </w:p>
        </w:tc>
        <w:tc>
          <w:tcPr>
            <w:tcW w:w="602" w:type="dxa"/>
            <w:noWrap/>
            <w:tcMar>
              <w:top w:w="20" w:type="dxa"/>
              <w:left w:w="20" w:type="dxa"/>
              <w:bottom w:w="0" w:type="dxa"/>
              <w:right w:w="20" w:type="dxa"/>
            </w:tcMar>
            <w:vAlign w:val="bottom"/>
          </w:tcPr>
          <w:p w14:paraId="753A8A9C" w14:textId="3A736DE1"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61E486B2" w14:textId="53B3012E" w:rsidR="00980409" w:rsidRPr="00A53232" w:rsidRDefault="00980409" w:rsidP="00980409">
            <w:pPr>
              <w:ind w:left="-1554" w:right="22"/>
              <w:jc w:val="right"/>
              <w:rPr>
                <w:b/>
                <w:sz w:val="11"/>
                <w:szCs w:val="11"/>
              </w:rPr>
            </w:pPr>
            <w:r w:rsidRPr="00A53232">
              <w:rPr>
                <w:b/>
                <w:sz w:val="11"/>
                <w:szCs w:val="11"/>
              </w:rPr>
              <w:t>-</w:t>
            </w:r>
          </w:p>
        </w:tc>
        <w:tc>
          <w:tcPr>
            <w:tcW w:w="821" w:type="dxa"/>
            <w:noWrap/>
            <w:tcMar>
              <w:top w:w="20" w:type="dxa"/>
              <w:left w:w="20" w:type="dxa"/>
              <w:bottom w:w="0" w:type="dxa"/>
              <w:right w:w="20" w:type="dxa"/>
            </w:tcMar>
            <w:vAlign w:val="bottom"/>
          </w:tcPr>
          <w:p w14:paraId="1710369B" w14:textId="7C7D50E5" w:rsidR="00980409" w:rsidRPr="00A53232" w:rsidRDefault="00980409" w:rsidP="00980409">
            <w:pPr>
              <w:ind w:left="-1554" w:right="22"/>
              <w:jc w:val="right"/>
              <w:rPr>
                <w:b/>
                <w:sz w:val="11"/>
                <w:szCs w:val="11"/>
              </w:rPr>
            </w:pPr>
            <w:r w:rsidRPr="00A53232">
              <w:rPr>
                <w:b/>
                <w:sz w:val="11"/>
                <w:szCs w:val="11"/>
              </w:rPr>
              <w:t>-</w:t>
            </w:r>
          </w:p>
        </w:tc>
        <w:tc>
          <w:tcPr>
            <w:tcW w:w="648" w:type="dxa"/>
            <w:noWrap/>
            <w:tcMar>
              <w:top w:w="20" w:type="dxa"/>
              <w:left w:w="20" w:type="dxa"/>
              <w:bottom w:w="0" w:type="dxa"/>
              <w:right w:w="20" w:type="dxa"/>
            </w:tcMar>
            <w:vAlign w:val="bottom"/>
          </w:tcPr>
          <w:p w14:paraId="640B86EA" w14:textId="709B95E8" w:rsidR="00980409" w:rsidRPr="00A53232" w:rsidRDefault="00980409" w:rsidP="00980409">
            <w:pPr>
              <w:ind w:left="-1554" w:right="22"/>
              <w:jc w:val="right"/>
              <w:rPr>
                <w:b/>
                <w:sz w:val="11"/>
                <w:szCs w:val="11"/>
              </w:rPr>
            </w:pPr>
            <w:r w:rsidRPr="00A53232">
              <w:rPr>
                <w:b/>
                <w:sz w:val="11"/>
                <w:szCs w:val="11"/>
              </w:rPr>
              <w:t>-</w:t>
            </w:r>
          </w:p>
        </w:tc>
        <w:tc>
          <w:tcPr>
            <w:tcW w:w="617" w:type="dxa"/>
            <w:noWrap/>
            <w:tcMar>
              <w:top w:w="20" w:type="dxa"/>
              <w:left w:w="20" w:type="dxa"/>
              <w:bottom w:w="0" w:type="dxa"/>
              <w:right w:w="20" w:type="dxa"/>
            </w:tcMar>
            <w:vAlign w:val="bottom"/>
          </w:tcPr>
          <w:p w14:paraId="29439819" w14:textId="01A6FB3C" w:rsidR="00980409" w:rsidRPr="00A53232" w:rsidRDefault="00980409" w:rsidP="00980409">
            <w:pPr>
              <w:ind w:left="-1554" w:right="22"/>
              <w:jc w:val="right"/>
              <w:rPr>
                <w:b/>
                <w:sz w:val="11"/>
                <w:szCs w:val="11"/>
              </w:rPr>
            </w:pPr>
            <w:r w:rsidRPr="00A53232">
              <w:rPr>
                <w:b/>
                <w:sz w:val="11"/>
                <w:szCs w:val="11"/>
              </w:rPr>
              <w:t>-</w:t>
            </w:r>
          </w:p>
        </w:tc>
        <w:tc>
          <w:tcPr>
            <w:tcW w:w="642" w:type="dxa"/>
            <w:noWrap/>
            <w:tcMar>
              <w:top w:w="20" w:type="dxa"/>
              <w:left w:w="20" w:type="dxa"/>
              <w:bottom w:w="0" w:type="dxa"/>
              <w:right w:w="20" w:type="dxa"/>
            </w:tcMar>
            <w:vAlign w:val="bottom"/>
          </w:tcPr>
          <w:p w14:paraId="212ECFCD" w14:textId="0061295C" w:rsidR="00980409" w:rsidRPr="00A53232" w:rsidRDefault="00980409" w:rsidP="00980409">
            <w:pPr>
              <w:ind w:left="-1554" w:right="22"/>
              <w:jc w:val="right"/>
              <w:rPr>
                <w:b/>
                <w:sz w:val="11"/>
                <w:szCs w:val="11"/>
              </w:rPr>
            </w:pPr>
            <w:r w:rsidRPr="00A53232">
              <w:rPr>
                <w:b/>
                <w:sz w:val="11"/>
                <w:szCs w:val="11"/>
              </w:rPr>
              <w:t>-</w:t>
            </w:r>
          </w:p>
        </w:tc>
        <w:tc>
          <w:tcPr>
            <w:tcW w:w="732" w:type="dxa"/>
            <w:vAlign w:val="bottom"/>
          </w:tcPr>
          <w:p w14:paraId="1BE6A159" w14:textId="01543FC4" w:rsidR="00980409" w:rsidRPr="00A53232" w:rsidRDefault="00980409" w:rsidP="00980409">
            <w:pPr>
              <w:ind w:left="-1554" w:right="22"/>
              <w:jc w:val="right"/>
              <w:rPr>
                <w:b/>
                <w:sz w:val="11"/>
                <w:szCs w:val="11"/>
              </w:rPr>
            </w:pPr>
            <w:r w:rsidRPr="00A53232">
              <w:rPr>
                <w:b/>
                <w:sz w:val="11"/>
                <w:szCs w:val="11"/>
              </w:rPr>
              <w:t>-</w:t>
            </w:r>
          </w:p>
        </w:tc>
        <w:tc>
          <w:tcPr>
            <w:tcW w:w="880" w:type="dxa"/>
            <w:vAlign w:val="bottom"/>
          </w:tcPr>
          <w:p w14:paraId="79C89DCF" w14:textId="76B86666" w:rsidR="00980409" w:rsidRPr="00A53232" w:rsidRDefault="00980409" w:rsidP="00980409">
            <w:pPr>
              <w:ind w:left="-1554" w:right="22"/>
              <w:jc w:val="right"/>
              <w:rPr>
                <w:b/>
                <w:sz w:val="11"/>
                <w:szCs w:val="11"/>
              </w:rPr>
            </w:pPr>
            <w:r w:rsidRPr="00A53232">
              <w:rPr>
                <w:b/>
                <w:sz w:val="11"/>
                <w:szCs w:val="11"/>
              </w:rPr>
              <w:t>-</w:t>
            </w:r>
          </w:p>
        </w:tc>
        <w:tc>
          <w:tcPr>
            <w:tcW w:w="722" w:type="dxa"/>
            <w:noWrap/>
            <w:tcMar>
              <w:top w:w="20" w:type="dxa"/>
              <w:left w:w="20" w:type="dxa"/>
              <w:bottom w:w="0" w:type="dxa"/>
              <w:right w:w="20" w:type="dxa"/>
            </w:tcMar>
            <w:vAlign w:val="bottom"/>
          </w:tcPr>
          <w:p w14:paraId="205AFD2C" w14:textId="19A9F373" w:rsidR="00980409" w:rsidRPr="00A53232" w:rsidRDefault="00980409" w:rsidP="00980409">
            <w:pPr>
              <w:ind w:left="-1554" w:right="22"/>
              <w:jc w:val="right"/>
              <w:rPr>
                <w:b/>
                <w:sz w:val="11"/>
                <w:szCs w:val="11"/>
              </w:rPr>
            </w:pPr>
            <w:r w:rsidRPr="00A53232">
              <w:rPr>
                <w:b/>
                <w:sz w:val="11"/>
                <w:szCs w:val="11"/>
              </w:rPr>
              <w:t>-</w:t>
            </w:r>
          </w:p>
        </w:tc>
        <w:tc>
          <w:tcPr>
            <w:tcW w:w="589" w:type="dxa"/>
            <w:noWrap/>
            <w:tcMar>
              <w:top w:w="20" w:type="dxa"/>
              <w:left w:w="20" w:type="dxa"/>
              <w:bottom w:w="0" w:type="dxa"/>
              <w:right w:w="20" w:type="dxa"/>
            </w:tcMar>
            <w:vAlign w:val="bottom"/>
          </w:tcPr>
          <w:p w14:paraId="5DAF34E8" w14:textId="56C7D96D" w:rsidR="00980409" w:rsidRPr="00A53232" w:rsidRDefault="00980409" w:rsidP="00980409">
            <w:pPr>
              <w:ind w:left="-1554" w:right="22"/>
              <w:jc w:val="right"/>
              <w:rPr>
                <w:b/>
                <w:sz w:val="11"/>
                <w:szCs w:val="11"/>
              </w:rPr>
            </w:pPr>
            <w:r w:rsidRPr="00A53232">
              <w:rPr>
                <w:b/>
                <w:sz w:val="11"/>
                <w:szCs w:val="11"/>
              </w:rPr>
              <w:t>-</w:t>
            </w:r>
          </w:p>
        </w:tc>
        <w:tc>
          <w:tcPr>
            <w:tcW w:w="801" w:type="dxa"/>
            <w:noWrap/>
            <w:tcMar>
              <w:top w:w="20" w:type="dxa"/>
              <w:left w:w="20" w:type="dxa"/>
              <w:bottom w:w="0" w:type="dxa"/>
              <w:right w:w="20" w:type="dxa"/>
            </w:tcMar>
            <w:vAlign w:val="bottom"/>
          </w:tcPr>
          <w:p w14:paraId="258DA3C4" w14:textId="5E4EB42D" w:rsidR="00980409" w:rsidRPr="00A53232" w:rsidRDefault="00980409" w:rsidP="00980409">
            <w:pPr>
              <w:ind w:left="-1554" w:right="22"/>
              <w:jc w:val="right"/>
              <w:rPr>
                <w:b/>
                <w:sz w:val="11"/>
                <w:szCs w:val="11"/>
              </w:rPr>
            </w:pPr>
            <w:r w:rsidRPr="00A53232">
              <w:rPr>
                <w:b/>
                <w:sz w:val="11"/>
                <w:szCs w:val="11"/>
              </w:rPr>
              <w:t>-</w:t>
            </w:r>
          </w:p>
        </w:tc>
        <w:tc>
          <w:tcPr>
            <w:tcW w:w="626" w:type="dxa"/>
            <w:vAlign w:val="bottom"/>
          </w:tcPr>
          <w:p w14:paraId="45D056DE" w14:textId="512BB8AA" w:rsidR="00980409" w:rsidRPr="00A53232" w:rsidRDefault="00980409" w:rsidP="00980409">
            <w:pPr>
              <w:ind w:left="-1554" w:right="22"/>
              <w:jc w:val="right"/>
              <w:rPr>
                <w:b/>
                <w:sz w:val="11"/>
                <w:szCs w:val="11"/>
              </w:rPr>
            </w:pPr>
            <w:r w:rsidRPr="00A53232">
              <w:rPr>
                <w:b/>
                <w:sz w:val="11"/>
                <w:szCs w:val="11"/>
              </w:rPr>
              <w:t>-</w:t>
            </w:r>
          </w:p>
        </w:tc>
        <w:tc>
          <w:tcPr>
            <w:tcW w:w="728" w:type="dxa"/>
            <w:vAlign w:val="bottom"/>
          </w:tcPr>
          <w:p w14:paraId="64A1531F" w14:textId="71318DE6" w:rsidR="00980409" w:rsidRPr="00A53232" w:rsidRDefault="00980409" w:rsidP="00980409">
            <w:pPr>
              <w:ind w:left="-1554" w:right="22"/>
              <w:jc w:val="right"/>
              <w:rPr>
                <w:b/>
                <w:sz w:val="11"/>
                <w:szCs w:val="11"/>
              </w:rPr>
            </w:pPr>
            <w:r w:rsidRPr="00A53232">
              <w:rPr>
                <w:b/>
                <w:sz w:val="11"/>
                <w:szCs w:val="11"/>
              </w:rPr>
              <w:t>-</w:t>
            </w:r>
          </w:p>
        </w:tc>
        <w:tc>
          <w:tcPr>
            <w:tcW w:w="756" w:type="dxa"/>
            <w:vAlign w:val="bottom"/>
          </w:tcPr>
          <w:p w14:paraId="1BFEA940" w14:textId="2EFEB50E" w:rsidR="00980409" w:rsidRPr="00A53232" w:rsidRDefault="00980409" w:rsidP="00980409">
            <w:pPr>
              <w:ind w:left="-1554" w:right="22"/>
              <w:jc w:val="right"/>
              <w:rPr>
                <w:b/>
                <w:sz w:val="11"/>
                <w:szCs w:val="11"/>
              </w:rPr>
            </w:pPr>
            <w:r w:rsidRPr="00A53232">
              <w:rPr>
                <w:b/>
                <w:sz w:val="11"/>
                <w:szCs w:val="11"/>
              </w:rPr>
              <w:t>-</w:t>
            </w:r>
          </w:p>
        </w:tc>
      </w:tr>
      <w:tr w:rsidR="00980409" w:rsidRPr="007C0BA6" w14:paraId="72262D7B" w14:textId="77777777" w:rsidTr="006C5DC4">
        <w:trPr>
          <w:trHeight w:val="80"/>
        </w:trPr>
        <w:tc>
          <w:tcPr>
            <w:tcW w:w="362" w:type="dxa"/>
            <w:noWrap/>
            <w:tcMar>
              <w:top w:w="20" w:type="dxa"/>
              <w:left w:w="20" w:type="dxa"/>
              <w:bottom w:w="0" w:type="dxa"/>
              <w:right w:w="20" w:type="dxa"/>
            </w:tcMar>
            <w:vAlign w:val="bottom"/>
          </w:tcPr>
          <w:p w14:paraId="585988B2" w14:textId="77777777" w:rsidR="00980409" w:rsidRPr="007C0BA6" w:rsidRDefault="00980409" w:rsidP="00980409">
            <w:pPr>
              <w:spacing w:line="192" w:lineRule="auto"/>
              <w:ind w:right="-30"/>
              <w:rPr>
                <w:bCs/>
                <w:sz w:val="12"/>
                <w:szCs w:val="12"/>
              </w:rPr>
            </w:pPr>
            <w:r w:rsidRPr="007C0BA6">
              <w:rPr>
                <w:bCs/>
                <w:sz w:val="12"/>
                <w:szCs w:val="12"/>
              </w:rPr>
              <w:t>4.2</w:t>
            </w:r>
          </w:p>
        </w:tc>
        <w:tc>
          <w:tcPr>
            <w:tcW w:w="2332" w:type="dxa"/>
            <w:noWrap/>
            <w:tcMar>
              <w:top w:w="20" w:type="dxa"/>
              <w:left w:w="20" w:type="dxa"/>
              <w:bottom w:w="0" w:type="dxa"/>
              <w:right w:w="20" w:type="dxa"/>
            </w:tcMar>
            <w:vAlign w:val="bottom"/>
          </w:tcPr>
          <w:p w14:paraId="7DDDF29F" w14:textId="77777777" w:rsidR="00980409" w:rsidRPr="007C0BA6" w:rsidRDefault="00980409" w:rsidP="00980409">
            <w:pPr>
              <w:spacing w:line="192" w:lineRule="auto"/>
              <w:rPr>
                <w:sz w:val="12"/>
                <w:szCs w:val="12"/>
              </w:rPr>
            </w:pPr>
            <w:r w:rsidRPr="007C0BA6">
              <w:rPr>
                <w:sz w:val="12"/>
                <w:szCs w:val="12"/>
              </w:rPr>
              <w:t>Foreign Investment Hedge</w:t>
            </w:r>
          </w:p>
        </w:tc>
        <w:tc>
          <w:tcPr>
            <w:tcW w:w="473" w:type="dxa"/>
            <w:vAlign w:val="bottom"/>
          </w:tcPr>
          <w:p w14:paraId="46B1B56C" w14:textId="77777777" w:rsidR="00980409" w:rsidRPr="007C0BA6" w:rsidRDefault="00980409" w:rsidP="00980409">
            <w:pPr>
              <w:jc w:val="center"/>
              <w:rPr>
                <w:sz w:val="12"/>
                <w:szCs w:val="12"/>
              </w:rPr>
            </w:pPr>
          </w:p>
        </w:tc>
        <w:tc>
          <w:tcPr>
            <w:tcW w:w="525" w:type="dxa"/>
            <w:noWrap/>
            <w:tcMar>
              <w:top w:w="20" w:type="dxa"/>
              <w:left w:w="20" w:type="dxa"/>
              <w:bottom w:w="0" w:type="dxa"/>
              <w:right w:w="20" w:type="dxa"/>
            </w:tcMar>
            <w:vAlign w:val="bottom"/>
          </w:tcPr>
          <w:p w14:paraId="2A89CD39" w14:textId="22A90DF9" w:rsidR="00980409" w:rsidRPr="00A53232" w:rsidRDefault="00980409" w:rsidP="00980409">
            <w:pPr>
              <w:ind w:left="-1554" w:right="22"/>
              <w:jc w:val="right"/>
              <w:rPr>
                <w:b/>
                <w:sz w:val="11"/>
                <w:szCs w:val="11"/>
              </w:rPr>
            </w:pPr>
            <w:r w:rsidRPr="00A53232">
              <w:rPr>
                <w:b/>
                <w:sz w:val="11"/>
                <w:szCs w:val="11"/>
              </w:rPr>
              <w:t>-</w:t>
            </w:r>
          </w:p>
        </w:tc>
        <w:tc>
          <w:tcPr>
            <w:tcW w:w="669" w:type="dxa"/>
            <w:vAlign w:val="bottom"/>
          </w:tcPr>
          <w:p w14:paraId="0392C726" w14:textId="22BA1C22"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30EE9C33" w14:textId="27CA2110" w:rsidR="00980409" w:rsidRPr="00A53232" w:rsidRDefault="00980409" w:rsidP="00980409">
            <w:pPr>
              <w:ind w:left="-1554" w:right="22"/>
              <w:jc w:val="right"/>
              <w:rPr>
                <w:b/>
                <w:sz w:val="11"/>
                <w:szCs w:val="11"/>
              </w:rPr>
            </w:pPr>
            <w:r w:rsidRPr="00A53232">
              <w:rPr>
                <w:b/>
                <w:sz w:val="11"/>
                <w:szCs w:val="11"/>
              </w:rPr>
              <w:t>-</w:t>
            </w:r>
          </w:p>
        </w:tc>
        <w:tc>
          <w:tcPr>
            <w:tcW w:w="707" w:type="dxa"/>
            <w:noWrap/>
            <w:tcMar>
              <w:top w:w="20" w:type="dxa"/>
              <w:left w:w="20" w:type="dxa"/>
              <w:bottom w:w="0" w:type="dxa"/>
              <w:right w:w="20" w:type="dxa"/>
            </w:tcMar>
            <w:vAlign w:val="bottom"/>
          </w:tcPr>
          <w:p w14:paraId="4CEB2E7D" w14:textId="47CA7EFB" w:rsidR="00980409" w:rsidRPr="00A53232" w:rsidRDefault="00980409" w:rsidP="00980409">
            <w:pPr>
              <w:ind w:left="-1554" w:right="22"/>
              <w:jc w:val="right"/>
              <w:rPr>
                <w:b/>
                <w:sz w:val="11"/>
                <w:szCs w:val="11"/>
              </w:rPr>
            </w:pPr>
            <w:r w:rsidRPr="00A53232">
              <w:rPr>
                <w:b/>
                <w:sz w:val="11"/>
                <w:szCs w:val="11"/>
              </w:rPr>
              <w:t>-</w:t>
            </w:r>
          </w:p>
        </w:tc>
        <w:tc>
          <w:tcPr>
            <w:tcW w:w="602" w:type="dxa"/>
            <w:noWrap/>
            <w:tcMar>
              <w:top w:w="20" w:type="dxa"/>
              <w:left w:w="20" w:type="dxa"/>
              <w:bottom w:w="0" w:type="dxa"/>
              <w:right w:w="20" w:type="dxa"/>
            </w:tcMar>
            <w:vAlign w:val="bottom"/>
          </w:tcPr>
          <w:p w14:paraId="756342B4" w14:textId="59BC5917"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7C02F6A9" w14:textId="47FDE8E2" w:rsidR="00980409" w:rsidRPr="00A53232" w:rsidRDefault="00980409" w:rsidP="00980409">
            <w:pPr>
              <w:ind w:left="-1554" w:right="22"/>
              <w:jc w:val="right"/>
              <w:rPr>
                <w:b/>
                <w:sz w:val="11"/>
                <w:szCs w:val="11"/>
              </w:rPr>
            </w:pPr>
            <w:r w:rsidRPr="00A53232">
              <w:rPr>
                <w:b/>
                <w:sz w:val="11"/>
                <w:szCs w:val="11"/>
              </w:rPr>
              <w:t>-</w:t>
            </w:r>
          </w:p>
        </w:tc>
        <w:tc>
          <w:tcPr>
            <w:tcW w:w="821" w:type="dxa"/>
            <w:noWrap/>
            <w:tcMar>
              <w:top w:w="20" w:type="dxa"/>
              <w:left w:w="20" w:type="dxa"/>
              <w:bottom w:w="0" w:type="dxa"/>
              <w:right w:w="20" w:type="dxa"/>
            </w:tcMar>
            <w:vAlign w:val="bottom"/>
          </w:tcPr>
          <w:p w14:paraId="18BDBA97" w14:textId="7DAE89F1" w:rsidR="00980409" w:rsidRPr="00A53232" w:rsidRDefault="00980409" w:rsidP="00980409">
            <w:pPr>
              <w:ind w:left="-1554" w:right="22"/>
              <w:jc w:val="right"/>
              <w:rPr>
                <w:b/>
                <w:sz w:val="11"/>
                <w:szCs w:val="11"/>
              </w:rPr>
            </w:pPr>
            <w:r w:rsidRPr="00A53232">
              <w:rPr>
                <w:b/>
                <w:sz w:val="11"/>
                <w:szCs w:val="11"/>
              </w:rPr>
              <w:t>-</w:t>
            </w:r>
          </w:p>
        </w:tc>
        <w:tc>
          <w:tcPr>
            <w:tcW w:w="648" w:type="dxa"/>
            <w:noWrap/>
            <w:tcMar>
              <w:top w:w="20" w:type="dxa"/>
              <w:left w:w="20" w:type="dxa"/>
              <w:bottom w:w="0" w:type="dxa"/>
              <w:right w:w="20" w:type="dxa"/>
            </w:tcMar>
            <w:vAlign w:val="bottom"/>
          </w:tcPr>
          <w:p w14:paraId="41ABFCCF" w14:textId="072A501B" w:rsidR="00980409" w:rsidRPr="00A53232" w:rsidRDefault="00980409" w:rsidP="00980409">
            <w:pPr>
              <w:ind w:left="-1554" w:right="22"/>
              <w:jc w:val="right"/>
              <w:rPr>
                <w:b/>
                <w:sz w:val="11"/>
                <w:szCs w:val="11"/>
              </w:rPr>
            </w:pPr>
            <w:r w:rsidRPr="00A53232">
              <w:rPr>
                <w:b/>
                <w:sz w:val="11"/>
                <w:szCs w:val="11"/>
              </w:rPr>
              <w:t>-</w:t>
            </w:r>
          </w:p>
        </w:tc>
        <w:tc>
          <w:tcPr>
            <w:tcW w:w="617" w:type="dxa"/>
            <w:noWrap/>
            <w:tcMar>
              <w:top w:w="20" w:type="dxa"/>
              <w:left w:w="20" w:type="dxa"/>
              <w:bottom w:w="0" w:type="dxa"/>
              <w:right w:w="20" w:type="dxa"/>
            </w:tcMar>
            <w:vAlign w:val="bottom"/>
          </w:tcPr>
          <w:p w14:paraId="7E0E75C0" w14:textId="783AA76C" w:rsidR="00980409" w:rsidRPr="00A53232" w:rsidRDefault="00980409" w:rsidP="00980409">
            <w:pPr>
              <w:ind w:left="-1554" w:right="22"/>
              <w:jc w:val="right"/>
              <w:rPr>
                <w:b/>
                <w:sz w:val="11"/>
                <w:szCs w:val="11"/>
              </w:rPr>
            </w:pPr>
            <w:r w:rsidRPr="00A53232">
              <w:rPr>
                <w:b/>
                <w:sz w:val="11"/>
                <w:szCs w:val="11"/>
              </w:rPr>
              <w:t>-</w:t>
            </w:r>
          </w:p>
        </w:tc>
        <w:tc>
          <w:tcPr>
            <w:tcW w:w="642" w:type="dxa"/>
            <w:noWrap/>
            <w:tcMar>
              <w:top w:w="20" w:type="dxa"/>
              <w:left w:w="20" w:type="dxa"/>
              <w:bottom w:w="0" w:type="dxa"/>
              <w:right w:w="20" w:type="dxa"/>
            </w:tcMar>
            <w:vAlign w:val="bottom"/>
          </w:tcPr>
          <w:p w14:paraId="0BC83DD1" w14:textId="16D30362" w:rsidR="00980409" w:rsidRPr="00A53232" w:rsidRDefault="00980409" w:rsidP="00980409">
            <w:pPr>
              <w:ind w:left="-1554" w:right="22"/>
              <w:jc w:val="right"/>
              <w:rPr>
                <w:b/>
                <w:sz w:val="11"/>
                <w:szCs w:val="11"/>
              </w:rPr>
            </w:pPr>
            <w:r w:rsidRPr="00A53232">
              <w:rPr>
                <w:b/>
                <w:sz w:val="11"/>
                <w:szCs w:val="11"/>
              </w:rPr>
              <w:t>-</w:t>
            </w:r>
          </w:p>
        </w:tc>
        <w:tc>
          <w:tcPr>
            <w:tcW w:w="732" w:type="dxa"/>
            <w:vAlign w:val="bottom"/>
          </w:tcPr>
          <w:p w14:paraId="1BF8202B" w14:textId="7A5937BD" w:rsidR="00980409" w:rsidRPr="00A53232" w:rsidRDefault="00980409" w:rsidP="00980409">
            <w:pPr>
              <w:ind w:left="-1554" w:right="22"/>
              <w:jc w:val="right"/>
              <w:rPr>
                <w:b/>
                <w:sz w:val="11"/>
                <w:szCs w:val="11"/>
              </w:rPr>
            </w:pPr>
            <w:r w:rsidRPr="00A53232">
              <w:rPr>
                <w:b/>
                <w:sz w:val="11"/>
                <w:szCs w:val="11"/>
              </w:rPr>
              <w:t>-</w:t>
            </w:r>
          </w:p>
        </w:tc>
        <w:tc>
          <w:tcPr>
            <w:tcW w:w="880" w:type="dxa"/>
            <w:vAlign w:val="bottom"/>
          </w:tcPr>
          <w:p w14:paraId="18F6CFAA" w14:textId="12A4E1CB" w:rsidR="00980409" w:rsidRPr="00A53232" w:rsidRDefault="00980409" w:rsidP="00980409">
            <w:pPr>
              <w:ind w:left="-1554" w:right="22"/>
              <w:jc w:val="right"/>
              <w:rPr>
                <w:b/>
                <w:sz w:val="11"/>
                <w:szCs w:val="11"/>
              </w:rPr>
            </w:pPr>
            <w:r w:rsidRPr="00A53232">
              <w:rPr>
                <w:b/>
                <w:sz w:val="11"/>
                <w:szCs w:val="11"/>
              </w:rPr>
              <w:t>-</w:t>
            </w:r>
          </w:p>
        </w:tc>
        <w:tc>
          <w:tcPr>
            <w:tcW w:w="722" w:type="dxa"/>
            <w:noWrap/>
            <w:tcMar>
              <w:top w:w="20" w:type="dxa"/>
              <w:left w:w="20" w:type="dxa"/>
              <w:bottom w:w="0" w:type="dxa"/>
              <w:right w:w="20" w:type="dxa"/>
            </w:tcMar>
            <w:vAlign w:val="bottom"/>
          </w:tcPr>
          <w:p w14:paraId="4F896F85" w14:textId="1DCE5E2A" w:rsidR="00980409" w:rsidRPr="00A53232" w:rsidRDefault="00980409" w:rsidP="00980409">
            <w:pPr>
              <w:ind w:left="-1554" w:right="22"/>
              <w:jc w:val="right"/>
              <w:rPr>
                <w:b/>
                <w:sz w:val="11"/>
                <w:szCs w:val="11"/>
              </w:rPr>
            </w:pPr>
            <w:r w:rsidRPr="00A53232">
              <w:rPr>
                <w:b/>
                <w:sz w:val="11"/>
                <w:szCs w:val="11"/>
              </w:rPr>
              <w:t>-</w:t>
            </w:r>
          </w:p>
        </w:tc>
        <w:tc>
          <w:tcPr>
            <w:tcW w:w="589" w:type="dxa"/>
            <w:noWrap/>
            <w:tcMar>
              <w:top w:w="20" w:type="dxa"/>
              <w:left w:w="20" w:type="dxa"/>
              <w:bottom w:w="0" w:type="dxa"/>
              <w:right w:w="20" w:type="dxa"/>
            </w:tcMar>
            <w:vAlign w:val="bottom"/>
          </w:tcPr>
          <w:p w14:paraId="66881516" w14:textId="2A13D0BC" w:rsidR="00980409" w:rsidRPr="00A53232" w:rsidRDefault="00980409" w:rsidP="00980409">
            <w:pPr>
              <w:ind w:left="-1554" w:right="22"/>
              <w:jc w:val="right"/>
              <w:rPr>
                <w:b/>
                <w:sz w:val="11"/>
                <w:szCs w:val="11"/>
              </w:rPr>
            </w:pPr>
            <w:r w:rsidRPr="00A53232">
              <w:rPr>
                <w:b/>
                <w:sz w:val="11"/>
                <w:szCs w:val="11"/>
              </w:rPr>
              <w:t>-</w:t>
            </w:r>
          </w:p>
        </w:tc>
        <w:tc>
          <w:tcPr>
            <w:tcW w:w="801" w:type="dxa"/>
            <w:noWrap/>
            <w:tcMar>
              <w:top w:w="20" w:type="dxa"/>
              <w:left w:w="20" w:type="dxa"/>
              <w:bottom w:w="0" w:type="dxa"/>
              <w:right w:w="20" w:type="dxa"/>
            </w:tcMar>
            <w:vAlign w:val="bottom"/>
          </w:tcPr>
          <w:p w14:paraId="0D9DC9AF" w14:textId="666C5762" w:rsidR="00980409" w:rsidRPr="00A53232" w:rsidRDefault="00980409" w:rsidP="00980409">
            <w:pPr>
              <w:ind w:left="-1554" w:right="22"/>
              <w:jc w:val="right"/>
              <w:rPr>
                <w:b/>
                <w:sz w:val="11"/>
                <w:szCs w:val="11"/>
              </w:rPr>
            </w:pPr>
            <w:r w:rsidRPr="00A53232">
              <w:rPr>
                <w:b/>
                <w:sz w:val="11"/>
                <w:szCs w:val="11"/>
              </w:rPr>
              <w:t>-</w:t>
            </w:r>
          </w:p>
        </w:tc>
        <w:tc>
          <w:tcPr>
            <w:tcW w:w="626" w:type="dxa"/>
            <w:vAlign w:val="bottom"/>
          </w:tcPr>
          <w:p w14:paraId="794EE622" w14:textId="5AFC3201" w:rsidR="00980409" w:rsidRPr="00A53232" w:rsidRDefault="00980409" w:rsidP="00980409">
            <w:pPr>
              <w:ind w:left="-1554" w:right="22"/>
              <w:jc w:val="right"/>
              <w:rPr>
                <w:b/>
                <w:sz w:val="11"/>
                <w:szCs w:val="11"/>
              </w:rPr>
            </w:pPr>
            <w:r w:rsidRPr="00A53232">
              <w:rPr>
                <w:b/>
                <w:sz w:val="11"/>
                <w:szCs w:val="11"/>
              </w:rPr>
              <w:t>-</w:t>
            </w:r>
          </w:p>
        </w:tc>
        <w:tc>
          <w:tcPr>
            <w:tcW w:w="728" w:type="dxa"/>
            <w:vAlign w:val="bottom"/>
          </w:tcPr>
          <w:p w14:paraId="62DFA2F5" w14:textId="4FF0CE11" w:rsidR="00980409" w:rsidRPr="00A53232" w:rsidRDefault="00980409" w:rsidP="00980409">
            <w:pPr>
              <w:ind w:left="-1554" w:right="22"/>
              <w:jc w:val="right"/>
              <w:rPr>
                <w:b/>
                <w:sz w:val="11"/>
                <w:szCs w:val="11"/>
              </w:rPr>
            </w:pPr>
            <w:r w:rsidRPr="00A53232">
              <w:rPr>
                <w:b/>
                <w:sz w:val="11"/>
                <w:szCs w:val="11"/>
              </w:rPr>
              <w:t>-</w:t>
            </w:r>
          </w:p>
        </w:tc>
        <w:tc>
          <w:tcPr>
            <w:tcW w:w="756" w:type="dxa"/>
            <w:vAlign w:val="bottom"/>
          </w:tcPr>
          <w:p w14:paraId="387B6D8B" w14:textId="753F2AA6" w:rsidR="00980409" w:rsidRPr="00A53232" w:rsidRDefault="00980409" w:rsidP="00980409">
            <w:pPr>
              <w:ind w:left="-1554" w:right="22"/>
              <w:jc w:val="right"/>
              <w:rPr>
                <w:b/>
                <w:sz w:val="11"/>
                <w:szCs w:val="11"/>
              </w:rPr>
            </w:pPr>
            <w:r w:rsidRPr="00A53232">
              <w:rPr>
                <w:b/>
                <w:sz w:val="11"/>
                <w:szCs w:val="11"/>
              </w:rPr>
              <w:t>-</w:t>
            </w:r>
          </w:p>
        </w:tc>
      </w:tr>
      <w:tr w:rsidR="00980409" w:rsidRPr="007C0BA6" w14:paraId="236734B7" w14:textId="77777777" w:rsidTr="00677268">
        <w:trPr>
          <w:trHeight w:val="80"/>
        </w:trPr>
        <w:tc>
          <w:tcPr>
            <w:tcW w:w="362" w:type="dxa"/>
            <w:noWrap/>
            <w:tcMar>
              <w:top w:w="20" w:type="dxa"/>
              <w:left w:w="20" w:type="dxa"/>
              <w:bottom w:w="0" w:type="dxa"/>
              <w:right w:w="20" w:type="dxa"/>
            </w:tcMar>
          </w:tcPr>
          <w:p w14:paraId="3DABCC88" w14:textId="77777777" w:rsidR="00980409" w:rsidRPr="007C0BA6" w:rsidRDefault="00980409" w:rsidP="00980409">
            <w:pPr>
              <w:spacing w:line="192" w:lineRule="auto"/>
              <w:ind w:right="-30"/>
              <w:rPr>
                <w:bCs/>
                <w:sz w:val="12"/>
                <w:szCs w:val="12"/>
              </w:rPr>
            </w:pPr>
            <w:r w:rsidRPr="007C0BA6">
              <w:rPr>
                <w:b/>
                <w:bCs/>
                <w:sz w:val="12"/>
                <w:szCs w:val="12"/>
              </w:rPr>
              <w:t>V.</w:t>
            </w:r>
          </w:p>
        </w:tc>
        <w:tc>
          <w:tcPr>
            <w:tcW w:w="2332" w:type="dxa"/>
            <w:noWrap/>
            <w:tcMar>
              <w:top w:w="20" w:type="dxa"/>
              <w:left w:w="20" w:type="dxa"/>
              <w:bottom w:w="0" w:type="dxa"/>
              <w:right w:w="20" w:type="dxa"/>
            </w:tcMar>
            <w:vAlign w:val="bottom"/>
          </w:tcPr>
          <w:p w14:paraId="02D25933" w14:textId="77777777" w:rsidR="00980409" w:rsidRPr="007C0BA6" w:rsidRDefault="00980409" w:rsidP="00980409">
            <w:pPr>
              <w:spacing w:line="192" w:lineRule="auto"/>
              <w:rPr>
                <w:sz w:val="12"/>
                <w:szCs w:val="12"/>
              </w:rPr>
            </w:pPr>
            <w:r w:rsidRPr="007C0BA6">
              <w:rPr>
                <w:b/>
                <w:sz w:val="12"/>
                <w:szCs w:val="12"/>
              </w:rPr>
              <w:t>Revaluation Differences of Tangible Assets</w:t>
            </w:r>
          </w:p>
        </w:tc>
        <w:tc>
          <w:tcPr>
            <w:tcW w:w="473" w:type="dxa"/>
            <w:vAlign w:val="bottom"/>
          </w:tcPr>
          <w:p w14:paraId="5AB49A32" w14:textId="77777777" w:rsidR="00980409" w:rsidRPr="007C0BA6" w:rsidRDefault="00980409" w:rsidP="00980409">
            <w:pPr>
              <w:jc w:val="center"/>
              <w:rPr>
                <w:sz w:val="12"/>
                <w:szCs w:val="12"/>
              </w:rPr>
            </w:pPr>
          </w:p>
        </w:tc>
        <w:tc>
          <w:tcPr>
            <w:tcW w:w="525" w:type="dxa"/>
            <w:noWrap/>
            <w:tcMar>
              <w:top w:w="20" w:type="dxa"/>
              <w:left w:w="20" w:type="dxa"/>
              <w:bottom w:w="0" w:type="dxa"/>
              <w:right w:w="20" w:type="dxa"/>
            </w:tcMar>
            <w:vAlign w:val="bottom"/>
          </w:tcPr>
          <w:p w14:paraId="5D8C517F" w14:textId="1EF03936" w:rsidR="00980409" w:rsidRPr="00A53232" w:rsidRDefault="00980409" w:rsidP="00980409">
            <w:pPr>
              <w:ind w:left="-1554" w:right="22"/>
              <w:jc w:val="right"/>
              <w:rPr>
                <w:sz w:val="11"/>
                <w:szCs w:val="11"/>
              </w:rPr>
            </w:pPr>
            <w:r w:rsidRPr="00A53232">
              <w:rPr>
                <w:sz w:val="11"/>
                <w:szCs w:val="11"/>
              </w:rPr>
              <w:t>-</w:t>
            </w:r>
          </w:p>
        </w:tc>
        <w:tc>
          <w:tcPr>
            <w:tcW w:w="669" w:type="dxa"/>
            <w:vAlign w:val="bottom"/>
          </w:tcPr>
          <w:p w14:paraId="6B1F641A" w14:textId="385FD19E" w:rsidR="00980409" w:rsidRPr="00A53232" w:rsidRDefault="00980409" w:rsidP="00980409">
            <w:pPr>
              <w:ind w:left="-1554" w:right="22"/>
              <w:jc w:val="right"/>
              <w:rPr>
                <w:sz w:val="11"/>
                <w:szCs w:val="11"/>
              </w:rPr>
            </w:pPr>
            <w:r w:rsidRPr="00A53232">
              <w:rPr>
                <w:sz w:val="11"/>
                <w:szCs w:val="11"/>
              </w:rPr>
              <w:t>-</w:t>
            </w:r>
          </w:p>
        </w:tc>
        <w:tc>
          <w:tcPr>
            <w:tcW w:w="536" w:type="dxa"/>
            <w:noWrap/>
            <w:tcMar>
              <w:top w:w="20" w:type="dxa"/>
              <w:left w:w="20" w:type="dxa"/>
              <w:bottom w:w="0" w:type="dxa"/>
              <w:right w:w="20" w:type="dxa"/>
            </w:tcMar>
            <w:vAlign w:val="bottom"/>
          </w:tcPr>
          <w:p w14:paraId="2E503A06" w14:textId="51F3108C" w:rsidR="00980409" w:rsidRPr="00A53232" w:rsidRDefault="00980409" w:rsidP="00980409">
            <w:pPr>
              <w:ind w:left="-1554" w:right="22"/>
              <w:jc w:val="right"/>
              <w:rPr>
                <w:sz w:val="11"/>
                <w:szCs w:val="11"/>
              </w:rPr>
            </w:pPr>
            <w:r w:rsidRPr="00A53232">
              <w:rPr>
                <w:sz w:val="11"/>
                <w:szCs w:val="11"/>
              </w:rPr>
              <w:t>-</w:t>
            </w:r>
          </w:p>
        </w:tc>
        <w:tc>
          <w:tcPr>
            <w:tcW w:w="707" w:type="dxa"/>
            <w:noWrap/>
            <w:tcMar>
              <w:top w:w="20" w:type="dxa"/>
              <w:left w:w="20" w:type="dxa"/>
              <w:bottom w:w="0" w:type="dxa"/>
              <w:right w:w="20" w:type="dxa"/>
            </w:tcMar>
            <w:vAlign w:val="bottom"/>
          </w:tcPr>
          <w:p w14:paraId="56CEC654" w14:textId="3749306C" w:rsidR="00980409" w:rsidRPr="00A53232" w:rsidRDefault="00980409" w:rsidP="00980409">
            <w:pPr>
              <w:ind w:left="-1554" w:right="22"/>
              <w:jc w:val="right"/>
              <w:rPr>
                <w:sz w:val="11"/>
                <w:szCs w:val="11"/>
              </w:rPr>
            </w:pPr>
            <w:r w:rsidRPr="00A53232">
              <w:rPr>
                <w:sz w:val="11"/>
                <w:szCs w:val="11"/>
              </w:rPr>
              <w:t>-</w:t>
            </w:r>
          </w:p>
        </w:tc>
        <w:tc>
          <w:tcPr>
            <w:tcW w:w="602" w:type="dxa"/>
            <w:noWrap/>
            <w:tcMar>
              <w:top w:w="20" w:type="dxa"/>
              <w:left w:w="20" w:type="dxa"/>
              <w:bottom w:w="0" w:type="dxa"/>
              <w:right w:w="20" w:type="dxa"/>
            </w:tcMar>
            <w:vAlign w:val="bottom"/>
          </w:tcPr>
          <w:p w14:paraId="559B6FA9" w14:textId="058517D2" w:rsidR="00980409" w:rsidRPr="00A53232" w:rsidRDefault="00980409" w:rsidP="00980409">
            <w:pPr>
              <w:ind w:left="-1554" w:right="22"/>
              <w:jc w:val="right"/>
              <w:rPr>
                <w:sz w:val="11"/>
                <w:szCs w:val="11"/>
              </w:rPr>
            </w:pPr>
            <w:r w:rsidRPr="00A53232">
              <w:rPr>
                <w:sz w:val="11"/>
                <w:szCs w:val="11"/>
              </w:rPr>
              <w:t>-</w:t>
            </w:r>
          </w:p>
        </w:tc>
        <w:tc>
          <w:tcPr>
            <w:tcW w:w="536" w:type="dxa"/>
            <w:noWrap/>
            <w:tcMar>
              <w:top w:w="20" w:type="dxa"/>
              <w:left w:w="20" w:type="dxa"/>
              <w:bottom w:w="0" w:type="dxa"/>
              <w:right w:w="20" w:type="dxa"/>
            </w:tcMar>
            <w:vAlign w:val="bottom"/>
          </w:tcPr>
          <w:p w14:paraId="47179CDB" w14:textId="46713D23" w:rsidR="00980409" w:rsidRPr="00A53232" w:rsidRDefault="00980409" w:rsidP="00980409">
            <w:pPr>
              <w:ind w:left="-1554" w:right="22"/>
              <w:jc w:val="right"/>
              <w:rPr>
                <w:sz w:val="11"/>
                <w:szCs w:val="11"/>
              </w:rPr>
            </w:pPr>
            <w:r w:rsidRPr="00A53232">
              <w:rPr>
                <w:sz w:val="11"/>
                <w:szCs w:val="11"/>
              </w:rPr>
              <w:t>-</w:t>
            </w:r>
          </w:p>
        </w:tc>
        <w:tc>
          <w:tcPr>
            <w:tcW w:w="821" w:type="dxa"/>
            <w:noWrap/>
            <w:tcMar>
              <w:top w:w="20" w:type="dxa"/>
              <w:left w:w="20" w:type="dxa"/>
              <w:bottom w:w="0" w:type="dxa"/>
              <w:right w:w="20" w:type="dxa"/>
            </w:tcMar>
            <w:vAlign w:val="bottom"/>
          </w:tcPr>
          <w:p w14:paraId="6FE95E10" w14:textId="0CEEADFC" w:rsidR="00980409" w:rsidRPr="00A53232" w:rsidRDefault="00980409" w:rsidP="00980409">
            <w:pPr>
              <w:ind w:left="-1554" w:right="22"/>
              <w:jc w:val="right"/>
              <w:rPr>
                <w:sz w:val="11"/>
                <w:szCs w:val="11"/>
              </w:rPr>
            </w:pPr>
            <w:r w:rsidRPr="00A53232">
              <w:rPr>
                <w:sz w:val="11"/>
                <w:szCs w:val="11"/>
              </w:rPr>
              <w:t>-</w:t>
            </w:r>
          </w:p>
        </w:tc>
        <w:tc>
          <w:tcPr>
            <w:tcW w:w="648" w:type="dxa"/>
            <w:noWrap/>
            <w:tcMar>
              <w:top w:w="20" w:type="dxa"/>
              <w:left w:w="20" w:type="dxa"/>
              <w:bottom w:w="0" w:type="dxa"/>
              <w:right w:w="20" w:type="dxa"/>
            </w:tcMar>
            <w:vAlign w:val="bottom"/>
          </w:tcPr>
          <w:p w14:paraId="66CA8A37" w14:textId="6AD28BDA" w:rsidR="00980409" w:rsidRPr="00A53232" w:rsidRDefault="00980409" w:rsidP="00980409">
            <w:pPr>
              <w:ind w:left="-1554" w:right="22"/>
              <w:jc w:val="right"/>
              <w:rPr>
                <w:sz w:val="11"/>
                <w:szCs w:val="11"/>
              </w:rPr>
            </w:pPr>
            <w:r w:rsidRPr="00A53232">
              <w:rPr>
                <w:sz w:val="11"/>
                <w:szCs w:val="11"/>
              </w:rPr>
              <w:t>-</w:t>
            </w:r>
          </w:p>
        </w:tc>
        <w:tc>
          <w:tcPr>
            <w:tcW w:w="617" w:type="dxa"/>
            <w:noWrap/>
            <w:tcMar>
              <w:top w:w="20" w:type="dxa"/>
              <w:left w:w="20" w:type="dxa"/>
              <w:bottom w:w="0" w:type="dxa"/>
              <w:right w:w="20" w:type="dxa"/>
            </w:tcMar>
            <w:vAlign w:val="bottom"/>
          </w:tcPr>
          <w:p w14:paraId="03254A4F" w14:textId="420FB5E9" w:rsidR="00980409" w:rsidRPr="00A53232" w:rsidRDefault="00980409" w:rsidP="00980409">
            <w:pPr>
              <w:ind w:left="-1554" w:right="22"/>
              <w:jc w:val="right"/>
              <w:rPr>
                <w:sz w:val="11"/>
                <w:szCs w:val="11"/>
              </w:rPr>
            </w:pPr>
            <w:r w:rsidRPr="00A53232">
              <w:rPr>
                <w:sz w:val="11"/>
                <w:szCs w:val="11"/>
              </w:rPr>
              <w:t>-</w:t>
            </w:r>
          </w:p>
        </w:tc>
        <w:tc>
          <w:tcPr>
            <w:tcW w:w="642" w:type="dxa"/>
            <w:noWrap/>
            <w:tcMar>
              <w:top w:w="20" w:type="dxa"/>
              <w:left w:w="20" w:type="dxa"/>
              <w:bottom w:w="0" w:type="dxa"/>
              <w:right w:w="20" w:type="dxa"/>
            </w:tcMar>
            <w:vAlign w:val="bottom"/>
          </w:tcPr>
          <w:p w14:paraId="48A06282" w14:textId="12F269F5" w:rsidR="00980409" w:rsidRPr="00A53232" w:rsidRDefault="00980409" w:rsidP="00980409">
            <w:pPr>
              <w:ind w:left="-1554" w:right="22"/>
              <w:jc w:val="right"/>
              <w:rPr>
                <w:sz w:val="11"/>
                <w:szCs w:val="11"/>
              </w:rPr>
            </w:pPr>
            <w:r w:rsidRPr="00A53232">
              <w:rPr>
                <w:sz w:val="11"/>
                <w:szCs w:val="11"/>
              </w:rPr>
              <w:t>-</w:t>
            </w:r>
          </w:p>
        </w:tc>
        <w:tc>
          <w:tcPr>
            <w:tcW w:w="732" w:type="dxa"/>
            <w:vAlign w:val="bottom"/>
          </w:tcPr>
          <w:p w14:paraId="4BEFFCB4" w14:textId="01716A4F" w:rsidR="00980409" w:rsidRPr="00A53232" w:rsidRDefault="00980409" w:rsidP="00980409">
            <w:pPr>
              <w:ind w:left="-1554" w:right="22"/>
              <w:jc w:val="right"/>
              <w:rPr>
                <w:sz w:val="11"/>
                <w:szCs w:val="11"/>
              </w:rPr>
            </w:pPr>
            <w:r w:rsidRPr="00A53232">
              <w:rPr>
                <w:sz w:val="11"/>
                <w:szCs w:val="11"/>
              </w:rPr>
              <w:t>-</w:t>
            </w:r>
          </w:p>
        </w:tc>
        <w:tc>
          <w:tcPr>
            <w:tcW w:w="880" w:type="dxa"/>
            <w:vAlign w:val="bottom"/>
          </w:tcPr>
          <w:p w14:paraId="50BE7050" w14:textId="07BA0F33" w:rsidR="00980409" w:rsidRPr="00A53232" w:rsidRDefault="00980409" w:rsidP="00980409">
            <w:pPr>
              <w:ind w:left="-1554" w:right="22"/>
              <w:jc w:val="right"/>
              <w:rPr>
                <w:sz w:val="11"/>
                <w:szCs w:val="11"/>
              </w:rPr>
            </w:pPr>
            <w:r w:rsidRPr="00A53232">
              <w:rPr>
                <w:sz w:val="11"/>
                <w:szCs w:val="11"/>
              </w:rPr>
              <w:t>-</w:t>
            </w:r>
          </w:p>
        </w:tc>
        <w:tc>
          <w:tcPr>
            <w:tcW w:w="722" w:type="dxa"/>
            <w:noWrap/>
            <w:tcMar>
              <w:top w:w="20" w:type="dxa"/>
              <w:left w:w="20" w:type="dxa"/>
              <w:bottom w:w="0" w:type="dxa"/>
              <w:right w:w="20" w:type="dxa"/>
            </w:tcMar>
            <w:vAlign w:val="bottom"/>
          </w:tcPr>
          <w:p w14:paraId="34E78E9F" w14:textId="1895156A" w:rsidR="00980409" w:rsidRPr="00A53232" w:rsidRDefault="00980409" w:rsidP="00980409">
            <w:pPr>
              <w:ind w:left="-1554" w:right="22"/>
              <w:jc w:val="right"/>
              <w:rPr>
                <w:sz w:val="11"/>
                <w:szCs w:val="11"/>
              </w:rPr>
            </w:pPr>
            <w:r w:rsidRPr="00A53232">
              <w:rPr>
                <w:sz w:val="11"/>
                <w:szCs w:val="11"/>
              </w:rPr>
              <w:t>-</w:t>
            </w:r>
          </w:p>
        </w:tc>
        <w:tc>
          <w:tcPr>
            <w:tcW w:w="589" w:type="dxa"/>
            <w:noWrap/>
            <w:tcMar>
              <w:top w:w="20" w:type="dxa"/>
              <w:left w:w="20" w:type="dxa"/>
              <w:bottom w:w="0" w:type="dxa"/>
              <w:right w:w="20" w:type="dxa"/>
            </w:tcMar>
            <w:vAlign w:val="bottom"/>
          </w:tcPr>
          <w:p w14:paraId="32573045" w14:textId="3B976F57" w:rsidR="00980409" w:rsidRPr="00A53232" w:rsidRDefault="00980409" w:rsidP="00980409">
            <w:pPr>
              <w:ind w:left="-1554" w:right="22"/>
              <w:jc w:val="right"/>
              <w:rPr>
                <w:sz w:val="11"/>
                <w:szCs w:val="11"/>
              </w:rPr>
            </w:pPr>
            <w:r w:rsidRPr="00A53232">
              <w:rPr>
                <w:sz w:val="11"/>
                <w:szCs w:val="11"/>
              </w:rPr>
              <w:t>-</w:t>
            </w:r>
          </w:p>
        </w:tc>
        <w:tc>
          <w:tcPr>
            <w:tcW w:w="801" w:type="dxa"/>
            <w:noWrap/>
            <w:tcMar>
              <w:top w:w="20" w:type="dxa"/>
              <w:left w:w="20" w:type="dxa"/>
              <w:bottom w:w="0" w:type="dxa"/>
              <w:right w:w="20" w:type="dxa"/>
            </w:tcMar>
            <w:vAlign w:val="bottom"/>
          </w:tcPr>
          <w:p w14:paraId="55E39DFB" w14:textId="31B7949B" w:rsidR="00980409" w:rsidRPr="00A53232" w:rsidRDefault="00980409" w:rsidP="00980409">
            <w:pPr>
              <w:ind w:left="-1554" w:right="22"/>
              <w:jc w:val="right"/>
              <w:rPr>
                <w:sz w:val="11"/>
                <w:szCs w:val="11"/>
              </w:rPr>
            </w:pPr>
            <w:r w:rsidRPr="00A53232">
              <w:rPr>
                <w:sz w:val="11"/>
                <w:szCs w:val="11"/>
              </w:rPr>
              <w:t>-</w:t>
            </w:r>
          </w:p>
        </w:tc>
        <w:tc>
          <w:tcPr>
            <w:tcW w:w="626" w:type="dxa"/>
            <w:vAlign w:val="bottom"/>
          </w:tcPr>
          <w:p w14:paraId="18309B00" w14:textId="4EDAC37F" w:rsidR="00980409" w:rsidRPr="00A53232" w:rsidRDefault="00980409" w:rsidP="00980409">
            <w:pPr>
              <w:ind w:left="-1554" w:right="22"/>
              <w:jc w:val="right"/>
              <w:rPr>
                <w:sz w:val="11"/>
                <w:szCs w:val="11"/>
              </w:rPr>
            </w:pPr>
            <w:r w:rsidRPr="00A53232">
              <w:rPr>
                <w:sz w:val="11"/>
                <w:szCs w:val="11"/>
              </w:rPr>
              <w:t>-</w:t>
            </w:r>
          </w:p>
        </w:tc>
        <w:tc>
          <w:tcPr>
            <w:tcW w:w="728" w:type="dxa"/>
            <w:vAlign w:val="bottom"/>
          </w:tcPr>
          <w:p w14:paraId="1BB7094C" w14:textId="17E1B7C6" w:rsidR="00980409" w:rsidRPr="00A53232" w:rsidRDefault="00980409" w:rsidP="00980409">
            <w:pPr>
              <w:ind w:left="-1554" w:right="22"/>
              <w:jc w:val="right"/>
              <w:rPr>
                <w:sz w:val="11"/>
                <w:szCs w:val="11"/>
              </w:rPr>
            </w:pPr>
            <w:r w:rsidRPr="00A53232">
              <w:rPr>
                <w:sz w:val="11"/>
                <w:szCs w:val="11"/>
              </w:rPr>
              <w:t>-</w:t>
            </w:r>
          </w:p>
        </w:tc>
        <w:tc>
          <w:tcPr>
            <w:tcW w:w="756" w:type="dxa"/>
            <w:vAlign w:val="bottom"/>
          </w:tcPr>
          <w:p w14:paraId="57EC6839" w14:textId="32CBC3FC" w:rsidR="00980409" w:rsidRPr="00A53232" w:rsidRDefault="00980409" w:rsidP="00980409">
            <w:pPr>
              <w:ind w:left="-1554" w:right="22"/>
              <w:jc w:val="right"/>
              <w:rPr>
                <w:sz w:val="11"/>
                <w:szCs w:val="11"/>
              </w:rPr>
            </w:pPr>
            <w:r w:rsidRPr="00A53232">
              <w:rPr>
                <w:sz w:val="11"/>
                <w:szCs w:val="11"/>
              </w:rPr>
              <w:t>-</w:t>
            </w:r>
          </w:p>
        </w:tc>
      </w:tr>
      <w:tr w:rsidR="00980409" w:rsidRPr="007C0BA6" w14:paraId="2F6AE966" w14:textId="77777777" w:rsidTr="006C5DC4">
        <w:trPr>
          <w:trHeight w:val="80"/>
        </w:trPr>
        <w:tc>
          <w:tcPr>
            <w:tcW w:w="362" w:type="dxa"/>
            <w:noWrap/>
            <w:tcMar>
              <w:top w:w="20" w:type="dxa"/>
              <w:left w:w="20" w:type="dxa"/>
              <w:bottom w:w="0" w:type="dxa"/>
              <w:right w:w="20" w:type="dxa"/>
            </w:tcMar>
          </w:tcPr>
          <w:p w14:paraId="495E1A6F" w14:textId="77777777" w:rsidR="00980409" w:rsidRPr="007C0BA6" w:rsidRDefault="00980409" w:rsidP="00980409">
            <w:pPr>
              <w:spacing w:line="192" w:lineRule="auto"/>
              <w:ind w:right="-30"/>
              <w:rPr>
                <w:b/>
                <w:bCs/>
                <w:sz w:val="12"/>
                <w:szCs w:val="12"/>
              </w:rPr>
            </w:pPr>
            <w:r w:rsidRPr="007C0BA6">
              <w:rPr>
                <w:b/>
                <w:bCs/>
                <w:sz w:val="12"/>
                <w:szCs w:val="12"/>
              </w:rPr>
              <w:t>VI.</w:t>
            </w:r>
          </w:p>
        </w:tc>
        <w:tc>
          <w:tcPr>
            <w:tcW w:w="2332" w:type="dxa"/>
            <w:noWrap/>
            <w:tcMar>
              <w:top w:w="20" w:type="dxa"/>
              <w:left w:w="20" w:type="dxa"/>
              <w:bottom w:w="0" w:type="dxa"/>
              <w:right w:w="20" w:type="dxa"/>
            </w:tcMar>
            <w:vAlign w:val="bottom"/>
          </w:tcPr>
          <w:p w14:paraId="3A28F8E1" w14:textId="77777777" w:rsidR="00980409" w:rsidRPr="007C0BA6" w:rsidRDefault="00980409" w:rsidP="00980409">
            <w:pPr>
              <w:spacing w:line="192" w:lineRule="auto"/>
              <w:rPr>
                <w:b/>
                <w:sz w:val="12"/>
                <w:szCs w:val="12"/>
              </w:rPr>
            </w:pPr>
            <w:r w:rsidRPr="007C0BA6">
              <w:rPr>
                <w:b/>
                <w:sz w:val="12"/>
                <w:szCs w:val="12"/>
              </w:rPr>
              <w:t>Revaluation Differences of Intangible Assets</w:t>
            </w:r>
          </w:p>
        </w:tc>
        <w:tc>
          <w:tcPr>
            <w:tcW w:w="473" w:type="dxa"/>
            <w:vAlign w:val="bottom"/>
          </w:tcPr>
          <w:p w14:paraId="50E0A06F" w14:textId="77777777" w:rsidR="00980409" w:rsidRPr="007C0BA6" w:rsidRDefault="00980409" w:rsidP="00980409">
            <w:pPr>
              <w:jc w:val="center"/>
              <w:rPr>
                <w:rFonts w:eastAsia="Arial Unicode MS"/>
                <w:b/>
                <w:sz w:val="12"/>
                <w:szCs w:val="12"/>
              </w:rPr>
            </w:pPr>
          </w:p>
        </w:tc>
        <w:tc>
          <w:tcPr>
            <w:tcW w:w="525" w:type="dxa"/>
            <w:noWrap/>
            <w:tcMar>
              <w:top w:w="20" w:type="dxa"/>
              <w:left w:w="20" w:type="dxa"/>
              <w:bottom w:w="0" w:type="dxa"/>
              <w:right w:w="20" w:type="dxa"/>
            </w:tcMar>
            <w:vAlign w:val="bottom"/>
          </w:tcPr>
          <w:p w14:paraId="5477B437" w14:textId="4EA5C14A" w:rsidR="00980409" w:rsidRPr="00A53232" w:rsidRDefault="00980409" w:rsidP="00980409">
            <w:pPr>
              <w:ind w:left="-1554" w:right="22"/>
              <w:jc w:val="right"/>
              <w:rPr>
                <w:sz w:val="11"/>
                <w:szCs w:val="11"/>
              </w:rPr>
            </w:pPr>
            <w:r w:rsidRPr="00A53232">
              <w:rPr>
                <w:sz w:val="11"/>
                <w:szCs w:val="11"/>
              </w:rPr>
              <w:t>-</w:t>
            </w:r>
          </w:p>
        </w:tc>
        <w:tc>
          <w:tcPr>
            <w:tcW w:w="669" w:type="dxa"/>
            <w:vAlign w:val="bottom"/>
          </w:tcPr>
          <w:p w14:paraId="0F497F6B" w14:textId="2160E9C2" w:rsidR="00980409" w:rsidRPr="00A53232" w:rsidRDefault="00980409" w:rsidP="00980409">
            <w:pPr>
              <w:ind w:left="-1554" w:right="22"/>
              <w:jc w:val="right"/>
              <w:rPr>
                <w:sz w:val="11"/>
                <w:szCs w:val="11"/>
              </w:rPr>
            </w:pPr>
            <w:r w:rsidRPr="00A53232">
              <w:rPr>
                <w:sz w:val="11"/>
                <w:szCs w:val="11"/>
              </w:rPr>
              <w:t>-</w:t>
            </w:r>
          </w:p>
        </w:tc>
        <w:tc>
          <w:tcPr>
            <w:tcW w:w="536" w:type="dxa"/>
            <w:noWrap/>
            <w:tcMar>
              <w:top w:w="20" w:type="dxa"/>
              <w:left w:w="20" w:type="dxa"/>
              <w:bottom w:w="0" w:type="dxa"/>
              <w:right w:w="20" w:type="dxa"/>
            </w:tcMar>
            <w:vAlign w:val="bottom"/>
          </w:tcPr>
          <w:p w14:paraId="11A9F2C2" w14:textId="4661512C" w:rsidR="00980409" w:rsidRPr="00A53232" w:rsidRDefault="00980409" w:rsidP="00980409">
            <w:pPr>
              <w:ind w:left="-1554" w:right="22"/>
              <w:jc w:val="right"/>
              <w:rPr>
                <w:sz w:val="11"/>
                <w:szCs w:val="11"/>
              </w:rPr>
            </w:pPr>
            <w:r w:rsidRPr="00A53232">
              <w:rPr>
                <w:sz w:val="11"/>
                <w:szCs w:val="11"/>
              </w:rPr>
              <w:t>-</w:t>
            </w:r>
          </w:p>
        </w:tc>
        <w:tc>
          <w:tcPr>
            <w:tcW w:w="707" w:type="dxa"/>
            <w:noWrap/>
            <w:tcMar>
              <w:top w:w="20" w:type="dxa"/>
              <w:left w:w="20" w:type="dxa"/>
              <w:bottom w:w="0" w:type="dxa"/>
              <w:right w:w="20" w:type="dxa"/>
            </w:tcMar>
            <w:vAlign w:val="bottom"/>
          </w:tcPr>
          <w:p w14:paraId="3FD2A982" w14:textId="5EBC5060" w:rsidR="00980409" w:rsidRPr="00A53232" w:rsidRDefault="00980409" w:rsidP="00980409">
            <w:pPr>
              <w:ind w:left="-1554" w:right="22"/>
              <w:jc w:val="right"/>
              <w:rPr>
                <w:sz w:val="11"/>
                <w:szCs w:val="11"/>
              </w:rPr>
            </w:pPr>
            <w:r w:rsidRPr="00A53232">
              <w:rPr>
                <w:sz w:val="11"/>
                <w:szCs w:val="11"/>
              </w:rPr>
              <w:t>-</w:t>
            </w:r>
          </w:p>
        </w:tc>
        <w:tc>
          <w:tcPr>
            <w:tcW w:w="602" w:type="dxa"/>
            <w:noWrap/>
            <w:tcMar>
              <w:top w:w="20" w:type="dxa"/>
              <w:left w:w="20" w:type="dxa"/>
              <w:bottom w:w="0" w:type="dxa"/>
              <w:right w:w="20" w:type="dxa"/>
            </w:tcMar>
            <w:vAlign w:val="bottom"/>
          </w:tcPr>
          <w:p w14:paraId="0FBDC070" w14:textId="1824D70D" w:rsidR="00980409" w:rsidRPr="00A53232" w:rsidRDefault="00980409" w:rsidP="00980409">
            <w:pPr>
              <w:ind w:left="-1554" w:right="22"/>
              <w:jc w:val="right"/>
              <w:rPr>
                <w:sz w:val="11"/>
                <w:szCs w:val="11"/>
              </w:rPr>
            </w:pPr>
            <w:r w:rsidRPr="00A53232">
              <w:rPr>
                <w:sz w:val="11"/>
                <w:szCs w:val="11"/>
              </w:rPr>
              <w:t>-</w:t>
            </w:r>
          </w:p>
        </w:tc>
        <w:tc>
          <w:tcPr>
            <w:tcW w:w="536" w:type="dxa"/>
            <w:noWrap/>
            <w:tcMar>
              <w:top w:w="20" w:type="dxa"/>
              <w:left w:w="20" w:type="dxa"/>
              <w:bottom w:w="0" w:type="dxa"/>
              <w:right w:w="20" w:type="dxa"/>
            </w:tcMar>
            <w:vAlign w:val="bottom"/>
          </w:tcPr>
          <w:p w14:paraId="7D8C44DA" w14:textId="2F13F7C9" w:rsidR="00980409" w:rsidRPr="00A53232" w:rsidRDefault="00980409" w:rsidP="00980409">
            <w:pPr>
              <w:ind w:left="-1554" w:right="22"/>
              <w:jc w:val="right"/>
              <w:rPr>
                <w:sz w:val="11"/>
                <w:szCs w:val="11"/>
              </w:rPr>
            </w:pPr>
            <w:r w:rsidRPr="00A53232">
              <w:rPr>
                <w:sz w:val="11"/>
                <w:szCs w:val="11"/>
              </w:rPr>
              <w:t>-</w:t>
            </w:r>
          </w:p>
        </w:tc>
        <w:tc>
          <w:tcPr>
            <w:tcW w:w="821" w:type="dxa"/>
            <w:noWrap/>
            <w:tcMar>
              <w:top w:w="20" w:type="dxa"/>
              <w:left w:w="20" w:type="dxa"/>
              <w:bottom w:w="0" w:type="dxa"/>
              <w:right w:w="20" w:type="dxa"/>
            </w:tcMar>
            <w:vAlign w:val="bottom"/>
          </w:tcPr>
          <w:p w14:paraId="093A59EE" w14:textId="531E4495" w:rsidR="00980409" w:rsidRPr="00A53232" w:rsidRDefault="00980409" w:rsidP="00980409">
            <w:pPr>
              <w:ind w:left="-1554" w:right="22"/>
              <w:jc w:val="right"/>
              <w:rPr>
                <w:sz w:val="11"/>
                <w:szCs w:val="11"/>
              </w:rPr>
            </w:pPr>
            <w:r w:rsidRPr="00A53232">
              <w:rPr>
                <w:sz w:val="11"/>
                <w:szCs w:val="11"/>
              </w:rPr>
              <w:t>-</w:t>
            </w:r>
          </w:p>
        </w:tc>
        <w:tc>
          <w:tcPr>
            <w:tcW w:w="648" w:type="dxa"/>
            <w:noWrap/>
            <w:tcMar>
              <w:top w:w="20" w:type="dxa"/>
              <w:left w:w="20" w:type="dxa"/>
              <w:bottom w:w="0" w:type="dxa"/>
              <w:right w:w="20" w:type="dxa"/>
            </w:tcMar>
            <w:vAlign w:val="bottom"/>
          </w:tcPr>
          <w:p w14:paraId="1E98C752" w14:textId="079BAD64" w:rsidR="00980409" w:rsidRPr="00A53232" w:rsidRDefault="00980409" w:rsidP="00980409">
            <w:pPr>
              <w:ind w:left="-1554" w:right="22"/>
              <w:jc w:val="right"/>
              <w:rPr>
                <w:sz w:val="11"/>
                <w:szCs w:val="11"/>
              </w:rPr>
            </w:pPr>
            <w:r w:rsidRPr="00A53232">
              <w:rPr>
                <w:sz w:val="11"/>
                <w:szCs w:val="11"/>
              </w:rPr>
              <w:t>-</w:t>
            </w:r>
          </w:p>
        </w:tc>
        <w:tc>
          <w:tcPr>
            <w:tcW w:w="617" w:type="dxa"/>
            <w:noWrap/>
            <w:tcMar>
              <w:top w:w="20" w:type="dxa"/>
              <w:left w:w="20" w:type="dxa"/>
              <w:bottom w:w="0" w:type="dxa"/>
              <w:right w:w="20" w:type="dxa"/>
            </w:tcMar>
            <w:vAlign w:val="bottom"/>
          </w:tcPr>
          <w:p w14:paraId="66234FAE" w14:textId="087BF74B" w:rsidR="00980409" w:rsidRPr="00A53232" w:rsidRDefault="00980409" w:rsidP="00980409">
            <w:pPr>
              <w:ind w:left="-1554" w:right="22"/>
              <w:jc w:val="right"/>
              <w:rPr>
                <w:sz w:val="11"/>
                <w:szCs w:val="11"/>
              </w:rPr>
            </w:pPr>
            <w:r w:rsidRPr="00A53232">
              <w:rPr>
                <w:sz w:val="11"/>
                <w:szCs w:val="11"/>
              </w:rPr>
              <w:t>-</w:t>
            </w:r>
          </w:p>
        </w:tc>
        <w:tc>
          <w:tcPr>
            <w:tcW w:w="642" w:type="dxa"/>
            <w:noWrap/>
            <w:tcMar>
              <w:top w:w="20" w:type="dxa"/>
              <w:left w:w="20" w:type="dxa"/>
              <w:bottom w:w="0" w:type="dxa"/>
              <w:right w:w="20" w:type="dxa"/>
            </w:tcMar>
            <w:vAlign w:val="bottom"/>
          </w:tcPr>
          <w:p w14:paraId="73B4BD92" w14:textId="759B475D" w:rsidR="00980409" w:rsidRPr="00A53232" w:rsidRDefault="00980409" w:rsidP="00980409">
            <w:pPr>
              <w:ind w:left="-1554" w:right="22"/>
              <w:jc w:val="right"/>
              <w:rPr>
                <w:sz w:val="11"/>
                <w:szCs w:val="11"/>
              </w:rPr>
            </w:pPr>
            <w:r w:rsidRPr="00A53232">
              <w:rPr>
                <w:sz w:val="11"/>
                <w:szCs w:val="11"/>
              </w:rPr>
              <w:t>-</w:t>
            </w:r>
          </w:p>
        </w:tc>
        <w:tc>
          <w:tcPr>
            <w:tcW w:w="732" w:type="dxa"/>
            <w:vAlign w:val="bottom"/>
          </w:tcPr>
          <w:p w14:paraId="77D97170" w14:textId="63CEB00E" w:rsidR="00980409" w:rsidRPr="00A53232" w:rsidRDefault="00980409" w:rsidP="00980409">
            <w:pPr>
              <w:ind w:left="-1554" w:right="22"/>
              <w:jc w:val="right"/>
              <w:rPr>
                <w:sz w:val="11"/>
                <w:szCs w:val="11"/>
              </w:rPr>
            </w:pPr>
            <w:r w:rsidRPr="00A53232">
              <w:rPr>
                <w:sz w:val="11"/>
                <w:szCs w:val="11"/>
              </w:rPr>
              <w:t>-</w:t>
            </w:r>
          </w:p>
        </w:tc>
        <w:tc>
          <w:tcPr>
            <w:tcW w:w="880" w:type="dxa"/>
            <w:vAlign w:val="bottom"/>
          </w:tcPr>
          <w:p w14:paraId="6BE1C900" w14:textId="71099E7E" w:rsidR="00980409" w:rsidRPr="00A53232" w:rsidRDefault="00980409" w:rsidP="00980409">
            <w:pPr>
              <w:ind w:left="-1554" w:right="22"/>
              <w:jc w:val="right"/>
              <w:rPr>
                <w:sz w:val="11"/>
                <w:szCs w:val="11"/>
              </w:rPr>
            </w:pPr>
            <w:r w:rsidRPr="00A53232">
              <w:rPr>
                <w:sz w:val="11"/>
                <w:szCs w:val="11"/>
              </w:rPr>
              <w:t>-</w:t>
            </w:r>
          </w:p>
        </w:tc>
        <w:tc>
          <w:tcPr>
            <w:tcW w:w="722" w:type="dxa"/>
            <w:noWrap/>
            <w:tcMar>
              <w:top w:w="20" w:type="dxa"/>
              <w:left w:w="20" w:type="dxa"/>
              <w:bottom w:w="0" w:type="dxa"/>
              <w:right w:w="20" w:type="dxa"/>
            </w:tcMar>
            <w:vAlign w:val="bottom"/>
          </w:tcPr>
          <w:p w14:paraId="4FE8F3D1" w14:textId="6DB92FA1" w:rsidR="00980409" w:rsidRPr="00A53232" w:rsidRDefault="00980409" w:rsidP="00980409">
            <w:pPr>
              <w:ind w:left="-1554" w:right="22"/>
              <w:jc w:val="right"/>
              <w:rPr>
                <w:sz w:val="11"/>
                <w:szCs w:val="11"/>
              </w:rPr>
            </w:pPr>
            <w:r w:rsidRPr="00A53232">
              <w:rPr>
                <w:sz w:val="11"/>
                <w:szCs w:val="11"/>
              </w:rPr>
              <w:t>-</w:t>
            </w:r>
          </w:p>
        </w:tc>
        <w:tc>
          <w:tcPr>
            <w:tcW w:w="589" w:type="dxa"/>
            <w:noWrap/>
            <w:tcMar>
              <w:top w:w="20" w:type="dxa"/>
              <w:left w:w="20" w:type="dxa"/>
              <w:bottom w:w="0" w:type="dxa"/>
              <w:right w:w="20" w:type="dxa"/>
            </w:tcMar>
            <w:vAlign w:val="bottom"/>
          </w:tcPr>
          <w:p w14:paraId="36DE8BA4" w14:textId="699C7DB3" w:rsidR="00980409" w:rsidRPr="00A53232" w:rsidRDefault="00980409" w:rsidP="00980409">
            <w:pPr>
              <w:ind w:left="-1554" w:right="22"/>
              <w:jc w:val="right"/>
              <w:rPr>
                <w:sz w:val="11"/>
                <w:szCs w:val="11"/>
              </w:rPr>
            </w:pPr>
            <w:r w:rsidRPr="00A53232">
              <w:rPr>
                <w:sz w:val="11"/>
                <w:szCs w:val="11"/>
              </w:rPr>
              <w:t>-</w:t>
            </w:r>
          </w:p>
        </w:tc>
        <w:tc>
          <w:tcPr>
            <w:tcW w:w="801" w:type="dxa"/>
            <w:noWrap/>
            <w:tcMar>
              <w:top w:w="20" w:type="dxa"/>
              <w:left w:w="20" w:type="dxa"/>
              <w:bottom w:w="0" w:type="dxa"/>
              <w:right w:w="20" w:type="dxa"/>
            </w:tcMar>
            <w:vAlign w:val="bottom"/>
          </w:tcPr>
          <w:p w14:paraId="129FEFF1" w14:textId="1443ABF1" w:rsidR="00980409" w:rsidRPr="00A53232" w:rsidRDefault="00980409" w:rsidP="00980409">
            <w:pPr>
              <w:ind w:left="-1554" w:right="22"/>
              <w:jc w:val="right"/>
              <w:rPr>
                <w:sz w:val="11"/>
                <w:szCs w:val="11"/>
              </w:rPr>
            </w:pPr>
            <w:r w:rsidRPr="00A53232">
              <w:rPr>
                <w:sz w:val="11"/>
                <w:szCs w:val="11"/>
              </w:rPr>
              <w:t>-</w:t>
            </w:r>
          </w:p>
        </w:tc>
        <w:tc>
          <w:tcPr>
            <w:tcW w:w="626" w:type="dxa"/>
            <w:vAlign w:val="bottom"/>
          </w:tcPr>
          <w:p w14:paraId="1CC4B078" w14:textId="3143AAC8" w:rsidR="00980409" w:rsidRPr="00A53232" w:rsidRDefault="00980409" w:rsidP="00980409">
            <w:pPr>
              <w:ind w:left="-1554" w:right="22"/>
              <w:jc w:val="right"/>
              <w:rPr>
                <w:sz w:val="11"/>
                <w:szCs w:val="11"/>
              </w:rPr>
            </w:pPr>
            <w:r w:rsidRPr="00A53232">
              <w:rPr>
                <w:sz w:val="11"/>
                <w:szCs w:val="11"/>
              </w:rPr>
              <w:t>-</w:t>
            </w:r>
          </w:p>
        </w:tc>
        <w:tc>
          <w:tcPr>
            <w:tcW w:w="728" w:type="dxa"/>
            <w:vAlign w:val="bottom"/>
          </w:tcPr>
          <w:p w14:paraId="40B29CBF" w14:textId="4AED524C" w:rsidR="00980409" w:rsidRPr="00A53232" w:rsidRDefault="00980409" w:rsidP="00980409">
            <w:pPr>
              <w:ind w:left="-1554" w:right="22"/>
              <w:jc w:val="right"/>
              <w:rPr>
                <w:sz w:val="11"/>
                <w:szCs w:val="11"/>
              </w:rPr>
            </w:pPr>
            <w:r w:rsidRPr="00A53232">
              <w:rPr>
                <w:sz w:val="11"/>
                <w:szCs w:val="11"/>
              </w:rPr>
              <w:t>-</w:t>
            </w:r>
          </w:p>
        </w:tc>
        <w:tc>
          <w:tcPr>
            <w:tcW w:w="756" w:type="dxa"/>
            <w:vAlign w:val="bottom"/>
          </w:tcPr>
          <w:p w14:paraId="1F342B39" w14:textId="4540E849" w:rsidR="00980409" w:rsidRPr="00A53232" w:rsidRDefault="00980409" w:rsidP="00980409">
            <w:pPr>
              <w:ind w:left="-1554" w:right="22"/>
              <w:jc w:val="right"/>
              <w:rPr>
                <w:sz w:val="11"/>
                <w:szCs w:val="11"/>
              </w:rPr>
            </w:pPr>
            <w:r w:rsidRPr="00A53232">
              <w:rPr>
                <w:sz w:val="11"/>
                <w:szCs w:val="11"/>
              </w:rPr>
              <w:t>-</w:t>
            </w:r>
          </w:p>
        </w:tc>
      </w:tr>
      <w:tr w:rsidR="00980409" w:rsidRPr="007C0BA6" w14:paraId="2EC68065" w14:textId="77777777" w:rsidTr="006C5DC4">
        <w:trPr>
          <w:trHeight w:val="80"/>
        </w:trPr>
        <w:tc>
          <w:tcPr>
            <w:tcW w:w="362" w:type="dxa"/>
            <w:noWrap/>
            <w:tcMar>
              <w:top w:w="20" w:type="dxa"/>
              <w:left w:w="20" w:type="dxa"/>
              <w:bottom w:w="0" w:type="dxa"/>
              <w:right w:w="20" w:type="dxa"/>
            </w:tcMar>
          </w:tcPr>
          <w:p w14:paraId="3388B0AB" w14:textId="77777777" w:rsidR="00980409" w:rsidRPr="007C0BA6" w:rsidRDefault="00980409" w:rsidP="00980409">
            <w:pPr>
              <w:spacing w:line="192" w:lineRule="auto"/>
              <w:ind w:right="-30"/>
              <w:rPr>
                <w:b/>
                <w:bCs/>
                <w:sz w:val="12"/>
                <w:szCs w:val="12"/>
              </w:rPr>
            </w:pPr>
            <w:r w:rsidRPr="007C0BA6">
              <w:rPr>
                <w:b/>
                <w:bCs/>
                <w:sz w:val="12"/>
                <w:szCs w:val="12"/>
              </w:rPr>
              <w:t>VII.</w:t>
            </w:r>
          </w:p>
        </w:tc>
        <w:tc>
          <w:tcPr>
            <w:tcW w:w="2332" w:type="dxa"/>
            <w:noWrap/>
            <w:tcMar>
              <w:top w:w="20" w:type="dxa"/>
              <w:left w:w="20" w:type="dxa"/>
              <w:bottom w:w="0" w:type="dxa"/>
              <w:right w:w="20" w:type="dxa"/>
            </w:tcMar>
            <w:vAlign w:val="bottom"/>
          </w:tcPr>
          <w:p w14:paraId="1DEE55F5" w14:textId="77777777" w:rsidR="00980409" w:rsidRPr="007C0BA6" w:rsidRDefault="00980409" w:rsidP="00980409">
            <w:pPr>
              <w:spacing w:line="192" w:lineRule="auto"/>
              <w:rPr>
                <w:b/>
                <w:sz w:val="12"/>
                <w:szCs w:val="12"/>
              </w:rPr>
            </w:pPr>
            <w:r w:rsidRPr="007C0BA6">
              <w:rPr>
                <w:b/>
                <w:sz w:val="12"/>
                <w:szCs w:val="12"/>
              </w:rPr>
              <w:t xml:space="preserve">Bonus Shares Obtained from Investments in Associates, Subsidiaries and Joint Ventures </w:t>
            </w:r>
          </w:p>
        </w:tc>
        <w:tc>
          <w:tcPr>
            <w:tcW w:w="473" w:type="dxa"/>
            <w:vAlign w:val="bottom"/>
          </w:tcPr>
          <w:p w14:paraId="5B645691"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3359EC37" w14:textId="5B726231" w:rsidR="00980409" w:rsidRPr="00A53232" w:rsidRDefault="00980409" w:rsidP="00980409">
            <w:pPr>
              <w:ind w:left="-1554" w:right="22"/>
              <w:jc w:val="right"/>
              <w:rPr>
                <w:sz w:val="11"/>
                <w:szCs w:val="11"/>
              </w:rPr>
            </w:pPr>
            <w:r w:rsidRPr="00A53232">
              <w:rPr>
                <w:sz w:val="11"/>
                <w:szCs w:val="11"/>
              </w:rPr>
              <w:t>-</w:t>
            </w:r>
          </w:p>
        </w:tc>
        <w:tc>
          <w:tcPr>
            <w:tcW w:w="669" w:type="dxa"/>
            <w:vAlign w:val="bottom"/>
          </w:tcPr>
          <w:p w14:paraId="1BC7D745" w14:textId="4ED2F9C6" w:rsidR="00980409" w:rsidRPr="00A53232" w:rsidRDefault="00980409" w:rsidP="00980409">
            <w:pPr>
              <w:ind w:left="-1554" w:right="22"/>
              <w:jc w:val="right"/>
              <w:rPr>
                <w:sz w:val="11"/>
                <w:szCs w:val="11"/>
              </w:rPr>
            </w:pPr>
            <w:r w:rsidRPr="00A53232">
              <w:rPr>
                <w:sz w:val="11"/>
                <w:szCs w:val="11"/>
              </w:rPr>
              <w:t>-</w:t>
            </w:r>
          </w:p>
        </w:tc>
        <w:tc>
          <w:tcPr>
            <w:tcW w:w="536" w:type="dxa"/>
            <w:noWrap/>
            <w:tcMar>
              <w:top w:w="20" w:type="dxa"/>
              <w:left w:w="20" w:type="dxa"/>
              <w:bottom w:w="0" w:type="dxa"/>
              <w:right w:w="20" w:type="dxa"/>
            </w:tcMar>
            <w:vAlign w:val="bottom"/>
          </w:tcPr>
          <w:p w14:paraId="5C9A2B03" w14:textId="377BB63A" w:rsidR="00980409" w:rsidRPr="00A53232" w:rsidRDefault="00980409" w:rsidP="00980409">
            <w:pPr>
              <w:ind w:left="-1554" w:right="22"/>
              <w:jc w:val="right"/>
              <w:rPr>
                <w:sz w:val="11"/>
                <w:szCs w:val="11"/>
              </w:rPr>
            </w:pPr>
            <w:r w:rsidRPr="00A53232">
              <w:rPr>
                <w:sz w:val="11"/>
                <w:szCs w:val="11"/>
              </w:rPr>
              <w:t>-</w:t>
            </w:r>
          </w:p>
        </w:tc>
        <w:tc>
          <w:tcPr>
            <w:tcW w:w="707" w:type="dxa"/>
            <w:noWrap/>
            <w:tcMar>
              <w:top w:w="20" w:type="dxa"/>
              <w:left w:w="20" w:type="dxa"/>
              <w:bottom w:w="0" w:type="dxa"/>
              <w:right w:w="20" w:type="dxa"/>
            </w:tcMar>
            <w:vAlign w:val="bottom"/>
          </w:tcPr>
          <w:p w14:paraId="2170EDBB" w14:textId="55211741" w:rsidR="00980409" w:rsidRPr="00A53232" w:rsidRDefault="00980409" w:rsidP="00980409">
            <w:pPr>
              <w:ind w:left="-1554" w:right="22"/>
              <w:jc w:val="right"/>
              <w:rPr>
                <w:sz w:val="11"/>
                <w:szCs w:val="11"/>
              </w:rPr>
            </w:pPr>
            <w:r w:rsidRPr="00A53232">
              <w:rPr>
                <w:sz w:val="11"/>
                <w:szCs w:val="11"/>
              </w:rPr>
              <w:t>-</w:t>
            </w:r>
          </w:p>
        </w:tc>
        <w:tc>
          <w:tcPr>
            <w:tcW w:w="602" w:type="dxa"/>
            <w:noWrap/>
            <w:tcMar>
              <w:top w:w="20" w:type="dxa"/>
              <w:left w:w="20" w:type="dxa"/>
              <w:bottom w:w="0" w:type="dxa"/>
              <w:right w:w="20" w:type="dxa"/>
            </w:tcMar>
            <w:vAlign w:val="bottom"/>
          </w:tcPr>
          <w:p w14:paraId="045CD808" w14:textId="3B7F34A2" w:rsidR="00980409" w:rsidRPr="00A53232" w:rsidRDefault="00980409" w:rsidP="00980409">
            <w:pPr>
              <w:ind w:left="-1554" w:right="22"/>
              <w:jc w:val="right"/>
              <w:rPr>
                <w:sz w:val="11"/>
                <w:szCs w:val="11"/>
              </w:rPr>
            </w:pPr>
            <w:r w:rsidRPr="00A53232">
              <w:rPr>
                <w:sz w:val="11"/>
                <w:szCs w:val="11"/>
              </w:rPr>
              <w:t>-</w:t>
            </w:r>
          </w:p>
        </w:tc>
        <w:tc>
          <w:tcPr>
            <w:tcW w:w="536" w:type="dxa"/>
            <w:noWrap/>
            <w:tcMar>
              <w:top w:w="20" w:type="dxa"/>
              <w:left w:w="20" w:type="dxa"/>
              <w:bottom w:w="0" w:type="dxa"/>
              <w:right w:w="20" w:type="dxa"/>
            </w:tcMar>
            <w:vAlign w:val="bottom"/>
          </w:tcPr>
          <w:p w14:paraId="78D86E1D" w14:textId="62FEB622" w:rsidR="00980409" w:rsidRPr="00A53232" w:rsidRDefault="00980409" w:rsidP="00980409">
            <w:pPr>
              <w:ind w:left="-1554" w:right="22"/>
              <w:jc w:val="right"/>
              <w:rPr>
                <w:sz w:val="11"/>
                <w:szCs w:val="11"/>
              </w:rPr>
            </w:pPr>
            <w:r w:rsidRPr="00A53232">
              <w:rPr>
                <w:sz w:val="11"/>
                <w:szCs w:val="11"/>
              </w:rPr>
              <w:t>-</w:t>
            </w:r>
          </w:p>
        </w:tc>
        <w:tc>
          <w:tcPr>
            <w:tcW w:w="821" w:type="dxa"/>
            <w:noWrap/>
            <w:tcMar>
              <w:top w:w="20" w:type="dxa"/>
              <w:left w:w="20" w:type="dxa"/>
              <w:bottom w:w="0" w:type="dxa"/>
              <w:right w:w="20" w:type="dxa"/>
            </w:tcMar>
            <w:vAlign w:val="bottom"/>
          </w:tcPr>
          <w:p w14:paraId="22054C1E" w14:textId="2AEB78F5" w:rsidR="00980409" w:rsidRPr="00A53232" w:rsidRDefault="00980409" w:rsidP="00980409">
            <w:pPr>
              <w:ind w:left="-1554" w:right="22"/>
              <w:jc w:val="right"/>
              <w:rPr>
                <w:sz w:val="11"/>
                <w:szCs w:val="11"/>
              </w:rPr>
            </w:pPr>
            <w:r w:rsidRPr="00A53232">
              <w:rPr>
                <w:sz w:val="11"/>
                <w:szCs w:val="11"/>
              </w:rPr>
              <w:t>-</w:t>
            </w:r>
          </w:p>
        </w:tc>
        <w:tc>
          <w:tcPr>
            <w:tcW w:w="648" w:type="dxa"/>
            <w:noWrap/>
            <w:tcMar>
              <w:top w:w="20" w:type="dxa"/>
              <w:left w:w="20" w:type="dxa"/>
              <w:bottom w:w="0" w:type="dxa"/>
              <w:right w:w="20" w:type="dxa"/>
            </w:tcMar>
            <w:vAlign w:val="bottom"/>
          </w:tcPr>
          <w:p w14:paraId="4045DEDC" w14:textId="677E155E" w:rsidR="00980409" w:rsidRPr="00A53232" w:rsidRDefault="00980409" w:rsidP="00980409">
            <w:pPr>
              <w:ind w:left="-1554" w:right="22"/>
              <w:jc w:val="right"/>
              <w:rPr>
                <w:sz w:val="11"/>
                <w:szCs w:val="11"/>
              </w:rPr>
            </w:pPr>
            <w:r w:rsidRPr="00A53232">
              <w:rPr>
                <w:sz w:val="11"/>
                <w:szCs w:val="11"/>
              </w:rPr>
              <w:t>-</w:t>
            </w:r>
          </w:p>
        </w:tc>
        <w:tc>
          <w:tcPr>
            <w:tcW w:w="617" w:type="dxa"/>
            <w:noWrap/>
            <w:tcMar>
              <w:top w:w="20" w:type="dxa"/>
              <w:left w:w="20" w:type="dxa"/>
              <w:bottom w:w="0" w:type="dxa"/>
              <w:right w:w="20" w:type="dxa"/>
            </w:tcMar>
            <w:vAlign w:val="bottom"/>
          </w:tcPr>
          <w:p w14:paraId="53836E18" w14:textId="777BF9FE" w:rsidR="00980409" w:rsidRPr="00A53232" w:rsidRDefault="00980409" w:rsidP="00980409">
            <w:pPr>
              <w:ind w:left="-1554" w:right="22"/>
              <w:jc w:val="right"/>
              <w:rPr>
                <w:sz w:val="11"/>
                <w:szCs w:val="11"/>
              </w:rPr>
            </w:pPr>
            <w:r w:rsidRPr="00A53232">
              <w:rPr>
                <w:sz w:val="11"/>
                <w:szCs w:val="11"/>
              </w:rPr>
              <w:t>-</w:t>
            </w:r>
          </w:p>
        </w:tc>
        <w:tc>
          <w:tcPr>
            <w:tcW w:w="642" w:type="dxa"/>
            <w:noWrap/>
            <w:tcMar>
              <w:top w:w="20" w:type="dxa"/>
              <w:left w:w="20" w:type="dxa"/>
              <w:bottom w:w="0" w:type="dxa"/>
              <w:right w:w="20" w:type="dxa"/>
            </w:tcMar>
            <w:vAlign w:val="bottom"/>
          </w:tcPr>
          <w:p w14:paraId="74237631" w14:textId="2BAB13F0" w:rsidR="00980409" w:rsidRPr="00A53232" w:rsidRDefault="00980409" w:rsidP="00980409">
            <w:pPr>
              <w:ind w:left="-1554" w:right="22"/>
              <w:jc w:val="right"/>
              <w:rPr>
                <w:sz w:val="11"/>
                <w:szCs w:val="11"/>
              </w:rPr>
            </w:pPr>
            <w:r w:rsidRPr="00A53232">
              <w:rPr>
                <w:sz w:val="11"/>
                <w:szCs w:val="11"/>
              </w:rPr>
              <w:t>-</w:t>
            </w:r>
          </w:p>
        </w:tc>
        <w:tc>
          <w:tcPr>
            <w:tcW w:w="732" w:type="dxa"/>
            <w:vAlign w:val="bottom"/>
          </w:tcPr>
          <w:p w14:paraId="0F7A3016" w14:textId="791290CC" w:rsidR="00980409" w:rsidRPr="00A53232" w:rsidRDefault="00980409" w:rsidP="00980409">
            <w:pPr>
              <w:ind w:left="-1554" w:right="22"/>
              <w:jc w:val="right"/>
              <w:rPr>
                <w:sz w:val="11"/>
                <w:szCs w:val="11"/>
              </w:rPr>
            </w:pPr>
            <w:r w:rsidRPr="00A53232">
              <w:rPr>
                <w:sz w:val="11"/>
                <w:szCs w:val="11"/>
              </w:rPr>
              <w:t>-</w:t>
            </w:r>
          </w:p>
        </w:tc>
        <w:tc>
          <w:tcPr>
            <w:tcW w:w="880" w:type="dxa"/>
            <w:vAlign w:val="bottom"/>
          </w:tcPr>
          <w:p w14:paraId="5D938040" w14:textId="23795FE3" w:rsidR="00980409" w:rsidRPr="00A53232" w:rsidRDefault="00980409" w:rsidP="00980409">
            <w:pPr>
              <w:ind w:left="-1554" w:right="22"/>
              <w:jc w:val="right"/>
              <w:rPr>
                <w:sz w:val="11"/>
                <w:szCs w:val="11"/>
              </w:rPr>
            </w:pPr>
            <w:r w:rsidRPr="00A53232">
              <w:rPr>
                <w:sz w:val="11"/>
                <w:szCs w:val="11"/>
              </w:rPr>
              <w:t>-</w:t>
            </w:r>
          </w:p>
        </w:tc>
        <w:tc>
          <w:tcPr>
            <w:tcW w:w="722" w:type="dxa"/>
            <w:noWrap/>
            <w:tcMar>
              <w:top w:w="20" w:type="dxa"/>
              <w:left w:w="20" w:type="dxa"/>
              <w:bottom w:w="0" w:type="dxa"/>
              <w:right w:w="20" w:type="dxa"/>
            </w:tcMar>
            <w:vAlign w:val="bottom"/>
          </w:tcPr>
          <w:p w14:paraId="7EAC034B" w14:textId="420112DE" w:rsidR="00980409" w:rsidRPr="00A53232" w:rsidRDefault="00980409" w:rsidP="00980409">
            <w:pPr>
              <w:ind w:left="-1554" w:right="22"/>
              <w:jc w:val="right"/>
              <w:rPr>
                <w:sz w:val="11"/>
                <w:szCs w:val="11"/>
              </w:rPr>
            </w:pPr>
            <w:r w:rsidRPr="00A53232">
              <w:rPr>
                <w:sz w:val="11"/>
                <w:szCs w:val="11"/>
              </w:rPr>
              <w:t>-</w:t>
            </w:r>
          </w:p>
        </w:tc>
        <w:tc>
          <w:tcPr>
            <w:tcW w:w="589" w:type="dxa"/>
            <w:noWrap/>
            <w:tcMar>
              <w:top w:w="20" w:type="dxa"/>
              <w:left w:w="20" w:type="dxa"/>
              <w:bottom w:w="0" w:type="dxa"/>
              <w:right w:w="20" w:type="dxa"/>
            </w:tcMar>
            <w:vAlign w:val="bottom"/>
          </w:tcPr>
          <w:p w14:paraId="2807519A" w14:textId="5ED487D1" w:rsidR="00980409" w:rsidRPr="00A53232" w:rsidRDefault="00980409" w:rsidP="00980409">
            <w:pPr>
              <w:ind w:left="-1554" w:right="22"/>
              <w:jc w:val="right"/>
              <w:rPr>
                <w:sz w:val="11"/>
                <w:szCs w:val="11"/>
              </w:rPr>
            </w:pPr>
            <w:r w:rsidRPr="00A53232">
              <w:rPr>
                <w:sz w:val="11"/>
                <w:szCs w:val="11"/>
              </w:rPr>
              <w:t>-</w:t>
            </w:r>
          </w:p>
        </w:tc>
        <w:tc>
          <w:tcPr>
            <w:tcW w:w="801" w:type="dxa"/>
            <w:noWrap/>
            <w:tcMar>
              <w:top w:w="20" w:type="dxa"/>
              <w:left w:w="20" w:type="dxa"/>
              <w:bottom w:w="0" w:type="dxa"/>
              <w:right w:w="20" w:type="dxa"/>
            </w:tcMar>
            <w:vAlign w:val="bottom"/>
          </w:tcPr>
          <w:p w14:paraId="3BD25670" w14:textId="1F51812B" w:rsidR="00980409" w:rsidRPr="00A53232" w:rsidRDefault="00980409" w:rsidP="00980409">
            <w:pPr>
              <w:ind w:left="-1554" w:right="22"/>
              <w:jc w:val="right"/>
              <w:rPr>
                <w:sz w:val="11"/>
                <w:szCs w:val="11"/>
              </w:rPr>
            </w:pPr>
            <w:r w:rsidRPr="00A53232">
              <w:rPr>
                <w:sz w:val="11"/>
                <w:szCs w:val="11"/>
              </w:rPr>
              <w:t>-</w:t>
            </w:r>
          </w:p>
        </w:tc>
        <w:tc>
          <w:tcPr>
            <w:tcW w:w="626" w:type="dxa"/>
            <w:vAlign w:val="bottom"/>
          </w:tcPr>
          <w:p w14:paraId="0F4AEA32" w14:textId="4E33A2EC" w:rsidR="00980409" w:rsidRPr="00A53232" w:rsidRDefault="00980409" w:rsidP="00980409">
            <w:pPr>
              <w:ind w:left="-1554" w:right="22"/>
              <w:jc w:val="right"/>
              <w:rPr>
                <w:sz w:val="11"/>
                <w:szCs w:val="11"/>
              </w:rPr>
            </w:pPr>
            <w:r w:rsidRPr="00A53232">
              <w:rPr>
                <w:sz w:val="11"/>
                <w:szCs w:val="11"/>
              </w:rPr>
              <w:t>-</w:t>
            </w:r>
          </w:p>
        </w:tc>
        <w:tc>
          <w:tcPr>
            <w:tcW w:w="728" w:type="dxa"/>
            <w:vAlign w:val="bottom"/>
          </w:tcPr>
          <w:p w14:paraId="48073C08" w14:textId="06654C8B" w:rsidR="00980409" w:rsidRPr="00A53232" w:rsidRDefault="00980409" w:rsidP="00980409">
            <w:pPr>
              <w:ind w:left="-1554" w:right="22"/>
              <w:jc w:val="right"/>
              <w:rPr>
                <w:sz w:val="11"/>
                <w:szCs w:val="11"/>
              </w:rPr>
            </w:pPr>
            <w:r w:rsidRPr="00A53232">
              <w:rPr>
                <w:sz w:val="11"/>
                <w:szCs w:val="11"/>
              </w:rPr>
              <w:t>-</w:t>
            </w:r>
          </w:p>
        </w:tc>
        <w:tc>
          <w:tcPr>
            <w:tcW w:w="756" w:type="dxa"/>
            <w:vAlign w:val="bottom"/>
          </w:tcPr>
          <w:p w14:paraId="5896DDC4" w14:textId="751FC154" w:rsidR="00980409" w:rsidRPr="00A53232" w:rsidRDefault="00980409" w:rsidP="00980409">
            <w:pPr>
              <w:ind w:left="-1554" w:right="22"/>
              <w:jc w:val="right"/>
              <w:rPr>
                <w:sz w:val="11"/>
                <w:szCs w:val="11"/>
              </w:rPr>
            </w:pPr>
            <w:r w:rsidRPr="00A53232">
              <w:rPr>
                <w:sz w:val="11"/>
                <w:szCs w:val="11"/>
              </w:rPr>
              <w:t>-</w:t>
            </w:r>
          </w:p>
        </w:tc>
      </w:tr>
      <w:tr w:rsidR="00980409" w:rsidRPr="007C0BA6" w14:paraId="4FED8E30" w14:textId="77777777" w:rsidTr="00677268">
        <w:trPr>
          <w:trHeight w:val="80"/>
        </w:trPr>
        <w:tc>
          <w:tcPr>
            <w:tcW w:w="362" w:type="dxa"/>
            <w:noWrap/>
            <w:tcMar>
              <w:top w:w="20" w:type="dxa"/>
              <w:left w:w="20" w:type="dxa"/>
              <w:bottom w:w="0" w:type="dxa"/>
              <w:right w:w="20" w:type="dxa"/>
            </w:tcMar>
            <w:vAlign w:val="bottom"/>
          </w:tcPr>
          <w:p w14:paraId="10387484" w14:textId="77777777" w:rsidR="00980409" w:rsidRPr="007C0BA6" w:rsidRDefault="00980409" w:rsidP="00980409">
            <w:pPr>
              <w:spacing w:line="192" w:lineRule="auto"/>
              <w:ind w:right="-30"/>
              <w:rPr>
                <w:b/>
                <w:bCs/>
                <w:sz w:val="12"/>
                <w:szCs w:val="12"/>
              </w:rPr>
            </w:pPr>
            <w:r w:rsidRPr="007C0BA6">
              <w:rPr>
                <w:b/>
                <w:bCs/>
                <w:sz w:val="12"/>
                <w:szCs w:val="12"/>
              </w:rPr>
              <w:t>VIII.</w:t>
            </w:r>
          </w:p>
        </w:tc>
        <w:tc>
          <w:tcPr>
            <w:tcW w:w="2332" w:type="dxa"/>
            <w:noWrap/>
            <w:tcMar>
              <w:top w:w="20" w:type="dxa"/>
              <w:left w:w="20" w:type="dxa"/>
              <w:bottom w:w="0" w:type="dxa"/>
              <w:right w:w="20" w:type="dxa"/>
            </w:tcMar>
            <w:vAlign w:val="bottom"/>
          </w:tcPr>
          <w:p w14:paraId="60DAACEA" w14:textId="77777777" w:rsidR="00980409" w:rsidRPr="007C0BA6" w:rsidRDefault="00980409" w:rsidP="00980409">
            <w:pPr>
              <w:spacing w:line="192" w:lineRule="auto"/>
              <w:rPr>
                <w:sz w:val="12"/>
                <w:szCs w:val="12"/>
              </w:rPr>
            </w:pPr>
            <w:r w:rsidRPr="007C0BA6">
              <w:rPr>
                <w:b/>
                <w:sz w:val="12"/>
                <w:szCs w:val="12"/>
              </w:rPr>
              <w:t>Foreign Exchange Difference</w:t>
            </w:r>
          </w:p>
        </w:tc>
        <w:tc>
          <w:tcPr>
            <w:tcW w:w="473" w:type="dxa"/>
            <w:vAlign w:val="bottom"/>
          </w:tcPr>
          <w:p w14:paraId="4028795B" w14:textId="77777777" w:rsidR="00980409" w:rsidRPr="007C0BA6" w:rsidRDefault="00980409" w:rsidP="00980409">
            <w:pPr>
              <w:jc w:val="center"/>
              <w:rPr>
                <w:b/>
                <w:sz w:val="12"/>
                <w:szCs w:val="12"/>
              </w:rPr>
            </w:pPr>
          </w:p>
        </w:tc>
        <w:tc>
          <w:tcPr>
            <w:tcW w:w="525" w:type="dxa"/>
            <w:noWrap/>
            <w:tcMar>
              <w:top w:w="20" w:type="dxa"/>
              <w:left w:w="20" w:type="dxa"/>
              <w:bottom w:w="0" w:type="dxa"/>
              <w:right w:w="20" w:type="dxa"/>
            </w:tcMar>
            <w:vAlign w:val="bottom"/>
          </w:tcPr>
          <w:p w14:paraId="6BC4648F" w14:textId="2770DC97" w:rsidR="00980409" w:rsidRPr="00A53232" w:rsidRDefault="00980409" w:rsidP="00980409">
            <w:pPr>
              <w:ind w:left="-1554" w:right="22"/>
              <w:jc w:val="right"/>
              <w:rPr>
                <w:sz w:val="11"/>
                <w:szCs w:val="11"/>
              </w:rPr>
            </w:pPr>
            <w:r w:rsidRPr="00A53232">
              <w:rPr>
                <w:sz w:val="11"/>
                <w:szCs w:val="11"/>
              </w:rPr>
              <w:t>-</w:t>
            </w:r>
          </w:p>
        </w:tc>
        <w:tc>
          <w:tcPr>
            <w:tcW w:w="669" w:type="dxa"/>
            <w:vAlign w:val="bottom"/>
          </w:tcPr>
          <w:p w14:paraId="6852AD3F" w14:textId="27833F9B" w:rsidR="00980409" w:rsidRPr="00A53232" w:rsidRDefault="00980409" w:rsidP="00980409">
            <w:pPr>
              <w:ind w:left="-1554" w:right="22"/>
              <w:jc w:val="right"/>
              <w:rPr>
                <w:sz w:val="11"/>
                <w:szCs w:val="11"/>
              </w:rPr>
            </w:pPr>
            <w:r w:rsidRPr="00A53232">
              <w:rPr>
                <w:sz w:val="11"/>
                <w:szCs w:val="11"/>
              </w:rPr>
              <w:t>-</w:t>
            </w:r>
          </w:p>
        </w:tc>
        <w:tc>
          <w:tcPr>
            <w:tcW w:w="536" w:type="dxa"/>
            <w:noWrap/>
            <w:tcMar>
              <w:top w:w="20" w:type="dxa"/>
              <w:left w:w="20" w:type="dxa"/>
              <w:bottom w:w="0" w:type="dxa"/>
              <w:right w:w="20" w:type="dxa"/>
            </w:tcMar>
            <w:vAlign w:val="bottom"/>
          </w:tcPr>
          <w:p w14:paraId="46CD27EC" w14:textId="3EAC9EDD" w:rsidR="00980409" w:rsidRPr="00A53232" w:rsidRDefault="00980409" w:rsidP="00980409">
            <w:pPr>
              <w:ind w:left="-1554" w:right="22"/>
              <w:jc w:val="right"/>
              <w:rPr>
                <w:sz w:val="11"/>
                <w:szCs w:val="11"/>
              </w:rPr>
            </w:pPr>
            <w:r w:rsidRPr="00A53232">
              <w:rPr>
                <w:sz w:val="11"/>
                <w:szCs w:val="11"/>
              </w:rPr>
              <w:t>-</w:t>
            </w:r>
          </w:p>
        </w:tc>
        <w:tc>
          <w:tcPr>
            <w:tcW w:w="707" w:type="dxa"/>
            <w:noWrap/>
            <w:tcMar>
              <w:top w:w="20" w:type="dxa"/>
              <w:left w:w="20" w:type="dxa"/>
              <w:bottom w:w="0" w:type="dxa"/>
              <w:right w:w="20" w:type="dxa"/>
            </w:tcMar>
            <w:vAlign w:val="bottom"/>
          </w:tcPr>
          <w:p w14:paraId="47816100" w14:textId="578EAE9B" w:rsidR="00980409" w:rsidRPr="00A53232" w:rsidRDefault="00980409" w:rsidP="00980409">
            <w:pPr>
              <w:ind w:left="-1554" w:right="22"/>
              <w:jc w:val="right"/>
              <w:rPr>
                <w:sz w:val="11"/>
                <w:szCs w:val="11"/>
              </w:rPr>
            </w:pPr>
            <w:r w:rsidRPr="00A53232">
              <w:rPr>
                <w:sz w:val="11"/>
                <w:szCs w:val="11"/>
              </w:rPr>
              <w:t>-</w:t>
            </w:r>
          </w:p>
        </w:tc>
        <w:tc>
          <w:tcPr>
            <w:tcW w:w="602" w:type="dxa"/>
            <w:noWrap/>
            <w:tcMar>
              <w:top w:w="20" w:type="dxa"/>
              <w:left w:w="20" w:type="dxa"/>
              <w:bottom w:w="0" w:type="dxa"/>
              <w:right w:w="20" w:type="dxa"/>
            </w:tcMar>
            <w:vAlign w:val="bottom"/>
          </w:tcPr>
          <w:p w14:paraId="497315CA" w14:textId="3882F269" w:rsidR="00980409" w:rsidRPr="00A53232" w:rsidRDefault="00980409" w:rsidP="00980409">
            <w:pPr>
              <w:ind w:left="-1554" w:right="22"/>
              <w:jc w:val="right"/>
              <w:rPr>
                <w:sz w:val="11"/>
                <w:szCs w:val="11"/>
              </w:rPr>
            </w:pPr>
            <w:r w:rsidRPr="00A53232">
              <w:rPr>
                <w:sz w:val="11"/>
                <w:szCs w:val="11"/>
              </w:rPr>
              <w:t>-</w:t>
            </w:r>
          </w:p>
        </w:tc>
        <w:tc>
          <w:tcPr>
            <w:tcW w:w="536" w:type="dxa"/>
            <w:noWrap/>
            <w:tcMar>
              <w:top w:w="20" w:type="dxa"/>
              <w:left w:w="20" w:type="dxa"/>
              <w:bottom w:w="0" w:type="dxa"/>
              <w:right w:w="20" w:type="dxa"/>
            </w:tcMar>
            <w:vAlign w:val="bottom"/>
          </w:tcPr>
          <w:p w14:paraId="5F17C996" w14:textId="4AA00A11" w:rsidR="00980409" w:rsidRPr="00A53232" w:rsidRDefault="00980409" w:rsidP="00980409">
            <w:pPr>
              <w:ind w:left="-1554" w:right="22"/>
              <w:jc w:val="right"/>
              <w:rPr>
                <w:sz w:val="11"/>
                <w:szCs w:val="11"/>
              </w:rPr>
            </w:pPr>
            <w:r w:rsidRPr="00A53232">
              <w:rPr>
                <w:sz w:val="11"/>
                <w:szCs w:val="11"/>
              </w:rPr>
              <w:t>-</w:t>
            </w:r>
          </w:p>
        </w:tc>
        <w:tc>
          <w:tcPr>
            <w:tcW w:w="821" w:type="dxa"/>
            <w:noWrap/>
            <w:tcMar>
              <w:top w:w="20" w:type="dxa"/>
              <w:left w:w="20" w:type="dxa"/>
              <w:bottom w:w="0" w:type="dxa"/>
              <w:right w:w="20" w:type="dxa"/>
            </w:tcMar>
            <w:vAlign w:val="bottom"/>
          </w:tcPr>
          <w:p w14:paraId="2E9D6C37" w14:textId="6CBF5F8A" w:rsidR="00980409" w:rsidRPr="00A53232" w:rsidRDefault="00980409" w:rsidP="00980409">
            <w:pPr>
              <w:ind w:left="-1554" w:right="22"/>
              <w:jc w:val="right"/>
              <w:rPr>
                <w:sz w:val="11"/>
                <w:szCs w:val="11"/>
              </w:rPr>
            </w:pPr>
            <w:r w:rsidRPr="00A53232">
              <w:rPr>
                <w:sz w:val="11"/>
                <w:szCs w:val="11"/>
              </w:rPr>
              <w:t>-</w:t>
            </w:r>
          </w:p>
        </w:tc>
        <w:tc>
          <w:tcPr>
            <w:tcW w:w="648" w:type="dxa"/>
            <w:noWrap/>
            <w:tcMar>
              <w:top w:w="20" w:type="dxa"/>
              <w:left w:w="20" w:type="dxa"/>
              <w:bottom w:w="0" w:type="dxa"/>
              <w:right w:w="20" w:type="dxa"/>
            </w:tcMar>
            <w:vAlign w:val="bottom"/>
          </w:tcPr>
          <w:p w14:paraId="684D42F5" w14:textId="7E8F3007" w:rsidR="00980409" w:rsidRPr="00A53232" w:rsidRDefault="00980409" w:rsidP="00980409">
            <w:pPr>
              <w:ind w:left="-1554" w:right="22"/>
              <w:jc w:val="right"/>
              <w:rPr>
                <w:sz w:val="11"/>
                <w:szCs w:val="11"/>
              </w:rPr>
            </w:pPr>
            <w:r w:rsidRPr="00A53232">
              <w:rPr>
                <w:sz w:val="11"/>
                <w:szCs w:val="11"/>
              </w:rPr>
              <w:t>-</w:t>
            </w:r>
          </w:p>
        </w:tc>
        <w:tc>
          <w:tcPr>
            <w:tcW w:w="617" w:type="dxa"/>
            <w:noWrap/>
            <w:tcMar>
              <w:top w:w="20" w:type="dxa"/>
              <w:left w:w="20" w:type="dxa"/>
              <w:bottom w:w="0" w:type="dxa"/>
              <w:right w:w="20" w:type="dxa"/>
            </w:tcMar>
            <w:vAlign w:val="bottom"/>
          </w:tcPr>
          <w:p w14:paraId="770EAE0E" w14:textId="66874422" w:rsidR="00980409" w:rsidRPr="00A53232" w:rsidRDefault="00980409" w:rsidP="00980409">
            <w:pPr>
              <w:ind w:left="-1554" w:right="22"/>
              <w:jc w:val="right"/>
              <w:rPr>
                <w:sz w:val="11"/>
                <w:szCs w:val="11"/>
              </w:rPr>
            </w:pPr>
            <w:r w:rsidRPr="00A53232">
              <w:rPr>
                <w:sz w:val="11"/>
                <w:szCs w:val="11"/>
              </w:rPr>
              <w:t>-</w:t>
            </w:r>
          </w:p>
        </w:tc>
        <w:tc>
          <w:tcPr>
            <w:tcW w:w="642" w:type="dxa"/>
            <w:noWrap/>
            <w:tcMar>
              <w:top w:w="20" w:type="dxa"/>
              <w:left w:w="20" w:type="dxa"/>
              <w:bottom w:w="0" w:type="dxa"/>
              <w:right w:w="20" w:type="dxa"/>
            </w:tcMar>
            <w:vAlign w:val="bottom"/>
          </w:tcPr>
          <w:p w14:paraId="0938555C" w14:textId="37DE6A14" w:rsidR="00980409" w:rsidRPr="00A53232" w:rsidRDefault="00980409" w:rsidP="00980409">
            <w:pPr>
              <w:ind w:left="-1554" w:right="22"/>
              <w:jc w:val="right"/>
              <w:rPr>
                <w:sz w:val="11"/>
                <w:szCs w:val="11"/>
              </w:rPr>
            </w:pPr>
            <w:r w:rsidRPr="00A53232">
              <w:rPr>
                <w:sz w:val="11"/>
                <w:szCs w:val="11"/>
              </w:rPr>
              <w:t>-</w:t>
            </w:r>
          </w:p>
        </w:tc>
        <w:tc>
          <w:tcPr>
            <w:tcW w:w="732" w:type="dxa"/>
            <w:vAlign w:val="bottom"/>
          </w:tcPr>
          <w:p w14:paraId="512F7114" w14:textId="738F9999" w:rsidR="00980409" w:rsidRPr="00A53232" w:rsidRDefault="00980409" w:rsidP="00980409">
            <w:pPr>
              <w:ind w:left="-1554" w:right="22"/>
              <w:jc w:val="right"/>
              <w:rPr>
                <w:sz w:val="11"/>
                <w:szCs w:val="11"/>
              </w:rPr>
            </w:pPr>
            <w:r w:rsidRPr="00A53232">
              <w:rPr>
                <w:sz w:val="11"/>
                <w:szCs w:val="11"/>
              </w:rPr>
              <w:t>-</w:t>
            </w:r>
          </w:p>
        </w:tc>
        <w:tc>
          <w:tcPr>
            <w:tcW w:w="880" w:type="dxa"/>
            <w:vAlign w:val="bottom"/>
          </w:tcPr>
          <w:p w14:paraId="2411F11F" w14:textId="2F1AD8CF" w:rsidR="00980409" w:rsidRPr="00A53232" w:rsidRDefault="00980409" w:rsidP="00980409">
            <w:pPr>
              <w:ind w:left="-1554" w:right="22"/>
              <w:jc w:val="right"/>
              <w:rPr>
                <w:sz w:val="11"/>
                <w:szCs w:val="11"/>
              </w:rPr>
            </w:pPr>
            <w:r w:rsidRPr="00A53232">
              <w:rPr>
                <w:sz w:val="11"/>
                <w:szCs w:val="11"/>
              </w:rPr>
              <w:t>-</w:t>
            </w:r>
          </w:p>
        </w:tc>
        <w:tc>
          <w:tcPr>
            <w:tcW w:w="722" w:type="dxa"/>
            <w:noWrap/>
            <w:tcMar>
              <w:top w:w="20" w:type="dxa"/>
              <w:left w:w="20" w:type="dxa"/>
              <w:bottom w:w="0" w:type="dxa"/>
              <w:right w:w="20" w:type="dxa"/>
            </w:tcMar>
            <w:vAlign w:val="bottom"/>
          </w:tcPr>
          <w:p w14:paraId="5F5BF878" w14:textId="6F42B33B" w:rsidR="00980409" w:rsidRPr="00A53232" w:rsidRDefault="00980409" w:rsidP="00980409">
            <w:pPr>
              <w:ind w:left="-1554" w:right="22"/>
              <w:jc w:val="right"/>
              <w:rPr>
                <w:sz w:val="11"/>
                <w:szCs w:val="11"/>
              </w:rPr>
            </w:pPr>
            <w:r w:rsidRPr="00A53232">
              <w:rPr>
                <w:sz w:val="11"/>
                <w:szCs w:val="11"/>
              </w:rPr>
              <w:t>-</w:t>
            </w:r>
          </w:p>
        </w:tc>
        <w:tc>
          <w:tcPr>
            <w:tcW w:w="589" w:type="dxa"/>
            <w:noWrap/>
            <w:tcMar>
              <w:top w:w="20" w:type="dxa"/>
              <w:left w:w="20" w:type="dxa"/>
              <w:bottom w:w="0" w:type="dxa"/>
              <w:right w:w="20" w:type="dxa"/>
            </w:tcMar>
            <w:vAlign w:val="bottom"/>
          </w:tcPr>
          <w:p w14:paraId="6657F500" w14:textId="529E71C3" w:rsidR="00980409" w:rsidRPr="00A53232" w:rsidRDefault="00980409" w:rsidP="00980409">
            <w:pPr>
              <w:ind w:left="-1554" w:right="22"/>
              <w:jc w:val="right"/>
              <w:rPr>
                <w:sz w:val="11"/>
                <w:szCs w:val="11"/>
              </w:rPr>
            </w:pPr>
            <w:r w:rsidRPr="00A53232">
              <w:rPr>
                <w:sz w:val="11"/>
                <w:szCs w:val="11"/>
              </w:rPr>
              <w:t>-</w:t>
            </w:r>
          </w:p>
        </w:tc>
        <w:tc>
          <w:tcPr>
            <w:tcW w:w="801" w:type="dxa"/>
            <w:noWrap/>
            <w:tcMar>
              <w:top w:w="20" w:type="dxa"/>
              <w:left w:w="20" w:type="dxa"/>
              <w:bottom w:w="0" w:type="dxa"/>
              <w:right w:w="20" w:type="dxa"/>
            </w:tcMar>
            <w:vAlign w:val="bottom"/>
          </w:tcPr>
          <w:p w14:paraId="575EDFEF" w14:textId="6076164B" w:rsidR="00980409" w:rsidRPr="00A53232" w:rsidRDefault="00980409" w:rsidP="00980409">
            <w:pPr>
              <w:ind w:left="-1554" w:right="22"/>
              <w:jc w:val="right"/>
              <w:rPr>
                <w:sz w:val="11"/>
                <w:szCs w:val="11"/>
              </w:rPr>
            </w:pPr>
            <w:r w:rsidRPr="00A53232">
              <w:rPr>
                <w:sz w:val="11"/>
                <w:szCs w:val="11"/>
              </w:rPr>
              <w:t>-</w:t>
            </w:r>
          </w:p>
        </w:tc>
        <w:tc>
          <w:tcPr>
            <w:tcW w:w="626" w:type="dxa"/>
            <w:vAlign w:val="bottom"/>
          </w:tcPr>
          <w:p w14:paraId="6DC1B2FB" w14:textId="5D5D6593" w:rsidR="00980409" w:rsidRPr="00A53232" w:rsidRDefault="00980409" w:rsidP="00980409">
            <w:pPr>
              <w:ind w:left="-1554" w:right="22"/>
              <w:jc w:val="right"/>
              <w:rPr>
                <w:sz w:val="11"/>
                <w:szCs w:val="11"/>
              </w:rPr>
            </w:pPr>
            <w:r w:rsidRPr="00A53232">
              <w:rPr>
                <w:sz w:val="11"/>
                <w:szCs w:val="11"/>
              </w:rPr>
              <w:t>-</w:t>
            </w:r>
          </w:p>
        </w:tc>
        <w:tc>
          <w:tcPr>
            <w:tcW w:w="728" w:type="dxa"/>
            <w:vAlign w:val="bottom"/>
          </w:tcPr>
          <w:p w14:paraId="3AFC3B40" w14:textId="41E79C5E" w:rsidR="00980409" w:rsidRPr="00A53232" w:rsidRDefault="00980409" w:rsidP="00980409">
            <w:pPr>
              <w:ind w:left="-1554" w:right="22"/>
              <w:jc w:val="right"/>
              <w:rPr>
                <w:sz w:val="11"/>
                <w:szCs w:val="11"/>
              </w:rPr>
            </w:pPr>
            <w:r w:rsidRPr="00A53232">
              <w:rPr>
                <w:sz w:val="11"/>
                <w:szCs w:val="11"/>
              </w:rPr>
              <w:t>-</w:t>
            </w:r>
          </w:p>
        </w:tc>
        <w:tc>
          <w:tcPr>
            <w:tcW w:w="756" w:type="dxa"/>
            <w:vAlign w:val="bottom"/>
          </w:tcPr>
          <w:p w14:paraId="7979C7A9" w14:textId="13785639" w:rsidR="00980409" w:rsidRPr="00A53232" w:rsidRDefault="00980409" w:rsidP="00980409">
            <w:pPr>
              <w:ind w:left="-1554" w:right="22"/>
              <w:jc w:val="right"/>
              <w:rPr>
                <w:sz w:val="11"/>
                <w:szCs w:val="11"/>
              </w:rPr>
            </w:pPr>
            <w:r w:rsidRPr="00A53232">
              <w:rPr>
                <w:sz w:val="11"/>
                <w:szCs w:val="11"/>
              </w:rPr>
              <w:t>-</w:t>
            </w:r>
          </w:p>
        </w:tc>
      </w:tr>
      <w:tr w:rsidR="00980409" w:rsidRPr="00650D1F" w14:paraId="2985420F" w14:textId="77777777" w:rsidTr="00F77D55">
        <w:trPr>
          <w:trHeight w:val="80"/>
        </w:trPr>
        <w:tc>
          <w:tcPr>
            <w:tcW w:w="362" w:type="dxa"/>
            <w:noWrap/>
            <w:tcMar>
              <w:top w:w="20" w:type="dxa"/>
              <w:left w:w="20" w:type="dxa"/>
              <w:bottom w:w="0" w:type="dxa"/>
              <w:right w:w="20" w:type="dxa"/>
            </w:tcMar>
          </w:tcPr>
          <w:p w14:paraId="6774A193" w14:textId="77777777" w:rsidR="00980409" w:rsidRPr="007C0BA6" w:rsidRDefault="00980409" w:rsidP="00980409">
            <w:pPr>
              <w:spacing w:line="192" w:lineRule="auto"/>
              <w:ind w:right="-30"/>
              <w:rPr>
                <w:b/>
                <w:bCs/>
                <w:sz w:val="12"/>
                <w:szCs w:val="12"/>
              </w:rPr>
            </w:pPr>
            <w:r w:rsidRPr="007C0BA6">
              <w:rPr>
                <w:b/>
                <w:bCs/>
                <w:sz w:val="12"/>
                <w:szCs w:val="12"/>
              </w:rPr>
              <w:t>IX.</w:t>
            </w:r>
          </w:p>
        </w:tc>
        <w:tc>
          <w:tcPr>
            <w:tcW w:w="2332" w:type="dxa"/>
            <w:noWrap/>
            <w:tcMar>
              <w:top w:w="20" w:type="dxa"/>
              <w:left w:w="20" w:type="dxa"/>
              <w:bottom w:w="0" w:type="dxa"/>
              <w:right w:w="20" w:type="dxa"/>
            </w:tcMar>
          </w:tcPr>
          <w:p w14:paraId="006771F4" w14:textId="77777777" w:rsidR="00980409" w:rsidRPr="007C0BA6" w:rsidRDefault="00980409" w:rsidP="00980409">
            <w:pPr>
              <w:rPr>
                <w:b/>
                <w:sz w:val="12"/>
                <w:szCs w:val="12"/>
              </w:rPr>
            </w:pPr>
            <w:r w:rsidRPr="007C0BA6">
              <w:rPr>
                <w:b/>
                <w:sz w:val="12"/>
                <w:szCs w:val="12"/>
              </w:rPr>
              <w:t>Changes due to the Disposal of Assets</w:t>
            </w:r>
          </w:p>
        </w:tc>
        <w:tc>
          <w:tcPr>
            <w:tcW w:w="473" w:type="dxa"/>
          </w:tcPr>
          <w:p w14:paraId="1B8B402F" w14:textId="77777777" w:rsidR="00980409" w:rsidRPr="007C0BA6" w:rsidRDefault="00980409" w:rsidP="00980409">
            <w:pPr>
              <w:rPr>
                <w:b/>
                <w:sz w:val="12"/>
                <w:szCs w:val="12"/>
              </w:rPr>
            </w:pPr>
          </w:p>
        </w:tc>
        <w:tc>
          <w:tcPr>
            <w:tcW w:w="525" w:type="dxa"/>
            <w:noWrap/>
            <w:tcMar>
              <w:top w:w="20" w:type="dxa"/>
              <w:left w:w="20" w:type="dxa"/>
              <w:bottom w:w="0" w:type="dxa"/>
              <w:right w:w="20" w:type="dxa"/>
            </w:tcMar>
            <w:vAlign w:val="bottom"/>
          </w:tcPr>
          <w:p w14:paraId="482A1ACD" w14:textId="67BEBD4A"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669" w:type="dxa"/>
            <w:vAlign w:val="bottom"/>
          </w:tcPr>
          <w:p w14:paraId="1252F687" w14:textId="4EEAA4A6"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536" w:type="dxa"/>
            <w:noWrap/>
            <w:tcMar>
              <w:top w:w="20" w:type="dxa"/>
              <w:left w:w="20" w:type="dxa"/>
              <w:bottom w:w="0" w:type="dxa"/>
              <w:right w:w="20" w:type="dxa"/>
            </w:tcMar>
            <w:vAlign w:val="bottom"/>
          </w:tcPr>
          <w:p w14:paraId="13C85A89" w14:textId="1D7B4115" w:rsidR="00980409" w:rsidRPr="00650D1F" w:rsidRDefault="00980409" w:rsidP="00980409">
            <w:pPr>
              <w:jc w:val="right"/>
              <w:rPr>
                <w:rFonts w:eastAsia="Arial Unicode MS"/>
                <w:b/>
                <w:bCs/>
                <w:sz w:val="11"/>
                <w:szCs w:val="11"/>
              </w:rPr>
            </w:pPr>
            <w:r w:rsidRPr="00A53232">
              <w:rPr>
                <w:b/>
                <w:bCs/>
                <w:color w:val="000000"/>
                <w:sz w:val="11"/>
                <w:szCs w:val="11"/>
              </w:rPr>
              <w:t>(85)</w:t>
            </w:r>
          </w:p>
        </w:tc>
        <w:tc>
          <w:tcPr>
            <w:tcW w:w="707" w:type="dxa"/>
            <w:noWrap/>
            <w:tcMar>
              <w:top w:w="20" w:type="dxa"/>
              <w:left w:w="20" w:type="dxa"/>
              <w:bottom w:w="0" w:type="dxa"/>
              <w:right w:w="20" w:type="dxa"/>
            </w:tcMar>
            <w:vAlign w:val="bottom"/>
          </w:tcPr>
          <w:p w14:paraId="0845E3CF" w14:textId="712FD46C" w:rsidR="00980409" w:rsidRPr="00650D1F" w:rsidRDefault="00980409" w:rsidP="00980409">
            <w:pPr>
              <w:jc w:val="right"/>
              <w:rPr>
                <w:rFonts w:eastAsia="Arial Unicode MS"/>
                <w:b/>
                <w:bCs/>
                <w:sz w:val="11"/>
                <w:szCs w:val="11"/>
              </w:rPr>
            </w:pPr>
            <w:r w:rsidRPr="00A53232">
              <w:rPr>
                <w:b/>
                <w:bCs/>
                <w:color w:val="000000"/>
                <w:sz w:val="11"/>
                <w:szCs w:val="11"/>
              </w:rPr>
              <w:t xml:space="preserve">3,296 </w:t>
            </w:r>
          </w:p>
        </w:tc>
        <w:tc>
          <w:tcPr>
            <w:tcW w:w="602" w:type="dxa"/>
            <w:noWrap/>
            <w:tcMar>
              <w:top w:w="20" w:type="dxa"/>
              <w:left w:w="20" w:type="dxa"/>
              <w:bottom w:w="0" w:type="dxa"/>
              <w:right w:w="20" w:type="dxa"/>
            </w:tcMar>
            <w:vAlign w:val="bottom"/>
          </w:tcPr>
          <w:p w14:paraId="7C412BDA" w14:textId="21283F71" w:rsidR="00980409" w:rsidRPr="00650D1F" w:rsidRDefault="00980409" w:rsidP="00980409">
            <w:pPr>
              <w:jc w:val="right"/>
              <w:rPr>
                <w:rFonts w:eastAsia="Arial Unicode MS"/>
                <w:b/>
                <w:bCs/>
                <w:sz w:val="11"/>
                <w:szCs w:val="11"/>
              </w:rPr>
            </w:pPr>
            <w:r w:rsidRPr="00A53232">
              <w:rPr>
                <w:b/>
                <w:bCs/>
                <w:color w:val="000000"/>
                <w:sz w:val="11"/>
                <w:szCs w:val="11"/>
              </w:rPr>
              <w:t>(1,727)</w:t>
            </w:r>
          </w:p>
        </w:tc>
        <w:tc>
          <w:tcPr>
            <w:tcW w:w="536" w:type="dxa"/>
            <w:noWrap/>
            <w:tcMar>
              <w:top w:w="20" w:type="dxa"/>
              <w:left w:w="20" w:type="dxa"/>
              <w:bottom w:w="0" w:type="dxa"/>
              <w:right w:w="20" w:type="dxa"/>
            </w:tcMar>
            <w:vAlign w:val="bottom"/>
          </w:tcPr>
          <w:p w14:paraId="6B3C381D" w14:textId="1B9477A4" w:rsidR="00980409" w:rsidRPr="00650D1F" w:rsidRDefault="00980409" w:rsidP="00980409">
            <w:pPr>
              <w:jc w:val="right"/>
              <w:rPr>
                <w:rFonts w:eastAsia="Arial Unicode MS"/>
                <w:b/>
                <w:bCs/>
                <w:sz w:val="11"/>
                <w:szCs w:val="11"/>
              </w:rPr>
            </w:pPr>
            <w:r w:rsidRPr="00A53232">
              <w:rPr>
                <w:b/>
                <w:bCs/>
                <w:color w:val="000000"/>
                <w:sz w:val="11"/>
                <w:szCs w:val="11"/>
              </w:rPr>
              <w:t xml:space="preserve">               - </w:t>
            </w:r>
          </w:p>
        </w:tc>
        <w:tc>
          <w:tcPr>
            <w:tcW w:w="821" w:type="dxa"/>
            <w:noWrap/>
            <w:tcMar>
              <w:top w:w="20" w:type="dxa"/>
              <w:left w:w="20" w:type="dxa"/>
              <w:bottom w:w="0" w:type="dxa"/>
              <w:right w:w="20" w:type="dxa"/>
            </w:tcMar>
            <w:vAlign w:val="bottom"/>
          </w:tcPr>
          <w:p w14:paraId="00419C5C" w14:textId="0C3708C5" w:rsidR="00980409" w:rsidRPr="00650D1F" w:rsidRDefault="00980409" w:rsidP="00980409">
            <w:pPr>
              <w:jc w:val="right"/>
              <w:rPr>
                <w:rFonts w:eastAsia="Arial Unicode MS"/>
                <w:b/>
                <w:bCs/>
                <w:sz w:val="11"/>
                <w:szCs w:val="11"/>
              </w:rPr>
            </w:pPr>
            <w:r>
              <w:rPr>
                <w:b/>
                <w:bCs/>
                <w:color w:val="000000"/>
                <w:sz w:val="11"/>
                <w:szCs w:val="11"/>
              </w:rPr>
              <w:t>(</w:t>
            </w:r>
            <w:r w:rsidRPr="00A53232">
              <w:rPr>
                <w:b/>
                <w:bCs/>
                <w:color w:val="000000"/>
                <w:sz w:val="11"/>
                <w:szCs w:val="11"/>
              </w:rPr>
              <w:t>1,036</w:t>
            </w:r>
            <w:r>
              <w:rPr>
                <w:b/>
                <w:bCs/>
                <w:color w:val="000000"/>
                <w:sz w:val="11"/>
                <w:szCs w:val="11"/>
              </w:rPr>
              <w:t>)</w:t>
            </w:r>
          </w:p>
        </w:tc>
        <w:tc>
          <w:tcPr>
            <w:tcW w:w="648" w:type="dxa"/>
            <w:noWrap/>
            <w:tcMar>
              <w:top w:w="20" w:type="dxa"/>
              <w:left w:w="20" w:type="dxa"/>
              <w:bottom w:w="0" w:type="dxa"/>
              <w:right w:w="20" w:type="dxa"/>
            </w:tcMar>
            <w:vAlign w:val="bottom"/>
          </w:tcPr>
          <w:p w14:paraId="70183795" w14:textId="6FCCFF96" w:rsidR="00980409" w:rsidRPr="00650D1F" w:rsidRDefault="00980409" w:rsidP="00980409">
            <w:pPr>
              <w:jc w:val="right"/>
              <w:rPr>
                <w:rFonts w:eastAsia="Arial Unicode MS"/>
                <w:b/>
                <w:bCs/>
                <w:sz w:val="11"/>
                <w:szCs w:val="11"/>
              </w:rPr>
            </w:pPr>
            <w:r w:rsidRPr="00A53232">
              <w:rPr>
                <w:b/>
                <w:bCs/>
                <w:color w:val="000000"/>
                <w:sz w:val="11"/>
                <w:szCs w:val="11"/>
              </w:rPr>
              <w:t xml:space="preserve">               - </w:t>
            </w:r>
          </w:p>
        </w:tc>
        <w:tc>
          <w:tcPr>
            <w:tcW w:w="617" w:type="dxa"/>
            <w:noWrap/>
            <w:tcMar>
              <w:top w:w="20" w:type="dxa"/>
              <w:left w:w="20" w:type="dxa"/>
              <w:bottom w:w="0" w:type="dxa"/>
              <w:right w:w="20" w:type="dxa"/>
            </w:tcMar>
            <w:vAlign w:val="bottom"/>
          </w:tcPr>
          <w:p w14:paraId="6C1937E1" w14:textId="195E89DE" w:rsidR="00980409" w:rsidRPr="00650D1F" w:rsidRDefault="00980409" w:rsidP="00980409">
            <w:pPr>
              <w:jc w:val="right"/>
              <w:rPr>
                <w:rFonts w:eastAsia="Arial Unicode MS"/>
                <w:b/>
                <w:bCs/>
                <w:sz w:val="11"/>
                <w:szCs w:val="11"/>
              </w:rPr>
            </w:pPr>
            <w:r w:rsidRPr="00A53232">
              <w:rPr>
                <w:b/>
                <w:bCs/>
                <w:color w:val="000000"/>
                <w:sz w:val="11"/>
                <w:szCs w:val="11"/>
              </w:rPr>
              <w:t xml:space="preserve">                      - </w:t>
            </w:r>
          </w:p>
        </w:tc>
        <w:tc>
          <w:tcPr>
            <w:tcW w:w="642" w:type="dxa"/>
            <w:noWrap/>
            <w:tcMar>
              <w:top w:w="20" w:type="dxa"/>
              <w:left w:w="20" w:type="dxa"/>
              <w:bottom w:w="0" w:type="dxa"/>
              <w:right w:w="20" w:type="dxa"/>
            </w:tcMar>
            <w:vAlign w:val="bottom"/>
          </w:tcPr>
          <w:p w14:paraId="1E81986B" w14:textId="3ECD39F0" w:rsidR="00980409" w:rsidRPr="00650D1F" w:rsidRDefault="00980409" w:rsidP="00980409">
            <w:pPr>
              <w:jc w:val="right"/>
              <w:rPr>
                <w:rFonts w:eastAsia="Arial Unicode MS"/>
                <w:b/>
                <w:bCs/>
                <w:sz w:val="11"/>
                <w:szCs w:val="11"/>
              </w:rPr>
            </w:pPr>
            <w:r w:rsidRPr="00A53232">
              <w:rPr>
                <w:b/>
                <w:bCs/>
                <w:color w:val="000000"/>
                <w:sz w:val="11"/>
                <w:szCs w:val="11"/>
              </w:rPr>
              <w:t xml:space="preserve">3,286 </w:t>
            </w:r>
          </w:p>
        </w:tc>
        <w:tc>
          <w:tcPr>
            <w:tcW w:w="732" w:type="dxa"/>
            <w:vAlign w:val="bottom"/>
          </w:tcPr>
          <w:p w14:paraId="6CC10714" w14:textId="14D862C7" w:rsidR="00980409" w:rsidRPr="00650D1F" w:rsidRDefault="00980409" w:rsidP="00980409">
            <w:pPr>
              <w:jc w:val="right"/>
              <w:rPr>
                <w:rFonts w:eastAsia="Arial Unicode MS"/>
                <w:b/>
                <w:bCs/>
                <w:sz w:val="11"/>
                <w:szCs w:val="11"/>
              </w:rPr>
            </w:pPr>
            <w:r w:rsidRPr="00A53232">
              <w:rPr>
                <w:b/>
                <w:bCs/>
                <w:color w:val="000000"/>
                <w:sz w:val="11"/>
                <w:szCs w:val="11"/>
              </w:rPr>
              <w:t xml:space="preserve">               - </w:t>
            </w:r>
          </w:p>
        </w:tc>
        <w:tc>
          <w:tcPr>
            <w:tcW w:w="880" w:type="dxa"/>
            <w:vAlign w:val="bottom"/>
          </w:tcPr>
          <w:p w14:paraId="44396BAC" w14:textId="0671308B" w:rsidR="00980409" w:rsidRPr="00650D1F" w:rsidRDefault="00980409" w:rsidP="00980409">
            <w:pPr>
              <w:jc w:val="right"/>
              <w:rPr>
                <w:rFonts w:eastAsia="Arial Unicode MS"/>
                <w:b/>
                <w:bCs/>
                <w:sz w:val="11"/>
                <w:szCs w:val="11"/>
              </w:rPr>
            </w:pPr>
            <w:r w:rsidRPr="00A53232">
              <w:rPr>
                <w:b/>
                <w:bCs/>
                <w:color w:val="000000"/>
                <w:sz w:val="11"/>
                <w:szCs w:val="11"/>
              </w:rPr>
              <w:t xml:space="preserve">                      - </w:t>
            </w:r>
          </w:p>
        </w:tc>
        <w:tc>
          <w:tcPr>
            <w:tcW w:w="722" w:type="dxa"/>
            <w:noWrap/>
            <w:tcMar>
              <w:top w:w="20" w:type="dxa"/>
              <w:left w:w="20" w:type="dxa"/>
              <w:bottom w:w="0" w:type="dxa"/>
              <w:right w:w="20" w:type="dxa"/>
            </w:tcMar>
            <w:vAlign w:val="bottom"/>
          </w:tcPr>
          <w:p w14:paraId="69E4846B" w14:textId="5F5441A7" w:rsidR="00980409" w:rsidRPr="00650D1F" w:rsidRDefault="00980409" w:rsidP="00980409">
            <w:pPr>
              <w:jc w:val="right"/>
              <w:rPr>
                <w:rFonts w:eastAsia="Arial Unicode MS"/>
                <w:b/>
                <w:bCs/>
                <w:sz w:val="11"/>
                <w:szCs w:val="11"/>
              </w:rPr>
            </w:pPr>
            <w:r w:rsidRPr="00A53232">
              <w:rPr>
                <w:b/>
                <w:bCs/>
                <w:color w:val="000000"/>
                <w:sz w:val="11"/>
                <w:szCs w:val="11"/>
              </w:rPr>
              <w:t xml:space="preserve">               - </w:t>
            </w:r>
          </w:p>
        </w:tc>
        <w:tc>
          <w:tcPr>
            <w:tcW w:w="589" w:type="dxa"/>
            <w:noWrap/>
            <w:tcMar>
              <w:top w:w="20" w:type="dxa"/>
              <w:left w:w="20" w:type="dxa"/>
              <w:bottom w:w="0" w:type="dxa"/>
              <w:right w:w="20" w:type="dxa"/>
            </w:tcMar>
            <w:vAlign w:val="bottom"/>
          </w:tcPr>
          <w:p w14:paraId="7EB8DC07" w14:textId="2793A45E" w:rsidR="00980409" w:rsidRPr="00650D1F" w:rsidRDefault="00980409" w:rsidP="00980409">
            <w:pPr>
              <w:jc w:val="right"/>
              <w:rPr>
                <w:rFonts w:eastAsia="Arial Unicode MS"/>
                <w:b/>
                <w:bCs/>
                <w:sz w:val="11"/>
                <w:szCs w:val="11"/>
              </w:rPr>
            </w:pPr>
            <w:r w:rsidRPr="00A53232">
              <w:rPr>
                <w:b/>
                <w:bCs/>
                <w:color w:val="000000"/>
                <w:sz w:val="11"/>
                <w:szCs w:val="11"/>
              </w:rPr>
              <w:t xml:space="preserve">                - </w:t>
            </w:r>
          </w:p>
        </w:tc>
        <w:tc>
          <w:tcPr>
            <w:tcW w:w="801" w:type="dxa"/>
            <w:noWrap/>
            <w:tcMar>
              <w:top w:w="20" w:type="dxa"/>
              <w:left w:w="20" w:type="dxa"/>
              <w:bottom w:w="0" w:type="dxa"/>
              <w:right w:w="20" w:type="dxa"/>
            </w:tcMar>
            <w:vAlign w:val="bottom"/>
          </w:tcPr>
          <w:p w14:paraId="14DDEC9C" w14:textId="61923CCC" w:rsidR="00980409" w:rsidRPr="00650D1F" w:rsidRDefault="00980409" w:rsidP="00980409">
            <w:pPr>
              <w:jc w:val="right"/>
              <w:rPr>
                <w:rFonts w:eastAsia="Arial Unicode MS"/>
                <w:b/>
                <w:bCs/>
                <w:sz w:val="11"/>
                <w:szCs w:val="11"/>
              </w:rPr>
            </w:pPr>
            <w:r w:rsidRPr="00A53232">
              <w:rPr>
                <w:b/>
                <w:bCs/>
                <w:color w:val="000000"/>
                <w:sz w:val="11"/>
                <w:szCs w:val="11"/>
              </w:rPr>
              <w:t xml:space="preserve">               - </w:t>
            </w:r>
          </w:p>
        </w:tc>
        <w:tc>
          <w:tcPr>
            <w:tcW w:w="626" w:type="dxa"/>
            <w:vAlign w:val="bottom"/>
          </w:tcPr>
          <w:p w14:paraId="20CADE16" w14:textId="44B0B786" w:rsidR="00980409" w:rsidRPr="00650D1F" w:rsidRDefault="00980409" w:rsidP="00980409">
            <w:pPr>
              <w:jc w:val="right"/>
              <w:rPr>
                <w:rFonts w:eastAsia="Arial Unicode MS"/>
                <w:b/>
                <w:bCs/>
                <w:sz w:val="11"/>
                <w:szCs w:val="11"/>
              </w:rPr>
            </w:pPr>
            <w:r w:rsidRPr="00A53232">
              <w:rPr>
                <w:b/>
                <w:bCs/>
                <w:color w:val="000000"/>
                <w:sz w:val="11"/>
                <w:szCs w:val="11"/>
              </w:rPr>
              <w:t xml:space="preserve">3,734 </w:t>
            </w:r>
          </w:p>
        </w:tc>
        <w:tc>
          <w:tcPr>
            <w:tcW w:w="728" w:type="dxa"/>
            <w:vAlign w:val="bottom"/>
          </w:tcPr>
          <w:p w14:paraId="21B6BB6D" w14:textId="479C4C9E" w:rsidR="00980409" w:rsidRPr="00650D1F" w:rsidRDefault="00980409" w:rsidP="00980409">
            <w:pPr>
              <w:jc w:val="right"/>
              <w:rPr>
                <w:rFonts w:eastAsia="Arial Unicode MS"/>
                <w:b/>
                <w:bCs/>
                <w:sz w:val="11"/>
                <w:szCs w:val="11"/>
              </w:rPr>
            </w:pPr>
            <w:r w:rsidRPr="00A53232">
              <w:rPr>
                <w:b/>
                <w:bCs/>
                <w:sz w:val="11"/>
                <w:szCs w:val="11"/>
              </w:rPr>
              <w:t xml:space="preserve">                   </w:t>
            </w:r>
            <w:r w:rsidRPr="00A53232">
              <w:rPr>
                <w:b/>
                <w:bCs/>
                <w:color w:val="000000"/>
                <w:sz w:val="11"/>
                <w:szCs w:val="11"/>
              </w:rPr>
              <w:t>-</w:t>
            </w:r>
            <w:r w:rsidRPr="00A53232">
              <w:rPr>
                <w:b/>
                <w:bCs/>
                <w:sz w:val="11"/>
                <w:szCs w:val="11"/>
              </w:rPr>
              <w:t xml:space="preserve">                                                                    </w:t>
            </w:r>
          </w:p>
        </w:tc>
        <w:tc>
          <w:tcPr>
            <w:tcW w:w="756" w:type="dxa"/>
            <w:vAlign w:val="bottom"/>
          </w:tcPr>
          <w:p w14:paraId="7A40F85F" w14:textId="3718B73C" w:rsidR="00980409" w:rsidRPr="00650D1F" w:rsidRDefault="00980409" w:rsidP="00980409">
            <w:pPr>
              <w:jc w:val="right"/>
              <w:rPr>
                <w:rFonts w:eastAsia="Arial Unicode MS"/>
                <w:b/>
                <w:bCs/>
                <w:sz w:val="11"/>
                <w:szCs w:val="11"/>
              </w:rPr>
            </w:pPr>
            <w:r w:rsidRPr="00A53232">
              <w:rPr>
                <w:b/>
                <w:bCs/>
                <w:color w:val="000000"/>
                <w:sz w:val="11"/>
                <w:szCs w:val="11"/>
              </w:rPr>
              <w:t xml:space="preserve">3,734 </w:t>
            </w:r>
          </w:p>
        </w:tc>
      </w:tr>
      <w:tr w:rsidR="00980409" w:rsidRPr="007C0BA6" w14:paraId="6161B379" w14:textId="77777777" w:rsidTr="00F77D55">
        <w:trPr>
          <w:trHeight w:val="80"/>
        </w:trPr>
        <w:tc>
          <w:tcPr>
            <w:tcW w:w="362" w:type="dxa"/>
            <w:noWrap/>
            <w:tcMar>
              <w:top w:w="20" w:type="dxa"/>
              <w:left w:w="20" w:type="dxa"/>
              <w:bottom w:w="0" w:type="dxa"/>
              <w:right w:w="20" w:type="dxa"/>
            </w:tcMar>
          </w:tcPr>
          <w:p w14:paraId="78440280" w14:textId="77777777" w:rsidR="00980409" w:rsidRPr="007C0BA6" w:rsidRDefault="00980409" w:rsidP="00980409">
            <w:pPr>
              <w:spacing w:line="192" w:lineRule="auto"/>
              <w:ind w:right="-30"/>
              <w:rPr>
                <w:rFonts w:eastAsia="Arial Unicode MS"/>
                <w:b/>
                <w:bCs/>
                <w:sz w:val="12"/>
                <w:szCs w:val="12"/>
              </w:rPr>
            </w:pPr>
            <w:r w:rsidRPr="007C0BA6">
              <w:rPr>
                <w:b/>
                <w:bCs/>
                <w:sz w:val="12"/>
                <w:szCs w:val="12"/>
              </w:rPr>
              <w:t>X.</w:t>
            </w:r>
          </w:p>
        </w:tc>
        <w:tc>
          <w:tcPr>
            <w:tcW w:w="2332" w:type="dxa"/>
            <w:noWrap/>
            <w:tcMar>
              <w:top w:w="20" w:type="dxa"/>
              <w:left w:w="20" w:type="dxa"/>
              <w:bottom w:w="0" w:type="dxa"/>
              <w:right w:w="20" w:type="dxa"/>
            </w:tcMar>
          </w:tcPr>
          <w:p w14:paraId="6420EC86" w14:textId="77777777" w:rsidR="00980409" w:rsidRPr="007C0BA6" w:rsidRDefault="00980409" w:rsidP="00980409">
            <w:pPr>
              <w:spacing w:line="192" w:lineRule="auto"/>
              <w:rPr>
                <w:b/>
                <w:sz w:val="12"/>
                <w:szCs w:val="12"/>
              </w:rPr>
            </w:pPr>
            <w:r w:rsidRPr="007C0BA6">
              <w:rPr>
                <w:b/>
                <w:sz w:val="12"/>
                <w:szCs w:val="12"/>
              </w:rPr>
              <w:t>Changes due to the Reclassification of the Assets</w:t>
            </w:r>
          </w:p>
        </w:tc>
        <w:tc>
          <w:tcPr>
            <w:tcW w:w="473" w:type="dxa"/>
          </w:tcPr>
          <w:p w14:paraId="5E1EAC9D" w14:textId="77777777" w:rsidR="00980409" w:rsidRPr="007C0BA6" w:rsidRDefault="00980409" w:rsidP="00980409">
            <w:pPr>
              <w:rPr>
                <w:b/>
                <w:sz w:val="12"/>
                <w:szCs w:val="12"/>
              </w:rPr>
            </w:pPr>
          </w:p>
        </w:tc>
        <w:tc>
          <w:tcPr>
            <w:tcW w:w="525" w:type="dxa"/>
            <w:noWrap/>
            <w:tcMar>
              <w:top w:w="20" w:type="dxa"/>
              <w:left w:w="20" w:type="dxa"/>
              <w:bottom w:w="0" w:type="dxa"/>
              <w:right w:w="20" w:type="dxa"/>
            </w:tcMar>
            <w:vAlign w:val="bottom"/>
          </w:tcPr>
          <w:p w14:paraId="59D0FE5E" w14:textId="3AC8E5A7" w:rsidR="00980409" w:rsidRPr="00A53232" w:rsidRDefault="00980409" w:rsidP="00980409">
            <w:pPr>
              <w:ind w:left="-1554" w:right="22"/>
              <w:jc w:val="right"/>
              <w:rPr>
                <w:sz w:val="11"/>
                <w:szCs w:val="11"/>
              </w:rPr>
            </w:pPr>
            <w:r w:rsidRPr="00A53232">
              <w:rPr>
                <w:b/>
                <w:sz w:val="11"/>
                <w:szCs w:val="11"/>
              </w:rPr>
              <w:t>-</w:t>
            </w:r>
          </w:p>
        </w:tc>
        <w:tc>
          <w:tcPr>
            <w:tcW w:w="669" w:type="dxa"/>
            <w:vAlign w:val="bottom"/>
          </w:tcPr>
          <w:p w14:paraId="41BB353D" w14:textId="6CAD05DA"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45F63DE0" w14:textId="09D0B292" w:rsidR="00980409" w:rsidRPr="00A53232" w:rsidRDefault="00980409" w:rsidP="00980409">
            <w:pPr>
              <w:ind w:left="-1554" w:right="22"/>
              <w:jc w:val="right"/>
              <w:rPr>
                <w:sz w:val="11"/>
                <w:szCs w:val="11"/>
              </w:rPr>
            </w:pPr>
            <w:r w:rsidRPr="00A53232">
              <w:rPr>
                <w:b/>
                <w:sz w:val="11"/>
                <w:szCs w:val="11"/>
              </w:rPr>
              <w:t>-</w:t>
            </w:r>
          </w:p>
        </w:tc>
        <w:tc>
          <w:tcPr>
            <w:tcW w:w="707" w:type="dxa"/>
            <w:noWrap/>
            <w:tcMar>
              <w:top w:w="20" w:type="dxa"/>
              <w:left w:w="20" w:type="dxa"/>
              <w:bottom w:w="0" w:type="dxa"/>
              <w:right w:w="20" w:type="dxa"/>
            </w:tcMar>
            <w:vAlign w:val="bottom"/>
          </w:tcPr>
          <w:p w14:paraId="12B0969D" w14:textId="314124DB" w:rsidR="00980409" w:rsidRPr="00A53232" w:rsidRDefault="00980409" w:rsidP="00980409">
            <w:pPr>
              <w:ind w:left="-1554" w:right="22"/>
              <w:jc w:val="right"/>
              <w:rPr>
                <w:sz w:val="11"/>
                <w:szCs w:val="11"/>
              </w:rPr>
            </w:pPr>
            <w:r w:rsidRPr="00A53232">
              <w:rPr>
                <w:b/>
                <w:sz w:val="11"/>
                <w:szCs w:val="11"/>
              </w:rPr>
              <w:t>-</w:t>
            </w:r>
          </w:p>
        </w:tc>
        <w:tc>
          <w:tcPr>
            <w:tcW w:w="602" w:type="dxa"/>
            <w:noWrap/>
            <w:tcMar>
              <w:top w:w="20" w:type="dxa"/>
              <w:left w:w="20" w:type="dxa"/>
              <w:bottom w:w="0" w:type="dxa"/>
              <w:right w:w="20" w:type="dxa"/>
            </w:tcMar>
            <w:vAlign w:val="bottom"/>
          </w:tcPr>
          <w:p w14:paraId="1B8ECF84" w14:textId="60616E26"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50BBC38F" w14:textId="61D9DED7" w:rsidR="00980409" w:rsidRPr="00A53232" w:rsidRDefault="00980409" w:rsidP="00980409">
            <w:pPr>
              <w:ind w:left="-1554" w:right="22"/>
              <w:jc w:val="right"/>
              <w:rPr>
                <w:sz w:val="11"/>
                <w:szCs w:val="11"/>
              </w:rPr>
            </w:pPr>
            <w:r w:rsidRPr="00A53232">
              <w:rPr>
                <w:b/>
                <w:sz w:val="11"/>
                <w:szCs w:val="11"/>
              </w:rPr>
              <w:t>-</w:t>
            </w:r>
          </w:p>
        </w:tc>
        <w:tc>
          <w:tcPr>
            <w:tcW w:w="821" w:type="dxa"/>
            <w:noWrap/>
            <w:tcMar>
              <w:top w:w="20" w:type="dxa"/>
              <w:left w:w="20" w:type="dxa"/>
              <w:bottom w:w="0" w:type="dxa"/>
              <w:right w:w="20" w:type="dxa"/>
            </w:tcMar>
            <w:vAlign w:val="bottom"/>
          </w:tcPr>
          <w:p w14:paraId="4E4A1F2A" w14:textId="7BB7DD50" w:rsidR="00980409" w:rsidRPr="00A53232" w:rsidRDefault="00980409" w:rsidP="00980409">
            <w:pPr>
              <w:ind w:left="-1554" w:right="22"/>
              <w:jc w:val="right"/>
              <w:rPr>
                <w:sz w:val="11"/>
                <w:szCs w:val="11"/>
              </w:rPr>
            </w:pPr>
            <w:r w:rsidRPr="00A53232">
              <w:rPr>
                <w:b/>
                <w:sz w:val="11"/>
                <w:szCs w:val="11"/>
              </w:rPr>
              <w:t>-</w:t>
            </w:r>
          </w:p>
        </w:tc>
        <w:tc>
          <w:tcPr>
            <w:tcW w:w="648" w:type="dxa"/>
            <w:noWrap/>
            <w:tcMar>
              <w:top w:w="20" w:type="dxa"/>
              <w:left w:w="20" w:type="dxa"/>
              <w:bottom w:w="0" w:type="dxa"/>
              <w:right w:w="20" w:type="dxa"/>
            </w:tcMar>
            <w:vAlign w:val="bottom"/>
          </w:tcPr>
          <w:p w14:paraId="0C9A5C69" w14:textId="6D27717B" w:rsidR="00980409" w:rsidRPr="00A53232" w:rsidRDefault="00980409" w:rsidP="00980409">
            <w:pPr>
              <w:ind w:left="-1554" w:right="22"/>
              <w:jc w:val="right"/>
              <w:rPr>
                <w:sz w:val="11"/>
                <w:szCs w:val="11"/>
              </w:rPr>
            </w:pPr>
            <w:r w:rsidRPr="00A53232">
              <w:rPr>
                <w:b/>
                <w:sz w:val="11"/>
                <w:szCs w:val="11"/>
              </w:rPr>
              <w:t>-</w:t>
            </w:r>
          </w:p>
        </w:tc>
        <w:tc>
          <w:tcPr>
            <w:tcW w:w="617" w:type="dxa"/>
            <w:noWrap/>
            <w:tcMar>
              <w:top w:w="20" w:type="dxa"/>
              <w:left w:w="20" w:type="dxa"/>
              <w:bottom w:w="0" w:type="dxa"/>
              <w:right w:w="20" w:type="dxa"/>
            </w:tcMar>
            <w:vAlign w:val="bottom"/>
          </w:tcPr>
          <w:p w14:paraId="18D7ECEE" w14:textId="417DA359" w:rsidR="00980409" w:rsidRPr="00A53232" w:rsidRDefault="00980409" w:rsidP="00980409">
            <w:pPr>
              <w:ind w:left="-1554" w:right="22"/>
              <w:jc w:val="right"/>
              <w:rPr>
                <w:sz w:val="11"/>
                <w:szCs w:val="11"/>
              </w:rPr>
            </w:pPr>
            <w:r w:rsidRPr="00A53232">
              <w:rPr>
                <w:b/>
                <w:sz w:val="11"/>
                <w:szCs w:val="11"/>
              </w:rPr>
              <w:t>-</w:t>
            </w:r>
          </w:p>
        </w:tc>
        <w:tc>
          <w:tcPr>
            <w:tcW w:w="642" w:type="dxa"/>
            <w:noWrap/>
            <w:tcMar>
              <w:top w:w="20" w:type="dxa"/>
              <w:left w:w="20" w:type="dxa"/>
              <w:bottom w:w="0" w:type="dxa"/>
              <w:right w:w="20" w:type="dxa"/>
            </w:tcMar>
            <w:vAlign w:val="bottom"/>
          </w:tcPr>
          <w:p w14:paraId="2EA93690" w14:textId="1F3485DC" w:rsidR="00980409" w:rsidRPr="00A53232" w:rsidRDefault="00980409" w:rsidP="00980409">
            <w:pPr>
              <w:ind w:left="-1554" w:right="22"/>
              <w:jc w:val="right"/>
              <w:rPr>
                <w:sz w:val="11"/>
                <w:szCs w:val="11"/>
              </w:rPr>
            </w:pPr>
            <w:r w:rsidRPr="00A53232">
              <w:rPr>
                <w:b/>
                <w:sz w:val="11"/>
                <w:szCs w:val="11"/>
              </w:rPr>
              <w:t>-</w:t>
            </w:r>
          </w:p>
        </w:tc>
        <w:tc>
          <w:tcPr>
            <w:tcW w:w="732" w:type="dxa"/>
            <w:vAlign w:val="bottom"/>
          </w:tcPr>
          <w:p w14:paraId="2C9EEC75" w14:textId="4517F47E" w:rsidR="00980409" w:rsidRPr="00A53232" w:rsidRDefault="00980409" w:rsidP="00980409">
            <w:pPr>
              <w:ind w:left="-1554" w:right="22"/>
              <w:jc w:val="right"/>
              <w:rPr>
                <w:sz w:val="11"/>
                <w:szCs w:val="11"/>
              </w:rPr>
            </w:pPr>
            <w:r w:rsidRPr="00A53232">
              <w:rPr>
                <w:b/>
                <w:sz w:val="11"/>
                <w:szCs w:val="11"/>
              </w:rPr>
              <w:t>-</w:t>
            </w:r>
          </w:p>
        </w:tc>
        <w:tc>
          <w:tcPr>
            <w:tcW w:w="880" w:type="dxa"/>
            <w:vAlign w:val="bottom"/>
          </w:tcPr>
          <w:p w14:paraId="67E21C8B" w14:textId="2577062F" w:rsidR="00980409" w:rsidRPr="00A53232" w:rsidRDefault="00980409" w:rsidP="00980409">
            <w:pPr>
              <w:ind w:left="-1554" w:right="22"/>
              <w:jc w:val="right"/>
              <w:rPr>
                <w:sz w:val="11"/>
                <w:szCs w:val="11"/>
              </w:rPr>
            </w:pPr>
            <w:r w:rsidRPr="00A53232">
              <w:rPr>
                <w:b/>
                <w:sz w:val="11"/>
                <w:szCs w:val="11"/>
              </w:rPr>
              <w:t>-</w:t>
            </w:r>
          </w:p>
        </w:tc>
        <w:tc>
          <w:tcPr>
            <w:tcW w:w="722" w:type="dxa"/>
            <w:noWrap/>
            <w:tcMar>
              <w:top w:w="20" w:type="dxa"/>
              <w:left w:w="20" w:type="dxa"/>
              <w:bottom w:w="0" w:type="dxa"/>
              <w:right w:w="20" w:type="dxa"/>
            </w:tcMar>
            <w:vAlign w:val="bottom"/>
          </w:tcPr>
          <w:p w14:paraId="686DEABE" w14:textId="275A613F" w:rsidR="00980409" w:rsidRPr="00A53232" w:rsidRDefault="00980409" w:rsidP="00980409">
            <w:pPr>
              <w:ind w:left="-1554" w:right="22"/>
              <w:jc w:val="right"/>
              <w:rPr>
                <w:sz w:val="11"/>
                <w:szCs w:val="11"/>
              </w:rPr>
            </w:pPr>
            <w:r w:rsidRPr="00A53232">
              <w:rPr>
                <w:b/>
                <w:sz w:val="11"/>
                <w:szCs w:val="11"/>
              </w:rPr>
              <w:t>-</w:t>
            </w:r>
          </w:p>
        </w:tc>
        <w:tc>
          <w:tcPr>
            <w:tcW w:w="589" w:type="dxa"/>
            <w:noWrap/>
            <w:tcMar>
              <w:top w:w="20" w:type="dxa"/>
              <w:left w:w="20" w:type="dxa"/>
              <w:bottom w:w="0" w:type="dxa"/>
              <w:right w:w="20" w:type="dxa"/>
            </w:tcMar>
            <w:vAlign w:val="bottom"/>
          </w:tcPr>
          <w:p w14:paraId="5BD36A97" w14:textId="3A7599EE" w:rsidR="00980409" w:rsidRPr="00A53232" w:rsidRDefault="00980409" w:rsidP="00980409">
            <w:pPr>
              <w:ind w:left="-1554" w:right="22"/>
              <w:jc w:val="right"/>
              <w:rPr>
                <w:sz w:val="11"/>
                <w:szCs w:val="11"/>
              </w:rPr>
            </w:pPr>
            <w:r w:rsidRPr="00A53232">
              <w:rPr>
                <w:b/>
                <w:sz w:val="11"/>
                <w:szCs w:val="11"/>
              </w:rPr>
              <w:t>-</w:t>
            </w:r>
          </w:p>
        </w:tc>
        <w:tc>
          <w:tcPr>
            <w:tcW w:w="801" w:type="dxa"/>
            <w:noWrap/>
            <w:tcMar>
              <w:top w:w="20" w:type="dxa"/>
              <w:left w:w="20" w:type="dxa"/>
              <w:bottom w:w="0" w:type="dxa"/>
              <w:right w:w="20" w:type="dxa"/>
            </w:tcMar>
            <w:vAlign w:val="bottom"/>
          </w:tcPr>
          <w:p w14:paraId="58AD0E74" w14:textId="0FEAC184" w:rsidR="00980409" w:rsidRPr="00A53232" w:rsidRDefault="00980409" w:rsidP="00980409">
            <w:pPr>
              <w:ind w:left="-1554" w:right="22"/>
              <w:jc w:val="right"/>
              <w:rPr>
                <w:sz w:val="11"/>
                <w:szCs w:val="11"/>
              </w:rPr>
            </w:pPr>
            <w:r w:rsidRPr="00A53232">
              <w:rPr>
                <w:b/>
                <w:sz w:val="11"/>
                <w:szCs w:val="11"/>
              </w:rPr>
              <w:t>-</w:t>
            </w:r>
          </w:p>
        </w:tc>
        <w:tc>
          <w:tcPr>
            <w:tcW w:w="626" w:type="dxa"/>
            <w:vAlign w:val="bottom"/>
          </w:tcPr>
          <w:p w14:paraId="02104BB1" w14:textId="196489D5" w:rsidR="00980409" w:rsidRPr="00A53232" w:rsidRDefault="00980409" w:rsidP="00980409">
            <w:pPr>
              <w:ind w:left="-1554" w:right="22"/>
              <w:jc w:val="right"/>
              <w:rPr>
                <w:sz w:val="11"/>
                <w:szCs w:val="11"/>
              </w:rPr>
            </w:pPr>
            <w:r w:rsidRPr="00A53232">
              <w:rPr>
                <w:b/>
                <w:sz w:val="11"/>
                <w:szCs w:val="11"/>
              </w:rPr>
              <w:t>-</w:t>
            </w:r>
          </w:p>
        </w:tc>
        <w:tc>
          <w:tcPr>
            <w:tcW w:w="728" w:type="dxa"/>
            <w:vAlign w:val="bottom"/>
          </w:tcPr>
          <w:p w14:paraId="463466B8" w14:textId="794D8157" w:rsidR="00980409" w:rsidRPr="00A53232" w:rsidRDefault="00980409" w:rsidP="00980409">
            <w:pPr>
              <w:ind w:left="-1554" w:right="22"/>
              <w:jc w:val="right"/>
              <w:rPr>
                <w:sz w:val="11"/>
                <w:szCs w:val="11"/>
              </w:rPr>
            </w:pPr>
            <w:r w:rsidRPr="00A53232">
              <w:rPr>
                <w:b/>
                <w:sz w:val="11"/>
                <w:szCs w:val="11"/>
              </w:rPr>
              <w:t>-</w:t>
            </w:r>
          </w:p>
        </w:tc>
        <w:tc>
          <w:tcPr>
            <w:tcW w:w="756" w:type="dxa"/>
            <w:vAlign w:val="bottom"/>
          </w:tcPr>
          <w:p w14:paraId="63557B22" w14:textId="05760BE1" w:rsidR="00980409" w:rsidRPr="00A53232" w:rsidRDefault="00980409" w:rsidP="00980409">
            <w:pPr>
              <w:ind w:left="-1554" w:right="22"/>
              <w:jc w:val="right"/>
              <w:rPr>
                <w:sz w:val="11"/>
                <w:szCs w:val="11"/>
              </w:rPr>
            </w:pPr>
            <w:r w:rsidRPr="00A53232">
              <w:rPr>
                <w:b/>
                <w:sz w:val="11"/>
                <w:szCs w:val="11"/>
              </w:rPr>
              <w:t>-</w:t>
            </w:r>
          </w:p>
        </w:tc>
      </w:tr>
      <w:tr w:rsidR="00980409" w:rsidRPr="007C0BA6" w14:paraId="140AE8D4" w14:textId="77777777" w:rsidTr="00F77D55">
        <w:trPr>
          <w:trHeight w:val="80"/>
        </w:trPr>
        <w:tc>
          <w:tcPr>
            <w:tcW w:w="362" w:type="dxa"/>
            <w:noWrap/>
            <w:tcMar>
              <w:top w:w="20" w:type="dxa"/>
              <w:left w:w="20" w:type="dxa"/>
              <w:bottom w:w="0" w:type="dxa"/>
              <w:right w:w="20" w:type="dxa"/>
            </w:tcMar>
          </w:tcPr>
          <w:p w14:paraId="7C2F06EA" w14:textId="77777777" w:rsidR="00980409" w:rsidRPr="007C0BA6" w:rsidRDefault="00980409" w:rsidP="00980409">
            <w:pPr>
              <w:spacing w:line="192" w:lineRule="auto"/>
              <w:ind w:right="-30"/>
              <w:rPr>
                <w:rFonts w:eastAsia="Arial Unicode MS"/>
                <w:b/>
                <w:bCs/>
                <w:sz w:val="12"/>
                <w:szCs w:val="12"/>
              </w:rPr>
            </w:pPr>
            <w:r w:rsidRPr="007C0BA6">
              <w:rPr>
                <w:b/>
                <w:bCs/>
                <w:sz w:val="12"/>
                <w:szCs w:val="12"/>
              </w:rPr>
              <w:t>XI.</w:t>
            </w:r>
          </w:p>
        </w:tc>
        <w:tc>
          <w:tcPr>
            <w:tcW w:w="2332" w:type="dxa"/>
            <w:noWrap/>
            <w:tcMar>
              <w:top w:w="20" w:type="dxa"/>
              <w:left w:w="20" w:type="dxa"/>
              <w:bottom w:w="0" w:type="dxa"/>
              <w:right w:w="20" w:type="dxa"/>
            </w:tcMar>
          </w:tcPr>
          <w:p w14:paraId="332936AB" w14:textId="77777777" w:rsidR="00980409" w:rsidRPr="007C0BA6" w:rsidRDefault="00980409" w:rsidP="00980409">
            <w:pPr>
              <w:spacing w:line="192" w:lineRule="auto"/>
              <w:rPr>
                <w:b/>
                <w:sz w:val="12"/>
                <w:szCs w:val="12"/>
              </w:rPr>
            </w:pPr>
            <w:r w:rsidRPr="007C0BA6">
              <w:rPr>
                <w:b/>
                <w:sz w:val="12"/>
                <w:szCs w:val="12"/>
              </w:rPr>
              <w:t>Effects of Changes in Equity of Investments</w:t>
            </w:r>
            <w:r w:rsidRPr="007C0BA6">
              <w:rPr>
                <w:b/>
                <w:sz w:val="12"/>
                <w:szCs w:val="12"/>
              </w:rPr>
              <w:br/>
              <w:t xml:space="preserve"> in Associates </w:t>
            </w:r>
          </w:p>
        </w:tc>
        <w:tc>
          <w:tcPr>
            <w:tcW w:w="473" w:type="dxa"/>
          </w:tcPr>
          <w:p w14:paraId="4F231B1B" w14:textId="77777777" w:rsidR="00980409" w:rsidRPr="007C0BA6" w:rsidRDefault="00980409" w:rsidP="00980409">
            <w:pPr>
              <w:rPr>
                <w:b/>
                <w:sz w:val="12"/>
                <w:szCs w:val="12"/>
              </w:rPr>
            </w:pPr>
          </w:p>
        </w:tc>
        <w:tc>
          <w:tcPr>
            <w:tcW w:w="525" w:type="dxa"/>
            <w:noWrap/>
            <w:tcMar>
              <w:top w:w="20" w:type="dxa"/>
              <w:left w:w="20" w:type="dxa"/>
              <w:bottom w:w="0" w:type="dxa"/>
              <w:right w:w="20" w:type="dxa"/>
            </w:tcMar>
            <w:vAlign w:val="bottom"/>
          </w:tcPr>
          <w:p w14:paraId="10D3C49C" w14:textId="03E3AEAF"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669" w:type="dxa"/>
            <w:vAlign w:val="bottom"/>
          </w:tcPr>
          <w:p w14:paraId="272A5A6F" w14:textId="33D47B57"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536" w:type="dxa"/>
            <w:noWrap/>
            <w:tcMar>
              <w:top w:w="20" w:type="dxa"/>
              <w:left w:w="20" w:type="dxa"/>
              <w:bottom w:w="0" w:type="dxa"/>
              <w:right w:w="20" w:type="dxa"/>
            </w:tcMar>
            <w:vAlign w:val="bottom"/>
          </w:tcPr>
          <w:p w14:paraId="1EDC0BEC" w14:textId="1E1AB0C6"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707" w:type="dxa"/>
            <w:noWrap/>
            <w:tcMar>
              <w:top w:w="20" w:type="dxa"/>
              <w:left w:w="20" w:type="dxa"/>
              <w:bottom w:w="0" w:type="dxa"/>
              <w:right w:w="20" w:type="dxa"/>
            </w:tcMar>
            <w:vAlign w:val="bottom"/>
          </w:tcPr>
          <w:p w14:paraId="7AC22E07" w14:textId="6C454604"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602" w:type="dxa"/>
            <w:noWrap/>
            <w:tcMar>
              <w:top w:w="20" w:type="dxa"/>
              <w:left w:w="20" w:type="dxa"/>
              <w:bottom w:w="0" w:type="dxa"/>
              <w:right w:w="20" w:type="dxa"/>
            </w:tcMar>
            <w:vAlign w:val="bottom"/>
          </w:tcPr>
          <w:p w14:paraId="066CC5D2" w14:textId="54F59448"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536" w:type="dxa"/>
            <w:noWrap/>
            <w:tcMar>
              <w:top w:w="20" w:type="dxa"/>
              <w:left w:w="20" w:type="dxa"/>
              <w:bottom w:w="0" w:type="dxa"/>
              <w:right w:w="20" w:type="dxa"/>
            </w:tcMar>
            <w:vAlign w:val="bottom"/>
          </w:tcPr>
          <w:p w14:paraId="15EDC5C2" w14:textId="65B1408E"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821" w:type="dxa"/>
            <w:noWrap/>
            <w:tcMar>
              <w:top w:w="20" w:type="dxa"/>
              <w:left w:w="20" w:type="dxa"/>
              <w:bottom w:w="0" w:type="dxa"/>
              <w:right w:w="20" w:type="dxa"/>
            </w:tcMar>
            <w:vAlign w:val="bottom"/>
          </w:tcPr>
          <w:p w14:paraId="5DC86D5B" w14:textId="7E35C8D9"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648" w:type="dxa"/>
            <w:noWrap/>
            <w:tcMar>
              <w:top w:w="20" w:type="dxa"/>
              <w:left w:w="20" w:type="dxa"/>
              <w:bottom w:w="0" w:type="dxa"/>
              <w:right w:w="20" w:type="dxa"/>
            </w:tcMar>
            <w:vAlign w:val="bottom"/>
          </w:tcPr>
          <w:p w14:paraId="6D1819A4" w14:textId="4273B5CA"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617" w:type="dxa"/>
            <w:noWrap/>
            <w:tcMar>
              <w:top w:w="20" w:type="dxa"/>
              <w:left w:w="20" w:type="dxa"/>
              <w:bottom w:w="0" w:type="dxa"/>
              <w:right w:w="20" w:type="dxa"/>
            </w:tcMar>
            <w:vAlign w:val="bottom"/>
          </w:tcPr>
          <w:p w14:paraId="509CA3C2" w14:textId="06DEE4D8"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642" w:type="dxa"/>
            <w:noWrap/>
            <w:tcMar>
              <w:top w:w="20" w:type="dxa"/>
              <w:left w:w="20" w:type="dxa"/>
              <w:bottom w:w="0" w:type="dxa"/>
              <w:right w:w="20" w:type="dxa"/>
            </w:tcMar>
            <w:vAlign w:val="bottom"/>
          </w:tcPr>
          <w:p w14:paraId="24433AFF" w14:textId="3CEF299E" w:rsidR="00980409" w:rsidRPr="00650D1F" w:rsidRDefault="00980409" w:rsidP="00980409">
            <w:pPr>
              <w:jc w:val="right"/>
              <w:rPr>
                <w:rFonts w:eastAsia="Arial Unicode MS"/>
                <w:b/>
                <w:bCs/>
                <w:sz w:val="11"/>
                <w:szCs w:val="11"/>
              </w:rPr>
            </w:pPr>
            <w:r w:rsidRPr="00A53232">
              <w:rPr>
                <w:b/>
                <w:bCs/>
                <w:color w:val="000000"/>
                <w:sz w:val="11"/>
                <w:szCs w:val="11"/>
              </w:rPr>
              <w:t xml:space="preserve">596 </w:t>
            </w:r>
          </w:p>
        </w:tc>
        <w:tc>
          <w:tcPr>
            <w:tcW w:w="732" w:type="dxa"/>
            <w:vAlign w:val="bottom"/>
          </w:tcPr>
          <w:p w14:paraId="423B033B" w14:textId="6303F6BF" w:rsidR="00980409" w:rsidRPr="00A53232" w:rsidRDefault="00980409" w:rsidP="00980409">
            <w:pPr>
              <w:ind w:left="-1554" w:right="22"/>
              <w:jc w:val="right"/>
              <w:rPr>
                <w:sz w:val="11"/>
                <w:szCs w:val="11"/>
              </w:rPr>
            </w:pPr>
            <w:r w:rsidRPr="00A53232">
              <w:rPr>
                <w:b/>
                <w:sz w:val="11"/>
                <w:szCs w:val="11"/>
              </w:rPr>
              <w:t>-</w:t>
            </w:r>
          </w:p>
        </w:tc>
        <w:tc>
          <w:tcPr>
            <w:tcW w:w="880" w:type="dxa"/>
            <w:vAlign w:val="bottom"/>
          </w:tcPr>
          <w:p w14:paraId="6CF7C9EB" w14:textId="563E1916" w:rsidR="00980409" w:rsidRPr="00A53232" w:rsidRDefault="00980409" w:rsidP="00980409">
            <w:pPr>
              <w:ind w:left="-1554" w:right="22"/>
              <w:jc w:val="right"/>
              <w:rPr>
                <w:sz w:val="11"/>
                <w:szCs w:val="11"/>
              </w:rPr>
            </w:pPr>
            <w:r w:rsidRPr="00A53232">
              <w:rPr>
                <w:b/>
                <w:sz w:val="11"/>
                <w:szCs w:val="11"/>
              </w:rPr>
              <w:t>-</w:t>
            </w:r>
          </w:p>
        </w:tc>
        <w:tc>
          <w:tcPr>
            <w:tcW w:w="722" w:type="dxa"/>
            <w:noWrap/>
            <w:tcMar>
              <w:top w:w="20" w:type="dxa"/>
              <w:left w:w="20" w:type="dxa"/>
              <w:bottom w:w="0" w:type="dxa"/>
              <w:right w:w="20" w:type="dxa"/>
            </w:tcMar>
            <w:vAlign w:val="bottom"/>
          </w:tcPr>
          <w:p w14:paraId="790A3441" w14:textId="0C710709" w:rsidR="00980409" w:rsidRPr="00A53232" w:rsidRDefault="00980409" w:rsidP="00980409">
            <w:pPr>
              <w:ind w:left="-1554" w:right="22"/>
              <w:jc w:val="right"/>
              <w:rPr>
                <w:sz w:val="11"/>
                <w:szCs w:val="11"/>
              </w:rPr>
            </w:pPr>
            <w:r w:rsidRPr="00A53232">
              <w:rPr>
                <w:b/>
                <w:sz w:val="11"/>
                <w:szCs w:val="11"/>
              </w:rPr>
              <w:t>-</w:t>
            </w:r>
          </w:p>
        </w:tc>
        <w:tc>
          <w:tcPr>
            <w:tcW w:w="589" w:type="dxa"/>
            <w:noWrap/>
            <w:tcMar>
              <w:top w:w="20" w:type="dxa"/>
              <w:left w:w="20" w:type="dxa"/>
              <w:bottom w:w="0" w:type="dxa"/>
              <w:right w:w="20" w:type="dxa"/>
            </w:tcMar>
            <w:vAlign w:val="bottom"/>
          </w:tcPr>
          <w:p w14:paraId="1783936F" w14:textId="76D83654" w:rsidR="00980409" w:rsidRPr="00A53232" w:rsidRDefault="00980409" w:rsidP="00980409">
            <w:pPr>
              <w:ind w:left="-1554" w:right="22"/>
              <w:jc w:val="right"/>
              <w:rPr>
                <w:sz w:val="11"/>
                <w:szCs w:val="11"/>
              </w:rPr>
            </w:pPr>
            <w:r w:rsidRPr="00A53232">
              <w:rPr>
                <w:b/>
                <w:sz w:val="11"/>
                <w:szCs w:val="11"/>
              </w:rPr>
              <w:t>-</w:t>
            </w:r>
          </w:p>
        </w:tc>
        <w:tc>
          <w:tcPr>
            <w:tcW w:w="801" w:type="dxa"/>
            <w:noWrap/>
            <w:tcMar>
              <w:top w:w="20" w:type="dxa"/>
              <w:left w:w="20" w:type="dxa"/>
              <w:bottom w:w="0" w:type="dxa"/>
              <w:right w:w="20" w:type="dxa"/>
            </w:tcMar>
            <w:vAlign w:val="bottom"/>
          </w:tcPr>
          <w:p w14:paraId="2DBBB981" w14:textId="79020C78" w:rsidR="00980409" w:rsidRPr="00650D1F" w:rsidRDefault="00980409" w:rsidP="00980409">
            <w:pPr>
              <w:ind w:left="-1554" w:right="22"/>
              <w:jc w:val="right"/>
              <w:rPr>
                <w:rFonts w:eastAsia="Arial Unicode MS"/>
                <w:b/>
                <w:bCs/>
                <w:sz w:val="11"/>
                <w:szCs w:val="11"/>
              </w:rPr>
            </w:pPr>
            <w:r w:rsidRPr="00A53232">
              <w:rPr>
                <w:b/>
                <w:sz w:val="11"/>
                <w:szCs w:val="11"/>
              </w:rPr>
              <w:t>-</w:t>
            </w:r>
          </w:p>
        </w:tc>
        <w:tc>
          <w:tcPr>
            <w:tcW w:w="626" w:type="dxa"/>
            <w:vAlign w:val="bottom"/>
          </w:tcPr>
          <w:p w14:paraId="15C85BD6" w14:textId="04A80701" w:rsidR="00980409" w:rsidRPr="00650D1F" w:rsidRDefault="00980409" w:rsidP="00980409">
            <w:pPr>
              <w:jc w:val="right"/>
              <w:rPr>
                <w:rFonts w:eastAsia="Arial Unicode MS"/>
                <w:b/>
                <w:bCs/>
                <w:sz w:val="11"/>
                <w:szCs w:val="11"/>
              </w:rPr>
            </w:pPr>
            <w:r w:rsidRPr="00A53232">
              <w:rPr>
                <w:b/>
                <w:bCs/>
                <w:color w:val="000000"/>
                <w:sz w:val="11"/>
                <w:szCs w:val="11"/>
              </w:rPr>
              <w:t xml:space="preserve">596 </w:t>
            </w:r>
          </w:p>
        </w:tc>
        <w:tc>
          <w:tcPr>
            <w:tcW w:w="728" w:type="dxa"/>
            <w:vAlign w:val="bottom"/>
          </w:tcPr>
          <w:p w14:paraId="4277EFA4" w14:textId="476DE386" w:rsidR="00980409" w:rsidRPr="00650D1F" w:rsidRDefault="00980409" w:rsidP="00980409">
            <w:pPr>
              <w:jc w:val="right"/>
              <w:rPr>
                <w:rFonts w:eastAsia="Arial Unicode MS"/>
                <w:b/>
                <w:bCs/>
                <w:sz w:val="11"/>
                <w:szCs w:val="11"/>
              </w:rPr>
            </w:pPr>
            <w:r w:rsidRPr="00A53232">
              <w:rPr>
                <w:b/>
                <w:bCs/>
                <w:color w:val="000000"/>
                <w:sz w:val="11"/>
                <w:szCs w:val="11"/>
              </w:rPr>
              <w:t>(9,202)</w:t>
            </w:r>
          </w:p>
        </w:tc>
        <w:tc>
          <w:tcPr>
            <w:tcW w:w="756" w:type="dxa"/>
            <w:vAlign w:val="bottom"/>
          </w:tcPr>
          <w:p w14:paraId="0E314AB0" w14:textId="6D54C4F5" w:rsidR="00980409" w:rsidRPr="00650D1F" w:rsidRDefault="00980409" w:rsidP="00980409">
            <w:pPr>
              <w:jc w:val="right"/>
              <w:rPr>
                <w:rFonts w:eastAsia="Arial Unicode MS"/>
                <w:b/>
                <w:bCs/>
                <w:sz w:val="11"/>
                <w:szCs w:val="11"/>
              </w:rPr>
            </w:pPr>
            <w:r w:rsidRPr="00A53232">
              <w:rPr>
                <w:b/>
                <w:bCs/>
                <w:color w:val="000000"/>
                <w:sz w:val="11"/>
                <w:szCs w:val="11"/>
              </w:rPr>
              <w:t>(8,606)</w:t>
            </w:r>
          </w:p>
        </w:tc>
      </w:tr>
      <w:tr w:rsidR="00980409" w:rsidRPr="007C0BA6" w14:paraId="1BFB29EA" w14:textId="77777777" w:rsidTr="00677268">
        <w:trPr>
          <w:trHeight w:val="80"/>
        </w:trPr>
        <w:tc>
          <w:tcPr>
            <w:tcW w:w="362" w:type="dxa"/>
            <w:noWrap/>
            <w:tcMar>
              <w:top w:w="20" w:type="dxa"/>
              <w:left w:w="20" w:type="dxa"/>
              <w:bottom w:w="0" w:type="dxa"/>
              <w:right w:w="20" w:type="dxa"/>
            </w:tcMar>
          </w:tcPr>
          <w:p w14:paraId="0192CAE9" w14:textId="77777777" w:rsidR="00980409" w:rsidRPr="007C0BA6" w:rsidRDefault="00980409" w:rsidP="00980409">
            <w:pPr>
              <w:spacing w:line="192" w:lineRule="auto"/>
              <w:ind w:right="-30"/>
              <w:rPr>
                <w:rFonts w:eastAsia="Arial Unicode MS"/>
                <w:b/>
                <w:bCs/>
                <w:sz w:val="12"/>
                <w:szCs w:val="12"/>
              </w:rPr>
            </w:pPr>
            <w:r w:rsidRPr="007C0BA6">
              <w:rPr>
                <w:rFonts w:eastAsia="Arial Unicode MS"/>
                <w:b/>
                <w:bCs/>
                <w:sz w:val="12"/>
                <w:szCs w:val="12"/>
              </w:rPr>
              <w:t>XII.</w:t>
            </w:r>
          </w:p>
        </w:tc>
        <w:tc>
          <w:tcPr>
            <w:tcW w:w="2332" w:type="dxa"/>
            <w:noWrap/>
            <w:tcMar>
              <w:top w:w="20" w:type="dxa"/>
              <w:left w:w="20" w:type="dxa"/>
              <w:bottom w:w="0" w:type="dxa"/>
              <w:right w:w="20" w:type="dxa"/>
            </w:tcMar>
          </w:tcPr>
          <w:p w14:paraId="777F0177" w14:textId="77777777" w:rsidR="00980409" w:rsidRPr="007C0BA6" w:rsidRDefault="00980409" w:rsidP="00980409">
            <w:pPr>
              <w:spacing w:line="192" w:lineRule="auto"/>
              <w:rPr>
                <w:sz w:val="12"/>
                <w:szCs w:val="12"/>
              </w:rPr>
            </w:pPr>
            <w:r w:rsidRPr="007C0BA6">
              <w:rPr>
                <w:b/>
                <w:sz w:val="12"/>
                <w:szCs w:val="12"/>
              </w:rPr>
              <w:t>Capital Increase</w:t>
            </w:r>
          </w:p>
        </w:tc>
        <w:tc>
          <w:tcPr>
            <w:tcW w:w="473" w:type="dxa"/>
          </w:tcPr>
          <w:p w14:paraId="5E68349B" w14:textId="77777777" w:rsidR="00980409" w:rsidRPr="007C0BA6" w:rsidRDefault="00980409" w:rsidP="00980409">
            <w:pPr>
              <w:rPr>
                <w:b/>
                <w:sz w:val="12"/>
                <w:szCs w:val="12"/>
              </w:rPr>
            </w:pPr>
          </w:p>
        </w:tc>
        <w:tc>
          <w:tcPr>
            <w:tcW w:w="525" w:type="dxa"/>
            <w:noWrap/>
            <w:tcMar>
              <w:top w:w="20" w:type="dxa"/>
              <w:left w:w="20" w:type="dxa"/>
              <w:bottom w:w="0" w:type="dxa"/>
              <w:right w:w="20" w:type="dxa"/>
            </w:tcMar>
            <w:vAlign w:val="bottom"/>
          </w:tcPr>
          <w:p w14:paraId="5EB705C8" w14:textId="058D4235" w:rsidR="00980409" w:rsidRPr="00A53232" w:rsidRDefault="00980409" w:rsidP="00980409">
            <w:pPr>
              <w:ind w:left="-1554" w:right="22"/>
              <w:jc w:val="right"/>
              <w:rPr>
                <w:sz w:val="11"/>
                <w:szCs w:val="11"/>
              </w:rPr>
            </w:pPr>
            <w:r w:rsidRPr="00A53232">
              <w:rPr>
                <w:b/>
                <w:sz w:val="11"/>
                <w:szCs w:val="11"/>
              </w:rPr>
              <w:t>-</w:t>
            </w:r>
          </w:p>
        </w:tc>
        <w:tc>
          <w:tcPr>
            <w:tcW w:w="669" w:type="dxa"/>
            <w:vAlign w:val="bottom"/>
          </w:tcPr>
          <w:p w14:paraId="2E65C3F1" w14:textId="6846BF36"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111AB8D0" w14:textId="2D560CE7" w:rsidR="00980409" w:rsidRPr="00A53232" w:rsidRDefault="00980409" w:rsidP="00980409">
            <w:pPr>
              <w:ind w:left="-1554" w:right="22"/>
              <w:jc w:val="right"/>
              <w:rPr>
                <w:sz w:val="11"/>
                <w:szCs w:val="11"/>
              </w:rPr>
            </w:pPr>
            <w:r w:rsidRPr="00A53232">
              <w:rPr>
                <w:b/>
                <w:sz w:val="11"/>
                <w:szCs w:val="11"/>
              </w:rPr>
              <w:t>-</w:t>
            </w:r>
          </w:p>
        </w:tc>
        <w:tc>
          <w:tcPr>
            <w:tcW w:w="707" w:type="dxa"/>
            <w:noWrap/>
            <w:tcMar>
              <w:top w:w="20" w:type="dxa"/>
              <w:left w:w="20" w:type="dxa"/>
              <w:bottom w:w="0" w:type="dxa"/>
              <w:right w:w="20" w:type="dxa"/>
            </w:tcMar>
            <w:vAlign w:val="bottom"/>
          </w:tcPr>
          <w:p w14:paraId="4930C93F" w14:textId="1AD98703" w:rsidR="00980409" w:rsidRPr="00A53232" w:rsidRDefault="00980409" w:rsidP="00980409">
            <w:pPr>
              <w:ind w:left="-1554" w:right="22"/>
              <w:jc w:val="right"/>
              <w:rPr>
                <w:sz w:val="11"/>
                <w:szCs w:val="11"/>
              </w:rPr>
            </w:pPr>
            <w:r w:rsidRPr="00A53232">
              <w:rPr>
                <w:b/>
                <w:sz w:val="11"/>
                <w:szCs w:val="11"/>
              </w:rPr>
              <w:t>-</w:t>
            </w:r>
          </w:p>
        </w:tc>
        <w:tc>
          <w:tcPr>
            <w:tcW w:w="602" w:type="dxa"/>
            <w:noWrap/>
            <w:tcMar>
              <w:top w:w="20" w:type="dxa"/>
              <w:left w:w="20" w:type="dxa"/>
              <w:bottom w:w="0" w:type="dxa"/>
              <w:right w:w="20" w:type="dxa"/>
            </w:tcMar>
            <w:vAlign w:val="bottom"/>
          </w:tcPr>
          <w:p w14:paraId="6FA54CE0" w14:textId="4C2DF4E1"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33832928" w14:textId="2C0BD49D" w:rsidR="00980409" w:rsidRPr="00A53232" w:rsidRDefault="00980409" w:rsidP="00980409">
            <w:pPr>
              <w:ind w:left="-1554" w:right="22"/>
              <w:jc w:val="right"/>
              <w:rPr>
                <w:sz w:val="11"/>
                <w:szCs w:val="11"/>
              </w:rPr>
            </w:pPr>
            <w:r w:rsidRPr="00A53232">
              <w:rPr>
                <w:b/>
                <w:sz w:val="11"/>
                <w:szCs w:val="11"/>
              </w:rPr>
              <w:t>-</w:t>
            </w:r>
          </w:p>
        </w:tc>
        <w:tc>
          <w:tcPr>
            <w:tcW w:w="821" w:type="dxa"/>
            <w:noWrap/>
            <w:tcMar>
              <w:top w:w="20" w:type="dxa"/>
              <w:left w:w="20" w:type="dxa"/>
              <w:bottom w:w="0" w:type="dxa"/>
              <w:right w:w="20" w:type="dxa"/>
            </w:tcMar>
            <w:vAlign w:val="bottom"/>
          </w:tcPr>
          <w:p w14:paraId="49CEC011" w14:textId="58FD07DC" w:rsidR="00980409" w:rsidRPr="00A53232" w:rsidRDefault="00980409" w:rsidP="00980409">
            <w:pPr>
              <w:ind w:left="-1554" w:right="22"/>
              <w:jc w:val="right"/>
              <w:rPr>
                <w:sz w:val="11"/>
                <w:szCs w:val="11"/>
              </w:rPr>
            </w:pPr>
            <w:r w:rsidRPr="00A53232">
              <w:rPr>
                <w:b/>
                <w:sz w:val="11"/>
                <w:szCs w:val="11"/>
              </w:rPr>
              <w:t>-</w:t>
            </w:r>
          </w:p>
        </w:tc>
        <w:tc>
          <w:tcPr>
            <w:tcW w:w="648" w:type="dxa"/>
            <w:noWrap/>
            <w:tcMar>
              <w:top w:w="20" w:type="dxa"/>
              <w:left w:w="20" w:type="dxa"/>
              <w:bottom w:w="0" w:type="dxa"/>
              <w:right w:w="20" w:type="dxa"/>
            </w:tcMar>
            <w:vAlign w:val="bottom"/>
          </w:tcPr>
          <w:p w14:paraId="1BAB3288" w14:textId="2D65799E" w:rsidR="00980409" w:rsidRPr="00A53232" w:rsidRDefault="00980409" w:rsidP="00980409">
            <w:pPr>
              <w:ind w:left="-1554" w:right="22"/>
              <w:jc w:val="right"/>
              <w:rPr>
                <w:sz w:val="11"/>
                <w:szCs w:val="11"/>
              </w:rPr>
            </w:pPr>
            <w:r w:rsidRPr="00A53232">
              <w:rPr>
                <w:b/>
                <w:sz w:val="11"/>
                <w:szCs w:val="11"/>
              </w:rPr>
              <w:t>-</w:t>
            </w:r>
          </w:p>
        </w:tc>
        <w:tc>
          <w:tcPr>
            <w:tcW w:w="617" w:type="dxa"/>
            <w:noWrap/>
            <w:tcMar>
              <w:top w:w="20" w:type="dxa"/>
              <w:left w:w="20" w:type="dxa"/>
              <w:bottom w:w="0" w:type="dxa"/>
              <w:right w:w="20" w:type="dxa"/>
            </w:tcMar>
            <w:vAlign w:val="bottom"/>
          </w:tcPr>
          <w:p w14:paraId="11BE4388" w14:textId="36ED9E49" w:rsidR="00980409" w:rsidRPr="00A53232" w:rsidRDefault="00980409" w:rsidP="00980409">
            <w:pPr>
              <w:ind w:left="-1554" w:right="22"/>
              <w:jc w:val="right"/>
              <w:rPr>
                <w:sz w:val="11"/>
                <w:szCs w:val="11"/>
              </w:rPr>
            </w:pPr>
            <w:r w:rsidRPr="00A53232">
              <w:rPr>
                <w:b/>
                <w:sz w:val="11"/>
                <w:szCs w:val="11"/>
              </w:rPr>
              <w:t>-</w:t>
            </w:r>
          </w:p>
        </w:tc>
        <w:tc>
          <w:tcPr>
            <w:tcW w:w="642" w:type="dxa"/>
            <w:noWrap/>
            <w:tcMar>
              <w:top w:w="20" w:type="dxa"/>
              <w:left w:w="20" w:type="dxa"/>
              <w:bottom w:w="0" w:type="dxa"/>
              <w:right w:w="20" w:type="dxa"/>
            </w:tcMar>
            <w:vAlign w:val="bottom"/>
          </w:tcPr>
          <w:p w14:paraId="4B316DC1" w14:textId="68C4642E" w:rsidR="00980409" w:rsidRPr="00A53232" w:rsidRDefault="00980409" w:rsidP="00980409">
            <w:pPr>
              <w:ind w:left="-1554" w:right="22"/>
              <w:jc w:val="right"/>
              <w:rPr>
                <w:sz w:val="11"/>
                <w:szCs w:val="11"/>
              </w:rPr>
            </w:pPr>
            <w:r w:rsidRPr="00A53232">
              <w:rPr>
                <w:b/>
                <w:sz w:val="11"/>
                <w:szCs w:val="11"/>
              </w:rPr>
              <w:t>-</w:t>
            </w:r>
          </w:p>
        </w:tc>
        <w:tc>
          <w:tcPr>
            <w:tcW w:w="732" w:type="dxa"/>
            <w:vAlign w:val="bottom"/>
          </w:tcPr>
          <w:p w14:paraId="424C6B8A" w14:textId="404B4610" w:rsidR="00980409" w:rsidRPr="00A53232" w:rsidRDefault="00980409" w:rsidP="00980409">
            <w:pPr>
              <w:ind w:left="-1554" w:right="22"/>
              <w:jc w:val="right"/>
              <w:rPr>
                <w:sz w:val="11"/>
                <w:szCs w:val="11"/>
              </w:rPr>
            </w:pPr>
            <w:r w:rsidRPr="00A53232">
              <w:rPr>
                <w:b/>
                <w:sz w:val="11"/>
                <w:szCs w:val="11"/>
              </w:rPr>
              <w:t>-</w:t>
            </w:r>
          </w:p>
        </w:tc>
        <w:tc>
          <w:tcPr>
            <w:tcW w:w="880" w:type="dxa"/>
            <w:vAlign w:val="bottom"/>
          </w:tcPr>
          <w:p w14:paraId="08C67297" w14:textId="779B9653" w:rsidR="00980409" w:rsidRPr="00A53232" w:rsidRDefault="00980409" w:rsidP="00980409">
            <w:pPr>
              <w:ind w:left="-1554" w:right="22"/>
              <w:jc w:val="right"/>
              <w:rPr>
                <w:sz w:val="11"/>
                <w:szCs w:val="11"/>
              </w:rPr>
            </w:pPr>
            <w:r w:rsidRPr="00A53232">
              <w:rPr>
                <w:b/>
                <w:sz w:val="11"/>
                <w:szCs w:val="11"/>
              </w:rPr>
              <w:t>-</w:t>
            </w:r>
          </w:p>
        </w:tc>
        <w:tc>
          <w:tcPr>
            <w:tcW w:w="722" w:type="dxa"/>
            <w:noWrap/>
            <w:tcMar>
              <w:top w:w="20" w:type="dxa"/>
              <w:left w:w="20" w:type="dxa"/>
              <w:bottom w:w="0" w:type="dxa"/>
              <w:right w:w="20" w:type="dxa"/>
            </w:tcMar>
            <w:vAlign w:val="bottom"/>
          </w:tcPr>
          <w:p w14:paraId="4026BC15" w14:textId="69357DF2" w:rsidR="00980409" w:rsidRPr="00A53232" w:rsidRDefault="00980409" w:rsidP="00980409">
            <w:pPr>
              <w:ind w:left="-1554" w:right="22"/>
              <w:jc w:val="right"/>
              <w:rPr>
                <w:sz w:val="11"/>
                <w:szCs w:val="11"/>
              </w:rPr>
            </w:pPr>
            <w:r w:rsidRPr="00A53232">
              <w:rPr>
                <w:b/>
                <w:sz w:val="11"/>
                <w:szCs w:val="11"/>
              </w:rPr>
              <w:t>-</w:t>
            </w:r>
          </w:p>
        </w:tc>
        <w:tc>
          <w:tcPr>
            <w:tcW w:w="589" w:type="dxa"/>
            <w:noWrap/>
            <w:tcMar>
              <w:top w:w="20" w:type="dxa"/>
              <w:left w:w="20" w:type="dxa"/>
              <w:bottom w:w="0" w:type="dxa"/>
              <w:right w:w="20" w:type="dxa"/>
            </w:tcMar>
            <w:vAlign w:val="bottom"/>
          </w:tcPr>
          <w:p w14:paraId="290A586F" w14:textId="21FC0743" w:rsidR="00980409" w:rsidRPr="00A53232" w:rsidRDefault="00980409" w:rsidP="00980409">
            <w:pPr>
              <w:ind w:left="-1554" w:right="22"/>
              <w:jc w:val="right"/>
              <w:rPr>
                <w:sz w:val="11"/>
                <w:szCs w:val="11"/>
              </w:rPr>
            </w:pPr>
            <w:r w:rsidRPr="00A53232">
              <w:rPr>
                <w:b/>
                <w:sz w:val="11"/>
                <w:szCs w:val="11"/>
              </w:rPr>
              <w:t>-</w:t>
            </w:r>
          </w:p>
        </w:tc>
        <w:tc>
          <w:tcPr>
            <w:tcW w:w="801" w:type="dxa"/>
            <w:noWrap/>
            <w:tcMar>
              <w:top w:w="20" w:type="dxa"/>
              <w:left w:w="20" w:type="dxa"/>
              <w:bottom w:w="0" w:type="dxa"/>
              <w:right w:w="20" w:type="dxa"/>
            </w:tcMar>
            <w:vAlign w:val="bottom"/>
          </w:tcPr>
          <w:p w14:paraId="0CEF55E5" w14:textId="4CD99C77" w:rsidR="00980409" w:rsidRPr="00A53232" w:rsidRDefault="00980409" w:rsidP="00980409">
            <w:pPr>
              <w:ind w:left="-1554" w:right="22"/>
              <w:jc w:val="right"/>
              <w:rPr>
                <w:sz w:val="11"/>
                <w:szCs w:val="11"/>
              </w:rPr>
            </w:pPr>
            <w:r w:rsidRPr="00A53232">
              <w:rPr>
                <w:b/>
                <w:sz w:val="11"/>
                <w:szCs w:val="11"/>
              </w:rPr>
              <w:t>-</w:t>
            </w:r>
          </w:p>
        </w:tc>
        <w:tc>
          <w:tcPr>
            <w:tcW w:w="626" w:type="dxa"/>
            <w:vAlign w:val="bottom"/>
          </w:tcPr>
          <w:p w14:paraId="54BEF52D" w14:textId="68A09767" w:rsidR="00980409" w:rsidRPr="00A53232" w:rsidRDefault="00980409" w:rsidP="00980409">
            <w:pPr>
              <w:ind w:left="-1554" w:right="22"/>
              <w:jc w:val="right"/>
              <w:rPr>
                <w:sz w:val="11"/>
                <w:szCs w:val="11"/>
              </w:rPr>
            </w:pPr>
            <w:r w:rsidRPr="00A53232">
              <w:rPr>
                <w:b/>
                <w:sz w:val="11"/>
                <w:szCs w:val="11"/>
              </w:rPr>
              <w:t>-</w:t>
            </w:r>
          </w:p>
        </w:tc>
        <w:tc>
          <w:tcPr>
            <w:tcW w:w="728" w:type="dxa"/>
            <w:vAlign w:val="bottom"/>
          </w:tcPr>
          <w:p w14:paraId="3CD0A806" w14:textId="0AE66E8D" w:rsidR="00980409" w:rsidRPr="00A53232" w:rsidRDefault="00980409" w:rsidP="00980409">
            <w:pPr>
              <w:ind w:left="-1554" w:right="22"/>
              <w:jc w:val="right"/>
              <w:rPr>
                <w:sz w:val="11"/>
                <w:szCs w:val="11"/>
              </w:rPr>
            </w:pPr>
            <w:r w:rsidRPr="00A53232">
              <w:rPr>
                <w:b/>
                <w:sz w:val="11"/>
                <w:szCs w:val="11"/>
              </w:rPr>
              <w:t>-</w:t>
            </w:r>
          </w:p>
        </w:tc>
        <w:tc>
          <w:tcPr>
            <w:tcW w:w="756" w:type="dxa"/>
            <w:vAlign w:val="bottom"/>
          </w:tcPr>
          <w:p w14:paraId="2BCABE81" w14:textId="3B768D6D" w:rsidR="00980409" w:rsidRPr="00A53232" w:rsidRDefault="00980409" w:rsidP="00980409">
            <w:pPr>
              <w:ind w:left="-1554" w:right="22"/>
              <w:jc w:val="right"/>
              <w:rPr>
                <w:sz w:val="11"/>
                <w:szCs w:val="11"/>
              </w:rPr>
            </w:pPr>
            <w:r w:rsidRPr="00A53232">
              <w:rPr>
                <w:b/>
                <w:sz w:val="11"/>
                <w:szCs w:val="11"/>
              </w:rPr>
              <w:t>-</w:t>
            </w:r>
          </w:p>
        </w:tc>
      </w:tr>
      <w:tr w:rsidR="00980409" w:rsidRPr="007C0BA6" w14:paraId="11641012" w14:textId="77777777" w:rsidTr="00677268">
        <w:trPr>
          <w:trHeight w:val="80"/>
        </w:trPr>
        <w:tc>
          <w:tcPr>
            <w:tcW w:w="362" w:type="dxa"/>
            <w:noWrap/>
            <w:tcMar>
              <w:top w:w="20" w:type="dxa"/>
              <w:left w:w="20" w:type="dxa"/>
              <w:bottom w:w="0" w:type="dxa"/>
              <w:right w:w="20" w:type="dxa"/>
            </w:tcMar>
          </w:tcPr>
          <w:p w14:paraId="0D83C1B0" w14:textId="77777777" w:rsidR="00980409" w:rsidRPr="007C0BA6" w:rsidRDefault="00980409" w:rsidP="00980409">
            <w:pPr>
              <w:spacing w:line="192" w:lineRule="auto"/>
              <w:ind w:right="-30"/>
              <w:rPr>
                <w:rFonts w:eastAsia="Arial Unicode MS"/>
                <w:b/>
                <w:bCs/>
                <w:sz w:val="12"/>
                <w:szCs w:val="12"/>
              </w:rPr>
            </w:pPr>
            <w:r w:rsidRPr="007C0BA6">
              <w:rPr>
                <w:rFonts w:eastAsia="Arial Unicode MS"/>
                <w:bCs/>
                <w:sz w:val="12"/>
                <w:szCs w:val="12"/>
              </w:rPr>
              <w:t>12.1</w:t>
            </w:r>
          </w:p>
        </w:tc>
        <w:tc>
          <w:tcPr>
            <w:tcW w:w="2332" w:type="dxa"/>
            <w:noWrap/>
            <w:tcMar>
              <w:top w:w="20" w:type="dxa"/>
              <w:left w:w="20" w:type="dxa"/>
              <w:bottom w:w="0" w:type="dxa"/>
              <w:right w:w="20" w:type="dxa"/>
            </w:tcMar>
          </w:tcPr>
          <w:p w14:paraId="12AA41F3" w14:textId="77777777" w:rsidR="00980409" w:rsidRPr="007C0BA6" w:rsidRDefault="00980409" w:rsidP="00980409">
            <w:pPr>
              <w:spacing w:line="192" w:lineRule="auto"/>
              <w:rPr>
                <w:rFonts w:eastAsia="Arial Unicode MS"/>
                <w:b/>
                <w:sz w:val="12"/>
                <w:szCs w:val="12"/>
              </w:rPr>
            </w:pPr>
            <w:r w:rsidRPr="007C0BA6">
              <w:rPr>
                <w:rFonts w:eastAsia="Arial Unicode MS"/>
                <w:sz w:val="12"/>
                <w:szCs w:val="12"/>
              </w:rPr>
              <w:t>Cash</w:t>
            </w:r>
          </w:p>
        </w:tc>
        <w:tc>
          <w:tcPr>
            <w:tcW w:w="473" w:type="dxa"/>
          </w:tcPr>
          <w:p w14:paraId="28B0C5EB" w14:textId="77777777" w:rsidR="00980409" w:rsidRPr="007C0BA6" w:rsidRDefault="00980409" w:rsidP="00980409">
            <w:pPr>
              <w:rPr>
                <w:b/>
                <w:sz w:val="12"/>
                <w:szCs w:val="12"/>
              </w:rPr>
            </w:pPr>
          </w:p>
        </w:tc>
        <w:tc>
          <w:tcPr>
            <w:tcW w:w="525" w:type="dxa"/>
            <w:noWrap/>
            <w:tcMar>
              <w:top w:w="20" w:type="dxa"/>
              <w:left w:w="20" w:type="dxa"/>
              <w:bottom w:w="0" w:type="dxa"/>
              <w:right w:w="20" w:type="dxa"/>
            </w:tcMar>
            <w:vAlign w:val="bottom"/>
          </w:tcPr>
          <w:p w14:paraId="20A59C85" w14:textId="306CBE8E" w:rsidR="00980409" w:rsidRPr="00A53232" w:rsidRDefault="00980409" w:rsidP="00980409">
            <w:pPr>
              <w:ind w:left="-1554" w:right="22"/>
              <w:jc w:val="right"/>
              <w:rPr>
                <w:sz w:val="11"/>
                <w:szCs w:val="11"/>
              </w:rPr>
            </w:pPr>
            <w:r w:rsidRPr="00A53232">
              <w:rPr>
                <w:b/>
                <w:sz w:val="11"/>
                <w:szCs w:val="11"/>
              </w:rPr>
              <w:t>-</w:t>
            </w:r>
          </w:p>
        </w:tc>
        <w:tc>
          <w:tcPr>
            <w:tcW w:w="669" w:type="dxa"/>
            <w:vAlign w:val="bottom"/>
          </w:tcPr>
          <w:p w14:paraId="0C724D1F" w14:textId="13A67996"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18055796" w14:textId="4F65EB16" w:rsidR="00980409" w:rsidRPr="00A53232" w:rsidRDefault="00980409" w:rsidP="00980409">
            <w:pPr>
              <w:ind w:left="-1554" w:right="22"/>
              <w:jc w:val="right"/>
              <w:rPr>
                <w:sz w:val="11"/>
                <w:szCs w:val="11"/>
              </w:rPr>
            </w:pPr>
            <w:r w:rsidRPr="00A53232">
              <w:rPr>
                <w:b/>
                <w:sz w:val="11"/>
                <w:szCs w:val="11"/>
              </w:rPr>
              <w:t>-</w:t>
            </w:r>
          </w:p>
        </w:tc>
        <w:tc>
          <w:tcPr>
            <w:tcW w:w="707" w:type="dxa"/>
            <w:noWrap/>
            <w:tcMar>
              <w:top w:w="20" w:type="dxa"/>
              <w:left w:w="20" w:type="dxa"/>
              <w:bottom w:w="0" w:type="dxa"/>
              <w:right w:w="20" w:type="dxa"/>
            </w:tcMar>
            <w:vAlign w:val="bottom"/>
          </w:tcPr>
          <w:p w14:paraId="1FFDC73F" w14:textId="43260D5B" w:rsidR="00980409" w:rsidRPr="00A53232" w:rsidRDefault="00980409" w:rsidP="00980409">
            <w:pPr>
              <w:ind w:left="-1554" w:right="22"/>
              <w:jc w:val="right"/>
              <w:rPr>
                <w:sz w:val="11"/>
                <w:szCs w:val="11"/>
              </w:rPr>
            </w:pPr>
            <w:r w:rsidRPr="00A53232">
              <w:rPr>
                <w:b/>
                <w:sz w:val="11"/>
                <w:szCs w:val="11"/>
              </w:rPr>
              <w:t>-</w:t>
            </w:r>
          </w:p>
        </w:tc>
        <w:tc>
          <w:tcPr>
            <w:tcW w:w="602" w:type="dxa"/>
            <w:noWrap/>
            <w:tcMar>
              <w:top w:w="20" w:type="dxa"/>
              <w:left w:w="20" w:type="dxa"/>
              <w:bottom w:w="0" w:type="dxa"/>
              <w:right w:w="20" w:type="dxa"/>
            </w:tcMar>
            <w:vAlign w:val="bottom"/>
          </w:tcPr>
          <w:p w14:paraId="65D186BD" w14:textId="67A3B3B9"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322AEC1C" w14:textId="48017C60" w:rsidR="00980409" w:rsidRPr="00A53232" w:rsidRDefault="00980409" w:rsidP="00980409">
            <w:pPr>
              <w:ind w:left="-1554" w:right="22"/>
              <w:jc w:val="right"/>
              <w:rPr>
                <w:sz w:val="11"/>
                <w:szCs w:val="11"/>
              </w:rPr>
            </w:pPr>
            <w:r w:rsidRPr="00A53232">
              <w:rPr>
                <w:b/>
                <w:sz w:val="11"/>
                <w:szCs w:val="11"/>
              </w:rPr>
              <w:t>-</w:t>
            </w:r>
          </w:p>
        </w:tc>
        <w:tc>
          <w:tcPr>
            <w:tcW w:w="821" w:type="dxa"/>
            <w:noWrap/>
            <w:tcMar>
              <w:top w:w="20" w:type="dxa"/>
              <w:left w:w="20" w:type="dxa"/>
              <w:bottom w:w="0" w:type="dxa"/>
              <w:right w:w="20" w:type="dxa"/>
            </w:tcMar>
            <w:vAlign w:val="bottom"/>
          </w:tcPr>
          <w:p w14:paraId="33B0B3C8" w14:textId="22B73CA8" w:rsidR="00980409" w:rsidRPr="00A53232" w:rsidRDefault="00980409" w:rsidP="00980409">
            <w:pPr>
              <w:ind w:left="-1554" w:right="22"/>
              <w:jc w:val="right"/>
              <w:rPr>
                <w:sz w:val="11"/>
                <w:szCs w:val="11"/>
              </w:rPr>
            </w:pPr>
            <w:r w:rsidRPr="00A53232">
              <w:rPr>
                <w:b/>
                <w:sz w:val="11"/>
                <w:szCs w:val="11"/>
              </w:rPr>
              <w:t>-</w:t>
            </w:r>
          </w:p>
        </w:tc>
        <w:tc>
          <w:tcPr>
            <w:tcW w:w="648" w:type="dxa"/>
            <w:noWrap/>
            <w:tcMar>
              <w:top w:w="20" w:type="dxa"/>
              <w:left w:w="20" w:type="dxa"/>
              <w:bottom w:w="0" w:type="dxa"/>
              <w:right w:w="20" w:type="dxa"/>
            </w:tcMar>
            <w:vAlign w:val="bottom"/>
          </w:tcPr>
          <w:p w14:paraId="1CEDCFAF" w14:textId="68351BE4" w:rsidR="00980409" w:rsidRPr="00A53232" w:rsidRDefault="00980409" w:rsidP="00980409">
            <w:pPr>
              <w:ind w:left="-1554" w:right="22"/>
              <w:jc w:val="right"/>
              <w:rPr>
                <w:sz w:val="11"/>
                <w:szCs w:val="11"/>
              </w:rPr>
            </w:pPr>
            <w:r w:rsidRPr="00A53232">
              <w:rPr>
                <w:b/>
                <w:sz w:val="11"/>
                <w:szCs w:val="11"/>
              </w:rPr>
              <w:t>-</w:t>
            </w:r>
          </w:p>
        </w:tc>
        <w:tc>
          <w:tcPr>
            <w:tcW w:w="617" w:type="dxa"/>
            <w:noWrap/>
            <w:tcMar>
              <w:top w:w="20" w:type="dxa"/>
              <w:left w:w="20" w:type="dxa"/>
              <w:bottom w:w="0" w:type="dxa"/>
              <w:right w:w="20" w:type="dxa"/>
            </w:tcMar>
            <w:vAlign w:val="bottom"/>
          </w:tcPr>
          <w:p w14:paraId="6A451FBF" w14:textId="24EF30B4" w:rsidR="00980409" w:rsidRPr="00A53232" w:rsidRDefault="00980409" w:rsidP="00980409">
            <w:pPr>
              <w:ind w:left="-1554" w:right="22"/>
              <w:jc w:val="right"/>
              <w:rPr>
                <w:sz w:val="11"/>
                <w:szCs w:val="11"/>
              </w:rPr>
            </w:pPr>
            <w:r w:rsidRPr="00A53232">
              <w:rPr>
                <w:b/>
                <w:sz w:val="11"/>
                <w:szCs w:val="11"/>
              </w:rPr>
              <w:t>-</w:t>
            </w:r>
          </w:p>
        </w:tc>
        <w:tc>
          <w:tcPr>
            <w:tcW w:w="642" w:type="dxa"/>
            <w:noWrap/>
            <w:tcMar>
              <w:top w:w="20" w:type="dxa"/>
              <w:left w:w="20" w:type="dxa"/>
              <w:bottom w:w="0" w:type="dxa"/>
              <w:right w:w="20" w:type="dxa"/>
            </w:tcMar>
            <w:vAlign w:val="bottom"/>
          </w:tcPr>
          <w:p w14:paraId="78DFE4E9" w14:textId="465014CC" w:rsidR="00980409" w:rsidRPr="00A53232" w:rsidRDefault="00980409" w:rsidP="00980409">
            <w:pPr>
              <w:ind w:left="-1554" w:right="22"/>
              <w:jc w:val="right"/>
              <w:rPr>
                <w:sz w:val="11"/>
                <w:szCs w:val="11"/>
              </w:rPr>
            </w:pPr>
            <w:r w:rsidRPr="00A53232">
              <w:rPr>
                <w:b/>
                <w:sz w:val="11"/>
                <w:szCs w:val="11"/>
              </w:rPr>
              <w:t>-</w:t>
            </w:r>
          </w:p>
        </w:tc>
        <w:tc>
          <w:tcPr>
            <w:tcW w:w="732" w:type="dxa"/>
            <w:vAlign w:val="bottom"/>
          </w:tcPr>
          <w:p w14:paraId="405DA885" w14:textId="2C7F8350" w:rsidR="00980409" w:rsidRPr="00A53232" w:rsidRDefault="00980409" w:rsidP="00980409">
            <w:pPr>
              <w:ind w:left="-1554" w:right="22"/>
              <w:jc w:val="right"/>
              <w:rPr>
                <w:sz w:val="11"/>
                <w:szCs w:val="11"/>
              </w:rPr>
            </w:pPr>
            <w:r w:rsidRPr="00A53232">
              <w:rPr>
                <w:b/>
                <w:sz w:val="11"/>
                <w:szCs w:val="11"/>
              </w:rPr>
              <w:t>-</w:t>
            </w:r>
          </w:p>
        </w:tc>
        <w:tc>
          <w:tcPr>
            <w:tcW w:w="880" w:type="dxa"/>
            <w:vAlign w:val="bottom"/>
          </w:tcPr>
          <w:p w14:paraId="6416C31E" w14:textId="6FE5B598" w:rsidR="00980409" w:rsidRPr="00A53232" w:rsidRDefault="00980409" w:rsidP="00980409">
            <w:pPr>
              <w:ind w:left="-1554" w:right="22"/>
              <w:jc w:val="right"/>
              <w:rPr>
                <w:sz w:val="11"/>
                <w:szCs w:val="11"/>
              </w:rPr>
            </w:pPr>
            <w:r w:rsidRPr="00A53232">
              <w:rPr>
                <w:b/>
                <w:sz w:val="11"/>
                <w:szCs w:val="11"/>
              </w:rPr>
              <w:t>-</w:t>
            </w:r>
          </w:p>
        </w:tc>
        <w:tc>
          <w:tcPr>
            <w:tcW w:w="722" w:type="dxa"/>
            <w:noWrap/>
            <w:tcMar>
              <w:top w:w="20" w:type="dxa"/>
              <w:left w:w="20" w:type="dxa"/>
              <w:bottom w:w="0" w:type="dxa"/>
              <w:right w:w="20" w:type="dxa"/>
            </w:tcMar>
            <w:vAlign w:val="bottom"/>
          </w:tcPr>
          <w:p w14:paraId="584836B4" w14:textId="4004D2A0" w:rsidR="00980409" w:rsidRPr="00A53232" w:rsidRDefault="00980409" w:rsidP="00980409">
            <w:pPr>
              <w:ind w:left="-1554" w:right="22"/>
              <w:jc w:val="right"/>
              <w:rPr>
                <w:sz w:val="11"/>
                <w:szCs w:val="11"/>
              </w:rPr>
            </w:pPr>
            <w:r w:rsidRPr="00A53232">
              <w:rPr>
                <w:b/>
                <w:sz w:val="11"/>
                <w:szCs w:val="11"/>
              </w:rPr>
              <w:t>-</w:t>
            </w:r>
          </w:p>
        </w:tc>
        <w:tc>
          <w:tcPr>
            <w:tcW w:w="589" w:type="dxa"/>
            <w:noWrap/>
            <w:tcMar>
              <w:top w:w="20" w:type="dxa"/>
              <w:left w:w="20" w:type="dxa"/>
              <w:bottom w:w="0" w:type="dxa"/>
              <w:right w:w="20" w:type="dxa"/>
            </w:tcMar>
            <w:vAlign w:val="bottom"/>
          </w:tcPr>
          <w:p w14:paraId="65678B4D" w14:textId="6E55CE4F" w:rsidR="00980409" w:rsidRPr="00A53232" w:rsidRDefault="00980409" w:rsidP="00980409">
            <w:pPr>
              <w:ind w:left="-1554" w:right="22"/>
              <w:jc w:val="right"/>
              <w:rPr>
                <w:sz w:val="11"/>
                <w:szCs w:val="11"/>
              </w:rPr>
            </w:pPr>
            <w:r w:rsidRPr="00A53232">
              <w:rPr>
                <w:b/>
                <w:sz w:val="11"/>
                <w:szCs w:val="11"/>
              </w:rPr>
              <w:t>-</w:t>
            </w:r>
          </w:p>
        </w:tc>
        <w:tc>
          <w:tcPr>
            <w:tcW w:w="801" w:type="dxa"/>
            <w:noWrap/>
            <w:tcMar>
              <w:top w:w="20" w:type="dxa"/>
              <w:left w:w="20" w:type="dxa"/>
              <w:bottom w:w="0" w:type="dxa"/>
              <w:right w:w="20" w:type="dxa"/>
            </w:tcMar>
            <w:vAlign w:val="bottom"/>
          </w:tcPr>
          <w:p w14:paraId="50580919" w14:textId="4AD640A2" w:rsidR="00980409" w:rsidRPr="00A53232" w:rsidRDefault="00980409" w:rsidP="00980409">
            <w:pPr>
              <w:ind w:left="-1554" w:right="22"/>
              <w:jc w:val="right"/>
              <w:rPr>
                <w:sz w:val="11"/>
                <w:szCs w:val="11"/>
              </w:rPr>
            </w:pPr>
            <w:r w:rsidRPr="00A53232">
              <w:rPr>
                <w:b/>
                <w:sz w:val="11"/>
                <w:szCs w:val="11"/>
              </w:rPr>
              <w:t>-</w:t>
            </w:r>
          </w:p>
        </w:tc>
        <w:tc>
          <w:tcPr>
            <w:tcW w:w="626" w:type="dxa"/>
            <w:vAlign w:val="bottom"/>
          </w:tcPr>
          <w:p w14:paraId="5C61F526" w14:textId="2B85A4D5" w:rsidR="00980409" w:rsidRPr="00A53232" w:rsidRDefault="00980409" w:rsidP="00980409">
            <w:pPr>
              <w:ind w:left="-1554" w:right="22"/>
              <w:jc w:val="right"/>
              <w:rPr>
                <w:sz w:val="11"/>
                <w:szCs w:val="11"/>
              </w:rPr>
            </w:pPr>
            <w:r w:rsidRPr="00A53232">
              <w:rPr>
                <w:b/>
                <w:sz w:val="11"/>
                <w:szCs w:val="11"/>
              </w:rPr>
              <w:t>-</w:t>
            </w:r>
          </w:p>
        </w:tc>
        <w:tc>
          <w:tcPr>
            <w:tcW w:w="728" w:type="dxa"/>
            <w:vAlign w:val="bottom"/>
          </w:tcPr>
          <w:p w14:paraId="35069051" w14:textId="521CC511" w:rsidR="00980409" w:rsidRPr="00A53232" w:rsidRDefault="00980409" w:rsidP="00980409">
            <w:pPr>
              <w:ind w:left="-1554" w:right="22"/>
              <w:jc w:val="right"/>
              <w:rPr>
                <w:sz w:val="11"/>
                <w:szCs w:val="11"/>
              </w:rPr>
            </w:pPr>
            <w:r w:rsidRPr="00A53232">
              <w:rPr>
                <w:b/>
                <w:sz w:val="11"/>
                <w:szCs w:val="11"/>
              </w:rPr>
              <w:t>-</w:t>
            </w:r>
          </w:p>
        </w:tc>
        <w:tc>
          <w:tcPr>
            <w:tcW w:w="756" w:type="dxa"/>
            <w:vAlign w:val="bottom"/>
          </w:tcPr>
          <w:p w14:paraId="57DB4146" w14:textId="6A162305" w:rsidR="00980409" w:rsidRPr="00A53232" w:rsidRDefault="00980409" w:rsidP="00980409">
            <w:pPr>
              <w:ind w:left="-1554" w:right="22"/>
              <w:jc w:val="right"/>
              <w:rPr>
                <w:sz w:val="11"/>
                <w:szCs w:val="11"/>
              </w:rPr>
            </w:pPr>
            <w:r w:rsidRPr="00A53232">
              <w:rPr>
                <w:b/>
                <w:sz w:val="11"/>
                <w:szCs w:val="11"/>
              </w:rPr>
              <w:t>-</w:t>
            </w:r>
          </w:p>
        </w:tc>
      </w:tr>
      <w:tr w:rsidR="00980409" w:rsidRPr="007C0BA6" w14:paraId="5E1BD53E" w14:textId="77777777" w:rsidTr="00677268">
        <w:trPr>
          <w:trHeight w:val="80"/>
        </w:trPr>
        <w:tc>
          <w:tcPr>
            <w:tcW w:w="362" w:type="dxa"/>
            <w:noWrap/>
            <w:tcMar>
              <w:top w:w="20" w:type="dxa"/>
              <w:left w:w="20" w:type="dxa"/>
              <w:bottom w:w="0" w:type="dxa"/>
              <w:right w:w="20" w:type="dxa"/>
            </w:tcMar>
          </w:tcPr>
          <w:p w14:paraId="46C93CC2" w14:textId="77777777" w:rsidR="00980409" w:rsidRPr="007C0BA6" w:rsidRDefault="00980409" w:rsidP="00980409">
            <w:pPr>
              <w:spacing w:line="192" w:lineRule="auto"/>
              <w:ind w:right="-30"/>
              <w:rPr>
                <w:rFonts w:eastAsia="Arial Unicode MS"/>
                <w:bCs/>
                <w:sz w:val="12"/>
                <w:szCs w:val="12"/>
              </w:rPr>
            </w:pPr>
            <w:r w:rsidRPr="007C0BA6">
              <w:rPr>
                <w:rFonts w:eastAsia="Arial Unicode MS"/>
                <w:bCs/>
                <w:sz w:val="12"/>
                <w:szCs w:val="12"/>
              </w:rPr>
              <w:t>12.2</w:t>
            </w:r>
          </w:p>
        </w:tc>
        <w:tc>
          <w:tcPr>
            <w:tcW w:w="2332" w:type="dxa"/>
            <w:noWrap/>
            <w:tcMar>
              <w:top w:w="20" w:type="dxa"/>
              <w:left w:w="20" w:type="dxa"/>
              <w:bottom w:w="0" w:type="dxa"/>
              <w:right w:w="20" w:type="dxa"/>
            </w:tcMar>
          </w:tcPr>
          <w:p w14:paraId="312CBD7D" w14:textId="77777777" w:rsidR="00980409" w:rsidRPr="007C0BA6" w:rsidRDefault="00980409" w:rsidP="00980409">
            <w:pPr>
              <w:spacing w:line="192" w:lineRule="auto"/>
              <w:rPr>
                <w:rFonts w:eastAsia="Arial Unicode MS"/>
                <w:sz w:val="12"/>
                <w:szCs w:val="12"/>
              </w:rPr>
            </w:pPr>
            <w:r w:rsidRPr="007C0BA6">
              <w:rPr>
                <w:sz w:val="12"/>
                <w:szCs w:val="12"/>
              </w:rPr>
              <w:t>Internal Resources</w:t>
            </w:r>
          </w:p>
        </w:tc>
        <w:tc>
          <w:tcPr>
            <w:tcW w:w="473" w:type="dxa"/>
          </w:tcPr>
          <w:p w14:paraId="1C6E242D"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486E9BED" w14:textId="3660B38C" w:rsidR="00980409" w:rsidRPr="00A53232" w:rsidRDefault="00980409" w:rsidP="00980409">
            <w:pPr>
              <w:ind w:left="-1554" w:right="22"/>
              <w:jc w:val="right"/>
              <w:rPr>
                <w:sz w:val="11"/>
                <w:szCs w:val="11"/>
              </w:rPr>
            </w:pPr>
            <w:r w:rsidRPr="00A53232">
              <w:rPr>
                <w:b/>
                <w:sz w:val="11"/>
                <w:szCs w:val="11"/>
              </w:rPr>
              <w:t>-</w:t>
            </w:r>
          </w:p>
        </w:tc>
        <w:tc>
          <w:tcPr>
            <w:tcW w:w="669" w:type="dxa"/>
            <w:vAlign w:val="bottom"/>
          </w:tcPr>
          <w:p w14:paraId="5660BB2C" w14:textId="1BB5D977"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57F96C49" w14:textId="6976E2E3" w:rsidR="00980409" w:rsidRPr="00A53232" w:rsidRDefault="00980409" w:rsidP="00980409">
            <w:pPr>
              <w:ind w:left="-1554" w:right="22"/>
              <w:jc w:val="right"/>
              <w:rPr>
                <w:sz w:val="11"/>
                <w:szCs w:val="11"/>
              </w:rPr>
            </w:pPr>
            <w:r w:rsidRPr="00A53232">
              <w:rPr>
                <w:b/>
                <w:sz w:val="11"/>
                <w:szCs w:val="11"/>
              </w:rPr>
              <w:t>-</w:t>
            </w:r>
          </w:p>
        </w:tc>
        <w:tc>
          <w:tcPr>
            <w:tcW w:w="707" w:type="dxa"/>
            <w:noWrap/>
            <w:tcMar>
              <w:top w:w="20" w:type="dxa"/>
              <w:left w:w="20" w:type="dxa"/>
              <w:bottom w:w="0" w:type="dxa"/>
              <w:right w:w="20" w:type="dxa"/>
            </w:tcMar>
            <w:vAlign w:val="bottom"/>
          </w:tcPr>
          <w:p w14:paraId="16BC1C8A" w14:textId="23C87D0A" w:rsidR="00980409" w:rsidRPr="00A53232" w:rsidRDefault="00980409" w:rsidP="00980409">
            <w:pPr>
              <w:ind w:left="-1554" w:right="22"/>
              <w:jc w:val="right"/>
              <w:rPr>
                <w:sz w:val="11"/>
                <w:szCs w:val="11"/>
              </w:rPr>
            </w:pPr>
            <w:r w:rsidRPr="00A53232">
              <w:rPr>
                <w:b/>
                <w:sz w:val="11"/>
                <w:szCs w:val="11"/>
              </w:rPr>
              <w:t>-</w:t>
            </w:r>
          </w:p>
        </w:tc>
        <w:tc>
          <w:tcPr>
            <w:tcW w:w="602" w:type="dxa"/>
            <w:noWrap/>
            <w:tcMar>
              <w:top w:w="20" w:type="dxa"/>
              <w:left w:w="20" w:type="dxa"/>
              <w:bottom w:w="0" w:type="dxa"/>
              <w:right w:w="20" w:type="dxa"/>
            </w:tcMar>
            <w:vAlign w:val="bottom"/>
          </w:tcPr>
          <w:p w14:paraId="499FA2D0" w14:textId="6FD1328A"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0C35E6BF" w14:textId="01BBA856" w:rsidR="00980409" w:rsidRPr="00A53232" w:rsidRDefault="00980409" w:rsidP="00980409">
            <w:pPr>
              <w:ind w:left="-1554" w:right="22"/>
              <w:jc w:val="right"/>
              <w:rPr>
                <w:sz w:val="11"/>
                <w:szCs w:val="11"/>
              </w:rPr>
            </w:pPr>
            <w:r w:rsidRPr="00A53232">
              <w:rPr>
                <w:b/>
                <w:sz w:val="11"/>
                <w:szCs w:val="11"/>
              </w:rPr>
              <w:t>-</w:t>
            </w:r>
          </w:p>
        </w:tc>
        <w:tc>
          <w:tcPr>
            <w:tcW w:w="821" w:type="dxa"/>
            <w:noWrap/>
            <w:tcMar>
              <w:top w:w="20" w:type="dxa"/>
              <w:left w:w="20" w:type="dxa"/>
              <w:bottom w:w="0" w:type="dxa"/>
              <w:right w:w="20" w:type="dxa"/>
            </w:tcMar>
            <w:vAlign w:val="bottom"/>
          </w:tcPr>
          <w:p w14:paraId="0AE1F76B" w14:textId="00D4567A" w:rsidR="00980409" w:rsidRPr="00A53232" w:rsidRDefault="00980409" w:rsidP="00980409">
            <w:pPr>
              <w:ind w:left="-1554" w:right="22"/>
              <w:jc w:val="right"/>
              <w:rPr>
                <w:sz w:val="11"/>
                <w:szCs w:val="11"/>
              </w:rPr>
            </w:pPr>
            <w:r w:rsidRPr="00A53232">
              <w:rPr>
                <w:b/>
                <w:sz w:val="11"/>
                <w:szCs w:val="11"/>
              </w:rPr>
              <w:t>-</w:t>
            </w:r>
          </w:p>
        </w:tc>
        <w:tc>
          <w:tcPr>
            <w:tcW w:w="648" w:type="dxa"/>
            <w:noWrap/>
            <w:tcMar>
              <w:top w:w="20" w:type="dxa"/>
              <w:left w:w="20" w:type="dxa"/>
              <w:bottom w:w="0" w:type="dxa"/>
              <w:right w:w="20" w:type="dxa"/>
            </w:tcMar>
            <w:vAlign w:val="bottom"/>
          </w:tcPr>
          <w:p w14:paraId="19DD8908" w14:textId="22881CEC" w:rsidR="00980409" w:rsidRPr="00A53232" w:rsidRDefault="00980409" w:rsidP="00980409">
            <w:pPr>
              <w:ind w:left="-1554" w:right="22"/>
              <w:jc w:val="right"/>
              <w:rPr>
                <w:sz w:val="11"/>
                <w:szCs w:val="11"/>
              </w:rPr>
            </w:pPr>
            <w:r w:rsidRPr="00A53232">
              <w:rPr>
                <w:b/>
                <w:sz w:val="11"/>
                <w:szCs w:val="11"/>
              </w:rPr>
              <w:t>-</w:t>
            </w:r>
          </w:p>
        </w:tc>
        <w:tc>
          <w:tcPr>
            <w:tcW w:w="617" w:type="dxa"/>
            <w:noWrap/>
            <w:tcMar>
              <w:top w:w="20" w:type="dxa"/>
              <w:left w:w="20" w:type="dxa"/>
              <w:bottom w:w="0" w:type="dxa"/>
              <w:right w:w="20" w:type="dxa"/>
            </w:tcMar>
            <w:vAlign w:val="bottom"/>
          </w:tcPr>
          <w:p w14:paraId="62DEC47B" w14:textId="1FC8622F" w:rsidR="00980409" w:rsidRPr="00A53232" w:rsidRDefault="00980409" w:rsidP="00980409">
            <w:pPr>
              <w:ind w:left="-1554" w:right="22"/>
              <w:jc w:val="right"/>
              <w:rPr>
                <w:sz w:val="11"/>
                <w:szCs w:val="11"/>
              </w:rPr>
            </w:pPr>
            <w:r w:rsidRPr="00A53232">
              <w:rPr>
                <w:b/>
                <w:sz w:val="11"/>
                <w:szCs w:val="11"/>
              </w:rPr>
              <w:t>-</w:t>
            </w:r>
          </w:p>
        </w:tc>
        <w:tc>
          <w:tcPr>
            <w:tcW w:w="642" w:type="dxa"/>
            <w:noWrap/>
            <w:tcMar>
              <w:top w:w="20" w:type="dxa"/>
              <w:left w:w="20" w:type="dxa"/>
              <w:bottom w:w="0" w:type="dxa"/>
              <w:right w:w="20" w:type="dxa"/>
            </w:tcMar>
            <w:vAlign w:val="bottom"/>
          </w:tcPr>
          <w:p w14:paraId="172494F4" w14:textId="62592915" w:rsidR="00980409" w:rsidRPr="00A53232" w:rsidRDefault="00980409" w:rsidP="00980409">
            <w:pPr>
              <w:ind w:left="-1554" w:right="22"/>
              <w:jc w:val="right"/>
              <w:rPr>
                <w:sz w:val="11"/>
                <w:szCs w:val="11"/>
              </w:rPr>
            </w:pPr>
            <w:r w:rsidRPr="00A53232">
              <w:rPr>
                <w:b/>
                <w:sz w:val="11"/>
                <w:szCs w:val="11"/>
              </w:rPr>
              <w:t>-</w:t>
            </w:r>
          </w:p>
        </w:tc>
        <w:tc>
          <w:tcPr>
            <w:tcW w:w="732" w:type="dxa"/>
            <w:vAlign w:val="bottom"/>
          </w:tcPr>
          <w:p w14:paraId="71730830" w14:textId="74D78131" w:rsidR="00980409" w:rsidRPr="00A53232" w:rsidRDefault="00980409" w:rsidP="00980409">
            <w:pPr>
              <w:ind w:left="-1554" w:right="22"/>
              <w:jc w:val="right"/>
              <w:rPr>
                <w:sz w:val="11"/>
                <w:szCs w:val="11"/>
              </w:rPr>
            </w:pPr>
            <w:r w:rsidRPr="00A53232">
              <w:rPr>
                <w:b/>
                <w:sz w:val="11"/>
                <w:szCs w:val="11"/>
              </w:rPr>
              <w:t>-</w:t>
            </w:r>
          </w:p>
        </w:tc>
        <w:tc>
          <w:tcPr>
            <w:tcW w:w="880" w:type="dxa"/>
            <w:vAlign w:val="bottom"/>
          </w:tcPr>
          <w:p w14:paraId="650E1870" w14:textId="0932244F" w:rsidR="00980409" w:rsidRPr="00A53232" w:rsidRDefault="00980409" w:rsidP="00980409">
            <w:pPr>
              <w:ind w:left="-1554" w:right="22"/>
              <w:jc w:val="right"/>
              <w:rPr>
                <w:sz w:val="11"/>
                <w:szCs w:val="11"/>
              </w:rPr>
            </w:pPr>
            <w:r w:rsidRPr="00A53232">
              <w:rPr>
                <w:b/>
                <w:sz w:val="11"/>
                <w:szCs w:val="11"/>
              </w:rPr>
              <w:t>-</w:t>
            </w:r>
          </w:p>
        </w:tc>
        <w:tc>
          <w:tcPr>
            <w:tcW w:w="722" w:type="dxa"/>
            <w:noWrap/>
            <w:tcMar>
              <w:top w:w="20" w:type="dxa"/>
              <w:left w:w="20" w:type="dxa"/>
              <w:bottom w:w="0" w:type="dxa"/>
              <w:right w:w="20" w:type="dxa"/>
            </w:tcMar>
            <w:vAlign w:val="bottom"/>
          </w:tcPr>
          <w:p w14:paraId="68CC7C64" w14:textId="30B3D2CA" w:rsidR="00980409" w:rsidRPr="00A53232" w:rsidRDefault="00980409" w:rsidP="00980409">
            <w:pPr>
              <w:ind w:left="-1554" w:right="22"/>
              <w:jc w:val="right"/>
              <w:rPr>
                <w:sz w:val="11"/>
                <w:szCs w:val="11"/>
              </w:rPr>
            </w:pPr>
            <w:r w:rsidRPr="00A53232">
              <w:rPr>
                <w:b/>
                <w:sz w:val="11"/>
                <w:szCs w:val="11"/>
              </w:rPr>
              <w:t>-</w:t>
            </w:r>
          </w:p>
        </w:tc>
        <w:tc>
          <w:tcPr>
            <w:tcW w:w="589" w:type="dxa"/>
            <w:noWrap/>
            <w:tcMar>
              <w:top w:w="20" w:type="dxa"/>
              <w:left w:w="20" w:type="dxa"/>
              <w:bottom w:w="0" w:type="dxa"/>
              <w:right w:w="20" w:type="dxa"/>
            </w:tcMar>
            <w:vAlign w:val="bottom"/>
          </w:tcPr>
          <w:p w14:paraId="07CD0443" w14:textId="09914F8D" w:rsidR="00980409" w:rsidRPr="00A53232" w:rsidRDefault="00980409" w:rsidP="00980409">
            <w:pPr>
              <w:ind w:left="-1554" w:right="22"/>
              <w:jc w:val="right"/>
              <w:rPr>
                <w:sz w:val="11"/>
                <w:szCs w:val="11"/>
              </w:rPr>
            </w:pPr>
            <w:r w:rsidRPr="00A53232">
              <w:rPr>
                <w:b/>
                <w:sz w:val="11"/>
                <w:szCs w:val="11"/>
              </w:rPr>
              <w:t>-</w:t>
            </w:r>
          </w:p>
        </w:tc>
        <w:tc>
          <w:tcPr>
            <w:tcW w:w="801" w:type="dxa"/>
            <w:noWrap/>
            <w:tcMar>
              <w:top w:w="20" w:type="dxa"/>
              <w:left w:w="20" w:type="dxa"/>
              <w:bottom w:w="0" w:type="dxa"/>
              <w:right w:w="20" w:type="dxa"/>
            </w:tcMar>
            <w:vAlign w:val="bottom"/>
          </w:tcPr>
          <w:p w14:paraId="5F294273" w14:textId="3947D932" w:rsidR="00980409" w:rsidRPr="00A53232" w:rsidRDefault="00980409" w:rsidP="00980409">
            <w:pPr>
              <w:ind w:left="-1554" w:right="22"/>
              <w:jc w:val="right"/>
              <w:rPr>
                <w:sz w:val="11"/>
                <w:szCs w:val="11"/>
              </w:rPr>
            </w:pPr>
            <w:r w:rsidRPr="00A53232">
              <w:rPr>
                <w:b/>
                <w:sz w:val="11"/>
                <w:szCs w:val="11"/>
              </w:rPr>
              <w:t>-</w:t>
            </w:r>
          </w:p>
        </w:tc>
        <w:tc>
          <w:tcPr>
            <w:tcW w:w="626" w:type="dxa"/>
            <w:vAlign w:val="bottom"/>
          </w:tcPr>
          <w:p w14:paraId="4CE713E3" w14:textId="63D43D60" w:rsidR="00980409" w:rsidRPr="00A53232" w:rsidRDefault="00980409" w:rsidP="00980409">
            <w:pPr>
              <w:ind w:left="-1554" w:right="22"/>
              <w:jc w:val="right"/>
              <w:rPr>
                <w:sz w:val="11"/>
                <w:szCs w:val="11"/>
              </w:rPr>
            </w:pPr>
            <w:r w:rsidRPr="00A53232">
              <w:rPr>
                <w:b/>
                <w:sz w:val="11"/>
                <w:szCs w:val="11"/>
              </w:rPr>
              <w:t>-</w:t>
            </w:r>
          </w:p>
        </w:tc>
        <w:tc>
          <w:tcPr>
            <w:tcW w:w="728" w:type="dxa"/>
            <w:vAlign w:val="bottom"/>
          </w:tcPr>
          <w:p w14:paraId="57F2CAB3" w14:textId="186D8371" w:rsidR="00980409" w:rsidRPr="00A53232" w:rsidRDefault="00980409" w:rsidP="00980409">
            <w:pPr>
              <w:ind w:left="-1554" w:right="22"/>
              <w:jc w:val="right"/>
              <w:rPr>
                <w:sz w:val="11"/>
                <w:szCs w:val="11"/>
              </w:rPr>
            </w:pPr>
            <w:r w:rsidRPr="00A53232">
              <w:rPr>
                <w:b/>
                <w:sz w:val="11"/>
                <w:szCs w:val="11"/>
              </w:rPr>
              <w:t>-</w:t>
            </w:r>
          </w:p>
        </w:tc>
        <w:tc>
          <w:tcPr>
            <w:tcW w:w="756" w:type="dxa"/>
            <w:vAlign w:val="bottom"/>
          </w:tcPr>
          <w:p w14:paraId="185709B3" w14:textId="238C14B6" w:rsidR="00980409" w:rsidRPr="00A53232" w:rsidRDefault="00980409" w:rsidP="00980409">
            <w:pPr>
              <w:ind w:left="-1554" w:right="22"/>
              <w:jc w:val="right"/>
              <w:rPr>
                <w:sz w:val="11"/>
                <w:szCs w:val="11"/>
              </w:rPr>
            </w:pPr>
            <w:r w:rsidRPr="00A53232">
              <w:rPr>
                <w:b/>
                <w:sz w:val="11"/>
                <w:szCs w:val="11"/>
              </w:rPr>
              <w:t>-</w:t>
            </w:r>
          </w:p>
        </w:tc>
      </w:tr>
      <w:tr w:rsidR="00980409" w:rsidRPr="007C0BA6" w14:paraId="3F8092C3" w14:textId="77777777" w:rsidTr="00677268">
        <w:trPr>
          <w:trHeight w:val="70"/>
        </w:trPr>
        <w:tc>
          <w:tcPr>
            <w:tcW w:w="362" w:type="dxa"/>
            <w:noWrap/>
            <w:tcMar>
              <w:top w:w="20" w:type="dxa"/>
              <w:left w:w="20" w:type="dxa"/>
              <w:bottom w:w="0" w:type="dxa"/>
              <w:right w:w="20" w:type="dxa"/>
            </w:tcMar>
          </w:tcPr>
          <w:p w14:paraId="6CD094B8" w14:textId="77777777" w:rsidR="00980409" w:rsidRPr="007C0BA6" w:rsidRDefault="00980409" w:rsidP="00980409">
            <w:pPr>
              <w:spacing w:line="192" w:lineRule="auto"/>
              <w:ind w:right="-30"/>
              <w:rPr>
                <w:rFonts w:eastAsia="Arial Unicode MS"/>
                <w:bCs/>
                <w:sz w:val="12"/>
                <w:szCs w:val="12"/>
              </w:rPr>
            </w:pPr>
            <w:r w:rsidRPr="007C0BA6">
              <w:rPr>
                <w:b/>
                <w:bCs/>
                <w:sz w:val="12"/>
                <w:szCs w:val="12"/>
              </w:rPr>
              <w:t>XIII.</w:t>
            </w:r>
          </w:p>
        </w:tc>
        <w:tc>
          <w:tcPr>
            <w:tcW w:w="2332" w:type="dxa"/>
            <w:noWrap/>
            <w:tcMar>
              <w:top w:w="20" w:type="dxa"/>
              <w:left w:w="20" w:type="dxa"/>
              <w:bottom w:w="0" w:type="dxa"/>
              <w:right w:w="20" w:type="dxa"/>
            </w:tcMar>
          </w:tcPr>
          <w:p w14:paraId="18E657F3" w14:textId="77777777" w:rsidR="00980409" w:rsidRPr="007C0BA6" w:rsidRDefault="00980409" w:rsidP="00980409">
            <w:pPr>
              <w:spacing w:line="192" w:lineRule="auto"/>
              <w:rPr>
                <w:rFonts w:eastAsia="Arial Unicode MS"/>
                <w:sz w:val="12"/>
                <w:szCs w:val="12"/>
              </w:rPr>
            </w:pPr>
            <w:r w:rsidRPr="007C0BA6">
              <w:rPr>
                <w:b/>
                <w:sz w:val="12"/>
                <w:szCs w:val="12"/>
              </w:rPr>
              <w:t>Share Premium</w:t>
            </w:r>
          </w:p>
        </w:tc>
        <w:tc>
          <w:tcPr>
            <w:tcW w:w="473" w:type="dxa"/>
          </w:tcPr>
          <w:p w14:paraId="57C8B78E"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4A3697DB" w14:textId="2AD9D9CD" w:rsidR="00980409" w:rsidRPr="00A53232" w:rsidRDefault="00980409" w:rsidP="00980409">
            <w:pPr>
              <w:ind w:left="-1554" w:right="22"/>
              <w:jc w:val="right"/>
              <w:rPr>
                <w:sz w:val="11"/>
                <w:szCs w:val="11"/>
              </w:rPr>
            </w:pPr>
            <w:r w:rsidRPr="00A53232">
              <w:rPr>
                <w:b/>
                <w:sz w:val="11"/>
                <w:szCs w:val="11"/>
              </w:rPr>
              <w:t>-</w:t>
            </w:r>
          </w:p>
        </w:tc>
        <w:tc>
          <w:tcPr>
            <w:tcW w:w="669" w:type="dxa"/>
            <w:vAlign w:val="bottom"/>
          </w:tcPr>
          <w:p w14:paraId="2B6C7B29" w14:textId="510D4E6D"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7BBD9C1F" w14:textId="72BCB6B8" w:rsidR="00980409" w:rsidRPr="00A53232" w:rsidRDefault="00980409" w:rsidP="00980409">
            <w:pPr>
              <w:ind w:left="-1554" w:right="22"/>
              <w:jc w:val="right"/>
              <w:rPr>
                <w:sz w:val="11"/>
                <w:szCs w:val="11"/>
              </w:rPr>
            </w:pPr>
            <w:r w:rsidRPr="00A53232">
              <w:rPr>
                <w:b/>
                <w:sz w:val="11"/>
                <w:szCs w:val="11"/>
              </w:rPr>
              <w:t>-</w:t>
            </w:r>
          </w:p>
        </w:tc>
        <w:tc>
          <w:tcPr>
            <w:tcW w:w="707" w:type="dxa"/>
            <w:noWrap/>
            <w:tcMar>
              <w:top w:w="20" w:type="dxa"/>
              <w:left w:w="20" w:type="dxa"/>
              <w:bottom w:w="0" w:type="dxa"/>
              <w:right w:w="20" w:type="dxa"/>
            </w:tcMar>
            <w:vAlign w:val="bottom"/>
          </w:tcPr>
          <w:p w14:paraId="341B555D" w14:textId="31A2859F" w:rsidR="00980409" w:rsidRPr="00A53232" w:rsidRDefault="00980409" w:rsidP="00980409">
            <w:pPr>
              <w:ind w:left="-1554" w:right="22"/>
              <w:jc w:val="right"/>
              <w:rPr>
                <w:sz w:val="11"/>
                <w:szCs w:val="11"/>
              </w:rPr>
            </w:pPr>
            <w:r w:rsidRPr="00A53232">
              <w:rPr>
                <w:b/>
                <w:sz w:val="11"/>
                <w:szCs w:val="11"/>
              </w:rPr>
              <w:t>-</w:t>
            </w:r>
          </w:p>
        </w:tc>
        <w:tc>
          <w:tcPr>
            <w:tcW w:w="602" w:type="dxa"/>
            <w:noWrap/>
            <w:tcMar>
              <w:top w:w="20" w:type="dxa"/>
              <w:left w:w="20" w:type="dxa"/>
              <w:bottom w:w="0" w:type="dxa"/>
              <w:right w:w="20" w:type="dxa"/>
            </w:tcMar>
            <w:vAlign w:val="bottom"/>
          </w:tcPr>
          <w:p w14:paraId="17A68D41" w14:textId="17665D56"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6B85C07E" w14:textId="18CD98D5" w:rsidR="00980409" w:rsidRPr="00A53232" w:rsidRDefault="00980409" w:rsidP="00980409">
            <w:pPr>
              <w:ind w:left="-1554" w:right="22"/>
              <w:jc w:val="right"/>
              <w:rPr>
                <w:sz w:val="11"/>
                <w:szCs w:val="11"/>
              </w:rPr>
            </w:pPr>
            <w:r w:rsidRPr="00A53232">
              <w:rPr>
                <w:b/>
                <w:sz w:val="11"/>
                <w:szCs w:val="11"/>
              </w:rPr>
              <w:t>-</w:t>
            </w:r>
          </w:p>
        </w:tc>
        <w:tc>
          <w:tcPr>
            <w:tcW w:w="821" w:type="dxa"/>
            <w:noWrap/>
            <w:tcMar>
              <w:top w:w="20" w:type="dxa"/>
              <w:left w:w="20" w:type="dxa"/>
              <w:bottom w:w="0" w:type="dxa"/>
              <w:right w:w="20" w:type="dxa"/>
            </w:tcMar>
            <w:vAlign w:val="bottom"/>
          </w:tcPr>
          <w:p w14:paraId="05367F5D" w14:textId="45AEF364" w:rsidR="00980409" w:rsidRPr="00A53232" w:rsidRDefault="00980409" w:rsidP="00980409">
            <w:pPr>
              <w:ind w:left="-1554" w:right="22"/>
              <w:jc w:val="right"/>
              <w:rPr>
                <w:sz w:val="11"/>
                <w:szCs w:val="11"/>
              </w:rPr>
            </w:pPr>
            <w:r w:rsidRPr="00A53232">
              <w:rPr>
                <w:b/>
                <w:sz w:val="11"/>
                <w:szCs w:val="11"/>
              </w:rPr>
              <w:t>-</w:t>
            </w:r>
          </w:p>
        </w:tc>
        <w:tc>
          <w:tcPr>
            <w:tcW w:w="648" w:type="dxa"/>
            <w:noWrap/>
            <w:tcMar>
              <w:top w:w="20" w:type="dxa"/>
              <w:left w:w="20" w:type="dxa"/>
              <w:bottom w:w="0" w:type="dxa"/>
              <w:right w:w="20" w:type="dxa"/>
            </w:tcMar>
            <w:vAlign w:val="bottom"/>
          </w:tcPr>
          <w:p w14:paraId="16C0C152" w14:textId="458F0B93" w:rsidR="00980409" w:rsidRPr="00A53232" w:rsidRDefault="00980409" w:rsidP="00980409">
            <w:pPr>
              <w:ind w:left="-1554" w:right="22"/>
              <w:jc w:val="right"/>
              <w:rPr>
                <w:sz w:val="11"/>
                <w:szCs w:val="11"/>
              </w:rPr>
            </w:pPr>
            <w:r w:rsidRPr="00A53232">
              <w:rPr>
                <w:b/>
                <w:sz w:val="11"/>
                <w:szCs w:val="11"/>
              </w:rPr>
              <w:t>-</w:t>
            </w:r>
          </w:p>
        </w:tc>
        <w:tc>
          <w:tcPr>
            <w:tcW w:w="617" w:type="dxa"/>
            <w:noWrap/>
            <w:tcMar>
              <w:top w:w="20" w:type="dxa"/>
              <w:left w:w="20" w:type="dxa"/>
              <w:bottom w:w="0" w:type="dxa"/>
              <w:right w:w="20" w:type="dxa"/>
            </w:tcMar>
            <w:vAlign w:val="bottom"/>
          </w:tcPr>
          <w:p w14:paraId="7BC5128B" w14:textId="107FA8BE" w:rsidR="00980409" w:rsidRPr="00A53232" w:rsidRDefault="00980409" w:rsidP="00980409">
            <w:pPr>
              <w:ind w:left="-1554" w:right="22"/>
              <w:jc w:val="right"/>
              <w:rPr>
                <w:sz w:val="11"/>
                <w:szCs w:val="11"/>
              </w:rPr>
            </w:pPr>
            <w:r w:rsidRPr="00A53232">
              <w:rPr>
                <w:b/>
                <w:sz w:val="11"/>
                <w:szCs w:val="11"/>
              </w:rPr>
              <w:t>-</w:t>
            </w:r>
          </w:p>
        </w:tc>
        <w:tc>
          <w:tcPr>
            <w:tcW w:w="642" w:type="dxa"/>
            <w:noWrap/>
            <w:tcMar>
              <w:top w:w="20" w:type="dxa"/>
              <w:left w:w="20" w:type="dxa"/>
              <w:bottom w:w="0" w:type="dxa"/>
              <w:right w:w="20" w:type="dxa"/>
            </w:tcMar>
            <w:vAlign w:val="bottom"/>
          </w:tcPr>
          <w:p w14:paraId="526561B2" w14:textId="2338A925" w:rsidR="00980409" w:rsidRPr="00A53232" w:rsidRDefault="00980409" w:rsidP="00980409">
            <w:pPr>
              <w:ind w:left="-1554" w:right="22"/>
              <w:jc w:val="right"/>
              <w:rPr>
                <w:sz w:val="11"/>
                <w:szCs w:val="11"/>
              </w:rPr>
            </w:pPr>
            <w:r w:rsidRPr="00A53232">
              <w:rPr>
                <w:b/>
                <w:sz w:val="11"/>
                <w:szCs w:val="11"/>
              </w:rPr>
              <w:t>-</w:t>
            </w:r>
          </w:p>
        </w:tc>
        <w:tc>
          <w:tcPr>
            <w:tcW w:w="732" w:type="dxa"/>
            <w:vAlign w:val="bottom"/>
          </w:tcPr>
          <w:p w14:paraId="1661C59B" w14:textId="3C5CBC7B" w:rsidR="00980409" w:rsidRPr="00A53232" w:rsidRDefault="00980409" w:rsidP="00980409">
            <w:pPr>
              <w:ind w:left="-1554" w:right="22"/>
              <w:jc w:val="right"/>
              <w:rPr>
                <w:sz w:val="11"/>
                <w:szCs w:val="11"/>
              </w:rPr>
            </w:pPr>
            <w:r w:rsidRPr="00A53232">
              <w:rPr>
                <w:b/>
                <w:sz w:val="11"/>
                <w:szCs w:val="11"/>
              </w:rPr>
              <w:t>-</w:t>
            </w:r>
          </w:p>
        </w:tc>
        <w:tc>
          <w:tcPr>
            <w:tcW w:w="880" w:type="dxa"/>
            <w:vAlign w:val="bottom"/>
          </w:tcPr>
          <w:p w14:paraId="3FE679EA" w14:textId="369C2EF4" w:rsidR="00980409" w:rsidRPr="00A53232" w:rsidRDefault="00980409" w:rsidP="00980409">
            <w:pPr>
              <w:ind w:left="-1554" w:right="22"/>
              <w:jc w:val="right"/>
              <w:rPr>
                <w:sz w:val="11"/>
                <w:szCs w:val="11"/>
              </w:rPr>
            </w:pPr>
            <w:r w:rsidRPr="00A53232">
              <w:rPr>
                <w:b/>
                <w:sz w:val="11"/>
                <w:szCs w:val="11"/>
              </w:rPr>
              <w:t>-</w:t>
            </w:r>
          </w:p>
        </w:tc>
        <w:tc>
          <w:tcPr>
            <w:tcW w:w="722" w:type="dxa"/>
            <w:noWrap/>
            <w:tcMar>
              <w:top w:w="20" w:type="dxa"/>
              <w:left w:w="20" w:type="dxa"/>
              <w:bottom w:w="0" w:type="dxa"/>
              <w:right w:w="20" w:type="dxa"/>
            </w:tcMar>
            <w:vAlign w:val="bottom"/>
          </w:tcPr>
          <w:p w14:paraId="07DFDF1A" w14:textId="4EE128D5" w:rsidR="00980409" w:rsidRPr="00A53232" w:rsidRDefault="00980409" w:rsidP="00980409">
            <w:pPr>
              <w:ind w:left="-1554" w:right="22"/>
              <w:jc w:val="right"/>
              <w:rPr>
                <w:sz w:val="11"/>
                <w:szCs w:val="11"/>
              </w:rPr>
            </w:pPr>
            <w:r w:rsidRPr="00A53232">
              <w:rPr>
                <w:b/>
                <w:sz w:val="11"/>
                <w:szCs w:val="11"/>
              </w:rPr>
              <w:t>-</w:t>
            </w:r>
          </w:p>
        </w:tc>
        <w:tc>
          <w:tcPr>
            <w:tcW w:w="589" w:type="dxa"/>
            <w:noWrap/>
            <w:tcMar>
              <w:top w:w="20" w:type="dxa"/>
              <w:left w:w="20" w:type="dxa"/>
              <w:bottom w:w="0" w:type="dxa"/>
              <w:right w:w="20" w:type="dxa"/>
            </w:tcMar>
            <w:vAlign w:val="bottom"/>
          </w:tcPr>
          <w:p w14:paraId="327E9ACC" w14:textId="246AE68A" w:rsidR="00980409" w:rsidRPr="00A53232" w:rsidRDefault="00980409" w:rsidP="00980409">
            <w:pPr>
              <w:ind w:left="-1554" w:right="22"/>
              <w:jc w:val="right"/>
              <w:rPr>
                <w:sz w:val="11"/>
                <w:szCs w:val="11"/>
              </w:rPr>
            </w:pPr>
            <w:r w:rsidRPr="00A53232">
              <w:rPr>
                <w:b/>
                <w:sz w:val="11"/>
                <w:szCs w:val="11"/>
              </w:rPr>
              <w:t>-</w:t>
            </w:r>
          </w:p>
        </w:tc>
        <w:tc>
          <w:tcPr>
            <w:tcW w:w="801" w:type="dxa"/>
            <w:noWrap/>
            <w:tcMar>
              <w:top w:w="20" w:type="dxa"/>
              <w:left w:w="20" w:type="dxa"/>
              <w:bottom w:w="0" w:type="dxa"/>
              <w:right w:w="20" w:type="dxa"/>
            </w:tcMar>
            <w:vAlign w:val="bottom"/>
          </w:tcPr>
          <w:p w14:paraId="3E056059" w14:textId="0A808D2A" w:rsidR="00980409" w:rsidRPr="00A53232" w:rsidRDefault="00980409" w:rsidP="00980409">
            <w:pPr>
              <w:ind w:left="-1554" w:right="22"/>
              <w:jc w:val="right"/>
              <w:rPr>
                <w:sz w:val="11"/>
                <w:szCs w:val="11"/>
              </w:rPr>
            </w:pPr>
            <w:r w:rsidRPr="00A53232">
              <w:rPr>
                <w:b/>
                <w:sz w:val="11"/>
                <w:szCs w:val="11"/>
              </w:rPr>
              <w:t>-</w:t>
            </w:r>
          </w:p>
        </w:tc>
        <w:tc>
          <w:tcPr>
            <w:tcW w:w="626" w:type="dxa"/>
            <w:vAlign w:val="bottom"/>
          </w:tcPr>
          <w:p w14:paraId="6F4E00CF" w14:textId="1C385F91" w:rsidR="00980409" w:rsidRPr="00A53232" w:rsidRDefault="00980409" w:rsidP="00980409">
            <w:pPr>
              <w:ind w:left="-1554" w:right="22"/>
              <w:jc w:val="right"/>
              <w:rPr>
                <w:sz w:val="11"/>
                <w:szCs w:val="11"/>
              </w:rPr>
            </w:pPr>
            <w:r w:rsidRPr="00A53232">
              <w:rPr>
                <w:b/>
                <w:sz w:val="11"/>
                <w:szCs w:val="11"/>
              </w:rPr>
              <w:t>-</w:t>
            </w:r>
          </w:p>
        </w:tc>
        <w:tc>
          <w:tcPr>
            <w:tcW w:w="728" w:type="dxa"/>
            <w:vAlign w:val="bottom"/>
          </w:tcPr>
          <w:p w14:paraId="1E81F42C" w14:textId="3CFD436F" w:rsidR="00980409" w:rsidRPr="00A53232" w:rsidRDefault="00980409" w:rsidP="00980409">
            <w:pPr>
              <w:ind w:left="-1554" w:right="22"/>
              <w:jc w:val="right"/>
              <w:rPr>
                <w:sz w:val="11"/>
                <w:szCs w:val="11"/>
              </w:rPr>
            </w:pPr>
            <w:r w:rsidRPr="00A53232">
              <w:rPr>
                <w:b/>
                <w:sz w:val="11"/>
                <w:szCs w:val="11"/>
              </w:rPr>
              <w:t>-</w:t>
            </w:r>
          </w:p>
        </w:tc>
        <w:tc>
          <w:tcPr>
            <w:tcW w:w="756" w:type="dxa"/>
            <w:vAlign w:val="bottom"/>
          </w:tcPr>
          <w:p w14:paraId="7A80EFE8" w14:textId="2DC437FA" w:rsidR="00980409" w:rsidRPr="00A53232" w:rsidRDefault="00980409" w:rsidP="00980409">
            <w:pPr>
              <w:ind w:left="-1554" w:right="22"/>
              <w:jc w:val="right"/>
              <w:rPr>
                <w:sz w:val="11"/>
                <w:szCs w:val="11"/>
              </w:rPr>
            </w:pPr>
            <w:r w:rsidRPr="00A53232">
              <w:rPr>
                <w:b/>
                <w:sz w:val="11"/>
                <w:szCs w:val="11"/>
              </w:rPr>
              <w:t>-</w:t>
            </w:r>
          </w:p>
        </w:tc>
      </w:tr>
      <w:tr w:rsidR="00980409" w:rsidRPr="007C0BA6" w14:paraId="7230403A" w14:textId="77777777" w:rsidTr="00677268">
        <w:trPr>
          <w:trHeight w:val="124"/>
        </w:trPr>
        <w:tc>
          <w:tcPr>
            <w:tcW w:w="362" w:type="dxa"/>
            <w:noWrap/>
            <w:tcMar>
              <w:top w:w="20" w:type="dxa"/>
              <w:left w:w="20" w:type="dxa"/>
              <w:bottom w:w="0" w:type="dxa"/>
              <w:right w:w="20" w:type="dxa"/>
            </w:tcMar>
          </w:tcPr>
          <w:p w14:paraId="428B29DE" w14:textId="77777777" w:rsidR="00980409" w:rsidRPr="007C0BA6" w:rsidRDefault="00980409" w:rsidP="00980409">
            <w:pPr>
              <w:spacing w:line="192" w:lineRule="auto"/>
              <w:ind w:right="-30"/>
              <w:rPr>
                <w:rFonts w:eastAsia="Arial Unicode MS"/>
                <w:b/>
                <w:bCs/>
                <w:sz w:val="12"/>
                <w:szCs w:val="12"/>
              </w:rPr>
            </w:pPr>
            <w:r w:rsidRPr="007C0BA6">
              <w:rPr>
                <w:b/>
                <w:bCs/>
                <w:sz w:val="12"/>
                <w:szCs w:val="12"/>
              </w:rPr>
              <w:t>XIV.</w:t>
            </w:r>
          </w:p>
        </w:tc>
        <w:tc>
          <w:tcPr>
            <w:tcW w:w="2332" w:type="dxa"/>
            <w:noWrap/>
            <w:tcMar>
              <w:top w:w="20" w:type="dxa"/>
              <w:left w:w="20" w:type="dxa"/>
              <w:bottom w:w="0" w:type="dxa"/>
              <w:right w:w="20" w:type="dxa"/>
            </w:tcMar>
          </w:tcPr>
          <w:p w14:paraId="6FD1FA1E" w14:textId="77777777" w:rsidR="00980409" w:rsidRPr="007C0BA6" w:rsidRDefault="00980409" w:rsidP="00980409">
            <w:pPr>
              <w:spacing w:line="192" w:lineRule="auto"/>
              <w:rPr>
                <w:rFonts w:eastAsia="Arial Unicode MS"/>
                <w:b/>
                <w:sz w:val="12"/>
                <w:szCs w:val="12"/>
              </w:rPr>
            </w:pPr>
            <w:r w:rsidRPr="007C0BA6">
              <w:rPr>
                <w:b/>
                <w:bCs/>
                <w:sz w:val="12"/>
                <w:szCs w:val="12"/>
              </w:rPr>
              <w:t>Share Cancellation Profits</w:t>
            </w:r>
          </w:p>
        </w:tc>
        <w:tc>
          <w:tcPr>
            <w:tcW w:w="473" w:type="dxa"/>
          </w:tcPr>
          <w:p w14:paraId="6575543F"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612DDEC2" w14:textId="46E39BFE" w:rsidR="00980409" w:rsidRPr="00A53232" w:rsidRDefault="00980409" w:rsidP="00980409">
            <w:pPr>
              <w:ind w:left="-1554" w:right="22"/>
              <w:jc w:val="right"/>
              <w:rPr>
                <w:sz w:val="11"/>
                <w:szCs w:val="11"/>
              </w:rPr>
            </w:pPr>
            <w:r w:rsidRPr="00A53232">
              <w:rPr>
                <w:b/>
                <w:sz w:val="11"/>
                <w:szCs w:val="11"/>
              </w:rPr>
              <w:t>-</w:t>
            </w:r>
          </w:p>
        </w:tc>
        <w:tc>
          <w:tcPr>
            <w:tcW w:w="669" w:type="dxa"/>
            <w:vAlign w:val="bottom"/>
          </w:tcPr>
          <w:p w14:paraId="37C7AB91" w14:textId="61A3C863"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020DB385" w14:textId="5FFDC2C5" w:rsidR="00980409" w:rsidRPr="00A53232" w:rsidRDefault="00980409" w:rsidP="00980409">
            <w:pPr>
              <w:ind w:left="-1554" w:right="22"/>
              <w:jc w:val="right"/>
              <w:rPr>
                <w:sz w:val="11"/>
                <w:szCs w:val="11"/>
              </w:rPr>
            </w:pPr>
            <w:r w:rsidRPr="00A53232">
              <w:rPr>
                <w:b/>
                <w:sz w:val="11"/>
                <w:szCs w:val="11"/>
              </w:rPr>
              <w:t>-</w:t>
            </w:r>
          </w:p>
        </w:tc>
        <w:tc>
          <w:tcPr>
            <w:tcW w:w="707" w:type="dxa"/>
            <w:noWrap/>
            <w:tcMar>
              <w:top w:w="20" w:type="dxa"/>
              <w:left w:w="20" w:type="dxa"/>
              <w:bottom w:w="0" w:type="dxa"/>
              <w:right w:w="20" w:type="dxa"/>
            </w:tcMar>
            <w:vAlign w:val="bottom"/>
          </w:tcPr>
          <w:p w14:paraId="62ACA0A0" w14:textId="38EF927F" w:rsidR="00980409" w:rsidRPr="00A53232" w:rsidRDefault="00980409" w:rsidP="00980409">
            <w:pPr>
              <w:ind w:left="-1554" w:right="22"/>
              <w:jc w:val="right"/>
              <w:rPr>
                <w:sz w:val="11"/>
                <w:szCs w:val="11"/>
              </w:rPr>
            </w:pPr>
            <w:r w:rsidRPr="00A53232">
              <w:rPr>
                <w:b/>
                <w:sz w:val="11"/>
                <w:szCs w:val="11"/>
              </w:rPr>
              <w:t>-</w:t>
            </w:r>
          </w:p>
        </w:tc>
        <w:tc>
          <w:tcPr>
            <w:tcW w:w="602" w:type="dxa"/>
            <w:noWrap/>
            <w:tcMar>
              <w:top w:w="20" w:type="dxa"/>
              <w:left w:w="20" w:type="dxa"/>
              <w:bottom w:w="0" w:type="dxa"/>
              <w:right w:w="20" w:type="dxa"/>
            </w:tcMar>
            <w:vAlign w:val="bottom"/>
          </w:tcPr>
          <w:p w14:paraId="139AF385" w14:textId="306FDA3F"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3A7CF42F" w14:textId="0080BA16" w:rsidR="00980409" w:rsidRPr="00A53232" w:rsidRDefault="00980409" w:rsidP="00980409">
            <w:pPr>
              <w:ind w:left="-1554" w:right="22"/>
              <w:jc w:val="right"/>
              <w:rPr>
                <w:sz w:val="11"/>
                <w:szCs w:val="11"/>
              </w:rPr>
            </w:pPr>
            <w:r w:rsidRPr="00A53232">
              <w:rPr>
                <w:b/>
                <w:sz w:val="11"/>
                <w:szCs w:val="11"/>
              </w:rPr>
              <w:t>-</w:t>
            </w:r>
          </w:p>
        </w:tc>
        <w:tc>
          <w:tcPr>
            <w:tcW w:w="821" w:type="dxa"/>
            <w:noWrap/>
            <w:tcMar>
              <w:top w:w="20" w:type="dxa"/>
              <w:left w:w="20" w:type="dxa"/>
              <w:bottom w:w="0" w:type="dxa"/>
              <w:right w:w="20" w:type="dxa"/>
            </w:tcMar>
            <w:vAlign w:val="bottom"/>
          </w:tcPr>
          <w:p w14:paraId="66B071C2" w14:textId="03D91E05" w:rsidR="00980409" w:rsidRPr="00A53232" w:rsidRDefault="00980409" w:rsidP="00980409">
            <w:pPr>
              <w:ind w:left="-1554" w:right="22"/>
              <w:jc w:val="right"/>
              <w:rPr>
                <w:sz w:val="11"/>
                <w:szCs w:val="11"/>
              </w:rPr>
            </w:pPr>
            <w:r w:rsidRPr="00A53232">
              <w:rPr>
                <w:b/>
                <w:sz w:val="11"/>
                <w:szCs w:val="11"/>
              </w:rPr>
              <w:t>-</w:t>
            </w:r>
          </w:p>
        </w:tc>
        <w:tc>
          <w:tcPr>
            <w:tcW w:w="648" w:type="dxa"/>
            <w:noWrap/>
            <w:tcMar>
              <w:top w:w="20" w:type="dxa"/>
              <w:left w:w="20" w:type="dxa"/>
              <w:bottom w:w="0" w:type="dxa"/>
              <w:right w:w="20" w:type="dxa"/>
            </w:tcMar>
            <w:vAlign w:val="bottom"/>
          </w:tcPr>
          <w:p w14:paraId="1A0912A5" w14:textId="22FB8947" w:rsidR="00980409" w:rsidRPr="00A53232" w:rsidRDefault="00980409" w:rsidP="00980409">
            <w:pPr>
              <w:ind w:left="-1554" w:right="22"/>
              <w:jc w:val="right"/>
              <w:rPr>
                <w:sz w:val="11"/>
                <w:szCs w:val="11"/>
              </w:rPr>
            </w:pPr>
            <w:r w:rsidRPr="00A53232">
              <w:rPr>
                <w:b/>
                <w:sz w:val="11"/>
                <w:szCs w:val="11"/>
              </w:rPr>
              <w:t>-</w:t>
            </w:r>
          </w:p>
        </w:tc>
        <w:tc>
          <w:tcPr>
            <w:tcW w:w="617" w:type="dxa"/>
            <w:noWrap/>
            <w:tcMar>
              <w:top w:w="20" w:type="dxa"/>
              <w:left w:w="20" w:type="dxa"/>
              <w:bottom w:w="0" w:type="dxa"/>
              <w:right w:w="20" w:type="dxa"/>
            </w:tcMar>
            <w:vAlign w:val="bottom"/>
          </w:tcPr>
          <w:p w14:paraId="691CFE62" w14:textId="51101BD6" w:rsidR="00980409" w:rsidRPr="00A53232" w:rsidRDefault="00980409" w:rsidP="00980409">
            <w:pPr>
              <w:ind w:left="-1554" w:right="22"/>
              <w:jc w:val="right"/>
              <w:rPr>
                <w:sz w:val="11"/>
                <w:szCs w:val="11"/>
              </w:rPr>
            </w:pPr>
            <w:r w:rsidRPr="00A53232">
              <w:rPr>
                <w:b/>
                <w:sz w:val="11"/>
                <w:szCs w:val="11"/>
              </w:rPr>
              <w:t>-</w:t>
            </w:r>
          </w:p>
        </w:tc>
        <w:tc>
          <w:tcPr>
            <w:tcW w:w="642" w:type="dxa"/>
            <w:noWrap/>
            <w:tcMar>
              <w:top w:w="20" w:type="dxa"/>
              <w:left w:w="20" w:type="dxa"/>
              <w:bottom w:w="0" w:type="dxa"/>
              <w:right w:w="20" w:type="dxa"/>
            </w:tcMar>
            <w:vAlign w:val="bottom"/>
          </w:tcPr>
          <w:p w14:paraId="1857E985" w14:textId="52528A2A" w:rsidR="00980409" w:rsidRPr="00A53232" w:rsidRDefault="00980409" w:rsidP="00980409">
            <w:pPr>
              <w:ind w:left="-1554" w:right="22"/>
              <w:jc w:val="right"/>
              <w:rPr>
                <w:sz w:val="11"/>
                <w:szCs w:val="11"/>
              </w:rPr>
            </w:pPr>
            <w:r w:rsidRPr="00A53232">
              <w:rPr>
                <w:b/>
                <w:sz w:val="11"/>
                <w:szCs w:val="11"/>
              </w:rPr>
              <w:t>-</w:t>
            </w:r>
          </w:p>
        </w:tc>
        <w:tc>
          <w:tcPr>
            <w:tcW w:w="732" w:type="dxa"/>
            <w:vAlign w:val="bottom"/>
          </w:tcPr>
          <w:p w14:paraId="7FA646B7" w14:textId="5297CBB7" w:rsidR="00980409" w:rsidRPr="00A53232" w:rsidRDefault="00980409" w:rsidP="00980409">
            <w:pPr>
              <w:ind w:left="-1554" w:right="22"/>
              <w:jc w:val="right"/>
              <w:rPr>
                <w:sz w:val="11"/>
                <w:szCs w:val="11"/>
              </w:rPr>
            </w:pPr>
            <w:r w:rsidRPr="00A53232">
              <w:rPr>
                <w:b/>
                <w:sz w:val="11"/>
                <w:szCs w:val="11"/>
              </w:rPr>
              <w:t>-</w:t>
            </w:r>
          </w:p>
        </w:tc>
        <w:tc>
          <w:tcPr>
            <w:tcW w:w="880" w:type="dxa"/>
            <w:vAlign w:val="bottom"/>
          </w:tcPr>
          <w:p w14:paraId="28F3CB8D" w14:textId="5603003B" w:rsidR="00980409" w:rsidRPr="00A53232" w:rsidRDefault="00980409" w:rsidP="00980409">
            <w:pPr>
              <w:ind w:left="-1554" w:right="22"/>
              <w:jc w:val="right"/>
              <w:rPr>
                <w:sz w:val="11"/>
                <w:szCs w:val="11"/>
              </w:rPr>
            </w:pPr>
            <w:r w:rsidRPr="00A53232">
              <w:rPr>
                <w:b/>
                <w:sz w:val="11"/>
                <w:szCs w:val="11"/>
              </w:rPr>
              <w:t>-</w:t>
            </w:r>
          </w:p>
        </w:tc>
        <w:tc>
          <w:tcPr>
            <w:tcW w:w="722" w:type="dxa"/>
            <w:noWrap/>
            <w:tcMar>
              <w:top w:w="20" w:type="dxa"/>
              <w:left w:w="20" w:type="dxa"/>
              <w:bottom w:w="0" w:type="dxa"/>
              <w:right w:w="20" w:type="dxa"/>
            </w:tcMar>
            <w:vAlign w:val="bottom"/>
          </w:tcPr>
          <w:p w14:paraId="2BD49772" w14:textId="6B098B8C" w:rsidR="00980409" w:rsidRPr="00A53232" w:rsidRDefault="00980409" w:rsidP="00980409">
            <w:pPr>
              <w:ind w:left="-1554" w:right="22"/>
              <w:jc w:val="right"/>
              <w:rPr>
                <w:sz w:val="11"/>
                <w:szCs w:val="11"/>
              </w:rPr>
            </w:pPr>
            <w:r w:rsidRPr="00A53232">
              <w:rPr>
                <w:b/>
                <w:sz w:val="11"/>
                <w:szCs w:val="11"/>
              </w:rPr>
              <w:t>-</w:t>
            </w:r>
          </w:p>
        </w:tc>
        <w:tc>
          <w:tcPr>
            <w:tcW w:w="589" w:type="dxa"/>
            <w:noWrap/>
            <w:tcMar>
              <w:top w:w="20" w:type="dxa"/>
              <w:left w:w="20" w:type="dxa"/>
              <w:bottom w:w="0" w:type="dxa"/>
              <w:right w:w="20" w:type="dxa"/>
            </w:tcMar>
            <w:vAlign w:val="bottom"/>
          </w:tcPr>
          <w:p w14:paraId="15C2C53C" w14:textId="48657BFF" w:rsidR="00980409" w:rsidRPr="00A53232" w:rsidRDefault="00980409" w:rsidP="00980409">
            <w:pPr>
              <w:ind w:left="-1554" w:right="22"/>
              <w:jc w:val="right"/>
              <w:rPr>
                <w:sz w:val="11"/>
                <w:szCs w:val="11"/>
              </w:rPr>
            </w:pPr>
            <w:r w:rsidRPr="00A53232">
              <w:rPr>
                <w:b/>
                <w:sz w:val="11"/>
                <w:szCs w:val="11"/>
              </w:rPr>
              <w:t>-</w:t>
            </w:r>
          </w:p>
        </w:tc>
        <w:tc>
          <w:tcPr>
            <w:tcW w:w="801" w:type="dxa"/>
            <w:noWrap/>
            <w:tcMar>
              <w:top w:w="20" w:type="dxa"/>
              <w:left w:w="20" w:type="dxa"/>
              <w:bottom w:w="0" w:type="dxa"/>
              <w:right w:w="20" w:type="dxa"/>
            </w:tcMar>
            <w:vAlign w:val="bottom"/>
          </w:tcPr>
          <w:p w14:paraId="6C1559F3" w14:textId="19E758BA" w:rsidR="00980409" w:rsidRPr="00A53232" w:rsidRDefault="00980409" w:rsidP="00980409">
            <w:pPr>
              <w:ind w:left="-1554" w:right="22"/>
              <w:jc w:val="right"/>
              <w:rPr>
                <w:sz w:val="11"/>
                <w:szCs w:val="11"/>
              </w:rPr>
            </w:pPr>
            <w:r w:rsidRPr="00A53232">
              <w:rPr>
                <w:b/>
                <w:sz w:val="11"/>
                <w:szCs w:val="11"/>
              </w:rPr>
              <w:t>-</w:t>
            </w:r>
          </w:p>
        </w:tc>
        <w:tc>
          <w:tcPr>
            <w:tcW w:w="626" w:type="dxa"/>
            <w:vAlign w:val="bottom"/>
          </w:tcPr>
          <w:p w14:paraId="0A28A03D" w14:textId="4BC97F8B" w:rsidR="00980409" w:rsidRPr="00A53232" w:rsidRDefault="00980409" w:rsidP="00980409">
            <w:pPr>
              <w:ind w:left="-1554" w:right="22"/>
              <w:jc w:val="right"/>
              <w:rPr>
                <w:sz w:val="11"/>
                <w:szCs w:val="11"/>
              </w:rPr>
            </w:pPr>
            <w:r w:rsidRPr="00A53232">
              <w:rPr>
                <w:b/>
                <w:sz w:val="11"/>
                <w:szCs w:val="11"/>
              </w:rPr>
              <w:t>-</w:t>
            </w:r>
          </w:p>
        </w:tc>
        <w:tc>
          <w:tcPr>
            <w:tcW w:w="728" w:type="dxa"/>
            <w:vAlign w:val="bottom"/>
          </w:tcPr>
          <w:p w14:paraId="5397F96F" w14:textId="7DFBC110" w:rsidR="00980409" w:rsidRPr="00A53232" w:rsidRDefault="00980409" w:rsidP="00980409">
            <w:pPr>
              <w:ind w:left="-1554" w:right="22"/>
              <w:jc w:val="right"/>
              <w:rPr>
                <w:sz w:val="11"/>
                <w:szCs w:val="11"/>
              </w:rPr>
            </w:pPr>
            <w:r w:rsidRPr="00A53232">
              <w:rPr>
                <w:b/>
                <w:sz w:val="11"/>
                <w:szCs w:val="11"/>
              </w:rPr>
              <w:t>-</w:t>
            </w:r>
          </w:p>
        </w:tc>
        <w:tc>
          <w:tcPr>
            <w:tcW w:w="756" w:type="dxa"/>
            <w:vAlign w:val="bottom"/>
          </w:tcPr>
          <w:p w14:paraId="0848F6C9" w14:textId="7E3C15DB" w:rsidR="00980409" w:rsidRPr="00A53232" w:rsidRDefault="00980409" w:rsidP="00980409">
            <w:pPr>
              <w:ind w:left="-1554" w:right="22"/>
              <w:jc w:val="right"/>
              <w:rPr>
                <w:sz w:val="11"/>
                <w:szCs w:val="11"/>
              </w:rPr>
            </w:pPr>
            <w:r w:rsidRPr="00A53232">
              <w:rPr>
                <w:b/>
                <w:sz w:val="11"/>
                <w:szCs w:val="11"/>
              </w:rPr>
              <w:t>-</w:t>
            </w:r>
          </w:p>
        </w:tc>
      </w:tr>
      <w:tr w:rsidR="00980409" w:rsidRPr="007C0BA6" w14:paraId="31B1A978" w14:textId="77777777" w:rsidTr="00677268">
        <w:trPr>
          <w:trHeight w:val="80"/>
        </w:trPr>
        <w:tc>
          <w:tcPr>
            <w:tcW w:w="362" w:type="dxa"/>
            <w:noWrap/>
            <w:tcMar>
              <w:top w:w="20" w:type="dxa"/>
              <w:left w:w="20" w:type="dxa"/>
              <w:bottom w:w="0" w:type="dxa"/>
              <w:right w:w="20" w:type="dxa"/>
            </w:tcMar>
          </w:tcPr>
          <w:p w14:paraId="401CEEA7" w14:textId="77777777" w:rsidR="00980409" w:rsidRPr="007C0BA6" w:rsidRDefault="00980409" w:rsidP="00980409">
            <w:pPr>
              <w:spacing w:line="192" w:lineRule="auto"/>
              <w:ind w:right="-30"/>
              <w:rPr>
                <w:rFonts w:eastAsia="Arial Unicode MS"/>
                <w:b/>
                <w:bCs/>
                <w:sz w:val="12"/>
                <w:szCs w:val="12"/>
              </w:rPr>
            </w:pPr>
            <w:r w:rsidRPr="007C0BA6">
              <w:rPr>
                <w:rFonts w:eastAsia="Arial Unicode MS"/>
                <w:b/>
                <w:bCs/>
                <w:sz w:val="12"/>
                <w:szCs w:val="12"/>
              </w:rPr>
              <w:t>XV.</w:t>
            </w:r>
          </w:p>
        </w:tc>
        <w:tc>
          <w:tcPr>
            <w:tcW w:w="2332" w:type="dxa"/>
            <w:noWrap/>
            <w:tcMar>
              <w:top w:w="20" w:type="dxa"/>
              <w:left w:w="20" w:type="dxa"/>
              <w:bottom w:w="0" w:type="dxa"/>
              <w:right w:w="20" w:type="dxa"/>
            </w:tcMar>
          </w:tcPr>
          <w:p w14:paraId="30FC40A1" w14:textId="77777777" w:rsidR="00980409" w:rsidRPr="007C0BA6" w:rsidRDefault="00980409" w:rsidP="00980409">
            <w:pPr>
              <w:spacing w:line="192" w:lineRule="auto"/>
              <w:rPr>
                <w:rFonts w:eastAsia="Arial Unicode MS"/>
                <w:b/>
                <w:sz w:val="12"/>
                <w:szCs w:val="12"/>
              </w:rPr>
            </w:pPr>
            <w:r w:rsidRPr="007C0BA6">
              <w:rPr>
                <w:rFonts w:eastAsia="Arial Unicode MS"/>
                <w:b/>
                <w:bCs/>
                <w:sz w:val="12"/>
                <w:szCs w:val="12"/>
              </w:rPr>
              <w:t>Adjustment to Share Capital</w:t>
            </w:r>
          </w:p>
        </w:tc>
        <w:tc>
          <w:tcPr>
            <w:tcW w:w="473" w:type="dxa"/>
          </w:tcPr>
          <w:p w14:paraId="584830A9"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647FAADE" w14:textId="689FB5E5" w:rsidR="00980409" w:rsidRPr="00A53232" w:rsidRDefault="00980409" w:rsidP="00980409">
            <w:pPr>
              <w:ind w:left="-1554" w:right="22"/>
              <w:jc w:val="right"/>
              <w:rPr>
                <w:sz w:val="11"/>
                <w:szCs w:val="11"/>
              </w:rPr>
            </w:pPr>
            <w:r w:rsidRPr="00A53232">
              <w:rPr>
                <w:b/>
                <w:sz w:val="11"/>
                <w:szCs w:val="11"/>
              </w:rPr>
              <w:t>-</w:t>
            </w:r>
          </w:p>
        </w:tc>
        <w:tc>
          <w:tcPr>
            <w:tcW w:w="669" w:type="dxa"/>
            <w:vAlign w:val="bottom"/>
          </w:tcPr>
          <w:p w14:paraId="10CB00EF" w14:textId="1A1C2115"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56EF9515" w14:textId="2EE2EB51" w:rsidR="00980409" w:rsidRPr="00A53232" w:rsidRDefault="00980409" w:rsidP="00980409">
            <w:pPr>
              <w:ind w:left="-1554" w:right="22"/>
              <w:jc w:val="right"/>
              <w:rPr>
                <w:sz w:val="11"/>
                <w:szCs w:val="11"/>
              </w:rPr>
            </w:pPr>
            <w:r w:rsidRPr="00A53232">
              <w:rPr>
                <w:b/>
                <w:sz w:val="11"/>
                <w:szCs w:val="11"/>
              </w:rPr>
              <w:t>-</w:t>
            </w:r>
          </w:p>
        </w:tc>
        <w:tc>
          <w:tcPr>
            <w:tcW w:w="707" w:type="dxa"/>
            <w:noWrap/>
            <w:tcMar>
              <w:top w:w="20" w:type="dxa"/>
              <w:left w:w="20" w:type="dxa"/>
              <w:bottom w:w="0" w:type="dxa"/>
              <w:right w:w="20" w:type="dxa"/>
            </w:tcMar>
            <w:vAlign w:val="bottom"/>
          </w:tcPr>
          <w:p w14:paraId="403732AD" w14:textId="52DBAB79" w:rsidR="00980409" w:rsidRPr="00A53232" w:rsidRDefault="00980409" w:rsidP="00980409">
            <w:pPr>
              <w:ind w:left="-1554" w:right="22"/>
              <w:jc w:val="right"/>
              <w:rPr>
                <w:sz w:val="11"/>
                <w:szCs w:val="11"/>
              </w:rPr>
            </w:pPr>
            <w:r w:rsidRPr="00A53232">
              <w:rPr>
                <w:b/>
                <w:sz w:val="11"/>
                <w:szCs w:val="11"/>
              </w:rPr>
              <w:t>-</w:t>
            </w:r>
          </w:p>
        </w:tc>
        <w:tc>
          <w:tcPr>
            <w:tcW w:w="602" w:type="dxa"/>
            <w:noWrap/>
            <w:tcMar>
              <w:top w:w="20" w:type="dxa"/>
              <w:left w:w="20" w:type="dxa"/>
              <w:bottom w:w="0" w:type="dxa"/>
              <w:right w:w="20" w:type="dxa"/>
            </w:tcMar>
            <w:vAlign w:val="bottom"/>
          </w:tcPr>
          <w:p w14:paraId="209FEDD7" w14:textId="604FAB4E" w:rsidR="00980409" w:rsidRPr="00A53232" w:rsidRDefault="00980409" w:rsidP="00980409">
            <w:pPr>
              <w:ind w:left="-1554" w:right="22"/>
              <w:jc w:val="right"/>
              <w:rPr>
                <w:sz w:val="11"/>
                <w:szCs w:val="11"/>
              </w:rPr>
            </w:pPr>
            <w:r w:rsidRPr="00A53232">
              <w:rPr>
                <w:b/>
                <w:sz w:val="11"/>
                <w:szCs w:val="11"/>
              </w:rPr>
              <w:t>-</w:t>
            </w:r>
          </w:p>
        </w:tc>
        <w:tc>
          <w:tcPr>
            <w:tcW w:w="536" w:type="dxa"/>
            <w:noWrap/>
            <w:tcMar>
              <w:top w:w="20" w:type="dxa"/>
              <w:left w:w="20" w:type="dxa"/>
              <w:bottom w:w="0" w:type="dxa"/>
              <w:right w:w="20" w:type="dxa"/>
            </w:tcMar>
            <w:vAlign w:val="bottom"/>
          </w:tcPr>
          <w:p w14:paraId="32742686" w14:textId="1DEC8203" w:rsidR="00980409" w:rsidRPr="00A53232" w:rsidRDefault="00980409" w:rsidP="00980409">
            <w:pPr>
              <w:ind w:left="-1554" w:right="22"/>
              <w:jc w:val="right"/>
              <w:rPr>
                <w:sz w:val="11"/>
                <w:szCs w:val="11"/>
              </w:rPr>
            </w:pPr>
            <w:r w:rsidRPr="00A53232">
              <w:rPr>
                <w:b/>
                <w:sz w:val="11"/>
                <w:szCs w:val="11"/>
              </w:rPr>
              <w:t>-</w:t>
            </w:r>
          </w:p>
        </w:tc>
        <w:tc>
          <w:tcPr>
            <w:tcW w:w="821" w:type="dxa"/>
            <w:noWrap/>
            <w:tcMar>
              <w:top w:w="20" w:type="dxa"/>
              <w:left w:w="20" w:type="dxa"/>
              <w:bottom w:w="0" w:type="dxa"/>
              <w:right w:w="20" w:type="dxa"/>
            </w:tcMar>
            <w:vAlign w:val="bottom"/>
          </w:tcPr>
          <w:p w14:paraId="2CF6BF38" w14:textId="7C5E9F27" w:rsidR="00980409" w:rsidRPr="00A53232" w:rsidRDefault="00980409" w:rsidP="00980409">
            <w:pPr>
              <w:ind w:left="-1554" w:right="22"/>
              <w:jc w:val="right"/>
              <w:rPr>
                <w:sz w:val="11"/>
                <w:szCs w:val="11"/>
              </w:rPr>
            </w:pPr>
            <w:r w:rsidRPr="00A53232">
              <w:rPr>
                <w:b/>
                <w:sz w:val="11"/>
                <w:szCs w:val="11"/>
              </w:rPr>
              <w:t>-</w:t>
            </w:r>
          </w:p>
        </w:tc>
        <w:tc>
          <w:tcPr>
            <w:tcW w:w="648" w:type="dxa"/>
            <w:noWrap/>
            <w:tcMar>
              <w:top w:w="20" w:type="dxa"/>
              <w:left w:w="20" w:type="dxa"/>
              <w:bottom w:w="0" w:type="dxa"/>
              <w:right w:w="20" w:type="dxa"/>
            </w:tcMar>
            <w:vAlign w:val="bottom"/>
          </w:tcPr>
          <w:p w14:paraId="11128756" w14:textId="5FDF5B30" w:rsidR="00980409" w:rsidRPr="00A53232" w:rsidRDefault="00980409" w:rsidP="00980409">
            <w:pPr>
              <w:ind w:left="-1554" w:right="22"/>
              <w:jc w:val="right"/>
              <w:rPr>
                <w:sz w:val="11"/>
                <w:szCs w:val="11"/>
              </w:rPr>
            </w:pPr>
            <w:r w:rsidRPr="00A53232">
              <w:rPr>
                <w:b/>
                <w:sz w:val="11"/>
                <w:szCs w:val="11"/>
              </w:rPr>
              <w:t>-</w:t>
            </w:r>
          </w:p>
        </w:tc>
        <w:tc>
          <w:tcPr>
            <w:tcW w:w="617" w:type="dxa"/>
            <w:noWrap/>
            <w:tcMar>
              <w:top w:w="20" w:type="dxa"/>
              <w:left w:w="20" w:type="dxa"/>
              <w:bottom w:w="0" w:type="dxa"/>
              <w:right w:w="20" w:type="dxa"/>
            </w:tcMar>
            <w:vAlign w:val="bottom"/>
          </w:tcPr>
          <w:p w14:paraId="0EDEA65E" w14:textId="7F26E996" w:rsidR="00980409" w:rsidRPr="00A53232" w:rsidRDefault="00980409" w:rsidP="00980409">
            <w:pPr>
              <w:ind w:left="-1554" w:right="22"/>
              <w:jc w:val="right"/>
              <w:rPr>
                <w:sz w:val="11"/>
                <w:szCs w:val="11"/>
              </w:rPr>
            </w:pPr>
            <w:r w:rsidRPr="00A53232">
              <w:rPr>
                <w:b/>
                <w:sz w:val="11"/>
                <w:szCs w:val="11"/>
              </w:rPr>
              <w:t>-</w:t>
            </w:r>
          </w:p>
        </w:tc>
        <w:tc>
          <w:tcPr>
            <w:tcW w:w="642" w:type="dxa"/>
            <w:noWrap/>
            <w:tcMar>
              <w:top w:w="20" w:type="dxa"/>
              <w:left w:w="20" w:type="dxa"/>
              <w:bottom w:w="0" w:type="dxa"/>
              <w:right w:w="20" w:type="dxa"/>
            </w:tcMar>
            <w:vAlign w:val="bottom"/>
          </w:tcPr>
          <w:p w14:paraId="0EA11980" w14:textId="22B895D4" w:rsidR="00980409" w:rsidRPr="00A53232" w:rsidRDefault="00980409" w:rsidP="00980409">
            <w:pPr>
              <w:ind w:left="-1554" w:right="22"/>
              <w:jc w:val="right"/>
              <w:rPr>
                <w:sz w:val="11"/>
                <w:szCs w:val="11"/>
              </w:rPr>
            </w:pPr>
            <w:r w:rsidRPr="00A53232">
              <w:rPr>
                <w:b/>
                <w:sz w:val="11"/>
                <w:szCs w:val="11"/>
              </w:rPr>
              <w:t>-</w:t>
            </w:r>
          </w:p>
        </w:tc>
        <w:tc>
          <w:tcPr>
            <w:tcW w:w="732" w:type="dxa"/>
            <w:vAlign w:val="bottom"/>
          </w:tcPr>
          <w:p w14:paraId="555C0390" w14:textId="4A7ACC1F" w:rsidR="00980409" w:rsidRPr="00A53232" w:rsidRDefault="00980409" w:rsidP="00980409">
            <w:pPr>
              <w:ind w:left="-1554" w:right="22"/>
              <w:jc w:val="right"/>
              <w:rPr>
                <w:sz w:val="11"/>
                <w:szCs w:val="11"/>
              </w:rPr>
            </w:pPr>
            <w:r w:rsidRPr="00A53232">
              <w:rPr>
                <w:b/>
                <w:sz w:val="11"/>
                <w:szCs w:val="11"/>
              </w:rPr>
              <w:t>-</w:t>
            </w:r>
          </w:p>
        </w:tc>
        <w:tc>
          <w:tcPr>
            <w:tcW w:w="880" w:type="dxa"/>
            <w:vAlign w:val="bottom"/>
          </w:tcPr>
          <w:p w14:paraId="460190C4" w14:textId="62F54777" w:rsidR="00980409" w:rsidRPr="00A53232" w:rsidRDefault="00980409" w:rsidP="00980409">
            <w:pPr>
              <w:ind w:left="-1554" w:right="22"/>
              <w:jc w:val="right"/>
              <w:rPr>
                <w:sz w:val="11"/>
                <w:szCs w:val="11"/>
              </w:rPr>
            </w:pPr>
            <w:r w:rsidRPr="00A53232">
              <w:rPr>
                <w:b/>
                <w:sz w:val="11"/>
                <w:szCs w:val="11"/>
              </w:rPr>
              <w:t>-</w:t>
            </w:r>
          </w:p>
        </w:tc>
        <w:tc>
          <w:tcPr>
            <w:tcW w:w="722" w:type="dxa"/>
            <w:noWrap/>
            <w:tcMar>
              <w:top w:w="20" w:type="dxa"/>
              <w:left w:w="20" w:type="dxa"/>
              <w:bottom w:w="0" w:type="dxa"/>
              <w:right w:w="20" w:type="dxa"/>
            </w:tcMar>
            <w:vAlign w:val="bottom"/>
          </w:tcPr>
          <w:p w14:paraId="451B86CB" w14:textId="4739D32A" w:rsidR="00980409" w:rsidRPr="00A53232" w:rsidRDefault="00980409" w:rsidP="00980409">
            <w:pPr>
              <w:ind w:left="-1554" w:right="22"/>
              <w:jc w:val="right"/>
              <w:rPr>
                <w:sz w:val="11"/>
                <w:szCs w:val="11"/>
              </w:rPr>
            </w:pPr>
            <w:r w:rsidRPr="00A53232">
              <w:rPr>
                <w:b/>
                <w:sz w:val="11"/>
                <w:szCs w:val="11"/>
              </w:rPr>
              <w:t>-</w:t>
            </w:r>
          </w:p>
        </w:tc>
        <w:tc>
          <w:tcPr>
            <w:tcW w:w="589" w:type="dxa"/>
            <w:noWrap/>
            <w:tcMar>
              <w:top w:w="20" w:type="dxa"/>
              <w:left w:w="20" w:type="dxa"/>
              <w:bottom w:w="0" w:type="dxa"/>
              <w:right w:w="20" w:type="dxa"/>
            </w:tcMar>
            <w:vAlign w:val="bottom"/>
          </w:tcPr>
          <w:p w14:paraId="4C0F008C" w14:textId="51FE74C5" w:rsidR="00980409" w:rsidRPr="00A53232" w:rsidRDefault="00980409" w:rsidP="00980409">
            <w:pPr>
              <w:ind w:left="-1554" w:right="22"/>
              <w:jc w:val="right"/>
              <w:rPr>
                <w:sz w:val="11"/>
                <w:szCs w:val="11"/>
              </w:rPr>
            </w:pPr>
            <w:r w:rsidRPr="00A53232">
              <w:rPr>
                <w:b/>
                <w:sz w:val="11"/>
                <w:szCs w:val="11"/>
              </w:rPr>
              <w:t>-</w:t>
            </w:r>
          </w:p>
        </w:tc>
        <w:tc>
          <w:tcPr>
            <w:tcW w:w="801" w:type="dxa"/>
            <w:noWrap/>
            <w:tcMar>
              <w:top w:w="20" w:type="dxa"/>
              <w:left w:w="20" w:type="dxa"/>
              <w:bottom w:w="0" w:type="dxa"/>
              <w:right w:w="20" w:type="dxa"/>
            </w:tcMar>
            <w:vAlign w:val="bottom"/>
          </w:tcPr>
          <w:p w14:paraId="7694DCCA" w14:textId="0FC25385" w:rsidR="00980409" w:rsidRPr="00A53232" w:rsidRDefault="00980409" w:rsidP="00980409">
            <w:pPr>
              <w:ind w:left="-1554" w:right="22"/>
              <w:jc w:val="right"/>
              <w:rPr>
                <w:sz w:val="11"/>
                <w:szCs w:val="11"/>
              </w:rPr>
            </w:pPr>
            <w:r w:rsidRPr="00A53232">
              <w:rPr>
                <w:b/>
                <w:sz w:val="11"/>
                <w:szCs w:val="11"/>
              </w:rPr>
              <w:t>-</w:t>
            </w:r>
          </w:p>
        </w:tc>
        <w:tc>
          <w:tcPr>
            <w:tcW w:w="626" w:type="dxa"/>
            <w:vAlign w:val="bottom"/>
          </w:tcPr>
          <w:p w14:paraId="47E71ABB" w14:textId="13A30FF4" w:rsidR="00980409" w:rsidRPr="00A53232" w:rsidRDefault="00980409" w:rsidP="00980409">
            <w:pPr>
              <w:ind w:left="-1554" w:right="22"/>
              <w:jc w:val="right"/>
              <w:rPr>
                <w:sz w:val="11"/>
                <w:szCs w:val="11"/>
              </w:rPr>
            </w:pPr>
            <w:r w:rsidRPr="00A53232">
              <w:rPr>
                <w:b/>
                <w:sz w:val="11"/>
                <w:szCs w:val="11"/>
              </w:rPr>
              <w:t>-</w:t>
            </w:r>
          </w:p>
        </w:tc>
        <w:tc>
          <w:tcPr>
            <w:tcW w:w="728" w:type="dxa"/>
            <w:vAlign w:val="bottom"/>
          </w:tcPr>
          <w:p w14:paraId="07F960C3" w14:textId="4B0EC139" w:rsidR="00980409" w:rsidRPr="00A53232" w:rsidRDefault="00980409" w:rsidP="00980409">
            <w:pPr>
              <w:ind w:left="-1554" w:right="22"/>
              <w:jc w:val="right"/>
              <w:rPr>
                <w:sz w:val="11"/>
                <w:szCs w:val="11"/>
              </w:rPr>
            </w:pPr>
            <w:r w:rsidRPr="00A53232">
              <w:rPr>
                <w:b/>
                <w:sz w:val="11"/>
                <w:szCs w:val="11"/>
              </w:rPr>
              <w:t>-</w:t>
            </w:r>
          </w:p>
        </w:tc>
        <w:tc>
          <w:tcPr>
            <w:tcW w:w="756" w:type="dxa"/>
            <w:vAlign w:val="bottom"/>
          </w:tcPr>
          <w:p w14:paraId="0501D0BE" w14:textId="731C0F25" w:rsidR="00980409" w:rsidRPr="00A53232" w:rsidRDefault="00980409" w:rsidP="00980409">
            <w:pPr>
              <w:ind w:left="-1554" w:right="22"/>
              <w:jc w:val="right"/>
              <w:rPr>
                <w:sz w:val="11"/>
                <w:szCs w:val="11"/>
              </w:rPr>
            </w:pPr>
            <w:r w:rsidRPr="00A53232">
              <w:rPr>
                <w:b/>
                <w:sz w:val="11"/>
                <w:szCs w:val="11"/>
              </w:rPr>
              <w:t>-</w:t>
            </w:r>
          </w:p>
        </w:tc>
      </w:tr>
      <w:tr w:rsidR="00980409" w:rsidRPr="007C0BA6" w14:paraId="1A69B85D" w14:textId="77777777" w:rsidTr="00677268">
        <w:trPr>
          <w:trHeight w:val="80"/>
        </w:trPr>
        <w:tc>
          <w:tcPr>
            <w:tcW w:w="362" w:type="dxa"/>
            <w:noWrap/>
            <w:tcMar>
              <w:top w:w="20" w:type="dxa"/>
              <w:left w:w="20" w:type="dxa"/>
              <w:bottom w:w="0" w:type="dxa"/>
              <w:right w:w="20" w:type="dxa"/>
            </w:tcMar>
          </w:tcPr>
          <w:p w14:paraId="07BF2D06" w14:textId="77777777" w:rsidR="00980409" w:rsidRPr="007C0BA6" w:rsidRDefault="00980409" w:rsidP="00980409">
            <w:pPr>
              <w:spacing w:line="192" w:lineRule="auto"/>
              <w:ind w:right="-30"/>
              <w:rPr>
                <w:rFonts w:eastAsia="Arial Unicode MS"/>
                <w:b/>
                <w:bCs/>
                <w:sz w:val="12"/>
                <w:szCs w:val="12"/>
              </w:rPr>
            </w:pPr>
            <w:r w:rsidRPr="007C0BA6">
              <w:rPr>
                <w:rFonts w:eastAsia="Arial Unicode MS"/>
                <w:b/>
                <w:bCs/>
                <w:sz w:val="12"/>
                <w:szCs w:val="12"/>
              </w:rPr>
              <w:t>XVI.</w:t>
            </w:r>
          </w:p>
        </w:tc>
        <w:tc>
          <w:tcPr>
            <w:tcW w:w="2332" w:type="dxa"/>
            <w:noWrap/>
            <w:tcMar>
              <w:top w:w="20" w:type="dxa"/>
              <w:left w:w="20" w:type="dxa"/>
              <w:bottom w:w="0" w:type="dxa"/>
              <w:right w:w="20" w:type="dxa"/>
            </w:tcMar>
          </w:tcPr>
          <w:p w14:paraId="4C2EFD25" w14:textId="77777777" w:rsidR="00980409" w:rsidRPr="007C0BA6" w:rsidRDefault="00980409" w:rsidP="00980409">
            <w:pPr>
              <w:spacing w:line="192" w:lineRule="auto"/>
              <w:rPr>
                <w:b/>
                <w:sz w:val="12"/>
                <w:szCs w:val="12"/>
              </w:rPr>
            </w:pPr>
            <w:r w:rsidRPr="007C0BA6">
              <w:rPr>
                <w:b/>
                <w:sz w:val="12"/>
                <w:szCs w:val="12"/>
              </w:rPr>
              <w:t>Other</w:t>
            </w:r>
          </w:p>
        </w:tc>
        <w:tc>
          <w:tcPr>
            <w:tcW w:w="473" w:type="dxa"/>
          </w:tcPr>
          <w:p w14:paraId="41B25699"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71B10378" w14:textId="7B0C0CC5" w:rsidR="00980409" w:rsidRPr="00A53232" w:rsidRDefault="00980409" w:rsidP="00980409">
            <w:pPr>
              <w:ind w:left="-1554" w:right="22"/>
              <w:jc w:val="right"/>
              <w:rPr>
                <w:b/>
                <w:sz w:val="11"/>
                <w:szCs w:val="11"/>
              </w:rPr>
            </w:pPr>
            <w:r w:rsidRPr="00A53232">
              <w:rPr>
                <w:b/>
                <w:sz w:val="11"/>
                <w:szCs w:val="11"/>
              </w:rPr>
              <w:t>-</w:t>
            </w:r>
          </w:p>
        </w:tc>
        <w:tc>
          <w:tcPr>
            <w:tcW w:w="669" w:type="dxa"/>
            <w:vAlign w:val="bottom"/>
          </w:tcPr>
          <w:p w14:paraId="2EDF1545" w14:textId="3F2D6E6B"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3F3FC984" w14:textId="75F6A592" w:rsidR="00980409" w:rsidRPr="00A53232" w:rsidRDefault="00980409" w:rsidP="00980409">
            <w:pPr>
              <w:jc w:val="right"/>
              <w:rPr>
                <w:b/>
                <w:color w:val="000000"/>
                <w:sz w:val="11"/>
                <w:szCs w:val="11"/>
              </w:rPr>
            </w:pPr>
            <w:r w:rsidRPr="00A53232">
              <w:rPr>
                <w:b/>
                <w:color w:val="000000"/>
                <w:sz w:val="11"/>
                <w:szCs w:val="11"/>
              </w:rPr>
              <w:t>20</w:t>
            </w:r>
          </w:p>
        </w:tc>
        <w:tc>
          <w:tcPr>
            <w:tcW w:w="707" w:type="dxa"/>
            <w:noWrap/>
            <w:tcMar>
              <w:top w:w="20" w:type="dxa"/>
              <w:left w:w="20" w:type="dxa"/>
              <w:bottom w:w="0" w:type="dxa"/>
              <w:right w:w="20" w:type="dxa"/>
            </w:tcMar>
            <w:vAlign w:val="bottom"/>
          </w:tcPr>
          <w:p w14:paraId="0D229171" w14:textId="72C3672C" w:rsidR="00980409" w:rsidRPr="00A53232" w:rsidRDefault="00980409" w:rsidP="00980409">
            <w:pPr>
              <w:ind w:left="-1554" w:right="22"/>
              <w:jc w:val="right"/>
              <w:rPr>
                <w:b/>
                <w:sz w:val="11"/>
                <w:szCs w:val="11"/>
              </w:rPr>
            </w:pPr>
            <w:r w:rsidRPr="00A53232">
              <w:rPr>
                <w:b/>
                <w:sz w:val="11"/>
                <w:szCs w:val="11"/>
              </w:rPr>
              <w:t>-</w:t>
            </w:r>
          </w:p>
        </w:tc>
        <w:tc>
          <w:tcPr>
            <w:tcW w:w="602" w:type="dxa"/>
            <w:noWrap/>
            <w:tcMar>
              <w:top w:w="20" w:type="dxa"/>
              <w:left w:w="20" w:type="dxa"/>
              <w:bottom w:w="0" w:type="dxa"/>
              <w:right w:w="20" w:type="dxa"/>
            </w:tcMar>
            <w:vAlign w:val="bottom"/>
          </w:tcPr>
          <w:p w14:paraId="02325048" w14:textId="0DA9E342"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5F3E7E6C" w14:textId="530A4F0B" w:rsidR="00980409" w:rsidRPr="00A53232" w:rsidRDefault="00980409" w:rsidP="00980409">
            <w:pPr>
              <w:ind w:left="-1554" w:right="22"/>
              <w:jc w:val="right"/>
              <w:rPr>
                <w:b/>
                <w:sz w:val="11"/>
                <w:szCs w:val="11"/>
              </w:rPr>
            </w:pPr>
            <w:r w:rsidRPr="00A53232">
              <w:rPr>
                <w:b/>
                <w:sz w:val="11"/>
                <w:szCs w:val="11"/>
              </w:rPr>
              <w:t>-</w:t>
            </w:r>
          </w:p>
        </w:tc>
        <w:tc>
          <w:tcPr>
            <w:tcW w:w="821" w:type="dxa"/>
            <w:noWrap/>
            <w:tcMar>
              <w:top w:w="20" w:type="dxa"/>
              <w:left w:w="20" w:type="dxa"/>
              <w:bottom w:w="0" w:type="dxa"/>
              <w:right w:w="20" w:type="dxa"/>
            </w:tcMar>
            <w:vAlign w:val="bottom"/>
          </w:tcPr>
          <w:p w14:paraId="7B84CBC7" w14:textId="5548FDD6" w:rsidR="00980409" w:rsidRPr="00A53232" w:rsidRDefault="00980409" w:rsidP="00980409">
            <w:pPr>
              <w:ind w:left="-1554" w:right="22"/>
              <w:jc w:val="right"/>
              <w:rPr>
                <w:b/>
                <w:sz w:val="11"/>
                <w:szCs w:val="11"/>
              </w:rPr>
            </w:pPr>
            <w:r w:rsidRPr="00A53232">
              <w:rPr>
                <w:b/>
                <w:sz w:val="11"/>
                <w:szCs w:val="11"/>
              </w:rPr>
              <w:t>-</w:t>
            </w:r>
          </w:p>
        </w:tc>
        <w:tc>
          <w:tcPr>
            <w:tcW w:w="648" w:type="dxa"/>
            <w:noWrap/>
            <w:tcMar>
              <w:top w:w="20" w:type="dxa"/>
              <w:left w:w="20" w:type="dxa"/>
              <w:bottom w:w="0" w:type="dxa"/>
              <w:right w:w="20" w:type="dxa"/>
            </w:tcMar>
            <w:vAlign w:val="bottom"/>
          </w:tcPr>
          <w:p w14:paraId="308A7A45" w14:textId="450EA007" w:rsidR="00980409" w:rsidRPr="00A53232" w:rsidRDefault="00980409" w:rsidP="00980409">
            <w:pPr>
              <w:jc w:val="right"/>
              <w:rPr>
                <w:b/>
                <w:color w:val="000000"/>
                <w:sz w:val="11"/>
                <w:szCs w:val="11"/>
              </w:rPr>
            </w:pPr>
            <w:r w:rsidRPr="00A53232">
              <w:rPr>
                <w:b/>
                <w:color w:val="000000"/>
                <w:sz w:val="11"/>
                <w:szCs w:val="11"/>
              </w:rPr>
              <w:t>(1,524)</w:t>
            </w:r>
          </w:p>
        </w:tc>
        <w:tc>
          <w:tcPr>
            <w:tcW w:w="617" w:type="dxa"/>
            <w:noWrap/>
            <w:tcMar>
              <w:top w:w="20" w:type="dxa"/>
              <w:left w:w="20" w:type="dxa"/>
              <w:bottom w:w="0" w:type="dxa"/>
              <w:right w:w="20" w:type="dxa"/>
            </w:tcMar>
            <w:vAlign w:val="bottom"/>
          </w:tcPr>
          <w:p w14:paraId="4B816EF9" w14:textId="6596DBDF" w:rsidR="00980409" w:rsidRPr="00A53232" w:rsidRDefault="00980409" w:rsidP="00980409">
            <w:pPr>
              <w:ind w:left="-1554" w:right="22"/>
              <w:jc w:val="right"/>
              <w:rPr>
                <w:b/>
                <w:sz w:val="11"/>
                <w:szCs w:val="11"/>
              </w:rPr>
            </w:pPr>
            <w:r w:rsidRPr="00A53232">
              <w:rPr>
                <w:b/>
                <w:sz w:val="11"/>
                <w:szCs w:val="11"/>
              </w:rPr>
              <w:t>-</w:t>
            </w:r>
          </w:p>
        </w:tc>
        <w:tc>
          <w:tcPr>
            <w:tcW w:w="642" w:type="dxa"/>
            <w:noWrap/>
            <w:tcMar>
              <w:top w:w="20" w:type="dxa"/>
              <w:left w:w="20" w:type="dxa"/>
              <w:bottom w:w="0" w:type="dxa"/>
              <w:right w:w="20" w:type="dxa"/>
            </w:tcMar>
            <w:vAlign w:val="bottom"/>
          </w:tcPr>
          <w:p w14:paraId="3F8B325B" w14:textId="663CE9ED" w:rsidR="00980409" w:rsidRPr="00A53232" w:rsidRDefault="00980409" w:rsidP="00980409">
            <w:pPr>
              <w:ind w:left="-1554" w:right="22"/>
              <w:jc w:val="right"/>
              <w:rPr>
                <w:b/>
                <w:sz w:val="11"/>
                <w:szCs w:val="11"/>
              </w:rPr>
            </w:pPr>
            <w:r w:rsidRPr="00A53232">
              <w:rPr>
                <w:b/>
                <w:sz w:val="11"/>
                <w:szCs w:val="11"/>
              </w:rPr>
              <w:t>-</w:t>
            </w:r>
          </w:p>
        </w:tc>
        <w:tc>
          <w:tcPr>
            <w:tcW w:w="732" w:type="dxa"/>
            <w:vAlign w:val="bottom"/>
          </w:tcPr>
          <w:p w14:paraId="5A17961D" w14:textId="435F09B3" w:rsidR="00980409" w:rsidRPr="00A53232" w:rsidRDefault="00980409" w:rsidP="00980409">
            <w:pPr>
              <w:ind w:left="-1554" w:right="22"/>
              <w:jc w:val="right"/>
              <w:rPr>
                <w:b/>
                <w:sz w:val="11"/>
                <w:szCs w:val="11"/>
              </w:rPr>
            </w:pPr>
            <w:r w:rsidRPr="00A53232">
              <w:rPr>
                <w:b/>
                <w:sz w:val="11"/>
                <w:szCs w:val="11"/>
              </w:rPr>
              <w:t>-</w:t>
            </w:r>
          </w:p>
        </w:tc>
        <w:tc>
          <w:tcPr>
            <w:tcW w:w="880" w:type="dxa"/>
            <w:vAlign w:val="bottom"/>
          </w:tcPr>
          <w:p w14:paraId="55E6B432" w14:textId="1F8E43EA" w:rsidR="00980409" w:rsidRPr="00A53232" w:rsidRDefault="00980409" w:rsidP="00980409">
            <w:pPr>
              <w:ind w:left="-1554" w:right="22"/>
              <w:jc w:val="right"/>
              <w:rPr>
                <w:b/>
                <w:sz w:val="11"/>
                <w:szCs w:val="11"/>
              </w:rPr>
            </w:pPr>
            <w:r w:rsidRPr="00A53232">
              <w:rPr>
                <w:b/>
                <w:sz w:val="11"/>
                <w:szCs w:val="11"/>
              </w:rPr>
              <w:t>-</w:t>
            </w:r>
          </w:p>
        </w:tc>
        <w:tc>
          <w:tcPr>
            <w:tcW w:w="722" w:type="dxa"/>
            <w:noWrap/>
            <w:tcMar>
              <w:top w:w="20" w:type="dxa"/>
              <w:left w:w="20" w:type="dxa"/>
              <w:bottom w:w="0" w:type="dxa"/>
              <w:right w:w="20" w:type="dxa"/>
            </w:tcMar>
            <w:vAlign w:val="bottom"/>
          </w:tcPr>
          <w:p w14:paraId="0E9BBDF4" w14:textId="5E1171D6" w:rsidR="00980409" w:rsidRPr="00A53232" w:rsidRDefault="00980409" w:rsidP="00980409">
            <w:pPr>
              <w:ind w:left="-1554" w:right="22"/>
              <w:jc w:val="right"/>
              <w:rPr>
                <w:b/>
                <w:sz w:val="11"/>
                <w:szCs w:val="11"/>
              </w:rPr>
            </w:pPr>
            <w:r w:rsidRPr="00A53232">
              <w:rPr>
                <w:b/>
                <w:sz w:val="11"/>
                <w:szCs w:val="11"/>
              </w:rPr>
              <w:t>-</w:t>
            </w:r>
          </w:p>
        </w:tc>
        <w:tc>
          <w:tcPr>
            <w:tcW w:w="589" w:type="dxa"/>
            <w:noWrap/>
            <w:tcMar>
              <w:top w:w="20" w:type="dxa"/>
              <w:left w:w="20" w:type="dxa"/>
              <w:bottom w:w="0" w:type="dxa"/>
              <w:right w:w="20" w:type="dxa"/>
            </w:tcMar>
            <w:vAlign w:val="bottom"/>
          </w:tcPr>
          <w:p w14:paraId="07D300AD" w14:textId="34DC0B1B" w:rsidR="00980409" w:rsidRPr="00A53232" w:rsidRDefault="00980409" w:rsidP="00980409">
            <w:pPr>
              <w:ind w:left="-1554" w:right="22"/>
              <w:jc w:val="right"/>
              <w:rPr>
                <w:b/>
                <w:sz w:val="11"/>
                <w:szCs w:val="11"/>
              </w:rPr>
            </w:pPr>
            <w:r w:rsidRPr="00A53232">
              <w:rPr>
                <w:b/>
                <w:sz w:val="11"/>
                <w:szCs w:val="11"/>
              </w:rPr>
              <w:t>-</w:t>
            </w:r>
          </w:p>
        </w:tc>
        <w:tc>
          <w:tcPr>
            <w:tcW w:w="801" w:type="dxa"/>
            <w:noWrap/>
            <w:tcMar>
              <w:top w:w="20" w:type="dxa"/>
              <w:left w:w="20" w:type="dxa"/>
              <w:bottom w:w="0" w:type="dxa"/>
              <w:right w:w="20" w:type="dxa"/>
            </w:tcMar>
            <w:vAlign w:val="bottom"/>
          </w:tcPr>
          <w:p w14:paraId="44CDA7D1" w14:textId="1B784DFF" w:rsidR="00980409" w:rsidRPr="00A53232" w:rsidRDefault="00980409" w:rsidP="00980409">
            <w:pPr>
              <w:ind w:left="-1554" w:right="22"/>
              <w:jc w:val="right"/>
              <w:rPr>
                <w:b/>
                <w:sz w:val="11"/>
                <w:szCs w:val="11"/>
              </w:rPr>
            </w:pPr>
            <w:r w:rsidRPr="00A53232">
              <w:rPr>
                <w:b/>
                <w:sz w:val="11"/>
                <w:szCs w:val="11"/>
              </w:rPr>
              <w:t>-</w:t>
            </w:r>
          </w:p>
        </w:tc>
        <w:tc>
          <w:tcPr>
            <w:tcW w:w="626" w:type="dxa"/>
            <w:vAlign w:val="bottom"/>
          </w:tcPr>
          <w:p w14:paraId="20ABD4E5" w14:textId="6453F645" w:rsidR="00980409" w:rsidRPr="00A53232" w:rsidRDefault="00980409" w:rsidP="00980409">
            <w:pPr>
              <w:jc w:val="right"/>
              <w:rPr>
                <w:b/>
                <w:color w:val="000000"/>
                <w:sz w:val="11"/>
                <w:szCs w:val="11"/>
              </w:rPr>
            </w:pPr>
            <w:r w:rsidRPr="00A53232">
              <w:rPr>
                <w:b/>
                <w:color w:val="000000"/>
                <w:sz w:val="11"/>
                <w:szCs w:val="11"/>
              </w:rPr>
              <w:t>(1,504)</w:t>
            </w:r>
          </w:p>
        </w:tc>
        <w:tc>
          <w:tcPr>
            <w:tcW w:w="728" w:type="dxa"/>
            <w:vAlign w:val="bottom"/>
          </w:tcPr>
          <w:p w14:paraId="7B13121B" w14:textId="3229163A" w:rsidR="00980409" w:rsidRPr="00A53232" w:rsidRDefault="00980409" w:rsidP="00980409">
            <w:pPr>
              <w:ind w:left="-1554" w:right="22"/>
              <w:jc w:val="right"/>
              <w:rPr>
                <w:b/>
                <w:sz w:val="11"/>
                <w:szCs w:val="11"/>
              </w:rPr>
            </w:pPr>
            <w:r w:rsidRPr="00A53232">
              <w:rPr>
                <w:b/>
                <w:sz w:val="11"/>
                <w:szCs w:val="11"/>
              </w:rPr>
              <w:t>-</w:t>
            </w:r>
          </w:p>
        </w:tc>
        <w:tc>
          <w:tcPr>
            <w:tcW w:w="756" w:type="dxa"/>
            <w:vAlign w:val="bottom"/>
          </w:tcPr>
          <w:p w14:paraId="25AA8980" w14:textId="45A8E832" w:rsidR="00980409" w:rsidRPr="00A53232" w:rsidRDefault="00980409" w:rsidP="00980409">
            <w:pPr>
              <w:jc w:val="right"/>
              <w:rPr>
                <w:b/>
                <w:color w:val="000000"/>
                <w:sz w:val="11"/>
                <w:szCs w:val="11"/>
              </w:rPr>
            </w:pPr>
            <w:r w:rsidRPr="00A53232">
              <w:rPr>
                <w:b/>
                <w:color w:val="000000"/>
                <w:sz w:val="11"/>
                <w:szCs w:val="11"/>
              </w:rPr>
              <w:t>(1,504)</w:t>
            </w:r>
          </w:p>
        </w:tc>
      </w:tr>
      <w:tr w:rsidR="00980409" w:rsidRPr="007C0BA6" w14:paraId="6ECC8319" w14:textId="77777777" w:rsidTr="00677268">
        <w:trPr>
          <w:trHeight w:val="80"/>
        </w:trPr>
        <w:tc>
          <w:tcPr>
            <w:tcW w:w="362" w:type="dxa"/>
            <w:noWrap/>
            <w:tcMar>
              <w:top w:w="20" w:type="dxa"/>
              <w:left w:w="20" w:type="dxa"/>
              <w:bottom w:w="0" w:type="dxa"/>
              <w:right w:w="20" w:type="dxa"/>
            </w:tcMar>
          </w:tcPr>
          <w:p w14:paraId="64D2787D" w14:textId="77777777" w:rsidR="00980409" w:rsidRPr="007C0BA6" w:rsidRDefault="00980409" w:rsidP="00980409">
            <w:pPr>
              <w:spacing w:line="192" w:lineRule="auto"/>
              <w:ind w:right="-30"/>
              <w:rPr>
                <w:b/>
                <w:bCs/>
                <w:sz w:val="12"/>
                <w:szCs w:val="12"/>
              </w:rPr>
            </w:pPr>
            <w:r w:rsidRPr="007C0BA6">
              <w:rPr>
                <w:rFonts w:eastAsia="Arial Unicode MS"/>
                <w:b/>
                <w:bCs/>
                <w:sz w:val="12"/>
                <w:szCs w:val="12"/>
              </w:rPr>
              <w:t>XVII.</w:t>
            </w:r>
          </w:p>
        </w:tc>
        <w:tc>
          <w:tcPr>
            <w:tcW w:w="2332" w:type="dxa"/>
            <w:noWrap/>
            <w:tcMar>
              <w:top w:w="20" w:type="dxa"/>
              <w:left w:w="20" w:type="dxa"/>
              <w:bottom w:w="0" w:type="dxa"/>
              <w:right w:w="20" w:type="dxa"/>
            </w:tcMar>
          </w:tcPr>
          <w:p w14:paraId="79652FCB" w14:textId="77777777" w:rsidR="00980409" w:rsidRPr="007C0BA6" w:rsidRDefault="00980409" w:rsidP="00980409">
            <w:pPr>
              <w:spacing w:line="192" w:lineRule="auto"/>
              <w:rPr>
                <w:b/>
                <w:sz w:val="12"/>
                <w:szCs w:val="12"/>
              </w:rPr>
            </w:pPr>
            <w:r>
              <w:rPr>
                <w:b/>
                <w:sz w:val="12"/>
                <w:szCs w:val="12"/>
              </w:rPr>
              <w:t>Net Profit or Loss for the Period</w:t>
            </w:r>
          </w:p>
        </w:tc>
        <w:tc>
          <w:tcPr>
            <w:tcW w:w="473" w:type="dxa"/>
          </w:tcPr>
          <w:p w14:paraId="39E77D87"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00C76469" w14:textId="749D8A11" w:rsidR="00980409" w:rsidRPr="00A53232" w:rsidRDefault="00980409" w:rsidP="00980409">
            <w:pPr>
              <w:ind w:left="-1554" w:right="22"/>
              <w:jc w:val="right"/>
              <w:rPr>
                <w:b/>
                <w:sz w:val="11"/>
                <w:szCs w:val="11"/>
              </w:rPr>
            </w:pPr>
            <w:r w:rsidRPr="00A53232">
              <w:rPr>
                <w:b/>
                <w:sz w:val="11"/>
                <w:szCs w:val="11"/>
              </w:rPr>
              <w:t>-</w:t>
            </w:r>
          </w:p>
        </w:tc>
        <w:tc>
          <w:tcPr>
            <w:tcW w:w="669" w:type="dxa"/>
            <w:vAlign w:val="bottom"/>
          </w:tcPr>
          <w:p w14:paraId="7C63C4BE" w14:textId="0F9BB957"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1A7F9A7F" w14:textId="03821620" w:rsidR="00980409" w:rsidRPr="00A53232" w:rsidRDefault="00980409" w:rsidP="00980409">
            <w:pPr>
              <w:ind w:left="-1554" w:right="22"/>
              <w:jc w:val="right"/>
              <w:rPr>
                <w:b/>
                <w:sz w:val="11"/>
                <w:szCs w:val="11"/>
              </w:rPr>
            </w:pPr>
            <w:r w:rsidRPr="00A53232">
              <w:rPr>
                <w:b/>
                <w:sz w:val="11"/>
                <w:szCs w:val="11"/>
              </w:rPr>
              <w:t>-</w:t>
            </w:r>
          </w:p>
        </w:tc>
        <w:tc>
          <w:tcPr>
            <w:tcW w:w="707" w:type="dxa"/>
            <w:noWrap/>
            <w:tcMar>
              <w:top w:w="20" w:type="dxa"/>
              <w:left w:w="20" w:type="dxa"/>
              <w:bottom w:w="0" w:type="dxa"/>
              <w:right w:w="20" w:type="dxa"/>
            </w:tcMar>
            <w:vAlign w:val="bottom"/>
          </w:tcPr>
          <w:p w14:paraId="2C56C7B0" w14:textId="4047ED5D" w:rsidR="00980409" w:rsidRPr="00A53232" w:rsidRDefault="00980409" w:rsidP="00980409">
            <w:pPr>
              <w:ind w:left="-1554" w:right="22"/>
              <w:jc w:val="right"/>
              <w:rPr>
                <w:b/>
                <w:sz w:val="11"/>
                <w:szCs w:val="11"/>
              </w:rPr>
            </w:pPr>
            <w:r w:rsidRPr="00A53232">
              <w:rPr>
                <w:b/>
                <w:sz w:val="11"/>
                <w:szCs w:val="11"/>
              </w:rPr>
              <w:t>-</w:t>
            </w:r>
          </w:p>
        </w:tc>
        <w:tc>
          <w:tcPr>
            <w:tcW w:w="602" w:type="dxa"/>
            <w:noWrap/>
            <w:tcMar>
              <w:top w:w="20" w:type="dxa"/>
              <w:left w:w="20" w:type="dxa"/>
              <w:bottom w:w="0" w:type="dxa"/>
              <w:right w:w="20" w:type="dxa"/>
            </w:tcMar>
            <w:vAlign w:val="bottom"/>
          </w:tcPr>
          <w:p w14:paraId="183784B4" w14:textId="55866A82"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24EAB819" w14:textId="3D11C382" w:rsidR="00980409" w:rsidRPr="00A53232" w:rsidRDefault="00980409" w:rsidP="00980409">
            <w:pPr>
              <w:ind w:left="-1554" w:right="22"/>
              <w:jc w:val="right"/>
              <w:rPr>
                <w:b/>
                <w:sz w:val="11"/>
                <w:szCs w:val="11"/>
              </w:rPr>
            </w:pPr>
            <w:r w:rsidRPr="00A53232">
              <w:rPr>
                <w:b/>
                <w:sz w:val="11"/>
                <w:szCs w:val="11"/>
              </w:rPr>
              <w:t>-</w:t>
            </w:r>
          </w:p>
        </w:tc>
        <w:tc>
          <w:tcPr>
            <w:tcW w:w="821" w:type="dxa"/>
            <w:noWrap/>
            <w:tcMar>
              <w:top w:w="20" w:type="dxa"/>
              <w:left w:w="20" w:type="dxa"/>
              <w:bottom w:w="0" w:type="dxa"/>
              <w:right w:w="20" w:type="dxa"/>
            </w:tcMar>
            <w:vAlign w:val="bottom"/>
          </w:tcPr>
          <w:p w14:paraId="5BA54E3A" w14:textId="50D96863" w:rsidR="00980409" w:rsidRPr="00A53232" w:rsidRDefault="00980409" w:rsidP="00980409">
            <w:pPr>
              <w:ind w:left="-1554" w:right="22"/>
              <w:jc w:val="right"/>
              <w:rPr>
                <w:b/>
                <w:sz w:val="11"/>
                <w:szCs w:val="11"/>
              </w:rPr>
            </w:pPr>
            <w:r w:rsidRPr="00A53232">
              <w:rPr>
                <w:b/>
                <w:sz w:val="11"/>
                <w:szCs w:val="11"/>
              </w:rPr>
              <w:t>-</w:t>
            </w:r>
          </w:p>
        </w:tc>
        <w:tc>
          <w:tcPr>
            <w:tcW w:w="648" w:type="dxa"/>
            <w:noWrap/>
            <w:tcMar>
              <w:top w:w="20" w:type="dxa"/>
              <w:left w:w="20" w:type="dxa"/>
              <w:bottom w:w="0" w:type="dxa"/>
              <w:right w:w="20" w:type="dxa"/>
            </w:tcMar>
            <w:vAlign w:val="bottom"/>
          </w:tcPr>
          <w:p w14:paraId="6FB6FB48" w14:textId="277D8B2E" w:rsidR="00980409" w:rsidRPr="00A53232" w:rsidRDefault="00980409" w:rsidP="00980409">
            <w:pPr>
              <w:ind w:left="-1554" w:right="22"/>
              <w:jc w:val="right"/>
              <w:rPr>
                <w:b/>
                <w:sz w:val="11"/>
                <w:szCs w:val="11"/>
              </w:rPr>
            </w:pPr>
            <w:r w:rsidRPr="00A53232">
              <w:rPr>
                <w:b/>
                <w:sz w:val="11"/>
                <w:szCs w:val="11"/>
              </w:rPr>
              <w:t>-</w:t>
            </w:r>
          </w:p>
        </w:tc>
        <w:tc>
          <w:tcPr>
            <w:tcW w:w="617" w:type="dxa"/>
            <w:noWrap/>
            <w:tcMar>
              <w:top w:w="20" w:type="dxa"/>
              <w:left w:w="20" w:type="dxa"/>
              <w:bottom w:w="0" w:type="dxa"/>
              <w:right w:w="20" w:type="dxa"/>
            </w:tcMar>
            <w:vAlign w:val="bottom"/>
          </w:tcPr>
          <w:p w14:paraId="59D2EECB" w14:textId="40B6D551" w:rsidR="00980409" w:rsidRPr="00A53232" w:rsidRDefault="00980409" w:rsidP="00980409">
            <w:pPr>
              <w:jc w:val="right"/>
              <w:rPr>
                <w:b/>
                <w:color w:val="000000"/>
                <w:sz w:val="11"/>
                <w:szCs w:val="11"/>
              </w:rPr>
            </w:pPr>
            <w:r w:rsidRPr="00A53232">
              <w:rPr>
                <w:b/>
                <w:color w:val="000000"/>
                <w:sz w:val="11"/>
                <w:szCs w:val="11"/>
              </w:rPr>
              <w:t xml:space="preserve">69,876 </w:t>
            </w:r>
          </w:p>
        </w:tc>
        <w:tc>
          <w:tcPr>
            <w:tcW w:w="642" w:type="dxa"/>
            <w:noWrap/>
            <w:tcMar>
              <w:top w:w="20" w:type="dxa"/>
              <w:left w:w="20" w:type="dxa"/>
              <w:bottom w:w="0" w:type="dxa"/>
              <w:right w:w="20" w:type="dxa"/>
            </w:tcMar>
            <w:vAlign w:val="bottom"/>
          </w:tcPr>
          <w:p w14:paraId="0C1FC27B" w14:textId="5CB57D53" w:rsidR="00980409" w:rsidRPr="00A53232" w:rsidRDefault="00980409" w:rsidP="00980409">
            <w:pPr>
              <w:ind w:left="-1554" w:right="22"/>
              <w:jc w:val="right"/>
              <w:rPr>
                <w:b/>
                <w:sz w:val="11"/>
                <w:szCs w:val="11"/>
              </w:rPr>
            </w:pPr>
            <w:r w:rsidRPr="00A53232">
              <w:rPr>
                <w:b/>
                <w:sz w:val="11"/>
                <w:szCs w:val="11"/>
              </w:rPr>
              <w:t>-</w:t>
            </w:r>
          </w:p>
        </w:tc>
        <w:tc>
          <w:tcPr>
            <w:tcW w:w="732" w:type="dxa"/>
            <w:vAlign w:val="bottom"/>
          </w:tcPr>
          <w:p w14:paraId="3974AF44" w14:textId="413F7215" w:rsidR="00980409" w:rsidRPr="00A53232" w:rsidRDefault="00980409" w:rsidP="00980409">
            <w:pPr>
              <w:ind w:left="-1554" w:right="22"/>
              <w:jc w:val="right"/>
              <w:rPr>
                <w:b/>
                <w:sz w:val="11"/>
                <w:szCs w:val="11"/>
              </w:rPr>
            </w:pPr>
            <w:r w:rsidRPr="00A53232">
              <w:rPr>
                <w:b/>
                <w:sz w:val="11"/>
                <w:szCs w:val="11"/>
              </w:rPr>
              <w:t>-</w:t>
            </w:r>
          </w:p>
        </w:tc>
        <w:tc>
          <w:tcPr>
            <w:tcW w:w="880" w:type="dxa"/>
            <w:vAlign w:val="bottom"/>
          </w:tcPr>
          <w:p w14:paraId="4C74A196" w14:textId="6CE8D31D" w:rsidR="00980409" w:rsidRPr="00A53232" w:rsidRDefault="00980409" w:rsidP="00980409">
            <w:pPr>
              <w:ind w:left="-1554" w:right="22"/>
              <w:jc w:val="right"/>
              <w:rPr>
                <w:b/>
                <w:sz w:val="11"/>
                <w:szCs w:val="11"/>
              </w:rPr>
            </w:pPr>
            <w:r w:rsidRPr="00A53232">
              <w:rPr>
                <w:b/>
                <w:sz w:val="11"/>
                <w:szCs w:val="11"/>
              </w:rPr>
              <w:t>-</w:t>
            </w:r>
          </w:p>
        </w:tc>
        <w:tc>
          <w:tcPr>
            <w:tcW w:w="722" w:type="dxa"/>
            <w:noWrap/>
            <w:tcMar>
              <w:top w:w="20" w:type="dxa"/>
              <w:left w:w="20" w:type="dxa"/>
              <w:bottom w:w="0" w:type="dxa"/>
              <w:right w:w="20" w:type="dxa"/>
            </w:tcMar>
            <w:vAlign w:val="bottom"/>
          </w:tcPr>
          <w:p w14:paraId="3167E830" w14:textId="52ED7784" w:rsidR="00980409" w:rsidRPr="00A53232" w:rsidRDefault="00980409" w:rsidP="00980409">
            <w:pPr>
              <w:ind w:left="-1554" w:right="22"/>
              <w:jc w:val="right"/>
              <w:rPr>
                <w:b/>
                <w:sz w:val="11"/>
                <w:szCs w:val="11"/>
              </w:rPr>
            </w:pPr>
            <w:r w:rsidRPr="00A53232">
              <w:rPr>
                <w:b/>
                <w:sz w:val="11"/>
                <w:szCs w:val="11"/>
              </w:rPr>
              <w:t>-</w:t>
            </w:r>
          </w:p>
        </w:tc>
        <w:tc>
          <w:tcPr>
            <w:tcW w:w="589" w:type="dxa"/>
            <w:noWrap/>
            <w:tcMar>
              <w:top w:w="20" w:type="dxa"/>
              <w:left w:w="20" w:type="dxa"/>
              <w:bottom w:w="0" w:type="dxa"/>
              <w:right w:w="20" w:type="dxa"/>
            </w:tcMar>
            <w:vAlign w:val="bottom"/>
          </w:tcPr>
          <w:p w14:paraId="7A43341A" w14:textId="04F9C0C2" w:rsidR="00980409" w:rsidRPr="00A53232" w:rsidRDefault="00980409" w:rsidP="00980409">
            <w:pPr>
              <w:ind w:left="-1554" w:right="22"/>
              <w:jc w:val="right"/>
              <w:rPr>
                <w:b/>
                <w:sz w:val="11"/>
                <w:szCs w:val="11"/>
              </w:rPr>
            </w:pPr>
            <w:r w:rsidRPr="00A53232">
              <w:rPr>
                <w:b/>
                <w:sz w:val="11"/>
                <w:szCs w:val="11"/>
              </w:rPr>
              <w:t>-</w:t>
            </w:r>
          </w:p>
        </w:tc>
        <w:tc>
          <w:tcPr>
            <w:tcW w:w="801" w:type="dxa"/>
            <w:noWrap/>
            <w:tcMar>
              <w:top w:w="20" w:type="dxa"/>
              <w:left w:w="20" w:type="dxa"/>
              <w:bottom w:w="0" w:type="dxa"/>
              <w:right w:w="20" w:type="dxa"/>
            </w:tcMar>
            <w:vAlign w:val="bottom"/>
          </w:tcPr>
          <w:p w14:paraId="7F32D243" w14:textId="36430106" w:rsidR="00980409" w:rsidRPr="00A53232" w:rsidRDefault="00980409" w:rsidP="00980409">
            <w:pPr>
              <w:ind w:left="-1554" w:right="22"/>
              <w:jc w:val="right"/>
              <w:rPr>
                <w:b/>
                <w:sz w:val="11"/>
                <w:szCs w:val="11"/>
              </w:rPr>
            </w:pPr>
            <w:r w:rsidRPr="00A53232">
              <w:rPr>
                <w:b/>
                <w:sz w:val="11"/>
                <w:szCs w:val="11"/>
              </w:rPr>
              <w:t>-</w:t>
            </w:r>
          </w:p>
        </w:tc>
        <w:tc>
          <w:tcPr>
            <w:tcW w:w="626" w:type="dxa"/>
            <w:vAlign w:val="bottom"/>
          </w:tcPr>
          <w:p w14:paraId="5BB94841" w14:textId="474D43DF" w:rsidR="00980409" w:rsidRPr="00A53232" w:rsidRDefault="00980409" w:rsidP="00980409">
            <w:pPr>
              <w:jc w:val="right"/>
              <w:rPr>
                <w:b/>
                <w:color w:val="000000"/>
                <w:sz w:val="11"/>
                <w:szCs w:val="11"/>
              </w:rPr>
            </w:pPr>
            <w:r w:rsidRPr="00A53232">
              <w:rPr>
                <w:b/>
                <w:color w:val="000000"/>
                <w:sz w:val="11"/>
                <w:szCs w:val="11"/>
              </w:rPr>
              <w:t xml:space="preserve">69,876 </w:t>
            </w:r>
          </w:p>
        </w:tc>
        <w:tc>
          <w:tcPr>
            <w:tcW w:w="728" w:type="dxa"/>
            <w:vAlign w:val="bottom"/>
          </w:tcPr>
          <w:p w14:paraId="6E15BF73" w14:textId="5E4B73D0" w:rsidR="00980409" w:rsidRPr="00A53232" w:rsidRDefault="00980409" w:rsidP="00980409">
            <w:pPr>
              <w:ind w:left="-1554" w:right="22"/>
              <w:jc w:val="right"/>
              <w:rPr>
                <w:b/>
                <w:sz w:val="11"/>
                <w:szCs w:val="11"/>
              </w:rPr>
            </w:pPr>
            <w:r w:rsidRPr="00A53232">
              <w:rPr>
                <w:b/>
                <w:sz w:val="11"/>
                <w:szCs w:val="11"/>
              </w:rPr>
              <w:t>(1)</w:t>
            </w:r>
          </w:p>
        </w:tc>
        <w:tc>
          <w:tcPr>
            <w:tcW w:w="756" w:type="dxa"/>
            <w:vAlign w:val="bottom"/>
          </w:tcPr>
          <w:p w14:paraId="535E96D0" w14:textId="0D07DC93" w:rsidR="00980409" w:rsidRPr="00A53232" w:rsidRDefault="00980409" w:rsidP="00980409">
            <w:pPr>
              <w:ind w:left="-1554" w:right="22"/>
              <w:jc w:val="right"/>
              <w:rPr>
                <w:b/>
                <w:sz w:val="11"/>
                <w:szCs w:val="11"/>
              </w:rPr>
            </w:pPr>
            <w:r w:rsidRPr="00A53232">
              <w:rPr>
                <w:b/>
                <w:sz w:val="11"/>
                <w:szCs w:val="11"/>
              </w:rPr>
              <w:t>69,875</w:t>
            </w:r>
          </w:p>
        </w:tc>
      </w:tr>
      <w:tr w:rsidR="00980409" w:rsidRPr="007C0BA6" w14:paraId="57343B75" w14:textId="77777777" w:rsidTr="00677268">
        <w:trPr>
          <w:trHeight w:val="80"/>
        </w:trPr>
        <w:tc>
          <w:tcPr>
            <w:tcW w:w="362" w:type="dxa"/>
            <w:noWrap/>
            <w:tcMar>
              <w:top w:w="20" w:type="dxa"/>
              <w:left w:w="20" w:type="dxa"/>
              <w:bottom w:w="0" w:type="dxa"/>
              <w:right w:w="20" w:type="dxa"/>
            </w:tcMar>
          </w:tcPr>
          <w:p w14:paraId="36CE589C" w14:textId="77777777" w:rsidR="00980409" w:rsidRPr="007C0BA6" w:rsidRDefault="00980409" w:rsidP="00980409">
            <w:pPr>
              <w:spacing w:line="192" w:lineRule="auto"/>
              <w:ind w:right="-30"/>
              <w:rPr>
                <w:b/>
                <w:bCs/>
                <w:sz w:val="12"/>
                <w:szCs w:val="12"/>
              </w:rPr>
            </w:pPr>
            <w:r w:rsidRPr="007C0BA6">
              <w:rPr>
                <w:rFonts w:eastAsia="Arial Unicode MS"/>
                <w:b/>
                <w:bCs/>
                <w:sz w:val="12"/>
                <w:szCs w:val="12"/>
              </w:rPr>
              <w:t>XVIII.</w:t>
            </w:r>
          </w:p>
        </w:tc>
        <w:tc>
          <w:tcPr>
            <w:tcW w:w="2332" w:type="dxa"/>
            <w:noWrap/>
            <w:tcMar>
              <w:top w:w="20" w:type="dxa"/>
              <w:left w:w="20" w:type="dxa"/>
              <w:bottom w:w="0" w:type="dxa"/>
              <w:right w:w="20" w:type="dxa"/>
            </w:tcMar>
          </w:tcPr>
          <w:p w14:paraId="252A1C56" w14:textId="77777777" w:rsidR="00980409" w:rsidRPr="007C0BA6" w:rsidRDefault="00980409" w:rsidP="00980409">
            <w:pPr>
              <w:spacing w:line="192" w:lineRule="auto"/>
              <w:rPr>
                <w:b/>
                <w:sz w:val="12"/>
                <w:szCs w:val="12"/>
              </w:rPr>
            </w:pPr>
            <w:r w:rsidRPr="007C0BA6">
              <w:rPr>
                <w:b/>
                <w:sz w:val="12"/>
                <w:szCs w:val="12"/>
              </w:rPr>
              <w:t>Profit Distribution</w:t>
            </w:r>
          </w:p>
        </w:tc>
        <w:tc>
          <w:tcPr>
            <w:tcW w:w="473" w:type="dxa"/>
          </w:tcPr>
          <w:p w14:paraId="5B8DC38A"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68937D17" w14:textId="4E35F26C" w:rsidR="00980409" w:rsidRPr="00A53232" w:rsidRDefault="00980409" w:rsidP="00980409">
            <w:pPr>
              <w:ind w:left="-1554" w:right="22"/>
              <w:jc w:val="right"/>
              <w:rPr>
                <w:b/>
                <w:sz w:val="11"/>
                <w:szCs w:val="11"/>
              </w:rPr>
            </w:pPr>
            <w:r w:rsidRPr="00A53232">
              <w:rPr>
                <w:b/>
                <w:sz w:val="11"/>
                <w:szCs w:val="11"/>
              </w:rPr>
              <w:t>-</w:t>
            </w:r>
          </w:p>
        </w:tc>
        <w:tc>
          <w:tcPr>
            <w:tcW w:w="669" w:type="dxa"/>
            <w:vAlign w:val="bottom"/>
          </w:tcPr>
          <w:p w14:paraId="7D32D423" w14:textId="0F7DEB74"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22013B6D" w14:textId="6286B7D1" w:rsidR="00980409" w:rsidRPr="00A53232" w:rsidRDefault="00980409" w:rsidP="00980409">
            <w:pPr>
              <w:ind w:left="-1554" w:right="22"/>
              <w:jc w:val="right"/>
              <w:rPr>
                <w:b/>
                <w:sz w:val="11"/>
                <w:szCs w:val="11"/>
              </w:rPr>
            </w:pPr>
            <w:r w:rsidRPr="00A53232">
              <w:rPr>
                <w:b/>
                <w:sz w:val="11"/>
                <w:szCs w:val="11"/>
              </w:rPr>
              <w:t>-</w:t>
            </w:r>
          </w:p>
        </w:tc>
        <w:tc>
          <w:tcPr>
            <w:tcW w:w="707" w:type="dxa"/>
            <w:noWrap/>
            <w:tcMar>
              <w:top w:w="20" w:type="dxa"/>
              <w:left w:w="20" w:type="dxa"/>
              <w:bottom w:w="0" w:type="dxa"/>
              <w:right w:w="20" w:type="dxa"/>
            </w:tcMar>
            <w:vAlign w:val="bottom"/>
          </w:tcPr>
          <w:p w14:paraId="2451900D" w14:textId="662D1432" w:rsidR="00980409" w:rsidRPr="00A53232" w:rsidRDefault="00980409" w:rsidP="00980409">
            <w:pPr>
              <w:ind w:left="-1554" w:right="22"/>
              <w:jc w:val="right"/>
              <w:rPr>
                <w:b/>
                <w:sz w:val="11"/>
                <w:szCs w:val="11"/>
              </w:rPr>
            </w:pPr>
            <w:r w:rsidRPr="00A53232">
              <w:rPr>
                <w:b/>
                <w:sz w:val="11"/>
                <w:szCs w:val="11"/>
              </w:rPr>
              <w:t>-</w:t>
            </w:r>
          </w:p>
        </w:tc>
        <w:tc>
          <w:tcPr>
            <w:tcW w:w="602" w:type="dxa"/>
            <w:noWrap/>
            <w:tcMar>
              <w:top w:w="20" w:type="dxa"/>
              <w:left w:w="20" w:type="dxa"/>
              <w:bottom w:w="0" w:type="dxa"/>
              <w:right w:w="20" w:type="dxa"/>
            </w:tcMar>
            <w:vAlign w:val="bottom"/>
          </w:tcPr>
          <w:p w14:paraId="68101930" w14:textId="66C30057" w:rsidR="00980409" w:rsidRPr="00A53232" w:rsidRDefault="00980409" w:rsidP="00980409">
            <w:pPr>
              <w:ind w:left="-1554" w:right="22"/>
              <w:jc w:val="right"/>
              <w:rPr>
                <w:b/>
                <w:sz w:val="11"/>
                <w:szCs w:val="11"/>
              </w:rPr>
            </w:pPr>
            <w:r w:rsidRPr="00A53232">
              <w:rPr>
                <w:b/>
                <w:sz w:val="11"/>
                <w:szCs w:val="11"/>
              </w:rPr>
              <w:t>6,647</w:t>
            </w:r>
          </w:p>
        </w:tc>
        <w:tc>
          <w:tcPr>
            <w:tcW w:w="536" w:type="dxa"/>
            <w:noWrap/>
            <w:tcMar>
              <w:top w:w="20" w:type="dxa"/>
              <w:left w:w="20" w:type="dxa"/>
              <w:bottom w:w="0" w:type="dxa"/>
              <w:right w:w="20" w:type="dxa"/>
            </w:tcMar>
            <w:vAlign w:val="bottom"/>
          </w:tcPr>
          <w:p w14:paraId="4CA337CE" w14:textId="73468795" w:rsidR="00980409" w:rsidRPr="00A53232" w:rsidRDefault="00980409" w:rsidP="00980409">
            <w:pPr>
              <w:ind w:left="-1554" w:right="22"/>
              <w:jc w:val="right"/>
              <w:rPr>
                <w:b/>
                <w:sz w:val="11"/>
                <w:szCs w:val="11"/>
              </w:rPr>
            </w:pPr>
            <w:r w:rsidRPr="00A53232">
              <w:rPr>
                <w:b/>
                <w:sz w:val="11"/>
                <w:szCs w:val="11"/>
              </w:rPr>
              <w:t>-</w:t>
            </w:r>
          </w:p>
        </w:tc>
        <w:tc>
          <w:tcPr>
            <w:tcW w:w="821" w:type="dxa"/>
            <w:noWrap/>
            <w:tcMar>
              <w:top w:w="20" w:type="dxa"/>
              <w:left w:w="20" w:type="dxa"/>
              <w:bottom w:w="0" w:type="dxa"/>
              <w:right w:w="20" w:type="dxa"/>
            </w:tcMar>
            <w:vAlign w:val="bottom"/>
          </w:tcPr>
          <w:p w14:paraId="2CA0ACDC" w14:textId="7E67402E" w:rsidR="00980409" w:rsidRPr="00A53232" w:rsidRDefault="00980409" w:rsidP="00980409">
            <w:pPr>
              <w:ind w:left="-1554" w:right="22"/>
              <w:jc w:val="right"/>
              <w:rPr>
                <w:b/>
                <w:sz w:val="11"/>
                <w:szCs w:val="11"/>
              </w:rPr>
            </w:pPr>
            <w:r w:rsidRPr="00A53232">
              <w:rPr>
                <w:b/>
                <w:sz w:val="11"/>
                <w:szCs w:val="11"/>
              </w:rPr>
              <w:t>122,197</w:t>
            </w:r>
          </w:p>
        </w:tc>
        <w:tc>
          <w:tcPr>
            <w:tcW w:w="648" w:type="dxa"/>
            <w:noWrap/>
            <w:tcMar>
              <w:top w:w="20" w:type="dxa"/>
              <w:left w:w="20" w:type="dxa"/>
              <w:bottom w:w="0" w:type="dxa"/>
              <w:right w:w="20" w:type="dxa"/>
            </w:tcMar>
            <w:vAlign w:val="bottom"/>
          </w:tcPr>
          <w:p w14:paraId="2B14314A" w14:textId="1DAD011A" w:rsidR="00980409" w:rsidRPr="00A53232" w:rsidRDefault="00980409" w:rsidP="00980409">
            <w:pPr>
              <w:ind w:left="-1554" w:right="22"/>
              <w:jc w:val="right"/>
              <w:rPr>
                <w:b/>
                <w:sz w:val="11"/>
                <w:szCs w:val="11"/>
              </w:rPr>
            </w:pPr>
            <w:r w:rsidRPr="00A53232">
              <w:rPr>
                <w:b/>
                <w:sz w:val="11"/>
                <w:szCs w:val="11"/>
              </w:rPr>
              <w:t>-</w:t>
            </w:r>
          </w:p>
        </w:tc>
        <w:tc>
          <w:tcPr>
            <w:tcW w:w="617" w:type="dxa"/>
            <w:noWrap/>
            <w:tcMar>
              <w:top w:w="20" w:type="dxa"/>
              <w:left w:w="20" w:type="dxa"/>
              <w:bottom w:w="0" w:type="dxa"/>
              <w:right w:w="20" w:type="dxa"/>
            </w:tcMar>
            <w:vAlign w:val="bottom"/>
          </w:tcPr>
          <w:p w14:paraId="40B3B4A8" w14:textId="30BE1DD7" w:rsidR="00980409" w:rsidRPr="00A53232" w:rsidRDefault="00980409" w:rsidP="00980409">
            <w:pPr>
              <w:ind w:left="-1554" w:right="22"/>
              <w:jc w:val="right"/>
              <w:rPr>
                <w:b/>
                <w:sz w:val="11"/>
                <w:szCs w:val="11"/>
              </w:rPr>
            </w:pPr>
            <w:r w:rsidRPr="00A53232">
              <w:rPr>
                <w:b/>
                <w:sz w:val="11"/>
                <w:szCs w:val="11"/>
              </w:rPr>
              <w:t>(136,591)</w:t>
            </w:r>
          </w:p>
        </w:tc>
        <w:tc>
          <w:tcPr>
            <w:tcW w:w="642" w:type="dxa"/>
            <w:noWrap/>
            <w:tcMar>
              <w:top w:w="20" w:type="dxa"/>
              <w:left w:w="20" w:type="dxa"/>
              <w:bottom w:w="0" w:type="dxa"/>
              <w:right w:w="20" w:type="dxa"/>
            </w:tcMar>
            <w:vAlign w:val="bottom"/>
          </w:tcPr>
          <w:p w14:paraId="49266387" w14:textId="6EAFE87D" w:rsidR="00980409" w:rsidRPr="00A53232" w:rsidRDefault="00980409" w:rsidP="00980409">
            <w:pPr>
              <w:ind w:left="-1554" w:right="22"/>
              <w:jc w:val="right"/>
              <w:rPr>
                <w:b/>
                <w:sz w:val="11"/>
                <w:szCs w:val="11"/>
              </w:rPr>
            </w:pPr>
            <w:r w:rsidRPr="00A53232">
              <w:rPr>
                <w:b/>
                <w:sz w:val="11"/>
                <w:szCs w:val="11"/>
              </w:rPr>
              <w:t>7,747</w:t>
            </w:r>
          </w:p>
        </w:tc>
        <w:tc>
          <w:tcPr>
            <w:tcW w:w="732" w:type="dxa"/>
            <w:vAlign w:val="bottom"/>
          </w:tcPr>
          <w:p w14:paraId="60C50B5B" w14:textId="08542110" w:rsidR="00980409" w:rsidRPr="00A53232" w:rsidRDefault="00980409" w:rsidP="00980409">
            <w:pPr>
              <w:ind w:left="-1554" w:right="22"/>
              <w:jc w:val="right"/>
              <w:rPr>
                <w:b/>
                <w:sz w:val="11"/>
                <w:szCs w:val="11"/>
              </w:rPr>
            </w:pPr>
            <w:r w:rsidRPr="00A53232">
              <w:rPr>
                <w:b/>
                <w:sz w:val="11"/>
                <w:szCs w:val="11"/>
              </w:rPr>
              <w:t>-</w:t>
            </w:r>
          </w:p>
        </w:tc>
        <w:tc>
          <w:tcPr>
            <w:tcW w:w="880" w:type="dxa"/>
            <w:vAlign w:val="bottom"/>
          </w:tcPr>
          <w:p w14:paraId="02518FAF" w14:textId="70A3FE59" w:rsidR="00980409" w:rsidRPr="00A53232" w:rsidRDefault="00980409" w:rsidP="00980409">
            <w:pPr>
              <w:ind w:left="-1554" w:right="22"/>
              <w:jc w:val="right"/>
              <w:rPr>
                <w:b/>
                <w:sz w:val="11"/>
                <w:szCs w:val="11"/>
              </w:rPr>
            </w:pPr>
            <w:r w:rsidRPr="00A53232">
              <w:rPr>
                <w:b/>
                <w:sz w:val="11"/>
                <w:szCs w:val="11"/>
              </w:rPr>
              <w:t>-</w:t>
            </w:r>
          </w:p>
        </w:tc>
        <w:tc>
          <w:tcPr>
            <w:tcW w:w="722" w:type="dxa"/>
            <w:noWrap/>
            <w:tcMar>
              <w:top w:w="20" w:type="dxa"/>
              <w:left w:w="20" w:type="dxa"/>
              <w:bottom w:w="0" w:type="dxa"/>
              <w:right w:w="20" w:type="dxa"/>
            </w:tcMar>
            <w:vAlign w:val="bottom"/>
          </w:tcPr>
          <w:p w14:paraId="0E01D616" w14:textId="6054D5CF" w:rsidR="00980409" w:rsidRPr="00A53232" w:rsidRDefault="00980409" w:rsidP="00980409">
            <w:pPr>
              <w:ind w:left="-1554" w:right="22"/>
              <w:jc w:val="right"/>
              <w:rPr>
                <w:b/>
                <w:sz w:val="11"/>
                <w:szCs w:val="11"/>
              </w:rPr>
            </w:pPr>
            <w:r w:rsidRPr="00A53232">
              <w:rPr>
                <w:b/>
                <w:sz w:val="11"/>
                <w:szCs w:val="11"/>
              </w:rPr>
              <w:t>-</w:t>
            </w:r>
          </w:p>
        </w:tc>
        <w:tc>
          <w:tcPr>
            <w:tcW w:w="589" w:type="dxa"/>
            <w:noWrap/>
            <w:tcMar>
              <w:top w:w="20" w:type="dxa"/>
              <w:left w:w="20" w:type="dxa"/>
              <w:bottom w:w="0" w:type="dxa"/>
              <w:right w:w="20" w:type="dxa"/>
            </w:tcMar>
            <w:vAlign w:val="bottom"/>
          </w:tcPr>
          <w:p w14:paraId="777ED598" w14:textId="3002429F" w:rsidR="00980409" w:rsidRPr="00A53232" w:rsidRDefault="00980409" w:rsidP="00980409">
            <w:pPr>
              <w:ind w:left="-1554" w:right="22"/>
              <w:jc w:val="right"/>
              <w:rPr>
                <w:b/>
                <w:sz w:val="11"/>
                <w:szCs w:val="11"/>
              </w:rPr>
            </w:pPr>
            <w:r w:rsidRPr="00A53232">
              <w:rPr>
                <w:b/>
                <w:sz w:val="11"/>
                <w:szCs w:val="11"/>
              </w:rPr>
              <w:t>-</w:t>
            </w:r>
          </w:p>
        </w:tc>
        <w:tc>
          <w:tcPr>
            <w:tcW w:w="801" w:type="dxa"/>
            <w:noWrap/>
            <w:tcMar>
              <w:top w:w="20" w:type="dxa"/>
              <w:left w:w="20" w:type="dxa"/>
              <w:bottom w:w="0" w:type="dxa"/>
              <w:right w:w="20" w:type="dxa"/>
            </w:tcMar>
            <w:vAlign w:val="bottom"/>
          </w:tcPr>
          <w:p w14:paraId="57D523A0" w14:textId="7F1864FE" w:rsidR="00980409" w:rsidRPr="00A53232" w:rsidRDefault="00980409" w:rsidP="00980409">
            <w:pPr>
              <w:ind w:left="-1554" w:right="22"/>
              <w:jc w:val="right"/>
              <w:rPr>
                <w:b/>
                <w:sz w:val="11"/>
                <w:szCs w:val="11"/>
              </w:rPr>
            </w:pPr>
            <w:r w:rsidRPr="00A53232">
              <w:rPr>
                <w:b/>
                <w:sz w:val="11"/>
                <w:szCs w:val="11"/>
              </w:rPr>
              <w:t>-</w:t>
            </w:r>
          </w:p>
        </w:tc>
        <w:tc>
          <w:tcPr>
            <w:tcW w:w="626" w:type="dxa"/>
            <w:vAlign w:val="bottom"/>
          </w:tcPr>
          <w:p w14:paraId="26C49143" w14:textId="761DEF7C" w:rsidR="00980409" w:rsidRPr="00A53232" w:rsidRDefault="00980409" w:rsidP="00980409">
            <w:pPr>
              <w:ind w:left="-1554" w:right="22"/>
              <w:jc w:val="right"/>
              <w:rPr>
                <w:b/>
                <w:sz w:val="11"/>
                <w:szCs w:val="11"/>
              </w:rPr>
            </w:pPr>
            <w:r w:rsidRPr="00A53232">
              <w:rPr>
                <w:b/>
                <w:sz w:val="11"/>
                <w:szCs w:val="11"/>
              </w:rPr>
              <w:t>-</w:t>
            </w:r>
          </w:p>
        </w:tc>
        <w:tc>
          <w:tcPr>
            <w:tcW w:w="728" w:type="dxa"/>
            <w:vAlign w:val="bottom"/>
          </w:tcPr>
          <w:p w14:paraId="5E056C8A" w14:textId="4C8A5D9E" w:rsidR="00980409" w:rsidRPr="00A53232" w:rsidRDefault="00980409" w:rsidP="00980409">
            <w:pPr>
              <w:ind w:left="-1554" w:right="22"/>
              <w:jc w:val="right"/>
              <w:rPr>
                <w:b/>
                <w:sz w:val="11"/>
                <w:szCs w:val="11"/>
              </w:rPr>
            </w:pPr>
            <w:r w:rsidRPr="00A53232">
              <w:rPr>
                <w:b/>
                <w:sz w:val="11"/>
                <w:szCs w:val="11"/>
              </w:rPr>
              <w:t>-</w:t>
            </w:r>
          </w:p>
        </w:tc>
        <w:tc>
          <w:tcPr>
            <w:tcW w:w="756" w:type="dxa"/>
            <w:vAlign w:val="bottom"/>
          </w:tcPr>
          <w:p w14:paraId="1121C2A0" w14:textId="046394D6" w:rsidR="00980409" w:rsidRPr="00A53232" w:rsidRDefault="00980409" w:rsidP="00980409">
            <w:pPr>
              <w:ind w:left="-1554" w:right="22"/>
              <w:jc w:val="right"/>
              <w:rPr>
                <w:b/>
                <w:sz w:val="11"/>
                <w:szCs w:val="11"/>
              </w:rPr>
            </w:pPr>
            <w:r w:rsidRPr="00A53232">
              <w:rPr>
                <w:b/>
                <w:sz w:val="11"/>
                <w:szCs w:val="11"/>
              </w:rPr>
              <w:t>-</w:t>
            </w:r>
          </w:p>
        </w:tc>
      </w:tr>
      <w:tr w:rsidR="00980409" w:rsidRPr="007C0BA6" w14:paraId="059D53F1" w14:textId="77777777" w:rsidTr="00677268">
        <w:trPr>
          <w:trHeight w:val="80"/>
        </w:trPr>
        <w:tc>
          <w:tcPr>
            <w:tcW w:w="362" w:type="dxa"/>
            <w:noWrap/>
            <w:tcMar>
              <w:top w:w="20" w:type="dxa"/>
              <w:left w:w="20" w:type="dxa"/>
              <w:bottom w:w="0" w:type="dxa"/>
              <w:right w:w="20" w:type="dxa"/>
            </w:tcMar>
          </w:tcPr>
          <w:p w14:paraId="09D9CE59" w14:textId="77777777" w:rsidR="00980409" w:rsidRPr="007C0BA6" w:rsidRDefault="00980409" w:rsidP="00980409">
            <w:pPr>
              <w:spacing w:line="192" w:lineRule="auto"/>
              <w:ind w:right="-30"/>
              <w:rPr>
                <w:b/>
                <w:bCs/>
                <w:sz w:val="12"/>
                <w:szCs w:val="12"/>
              </w:rPr>
            </w:pPr>
            <w:r w:rsidRPr="007C0BA6">
              <w:rPr>
                <w:rFonts w:eastAsia="Arial Unicode MS"/>
                <w:bCs/>
                <w:sz w:val="12"/>
                <w:szCs w:val="12"/>
              </w:rPr>
              <w:t>18.1</w:t>
            </w:r>
          </w:p>
        </w:tc>
        <w:tc>
          <w:tcPr>
            <w:tcW w:w="2332" w:type="dxa"/>
            <w:noWrap/>
            <w:tcMar>
              <w:top w:w="20" w:type="dxa"/>
              <w:left w:w="20" w:type="dxa"/>
              <w:bottom w:w="0" w:type="dxa"/>
              <w:right w:w="20" w:type="dxa"/>
            </w:tcMar>
          </w:tcPr>
          <w:p w14:paraId="03CDF3D1" w14:textId="77777777" w:rsidR="00980409" w:rsidRPr="007C0BA6" w:rsidRDefault="00980409" w:rsidP="00980409">
            <w:pPr>
              <w:spacing w:line="192" w:lineRule="auto"/>
              <w:rPr>
                <w:b/>
                <w:sz w:val="12"/>
                <w:szCs w:val="12"/>
              </w:rPr>
            </w:pPr>
            <w:r w:rsidRPr="007C0BA6">
              <w:rPr>
                <w:sz w:val="12"/>
                <w:szCs w:val="12"/>
              </w:rPr>
              <w:t>Dividend Paid</w:t>
            </w:r>
          </w:p>
        </w:tc>
        <w:tc>
          <w:tcPr>
            <w:tcW w:w="473" w:type="dxa"/>
          </w:tcPr>
          <w:p w14:paraId="0F0F5758"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5A968A35" w14:textId="04A4DD04" w:rsidR="00980409" w:rsidRPr="00A53232" w:rsidRDefault="00980409" w:rsidP="00980409">
            <w:pPr>
              <w:ind w:left="-1554" w:right="22"/>
              <w:jc w:val="right"/>
              <w:rPr>
                <w:b/>
                <w:sz w:val="11"/>
                <w:szCs w:val="11"/>
              </w:rPr>
            </w:pPr>
            <w:r w:rsidRPr="00A53232">
              <w:rPr>
                <w:b/>
                <w:sz w:val="11"/>
                <w:szCs w:val="11"/>
              </w:rPr>
              <w:t>-</w:t>
            </w:r>
          </w:p>
        </w:tc>
        <w:tc>
          <w:tcPr>
            <w:tcW w:w="669" w:type="dxa"/>
            <w:vAlign w:val="bottom"/>
          </w:tcPr>
          <w:p w14:paraId="5C40F8C8" w14:textId="284F187B"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4394EF37" w14:textId="07F2608D" w:rsidR="00980409" w:rsidRPr="00A53232" w:rsidRDefault="00980409" w:rsidP="00980409">
            <w:pPr>
              <w:ind w:left="-1554" w:right="22"/>
              <w:jc w:val="right"/>
              <w:rPr>
                <w:b/>
                <w:sz w:val="11"/>
                <w:szCs w:val="11"/>
              </w:rPr>
            </w:pPr>
            <w:r w:rsidRPr="00A53232">
              <w:rPr>
                <w:b/>
                <w:sz w:val="11"/>
                <w:szCs w:val="11"/>
              </w:rPr>
              <w:t>-</w:t>
            </w:r>
          </w:p>
        </w:tc>
        <w:tc>
          <w:tcPr>
            <w:tcW w:w="707" w:type="dxa"/>
            <w:noWrap/>
            <w:tcMar>
              <w:top w:w="20" w:type="dxa"/>
              <w:left w:w="20" w:type="dxa"/>
              <w:bottom w:w="0" w:type="dxa"/>
              <w:right w:w="20" w:type="dxa"/>
            </w:tcMar>
            <w:vAlign w:val="bottom"/>
          </w:tcPr>
          <w:p w14:paraId="43A9F3A9" w14:textId="4BF9F2F9" w:rsidR="00980409" w:rsidRPr="00A53232" w:rsidRDefault="00980409" w:rsidP="00980409">
            <w:pPr>
              <w:ind w:left="-1554" w:right="22"/>
              <w:jc w:val="right"/>
              <w:rPr>
                <w:b/>
                <w:sz w:val="11"/>
                <w:szCs w:val="11"/>
              </w:rPr>
            </w:pPr>
            <w:r w:rsidRPr="00A53232">
              <w:rPr>
                <w:b/>
                <w:sz w:val="11"/>
                <w:szCs w:val="11"/>
              </w:rPr>
              <w:t>-</w:t>
            </w:r>
          </w:p>
        </w:tc>
        <w:tc>
          <w:tcPr>
            <w:tcW w:w="602" w:type="dxa"/>
            <w:noWrap/>
            <w:tcMar>
              <w:top w:w="20" w:type="dxa"/>
              <w:left w:w="20" w:type="dxa"/>
              <w:bottom w:w="0" w:type="dxa"/>
              <w:right w:w="20" w:type="dxa"/>
            </w:tcMar>
            <w:vAlign w:val="bottom"/>
          </w:tcPr>
          <w:p w14:paraId="69F57CB3" w14:textId="2B25FCE7"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09BDC4DC" w14:textId="76EB3B67" w:rsidR="00980409" w:rsidRPr="00A53232" w:rsidRDefault="00980409" w:rsidP="00980409">
            <w:pPr>
              <w:ind w:left="-1554" w:right="22"/>
              <w:jc w:val="right"/>
              <w:rPr>
                <w:b/>
                <w:sz w:val="11"/>
                <w:szCs w:val="11"/>
              </w:rPr>
            </w:pPr>
            <w:r w:rsidRPr="00A53232">
              <w:rPr>
                <w:b/>
                <w:sz w:val="11"/>
                <w:szCs w:val="11"/>
              </w:rPr>
              <w:t>-</w:t>
            </w:r>
          </w:p>
        </w:tc>
        <w:tc>
          <w:tcPr>
            <w:tcW w:w="821" w:type="dxa"/>
            <w:noWrap/>
            <w:tcMar>
              <w:top w:w="20" w:type="dxa"/>
              <w:left w:w="20" w:type="dxa"/>
              <w:bottom w:w="0" w:type="dxa"/>
              <w:right w:w="20" w:type="dxa"/>
            </w:tcMar>
            <w:vAlign w:val="bottom"/>
          </w:tcPr>
          <w:p w14:paraId="5035D9A1" w14:textId="3C5E3E0F" w:rsidR="00980409" w:rsidRPr="00A53232" w:rsidRDefault="00980409" w:rsidP="00980409">
            <w:pPr>
              <w:ind w:left="-1554" w:right="22"/>
              <w:jc w:val="right"/>
              <w:rPr>
                <w:b/>
                <w:sz w:val="11"/>
                <w:szCs w:val="11"/>
              </w:rPr>
            </w:pPr>
            <w:r w:rsidRPr="00A53232">
              <w:rPr>
                <w:b/>
                <w:sz w:val="11"/>
                <w:szCs w:val="11"/>
              </w:rPr>
              <w:t>-</w:t>
            </w:r>
          </w:p>
        </w:tc>
        <w:tc>
          <w:tcPr>
            <w:tcW w:w="648" w:type="dxa"/>
            <w:noWrap/>
            <w:tcMar>
              <w:top w:w="20" w:type="dxa"/>
              <w:left w:w="20" w:type="dxa"/>
              <w:bottom w:w="0" w:type="dxa"/>
              <w:right w:w="20" w:type="dxa"/>
            </w:tcMar>
            <w:vAlign w:val="bottom"/>
          </w:tcPr>
          <w:p w14:paraId="3CEAC7AF" w14:textId="690BCBAF" w:rsidR="00980409" w:rsidRPr="00A53232" w:rsidRDefault="00980409" w:rsidP="00980409">
            <w:pPr>
              <w:ind w:left="-1554" w:right="22"/>
              <w:jc w:val="right"/>
              <w:rPr>
                <w:b/>
                <w:sz w:val="11"/>
                <w:szCs w:val="11"/>
              </w:rPr>
            </w:pPr>
            <w:r w:rsidRPr="00A53232">
              <w:rPr>
                <w:b/>
                <w:sz w:val="11"/>
                <w:szCs w:val="11"/>
              </w:rPr>
              <w:t>-</w:t>
            </w:r>
          </w:p>
        </w:tc>
        <w:tc>
          <w:tcPr>
            <w:tcW w:w="617" w:type="dxa"/>
            <w:noWrap/>
            <w:tcMar>
              <w:top w:w="20" w:type="dxa"/>
              <w:left w:w="20" w:type="dxa"/>
              <w:bottom w:w="0" w:type="dxa"/>
              <w:right w:w="20" w:type="dxa"/>
            </w:tcMar>
            <w:vAlign w:val="bottom"/>
          </w:tcPr>
          <w:p w14:paraId="15FB6862" w14:textId="69CED7D7" w:rsidR="00980409" w:rsidRPr="00A53232" w:rsidRDefault="00980409" w:rsidP="00980409">
            <w:pPr>
              <w:ind w:left="-1554" w:right="22"/>
              <w:jc w:val="right"/>
              <w:rPr>
                <w:b/>
                <w:sz w:val="11"/>
                <w:szCs w:val="11"/>
              </w:rPr>
            </w:pPr>
            <w:r w:rsidRPr="00A53232">
              <w:rPr>
                <w:b/>
                <w:sz w:val="11"/>
                <w:szCs w:val="11"/>
              </w:rPr>
              <w:t>-</w:t>
            </w:r>
          </w:p>
        </w:tc>
        <w:tc>
          <w:tcPr>
            <w:tcW w:w="642" w:type="dxa"/>
            <w:noWrap/>
            <w:tcMar>
              <w:top w:w="20" w:type="dxa"/>
              <w:left w:w="20" w:type="dxa"/>
              <w:bottom w:w="0" w:type="dxa"/>
              <w:right w:w="20" w:type="dxa"/>
            </w:tcMar>
            <w:vAlign w:val="bottom"/>
          </w:tcPr>
          <w:p w14:paraId="68E028FA" w14:textId="6062819B" w:rsidR="00980409" w:rsidRPr="00A53232" w:rsidRDefault="00980409" w:rsidP="00980409">
            <w:pPr>
              <w:ind w:left="-1554" w:right="22"/>
              <w:jc w:val="right"/>
              <w:rPr>
                <w:b/>
                <w:sz w:val="11"/>
                <w:szCs w:val="11"/>
              </w:rPr>
            </w:pPr>
            <w:r w:rsidRPr="00A53232">
              <w:rPr>
                <w:b/>
                <w:sz w:val="11"/>
                <w:szCs w:val="11"/>
              </w:rPr>
              <w:t>-</w:t>
            </w:r>
          </w:p>
        </w:tc>
        <w:tc>
          <w:tcPr>
            <w:tcW w:w="732" w:type="dxa"/>
            <w:vAlign w:val="bottom"/>
          </w:tcPr>
          <w:p w14:paraId="7A90F38E" w14:textId="7880678D" w:rsidR="00980409" w:rsidRPr="00A53232" w:rsidRDefault="00980409" w:rsidP="00980409">
            <w:pPr>
              <w:ind w:left="-1554" w:right="22"/>
              <w:jc w:val="right"/>
              <w:rPr>
                <w:b/>
                <w:sz w:val="11"/>
                <w:szCs w:val="11"/>
              </w:rPr>
            </w:pPr>
            <w:r w:rsidRPr="00A53232">
              <w:rPr>
                <w:b/>
                <w:sz w:val="11"/>
                <w:szCs w:val="11"/>
              </w:rPr>
              <w:t>-</w:t>
            </w:r>
          </w:p>
        </w:tc>
        <w:tc>
          <w:tcPr>
            <w:tcW w:w="880" w:type="dxa"/>
            <w:vAlign w:val="bottom"/>
          </w:tcPr>
          <w:p w14:paraId="25DC8EA4" w14:textId="46D53F7C" w:rsidR="00980409" w:rsidRPr="00A53232" w:rsidRDefault="00980409" w:rsidP="00980409">
            <w:pPr>
              <w:ind w:left="-1554" w:right="22"/>
              <w:jc w:val="right"/>
              <w:rPr>
                <w:b/>
                <w:sz w:val="11"/>
                <w:szCs w:val="11"/>
              </w:rPr>
            </w:pPr>
            <w:r w:rsidRPr="00A53232">
              <w:rPr>
                <w:b/>
                <w:sz w:val="11"/>
                <w:szCs w:val="11"/>
              </w:rPr>
              <w:t>-</w:t>
            </w:r>
          </w:p>
        </w:tc>
        <w:tc>
          <w:tcPr>
            <w:tcW w:w="722" w:type="dxa"/>
            <w:noWrap/>
            <w:tcMar>
              <w:top w:w="20" w:type="dxa"/>
              <w:left w:w="20" w:type="dxa"/>
              <w:bottom w:w="0" w:type="dxa"/>
              <w:right w:w="20" w:type="dxa"/>
            </w:tcMar>
            <w:vAlign w:val="bottom"/>
          </w:tcPr>
          <w:p w14:paraId="1958ED64" w14:textId="2BF0D962" w:rsidR="00980409" w:rsidRPr="00A53232" w:rsidRDefault="00980409" w:rsidP="00980409">
            <w:pPr>
              <w:ind w:left="-1554" w:right="22"/>
              <w:jc w:val="right"/>
              <w:rPr>
                <w:b/>
                <w:sz w:val="11"/>
                <w:szCs w:val="11"/>
              </w:rPr>
            </w:pPr>
            <w:r w:rsidRPr="00A53232">
              <w:rPr>
                <w:b/>
                <w:sz w:val="11"/>
                <w:szCs w:val="11"/>
              </w:rPr>
              <w:t>-</w:t>
            </w:r>
          </w:p>
        </w:tc>
        <w:tc>
          <w:tcPr>
            <w:tcW w:w="589" w:type="dxa"/>
            <w:noWrap/>
            <w:tcMar>
              <w:top w:w="20" w:type="dxa"/>
              <w:left w:w="20" w:type="dxa"/>
              <w:bottom w:w="0" w:type="dxa"/>
              <w:right w:w="20" w:type="dxa"/>
            </w:tcMar>
            <w:vAlign w:val="bottom"/>
          </w:tcPr>
          <w:p w14:paraId="0397D792" w14:textId="3EB609E6" w:rsidR="00980409" w:rsidRPr="00A53232" w:rsidRDefault="00980409" w:rsidP="00980409">
            <w:pPr>
              <w:ind w:left="-1554" w:right="22"/>
              <w:jc w:val="right"/>
              <w:rPr>
                <w:b/>
                <w:sz w:val="11"/>
                <w:szCs w:val="11"/>
              </w:rPr>
            </w:pPr>
            <w:r w:rsidRPr="00A53232">
              <w:rPr>
                <w:b/>
                <w:sz w:val="11"/>
                <w:szCs w:val="11"/>
              </w:rPr>
              <w:t>-</w:t>
            </w:r>
          </w:p>
        </w:tc>
        <w:tc>
          <w:tcPr>
            <w:tcW w:w="801" w:type="dxa"/>
            <w:noWrap/>
            <w:tcMar>
              <w:top w:w="20" w:type="dxa"/>
              <w:left w:w="20" w:type="dxa"/>
              <w:bottom w:w="0" w:type="dxa"/>
              <w:right w:w="20" w:type="dxa"/>
            </w:tcMar>
            <w:vAlign w:val="bottom"/>
          </w:tcPr>
          <w:p w14:paraId="73359F07" w14:textId="5B1524A7" w:rsidR="00980409" w:rsidRPr="00A53232" w:rsidRDefault="00980409" w:rsidP="00980409">
            <w:pPr>
              <w:ind w:left="-1554" w:right="22"/>
              <w:jc w:val="right"/>
              <w:rPr>
                <w:b/>
                <w:sz w:val="11"/>
                <w:szCs w:val="11"/>
              </w:rPr>
            </w:pPr>
            <w:r w:rsidRPr="00A53232">
              <w:rPr>
                <w:b/>
                <w:sz w:val="11"/>
                <w:szCs w:val="11"/>
              </w:rPr>
              <w:t>-</w:t>
            </w:r>
          </w:p>
        </w:tc>
        <w:tc>
          <w:tcPr>
            <w:tcW w:w="626" w:type="dxa"/>
            <w:vAlign w:val="bottom"/>
          </w:tcPr>
          <w:p w14:paraId="6B22C913" w14:textId="15C54912" w:rsidR="00980409" w:rsidRPr="00A53232" w:rsidRDefault="00980409" w:rsidP="00980409">
            <w:pPr>
              <w:ind w:left="-1554" w:right="22"/>
              <w:jc w:val="right"/>
              <w:rPr>
                <w:b/>
                <w:sz w:val="11"/>
                <w:szCs w:val="11"/>
              </w:rPr>
            </w:pPr>
            <w:r w:rsidRPr="00A53232">
              <w:rPr>
                <w:b/>
                <w:sz w:val="11"/>
                <w:szCs w:val="11"/>
              </w:rPr>
              <w:t>-</w:t>
            </w:r>
          </w:p>
        </w:tc>
        <w:tc>
          <w:tcPr>
            <w:tcW w:w="728" w:type="dxa"/>
            <w:vAlign w:val="bottom"/>
          </w:tcPr>
          <w:p w14:paraId="3088CFB8" w14:textId="6E051097" w:rsidR="00980409" w:rsidRPr="00A53232" w:rsidRDefault="00980409" w:rsidP="00980409">
            <w:pPr>
              <w:ind w:left="-1554" w:right="22"/>
              <w:jc w:val="right"/>
              <w:rPr>
                <w:b/>
                <w:sz w:val="11"/>
                <w:szCs w:val="11"/>
              </w:rPr>
            </w:pPr>
            <w:r w:rsidRPr="00A53232">
              <w:rPr>
                <w:b/>
                <w:sz w:val="11"/>
                <w:szCs w:val="11"/>
              </w:rPr>
              <w:t>-</w:t>
            </w:r>
          </w:p>
        </w:tc>
        <w:tc>
          <w:tcPr>
            <w:tcW w:w="756" w:type="dxa"/>
            <w:vAlign w:val="bottom"/>
          </w:tcPr>
          <w:p w14:paraId="0B959C64" w14:textId="4C01489D" w:rsidR="00980409" w:rsidRPr="00A53232" w:rsidRDefault="00980409" w:rsidP="00980409">
            <w:pPr>
              <w:ind w:left="-1554" w:right="22"/>
              <w:jc w:val="right"/>
              <w:rPr>
                <w:b/>
                <w:sz w:val="11"/>
                <w:szCs w:val="11"/>
              </w:rPr>
            </w:pPr>
            <w:r w:rsidRPr="00A53232">
              <w:rPr>
                <w:b/>
                <w:sz w:val="11"/>
                <w:szCs w:val="11"/>
              </w:rPr>
              <w:t>-</w:t>
            </w:r>
          </w:p>
        </w:tc>
      </w:tr>
      <w:tr w:rsidR="00980409" w:rsidRPr="007C0BA6" w14:paraId="4F8C39CA" w14:textId="77777777" w:rsidTr="00677268">
        <w:trPr>
          <w:trHeight w:val="80"/>
        </w:trPr>
        <w:tc>
          <w:tcPr>
            <w:tcW w:w="362" w:type="dxa"/>
            <w:noWrap/>
            <w:tcMar>
              <w:top w:w="20" w:type="dxa"/>
              <w:left w:w="20" w:type="dxa"/>
              <w:bottom w:w="0" w:type="dxa"/>
              <w:right w:w="20" w:type="dxa"/>
            </w:tcMar>
          </w:tcPr>
          <w:p w14:paraId="7FA9ED15" w14:textId="77777777" w:rsidR="00980409" w:rsidRPr="007C0BA6" w:rsidRDefault="00980409" w:rsidP="00980409">
            <w:pPr>
              <w:spacing w:line="192" w:lineRule="auto"/>
              <w:ind w:right="-30"/>
              <w:rPr>
                <w:rFonts w:eastAsia="Arial Unicode MS"/>
                <w:bCs/>
                <w:sz w:val="12"/>
                <w:szCs w:val="12"/>
              </w:rPr>
            </w:pPr>
            <w:r w:rsidRPr="007C0BA6">
              <w:rPr>
                <w:rFonts w:eastAsia="Arial Unicode MS"/>
                <w:bCs/>
                <w:sz w:val="12"/>
                <w:szCs w:val="12"/>
              </w:rPr>
              <w:t>18.2</w:t>
            </w:r>
          </w:p>
        </w:tc>
        <w:tc>
          <w:tcPr>
            <w:tcW w:w="2332" w:type="dxa"/>
            <w:noWrap/>
            <w:tcMar>
              <w:top w:w="20" w:type="dxa"/>
              <w:left w:w="20" w:type="dxa"/>
              <w:bottom w:w="0" w:type="dxa"/>
              <w:right w:w="20" w:type="dxa"/>
            </w:tcMar>
          </w:tcPr>
          <w:p w14:paraId="34F94919" w14:textId="77777777" w:rsidR="00980409" w:rsidRPr="007C0BA6" w:rsidRDefault="00980409" w:rsidP="00980409">
            <w:pPr>
              <w:spacing w:line="192" w:lineRule="auto"/>
              <w:rPr>
                <w:sz w:val="12"/>
                <w:szCs w:val="12"/>
              </w:rPr>
            </w:pPr>
            <w:r w:rsidRPr="007C0BA6">
              <w:rPr>
                <w:sz w:val="12"/>
                <w:szCs w:val="12"/>
              </w:rPr>
              <w:t>Transfers to Reserves</w:t>
            </w:r>
          </w:p>
        </w:tc>
        <w:tc>
          <w:tcPr>
            <w:tcW w:w="473" w:type="dxa"/>
          </w:tcPr>
          <w:p w14:paraId="5A761155"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7E83CE21" w14:textId="3721D047" w:rsidR="00980409" w:rsidRPr="00A53232" w:rsidRDefault="00980409" w:rsidP="00980409">
            <w:pPr>
              <w:ind w:left="-1554" w:right="22"/>
              <w:jc w:val="right"/>
              <w:rPr>
                <w:sz w:val="11"/>
                <w:szCs w:val="11"/>
              </w:rPr>
            </w:pPr>
            <w:r w:rsidRPr="00A53232">
              <w:rPr>
                <w:sz w:val="11"/>
                <w:szCs w:val="11"/>
              </w:rPr>
              <w:t>-</w:t>
            </w:r>
          </w:p>
        </w:tc>
        <w:tc>
          <w:tcPr>
            <w:tcW w:w="669" w:type="dxa"/>
            <w:vAlign w:val="bottom"/>
          </w:tcPr>
          <w:p w14:paraId="2187C98B" w14:textId="5DEAC1F2" w:rsidR="00980409" w:rsidRPr="00A53232" w:rsidRDefault="00980409" w:rsidP="00980409">
            <w:pPr>
              <w:ind w:left="-1554" w:right="22"/>
              <w:jc w:val="right"/>
              <w:rPr>
                <w:sz w:val="11"/>
                <w:szCs w:val="11"/>
              </w:rPr>
            </w:pPr>
            <w:r w:rsidRPr="00A53232">
              <w:rPr>
                <w:sz w:val="11"/>
                <w:szCs w:val="11"/>
              </w:rPr>
              <w:t>-</w:t>
            </w:r>
          </w:p>
        </w:tc>
        <w:tc>
          <w:tcPr>
            <w:tcW w:w="536" w:type="dxa"/>
            <w:noWrap/>
            <w:tcMar>
              <w:top w:w="20" w:type="dxa"/>
              <w:left w:w="20" w:type="dxa"/>
              <w:bottom w:w="0" w:type="dxa"/>
              <w:right w:w="20" w:type="dxa"/>
            </w:tcMar>
            <w:vAlign w:val="bottom"/>
          </w:tcPr>
          <w:p w14:paraId="714B8F38" w14:textId="56BE4603" w:rsidR="00980409" w:rsidRPr="00A53232" w:rsidRDefault="00980409" w:rsidP="00980409">
            <w:pPr>
              <w:ind w:left="-1554" w:right="22"/>
              <w:jc w:val="right"/>
              <w:rPr>
                <w:sz w:val="11"/>
                <w:szCs w:val="11"/>
              </w:rPr>
            </w:pPr>
            <w:r w:rsidRPr="00A53232">
              <w:rPr>
                <w:sz w:val="11"/>
                <w:szCs w:val="11"/>
              </w:rPr>
              <w:t>-</w:t>
            </w:r>
          </w:p>
        </w:tc>
        <w:tc>
          <w:tcPr>
            <w:tcW w:w="707" w:type="dxa"/>
            <w:noWrap/>
            <w:tcMar>
              <w:top w:w="20" w:type="dxa"/>
              <w:left w:w="20" w:type="dxa"/>
              <w:bottom w:w="0" w:type="dxa"/>
              <w:right w:w="20" w:type="dxa"/>
            </w:tcMar>
            <w:vAlign w:val="bottom"/>
          </w:tcPr>
          <w:p w14:paraId="7AC23A3F" w14:textId="390C5ADD" w:rsidR="00980409" w:rsidRPr="00A53232" w:rsidRDefault="00980409" w:rsidP="00980409">
            <w:pPr>
              <w:ind w:left="-1554" w:right="22"/>
              <w:jc w:val="right"/>
              <w:rPr>
                <w:sz w:val="11"/>
                <w:szCs w:val="11"/>
              </w:rPr>
            </w:pPr>
            <w:r w:rsidRPr="00A53232">
              <w:rPr>
                <w:sz w:val="11"/>
                <w:szCs w:val="11"/>
              </w:rPr>
              <w:t>-</w:t>
            </w:r>
          </w:p>
        </w:tc>
        <w:tc>
          <w:tcPr>
            <w:tcW w:w="602" w:type="dxa"/>
            <w:noWrap/>
            <w:tcMar>
              <w:top w:w="20" w:type="dxa"/>
              <w:left w:w="20" w:type="dxa"/>
              <w:bottom w:w="0" w:type="dxa"/>
              <w:right w:w="20" w:type="dxa"/>
            </w:tcMar>
            <w:vAlign w:val="bottom"/>
          </w:tcPr>
          <w:p w14:paraId="08417A1A" w14:textId="5C9F8076" w:rsidR="00980409" w:rsidRPr="00A53232" w:rsidRDefault="00980409" w:rsidP="00980409">
            <w:pPr>
              <w:ind w:left="-1554" w:right="22"/>
              <w:jc w:val="right"/>
              <w:rPr>
                <w:sz w:val="11"/>
                <w:szCs w:val="11"/>
              </w:rPr>
            </w:pPr>
            <w:r w:rsidRPr="00A53232">
              <w:rPr>
                <w:sz w:val="11"/>
                <w:szCs w:val="11"/>
              </w:rPr>
              <w:t>6,647</w:t>
            </w:r>
          </w:p>
        </w:tc>
        <w:tc>
          <w:tcPr>
            <w:tcW w:w="536" w:type="dxa"/>
            <w:noWrap/>
            <w:tcMar>
              <w:top w:w="20" w:type="dxa"/>
              <w:left w:w="20" w:type="dxa"/>
              <w:bottom w:w="0" w:type="dxa"/>
              <w:right w:w="20" w:type="dxa"/>
            </w:tcMar>
            <w:vAlign w:val="bottom"/>
          </w:tcPr>
          <w:p w14:paraId="52F5EA9F" w14:textId="77E8BC66" w:rsidR="00980409" w:rsidRPr="00A53232" w:rsidRDefault="00980409" w:rsidP="00980409">
            <w:pPr>
              <w:ind w:left="-1554" w:right="22"/>
              <w:jc w:val="right"/>
              <w:rPr>
                <w:sz w:val="11"/>
                <w:szCs w:val="11"/>
              </w:rPr>
            </w:pPr>
            <w:r w:rsidRPr="00A53232">
              <w:rPr>
                <w:sz w:val="11"/>
                <w:szCs w:val="11"/>
              </w:rPr>
              <w:t>-</w:t>
            </w:r>
          </w:p>
        </w:tc>
        <w:tc>
          <w:tcPr>
            <w:tcW w:w="821" w:type="dxa"/>
            <w:noWrap/>
            <w:tcMar>
              <w:top w:w="20" w:type="dxa"/>
              <w:left w:w="20" w:type="dxa"/>
              <w:bottom w:w="0" w:type="dxa"/>
              <w:right w:w="20" w:type="dxa"/>
            </w:tcMar>
            <w:vAlign w:val="bottom"/>
          </w:tcPr>
          <w:p w14:paraId="3F36B1ED" w14:textId="60A17A6A" w:rsidR="00980409" w:rsidRPr="00A53232" w:rsidRDefault="00980409" w:rsidP="00980409">
            <w:pPr>
              <w:ind w:left="-1554" w:right="22"/>
              <w:jc w:val="right"/>
              <w:rPr>
                <w:sz w:val="11"/>
                <w:szCs w:val="11"/>
              </w:rPr>
            </w:pPr>
            <w:r w:rsidRPr="00A53232">
              <w:rPr>
                <w:sz w:val="11"/>
                <w:szCs w:val="11"/>
              </w:rPr>
              <w:t>122,197</w:t>
            </w:r>
          </w:p>
        </w:tc>
        <w:tc>
          <w:tcPr>
            <w:tcW w:w="648" w:type="dxa"/>
            <w:noWrap/>
            <w:tcMar>
              <w:top w:w="20" w:type="dxa"/>
              <w:left w:w="20" w:type="dxa"/>
              <w:bottom w:w="0" w:type="dxa"/>
              <w:right w:w="20" w:type="dxa"/>
            </w:tcMar>
            <w:vAlign w:val="bottom"/>
          </w:tcPr>
          <w:p w14:paraId="3054949C" w14:textId="5901A7D1" w:rsidR="00980409" w:rsidRPr="00A53232" w:rsidRDefault="00980409" w:rsidP="00980409">
            <w:pPr>
              <w:ind w:left="-1554" w:right="22"/>
              <w:jc w:val="right"/>
              <w:rPr>
                <w:sz w:val="11"/>
                <w:szCs w:val="11"/>
              </w:rPr>
            </w:pPr>
            <w:r w:rsidRPr="00A53232">
              <w:rPr>
                <w:sz w:val="11"/>
                <w:szCs w:val="11"/>
              </w:rPr>
              <w:t>-</w:t>
            </w:r>
          </w:p>
        </w:tc>
        <w:tc>
          <w:tcPr>
            <w:tcW w:w="617" w:type="dxa"/>
            <w:noWrap/>
            <w:tcMar>
              <w:top w:w="20" w:type="dxa"/>
              <w:left w:w="20" w:type="dxa"/>
              <w:bottom w:w="0" w:type="dxa"/>
              <w:right w:w="20" w:type="dxa"/>
            </w:tcMar>
            <w:vAlign w:val="bottom"/>
          </w:tcPr>
          <w:p w14:paraId="37D5F166" w14:textId="3C0F504C" w:rsidR="00980409" w:rsidRPr="00A53232" w:rsidRDefault="00980409" w:rsidP="00980409">
            <w:pPr>
              <w:ind w:left="-1554" w:right="22"/>
              <w:jc w:val="right"/>
              <w:rPr>
                <w:sz w:val="11"/>
                <w:szCs w:val="11"/>
              </w:rPr>
            </w:pPr>
            <w:r w:rsidRPr="00A53232">
              <w:rPr>
                <w:sz w:val="11"/>
                <w:szCs w:val="11"/>
              </w:rPr>
              <w:t>(136,591)</w:t>
            </w:r>
          </w:p>
        </w:tc>
        <w:tc>
          <w:tcPr>
            <w:tcW w:w="642" w:type="dxa"/>
            <w:noWrap/>
            <w:tcMar>
              <w:top w:w="20" w:type="dxa"/>
              <w:left w:w="20" w:type="dxa"/>
              <w:bottom w:w="0" w:type="dxa"/>
              <w:right w:w="20" w:type="dxa"/>
            </w:tcMar>
            <w:vAlign w:val="bottom"/>
          </w:tcPr>
          <w:p w14:paraId="259AAFE5" w14:textId="330A1B33" w:rsidR="00980409" w:rsidRPr="00A53232" w:rsidRDefault="00980409" w:rsidP="00980409">
            <w:pPr>
              <w:ind w:left="-1554" w:right="22"/>
              <w:jc w:val="right"/>
              <w:rPr>
                <w:sz w:val="11"/>
                <w:szCs w:val="11"/>
              </w:rPr>
            </w:pPr>
            <w:r w:rsidRPr="00A53232">
              <w:rPr>
                <w:sz w:val="11"/>
                <w:szCs w:val="11"/>
              </w:rPr>
              <w:t>7,747</w:t>
            </w:r>
          </w:p>
        </w:tc>
        <w:tc>
          <w:tcPr>
            <w:tcW w:w="732" w:type="dxa"/>
            <w:vAlign w:val="bottom"/>
          </w:tcPr>
          <w:p w14:paraId="3A5AB5DD" w14:textId="2810D87D" w:rsidR="00980409" w:rsidRPr="00A53232" w:rsidRDefault="00980409" w:rsidP="00980409">
            <w:pPr>
              <w:ind w:left="-1554" w:right="22"/>
              <w:jc w:val="right"/>
              <w:rPr>
                <w:sz w:val="11"/>
                <w:szCs w:val="11"/>
              </w:rPr>
            </w:pPr>
            <w:r w:rsidRPr="00A53232">
              <w:rPr>
                <w:sz w:val="11"/>
                <w:szCs w:val="11"/>
              </w:rPr>
              <w:t>-</w:t>
            </w:r>
          </w:p>
        </w:tc>
        <w:tc>
          <w:tcPr>
            <w:tcW w:w="880" w:type="dxa"/>
            <w:vAlign w:val="bottom"/>
          </w:tcPr>
          <w:p w14:paraId="44FFB8AD" w14:textId="3056D955" w:rsidR="00980409" w:rsidRPr="00A53232" w:rsidRDefault="00980409" w:rsidP="00980409">
            <w:pPr>
              <w:ind w:left="-1554" w:right="22"/>
              <w:jc w:val="right"/>
              <w:rPr>
                <w:sz w:val="11"/>
                <w:szCs w:val="11"/>
              </w:rPr>
            </w:pPr>
            <w:r w:rsidRPr="00A53232">
              <w:rPr>
                <w:sz w:val="11"/>
                <w:szCs w:val="11"/>
              </w:rPr>
              <w:t>-</w:t>
            </w:r>
          </w:p>
        </w:tc>
        <w:tc>
          <w:tcPr>
            <w:tcW w:w="722" w:type="dxa"/>
            <w:noWrap/>
            <w:tcMar>
              <w:top w:w="20" w:type="dxa"/>
              <w:left w:w="20" w:type="dxa"/>
              <w:bottom w:w="0" w:type="dxa"/>
              <w:right w:w="20" w:type="dxa"/>
            </w:tcMar>
            <w:vAlign w:val="bottom"/>
          </w:tcPr>
          <w:p w14:paraId="215C9313" w14:textId="35D8C926" w:rsidR="00980409" w:rsidRPr="00A53232" w:rsidRDefault="00980409" w:rsidP="00980409">
            <w:pPr>
              <w:ind w:left="-1554" w:right="22"/>
              <w:jc w:val="right"/>
              <w:rPr>
                <w:sz w:val="11"/>
                <w:szCs w:val="11"/>
              </w:rPr>
            </w:pPr>
            <w:r w:rsidRPr="00A53232">
              <w:rPr>
                <w:sz w:val="11"/>
                <w:szCs w:val="11"/>
              </w:rPr>
              <w:t>-</w:t>
            </w:r>
          </w:p>
        </w:tc>
        <w:tc>
          <w:tcPr>
            <w:tcW w:w="589" w:type="dxa"/>
            <w:noWrap/>
            <w:tcMar>
              <w:top w:w="20" w:type="dxa"/>
              <w:left w:w="20" w:type="dxa"/>
              <w:bottom w:w="0" w:type="dxa"/>
              <w:right w:w="20" w:type="dxa"/>
            </w:tcMar>
            <w:vAlign w:val="bottom"/>
          </w:tcPr>
          <w:p w14:paraId="77830BA7" w14:textId="7D8BEB2F" w:rsidR="00980409" w:rsidRPr="00A53232" w:rsidRDefault="00980409" w:rsidP="00980409">
            <w:pPr>
              <w:ind w:left="-1554" w:right="22"/>
              <w:jc w:val="right"/>
              <w:rPr>
                <w:sz w:val="11"/>
                <w:szCs w:val="11"/>
              </w:rPr>
            </w:pPr>
            <w:r w:rsidRPr="00A53232">
              <w:rPr>
                <w:sz w:val="11"/>
                <w:szCs w:val="11"/>
              </w:rPr>
              <w:t>-</w:t>
            </w:r>
          </w:p>
        </w:tc>
        <w:tc>
          <w:tcPr>
            <w:tcW w:w="801" w:type="dxa"/>
            <w:noWrap/>
            <w:tcMar>
              <w:top w:w="20" w:type="dxa"/>
              <w:left w:w="20" w:type="dxa"/>
              <w:bottom w:w="0" w:type="dxa"/>
              <w:right w:w="20" w:type="dxa"/>
            </w:tcMar>
            <w:vAlign w:val="bottom"/>
          </w:tcPr>
          <w:p w14:paraId="7962F801" w14:textId="2158C094" w:rsidR="00980409" w:rsidRPr="00A53232" w:rsidRDefault="00980409" w:rsidP="00980409">
            <w:pPr>
              <w:ind w:left="-1554" w:right="22"/>
              <w:jc w:val="right"/>
              <w:rPr>
                <w:sz w:val="11"/>
                <w:szCs w:val="11"/>
              </w:rPr>
            </w:pPr>
            <w:r w:rsidRPr="00A53232">
              <w:rPr>
                <w:sz w:val="11"/>
                <w:szCs w:val="11"/>
              </w:rPr>
              <w:t>-</w:t>
            </w:r>
          </w:p>
        </w:tc>
        <w:tc>
          <w:tcPr>
            <w:tcW w:w="626" w:type="dxa"/>
            <w:vAlign w:val="bottom"/>
          </w:tcPr>
          <w:p w14:paraId="64D145C2" w14:textId="18741AC0" w:rsidR="00980409" w:rsidRPr="00A53232" w:rsidRDefault="00980409" w:rsidP="00980409">
            <w:pPr>
              <w:ind w:left="-1554" w:right="22"/>
              <w:jc w:val="right"/>
              <w:rPr>
                <w:sz w:val="11"/>
                <w:szCs w:val="11"/>
              </w:rPr>
            </w:pPr>
            <w:r w:rsidRPr="00A53232">
              <w:rPr>
                <w:sz w:val="11"/>
                <w:szCs w:val="11"/>
              </w:rPr>
              <w:t>-</w:t>
            </w:r>
          </w:p>
        </w:tc>
        <w:tc>
          <w:tcPr>
            <w:tcW w:w="728" w:type="dxa"/>
            <w:vAlign w:val="bottom"/>
          </w:tcPr>
          <w:p w14:paraId="4B6E0602" w14:textId="730F0F60" w:rsidR="00980409" w:rsidRPr="00A53232" w:rsidRDefault="00980409" w:rsidP="00980409">
            <w:pPr>
              <w:ind w:left="-1554" w:right="22"/>
              <w:jc w:val="right"/>
              <w:rPr>
                <w:sz w:val="11"/>
                <w:szCs w:val="11"/>
              </w:rPr>
            </w:pPr>
            <w:r w:rsidRPr="00A53232">
              <w:rPr>
                <w:sz w:val="11"/>
                <w:szCs w:val="11"/>
              </w:rPr>
              <w:t>-</w:t>
            </w:r>
          </w:p>
        </w:tc>
        <w:tc>
          <w:tcPr>
            <w:tcW w:w="756" w:type="dxa"/>
            <w:vAlign w:val="bottom"/>
          </w:tcPr>
          <w:p w14:paraId="56E94F18" w14:textId="2913A09A" w:rsidR="00980409" w:rsidRPr="00A53232" w:rsidRDefault="00980409" w:rsidP="00980409">
            <w:pPr>
              <w:ind w:left="-1554" w:right="22"/>
              <w:jc w:val="right"/>
              <w:rPr>
                <w:sz w:val="11"/>
                <w:szCs w:val="11"/>
              </w:rPr>
            </w:pPr>
            <w:r w:rsidRPr="00A53232">
              <w:rPr>
                <w:sz w:val="11"/>
                <w:szCs w:val="11"/>
              </w:rPr>
              <w:t>-</w:t>
            </w:r>
          </w:p>
        </w:tc>
      </w:tr>
      <w:tr w:rsidR="00980409" w:rsidRPr="007C0BA6" w14:paraId="4FE4535E" w14:textId="77777777" w:rsidTr="00677268">
        <w:trPr>
          <w:trHeight w:val="70"/>
        </w:trPr>
        <w:tc>
          <w:tcPr>
            <w:tcW w:w="362" w:type="dxa"/>
            <w:noWrap/>
            <w:tcMar>
              <w:top w:w="20" w:type="dxa"/>
              <w:left w:w="20" w:type="dxa"/>
              <w:bottom w:w="0" w:type="dxa"/>
              <w:right w:w="20" w:type="dxa"/>
            </w:tcMar>
          </w:tcPr>
          <w:p w14:paraId="5191CDB4" w14:textId="77777777" w:rsidR="00980409" w:rsidRPr="007C0BA6" w:rsidRDefault="00980409" w:rsidP="00980409">
            <w:pPr>
              <w:spacing w:line="192" w:lineRule="auto"/>
              <w:ind w:right="-30"/>
              <w:rPr>
                <w:sz w:val="12"/>
                <w:szCs w:val="12"/>
              </w:rPr>
            </w:pPr>
            <w:r w:rsidRPr="007C0BA6">
              <w:rPr>
                <w:rFonts w:eastAsia="Arial Unicode MS"/>
                <w:bCs/>
                <w:sz w:val="12"/>
                <w:szCs w:val="12"/>
              </w:rPr>
              <w:t>18.3</w:t>
            </w:r>
          </w:p>
        </w:tc>
        <w:tc>
          <w:tcPr>
            <w:tcW w:w="2332" w:type="dxa"/>
            <w:noWrap/>
            <w:tcMar>
              <w:top w:w="20" w:type="dxa"/>
              <w:left w:w="20" w:type="dxa"/>
              <w:bottom w:w="0" w:type="dxa"/>
              <w:right w:w="20" w:type="dxa"/>
            </w:tcMar>
          </w:tcPr>
          <w:p w14:paraId="618D4BA1" w14:textId="77777777" w:rsidR="00980409" w:rsidRPr="007C0BA6" w:rsidRDefault="00980409" w:rsidP="00980409">
            <w:pPr>
              <w:spacing w:line="192" w:lineRule="auto"/>
              <w:rPr>
                <w:sz w:val="12"/>
                <w:szCs w:val="12"/>
              </w:rPr>
            </w:pPr>
            <w:r w:rsidRPr="007C0BA6">
              <w:rPr>
                <w:rFonts w:eastAsia="Arial Unicode MS"/>
                <w:sz w:val="12"/>
                <w:szCs w:val="12"/>
              </w:rPr>
              <w:t xml:space="preserve">Other </w:t>
            </w:r>
          </w:p>
        </w:tc>
        <w:tc>
          <w:tcPr>
            <w:tcW w:w="473" w:type="dxa"/>
          </w:tcPr>
          <w:p w14:paraId="049B4625" w14:textId="77777777" w:rsidR="00980409" w:rsidRPr="007C0BA6" w:rsidRDefault="00980409" w:rsidP="00980409">
            <w:pPr>
              <w:autoSpaceDE w:val="0"/>
              <w:autoSpaceDN w:val="0"/>
              <w:adjustRightInd w:val="0"/>
              <w:rPr>
                <w:sz w:val="12"/>
                <w:szCs w:val="12"/>
              </w:rPr>
            </w:pPr>
          </w:p>
        </w:tc>
        <w:tc>
          <w:tcPr>
            <w:tcW w:w="525" w:type="dxa"/>
            <w:noWrap/>
            <w:tcMar>
              <w:top w:w="20" w:type="dxa"/>
              <w:left w:w="20" w:type="dxa"/>
              <w:bottom w:w="0" w:type="dxa"/>
              <w:right w:w="20" w:type="dxa"/>
            </w:tcMar>
            <w:vAlign w:val="bottom"/>
          </w:tcPr>
          <w:p w14:paraId="53DEA712" w14:textId="68A9D84E" w:rsidR="00980409" w:rsidRPr="00A53232" w:rsidRDefault="00980409" w:rsidP="00980409">
            <w:pPr>
              <w:ind w:left="-1554" w:right="22"/>
              <w:jc w:val="right"/>
              <w:rPr>
                <w:b/>
                <w:sz w:val="11"/>
                <w:szCs w:val="11"/>
              </w:rPr>
            </w:pPr>
            <w:r w:rsidRPr="00A53232">
              <w:rPr>
                <w:b/>
                <w:sz w:val="11"/>
                <w:szCs w:val="11"/>
              </w:rPr>
              <w:t>-</w:t>
            </w:r>
          </w:p>
        </w:tc>
        <w:tc>
          <w:tcPr>
            <w:tcW w:w="669" w:type="dxa"/>
            <w:vAlign w:val="bottom"/>
          </w:tcPr>
          <w:p w14:paraId="1FBC4F22" w14:textId="520A017C"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16348CEB" w14:textId="2AF01BDD" w:rsidR="00980409" w:rsidRPr="00A53232" w:rsidRDefault="00980409" w:rsidP="00980409">
            <w:pPr>
              <w:ind w:left="-1554" w:right="22"/>
              <w:jc w:val="right"/>
              <w:rPr>
                <w:b/>
                <w:sz w:val="11"/>
                <w:szCs w:val="11"/>
              </w:rPr>
            </w:pPr>
            <w:r w:rsidRPr="00A53232">
              <w:rPr>
                <w:b/>
                <w:sz w:val="11"/>
                <w:szCs w:val="11"/>
              </w:rPr>
              <w:t>-</w:t>
            </w:r>
          </w:p>
        </w:tc>
        <w:tc>
          <w:tcPr>
            <w:tcW w:w="707" w:type="dxa"/>
            <w:noWrap/>
            <w:tcMar>
              <w:top w:w="20" w:type="dxa"/>
              <w:left w:w="20" w:type="dxa"/>
              <w:bottom w:w="0" w:type="dxa"/>
              <w:right w:w="20" w:type="dxa"/>
            </w:tcMar>
            <w:vAlign w:val="bottom"/>
          </w:tcPr>
          <w:p w14:paraId="790EC45F" w14:textId="6A96447D" w:rsidR="00980409" w:rsidRPr="00A53232" w:rsidRDefault="00980409" w:rsidP="00980409">
            <w:pPr>
              <w:ind w:left="-1554" w:right="22"/>
              <w:jc w:val="right"/>
              <w:rPr>
                <w:b/>
                <w:sz w:val="11"/>
                <w:szCs w:val="11"/>
              </w:rPr>
            </w:pPr>
            <w:r w:rsidRPr="00A53232">
              <w:rPr>
                <w:b/>
                <w:sz w:val="11"/>
                <w:szCs w:val="11"/>
              </w:rPr>
              <w:t>-</w:t>
            </w:r>
          </w:p>
        </w:tc>
        <w:tc>
          <w:tcPr>
            <w:tcW w:w="602" w:type="dxa"/>
            <w:noWrap/>
            <w:tcMar>
              <w:top w:w="20" w:type="dxa"/>
              <w:left w:w="20" w:type="dxa"/>
              <w:bottom w:w="0" w:type="dxa"/>
              <w:right w:w="20" w:type="dxa"/>
            </w:tcMar>
            <w:vAlign w:val="bottom"/>
          </w:tcPr>
          <w:p w14:paraId="469068C6" w14:textId="0432D307" w:rsidR="00980409" w:rsidRPr="00A53232" w:rsidRDefault="00980409" w:rsidP="00980409">
            <w:pPr>
              <w:ind w:left="-1554" w:right="22"/>
              <w:jc w:val="right"/>
              <w:rPr>
                <w:b/>
                <w:sz w:val="11"/>
                <w:szCs w:val="11"/>
              </w:rPr>
            </w:pPr>
            <w:r w:rsidRPr="00A53232">
              <w:rPr>
                <w:b/>
                <w:sz w:val="11"/>
                <w:szCs w:val="11"/>
              </w:rPr>
              <w:t>-</w:t>
            </w:r>
          </w:p>
        </w:tc>
        <w:tc>
          <w:tcPr>
            <w:tcW w:w="536" w:type="dxa"/>
            <w:noWrap/>
            <w:tcMar>
              <w:top w:w="20" w:type="dxa"/>
              <w:left w:w="20" w:type="dxa"/>
              <w:bottom w:w="0" w:type="dxa"/>
              <w:right w:w="20" w:type="dxa"/>
            </w:tcMar>
            <w:vAlign w:val="bottom"/>
          </w:tcPr>
          <w:p w14:paraId="2D103BF0" w14:textId="362FD407" w:rsidR="00980409" w:rsidRPr="00A53232" w:rsidRDefault="00980409" w:rsidP="00980409">
            <w:pPr>
              <w:ind w:left="-1554" w:right="22"/>
              <w:jc w:val="right"/>
              <w:rPr>
                <w:b/>
                <w:sz w:val="11"/>
                <w:szCs w:val="11"/>
              </w:rPr>
            </w:pPr>
            <w:r w:rsidRPr="00A53232">
              <w:rPr>
                <w:b/>
                <w:sz w:val="11"/>
                <w:szCs w:val="11"/>
              </w:rPr>
              <w:t>-</w:t>
            </w:r>
          </w:p>
        </w:tc>
        <w:tc>
          <w:tcPr>
            <w:tcW w:w="821" w:type="dxa"/>
            <w:noWrap/>
            <w:tcMar>
              <w:top w:w="20" w:type="dxa"/>
              <w:left w:w="20" w:type="dxa"/>
              <w:bottom w:w="0" w:type="dxa"/>
              <w:right w:w="20" w:type="dxa"/>
            </w:tcMar>
            <w:vAlign w:val="bottom"/>
          </w:tcPr>
          <w:p w14:paraId="62D82F04" w14:textId="03B721CC" w:rsidR="00980409" w:rsidRPr="00A53232" w:rsidRDefault="00980409" w:rsidP="00980409">
            <w:pPr>
              <w:ind w:left="-1554" w:right="22"/>
              <w:jc w:val="right"/>
              <w:rPr>
                <w:b/>
                <w:sz w:val="11"/>
                <w:szCs w:val="11"/>
              </w:rPr>
            </w:pPr>
            <w:r w:rsidRPr="00A53232">
              <w:rPr>
                <w:b/>
                <w:sz w:val="11"/>
                <w:szCs w:val="11"/>
              </w:rPr>
              <w:t>-</w:t>
            </w:r>
          </w:p>
        </w:tc>
        <w:tc>
          <w:tcPr>
            <w:tcW w:w="648" w:type="dxa"/>
            <w:noWrap/>
            <w:tcMar>
              <w:top w:w="20" w:type="dxa"/>
              <w:left w:w="20" w:type="dxa"/>
              <w:bottom w:w="0" w:type="dxa"/>
              <w:right w:w="20" w:type="dxa"/>
            </w:tcMar>
            <w:vAlign w:val="bottom"/>
          </w:tcPr>
          <w:p w14:paraId="1A909B93" w14:textId="25336FAA" w:rsidR="00980409" w:rsidRPr="00A53232" w:rsidRDefault="00980409" w:rsidP="00980409">
            <w:pPr>
              <w:ind w:left="-1554" w:right="22"/>
              <w:jc w:val="right"/>
              <w:rPr>
                <w:b/>
                <w:sz w:val="11"/>
                <w:szCs w:val="11"/>
              </w:rPr>
            </w:pPr>
            <w:r w:rsidRPr="00A53232">
              <w:rPr>
                <w:b/>
                <w:sz w:val="11"/>
                <w:szCs w:val="11"/>
              </w:rPr>
              <w:t>-</w:t>
            </w:r>
          </w:p>
        </w:tc>
        <w:tc>
          <w:tcPr>
            <w:tcW w:w="617" w:type="dxa"/>
            <w:noWrap/>
            <w:tcMar>
              <w:top w:w="20" w:type="dxa"/>
              <w:left w:w="20" w:type="dxa"/>
              <w:bottom w:w="0" w:type="dxa"/>
              <w:right w:w="20" w:type="dxa"/>
            </w:tcMar>
            <w:vAlign w:val="bottom"/>
          </w:tcPr>
          <w:p w14:paraId="38AD1831" w14:textId="23AC3BD0" w:rsidR="00980409" w:rsidRPr="00A53232" w:rsidRDefault="00980409" w:rsidP="00980409">
            <w:pPr>
              <w:ind w:left="-1554" w:right="22"/>
              <w:jc w:val="right"/>
              <w:rPr>
                <w:b/>
                <w:sz w:val="11"/>
                <w:szCs w:val="11"/>
              </w:rPr>
            </w:pPr>
            <w:r w:rsidRPr="00A53232">
              <w:rPr>
                <w:b/>
                <w:sz w:val="11"/>
                <w:szCs w:val="11"/>
              </w:rPr>
              <w:t>-</w:t>
            </w:r>
          </w:p>
        </w:tc>
        <w:tc>
          <w:tcPr>
            <w:tcW w:w="642" w:type="dxa"/>
            <w:noWrap/>
            <w:tcMar>
              <w:top w:w="20" w:type="dxa"/>
              <w:left w:w="20" w:type="dxa"/>
              <w:bottom w:w="0" w:type="dxa"/>
              <w:right w:w="20" w:type="dxa"/>
            </w:tcMar>
            <w:vAlign w:val="bottom"/>
          </w:tcPr>
          <w:p w14:paraId="6385D5B5" w14:textId="2FAD3B98" w:rsidR="00980409" w:rsidRPr="00A53232" w:rsidRDefault="00980409" w:rsidP="00980409">
            <w:pPr>
              <w:ind w:left="-1554" w:right="22"/>
              <w:jc w:val="right"/>
              <w:rPr>
                <w:b/>
                <w:sz w:val="11"/>
                <w:szCs w:val="11"/>
              </w:rPr>
            </w:pPr>
            <w:r w:rsidRPr="00A53232">
              <w:rPr>
                <w:b/>
                <w:sz w:val="11"/>
                <w:szCs w:val="11"/>
              </w:rPr>
              <w:t>-</w:t>
            </w:r>
          </w:p>
        </w:tc>
        <w:tc>
          <w:tcPr>
            <w:tcW w:w="732" w:type="dxa"/>
            <w:vAlign w:val="bottom"/>
          </w:tcPr>
          <w:p w14:paraId="20646CA7" w14:textId="17A17655" w:rsidR="00980409" w:rsidRPr="00A53232" w:rsidRDefault="00980409" w:rsidP="00980409">
            <w:pPr>
              <w:ind w:left="-1554" w:right="22"/>
              <w:jc w:val="right"/>
              <w:rPr>
                <w:b/>
                <w:sz w:val="11"/>
                <w:szCs w:val="11"/>
              </w:rPr>
            </w:pPr>
            <w:r w:rsidRPr="00A53232">
              <w:rPr>
                <w:b/>
                <w:sz w:val="11"/>
                <w:szCs w:val="11"/>
              </w:rPr>
              <w:t>-</w:t>
            </w:r>
          </w:p>
        </w:tc>
        <w:tc>
          <w:tcPr>
            <w:tcW w:w="880" w:type="dxa"/>
            <w:vAlign w:val="bottom"/>
          </w:tcPr>
          <w:p w14:paraId="47A90BB9" w14:textId="0956E2A5" w:rsidR="00980409" w:rsidRPr="00A53232" w:rsidRDefault="00980409" w:rsidP="00980409">
            <w:pPr>
              <w:ind w:left="-1554" w:right="22"/>
              <w:jc w:val="right"/>
              <w:rPr>
                <w:b/>
                <w:sz w:val="11"/>
                <w:szCs w:val="11"/>
              </w:rPr>
            </w:pPr>
            <w:r w:rsidRPr="00A53232">
              <w:rPr>
                <w:b/>
                <w:sz w:val="11"/>
                <w:szCs w:val="11"/>
              </w:rPr>
              <w:t>-</w:t>
            </w:r>
          </w:p>
        </w:tc>
        <w:tc>
          <w:tcPr>
            <w:tcW w:w="722" w:type="dxa"/>
            <w:noWrap/>
            <w:tcMar>
              <w:top w:w="20" w:type="dxa"/>
              <w:left w:w="20" w:type="dxa"/>
              <w:bottom w:w="0" w:type="dxa"/>
              <w:right w:w="20" w:type="dxa"/>
            </w:tcMar>
            <w:vAlign w:val="bottom"/>
          </w:tcPr>
          <w:p w14:paraId="3B3395DE" w14:textId="1C28FA3D" w:rsidR="00980409" w:rsidRPr="00A53232" w:rsidRDefault="00980409" w:rsidP="00980409">
            <w:pPr>
              <w:ind w:left="-1554" w:right="22"/>
              <w:jc w:val="right"/>
              <w:rPr>
                <w:b/>
                <w:sz w:val="11"/>
                <w:szCs w:val="11"/>
              </w:rPr>
            </w:pPr>
            <w:r w:rsidRPr="00A53232">
              <w:rPr>
                <w:b/>
                <w:sz w:val="11"/>
                <w:szCs w:val="11"/>
              </w:rPr>
              <w:t>-</w:t>
            </w:r>
          </w:p>
        </w:tc>
        <w:tc>
          <w:tcPr>
            <w:tcW w:w="589" w:type="dxa"/>
            <w:noWrap/>
            <w:tcMar>
              <w:top w:w="20" w:type="dxa"/>
              <w:left w:w="20" w:type="dxa"/>
              <w:bottom w:w="0" w:type="dxa"/>
              <w:right w:w="20" w:type="dxa"/>
            </w:tcMar>
            <w:vAlign w:val="bottom"/>
          </w:tcPr>
          <w:p w14:paraId="45094170" w14:textId="13BF5840" w:rsidR="00980409" w:rsidRPr="00A53232" w:rsidRDefault="00980409" w:rsidP="00980409">
            <w:pPr>
              <w:ind w:left="-1554" w:right="22"/>
              <w:jc w:val="right"/>
              <w:rPr>
                <w:b/>
                <w:sz w:val="11"/>
                <w:szCs w:val="11"/>
              </w:rPr>
            </w:pPr>
            <w:r w:rsidRPr="00A53232">
              <w:rPr>
                <w:b/>
                <w:sz w:val="11"/>
                <w:szCs w:val="11"/>
              </w:rPr>
              <w:t>-</w:t>
            </w:r>
          </w:p>
        </w:tc>
        <w:tc>
          <w:tcPr>
            <w:tcW w:w="801" w:type="dxa"/>
            <w:noWrap/>
            <w:tcMar>
              <w:top w:w="20" w:type="dxa"/>
              <w:left w:w="20" w:type="dxa"/>
              <w:bottom w:w="0" w:type="dxa"/>
              <w:right w:w="20" w:type="dxa"/>
            </w:tcMar>
            <w:vAlign w:val="bottom"/>
          </w:tcPr>
          <w:p w14:paraId="0F202CB9" w14:textId="30491609" w:rsidR="00980409" w:rsidRPr="00A53232" w:rsidRDefault="00980409" w:rsidP="00980409">
            <w:pPr>
              <w:ind w:left="-1554" w:right="22"/>
              <w:jc w:val="right"/>
              <w:rPr>
                <w:b/>
                <w:sz w:val="11"/>
                <w:szCs w:val="11"/>
              </w:rPr>
            </w:pPr>
            <w:r w:rsidRPr="00A53232">
              <w:rPr>
                <w:b/>
                <w:sz w:val="11"/>
                <w:szCs w:val="11"/>
              </w:rPr>
              <w:t>-</w:t>
            </w:r>
          </w:p>
        </w:tc>
        <w:tc>
          <w:tcPr>
            <w:tcW w:w="626" w:type="dxa"/>
            <w:vAlign w:val="bottom"/>
          </w:tcPr>
          <w:p w14:paraId="6060702D" w14:textId="4FCE3A7C" w:rsidR="00980409" w:rsidRPr="00A53232" w:rsidRDefault="00980409" w:rsidP="00980409">
            <w:pPr>
              <w:ind w:left="-1554" w:right="22"/>
              <w:jc w:val="right"/>
              <w:rPr>
                <w:b/>
                <w:sz w:val="11"/>
                <w:szCs w:val="11"/>
              </w:rPr>
            </w:pPr>
            <w:r w:rsidRPr="00A53232">
              <w:rPr>
                <w:b/>
                <w:sz w:val="11"/>
                <w:szCs w:val="11"/>
              </w:rPr>
              <w:t>-</w:t>
            </w:r>
          </w:p>
        </w:tc>
        <w:tc>
          <w:tcPr>
            <w:tcW w:w="728" w:type="dxa"/>
            <w:vAlign w:val="bottom"/>
          </w:tcPr>
          <w:p w14:paraId="6EBC4650" w14:textId="52FE2FDB" w:rsidR="00980409" w:rsidRPr="00A53232" w:rsidRDefault="00980409" w:rsidP="00980409">
            <w:pPr>
              <w:ind w:left="-1554" w:right="22"/>
              <w:jc w:val="right"/>
              <w:rPr>
                <w:b/>
                <w:sz w:val="11"/>
                <w:szCs w:val="11"/>
              </w:rPr>
            </w:pPr>
            <w:r w:rsidRPr="00A53232">
              <w:rPr>
                <w:b/>
                <w:sz w:val="11"/>
                <w:szCs w:val="11"/>
              </w:rPr>
              <w:t>-</w:t>
            </w:r>
          </w:p>
        </w:tc>
        <w:tc>
          <w:tcPr>
            <w:tcW w:w="756" w:type="dxa"/>
            <w:vAlign w:val="bottom"/>
          </w:tcPr>
          <w:p w14:paraId="47E24E58" w14:textId="2674D40E" w:rsidR="00980409" w:rsidRPr="00A53232" w:rsidRDefault="00980409" w:rsidP="00980409">
            <w:pPr>
              <w:ind w:left="-1554" w:right="22"/>
              <w:jc w:val="right"/>
              <w:rPr>
                <w:b/>
                <w:sz w:val="11"/>
                <w:szCs w:val="11"/>
              </w:rPr>
            </w:pPr>
            <w:r w:rsidRPr="00A53232">
              <w:rPr>
                <w:b/>
                <w:sz w:val="11"/>
                <w:szCs w:val="11"/>
              </w:rPr>
              <w:t>-</w:t>
            </w:r>
          </w:p>
        </w:tc>
      </w:tr>
      <w:tr w:rsidR="00980409" w:rsidRPr="007C0BA6" w14:paraId="387696CA" w14:textId="77777777" w:rsidTr="00980409">
        <w:trPr>
          <w:trHeight w:val="44"/>
        </w:trPr>
        <w:tc>
          <w:tcPr>
            <w:tcW w:w="362" w:type="dxa"/>
            <w:noWrap/>
            <w:tcMar>
              <w:top w:w="20" w:type="dxa"/>
              <w:left w:w="20" w:type="dxa"/>
              <w:bottom w:w="0" w:type="dxa"/>
              <w:right w:w="20" w:type="dxa"/>
            </w:tcMar>
            <w:vAlign w:val="bottom"/>
          </w:tcPr>
          <w:p w14:paraId="055F2F58" w14:textId="77777777" w:rsidR="00980409" w:rsidRPr="007C0BA6" w:rsidRDefault="00980409" w:rsidP="00980409">
            <w:pPr>
              <w:spacing w:line="192" w:lineRule="auto"/>
              <w:ind w:right="-30"/>
              <w:rPr>
                <w:sz w:val="12"/>
                <w:szCs w:val="12"/>
              </w:rPr>
            </w:pPr>
          </w:p>
        </w:tc>
        <w:tc>
          <w:tcPr>
            <w:tcW w:w="2332" w:type="dxa"/>
            <w:tcBorders>
              <w:top w:val="single" w:sz="4" w:space="0" w:color="auto"/>
              <w:bottom w:val="single" w:sz="4" w:space="0" w:color="auto"/>
            </w:tcBorders>
            <w:noWrap/>
            <w:tcMar>
              <w:top w:w="20" w:type="dxa"/>
              <w:left w:w="20" w:type="dxa"/>
              <w:bottom w:w="0" w:type="dxa"/>
              <w:right w:w="20" w:type="dxa"/>
            </w:tcMar>
            <w:vAlign w:val="bottom"/>
          </w:tcPr>
          <w:p w14:paraId="2FA7EF8D" w14:textId="77777777" w:rsidR="00980409" w:rsidRDefault="00980409" w:rsidP="00980409">
            <w:pPr>
              <w:spacing w:line="192" w:lineRule="auto"/>
              <w:rPr>
                <w:rFonts w:eastAsia="Arial Unicode MS"/>
                <w:b/>
                <w:bCs/>
                <w:sz w:val="12"/>
                <w:szCs w:val="12"/>
              </w:rPr>
            </w:pPr>
            <w:r w:rsidRPr="007C0BA6">
              <w:rPr>
                <w:rFonts w:eastAsia="Arial Unicode MS"/>
                <w:b/>
                <w:bCs/>
                <w:sz w:val="12"/>
                <w:szCs w:val="12"/>
              </w:rPr>
              <w:t xml:space="preserve">Period End Balance </w:t>
            </w:r>
          </w:p>
          <w:p w14:paraId="589DD0FC" w14:textId="77777777" w:rsidR="00980409" w:rsidRPr="007C0BA6" w:rsidRDefault="00980409" w:rsidP="00980409">
            <w:pPr>
              <w:spacing w:line="192" w:lineRule="auto"/>
              <w:rPr>
                <w:sz w:val="12"/>
                <w:szCs w:val="12"/>
              </w:rPr>
            </w:pPr>
            <w:r w:rsidRPr="007C0BA6">
              <w:rPr>
                <w:rFonts w:eastAsia="Arial Unicode MS"/>
                <w:b/>
                <w:bCs/>
                <w:sz w:val="12"/>
                <w:szCs w:val="12"/>
              </w:rPr>
              <w:t>(I+II+III+… +XVIII)</w:t>
            </w:r>
          </w:p>
        </w:tc>
        <w:tc>
          <w:tcPr>
            <w:tcW w:w="473" w:type="dxa"/>
            <w:tcBorders>
              <w:top w:val="single" w:sz="4" w:space="0" w:color="auto"/>
              <w:bottom w:val="single" w:sz="4" w:space="0" w:color="auto"/>
            </w:tcBorders>
          </w:tcPr>
          <w:p w14:paraId="39672871" w14:textId="77777777" w:rsidR="00980409" w:rsidRPr="007C0BA6" w:rsidRDefault="00980409" w:rsidP="00980409">
            <w:pPr>
              <w:autoSpaceDE w:val="0"/>
              <w:autoSpaceDN w:val="0"/>
              <w:adjustRightInd w:val="0"/>
              <w:jc w:val="center"/>
              <w:rPr>
                <w:sz w:val="12"/>
                <w:szCs w:val="12"/>
              </w:rPr>
            </w:pPr>
          </w:p>
        </w:tc>
        <w:tc>
          <w:tcPr>
            <w:tcW w:w="525" w:type="dxa"/>
            <w:tcBorders>
              <w:top w:val="single" w:sz="4" w:space="0" w:color="auto"/>
              <w:bottom w:val="single" w:sz="4" w:space="0" w:color="auto"/>
            </w:tcBorders>
            <w:noWrap/>
            <w:tcMar>
              <w:top w:w="20" w:type="dxa"/>
              <w:left w:w="20" w:type="dxa"/>
              <w:bottom w:w="0" w:type="dxa"/>
              <w:right w:w="20" w:type="dxa"/>
            </w:tcMar>
            <w:vAlign w:val="bottom"/>
          </w:tcPr>
          <w:p w14:paraId="4587492C" w14:textId="42AF5777" w:rsidR="00980409" w:rsidRPr="00A53232" w:rsidRDefault="00980409" w:rsidP="00980409">
            <w:pPr>
              <w:jc w:val="right"/>
              <w:rPr>
                <w:b/>
                <w:bCs/>
                <w:color w:val="000000"/>
                <w:sz w:val="11"/>
                <w:szCs w:val="11"/>
              </w:rPr>
            </w:pPr>
            <w:r w:rsidRPr="00A53232">
              <w:rPr>
                <w:b/>
                <w:bCs/>
                <w:color w:val="000000"/>
                <w:sz w:val="11"/>
                <w:szCs w:val="11"/>
              </w:rPr>
              <w:t xml:space="preserve">620,000 </w:t>
            </w:r>
          </w:p>
        </w:tc>
        <w:tc>
          <w:tcPr>
            <w:tcW w:w="669" w:type="dxa"/>
            <w:tcBorders>
              <w:top w:val="single" w:sz="4" w:space="0" w:color="auto"/>
              <w:bottom w:val="single" w:sz="4" w:space="0" w:color="auto"/>
            </w:tcBorders>
            <w:vAlign w:val="bottom"/>
          </w:tcPr>
          <w:p w14:paraId="720EF9D1" w14:textId="39047E02" w:rsidR="00980409" w:rsidRPr="00A53232" w:rsidRDefault="00980409" w:rsidP="00980409">
            <w:pPr>
              <w:jc w:val="right"/>
              <w:rPr>
                <w:b/>
                <w:bCs/>
                <w:color w:val="000000"/>
                <w:sz w:val="11"/>
                <w:szCs w:val="11"/>
              </w:rPr>
            </w:pPr>
            <w:r w:rsidRPr="00A53232">
              <w:rPr>
                <w:b/>
                <w:bCs/>
                <w:color w:val="000000"/>
                <w:sz w:val="11"/>
                <w:szCs w:val="11"/>
              </w:rPr>
              <w:t xml:space="preserve">              - </w:t>
            </w:r>
          </w:p>
        </w:tc>
        <w:tc>
          <w:tcPr>
            <w:tcW w:w="536" w:type="dxa"/>
            <w:tcBorders>
              <w:top w:val="single" w:sz="4" w:space="0" w:color="auto"/>
              <w:bottom w:val="single" w:sz="4" w:space="0" w:color="auto"/>
            </w:tcBorders>
            <w:noWrap/>
            <w:tcMar>
              <w:top w:w="20" w:type="dxa"/>
              <w:left w:w="20" w:type="dxa"/>
              <w:bottom w:w="0" w:type="dxa"/>
              <w:right w:w="20" w:type="dxa"/>
            </w:tcMar>
            <w:vAlign w:val="bottom"/>
          </w:tcPr>
          <w:p w14:paraId="4392C927" w14:textId="78B018A4" w:rsidR="00980409" w:rsidRPr="00A53232" w:rsidRDefault="00980409" w:rsidP="00980409">
            <w:pPr>
              <w:jc w:val="right"/>
              <w:rPr>
                <w:b/>
                <w:bCs/>
                <w:color w:val="000000"/>
                <w:sz w:val="11"/>
                <w:szCs w:val="11"/>
              </w:rPr>
            </w:pPr>
            <w:r w:rsidRPr="00A53232">
              <w:rPr>
                <w:b/>
                <w:bCs/>
                <w:color w:val="000000"/>
                <w:sz w:val="11"/>
                <w:szCs w:val="11"/>
              </w:rPr>
              <w:t xml:space="preserve">54 </w:t>
            </w:r>
          </w:p>
        </w:tc>
        <w:tc>
          <w:tcPr>
            <w:tcW w:w="707" w:type="dxa"/>
            <w:tcBorders>
              <w:top w:val="single" w:sz="4" w:space="0" w:color="auto"/>
              <w:bottom w:val="single" w:sz="4" w:space="0" w:color="auto"/>
            </w:tcBorders>
            <w:noWrap/>
            <w:tcMar>
              <w:top w:w="20" w:type="dxa"/>
              <w:left w:w="20" w:type="dxa"/>
              <w:bottom w:w="0" w:type="dxa"/>
              <w:right w:w="20" w:type="dxa"/>
            </w:tcMar>
            <w:vAlign w:val="bottom"/>
          </w:tcPr>
          <w:p w14:paraId="713BAB51" w14:textId="34E0A8F6" w:rsidR="00980409" w:rsidRPr="00A53232" w:rsidRDefault="00980409" w:rsidP="00980409">
            <w:pPr>
              <w:jc w:val="right"/>
              <w:rPr>
                <w:b/>
                <w:bCs/>
                <w:color w:val="000000"/>
                <w:sz w:val="11"/>
                <w:szCs w:val="11"/>
              </w:rPr>
            </w:pPr>
            <w:r w:rsidRPr="00A53232">
              <w:rPr>
                <w:b/>
                <w:bCs/>
                <w:color w:val="000000"/>
                <w:sz w:val="11"/>
                <w:szCs w:val="11"/>
              </w:rPr>
              <w:t xml:space="preserve">               - </w:t>
            </w:r>
          </w:p>
        </w:tc>
        <w:tc>
          <w:tcPr>
            <w:tcW w:w="602" w:type="dxa"/>
            <w:tcBorders>
              <w:top w:val="single" w:sz="4" w:space="0" w:color="auto"/>
              <w:bottom w:val="single" w:sz="4" w:space="0" w:color="auto"/>
            </w:tcBorders>
            <w:noWrap/>
            <w:tcMar>
              <w:top w:w="20" w:type="dxa"/>
              <w:left w:w="20" w:type="dxa"/>
              <w:bottom w:w="0" w:type="dxa"/>
              <w:right w:w="20" w:type="dxa"/>
            </w:tcMar>
            <w:vAlign w:val="bottom"/>
          </w:tcPr>
          <w:p w14:paraId="19282D93" w14:textId="122AEEED" w:rsidR="00980409" w:rsidRPr="00A53232" w:rsidRDefault="00980409" w:rsidP="00980409">
            <w:pPr>
              <w:jc w:val="right"/>
              <w:rPr>
                <w:b/>
                <w:bCs/>
                <w:color w:val="000000"/>
                <w:sz w:val="11"/>
                <w:szCs w:val="11"/>
              </w:rPr>
            </w:pPr>
            <w:r w:rsidRPr="00A53232">
              <w:rPr>
                <w:b/>
                <w:bCs/>
                <w:color w:val="000000"/>
                <w:sz w:val="11"/>
                <w:szCs w:val="11"/>
              </w:rPr>
              <w:t xml:space="preserve">24,972 </w:t>
            </w:r>
          </w:p>
        </w:tc>
        <w:tc>
          <w:tcPr>
            <w:tcW w:w="536" w:type="dxa"/>
            <w:tcBorders>
              <w:top w:val="single" w:sz="4" w:space="0" w:color="auto"/>
              <w:bottom w:val="single" w:sz="4" w:space="0" w:color="auto"/>
            </w:tcBorders>
            <w:noWrap/>
            <w:tcMar>
              <w:top w:w="20" w:type="dxa"/>
              <w:left w:w="20" w:type="dxa"/>
              <w:bottom w:w="0" w:type="dxa"/>
              <w:right w:w="20" w:type="dxa"/>
            </w:tcMar>
            <w:vAlign w:val="bottom"/>
          </w:tcPr>
          <w:p w14:paraId="356930A7" w14:textId="2B780F5C" w:rsidR="00980409" w:rsidRPr="00A53232" w:rsidRDefault="00980409" w:rsidP="00980409">
            <w:pPr>
              <w:jc w:val="right"/>
              <w:rPr>
                <w:b/>
                <w:bCs/>
                <w:color w:val="000000"/>
                <w:sz w:val="11"/>
                <w:szCs w:val="11"/>
              </w:rPr>
            </w:pPr>
            <w:r w:rsidRPr="00A53232">
              <w:rPr>
                <w:b/>
                <w:bCs/>
                <w:color w:val="000000"/>
                <w:sz w:val="11"/>
                <w:szCs w:val="11"/>
              </w:rPr>
              <w:t xml:space="preserve">           - </w:t>
            </w:r>
          </w:p>
        </w:tc>
        <w:tc>
          <w:tcPr>
            <w:tcW w:w="821" w:type="dxa"/>
            <w:tcBorders>
              <w:top w:val="single" w:sz="4" w:space="0" w:color="auto"/>
              <w:bottom w:val="single" w:sz="4" w:space="0" w:color="auto"/>
            </w:tcBorders>
            <w:noWrap/>
            <w:tcMar>
              <w:top w:w="20" w:type="dxa"/>
              <w:left w:w="20" w:type="dxa"/>
              <w:bottom w:w="0" w:type="dxa"/>
              <w:right w:w="20" w:type="dxa"/>
            </w:tcMar>
            <w:vAlign w:val="bottom"/>
          </w:tcPr>
          <w:p w14:paraId="1F7C3EC0" w14:textId="5BC30BBA" w:rsidR="00980409" w:rsidRPr="00A53232" w:rsidRDefault="00980409" w:rsidP="00980409">
            <w:pPr>
              <w:jc w:val="right"/>
              <w:rPr>
                <w:b/>
                <w:bCs/>
                <w:color w:val="000000"/>
                <w:sz w:val="11"/>
                <w:szCs w:val="11"/>
              </w:rPr>
            </w:pPr>
            <w:r w:rsidRPr="00A53232">
              <w:rPr>
                <w:b/>
                <w:bCs/>
                <w:color w:val="000000"/>
                <w:sz w:val="11"/>
                <w:szCs w:val="11"/>
              </w:rPr>
              <w:t xml:space="preserve">333,171 </w:t>
            </w:r>
          </w:p>
        </w:tc>
        <w:tc>
          <w:tcPr>
            <w:tcW w:w="648" w:type="dxa"/>
            <w:tcBorders>
              <w:top w:val="single" w:sz="4" w:space="0" w:color="auto"/>
              <w:bottom w:val="single" w:sz="4" w:space="0" w:color="auto"/>
            </w:tcBorders>
            <w:noWrap/>
            <w:tcMar>
              <w:top w:w="20" w:type="dxa"/>
              <w:left w:w="20" w:type="dxa"/>
              <w:bottom w:w="0" w:type="dxa"/>
              <w:right w:w="20" w:type="dxa"/>
            </w:tcMar>
            <w:vAlign w:val="bottom"/>
          </w:tcPr>
          <w:p w14:paraId="7C801B8C" w14:textId="48AE1721" w:rsidR="00980409" w:rsidRPr="00A53232" w:rsidRDefault="00980409" w:rsidP="00980409">
            <w:pPr>
              <w:jc w:val="right"/>
              <w:rPr>
                <w:b/>
                <w:bCs/>
                <w:color w:val="000000"/>
                <w:sz w:val="11"/>
                <w:szCs w:val="11"/>
              </w:rPr>
            </w:pPr>
            <w:r w:rsidRPr="00A53232">
              <w:rPr>
                <w:b/>
                <w:bCs/>
                <w:color w:val="000000"/>
                <w:sz w:val="11"/>
                <w:szCs w:val="11"/>
              </w:rPr>
              <w:t>(1,524)</w:t>
            </w:r>
          </w:p>
        </w:tc>
        <w:tc>
          <w:tcPr>
            <w:tcW w:w="617" w:type="dxa"/>
            <w:tcBorders>
              <w:top w:val="single" w:sz="4" w:space="0" w:color="auto"/>
              <w:bottom w:val="single" w:sz="4" w:space="0" w:color="auto"/>
            </w:tcBorders>
            <w:noWrap/>
            <w:tcMar>
              <w:top w:w="20" w:type="dxa"/>
              <w:left w:w="20" w:type="dxa"/>
              <w:bottom w:w="0" w:type="dxa"/>
              <w:right w:w="20" w:type="dxa"/>
            </w:tcMar>
            <w:vAlign w:val="bottom"/>
          </w:tcPr>
          <w:p w14:paraId="59ADB4DB" w14:textId="56A3F6D9" w:rsidR="00980409" w:rsidRPr="00A53232" w:rsidRDefault="00980409" w:rsidP="00980409">
            <w:pPr>
              <w:jc w:val="right"/>
              <w:rPr>
                <w:b/>
                <w:bCs/>
                <w:color w:val="000000"/>
                <w:sz w:val="11"/>
                <w:szCs w:val="11"/>
              </w:rPr>
            </w:pPr>
            <w:r w:rsidRPr="00A53232">
              <w:rPr>
                <w:b/>
                <w:bCs/>
                <w:color w:val="000000"/>
                <w:sz w:val="11"/>
                <w:szCs w:val="11"/>
              </w:rPr>
              <w:t xml:space="preserve">69,876 </w:t>
            </w:r>
          </w:p>
        </w:tc>
        <w:tc>
          <w:tcPr>
            <w:tcW w:w="642" w:type="dxa"/>
            <w:tcBorders>
              <w:top w:val="single" w:sz="4" w:space="0" w:color="auto"/>
              <w:bottom w:val="single" w:sz="4" w:space="0" w:color="auto"/>
            </w:tcBorders>
            <w:noWrap/>
            <w:tcMar>
              <w:top w:w="20" w:type="dxa"/>
              <w:left w:w="20" w:type="dxa"/>
              <w:bottom w:w="0" w:type="dxa"/>
              <w:right w:w="20" w:type="dxa"/>
            </w:tcMar>
            <w:vAlign w:val="bottom"/>
          </w:tcPr>
          <w:p w14:paraId="78001E15" w14:textId="56C72370" w:rsidR="00980409" w:rsidRPr="00A53232" w:rsidRDefault="00980409" w:rsidP="00980409">
            <w:pPr>
              <w:jc w:val="right"/>
              <w:rPr>
                <w:b/>
                <w:bCs/>
                <w:color w:val="000000"/>
                <w:sz w:val="11"/>
                <w:szCs w:val="11"/>
              </w:rPr>
            </w:pPr>
            <w:r w:rsidRPr="00A53232">
              <w:rPr>
                <w:b/>
                <w:bCs/>
                <w:color w:val="000000"/>
                <w:sz w:val="11"/>
                <w:szCs w:val="11"/>
              </w:rPr>
              <w:t>(4,007)</w:t>
            </w:r>
          </w:p>
        </w:tc>
        <w:tc>
          <w:tcPr>
            <w:tcW w:w="732" w:type="dxa"/>
            <w:tcBorders>
              <w:top w:val="single" w:sz="4" w:space="0" w:color="auto"/>
              <w:bottom w:val="single" w:sz="4" w:space="0" w:color="auto"/>
            </w:tcBorders>
            <w:vAlign w:val="bottom"/>
          </w:tcPr>
          <w:p w14:paraId="378EF461" w14:textId="1E0E6E22" w:rsidR="00980409" w:rsidRPr="00A53232" w:rsidRDefault="00980409" w:rsidP="00980409">
            <w:pPr>
              <w:jc w:val="right"/>
              <w:rPr>
                <w:b/>
                <w:bCs/>
                <w:color w:val="000000"/>
                <w:sz w:val="11"/>
                <w:szCs w:val="11"/>
              </w:rPr>
            </w:pPr>
            <w:r w:rsidRPr="00A53232">
              <w:rPr>
                <w:b/>
                <w:bCs/>
                <w:color w:val="000000"/>
                <w:sz w:val="11"/>
                <w:szCs w:val="11"/>
              </w:rPr>
              <w:t>(27,437)</w:t>
            </w:r>
          </w:p>
        </w:tc>
        <w:tc>
          <w:tcPr>
            <w:tcW w:w="880" w:type="dxa"/>
            <w:tcBorders>
              <w:top w:val="single" w:sz="4" w:space="0" w:color="auto"/>
              <w:bottom w:val="single" w:sz="4" w:space="0" w:color="auto"/>
            </w:tcBorders>
            <w:vAlign w:val="bottom"/>
          </w:tcPr>
          <w:p w14:paraId="024204AF" w14:textId="690A5FC5" w:rsidR="00980409" w:rsidRPr="00A53232" w:rsidRDefault="00980409" w:rsidP="00980409">
            <w:pPr>
              <w:jc w:val="right"/>
              <w:rPr>
                <w:b/>
                <w:bCs/>
                <w:color w:val="000000"/>
                <w:sz w:val="11"/>
                <w:szCs w:val="11"/>
              </w:rPr>
            </w:pPr>
            <w:r w:rsidRPr="00A53232">
              <w:rPr>
                <w:b/>
                <w:bCs/>
                <w:color w:val="000000"/>
                <w:sz w:val="11"/>
                <w:szCs w:val="11"/>
              </w:rPr>
              <w:t xml:space="preserve">                     - </w:t>
            </w:r>
          </w:p>
        </w:tc>
        <w:tc>
          <w:tcPr>
            <w:tcW w:w="722" w:type="dxa"/>
            <w:tcBorders>
              <w:top w:val="single" w:sz="4" w:space="0" w:color="auto"/>
              <w:bottom w:val="single" w:sz="4" w:space="0" w:color="auto"/>
            </w:tcBorders>
            <w:noWrap/>
            <w:tcMar>
              <w:top w:w="20" w:type="dxa"/>
              <w:left w:w="20" w:type="dxa"/>
              <w:bottom w:w="0" w:type="dxa"/>
              <w:right w:w="20" w:type="dxa"/>
            </w:tcMar>
            <w:vAlign w:val="bottom"/>
          </w:tcPr>
          <w:p w14:paraId="39BA6014" w14:textId="4871E3F7" w:rsidR="00980409" w:rsidRPr="00A53232" w:rsidRDefault="00980409" w:rsidP="00980409">
            <w:pPr>
              <w:jc w:val="right"/>
              <w:rPr>
                <w:b/>
                <w:bCs/>
                <w:color w:val="000000"/>
                <w:sz w:val="11"/>
                <w:szCs w:val="11"/>
              </w:rPr>
            </w:pPr>
            <w:r w:rsidRPr="00A53232">
              <w:rPr>
                <w:b/>
                <w:bCs/>
                <w:color w:val="000000"/>
                <w:sz w:val="11"/>
                <w:szCs w:val="11"/>
              </w:rPr>
              <w:t xml:space="preserve">                            - </w:t>
            </w:r>
          </w:p>
        </w:tc>
        <w:tc>
          <w:tcPr>
            <w:tcW w:w="589" w:type="dxa"/>
            <w:tcBorders>
              <w:top w:val="single" w:sz="4" w:space="0" w:color="auto"/>
              <w:bottom w:val="single" w:sz="4" w:space="0" w:color="auto"/>
            </w:tcBorders>
            <w:noWrap/>
            <w:tcMar>
              <w:top w:w="20" w:type="dxa"/>
              <w:left w:w="20" w:type="dxa"/>
              <w:bottom w:w="0" w:type="dxa"/>
              <w:right w:w="20" w:type="dxa"/>
            </w:tcMar>
            <w:vAlign w:val="bottom"/>
          </w:tcPr>
          <w:p w14:paraId="3E04A314" w14:textId="38EA55DD" w:rsidR="00980409" w:rsidRPr="00A53232" w:rsidRDefault="00980409" w:rsidP="00980409">
            <w:pPr>
              <w:jc w:val="right"/>
              <w:rPr>
                <w:b/>
                <w:bCs/>
                <w:color w:val="000000"/>
                <w:sz w:val="11"/>
                <w:szCs w:val="11"/>
              </w:rPr>
            </w:pPr>
            <w:r w:rsidRPr="00A53232">
              <w:rPr>
                <w:b/>
                <w:bCs/>
                <w:color w:val="000000"/>
                <w:sz w:val="11"/>
                <w:szCs w:val="11"/>
              </w:rPr>
              <w:t xml:space="preserve">                - </w:t>
            </w:r>
          </w:p>
        </w:tc>
        <w:tc>
          <w:tcPr>
            <w:tcW w:w="801" w:type="dxa"/>
            <w:tcBorders>
              <w:top w:val="single" w:sz="4" w:space="0" w:color="auto"/>
              <w:bottom w:val="single" w:sz="4" w:space="0" w:color="auto"/>
            </w:tcBorders>
            <w:noWrap/>
            <w:tcMar>
              <w:top w:w="20" w:type="dxa"/>
              <w:left w:w="20" w:type="dxa"/>
              <w:bottom w:w="0" w:type="dxa"/>
              <w:right w:w="20" w:type="dxa"/>
            </w:tcMar>
            <w:vAlign w:val="bottom"/>
          </w:tcPr>
          <w:p w14:paraId="52F10F81" w14:textId="679D85F4" w:rsidR="00980409" w:rsidRPr="00A53232" w:rsidRDefault="00980409" w:rsidP="00980409">
            <w:pPr>
              <w:jc w:val="right"/>
              <w:rPr>
                <w:b/>
                <w:bCs/>
                <w:color w:val="000000"/>
                <w:sz w:val="11"/>
                <w:szCs w:val="11"/>
              </w:rPr>
            </w:pPr>
            <w:r w:rsidRPr="00A53232">
              <w:rPr>
                <w:b/>
                <w:bCs/>
                <w:color w:val="000000"/>
                <w:sz w:val="11"/>
                <w:szCs w:val="11"/>
              </w:rPr>
              <w:t xml:space="preserve">                             - </w:t>
            </w:r>
          </w:p>
        </w:tc>
        <w:tc>
          <w:tcPr>
            <w:tcW w:w="626" w:type="dxa"/>
            <w:tcBorders>
              <w:top w:val="single" w:sz="4" w:space="0" w:color="auto"/>
              <w:bottom w:val="single" w:sz="4" w:space="0" w:color="auto"/>
            </w:tcBorders>
            <w:vAlign w:val="bottom"/>
          </w:tcPr>
          <w:p w14:paraId="04ECAE85" w14:textId="347EDA68" w:rsidR="00980409" w:rsidRPr="00A53232" w:rsidRDefault="00980409" w:rsidP="00980409">
            <w:pPr>
              <w:jc w:val="right"/>
              <w:rPr>
                <w:b/>
                <w:bCs/>
                <w:color w:val="000000"/>
                <w:sz w:val="11"/>
                <w:szCs w:val="11"/>
              </w:rPr>
            </w:pPr>
            <w:r w:rsidRPr="00A53232">
              <w:rPr>
                <w:b/>
                <w:bCs/>
                <w:color w:val="000000"/>
                <w:sz w:val="11"/>
                <w:szCs w:val="11"/>
              </w:rPr>
              <w:t xml:space="preserve">1,015,105 </w:t>
            </w:r>
          </w:p>
        </w:tc>
        <w:tc>
          <w:tcPr>
            <w:tcW w:w="728" w:type="dxa"/>
            <w:tcBorders>
              <w:top w:val="single" w:sz="4" w:space="0" w:color="auto"/>
              <w:bottom w:val="single" w:sz="4" w:space="0" w:color="auto"/>
            </w:tcBorders>
            <w:vAlign w:val="bottom"/>
          </w:tcPr>
          <w:p w14:paraId="06EFD1F4" w14:textId="2F1CBDDA" w:rsidR="00980409" w:rsidRPr="00A53232" w:rsidRDefault="00980409" w:rsidP="00980409">
            <w:pPr>
              <w:jc w:val="right"/>
              <w:rPr>
                <w:b/>
                <w:bCs/>
                <w:color w:val="000000"/>
                <w:sz w:val="11"/>
                <w:szCs w:val="11"/>
              </w:rPr>
            </w:pPr>
            <w:r w:rsidRPr="00A53232">
              <w:rPr>
                <w:b/>
                <w:bCs/>
                <w:color w:val="000000"/>
                <w:sz w:val="11"/>
                <w:szCs w:val="11"/>
              </w:rPr>
              <w:t xml:space="preserve">            11 </w:t>
            </w:r>
          </w:p>
        </w:tc>
        <w:tc>
          <w:tcPr>
            <w:tcW w:w="756" w:type="dxa"/>
            <w:tcBorders>
              <w:top w:val="single" w:sz="4" w:space="0" w:color="auto"/>
              <w:bottom w:val="single" w:sz="4" w:space="0" w:color="auto"/>
            </w:tcBorders>
            <w:vAlign w:val="bottom"/>
          </w:tcPr>
          <w:p w14:paraId="39562282" w14:textId="73103C38" w:rsidR="00980409" w:rsidRPr="00A53232" w:rsidRDefault="00980409" w:rsidP="00980409">
            <w:pPr>
              <w:jc w:val="right"/>
              <w:rPr>
                <w:b/>
                <w:bCs/>
                <w:color w:val="000000"/>
                <w:sz w:val="11"/>
                <w:szCs w:val="11"/>
              </w:rPr>
            </w:pPr>
            <w:r w:rsidRPr="00A53232">
              <w:rPr>
                <w:b/>
                <w:bCs/>
                <w:color w:val="000000"/>
                <w:sz w:val="11"/>
                <w:szCs w:val="11"/>
              </w:rPr>
              <w:t xml:space="preserve">1,015,116 </w:t>
            </w:r>
          </w:p>
        </w:tc>
      </w:tr>
    </w:tbl>
    <w:p w14:paraId="38839AC0" w14:textId="77777777" w:rsidR="00F573AF" w:rsidRDefault="00F573AF" w:rsidP="00872D6D">
      <w:pPr>
        <w:jc w:val="center"/>
        <w:rPr>
          <w:sz w:val="16"/>
          <w:szCs w:val="16"/>
        </w:rPr>
      </w:pPr>
    </w:p>
    <w:p w14:paraId="2BD489A6" w14:textId="77777777" w:rsidR="00F573AF" w:rsidRDefault="00F573AF" w:rsidP="00872D6D">
      <w:pPr>
        <w:jc w:val="center"/>
        <w:rPr>
          <w:sz w:val="16"/>
          <w:szCs w:val="16"/>
        </w:rPr>
      </w:pPr>
    </w:p>
    <w:p w14:paraId="13B16D3D" w14:textId="77777777" w:rsidR="00F573AF" w:rsidRDefault="00F573AF" w:rsidP="00872D6D">
      <w:pPr>
        <w:jc w:val="center"/>
        <w:rPr>
          <w:sz w:val="16"/>
          <w:szCs w:val="16"/>
        </w:rPr>
      </w:pPr>
    </w:p>
    <w:p w14:paraId="18B87F06" w14:textId="77777777" w:rsidR="00F573AF" w:rsidRDefault="00F573AF" w:rsidP="00872D6D">
      <w:pPr>
        <w:jc w:val="center"/>
        <w:rPr>
          <w:sz w:val="16"/>
          <w:szCs w:val="16"/>
        </w:rPr>
      </w:pPr>
    </w:p>
    <w:p w14:paraId="78EDD60E" w14:textId="77777777" w:rsidR="00F573AF" w:rsidRDefault="00F573AF" w:rsidP="00872D6D">
      <w:pPr>
        <w:jc w:val="center"/>
        <w:rPr>
          <w:sz w:val="16"/>
          <w:szCs w:val="16"/>
        </w:rPr>
      </w:pPr>
    </w:p>
    <w:p w14:paraId="2A8EA4CC" w14:textId="77777777" w:rsidR="00F573AF" w:rsidRDefault="00F573AF" w:rsidP="00F142CB">
      <w:pPr>
        <w:spacing w:before="240"/>
        <w:rPr>
          <w:sz w:val="16"/>
          <w:szCs w:val="16"/>
        </w:rPr>
      </w:pPr>
    </w:p>
    <w:p w14:paraId="3D54E6A0" w14:textId="77777777" w:rsidR="00F573AF" w:rsidRDefault="00F573AF" w:rsidP="00872D6D">
      <w:pPr>
        <w:jc w:val="center"/>
        <w:rPr>
          <w:sz w:val="16"/>
          <w:szCs w:val="16"/>
        </w:rPr>
      </w:pPr>
    </w:p>
    <w:p w14:paraId="7D204AA8" w14:textId="77777777" w:rsidR="00445119" w:rsidRPr="00604C75" w:rsidRDefault="00445119" w:rsidP="00445119">
      <w:pPr>
        <w:jc w:val="center"/>
        <w:rPr>
          <w:sz w:val="20"/>
          <w:szCs w:val="20"/>
        </w:rPr>
      </w:pPr>
      <w:r w:rsidRPr="00604C75">
        <w:rPr>
          <w:sz w:val="16"/>
          <w:szCs w:val="16"/>
        </w:rPr>
        <w:t>The accompanying notes are an integral part of these consolidated financial statements.</w:t>
      </w:r>
    </w:p>
    <w:p w14:paraId="5ADD1A9F" w14:textId="77777777" w:rsidR="006848BB" w:rsidRPr="00604C75" w:rsidRDefault="006848BB" w:rsidP="0032757D">
      <w:pPr>
        <w:spacing w:after="200" w:line="276" w:lineRule="auto"/>
        <w:jc w:val="center"/>
        <w:sectPr w:rsidR="006848BB" w:rsidRPr="00604C75" w:rsidSect="00CF6669">
          <w:headerReference w:type="default" r:id="rId17"/>
          <w:pgSz w:w="16840" w:h="11907" w:orient="landscape" w:code="9"/>
          <w:pgMar w:top="1134" w:right="748" w:bottom="720" w:left="1077" w:header="680" w:footer="680" w:gutter="0"/>
          <w:cols w:space="720"/>
          <w:docGrid w:linePitch="360"/>
        </w:sectPr>
      </w:pPr>
    </w:p>
    <w:tbl>
      <w:tblPr>
        <w:tblW w:w="8846" w:type="dxa"/>
        <w:tblLayout w:type="fixed"/>
        <w:tblLook w:val="01E0" w:firstRow="1" w:lastRow="1" w:firstColumn="1" w:lastColumn="1" w:noHBand="0" w:noVBand="0"/>
      </w:tblPr>
      <w:tblGrid>
        <w:gridCol w:w="340"/>
        <w:gridCol w:w="4463"/>
        <w:gridCol w:w="758"/>
        <w:gridCol w:w="1669"/>
        <w:gridCol w:w="1559"/>
        <w:gridCol w:w="57"/>
      </w:tblGrid>
      <w:tr w:rsidR="00CE1C4A" w:rsidRPr="00604C75" w14:paraId="596B0C88" w14:textId="77777777" w:rsidTr="00F142CB">
        <w:trPr>
          <w:trHeight w:val="560"/>
        </w:trPr>
        <w:tc>
          <w:tcPr>
            <w:tcW w:w="4803" w:type="dxa"/>
            <w:gridSpan w:val="2"/>
            <w:vAlign w:val="bottom"/>
          </w:tcPr>
          <w:p w14:paraId="6F532EE2" w14:textId="6728B965" w:rsidR="00CE1C4A" w:rsidRPr="00B0764D" w:rsidRDefault="00CE1C4A" w:rsidP="00CD0767">
            <w:pPr>
              <w:tabs>
                <w:tab w:val="left" w:pos="459"/>
                <w:tab w:val="left" w:pos="10080"/>
                <w:tab w:val="left" w:pos="10920"/>
                <w:tab w:val="left" w:pos="12520"/>
                <w:tab w:val="left" w:pos="13480"/>
                <w:tab w:val="left" w:pos="15680"/>
                <w:tab w:val="left" w:pos="16640"/>
                <w:tab w:val="left" w:pos="17740"/>
              </w:tabs>
              <w:spacing w:line="192" w:lineRule="auto"/>
              <w:ind w:left="-66"/>
              <w:rPr>
                <w:b/>
                <w:bCs/>
                <w:snapToGrid w:val="0"/>
                <w:sz w:val="16"/>
                <w:szCs w:val="16"/>
              </w:rPr>
            </w:pPr>
            <w:r w:rsidRPr="00B0764D">
              <w:rPr>
                <w:b/>
                <w:bCs/>
                <w:snapToGrid w:val="0"/>
                <w:sz w:val="16"/>
                <w:szCs w:val="16"/>
              </w:rPr>
              <w:lastRenderedPageBreak/>
              <w:t>VI</w:t>
            </w:r>
            <w:r w:rsidR="00EC359F">
              <w:rPr>
                <w:b/>
                <w:bCs/>
                <w:snapToGrid w:val="0"/>
                <w:sz w:val="16"/>
                <w:szCs w:val="16"/>
              </w:rPr>
              <w:t>.</w:t>
            </w:r>
            <w:r w:rsidRPr="00B0764D">
              <w:rPr>
                <w:b/>
                <w:bCs/>
                <w:snapToGrid w:val="0"/>
                <w:sz w:val="16"/>
                <w:szCs w:val="16"/>
              </w:rPr>
              <w:t xml:space="preserve"> </w:t>
            </w:r>
            <w:r w:rsidRPr="00B0764D">
              <w:rPr>
                <w:b/>
                <w:bCs/>
                <w:snapToGrid w:val="0"/>
                <w:sz w:val="16"/>
                <w:szCs w:val="16"/>
              </w:rPr>
              <w:tab/>
            </w:r>
            <w:r w:rsidR="00264C34" w:rsidRPr="00B0764D">
              <w:rPr>
                <w:b/>
                <w:bCs/>
                <w:snapToGrid w:val="0"/>
                <w:sz w:val="16"/>
                <w:szCs w:val="16"/>
              </w:rPr>
              <w:t xml:space="preserve">STATEMENT OF </w:t>
            </w:r>
            <w:r w:rsidRPr="00B0764D">
              <w:rPr>
                <w:b/>
                <w:bCs/>
                <w:sz w:val="16"/>
                <w:szCs w:val="16"/>
              </w:rPr>
              <w:t>CASH FLOWS</w:t>
            </w:r>
          </w:p>
          <w:p w14:paraId="653A8E3C" w14:textId="77777777" w:rsidR="00CE1C4A" w:rsidRPr="00604C75" w:rsidRDefault="00CE1C4A" w:rsidP="00CD0767">
            <w:pPr>
              <w:ind w:right="-71"/>
              <w:rPr>
                <w:b/>
                <w:sz w:val="18"/>
                <w:szCs w:val="18"/>
              </w:rPr>
            </w:pPr>
          </w:p>
        </w:tc>
        <w:tc>
          <w:tcPr>
            <w:tcW w:w="758" w:type="dxa"/>
            <w:vAlign w:val="bottom"/>
          </w:tcPr>
          <w:p w14:paraId="126F70A3" w14:textId="77777777" w:rsidR="00CE1C4A" w:rsidRPr="00604C75" w:rsidRDefault="00CE1C4A" w:rsidP="00CE1C4A">
            <w:pPr>
              <w:ind w:right="-71"/>
              <w:jc w:val="center"/>
              <w:rPr>
                <w:rFonts w:ascii="Times New Roman TUR" w:hAnsi="Times New Roman TUR" w:cs="Arial"/>
                <w:b/>
                <w:bCs/>
                <w:sz w:val="14"/>
                <w:szCs w:val="18"/>
              </w:rPr>
            </w:pPr>
            <w:r w:rsidRPr="00604C75">
              <w:rPr>
                <w:rFonts w:ascii="Times New Roman TUR" w:hAnsi="Times New Roman TUR" w:cs="Arial"/>
                <w:b/>
                <w:bCs/>
                <w:sz w:val="14"/>
                <w:szCs w:val="18"/>
              </w:rPr>
              <w:t>Note</w:t>
            </w:r>
          </w:p>
          <w:p w14:paraId="5840D2B6" w14:textId="77777777" w:rsidR="00CE1C4A" w:rsidRPr="00604C75" w:rsidRDefault="00CE1C4A" w:rsidP="00CE1C4A">
            <w:pPr>
              <w:ind w:right="-71"/>
              <w:jc w:val="center"/>
              <w:rPr>
                <w:rFonts w:ascii="Times New Roman TUR" w:hAnsi="Times New Roman TUR" w:cs="Arial"/>
                <w:b/>
                <w:bCs/>
                <w:sz w:val="14"/>
                <w:szCs w:val="18"/>
              </w:rPr>
            </w:pPr>
            <w:r w:rsidRPr="00604C75">
              <w:rPr>
                <w:rFonts w:ascii="Times New Roman TUR" w:hAnsi="Times New Roman TUR" w:cs="Arial"/>
                <w:b/>
                <w:bCs/>
                <w:sz w:val="14"/>
                <w:szCs w:val="18"/>
              </w:rPr>
              <w:t>(Section Five)</w:t>
            </w:r>
          </w:p>
        </w:tc>
        <w:tc>
          <w:tcPr>
            <w:tcW w:w="1669" w:type="dxa"/>
            <w:tcBorders>
              <w:bottom w:val="single" w:sz="4" w:space="0" w:color="auto"/>
            </w:tcBorders>
            <w:vAlign w:val="bottom"/>
          </w:tcPr>
          <w:p w14:paraId="49E0847B" w14:textId="77777777" w:rsidR="00CE1C4A" w:rsidRPr="00604C75" w:rsidRDefault="00D405BC">
            <w:pPr>
              <w:ind w:right="-71"/>
              <w:jc w:val="right"/>
              <w:rPr>
                <w:b/>
                <w:bCs/>
                <w:noProof/>
                <w:sz w:val="14"/>
                <w:szCs w:val="14"/>
                <w:lang w:val="tr-TR"/>
              </w:rPr>
            </w:pPr>
            <w:r>
              <w:rPr>
                <w:b/>
                <w:bCs/>
                <w:noProof/>
                <w:sz w:val="14"/>
                <w:szCs w:val="14"/>
                <w:lang w:val="tr-TR"/>
              </w:rPr>
              <w:t>3</w:t>
            </w:r>
            <w:r w:rsidR="007E2048">
              <w:rPr>
                <w:b/>
                <w:bCs/>
                <w:noProof/>
                <w:sz w:val="14"/>
                <w:szCs w:val="14"/>
                <w:lang w:val="tr-TR"/>
              </w:rPr>
              <w:t>1</w:t>
            </w:r>
            <w:r>
              <w:rPr>
                <w:b/>
                <w:bCs/>
                <w:noProof/>
                <w:sz w:val="14"/>
                <w:szCs w:val="14"/>
                <w:lang w:val="tr-TR"/>
              </w:rPr>
              <w:t xml:space="preserve"> </w:t>
            </w:r>
            <w:r w:rsidR="007E2048">
              <w:rPr>
                <w:b/>
                <w:bCs/>
                <w:noProof/>
                <w:sz w:val="14"/>
                <w:szCs w:val="14"/>
                <w:lang w:val="tr-TR"/>
              </w:rPr>
              <w:t>December</w:t>
            </w:r>
            <w:r w:rsidR="007E2048" w:rsidRPr="00604C75">
              <w:rPr>
                <w:b/>
                <w:bCs/>
                <w:noProof/>
                <w:sz w:val="14"/>
                <w:szCs w:val="14"/>
                <w:lang w:val="tr-TR"/>
              </w:rPr>
              <w:t xml:space="preserve"> </w:t>
            </w:r>
            <w:r w:rsidR="00D27481" w:rsidRPr="00604C75">
              <w:rPr>
                <w:b/>
                <w:bCs/>
                <w:noProof/>
                <w:sz w:val="14"/>
                <w:szCs w:val="14"/>
                <w:lang w:val="tr-TR"/>
              </w:rPr>
              <w:t>2015</w:t>
            </w:r>
          </w:p>
        </w:tc>
        <w:tc>
          <w:tcPr>
            <w:tcW w:w="1616" w:type="dxa"/>
            <w:gridSpan w:val="2"/>
            <w:tcBorders>
              <w:bottom w:val="single" w:sz="4" w:space="0" w:color="auto"/>
            </w:tcBorders>
            <w:vAlign w:val="bottom"/>
          </w:tcPr>
          <w:p w14:paraId="45473FE5" w14:textId="77777777" w:rsidR="00CE1C4A" w:rsidRPr="00604C75" w:rsidRDefault="00D405BC">
            <w:pPr>
              <w:ind w:right="-71"/>
              <w:jc w:val="right"/>
              <w:rPr>
                <w:rFonts w:eastAsia="Arial Unicode MS"/>
                <w:b/>
                <w:bCs/>
                <w:sz w:val="14"/>
                <w:szCs w:val="14"/>
              </w:rPr>
            </w:pPr>
            <w:r>
              <w:rPr>
                <w:b/>
                <w:bCs/>
                <w:noProof/>
                <w:sz w:val="14"/>
                <w:szCs w:val="14"/>
                <w:lang w:val="tr-TR"/>
              </w:rPr>
              <w:t>3</w:t>
            </w:r>
            <w:r w:rsidR="007E2048">
              <w:rPr>
                <w:b/>
                <w:bCs/>
                <w:noProof/>
                <w:sz w:val="14"/>
                <w:szCs w:val="14"/>
                <w:lang w:val="tr-TR"/>
              </w:rPr>
              <w:t>1</w:t>
            </w:r>
            <w:r>
              <w:rPr>
                <w:b/>
                <w:bCs/>
                <w:noProof/>
                <w:sz w:val="14"/>
                <w:szCs w:val="14"/>
                <w:lang w:val="tr-TR"/>
              </w:rPr>
              <w:t xml:space="preserve"> </w:t>
            </w:r>
            <w:r w:rsidR="007E2048">
              <w:rPr>
                <w:b/>
                <w:bCs/>
                <w:noProof/>
                <w:sz w:val="14"/>
                <w:szCs w:val="14"/>
                <w:lang w:val="tr-TR"/>
              </w:rPr>
              <w:t>December</w:t>
            </w:r>
            <w:r w:rsidR="007E2048" w:rsidRPr="00604C75">
              <w:rPr>
                <w:b/>
                <w:bCs/>
                <w:noProof/>
                <w:sz w:val="14"/>
                <w:szCs w:val="14"/>
                <w:lang w:val="tr-TR"/>
              </w:rPr>
              <w:t xml:space="preserve"> </w:t>
            </w:r>
            <w:r w:rsidR="00CE1C4A" w:rsidRPr="00604C75">
              <w:rPr>
                <w:b/>
                <w:bCs/>
                <w:noProof/>
                <w:sz w:val="14"/>
                <w:szCs w:val="14"/>
                <w:lang w:val="tr-TR"/>
              </w:rPr>
              <w:t>201</w:t>
            </w:r>
            <w:r w:rsidR="00D27481" w:rsidRPr="00604C75">
              <w:rPr>
                <w:b/>
                <w:bCs/>
                <w:noProof/>
                <w:sz w:val="14"/>
                <w:szCs w:val="14"/>
                <w:lang w:val="tr-TR"/>
              </w:rPr>
              <w:t>4</w:t>
            </w:r>
          </w:p>
        </w:tc>
      </w:tr>
      <w:tr w:rsidR="00672836" w:rsidRPr="00604C75" w14:paraId="72833423"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7ACC9D29" w14:textId="77777777" w:rsidR="00672836" w:rsidRPr="00604C75" w:rsidRDefault="00672836" w:rsidP="006848BB">
            <w:pPr>
              <w:spacing w:line="226" w:lineRule="auto"/>
              <w:rPr>
                <w:rFonts w:eastAsia="Arial Unicode MS"/>
                <w:b/>
                <w:bCs/>
                <w:sz w:val="14"/>
                <w:szCs w:val="20"/>
              </w:rPr>
            </w:pPr>
          </w:p>
        </w:tc>
        <w:tc>
          <w:tcPr>
            <w:tcW w:w="4463" w:type="dxa"/>
            <w:noWrap/>
            <w:tcMar>
              <w:top w:w="18" w:type="dxa"/>
              <w:left w:w="18" w:type="dxa"/>
              <w:bottom w:w="0" w:type="dxa"/>
              <w:right w:w="18" w:type="dxa"/>
            </w:tcMar>
            <w:vAlign w:val="bottom"/>
          </w:tcPr>
          <w:p w14:paraId="16B63358" w14:textId="77777777" w:rsidR="00672836" w:rsidRPr="00604C75" w:rsidRDefault="00672836" w:rsidP="006848BB">
            <w:pPr>
              <w:spacing w:line="226" w:lineRule="auto"/>
              <w:rPr>
                <w:b/>
                <w:bCs/>
                <w:sz w:val="14"/>
                <w:szCs w:val="20"/>
              </w:rPr>
            </w:pPr>
          </w:p>
        </w:tc>
        <w:tc>
          <w:tcPr>
            <w:tcW w:w="758" w:type="dxa"/>
          </w:tcPr>
          <w:p w14:paraId="66DC7DC6" w14:textId="77777777" w:rsidR="00672836" w:rsidRPr="00604C75" w:rsidRDefault="00672836" w:rsidP="006848BB">
            <w:pPr>
              <w:spacing w:line="226" w:lineRule="auto"/>
              <w:jc w:val="right"/>
              <w:rPr>
                <w:rFonts w:eastAsia="Arial Unicode MS"/>
                <w:sz w:val="14"/>
                <w:szCs w:val="16"/>
              </w:rPr>
            </w:pPr>
          </w:p>
        </w:tc>
        <w:tc>
          <w:tcPr>
            <w:tcW w:w="1669" w:type="dxa"/>
            <w:tcBorders>
              <w:top w:val="single" w:sz="4" w:space="0" w:color="auto"/>
            </w:tcBorders>
            <w:noWrap/>
            <w:tcMar>
              <w:top w:w="18" w:type="dxa"/>
              <w:left w:w="18" w:type="dxa"/>
              <w:bottom w:w="0" w:type="dxa"/>
              <w:right w:w="18" w:type="dxa"/>
            </w:tcMar>
            <w:vAlign w:val="bottom"/>
          </w:tcPr>
          <w:p w14:paraId="33D207B9" w14:textId="77777777" w:rsidR="00672836" w:rsidRPr="00604C75" w:rsidRDefault="00672836" w:rsidP="006848BB">
            <w:pPr>
              <w:spacing w:line="226" w:lineRule="auto"/>
              <w:jc w:val="right"/>
              <w:rPr>
                <w:rFonts w:eastAsia="Arial Unicode MS"/>
                <w:sz w:val="14"/>
                <w:szCs w:val="16"/>
              </w:rPr>
            </w:pPr>
          </w:p>
        </w:tc>
        <w:tc>
          <w:tcPr>
            <w:tcW w:w="1559" w:type="dxa"/>
            <w:tcBorders>
              <w:top w:val="single" w:sz="4" w:space="0" w:color="auto"/>
            </w:tcBorders>
            <w:noWrap/>
            <w:tcMar>
              <w:top w:w="18" w:type="dxa"/>
              <w:left w:w="18" w:type="dxa"/>
              <w:bottom w:w="0" w:type="dxa"/>
              <w:right w:w="18" w:type="dxa"/>
            </w:tcMar>
            <w:vAlign w:val="bottom"/>
          </w:tcPr>
          <w:p w14:paraId="1B7F022D" w14:textId="77777777" w:rsidR="00672836" w:rsidRPr="00604C75" w:rsidRDefault="00672836" w:rsidP="006848BB">
            <w:pPr>
              <w:spacing w:line="226" w:lineRule="auto"/>
              <w:jc w:val="right"/>
              <w:rPr>
                <w:rFonts w:eastAsia="Arial Unicode MS"/>
                <w:sz w:val="14"/>
                <w:szCs w:val="16"/>
              </w:rPr>
            </w:pPr>
          </w:p>
        </w:tc>
      </w:tr>
      <w:tr w:rsidR="00672836" w:rsidRPr="00604C75" w14:paraId="3B7FC83C"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2E7420F8" w14:textId="77777777" w:rsidR="00672836" w:rsidRPr="00604C75" w:rsidRDefault="00672836" w:rsidP="006848BB">
            <w:pPr>
              <w:spacing w:line="226" w:lineRule="auto"/>
              <w:rPr>
                <w:rFonts w:eastAsia="Arial Unicode MS"/>
                <w:b/>
                <w:bCs/>
                <w:sz w:val="14"/>
                <w:szCs w:val="20"/>
              </w:rPr>
            </w:pPr>
            <w:r w:rsidRPr="00604C75">
              <w:rPr>
                <w:rFonts w:eastAsia="Arial Unicode MS"/>
                <w:b/>
                <w:bCs/>
                <w:sz w:val="14"/>
                <w:szCs w:val="20"/>
              </w:rPr>
              <w:t>A.</w:t>
            </w:r>
          </w:p>
        </w:tc>
        <w:tc>
          <w:tcPr>
            <w:tcW w:w="4463" w:type="dxa"/>
            <w:noWrap/>
            <w:tcMar>
              <w:top w:w="18" w:type="dxa"/>
              <w:left w:w="18" w:type="dxa"/>
              <w:bottom w:w="0" w:type="dxa"/>
              <w:right w:w="18" w:type="dxa"/>
            </w:tcMar>
            <w:vAlign w:val="bottom"/>
          </w:tcPr>
          <w:p w14:paraId="3821A67B" w14:textId="77777777" w:rsidR="00672836" w:rsidRPr="00604C75" w:rsidRDefault="00672836" w:rsidP="006848BB">
            <w:pPr>
              <w:spacing w:line="226" w:lineRule="auto"/>
              <w:rPr>
                <w:b/>
                <w:bCs/>
                <w:sz w:val="14"/>
                <w:szCs w:val="20"/>
              </w:rPr>
            </w:pPr>
            <w:r w:rsidRPr="00604C75">
              <w:rPr>
                <w:rFonts w:eastAsia="Arial Unicode MS"/>
                <w:b/>
                <w:bCs/>
                <w:sz w:val="14"/>
                <w:szCs w:val="20"/>
              </w:rPr>
              <w:t>CAS</w:t>
            </w:r>
            <w:r w:rsidR="00FD5F68">
              <w:rPr>
                <w:rFonts w:eastAsia="Arial Unicode MS"/>
                <w:b/>
                <w:bCs/>
                <w:sz w:val="14"/>
                <w:szCs w:val="20"/>
              </w:rPr>
              <w:t xml:space="preserve">H FLOWS FROM </w:t>
            </w:r>
            <w:r w:rsidR="00DF0505">
              <w:rPr>
                <w:rFonts w:eastAsia="Arial Unicode MS"/>
                <w:b/>
                <w:bCs/>
                <w:sz w:val="14"/>
                <w:szCs w:val="20"/>
              </w:rPr>
              <w:t>BANKING OPERATIONS</w:t>
            </w:r>
          </w:p>
        </w:tc>
        <w:tc>
          <w:tcPr>
            <w:tcW w:w="758" w:type="dxa"/>
          </w:tcPr>
          <w:p w14:paraId="7DFC9518" w14:textId="77777777" w:rsidR="00672836" w:rsidRPr="00604C75" w:rsidRDefault="00672836" w:rsidP="006848BB">
            <w:pPr>
              <w:spacing w:line="226" w:lineRule="auto"/>
              <w:jc w:val="right"/>
              <w:rPr>
                <w:rFonts w:eastAsia="Arial Unicode MS"/>
                <w:sz w:val="14"/>
                <w:szCs w:val="16"/>
              </w:rPr>
            </w:pPr>
          </w:p>
        </w:tc>
        <w:tc>
          <w:tcPr>
            <w:tcW w:w="1669" w:type="dxa"/>
            <w:noWrap/>
            <w:tcMar>
              <w:top w:w="18" w:type="dxa"/>
              <w:left w:w="18" w:type="dxa"/>
              <w:bottom w:w="0" w:type="dxa"/>
              <w:right w:w="18" w:type="dxa"/>
            </w:tcMar>
            <w:vAlign w:val="bottom"/>
          </w:tcPr>
          <w:p w14:paraId="5DF0C6CF" w14:textId="77777777" w:rsidR="00672836" w:rsidRPr="00604C75" w:rsidRDefault="00672836" w:rsidP="006848BB">
            <w:pPr>
              <w:spacing w:line="226" w:lineRule="auto"/>
              <w:jc w:val="right"/>
              <w:rPr>
                <w:rFonts w:eastAsia="Arial Unicode MS"/>
                <w:sz w:val="14"/>
                <w:szCs w:val="16"/>
              </w:rPr>
            </w:pPr>
          </w:p>
        </w:tc>
        <w:tc>
          <w:tcPr>
            <w:tcW w:w="1559" w:type="dxa"/>
            <w:noWrap/>
            <w:tcMar>
              <w:top w:w="18" w:type="dxa"/>
              <w:left w:w="18" w:type="dxa"/>
              <w:bottom w:w="0" w:type="dxa"/>
              <w:right w:w="18" w:type="dxa"/>
            </w:tcMar>
            <w:vAlign w:val="bottom"/>
          </w:tcPr>
          <w:p w14:paraId="7907CE3C" w14:textId="77777777" w:rsidR="00672836" w:rsidRPr="00604C75" w:rsidRDefault="00672836" w:rsidP="006848BB">
            <w:pPr>
              <w:spacing w:line="226" w:lineRule="auto"/>
              <w:jc w:val="right"/>
              <w:rPr>
                <w:rFonts w:eastAsia="Arial Unicode MS"/>
                <w:sz w:val="14"/>
                <w:szCs w:val="16"/>
              </w:rPr>
            </w:pPr>
          </w:p>
        </w:tc>
      </w:tr>
      <w:tr w:rsidR="00672836" w:rsidRPr="00604C75" w14:paraId="7EEAB391"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30318A21" w14:textId="77777777" w:rsidR="00672836" w:rsidRPr="00604C75" w:rsidRDefault="00672836" w:rsidP="006848BB">
            <w:pPr>
              <w:spacing w:line="226" w:lineRule="auto"/>
              <w:rPr>
                <w:rFonts w:eastAsia="Arial Unicode MS"/>
                <w:b/>
                <w:bCs/>
                <w:sz w:val="14"/>
                <w:szCs w:val="20"/>
              </w:rPr>
            </w:pPr>
          </w:p>
        </w:tc>
        <w:tc>
          <w:tcPr>
            <w:tcW w:w="4463" w:type="dxa"/>
            <w:noWrap/>
            <w:tcMar>
              <w:top w:w="18" w:type="dxa"/>
              <w:left w:w="18" w:type="dxa"/>
              <w:bottom w:w="0" w:type="dxa"/>
              <w:right w:w="18" w:type="dxa"/>
            </w:tcMar>
            <w:vAlign w:val="bottom"/>
          </w:tcPr>
          <w:p w14:paraId="778CCFC7" w14:textId="77777777" w:rsidR="00672836" w:rsidRPr="00604C75" w:rsidRDefault="00672836" w:rsidP="006848BB">
            <w:pPr>
              <w:spacing w:line="226" w:lineRule="auto"/>
              <w:rPr>
                <w:rFonts w:eastAsia="Arial Unicode MS"/>
                <w:b/>
                <w:bCs/>
                <w:sz w:val="14"/>
                <w:szCs w:val="20"/>
              </w:rPr>
            </w:pPr>
          </w:p>
        </w:tc>
        <w:tc>
          <w:tcPr>
            <w:tcW w:w="758" w:type="dxa"/>
          </w:tcPr>
          <w:p w14:paraId="700C038B" w14:textId="77777777" w:rsidR="00672836" w:rsidRPr="00604C75" w:rsidRDefault="00672836" w:rsidP="006848BB">
            <w:pPr>
              <w:spacing w:line="226" w:lineRule="auto"/>
              <w:jc w:val="right"/>
              <w:rPr>
                <w:rFonts w:eastAsia="Arial Unicode MS"/>
                <w:sz w:val="14"/>
                <w:szCs w:val="16"/>
              </w:rPr>
            </w:pPr>
          </w:p>
        </w:tc>
        <w:tc>
          <w:tcPr>
            <w:tcW w:w="1669" w:type="dxa"/>
            <w:noWrap/>
            <w:tcMar>
              <w:top w:w="18" w:type="dxa"/>
              <w:left w:w="18" w:type="dxa"/>
              <w:bottom w:w="0" w:type="dxa"/>
              <w:right w:w="18" w:type="dxa"/>
            </w:tcMar>
            <w:vAlign w:val="bottom"/>
          </w:tcPr>
          <w:p w14:paraId="17F0EE40" w14:textId="77777777" w:rsidR="00672836" w:rsidRPr="00604C75" w:rsidRDefault="00672836" w:rsidP="006848BB">
            <w:pPr>
              <w:spacing w:line="226" w:lineRule="auto"/>
              <w:jc w:val="right"/>
              <w:rPr>
                <w:rFonts w:eastAsia="Arial Unicode MS"/>
                <w:sz w:val="14"/>
                <w:szCs w:val="16"/>
              </w:rPr>
            </w:pPr>
          </w:p>
        </w:tc>
        <w:tc>
          <w:tcPr>
            <w:tcW w:w="1559" w:type="dxa"/>
            <w:noWrap/>
            <w:tcMar>
              <w:top w:w="18" w:type="dxa"/>
              <w:left w:w="18" w:type="dxa"/>
              <w:bottom w:w="0" w:type="dxa"/>
              <w:right w:w="18" w:type="dxa"/>
            </w:tcMar>
            <w:vAlign w:val="bottom"/>
          </w:tcPr>
          <w:p w14:paraId="10F0BF61" w14:textId="77777777" w:rsidR="00672836" w:rsidRPr="00604C75" w:rsidRDefault="00672836" w:rsidP="006848BB">
            <w:pPr>
              <w:spacing w:line="226" w:lineRule="auto"/>
              <w:jc w:val="right"/>
              <w:rPr>
                <w:rFonts w:eastAsia="Arial Unicode MS"/>
                <w:sz w:val="14"/>
                <w:szCs w:val="16"/>
              </w:rPr>
            </w:pPr>
          </w:p>
        </w:tc>
      </w:tr>
      <w:tr w:rsidR="00224102" w:rsidRPr="00604C75" w14:paraId="6FB0116A"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0CF7BEE2" w14:textId="77777777" w:rsidR="00224102" w:rsidRPr="00604C75" w:rsidRDefault="00224102" w:rsidP="00224102">
            <w:pPr>
              <w:spacing w:line="226" w:lineRule="auto"/>
              <w:rPr>
                <w:rFonts w:eastAsia="Arial Unicode MS"/>
                <w:bCs/>
                <w:sz w:val="14"/>
                <w:szCs w:val="20"/>
              </w:rPr>
            </w:pPr>
            <w:r w:rsidRPr="00604C75">
              <w:rPr>
                <w:rFonts w:eastAsia="Arial Unicode MS"/>
                <w:sz w:val="14"/>
                <w:szCs w:val="20"/>
              </w:rPr>
              <w:t>1.1</w:t>
            </w:r>
          </w:p>
        </w:tc>
        <w:tc>
          <w:tcPr>
            <w:tcW w:w="4463" w:type="dxa"/>
            <w:noWrap/>
            <w:tcMar>
              <w:top w:w="18" w:type="dxa"/>
              <w:left w:w="18" w:type="dxa"/>
              <w:bottom w:w="0" w:type="dxa"/>
              <w:right w:w="18" w:type="dxa"/>
            </w:tcMar>
            <w:vAlign w:val="bottom"/>
          </w:tcPr>
          <w:p w14:paraId="1762ABA9" w14:textId="734C22EE" w:rsidR="00224102" w:rsidRPr="00604C75" w:rsidRDefault="00224102" w:rsidP="00224102">
            <w:pPr>
              <w:spacing w:line="226" w:lineRule="auto"/>
              <w:rPr>
                <w:rFonts w:eastAsia="Arial Unicode MS"/>
                <w:bCs/>
                <w:sz w:val="14"/>
                <w:szCs w:val="20"/>
              </w:rPr>
            </w:pPr>
            <w:r w:rsidRPr="00604C75">
              <w:rPr>
                <w:rFonts w:eastAsia="Arial Unicode MS"/>
                <w:bCs/>
                <w:sz w:val="14"/>
                <w:szCs w:val="20"/>
              </w:rPr>
              <w:t xml:space="preserve">Operating </w:t>
            </w:r>
            <w:r>
              <w:rPr>
                <w:rFonts w:eastAsia="Arial Unicode MS"/>
                <w:bCs/>
                <w:sz w:val="14"/>
                <w:szCs w:val="20"/>
              </w:rPr>
              <w:t>P</w:t>
            </w:r>
            <w:r w:rsidRPr="00604C75">
              <w:rPr>
                <w:rFonts w:eastAsia="Arial Unicode MS"/>
                <w:bCs/>
                <w:sz w:val="14"/>
                <w:szCs w:val="20"/>
              </w:rPr>
              <w:t xml:space="preserve">rofit </w:t>
            </w:r>
            <w:r>
              <w:rPr>
                <w:rFonts w:eastAsia="Arial Unicode MS"/>
                <w:bCs/>
                <w:sz w:val="14"/>
                <w:szCs w:val="20"/>
              </w:rPr>
              <w:t>B</w:t>
            </w:r>
            <w:r w:rsidRPr="00604C75">
              <w:rPr>
                <w:rFonts w:eastAsia="Arial Unicode MS"/>
                <w:bCs/>
                <w:sz w:val="14"/>
                <w:szCs w:val="20"/>
              </w:rPr>
              <w:t xml:space="preserve">efore </w:t>
            </w:r>
            <w:r>
              <w:rPr>
                <w:rFonts w:eastAsia="Arial Unicode MS"/>
                <w:bCs/>
                <w:sz w:val="14"/>
                <w:szCs w:val="20"/>
              </w:rPr>
              <w:t>C</w:t>
            </w:r>
            <w:r w:rsidRPr="00604C75">
              <w:rPr>
                <w:rFonts w:eastAsia="Arial Unicode MS"/>
                <w:bCs/>
                <w:sz w:val="14"/>
                <w:szCs w:val="20"/>
              </w:rPr>
              <w:t xml:space="preserve">hanges in </w:t>
            </w:r>
            <w:r>
              <w:rPr>
                <w:rFonts w:eastAsia="Arial Unicode MS"/>
                <w:bCs/>
                <w:sz w:val="14"/>
                <w:szCs w:val="20"/>
              </w:rPr>
              <w:t>O</w:t>
            </w:r>
            <w:r w:rsidRPr="00604C75">
              <w:rPr>
                <w:rFonts w:eastAsia="Arial Unicode MS"/>
                <w:bCs/>
                <w:sz w:val="14"/>
                <w:szCs w:val="20"/>
              </w:rPr>
              <w:t xml:space="preserve">perating </w:t>
            </w:r>
            <w:r>
              <w:rPr>
                <w:rFonts w:eastAsia="Arial Unicode MS"/>
                <w:bCs/>
                <w:sz w:val="14"/>
                <w:szCs w:val="20"/>
              </w:rPr>
              <w:t>A</w:t>
            </w:r>
            <w:r w:rsidRPr="00604C75">
              <w:rPr>
                <w:rFonts w:eastAsia="Arial Unicode MS"/>
                <w:bCs/>
                <w:sz w:val="14"/>
                <w:szCs w:val="20"/>
              </w:rPr>
              <w:t xml:space="preserve">ssets and </w:t>
            </w:r>
            <w:r>
              <w:rPr>
                <w:rFonts w:eastAsia="Arial Unicode MS"/>
                <w:bCs/>
                <w:sz w:val="14"/>
                <w:szCs w:val="20"/>
              </w:rPr>
              <w:t>L</w:t>
            </w:r>
            <w:r w:rsidRPr="00604C75">
              <w:rPr>
                <w:rFonts w:eastAsia="Arial Unicode MS"/>
                <w:bCs/>
                <w:sz w:val="14"/>
                <w:szCs w:val="20"/>
              </w:rPr>
              <w:t>iabilities</w:t>
            </w:r>
          </w:p>
        </w:tc>
        <w:tc>
          <w:tcPr>
            <w:tcW w:w="758" w:type="dxa"/>
          </w:tcPr>
          <w:p w14:paraId="3F6037C7"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6948AEC6" w14:textId="25D40883" w:rsidR="00224102" w:rsidRPr="00834CDD" w:rsidRDefault="00224102" w:rsidP="00224102">
            <w:pPr>
              <w:jc w:val="right"/>
              <w:rPr>
                <w:color w:val="000000"/>
                <w:sz w:val="14"/>
                <w:szCs w:val="14"/>
              </w:rPr>
            </w:pPr>
            <w:r w:rsidRPr="008B104E">
              <w:rPr>
                <w:sz w:val="14"/>
                <w:szCs w:val="14"/>
              </w:rPr>
              <w:t>1,508,867</w:t>
            </w:r>
          </w:p>
        </w:tc>
        <w:tc>
          <w:tcPr>
            <w:tcW w:w="1559" w:type="dxa"/>
            <w:noWrap/>
            <w:tcMar>
              <w:top w:w="18" w:type="dxa"/>
              <w:left w:w="18" w:type="dxa"/>
              <w:bottom w:w="0" w:type="dxa"/>
              <w:right w:w="18" w:type="dxa"/>
            </w:tcMar>
            <w:vAlign w:val="bottom"/>
          </w:tcPr>
          <w:p w14:paraId="2465C7D6" w14:textId="78D13B35" w:rsidR="00224102" w:rsidRPr="00834CDD" w:rsidRDefault="00224102" w:rsidP="00224102">
            <w:pPr>
              <w:jc w:val="right"/>
              <w:rPr>
                <w:sz w:val="14"/>
                <w:szCs w:val="14"/>
              </w:rPr>
            </w:pPr>
            <w:r w:rsidRPr="00AD1F1F">
              <w:rPr>
                <w:sz w:val="14"/>
                <w:szCs w:val="14"/>
              </w:rPr>
              <w:t>992,282</w:t>
            </w:r>
          </w:p>
        </w:tc>
      </w:tr>
      <w:tr w:rsidR="00224102" w:rsidRPr="00604C75" w14:paraId="6CD7CEEC" w14:textId="77777777" w:rsidTr="00F142CB">
        <w:tblPrEx>
          <w:tblCellMar>
            <w:left w:w="0" w:type="dxa"/>
            <w:right w:w="0" w:type="dxa"/>
          </w:tblCellMar>
          <w:tblLook w:val="0000" w:firstRow="0" w:lastRow="0" w:firstColumn="0" w:lastColumn="0" w:noHBand="0" w:noVBand="0"/>
        </w:tblPrEx>
        <w:trPr>
          <w:gridAfter w:val="1"/>
          <w:wAfter w:w="57" w:type="dxa"/>
          <w:trHeight w:val="67"/>
        </w:trPr>
        <w:tc>
          <w:tcPr>
            <w:tcW w:w="340" w:type="dxa"/>
            <w:noWrap/>
            <w:tcMar>
              <w:top w:w="18" w:type="dxa"/>
              <w:left w:w="18" w:type="dxa"/>
              <w:bottom w:w="0" w:type="dxa"/>
              <w:right w:w="18" w:type="dxa"/>
            </w:tcMar>
            <w:vAlign w:val="bottom"/>
          </w:tcPr>
          <w:p w14:paraId="509903F2" w14:textId="77777777" w:rsidR="00224102" w:rsidRPr="00604C75" w:rsidRDefault="00224102" w:rsidP="00224102">
            <w:pPr>
              <w:spacing w:line="226" w:lineRule="auto"/>
              <w:rPr>
                <w:sz w:val="14"/>
                <w:szCs w:val="20"/>
              </w:rPr>
            </w:pPr>
          </w:p>
        </w:tc>
        <w:tc>
          <w:tcPr>
            <w:tcW w:w="4463" w:type="dxa"/>
            <w:noWrap/>
            <w:tcMar>
              <w:top w:w="18" w:type="dxa"/>
              <w:left w:w="18" w:type="dxa"/>
              <w:bottom w:w="0" w:type="dxa"/>
              <w:right w:w="18" w:type="dxa"/>
            </w:tcMar>
            <w:vAlign w:val="bottom"/>
          </w:tcPr>
          <w:p w14:paraId="19393F3F" w14:textId="77777777" w:rsidR="00224102" w:rsidRPr="00604C75" w:rsidRDefault="00224102" w:rsidP="00224102">
            <w:pPr>
              <w:spacing w:line="226" w:lineRule="auto"/>
              <w:rPr>
                <w:sz w:val="14"/>
                <w:szCs w:val="20"/>
              </w:rPr>
            </w:pPr>
          </w:p>
        </w:tc>
        <w:tc>
          <w:tcPr>
            <w:tcW w:w="758" w:type="dxa"/>
          </w:tcPr>
          <w:p w14:paraId="443C0FAE"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4F325E1A" w14:textId="77777777" w:rsidR="00224102" w:rsidRPr="00834CDD" w:rsidRDefault="00224102" w:rsidP="00224102">
            <w:pPr>
              <w:jc w:val="right"/>
              <w:rPr>
                <w:color w:val="000000"/>
                <w:sz w:val="14"/>
                <w:szCs w:val="14"/>
              </w:rPr>
            </w:pPr>
          </w:p>
        </w:tc>
        <w:tc>
          <w:tcPr>
            <w:tcW w:w="1559" w:type="dxa"/>
            <w:noWrap/>
            <w:tcMar>
              <w:top w:w="18" w:type="dxa"/>
              <w:left w:w="18" w:type="dxa"/>
              <w:bottom w:w="0" w:type="dxa"/>
              <w:right w:w="18" w:type="dxa"/>
            </w:tcMar>
            <w:vAlign w:val="bottom"/>
          </w:tcPr>
          <w:p w14:paraId="5A50E7C1" w14:textId="77777777" w:rsidR="00224102" w:rsidRPr="00834CDD" w:rsidRDefault="00224102" w:rsidP="00224102">
            <w:pPr>
              <w:jc w:val="right"/>
              <w:rPr>
                <w:sz w:val="14"/>
                <w:szCs w:val="14"/>
              </w:rPr>
            </w:pPr>
          </w:p>
        </w:tc>
      </w:tr>
      <w:tr w:rsidR="00224102" w:rsidRPr="00604C75" w14:paraId="491B7C98"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2E2A1E95"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1.1.1</w:t>
            </w:r>
          </w:p>
        </w:tc>
        <w:tc>
          <w:tcPr>
            <w:tcW w:w="4463" w:type="dxa"/>
            <w:noWrap/>
            <w:tcMar>
              <w:top w:w="18" w:type="dxa"/>
              <w:left w:w="18" w:type="dxa"/>
              <w:bottom w:w="0" w:type="dxa"/>
              <w:right w:w="18" w:type="dxa"/>
            </w:tcMar>
            <w:vAlign w:val="bottom"/>
          </w:tcPr>
          <w:p w14:paraId="20E414DF" w14:textId="4AE50364"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Interest </w:t>
            </w:r>
            <w:r>
              <w:rPr>
                <w:rFonts w:eastAsia="Arial Unicode MS"/>
                <w:sz w:val="14"/>
                <w:szCs w:val="20"/>
              </w:rPr>
              <w:t>R</w:t>
            </w:r>
            <w:r w:rsidRPr="00604C75">
              <w:rPr>
                <w:rFonts w:eastAsia="Arial Unicode MS"/>
                <w:sz w:val="14"/>
                <w:szCs w:val="20"/>
              </w:rPr>
              <w:t>eceived</w:t>
            </w:r>
          </w:p>
        </w:tc>
        <w:tc>
          <w:tcPr>
            <w:tcW w:w="758" w:type="dxa"/>
          </w:tcPr>
          <w:p w14:paraId="69016136"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74FB4947" w14:textId="636DE741" w:rsidR="00224102" w:rsidRPr="00834CDD" w:rsidRDefault="00224102" w:rsidP="00224102">
            <w:pPr>
              <w:jc w:val="right"/>
              <w:rPr>
                <w:color w:val="000000"/>
                <w:sz w:val="14"/>
                <w:szCs w:val="14"/>
              </w:rPr>
            </w:pPr>
            <w:r w:rsidRPr="00AD1F1F">
              <w:rPr>
                <w:sz w:val="14"/>
                <w:szCs w:val="14"/>
              </w:rPr>
              <w:t>1,106,932</w:t>
            </w:r>
          </w:p>
        </w:tc>
        <w:tc>
          <w:tcPr>
            <w:tcW w:w="1559" w:type="dxa"/>
            <w:noWrap/>
            <w:tcMar>
              <w:top w:w="18" w:type="dxa"/>
              <w:left w:w="18" w:type="dxa"/>
              <w:bottom w:w="0" w:type="dxa"/>
              <w:right w:w="18" w:type="dxa"/>
            </w:tcMar>
            <w:vAlign w:val="bottom"/>
          </w:tcPr>
          <w:p w14:paraId="673721E0" w14:textId="5DBFE936" w:rsidR="00224102" w:rsidRPr="00834CDD" w:rsidRDefault="00224102" w:rsidP="00224102">
            <w:pPr>
              <w:jc w:val="right"/>
              <w:rPr>
                <w:sz w:val="14"/>
                <w:szCs w:val="14"/>
              </w:rPr>
            </w:pPr>
            <w:r w:rsidRPr="00AD1F1F">
              <w:rPr>
                <w:sz w:val="14"/>
                <w:szCs w:val="14"/>
              </w:rPr>
              <w:t>1,233,958</w:t>
            </w:r>
          </w:p>
        </w:tc>
      </w:tr>
      <w:tr w:rsidR="00224102" w:rsidRPr="00604C75" w14:paraId="52CC0FA1"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3E87B47A"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1.1.2</w:t>
            </w:r>
          </w:p>
        </w:tc>
        <w:tc>
          <w:tcPr>
            <w:tcW w:w="4463" w:type="dxa"/>
            <w:noWrap/>
            <w:tcMar>
              <w:top w:w="18" w:type="dxa"/>
              <w:left w:w="18" w:type="dxa"/>
              <w:bottom w:w="0" w:type="dxa"/>
              <w:right w:w="18" w:type="dxa"/>
            </w:tcMar>
            <w:vAlign w:val="bottom"/>
          </w:tcPr>
          <w:p w14:paraId="77237D51" w14:textId="4EBFE1C7"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Interest </w:t>
            </w:r>
            <w:r>
              <w:rPr>
                <w:rFonts w:eastAsia="Arial Unicode MS"/>
                <w:sz w:val="14"/>
                <w:szCs w:val="20"/>
              </w:rPr>
              <w:t>P</w:t>
            </w:r>
            <w:r w:rsidRPr="00604C75">
              <w:rPr>
                <w:rFonts w:eastAsia="Arial Unicode MS"/>
                <w:sz w:val="14"/>
                <w:szCs w:val="20"/>
              </w:rPr>
              <w:t>aid</w:t>
            </w:r>
          </w:p>
        </w:tc>
        <w:tc>
          <w:tcPr>
            <w:tcW w:w="758" w:type="dxa"/>
          </w:tcPr>
          <w:p w14:paraId="278B73D4"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2BE758F8" w14:textId="32941140" w:rsidR="00224102" w:rsidRPr="00834CDD" w:rsidRDefault="00224102" w:rsidP="00224102">
            <w:pPr>
              <w:jc w:val="right"/>
              <w:rPr>
                <w:color w:val="000000"/>
                <w:sz w:val="14"/>
                <w:szCs w:val="14"/>
              </w:rPr>
            </w:pPr>
            <w:r w:rsidRPr="00AD1F1F">
              <w:rPr>
                <w:sz w:val="14"/>
                <w:szCs w:val="14"/>
              </w:rPr>
              <w:t>(570,645)</w:t>
            </w:r>
          </w:p>
        </w:tc>
        <w:tc>
          <w:tcPr>
            <w:tcW w:w="1559" w:type="dxa"/>
            <w:noWrap/>
            <w:tcMar>
              <w:top w:w="18" w:type="dxa"/>
              <w:left w:w="18" w:type="dxa"/>
              <w:bottom w:w="0" w:type="dxa"/>
              <w:right w:w="18" w:type="dxa"/>
            </w:tcMar>
            <w:vAlign w:val="bottom"/>
          </w:tcPr>
          <w:p w14:paraId="654CEA79" w14:textId="7ACEE0EA" w:rsidR="00224102" w:rsidRPr="00834CDD" w:rsidRDefault="00224102" w:rsidP="00224102">
            <w:pPr>
              <w:jc w:val="right"/>
              <w:rPr>
                <w:sz w:val="14"/>
                <w:szCs w:val="14"/>
              </w:rPr>
            </w:pPr>
            <w:r w:rsidRPr="00AD1F1F">
              <w:rPr>
                <w:sz w:val="14"/>
                <w:szCs w:val="14"/>
              </w:rPr>
              <w:t>(631,469)</w:t>
            </w:r>
          </w:p>
        </w:tc>
      </w:tr>
      <w:tr w:rsidR="00224102" w:rsidRPr="00604C75" w14:paraId="5B878621"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79806E00"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1.1.3</w:t>
            </w:r>
          </w:p>
        </w:tc>
        <w:tc>
          <w:tcPr>
            <w:tcW w:w="4463" w:type="dxa"/>
            <w:noWrap/>
            <w:tcMar>
              <w:top w:w="18" w:type="dxa"/>
              <w:left w:w="18" w:type="dxa"/>
              <w:bottom w:w="0" w:type="dxa"/>
              <w:right w:w="18" w:type="dxa"/>
            </w:tcMar>
            <w:vAlign w:val="bottom"/>
          </w:tcPr>
          <w:p w14:paraId="4F08E006" w14:textId="32456FF4"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Dividend </w:t>
            </w:r>
            <w:r>
              <w:rPr>
                <w:rFonts w:eastAsia="Arial Unicode MS"/>
                <w:sz w:val="14"/>
                <w:szCs w:val="20"/>
              </w:rPr>
              <w:t>R</w:t>
            </w:r>
            <w:r w:rsidRPr="00604C75">
              <w:rPr>
                <w:rFonts w:eastAsia="Arial Unicode MS"/>
                <w:sz w:val="14"/>
                <w:szCs w:val="20"/>
              </w:rPr>
              <w:t>eceived</w:t>
            </w:r>
          </w:p>
        </w:tc>
        <w:tc>
          <w:tcPr>
            <w:tcW w:w="758" w:type="dxa"/>
          </w:tcPr>
          <w:p w14:paraId="228720EC"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3506AFF0" w14:textId="65E4B61A" w:rsidR="00224102" w:rsidRPr="00834CDD" w:rsidRDefault="00224102" w:rsidP="00224102">
            <w:pPr>
              <w:jc w:val="right"/>
              <w:rPr>
                <w:color w:val="000000"/>
                <w:sz w:val="14"/>
                <w:szCs w:val="14"/>
              </w:rPr>
            </w:pPr>
            <w:r w:rsidRPr="00AD1F1F">
              <w:rPr>
                <w:sz w:val="14"/>
                <w:szCs w:val="14"/>
              </w:rPr>
              <w:t>-</w:t>
            </w:r>
          </w:p>
        </w:tc>
        <w:tc>
          <w:tcPr>
            <w:tcW w:w="1559" w:type="dxa"/>
            <w:noWrap/>
            <w:tcMar>
              <w:top w:w="18" w:type="dxa"/>
              <w:left w:w="18" w:type="dxa"/>
              <w:bottom w:w="0" w:type="dxa"/>
              <w:right w:w="18" w:type="dxa"/>
            </w:tcMar>
            <w:vAlign w:val="bottom"/>
          </w:tcPr>
          <w:p w14:paraId="5C98587C" w14:textId="16F88BD3" w:rsidR="00224102" w:rsidRPr="00834CDD" w:rsidRDefault="00224102" w:rsidP="00224102">
            <w:pPr>
              <w:jc w:val="right"/>
              <w:rPr>
                <w:sz w:val="14"/>
                <w:szCs w:val="14"/>
              </w:rPr>
            </w:pPr>
            <w:r w:rsidRPr="00AD1F1F">
              <w:rPr>
                <w:sz w:val="14"/>
                <w:szCs w:val="14"/>
              </w:rPr>
              <w:t>197</w:t>
            </w:r>
          </w:p>
        </w:tc>
      </w:tr>
      <w:tr w:rsidR="00224102" w:rsidRPr="00604C75" w14:paraId="693F8F1E"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79318E34"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1.1.4</w:t>
            </w:r>
          </w:p>
        </w:tc>
        <w:tc>
          <w:tcPr>
            <w:tcW w:w="4463" w:type="dxa"/>
            <w:noWrap/>
            <w:tcMar>
              <w:top w:w="18" w:type="dxa"/>
              <w:left w:w="18" w:type="dxa"/>
              <w:bottom w:w="0" w:type="dxa"/>
              <w:right w:w="18" w:type="dxa"/>
            </w:tcMar>
            <w:vAlign w:val="bottom"/>
          </w:tcPr>
          <w:p w14:paraId="7D296882" w14:textId="5A57D69E"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Fees and </w:t>
            </w:r>
            <w:r>
              <w:rPr>
                <w:rFonts w:eastAsia="Arial Unicode MS"/>
                <w:sz w:val="14"/>
                <w:szCs w:val="20"/>
              </w:rPr>
              <w:t>C</w:t>
            </w:r>
            <w:r w:rsidRPr="00604C75">
              <w:rPr>
                <w:rFonts w:eastAsia="Arial Unicode MS"/>
                <w:sz w:val="14"/>
                <w:szCs w:val="20"/>
              </w:rPr>
              <w:t xml:space="preserve">ommissions </w:t>
            </w:r>
            <w:r>
              <w:rPr>
                <w:rFonts w:eastAsia="Arial Unicode MS"/>
                <w:sz w:val="14"/>
                <w:szCs w:val="20"/>
              </w:rPr>
              <w:t>R</w:t>
            </w:r>
            <w:r w:rsidRPr="00604C75">
              <w:rPr>
                <w:rFonts w:eastAsia="Arial Unicode MS"/>
                <w:sz w:val="14"/>
                <w:szCs w:val="20"/>
              </w:rPr>
              <w:t>eceived</w:t>
            </w:r>
          </w:p>
        </w:tc>
        <w:tc>
          <w:tcPr>
            <w:tcW w:w="758" w:type="dxa"/>
          </w:tcPr>
          <w:p w14:paraId="389B3ABD"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362933B6" w14:textId="4D211962" w:rsidR="00224102" w:rsidRPr="00834CDD" w:rsidRDefault="00224102" w:rsidP="00224102">
            <w:pPr>
              <w:jc w:val="right"/>
              <w:rPr>
                <w:color w:val="000000"/>
                <w:sz w:val="14"/>
                <w:szCs w:val="14"/>
              </w:rPr>
            </w:pPr>
            <w:r w:rsidRPr="00AD1F1F">
              <w:rPr>
                <w:sz w:val="14"/>
                <w:szCs w:val="14"/>
              </w:rPr>
              <w:t>78,982</w:t>
            </w:r>
          </w:p>
        </w:tc>
        <w:tc>
          <w:tcPr>
            <w:tcW w:w="1559" w:type="dxa"/>
            <w:noWrap/>
            <w:tcMar>
              <w:top w:w="18" w:type="dxa"/>
              <w:left w:w="18" w:type="dxa"/>
              <w:bottom w:w="0" w:type="dxa"/>
              <w:right w:w="18" w:type="dxa"/>
            </w:tcMar>
            <w:vAlign w:val="bottom"/>
          </w:tcPr>
          <w:p w14:paraId="65B198CB" w14:textId="2DE67DBE" w:rsidR="00224102" w:rsidRPr="00834CDD" w:rsidRDefault="00224102" w:rsidP="00224102">
            <w:pPr>
              <w:jc w:val="right"/>
              <w:rPr>
                <w:sz w:val="14"/>
                <w:szCs w:val="14"/>
              </w:rPr>
            </w:pPr>
            <w:r w:rsidRPr="00AD1F1F">
              <w:rPr>
                <w:sz w:val="14"/>
                <w:szCs w:val="14"/>
              </w:rPr>
              <w:t>62,823</w:t>
            </w:r>
          </w:p>
        </w:tc>
      </w:tr>
      <w:tr w:rsidR="00224102" w:rsidRPr="00604C75" w14:paraId="50F5D009"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466256E7"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1.1.5</w:t>
            </w:r>
          </w:p>
        </w:tc>
        <w:tc>
          <w:tcPr>
            <w:tcW w:w="4463" w:type="dxa"/>
            <w:noWrap/>
            <w:tcMar>
              <w:top w:w="18" w:type="dxa"/>
              <w:left w:w="18" w:type="dxa"/>
              <w:bottom w:w="0" w:type="dxa"/>
              <w:right w:w="18" w:type="dxa"/>
            </w:tcMar>
            <w:vAlign w:val="bottom"/>
          </w:tcPr>
          <w:p w14:paraId="45ACB010" w14:textId="76D15BB7"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Other </w:t>
            </w:r>
            <w:r>
              <w:rPr>
                <w:rFonts w:eastAsia="Arial Unicode MS"/>
                <w:sz w:val="14"/>
                <w:szCs w:val="20"/>
              </w:rPr>
              <w:t>I</w:t>
            </w:r>
            <w:r w:rsidRPr="00604C75">
              <w:rPr>
                <w:rFonts w:eastAsia="Arial Unicode MS"/>
                <w:sz w:val="14"/>
                <w:szCs w:val="20"/>
              </w:rPr>
              <w:t>ncome</w:t>
            </w:r>
          </w:p>
        </w:tc>
        <w:tc>
          <w:tcPr>
            <w:tcW w:w="758" w:type="dxa"/>
          </w:tcPr>
          <w:p w14:paraId="0CEB2EFB"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35760C81" w14:textId="133ED7B8" w:rsidR="00224102" w:rsidRPr="00834CDD" w:rsidRDefault="00224102" w:rsidP="00224102">
            <w:pPr>
              <w:jc w:val="right"/>
              <w:rPr>
                <w:color w:val="000000"/>
                <w:sz w:val="14"/>
                <w:szCs w:val="14"/>
              </w:rPr>
            </w:pPr>
            <w:r w:rsidRPr="00AD1F1F">
              <w:rPr>
                <w:sz w:val="14"/>
                <w:szCs w:val="14"/>
              </w:rPr>
              <w:t>82,590</w:t>
            </w:r>
          </w:p>
        </w:tc>
        <w:tc>
          <w:tcPr>
            <w:tcW w:w="1559" w:type="dxa"/>
            <w:noWrap/>
            <w:tcMar>
              <w:top w:w="18" w:type="dxa"/>
              <w:left w:w="18" w:type="dxa"/>
              <w:bottom w:w="0" w:type="dxa"/>
              <w:right w:w="18" w:type="dxa"/>
            </w:tcMar>
            <w:vAlign w:val="bottom"/>
          </w:tcPr>
          <w:p w14:paraId="0CCA88FB" w14:textId="5D0DDA03" w:rsidR="00224102" w:rsidRPr="00834CDD" w:rsidRDefault="00224102" w:rsidP="00224102">
            <w:pPr>
              <w:jc w:val="right"/>
              <w:rPr>
                <w:sz w:val="14"/>
                <w:szCs w:val="14"/>
              </w:rPr>
            </w:pPr>
            <w:r w:rsidRPr="00AD1F1F">
              <w:rPr>
                <w:sz w:val="14"/>
                <w:szCs w:val="14"/>
              </w:rPr>
              <w:t>15,956</w:t>
            </w:r>
          </w:p>
        </w:tc>
      </w:tr>
      <w:tr w:rsidR="00224102" w:rsidRPr="00604C75" w14:paraId="3F07DA49"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013AD4B9"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1.1.6</w:t>
            </w:r>
          </w:p>
        </w:tc>
        <w:tc>
          <w:tcPr>
            <w:tcW w:w="4463" w:type="dxa"/>
            <w:noWrap/>
            <w:tcMar>
              <w:top w:w="18" w:type="dxa"/>
              <w:left w:w="18" w:type="dxa"/>
              <w:bottom w:w="0" w:type="dxa"/>
              <w:right w:w="18" w:type="dxa"/>
            </w:tcMar>
            <w:vAlign w:val="bottom"/>
          </w:tcPr>
          <w:p w14:paraId="48FF5C74" w14:textId="76D6E2E3"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Collections from </w:t>
            </w:r>
            <w:r>
              <w:rPr>
                <w:rFonts w:eastAsia="Arial Unicode MS"/>
                <w:sz w:val="14"/>
                <w:szCs w:val="20"/>
              </w:rPr>
              <w:t>P</w:t>
            </w:r>
            <w:r w:rsidRPr="00604C75">
              <w:rPr>
                <w:rFonts w:eastAsia="Arial Unicode MS"/>
                <w:sz w:val="14"/>
                <w:szCs w:val="20"/>
              </w:rPr>
              <w:t xml:space="preserve">reviously </w:t>
            </w:r>
            <w:r>
              <w:rPr>
                <w:rFonts w:eastAsia="Arial Unicode MS"/>
                <w:sz w:val="14"/>
                <w:szCs w:val="20"/>
              </w:rPr>
              <w:t>W</w:t>
            </w:r>
            <w:r w:rsidRPr="00604C75">
              <w:rPr>
                <w:rFonts w:eastAsia="Arial Unicode MS"/>
                <w:sz w:val="14"/>
                <w:szCs w:val="20"/>
              </w:rPr>
              <w:t xml:space="preserve">ritten-off </w:t>
            </w:r>
            <w:r>
              <w:rPr>
                <w:rFonts w:eastAsia="Arial Unicode MS"/>
                <w:sz w:val="14"/>
                <w:szCs w:val="20"/>
              </w:rPr>
              <w:t>L</w:t>
            </w:r>
            <w:r w:rsidRPr="00604C75">
              <w:rPr>
                <w:rFonts w:eastAsia="Arial Unicode MS"/>
                <w:sz w:val="14"/>
                <w:szCs w:val="20"/>
              </w:rPr>
              <w:t xml:space="preserve">oans and </w:t>
            </w:r>
            <w:r>
              <w:rPr>
                <w:rFonts w:eastAsia="Arial Unicode MS"/>
                <w:sz w:val="14"/>
                <w:szCs w:val="20"/>
              </w:rPr>
              <w:t>O</w:t>
            </w:r>
            <w:r w:rsidRPr="00604C75">
              <w:rPr>
                <w:rFonts w:eastAsia="Arial Unicode MS"/>
                <w:sz w:val="14"/>
                <w:szCs w:val="20"/>
              </w:rPr>
              <w:t xml:space="preserve">ther </w:t>
            </w:r>
            <w:r>
              <w:rPr>
                <w:rFonts w:eastAsia="Arial Unicode MS"/>
                <w:sz w:val="14"/>
                <w:szCs w:val="20"/>
              </w:rPr>
              <w:t>R</w:t>
            </w:r>
            <w:r w:rsidRPr="00604C75">
              <w:rPr>
                <w:rFonts w:eastAsia="Arial Unicode MS"/>
                <w:sz w:val="14"/>
                <w:szCs w:val="20"/>
              </w:rPr>
              <w:t>eceivables</w:t>
            </w:r>
          </w:p>
        </w:tc>
        <w:tc>
          <w:tcPr>
            <w:tcW w:w="758" w:type="dxa"/>
          </w:tcPr>
          <w:p w14:paraId="078A9E2B"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6BE29642" w14:textId="59BD2F82" w:rsidR="00224102" w:rsidRPr="00834CDD" w:rsidRDefault="00224102" w:rsidP="00224102">
            <w:pPr>
              <w:jc w:val="right"/>
              <w:rPr>
                <w:color w:val="000000"/>
                <w:sz w:val="14"/>
                <w:szCs w:val="14"/>
              </w:rPr>
            </w:pPr>
            <w:r w:rsidRPr="00AD1F1F">
              <w:rPr>
                <w:sz w:val="14"/>
                <w:szCs w:val="14"/>
              </w:rPr>
              <w:t>105,729</w:t>
            </w:r>
          </w:p>
        </w:tc>
        <w:tc>
          <w:tcPr>
            <w:tcW w:w="1559" w:type="dxa"/>
            <w:noWrap/>
            <w:tcMar>
              <w:top w:w="18" w:type="dxa"/>
              <w:left w:w="18" w:type="dxa"/>
              <w:bottom w:w="0" w:type="dxa"/>
              <w:right w:w="18" w:type="dxa"/>
            </w:tcMar>
            <w:vAlign w:val="bottom"/>
          </w:tcPr>
          <w:p w14:paraId="6EAB5C7B" w14:textId="77AB832F" w:rsidR="00224102" w:rsidRPr="00834CDD" w:rsidRDefault="00224102" w:rsidP="00224102">
            <w:pPr>
              <w:jc w:val="right"/>
              <w:rPr>
                <w:sz w:val="14"/>
                <w:szCs w:val="14"/>
              </w:rPr>
            </w:pPr>
            <w:r w:rsidRPr="00AD1F1F">
              <w:rPr>
                <w:sz w:val="14"/>
                <w:szCs w:val="14"/>
              </w:rPr>
              <w:t>74,450</w:t>
            </w:r>
          </w:p>
        </w:tc>
      </w:tr>
      <w:tr w:rsidR="00224102" w:rsidRPr="00604C75" w14:paraId="2F6583FA"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2B4E093F"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1.1.7</w:t>
            </w:r>
          </w:p>
        </w:tc>
        <w:tc>
          <w:tcPr>
            <w:tcW w:w="4463" w:type="dxa"/>
            <w:noWrap/>
            <w:tcMar>
              <w:top w:w="18" w:type="dxa"/>
              <w:left w:w="18" w:type="dxa"/>
              <w:bottom w:w="0" w:type="dxa"/>
              <w:right w:w="18" w:type="dxa"/>
            </w:tcMar>
            <w:vAlign w:val="bottom"/>
          </w:tcPr>
          <w:p w14:paraId="6BC590D9" w14:textId="23E42D69"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Payments to </w:t>
            </w:r>
            <w:r>
              <w:rPr>
                <w:rFonts w:eastAsia="Arial Unicode MS"/>
                <w:sz w:val="14"/>
                <w:szCs w:val="20"/>
              </w:rPr>
              <w:t>P</w:t>
            </w:r>
            <w:r w:rsidRPr="00604C75">
              <w:rPr>
                <w:rFonts w:eastAsia="Arial Unicode MS"/>
                <w:sz w:val="14"/>
                <w:szCs w:val="20"/>
              </w:rPr>
              <w:t xml:space="preserve">ersonnel and </w:t>
            </w:r>
            <w:r>
              <w:rPr>
                <w:rFonts w:eastAsia="Arial Unicode MS"/>
                <w:sz w:val="14"/>
                <w:szCs w:val="20"/>
              </w:rPr>
              <w:t>S</w:t>
            </w:r>
            <w:r w:rsidRPr="00604C75">
              <w:rPr>
                <w:rFonts w:eastAsia="Arial Unicode MS"/>
                <w:sz w:val="14"/>
                <w:szCs w:val="20"/>
              </w:rPr>
              <w:t xml:space="preserve">ervice </w:t>
            </w:r>
            <w:r>
              <w:rPr>
                <w:rFonts w:eastAsia="Arial Unicode MS"/>
                <w:sz w:val="14"/>
                <w:szCs w:val="20"/>
              </w:rPr>
              <w:t>S</w:t>
            </w:r>
            <w:r w:rsidRPr="00604C75">
              <w:rPr>
                <w:rFonts w:eastAsia="Arial Unicode MS"/>
                <w:sz w:val="14"/>
                <w:szCs w:val="20"/>
              </w:rPr>
              <w:t>uppliers</w:t>
            </w:r>
          </w:p>
        </w:tc>
        <w:tc>
          <w:tcPr>
            <w:tcW w:w="758" w:type="dxa"/>
          </w:tcPr>
          <w:p w14:paraId="1552C24E"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22F4EC5A" w14:textId="3E878259" w:rsidR="00224102" w:rsidRPr="00834CDD" w:rsidRDefault="00224102" w:rsidP="00224102">
            <w:pPr>
              <w:jc w:val="right"/>
              <w:rPr>
                <w:color w:val="000000"/>
                <w:sz w:val="14"/>
                <w:szCs w:val="14"/>
              </w:rPr>
            </w:pPr>
            <w:r w:rsidRPr="00AD1F1F">
              <w:rPr>
                <w:sz w:val="14"/>
                <w:szCs w:val="14"/>
              </w:rPr>
              <w:t>(157,199)</w:t>
            </w:r>
          </w:p>
        </w:tc>
        <w:tc>
          <w:tcPr>
            <w:tcW w:w="1559" w:type="dxa"/>
            <w:noWrap/>
            <w:tcMar>
              <w:top w:w="18" w:type="dxa"/>
              <w:left w:w="18" w:type="dxa"/>
              <w:bottom w:w="0" w:type="dxa"/>
              <w:right w:w="18" w:type="dxa"/>
            </w:tcMar>
            <w:vAlign w:val="bottom"/>
          </w:tcPr>
          <w:p w14:paraId="291BED26" w14:textId="794F3D8E" w:rsidR="00224102" w:rsidRPr="00834CDD" w:rsidRDefault="00224102" w:rsidP="00224102">
            <w:pPr>
              <w:jc w:val="right"/>
              <w:rPr>
                <w:sz w:val="14"/>
                <w:szCs w:val="14"/>
              </w:rPr>
            </w:pPr>
            <w:r w:rsidRPr="00AD1F1F">
              <w:rPr>
                <w:sz w:val="14"/>
                <w:szCs w:val="14"/>
              </w:rPr>
              <w:t>(159,239)</w:t>
            </w:r>
          </w:p>
        </w:tc>
      </w:tr>
      <w:tr w:rsidR="00224102" w:rsidRPr="00604C75" w14:paraId="48EAC8E3"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6484D7FF"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1.1.8</w:t>
            </w:r>
          </w:p>
        </w:tc>
        <w:tc>
          <w:tcPr>
            <w:tcW w:w="4463" w:type="dxa"/>
            <w:noWrap/>
            <w:tcMar>
              <w:top w:w="18" w:type="dxa"/>
              <w:left w:w="18" w:type="dxa"/>
              <w:bottom w:w="0" w:type="dxa"/>
              <w:right w:w="18" w:type="dxa"/>
            </w:tcMar>
            <w:vAlign w:val="bottom"/>
          </w:tcPr>
          <w:p w14:paraId="575F4B18" w14:textId="03AEE566"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Taxes </w:t>
            </w:r>
            <w:r>
              <w:rPr>
                <w:rFonts w:eastAsia="Arial Unicode MS"/>
                <w:sz w:val="14"/>
                <w:szCs w:val="20"/>
              </w:rPr>
              <w:t>P</w:t>
            </w:r>
            <w:r w:rsidRPr="00604C75">
              <w:rPr>
                <w:rFonts w:eastAsia="Arial Unicode MS"/>
                <w:sz w:val="14"/>
                <w:szCs w:val="20"/>
              </w:rPr>
              <w:t>aid</w:t>
            </w:r>
          </w:p>
        </w:tc>
        <w:tc>
          <w:tcPr>
            <w:tcW w:w="758" w:type="dxa"/>
          </w:tcPr>
          <w:p w14:paraId="7DD0C26A"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4CBF4F86" w14:textId="5106B482" w:rsidR="00224102" w:rsidRPr="00834CDD" w:rsidRDefault="00224102" w:rsidP="00224102">
            <w:pPr>
              <w:jc w:val="right"/>
              <w:rPr>
                <w:color w:val="000000"/>
                <w:sz w:val="14"/>
                <w:szCs w:val="14"/>
              </w:rPr>
            </w:pPr>
            <w:r w:rsidRPr="00AD1F1F">
              <w:rPr>
                <w:sz w:val="14"/>
                <w:szCs w:val="14"/>
              </w:rPr>
              <w:t>(38,140)</w:t>
            </w:r>
          </w:p>
        </w:tc>
        <w:tc>
          <w:tcPr>
            <w:tcW w:w="1559" w:type="dxa"/>
            <w:noWrap/>
            <w:tcMar>
              <w:top w:w="18" w:type="dxa"/>
              <w:left w:w="18" w:type="dxa"/>
              <w:bottom w:w="0" w:type="dxa"/>
              <w:right w:w="18" w:type="dxa"/>
            </w:tcMar>
            <w:vAlign w:val="bottom"/>
          </w:tcPr>
          <w:p w14:paraId="625A9AA0" w14:textId="1DDEA682" w:rsidR="00224102" w:rsidRPr="00834CDD" w:rsidRDefault="00224102" w:rsidP="00224102">
            <w:pPr>
              <w:jc w:val="right"/>
              <w:rPr>
                <w:sz w:val="14"/>
                <w:szCs w:val="14"/>
              </w:rPr>
            </w:pPr>
            <w:r w:rsidRPr="00AD1F1F">
              <w:rPr>
                <w:sz w:val="14"/>
                <w:szCs w:val="14"/>
              </w:rPr>
              <w:t>(34,381)</w:t>
            </w:r>
          </w:p>
        </w:tc>
      </w:tr>
      <w:tr w:rsidR="00224102" w:rsidRPr="00604C75" w14:paraId="791B1322"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7229815B"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1.1.9</w:t>
            </w:r>
          </w:p>
        </w:tc>
        <w:tc>
          <w:tcPr>
            <w:tcW w:w="4463" w:type="dxa"/>
            <w:noWrap/>
            <w:tcMar>
              <w:top w:w="18" w:type="dxa"/>
              <w:left w:w="18" w:type="dxa"/>
              <w:bottom w:w="0" w:type="dxa"/>
              <w:right w:w="18" w:type="dxa"/>
            </w:tcMar>
            <w:vAlign w:val="bottom"/>
          </w:tcPr>
          <w:p w14:paraId="3D54788B"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Other</w:t>
            </w:r>
          </w:p>
        </w:tc>
        <w:tc>
          <w:tcPr>
            <w:tcW w:w="758" w:type="dxa"/>
          </w:tcPr>
          <w:p w14:paraId="6CA14954"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02871DBF" w14:textId="6CDC821C" w:rsidR="00224102" w:rsidRPr="00834CDD" w:rsidRDefault="00224102" w:rsidP="00224102">
            <w:pPr>
              <w:jc w:val="right"/>
              <w:rPr>
                <w:color w:val="000000"/>
                <w:sz w:val="14"/>
                <w:szCs w:val="14"/>
              </w:rPr>
            </w:pPr>
            <w:r w:rsidRPr="00AD1F1F">
              <w:rPr>
                <w:sz w:val="14"/>
                <w:szCs w:val="14"/>
              </w:rPr>
              <w:t>90</w:t>
            </w:r>
            <w:r>
              <w:rPr>
                <w:sz w:val="14"/>
                <w:szCs w:val="14"/>
              </w:rPr>
              <w:t>0</w:t>
            </w:r>
            <w:r w:rsidRPr="00AD1F1F">
              <w:rPr>
                <w:sz w:val="14"/>
                <w:szCs w:val="14"/>
              </w:rPr>
              <w:t>,6</w:t>
            </w:r>
            <w:r>
              <w:rPr>
                <w:sz w:val="14"/>
                <w:szCs w:val="14"/>
              </w:rPr>
              <w:t>1</w:t>
            </w:r>
            <w:r w:rsidRPr="00AD1F1F">
              <w:rPr>
                <w:sz w:val="14"/>
                <w:szCs w:val="14"/>
              </w:rPr>
              <w:t>8</w:t>
            </w:r>
          </w:p>
        </w:tc>
        <w:tc>
          <w:tcPr>
            <w:tcW w:w="1559" w:type="dxa"/>
            <w:noWrap/>
            <w:tcMar>
              <w:top w:w="18" w:type="dxa"/>
              <w:left w:w="18" w:type="dxa"/>
              <w:bottom w:w="0" w:type="dxa"/>
              <w:right w:w="18" w:type="dxa"/>
            </w:tcMar>
            <w:vAlign w:val="bottom"/>
          </w:tcPr>
          <w:p w14:paraId="148CD02D" w14:textId="3E811794" w:rsidR="00224102" w:rsidRPr="00834CDD" w:rsidRDefault="00224102" w:rsidP="00224102">
            <w:pPr>
              <w:jc w:val="right"/>
              <w:rPr>
                <w:sz w:val="14"/>
                <w:szCs w:val="14"/>
              </w:rPr>
            </w:pPr>
            <w:r w:rsidRPr="00AD1F1F">
              <w:rPr>
                <w:sz w:val="14"/>
                <w:szCs w:val="14"/>
              </w:rPr>
              <w:t>429,987</w:t>
            </w:r>
          </w:p>
        </w:tc>
      </w:tr>
      <w:tr w:rsidR="00224102" w:rsidRPr="00604C75" w14:paraId="69EC45CE"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1EB9E675" w14:textId="77777777" w:rsidR="00224102" w:rsidRPr="00604C75" w:rsidRDefault="00224102" w:rsidP="00224102">
            <w:pPr>
              <w:spacing w:line="226" w:lineRule="auto"/>
              <w:rPr>
                <w:rFonts w:eastAsia="Arial Unicode MS"/>
                <w:sz w:val="14"/>
                <w:szCs w:val="20"/>
              </w:rPr>
            </w:pPr>
          </w:p>
        </w:tc>
        <w:tc>
          <w:tcPr>
            <w:tcW w:w="4463" w:type="dxa"/>
            <w:noWrap/>
            <w:tcMar>
              <w:top w:w="18" w:type="dxa"/>
              <w:left w:w="18" w:type="dxa"/>
              <w:bottom w:w="0" w:type="dxa"/>
              <w:right w:w="18" w:type="dxa"/>
            </w:tcMar>
            <w:vAlign w:val="bottom"/>
          </w:tcPr>
          <w:p w14:paraId="5CCAC795" w14:textId="77777777" w:rsidR="00224102" w:rsidRPr="00604C75" w:rsidRDefault="00224102" w:rsidP="00224102">
            <w:pPr>
              <w:spacing w:line="226" w:lineRule="auto"/>
              <w:rPr>
                <w:rFonts w:eastAsia="Arial Unicode MS"/>
                <w:sz w:val="14"/>
                <w:szCs w:val="20"/>
              </w:rPr>
            </w:pPr>
          </w:p>
        </w:tc>
        <w:tc>
          <w:tcPr>
            <w:tcW w:w="758" w:type="dxa"/>
          </w:tcPr>
          <w:p w14:paraId="6A5777FE"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38A33573" w14:textId="77777777" w:rsidR="00224102" w:rsidRPr="00834CDD" w:rsidRDefault="00224102" w:rsidP="00224102">
            <w:pPr>
              <w:jc w:val="right"/>
              <w:rPr>
                <w:color w:val="000000"/>
                <w:sz w:val="14"/>
                <w:szCs w:val="14"/>
              </w:rPr>
            </w:pPr>
          </w:p>
        </w:tc>
        <w:tc>
          <w:tcPr>
            <w:tcW w:w="1559" w:type="dxa"/>
            <w:noWrap/>
            <w:tcMar>
              <w:top w:w="18" w:type="dxa"/>
              <w:left w:w="18" w:type="dxa"/>
              <w:bottom w:w="0" w:type="dxa"/>
              <w:right w:w="18" w:type="dxa"/>
            </w:tcMar>
            <w:vAlign w:val="bottom"/>
          </w:tcPr>
          <w:p w14:paraId="68463F03" w14:textId="77777777" w:rsidR="00224102" w:rsidRPr="00834CDD" w:rsidRDefault="00224102" w:rsidP="00224102">
            <w:pPr>
              <w:jc w:val="right"/>
              <w:rPr>
                <w:sz w:val="14"/>
                <w:szCs w:val="14"/>
              </w:rPr>
            </w:pPr>
          </w:p>
        </w:tc>
      </w:tr>
      <w:tr w:rsidR="00224102" w:rsidRPr="00604C75" w14:paraId="5D2643BD"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283EE95F"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w:t>
            </w:r>
          </w:p>
        </w:tc>
        <w:tc>
          <w:tcPr>
            <w:tcW w:w="4463" w:type="dxa"/>
            <w:noWrap/>
            <w:tcMar>
              <w:top w:w="18" w:type="dxa"/>
              <w:left w:w="18" w:type="dxa"/>
              <w:bottom w:w="0" w:type="dxa"/>
              <w:right w:w="18" w:type="dxa"/>
            </w:tcMar>
            <w:vAlign w:val="bottom"/>
          </w:tcPr>
          <w:p w14:paraId="108BACD1" w14:textId="36D8AC92"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Changes in </w:t>
            </w:r>
            <w:r>
              <w:rPr>
                <w:rFonts w:eastAsia="Arial Unicode MS"/>
                <w:sz w:val="14"/>
                <w:szCs w:val="20"/>
              </w:rPr>
              <w:t>O</w:t>
            </w:r>
            <w:r w:rsidRPr="00604C75">
              <w:rPr>
                <w:rFonts w:eastAsia="Arial Unicode MS"/>
                <w:sz w:val="14"/>
                <w:szCs w:val="20"/>
              </w:rPr>
              <w:t xml:space="preserve">perating </w:t>
            </w:r>
            <w:r>
              <w:rPr>
                <w:rFonts w:eastAsia="Arial Unicode MS"/>
                <w:sz w:val="14"/>
                <w:szCs w:val="20"/>
              </w:rPr>
              <w:t>A</w:t>
            </w:r>
            <w:r w:rsidRPr="00604C75">
              <w:rPr>
                <w:rFonts w:eastAsia="Arial Unicode MS"/>
                <w:sz w:val="14"/>
                <w:szCs w:val="20"/>
              </w:rPr>
              <w:t xml:space="preserve">ssets and </w:t>
            </w:r>
            <w:r>
              <w:rPr>
                <w:rFonts w:eastAsia="Arial Unicode MS"/>
                <w:sz w:val="14"/>
                <w:szCs w:val="20"/>
              </w:rPr>
              <w:t>L</w:t>
            </w:r>
            <w:r w:rsidRPr="00604C75">
              <w:rPr>
                <w:rFonts w:eastAsia="Arial Unicode MS"/>
                <w:sz w:val="14"/>
                <w:szCs w:val="20"/>
              </w:rPr>
              <w:t>iabilities</w:t>
            </w:r>
          </w:p>
        </w:tc>
        <w:tc>
          <w:tcPr>
            <w:tcW w:w="758" w:type="dxa"/>
          </w:tcPr>
          <w:p w14:paraId="59719675"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75A5D9BF" w14:textId="33C20B8B" w:rsidR="00224102" w:rsidRPr="00834CDD" w:rsidRDefault="00224102" w:rsidP="00224102">
            <w:pPr>
              <w:jc w:val="right"/>
              <w:rPr>
                <w:color w:val="000000"/>
                <w:sz w:val="14"/>
                <w:szCs w:val="14"/>
              </w:rPr>
            </w:pPr>
            <w:r w:rsidRPr="00AD1F1F">
              <w:rPr>
                <w:sz w:val="14"/>
                <w:szCs w:val="14"/>
              </w:rPr>
              <w:t>(852,230)</w:t>
            </w:r>
          </w:p>
        </w:tc>
        <w:tc>
          <w:tcPr>
            <w:tcW w:w="1559" w:type="dxa"/>
            <w:noWrap/>
            <w:tcMar>
              <w:top w:w="18" w:type="dxa"/>
              <w:left w:w="18" w:type="dxa"/>
              <w:bottom w:w="0" w:type="dxa"/>
              <w:right w:w="18" w:type="dxa"/>
            </w:tcMar>
            <w:vAlign w:val="bottom"/>
          </w:tcPr>
          <w:p w14:paraId="769F6D05" w14:textId="0E64A7C8" w:rsidR="00224102" w:rsidRPr="00834CDD" w:rsidRDefault="00224102" w:rsidP="00224102">
            <w:pPr>
              <w:jc w:val="right"/>
              <w:rPr>
                <w:sz w:val="14"/>
                <w:szCs w:val="14"/>
              </w:rPr>
            </w:pPr>
            <w:r w:rsidRPr="00AD1F1F">
              <w:rPr>
                <w:sz w:val="14"/>
                <w:szCs w:val="14"/>
              </w:rPr>
              <w:t>(2,973,577)</w:t>
            </w:r>
          </w:p>
        </w:tc>
      </w:tr>
      <w:tr w:rsidR="00224102" w:rsidRPr="00604C75" w14:paraId="54292A89"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20018B4B" w14:textId="77777777" w:rsidR="00224102" w:rsidRPr="00604C75" w:rsidRDefault="00224102" w:rsidP="00224102">
            <w:pPr>
              <w:spacing w:line="226" w:lineRule="auto"/>
              <w:rPr>
                <w:rFonts w:eastAsia="Arial Unicode MS"/>
                <w:sz w:val="14"/>
                <w:szCs w:val="20"/>
              </w:rPr>
            </w:pPr>
          </w:p>
        </w:tc>
        <w:tc>
          <w:tcPr>
            <w:tcW w:w="4463" w:type="dxa"/>
            <w:noWrap/>
            <w:tcMar>
              <w:top w:w="18" w:type="dxa"/>
              <w:left w:w="18" w:type="dxa"/>
              <w:bottom w:w="0" w:type="dxa"/>
              <w:right w:w="18" w:type="dxa"/>
            </w:tcMar>
            <w:vAlign w:val="bottom"/>
          </w:tcPr>
          <w:p w14:paraId="764989B8" w14:textId="77777777" w:rsidR="00224102" w:rsidRPr="00604C75" w:rsidRDefault="00224102" w:rsidP="00224102">
            <w:pPr>
              <w:spacing w:line="226" w:lineRule="auto"/>
              <w:rPr>
                <w:rFonts w:eastAsia="Arial Unicode MS"/>
                <w:sz w:val="14"/>
                <w:szCs w:val="20"/>
              </w:rPr>
            </w:pPr>
          </w:p>
        </w:tc>
        <w:tc>
          <w:tcPr>
            <w:tcW w:w="758" w:type="dxa"/>
          </w:tcPr>
          <w:p w14:paraId="7E355100"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5E716243" w14:textId="77777777" w:rsidR="00224102" w:rsidRPr="00834CDD" w:rsidRDefault="00224102" w:rsidP="00224102">
            <w:pPr>
              <w:jc w:val="right"/>
              <w:rPr>
                <w:color w:val="000000"/>
                <w:sz w:val="14"/>
                <w:szCs w:val="14"/>
              </w:rPr>
            </w:pPr>
          </w:p>
        </w:tc>
        <w:tc>
          <w:tcPr>
            <w:tcW w:w="1559" w:type="dxa"/>
            <w:noWrap/>
            <w:tcMar>
              <w:top w:w="18" w:type="dxa"/>
              <w:left w:w="18" w:type="dxa"/>
              <w:bottom w:w="0" w:type="dxa"/>
              <w:right w:w="18" w:type="dxa"/>
            </w:tcMar>
            <w:vAlign w:val="bottom"/>
          </w:tcPr>
          <w:p w14:paraId="3ED38885" w14:textId="77777777" w:rsidR="00224102" w:rsidRPr="00834CDD" w:rsidRDefault="00224102" w:rsidP="00224102">
            <w:pPr>
              <w:jc w:val="right"/>
              <w:rPr>
                <w:sz w:val="14"/>
                <w:szCs w:val="14"/>
              </w:rPr>
            </w:pPr>
          </w:p>
        </w:tc>
      </w:tr>
      <w:tr w:rsidR="00224102" w:rsidRPr="00604C75" w14:paraId="30ACF092"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4A51A9E7"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1.2.1</w:t>
            </w:r>
          </w:p>
        </w:tc>
        <w:tc>
          <w:tcPr>
            <w:tcW w:w="4463" w:type="dxa"/>
            <w:noWrap/>
            <w:tcMar>
              <w:top w:w="18" w:type="dxa"/>
              <w:left w:w="18" w:type="dxa"/>
              <w:bottom w:w="0" w:type="dxa"/>
              <w:right w:w="18" w:type="dxa"/>
            </w:tcMar>
            <w:vAlign w:val="bottom"/>
          </w:tcPr>
          <w:p w14:paraId="39EFDE7B" w14:textId="753315FE" w:rsidR="00224102" w:rsidRPr="00604C75" w:rsidRDefault="00224102" w:rsidP="00224102">
            <w:pPr>
              <w:spacing w:line="226" w:lineRule="auto"/>
              <w:rPr>
                <w:rFonts w:eastAsia="Arial Unicode MS"/>
                <w:sz w:val="14"/>
                <w:szCs w:val="20"/>
              </w:rPr>
            </w:pPr>
            <w:r w:rsidRPr="00604C75">
              <w:rPr>
                <w:rFonts w:eastAsia="Arial Unicode MS"/>
                <w:sz w:val="14"/>
                <w:szCs w:val="20"/>
              </w:rPr>
              <w:t>Net (</w:t>
            </w:r>
            <w:r>
              <w:rPr>
                <w:rFonts w:eastAsia="Arial Unicode MS"/>
                <w:sz w:val="14"/>
                <w:szCs w:val="20"/>
              </w:rPr>
              <w:t>I</w:t>
            </w:r>
            <w:r w:rsidRPr="00604C75">
              <w:rPr>
                <w:rFonts w:eastAsia="Arial Unicode MS"/>
                <w:sz w:val="14"/>
                <w:szCs w:val="20"/>
              </w:rPr>
              <w:t>ncrease)/</w:t>
            </w:r>
            <w:r>
              <w:rPr>
                <w:rFonts w:eastAsia="Arial Unicode MS"/>
                <w:sz w:val="14"/>
                <w:szCs w:val="20"/>
              </w:rPr>
              <w:t>D</w:t>
            </w:r>
            <w:r w:rsidRPr="00604C75">
              <w:rPr>
                <w:rFonts w:eastAsia="Arial Unicode MS"/>
                <w:sz w:val="14"/>
                <w:szCs w:val="20"/>
              </w:rPr>
              <w:t xml:space="preserve">ecrease in </w:t>
            </w:r>
            <w:r>
              <w:rPr>
                <w:rFonts w:eastAsia="Arial Unicode MS"/>
                <w:sz w:val="14"/>
                <w:szCs w:val="20"/>
              </w:rPr>
              <w:t>T</w:t>
            </w:r>
            <w:r w:rsidRPr="00604C75">
              <w:rPr>
                <w:rFonts w:eastAsia="Arial Unicode MS"/>
                <w:sz w:val="14"/>
                <w:szCs w:val="20"/>
              </w:rPr>
              <w:t xml:space="preserve">rading </w:t>
            </w:r>
            <w:r>
              <w:rPr>
                <w:rFonts w:eastAsia="Arial Unicode MS"/>
                <w:sz w:val="14"/>
                <w:szCs w:val="20"/>
              </w:rPr>
              <w:t>S</w:t>
            </w:r>
            <w:r w:rsidRPr="00604C75">
              <w:rPr>
                <w:rFonts w:eastAsia="Arial Unicode MS"/>
                <w:sz w:val="14"/>
                <w:szCs w:val="20"/>
              </w:rPr>
              <w:t>ecurities</w:t>
            </w:r>
          </w:p>
        </w:tc>
        <w:tc>
          <w:tcPr>
            <w:tcW w:w="758" w:type="dxa"/>
          </w:tcPr>
          <w:p w14:paraId="4236ED2D"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50359EAE" w14:textId="072425BB" w:rsidR="00224102" w:rsidRPr="00834CDD" w:rsidRDefault="00224102" w:rsidP="00224102">
            <w:pPr>
              <w:jc w:val="right"/>
              <w:rPr>
                <w:color w:val="000000"/>
                <w:sz w:val="14"/>
                <w:szCs w:val="14"/>
              </w:rPr>
            </w:pPr>
            <w:r w:rsidRPr="00AD1F1F">
              <w:rPr>
                <w:sz w:val="14"/>
                <w:szCs w:val="14"/>
              </w:rPr>
              <w:t>35,842</w:t>
            </w:r>
          </w:p>
        </w:tc>
        <w:tc>
          <w:tcPr>
            <w:tcW w:w="1559" w:type="dxa"/>
            <w:noWrap/>
            <w:tcMar>
              <w:top w:w="18" w:type="dxa"/>
              <w:left w:w="18" w:type="dxa"/>
              <w:bottom w:w="0" w:type="dxa"/>
              <w:right w:w="18" w:type="dxa"/>
            </w:tcMar>
            <w:vAlign w:val="bottom"/>
          </w:tcPr>
          <w:p w14:paraId="3415500E" w14:textId="6A045055" w:rsidR="00224102" w:rsidRPr="00834CDD" w:rsidRDefault="00224102" w:rsidP="00224102">
            <w:pPr>
              <w:jc w:val="right"/>
              <w:rPr>
                <w:sz w:val="14"/>
                <w:szCs w:val="14"/>
              </w:rPr>
            </w:pPr>
            <w:r w:rsidRPr="00AD1F1F">
              <w:rPr>
                <w:sz w:val="14"/>
                <w:szCs w:val="14"/>
              </w:rPr>
              <w:t>38,539</w:t>
            </w:r>
          </w:p>
        </w:tc>
      </w:tr>
      <w:tr w:rsidR="00224102" w:rsidRPr="00604C75" w14:paraId="155DFB8D"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7595CF74"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1.2.2</w:t>
            </w:r>
          </w:p>
        </w:tc>
        <w:tc>
          <w:tcPr>
            <w:tcW w:w="4463" w:type="dxa"/>
            <w:noWrap/>
            <w:tcMar>
              <w:top w:w="18" w:type="dxa"/>
              <w:left w:w="18" w:type="dxa"/>
              <w:bottom w:w="0" w:type="dxa"/>
              <w:right w:w="18" w:type="dxa"/>
            </w:tcMar>
            <w:vAlign w:val="bottom"/>
          </w:tcPr>
          <w:p w14:paraId="0F447ABF" w14:textId="3CA9285D" w:rsidR="00224102" w:rsidRPr="00604C75" w:rsidRDefault="00224102" w:rsidP="00224102">
            <w:pPr>
              <w:spacing w:line="226" w:lineRule="auto"/>
              <w:rPr>
                <w:rFonts w:eastAsia="Arial Unicode MS"/>
                <w:sz w:val="14"/>
                <w:szCs w:val="20"/>
              </w:rPr>
            </w:pPr>
            <w:r w:rsidRPr="00604C75">
              <w:rPr>
                <w:rFonts w:eastAsia="Arial Unicode MS"/>
                <w:sz w:val="14"/>
                <w:szCs w:val="20"/>
              </w:rPr>
              <w:t>Net (</w:t>
            </w:r>
            <w:r>
              <w:rPr>
                <w:rFonts w:eastAsia="Arial Unicode MS"/>
                <w:sz w:val="14"/>
                <w:szCs w:val="20"/>
              </w:rPr>
              <w:t>I</w:t>
            </w:r>
            <w:r w:rsidRPr="00604C75">
              <w:rPr>
                <w:rFonts w:eastAsia="Arial Unicode MS"/>
                <w:sz w:val="14"/>
                <w:szCs w:val="20"/>
              </w:rPr>
              <w:t>ncrease)/</w:t>
            </w:r>
            <w:r>
              <w:rPr>
                <w:rFonts w:eastAsia="Arial Unicode MS"/>
                <w:sz w:val="14"/>
                <w:szCs w:val="20"/>
              </w:rPr>
              <w:t>D</w:t>
            </w:r>
            <w:r w:rsidRPr="00604C75">
              <w:rPr>
                <w:rFonts w:eastAsia="Arial Unicode MS"/>
                <w:sz w:val="14"/>
                <w:szCs w:val="20"/>
              </w:rPr>
              <w:t xml:space="preserve">ecrease in </w:t>
            </w:r>
            <w:r>
              <w:rPr>
                <w:rFonts w:eastAsia="Arial Unicode MS"/>
                <w:sz w:val="14"/>
                <w:szCs w:val="20"/>
              </w:rPr>
              <w:t>F</w:t>
            </w:r>
            <w:r w:rsidRPr="00604C75">
              <w:rPr>
                <w:rFonts w:eastAsia="Arial Unicode MS"/>
                <w:sz w:val="14"/>
                <w:szCs w:val="20"/>
              </w:rPr>
              <w:t xml:space="preserve">air </w:t>
            </w:r>
            <w:r>
              <w:rPr>
                <w:rFonts w:eastAsia="Arial Unicode MS"/>
                <w:sz w:val="14"/>
                <w:szCs w:val="20"/>
              </w:rPr>
              <w:t>V</w:t>
            </w:r>
            <w:r w:rsidRPr="00604C75">
              <w:rPr>
                <w:rFonts w:eastAsia="Arial Unicode MS"/>
                <w:sz w:val="14"/>
                <w:szCs w:val="20"/>
              </w:rPr>
              <w:t xml:space="preserve">alue through </w:t>
            </w:r>
            <w:r>
              <w:rPr>
                <w:rFonts w:eastAsia="Arial Unicode MS"/>
                <w:sz w:val="14"/>
                <w:szCs w:val="20"/>
              </w:rPr>
              <w:t>P</w:t>
            </w:r>
            <w:r w:rsidRPr="00604C75">
              <w:rPr>
                <w:rFonts w:eastAsia="Arial Unicode MS"/>
                <w:sz w:val="14"/>
                <w:szCs w:val="20"/>
              </w:rPr>
              <w:t>rofit/</w:t>
            </w:r>
            <w:r>
              <w:rPr>
                <w:rFonts w:eastAsia="Arial Unicode MS"/>
                <w:sz w:val="14"/>
                <w:szCs w:val="20"/>
              </w:rPr>
              <w:t>L</w:t>
            </w:r>
            <w:r w:rsidRPr="00604C75">
              <w:rPr>
                <w:rFonts w:eastAsia="Arial Unicode MS"/>
                <w:sz w:val="14"/>
                <w:szCs w:val="20"/>
              </w:rPr>
              <w:t xml:space="preserve">oss </w:t>
            </w:r>
            <w:r>
              <w:rPr>
                <w:rFonts w:eastAsia="Arial Unicode MS"/>
                <w:sz w:val="14"/>
                <w:szCs w:val="20"/>
              </w:rPr>
              <w:t>F</w:t>
            </w:r>
            <w:r w:rsidRPr="00604C75">
              <w:rPr>
                <w:rFonts w:eastAsia="Arial Unicode MS"/>
                <w:sz w:val="14"/>
                <w:szCs w:val="20"/>
              </w:rPr>
              <w:t xml:space="preserve">inancial </w:t>
            </w:r>
            <w:r>
              <w:rPr>
                <w:rFonts w:eastAsia="Arial Unicode MS"/>
                <w:sz w:val="14"/>
                <w:szCs w:val="20"/>
              </w:rPr>
              <w:t>A</w:t>
            </w:r>
            <w:r w:rsidRPr="00604C75">
              <w:rPr>
                <w:rFonts w:eastAsia="Arial Unicode MS"/>
                <w:sz w:val="14"/>
                <w:szCs w:val="20"/>
              </w:rPr>
              <w:t>ssets</w:t>
            </w:r>
          </w:p>
        </w:tc>
        <w:tc>
          <w:tcPr>
            <w:tcW w:w="758" w:type="dxa"/>
          </w:tcPr>
          <w:p w14:paraId="5125B08D"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2DF2EFC9" w14:textId="5E91D6D7" w:rsidR="00224102" w:rsidRPr="00834CDD" w:rsidRDefault="00224102" w:rsidP="00224102">
            <w:pPr>
              <w:jc w:val="right"/>
              <w:rPr>
                <w:color w:val="000000"/>
                <w:sz w:val="14"/>
                <w:szCs w:val="14"/>
              </w:rPr>
            </w:pPr>
            <w:r w:rsidRPr="00AD1F1F">
              <w:rPr>
                <w:sz w:val="14"/>
                <w:szCs w:val="14"/>
              </w:rPr>
              <w:t>-</w:t>
            </w:r>
          </w:p>
        </w:tc>
        <w:tc>
          <w:tcPr>
            <w:tcW w:w="1559" w:type="dxa"/>
            <w:noWrap/>
            <w:tcMar>
              <w:top w:w="18" w:type="dxa"/>
              <w:left w:w="18" w:type="dxa"/>
              <w:bottom w:w="0" w:type="dxa"/>
              <w:right w:w="18" w:type="dxa"/>
            </w:tcMar>
            <w:vAlign w:val="bottom"/>
          </w:tcPr>
          <w:p w14:paraId="5BE5AE56" w14:textId="40954896" w:rsidR="00224102" w:rsidRPr="00834CDD" w:rsidRDefault="00224102" w:rsidP="00224102">
            <w:pPr>
              <w:jc w:val="right"/>
              <w:rPr>
                <w:sz w:val="14"/>
                <w:szCs w:val="14"/>
              </w:rPr>
            </w:pPr>
            <w:r w:rsidRPr="00AD1F1F">
              <w:rPr>
                <w:sz w:val="14"/>
                <w:szCs w:val="14"/>
              </w:rPr>
              <w:t>-</w:t>
            </w:r>
          </w:p>
        </w:tc>
      </w:tr>
      <w:tr w:rsidR="00224102" w:rsidRPr="00604C75" w14:paraId="5FDBF082"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51880FB0"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1.2.3</w:t>
            </w:r>
          </w:p>
        </w:tc>
        <w:tc>
          <w:tcPr>
            <w:tcW w:w="4463" w:type="dxa"/>
            <w:noWrap/>
            <w:tcMar>
              <w:top w:w="18" w:type="dxa"/>
              <w:left w:w="18" w:type="dxa"/>
              <w:bottom w:w="0" w:type="dxa"/>
              <w:right w:w="18" w:type="dxa"/>
            </w:tcMar>
            <w:vAlign w:val="bottom"/>
          </w:tcPr>
          <w:p w14:paraId="6BCEA701" w14:textId="1EAF0BB6" w:rsidR="00224102" w:rsidRPr="00604C75" w:rsidRDefault="00224102" w:rsidP="00224102">
            <w:pPr>
              <w:spacing w:line="226" w:lineRule="auto"/>
              <w:rPr>
                <w:rFonts w:eastAsia="Arial Unicode MS"/>
                <w:sz w:val="14"/>
                <w:szCs w:val="20"/>
              </w:rPr>
            </w:pPr>
            <w:r w:rsidRPr="00604C75">
              <w:rPr>
                <w:rFonts w:eastAsia="Arial Unicode MS"/>
                <w:sz w:val="14"/>
                <w:szCs w:val="20"/>
              </w:rPr>
              <w:t>Net (</w:t>
            </w:r>
            <w:r>
              <w:rPr>
                <w:rFonts w:eastAsia="Arial Unicode MS"/>
                <w:sz w:val="14"/>
                <w:szCs w:val="20"/>
              </w:rPr>
              <w:t>I</w:t>
            </w:r>
            <w:r w:rsidRPr="00604C75">
              <w:rPr>
                <w:rFonts w:eastAsia="Arial Unicode MS"/>
                <w:sz w:val="14"/>
                <w:szCs w:val="20"/>
              </w:rPr>
              <w:t>ncrease</w:t>
            </w:r>
            <w:r>
              <w:rPr>
                <w:rFonts w:eastAsia="Arial Unicode MS"/>
                <w:sz w:val="14"/>
                <w:szCs w:val="20"/>
              </w:rPr>
              <w:t>)</w:t>
            </w:r>
            <w:r w:rsidRPr="00604C75">
              <w:rPr>
                <w:rFonts w:eastAsia="Arial Unicode MS"/>
                <w:sz w:val="14"/>
                <w:szCs w:val="20"/>
              </w:rPr>
              <w:t>/</w:t>
            </w:r>
            <w:r>
              <w:rPr>
                <w:rFonts w:eastAsia="Arial Unicode MS"/>
                <w:sz w:val="14"/>
                <w:szCs w:val="20"/>
              </w:rPr>
              <w:t>D</w:t>
            </w:r>
            <w:r w:rsidRPr="00604C75">
              <w:rPr>
                <w:rFonts w:eastAsia="Arial Unicode MS"/>
                <w:sz w:val="14"/>
                <w:szCs w:val="20"/>
              </w:rPr>
              <w:t xml:space="preserve">ecrease in due from </w:t>
            </w:r>
            <w:r>
              <w:rPr>
                <w:rFonts w:eastAsia="Arial Unicode MS"/>
                <w:sz w:val="14"/>
                <w:szCs w:val="20"/>
              </w:rPr>
              <w:t>B</w:t>
            </w:r>
            <w:r w:rsidRPr="00604C75">
              <w:rPr>
                <w:rFonts w:eastAsia="Arial Unicode MS"/>
                <w:sz w:val="14"/>
                <w:szCs w:val="20"/>
              </w:rPr>
              <w:t>anks</w:t>
            </w:r>
          </w:p>
        </w:tc>
        <w:tc>
          <w:tcPr>
            <w:tcW w:w="758" w:type="dxa"/>
          </w:tcPr>
          <w:p w14:paraId="71E9C9EC"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30F4469D" w14:textId="58B35B53" w:rsidR="00224102" w:rsidRPr="00834CDD" w:rsidRDefault="00224102" w:rsidP="00224102">
            <w:pPr>
              <w:jc w:val="right"/>
              <w:rPr>
                <w:color w:val="000000"/>
                <w:sz w:val="14"/>
                <w:szCs w:val="14"/>
              </w:rPr>
            </w:pPr>
            <w:r w:rsidRPr="00AD1F1F">
              <w:rPr>
                <w:sz w:val="14"/>
                <w:szCs w:val="14"/>
              </w:rPr>
              <w:t>(215,253)</w:t>
            </w:r>
          </w:p>
        </w:tc>
        <w:tc>
          <w:tcPr>
            <w:tcW w:w="1559" w:type="dxa"/>
            <w:noWrap/>
            <w:tcMar>
              <w:top w:w="18" w:type="dxa"/>
              <w:left w:w="18" w:type="dxa"/>
              <w:bottom w:w="0" w:type="dxa"/>
              <w:right w:w="18" w:type="dxa"/>
            </w:tcMar>
            <w:vAlign w:val="bottom"/>
          </w:tcPr>
          <w:p w14:paraId="2645D3D2" w14:textId="2BDD300C" w:rsidR="00224102" w:rsidRPr="00834CDD" w:rsidRDefault="00224102" w:rsidP="00224102">
            <w:pPr>
              <w:jc w:val="right"/>
              <w:rPr>
                <w:sz w:val="14"/>
                <w:szCs w:val="14"/>
              </w:rPr>
            </w:pPr>
            <w:r w:rsidRPr="00AD1F1F">
              <w:rPr>
                <w:sz w:val="14"/>
                <w:szCs w:val="14"/>
              </w:rPr>
              <w:t>(42,111)</w:t>
            </w:r>
          </w:p>
        </w:tc>
      </w:tr>
      <w:tr w:rsidR="00224102" w:rsidRPr="00604C75" w14:paraId="20D52478"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13A6A789"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1.2.4</w:t>
            </w:r>
          </w:p>
        </w:tc>
        <w:tc>
          <w:tcPr>
            <w:tcW w:w="4463" w:type="dxa"/>
            <w:noWrap/>
            <w:tcMar>
              <w:top w:w="18" w:type="dxa"/>
              <w:left w:w="18" w:type="dxa"/>
              <w:bottom w:w="0" w:type="dxa"/>
              <w:right w:w="18" w:type="dxa"/>
            </w:tcMar>
            <w:vAlign w:val="bottom"/>
          </w:tcPr>
          <w:p w14:paraId="7B75F35B" w14:textId="79EF9844" w:rsidR="00224102" w:rsidRPr="00604C75" w:rsidRDefault="00224102" w:rsidP="00224102">
            <w:pPr>
              <w:spacing w:line="226" w:lineRule="auto"/>
              <w:rPr>
                <w:rFonts w:eastAsia="Arial Unicode MS"/>
                <w:sz w:val="14"/>
                <w:szCs w:val="20"/>
              </w:rPr>
            </w:pPr>
            <w:r w:rsidRPr="00604C75">
              <w:rPr>
                <w:rFonts w:eastAsia="Arial Unicode MS"/>
                <w:sz w:val="14"/>
                <w:szCs w:val="20"/>
              </w:rPr>
              <w:t>Net (</w:t>
            </w:r>
            <w:r>
              <w:rPr>
                <w:rFonts w:eastAsia="Arial Unicode MS"/>
                <w:sz w:val="14"/>
                <w:szCs w:val="20"/>
              </w:rPr>
              <w:t>I</w:t>
            </w:r>
            <w:r w:rsidRPr="00604C75">
              <w:rPr>
                <w:rFonts w:eastAsia="Arial Unicode MS"/>
                <w:sz w:val="14"/>
                <w:szCs w:val="20"/>
              </w:rPr>
              <w:t>ncrease)/</w:t>
            </w:r>
            <w:r>
              <w:rPr>
                <w:rFonts w:eastAsia="Arial Unicode MS"/>
                <w:sz w:val="14"/>
                <w:szCs w:val="20"/>
              </w:rPr>
              <w:t>D</w:t>
            </w:r>
            <w:r w:rsidRPr="00604C75">
              <w:rPr>
                <w:rFonts w:eastAsia="Arial Unicode MS"/>
                <w:sz w:val="14"/>
                <w:szCs w:val="20"/>
              </w:rPr>
              <w:t xml:space="preserve">ecrease in </w:t>
            </w:r>
            <w:r>
              <w:rPr>
                <w:rFonts w:eastAsia="Arial Unicode MS"/>
                <w:sz w:val="14"/>
                <w:szCs w:val="20"/>
              </w:rPr>
              <w:t>L</w:t>
            </w:r>
            <w:r w:rsidRPr="00604C75">
              <w:rPr>
                <w:rFonts w:eastAsia="Arial Unicode MS"/>
                <w:sz w:val="14"/>
                <w:szCs w:val="20"/>
              </w:rPr>
              <w:t>oans</w:t>
            </w:r>
          </w:p>
        </w:tc>
        <w:tc>
          <w:tcPr>
            <w:tcW w:w="758" w:type="dxa"/>
          </w:tcPr>
          <w:p w14:paraId="7705D9EC"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36863A48" w14:textId="2479AA00" w:rsidR="00224102" w:rsidRPr="00834CDD" w:rsidRDefault="00224102" w:rsidP="00224102">
            <w:pPr>
              <w:jc w:val="right"/>
              <w:rPr>
                <w:color w:val="000000"/>
                <w:sz w:val="14"/>
                <w:szCs w:val="14"/>
              </w:rPr>
            </w:pPr>
            <w:r w:rsidRPr="00AD1F1F">
              <w:rPr>
                <w:sz w:val="14"/>
                <w:szCs w:val="14"/>
              </w:rPr>
              <w:t>(2,818,407)</w:t>
            </w:r>
          </w:p>
        </w:tc>
        <w:tc>
          <w:tcPr>
            <w:tcW w:w="1559" w:type="dxa"/>
            <w:noWrap/>
            <w:tcMar>
              <w:top w:w="18" w:type="dxa"/>
              <w:left w:w="18" w:type="dxa"/>
              <w:bottom w:w="0" w:type="dxa"/>
              <w:right w:w="18" w:type="dxa"/>
            </w:tcMar>
            <w:vAlign w:val="bottom"/>
          </w:tcPr>
          <w:p w14:paraId="5676A642" w14:textId="21392E3F" w:rsidR="00224102" w:rsidRPr="00834CDD" w:rsidRDefault="00224102" w:rsidP="00224102">
            <w:pPr>
              <w:jc w:val="right"/>
              <w:rPr>
                <w:sz w:val="14"/>
                <w:szCs w:val="14"/>
              </w:rPr>
            </w:pPr>
            <w:r w:rsidRPr="00AD1F1F">
              <w:rPr>
                <w:sz w:val="14"/>
                <w:szCs w:val="14"/>
              </w:rPr>
              <w:t>(1,743,687)</w:t>
            </w:r>
          </w:p>
        </w:tc>
      </w:tr>
      <w:tr w:rsidR="00224102" w:rsidRPr="00604C75" w14:paraId="577AF279"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2BE4D80D"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1.2.5</w:t>
            </w:r>
          </w:p>
        </w:tc>
        <w:tc>
          <w:tcPr>
            <w:tcW w:w="4463" w:type="dxa"/>
            <w:noWrap/>
            <w:tcMar>
              <w:top w:w="18" w:type="dxa"/>
              <w:left w:w="18" w:type="dxa"/>
              <w:bottom w:w="0" w:type="dxa"/>
              <w:right w:w="18" w:type="dxa"/>
            </w:tcMar>
            <w:vAlign w:val="bottom"/>
          </w:tcPr>
          <w:p w14:paraId="05413701" w14:textId="50E866E8" w:rsidR="00224102" w:rsidRPr="00604C75" w:rsidRDefault="00224102" w:rsidP="00224102">
            <w:pPr>
              <w:spacing w:line="226" w:lineRule="auto"/>
              <w:rPr>
                <w:rFonts w:eastAsia="Arial Unicode MS"/>
                <w:sz w:val="14"/>
                <w:szCs w:val="20"/>
              </w:rPr>
            </w:pPr>
            <w:r w:rsidRPr="00604C75">
              <w:rPr>
                <w:rFonts w:eastAsia="Arial Unicode MS"/>
                <w:sz w:val="14"/>
                <w:szCs w:val="20"/>
              </w:rPr>
              <w:t>Net (</w:t>
            </w:r>
            <w:r>
              <w:rPr>
                <w:rFonts w:eastAsia="Arial Unicode MS"/>
                <w:sz w:val="14"/>
                <w:szCs w:val="20"/>
              </w:rPr>
              <w:t>I</w:t>
            </w:r>
            <w:r w:rsidRPr="00604C75">
              <w:rPr>
                <w:rFonts w:eastAsia="Arial Unicode MS"/>
                <w:sz w:val="14"/>
                <w:szCs w:val="20"/>
              </w:rPr>
              <w:t>ncrease)/</w:t>
            </w:r>
            <w:r>
              <w:rPr>
                <w:rFonts w:eastAsia="Arial Unicode MS"/>
                <w:sz w:val="14"/>
                <w:szCs w:val="20"/>
              </w:rPr>
              <w:t>D</w:t>
            </w:r>
            <w:r w:rsidRPr="00604C75">
              <w:rPr>
                <w:rFonts w:eastAsia="Arial Unicode MS"/>
                <w:sz w:val="14"/>
                <w:szCs w:val="20"/>
              </w:rPr>
              <w:t xml:space="preserve">ecrease in </w:t>
            </w:r>
            <w:r>
              <w:rPr>
                <w:rFonts w:eastAsia="Arial Unicode MS"/>
                <w:sz w:val="14"/>
                <w:szCs w:val="20"/>
              </w:rPr>
              <w:t>O</w:t>
            </w:r>
            <w:r w:rsidRPr="00604C75">
              <w:rPr>
                <w:rFonts w:eastAsia="Arial Unicode MS"/>
                <w:sz w:val="14"/>
                <w:szCs w:val="20"/>
              </w:rPr>
              <w:t xml:space="preserve">ther </w:t>
            </w:r>
            <w:r>
              <w:rPr>
                <w:rFonts w:eastAsia="Arial Unicode MS"/>
                <w:sz w:val="14"/>
                <w:szCs w:val="20"/>
              </w:rPr>
              <w:t>A</w:t>
            </w:r>
            <w:r w:rsidRPr="00604C75">
              <w:rPr>
                <w:rFonts w:eastAsia="Arial Unicode MS"/>
                <w:sz w:val="14"/>
                <w:szCs w:val="20"/>
              </w:rPr>
              <w:t>ssets</w:t>
            </w:r>
          </w:p>
        </w:tc>
        <w:tc>
          <w:tcPr>
            <w:tcW w:w="758" w:type="dxa"/>
          </w:tcPr>
          <w:p w14:paraId="31E7D165"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2558D3BA" w14:textId="5F103D23" w:rsidR="00224102" w:rsidRPr="00834CDD" w:rsidRDefault="00224102" w:rsidP="00224102">
            <w:pPr>
              <w:jc w:val="right"/>
              <w:rPr>
                <w:color w:val="000000"/>
                <w:sz w:val="14"/>
                <w:szCs w:val="14"/>
              </w:rPr>
            </w:pPr>
            <w:r w:rsidRPr="00AD1F1F">
              <w:rPr>
                <w:sz w:val="14"/>
                <w:szCs w:val="14"/>
              </w:rPr>
              <w:t>(13,961)</w:t>
            </w:r>
          </w:p>
        </w:tc>
        <w:tc>
          <w:tcPr>
            <w:tcW w:w="1559" w:type="dxa"/>
            <w:noWrap/>
            <w:tcMar>
              <w:top w:w="18" w:type="dxa"/>
              <w:left w:w="18" w:type="dxa"/>
              <w:bottom w:w="0" w:type="dxa"/>
              <w:right w:w="18" w:type="dxa"/>
            </w:tcMar>
            <w:vAlign w:val="bottom"/>
          </w:tcPr>
          <w:p w14:paraId="5BBF5DB6" w14:textId="490FBC94" w:rsidR="00224102" w:rsidRPr="00834CDD" w:rsidRDefault="00224102" w:rsidP="00224102">
            <w:pPr>
              <w:jc w:val="right"/>
              <w:rPr>
                <w:sz w:val="14"/>
                <w:szCs w:val="14"/>
              </w:rPr>
            </w:pPr>
            <w:r w:rsidRPr="00AD1F1F">
              <w:rPr>
                <w:sz w:val="14"/>
                <w:szCs w:val="14"/>
              </w:rPr>
              <w:t>(702,379)</w:t>
            </w:r>
          </w:p>
        </w:tc>
      </w:tr>
      <w:tr w:rsidR="00224102" w:rsidRPr="00604C75" w14:paraId="66AF2BC9"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22B4E041"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1.2.6</w:t>
            </w:r>
          </w:p>
        </w:tc>
        <w:tc>
          <w:tcPr>
            <w:tcW w:w="4463" w:type="dxa"/>
            <w:noWrap/>
            <w:tcMar>
              <w:top w:w="18" w:type="dxa"/>
              <w:left w:w="18" w:type="dxa"/>
              <w:bottom w:w="0" w:type="dxa"/>
              <w:right w:w="18" w:type="dxa"/>
            </w:tcMar>
            <w:vAlign w:val="bottom"/>
          </w:tcPr>
          <w:p w14:paraId="100BDE5B" w14:textId="0EFF9E46"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Net </w:t>
            </w:r>
            <w:r>
              <w:rPr>
                <w:rFonts w:eastAsia="Arial Unicode MS"/>
                <w:sz w:val="14"/>
                <w:szCs w:val="20"/>
              </w:rPr>
              <w:t>I</w:t>
            </w:r>
            <w:r w:rsidRPr="00604C75">
              <w:rPr>
                <w:rFonts w:eastAsia="Arial Unicode MS"/>
                <w:sz w:val="14"/>
                <w:szCs w:val="20"/>
              </w:rPr>
              <w:t>ncrease/(</w:t>
            </w:r>
            <w:r>
              <w:rPr>
                <w:rFonts w:eastAsia="Arial Unicode MS"/>
                <w:sz w:val="14"/>
                <w:szCs w:val="20"/>
              </w:rPr>
              <w:t>D</w:t>
            </w:r>
            <w:r w:rsidRPr="00604C75">
              <w:rPr>
                <w:rFonts w:eastAsia="Arial Unicode MS"/>
                <w:sz w:val="14"/>
                <w:szCs w:val="20"/>
              </w:rPr>
              <w:t xml:space="preserve">ecrease) in </w:t>
            </w:r>
            <w:r>
              <w:rPr>
                <w:rFonts w:eastAsia="Arial Unicode MS"/>
                <w:sz w:val="14"/>
                <w:szCs w:val="20"/>
              </w:rPr>
              <w:t>B</w:t>
            </w:r>
            <w:r w:rsidRPr="00604C75">
              <w:rPr>
                <w:rFonts w:eastAsia="Arial Unicode MS"/>
                <w:sz w:val="14"/>
                <w:szCs w:val="20"/>
              </w:rPr>
              <w:t xml:space="preserve">ank </w:t>
            </w:r>
            <w:r>
              <w:rPr>
                <w:rFonts w:eastAsia="Arial Unicode MS"/>
                <w:sz w:val="14"/>
                <w:szCs w:val="20"/>
              </w:rPr>
              <w:t>D</w:t>
            </w:r>
            <w:r w:rsidRPr="00604C75">
              <w:rPr>
                <w:rFonts w:eastAsia="Arial Unicode MS"/>
                <w:sz w:val="14"/>
                <w:szCs w:val="20"/>
              </w:rPr>
              <w:t>eposits</w:t>
            </w:r>
          </w:p>
        </w:tc>
        <w:tc>
          <w:tcPr>
            <w:tcW w:w="758" w:type="dxa"/>
          </w:tcPr>
          <w:p w14:paraId="325DFA23"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5A51E994" w14:textId="69812DCE" w:rsidR="00224102" w:rsidRPr="00834CDD" w:rsidRDefault="00224102" w:rsidP="00224102">
            <w:pPr>
              <w:jc w:val="right"/>
              <w:rPr>
                <w:color w:val="000000"/>
                <w:sz w:val="14"/>
                <w:szCs w:val="14"/>
              </w:rPr>
            </w:pPr>
            <w:r w:rsidRPr="00AD1F1F">
              <w:rPr>
                <w:sz w:val="14"/>
                <w:szCs w:val="14"/>
              </w:rPr>
              <w:t>161,428</w:t>
            </w:r>
          </w:p>
        </w:tc>
        <w:tc>
          <w:tcPr>
            <w:tcW w:w="1559" w:type="dxa"/>
            <w:noWrap/>
            <w:tcMar>
              <w:top w:w="18" w:type="dxa"/>
              <w:left w:w="18" w:type="dxa"/>
              <w:bottom w:w="0" w:type="dxa"/>
              <w:right w:w="18" w:type="dxa"/>
            </w:tcMar>
            <w:vAlign w:val="bottom"/>
          </w:tcPr>
          <w:p w14:paraId="137ABCF1" w14:textId="42FD3D7B" w:rsidR="00224102" w:rsidRPr="00834CDD" w:rsidRDefault="00224102" w:rsidP="00224102">
            <w:pPr>
              <w:jc w:val="right"/>
              <w:rPr>
                <w:sz w:val="14"/>
                <w:szCs w:val="14"/>
              </w:rPr>
            </w:pPr>
            <w:r w:rsidRPr="00AD1F1F">
              <w:rPr>
                <w:sz w:val="14"/>
                <w:szCs w:val="14"/>
              </w:rPr>
              <w:t>(44,691)</w:t>
            </w:r>
          </w:p>
        </w:tc>
      </w:tr>
      <w:tr w:rsidR="00224102" w:rsidRPr="00604C75" w14:paraId="5A1D6C5B"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692FADBC"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1.2.7</w:t>
            </w:r>
          </w:p>
        </w:tc>
        <w:tc>
          <w:tcPr>
            <w:tcW w:w="4463" w:type="dxa"/>
            <w:noWrap/>
            <w:tcMar>
              <w:top w:w="18" w:type="dxa"/>
              <w:left w:w="18" w:type="dxa"/>
              <w:bottom w:w="0" w:type="dxa"/>
              <w:right w:w="18" w:type="dxa"/>
            </w:tcMar>
            <w:vAlign w:val="bottom"/>
          </w:tcPr>
          <w:p w14:paraId="6528FED4" w14:textId="1D814033"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Net </w:t>
            </w:r>
            <w:r>
              <w:rPr>
                <w:rFonts w:eastAsia="Arial Unicode MS"/>
                <w:sz w:val="14"/>
                <w:szCs w:val="20"/>
              </w:rPr>
              <w:t>I</w:t>
            </w:r>
            <w:r w:rsidRPr="00604C75">
              <w:rPr>
                <w:rFonts w:eastAsia="Arial Unicode MS"/>
                <w:sz w:val="14"/>
                <w:szCs w:val="20"/>
              </w:rPr>
              <w:t>ncrease/(</w:t>
            </w:r>
            <w:r>
              <w:rPr>
                <w:rFonts w:eastAsia="Arial Unicode MS"/>
                <w:sz w:val="14"/>
                <w:szCs w:val="20"/>
              </w:rPr>
              <w:t>D</w:t>
            </w:r>
            <w:r w:rsidRPr="00604C75">
              <w:rPr>
                <w:rFonts w:eastAsia="Arial Unicode MS"/>
                <w:sz w:val="14"/>
                <w:szCs w:val="20"/>
              </w:rPr>
              <w:t xml:space="preserve">ecrease) in </w:t>
            </w:r>
            <w:r>
              <w:rPr>
                <w:rFonts w:eastAsia="Arial Unicode MS"/>
                <w:sz w:val="14"/>
                <w:szCs w:val="20"/>
              </w:rPr>
              <w:t>Ot</w:t>
            </w:r>
            <w:r w:rsidRPr="00604C75">
              <w:rPr>
                <w:rFonts w:eastAsia="Arial Unicode MS"/>
                <w:sz w:val="14"/>
                <w:szCs w:val="20"/>
              </w:rPr>
              <w:t xml:space="preserve">her </w:t>
            </w:r>
            <w:r>
              <w:rPr>
                <w:rFonts w:eastAsia="Arial Unicode MS"/>
                <w:sz w:val="14"/>
                <w:szCs w:val="20"/>
              </w:rPr>
              <w:t>D</w:t>
            </w:r>
            <w:r w:rsidRPr="00604C75">
              <w:rPr>
                <w:rFonts w:eastAsia="Arial Unicode MS"/>
                <w:sz w:val="14"/>
                <w:szCs w:val="20"/>
              </w:rPr>
              <w:t>eposits</w:t>
            </w:r>
          </w:p>
        </w:tc>
        <w:tc>
          <w:tcPr>
            <w:tcW w:w="758" w:type="dxa"/>
          </w:tcPr>
          <w:p w14:paraId="70C4FCAE"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501E8E1B" w14:textId="2A96442A" w:rsidR="00224102" w:rsidRPr="00834CDD" w:rsidRDefault="00224102" w:rsidP="00224102">
            <w:pPr>
              <w:jc w:val="right"/>
              <w:rPr>
                <w:color w:val="000000"/>
                <w:sz w:val="14"/>
                <w:szCs w:val="14"/>
              </w:rPr>
            </w:pPr>
            <w:r w:rsidRPr="00AD1F1F">
              <w:rPr>
                <w:sz w:val="14"/>
                <w:szCs w:val="14"/>
              </w:rPr>
              <w:t>423,382</w:t>
            </w:r>
          </w:p>
        </w:tc>
        <w:tc>
          <w:tcPr>
            <w:tcW w:w="1559" w:type="dxa"/>
            <w:noWrap/>
            <w:tcMar>
              <w:top w:w="18" w:type="dxa"/>
              <w:left w:w="18" w:type="dxa"/>
              <w:bottom w:w="0" w:type="dxa"/>
              <w:right w:w="18" w:type="dxa"/>
            </w:tcMar>
            <w:vAlign w:val="bottom"/>
          </w:tcPr>
          <w:p w14:paraId="3F3E750E" w14:textId="646D68DB" w:rsidR="00224102" w:rsidRPr="00834CDD" w:rsidRDefault="00224102" w:rsidP="00224102">
            <w:pPr>
              <w:jc w:val="right"/>
              <w:rPr>
                <w:sz w:val="14"/>
                <w:szCs w:val="14"/>
              </w:rPr>
            </w:pPr>
            <w:r w:rsidRPr="00AD1F1F">
              <w:rPr>
                <w:sz w:val="14"/>
                <w:szCs w:val="14"/>
              </w:rPr>
              <w:t>719,614</w:t>
            </w:r>
          </w:p>
        </w:tc>
      </w:tr>
      <w:tr w:rsidR="00224102" w:rsidRPr="00604C75" w14:paraId="5C1E648D"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35D2C9D5"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1.2.8</w:t>
            </w:r>
          </w:p>
        </w:tc>
        <w:tc>
          <w:tcPr>
            <w:tcW w:w="4463" w:type="dxa"/>
            <w:noWrap/>
            <w:tcMar>
              <w:top w:w="18" w:type="dxa"/>
              <w:left w:w="18" w:type="dxa"/>
              <w:bottom w:w="0" w:type="dxa"/>
              <w:right w:w="18" w:type="dxa"/>
            </w:tcMar>
            <w:vAlign w:val="bottom"/>
          </w:tcPr>
          <w:p w14:paraId="7295C3FF" w14:textId="0F6734A7"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Net </w:t>
            </w:r>
            <w:r>
              <w:rPr>
                <w:rFonts w:eastAsia="Arial Unicode MS"/>
                <w:sz w:val="14"/>
                <w:szCs w:val="20"/>
              </w:rPr>
              <w:t>I</w:t>
            </w:r>
            <w:r w:rsidRPr="00604C75">
              <w:rPr>
                <w:rFonts w:eastAsia="Arial Unicode MS"/>
                <w:sz w:val="14"/>
                <w:szCs w:val="20"/>
              </w:rPr>
              <w:t>ncrease/(</w:t>
            </w:r>
            <w:r>
              <w:rPr>
                <w:rFonts w:eastAsia="Arial Unicode MS"/>
                <w:sz w:val="14"/>
                <w:szCs w:val="20"/>
              </w:rPr>
              <w:t>D</w:t>
            </w:r>
            <w:r w:rsidRPr="00604C75">
              <w:rPr>
                <w:rFonts w:eastAsia="Arial Unicode MS"/>
                <w:sz w:val="14"/>
                <w:szCs w:val="20"/>
              </w:rPr>
              <w:t xml:space="preserve">ecrease) in </w:t>
            </w:r>
            <w:r>
              <w:rPr>
                <w:rFonts w:eastAsia="Arial Unicode MS"/>
                <w:sz w:val="14"/>
                <w:szCs w:val="20"/>
              </w:rPr>
              <w:t>F</w:t>
            </w:r>
            <w:r w:rsidRPr="00604C75">
              <w:rPr>
                <w:rFonts w:eastAsia="Arial Unicode MS"/>
                <w:sz w:val="14"/>
                <w:szCs w:val="20"/>
              </w:rPr>
              <w:t xml:space="preserve">unds </w:t>
            </w:r>
            <w:r>
              <w:rPr>
                <w:rFonts w:eastAsia="Arial Unicode MS"/>
                <w:sz w:val="14"/>
                <w:szCs w:val="20"/>
              </w:rPr>
              <w:t>B</w:t>
            </w:r>
            <w:r w:rsidRPr="00604C75">
              <w:rPr>
                <w:rFonts w:eastAsia="Arial Unicode MS"/>
                <w:sz w:val="14"/>
                <w:szCs w:val="20"/>
              </w:rPr>
              <w:t>orrowed</w:t>
            </w:r>
          </w:p>
        </w:tc>
        <w:tc>
          <w:tcPr>
            <w:tcW w:w="758" w:type="dxa"/>
          </w:tcPr>
          <w:p w14:paraId="768D02BF"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1AAF55FF" w14:textId="7D057C38" w:rsidR="00224102" w:rsidRPr="00834CDD" w:rsidRDefault="00224102" w:rsidP="00224102">
            <w:pPr>
              <w:jc w:val="right"/>
              <w:rPr>
                <w:color w:val="000000"/>
                <w:sz w:val="14"/>
                <w:szCs w:val="14"/>
              </w:rPr>
            </w:pPr>
            <w:r w:rsidRPr="00AD1F1F">
              <w:rPr>
                <w:sz w:val="14"/>
                <w:szCs w:val="14"/>
              </w:rPr>
              <w:t>1,699,716</w:t>
            </w:r>
          </w:p>
        </w:tc>
        <w:tc>
          <w:tcPr>
            <w:tcW w:w="1559" w:type="dxa"/>
            <w:noWrap/>
            <w:tcMar>
              <w:top w:w="18" w:type="dxa"/>
              <w:left w:w="18" w:type="dxa"/>
              <w:bottom w:w="0" w:type="dxa"/>
              <w:right w:w="18" w:type="dxa"/>
            </w:tcMar>
            <w:vAlign w:val="bottom"/>
          </w:tcPr>
          <w:p w14:paraId="5382CDCF" w14:textId="57A80778" w:rsidR="00224102" w:rsidRPr="00834CDD" w:rsidRDefault="00224102" w:rsidP="00224102">
            <w:pPr>
              <w:jc w:val="right"/>
              <w:rPr>
                <w:sz w:val="14"/>
                <w:szCs w:val="14"/>
              </w:rPr>
            </w:pPr>
            <w:r w:rsidRPr="00AD1F1F">
              <w:rPr>
                <w:sz w:val="14"/>
                <w:szCs w:val="14"/>
              </w:rPr>
              <w:t>(9,046)</w:t>
            </w:r>
          </w:p>
        </w:tc>
      </w:tr>
      <w:tr w:rsidR="00224102" w:rsidRPr="00604C75" w14:paraId="520D1B04"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150453B6"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1.2.9</w:t>
            </w:r>
          </w:p>
        </w:tc>
        <w:tc>
          <w:tcPr>
            <w:tcW w:w="4463" w:type="dxa"/>
            <w:noWrap/>
            <w:tcMar>
              <w:top w:w="18" w:type="dxa"/>
              <w:left w:w="18" w:type="dxa"/>
              <w:bottom w:w="0" w:type="dxa"/>
              <w:right w:w="18" w:type="dxa"/>
            </w:tcMar>
            <w:vAlign w:val="bottom"/>
          </w:tcPr>
          <w:p w14:paraId="620C2277" w14:textId="6E836022"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Net </w:t>
            </w:r>
            <w:r>
              <w:rPr>
                <w:rFonts w:eastAsia="Arial Unicode MS"/>
                <w:sz w:val="14"/>
                <w:szCs w:val="20"/>
              </w:rPr>
              <w:t>I</w:t>
            </w:r>
            <w:r w:rsidRPr="00604C75">
              <w:rPr>
                <w:rFonts w:eastAsia="Arial Unicode MS"/>
                <w:sz w:val="14"/>
                <w:szCs w:val="20"/>
              </w:rPr>
              <w:t>ncrease/(</w:t>
            </w:r>
            <w:r>
              <w:rPr>
                <w:rFonts w:eastAsia="Arial Unicode MS"/>
                <w:sz w:val="14"/>
                <w:szCs w:val="20"/>
              </w:rPr>
              <w:t>D</w:t>
            </w:r>
            <w:r w:rsidRPr="00604C75">
              <w:rPr>
                <w:rFonts w:eastAsia="Arial Unicode MS"/>
                <w:sz w:val="14"/>
                <w:szCs w:val="20"/>
              </w:rPr>
              <w:t xml:space="preserve">ecrease) in </w:t>
            </w:r>
            <w:r>
              <w:rPr>
                <w:rFonts w:eastAsia="Arial Unicode MS"/>
                <w:sz w:val="14"/>
                <w:szCs w:val="20"/>
              </w:rPr>
              <w:t>P</w:t>
            </w:r>
            <w:r w:rsidRPr="00604C75">
              <w:rPr>
                <w:rFonts w:eastAsia="Arial Unicode MS"/>
                <w:sz w:val="14"/>
                <w:szCs w:val="20"/>
              </w:rPr>
              <w:t>ayables</w:t>
            </w:r>
          </w:p>
        </w:tc>
        <w:tc>
          <w:tcPr>
            <w:tcW w:w="758" w:type="dxa"/>
          </w:tcPr>
          <w:p w14:paraId="069315A9"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53B2B37C" w14:textId="2323E732" w:rsidR="00224102" w:rsidRPr="00834CDD" w:rsidRDefault="00224102" w:rsidP="00224102">
            <w:pPr>
              <w:jc w:val="right"/>
              <w:rPr>
                <w:color w:val="000000"/>
                <w:sz w:val="14"/>
                <w:szCs w:val="14"/>
              </w:rPr>
            </w:pPr>
            <w:r w:rsidRPr="00AD1F1F">
              <w:rPr>
                <w:sz w:val="14"/>
                <w:szCs w:val="14"/>
              </w:rPr>
              <w:t>-</w:t>
            </w:r>
          </w:p>
        </w:tc>
        <w:tc>
          <w:tcPr>
            <w:tcW w:w="1559" w:type="dxa"/>
            <w:noWrap/>
            <w:tcMar>
              <w:top w:w="18" w:type="dxa"/>
              <w:left w:w="18" w:type="dxa"/>
              <w:bottom w:w="0" w:type="dxa"/>
              <w:right w:w="18" w:type="dxa"/>
            </w:tcMar>
            <w:vAlign w:val="bottom"/>
          </w:tcPr>
          <w:p w14:paraId="099C73A4" w14:textId="6484D9D7" w:rsidR="00224102" w:rsidRPr="00834CDD" w:rsidRDefault="00224102" w:rsidP="00224102">
            <w:pPr>
              <w:jc w:val="right"/>
              <w:rPr>
                <w:sz w:val="14"/>
                <w:szCs w:val="14"/>
              </w:rPr>
            </w:pPr>
            <w:r w:rsidRPr="00AD1F1F">
              <w:rPr>
                <w:sz w:val="14"/>
                <w:szCs w:val="14"/>
              </w:rPr>
              <w:t>-</w:t>
            </w:r>
          </w:p>
        </w:tc>
      </w:tr>
      <w:tr w:rsidR="00224102" w:rsidRPr="00604C75" w14:paraId="6CD0A268"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5BD24A62" w14:textId="77777777" w:rsidR="00224102" w:rsidRPr="00604C75" w:rsidRDefault="00224102" w:rsidP="00224102">
            <w:pPr>
              <w:spacing w:line="226" w:lineRule="auto"/>
              <w:rPr>
                <w:rFonts w:eastAsia="Arial Unicode MS"/>
                <w:bCs/>
                <w:sz w:val="14"/>
                <w:szCs w:val="20"/>
              </w:rPr>
            </w:pPr>
            <w:r w:rsidRPr="00604C75">
              <w:rPr>
                <w:rFonts w:eastAsia="Arial Unicode MS"/>
                <w:bCs/>
                <w:sz w:val="14"/>
                <w:szCs w:val="20"/>
              </w:rPr>
              <w:t>1.2.10</w:t>
            </w:r>
          </w:p>
        </w:tc>
        <w:tc>
          <w:tcPr>
            <w:tcW w:w="4463" w:type="dxa"/>
            <w:noWrap/>
            <w:tcMar>
              <w:top w:w="18" w:type="dxa"/>
              <w:left w:w="18" w:type="dxa"/>
              <w:bottom w:w="0" w:type="dxa"/>
              <w:right w:w="18" w:type="dxa"/>
            </w:tcMar>
            <w:vAlign w:val="bottom"/>
          </w:tcPr>
          <w:p w14:paraId="2D7C7AF4" w14:textId="009ED998"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Net </w:t>
            </w:r>
            <w:r>
              <w:rPr>
                <w:rFonts w:eastAsia="Arial Unicode MS"/>
                <w:sz w:val="14"/>
                <w:szCs w:val="20"/>
              </w:rPr>
              <w:t>I</w:t>
            </w:r>
            <w:r w:rsidRPr="00604C75">
              <w:rPr>
                <w:rFonts w:eastAsia="Arial Unicode MS"/>
                <w:sz w:val="14"/>
                <w:szCs w:val="20"/>
              </w:rPr>
              <w:t>ncrease/(</w:t>
            </w:r>
            <w:r>
              <w:rPr>
                <w:rFonts w:eastAsia="Arial Unicode MS"/>
                <w:sz w:val="14"/>
                <w:szCs w:val="20"/>
              </w:rPr>
              <w:t>D</w:t>
            </w:r>
            <w:r w:rsidRPr="00604C75">
              <w:rPr>
                <w:rFonts w:eastAsia="Arial Unicode MS"/>
                <w:sz w:val="14"/>
                <w:szCs w:val="20"/>
              </w:rPr>
              <w:t xml:space="preserve">ecrease) in </w:t>
            </w:r>
            <w:r>
              <w:rPr>
                <w:rFonts w:eastAsia="Arial Unicode MS"/>
                <w:sz w:val="14"/>
                <w:szCs w:val="20"/>
              </w:rPr>
              <w:t>O</w:t>
            </w:r>
            <w:r w:rsidRPr="00604C75">
              <w:rPr>
                <w:rFonts w:eastAsia="Arial Unicode MS"/>
                <w:sz w:val="14"/>
                <w:szCs w:val="20"/>
              </w:rPr>
              <w:t xml:space="preserve">ther </w:t>
            </w:r>
            <w:r>
              <w:rPr>
                <w:rFonts w:eastAsia="Arial Unicode MS"/>
                <w:sz w:val="14"/>
                <w:szCs w:val="20"/>
              </w:rPr>
              <w:t>L</w:t>
            </w:r>
            <w:r w:rsidRPr="00604C75">
              <w:rPr>
                <w:rFonts w:eastAsia="Arial Unicode MS"/>
                <w:sz w:val="14"/>
                <w:szCs w:val="20"/>
              </w:rPr>
              <w:t>iabilities</w:t>
            </w:r>
          </w:p>
        </w:tc>
        <w:tc>
          <w:tcPr>
            <w:tcW w:w="758" w:type="dxa"/>
          </w:tcPr>
          <w:p w14:paraId="1B85A4F4"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7115F4F6" w14:textId="15BB9F82" w:rsidR="00224102" w:rsidRPr="00834CDD" w:rsidRDefault="00224102" w:rsidP="00224102">
            <w:pPr>
              <w:jc w:val="right"/>
              <w:rPr>
                <w:color w:val="000000"/>
                <w:sz w:val="14"/>
                <w:szCs w:val="14"/>
              </w:rPr>
            </w:pPr>
            <w:r w:rsidRPr="00AD1F1F">
              <w:rPr>
                <w:sz w:val="14"/>
                <w:szCs w:val="14"/>
              </w:rPr>
              <w:t>(124,977)</w:t>
            </w:r>
          </w:p>
        </w:tc>
        <w:tc>
          <w:tcPr>
            <w:tcW w:w="1559" w:type="dxa"/>
            <w:noWrap/>
            <w:tcMar>
              <w:top w:w="18" w:type="dxa"/>
              <w:left w:w="18" w:type="dxa"/>
              <w:bottom w:w="0" w:type="dxa"/>
              <w:right w:w="18" w:type="dxa"/>
            </w:tcMar>
            <w:vAlign w:val="bottom"/>
          </w:tcPr>
          <w:p w14:paraId="726376C7" w14:textId="727936E5" w:rsidR="00224102" w:rsidRPr="00834CDD" w:rsidRDefault="00224102" w:rsidP="00224102">
            <w:pPr>
              <w:jc w:val="right"/>
              <w:rPr>
                <w:sz w:val="14"/>
                <w:szCs w:val="14"/>
              </w:rPr>
            </w:pPr>
            <w:r w:rsidRPr="00AD1F1F">
              <w:rPr>
                <w:sz w:val="14"/>
                <w:szCs w:val="14"/>
              </w:rPr>
              <w:t>(1,189,816)</w:t>
            </w:r>
          </w:p>
        </w:tc>
      </w:tr>
      <w:tr w:rsidR="00224102" w:rsidRPr="00604C75" w14:paraId="2D6351C2" w14:textId="77777777" w:rsidTr="00F142CB">
        <w:tblPrEx>
          <w:tblCellMar>
            <w:left w:w="0" w:type="dxa"/>
            <w:right w:w="0" w:type="dxa"/>
          </w:tblCellMar>
          <w:tblLook w:val="0000" w:firstRow="0" w:lastRow="0" w:firstColumn="0" w:lastColumn="0" w:noHBand="0" w:noVBand="0"/>
        </w:tblPrEx>
        <w:trPr>
          <w:gridAfter w:val="1"/>
          <w:wAfter w:w="57" w:type="dxa"/>
          <w:trHeight w:val="74"/>
        </w:trPr>
        <w:tc>
          <w:tcPr>
            <w:tcW w:w="340" w:type="dxa"/>
            <w:noWrap/>
            <w:tcMar>
              <w:top w:w="18" w:type="dxa"/>
              <w:left w:w="18" w:type="dxa"/>
              <w:bottom w:w="0" w:type="dxa"/>
              <w:right w:w="18" w:type="dxa"/>
            </w:tcMar>
            <w:vAlign w:val="bottom"/>
          </w:tcPr>
          <w:p w14:paraId="1AF36233" w14:textId="77777777" w:rsidR="00224102" w:rsidRPr="00604C75" w:rsidRDefault="00224102" w:rsidP="00224102">
            <w:pPr>
              <w:spacing w:line="226" w:lineRule="auto"/>
              <w:rPr>
                <w:rFonts w:eastAsia="Arial Unicode MS"/>
                <w:b/>
                <w:bCs/>
                <w:sz w:val="14"/>
                <w:szCs w:val="20"/>
              </w:rPr>
            </w:pPr>
          </w:p>
        </w:tc>
        <w:tc>
          <w:tcPr>
            <w:tcW w:w="4463" w:type="dxa"/>
            <w:noWrap/>
            <w:tcMar>
              <w:top w:w="18" w:type="dxa"/>
              <w:left w:w="18" w:type="dxa"/>
              <w:bottom w:w="0" w:type="dxa"/>
              <w:right w:w="18" w:type="dxa"/>
            </w:tcMar>
            <w:vAlign w:val="bottom"/>
          </w:tcPr>
          <w:p w14:paraId="060B0018" w14:textId="77777777" w:rsidR="00224102" w:rsidRPr="00604C75" w:rsidRDefault="00224102" w:rsidP="00224102">
            <w:pPr>
              <w:spacing w:line="226" w:lineRule="auto"/>
              <w:rPr>
                <w:rFonts w:eastAsia="Arial Unicode MS"/>
                <w:sz w:val="14"/>
                <w:szCs w:val="20"/>
              </w:rPr>
            </w:pPr>
          </w:p>
        </w:tc>
        <w:tc>
          <w:tcPr>
            <w:tcW w:w="758" w:type="dxa"/>
          </w:tcPr>
          <w:p w14:paraId="6F0F49B8"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388C101B" w14:textId="77777777" w:rsidR="00224102" w:rsidRPr="00834CDD" w:rsidRDefault="00224102" w:rsidP="00224102">
            <w:pPr>
              <w:jc w:val="right"/>
              <w:rPr>
                <w:color w:val="000000"/>
                <w:sz w:val="14"/>
                <w:szCs w:val="14"/>
              </w:rPr>
            </w:pPr>
          </w:p>
        </w:tc>
        <w:tc>
          <w:tcPr>
            <w:tcW w:w="1559" w:type="dxa"/>
            <w:noWrap/>
            <w:tcMar>
              <w:top w:w="18" w:type="dxa"/>
              <w:left w:w="18" w:type="dxa"/>
              <w:bottom w:w="0" w:type="dxa"/>
              <w:right w:w="18" w:type="dxa"/>
            </w:tcMar>
            <w:vAlign w:val="bottom"/>
          </w:tcPr>
          <w:p w14:paraId="7052A3D0" w14:textId="77777777" w:rsidR="00224102" w:rsidRPr="00834CDD" w:rsidRDefault="00224102" w:rsidP="00224102">
            <w:pPr>
              <w:jc w:val="right"/>
              <w:rPr>
                <w:sz w:val="14"/>
                <w:szCs w:val="14"/>
              </w:rPr>
            </w:pPr>
          </w:p>
        </w:tc>
      </w:tr>
      <w:tr w:rsidR="00224102" w:rsidRPr="00604C75" w14:paraId="37348A53"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5644483B"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I.</w:t>
            </w:r>
          </w:p>
        </w:tc>
        <w:tc>
          <w:tcPr>
            <w:tcW w:w="4463" w:type="dxa"/>
            <w:noWrap/>
            <w:tcMar>
              <w:top w:w="18" w:type="dxa"/>
              <w:left w:w="18" w:type="dxa"/>
              <w:bottom w:w="0" w:type="dxa"/>
              <w:right w:w="18" w:type="dxa"/>
            </w:tcMar>
            <w:vAlign w:val="bottom"/>
          </w:tcPr>
          <w:p w14:paraId="1493E796" w14:textId="603D01E2" w:rsidR="00224102" w:rsidRPr="00604C75" w:rsidRDefault="00224102" w:rsidP="00224102">
            <w:pPr>
              <w:spacing w:line="226" w:lineRule="auto"/>
              <w:rPr>
                <w:rFonts w:eastAsia="Arial Unicode MS"/>
                <w:b/>
                <w:sz w:val="14"/>
                <w:szCs w:val="20"/>
              </w:rPr>
            </w:pPr>
            <w:r w:rsidRPr="00604C75">
              <w:rPr>
                <w:rFonts w:eastAsia="Arial Unicode MS"/>
                <w:b/>
                <w:sz w:val="14"/>
                <w:szCs w:val="20"/>
              </w:rPr>
              <w:t xml:space="preserve">Net </w:t>
            </w:r>
            <w:r>
              <w:rPr>
                <w:rFonts w:eastAsia="Arial Unicode MS"/>
                <w:b/>
                <w:sz w:val="14"/>
                <w:szCs w:val="20"/>
              </w:rPr>
              <w:t>C</w:t>
            </w:r>
            <w:r w:rsidRPr="00604C75">
              <w:rPr>
                <w:rFonts w:eastAsia="Arial Unicode MS"/>
                <w:b/>
                <w:sz w:val="14"/>
                <w:szCs w:val="20"/>
              </w:rPr>
              <w:t xml:space="preserve">ash </w:t>
            </w:r>
            <w:r>
              <w:rPr>
                <w:rFonts w:eastAsia="Arial Unicode MS"/>
                <w:b/>
                <w:sz w:val="14"/>
                <w:szCs w:val="20"/>
              </w:rPr>
              <w:t>P</w:t>
            </w:r>
            <w:r w:rsidRPr="00604C75">
              <w:rPr>
                <w:rFonts w:eastAsia="Arial Unicode MS"/>
                <w:b/>
                <w:sz w:val="14"/>
                <w:szCs w:val="20"/>
              </w:rPr>
              <w:t xml:space="preserve">rovided from </w:t>
            </w:r>
            <w:r>
              <w:rPr>
                <w:rFonts w:eastAsia="Arial Unicode MS"/>
                <w:b/>
                <w:sz w:val="14"/>
                <w:szCs w:val="20"/>
              </w:rPr>
              <w:t>B</w:t>
            </w:r>
            <w:r w:rsidRPr="00604C75">
              <w:rPr>
                <w:rFonts w:eastAsia="Arial Unicode MS"/>
                <w:b/>
                <w:sz w:val="14"/>
                <w:szCs w:val="20"/>
              </w:rPr>
              <w:t xml:space="preserve">anking </w:t>
            </w:r>
            <w:r>
              <w:rPr>
                <w:rFonts w:eastAsia="Arial Unicode MS"/>
                <w:b/>
                <w:sz w:val="14"/>
                <w:szCs w:val="20"/>
              </w:rPr>
              <w:t>O</w:t>
            </w:r>
            <w:r w:rsidRPr="00604C75">
              <w:rPr>
                <w:rFonts w:eastAsia="Arial Unicode MS"/>
                <w:b/>
                <w:sz w:val="14"/>
                <w:szCs w:val="20"/>
              </w:rPr>
              <w:t>perations</w:t>
            </w:r>
          </w:p>
        </w:tc>
        <w:tc>
          <w:tcPr>
            <w:tcW w:w="758" w:type="dxa"/>
          </w:tcPr>
          <w:p w14:paraId="09282B67" w14:textId="77777777" w:rsidR="00224102" w:rsidRPr="00604C75" w:rsidRDefault="00224102" w:rsidP="00224102">
            <w:pPr>
              <w:spacing w:line="226" w:lineRule="auto"/>
              <w:jc w:val="right"/>
              <w:rPr>
                <w:rFonts w:eastAsia="Arial Unicode MS"/>
                <w:b/>
                <w:bCs/>
                <w:sz w:val="14"/>
                <w:szCs w:val="16"/>
              </w:rPr>
            </w:pPr>
          </w:p>
        </w:tc>
        <w:tc>
          <w:tcPr>
            <w:tcW w:w="1669" w:type="dxa"/>
            <w:noWrap/>
            <w:tcMar>
              <w:top w:w="18" w:type="dxa"/>
              <w:left w:w="18" w:type="dxa"/>
              <w:bottom w:w="0" w:type="dxa"/>
              <w:right w:w="18" w:type="dxa"/>
            </w:tcMar>
            <w:vAlign w:val="bottom"/>
          </w:tcPr>
          <w:p w14:paraId="6515D3F3" w14:textId="297B6618" w:rsidR="00224102" w:rsidRPr="00834CDD" w:rsidRDefault="00224102" w:rsidP="00224102">
            <w:pPr>
              <w:jc w:val="right"/>
              <w:rPr>
                <w:b/>
                <w:bCs/>
                <w:color w:val="000000"/>
                <w:sz w:val="14"/>
                <w:szCs w:val="14"/>
              </w:rPr>
            </w:pPr>
            <w:r>
              <w:rPr>
                <w:b/>
                <w:sz w:val="14"/>
                <w:szCs w:val="14"/>
              </w:rPr>
              <w:t>656,637</w:t>
            </w:r>
          </w:p>
        </w:tc>
        <w:tc>
          <w:tcPr>
            <w:tcW w:w="1559" w:type="dxa"/>
            <w:noWrap/>
            <w:tcMar>
              <w:top w:w="18" w:type="dxa"/>
              <w:left w:w="18" w:type="dxa"/>
              <w:bottom w:w="0" w:type="dxa"/>
              <w:right w:w="18" w:type="dxa"/>
            </w:tcMar>
            <w:vAlign w:val="bottom"/>
          </w:tcPr>
          <w:p w14:paraId="117100B3" w14:textId="22731696" w:rsidR="00224102" w:rsidRPr="00834CDD" w:rsidRDefault="00224102" w:rsidP="00224102">
            <w:pPr>
              <w:jc w:val="right"/>
              <w:rPr>
                <w:b/>
                <w:sz w:val="14"/>
                <w:szCs w:val="14"/>
              </w:rPr>
            </w:pPr>
            <w:r w:rsidRPr="00AD1F1F">
              <w:rPr>
                <w:b/>
                <w:sz w:val="14"/>
                <w:szCs w:val="14"/>
              </w:rPr>
              <w:t>(1,981,295)</w:t>
            </w:r>
          </w:p>
        </w:tc>
      </w:tr>
      <w:tr w:rsidR="00224102" w:rsidRPr="00604C75" w14:paraId="6F6442B8"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75AB6DF0" w14:textId="77777777" w:rsidR="00224102" w:rsidRPr="00604C75" w:rsidRDefault="00224102" w:rsidP="00224102">
            <w:pPr>
              <w:spacing w:line="226" w:lineRule="auto"/>
              <w:rPr>
                <w:rFonts w:eastAsia="Arial Unicode MS"/>
                <w:b/>
                <w:bCs/>
                <w:sz w:val="14"/>
                <w:szCs w:val="20"/>
              </w:rPr>
            </w:pPr>
          </w:p>
        </w:tc>
        <w:tc>
          <w:tcPr>
            <w:tcW w:w="4463" w:type="dxa"/>
            <w:noWrap/>
            <w:tcMar>
              <w:top w:w="18" w:type="dxa"/>
              <w:left w:w="18" w:type="dxa"/>
              <w:bottom w:w="0" w:type="dxa"/>
              <w:right w:w="18" w:type="dxa"/>
            </w:tcMar>
            <w:vAlign w:val="bottom"/>
          </w:tcPr>
          <w:p w14:paraId="4CA57D95" w14:textId="77777777" w:rsidR="00224102" w:rsidRPr="00604C75" w:rsidRDefault="00224102" w:rsidP="00224102">
            <w:pPr>
              <w:spacing w:line="226" w:lineRule="auto"/>
              <w:rPr>
                <w:rFonts w:eastAsia="Arial Unicode MS"/>
                <w:b/>
                <w:bCs/>
                <w:sz w:val="14"/>
                <w:szCs w:val="20"/>
              </w:rPr>
            </w:pPr>
          </w:p>
        </w:tc>
        <w:tc>
          <w:tcPr>
            <w:tcW w:w="758" w:type="dxa"/>
          </w:tcPr>
          <w:p w14:paraId="03CF9E77"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4EFEECD5" w14:textId="77777777" w:rsidR="00224102" w:rsidRPr="00834CDD" w:rsidRDefault="00224102" w:rsidP="00224102">
            <w:pPr>
              <w:jc w:val="right"/>
              <w:rPr>
                <w:b/>
                <w:bCs/>
                <w:color w:val="000000"/>
                <w:sz w:val="14"/>
                <w:szCs w:val="14"/>
              </w:rPr>
            </w:pPr>
          </w:p>
        </w:tc>
        <w:tc>
          <w:tcPr>
            <w:tcW w:w="1559" w:type="dxa"/>
            <w:noWrap/>
            <w:tcMar>
              <w:top w:w="18" w:type="dxa"/>
              <w:left w:w="18" w:type="dxa"/>
              <w:bottom w:w="0" w:type="dxa"/>
              <w:right w:w="18" w:type="dxa"/>
            </w:tcMar>
            <w:vAlign w:val="bottom"/>
          </w:tcPr>
          <w:p w14:paraId="24D08AA9" w14:textId="77777777" w:rsidR="00224102" w:rsidRPr="00834CDD" w:rsidRDefault="00224102" w:rsidP="00224102">
            <w:pPr>
              <w:jc w:val="right"/>
              <w:rPr>
                <w:sz w:val="14"/>
                <w:szCs w:val="14"/>
              </w:rPr>
            </w:pPr>
          </w:p>
        </w:tc>
      </w:tr>
      <w:tr w:rsidR="00224102" w:rsidRPr="00604C75" w14:paraId="468F52E2"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74607810"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B.</w:t>
            </w:r>
          </w:p>
        </w:tc>
        <w:tc>
          <w:tcPr>
            <w:tcW w:w="4463" w:type="dxa"/>
            <w:noWrap/>
            <w:tcMar>
              <w:top w:w="18" w:type="dxa"/>
              <w:left w:w="18" w:type="dxa"/>
              <w:bottom w:w="0" w:type="dxa"/>
              <w:right w:w="18" w:type="dxa"/>
            </w:tcMar>
            <w:vAlign w:val="bottom"/>
          </w:tcPr>
          <w:p w14:paraId="33EAFB52" w14:textId="77777777" w:rsidR="00224102" w:rsidRPr="00604C75" w:rsidRDefault="00224102" w:rsidP="00224102">
            <w:pPr>
              <w:spacing w:line="226" w:lineRule="auto"/>
              <w:rPr>
                <w:rFonts w:eastAsia="Arial Unicode MS"/>
                <w:b/>
                <w:sz w:val="14"/>
                <w:szCs w:val="20"/>
              </w:rPr>
            </w:pPr>
            <w:r w:rsidRPr="00604C75">
              <w:rPr>
                <w:rFonts w:eastAsia="Arial Unicode MS"/>
                <w:b/>
                <w:sz w:val="14"/>
                <w:szCs w:val="20"/>
              </w:rPr>
              <w:t>CASH FLOWS FROM INVESTING ACTIVITIES</w:t>
            </w:r>
          </w:p>
        </w:tc>
        <w:tc>
          <w:tcPr>
            <w:tcW w:w="758" w:type="dxa"/>
          </w:tcPr>
          <w:p w14:paraId="58B835DB"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2DF6EDD3" w14:textId="77777777" w:rsidR="00224102" w:rsidRPr="00834CDD" w:rsidRDefault="00224102" w:rsidP="00224102">
            <w:pPr>
              <w:jc w:val="right"/>
              <w:rPr>
                <w:sz w:val="20"/>
                <w:szCs w:val="20"/>
              </w:rPr>
            </w:pPr>
          </w:p>
        </w:tc>
        <w:tc>
          <w:tcPr>
            <w:tcW w:w="1559" w:type="dxa"/>
            <w:noWrap/>
            <w:tcMar>
              <w:top w:w="18" w:type="dxa"/>
              <w:left w:w="18" w:type="dxa"/>
              <w:bottom w:w="0" w:type="dxa"/>
              <w:right w:w="18" w:type="dxa"/>
            </w:tcMar>
            <w:vAlign w:val="bottom"/>
          </w:tcPr>
          <w:p w14:paraId="750E7444" w14:textId="77777777" w:rsidR="00224102" w:rsidRPr="00834CDD" w:rsidRDefault="00224102" w:rsidP="00224102">
            <w:pPr>
              <w:jc w:val="right"/>
              <w:rPr>
                <w:sz w:val="14"/>
                <w:szCs w:val="14"/>
              </w:rPr>
            </w:pPr>
          </w:p>
        </w:tc>
      </w:tr>
      <w:tr w:rsidR="00224102" w:rsidRPr="00604C75" w14:paraId="06268EBC"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036B7D73" w14:textId="77777777" w:rsidR="00224102" w:rsidRPr="00604C75" w:rsidRDefault="00224102" w:rsidP="00224102">
            <w:pPr>
              <w:spacing w:line="226" w:lineRule="auto"/>
              <w:rPr>
                <w:rFonts w:eastAsia="Arial Unicode MS"/>
                <w:b/>
                <w:bCs/>
                <w:sz w:val="14"/>
                <w:szCs w:val="20"/>
              </w:rPr>
            </w:pPr>
          </w:p>
        </w:tc>
        <w:tc>
          <w:tcPr>
            <w:tcW w:w="4463" w:type="dxa"/>
            <w:noWrap/>
            <w:tcMar>
              <w:top w:w="18" w:type="dxa"/>
              <w:left w:w="18" w:type="dxa"/>
              <w:bottom w:w="0" w:type="dxa"/>
              <w:right w:w="18" w:type="dxa"/>
            </w:tcMar>
            <w:vAlign w:val="bottom"/>
          </w:tcPr>
          <w:p w14:paraId="4DB853FB" w14:textId="77777777" w:rsidR="00224102" w:rsidRPr="00604C75" w:rsidRDefault="00224102" w:rsidP="00224102">
            <w:pPr>
              <w:spacing w:line="226" w:lineRule="auto"/>
              <w:rPr>
                <w:rFonts w:eastAsia="Arial Unicode MS"/>
                <w:sz w:val="14"/>
                <w:szCs w:val="20"/>
              </w:rPr>
            </w:pPr>
          </w:p>
        </w:tc>
        <w:tc>
          <w:tcPr>
            <w:tcW w:w="758" w:type="dxa"/>
          </w:tcPr>
          <w:p w14:paraId="337AAEA8"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048B4125" w14:textId="77777777" w:rsidR="00224102" w:rsidRPr="00834CDD" w:rsidRDefault="00224102" w:rsidP="00224102">
            <w:pPr>
              <w:jc w:val="right"/>
              <w:rPr>
                <w:sz w:val="20"/>
                <w:szCs w:val="20"/>
              </w:rPr>
            </w:pPr>
          </w:p>
        </w:tc>
        <w:tc>
          <w:tcPr>
            <w:tcW w:w="1559" w:type="dxa"/>
            <w:noWrap/>
            <w:tcMar>
              <w:top w:w="18" w:type="dxa"/>
              <w:left w:w="18" w:type="dxa"/>
              <w:bottom w:w="0" w:type="dxa"/>
              <w:right w:w="18" w:type="dxa"/>
            </w:tcMar>
            <w:vAlign w:val="bottom"/>
          </w:tcPr>
          <w:p w14:paraId="6D4EE14F" w14:textId="77777777" w:rsidR="00224102" w:rsidRPr="00834CDD" w:rsidRDefault="00224102" w:rsidP="00224102">
            <w:pPr>
              <w:jc w:val="right"/>
              <w:rPr>
                <w:sz w:val="14"/>
                <w:szCs w:val="14"/>
              </w:rPr>
            </w:pPr>
          </w:p>
        </w:tc>
      </w:tr>
      <w:tr w:rsidR="00224102" w:rsidRPr="00604C75" w14:paraId="6CFAE4F5"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103E7FAB"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II.</w:t>
            </w:r>
          </w:p>
        </w:tc>
        <w:tc>
          <w:tcPr>
            <w:tcW w:w="4463" w:type="dxa"/>
            <w:noWrap/>
            <w:tcMar>
              <w:top w:w="18" w:type="dxa"/>
              <w:left w:w="18" w:type="dxa"/>
              <w:bottom w:w="0" w:type="dxa"/>
              <w:right w:w="18" w:type="dxa"/>
            </w:tcMar>
            <w:vAlign w:val="bottom"/>
          </w:tcPr>
          <w:p w14:paraId="48B46D88" w14:textId="0CFCDC2A" w:rsidR="00224102" w:rsidRPr="00604C75" w:rsidRDefault="00224102" w:rsidP="00224102">
            <w:pPr>
              <w:spacing w:line="226" w:lineRule="auto"/>
              <w:rPr>
                <w:rFonts w:eastAsia="Arial Unicode MS"/>
                <w:b/>
                <w:sz w:val="14"/>
                <w:szCs w:val="20"/>
              </w:rPr>
            </w:pPr>
            <w:r w:rsidRPr="00604C75">
              <w:rPr>
                <w:rFonts w:eastAsia="Arial Unicode MS"/>
                <w:b/>
                <w:sz w:val="14"/>
                <w:szCs w:val="20"/>
              </w:rPr>
              <w:t xml:space="preserve">Net </w:t>
            </w:r>
            <w:r>
              <w:rPr>
                <w:rFonts w:eastAsia="Arial Unicode MS"/>
                <w:b/>
                <w:sz w:val="14"/>
                <w:szCs w:val="20"/>
              </w:rPr>
              <w:t>C</w:t>
            </w:r>
            <w:r w:rsidRPr="00604C75">
              <w:rPr>
                <w:rFonts w:eastAsia="Arial Unicode MS"/>
                <w:b/>
                <w:sz w:val="14"/>
                <w:szCs w:val="20"/>
              </w:rPr>
              <w:t xml:space="preserve">ash </w:t>
            </w:r>
            <w:r>
              <w:rPr>
                <w:rFonts w:eastAsia="Arial Unicode MS"/>
                <w:b/>
                <w:sz w:val="14"/>
                <w:szCs w:val="20"/>
              </w:rPr>
              <w:t>P</w:t>
            </w:r>
            <w:r w:rsidRPr="00604C75">
              <w:rPr>
                <w:rFonts w:eastAsia="Arial Unicode MS"/>
                <w:b/>
                <w:sz w:val="14"/>
                <w:szCs w:val="20"/>
              </w:rPr>
              <w:t xml:space="preserve">rovided from </w:t>
            </w:r>
            <w:r>
              <w:rPr>
                <w:rFonts w:eastAsia="Arial Unicode MS"/>
                <w:b/>
                <w:sz w:val="14"/>
                <w:szCs w:val="20"/>
              </w:rPr>
              <w:t>I</w:t>
            </w:r>
            <w:r w:rsidRPr="00604C75">
              <w:rPr>
                <w:rFonts w:eastAsia="Arial Unicode MS"/>
                <w:b/>
                <w:sz w:val="14"/>
                <w:szCs w:val="20"/>
              </w:rPr>
              <w:t xml:space="preserve">nvesting </w:t>
            </w:r>
            <w:r>
              <w:rPr>
                <w:rFonts w:eastAsia="Arial Unicode MS"/>
                <w:b/>
                <w:sz w:val="14"/>
                <w:szCs w:val="20"/>
              </w:rPr>
              <w:t>A</w:t>
            </w:r>
            <w:r w:rsidRPr="00604C75">
              <w:rPr>
                <w:rFonts w:eastAsia="Arial Unicode MS"/>
                <w:b/>
                <w:sz w:val="14"/>
                <w:szCs w:val="20"/>
              </w:rPr>
              <w:t>ctivities</w:t>
            </w:r>
          </w:p>
        </w:tc>
        <w:tc>
          <w:tcPr>
            <w:tcW w:w="758" w:type="dxa"/>
          </w:tcPr>
          <w:p w14:paraId="4CDACCE7" w14:textId="77777777" w:rsidR="00224102" w:rsidRPr="00604C75" w:rsidRDefault="00224102" w:rsidP="00224102">
            <w:pPr>
              <w:spacing w:line="226" w:lineRule="auto"/>
              <w:jc w:val="right"/>
              <w:rPr>
                <w:rFonts w:eastAsia="Arial Unicode MS"/>
                <w:b/>
                <w:sz w:val="14"/>
                <w:szCs w:val="16"/>
              </w:rPr>
            </w:pPr>
          </w:p>
        </w:tc>
        <w:tc>
          <w:tcPr>
            <w:tcW w:w="1669" w:type="dxa"/>
            <w:noWrap/>
            <w:tcMar>
              <w:top w:w="18" w:type="dxa"/>
              <w:left w:w="18" w:type="dxa"/>
              <w:bottom w:w="0" w:type="dxa"/>
              <w:right w:w="18" w:type="dxa"/>
            </w:tcMar>
            <w:vAlign w:val="bottom"/>
          </w:tcPr>
          <w:p w14:paraId="00F3933D" w14:textId="20F63017" w:rsidR="00224102" w:rsidRPr="00834CDD" w:rsidRDefault="00224102" w:rsidP="00224102">
            <w:pPr>
              <w:jc w:val="right"/>
              <w:rPr>
                <w:b/>
                <w:bCs/>
                <w:color w:val="000000"/>
                <w:sz w:val="14"/>
                <w:szCs w:val="14"/>
              </w:rPr>
            </w:pPr>
            <w:r>
              <w:rPr>
                <w:b/>
                <w:sz w:val="14"/>
                <w:szCs w:val="14"/>
              </w:rPr>
              <w:t>72,413</w:t>
            </w:r>
          </w:p>
        </w:tc>
        <w:tc>
          <w:tcPr>
            <w:tcW w:w="1559" w:type="dxa"/>
            <w:noWrap/>
            <w:tcMar>
              <w:top w:w="18" w:type="dxa"/>
              <w:left w:w="18" w:type="dxa"/>
              <w:bottom w:w="0" w:type="dxa"/>
              <w:right w:w="18" w:type="dxa"/>
            </w:tcMar>
            <w:vAlign w:val="bottom"/>
          </w:tcPr>
          <w:p w14:paraId="1B642C0E" w14:textId="4B5D3A5B" w:rsidR="00224102" w:rsidRPr="00834CDD" w:rsidRDefault="00224102" w:rsidP="00224102">
            <w:pPr>
              <w:jc w:val="right"/>
              <w:rPr>
                <w:b/>
                <w:sz w:val="14"/>
                <w:szCs w:val="14"/>
              </w:rPr>
            </w:pPr>
            <w:r w:rsidRPr="00AD1F1F">
              <w:rPr>
                <w:b/>
                <w:sz w:val="14"/>
                <w:szCs w:val="14"/>
              </w:rPr>
              <w:t>1,127,026</w:t>
            </w:r>
          </w:p>
        </w:tc>
      </w:tr>
      <w:tr w:rsidR="00224102" w:rsidRPr="00604C75" w14:paraId="345CCA3E"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702E8878" w14:textId="77777777" w:rsidR="00224102" w:rsidRPr="00604C75" w:rsidRDefault="00224102" w:rsidP="00224102">
            <w:pPr>
              <w:spacing w:line="226" w:lineRule="auto"/>
              <w:rPr>
                <w:rFonts w:eastAsia="Arial Unicode MS"/>
                <w:sz w:val="14"/>
                <w:szCs w:val="20"/>
              </w:rPr>
            </w:pPr>
          </w:p>
        </w:tc>
        <w:tc>
          <w:tcPr>
            <w:tcW w:w="4463" w:type="dxa"/>
            <w:noWrap/>
            <w:tcMar>
              <w:top w:w="18" w:type="dxa"/>
              <w:left w:w="18" w:type="dxa"/>
              <w:bottom w:w="0" w:type="dxa"/>
              <w:right w:w="18" w:type="dxa"/>
            </w:tcMar>
            <w:vAlign w:val="bottom"/>
          </w:tcPr>
          <w:p w14:paraId="443656C2" w14:textId="77777777" w:rsidR="00224102" w:rsidRPr="00604C75" w:rsidRDefault="00224102" w:rsidP="00224102">
            <w:pPr>
              <w:spacing w:line="226" w:lineRule="auto"/>
              <w:rPr>
                <w:rFonts w:eastAsia="Arial Unicode MS"/>
                <w:sz w:val="14"/>
                <w:szCs w:val="20"/>
              </w:rPr>
            </w:pPr>
          </w:p>
        </w:tc>
        <w:tc>
          <w:tcPr>
            <w:tcW w:w="758" w:type="dxa"/>
          </w:tcPr>
          <w:p w14:paraId="73AB315B"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09916AF2" w14:textId="77777777" w:rsidR="00224102" w:rsidRPr="00834CDD" w:rsidRDefault="00224102" w:rsidP="00224102">
            <w:pPr>
              <w:jc w:val="right"/>
              <w:rPr>
                <w:b/>
                <w:bCs/>
                <w:color w:val="000000"/>
                <w:sz w:val="14"/>
                <w:szCs w:val="14"/>
              </w:rPr>
            </w:pPr>
          </w:p>
        </w:tc>
        <w:tc>
          <w:tcPr>
            <w:tcW w:w="1559" w:type="dxa"/>
            <w:noWrap/>
            <w:tcMar>
              <w:top w:w="18" w:type="dxa"/>
              <w:left w:w="18" w:type="dxa"/>
              <w:bottom w:w="0" w:type="dxa"/>
              <w:right w:w="18" w:type="dxa"/>
            </w:tcMar>
            <w:vAlign w:val="bottom"/>
          </w:tcPr>
          <w:p w14:paraId="2AC07532" w14:textId="77777777" w:rsidR="00224102" w:rsidRPr="00834CDD" w:rsidRDefault="00224102" w:rsidP="00224102">
            <w:pPr>
              <w:jc w:val="right"/>
              <w:rPr>
                <w:sz w:val="14"/>
                <w:szCs w:val="14"/>
              </w:rPr>
            </w:pPr>
          </w:p>
        </w:tc>
      </w:tr>
      <w:tr w:rsidR="00224102" w:rsidRPr="00604C75" w14:paraId="0BC22AEB"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66C78683"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2.1</w:t>
            </w:r>
          </w:p>
        </w:tc>
        <w:tc>
          <w:tcPr>
            <w:tcW w:w="4463" w:type="dxa"/>
            <w:noWrap/>
            <w:tcMar>
              <w:top w:w="18" w:type="dxa"/>
              <w:left w:w="18" w:type="dxa"/>
              <w:bottom w:w="0" w:type="dxa"/>
              <w:right w:w="18" w:type="dxa"/>
            </w:tcMar>
            <w:vAlign w:val="bottom"/>
          </w:tcPr>
          <w:p w14:paraId="0F802F34" w14:textId="0A6E2048"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Cash </w:t>
            </w:r>
            <w:r>
              <w:rPr>
                <w:rFonts w:eastAsia="Arial Unicode MS"/>
                <w:sz w:val="14"/>
                <w:szCs w:val="20"/>
              </w:rPr>
              <w:t>P</w:t>
            </w:r>
            <w:r w:rsidRPr="00604C75">
              <w:rPr>
                <w:rFonts w:eastAsia="Arial Unicode MS"/>
                <w:sz w:val="14"/>
                <w:szCs w:val="20"/>
              </w:rPr>
              <w:t xml:space="preserve">aid for </w:t>
            </w:r>
            <w:r>
              <w:rPr>
                <w:rFonts w:eastAsia="Arial Unicode MS"/>
                <w:sz w:val="14"/>
                <w:szCs w:val="20"/>
              </w:rPr>
              <w:t>A</w:t>
            </w:r>
            <w:r w:rsidRPr="00604C75">
              <w:rPr>
                <w:rFonts w:eastAsia="Arial Unicode MS"/>
                <w:sz w:val="14"/>
                <w:szCs w:val="20"/>
              </w:rPr>
              <w:t xml:space="preserve">cquisition of </w:t>
            </w:r>
            <w:r>
              <w:rPr>
                <w:rFonts w:eastAsia="Arial Unicode MS"/>
                <w:sz w:val="14"/>
                <w:szCs w:val="20"/>
              </w:rPr>
              <w:t>I</w:t>
            </w:r>
            <w:r w:rsidRPr="00604C75">
              <w:rPr>
                <w:rFonts w:eastAsia="Arial Unicode MS"/>
                <w:sz w:val="14"/>
                <w:szCs w:val="20"/>
              </w:rPr>
              <w:t xml:space="preserve">nvestments, </w:t>
            </w:r>
            <w:r>
              <w:rPr>
                <w:rFonts w:eastAsia="Arial Unicode MS"/>
                <w:sz w:val="14"/>
                <w:szCs w:val="20"/>
              </w:rPr>
              <w:t>A</w:t>
            </w:r>
            <w:r w:rsidRPr="00604C75">
              <w:rPr>
                <w:rFonts w:eastAsia="Arial Unicode MS"/>
                <w:sz w:val="14"/>
                <w:szCs w:val="20"/>
              </w:rPr>
              <w:t xml:space="preserve">ssociates and </w:t>
            </w:r>
            <w:r>
              <w:rPr>
                <w:rFonts w:eastAsia="Arial Unicode MS"/>
                <w:sz w:val="14"/>
                <w:szCs w:val="20"/>
              </w:rPr>
              <w:t>S</w:t>
            </w:r>
            <w:r w:rsidRPr="00604C75">
              <w:rPr>
                <w:rFonts w:eastAsia="Arial Unicode MS"/>
                <w:sz w:val="14"/>
                <w:szCs w:val="20"/>
              </w:rPr>
              <w:t>ubsidiaries</w:t>
            </w:r>
          </w:p>
        </w:tc>
        <w:tc>
          <w:tcPr>
            <w:tcW w:w="758" w:type="dxa"/>
          </w:tcPr>
          <w:p w14:paraId="439F88AD"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5A4B23D2" w14:textId="2A2F08BA" w:rsidR="00224102" w:rsidRPr="00834CDD" w:rsidRDefault="00224102" w:rsidP="00224102">
            <w:pPr>
              <w:jc w:val="right"/>
              <w:rPr>
                <w:color w:val="000000"/>
                <w:sz w:val="14"/>
                <w:szCs w:val="14"/>
              </w:rPr>
            </w:pPr>
            <w:r>
              <w:rPr>
                <w:sz w:val="14"/>
                <w:szCs w:val="14"/>
              </w:rPr>
              <w:t>-</w:t>
            </w:r>
          </w:p>
        </w:tc>
        <w:tc>
          <w:tcPr>
            <w:tcW w:w="1559" w:type="dxa"/>
            <w:noWrap/>
            <w:tcMar>
              <w:top w:w="18" w:type="dxa"/>
              <w:left w:w="18" w:type="dxa"/>
              <w:bottom w:w="0" w:type="dxa"/>
              <w:right w:w="18" w:type="dxa"/>
            </w:tcMar>
            <w:vAlign w:val="bottom"/>
          </w:tcPr>
          <w:p w14:paraId="0FAA1A5D" w14:textId="5028395F" w:rsidR="00224102" w:rsidRPr="00834CDD" w:rsidRDefault="00224102" w:rsidP="00224102">
            <w:pPr>
              <w:jc w:val="right"/>
              <w:rPr>
                <w:sz w:val="14"/>
                <w:szCs w:val="14"/>
              </w:rPr>
            </w:pPr>
            <w:r w:rsidRPr="00AD1F1F">
              <w:rPr>
                <w:sz w:val="14"/>
                <w:szCs w:val="14"/>
              </w:rPr>
              <w:t>-</w:t>
            </w:r>
          </w:p>
        </w:tc>
      </w:tr>
      <w:tr w:rsidR="00224102" w:rsidRPr="00604C75" w14:paraId="6549786D"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32F537A3"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2.2</w:t>
            </w:r>
          </w:p>
        </w:tc>
        <w:tc>
          <w:tcPr>
            <w:tcW w:w="4463" w:type="dxa"/>
            <w:noWrap/>
            <w:tcMar>
              <w:top w:w="18" w:type="dxa"/>
              <w:left w:w="18" w:type="dxa"/>
              <w:bottom w:w="0" w:type="dxa"/>
              <w:right w:w="18" w:type="dxa"/>
            </w:tcMar>
            <w:vAlign w:val="bottom"/>
          </w:tcPr>
          <w:p w14:paraId="04643FE3" w14:textId="4385CADE"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Cash </w:t>
            </w:r>
            <w:r>
              <w:rPr>
                <w:rFonts w:eastAsia="Arial Unicode MS"/>
                <w:sz w:val="14"/>
                <w:szCs w:val="20"/>
              </w:rPr>
              <w:t>O</w:t>
            </w:r>
            <w:r w:rsidRPr="00604C75">
              <w:rPr>
                <w:rFonts w:eastAsia="Arial Unicode MS"/>
                <w:sz w:val="14"/>
                <w:szCs w:val="20"/>
              </w:rPr>
              <w:t xml:space="preserve">btained from </w:t>
            </w:r>
            <w:r>
              <w:rPr>
                <w:rFonts w:eastAsia="Arial Unicode MS"/>
                <w:sz w:val="14"/>
                <w:szCs w:val="20"/>
              </w:rPr>
              <w:t>D</w:t>
            </w:r>
            <w:r w:rsidRPr="00604C75">
              <w:rPr>
                <w:rFonts w:eastAsia="Arial Unicode MS"/>
                <w:sz w:val="14"/>
                <w:szCs w:val="20"/>
              </w:rPr>
              <w:t xml:space="preserve">isposal of </w:t>
            </w:r>
            <w:r>
              <w:rPr>
                <w:rFonts w:eastAsia="Arial Unicode MS"/>
                <w:sz w:val="14"/>
                <w:szCs w:val="20"/>
              </w:rPr>
              <w:t>I</w:t>
            </w:r>
            <w:r w:rsidRPr="00604C75">
              <w:rPr>
                <w:rFonts w:eastAsia="Arial Unicode MS"/>
                <w:sz w:val="14"/>
                <w:szCs w:val="20"/>
              </w:rPr>
              <w:t xml:space="preserve">nvestments, </w:t>
            </w:r>
            <w:r>
              <w:rPr>
                <w:rFonts w:eastAsia="Arial Unicode MS"/>
                <w:sz w:val="14"/>
                <w:szCs w:val="20"/>
              </w:rPr>
              <w:t>A</w:t>
            </w:r>
            <w:r w:rsidRPr="00604C75">
              <w:rPr>
                <w:rFonts w:eastAsia="Arial Unicode MS"/>
                <w:sz w:val="14"/>
                <w:szCs w:val="20"/>
              </w:rPr>
              <w:t xml:space="preserve">ssociates and </w:t>
            </w:r>
            <w:r>
              <w:rPr>
                <w:rFonts w:eastAsia="Arial Unicode MS"/>
                <w:sz w:val="14"/>
                <w:szCs w:val="20"/>
              </w:rPr>
              <w:t>s</w:t>
            </w:r>
            <w:r w:rsidRPr="00604C75">
              <w:rPr>
                <w:rFonts w:eastAsia="Arial Unicode MS"/>
                <w:sz w:val="14"/>
                <w:szCs w:val="20"/>
              </w:rPr>
              <w:t>ubsidiaries</w:t>
            </w:r>
          </w:p>
        </w:tc>
        <w:tc>
          <w:tcPr>
            <w:tcW w:w="758" w:type="dxa"/>
          </w:tcPr>
          <w:p w14:paraId="14F38883"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5DC8C109" w14:textId="25AAA1A8" w:rsidR="00224102" w:rsidRPr="00834CDD" w:rsidRDefault="00224102" w:rsidP="00224102">
            <w:pPr>
              <w:jc w:val="right"/>
              <w:rPr>
                <w:color w:val="000000"/>
                <w:sz w:val="14"/>
                <w:szCs w:val="14"/>
              </w:rPr>
            </w:pPr>
            <w:r w:rsidRPr="00AD1F1F">
              <w:rPr>
                <w:sz w:val="14"/>
                <w:szCs w:val="14"/>
              </w:rPr>
              <w:t>900</w:t>
            </w:r>
          </w:p>
        </w:tc>
        <w:tc>
          <w:tcPr>
            <w:tcW w:w="1559" w:type="dxa"/>
            <w:noWrap/>
            <w:tcMar>
              <w:top w:w="18" w:type="dxa"/>
              <w:left w:w="18" w:type="dxa"/>
              <w:bottom w:w="0" w:type="dxa"/>
              <w:right w:w="18" w:type="dxa"/>
            </w:tcMar>
            <w:vAlign w:val="bottom"/>
          </w:tcPr>
          <w:p w14:paraId="79A25FFD" w14:textId="45E068E5" w:rsidR="00224102" w:rsidRPr="00834CDD" w:rsidRDefault="00224102" w:rsidP="00224102">
            <w:pPr>
              <w:jc w:val="right"/>
              <w:rPr>
                <w:sz w:val="14"/>
                <w:szCs w:val="14"/>
              </w:rPr>
            </w:pPr>
            <w:r w:rsidRPr="00AD1F1F">
              <w:rPr>
                <w:sz w:val="14"/>
                <w:szCs w:val="14"/>
              </w:rPr>
              <w:t>-</w:t>
            </w:r>
          </w:p>
        </w:tc>
      </w:tr>
      <w:tr w:rsidR="00224102" w:rsidRPr="00604C75" w14:paraId="2EC11D37"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4E9DCFD4"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2.3</w:t>
            </w:r>
          </w:p>
        </w:tc>
        <w:tc>
          <w:tcPr>
            <w:tcW w:w="4463" w:type="dxa"/>
            <w:noWrap/>
            <w:tcMar>
              <w:top w:w="18" w:type="dxa"/>
              <w:left w:w="18" w:type="dxa"/>
              <w:bottom w:w="0" w:type="dxa"/>
              <w:right w:w="18" w:type="dxa"/>
            </w:tcMar>
            <w:vAlign w:val="bottom"/>
          </w:tcPr>
          <w:p w14:paraId="173AD6E1" w14:textId="51E9DF72"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Purchases of </w:t>
            </w:r>
            <w:r>
              <w:rPr>
                <w:rFonts w:eastAsia="Arial Unicode MS"/>
                <w:sz w:val="14"/>
                <w:szCs w:val="20"/>
              </w:rPr>
              <w:t>P</w:t>
            </w:r>
            <w:r w:rsidRPr="00604C75">
              <w:rPr>
                <w:rFonts w:eastAsia="Arial Unicode MS"/>
                <w:sz w:val="14"/>
                <w:szCs w:val="20"/>
              </w:rPr>
              <w:t xml:space="preserve">roperty and </w:t>
            </w:r>
            <w:r>
              <w:rPr>
                <w:rFonts w:eastAsia="Arial Unicode MS"/>
                <w:sz w:val="14"/>
                <w:szCs w:val="20"/>
              </w:rPr>
              <w:t>E</w:t>
            </w:r>
            <w:r w:rsidRPr="00604C75">
              <w:rPr>
                <w:rFonts w:eastAsia="Arial Unicode MS"/>
                <w:sz w:val="14"/>
                <w:szCs w:val="20"/>
              </w:rPr>
              <w:t>quipment</w:t>
            </w:r>
          </w:p>
        </w:tc>
        <w:tc>
          <w:tcPr>
            <w:tcW w:w="758" w:type="dxa"/>
          </w:tcPr>
          <w:p w14:paraId="47522791" w14:textId="77777777" w:rsidR="00224102" w:rsidRPr="00604C75" w:rsidRDefault="00224102" w:rsidP="00224102">
            <w:pPr>
              <w:spacing w:line="226" w:lineRule="auto"/>
              <w:jc w:val="right"/>
              <w:rPr>
                <w:rFonts w:eastAsia="Arial Unicode MS"/>
                <w:sz w:val="14"/>
                <w:szCs w:val="14"/>
              </w:rPr>
            </w:pPr>
          </w:p>
        </w:tc>
        <w:tc>
          <w:tcPr>
            <w:tcW w:w="1669" w:type="dxa"/>
            <w:noWrap/>
            <w:tcMar>
              <w:top w:w="18" w:type="dxa"/>
              <w:left w:w="18" w:type="dxa"/>
              <w:bottom w:w="0" w:type="dxa"/>
              <w:right w:w="18" w:type="dxa"/>
            </w:tcMar>
            <w:vAlign w:val="bottom"/>
          </w:tcPr>
          <w:p w14:paraId="35C4B780" w14:textId="1B47A5B4" w:rsidR="00224102" w:rsidRPr="00834CDD" w:rsidRDefault="00224102" w:rsidP="00224102">
            <w:pPr>
              <w:jc w:val="right"/>
              <w:rPr>
                <w:color w:val="000000"/>
                <w:sz w:val="14"/>
                <w:szCs w:val="14"/>
              </w:rPr>
            </w:pPr>
            <w:r w:rsidRPr="00AD1F1F">
              <w:rPr>
                <w:sz w:val="14"/>
                <w:szCs w:val="14"/>
              </w:rPr>
              <w:t>(27,500)</w:t>
            </w:r>
          </w:p>
        </w:tc>
        <w:tc>
          <w:tcPr>
            <w:tcW w:w="1559" w:type="dxa"/>
            <w:noWrap/>
            <w:tcMar>
              <w:top w:w="18" w:type="dxa"/>
              <w:left w:w="18" w:type="dxa"/>
              <w:bottom w:w="0" w:type="dxa"/>
              <w:right w:w="18" w:type="dxa"/>
            </w:tcMar>
            <w:vAlign w:val="bottom"/>
          </w:tcPr>
          <w:p w14:paraId="56C06A76" w14:textId="4B24F1CC" w:rsidR="00224102" w:rsidRPr="00834CDD" w:rsidRDefault="00224102" w:rsidP="00224102">
            <w:pPr>
              <w:jc w:val="right"/>
              <w:rPr>
                <w:sz w:val="14"/>
                <w:szCs w:val="14"/>
              </w:rPr>
            </w:pPr>
            <w:r w:rsidRPr="00AD1F1F">
              <w:rPr>
                <w:sz w:val="14"/>
                <w:szCs w:val="14"/>
              </w:rPr>
              <w:t>(13,160)</w:t>
            </w:r>
          </w:p>
        </w:tc>
      </w:tr>
      <w:tr w:rsidR="00224102" w:rsidRPr="00604C75" w14:paraId="10B4F3F7"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418A937C"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2.4</w:t>
            </w:r>
          </w:p>
        </w:tc>
        <w:tc>
          <w:tcPr>
            <w:tcW w:w="4463" w:type="dxa"/>
            <w:noWrap/>
            <w:tcMar>
              <w:top w:w="18" w:type="dxa"/>
              <w:left w:w="18" w:type="dxa"/>
              <w:bottom w:w="0" w:type="dxa"/>
              <w:right w:w="18" w:type="dxa"/>
            </w:tcMar>
            <w:vAlign w:val="bottom"/>
          </w:tcPr>
          <w:p w14:paraId="7C48C0FA" w14:textId="4317E940"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Disposals of </w:t>
            </w:r>
            <w:r>
              <w:rPr>
                <w:rFonts w:eastAsia="Arial Unicode MS"/>
                <w:sz w:val="14"/>
                <w:szCs w:val="20"/>
              </w:rPr>
              <w:t>P</w:t>
            </w:r>
            <w:r w:rsidRPr="00604C75">
              <w:rPr>
                <w:rFonts w:eastAsia="Arial Unicode MS"/>
                <w:sz w:val="14"/>
                <w:szCs w:val="20"/>
              </w:rPr>
              <w:t xml:space="preserve">roperty and </w:t>
            </w:r>
            <w:r>
              <w:rPr>
                <w:rFonts w:eastAsia="Arial Unicode MS"/>
                <w:sz w:val="14"/>
                <w:szCs w:val="20"/>
              </w:rPr>
              <w:t>E</w:t>
            </w:r>
            <w:r w:rsidRPr="00604C75">
              <w:rPr>
                <w:rFonts w:eastAsia="Arial Unicode MS"/>
                <w:sz w:val="14"/>
                <w:szCs w:val="20"/>
              </w:rPr>
              <w:t>quipment</w:t>
            </w:r>
          </w:p>
        </w:tc>
        <w:tc>
          <w:tcPr>
            <w:tcW w:w="758" w:type="dxa"/>
          </w:tcPr>
          <w:p w14:paraId="0E203B39" w14:textId="77777777" w:rsidR="00224102" w:rsidRPr="00604C75" w:rsidRDefault="00224102" w:rsidP="00224102">
            <w:pPr>
              <w:spacing w:line="226" w:lineRule="auto"/>
              <w:jc w:val="right"/>
              <w:rPr>
                <w:rFonts w:eastAsia="Arial Unicode MS"/>
                <w:sz w:val="14"/>
                <w:szCs w:val="14"/>
              </w:rPr>
            </w:pPr>
          </w:p>
        </w:tc>
        <w:tc>
          <w:tcPr>
            <w:tcW w:w="1669" w:type="dxa"/>
            <w:noWrap/>
            <w:tcMar>
              <w:top w:w="18" w:type="dxa"/>
              <w:left w:w="18" w:type="dxa"/>
              <w:bottom w:w="0" w:type="dxa"/>
              <w:right w:w="18" w:type="dxa"/>
            </w:tcMar>
            <w:vAlign w:val="bottom"/>
          </w:tcPr>
          <w:p w14:paraId="058CABB0" w14:textId="01CA0850" w:rsidR="00224102" w:rsidRPr="00834CDD" w:rsidRDefault="00224102" w:rsidP="00224102">
            <w:pPr>
              <w:jc w:val="right"/>
              <w:rPr>
                <w:color w:val="000000"/>
                <w:sz w:val="14"/>
                <w:szCs w:val="14"/>
              </w:rPr>
            </w:pPr>
            <w:r w:rsidRPr="00AD1F1F">
              <w:rPr>
                <w:sz w:val="14"/>
                <w:szCs w:val="14"/>
              </w:rPr>
              <w:t>20,008</w:t>
            </w:r>
          </w:p>
        </w:tc>
        <w:tc>
          <w:tcPr>
            <w:tcW w:w="1559" w:type="dxa"/>
            <w:noWrap/>
            <w:tcMar>
              <w:top w:w="18" w:type="dxa"/>
              <w:left w:w="18" w:type="dxa"/>
              <w:bottom w:w="0" w:type="dxa"/>
              <w:right w:w="18" w:type="dxa"/>
            </w:tcMar>
            <w:vAlign w:val="bottom"/>
          </w:tcPr>
          <w:p w14:paraId="00A33856" w14:textId="26992299" w:rsidR="00224102" w:rsidRPr="00834CDD" w:rsidRDefault="00224102" w:rsidP="00224102">
            <w:pPr>
              <w:jc w:val="right"/>
              <w:rPr>
                <w:sz w:val="14"/>
                <w:szCs w:val="14"/>
              </w:rPr>
            </w:pPr>
            <w:r w:rsidRPr="00AD1F1F">
              <w:rPr>
                <w:sz w:val="14"/>
                <w:szCs w:val="14"/>
              </w:rPr>
              <w:t>14,848</w:t>
            </w:r>
          </w:p>
        </w:tc>
      </w:tr>
      <w:tr w:rsidR="00224102" w:rsidRPr="00604C75" w14:paraId="5F06514C"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09001178"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2.5</w:t>
            </w:r>
          </w:p>
        </w:tc>
        <w:tc>
          <w:tcPr>
            <w:tcW w:w="4463" w:type="dxa"/>
            <w:noWrap/>
            <w:tcMar>
              <w:top w:w="18" w:type="dxa"/>
              <w:left w:w="18" w:type="dxa"/>
              <w:bottom w:w="0" w:type="dxa"/>
              <w:right w:w="18" w:type="dxa"/>
            </w:tcMar>
            <w:vAlign w:val="bottom"/>
          </w:tcPr>
          <w:p w14:paraId="62AAD330" w14:textId="04835FA8"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Cash </w:t>
            </w:r>
            <w:r>
              <w:rPr>
                <w:rFonts w:eastAsia="Arial Unicode MS"/>
                <w:sz w:val="14"/>
                <w:szCs w:val="20"/>
              </w:rPr>
              <w:t>P</w:t>
            </w:r>
            <w:r w:rsidRPr="00604C75">
              <w:rPr>
                <w:rFonts w:eastAsia="Arial Unicode MS"/>
                <w:sz w:val="14"/>
                <w:szCs w:val="20"/>
              </w:rPr>
              <w:t xml:space="preserve">aid for </w:t>
            </w:r>
            <w:r>
              <w:rPr>
                <w:rFonts w:eastAsia="Arial Unicode MS"/>
                <w:sz w:val="14"/>
                <w:szCs w:val="20"/>
              </w:rPr>
              <w:t>P</w:t>
            </w:r>
            <w:r w:rsidRPr="00604C75">
              <w:rPr>
                <w:rFonts w:eastAsia="Arial Unicode MS"/>
                <w:sz w:val="14"/>
                <w:szCs w:val="20"/>
              </w:rPr>
              <w:t xml:space="preserve">urchase of </w:t>
            </w:r>
            <w:r>
              <w:rPr>
                <w:rFonts w:eastAsia="Arial Unicode MS"/>
                <w:sz w:val="14"/>
                <w:szCs w:val="20"/>
              </w:rPr>
              <w:t>I</w:t>
            </w:r>
            <w:r w:rsidRPr="00604C75">
              <w:rPr>
                <w:rFonts w:eastAsia="Arial Unicode MS"/>
                <w:sz w:val="14"/>
                <w:szCs w:val="20"/>
              </w:rPr>
              <w:t xml:space="preserve">nvestments </w:t>
            </w:r>
            <w:r>
              <w:rPr>
                <w:rFonts w:eastAsia="Arial Unicode MS"/>
                <w:sz w:val="14"/>
                <w:szCs w:val="20"/>
              </w:rPr>
              <w:t>A</w:t>
            </w:r>
            <w:r w:rsidRPr="00604C75">
              <w:rPr>
                <w:rFonts w:eastAsia="Arial Unicode MS"/>
                <w:sz w:val="14"/>
                <w:szCs w:val="20"/>
              </w:rPr>
              <w:t>vailable-for-sale</w:t>
            </w:r>
          </w:p>
        </w:tc>
        <w:tc>
          <w:tcPr>
            <w:tcW w:w="758" w:type="dxa"/>
          </w:tcPr>
          <w:p w14:paraId="4E74CF89" w14:textId="77777777" w:rsidR="00224102" w:rsidRPr="00604C75" w:rsidRDefault="00224102" w:rsidP="00224102">
            <w:pPr>
              <w:spacing w:line="226" w:lineRule="auto"/>
              <w:jc w:val="right"/>
              <w:rPr>
                <w:rFonts w:eastAsia="Arial Unicode MS"/>
                <w:sz w:val="14"/>
                <w:szCs w:val="14"/>
              </w:rPr>
            </w:pPr>
          </w:p>
        </w:tc>
        <w:tc>
          <w:tcPr>
            <w:tcW w:w="1669" w:type="dxa"/>
            <w:noWrap/>
            <w:tcMar>
              <w:top w:w="18" w:type="dxa"/>
              <w:left w:w="18" w:type="dxa"/>
              <w:bottom w:w="0" w:type="dxa"/>
              <w:right w:w="18" w:type="dxa"/>
            </w:tcMar>
            <w:vAlign w:val="bottom"/>
          </w:tcPr>
          <w:p w14:paraId="724A9CEC" w14:textId="00D0DFDA" w:rsidR="00224102" w:rsidRPr="00834CDD" w:rsidRDefault="00224102" w:rsidP="00224102">
            <w:pPr>
              <w:jc w:val="right"/>
              <w:rPr>
                <w:color w:val="000000"/>
                <w:sz w:val="14"/>
                <w:szCs w:val="14"/>
              </w:rPr>
            </w:pPr>
            <w:r w:rsidRPr="00AD1F1F">
              <w:rPr>
                <w:sz w:val="14"/>
                <w:szCs w:val="14"/>
              </w:rPr>
              <w:t>(1,047,154)</w:t>
            </w:r>
          </w:p>
        </w:tc>
        <w:tc>
          <w:tcPr>
            <w:tcW w:w="1559" w:type="dxa"/>
            <w:noWrap/>
            <w:tcMar>
              <w:top w:w="18" w:type="dxa"/>
              <w:left w:w="18" w:type="dxa"/>
              <w:bottom w:w="0" w:type="dxa"/>
              <w:right w:w="18" w:type="dxa"/>
            </w:tcMar>
            <w:vAlign w:val="bottom"/>
          </w:tcPr>
          <w:p w14:paraId="337307FD" w14:textId="6DEA8FAB" w:rsidR="00224102" w:rsidRPr="00834CDD" w:rsidRDefault="00224102" w:rsidP="00224102">
            <w:pPr>
              <w:jc w:val="right"/>
              <w:rPr>
                <w:sz w:val="14"/>
                <w:szCs w:val="14"/>
              </w:rPr>
            </w:pPr>
            <w:r w:rsidRPr="00AD1F1F">
              <w:rPr>
                <w:sz w:val="14"/>
                <w:szCs w:val="14"/>
              </w:rPr>
              <w:t>(235,844)</w:t>
            </w:r>
          </w:p>
        </w:tc>
      </w:tr>
      <w:tr w:rsidR="00224102" w:rsidRPr="00604C75" w14:paraId="55F11E1E"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1069A907"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2.6</w:t>
            </w:r>
          </w:p>
        </w:tc>
        <w:tc>
          <w:tcPr>
            <w:tcW w:w="4463" w:type="dxa"/>
            <w:noWrap/>
            <w:tcMar>
              <w:top w:w="18" w:type="dxa"/>
              <w:left w:w="18" w:type="dxa"/>
              <w:bottom w:w="0" w:type="dxa"/>
              <w:right w:w="18" w:type="dxa"/>
            </w:tcMar>
            <w:vAlign w:val="bottom"/>
          </w:tcPr>
          <w:p w14:paraId="408631E8" w14:textId="480718BC"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Cash </w:t>
            </w:r>
            <w:r>
              <w:rPr>
                <w:rFonts w:eastAsia="Arial Unicode MS"/>
                <w:sz w:val="14"/>
                <w:szCs w:val="20"/>
              </w:rPr>
              <w:t>O</w:t>
            </w:r>
            <w:r w:rsidRPr="00604C75">
              <w:rPr>
                <w:rFonts w:eastAsia="Arial Unicode MS"/>
                <w:sz w:val="14"/>
                <w:szCs w:val="20"/>
              </w:rPr>
              <w:t xml:space="preserve">btained from </w:t>
            </w:r>
            <w:r>
              <w:rPr>
                <w:rFonts w:eastAsia="Arial Unicode MS"/>
                <w:sz w:val="14"/>
                <w:szCs w:val="20"/>
              </w:rPr>
              <w:t>S</w:t>
            </w:r>
            <w:r w:rsidRPr="00604C75">
              <w:rPr>
                <w:rFonts w:eastAsia="Arial Unicode MS"/>
                <w:sz w:val="14"/>
                <w:szCs w:val="20"/>
              </w:rPr>
              <w:t xml:space="preserve">ale of </w:t>
            </w:r>
            <w:r>
              <w:rPr>
                <w:rFonts w:eastAsia="Arial Unicode MS"/>
                <w:sz w:val="14"/>
                <w:szCs w:val="20"/>
              </w:rPr>
              <w:t>I</w:t>
            </w:r>
            <w:r w:rsidRPr="00604C75">
              <w:rPr>
                <w:rFonts w:eastAsia="Arial Unicode MS"/>
                <w:sz w:val="14"/>
                <w:szCs w:val="20"/>
              </w:rPr>
              <w:t xml:space="preserve">nvestments </w:t>
            </w:r>
            <w:r>
              <w:rPr>
                <w:rFonts w:eastAsia="Arial Unicode MS"/>
                <w:sz w:val="14"/>
                <w:szCs w:val="20"/>
              </w:rPr>
              <w:t>A</w:t>
            </w:r>
            <w:r w:rsidRPr="00604C75">
              <w:rPr>
                <w:rFonts w:eastAsia="Arial Unicode MS"/>
                <w:sz w:val="14"/>
                <w:szCs w:val="20"/>
              </w:rPr>
              <w:t>vailable-for-sale</w:t>
            </w:r>
          </w:p>
        </w:tc>
        <w:tc>
          <w:tcPr>
            <w:tcW w:w="758" w:type="dxa"/>
          </w:tcPr>
          <w:p w14:paraId="77356C3E" w14:textId="77777777" w:rsidR="00224102" w:rsidRPr="00604C75" w:rsidRDefault="00224102" w:rsidP="00224102">
            <w:pPr>
              <w:spacing w:line="226" w:lineRule="auto"/>
              <w:jc w:val="right"/>
              <w:rPr>
                <w:rFonts w:eastAsia="Arial Unicode MS"/>
                <w:sz w:val="14"/>
                <w:szCs w:val="14"/>
              </w:rPr>
            </w:pPr>
          </w:p>
        </w:tc>
        <w:tc>
          <w:tcPr>
            <w:tcW w:w="1669" w:type="dxa"/>
            <w:noWrap/>
            <w:tcMar>
              <w:top w:w="18" w:type="dxa"/>
              <w:left w:w="18" w:type="dxa"/>
              <w:bottom w:w="0" w:type="dxa"/>
              <w:right w:w="18" w:type="dxa"/>
            </w:tcMar>
            <w:vAlign w:val="bottom"/>
          </w:tcPr>
          <w:p w14:paraId="578673FE" w14:textId="59A516AE" w:rsidR="00224102" w:rsidRPr="00834CDD" w:rsidRDefault="00224102" w:rsidP="00224102">
            <w:pPr>
              <w:jc w:val="right"/>
              <w:rPr>
                <w:color w:val="000000"/>
                <w:sz w:val="14"/>
                <w:szCs w:val="14"/>
              </w:rPr>
            </w:pPr>
            <w:r w:rsidRPr="00AD1F1F">
              <w:rPr>
                <w:sz w:val="14"/>
                <w:szCs w:val="14"/>
              </w:rPr>
              <w:t>1,126,159</w:t>
            </w:r>
          </w:p>
        </w:tc>
        <w:tc>
          <w:tcPr>
            <w:tcW w:w="1559" w:type="dxa"/>
            <w:noWrap/>
            <w:tcMar>
              <w:top w:w="18" w:type="dxa"/>
              <w:left w:w="18" w:type="dxa"/>
              <w:bottom w:w="0" w:type="dxa"/>
              <w:right w:w="18" w:type="dxa"/>
            </w:tcMar>
            <w:vAlign w:val="bottom"/>
          </w:tcPr>
          <w:p w14:paraId="5C1CBFA6" w14:textId="6E5F7655" w:rsidR="00224102" w:rsidRPr="00834CDD" w:rsidRDefault="00224102" w:rsidP="00224102">
            <w:pPr>
              <w:jc w:val="right"/>
              <w:rPr>
                <w:sz w:val="14"/>
                <w:szCs w:val="14"/>
              </w:rPr>
            </w:pPr>
            <w:r w:rsidRPr="00AD1F1F">
              <w:rPr>
                <w:sz w:val="14"/>
                <w:szCs w:val="14"/>
              </w:rPr>
              <w:t>345,449</w:t>
            </w:r>
          </w:p>
        </w:tc>
      </w:tr>
      <w:tr w:rsidR="00224102" w:rsidRPr="00604C75" w14:paraId="5853B2DE"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1E1D446F"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2.7</w:t>
            </w:r>
          </w:p>
        </w:tc>
        <w:tc>
          <w:tcPr>
            <w:tcW w:w="4463" w:type="dxa"/>
            <w:noWrap/>
            <w:tcMar>
              <w:top w:w="18" w:type="dxa"/>
              <w:left w:w="18" w:type="dxa"/>
              <w:bottom w:w="0" w:type="dxa"/>
              <w:right w:w="18" w:type="dxa"/>
            </w:tcMar>
            <w:vAlign w:val="bottom"/>
          </w:tcPr>
          <w:p w14:paraId="63D72080" w14:textId="33F14DFF"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Cash </w:t>
            </w:r>
            <w:r>
              <w:rPr>
                <w:rFonts w:eastAsia="Arial Unicode MS"/>
                <w:sz w:val="14"/>
                <w:szCs w:val="20"/>
              </w:rPr>
              <w:t>P</w:t>
            </w:r>
            <w:r w:rsidRPr="00604C75">
              <w:rPr>
                <w:rFonts w:eastAsia="Arial Unicode MS"/>
                <w:sz w:val="14"/>
                <w:szCs w:val="20"/>
              </w:rPr>
              <w:t>aid for</w:t>
            </w:r>
            <w:r>
              <w:rPr>
                <w:rFonts w:eastAsia="Arial Unicode MS"/>
                <w:sz w:val="14"/>
                <w:szCs w:val="20"/>
              </w:rPr>
              <w:t xml:space="preserve"> P</w:t>
            </w:r>
            <w:r w:rsidRPr="00604C75">
              <w:rPr>
                <w:rFonts w:eastAsia="Arial Unicode MS"/>
                <w:sz w:val="14"/>
                <w:szCs w:val="20"/>
              </w:rPr>
              <w:t xml:space="preserve">urchase of </w:t>
            </w:r>
            <w:r>
              <w:rPr>
                <w:rFonts w:eastAsia="Arial Unicode MS"/>
                <w:sz w:val="14"/>
                <w:szCs w:val="20"/>
              </w:rPr>
              <w:t>I</w:t>
            </w:r>
            <w:r w:rsidRPr="00604C75">
              <w:rPr>
                <w:rFonts w:eastAsia="Arial Unicode MS"/>
                <w:sz w:val="14"/>
                <w:szCs w:val="20"/>
              </w:rPr>
              <w:t xml:space="preserve">nvestment </w:t>
            </w:r>
            <w:r>
              <w:rPr>
                <w:rFonts w:eastAsia="Arial Unicode MS"/>
                <w:sz w:val="14"/>
                <w:szCs w:val="20"/>
              </w:rPr>
              <w:t>S</w:t>
            </w:r>
            <w:r w:rsidRPr="00604C75">
              <w:rPr>
                <w:rFonts w:eastAsia="Arial Unicode MS"/>
                <w:sz w:val="14"/>
                <w:szCs w:val="20"/>
              </w:rPr>
              <w:t>ecurities</w:t>
            </w:r>
          </w:p>
        </w:tc>
        <w:tc>
          <w:tcPr>
            <w:tcW w:w="758" w:type="dxa"/>
          </w:tcPr>
          <w:p w14:paraId="4F06C7F5" w14:textId="77777777" w:rsidR="00224102" w:rsidRPr="00604C75" w:rsidRDefault="00224102" w:rsidP="00224102">
            <w:pPr>
              <w:spacing w:line="226" w:lineRule="auto"/>
              <w:jc w:val="right"/>
              <w:rPr>
                <w:rFonts w:eastAsia="Arial Unicode MS"/>
                <w:sz w:val="14"/>
                <w:szCs w:val="14"/>
              </w:rPr>
            </w:pPr>
          </w:p>
        </w:tc>
        <w:tc>
          <w:tcPr>
            <w:tcW w:w="1669" w:type="dxa"/>
            <w:noWrap/>
            <w:tcMar>
              <w:top w:w="18" w:type="dxa"/>
              <w:left w:w="18" w:type="dxa"/>
              <w:bottom w:w="0" w:type="dxa"/>
              <w:right w:w="18" w:type="dxa"/>
            </w:tcMar>
            <w:vAlign w:val="bottom"/>
          </w:tcPr>
          <w:p w14:paraId="5231ECB3" w14:textId="6D959F7B" w:rsidR="00224102" w:rsidRPr="00834CDD" w:rsidRDefault="00224102" w:rsidP="00224102">
            <w:pPr>
              <w:jc w:val="right"/>
              <w:rPr>
                <w:color w:val="000000"/>
                <w:sz w:val="14"/>
                <w:szCs w:val="14"/>
              </w:rPr>
            </w:pPr>
            <w:r w:rsidRPr="00AD1F1F">
              <w:rPr>
                <w:sz w:val="14"/>
                <w:szCs w:val="14"/>
              </w:rPr>
              <w:t>-</w:t>
            </w:r>
          </w:p>
        </w:tc>
        <w:tc>
          <w:tcPr>
            <w:tcW w:w="1559" w:type="dxa"/>
            <w:noWrap/>
            <w:tcMar>
              <w:top w:w="18" w:type="dxa"/>
              <w:left w:w="18" w:type="dxa"/>
              <w:bottom w:w="0" w:type="dxa"/>
              <w:right w:w="18" w:type="dxa"/>
            </w:tcMar>
            <w:vAlign w:val="bottom"/>
          </w:tcPr>
          <w:p w14:paraId="6052820A" w14:textId="40355586" w:rsidR="00224102" w:rsidRPr="00834CDD" w:rsidRDefault="00224102" w:rsidP="00224102">
            <w:pPr>
              <w:jc w:val="right"/>
              <w:rPr>
                <w:sz w:val="14"/>
                <w:szCs w:val="14"/>
              </w:rPr>
            </w:pPr>
            <w:r w:rsidRPr="00AD1F1F">
              <w:rPr>
                <w:sz w:val="14"/>
                <w:szCs w:val="14"/>
              </w:rPr>
              <w:t>(220,830)</w:t>
            </w:r>
          </w:p>
        </w:tc>
      </w:tr>
      <w:tr w:rsidR="00224102" w:rsidRPr="00604C75" w14:paraId="30A7FF86"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1E01C472"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2.8</w:t>
            </w:r>
          </w:p>
        </w:tc>
        <w:tc>
          <w:tcPr>
            <w:tcW w:w="4463" w:type="dxa"/>
            <w:noWrap/>
            <w:tcMar>
              <w:top w:w="18" w:type="dxa"/>
              <w:left w:w="18" w:type="dxa"/>
              <w:bottom w:w="0" w:type="dxa"/>
              <w:right w:w="18" w:type="dxa"/>
            </w:tcMar>
            <w:vAlign w:val="bottom"/>
          </w:tcPr>
          <w:p w14:paraId="44D9FC11" w14:textId="1512E13D"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Cash </w:t>
            </w:r>
            <w:r>
              <w:rPr>
                <w:rFonts w:eastAsia="Arial Unicode MS"/>
                <w:sz w:val="14"/>
                <w:szCs w:val="20"/>
              </w:rPr>
              <w:t>O</w:t>
            </w:r>
            <w:r w:rsidRPr="00604C75">
              <w:rPr>
                <w:rFonts w:eastAsia="Arial Unicode MS"/>
                <w:sz w:val="14"/>
                <w:szCs w:val="20"/>
              </w:rPr>
              <w:t xml:space="preserve">btained from </w:t>
            </w:r>
            <w:r>
              <w:rPr>
                <w:rFonts w:eastAsia="Arial Unicode MS"/>
                <w:sz w:val="14"/>
                <w:szCs w:val="20"/>
              </w:rPr>
              <w:t>S</w:t>
            </w:r>
            <w:r w:rsidRPr="00604C75">
              <w:rPr>
                <w:rFonts w:eastAsia="Arial Unicode MS"/>
                <w:sz w:val="14"/>
                <w:szCs w:val="20"/>
              </w:rPr>
              <w:t xml:space="preserve">ale of </w:t>
            </w:r>
            <w:r>
              <w:rPr>
                <w:rFonts w:eastAsia="Arial Unicode MS"/>
                <w:sz w:val="14"/>
                <w:szCs w:val="20"/>
              </w:rPr>
              <w:t>I</w:t>
            </w:r>
            <w:r w:rsidRPr="00604C75">
              <w:rPr>
                <w:rFonts w:eastAsia="Arial Unicode MS"/>
                <w:sz w:val="14"/>
                <w:szCs w:val="20"/>
              </w:rPr>
              <w:t xml:space="preserve">nvestment </w:t>
            </w:r>
            <w:r>
              <w:rPr>
                <w:rFonts w:eastAsia="Arial Unicode MS"/>
                <w:sz w:val="14"/>
                <w:szCs w:val="20"/>
              </w:rPr>
              <w:t>S</w:t>
            </w:r>
            <w:r w:rsidRPr="00604C75">
              <w:rPr>
                <w:rFonts w:eastAsia="Arial Unicode MS"/>
                <w:sz w:val="14"/>
                <w:szCs w:val="20"/>
              </w:rPr>
              <w:t>ecurities</w:t>
            </w:r>
          </w:p>
        </w:tc>
        <w:tc>
          <w:tcPr>
            <w:tcW w:w="758" w:type="dxa"/>
          </w:tcPr>
          <w:p w14:paraId="79A7E9EB" w14:textId="77777777" w:rsidR="00224102" w:rsidRPr="00604C75" w:rsidRDefault="00224102" w:rsidP="00224102">
            <w:pPr>
              <w:spacing w:line="226" w:lineRule="auto"/>
              <w:jc w:val="right"/>
              <w:rPr>
                <w:rFonts w:eastAsia="Arial Unicode MS"/>
                <w:sz w:val="14"/>
                <w:szCs w:val="14"/>
              </w:rPr>
            </w:pPr>
          </w:p>
        </w:tc>
        <w:tc>
          <w:tcPr>
            <w:tcW w:w="1669" w:type="dxa"/>
            <w:noWrap/>
            <w:tcMar>
              <w:top w:w="18" w:type="dxa"/>
              <w:left w:w="18" w:type="dxa"/>
              <w:bottom w:w="0" w:type="dxa"/>
              <w:right w:w="18" w:type="dxa"/>
            </w:tcMar>
            <w:vAlign w:val="bottom"/>
          </w:tcPr>
          <w:p w14:paraId="39C5E318" w14:textId="0B29343B" w:rsidR="00224102" w:rsidRPr="00834CDD" w:rsidRDefault="00224102" w:rsidP="00224102">
            <w:pPr>
              <w:jc w:val="right"/>
              <w:rPr>
                <w:color w:val="000000"/>
                <w:sz w:val="14"/>
                <w:szCs w:val="14"/>
              </w:rPr>
            </w:pPr>
            <w:r w:rsidRPr="00AD1F1F">
              <w:rPr>
                <w:sz w:val="14"/>
                <w:szCs w:val="14"/>
              </w:rPr>
              <w:t>-</w:t>
            </w:r>
          </w:p>
        </w:tc>
        <w:tc>
          <w:tcPr>
            <w:tcW w:w="1559" w:type="dxa"/>
            <w:noWrap/>
            <w:tcMar>
              <w:top w:w="18" w:type="dxa"/>
              <w:left w:w="18" w:type="dxa"/>
              <w:bottom w:w="0" w:type="dxa"/>
              <w:right w:w="18" w:type="dxa"/>
            </w:tcMar>
            <w:vAlign w:val="bottom"/>
          </w:tcPr>
          <w:p w14:paraId="77A5D9F8" w14:textId="1CE9AD17" w:rsidR="00224102" w:rsidRPr="00834CDD" w:rsidRDefault="00224102" w:rsidP="00224102">
            <w:pPr>
              <w:jc w:val="right"/>
              <w:rPr>
                <w:sz w:val="14"/>
                <w:szCs w:val="14"/>
              </w:rPr>
            </w:pPr>
            <w:r w:rsidRPr="00AD1F1F">
              <w:rPr>
                <w:sz w:val="14"/>
                <w:szCs w:val="14"/>
              </w:rPr>
              <w:t>1,236,563</w:t>
            </w:r>
          </w:p>
        </w:tc>
      </w:tr>
      <w:tr w:rsidR="00224102" w:rsidRPr="00604C75" w14:paraId="202F7CF2"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3802780B"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2.9</w:t>
            </w:r>
          </w:p>
        </w:tc>
        <w:tc>
          <w:tcPr>
            <w:tcW w:w="4463" w:type="dxa"/>
            <w:noWrap/>
            <w:tcMar>
              <w:top w:w="18" w:type="dxa"/>
              <w:left w:w="18" w:type="dxa"/>
              <w:bottom w:w="0" w:type="dxa"/>
              <w:right w:w="18" w:type="dxa"/>
            </w:tcMar>
            <w:vAlign w:val="bottom"/>
          </w:tcPr>
          <w:p w14:paraId="51C418F5"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Other</w:t>
            </w:r>
          </w:p>
        </w:tc>
        <w:tc>
          <w:tcPr>
            <w:tcW w:w="758" w:type="dxa"/>
          </w:tcPr>
          <w:p w14:paraId="6AFE5C79" w14:textId="77777777" w:rsidR="00224102" w:rsidRPr="00604C75" w:rsidRDefault="00224102" w:rsidP="00224102">
            <w:pPr>
              <w:spacing w:line="226" w:lineRule="auto"/>
              <w:jc w:val="right"/>
              <w:rPr>
                <w:rFonts w:eastAsia="Arial Unicode MS"/>
                <w:sz w:val="14"/>
                <w:szCs w:val="14"/>
              </w:rPr>
            </w:pPr>
          </w:p>
        </w:tc>
        <w:tc>
          <w:tcPr>
            <w:tcW w:w="1669" w:type="dxa"/>
            <w:noWrap/>
            <w:tcMar>
              <w:top w:w="18" w:type="dxa"/>
              <w:left w:w="18" w:type="dxa"/>
              <w:bottom w:w="0" w:type="dxa"/>
              <w:right w:w="18" w:type="dxa"/>
            </w:tcMar>
            <w:vAlign w:val="bottom"/>
          </w:tcPr>
          <w:p w14:paraId="3B2E7642" w14:textId="2204942E" w:rsidR="00224102" w:rsidRPr="00834CDD" w:rsidRDefault="00224102" w:rsidP="00224102">
            <w:pPr>
              <w:jc w:val="right"/>
              <w:rPr>
                <w:color w:val="000000"/>
                <w:sz w:val="14"/>
                <w:szCs w:val="14"/>
              </w:rPr>
            </w:pPr>
            <w:r w:rsidRPr="00AD1F1F">
              <w:rPr>
                <w:sz w:val="14"/>
                <w:szCs w:val="14"/>
              </w:rPr>
              <w:t>-</w:t>
            </w:r>
          </w:p>
        </w:tc>
        <w:tc>
          <w:tcPr>
            <w:tcW w:w="1559" w:type="dxa"/>
            <w:noWrap/>
            <w:tcMar>
              <w:top w:w="18" w:type="dxa"/>
              <w:left w:w="18" w:type="dxa"/>
              <w:bottom w:w="0" w:type="dxa"/>
              <w:right w:w="18" w:type="dxa"/>
            </w:tcMar>
            <w:vAlign w:val="bottom"/>
          </w:tcPr>
          <w:p w14:paraId="007B95D3" w14:textId="6044A514" w:rsidR="00224102" w:rsidRPr="00834CDD" w:rsidRDefault="00224102" w:rsidP="00224102">
            <w:pPr>
              <w:jc w:val="right"/>
              <w:rPr>
                <w:sz w:val="14"/>
                <w:szCs w:val="14"/>
              </w:rPr>
            </w:pPr>
            <w:r w:rsidRPr="00AD1F1F">
              <w:rPr>
                <w:sz w:val="14"/>
                <w:szCs w:val="14"/>
              </w:rPr>
              <w:t>-</w:t>
            </w:r>
          </w:p>
        </w:tc>
      </w:tr>
      <w:tr w:rsidR="00224102" w:rsidRPr="00604C75" w14:paraId="2D8E65BE"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58D919B8" w14:textId="77777777" w:rsidR="00224102" w:rsidRPr="00604C75" w:rsidRDefault="00224102" w:rsidP="00224102">
            <w:pPr>
              <w:spacing w:line="226" w:lineRule="auto"/>
              <w:rPr>
                <w:rFonts w:eastAsia="Arial Unicode MS"/>
                <w:b/>
                <w:bCs/>
                <w:sz w:val="14"/>
                <w:szCs w:val="20"/>
              </w:rPr>
            </w:pPr>
          </w:p>
        </w:tc>
        <w:tc>
          <w:tcPr>
            <w:tcW w:w="4463" w:type="dxa"/>
            <w:noWrap/>
            <w:tcMar>
              <w:top w:w="18" w:type="dxa"/>
              <w:left w:w="18" w:type="dxa"/>
              <w:bottom w:w="0" w:type="dxa"/>
              <w:right w:w="18" w:type="dxa"/>
            </w:tcMar>
            <w:vAlign w:val="bottom"/>
          </w:tcPr>
          <w:p w14:paraId="1BBC89F7" w14:textId="77777777" w:rsidR="00224102" w:rsidRPr="00604C75" w:rsidRDefault="00224102" w:rsidP="00224102">
            <w:pPr>
              <w:spacing w:line="226" w:lineRule="auto"/>
              <w:rPr>
                <w:rFonts w:eastAsia="Arial Unicode MS"/>
                <w:sz w:val="14"/>
                <w:szCs w:val="20"/>
              </w:rPr>
            </w:pPr>
          </w:p>
        </w:tc>
        <w:tc>
          <w:tcPr>
            <w:tcW w:w="758" w:type="dxa"/>
          </w:tcPr>
          <w:p w14:paraId="2B0589EB"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0E88D743" w14:textId="77777777" w:rsidR="00224102" w:rsidRPr="00834CDD" w:rsidRDefault="00224102" w:rsidP="00224102">
            <w:pPr>
              <w:jc w:val="right"/>
              <w:rPr>
                <w:color w:val="000000"/>
                <w:sz w:val="14"/>
                <w:szCs w:val="14"/>
              </w:rPr>
            </w:pPr>
          </w:p>
        </w:tc>
        <w:tc>
          <w:tcPr>
            <w:tcW w:w="1559" w:type="dxa"/>
            <w:noWrap/>
            <w:tcMar>
              <w:top w:w="18" w:type="dxa"/>
              <w:left w:w="18" w:type="dxa"/>
              <w:bottom w:w="0" w:type="dxa"/>
              <w:right w:w="18" w:type="dxa"/>
            </w:tcMar>
            <w:vAlign w:val="bottom"/>
          </w:tcPr>
          <w:p w14:paraId="32B6E57B" w14:textId="77777777" w:rsidR="00224102" w:rsidRPr="00834CDD" w:rsidRDefault="00224102" w:rsidP="00224102">
            <w:pPr>
              <w:jc w:val="right"/>
              <w:rPr>
                <w:sz w:val="14"/>
                <w:szCs w:val="14"/>
              </w:rPr>
            </w:pPr>
          </w:p>
        </w:tc>
      </w:tr>
      <w:tr w:rsidR="00224102" w:rsidRPr="00604C75" w14:paraId="5EB19D8E"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4AE1FD7E"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C.</w:t>
            </w:r>
          </w:p>
        </w:tc>
        <w:tc>
          <w:tcPr>
            <w:tcW w:w="4463" w:type="dxa"/>
            <w:noWrap/>
            <w:tcMar>
              <w:top w:w="18" w:type="dxa"/>
              <w:left w:w="18" w:type="dxa"/>
              <w:bottom w:w="0" w:type="dxa"/>
              <w:right w:w="18" w:type="dxa"/>
            </w:tcMar>
            <w:vAlign w:val="bottom"/>
          </w:tcPr>
          <w:p w14:paraId="5AC6B1F3"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CASH FLOWS FROM FINANCING ACTIVITIES</w:t>
            </w:r>
          </w:p>
        </w:tc>
        <w:tc>
          <w:tcPr>
            <w:tcW w:w="758" w:type="dxa"/>
          </w:tcPr>
          <w:p w14:paraId="13A595B1"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526C55AE" w14:textId="77777777" w:rsidR="00224102" w:rsidRPr="00834CDD" w:rsidRDefault="00224102" w:rsidP="00224102">
            <w:pPr>
              <w:jc w:val="right"/>
              <w:rPr>
                <w:sz w:val="20"/>
                <w:szCs w:val="20"/>
              </w:rPr>
            </w:pPr>
          </w:p>
        </w:tc>
        <w:tc>
          <w:tcPr>
            <w:tcW w:w="1559" w:type="dxa"/>
            <w:noWrap/>
            <w:tcMar>
              <w:top w:w="18" w:type="dxa"/>
              <w:left w:w="18" w:type="dxa"/>
              <w:bottom w:w="0" w:type="dxa"/>
              <w:right w:w="18" w:type="dxa"/>
            </w:tcMar>
            <w:vAlign w:val="bottom"/>
          </w:tcPr>
          <w:p w14:paraId="211FDEC3" w14:textId="77777777" w:rsidR="00224102" w:rsidRPr="00834CDD" w:rsidRDefault="00224102" w:rsidP="00224102">
            <w:pPr>
              <w:jc w:val="right"/>
              <w:rPr>
                <w:sz w:val="14"/>
                <w:szCs w:val="14"/>
              </w:rPr>
            </w:pPr>
          </w:p>
        </w:tc>
      </w:tr>
      <w:tr w:rsidR="00224102" w:rsidRPr="00604C75" w14:paraId="6049B953"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5EF62BB2" w14:textId="77777777" w:rsidR="00224102" w:rsidRPr="00604C75" w:rsidRDefault="00224102" w:rsidP="00224102">
            <w:pPr>
              <w:spacing w:line="226" w:lineRule="auto"/>
              <w:rPr>
                <w:rFonts w:eastAsia="Arial Unicode MS"/>
                <w:b/>
                <w:bCs/>
                <w:sz w:val="14"/>
                <w:szCs w:val="20"/>
              </w:rPr>
            </w:pPr>
          </w:p>
        </w:tc>
        <w:tc>
          <w:tcPr>
            <w:tcW w:w="4463" w:type="dxa"/>
            <w:noWrap/>
            <w:tcMar>
              <w:top w:w="18" w:type="dxa"/>
              <w:left w:w="18" w:type="dxa"/>
              <w:bottom w:w="0" w:type="dxa"/>
              <w:right w:w="18" w:type="dxa"/>
            </w:tcMar>
            <w:vAlign w:val="bottom"/>
          </w:tcPr>
          <w:p w14:paraId="24F74713" w14:textId="77777777" w:rsidR="00224102" w:rsidRPr="00604C75" w:rsidRDefault="00224102" w:rsidP="00224102">
            <w:pPr>
              <w:spacing w:line="226" w:lineRule="auto"/>
              <w:rPr>
                <w:rFonts w:eastAsia="Arial Unicode MS"/>
                <w:sz w:val="14"/>
                <w:szCs w:val="20"/>
              </w:rPr>
            </w:pPr>
          </w:p>
        </w:tc>
        <w:tc>
          <w:tcPr>
            <w:tcW w:w="758" w:type="dxa"/>
          </w:tcPr>
          <w:p w14:paraId="3D6E5D99"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4E098B2D" w14:textId="77777777" w:rsidR="00224102" w:rsidRPr="00834CDD" w:rsidRDefault="00224102" w:rsidP="00224102">
            <w:pPr>
              <w:jc w:val="right"/>
              <w:rPr>
                <w:sz w:val="20"/>
                <w:szCs w:val="20"/>
              </w:rPr>
            </w:pPr>
          </w:p>
        </w:tc>
        <w:tc>
          <w:tcPr>
            <w:tcW w:w="1559" w:type="dxa"/>
            <w:noWrap/>
            <w:tcMar>
              <w:top w:w="18" w:type="dxa"/>
              <w:left w:w="18" w:type="dxa"/>
              <w:bottom w:w="0" w:type="dxa"/>
              <w:right w:w="18" w:type="dxa"/>
            </w:tcMar>
            <w:vAlign w:val="bottom"/>
          </w:tcPr>
          <w:p w14:paraId="5F2D19F5" w14:textId="77777777" w:rsidR="00224102" w:rsidRPr="00834CDD" w:rsidRDefault="00224102" w:rsidP="00224102">
            <w:pPr>
              <w:jc w:val="right"/>
              <w:rPr>
                <w:sz w:val="14"/>
                <w:szCs w:val="14"/>
              </w:rPr>
            </w:pPr>
          </w:p>
        </w:tc>
      </w:tr>
      <w:tr w:rsidR="00224102" w:rsidRPr="00604C75" w14:paraId="3411C25F"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07577F85"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III.</w:t>
            </w:r>
          </w:p>
        </w:tc>
        <w:tc>
          <w:tcPr>
            <w:tcW w:w="4463" w:type="dxa"/>
            <w:noWrap/>
            <w:tcMar>
              <w:top w:w="18" w:type="dxa"/>
              <w:left w:w="18" w:type="dxa"/>
              <w:bottom w:w="0" w:type="dxa"/>
              <w:right w:w="18" w:type="dxa"/>
            </w:tcMar>
            <w:vAlign w:val="bottom"/>
          </w:tcPr>
          <w:p w14:paraId="42C3C70A" w14:textId="29DDE9C6" w:rsidR="00224102" w:rsidRPr="00604C75" w:rsidRDefault="00224102" w:rsidP="00224102">
            <w:pPr>
              <w:spacing w:line="226" w:lineRule="auto"/>
              <w:rPr>
                <w:rFonts w:eastAsia="Arial Unicode MS"/>
                <w:b/>
                <w:sz w:val="14"/>
                <w:szCs w:val="20"/>
              </w:rPr>
            </w:pPr>
            <w:r w:rsidRPr="00604C75">
              <w:rPr>
                <w:rFonts w:eastAsia="Arial Unicode MS"/>
                <w:b/>
                <w:sz w:val="14"/>
                <w:szCs w:val="20"/>
              </w:rPr>
              <w:t xml:space="preserve">Net </w:t>
            </w:r>
            <w:r>
              <w:rPr>
                <w:rFonts w:eastAsia="Arial Unicode MS"/>
                <w:b/>
                <w:sz w:val="14"/>
                <w:szCs w:val="20"/>
              </w:rPr>
              <w:t>C</w:t>
            </w:r>
            <w:r w:rsidRPr="00604C75">
              <w:rPr>
                <w:rFonts w:eastAsia="Arial Unicode MS"/>
                <w:b/>
                <w:sz w:val="14"/>
                <w:szCs w:val="20"/>
              </w:rPr>
              <w:t xml:space="preserve">ash </w:t>
            </w:r>
            <w:r>
              <w:rPr>
                <w:rFonts w:eastAsia="Arial Unicode MS"/>
                <w:b/>
                <w:sz w:val="14"/>
                <w:szCs w:val="20"/>
              </w:rPr>
              <w:t>P</w:t>
            </w:r>
            <w:r w:rsidRPr="00604C75">
              <w:rPr>
                <w:rFonts w:eastAsia="Arial Unicode MS"/>
                <w:b/>
                <w:sz w:val="14"/>
                <w:szCs w:val="20"/>
              </w:rPr>
              <w:t xml:space="preserve">rovided from </w:t>
            </w:r>
            <w:r>
              <w:rPr>
                <w:rFonts w:eastAsia="Arial Unicode MS"/>
                <w:b/>
                <w:sz w:val="14"/>
                <w:szCs w:val="20"/>
              </w:rPr>
              <w:t>F</w:t>
            </w:r>
            <w:r w:rsidRPr="00604C75">
              <w:rPr>
                <w:rFonts w:eastAsia="Arial Unicode MS"/>
                <w:b/>
                <w:sz w:val="14"/>
                <w:szCs w:val="20"/>
              </w:rPr>
              <w:t xml:space="preserve">inancing </w:t>
            </w:r>
            <w:r>
              <w:rPr>
                <w:rFonts w:eastAsia="Arial Unicode MS"/>
                <w:b/>
                <w:sz w:val="14"/>
                <w:szCs w:val="20"/>
              </w:rPr>
              <w:t>A</w:t>
            </w:r>
            <w:r w:rsidRPr="00604C75">
              <w:rPr>
                <w:rFonts w:eastAsia="Arial Unicode MS"/>
                <w:b/>
                <w:sz w:val="14"/>
                <w:szCs w:val="20"/>
              </w:rPr>
              <w:t>ctivities</w:t>
            </w:r>
          </w:p>
        </w:tc>
        <w:tc>
          <w:tcPr>
            <w:tcW w:w="758" w:type="dxa"/>
          </w:tcPr>
          <w:p w14:paraId="6BB7AD89" w14:textId="77777777" w:rsidR="00224102" w:rsidRPr="00604C75" w:rsidRDefault="00224102" w:rsidP="00224102">
            <w:pPr>
              <w:spacing w:line="226" w:lineRule="auto"/>
              <w:jc w:val="right"/>
              <w:rPr>
                <w:rFonts w:eastAsia="Arial Unicode MS"/>
                <w:b/>
                <w:sz w:val="14"/>
                <w:szCs w:val="16"/>
              </w:rPr>
            </w:pPr>
          </w:p>
        </w:tc>
        <w:tc>
          <w:tcPr>
            <w:tcW w:w="1669" w:type="dxa"/>
            <w:noWrap/>
            <w:tcMar>
              <w:top w:w="18" w:type="dxa"/>
              <w:left w:w="18" w:type="dxa"/>
              <w:bottom w:w="0" w:type="dxa"/>
              <w:right w:w="18" w:type="dxa"/>
            </w:tcMar>
            <w:vAlign w:val="bottom"/>
          </w:tcPr>
          <w:p w14:paraId="008957FC" w14:textId="292F5A70" w:rsidR="00224102" w:rsidRPr="00834CDD" w:rsidRDefault="00224102" w:rsidP="00224102">
            <w:pPr>
              <w:jc w:val="right"/>
              <w:rPr>
                <w:b/>
                <w:bCs/>
                <w:color w:val="000000"/>
                <w:sz w:val="14"/>
                <w:szCs w:val="14"/>
              </w:rPr>
            </w:pPr>
            <w:r w:rsidRPr="008B104E">
              <w:rPr>
                <w:b/>
                <w:sz w:val="14"/>
                <w:szCs w:val="14"/>
              </w:rPr>
              <w:t>439,727</w:t>
            </w:r>
          </w:p>
        </w:tc>
        <w:tc>
          <w:tcPr>
            <w:tcW w:w="1559" w:type="dxa"/>
            <w:noWrap/>
            <w:tcMar>
              <w:top w:w="18" w:type="dxa"/>
              <w:left w:w="18" w:type="dxa"/>
              <w:bottom w:w="0" w:type="dxa"/>
              <w:right w:w="18" w:type="dxa"/>
            </w:tcMar>
            <w:vAlign w:val="bottom"/>
          </w:tcPr>
          <w:p w14:paraId="300111B9" w14:textId="4B687E09" w:rsidR="00224102" w:rsidRPr="00834CDD" w:rsidRDefault="00224102" w:rsidP="00224102">
            <w:pPr>
              <w:jc w:val="right"/>
              <w:rPr>
                <w:b/>
                <w:sz w:val="14"/>
                <w:szCs w:val="14"/>
              </w:rPr>
            </w:pPr>
            <w:r w:rsidRPr="00AD1F1F">
              <w:rPr>
                <w:b/>
                <w:sz w:val="14"/>
                <w:szCs w:val="14"/>
              </w:rPr>
              <w:t>779,040</w:t>
            </w:r>
          </w:p>
        </w:tc>
      </w:tr>
      <w:tr w:rsidR="00224102" w:rsidRPr="00604C75" w14:paraId="54A8EC75"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285A8586" w14:textId="77777777" w:rsidR="00224102" w:rsidRPr="00604C75" w:rsidRDefault="00224102" w:rsidP="00224102">
            <w:pPr>
              <w:spacing w:line="226" w:lineRule="auto"/>
              <w:rPr>
                <w:rFonts w:eastAsia="Arial Unicode MS"/>
                <w:b/>
                <w:bCs/>
                <w:sz w:val="14"/>
                <w:szCs w:val="20"/>
              </w:rPr>
            </w:pPr>
          </w:p>
        </w:tc>
        <w:tc>
          <w:tcPr>
            <w:tcW w:w="4463" w:type="dxa"/>
            <w:noWrap/>
            <w:tcMar>
              <w:top w:w="18" w:type="dxa"/>
              <w:left w:w="18" w:type="dxa"/>
              <w:bottom w:w="0" w:type="dxa"/>
              <w:right w:w="18" w:type="dxa"/>
            </w:tcMar>
            <w:vAlign w:val="bottom"/>
          </w:tcPr>
          <w:p w14:paraId="33C1410E" w14:textId="77777777" w:rsidR="00224102" w:rsidRPr="00604C75" w:rsidRDefault="00224102" w:rsidP="00224102">
            <w:pPr>
              <w:spacing w:line="226" w:lineRule="auto"/>
              <w:rPr>
                <w:rFonts w:eastAsia="Arial Unicode MS"/>
                <w:sz w:val="14"/>
                <w:szCs w:val="20"/>
              </w:rPr>
            </w:pPr>
          </w:p>
        </w:tc>
        <w:tc>
          <w:tcPr>
            <w:tcW w:w="758" w:type="dxa"/>
          </w:tcPr>
          <w:p w14:paraId="17E99057" w14:textId="77777777" w:rsidR="00224102" w:rsidRPr="00604C75" w:rsidRDefault="00224102" w:rsidP="00224102">
            <w:pPr>
              <w:jc w:val="right"/>
              <w:rPr>
                <w:b/>
                <w:sz w:val="14"/>
                <w:szCs w:val="14"/>
              </w:rPr>
            </w:pPr>
          </w:p>
        </w:tc>
        <w:tc>
          <w:tcPr>
            <w:tcW w:w="1669" w:type="dxa"/>
            <w:noWrap/>
            <w:tcMar>
              <w:top w:w="18" w:type="dxa"/>
              <w:left w:w="18" w:type="dxa"/>
              <w:bottom w:w="0" w:type="dxa"/>
              <w:right w:w="18" w:type="dxa"/>
            </w:tcMar>
            <w:vAlign w:val="bottom"/>
          </w:tcPr>
          <w:p w14:paraId="7653180E" w14:textId="77777777" w:rsidR="00224102" w:rsidRPr="00834CDD" w:rsidRDefault="00224102" w:rsidP="00224102">
            <w:pPr>
              <w:jc w:val="right"/>
              <w:rPr>
                <w:b/>
                <w:bCs/>
                <w:color w:val="000000"/>
                <w:sz w:val="14"/>
                <w:szCs w:val="14"/>
              </w:rPr>
            </w:pPr>
          </w:p>
        </w:tc>
        <w:tc>
          <w:tcPr>
            <w:tcW w:w="1559" w:type="dxa"/>
            <w:noWrap/>
            <w:tcMar>
              <w:top w:w="18" w:type="dxa"/>
              <w:left w:w="18" w:type="dxa"/>
              <w:bottom w:w="0" w:type="dxa"/>
              <w:right w:w="18" w:type="dxa"/>
            </w:tcMar>
            <w:vAlign w:val="bottom"/>
          </w:tcPr>
          <w:p w14:paraId="6CCECD5A" w14:textId="77777777" w:rsidR="00224102" w:rsidRPr="00834CDD" w:rsidRDefault="00224102" w:rsidP="00224102">
            <w:pPr>
              <w:jc w:val="right"/>
              <w:rPr>
                <w:sz w:val="14"/>
                <w:szCs w:val="14"/>
              </w:rPr>
            </w:pPr>
          </w:p>
        </w:tc>
      </w:tr>
      <w:tr w:rsidR="00224102" w:rsidRPr="00604C75" w14:paraId="74CB9B26"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6F841A98"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3.1</w:t>
            </w:r>
          </w:p>
        </w:tc>
        <w:tc>
          <w:tcPr>
            <w:tcW w:w="4463" w:type="dxa"/>
            <w:noWrap/>
            <w:tcMar>
              <w:top w:w="18" w:type="dxa"/>
              <w:left w:w="18" w:type="dxa"/>
              <w:bottom w:w="0" w:type="dxa"/>
              <w:right w:w="18" w:type="dxa"/>
            </w:tcMar>
            <w:vAlign w:val="bottom"/>
          </w:tcPr>
          <w:p w14:paraId="39FD2E1C" w14:textId="0A6349F3"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Cash </w:t>
            </w:r>
            <w:r>
              <w:rPr>
                <w:rFonts w:eastAsia="Arial Unicode MS"/>
                <w:sz w:val="14"/>
                <w:szCs w:val="20"/>
              </w:rPr>
              <w:t>O</w:t>
            </w:r>
            <w:r w:rsidRPr="00604C75">
              <w:rPr>
                <w:rFonts w:eastAsia="Arial Unicode MS"/>
                <w:sz w:val="14"/>
                <w:szCs w:val="20"/>
              </w:rPr>
              <w:t xml:space="preserve">btained from </w:t>
            </w:r>
            <w:r>
              <w:rPr>
                <w:rFonts w:eastAsia="Arial Unicode MS"/>
                <w:sz w:val="14"/>
                <w:szCs w:val="20"/>
              </w:rPr>
              <w:t>F</w:t>
            </w:r>
            <w:r w:rsidRPr="00604C75">
              <w:rPr>
                <w:rFonts w:eastAsia="Arial Unicode MS"/>
                <w:sz w:val="14"/>
                <w:szCs w:val="20"/>
              </w:rPr>
              <w:t xml:space="preserve">unds </w:t>
            </w:r>
            <w:r>
              <w:rPr>
                <w:rFonts w:eastAsia="Arial Unicode MS"/>
                <w:sz w:val="14"/>
                <w:szCs w:val="20"/>
              </w:rPr>
              <w:t>B</w:t>
            </w:r>
            <w:r w:rsidRPr="00604C75">
              <w:rPr>
                <w:rFonts w:eastAsia="Arial Unicode MS"/>
                <w:sz w:val="14"/>
                <w:szCs w:val="20"/>
              </w:rPr>
              <w:t xml:space="preserve">orrowed and </w:t>
            </w:r>
            <w:r>
              <w:rPr>
                <w:rFonts w:eastAsia="Arial Unicode MS"/>
                <w:sz w:val="14"/>
                <w:szCs w:val="20"/>
              </w:rPr>
              <w:t>S</w:t>
            </w:r>
            <w:r w:rsidRPr="00604C75">
              <w:rPr>
                <w:rFonts w:eastAsia="Arial Unicode MS"/>
                <w:sz w:val="14"/>
                <w:szCs w:val="20"/>
              </w:rPr>
              <w:t xml:space="preserve">ecurities </w:t>
            </w:r>
            <w:r>
              <w:rPr>
                <w:rFonts w:eastAsia="Arial Unicode MS"/>
                <w:sz w:val="14"/>
                <w:szCs w:val="20"/>
              </w:rPr>
              <w:t>I</w:t>
            </w:r>
            <w:r w:rsidRPr="00604C75">
              <w:rPr>
                <w:rFonts w:eastAsia="Arial Unicode MS"/>
                <w:sz w:val="14"/>
                <w:szCs w:val="20"/>
              </w:rPr>
              <w:t>ssued</w:t>
            </w:r>
          </w:p>
        </w:tc>
        <w:tc>
          <w:tcPr>
            <w:tcW w:w="758" w:type="dxa"/>
          </w:tcPr>
          <w:p w14:paraId="40DEA96F" w14:textId="77777777" w:rsidR="00224102" w:rsidRPr="00604C75" w:rsidRDefault="00224102" w:rsidP="00224102">
            <w:pPr>
              <w:spacing w:line="226" w:lineRule="auto"/>
              <w:jc w:val="right"/>
              <w:rPr>
                <w:rFonts w:eastAsia="Arial Unicode MS"/>
                <w:sz w:val="14"/>
                <w:szCs w:val="16"/>
              </w:rPr>
            </w:pPr>
          </w:p>
        </w:tc>
        <w:tc>
          <w:tcPr>
            <w:tcW w:w="1669" w:type="dxa"/>
            <w:noWrap/>
            <w:tcMar>
              <w:top w:w="18" w:type="dxa"/>
              <w:left w:w="18" w:type="dxa"/>
              <w:bottom w:w="0" w:type="dxa"/>
              <w:right w:w="18" w:type="dxa"/>
            </w:tcMar>
            <w:vAlign w:val="bottom"/>
          </w:tcPr>
          <w:p w14:paraId="3916E92E" w14:textId="672A155A" w:rsidR="00224102" w:rsidRPr="00834CDD" w:rsidRDefault="00224102" w:rsidP="00224102">
            <w:pPr>
              <w:jc w:val="right"/>
              <w:rPr>
                <w:color w:val="000000"/>
                <w:sz w:val="14"/>
                <w:szCs w:val="14"/>
              </w:rPr>
            </w:pPr>
            <w:r w:rsidRPr="008B104E">
              <w:rPr>
                <w:sz w:val="14"/>
                <w:szCs w:val="14"/>
              </w:rPr>
              <w:t>644,559</w:t>
            </w:r>
          </w:p>
        </w:tc>
        <w:tc>
          <w:tcPr>
            <w:tcW w:w="1559" w:type="dxa"/>
            <w:noWrap/>
            <w:tcMar>
              <w:top w:w="18" w:type="dxa"/>
              <w:left w:w="18" w:type="dxa"/>
              <w:bottom w:w="0" w:type="dxa"/>
              <w:right w:w="18" w:type="dxa"/>
            </w:tcMar>
            <w:vAlign w:val="bottom"/>
          </w:tcPr>
          <w:p w14:paraId="3EFC6C18" w14:textId="198385A1" w:rsidR="00224102" w:rsidRPr="00834CDD" w:rsidRDefault="00224102" w:rsidP="00224102">
            <w:pPr>
              <w:jc w:val="right"/>
              <w:rPr>
                <w:sz w:val="14"/>
                <w:szCs w:val="14"/>
              </w:rPr>
            </w:pPr>
            <w:r w:rsidRPr="00AD1F1F">
              <w:rPr>
                <w:sz w:val="14"/>
                <w:szCs w:val="14"/>
              </w:rPr>
              <w:t>779,019</w:t>
            </w:r>
          </w:p>
        </w:tc>
      </w:tr>
      <w:tr w:rsidR="00224102" w:rsidRPr="00604C75" w14:paraId="367B9372"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420BF71E"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3.2</w:t>
            </w:r>
          </w:p>
        </w:tc>
        <w:tc>
          <w:tcPr>
            <w:tcW w:w="4463" w:type="dxa"/>
            <w:noWrap/>
            <w:tcMar>
              <w:top w:w="18" w:type="dxa"/>
              <w:left w:w="18" w:type="dxa"/>
              <w:bottom w:w="0" w:type="dxa"/>
              <w:right w:w="18" w:type="dxa"/>
            </w:tcMar>
            <w:vAlign w:val="bottom"/>
          </w:tcPr>
          <w:p w14:paraId="60140C8B" w14:textId="2776C5CE"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Cash used for </w:t>
            </w:r>
            <w:r>
              <w:rPr>
                <w:rFonts w:eastAsia="Arial Unicode MS"/>
                <w:sz w:val="14"/>
                <w:szCs w:val="20"/>
              </w:rPr>
              <w:t>R</w:t>
            </w:r>
            <w:r w:rsidRPr="00604C75">
              <w:rPr>
                <w:rFonts w:eastAsia="Arial Unicode MS"/>
                <w:sz w:val="14"/>
                <w:szCs w:val="20"/>
              </w:rPr>
              <w:t xml:space="preserve">epayment of </w:t>
            </w:r>
            <w:r>
              <w:rPr>
                <w:rFonts w:eastAsia="Arial Unicode MS"/>
                <w:sz w:val="14"/>
                <w:szCs w:val="20"/>
              </w:rPr>
              <w:t>F</w:t>
            </w:r>
            <w:r w:rsidRPr="00604C75">
              <w:rPr>
                <w:rFonts w:eastAsia="Arial Unicode MS"/>
                <w:sz w:val="14"/>
                <w:szCs w:val="20"/>
              </w:rPr>
              <w:t xml:space="preserve">unds </w:t>
            </w:r>
            <w:r>
              <w:rPr>
                <w:rFonts w:eastAsia="Arial Unicode MS"/>
                <w:sz w:val="14"/>
                <w:szCs w:val="20"/>
              </w:rPr>
              <w:t>B</w:t>
            </w:r>
            <w:r w:rsidRPr="00604C75">
              <w:rPr>
                <w:rFonts w:eastAsia="Arial Unicode MS"/>
                <w:sz w:val="14"/>
                <w:szCs w:val="20"/>
              </w:rPr>
              <w:t xml:space="preserve">orrowed and </w:t>
            </w:r>
            <w:r>
              <w:rPr>
                <w:rFonts w:eastAsia="Arial Unicode MS"/>
                <w:sz w:val="14"/>
                <w:szCs w:val="20"/>
              </w:rPr>
              <w:t>S</w:t>
            </w:r>
            <w:r w:rsidRPr="00604C75">
              <w:rPr>
                <w:rFonts w:eastAsia="Arial Unicode MS"/>
                <w:sz w:val="14"/>
                <w:szCs w:val="20"/>
              </w:rPr>
              <w:t xml:space="preserve">ecurities </w:t>
            </w:r>
            <w:r>
              <w:rPr>
                <w:rFonts w:eastAsia="Arial Unicode MS"/>
                <w:sz w:val="14"/>
                <w:szCs w:val="20"/>
              </w:rPr>
              <w:t>I</w:t>
            </w:r>
            <w:r w:rsidRPr="00604C75">
              <w:rPr>
                <w:rFonts w:eastAsia="Arial Unicode MS"/>
                <w:sz w:val="14"/>
                <w:szCs w:val="20"/>
              </w:rPr>
              <w:t>ssued</w:t>
            </w:r>
          </w:p>
        </w:tc>
        <w:tc>
          <w:tcPr>
            <w:tcW w:w="758" w:type="dxa"/>
          </w:tcPr>
          <w:p w14:paraId="7C3217BE" w14:textId="77777777" w:rsidR="00224102" w:rsidRPr="00604C75" w:rsidRDefault="00224102" w:rsidP="00224102">
            <w:pPr>
              <w:spacing w:line="226" w:lineRule="auto"/>
              <w:jc w:val="right"/>
              <w:rPr>
                <w:rFonts w:eastAsia="Arial Unicode MS"/>
                <w:sz w:val="14"/>
                <w:szCs w:val="16"/>
              </w:rPr>
            </w:pPr>
          </w:p>
        </w:tc>
        <w:tc>
          <w:tcPr>
            <w:tcW w:w="1669" w:type="dxa"/>
            <w:noWrap/>
            <w:tcMar>
              <w:top w:w="18" w:type="dxa"/>
              <w:left w:w="18" w:type="dxa"/>
              <w:bottom w:w="0" w:type="dxa"/>
              <w:right w:w="18" w:type="dxa"/>
            </w:tcMar>
            <w:vAlign w:val="bottom"/>
          </w:tcPr>
          <w:p w14:paraId="28C5DFC4" w14:textId="4AE02ED5" w:rsidR="00224102" w:rsidRPr="00834CDD" w:rsidRDefault="00224102" w:rsidP="00224102">
            <w:pPr>
              <w:jc w:val="right"/>
              <w:rPr>
                <w:color w:val="000000"/>
                <w:sz w:val="14"/>
                <w:szCs w:val="14"/>
              </w:rPr>
            </w:pPr>
            <w:r w:rsidRPr="008B104E">
              <w:rPr>
                <w:sz w:val="14"/>
                <w:szCs w:val="14"/>
              </w:rPr>
              <w:t>(204,767)</w:t>
            </w:r>
          </w:p>
        </w:tc>
        <w:tc>
          <w:tcPr>
            <w:tcW w:w="1559" w:type="dxa"/>
            <w:noWrap/>
            <w:tcMar>
              <w:top w:w="18" w:type="dxa"/>
              <w:left w:w="18" w:type="dxa"/>
              <w:bottom w:w="0" w:type="dxa"/>
              <w:right w:w="18" w:type="dxa"/>
            </w:tcMar>
            <w:vAlign w:val="bottom"/>
          </w:tcPr>
          <w:p w14:paraId="4A2632E7" w14:textId="4070C3E9" w:rsidR="00224102" w:rsidRPr="00834CDD" w:rsidRDefault="00224102" w:rsidP="00224102">
            <w:pPr>
              <w:jc w:val="right"/>
              <w:rPr>
                <w:sz w:val="14"/>
                <w:szCs w:val="14"/>
              </w:rPr>
            </w:pPr>
            <w:r w:rsidRPr="00AD1F1F">
              <w:rPr>
                <w:sz w:val="14"/>
                <w:szCs w:val="14"/>
              </w:rPr>
              <w:t>(200,000)</w:t>
            </w:r>
          </w:p>
        </w:tc>
      </w:tr>
      <w:tr w:rsidR="00224102" w:rsidRPr="00604C75" w14:paraId="3EA216B1"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3DD459DA"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3.3</w:t>
            </w:r>
          </w:p>
        </w:tc>
        <w:tc>
          <w:tcPr>
            <w:tcW w:w="4463" w:type="dxa"/>
            <w:noWrap/>
            <w:tcMar>
              <w:top w:w="18" w:type="dxa"/>
              <w:left w:w="18" w:type="dxa"/>
              <w:bottom w:w="0" w:type="dxa"/>
              <w:right w:w="18" w:type="dxa"/>
            </w:tcMar>
            <w:vAlign w:val="bottom"/>
          </w:tcPr>
          <w:p w14:paraId="1687C715" w14:textId="191F3C2B"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Issued </w:t>
            </w:r>
            <w:r>
              <w:rPr>
                <w:rFonts w:eastAsia="Arial Unicode MS"/>
                <w:sz w:val="14"/>
                <w:szCs w:val="20"/>
              </w:rPr>
              <w:t>C</w:t>
            </w:r>
            <w:r w:rsidRPr="00604C75">
              <w:rPr>
                <w:rFonts w:eastAsia="Arial Unicode MS"/>
                <w:sz w:val="14"/>
                <w:szCs w:val="20"/>
              </w:rPr>
              <w:t xml:space="preserve">apital </w:t>
            </w:r>
            <w:r>
              <w:rPr>
                <w:rFonts w:eastAsia="Arial Unicode MS"/>
                <w:sz w:val="14"/>
                <w:szCs w:val="20"/>
              </w:rPr>
              <w:t>I</w:t>
            </w:r>
            <w:r w:rsidRPr="00604C75">
              <w:rPr>
                <w:rFonts w:eastAsia="Arial Unicode MS"/>
                <w:sz w:val="14"/>
                <w:szCs w:val="20"/>
              </w:rPr>
              <w:t>nstruments</w:t>
            </w:r>
          </w:p>
        </w:tc>
        <w:tc>
          <w:tcPr>
            <w:tcW w:w="758" w:type="dxa"/>
          </w:tcPr>
          <w:p w14:paraId="71ED1DA8" w14:textId="77777777" w:rsidR="00224102" w:rsidRPr="00604C75" w:rsidRDefault="00224102" w:rsidP="00224102">
            <w:pPr>
              <w:spacing w:line="226" w:lineRule="auto"/>
              <w:jc w:val="right"/>
              <w:rPr>
                <w:rFonts w:eastAsia="Arial Unicode MS"/>
                <w:sz w:val="14"/>
                <w:szCs w:val="16"/>
              </w:rPr>
            </w:pPr>
          </w:p>
        </w:tc>
        <w:tc>
          <w:tcPr>
            <w:tcW w:w="1669" w:type="dxa"/>
            <w:noWrap/>
            <w:tcMar>
              <w:top w:w="18" w:type="dxa"/>
              <w:left w:w="18" w:type="dxa"/>
              <w:bottom w:w="0" w:type="dxa"/>
              <w:right w:w="18" w:type="dxa"/>
            </w:tcMar>
            <w:vAlign w:val="bottom"/>
          </w:tcPr>
          <w:p w14:paraId="3097BC9B" w14:textId="6520979A" w:rsidR="00224102" w:rsidRPr="00834CDD" w:rsidRDefault="00224102" w:rsidP="00224102">
            <w:pPr>
              <w:jc w:val="right"/>
              <w:rPr>
                <w:color w:val="000000"/>
                <w:sz w:val="14"/>
                <w:szCs w:val="14"/>
              </w:rPr>
            </w:pPr>
            <w:r w:rsidRPr="008B104E">
              <w:rPr>
                <w:sz w:val="14"/>
                <w:szCs w:val="14"/>
              </w:rPr>
              <w:t>-</w:t>
            </w:r>
          </w:p>
        </w:tc>
        <w:tc>
          <w:tcPr>
            <w:tcW w:w="1559" w:type="dxa"/>
            <w:noWrap/>
            <w:tcMar>
              <w:top w:w="18" w:type="dxa"/>
              <w:left w:w="18" w:type="dxa"/>
              <w:bottom w:w="0" w:type="dxa"/>
              <w:right w:w="18" w:type="dxa"/>
            </w:tcMar>
            <w:vAlign w:val="bottom"/>
          </w:tcPr>
          <w:p w14:paraId="482B427A" w14:textId="6C3B0FE5" w:rsidR="00224102" w:rsidRPr="00834CDD" w:rsidRDefault="00224102" w:rsidP="00224102">
            <w:pPr>
              <w:jc w:val="right"/>
              <w:rPr>
                <w:sz w:val="14"/>
                <w:szCs w:val="14"/>
              </w:rPr>
            </w:pPr>
            <w:r w:rsidRPr="00AD1F1F">
              <w:rPr>
                <w:sz w:val="14"/>
                <w:szCs w:val="14"/>
              </w:rPr>
              <w:t>200,000</w:t>
            </w:r>
          </w:p>
        </w:tc>
      </w:tr>
      <w:tr w:rsidR="00224102" w:rsidRPr="00604C75" w14:paraId="34EB4CFA"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6B4D4C01"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3.4</w:t>
            </w:r>
          </w:p>
        </w:tc>
        <w:tc>
          <w:tcPr>
            <w:tcW w:w="4463" w:type="dxa"/>
            <w:noWrap/>
            <w:tcMar>
              <w:top w:w="18" w:type="dxa"/>
              <w:left w:w="18" w:type="dxa"/>
              <w:bottom w:w="0" w:type="dxa"/>
              <w:right w:w="18" w:type="dxa"/>
            </w:tcMar>
            <w:vAlign w:val="bottom"/>
          </w:tcPr>
          <w:p w14:paraId="0F69BC0D" w14:textId="5E53F298"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Dividends </w:t>
            </w:r>
            <w:r>
              <w:rPr>
                <w:rFonts w:eastAsia="Arial Unicode MS"/>
                <w:sz w:val="14"/>
                <w:szCs w:val="20"/>
              </w:rPr>
              <w:t>P</w:t>
            </w:r>
            <w:r w:rsidRPr="00604C75">
              <w:rPr>
                <w:rFonts w:eastAsia="Arial Unicode MS"/>
                <w:sz w:val="14"/>
                <w:szCs w:val="20"/>
              </w:rPr>
              <w:t>aid</w:t>
            </w:r>
          </w:p>
        </w:tc>
        <w:tc>
          <w:tcPr>
            <w:tcW w:w="758" w:type="dxa"/>
          </w:tcPr>
          <w:p w14:paraId="665FF199" w14:textId="77777777" w:rsidR="00224102" w:rsidRPr="00604C75" w:rsidRDefault="00224102" w:rsidP="00224102">
            <w:pPr>
              <w:spacing w:line="226" w:lineRule="auto"/>
              <w:jc w:val="right"/>
              <w:rPr>
                <w:rFonts w:eastAsia="Arial Unicode MS"/>
                <w:sz w:val="14"/>
                <w:szCs w:val="16"/>
              </w:rPr>
            </w:pPr>
          </w:p>
        </w:tc>
        <w:tc>
          <w:tcPr>
            <w:tcW w:w="1669" w:type="dxa"/>
            <w:noWrap/>
            <w:tcMar>
              <w:top w:w="18" w:type="dxa"/>
              <w:left w:w="18" w:type="dxa"/>
              <w:bottom w:w="0" w:type="dxa"/>
              <w:right w:w="18" w:type="dxa"/>
            </w:tcMar>
            <w:vAlign w:val="bottom"/>
          </w:tcPr>
          <w:p w14:paraId="09C4613D" w14:textId="44F27D64" w:rsidR="00224102" w:rsidRPr="00834CDD" w:rsidRDefault="00224102" w:rsidP="00224102">
            <w:pPr>
              <w:jc w:val="right"/>
              <w:rPr>
                <w:color w:val="000000"/>
                <w:sz w:val="14"/>
                <w:szCs w:val="14"/>
              </w:rPr>
            </w:pPr>
            <w:r w:rsidRPr="008B104E">
              <w:rPr>
                <w:sz w:val="14"/>
                <w:szCs w:val="14"/>
              </w:rPr>
              <w:t>-</w:t>
            </w:r>
          </w:p>
        </w:tc>
        <w:tc>
          <w:tcPr>
            <w:tcW w:w="1559" w:type="dxa"/>
            <w:noWrap/>
            <w:tcMar>
              <w:top w:w="18" w:type="dxa"/>
              <w:left w:w="18" w:type="dxa"/>
              <w:bottom w:w="0" w:type="dxa"/>
              <w:right w:w="18" w:type="dxa"/>
            </w:tcMar>
            <w:vAlign w:val="bottom"/>
          </w:tcPr>
          <w:p w14:paraId="4DD30ECA" w14:textId="7F2BA29D" w:rsidR="00224102" w:rsidRPr="00834CDD" w:rsidRDefault="00224102" w:rsidP="00224102">
            <w:pPr>
              <w:jc w:val="right"/>
              <w:rPr>
                <w:sz w:val="14"/>
                <w:szCs w:val="14"/>
              </w:rPr>
            </w:pPr>
            <w:r w:rsidRPr="00AD1F1F">
              <w:rPr>
                <w:sz w:val="14"/>
                <w:szCs w:val="14"/>
              </w:rPr>
              <w:t>-</w:t>
            </w:r>
          </w:p>
        </w:tc>
      </w:tr>
      <w:tr w:rsidR="00224102" w:rsidRPr="00604C75" w14:paraId="6D587BC6"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41F4D462"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3.5</w:t>
            </w:r>
          </w:p>
        </w:tc>
        <w:tc>
          <w:tcPr>
            <w:tcW w:w="4463" w:type="dxa"/>
            <w:noWrap/>
            <w:tcMar>
              <w:top w:w="18" w:type="dxa"/>
              <w:left w:w="18" w:type="dxa"/>
              <w:bottom w:w="0" w:type="dxa"/>
              <w:right w:w="18" w:type="dxa"/>
            </w:tcMar>
            <w:vAlign w:val="bottom"/>
          </w:tcPr>
          <w:p w14:paraId="68848AF7" w14:textId="5AE39451" w:rsidR="00224102" w:rsidRPr="00604C75" w:rsidRDefault="00224102" w:rsidP="00224102">
            <w:pPr>
              <w:spacing w:line="226" w:lineRule="auto"/>
              <w:rPr>
                <w:rFonts w:eastAsia="Arial Unicode MS"/>
                <w:sz w:val="14"/>
                <w:szCs w:val="20"/>
              </w:rPr>
            </w:pPr>
            <w:r w:rsidRPr="00604C75">
              <w:rPr>
                <w:rFonts w:eastAsia="Arial Unicode MS"/>
                <w:sz w:val="14"/>
                <w:szCs w:val="20"/>
              </w:rPr>
              <w:t xml:space="preserve">Payments for </w:t>
            </w:r>
            <w:r>
              <w:rPr>
                <w:rFonts w:eastAsia="Arial Unicode MS"/>
                <w:sz w:val="14"/>
                <w:szCs w:val="20"/>
              </w:rPr>
              <w:t>F</w:t>
            </w:r>
            <w:r w:rsidRPr="00604C75">
              <w:rPr>
                <w:rFonts w:eastAsia="Arial Unicode MS"/>
                <w:sz w:val="14"/>
                <w:szCs w:val="20"/>
              </w:rPr>
              <w:t xml:space="preserve">inance </w:t>
            </w:r>
            <w:r>
              <w:rPr>
                <w:rFonts w:eastAsia="Arial Unicode MS"/>
                <w:sz w:val="14"/>
                <w:szCs w:val="20"/>
              </w:rPr>
              <w:t>L</w:t>
            </w:r>
            <w:r w:rsidRPr="00604C75">
              <w:rPr>
                <w:rFonts w:eastAsia="Arial Unicode MS"/>
                <w:sz w:val="14"/>
                <w:szCs w:val="20"/>
              </w:rPr>
              <w:t>eases</w:t>
            </w:r>
          </w:p>
        </w:tc>
        <w:tc>
          <w:tcPr>
            <w:tcW w:w="758" w:type="dxa"/>
          </w:tcPr>
          <w:p w14:paraId="3FD41DFE" w14:textId="77777777" w:rsidR="00224102" w:rsidRPr="00604C75" w:rsidRDefault="00224102" w:rsidP="00224102">
            <w:pPr>
              <w:spacing w:line="226" w:lineRule="auto"/>
              <w:jc w:val="right"/>
              <w:rPr>
                <w:rFonts w:eastAsia="Arial Unicode MS"/>
                <w:sz w:val="14"/>
                <w:szCs w:val="16"/>
              </w:rPr>
            </w:pPr>
          </w:p>
        </w:tc>
        <w:tc>
          <w:tcPr>
            <w:tcW w:w="1669" w:type="dxa"/>
            <w:noWrap/>
            <w:tcMar>
              <w:top w:w="18" w:type="dxa"/>
              <w:left w:w="18" w:type="dxa"/>
              <w:bottom w:w="0" w:type="dxa"/>
              <w:right w:w="18" w:type="dxa"/>
            </w:tcMar>
            <w:vAlign w:val="bottom"/>
          </w:tcPr>
          <w:p w14:paraId="478F6134" w14:textId="4E75732F" w:rsidR="00224102" w:rsidRPr="00834CDD" w:rsidRDefault="00224102" w:rsidP="00224102">
            <w:pPr>
              <w:jc w:val="right"/>
              <w:rPr>
                <w:color w:val="000000"/>
                <w:sz w:val="14"/>
                <w:szCs w:val="14"/>
              </w:rPr>
            </w:pPr>
            <w:r w:rsidRPr="008B104E">
              <w:rPr>
                <w:sz w:val="14"/>
                <w:szCs w:val="14"/>
              </w:rPr>
              <w:t>-</w:t>
            </w:r>
          </w:p>
        </w:tc>
        <w:tc>
          <w:tcPr>
            <w:tcW w:w="1559" w:type="dxa"/>
            <w:noWrap/>
            <w:tcMar>
              <w:top w:w="18" w:type="dxa"/>
              <w:left w:w="18" w:type="dxa"/>
              <w:bottom w:w="0" w:type="dxa"/>
              <w:right w:w="18" w:type="dxa"/>
            </w:tcMar>
            <w:vAlign w:val="bottom"/>
          </w:tcPr>
          <w:p w14:paraId="6290F01D" w14:textId="02F29B17" w:rsidR="00224102" w:rsidRPr="00834CDD" w:rsidRDefault="00224102" w:rsidP="00224102">
            <w:pPr>
              <w:jc w:val="right"/>
              <w:rPr>
                <w:sz w:val="14"/>
                <w:szCs w:val="14"/>
              </w:rPr>
            </w:pPr>
            <w:r w:rsidRPr="00AD1F1F">
              <w:rPr>
                <w:sz w:val="14"/>
                <w:szCs w:val="14"/>
              </w:rPr>
              <w:t>-</w:t>
            </w:r>
          </w:p>
        </w:tc>
      </w:tr>
      <w:tr w:rsidR="00224102" w:rsidRPr="00604C75" w14:paraId="4BAA3F8E"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769142B4"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3.6</w:t>
            </w:r>
          </w:p>
        </w:tc>
        <w:tc>
          <w:tcPr>
            <w:tcW w:w="4463" w:type="dxa"/>
            <w:noWrap/>
            <w:tcMar>
              <w:top w:w="18" w:type="dxa"/>
              <w:left w:w="18" w:type="dxa"/>
              <w:bottom w:w="0" w:type="dxa"/>
              <w:right w:w="18" w:type="dxa"/>
            </w:tcMar>
            <w:vAlign w:val="bottom"/>
          </w:tcPr>
          <w:p w14:paraId="3DB8E342" w14:textId="77777777" w:rsidR="00224102" w:rsidRPr="00604C75" w:rsidRDefault="00224102" w:rsidP="00224102">
            <w:pPr>
              <w:spacing w:line="226" w:lineRule="auto"/>
              <w:rPr>
                <w:rFonts w:eastAsia="Arial Unicode MS"/>
                <w:sz w:val="14"/>
                <w:szCs w:val="20"/>
              </w:rPr>
            </w:pPr>
            <w:r w:rsidRPr="00604C75">
              <w:rPr>
                <w:rFonts w:eastAsia="Arial Unicode MS"/>
                <w:sz w:val="14"/>
                <w:szCs w:val="20"/>
              </w:rPr>
              <w:t>Other</w:t>
            </w:r>
          </w:p>
        </w:tc>
        <w:tc>
          <w:tcPr>
            <w:tcW w:w="758" w:type="dxa"/>
          </w:tcPr>
          <w:p w14:paraId="78F33C28" w14:textId="77777777" w:rsidR="00224102" w:rsidRPr="00604C75" w:rsidRDefault="00224102" w:rsidP="00224102">
            <w:pPr>
              <w:spacing w:line="226" w:lineRule="auto"/>
              <w:jc w:val="right"/>
              <w:rPr>
                <w:rFonts w:eastAsia="Arial Unicode MS"/>
                <w:sz w:val="14"/>
                <w:szCs w:val="16"/>
              </w:rPr>
            </w:pPr>
          </w:p>
        </w:tc>
        <w:tc>
          <w:tcPr>
            <w:tcW w:w="1669" w:type="dxa"/>
            <w:noWrap/>
            <w:tcMar>
              <w:top w:w="18" w:type="dxa"/>
              <w:left w:w="18" w:type="dxa"/>
              <w:bottom w:w="0" w:type="dxa"/>
              <w:right w:w="18" w:type="dxa"/>
            </w:tcMar>
            <w:vAlign w:val="bottom"/>
          </w:tcPr>
          <w:p w14:paraId="2657BAED" w14:textId="64A16183" w:rsidR="00224102" w:rsidRPr="00834CDD" w:rsidRDefault="00224102" w:rsidP="00224102">
            <w:pPr>
              <w:jc w:val="right"/>
              <w:rPr>
                <w:color w:val="000000"/>
                <w:sz w:val="14"/>
                <w:szCs w:val="14"/>
              </w:rPr>
            </w:pPr>
            <w:r w:rsidRPr="008B104E">
              <w:rPr>
                <w:sz w:val="14"/>
                <w:szCs w:val="14"/>
              </w:rPr>
              <w:t>(65)</w:t>
            </w:r>
          </w:p>
        </w:tc>
        <w:tc>
          <w:tcPr>
            <w:tcW w:w="1559" w:type="dxa"/>
            <w:noWrap/>
            <w:tcMar>
              <w:top w:w="18" w:type="dxa"/>
              <w:left w:w="18" w:type="dxa"/>
              <w:bottom w:w="0" w:type="dxa"/>
              <w:right w:w="18" w:type="dxa"/>
            </w:tcMar>
            <w:vAlign w:val="bottom"/>
          </w:tcPr>
          <w:p w14:paraId="0EAADB43" w14:textId="51A8C12A" w:rsidR="00224102" w:rsidRPr="00834CDD" w:rsidRDefault="00224102" w:rsidP="00224102">
            <w:pPr>
              <w:jc w:val="right"/>
              <w:rPr>
                <w:sz w:val="14"/>
                <w:szCs w:val="14"/>
              </w:rPr>
            </w:pPr>
            <w:r w:rsidRPr="00AD1F1F">
              <w:rPr>
                <w:sz w:val="14"/>
                <w:szCs w:val="14"/>
              </w:rPr>
              <w:t>21</w:t>
            </w:r>
          </w:p>
        </w:tc>
      </w:tr>
      <w:tr w:rsidR="00224102" w:rsidRPr="00604C75" w14:paraId="491A7D64"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5D54F67D" w14:textId="77777777" w:rsidR="00224102" w:rsidRPr="00604C75" w:rsidRDefault="00224102" w:rsidP="00224102">
            <w:pPr>
              <w:spacing w:line="226" w:lineRule="auto"/>
              <w:rPr>
                <w:rFonts w:eastAsia="Arial Unicode MS"/>
                <w:sz w:val="14"/>
                <w:szCs w:val="20"/>
              </w:rPr>
            </w:pPr>
          </w:p>
        </w:tc>
        <w:tc>
          <w:tcPr>
            <w:tcW w:w="4463" w:type="dxa"/>
            <w:noWrap/>
            <w:tcMar>
              <w:top w:w="18" w:type="dxa"/>
              <w:left w:w="18" w:type="dxa"/>
              <w:bottom w:w="0" w:type="dxa"/>
              <w:right w:w="18" w:type="dxa"/>
            </w:tcMar>
            <w:vAlign w:val="bottom"/>
          </w:tcPr>
          <w:p w14:paraId="1F80F354" w14:textId="77777777" w:rsidR="00224102" w:rsidRPr="00604C75" w:rsidRDefault="00224102" w:rsidP="00224102">
            <w:pPr>
              <w:spacing w:line="226" w:lineRule="auto"/>
              <w:rPr>
                <w:rFonts w:eastAsia="Arial Unicode MS"/>
                <w:sz w:val="14"/>
                <w:szCs w:val="20"/>
              </w:rPr>
            </w:pPr>
          </w:p>
        </w:tc>
        <w:tc>
          <w:tcPr>
            <w:tcW w:w="758" w:type="dxa"/>
          </w:tcPr>
          <w:p w14:paraId="31038FCB" w14:textId="77777777" w:rsidR="00224102" w:rsidRPr="00604C75" w:rsidRDefault="00224102" w:rsidP="00224102">
            <w:pPr>
              <w:jc w:val="right"/>
              <w:rPr>
                <w:sz w:val="14"/>
                <w:szCs w:val="14"/>
              </w:rPr>
            </w:pPr>
          </w:p>
        </w:tc>
        <w:tc>
          <w:tcPr>
            <w:tcW w:w="1669" w:type="dxa"/>
            <w:noWrap/>
            <w:tcMar>
              <w:top w:w="18" w:type="dxa"/>
              <w:left w:w="18" w:type="dxa"/>
              <w:bottom w:w="0" w:type="dxa"/>
              <w:right w:w="18" w:type="dxa"/>
            </w:tcMar>
            <w:vAlign w:val="bottom"/>
          </w:tcPr>
          <w:p w14:paraId="70B03403" w14:textId="77777777" w:rsidR="00224102" w:rsidRPr="00834CDD" w:rsidRDefault="00224102" w:rsidP="00224102">
            <w:pPr>
              <w:jc w:val="right"/>
              <w:rPr>
                <w:color w:val="000000"/>
                <w:sz w:val="14"/>
                <w:szCs w:val="14"/>
              </w:rPr>
            </w:pPr>
          </w:p>
        </w:tc>
        <w:tc>
          <w:tcPr>
            <w:tcW w:w="1559" w:type="dxa"/>
            <w:noWrap/>
            <w:tcMar>
              <w:top w:w="18" w:type="dxa"/>
              <w:left w:w="18" w:type="dxa"/>
              <w:bottom w:w="0" w:type="dxa"/>
              <w:right w:w="18" w:type="dxa"/>
            </w:tcMar>
            <w:vAlign w:val="bottom"/>
          </w:tcPr>
          <w:p w14:paraId="32C84C0E" w14:textId="77777777" w:rsidR="00224102" w:rsidRPr="00834CDD" w:rsidRDefault="00224102" w:rsidP="00224102">
            <w:pPr>
              <w:jc w:val="right"/>
              <w:rPr>
                <w:sz w:val="14"/>
                <w:szCs w:val="14"/>
              </w:rPr>
            </w:pPr>
          </w:p>
        </w:tc>
      </w:tr>
      <w:tr w:rsidR="00224102" w:rsidRPr="00604C75" w14:paraId="7FB4E93E"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18494A09"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IV.</w:t>
            </w:r>
          </w:p>
        </w:tc>
        <w:tc>
          <w:tcPr>
            <w:tcW w:w="4463" w:type="dxa"/>
            <w:noWrap/>
            <w:tcMar>
              <w:top w:w="18" w:type="dxa"/>
              <w:left w:w="18" w:type="dxa"/>
              <w:bottom w:w="0" w:type="dxa"/>
              <w:right w:w="18" w:type="dxa"/>
            </w:tcMar>
            <w:vAlign w:val="bottom"/>
          </w:tcPr>
          <w:p w14:paraId="4EA9F38A" w14:textId="27D97FCC" w:rsidR="00224102" w:rsidRPr="00604C75" w:rsidRDefault="00224102" w:rsidP="00224102">
            <w:pPr>
              <w:spacing w:line="226" w:lineRule="auto"/>
              <w:rPr>
                <w:rFonts w:eastAsia="Arial Unicode MS"/>
                <w:b/>
                <w:sz w:val="14"/>
                <w:szCs w:val="20"/>
              </w:rPr>
            </w:pPr>
            <w:r w:rsidRPr="00604C75">
              <w:rPr>
                <w:rFonts w:eastAsia="Arial Unicode MS"/>
                <w:b/>
                <w:sz w:val="14"/>
                <w:szCs w:val="20"/>
              </w:rPr>
              <w:t xml:space="preserve">Effect of </w:t>
            </w:r>
            <w:r>
              <w:rPr>
                <w:rFonts w:eastAsia="Arial Unicode MS"/>
                <w:b/>
                <w:sz w:val="14"/>
                <w:szCs w:val="20"/>
              </w:rPr>
              <w:t>C</w:t>
            </w:r>
            <w:r w:rsidRPr="00604C75">
              <w:rPr>
                <w:rFonts w:eastAsia="Arial Unicode MS"/>
                <w:b/>
                <w:sz w:val="14"/>
                <w:szCs w:val="20"/>
              </w:rPr>
              <w:t xml:space="preserve">hange in </w:t>
            </w:r>
            <w:r>
              <w:rPr>
                <w:rFonts w:eastAsia="Arial Unicode MS"/>
                <w:b/>
                <w:sz w:val="14"/>
                <w:szCs w:val="20"/>
              </w:rPr>
              <w:t>F</w:t>
            </w:r>
            <w:r w:rsidRPr="00604C75">
              <w:rPr>
                <w:rFonts w:eastAsia="Arial Unicode MS"/>
                <w:b/>
                <w:sz w:val="14"/>
                <w:szCs w:val="20"/>
              </w:rPr>
              <w:t xml:space="preserve">oreign </w:t>
            </w:r>
            <w:r>
              <w:rPr>
                <w:rFonts w:eastAsia="Arial Unicode MS"/>
                <w:b/>
                <w:sz w:val="14"/>
                <w:szCs w:val="20"/>
              </w:rPr>
              <w:t>E</w:t>
            </w:r>
            <w:r w:rsidRPr="00604C75">
              <w:rPr>
                <w:rFonts w:eastAsia="Arial Unicode MS"/>
                <w:b/>
                <w:sz w:val="14"/>
                <w:szCs w:val="20"/>
              </w:rPr>
              <w:t xml:space="preserve">xchange </w:t>
            </w:r>
            <w:r>
              <w:rPr>
                <w:rFonts w:eastAsia="Arial Unicode MS"/>
                <w:b/>
                <w:sz w:val="14"/>
                <w:szCs w:val="20"/>
              </w:rPr>
              <w:t>R</w:t>
            </w:r>
            <w:r w:rsidRPr="00604C75">
              <w:rPr>
                <w:rFonts w:eastAsia="Arial Unicode MS"/>
                <w:b/>
                <w:sz w:val="14"/>
                <w:szCs w:val="20"/>
              </w:rPr>
              <w:t xml:space="preserve">ate on </w:t>
            </w:r>
            <w:r>
              <w:rPr>
                <w:rFonts w:eastAsia="Arial Unicode MS"/>
                <w:b/>
                <w:sz w:val="14"/>
                <w:szCs w:val="20"/>
              </w:rPr>
              <w:t>C</w:t>
            </w:r>
            <w:r w:rsidRPr="00604C75">
              <w:rPr>
                <w:rFonts w:eastAsia="Arial Unicode MS"/>
                <w:b/>
                <w:sz w:val="14"/>
                <w:szCs w:val="20"/>
              </w:rPr>
              <w:t xml:space="preserve">ash and </w:t>
            </w:r>
            <w:r>
              <w:rPr>
                <w:rFonts w:eastAsia="Arial Unicode MS"/>
                <w:b/>
                <w:sz w:val="14"/>
                <w:szCs w:val="20"/>
              </w:rPr>
              <w:t>C</w:t>
            </w:r>
            <w:r w:rsidRPr="00604C75">
              <w:rPr>
                <w:rFonts w:eastAsia="Arial Unicode MS"/>
                <w:b/>
                <w:sz w:val="14"/>
                <w:szCs w:val="20"/>
              </w:rPr>
              <w:t xml:space="preserve">ash </w:t>
            </w:r>
            <w:r>
              <w:rPr>
                <w:rFonts w:eastAsia="Arial Unicode MS"/>
                <w:b/>
                <w:sz w:val="14"/>
                <w:szCs w:val="20"/>
              </w:rPr>
              <w:t>E</w:t>
            </w:r>
            <w:r w:rsidRPr="00604C75">
              <w:rPr>
                <w:rFonts w:eastAsia="Arial Unicode MS"/>
                <w:b/>
                <w:sz w:val="14"/>
                <w:szCs w:val="20"/>
              </w:rPr>
              <w:t>quivalents</w:t>
            </w:r>
          </w:p>
        </w:tc>
        <w:tc>
          <w:tcPr>
            <w:tcW w:w="758" w:type="dxa"/>
          </w:tcPr>
          <w:p w14:paraId="68F0DEC8" w14:textId="77777777" w:rsidR="00224102" w:rsidRPr="00604C75" w:rsidRDefault="00224102" w:rsidP="00224102">
            <w:pPr>
              <w:spacing w:line="226" w:lineRule="auto"/>
              <w:jc w:val="right"/>
              <w:rPr>
                <w:rFonts w:eastAsia="Arial Unicode MS"/>
                <w:b/>
                <w:sz w:val="14"/>
                <w:szCs w:val="16"/>
              </w:rPr>
            </w:pPr>
          </w:p>
        </w:tc>
        <w:tc>
          <w:tcPr>
            <w:tcW w:w="1669" w:type="dxa"/>
            <w:noWrap/>
            <w:tcMar>
              <w:top w:w="18" w:type="dxa"/>
              <w:left w:w="18" w:type="dxa"/>
              <w:bottom w:w="0" w:type="dxa"/>
              <w:right w:w="18" w:type="dxa"/>
            </w:tcMar>
            <w:vAlign w:val="bottom"/>
          </w:tcPr>
          <w:p w14:paraId="7B9F7CD6" w14:textId="79BF1EED" w:rsidR="00224102" w:rsidRPr="00834CDD" w:rsidRDefault="00224102" w:rsidP="00224102">
            <w:pPr>
              <w:jc w:val="right"/>
              <w:rPr>
                <w:b/>
                <w:bCs/>
                <w:color w:val="000000"/>
                <w:sz w:val="14"/>
                <w:szCs w:val="14"/>
              </w:rPr>
            </w:pPr>
            <w:r w:rsidRPr="008B104E">
              <w:rPr>
                <w:b/>
                <w:sz w:val="14"/>
                <w:szCs w:val="14"/>
              </w:rPr>
              <w:t>(341,282)</w:t>
            </w:r>
          </w:p>
        </w:tc>
        <w:tc>
          <w:tcPr>
            <w:tcW w:w="1559" w:type="dxa"/>
            <w:noWrap/>
            <w:tcMar>
              <w:top w:w="18" w:type="dxa"/>
              <w:left w:w="18" w:type="dxa"/>
              <w:bottom w:w="0" w:type="dxa"/>
              <w:right w:w="18" w:type="dxa"/>
            </w:tcMar>
            <w:vAlign w:val="bottom"/>
          </w:tcPr>
          <w:p w14:paraId="30852A4F" w14:textId="400F2E88" w:rsidR="00224102" w:rsidRPr="00834CDD" w:rsidRDefault="00224102" w:rsidP="00224102">
            <w:pPr>
              <w:jc w:val="right"/>
              <w:rPr>
                <w:b/>
                <w:sz w:val="14"/>
                <w:szCs w:val="14"/>
              </w:rPr>
            </w:pPr>
            <w:r w:rsidRPr="00AD1F1F">
              <w:rPr>
                <w:b/>
                <w:sz w:val="14"/>
                <w:szCs w:val="14"/>
              </w:rPr>
              <w:t>(78,724)</w:t>
            </w:r>
          </w:p>
        </w:tc>
      </w:tr>
      <w:tr w:rsidR="00224102" w:rsidRPr="00604C75" w14:paraId="6F0526F5"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5A64F9D7" w14:textId="77777777" w:rsidR="00224102" w:rsidRPr="00604C75" w:rsidRDefault="00224102" w:rsidP="00224102">
            <w:pPr>
              <w:spacing w:line="226" w:lineRule="auto"/>
              <w:jc w:val="right"/>
              <w:rPr>
                <w:rFonts w:eastAsia="Arial Unicode MS"/>
                <w:b/>
                <w:bCs/>
                <w:sz w:val="14"/>
                <w:szCs w:val="20"/>
              </w:rPr>
            </w:pPr>
          </w:p>
        </w:tc>
        <w:tc>
          <w:tcPr>
            <w:tcW w:w="4463" w:type="dxa"/>
            <w:noWrap/>
            <w:tcMar>
              <w:top w:w="18" w:type="dxa"/>
              <w:left w:w="18" w:type="dxa"/>
              <w:bottom w:w="0" w:type="dxa"/>
              <w:right w:w="18" w:type="dxa"/>
            </w:tcMar>
            <w:vAlign w:val="bottom"/>
          </w:tcPr>
          <w:p w14:paraId="6ED192EE" w14:textId="77777777" w:rsidR="00224102" w:rsidRPr="00604C75" w:rsidRDefault="00224102" w:rsidP="00224102">
            <w:pPr>
              <w:spacing w:line="226" w:lineRule="auto"/>
              <w:rPr>
                <w:rFonts w:eastAsia="Arial Unicode MS"/>
                <w:sz w:val="6"/>
                <w:szCs w:val="6"/>
              </w:rPr>
            </w:pPr>
          </w:p>
        </w:tc>
        <w:tc>
          <w:tcPr>
            <w:tcW w:w="758" w:type="dxa"/>
          </w:tcPr>
          <w:p w14:paraId="78FEAEE4" w14:textId="77777777" w:rsidR="00224102" w:rsidRPr="00604C75" w:rsidRDefault="00224102" w:rsidP="00224102">
            <w:pPr>
              <w:jc w:val="center"/>
              <w:rPr>
                <w:b/>
                <w:sz w:val="14"/>
                <w:szCs w:val="14"/>
              </w:rPr>
            </w:pPr>
          </w:p>
        </w:tc>
        <w:tc>
          <w:tcPr>
            <w:tcW w:w="1669" w:type="dxa"/>
            <w:noWrap/>
            <w:tcMar>
              <w:top w:w="18" w:type="dxa"/>
              <w:left w:w="18" w:type="dxa"/>
              <w:bottom w:w="0" w:type="dxa"/>
              <w:right w:w="18" w:type="dxa"/>
            </w:tcMar>
            <w:vAlign w:val="bottom"/>
          </w:tcPr>
          <w:p w14:paraId="5D885989" w14:textId="77777777" w:rsidR="00224102" w:rsidRPr="00834CDD" w:rsidRDefault="00224102" w:rsidP="00224102">
            <w:pPr>
              <w:jc w:val="right"/>
              <w:rPr>
                <w:b/>
                <w:bCs/>
                <w:color w:val="000000"/>
                <w:sz w:val="14"/>
                <w:szCs w:val="14"/>
              </w:rPr>
            </w:pPr>
          </w:p>
        </w:tc>
        <w:tc>
          <w:tcPr>
            <w:tcW w:w="1559" w:type="dxa"/>
            <w:noWrap/>
            <w:tcMar>
              <w:top w:w="18" w:type="dxa"/>
              <w:left w:w="18" w:type="dxa"/>
              <w:bottom w:w="0" w:type="dxa"/>
              <w:right w:w="18" w:type="dxa"/>
            </w:tcMar>
            <w:vAlign w:val="bottom"/>
          </w:tcPr>
          <w:p w14:paraId="52DFCE96" w14:textId="77777777" w:rsidR="00224102" w:rsidRPr="00834CDD" w:rsidRDefault="00224102" w:rsidP="00224102">
            <w:pPr>
              <w:jc w:val="right"/>
              <w:rPr>
                <w:b/>
                <w:sz w:val="14"/>
                <w:szCs w:val="14"/>
              </w:rPr>
            </w:pPr>
          </w:p>
        </w:tc>
      </w:tr>
      <w:tr w:rsidR="00224102" w:rsidRPr="00604C75" w14:paraId="53DD4AF7"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33B4765F"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V.</w:t>
            </w:r>
          </w:p>
        </w:tc>
        <w:tc>
          <w:tcPr>
            <w:tcW w:w="4463" w:type="dxa"/>
            <w:noWrap/>
            <w:tcMar>
              <w:top w:w="18" w:type="dxa"/>
              <w:left w:w="18" w:type="dxa"/>
              <w:bottom w:w="0" w:type="dxa"/>
              <w:right w:w="18" w:type="dxa"/>
            </w:tcMar>
            <w:vAlign w:val="bottom"/>
          </w:tcPr>
          <w:p w14:paraId="2D2DED9C" w14:textId="0E62563D" w:rsidR="00224102" w:rsidRPr="00604C75" w:rsidRDefault="00224102" w:rsidP="00224102">
            <w:pPr>
              <w:spacing w:line="226" w:lineRule="auto"/>
              <w:rPr>
                <w:rFonts w:eastAsia="Arial Unicode MS"/>
                <w:b/>
                <w:sz w:val="14"/>
                <w:szCs w:val="20"/>
              </w:rPr>
            </w:pPr>
            <w:r w:rsidRPr="00604C75">
              <w:rPr>
                <w:rFonts w:eastAsia="Arial Unicode MS"/>
                <w:b/>
                <w:sz w:val="14"/>
                <w:szCs w:val="20"/>
              </w:rPr>
              <w:t xml:space="preserve">Net </w:t>
            </w:r>
            <w:r>
              <w:rPr>
                <w:rFonts w:eastAsia="Arial Unicode MS"/>
                <w:b/>
                <w:sz w:val="14"/>
                <w:szCs w:val="20"/>
              </w:rPr>
              <w:t>I</w:t>
            </w:r>
            <w:r w:rsidRPr="00604C75">
              <w:rPr>
                <w:rFonts w:eastAsia="Arial Unicode MS"/>
                <w:b/>
                <w:sz w:val="14"/>
                <w:szCs w:val="20"/>
              </w:rPr>
              <w:t xml:space="preserve">ncrease in </w:t>
            </w:r>
            <w:r>
              <w:rPr>
                <w:rFonts w:eastAsia="Arial Unicode MS"/>
                <w:b/>
                <w:sz w:val="14"/>
                <w:szCs w:val="20"/>
              </w:rPr>
              <w:t>C</w:t>
            </w:r>
            <w:r w:rsidRPr="00604C75">
              <w:rPr>
                <w:rFonts w:eastAsia="Arial Unicode MS"/>
                <w:b/>
                <w:sz w:val="14"/>
                <w:szCs w:val="20"/>
              </w:rPr>
              <w:t xml:space="preserve">ash and </w:t>
            </w:r>
            <w:r>
              <w:rPr>
                <w:rFonts w:eastAsia="Arial Unicode MS"/>
                <w:b/>
                <w:sz w:val="14"/>
                <w:szCs w:val="20"/>
              </w:rPr>
              <w:t>C</w:t>
            </w:r>
            <w:r w:rsidRPr="00604C75">
              <w:rPr>
                <w:rFonts w:eastAsia="Arial Unicode MS"/>
                <w:b/>
                <w:sz w:val="14"/>
                <w:szCs w:val="20"/>
              </w:rPr>
              <w:t xml:space="preserve">ash </w:t>
            </w:r>
            <w:r>
              <w:rPr>
                <w:rFonts w:eastAsia="Arial Unicode MS"/>
                <w:b/>
                <w:sz w:val="14"/>
                <w:szCs w:val="20"/>
              </w:rPr>
              <w:t>E</w:t>
            </w:r>
            <w:r w:rsidRPr="00604C75">
              <w:rPr>
                <w:rFonts w:eastAsia="Arial Unicode MS"/>
                <w:b/>
                <w:sz w:val="14"/>
                <w:szCs w:val="20"/>
              </w:rPr>
              <w:t>quivalents (I+II+III+IV)</w:t>
            </w:r>
          </w:p>
        </w:tc>
        <w:tc>
          <w:tcPr>
            <w:tcW w:w="758" w:type="dxa"/>
          </w:tcPr>
          <w:p w14:paraId="56013E01" w14:textId="77777777" w:rsidR="00224102" w:rsidRPr="00604C75" w:rsidRDefault="00224102" w:rsidP="00224102">
            <w:pPr>
              <w:spacing w:line="226" w:lineRule="auto"/>
              <w:jc w:val="center"/>
              <w:rPr>
                <w:rFonts w:eastAsia="Arial Unicode MS"/>
                <w:b/>
                <w:sz w:val="14"/>
                <w:szCs w:val="16"/>
              </w:rPr>
            </w:pPr>
          </w:p>
        </w:tc>
        <w:tc>
          <w:tcPr>
            <w:tcW w:w="1669" w:type="dxa"/>
            <w:noWrap/>
            <w:tcMar>
              <w:top w:w="18" w:type="dxa"/>
              <w:left w:w="18" w:type="dxa"/>
              <w:bottom w:w="0" w:type="dxa"/>
              <w:right w:w="18" w:type="dxa"/>
            </w:tcMar>
            <w:vAlign w:val="bottom"/>
          </w:tcPr>
          <w:p w14:paraId="08B49F62" w14:textId="389226A3" w:rsidR="00224102" w:rsidRPr="00834CDD" w:rsidRDefault="00224102" w:rsidP="00224102">
            <w:pPr>
              <w:jc w:val="right"/>
              <w:rPr>
                <w:b/>
                <w:bCs/>
                <w:color w:val="000000"/>
                <w:sz w:val="14"/>
                <w:szCs w:val="14"/>
              </w:rPr>
            </w:pPr>
            <w:r w:rsidRPr="008B104E">
              <w:rPr>
                <w:b/>
                <w:sz w:val="14"/>
                <w:szCs w:val="14"/>
              </w:rPr>
              <w:t>827,495</w:t>
            </w:r>
          </w:p>
        </w:tc>
        <w:tc>
          <w:tcPr>
            <w:tcW w:w="1559" w:type="dxa"/>
            <w:noWrap/>
            <w:tcMar>
              <w:top w:w="18" w:type="dxa"/>
              <w:left w:w="18" w:type="dxa"/>
              <w:bottom w:w="0" w:type="dxa"/>
              <w:right w:w="18" w:type="dxa"/>
            </w:tcMar>
            <w:vAlign w:val="bottom"/>
          </w:tcPr>
          <w:p w14:paraId="14531F1D" w14:textId="2881C7D3" w:rsidR="00224102" w:rsidRPr="00834CDD" w:rsidRDefault="00224102" w:rsidP="00224102">
            <w:pPr>
              <w:jc w:val="right"/>
              <w:rPr>
                <w:b/>
                <w:sz w:val="14"/>
                <w:szCs w:val="14"/>
              </w:rPr>
            </w:pPr>
            <w:r w:rsidRPr="00AD1F1F">
              <w:rPr>
                <w:b/>
                <w:sz w:val="14"/>
                <w:szCs w:val="14"/>
              </w:rPr>
              <w:t>(153,953)</w:t>
            </w:r>
          </w:p>
        </w:tc>
      </w:tr>
      <w:tr w:rsidR="00224102" w:rsidRPr="00604C75" w14:paraId="2A22B725"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6B91BEBE" w14:textId="77777777" w:rsidR="00224102" w:rsidRPr="00604C75" w:rsidRDefault="00224102" w:rsidP="00224102">
            <w:pPr>
              <w:spacing w:line="226" w:lineRule="auto"/>
              <w:rPr>
                <w:rFonts w:eastAsia="Arial Unicode MS"/>
                <w:b/>
                <w:bCs/>
                <w:sz w:val="14"/>
                <w:szCs w:val="20"/>
              </w:rPr>
            </w:pPr>
          </w:p>
        </w:tc>
        <w:tc>
          <w:tcPr>
            <w:tcW w:w="4463" w:type="dxa"/>
            <w:noWrap/>
            <w:tcMar>
              <w:top w:w="18" w:type="dxa"/>
              <w:left w:w="18" w:type="dxa"/>
              <w:bottom w:w="0" w:type="dxa"/>
              <w:right w:w="18" w:type="dxa"/>
            </w:tcMar>
            <w:vAlign w:val="bottom"/>
          </w:tcPr>
          <w:p w14:paraId="514F7722" w14:textId="77777777" w:rsidR="00224102" w:rsidRPr="00604C75" w:rsidRDefault="00224102" w:rsidP="00224102">
            <w:pPr>
              <w:spacing w:line="226" w:lineRule="auto"/>
              <w:rPr>
                <w:rFonts w:eastAsia="Arial Unicode MS"/>
                <w:sz w:val="14"/>
                <w:szCs w:val="20"/>
              </w:rPr>
            </w:pPr>
          </w:p>
        </w:tc>
        <w:tc>
          <w:tcPr>
            <w:tcW w:w="758" w:type="dxa"/>
          </w:tcPr>
          <w:p w14:paraId="709A33C8" w14:textId="77777777" w:rsidR="00224102" w:rsidRPr="00604C75" w:rsidRDefault="00224102" w:rsidP="00224102">
            <w:pPr>
              <w:spacing w:line="226" w:lineRule="auto"/>
              <w:jc w:val="center"/>
              <w:rPr>
                <w:rFonts w:eastAsia="Arial Unicode MS"/>
                <w:sz w:val="14"/>
                <w:szCs w:val="16"/>
              </w:rPr>
            </w:pPr>
          </w:p>
        </w:tc>
        <w:tc>
          <w:tcPr>
            <w:tcW w:w="1669" w:type="dxa"/>
            <w:noWrap/>
            <w:tcMar>
              <w:top w:w="18" w:type="dxa"/>
              <w:left w:w="18" w:type="dxa"/>
              <w:bottom w:w="0" w:type="dxa"/>
              <w:right w:w="18" w:type="dxa"/>
            </w:tcMar>
            <w:vAlign w:val="bottom"/>
          </w:tcPr>
          <w:p w14:paraId="66C17717" w14:textId="77777777" w:rsidR="00224102" w:rsidRPr="00834CDD" w:rsidRDefault="00224102" w:rsidP="00224102">
            <w:pPr>
              <w:jc w:val="right"/>
              <w:rPr>
                <w:b/>
                <w:bCs/>
                <w:color w:val="000000"/>
                <w:sz w:val="14"/>
                <w:szCs w:val="14"/>
              </w:rPr>
            </w:pPr>
          </w:p>
        </w:tc>
        <w:tc>
          <w:tcPr>
            <w:tcW w:w="1559" w:type="dxa"/>
            <w:noWrap/>
            <w:tcMar>
              <w:top w:w="18" w:type="dxa"/>
              <w:left w:w="18" w:type="dxa"/>
              <w:bottom w:w="0" w:type="dxa"/>
              <w:right w:w="18" w:type="dxa"/>
            </w:tcMar>
            <w:vAlign w:val="bottom"/>
          </w:tcPr>
          <w:p w14:paraId="27029BE0" w14:textId="77777777" w:rsidR="00224102" w:rsidRPr="00834CDD" w:rsidRDefault="00224102" w:rsidP="00224102">
            <w:pPr>
              <w:jc w:val="right"/>
              <w:rPr>
                <w:b/>
                <w:sz w:val="14"/>
                <w:szCs w:val="14"/>
              </w:rPr>
            </w:pPr>
          </w:p>
        </w:tc>
      </w:tr>
      <w:tr w:rsidR="00224102" w:rsidRPr="00604C75" w14:paraId="5CC4215B"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noWrap/>
            <w:tcMar>
              <w:top w:w="18" w:type="dxa"/>
              <w:left w:w="18" w:type="dxa"/>
              <w:bottom w:w="0" w:type="dxa"/>
              <w:right w:w="18" w:type="dxa"/>
            </w:tcMar>
            <w:vAlign w:val="bottom"/>
          </w:tcPr>
          <w:p w14:paraId="10D8C6F5"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VI.</w:t>
            </w:r>
          </w:p>
        </w:tc>
        <w:tc>
          <w:tcPr>
            <w:tcW w:w="4463" w:type="dxa"/>
            <w:noWrap/>
            <w:tcMar>
              <w:top w:w="18" w:type="dxa"/>
              <w:left w:w="18" w:type="dxa"/>
              <w:bottom w:w="0" w:type="dxa"/>
              <w:right w:w="18" w:type="dxa"/>
            </w:tcMar>
            <w:vAlign w:val="bottom"/>
          </w:tcPr>
          <w:p w14:paraId="6755678A" w14:textId="5ED39F28" w:rsidR="00224102" w:rsidRPr="00604C75" w:rsidRDefault="00224102" w:rsidP="00224102">
            <w:pPr>
              <w:spacing w:line="226" w:lineRule="auto"/>
              <w:rPr>
                <w:rFonts w:eastAsia="Arial Unicode MS"/>
                <w:b/>
                <w:sz w:val="14"/>
                <w:szCs w:val="20"/>
              </w:rPr>
            </w:pPr>
            <w:r w:rsidRPr="00604C75">
              <w:rPr>
                <w:rFonts w:eastAsia="Arial Unicode MS"/>
                <w:b/>
                <w:sz w:val="14"/>
                <w:szCs w:val="20"/>
              </w:rPr>
              <w:t xml:space="preserve">Cash and </w:t>
            </w:r>
            <w:r>
              <w:rPr>
                <w:rFonts w:eastAsia="Arial Unicode MS"/>
                <w:b/>
                <w:sz w:val="14"/>
                <w:szCs w:val="20"/>
              </w:rPr>
              <w:t>C</w:t>
            </w:r>
            <w:r w:rsidRPr="00604C75">
              <w:rPr>
                <w:rFonts w:eastAsia="Arial Unicode MS"/>
                <w:b/>
                <w:sz w:val="14"/>
                <w:szCs w:val="20"/>
              </w:rPr>
              <w:t xml:space="preserve">ash </w:t>
            </w:r>
            <w:r>
              <w:rPr>
                <w:rFonts w:eastAsia="Arial Unicode MS"/>
                <w:b/>
                <w:sz w:val="14"/>
                <w:szCs w:val="20"/>
              </w:rPr>
              <w:t>E</w:t>
            </w:r>
            <w:r w:rsidRPr="00604C75">
              <w:rPr>
                <w:rFonts w:eastAsia="Arial Unicode MS"/>
                <w:b/>
                <w:sz w:val="14"/>
                <w:szCs w:val="20"/>
              </w:rPr>
              <w:t xml:space="preserve">quivalents at </w:t>
            </w:r>
            <w:r>
              <w:rPr>
                <w:rFonts w:eastAsia="Arial Unicode MS"/>
                <w:b/>
                <w:sz w:val="14"/>
                <w:szCs w:val="20"/>
              </w:rPr>
              <w:t>B</w:t>
            </w:r>
            <w:r w:rsidRPr="00604C75">
              <w:rPr>
                <w:rFonts w:eastAsia="Arial Unicode MS"/>
                <w:b/>
                <w:sz w:val="14"/>
                <w:szCs w:val="20"/>
              </w:rPr>
              <w:t xml:space="preserve">eginning of the </w:t>
            </w:r>
            <w:r>
              <w:rPr>
                <w:rFonts w:eastAsia="Arial Unicode MS"/>
                <w:b/>
                <w:sz w:val="14"/>
                <w:szCs w:val="20"/>
              </w:rPr>
              <w:t>P</w:t>
            </w:r>
            <w:r w:rsidRPr="00604C75">
              <w:rPr>
                <w:rFonts w:eastAsia="Arial Unicode MS"/>
                <w:b/>
                <w:sz w:val="14"/>
                <w:szCs w:val="20"/>
              </w:rPr>
              <w:t xml:space="preserve">eriod  </w:t>
            </w:r>
          </w:p>
        </w:tc>
        <w:tc>
          <w:tcPr>
            <w:tcW w:w="758" w:type="dxa"/>
            <w:vAlign w:val="bottom"/>
          </w:tcPr>
          <w:p w14:paraId="5271FE5C" w14:textId="77777777" w:rsidR="00224102" w:rsidRPr="00604C75" w:rsidRDefault="00224102" w:rsidP="00224102">
            <w:pPr>
              <w:spacing w:line="226" w:lineRule="auto"/>
              <w:jc w:val="center"/>
              <w:rPr>
                <w:b/>
                <w:bCs/>
                <w:sz w:val="14"/>
              </w:rPr>
            </w:pPr>
          </w:p>
        </w:tc>
        <w:tc>
          <w:tcPr>
            <w:tcW w:w="1669" w:type="dxa"/>
            <w:noWrap/>
            <w:tcMar>
              <w:top w:w="18" w:type="dxa"/>
              <w:left w:w="18" w:type="dxa"/>
              <w:bottom w:w="0" w:type="dxa"/>
              <w:right w:w="18" w:type="dxa"/>
            </w:tcMar>
            <w:vAlign w:val="bottom"/>
          </w:tcPr>
          <w:p w14:paraId="7A37F878" w14:textId="26DF98E0" w:rsidR="00224102" w:rsidRPr="00834CDD" w:rsidRDefault="00224102" w:rsidP="00224102">
            <w:pPr>
              <w:jc w:val="right"/>
              <w:rPr>
                <w:b/>
                <w:bCs/>
                <w:color w:val="000000"/>
                <w:sz w:val="14"/>
                <w:szCs w:val="14"/>
              </w:rPr>
            </w:pPr>
            <w:r w:rsidRPr="008B104E">
              <w:rPr>
                <w:b/>
                <w:sz w:val="14"/>
                <w:szCs w:val="14"/>
              </w:rPr>
              <w:t>459,281</w:t>
            </w:r>
          </w:p>
        </w:tc>
        <w:tc>
          <w:tcPr>
            <w:tcW w:w="1559" w:type="dxa"/>
            <w:noWrap/>
            <w:tcMar>
              <w:top w:w="18" w:type="dxa"/>
              <w:left w:w="18" w:type="dxa"/>
              <w:bottom w:w="0" w:type="dxa"/>
              <w:right w:w="18" w:type="dxa"/>
            </w:tcMar>
            <w:vAlign w:val="bottom"/>
          </w:tcPr>
          <w:p w14:paraId="504406C2" w14:textId="5D080444" w:rsidR="00224102" w:rsidRPr="00834CDD" w:rsidRDefault="00224102" w:rsidP="00224102">
            <w:pPr>
              <w:jc w:val="right"/>
              <w:rPr>
                <w:b/>
                <w:sz w:val="14"/>
                <w:szCs w:val="14"/>
              </w:rPr>
            </w:pPr>
            <w:r w:rsidRPr="00AD1F1F">
              <w:rPr>
                <w:b/>
                <w:sz w:val="14"/>
                <w:szCs w:val="14"/>
              </w:rPr>
              <w:t>613,234</w:t>
            </w:r>
          </w:p>
        </w:tc>
      </w:tr>
      <w:tr w:rsidR="00224102" w:rsidRPr="00604C75" w14:paraId="7D5B48E0"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tcBorders>
              <w:bottom w:val="single" w:sz="4" w:space="0" w:color="auto"/>
            </w:tcBorders>
            <w:noWrap/>
            <w:tcMar>
              <w:top w:w="18" w:type="dxa"/>
              <w:left w:w="18" w:type="dxa"/>
              <w:bottom w:w="0" w:type="dxa"/>
              <w:right w:w="18" w:type="dxa"/>
            </w:tcMar>
            <w:vAlign w:val="bottom"/>
          </w:tcPr>
          <w:p w14:paraId="6B409AF0" w14:textId="77777777" w:rsidR="00224102" w:rsidRPr="00604C75" w:rsidRDefault="00224102" w:rsidP="00224102">
            <w:pPr>
              <w:spacing w:line="226" w:lineRule="auto"/>
              <w:rPr>
                <w:rFonts w:eastAsia="Arial Unicode MS"/>
                <w:b/>
                <w:bCs/>
                <w:sz w:val="14"/>
                <w:szCs w:val="20"/>
              </w:rPr>
            </w:pPr>
          </w:p>
        </w:tc>
        <w:tc>
          <w:tcPr>
            <w:tcW w:w="4463" w:type="dxa"/>
            <w:tcBorders>
              <w:bottom w:val="single" w:sz="4" w:space="0" w:color="auto"/>
            </w:tcBorders>
            <w:noWrap/>
            <w:tcMar>
              <w:top w:w="18" w:type="dxa"/>
              <w:left w:w="18" w:type="dxa"/>
              <w:bottom w:w="0" w:type="dxa"/>
              <w:right w:w="18" w:type="dxa"/>
            </w:tcMar>
            <w:vAlign w:val="bottom"/>
          </w:tcPr>
          <w:p w14:paraId="2884E532" w14:textId="77777777" w:rsidR="00224102" w:rsidRPr="00604C75" w:rsidRDefault="00224102" w:rsidP="00224102">
            <w:pPr>
              <w:spacing w:line="226" w:lineRule="auto"/>
              <w:rPr>
                <w:rFonts w:eastAsia="Arial Unicode MS"/>
                <w:b/>
                <w:sz w:val="14"/>
                <w:szCs w:val="20"/>
              </w:rPr>
            </w:pPr>
          </w:p>
        </w:tc>
        <w:tc>
          <w:tcPr>
            <w:tcW w:w="758" w:type="dxa"/>
            <w:tcBorders>
              <w:bottom w:val="single" w:sz="4" w:space="0" w:color="auto"/>
            </w:tcBorders>
            <w:vAlign w:val="bottom"/>
          </w:tcPr>
          <w:p w14:paraId="0D597A52" w14:textId="77777777" w:rsidR="00224102" w:rsidRPr="00604C75" w:rsidRDefault="00224102" w:rsidP="00224102">
            <w:pPr>
              <w:spacing w:line="226" w:lineRule="auto"/>
              <w:jc w:val="center"/>
              <w:rPr>
                <w:rFonts w:eastAsia="Arial Unicode MS"/>
                <w:b/>
                <w:bCs/>
                <w:sz w:val="14"/>
              </w:rPr>
            </w:pPr>
          </w:p>
        </w:tc>
        <w:tc>
          <w:tcPr>
            <w:tcW w:w="1669" w:type="dxa"/>
            <w:tcBorders>
              <w:bottom w:val="single" w:sz="4" w:space="0" w:color="auto"/>
            </w:tcBorders>
            <w:noWrap/>
            <w:tcMar>
              <w:top w:w="18" w:type="dxa"/>
              <w:left w:w="18" w:type="dxa"/>
              <w:bottom w:w="0" w:type="dxa"/>
              <w:right w:w="18" w:type="dxa"/>
            </w:tcMar>
            <w:vAlign w:val="bottom"/>
          </w:tcPr>
          <w:p w14:paraId="3CB65662" w14:textId="43537DC1" w:rsidR="00224102" w:rsidRPr="00834CDD" w:rsidRDefault="00224102" w:rsidP="00224102">
            <w:pPr>
              <w:jc w:val="right"/>
              <w:rPr>
                <w:color w:val="000000"/>
                <w:sz w:val="14"/>
                <w:szCs w:val="14"/>
              </w:rPr>
            </w:pPr>
          </w:p>
        </w:tc>
        <w:tc>
          <w:tcPr>
            <w:tcW w:w="1559" w:type="dxa"/>
            <w:tcBorders>
              <w:bottom w:val="single" w:sz="4" w:space="0" w:color="auto"/>
            </w:tcBorders>
            <w:noWrap/>
            <w:tcMar>
              <w:top w:w="18" w:type="dxa"/>
              <w:left w:w="18" w:type="dxa"/>
              <w:bottom w:w="0" w:type="dxa"/>
              <w:right w:w="18" w:type="dxa"/>
            </w:tcMar>
            <w:vAlign w:val="bottom"/>
          </w:tcPr>
          <w:p w14:paraId="3A1CC917" w14:textId="77777777" w:rsidR="00224102" w:rsidRPr="00834CDD" w:rsidRDefault="00224102" w:rsidP="00224102">
            <w:pPr>
              <w:jc w:val="right"/>
              <w:rPr>
                <w:b/>
                <w:sz w:val="14"/>
                <w:szCs w:val="14"/>
              </w:rPr>
            </w:pPr>
          </w:p>
        </w:tc>
      </w:tr>
      <w:tr w:rsidR="00224102" w:rsidRPr="00604C75" w14:paraId="27E1D002" w14:textId="77777777" w:rsidTr="00F142CB">
        <w:tblPrEx>
          <w:tblCellMar>
            <w:left w:w="0" w:type="dxa"/>
            <w:right w:w="0" w:type="dxa"/>
          </w:tblCellMar>
          <w:tblLook w:val="0000" w:firstRow="0" w:lastRow="0" w:firstColumn="0" w:lastColumn="0" w:noHBand="0" w:noVBand="0"/>
        </w:tblPrEx>
        <w:trPr>
          <w:gridAfter w:val="1"/>
          <w:wAfter w:w="57" w:type="dxa"/>
          <w:trHeight w:val="86"/>
        </w:trPr>
        <w:tc>
          <w:tcPr>
            <w:tcW w:w="340" w:type="dxa"/>
            <w:tcBorders>
              <w:top w:val="single" w:sz="4" w:space="0" w:color="auto"/>
              <w:bottom w:val="single" w:sz="4" w:space="0" w:color="auto"/>
            </w:tcBorders>
            <w:noWrap/>
            <w:tcMar>
              <w:top w:w="18" w:type="dxa"/>
              <w:left w:w="18" w:type="dxa"/>
              <w:bottom w:w="0" w:type="dxa"/>
              <w:right w:w="18" w:type="dxa"/>
            </w:tcMar>
            <w:vAlign w:val="bottom"/>
          </w:tcPr>
          <w:p w14:paraId="3207AB31" w14:textId="77777777" w:rsidR="00224102" w:rsidRPr="00604C75" w:rsidRDefault="00224102" w:rsidP="00224102">
            <w:pPr>
              <w:spacing w:line="226" w:lineRule="auto"/>
              <w:rPr>
                <w:rFonts w:eastAsia="Arial Unicode MS"/>
                <w:b/>
                <w:bCs/>
                <w:sz w:val="14"/>
                <w:szCs w:val="20"/>
              </w:rPr>
            </w:pPr>
            <w:r w:rsidRPr="00604C75">
              <w:rPr>
                <w:rFonts w:eastAsia="Arial Unicode MS"/>
                <w:b/>
                <w:bCs/>
                <w:sz w:val="14"/>
                <w:szCs w:val="20"/>
              </w:rPr>
              <w:t>VII.</w:t>
            </w:r>
          </w:p>
        </w:tc>
        <w:tc>
          <w:tcPr>
            <w:tcW w:w="4463" w:type="dxa"/>
            <w:tcBorders>
              <w:top w:val="single" w:sz="4" w:space="0" w:color="auto"/>
              <w:bottom w:val="single" w:sz="4" w:space="0" w:color="auto"/>
            </w:tcBorders>
            <w:noWrap/>
            <w:tcMar>
              <w:top w:w="18" w:type="dxa"/>
              <w:left w:w="18" w:type="dxa"/>
              <w:bottom w:w="0" w:type="dxa"/>
              <w:right w:w="18" w:type="dxa"/>
            </w:tcMar>
            <w:vAlign w:val="bottom"/>
          </w:tcPr>
          <w:p w14:paraId="6B3F4D57" w14:textId="7C2686BD" w:rsidR="00224102" w:rsidRPr="00604C75" w:rsidRDefault="00224102" w:rsidP="00224102">
            <w:pPr>
              <w:spacing w:line="226" w:lineRule="auto"/>
              <w:rPr>
                <w:rFonts w:eastAsia="Arial Unicode MS"/>
                <w:b/>
                <w:sz w:val="14"/>
                <w:szCs w:val="20"/>
              </w:rPr>
            </w:pPr>
            <w:r w:rsidRPr="00604C75">
              <w:rPr>
                <w:rFonts w:eastAsia="Arial Unicode MS"/>
                <w:b/>
                <w:sz w:val="14"/>
                <w:szCs w:val="20"/>
              </w:rPr>
              <w:t xml:space="preserve">Cash and </w:t>
            </w:r>
            <w:r>
              <w:rPr>
                <w:rFonts w:eastAsia="Arial Unicode MS"/>
                <w:b/>
                <w:sz w:val="14"/>
                <w:szCs w:val="20"/>
              </w:rPr>
              <w:t>C</w:t>
            </w:r>
            <w:r w:rsidRPr="00604C75">
              <w:rPr>
                <w:rFonts w:eastAsia="Arial Unicode MS"/>
                <w:b/>
                <w:sz w:val="14"/>
                <w:szCs w:val="20"/>
              </w:rPr>
              <w:t xml:space="preserve">ash </w:t>
            </w:r>
            <w:r>
              <w:rPr>
                <w:rFonts w:eastAsia="Arial Unicode MS"/>
                <w:b/>
                <w:sz w:val="14"/>
                <w:szCs w:val="20"/>
              </w:rPr>
              <w:t>E</w:t>
            </w:r>
            <w:r w:rsidRPr="00604C75">
              <w:rPr>
                <w:rFonts w:eastAsia="Arial Unicode MS"/>
                <w:b/>
                <w:sz w:val="14"/>
                <w:szCs w:val="20"/>
              </w:rPr>
              <w:t xml:space="preserve">quivalents at </w:t>
            </w:r>
            <w:r>
              <w:rPr>
                <w:rFonts w:eastAsia="Arial Unicode MS"/>
                <w:b/>
                <w:sz w:val="14"/>
                <w:szCs w:val="20"/>
              </w:rPr>
              <w:t>E</w:t>
            </w:r>
            <w:r w:rsidRPr="00604C75">
              <w:rPr>
                <w:rFonts w:eastAsia="Arial Unicode MS"/>
                <w:b/>
                <w:sz w:val="14"/>
                <w:szCs w:val="20"/>
              </w:rPr>
              <w:t xml:space="preserve">nd of the </w:t>
            </w:r>
            <w:r>
              <w:rPr>
                <w:rFonts w:eastAsia="Arial Unicode MS"/>
                <w:b/>
                <w:sz w:val="14"/>
                <w:szCs w:val="20"/>
              </w:rPr>
              <w:t>P</w:t>
            </w:r>
            <w:r w:rsidRPr="00604C75">
              <w:rPr>
                <w:rFonts w:eastAsia="Arial Unicode MS"/>
                <w:b/>
                <w:sz w:val="14"/>
                <w:szCs w:val="20"/>
              </w:rPr>
              <w:t xml:space="preserve">eriod  </w:t>
            </w:r>
          </w:p>
        </w:tc>
        <w:tc>
          <w:tcPr>
            <w:tcW w:w="758" w:type="dxa"/>
            <w:tcBorders>
              <w:top w:val="single" w:sz="4" w:space="0" w:color="auto"/>
              <w:bottom w:val="single" w:sz="4" w:space="0" w:color="auto"/>
            </w:tcBorders>
            <w:vAlign w:val="bottom"/>
          </w:tcPr>
          <w:p w14:paraId="7686FAF0" w14:textId="77777777" w:rsidR="00224102" w:rsidRPr="00604C75" w:rsidRDefault="00224102" w:rsidP="00224102">
            <w:pPr>
              <w:spacing w:line="226" w:lineRule="auto"/>
              <w:jc w:val="center"/>
              <w:rPr>
                <w:b/>
                <w:bCs/>
                <w:sz w:val="14"/>
              </w:rPr>
            </w:pPr>
          </w:p>
        </w:tc>
        <w:tc>
          <w:tcPr>
            <w:tcW w:w="1669" w:type="dxa"/>
            <w:tcBorders>
              <w:top w:val="single" w:sz="4" w:space="0" w:color="auto"/>
              <w:bottom w:val="single" w:sz="4" w:space="0" w:color="auto"/>
            </w:tcBorders>
            <w:noWrap/>
            <w:tcMar>
              <w:top w:w="18" w:type="dxa"/>
              <w:left w:w="18" w:type="dxa"/>
              <w:bottom w:w="0" w:type="dxa"/>
              <w:right w:w="18" w:type="dxa"/>
            </w:tcMar>
            <w:vAlign w:val="bottom"/>
          </w:tcPr>
          <w:p w14:paraId="3355BE9A" w14:textId="539F851C" w:rsidR="00224102" w:rsidRPr="00834CDD" w:rsidRDefault="00224102" w:rsidP="00224102">
            <w:pPr>
              <w:jc w:val="right"/>
              <w:rPr>
                <w:b/>
                <w:bCs/>
                <w:color w:val="000000"/>
                <w:sz w:val="14"/>
                <w:szCs w:val="14"/>
              </w:rPr>
            </w:pPr>
            <w:r w:rsidRPr="008B104E">
              <w:rPr>
                <w:b/>
                <w:sz w:val="14"/>
                <w:szCs w:val="14"/>
              </w:rPr>
              <w:t>1,286,776</w:t>
            </w:r>
          </w:p>
        </w:tc>
        <w:tc>
          <w:tcPr>
            <w:tcW w:w="1559" w:type="dxa"/>
            <w:tcBorders>
              <w:top w:val="single" w:sz="4" w:space="0" w:color="auto"/>
              <w:bottom w:val="single" w:sz="4" w:space="0" w:color="auto"/>
            </w:tcBorders>
            <w:noWrap/>
            <w:tcMar>
              <w:top w:w="18" w:type="dxa"/>
              <w:left w:w="18" w:type="dxa"/>
              <w:bottom w:w="0" w:type="dxa"/>
              <w:right w:w="18" w:type="dxa"/>
            </w:tcMar>
            <w:vAlign w:val="bottom"/>
          </w:tcPr>
          <w:p w14:paraId="7B7DE5B2" w14:textId="239BE98D" w:rsidR="00224102" w:rsidRPr="00834CDD" w:rsidRDefault="00224102" w:rsidP="00224102">
            <w:pPr>
              <w:jc w:val="right"/>
              <w:rPr>
                <w:b/>
                <w:sz w:val="14"/>
                <w:szCs w:val="14"/>
              </w:rPr>
            </w:pPr>
            <w:r w:rsidRPr="00AD1F1F">
              <w:rPr>
                <w:b/>
                <w:sz w:val="14"/>
                <w:szCs w:val="14"/>
              </w:rPr>
              <w:t>459,281</w:t>
            </w:r>
          </w:p>
        </w:tc>
      </w:tr>
    </w:tbl>
    <w:p w14:paraId="40567FDB" w14:textId="0681D8B0" w:rsidR="00980409" w:rsidRDefault="00834CDD" w:rsidP="00834CDD">
      <w:pPr>
        <w:tabs>
          <w:tab w:val="left" w:pos="8175"/>
        </w:tabs>
        <w:spacing w:before="60"/>
        <w:rPr>
          <w:sz w:val="16"/>
        </w:rPr>
      </w:pPr>
      <w:r>
        <w:rPr>
          <w:sz w:val="16"/>
        </w:rPr>
        <w:tab/>
      </w:r>
    </w:p>
    <w:p w14:paraId="62D22710" w14:textId="77777777" w:rsidR="00980409" w:rsidRDefault="00980409" w:rsidP="00CD0767">
      <w:pPr>
        <w:spacing w:before="60"/>
        <w:rPr>
          <w:sz w:val="16"/>
        </w:rPr>
      </w:pPr>
    </w:p>
    <w:p w14:paraId="5B979F96" w14:textId="77777777" w:rsidR="00980409" w:rsidRPr="00604C75" w:rsidRDefault="00980409" w:rsidP="00980409">
      <w:pPr>
        <w:jc w:val="center"/>
        <w:rPr>
          <w:sz w:val="20"/>
          <w:szCs w:val="20"/>
        </w:rPr>
      </w:pPr>
      <w:r w:rsidRPr="00604C75">
        <w:rPr>
          <w:sz w:val="16"/>
          <w:szCs w:val="16"/>
        </w:rPr>
        <w:t>The accompanying notes are an integral part of these consolidated financial statements.</w:t>
      </w:r>
    </w:p>
    <w:p w14:paraId="5173D97C" w14:textId="77777777" w:rsidR="00980409" w:rsidRDefault="00980409" w:rsidP="00CD0767">
      <w:pPr>
        <w:spacing w:before="60"/>
        <w:rPr>
          <w:sz w:val="16"/>
        </w:rPr>
      </w:pPr>
    </w:p>
    <w:p w14:paraId="646B5D96" w14:textId="77777777" w:rsidR="00980409" w:rsidRDefault="00980409" w:rsidP="00CD0767">
      <w:pPr>
        <w:spacing w:before="60"/>
        <w:rPr>
          <w:sz w:val="16"/>
        </w:rPr>
      </w:pPr>
    </w:p>
    <w:p w14:paraId="5FB6A43E" w14:textId="77777777" w:rsidR="00F142CB" w:rsidRDefault="00F142CB" w:rsidP="00F77D55">
      <w:pPr>
        <w:autoSpaceDE w:val="0"/>
        <w:autoSpaceDN w:val="0"/>
        <w:adjustRightInd w:val="0"/>
        <w:rPr>
          <w:sz w:val="14"/>
          <w:highlight w:val="cyan"/>
        </w:rPr>
        <w:sectPr w:rsidR="00F142CB" w:rsidSect="00081060">
          <w:headerReference w:type="default" r:id="rId18"/>
          <w:footerReference w:type="default" r:id="rId19"/>
          <w:pgSz w:w="11906" w:h="16838" w:code="9"/>
          <w:pgMar w:top="1134" w:right="1416" w:bottom="720" w:left="1418" w:header="851" w:footer="851" w:gutter="0"/>
          <w:cols w:space="708"/>
          <w:docGrid w:linePitch="360"/>
        </w:sectPr>
      </w:pPr>
    </w:p>
    <w:tbl>
      <w:tblPr>
        <w:tblW w:w="9069" w:type="dxa"/>
        <w:tblInd w:w="30" w:type="dxa"/>
        <w:tblLayout w:type="fixed"/>
        <w:tblCellMar>
          <w:left w:w="30" w:type="dxa"/>
          <w:right w:w="30" w:type="dxa"/>
        </w:tblCellMar>
        <w:tblLook w:val="0000" w:firstRow="0" w:lastRow="0" w:firstColumn="0" w:lastColumn="0" w:noHBand="0" w:noVBand="0"/>
      </w:tblPr>
      <w:tblGrid>
        <w:gridCol w:w="6045"/>
        <w:gridCol w:w="1342"/>
        <w:gridCol w:w="1682"/>
      </w:tblGrid>
      <w:tr w:rsidR="00980409" w:rsidRPr="00EA404C" w14:paraId="6A8BA1C7" w14:textId="77777777" w:rsidTr="004B4536">
        <w:trPr>
          <w:trHeight w:val="113"/>
        </w:trPr>
        <w:tc>
          <w:tcPr>
            <w:tcW w:w="6045" w:type="dxa"/>
          </w:tcPr>
          <w:p w14:paraId="56A26735" w14:textId="20A8B3DD" w:rsidR="00980409" w:rsidRPr="00EA404C" w:rsidRDefault="00F142CB" w:rsidP="00F77D55">
            <w:pPr>
              <w:autoSpaceDE w:val="0"/>
              <w:autoSpaceDN w:val="0"/>
              <w:adjustRightInd w:val="0"/>
              <w:rPr>
                <w:sz w:val="14"/>
                <w:highlight w:val="cyan"/>
              </w:rPr>
            </w:pPr>
            <w:r>
              <w:rPr>
                <w:b/>
                <w:sz w:val="14"/>
                <w:szCs w:val="14"/>
              </w:rPr>
              <w:lastRenderedPageBreak/>
              <w:t xml:space="preserve">VII. </w:t>
            </w:r>
            <w:r w:rsidRPr="00D11DF0">
              <w:rPr>
                <w:b/>
                <w:sz w:val="14"/>
                <w:szCs w:val="14"/>
              </w:rPr>
              <w:t xml:space="preserve">PROFIT </w:t>
            </w:r>
            <w:r>
              <w:rPr>
                <w:b/>
                <w:sz w:val="14"/>
                <w:szCs w:val="14"/>
              </w:rPr>
              <w:t>DISTRIBUTION</w:t>
            </w:r>
            <w:r w:rsidRPr="00D11DF0">
              <w:rPr>
                <w:b/>
                <w:sz w:val="14"/>
                <w:szCs w:val="14"/>
              </w:rPr>
              <w:t xml:space="preserve"> STATEMENT</w:t>
            </w:r>
            <w:r w:rsidR="004B4536">
              <w:rPr>
                <w:b/>
                <w:sz w:val="14"/>
                <w:szCs w:val="14"/>
              </w:rPr>
              <w:t xml:space="preserve"> </w:t>
            </w:r>
            <w:r w:rsidRPr="00D11DF0">
              <w:rPr>
                <w:b/>
                <w:sz w:val="14"/>
              </w:rPr>
              <w:t>(*)</w:t>
            </w:r>
          </w:p>
        </w:tc>
        <w:tc>
          <w:tcPr>
            <w:tcW w:w="1342" w:type="dxa"/>
            <w:tcBorders>
              <w:bottom w:val="single" w:sz="4" w:space="0" w:color="auto"/>
            </w:tcBorders>
            <w:vAlign w:val="bottom"/>
          </w:tcPr>
          <w:p w14:paraId="2F5E38CB" w14:textId="5FDC86F2" w:rsidR="00980409" w:rsidRPr="00EA404C" w:rsidRDefault="00980409" w:rsidP="00F77D55">
            <w:pPr>
              <w:autoSpaceDE w:val="0"/>
              <w:autoSpaceDN w:val="0"/>
              <w:adjustRightInd w:val="0"/>
              <w:jc w:val="right"/>
              <w:rPr>
                <w:b/>
                <w:sz w:val="14"/>
                <w:highlight w:val="cyan"/>
              </w:rPr>
            </w:pPr>
            <w:r>
              <w:rPr>
                <w:b/>
                <w:sz w:val="14"/>
              </w:rPr>
              <w:t>31 December 2015</w:t>
            </w:r>
            <w:r w:rsidR="00FB16AB">
              <w:rPr>
                <w:b/>
                <w:sz w:val="14"/>
              </w:rPr>
              <w:t xml:space="preserve"> </w:t>
            </w:r>
            <w:r w:rsidRPr="00F15456">
              <w:rPr>
                <w:b/>
                <w:sz w:val="14"/>
                <w:vertAlign w:val="superscript"/>
              </w:rPr>
              <w:t>(*</w:t>
            </w:r>
            <w:r w:rsidR="004B4536">
              <w:rPr>
                <w:b/>
                <w:sz w:val="14"/>
                <w:vertAlign w:val="superscript"/>
              </w:rPr>
              <w:t>*</w:t>
            </w:r>
            <w:r w:rsidRPr="00F15456">
              <w:rPr>
                <w:b/>
                <w:sz w:val="14"/>
                <w:vertAlign w:val="superscript"/>
              </w:rPr>
              <w:t>)</w:t>
            </w:r>
          </w:p>
        </w:tc>
        <w:tc>
          <w:tcPr>
            <w:tcW w:w="1682" w:type="dxa"/>
            <w:tcBorders>
              <w:bottom w:val="single" w:sz="4" w:space="0" w:color="auto"/>
            </w:tcBorders>
            <w:vAlign w:val="bottom"/>
          </w:tcPr>
          <w:p w14:paraId="4CB583BC" w14:textId="2A31D1E6" w:rsidR="00980409" w:rsidRPr="00EA404C" w:rsidRDefault="00980409" w:rsidP="00F77D55">
            <w:pPr>
              <w:autoSpaceDE w:val="0"/>
              <w:autoSpaceDN w:val="0"/>
              <w:adjustRightInd w:val="0"/>
              <w:jc w:val="right"/>
              <w:rPr>
                <w:b/>
                <w:sz w:val="14"/>
                <w:highlight w:val="cyan"/>
              </w:rPr>
            </w:pPr>
            <w:r>
              <w:rPr>
                <w:b/>
                <w:sz w:val="14"/>
              </w:rPr>
              <w:t>31 December 2014</w:t>
            </w:r>
            <w:r w:rsidR="00FB16AB">
              <w:rPr>
                <w:b/>
                <w:sz w:val="14"/>
              </w:rPr>
              <w:t xml:space="preserve"> </w:t>
            </w:r>
            <w:r w:rsidRPr="00F15456">
              <w:rPr>
                <w:b/>
                <w:sz w:val="14"/>
                <w:vertAlign w:val="superscript"/>
              </w:rPr>
              <w:t>(**</w:t>
            </w:r>
            <w:r w:rsidR="004B4536">
              <w:rPr>
                <w:b/>
                <w:sz w:val="14"/>
                <w:vertAlign w:val="superscript"/>
              </w:rPr>
              <w:t>*</w:t>
            </w:r>
            <w:r w:rsidRPr="00F15456">
              <w:rPr>
                <w:b/>
                <w:sz w:val="14"/>
                <w:vertAlign w:val="superscript"/>
              </w:rPr>
              <w:t>)</w:t>
            </w:r>
          </w:p>
        </w:tc>
      </w:tr>
      <w:tr w:rsidR="00980409" w:rsidRPr="00EA404C" w14:paraId="615CD626" w14:textId="77777777" w:rsidTr="004B4536">
        <w:trPr>
          <w:trHeight w:val="113"/>
        </w:trPr>
        <w:tc>
          <w:tcPr>
            <w:tcW w:w="6045" w:type="dxa"/>
            <w:vAlign w:val="bottom"/>
          </w:tcPr>
          <w:p w14:paraId="09CA515F" w14:textId="77777777" w:rsidR="00980409" w:rsidRPr="00EA404C" w:rsidRDefault="00980409" w:rsidP="00F77D55">
            <w:pPr>
              <w:autoSpaceDE w:val="0"/>
              <w:autoSpaceDN w:val="0"/>
              <w:adjustRightInd w:val="0"/>
              <w:rPr>
                <w:b/>
                <w:sz w:val="14"/>
                <w:highlight w:val="cyan"/>
              </w:rPr>
            </w:pPr>
          </w:p>
        </w:tc>
        <w:tc>
          <w:tcPr>
            <w:tcW w:w="1342" w:type="dxa"/>
            <w:tcBorders>
              <w:top w:val="single" w:sz="4" w:space="0" w:color="auto"/>
            </w:tcBorders>
            <w:vAlign w:val="bottom"/>
          </w:tcPr>
          <w:p w14:paraId="31A06994" w14:textId="77777777" w:rsidR="00980409" w:rsidRPr="00EA404C" w:rsidRDefault="00980409" w:rsidP="00F77D55">
            <w:pPr>
              <w:tabs>
                <w:tab w:val="decimal" w:pos="1050"/>
              </w:tabs>
              <w:autoSpaceDE w:val="0"/>
              <w:autoSpaceDN w:val="0"/>
              <w:adjustRightInd w:val="0"/>
              <w:jc w:val="right"/>
              <w:rPr>
                <w:b/>
                <w:sz w:val="14"/>
                <w:highlight w:val="cyan"/>
              </w:rPr>
            </w:pPr>
          </w:p>
        </w:tc>
        <w:tc>
          <w:tcPr>
            <w:tcW w:w="1682" w:type="dxa"/>
            <w:tcBorders>
              <w:top w:val="single" w:sz="4" w:space="0" w:color="auto"/>
            </w:tcBorders>
            <w:vAlign w:val="bottom"/>
          </w:tcPr>
          <w:p w14:paraId="71FF11DA" w14:textId="77777777" w:rsidR="00980409" w:rsidRPr="00EA404C" w:rsidRDefault="00980409" w:rsidP="00F77D55">
            <w:pPr>
              <w:tabs>
                <w:tab w:val="decimal" w:pos="1050"/>
              </w:tabs>
              <w:autoSpaceDE w:val="0"/>
              <w:autoSpaceDN w:val="0"/>
              <w:adjustRightInd w:val="0"/>
              <w:jc w:val="right"/>
              <w:rPr>
                <w:b/>
                <w:sz w:val="14"/>
                <w:highlight w:val="cyan"/>
              </w:rPr>
            </w:pPr>
          </w:p>
        </w:tc>
      </w:tr>
      <w:tr w:rsidR="00980409" w:rsidRPr="00EA404C" w14:paraId="0465171C" w14:textId="77777777" w:rsidTr="004B4536">
        <w:trPr>
          <w:trHeight w:val="113"/>
        </w:trPr>
        <w:tc>
          <w:tcPr>
            <w:tcW w:w="6045" w:type="dxa"/>
            <w:vAlign w:val="bottom"/>
          </w:tcPr>
          <w:p w14:paraId="419056AE" w14:textId="77777777" w:rsidR="00980409" w:rsidRPr="00EA404C" w:rsidRDefault="00980409" w:rsidP="00F77D55">
            <w:pPr>
              <w:autoSpaceDE w:val="0"/>
              <w:autoSpaceDN w:val="0"/>
              <w:adjustRightInd w:val="0"/>
              <w:rPr>
                <w:b/>
                <w:sz w:val="14"/>
                <w:highlight w:val="cyan"/>
              </w:rPr>
            </w:pPr>
            <w:r w:rsidRPr="007C0BA6">
              <w:rPr>
                <w:b/>
                <w:sz w:val="14"/>
              </w:rPr>
              <w:t>I.</w:t>
            </w:r>
            <w:r w:rsidRPr="007C0BA6">
              <w:t xml:space="preserve"> </w:t>
            </w:r>
            <w:r w:rsidRPr="007C0BA6">
              <w:rPr>
                <w:b/>
                <w:sz w:val="14"/>
              </w:rPr>
              <w:t>DISTRIBUTION OF CURRENT YEAR  INCOME</w:t>
            </w:r>
          </w:p>
        </w:tc>
        <w:tc>
          <w:tcPr>
            <w:tcW w:w="1342" w:type="dxa"/>
            <w:vAlign w:val="bottom"/>
          </w:tcPr>
          <w:p w14:paraId="595A3A1C" w14:textId="77777777" w:rsidR="00980409" w:rsidRPr="00EA404C" w:rsidRDefault="00980409" w:rsidP="00F77D55">
            <w:pPr>
              <w:tabs>
                <w:tab w:val="decimal" w:pos="1050"/>
              </w:tabs>
              <w:autoSpaceDE w:val="0"/>
              <w:autoSpaceDN w:val="0"/>
              <w:adjustRightInd w:val="0"/>
              <w:jc w:val="right"/>
              <w:rPr>
                <w:b/>
                <w:sz w:val="14"/>
                <w:highlight w:val="cyan"/>
              </w:rPr>
            </w:pPr>
          </w:p>
        </w:tc>
        <w:tc>
          <w:tcPr>
            <w:tcW w:w="1682" w:type="dxa"/>
            <w:vAlign w:val="bottom"/>
          </w:tcPr>
          <w:p w14:paraId="75742966" w14:textId="77777777" w:rsidR="00980409" w:rsidRPr="00EA404C" w:rsidRDefault="00980409" w:rsidP="00F77D55">
            <w:pPr>
              <w:tabs>
                <w:tab w:val="decimal" w:pos="1050"/>
              </w:tabs>
              <w:autoSpaceDE w:val="0"/>
              <w:autoSpaceDN w:val="0"/>
              <w:adjustRightInd w:val="0"/>
              <w:jc w:val="right"/>
              <w:rPr>
                <w:b/>
                <w:sz w:val="14"/>
                <w:highlight w:val="cyan"/>
              </w:rPr>
            </w:pPr>
          </w:p>
        </w:tc>
      </w:tr>
      <w:tr w:rsidR="00980409" w:rsidRPr="00EA404C" w14:paraId="0C404BF8" w14:textId="77777777" w:rsidTr="004B4536">
        <w:trPr>
          <w:trHeight w:val="113"/>
        </w:trPr>
        <w:tc>
          <w:tcPr>
            <w:tcW w:w="6045" w:type="dxa"/>
            <w:vAlign w:val="bottom"/>
          </w:tcPr>
          <w:p w14:paraId="353433C3" w14:textId="77777777" w:rsidR="00980409" w:rsidRPr="00EA404C" w:rsidRDefault="00980409" w:rsidP="00F77D55">
            <w:pPr>
              <w:autoSpaceDE w:val="0"/>
              <w:autoSpaceDN w:val="0"/>
              <w:adjustRightInd w:val="0"/>
              <w:rPr>
                <w:b/>
                <w:sz w:val="14"/>
                <w:highlight w:val="cyan"/>
              </w:rPr>
            </w:pPr>
          </w:p>
        </w:tc>
        <w:tc>
          <w:tcPr>
            <w:tcW w:w="1342" w:type="dxa"/>
            <w:vAlign w:val="bottom"/>
          </w:tcPr>
          <w:p w14:paraId="2EB28839" w14:textId="77777777" w:rsidR="00980409" w:rsidRPr="00EA404C" w:rsidRDefault="00980409" w:rsidP="00F77D55">
            <w:pPr>
              <w:tabs>
                <w:tab w:val="decimal" w:pos="1050"/>
              </w:tabs>
              <w:autoSpaceDE w:val="0"/>
              <w:autoSpaceDN w:val="0"/>
              <w:adjustRightInd w:val="0"/>
              <w:jc w:val="right"/>
              <w:rPr>
                <w:b/>
                <w:sz w:val="14"/>
                <w:highlight w:val="cyan"/>
              </w:rPr>
            </w:pPr>
          </w:p>
        </w:tc>
        <w:tc>
          <w:tcPr>
            <w:tcW w:w="1682" w:type="dxa"/>
            <w:vAlign w:val="bottom"/>
          </w:tcPr>
          <w:p w14:paraId="1220B805" w14:textId="77777777" w:rsidR="00980409" w:rsidRPr="00EA404C" w:rsidRDefault="00980409" w:rsidP="00F77D55">
            <w:pPr>
              <w:tabs>
                <w:tab w:val="decimal" w:pos="1050"/>
              </w:tabs>
              <w:autoSpaceDE w:val="0"/>
              <w:autoSpaceDN w:val="0"/>
              <w:adjustRightInd w:val="0"/>
              <w:jc w:val="right"/>
              <w:rPr>
                <w:b/>
                <w:sz w:val="14"/>
                <w:highlight w:val="cyan"/>
              </w:rPr>
            </w:pPr>
          </w:p>
        </w:tc>
      </w:tr>
      <w:tr w:rsidR="00224102" w:rsidRPr="002E0729" w14:paraId="51A48653" w14:textId="77777777" w:rsidTr="004B4536">
        <w:trPr>
          <w:trHeight w:val="113"/>
        </w:trPr>
        <w:tc>
          <w:tcPr>
            <w:tcW w:w="6045" w:type="dxa"/>
            <w:vAlign w:val="bottom"/>
          </w:tcPr>
          <w:p w14:paraId="19AF2CC2" w14:textId="77777777" w:rsidR="00224102" w:rsidRPr="00EA404C" w:rsidRDefault="00224102" w:rsidP="00224102">
            <w:pPr>
              <w:tabs>
                <w:tab w:val="left" w:pos="720"/>
              </w:tabs>
              <w:autoSpaceDE w:val="0"/>
              <w:autoSpaceDN w:val="0"/>
              <w:adjustRightInd w:val="0"/>
              <w:ind w:left="396" w:hanging="396"/>
              <w:rPr>
                <w:sz w:val="14"/>
                <w:highlight w:val="cyan"/>
              </w:rPr>
            </w:pPr>
            <w:r w:rsidRPr="007C0BA6">
              <w:rPr>
                <w:sz w:val="14"/>
              </w:rPr>
              <w:t>1.1.    CURRENT YEAR INCOME</w:t>
            </w:r>
          </w:p>
        </w:tc>
        <w:tc>
          <w:tcPr>
            <w:tcW w:w="1342" w:type="dxa"/>
            <w:vAlign w:val="center"/>
          </w:tcPr>
          <w:p w14:paraId="7054C2C6" w14:textId="25AB87CB" w:rsidR="00224102" w:rsidRPr="002E0729" w:rsidRDefault="00224102" w:rsidP="00224102">
            <w:pPr>
              <w:jc w:val="right"/>
              <w:rPr>
                <w:color w:val="000000"/>
                <w:sz w:val="14"/>
                <w:szCs w:val="14"/>
              </w:rPr>
            </w:pPr>
            <w:r>
              <w:rPr>
                <w:color w:val="000000"/>
                <w:sz w:val="14"/>
                <w:szCs w:val="14"/>
              </w:rPr>
              <w:t>85</w:t>
            </w:r>
            <w:r w:rsidRPr="007D4CD9">
              <w:rPr>
                <w:color w:val="000000"/>
                <w:sz w:val="14"/>
                <w:szCs w:val="14"/>
              </w:rPr>
              <w:t>,</w:t>
            </w:r>
            <w:r>
              <w:rPr>
                <w:color w:val="000000"/>
                <w:sz w:val="14"/>
                <w:szCs w:val="14"/>
              </w:rPr>
              <w:t>109</w:t>
            </w:r>
          </w:p>
        </w:tc>
        <w:tc>
          <w:tcPr>
            <w:tcW w:w="1682" w:type="dxa"/>
            <w:vAlign w:val="center"/>
          </w:tcPr>
          <w:p w14:paraId="7EC11DE3" w14:textId="5509E0D2" w:rsidR="00224102" w:rsidRPr="002E0729" w:rsidRDefault="00224102" w:rsidP="00224102">
            <w:pPr>
              <w:jc w:val="right"/>
              <w:rPr>
                <w:color w:val="000000"/>
                <w:sz w:val="14"/>
                <w:szCs w:val="14"/>
              </w:rPr>
            </w:pPr>
            <w:r w:rsidRPr="007D4CD9">
              <w:rPr>
                <w:color w:val="000000"/>
                <w:sz w:val="14"/>
                <w:szCs w:val="14"/>
              </w:rPr>
              <w:t>156,540</w:t>
            </w:r>
          </w:p>
        </w:tc>
      </w:tr>
      <w:tr w:rsidR="00224102" w:rsidRPr="002E0729" w14:paraId="0945A259" w14:textId="77777777" w:rsidTr="004B4536">
        <w:trPr>
          <w:trHeight w:val="113"/>
        </w:trPr>
        <w:tc>
          <w:tcPr>
            <w:tcW w:w="6045" w:type="dxa"/>
            <w:vAlign w:val="bottom"/>
          </w:tcPr>
          <w:p w14:paraId="2FC1F78B" w14:textId="512D8FC3" w:rsidR="00224102" w:rsidRPr="00EA404C" w:rsidRDefault="00224102" w:rsidP="004B4536">
            <w:pPr>
              <w:autoSpaceDE w:val="0"/>
              <w:autoSpaceDN w:val="0"/>
              <w:adjustRightInd w:val="0"/>
              <w:rPr>
                <w:sz w:val="14"/>
                <w:highlight w:val="cyan"/>
              </w:rPr>
            </w:pPr>
            <w:r w:rsidRPr="007C0BA6">
              <w:rPr>
                <w:sz w:val="14"/>
              </w:rPr>
              <w:t>1.2.    TAXES AND DUTIES PAYABLE (-)</w:t>
            </w:r>
          </w:p>
        </w:tc>
        <w:tc>
          <w:tcPr>
            <w:tcW w:w="1342" w:type="dxa"/>
            <w:vAlign w:val="center"/>
          </w:tcPr>
          <w:p w14:paraId="3F425DB9" w14:textId="3CA3B73B" w:rsidR="00224102" w:rsidRPr="002E0729" w:rsidRDefault="00224102" w:rsidP="00224102">
            <w:pPr>
              <w:jc w:val="right"/>
              <w:rPr>
                <w:color w:val="000000"/>
                <w:sz w:val="14"/>
                <w:szCs w:val="14"/>
              </w:rPr>
            </w:pPr>
            <w:r w:rsidRPr="007D4CD9">
              <w:rPr>
                <w:color w:val="000000"/>
                <w:sz w:val="14"/>
                <w:szCs w:val="14"/>
              </w:rPr>
              <w:t>25,598</w:t>
            </w:r>
          </w:p>
        </w:tc>
        <w:tc>
          <w:tcPr>
            <w:tcW w:w="1682" w:type="dxa"/>
            <w:vAlign w:val="center"/>
          </w:tcPr>
          <w:p w14:paraId="70124DF5" w14:textId="2D884F3E" w:rsidR="00224102" w:rsidRPr="002E0729" w:rsidRDefault="00224102" w:rsidP="00224102">
            <w:pPr>
              <w:jc w:val="right"/>
              <w:rPr>
                <w:color w:val="000000"/>
                <w:sz w:val="14"/>
                <w:szCs w:val="14"/>
              </w:rPr>
            </w:pPr>
            <w:r>
              <w:rPr>
                <w:color w:val="000000"/>
                <w:sz w:val="14"/>
                <w:szCs w:val="14"/>
              </w:rPr>
              <w:t>32,098</w:t>
            </w:r>
          </w:p>
        </w:tc>
      </w:tr>
      <w:tr w:rsidR="00224102" w:rsidRPr="002E0729" w14:paraId="119B7A1D" w14:textId="77777777" w:rsidTr="004B4536">
        <w:trPr>
          <w:trHeight w:val="113"/>
        </w:trPr>
        <w:tc>
          <w:tcPr>
            <w:tcW w:w="6045" w:type="dxa"/>
            <w:vAlign w:val="bottom"/>
          </w:tcPr>
          <w:p w14:paraId="4F71EB00" w14:textId="77777777" w:rsidR="00224102" w:rsidRPr="00EA404C" w:rsidRDefault="00224102" w:rsidP="00224102">
            <w:pPr>
              <w:autoSpaceDE w:val="0"/>
              <w:autoSpaceDN w:val="0"/>
              <w:adjustRightInd w:val="0"/>
              <w:rPr>
                <w:sz w:val="14"/>
                <w:highlight w:val="cyan"/>
              </w:rPr>
            </w:pPr>
            <w:r w:rsidRPr="007C0BA6">
              <w:rPr>
                <w:sz w:val="14"/>
              </w:rPr>
              <w:t>1.2.1. Corporate Tax (Income tax)</w:t>
            </w:r>
          </w:p>
        </w:tc>
        <w:tc>
          <w:tcPr>
            <w:tcW w:w="1342" w:type="dxa"/>
            <w:vAlign w:val="center"/>
          </w:tcPr>
          <w:p w14:paraId="60514174" w14:textId="0B8F8239" w:rsidR="00224102" w:rsidRPr="002E0729" w:rsidRDefault="00224102" w:rsidP="00224102">
            <w:pPr>
              <w:jc w:val="right"/>
              <w:rPr>
                <w:color w:val="000000"/>
                <w:sz w:val="14"/>
                <w:szCs w:val="14"/>
              </w:rPr>
            </w:pPr>
            <w:r w:rsidRPr="007D4CD9">
              <w:rPr>
                <w:color w:val="000000"/>
                <w:sz w:val="14"/>
                <w:szCs w:val="14"/>
              </w:rPr>
              <w:t>24,664</w:t>
            </w:r>
          </w:p>
        </w:tc>
        <w:tc>
          <w:tcPr>
            <w:tcW w:w="1682" w:type="dxa"/>
            <w:vAlign w:val="center"/>
          </w:tcPr>
          <w:p w14:paraId="2848F2E8" w14:textId="1FB19D36" w:rsidR="00224102" w:rsidRPr="002E0729" w:rsidRDefault="00224102" w:rsidP="00224102">
            <w:pPr>
              <w:jc w:val="right"/>
              <w:rPr>
                <w:color w:val="000000"/>
                <w:sz w:val="14"/>
                <w:szCs w:val="14"/>
              </w:rPr>
            </w:pPr>
            <w:r>
              <w:rPr>
                <w:color w:val="000000"/>
                <w:sz w:val="14"/>
                <w:szCs w:val="14"/>
              </w:rPr>
              <w:t>32,098</w:t>
            </w:r>
          </w:p>
        </w:tc>
      </w:tr>
      <w:tr w:rsidR="00224102" w:rsidRPr="002E0729" w14:paraId="37F59701" w14:textId="77777777" w:rsidTr="004B4536">
        <w:trPr>
          <w:trHeight w:val="113"/>
        </w:trPr>
        <w:tc>
          <w:tcPr>
            <w:tcW w:w="6045" w:type="dxa"/>
            <w:vAlign w:val="bottom"/>
          </w:tcPr>
          <w:p w14:paraId="14A8571F" w14:textId="77777777" w:rsidR="00224102" w:rsidRPr="00EA404C" w:rsidRDefault="00224102" w:rsidP="00224102">
            <w:pPr>
              <w:autoSpaceDE w:val="0"/>
              <w:autoSpaceDN w:val="0"/>
              <w:adjustRightInd w:val="0"/>
              <w:rPr>
                <w:sz w:val="14"/>
                <w:highlight w:val="cyan"/>
              </w:rPr>
            </w:pPr>
            <w:r w:rsidRPr="007C0BA6">
              <w:rPr>
                <w:sz w:val="14"/>
              </w:rPr>
              <w:t>1.2.2. Income withholding tax</w:t>
            </w:r>
          </w:p>
        </w:tc>
        <w:tc>
          <w:tcPr>
            <w:tcW w:w="1342" w:type="dxa"/>
            <w:vAlign w:val="center"/>
          </w:tcPr>
          <w:p w14:paraId="1922F6AA" w14:textId="30A1516C" w:rsidR="00224102" w:rsidRPr="002E0729" w:rsidRDefault="00224102" w:rsidP="00224102">
            <w:pPr>
              <w:jc w:val="right"/>
              <w:rPr>
                <w:color w:val="000000"/>
                <w:sz w:val="14"/>
                <w:szCs w:val="14"/>
              </w:rPr>
            </w:pPr>
            <w:r w:rsidRPr="007D4CD9">
              <w:rPr>
                <w:color w:val="000000"/>
                <w:sz w:val="14"/>
                <w:szCs w:val="14"/>
              </w:rPr>
              <w:t>-</w:t>
            </w:r>
          </w:p>
        </w:tc>
        <w:tc>
          <w:tcPr>
            <w:tcW w:w="1682" w:type="dxa"/>
            <w:vAlign w:val="center"/>
          </w:tcPr>
          <w:p w14:paraId="6D5D8649" w14:textId="7A000D3A" w:rsidR="00224102" w:rsidRPr="002E0729" w:rsidRDefault="00224102" w:rsidP="00224102">
            <w:pPr>
              <w:jc w:val="right"/>
              <w:rPr>
                <w:color w:val="000000"/>
                <w:sz w:val="14"/>
                <w:szCs w:val="14"/>
              </w:rPr>
            </w:pPr>
            <w:r w:rsidRPr="007D4CD9">
              <w:rPr>
                <w:color w:val="000000"/>
                <w:sz w:val="14"/>
                <w:szCs w:val="14"/>
              </w:rPr>
              <w:t>-</w:t>
            </w:r>
          </w:p>
        </w:tc>
      </w:tr>
      <w:tr w:rsidR="00224102" w:rsidRPr="002E0729" w14:paraId="03A0ABBB" w14:textId="77777777" w:rsidTr="004B4536">
        <w:trPr>
          <w:trHeight w:val="113"/>
        </w:trPr>
        <w:tc>
          <w:tcPr>
            <w:tcW w:w="6045" w:type="dxa"/>
            <w:vAlign w:val="bottom"/>
          </w:tcPr>
          <w:p w14:paraId="63AEDE33" w14:textId="49534749" w:rsidR="00224102" w:rsidRPr="00EA404C" w:rsidRDefault="00224102" w:rsidP="00EA67B9">
            <w:pPr>
              <w:autoSpaceDE w:val="0"/>
              <w:autoSpaceDN w:val="0"/>
              <w:adjustRightInd w:val="0"/>
              <w:rPr>
                <w:sz w:val="14"/>
                <w:highlight w:val="cyan"/>
              </w:rPr>
            </w:pPr>
            <w:r w:rsidRPr="007C0BA6">
              <w:rPr>
                <w:sz w:val="14"/>
              </w:rPr>
              <w:t>1.2.3. Other taxes and duties</w:t>
            </w:r>
          </w:p>
        </w:tc>
        <w:tc>
          <w:tcPr>
            <w:tcW w:w="1342" w:type="dxa"/>
            <w:vAlign w:val="center"/>
          </w:tcPr>
          <w:p w14:paraId="468F2664" w14:textId="300D1ABF" w:rsidR="00224102" w:rsidRPr="002E0729" w:rsidRDefault="00224102" w:rsidP="00224102">
            <w:pPr>
              <w:jc w:val="right"/>
              <w:rPr>
                <w:color w:val="000000"/>
                <w:sz w:val="14"/>
                <w:szCs w:val="14"/>
              </w:rPr>
            </w:pPr>
            <w:r w:rsidRPr="007D4CD9">
              <w:rPr>
                <w:color w:val="000000"/>
                <w:sz w:val="14"/>
                <w:szCs w:val="14"/>
              </w:rPr>
              <w:t>934</w:t>
            </w:r>
          </w:p>
        </w:tc>
        <w:tc>
          <w:tcPr>
            <w:tcW w:w="1682" w:type="dxa"/>
            <w:vAlign w:val="center"/>
          </w:tcPr>
          <w:p w14:paraId="7CC09853" w14:textId="6E4A19B9" w:rsidR="00224102" w:rsidRPr="002E0729" w:rsidRDefault="00224102" w:rsidP="00224102">
            <w:pPr>
              <w:jc w:val="right"/>
              <w:rPr>
                <w:color w:val="000000"/>
                <w:sz w:val="14"/>
                <w:szCs w:val="14"/>
              </w:rPr>
            </w:pPr>
            <w:r>
              <w:rPr>
                <w:color w:val="000000"/>
                <w:sz w:val="14"/>
                <w:szCs w:val="14"/>
              </w:rPr>
              <w:t>-</w:t>
            </w:r>
          </w:p>
        </w:tc>
      </w:tr>
      <w:tr w:rsidR="00224102" w:rsidRPr="002E0729" w14:paraId="25603999" w14:textId="77777777" w:rsidTr="004B4536">
        <w:trPr>
          <w:trHeight w:val="113"/>
        </w:trPr>
        <w:tc>
          <w:tcPr>
            <w:tcW w:w="6045" w:type="dxa"/>
            <w:vAlign w:val="bottom"/>
          </w:tcPr>
          <w:p w14:paraId="45E8D6E9" w14:textId="77777777" w:rsidR="00224102" w:rsidRPr="00EA404C" w:rsidRDefault="00224102" w:rsidP="00224102">
            <w:pPr>
              <w:autoSpaceDE w:val="0"/>
              <w:autoSpaceDN w:val="0"/>
              <w:adjustRightInd w:val="0"/>
              <w:rPr>
                <w:sz w:val="14"/>
                <w:highlight w:val="cyan"/>
              </w:rPr>
            </w:pPr>
          </w:p>
        </w:tc>
        <w:tc>
          <w:tcPr>
            <w:tcW w:w="1342" w:type="dxa"/>
            <w:vAlign w:val="bottom"/>
          </w:tcPr>
          <w:p w14:paraId="10898868" w14:textId="77777777" w:rsidR="00224102" w:rsidRPr="002E0729" w:rsidRDefault="00224102" w:rsidP="00224102">
            <w:pPr>
              <w:autoSpaceDE w:val="0"/>
              <w:autoSpaceDN w:val="0"/>
              <w:adjustRightInd w:val="0"/>
              <w:jc w:val="right"/>
              <w:rPr>
                <w:sz w:val="14"/>
              </w:rPr>
            </w:pPr>
          </w:p>
        </w:tc>
        <w:tc>
          <w:tcPr>
            <w:tcW w:w="1682" w:type="dxa"/>
            <w:vAlign w:val="bottom"/>
          </w:tcPr>
          <w:p w14:paraId="0742B681" w14:textId="77777777" w:rsidR="00224102" w:rsidRPr="002E0729" w:rsidRDefault="00224102" w:rsidP="00224102">
            <w:pPr>
              <w:autoSpaceDE w:val="0"/>
              <w:autoSpaceDN w:val="0"/>
              <w:adjustRightInd w:val="0"/>
              <w:jc w:val="right"/>
              <w:rPr>
                <w:sz w:val="14"/>
              </w:rPr>
            </w:pPr>
          </w:p>
        </w:tc>
      </w:tr>
      <w:tr w:rsidR="00224102" w:rsidRPr="002E0729" w14:paraId="191E924D" w14:textId="77777777" w:rsidTr="004B4536">
        <w:trPr>
          <w:trHeight w:val="113"/>
        </w:trPr>
        <w:tc>
          <w:tcPr>
            <w:tcW w:w="6045" w:type="dxa"/>
            <w:vAlign w:val="bottom"/>
          </w:tcPr>
          <w:p w14:paraId="778E680A" w14:textId="77777777" w:rsidR="00224102" w:rsidRPr="00EA404C" w:rsidRDefault="00224102" w:rsidP="00224102">
            <w:pPr>
              <w:autoSpaceDE w:val="0"/>
              <w:autoSpaceDN w:val="0"/>
              <w:adjustRightInd w:val="0"/>
              <w:rPr>
                <w:b/>
                <w:sz w:val="14"/>
                <w:highlight w:val="cyan"/>
              </w:rPr>
            </w:pPr>
            <w:r w:rsidRPr="007C0BA6">
              <w:rPr>
                <w:b/>
                <w:sz w:val="14"/>
              </w:rPr>
              <w:t>A. NET INCOME FOR THE YEAR (1.1-1.2)</w:t>
            </w:r>
          </w:p>
        </w:tc>
        <w:tc>
          <w:tcPr>
            <w:tcW w:w="1342" w:type="dxa"/>
            <w:vAlign w:val="bottom"/>
          </w:tcPr>
          <w:p w14:paraId="2D3A3016" w14:textId="7423A74E" w:rsidR="00224102" w:rsidRPr="002E0729" w:rsidRDefault="00224102" w:rsidP="00224102">
            <w:pPr>
              <w:jc w:val="right"/>
              <w:rPr>
                <w:rFonts w:eastAsia="Arial Unicode MS"/>
                <w:b/>
                <w:bCs/>
                <w:sz w:val="14"/>
                <w:szCs w:val="14"/>
              </w:rPr>
            </w:pPr>
            <w:r>
              <w:rPr>
                <w:rFonts w:eastAsia="Arial Unicode MS"/>
                <w:b/>
                <w:bCs/>
                <w:sz w:val="14"/>
                <w:szCs w:val="14"/>
              </w:rPr>
              <w:t>59</w:t>
            </w:r>
            <w:r w:rsidRPr="007D4CD9">
              <w:rPr>
                <w:rFonts w:eastAsia="Arial Unicode MS"/>
                <w:b/>
                <w:bCs/>
                <w:sz w:val="14"/>
                <w:szCs w:val="14"/>
              </w:rPr>
              <w:t>,</w:t>
            </w:r>
            <w:r>
              <w:rPr>
                <w:rFonts w:eastAsia="Arial Unicode MS"/>
                <w:b/>
                <w:bCs/>
                <w:sz w:val="14"/>
                <w:szCs w:val="14"/>
              </w:rPr>
              <w:t>511</w:t>
            </w:r>
          </w:p>
        </w:tc>
        <w:tc>
          <w:tcPr>
            <w:tcW w:w="1682" w:type="dxa"/>
            <w:vAlign w:val="bottom"/>
          </w:tcPr>
          <w:p w14:paraId="2C537790" w14:textId="36D08255" w:rsidR="00224102" w:rsidRPr="002E0729" w:rsidRDefault="00224102" w:rsidP="00224102">
            <w:pPr>
              <w:jc w:val="right"/>
              <w:rPr>
                <w:rFonts w:eastAsia="Arial Unicode MS"/>
                <w:b/>
                <w:bCs/>
                <w:sz w:val="14"/>
                <w:szCs w:val="14"/>
              </w:rPr>
            </w:pPr>
            <w:r>
              <w:rPr>
                <w:rFonts w:eastAsia="Arial Unicode MS"/>
                <w:b/>
                <w:bCs/>
                <w:sz w:val="14"/>
                <w:szCs w:val="14"/>
              </w:rPr>
              <w:t>124,442</w:t>
            </w:r>
          </w:p>
        </w:tc>
      </w:tr>
      <w:tr w:rsidR="00224102" w:rsidRPr="002E0729" w14:paraId="732A80FE" w14:textId="77777777" w:rsidTr="004B4536">
        <w:trPr>
          <w:trHeight w:val="113"/>
        </w:trPr>
        <w:tc>
          <w:tcPr>
            <w:tcW w:w="6045" w:type="dxa"/>
            <w:vAlign w:val="bottom"/>
          </w:tcPr>
          <w:p w14:paraId="44DF5649" w14:textId="77777777" w:rsidR="00224102" w:rsidRPr="00EA404C" w:rsidRDefault="00224102" w:rsidP="00224102">
            <w:pPr>
              <w:autoSpaceDE w:val="0"/>
              <w:autoSpaceDN w:val="0"/>
              <w:adjustRightInd w:val="0"/>
              <w:rPr>
                <w:b/>
                <w:sz w:val="14"/>
                <w:highlight w:val="cyan"/>
              </w:rPr>
            </w:pPr>
          </w:p>
        </w:tc>
        <w:tc>
          <w:tcPr>
            <w:tcW w:w="1342" w:type="dxa"/>
            <w:vAlign w:val="bottom"/>
          </w:tcPr>
          <w:p w14:paraId="46FDFED8" w14:textId="77777777" w:rsidR="00224102" w:rsidRPr="002E0729" w:rsidRDefault="00224102" w:rsidP="00224102">
            <w:pPr>
              <w:autoSpaceDE w:val="0"/>
              <w:autoSpaceDN w:val="0"/>
              <w:adjustRightInd w:val="0"/>
              <w:jc w:val="right"/>
              <w:rPr>
                <w:b/>
                <w:sz w:val="14"/>
              </w:rPr>
            </w:pPr>
          </w:p>
        </w:tc>
        <w:tc>
          <w:tcPr>
            <w:tcW w:w="1682" w:type="dxa"/>
            <w:vAlign w:val="bottom"/>
          </w:tcPr>
          <w:p w14:paraId="19267385" w14:textId="77777777" w:rsidR="00224102" w:rsidRPr="002E0729" w:rsidRDefault="00224102" w:rsidP="00224102">
            <w:pPr>
              <w:autoSpaceDE w:val="0"/>
              <w:autoSpaceDN w:val="0"/>
              <w:adjustRightInd w:val="0"/>
              <w:jc w:val="right"/>
              <w:rPr>
                <w:b/>
                <w:sz w:val="14"/>
              </w:rPr>
            </w:pPr>
          </w:p>
        </w:tc>
      </w:tr>
      <w:tr w:rsidR="00224102" w:rsidRPr="002E0729" w14:paraId="0833AF82" w14:textId="77777777" w:rsidTr="004B4536">
        <w:trPr>
          <w:trHeight w:val="113"/>
        </w:trPr>
        <w:tc>
          <w:tcPr>
            <w:tcW w:w="6045" w:type="dxa"/>
            <w:vAlign w:val="bottom"/>
          </w:tcPr>
          <w:p w14:paraId="40A37BA5" w14:textId="77777777" w:rsidR="00224102" w:rsidRPr="00EA404C" w:rsidRDefault="00224102" w:rsidP="00224102">
            <w:pPr>
              <w:autoSpaceDE w:val="0"/>
              <w:autoSpaceDN w:val="0"/>
              <w:adjustRightInd w:val="0"/>
              <w:rPr>
                <w:sz w:val="14"/>
                <w:highlight w:val="cyan"/>
              </w:rPr>
            </w:pPr>
            <w:r w:rsidRPr="007C0BA6">
              <w:rPr>
                <w:sz w:val="14"/>
              </w:rPr>
              <w:t>1.3.    PRIOR YEAR LOSSES (-)</w:t>
            </w:r>
          </w:p>
        </w:tc>
        <w:tc>
          <w:tcPr>
            <w:tcW w:w="1342" w:type="dxa"/>
            <w:vAlign w:val="bottom"/>
          </w:tcPr>
          <w:p w14:paraId="5ACB4E05" w14:textId="389B86AE" w:rsidR="00224102" w:rsidRPr="002E0729" w:rsidRDefault="00224102" w:rsidP="00224102">
            <w:pPr>
              <w:autoSpaceDE w:val="0"/>
              <w:autoSpaceDN w:val="0"/>
              <w:adjustRightInd w:val="0"/>
              <w:jc w:val="right"/>
              <w:rPr>
                <w:b/>
                <w:sz w:val="14"/>
              </w:rPr>
            </w:pPr>
            <w:r w:rsidRPr="007D4CD9">
              <w:rPr>
                <w:b/>
                <w:sz w:val="14"/>
              </w:rPr>
              <w:t>-</w:t>
            </w:r>
          </w:p>
        </w:tc>
        <w:tc>
          <w:tcPr>
            <w:tcW w:w="1682" w:type="dxa"/>
            <w:shd w:val="clear" w:color="auto" w:fill="auto"/>
            <w:vAlign w:val="bottom"/>
          </w:tcPr>
          <w:p w14:paraId="447CF0EE" w14:textId="7A8574C2" w:rsidR="00224102" w:rsidRPr="002E0729" w:rsidRDefault="00224102" w:rsidP="00224102">
            <w:pPr>
              <w:autoSpaceDE w:val="0"/>
              <w:autoSpaceDN w:val="0"/>
              <w:adjustRightInd w:val="0"/>
              <w:jc w:val="right"/>
              <w:rPr>
                <w:b/>
                <w:sz w:val="14"/>
              </w:rPr>
            </w:pPr>
            <w:r w:rsidRPr="007D4CD9">
              <w:rPr>
                <w:b/>
                <w:sz w:val="14"/>
              </w:rPr>
              <w:t>-</w:t>
            </w:r>
          </w:p>
        </w:tc>
      </w:tr>
      <w:tr w:rsidR="00224102" w:rsidRPr="002E0729" w14:paraId="5FFFA4F2" w14:textId="77777777" w:rsidTr="004B4536">
        <w:trPr>
          <w:trHeight w:val="113"/>
        </w:trPr>
        <w:tc>
          <w:tcPr>
            <w:tcW w:w="6045" w:type="dxa"/>
            <w:vAlign w:val="bottom"/>
          </w:tcPr>
          <w:p w14:paraId="41E0C7EC" w14:textId="77777777" w:rsidR="00224102" w:rsidRPr="00EA404C" w:rsidRDefault="00224102" w:rsidP="00224102">
            <w:pPr>
              <w:autoSpaceDE w:val="0"/>
              <w:autoSpaceDN w:val="0"/>
              <w:adjustRightInd w:val="0"/>
              <w:rPr>
                <w:sz w:val="14"/>
                <w:highlight w:val="cyan"/>
              </w:rPr>
            </w:pPr>
            <w:r w:rsidRPr="007C0BA6">
              <w:rPr>
                <w:sz w:val="14"/>
              </w:rPr>
              <w:t>1.4.    FIRST  LEGAL  RESERVES (-)</w:t>
            </w:r>
          </w:p>
        </w:tc>
        <w:tc>
          <w:tcPr>
            <w:tcW w:w="1342" w:type="dxa"/>
            <w:vAlign w:val="bottom"/>
          </w:tcPr>
          <w:p w14:paraId="67627D54" w14:textId="7BD2969D" w:rsidR="00224102" w:rsidRPr="002E0729" w:rsidRDefault="00224102" w:rsidP="00224102">
            <w:pPr>
              <w:autoSpaceDE w:val="0"/>
              <w:autoSpaceDN w:val="0"/>
              <w:adjustRightInd w:val="0"/>
              <w:jc w:val="right"/>
              <w:rPr>
                <w:sz w:val="14"/>
              </w:rPr>
            </w:pPr>
            <w:r>
              <w:rPr>
                <w:sz w:val="14"/>
              </w:rPr>
              <w:t>-</w:t>
            </w:r>
          </w:p>
        </w:tc>
        <w:tc>
          <w:tcPr>
            <w:tcW w:w="1682" w:type="dxa"/>
            <w:shd w:val="clear" w:color="auto" w:fill="auto"/>
            <w:vAlign w:val="bottom"/>
          </w:tcPr>
          <w:p w14:paraId="486EDC20" w14:textId="7B9AE803" w:rsidR="00224102" w:rsidRPr="002E0729" w:rsidRDefault="00224102" w:rsidP="00224102">
            <w:pPr>
              <w:autoSpaceDE w:val="0"/>
              <w:autoSpaceDN w:val="0"/>
              <w:adjustRightInd w:val="0"/>
              <w:jc w:val="right"/>
              <w:rPr>
                <w:sz w:val="14"/>
              </w:rPr>
            </w:pPr>
            <w:r>
              <w:rPr>
                <w:sz w:val="14"/>
              </w:rPr>
              <w:t>6,222</w:t>
            </w:r>
          </w:p>
        </w:tc>
      </w:tr>
      <w:tr w:rsidR="00224102" w:rsidRPr="002E0729" w14:paraId="213E8DA9" w14:textId="77777777" w:rsidTr="004B4536">
        <w:trPr>
          <w:trHeight w:val="113"/>
        </w:trPr>
        <w:tc>
          <w:tcPr>
            <w:tcW w:w="6045" w:type="dxa"/>
            <w:vAlign w:val="bottom"/>
          </w:tcPr>
          <w:p w14:paraId="6D67B246" w14:textId="77777777" w:rsidR="00224102" w:rsidRPr="00EA404C" w:rsidRDefault="00224102" w:rsidP="00224102">
            <w:pPr>
              <w:autoSpaceDE w:val="0"/>
              <w:autoSpaceDN w:val="0"/>
              <w:adjustRightInd w:val="0"/>
              <w:rPr>
                <w:sz w:val="14"/>
                <w:highlight w:val="cyan"/>
              </w:rPr>
            </w:pPr>
            <w:r w:rsidRPr="007C0BA6">
              <w:rPr>
                <w:sz w:val="14"/>
              </w:rPr>
              <w:t>1.5.    OTHER STATUTORY RESERVES (-)</w:t>
            </w:r>
          </w:p>
        </w:tc>
        <w:tc>
          <w:tcPr>
            <w:tcW w:w="1342" w:type="dxa"/>
            <w:vAlign w:val="bottom"/>
          </w:tcPr>
          <w:p w14:paraId="3E2F29E1" w14:textId="6E0F33EC" w:rsidR="00224102" w:rsidRPr="002E0729" w:rsidRDefault="00224102" w:rsidP="00224102">
            <w:pPr>
              <w:jc w:val="right"/>
              <w:rPr>
                <w:rFonts w:eastAsia="Arial Unicode MS"/>
                <w:sz w:val="14"/>
                <w:szCs w:val="14"/>
              </w:rPr>
            </w:pPr>
            <w:r w:rsidRPr="007D4CD9">
              <w:rPr>
                <w:rFonts w:eastAsia="Arial Unicode MS"/>
                <w:sz w:val="14"/>
                <w:szCs w:val="14"/>
              </w:rPr>
              <w:t>-</w:t>
            </w:r>
          </w:p>
        </w:tc>
        <w:tc>
          <w:tcPr>
            <w:tcW w:w="1682" w:type="dxa"/>
            <w:shd w:val="clear" w:color="auto" w:fill="auto"/>
            <w:vAlign w:val="bottom"/>
          </w:tcPr>
          <w:p w14:paraId="32667FB8" w14:textId="564F691E" w:rsidR="00224102" w:rsidRPr="002E0729" w:rsidRDefault="00224102" w:rsidP="00224102">
            <w:pPr>
              <w:jc w:val="right"/>
              <w:rPr>
                <w:rFonts w:eastAsia="Arial Unicode MS"/>
                <w:sz w:val="14"/>
                <w:szCs w:val="14"/>
              </w:rPr>
            </w:pPr>
            <w:r w:rsidRPr="007D4CD9">
              <w:rPr>
                <w:rFonts w:eastAsia="Arial Unicode MS"/>
                <w:sz w:val="14"/>
                <w:szCs w:val="14"/>
              </w:rPr>
              <w:t>-</w:t>
            </w:r>
          </w:p>
        </w:tc>
      </w:tr>
      <w:tr w:rsidR="00224102" w:rsidRPr="002E0729" w14:paraId="72A60E58" w14:textId="77777777" w:rsidTr="004B4536">
        <w:trPr>
          <w:trHeight w:val="113"/>
        </w:trPr>
        <w:tc>
          <w:tcPr>
            <w:tcW w:w="6045" w:type="dxa"/>
            <w:vAlign w:val="bottom"/>
          </w:tcPr>
          <w:p w14:paraId="77CD61BC" w14:textId="77777777" w:rsidR="00224102" w:rsidRPr="00EA404C" w:rsidRDefault="00224102" w:rsidP="00224102">
            <w:pPr>
              <w:autoSpaceDE w:val="0"/>
              <w:autoSpaceDN w:val="0"/>
              <w:adjustRightInd w:val="0"/>
              <w:rPr>
                <w:b/>
                <w:sz w:val="14"/>
                <w:highlight w:val="cyan"/>
              </w:rPr>
            </w:pPr>
          </w:p>
        </w:tc>
        <w:tc>
          <w:tcPr>
            <w:tcW w:w="1342" w:type="dxa"/>
            <w:vAlign w:val="bottom"/>
          </w:tcPr>
          <w:p w14:paraId="1D2B653B" w14:textId="77777777" w:rsidR="00224102" w:rsidRPr="002E0729" w:rsidRDefault="00224102" w:rsidP="00224102">
            <w:pPr>
              <w:tabs>
                <w:tab w:val="decimal" w:pos="1050"/>
              </w:tabs>
              <w:autoSpaceDE w:val="0"/>
              <w:autoSpaceDN w:val="0"/>
              <w:adjustRightInd w:val="0"/>
              <w:jc w:val="right"/>
              <w:rPr>
                <w:b/>
                <w:sz w:val="14"/>
              </w:rPr>
            </w:pPr>
          </w:p>
        </w:tc>
        <w:tc>
          <w:tcPr>
            <w:tcW w:w="1682" w:type="dxa"/>
            <w:shd w:val="clear" w:color="auto" w:fill="auto"/>
            <w:vAlign w:val="bottom"/>
          </w:tcPr>
          <w:p w14:paraId="24D74CB2" w14:textId="77777777" w:rsidR="00224102" w:rsidRPr="002E0729" w:rsidRDefault="00224102" w:rsidP="00224102">
            <w:pPr>
              <w:tabs>
                <w:tab w:val="decimal" w:pos="1050"/>
              </w:tabs>
              <w:autoSpaceDE w:val="0"/>
              <w:autoSpaceDN w:val="0"/>
              <w:adjustRightInd w:val="0"/>
              <w:jc w:val="right"/>
              <w:rPr>
                <w:b/>
                <w:sz w:val="14"/>
              </w:rPr>
            </w:pPr>
          </w:p>
        </w:tc>
      </w:tr>
      <w:tr w:rsidR="00224102" w:rsidRPr="002E0729" w14:paraId="31BC7CA5" w14:textId="77777777" w:rsidTr="004B4536">
        <w:trPr>
          <w:trHeight w:val="113"/>
        </w:trPr>
        <w:tc>
          <w:tcPr>
            <w:tcW w:w="6045" w:type="dxa"/>
            <w:vAlign w:val="bottom"/>
          </w:tcPr>
          <w:p w14:paraId="67814352" w14:textId="116D1419" w:rsidR="00224102" w:rsidRPr="00EA404C" w:rsidRDefault="00224102" w:rsidP="00224102">
            <w:pPr>
              <w:autoSpaceDE w:val="0"/>
              <w:autoSpaceDN w:val="0"/>
              <w:adjustRightInd w:val="0"/>
              <w:rPr>
                <w:b/>
                <w:sz w:val="14"/>
                <w:highlight w:val="cyan"/>
              </w:rPr>
            </w:pPr>
            <w:r w:rsidRPr="007C0BA6">
              <w:rPr>
                <w:b/>
                <w:sz w:val="14"/>
              </w:rPr>
              <w:t>B. NET INCOME AVAILABLE FOR DI</w:t>
            </w:r>
            <w:r>
              <w:rPr>
                <w:b/>
                <w:sz w:val="14"/>
              </w:rPr>
              <w:t>STRIBUTION [(A-(1.3+1.4+1.5)]</w:t>
            </w:r>
            <w:r w:rsidR="004B4536">
              <w:rPr>
                <w:b/>
                <w:sz w:val="14"/>
              </w:rPr>
              <w:t xml:space="preserve"> </w:t>
            </w:r>
            <w:r w:rsidRPr="00F15456">
              <w:rPr>
                <w:b/>
                <w:sz w:val="14"/>
                <w:vertAlign w:val="superscript"/>
              </w:rPr>
              <w:t>(*)</w:t>
            </w:r>
          </w:p>
        </w:tc>
        <w:tc>
          <w:tcPr>
            <w:tcW w:w="1342" w:type="dxa"/>
            <w:vAlign w:val="bottom"/>
          </w:tcPr>
          <w:p w14:paraId="65009CA5" w14:textId="4030A426" w:rsidR="00224102" w:rsidRPr="002E0729" w:rsidRDefault="00224102" w:rsidP="00224102">
            <w:pPr>
              <w:jc w:val="right"/>
              <w:rPr>
                <w:rFonts w:eastAsia="Arial Unicode MS"/>
                <w:b/>
                <w:bCs/>
                <w:sz w:val="14"/>
                <w:szCs w:val="14"/>
              </w:rPr>
            </w:pPr>
            <w:r>
              <w:rPr>
                <w:rFonts w:eastAsia="Arial Unicode MS"/>
                <w:b/>
                <w:bCs/>
                <w:sz w:val="14"/>
                <w:szCs w:val="14"/>
              </w:rPr>
              <w:t>59,511</w:t>
            </w:r>
          </w:p>
        </w:tc>
        <w:tc>
          <w:tcPr>
            <w:tcW w:w="1682" w:type="dxa"/>
            <w:shd w:val="clear" w:color="auto" w:fill="auto"/>
            <w:vAlign w:val="bottom"/>
          </w:tcPr>
          <w:p w14:paraId="63864972" w14:textId="5EDC96B0" w:rsidR="00224102" w:rsidRPr="002E0729" w:rsidRDefault="00224102" w:rsidP="00224102">
            <w:pPr>
              <w:jc w:val="right"/>
              <w:rPr>
                <w:rFonts w:eastAsia="Arial Unicode MS"/>
                <w:b/>
                <w:bCs/>
                <w:sz w:val="14"/>
                <w:szCs w:val="14"/>
              </w:rPr>
            </w:pPr>
            <w:r>
              <w:rPr>
                <w:rFonts w:eastAsia="Arial Unicode MS"/>
                <w:b/>
                <w:bCs/>
                <w:sz w:val="14"/>
                <w:szCs w:val="14"/>
              </w:rPr>
              <w:t>118,219</w:t>
            </w:r>
          </w:p>
        </w:tc>
      </w:tr>
      <w:tr w:rsidR="00224102" w:rsidRPr="002E0729" w14:paraId="34F39818" w14:textId="77777777" w:rsidTr="004B4536">
        <w:trPr>
          <w:trHeight w:val="113"/>
        </w:trPr>
        <w:tc>
          <w:tcPr>
            <w:tcW w:w="6045" w:type="dxa"/>
            <w:vAlign w:val="bottom"/>
          </w:tcPr>
          <w:p w14:paraId="2706A4CD" w14:textId="77777777" w:rsidR="00224102" w:rsidRPr="00EA404C" w:rsidRDefault="00224102" w:rsidP="00224102">
            <w:pPr>
              <w:autoSpaceDE w:val="0"/>
              <w:autoSpaceDN w:val="0"/>
              <w:adjustRightInd w:val="0"/>
              <w:rPr>
                <w:b/>
                <w:sz w:val="14"/>
                <w:highlight w:val="cyan"/>
              </w:rPr>
            </w:pPr>
          </w:p>
        </w:tc>
        <w:tc>
          <w:tcPr>
            <w:tcW w:w="1342" w:type="dxa"/>
            <w:vAlign w:val="bottom"/>
          </w:tcPr>
          <w:p w14:paraId="44ED24AA" w14:textId="77777777" w:rsidR="00224102" w:rsidRPr="002E0729" w:rsidRDefault="00224102" w:rsidP="00224102">
            <w:pPr>
              <w:autoSpaceDE w:val="0"/>
              <w:autoSpaceDN w:val="0"/>
              <w:adjustRightInd w:val="0"/>
              <w:jc w:val="right"/>
              <w:rPr>
                <w:b/>
                <w:sz w:val="14"/>
              </w:rPr>
            </w:pPr>
          </w:p>
        </w:tc>
        <w:tc>
          <w:tcPr>
            <w:tcW w:w="1682" w:type="dxa"/>
            <w:shd w:val="clear" w:color="auto" w:fill="auto"/>
            <w:vAlign w:val="bottom"/>
          </w:tcPr>
          <w:p w14:paraId="58A45F94" w14:textId="77777777" w:rsidR="00224102" w:rsidRPr="002E0729" w:rsidRDefault="00224102" w:rsidP="00224102">
            <w:pPr>
              <w:autoSpaceDE w:val="0"/>
              <w:autoSpaceDN w:val="0"/>
              <w:adjustRightInd w:val="0"/>
              <w:jc w:val="right"/>
              <w:rPr>
                <w:b/>
                <w:sz w:val="14"/>
              </w:rPr>
            </w:pPr>
          </w:p>
        </w:tc>
      </w:tr>
      <w:tr w:rsidR="00224102" w:rsidRPr="002E0729" w14:paraId="29E4510C" w14:textId="77777777" w:rsidTr="004B4536">
        <w:trPr>
          <w:trHeight w:val="113"/>
        </w:trPr>
        <w:tc>
          <w:tcPr>
            <w:tcW w:w="6045" w:type="dxa"/>
            <w:vAlign w:val="bottom"/>
          </w:tcPr>
          <w:p w14:paraId="001E96B5" w14:textId="77777777" w:rsidR="00224102" w:rsidRPr="00EA404C" w:rsidRDefault="00224102" w:rsidP="00224102">
            <w:pPr>
              <w:autoSpaceDE w:val="0"/>
              <w:autoSpaceDN w:val="0"/>
              <w:adjustRightInd w:val="0"/>
              <w:rPr>
                <w:sz w:val="14"/>
                <w:highlight w:val="cyan"/>
              </w:rPr>
            </w:pPr>
            <w:r w:rsidRPr="007C0BA6">
              <w:rPr>
                <w:sz w:val="14"/>
              </w:rPr>
              <w:t>1.6.    FIRST DIVIDEND TO SHAREHOLDERS (-)</w:t>
            </w:r>
          </w:p>
        </w:tc>
        <w:tc>
          <w:tcPr>
            <w:tcW w:w="1342" w:type="dxa"/>
            <w:vAlign w:val="bottom"/>
          </w:tcPr>
          <w:p w14:paraId="308843E5" w14:textId="0B79B757"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76A16D20" w14:textId="2B20C674"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4A4A22A3" w14:textId="77777777" w:rsidTr="004B4536">
        <w:trPr>
          <w:trHeight w:val="113"/>
        </w:trPr>
        <w:tc>
          <w:tcPr>
            <w:tcW w:w="6045" w:type="dxa"/>
            <w:vAlign w:val="bottom"/>
          </w:tcPr>
          <w:p w14:paraId="37060CE8" w14:textId="77777777" w:rsidR="00224102" w:rsidRPr="00EA404C" w:rsidRDefault="00224102" w:rsidP="00224102">
            <w:pPr>
              <w:autoSpaceDE w:val="0"/>
              <w:autoSpaceDN w:val="0"/>
              <w:adjustRightInd w:val="0"/>
              <w:rPr>
                <w:sz w:val="14"/>
                <w:highlight w:val="cyan"/>
              </w:rPr>
            </w:pPr>
            <w:r w:rsidRPr="007C0BA6">
              <w:rPr>
                <w:sz w:val="14"/>
              </w:rPr>
              <w:t>1.6.1. To Owners of Ordinary Shares</w:t>
            </w:r>
          </w:p>
        </w:tc>
        <w:tc>
          <w:tcPr>
            <w:tcW w:w="1342" w:type="dxa"/>
            <w:vAlign w:val="bottom"/>
          </w:tcPr>
          <w:p w14:paraId="7E29E80F" w14:textId="3658A7B7"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28B8881A" w14:textId="2B638432"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67589791" w14:textId="77777777" w:rsidTr="004B4536">
        <w:trPr>
          <w:trHeight w:val="113"/>
        </w:trPr>
        <w:tc>
          <w:tcPr>
            <w:tcW w:w="6045" w:type="dxa"/>
            <w:vAlign w:val="bottom"/>
          </w:tcPr>
          <w:p w14:paraId="191FB536" w14:textId="77777777" w:rsidR="00224102" w:rsidRPr="00EA404C" w:rsidRDefault="00224102" w:rsidP="00224102">
            <w:pPr>
              <w:autoSpaceDE w:val="0"/>
              <w:autoSpaceDN w:val="0"/>
              <w:adjustRightInd w:val="0"/>
              <w:rPr>
                <w:sz w:val="14"/>
                <w:highlight w:val="cyan"/>
              </w:rPr>
            </w:pPr>
            <w:r w:rsidRPr="007C0BA6">
              <w:rPr>
                <w:sz w:val="14"/>
              </w:rPr>
              <w:t>1.6.2. To Owners of Privileged Shares</w:t>
            </w:r>
          </w:p>
        </w:tc>
        <w:tc>
          <w:tcPr>
            <w:tcW w:w="1342" w:type="dxa"/>
            <w:vAlign w:val="bottom"/>
          </w:tcPr>
          <w:p w14:paraId="7077A4F7" w14:textId="78E46FE5"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39009B75" w14:textId="5FFD3257"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5DF6189B" w14:textId="77777777" w:rsidTr="004B4536">
        <w:trPr>
          <w:trHeight w:val="113"/>
        </w:trPr>
        <w:tc>
          <w:tcPr>
            <w:tcW w:w="6045" w:type="dxa"/>
            <w:vAlign w:val="bottom"/>
          </w:tcPr>
          <w:p w14:paraId="4CBB7B21" w14:textId="77777777" w:rsidR="00224102" w:rsidRPr="00EA404C" w:rsidRDefault="00224102" w:rsidP="00224102">
            <w:pPr>
              <w:autoSpaceDE w:val="0"/>
              <w:autoSpaceDN w:val="0"/>
              <w:adjustRightInd w:val="0"/>
              <w:rPr>
                <w:sz w:val="14"/>
                <w:highlight w:val="cyan"/>
              </w:rPr>
            </w:pPr>
            <w:r w:rsidRPr="007C0BA6">
              <w:rPr>
                <w:sz w:val="14"/>
              </w:rPr>
              <w:t>1.6.3. To Owners of Preferred Shares</w:t>
            </w:r>
          </w:p>
        </w:tc>
        <w:tc>
          <w:tcPr>
            <w:tcW w:w="1342" w:type="dxa"/>
            <w:vAlign w:val="bottom"/>
          </w:tcPr>
          <w:p w14:paraId="4F6F7894" w14:textId="64CB21A3"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0271AC92" w14:textId="3B95CC65"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13A8BEC0" w14:textId="77777777" w:rsidTr="004B4536">
        <w:trPr>
          <w:trHeight w:val="113"/>
        </w:trPr>
        <w:tc>
          <w:tcPr>
            <w:tcW w:w="6045" w:type="dxa"/>
            <w:vAlign w:val="bottom"/>
          </w:tcPr>
          <w:p w14:paraId="451ADBA9" w14:textId="77777777" w:rsidR="00224102" w:rsidRPr="00EA404C" w:rsidRDefault="00224102" w:rsidP="00224102">
            <w:pPr>
              <w:autoSpaceDE w:val="0"/>
              <w:autoSpaceDN w:val="0"/>
              <w:adjustRightInd w:val="0"/>
              <w:rPr>
                <w:sz w:val="14"/>
                <w:highlight w:val="cyan"/>
              </w:rPr>
            </w:pPr>
            <w:r w:rsidRPr="007C0BA6">
              <w:rPr>
                <w:sz w:val="14"/>
              </w:rPr>
              <w:t>1.6.4. To Profit Sharing Bonds</w:t>
            </w:r>
          </w:p>
        </w:tc>
        <w:tc>
          <w:tcPr>
            <w:tcW w:w="1342" w:type="dxa"/>
            <w:vAlign w:val="bottom"/>
          </w:tcPr>
          <w:p w14:paraId="3269BBB6" w14:textId="2E65FCAB"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1D52FC60" w14:textId="68F61A6B"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3EB1E906" w14:textId="77777777" w:rsidTr="004B4536">
        <w:trPr>
          <w:trHeight w:val="113"/>
        </w:trPr>
        <w:tc>
          <w:tcPr>
            <w:tcW w:w="6045" w:type="dxa"/>
            <w:vAlign w:val="bottom"/>
          </w:tcPr>
          <w:p w14:paraId="4BAA975A" w14:textId="77777777" w:rsidR="00224102" w:rsidRPr="00EA404C" w:rsidRDefault="00224102" w:rsidP="00224102">
            <w:pPr>
              <w:autoSpaceDE w:val="0"/>
              <w:autoSpaceDN w:val="0"/>
              <w:adjustRightInd w:val="0"/>
              <w:rPr>
                <w:sz w:val="14"/>
                <w:highlight w:val="cyan"/>
              </w:rPr>
            </w:pPr>
            <w:r w:rsidRPr="007C0BA6">
              <w:rPr>
                <w:sz w:val="14"/>
              </w:rPr>
              <w:t>1.6.5. To Holders of Profit and Loss Sharing Certificates</w:t>
            </w:r>
          </w:p>
        </w:tc>
        <w:tc>
          <w:tcPr>
            <w:tcW w:w="1342" w:type="dxa"/>
            <w:vAlign w:val="bottom"/>
          </w:tcPr>
          <w:p w14:paraId="6A7D3C19" w14:textId="43CEA00A"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61777434" w14:textId="3BF7D0D5"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7CE70466" w14:textId="77777777" w:rsidTr="004B4536">
        <w:trPr>
          <w:trHeight w:val="113"/>
        </w:trPr>
        <w:tc>
          <w:tcPr>
            <w:tcW w:w="6045" w:type="dxa"/>
            <w:vAlign w:val="bottom"/>
          </w:tcPr>
          <w:p w14:paraId="4A4567DE" w14:textId="77777777" w:rsidR="00224102" w:rsidRPr="00EA404C" w:rsidRDefault="00224102" w:rsidP="00224102">
            <w:pPr>
              <w:autoSpaceDE w:val="0"/>
              <w:autoSpaceDN w:val="0"/>
              <w:adjustRightInd w:val="0"/>
              <w:rPr>
                <w:sz w:val="14"/>
                <w:highlight w:val="cyan"/>
              </w:rPr>
            </w:pPr>
            <w:r w:rsidRPr="007C0BA6">
              <w:rPr>
                <w:sz w:val="14"/>
              </w:rPr>
              <w:t>1.7.    DIVIDENDS TO PERSONNEL (-)</w:t>
            </w:r>
          </w:p>
        </w:tc>
        <w:tc>
          <w:tcPr>
            <w:tcW w:w="1342" w:type="dxa"/>
            <w:vAlign w:val="bottom"/>
          </w:tcPr>
          <w:p w14:paraId="63AE7D92" w14:textId="5B00C845"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381446A5" w14:textId="27455CD0"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3DE816C9" w14:textId="77777777" w:rsidTr="004B4536">
        <w:trPr>
          <w:trHeight w:val="113"/>
        </w:trPr>
        <w:tc>
          <w:tcPr>
            <w:tcW w:w="6045" w:type="dxa"/>
            <w:vAlign w:val="bottom"/>
          </w:tcPr>
          <w:p w14:paraId="45A0C2CD" w14:textId="77777777" w:rsidR="00224102" w:rsidRPr="00EA404C" w:rsidRDefault="00224102" w:rsidP="00224102">
            <w:pPr>
              <w:autoSpaceDE w:val="0"/>
              <w:autoSpaceDN w:val="0"/>
              <w:adjustRightInd w:val="0"/>
              <w:rPr>
                <w:sz w:val="14"/>
                <w:highlight w:val="cyan"/>
              </w:rPr>
            </w:pPr>
            <w:r w:rsidRPr="007C0BA6">
              <w:rPr>
                <w:sz w:val="14"/>
              </w:rPr>
              <w:t>1.8.    DIVIDENDS TO BOARD OF DIRECTORS (-)</w:t>
            </w:r>
          </w:p>
        </w:tc>
        <w:tc>
          <w:tcPr>
            <w:tcW w:w="1342" w:type="dxa"/>
            <w:vAlign w:val="bottom"/>
          </w:tcPr>
          <w:p w14:paraId="435E1527" w14:textId="2C70C52F"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0B5E5B7A" w14:textId="04CD743D"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0B23CE4A" w14:textId="77777777" w:rsidTr="004B4536">
        <w:trPr>
          <w:trHeight w:val="113"/>
        </w:trPr>
        <w:tc>
          <w:tcPr>
            <w:tcW w:w="6045" w:type="dxa"/>
            <w:vAlign w:val="bottom"/>
          </w:tcPr>
          <w:p w14:paraId="0BBEF118" w14:textId="77777777" w:rsidR="00224102" w:rsidRPr="00EA404C" w:rsidRDefault="00224102" w:rsidP="00224102">
            <w:pPr>
              <w:autoSpaceDE w:val="0"/>
              <w:autoSpaceDN w:val="0"/>
              <w:adjustRightInd w:val="0"/>
              <w:rPr>
                <w:sz w:val="14"/>
                <w:highlight w:val="cyan"/>
              </w:rPr>
            </w:pPr>
            <w:r w:rsidRPr="007C0BA6">
              <w:rPr>
                <w:sz w:val="14"/>
              </w:rPr>
              <w:t>1.9.    SECOND DIVIDEND TO SHAREHOLDERS (-)</w:t>
            </w:r>
          </w:p>
        </w:tc>
        <w:tc>
          <w:tcPr>
            <w:tcW w:w="1342" w:type="dxa"/>
            <w:vAlign w:val="bottom"/>
          </w:tcPr>
          <w:p w14:paraId="3733D18D" w14:textId="2E76FEF6"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59FAF207" w14:textId="2F792305"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55142E3E" w14:textId="77777777" w:rsidTr="004B4536">
        <w:trPr>
          <w:trHeight w:val="113"/>
        </w:trPr>
        <w:tc>
          <w:tcPr>
            <w:tcW w:w="6045" w:type="dxa"/>
            <w:vAlign w:val="bottom"/>
          </w:tcPr>
          <w:p w14:paraId="77AD94E4" w14:textId="77777777" w:rsidR="00224102" w:rsidRPr="00EA404C" w:rsidRDefault="00224102" w:rsidP="00224102">
            <w:pPr>
              <w:autoSpaceDE w:val="0"/>
              <w:autoSpaceDN w:val="0"/>
              <w:adjustRightInd w:val="0"/>
              <w:rPr>
                <w:sz w:val="14"/>
                <w:highlight w:val="cyan"/>
              </w:rPr>
            </w:pPr>
            <w:r w:rsidRPr="007C0BA6">
              <w:rPr>
                <w:sz w:val="14"/>
              </w:rPr>
              <w:t>1.9.1. To Owners of Ordinary Shares</w:t>
            </w:r>
          </w:p>
        </w:tc>
        <w:tc>
          <w:tcPr>
            <w:tcW w:w="1342" w:type="dxa"/>
            <w:vAlign w:val="bottom"/>
          </w:tcPr>
          <w:p w14:paraId="5935EEE1" w14:textId="44501F42"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051A17EA" w14:textId="3BC6F4EE"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15B2B9A1" w14:textId="77777777" w:rsidTr="004B4536">
        <w:trPr>
          <w:trHeight w:val="113"/>
        </w:trPr>
        <w:tc>
          <w:tcPr>
            <w:tcW w:w="6045" w:type="dxa"/>
            <w:vAlign w:val="bottom"/>
          </w:tcPr>
          <w:p w14:paraId="023EF03F" w14:textId="77777777" w:rsidR="00224102" w:rsidRPr="00EA404C" w:rsidRDefault="00224102" w:rsidP="00224102">
            <w:pPr>
              <w:autoSpaceDE w:val="0"/>
              <w:autoSpaceDN w:val="0"/>
              <w:adjustRightInd w:val="0"/>
              <w:rPr>
                <w:sz w:val="14"/>
                <w:highlight w:val="cyan"/>
              </w:rPr>
            </w:pPr>
            <w:r w:rsidRPr="007C0BA6">
              <w:rPr>
                <w:sz w:val="14"/>
              </w:rPr>
              <w:t>1.9.2. To Owners of Privileged Share</w:t>
            </w:r>
          </w:p>
        </w:tc>
        <w:tc>
          <w:tcPr>
            <w:tcW w:w="1342" w:type="dxa"/>
            <w:vAlign w:val="bottom"/>
          </w:tcPr>
          <w:p w14:paraId="43934DB2" w14:textId="091D8C84"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051870F9" w14:textId="34592D08"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12BE4DDE" w14:textId="77777777" w:rsidTr="004B4536">
        <w:trPr>
          <w:trHeight w:val="113"/>
        </w:trPr>
        <w:tc>
          <w:tcPr>
            <w:tcW w:w="6045" w:type="dxa"/>
            <w:vAlign w:val="bottom"/>
          </w:tcPr>
          <w:p w14:paraId="04881FAC" w14:textId="77777777" w:rsidR="00224102" w:rsidRPr="00EA404C" w:rsidRDefault="00224102" w:rsidP="00224102">
            <w:pPr>
              <w:autoSpaceDE w:val="0"/>
              <w:autoSpaceDN w:val="0"/>
              <w:adjustRightInd w:val="0"/>
              <w:rPr>
                <w:sz w:val="14"/>
                <w:highlight w:val="cyan"/>
              </w:rPr>
            </w:pPr>
            <w:r w:rsidRPr="007C0BA6">
              <w:rPr>
                <w:sz w:val="14"/>
              </w:rPr>
              <w:t>1.9.3. To Owners of Preferred Shares</w:t>
            </w:r>
          </w:p>
        </w:tc>
        <w:tc>
          <w:tcPr>
            <w:tcW w:w="1342" w:type="dxa"/>
            <w:vAlign w:val="bottom"/>
          </w:tcPr>
          <w:p w14:paraId="7533B637" w14:textId="063839DC"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5BE246AD" w14:textId="2BE4CB06"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15EACE5F" w14:textId="77777777" w:rsidTr="004B4536">
        <w:trPr>
          <w:trHeight w:val="113"/>
        </w:trPr>
        <w:tc>
          <w:tcPr>
            <w:tcW w:w="6045" w:type="dxa"/>
            <w:vAlign w:val="bottom"/>
          </w:tcPr>
          <w:p w14:paraId="29BDEA28" w14:textId="77777777" w:rsidR="00224102" w:rsidRPr="00EA404C" w:rsidRDefault="00224102" w:rsidP="00224102">
            <w:pPr>
              <w:autoSpaceDE w:val="0"/>
              <w:autoSpaceDN w:val="0"/>
              <w:adjustRightInd w:val="0"/>
              <w:rPr>
                <w:sz w:val="14"/>
                <w:highlight w:val="cyan"/>
              </w:rPr>
            </w:pPr>
            <w:r w:rsidRPr="007C0BA6">
              <w:rPr>
                <w:sz w:val="14"/>
              </w:rPr>
              <w:t>1.9.4. To Profit Sharing Bonds</w:t>
            </w:r>
          </w:p>
        </w:tc>
        <w:tc>
          <w:tcPr>
            <w:tcW w:w="1342" w:type="dxa"/>
            <w:vAlign w:val="bottom"/>
          </w:tcPr>
          <w:p w14:paraId="75CCD652" w14:textId="4C51540B"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4E47072B" w14:textId="3A4F443A"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4F3EE30D" w14:textId="77777777" w:rsidTr="004B4536">
        <w:trPr>
          <w:trHeight w:val="113"/>
        </w:trPr>
        <w:tc>
          <w:tcPr>
            <w:tcW w:w="6045" w:type="dxa"/>
            <w:vAlign w:val="bottom"/>
          </w:tcPr>
          <w:p w14:paraId="6BFBCC81" w14:textId="77777777" w:rsidR="00224102" w:rsidRPr="00EA404C" w:rsidRDefault="00224102" w:rsidP="00224102">
            <w:pPr>
              <w:autoSpaceDE w:val="0"/>
              <w:autoSpaceDN w:val="0"/>
              <w:adjustRightInd w:val="0"/>
              <w:rPr>
                <w:sz w:val="14"/>
                <w:highlight w:val="cyan"/>
              </w:rPr>
            </w:pPr>
            <w:r w:rsidRPr="007C0BA6">
              <w:rPr>
                <w:sz w:val="14"/>
              </w:rPr>
              <w:t>1.9.5. To Holders of Profit and Loss Sharing Certificates</w:t>
            </w:r>
          </w:p>
        </w:tc>
        <w:tc>
          <w:tcPr>
            <w:tcW w:w="1342" w:type="dxa"/>
            <w:vAlign w:val="bottom"/>
          </w:tcPr>
          <w:p w14:paraId="35E16155" w14:textId="2CC16FE6"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225FC615" w14:textId="40EF98DC"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35EA8561" w14:textId="77777777" w:rsidTr="004B4536">
        <w:trPr>
          <w:trHeight w:val="113"/>
        </w:trPr>
        <w:tc>
          <w:tcPr>
            <w:tcW w:w="6045" w:type="dxa"/>
            <w:vAlign w:val="bottom"/>
          </w:tcPr>
          <w:p w14:paraId="3A99583E" w14:textId="77777777" w:rsidR="00224102" w:rsidRPr="00EA404C" w:rsidRDefault="00224102" w:rsidP="00224102">
            <w:pPr>
              <w:autoSpaceDE w:val="0"/>
              <w:autoSpaceDN w:val="0"/>
              <w:adjustRightInd w:val="0"/>
              <w:rPr>
                <w:sz w:val="14"/>
                <w:highlight w:val="cyan"/>
              </w:rPr>
            </w:pPr>
            <w:r w:rsidRPr="007C0BA6">
              <w:rPr>
                <w:sz w:val="14"/>
              </w:rPr>
              <w:t>1.10. SECOND LEGAL RESERVES (-)</w:t>
            </w:r>
          </w:p>
        </w:tc>
        <w:tc>
          <w:tcPr>
            <w:tcW w:w="1342" w:type="dxa"/>
            <w:vAlign w:val="bottom"/>
          </w:tcPr>
          <w:p w14:paraId="27DB194B" w14:textId="10BADD8A"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1B6612C3" w14:textId="65DE5097"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3942A27F" w14:textId="77777777" w:rsidTr="004B4536">
        <w:trPr>
          <w:trHeight w:val="113"/>
        </w:trPr>
        <w:tc>
          <w:tcPr>
            <w:tcW w:w="6045" w:type="dxa"/>
            <w:vAlign w:val="bottom"/>
          </w:tcPr>
          <w:p w14:paraId="010B991B" w14:textId="77777777" w:rsidR="00224102" w:rsidRPr="00EA404C" w:rsidRDefault="00224102" w:rsidP="00224102">
            <w:pPr>
              <w:autoSpaceDE w:val="0"/>
              <w:autoSpaceDN w:val="0"/>
              <w:adjustRightInd w:val="0"/>
              <w:rPr>
                <w:sz w:val="14"/>
                <w:highlight w:val="cyan"/>
              </w:rPr>
            </w:pPr>
            <w:r w:rsidRPr="007C0BA6">
              <w:rPr>
                <w:sz w:val="14"/>
              </w:rPr>
              <w:t>1.11. STATUTORY RESERVES (-)</w:t>
            </w:r>
          </w:p>
        </w:tc>
        <w:tc>
          <w:tcPr>
            <w:tcW w:w="1342" w:type="dxa"/>
            <w:vAlign w:val="bottom"/>
          </w:tcPr>
          <w:p w14:paraId="34FD637F" w14:textId="0CCB6667"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77DECBF0" w14:textId="70AB5BEA"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77843DF8" w14:textId="77777777" w:rsidTr="004B4536">
        <w:trPr>
          <w:trHeight w:val="113"/>
        </w:trPr>
        <w:tc>
          <w:tcPr>
            <w:tcW w:w="6045" w:type="dxa"/>
            <w:vAlign w:val="bottom"/>
          </w:tcPr>
          <w:p w14:paraId="4C60BE5F" w14:textId="77777777" w:rsidR="00224102" w:rsidRPr="00EA404C" w:rsidRDefault="00224102" w:rsidP="00224102">
            <w:pPr>
              <w:autoSpaceDE w:val="0"/>
              <w:autoSpaceDN w:val="0"/>
              <w:adjustRightInd w:val="0"/>
              <w:rPr>
                <w:sz w:val="14"/>
                <w:highlight w:val="cyan"/>
              </w:rPr>
            </w:pPr>
            <w:r w:rsidRPr="007C0BA6">
              <w:rPr>
                <w:sz w:val="14"/>
              </w:rPr>
              <w:t xml:space="preserve">1.12. EXTRAORDINARY RESERVES </w:t>
            </w:r>
          </w:p>
        </w:tc>
        <w:tc>
          <w:tcPr>
            <w:tcW w:w="1342" w:type="dxa"/>
            <w:vAlign w:val="bottom"/>
          </w:tcPr>
          <w:p w14:paraId="3674335B" w14:textId="78F629F3" w:rsidR="00224102" w:rsidRPr="002E0729" w:rsidRDefault="00224102" w:rsidP="00224102">
            <w:pPr>
              <w:autoSpaceDE w:val="0"/>
              <w:autoSpaceDN w:val="0"/>
              <w:adjustRightInd w:val="0"/>
              <w:jc w:val="right"/>
              <w:rPr>
                <w:sz w:val="14"/>
              </w:rPr>
            </w:pPr>
            <w:r>
              <w:rPr>
                <w:sz w:val="14"/>
              </w:rPr>
              <w:t>-</w:t>
            </w:r>
          </w:p>
        </w:tc>
        <w:tc>
          <w:tcPr>
            <w:tcW w:w="1682" w:type="dxa"/>
            <w:vAlign w:val="bottom"/>
          </w:tcPr>
          <w:p w14:paraId="22E2F2AB" w14:textId="1FBE6365" w:rsidR="00224102" w:rsidRPr="002E0729" w:rsidRDefault="00224102" w:rsidP="00224102">
            <w:pPr>
              <w:autoSpaceDE w:val="0"/>
              <w:autoSpaceDN w:val="0"/>
              <w:adjustRightInd w:val="0"/>
              <w:jc w:val="right"/>
              <w:rPr>
                <w:sz w:val="14"/>
              </w:rPr>
            </w:pPr>
            <w:r>
              <w:rPr>
                <w:sz w:val="14"/>
              </w:rPr>
              <w:t>118,219</w:t>
            </w:r>
          </w:p>
        </w:tc>
      </w:tr>
      <w:tr w:rsidR="00224102" w:rsidRPr="002E0729" w14:paraId="4F1DC658" w14:textId="77777777" w:rsidTr="004B4536">
        <w:trPr>
          <w:trHeight w:val="113"/>
        </w:trPr>
        <w:tc>
          <w:tcPr>
            <w:tcW w:w="6045" w:type="dxa"/>
            <w:vAlign w:val="bottom"/>
          </w:tcPr>
          <w:p w14:paraId="274A479C" w14:textId="77777777" w:rsidR="00224102" w:rsidRPr="00EA404C" w:rsidRDefault="00224102" w:rsidP="00224102">
            <w:pPr>
              <w:autoSpaceDE w:val="0"/>
              <w:autoSpaceDN w:val="0"/>
              <w:adjustRightInd w:val="0"/>
              <w:rPr>
                <w:sz w:val="14"/>
                <w:highlight w:val="cyan"/>
              </w:rPr>
            </w:pPr>
            <w:r w:rsidRPr="007C0BA6">
              <w:rPr>
                <w:sz w:val="14"/>
              </w:rPr>
              <w:t>1.13. OTHER RESERVES</w:t>
            </w:r>
          </w:p>
        </w:tc>
        <w:tc>
          <w:tcPr>
            <w:tcW w:w="1342" w:type="dxa"/>
            <w:vAlign w:val="bottom"/>
          </w:tcPr>
          <w:p w14:paraId="67A9F087" w14:textId="73692409"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7D7D6878" w14:textId="256B1DA5"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159126FF" w14:textId="77777777" w:rsidTr="004B4536">
        <w:trPr>
          <w:trHeight w:val="113"/>
        </w:trPr>
        <w:tc>
          <w:tcPr>
            <w:tcW w:w="6045" w:type="dxa"/>
            <w:vAlign w:val="bottom"/>
          </w:tcPr>
          <w:p w14:paraId="444EF676" w14:textId="77777777" w:rsidR="00224102" w:rsidRPr="00EA404C" w:rsidRDefault="00224102" w:rsidP="00224102">
            <w:pPr>
              <w:autoSpaceDE w:val="0"/>
              <w:autoSpaceDN w:val="0"/>
              <w:adjustRightInd w:val="0"/>
              <w:rPr>
                <w:sz w:val="14"/>
                <w:highlight w:val="cyan"/>
              </w:rPr>
            </w:pPr>
            <w:r w:rsidRPr="007C0BA6">
              <w:rPr>
                <w:sz w:val="14"/>
              </w:rPr>
              <w:t>1.14. SPECIAL FUNDS</w:t>
            </w:r>
          </w:p>
        </w:tc>
        <w:tc>
          <w:tcPr>
            <w:tcW w:w="1342" w:type="dxa"/>
            <w:vAlign w:val="bottom"/>
          </w:tcPr>
          <w:p w14:paraId="2451D433" w14:textId="226E2A1E"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72467F5E" w14:textId="33B71C7C"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20E799FF" w14:textId="77777777" w:rsidTr="004B4536">
        <w:trPr>
          <w:trHeight w:val="113"/>
        </w:trPr>
        <w:tc>
          <w:tcPr>
            <w:tcW w:w="6045" w:type="dxa"/>
            <w:vAlign w:val="bottom"/>
          </w:tcPr>
          <w:p w14:paraId="7C91C333" w14:textId="77777777" w:rsidR="00224102" w:rsidRPr="00EA404C" w:rsidRDefault="00224102" w:rsidP="00224102">
            <w:pPr>
              <w:autoSpaceDE w:val="0"/>
              <w:autoSpaceDN w:val="0"/>
              <w:adjustRightInd w:val="0"/>
              <w:rPr>
                <w:sz w:val="14"/>
                <w:highlight w:val="cyan"/>
              </w:rPr>
            </w:pPr>
          </w:p>
        </w:tc>
        <w:tc>
          <w:tcPr>
            <w:tcW w:w="1342" w:type="dxa"/>
            <w:vAlign w:val="bottom"/>
          </w:tcPr>
          <w:p w14:paraId="7EFA6F10" w14:textId="77777777" w:rsidR="00224102" w:rsidRPr="002E0729" w:rsidRDefault="00224102" w:rsidP="00224102">
            <w:pPr>
              <w:autoSpaceDE w:val="0"/>
              <w:autoSpaceDN w:val="0"/>
              <w:adjustRightInd w:val="0"/>
              <w:jc w:val="right"/>
              <w:rPr>
                <w:sz w:val="14"/>
              </w:rPr>
            </w:pPr>
          </w:p>
        </w:tc>
        <w:tc>
          <w:tcPr>
            <w:tcW w:w="1682" w:type="dxa"/>
            <w:vAlign w:val="bottom"/>
          </w:tcPr>
          <w:p w14:paraId="6883BC9C" w14:textId="77777777" w:rsidR="00224102" w:rsidRPr="002E0729" w:rsidRDefault="00224102" w:rsidP="00224102">
            <w:pPr>
              <w:autoSpaceDE w:val="0"/>
              <w:autoSpaceDN w:val="0"/>
              <w:adjustRightInd w:val="0"/>
              <w:jc w:val="right"/>
              <w:rPr>
                <w:sz w:val="14"/>
              </w:rPr>
            </w:pPr>
          </w:p>
        </w:tc>
      </w:tr>
      <w:tr w:rsidR="00224102" w:rsidRPr="002E0729" w14:paraId="39B57075" w14:textId="77777777" w:rsidTr="004B4536">
        <w:trPr>
          <w:trHeight w:val="113"/>
        </w:trPr>
        <w:tc>
          <w:tcPr>
            <w:tcW w:w="6045" w:type="dxa"/>
            <w:vAlign w:val="bottom"/>
          </w:tcPr>
          <w:p w14:paraId="700B7FA2" w14:textId="77777777" w:rsidR="00224102" w:rsidRPr="00EA404C" w:rsidRDefault="00224102" w:rsidP="00224102">
            <w:pPr>
              <w:autoSpaceDE w:val="0"/>
              <w:autoSpaceDN w:val="0"/>
              <w:adjustRightInd w:val="0"/>
              <w:rPr>
                <w:b/>
                <w:sz w:val="14"/>
                <w:highlight w:val="cyan"/>
              </w:rPr>
            </w:pPr>
            <w:r w:rsidRPr="007C0BA6">
              <w:rPr>
                <w:b/>
                <w:sz w:val="14"/>
              </w:rPr>
              <w:t>II. DISTRIBUTION OF RESERVES</w:t>
            </w:r>
          </w:p>
        </w:tc>
        <w:tc>
          <w:tcPr>
            <w:tcW w:w="1342" w:type="dxa"/>
            <w:vAlign w:val="bottom"/>
          </w:tcPr>
          <w:p w14:paraId="042C6C4E" w14:textId="4C875D58" w:rsidR="00224102" w:rsidRPr="002E0729" w:rsidRDefault="00224102" w:rsidP="00224102">
            <w:pPr>
              <w:autoSpaceDE w:val="0"/>
              <w:autoSpaceDN w:val="0"/>
              <w:adjustRightInd w:val="0"/>
              <w:jc w:val="right"/>
              <w:rPr>
                <w:b/>
                <w:sz w:val="14"/>
              </w:rPr>
            </w:pPr>
            <w:r w:rsidRPr="007D4CD9">
              <w:rPr>
                <w:b/>
                <w:sz w:val="14"/>
              </w:rPr>
              <w:t>-</w:t>
            </w:r>
          </w:p>
        </w:tc>
        <w:tc>
          <w:tcPr>
            <w:tcW w:w="1682" w:type="dxa"/>
            <w:vAlign w:val="bottom"/>
          </w:tcPr>
          <w:p w14:paraId="3743A8F4" w14:textId="3D6338C8" w:rsidR="00224102" w:rsidRPr="002E0729" w:rsidRDefault="00224102" w:rsidP="00224102">
            <w:pPr>
              <w:autoSpaceDE w:val="0"/>
              <w:autoSpaceDN w:val="0"/>
              <w:adjustRightInd w:val="0"/>
              <w:jc w:val="right"/>
              <w:rPr>
                <w:b/>
                <w:sz w:val="14"/>
              </w:rPr>
            </w:pPr>
            <w:r w:rsidRPr="007D4CD9">
              <w:rPr>
                <w:b/>
                <w:sz w:val="14"/>
              </w:rPr>
              <w:t>-</w:t>
            </w:r>
          </w:p>
        </w:tc>
      </w:tr>
      <w:tr w:rsidR="00224102" w:rsidRPr="002E0729" w14:paraId="206F969F" w14:textId="77777777" w:rsidTr="004B4536">
        <w:trPr>
          <w:trHeight w:val="113"/>
        </w:trPr>
        <w:tc>
          <w:tcPr>
            <w:tcW w:w="6045" w:type="dxa"/>
            <w:vAlign w:val="bottom"/>
          </w:tcPr>
          <w:p w14:paraId="00A80DDA" w14:textId="77777777" w:rsidR="00224102" w:rsidRPr="00EA404C" w:rsidRDefault="00224102" w:rsidP="00224102">
            <w:pPr>
              <w:autoSpaceDE w:val="0"/>
              <w:autoSpaceDN w:val="0"/>
              <w:adjustRightInd w:val="0"/>
              <w:rPr>
                <w:b/>
                <w:sz w:val="14"/>
                <w:highlight w:val="cyan"/>
              </w:rPr>
            </w:pPr>
          </w:p>
        </w:tc>
        <w:tc>
          <w:tcPr>
            <w:tcW w:w="1342" w:type="dxa"/>
            <w:vAlign w:val="bottom"/>
          </w:tcPr>
          <w:p w14:paraId="4A281366" w14:textId="77777777" w:rsidR="00224102" w:rsidRPr="002E0729" w:rsidRDefault="00224102" w:rsidP="00224102">
            <w:pPr>
              <w:autoSpaceDE w:val="0"/>
              <w:autoSpaceDN w:val="0"/>
              <w:adjustRightInd w:val="0"/>
              <w:jc w:val="right"/>
              <w:rPr>
                <w:b/>
                <w:sz w:val="14"/>
              </w:rPr>
            </w:pPr>
          </w:p>
        </w:tc>
        <w:tc>
          <w:tcPr>
            <w:tcW w:w="1682" w:type="dxa"/>
            <w:vAlign w:val="bottom"/>
          </w:tcPr>
          <w:p w14:paraId="7E7D1A87" w14:textId="77777777" w:rsidR="00224102" w:rsidRPr="002E0729" w:rsidRDefault="00224102" w:rsidP="00224102">
            <w:pPr>
              <w:autoSpaceDE w:val="0"/>
              <w:autoSpaceDN w:val="0"/>
              <w:adjustRightInd w:val="0"/>
              <w:jc w:val="right"/>
              <w:rPr>
                <w:b/>
                <w:sz w:val="14"/>
              </w:rPr>
            </w:pPr>
          </w:p>
        </w:tc>
      </w:tr>
      <w:tr w:rsidR="00224102" w:rsidRPr="002E0729" w14:paraId="6B2356E5" w14:textId="77777777" w:rsidTr="004B4536">
        <w:trPr>
          <w:trHeight w:val="113"/>
        </w:trPr>
        <w:tc>
          <w:tcPr>
            <w:tcW w:w="6045" w:type="dxa"/>
            <w:vAlign w:val="bottom"/>
          </w:tcPr>
          <w:p w14:paraId="73F202B0" w14:textId="77777777" w:rsidR="00224102" w:rsidRPr="00EA404C" w:rsidRDefault="00224102" w:rsidP="00224102">
            <w:pPr>
              <w:autoSpaceDE w:val="0"/>
              <w:autoSpaceDN w:val="0"/>
              <w:adjustRightInd w:val="0"/>
              <w:rPr>
                <w:sz w:val="14"/>
                <w:highlight w:val="cyan"/>
              </w:rPr>
            </w:pPr>
            <w:r w:rsidRPr="007C0BA6">
              <w:rPr>
                <w:sz w:val="14"/>
              </w:rPr>
              <w:t>2.1.    APPROPRIATED RESERVES</w:t>
            </w:r>
          </w:p>
        </w:tc>
        <w:tc>
          <w:tcPr>
            <w:tcW w:w="1342" w:type="dxa"/>
            <w:vAlign w:val="bottom"/>
          </w:tcPr>
          <w:p w14:paraId="265E0B3B" w14:textId="0E4D3E24"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00E1A27D" w14:textId="25096FBE"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3C759414" w14:textId="77777777" w:rsidTr="004B4536">
        <w:trPr>
          <w:trHeight w:val="113"/>
        </w:trPr>
        <w:tc>
          <w:tcPr>
            <w:tcW w:w="6045" w:type="dxa"/>
            <w:vAlign w:val="bottom"/>
          </w:tcPr>
          <w:p w14:paraId="45C985F4" w14:textId="77777777" w:rsidR="00224102" w:rsidRPr="00EA404C" w:rsidRDefault="00224102" w:rsidP="00224102">
            <w:pPr>
              <w:autoSpaceDE w:val="0"/>
              <w:autoSpaceDN w:val="0"/>
              <w:adjustRightInd w:val="0"/>
              <w:rPr>
                <w:sz w:val="14"/>
                <w:highlight w:val="cyan"/>
              </w:rPr>
            </w:pPr>
            <w:r w:rsidRPr="007C0BA6">
              <w:rPr>
                <w:sz w:val="14"/>
              </w:rPr>
              <w:t>2.2.    SECOND LEGAL RESERVES (-)</w:t>
            </w:r>
          </w:p>
        </w:tc>
        <w:tc>
          <w:tcPr>
            <w:tcW w:w="1342" w:type="dxa"/>
            <w:vAlign w:val="bottom"/>
          </w:tcPr>
          <w:p w14:paraId="5F24C345" w14:textId="7287DCB4"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206421E8" w14:textId="43836350"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3A125779" w14:textId="77777777" w:rsidTr="004B4536">
        <w:trPr>
          <w:trHeight w:val="113"/>
        </w:trPr>
        <w:tc>
          <w:tcPr>
            <w:tcW w:w="6045" w:type="dxa"/>
            <w:vAlign w:val="bottom"/>
          </w:tcPr>
          <w:p w14:paraId="05BE9218" w14:textId="77777777" w:rsidR="00224102" w:rsidRPr="00EA404C" w:rsidRDefault="00224102" w:rsidP="00224102">
            <w:pPr>
              <w:autoSpaceDE w:val="0"/>
              <w:autoSpaceDN w:val="0"/>
              <w:adjustRightInd w:val="0"/>
              <w:rPr>
                <w:sz w:val="14"/>
                <w:highlight w:val="cyan"/>
              </w:rPr>
            </w:pPr>
            <w:r w:rsidRPr="007C0BA6">
              <w:rPr>
                <w:sz w:val="14"/>
              </w:rPr>
              <w:t>2.3.    DIVIDENDS TO SHAREHOLDERS (-)</w:t>
            </w:r>
          </w:p>
        </w:tc>
        <w:tc>
          <w:tcPr>
            <w:tcW w:w="1342" w:type="dxa"/>
            <w:vAlign w:val="bottom"/>
          </w:tcPr>
          <w:p w14:paraId="7AF7597D" w14:textId="038379B9"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7E310824" w14:textId="1053C06F"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7C21D89A" w14:textId="77777777" w:rsidTr="004B4536">
        <w:trPr>
          <w:trHeight w:val="113"/>
        </w:trPr>
        <w:tc>
          <w:tcPr>
            <w:tcW w:w="6045" w:type="dxa"/>
            <w:vAlign w:val="bottom"/>
          </w:tcPr>
          <w:p w14:paraId="6CB28350" w14:textId="77777777" w:rsidR="00224102" w:rsidRPr="00EA404C" w:rsidRDefault="00224102" w:rsidP="00224102">
            <w:pPr>
              <w:autoSpaceDE w:val="0"/>
              <w:autoSpaceDN w:val="0"/>
              <w:adjustRightInd w:val="0"/>
              <w:rPr>
                <w:sz w:val="14"/>
                <w:highlight w:val="cyan"/>
              </w:rPr>
            </w:pPr>
            <w:r w:rsidRPr="007C0BA6">
              <w:rPr>
                <w:sz w:val="14"/>
              </w:rPr>
              <w:t>2.3.1. To owners of ordinary shares</w:t>
            </w:r>
          </w:p>
        </w:tc>
        <w:tc>
          <w:tcPr>
            <w:tcW w:w="1342" w:type="dxa"/>
            <w:vAlign w:val="bottom"/>
          </w:tcPr>
          <w:p w14:paraId="17648369" w14:textId="3663461A"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061203A1" w14:textId="2401E862"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3646CFD6" w14:textId="77777777" w:rsidTr="004B4536">
        <w:trPr>
          <w:trHeight w:val="113"/>
        </w:trPr>
        <w:tc>
          <w:tcPr>
            <w:tcW w:w="6045" w:type="dxa"/>
            <w:vAlign w:val="bottom"/>
          </w:tcPr>
          <w:p w14:paraId="397F9716" w14:textId="77777777" w:rsidR="00224102" w:rsidRPr="00EA404C" w:rsidRDefault="00224102" w:rsidP="00224102">
            <w:pPr>
              <w:autoSpaceDE w:val="0"/>
              <w:autoSpaceDN w:val="0"/>
              <w:adjustRightInd w:val="0"/>
              <w:rPr>
                <w:sz w:val="14"/>
                <w:highlight w:val="cyan"/>
              </w:rPr>
            </w:pPr>
            <w:r w:rsidRPr="007C0BA6">
              <w:rPr>
                <w:sz w:val="14"/>
              </w:rPr>
              <w:t>2.3.2. To owners of privileged shares</w:t>
            </w:r>
          </w:p>
        </w:tc>
        <w:tc>
          <w:tcPr>
            <w:tcW w:w="1342" w:type="dxa"/>
            <w:vAlign w:val="bottom"/>
          </w:tcPr>
          <w:p w14:paraId="6ED40CAB" w14:textId="4FEB3158"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57F6E89E" w14:textId="42CD94DF"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60ABC573" w14:textId="77777777" w:rsidTr="004B4536">
        <w:trPr>
          <w:trHeight w:val="113"/>
        </w:trPr>
        <w:tc>
          <w:tcPr>
            <w:tcW w:w="6045" w:type="dxa"/>
            <w:vAlign w:val="bottom"/>
          </w:tcPr>
          <w:p w14:paraId="55A027CC" w14:textId="77777777" w:rsidR="00224102" w:rsidRPr="00EA404C" w:rsidRDefault="00224102" w:rsidP="00224102">
            <w:pPr>
              <w:autoSpaceDE w:val="0"/>
              <w:autoSpaceDN w:val="0"/>
              <w:adjustRightInd w:val="0"/>
              <w:rPr>
                <w:sz w:val="14"/>
                <w:highlight w:val="cyan"/>
              </w:rPr>
            </w:pPr>
            <w:r w:rsidRPr="007C0BA6">
              <w:rPr>
                <w:sz w:val="14"/>
              </w:rPr>
              <w:t>2.3.3. To owners of preferred shares</w:t>
            </w:r>
          </w:p>
        </w:tc>
        <w:tc>
          <w:tcPr>
            <w:tcW w:w="1342" w:type="dxa"/>
            <w:vAlign w:val="bottom"/>
          </w:tcPr>
          <w:p w14:paraId="7C239BE4" w14:textId="7EB025A4"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7D207169" w14:textId="2824D6B8"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04D71060" w14:textId="77777777" w:rsidTr="004B4536">
        <w:trPr>
          <w:trHeight w:val="113"/>
        </w:trPr>
        <w:tc>
          <w:tcPr>
            <w:tcW w:w="6045" w:type="dxa"/>
            <w:vAlign w:val="bottom"/>
          </w:tcPr>
          <w:p w14:paraId="38C2B3CE" w14:textId="77777777" w:rsidR="00224102" w:rsidRPr="00EA404C" w:rsidRDefault="00224102" w:rsidP="00224102">
            <w:pPr>
              <w:autoSpaceDE w:val="0"/>
              <w:autoSpaceDN w:val="0"/>
              <w:adjustRightInd w:val="0"/>
              <w:rPr>
                <w:sz w:val="14"/>
                <w:highlight w:val="cyan"/>
              </w:rPr>
            </w:pPr>
            <w:r w:rsidRPr="007C0BA6">
              <w:rPr>
                <w:sz w:val="14"/>
              </w:rPr>
              <w:t>2.3.4. To profit sharing bonds</w:t>
            </w:r>
          </w:p>
        </w:tc>
        <w:tc>
          <w:tcPr>
            <w:tcW w:w="1342" w:type="dxa"/>
            <w:vAlign w:val="bottom"/>
          </w:tcPr>
          <w:p w14:paraId="2078B650" w14:textId="56221747"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51F6D1AF" w14:textId="6367F71E"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4B197CE8" w14:textId="77777777" w:rsidTr="004B4536">
        <w:trPr>
          <w:trHeight w:val="113"/>
        </w:trPr>
        <w:tc>
          <w:tcPr>
            <w:tcW w:w="6045" w:type="dxa"/>
            <w:vAlign w:val="bottom"/>
          </w:tcPr>
          <w:p w14:paraId="499BF8A2" w14:textId="77777777" w:rsidR="00224102" w:rsidRPr="00EA404C" w:rsidRDefault="00224102" w:rsidP="00224102">
            <w:pPr>
              <w:autoSpaceDE w:val="0"/>
              <w:autoSpaceDN w:val="0"/>
              <w:adjustRightInd w:val="0"/>
              <w:rPr>
                <w:sz w:val="14"/>
                <w:highlight w:val="cyan"/>
              </w:rPr>
            </w:pPr>
            <w:r w:rsidRPr="007C0BA6">
              <w:rPr>
                <w:sz w:val="14"/>
              </w:rPr>
              <w:t>2.3.5. To holders of profit and loss sharing certificates</w:t>
            </w:r>
          </w:p>
        </w:tc>
        <w:tc>
          <w:tcPr>
            <w:tcW w:w="1342" w:type="dxa"/>
            <w:vAlign w:val="bottom"/>
          </w:tcPr>
          <w:p w14:paraId="7F9E3CCF" w14:textId="1D33EC4C"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748FC8DB" w14:textId="5E6B76F4"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2BADD199" w14:textId="77777777" w:rsidTr="004B4536">
        <w:trPr>
          <w:trHeight w:val="113"/>
        </w:trPr>
        <w:tc>
          <w:tcPr>
            <w:tcW w:w="6045" w:type="dxa"/>
            <w:vAlign w:val="bottom"/>
          </w:tcPr>
          <w:p w14:paraId="2BD9BA28" w14:textId="77777777" w:rsidR="00224102" w:rsidRPr="00EA404C" w:rsidRDefault="00224102" w:rsidP="00224102">
            <w:pPr>
              <w:autoSpaceDE w:val="0"/>
              <w:autoSpaceDN w:val="0"/>
              <w:adjustRightInd w:val="0"/>
              <w:rPr>
                <w:sz w:val="14"/>
                <w:highlight w:val="cyan"/>
              </w:rPr>
            </w:pPr>
            <w:r w:rsidRPr="007C0BA6">
              <w:rPr>
                <w:sz w:val="14"/>
              </w:rPr>
              <w:t>2.4.    DIVIDENDS TO PERSONNEL (-)</w:t>
            </w:r>
          </w:p>
        </w:tc>
        <w:tc>
          <w:tcPr>
            <w:tcW w:w="1342" w:type="dxa"/>
            <w:vAlign w:val="bottom"/>
          </w:tcPr>
          <w:p w14:paraId="5AC75D42" w14:textId="57C1C086"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2D5186D1" w14:textId="0ABB3C75"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63E5407E" w14:textId="77777777" w:rsidTr="004B4536">
        <w:trPr>
          <w:trHeight w:val="113"/>
        </w:trPr>
        <w:tc>
          <w:tcPr>
            <w:tcW w:w="6045" w:type="dxa"/>
            <w:vAlign w:val="bottom"/>
          </w:tcPr>
          <w:p w14:paraId="464EB3F9" w14:textId="77777777" w:rsidR="00224102" w:rsidRPr="00EA404C" w:rsidRDefault="00224102" w:rsidP="00224102">
            <w:pPr>
              <w:autoSpaceDE w:val="0"/>
              <w:autoSpaceDN w:val="0"/>
              <w:adjustRightInd w:val="0"/>
              <w:rPr>
                <w:sz w:val="14"/>
                <w:highlight w:val="cyan"/>
              </w:rPr>
            </w:pPr>
            <w:r w:rsidRPr="007C0BA6">
              <w:rPr>
                <w:sz w:val="14"/>
              </w:rPr>
              <w:t>2.5.    DIVIDENDS TO BOARD OF DIRECTORS (-)</w:t>
            </w:r>
          </w:p>
        </w:tc>
        <w:tc>
          <w:tcPr>
            <w:tcW w:w="1342" w:type="dxa"/>
            <w:vAlign w:val="bottom"/>
          </w:tcPr>
          <w:p w14:paraId="545B25AE" w14:textId="604EE20F"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47C17654" w14:textId="275B20D0"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27B440BA" w14:textId="77777777" w:rsidTr="004B4536">
        <w:trPr>
          <w:trHeight w:val="113"/>
        </w:trPr>
        <w:tc>
          <w:tcPr>
            <w:tcW w:w="6045" w:type="dxa"/>
            <w:vAlign w:val="bottom"/>
          </w:tcPr>
          <w:p w14:paraId="6CE802A7" w14:textId="77777777" w:rsidR="00224102" w:rsidRPr="00EA404C" w:rsidRDefault="00224102" w:rsidP="00224102">
            <w:pPr>
              <w:autoSpaceDE w:val="0"/>
              <w:autoSpaceDN w:val="0"/>
              <w:adjustRightInd w:val="0"/>
              <w:rPr>
                <w:sz w:val="14"/>
                <w:highlight w:val="cyan"/>
              </w:rPr>
            </w:pPr>
          </w:p>
        </w:tc>
        <w:tc>
          <w:tcPr>
            <w:tcW w:w="1342" w:type="dxa"/>
            <w:vAlign w:val="bottom"/>
          </w:tcPr>
          <w:p w14:paraId="1BBABB8E" w14:textId="77777777" w:rsidR="00224102" w:rsidRPr="002E0729" w:rsidRDefault="00224102" w:rsidP="00224102">
            <w:pPr>
              <w:autoSpaceDE w:val="0"/>
              <w:autoSpaceDN w:val="0"/>
              <w:adjustRightInd w:val="0"/>
              <w:jc w:val="right"/>
              <w:rPr>
                <w:sz w:val="14"/>
              </w:rPr>
            </w:pPr>
          </w:p>
        </w:tc>
        <w:tc>
          <w:tcPr>
            <w:tcW w:w="1682" w:type="dxa"/>
            <w:vAlign w:val="bottom"/>
          </w:tcPr>
          <w:p w14:paraId="65B9E5DD" w14:textId="77777777" w:rsidR="00224102" w:rsidRPr="002E0729" w:rsidRDefault="00224102" w:rsidP="00224102">
            <w:pPr>
              <w:autoSpaceDE w:val="0"/>
              <w:autoSpaceDN w:val="0"/>
              <w:adjustRightInd w:val="0"/>
              <w:jc w:val="right"/>
              <w:rPr>
                <w:sz w:val="14"/>
              </w:rPr>
            </w:pPr>
          </w:p>
        </w:tc>
      </w:tr>
      <w:tr w:rsidR="00224102" w:rsidRPr="002E0729" w14:paraId="62DEC30E" w14:textId="77777777" w:rsidTr="004B4536">
        <w:trPr>
          <w:trHeight w:val="113"/>
        </w:trPr>
        <w:tc>
          <w:tcPr>
            <w:tcW w:w="6045" w:type="dxa"/>
            <w:vAlign w:val="bottom"/>
          </w:tcPr>
          <w:p w14:paraId="4923F98F" w14:textId="59425B52" w:rsidR="00224102" w:rsidRPr="00EA404C" w:rsidRDefault="00224102" w:rsidP="00224102">
            <w:pPr>
              <w:autoSpaceDE w:val="0"/>
              <w:autoSpaceDN w:val="0"/>
              <w:adjustRightInd w:val="0"/>
              <w:rPr>
                <w:b/>
                <w:sz w:val="14"/>
                <w:highlight w:val="cyan"/>
              </w:rPr>
            </w:pPr>
            <w:r w:rsidRPr="007C0BA6">
              <w:rPr>
                <w:b/>
                <w:sz w:val="14"/>
              </w:rPr>
              <w:t>III. EARNINGS PER SHARE</w:t>
            </w:r>
            <w:r w:rsidR="004B4536">
              <w:rPr>
                <w:b/>
                <w:sz w:val="14"/>
              </w:rPr>
              <w:t xml:space="preserve"> </w:t>
            </w:r>
            <w:r w:rsidRPr="00923A53">
              <w:rPr>
                <w:b/>
                <w:sz w:val="14"/>
              </w:rPr>
              <w:t>(****)</w:t>
            </w:r>
          </w:p>
        </w:tc>
        <w:tc>
          <w:tcPr>
            <w:tcW w:w="1342" w:type="dxa"/>
            <w:vAlign w:val="bottom"/>
          </w:tcPr>
          <w:p w14:paraId="0429C290" w14:textId="77777777" w:rsidR="00224102" w:rsidRPr="002E0729" w:rsidRDefault="00224102" w:rsidP="00224102">
            <w:pPr>
              <w:autoSpaceDE w:val="0"/>
              <w:autoSpaceDN w:val="0"/>
              <w:adjustRightInd w:val="0"/>
              <w:jc w:val="right"/>
              <w:rPr>
                <w:b/>
                <w:sz w:val="14"/>
              </w:rPr>
            </w:pPr>
          </w:p>
        </w:tc>
        <w:tc>
          <w:tcPr>
            <w:tcW w:w="1682" w:type="dxa"/>
            <w:vAlign w:val="bottom"/>
          </w:tcPr>
          <w:p w14:paraId="5119B919" w14:textId="77777777" w:rsidR="00224102" w:rsidRPr="002E0729" w:rsidRDefault="00224102" w:rsidP="00224102">
            <w:pPr>
              <w:autoSpaceDE w:val="0"/>
              <w:autoSpaceDN w:val="0"/>
              <w:adjustRightInd w:val="0"/>
              <w:jc w:val="right"/>
              <w:rPr>
                <w:b/>
                <w:sz w:val="14"/>
              </w:rPr>
            </w:pPr>
          </w:p>
        </w:tc>
      </w:tr>
      <w:tr w:rsidR="00224102" w:rsidRPr="002E0729" w14:paraId="0F7A63DE" w14:textId="77777777" w:rsidTr="004B4536">
        <w:trPr>
          <w:trHeight w:val="113"/>
        </w:trPr>
        <w:tc>
          <w:tcPr>
            <w:tcW w:w="6045" w:type="dxa"/>
            <w:vAlign w:val="bottom"/>
          </w:tcPr>
          <w:p w14:paraId="16EDDB29" w14:textId="77777777" w:rsidR="00224102" w:rsidRPr="00EA404C" w:rsidRDefault="00224102" w:rsidP="00224102">
            <w:pPr>
              <w:autoSpaceDE w:val="0"/>
              <w:autoSpaceDN w:val="0"/>
              <w:adjustRightInd w:val="0"/>
              <w:rPr>
                <w:b/>
                <w:sz w:val="14"/>
                <w:highlight w:val="cyan"/>
              </w:rPr>
            </w:pPr>
          </w:p>
        </w:tc>
        <w:tc>
          <w:tcPr>
            <w:tcW w:w="1342" w:type="dxa"/>
            <w:vAlign w:val="bottom"/>
          </w:tcPr>
          <w:p w14:paraId="3DFD7D06" w14:textId="77777777" w:rsidR="00224102" w:rsidRPr="002E0729" w:rsidRDefault="00224102" w:rsidP="00224102">
            <w:pPr>
              <w:autoSpaceDE w:val="0"/>
              <w:autoSpaceDN w:val="0"/>
              <w:adjustRightInd w:val="0"/>
              <w:jc w:val="right"/>
              <w:rPr>
                <w:b/>
                <w:sz w:val="14"/>
              </w:rPr>
            </w:pPr>
          </w:p>
        </w:tc>
        <w:tc>
          <w:tcPr>
            <w:tcW w:w="1682" w:type="dxa"/>
            <w:vAlign w:val="bottom"/>
          </w:tcPr>
          <w:p w14:paraId="40B233CF" w14:textId="77777777" w:rsidR="00224102" w:rsidRPr="002E0729" w:rsidRDefault="00224102" w:rsidP="00224102">
            <w:pPr>
              <w:autoSpaceDE w:val="0"/>
              <w:autoSpaceDN w:val="0"/>
              <w:adjustRightInd w:val="0"/>
              <w:jc w:val="right"/>
              <w:rPr>
                <w:b/>
                <w:sz w:val="14"/>
              </w:rPr>
            </w:pPr>
          </w:p>
        </w:tc>
      </w:tr>
      <w:tr w:rsidR="00224102" w:rsidRPr="002E0729" w14:paraId="78573D28" w14:textId="77777777" w:rsidTr="004B4536">
        <w:trPr>
          <w:trHeight w:val="113"/>
        </w:trPr>
        <w:tc>
          <w:tcPr>
            <w:tcW w:w="6045" w:type="dxa"/>
            <w:vAlign w:val="bottom"/>
          </w:tcPr>
          <w:p w14:paraId="6556030E" w14:textId="77777777" w:rsidR="00224102" w:rsidRPr="00EA404C" w:rsidRDefault="00224102" w:rsidP="00224102">
            <w:pPr>
              <w:autoSpaceDE w:val="0"/>
              <w:autoSpaceDN w:val="0"/>
              <w:adjustRightInd w:val="0"/>
              <w:rPr>
                <w:sz w:val="14"/>
                <w:highlight w:val="cyan"/>
              </w:rPr>
            </w:pPr>
            <w:r w:rsidRPr="007C0BA6">
              <w:rPr>
                <w:sz w:val="14"/>
              </w:rPr>
              <w:t>3.1.    TO OWNERS OF ORDINARY SHARES</w:t>
            </w:r>
          </w:p>
        </w:tc>
        <w:tc>
          <w:tcPr>
            <w:tcW w:w="1342" w:type="dxa"/>
            <w:vAlign w:val="center"/>
          </w:tcPr>
          <w:p w14:paraId="2FC00DE6" w14:textId="0E88C32A" w:rsidR="00224102" w:rsidRPr="002E0729" w:rsidRDefault="00224102" w:rsidP="00224102">
            <w:pPr>
              <w:jc w:val="right"/>
              <w:rPr>
                <w:rFonts w:eastAsia="Arial Unicode MS"/>
                <w:sz w:val="14"/>
                <w:szCs w:val="14"/>
              </w:rPr>
            </w:pPr>
            <w:r w:rsidRPr="007D4CD9">
              <w:rPr>
                <w:bCs/>
                <w:color w:val="000000"/>
                <w:sz w:val="14"/>
                <w:szCs w:val="14"/>
              </w:rPr>
              <w:t>0.1127</w:t>
            </w:r>
          </w:p>
        </w:tc>
        <w:tc>
          <w:tcPr>
            <w:tcW w:w="1682" w:type="dxa"/>
            <w:vAlign w:val="center"/>
          </w:tcPr>
          <w:p w14:paraId="75E1F3EA" w14:textId="22185397" w:rsidR="00224102" w:rsidRPr="002E0729" w:rsidRDefault="00224102" w:rsidP="00224102">
            <w:pPr>
              <w:jc w:val="right"/>
              <w:rPr>
                <w:rFonts w:eastAsia="Arial Unicode MS"/>
                <w:sz w:val="14"/>
                <w:szCs w:val="14"/>
              </w:rPr>
            </w:pPr>
            <w:r w:rsidRPr="007D4CD9">
              <w:rPr>
                <w:bCs/>
                <w:color w:val="000000"/>
                <w:sz w:val="14"/>
                <w:szCs w:val="14"/>
              </w:rPr>
              <w:t>0.2217</w:t>
            </w:r>
          </w:p>
        </w:tc>
      </w:tr>
      <w:tr w:rsidR="00224102" w:rsidRPr="002E0729" w14:paraId="51F062DF" w14:textId="77777777" w:rsidTr="004B4536">
        <w:trPr>
          <w:trHeight w:val="113"/>
        </w:trPr>
        <w:tc>
          <w:tcPr>
            <w:tcW w:w="6045" w:type="dxa"/>
            <w:vAlign w:val="bottom"/>
          </w:tcPr>
          <w:p w14:paraId="45D23020" w14:textId="77777777" w:rsidR="00224102" w:rsidRPr="00EA404C" w:rsidRDefault="00224102" w:rsidP="00224102">
            <w:pPr>
              <w:autoSpaceDE w:val="0"/>
              <w:autoSpaceDN w:val="0"/>
              <w:adjustRightInd w:val="0"/>
              <w:rPr>
                <w:sz w:val="14"/>
                <w:highlight w:val="cyan"/>
              </w:rPr>
            </w:pPr>
            <w:r w:rsidRPr="007C0BA6">
              <w:rPr>
                <w:sz w:val="14"/>
              </w:rPr>
              <w:t>3.2.    TO OWNERS OF ORDINARY SHARES ( % )</w:t>
            </w:r>
          </w:p>
        </w:tc>
        <w:tc>
          <w:tcPr>
            <w:tcW w:w="1342" w:type="dxa"/>
            <w:vAlign w:val="center"/>
          </w:tcPr>
          <w:p w14:paraId="2B8D1A90" w14:textId="5FDADA1D" w:rsidR="00224102" w:rsidRPr="002E0729" w:rsidRDefault="00224102" w:rsidP="00224102">
            <w:pPr>
              <w:jc w:val="right"/>
              <w:rPr>
                <w:rFonts w:eastAsia="Arial Unicode MS"/>
                <w:sz w:val="14"/>
                <w:szCs w:val="14"/>
              </w:rPr>
            </w:pPr>
            <w:r w:rsidRPr="007D4CD9">
              <w:rPr>
                <w:rFonts w:eastAsia="Arial Unicode MS"/>
                <w:color w:val="000000"/>
                <w:sz w:val="14"/>
                <w:szCs w:val="14"/>
              </w:rPr>
              <w:t>11.27</w:t>
            </w:r>
          </w:p>
        </w:tc>
        <w:tc>
          <w:tcPr>
            <w:tcW w:w="1682" w:type="dxa"/>
            <w:vAlign w:val="center"/>
          </w:tcPr>
          <w:p w14:paraId="5F40BF1B" w14:textId="7CBDE3D1" w:rsidR="00224102" w:rsidRPr="002E0729" w:rsidRDefault="00224102" w:rsidP="00224102">
            <w:pPr>
              <w:jc w:val="right"/>
              <w:rPr>
                <w:rFonts w:eastAsia="Arial Unicode MS"/>
                <w:sz w:val="14"/>
                <w:szCs w:val="14"/>
              </w:rPr>
            </w:pPr>
            <w:r w:rsidRPr="007D4CD9">
              <w:rPr>
                <w:rFonts w:eastAsia="Arial Unicode MS"/>
                <w:color w:val="000000"/>
                <w:sz w:val="14"/>
                <w:szCs w:val="14"/>
              </w:rPr>
              <w:t>22.17</w:t>
            </w:r>
          </w:p>
        </w:tc>
      </w:tr>
      <w:tr w:rsidR="00224102" w:rsidRPr="002E0729" w14:paraId="3A60DB5F" w14:textId="77777777" w:rsidTr="004B4536">
        <w:trPr>
          <w:trHeight w:val="113"/>
        </w:trPr>
        <w:tc>
          <w:tcPr>
            <w:tcW w:w="6045" w:type="dxa"/>
            <w:vAlign w:val="bottom"/>
          </w:tcPr>
          <w:p w14:paraId="0E0DECB7" w14:textId="77777777" w:rsidR="00224102" w:rsidRPr="00EA404C" w:rsidRDefault="00224102" w:rsidP="00224102">
            <w:pPr>
              <w:autoSpaceDE w:val="0"/>
              <w:autoSpaceDN w:val="0"/>
              <w:adjustRightInd w:val="0"/>
              <w:rPr>
                <w:sz w:val="14"/>
                <w:highlight w:val="cyan"/>
              </w:rPr>
            </w:pPr>
            <w:r w:rsidRPr="007C0BA6">
              <w:rPr>
                <w:sz w:val="14"/>
              </w:rPr>
              <w:t>3.3.    TO OWNERS OF PRIVILEGED SHARES</w:t>
            </w:r>
          </w:p>
        </w:tc>
        <w:tc>
          <w:tcPr>
            <w:tcW w:w="1342" w:type="dxa"/>
            <w:vAlign w:val="bottom"/>
          </w:tcPr>
          <w:p w14:paraId="473EEAF1" w14:textId="0A092B24" w:rsidR="00224102" w:rsidRPr="002E0729" w:rsidRDefault="00224102" w:rsidP="00224102">
            <w:pPr>
              <w:jc w:val="right"/>
              <w:rPr>
                <w:rFonts w:eastAsia="Arial Unicode MS"/>
                <w:sz w:val="14"/>
                <w:szCs w:val="14"/>
              </w:rPr>
            </w:pPr>
            <w:r w:rsidRPr="007D4CD9">
              <w:rPr>
                <w:rFonts w:eastAsia="Arial Unicode MS"/>
                <w:sz w:val="14"/>
                <w:szCs w:val="14"/>
              </w:rPr>
              <w:t>-</w:t>
            </w:r>
          </w:p>
        </w:tc>
        <w:tc>
          <w:tcPr>
            <w:tcW w:w="1682" w:type="dxa"/>
            <w:vAlign w:val="bottom"/>
          </w:tcPr>
          <w:p w14:paraId="53C7FDCF" w14:textId="59BE0533" w:rsidR="00224102" w:rsidRPr="002E0729" w:rsidRDefault="00224102" w:rsidP="00224102">
            <w:pPr>
              <w:jc w:val="right"/>
              <w:rPr>
                <w:rFonts w:eastAsia="Arial Unicode MS"/>
                <w:sz w:val="14"/>
                <w:szCs w:val="14"/>
              </w:rPr>
            </w:pPr>
            <w:r w:rsidRPr="007D4CD9">
              <w:rPr>
                <w:rFonts w:eastAsia="Arial Unicode MS"/>
                <w:sz w:val="14"/>
                <w:szCs w:val="14"/>
              </w:rPr>
              <w:t>-</w:t>
            </w:r>
          </w:p>
        </w:tc>
      </w:tr>
      <w:tr w:rsidR="00224102" w:rsidRPr="002E0729" w14:paraId="5E2CB210" w14:textId="77777777" w:rsidTr="004B4536">
        <w:trPr>
          <w:trHeight w:val="113"/>
        </w:trPr>
        <w:tc>
          <w:tcPr>
            <w:tcW w:w="6045" w:type="dxa"/>
            <w:vAlign w:val="bottom"/>
          </w:tcPr>
          <w:p w14:paraId="30CC97F1" w14:textId="77777777" w:rsidR="00224102" w:rsidRPr="00EA404C" w:rsidRDefault="00224102" w:rsidP="00224102">
            <w:pPr>
              <w:autoSpaceDE w:val="0"/>
              <w:autoSpaceDN w:val="0"/>
              <w:adjustRightInd w:val="0"/>
              <w:rPr>
                <w:sz w:val="14"/>
                <w:highlight w:val="cyan"/>
              </w:rPr>
            </w:pPr>
            <w:r w:rsidRPr="007C0BA6">
              <w:rPr>
                <w:sz w:val="14"/>
              </w:rPr>
              <w:t>3.4.    TO OWNERS OF PRIVILEGED SHARES ( % )</w:t>
            </w:r>
          </w:p>
        </w:tc>
        <w:tc>
          <w:tcPr>
            <w:tcW w:w="1342" w:type="dxa"/>
            <w:vAlign w:val="bottom"/>
          </w:tcPr>
          <w:p w14:paraId="33EDB684" w14:textId="777CB6CF" w:rsidR="00224102" w:rsidRPr="002E0729" w:rsidRDefault="00224102" w:rsidP="00224102">
            <w:pPr>
              <w:jc w:val="right"/>
              <w:rPr>
                <w:rFonts w:eastAsia="Arial Unicode MS"/>
                <w:sz w:val="14"/>
                <w:szCs w:val="14"/>
              </w:rPr>
            </w:pPr>
            <w:r w:rsidRPr="007D4CD9">
              <w:rPr>
                <w:rFonts w:eastAsia="Arial Unicode MS"/>
                <w:sz w:val="14"/>
                <w:szCs w:val="14"/>
              </w:rPr>
              <w:t>-</w:t>
            </w:r>
          </w:p>
        </w:tc>
        <w:tc>
          <w:tcPr>
            <w:tcW w:w="1682" w:type="dxa"/>
            <w:vAlign w:val="bottom"/>
          </w:tcPr>
          <w:p w14:paraId="417FC81C" w14:textId="2E29EEB9" w:rsidR="00224102" w:rsidRPr="002E0729" w:rsidRDefault="00224102" w:rsidP="00224102">
            <w:pPr>
              <w:jc w:val="right"/>
              <w:rPr>
                <w:rFonts w:eastAsia="Arial Unicode MS"/>
                <w:sz w:val="14"/>
                <w:szCs w:val="14"/>
              </w:rPr>
            </w:pPr>
            <w:r w:rsidRPr="007D4CD9">
              <w:rPr>
                <w:rFonts w:eastAsia="Arial Unicode MS"/>
                <w:sz w:val="14"/>
                <w:szCs w:val="14"/>
              </w:rPr>
              <w:t>-</w:t>
            </w:r>
          </w:p>
        </w:tc>
      </w:tr>
      <w:tr w:rsidR="00224102" w:rsidRPr="002E0729" w14:paraId="1CCD7A80" w14:textId="77777777" w:rsidTr="004B4536">
        <w:trPr>
          <w:trHeight w:val="113"/>
        </w:trPr>
        <w:tc>
          <w:tcPr>
            <w:tcW w:w="6045" w:type="dxa"/>
            <w:vAlign w:val="bottom"/>
          </w:tcPr>
          <w:p w14:paraId="73B7EC1F" w14:textId="77777777" w:rsidR="00224102" w:rsidRPr="00EA404C" w:rsidRDefault="00224102" w:rsidP="00224102">
            <w:pPr>
              <w:autoSpaceDE w:val="0"/>
              <w:autoSpaceDN w:val="0"/>
              <w:adjustRightInd w:val="0"/>
              <w:rPr>
                <w:sz w:val="14"/>
                <w:highlight w:val="cyan"/>
              </w:rPr>
            </w:pPr>
          </w:p>
        </w:tc>
        <w:tc>
          <w:tcPr>
            <w:tcW w:w="1342" w:type="dxa"/>
            <w:vAlign w:val="bottom"/>
          </w:tcPr>
          <w:p w14:paraId="71EA5912" w14:textId="77777777" w:rsidR="00224102" w:rsidRPr="002E0729" w:rsidRDefault="00224102" w:rsidP="00224102">
            <w:pPr>
              <w:autoSpaceDE w:val="0"/>
              <w:autoSpaceDN w:val="0"/>
              <w:adjustRightInd w:val="0"/>
              <w:jc w:val="right"/>
              <w:rPr>
                <w:sz w:val="14"/>
              </w:rPr>
            </w:pPr>
          </w:p>
        </w:tc>
        <w:tc>
          <w:tcPr>
            <w:tcW w:w="1682" w:type="dxa"/>
            <w:vAlign w:val="bottom"/>
          </w:tcPr>
          <w:p w14:paraId="4667F276" w14:textId="77777777" w:rsidR="00224102" w:rsidRPr="002E0729" w:rsidRDefault="00224102" w:rsidP="00224102">
            <w:pPr>
              <w:autoSpaceDE w:val="0"/>
              <w:autoSpaceDN w:val="0"/>
              <w:adjustRightInd w:val="0"/>
              <w:jc w:val="right"/>
              <w:rPr>
                <w:sz w:val="14"/>
              </w:rPr>
            </w:pPr>
          </w:p>
        </w:tc>
      </w:tr>
      <w:tr w:rsidR="00224102" w:rsidRPr="002E0729" w14:paraId="27AD45D8" w14:textId="77777777" w:rsidTr="004B4536">
        <w:trPr>
          <w:trHeight w:val="113"/>
        </w:trPr>
        <w:tc>
          <w:tcPr>
            <w:tcW w:w="6045" w:type="dxa"/>
            <w:vAlign w:val="bottom"/>
          </w:tcPr>
          <w:p w14:paraId="11E14DFB" w14:textId="77777777" w:rsidR="00224102" w:rsidRPr="00EA404C" w:rsidRDefault="00224102" w:rsidP="00224102">
            <w:pPr>
              <w:autoSpaceDE w:val="0"/>
              <w:autoSpaceDN w:val="0"/>
              <w:adjustRightInd w:val="0"/>
              <w:rPr>
                <w:b/>
                <w:sz w:val="14"/>
                <w:highlight w:val="cyan"/>
              </w:rPr>
            </w:pPr>
            <w:r w:rsidRPr="007C0BA6">
              <w:rPr>
                <w:b/>
                <w:sz w:val="14"/>
              </w:rPr>
              <w:t>IV. DIVIDEND PER SHARE</w:t>
            </w:r>
          </w:p>
        </w:tc>
        <w:tc>
          <w:tcPr>
            <w:tcW w:w="1342" w:type="dxa"/>
            <w:vAlign w:val="bottom"/>
          </w:tcPr>
          <w:p w14:paraId="0B79429F" w14:textId="77777777" w:rsidR="00224102" w:rsidRPr="002E0729" w:rsidRDefault="00224102" w:rsidP="00224102">
            <w:pPr>
              <w:autoSpaceDE w:val="0"/>
              <w:autoSpaceDN w:val="0"/>
              <w:adjustRightInd w:val="0"/>
              <w:jc w:val="right"/>
              <w:rPr>
                <w:b/>
                <w:sz w:val="14"/>
              </w:rPr>
            </w:pPr>
          </w:p>
        </w:tc>
        <w:tc>
          <w:tcPr>
            <w:tcW w:w="1682" w:type="dxa"/>
            <w:vAlign w:val="bottom"/>
          </w:tcPr>
          <w:p w14:paraId="45FD7639" w14:textId="77777777" w:rsidR="00224102" w:rsidRPr="002E0729" w:rsidRDefault="00224102" w:rsidP="00224102">
            <w:pPr>
              <w:autoSpaceDE w:val="0"/>
              <w:autoSpaceDN w:val="0"/>
              <w:adjustRightInd w:val="0"/>
              <w:jc w:val="right"/>
              <w:rPr>
                <w:b/>
                <w:sz w:val="14"/>
              </w:rPr>
            </w:pPr>
          </w:p>
        </w:tc>
      </w:tr>
      <w:tr w:rsidR="00224102" w:rsidRPr="002E0729" w14:paraId="15B2FB3C" w14:textId="77777777" w:rsidTr="004B4536">
        <w:trPr>
          <w:trHeight w:val="113"/>
        </w:trPr>
        <w:tc>
          <w:tcPr>
            <w:tcW w:w="6045" w:type="dxa"/>
            <w:vAlign w:val="bottom"/>
          </w:tcPr>
          <w:p w14:paraId="3D5D40D7" w14:textId="77777777" w:rsidR="00224102" w:rsidRPr="00EA404C" w:rsidRDefault="00224102" w:rsidP="00224102">
            <w:pPr>
              <w:autoSpaceDE w:val="0"/>
              <w:autoSpaceDN w:val="0"/>
              <w:adjustRightInd w:val="0"/>
              <w:rPr>
                <w:b/>
                <w:sz w:val="14"/>
                <w:highlight w:val="cyan"/>
              </w:rPr>
            </w:pPr>
          </w:p>
        </w:tc>
        <w:tc>
          <w:tcPr>
            <w:tcW w:w="1342" w:type="dxa"/>
            <w:vAlign w:val="bottom"/>
          </w:tcPr>
          <w:p w14:paraId="3D8D5BFC" w14:textId="77777777" w:rsidR="00224102" w:rsidRPr="002E0729" w:rsidRDefault="00224102" w:rsidP="00224102">
            <w:pPr>
              <w:autoSpaceDE w:val="0"/>
              <w:autoSpaceDN w:val="0"/>
              <w:adjustRightInd w:val="0"/>
              <w:jc w:val="right"/>
              <w:rPr>
                <w:b/>
                <w:sz w:val="14"/>
              </w:rPr>
            </w:pPr>
          </w:p>
        </w:tc>
        <w:tc>
          <w:tcPr>
            <w:tcW w:w="1682" w:type="dxa"/>
            <w:vAlign w:val="bottom"/>
          </w:tcPr>
          <w:p w14:paraId="730EB141" w14:textId="77777777" w:rsidR="00224102" w:rsidRPr="002E0729" w:rsidRDefault="00224102" w:rsidP="00224102">
            <w:pPr>
              <w:autoSpaceDE w:val="0"/>
              <w:autoSpaceDN w:val="0"/>
              <w:adjustRightInd w:val="0"/>
              <w:jc w:val="right"/>
              <w:rPr>
                <w:b/>
                <w:sz w:val="14"/>
              </w:rPr>
            </w:pPr>
          </w:p>
        </w:tc>
      </w:tr>
      <w:tr w:rsidR="00224102" w:rsidRPr="002E0729" w14:paraId="5C178DC7" w14:textId="77777777" w:rsidTr="004B4536">
        <w:trPr>
          <w:trHeight w:val="113"/>
        </w:trPr>
        <w:tc>
          <w:tcPr>
            <w:tcW w:w="6045" w:type="dxa"/>
            <w:vAlign w:val="bottom"/>
          </w:tcPr>
          <w:p w14:paraId="0E5CE093" w14:textId="77777777" w:rsidR="00224102" w:rsidRPr="00EA404C" w:rsidRDefault="00224102" w:rsidP="00224102">
            <w:pPr>
              <w:autoSpaceDE w:val="0"/>
              <w:autoSpaceDN w:val="0"/>
              <w:adjustRightInd w:val="0"/>
              <w:rPr>
                <w:sz w:val="14"/>
                <w:highlight w:val="cyan"/>
              </w:rPr>
            </w:pPr>
            <w:r w:rsidRPr="007C0BA6">
              <w:rPr>
                <w:sz w:val="14"/>
              </w:rPr>
              <w:t>4.1    TO OWNERS OF ORDINARY SHARES</w:t>
            </w:r>
          </w:p>
        </w:tc>
        <w:tc>
          <w:tcPr>
            <w:tcW w:w="1342" w:type="dxa"/>
            <w:vAlign w:val="bottom"/>
          </w:tcPr>
          <w:p w14:paraId="1C202E96" w14:textId="43069121"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19A7F966" w14:textId="3B3CA2BC"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3602E0D7" w14:textId="77777777" w:rsidTr="004B4536">
        <w:trPr>
          <w:trHeight w:val="113"/>
        </w:trPr>
        <w:tc>
          <w:tcPr>
            <w:tcW w:w="6045" w:type="dxa"/>
            <w:vAlign w:val="bottom"/>
          </w:tcPr>
          <w:p w14:paraId="0EA6EF53" w14:textId="77777777" w:rsidR="00224102" w:rsidRPr="00EA404C" w:rsidRDefault="00224102" w:rsidP="00224102">
            <w:pPr>
              <w:autoSpaceDE w:val="0"/>
              <w:autoSpaceDN w:val="0"/>
              <w:adjustRightInd w:val="0"/>
              <w:rPr>
                <w:sz w:val="14"/>
                <w:highlight w:val="cyan"/>
              </w:rPr>
            </w:pPr>
            <w:r w:rsidRPr="007C0BA6">
              <w:rPr>
                <w:sz w:val="14"/>
              </w:rPr>
              <w:t>4.2.   TO OWNERS OF ORDINARY SHARES ( % )</w:t>
            </w:r>
          </w:p>
        </w:tc>
        <w:tc>
          <w:tcPr>
            <w:tcW w:w="1342" w:type="dxa"/>
            <w:vAlign w:val="bottom"/>
          </w:tcPr>
          <w:p w14:paraId="35380970" w14:textId="3201882F"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41CECFB3" w14:textId="40734EFA" w:rsidR="00224102" w:rsidRPr="002E0729" w:rsidRDefault="00224102" w:rsidP="00224102">
            <w:pPr>
              <w:autoSpaceDE w:val="0"/>
              <w:autoSpaceDN w:val="0"/>
              <w:adjustRightInd w:val="0"/>
              <w:jc w:val="right"/>
              <w:rPr>
                <w:sz w:val="14"/>
              </w:rPr>
            </w:pPr>
            <w:r w:rsidRPr="007D4CD9">
              <w:rPr>
                <w:sz w:val="14"/>
              </w:rPr>
              <w:t>-</w:t>
            </w:r>
          </w:p>
        </w:tc>
      </w:tr>
      <w:tr w:rsidR="00224102" w:rsidRPr="002E0729" w14:paraId="71AA54BC" w14:textId="77777777" w:rsidTr="004B4536">
        <w:trPr>
          <w:trHeight w:val="113"/>
        </w:trPr>
        <w:tc>
          <w:tcPr>
            <w:tcW w:w="6045" w:type="dxa"/>
            <w:vAlign w:val="bottom"/>
          </w:tcPr>
          <w:p w14:paraId="277877A4" w14:textId="77777777" w:rsidR="00224102" w:rsidRPr="00EA404C" w:rsidRDefault="00224102" w:rsidP="00224102">
            <w:pPr>
              <w:autoSpaceDE w:val="0"/>
              <w:autoSpaceDN w:val="0"/>
              <w:adjustRightInd w:val="0"/>
              <w:rPr>
                <w:sz w:val="14"/>
                <w:highlight w:val="cyan"/>
              </w:rPr>
            </w:pPr>
            <w:r w:rsidRPr="007C0BA6">
              <w:rPr>
                <w:sz w:val="14"/>
              </w:rPr>
              <w:t>4.3.   TO OWNERS OF PRIVILEGED SHARES</w:t>
            </w:r>
          </w:p>
        </w:tc>
        <w:tc>
          <w:tcPr>
            <w:tcW w:w="1342" w:type="dxa"/>
            <w:vAlign w:val="bottom"/>
          </w:tcPr>
          <w:p w14:paraId="539298C2" w14:textId="5EAE129F" w:rsidR="00224102" w:rsidRPr="002E0729" w:rsidRDefault="00224102" w:rsidP="00224102">
            <w:pPr>
              <w:autoSpaceDE w:val="0"/>
              <w:autoSpaceDN w:val="0"/>
              <w:adjustRightInd w:val="0"/>
              <w:jc w:val="right"/>
              <w:rPr>
                <w:sz w:val="14"/>
              </w:rPr>
            </w:pPr>
            <w:r w:rsidRPr="007D4CD9">
              <w:rPr>
                <w:sz w:val="14"/>
              </w:rPr>
              <w:t>-</w:t>
            </w:r>
          </w:p>
        </w:tc>
        <w:tc>
          <w:tcPr>
            <w:tcW w:w="1682" w:type="dxa"/>
            <w:vAlign w:val="bottom"/>
          </w:tcPr>
          <w:p w14:paraId="39FB1D93" w14:textId="3240136D" w:rsidR="00224102" w:rsidRPr="002E0729" w:rsidRDefault="00224102" w:rsidP="00224102">
            <w:pPr>
              <w:autoSpaceDE w:val="0"/>
              <w:autoSpaceDN w:val="0"/>
              <w:adjustRightInd w:val="0"/>
              <w:jc w:val="right"/>
              <w:rPr>
                <w:sz w:val="14"/>
              </w:rPr>
            </w:pPr>
            <w:r w:rsidRPr="007D4CD9">
              <w:rPr>
                <w:sz w:val="14"/>
              </w:rPr>
              <w:t>-</w:t>
            </w:r>
          </w:p>
        </w:tc>
      </w:tr>
      <w:tr w:rsidR="00224102" w:rsidRPr="00701CEF" w14:paraId="33E8F44E" w14:textId="77777777" w:rsidTr="004B4536">
        <w:trPr>
          <w:trHeight w:val="113"/>
        </w:trPr>
        <w:tc>
          <w:tcPr>
            <w:tcW w:w="6045" w:type="dxa"/>
            <w:tcBorders>
              <w:bottom w:val="single" w:sz="4" w:space="0" w:color="auto"/>
            </w:tcBorders>
            <w:vAlign w:val="bottom"/>
          </w:tcPr>
          <w:p w14:paraId="2E81A350" w14:textId="77777777" w:rsidR="00224102" w:rsidRPr="00EA404C" w:rsidRDefault="00224102" w:rsidP="00224102">
            <w:pPr>
              <w:autoSpaceDE w:val="0"/>
              <w:autoSpaceDN w:val="0"/>
              <w:adjustRightInd w:val="0"/>
              <w:rPr>
                <w:sz w:val="14"/>
                <w:highlight w:val="cyan"/>
              </w:rPr>
            </w:pPr>
            <w:r w:rsidRPr="00FE1506">
              <w:rPr>
                <w:sz w:val="14"/>
              </w:rPr>
              <w:t>4.4.   TO OWNERS OF PRIVILEGED SHARES ( % )</w:t>
            </w:r>
          </w:p>
        </w:tc>
        <w:tc>
          <w:tcPr>
            <w:tcW w:w="1342" w:type="dxa"/>
            <w:tcBorders>
              <w:bottom w:val="single" w:sz="4" w:space="0" w:color="auto"/>
            </w:tcBorders>
            <w:vAlign w:val="bottom"/>
          </w:tcPr>
          <w:p w14:paraId="3E630702" w14:textId="3935964A" w:rsidR="00224102" w:rsidRPr="002E0729" w:rsidRDefault="00224102" w:rsidP="00224102">
            <w:pPr>
              <w:autoSpaceDE w:val="0"/>
              <w:autoSpaceDN w:val="0"/>
              <w:adjustRightInd w:val="0"/>
              <w:jc w:val="right"/>
              <w:rPr>
                <w:sz w:val="14"/>
              </w:rPr>
            </w:pPr>
            <w:r w:rsidRPr="007D4CD9">
              <w:rPr>
                <w:sz w:val="14"/>
              </w:rPr>
              <w:t>-</w:t>
            </w:r>
          </w:p>
        </w:tc>
        <w:tc>
          <w:tcPr>
            <w:tcW w:w="1682" w:type="dxa"/>
            <w:tcBorders>
              <w:bottom w:val="single" w:sz="4" w:space="0" w:color="auto"/>
            </w:tcBorders>
            <w:vAlign w:val="bottom"/>
          </w:tcPr>
          <w:p w14:paraId="7810B47C" w14:textId="66D82F08" w:rsidR="00224102" w:rsidRPr="00701CEF" w:rsidRDefault="00224102" w:rsidP="00224102">
            <w:pPr>
              <w:autoSpaceDE w:val="0"/>
              <w:autoSpaceDN w:val="0"/>
              <w:adjustRightInd w:val="0"/>
              <w:jc w:val="right"/>
              <w:rPr>
                <w:sz w:val="14"/>
              </w:rPr>
            </w:pPr>
            <w:r w:rsidRPr="007D4CD9">
              <w:rPr>
                <w:sz w:val="14"/>
              </w:rPr>
              <w:t>-</w:t>
            </w:r>
          </w:p>
        </w:tc>
      </w:tr>
    </w:tbl>
    <w:p w14:paraId="3D99ECF5" w14:textId="506014D1" w:rsidR="00D0491D" w:rsidRDefault="00D0491D" w:rsidP="00D0491D">
      <w:pPr>
        <w:spacing w:before="60"/>
        <w:ind w:left="518" w:right="-426" w:hanging="518"/>
        <w:rPr>
          <w:sz w:val="16"/>
        </w:rPr>
      </w:pPr>
      <w:r>
        <w:rPr>
          <w:sz w:val="16"/>
        </w:rPr>
        <w:t>(*)</w:t>
      </w:r>
      <w:r>
        <w:rPr>
          <w:sz w:val="16"/>
        </w:rPr>
        <w:tab/>
        <w:t>The statement of profit distribution presents the Parent Bank’s figures due to not having consolidated profit distribution.</w:t>
      </w:r>
    </w:p>
    <w:p w14:paraId="56CE5387" w14:textId="1797E126" w:rsidR="00CD0767" w:rsidRPr="00701CEF" w:rsidRDefault="00031034" w:rsidP="00D0491D">
      <w:pPr>
        <w:ind w:left="518" w:right="-426" w:hanging="518"/>
        <w:rPr>
          <w:sz w:val="16"/>
        </w:rPr>
      </w:pPr>
      <w:r>
        <w:rPr>
          <w:sz w:val="16"/>
        </w:rPr>
        <w:t>(*</w:t>
      </w:r>
      <w:r w:rsidR="00D0491D">
        <w:rPr>
          <w:sz w:val="16"/>
        </w:rPr>
        <w:t>*)</w:t>
      </w:r>
      <w:r w:rsidR="00CD0767">
        <w:rPr>
          <w:sz w:val="16"/>
        </w:rPr>
        <w:t xml:space="preserve">    </w:t>
      </w:r>
      <w:r w:rsidR="00D0491D">
        <w:rPr>
          <w:sz w:val="16"/>
        </w:rPr>
        <w:t xml:space="preserve"> </w:t>
      </w:r>
      <w:r w:rsidR="00CD0767">
        <w:rPr>
          <w:sz w:val="16"/>
        </w:rPr>
        <w:t xml:space="preserve"> </w:t>
      </w:r>
      <w:r w:rsidR="00CD0767" w:rsidRPr="00701CEF">
        <w:rPr>
          <w:sz w:val="16"/>
        </w:rPr>
        <w:t xml:space="preserve">Profit distribution is decided by the </w:t>
      </w:r>
      <w:r w:rsidR="00F142CB">
        <w:rPr>
          <w:sz w:val="16"/>
        </w:rPr>
        <w:t>Board of Directors of the Parent Bank</w:t>
      </w:r>
      <w:r w:rsidR="00CD0767" w:rsidRPr="00701CEF">
        <w:rPr>
          <w:sz w:val="16"/>
        </w:rPr>
        <w:t xml:space="preserve">. </w:t>
      </w:r>
      <w:r w:rsidR="00F142CB">
        <w:rPr>
          <w:sz w:val="16"/>
        </w:rPr>
        <w:t>Annual General Meeting has not been held as of reporting date.</w:t>
      </w:r>
    </w:p>
    <w:p w14:paraId="575D4E16" w14:textId="5BDC288F" w:rsidR="00031034" w:rsidRPr="00701CEF" w:rsidRDefault="00CD0767" w:rsidP="00D0491D">
      <w:pPr>
        <w:ind w:left="518" w:hanging="518"/>
        <w:rPr>
          <w:sz w:val="16"/>
        </w:rPr>
      </w:pPr>
      <w:r w:rsidRPr="00701CEF">
        <w:rPr>
          <w:sz w:val="16"/>
        </w:rPr>
        <w:t>(**</w:t>
      </w:r>
      <w:r w:rsidR="00D0491D">
        <w:rPr>
          <w:sz w:val="16"/>
        </w:rPr>
        <w:t>*</w:t>
      </w:r>
      <w:r w:rsidRPr="00701CEF">
        <w:rPr>
          <w:sz w:val="16"/>
        </w:rPr>
        <w:t xml:space="preserve">) </w:t>
      </w:r>
      <w:r>
        <w:rPr>
          <w:sz w:val="16"/>
        </w:rPr>
        <w:t xml:space="preserve">   </w:t>
      </w:r>
      <w:r w:rsidRPr="00701CEF">
        <w:rPr>
          <w:sz w:val="16"/>
        </w:rPr>
        <w:t xml:space="preserve">Statement of profit </w:t>
      </w:r>
      <w:r w:rsidR="00F142CB">
        <w:rPr>
          <w:sz w:val="16"/>
        </w:rPr>
        <w:t>distribution</w:t>
      </w:r>
      <w:r w:rsidRPr="00701CEF">
        <w:rPr>
          <w:sz w:val="16"/>
        </w:rPr>
        <w:t xml:space="preserve"> related to prior period has </w:t>
      </w:r>
      <w:r w:rsidR="00F142CB">
        <w:rPr>
          <w:sz w:val="16"/>
        </w:rPr>
        <w:t xml:space="preserve">been </w:t>
      </w:r>
      <w:r w:rsidR="00031034">
        <w:rPr>
          <w:sz w:val="16"/>
        </w:rPr>
        <w:t xml:space="preserve">approved and </w:t>
      </w:r>
      <w:r w:rsidR="00F142CB">
        <w:rPr>
          <w:sz w:val="16"/>
        </w:rPr>
        <w:t>restated</w:t>
      </w:r>
      <w:r w:rsidRPr="00701CEF">
        <w:rPr>
          <w:sz w:val="16"/>
        </w:rPr>
        <w:t xml:space="preserve"> </w:t>
      </w:r>
      <w:r w:rsidR="00F142CB">
        <w:rPr>
          <w:sz w:val="16"/>
        </w:rPr>
        <w:t xml:space="preserve">in accordance </w:t>
      </w:r>
      <w:r w:rsidR="00F142CB" w:rsidRPr="00701CEF">
        <w:rPr>
          <w:sz w:val="16"/>
        </w:rPr>
        <w:t xml:space="preserve">with </w:t>
      </w:r>
      <w:r w:rsidRPr="00701CEF">
        <w:rPr>
          <w:sz w:val="16"/>
        </w:rPr>
        <w:t>Ge</w:t>
      </w:r>
      <w:r>
        <w:rPr>
          <w:sz w:val="16"/>
        </w:rPr>
        <w:t>n</w:t>
      </w:r>
      <w:r w:rsidR="00D0491D">
        <w:rPr>
          <w:sz w:val="16"/>
        </w:rPr>
        <w:t>eral Assembly Decision as of 16</w:t>
      </w:r>
      <w:r w:rsidR="00F142CB">
        <w:rPr>
          <w:sz w:val="16"/>
        </w:rPr>
        <w:t xml:space="preserve"> </w:t>
      </w:r>
      <w:r>
        <w:rPr>
          <w:sz w:val="16"/>
        </w:rPr>
        <w:t xml:space="preserve">March 2015, after issuance of </w:t>
      </w:r>
      <w:r w:rsidRPr="00701CEF">
        <w:rPr>
          <w:sz w:val="16"/>
        </w:rPr>
        <w:t>audi</w:t>
      </w:r>
      <w:r>
        <w:rPr>
          <w:sz w:val="16"/>
        </w:rPr>
        <w:t>ted financial statements of 31 December 2014</w:t>
      </w:r>
      <w:r w:rsidRPr="00701CEF">
        <w:rPr>
          <w:sz w:val="16"/>
        </w:rPr>
        <w:t>.</w:t>
      </w:r>
    </w:p>
    <w:p w14:paraId="07C46C28" w14:textId="732E4590" w:rsidR="00073050" w:rsidRPr="00CD0767" w:rsidRDefault="00CD0767" w:rsidP="00D0491D">
      <w:pPr>
        <w:rPr>
          <w:sz w:val="16"/>
        </w:rPr>
      </w:pPr>
      <w:r>
        <w:rPr>
          <w:sz w:val="16"/>
        </w:rPr>
        <w:t xml:space="preserve">(****) </w:t>
      </w:r>
      <w:r w:rsidR="00F142CB">
        <w:rPr>
          <w:sz w:val="16"/>
        </w:rPr>
        <w:t xml:space="preserve"> </w:t>
      </w:r>
      <w:r w:rsidRPr="00701CEF">
        <w:rPr>
          <w:sz w:val="16"/>
        </w:rPr>
        <w:t xml:space="preserve">Full TL amount has been </w:t>
      </w:r>
      <w:r w:rsidR="00F142CB">
        <w:rPr>
          <w:sz w:val="16"/>
        </w:rPr>
        <w:t>stated</w:t>
      </w:r>
      <w:r w:rsidRPr="00701CEF">
        <w:rPr>
          <w:sz w:val="16"/>
        </w:rPr>
        <w:t xml:space="preserve"> for each nominal amount of 1.000.</w:t>
      </w:r>
    </w:p>
    <w:p w14:paraId="01A12F9C" w14:textId="77777777" w:rsidR="00A269BB" w:rsidRDefault="00A269BB" w:rsidP="00490153">
      <w:pPr>
        <w:pageBreakBefore/>
        <w:spacing w:before="120"/>
        <w:jc w:val="center"/>
        <w:rPr>
          <w:b/>
          <w:sz w:val="20"/>
          <w:szCs w:val="20"/>
        </w:rPr>
        <w:sectPr w:rsidR="00A269BB" w:rsidSect="00F142CB">
          <w:headerReference w:type="default" r:id="rId20"/>
          <w:type w:val="continuous"/>
          <w:pgSz w:w="11906" w:h="16838" w:code="9"/>
          <w:pgMar w:top="1134" w:right="1416" w:bottom="720" w:left="1418" w:header="851" w:footer="851" w:gutter="0"/>
          <w:cols w:space="708"/>
          <w:docGrid w:linePitch="360"/>
        </w:sectPr>
      </w:pPr>
      <w:bookmarkStart w:id="2" w:name="_Toc126320092"/>
    </w:p>
    <w:p w14:paraId="1575E64B" w14:textId="6F8A3FEC" w:rsidR="00AE19A5" w:rsidRPr="00604C75" w:rsidRDefault="00AE19A5" w:rsidP="00490153">
      <w:pPr>
        <w:pageBreakBefore/>
        <w:spacing w:before="120"/>
        <w:jc w:val="center"/>
        <w:rPr>
          <w:b/>
          <w:sz w:val="20"/>
          <w:szCs w:val="20"/>
        </w:rPr>
      </w:pPr>
      <w:r w:rsidRPr="00604C75">
        <w:rPr>
          <w:b/>
          <w:sz w:val="20"/>
          <w:szCs w:val="20"/>
        </w:rPr>
        <w:lastRenderedPageBreak/>
        <w:t>SECTION THREE</w:t>
      </w:r>
    </w:p>
    <w:p w14:paraId="7F4D4BB4" w14:textId="77777777" w:rsidR="00AE19A5" w:rsidRPr="00604C75" w:rsidRDefault="00AE19A5" w:rsidP="00490153">
      <w:pPr>
        <w:spacing w:before="120"/>
        <w:jc w:val="center"/>
        <w:rPr>
          <w:b/>
          <w:sz w:val="20"/>
          <w:szCs w:val="20"/>
        </w:rPr>
      </w:pPr>
      <w:r w:rsidRPr="00604C75">
        <w:rPr>
          <w:b/>
          <w:sz w:val="20"/>
          <w:szCs w:val="20"/>
        </w:rPr>
        <w:t>EXPLANATIONS ON ACCOUNTING POLICIES</w:t>
      </w:r>
    </w:p>
    <w:p w14:paraId="5EE7C566" w14:textId="77777777" w:rsidR="00AE19A5" w:rsidRPr="00604C75" w:rsidRDefault="00AE19A5" w:rsidP="00490153">
      <w:pPr>
        <w:pStyle w:val="MuhasebePolitikalar"/>
        <w:spacing w:before="120" w:line="216" w:lineRule="auto"/>
        <w:ind w:left="851" w:hanging="851"/>
        <w:rPr>
          <w:sz w:val="20"/>
          <w:szCs w:val="20"/>
        </w:rPr>
      </w:pPr>
      <w:r w:rsidRPr="00604C75">
        <w:rPr>
          <w:sz w:val="20"/>
          <w:szCs w:val="20"/>
        </w:rPr>
        <w:t>I.</w:t>
      </w:r>
      <w:r w:rsidRPr="00604C75">
        <w:rPr>
          <w:sz w:val="20"/>
          <w:szCs w:val="20"/>
        </w:rPr>
        <w:tab/>
      </w:r>
      <w:bookmarkEnd w:id="2"/>
      <w:r w:rsidR="004D020C" w:rsidRPr="00604C75">
        <w:rPr>
          <w:sz w:val="20"/>
          <w:szCs w:val="20"/>
        </w:rPr>
        <w:t xml:space="preserve">Basis of </w:t>
      </w:r>
      <w:r w:rsidRPr="00604C75">
        <w:rPr>
          <w:sz w:val="20"/>
          <w:szCs w:val="20"/>
        </w:rPr>
        <w:t>P</w:t>
      </w:r>
      <w:r w:rsidR="004D020C" w:rsidRPr="00604C75">
        <w:rPr>
          <w:sz w:val="20"/>
          <w:szCs w:val="20"/>
        </w:rPr>
        <w:t>resentation</w:t>
      </w:r>
    </w:p>
    <w:p w14:paraId="0579686D" w14:textId="77777777" w:rsidR="00F142CB" w:rsidRPr="00F142CB" w:rsidRDefault="00F142CB" w:rsidP="00F142CB">
      <w:pPr>
        <w:spacing w:before="120" w:line="216" w:lineRule="auto"/>
        <w:jc w:val="both"/>
        <w:rPr>
          <w:rFonts w:eastAsia="Arial Unicode MS"/>
          <w:bCs/>
          <w:sz w:val="20"/>
          <w:szCs w:val="20"/>
        </w:rPr>
      </w:pPr>
      <w:r w:rsidRPr="00F142CB">
        <w:rPr>
          <w:rFonts w:eastAsia="Arial Unicode MS"/>
          <w:bCs/>
          <w:sz w:val="20"/>
          <w:szCs w:val="20"/>
        </w:rPr>
        <w:t>As prescribed in the Article 37 and Article 38 of the Banking Act No. 5411, the Parent Bank prepares its financial statements and underlying documents in accordance with the “Regulation on the Procedures and Principles for Accounting Practices and Retention of Documents by Banks” and other regulations, explanations and circulars on accounting and financial reporting principles announced by the Banking Regulation and Supervision Agency (“BRSA”) and Turkish Accounting Standards (“TAS’’) published by Public Oversight Accounting and Auditing Standards Authority (“POA”) except for BRSA regulations. TAS consists of Turkish Accounting Standards, Turkish Financial Reporting Standards and related appendices and interpretations.</w:t>
      </w:r>
    </w:p>
    <w:p w14:paraId="12D61062" w14:textId="7F59C060" w:rsidR="00AE19A5" w:rsidRPr="00604C75" w:rsidRDefault="00776017" w:rsidP="00490153">
      <w:pPr>
        <w:spacing w:before="120" w:line="216" w:lineRule="auto"/>
        <w:jc w:val="both"/>
        <w:rPr>
          <w:rFonts w:eastAsia="Arial Unicode MS"/>
          <w:bCs/>
          <w:sz w:val="20"/>
          <w:szCs w:val="20"/>
        </w:rPr>
      </w:pPr>
      <w:r w:rsidRPr="00604C75">
        <w:rPr>
          <w:rFonts w:eastAsia="Arial Unicode MS"/>
          <w:bCs/>
          <w:sz w:val="20"/>
          <w:szCs w:val="20"/>
        </w:rPr>
        <w:t xml:space="preserve">The </w:t>
      </w:r>
      <w:r w:rsidR="00AE19A5" w:rsidRPr="00604C75">
        <w:rPr>
          <w:rFonts w:eastAsia="Arial Unicode MS"/>
          <w:bCs/>
          <w:sz w:val="20"/>
          <w:szCs w:val="20"/>
        </w:rPr>
        <w:t xml:space="preserve">consolidated financial statements have been prepared in TL, under the historical cost </w:t>
      </w:r>
      <w:r w:rsidR="00F142CB">
        <w:rPr>
          <w:rFonts w:eastAsia="Arial Unicode MS"/>
          <w:bCs/>
          <w:sz w:val="20"/>
          <w:szCs w:val="20"/>
        </w:rPr>
        <w:t>basis</w:t>
      </w:r>
      <w:r w:rsidR="00AE19A5" w:rsidRPr="00604C75">
        <w:rPr>
          <w:rFonts w:eastAsia="Arial Unicode MS"/>
          <w:bCs/>
          <w:sz w:val="20"/>
          <w:szCs w:val="20"/>
        </w:rPr>
        <w:t xml:space="preserve"> as modified in accordance with inflation adjustments applied until 31 December 2004, except for the financial assets and liabilities carried at fair value.</w:t>
      </w:r>
    </w:p>
    <w:p w14:paraId="4C5D2C7C" w14:textId="153A09E7" w:rsidR="00AE19A5" w:rsidRPr="00604C75" w:rsidRDefault="00AE19A5" w:rsidP="00490153">
      <w:pPr>
        <w:pStyle w:val="BodyText"/>
        <w:tabs>
          <w:tab w:val="clear" w:pos="0"/>
          <w:tab w:val="clear" w:pos="567"/>
          <w:tab w:val="clear" w:pos="720"/>
        </w:tabs>
        <w:spacing w:before="120" w:line="216" w:lineRule="auto"/>
        <w:rPr>
          <w:noProof/>
          <w:color w:val="auto"/>
          <w:sz w:val="20"/>
          <w:lang w:val="tr-TR"/>
        </w:rPr>
      </w:pPr>
      <w:r w:rsidRPr="00604C75">
        <w:rPr>
          <w:noProof/>
          <w:color w:val="auto"/>
          <w:sz w:val="20"/>
          <w:lang w:val="tr-TR"/>
        </w:rPr>
        <w:t xml:space="preserve">The preparation of consolidated financial statements in conformity with </w:t>
      </w:r>
      <w:r w:rsidR="00EA67B9">
        <w:rPr>
          <w:noProof/>
          <w:color w:val="auto"/>
          <w:sz w:val="20"/>
          <w:lang w:val="tr-TR"/>
        </w:rPr>
        <w:t>BRSA Accounting and Reporting Legislation</w:t>
      </w:r>
      <w:r w:rsidRPr="00604C75">
        <w:rPr>
          <w:noProof/>
          <w:color w:val="auto"/>
          <w:sz w:val="20"/>
          <w:lang w:val="tr-TR"/>
        </w:rPr>
        <w:t xml:space="preserve"> requires the use of certain critical accounting estimates by the </w:t>
      </w:r>
      <w:r w:rsidR="003274BC" w:rsidRPr="00604C75">
        <w:rPr>
          <w:noProof/>
          <w:color w:val="auto"/>
          <w:sz w:val="20"/>
          <w:lang w:val="tr-TR"/>
        </w:rPr>
        <w:t>Group</w:t>
      </w:r>
      <w:r w:rsidRPr="00604C75">
        <w:rPr>
          <w:noProof/>
          <w:color w:val="auto"/>
          <w:sz w:val="20"/>
          <w:lang w:val="tr-TR"/>
        </w:rPr>
        <w:t xml:space="preserve"> management to exercise its judgment on the assets and liabilities of the balance sheet and contingent issues as of the balance sheet date. These estimates are being </w:t>
      </w:r>
      <w:r w:rsidR="004B157A" w:rsidRPr="00604C75">
        <w:rPr>
          <w:noProof/>
          <w:color w:val="auto"/>
          <w:sz w:val="20"/>
          <w:lang w:val="tr-TR"/>
        </w:rPr>
        <w:t>reviewed</w:t>
      </w:r>
      <w:r w:rsidRPr="00604C75">
        <w:rPr>
          <w:noProof/>
          <w:color w:val="auto"/>
          <w:sz w:val="20"/>
          <w:lang w:val="tr-TR"/>
        </w:rPr>
        <w:t xml:space="preserve"> regularly and, when necessary, suitable corrections are made and the effects of these corrections are reflected to the income statement.</w:t>
      </w:r>
    </w:p>
    <w:p w14:paraId="31F61F1F" w14:textId="3E349396" w:rsidR="009E7C91" w:rsidRPr="00604C75" w:rsidRDefault="009E7C91" w:rsidP="00490153">
      <w:pPr>
        <w:pStyle w:val="BodyTextIndent"/>
        <w:spacing w:before="120"/>
        <w:ind w:left="0"/>
        <w:jc w:val="both"/>
        <w:rPr>
          <w:sz w:val="20"/>
          <w:szCs w:val="20"/>
          <w:lang w:val="tr-TR"/>
        </w:rPr>
      </w:pPr>
      <w:r w:rsidRPr="00604C75">
        <w:rPr>
          <w:sz w:val="20"/>
          <w:szCs w:val="20"/>
          <w:lang w:val="tr-TR"/>
        </w:rPr>
        <w:t xml:space="preserve">The accounting policies and valuation principles applied in the preparation of these financial statements and valuation principles are defined and applied in accordance with </w:t>
      </w:r>
      <w:r w:rsidR="00EA67B9">
        <w:rPr>
          <w:noProof/>
          <w:sz w:val="20"/>
          <w:lang w:val="tr-TR"/>
        </w:rPr>
        <w:t>BRSA Accounting and Reporting Legislation</w:t>
      </w:r>
      <w:r w:rsidRPr="00604C75">
        <w:rPr>
          <w:sz w:val="20"/>
          <w:szCs w:val="20"/>
          <w:lang w:val="tr-TR"/>
        </w:rPr>
        <w:t>. Those accounting policies and valuation principles a</w:t>
      </w:r>
      <w:r w:rsidR="00D47ACF" w:rsidRPr="00604C75">
        <w:rPr>
          <w:sz w:val="20"/>
          <w:szCs w:val="20"/>
          <w:lang w:val="tr-TR"/>
        </w:rPr>
        <w:t xml:space="preserve">re explained in </w:t>
      </w:r>
      <w:r w:rsidR="00D47ACF" w:rsidRPr="00CD0767">
        <w:rPr>
          <w:sz w:val="20"/>
          <w:szCs w:val="20"/>
          <w:lang w:val="tr-TR"/>
        </w:rPr>
        <w:t>Notes II to XXV</w:t>
      </w:r>
      <w:r w:rsidRPr="00CD0767">
        <w:rPr>
          <w:sz w:val="20"/>
          <w:szCs w:val="20"/>
          <w:lang w:val="tr-TR"/>
        </w:rPr>
        <w:t>I below.</w:t>
      </w:r>
    </w:p>
    <w:p w14:paraId="4A14BA02" w14:textId="77777777" w:rsidR="00C03E77" w:rsidRPr="00604C75" w:rsidRDefault="00C03E77" w:rsidP="00490153">
      <w:pPr>
        <w:pStyle w:val="BodyText"/>
        <w:tabs>
          <w:tab w:val="clear" w:pos="0"/>
          <w:tab w:val="clear" w:pos="567"/>
          <w:tab w:val="clear" w:pos="720"/>
        </w:tabs>
        <w:spacing w:before="120" w:line="216" w:lineRule="auto"/>
        <w:rPr>
          <w:color w:val="auto"/>
          <w:sz w:val="20"/>
          <w:lang w:val="tr-TR"/>
        </w:rPr>
      </w:pPr>
      <w:r w:rsidRPr="00604C75">
        <w:rPr>
          <w:color w:val="auto"/>
          <w:sz w:val="20"/>
          <w:lang w:val="tr-TR"/>
        </w:rPr>
        <w:t xml:space="preserve">As of the </w:t>
      </w:r>
      <w:r w:rsidR="002D1EFC" w:rsidRPr="00604C75">
        <w:rPr>
          <w:color w:val="auto"/>
          <w:sz w:val="20"/>
          <w:lang w:val="tr-TR"/>
        </w:rPr>
        <w:t>reporting date</w:t>
      </w:r>
      <w:r w:rsidRPr="00604C75">
        <w:rPr>
          <w:color w:val="auto"/>
          <w:sz w:val="20"/>
          <w:lang w:val="tr-TR"/>
        </w:rPr>
        <w:t xml:space="preserve">, all changes at TAS and </w:t>
      </w:r>
      <w:r w:rsidR="00E01177">
        <w:rPr>
          <w:color w:val="auto"/>
          <w:sz w:val="20"/>
          <w:lang w:val="tr-TR"/>
        </w:rPr>
        <w:t>T</w:t>
      </w:r>
      <w:r w:rsidRPr="00604C75">
        <w:rPr>
          <w:color w:val="auto"/>
          <w:sz w:val="20"/>
          <w:lang w:val="tr-TR"/>
        </w:rPr>
        <w:t xml:space="preserve">FRS except </w:t>
      </w:r>
      <w:r w:rsidR="00E01177">
        <w:rPr>
          <w:color w:val="auto"/>
          <w:sz w:val="20"/>
          <w:lang w:val="tr-TR"/>
        </w:rPr>
        <w:t>T</w:t>
      </w:r>
      <w:r w:rsidRPr="00604C75">
        <w:rPr>
          <w:color w:val="auto"/>
          <w:sz w:val="20"/>
          <w:lang w:val="tr-TR"/>
        </w:rPr>
        <w:t>FRS 9 Financial Instruments Standard, do not expected to have significant impact on Bank’s accounting policies, financial situation and performance.</w:t>
      </w:r>
    </w:p>
    <w:p w14:paraId="211F7919" w14:textId="77777777" w:rsidR="006E10A3" w:rsidRPr="00604C75" w:rsidRDefault="006E10A3" w:rsidP="00490153">
      <w:pPr>
        <w:pStyle w:val="BodyTextIndent"/>
        <w:spacing w:before="120"/>
        <w:ind w:left="0"/>
        <w:jc w:val="both"/>
        <w:rPr>
          <w:b/>
          <w:sz w:val="20"/>
          <w:szCs w:val="20"/>
          <w:lang w:val="tr-TR"/>
        </w:rPr>
      </w:pPr>
      <w:r w:rsidRPr="00604C75">
        <w:rPr>
          <w:b/>
          <w:sz w:val="20"/>
          <w:szCs w:val="20"/>
          <w:lang w:val="tr-TR"/>
        </w:rPr>
        <w:t>Additional paragraph for convenience translation into English</w:t>
      </w:r>
    </w:p>
    <w:p w14:paraId="4F758035" w14:textId="77777777" w:rsidR="00914D0F" w:rsidRPr="00604C75" w:rsidRDefault="006E10A3" w:rsidP="00490153">
      <w:pPr>
        <w:pStyle w:val="BodyTextIndent"/>
        <w:spacing w:before="120"/>
        <w:ind w:left="0" w:right="2"/>
        <w:jc w:val="both"/>
        <w:rPr>
          <w:sz w:val="20"/>
          <w:szCs w:val="20"/>
          <w:lang w:val="tr-TR"/>
        </w:rPr>
      </w:pPr>
      <w:r w:rsidRPr="00604C75">
        <w:rPr>
          <w:sz w:val="20"/>
          <w:szCs w:val="20"/>
          <w:lang w:val="tr-TR"/>
        </w:rPr>
        <w:t>The differences between accounting principles, as described in the preceding paragraphs and accounting principles generally accepted in countries in which these consolidated financial statements are to be distributed</w:t>
      </w:r>
      <w:r w:rsidR="004C7AA4" w:rsidRPr="00604C75">
        <w:rPr>
          <w:sz w:val="20"/>
          <w:szCs w:val="20"/>
          <w:lang w:val="tr-TR"/>
        </w:rPr>
        <w:t>,</w:t>
      </w:r>
      <w:r w:rsidRPr="00604C75">
        <w:rPr>
          <w:sz w:val="20"/>
          <w:szCs w:val="20"/>
          <w:lang w:val="tr-TR"/>
        </w:rPr>
        <w:t xml:space="preserve"> and International Financial Reporting Standards (“IFRS”) </w:t>
      </w:r>
      <w:r w:rsidR="00914D0F" w:rsidRPr="00604C75">
        <w:rPr>
          <w:sz w:val="20"/>
          <w:szCs w:val="20"/>
          <w:lang w:val="tr-TR"/>
        </w:rPr>
        <w:t>may have significant influence on the accompanying</w:t>
      </w:r>
      <w:r w:rsidR="00190E44" w:rsidRPr="00604C75">
        <w:rPr>
          <w:sz w:val="20"/>
          <w:szCs w:val="20"/>
          <w:lang w:val="tr-TR"/>
        </w:rPr>
        <w:t xml:space="preserve"> consolidated</w:t>
      </w:r>
      <w:r w:rsidR="00914D0F" w:rsidRPr="00604C75">
        <w:rPr>
          <w:sz w:val="20"/>
          <w:szCs w:val="20"/>
          <w:lang w:val="tr-TR"/>
        </w:rPr>
        <w:t xml:space="preserve"> financial statements</w:t>
      </w:r>
      <w:r w:rsidRPr="00604C75">
        <w:rPr>
          <w:sz w:val="20"/>
          <w:szCs w:val="20"/>
          <w:lang w:val="tr-TR"/>
        </w:rPr>
        <w:t xml:space="preserve">. </w:t>
      </w:r>
      <w:r w:rsidR="00914D0F" w:rsidRPr="00604C75">
        <w:rPr>
          <w:sz w:val="20"/>
          <w:szCs w:val="20"/>
          <w:lang w:val="tr-TR"/>
        </w:rPr>
        <w:t>Accordingly, the accompanying</w:t>
      </w:r>
      <w:r w:rsidR="00190E44" w:rsidRPr="00604C75">
        <w:rPr>
          <w:sz w:val="20"/>
          <w:szCs w:val="20"/>
          <w:lang w:val="tr-TR"/>
        </w:rPr>
        <w:t xml:space="preserve"> consolidated</w:t>
      </w:r>
      <w:r w:rsidR="00914D0F" w:rsidRPr="00604C75">
        <w:rPr>
          <w:sz w:val="20"/>
          <w:szCs w:val="20"/>
          <w:lang w:val="tr-TR"/>
        </w:rPr>
        <w:t xml:space="preserve"> financial statements are not intended to present the financial position and results of operations in accordance with the accounting principles generally accepted in such countries and IFRS.</w:t>
      </w:r>
    </w:p>
    <w:p w14:paraId="69C46012" w14:textId="12A202F2" w:rsidR="00AE19A5" w:rsidRPr="00604C75" w:rsidRDefault="00B5006A" w:rsidP="008477F3">
      <w:pPr>
        <w:numPr>
          <w:ilvl w:val="0"/>
          <w:numId w:val="33"/>
        </w:numPr>
        <w:tabs>
          <w:tab w:val="left" w:pos="851"/>
        </w:tabs>
        <w:spacing w:before="120" w:line="216" w:lineRule="auto"/>
        <w:ind w:left="798" w:hanging="798"/>
        <w:jc w:val="both"/>
        <w:rPr>
          <w:b/>
          <w:noProof/>
          <w:sz w:val="20"/>
          <w:szCs w:val="20"/>
          <w:lang w:val="tr-TR"/>
        </w:rPr>
      </w:pPr>
      <w:bookmarkStart w:id="3" w:name="_Toc198789825"/>
      <w:bookmarkStart w:id="4" w:name="_Toc198789887"/>
      <w:r w:rsidRPr="00604C75">
        <w:rPr>
          <w:b/>
          <w:noProof/>
          <w:sz w:val="20"/>
          <w:szCs w:val="20"/>
          <w:lang w:val="tr-TR"/>
        </w:rPr>
        <w:t>Strategy of Using Financial Instruments and Foreign Currency Transactions</w:t>
      </w:r>
      <w:bookmarkEnd w:id="3"/>
      <w:bookmarkEnd w:id="4"/>
    </w:p>
    <w:p w14:paraId="68500C1A" w14:textId="77777777" w:rsidR="007042ED" w:rsidRPr="00604C75" w:rsidRDefault="00410A8B" w:rsidP="00490153">
      <w:pPr>
        <w:spacing w:before="120" w:line="216" w:lineRule="auto"/>
        <w:jc w:val="both"/>
        <w:rPr>
          <w:sz w:val="20"/>
          <w:szCs w:val="20"/>
        </w:rPr>
      </w:pPr>
      <w:r w:rsidRPr="00604C75">
        <w:rPr>
          <w:rStyle w:val="hps"/>
          <w:sz w:val="20"/>
          <w:szCs w:val="20"/>
        </w:rPr>
        <w:t xml:space="preserve">A major portion of the </w:t>
      </w:r>
      <w:r w:rsidR="00106CE3" w:rsidRPr="00604C75">
        <w:rPr>
          <w:rStyle w:val="hps"/>
          <w:sz w:val="20"/>
          <w:szCs w:val="20"/>
        </w:rPr>
        <w:t xml:space="preserve">Parent </w:t>
      </w:r>
      <w:r w:rsidR="00394CFE" w:rsidRPr="00604C75">
        <w:rPr>
          <w:rStyle w:val="hps"/>
          <w:sz w:val="20"/>
          <w:szCs w:val="20"/>
        </w:rPr>
        <w:t>Bank</w:t>
      </w:r>
      <w:r w:rsidR="002A10C8" w:rsidRPr="00604C75">
        <w:rPr>
          <w:rStyle w:val="hps"/>
          <w:sz w:val="20"/>
          <w:szCs w:val="20"/>
        </w:rPr>
        <w:t>’s</w:t>
      </w:r>
      <w:r w:rsidRPr="00604C75">
        <w:rPr>
          <w:rStyle w:val="hps"/>
          <w:sz w:val="20"/>
          <w:szCs w:val="20"/>
        </w:rPr>
        <w:t xml:space="preserve"> funding</w:t>
      </w:r>
      <w:r w:rsidR="00AE19A5" w:rsidRPr="00604C75">
        <w:rPr>
          <w:sz w:val="20"/>
          <w:szCs w:val="20"/>
        </w:rPr>
        <w:t xml:space="preserve"> </w:t>
      </w:r>
      <w:r w:rsidR="00AE19A5" w:rsidRPr="00604C75">
        <w:rPr>
          <w:rStyle w:val="hps"/>
          <w:sz w:val="20"/>
          <w:szCs w:val="20"/>
        </w:rPr>
        <w:t>has</w:t>
      </w:r>
      <w:r w:rsidR="00AE19A5" w:rsidRPr="00604C75">
        <w:rPr>
          <w:sz w:val="20"/>
          <w:szCs w:val="20"/>
        </w:rPr>
        <w:t xml:space="preserve"> </w:t>
      </w:r>
      <w:r w:rsidR="00AE19A5" w:rsidRPr="00604C75">
        <w:rPr>
          <w:rStyle w:val="hps"/>
          <w:sz w:val="20"/>
          <w:szCs w:val="20"/>
        </w:rPr>
        <w:t>fixed interest rates</w:t>
      </w:r>
      <w:r w:rsidR="00AE19A5" w:rsidRPr="00604C75">
        <w:rPr>
          <w:sz w:val="20"/>
          <w:szCs w:val="20"/>
        </w:rPr>
        <w:t xml:space="preserve">; </w:t>
      </w:r>
      <w:r w:rsidR="005328B4" w:rsidRPr="00604C75">
        <w:rPr>
          <w:rStyle w:val="hps"/>
          <w:sz w:val="20"/>
          <w:szCs w:val="20"/>
        </w:rPr>
        <w:t>almost</w:t>
      </w:r>
      <w:r w:rsidR="00AE19A5" w:rsidRPr="00604C75">
        <w:rPr>
          <w:rStyle w:val="hps"/>
          <w:sz w:val="20"/>
          <w:szCs w:val="20"/>
        </w:rPr>
        <w:t xml:space="preserve"> all</w:t>
      </w:r>
      <w:r w:rsidR="00AE19A5" w:rsidRPr="00604C75">
        <w:rPr>
          <w:sz w:val="20"/>
          <w:szCs w:val="20"/>
        </w:rPr>
        <w:t xml:space="preserve"> </w:t>
      </w:r>
      <w:r w:rsidR="00113FA2" w:rsidRPr="00604C75">
        <w:rPr>
          <w:rStyle w:val="hps"/>
          <w:sz w:val="20"/>
          <w:szCs w:val="20"/>
        </w:rPr>
        <w:t>TL</w:t>
      </w:r>
      <w:r w:rsidR="00113FA2" w:rsidRPr="00604C75">
        <w:rPr>
          <w:sz w:val="20"/>
          <w:szCs w:val="20"/>
        </w:rPr>
        <w:t xml:space="preserve"> </w:t>
      </w:r>
      <w:r w:rsidR="00AE19A5" w:rsidRPr="00604C75">
        <w:rPr>
          <w:rStyle w:val="hps"/>
          <w:sz w:val="20"/>
          <w:szCs w:val="20"/>
        </w:rPr>
        <w:t>placements</w:t>
      </w:r>
      <w:r w:rsidR="00AE19A5" w:rsidRPr="00604C75">
        <w:rPr>
          <w:sz w:val="20"/>
          <w:szCs w:val="20"/>
        </w:rPr>
        <w:t xml:space="preserve"> </w:t>
      </w:r>
      <w:r w:rsidR="00AE19A5" w:rsidRPr="00604C75">
        <w:rPr>
          <w:rStyle w:val="hps"/>
          <w:sz w:val="20"/>
          <w:szCs w:val="20"/>
        </w:rPr>
        <w:t>consist of</w:t>
      </w:r>
      <w:r w:rsidR="00AE19A5" w:rsidRPr="00604C75">
        <w:rPr>
          <w:sz w:val="20"/>
          <w:szCs w:val="20"/>
        </w:rPr>
        <w:t xml:space="preserve"> </w:t>
      </w:r>
      <w:r w:rsidR="00AE19A5" w:rsidRPr="00604C75">
        <w:rPr>
          <w:rStyle w:val="hps"/>
          <w:sz w:val="20"/>
          <w:szCs w:val="20"/>
        </w:rPr>
        <w:t>low-risk</w:t>
      </w:r>
      <w:r w:rsidR="00AE19A5" w:rsidRPr="00604C75">
        <w:rPr>
          <w:sz w:val="20"/>
          <w:szCs w:val="20"/>
        </w:rPr>
        <w:t xml:space="preserve"> </w:t>
      </w:r>
      <w:r w:rsidR="00AE19A5" w:rsidRPr="00604C75">
        <w:rPr>
          <w:rStyle w:val="hps"/>
          <w:sz w:val="20"/>
          <w:szCs w:val="20"/>
        </w:rPr>
        <w:t>short-term transactions</w:t>
      </w:r>
      <w:r w:rsidR="00AE19A5" w:rsidRPr="00604C75">
        <w:rPr>
          <w:sz w:val="20"/>
          <w:szCs w:val="20"/>
        </w:rPr>
        <w:t xml:space="preserve">. </w:t>
      </w:r>
      <w:r w:rsidR="00AE19A5" w:rsidRPr="00604C75">
        <w:rPr>
          <w:rStyle w:val="hps"/>
          <w:sz w:val="20"/>
          <w:szCs w:val="20"/>
        </w:rPr>
        <w:t>Liquidity risk</w:t>
      </w:r>
      <w:r w:rsidR="00AE19A5" w:rsidRPr="00604C75">
        <w:rPr>
          <w:sz w:val="20"/>
          <w:szCs w:val="20"/>
        </w:rPr>
        <w:t xml:space="preserve"> </w:t>
      </w:r>
      <w:r w:rsidR="00AE19A5" w:rsidRPr="00604C75">
        <w:rPr>
          <w:rStyle w:val="hps"/>
          <w:sz w:val="20"/>
          <w:szCs w:val="20"/>
        </w:rPr>
        <w:t>is monitored</w:t>
      </w:r>
      <w:r w:rsidR="00AE19A5" w:rsidRPr="00604C75">
        <w:rPr>
          <w:sz w:val="20"/>
          <w:szCs w:val="20"/>
        </w:rPr>
        <w:t xml:space="preserve"> </w:t>
      </w:r>
      <w:r w:rsidR="00AE19A5" w:rsidRPr="00604C75">
        <w:rPr>
          <w:rStyle w:val="hps"/>
          <w:sz w:val="20"/>
          <w:szCs w:val="20"/>
        </w:rPr>
        <w:t>closely</w:t>
      </w:r>
      <w:r w:rsidR="00AE19A5" w:rsidRPr="00604C75">
        <w:rPr>
          <w:sz w:val="20"/>
          <w:szCs w:val="20"/>
        </w:rPr>
        <w:t xml:space="preserve"> </w:t>
      </w:r>
      <w:r w:rsidR="00AE19A5" w:rsidRPr="00604C75">
        <w:rPr>
          <w:rStyle w:val="hps"/>
          <w:sz w:val="20"/>
          <w:szCs w:val="20"/>
        </w:rPr>
        <w:t>and</w:t>
      </w:r>
      <w:r w:rsidR="00AE19A5" w:rsidRPr="00604C75">
        <w:rPr>
          <w:sz w:val="20"/>
          <w:szCs w:val="20"/>
        </w:rPr>
        <w:t xml:space="preserve"> </w:t>
      </w:r>
      <w:r w:rsidR="00AE19A5" w:rsidRPr="00604C75">
        <w:rPr>
          <w:rStyle w:val="hps"/>
          <w:sz w:val="20"/>
          <w:szCs w:val="20"/>
        </w:rPr>
        <w:t>the adequacy of</w:t>
      </w:r>
      <w:r w:rsidR="00AE19A5" w:rsidRPr="00604C75">
        <w:rPr>
          <w:sz w:val="20"/>
          <w:szCs w:val="20"/>
        </w:rPr>
        <w:t xml:space="preserve"> </w:t>
      </w:r>
      <w:r w:rsidR="00AE19A5" w:rsidRPr="00604C75">
        <w:rPr>
          <w:rStyle w:val="hps"/>
          <w:sz w:val="20"/>
          <w:szCs w:val="20"/>
        </w:rPr>
        <w:t>available resources</w:t>
      </w:r>
      <w:r w:rsidR="00AE19A5" w:rsidRPr="00604C75">
        <w:rPr>
          <w:sz w:val="20"/>
          <w:szCs w:val="20"/>
        </w:rPr>
        <w:t xml:space="preserve"> </w:t>
      </w:r>
      <w:r w:rsidR="00AE19A5" w:rsidRPr="00604C75">
        <w:rPr>
          <w:rStyle w:val="hps"/>
          <w:sz w:val="20"/>
          <w:szCs w:val="20"/>
        </w:rPr>
        <w:t>(</w:t>
      </w:r>
      <w:r w:rsidR="00AE19A5" w:rsidRPr="00604C75">
        <w:rPr>
          <w:sz w:val="20"/>
          <w:szCs w:val="20"/>
        </w:rPr>
        <w:t xml:space="preserve">which will be due </w:t>
      </w:r>
      <w:r w:rsidR="00AE19A5" w:rsidRPr="00604C75">
        <w:rPr>
          <w:rStyle w:val="hps"/>
          <w:sz w:val="20"/>
          <w:szCs w:val="20"/>
        </w:rPr>
        <w:t>within</w:t>
      </w:r>
      <w:r w:rsidR="00AE19A5" w:rsidRPr="00604C75">
        <w:rPr>
          <w:sz w:val="20"/>
          <w:szCs w:val="20"/>
        </w:rPr>
        <w:t xml:space="preserve"> </w:t>
      </w:r>
      <w:r w:rsidR="00AE19A5" w:rsidRPr="00604C75">
        <w:rPr>
          <w:rStyle w:val="hps"/>
          <w:sz w:val="20"/>
          <w:szCs w:val="20"/>
        </w:rPr>
        <w:t>a certain period of</w:t>
      </w:r>
      <w:r w:rsidR="00AE19A5" w:rsidRPr="00604C75">
        <w:rPr>
          <w:sz w:val="20"/>
          <w:szCs w:val="20"/>
        </w:rPr>
        <w:t xml:space="preserve"> </w:t>
      </w:r>
      <w:r w:rsidR="00AE19A5" w:rsidRPr="00604C75">
        <w:rPr>
          <w:rStyle w:val="hps"/>
          <w:sz w:val="20"/>
          <w:szCs w:val="20"/>
        </w:rPr>
        <w:t>fulfillment of</w:t>
      </w:r>
      <w:r w:rsidR="00AE19A5" w:rsidRPr="00604C75">
        <w:rPr>
          <w:sz w:val="20"/>
          <w:szCs w:val="20"/>
        </w:rPr>
        <w:t xml:space="preserve"> </w:t>
      </w:r>
      <w:r w:rsidR="00AE19A5" w:rsidRPr="00604C75">
        <w:rPr>
          <w:rStyle w:val="hps"/>
          <w:sz w:val="20"/>
          <w:szCs w:val="20"/>
        </w:rPr>
        <w:t>obligations</w:t>
      </w:r>
      <w:r w:rsidR="00AE19A5" w:rsidRPr="00604C75">
        <w:rPr>
          <w:sz w:val="20"/>
          <w:szCs w:val="20"/>
        </w:rPr>
        <w:t xml:space="preserve">) </w:t>
      </w:r>
      <w:r w:rsidR="00AE19A5" w:rsidRPr="00604C75">
        <w:rPr>
          <w:rStyle w:val="hps"/>
          <w:sz w:val="20"/>
          <w:szCs w:val="20"/>
        </w:rPr>
        <w:t>are closely monitored.</w:t>
      </w:r>
      <w:r w:rsidR="00AE19A5" w:rsidRPr="00604C75">
        <w:rPr>
          <w:sz w:val="20"/>
          <w:szCs w:val="20"/>
        </w:rPr>
        <w:t xml:space="preserve"> </w:t>
      </w:r>
      <w:r w:rsidR="00AE19A5" w:rsidRPr="00604C75">
        <w:rPr>
          <w:rStyle w:val="hps"/>
          <w:sz w:val="20"/>
          <w:szCs w:val="20"/>
        </w:rPr>
        <w:t>The maturity structure</w:t>
      </w:r>
      <w:r w:rsidR="00AE19A5" w:rsidRPr="00604C75">
        <w:rPr>
          <w:sz w:val="20"/>
          <w:szCs w:val="20"/>
        </w:rPr>
        <w:t xml:space="preserve"> </w:t>
      </w:r>
      <w:r w:rsidR="00AE19A5" w:rsidRPr="00604C75">
        <w:rPr>
          <w:rStyle w:val="hps"/>
          <w:sz w:val="20"/>
          <w:szCs w:val="20"/>
        </w:rPr>
        <w:t>of placements</w:t>
      </w:r>
      <w:r w:rsidR="00AE19A5" w:rsidRPr="00604C75">
        <w:rPr>
          <w:sz w:val="20"/>
          <w:szCs w:val="20"/>
        </w:rPr>
        <w:t xml:space="preserve"> </w:t>
      </w:r>
      <w:proofErr w:type="spellStart"/>
      <w:r w:rsidR="007042ED" w:rsidRPr="00604C75">
        <w:rPr>
          <w:sz w:val="20"/>
          <w:szCs w:val="20"/>
        </w:rPr>
        <w:t>is</w:t>
      </w:r>
      <w:r w:rsidR="00D22C91" w:rsidRPr="00604C75">
        <w:rPr>
          <w:sz w:val="20"/>
          <w:szCs w:val="20"/>
        </w:rPr>
        <w:t>a</w:t>
      </w:r>
      <w:proofErr w:type="spellEnd"/>
      <w:r w:rsidR="007042ED" w:rsidRPr="00604C75">
        <w:rPr>
          <w:sz w:val="20"/>
          <w:szCs w:val="20"/>
        </w:rPr>
        <w:t xml:space="preserve"> aimed to be in line with the </w:t>
      </w:r>
      <w:r w:rsidR="00AE19A5" w:rsidRPr="00604C75">
        <w:rPr>
          <w:rStyle w:val="hps"/>
          <w:sz w:val="20"/>
          <w:szCs w:val="20"/>
        </w:rPr>
        <w:t>maturities</w:t>
      </w:r>
      <w:r w:rsidR="00AE19A5" w:rsidRPr="00604C75">
        <w:rPr>
          <w:sz w:val="20"/>
          <w:szCs w:val="20"/>
        </w:rPr>
        <w:t xml:space="preserve"> </w:t>
      </w:r>
      <w:r w:rsidR="00AE19A5" w:rsidRPr="00604C75">
        <w:rPr>
          <w:rStyle w:val="hps"/>
          <w:sz w:val="20"/>
          <w:szCs w:val="20"/>
        </w:rPr>
        <w:t>of resources</w:t>
      </w:r>
      <w:r w:rsidR="00AE19A5" w:rsidRPr="00604C75">
        <w:rPr>
          <w:sz w:val="20"/>
          <w:szCs w:val="20"/>
        </w:rPr>
        <w:t xml:space="preserve"> </w:t>
      </w:r>
      <w:r w:rsidR="00AE19A5" w:rsidRPr="00604C75">
        <w:rPr>
          <w:rStyle w:val="hps"/>
          <w:sz w:val="20"/>
          <w:szCs w:val="20"/>
        </w:rPr>
        <w:t>of the country</w:t>
      </w:r>
      <w:r w:rsidR="00AE19A5" w:rsidRPr="00604C75">
        <w:rPr>
          <w:sz w:val="20"/>
          <w:szCs w:val="20"/>
        </w:rPr>
        <w:t xml:space="preserve"> </w:t>
      </w:r>
      <w:r w:rsidR="00AE19A5" w:rsidRPr="00604C75">
        <w:rPr>
          <w:rStyle w:val="hps"/>
          <w:sz w:val="20"/>
          <w:szCs w:val="20"/>
        </w:rPr>
        <w:t>to</w:t>
      </w:r>
      <w:r w:rsidR="00AE19A5" w:rsidRPr="00604C75">
        <w:rPr>
          <w:sz w:val="20"/>
          <w:szCs w:val="20"/>
        </w:rPr>
        <w:t xml:space="preserve"> </w:t>
      </w:r>
      <w:r w:rsidR="00AE19A5" w:rsidRPr="00604C75">
        <w:rPr>
          <w:rStyle w:val="hps"/>
          <w:sz w:val="20"/>
          <w:szCs w:val="20"/>
        </w:rPr>
        <w:t>the extent permitted by</w:t>
      </w:r>
      <w:r w:rsidR="00AE19A5" w:rsidRPr="00604C75">
        <w:rPr>
          <w:sz w:val="20"/>
          <w:szCs w:val="20"/>
        </w:rPr>
        <w:t xml:space="preserve"> </w:t>
      </w:r>
      <w:r w:rsidR="00AE19A5" w:rsidRPr="00604C75">
        <w:rPr>
          <w:rStyle w:val="hps"/>
          <w:sz w:val="20"/>
          <w:szCs w:val="20"/>
        </w:rPr>
        <w:t>current</w:t>
      </w:r>
      <w:r w:rsidR="00AE19A5" w:rsidRPr="00604C75">
        <w:rPr>
          <w:sz w:val="20"/>
          <w:szCs w:val="20"/>
        </w:rPr>
        <w:t xml:space="preserve"> </w:t>
      </w:r>
      <w:r w:rsidR="00AE19A5" w:rsidRPr="00604C75">
        <w:rPr>
          <w:rStyle w:val="hps"/>
          <w:sz w:val="20"/>
          <w:szCs w:val="20"/>
        </w:rPr>
        <w:t>conditions</w:t>
      </w:r>
      <w:r w:rsidR="007042ED" w:rsidRPr="00604C75">
        <w:rPr>
          <w:rStyle w:val="hps"/>
          <w:sz w:val="20"/>
          <w:szCs w:val="20"/>
        </w:rPr>
        <w:t>.</w:t>
      </w:r>
      <w:r w:rsidR="00AE19A5" w:rsidRPr="00604C75">
        <w:rPr>
          <w:sz w:val="20"/>
          <w:szCs w:val="20"/>
        </w:rPr>
        <w:t xml:space="preserve"> </w:t>
      </w:r>
    </w:p>
    <w:p w14:paraId="62B7D49C" w14:textId="654ED669" w:rsidR="00AE19A5" w:rsidRPr="00604C75" w:rsidRDefault="003546CE" w:rsidP="00490153">
      <w:pPr>
        <w:spacing w:before="120" w:line="216" w:lineRule="auto"/>
        <w:jc w:val="both"/>
        <w:rPr>
          <w:sz w:val="20"/>
          <w:szCs w:val="20"/>
        </w:rPr>
      </w:pPr>
      <w:r w:rsidRPr="00604C75">
        <w:rPr>
          <w:sz w:val="20"/>
          <w:szCs w:val="20"/>
        </w:rPr>
        <w:t>Risk bearing short term positions of currency, interest or price movements in money and capital markets is</w:t>
      </w:r>
      <w:r w:rsidR="005328B4" w:rsidRPr="00604C75">
        <w:rPr>
          <w:sz w:val="20"/>
          <w:szCs w:val="20"/>
        </w:rPr>
        <w:t xml:space="preserve"> evaluated </w:t>
      </w:r>
      <w:r w:rsidRPr="00604C75">
        <w:rPr>
          <w:sz w:val="20"/>
          <w:szCs w:val="20"/>
        </w:rPr>
        <w:t>within the</w:t>
      </w:r>
      <w:r w:rsidR="00AE19A5" w:rsidRPr="00604C75">
        <w:rPr>
          <w:sz w:val="20"/>
          <w:szCs w:val="20"/>
        </w:rPr>
        <w:t xml:space="preserve"> trading risk. The </w:t>
      </w:r>
      <w:r w:rsidR="00914D0F" w:rsidRPr="00604C75">
        <w:rPr>
          <w:sz w:val="20"/>
          <w:szCs w:val="20"/>
        </w:rPr>
        <w:t>Parent B</w:t>
      </w:r>
      <w:r w:rsidR="00AE19A5" w:rsidRPr="00604C75">
        <w:rPr>
          <w:sz w:val="20"/>
          <w:szCs w:val="20"/>
        </w:rPr>
        <w:t xml:space="preserve">ank </w:t>
      </w:r>
      <w:r w:rsidR="00D72AC3" w:rsidRPr="00604C75">
        <w:rPr>
          <w:sz w:val="20"/>
          <w:szCs w:val="20"/>
        </w:rPr>
        <w:t xml:space="preserve">evaluated the </w:t>
      </w:r>
      <w:r w:rsidR="00AE19A5" w:rsidRPr="00604C75">
        <w:rPr>
          <w:sz w:val="20"/>
          <w:szCs w:val="20"/>
        </w:rPr>
        <w:t xml:space="preserve">required economic capital </w:t>
      </w:r>
      <w:r w:rsidR="00D72AC3" w:rsidRPr="00604C75">
        <w:rPr>
          <w:sz w:val="20"/>
          <w:szCs w:val="20"/>
        </w:rPr>
        <w:t>for trading risk and based on that</w:t>
      </w:r>
      <w:r w:rsidR="00AE19A5" w:rsidRPr="00604C75">
        <w:rPr>
          <w:sz w:val="20"/>
          <w:szCs w:val="20"/>
        </w:rPr>
        <w:t xml:space="preserve"> </w:t>
      </w:r>
      <w:r w:rsidR="00D72AC3" w:rsidRPr="00604C75">
        <w:rPr>
          <w:sz w:val="20"/>
          <w:szCs w:val="20"/>
        </w:rPr>
        <w:t>risk limits are determined</w:t>
      </w:r>
      <w:r w:rsidR="00AE19A5" w:rsidRPr="00604C75">
        <w:rPr>
          <w:sz w:val="20"/>
          <w:szCs w:val="20"/>
        </w:rPr>
        <w:t xml:space="preserve">. This portfolio, being priced by the market on a daily basis and the limits are monitored on a daily basis. </w:t>
      </w:r>
      <w:r w:rsidR="00980297">
        <w:rPr>
          <w:sz w:val="20"/>
          <w:szCs w:val="20"/>
        </w:rPr>
        <w:t>Risk limits are approved by Board of D</w:t>
      </w:r>
      <w:r w:rsidR="00D72AC3" w:rsidRPr="00604C75">
        <w:rPr>
          <w:sz w:val="20"/>
          <w:szCs w:val="20"/>
        </w:rPr>
        <w:t>irectors once a year following the approval of the budget except a revision is required due to the economic conditions</w:t>
      </w:r>
      <w:r w:rsidR="00AE19A5" w:rsidRPr="00604C75">
        <w:rPr>
          <w:sz w:val="20"/>
          <w:szCs w:val="20"/>
        </w:rPr>
        <w:t>.</w:t>
      </w:r>
    </w:p>
    <w:p w14:paraId="175BE0D9" w14:textId="77777777" w:rsidR="00FD1E7E" w:rsidRPr="00604C75" w:rsidRDefault="00AE19A5" w:rsidP="00490153">
      <w:pPr>
        <w:tabs>
          <w:tab w:val="left" w:pos="851"/>
        </w:tabs>
        <w:spacing w:before="120" w:line="216" w:lineRule="auto"/>
        <w:jc w:val="both"/>
        <w:rPr>
          <w:sz w:val="20"/>
          <w:szCs w:val="20"/>
        </w:rPr>
      </w:pPr>
      <w:r w:rsidRPr="00160D99">
        <w:rPr>
          <w:sz w:val="20"/>
          <w:szCs w:val="20"/>
        </w:rPr>
        <w:t xml:space="preserve">As of </w:t>
      </w:r>
      <w:r w:rsidR="00D405BC" w:rsidRPr="00160D99">
        <w:rPr>
          <w:sz w:val="20"/>
          <w:szCs w:val="20"/>
        </w:rPr>
        <w:t>3</w:t>
      </w:r>
      <w:r w:rsidR="008B3562">
        <w:rPr>
          <w:sz w:val="20"/>
          <w:szCs w:val="20"/>
        </w:rPr>
        <w:t>1</w:t>
      </w:r>
      <w:r w:rsidR="00D405BC" w:rsidRPr="00160D99">
        <w:rPr>
          <w:sz w:val="20"/>
          <w:szCs w:val="20"/>
        </w:rPr>
        <w:t xml:space="preserve"> </w:t>
      </w:r>
      <w:r w:rsidR="008B3562">
        <w:rPr>
          <w:sz w:val="20"/>
          <w:szCs w:val="20"/>
        </w:rPr>
        <w:t>December</w:t>
      </w:r>
      <w:r w:rsidR="008B3562" w:rsidRPr="00160D99">
        <w:rPr>
          <w:sz w:val="20"/>
          <w:szCs w:val="20"/>
        </w:rPr>
        <w:t xml:space="preserve"> </w:t>
      </w:r>
      <w:r w:rsidR="000708DF" w:rsidRPr="00160D99">
        <w:rPr>
          <w:sz w:val="20"/>
          <w:szCs w:val="20"/>
        </w:rPr>
        <w:t>2015</w:t>
      </w:r>
      <w:r w:rsidRPr="00160D99">
        <w:rPr>
          <w:sz w:val="20"/>
          <w:szCs w:val="20"/>
        </w:rPr>
        <w:t xml:space="preserve"> and 31 December 201</w:t>
      </w:r>
      <w:r w:rsidR="000708DF" w:rsidRPr="00160D99">
        <w:rPr>
          <w:sz w:val="20"/>
          <w:szCs w:val="20"/>
        </w:rPr>
        <w:t>4</w:t>
      </w:r>
      <w:r w:rsidRPr="00160D99">
        <w:rPr>
          <w:sz w:val="20"/>
          <w:szCs w:val="20"/>
        </w:rPr>
        <w:t>, the</w:t>
      </w:r>
      <w:r w:rsidR="00106CE3" w:rsidRPr="00160D99">
        <w:rPr>
          <w:sz w:val="20"/>
          <w:szCs w:val="20"/>
        </w:rPr>
        <w:t xml:space="preserve"> Parent B</w:t>
      </w:r>
      <w:r w:rsidRPr="00160D99">
        <w:rPr>
          <w:sz w:val="20"/>
          <w:szCs w:val="20"/>
        </w:rPr>
        <w:t xml:space="preserve">ank does not have </w:t>
      </w:r>
      <w:r w:rsidR="00BF049F" w:rsidRPr="00CD0767">
        <w:rPr>
          <w:sz w:val="20"/>
          <w:szCs w:val="20"/>
        </w:rPr>
        <w:t xml:space="preserve">any </w:t>
      </w:r>
      <w:r w:rsidRPr="00CD0767">
        <w:rPr>
          <w:sz w:val="20"/>
          <w:szCs w:val="20"/>
        </w:rPr>
        <w:t>investment in foreign companies.</w:t>
      </w:r>
    </w:p>
    <w:p w14:paraId="3ACD95E9" w14:textId="77777777" w:rsidR="00FD1E7E" w:rsidRPr="00604C75" w:rsidRDefault="00FD1E7E" w:rsidP="000B4878">
      <w:pPr>
        <w:tabs>
          <w:tab w:val="left" w:pos="851"/>
        </w:tabs>
        <w:spacing w:line="216" w:lineRule="auto"/>
        <w:jc w:val="both"/>
        <w:rPr>
          <w:sz w:val="20"/>
          <w:szCs w:val="20"/>
        </w:rPr>
      </w:pPr>
    </w:p>
    <w:p w14:paraId="7BFCE482" w14:textId="77777777" w:rsidR="005A217D" w:rsidRPr="00604C75" w:rsidRDefault="005A217D" w:rsidP="00490153">
      <w:pPr>
        <w:pageBreakBefore/>
        <w:tabs>
          <w:tab w:val="left" w:pos="851"/>
        </w:tabs>
        <w:spacing w:before="120" w:line="216" w:lineRule="auto"/>
        <w:jc w:val="both"/>
        <w:rPr>
          <w:b/>
          <w:noProof/>
          <w:sz w:val="16"/>
          <w:szCs w:val="16"/>
          <w:lang w:val="tr-TR"/>
        </w:rPr>
      </w:pPr>
      <w:r w:rsidRPr="00604C75">
        <w:rPr>
          <w:b/>
          <w:sz w:val="20"/>
          <w:szCs w:val="20"/>
        </w:rPr>
        <w:lastRenderedPageBreak/>
        <w:t>EXPLANATIONS ON ACCOUNTING POLICIES (Continued)</w:t>
      </w:r>
    </w:p>
    <w:p w14:paraId="6EC1E6BA" w14:textId="6C57C445" w:rsidR="00D5440D" w:rsidRPr="00604C75" w:rsidRDefault="003F1F39" w:rsidP="008477F3">
      <w:pPr>
        <w:numPr>
          <w:ilvl w:val="0"/>
          <w:numId w:val="33"/>
        </w:numPr>
        <w:tabs>
          <w:tab w:val="left" w:pos="851"/>
        </w:tabs>
        <w:spacing w:before="120" w:line="211" w:lineRule="auto"/>
        <w:ind w:left="851" w:hanging="851"/>
        <w:jc w:val="both"/>
        <w:rPr>
          <w:b/>
          <w:noProof/>
          <w:sz w:val="20"/>
          <w:szCs w:val="20"/>
          <w:lang w:val="tr-TR"/>
        </w:rPr>
      </w:pPr>
      <w:r w:rsidRPr="00604C75">
        <w:rPr>
          <w:b/>
          <w:noProof/>
          <w:sz w:val="20"/>
          <w:szCs w:val="20"/>
          <w:lang w:val="tr-TR"/>
        </w:rPr>
        <w:t>C</w:t>
      </w:r>
      <w:r w:rsidR="00D25151" w:rsidRPr="00604C75">
        <w:rPr>
          <w:b/>
          <w:noProof/>
          <w:sz w:val="20"/>
          <w:szCs w:val="20"/>
          <w:lang w:val="tr-TR"/>
        </w:rPr>
        <w:t>onsolidated</w:t>
      </w:r>
      <w:r w:rsidR="00AE19A5" w:rsidRPr="00604C75">
        <w:rPr>
          <w:b/>
          <w:noProof/>
          <w:sz w:val="20"/>
          <w:szCs w:val="20"/>
          <w:lang w:val="tr-TR"/>
        </w:rPr>
        <w:t xml:space="preserve"> </w:t>
      </w:r>
      <w:r w:rsidR="00836B29" w:rsidRPr="00604C75">
        <w:rPr>
          <w:b/>
          <w:noProof/>
          <w:sz w:val="20"/>
          <w:szCs w:val="20"/>
          <w:lang w:val="tr-TR"/>
        </w:rPr>
        <w:t>S</w:t>
      </w:r>
      <w:r w:rsidR="00D25151" w:rsidRPr="00604C75">
        <w:rPr>
          <w:b/>
          <w:noProof/>
          <w:sz w:val="20"/>
          <w:szCs w:val="20"/>
          <w:lang w:val="tr-TR"/>
        </w:rPr>
        <w:t>ubsidiaries</w:t>
      </w:r>
    </w:p>
    <w:p w14:paraId="3FBC0707" w14:textId="77777777" w:rsidR="003F1F39" w:rsidRPr="00604C75" w:rsidRDefault="00B02C0C" w:rsidP="00490153">
      <w:pPr>
        <w:pStyle w:val="BodyTextIndent"/>
        <w:spacing w:before="120"/>
        <w:ind w:left="0" w:right="2"/>
        <w:jc w:val="both"/>
        <w:rPr>
          <w:sz w:val="20"/>
          <w:szCs w:val="20"/>
          <w:lang w:val="tr-TR"/>
        </w:rPr>
      </w:pPr>
      <w:r w:rsidRPr="00604C75">
        <w:rPr>
          <w:sz w:val="20"/>
          <w:szCs w:val="20"/>
          <w:lang w:val="tr-TR"/>
        </w:rPr>
        <w:t>The consolidated financial statements have been prepared in accordance with the procedures listed in the “Communiqués related to the Regulation on the Preparation of the Consolidated Financial Statements of Banks” and the “Turkish Accounting Standard for Consolidated and Separate Financial Statements” (“TFRS 10”) published in the Official Gazette No. 26340 dated 8 November 2006.</w:t>
      </w:r>
    </w:p>
    <w:p w14:paraId="2B666339" w14:textId="77777777" w:rsidR="003F1F39" w:rsidRPr="00604C75" w:rsidRDefault="00E76D85" w:rsidP="00490153">
      <w:pPr>
        <w:pStyle w:val="BodyTextIndent"/>
        <w:tabs>
          <w:tab w:val="left" w:pos="142"/>
        </w:tabs>
        <w:spacing w:before="120"/>
        <w:ind w:left="0" w:right="2"/>
        <w:jc w:val="both"/>
        <w:rPr>
          <w:sz w:val="20"/>
          <w:szCs w:val="20"/>
          <w:lang w:val="tr-TR"/>
        </w:rPr>
      </w:pPr>
      <w:r w:rsidRPr="00604C75">
        <w:rPr>
          <w:sz w:val="20"/>
          <w:szCs w:val="20"/>
          <w:lang w:val="tr-TR"/>
        </w:rPr>
        <w:t xml:space="preserve">The financial statements of the subsidiaries, which were prepared in accordance with the prevailing principles and rules regarding financial accounting and reporting standards </w:t>
      </w:r>
      <w:r w:rsidR="003A4DA8" w:rsidRPr="00604C75">
        <w:rPr>
          <w:sz w:val="20"/>
          <w:szCs w:val="20"/>
          <w:lang w:val="tr-TR"/>
        </w:rPr>
        <w:t>according to</w:t>
      </w:r>
      <w:r w:rsidRPr="00604C75">
        <w:rPr>
          <w:sz w:val="20"/>
          <w:szCs w:val="20"/>
          <w:lang w:val="tr-TR"/>
        </w:rPr>
        <w:t xml:space="preserve"> the Turkish Commercial Code and/or Financial Leasing Law and/or communiqués of the Capital Market Board, are duly adjusted in order to present their financial statements in accordance with TAS and TFRS. </w:t>
      </w:r>
    </w:p>
    <w:p w14:paraId="11F946B8" w14:textId="77777777" w:rsidR="000F6E5B" w:rsidRPr="00604C75" w:rsidRDefault="00D31E98" w:rsidP="00490153">
      <w:pPr>
        <w:pStyle w:val="BodyTextIndent"/>
        <w:spacing w:before="120"/>
        <w:ind w:left="0" w:right="2"/>
        <w:jc w:val="both"/>
        <w:rPr>
          <w:sz w:val="20"/>
          <w:szCs w:val="20"/>
          <w:lang w:val="tr-TR"/>
        </w:rPr>
      </w:pPr>
      <w:r w:rsidRPr="00604C75">
        <w:rPr>
          <w:sz w:val="20"/>
          <w:szCs w:val="20"/>
          <w:lang w:val="tr-TR"/>
        </w:rPr>
        <w:t>Accounting policy of the</w:t>
      </w:r>
      <w:r w:rsidR="00725F6B" w:rsidRPr="00604C75">
        <w:rPr>
          <w:sz w:val="20"/>
          <w:szCs w:val="20"/>
        </w:rPr>
        <w:t xml:space="preserve"> subsidiaries </w:t>
      </w:r>
      <w:r w:rsidRPr="00604C75">
        <w:rPr>
          <w:sz w:val="20"/>
          <w:szCs w:val="20"/>
          <w:lang w:val="tr-TR"/>
        </w:rPr>
        <w:t xml:space="preserve">when different from the parent </w:t>
      </w:r>
      <w:r w:rsidR="004F3B08" w:rsidRPr="00604C75">
        <w:rPr>
          <w:sz w:val="20"/>
          <w:szCs w:val="20"/>
          <w:lang w:val="tr-TR"/>
        </w:rPr>
        <w:t>bank, differences</w:t>
      </w:r>
      <w:r w:rsidRPr="00604C75">
        <w:rPr>
          <w:sz w:val="20"/>
          <w:szCs w:val="20"/>
          <w:lang w:val="tr-TR"/>
        </w:rPr>
        <w:t xml:space="preserve"> are harmonized in the financial statements according with the principle </w:t>
      </w:r>
      <w:r w:rsidR="004F3B08" w:rsidRPr="00604C75">
        <w:rPr>
          <w:sz w:val="20"/>
          <w:szCs w:val="20"/>
          <w:lang w:val="tr-TR"/>
        </w:rPr>
        <w:t>of importance</w:t>
      </w:r>
      <w:r w:rsidR="003F1F39" w:rsidRPr="00604C75">
        <w:rPr>
          <w:sz w:val="20"/>
          <w:szCs w:val="20"/>
          <w:lang w:val="tr-TR"/>
        </w:rPr>
        <w:t xml:space="preserve">. </w:t>
      </w:r>
      <w:r w:rsidR="00725F6B" w:rsidRPr="00604C75">
        <w:rPr>
          <w:sz w:val="20"/>
          <w:szCs w:val="20"/>
          <w:lang w:val="tr-TR"/>
        </w:rPr>
        <w:t>S</w:t>
      </w:r>
      <w:proofErr w:type="spellStart"/>
      <w:r w:rsidR="00725F6B" w:rsidRPr="00604C75">
        <w:rPr>
          <w:sz w:val="20"/>
          <w:szCs w:val="20"/>
        </w:rPr>
        <w:t>ubsidiaries</w:t>
      </w:r>
      <w:proofErr w:type="spellEnd"/>
      <w:r w:rsidR="00725F6B" w:rsidRPr="00604C75">
        <w:rPr>
          <w:sz w:val="20"/>
          <w:szCs w:val="20"/>
          <w:lang w:val="tr-TR"/>
        </w:rPr>
        <w:t xml:space="preserve"> </w:t>
      </w:r>
      <w:r w:rsidR="00861E94" w:rsidRPr="00604C75">
        <w:rPr>
          <w:sz w:val="20"/>
          <w:szCs w:val="20"/>
          <w:lang w:val="tr-TR"/>
        </w:rPr>
        <w:t>financial s</w:t>
      </w:r>
      <w:r w:rsidR="00D405BC">
        <w:rPr>
          <w:sz w:val="20"/>
          <w:szCs w:val="20"/>
          <w:lang w:val="tr-TR"/>
        </w:rPr>
        <w:t>tatements are prepared as of 3</w:t>
      </w:r>
      <w:r w:rsidR="005174FC">
        <w:rPr>
          <w:sz w:val="20"/>
          <w:szCs w:val="20"/>
          <w:lang w:val="tr-TR"/>
        </w:rPr>
        <w:t>1</w:t>
      </w:r>
      <w:r w:rsidR="00D405BC">
        <w:rPr>
          <w:sz w:val="20"/>
          <w:szCs w:val="20"/>
          <w:lang w:val="tr-TR"/>
        </w:rPr>
        <w:t xml:space="preserve"> </w:t>
      </w:r>
      <w:r w:rsidR="005174FC">
        <w:rPr>
          <w:sz w:val="20"/>
          <w:szCs w:val="20"/>
          <w:lang w:val="tr-TR"/>
        </w:rPr>
        <w:t>December</w:t>
      </w:r>
      <w:r w:rsidR="005174FC" w:rsidRPr="00604C75">
        <w:rPr>
          <w:sz w:val="20"/>
          <w:szCs w:val="20"/>
          <w:lang w:val="tr-TR"/>
        </w:rPr>
        <w:t xml:space="preserve"> </w:t>
      </w:r>
      <w:r w:rsidR="00DA7083" w:rsidRPr="00604C75">
        <w:rPr>
          <w:sz w:val="20"/>
          <w:szCs w:val="20"/>
          <w:lang w:val="tr-TR"/>
        </w:rPr>
        <w:t>2015</w:t>
      </w:r>
      <w:r w:rsidR="00861E94" w:rsidRPr="00604C75">
        <w:rPr>
          <w:sz w:val="20"/>
          <w:szCs w:val="20"/>
          <w:lang w:val="tr-TR"/>
        </w:rPr>
        <w:t>.</w:t>
      </w:r>
    </w:p>
    <w:p w14:paraId="231ABF7C" w14:textId="77777777" w:rsidR="000F6E5B" w:rsidRPr="00604C75" w:rsidRDefault="000F6E5B" w:rsidP="00490153">
      <w:pPr>
        <w:pStyle w:val="BodyTextIndent"/>
        <w:spacing w:before="120"/>
        <w:ind w:left="0" w:right="2"/>
        <w:jc w:val="both"/>
        <w:rPr>
          <w:sz w:val="20"/>
          <w:szCs w:val="20"/>
          <w:lang w:val="tr-TR"/>
        </w:rPr>
      </w:pPr>
      <w:r w:rsidRPr="00604C75">
        <w:rPr>
          <w:noProof/>
          <w:color w:val="000000"/>
          <w:sz w:val="20"/>
          <w:lang w:val="tr-TR"/>
        </w:rPr>
        <w:t xml:space="preserve">Consolidation principles for </w:t>
      </w:r>
      <w:r w:rsidR="00725F6B" w:rsidRPr="00604C75">
        <w:rPr>
          <w:sz w:val="20"/>
          <w:szCs w:val="20"/>
        </w:rPr>
        <w:t>subsidiaries</w:t>
      </w:r>
      <w:r w:rsidR="00A97F66" w:rsidRPr="00604C75">
        <w:rPr>
          <w:noProof/>
          <w:color w:val="000000"/>
          <w:sz w:val="20"/>
          <w:lang w:val="tr-TR"/>
        </w:rPr>
        <w:t>:</w:t>
      </w:r>
      <w:r w:rsidRPr="00604C75">
        <w:rPr>
          <w:noProof/>
          <w:color w:val="000000"/>
          <w:sz w:val="20"/>
          <w:lang w:val="tr-TR"/>
        </w:rPr>
        <w:t xml:space="preserve"> </w:t>
      </w:r>
    </w:p>
    <w:p w14:paraId="5430CC31" w14:textId="77777777" w:rsidR="003F1F39" w:rsidRPr="00604C75" w:rsidRDefault="00D0645A" w:rsidP="00490153">
      <w:pPr>
        <w:pStyle w:val="BodyTextIndent"/>
        <w:spacing w:before="120"/>
        <w:ind w:left="0" w:right="2"/>
        <w:jc w:val="both"/>
        <w:rPr>
          <w:sz w:val="20"/>
          <w:szCs w:val="20"/>
          <w:lang w:val="tr-TR"/>
        </w:rPr>
      </w:pPr>
      <w:r w:rsidRPr="00604C75">
        <w:rPr>
          <w:sz w:val="20"/>
          <w:szCs w:val="20"/>
          <w:lang w:val="tr-TR"/>
        </w:rPr>
        <w:t>Subsidiaries (including special purpose entity), in which Group has power to control the financial and operating policies for the benefit of the Parent Bank, either (a) through the power to exercise more than 50% of the voting rights relating to shares in the companies owned directly and indirectly by itself; or (b) although not having the power to exercise more than 50% of the using rights, otherwise having the power to exercise control over the financial and operating policies, have been fully consolidated.</w:t>
      </w:r>
    </w:p>
    <w:p w14:paraId="6F164CF7" w14:textId="77777777" w:rsidR="00FE27F9" w:rsidRPr="00604C75" w:rsidRDefault="00FE27F9" w:rsidP="00490153">
      <w:pPr>
        <w:pStyle w:val="BodyTextIndent"/>
        <w:spacing w:before="120"/>
        <w:ind w:left="0" w:right="2"/>
        <w:jc w:val="both"/>
        <w:rPr>
          <w:sz w:val="20"/>
          <w:szCs w:val="20"/>
          <w:lang w:val="tr-TR"/>
        </w:rPr>
      </w:pPr>
      <w:r w:rsidRPr="00604C75">
        <w:rPr>
          <w:sz w:val="20"/>
          <w:szCs w:val="20"/>
          <w:lang w:val="tr-TR"/>
        </w:rPr>
        <w:t>Control is evident when the Parent Bank owns, either directly or indirectly, the majority of the share capital of the company or owns the privileged shares or owns the right of controlling the operations of the company in accordance with the agreements made with other shareholders or owns the right of appointment or the designation of the majority of the board of directors of the company.</w:t>
      </w:r>
    </w:p>
    <w:p w14:paraId="45937F6A" w14:textId="77777777" w:rsidR="003F1F39" w:rsidRPr="00604C75" w:rsidRDefault="002F0626" w:rsidP="00490153">
      <w:pPr>
        <w:pStyle w:val="BodyTextIndent"/>
        <w:spacing w:before="120"/>
        <w:ind w:left="0" w:right="2"/>
        <w:jc w:val="both"/>
        <w:rPr>
          <w:sz w:val="20"/>
          <w:szCs w:val="20"/>
          <w:lang w:val="tr-TR"/>
        </w:rPr>
      </w:pPr>
      <w:r w:rsidRPr="00604C75">
        <w:rPr>
          <w:sz w:val="20"/>
          <w:szCs w:val="20"/>
          <w:lang w:val="tr-TR"/>
        </w:rPr>
        <w:t>Subsidiaries are consolidated with full consolidation method by considering the outcomes of their activities and the size of their assets and shareholders’ equity in scope of the materiality principle. Financial statements of the related subsidiaries are included in the consolidated financial statements beginning from their acquisition date. If necessary, accounting policies of subsidiaries may have been changed in order to ensure consistency with the policies adopted by the Group.</w:t>
      </w:r>
    </w:p>
    <w:p w14:paraId="468BDDB3" w14:textId="77777777" w:rsidR="005220E6" w:rsidRPr="00604C75" w:rsidRDefault="00C7646B" w:rsidP="00490153">
      <w:pPr>
        <w:pStyle w:val="BodyTextIndent"/>
        <w:spacing w:before="120"/>
        <w:ind w:left="0" w:right="2"/>
        <w:jc w:val="both"/>
        <w:rPr>
          <w:sz w:val="20"/>
          <w:szCs w:val="20"/>
          <w:lang w:val="tr-TR"/>
        </w:rPr>
      </w:pPr>
      <w:r w:rsidRPr="00604C75">
        <w:rPr>
          <w:sz w:val="20"/>
          <w:szCs w:val="20"/>
          <w:lang w:val="tr-TR"/>
        </w:rPr>
        <w:t>In accordance with the full consolidation method, balance sheet, income statement and off balance sheet items of the subsidiaries have been consolidated line by line with the balance sheet, income statement and off balance sheet of the Parent Bank. The book value of the investments of the Group in each subsidiary has been netted off with the portion of each subsidiary’s capital that belongs to the Group. Unrealized gains and losses and balances resulting from the transactions among the subsidiaries included in consolidation have been eliminated. In order to determine the net income of the Group, minority interest in the net income of the consolidated subsidiaries have been identified and deducted from the net income of the subsidiary. In the consolidated balance sheet, minority interest</w:t>
      </w:r>
      <w:r w:rsidR="006A03A9" w:rsidRPr="00604C75">
        <w:rPr>
          <w:sz w:val="20"/>
          <w:szCs w:val="20"/>
          <w:lang w:val="tr-TR"/>
        </w:rPr>
        <w:t xml:space="preserve"> </w:t>
      </w:r>
      <w:r w:rsidRPr="00604C75">
        <w:rPr>
          <w:sz w:val="20"/>
          <w:szCs w:val="20"/>
          <w:lang w:val="tr-TR"/>
        </w:rPr>
        <w:t>has been presented separately from the liabilities and the shares of the Group shareholders. Also, in the income</w:t>
      </w:r>
      <w:r w:rsidR="004A4770" w:rsidRPr="00604C75">
        <w:rPr>
          <w:sz w:val="20"/>
          <w:szCs w:val="20"/>
          <w:lang w:val="tr-TR"/>
        </w:rPr>
        <w:t xml:space="preserve"> </w:t>
      </w:r>
      <w:r w:rsidRPr="00604C75">
        <w:rPr>
          <w:sz w:val="20"/>
          <w:szCs w:val="20"/>
          <w:lang w:val="tr-TR"/>
        </w:rPr>
        <w:t>statement, minority interest has been presented separately.</w:t>
      </w:r>
    </w:p>
    <w:p w14:paraId="7EC4EDD8" w14:textId="77777777" w:rsidR="005220E6" w:rsidRPr="00604C75" w:rsidRDefault="005220E6" w:rsidP="00490153">
      <w:pPr>
        <w:pStyle w:val="BodyTextIndent"/>
        <w:spacing w:before="120"/>
        <w:ind w:left="0" w:right="2"/>
        <w:jc w:val="both"/>
        <w:rPr>
          <w:sz w:val="20"/>
          <w:szCs w:val="20"/>
          <w:lang w:val="tr-TR"/>
        </w:rPr>
      </w:pPr>
      <w:r w:rsidRPr="00604C75">
        <w:rPr>
          <w:sz w:val="20"/>
          <w:szCs w:val="20"/>
        </w:rPr>
        <w:t>The subsidiaries included in consolidation, their title, their place of incorporation, their main activities and their effective shareholding rates are as follows:</w:t>
      </w:r>
    </w:p>
    <w:p w14:paraId="63E58528" w14:textId="77777777" w:rsidR="003F1F39" w:rsidRPr="00604C75" w:rsidRDefault="003F1F39" w:rsidP="00DA7083">
      <w:pPr>
        <w:tabs>
          <w:tab w:val="left" w:pos="851"/>
        </w:tabs>
        <w:spacing w:line="211" w:lineRule="auto"/>
        <w:jc w:val="both"/>
        <w:rPr>
          <w:b/>
          <w:noProof/>
          <w:sz w:val="16"/>
          <w:szCs w:val="16"/>
          <w:lang w:val="tr-TR"/>
        </w:rPr>
      </w:pPr>
    </w:p>
    <w:tbl>
      <w:tblPr>
        <w:tblW w:w="926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448"/>
        <w:gridCol w:w="1289"/>
        <w:gridCol w:w="2008"/>
        <w:gridCol w:w="1520"/>
        <w:gridCol w:w="2002"/>
      </w:tblGrid>
      <w:tr w:rsidR="00BF44AF" w:rsidRPr="00604C75" w14:paraId="08BEEA87" w14:textId="77777777" w:rsidTr="00E83EAC">
        <w:trPr>
          <w:trHeight w:val="480"/>
        </w:trPr>
        <w:tc>
          <w:tcPr>
            <w:tcW w:w="2448" w:type="dxa"/>
            <w:tcBorders>
              <w:top w:val="double" w:sz="4" w:space="0" w:color="auto"/>
            </w:tcBorders>
            <w:noWrap/>
            <w:vAlign w:val="bottom"/>
          </w:tcPr>
          <w:p w14:paraId="77323BF3" w14:textId="77777777" w:rsidR="00BF44AF" w:rsidRPr="00604C75" w:rsidRDefault="008B3BA5" w:rsidP="008B3BA5">
            <w:pPr>
              <w:rPr>
                <w:sz w:val="16"/>
                <w:szCs w:val="16"/>
                <w:lang w:eastAsia="tr-TR"/>
              </w:rPr>
            </w:pPr>
            <w:r w:rsidRPr="00604C75">
              <w:rPr>
                <w:bCs/>
                <w:sz w:val="16"/>
                <w:szCs w:val="16"/>
              </w:rPr>
              <w:t xml:space="preserve">                Title</w:t>
            </w:r>
          </w:p>
        </w:tc>
        <w:tc>
          <w:tcPr>
            <w:tcW w:w="1289" w:type="dxa"/>
            <w:tcBorders>
              <w:top w:val="double" w:sz="4" w:space="0" w:color="auto"/>
            </w:tcBorders>
            <w:vAlign w:val="bottom"/>
          </w:tcPr>
          <w:p w14:paraId="5D32D31C" w14:textId="77777777" w:rsidR="00BF44AF" w:rsidRPr="00604C75" w:rsidRDefault="008B3BA5" w:rsidP="000D23C2">
            <w:pPr>
              <w:jc w:val="center"/>
              <w:rPr>
                <w:sz w:val="16"/>
                <w:szCs w:val="16"/>
                <w:lang w:eastAsia="tr-TR"/>
              </w:rPr>
            </w:pPr>
            <w:r w:rsidRPr="00604C75">
              <w:rPr>
                <w:sz w:val="16"/>
                <w:szCs w:val="16"/>
              </w:rPr>
              <w:t xml:space="preserve">Activity center </w:t>
            </w:r>
            <w:r w:rsidRPr="00604C75">
              <w:rPr>
                <w:bCs/>
                <w:sz w:val="16"/>
                <w:szCs w:val="16"/>
              </w:rPr>
              <w:t>(City/ Country)</w:t>
            </w:r>
          </w:p>
        </w:tc>
        <w:tc>
          <w:tcPr>
            <w:tcW w:w="2008" w:type="dxa"/>
            <w:tcBorders>
              <w:top w:val="double" w:sz="4" w:space="0" w:color="auto"/>
            </w:tcBorders>
            <w:vAlign w:val="bottom"/>
          </w:tcPr>
          <w:p w14:paraId="01D9C081" w14:textId="77777777" w:rsidR="00BF44AF" w:rsidRPr="007C101A" w:rsidRDefault="008B3BA5" w:rsidP="000D23C2">
            <w:pPr>
              <w:jc w:val="center"/>
              <w:rPr>
                <w:sz w:val="16"/>
                <w:szCs w:val="16"/>
                <w:lang w:eastAsia="tr-TR"/>
              </w:rPr>
            </w:pPr>
            <w:r w:rsidRPr="007C101A">
              <w:rPr>
                <w:sz w:val="16"/>
                <w:szCs w:val="16"/>
              </w:rPr>
              <w:t>Activity</w:t>
            </w:r>
          </w:p>
        </w:tc>
        <w:tc>
          <w:tcPr>
            <w:tcW w:w="1520" w:type="dxa"/>
            <w:tcBorders>
              <w:top w:val="double" w:sz="4" w:space="0" w:color="auto"/>
            </w:tcBorders>
            <w:vAlign w:val="bottom"/>
          </w:tcPr>
          <w:p w14:paraId="19BAB47C" w14:textId="77777777" w:rsidR="008B3BA5" w:rsidRPr="006E0317" w:rsidRDefault="008B3BA5" w:rsidP="008B3BA5">
            <w:pPr>
              <w:jc w:val="center"/>
              <w:rPr>
                <w:sz w:val="16"/>
                <w:szCs w:val="16"/>
              </w:rPr>
            </w:pPr>
            <w:r w:rsidRPr="006E0317">
              <w:rPr>
                <w:sz w:val="16"/>
                <w:szCs w:val="16"/>
              </w:rPr>
              <w:t>Ownership</w:t>
            </w:r>
            <w:r w:rsidRPr="006E0317">
              <w:rPr>
                <w:sz w:val="16"/>
                <w:szCs w:val="16"/>
                <w:lang w:eastAsia="tr-TR"/>
              </w:rPr>
              <w:t xml:space="preserve"> </w:t>
            </w:r>
            <w:r w:rsidRPr="006E0317">
              <w:rPr>
                <w:sz w:val="16"/>
                <w:szCs w:val="16"/>
              </w:rPr>
              <w:t>rates (%)</w:t>
            </w:r>
          </w:p>
          <w:p w14:paraId="2AAAC58D" w14:textId="77777777" w:rsidR="00BF44AF" w:rsidRPr="006E0317" w:rsidRDefault="00D405BC" w:rsidP="00B623B1">
            <w:pPr>
              <w:jc w:val="center"/>
              <w:rPr>
                <w:sz w:val="16"/>
                <w:szCs w:val="16"/>
                <w:lang w:eastAsia="tr-TR"/>
              </w:rPr>
            </w:pPr>
            <w:r w:rsidRPr="006E0317">
              <w:rPr>
                <w:sz w:val="16"/>
                <w:szCs w:val="16"/>
              </w:rPr>
              <w:t xml:space="preserve"> 30 </w:t>
            </w:r>
            <w:r w:rsidR="00306268" w:rsidRPr="006E0317">
              <w:rPr>
                <w:sz w:val="16"/>
                <w:szCs w:val="16"/>
              </w:rPr>
              <w:t xml:space="preserve">September </w:t>
            </w:r>
            <w:r w:rsidR="008B3BA5" w:rsidRPr="006E0317">
              <w:rPr>
                <w:sz w:val="16"/>
                <w:szCs w:val="16"/>
              </w:rPr>
              <w:t>2015</w:t>
            </w:r>
          </w:p>
        </w:tc>
        <w:tc>
          <w:tcPr>
            <w:tcW w:w="2002" w:type="dxa"/>
            <w:tcBorders>
              <w:top w:val="double" w:sz="4" w:space="0" w:color="auto"/>
            </w:tcBorders>
            <w:vAlign w:val="bottom"/>
          </w:tcPr>
          <w:p w14:paraId="74698E28" w14:textId="77777777" w:rsidR="00F962E4" w:rsidRPr="006E0317" w:rsidRDefault="008B3BA5">
            <w:pPr>
              <w:jc w:val="center"/>
              <w:rPr>
                <w:sz w:val="16"/>
                <w:szCs w:val="16"/>
                <w:lang w:eastAsia="tr-TR"/>
              </w:rPr>
            </w:pPr>
            <w:r w:rsidRPr="006E0317">
              <w:rPr>
                <w:sz w:val="16"/>
                <w:szCs w:val="16"/>
                <w:lang w:eastAsia="tr-TR"/>
              </w:rPr>
              <w:t xml:space="preserve">Indirect Ownership rates </w:t>
            </w:r>
            <w:r w:rsidR="00F962E4" w:rsidRPr="006E0317">
              <w:rPr>
                <w:sz w:val="16"/>
                <w:szCs w:val="16"/>
                <w:lang w:eastAsia="tr-TR"/>
              </w:rPr>
              <w:t>(%)</w:t>
            </w:r>
          </w:p>
          <w:p w14:paraId="107F8FDE" w14:textId="77777777" w:rsidR="00BF44AF" w:rsidRPr="006E0317" w:rsidRDefault="00D405BC" w:rsidP="00B623B1">
            <w:pPr>
              <w:jc w:val="center"/>
              <w:rPr>
                <w:sz w:val="16"/>
                <w:szCs w:val="16"/>
                <w:lang w:eastAsia="tr-TR"/>
              </w:rPr>
            </w:pPr>
            <w:r w:rsidRPr="006E0317">
              <w:rPr>
                <w:sz w:val="16"/>
                <w:szCs w:val="16"/>
                <w:lang w:eastAsia="tr-TR"/>
              </w:rPr>
              <w:t xml:space="preserve">30 </w:t>
            </w:r>
            <w:r w:rsidR="00306268" w:rsidRPr="006E0317">
              <w:rPr>
                <w:sz w:val="16"/>
                <w:szCs w:val="16"/>
                <w:lang w:eastAsia="tr-TR"/>
              </w:rPr>
              <w:t xml:space="preserve">September </w:t>
            </w:r>
            <w:r w:rsidR="008B3BA5" w:rsidRPr="006E0317">
              <w:rPr>
                <w:sz w:val="16"/>
                <w:szCs w:val="16"/>
                <w:lang w:eastAsia="tr-TR"/>
              </w:rPr>
              <w:t>2015</w:t>
            </w:r>
            <w:r w:rsidR="00BF44AF" w:rsidRPr="006E0317">
              <w:rPr>
                <w:sz w:val="16"/>
                <w:szCs w:val="16"/>
                <w:lang w:eastAsia="tr-TR"/>
              </w:rPr>
              <w:t xml:space="preserve"> </w:t>
            </w:r>
          </w:p>
        </w:tc>
      </w:tr>
      <w:tr w:rsidR="00AF1FBB" w:rsidRPr="00604C75" w14:paraId="747BFD22" w14:textId="77777777" w:rsidTr="00E83EAC">
        <w:trPr>
          <w:trHeight w:val="20"/>
        </w:trPr>
        <w:tc>
          <w:tcPr>
            <w:tcW w:w="2448" w:type="dxa"/>
            <w:noWrap/>
            <w:vAlign w:val="bottom"/>
          </w:tcPr>
          <w:p w14:paraId="1F37FD55" w14:textId="77777777" w:rsidR="00AF1FBB" w:rsidRPr="00604C75" w:rsidRDefault="00AF1FBB" w:rsidP="000D23C2">
            <w:pPr>
              <w:rPr>
                <w:sz w:val="16"/>
                <w:szCs w:val="16"/>
                <w:lang w:eastAsia="tr-TR"/>
              </w:rPr>
            </w:pPr>
            <w:proofErr w:type="spellStart"/>
            <w:r w:rsidRPr="00604C75">
              <w:rPr>
                <w:sz w:val="16"/>
                <w:szCs w:val="16"/>
              </w:rPr>
              <w:t>Alternatif</w:t>
            </w:r>
            <w:proofErr w:type="spellEnd"/>
            <w:r w:rsidRPr="00604C75">
              <w:rPr>
                <w:sz w:val="16"/>
                <w:szCs w:val="16"/>
              </w:rPr>
              <w:t xml:space="preserve"> </w:t>
            </w:r>
            <w:proofErr w:type="spellStart"/>
            <w:r w:rsidRPr="00604C75">
              <w:rPr>
                <w:sz w:val="16"/>
                <w:szCs w:val="16"/>
              </w:rPr>
              <w:t>Yatırım</w:t>
            </w:r>
            <w:proofErr w:type="spellEnd"/>
            <w:r w:rsidRPr="00604C75">
              <w:rPr>
                <w:sz w:val="16"/>
                <w:szCs w:val="16"/>
              </w:rPr>
              <w:t xml:space="preserve"> A.Ş.</w:t>
            </w:r>
          </w:p>
        </w:tc>
        <w:tc>
          <w:tcPr>
            <w:tcW w:w="1289" w:type="dxa"/>
            <w:vAlign w:val="bottom"/>
          </w:tcPr>
          <w:p w14:paraId="41FE79E0" w14:textId="77777777" w:rsidR="00AF1FBB" w:rsidRPr="00604C75" w:rsidRDefault="00AF1FBB" w:rsidP="000D23C2">
            <w:pPr>
              <w:rPr>
                <w:sz w:val="16"/>
                <w:szCs w:val="16"/>
                <w:lang w:eastAsia="tr-TR"/>
              </w:rPr>
            </w:pPr>
            <w:r w:rsidRPr="00604C75">
              <w:rPr>
                <w:sz w:val="16"/>
                <w:szCs w:val="16"/>
              </w:rPr>
              <w:t xml:space="preserve">İstanbul / </w:t>
            </w:r>
            <w:proofErr w:type="spellStart"/>
            <w:r w:rsidRPr="00604C75">
              <w:rPr>
                <w:sz w:val="16"/>
                <w:szCs w:val="16"/>
              </w:rPr>
              <w:t>Türkiye</w:t>
            </w:r>
            <w:proofErr w:type="spellEnd"/>
          </w:p>
        </w:tc>
        <w:tc>
          <w:tcPr>
            <w:tcW w:w="2008" w:type="dxa"/>
            <w:vAlign w:val="bottom"/>
          </w:tcPr>
          <w:p w14:paraId="5A96519A" w14:textId="77777777" w:rsidR="00AF1FBB" w:rsidRPr="007C101A" w:rsidRDefault="007C101A" w:rsidP="000D23C2">
            <w:pPr>
              <w:rPr>
                <w:sz w:val="16"/>
                <w:szCs w:val="16"/>
                <w:lang w:eastAsia="tr-TR"/>
              </w:rPr>
            </w:pPr>
            <w:r w:rsidRPr="00E83EAC">
              <w:rPr>
                <w:sz w:val="16"/>
                <w:szCs w:val="16"/>
              </w:rPr>
              <w:t>Investment Management</w:t>
            </w:r>
          </w:p>
        </w:tc>
        <w:tc>
          <w:tcPr>
            <w:tcW w:w="1520" w:type="dxa"/>
            <w:noWrap/>
            <w:vAlign w:val="bottom"/>
          </w:tcPr>
          <w:p w14:paraId="53C568DF" w14:textId="77777777" w:rsidR="00AF1FBB" w:rsidRPr="006E0317" w:rsidRDefault="00AF1FBB" w:rsidP="00F0291B">
            <w:pPr>
              <w:tabs>
                <w:tab w:val="left" w:pos="0"/>
              </w:tabs>
              <w:ind w:right="43"/>
              <w:jc w:val="right"/>
              <w:rPr>
                <w:sz w:val="18"/>
                <w:szCs w:val="18"/>
              </w:rPr>
            </w:pPr>
            <w:r w:rsidRPr="006E0317">
              <w:rPr>
                <w:sz w:val="18"/>
                <w:szCs w:val="18"/>
              </w:rPr>
              <w:t>100.00</w:t>
            </w:r>
          </w:p>
        </w:tc>
        <w:tc>
          <w:tcPr>
            <w:tcW w:w="2002" w:type="dxa"/>
            <w:noWrap/>
            <w:vAlign w:val="bottom"/>
          </w:tcPr>
          <w:p w14:paraId="57550A61" w14:textId="77777777" w:rsidR="00AF1FBB" w:rsidRPr="006E0317" w:rsidRDefault="00AF1FBB" w:rsidP="00F0291B">
            <w:pPr>
              <w:tabs>
                <w:tab w:val="left" w:pos="0"/>
              </w:tabs>
              <w:ind w:right="43"/>
              <w:jc w:val="right"/>
              <w:rPr>
                <w:sz w:val="18"/>
                <w:szCs w:val="18"/>
              </w:rPr>
            </w:pPr>
            <w:r w:rsidRPr="006E0317">
              <w:rPr>
                <w:sz w:val="18"/>
                <w:szCs w:val="18"/>
              </w:rPr>
              <w:t>100.00</w:t>
            </w:r>
          </w:p>
        </w:tc>
      </w:tr>
      <w:tr w:rsidR="00AF1FBB" w:rsidRPr="00604C75" w14:paraId="6CDC36D3" w14:textId="77777777" w:rsidTr="00E83EAC">
        <w:trPr>
          <w:trHeight w:val="20"/>
        </w:trPr>
        <w:tc>
          <w:tcPr>
            <w:tcW w:w="2448" w:type="dxa"/>
            <w:noWrap/>
            <w:vAlign w:val="bottom"/>
          </w:tcPr>
          <w:p w14:paraId="53AAEFA5" w14:textId="77777777" w:rsidR="00AF1FBB" w:rsidRPr="00604C75" w:rsidRDefault="00AF1FBB" w:rsidP="000D23C2">
            <w:pPr>
              <w:rPr>
                <w:sz w:val="16"/>
                <w:szCs w:val="16"/>
                <w:lang w:eastAsia="tr-TR"/>
              </w:rPr>
            </w:pPr>
            <w:proofErr w:type="spellStart"/>
            <w:r w:rsidRPr="00604C75">
              <w:rPr>
                <w:sz w:val="16"/>
                <w:szCs w:val="16"/>
              </w:rPr>
              <w:t>Alternatif</w:t>
            </w:r>
            <w:proofErr w:type="spellEnd"/>
            <w:r w:rsidRPr="00604C75">
              <w:rPr>
                <w:sz w:val="16"/>
                <w:szCs w:val="16"/>
              </w:rPr>
              <w:t xml:space="preserve"> </w:t>
            </w:r>
            <w:proofErr w:type="spellStart"/>
            <w:r w:rsidRPr="00604C75">
              <w:rPr>
                <w:sz w:val="16"/>
                <w:szCs w:val="16"/>
              </w:rPr>
              <w:t>Yatırım</w:t>
            </w:r>
            <w:proofErr w:type="spellEnd"/>
            <w:r w:rsidRPr="00604C75">
              <w:rPr>
                <w:sz w:val="16"/>
                <w:szCs w:val="16"/>
              </w:rPr>
              <w:t xml:space="preserve"> </w:t>
            </w:r>
            <w:proofErr w:type="spellStart"/>
            <w:r w:rsidRPr="00604C75">
              <w:rPr>
                <w:sz w:val="16"/>
                <w:szCs w:val="16"/>
              </w:rPr>
              <w:t>Ortaklığı</w:t>
            </w:r>
            <w:proofErr w:type="spellEnd"/>
            <w:r w:rsidRPr="00604C75">
              <w:rPr>
                <w:sz w:val="16"/>
                <w:szCs w:val="16"/>
              </w:rPr>
              <w:t xml:space="preserve"> A.Ş.</w:t>
            </w:r>
            <w:r w:rsidRPr="00604C75">
              <w:rPr>
                <w:sz w:val="16"/>
                <w:szCs w:val="16"/>
                <w:vertAlign w:val="superscript"/>
              </w:rPr>
              <w:t>(*)</w:t>
            </w:r>
          </w:p>
        </w:tc>
        <w:tc>
          <w:tcPr>
            <w:tcW w:w="1289" w:type="dxa"/>
            <w:vAlign w:val="bottom"/>
          </w:tcPr>
          <w:p w14:paraId="5FB8752A" w14:textId="77777777" w:rsidR="00AF1FBB" w:rsidRPr="00604C75" w:rsidRDefault="00AF1FBB" w:rsidP="000D23C2">
            <w:pPr>
              <w:rPr>
                <w:sz w:val="16"/>
                <w:szCs w:val="16"/>
                <w:lang w:eastAsia="tr-TR"/>
              </w:rPr>
            </w:pPr>
            <w:r w:rsidRPr="00604C75">
              <w:rPr>
                <w:sz w:val="16"/>
                <w:szCs w:val="16"/>
              </w:rPr>
              <w:t xml:space="preserve">İstanbul / </w:t>
            </w:r>
            <w:proofErr w:type="spellStart"/>
            <w:r w:rsidRPr="00604C75">
              <w:rPr>
                <w:sz w:val="16"/>
                <w:szCs w:val="16"/>
              </w:rPr>
              <w:t>Türkiye</w:t>
            </w:r>
            <w:proofErr w:type="spellEnd"/>
          </w:p>
        </w:tc>
        <w:tc>
          <w:tcPr>
            <w:tcW w:w="2008" w:type="dxa"/>
            <w:vAlign w:val="bottom"/>
          </w:tcPr>
          <w:p w14:paraId="4273BF7F" w14:textId="77777777" w:rsidR="00AF1FBB" w:rsidRPr="007C101A" w:rsidRDefault="007C101A" w:rsidP="000D23C2">
            <w:pPr>
              <w:rPr>
                <w:sz w:val="16"/>
                <w:szCs w:val="16"/>
                <w:lang w:eastAsia="tr-TR"/>
              </w:rPr>
            </w:pPr>
            <w:r w:rsidRPr="00E83EAC">
              <w:rPr>
                <w:sz w:val="16"/>
                <w:szCs w:val="16"/>
              </w:rPr>
              <w:t>Portfolio Management</w:t>
            </w:r>
          </w:p>
        </w:tc>
        <w:tc>
          <w:tcPr>
            <w:tcW w:w="1520" w:type="dxa"/>
            <w:noWrap/>
            <w:vAlign w:val="bottom"/>
          </w:tcPr>
          <w:p w14:paraId="6D8652E9" w14:textId="77777777" w:rsidR="00AF1FBB" w:rsidRPr="006E0317" w:rsidRDefault="00AF1FBB" w:rsidP="00F0291B">
            <w:pPr>
              <w:tabs>
                <w:tab w:val="left" w:pos="0"/>
              </w:tabs>
              <w:ind w:right="43"/>
              <w:jc w:val="right"/>
              <w:rPr>
                <w:sz w:val="18"/>
                <w:szCs w:val="18"/>
              </w:rPr>
            </w:pPr>
            <w:r w:rsidRPr="006E0317">
              <w:rPr>
                <w:sz w:val="18"/>
                <w:szCs w:val="18"/>
              </w:rPr>
              <w:t>4.92</w:t>
            </w:r>
          </w:p>
        </w:tc>
        <w:tc>
          <w:tcPr>
            <w:tcW w:w="2002" w:type="dxa"/>
            <w:noWrap/>
            <w:vAlign w:val="bottom"/>
          </w:tcPr>
          <w:p w14:paraId="5527A470" w14:textId="77777777" w:rsidR="00AF1FBB" w:rsidRPr="006E0317" w:rsidRDefault="00AF1FBB" w:rsidP="00F0291B">
            <w:pPr>
              <w:tabs>
                <w:tab w:val="left" w:pos="0"/>
              </w:tabs>
              <w:ind w:right="43"/>
              <w:jc w:val="right"/>
              <w:rPr>
                <w:sz w:val="18"/>
                <w:szCs w:val="18"/>
              </w:rPr>
            </w:pPr>
            <w:r w:rsidRPr="006E0317">
              <w:rPr>
                <w:sz w:val="18"/>
                <w:szCs w:val="18"/>
              </w:rPr>
              <w:t>79.68</w:t>
            </w:r>
          </w:p>
        </w:tc>
      </w:tr>
      <w:tr w:rsidR="00AF1FBB" w:rsidRPr="00604C75" w14:paraId="77E68E90" w14:textId="77777777" w:rsidTr="00E83EAC">
        <w:trPr>
          <w:trHeight w:val="20"/>
        </w:trPr>
        <w:tc>
          <w:tcPr>
            <w:tcW w:w="2448" w:type="dxa"/>
            <w:noWrap/>
            <w:vAlign w:val="bottom"/>
          </w:tcPr>
          <w:p w14:paraId="57302A32" w14:textId="77777777" w:rsidR="00AF1FBB" w:rsidRPr="00604C75" w:rsidRDefault="00AF1FBB" w:rsidP="000D23C2">
            <w:pPr>
              <w:rPr>
                <w:sz w:val="16"/>
                <w:szCs w:val="16"/>
              </w:rPr>
            </w:pPr>
            <w:proofErr w:type="spellStart"/>
            <w:r w:rsidRPr="00604C75">
              <w:rPr>
                <w:sz w:val="16"/>
                <w:szCs w:val="16"/>
              </w:rPr>
              <w:t>Alternatif</w:t>
            </w:r>
            <w:proofErr w:type="spellEnd"/>
            <w:r w:rsidRPr="00604C75">
              <w:rPr>
                <w:sz w:val="16"/>
                <w:szCs w:val="16"/>
              </w:rPr>
              <w:t xml:space="preserve"> </w:t>
            </w:r>
            <w:proofErr w:type="spellStart"/>
            <w:r w:rsidRPr="00604C75">
              <w:rPr>
                <w:sz w:val="16"/>
                <w:szCs w:val="16"/>
              </w:rPr>
              <w:t>Finansal</w:t>
            </w:r>
            <w:proofErr w:type="spellEnd"/>
            <w:r w:rsidRPr="00604C75">
              <w:rPr>
                <w:sz w:val="16"/>
                <w:szCs w:val="16"/>
              </w:rPr>
              <w:t xml:space="preserve"> </w:t>
            </w:r>
            <w:proofErr w:type="spellStart"/>
            <w:r w:rsidRPr="00604C75">
              <w:rPr>
                <w:sz w:val="16"/>
                <w:szCs w:val="16"/>
              </w:rPr>
              <w:t>Kiralama</w:t>
            </w:r>
            <w:proofErr w:type="spellEnd"/>
            <w:r w:rsidRPr="00604C75">
              <w:rPr>
                <w:sz w:val="16"/>
                <w:szCs w:val="16"/>
              </w:rPr>
              <w:t xml:space="preserve"> A.Ş.</w:t>
            </w:r>
          </w:p>
        </w:tc>
        <w:tc>
          <w:tcPr>
            <w:tcW w:w="1289" w:type="dxa"/>
            <w:vAlign w:val="bottom"/>
          </w:tcPr>
          <w:p w14:paraId="6DCFAF94" w14:textId="77777777" w:rsidR="00AF1FBB" w:rsidRPr="00604C75" w:rsidRDefault="00AF1FBB" w:rsidP="000D23C2">
            <w:pPr>
              <w:rPr>
                <w:sz w:val="16"/>
                <w:szCs w:val="16"/>
              </w:rPr>
            </w:pPr>
            <w:r w:rsidRPr="00604C75">
              <w:rPr>
                <w:sz w:val="16"/>
                <w:szCs w:val="16"/>
              </w:rPr>
              <w:t xml:space="preserve">İstanbul / </w:t>
            </w:r>
            <w:proofErr w:type="spellStart"/>
            <w:r w:rsidRPr="00604C75">
              <w:rPr>
                <w:sz w:val="16"/>
                <w:szCs w:val="16"/>
              </w:rPr>
              <w:t>Türkiye</w:t>
            </w:r>
            <w:proofErr w:type="spellEnd"/>
          </w:p>
        </w:tc>
        <w:tc>
          <w:tcPr>
            <w:tcW w:w="2008" w:type="dxa"/>
            <w:vAlign w:val="bottom"/>
          </w:tcPr>
          <w:p w14:paraId="538FC4CA" w14:textId="77777777" w:rsidR="00AF1FBB" w:rsidRPr="007C101A" w:rsidRDefault="00E31D0D" w:rsidP="000D23C2">
            <w:pPr>
              <w:rPr>
                <w:sz w:val="16"/>
                <w:szCs w:val="16"/>
              </w:rPr>
            </w:pPr>
            <w:r w:rsidRPr="007C101A">
              <w:rPr>
                <w:sz w:val="16"/>
                <w:szCs w:val="16"/>
              </w:rPr>
              <w:t>Leasing</w:t>
            </w:r>
          </w:p>
        </w:tc>
        <w:tc>
          <w:tcPr>
            <w:tcW w:w="1520" w:type="dxa"/>
            <w:noWrap/>
            <w:vAlign w:val="bottom"/>
          </w:tcPr>
          <w:p w14:paraId="4D7D5552" w14:textId="77777777" w:rsidR="00AF1FBB" w:rsidRPr="006E0317" w:rsidRDefault="00AF1FBB" w:rsidP="00F0291B">
            <w:pPr>
              <w:tabs>
                <w:tab w:val="left" w:pos="0"/>
              </w:tabs>
              <w:ind w:right="43"/>
              <w:jc w:val="right"/>
              <w:rPr>
                <w:sz w:val="18"/>
                <w:szCs w:val="18"/>
              </w:rPr>
            </w:pPr>
            <w:r w:rsidRPr="006E0317">
              <w:rPr>
                <w:sz w:val="18"/>
                <w:szCs w:val="18"/>
              </w:rPr>
              <w:t>99.99</w:t>
            </w:r>
          </w:p>
        </w:tc>
        <w:tc>
          <w:tcPr>
            <w:tcW w:w="2002" w:type="dxa"/>
            <w:noWrap/>
            <w:vAlign w:val="bottom"/>
          </w:tcPr>
          <w:p w14:paraId="5C3EFFC2" w14:textId="77777777" w:rsidR="00AF1FBB" w:rsidRPr="006E0317" w:rsidRDefault="00AF1FBB" w:rsidP="00F0291B">
            <w:pPr>
              <w:tabs>
                <w:tab w:val="left" w:pos="0"/>
              </w:tabs>
              <w:ind w:right="43"/>
              <w:jc w:val="right"/>
              <w:rPr>
                <w:sz w:val="18"/>
                <w:szCs w:val="18"/>
              </w:rPr>
            </w:pPr>
            <w:r w:rsidRPr="006E0317">
              <w:rPr>
                <w:sz w:val="18"/>
                <w:szCs w:val="18"/>
              </w:rPr>
              <w:t>99.99</w:t>
            </w:r>
          </w:p>
        </w:tc>
      </w:tr>
    </w:tbl>
    <w:p w14:paraId="62F82964" w14:textId="73607168" w:rsidR="003C7700" w:rsidRPr="00B30C53" w:rsidRDefault="00B30C53" w:rsidP="00B30C53">
      <w:pPr>
        <w:pStyle w:val="BodyTextIndent"/>
        <w:spacing w:before="60" w:after="0"/>
        <w:ind w:left="0"/>
        <w:rPr>
          <w:sz w:val="16"/>
          <w:szCs w:val="16"/>
        </w:rPr>
      </w:pPr>
      <w:r w:rsidRPr="00B30C53">
        <w:rPr>
          <w:rStyle w:val="hps"/>
          <w:sz w:val="16"/>
          <w:szCs w:val="16"/>
        </w:rPr>
        <w:t xml:space="preserve">(*) Liquidation of </w:t>
      </w:r>
      <w:proofErr w:type="spellStart"/>
      <w:r w:rsidRPr="00B30C53">
        <w:rPr>
          <w:rStyle w:val="hps"/>
          <w:sz w:val="16"/>
          <w:szCs w:val="16"/>
        </w:rPr>
        <w:t>Alternatif</w:t>
      </w:r>
      <w:proofErr w:type="spellEnd"/>
      <w:r w:rsidRPr="00B30C53">
        <w:rPr>
          <w:rStyle w:val="hps"/>
          <w:sz w:val="16"/>
          <w:szCs w:val="16"/>
        </w:rPr>
        <w:t xml:space="preserve"> </w:t>
      </w:r>
      <w:proofErr w:type="spellStart"/>
      <w:r w:rsidRPr="00B30C53">
        <w:rPr>
          <w:rStyle w:val="hps"/>
          <w:sz w:val="16"/>
          <w:szCs w:val="16"/>
        </w:rPr>
        <w:t>Yatırım</w:t>
      </w:r>
      <w:proofErr w:type="spellEnd"/>
      <w:r w:rsidRPr="00B30C53">
        <w:rPr>
          <w:rStyle w:val="hps"/>
          <w:sz w:val="16"/>
          <w:szCs w:val="16"/>
        </w:rPr>
        <w:t xml:space="preserve"> </w:t>
      </w:r>
      <w:proofErr w:type="spellStart"/>
      <w:r w:rsidRPr="00B30C53">
        <w:rPr>
          <w:rStyle w:val="hps"/>
          <w:sz w:val="16"/>
          <w:szCs w:val="16"/>
        </w:rPr>
        <w:t>Ortaklığı</w:t>
      </w:r>
      <w:proofErr w:type="spellEnd"/>
      <w:r w:rsidRPr="00B30C53">
        <w:rPr>
          <w:rStyle w:val="hps"/>
          <w:sz w:val="16"/>
          <w:szCs w:val="16"/>
        </w:rPr>
        <w:t xml:space="preserve"> A.Ş. were approved in extraordinary general meeting dated 29 September 2014 and completed as of 25 November 2015.</w:t>
      </w:r>
      <w:r>
        <w:rPr>
          <w:rStyle w:val="hps"/>
          <w:sz w:val="16"/>
          <w:szCs w:val="16"/>
        </w:rPr>
        <w:t xml:space="preserve"> E</w:t>
      </w:r>
      <w:r w:rsidR="00BE245A" w:rsidRPr="00B30C53">
        <w:rPr>
          <w:rStyle w:val="hps"/>
          <w:sz w:val="16"/>
          <w:szCs w:val="16"/>
        </w:rPr>
        <w:t>xplanation</w:t>
      </w:r>
      <w:r w:rsidR="003A4DA8" w:rsidRPr="00B30C53">
        <w:rPr>
          <w:rStyle w:val="hps"/>
          <w:sz w:val="16"/>
          <w:szCs w:val="16"/>
        </w:rPr>
        <w:t xml:space="preserve"> in detailed</w:t>
      </w:r>
      <w:r w:rsidR="00D00AA0" w:rsidRPr="00B30C53">
        <w:rPr>
          <w:rStyle w:val="hps"/>
          <w:sz w:val="16"/>
          <w:szCs w:val="16"/>
        </w:rPr>
        <w:t xml:space="preserve"> is given S</w:t>
      </w:r>
      <w:r w:rsidR="00BE245A" w:rsidRPr="00B30C53">
        <w:rPr>
          <w:rStyle w:val="hps"/>
          <w:sz w:val="16"/>
          <w:szCs w:val="16"/>
        </w:rPr>
        <w:t xml:space="preserve">ection </w:t>
      </w:r>
      <w:r w:rsidR="00D00AA0" w:rsidRPr="00B30C53">
        <w:rPr>
          <w:rStyle w:val="hps"/>
          <w:sz w:val="16"/>
          <w:szCs w:val="16"/>
        </w:rPr>
        <w:t>F</w:t>
      </w:r>
      <w:r w:rsidR="007900EF" w:rsidRPr="00B30C53">
        <w:rPr>
          <w:rStyle w:val="hps"/>
          <w:sz w:val="16"/>
          <w:szCs w:val="16"/>
        </w:rPr>
        <w:t xml:space="preserve">ive </w:t>
      </w:r>
      <w:r w:rsidR="00D00AA0" w:rsidRPr="00B30C53">
        <w:rPr>
          <w:rStyle w:val="hps"/>
          <w:sz w:val="16"/>
          <w:szCs w:val="16"/>
        </w:rPr>
        <w:t>N</w:t>
      </w:r>
      <w:r w:rsidR="00BB38BD" w:rsidRPr="00B30C53">
        <w:rPr>
          <w:rStyle w:val="hps"/>
          <w:sz w:val="16"/>
          <w:szCs w:val="16"/>
        </w:rPr>
        <w:t xml:space="preserve">ote </w:t>
      </w:r>
      <w:r w:rsidR="007900EF" w:rsidRPr="00B30C53">
        <w:rPr>
          <w:rStyle w:val="hps"/>
          <w:sz w:val="16"/>
          <w:szCs w:val="16"/>
        </w:rPr>
        <w:t>I</w:t>
      </w:r>
      <w:r w:rsidR="003F1F39" w:rsidRPr="00B30C53">
        <w:rPr>
          <w:rStyle w:val="hps"/>
          <w:sz w:val="16"/>
          <w:szCs w:val="16"/>
        </w:rPr>
        <w:t>-h</w:t>
      </w:r>
      <w:r w:rsidR="00BE245A" w:rsidRPr="00B30C53">
        <w:rPr>
          <w:rStyle w:val="hps"/>
          <w:sz w:val="16"/>
          <w:szCs w:val="16"/>
        </w:rPr>
        <w:t>.</w:t>
      </w:r>
    </w:p>
    <w:p w14:paraId="6558BD90" w14:textId="77777777" w:rsidR="007E7654" w:rsidRPr="00604C75" w:rsidRDefault="007E7654" w:rsidP="00BE245A">
      <w:pPr>
        <w:tabs>
          <w:tab w:val="left" w:pos="360"/>
          <w:tab w:val="left" w:pos="882"/>
        </w:tabs>
        <w:spacing w:before="60"/>
        <w:jc w:val="both"/>
        <w:rPr>
          <w:b/>
          <w:sz w:val="20"/>
          <w:szCs w:val="20"/>
        </w:rPr>
      </w:pPr>
    </w:p>
    <w:p w14:paraId="186D2E28" w14:textId="77777777" w:rsidR="000D6A86" w:rsidRPr="00604C75" w:rsidRDefault="005A217D" w:rsidP="00490153">
      <w:pPr>
        <w:pageBreakBefore/>
        <w:tabs>
          <w:tab w:val="left" w:pos="360"/>
          <w:tab w:val="left" w:pos="882"/>
        </w:tabs>
        <w:spacing w:before="120" w:after="120"/>
        <w:jc w:val="both"/>
        <w:rPr>
          <w:sz w:val="20"/>
          <w:szCs w:val="20"/>
          <w:vertAlign w:val="superscript"/>
        </w:rPr>
      </w:pPr>
      <w:r w:rsidRPr="00604C75">
        <w:rPr>
          <w:b/>
          <w:sz w:val="20"/>
          <w:szCs w:val="20"/>
        </w:rPr>
        <w:lastRenderedPageBreak/>
        <w:t>EXPLANATIONS ON ACCOUNTING POLICIES (Continued)</w:t>
      </w:r>
    </w:p>
    <w:p w14:paraId="2F907D23" w14:textId="7E117A68" w:rsidR="002732B9" w:rsidRPr="00604C75" w:rsidRDefault="00AE19A5" w:rsidP="00490153">
      <w:pPr>
        <w:tabs>
          <w:tab w:val="left" w:pos="0"/>
          <w:tab w:val="left" w:pos="709"/>
        </w:tabs>
        <w:spacing w:before="120" w:after="120"/>
        <w:ind w:left="705" w:hanging="705"/>
        <w:jc w:val="both"/>
        <w:rPr>
          <w:b/>
          <w:bCs/>
          <w:sz w:val="20"/>
          <w:szCs w:val="20"/>
        </w:rPr>
      </w:pPr>
      <w:r w:rsidRPr="00604C75">
        <w:rPr>
          <w:b/>
          <w:bCs/>
          <w:sz w:val="20"/>
          <w:szCs w:val="20"/>
        </w:rPr>
        <w:t>IV.</w:t>
      </w:r>
      <w:r w:rsidRPr="00604C75">
        <w:rPr>
          <w:b/>
          <w:bCs/>
          <w:sz w:val="20"/>
          <w:szCs w:val="20"/>
        </w:rPr>
        <w:tab/>
      </w:r>
      <w:r w:rsidR="00D25151" w:rsidRPr="00604C75">
        <w:rPr>
          <w:b/>
          <w:bCs/>
          <w:sz w:val="20"/>
          <w:szCs w:val="20"/>
        </w:rPr>
        <w:t>Forward Transactions, Options and Derivative Instruments</w:t>
      </w:r>
    </w:p>
    <w:p w14:paraId="551D81ED" w14:textId="77777777" w:rsidR="00EE0097" w:rsidRPr="00604C75" w:rsidRDefault="00EE0097" w:rsidP="00490153">
      <w:pPr>
        <w:pStyle w:val="BodyTextIndent"/>
        <w:spacing w:before="120"/>
        <w:ind w:left="0" w:right="2"/>
        <w:jc w:val="both"/>
        <w:rPr>
          <w:sz w:val="20"/>
          <w:szCs w:val="20"/>
        </w:rPr>
      </w:pPr>
      <w:r w:rsidRPr="00604C75">
        <w:rPr>
          <w:sz w:val="20"/>
          <w:szCs w:val="20"/>
        </w:rPr>
        <w:t xml:space="preserve">Group’s derivative transactions include foreign currency swap, </w:t>
      </w:r>
      <w:r w:rsidR="00EE635E" w:rsidRPr="00604C75">
        <w:rPr>
          <w:sz w:val="20"/>
          <w:szCs w:val="20"/>
        </w:rPr>
        <w:t>i</w:t>
      </w:r>
      <w:r w:rsidRPr="00604C75">
        <w:rPr>
          <w:sz w:val="20"/>
          <w:szCs w:val="20"/>
        </w:rPr>
        <w:t>nterest rate swap, foreign exchange forward contracts, futures and options.</w:t>
      </w:r>
    </w:p>
    <w:p w14:paraId="680E559C" w14:textId="77777777" w:rsidR="00EE0097" w:rsidRPr="00604C75" w:rsidRDefault="00EE0097" w:rsidP="00490153">
      <w:pPr>
        <w:autoSpaceDE w:val="0"/>
        <w:autoSpaceDN w:val="0"/>
        <w:adjustRightInd w:val="0"/>
        <w:spacing w:before="120"/>
        <w:jc w:val="both"/>
        <w:rPr>
          <w:sz w:val="20"/>
          <w:szCs w:val="20"/>
          <w:lang w:val="en-GB"/>
        </w:rPr>
      </w:pPr>
      <w:r w:rsidRPr="00604C75">
        <w:rPr>
          <w:sz w:val="20"/>
          <w:szCs w:val="20"/>
          <w:lang w:val="en-GB"/>
        </w:rPr>
        <w:t xml:space="preserve">Derivatives are initially recorded with their fair values and related transaction costs as of the contract date are recorded on gain or loss. The following periods of initial reporting, they are measured with </w:t>
      </w:r>
      <w:r w:rsidRPr="00604C75">
        <w:rPr>
          <w:sz w:val="20"/>
          <w:lang w:val="en-GB"/>
        </w:rPr>
        <w:t>their fair values. The result of this assessment, offsetting debit and credits stemming from each contract debit and credits are reflected to the financial statements as a contract-based single asset and liability. The method of accounting gain or loss changes according to related derivative transaction whether to be held for hedges or not and to the content of hedge account</w:t>
      </w:r>
      <w:r w:rsidR="00255010">
        <w:rPr>
          <w:sz w:val="20"/>
          <w:lang w:val="en-GB"/>
        </w:rPr>
        <w:t>ing</w:t>
      </w:r>
      <w:r w:rsidRPr="00604C75">
        <w:rPr>
          <w:sz w:val="20"/>
          <w:lang w:val="en-GB"/>
        </w:rPr>
        <w:t>.</w:t>
      </w:r>
    </w:p>
    <w:p w14:paraId="08F72CD3" w14:textId="4C2947AA" w:rsidR="00EE0097" w:rsidRPr="00604C75" w:rsidRDefault="00BE20BA" w:rsidP="00490153">
      <w:pPr>
        <w:autoSpaceDE w:val="0"/>
        <w:autoSpaceDN w:val="0"/>
        <w:adjustRightInd w:val="0"/>
        <w:spacing w:before="120"/>
        <w:jc w:val="both"/>
        <w:rPr>
          <w:sz w:val="20"/>
          <w:szCs w:val="20"/>
          <w:lang w:val="en-GB"/>
        </w:rPr>
      </w:pPr>
      <w:r w:rsidRPr="00604C75">
        <w:rPr>
          <w:sz w:val="20"/>
          <w:szCs w:val="20"/>
          <w:lang w:val="en-GB"/>
        </w:rPr>
        <w:t xml:space="preserve">The </w:t>
      </w:r>
      <w:r w:rsidR="002C3B01">
        <w:rPr>
          <w:sz w:val="20"/>
          <w:szCs w:val="20"/>
          <w:lang w:val="en-GB"/>
        </w:rPr>
        <w:t xml:space="preserve">Parent </w:t>
      </w:r>
      <w:r w:rsidR="002732B9" w:rsidRPr="00604C75">
        <w:rPr>
          <w:sz w:val="20"/>
          <w:szCs w:val="20"/>
          <w:lang w:val="en-GB"/>
        </w:rPr>
        <w:t xml:space="preserve">Bank </w:t>
      </w:r>
      <w:r w:rsidRPr="00604C75">
        <w:rPr>
          <w:sz w:val="20"/>
          <w:szCs w:val="20"/>
          <w:lang w:val="en-GB"/>
        </w:rPr>
        <w:t xml:space="preserve">notifies in written the relationship between hedging instrument and related account, risk management aims of hedge and strategies and the methods using to measure of the hedge </w:t>
      </w:r>
      <w:proofErr w:type="spellStart"/>
      <w:r w:rsidRPr="00604C75">
        <w:rPr>
          <w:sz w:val="20"/>
          <w:szCs w:val="20"/>
          <w:lang w:val="en-GB"/>
        </w:rPr>
        <w:t>effectiveness.The</w:t>
      </w:r>
      <w:proofErr w:type="spellEnd"/>
      <w:r w:rsidR="002C3B01">
        <w:rPr>
          <w:sz w:val="20"/>
          <w:szCs w:val="20"/>
          <w:lang w:val="en-GB"/>
        </w:rPr>
        <w:t xml:space="preserve"> Parent</w:t>
      </w:r>
      <w:r w:rsidRPr="00604C75">
        <w:rPr>
          <w:sz w:val="20"/>
          <w:szCs w:val="20"/>
          <w:lang w:val="en-GB"/>
        </w:rPr>
        <w:t xml:space="preserve"> Bank evaluates the method of hedge whether to be effective on the expected changes in fair values in this process or not or each result of hedge effectiveness whether to be between the range of 80% and 125%.</w:t>
      </w:r>
    </w:p>
    <w:p w14:paraId="0D7F4464" w14:textId="2D8D9A06" w:rsidR="00EE0097" w:rsidRPr="00604C75" w:rsidRDefault="00EE0097" w:rsidP="00490153">
      <w:pPr>
        <w:autoSpaceDE w:val="0"/>
        <w:autoSpaceDN w:val="0"/>
        <w:adjustRightInd w:val="0"/>
        <w:spacing w:before="120"/>
        <w:jc w:val="both"/>
        <w:rPr>
          <w:sz w:val="20"/>
          <w:szCs w:val="20"/>
          <w:lang w:val="en-GB"/>
        </w:rPr>
      </w:pPr>
      <w:r w:rsidRPr="00604C75">
        <w:rPr>
          <w:sz w:val="20"/>
          <w:szCs w:val="20"/>
          <w:lang w:val="en-GB"/>
        </w:rPr>
        <w:t>Changes in fair values of derivative transactions determined as hedge for fair value are recorded</w:t>
      </w:r>
      <w:r w:rsidR="00A04D8F" w:rsidRPr="00604C75">
        <w:rPr>
          <w:sz w:val="20"/>
          <w:szCs w:val="20"/>
          <w:lang w:val="en-GB"/>
        </w:rPr>
        <w:t xml:space="preserve"> in profit or loss </w:t>
      </w:r>
      <w:r w:rsidRPr="00604C75">
        <w:rPr>
          <w:sz w:val="20"/>
          <w:szCs w:val="20"/>
          <w:lang w:val="en-GB"/>
        </w:rPr>
        <w:t>together with changes in hedging asset or liability. The difference in current values of derivative transactions fair value hedge is shown in “Trading Gains/Losses on derivative financial instruments” account. In the balance sheet, change in fair value of hedge asset or liability during the hedge accounting to be effective is shown with the related asset or liability. In case of inferring hedge accounting, corrections made to the value of hedge account using straight-line amortization method within the days to matu</w:t>
      </w:r>
      <w:r w:rsidR="00E9374E">
        <w:rPr>
          <w:sz w:val="20"/>
          <w:szCs w:val="20"/>
          <w:lang w:val="en-GB"/>
        </w:rPr>
        <w:t>rity are reflected to “Trading gains/l</w:t>
      </w:r>
      <w:r w:rsidRPr="00604C75">
        <w:rPr>
          <w:sz w:val="20"/>
          <w:szCs w:val="20"/>
          <w:lang w:val="en-GB"/>
        </w:rPr>
        <w:t>osses on derivative financial instruments” account in income statement.</w:t>
      </w:r>
    </w:p>
    <w:p w14:paraId="5B547BFF" w14:textId="68E7B1B9" w:rsidR="002732B9" w:rsidRPr="00604C75" w:rsidRDefault="002732B9" w:rsidP="00490153">
      <w:pPr>
        <w:spacing w:before="120"/>
        <w:jc w:val="both"/>
        <w:rPr>
          <w:color w:val="1F497D"/>
          <w:sz w:val="22"/>
          <w:szCs w:val="22"/>
        </w:rPr>
      </w:pPr>
      <w:r w:rsidRPr="00604C75">
        <w:rPr>
          <w:sz w:val="20"/>
          <w:szCs w:val="20"/>
          <w:lang w:val="en-GB"/>
        </w:rPr>
        <w:t>The</w:t>
      </w:r>
      <w:r w:rsidR="002C3B01">
        <w:rPr>
          <w:sz w:val="20"/>
          <w:szCs w:val="20"/>
          <w:lang w:val="en-GB"/>
        </w:rPr>
        <w:t xml:space="preserve"> Parent</w:t>
      </w:r>
      <w:r w:rsidRPr="00604C75">
        <w:rPr>
          <w:sz w:val="20"/>
          <w:szCs w:val="20"/>
          <w:lang w:val="en-GB"/>
        </w:rPr>
        <w:t xml:space="preserve"> Bank classifies its derivative instruments except for derivatives held for cash flow hedges as “Held-for-hedging” or “Held-for-trading” in accordance with “Financial Instruments: Turkish Accounting Standard for Recognition and Measurement (“TAS 39”)”. According to this, certain derivative transactions while providing effective economic hedges under the </w:t>
      </w:r>
      <w:r w:rsidR="002C3B01">
        <w:rPr>
          <w:sz w:val="20"/>
          <w:szCs w:val="20"/>
          <w:lang w:val="en-GB"/>
        </w:rPr>
        <w:t xml:space="preserve">Parent </w:t>
      </w:r>
      <w:r w:rsidRPr="00604C75">
        <w:rPr>
          <w:sz w:val="20"/>
          <w:szCs w:val="20"/>
          <w:lang w:val="en-GB"/>
        </w:rPr>
        <w:t>Bank’s risk management position, are recorded under the specific rules of TAS 39 and are treated as derivatives “Held-for-trading</w:t>
      </w:r>
      <w:r w:rsidRPr="00604C75">
        <w:rPr>
          <w:sz w:val="20"/>
          <w:lang w:val="en-GB"/>
        </w:rPr>
        <w:t>”.</w:t>
      </w:r>
    </w:p>
    <w:p w14:paraId="6CA500AB" w14:textId="7F91E4FC" w:rsidR="00AE19A5" w:rsidRPr="00604C75" w:rsidRDefault="00AE19A5" w:rsidP="00490153">
      <w:pPr>
        <w:tabs>
          <w:tab w:val="left" w:pos="709"/>
        </w:tabs>
        <w:spacing w:before="120"/>
        <w:jc w:val="both"/>
        <w:rPr>
          <w:caps/>
          <w:sz w:val="20"/>
          <w:szCs w:val="20"/>
        </w:rPr>
      </w:pPr>
      <w:r w:rsidRPr="00604C75">
        <w:rPr>
          <w:b/>
          <w:bCs/>
          <w:sz w:val="20"/>
          <w:szCs w:val="20"/>
        </w:rPr>
        <w:t>V.</w:t>
      </w:r>
      <w:r w:rsidRPr="00604C75">
        <w:rPr>
          <w:b/>
          <w:bCs/>
          <w:sz w:val="20"/>
          <w:szCs w:val="20"/>
        </w:rPr>
        <w:tab/>
      </w:r>
      <w:r w:rsidR="003D643D" w:rsidRPr="00604C75">
        <w:rPr>
          <w:b/>
          <w:bCs/>
          <w:sz w:val="20"/>
          <w:szCs w:val="20"/>
        </w:rPr>
        <w:t>Interest Income a</w:t>
      </w:r>
      <w:r w:rsidR="00D25151" w:rsidRPr="00604C75">
        <w:rPr>
          <w:b/>
          <w:bCs/>
          <w:sz w:val="20"/>
          <w:szCs w:val="20"/>
        </w:rPr>
        <w:t>nd Expense</w:t>
      </w:r>
    </w:p>
    <w:p w14:paraId="4F57E563" w14:textId="206FE859" w:rsidR="003648EB" w:rsidRPr="00604C75" w:rsidRDefault="003648EB" w:rsidP="00490153">
      <w:pPr>
        <w:spacing w:before="120"/>
        <w:jc w:val="both"/>
        <w:rPr>
          <w:sz w:val="20"/>
          <w:szCs w:val="20"/>
        </w:rPr>
      </w:pPr>
      <w:r w:rsidRPr="00604C75">
        <w:rPr>
          <w:noProof/>
          <w:sz w:val="20"/>
          <w:szCs w:val="20"/>
          <w:lang w:val="tr-TR"/>
        </w:rPr>
        <w:t xml:space="preserve">Interest </w:t>
      </w:r>
      <w:r w:rsidRPr="009F5D36">
        <w:rPr>
          <w:sz w:val="20"/>
          <w:szCs w:val="20"/>
        </w:rPr>
        <w:t>income and expenses are recognized in the income statement on an accrual basis by using the effective interest method</w:t>
      </w:r>
      <w:r w:rsidR="00F142CB" w:rsidRPr="009F5D36">
        <w:rPr>
          <w:sz w:val="20"/>
          <w:szCs w:val="20"/>
        </w:rPr>
        <w:t xml:space="preserve"> (the rate that equals the future cash flows of a financial asset or liability to its presented book value)</w:t>
      </w:r>
      <w:r w:rsidRPr="009F5D36">
        <w:rPr>
          <w:sz w:val="20"/>
          <w:szCs w:val="20"/>
        </w:rPr>
        <w:t xml:space="preserve"> periodically.</w:t>
      </w:r>
      <w:r w:rsidRPr="00604C75" w:rsidDel="006A6115">
        <w:rPr>
          <w:sz w:val="20"/>
          <w:szCs w:val="20"/>
        </w:rPr>
        <w:t xml:space="preserve"> </w:t>
      </w:r>
    </w:p>
    <w:p w14:paraId="1E530D76" w14:textId="77777777" w:rsidR="003648EB" w:rsidRPr="00604C75" w:rsidRDefault="003648EB" w:rsidP="00490153">
      <w:pPr>
        <w:spacing w:before="120"/>
        <w:jc w:val="both"/>
        <w:rPr>
          <w:bCs/>
          <w:iCs/>
          <w:noProof/>
          <w:sz w:val="20"/>
          <w:szCs w:val="20"/>
          <w:lang w:val="tr-TR"/>
        </w:rPr>
      </w:pPr>
      <w:r w:rsidRPr="009F5D36">
        <w:rPr>
          <w:sz w:val="20"/>
          <w:szCs w:val="20"/>
        </w:rPr>
        <w:t>The Group ceases accruing</w:t>
      </w:r>
      <w:r w:rsidRPr="00604C75">
        <w:rPr>
          <w:noProof/>
          <w:sz w:val="20"/>
          <w:szCs w:val="20"/>
          <w:lang w:val="tr-TR"/>
        </w:rPr>
        <w:t xml:space="preserve"> interest income on non-performing loans and, any interest income accruals from such loans are being reversed and no income is accounted until the collection is made according to the related regulation.</w:t>
      </w:r>
      <w:r w:rsidRPr="00604C75">
        <w:rPr>
          <w:bCs/>
          <w:iCs/>
          <w:noProof/>
          <w:sz w:val="20"/>
          <w:szCs w:val="20"/>
          <w:lang w:val="tr-TR"/>
        </w:rPr>
        <w:t xml:space="preserve"> </w:t>
      </w:r>
    </w:p>
    <w:p w14:paraId="4F8B5671" w14:textId="1B0A8578" w:rsidR="00AE19A5" w:rsidRPr="00604C75" w:rsidRDefault="003D643D" w:rsidP="00490153">
      <w:pPr>
        <w:pStyle w:val="ListParagraph"/>
        <w:numPr>
          <w:ilvl w:val="0"/>
          <w:numId w:val="7"/>
        </w:numPr>
        <w:tabs>
          <w:tab w:val="left" w:pos="709"/>
        </w:tabs>
        <w:spacing w:before="120"/>
        <w:ind w:left="0" w:firstLine="0"/>
        <w:jc w:val="both"/>
        <w:rPr>
          <w:b/>
          <w:noProof/>
          <w:sz w:val="20"/>
          <w:szCs w:val="20"/>
          <w:lang w:val="tr-TR"/>
        </w:rPr>
      </w:pPr>
      <w:bookmarkStart w:id="5" w:name="_Toc198789889"/>
      <w:bookmarkStart w:id="6" w:name="_Toc198789827"/>
      <w:r w:rsidRPr="00604C75">
        <w:rPr>
          <w:b/>
          <w:noProof/>
          <w:sz w:val="20"/>
          <w:szCs w:val="20"/>
          <w:lang w:val="tr-TR"/>
        </w:rPr>
        <w:t>Fee and Comission Income and Expense</w:t>
      </w:r>
      <w:r w:rsidRPr="00604C75" w:rsidDel="003D643D">
        <w:rPr>
          <w:b/>
          <w:noProof/>
          <w:sz w:val="20"/>
          <w:szCs w:val="20"/>
          <w:lang w:val="tr-TR"/>
        </w:rPr>
        <w:t xml:space="preserve"> </w:t>
      </w:r>
      <w:bookmarkEnd w:id="5"/>
      <w:bookmarkEnd w:id="6"/>
    </w:p>
    <w:p w14:paraId="614F7F90" w14:textId="77777777" w:rsidR="00651C1F" w:rsidRDefault="008C1382" w:rsidP="00490153">
      <w:pPr>
        <w:spacing w:before="120"/>
        <w:jc w:val="both"/>
        <w:rPr>
          <w:sz w:val="20"/>
          <w:szCs w:val="20"/>
          <w:shd w:val="clear" w:color="auto" w:fill="FFC000"/>
        </w:rPr>
      </w:pPr>
      <w:r>
        <w:rPr>
          <w:sz w:val="20"/>
          <w:szCs w:val="20"/>
        </w:rPr>
        <w:t>Except for the b</w:t>
      </w:r>
      <w:r w:rsidR="00651C1F" w:rsidRPr="004722A4">
        <w:rPr>
          <w:sz w:val="20"/>
          <w:szCs w:val="20"/>
        </w:rPr>
        <w:t>anking services revenues are recognized as income at the time of collection, commission income related with the cash and non-cash loans are deferred and recognized as income by using with the effective interest rate method depending on nature of fees and commission</w:t>
      </w:r>
      <w:r>
        <w:rPr>
          <w:sz w:val="20"/>
          <w:szCs w:val="20"/>
        </w:rPr>
        <w:t xml:space="preserve"> </w:t>
      </w:r>
      <w:r w:rsidR="00651C1F" w:rsidRPr="004722A4">
        <w:rPr>
          <w:sz w:val="20"/>
          <w:szCs w:val="20"/>
        </w:rPr>
        <w:t>income derived from agreements and asset purchases for third parties are recognized as income when realized.</w:t>
      </w:r>
    </w:p>
    <w:p w14:paraId="6DF3815F" w14:textId="77777777" w:rsidR="00E45532" w:rsidRPr="00604C75" w:rsidRDefault="00E45532" w:rsidP="00490153">
      <w:pPr>
        <w:spacing w:before="120"/>
        <w:jc w:val="both"/>
        <w:rPr>
          <w:sz w:val="20"/>
          <w:szCs w:val="20"/>
        </w:rPr>
      </w:pPr>
      <w:r w:rsidRPr="00604C75">
        <w:rPr>
          <w:sz w:val="20"/>
          <w:szCs w:val="20"/>
        </w:rPr>
        <w:t>Fees and commission expenses paid to the other institutions are recognized as operation cost in the prepaid expense and recorded using the effective interest rate method.</w:t>
      </w:r>
    </w:p>
    <w:p w14:paraId="31B6F959" w14:textId="77777777" w:rsidR="006B52A5" w:rsidRPr="00604C75" w:rsidRDefault="006B52A5" w:rsidP="00081060">
      <w:pPr>
        <w:jc w:val="both"/>
        <w:rPr>
          <w:sz w:val="20"/>
          <w:szCs w:val="20"/>
        </w:rPr>
      </w:pPr>
    </w:p>
    <w:p w14:paraId="53888B18" w14:textId="77777777" w:rsidR="006B52A5" w:rsidRPr="00604C75" w:rsidRDefault="006B52A5" w:rsidP="00081060">
      <w:pPr>
        <w:jc w:val="both"/>
        <w:rPr>
          <w:sz w:val="20"/>
          <w:szCs w:val="20"/>
        </w:rPr>
      </w:pPr>
    </w:p>
    <w:p w14:paraId="384D07AA" w14:textId="77777777" w:rsidR="006B52A5" w:rsidRPr="00604C75" w:rsidRDefault="006B52A5" w:rsidP="00E45532">
      <w:pPr>
        <w:ind w:left="851"/>
        <w:jc w:val="both"/>
        <w:rPr>
          <w:sz w:val="20"/>
          <w:szCs w:val="20"/>
        </w:rPr>
      </w:pPr>
    </w:p>
    <w:p w14:paraId="7E2BC677" w14:textId="77777777" w:rsidR="005A217D" w:rsidRPr="00604C75" w:rsidRDefault="005A217D" w:rsidP="00785510">
      <w:pPr>
        <w:ind w:left="851"/>
        <w:jc w:val="both"/>
        <w:rPr>
          <w:sz w:val="20"/>
          <w:szCs w:val="20"/>
        </w:rPr>
      </w:pPr>
    </w:p>
    <w:p w14:paraId="7069CEE5" w14:textId="77777777" w:rsidR="005A217D" w:rsidRPr="00604C75" w:rsidRDefault="005A217D" w:rsidP="00785510">
      <w:pPr>
        <w:ind w:left="851"/>
        <w:jc w:val="both"/>
        <w:rPr>
          <w:sz w:val="20"/>
          <w:szCs w:val="20"/>
        </w:rPr>
      </w:pPr>
    </w:p>
    <w:p w14:paraId="26331736" w14:textId="77777777" w:rsidR="005A217D" w:rsidRPr="00604C75" w:rsidRDefault="005A217D" w:rsidP="00785510">
      <w:pPr>
        <w:ind w:left="851"/>
        <w:jc w:val="both"/>
        <w:rPr>
          <w:sz w:val="20"/>
          <w:szCs w:val="20"/>
        </w:rPr>
      </w:pPr>
    </w:p>
    <w:p w14:paraId="110E3B60" w14:textId="77777777" w:rsidR="00A85022" w:rsidRPr="00604C75" w:rsidRDefault="00A85022" w:rsidP="00785510">
      <w:pPr>
        <w:ind w:left="851"/>
        <w:jc w:val="both"/>
        <w:rPr>
          <w:sz w:val="20"/>
          <w:szCs w:val="20"/>
        </w:rPr>
      </w:pPr>
    </w:p>
    <w:p w14:paraId="6A0893A9" w14:textId="77777777" w:rsidR="005A217D" w:rsidRPr="00604C75" w:rsidRDefault="005A217D" w:rsidP="00785510">
      <w:pPr>
        <w:ind w:left="851"/>
        <w:jc w:val="both"/>
        <w:rPr>
          <w:sz w:val="20"/>
          <w:szCs w:val="20"/>
        </w:rPr>
      </w:pPr>
    </w:p>
    <w:p w14:paraId="6615A6AA" w14:textId="77777777" w:rsidR="005A217D" w:rsidRPr="00604C75" w:rsidRDefault="005A217D" w:rsidP="00490153">
      <w:pPr>
        <w:pageBreakBefore/>
        <w:spacing w:before="120"/>
        <w:jc w:val="both"/>
        <w:rPr>
          <w:bCs/>
          <w:iCs/>
          <w:noProof/>
          <w:sz w:val="20"/>
          <w:szCs w:val="20"/>
          <w:lang w:val="tr-TR"/>
        </w:rPr>
      </w:pPr>
      <w:r w:rsidRPr="00604C75">
        <w:rPr>
          <w:b/>
          <w:sz w:val="20"/>
          <w:szCs w:val="20"/>
        </w:rPr>
        <w:lastRenderedPageBreak/>
        <w:t>EXPLANATIONS ON ACCOUNTING POLICIES (Continued)</w:t>
      </w:r>
    </w:p>
    <w:p w14:paraId="27A3FD17" w14:textId="7DAF120D" w:rsidR="00AE19A5" w:rsidRPr="00604C75" w:rsidRDefault="004A7F79" w:rsidP="00490153">
      <w:pPr>
        <w:pStyle w:val="ListParagraph"/>
        <w:numPr>
          <w:ilvl w:val="0"/>
          <w:numId w:val="7"/>
        </w:numPr>
        <w:tabs>
          <w:tab w:val="left" w:pos="851"/>
        </w:tabs>
        <w:spacing w:before="120"/>
        <w:ind w:left="0" w:firstLine="0"/>
        <w:jc w:val="both"/>
        <w:rPr>
          <w:b/>
          <w:noProof/>
          <w:sz w:val="20"/>
          <w:szCs w:val="20"/>
          <w:lang w:val="tr-TR"/>
        </w:rPr>
      </w:pPr>
      <w:bookmarkStart w:id="7" w:name="_Toc198789890"/>
      <w:bookmarkStart w:id="8" w:name="_Toc198789828"/>
      <w:r w:rsidRPr="00604C75">
        <w:rPr>
          <w:b/>
          <w:noProof/>
          <w:sz w:val="20"/>
          <w:szCs w:val="20"/>
          <w:lang w:val="tr-TR"/>
        </w:rPr>
        <w:t>Financial Assets</w:t>
      </w:r>
      <w:bookmarkEnd w:id="7"/>
      <w:bookmarkEnd w:id="8"/>
    </w:p>
    <w:p w14:paraId="4AA56C74" w14:textId="1B99FD7F" w:rsidR="00AE19A5" w:rsidRPr="00604C75" w:rsidRDefault="00AE19A5" w:rsidP="00490153">
      <w:pPr>
        <w:pStyle w:val="BodyTextIndent3"/>
        <w:widowControl w:val="0"/>
        <w:spacing w:before="120" w:after="0"/>
        <w:ind w:left="0"/>
        <w:jc w:val="both"/>
        <w:rPr>
          <w:sz w:val="20"/>
          <w:szCs w:val="20"/>
        </w:rPr>
      </w:pPr>
      <w:r w:rsidRPr="00604C75">
        <w:rPr>
          <w:sz w:val="20"/>
          <w:szCs w:val="20"/>
        </w:rPr>
        <w:t>Financial instruments comprise financial assets and liabilities and derivative instruments</w:t>
      </w:r>
      <w:r w:rsidRPr="00604C75">
        <w:rPr>
          <w:bCs/>
          <w:sz w:val="20"/>
          <w:szCs w:val="20"/>
        </w:rPr>
        <w:t xml:space="preserve">. Financial instruments </w:t>
      </w:r>
      <w:r w:rsidR="00F142CB">
        <w:rPr>
          <w:bCs/>
          <w:sz w:val="20"/>
          <w:szCs w:val="20"/>
        </w:rPr>
        <w:t>constitutes</w:t>
      </w:r>
      <w:r w:rsidRPr="00604C75">
        <w:rPr>
          <w:bCs/>
          <w:sz w:val="20"/>
          <w:szCs w:val="20"/>
        </w:rPr>
        <w:t xml:space="preserve"> the basis of the </w:t>
      </w:r>
      <w:r w:rsidR="008F74BA" w:rsidRPr="00604C75">
        <w:rPr>
          <w:bCs/>
          <w:sz w:val="20"/>
          <w:szCs w:val="20"/>
        </w:rPr>
        <w:t>G</w:t>
      </w:r>
      <w:r w:rsidR="00C16EC5" w:rsidRPr="00604C75">
        <w:rPr>
          <w:bCs/>
          <w:sz w:val="20"/>
          <w:szCs w:val="20"/>
        </w:rPr>
        <w:t>roup’s</w:t>
      </w:r>
      <w:r w:rsidRPr="00604C75">
        <w:rPr>
          <w:bCs/>
          <w:sz w:val="20"/>
          <w:szCs w:val="20"/>
        </w:rPr>
        <w:t xml:space="preserve"> business activities and operations.</w:t>
      </w:r>
      <w:r w:rsidRPr="00604C75">
        <w:rPr>
          <w:sz w:val="20"/>
          <w:szCs w:val="20"/>
        </w:rPr>
        <w:t xml:space="preserve"> Risks related to these activities form a significant part among total risks the</w:t>
      </w:r>
      <w:r w:rsidR="002C3B01">
        <w:rPr>
          <w:sz w:val="20"/>
          <w:szCs w:val="20"/>
        </w:rPr>
        <w:t xml:space="preserve"> Parent</w:t>
      </w:r>
      <w:r w:rsidRPr="00604C75">
        <w:rPr>
          <w:sz w:val="20"/>
          <w:szCs w:val="20"/>
        </w:rPr>
        <w:t xml:space="preserve"> Bank undertakes. Financial instruments affect liquidity, market, and credit risks on the </w:t>
      </w:r>
      <w:r w:rsidR="00E01177">
        <w:rPr>
          <w:sz w:val="20"/>
          <w:szCs w:val="20"/>
        </w:rPr>
        <w:t>Group</w:t>
      </w:r>
      <w:r w:rsidR="00E01177" w:rsidRPr="00604C75">
        <w:rPr>
          <w:sz w:val="20"/>
          <w:szCs w:val="20"/>
        </w:rPr>
        <w:t xml:space="preserve">’s </w:t>
      </w:r>
      <w:r w:rsidRPr="00604C75">
        <w:rPr>
          <w:sz w:val="20"/>
          <w:szCs w:val="20"/>
        </w:rPr>
        <w:t xml:space="preserve">balance sheet in all respects. The </w:t>
      </w:r>
      <w:r w:rsidR="00E01177">
        <w:rPr>
          <w:sz w:val="20"/>
          <w:szCs w:val="20"/>
        </w:rPr>
        <w:t>Group</w:t>
      </w:r>
      <w:r w:rsidR="00E01177" w:rsidRPr="00604C75">
        <w:rPr>
          <w:sz w:val="20"/>
          <w:szCs w:val="20"/>
        </w:rPr>
        <w:t xml:space="preserve"> </w:t>
      </w:r>
      <w:r w:rsidRPr="00604C75">
        <w:rPr>
          <w:sz w:val="20"/>
          <w:szCs w:val="20"/>
        </w:rPr>
        <w:t>trades these instruments on behalf of its customers and on its own behalf.</w:t>
      </w:r>
    </w:p>
    <w:p w14:paraId="457BE81A" w14:textId="77777777" w:rsidR="00BB32EC" w:rsidRPr="00604C75" w:rsidRDefault="00AE19A5" w:rsidP="00490153">
      <w:pPr>
        <w:widowControl w:val="0"/>
        <w:tabs>
          <w:tab w:val="left" w:pos="-54"/>
        </w:tabs>
        <w:spacing w:before="120"/>
        <w:jc w:val="both"/>
        <w:rPr>
          <w:sz w:val="20"/>
          <w:szCs w:val="20"/>
        </w:rPr>
      </w:pPr>
      <w:r w:rsidRPr="00604C75">
        <w:rPr>
          <w:sz w:val="20"/>
          <w:szCs w:val="20"/>
        </w:rPr>
        <w:t xml:space="preserve">Basically, financial assets create the majority of the commercial activities of the </w:t>
      </w:r>
      <w:r w:rsidR="00C16EC5" w:rsidRPr="00604C75">
        <w:rPr>
          <w:sz w:val="20"/>
          <w:szCs w:val="20"/>
        </w:rPr>
        <w:t>group</w:t>
      </w:r>
      <w:r w:rsidRPr="00604C75">
        <w:rPr>
          <w:sz w:val="20"/>
          <w:szCs w:val="20"/>
        </w:rPr>
        <w:t>. These instruments expose, affect and diminish the liquidity, credit and interest risks in the financial statements.</w:t>
      </w:r>
    </w:p>
    <w:p w14:paraId="0CD0706E" w14:textId="77777777" w:rsidR="007B6BC9" w:rsidRPr="00604C75" w:rsidRDefault="007B6BC9" w:rsidP="00490153">
      <w:pPr>
        <w:widowControl w:val="0"/>
        <w:spacing w:before="120"/>
        <w:jc w:val="both"/>
        <w:rPr>
          <w:bCs/>
          <w:sz w:val="20"/>
          <w:szCs w:val="20"/>
        </w:rPr>
      </w:pPr>
      <w:r w:rsidRPr="00604C75">
        <w:rPr>
          <w:bCs/>
          <w:sz w:val="20"/>
          <w:szCs w:val="20"/>
        </w:rPr>
        <w:t>Regular purchases and sales of financial assets are recorded based on settlement date. Settlement date of a financial asset is the date that the asset is received or delivered by the</w:t>
      </w:r>
      <w:r w:rsidR="00E01177">
        <w:rPr>
          <w:bCs/>
          <w:sz w:val="20"/>
          <w:szCs w:val="20"/>
        </w:rPr>
        <w:t xml:space="preserve"> Parent</w:t>
      </w:r>
      <w:r w:rsidRPr="00604C75">
        <w:rPr>
          <w:bCs/>
          <w:sz w:val="20"/>
          <w:szCs w:val="20"/>
        </w:rPr>
        <w:t xml:space="preserve"> Bank. Settlement date accounting requires; (a) accounting for the financial asset when the asset is received and (b) accounting of disposal of the financial asset and recording the related profit and loss when the asset is delivered. The fair value changes of an asset to be acquired between the trade date and settlement date is accounted in accordance with the basis of valuation of assets.</w:t>
      </w:r>
    </w:p>
    <w:p w14:paraId="4A2992F5" w14:textId="09D70E5C" w:rsidR="00AE19A5" w:rsidRPr="00604C75" w:rsidRDefault="00511C10" w:rsidP="00490153">
      <w:pPr>
        <w:widowControl w:val="0"/>
        <w:spacing w:before="120"/>
        <w:jc w:val="both"/>
        <w:rPr>
          <w:bCs/>
          <w:sz w:val="20"/>
          <w:szCs w:val="20"/>
        </w:rPr>
      </w:pPr>
      <w:r w:rsidRPr="00604C75">
        <w:rPr>
          <w:sz w:val="20"/>
          <w:szCs w:val="20"/>
        </w:rPr>
        <w:t>The purchase or sale of financial assets is</w:t>
      </w:r>
      <w:r w:rsidR="005A5DA3">
        <w:rPr>
          <w:sz w:val="20"/>
          <w:szCs w:val="20"/>
        </w:rPr>
        <w:t xml:space="preserve"> </w:t>
      </w:r>
      <w:r w:rsidRPr="00604C75">
        <w:rPr>
          <w:sz w:val="20"/>
          <w:szCs w:val="20"/>
        </w:rPr>
        <w:t>a transaction</w:t>
      </w:r>
      <w:r w:rsidR="00AE19A5" w:rsidRPr="00604C75">
        <w:rPr>
          <w:sz w:val="20"/>
          <w:szCs w:val="20"/>
        </w:rPr>
        <w:t xml:space="preserve"> </w:t>
      </w:r>
      <w:r w:rsidR="00825398" w:rsidRPr="00604C75">
        <w:rPr>
          <w:sz w:val="20"/>
          <w:szCs w:val="20"/>
        </w:rPr>
        <w:t xml:space="preserve">based on regulation or market convention </w:t>
      </w:r>
      <w:r w:rsidR="00AE19A5" w:rsidRPr="00604C75">
        <w:rPr>
          <w:sz w:val="20"/>
          <w:szCs w:val="20"/>
        </w:rPr>
        <w:t>that require</w:t>
      </w:r>
      <w:r w:rsidRPr="00604C75">
        <w:rPr>
          <w:sz w:val="20"/>
          <w:szCs w:val="20"/>
        </w:rPr>
        <w:t>s</w:t>
      </w:r>
      <w:r w:rsidR="00AE19A5" w:rsidRPr="00604C75">
        <w:rPr>
          <w:sz w:val="20"/>
          <w:szCs w:val="20"/>
        </w:rPr>
        <w:t xml:space="preserve"> delive</w:t>
      </w:r>
      <w:r w:rsidRPr="00604C75">
        <w:rPr>
          <w:sz w:val="20"/>
          <w:szCs w:val="20"/>
        </w:rPr>
        <w:t>ry of assets within a</w:t>
      </w:r>
      <w:r w:rsidR="00825398" w:rsidRPr="00604C75">
        <w:rPr>
          <w:sz w:val="20"/>
          <w:szCs w:val="20"/>
        </w:rPr>
        <w:t xml:space="preserve"> defined</w:t>
      </w:r>
      <w:r w:rsidR="00AE19A5" w:rsidRPr="00604C75">
        <w:rPr>
          <w:sz w:val="20"/>
          <w:szCs w:val="20"/>
        </w:rPr>
        <w:t xml:space="preserve"> time frame. Changes in fair value of assets to be received during the period between the trade date and the settlement date are accounted for in the same way as the acquired assets. </w:t>
      </w:r>
      <w:r w:rsidR="00AE19A5" w:rsidRPr="00604C75">
        <w:rPr>
          <w:bCs/>
          <w:sz w:val="20"/>
          <w:szCs w:val="20"/>
        </w:rPr>
        <w:t xml:space="preserve">Changes occurring in the fair value, cost or amortized cost are not recognized for the asset; fair value recognition in profit or loss in respect of a financial asset classified as the resulting gain or loss in profit or loss; the gain and loss arising in financial assets available for sale is recognized in equity. </w:t>
      </w:r>
    </w:p>
    <w:p w14:paraId="3091C6ED" w14:textId="77777777" w:rsidR="00AE19A5" w:rsidRPr="00604C75" w:rsidRDefault="00AE19A5" w:rsidP="00490153">
      <w:pPr>
        <w:widowControl w:val="0"/>
        <w:spacing w:before="120"/>
        <w:jc w:val="both"/>
        <w:rPr>
          <w:sz w:val="20"/>
          <w:szCs w:val="20"/>
        </w:rPr>
      </w:pPr>
      <w:r w:rsidRPr="00604C75">
        <w:rPr>
          <w:sz w:val="20"/>
          <w:szCs w:val="20"/>
        </w:rPr>
        <w:t>The methods and assumptions used in determining the reasonable estimated values of all of the financial instruments are described below.</w:t>
      </w:r>
    </w:p>
    <w:p w14:paraId="24FC6A52" w14:textId="2237CF3A" w:rsidR="00AE19A5" w:rsidRPr="00604C75" w:rsidRDefault="005A5DA3" w:rsidP="008477F3">
      <w:pPr>
        <w:pStyle w:val="ListParagraph"/>
        <w:widowControl w:val="0"/>
        <w:numPr>
          <w:ilvl w:val="0"/>
          <w:numId w:val="41"/>
        </w:numPr>
        <w:spacing w:before="120"/>
        <w:ind w:left="0" w:firstLine="0"/>
        <w:jc w:val="both"/>
        <w:rPr>
          <w:b/>
          <w:sz w:val="20"/>
          <w:szCs w:val="20"/>
        </w:rPr>
      </w:pPr>
      <w:r>
        <w:rPr>
          <w:rFonts w:eastAsia="Arial Unicode MS"/>
          <w:b/>
          <w:sz w:val="20"/>
          <w:szCs w:val="20"/>
        </w:rPr>
        <w:t>Cash, Banks</w:t>
      </w:r>
      <w:r w:rsidR="00AE19A5" w:rsidRPr="00604C75">
        <w:rPr>
          <w:rFonts w:eastAsia="Arial Unicode MS"/>
          <w:b/>
          <w:sz w:val="20"/>
          <w:szCs w:val="20"/>
        </w:rPr>
        <w:t xml:space="preserve"> and Other Financial Institutions</w:t>
      </w:r>
    </w:p>
    <w:p w14:paraId="23554370" w14:textId="2BE8B0A7" w:rsidR="00AE19A5" w:rsidRPr="00604C75" w:rsidRDefault="00AE19A5" w:rsidP="00490153">
      <w:pPr>
        <w:widowControl w:val="0"/>
        <w:spacing w:before="120"/>
        <w:jc w:val="both"/>
        <w:rPr>
          <w:sz w:val="20"/>
          <w:szCs w:val="20"/>
        </w:rPr>
      </w:pPr>
      <w:r w:rsidRPr="00604C75">
        <w:rPr>
          <w:rFonts w:eastAsia="Arial Unicode MS"/>
          <w:sz w:val="20"/>
          <w:szCs w:val="20"/>
        </w:rPr>
        <w:t>Ca</w:t>
      </w:r>
      <w:r w:rsidR="00E87AAA" w:rsidRPr="00604C75">
        <w:rPr>
          <w:rFonts w:eastAsia="Arial Unicode MS"/>
          <w:sz w:val="20"/>
          <w:szCs w:val="20"/>
        </w:rPr>
        <w:t>sh and cash equivalents consists of</w:t>
      </w:r>
      <w:r w:rsidRPr="00604C75">
        <w:rPr>
          <w:rFonts w:eastAsia="Arial Unicode MS"/>
          <w:sz w:val="20"/>
          <w:szCs w:val="20"/>
        </w:rPr>
        <w:t xml:space="preserve"> cash on hand, demand deposits, and highly liquid short-term investments, not bearing risk of significant value change, and that are readily convertible to a known amount of cash. The </w:t>
      </w:r>
      <w:r w:rsidR="007B6BC9" w:rsidRPr="00604C75">
        <w:rPr>
          <w:rFonts w:eastAsia="Arial Unicode MS"/>
          <w:sz w:val="20"/>
          <w:szCs w:val="20"/>
        </w:rPr>
        <w:t>carrying</w:t>
      </w:r>
      <w:r w:rsidRPr="00604C75">
        <w:rPr>
          <w:rFonts w:eastAsia="Arial Unicode MS"/>
          <w:sz w:val="20"/>
          <w:szCs w:val="20"/>
        </w:rPr>
        <w:t xml:space="preserve"> value of these assets </w:t>
      </w:r>
      <w:r w:rsidR="00F142CB">
        <w:rPr>
          <w:rFonts w:eastAsia="Arial Unicode MS"/>
          <w:sz w:val="20"/>
          <w:szCs w:val="20"/>
        </w:rPr>
        <w:t>are</w:t>
      </w:r>
      <w:r w:rsidRPr="00604C75">
        <w:rPr>
          <w:rFonts w:eastAsia="Arial Unicode MS"/>
          <w:sz w:val="20"/>
          <w:szCs w:val="20"/>
        </w:rPr>
        <w:t xml:space="preserve"> their fair values</w:t>
      </w:r>
      <w:r w:rsidRPr="00604C75">
        <w:rPr>
          <w:sz w:val="20"/>
          <w:szCs w:val="20"/>
        </w:rPr>
        <w:t>.</w:t>
      </w:r>
    </w:p>
    <w:p w14:paraId="04C4A1FA" w14:textId="77777777" w:rsidR="00AE19A5" w:rsidRPr="00604C75" w:rsidRDefault="00AE19A5" w:rsidP="00490153">
      <w:pPr>
        <w:pStyle w:val="BodyText3"/>
        <w:widowControl w:val="0"/>
        <w:tabs>
          <w:tab w:val="clear" w:pos="539"/>
          <w:tab w:val="clear" w:pos="5310"/>
          <w:tab w:val="clear" w:pos="7560"/>
        </w:tabs>
        <w:spacing w:before="120"/>
        <w:jc w:val="both"/>
        <w:rPr>
          <w:b/>
          <w:bCs w:val="0"/>
          <w:i w:val="0"/>
          <w:iCs w:val="0"/>
          <w:sz w:val="20"/>
        </w:rPr>
      </w:pPr>
      <w:r w:rsidRPr="00604C75">
        <w:rPr>
          <w:b/>
          <w:bCs w:val="0"/>
          <w:i w:val="0"/>
          <w:iCs w:val="0"/>
          <w:sz w:val="20"/>
        </w:rPr>
        <w:t>b.</w:t>
      </w:r>
      <w:r w:rsidRPr="00604C75">
        <w:rPr>
          <w:b/>
          <w:bCs w:val="0"/>
          <w:i w:val="0"/>
          <w:iCs w:val="0"/>
          <w:sz w:val="20"/>
        </w:rPr>
        <w:tab/>
      </w:r>
      <w:r w:rsidRPr="00604C75">
        <w:rPr>
          <w:b/>
          <w:i w:val="0"/>
          <w:sz w:val="20"/>
        </w:rPr>
        <w:t>Marketable securities</w:t>
      </w:r>
    </w:p>
    <w:p w14:paraId="76E99EFC" w14:textId="6BF07331" w:rsidR="007B6BC9" w:rsidRPr="00604C75" w:rsidRDefault="007B6BC9" w:rsidP="00490153">
      <w:pPr>
        <w:widowControl w:val="0"/>
        <w:spacing w:before="120"/>
        <w:jc w:val="both"/>
        <w:rPr>
          <w:bCs/>
          <w:sz w:val="20"/>
          <w:szCs w:val="20"/>
        </w:rPr>
      </w:pPr>
      <w:r w:rsidRPr="00604C75">
        <w:rPr>
          <w:sz w:val="20"/>
          <w:szCs w:val="20"/>
        </w:rPr>
        <w:t>Financial assets which are classified as “financial assets at fair value through profit or loss”, ar</w:t>
      </w:r>
      <w:r w:rsidR="00FA4A56">
        <w:rPr>
          <w:sz w:val="20"/>
          <w:szCs w:val="20"/>
        </w:rPr>
        <w:t>e classified in two main topics;</w:t>
      </w:r>
      <w:r w:rsidRPr="00604C75">
        <w:rPr>
          <w:sz w:val="20"/>
          <w:szCs w:val="20"/>
        </w:rPr>
        <w:t xml:space="preserve"> (i) </w:t>
      </w:r>
      <w:r w:rsidRPr="00604C75">
        <w:rPr>
          <w:bCs/>
          <w:sz w:val="20"/>
          <w:szCs w:val="20"/>
        </w:rPr>
        <w:t xml:space="preserve">Trading securities are securities which were either acquired for generating a profit from short-term fluctuations in price or dealer’s margin, or are securities included in a portfolio with a pattern of short-term profit taking. </w:t>
      </w:r>
      <w:r w:rsidRPr="00604C75">
        <w:rPr>
          <w:sz w:val="20"/>
          <w:szCs w:val="20"/>
        </w:rPr>
        <w:t>(ii) These are the financial assets that are classified as fair value difference profit/loss dur</w:t>
      </w:r>
      <w:r w:rsidR="00FA4A56">
        <w:rPr>
          <w:sz w:val="20"/>
          <w:szCs w:val="20"/>
        </w:rPr>
        <w:t>ing the initial recognition performed</w:t>
      </w:r>
      <w:r w:rsidRPr="00604C75">
        <w:rPr>
          <w:sz w:val="20"/>
          <w:szCs w:val="20"/>
        </w:rPr>
        <w:t xml:space="preserve"> by the </w:t>
      </w:r>
      <w:r w:rsidR="00E01177">
        <w:rPr>
          <w:sz w:val="20"/>
          <w:szCs w:val="20"/>
        </w:rPr>
        <w:t xml:space="preserve">Parent </w:t>
      </w:r>
      <w:r w:rsidRPr="00604C75">
        <w:rPr>
          <w:sz w:val="20"/>
          <w:szCs w:val="20"/>
        </w:rPr>
        <w:t xml:space="preserve">Bank. The </w:t>
      </w:r>
      <w:r w:rsidR="00E01177">
        <w:rPr>
          <w:sz w:val="20"/>
          <w:szCs w:val="20"/>
        </w:rPr>
        <w:t>Group</w:t>
      </w:r>
      <w:r w:rsidR="00E01177" w:rsidRPr="00604C75">
        <w:rPr>
          <w:sz w:val="20"/>
          <w:szCs w:val="20"/>
        </w:rPr>
        <w:t xml:space="preserve"> </w:t>
      </w:r>
      <w:r w:rsidRPr="00604C75">
        <w:rPr>
          <w:sz w:val="20"/>
          <w:szCs w:val="20"/>
        </w:rPr>
        <w:t xml:space="preserve">may only use this kind of classification under allowance and in the cases which results in a better presentation of information. </w:t>
      </w:r>
    </w:p>
    <w:p w14:paraId="3E210230" w14:textId="77777777" w:rsidR="007B6BC9" w:rsidRPr="00604C75" w:rsidRDefault="007B6BC9" w:rsidP="00490153">
      <w:pPr>
        <w:pStyle w:val="BodyTextIndent"/>
        <w:widowControl w:val="0"/>
        <w:spacing w:before="120" w:after="0"/>
        <w:ind w:left="0"/>
        <w:jc w:val="both"/>
        <w:rPr>
          <w:sz w:val="20"/>
          <w:szCs w:val="20"/>
        </w:rPr>
      </w:pPr>
      <w:r w:rsidRPr="00604C75">
        <w:rPr>
          <w:sz w:val="20"/>
          <w:szCs w:val="20"/>
        </w:rPr>
        <w:t>Trading financial assets are initially recognized at fair value and are subsequently re-measured at their fair value</w:t>
      </w:r>
      <w:r w:rsidR="00A8170C" w:rsidRPr="00604C75">
        <w:rPr>
          <w:sz w:val="20"/>
          <w:szCs w:val="20"/>
        </w:rPr>
        <w:t>.</w:t>
      </w:r>
      <w:r w:rsidRPr="00604C75">
        <w:rPr>
          <w:sz w:val="20"/>
          <w:szCs w:val="20"/>
        </w:rPr>
        <w:t xml:space="preserve"> The fair values of the public interest marketable securities are being calculated by using the stock market fair values. </w:t>
      </w:r>
    </w:p>
    <w:p w14:paraId="0ED08D31" w14:textId="77777777" w:rsidR="007B6BC9" w:rsidRPr="00604C75" w:rsidRDefault="0061320A" w:rsidP="00490153">
      <w:pPr>
        <w:pStyle w:val="BodyTextIndent"/>
        <w:widowControl w:val="0"/>
        <w:spacing w:before="120" w:after="0"/>
        <w:ind w:left="0"/>
        <w:jc w:val="both"/>
        <w:rPr>
          <w:sz w:val="20"/>
          <w:szCs w:val="20"/>
        </w:rPr>
      </w:pPr>
      <w:r w:rsidRPr="00604C75">
        <w:rPr>
          <w:sz w:val="20"/>
          <w:szCs w:val="20"/>
        </w:rPr>
        <w:t>The differences between the costs and fair values of financial assets at fair value through profit or loss are reflected to interest income and accruals or impairment provision.</w:t>
      </w:r>
      <w:r w:rsidR="00782E8D" w:rsidRPr="00604C75">
        <w:rPr>
          <w:sz w:val="20"/>
          <w:szCs w:val="20"/>
        </w:rPr>
        <w:t xml:space="preserve"> </w:t>
      </w:r>
      <w:r w:rsidR="007B6BC9" w:rsidRPr="00604C75">
        <w:rPr>
          <w:sz w:val="20"/>
          <w:szCs w:val="20"/>
        </w:rPr>
        <w:t>All gains and losses arising from these evaluations are recognized in the income statement. Interest earned while holding financial assets is reported as interest income and dividends received are included separately in dividend income.</w:t>
      </w:r>
    </w:p>
    <w:p w14:paraId="71C55A4D" w14:textId="77777777" w:rsidR="007B6BC9" w:rsidRPr="00604C75" w:rsidRDefault="007B6BC9" w:rsidP="0032757D">
      <w:pPr>
        <w:pStyle w:val="BodyTextIndent"/>
        <w:widowControl w:val="0"/>
        <w:spacing w:after="0"/>
        <w:ind w:left="1440"/>
        <w:jc w:val="both"/>
        <w:rPr>
          <w:sz w:val="20"/>
          <w:szCs w:val="20"/>
        </w:rPr>
      </w:pPr>
    </w:p>
    <w:p w14:paraId="3B264372" w14:textId="77777777" w:rsidR="00785510" w:rsidRPr="00604C75" w:rsidRDefault="00785510" w:rsidP="00CF4FB4">
      <w:pPr>
        <w:pStyle w:val="BodyTextIndent"/>
        <w:widowControl w:val="0"/>
        <w:spacing w:after="0"/>
        <w:ind w:left="851"/>
        <w:jc w:val="both"/>
        <w:rPr>
          <w:sz w:val="20"/>
          <w:szCs w:val="20"/>
        </w:rPr>
      </w:pPr>
    </w:p>
    <w:p w14:paraId="45F62F7A" w14:textId="77777777" w:rsidR="00630A04" w:rsidRPr="00604C75" w:rsidRDefault="002C11F9" w:rsidP="00490153">
      <w:pPr>
        <w:pStyle w:val="BodyTextIndent"/>
        <w:pageBreakBefore/>
        <w:spacing w:before="120"/>
        <w:ind w:left="0"/>
        <w:rPr>
          <w:b/>
          <w:sz w:val="20"/>
          <w:szCs w:val="20"/>
        </w:rPr>
      </w:pPr>
      <w:r w:rsidRPr="00604C75">
        <w:rPr>
          <w:b/>
          <w:sz w:val="20"/>
          <w:szCs w:val="20"/>
        </w:rPr>
        <w:lastRenderedPageBreak/>
        <w:t>EXPLANATIONS ON ACCOUNTING POLICIES (Continued)</w:t>
      </w:r>
    </w:p>
    <w:p w14:paraId="1088249A" w14:textId="4054652C" w:rsidR="00630A04" w:rsidRPr="00604C75" w:rsidRDefault="004A7F79" w:rsidP="008477F3">
      <w:pPr>
        <w:pStyle w:val="ListParagraph"/>
        <w:numPr>
          <w:ilvl w:val="0"/>
          <w:numId w:val="45"/>
        </w:numPr>
        <w:tabs>
          <w:tab w:val="left" w:pos="851"/>
        </w:tabs>
        <w:spacing w:before="120"/>
        <w:ind w:left="851" w:hanging="851"/>
        <w:jc w:val="both"/>
        <w:rPr>
          <w:b/>
          <w:noProof/>
          <w:sz w:val="20"/>
          <w:szCs w:val="20"/>
          <w:lang w:val="tr-TR"/>
        </w:rPr>
      </w:pPr>
      <w:r w:rsidRPr="00604C75">
        <w:rPr>
          <w:b/>
          <w:noProof/>
          <w:sz w:val="20"/>
          <w:szCs w:val="20"/>
          <w:lang w:val="tr-TR"/>
        </w:rPr>
        <w:t xml:space="preserve">Financial Assets </w:t>
      </w:r>
      <w:r w:rsidR="00630A04" w:rsidRPr="00604C75">
        <w:rPr>
          <w:b/>
          <w:sz w:val="20"/>
          <w:szCs w:val="20"/>
        </w:rPr>
        <w:t>(Continued)</w:t>
      </w:r>
    </w:p>
    <w:p w14:paraId="23D3253B" w14:textId="77777777" w:rsidR="00AE19A5" w:rsidRPr="00604C75" w:rsidRDefault="00AE19A5" w:rsidP="00490153">
      <w:pPr>
        <w:widowControl w:val="0"/>
        <w:spacing w:before="120"/>
        <w:jc w:val="both"/>
        <w:rPr>
          <w:sz w:val="20"/>
          <w:szCs w:val="20"/>
        </w:rPr>
      </w:pPr>
      <w:r w:rsidRPr="00604C75">
        <w:rPr>
          <w:sz w:val="20"/>
          <w:szCs w:val="20"/>
        </w:rPr>
        <w:t>Interests received from investments held to maturity are recognized as an interest income.</w:t>
      </w:r>
    </w:p>
    <w:p w14:paraId="45B1479F" w14:textId="257CDF86" w:rsidR="004C764E" w:rsidRPr="00604C75" w:rsidRDefault="00DB39B6" w:rsidP="00490153">
      <w:pPr>
        <w:pStyle w:val="BodyTextIndent"/>
        <w:spacing w:before="120" w:line="235" w:lineRule="auto"/>
        <w:ind w:left="0"/>
        <w:jc w:val="both"/>
        <w:rPr>
          <w:sz w:val="20"/>
          <w:szCs w:val="20"/>
        </w:rPr>
      </w:pPr>
      <w:r>
        <w:rPr>
          <w:sz w:val="20"/>
          <w:szCs w:val="20"/>
        </w:rPr>
        <w:t>In 2014</w:t>
      </w:r>
      <w:r w:rsidR="0041088C" w:rsidRPr="00604C75">
        <w:rPr>
          <w:sz w:val="20"/>
          <w:szCs w:val="20"/>
        </w:rPr>
        <w:t xml:space="preserve">, the </w:t>
      </w:r>
      <w:r w:rsidR="00E53F3F" w:rsidRPr="00604C75">
        <w:rPr>
          <w:sz w:val="20"/>
          <w:szCs w:val="20"/>
        </w:rPr>
        <w:t xml:space="preserve">Parent </w:t>
      </w:r>
      <w:r w:rsidR="0041088C" w:rsidRPr="00604C75">
        <w:rPr>
          <w:sz w:val="20"/>
          <w:szCs w:val="20"/>
        </w:rPr>
        <w:t>Bank has sold a signific</w:t>
      </w:r>
      <w:r w:rsidR="004C764E" w:rsidRPr="00604C75">
        <w:rPr>
          <w:sz w:val="20"/>
          <w:szCs w:val="20"/>
        </w:rPr>
        <w:t xml:space="preserve">ant portion of its securities, classified in held to maturity portfolio </w:t>
      </w:r>
      <w:r>
        <w:rPr>
          <w:sz w:val="20"/>
          <w:szCs w:val="20"/>
        </w:rPr>
        <w:t>as 31 December 2013</w:t>
      </w:r>
      <w:r w:rsidR="004C764E" w:rsidRPr="00604C75">
        <w:rPr>
          <w:sz w:val="20"/>
          <w:szCs w:val="20"/>
        </w:rPr>
        <w:t xml:space="preserve"> amounting TL 1</w:t>
      </w:r>
      <w:r w:rsidR="00F24AB0" w:rsidRPr="00604C75">
        <w:rPr>
          <w:sz w:val="20"/>
          <w:szCs w:val="20"/>
        </w:rPr>
        <w:t>,</w:t>
      </w:r>
      <w:r w:rsidR="004C764E" w:rsidRPr="00604C75">
        <w:rPr>
          <w:sz w:val="20"/>
          <w:szCs w:val="20"/>
        </w:rPr>
        <w:t>727</w:t>
      </w:r>
      <w:r w:rsidR="00F24AB0" w:rsidRPr="00604C75">
        <w:rPr>
          <w:sz w:val="20"/>
          <w:szCs w:val="20"/>
        </w:rPr>
        <w:t>,</w:t>
      </w:r>
      <w:r w:rsidR="004C764E" w:rsidRPr="00604C75">
        <w:rPr>
          <w:sz w:val="20"/>
          <w:szCs w:val="20"/>
        </w:rPr>
        <w:t>9</w:t>
      </w:r>
      <w:r w:rsidR="00EE20B4" w:rsidRPr="00604C75">
        <w:rPr>
          <w:sz w:val="20"/>
          <w:szCs w:val="20"/>
        </w:rPr>
        <w:t>72</w:t>
      </w:r>
      <w:r w:rsidR="004C764E" w:rsidRPr="00604C75">
        <w:rPr>
          <w:sz w:val="20"/>
          <w:szCs w:val="20"/>
        </w:rPr>
        <w:t xml:space="preserve"> before the maturity dates of such securities. Therefore the </w:t>
      </w:r>
      <w:r w:rsidR="002C3B01">
        <w:rPr>
          <w:sz w:val="20"/>
          <w:szCs w:val="20"/>
        </w:rPr>
        <w:t xml:space="preserve">Parent </w:t>
      </w:r>
      <w:r w:rsidR="004C764E" w:rsidRPr="00604C75">
        <w:rPr>
          <w:sz w:val="20"/>
          <w:szCs w:val="20"/>
        </w:rPr>
        <w:t xml:space="preserve">Bank will not </w:t>
      </w:r>
      <w:r w:rsidR="00981015">
        <w:rPr>
          <w:sz w:val="20"/>
          <w:szCs w:val="20"/>
        </w:rPr>
        <w:t xml:space="preserve">able to </w:t>
      </w:r>
      <w:r w:rsidR="004C764E" w:rsidRPr="00604C75">
        <w:rPr>
          <w:sz w:val="20"/>
          <w:szCs w:val="20"/>
        </w:rPr>
        <w:t xml:space="preserve">classify its investment in held to maturity portfolio for two years beginning from 1 January 2015. </w:t>
      </w:r>
    </w:p>
    <w:p w14:paraId="3D1585CA" w14:textId="77777777" w:rsidR="00EB1CA7" w:rsidRPr="00604C75" w:rsidRDefault="00EB1CA7" w:rsidP="00490153">
      <w:pPr>
        <w:widowControl w:val="0"/>
        <w:spacing w:before="120"/>
        <w:jc w:val="both"/>
        <w:rPr>
          <w:rFonts w:eastAsia="Arial Unicode MS"/>
          <w:bCs/>
          <w:sz w:val="20"/>
          <w:szCs w:val="20"/>
        </w:rPr>
      </w:pPr>
      <w:r w:rsidRPr="00604C75">
        <w:rPr>
          <w:sz w:val="20"/>
          <w:szCs w:val="20"/>
        </w:rPr>
        <w:t xml:space="preserve">Available for sale assets are initially recognized at cost including the transaction costs. </w:t>
      </w:r>
      <w:r w:rsidRPr="00604C75">
        <w:rPr>
          <w:rFonts w:eastAsia="Arial Unicode MS"/>
          <w:bCs/>
          <w:sz w:val="20"/>
          <w:szCs w:val="20"/>
        </w:rPr>
        <w:t xml:space="preserve">After initial recognition, subsequent valuation of available for sale financial assets are carried over fair value and the unrealized profit or loss arising in the changes resulting from changes in fair value and the changes between discounted value of assets is shown </w:t>
      </w:r>
      <w:proofErr w:type="spellStart"/>
      <w:r w:rsidRPr="00604C75">
        <w:rPr>
          <w:rFonts w:eastAsia="Arial Unicode MS"/>
          <w:bCs/>
          <w:sz w:val="20"/>
          <w:szCs w:val="20"/>
        </w:rPr>
        <w:t>in”Marketable</w:t>
      </w:r>
      <w:proofErr w:type="spellEnd"/>
      <w:r w:rsidRPr="00604C75">
        <w:rPr>
          <w:rFonts w:eastAsia="Arial Unicode MS"/>
          <w:bCs/>
          <w:sz w:val="20"/>
          <w:szCs w:val="20"/>
        </w:rPr>
        <w:t xml:space="preserve"> Securities Value Increase Fund” in equity. In the case that disposal of available for sale financial assets, the value gains/losses transferred to the income statement from “Marketable Securities Value Increase Fund”.</w:t>
      </w:r>
    </w:p>
    <w:p w14:paraId="7308BC8B" w14:textId="77777777" w:rsidR="00AE19A5" w:rsidRPr="00604C75" w:rsidRDefault="00AE19A5" w:rsidP="00490153">
      <w:pPr>
        <w:pStyle w:val="Heading2"/>
        <w:widowControl w:val="0"/>
        <w:tabs>
          <w:tab w:val="left" w:pos="851"/>
        </w:tabs>
        <w:jc w:val="both"/>
        <w:rPr>
          <w:rFonts w:ascii="Times New Roman" w:hAnsi="Times New Roman"/>
          <w:noProof/>
          <w:sz w:val="20"/>
          <w:lang w:val="tr-TR"/>
        </w:rPr>
      </w:pPr>
      <w:r w:rsidRPr="00604C75">
        <w:rPr>
          <w:rFonts w:ascii="Times New Roman" w:hAnsi="Times New Roman"/>
          <w:noProof/>
          <w:sz w:val="20"/>
          <w:lang w:val="tr-TR"/>
        </w:rPr>
        <w:t>c.</w:t>
      </w:r>
      <w:r w:rsidRPr="00604C75">
        <w:rPr>
          <w:rFonts w:ascii="Times New Roman" w:hAnsi="Times New Roman"/>
          <w:noProof/>
          <w:sz w:val="20"/>
          <w:lang w:val="tr-TR"/>
        </w:rPr>
        <w:tab/>
        <w:t>Loans and receivables</w:t>
      </w:r>
    </w:p>
    <w:p w14:paraId="0138AB51" w14:textId="77777777" w:rsidR="00AE19A5" w:rsidRPr="00604C75" w:rsidRDefault="00E53F3F" w:rsidP="00490153">
      <w:pPr>
        <w:pStyle w:val="BodyText"/>
        <w:widowControl w:val="0"/>
        <w:tabs>
          <w:tab w:val="clear" w:pos="0"/>
          <w:tab w:val="clear" w:pos="567"/>
          <w:tab w:val="clear" w:pos="720"/>
        </w:tabs>
        <w:spacing w:before="120"/>
        <w:rPr>
          <w:noProof/>
          <w:color w:val="auto"/>
          <w:sz w:val="20"/>
          <w:lang w:val="tr-TR"/>
        </w:rPr>
      </w:pPr>
      <w:r w:rsidRPr="00604C75">
        <w:rPr>
          <w:color w:val="000000"/>
          <w:sz w:val="20"/>
        </w:rPr>
        <w:t xml:space="preserve">The Parent </w:t>
      </w:r>
      <w:r w:rsidR="00AE19A5" w:rsidRPr="00604C75">
        <w:rPr>
          <w:color w:val="000000"/>
          <w:sz w:val="20"/>
        </w:rPr>
        <w:t>Bank loans and receivables are carried initially a</w:t>
      </w:r>
      <w:r w:rsidR="00BF0AEF" w:rsidRPr="00604C75">
        <w:rPr>
          <w:color w:val="000000"/>
          <w:sz w:val="20"/>
        </w:rPr>
        <w:t>t cost and subsequently recognized at the amortiz</w:t>
      </w:r>
      <w:r w:rsidR="00AE19A5" w:rsidRPr="00604C75">
        <w:rPr>
          <w:color w:val="000000"/>
          <w:sz w:val="20"/>
        </w:rPr>
        <w:t xml:space="preserve">ed cost value calculated using “effective interest method”. </w:t>
      </w:r>
      <w:r w:rsidR="00AE19A5" w:rsidRPr="00604C75">
        <w:rPr>
          <w:noProof/>
          <w:color w:val="auto"/>
          <w:sz w:val="20"/>
          <w:lang w:val="tr-TR"/>
        </w:rPr>
        <w:t>The expenses incurred for the assets received as collateral are not considered as transaction costs and are recognized in the expense accounts.</w:t>
      </w:r>
    </w:p>
    <w:p w14:paraId="04C1C491" w14:textId="77777777" w:rsidR="00AE19A5" w:rsidRPr="00604C75" w:rsidRDefault="00AE19A5" w:rsidP="00490153">
      <w:pPr>
        <w:pStyle w:val="BodyTextIndent"/>
        <w:widowControl w:val="0"/>
        <w:spacing w:before="120" w:after="0"/>
        <w:ind w:left="0"/>
        <w:jc w:val="both"/>
        <w:rPr>
          <w:sz w:val="20"/>
          <w:szCs w:val="20"/>
        </w:rPr>
      </w:pPr>
      <w:r w:rsidRPr="00604C75">
        <w:rPr>
          <w:sz w:val="20"/>
          <w:szCs w:val="20"/>
        </w:rPr>
        <w:t xml:space="preserve">Cash loans in </w:t>
      </w:r>
      <w:r w:rsidR="00E53F3F" w:rsidRPr="00604C75">
        <w:rPr>
          <w:sz w:val="20"/>
          <w:szCs w:val="20"/>
        </w:rPr>
        <w:t>p</w:t>
      </w:r>
      <w:r w:rsidRPr="00604C75">
        <w:rPr>
          <w:sz w:val="20"/>
          <w:szCs w:val="20"/>
        </w:rPr>
        <w:t>ersonal and corporate loans, according to the Uniform Chart of Accounts ("UCA") and Prospectus are recognized in accordance with their original balances in the account specified.</w:t>
      </w:r>
    </w:p>
    <w:p w14:paraId="1A7A2FED" w14:textId="03AB7863" w:rsidR="00AE19A5" w:rsidRPr="00604C75" w:rsidRDefault="00AE19A5" w:rsidP="00490153">
      <w:pPr>
        <w:pStyle w:val="BodyTextIndent"/>
        <w:widowControl w:val="0"/>
        <w:spacing w:before="120" w:after="0"/>
        <w:ind w:left="0"/>
        <w:jc w:val="both"/>
        <w:rPr>
          <w:sz w:val="20"/>
          <w:szCs w:val="20"/>
        </w:rPr>
      </w:pPr>
      <w:r w:rsidRPr="00604C75">
        <w:rPr>
          <w:sz w:val="20"/>
          <w:szCs w:val="20"/>
        </w:rPr>
        <w:t xml:space="preserve">The foreign exchange </w:t>
      </w:r>
      <w:r w:rsidR="0048737E">
        <w:rPr>
          <w:sz w:val="20"/>
          <w:szCs w:val="20"/>
        </w:rPr>
        <w:t xml:space="preserve">indexed </w:t>
      </w:r>
      <w:r w:rsidRPr="00604C75">
        <w:rPr>
          <w:sz w:val="20"/>
          <w:szCs w:val="20"/>
        </w:rPr>
        <w:t>commercial and individual loans are being monitored by the exchange rate of the opening da</w:t>
      </w:r>
      <w:r w:rsidR="00BF0AEF" w:rsidRPr="00604C75">
        <w:rPr>
          <w:sz w:val="20"/>
          <w:szCs w:val="20"/>
        </w:rPr>
        <w:t xml:space="preserve">te over Turkish Lira </w:t>
      </w:r>
      <w:r w:rsidRPr="00604C75">
        <w:rPr>
          <w:sz w:val="20"/>
          <w:szCs w:val="20"/>
        </w:rPr>
        <w:t>in the TL accounts. Repayments are calculated at the exchange rate at the date of payment, the resulting exchange differences are recogniz</w:t>
      </w:r>
      <w:r w:rsidR="009A0076" w:rsidRPr="00604C75">
        <w:rPr>
          <w:sz w:val="20"/>
          <w:szCs w:val="20"/>
        </w:rPr>
        <w:t>ed in the income and expense</w:t>
      </w:r>
      <w:r w:rsidRPr="00604C75">
        <w:rPr>
          <w:sz w:val="20"/>
          <w:szCs w:val="20"/>
        </w:rPr>
        <w:t xml:space="preserve"> account.</w:t>
      </w:r>
    </w:p>
    <w:p w14:paraId="5C8D5BA8" w14:textId="4B1AE153" w:rsidR="003E2015" w:rsidRPr="00604C75" w:rsidRDefault="003E2015" w:rsidP="00490153">
      <w:pPr>
        <w:spacing w:before="120" w:after="120"/>
        <w:jc w:val="both"/>
        <w:rPr>
          <w:sz w:val="20"/>
          <w:szCs w:val="20"/>
          <w:lang w:val="en-GB"/>
        </w:rPr>
      </w:pPr>
      <w:r w:rsidRPr="00896E60">
        <w:rPr>
          <w:sz w:val="20"/>
          <w:szCs w:val="20"/>
          <w:lang w:val="en-GB"/>
        </w:rPr>
        <w:t>Starting from 24 March 2014, the</w:t>
      </w:r>
      <w:r w:rsidR="002C3B01">
        <w:rPr>
          <w:sz w:val="20"/>
          <w:szCs w:val="20"/>
          <w:lang w:val="en-GB"/>
        </w:rPr>
        <w:t xml:space="preserve"> Parent</w:t>
      </w:r>
      <w:r w:rsidRPr="00896E60">
        <w:rPr>
          <w:sz w:val="20"/>
          <w:szCs w:val="20"/>
          <w:lang w:val="en-GB"/>
        </w:rPr>
        <w:t xml:space="preserve"> Bank has hedged the fair value effects of changes in </w:t>
      </w:r>
      <w:proofErr w:type="spellStart"/>
      <w:r w:rsidRPr="00896E60">
        <w:rPr>
          <w:sz w:val="20"/>
          <w:szCs w:val="20"/>
          <w:lang w:val="en-GB"/>
        </w:rPr>
        <w:t>libor</w:t>
      </w:r>
      <w:proofErr w:type="spellEnd"/>
      <w:r w:rsidRPr="00896E60">
        <w:rPr>
          <w:sz w:val="20"/>
          <w:szCs w:val="20"/>
          <w:lang w:val="en-GB"/>
        </w:rPr>
        <w:t xml:space="preserve"> interest rates, fixed interest rate loans </w:t>
      </w:r>
      <w:r w:rsidRPr="00CD0767">
        <w:rPr>
          <w:sz w:val="20"/>
          <w:szCs w:val="20"/>
          <w:lang w:val="en-GB"/>
        </w:rPr>
        <w:t xml:space="preserve">amounting TL </w:t>
      </w:r>
      <w:r w:rsidR="006E0317" w:rsidRPr="00CD0767">
        <w:rPr>
          <w:sz w:val="20"/>
          <w:szCs w:val="20"/>
          <w:lang w:val="en-GB"/>
        </w:rPr>
        <w:t>38,204</w:t>
      </w:r>
      <w:r w:rsidRPr="00CD0767">
        <w:rPr>
          <w:sz w:val="20"/>
          <w:szCs w:val="20"/>
          <w:lang w:val="en-GB"/>
        </w:rPr>
        <w:t xml:space="preserve"> with maturity 3 years and TL </w:t>
      </w:r>
      <w:r w:rsidR="006E0317" w:rsidRPr="00CD0767">
        <w:rPr>
          <w:sz w:val="20"/>
          <w:szCs w:val="20"/>
          <w:lang w:val="en-GB"/>
        </w:rPr>
        <w:t>56,723</w:t>
      </w:r>
      <w:r w:rsidRPr="00CD0767">
        <w:rPr>
          <w:sz w:val="20"/>
          <w:szCs w:val="20"/>
          <w:lang w:val="en-GB"/>
        </w:rPr>
        <w:t xml:space="preserve"> with maturity 5 years funding by using interest rate swaps. The both nominal value of interest rate swaps is TL 55</w:t>
      </w:r>
      <w:r w:rsidR="00B70662" w:rsidRPr="00CD0767">
        <w:rPr>
          <w:sz w:val="20"/>
          <w:szCs w:val="20"/>
          <w:lang w:val="en-GB"/>
        </w:rPr>
        <w:t>,</w:t>
      </w:r>
      <w:r w:rsidRPr="00CD0767">
        <w:rPr>
          <w:sz w:val="20"/>
          <w:szCs w:val="20"/>
          <w:lang w:val="en-GB"/>
        </w:rPr>
        <w:t>000 with maturity</w:t>
      </w:r>
      <w:r w:rsidRPr="00896E60">
        <w:rPr>
          <w:sz w:val="20"/>
          <w:szCs w:val="20"/>
          <w:lang w:val="en-GB"/>
        </w:rPr>
        <w:t xml:space="preserve"> 3 years and 5 years respectively</w:t>
      </w:r>
      <w:r w:rsidRPr="00896E60">
        <w:rPr>
          <w:sz w:val="20"/>
          <w:szCs w:val="20"/>
        </w:rPr>
        <w:t>.</w:t>
      </w:r>
      <w:r w:rsidR="007A28A7" w:rsidRPr="00896E60">
        <w:rPr>
          <w:sz w:val="20"/>
          <w:szCs w:val="20"/>
        </w:rPr>
        <w:t xml:space="preserve"> </w:t>
      </w:r>
      <w:r w:rsidRPr="00896E60">
        <w:rPr>
          <w:sz w:val="20"/>
          <w:szCs w:val="20"/>
        </w:rPr>
        <w:t xml:space="preserve">In this context, TL </w:t>
      </w:r>
      <w:r w:rsidR="00B30C53">
        <w:rPr>
          <w:sz w:val="20"/>
          <w:szCs w:val="20"/>
        </w:rPr>
        <w:t>768</w:t>
      </w:r>
      <w:r w:rsidR="00084A3D">
        <w:rPr>
          <w:sz w:val="20"/>
          <w:szCs w:val="20"/>
        </w:rPr>
        <w:t xml:space="preserve"> </w:t>
      </w:r>
      <w:r w:rsidRPr="00896E60">
        <w:rPr>
          <w:sz w:val="20"/>
          <w:szCs w:val="20"/>
        </w:rPr>
        <w:t xml:space="preserve">which was calculated for these loans is </w:t>
      </w:r>
      <w:proofErr w:type="spellStart"/>
      <w:r w:rsidRPr="00896E60">
        <w:rPr>
          <w:sz w:val="20"/>
          <w:szCs w:val="20"/>
        </w:rPr>
        <w:t>refered</w:t>
      </w:r>
      <w:proofErr w:type="spellEnd"/>
      <w:r w:rsidRPr="00896E60">
        <w:rPr>
          <w:sz w:val="20"/>
          <w:szCs w:val="20"/>
        </w:rPr>
        <w:t xml:space="preserve"> to ‘Interest on Loans’.</w:t>
      </w:r>
    </w:p>
    <w:p w14:paraId="36021D97" w14:textId="77777777" w:rsidR="00CF2CE1" w:rsidRPr="00604C75" w:rsidRDefault="00CF2CE1" w:rsidP="00CF4FB4">
      <w:pPr>
        <w:pStyle w:val="BodyTextIndent"/>
        <w:spacing w:before="120"/>
        <w:ind w:left="851"/>
        <w:rPr>
          <w:sz w:val="20"/>
          <w:szCs w:val="20"/>
        </w:rPr>
      </w:pPr>
    </w:p>
    <w:p w14:paraId="0A35F05E" w14:textId="77777777" w:rsidR="00CF2CE1" w:rsidRPr="00604C75" w:rsidRDefault="00CF2CE1" w:rsidP="00CF4FB4">
      <w:pPr>
        <w:pStyle w:val="BodyTextIndent"/>
        <w:spacing w:before="120"/>
        <w:ind w:left="851"/>
        <w:rPr>
          <w:sz w:val="20"/>
          <w:szCs w:val="20"/>
        </w:rPr>
      </w:pPr>
    </w:p>
    <w:p w14:paraId="5252F6B4" w14:textId="77777777" w:rsidR="00B276D7" w:rsidRPr="00604C75" w:rsidRDefault="00B276D7">
      <w:pPr>
        <w:spacing w:after="200" w:line="276" w:lineRule="auto"/>
        <w:rPr>
          <w:sz w:val="20"/>
          <w:szCs w:val="20"/>
        </w:rPr>
      </w:pPr>
      <w:r w:rsidRPr="00604C75">
        <w:rPr>
          <w:sz w:val="20"/>
          <w:szCs w:val="20"/>
        </w:rPr>
        <w:br w:type="page"/>
      </w:r>
    </w:p>
    <w:p w14:paraId="53CF25D7" w14:textId="77777777" w:rsidR="00CF2CE1" w:rsidRPr="00604C75" w:rsidRDefault="00CF2CE1" w:rsidP="00490153">
      <w:pPr>
        <w:widowControl w:val="0"/>
        <w:spacing w:before="120"/>
        <w:jc w:val="both"/>
        <w:rPr>
          <w:b/>
          <w:sz w:val="20"/>
          <w:szCs w:val="20"/>
        </w:rPr>
      </w:pPr>
      <w:r w:rsidRPr="00604C75">
        <w:rPr>
          <w:b/>
          <w:sz w:val="20"/>
          <w:szCs w:val="20"/>
        </w:rPr>
        <w:lastRenderedPageBreak/>
        <w:t>EXPLANATIONS ON ACCOUNTING POLICIES (Continued)</w:t>
      </w:r>
    </w:p>
    <w:p w14:paraId="0310E3D2" w14:textId="00BA2AEB" w:rsidR="00AE19A5" w:rsidRPr="00604C75" w:rsidRDefault="00522DB5" w:rsidP="008477F3">
      <w:pPr>
        <w:pStyle w:val="ListParagraph"/>
        <w:widowControl w:val="0"/>
        <w:numPr>
          <w:ilvl w:val="0"/>
          <w:numId w:val="45"/>
        </w:numPr>
        <w:spacing w:before="120"/>
        <w:ind w:left="851" w:hanging="851"/>
        <w:jc w:val="both"/>
        <w:rPr>
          <w:b/>
          <w:noProof/>
          <w:sz w:val="20"/>
          <w:szCs w:val="20"/>
          <w:lang w:val="tr-TR"/>
        </w:rPr>
      </w:pPr>
      <w:r w:rsidRPr="00604C75">
        <w:rPr>
          <w:b/>
          <w:noProof/>
          <w:sz w:val="20"/>
          <w:szCs w:val="20"/>
          <w:lang w:val="tr-TR"/>
        </w:rPr>
        <w:t>Impairment of Financial Assets</w:t>
      </w:r>
    </w:p>
    <w:p w14:paraId="46AA5CC8" w14:textId="77777777" w:rsidR="00E8489A" w:rsidRPr="00604C75" w:rsidRDefault="00E8489A" w:rsidP="00490153">
      <w:pPr>
        <w:widowControl w:val="0"/>
        <w:spacing w:before="120"/>
        <w:jc w:val="both"/>
        <w:rPr>
          <w:sz w:val="20"/>
          <w:szCs w:val="20"/>
        </w:rPr>
      </w:pPr>
      <w:r w:rsidRPr="00604C75">
        <w:rPr>
          <w:sz w:val="20"/>
          <w:szCs w:val="20"/>
        </w:rPr>
        <w:t xml:space="preserve">At each balance sheet date, the </w:t>
      </w:r>
      <w:r w:rsidR="002513A5" w:rsidRPr="00604C75">
        <w:rPr>
          <w:sz w:val="20"/>
          <w:szCs w:val="20"/>
        </w:rPr>
        <w:t>Group</w:t>
      </w:r>
      <w:r w:rsidRPr="00604C75">
        <w:rPr>
          <w:sz w:val="20"/>
          <w:szCs w:val="20"/>
        </w:rPr>
        <w:t xml:space="preserve"> evaluates the carrying amounts of its financial asset or a group of financial assets to determine whether there is an objective indication that those assets have suffered an impairment loss or not. If any such indication exists, the </w:t>
      </w:r>
      <w:r w:rsidR="00E01177">
        <w:rPr>
          <w:sz w:val="20"/>
          <w:szCs w:val="20"/>
        </w:rPr>
        <w:t>Group</w:t>
      </w:r>
      <w:r w:rsidR="00E01177" w:rsidRPr="00604C75">
        <w:rPr>
          <w:sz w:val="20"/>
          <w:szCs w:val="20"/>
        </w:rPr>
        <w:t xml:space="preserve"> </w:t>
      </w:r>
      <w:r w:rsidRPr="00604C75">
        <w:rPr>
          <w:sz w:val="20"/>
          <w:szCs w:val="20"/>
        </w:rPr>
        <w:t>determines the related impairment.</w:t>
      </w:r>
    </w:p>
    <w:p w14:paraId="39D627D4" w14:textId="77777777" w:rsidR="00E8489A" w:rsidRPr="00604C75" w:rsidRDefault="00E8489A" w:rsidP="00490153">
      <w:pPr>
        <w:widowControl w:val="0"/>
        <w:tabs>
          <w:tab w:val="left" w:pos="540"/>
          <w:tab w:val="left" w:pos="1260"/>
          <w:tab w:val="right" w:leader="dot" w:pos="8280"/>
          <w:tab w:val="right" w:pos="9000"/>
        </w:tabs>
        <w:spacing w:before="120"/>
        <w:jc w:val="both"/>
        <w:rPr>
          <w:sz w:val="20"/>
          <w:szCs w:val="20"/>
        </w:rPr>
      </w:pPr>
      <w:r w:rsidRPr="00604C75">
        <w:rPr>
          <w:sz w:val="20"/>
          <w:szCs w:val="20"/>
        </w:rPr>
        <w:t xml:space="preserve">A financial asset or a financial asset group incurs impairment loss only if there is an objective indicator related to the occurrence of one or more than one event (“loss event”) after the first recognition of that asset; and such loss event (or events) causes, an impairment as a result of the effect on the reliable estimate of the expected future cash flows of the related financial asset and asset group. Irrespective of high probability the expected losses caused by the future events are not recognized. </w:t>
      </w:r>
    </w:p>
    <w:p w14:paraId="34C13F83" w14:textId="77777777" w:rsidR="00E8489A" w:rsidRPr="00604C75" w:rsidRDefault="00E8489A" w:rsidP="00490153">
      <w:pPr>
        <w:pStyle w:val="BodyTextIndent"/>
        <w:spacing w:before="120"/>
        <w:ind w:left="0"/>
        <w:jc w:val="both"/>
        <w:rPr>
          <w:sz w:val="20"/>
          <w:szCs w:val="20"/>
        </w:rPr>
      </w:pPr>
      <w:r w:rsidRPr="00604C75">
        <w:rPr>
          <w:sz w:val="20"/>
          <w:szCs w:val="20"/>
        </w:rPr>
        <w:t>Impairment losses attributable to the held to maturity investments are measured as the difference between the present values of expected future cash flows discounted using the original interest rate of financial asset and the carrying value of asset. The related difference is recognized as a loss and it decreases the carrying value of the financial asset. At subsequent periods, if the impairment loss amount decreases, impairment loss recognized is reversed.</w:t>
      </w:r>
    </w:p>
    <w:p w14:paraId="74AE4480" w14:textId="34A1097F" w:rsidR="00E8489A" w:rsidRPr="00604C75" w:rsidRDefault="0048737E" w:rsidP="00490153">
      <w:pPr>
        <w:pStyle w:val="BodyTextIndent"/>
        <w:spacing w:before="120"/>
        <w:ind w:left="0"/>
        <w:jc w:val="both"/>
        <w:rPr>
          <w:sz w:val="20"/>
          <w:szCs w:val="20"/>
        </w:rPr>
      </w:pPr>
      <w:r>
        <w:rPr>
          <w:sz w:val="20"/>
          <w:szCs w:val="20"/>
        </w:rPr>
        <w:t>When an impairment</w:t>
      </w:r>
      <w:r w:rsidR="00E8489A" w:rsidRPr="00604C75">
        <w:rPr>
          <w:sz w:val="20"/>
          <w:szCs w:val="20"/>
        </w:rPr>
        <w:t xml:space="preserve"> occurs in the fair values of the “financial assets available for sale” of which value decreases and increases are recognized in equity, the accumulated profit/loss that had been recognized directly in equity is transferred from equity to period profit or loss. If, in a subsequent period, the fair value of the related asset increases, the impairment loss is reversed, with the amount of the reversal recognized in profit or loss.</w:t>
      </w:r>
    </w:p>
    <w:p w14:paraId="5C86E061" w14:textId="49187CBF" w:rsidR="00E8489A" w:rsidRPr="00604C75" w:rsidRDefault="00E8489A" w:rsidP="00490153">
      <w:pPr>
        <w:spacing w:before="120" w:after="120"/>
        <w:jc w:val="both"/>
      </w:pPr>
      <w:r w:rsidRPr="00725747">
        <w:rPr>
          <w:sz w:val="20"/>
          <w:szCs w:val="20"/>
        </w:rPr>
        <w:t xml:space="preserve">Loans are classified and followed in line with the provisions of the “Regulation on Procedures And Principles For Determination Of Qualifications Of Loans And Other Receivables By Banks And Provisions To Be Set Aside”, published on the Official Gazette numbered 26333 dated 1 November 2006. </w:t>
      </w:r>
      <w:r w:rsidR="00725747" w:rsidRPr="00725747">
        <w:rPr>
          <w:color w:val="000000" w:themeColor="text1"/>
          <w:sz w:val="20"/>
          <w:szCs w:val="20"/>
        </w:rPr>
        <w:t xml:space="preserve">Within the scope of the relevant legislation, until March </w:t>
      </w:r>
      <w:r w:rsidR="00FD0C7A">
        <w:rPr>
          <w:color w:val="000000" w:themeColor="text1"/>
          <w:sz w:val="20"/>
          <w:szCs w:val="20"/>
        </w:rPr>
        <w:t xml:space="preserve">2014, the Bank allocated </w:t>
      </w:r>
      <w:r w:rsidR="00725747" w:rsidRPr="00725747">
        <w:rPr>
          <w:color w:val="000000" w:themeColor="text1"/>
          <w:sz w:val="20"/>
          <w:szCs w:val="20"/>
        </w:rPr>
        <w:t>100</w:t>
      </w:r>
      <w:r w:rsidR="00FD0C7A">
        <w:rPr>
          <w:color w:val="000000" w:themeColor="text1"/>
          <w:sz w:val="20"/>
          <w:szCs w:val="20"/>
        </w:rPr>
        <w:t>%</w:t>
      </w:r>
      <w:r w:rsidR="00725747" w:rsidRPr="00725747">
        <w:rPr>
          <w:color w:val="000000" w:themeColor="text1"/>
          <w:sz w:val="20"/>
          <w:szCs w:val="20"/>
        </w:rPr>
        <w:t xml:space="preserve"> of the credit amount as provisions in accordance with mentioned the minimum provision rates in the Communiqué.</w:t>
      </w:r>
      <w:r w:rsidR="00725747">
        <w:rPr>
          <w:color w:val="000000" w:themeColor="text1"/>
          <w:sz w:val="20"/>
          <w:szCs w:val="20"/>
        </w:rPr>
        <w:t xml:space="preserve"> </w:t>
      </w:r>
      <w:r w:rsidRPr="00725747">
        <w:rPr>
          <w:sz w:val="20"/>
          <w:szCs w:val="20"/>
        </w:rPr>
        <w:t>Provisions released in the same year, "Provision Expense" account are credited in the past years, the remaining part of the provisions in the "Other Operating Income" account transferred to and recognized.</w:t>
      </w:r>
    </w:p>
    <w:p w14:paraId="3D5AC912" w14:textId="010D3C5C" w:rsidR="00AE19A5" w:rsidRPr="00604C75" w:rsidRDefault="00522DB5" w:rsidP="008477F3">
      <w:pPr>
        <w:pStyle w:val="ListParagraph"/>
        <w:widowControl w:val="0"/>
        <w:numPr>
          <w:ilvl w:val="0"/>
          <w:numId w:val="45"/>
        </w:numPr>
        <w:spacing w:before="120"/>
        <w:ind w:left="0" w:firstLine="0"/>
        <w:jc w:val="both"/>
        <w:rPr>
          <w:b/>
          <w:noProof/>
          <w:sz w:val="20"/>
          <w:szCs w:val="20"/>
          <w:lang w:val="tr-TR"/>
        </w:rPr>
      </w:pPr>
      <w:r w:rsidRPr="00604C75">
        <w:rPr>
          <w:b/>
          <w:noProof/>
          <w:sz w:val="20"/>
          <w:szCs w:val="20"/>
          <w:lang w:val="tr-TR"/>
        </w:rPr>
        <w:t>Offsetting Financial Assets</w:t>
      </w:r>
    </w:p>
    <w:p w14:paraId="6A0A92D4" w14:textId="77777777" w:rsidR="0066598B" w:rsidRPr="00604C75" w:rsidRDefault="0066598B" w:rsidP="00490153">
      <w:pPr>
        <w:pStyle w:val="BodyTextIndent"/>
        <w:widowControl w:val="0"/>
        <w:spacing w:before="120" w:after="0"/>
        <w:ind w:left="0"/>
        <w:jc w:val="both"/>
        <w:rPr>
          <w:sz w:val="20"/>
          <w:szCs w:val="20"/>
        </w:rPr>
      </w:pPr>
      <w:r w:rsidRPr="00604C75">
        <w:rPr>
          <w:sz w:val="20"/>
          <w:szCs w:val="20"/>
        </w:rPr>
        <w:t>Financial assets and liabilities are offset and the net amount is reported in</w:t>
      </w:r>
      <w:r w:rsidR="0073202A" w:rsidRPr="00604C75">
        <w:rPr>
          <w:sz w:val="20"/>
          <w:szCs w:val="20"/>
        </w:rPr>
        <w:t xml:space="preserve"> the balance sheet when the Group</w:t>
      </w:r>
      <w:r w:rsidRPr="00604C75">
        <w:rPr>
          <w:sz w:val="20"/>
          <w:szCs w:val="20"/>
        </w:rPr>
        <w:t xml:space="preserve"> has a legally enforceable right to offset the recognized amounts and to collect/pay related financial assets and liabilities on a net basis, or there is an intention to realize the asset and settle the liability simultaneously. Otherwise, any related financial assets and liabilities are not offset. </w:t>
      </w:r>
    </w:p>
    <w:p w14:paraId="1AADEB8C" w14:textId="73D157BB" w:rsidR="00AE19A5" w:rsidRPr="00604C75" w:rsidRDefault="00522DB5" w:rsidP="008477F3">
      <w:pPr>
        <w:pStyle w:val="ListParagraph"/>
        <w:widowControl w:val="0"/>
        <w:numPr>
          <w:ilvl w:val="0"/>
          <w:numId w:val="45"/>
        </w:numPr>
        <w:spacing w:before="120"/>
        <w:ind w:left="756" w:hanging="756"/>
        <w:jc w:val="both"/>
        <w:rPr>
          <w:b/>
          <w:noProof/>
          <w:sz w:val="20"/>
          <w:szCs w:val="20"/>
          <w:lang w:val="tr-TR"/>
        </w:rPr>
      </w:pPr>
      <w:bookmarkStart w:id="9" w:name="_Toc198789830"/>
      <w:bookmarkStart w:id="10" w:name="_Toc198789892"/>
      <w:r w:rsidRPr="00604C75">
        <w:rPr>
          <w:b/>
          <w:noProof/>
          <w:sz w:val="20"/>
          <w:szCs w:val="20"/>
          <w:lang w:val="tr-TR"/>
        </w:rPr>
        <w:t>Sales and Repurchase Agreements and Securities Lending Transactions</w:t>
      </w:r>
      <w:bookmarkEnd w:id="9"/>
      <w:bookmarkEnd w:id="10"/>
    </w:p>
    <w:p w14:paraId="177B63E6" w14:textId="77777777" w:rsidR="00B74E00" w:rsidRPr="00604C75" w:rsidRDefault="00B74E00" w:rsidP="00490153">
      <w:pPr>
        <w:pStyle w:val="BodyTextIndent"/>
        <w:widowControl w:val="0"/>
        <w:spacing w:before="120" w:after="0"/>
        <w:ind w:left="0"/>
        <w:jc w:val="both"/>
        <w:rPr>
          <w:sz w:val="20"/>
          <w:szCs w:val="20"/>
        </w:rPr>
      </w:pPr>
      <w:r w:rsidRPr="00604C75">
        <w:rPr>
          <w:sz w:val="20"/>
          <w:szCs w:val="20"/>
        </w:rPr>
        <w:t>Funds obtained by the Parent Bank from repurchase agreements (“repo”) are accounted under “Funds Provided under Repurchase Agreements” in liabilities.</w:t>
      </w:r>
    </w:p>
    <w:p w14:paraId="60CF5B79" w14:textId="77777777" w:rsidR="00B74E00" w:rsidRPr="00604C75" w:rsidRDefault="00B74E00" w:rsidP="00490153">
      <w:pPr>
        <w:pStyle w:val="BodyTextIndent"/>
        <w:widowControl w:val="0"/>
        <w:spacing w:before="120" w:after="0"/>
        <w:ind w:left="0"/>
        <w:jc w:val="both"/>
        <w:rPr>
          <w:sz w:val="20"/>
          <w:szCs w:val="20"/>
        </w:rPr>
      </w:pPr>
      <w:r w:rsidRPr="00604C75">
        <w:rPr>
          <w:sz w:val="20"/>
          <w:szCs w:val="20"/>
        </w:rPr>
        <w:t xml:space="preserve">The Group’s repurchase agreements are composed short-term government bonds and treasury bills. Financial assets subject to repurchase agreements, parallel to the classification of financial instruments, the fair value recognition in profit or loss, are classified as available for sale or held to maturity financial assets. Repo subjected financial assets’ income recognized in interest income, while expenses paid under repurchase agreements are recognized in interest expenses.  </w:t>
      </w:r>
    </w:p>
    <w:p w14:paraId="0F0D6A5E" w14:textId="77777777" w:rsidR="00B74E00" w:rsidRPr="00604C75" w:rsidRDefault="00B74E00" w:rsidP="00490153">
      <w:pPr>
        <w:pStyle w:val="BodyTextIndent"/>
        <w:widowControl w:val="0"/>
        <w:spacing w:before="120" w:after="0"/>
        <w:ind w:left="0"/>
        <w:jc w:val="both"/>
        <w:rPr>
          <w:noProof/>
          <w:sz w:val="20"/>
          <w:szCs w:val="20"/>
          <w:lang w:val="tr-TR"/>
        </w:rPr>
      </w:pPr>
      <w:r w:rsidRPr="00604C75">
        <w:rPr>
          <w:noProof/>
          <w:sz w:val="20"/>
          <w:szCs w:val="20"/>
          <w:lang w:val="tr-TR"/>
        </w:rPr>
        <w:t>Funds given against securities purchased under agreements to resell (“Reverse Repo”) are accounted under “Receivables from Reverse Repurchase Agreements” on the balance sheet.</w:t>
      </w:r>
    </w:p>
    <w:p w14:paraId="10B653DF" w14:textId="77777777" w:rsidR="00B74E00" w:rsidRPr="00604C75" w:rsidRDefault="00B74E00" w:rsidP="00B74E00">
      <w:pPr>
        <w:pStyle w:val="BodyTextIndent"/>
        <w:widowControl w:val="0"/>
        <w:spacing w:after="0"/>
        <w:ind w:left="851"/>
        <w:jc w:val="both"/>
        <w:rPr>
          <w:sz w:val="16"/>
          <w:szCs w:val="16"/>
        </w:rPr>
      </w:pPr>
    </w:p>
    <w:p w14:paraId="3DBC3C92" w14:textId="77777777" w:rsidR="00630A04" w:rsidRPr="00604C75" w:rsidRDefault="00630A04">
      <w:pPr>
        <w:pStyle w:val="BodyTextIndent"/>
        <w:widowControl w:val="0"/>
        <w:spacing w:after="0"/>
        <w:ind w:left="851"/>
        <w:jc w:val="both"/>
        <w:rPr>
          <w:noProof/>
          <w:sz w:val="20"/>
          <w:szCs w:val="20"/>
          <w:lang w:val="tr-TR"/>
        </w:rPr>
      </w:pPr>
    </w:p>
    <w:p w14:paraId="796C8D78" w14:textId="77777777" w:rsidR="00630A04" w:rsidRPr="00604C75" w:rsidRDefault="00630A04">
      <w:pPr>
        <w:pStyle w:val="BodyTextIndent"/>
        <w:widowControl w:val="0"/>
        <w:spacing w:after="0"/>
        <w:ind w:left="851"/>
        <w:jc w:val="both"/>
        <w:rPr>
          <w:noProof/>
          <w:sz w:val="20"/>
          <w:szCs w:val="20"/>
          <w:lang w:val="tr-TR"/>
        </w:rPr>
      </w:pPr>
    </w:p>
    <w:p w14:paraId="547C2C07" w14:textId="77777777" w:rsidR="00630A04" w:rsidRPr="00604C75" w:rsidRDefault="00630A04">
      <w:pPr>
        <w:pStyle w:val="BodyTextIndent"/>
        <w:widowControl w:val="0"/>
        <w:spacing w:after="0"/>
        <w:ind w:left="851"/>
        <w:jc w:val="both"/>
        <w:rPr>
          <w:noProof/>
          <w:sz w:val="20"/>
          <w:szCs w:val="20"/>
          <w:lang w:val="tr-TR"/>
        </w:rPr>
      </w:pPr>
    </w:p>
    <w:p w14:paraId="3AB1F710" w14:textId="77777777" w:rsidR="00630A04" w:rsidRPr="00604C75" w:rsidRDefault="00630A04">
      <w:pPr>
        <w:pStyle w:val="BodyTextIndent"/>
        <w:widowControl w:val="0"/>
        <w:spacing w:after="0"/>
        <w:ind w:left="851"/>
        <w:jc w:val="both"/>
        <w:rPr>
          <w:noProof/>
          <w:sz w:val="20"/>
          <w:szCs w:val="20"/>
          <w:lang w:val="tr-TR"/>
        </w:rPr>
      </w:pPr>
    </w:p>
    <w:p w14:paraId="585FF794" w14:textId="77777777" w:rsidR="00C42919" w:rsidRPr="00604C75" w:rsidRDefault="00C42919">
      <w:pPr>
        <w:pStyle w:val="BodyTextIndent"/>
        <w:widowControl w:val="0"/>
        <w:spacing w:after="0"/>
        <w:ind w:left="851"/>
        <w:jc w:val="both"/>
        <w:rPr>
          <w:noProof/>
          <w:sz w:val="20"/>
          <w:szCs w:val="20"/>
          <w:lang w:val="tr-TR"/>
        </w:rPr>
      </w:pPr>
    </w:p>
    <w:p w14:paraId="74A9CFA4" w14:textId="77777777" w:rsidR="00C42919" w:rsidRPr="00604C75" w:rsidRDefault="00C42919">
      <w:pPr>
        <w:pStyle w:val="BodyTextIndent"/>
        <w:widowControl w:val="0"/>
        <w:spacing w:after="0"/>
        <w:ind w:left="851"/>
        <w:jc w:val="both"/>
        <w:rPr>
          <w:noProof/>
          <w:sz w:val="20"/>
          <w:szCs w:val="20"/>
          <w:lang w:val="tr-TR"/>
        </w:rPr>
      </w:pPr>
    </w:p>
    <w:p w14:paraId="318FAF7B" w14:textId="77777777" w:rsidR="00A57C08" w:rsidRPr="00604C75" w:rsidRDefault="00A57C08">
      <w:pPr>
        <w:pStyle w:val="BodyTextIndent"/>
        <w:widowControl w:val="0"/>
        <w:spacing w:after="0"/>
        <w:ind w:left="851"/>
        <w:jc w:val="both"/>
        <w:rPr>
          <w:noProof/>
          <w:sz w:val="20"/>
          <w:szCs w:val="20"/>
          <w:lang w:val="tr-TR"/>
        </w:rPr>
      </w:pPr>
    </w:p>
    <w:p w14:paraId="704BC08C" w14:textId="77777777" w:rsidR="00A57C08" w:rsidRPr="00604C75" w:rsidRDefault="00A57C08" w:rsidP="00490153">
      <w:pPr>
        <w:pStyle w:val="BodyTextIndent"/>
        <w:pageBreakBefore/>
        <w:widowControl w:val="0"/>
        <w:spacing w:before="120" w:after="0"/>
        <w:ind w:left="0"/>
        <w:jc w:val="both"/>
        <w:rPr>
          <w:noProof/>
          <w:sz w:val="20"/>
          <w:szCs w:val="20"/>
          <w:lang w:val="tr-TR"/>
        </w:rPr>
      </w:pPr>
      <w:r w:rsidRPr="00604C75">
        <w:rPr>
          <w:b/>
          <w:sz w:val="20"/>
          <w:szCs w:val="20"/>
        </w:rPr>
        <w:lastRenderedPageBreak/>
        <w:t>EXPLANATIONS ON ACCOUNTING POLICIES (Continued)</w:t>
      </w:r>
    </w:p>
    <w:p w14:paraId="566AEE98" w14:textId="411FA31F" w:rsidR="00AE19A5" w:rsidRPr="00604C75" w:rsidRDefault="004F441B" w:rsidP="008477F3">
      <w:pPr>
        <w:pStyle w:val="ListParagraph"/>
        <w:widowControl w:val="0"/>
        <w:numPr>
          <w:ilvl w:val="0"/>
          <w:numId w:val="45"/>
        </w:numPr>
        <w:spacing w:before="120"/>
        <w:ind w:left="851" w:hanging="851"/>
        <w:jc w:val="both"/>
        <w:rPr>
          <w:b/>
          <w:noProof/>
          <w:sz w:val="20"/>
          <w:szCs w:val="20"/>
          <w:lang w:val="tr-TR"/>
        </w:rPr>
      </w:pPr>
      <w:r w:rsidRPr="00604C75">
        <w:rPr>
          <w:b/>
          <w:noProof/>
          <w:sz w:val="20"/>
          <w:szCs w:val="20"/>
          <w:lang w:val="tr-TR"/>
        </w:rPr>
        <w:t>Assets Held For Sale and Discontinued Operations</w:t>
      </w:r>
    </w:p>
    <w:p w14:paraId="21B3680B" w14:textId="77777777" w:rsidR="00E40704" w:rsidRPr="00604C75" w:rsidRDefault="00E40704" w:rsidP="00490153">
      <w:pPr>
        <w:widowControl w:val="0"/>
        <w:spacing w:before="120"/>
        <w:jc w:val="both"/>
        <w:rPr>
          <w:sz w:val="20"/>
          <w:szCs w:val="20"/>
        </w:rPr>
      </w:pPr>
      <w:r w:rsidRPr="00604C75">
        <w:rPr>
          <w:sz w:val="20"/>
          <w:szCs w:val="20"/>
        </w:rPr>
        <w:t>A tangible asset (or a group of assets to be disposed) classified as “asset held for resale” is measured at lower of carrying value and fair value less costs to sell. An asset (or a group of assets to be disposed) is regarded as “asset held for resale” only when the sale is highly probable and the asset (or a group of assets to be disposed) is available for immediate sale in its present condition. For a highly probable sale, there must be a valid plan prepared by the management for the sale of asset including identification of possible buyers and completion of sale process. Furthermore, the asset should be actively in the market at a price consistent with its fair value.</w:t>
      </w:r>
    </w:p>
    <w:p w14:paraId="1249CF78" w14:textId="77777777" w:rsidR="00E40704" w:rsidRPr="00604C75" w:rsidRDefault="00E40704" w:rsidP="00490153">
      <w:pPr>
        <w:widowControl w:val="0"/>
        <w:spacing w:before="120"/>
        <w:jc w:val="both"/>
        <w:rPr>
          <w:sz w:val="20"/>
          <w:szCs w:val="20"/>
        </w:rPr>
      </w:pPr>
      <w:r w:rsidRPr="00604C75">
        <w:rPr>
          <w:sz w:val="20"/>
          <w:szCs w:val="20"/>
        </w:rPr>
        <w:t xml:space="preserve">Additionally, assets that were acquired due to non-performing receivables are accounted in the financial statements in accordance with the “Communiqué Regarding the Principles and Procedures for the Disposals of </w:t>
      </w:r>
      <w:proofErr w:type="spellStart"/>
      <w:r w:rsidRPr="00604C75">
        <w:rPr>
          <w:sz w:val="20"/>
          <w:szCs w:val="20"/>
        </w:rPr>
        <w:t>Immovables</w:t>
      </w:r>
      <w:proofErr w:type="spellEnd"/>
      <w:r w:rsidRPr="00604C75">
        <w:rPr>
          <w:sz w:val="20"/>
          <w:szCs w:val="20"/>
        </w:rPr>
        <w:t xml:space="preserve"> and Commodities Acquired due to Receivables and for Trading of Precious Metal” published in the Official Gazette dated November 1, 2006, No. 26333 and classified as assets held for resale.</w:t>
      </w:r>
    </w:p>
    <w:p w14:paraId="4E181CA9" w14:textId="77777777" w:rsidR="00E40704" w:rsidRPr="00604C75" w:rsidRDefault="00E40704" w:rsidP="00490153">
      <w:pPr>
        <w:pStyle w:val="BodyTextIndent"/>
        <w:widowControl w:val="0"/>
        <w:spacing w:before="120" w:after="0"/>
        <w:ind w:left="0"/>
        <w:jc w:val="both"/>
        <w:rPr>
          <w:sz w:val="20"/>
          <w:szCs w:val="20"/>
        </w:rPr>
      </w:pPr>
      <w:r w:rsidRPr="00604C75">
        <w:rPr>
          <w:sz w:val="20"/>
          <w:szCs w:val="20"/>
        </w:rPr>
        <w:t xml:space="preserve">A discontinued operation is a part of the </w:t>
      </w:r>
      <w:r w:rsidR="00B23F6D" w:rsidRPr="00604C75">
        <w:rPr>
          <w:sz w:val="20"/>
          <w:szCs w:val="20"/>
        </w:rPr>
        <w:t xml:space="preserve">Parent </w:t>
      </w:r>
      <w:r w:rsidRPr="00604C75">
        <w:rPr>
          <w:sz w:val="20"/>
          <w:szCs w:val="20"/>
        </w:rPr>
        <w:t>Bank’s business classified as sold or held-for-sale. The operating results of the discontinued operations are disclosed separately in the income statement.</w:t>
      </w:r>
    </w:p>
    <w:p w14:paraId="22817863" w14:textId="77777777" w:rsidR="00E40704" w:rsidRPr="00604C75" w:rsidRDefault="00B54FC2" w:rsidP="00490153">
      <w:pPr>
        <w:pStyle w:val="BodyText"/>
        <w:widowControl w:val="0"/>
        <w:tabs>
          <w:tab w:val="clear" w:pos="0"/>
          <w:tab w:val="clear" w:pos="567"/>
          <w:tab w:val="clear" w:pos="720"/>
        </w:tabs>
        <w:spacing w:before="120"/>
        <w:rPr>
          <w:noProof/>
          <w:color w:val="auto"/>
          <w:sz w:val="20"/>
          <w:lang w:val="tr-TR"/>
        </w:rPr>
      </w:pPr>
      <w:r w:rsidRPr="00604C75">
        <w:rPr>
          <w:noProof/>
          <w:color w:val="auto"/>
          <w:sz w:val="20"/>
          <w:lang w:val="tr-TR"/>
        </w:rPr>
        <w:t xml:space="preserve">The </w:t>
      </w:r>
      <w:r w:rsidRPr="006E0317">
        <w:rPr>
          <w:noProof/>
          <w:color w:val="auto"/>
          <w:sz w:val="20"/>
          <w:lang w:val="tr-TR"/>
        </w:rPr>
        <w:t>G</w:t>
      </w:r>
      <w:r w:rsidR="00B23F6D" w:rsidRPr="006E0317">
        <w:rPr>
          <w:noProof/>
          <w:color w:val="auto"/>
          <w:sz w:val="20"/>
          <w:lang w:val="tr-TR"/>
        </w:rPr>
        <w:t>roup</w:t>
      </w:r>
      <w:r w:rsidR="00E40704" w:rsidRPr="006E0317">
        <w:rPr>
          <w:noProof/>
          <w:color w:val="auto"/>
          <w:sz w:val="20"/>
          <w:lang w:val="tr-TR"/>
        </w:rPr>
        <w:t xml:space="preserve"> has no discontinued operations.</w:t>
      </w:r>
    </w:p>
    <w:p w14:paraId="42C19A8C" w14:textId="75C1A311" w:rsidR="00AE19A5" w:rsidRPr="00604C75" w:rsidRDefault="00FE60D6" w:rsidP="008477F3">
      <w:pPr>
        <w:pStyle w:val="ListParagraph"/>
        <w:widowControl w:val="0"/>
        <w:numPr>
          <w:ilvl w:val="0"/>
          <w:numId w:val="45"/>
        </w:numPr>
        <w:spacing w:before="120"/>
        <w:ind w:left="0" w:firstLine="0"/>
        <w:jc w:val="both"/>
        <w:rPr>
          <w:b/>
          <w:noProof/>
          <w:sz w:val="20"/>
          <w:szCs w:val="20"/>
          <w:lang w:val="tr-TR"/>
        </w:rPr>
      </w:pPr>
      <w:r w:rsidRPr="00604C75">
        <w:rPr>
          <w:b/>
          <w:noProof/>
          <w:sz w:val="20"/>
          <w:szCs w:val="20"/>
          <w:lang w:val="tr-TR"/>
        </w:rPr>
        <w:t>Goodwill and Other Intangible Assets</w:t>
      </w:r>
      <w:r w:rsidRPr="00604C75" w:rsidDel="00FE60D6">
        <w:rPr>
          <w:b/>
          <w:noProof/>
          <w:sz w:val="20"/>
          <w:szCs w:val="20"/>
          <w:lang w:val="tr-TR"/>
        </w:rPr>
        <w:t xml:space="preserve"> </w:t>
      </w:r>
    </w:p>
    <w:p w14:paraId="394A61F6" w14:textId="77777777" w:rsidR="00AE19A5" w:rsidRPr="00604C75" w:rsidRDefault="00217619" w:rsidP="00490153">
      <w:pPr>
        <w:pStyle w:val="BodyText"/>
        <w:widowControl w:val="0"/>
        <w:tabs>
          <w:tab w:val="clear" w:pos="0"/>
          <w:tab w:val="clear" w:pos="567"/>
          <w:tab w:val="clear" w:pos="720"/>
        </w:tabs>
        <w:spacing w:before="120"/>
        <w:rPr>
          <w:rFonts w:eastAsiaTheme="minorHAnsi"/>
          <w:color w:val="auto"/>
          <w:sz w:val="20"/>
        </w:rPr>
      </w:pPr>
      <w:r w:rsidRPr="00604C75">
        <w:rPr>
          <w:rFonts w:eastAsiaTheme="minorHAnsi"/>
          <w:color w:val="auto"/>
          <w:sz w:val="20"/>
        </w:rPr>
        <w:t>Group has</w:t>
      </w:r>
      <w:r w:rsidR="0047690F" w:rsidRPr="00604C75">
        <w:rPr>
          <w:rFonts w:eastAsiaTheme="minorHAnsi"/>
          <w:color w:val="auto"/>
          <w:sz w:val="20"/>
        </w:rPr>
        <w:t xml:space="preserve"> </w:t>
      </w:r>
      <w:r w:rsidR="007229C1" w:rsidRPr="006E0317">
        <w:rPr>
          <w:rFonts w:eastAsiaTheme="minorHAnsi"/>
          <w:color w:val="auto"/>
          <w:sz w:val="20"/>
        </w:rPr>
        <w:t>TL 49,647</w:t>
      </w:r>
      <w:r w:rsidRPr="00604C75">
        <w:rPr>
          <w:rFonts w:eastAsiaTheme="minorHAnsi"/>
          <w:color w:val="auto"/>
          <w:sz w:val="20"/>
        </w:rPr>
        <w:t xml:space="preserve"> </w:t>
      </w:r>
      <w:r w:rsidR="0047690F" w:rsidRPr="00604C75">
        <w:rPr>
          <w:rFonts w:eastAsiaTheme="minorHAnsi"/>
          <w:color w:val="auto"/>
          <w:sz w:val="20"/>
        </w:rPr>
        <w:t xml:space="preserve">goodwill </w:t>
      </w:r>
      <w:r w:rsidR="00A757D2" w:rsidRPr="00604C75">
        <w:rPr>
          <w:rFonts w:eastAsiaTheme="minorHAnsi"/>
          <w:color w:val="auto"/>
          <w:sz w:val="20"/>
        </w:rPr>
        <w:t>in</w:t>
      </w:r>
      <w:r w:rsidR="0047690F" w:rsidRPr="00604C75">
        <w:rPr>
          <w:rFonts w:eastAsiaTheme="minorHAnsi"/>
          <w:color w:val="auto"/>
          <w:sz w:val="20"/>
        </w:rPr>
        <w:t xml:space="preserve"> </w:t>
      </w:r>
      <w:r w:rsidR="00A757D2" w:rsidRPr="00604C75">
        <w:rPr>
          <w:rFonts w:eastAsiaTheme="minorHAnsi"/>
          <w:color w:val="auto"/>
          <w:sz w:val="20"/>
        </w:rPr>
        <w:t>consolidated financial statements as of balance sheet date</w:t>
      </w:r>
      <w:r w:rsidRPr="00604C75">
        <w:rPr>
          <w:rFonts w:eastAsiaTheme="minorHAnsi"/>
          <w:color w:val="auto"/>
          <w:sz w:val="20"/>
        </w:rPr>
        <w:t>.</w:t>
      </w:r>
    </w:p>
    <w:p w14:paraId="1F62FD2C" w14:textId="77777777" w:rsidR="00217619" w:rsidRPr="00604C75" w:rsidRDefault="00EF6FFB" w:rsidP="00490153">
      <w:pPr>
        <w:spacing w:before="120"/>
        <w:jc w:val="both"/>
        <w:rPr>
          <w:rFonts w:ascii="Calibri" w:hAnsi="Calibri"/>
          <w:sz w:val="22"/>
          <w:szCs w:val="22"/>
          <w:lang w:val="tr-TR"/>
        </w:rPr>
      </w:pPr>
      <w:r w:rsidRPr="00604C75">
        <w:rPr>
          <w:sz w:val="20"/>
          <w:szCs w:val="20"/>
          <w:lang w:val="tr-TR"/>
        </w:rPr>
        <w:t xml:space="preserve">Goodwill is </w:t>
      </w:r>
      <w:r w:rsidR="00693D76" w:rsidRPr="00604C75">
        <w:rPr>
          <w:sz w:val="20"/>
          <w:szCs w:val="20"/>
          <w:lang w:val="tr-TR"/>
        </w:rPr>
        <w:t xml:space="preserve">the amount that exceeds the cost of buying of </w:t>
      </w:r>
      <w:r w:rsidRPr="00604C75">
        <w:rPr>
          <w:sz w:val="20"/>
          <w:szCs w:val="20"/>
          <w:lang w:val="tr-TR"/>
        </w:rPr>
        <w:t xml:space="preserve">fair value </w:t>
      </w:r>
      <w:r w:rsidR="00693D76" w:rsidRPr="00604C75">
        <w:rPr>
          <w:sz w:val="20"/>
          <w:szCs w:val="20"/>
          <w:lang w:val="tr-TR"/>
        </w:rPr>
        <w:t xml:space="preserve">expressed as the amount </w:t>
      </w:r>
      <w:r w:rsidRPr="00604C75">
        <w:rPr>
          <w:sz w:val="20"/>
          <w:szCs w:val="20"/>
          <w:lang w:val="tr-TR"/>
        </w:rPr>
        <w:t xml:space="preserve">of the group share </w:t>
      </w:r>
      <w:r w:rsidR="00C85D2E" w:rsidRPr="00604C75">
        <w:rPr>
          <w:sz w:val="20"/>
          <w:szCs w:val="20"/>
          <w:lang w:val="tr-TR"/>
        </w:rPr>
        <w:t>in net</w:t>
      </w:r>
      <w:r w:rsidRPr="00604C75">
        <w:rPr>
          <w:sz w:val="20"/>
          <w:szCs w:val="20"/>
          <w:lang w:val="tr-TR"/>
        </w:rPr>
        <w:t xml:space="preserve"> identifiable assets of the </w:t>
      </w:r>
      <w:r w:rsidR="004B50DA" w:rsidRPr="00604C75">
        <w:rPr>
          <w:sz w:val="20"/>
          <w:szCs w:val="20"/>
          <w:lang w:val="tr-TR"/>
        </w:rPr>
        <w:t xml:space="preserve">Group's </w:t>
      </w:r>
      <w:r w:rsidRPr="00604C75">
        <w:rPr>
          <w:sz w:val="20"/>
          <w:szCs w:val="20"/>
          <w:lang w:val="tr-TR"/>
        </w:rPr>
        <w:t>purchased subsidiaries</w:t>
      </w:r>
      <w:r w:rsidR="00217619" w:rsidRPr="00604C75">
        <w:rPr>
          <w:sz w:val="20"/>
          <w:szCs w:val="20"/>
          <w:lang w:val="tr-TR"/>
        </w:rPr>
        <w:t>.</w:t>
      </w:r>
      <w:r w:rsidR="00693D76" w:rsidRPr="00604C75">
        <w:rPr>
          <w:sz w:val="20"/>
          <w:szCs w:val="20"/>
          <w:lang w:val="tr-TR"/>
        </w:rPr>
        <w:t>Annual impairment test is performed for goodwill every year and</w:t>
      </w:r>
      <w:r w:rsidR="00217619" w:rsidRPr="00604C75">
        <w:rPr>
          <w:sz w:val="20"/>
          <w:szCs w:val="20"/>
          <w:lang w:val="tr-TR"/>
        </w:rPr>
        <w:t xml:space="preserve"> </w:t>
      </w:r>
      <w:r w:rsidR="00693D76" w:rsidRPr="00604C75">
        <w:rPr>
          <w:sz w:val="20"/>
          <w:szCs w:val="20"/>
          <w:lang w:val="tr-TR"/>
        </w:rPr>
        <w:t>shown as deducting accumulated impairment from cost of goodwill.</w:t>
      </w:r>
      <w:r w:rsidR="009945CA" w:rsidRPr="00604C75">
        <w:rPr>
          <w:sz w:val="20"/>
          <w:szCs w:val="20"/>
          <w:lang w:val="tr-TR"/>
        </w:rPr>
        <w:t xml:space="preserve"> </w:t>
      </w:r>
      <w:r w:rsidR="001151AA" w:rsidRPr="00604C75">
        <w:rPr>
          <w:sz w:val="20"/>
          <w:szCs w:val="20"/>
          <w:lang w:val="tr-TR"/>
        </w:rPr>
        <w:t>P</w:t>
      </w:r>
      <w:r w:rsidR="00B60070" w:rsidRPr="00604C75">
        <w:rPr>
          <w:sz w:val="20"/>
          <w:szCs w:val="20"/>
          <w:lang w:val="tr-TR"/>
        </w:rPr>
        <w:t>rovision for impairment</w:t>
      </w:r>
      <w:r w:rsidR="001151AA" w:rsidRPr="00604C75">
        <w:rPr>
          <w:sz w:val="20"/>
          <w:szCs w:val="20"/>
          <w:lang w:val="tr-TR"/>
        </w:rPr>
        <w:t xml:space="preserve"> on </w:t>
      </w:r>
      <w:r w:rsidR="00C85D2E" w:rsidRPr="00604C75">
        <w:rPr>
          <w:sz w:val="20"/>
          <w:szCs w:val="20"/>
          <w:lang w:val="tr-TR"/>
        </w:rPr>
        <w:t>goodwill is</w:t>
      </w:r>
      <w:r w:rsidR="00B60070" w:rsidRPr="00604C75">
        <w:rPr>
          <w:sz w:val="20"/>
          <w:szCs w:val="20"/>
          <w:lang w:val="tr-TR"/>
        </w:rPr>
        <w:t xml:space="preserve"> not </w:t>
      </w:r>
      <w:r w:rsidR="001151AA" w:rsidRPr="00604C75">
        <w:rPr>
          <w:sz w:val="20"/>
          <w:szCs w:val="20"/>
          <w:lang w:val="tr-TR"/>
        </w:rPr>
        <w:t>reversed.</w:t>
      </w:r>
      <w:r w:rsidR="00217619" w:rsidRPr="00604C75">
        <w:rPr>
          <w:sz w:val="20"/>
          <w:szCs w:val="20"/>
          <w:lang w:val="tr-TR"/>
        </w:rPr>
        <w:t xml:space="preserve"> </w:t>
      </w:r>
    </w:p>
    <w:p w14:paraId="4D764580" w14:textId="77777777" w:rsidR="007A0434" w:rsidRPr="00604C75" w:rsidRDefault="007A0434" w:rsidP="00490153">
      <w:pPr>
        <w:spacing w:before="120"/>
        <w:jc w:val="both"/>
        <w:rPr>
          <w:sz w:val="20"/>
          <w:szCs w:val="20"/>
          <w:lang w:val="tr-TR"/>
        </w:rPr>
      </w:pPr>
      <w:r w:rsidRPr="00604C75">
        <w:rPr>
          <w:sz w:val="20"/>
          <w:szCs w:val="20"/>
          <w:lang w:val="tr-TR"/>
        </w:rPr>
        <w:t>As a result of the disposal of the business that gain or loss occurs includes the carrying amount goodwill related to disposed business.</w:t>
      </w:r>
    </w:p>
    <w:p w14:paraId="55EAA291" w14:textId="77777777" w:rsidR="00217619" w:rsidRPr="00604C75" w:rsidRDefault="00326C52" w:rsidP="00490153">
      <w:pPr>
        <w:spacing w:before="120"/>
        <w:jc w:val="both"/>
        <w:rPr>
          <w:sz w:val="20"/>
          <w:szCs w:val="20"/>
        </w:rPr>
      </w:pPr>
      <w:r w:rsidRPr="00604C75">
        <w:rPr>
          <w:sz w:val="20"/>
          <w:szCs w:val="20"/>
          <w:lang w:val="tr-TR"/>
        </w:rPr>
        <w:t>Good</w:t>
      </w:r>
      <w:r w:rsidR="00502067" w:rsidRPr="00604C75">
        <w:rPr>
          <w:sz w:val="20"/>
          <w:szCs w:val="20"/>
          <w:lang w:val="tr-TR"/>
        </w:rPr>
        <w:t xml:space="preserve">will is distrubuted to </w:t>
      </w:r>
      <w:r w:rsidRPr="00604C75">
        <w:rPr>
          <w:sz w:val="20"/>
          <w:szCs w:val="20"/>
          <w:lang w:val="tr-TR"/>
        </w:rPr>
        <w:t xml:space="preserve">cash </w:t>
      </w:r>
      <w:r w:rsidR="00502067" w:rsidRPr="00604C75">
        <w:rPr>
          <w:sz w:val="20"/>
          <w:szCs w:val="20"/>
          <w:lang w:val="tr-TR"/>
        </w:rPr>
        <w:t xml:space="preserve">generating </w:t>
      </w:r>
      <w:r w:rsidRPr="00604C75">
        <w:rPr>
          <w:sz w:val="20"/>
          <w:szCs w:val="20"/>
          <w:lang w:val="tr-TR"/>
        </w:rPr>
        <w:t xml:space="preserve">units for impairment test. </w:t>
      </w:r>
      <w:r w:rsidR="00112858" w:rsidRPr="00604C75">
        <w:rPr>
          <w:sz w:val="20"/>
          <w:szCs w:val="20"/>
          <w:lang w:val="tr-TR"/>
        </w:rPr>
        <w:t xml:space="preserve">Distributions are made </w:t>
      </w:r>
      <w:r w:rsidR="00640E8F" w:rsidRPr="00604C75">
        <w:rPr>
          <w:sz w:val="20"/>
          <w:szCs w:val="20"/>
          <w:lang w:val="tr-TR"/>
        </w:rPr>
        <w:t>to benefit from the business combination in which the goodwill arose expected to cash</w:t>
      </w:r>
      <w:r w:rsidR="00502067" w:rsidRPr="00604C75">
        <w:rPr>
          <w:sz w:val="20"/>
          <w:szCs w:val="20"/>
          <w:lang w:val="tr-TR"/>
        </w:rPr>
        <w:t xml:space="preserve">-generating </w:t>
      </w:r>
      <w:r w:rsidR="00640E8F" w:rsidRPr="00604C75">
        <w:rPr>
          <w:sz w:val="20"/>
          <w:szCs w:val="20"/>
          <w:lang w:val="tr-TR"/>
        </w:rPr>
        <w:t>units or groups.</w:t>
      </w:r>
      <w:r w:rsidR="00502067" w:rsidRPr="00604C75">
        <w:t xml:space="preserve"> </w:t>
      </w:r>
      <w:r w:rsidR="00502067" w:rsidRPr="00604C75">
        <w:rPr>
          <w:sz w:val="20"/>
          <w:szCs w:val="20"/>
          <w:lang w:val="tr-TR"/>
        </w:rPr>
        <w:t xml:space="preserve">The recoverable amount of the cash-generating unit is determined based on value in used </w:t>
      </w:r>
      <w:r w:rsidR="009945CA" w:rsidRPr="00604C75">
        <w:rPr>
          <w:sz w:val="20"/>
          <w:szCs w:val="20"/>
          <w:lang w:val="tr-TR"/>
        </w:rPr>
        <w:t>calculations. These</w:t>
      </w:r>
      <w:r w:rsidR="00502067" w:rsidRPr="00604C75">
        <w:rPr>
          <w:sz w:val="20"/>
          <w:szCs w:val="20"/>
          <w:lang w:val="tr-TR"/>
        </w:rPr>
        <w:t xml:space="preserve"> calculations require the use of estimetes. </w:t>
      </w:r>
    </w:p>
    <w:p w14:paraId="28F0E7CB" w14:textId="77777777" w:rsidR="00331C41" w:rsidRPr="00604C75" w:rsidRDefault="00331C41" w:rsidP="00490153">
      <w:pPr>
        <w:widowControl w:val="0"/>
        <w:tabs>
          <w:tab w:val="left" w:pos="851"/>
        </w:tabs>
        <w:spacing w:before="120"/>
        <w:jc w:val="both"/>
        <w:rPr>
          <w:rFonts w:eastAsiaTheme="minorHAnsi"/>
          <w:sz w:val="20"/>
          <w:szCs w:val="20"/>
        </w:rPr>
      </w:pPr>
      <w:r w:rsidRPr="00604C75">
        <w:rPr>
          <w:rFonts w:eastAsiaTheme="minorHAnsi"/>
          <w:sz w:val="20"/>
          <w:szCs w:val="20"/>
        </w:rPr>
        <w:t xml:space="preserve">The intangible assets which are purchased before 1 January 2005 have been restated </w:t>
      </w:r>
      <w:proofErr w:type="spellStart"/>
      <w:r w:rsidRPr="00604C75">
        <w:rPr>
          <w:rFonts w:eastAsiaTheme="minorHAnsi"/>
          <w:sz w:val="20"/>
          <w:szCs w:val="20"/>
        </w:rPr>
        <w:t>fot</w:t>
      </w:r>
      <w:proofErr w:type="spellEnd"/>
      <w:r w:rsidRPr="00604C75">
        <w:rPr>
          <w:rFonts w:eastAsiaTheme="minorHAnsi"/>
          <w:sz w:val="20"/>
          <w:szCs w:val="20"/>
        </w:rPr>
        <w:t xml:space="preserve"> the effects of inflation and the intangible assets after this date are presented with their purchase cost, accumulated depreciation and amortization and impairment. According to the regular amortization method, long term assets depreciate regarding to their useful lives. The amortization method and the period are reviewed in each year-end. The intangible assets are mainly consisted of software programs and rights and according to the straight line method of depreciation, they amortize in between 3 to 15 years. </w:t>
      </w:r>
    </w:p>
    <w:p w14:paraId="3CF92CD7" w14:textId="77777777" w:rsidR="005D478F" w:rsidRPr="00604C75" w:rsidRDefault="005D478F" w:rsidP="004B5214">
      <w:pPr>
        <w:widowControl w:val="0"/>
        <w:tabs>
          <w:tab w:val="left" w:pos="851"/>
        </w:tabs>
        <w:jc w:val="both"/>
        <w:rPr>
          <w:rFonts w:eastAsiaTheme="minorHAnsi"/>
          <w:sz w:val="20"/>
          <w:szCs w:val="20"/>
        </w:rPr>
      </w:pPr>
    </w:p>
    <w:p w14:paraId="3E3A02A1" w14:textId="77777777" w:rsidR="00397E12" w:rsidRPr="00604C75" w:rsidRDefault="00397E12" w:rsidP="00785510">
      <w:pPr>
        <w:widowControl w:val="0"/>
        <w:tabs>
          <w:tab w:val="left" w:pos="851"/>
        </w:tabs>
        <w:ind w:left="851" w:hanging="851"/>
        <w:jc w:val="both"/>
        <w:rPr>
          <w:rFonts w:eastAsiaTheme="minorHAnsi"/>
          <w:sz w:val="20"/>
          <w:szCs w:val="20"/>
        </w:rPr>
      </w:pPr>
    </w:p>
    <w:p w14:paraId="5283C21D" w14:textId="77777777" w:rsidR="00397E12" w:rsidRPr="00604C75" w:rsidRDefault="00397E12" w:rsidP="00785510">
      <w:pPr>
        <w:widowControl w:val="0"/>
        <w:tabs>
          <w:tab w:val="left" w:pos="851"/>
        </w:tabs>
        <w:ind w:left="851" w:hanging="851"/>
        <w:jc w:val="both"/>
        <w:rPr>
          <w:rFonts w:eastAsiaTheme="minorHAnsi"/>
          <w:sz w:val="20"/>
          <w:szCs w:val="20"/>
        </w:rPr>
      </w:pPr>
    </w:p>
    <w:p w14:paraId="23BAB465" w14:textId="77777777" w:rsidR="00397E12" w:rsidRPr="00604C75" w:rsidRDefault="00397E12" w:rsidP="00785510">
      <w:pPr>
        <w:widowControl w:val="0"/>
        <w:tabs>
          <w:tab w:val="left" w:pos="851"/>
        </w:tabs>
        <w:ind w:left="851" w:hanging="851"/>
        <w:jc w:val="both"/>
        <w:rPr>
          <w:rFonts w:eastAsiaTheme="minorHAnsi"/>
          <w:sz w:val="20"/>
          <w:szCs w:val="20"/>
        </w:rPr>
      </w:pPr>
    </w:p>
    <w:p w14:paraId="4CA742B5" w14:textId="77777777" w:rsidR="00397E12" w:rsidRPr="00604C75" w:rsidRDefault="00397E12" w:rsidP="00785510">
      <w:pPr>
        <w:widowControl w:val="0"/>
        <w:tabs>
          <w:tab w:val="left" w:pos="851"/>
        </w:tabs>
        <w:ind w:left="851" w:hanging="851"/>
        <w:jc w:val="both"/>
        <w:rPr>
          <w:rFonts w:eastAsiaTheme="minorHAnsi"/>
          <w:sz w:val="20"/>
          <w:szCs w:val="20"/>
        </w:rPr>
      </w:pPr>
    </w:p>
    <w:p w14:paraId="47B7068D" w14:textId="77777777" w:rsidR="00397E12" w:rsidRPr="00604C75" w:rsidRDefault="00397E12" w:rsidP="00785510">
      <w:pPr>
        <w:widowControl w:val="0"/>
        <w:tabs>
          <w:tab w:val="left" w:pos="851"/>
        </w:tabs>
        <w:ind w:left="851" w:hanging="851"/>
        <w:jc w:val="both"/>
        <w:rPr>
          <w:rFonts w:eastAsiaTheme="minorHAnsi"/>
          <w:sz w:val="20"/>
          <w:szCs w:val="20"/>
        </w:rPr>
      </w:pPr>
    </w:p>
    <w:p w14:paraId="53831F2C" w14:textId="77777777" w:rsidR="00397E12" w:rsidRPr="00604C75" w:rsidRDefault="00397E12" w:rsidP="00785510">
      <w:pPr>
        <w:widowControl w:val="0"/>
        <w:tabs>
          <w:tab w:val="left" w:pos="851"/>
        </w:tabs>
        <w:ind w:left="851" w:hanging="851"/>
        <w:jc w:val="both"/>
        <w:rPr>
          <w:rFonts w:eastAsiaTheme="minorHAnsi"/>
          <w:sz w:val="20"/>
          <w:szCs w:val="20"/>
        </w:rPr>
      </w:pPr>
    </w:p>
    <w:p w14:paraId="684FAD8E" w14:textId="77777777" w:rsidR="00397E12" w:rsidRPr="00604C75" w:rsidRDefault="00397E12" w:rsidP="00785510">
      <w:pPr>
        <w:widowControl w:val="0"/>
        <w:tabs>
          <w:tab w:val="left" w:pos="851"/>
        </w:tabs>
        <w:ind w:left="851" w:hanging="851"/>
        <w:jc w:val="both"/>
        <w:rPr>
          <w:rFonts w:eastAsiaTheme="minorHAnsi"/>
          <w:sz w:val="20"/>
          <w:szCs w:val="20"/>
        </w:rPr>
      </w:pPr>
    </w:p>
    <w:p w14:paraId="53C200DE" w14:textId="77777777" w:rsidR="00397E12" w:rsidRPr="00604C75" w:rsidRDefault="00397E12" w:rsidP="00785510">
      <w:pPr>
        <w:widowControl w:val="0"/>
        <w:tabs>
          <w:tab w:val="left" w:pos="851"/>
        </w:tabs>
        <w:ind w:left="851" w:hanging="851"/>
        <w:jc w:val="both"/>
        <w:rPr>
          <w:rFonts w:eastAsiaTheme="minorHAnsi"/>
          <w:sz w:val="20"/>
          <w:szCs w:val="20"/>
        </w:rPr>
      </w:pPr>
    </w:p>
    <w:p w14:paraId="54A82E26" w14:textId="77777777" w:rsidR="00397E12" w:rsidRPr="00604C75" w:rsidRDefault="00397E12" w:rsidP="00785510">
      <w:pPr>
        <w:widowControl w:val="0"/>
        <w:tabs>
          <w:tab w:val="left" w:pos="851"/>
        </w:tabs>
        <w:ind w:left="851" w:hanging="851"/>
        <w:jc w:val="both"/>
        <w:rPr>
          <w:rFonts w:eastAsiaTheme="minorHAnsi"/>
          <w:sz w:val="20"/>
          <w:szCs w:val="20"/>
        </w:rPr>
      </w:pPr>
    </w:p>
    <w:p w14:paraId="52FF380D" w14:textId="77777777" w:rsidR="00397E12" w:rsidRPr="00604C75" w:rsidRDefault="00397E12" w:rsidP="00785510">
      <w:pPr>
        <w:widowControl w:val="0"/>
        <w:tabs>
          <w:tab w:val="left" w:pos="851"/>
        </w:tabs>
        <w:ind w:left="851" w:hanging="851"/>
        <w:jc w:val="both"/>
        <w:rPr>
          <w:rFonts w:eastAsiaTheme="minorHAnsi"/>
          <w:sz w:val="20"/>
          <w:szCs w:val="20"/>
        </w:rPr>
      </w:pPr>
    </w:p>
    <w:p w14:paraId="2416392B" w14:textId="77777777" w:rsidR="00397E12" w:rsidRPr="00604C75" w:rsidRDefault="00397E12" w:rsidP="00785510">
      <w:pPr>
        <w:widowControl w:val="0"/>
        <w:tabs>
          <w:tab w:val="left" w:pos="851"/>
        </w:tabs>
        <w:ind w:left="851" w:hanging="851"/>
        <w:jc w:val="both"/>
        <w:rPr>
          <w:rFonts w:eastAsiaTheme="minorHAnsi"/>
          <w:sz w:val="20"/>
          <w:szCs w:val="20"/>
        </w:rPr>
      </w:pPr>
    </w:p>
    <w:p w14:paraId="039BF66C" w14:textId="77777777" w:rsidR="00397E12" w:rsidRPr="00604C75" w:rsidRDefault="00397E12" w:rsidP="00785510">
      <w:pPr>
        <w:widowControl w:val="0"/>
        <w:tabs>
          <w:tab w:val="left" w:pos="851"/>
        </w:tabs>
        <w:ind w:left="851" w:hanging="851"/>
        <w:jc w:val="both"/>
        <w:rPr>
          <w:rFonts w:eastAsiaTheme="minorHAnsi"/>
          <w:sz w:val="20"/>
          <w:szCs w:val="20"/>
        </w:rPr>
      </w:pPr>
    </w:p>
    <w:p w14:paraId="114951DF" w14:textId="77777777" w:rsidR="00397E12" w:rsidRPr="00604C75" w:rsidRDefault="00397E12" w:rsidP="00785510">
      <w:pPr>
        <w:widowControl w:val="0"/>
        <w:tabs>
          <w:tab w:val="left" w:pos="851"/>
        </w:tabs>
        <w:ind w:left="851" w:hanging="851"/>
        <w:jc w:val="both"/>
        <w:rPr>
          <w:rFonts w:eastAsiaTheme="minorHAnsi"/>
          <w:sz w:val="20"/>
          <w:szCs w:val="20"/>
        </w:rPr>
      </w:pPr>
    </w:p>
    <w:p w14:paraId="44D69A2C" w14:textId="77777777" w:rsidR="00397E12" w:rsidRPr="00604C75" w:rsidRDefault="00397E12" w:rsidP="00490153">
      <w:pPr>
        <w:pStyle w:val="BodyTextIndent"/>
        <w:pageBreakBefore/>
        <w:widowControl w:val="0"/>
        <w:spacing w:before="120" w:after="0"/>
        <w:ind w:left="0"/>
        <w:jc w:val="both"/>
        <w:rPr>
          <w:b/>
          <w:sz w:val="20"/>
          <w:szCs w:val="20"/>
        </w:rPr>
      </w:pPr>
      <w:r w:rsidRPr="00604C75">
        <w:rPr>
          <w:b/>
          <w:sz w:val="20"/>
          <w:szCs w:val="20"/>
        </w:rPr>
        <w:lastRenderedPageBreak/>
        <w:t>EXPLANATIONS ON ACCOUNTING POLICIES (Continued)</w:t>
      </w:r>
    </w:p>
    <w:p w14:paraId="386F6D97" w14:textId="2099B5F8" w:rsidR="005D478F" w:rsidRPr="00604C75" w:rsidRDefault="00274D4B" w:rsidP="008477F3">
      <w:pPr>
        <w:pStyle w:val="ListParagraph"/>
        <w:widowControl w:val="0"/>
        <w:numPr>
          <w:ilvl w:val="0"/>
          <w:numId w:val="45"/>
        </w:numPr>
        <w:spacing w:before="120"/>
        <w:ind w:left="851" w:hanging="851"/>
        <w:jc w:val="both"/>
        <w:rPr>
          <w:b/>
          <w:noProof/>
          <w:sz w:val="20"/>
          <w:szCs w:val="20"/>
          <w:lang w:val="tr-TR"/>
        </w:rPr>
      </w:pPr>
      <w:r w:rsidRPr="00604C75">
        <w:rPr>
          <w:b/>
          <w:noProof/>
          <w:sz w:val="20"/>
          <w:szCs w:val="20"/>
          <w:lang w:val="tr-TR"/>
        </w:rPr>
        <w:t>Property and Equipment</w:t>
      </w:r>
    </w:p>
    <w:p w14:paraId="1EE33EF2" w14:textId="77777777" w:rsidR="00331C41" w:rsidRPr="00604C75" w:rsidRDefault="00331C41" w:rsidP="00490153">
      <w:pPr>
        <w:pStyle w:val="BodyTextIndent"/>
        <w:widowControl w:val="0"/>
        <w:spacing w:before="120" w:after="0"/>
        <w:ind w:left="0"/>
        <w:jc w:val="both"/>
        <w:rPr>
          <w:noProof/>
          <w:sz w:val="20"/>
          <w:szCs w:val="20"/>
          <w:lang w:val="tr-TR"/>
        </w:rPr>
      </w:pPr>
      <w:r w:rsidRPr="00604C75">
        <w:rPr>
          <w:noProof/>
          <w:sz w:val="20"/>
          <w:szCs w:val="20"/>
          <w:lang w:val="tr-TR"/>
        </w:rPr>
        <w:t>Property and equipment is measured at its cost when initially recognized and any directly attributable costs of setting the asset in working order for its intended use are included in the initial measurement. Subsequently, property and equipment are carried at cost less accumulated depreciation and provision for impairment, if any.</w:t>
      </w:r>
    </w:p>
    <w:p w14:paraId="093CA5EF" w14:textId="77777777" w:rsidR="00331C41" w:rsidRPr="00604C75" w:rsidRDefault="00331C41" w:rsidP="00490153">
      <w:pPr>
        <w:pStyle w:val="BodyText"/>
        <w:widowControl w:val="0"/>
        <w:tabs>
          <w:tab w:val="clear" w:pos="0"/>
          <w:tab w:val="clear" w:pos="567"/>
          <w:tab w:val="clear" w:pos="720"/>
        </w:tabs>
        <w:spacing w:before="120"/>
        <w:rPr>
          <w:rStyle w:val="hps"/>
          <w:color w:val="auto"/>
          <w:sz w:val="20"/>
        </w:rPr>
      </w:pPr>
      <w:r w:rsidRPr="00604C75">
        <w:rPr>
          <w:rStyle w:val="hps"/>
          <w:color w:val="auto"/>
          <w:sz w:val="20"/>
        </w:rPr>
        <w:t>Fixed assets</w:t>
      </w:r>
      <w:r w:rsidRPr="00604C75">
        <w:rPr>
          <w:color w:val="auto"/>
          <w:sz w:val="20"/>
        </w:rPr>
        <w:t xml:space="preserve"> </w:t>
      </w:r>
      <w:r w:rsidRPr="00604C75">
        <w:rPr>
          <w:rStyle w:val="hps"/>
          <w:color w:val="auto"/>
          <w:sz w:val="20"/>
        </w:rPr>
        <w:t>are being</w:t>
      </w:r>
      <w:r w:rsidRPr="00604C75">
        <w:rPr>
          <w:color w:val="auto"/>
          <w:sz w:val="20"/>
        </w:rPr>
        <w:t xml:space="preserve"> </w:t>
      </w:r>
      <w:r w:rsidRPr="00604C75">
        <w:rPr>
          <w:rStyle w:val="hps"/>
          <w:color w:val="auto"/>
          <w:sz w:val="20"/>
        </w:rPr>
        <w:t>depreciated by applying</w:t>
      </w:r>
      <w:r w:rsidRPr="00604C75">
        <w:rPr>
          <w:color w:val="auto"/>
          <w:sz w:val="20"/>
        </w:rPr>
        <w:t xml:space="preserve"> </w:t>
      </w:r>
      <w:r w:rsidRPr="00604C75">
        <w:rPr>
          <w:rStyle w:val="hps"/>
          <w:color w:val="auto"/>
          <w:sz w:val="20"/>
        </w:rPr>
        <w:t>the straight-line</w:t>
      </w:r>
      <w:r w:rsidRPr="00604C75">
        <w:rPr>
          <w:color w:val="auto"/>
          <w:sz w:val="20"/>
        </w:rPr>
        <w:t xml:space="preserve"> </w:t>
      </w:r>
      <w:r w:rsidRPr="00604C75">
        <w:rPr>
          <w:rStyle w:val="hps"/>
          <w:color w:val="auto"/>
          <w:sz w:val="20"/>
        </w:rPr>
        <w:t>method</w:t>
      </w:r>
      <w:r w:rsidRPr="00604C75">
        <w:rPr>
          <w:color w:val="auto"/>
          <w:sz w:val="20"/>
        </w:rPr>
        <w:t xml:space="preserve">, </w:t>
      </w:r>
      <w:r w:rsidRPr="00604C75">
        <w:rPr>
          <w:rStyle w:val="hps"/>
          <w:color w:val="auto"/>
          <w:sz w:val="20"/>
        </w:rPr>
        <w:t>in</w:t>
      </w:r>
      <w:r w:rsidRPr="00604C75">
        <w:rPr>
          <w:color w:val="auto"/>
          <w:sz w:val="20"/>
        </w:rPr>
        <w:t xml:space="preserve"> </w:t>
      </w:r>
      <w:r w:rsidRPr="00604C75">
        <w:rPr>
          <w:rStyle w:val="hps"/>
          <w:color w:val="auto"/>
          <w:sz w:val="20"/>
        </w:rPr>
        <w:t>accordance with the Tax Procedure Law which estimates the useful lives.</w:t>
      </w:r>
    </w:p>
    <w:p w14:paraId="4FA52951" w14:textId="77777777" w:rsidR="00331C41" w:rsidRPr="00604C75" w:rsidRDefault="00331C41" w:rsidP="00490153">
      <w:pPr>
        <w:pStyle w:val="BodyText"/>
        <w:widowControl w:val="0"/>
        <w:tabs>
          <w:tab w:val="clear" w:pos="0"/>
          <w:tab w:val="clear" w:pos="567"/>
          <w:tab w:val="clear" w:pos="720"/>
        </w:tabs>
        <w:spacing w:before="120"/>
        <w:rPr>
          <w:noProof/>
          <w:color w:val="auto"/>
          <w:sz w:val="20"/>
          <w:lang w:val="tr-TR"/>
        </w:rPr>
      </w:pPr>
      <w:r w:rsidRPr="00604C75">
        <w:rPr>
          <w:noProof/>
          <w:color w:val="auto"/>
          <w:sz w:val="20"/>
          <w:lang w:val="tr-TR"/>
        </w:rPr>
        <w:t xml:space="preserve">The depreciation charge for items remaining in property and equipment for less than an accounting period at the balance sheet date is calculated in proportion to the period the item remained in property and equipment. </w:t>
      </w:r>
    </w:p>
    <w:p w14:paraId="3AA1FA3C" w14:textId="77777777" w:rsidR="00331C41" w:rsidRPr="00604C75" w:rsidRDefault="00331C41" w:rsidP="00490153">
      <w:pPr>
        <w:pStyle w:val="BodyTextIndent"/>
        <w:widowControl w:val="0"/>
        <w:spacing w:before="120" w:after="0"/>
        <w:ind w:left="0"/>
        <w:jc w:val="both"/>
        <w:rPr>
          <w:sz w:val="20"/>
          <w:szCs w:val="20"/>
        </w:rPr>
      </w:pPr>
      <w:r w:rsidRPr="00604C75">
        <w:rPr>
          <w:sz w:val="20"/>
          <w:szCs w:val="20"/>
        </w:rPr>
        <w:t>If fix assets’ value, adjusted for inflation (until 31 December 2004) is higher than the current value, exceeding amount is being allocated for impairment and determined amounts are reflected in the financial statements. Gain or loss resulting from disposals of the tangible fixed assets is reflected to the income statement as the difference between the net proceeds and net book value.</w:t>
      </w:r>
    </w:p>
    <w:p w14:paraId="529B7C75" w14:textId="77777777" w:rsidR="00331C41" w:rsidRPr="00604C75" w:rsidRDefault="00331C41" w:rsidP="00490153">
      <w:pPr>
        <w:pStyle w:val="BodyTextIndent"/>
        <w:widowControl w:val="0"/>
        <w:spacing w:before="120" w:after="0"/>
        <w:ind w:left="0" w:right="1"/>
        <w:jc w:val="both"/>
        <w:rPr>
          <w:sz w:val="20"/>
          <w:szCs w:val="20"/>
        </w:rPr>
      </w:pPr>
      <w:r w:rsidRPr="00604C75">
        <w:rPr>
          <w:noProof/>
          <w:sz w:val="20"/>
          <w:szCs w:val="20"/>
          <w:lang w:val="tr-TR"/>
        </w:rPr>
        <w:t>Expenditures for the repair and renewal of property and equipment are recognised as expense.</w:t>
      </w:r>
      <w:r w:rsidRPr="00604C75">
        <w:rPr>
          <w:sz w:val="20"/>
          <w:szCs w:val="20"/>
        </w:rPr>
        <w:t xml:space="preserve"> </w:t>
      </w:r>
    </w:p>
    <w:p w14:paraId="249A5D43" w14:textId="77777777" w:rsidR="00331C41" w:rsidRPr="00604C75" w:rsidRDefault="00331C41" w:rsidP="00490153">
      <w:pPr>
        <w:pStyle w:val="BodyTextIndent"/>
        <w:widowControl w:val="0"/>
        <w:spacing w:before="120" w:after="0"/>
        <w:ind w:left="0" w:right="1"/>
        <w:jc w:val="both"/>
        <w:rPr>
          <w:sz w:val="20"/>
          <w:szCs w:val="20"/>
        </w:rPr>
      </w:pPr>
      <w:r w:rsidRPr="00604C75">
        <w:rPr>
          <w:sz w:val="20"/>
          <w:szCs w:val="20"/>
        </w:rPr>
        <w:t>There are no pledges, mortgages or other restrictions on the tangible fixed assets.</w:t>
      </w:r>
    </w:p>
    <w:p w14:paraId="69C60CAE" w14:textId="43E6A90F" w:rsidR="00AE19A5" w:rsidRPr="00604C75" w:rsidRDefault="00274D4B" w:rsidP="008477F3">
      <w:pPr>
        <w:pStyle w:val="ListParagraph"/>
        <w:widowControl w:val="0"/>
        <w:numPr>
          <w:ilvl w:val="0"/>
          <w:numId w:val="45"/>
        </w:numPr>
        <w:spacing w:before="120"/>
        <w:ind w:left="0" w:firstLine="0"/>
        <w:jc w:val="both"/>
        <w:rPr>
          <w:b/>
          <w:noProof/>
          <w:sz w:val="20"/>
          <w:szCs w:val="20"/>
          <w:lang w:val="tr-TR"/>
        </w:rPr>
      </w:pPr>
      <w:r w:rsidRPr="00604C75">
        <w:rPr>
          <w:b/>
          <w:noProof/>
          <w:sz w:val="20"/>
          <w:szCs w:val="20"/>
          <w:lang w:val="tr-TR"/>
        </w:rPr>
        <w:t>Leasing Transactions</w:t>
      </w:r>
      <w:r w:rsidRPr="00604C75" w:rsidDel="00274D4B">
        <w:rPr>
          <w:b/>
          <w:noProof/>
          <w:sz w:val="20"/>
          <w:szCs w:val="20"/>
          <w:lang w:val="tr-TR"/>
        </w:rPr>
        <w:t xml:space="preserve"> </w:t>
      </w:r>
    </w:p>
    <w:p w14:paraId="48B3EEC1" w14:textId="77777777" w:rsidR="00054829" w:rsidRPr="00604C75" w:rsidRDefault="00054829" w:rsidP="00490153">
      <w:pPr>
        <w:spacing w:before="120"/>
        <w:jc w:val="both"/>
        <w:rPr>
          <w:b/>
          <w:bCs/>
          <w:sz w:val="20"/>
          <w:szCs w:val="20"/>
        </w:rPr>
      </w:pPr>
      <w:r w:rsidRPr="00604C75">
        <w:rPr>
          <w:b/>
          <w:bCs/>
          <w:sz w:val="20"/>
          <w:szCs w:val="20"/>
        </w:rPr>
        <w:t>Finance leasing activities as the lessee</w:t>
      </w:r>
    </w:p>
    <w:p w14:paraId="2AA070ED" w14:textId="0D4D3FAF" w:rsidR="009F3EAD" w:rsidRPr="00604C75" w:rsidRDefault="0021074F" w:rsidP="00490153">
      <w:pPr>
        <w:spacing w:before="120"/>
        <w:jc w:val="both"/>
        <w:rPr>
          <w:sz w:val="20"/>
          <w:szCs w:val="20"/>
        </w:rPr>
      </w:pPr>
      <w:r w:rsidRPr="004722A4">
        <w:rPr>
          <w:sz w:val="20"/>
          <w:szCs w:val="20"/>
        </w:rPr>
        <w:t>Tangible assets acquired through finance leasing are recognized in tangible assets and the obligations under finance leases arising from the lease contracts are presented under ‘Finance Lease Payables’ account in the financial statements.</w:t>
      </w:r>
      <w:r w:rsidR="00745C5E">
        <w:rPr>
          <w:sz w:val="20"/>
          <w:szCs w:val="20"/>
        </w:rPr>
        <w:t xml:space="preserve"> </w:t>
      </w:r>
      <w:r w:rsidRPr="004722A4">
        <w:rPr>
          <w:sz w:val="20"/>
          <w:szCs w:val="20"/>
        </w:rPr>
        <w:t xml:space="preserve">In the determination of the related asset and liability </w:t>
      </w:r>
      <w:proofErr w:type="spellStart"/>
      <w:r w:rsidRPr="004722A4">
        <w:rPr>
          <w:sz w:val="20"/>
          <w:szCs w:val="20"/>
        </w:rPr>
        <w:t>amounts</w:t>
      </w:r>
      <w:proofErr w:type="gramStart"/>
      <w:r w:rsidRPr="004722A4">
        <w:rPr>
          <w:sz w:val="20"/>
          <w:szCs w:val="20"/>
        </w:rPr>
        <w:t>,the</w:t>
      </w:r>
      <w:proofErr w:type="spellEnd"/>
      <w:proofErr w:type="gramEnd"/>
      <w:r w:rsidRPr="004722A4">
        <w:rPr>
          <w:sz w:val="20"/>
          <w:szCs w:val="20"/>
        </w:rPr>
        <w:t xml:space="preserve"> lower of the fair value of the leased asset and the present value of leasing payments is considered.</w:t>
      </w:r>
      <w:r w:rsidR="009B56DF">
        <w:rPr>
          <w:sz w:val="20"/>
          <w:szCs w:val="20"/>
        </w:rPr>
        <w:t xml:space="preserve"> </w:t>
      </w:r>
      <w:r w:rsidRPr="004722A4">
        <w:rPr>
          <w:sz w:val="20"/>
          <w:szCs w:val="20"/>
        </w:rPr>
        <w:t>Financial costs on leasing agreements are expanded in lease periods at a fixed interest rate. If there is impairment in the value of the assets obtained through finance lease and in the expected future benefits, the leased assets are valued with net realizable value.</w:t>
      </w:r>
      <w:r w:rsidR="009B56DF">
        <w:rPr>
          <w:sz w:val="20"/>
          <w:szCs w:val="20"/>
        </w:rPr>
        <w:t xml:space="preserve"> </w:t>
      </w:r>
      <w:r w:rsidRPr="004722A4">
        <w:rPr>
          <w:sz w:val="20"/>
          <w:szCs w:val="20"/>
        </w:rPr>
        <w:t>Depreciation for assets obtained through finance lease is calculated in the same manner as tangible assets.</w:t>
      </w:r>
      <w:r w:rsidRPr="0021074F">
        <w:rPr>
          <w:sz w:val="20"/>
          <w:szCs w:val="20"/>
        </w:rPr>
        <w:t xml:space="preserve">  </w:t>
      </w:r>
    </w:p>
    <w:p w14:paraId="224CF7FA" w14:textId="77777777" w:rsidR="009F3EAD" w:rsidRPr="00604C75" w:rsidRDefault="004C6D70" w:rsidP="00490153">
      <w:pPr>
        <w:spacing w:before="120"/>
        <w:jc w:val="both"/>
        <w:rPr>
          <w:b/>
          <w:bCs/>
          <w:sz w:val="20"/>
          <w:szCs w:val="20"/>
        </w:rPr>
      </w:pPr>
      <w:r w:rsidRPr="00604C75">
        <w:rPr>
          <w:b/>
          <w:bCs/>
          <w:sz w:val="20"/>
          <w:szCs w:val="20"/>
        </w:rPr>
        <w:t>Finance leasing activities as the lessor</w:t>
      </w:r>
    </w:p>
    <w:p w14:paraId="7A646E9D" w14:textId="77777777" w:rsidR="009F3EAD" w:rsidRPr="00604C75" w:rsidRDefault="004C6D70" w:rsidP="00490153">
      <w:pPr>
        <w:spacing w:before="120"/>
        <w:jc w:val="both"/>
        <w:rPr>
          <w:sz w:val="20"/>
          <w:szCs w:val="20"/>
        </w:rPr>
      </w:pPr>
      <w:r w:rsidRPr="00604C75">
        <w:rPr>
          <w:sz w:val="20"/>
          <w:szCs w:val="20"/>
        </w:rPr>
        <w:t xml:space="preserve">The </w:t>
      </w:r>
      <w:r w:rsidR="005819D8" w:rsidRPr="00604C75">
        <w:rPr>
          <w:sz w:val="20"/>
          <w:szCs w:val="20"/>
        </w:rPr>
        <w:t xml:space="preserve">total of minimum </w:t>
      </w:r>
      <w:r w:rsidRPr="00604C75">
        <w:rPr>
          <w:sz w:val="20"/>
          <w:szCs w:val="20"/>
        </w:rPr>
        <w:t>rent amounts are recorded at “finance lease receivables” account in gross amounts comprising the principal amounts and interests. The interest, the difference between the total of rent amounts and the cost of the fixed assets, is recorded at “unearned income” account. As the rents are collected, “finance lease receivables” account is decreased by the rent amount; and the interest component is recorded at consolidated income statement as interest income.</w:t>
      </w:r>
    </w:p>
    <w:p w14:paraId="2F9E4B23" w14:textId="77777777" w:rsidR="009F3EAD" w:rsidRPr="00604C75" w:rsidRDefault="00CA1B8E" w:rsidP="00490153">
      <w:pPr>
        <w:spacing w:before="120"/>
        <w:jc w:val="both"/>
        <w:rPr>
          <w:b/>
          <w:sz w:val="20"/>
          <w:szCs w:val="20"/>
        </w:rPr>
      </w:pPr>
      <w:r w:rsidRPr="00604C75">
        <w:rPr>
          <w:b/>
          <w:sz w:val="20"/>
          <w:szCs w:val="20"/>
        </w:rPr>
        <w:t>Operating lease transactions</w:t>
      </w:r>
    </w:p>
    <w:p w14:paraId="55687A35" w14:textId="77777777" w:rsidR="000E13D4" w:rsidRPr="00604C75" w:rsidRDefault="004C6D70" w:rsidP="00490153">
      <w:pPr>
        <w:spacing w:before="120"/>
        <w:jc w:val="both"/>
        <w:rPr>
          <w:sz w:val="20"/>
          <w:szCs w:val="20"/>
        </w:rPr>
      </w:pPr>
      <w:r w:rsidRPr="00604C75">
        <w:rPr>
          <w:sz w:val="20"/>
          <w:szCs w:val="20"/>
        </w:rPr>
        <w:t>Transactions regarding operational lease agreements are accounted on an accrual basis in accordance with the terms of the related contracts.</w:t>
      </w:r>
    </w:p>
    <w:p w14:paraId="24251A66" w14:textId="77777777" w:rsidR="006462D7" w:rsidRPr="00604C75" w:rsidRDefault="006462D7" w:rsidP="00F42EAD">
      <w:pPr>
        <w:jc w:val="both"/>
        <w:rPr>
          <w:sz w:val="20"/>
          <w:szCs w:val="20"/>
        </w:rPr>
      </w:pPr>
    </w:p>
    <w:p w14:paraId="3E72780C" w14:textId="77777777" w:rsidR="00397E12" w:rsidRPr="00604C75" w:rsidRDefault="00397E12" w:rsidP="009F3EAD">
      <w:pPr>
        <w:ind w:left="851"/>
        <w:jc w:val="both"/>
        <w:rPr>
          <w:sz w:val="20"/>
          <w:szCs w:val="20"/>
        </w:rPr>
      </w:pPr>
    </w:p>
    <w:p w14:paraId="487438A7" w14:textId="77777777" w:rsidR="00397E12" w:rsidRPr="00604C75" w:rsidRDefault="00397E12" w:rsidP="009F3EAD">
      <w:pPr>
        <w:ind w:left="851"/>
        <w:jc w:val="both"/>
        <w:rPr>
          <w:sz w:val="20"/>
          <w:szCs w:val="20"/>
        </w:rPr>
      </w:pPr>
    </w:p>
    <w:p w14:paraId="2DAE45C5" w14:textId="77777777" w:rsidR="00397E12" w:rsidRPr="00604C75" w:rsidRDefault="00397E12" w:rsidP="009F3EAD">
      <w:pPr>
        <w:ind w:left="851"/>
        <w:jc w:val="both"/>
        <w:rPr>
          <w:sz w:val="20"/>
          <w:szCs w:val="20"/>
        </w:rPr>
      </w:pPr>
    </w:p>
    <w:p w14:paraId="11B76E03" w14:textId="77777777" w:rsidR="00397E12" w:rsidRPr="00604C75" w:rsidRDefault="00397E12" w:rsidP="009F3EAD">
      <w:pPr>
        <w:ind w:left="851"/>
        <w:jc w:val="both"/>
        <w:rPr>
          <w:sz w:val="20"/>
          <w:szCs w:val="20"/>
        </w:rPr>
      </w:pPr>
    </w:p>
    <w:p w14:paraId="45041B97" w14:textId="77777777" w:rsidR="00175359" w:rsidRPr="00604C75" w:rsidRDefault="00175359" w:rsidP="009F3EAD">
      <w:pPr>
        <w:ind w:left="851"/>
        <w:jc w:val="both"/>
        <w:rPr>
          <w:sz w:val="20"/>
          <w:szCs w:val="20"/>
        </w:rPr>
      </w:pPr>
    </w:p>
    <w:p w14:paraId="49A35A07" w14:textId="77777777" w:rsidR="00175359" w:rsidRPr="00604C75" w:rsidRDefault="00175359" w:rsidP="009F3EAD">
      <w:pPr>
        <w:ind w:left="851"/>
        <w:jc w:val="both"/>
        <w:rPr>
          <w:sz w:val="20"/>
          <w:szCs w:val="20"/>
        </w:rPr>
      </w:pPr>
    </w:p>
    <w:p w14:paraId="1AC1A725" w14:textId="77777777" w:rsidR="00397E12" w:rsidRPr="00604C75" w:rsidRDefault="00397E12" w:rsidP="009F3EAD">
      <w:pPr>
        <w:ind w:left="851"/>
        <w:jc w:val="both"/>
        <w:rPr>
          <w:sz w:val="20"/>
          <w:szCs w:val="20"/>
        </w:rPr>
      </w:pPr>
    </w:p>
    <w:p w14:paraId="1235FFCD" w14:textId="77777777" w:rsidR="00397E12" w:rsidRPr="00604C75" w:rsidRDefault="00397E12" w:rsidP="009F3EAD">
      <w:pPr>
        <w:ind w:left="851"/>
        <w:jc w:val="both"/>
        <w:rPr>
          <w:sz w:val="20"/>
          <w:szCs w:val="20"/>
        </w:rPr>
      </w:pPr>
    </w:p>
    <w:p w14:paraId="3CA30848" w14:textId="77777777" w:rsidR="00397E12" w:rsidRPr="00604C75" w:rsidRDefault="00397E12" w:rsidP="00490153">
      <w:pPr>
        <w:pStyle w:val="BodyText"/>
        <w:pageBreakBefore/>
        <w:widowControl w:val="0"/>
        <w:tabs>
          <w:tab w:val="clear" w:pos="0"/>
          <w:tab w:val="clear" w:pos="567"/>
          <w:tab w:val="clear" w:pos="720"/>
        </w:tabs>
        <w:spacing w:before="120"/>
        <w:rPr>
          <w:b/>
          <w:color w:val="auto"/>
          <w:sz w:val="20"/>
        </w:rPr>
      </w:pPr>
      <w:r w:rsidRPr="00604C75">
        <w:rPr>
          <w:b/>
          <w:color w:val="auto"/>
          <w:sz w:val="20"/>
        </w:rPr>
        <w:lastRenderedPageBreak/>
        <w:t>EXPLANATIONS ON ACCOUNTING POLICIES (Continued)</w:t>
      </w:r>
    </w:p>
    <w:p w14:paraId="63B6E065" w14:textId="02F0869C" w:rsidR="00AE19A5" w:rsidRPr="00604C75" w:rsidRDefault="006D339F" w:rsidP="00490153">
      <w:pPr>
        <w:spacing w:before="120"/>
        <w:jc w:val="both"/>
        <w:rPr>
          <w:b/>
          <w:noProof/>
          <w:sz w:val="20"/>
          <w:szCs w:val="20"/>
          <w:lang w:val="tr-TR"/>
        </w:rPr>
      </w:pPr>
      <w:r w:rsidRPr="00604C75">
        <w:rPr>
          <w:b/>
          <w:noProof/>
          <w:sz w:val="20"/>
          <w:szCs w:val="20"/>
          <w:lang w:val="tr-TR"/>
        </w:rPr>
        <w:t xml:space="preserve">XV.      </w:t>
      </w:r>
      <w:r w:rsidR="00AE19A5" w:rsidRPr="00604C75">
        <w:rPr>
          <w:b/>
          <w:noProof/>
          <w:sz w:val="20"/>
          <w:szCs w:val="20"/>
          <w:lang w:val="tr-TR"/>
        </w:rPr>
        <w:t>P</w:t>
      </w:r>
      <w:r w:rsidR="00274D4B" w:rsidRPr="00604C75">
        <w:rPr>
          <w:b/>
          <w:noProof/>
          <w:sz w:val="20"/>
          <w:szCs w:val="20"/>
          <w:lang w:val="tr-TR"/>
        </w:rPr>
        <w:t>rovisions</w:t>
      </w:r>
      <w:r w:rsidR="00113FA2" w:rsidRPr="00604C75">
        <w:rPr>
          <w:b/>
          <w:noProof/>
          <w:sz w:val="20"/>
          <w:szCs w:val="20"/>
          <w:lang w:val="tr-TR"/>
        </w:rPr>
        <w:t>,</w:t>
      </w:r>
      <w:r w:rsidR="00AE19A5" w:rsidRPr="00604C75">
        <w:rPr>
          <w:b/>
          <w:noProof/>
          <w:sz w:val="20"/>
          <w:szCs w:val="20"/>
          <w:lang w:val="tr-TR"/>
        </w:rPr>
        <w:t xml:space="preserve"> </w:t>
      </w:r>
      <w:r w:rsidR="00274D4B" w:rsidRPr="00604C75">
        <w:rPr>
          <w:b/>
          <w:noProof/>
          <w:sz w:val="20"/>
          <w:szCs w:val="20"/>
          <w:lang w:val="tr-TR"/>
        </w:rPr>
        <w:t xml:space="preserve">Contingent Asset and </w:t>
      </w:r>
      <w:r w:rsidR="009C2005" w:rsidRPr="00604C75">
        <w:rPr>
          <w:b/>
          <w:noProof/>
          <w:sz w:val="20"/>
          <w:szCs w:val="20"/>
          <w:lang w:val="tr-TR"/>
        </w:rPr>
        <w:t>L</w:t>
      </w:r>
      <w:r w:rsidR="00274D4B" w:rsidRPr="00604C75">
        <w:rPr>
          <w:b/>
          <w:noProof/>
          <w:sz w:val="20"/>
          <w:szCs w:val="20"/>
          <w:lang w:val="tr-TR"/>
        </w:rPr>
        <w:t>iabilities</w:t>
      </w:r>
    </w:p>
    <w:p w14:paraId="0E6C683F" w14:textId="77777777" w:rsidR="00FF2349" w:rsidRPr="00604C75" w:rsidRDefault="00FF2349" w:rsidP="00490153">
      <w:pPr>
        <w:pStyle w:val="BodyText"/>
        <w:widowControl w:val="0"/>
        <w:tabs>
          <w:tab w:val="clear" w:pos="0"/>
          <w:tab w:val="clear" w:pos="567"/>
          <w:tab w:val="clear" w:pos="720"/>
        </w:tabs>
        <w:spacing w:before="120"/>
        <w:rPr>
          <w:noProof/>
          <w:color w:val="auto"/>
          <w:sz w:val="20"/>
          <w:lang w:val="tr-TR"/>
        </w:rPr>
      </w:pPr>
      <w:r w:rsidRPr="00604C75">
        <w:rPr>
          <w:noProof/>
          <w:color w:val="auto"/>
          <w:sz w:val="20"/>
          <w:lang w:val="tr-TR"/>
        </w:rPr>
        <w:t>Provisions and contingent liabilities except for the specific and general provisions recognized for loans and other receivables are accounted in accordance with the “Turkish Accounting Standard for Provisions, Contingent Liabilities and Contingent Assets” ( TAS 37 ).</w:t>
      </w:r>
    </w:p>
    <w:p w14:paraId="31F2DFF9" w14:textId="540567E8" w:rsidR="00FF2349" w:rsidRPr="00604C75" w:rsidRDefault="00FF2349" w:rsidP="00490153">
      <w:pPr>
        <w:pStyle w:val="BodyText"/>
        <w:widowControl w:val="0"/>
        <w:tabs>
          <w:tab w:val="clear" w:pos="0"/>
          <w:tab w:val="clear" w:pos="567"/>
          <w:tab w:val="clear" w:pos="720"/>
        </w:tabs>
        <w:spacing w:before="120"/>
        <w:rPr>
          <w:noProof/>
          <w:color w:val="auto"/>
          <w:sz w:val="20"/>
          <w:lang w:val="tr-TR"/>
        </w:rPr>
      </w:pPr>
      <w:r w:rsidRPr="00604C75">
        <w:rPr>
          <w:noProof/>
          <w:color w:val="auto"/>
          <w:sz w:val="20"/>
          <w:lang w:val="tr-TR"/>
        </w:rPr>
        <w:t>Provisions are recognized when the</w:t>
      </w:r>
      <w:r w:rsidR="002C3B01">
        <w:rPr>
          <w:noProof/>
          <w:color w:val="auto"/>
          <w:sz w:val="20"/>
          <w:lang w:val="tr-TR"/>
        </w:rPr>
        <w:t xml:space="preserve"> Parent</w:t>
      </w:r>
      <w:r w:rsidRPr="00604C75">
        <w:rPr>
          <w:noProof/>
          <w:color w:val="auto"/>
          <w:sz w:val="20"/>
          <w:lang w:val="tr-TR"/>
        </w:rPr>
        <w:t xml:space="preserve"> Bank has a present legal or constructive obligation as a result of past events, it is probable that an outflow of resources embodying economic benefits will be required to settle the obligation, and a reliable estimate of the amount of the obligation can be made. </w:t>
      </w:r>
      <w:r w:rsidR="009A0076" w:rsidRPr="00604C75">
        <w:rPr>
          <w:noProof/>
          <w:color w:val="auto"/>
          <w:sz w:val="20"/>
          <w:lang w:val="tr-TR"/>
        </w:rPr>
        <w:t>Provisions are determined by using the</w:t>
      </w:r>
      <w:r w:rsidR="002C3B01">
        <w:rPr>
          <w:noProof/>
          <w:color w:val="auto"/>
          <w:sz w:val="20"/>
          <w:lang w:val="tr-TR"/>
        </w:rPr>
        <w:t xml:space="preserve"> Parent</w:t>
      </w:r>
      <w:r w:rsidR="009A0076" w:rsidRPr="00604C75">
        <w:rPr>
          <w:noProof/>
          <w:color w:val="auto"/>
          <w:sz w:val="20"/>
          <w:lang w:val="tr-TR"/>
        </w:rPr>
        <w:t xml:space="preserve"> Bank Management' s best expectation of expenses in fulfilling the obligation, and discounted to present value if material.</w:t>
      </w:r>
      <w:r w:rsidRPr="00604C75">
        <w:rPr>
          <w:noProof/>
          <w:color w:val="auto"/>
          <w:sz w:val="20"/>
          <w:lang w:val="tr-TR"/>
        </w:rPr>
        <w:t xml:space="preserve"> When the amount of the obligation cannot be estimated and there is no possibility of an outflow of resources from the </w:t>
      </w:r>
      <w:r w:rsidR="002C3B01">
        <w:rPr>
          <w:noProof/>
          <w:color w:val="auto"/>
          <w:sz w:val="20"/>
          <w:lang w:val="tr-TR"/>
        </w:rPr>
        <w:t xml:space="preserve">Parent </w:t>
      </w:r>
      <w:r w:rsidRPr="00604C75">
        <w:rPr>
          <w:noProof/>
          <w:color w:val="auto"/>
          <w:sz w:val="20"/>
          <w:lang w:val="tr-TR"/>
        </w:rPr>
        <w:t>Bank, it is considered that a “Contingent” liability exists and it is disclosed in the related notes to the financial statements.</w:t>
      </w:r>
    </w:p>
    <w:p w14:paraId="5301AF63" w14:textId="6068C033" w:rsidR="00AE19A5" w:rsidRPr="00604C75" w:rsidRDefault="005330E1" w:rsidP="00490153">
      <w:pPr>
        <w:widowControl w:val="0"/>
        <w:spacing w:before="120"/>
        <w:jc w:val="both"/>
        <w:rPr>
          <w:b/>
          <w:noProof/>
          <w:sz w:val="20"/>
          <w:szCs w:val="20"/>
          <w:lang w:val="tr-TR"/>
        </w:rPr>
      </w:pPr>
      <w:r w:rsidRPr="00604C75">
        <w:rPr>
          <w:b/>
          <w:noProof/>
          <w:sz w:val="20"/>
          <w:szCs w:val="20"/>
          <w:lang w:val="tr-TR"/>
        </w:rPr>
        <w:t xml:space="preserve"> </w:t>
      </w:r>
      <w:r w:rsidR="00DD1B7F" w:rsidRPr="00604C75">
        <w:rPr>
          <w:b/>
          <w:noProof/>
          <w:sz w:val="20"/>
          <w:szCs w:val="20"/>
          <w:lang w:val="tr-TR"/>
        </w:rPr>
        <w:t xml:space="preserve">XVI.    </w:t>
      </w:r>
      <w:r w:rsidR="00274D4B" w:rsidRPr="00604C75">
        <w:rPr>
          <w:b/>
          <w:noProof/>
          <w:sz w:val="20"/>
          <w:szCs w:val="20"/>
          <w:lang w:val="tr-TR"/>
        </w:rPr>
        <w:t>Obligations Related To Employee Rights</w:t>
      </w:r>
    </w:p>
    <w:p w14:paraId="0E884A2E" w14:textId="77777777" w:rsidR="00A10E16" w:rsidRPr="00604C75" w:rsidRDefault="00A10E16" w:rsidP="00490153">
      <w:pPr>
        <w:pStyle w:val="BodyText"/>
        <w:widowControl w:val="0"/>
        <w:tabs>
          <w:tab w:val="clear" w:pos="0"/>
          <w:tab w:val="clear" w:pos="567"/>
          <w:tab w:val="clear" w:pos="720"/>
        </w:tabs>
        <w:spacing w:before="120"/>
        <w:rPr>
          <w:color w:val="auto"/>
          <w:sz w:val="20"/>
        </w:rPr>
      </w:pPr>
      <w:r w:rsidRPr="00604C75">
        <w:rPr>
          <w:color w:val="auto"/>
          <w:sz w:val="20"/>
        </w:rPr>
        <w:t>Obligations related to employee termination and vacation rights are accounted in accordance with “Turkish Accounting Standard for Employee Rights” (“TAS 19”). Under the Turkish Labor Law, the Bank is required to pay a specific amount to the employees who have retired or whose employment is terminated other than for the reasons specified in the Turkish Labor Law. The reserve for employment termination benefits represents the present value of the estimated total reserve for the future probable obligation arising from this liability.</w:t>
      </w:r>
      <w:r w:rsidR="002A41E8" w:rsidRPr="00604C75">
        <w:rPr>
          <w:noProof/>
          <w:sz w:val="20"/>
          <w:lang w:val="tr-TR"/>
        </w:rPr>
        <w:t xml:space="preserve"> </w:t>
      </w:r>
      <w:r w:rsidR="002A41E8" w:rsidRPr="00604C75">
        <w:rPr>
          <w:color w:val="auto"/>
          <w:sz w:val="20"/>
        </w:rPr>
        <w:t>Actuarial gains and losses are accounted for under equity.</w:t>
      </w:r>
    </w:p>
    <w:p w14:paraId="1829E352" w14:textId="2DA240D8" w:rsidR="005258DE" w:rsidRPr="00604C75" w:rsidRDefault="005258DE" w:rsidP="00490153">
      <w:pPr>
        <w:widowControl w:val="0"/>
        <w:spacing w:before="120"/>
        <w:jc w:val="both"/>
        <w:rPr>
          <w:b/>
          <w:noProof/>
          <w:sz w:val="20"/>
          <w:szCs w:val="20"/>
          <w:lang w:val="tr-TR"/>
        </w:rPr>
      </w:pPr>
      <w:r w:rsidRPr="00604C75">
        <w:rPr>
          <w:b/>
          <w:noProof/>
          <w:sz w:val="20"/>
          <w:szCs w:val="20"/>
          <w:lang w:val="tr-TR"/>
        </w:rPr>
        <w:t xml:space="preserve">XVII.    Taxation </w:t>
      </w:r>
    </w:p>
    <w:p w14:paraId="6DC568C2" w14:textId="77777777" w:rsidR="005258DE" w:rsidRPr="00604C75" w:rsidRDefault="005258DE" w:rsidP="00490153">
      <w:pPr>
        <w:pStyle w:val="BodyText3"/>
        <w:widowControl w:val="0"/>
        <w:numPr>
          <w:ilvl w:val="0"/>
          <w:numId w:val="8"/>
        </w:numPr>
        <w:tabs>
          <w:tab w:val="clear" w:pos="539"/>
          <w:tab w:val="clear" w:pos="1620"/>
          <w:tab w:val="clear" w:pos="5310"/>
          <w:tab w:val="clear" w:pos="7560"/>
          <w:tab w:val="left" w:pos="0"/>
        </w:tabs>
        <w:spacing w:before="120"/>
        <w:ind w:left="0" w:firstLine="0"/>
        <w:jc w:val="both"/>
        <w:rPr>
          <w:b/>
          <w:bCs w:val="0"/>
          <w:i w:val="0"/>
          <w:iCs w:val="0"/>
          <w:noProof/>
          <w:sz w:val="20"/>
          <w:lang w:val="tr-TR"/>
        </w:rPr>
      </w:pPr>
      <w:r w:rsidRPr="00604C75">
        <w:rPr>
          <w:b/>
          <w:bCs w:val="0"/>
          <w:i w:val="0"/>
          <w:iCs w:val="0"/>
          <w:noProof/>
          <w:sz w:val="20"/>
          <w:lang w:val="tr-TR"/>
        </w:rPr>
        <w:t>Current tax</w:t>
      </w:r>
    </w:p>
    <w:p w14:paraId="3A5E5F83" w14:textId="77777777" w:rsidR="005258DE" w:rsidRPr="00604C75" w:rsidRDefault="005258DE" w:rsidP="00490153">
      <w:pPr>
        <w:pStyle w:val="BodyText"/>
        <w:widowControl w:val="0"/>
        <w:tabs>
          <w:tab w:val="clear" w:pos="567"/>
          <w:tab w:val="clear" w:pos="720"/>
        </w:tabs>
        <w:spacing w:before="120"/>
        <w:rPr>
          <w:noProof/>
          <w:color w:val="auto"/>
          <w:sz w:val="20"/>
          <w:lang w:val="tr-TR"/>
        </w:rPr>
      </w:pPr>
      <w:r w:rsidRPr="00604C75">
        <w:rPr>
          <w:noProof/>
          <w:color w:val="auto"/>
          <w:sz w:val="20"/>
          <w:lang w:val="tr-TR"/>
        </w:rPr>
        <w:t>Corporate Tax Law No. 5520 became effective after being published in the Official Gazette dated 21 June 2006 No. 26205. According to the Tax Law, the corporate tax rate in Turkey is payable at the rate of 20% . The corporate tax rate is calculated on the total income after adjusting for certain disallowable expenses, exempt income and other allowances. No further tax is payable unless the profit is distributed.</w:t>
      </w:r>
    </w:p>
    <w:p w14:paraId="29423551" w14:textId="77777777" w:rsidR="005258DE" w:rsidRPr="00604C75" w:rsidRDefault="005258DE" w:rsidP="00490153">
      <w:pPr>
        <w:pStyle w:val="BodyText"/>
        <w:widowControl w:val="0"/>
        <w:tabs>
          <w:tab w:val="clear" w:pos="567"/>
          <w:tab w:val="clear" w:pos="720"/>
        </w:tabs>
        <w:spacing w:before="120"/>
        <w:rPr>
          <w:noProof/>
          <w:color w:val="auto"/>
          <w:sz w:val="20"/>
          <w:lang w:val="tr-TR"/>
        </w:rPr>
      </w:pPr>
      <w:r w:rsidRPr="00604C75">
        <w:rPr>
          <w:noProof/>
          <w:color w:val="auto"/>
          <w:sz w:val="20"/>
          <w:lang w:val="tr-TR"/>
        </w:rPr>
        <w:t>Dividends paid to non-resident corporations, which have a place of business in Turkey or to resident corporations are not subject to withholding tax. Otherwise, dividends paid are subject to withholding tax at the rate of 15%. An increase in capital via issuing bonus shares is not considered as profit distribution and thus does not incur withholding tax.</w:t>
      </w:r>
    </w:p>
    <w:p w14:paraId="764C111C" w14:textId="77777777" w:rsidR="005258DE" w:rsidRPr="00604C75" w:rsidRDefault="005258DE" w:rsidP="00490153">
      <w:pPr>
        <w:pStyle w:val="BodyText"/>
        <w:widowControl w:val="0"/>
        <w:tabs>
          <w:tab w:val="clear" w:pos="567"/>
          <w:tab w:val="clear" w:pos="720"/>
        </w:tabs>
        <w:spacing w:before="120"/>
        <w:rPr>
          <w:noProof/>
          <w:color w:val="auto"/>
          <w:sz w:val="20"/>
          <w:lang w:val="tr-TR"/>
        </w:rPr>
      </w:pPr>
      <w:r w:rsidRPr="00604C75">
        <w:rPr>
          <w:noProof/>
          <w:color w:val="auto"/>
          <w:sz w:val="20"/>
          <w:lang w:val="tr-TR"/>
        </w:rPr>
        <w:t>Corporations are required to pay advance corporate tax quarterly at a rate of 20% on their corporate income. Advance tax is declared by the 15th and paid by the 17th day of the second month following each calendar quarter end. Advance tax paid by corporations which is for the current period is credited against the annual corporation tax calculated on their annual corporate income in the following year. Despite the offset, if there is temporary prepaid tax remaining, this balance can be refunded or used to offset any other financial liabilities to the government.</w:t>
      </w:r>
    </w:p>
    <w:p w14:paraId="360FC301" w14:textId="77777777" w:rsidR="005258DE" w:rsidRPr="00604C75" w:rsidRDefault="005258DE" w:rsidP="00490153">
      <w:pPr>
        <w:pStyle w:val="BodyText"/>
        <w:widowControl w:val="0"/>
        <w:tabs>
          <w:tab w:val="clear" w:pos="567"/>
          <w:tab w:val="clear" w:pos="720"/>
        </w:tabs>
        <w:spacing w:before="120"/>
        <w:rPr>
          <w:noProof/>
          <w:color w:val="auto"/>
          <w:sz w:val="20"/>
          <w:lang w:val="tr-TR"/>
        </w:rPr>
      </w:pPr>
      <w:r w:rsidRPr="00604C75">
        <w:rPr>
          <w:noProof/>
          <w:color w:val="auto"/>
          <w:sz w:val="20"/>
          <w:lang w:val="tr-TR"/>
        </w:rPr>
        <w:t>A 75% portion of the capital gains derived from the sale of equity investments and immovable properties held for at least two years is tax exempt, if such gains are added to paid-in capital or held in a special account under shareholder’s equity for five years.</w:t>
      </w:r>
    </w:p>
    <w:p w14:paraId="6CF9F085" w14:textId="77777777" w:rsidR="005258DE" w:rsidRPr="00604C75" w:rsidRDefault="005258DE" w:rsidP="00490153">
      <w:pPr>
        <w:pStyle w:val="BodyText"/>
        <w:widowControl w:val="0"/>
        <w:tabs>
          <w:tab w:val="clear" w:pos="567"/>
          <w:tab w:val="clear" w:pos="720"/>
        </w:tabs>
        <w:spacing w:before="120"/>
        <w:rPr>
          <w:noProof/>
          <w:color w:val="auto"/>
          <w:sz w:val="20"/>
          <w:lang w:val="tr-TR"/>
        </w:rPr>
      </w:pPr>
      <w:r w:rsidRPr="00604C75">
        <w:rPr>
          <w:noProof/>
          <w:color w:val="auto"/>
          <w:sz w:val="20"/>
          <w:lang w:val="tr-TR"/>
        </w:rPr>
        <w:t>Under the Turkish Corporate Tax Law, losses can be carried forward to offset against future taxable income for up to five years. Losses cannot be carried back to offset profits from previous periods.</w:t>
      </w:r>
    </w:p>
    <w:p w14:paraId="7E3D987A" w14:textId="77777777" w:rsidR="005258DE" w:rsidRPr="00604C75" w:rsidRDefault="005258DE" w:rsidP="00490153">
      <w:pPr>
        <w:pStyle w:val="BodyText"/>
        <w:widowControl w:val="0"/>
        <w:tabs>
          <w:tab w:val="clear" w:pos="0"/>
          <w:tab w:val="clear" w:pos="567"/>
          <w:tab w:val="clear" w:pos="720"/>
        </w:tabs>
        <w:spacing w:before="120"/>
        <w:rPr>
          <w:color w:val="auto"/>
          <w:sz w:val="20"/>
        </w:rPr>
      </w:pPr>
      <w:r w:rsidRPr="00604C75">
        <w:rPr>
          <w:noProof/>
          <w:color w:val="auto"/>
          <w:sz w:val="20"/>
          <w:lang w:val="tr-TR"/>
        </w:rPr>
        <w:t>Tax returns are required to be filled and delivered to the related tax office until the evening of the 25th of the fourth month following the balance sheet date. Tax returns are open for five years from the beginning of the year following the date of filing during which period the tax authorities have the right to audit tax returns, and the related accounting records on which they are based, and may issue re-assessments based on their findings.</w:t>
      </w:r>
    </w:p>
    <w:p w14:paraId="1C0F8DF0" w14:textId="77777777" w:rsidR="00397E12" w:rsidRPr="00604C75" w:rsidRDefault="00397E12" w:rsidP="00F42EAD">
      <w:pPr>
        <w:pStyle w:val="BodyText"/>
        <w:widowControl w:val="0"/>
        <w:tabs>
          <w:tab w:val="clear" w:pos="0"/>
          <w:tab w:val="clear" w:pos="567"/>
          <w:tab w:val="clear" w:pos="720"/>
        </w:tabs>
        <w:rPr>
          <w:color w:val="auto"/>
          <w:sz w:val="20"/>
        </w:rPr>
      </w:pPr>
    </w:p>
    <w:p w14:paraId="1BC4EF5B" w14:textId="77777777" w:rsidR="00397E12" w:rsidRPr="00604C75" w:rsidRDefault="00397E12" w:rsidP="00A10E16">
      <w:pPr>
        <w:pStyle w:val="BodyText"/>
        <w:widowControl w:val="0"/>
        <w:tabs>
          <w:tab w:val="clear" w:pos="0"/>
          <w:tab w:val="clear" w:pos="567"/>
          <w:tab w:val="clear" w:pos="720"/>
        </w:tabs>
        <w:ind w:left="851"/>
        <w:rPr>
          <w:color w:val="auto"/>
          <w:sz w:val="20"/>
        </w:rPr>
      </w:pPr>
    </w:p>
    <w:p w14:paraId="02FE7335" w14:textId="77777777" w:rsidR="00490153" w:rsidRDefault="00490153">
      <w:pPr>
        <w:spacing w:after="200" w:line="276" w:lineRule="auto"/>
        <w:rPr>
          <w:b/>
          <w:sz w:val="20"/>
          <w:szCs w:val="20"/>
        </w:rPr>
      </w:pPr>
      <w:r>
        <w:rPr>
          <w:b/>
          <w:sz w:val="20"/>
          <w:szCs w:val="20"/>
        </w:rPr>
        <w:br w:type="page"/>
      </w:r>
    </w:p>
    <w:p w14:paraId="6D1F2E41" w14:textId="290369CC" w:rsidR="00397E12" w:rsidRPr="00604C75" w:rsidRDefault="00397E12" w:rsidP="00490153">
      <w:pPr>
        <w:pStyle w:val="BodyTextIndent"/>
        <w:widowControl w:val="0"/>
        <w:spacing w:before="120" w:after="0"/>
        <w:ind w:left="0"/>
        <w:jc w:val="both"/>
        <w:rPr>
          <w:b/>
          <w:sz w:val="20"/>
          <w:szCs w:val="20"/>
        </w:rPr>
      </w:pPr>
      <w:r w:rsidRPr="00604C75">
        <w:rPr>
          <w:b/>
          <w:sz w:val="20"/>
          <w:szCs w:val="20"/>
        </w:rPr>
        <w:lastRenderedPageBreak/>
        <w:t>EXPLANATIONS ON ACCOUNTING POLICIES (Continued)</w:t>
      </w:r>
    </w:p>
    <w:p w14:paraId="52815DA0" w14:textId="449E608E" w:rsidR="005258DE" w:rsidRPr="00604C75" w:rsidRDefault="005258DE" w:rsidP="00490153">
      <w:pPr>
        <w:widowControl w:val="0"/>
        <w:spacing w:before="120"/>
        <w:jc w:val="both"/>
        <w:rPr>
          <w:b/>
          <w:noProof/>
          <w:sz w:val="20"/>
          <w:szCs w:val="20"/>
          <w:lang w:val="tr-TR"/>
        </w:rPr>
      </w:pPr>
      <w:r w:rsidRPr="00604C75">
        <w:rPr>
          <w:b/>
          <w:noProof/>
          <w:sz w:val="20"/>
          <w:szCs w:val="20"/>
          <w:lang w:val="tr-TR"/>
        </w:rPr>
        <w:t xml:space="preserve">XVII.    Taxation </w:t>
      </w:r>
      <w:r w:rsidRPr="00604C75">
        <w:rPr>
          <w:b/>
          <w:sz w:val="20"/>
          <w:szCs w:val="20"/>
        </w:rPr>
        <w:t>(Continued)</w:t>
      </w:r>
    </w:p>
    <w:p w14:paraId="1DF6C0AF" w14:textId="77777777" w:rsidR="00AE19A5" w:rsidRPr="00604C75" w:rsidRDefault="00AE19A5" w:rsidP="00490153">
      <w:pPr>
        <w:pStyle w:val="BodyText3"/>
        <w:widowControl w:val="0"/>
        <w:numPr>
          <w:ilvl w:val="0"/>
          <w:numId w:val="8"/>
        </w:numPr>
        <w:tabs>
          <w:tab w:val="clear" w:pos="539"/>
          <w:tab w:val="clear" w:pos="1620"/>
          <w:tab w:val="clear" w:pos="5310"/>
          <w:tab w:val="clear" w:pos="7560"/>
          <w:tab w:val="left" w:pos="0"/>
        </w:tabs>
        <w:spacing w:before="120"/>
        <w:ind w:left="0" w:firstLine="0"/>
        <w:jc w:val="both"/>
        <w:rPr>
          <w:b/>
          <w:bCs w:val="0"/>
          <w:i w:val="0"/>
          <w:iCs w:val="0"/>
          <w:noProof/>
          <w:sz w:val="20"/>
          <w:lang w:val="tr-TR"/>
        </w:rPr>
      </w:pPr>
      <w:r w:rsidRPr="00604C75">
        <w:rPr>
          <w:b/>
          <w:bCs w:val="0"/>
          <w:i w:val="0"/>
          <w:iCs w:val="0"/>
          <w:noProof/>
          <w:sz w:val="20"/>
          <w:lang w:val="tr-TR"/>
        </w:rPr>
        <w:t>Deferred tax</w:t>
      </w:r>
    </w:p>
    <w:p w14:paraId="368687BA" w14:textId="77777777" w:rsidR="00886A1D" w:rsidRPr="00604C75" w:rsidRDefault="00886A1D" w:rsidP="00490153">
      <w:pPr>
        <w:pStyle w:val="BodyText"/>
        <w:widowControl w:val="0"/>
        <w:tabs>
          <w:tab w:val="clear" w:pos="567"/>
          <w:tab w:val="clear" w:pos="720"/>
        </w:tabs>
        <w:spacing w:before="120"/>
        <w:rPr>
          <w:b/>
          <w:sz w:val="20"/>
        </w:rPr>
      </w:pPr>
      <w:r w:rsidRPr="00604C75">
        <w:rPr>
          <w:noProof/>
          <w:color w:val="auto"/>
          <w:sz w:val="20"/>
          <w:lang w:val="tr-TR"/>
        </w:rPr>
        <w:t xml:space="preserve">The Group calculates and accounts for deferred income taxes for all temporary differences arising between the tax bases of assets and liabilities and their carrying amounts in these financial statements in accordance with “Turkish Accounting Standard for Income Taxes” (“TAS 12”) and the related decrees of the BRSA concerning income taxes. In the deferred tax calculation, the enacted tax rate, in accordance with the tax legislation, is used as of the balance sheet date. </w:t>
      </w:r>
    </w:p>
    <w:p w14:paraId="5B41C900" w14:textId="77777777" w:rsidR="00AE19A5" w:rsidRPr="00604C75" w:rsidRDefault="00886A1D" w:rsidP="00490153">
      <w:pPr>
        <w:pStyle w:val="BodyText3"/>
        <w:widowControl w:val="0"/>
        <w:tabs>
          <w:tab w:val="clear" w:pos="539"/>
          <w:tab w:val="clear" w:pos="5310"/>
          <w:tab w:val="clear" w:pos="7560"/>
          <w:tab w:val="left" w:pos="0"/>
        </w:tabs>
        <w:spacing w:before="120"/>
        <w:jc w:val="both"/>
      </w:pPr>
      <w:r w:rsidRPr="00604C75">
        <w:rPr>
          <w:bCs w:val="0"/>
          <w:i w:val="0"/>
          <w:iCs w:val="0"/>
          <w:sz w:val="20"/>
        </w:rPr>
        <w:t xml:space="preserve">Deferred tax liabilities are recognized for all resulting temporary differences whereas deferred tax assets resulting from temporary differences are recognized to the extent that it is probable that future taxable profit will be available against which the deferred tax assets can be </w:t>
      </w:r>
      <w:proofErr w:type="spellStart"/>
      <w:r w:rsidRPr="00604C75">
        <w:rPr>
          <w:bCs w:val="0"/>
          <w:i w:val="0"/>
          <w:iCs w:val="0"/>
          <w:sz w:val="20"/>
        </w:rPr>
        <w:t>utilized.The</w:t>
      </w:r>
      <w:proofErr w:type="spellEnd"/>
      <w:r w:rsidRPr="00604C75">
        <w:rPr>
          <w:bCs w:val="0"/>
          <w:i w:val="0"/>
          <w:iCs w:val="0"/>
          <w:sz w:val="20"/>
        </w:rPr>
        <w:t xml:space="preserve"> calculated deferred tax asset and deferred tax liability are presented as net in these financial statements. </w:t>
      </w:r>
      <w:r w:rsidR="00AE19A5" w:rsidRPr="00604C75">
        <w:rPr>
          <w:rStyle w:val="hps"/>
          <w:i w:val="0"/>
          <w:sz w:val="20"/>
        </w:rPr>
        <w:t>Deferred tax assets</w:t>
      </w:r>
      <w:r w:rsidR="00AE19A5" w:rsidRPr="00604C75">
        <w:rPr>
          <w:i w:val="0"/>
        </w:rPr>
        <w:t xml:space="preserve"> </w:t>
      </w:r>
      <w:r w:rsidR="00AE19A5" w:rsidRPr="00604C75">
        <w:rPr>
          <w:rStyle w:val="hps"/>
          <w:i w:val="0"/>
          <w:sz w:val="20"/>
        </w:rPr>
        <w:t>and liabilities</w:t>
      </w:r>
      <w:r w:rsidR="00AE19A5" w:rsidRPr="00604C75">
        <w:rPr>
          <w:i w:val="0"/>
        </w:rPr>
        <w:t xml:space="preserve"> </w:t>
      </w:r>
      <w:r w:rsidR="00AE19A5" w:rsidRPr="00604C75">
        <w:rPr>
          <w:rStyle w:val="hps"/>
          <w:i w:val="0"/>
          <w:sz w:val="20"/>
        </w:rPr>
        <w:t>are in the financial statements</w:t>
      </w:r>
      <w:r w:rsidR="00AE19A5" w:rsidRPr="00604C75">
        <w:rPr>
          <w:i w:val="0"/>
        </w:rPr>
        <w:t xml:space="preserve"> </w:t>
      </w:r>
      <w:r w:rsidR="00AE19A5" w:rsidRPr="00604C75">
        <w:rPr>
          <w:rStyle w:val="hps"/>
          <w:i w:val="0"/>
          <w:sz w:val="20"/>
        </w:rPr>
        <w:t>of subsidiaries</w:t>
      </w:r>
      <w:r w:rsidR="00AE19A5" w:rsidRPr="00604C75">
        <w:rPr>
          <w:i w:val="0"/>
        </w:rPr>
        <w:t xml:space="preserve"> </w:t>
      </w:r>
      <w:r w:rsidR="00AE19A5" w:rsidRPr="00604C75">
        <w:rPr>
          <w:rStyle w:val="hps"/>
          <w:i w:val="0"/>
          <w:sz w:val="20"/>
        </w:rPr>
        <w:t>are netted</w:t>
      </w:r>
      <w:r w:rsidR="00AE19A5" w:rsidRPr="00604C75">
        <w:rPr>
          <w:i w:val="0"/>
        </w:rPr>
        <w:t xml:space="preserve"> </w:t>
      </w:r>
      <w:r w:rsidR="00AE19A5" w:rsidRPr="00604C75">
        <w:rPr>
          <w:rStyle w:val="hps"/>
          <w:i w:val="0"/>
          <w:sz w:val="20"/>
        </w:rPr>
        <w:t>separately</w:t>
      </w:r>
      <w:r w:rsidR="00AE19A5" w:rsidRPr="00604C75">
        <w:rPr>
          <w:i w:val="0"/>
        </w:rPr>
        <w:t>.</w:t>
      </w:r>
    </w:p>
    <w:p w14:paraId="09302C37" w14:textId="364C21D5" w:rsidR="00AE19A5" w:rsidRPr="00604C75" w:rsidRDefault="00394D49" w:rsidP="00023E18">
      <w:pPr>
        <w:widowControl w:val="0"/>
        <w:tabs>
          <w:tab w:val="left" w:pos="588"/>
        </w:tabs>
        <w:spacing w:before="120"/>
        <w:ind w:hanging="142"/>
        <w:jc w:val="both"/>
        <w:rPr>
          <w:b/>
          <w:noProof/>
          <w:sz w:val="20"/>
          <w:szCs w:val="20"/>
          <w:lang w:val="tr-TR"/>
        </w:rPr>
      </w:pPr>
      <w:r w:rsidRPr="00604C75">
        <w:rPr>
          <w:b/>
          <w:noProof/>
          <w:sz w:val="20"/>
          <w:szCs w:val="20"/>
          <w:lang w:val="tr-TR"/>
        </w:rPr>
        <w:t xml:space="preserve">   </w:t>
      </w:r>
      <w:r w:rsidR="0022507B" w:rsidRPr="00604C75">
        <w:rPr>
          <w:b/>
          <w:noProof/>
          <w:sz w:val="20"/>
          <w:szCs w:val="20"/>
          <w:lang w:val="tr-TR"/>
        </w:rPr>
        <w:t xml:space="preserve">XVIII.  </w:t>
      </w:r>
      <w:r w:rsidR="005258DE" w:rsidRPr="00604C75">
        <w:rPr>
          <w:b/>
          <w:noProof/>
          <w:sz w:val="20"/>
          <w:szCs w:val="20"/>
          <w:lang w:val="tr-TR"/>
        </w:rPr>
        <w:t>Additional Explanations on Borrowings</w:t>
      </w:r>
    </w:p>
    <w:p w14:paraId="2B60B590" w14:textId="1675BFC8" w:rsidR="00AE19A5" w:rsidRPr="00604C75" w:rsidRDefault="00AE19A5" w:rsidP="00490153">
      <w:pPr>
        <w:pStyle w:val="BodyTextIndent"/>
        <w:widowControl w:val="0"/>
        <w:spacing w:before="120" w:after="0"/>
        <w:ind w:left="0"/>
        <w:jc w:val="both"/>
        <w:rPr>
          <w:sz w:val="20"/>
          <w:szCs w:val="20"/>
        </w:rPr>
      </w:pPr>
      <w:r w:rsidRPr="00604C75">
        <w:rPr>
          <w:sz w:val="20"/>
          <w:szCs w:val="20"/>
        </w:rPr>
        <w:t>Trading and derivative financial liabilities are valued with their fair values and the other financial lia</w:t>
      </w:r>
      <w:r w:rsidR="00E34409" w:rsidRPr="00604C75">
        <w:rPr>
          <w:sz w:val="20"/>
          <w:szCs w:val="20"/>
        </w:rPr>
        <w:t>bilities are carried at “amortiz</w:t>
      </w:r>
      <w:r w:rsidRPr="00604C75">
        <w:rPr>
          <w:sz w:val="20"/>
          <w:szCs w:val="20"/>
        </w:rPr>
        <w:t>ed cost” using the “effective interest</w:t>
      </w:r>
      <w:r w:rsidR="00D10261" w:rsidRPr="00604C75">
        <w:rPr>
          <w:sz w:val="20"/>
          <w:szCs w:val="20"/>
        </w:rPr>
        <w:t xml:space="preserve"> rate</w:t>
      </w:r>
      <w:r w:rsidRPr="00604C75">
        <w:rPr>
          <w:sz w:val="20"/>
          <w:szCs w:val="20"/>
        </w:rPr>
        <w:t xml:space="preserve"> method”</w:t>
      </w:r>
      <w:r w:rsidR="00767300">
        <w:rPr>
          <w:sz w:val="20"/>
          <w:szCs w:val="20"/>
        </w:rPr>
        <w:t xml:space="preserve"> (internal rate of return)</w:t>
      </w:r>
      <w:r w:rsidRPr="00604C75">
        <w:rPr>
          <w:sz w:val="20"/>
          <w:szCs w:val="20"/>
        </w:rPr>
        <w:t>.</w:t>
      </w:r>
    </w:p>
    <w:p w14:paraId="0EF40552" w14:textId="09F786A5" w:rsidR="00AE19A5" w:rsidRPr="00604C75" w:rsidRDefault="0022507B" w:rsidP="00023E18">
      <w:pPr>
        <w:widowControl w:val="0"/>
        <w:tabs>
          <w:tab w:val="left" w:pos="742"/>
        </w:tabs>
        <w:spacing w:before="120"/>
        <w:jc w:val="both"/>
        <w:rPr>
          <w:b/>
          <w:noProof/>
          <w:sz w:val="20"/>
          <w:szCs w:val="20"/>
          <w:lang w:val="tr-TR"/>
        </w:rPr>
      </w:pPr>
      <w:r w:rsidRPr="00604C75">
        <w:rPr>
          <w:b/>
          <w:noProof/>
          <w:sz w:val="20"/>
          <w:szCs w:val="20"/>
          <w:lang w:val="tr-TR"/>
        </w:rPr>
        <w:t xml:space="preserve">XIX.   </w:t>
      </w:r>
      <w:r w:rsidR="005258DE" w:rsidRPr="00604C75">
        <w:rPr>
          <w:b/>
          <w:noProof/>
          <w:sz w:val="20"/>
          <w:szCs w:val="20"/>
          <w:lang w:val="tr-TR"/>
        </w:rPr>
        <w:t xml:space="preserve"> </w:t>
      </w:r>
      <w:r w:rsidR="00023E18">
        <w:rPr>
          <w:b/>
          <w:noProof/>
          <w:sz w:val="20"/>
          <w:szCs w:val="20"/>
          <w:lang w:val="tr-TR"/>
        </w:rPr>
        <w:t xml:space="preserve"> </w:t>
      </w:r>
      <w:r w:rsidR="005258DE" w:rsidRPr="00604C75">
        <w:rPr>
          <w:b/>
          <w:noProof/>
          <w:sz w:val="20"/>
          <w:szCs w:val="20"/>
          <w:lang w:val="tr-TR"/>
        </w:rPr>
        <w:t>Explanations</w:t>
      </w:r>
      <w:r w:rsidR="005258DE" w:rsidRPr="00604C75" w:rsidDel="005258DE">
        <w:rPr>
          <w:b/>
          <w:noProof/>
          <w:sz w:val="20"/>
          <w:szCs w:val="20"/>
          <w:lang w:val="tr-TR"/>
        </w:rPr>
        <w:t xml:space="preserve"> </w:t>
      </w:r>
      <w:r w:rsidR="005258DE" w:rsidRPr="00604C75">
        <w:rPr>
          <w:b/>
          <w:noProof/>
          <w:sz w:val="20"/>
          <w:szCs w:val="20"/>
          <w:lang w:val="tr-TR"/>
        </w:rPr>
        <w:t>on Share Certificates and Issuance of Share Certificates</w:t>
      </w:r>
    </w:p>
    <w:p w14:paraId="4C858FE5" w14:textId="2BED5307" w:rsidR="00AE19A5" w:rsidRPr="00604C75" w:rsidRDefault="006058D1" w:rsidP="00490153">
      <w:pPr>
        <w:widowControl w:val="0"/>
        <w:spacing w:before="120"/>
        <w:jc w:val="both"/>
        <w:rPr>
          <w:sz w:val="20"/>
          <w:szCs w:val="20"/>
        </w:rPr>
      </w:pPr>
      <w:r>
        <w:rPr>
          <w:sz w:val="20"/>
          <w:szCs w:val="20"/>
        </w:rPr>
        <w:t>At capital increases, t</w:t>
      </w:r>
      <w:r w:rsidR="00AE19A5" w:rsidRPr="00604C75">
        <w:rPr>
          <w:sz w:val="20"/>
          <w:szCs w:val="20"/>
        </w:rPr>
        <w:t xml:space="preserve">he </w:t>
      </w:r>
      <w:r w:rsidR="00015053" w:rsidRPr="00604C75">
        <w:rPr>
          <w:sz w:val="20"/>
          <w:szCs w:val="20"/>
        </w:rPr>
        <w:t xml:space="preserve">Parent </w:t>
      </w:r>
      <w:r w:rsidR="00AE19A5" w:rsidRPr="00604C75">
        <w:rPr>
          <w:sz w:val="20"/>
          <w:szCs w:val="20"/>
        </w:rPr>
        <w:t>Bank accounts the difference between the issued value and nominal value as share issue premium under shareholders’ equity, in the case where the issued value is higher than the nominal value.</w:t>
      </w:r>
    </w:p>
    <w:p w14:paraId="045D62B7" w14:textId="77777777" w:rsidR="00015053" w:rsidRPr="00604C75" w:rsidRDefault="00015053" w:rsidP="00490153">
      <w:pPr>
        <w:widowControl w:val="0"/>
        <w:spacing w:before="120"/>
        <w:jc w:val="both"/>
        <w:rPr>
          <w:rStyle w:val="hps"/>
          <w:color w:val="222222"/>
          <w:sz w:val="20"/>
          <w:szCs w:val="20"/>
        </w:rPr>
      </w:pPr>
      <w:r w:rsidRPr="00604C75">
        <w:rPr>
          <w:rStyle w:val="hps"/>
          <w:sz w:val="20"/>
          <w:szCs w:val="20"/>
        </w:rPr>
        <w:t>There is no</w:t>
      </w:r>
      <w:r w:rsidRPr="00604C75">
        <w:rPr>
          <w:sz w:val="20"/>
          <w:szCs w:val="20"/>
        </w:rPr>
        <w:t xml:space="preserve"> decision of</w:t>
      </w:r>
      <w:r w:rsidR="00C42919" w:rsidRPr="00604C75">
        <w:rPr>
          <w:sz w:val="20"/>
          <w:szCs w:val="20"/>
        </w:rPr>
        <w:t xml:space="preserve"> the</w:t>
      </w:r>
      <w:r w:rsidRPr="00604C75">
        <w:rPr>
          <w:sz w:val="20"/>
          <w:szCs w:val="20"/>
        </w:rPr>
        <w:t xml:space="preserve"> </w:t>
      </w:r>
      <w:r w:rsidR="00C42919" w:rsidRPr="00604C75">
        <w:rPr>
          <w:sz w:val="20"/>
          <w:szCs w:val="20"/>
        </w:rPr>
        <w:t xml:space="preserve">Parent </w:t>
      </w:r>
      <w:r w:rsidRPr="00604C75">
        <w:rPr>
          <w:sz w:val="20"/>
          <w:szCs w:val="20"/>
        </w:rPr>
        <w:t xml:space="preserve">Bank for </w:t>
      </w:r>
      <w:r w:rsidRPr="00604C75">
        <w:rPr>
          <w:rStyle w:val="hps"/>
          <w:sz w:val="20"/>
          <w:szCs w:val="20"/>
        </w:rPr>
        <w:t>dividend distribution after the balance sheet date.</w:t>
      </w:r>
    </w:p>
    <w:p w14:paraId="674D5D3B" w14:textId="77F525D4" w:rsidR="00AE19A5" w:rsidRPr="00604C75" w:rsidRDefault="0022507B" w:rsidP="00490153">
      <w:pPr>
        <w:widowControl w:val="0"/>
        <w:spacing w:before="120"/>
        <w:jc w:val="both"/>
        <w:rPr>
          <w:b/>
          <w:noProof/>
          <w:sz w:val="20"/>
          <w:szCs w:val="20"/>
          <w:lang w:val="tr-TR"/>
        </w:rPr>
      </w:pPr>
      <w:r w:rsidRPr="00604C75">
        <w:rPr>
          <w:b/>
          <w:noProof/>
          <w:sz w:val="20"/>
          <w:szCs w:val="20"/>
          <w:lang w:val="tr-TR"/>
        </w:rPr>
        <w:t xml:space="preserve">XX.    </w:t>
      </w:r>
      <w:r w:rsidR="005258DE" w:rsidRPr="00604C75">
        <w:rPr>
          <w:b/>
          <w:noProof/>
          <w:sz w:val="20"/>
          <w:szCs w:val="20"/>
          <w:lang w:val="tr-TR"/>
        </w:rPr>
        <w:t xml:space="preserve"> </w:t>
      </w:r>
      <w:r w:rsidR="00023E18">
        <w:rPr>
          <w:b/>
          <w:noProof/>
          <w:sz w:val="20"/>
          <w:szCs w:val="20"/>
          <w:lang w:val="tr-TR"/>
        </w:rPr>
        <w:t xml:space="preserve"> </w:t>
      </w:r>
      <w:r w:rsidR="005258DE" w:rsidRPr="00604C75">
        <w:rPr>
          <w:b/>
          <w:noProof/>
          <w:sz w:val="20"/>
          <w:szCs w:val="20"/>
          <w:lang w:val="tr-TR"/>
        </w:rPr>
        <w:t>Avalized Drafts And Acceptances</w:t>
      </w:r>
      <w:r w:rsidR="00AE19A5" w:rsidRPr="00604C75">
        <w:rPr>
          <w:b/>
          <w:noProof/>
          <w:sz w:val="20"/>
          <w:szCs w:val="20"/>
          <w:lang w:val="tr-TR"/>
        </w:rPr>
        <w:t xml:space="preserve"> </w:t>
      </w:r>
    </w:p>
    <w:p w14:paraId="47CAD3E9" w14:textId="77777777" w:rsidR="00720D3B" w:rsidRPr="00604C75" w:rsidRDefault="000D6AF8" w:rsidP="00490153">
      <w:pPr>
        <w:widowControl w:val="0"/>
        <w:spacing w:before="120"/>
        <w:jc w:val="both"/>
        <w:rPr>
          <w:sz w:val="20"/>
          <w:szCs w:val="20"/>
        </w:rPr>
      </w:pPr>
      <w:r w:rsidRPr="00604C75">
        <w:rPr>
          <w:sz w:val="20"/>
          <w:szCs w:val="20"/>
        </w:rPr>
        <w:t xml:space="preserve">Guaranteed bills </w:t>
      </w:r>
      <w:r w:rsidR="00AE19A5" w:rsidRPr="00604C75">
        <w:rPr>
          <w:sz w:val="20"/>
          <w:szCs w:val="20"/>
        </w:rPr>
        <w:t>and acceptances shown as liabilities against assets are included in the “Off-balance sheet commitments”.</w:t>
      </w:r>
    </w:p>
    <w:p w14:paraId="1BC643A7" w14:textId="75D3368F" w:rsidR="00AE19A5" w:rsidRPr="00604C75" w:rsidRDefault="0022507B" w:rsidP="00490153">
      <w:pPr>
        <w:widowControl w:val="0"/>
        <w:spacing w:before="120"/>
        <w:jc w:val="both"/>
        <w:rPr>
          <w:b/>
          <w:noProof/>
          <w:sz w:val="20"/>
          <w:szCs w:val="20"/>
          <w:lang w:val="tr-TR"/>
        </w:rPr>
      </w:pPr>
      <w:r w:rsidRPr="00604C75">
        <w:rPr>
          <w:b/>
          <w:noProof/>
          <w:sz w:val="20"/>
          <w:szCs w:val="20"/>
          <w:lang w:val="tr-TR"/>
        </w:rPr>
        <w:t xml:space="preserve">XXI.   </w:t>
      </w:r>
      <w:r w:rsidR="005258DE" w:rsidRPr="00604C75">
        <w:rPr>
          <w:b/>
          <w:noProof/>
          <w:sz w:val="20"/>
          <w:szCs w:val="20"/>
          <w:lang w:val="tr-TR"/>
        </w:rPr>
        <w:t xml:space="preserve"> Government Grants</w:t>
      </w:r>
      <w:r w:rsidR="005258DE" w:rsidRPr="00604C75" w:rsidDel="005258DE">
        <w:rPr>
          <w:b/>
          <w:noProof/>
          <w:sz w:val="20"/>
          <w:szCs w:val="20"/>
          <w:lang w:val="tr-TR"/>
        </w:rPr>
        <w:t xml:space="preserve"> </w:t>
      </w:r>
    </w:p>
    <w:p w14:paraId="3E113844" w14:textId="5D2069BB" w:rsidR="0022507B" w:rsidRPr="00604C75" w:rsidRDefault="00D405BC" w:rsidP="00490153">
      <w:pPr>
        <w:pStyle w:val="BodyText3"/>
        <w:widowControl w:val="0"/>
        <w:tabs>
          <w:tab w:val="clear" w:pos="539"/>
          <w:tab w:val="clear" w:pos="5310"/>
          <w:tab w:val="clear" w:pos="7560"/>
        </w:tabs>
        <w:spacing w:before="120"/>
        <w:jc w:val="both"/>
        <w:rPr>
          <w:i w:val="0"/>
          <w:noProof/>
          <w:sz w:val="20"/>
          <w:lang w:val="tr-TR"/>
        </w:rPr>
      </w:pPr>
      <w:r>
        <w:rPr>
          <w:i w:val="0"/>
          <w:noProof/>
          <w:sz w:val="20"/>
          <w:lang w:val="tr-TR"/>
        </w:rPr>
        <w:t xml:space="preserve">As </w:t>
      </w:r>
      <w:r w:rsidRPr="00D83260">
        <w:rPr>
          <w:i w:val="0"/>
          <w:noProof/>
          <w:sz w:val="20"/>
          <w:lang w:val="tr-TR"/>
        </w:rPr>
        <w:t>of 3</w:t>
      </w:r>
      <w:r w:rsidR="00A04C94">
        <w:rPr>
          <w:i w:val="0"/>
          <w:noProof/>
          <w:sz w:val="20"/>
          <w:lang w:val="tr-TR"/>
        </w:rPr>
        <w:t>1</w:t>
      </w:r>
      <w:r w:rsidRPr="00D83260">
        <w:rPr>
          <w:i w:val="0"/>
          <w:noProof/>
          <w:sz w:val="20"/>
          <w:lang w:val="tr-TR"/>
        </w:rPr>
        <w:t xml:space="preserve"> </w:t>
      </w:r>
      <w:r w:rsidR="00A04C94">
        <w:rPr>
          <w:i w:val="0"/>
          <w:noProof/>
          <w:sz w:val="20"/>
          <w:lang w:val="tr-TR"/>
        </w:rPr>
        <w:t>December</w:t>
      </w:r>
      <w:r w:rsidR="00A04C94" w:rsidRPr="00D83260">
        <w:rPr>
          <w:i w:val="0"/>
          <w:noProof/>
          <w:sz w:val="20"/>
          <w:lang w:val="tr-TR"/>
        </w:rPr>
        <w:t xml:space="preserve"> </w:t>
      </w:r>
      <w:r w:rsidR="00AE19A5" w:rsidRPr="00D83260">
        <w:rPr>
          <w:i w:val="0"/>
          <w:noProof/>
          <w:sz w:val="20"/>
          <w:lang w:val="tr-TR"/>
        </w:rPr>
        <w:t>201</w:t>
      </w:r>
      <w:r w:rsidR="0022507B" w:rsidRPr="00D83260">
        <w:rPr>
          <w:i w:val="0"/>
          <w:noProof/>
          <w:sz w:val="20"/>
          <w:lang w:val="tr-TR"/>
        </w:rPr>
        <w:t>5</w:t>
      </w:r>
      <w:r w:rsidR="003B6A1B" w:rsidRPr="00604C75">
        <w:rPr>
          <w:i w:val="0"/>
          <w:noProof/>
          <w:sz w:val="20"/>
          <w:lang w:val="tr-TR"/>
        </w:rPr>
        <w:t>,</w:t>
      </w:r>
      <w:r w:rsidR="00CD796A" w:rsidRPr="00604C75">
        <w:rPr>
          <w:i w:val="0"/>
          <w:noProof/>
          <w:sz w:val="20"/>
          <w:lang w:val="tr-TR"/>
        </w:rPr>
        <w:t xml:space="preserve"> </w:t>
      </w:r>
      <w:r w:rsidR="00AE19A5" w:rsidRPr="00604C75">
        <w:rPr>
          <w:i w:val="0"/>
          <w:noProof/>
          <w:sz w:val="20"/>
          <w:lang w:val="tr-TR"/>
        </w:rPr>
        <w:t xml:space="preserve">the </w:t>
      </w:r>
      <w:r w:rsidR="00431D48" w:rsidRPr="00604C75">
        <w:rPr>
          <w:i w:val="0"/>
          <w:noProof/>
          <w:sz w:val="20"/>
          <w:lang w:val="tr-TR"/>
        </w:rPr>
        <w:t>Group</w:t>
      </w:r>
      <w:r w:rsidR="00AE19A5" w:rsidRPr="00604C75">
        <w:rPr>
          <w:i w:val="0"/>
          <w:noProof/>
          <w:sz w:val="20"/>
          <w:lang w:val="tr-TR"/>
        </w:rPr>
        <w:t xml:space="preserve"> has </w:t>
      </w:r>
      <w:r w:rsidR="0035159E" w:rsidRPr="00604C75">
        <w:rPr>
          <w:i w:val="0"/>
          <w:noProof/>
          <w:sz w:val="20"/>
          <w:lang w:val="tr-TR"/>
        </w:rPr>
        <w:t xml:space="preserve">unusued investment incentives amounting to TL </w:t>
      </w:r>
      <w:r w:rsidR="00195EDC">
        <w:rPr>
          <w:i w:val="0"/>
          <w:noProof/>
          <w:sz w:val="20"/>
          <w:lang w:val="tr-TR"/>
        </w:rPr>
        <w:t>95,584</w:t>
      </w:r>
      <w:r w:rsidR="000F0945" w:rsidRPr="00604C75">
        <w:rPr>
          <w:i w:val="0"/>
          <w:noProof/>
          <w:sz w:val="20"/>
          <w:lang w:val="tr-TR"/>
        </w:rPr>
        <w:t xml:space="preserve"> which is investment incentive of qualifying investment allowances amount</w:t>
      </w:r>
      <w:r w:rsidR="004351D9" w:rsidRPr="00604C75">
        <w:rPr>
          <w:i w:val="0"/>
          <w:noProof/>
          <w:sz w:val="20"/>
          <w:lang w:val="tr-TR"/>
        </w:rPr>
        <w:t>,</w:t>
      </w:r>
      <w:r w:rsidR="000F0945" w:rsidRPr="00604C75">
        <w:rPr>
          <w:i w:val="0"/>
          <w:noProof/>
          <w:sz w:val="20"/>
          <w:lang w:val="tr-TR"/>
        </w:rPr>
        <w:t xml:space="preserve"> over </w:t>
      </w:r>
      <w:r w:rsidR="004351D9" w:rsidRPr="00604C75">
        <w:rPr>
          <w:i w:val="0"/>
          <w:noProof/>
          <w:sz w:val="20"/>
          <w:lang w:val="tr-TR"/>
        </w:rPr>
        <w:t xml:space="preserve">40% of property value of </w:t>
      </w:r>
      <w:r w:rsidR="000F0945" w:rsidRPr="00604C75">
        <w:rPr>
          <w:i w:val="0"/>
          <w:noProof/>
          <w:sz w:val="20"/>
          <w:lang w:val="tr-TR"/>
        </w:rPr>
        <w:t>having been leased investment</w:t>
      </w:r>
      <w:r w:rsidR="004351D9" w:rsidRPr="00604C75">
        <w:rPr>
          <w:i w:val="0"/>
          <w:noProof/>
          <w:sz w:val="20"/>
          <w:lang w:val="tr-TR"/>
        </w:rPr>
        <w:t>.</w:t>
      </w:r>
    </w:p>
    <w:p w14:paraId="18CAB54F" w14:textId="42E0FCDE" w:rsidR="00AE19A5" w:rsidRPr="00604C75" w:rsidRDefault="006C23FA" w:rsidP="00490153">
      <w:pPr>
        <w:widowControl w:val="0"/>
        <w:spacing w:before="120"/>
        <w:jc w:val="both"/>
        <w:rPr>
          <w:b/>
          <w:noProof/>
          <w:sz w:val="20"/>
          <w:szCs w:val="20"/>
          <w:lang w:val="tr-TR"/>
        </w:rPr>
      </w:pPr>
      <w:r w:rsidRPr="00604C75">
        <w:rPr>
          <w:b/>
          <w:noProof/>
          <w:sz w:val="20"/>
          <w:szCs w:val="20"/>
          <w:lang w:val="tr-TR"/>
        </w:rPr>
        <w:t>XXII.</w:t>
      </w:r>
      <w:r w:rsidR="0022507B" w:rsidRPr="00604C75">
        <w:rPr>
          <w:b/>
          <w:noProof/>
          <w:sz w:val="20"/>
          <w:szCs w:val="20"/>
          <w:lang w:val="tr-TR"/>
        </w:rPr>
        <w:t xml:space="preserve">  </w:t>
      </w:r>
      <w:r w:rsidR="005258DE" w:rsidRPr="00604C75">
        <w:rPr>
          <w:b/>
          <w:noProof/>
          <w:sz w:val="20"/>
          <w:szCs w:val="20"/>
          <w:lang w:val="tr-TR"/>
        </w:rPr>
        <w:t xml:space="preserve"> Profit Reserves And Profit Distribution</w:t>
      </w:r>
      <w:r w:rsidR="005258DE" w:rsidRPr="00604C75" w:rsidDel="005258DE">
        <w:rPr>
          <w:b/>
          <w:noProof/>
          <w:sz w:val="20"/>
          <w:szCs w:val="20"/>
          <w:lang w:val="tr-TR"/>
        </w:rPr>
        <w:t xml:space="preserve"> </w:t>
      </w:r>
    </w:p>
    <w:p w14:paraId="410F1159" w14:textId="77777777" w:rsidR="00397E12" w:rsidRPr="00CE5EEA" w:rsidRDefault="003C60E0" w:rsidP="00490153">
      <w:pPr>
        <w:pStyle w:val="BodyText3"/>
        <w:widowControl w:val="0"/>
        <w:tabs>
          <w:tab w:val="clear" w:pos="539"/>
          <w:tab w:val="clear" w:pos="5310"/>
          <w:tab w:val="clear" w:pos="7560"/>
        </w:tabs>
        <w:spacing w:before="120"/>
        <w:jc w:val="both"/>
        <w:rPr>
          <w:i w:val="0"/>
          <w:noProof/>
          <w:sz w:val="20"/>
          <w:lang w:val="tr-TR"/>
        </w:rPr>
      </w:pPr>
      <w:r w:rsidRPr="00CE5EEA">
        <w:rPr>
          <w:i w:val="0"/>
          <w:noProof/>
          <w:sz w:val="20"/>
          <w:lang w:val="tr-TR"/>
        </w:rPr>
        <w:t>Retained earnings as per the statutory financial statements other than legal reserves are available for distribution, subject to the legal reserve requirement referred to below. Under the Turkish Commercial Code (“TCC”) the legal reserves are composed of first and second reserves. The TCC requires first reserves to be 5% of the profit until the total reserve is equal to 20% of issued and fully paid-in share capital. Second reserves are required to be 10% of all cash profit distributions that are in excess of 5% of the issued and fully paid-in share capital. However holding companies are exempt from this application. According to the Turkish Commercial Code, legal reserves can only be used to compensate accumulated losses and cannot be used for other purposes unless the</w:t>
      </w:r>
      <w:r w:rsidR="00C34003" w:rsidRPr="00CE5EEA">
        <w:rPr>
          <w:i w:val="0"/>
          <w:noProof/>
          <w:sz w:val="20"/>
          <w:lang w:val="tr-TR"/>
        </w:rPr>
        <w:t>y exceed 50% of paid-in capital.</w:t>
      </w:r>
    </w:p>
    <w:p w14:paraId="7A195A2C" w14:textId="77777777" w:rsidR="005258DE" w:rsidRPr="00604C75" w:rsidRDefault="005258DE" w:rsidP="0022507B">
      <w:pPr>
        <w:spacing w:after="200" w:line="276" w:lineRule="auto"/>
        <w:jc w:val="both"/>
        <w:rPr>
          <w:b/>
          <w:noProof/>
          <w:sz w:val="20"/>
          <w:szCs w:val="20"/>
          <w:lang w:val="tr-TR"/>
        </w:rPr>
      </w:pPr>
    </w:p>
    <w:p w14:paraId="39A537D4" w14:textId="77777777" w:rsidR="005258DE" w:rsidRPr="00604C75" w:rsidRDefault="005258DE" w:rsidP="0022507B">
      <w:pPr>
        <w:spacing w:after="200" w:line="276" w:lineRule="auto"/>
        <w:jc w:val="both"/>
        <w:rPr>
          <w:b/>
          <w:noProof/>
          <w:sz w:val="20"/>
          <w:szCs w:val="20"/>
          <w:lang w:val="tr-TR"/>
        </w:rPr>
      </w:pPr>
    </w:p>
    <w:p w14:paraId="125BA4F2" w14:textId="77777777" w:rsidR="00CE5EEA" w:rsidRDefault="00CE5EEA">
      <w:pPr>
        <w:spacing w:after="200" w:line="276" w:lineRule="auto"/>
        <w:rPr>
          <w:b/>
          <w:sz w:val="20"/>
          <w:szCs w:val="20"/>
        </w:rPr>
      </w:pPr>
      <w:r>
        <w:rPr>
          <w:b/>
          <w:sz w:val="20"/>
          <w:szCs w:val="20"/>
        </w:rPr>
        <w:br w:type="page"/>
      </w:r>
    </w:p>
    <w:p w14:paraId="60D3A517" w14:textId="77777777" w:rsidR="005258DE" w:rsidRPr="00604C75" w:rsidRDefault="005258DE" w:rsidP="00490153">
      <w:pPr>
        <w:widowControl w:val="0"/>
        <w:spacing w:before="120"/>
        <w:jc w:val="both"/>
        <w:rPr>
          <w:b/>
          <w:sz w:val="20"/>
          <w:szCs w:val="20"/>
        </w:rPr>
      </w:pPr>
      <w:r w:rsidRPr="00604C75">
        <w:rPr>
          <w:b/>
          <w:sz w:val="20"/>
          <w:szCs w:val="20"/>
        </w:rPr>
        <w:lastRenderedPageBreak/>
        <w:t>EXPLANATIONS ON ACCOUNTING POLICIES (Continued)</w:t>
      </w:r>
    </w:p>
    <w:p w14:paraId="327140A4" w14:textId="1D54F2EE" w:rsidR="00AE19A5" w:rsidRPr="00604C75" w:rsidRDefault="006C23FA" w:rsidP="00490153">
      <w:pPr>
        <w:spacing w:before="120" w:after="120"/>
        <w:jc w:val="both"/>
        <w:rPr>
          <w:b/>
          <w:noProof/>
          <w:sz w:val="20"/>
          <w:szCs w:val="20"/>
          <w:lang w:val="tr-TR"/>
        </w:rPr>
      </w:pPr>
      <w:r w:rsidRPr="00604C75">
        <w:rPr>
          <w:b/>
          <w:noProof/>
          <w:sz w:val="20"/>
          <w:szCs w:val="20"/>
          <w:lang w:val="tr-TR"/>
        </w:rPr>
        <w:t xml:space="preserve">XXIII.   </w:t>
      </w:r>
      <w:r w:rsidR="00FD238D" w:rsidRPr="00604C75">
        <w:rPr>
          <w:b/>
          <w:noProof/>
          <w:sz w:val="20"/>
          <w:szCs w:val="20"/>
          <w:lang w:val="tr-TR"/>
        </w:rPr>
        <w:t>Earnings Per Share</w:t>
      </w:r>
    </w:p>
    <w:p w14:paraId="3DC9B2E3" w14:textId="7EF65D7D" w:rsidR="00AE19A5" w:rsidRPr="00604C75" w:rsidRDefault="00AE19A5" w:rsidP="00490153">
      <w:pPr>
        <w:pStyle w:val="BodyText"/>
        <w:widowControl w:val="0"/>
        <w:tabs>
          <w:tab w:val="clear" w:pos="0"/>
          <w:tab w:val="clear" w:pos="567"/>
          <w:tab w:val="clear" w:pos="720"/>
        </w:tabs>
        <w:spacing w:before="120"/>
        <w:rPr>
          <w:noProof/>
          <w:color w:val="auto"/>
          <w:sz w:val="20"/>
          <w:lang w:val="tr-TR"/>
        </w:rPr>
      </w:pPr>
      <w:r w:rsidRPr="00604C75">
        <w:rPr>
          <w:noProof/>
          <w:color w:val="auto"/>
          <w:sz w:val="20"/>
          <w:lang w:val="tr-TR"/>
        </w:rPr>
        <w:t>Earnings per share disclosed in the income statement are calculated by dividing net profit/(loss) for the year to the weighted average number of shares outstanding during the period concerned.</w:t>
      </w:r>
    </w:p>
    <w:p w14:paraId="7DE08A19" w14:textId="77777777" w:rsidR="00AE19A5" w:rsidRPr="00604C75" w:rsidRDefault="00AE19A5" w:rsidP="0022507B">
      <w:pPr>
        <w:pStyle w:val="BodyTextIndent"/>
        <w:widowControl w:val="0"/>
        <w:spacing w:after="0"/>
        <w:ind w:left="0"/>
        <w:jc w:val="both"/>
        <w:rPr>
          <w:sz w:val="20"/>
          <w:szCs w:val="20"/>
        </w:rPr>
      </w:pPr>
    </w:p>
    <w:tbl>
      <w:tblPr>
        <w:tblW w:w="9085"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247"/>
        <w:gridCol w:w="1989"/>
        <w:gridCol w:w="1849"/>
      </w:tblGrid>
      <w:tr w:rsidR="00AE19A5" w:rsidRPr="00604C75" w14:paraId="37DBFD2A" w14:textId="77777777" w:rsidTr="00AD726D">
        <w:trPr>
          <w:trHeight w:val="284"/>
        </w:trPr>
        <w:tc>
          <w:tcPr>
            <w:tcW w:w="5247" w:type="dxa"/>
            <w:vAlign w:val="bottom"/>
          </w:tcPr>
          <w:p w14:paraId="2A1EE6E8" w14:textId="77777777" w:rsidR="00AE19A5" w:rsidRPr="00604C75" w:rsidRDefault="00AE19A5" w:rsidP="0022507B">
            <w:pPr>
              <w:jc w:val="center"/>
              <w:rPr>
                <w:b/>
                <w:bCs/>
                <w:snapToGrid w:val="0"/>
                <w:sz w:val="18"/>
                <w:szCs w:val="18"/>
              </w:rPr>
            </w:pPr>
          </w:p>
        </w:tc>
        <w:tc>
          <w:tcPr>
            <w:tcW w:w="1989" w:type="dxa"/>
            <w:vAlign w:val="bottom"/>
          </w:tcPr>
          <w:p w14:paraId="7E8D15A3" w14:textId="77777777" w:rsidR="00AE19A5" w:rsidRPr="00604C75" w:rsidRDefault="00D405BC" w:rsidP="006058D1">
            <w:pPr>
              <w:ind w:right="21"/>
              <w:jc w:val="right"/>
              <w:rPr>
                <w:rFonts w:eastAsia="Arial Unicode MS"/>
                <w:b/>
                <w:sz w:val="18"/>
                <w:szCs w:val="18"/>
              </w:rPr>
            </w:pPr>
            <w:r>
              <w:rPr>
                <w:b/>
                <w:snapToGrid w:val="0"/>
                <w:sz w:val="18"/>
                <w:szCs w:val="18"/>
              </w:rPr>
              <w:t>3</w:t>
            </w:r>
            <w:r w:rsidR="00A04C94">
              <w:rPr>
                <w:b/>
                <w:snapToGrid w:val="0"/>
                <w:sz w:val="18"/>
                <w:szCs w:val="18"/>
              </w:rPr>
              <w:t>1</w:t>
            </w:r>
            <w:r>
              <w:rPr>
                <w:b/>
                <w:snapToGrid w:val="0"/>
                <w:sz w:val="18"/>
                <w:szCs w:val="18"/>
              </w:rPr>
              <w:t xml:space="preserve"> </w:t>
            </w:r>
            <w:r w:rsidR="00A04C94">
              <w:rPr>
                <w:b/>
                <w:snapToGrid w:val="0"/>
                <w:sz w:val="18"/>
                <w:szCs w:val="18"/>
              </w:rPr>
              <w:t>December</w:t>
            </w:r>
            <w:r w:rsidR="00A04C94" w:rsidRPr="00604C75">
              <w:rPr>
                <w:b/>
                <w:snapToGrid w:val="0"/>
                <w:sz w:val="18"/>
                <w:szCs w:val="18"/>
              </w:rPr>
              <w:t xml:space="preserve"> </w:t>
            </w:r>
            <w:r w:rsidR="0022507B" w:rsidRPr="00604C75">
              <w:rPr>
                <w:b/>
                <w:snapToGrid w:val="0"/>
                <w:sz w:val="18"/>
                <w:szCs w:val="18"/>
              </w:rPr>
              <w:t>2015</w:t>
            </w:r>
          </w:p>
        </w:tc>
        <w:tc>
          <w:tcPr>
            <w:tcW w:w="1849" w:type="dxa"/>
            <w:vAlign w:val="bottom"/>
          </w:tcPr>
          <w:p w14:paraId="058419BC" w14:textId="77777777" w:rsidR="00AE19A5" w:rsidRPr="00604C75" w:rsidRDefault="00D405BC" w:rsidP="006058D1">
            <w:pPr>
              <w:ind w:right="21"/>
              <w:jc w:val="right"/>
              <w:rPr>
                <w:b/>
                <w:sz w:val="18"/>
                <w:szCs w:val="18"/>
              </w:rPr>
            </w:pPr>
            <w:r>
              <w:rPr>
                <w:b/>
                <w:sz w:val="18"/>
                <w:szCs w:val="18"/>
              </w:rPr>
              <w:t>3</w:t>
            </w:r>
            <w:r w:rsidR="00A04C94">
              <w:rPr>
                <w:b/>
                <w:sz w:val="18"/>
                <w:szCs w:val="18"/>
              </w:rPr>
              <w:t>1</w:t>
            </w:r>
            <w:r>
              <w:rPr>
                <w:b/>
                <w:sz w:val="18"/>
                <w:szCs w:val="18"/>
              </w:rPr>
              <w:t xml:space="preserve"> </w:t>
            </w:r>
            <w:r w:rsidR="00A04C94">
              <w:rPr>
                <w:b/>
                <w:sz w:val="18"/>
                <w:szCs w:val="18"/>
              </w:rPr>
              <w:t>December</w:t>
            </w:r>
            <w:r w:rsidR="00A04C94" w:rsidRPr="00604C75">
              <w:rPr>
                <w:b/>
                <w:sz w:val="18"/>
                <w:szCs w:val="18"/>
              </w:rPr>
              <w:t xml:space="preserve"> </w:t>
            </w:r>
            <w:r w:rsidR="00B27268" w:rsidRPr="00604C75">
              <w:rPr>
                <w:b/>
                <w:sz w:val="18"/>
                <w:szCs w:val="18"/>
              </w:rPr>
              <w:t>201</w:t>
            </w:r>
            <w:r w:rsidR="0022507B" w:rsidRPr="00604C75">
              <w:rPr>
                <w:b/>
                <w:sz w:val="18"/>
                <w:szCs w:val="18"/>
              </w:rPr>
              <w:t>4</w:t>
            </w:r>
          </w:p>
        </w:tc>
      </w:tr>
      <w:tr w:rsidR="00224102" w:rsidRPr="00604C75" w14:paraId="2C8107AD" w14:textId="77777777" w:rsidTr="00AD726D">
        <w:trPr>
          <w:trHeight w:val="284"/>
        </w:trPr>
        <w:tc>
          <w:tcPr>
            <w:tcW w:w="5247" w:type="dxa"/>
            <w:vAlign w:val="bottom"/>
          </w:tcPr>
          <w:p w14:paraId="0D8C131F" w14:textId="77777777" w:rsidR="00224102" w:rsidRPr="00604C75" w:rsidRDefault="00224102" w:rsidP="00224102">
            <w:pPr>
              <w:rPr>
                <w:snapToGrid w:val="0"/>
                <w:sz w:val="18"/>
                <w:szCs w:val="18"/>
              </w:rPr>
            </w:pPr>
            <w:r w:rsidRPr="00604C75">
              <w:rPr>
                <w:snapToGrid w:val="0"/>
                <w:sz w:val="18"/>
                <w:szCs w:val="18"/>
              </w:rPr>
              <w:t>Group’s Profit</w:t>
            </w:r>
          </w:p>
        </w:tc>
        <w:tc>
          <w:tcPr>
            <w:tcW w:w="1989" w:type="dxa"/>
            <w:vAlign w:val="bottom"/>
          </w:tcPr>
          <w:p w14:paraId="51C63E17" w14:textId="37BA9542" w:rsidR="00224102" w:rsidRPr="00980409" w:rsidRDefault="00224102" w:rsidP="006058D1">
            <w:pPr>
              <w:ind w:right="21"/>
              <w:jc w:val="right"/>
              <w:rPr>
                <w:sz w:val="18"/>
                <w:szCs w:val="18"/>
              </w:rPr>
            </w:pPr>
            <w:r w:rsidRPr="00E46F2D">
              <w:rPr>
                <w:sz w:val="18"/>
                <w:szCs w:val="18"/>
              </w:rPr>
              <w:t>69,876</w:t>
            </w:r>
          </w:p>
        </w:tc>
        <w:tc>
          <w:tcPr>
            <w:tcW w:w="1849" w:type="dxa"/>
            <w:vAlign w:val="bottom"/>
          </w:tcPr>
          <w:p w14:paraId="3D48CA2D" w14:textId="7BACCFBF" w:rsidR="00224102" w:rsidRPr="00980409" w:rsidRDefault="00224102" w:rsidP="006058D1">
            <w:pPr>
              <w:ind w:right="21"/>
              <w:jc w:val="right"/>
              <w:rPr>
                <w:snapToGrid w:val="0"/>
                <w:sz w:val="18"/>
                <w:szCs w:val="18"/>
              </w:rPr>
            </w:pPr>
            <w:r>
              <w:rPr>
                <w:snapToGrid w:val="0"/>
                <w:sz w:val="18"/>
                <w:szCs w:val="18"/>
              </w:rPr>
              <w:t>136,</w:t>
            </w:r>
            <w:r w:rsidRPr="00A36623">
              <w:rPr>
                <w:snapToGrid w:val="0"/>
                <w:sz w:val="18"/>
                <w:szCs w:val="18"/>
              </w:rPr>
              <w:t>591</w:t>
            </w:r>
          </w:p>
        </w:tc>
      </w:tr>
      <w:tr w:rsidR="00224102" w:rsidRPr="00604C75" w14:paraId="61642E2C" w14:textId="77777777" w:rsidTr="00AD726D">
        <w:trPr>
          <w:trHeight w:val="284"/>
        </w:trPr>
        <w:tc>
          <w:tcPr>
            <w:tcW w:w="5247" w:type="dxa"/>
            <w:vAlign w:val="bottom"/>
          </w:tcPr>
          <w:p w14:paraId="6D103DD4" w14:textId="77777777" w:rsidR="00224102" w:rsidRPr="00604C75" w:rsidRDefault="00224102" w:rsidP="00224102">
            <w:pPr>
              <w:rPr>
                <w:snapToGrid w:val="0"/>
                <w:sz w:val="18"/>
                <w:szCs w:val="18"/>
              </w:rPr>
            </w:pPr>
            <w:r w:rsidRPr="00604C75">
              <w:rPr>
                <w:snapToGrid w:val="0"/>
                <w:sz w:val="18"/>
              </w:rPr>
              <w:t>Weighted Average Number of Issued Ordinary Shares (Thousand)</w:t>
            </w:r>
          </w:p>
        </w:tc>
        <w:tc>
          <w:tcPr>
            <w:tcW w:w="1989" w:type="dxa"/>
            <w:vAlign w:val="bottom"/>
          </w:tcPr>
          <w:p w14:paraId="2320E0E2" w14:textId="45837204" w:rsidR="00224102" w:rsidRPr="00980409" w:rsidRDefault="00224102" w:rsidP="006058D1">
            <w:pPr>
              <w:ind w:right="21"/>
              <w:jc w:val="right"/>
              <w:rPr>
                <w:sz w:val="18"/>
                <w:szCs w:val="18"/>
              </w:rPr>
            </w:pPr>
            <w:r w:rsidRPr="000843C9">
              <w:rPr>
                <w:sz w:val="18"/>
                <w:szCs w:val="18"/>
              </w:rPr>
              <w:t>620,000</w:t>
            </w:r>
          </w:p>
        </w:tc>
        <w:tc>
          <w:tcPr>
            <w:tcW w:w="1849" w:type="dxa"/>
            <w:vAlign w:val="bottom"/>
          </w:tcPr>
          <w:p w14:paraId="3F60031C" w14:textId="1BDB72E0" w:rsidR="00224102" w:rsidRPr="00980409" w:rsidRDefault="00224102" w:rsidP="006058D1">
            <w:pPr>
              <w:ind w:right="21"/>
              <w:jc w:val="right"/>
              <w:rPr>
                <w:snapToGrid w:val="0"/>
                <w:sz w:val="18"/>
                <w:szCs w:val="18"/>
              </w:rPr>
            </w:pPr>
            <w:r>
              <w:rPr>
                <w:snapToGrid w:val="0"/>
                <w:sz w:val="18"/>
                <w:szCs w:val="18"/>
              </w:rPr>
              <w:t>586,</w:t>
            </w:r>
            <w:r w:rsidRPr="00A36623">
              <w:rPr>
                <w:snapToGrid w:val="0"/>
                <w:sz w:val="18"/>
                <w:szCs w:val="18"/>
              </w:rPr>
              <w:t>667</w:t>
            </w:r>
          </w:p>
        </w:tc>
      </w:tr>
      <w:tr w:rsidR="00224102" w:rsidRPr="00604C75" w14:paraId="72A87320" w14:textId="77777777" w:rsidTr="00AD726D">
        <w:trPr>
          <w:trHeight w:val="284"/>
        </w:trPr>
        <w:tc>
          <w:tcPr>
            <w:tcW w:w="5247" w:type="dxa"/>
            <w:vAlign w:val="bottom"/>
          </w:tcPr>
          <w:p w14:paraId="5B4C487E" w14:textId="77777777" w:rsidR="00224102" w:rsidRPr="00604C75" w:rsidRDefault="00224102" w:rsidP="00224102">
            <w:pPr>
              <w:rPr>
                <w:b/>
                <w:iCs/>
                <w:snapToGrid w:val="0"/>
                <w:sz w:val="18"/>
                <w:szCs w:val="18"/>
              </w:rPr>
            </w:pPr>
            <w:r w:rsidRPr="00604C75">
              <w:rPr>
                <w:b/>
                <w:iCs/>
                <w:snapToGrid w:val="0"/>
                <w:sz w:val="18"/>
              </w:rPr>
              <w:t>Earnings Per Share (Disclosed in full TL)</w:t>
            </w:r>
          </w:p>
        </w:tc>
        <w:tc>
          <w:tcPr>
            <w:tcW w:w="1989" w:type="dxa"/>
            <w:vAlign w:val="bottom"/>
          </w:tcPr>
          <w:p w14:paraId="1885E2F1" w14:textId="4E225DF9" w:rsidR="00224102" w:rsidRPr="00980409" w:rsidRDefault="00224102" w:rsidP="006058D1">
            <w:pPr>
              <w:ind w:right="21"/>
              <w:jc w:val="right"/>
              <w:rPr>
                <w:b/>
                <w:sz w:val="18"/>
                <w:szCs w:val="18"/>
              </w:rPr>
            </w:pPr>
            <w:r w:rsidRPr="00E46F2D">
              <w:rPr>
                <w:b/>
                <w:sz w:val="18"/>
                <w:szCs w:val="18"/>
              </w:rPr>
              <w:t>0.1127</w:t>
            </w:r>
          </w:p>
        </w:tc>
        <w:tc>
          <w:tcPr>
            <w:tcW w:w="1849" w:type="dxa"/>
            <w:vAlign w:val="bottom"/>
          </w:tcPr>
          <w:p w14:paraId="635FF0DE" w14:textId="097F18CB" w:rsidR="00224102" w:rsidRPr="00980409" w:rsidRDefault="00224102" w:rsidP="006058D1">
            <w:pPr>
              <w:ind w:right="21"/>
              <w:jc w:val="right"/>
              <w:rPr>
                <w:b/>
                <w:snapToGrid w:val="0"/>
                <w:sz w:val="18"/>
                <w:szCs w:val="18"/>
              </w:rPr>
            </w:pPr>
            <w:r>
              <w:rPr>
                <w:b/>
                <w:snapToGrid w:val="0"/>
                <w:sz w:val="18"/>
                <w:szCs w:val="18"/>
              </w:rPr>
              <w:t>0.</w:t>
            </w:r>
            <w:r w:rsidRPr="00A36623">
              <w:rPr>
                <w:b/>
                <w:snapToGrid w:val="0"/>
                <w:sz w:val="18"/>
                <w:szCs w:val="18"/>
              </w:rPr>
              <w:t>2328</w:t>
            </w:r>
          </w:p>
        </w:tc>
      </w:tr>
    </w:tbl>
    <w:p w14:paraId="42AFBAA1" w14:textId="77777777" w:rsidR="00AE19A5" w:rsidRPr="00604C75" w:rsidRDefault="00AE19A5" w:rsidP="00F142CB">
      <w:pPr>
        <w:pStyle w:val="Body"/>
        <w:keepLines w:val="0"/>
        <w:widowControl w:val="0"/>
        <w:spacing w:before="120" w:after="0" w:line="240" w:lineRule="auto"/>
        <w:ind w:right="2"/>
        <w:rPr>
          <w:rFonts w:ascii="Times New Roman" w:hAnsi="Times New Roman"/>
          <w:sz w:val="20"/>
        </w:rPr>
      </w:pPr>
      <w:r w:rsidRPr="00604C75">
        <w:rPr>
          <w:rFonts w:ascii="Times New Roman" w:hAnsi="Times New Roman"/>
          <w:sz w:val="20"/>
        </w:rPr>
        <w:t>In Turkey, companies can increase their share capital by making a pro-rata distribution of shares (“bonus shares”) to existing shareholders from retained earnings. For the purpose of earnings per share computations, the weighted average number of shares outstanding during the year has been adjusted in respect of bonus shares issued without a corresponding change in resources by giving them a retroactive effect for the year in which they were issued and for each earlier period.</w:t>
      </w:r>
    </w:p>
    <w:p w14:paraId="50F27B14" w14:textId="120A0621" w:rsidR="00AE19A5" w:rsidRPr="00604C75" w:rsidRDefault="00D304D3" w:rsidP="00F142CB">
      <w:pPr>
        <w:pStyle w:val="BodyText3"/>
        <w:widowControl w:val="0"/>
        <w:tabs>
          <w:tab w:val="clear" w:pos="539"/>
          <w:tab w:val="clear" w:pos="5310"/>
          <w:tab w:val="clear" w:pos="7560"/>
        </w:tabs>
        <w:spacing w:before="120"/>
        <w:ind w:right="2"/>
        <w:jc w:val="both"/>
        <w:rPr>
          <w:i w:val="0"/>
          <w:sz w:val="20"/>
        </w:rPr>
      </w:pPr>
      <w:r w:rsidRPr="00306567">
        <w:rPr>
          <w:i w:val="0"/>
          <w:sz w:val="20"/>
        </w:rPr>
        <w:t>N</w:t>
      </w:r>
      <w:r w:rsidR="00AE19A5" w:rsidRPr="00306567">
        <w:rPr>
          <w:i w:val="0"/>
          <w:sz w:val="20"/>
        </w:rPr>
        <w:t>o bonus shares were issued</w:t>
      </w:r>
      <w:r w:rsidRPr="00306567">
        <w:rPr>
          <w:i w:val="0"/>
          <w:sz w:val="20"/>
        </w:rPr>
        <w:t xml:space="preserve"> </w:t>
      </w:r>
      <w:r w:rsidR="0016362B" w:rsidRPr="00306567">
        <w:rPr>
          <w:i w:val="0"/>
          <w:sz w:val="20"/>
        </w:rPr>
        <w:t xml:space="preserve">as of </w:t>
      </w:r>
      <w:r w:rsidR="00D405BC" w:rsidRPr="00306567">
        <w:rPr>
          <w:i w:val="0"/>
          <w:sz w:val="20"/>
        </w:rPr>
        <w:t xml:space="preserve">and for the </w:t>
      </w:r>
      <w:r w:rsidR="006058D1">
        <w:rPr>
          <w:i w:val="0"/>
          <w:sz w:val="20"/>
        </w:rPr>
        <w:t>year</w:t>
      </w:r>
      <w:r w:rsidR="00D405BC" w:rsidRPr="00306567">
        <w:rPr>
          <w:i w:val="0"/>
          <w:sz w:val="20"/>
        </w:rPr>
        <w:t xml:space="preserve"> ended </w:t>
      </w:r>
      <w:r w:rsidR="005D5541" w:rsidRPr="00306567">
        <w:rPr>
          <w:i w:val="0"/>
          <w:sz w:val="20"/>
        </w:rPr>
        <w:t xml:space="preserve">31 December </w:t>
      </w:r>
      <w:r w:rsidR="0016362B" w:rsidRPr="00306567">
        <w:rPr>
          <w:i w:val="0"/>
          <w:sz w:val="20"/>
        </w:rPr>
        <w:t xml:space="preserve">2015 </w:t>
      </w:r>
      <w:r w:rsidRPr="00306567">
        <w:rPr>
          <w:i w:val="0"/>
          <w:sz w:val="20"/>
        </w:rPr>
        <w:t>(31 December 201</w:t>
      </w:r>
      <w:r w:rsidR="005F601E" w:rsidRPr="00306567">
        <w:rPr>
          <w:i w:val="0"/>
          <w:sz w:val="20"/>
        </w:rPr>
        <w:t>4</w:t>
      </w:r>
      <w:r w:rsidR="00AE19A5" w:rsidRPr="00306567">
        <w:rPr>
          <w:i w:val="0"/>
          <w:sz w:val="20"/>
        </w:rPr>
        <w:t xml:space="preserve">: </w:t>
      </w:r>
      <w:r w:rsidR="002F7ACE" w:rsidRPr="00306567">
        <w:rPr>
          <w:i w:val="0"/>
          <w:sz w:val="20"/>
        </w:rPr>
        <w:t>None</w:t>
      </w:r>
      <w:r w:rsidR="00AE19A5" w:rsidRPr="00306567">
        <w:rPr>
          <w:i w:val="0"/>
          <w:sz w:val="20"/>
        </w:rPr>
        <w:t>).</w:t>
      </w:r>
    </w:p>
    <w:p w14:paraId="223D255A" w14:textId="727F60AB" w:rsidR="00AE19A5" w:rsidRPr="00604C75" w:rsidRDefault="006C23FA" w:rsidP="00F142CB">
      <w:pPr>
        <w:widowControl w:val="0"/>
        <w:spacing w:before="120"/>
        <w:ind w:right="2"/>
        <w:jc w:val="both"/>
        <w:rPr>
          <w:b/>
          <w:noProof/>
          <w:sz w:val="20"/>
          <w:szCs w:val="20"/>
          <w:lang w:val="tr-TR"/>
        </w:rPr>
      </w:pPr>
      <w:r w:rsidRPr="00604C75">
        <w:rPr>
          <w:b/>
          <w:noProof/>
          <w:sz w:val="20"/>
          <w:szCs w:val="20"/>
          <w:lang w:val="tr-TR"/>
        </w:rPr>
        <w:t xml:space="preserve">XXIV.     </w:t>
      </w:r>
      <w:r w:rsidR="00FD238D" w:rsidRPr="00604C75">
        <w:rPr>
          <w:b/>
          <w:noProof/>
          <w:sz w:val="20"/>
          <w:szCs w:val="20"/>
          <w:lang w:val="tr-TR"/>
        </w:rPr>
        <w:t>Related Parties</w:t>
      </w:r>
      <w:r w:rsidR="00FD238D" w:rsidRPr="00604C75" w:rsidDel="00FD238D">
        <w:rPr>
          <w:b/>
          <w:noProof/>
          <w:sz w:val="20"/>
          <w:szCs w:val="20"/>
          <w:lang w:val="tr-TR"/>
        </w:rPr>
        <w:t xml:space="preserve"> </w:t>
      </w:r>
    </w:p>
    <w:p w14:paraId="7D1A57D4" w14:textId="77777777" w:rsidR="00AE19A5" w:rsidRPr="00604C75" w:rsidRDefault="00AE19A5" w:rsidP="00F142CB">
      <w:pPr>
        <w:pStyle w:val="BodyText3"/>
        <w:widowControl w:val="0"/>
        <w:tabs>
          <w:tab w:val="clear" w:pos="539"/>
          <w:tab w:val="clear" w:pos="5310"/>
          <w:tab w:val="clear" w:pos="7560"/>
          <w:tab w:val="center" w:pos="-180"/>
        </w:tabs>
        <w:spacing w:before="120"/>
        <w:ind w:right="2"/>
        <w:jc w:val="both"/>
        <w:rPr>
          <w:i w:val="0"/>
          <w:noProof/>
          <w:sz w:val="20"/>
          <w:lang w:val="tr-TR"/>
        </w:rPr>
      </w:pPr>
      <w:r w:rsidRPr="00604C75">
        <w:rPr>
          <w:i w:val="0"/>
          <w:noProof/>
          <w:sz w:val="20"/>
          <w:lang w:val="tr-TR"/>
        </w:rPr>
        <w:t xml:space="preserve">For the purpose of these financial statements, shareholders, key management personnel and board members together with their families and companies controlled by/affiliated with them, and associated companies are considered and referred to as related parties in accordance with “Turkish Accounting Standard for Related Parties” (“TAS 24”). The transactions with related parties are disclosed in detail in </w:t>
      </w:r>
      <w:r w:rsidRPr="0034004F">
        <w:rPr>
          <w:i w:val="0"/>
          <w:noProof/>
          <w:sz w:val="20"/>
          <w:lang w:val="tr-TR"/>
        </w:rPr>
        <w:t>Note V. of Section Five.</w:t>
      </w:r>
    </w:p>
    <w:p w14:paraId="340E8B2A" w14:textId="6685D288" w:rsidR="00AE19A5" w:rsidRPr="00604C75" w:rsidRDefault="006C23FA" w:rsidP="00F142CB">
      <w:pPr>
        <w:pStyle w:val="BodyText3"/>
        <w:widowControl w:val="0"/>
        <w:tabs>
          <w:tab w:val="clear" w:pos="539"/>
          <w:tab w:val="clear" w:pos="5310"/>
          <w:tab w:val="clear" w:pos="7560"/>
        </w:tabs>
        <w:spacing w:before="120"/>
        <w:ind w:right="2"/>
        <w:jc w:val="both"/>
        <w:rPr>
          <w:i w:val="0"/>
          <w:noProof/>
          <w:sz w:val="20"/>
          <w:lang w:val="tr-TR"/>
        </w:rPr>
      </w:pPr>
      <w:r w:rsidRPr="00604C75">
        <w:rPr>
          <w:b/>
          <w:i w:val="0"/>
          <w:noProof/>
          <w:sz w:val="20"/>
          <w:lang w:val="tr-TR"/>
        </w:rPr>
        <w:t xml:space="preserve">XXV.      </w:t>
      </w:r>
      <w:r w:rsidR="00FD238D" w:rsidRPr="00604C75">
        <w:rPr>
          <w:b/>
          <w:i w:val="0"/>
          <w:noProof/>
          <w:sz w:val="20"/>
          <w:lang w:val="tr-TR"/>
        </w:rPr>
        <w:t>Cash and Cash Equivalents</w:t>
      </w:r>
      <w:r w:rsidR="00FD238D" w:rsidRPr="00604C75" w:rsidDel="00FD238D">
        <w:rPr>
          <w:b/>
          <w:i w:val="0"/>
          <w:noProof/>
          <w:sz w:val="20"/>
          <w:lang w:val="tr-TR"/>
        </w:rPr>
        <w:t xml:space="preserve"> </w:t>
      </w:r>
    </w:p>
    <w:p w14:paraId="15AA9181" w14:textId="77777777" w:rsidR="00AE19A5" w:rsidRPr="00604C75" w:rsidRDefault="00AE19A5" w:rsidP="00F142CB">
      <w:pPr>
        <w:pStyle w:val="BodyText"/>
        <w:widowControl w:val="0"/>
        <w:tabs>
          <w:tab w:val="clear" w:pos="0"/>
          <w:tab w:val="clear" w:pos="567"/>
          <w:tab w:val="clear" w:pos="720"/>
        </w:tabs>
        <w:spacing w:before="120"/>
        <w:ind w:right="2"/>
        <w:rPr>
          <w:bCs/>
          <w:iCs/>
          <w:noProof/>
          <w:color w:val="auto"/>
          <w:sz w:val="20"/>
          <w:lang w:val="tr-TR"/>
        </w:rPr>
      </w:pPr>
      <w:r w:rsidRPr="00604C75">
        <w:rPr>
          <w:bCs/>
          <w:iCs/>
          <w:noProof/>
          <w:color w:val="auto"/>
          <w:sz w:val="20"/>
          <w:lang w:val="tr-TR"/>
        </w:rPr>
        <w:t>For the purposes of</w:t>
      </w:r>
      <w:r w:rsidR="00BD703E" w:rsidRPr="00604C75">
        <w:rPr>
          <w:bCs/>
          <w:iCs/>
          <w:noProof/>
          <w:color w:val="auto"/>
          <w:sz w:val="20"/>
          <w:lang w:val="tr-TR"/>
        </w:rPr>
        <w:t xml:space="preserve"> preparation of</w:t>
      </w:r>
      <w:r w:rsidRPr="00604C75">
        <w:rPr>
          <w:bCs/>
          <w:iCs/>
          <w:noProof/>
          <w:color w:val="auto"/>
          <w:sz w:val="20"/>
          <w:lang w:val="tr-TR"/>
        </w:rPr>
        <w:t xml:space="preserve"> the cash flow statement, “Cash” includes cash, effectives, cash in transit, purchased </w:t>
      </w:r>
      <w:bookmarkStart w:id="11" w:name="OLE_LINK258"/>
      <w:r w:rsidRPr="00604C75">
        <w:rPr>
          <w:bCs/>
          <w:iCs/>
          <w:noProof/>
          <w:color w:val="auto"/>
          <w:sz w:val="20"/>
          <w:lang w:val="tr-TR"/>
        </w:rPr>
        <w:t>cheques</w:t>
      </w:r>
      <w:bookmarkEnd w:id="11"/>
      <w:r w:rsidRPr="00604C75">
        <w:rPr>
          <w:bCs/>
          <w:iCs/>
          <w:noProof/>
          <w:color w:val="auto"/>
          <w:sz w:val="20"/>
          <w:lang w:val="tr-TR"/>
        </w:rPr>
        <w:t xml:space="preserve"> and demand deposits including balances with the Central Bank; and “Cash equivalents” include interbank money market placements and time deposits at banks with original maturity periods of less than three months. </w:t>
      </w:r>
    </w:p>
    <w:p w14:paraId="56CB91EE" w14:textId="77777777" w:rsidR="00AE19A5" w:rsidRPr="00604C75" w:rsidRDefault="006C23FA" w:rsidP="00F142CB">
      <w:pPr>
        <w:widowControl w:val="0"/>
        <w:spacing w:before="120"/>
        <w:ind w:right="2"/>
        <w:jc w:val="both"/>
        <w:rPr>
          <w:b/>
          <w:sz w:val="20"/>
          <w:szCs w:val="20"/>
        </w:rPr>
      </w:pPr>
      <w:r w:rsidRPr="00604C75">
        <w:rPr>
          <w:b/>
          <w:sz w:val="20"/>
          <w:szCs w:val="20"/>
        </w:rPr>
        <w:t xml:space="preserve">XXVI.     </w:t>
      </w:r>
      <w:r w:rsidR="00AE19A5" w:rsidRPr="00604C75">
        <w:rPr>
          <w:b/>
          <w:sz w:val="20"/>
          <w:szCs w:val="20"/>
        </w:rPr>
        <w:t>O</w:t>
      </w:r>
      <w:r w:rsidR="00FD238D" w:rsidRPr="00604C75">
        <w:rPr>
          <w:b/>
          <w:sz w:val="20"/>
          <w:szCs w:val="20"/>
        </w:rPr>
        <w:t>perating Segments</w:t>
      </w:r>
    </w:p>
    <w:p w14:paraId="5076CE85" w14:textId="77777777" w:rsidR="00AE19A5" w:rsidRPr="00604C75" w:rsidRDefault="00AE19A5" w:rsidP="00F142CB">
      <w:pPr>
        <w:widowControl w:val="0"/>
        <w:spacing w:before="120"/>
        <w:ind w:right="2"/>
        <w:jc w:val="both"/>
        <w:rPr>
          <w:rFonts w:eastAsia="Arial Unicode MS"/>
          <w:bCs/>
          <w:sz w:val="20"/>
          <w:szCs w:val="20"/>
        </w:rPr>
      </w:pPr>
      <w:r w:rsidRPr="00604C75">
        <w:rPr>
          <w:rFonts w:eastAsia="Arial Unicode MS"/>
          <w:bCs/>
          <w:sz w:val="20"/>
          <w:szCs w:val="20"/>
        </w:rPr>
        <w:t xml:space="preserve">Information about operating segments which are determined in line with TFRS 8 “Turkish </w:t>
      </w:r>
      <w:r w:rsidR="00F838F7" w:rsidRPr="00604C75">
        <w:rPr>
          <w:rFonts w:eastAsia="Arial Unicode MS"/>
          <w:bCs/>
          <w:sz w:val="20"/>
          <w:szCs w:val="20"/>
        </w:rPr>
        <w:t xml:space="preserve">Financial Reporting </w:t>
      </w:r>
      <w:r w:rsidRPr="00604C75">
        <w:rPr>
          <w:rFonts w:eastAsia="Arial Unicode MS"/>
          <w:bCs/>
          <w:sz w:val="20"/>
          <w:szCs w:val="20"/>
        </w:rPr>
        <w:t xml:space="preserve">Standard about Operating Segments” together with organizational and internal reporting structure of the </w:t>
      </w:r>
      <w:r w:rsidR="006B3395" w:rsidRPr="00604C75">
        <w:rPr>
          <w:rFonts w:eastAsia="Arial Unicode MS"/>
          <w:bCs/>
          <w:sz w:val="20"/>
          <w:szCs w:val="20"/>
        </w:rPr>
        <w:t>Group</w:t>
      </w:r>
      <w:r w:rsidR="00C306D1">
        <w:rPr>
          <w:rFonts w:eastAsia="Arial Unicode MS"/>
          <w:bCs/>
          <w:sz w:val="20"/>
          <w:szCs w:val="20"/>
        </w:rPr>
        <w:t>.</w:t>
      </w:r>
      <w:r w:rsidRPr="00604C75">
        <w:rPr>
          <w:rFonts w:eastAsia="Arial Unicode MS"/>
          <w:bCs/>
          <w:sz w:val="20"/>
          <w:szCs w:val="20"/>
        </w:rPr>
        <w:t xml:space="preserve"> </w:t>
      </w:r>
    </w:p>
    <w:p w14:paraId="6AB2A310" w14:textId="6E701854" w:rsidR="00C306D1" w:rsidRDefault="00C306D1" w:rsidP="00F142CB">
      <w:pPr>
        <w:tabs>
          <w:tab w:val="left" w:pos="0"/>
          <w:tab w:val="left" w:pos="1276"/>
        </w:tabs>
        <w:spacing w:before="120"/>
        <w:jc w:val="both"/>
        <w:rPr>
          <w:sz w:val="20"/>
          <w:szCs w:val="20"/>
        </w:rPr>
      </w:pPr>
      <w:r w:rsidRPr="00604C75">
        <w:rPr>
          <w:sz w:val="20"/>
          <w:szCs w:val="20"/>
        </w:rPr>
        <w:t>The other subsidiary of the</w:t>
      </w:r>
      <w:r w:rsidR="002C3B01">
        <w:rPr>
          <w:sz w:val="20"/>
          <w:szCs w:val="20"/>
        </w:rPr>
        <w:t xml:space="preserve"> Parent</w:t>
      </w:r>
      <w:r w:rsidRPr="00604C75">
        <w:rPr>
          <w:sz w:val="20"/>
          <w:szCs w:val="20"/>
        </w:rPr>
        <w:t xml:space="preserve"> Bank, </w:t>
      </w:r>
      <w:proofErr w:type="spellStart"/>
      <w:r w:rsidRPr="00604C75">
        <w:rPr>
          <w:sz w:val="20"/>
          <w:szCs w:val="20"/>
        </w:rPr>
        <w:t>Alternatif</w:t>
      </w:r>
      <w:proofErr w:type="spellEnd"/>
      <w:r w:rsidRPr="00604C75">
        <w:rPr>
          <w:sz w:val="20"/>
          <w:szCs w:val="20"/>
        </w:rPr>
        <w:t xml:space="preserve"> </w:t>
      </w:r>
      <w:proofErr w:type="spellStart"/>
      <w:r w:rsidRPr="00604C75">
        <w:rPr>
          <w:sz w:val="20"/>
          <w:szCs w:val="20"/>
        </w:rPr>
        <w:t>Finansal</w:t>
      </w:r>
      <w:proofErr w:type="spellEnd"/>
      <w:r w:rsidRPr="00604C75">
        <w:rPr>
          <w:sz w:val="20"/>
          <w:szCs w:val="20"/>
        </w:rPr>
        <w:t xml:space="preserve"> </w:t>
      </w:r>
      <w:proofErr w:type="spellStart"/>
      <w:r w:rsidRPr="00604C75">
        <w:rPr>
          <w:sz w:val="20"/>
          <w:szCs w:val="20"/>
        </w:rPr>
        <w:t>Kiralama</w:t>
      </w:r>
      <w:proofErr w:type="spellEnd"/>
      <w:r w:rsidRPr="00604C75">
        <w:rPr>
          <w:sz w:val="20"/>
          <w:szCs w:val="20"/>
        </w:rPr>
        <w:t xml:space="preserve"> </w:t>
      </w:r>
      <w:proofErr w:type="spellStart"/>
      <w:r w:rsidRPr="00604C75">
        <w:rPr>
          <w:sz w:val="20"/>
          <w:szCs w:val="20"/>
        </w:rPr>
        <w:t>A.Ş.was</w:t>
      </w:r>
      <w:proofErr w:type="spellEnd"/>
      <w:r w:rsidRPr="00604C75">
        <w:rPr>
          <w:sz w:val="20"/>
          <w:szCs w:val="20"/>
        </w:rPr>
        <w:t xml:space="preserve"> established in 1997, operates according to Financial Leasing Law communiqués 3226 numbered, permit from Treasury and Foreign Trade </w:t>
      </w:r>
      <w:proofErr w:type="spellStart"/>
      <w:r w:rsidRPr="00604C75">
        <w:rPr>
          <w:sz w:val="20"/>
          <w:szCs w:val="20"/>
        </w:rPr>
        <w:t>Undersecretariat</w:t>
      </w:r>
      <w:proofErr w:type="spellEnd"/>
      <w:r w:rsidRPr="00604C75">
        <w:rPr>
          <w:sz w:val="20"/>
          <w:szCs w:val="20"/>
        </w:rPr>
        <w:t xml:space="preserve"> to operate in Turkey. Company operates its activities published on the Official Gazette no.28627 dated 24 April 2013 communiqués published by the Banking Regulation and Supervision Board </w:t>
      </w:r>
      <w:r w:rsidRPr="00E83EAC">
        <w:rPr>
          <w:sz w:val="20"/>
          <w:szCs w:val="20"/>
        </w:rPr>
        <w:t>‘</w:t>
      </w:r>
      <w:r w:rsidRPr="00604C75">
        <w:rPr>
          <w:sz w:val="20"/>
          <w:szCs w:val="20"/>
        </w:rPr>
        <w:t xml:space="preserve">Leasing, </w:t>
      </w:r>
      <w:proofErr w:type="spellStart"/>
      <w:r w:rsidRPr="00604C75">
        <w:rPr>
          <w:sz w:val="20"/>
          <w:szCs w:val="20"/>
        </w:rPr>
        <w:t>Faktoring</w:t>
      </w:r>
      <w:proofErr w:type="spellEnd"/>
      <w:r w:rsidRPr="00604C75">
        <w:rPr>
          <w:sz w:val="20"/>
          <w:szCs w:val="20"/>
        </w:rPr>
        <w:t>, and Finance companies Regulation on the Establishment and Principles</w:t>
      </w:r>
      <w:r w:rsidRPr="00E83EAC">
        <w:rPr>
          <w:sz w:val="20"/>
          <w:szCs w:val="20"/>
        </w:rPr>
        <w:t>’</w:t>
      </w:r>
      <w:r w:rsidRPr="00604C75">
        <w:rPr>
          <w:sz w:val="20"/>
          <w:szCs w:val="20"/>
        </w:rPr>
        <w:t>.</w:t>
      </w:r>
    </w:p>
    <w:p w14:paraId="792CB021" w14:textId="5D6241AE" w:rsidR="00E50B4B" w:rsidRPr="008B4EEC" w:rsidRDefault="00E50B4B" w:rsidP="00F142CB">
      <w:pPr>
        <w:pStyle w:val="NormalIndent"/>
        <w:tabs>
          <w:tab w:val="left" w:pos="540"/>
          <w:tab w:val="left" w:pos="1418"/>
          <w:tab w:val="left" w:pos="1456"/>
        </w:tabs>
        <w:spacing w:before="120"/>
        <w:ind w:left="1418" w:hanging="1418"/>
        <w:jc w:val="both"/>
      </w:pPr>
      <w:r w:rsidRPr="008B4EEC">
        <w:t>a)</w:t>
      </w:r>
      <w:r w:rsidRPr="008B4EEC">
        <w:tab/>
        <w:t>The</w:t>
      </w:r>
      <w:r w:rsidR="002C3B01">
        <w:t xml:space="preserve"> Parent</w:t>
      </w:r>
      <w:r w:rsidRPr="008B4EEC">
        <w:t xml:space="preserve"> </w:t>
      </w:r>
      <w:r>
        <w:t>Bank</w:t>
      </w:r>
      <w:r w:rsidRPr="008B4EEC">
        <w:t xml:space="preserve"> provid</w:t>
      </w:r>
      <w:r>
        <w:t>es</w:t>
      </w:r>
      <w:r w:rsidRPr="008B4EEC">
        <w:t xml:space="preserve"> basic banking services in corporate/commercial banking and treasury field.</w:t>
      </w:r>
    </w:p>
    <w:p w14:paraId="0B940EAC" w14:textId="77777777" w:rsidR="00E50B4B" w:rsidRPr="008B4EEC" w:rsidRDefault="00E50B4B" w:rsidP="00F142CB">
      <w:pPr>
        <w:pStyle w:val="NormalIndent"/>
        <w:tabs>
          <w:tab w:val="left" w:pos="540"/>
          <w:tab w:val="left" w:pos="709"/>
          <w:tab w:val="left" w:pos="851"/>
        </w:tabs>
        <w:spacing w:before="120"/>
        <w:ind w:left="567" w:hanging="567"/>
        <w:jc w:val="both"/>
      </w:pPr>
      <w:r w:rsidRPr="008B4EEC">
        <w:t>b)</w:t>
      </w:r>
      <w:r w:rsidRPr="008B4EEC">
        <w:tab/>
        <w:t>Corporate banking services consists of automatic money transfers, current accounts, deposits, open loan transactions as well as option and other derivative instruments that are used for banking operations.</w:t>
      </w:r>
    </w:p>
    <w:p w14:paraId="080F6703" w14:textId="77777777" w:rsidR="00E50B4B" w:rsidRDefault="00E50B4B" w:rsidP="00DC4EAE">
      <w:pPr>
        <w:pStyle w:val="NormalIndent"/>
        <w:tabs>
          <w:tab w:val="left" w:pos="540"/>
          <w:tab w:val="left" w:pos="1418"/>
          <w:tab w:val="left" w:pos="1456"/>
        </w:tabs>
        <w:spacing w:before="120" w:after="120"/>
        <w:ind w:left="1418" w:hanging="1418"/>
        <w:jc w:val="both"/>
      </w:pPr>
      <w:r w:rsidRPr="008B4EEC">
        <w:t>c)</w:t>
      </w:r>
      <w:r w:rsidRPr="008B4EEC">
        <w:tab/>
        <w:t>Investment banking services consists of trading of financial instruments and fund management.</w:t>
      </w:r>
    </w:p>
    <w:p w14:paraId="661C4952" w14:textId="740C7597" w:rsidR="00DC4EAE" w:rsidRPr="00DF33F6" w:rsidRDefault="00E50B4B" w:rsidP="00DC4EAE">
      <w:pPr>
        <w:ind w:left="567" w:hanging="567"/>
        <w:jc w:val="both"/>
        <w:rPr>
          <w:color w:val="222222"/>
          <w:sz w:val="20"/>
          <w:szCs w:val="20"/>
          <w:lang w:val="en"/>
        </w:rPr>
      </w:pPr>
      <w:r w:rsidRPr="00692926">
        <w:rPr>
          <w:sz w:val="20"/>
          <w:szCs w:val="20"/>
        </w:rPr>
        <w:t xml:space="preserve">d) </w:t>
      </w:r>
      <w:r>
        <w:rPr>
          <w:sz w:val="20"/>
          <w:szCs w:val="20"/>
        </w:rPr>
        <w:t xml:space="preserve">  </w:t>
      </w:r>
      <w:r w:rsidR="00DC4EAE">
        <w:rPr>
          <w:sz w:val="20"/>
          <w:szCs w:val="20"/>
        </w:rPr>
        <w:t xml:space="preserve">  </w:t>
      </w:r>
      <w:r w:rsidR="00DC4EAE" w:rsidRPr="00DF33F6">
        <w:rPr>
          <w:color w:val="222222"/>
          <w:sz w:val="20"/>
          <w:szCs w:val="20"/>
          <w:lang w:val="en"/>
        </w:rPr>
        <w:t>The Parent Bank's one of th</w:t>
      </w:r>
      <w:r w:rsidR="00DC4EAE">
        <w:rPr>
          <w:color w:val="222222"/>
          <w:sz w:val="20"/>
          <w:szCs w:val="20"/>
          <w:lang w:val="en"/>
        </w:rPr>
        <w:t>e subsidiary</w:t>
      </w:r>
      <w:r w:rsidR="00DC4EAE" w:rsidRPr="00DF33F6">
        <w:rPr>
          <w:color w:val="222222"/>
          <w:sz w:val="20"/>
          <w:szCs w:val="20"/>
          <w:lang w:val="en"/>
        </w:rPr>
        <w:t xml:space="preserve"> </w:t>
      </w:r>
      <w:proofErr w:type="spellStart"/>
      <w:r w:rsidR="00DC4EAE" w:rsidRPr="00DF33F6">
        <w:rPr>
          <w:color w:val="222222"/>
          <w:sz w:val="20"/>
          <w:szCs w:val="20"/>
          <w:lang w:val="en"/>
        </w:rPr>
        <w:t>Alternatif</w:t>
      </w:r>
      <w:proofErr w:type="spellEnd"/>
      <w:r w:rsidR="00DC4EAE" w:rsidRPr="00DF33F6">
        <w:rPr>
          <w:color w:val="222222"/>
          <w:sz w:val="20"/>
          <w:szCs w:val="20"/>
          <w:lang w:val="en"/>
        </w:rPr>
        <w:t xml:space="preserve"> </w:t>
      </w:r>
      <w:proofErr w:type="spellStart"/>
      <w:r w:rsidR="00DC4EAE" w:rsidRPr="00DF33F6">
        <w:rPr>
          <w:color w:val="222222"/>
          <w:sz w:val="20"/>
          <w:szCs w:val="20"/>
          <w:lang w:val="en"/>
        </w:rPr>
        <w:t>Yatırım</w:t>
      </w:r>
      <w:proofErr w:type="spellEnd"/>
      <w:r w:rsidR="00DC4EAE" w:rsidRPr="00DF33F6">
        <w:rPr>
          <w:color w:val="222222"/>
          <w:sz w:val="20"/>
          <w:szCs w:val="20"/>
          <w:lang w:val="en"/>
        </w:rPr>
        <w:t xml:space="preserve"> A.Ş. </w:t>
      </w:r>
      <w:r w:rsidR="00DC4EAE">
        <w:rPr>
          <w:color w:val="222222"/>
          <w:sz w:val="20"/>
          <w:szCs w:val="20"/>
          <w:lang w:val="en"/>
        </w:rPr>
        <w:t xml:space="preserve">provides </w:t>
      </w:r>
      <w:r w:rsidR="00DC4EAE" w:rsidRPr="00DF33F6">
        <w:rPr>
          <w:color w:val="222222"/>
          <w:sz w:val="20"/>
          <w:szCs w:val="20"/>
          <w:lang w:val="en"/>
        </w:rPr>
        <w:t>capital market activities in accordance with Capital Market Law and relevant legislation</w:t>
      </w:r>
      <w:r w:rsidR="00DC4EAE">
        <w:rPr>
          <w:color w:val="222222"/>
          <w:sz w:val="20"/>
          <w:szCs w:val="20"/>
          <w:lang w:val="en"/>
        </w:rPr>
        <w:t>s</w:t>
      </w:r>
      <w:r w:rsidR="00DC4EAE" w:rsidRPr="00DF33F6">
        <w:rPr>
          <w:color w:val="222222"/>
          <w:sz w:val="20"/>
          <w:szCs w:val="20"/>
          <w:lang w:val="en"/>
        </w:rPr>
        <w:t xml:space="preserve">. In accordance with the law and </w:t>
      </w:r>
      <w:r w:rsidR="00DC4EAE">
        <w:rPr>
          <w:color w:val="222222"/>
          <w:sz w:val="20"/>
          <w:szCs w:val="20"/>
          <w:lang w:val="en"/>
        </w:rPr>
        <w:t>within</w:t>
      </w:r>
      <w:r w:rsidR="00DC4EAE" w:rsidRPr="00DF33F6">
        <w:rPr>
          <w:color w:val="222222"/>
          <w:sz w:val="20"/>
          <w:szCs w:val="20"/>
          <w:lang w:val="en"/>
        </w:rPr>
        <w:t xml:space="preserve"> the authorization and permits given</w:t>
      </w:r>
      <w:r w:rsidR="00DC4EAE">
        <w:rPr>
          <w:color w:val="222222"/>
          <w:sz w:val="20"/>
          <w:szCs w:val="20"/>
          <w:lang w:val="en"/>
        </w:rPr>
        <w:t>,</w:t>
      </w:r>
      <w:r w:rsidR="00DC4EAE" w:rsidRPr="00DF33F6">
        <w:rPr>
          <w:color w:val="222222"/>
          <w:sz w:val="20"/>
          <w:szCs w:val="20"/>
          <w:lang w:val="en"/>
        </w:rPr>
        <w:t xml:space="preserve"> the Company operates</w:t>
      </w:r>
      <w:r w:rsidR="00DC4EAE">
        <w:rPr>
          <w:color w:val="222222"/>
          <w:sz w:val="20"/>
          <w:szCs w:val="20"/>
          <w:lang w:val="en"/>
        </w:rPr>
        <w:t xml:space="preserve"> in the company brokerage, portfolio m</w:t>
      </w:r>
      <w:r w:rsidR="00DC4EAE" w:rsidRPr="00DF33F6">
        <w:rPr>
          <w:color w:val="222222"/>
          <w:sz w:val="20"/>
          <w:szCs w:val="20"/>
          <w:lang w:val="en"/>
        </w:rPr>
        <w:t xml:space="preserve">anagement, </w:t>
      </w:r>
      <w:r w:rsidR="00DC4EAE">
        <w:rPr>
          <w:color w:val="222222"/>
          <w:sz w:val="20"/>
          <w:szCs w:val="20"/>
          <w:lang w:val="en"/>
        </w:rPr>
        <w:t>m</w:t>
      </w:r>
      <w:r w:rsidR="00DC4EAE" w:rsidRPr="00DF33F6">
        <w:rPr>
          <w:color w:val="222222"/>
          <w:sz w:val="20"/>
          <w:szCs w:val="20"/>
          <w:lang w:val="en"/>
        </w:rPr>
        <w:t xml:space="preserve">argin </w:t>
      </w:r>
      <w:r w:rsidR="00DC4EAE">
        <w:rPr>
          <w:color w:val="222222"/>
          <w:sz w:val="20"/>
          <w:szCs w:val="20"/>
          <w:lang w:val="en"/>
        </w:rPr>
        <w:t>t</w:t>
      </w:r>
      <w:r w:rsidR="00DC4EAE" w:rsidRPr="00DF33F6">
        <w:rPr>
          <w:color w:val="222222"/>
          <w:sz w:val="20"/>
          <w:szCs w:val="20"/>
          <w:lang w:val="en"/>
        </w:rPr>
        <w:t xml:space="preserve">rading, Short Selling and Lending and Borrowing of Securities, </w:t>
      </w:r>
      <w:r w:rsidR="00DC4EAE">
        <w:rPr>
          <w:color w:val="222222"/>
          <w:sz w:val="20"/>
          <w:szCs w:val="20"/>
          <w:lang w:val="en"/>
        </w:rPr>
        <w:t>i</w:t>
      </w:r>
      <w:r w:rsidR="00DC4EAE" w:rsidRPr="00DF33F6">
        <w:rPr>
          <w:color w:val="222222"/>
          <w:sz w:val="20"/>
          <w:szCs w:val="20"/>
          <w:lang w:val="en"/>
        </w:rPr>
        <w:t xml:space="preserve">nvestment </w:t>
      </w:r>
      <w:r w:rsidR="00DC4EAE">
        <w:rPr>
          <w:color w:val="222222"/>
          <w:sz w:val="20"/>
          <w:szCs w:val="20"/>
          <w:lang w:val="en"/>
        </w:rPr>
        <w:t>a</w:t>
      </w:r>
      <w:r w:rsidR="00DC4EAE" w:rsidRPr="00DF33F6">
        <w:rPr>
          <w:color w:val="222222"/>
          <w:sz w:val="20"/>
          <w:szCs w:val="20"/>
          <w:lang w:val="en"/>
        </w:rPr>
        <w:t xml:space="preserve">dvisory , the </w:t>
      </w:r>
      <w:r w:rsidR="00DC4EAE">
        <w:rPr>
          <w:color w:val="222222"/>
          <w:sz w:val="20"/>
          <w:szCs w:val="20"/>
          <w:lang w:val="en"/>
        </w:rPr>
        <w:t>s</w:t>
      </w:r>
      <w:r w:rsidR="00DC4EAE" w:rsidRPr="00DF33F6">
        <w:rPr>
          <w:color w:val="222222"/>
          <w:sz w:val="20"/>
          <w:szCs w:val="20"/>
          <w:lang w:val="en"/>
        </w:rPr>
        <w:t>ecurit</w:t>
      </w:r>
      <w:r w:rsidR="00DC4EAE">
        <w:rPr>
          <w:color w:val="222222"/>
          <w:sz w:val="20"/>
          <w:szCs w:val="20"/>
          <w:lang w:val="en"/>
        </w:rPr>
        <w:t>ies e</w:t>
      </w:r>
      <w:r w:rsidR="00DC4EAE" w:rsidRPr="00DF33F6">
        <w:rPr>
          <w:color w:val="222222"/>
          <w:sz w:val="20"/>
          <w:szCs w:val="20"/>
          <w:lang w:val="en"/>
        </w:rPr>
        <w:t xml:space="preserve">xchange with buy-back sell-back </w:t>
      </w:r>
      <w:r w:rsidR="00DC4EAE">
        <w:rPr>
          <w:color w:val="222222"/>
          <w:sz w:val="20"/>
          <w:szCs w:val="20"/>
          <w:lang w:val="en"/>
        </w:rPr>
        <w:t>c</w:t>
      </w:r>
      <w:r w:rsidR="00DC4EAE" w:rsidRPr="00DF33F6">
        <w:rPr>
          <w:color w:val="222222"/>
          <w:sz w:val="20"/>
          <w:szCs w:val="20"/>
          <w:lang w:val="en"/>
        </w:rPr>
        <w:t>ommitment, intermediation for public offering , intermediation for the derivative instruments exchange.</w:t>
      </w:r>
    </w:p>
    <w:p w14:paraId="70C78830" w14:textId="77777777" w:rsidR="00490153" w:rsidRDefault="00490153">
      <w:pPr>
        <w:spacing w:after="200" w:line="276" w:lineRule="auto"/>
        <w:rPr>
          <w:b/>
          <w:sz w:val="20"/>
          <w:szCs w:val="20"/>
        </w:rPr>
      </w:pPr>
      <w:r>
        <w:rPr>
          <w:b/>
          <w:sz w:val="20"/>
          <w:szCs w:val="20"/>
        </w:rPr>
        <w:br w:type="page"/>
      </w:r>
    </w:p>
    <w:p w14:paraId="6F38A4A7" w14:textId="4EE98CB3" w:rsidR="00E50B4B" w:rsidRPr="00604C75" w:rsidRDefault="00E50B4B" w:rsidP="00F142CB">
      <w:pPr>
        <w:widowControl w:val="0"/>
        <w:spacing w:before="120" w:after="120"/>
        <w:jc w:val="both"/>
        <w:rPr>
          <w:b/>
          <w:sz w:val="20"/>
          <w:szCs w:val="20"/>
        </w:rPr>
      </w:pPr>
      <w:r w:rsidRPr="00604C75">
        <w:rPr>
          <w:b/>
          <w:sz w:val="20"/>
          <w:szCs w:val="20"/>
        </w:rPr>
        <w:lastRenderedPageBreak/>
        <w:t>EXPLANATIONS ON ACCOUNTING POLICIES (Continued)</w:t>
      </w:r>
    </w:p>
    <w:p w14:paraId="6B118331" w14:textId="77777777" w:rsidR="00E50B4B" w:rsidRPr="00604C75" w:rsidRDefault="00E50B4B" w:rsidP="00DC4EAE">
      <w:pPr>
        <w:widowControl w:val="0"/>
        <w:spacing w:before="120" w:after="120"/>
        <w:ind w:right="2"/>
        <w:jc w:val="both"/>
        <w:rPr>
          <w:b/>
          <w:sz w:val="20"/>
          <w:szCs w:val="20"/>
        </w:rPr>
      </w:pPr>
      <w:r w:rsidRPr="00604C75">
        <w:rPr>
          <w:b/>
          <w:sz w:val="20"/>
          <w:szCs w:val="20"/>
        </w:rPr>
        <w:t>XXVI.     Operating Segments</w:t>
      </w:r>
      <w:r>
        <w:rPr>
          <w:b/>
          <w:sz w:val="20"/>
          <w:szCs w:val="20"/>
        </w:rPr>
        <w:t xml:space="preserve"> (Continued)</w:t>
      </w:r>
    </w:p>
    <w:p w14:paraId="5D257378" w14:textId="1F1836AD" w:rsidR="00DC4EAE" w:rsidRPr="00DF33F6" w:rsidRDefault="00DC4EAE" w:rsidP="00F6472E">
      <w:pPr>
        <w:ind w:left="540" w:hanging="540"/>
        <w:jc w:val="both"/>
        <w:rPr>
          <w:sz w:val="20"/>
          <w:szCs w:val="20"/>
          <w:lang w:val="en"/>
        </w:rPr>
      </w:pPr>
      <w:r w:rsidRPr="00692926">
        <w:rPr>
          <w:sz w:val="20"/>
          <w:szCs w:val="20"/>
        </w:rPr>
        <w:t xml:space="preserve">d) </w:t>
      </w:r>
      <w:r>
        <w:rPr>
          <w:sz w:val="20"/>
          <w:szCs w:val="20"/>
        </w:rPr>
        <w:t xml:space="preserve">      </w:t>
      </w:r>
      <w:r w:rsidR="00F6472E">
        <w:rPr>
          <w:sz w:val="20"/>
          <w:szCs w:val="20"/>
        </w:rPr>
        <w:tab/>
      </w:r>
      <w:r w:rsidRPr="00DF33F6">
        <w:rPr>
          <w:sz w:val="20"/>
          <w:szCs w:val="20"/>
          <w:lang w:val="en"/>
        </w:rPr>
        <w:t xml:space="preserve">According to the Law, the Company received </w:t>
      </w:r>
      <w:proofErr w:type="gramStart"/>
      <w:r w:rsidRPr="00DF33F6">
        <w:rPr>
          <w:sz w:val="20"/>
          <w:szCs w:val="20"/>
          <w:lang w:val="en"/>
        </w:rPr>
        <w:t>a</w:t>
      </w:r>
      <w:proofErr w:type="gramEnd"/>
      <w:r w:rsidRPr="00DF33F6">
        <w:rPr>
          <w:sz w:val="20"/>
          <w:szCs w:val="20"/>
          <w:lang w:val="en"/>
        </w:rPr>
        <w:t xml:space="preserve"> authority certificate from the Capital Market Board to create the company's portfolio,</w:t>
      </w:r>
      <w:r>
        <w:rPr>
          <w:sz w:val="20"/>
          <w:szCs w:val="20"/>
          <w:lang w:val="en"/>
        </w:rPr>
        <w:t xml:space="preserve"> to managing </w:t>
      </w:r>
      <w:r w:rsidRPr="00DF33F6">
        <w:rPr>
          <w:sz w:val="20"/>
          <w:szCs w:val="20"/>
          <w:lang w:val="en"/>
        </w:rPr>
        <w:t xml:space="preserve">and to make changes in the portfolio when it is necessary. </w:t>
      </w:r>
      <w:r>
        <w:rPr>
          <w:sz w:val="20"/>
          <w:szCs w:val="20"/>
          <w:lang w:val="en"/>
        </w:rPr>
        <w:t>Parent Bank</w:t>
      </w:r>
      <w:r w:rsidRPr="00DF33F6">
        <w:rPr>
          <w:sz w:val="20"/>
          <w:szCs w:val="20"/>
          <w:lang w:val="en"/>
        </w:rPr>
        <w:t>'s</w:t>
      </w:r>
      <w:r>
        <w:rPr>
          <w:sz w:val="20"/>
          <w:szCs w:val="20"/>
          <w:lang w:val="en"/>
        </w:rPr>
        <w:t xml:space="preserve"> another subsidiary </w:t>
      </w:r>
      <w:proofErr w:type="spellStart"/>
      <w:r>
        <w:rPr>
          <w:sz w:val="20"/>
          <w:szCs w:val="20"/>
          <w:lang w:val="en"/>
        </w:rPr>
        <w:t>Alternatif</w:t>
      </w:r>
      <w:proofErr w:type="spellEnd"/>
      <w:r>
        <w:rPr>
          <w:sz w:val="20"/>
          <w:szCs w:val="20"/>
          <w:lang w:val="en"/>
        </w:rPr>
        <w:t xml:space="preserve"> </w:t>
      </w:r>
      <w:proofErr w:type="spellStart"/>
      <w:r>
        <w:rPr>
          <w:sz w:val="20"/>
          <w:szCs w:val="20"/>
          <w:lang w:val="en"/>
        </w:rPr>
        <w:t>Finansal</w:t>
      </w:r>
      <w:proofErr w:type="spellEnd"/>
      <w:r>
        <w:rPr>
          <w:sz w:val="20"/>
          <w:szCs w:val="20"/>
          <w:lang w:val="en"/>
        </w:rPr>
        <w:t xml:space="preserve"> </w:t>
      </w:r>
      <w:proofErr w:type="spellStart"/>
      <w:r>
        <w:rPr>
          <w:sz w:val="20"/>
          <w:szCs w:val="20"/>
          <w:lang w:val="en"/>
        </w:rPr>
        <w:t>Kiralama</w:t>
      </w:r>
      <w:proofErr w:type="spellEnd"/>
      <w:r>
        <w:rPr>
          <w:sz w:val="20"/>
          <w:szCs w:val="20"/>
          <w:lang w:val="en"/>
        </w:rPr>
        <w:t xml:space="preserve"> A.Ş.</w:t>
      </w:r>
      <w:r w:rsidRPr="00DF33F6">
        <w:rPr>
          <w:sz w:val="20"/>
          <w:szCs w:val="20"/>
          <w:lang w:val="en"/>
        </w:rPr>
        <w:t xml:space="preserve">, </w:t>
      </w:r>
      <w:r w:rsidRPr="00DF33F6">
        <w:rPr>
          <w:rStyle w:val="hps"/>
          <w:color w:val="222222"/>
          <w:sz w:val="20"/>
          <w:szCs w:val="20"/>
          <w:lang w:val="en"/>
        </w:rPr>
        <w:t>established</w:t>
      </w:r>
      <w:r>
        <w:rPr>
          <w:rStyle w:val="hps"/>
          <w:color w:val="222222"/>
          <w:sz w:val="20"/>
          <w:szCs w:val="20"/>
          <w:lang w:val="en"/>
        </w:rPr>
        <w:t xml:space="preserve"> in 1997</w:t>
      </w:r>
      <w:r w:rsidRPr="00DF33F6">
        <w:rPr>
          <w:sz w:val="20"/>
          <w:szCs w:val="20"/>
          <w:lang w:val="en"/>
        </w:rPr>
        <w:t xml:space="preserve"> </w:t>
      </w:r>
      <w:r w:rsidRPr="00DF33F6">
        <w:rPr>
          <w:rStyle w:val="hps"/>
          <w:color w:val="222222"/>
          <w:sz w:val="20"/>
          <w:szCs w:val="20"/>
          <w:lang w:val="en"/>
        </w:rPr>
        <w:t>to operate</w:t>
      </w:r>
      <w:r w:rsidRPr="00DF33F6">
        <w:rPr>
          <w:sz w:val="20"/>
          <w:szCs w:val="20"/>
          <w:lang w:val="en"/>
        </w:rPr>
        <w:t xml:space="preserve"> in </w:t>
      </w:r>
      <w:r>
        <w:rPr>
          <w:rStyle w:val="hps"/>
          <w:color w:val="222222"/>
          <w:sz w:val="20"/>
          <w:szCs w:val="20"/>
          <w:lang w:val="en"/>
        </w:rPr>
        <w:t>Turkey</w:t>
      </w:r>
      <w:r w:rsidRPr="00DF33F6">
        <w:rPr>
          <w:rStyle w:val="hps"/>
          <w:color w:val="222222"/>
          <w:sz w:val="20"/>
          <w:szCs w:val="20"/>
          <w:lang w:val="en"/>
        </w:rPr>
        <w:t>,</w:t>
      </w:r>
      <w:r w:rsidRPr="00DF33F6">
        <w:rPr>
          <w:sz w:val="20"/>
          <w:szCs w:val="20"/>
          <w:lang w:val="en"/>
        </w:rPr>
        <w:t xml:space="preserve"> </w:t>
      </w:r>
      <w:r w:rsidRPr="00DF33F6">
        <w:rPr>
          <w:rStyle w:val="hps"/>
          <w:color w:val="222222"/>
          <w:sz w:val="20"/>
          <w:szCs w:val="20"/>
          <w:lang w:val="en"/>
        </w:rPr>
        <w:t>within the framework</w:t>
      </w:r>
      <w:r w:rsidRPr="00DF33F6">
        <w:rPr>
          <w:sz w:val="20"/>
          <w:szCs w:val="20"/>
          <w:lang w:val="en"/>
        </w:rPr>
        <w:t xml:space="preserve"> of 3226 </w:t>
      </w:r>
      <w:r w:rsidRPr="00DF33F6">
        <w:rPr>
          <w:rStyle w:val="hps"/>
          <w:color w:val="222222"/>
          <w:sz w:val="20"/>
          <w:szCs w:val="20"/>
          <w:lang w:val="en"/>
        </w:rPr>
        <w:t>Financial Leasing</w:t>
      </w:r>
      <w:r w:rsidRPr="00DF33F6">
        <w:rPr>
          <w:sz w:val="20"/>
          <w:szCs w:val="20"/>
          <w:lang w:val="en"/>
        </w:rPr>
        <w:t xml:space="preserve"> </w:t>
      </w:r>
      <w:r w:rsidRPr="00DF33F6">
        <w:rPr>
          <w:rStyle w:val="hps"/>
          <w:color w:val="222222"/>
          <w:sz w:val="20"/>
          <w:szCs w:val="20"/>
          <w:lang w:val="en"/>
        </w:rPr>
        <w:t>Law,</w:t>
      </w:r>
      <w:r w:rsidRPr="00DF33F6">
        <w:rPr>
          <w:sz w:val="20"/>
          <w:szCs w:val="20"/>
          <w:lang w:val="en"/>
        </w:rPr>
        <w:t xml:space="preserve"> with </w:t>
      </w:r>
      <w:r w:rsidRPr="00DF33F6">
        <w:rPr>
          <w:rStyle w:val="hps"/>
          <w:color w:val="222222"/>
          <w:sz w:val="20"/>
          <w:szCs w:val="20"/>
          <w:lang w:val="en"/>
        </w:rPr>
        <w:t>following permission</w:t>
      </w:r>
      <w:r w:rsidRPr="00DF33F6">
        <w:rPr>
          <w:sz w:val="20"/>
          <w:szCs w:val="20"/>
          <w:lang w:val="en"/>
        </w:rPr>
        <w:t xml:space="preserve"> </w:t>
      </w:r>
      <w:r>
        <w:rPr>
          <w:rStyle w:val="hps"/>
          <w:color w:val="222222"/>
          <w:sz w:val="20"/>
          <w:szCs w:val="20"/>
          <w:lang w:val="en"/>
        </w:rPr>
        <w:t xml:space="preserve">from </w:t>
      </w:r>
      <w:proofErr w:type="spellStart"/>
      <w:r>
        <w:rPr>
          <w:rStyle w:val="hps"/>
          <w:color w:val="222222"/>
          <w:sz w:val="20"/>
          <w:szCs w:val="20"/>
          <w:lang w:val="en"/>
        </w:rPr>
        <w:t>U</w:t>
      </w:r>
      <w:r w:rsidRPr="00DF33F6">
        <w:rPr>
          <w:rStyle w:val="hps"/>
          <w:color w:val="222222"/>
          <w:sz w:val="20"/>
          <w:szCs w:val="20"/>
          <w:lang w:val="en"/>
        </w:rPr>
        <w:t>ndersecretariat</w:t>
      </w:r>
      <w:proofErr w:type="spellEnd"/>
      <w:r w:rsidRPr="00DF33F6">
        <w:rPr>
          <w:rStyle w:val="hps"/>
          <w:color w:val="222222"/>
          <w:sz w:val="20"/>
          <w:szCs w:val="20"/>
          <w:lang w:val="en"/>
        </w:rPr>
        <w:t xml:space="preserve"> of </w:t>
      </w:r>
      <w:r>
        <w:rPr>
          <w:rStyle w:val="hps"/>
          <w:color w:val="222222"/>
          <w:sz w:val="20"/>
          <w:szCs w:val="20"/>
          <w:lang w:val="en"/>
        </w:rPr>
        <w:t>T</w:t>
      </w:r>
      <w:r w:rsidRPr="00DF33F6">
        <w:rPr>
          <w:rStyle w:val="hps"/>
          <w:color w:val="222222"/>
          <w:sz w:val="20"/>
          <w:szCs w:val="20"/>
          <w:lang w:val="en"/>
        </w:rPr>
        <w:t xml:space="preserve">reasury. </w:t>
      </w:r>
      <w:r w:rsidRPr="00DF33F6">
        <w:rPr>
          <w:sz w:val="20"/>
          <w:szCs w:val="20"/>
          <w:lang w:val="en"/>
        </w:rPr>
        <w:t xml:space="preserve">Company has been operating its activities within the framework </w:t>
      </w:r>
      <w:proofErr w:type="gramStart"/>
      <w:r w:rsidRPr="00DF33F6">
        <w:rPr>
          <w:sz w:val="20"/>
          <w:szCs w:val="20"/>
          <w:lang w:val="en"/>
        </w:rPr>
        <w:t>of</w:t>
      </w:r>
      <w:r>
        <w:rPr>
          <w:sz w:val="20"/>
          <w:szCs w:val="20"/>
          <w:lang w:val="en"/>
        </w:rPr>
        <w:t xml:space="preserve">  BRSA’s</w:t>
      </w:r>
      <w:proofErr w:type="gramEnd"/>
      <w:r>
        <w:rPr>
          <w:sz w:val="20"/>
          <w:szCs w:val="20"/>
          <w:lang w:val="en"/>
        </w:rPr>
        <w:t xml:space="preserve"> ‘</w:t>
      </w:r>
      <w:r w:rsidRPr="00DF33F6">
        <w:rPr>
          <w:sz w:val="20"/>
          <w:szCs w:val="20"/>
          <w:lang w:val="en"/>
        </w:rPr>
        <w:t>Regulations on the Establishment and Procedures of the Financial Leasing, F</w:t>
      </w:r>
      <w:r>
        <w:rPr>
          <w:sz w:val="20"/>
          <w:szCs w:val="20"/>
          <w:lang w:val="en"/>
        </w:rPr>
        <w:t>actoring and Financing Company’,</w:t>
      </w:r>
      <w:r w:rsidRPr="00DF33F6">
        <w:rPr>
          <w:sz w:val="20"/>
          <w:szCs w:val="20"/>
          <w:lang w:val="en"/>
        </w:rPr>
        <w:t xml:space="preserve"> published in the Official Gazette No. 28627 </w:t>
      </w:r>
      <w:r w:rsidRPr="00DF33F6">
        <w:rPr>
          <w:rStyle w:val="hps"/>
          <w:color w:val="222222"/>
          <w:sz w:val="20"/>
          <w:szCs w:val="20"/>
          <w:lang w:val="en"/>
        </w:rPr>
        <w:t>in 24</w:t>
      </w:r>
      <w:r w:rsidRPr="00DF33F6">
        <w:rPr>
          <w:sz w:val="20"/>
          <w:szCs w:val="20"/>
          <w:lang w:val="en"/>
        </w:rPr>
        <w:t xml:space="preserve"> </w:t>
      </w:r>
      <w:r w:rsidRPr="00DF33F6">
        <w:rPr>
          <w:rStyle w:val="hps"/>
          <w:color w:val="222222"/>
          <w:sz w:val="20"/>
          <w:szCs w:val="20"/>
          <w:lang w:val="en"/>
        </w:rPr>
        <w:t>April 2013</w:t>
      </w:r>
      <w:r w:rsidRPr="00DF33F6">
        <w:rPr>
          <w:sz w:val="20"/>
          <w:szCs w:val="20"/>
          <w:lang w:val="en"/>
        </w:rPr>
        <w:t>.</w:t>
      </w:r>
    </w:p>
    <w:p w14:paraId="2466C3A5" w14:textId="77777777" w:rsidR="00C306D1" w:rsidRPr="00604C75" w:rsidRDefault="00C306D1" w:rsidP="00577400">
      <w:pPr>
        <w:tabs>
          <w:tab w:val="left" w:pos="0"/>
          <w:tab w:val="left" w:pos="490"/>
        </w:tabs>
        <w:spacing w:before="120"/>
        <w:ind w:left="540" w:hanging="540"/>
        <w:jc w:val="both"/>
        <w:rPr>
          <w:sz w:val="20"/>
          <w:szCs w:val="20"/>
        </w:rPr>
      </w:pPr>
      <w:r w:rsidRPr="00604C75">
        <w:rPr>
          <w:sz w:val="20"/>
          <w:szCs w:val="20"/>
        </w:rPr>
        <w:t>e)</w:t>
      </w:r>
      <w:r w:rsidRPr="00604C75">
        <w:tab/>
        <w:t xml:space="preserve"> </w:t>
      </w:r>
      <w:r w:rsidRPr="00604C75">
        <w:rPr>
          <w:sz w:val="20"/>
          <w:szCs w:val="20"/>
        </w:rPr>
        <w:t xml:space="preserve">Other operations consist of subsidiaries and joint ventures, tangible assets, intangible assets, deferred tax   asset and equity amounts and other income/loss accounts associated with these accounts. </w:t>
      </w:r>
    </w:p>
    <w:p w14:paraId="78A8AA96" w14:textId="77777777" w:rsidR="00C306D1" w:rsidRPr="00604C75" w:rsidRDefault="00C306D1" w:rsidP="00F142CB">
      <w:pPr>
        <w:pStyle w:val="NormalIndent"/>
        <w:tabs>
          <w:tab w:val="left" w:pos="540"/>
          <w:tab w:val="left" w:pos="1418"/>
          <w:tab w:val="left" w:pos="1456"/>
        </w:tabs>
        <w:spacing w:before="120"/>
        <w:ind w:left="540" w:hanging="540"/>
        <w:jc w:val="both"/>
      </w:pPr>
      <w:r w:rsidRPr="00604C75">
        <w:t>f)</w:t>
      </w:r>
      <w:r w:rsidRPr="00604C75">
        <w:tab/>
        <w:t>The Group’s software requirements, possible software updates and additional software requirements to compete with other firms are provided by the Parent Bank.</w:t>
      </w:r>
    </w:p>
    <w:p w14:paraId="53CE4222" w14:textId="77777777" w:rsidR="00C306D1" w:rsidRPr="00604C75" w:rsidRDefault="00C306D1" w:rsidP="00F142CB">
      <w:pPr>
        <w:pStyle w:val="NormalIndent"/>
        <w:tabs>
          <w:tab w:val="left" w:pos="540"/>
          <w:tab w:val="left" w:pos="1418"/>
          <w:tab w:val="left" w:pos="1456"/>
        </w:tabs>
        <w:ind w:left="0"/>
        <w:jc w:val="both"/>
      </w:pPr>
      <w:r w:rsidRPr="00604C75">
        <w:t>g)</w:t>
      </w:r>
      <w:r w:rsidRPr="00604C75">
        <w:tab/>
        <w:t xml:space="preserve">According to the table provided, share of each Bank’s operating segment in the Balance sheet is as follows:  </w:t>
      </w:r>
    </w:p>
    <w:p w14:paraId="2ACBF795" w14:textId="1F0C6AD3" w:rsidR="00C306D1" w:rsidRPr="00604C75" w:rsidRDefault="00C306D1" w:rsidP="00F142CB">
      <w:pPr>
        <w:pStyle w:val="NormalIndent"/>
        <w:tabs>
          <w:tab w:val="left" w:pos="540"/>
          <w:tab w:val="left" w:pos="1418"/>
          <w:tab w:val="left" w:pos="1456"/>
        </w:tabs>
        <w:ind w:left="0" w:firstLine="560"/>
        <w:jc w:val="both"/>
      </w:pPr>
      <w:proofErr w:type="gramStart"/>
      <w:r w:rsidRPr="00604C75">
        <w:t>corporate/</w:t>
      </w:r>
      <w:r w:rsidRPr="004620F1">
        <w:t>retail</w:t>
      </w:r>
      <w:proofErr w:type="gramEnd"/>
      <w:r w:rsidRPr="004620F1">
        <w:t xml:space="preserve"> banking </w:t>
      </w:r>
      <w:r>
        <w:t>7</w:t>
      </w:r>
      <w:r w:rsidR="00B30C53">
        <w:t>4%, investment banking 21</w:t>
      </w:r>
      <w:r w:rsidRPr="004620F1">
        <w:t xml:space="preserve">% and other </w:t>
      </w:r>
      <w:r w:rsidR="00B30C53">
        <w:t>5</w:t>
      </w:r>
      <w:r w:rsidRPr="004620F1">
        <w:t>%.</w:t>
      </w:r>
    </w:p>
    <w:p w14:paraId="6DE5D1D0" w14:textId="77777777" w:rsidR="00C306D1" w:rsidRPr="00604C75" w:rsidRDefault="00C306D1" w:rsidP="00C306D1">
      <w:pPr>
        <w:pStyle w:val="BodyTextIndent"/>
        <w:spacing w:after="0" w:line="120" w:lineRule="auto"/>
        <w:ind w:left="0"/>
        <w:rPr>
          <w:b/>
          <w:sz w:val="20"/>
          <w:szCs w:val="20"/>
        </w:rPr>
      </w:pPr>
    </w:p>
    <w:p w14:paraId="24AF0BBB" w14:textId="77777777" w:rsidR="00C306D1" w:rsidRPr="00604C75" w:rsidRDefault="00C306D1" w:rsidP="00C306D1">
      <w:pPr>
        <w:pStyle w:val="BodyTextIndent"/>
        <w:spacing w:after="0" w:line="48" w:lineRule="auto"/>
        <w:ind w:left="357"/>
        <w:rPr>
          <w:sz w:val="20"/>
          <w:szCs w:val="20"/>
        </w:rPr>
      </w:pPr>
    </w:p>
    <w:p w14:paraId="6A61BF73" w14:textId="77777777" w:rsidR="00C306D1" w:rsidRPr="00604C75" w:rsidRDefault="00C306D1" w:rsidP="00C306D1">
      <w:pPr>
        <w:autoSpaceDE w:val="0"/>
        <w:autoSpaceDN w:val="0"/>
        <w:adjustRightInd w:val="0"/>
        <w:spacing w:line="48" w:lineRule="auto"/>
        <w:ind w:left="851" w:right="159"/>
        <w:rPr>
          <w:rFonts w:eastAsia="Arial Unicode MS"/>
          <w:b/>
          <w:sz w:val="20"/>
          <w:szCs w:val="20"/>
        </w:rPr>
      </w:pPr>
    </w:p>
    <w:p w14:paraId="42FA99A9" w14:textId="77777777" w:rsidR="00C306D1" w:rsidRPr="00604C75" w:rsidRDefault="00C306D1" w:rsidP="00C306D1">
      <w:pPr>
        <w:autoSpaceDE w:val="0"/>
        <w:autoSpaceDN w:val="0"/>
        <w:adjustRightInd w:val="0"/>
        <w:ind w:right="158"/>
        <w:rPr>
          <w:rFonts w:eastAsia="Arial Unicode MS"/>
          <w:b/>
          <w:sz w:val="20"/>
          <w:szCs w:val="20"/>
        </w:rPr>
      </w:pPr>
      <w:r w:rsidRPr="00604C75">
        <w:rPr>
          <w:rFonts w:eastAsia="Arial Unicode MS"/>
          <w:b/>
          <w:sz w:val="20"/>
          <w:szCs w:val="20"/>
        </w:rPr>
        <w:t xml:space="preserve">Major balance sheet and income statement items </w:t>
      </w:r>
      <w:r w:rsidRPr="00604C75">
        <w:rPr>
          <w:b/>
          <w:bCs/>
          <w:sz w:val="20"/>
          <w:szCs w:val="20"/>
        </w:rPr>
        <w:t xml:space="preserve">according to </w:t>
      </w:r>
      <w:r w:rsidRPr="00604C75">
        <w:rPr>
          <w:rFonts w:eastAsia="Arial Unicode MS"/>
          <w:b/>
          <w:sz w:val="20"/>
          <w:szCs w:val="20"/>
        </w:rPr>
        <w:t>operating segments</w:t>
      </w:r>
    </w:p>
    <w:p w14:paraId="22E5BE0A" w14:textId="77777777" w:rsidR="00C306D1" w:rsidRPr="00604C75" w:rsidRDefault="00C306D1" w:rsidP="00C306D1">
      <w:pPr>
        <w:pStyle w:val="BodyTextIndent"/>
        <w:spacing w:after="0"/>
        <w:ind w:left="0"/>
        <w:rPr>
          <w:sz w:val="14"/>
          <w:szCs w:val="14"/>
        </w:rPr>
      </w:pPr>
    </w:p>
    <w:tbl>
      <w:tblPr>
        <w:tblW w:w="9266" w:type="dxa"/>
        <w:tblInd w:w="15" w:type="dxa"/>
        <w:tblLayout w:type="fixed"/>
        <w:tblCellMar>
          <w:left w:w="0" w:type="dxa"/>
          <w:right w:w="0" w:type="dxa"/>
        </w:tblCellMar>
        <w:tblLook w:val="0000" w:firstRow="0" w:lastRow="0" w:firstColumn="0" w:lastColumn="0" w:noHBand="0" w:noVBand="0"/>
      </w:tblPr>
      <w:tblGrid>
        <w:gridCol w:w="4549"/>
        <w:gridCol w:w="1217"/>
        <w:gridCol w:w="1176"/>
        <w:gridCol w:w="1064"/>
        <w:gridCol w:w="1260"/>
      </w:tblGrid>
      <w:tr w:rsidR="00C306D1" w:rsidRPr="00604C75" w14:paraId="32F6477B" w14:textId="77777777" w:rsidTr="002A69DD">
        <w:trPr>
          <w:cantSplit/>
          <w:trHeight w:val="284"/>
        </w:trPr>
        <w:tc>
          <w:tcPr>
            <w:tcW w:w="4549" w:type="dxa"/>
            <w:tcBorders>
              <w:top w:val="double"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14:paraId="62B850B6" w14:textId="77777777" w:rsidR="00C306D1" w:rsidRPr="00604C75" w:rsidRDefault="00C306D1">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r>
              <w:rPr>
                <w:rFonts w:eastAsia="Times New Roman"/>
                <w:b/>
                <w:bCs/>
                <w:szCs w:val="24"/>
                <w:lang w:val="en-US"/>
              </w:rPr>
              <w:t>3</w:t>
            </w:r>
            <w:r w:rsidR="00AB344A">
              <w:rPr>
                <w:rFonts w:eastAsia="Times New Roman"/>
                <w:b/>
                <w:bCs/>
                <w:szCs w:val="24"/>
                <w:lang w:val="en-US"/>
              </w:rPr>
              <w:t>1</w:t>
            </w:r>
            <w:r>
              <w:rPr>
                <w:rFonts w:eastAsia="Times New Roman"/>
                <w:b/>
                <w:bCs/>
                <w:szCs w:val="24"/>
                <w:lang w:val="en-US"/>
              </w:rPr>
              <w:t xml:space="preserve"> </w:t>
            </w:r>
            <w:r w:rsidR="00AB344A">
              <w:rPr>
                <w:rFonts w:eastAsia="Times New Roman"/>
                <w:b/>
                <w:bCs/>
                <w:szCs w:val="24"/>
                <w:lang w:val="en-US"/>
              </w:rPr>
              <w:t>December</w:t>
            </w:r>
            <w:r w:rsidRPr="00604C75">
              <w:rPr>
                <w:rFonts w:eastAsia="Times New Roman"/>
                <w:b/>
                <w:bCs/>
                <w:szCs w:val="24"/>
                <w:lang w:val="en-US"/>
              </w:rPr>
              <w:t xml:space="preserve"> 2015</w:t>
            </w:r>
          </w:p>
        </w:tc>
        <w:tc>
          <w:tcPr>
            <w:tcW w:w="1217" w:type="dxa"/>
            <w:tcBorders>
              <w:top w:val="double"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53FD301B" w14:textId="77777777" w:rsidR="00C306D1" w:rsidRPr="00604C75" w:rsidRDefault="00C306D1" w:rsidP="002A69DD">
            <w:pPr>
              <w:ind w:right="23"/>
              <w:jc w:val="right"/>
              <w:rPr>
                <w:b/>
                <w:sz w:val="18"/>
                <w:szCs w:val="18"/>
              </w:rPr>
            </w:pPr>
            <w:r w:rsidRPr="00604C75">
              <w:rPr>
                <w:b/>
                <w:sz w:val="18"/>
                <w:szCs w:val="18"/>
              </w:rPr>
              <w:t xml:space="preserve">Corporate / </w:t>
            </w:r>
          </w:p>
          <w:p w14:paraId="332B5B6B" w14:textId="77777777" w:rsidR="00C306D1" w:rsidRPr="00604C75" w:rsidRDefault="00C306D1" w:rsidP="002A69DD">
            <w:pPr>
              <w:ind w:right="23"/>
              <w:jc w:val="right"/>
              <w:rPr>
                <w:rFonts w:eastAsia="Arial Unicode MS"/>
                <w:b/>
                <w:sz w:val="18"/>
                <w:szCs w:val="18"/>
              </w:rPr>
            </w:pPr>
            <w:r w:rsidRPr="00604C75">
              <w:rPr>
                <w:b/>
                <w:sz w:val="18"/>
                <w:szCs w:val="18"/>
              </w:rPr>
              <w:t>Retail Banking</w:t>
            </w:r>
          </w:p>
        </w:tc>
        <w:tc>
          <w:tcPr>
            <w:tcW w:w="1176" w:type="dxa"/>
            <w:tcBorders>
              <w:top w:val="double" w:sz="4" w:space="0" w:color="auto"/>
              <w:left w:val="dotted" w:sz="4" w:space="0" w:color="auto"/>
              <w:bottom w:val="dotted" w:sz="4" w:space="0" w:color="auto"/>
              <w:right w:val="dotted" w:sz="4" w:space="0" w:color="auto"/>
            </w:tcBorders>
            <w:vAlign w:val="bottom"/>
          </w:tcPr>
          <w:p w14:paraId="215EE905" w14:textId="77777777" w:rsidR="00C306D1" w:rsidRPr="00604C75" w:rsidRDefault="00C306D1" w:rsidP="002A69DD">
            <w:pPr>
              <w:ind w:right="45"/>
              <w:jc w:val="right"/>
              <w:rPr>
                <w:rFonts w:eastAsia="Arial Unicode MS"/>
                <w:b/>
                <w:sz w:val="18"/>
                <w:szCs w:val="18"/>
              </w:rPr>
            </w:pPr>
            <w:r w:rsidRPr="00604C75">
              <w:rPr>
                <w:rFonts w:eastAsia="Arial Unicode MS"/>
                <w:b/>
                <w:sz w:val="18"/>
                <w:szCs w:val="18"/>
              </w:rPr>
              <w:t>Investment Banking</w:t>
            </w:r>
          </w:p>
        </w:tc>
        <w:tc>
          <w:tcPr>
            <w:tcW w:w="1064" w:type="dxa"/>
            <w:tcBorders>
              <w:top w:val="double"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511E33CA" w14:textId="77777777" w:rsidR="00C306D1" w:rsidRPr="00604C75" w:rsidRDefault="00C306D1" w:rsidP="002A69DD">
            <w:pPr>
              <w:ind w:right="37"/>
              <w:jc w:val="right"/>
              <w:rPr>
                <w:b/>
                <w:sz w:val="18"/>
                <w:szCs w:val="18"/>
              </w:rPr>
            </w:pPr>
            <w:r w:rsidRPr="00604C75">
              <w:rPr>
                <w:rFonts w:eastAsia="Arial Unicode MS"/>
                <w:b/>
                <w:sz w:val="18"/>
              </w:rPr>
              <w:t>Other</w:t>
            </w:r>
          </w:p>
        </w:tc>
        <w:tc>
          <w:tcPr>
            <w:tcW w:w="1260" w:type="dxa"/>
            <w:tcBorders>
              <w:top w:val="double" w:sz="4" w:space="0" w:color="auto"/>
              <w:left w:val="dotted" w:sz="4" w:space="0" w:color="auto"/>
              <w:bottom w:val="dotted" w:sz="4" w:space="0" w:color="auto"/>
              <w:right w:val="double" w:sz="4" w:space="0" w:color="auto"/>
            </w:tcBorders>
            <w:vAlign w:val="bottom"/>
          </w:tcPr>
          <w:p w14:paraId="0EB5B775" w14:textId="77777777" w:rsidR="00C306D1" w:rsidRPr="00604C75" w:rsidRDefault="00C306D1" w:rsidP="002A69DD">
            <w:pPr>
              <w:ind w:right="37"/>
              <w:jc w:val="right"/>
              <w:rPr>
                <w:rFonts w:eastAsia="Arial Unicode MS"/>
                <w:b/>
                <w:sz w:val="18"/>
              </w:rPr>
            </w:pPr>
            <w:r w:rsidRPr="00604C75">
              <w:rPr>
                <w:rFonts w:eastAsia="Arial Unicode MS"/>
                <w:b/>
                <w:sz w:val="18"/>
              </w:rPr>
              <w:t>Total Operations</w:t>
            </w:r>
          </w:p>
          <w:p w14:paraId="6C4BCCA2" w14:textId="77777777" w:rsidR="00C306D1" w:rsidRPr="00604C75" w:rsidRDefault="00C306D1" w:rsidP="002A69DD">
            <w:pPr>
              <w:ind w:right="37"/>
              <w:jc w:val="right"/>
              <w:rPr>
                <w:rFonts w:eastAsia="Arial Unicode MS"/>
                <w:b/>
                <w:sz w:val="18"/>
              </w:rPr>
            </w:pPr>
            <w:r w:rsidRPr="00604C75">
              <w:rPr>
                <w:rFonts w:eastAsia="Arial Unicode MS"/>
                <w:b/>
                <w:sz w:val="18"/>
              </w:rPr>
              <w:t xml:space="preserve"> of the Group</w:t>
            </w:r>
          </w:p>
        </w:tc>
      </w:tr>
      <w:tr w:rsidR="00224102" w:rsidRPr="00604C75" w14:paraId="4F361EAE"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2D21116D" w14:textId="3D47CF05" w:rsidR="00224102" w:rsidRPr="00604C75" w:rsidRDefault="00224102" w:rsidP="00224102">
            <w:pPr>
              <w:rPr>
                <w:rFonts w:eastAsia="Arial Unicode MS"/>
                <w:sz w:val="18"/>
                <w:szCs w:val="18"/>
              </w:rPr>
            </w:pPr>
            <w:r w:rsidRPr="00604C75">
              <w:rPr>
                <w:sz w:val="18"/>
              </w:rPr>
              <w:t xml:space="preserve">Net </w:t>
            </w:r>
            <w:r>
              <w:rPr>
                <w:sz w:val="18"/>
              </w:rPr>
              <w:t>I</w:t>
            </w:r>
            <w:r w:rsidRPr="00604C75">
              <w:rPr>
                <w:sz w:val="18"/>
              </w:rPr>
              <w:t xml:space="preserve">nterest </w:t>
            </w:r>
            <w:r>
              <w:rPr>
                <w:sz w:val="18"/>
              </w:rPr>
              <w:t>I</w:t>
            </w:r>
            <w:r w:rsidRPr="00604C75">
              <w:rPr>
                <w:sz w:val="18"/>
              </w:rPr>
              <w:t xml:space="preserve">ncome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68A650F8" w14:textId="21CE2E9E" w:rsidR="00224102" w:rsidRPr="00407AAB" w:rsidRDefault="00224102" w:rsidP="00991C34">
            <w:pPr>
              <w:tabs>
                <w:tab w:val="left" w:pos="935"/>
              </w:tabs>
              <w:ind w:right="154"/>
              <w:jc w:val="right"/>
              <w:rPr>
                <w:sz w:val="18"/>
                <w:szCs w:val="18"/>
              </w:rPr>
            </w:pPr>
            <w:r w:rsidRPr="00407AAB">
              <w:rPr>
                <w:sz w:val="18"/>
                <w:szCs w:val="18"/>
              </w:rPr>
              <w:t>583,964</w:t>
            </w:r>
          </w:p>
        </w:tc>
        <w:tc>
          <w:tcPr>
            <w:tcW w:w="1176" w:type="dxa"/>
            <w:tcBorders>
              <w:top w:val="dotted" w:sz="4" w:space="0" w:color="auto"/>
              <w:left w:val="dotted" w:sz="4" w:space="0" w:color="auto"/>
              <w:bottom w:val="dotted" w:sz="4" w:space="0" w:color="auto"/>
              <w:right w:val="dotted" w:sz="4" w:space="0" w:color="auto"/>
            </w:tcBorders>
            <w:vAlign w:val="bottom"/>
          </w:tcPr>
          <w:p w14:paraId="4F7D3A25" w14:textId="73E790C0" w:rsidR="00224102" w:rsidRPr="00407AAB" w:rsidRDefault="00224102" w:rsidP="00991C34">
            <w:pPr>
              <w:tabs>
                <w:tab w:val="left" w:pos="935"/>
              </w:tabs>
              <w:ind w:right="154"/>
              <w:jc w:val="right"/>
              <w:rPr>
                <w:sz w:val="18"/>
                <w:szCs w:val="18"/>
              </w:rPr>
            </w:pPr>
            <w:r w:rsidRPr="00407AAB">
              <w:rPr>
                <w:sz w:val="18"/>
                <w:szCs w:val="18"/>
              </w:rPr>
              <w:t>(39,095)</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122C878B" w14:textId="0F97279A" w:rsidR="00224102" w:rsidRPr="00407AAB" w:rsidRDefault="00224102" w:rsidP="00991C34">
            <w:pPr>
              <w:tabs>
                <w:tab w:val="left" w:pos="935"/>
              </w:tabs>
              <w:ind w:right="154"/>
              <w:jc w:val="right"/>
              <w:rPr>
                <w:sz w:val="18"/>
                <w:szCs w:val="18"/>
              </w:rPr>
            </w:pPr>
            <w:r w:rsidRPr="00407AAB">
              <w:rPr>
                <w:sz w:val="18"/>
                <w:szCs w:val="18"/>
              </w:rPr>
              <w:t>967</w:t>
            </w:r>
          </w:p>
        </w:tc>
        <w:tc>
          <w:tcPr>
            <w:tcW w:w="1260" w:type="dxa"/>
            <w:tcBorders>
              <w:top w:val="dotted" w:sz="4" w:space="0" w:color="auto"/>
              <w:left w:val="dotted" w:sz="4" w:space="0" w:color="auto"/>
              <w:bottom w:val="dotted" w:sz="4" w:space="0" w:color="auto"/>
              <w:right w:val="double" w:sz="4" w:space="0" w:color="auto"/>
            </w:tcBorders>
            <w:vAlign w:val="bottom"/>
          </w:tcPr>
          <w:p w14:paraId="51589AC3" w14:textId="368BFA7C" w:rsidR="00224102" w:rsidRPr="00407AAB" w:rsidRDefault="00224102" w:rsidP="00991C34">
            <w:pPr>
              <w:tabs>
                <w:tab w:val="left" w:pos="935"/>
              </w:tabs>
              <w:ind w:right="154"/>
              <w:jc w:val="right"/>
              <w:rPr>
                <w:sz w:val="18"/>
                <w:szCs w:val="18"/>
              </w:rPr>
            </w:pPr>
            <w:r w:rsidRPr="00407AAB">
              <w:rPr>
                <w:sz w:val="18"/>
                <w:szCs w:val="18"/>
              </w:rPr>
              <w:t>545,836</w:t>
            </w:r>
          </w:p>
        </w:tc>
      </w:tr>
      <w:tr w:rsidR="00224102" w:rsidRPr="00604C75" w14:paraId="376D52D6"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6A43CC01" w14:textId="19B285E4" w:rsidR="00224102" w:rsidRPr="00604C75" w:rsidRDefault="00224102" w:rsidP="00224102">
            <w:pPr>
              <w:rPr>
                <w:rFonts w:eastAsia="Arial Unicode MS"/>
                <w:sz w:val="18"/>
                <w:szCs w:val="18"/>
              </w:rPr>
            </w:pPr>
            <w:r w:rsidRPr="00604C75">
              <w:rPr>
                <w:sz w:val="18"/>
              </w:rPr>
              <w:t xml:space="preserve">Net </w:t>
            </w:r>
            <w:r>
              <w:rPr>
                <w:sz w:val="18"/>
              </w:rPr>
              <w:t>F</w:t>
            </w:r>
            <w:r w:rsidRPr="00604C75">
              <w:rPr>
                <w:sz w:val="18"/>
              </w:rPr>
              <w:t xml:space="preserve">ees and </w:t>
            </w:r>
            <w:r>
              <w:rPr>
                <w:sz w:val="18"/>
              </w:rPr>
              <w:t>C</w:t>
            </w:r>
            <w:r w:rsidRPr="00604C75">
              <w:rPr>
                <w:sz w:val="18"/>
              </w:rPr>
              <w:t xml:space="preserve">ommissions </w:t>
            </w:r>
            <w:r>
              <w:rPr>
                <w:sz w:val="18"/>
              </w:rPr>
              <w:t>I</w:t>
            </w:r>
            <w:r w:rsidRPr="00604C75">
              <w:rPr>
                <w:sz w:val="18"/>
              </w:rPr>
              <w:t xml:space="preserve">ncome and </w:t>
            </w:r>
            <w:r>
              <w:rPr>
                <w:sz w:val="18"/>
              </w:rPr>
              <w:t>O</w:t>
            </w:r>
            <w:r w:rsidRPr="00604C75">
              <w:rPr>
                <w:sz w:val="18"/>
              </w:rPr>
              <w:t xml:space="preserve">ther </w:t>
            </w:r>
            <w:r>
              <w:rPr>
                <w:sz w:val="18"/>
              </w:rPr>
              <w:t>O</w:t>
            </w:r>
            <w:r w:rsidRPr="00604C75">
              <w:rPr>
                <w:sz w:val="18"/>
              </w:rPr>
              <w:t xml:space="preserve">perating </w:t>
            </w:r>
            <w:r>
              <w:rPr>
                <w:sz w:val="18"/>
              </w:rPr>
              <w:t>I</w:t>
            </w:r>
            <w:r w:rsidRPr="00604C75">
              <w:rPr>
                <w:sz w:val="18"/>
              </w:rPr>
              <w:t>ncome</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45F6378D" w14:textId="4DA42176" w:rsidR="00224102" w:rsidRPr="00407AAB" w:rsidRDefault="00224102" w:rsidP="00991C34">
            <w:pPr>
              <w:tabs>
                <w:tab w:val="left" w:pos="935"/>
              </w:tabs>
              <w:ind w:right="154"/>
              <w:jc w:val="right"/>
              <w:rPr>
                <w:sz w:val="18"/>
                <w:szCs w:val="18"/>
              </w:rPr>
            </w:pPr>
            <w:r w:rsidRPr="00407AAB">
              <w:rPr>
                <w:sz w:val="18"/>
                <w:szCs w:val="18"/>
              </w:rPr>
              <w:t>231,373</w:t>
            </w:r>
          </w:p>
        </w:tc>
        <w:tc>
          <w:tcPr>
            <w:tcW w:w="1176" w:type="dxa"/>
            <w:tcBorders>
              <w:top w:val="dotted" w:sz="4" w:space="0" w:color="auto"/>
              <w:left w:val="dotted" w:sz="4" w:space="0" w:color="auto"/>
              <w:bottom w:val="dotted" w:sz="4" w:space="0" w:color="auto"/>
              <w:right w:val="dotted" w:sz="4" w:space="0" w:color="auto"/>
            </w:tcBorders>
            <w:vAlign w:val="bottom"/>
          </w:tcPr>
          <w:p w14:paraId="11BDF95D" w14:textId="3E84E41B" w:rsidR="00224102" w:rsidRPr="00407AAB" w:rsidRDefault="00224102" w:rsidP="00991C34">
            <w:pPr>
              <w:tabs>
                <w:tab w:val="left" w:pos="935"/>
              </w:tabs>
              <w:ind w:right="154"/>
              <w:jc w:val="right"/>
              <w:rPr>
                <w:sz w:val="18"/>
                <w:szCs w:val="18"/>
              </w:rPr>
            </w:pPr>
            <w:r w:rsidRPr="00407AAB">
              <w:rPr>
                <w:sz w:val="18"/>
                <w:szCs w:val="18"/>
              </w:rPr>
              <w:t>3,330</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40140FCB" w14:textId="43282D80" w:rsidR="00224102" w:rsidRPr="00407AAB" w:rsidRDefault="00224102" w:rsidP="00991C34">
            <w:pPr>
              <w:tabs>
                <w:tab w:val="left" w:pos="935"/>
              </w:tabs>
              <w:ind w:right="154"/>
              <w:jc w:val="right"/>
              <w:rPr>
                <w:sz w:val="18"/>
                <w:szCs w:val="18"/>
              </w:rPr>
            </w:pPr>
            <w:r>
              <w:rPr>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14:paraId="5CAEC2A0" w14:textId="2CB143CA" w:rsidR="00224102" w:rsidRPr="00407AAB" w:rsidRDefault="00224102" w:rsidP="00991C34">
            <w:pPr>
              <w:tabs>
                <w:tab w:val="left" w:pos="935"/>
              </w:tabs>
              <w:ind w:right="154"/>
              <w:jc w:val="right"/>
              <w:rPr>
                <w:sz w:val="18"/>
                <w:szCs w:val="18"/>
              </w:rPr>
            </w:pPr>
            <w:r w:rsidRPr="00407AAB">
              <w:rPr>
                <w:sz w:val="18"/>
                <w:szCs w:val="18"/>
              </w:rPr>
              <w:t>234,703</w:t>
            </w:r>
          </w:p>
        </w:tc>
      </w:tr>
      <w:tr w:rsidR="00224102" w:rsidRPr="00604C75" w14:paraId="010E7FA2"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780FA5FE" w14:textId="25856877" w:rsidR="00224102" w:rsidRPr="00604C75" w:rsidRDefault="00224102" w:rsidP="00224102">
            <w:pPr>
              <w:rPr>
                <w:rFonts w:eastAsia="Arial Unicode MS"/>
                <w:sz w:val="18"/>
                <w:szCs w:val="18"/>
              </w:rPr>
            </w:pPr>
            <w:r w:rsidRPr="00604C75">
              <w:rPr>
                <w:rFonts w:eastAsia="Arial Unicode MS"/>
                <w:sz w:val="18"/>
                <w:szCs w:val="18"/>
              </w:rPr>
              <w:t xml:space="preserve">Trading </w:t>
            </w:r>
            <w:r>
              <w:rPr>
                <w:rFonts w:eastAsia="Arial Unicode MS"/>
                <w:sz w:val="18"/>
                <w:szCs w:val="18"/>
              </w:rPr>
              <w:t>P</w:t>
            </w:r>
            <w:r w:rsidRPr="00604C75">
              <w:rPr>
                <w:rFonts w:eastAsia="Arial Unicode MS"/>
                <w:sz w:val="18"/>
                <w:szCs w:val="18"/>
              </w:rPr>
              <w:t>rofit/</w:t>
            </w:r>
            <w:r>
              <w:rPr>
                <w:rFonts w:eastAsia="Arial Unicode MS"/>
                <w:sz w:val="18"/>
                <w:szCs w:val="18"/>
              </w:rPr>
              <w:t>L</w:t>
            </w:r>
            <w:r w:rsidRPr="00604C75">
              <w:rPr>
                <w:rFonts w:eastAsia="Arial Unicode MS"/>
                <w:sz w:val="18"/>
                <w:szCs w:val="18"/>
              </w:rPr>
              <w:t xml:space="preserve">oss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B6001B4" w14:textId="50691820" w:rsidR="00224102" w:rsidRPr="00407AAB" w:rsidRDefault="00224102" w:rsidP="00991C34">
            <w:pPr>
              <w:tabs>
                <w:tab w:val="left" w:pos="935"/>
              </w:tabs>
              <w:ind w:right="154"/>
              <w:jc w:val="right"/>
              <w:rPr>
                <w:sz w:val="18"/>
                <w:szCs w:val="18"/>
              </w:rPr>
            </w:pPr>
            <w:r w:rsidRPr="00407AAB">
              <w:rPr>
                <w:sz w:val="18"/>
                <w:szCs w:val="18"/>
              </w:rPr>
              <w:t>(199)</w:t>
            </w:r>
          </w:p>
        </w:tc>
        <w:tc>
          <w:tcPr>
            <w:tcW w:w="1176" w:type="dxa"/>
            <w:tcBorders>
              <w:top w:val="dotted" w:sz="4" w:space="0" w:color="auto"/>
              <w:left w:val="dotted" w:sz="4" w:space="0" w:color="auto"/>
              <w:bottom w:val="dotted" w:sz="4" w:space="0" w:color="auto"/>
              <w:right w:val="dotted" w:sz="4" w:space="0" w:color="auto"/>
            </w:tcBorders>
            <w:vAlign w:val="bottom"/>
          </w:tcPr>
          <w:p w14:paraId="7D2E16C0" w14:textId="2E810414" w:rsidR="00224102" w:rsidRPr="00407AAB" w:rsidRDefault="00224102" w:rsidP="00991C34">
            <w:pPr>
              <w:tabs>
                <w:tab w:val="left" w:pos="935"/>
              </w:tabs>
              <w:ind w:right="154"/>
              <w:jc w:val="right"/>
              <w:rPr>
                <w:sz w:val="18"/>
                <w:szCs w:val="18"/>
              </w:rPr>
            </w:pPr>
            <w:r w:rsidRPr="00407AAB">
              <w:rPr>
                <w:sz w:val="18"/>
                <w:szCs w:val="18"/>
              </w:rPr>
              <w:t>(39,553)</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6C2BC513" w14:textId="07D8E70A" w:rsidR="00224102" w:rsidRPr="00407AAB" w:rsidRDefault="00224102" w:rsidP="00991C34">
            <w:pPr>
              <w:tabs>
                <w:tab w:val="left" w:pos="935"/>
              </w:tabs>
              <w:ind w:right="154"/>
              <w:jc w:val="right"/>
              <w:rPr>
                <w:sz w:val="18"/>
                <w:szCs w:val="18"/>
              </w:rPr>
            </w:pPr>
            <w:r>
              <w:rPr>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14:paraId="66345785" w14:textId="2E22BB2D" w:rsidR="00224102" w:rsidRPr="00407AAB" w:rsidRDefault="00224102" w:rsidP="00991C34">
            <w:pPr>
              <w:tabs>
                <w:tab w:val="left" w:pos="935"/>
              </w:tabs>
              <w:ind w:right="154"/>
              <w:jc w:val="right"/>
              <w:rPr>
                <w:sz w:val="18"/>
                <w:szCs w:val="18"/>
              </w:rPr>
            </w:pPr>
            <w:r w:rsidRPr="00407AAB">
              <w:rPr>
                <w:sz w:val="18"/>
                <w:szCs w:val="18"/>
              </w:rPr>
              <w:t>(39,752)</w:t>
            </w:r>
          </w:p>
        </w:tc>
      </w:tr>
      <w:tr w:rsidR="00224102" w:rsidRPr="00604C75" w14:paraId="107F5407"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24431610" w14:textId="0A056697" w:rsidR="00224102" w:rsidRPr="00604C75" w:rsidRDefault="00224102" w:rsidP="00224102">
            <w:pPr>
              <w:rPr>
                <w:rFonts w:eastAsia="Arial Unicode MS"/>
                <w:sz w:val="18"/>
                <w:szCs w:val="18"/>
              </w:rPr>
            </w:pPr>
            <w:r w:rsidRPr="00604C75">
              <w:rPr>
                <w:sz w:val="18"/>
              </w:rPr>
              <w:t xml:space="preserve">Dividend </w:t>
            </w:r>
            <w:r>
              <w:rPr>
                <w:sz w:val="18"/>
              </w:rPr>
              <w:t>I</w:t>
            </w:r>
            <w:r w:rsidRPr="00604C75">
              <w:rPr>
                <w:sz w:val="18"/>
              </w:rPr>
              <w:t xml:space="preserve">ncome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3CB21DBC" w14:textId="3889B6FA" w:rsidR="00224102" w:rsidRPr="00407AAB" w:rsidRDefault="00224102" w:rsidP="00991C34">
            <w:pPr>
              <w:tabs>
                <w:tab w:val="left" w:pos="935"/>
              </w:tabs>
              <w:ind w:right="154"/>
              <w:jc w:val="right"/>
              <w:rPr>
                <w:sz w:val="18"/>
                <w:szCs w:val="18"/>
              </w:rPr>
            </w:pPr>
            <w:r>
              <w:rPr>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14:paraId="182B83F0" w14:textId="4D695F77" w:rsidR="00224102" w:rsidRPr="00407AAB" w:rsidRDefault="00224102" w:rsidP="00991C34">
            <w:pPr>
              <w:tabs>
                <w:tab w:val="left" w:pos="935"/>
              </w:tabs>
              <w:ind w:right="154"/>
              <w:jc w:val="right"/>
              <w:rPr>
                <w:sz w:val="18"/>
                <w:szCs w:val="18"/>
              </w:rPr>
            </w:pPr>
            <w:r>
              <w:rPr>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587146AF" w14:textId="74FCC601" w:rsidR="00224102" w:rsidRPr="00407AAB" w:rsidRDefault="00224102" w:rsidP="00991C34">
            <w:pPr>
              <w:tabs>
                <w:tab w:val="left" w:pos="935"/>
              </w:tabs>
              <w:ind w:right="154"/>
              <w:jc w:val="right"/>
              <w:rPr>
                <w:sz w:val="18"/>
                <w:szCs w:val="18"/>
              </w:rPr>
            </w:pPr>
            <w:r>
              <w:rPr>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14:paraId="0CB17FC5" w14:textId="13C8A0B8" w:rsidR="00224102" w:rsidRPr="00407AAB" w:rsidRDefault="00224102" w:rsidP="00991C34">
            <w:pPr>
              <w:tabs>
                <w:tab w:val="left" w:pos="935"/>
              </w:tabs>
              <w:ind w:right="154"/>
              <w:jc w:val="right"/>
              <w:rPr>
                <w:sz w:val="18"/>
                <w:szCs w:val="18"/>
              </w:rPr>
            </w:pPr>
            <w:r>
              <w:rPr>
                <w:sz w:val="18"/>
                <w:szCs w:val="18"/>
              </w:rPr>
              <w:t>-</w:t>
            </w:r>
          </w:p>
        </w:tc>
      </w:tr>
      <w:tr w:rsidR="00224102" w:rsidRPr="00604C75" w14:paraId="6DAF4532"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7FC75181" w14:textId="6AB9AD36" w:rsidR="00224102" w:rsidRPr="00604C75" w:rsidRDefault="00224102" w:rsidP="00224102">
            <w:pPr>
              <w:tabs>
                <w:tab w:val="left" w:pos="330"/>
              </w:tabs>
              <w:rPr>
                <w:rFonts w:eastAsia="Arial Unicode MS"/>
                <w:sz w:val="18"/>
                <w:szCs w:val="18"/>
              </w:rPr>
            </w:pPr>
            <w:r w:rsidRPr="00604C75">
              <w:rPr>
                <w:sz w:val="18"/>
              </w:rPr>
              <w:t xml:space="preserve">Impairment </w:t>
            </w:r>
            <w:r>
              <w:rPr>
                <w:sz w:val="18"/>
              </w:rPr>
              <w:t>P</w:t>
            </w:r>
            <w:r w:rsidRPr="00604C75">
              <w:rPr>
                <w:sz w:val="18"/>
              </w:rPr>
              <w:t xml:space="preserve">rovision for </w:t>
            </w:r>
            <w:r>
              <w:rPr>
                <w:sz w:val="18"/>
              </w:rPr>
              <w:t>L</w:t>
            </w:r>
            <w:r w:rsidRPr="00604C75">
              <w:rPr>
                <w:sz w:val="18"/>
              </w:rPr>
              <w:t xml:space="preserve">oans and </w:t>
            </w:r>
            <w:r>
              <w:rPr>
                <w:sz w:val="18"/>
              </w:rPr>
              <w:t>O</w:t>
            </w:r>
            <w:r w:rsidRPr="00604C75">
              <w:rPr>
                <w:sz w:val="18"/>
              </w:rPr>
              <w:t xml:space="preserve">ther </w:t>
            </w:r>
            <w:r>
              <w:rPr>
                <w:sz w:val="18"/>
              </w:rPr>
              <w:t>R</w:t>
            </w:r>
            <w:r w:rsidRPr="00604C75">
              <w:rPr>
                <w:sz w:val="18"/>
              </w:rPr>
              <w:t>eceivables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1C8EAE36" w14:textId="7DD1DAC5" w:rsidR="00224102" w:rsidRPr="00407AAB" w:rsidRDefault="00224102" w:rsidP="00991C34">
            <w:pPr>
              <w:tabs>
                <w:tab w:val="left" w:pos="935"/>
              </w:tabs>
              <w:ind w:right="154"/>
              <w:jc w:val="right"/>
              <w:rPr>
                <w:sz w:val="18"/>
                <w:szCs w:val="18"/>
              </w:rPr>
            </w:pPr>
            <w:r w:rsidRPr="00407AAB">
              <w:rPr>
                <w:sz w:val="18"/>
                <w:szCs w:val="18"/>
              </w:rPr>
              <w:t>(207,669)</w:t>
            </w:r>
          </w:p>
        </w:tc>
        <w:tc>
          <w:tcPr>
            <w:tcW w:w="1176" w:type="dxa"/>
            <w:tcBorders>
              <w:top w:val="dotted" w:sz="4" w:space="0" w:color="auto"/>
              <w:left w:val="dotted" w:sz="4" w:space="0" w:color="auto"/>
              <w:bottom w:val="dotted" w:sz="4" w:space="0" w:color="auto"/>
              <w:right w:val="dotted" w:sz="4" w:space="0" w:color="auto"/>
            </w:tcBorders>
            <w:vAlign w:val="bottom"/>
          </w:tcPr>
          <w:p w14:paraId="28BE1A45" w14:textId="2844648D" w:rsidR="00224102" w:rsidRPr="00407AAB" w:rsidRDefault="00224102" w:rsidP="00991C34">
            <w:pPr>
              <w:tabs>
                <w:tab w:val="left" w:pos="935"/>
              </w:tabs>
              <w:ind w:right="154"/>
              <w:jc w:val="right"/>
              <w:rPr>
                <w:sz w:val="18"/>
                <w:szCs w:val="18"/>
              </w:rPr>
            </w:pPr>
            <w:r w:rsidRPr="00407AAB">
              <w:rPr>
                <w:sz w:val="18"/>
                <w:szCs w:val="18"/>
              </w:rPr>
              <w:t>(3,372)</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0029BF0" w14:textId="3860F3CC" w:rsidR="00224102" w:rsidRPr="00407AAB" w:rsidRDefault="00224102" w:rsidP="00991C34">
            <w:pPr>
              <w:tabs>
                <w:tab w:val="left" w:pos="935"/>
              </w:tabs>
              <w:ind w:right="154"/>
              <w:jc w:val="right"/>
              <w:rPr>
                <w:sz w:val="18"/>
                <w:szCs w:val="18"/>
              </w:rPr>
            </w:pPr>
            <w:r>
              <w:rPr>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14:paraId="1F251BFC" w14:textId="0EC6B851" w:rsidR="00224102" w:rsidRPr="00407AAB" w:rsidRDefault="00224102" w:rsidP="00991C34">
            <w:pPr>
              <w:tabs>
                <w:tab w:val="left" w:pos="935"/>
              </w:tabs>
              <w:ind w:right="154"/>
              <w:jc w:val="right"/>
              <w:rPr>
                <w:sz w:val="18"/>
                <w:szCs w:val="18"/>
              </w:rPr>
            </w:pPr>
            <w:r w:rsidRPr="00407AAB">
              <w:rPr>
                <w:sz w:val="18"/>
                <w:szCs w:val="18"/>
              </w:rPr>
              <w:t>(211,041)</w:t>
            </w:r>
          </w:p>
        </w:tc>
      </w:tr>
      <w:tr w:rsidR="00224102" w:rsidRPr="00604C75" w14:paraId="22430E99"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77FE8745" w14:textId="05A206E6" w:rsidR="00224102" w:rsidRPr="00604C75" w:rsidRDefault="00224102" w:rsidP="00224102">
            <w:pPr>
              <w:rPr>
                <w:rFonts w:eastAsia="Arial Unicode MS"/>
                <w:sz w:val="18"/>
                <w:szCs w:val="18"/>
              </w:rPr>
            </w:pPr>
            <w:r w:rsidRPr="00604C75">
              <w:rPr>
                <w:sz w:val="18"/>
              </w:rPr>
              <w:t xml:space="preserve">Other </w:t>
            </w:r>
            <w:r>
              <w:rPr>
                <w:sz w:val="18"/>
              </w:rPr>
              <w:t>O</w:t>
            </w:r>
            <w:r w:rsidRPr="00604C75">
              <w:rPr>
                <w:sz w:val="18"/>
              </w:rPr>
              <w:t xml:space="preserve">perating </w:t>
            </w:r>
            <w:r>
              <w:rPr>
                <w:sz w:val="18"/>
              </w:rPr>
              <w:t>E</w:t>
            </w:r>
            <w:r w:rsidRPr="00604C75">
              <w:rPr>
                <w:sz w:val="18"/>
              </w:rPr>
              <w:t>xpenses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A9868DC" w14:textId="3C3C158E" w:rsidR="00224102" w:rsidRPr="00407AAB" w:rsidRDefault="00224102" w:rsidP="00991C34">
            <w:pPr>
              <w:tabs>
                <w:tab w:val="left" w:pos="935"/>
              </w:tabs>
              <w:ind w:right="154"/>
              <w:jc w:val="right"/>
              <w:rPr>
                <w:sz w:val="18"/>
                <w:szCs w:val="18"/>
              </w:rPr>
            </w:pPr>
            <w:r w:rsidRPr="00407AAB">
              <w:rPr>
                <w:sz w:val="18"/>
                <w:szCs w:val="18"/>
              </w:rPr>
              <w:t>(422,356)</w:t>
            </w:r>
          </w:p>
        </w:tc>
        <w:tc>
          <w:tcPr>
            <w:tcW w:w="1176" w:type="dxa"/>
            <w:tcBorders>
              <w:top w:val="dotted" w:sz="4" w:space="0" w:color="auto"/>
              <w:left w:val="dotted" w:sz="4" w:space="0" w:color="auto"/>
              <w:bottom w:val="dotted" w:sz="4" w:space="0" w:color="auto"/>
              <w:right w:val="dotted" w:sz="4" w:space="0" w:color="auto"/>
            </w:tcBorders>
            <w:vAlign w:val="bottom"/>
          </w:tcPr>
          <w:p w14:paraId="43FBB76F" w14:textId="5733B6FF" w:rsidR="00224102" w:rsidRPr="00407AAB" w:rsidRDefault="00224102" w:rsidP="00991C34">
            <w:pPr>
              <w:tabs>
                <w:tab w:val="left" w:pos="935"/>
              </w:tabs>
              <w:ind w:right="154"/>
              <w:jc w:val="right"/>
              <w:rPr>
                <w:sz w:val="18"/>
                <w:szCs w:val="18"/>
              </w:rPr>
            </w:pPr>
            <w:r w:rsidRPr="00407AAB">
              <w:rPr>
                <w:sz w:val="18"/>
                <w:szCs w:val="18"/>
              </w:rPr>
              <w:t>(9,781)</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AB8EC60" w14:textId="00378DAB" w:rsidR="00224102" w:rsidRPr="00407AAB" w:rsidRDefault="00224102" w:rsidP="00991C34">
            <w:pPr>
              <w:tabs>
                <w:tab w:val="left" w:pos="935"/>
              </w:tabs>
              <w:ind w:right="154"/>
              <w:jc w:val="right"/>
              <w:rPr>
                <w:sz w:val="18"/>
                <w:szCs w:val="18"/>
              </w:rPr>
            </w:pPr>
            <w:r>
              <w:rPr>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14:paraId="1350EA8E" w14:textId="0A6917A3" w:rsidR="00224102" w:rsidRPr="00407AAB" w:rsidRDefault="00224102" w:rsidP="00991C34">
            <w:pPr>
              <w:tabs>
                <w:tab w:val="left" w:pos="935"/>
              </w:tabs>
              <w:ind w:right="154"/>
              <w:jc w:val="right"/>
              <w:rPr>
                <w:sz w:val="18"/>
                <w:szCs w:val="18"/>
              </w:rPr>
            </w:pPr>
            <w:r w:rsidRPr="00407AAB">
              <w:rPr>
                <w:sz w:val="18"/>
                <w:szCs w:val="18"/>
              </w:rPr>
              <w:t>(432,137)</w:t>
            </w:r>
          </w:p>
        </w:tc>
      </w:tr>
      <w:tr w:rsidR="00224102" w:rsidRPr="00604C75" w14:paraId="4B7AE121"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0193C23A" w14:textId="7EB06B2A" w:rsidR="00224102" w:rsidRPr="00604C75" w:rsidRDefault="00224102" w:rsidP="00224102">
            <w:pPr>
              <w:rPr>
                <w:rFonts w:eastAsia="Arial Unicode MS"/>
                <w:b/>
                <w:sz w:val="18"/>
                <w:szCs w:val="18"/>
              </w:rPr>
            </w:pPr>
            <w:r w:rsidRPr="00604C75">
              <w:rPr>
                <w:b/>
                <w:sz w:val="18"/>
              </w:rPr>
              <w:t xml:space="preserve">Profit </w:t>
            </w:r>
            <w:r>
              <w:rPr>
                <w:b/>
                <w:sz w:val="18"/>
              </w:rPr>
              <w:t>B</w:t>
            </w:r>
            <w:r w:rsidRPr="00604C75">
              <w:rPr>
                <w:b/>
                <w:sz w:val="18"/>
              </w:rPr>
              <w:t xml:space="preserve">efore </w:t>
            </w:r>
            <w:r>
              <w:rPr>
                <w:b/>
                <w:sz w:val="18"/>
              </w:rPr>
              <w:t>T</w:t>
            </w:r>
            <w:r w:rsidRPr="00604C75">
              <w:rPr>
                <w:b/>
                <w:sz w:val="18"/>
              </w:rPr>
              <w:t>axes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1C8ED8DB" w14:textId="67ED2F6F" w:rsidR="00224102" w:rsidRPr="00407AAB" w:rsidRDefault="00224102" w:rsidP="00991C34">
            <w:pPr>
              <w:tabs>
                <w:tab w:val="left" w:pos="935"/>
              </w:tabs>
              <w:ind w:right="154"/>
              <w:jc w:val="right"/>
              <w:rPr>
                <w:b/>
                <w:sz w:val="18"/>
                <w:szCs w:val="18"/>
              </w:rPr>
            </w:pPr>
            <w:r w:rsidRPr="00407AAB">
              <w:rPr>
                <w:b/>
                <w:sz w:val="18"/>
                <w:szCs w:val="18"/>
              </w:rPr>
              <w:t>185,113</w:t>
            </w:r>
          </w:p>
        </w:tc>
        <w:tc>
          <w:tcPr>
            <w:tcW w:w="1176" w:type="dxa"/>
            <w:tcBorders>
              <w:top w:val="dotted" w:sz="4" w:space="0" w:color="auto"/>
              <w:left w:val="dotted" w:sz="4" w:space="0" w:color="auto"/>
              <w:bottom w:val="dotted" w:sz="4" w:space="0" w:color="auto"/>
              <w:right w:val="dotted" w:sz="4" w:space="0" w:color="auto"/>
            </w:tcBorders>
            <w:vAlign w:val="bottom"/>
          </w:tcPr>
          <w:p w14:paraId="2F21FC5D" w14:textId="1DA1F2F7" w:rsidR="00224102" w:rsidRPr="00407AAB" w:rsidRDefault="00224102" w:rsidP="00991C34">
            <w:pPr>
              <w:tabs>
                <w:tab w:val="left" w:pos="935"/>
              </w:tabs>
              <w:ind w:right="154"/>
              <w:jc w:val="right"/>
              <w:rPr>
                <w:b/>
                <w:sz w:val="18"/>
                <w:szCs w:val="18"/>
              </w:rPr>
            </w:pPr>
            <w:r w:rsidRPr="00407AAB">
              <w:rPr>
                <w:b/>
                <w:sz w:val="18"/>
                <w:szCs w:val="18"/>
              </w:rPr>
              <w:t>(88,471)</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45DB409B" w14:textId="3EB204D7" w:rsidR="00224102" w:rsidRPr="00407AAB" w:rsidRDefault="00224102" w:rsidP="00991C34">
            <w:pPr>
              <w:tabs>
                <w:tab w:val="left" w:pos="935"/>
              </w:tabs>
              <w:ind w:right="154"/>
              <w:jc w:val="right"/>
              <w:rPr>
                <w:b/>
                <w:sz w:val="18"/>
                <w:szCs w:val="18"/>
              </w:rPr>
            </w:pPr>
            <w:r w:rsidRPr="00407AAB">
              <w:rPr>
                <w:b/>
                <w:sz w:val="18"/>
                <w:szCs w:val="18"/>
              </w:rPr>
              <w:t>967</w:t>
            </w:r>
          </w:p>
        </w:tc>
        <w:tc>
          <w:tcPr>
            <w:tcW w:w="1260" w:type="dxa"/>
            <w:tcBorders>
              <w:top w:val="dotted" w:sz="4" w:space="0" w:color="auto"/>
              <w:left w:val="dotted" w:sz="4" w:space="0" w:color="auto"/>
              <w:bottom w:val="dotted" w:sz="4" w:space="0" w:color="auto"/>
              <w:right w:val="double" w:sz="4" w:space="0" w:color="auto"/>
            </w:tcBorders>
            <w:vAlign w:val="bottom"/>
          </w:tcPr>
          <w:p w14:paraId="074A6114" w14:textId="4E36E1EE" w:rsidR="00224102" w:rsidRPr="00407AAB" w:rsidRDefault="00224102" w:rsidP="00991C34">
            <w:pPr>
              <w:tabs>
                <w:tab w:val="left" w:pos="935"/>
              </w:tabs>
              <w:ind w:right="154"/>
              <w:jc w:val="right"/>
              <w:rPr>
                <w:b/>
                <w:sz w:val="18"/>
                <w:szCs w:val="18"/>
              </w:rPr>
            </w:pPr>
            <w:r w:rsidRPr="00407AAB">
              <w:rPr>
                <w:b/>
                <w:sz w:val="18"/>
                <w:szCs w:val="18"/>
              </w:rPr>
              <w:t>97,609</w:t>
            </w:r>
          </w:p>
        </w:tc>
      </w:tr>
      <w:tr w:rsidR="00224102" w:rsidRPr="00604C75" w14:paraId="10CCDD93"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441B96EA" w14:textId="510C1B06" w:rsidR="00224102" w:rsidRPr="00604C75" w:rsidRDefault="00224102" w:rsidP="00224102">
            <w:pPr>
              <w:rPr>
                <w:sz w:val="18"/>
              </w:rPr>
            </w:pPr>
            <w:r w:rsidRPr="00604C75">
              <w:rPr>
                <w:sz w:val="18"/>
              </w:rPr>
              <w:t xml:space="preserve">Tax </w:t>
            </w:r>
            <w:r>
              <w:rPr>
                <w:sz w:val="18"/>
              </w:rPr>
              <w:t>P</w:t>
            </w:r>
            <w:r w:rsidRPr="00604C75">
              <w:rPr>
                <w:sz w:val="18"/>
              </w:rPr>
              <w:t>rovision</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179665F" w14:textId="77777777" w:rsidR="00224102" w:rsidRPr="00407AAB" w:rsidRDefault="00224102" w:rsidP="00991C34">
            <w:pPr>
              <w:tabs>
                <w:tab w:val="left" w:pos="935"/>
              </w:tabs>
              <w:ind w:right="154"/>
              <w:jc w:val="right"/>
              <w:rPr>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14:paraId="595942C5" w14:textId="77777777" w:rsidR="00224102" w:rsidRPr="00407AAB" w:rsidRDefault="00224102" w:rsidP="00991C34">
            <w:pPr>
              <w:tabs>
                <w:tab w:val="left" w:pos="935"/>
              </w:tabs>
              <w:ind w:right="154"/>
              <w:jc w:val="right"/>
              <w:rPr>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50636DEF" w14:textId="77777777" w:rsidR="00224102" w:rsidRPr="00407AAB" w:rsidRDefault="00224102" w:rsidP="00991C34">
            <w:pPr>
              <w:tabs>
                <w:tab w:val="left" w:pos="935"/>
              </w:tabs>
              <w:ind w:right="154"/>
              <w:jc w:val="right"/>
              <w:rPr>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14:paraId="117D5905" w14:textId="7C36309F" w:rsidR="00224102" w:rsidRPr="00407AAB" w:rsidRDefault="00224102" w:rsidP="00991C34">
            <w:pPr>
              <w:tabs>
                <w:tab w:val="left" w:pos="935"/>
              </w:tabs>
              <w:ind w:right="154"/>
              <w:jc w:val="right"/>
              <w:rPr>
                <w:sz w:val="18"/>
                <w:szCs w:val="18"/>
              </w:rPr>
            </w:pPr>
            <w:r w:rsidRPr="00407AAB">
              <w:rPr>
                <w:sz w:val="18"/>
                <w:szCs w:val="18"/>
              </w:rPr>
              <w:t>(27,734)</w:t>
            </w:r>
          </w:p>
        </w:tc>
      </w:tr>
      <w:tr w:rsidR="00224102" w:rsidRPr="00604C75" w14:paraId="1BB97179"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5A6F96B8" w14:textId="3AB62007" w:rsidR="00224102" w:rsidRPr="00604C75" w:rsidRDefault="00224102" w:rsidP="00224102">
            <w:pPr>
              <w:rPr>
                <w:rFonts w:eastAsia="Arial Unicode MS"/>
                <w:b/>
                <w:sz w:val="18"/>
                <w:szCs w:val="18"/>
              </w:rPr>
            </w:pPr>
            <w:r w:rsidRPr="00604C75">
              <w:rPr>
                <w:b/>
                <w:sz w:val="18"/>
              </w:rPr>
              <w:t xml:space="preserve">Net </w:t>
            </w:r>
            <w:r>
              <w:rPr>
                <w:b/>
                <w:sz w:val="18"/>
              </w:rPr>
              <w:t>P</w:t>
            </w:r>
            <w:r w:rsidRPr="00604C75">
              <w:rPr>
                <w:b/>
                <w:sz w:val="18"/>
              </w:rPr>
              <w:t xml:space="preserve">rofit for the </w:t>
            </w:r>
            <w:r>
              <w:rPr>
                <w:b/>
                <w:sz w:val="18"/>
              </w:rPr>
              <w:t>P</w:t>
            </w:r>
            <w:r w:rsidRPr="00604C75">
              <w:rPr>
                <w:b/>
                <w:sz w:val="18"/>
              </w:rPr>
              <w:t>eriod</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5F5F22E" w14:textId="77777777" w:rsidR="00224102" w:rsidRPr="00407AAB" w:rsidRDefault="00224102" w:rsidP="00991C34">
            <w:pPr>
              <w:tabs>
                <w:tab w:val="left" w:pos="935"/>
              </w:tabs>
              <w:ind w:right="154"/>
              <w:jc w:val="right"/>
              <w:rPr>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14:paraId="47588050" w14:textId="77777777" w:rsidR="00224102" w:rsidRPr="00407AAB" w:rsidRDefault="00224102" w:rsidP="00991C34">
            <w:pPr>
              <w:tabs>
                <w:tab w:val="left" w:pos="935"/>
              </w:tabs>
              <w:ind w:right="154"/>
              <w:jc w:val="right"/>
              <w:rPr>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93F6058" w14:textId="77777777" w:rsidR="00224102" w:rsidRPr="00407AAB" w:rsidRDefault="00224102" w:rsidP="00991C34">
            <w:pPr>
              <w:tabs>
                <w:tab w:val="left" w:pos="935"/>
              </w:tabs>
              <w:ind w:right="154"/>
              <w:jc w:val="right"/>
              <w:rPr>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14:paraId="7F5FDD4B" w14:textId="48C316C0" w:rsidR="00224102" w:rsidRPr="00407AAB" w:rsidRDefault="00224102" w:rsidP="00991C34">
            <w:pPr>
              <w:tabs>
                <w:tab w:val="left" w:pos="935"/>
              </w:tabs>
              <w:ind w:right="154"/>
              <w:jc w:val="right"/>
              <w:rPr>
                <w:sz w:val="18"/>
                <w:szCs w:val="18"/>
              </w:rPr>
            </w:pPr>
            <w:r w:rsidRPr="00407AAB">
              <w:rPr>
                <w:b/>
                <w:sz w:val="18"/>
                <w:szCs w:val="18"/>
              </w:rPr>
              <w:t>69,875</w:t>
            </w:r>
          </w:p>
        </w:tc>
      </w:tr>
      <w:tr w:rsidR="00224102" w:rsidRPr="00604C75" w14:paraId="45A1B136"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3442DFBD" w14:textId="77777777" w:rsidR="00224102" w:rsidRPr="00604C75" w:rsidRDefault="00224102" w:rsidP="00224102">
            <w:pPr>
              <w:rPr>
                <w:b/>
                <w:sz w:val="18"/>
              </w:rPr>
            </w:pP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48E12A8" w14:textId="77777777" w:rsidR="00224102" w:rsidRPr="00407AAB" w:rsidRDefault="00224102" w:rsidP="00991C34">
            <w:pPr>
              <w:tabs>
                <w:tab w:val="left" w:pos="935"/>
              </w:tabs>
              <w:ind w:right="154"/>
              <w:jc w:val="right"/>
              <w:rPr>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14:paraId="596E64F6" w14:textId="77777777" w:rsidR="00224102" w:rsidRPr="00407AAB" w:rsidRDefault="00224102" w:rsidP="00991C34">
            <w:pPr>
              <w:tabs>
                <w:tab w:val="left" w:pos="935"/>
              </w:tabs>
              <w:ind w:right="154"/>
              <w:jc w:val="right"/>
              <w:rPr>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B241877" w14:textId="77777777" w:rsidR="00224102" w:rsidRPr="00407AAB" w:rsidRDefault="00224102" w:rsidP="00991C34">
            <w:pPr>
              <w:tabs>
                <w:tab w:val="left" w:pos="935"/>
              </w:tabs>
              <w:ind w:right="154"/>
              <w:jc w:val="right"/>
              <w:rPr>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14:paraId="32CB8B09" w14:textId="77777777" w:rsidR="00224102" w:rsidRPr="00407AAB" w:rsidRDefault="00224102" w:rsidP="00991C34">
            <w:pPr>
              <w:tabs>
                <w:tab w:val="left" w:pos="935"/>
              </w:tabs>
              <w:ind w:right="154"/>
              <w:jc w:val="right"/>
              <w:rPr>
                <w:sz w:val="18"/>
                <w:szCs w:val="18"/>
              </w:rPr>
            </w:pPr>
          </w:p>
        </w:tc>
      </w:tr>
      <w:tr w:rsidR="00224102" w:rsidRPr="00604C75" w14:paraId="6CEA0AFF"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67182F65"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rPr>
                <w:b/>
              </w:rPr>
            </w:pPr>
            <w:r>
              <w:rPr>
                <w:rFonts w:eastAsia="Times New Roman"/>
                <w:b/>
                <w:bCs/>
                <w:szCs w:val="24"/>
                <w:lang w:val="en-US"/>
              </w:rPr>
              <w:t>31 December</w:t>
            </w:r>
            <w:r w:rsidRPr="00604C75">
              <w:rPr>
                <w:rFonts w:eastAsia="Times New Roman"/>
                <w:b/>
                <w:bCs/>
                <w:szCs w:val="24"/>
                <w:lang w:val="en-US"/>
              </w:rPr>
              <w:t xml:space="preserve"> 2015</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5DF1A2C" w14:textId="4288E18C" w:rsidR="00224102" w:rsidRPr="00407AAB" w:rsidRDefault="00224102" w:rsidP="00991C34">
            <w:pPr>
              <w:tabs>
                <w:tab w:val="left" w:pos="935"/>
              </w:tabs>
              <w:ind w:right="154"/>
              <w:jc w:val="right"/>
              <w:rPr>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14:paraId="7AFBD3B6" w14:textId="1841A2C9" w:rsidR="00224102" w:rsidRPr="00407AAB" w:rsidRDefault="00224102" w:rsidP="00991C34">
            <w:pPr>
              <w:tabs>
                <w:tab w:val="left" w:pos="935"/>
              </w:tabs>
              <w:ind w:right="154"/>
              <w:jc w:val="right"/>
              <w:rPr>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9F5E322" w14:textId="290EB437" w:rsidR="00224102" w:rsidRPr="00407AAB" w:rsidRDefault="00224102" w:rsidP="00991C34">
            <w:pPr>
              <w:tabs>
                <w:tab w:val="left" w:pos="935"/>
              </w:tabs>
              <w:ind w:right="154"/>
              <w:jc w:val="right"/>
              <w:rPr>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14:paraId="5917461F" w14:textId="3424687D" w:rsidR="00224102" w:rsidRPr="00407AAB" w:rsidRDefault="00224102" w:rsidP="00991C34">
            <w:pPr>
              <w:tabs>
                <w:tab w:val="left" w:pos="935"/>
              </w:tabs>
              <w:ind w:right="154"/>
              <w:jc w:val="right"/>
              <w:rPr>
                <w:sz w:val="18"/>
                <w:szCs w:val="18"/>
              </w:rPr>
            </w:pPr>
          </w:p>
        </w:tc>
      </w:tr>
      <w:tr w:rsidR="00224102" w:rsidRPr="00604C75" w14:paraId="21CAB329"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69B4BC84" w14:textId="77F77538" w:rsidR="00224102" w:rsidRPr="00604C75" w:rsidRDefault="00224102" w:rsidP="00224102">
            <w:pPr>
              <w:rPr>
                <w:rFonts w:eastAsia="Arial Unicode MS"/>
                <w:sz w:val="18"/>
                <w:szCs w:val="18"/>
              </w:rPr>
            </w:pPr>
            <w:r w:rsidRPr="00604C75">
              <w:rPr>
                <w:sz w:val="18"/>
              </w:rPr>
              <w:t xml:space="preserve">Segment </w:t>
            </w:r>
            <w:r>
              <w:rPr>
                <w:sz w:val="18"/>
              </w:rPr>
              <w:t>A</w:t>
            </w:r>
            <w:r w:rsidRPr="00604C75">
              <w:rPr>
                <w:sz w:val="18"/>
              </w:rPr>
              <w:t>ssets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55B0F2BD" w14:textId="39FB9361" w:rsidR="00224102" w:rsidRPr="00407AAB" w:rsidRDefault="00224102" w:rsidP="00991C34">
            <w:pPr>
              <w:tabs>
                <w:tab w:val="left" w:pos="935"/>
              </w:tabs>
              <w:ind w:right="154"/>
              <w:jc w:val="right"/>
              <w:rPr>
                <w:sz w:val="18"/>
                <w:szCs w:val="18"/>
              </w:rPr>
            </w:pPr>
            <w:r w:rsidRPr="00407AAB">
              <w:rPr>
                <w:sz w:val="18"/>
                <w:szCs w:val="18"/>
              </w:rPr>
              <w:t>10,403,625</w:t>
            </w:r>
          </w:p>
        </w:tc>
        <w:tc>
          <w:tcPr>
            <w:tcW w:w="1176" w:type="dxa"/>
            <w:tcBorders>
              <w:top w:val="dotted" w:sz="4" w:space="0" w:color="auto"/>
              <w:left w:val="dotted" w:sz="4" w:space="0" w:color="auto"/>
              <w:bottom w:val="dotted" w:sz="4" w:space="0" w:color="auto"/>
              <w:right w:val="dotted" w:sz="4" w:space="0" w:color="auto"/>
            </w:tcBorders>
            <w:vAlign w:val="bottom"/>
          </w:tcPr>
          <w:p w14:paraId="005D0DE3" w14:textId="7509E431" w:rsidR="00224102" w:rsidRPr="00407AAB" w:rsidRDefault="00224102" w:rsidP="00991C34">
            <w:pPr>
              <w:tabs>
                <w:tab w:val="left" w:pos="935"/>
              </w:tabs>
              <w:ind w:right="154"/>
              <w:jc w:val="right"/>
              <w:rPr>
                <w:sz w:val="18"/>
                <w:szCs w:val="18"/>
              </w:rPr>
            </w:pPr>
            <w:r w:rsidRPr="00407AAB">
              <w:rPr>
                <w:sz w:val="18"/>
                <w:szCs w:val="18"/>
              </w:rPr>
              <w:t>3,023,828</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CEA6D0C" w14:textId="431D9C1C" w:rsidR="00224102" w:rsidRPr="00407AAB" w:rsidRDefault="00224102" w:rsidP="00991C34">
            <w:pPr>
              <w:tabs>
                <w:tab w:val="left" w:pos="935"/>
              </w:tabs>
              <w:ind w:right="154"/>
              <w:jc w:val="right"/>
              <w:rPr>
                <w:sz w:val="18"/>
                <w:szCs w:val="18"/>
              </w:rPr>
            </w:pPr>
            <w:r w:rsidRPr="00407AAB">
              <w:rPr>
                <w:sz w:val="18"/>
                <w:szCs w:val="18"/>
              </w:rPr>
              <w:t>637,370</w:t>
            </w:r>
          </w:p>
        </w:tc>
        <w:tc>
          <w:tcPr>
            <w:tcW w:w="1260" w:type="dxa"/>
            <w:tcBorders>
              <w:top w:val="dotted" w:sz="4" w:space="0" w:color="auto"/>
              <w:left w:val="dotted" w:sz="4" w:space="0" w:color="auto"/>
              <w:bottom w:val="dotted" w:sz="4" w:space="0" w:color="auto"/>
              <w:right w:val="double" w:sz="4" w:space="0" w:color="auto"/>
            </w:tcBorders>
            <w:vAlign w:val="bottom"/>
          </w:tcPr>
          <w:p w14:paraId="186625F4" w14:textId="6A0D8149" w:rsidR="00224102" w:rsidRPr="00407AAB" w:rsidRDefault="00224102" w:rsidP="00991C34">
            <w:pPr>
              <w:tabs>
                <w:tab w:val="left" w:pos="935"/>
              </w:tabs>
              <w:ind w:right="154"/>
              <w:jc w:val="right"/>
              <w:rPr>
                <w:sz w:val="18"/>
                <w:szCs w:val="18"/>
              </w:rPr>
            </w:pPr>
            <w:r w:rsidRPr="00407AAB">
              <w:rPr>
                <w:sz w:val="18"/>
                <w:szCs w:val="18"/>
              </w:rPr>
              <w:t>14,064,823</w:t>
            </w:r>
          </w:p>
        </w:tc>
      </w:tr>
      <w:tr w:rsidR="00224102" w:rsidRPr="00604C75" w14:paraId="35DB365E"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7847F8F5" w14:textId="4D84B0EF" w:rsidR="00224102" w:rsidRPr="00604C75" w:rsidRDefault="00224102" w:rsidP="00224102">
            <w:pPr>
              <w:rPr>
                <w:rFonts w:eastAsia="Arial Unicode MS"/>
                <w:sz w:val="18"/>
                <w:szCs w:val="18"/>
              </w:rPr>
            </w:pPr>
            <w:r w:rsidRPr="00604C75">
              <w:rPr>
                <w:sz w:val="18"/>
              </w:rPr>
              <w:t xml:space="preserve">Investments in </w:t>
            </w:r>
            <w:r>
              <w:rPr>
                <w:sz w:val="18"/>
              </w:rPr>
              <w:t>A</w:t>
            </w:r>
            <w:r w:rsidRPr="00604C75">
              <w:rPr>
                <w:sz w:val="18"/>
              </w:rPr>
              <w:t xml:space="preserve">ssociates and </w:t>
            </w:r>
            <w:r>
              <w:rPr>
                <w:sz w:val="18"/>
              </w:rPr>
              <w:t>S</w:t>
            </w:r>
            <w:r w:rsidRPr="00604C75">
              <w:rPr>
                <w:sz w:val="18"/>
              </w:rPr>
              <w:t>ubsidiaries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C26B504" w14:textId="7ADF348F" w:rsidR="00224102" w:rsidRPr="00407AAB" w:rsidRDefault="00224102" w:rsidP="00991C34">
            <w:pPr>
              <w:tabs>
                <w:tab w:val="left" w:pos="935"/>
              </w:tabs>
              <w:ind w:right="154"/>
              <w:jc w:val="right"/>
              <w:rPr>
                <w:b/>
                <w:sz w:val="18"/>
                <w:szCs w:val="18"/>
              </w:rPr>
            </w:pPr>
            <w:r>
              <w:rPr>
                <w:sz w:val="18"/>
                <w:szCs w:val="18"/>
              </w:rPr>
              <w:t>-</w:t>
            </w:r>
            <w:r w:rsidRPr="00407AAB">
              <w:rPr>
                <w:sz w:val="18"/>
                <w:szCs w:val="18"/>
              </w:rPr>
              <w:t> </w:t>
            </w:r>
          </w:p>
        </w:tc>
        <w:tc>
          <w:tcPr>
            <w:tcW w:w="1176" w:type="dxa"/>
            <w:tcBorders>
              <w:top w:val="dotted" w:sz="4" w:space="0" w:color="auto"/>
              <w:left w:val="dotted" w:sz="4" w:space="0" w:color="auto"/>
              <w:bottom w:val="dotted" w:sz="4" w:space="0" w:color="auto"/>
              <w:right w:val="dotted" w:sz="4" w:space="0" w:color="auto"/>
            </w:tcBorders>
            <w:vAlign w:val="bottom"/>
          </w:tcPr>
          <w:p w14:paraId="73FB5329" w14:textId="20A95E0F" w:rsidR="00224102" w:rsidRPr="00407AAB" w:rsidRDefault="00224102" w:rsidP="00991C34">
            <w:pPr>
              <w:tabs>
                <w:tab w:val="left" w:pos="935"/>
              </w:tabs>
              <w:ind w:right="154"/>
              <w:jc w:val="right"/>
              <w:rPr>
                <w:b/>
                <w:sz w:val="18"/>
                <w:szCs w:val="18"/>
              </w:rPr>
            </w:pPr>
            <w:r>
              <w:rPr>
                <w:sz w:val="18"/>
                <w:szCs w:val="18"/>
              </w:rPr>
              <w:t>-</w:t>
            </w:r>
            <w:r w:rsidRPr="00407AAB">
              <w:rPr>
                <w:sz w:val="18"/>
                <w:szCs w:val="18"/>
              </w:rPr>
              <w:t> </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BB23DB7" w14:textId="7BA58E57" w:rsidR="00224102" w:rsidRPr="00407AAB" w:rsidRDefault="00224102" w:rsidP="00991C34">
            <w:pPr>
              <w:tabs>
                <w:tab w:val="left" w:pos="935"/>
              </w:tabs>
              <w:ind w:right="154"/>
              <w:jc w:val="right"/>
              <w:rPr>
                <w:b/>
                <w:sz w:val="18"/>
                <w:szCs w:val="18"/>
              </w:rPr>
            </w:pPr>
            <w:r>
              <w:rPr>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14:paraId="4FF645A9" w14:textId="11200181" w:rsidR="00224102" w:rsidRPr="00407AAB" w:rsidRDefault="00224102" w:rsidP="00991C34">
            <w:pPr>
              <w:tabs>
                <w:tab w:val="left" w:pos="935"/>
              </w:tabs>
              <w:ind w:right="154"/>
              <w:jc w:val="right"/>
              <w:rPr>
                <w:b/>
                <w:sz w:val="18"/>
                <w:szCs w:val="18"/>
              </w:rPr>
            </w:pPr>
            <w:r>
              <w:rPr>
                <w:sz w:val="18"/>
                <w:szCs w:val="18"/>
              </w:rPr>
              <w:t>-</w:t>
            </w:r>
          </w:p>
        </w:tc>
      </w:tr>
      <w:tr w:rsidR="00224102" w:rsidRPr="00604C75" w14:paraId="3A7BCBA1"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35C1830D" w14:textId="77777777" w:rsidR="00224102" w:rsidRPr="00604C75" w:rsidRDefault="00224102" w:rsidP="00224102">
            <w:pPr>
              <w:rPr>
                <w:b/>
                <w:sz w:val="18"/>
              </w:rPr>
            </w:pPr>
            <w:r w:rsidRPr="00604C75">
              <w:rPr>
                <w:b/>
                <w:sz w:val="18"/>
              </w:rPr>
              <w:t>Total Assets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5BCD4776" w14:textId="0AAA96AF" w:rsidR="00224102" w:rsidRPr="00407AAB" w:rsidRDefault="00224102" w:rsidP="00991C34">
            <w:pPr>
              <w:tabs>
                <w:tab w:val="left" w:pos="935"/>
              </w:tabs>
              <w:ind w:right="154"/>
              <w:jc w:val="right"/>
              <w:rPr>
                <w:sz w:val="18"/>
                <w:szCs w:val="18"/>
              </w:rPr>
            </w:pPr>
            <w:r w:rsidRPr="00407AAB">
              <w:rPr>
                <w:b/>
                <w:sz w:val="18"/>
                <w:szCs w:val="18"/>
              </w:rPr>
              <w:t>10,403,625</w:t>
            </w:r>
          </w:p>
        </w:tc>
        <w:tc>
          <w:tcPr>
            <w:tcW w:w="1176" w:type="dxa"/>
            <w:tcBorders>
              <w:top w:val="dotted" w:sz="4" w:space="0" w:color="auto"/>
              <w:left w:val="dotted" w:sz="4" w:space="0" w:color="auto"/>
              <w:bottom w:val="dotted" w:sz="4" w:space="0" w:color="auto"/>
              <w:right w:val="dotted" w:sz="4" w:space="0" w:color="auto"/>
            </w:tcBorders>
            <w:vAlign w:val="bottom"/>
          </w:tcPr>
          <w:p w14:paraId="6D3B6D7B" w14:textId="7A568028" w:rsidR="00224102" w:rsidRPr="00407AAB" w:rsidRDefault="00224102" w:rsidP="00991C34">
            <w:pPr>
              <w:tabs>
                <w:tab w:val="left" w:pos="935"/>
              </w:tabs>
              <w:ind w:right="154"/>
              <w:jc w:val="right"/>
              <w:rPr>
                <w:sz w:val="18"/>
                <w:szCs w:val="18"/>
              </w:rPr>
            </w:pPr>
            <w:r w:rsidRPr="00407AAB">
              <w:rPr>
                <w:b/>
                <w:sz w:val="18"/>
                <w:szCs w:val="18"/>
              </w:rPr>
              <w:t>3,023,828</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1BE3EBF1" w14:textId="2EEB5013" w:rsidR="00224102" w:rsidRPr="00407AAB" w:rsidRDefault="00224102" w:rsidP="00991C34">
            <w:pPr>
              <w:tabs>
                <w:tab w:val="left" w:pos="935"/>
              </w:tabs>
              <w:ind w:right="154"/>
              <w:jc w:val="right"/>
              <w:rPr>
                <w:sz w:val="18"/>
                <w:szCs w:val="18"/>
              </w:rPr>
            </w:pPr>
            <w:r w:rsidRPr="00407AAB">
              <w:rPr>
                <w:b/>
                <w:sz w:val="18"/>
                <w:szCs w:val="18"/>
              </w:rPr>
              <w:t>637,370</w:t>
            </w:r>
          </w:p>
        </w:tc>
        <w:tc>
          <w:tcPr>
            <w:tcW w:w="1260" w:type="dxa"/>
            <w:tcBorders>
              <w:top w:val="dotted" w:sz="4" w:space="0" w:color="auto"/>
              <w:left w:val="dotted" w:sz="4" w:space="0" w:color="auto"/>
              <w:bottom w:val="dotted" w:sz="4" w:space="0" w:color="auto"/>
              <w:right w:val="double" w:sz="4" w:space="0" w:color="auto"/>
            </w:tcBorders>
            <w:vAlign w:val="bottom"/>
          </w:tcPr>
          <w:p w14:paraId="11DF3187" w14:textId="0362F87C" w:rsidR="00224102" w:rsidRPr="00407AAB" w:rsidRDefault="00224102" w:rsidP="00991C34">
            <w:pPr>
              <w:tabs>
                <w:tab w:val="left" w:pos="935"/>
              </w:tabs>
              <w:ind w:right="154"/>
              <w:jc w:val="right"/>
              <w:rPr>
                <w:sz w:val="18"/>
                <w:szCs w:val="18"/>
              </w:rPr>
            </w:pPr>
            <w:r w:rsidRPr="00407AAB">
              <w:rPr>
                <w:b/>
                <w:sz w:val="18"/>
                <w:szCs w:val="18"/>
              </w:rPr>
              <w:t>14,064,823</w:t>
            </w:r>
          </w:p>
        </w:tc>
      </w:tr>
      <w:tr w:rsidR="00224102" w:rsidRPr="00604C75" w14:paraId="30CAC972"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3A3FB32F" w14:textId="76848D06" w:rsidR="00224102" w:rsidRPr="00604C75" w:rsidRDefault="00224102" w:rsidP="00224102">
            <w:pPr>
              <w:rPr>
                <w:sz w:val="18"/>
              </w:rPr>
            </w:pPr>
            <w:r w:rsidRPr="00604C75">
              <w:rPr>
                <w:sz w:val="18"/>
              </w:rPr>
              <w:t xml:space="preserve">Segment </w:t>
            </w:r>
            <w:r>
              <w:rPr>
                <w:sz w:val="18"/>
              </w:rPr>
              <w:t>L</w:t>
            </w:r>
            <w:r w:rsidRPr="00604C75">
              <w:rPr>
                <w:sz w:val="18"/>
              </w:rPr>
              <w:t>iabilities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38C9E7CB" w14:textId="5E6A8A49" w:rsidR="00224102" w:rsidRPr="00407AAB" w:rsidRDefault="00224102" w:rsidP="00991C34">
            <w:pPr>
              <w:tabs>
                <w:tab w:val="left" w:pos="935"/>
              </w:tabs>
              <w:ind w:right="154"/>
              <w:jc w:val="right"/>
              <w:rPr>
                <w:sz w:val="18"/>
                <w:szCs w:val="18"/>
              </w:rPr>
            </w:pPr>
            <w:r w:rsidRPr="00407AAB">
              <w:rPr>
                <w:sz w:val="18"/>
                <w:szCs w:val="18"/>
              </w:rPr>
              <w:t>7,180,942</w:t>
            </w:r>
          </w:p>
        </w:tc>
        <w:tc>
          <w:tcPr>
            <w:tcW w:w="1176" w:type="dxa"/>
            <w:tcBorders>
              <w:top w:val="dotted" w:sz="4" w:space="0" w:color="auto"/>
              <w:left w:val="dotted" w:sz="4" w:space="0" w:color="auto"/>
              <w:bottom w:val="dotted" w:sz="4" w:space="0" w:color="auto"/>
              <w:right w:val="dotted" w:sz="4" w:space="0" w:color="auto"/>
            </w:tcBorders>
            <w:vAlign w:val="bottom"/>
          </w:tcPr>
          <w:p w14:paraId="34CE28CB" w14:textId="3E28CA38" w:rsidR="00224102" w:rsidRPr="00407AAB" w:rsidRDefault="00224102" w:rsidP="00991C34">
            <w:pPr>
              <w:tabs>
                <w:tab w:val="left" w:pos="935"/>
              </w:tabs>
              <w:ind w:right="154"/>
              <w:jc w:val="right"/>
              <w:rPr>
                <w:sz w:val="18"/>
                <w:szCs w:val="18"/>
              </w:rPr>
            </w:pPr>
            <w:r w:rsidRPr="00407AAB">
              <w:rPr>
                <w:sz w:val="18"/>
                <w:szCs w:val="18"/>
              </w:rPr>
              <w:t>3,869,521</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63FFC99D" w14:textId="38816FC2" w:rsidR="00224102" w:rsidRPr="00407AAB" w:rsidRDefault="00224102" w:rsidP="00991C34">
            <w:pPr>
              <w:tabs>
                <w:tab w:val="left" w:pos="935"/>
              </w:tabs>
              <w:ind w:right="154"/>
              <w:jc w:val="right"/>
              <w:rPr>
                <w:sz w:val="18"/>
                <w:szCs w:val="18"/>
              </w:rPr>
            </w:pPr>
            <w:r w:rsidRPr="00407AAB">
              <w:rPr>
                <w:sz w:val="18"/>
                <w:szCs w:val="18"/>
              </w:rPr>
              <w:t>1,999,244</w:t>
            </w:r>
          </w:p>
        </w:tc>
        <w:tc>
          <w:tcPr>
            <w:tcW w:w="1260" w:type="dxa"/>
            <w:tcBorders>
              <w:top w:val="dotted" w:sz="4" w:space="0" w:color="auto"/>
              <w:left w:val="dotted" w:sz="4" w:space="0" w:color="auto"/>
              <w:bottom w:val="dotted" w:sz="4" w:space="0" w:color="auto"/>
              <w:right w:val="double" w:sz="4" w:space="0" w:color="auto"/>
            </w:tcBorders>
            <w:vAlign w:val="bottom"/>
          </w:tcPr>
          <w:p w14:paraId="66E66C04" w14:textId="6EAA06B5" w:rsidR="00224102" w:rsidRPr="00407AAB" w:rsidRDefault="00224102" w:rsidP="00991C34">
            <w:pPr>
              <w:tabs>
                <w:tab w:val="left" w:pos="935"/>
              </w:tabs>
              <w:ind w:right="154"/>
              <w:jc w:val="right"/>
              <w:rPr>
                <w:sz w:val="18"/>
                <w:szCs w:val="18"/>
              </w:rPr>
            </w:pPr>
            <w:r w:rsidRPr="00407AAB">
              <w:rPr>
                <w:sz w:val="18"/>
                <w:szCs w:val="18"/>
              </w:rPr>
              <w:t>13,049,707</w:t>
            </w:r>
          </w:p>
        </w:tc>
      </w:tr>
      <w:tr w:rsidR="00224102" w:rsidRPr="00604C75" w14:paraId="45E4ACE1" w14:textId="77777777" w:rsidTr="00991C34">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6E9ED4C8" w14:textId="562314F7" w:rsidR="00224102" w:rsidRPr="00604C75" w:rsidRDefault="00224102" w:rsidP="00224102">
            <w:pPr>
              <w:rPr>
                <w:sz w:val="18"/>
              </w:rPr>
            </w:pPr>
            <w:r w:rsidRPr="00604C75">
              <w:rPr>
                <w:sz w:val="18"/>
              </w:rPr>
              <w:t xml:space="preserve">Shareholders’ </w:t>
            </w:r>
            <w:r>
              <w:rPr>
                <w:sz w:val="18"/>
              </w:rPr>
              <w:t>E</w:t>
            </w:r>
            <w:r w:rsidRPr="00604C75">
              <w:rPr>
                <w:sz w:val="18"/>
              </w:rPr>
              <w:t>quity</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5E55E99A" w14:textId="52065945" w:rsidR="00224102" w:rsidRPr="00407AAB" w:rsidRDefault="00224102" w:rsidP="00991C34">
            <w:pPr>
              <w:tabs>
                <w:tab w:val="left" w:pos="935"/>
              </w:tabs>
              <w:ind w:right="154"/>
              <w:jc w:val="right"/>
              <w:rPr>
                <w:b/>
                <w:sz w:val="18"/>
                <w:szCs w:val="18"/>
              </w:rPr>
            </w:pPr>
            <w:r w:rsidRPr="00407AAB">
              <w:rPr>
                <w:sz w:val="18"/>
                <w:szCs w:val="18"/>
              </w:rPr>
              <w:t>112,989</w:t>
            </w:r>
          </w:p>
        </w:tc>
        <w:tc>
          <w:tcPr>
            <w:tcW w:w="1176" w:type="dxa"/>
            <w:tcBorders>
              <w:top w:val="dotted" w:sz="4" w:space="0" w:color="auto"/>
              <w:left w:val="dotted" w:sz="4" w:space="0" w:color="auto"/>
              <w:bottom w:val="dotted" w:sz="4" w:space="0" w:color="auto"/>
              <w:right w:val="dotted" w:sz="4" w:space="0" w:color="auto"/>
            </w:tcBorders>
            <w:vAlign w:val="bottom"/>
          </w:tcPr>
          <w:p w14:paraId="20EF96FC" w14:textId="61758690" w:rsidR="00224102" w:rsidRPr="00407AAB" w:rsidRDefault="00224102" w:rsidP="00991C34">
            <w:pPr>
              <w:tabs>
                <w:tab w:val="left" w:pos="935"/>
              </w:tabs>
              <w:ind w:right="154"/>
              <w:jc w:val="right"/>
              <w:rPr>
                <w:b/>
                <w:sz w:val="18"/>
                <w:szCs w:val="18"/>
              </w:rPr>
            </w:pPr>
            <w:r w:rsidRPr="00407AAB">
              <w:rPr>
                <w:sz w:val="18"/>
                <w:szCs w:val="18"/>
              </w:rPr>
              <w:t>20,612</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27FF374" w14:textId="59F109BD" w:rsidR="00224102" w:rsidRPr="00407AAB" w:rsidRDefault="00224102" w:rsidP="00991C34">
            <w:pPr>
              <w:tabs>
                <w:tab w:val="left" w:pos="935"/>
              </w:tabs>
              <w:ind w:right="154"/>
              <w:jc w:val="right"/>
              <w:rPr>
                <w:b/>
                <w:sz w:val="18"/>
                <w:szCs w:val="18"/>
              </w:rPr>
            </w:pPr>
            <w:r w:rsidRPr="00407AAB">
              <w:rPr>
                <w:sz w:val="18"/>
                <w:szCs w:val="18"/>
              </w:rPr>
              <w:t>881,515</w:t>
            </w:r>
          </w:p>
        </w:tc>
        <w:tc>
          <w:tcPr>
            <w:tcW w:w="1260" w:type="dxa"/>
            <w:tcBorders>
              <w:top w:val="dotted" w:sz="4" w:space="0" w:color="auto"/>
              <w:left w:val="dotted" w:sz="4" w:space="0" w:color="auto"/>
              <w:bottom w:val="dotted" w:sz="4" w:space="0" w:color="auto"/>
              <w:right w:val="double" w:sz="4" w:space="0" w:color="auto"/>
            </w:tcBorders>
            <w:vAlign w:val="bottom"/>
          </w:tcPr>
          <w:p w14:paraId="21AB5B92" w14:textId="6092F560" w:rsidR="00224102" w:rsidRPr="00407AAB" w:rsidRDefault="00224102" w:rsidP="00991C34">
            <w:pPr>
              <w:tabs>
                <w:tab w:val="left" w:pos="935"/>
              </w:tabs>
              <w:ind w:right="154"/>
              <w:jc w:val="right"/>
              <w:rPr>
                <w:b/>
                <w:sz w:val="18"/>
                <w:szCs w:val="18"/>
              </w:rPr>
            </w:pPr>
            <w:r w:rsidRPr="00407AAB">
              <w:rPr>
                <w:sz w:val="18"/>
                <w:szCs w:val="18"/>
              </w:rPr>
              <w:t>1,015,116</w:t>
            </w:r>
          </w:p>
        </w:tc>
      </w:tr>
      <w:tr w:rsidR="00224102" w:rsidRPr="00604C75" w14:paraId="75971DE3" w14:textId="77777777" w:rsidTr="00991C34">
        <w:trPr>
          <w:cantSplit/>
          <w:trHeight w:val="263"/>
        </w:trPr>
        <w:tc>
          <w:tcPr>
            <w:tcW w:w="4549" w:type="dxa"/>
            <w:tcBorders>
              <w:top w:val="dotted" w:sz="4" w:space="0" w:color="auto"/>
              <w:left w:val="double" w:sz="4" w:space="0" w:color="auto"/>
              <w:bottom w:val="double" w:sz="4" w:space="0" w:color="auto"/>
              <w:right w:val="dotted" w:sz="4" w:space="0" w:color="auto"/>
            </w:tcBorders>
            <w:noWrap/>
            <w:tcMar>
              <w:top w:w="15" w:type="dxa"/>
              <w:left w:w="15" w:type="dxa"/>
              <w:bottom w:w="0" w:type="dxa"/>
              <w:right w:w="15" w:type="dxa"/>
            </w:tcMar>
            <w:vAlign w:val="bottom"/>
          </w:tcPr>
          <w:p w14:paraId="70C92075" w14:textId="77777777" w:rsidR="00224102" w:rsidRPr="00604C75" w:rsidRDefault="00224102" w:rsidP="00224102">
            <w:pPr>
              <w:rPr>
                <w:b/>
                <w:sz w:val="18"/>
              </w:rPr>
            </w:pPr>
            <w:r w:rsidRPr="00604C75">
              <w:rPr>
                <w:b/>
                <w:sz w:val="18"/>
              </w:rPr>
              <w:t>Total Liabilities</w:t>
            </w:r>
          </w:p>
        </w:tc>
        <w:tc>
          <w:tcPr>
            <w:tcW w:w="1217" w:type="dxa"/>
            <w:tcBorders>
              <w:top w:val="dotted" w:sz="4" w:space="0" w:color="auto"/>
              <w:left w:val="dotted" w:sz="4" w:space="0" w:color="auto"/>
              <w:bottom w:val="double" w:sz="4" w:space="0" w:color="auto"/>
              <w:right w:val="dotted" w:sz="4" w:space="0" w:color="auto"/>
            </w:tcBorders>
            <w:noWrap/>
            <w:tcMar>
              <w:top w:w="15" w:type="dxa"/>
              <w:left w:w="15" w:type="dxa"/>
              <w:bottom w:w="0" w:type="dxa"/>
              <w:right w:w="15" w:type="dxa"/>
            </w:tcMar>
            <w:vAlign w:val="bottom"/>
          </w:tcPr>
          <w:p w14:paraId="6EEF17D8" w14:textId="1D801869" w:rsidR="00224102" w:rsidRPr="003261E3" w:rsidRDefault="00224102" w:rsidP="00991C34">
            <w:pPr>
              <w:tabs>
                <w:tab w:val="left" w:pos="935"/>
              </w:tabs>
              <w:ind w:right="139"/>
              <w:jc w:val="right"/>
              <w:rPr>
                <w:b/>
                <w:color w:val="000000"/>
                <w:sz w:val="18"/>
                <w:szCs w:val="18"/>
              </w:rPr>
            </w:pPr>
            <w:r w:rsidRPr="00407AAB">
              <w:rPr>
                <w:b/>
                <w:sz w:val="18"/>
                <w:szCs w:val="18"/>
              </w:rPr>
              <w:t>7,293,931</w:t>
            </w:r>
          </w:p>
        </w:tc>
        <w:tc>
          <w:tcPr>
            <w:tcW w:w="1176" w:type="dxa"/>
            <w:tcBorders>
              <w:top w:val="dotted" w:sz="4" w:space="0" w:color="auto"/>
              <w:left w:val="dotted" w:sz="4" w:space="0" w:color="auto"/>
              <w:bottom w:val="double" w:sz="4" w:space="0" w:color="auto"/>
              <w:right w:val="dotted" w:sz="4" w:space="0" w:color="auto"/>
            </w:tcBorders>
            <w:vAlign w:val="bottom"/>
          </w:tcPr>
          <w:p w14:paraId="6572B6AC" w14:textId="54822ACA" w:rsidR="00224102" w:rsidRPr="003261E3" w:rsidRDefault="00224102" w:rsidP="00991C34">
            <w:pPr>
              <w:tabs>
                <w:tab w:val="left" w:pos="935"/>
              </w:tabs>
              <w:ind w:right="139"/>
              <w:jc w:val="right"/>
              <w:rPr>
                <w:b/>
                <w:color w:val="000000"/>
                <w:sz w:val="18"/>
                <w:szCs w:val="18"/>
              </w:rPr>
            </w:pPr>
            <w:r w:rsidRPr="00407AAB">
              <w:rPr>
                <w:b/>
                <w:sz w:val="18"/>
                <w:szCs w:val="18"/>
              </w:rPr>
              <w:t>3,890,133</w:t>
            </w:r>
          </w:p>
        </w:tc>
        <w:tc>
          <w:tcPr>
            <w:tcW w:w="1064" w:type="dxa"/>
            <w:tcBorders>
              <w:top w:val="dotted" w:sz="4" w:space="0" w:color="auto"/>
              <w:left w:val="dotted" w:sz="4" w:space="0" w:color="auto"/>
              <w:bottom w:val="double" w:sz="4" w:space="0" w:color="auto"/>
              <w:right w:val="dotted" w:sz="4" w:space="0" w:color="auto"/>
            </w:tcBorders>
            <w:noWrap/>
            <w:tcMar>
              <w:top w:w="15" w:type="dxa"/>
              <w:left w:w="15" w:type="dxa"/>
              <w:bottom w:w="0" w:type="dxa"/>
              <w:right w:w="15" w:type="dxa"/>
            </w:tcMar>
            <w:vAlign w:val="bottom"/>
          </w:tcPr>
          <w:p w14:paraId="7CD6D267" w14:textId="2CB6550A" w:rsidR="00224102" w:rsidRPr="003261E3" w:rsidRDefault="00224102" w:rsidP="00991C34">
            <w:pPr>
              <w:tabs>
                <w:tab w:val="left" w:pos="935"/>
              </w:tabs>
              <w:ind w:right="139"/>
              <w:jc w:val="right"/>
              <w:rPr>
                <w:b/>
                <w:color w:val="000000"/>
                <w:sz w:val="18"/>
                <w:szCs w:val="18"/>
              </w:rPr>
            </w:pPr>
            <w:r w:rsidRPr="00407AAB">
              <w:rPr>
                <w:b/>
                <w:sz w:val="18"/>
                <w:szCs w:val="18"/>
              </w:rPr>
              <w:t>2,880,759</w:t>
            </w:r>
          </w:p>
        </w:tc>
        <w:tc>
          <w:tcPr>
            <w:tcW w:w="1260" w:type="dxa"/>
            <w:tcBorders>
              <w:top w:val="dotted" w:sz="4" w:space="0" w:color="auto"/>
              <w:left w:val="dotted" w:sz="4" w:space="0" w:color="auto"/>
              <w:bottom w:val="double" w:sz="4" w:space="0" w:color="auto"/>
              <w:right w:val="double" w:sz="4" w:space="0" w:color="auto"/>
            </w:tcBorders>
            <w:vAlign w:val="bottom"/>
          </w:tcPr>
          <w:p w14:paraId="5852A52A" w14:textId="3252B2B1" w:rsidR="00224102" w:rsidRPr="003261E3" w:rsidRDefault="00224102" w:rsidP="00991C34">
            <w:pPr>
              <w:tabs>
                <w:tab w:val="left" w:pos="935"/>
              </w:tabs>
              <w:ind w:right="139"/>
              <w:jc w:val="right"/>
              <w:rPr>
                <w:b/>
                <w:color w:val="000000"/>
                <w:sz w:val="18"/>
                <w:szCs w:val="18"/>
              </w:rPr>
            </w:pPr>
            <w:r w:rsidRPr="00407AAB">
              <w:rPr>
                <w:b/>
                <w:sz w:val="18"/>
                <w:szCs w:val="18"/>
              </w:rPr>
              <w:t>14,064,823</w:t>
            </w:r>
          </w:p>
        </w:tc>
      </w:tr>
    </w:tbl>
    <w:p w14:paraId="4162814E" w14:textId="77777777" w:rsidR="00E50B4B" w:rsidRDefault="00E50B4B" w:rsidP="00C306D1">
      <w:pPr>
        <w:tabs>
          <w:tab w:val="left" w:pos="4564"/>
          <w:tab w:val="left" w:pos="5781"/>
          <w:tab w:val="left" w:pos="6942"/>
          <w:tab w:val="left" w:pos="8021"/>
        </w:tabs>
        <w:ind w:left="15" w:right="9"/>
        <w:rPr>
          <w:b/>
          <w:sz w:val="18"/>
        </w:rPr>
      </w:pPr>
    </w:p>
    <w:p w14:paraId="7B076047" w14:textId="77777777" w:rsidR="00E50B4B" w:rsidRDefault="00E50B4B" w:rsidP="00C306D1">
      <w:pPr>
        <w:tabs>
          <w:tab w:val="left" w:pos="4564"/>
          <w:tab w:val="left" w:pos="5781"/>
          <w:tab w:val="left" w:pos="6942"/>
          <w:tab w:val="left" w:pos="8021"/>
        </w:tabs>
        <w:ind w:left="15" w:right="9"/>
        <w:rPr>
          <w:b/>
          <w:sz w:val="18"/>
        </w:rPr>
      </w:pPr>
    </w:p>
    <w:p w14:paraId="650586EA" w14:textId="77777777" w:rsidR="00E50B4B" w:rsidRDefault="00E50B4B" w:rsidP="00C306D1">
      <w:pPr>
        <w:tabs>
          <w:tab w:val="left" w:pos="4564"/>
          <w:tab w:val="left" w:pos="5781"/>
          <w:tab w:val="left" w:pos="6942"/>
          <w:tab w:val="left" w:pos="8021"/>
        </w:tabs>
        <w:ind w:left="15" w:right="9"/>
        <w:rPr>
          <w:b/>
          <w:sz w:val="18"/>
        </w:rPr>
      </w:pPr>
    </w:p>
    <w:p w14:paraId="2015BA6B" w14:textId="77777777" w:rsidR="00E50B4B" w:rsidRDefault="00E50B4B" w:rsidP="00C306D1">
      <w:pPr>
        <w:tabs>
          <w:tab w:val="left" w:pos="4564"/>
          <w:tab w:val="left" w:pos="5781"/>
          <w:tab w:val="left" w:pos="6942"/>
          <w:tab w:val="left" w:pos="8021"/>
        </w:tabs>
        <w:ind w:left="15" w:right="9"/>
        <w:rPr>
          <w:b/>
          <w:sz w:val="18"/>
        </w:rPr>
      </w:pPr>
    </w:p>
    <w:p w14:paraId="7C9D5490" w14:textId="77777777" w:rsidR="00E50B4B" w:rsidRDefault="00E50B4B" w:rsidP="00C306D1">
      <w:pPr>
        <w:tabs>
          <w:tab w:val="left" w:pos="4564"/>
          <w:tab w:val="left" w:pos="5781"/>
          <w:tab w:val="left" w:pos="6942"/>
          <w:tab w:val="left" w:pos="8021"/>
        </w:tabs>
        <w:ind w:left="15" w:right="9"/>
        <w:rPr>
          <w:b/>
          <w:sz w:val="18"/>
        </w:rPr>
      </w:pPr>
    </w:p>
    <w:p w14:paraId="3AC21345" w14:textId="77777777" w:rsidR="00E50B4B" w:rsidRDefault="00E50B4B" w:rsidP="00C306D1">
      <w:pPr>
        <w:tabs>
          <w:tab w:val="left" w:pos="4564"/>
          <w:tab w:val="left" w:pos="5781"/>
          <w:tab w:val="left" w:pos="6942"/>
          <w:tab w:val="left" w:pos="8021"/>
        </w:tabs>
        <w:ind w:left="15" w:right="9"/>
        <w:rPr>
          <w:b/>
          <w:sz w:val="18"/>
        </w:rPr>
      </w:pPr>
    </w:p>
    <w:p w14:paraId="426A1AC1" w14:textId="77777777" w:rsidR="00E50B4B" w:rsidRDefault="00E50B4B" w:rsidP="00C306D1">
      <w:pPr>
        <w:tabs>
          <w:tab w:val="left" w:pos="4564"/>
          <w:tab w:val="left" w:pos="5781"/>
          <w:tab w:val="left" w:pos="6942"/>
          <w:tab w:val="left" w:pos="8021"/>
        </w:tabs>
        <w:ind w:left="15" w:right="9"/>
        <w:rPr>
          <w:b/>
          <w:sz w:val="18"/>
        </w:rPr>
      </w:pPr>
    </w:p>
    <w:p w14:paraId="7B912C09" w14:textId="77777777" w:rsidR="00E50B4B" w:rsidRDefault="00E50B4B" w:rsidP="00C306D1">
      <w:pPr>
        <w:tabs>
          <w:tab w:val="left" w:pos="4564"/>
          <w:tab w:val="left" w:pos="5781"/>
          <w:tab w:val="left" w:pos="6942"/>
          <w:tab w:val="left" w:pos="8021"/>
        </w:tabs>
        <w:ind w:left="15" w:right="9"/>
        <w:rPr>
          <w:b/>
          <w:sz w:val="18"/>
        </w:rPr>
      </w:pPr>
    </w:p>
    <w:p w14:paraId="0B5351E1" w14:textId="77777777" w:rsidR="00E50B4B" w:rsidRDefault="00E50B4B" w:rsidP="00C306D1">
      <w:pPr>
        <w:tabs>
          <w:tab w:val="left" w:pos="4564"/>
          <w:tab w:val="left" w:pos="5781"/>
          <w:tab w:val="left" w:pos="6942"/>
          <w:tab w:val="left" w:pos="8021"/>
        </w:tabs>
        <w:ind w:left="15" w:right="9"/>
        <w:rPr>
          <w:b/>
          <w:sz w:val="18"/>
        </w:rPr>
      </w:pPr>
    </w:p>
    <w:p w14:paraId="1678DAEA" w14:textId="77777777" w:rsidR="00E50B4B" w:rsidRDefault="00E50B4B" w:rsidP="00C306D1">
      <w:pPr>
        <w:tabs>
          <w:tab w:val="left" w:pos="4564"/>
          <w:tab w:val="left" w:pos="5781"/>
          <w:tab w:val="left" w:pos="6942"/>
          <w:tab w:val="left" w:pos="8021"/>
        </w:tabs>
        <w:ind w:left="15" w:right="9"/>
        <w:rPr>
          <w:b/>
          <w:sz w:val="18"/>
        </w:rPr>
      </w:pPr>
    </w:p>
    <w:p w14:paraId="357302FF" w14:textId="77777777" w:rsidR="00E50B4B" w:rsidRDefault="00E50B4B" w:rsidP="00C306D1">
      <w:pPr>
        <w:tabs>
          <w:tab w:val="left" w:pos="4564"/>
          <w:tab w:val="left" w:pos="5781"/>
          <w:tab w:val="left" w:pos="6942"/>
          <w:tab w:val="left" w:pos="8021"/>
        </w:tabs>
        <w:ind w:left="15" w:right="9"/>
        <w:rPr>
          <w:b/>
          <w:sz w:val="18"/>
        </w:rPr>
      </w:pPr>
    </w:p>
    <w:p w14:paraId="578A5596" w14:textId="77777777" w:rsidR="00980409" w:rsidRDefault="00980409" w:rsidP="00C306D1">
      <w:pPr>
        <w:tabs>
          <w:tab w:val="left" w:pos="4564"/>
          <w:tab w:val="left" w:pos="5781"/>
          <w:tab w:val="left" w:pos="6942"/>
          <w:tab w:val="left" w:pos="8021"/>
        </w:tabs>
        <w:ind w:left="15" w:right="9"/>
        <w:rPr>
          <w:b/>
          <w:sz w:val="18"/>
        </w:rPr>
      </w:pPr>
    </w:p>
    <w:p w14:paraId="2DDE7528" w14:textId="77777777" w:rsidR="00F142CB" w:rsidRDefault="00F142CB" w:rsidP="00E50B4B">
      <w:pPr>
        <w:widowControl w:val="0"/>
        <w:spacing w:after="120"/>
        <w:jc w:val="both"/>
        <w:rPr>
          <w:b/>
          <w:sz w:val="20"/>
          <w:szCs w:val="20"/>
        </w:rPr>
      </w:pPr>
    </w:p>
    <w:p w14:paraId="4A414E6E" w14:textId="77777777" w:rsidR="00F142CB" w:rsidRDefault="00F142CB" w:rsidP="00E50B4B">
      <w:pPr>
        <w:widowControl w:val="0"/>
        <w:spacing w:after="120"/>
        <w:jc w:val="both"/>
        <w:rPr>
          <w:b/>
          <w:sz w:val="20"/>
          <w:szCs w:val="20"/>
        </w:rPr>
      </w:pPr>
    </w:p>
    <w:p w14:paraId="1846CF20" w14:textId="627F98EB" w:rsidR="00E50B4B" w:rsidRPr="00604C75" w:rsidRDefault="00E50B4B" w:rsidP="00F142CB">
      <w:pPr>
        <w:widowControl w:val="0"/>
        <w:spacing w:before="120" w:after="120"/>
        <w:jc w:val="both"/>
        <w:rPr>
          <w:b/>
          <w:sz w:val="20"/>
          <w:szCs w:val="20"/>
        </w:rPr>
      </w:pPr>
      <w:r w:rsidRPr="00604C75">
        <w:rPr>
          <w:b/>
          <w:sz w:val="20"/>
          <w:szCs w:val="20"/>
        </w:rPr>
        <w:lastRenderedPageBreak/>
        <w:t>EXPLANATIONS ON ACCOUNTING POLICIES (Continued)</w:t>
      </w:r>
    </w:p>
    <w:p w14:paraId="6F84B3F9" w14:textId="77777777" w:rsidR="00E50B4B" w:rsidRPr="00604C75" w:rsidRDefault="00E50B4B" w:rsidP="00F142CB">
      <w:pPr>
        <w:widowControl w:val="0"/>
        <w:spacing w:before="120"/>
        <w:ind w:right="2"/>
        <w:jc w:val="both"/>
        <w:rPr>
          <w:b/>
          <w:sz w:val="20"/>
          <w:szCs w:val="20"/>
        </w:rPr>
      </w:pPr>
      <w:r w:rsidRPr="00604C75">
        <w:rPr>
          <w:b/>
          <w:sz w:val="20"/>
          <w:szCs w:val="20"/>
        </w:rPr>
        <w:t>XXVI.     Operating Segments</w:t>
      </w:r>
      <w:r>
        <w:rPr>
          <w:b/>
          <w:sz w:val="20"/>
          <w:szCs w:val="20"/>
        </w:rPr>
        <w:t xml:space="preserve"> (Continued)</w:t>
      </w:r>
    </w:p>
    <w:p w14:paraId="04C7ECA2" w14:textId="77777777" w:rsidR="00E50B4B" w:rsidRPr="00604C75" w:rsidRDefault="00E50B4B" w:rsidP="00F142CB">
      <w:pPr>
        <w:autoSpaceDE w:val="0"/>
        <w:autoSpaceDN w:val="0"/>
        <w:adjustRightInd w:val="0"/>
        <w:spacing w:before="120"/>
        <w:ind w:right="158"/>
        <w:rPr>
          <w:rFonts w:eastAsia="Arial Unicode MS"/>
          <w:b/>
          <w:sz w:val="20"/>
          <w:szCs w:val="20"/>
        </w:rPr>
      </w:pPr>
      <w:r w:rsidRPr="00604C75">
        <w:rPr>
          <w:rFonts w:eastAsia="Arial Unicode MS"/>
          <w:b/>
          <w:sz w:val="20"/>
          <w:szCs w:val="20"/>
        </w:rPr>
        <w:t xml:space="preserve">Major balance sheet and income statement items </w:t>
      </w:r>
      <w:r w:rsidRPr="00604C75">
        <w:rPr>
          <w:b/>
          <w:bCs/>
          <w:sz w:val="20"/>
          <w:szCs w:val="20"/>
        </w:rPr>
        <w:t xml:space="preserve">according to </w:t>
      </w:r>
      <w:r w:rsidRPr="00604C75">
        <w:rPr>
          <w:rFonts w:eastAsia="Arial Unicode MS"/>
          <w:b/>
          <w:sz w:val="20"/>
          <w:szCs w:val="20"/>
        </w:rPr>
        <w:t>operating segments</w:t>
      </w:r>
      <w:r>
        <w:rPr>
          <w:rFonts w:eastAsia="Arial Unicode MS"/>
          <w:b/>
          <w:sz w:val="20"/>
          <w:szCs w:val="20"/>
        </w:rPr>
        <w:t xml:space="preserve"> (Continued)</w:t>
      </w:r>
    </w:p>
    <w:p w14:paraId="04CDBB0D" w14:textId="77777777" w:rsidR="00C306D1" w:rsidRPr="00604C75" w:rsidRDefault="00C306D1" w:rsidP="00B55356">
      <w:pPr>
        <w:tabs>
          <w:tab w:val="left" w:pos="4564"/>
          <w:tab w:val="left" w:pos="5781"/>
          <w:tab w:val="left" w:pos="6942"/>
          <w:tab w:val="left" w:pos="8021"/>
        </w:tabs>
        <w:ind w:right="9"/>
        <w:rPr>
          <w:b/>
          <w:bCs/>
          <w:sz w:val="18"/>
          <w:szCs w:val="18"/>
        </w:rPr>
      </w:pPr>
      <w:r w:rsidRPr="00604C75">
        <w:rPr>
          <w:b/>
          <w:bCs/>
          <w:sz w:val="18"/>
          <w:szCs w:val="18"/>
        </w:rPr>
        <w:tab/>
      </w:r>
      <w:r w:rsidRPr="00604C75">
        <w:rPr>
          <w:b/>
          <w:bCs/>
          <w:sz w:val="18"/>
          <w:szCs w:val="18"/>
        </w:rPr>
        <w:tab/>
      </w:r>
    </w:p>
    <w:tbl>
      <w:tblPr>
        <w:tblW w:w="9266" w:type="dxa"/>
        <w:tblInd w:w="15" w:type="dxa"/>
        <w:tblLayout w:type="fixed"/>
        <w:tblCellMar>
          <w:left w:w="0" w:type="dxa"/>
          <w:right w:w="0" w:type="dxa"/>
        </w:tblCellMar>
        <w:tblLook w:val="0000" w:firstRow="0" w:lastRow="0" w:firstColumn="0" w:lastColumn="0" w:noHBand="0" w:noVBand="0"/>
      </w:tblPr>
      <w:tblGrid>
        <w:gridCol w:w="4549"/>
        <w:gridCol w:w="1217"/>
        <w:gridCol w:w="1176"/>
        <w:gridCol w:w="1064"/>
        <w:gridCol w:w="1260"/>
      </w:tblGrid>
      <w:tr w:rsidR="00C306D1" w:rsidRPr="00604C75" w14:paraId="3347EC7B" w14:textId="77777777" w:rsidTr="002A69DD">
        <w:trPr>
          <w:cantSplit/>
          <w:trHeight w:val="284"/>
        </w:trPr>
        <w:tc>
          <w:tcPr>
            <w:tcW w:w="4549" w:type="dxa"/>
            <w:tcBorders>
              <w:top w:val="double"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14:paraId="638D9E0A" w14:textId="77777777" w:rsidR="00C306D1" w:rsidRPr="00604C75" w:rsidRDefault="00C306D1" w:rsidP="002A69DD">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p>
          <w:p w14:paraId="4AF4C7F0" w14:textId="77777777" w:rsidR="00C306D1" w:rsidRPr="00604C75" w:rsidRDefault="00C306D1" w:rsidP="002A69DD">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p>
          <w:p w14:paraId="2BA72804" w14:textId="77777777" w:rsidR="00C306D1" w:rsidRPr="00604C75" w:rsidRDefault="00C306D1" w:rsidP="002A69DD">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p>
          <w:p w14:paraId="46B6F586" w14:textId="77777777" w:rsidR="00C306D1" w:rsidRPr="00604C75" w:rsidRDefault="00C306D1">
            <w:pPr>
              <w:pStyle w:val="xl79"/>
              <w:pBdr>
                <w:left w:val="none" w:sz="0" w:space="0" w:color="auto"/>
                <w:bottom w:val="none" w:sz="0" w:space="0" w:color="auto"/>
                <w:right w:val="none" w:sz="0" w:space="0" w:color="auto"/>
              </w:pBdr>
              <w:spacing w:before="0" w:beforeAutospacing="0" w:after="0" w:afterAutospacing="0"/>
              <w:rPr>
                <w:rFonts w:eastAsia="Times New Roman"/>
                <w:b/>
                <w:bCs/>
                <w:szCs w:val="24"/>
                <w:lang w:val="en-US"/>
              </w:rPr>
            </w:pPr>
            <w:r>
              <w:rPr>
                <w:rFonts w:eastAsia="Times New Roman"/>
                <w:b/>
                <w:bCs/>
                <w:szCs w:val="24"/>
                <w:lang w:val="en-US"/>
              </w:rPr>
              <w:t>3</w:t>
            </w:r>
            <w:r w:rsidR="00AB344A">
              <w:rPr>
                <w:rFonts w:eastAsia="Times New Roman"/>
                <w:b/>
                <w:bCs/>
                <w:szCs w:val="24"/>
                <w:lang w:val="en-US"/>
              </w:rPr>
              <w:t>1</w:t>
            </w:r>
            <w:r>
              <w:rPr>
                <w:rFonts w:eastAsia="Times New Roman"/>
                <w:b/>
                <w:bCs/>
                <w:szCs w:val="24"/>
                <w:lang w:val="en-US"/>
              </w:rPr>
              <w:t xml:space="preserve"> </w:t>
            </w:r>
            <w:r w:rsidR="00AB344A">
              <w:rPr>
                <w:rFonts w:eastAsia="Times New Roman"/>
                <w:b/>
                <w:bCs/>
                <w:szCs w:val="24"/>
                <w:lang w:val="en-US"/>
              </w:rPr>
              <w:t>December</w:t>
            </w:r>
            <w:r w:rsidRPr="00604C75">
              <w:rPr>
                <w:rFonts w:eastAsia="Times New Roman"/>
                <w:b/>
                <w:bCs/>
                <w:szCs w:val="24"/>
                <w:lang w:val="en-US"/>
              </w:rPr>
              <w:t xml:space="preserve"> 2014</w:t>
            </w:r>
          </w:p>
        </w:tc>
        <w:tc>
          <w:tcPr>
            <w:tcW w:w="1217" w:type="dxa"/>
            <w:tcBorders>
              <w:top w:val="double"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3F5E7E0" w14:textId="77777777" w:rsidR="00C306D1" w:rsidRPr="00604C75" w:rsidRDefault="00C306D1" w:rsidP="002A69DD">
            <w:pPr>
              <w:ind w:right="23"/>
              <w:jc w:val="right"/>
              <w:rPr>
                <w:b/>
                <w:sz w:val="18"/>
                <w:szCs w:val="18"/>
              </w:rPr>
            </w:pPr>
            <w:r w:rsidRPr="00604C75">
              <w:rPr>
                <w:b/>
                <w:sz w:val="18"/>
                <w:szCs w:val="18"/>
              </w:rPr>
              <w:t xml:space="preserve">Corporate / </w:t>
            </w:r>
          </w:p>
          <w:p w14:paraId="3BCD602E" w14:textId="77777777" w:rsidR="00C306D1" w:rsidRPr="00604C75" w:rsidRDefault="00C306D1" w:rsidP="002A69DD">
            <w:pPr>
              <w:ind w:right="23"/>
              <w:jc w:val="right"/>
              <w:rPr>
                <w:rFonts w:eastAsia="Arial Unicode MS"/>
                <w:b/>
                <w:sz w:val="18"/>
                <w:szCs w:val="18"/>
              </w:rPr>
            </w:pPr>
            <w:r w:rsidRPr="00604C75">
              <w:rPr>
                <w:b/>
                <w:sz w:val="18"/>
                <w:szCs w:val="18"/>
              </w:rPr>
              <w:t>Retail Banking</w:t>
            </w:r>
          </w:p>
        </w:tc>
        <w:tc>
          <w:tcPr>
            <w:tcW w:w="1176" w:type="dxa"/>
            <w:tcBorders>
              <w:top w:val="double" w:sz="4" w:space="0" w:color="auto"/>
              <w:left w:val="dotted" w:sz="4" w:space="0" w:color="auto"/>
              <w:bottom w:val="dotted" w:sz="4" w:space="0" w:color="auto"/>
              <w:right w:val="dotted" w:sz="4" w:space="0" w:color="auto"/>
            </w:tcBorders>
            <w:vAlign w:val="bottom"/>
          </w:tcPr>
          <w:p w14:paraId="50EF9C74" w14:textId="77777777" w:rsidR="00C306D1" w:rsidRPr="00604C75" w:rsidRDefault="00C306D1" w:rsidP="002A69DD">
            <w:pPr>
              <w:ind w:right="31"/>
              <w:jc w:val="right"/>
              <w:rPr>
                <w:rFonts w:eastAsia="Arial Unicode MS"/>
                <w:b/>
                <w:sz w:val="18"/>
                <w:szCs w:val="18"/>
              </w:rPr>
            </w:pPr>
            <w:r w:rsidRPr="00604C75">
              <w:rPr>
                <w:rFonts w:eastAsia="Arial Unicode MS"/>
                <w:b/>
                <w:sz w:val="18"/>
                <w:szCs w:val="18"/>
              </w:rPr>
              <w:t>Investment Banking</w:t>
            </w:r>
          </w:p>
        </w:tc>
        <w:tc>
          <w:tcPr>
            <w:tcW w:w="1064" w:type="dxa"/>
            <w:tcBorders>
              <w:top w:val="double"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1351DC85" w14:textId="77777777" w:rsidR="00C306D1" w:rsidRPr="00604C75" w:rsidRDefault="00C306D1" w:rsidP="002A69DD">
            <w:pPr>
              <w:ind w:right="23"/>
              <w:jc w:val="right"/>
              <w:rPr>
                <w:b/>
                <w:sz w:val="18"/>
                <w:szCs w:val="18"/>
              </w:rPr>
            </w:pPr>
            <w:r w:rsidRPr="00604C75">
              <w:rPr>
                <w:rFonts w:eastAsia="Arial Unicode MS"/>
                <w:b/>
                <w:sz w:val="18"/>
              </w:rPr>
              <w:t>Other</w:t>
            </w:r>
          </w:p>
        </w:tc>
        <w:tc>
          <w:tcPr>
            <w:tcW w:w="1260" w:type="dxa"/>
            <w:tcBorders>
              <w:top w:val="double" w:sz="4" w:space="0" w:color="auto"/>
              <w:left w:val="dotted" w:sz="4" w:space="0" w:color="auto"/>
              <w:bottom w:val="dotted" w:sz="4" w:space="0" w:color="auto"/>
              <w:right w:val="double" w:sz="4" w:space="0" w:color="auto"/>
            </w:tcBorders>
            <w:vAlign w:val="bottom"/>
          </w:tcPr>
          <w:p w14:paraId="46858DA4" w14:textId="77777777" w:rsidR="00C306D1" w:rsidRPr="00604C75" w:rsidRDefault="00C306D1" w:rsidP="002A69DD">
            <w:pPr>
              <w:ind w:right="23"/>
              <w:jc w:val="right"/>
              <w:rPr>
                <w:rFonts w:eastAsia="Arial Unicode MS"/>
                <w:b/>
                <w:sz w:val="18"/>
              </w:rPr>
            </w:pPr>
            <w:r w:rsidRPr="00604C75">
              <w:rPr>
                <w:rFonts w:eastAsia="Arial Unicode MS"/>
                <w:b/>
                <w:sz w:val="18"/>
              </w:rPr>
              <w:t>Total Operations</w:t>
            </w:r>
          </w:p>
          <w:p w14:paraId="0C97B6AE" w14:textId="77777777" w:rsidR="00C306D1" w:rsidRPr="00604C75" w:rsidRDefault="00C306D1" w:rsidP="002A69DD">
            <w:pPr>
              <w:ind w:right="23"/>
              <w:jc w:val="right"/>
              <w:rPr>
                <w:rFonts w:eastAsia="Arial Unicode MS"/>
                <w:b/>
                <w:sz w:val="18"/>
              </w:rPr>
            </w:pPr>
            <w:r w:rsidRPr="00604C75">
              <w:rPr>
                <w:rFonts w:eastAsia="Arial Unicode MS"/>
                <w:b/>
                <w:sz w:val="18"/>
              </w:rPr>
              <w:t xml:space="preserve"> of the Group</w:t>
            </w:r>
          </w:p>
        </w:tc>
      </w:tr>
      <w:tr w:rsidR="00991C34" w:rsidRPr="00604C75" w14:paraId="27856D80"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6947F828" w14:textId="59760C04" w:rsidR="00991C34" w:rsidRPr="00604C75" w:rsidRDefault="00991C34" w:rsidP="00991C34">
            <w:pPr>
              <w:rPr>
                <w:rFonts w:eastAsia="Arial Unicode MS"/>
                <w:sz w:val="18"/>
                <w:szCs w:val="18"/>
              </w:rPr>
            </w:pPr>
            <w:r w:rsidRPr="00604C75">
              <w:rPr>
                <w:sz w:val="18"/>
              </w:rPr>
              <w:t xml:space="preserve">Net </w:t>
            </w:r>
            <w:r>
              <w:rPr>
                <w:sz w:val="18"/>
              </w:rPr>
              <w:t>I</w:t>
            </w:r>
            <w:r w:rsidRPr="00604C75">
              <w:rPr>
                <w:sz w:val="18"/>
              </w:rPr>
              <w:t xml:space="preserve">nterest </w:t>
            </w:r>
            <w:r>
              <w:rPr>
                <w:sz w:val="18"/>
              </w:rPr>
              <w:t>I</w:t>
            </w:r>
            <w:r w:rsidRPr="00604C75">
              <w:rPr>
                <w:sz w:val="18"/>
              </w:rPr>
              <w:t xml:space="preserve">ncome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9080FB2" w14:textId="277FEEFB" w:rsidR="00991C34" w:rsidRPr="00692926" w:rsidRDefault="00991C34" w:rsidP="00991C34">
            <w:pPr>
              <w:jc w:val="right"/>
              <w:rPr>
                <w:color w:val="000000"/>
                <w:sz w:val="18"/>
                <w:szCs w:val="18"/>
              </w:rPr>
            </w:pPr>
            <w:r w:rsidRPr="00A36623">
              <w:rPr>
                <w:sz w:val="18"/>
                <w:szCs w:val="18"/>
              </w:rPr>
              <w:t>500</w:t>
            </w:r>
            <w:r>
              <w:rPr>
                <w:sz w:val="18"/>
                <w:szCs w:val="18"/>
              </w:rPr>
              <w:t>,</w:t>
            </w:r>
            <w:r w:rsidRPr="00A36623">
              <w:rPr>
                <w:sz w:val="18"/>
                <w:szCs w:val="18"/>
              </w:rPr>
              <w:t>073</w:t>
            </w:r>
          </w:p>
        </w:tc>
        <w:tc>
          <w:tcPr>
            <w:tcW w:w="1176" w:type="dxa"/>
            <w:tcBorders>
              <w:top w:val="dotted" w:sz="4" w:space="0" w:color="auto"/>
              <w:left w:val="dotted" w:sz="4" w:space="0" w:color="auto"/>
              <w:bottom w:val="dotted" w:sz="4" w:space="0" w:color="auto"/>
              <w:right w:val="dotted" w:sz="4" w:space="0" w:color="auto"/>
            </w:tcBorders>
            <w:vAlign w:val="bottom"/>
          </w:tcPr>
          <w:p w14:paraId="154EC821" w14:textId="019997D7" w:rsidR="00991C34" w:rsidRPr="00692926" w:rsidRDefault="00991C34" w:rsidP="00991C34">
            <w:pPr>
              <w:jc w:val="right"/>
              <w:rPr>
                <w:color w:val="000000"/>
                <w:sz w:val="18"/>
                <w:szCs w:val="18"/>
              </w:rPr>
            </w:pPr>
            <w:r w:rsidRPr="00A36623">
              <w:rPr>
                <w:sz w:val="18"/>
                <w:szCs w:val="18"/>
              </w:rPr>
              <w:t>(12</w:t>
            </w:r>
            <w:r>
              <w:rPr>
                <w:sz w:val="18"/>
                <w:szCs w:val="18"/>
              </w:rPr>
              <w:t>,</w:t>
            </w:r>
            <w:r w:rsidRPr="00A36623">
              <w:rPr>
                <w:sz w:val="18"/>
                <w:szCs w:val="18"/>
              </w:rPr>
              <w:t>269)</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A6050C4" w14:textId="7332A1C4" w:rsidR="00991C34" w:rsidRPr="00692926" w:rsidRDefault="00991C34" w:rsidP="00991C34">
            <w:pPr>
              <w:jc w:val="right"/>
              <w:rPr>
                <w:color w:val="000000"/>
                <w:sz w:val="18"/>
                <w:szCs w:val="18"/>
              </w:rPr>
            </w:pPr>
            <w:r w:rsidRPr="00A36623">
              <w:rPr>
                <w:sz w:val="18"/>
                <w:szCs w:val="18"/>
              </w:rPr>
              <w:t>430</w:t>
            </w:r>
          </w:p>
        </w:tc>
        <w:tc>
          <w:tcPr>
            <w:tcW w:w="1260" w:type="dxa"/>
            <w:tcBorders>
              <w:top w:val="dotted" w:sz="4" w:space="0" w:color="auto"/>
              <w:left w:val="dotted" w:sz="4" w:space="0" w:color="auto"/>
              <w:bottom w:val="dotted" w:sz="4" w:space="0" w:color="auto"/>
              <w:right w:val="double" w:sz="4" w:space="0" w:color="auto"/>
            </w:tcBorders>
            <w:vAlign w:val="bottom"/>
          </w:tcPr>
          <w:p w14:paraId="2C071A37" w14:textId="35975AC5" w:rsidR="00991C34" w:rsidRPr="00692926" w:rsidRDefault="00991C34" w:rsidP="00991C34">
            <w:pPr>
              <w:jc w:val="right"/>
              <w:rPr>
                <w:color w:val="000000"/>
                <w:sz w:val="18"/>
                <w:szCs w:val="18"/>
              </w:rPr>
            </w:pPr>
            <w:r w:rsidRPr="00A36623">
              <w:rPr>
                <w:sz w:val="18"/>
                <w:szCs w:val="18"/>
              </w:rPr>
              <w:t>488</w:t>
            </w:r>
            <w:r>
              <w:rPr>
                <w:sz w:val="18"/>
                <w:szCs w:val="18"/>
              </w:rPr>
              <w:t>,</w:t>
            </w:r>
            <w:r w:rsidRPr="00A36623">
              <w:rPr>
                <w:sz w:val="18"/>
                <w:szCs w:val="18"/>
              </w:rPr>
              <w:t>234</w:t>
            </w:r>
          </w:p>
        </w:tc>
      </w:tr>
      <w:tr w:rsidR="00991C34" w:rsidRPr="00604C75" w14:paraId="3D4E6EDF"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44C67FD9" w14:textId="5444D172" w:rsidR="00991C34" w:rsidRPr="00604C75" w:rsidRDefault="00991C34" w:rsidP="00991C34">
            <w:pPr>
              <w:rPr>
                <w:rFonts w:eastAsia="Arial Unicode MS"/>
                <w:sz w:val="18"/>
                <w:szCs w:val="18"/>
              </w:rPr>
            </w:pPr>
            <w:r w:rsidRPr="00604C75">
              <w:rPr>
                <w:sz w:val="18"/>
              </w:rPr>
              <w:t xml:space="preserve">Net </w:t>
            </w:r>
            <w:r>
              <w:rPr>
                <w:sz w:val="18"/>
              </w:rPr>
              <w:t>F</w:t>
            </w:r>
            <w:r w:rsidRPr="00604C75">
              <w:rPr>
                <w:sz w:val="18"/>
              </w:rPr>
              <w:t xml:space="preserve">ees and </w:t>
            </w:r>
            <w:r>
              <w:rPr>
                <w:sz w:val="18"/>
              </w:rPr>
              <w:t>C</w:t>
            </w:r>
            <w:r w:rsidRPr="00604C75">
              <w:rPr>
                <w:sz w:val="18"/>
              </w:rPr>
              <w:t xml:space="preserve">ommissions </w:t>
            </w:r>
            <w:r>
              <w:rPr>
                <w:sz w:val="18"/>
              </w:rPr>
              <w:t>I</w:t>
            </w:r>
            <w:r w:rsidRPr="00604C75">
              <w:rPr>
                <w:sz w:val="18"/>
              </w:rPr>
              <w:t xml:space="preserve">ncome and </w:t>
            </w:r>
            <w:r>
              <w:rPr>
                <w:sz w:val="18"/>
              </w:rPr>
              <w:t>O</w:t>
            </w:r>
            <w:r w:rsidRPr="00604C75">
              <w:rPr>
                <w:sz w:val="18"/>
              </w:rPr>
              <w:t xml:space="preserve">ther </w:t>
            </w:r>
            <w:r>
              <w:rPr>
                <w:sz w:val="18"/>
              </w:rPr>
              <w:t>O</w:t>
            </w:r>
            <w:r w:rsidRPr="00604C75">
              <w:rPr>
                <w:sz w:val="18"/>
              </w:rPr>
              <w:t xml:space="preserve">perating </w:t>
            </w:r>
            <w:r>
              <w:rPr>
                <w:sz w:val="18"/>
              </w:rPr>
              <w:t>I</w:t>
            </w:r>
            <w:r w:rsidRPr="00604C75">
              <w:rPr>
                <w:sz w:val="18"/>
              </w:rPr>
              <w:t>ncome</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E237217" w14:textId="3BF6880A" w:rsidR="00991C34" w:rsidRPr="00692926" w:rsidRDefault="00991C34" w:rsidP="00991C34">
            <w:pPr>
              <w:jc w:val="right"/>
              <w:rPr>
                <w:color w:val="000000"/>
                <w:sz w:val="18"/>
                <w:szCs w:val="18"/>
              </w:rPr>
            </w:pPr>
            <w:r w:rsidRPr="00A36623">
              <w:rPr>
                <w:sz w:val="18"/>
                <w:szCs w:val="18"/>
              </w:rPr>
              <w:t>122</w:t>
            </w:r>
            <w:r>
              <w:rPr>
                <w:sz w:val="18"/>
                <w:szCs w:val="18"/>
              </w:rPr>
              <w:t>,</w:t>
            </w:r>
            <w:r w:rsidRPr="00A36623">
              <w:rPr>
                <w:sz w:val="18"/>
                <w:szCs w:val="18"/>
              </w:rPr>
              <w:t>265</w:t>
            </w:r>
          </w:p>
        </w:tc>
        <w:tc>
          <w:tcPr>
            <w:tcW w:w="1176" w:type="dxa"/>
            <w:tcBorders>
              <w:top w:val="dotted" w:sz="4" w:space="0" w:color="auto"/>
              <w:left w:val="dotted" w:sz="4" w:space="0" w:color="auto"/>
              <w:bottom w:val="dotted" w:sz="4" w:space="0" w:color="auto"/>
              <w:right w:val="dotted" w:sz="4" w:space="0" w:color="auto"/>
            </w:tcBorders>
            <w:vAlign w:val="bottom"/>
          </w:tcPr>
          <w:p w14:paraId="00DC900F" w14:textId="1DA6E619" w:rsidR="00991C34" w:rsidRPr="00692926" w:rsidRDefault="00991C34" w:rsidP="00991C34">
            <w:pPr>
              <w:jc w:val="right"/>
              <w:rPr>
                <w:color w:val="000000"/>
                <w:sz w:val="18"/>
                <w:szCs w:val="18"/>
              </w:rPr>
            </w:pPr>
            <w:r w:rsidRPr="00A36623">
              <w:rPr>
                <w:sz w:val="18"/>
                <w:szCs w:val="18"/>
              </w:rPr>
              <w:t>12</w:t>
            </w:r>
            <w:r>
              <w:rPr>
                <w:sz w:val="18"/>
                <w:szCs w:val="18"/>
              </w:rPr>
              <w:t>,</w:t>
            </w:r>
            <w:r w:rsidRPr="00A36623">
              <w:rPr>
                <w:sz w:val="18"/>
                <w:szCs w:val="18"/>
              </w:rPr>
              <w:t>516</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88F4FAA" w14:textId="7F97894D" w:rsidR="00991C34" w:rsidRPr="00692926" w:rsidRDefault="00991C34" w:rsidP="00991C34">
            <w:pPr>
              <w:jc w:val="right"/>
              <w:rPr>
                <w:color w:val="000000"/>
                <w:sz w:val="18"/>
                <w:szCs w:val="18"/>
              </w:rPr>
            </w:pPr>
            <w:r w:rsidRPr="00A36623">
              <w:rPr>
                <w:sz w:val="18"/>
                <w:szCs w:val="18"/>
              </w:rPr>
              <w:t>(1</w:t>
            </w:r>
            <w:r>
              <w:rPr>
                <w:sz w:val="18"/>
                <w:szCs w:val="18"/>
              </w:rPr>
              <w:t>,</w:t>
            </w:r>
            <w:r w:rsidRPr="00A36623">
              <w:rPr>
                <w:sz w:val="18"/>
                <w:szCs w:val="18"/>
              </w:rPr>
              <w:t>482)</w:t>
            </w:r>
          </w:p>
        </w:tc>
        <w:tc>
          <w:tcPr>
            <w:tcW w:w="1260" w:type="dxa"/>
            <w:tcBorders>
              <w:top w:val="dotted" w:sz="4" w:space="0" w:color="auto"/>
              <w:left w:val="dotted" w:sz="4" w:space="0" w:color="auto"/>
              <w:bottom w:val="dotted" w:sz="4" w:space="0" w:color="auto"/>
              <w:right w:val="double" w:sz="4" w:space="0" w:color="auto"/>
            </w:tcBorders>
            <w:vAlign w:val="bottom"/>
          </w:tcPr>
          <w:p w14:paraId="1CEFF9CA" w14:textId="5BDB8BA1" w:rsidR="00991C34" w:rsidRPr="00692926" w:rsidRDefault="00991C34" w:rsidP="00991C34">
            <w:pPr>
              <w:jc w:val="right"/>
              <w:rPr>
                <w:color w:val="000000"/>
                <w:sz w:val="18"/>
                <w:szCs w:val="18"/>
              </w:rPr>
            </w:pPr>
            <w:r w:rsidRPr="00A36623">
              <w:rPr>
                <w:sz w:val="18"/>
                <w:szCs w:val="18"/>
              </w:rPr>
              <w:t>133</w:t>
            </w:r>
            <w:r>
              <w:rPr>
                <w:sz w:val="18"/>
                <w:szCs w:val="18"/>
              </w:rPr>
              <w:t>,</w:t>
            </w:r>
            <w:r w:rsidRPr="00A36623">
              <w:rPr>
                <w:sz w:val="18"/>
                <w:szCs w:val="18"/>
              </w:rPr>
              <w:t>299</w:t>
            </w:r>
          </w:p>
        </w:tc>
      </w:tr>
      <w:tr w:rsidR="00991C34" w:rsidRPr="00604C75" w14:paraId="2D98A306"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050030DA" w14:textId="4DC29B6A" w:rsidR="00991C34" w:rsidRPr="00604C75" w:rsidRDefault="00991C34" w:rsidP="00991C34">
            <w:pPr>
              <w:rPr>
                <w:rFonts w:eastAsia="Arial Unicode MS"/>
                <w:sz w:val="18"/>
                <w:szCs w:val="18"/>
              </w:rPr>
            </w:pPr>
            <w:r w:rsidRPr="00604C75">
              <w:rPr>
                <w:rFonts w:eastAsia="Arial Unicode MS"/>
                <w:sz w:val="18"/>
                <w:szCs w:val="18"/>
              </w:rPr>
              <w:t xml:space="preserve">Trading </w:t>
            </w:r>
            <w:r>
              <w:rPr>
                <w:rFonts w:eastAsia="Arial Unicode MS"/>
                <w:sz w:val="18"/>
                <w:szCs w:val="18"/>
              </w:rPr>
              <w:t>P</w:t>
            </w:r>
            <w:r w:rsidRPr="00604C75">
              <w:rPr>
                <w:rFonts w:eastAsia="Arial Unicode MS"/>
                <w:sz w:val="18"/>
                <w:szCs w:val="18"/>
              </w:rPr>
              <w:t>rofit/</w:t>
            </w:r>
            <w:r>
              <w:rPr>
                <w:rFonts w:eastAsia="Arial Unicode MS"/>
                <w:sz w:val="18"/>
                <w:szCs w:val="18"/>
              </w:rPr>
              <w:t>L</w:t>
            </w:r>
            <w:r w:rsidRPr="00604C75">
              <w:rPr>
                <w:rFonts w:eastAsia="Arial Unicode MS"/>
                <w:sz w:val="18"/>
                <w:szCs w:val="18"/>
              </w:rPr>
              <w:t xml:space="preserve">oss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35ED018" w14:textId="60248BDB" w:rsidR="00991C34" w:rsidRPr="00692926" w:rsidRDefault="00991C34" w:rsidP="00991C34">
            <w:pPr>
              <w:jc w:val="right"/>
              <w:rPr>
                <w:color w:val="000000"/>
                <w:sz w:val="18"/>
                <w:szCs w:val="18"/>
              </w:rPr>
            </w:pPr>
            <w:r w:rsidRPr="00A36623">
              <w:rPr>
                <w:sz w:val="18"/>
                <w:szCs w:val="18"/>
              </w:rPr>
              <w:t>1</w:t>
            </w:r>
            <w:r>
              <w:rPr>
                <w:sz w:val="18"/>
                <w:szCs w:val="18"/>
              </w:rPr>
              <w:t>,</w:t>
            </w:r>
            <w:r w:rsidRPr="00A36623">
              <w:rPr>
                <w:sz w:val="18"/>
                <w:szCs w:val="18"/>
              </w:rPr>
              <w:t>945</w:t>
            </w:r>
          </w:p>
        </w:tc>
        <w:tc>
          <w:tcPr>
            <w:tcW w:w="1176" w:type="dxa"/>
            <w:tcBorders>
              <w:top w:val="dotted" w:sz="4" w:space="0" w:color="auto"/>
              <w:left w:val="dotted" w:sz="4" w:space="0" w:color="auto"/>
              <w:bottom w:val="dotted" w:sz="4" w:space="0" w:color="auto"/>
              <w:right w:val="dotted" w:sz="4" w:space="0" w:color="auto"/>
            </w:tcBorders>
            <w:vAlign w:val="bottom"/>
          </w:tcPr>
          <w:p w14:paraId="17620BB4" w14:textId="71CF3569" w:rsidR="00991C34" w:rsidRPr="00692926" w:rsidRDefault="00991C34" w:rsidP="00991C34">
            <w:pPr>
              <w:jc w:val="right"/>
              <w:rPr>
                <w:color w:val="000000"/>
                <w:sz w:val="18"/>
                <w:szCs w:val="18"/>
              </w:rPr>
            </w:pPr>
            <w:r w:rsidRPr="00A36623">
              <w:rPr>
                <w:sz w:val="18"/>
                <w:szCs w:val="18"/>
              </w:rPr>
              <w:t>(30</w:t>
            </w:r>
            <w:r>
              <w:rPr>
                <w:sz w:val="18"/>
                <w:szCs w:val="18"/>
              </w:rPr>
              <w:t>,</w:t>
            </w:r>
            <w:r w:rsidRPr="00A36623">
              <w:rPr>
                <w:sz w:val="18"/>
                <w:szCs w:val="18"/>
              </w:rPr>
              <w:t>155)</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767A9EC" w14:textId="1572BD0D" w:rsidR="00991C34" w:rsidRPr="00692926" w:rsidRDefault="00991C34" w:rsidP="00991C34">
            <w:pPr>
              <w:jc w:val="right"/>
              <w:rPr>
                <w:color w:val="000000"/>
                <w:sz w:val="18"/>
                <w:szCs w:val="18"/>
              </w:rPr>
            </w:pPr>
            <w:r w:rsidRPr="00A36623">
              <w:rPr>
                <w:sz w:val="18"/>
                <w:szCs w:val="18"/>
              </w:rPr>
              <w:t>730</w:t>
            </w:r>
          </w:p>
        </w:tc>
        <w:tc>
          <w:tcPr>
            <w:tcW w:w="1260" w:type="dxa"/>
            <w:tcBorders>
              <w:top w:val="dotted" w:sz="4" w:space="0" w:color="auto"/>
              <w:left w:val="dotted" w:sz="4" w:space="0" w:color="auto"/>
              <w:bottom w:val="dotted" w:sz="4" w:space="0" w:color="auto"/>
              <w:right w:val="double" w:sz="4" w:space="0" w:color="auto"/>
            </w:tcBorders>
            <w:vAlign w:val="bottom"/>
          </w:tcPr>
          <w:p w14:paraId="4EEE78AF" w14:textId="2FA69B4A" w:rsidR="00991C34" w:rsidRPr="00692926" w:rsidRDefault="00991C34" w:rsidP="00991C34">
            <w:pPr>
              <w:jc w:val="right"/>
              <w:rPr>
                <w:color w:val="000000"/>
                <w:sz w:val="18"/>
                <w:szCs w:val="18"/>
              </w:rPr>
            </w:pPr>
            <w:r w:rsidRPr="00A36623">
              <w:rPr>
                <w:sz w:val="18"/>
                <w:szCs w:val="18"/>
              </w:rPr>
              <w:t>(27</w:t>
            </w:r>
            <w:r>
              <w:rPr>
                <w:sz w:val="18"/>
                <w:szCs w:val="18"/>
              </w:rPr>
              <w:t>,</w:t>
            </w:r>
            <w:r w:rsidRPr="00A36623">
              <w:rPr>
                <w:sz w:val="18"/>
                <w:szCs w:val="18"/>
              </w:rPr>
              <w:t>480)</w:t>
            </w:r>
          </w:p>
        </w:tc>
      </w:tr>
      <w:tr w:rsidR="00991C34" w:rsidRPr="00604C75" w14:paraId="57FFD472"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53B2E1AA" w14:textId="3DD10F18" w:rsidR="00991C34" w:rsidRPr="00604C75" w:rsidRDefault="00991C34" w:rsidP="00991C34">
            <w:pPr>
              <w:rPr>
                <w:rFonts w:eastAsia="Arial Unicode MS"/>
                <w:sz w:val="18"/>
                <w:szCs w:val="18"/>
              </w:rPr>
            </w:pPr>
            <w:r w:rsidRPr="00604C75">
              <w:rPr>
                <w:sz w:val="18"/>
              </w:rPr>
              <w:t xml:space="preserve">Dividend </w:t>
            </w:r>
            <w:r>
              <w:rPr>
                <w:sz w:val="18"/>
              </w:rPr>
              <w:t>I</w:t>
            </w:r>
            <w:r w:rsidRPr="00604C75">
              <w:rPr>
                <w:sz w:val="18"/>
              </w:rPr>
              <w:t xml:space="preserve">ncome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10881159" w14:textId="0EE4B774" w:rsidR="00991C34" w:rsidRPr="00692926" w:rsidRDefault="00991C34" w:rsidP="00991C34">
            <w:pPr>
              <w:jc w:val="right"/>
              <w:rPr>
                <w:color w:val="000000"/>
                <w:sz w:val="18"/>
                <w:szCs w:val="18"/>
              </w:rPr>
            </w:pPr>
            <w:r w:rsidRPr="00A36623">
              <w:rPr>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14:paraId="4F0E4DF6" w14:textId="0182D336" w:rsidR="00991C34" w:rsidRPr="00692926" w:rsidRDefault="00991C34" w:rsidP="00991C34">
            <w:pPr>
              <w:jc w:val="right"/>
              <w:rPr>
                <w:color w:val="000000"/>
                <w:sz w:val="18"/>
                <w:szCs w:val="18"/>
              </w:rPr>
            </w:pPr>
            <w:r w:rsidRPr="00A36623">
              <w:rPr>
                <w:sz w:val="18"/>
                <w:szCs w:val="18"/>
              </w:rPr>
              <w:t>66</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2D1ACE8" w14:textId="3CB737F1" w:rsidR="00991C34" w:rsidRPr="00692926" w:rsidRDefault="00991C34" w:rsidP="00991C34">
            <w:pPr>
              <w:jc w:val="right"/>
              <w:rPr>
                <w:color w:val="000000"/>
                <w:sz w:val="18"/>
                <w:szCs w:val="18"/>
              </w:rPr>
            </w:pPr>
            <w:r w:rsidRPr="00A36623">
              <w:rPr>
                <w:sz w:val="18"/>
                <w:szCs w:val="18"/>
              </w:rPr>
              <w:t>131</w:t>
            </w:r>
          </w:p>
        </w:tc>
        <w:tc>
          <w:tcPr>
            <w:tcW w:w="1260" w:type="dxa"/>
            <w:tcBorders>
              <w:top w:val="dotted" w:sz="4" w:space="0" w:color="auto"/>
              <w:left w:val="dotted" w:sz="4" w:space="0" w:color="auto"/>
              <w:bottom w:val="dotted" w:sz="4" w:space="0" w:color="auto"/>
              <w:right w:val="double" w:sz="4" w:space="0" w:color="auto"/>
            </w:tcBorders>
            <w:vAlign w:val="bottom"/>
          </w:tcPr>
          <w:p w14:paraId="70E3389D" w14:textId="37095EDD" w:rsidR="00991C34" w:rsidRPr="00692926" w:rsidRDefault="00991C34" w:rsidP="00991C34">
            <w:pPr>
              <w:jc w:val="right"/>
              <w:rPr>
                <w:color w:val="000000"/>
                <w:sz w:val="18"/>
                <w:szCs w:val="18"/>
              </w:rPr>
            </w:pPr>
            <w:r w:rsidRPr="00A36623">
              <w:rPr>
                <w:sz w:val="18"/>
                <w:szCs w:val="18"/>
              </w:rPr>
              <w:t>197</w:t>
            </w:r>
          </w:p>
        </w:tc>
      </w:tr>
      <w:tr w:rsidR="00991C34" w:rsidRPr="00604C75" w14:paraId="4C9C91F1"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0C860B89" w14:textId="6E9971F5" w:rsidR="00991C34" w:rsidRPr="00604C75" w:rsidRDefault="00991C34" w:rsidP="00991C34">
            <w:pPr>
              <w:tabs>
                <w:tab w:val="left" w:pos="330"/>
              </w:tabs>
              <w:rPr>
                <w:rFonts w:eastAsia="Arial Unicode MS"/>
                <w:sz w:val="18"/>
                <w:szCs w:val="18"/>
              </w:rPr>
            </w:pPr>
            <w:r w:rsidRPr="00604C75">
              <w:rPr>
                <w:sz w:val="18"/>
              </w:rPr>
              <w:t xml:space="preserve">Impairment </w:t>
            </w:r>
            <w:r>
              <w:rPr>
                <w:sz w:val="18"/>
              </w:rPr>
              <w:t>P</w:t>
            </w:r>
            <w:r w:rsidRPr="00604C75">
              <w:rPr>
                <w:sz w:val="18"/>
              </w:rPr>
              <w:t xml:space="preserve">rovision for </w:t>
            </w:r>
            <w:r>
              <w:rPr>
                <w:sz w:val="18"/>
              </w:rPr>
              <w:t>L</w:t>
            </w:r>
            <w:r w:rsidRPr="00604C75">
              <w:rPr>
                <w:sz w:val="18"/>
              </w:rPr>
              <w:t xml:space="preserve">oans and </w:t>
            </w:r>
            <w:r>
              <w:rPr>
                <w:sz w:val="18"/>
              </w:rPr>
              <w:t>O</w:t>
            </w:r>
            <w:r w:rsidRPr="00604C75">
              <w:rPr>
                <w:sz w:val="18"/>
              </w:rPr>
              <w:t xml:space="preserve">ther </w:t>
            </w:r>
            <w:r>
              <w:rPr>
                <w:sz w:val="18"/>
              </w:rPr>
              <w:t>R</w:t>
            </w:r>
            <w:r w:rsidRPr="00604C75">
              <w:rPr>
                <w:sz w:val="18"/>
              </w:rPr>
              <w:t>eceivables (-)</w:t>
            </w:r>
            <w:r w:rsidRPr="00604C75" w:rsidDel="001A2DDD">
              <w:rPr>
                <w:bCs/>
                <w:sz w:val="18"/>
                <w:vertAlign w:val="superscript"/>
              </w:rPr>
              <w:t xml:space="preserve">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D752C63" w14:textId="108F00B7" w:rsidR="00991C34" w:rsidRPr="00692926" w:rsidRDefault="00991C34" w:rsidP="00991C34">
            <w:pPr>
              <w:jc w:val="right"/>
              <w:rPr>
                <w:color w:val="000000"/>
                <w:sz w:val="18"/>
                <w:szCs w:val="18"/>
              </w:rPr>
            </w:pPr>
            <w:r w:rsidRPr="00A36623">
              <w:rPr>
                <w:sz w:val="18"/>
                <w:szCs w:val="18"/>
              </w:rPr>
              <w:t>(123</w:t>
            </w:r>
            <w:r>
              <w:rPr>
                <w:sz w:val="18"/>
                <w:szCs w:val="18"/>
              </w:rPr>
              <w:t>,</w:t>
            </w:r>
            <w:r w:rsidRPr="00A36623">
              <w:rPr>
                <w:sz w:val="18"/>
                <w:szCs w:val="18"/>
              </w:rPr>
              <w:t>607)</w:t>
            </w:r>
          </w:p>
        </w:tc>
        <w:tc>
          <w:tcPr>
            <w:tcW w:w="1176" w:type="dxa"/>
            <w:tcBorders>
              <w:top w:val="dotted" w:sz="4" w:space="0" w:color="auto"/>
              <w:left w:val="dotted" w:sz="4" w:space="0" w:color="auto"/>
              <w:bottom w:val="dotted" w:sz="4" w:space="0" w:color="auto"/>
              <w:right w:val="dotted" w:sz="4" w:space="0" w:color="auto"/>
            </w:tcBorders>
            <w:vAlign w:val="bottom"/>
          </w:tcPr>
          <w:p w14:paraId="63348C7B" w14:textId="7FBFD605" w:rsidR="00991C34" w:rsidRPr="00692926" w:rsidRDefault="00991C34" w:rsidP="00991C34">
            <w:pPr>
              <w:jc w:val="right"/>
              <w:rPr>
                <w:color w:val="000000"/>
                <w:sz w:val="18"/>
                <w:szCs w:val="18"/>
              </w:rPr>
            </w:pPr>
            <w:r w:rsidRPr="00A36623">
              <w:rPr>
                <w:sz w:val="18"/>
                <w:szCs w:val="18"/>
              </w:rPr>
              <w:t>(13</w:t>
            </w:r>
            <w:r>
              <w:rPr>
                <w:sz w:val="18"/>
                <w:szCs w:val="18"/>
              </w:rPr>
              <w:t>,</w:t>
            </w:r>
            <w:r w:rsidRPr="00A36623">
              <w:rPr>
                <w:sz w:val="18"/>
                <w:szCs w:val="18"/>
              </w:rPr>
              <w:t>848)</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1FE4590" w14:textId="0FC2333E" w:rsidR="00991C34" w:rsidRPr="00692926" w:rsidRDefault="00991C34" w:rsidP="00991C34">
            <w:pPr>
              <w:jc w:val="right"/>
              <w:rPr>
                <w:color w:val="000000"/>
                <w:sz w:val="18"/>
                <w:szCs w:val="18"/>
              </w:rPr>
            </w:pPr>
            <w:r w:rsidRPr="00A36623">
              <w:rPr>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14:paraId="42BFA152" w14:textId="02CAD812" w:rsidR="00991C34" w:rsidRPr="00692926" w:rsidRDefault="00991C34" w:rsidP="00991C34">
            <w:pPr>
              <w:jc w:val="right"/>
              <w:rPr>
                <w:color w:val="000000"/>
                <w:sz w:val="18"/>
                <w:szCs w:val="18"/>
              </w:rPr>
            </w:pPr>
            <w:r w:rsidRPr="00A36623">
              <w:rPr>
                <w:sz w:val="18"/>
                <w:szCs w:val="18"/>
              </w:rPr>
              <w:t>(137</w:t>
            </w:r>
            <w:r>
              <w:rPr>
                <w:sz w:val="18"/>
                <w:szCs w:val="18"/>
              </w:rPr>
              <w:t>,</w:t>
            </w:r>
            <w:r w:rsidRPr="00A36623">
              <w:rPr>
                <w:sz w:val="18"/>
                <w:szCs w:val="18"/>
              </w:rPr>
              <w:t>455)</w:t>
            </w:r>
          </w:p>
        </w:tc>
      </w:tr>
      <w:tr w:rsidR="00991C34" w:rsidRPr="00604C75" w14:paraId="6D6369B1"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2D97AB82" w14:textId="464CCF97" w:rsidR="00991C34" w:rsidRPr="00604C75" w:rsidRDefault="00991C34" w:rsidP="00991C34">
            <w:pPr>
              <w:rPr>
                <w:rFonts w:eastAsia="Arial Unicode MS"/>
                <w:sz w:val="18"/>
                <w:szCs w:val="18"/>
              </w:rPr>
            </w:pPr>
            <w:r w:rsidRPr="00604C75">
              <w:rPr>
                <w:sz w:val="18"/>
              </w:rPr>
              <w:t xml:space="preserve">Other </w:t>
            </w:r>
            <w:r>
              <w:rPr>
                <w:sz w:val="18"/>
              </w:rPr>
              <w:t>O</w:t>
            </w:r>
            <w:r w:rsidRPr="00604C75">
              <w:rPr>
                <w:sz w:val="18"/>
              </w:rPr>
              <w:t xml:space="preserve">perating </w:t>
            </w:r>
            <w:r>
              <w:rPr>
                <w:sz w:val="18"/>
              </w:rPr>
              <w:t>E</w:t>
            </w:r>
            <w:r w:rsidRPr="00604C75">
              <w:rPr>
                <w:sz w:val="18"/>
              </w:rPr>
              <w:t>xpenses (-)</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E9B75B7" w14:textId="548D853A" w:rsidR="00991C34" w:rsidRPr="00692926" w:rsidRDefault="00991C34" w:rsidP="00991C34">
            <w:pPr>
              <w:jc w:val="right"/>
              <w:rPr>
                <w:color w:val="000000"/>
                <w:sz w:val="18"/>
                <w:szCs w:val="18"/>
              </w:rPr>
            </w:pPr>
            <w:r w:rsidRPr="00A36623">
              <w:rPr>
                <w:sz w:val="18"/>
                <w:szCs w:val="18"/>
              </w:rPr>
              <w:t>(275</w:t>
            </w:r>
            <w:r>
              <w:rPr>
                <w:sz w:val="18"/>
                <w:szCs w:val="18"/>
              </w:rPr>
              <w:t>,</w:t>
            </w:r>
            <w:r w:rsidRPr="00A36623">
              <w:rPr>
                <w:sz w:val="18"/>
                <w:szCs w:val="18"/>
              </w:rPr>
              <w:t>041)</w:t>
            </w:r>
          </w:p>
        </w:tc>
        <w:tc>
          <w:tcPr>
            <w:tcW w:w="1176" w:type="dxa"/>
            <w:tcBorders>
              <w:top w:val="dotted" w:sz="4" w:space="0" w:color="auto"/>
              <w:left w:val="dotted" w:sz="4" w:space="0" w:color="auto"/>
              <w:bottom w:val="dotted" w:sz="4" w:space="0" w:color="auto"/>
              <w:right w:val="dotted" w:sz="4" w:space="0" w:color="auto"/>
            </w:tcBorders>
            <w:vAlign w:val="bottom"/>
          </w:tcPr>
          <w:p w14:paraId="1CFFBF01" w14:textId="41DAFCA1" w:rsidR="00991C34" w:rsidRPr="00692926" w:rsidRDefault="00991C34" w:rsidP="00991C34">
            <w:pPr>
              <w:jc w:val="right"/>
              <w:rPr>
                <w:color w:val="000000"/>
                <w:sz w:val="18"/>
                <w:szCs w:val="18"/>
              </w:rPr>
            </w:pPr>
            <w:r w:rsidRPr="00A36623">
              <w:rPr>
                <w:sz w:val="18"/>
                <w:szCs w:val="18"/>
              </w:rPr>
              <w:t>(17</w:t>
            </w:r>
            <w:r>
              <w:rPr>
                <w:sz w:val="18"/>
                <w:szCs w:val="18"/>
              </w:rPr>
              <w:t>,</w:t>
            </w:r>
            <w:r w:rsidRPr="00A36623">
              <w:rPr>
                <w:sz w:val="18"/>
                <w:szCs w:val="18"/>
              </w:rPr>
              <w:t>264)</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1A4F54D2" w14:textId="5AD3A859" w:rsidR="00991C34" w:rsidRPr="00692926" w:rsidRDefault="00991C34" w:rsidP="00991C34">
            <w:pPr>
              <w:jc w:val="right"/>
              <w:rPr>
                <w:color w:val="000000"/>
                <w:sz w:val="18"/>
                <w:szCs w:val="18"/>
              </w:rPr>
            </w:pPr>
            <w:r w:rsidRPr="00A36623">
              <w:rPr>
                <w:sz w:val="18"/>
                <w:szCs w:val="18"/>
              </w:rPr>
              <w:t>(1</w:t>
            </w:r>
            <w:r>
              <w:rPr>
                <w:sz w:val="18"/>
                <w:szCs w:val="18"/>
              </w:rPr>
              <w:t>,</w:t>
            </w:r>
            <w:r w:rsidRPr="00A36623">
              <w:rPr>
                <w:sz w:val="18"/>
                <w:szCs w:val="18"/>
              </w:rPr>
              <w:t>242)</w:t>
            </w:r>
          </w:p>
        </w:tc>
        <w:tc>
          <w:tcPr>
            <w:tcW w:w="1260" w:type="dxa"/>
            <w:tcBorders>
              <w:top w:val="dotted" w:sz="4" w:space="0" w:color="auto"/>
              <w:left w:val="dotted" w:sz="4" w:space="0" w:color="auto"/>
              <w:bottom w:val="dotted" w:sz="4" w:space="0" w:color="auto"/>
              <w:right w:val="double" w:sz="4" w:space="0" w:color="auto"/>
            </w:tcBorders>
            <w:vAlign w:val="bottom"/>
          </w:tcPr>
          <w:p w14:paraId="7075AC64" w14:textId="44C500F0" w:rsidR="00991C34" w:rsidRPr="00692926" w:rsidRDefault="00991C34" w:rsidP="00991C34">
            <w:pPr>
              <w:jc w:val="right"/>
              <w:rPr>
                <w:color w:val="000000"/>
                <w:sz w:val="18"/>
                <w:szCs w:val="18"/>
              </w:rPr>
            </w:pPr>
            <w:r w:rsidRPr="00A36623">
              <w:rPr>
                <w:sz w:val="18"/>
                <w:szCs w:val="18"/>
              </w:rPr>
              <w:t>(293</w:t>
            </w:r>
            <w:r>
              <w:rPr>
                <w:sz w:val="18"/>
                <w:szCs w:val="18"/>
              </w:rPr>
              <w:t>,</w:t>
            </w:r>
            <w:r w:rsidRPr="00A36623">
              <w:rPr>
                <w:sz w:val="18"/>
                <w:szCs w:val="18"/>
              </w:rPr>
              <w:t>547)</w:t>
            </w:r>
          </w:p>
        </w:tc>
      </w:tr>
      <w:tr w:rsidR="00991C34" w:rsidRPr="00604C75" w14:paraId="481AC938" w14:textId="77777777" w:rsidTr="00F77D55">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19DAA4C3" w14:textId="14FA63D0" w:rsidR="00991C34" w:rsidRPr="00604C75" w:rsidRDefault="00991C34" w:rsidP="00991C34">
            <w:pPr>
              <w:rPr>
                <w:rFonts w:eastAsia="Arial Unicode MS"/>
                <w:b/>
                <w:sz w:val="18"/>
                <w:szCs w:val="18"/>
              </w:rPr>
            </w:pPr>
            <w:r w:rsidRPr="00604C75">
              <w:rPr>
                <w:b/>
                <w:sz w:val="18"/>
              </w:rPr>
              <w:t xml:space="preserve">Profit </w:t>
            </w:r>
            <w:r>
              <w:rPr>
                <w:b/>
                <w:sz w:val="18"/>
              </w:rPr>
              <w:t>B</w:t>
            </w:r>
            <w:r w:rsidRPr="00604C75">
              <w:rPr>
                <w:b/>
                <w:sz w:val="18"/>
              </w:rPr>
              <w:t xml:space="preserve">efore </w:t>
            </w:r>
            <w:r>
              <w:rPr>
                <w:b/>
                <w:sz w:val="18"/>
              </w:rPr>
              <w:t>T</w:t>
            </w:r>
            <w:r w:rsidRPr="00604C75">
              <w:rPr>
                <w:b/>
                <w:sz w:val="18"/>
              </w:rPr>
              <w:t>axes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3EF913F" w14:textId="2965F7C3" w:rsidR="00991C34" w:rsidRPr="00692926" w:rsidRDefault="00991C34" w:rsidP="00991C34">
            <w:pPr>
              <w:jc w:val="right"/>
              <w:rPr>
                <w:b/>
                <w:bCs/>
                <w:color w:val="000000"/>
                <w:sz w:val="18"/>
                <w:szCs w:val="18"/>
              </w:rPr>
            </w:pPr>
            <w:r w:rsidRPr="00A36623">
              <w:rPr>
                <w:b/>
                <w:sz w:val="18"/>
                <w:szCs w:val="18"/>
              </w:rPr>
              <w:t>225</w:t>
            </w:r>
            <w:r>
              <w:rPr>
                <w:b/>
                <w:sz w:val="18"/>
                <w:szCs w:val="18"/>
              </w:rPr>
              <w:t>,</w:t>
            </w:r>
            <w:r w:rsidRPr="00A36623">
              <w:rPr>
                <w:b/>
                <w:sz w:val="18"/>
                <w:szCs w:val="18"/>
              </w:rPr>
              <w:t>635</w:t>
            </w:r>
          </w:p>
        </w:tc>
        <w:tc>
          <w:tcPr>
            <w:tcW w:w="1176" w:type="dxa"/>
            <w:tcBorders>
              <w:top w:val="dotted" w:sz="4" w:space="0" w:color="auto"/>
              <w:left w:val="dotted" w:sz="4" w:space="0" w:color="auto"/>
              <w:bottom w:val="dotted" w:sz="4" w:space="0" w:color="auto"/>
              <w:right w:val="dotted" w:sz="4" w:space="0" w:color="auto"/>
            </w:tcBorders>
            <w:vAlign w:val="bottom"/>
          </w:tcPr>
          <w:p w14:paraId="48A417DF" w14:textId="461E6512" w:rsidR="00991C34" w:rsidRPr="00692926" w:rsidRDefault="00991C34" w:rsidP="00991C34">
            <w:pPr>
              <w:jc w:val="right"/>
              <w:rPr>
                <w:b/>
                <w:bCs/>
                <w:color w:val="000000"/>
                <w:sz w:val="18"/>
                <w:szCs w:val="18"/>
              </w:rPr>
            </w:pPr>
            <w:r w:rsidRPr="00A36623">
              <w:rPr>
                <w:b/>
                <w:sz w:val="18"/>
                <w:szCs w:val="18"/>
              </w:rPr>
              <w:t>(60</w:t>
            </w:r>
            <w:r>
              <w:rPr>
                <w:b/>
                <w:sz w:val="18"/>
                <w:szCs w:val="18"/>
              </w:rPr>
              <w:t>,</w:t>
            </w:r>
            <w:r w:rsidRPr="00A36623">
              <w:rPr>
                <w:b/>
                <w:sz w:val="18"/>
                <w:szCs w:val="18"/>
              </w:rPr>
              <w:t>954)</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5A3494C3" w14:textId="154E4290" w:rsidR="00991C34" w:rsidRPr="00692926" w:rsidRDefault="00991C34" w:rsidP="00991C34">
            <w:pPr>
              <w:jc w:val="right"/>
              <w:rPr>
                <w:b/>
                <w:bCs/>
                <w:color w:val="000000"/>
                <w:sz w:val="18"/>
                <w:szCs w:val="18"/>
              </w:rPr>
            </w:pPr>
            <w:r w:rsidRPr="00A36623">
              <w:rPr>
                <w:b/>
                <w:sz w:val="18"/>
                <w:szCs w:val="18"/>
              </w:rPr>
              <w:t>(1</w:t>
            </w:r>
            <w:r>
              <w:rPr>
                <w:b/>
                <w:sz w:val="18"/>
                <w:szCs w:val="18"/>
              </w:rPr>
              <w:t>,</w:t>
            </w:r>
            <w:r w:rsidRPr="00A36623">
              <w:rPr>
                <w:b/>
                <w:sz w:val="18"/>
                <w:szCs w:val="18"/>
              </w:rPr>
              <w:t>433)</w:t>
            </w:r>
          </w:p>
        </w:tc>
        <w:tc>
          <w:tcPr>
            <w:tcW w:w="1260" w:type="dxa"/>
            <w:tcBorders>
              <w:top w:val="dotted" w:sz="4" w:space="0" w:color="auto"/>
              <w:left w:val="dotted" w:sz="4" w:space="0" w:color="auto"/>
              <w:bottom w:val="dotted" w:sz="4" w:space="0" w:color="auto"/>
              <w:right w:val="double" w:sz="4" w:space="0" w:color="auto"/>
            </w:tcBorders>
            <w:vAlign w:val="bottom"/>
          </w:tcPr>
          <w:p w14:paraId="2E3BD302" w14:textId="4EE6F670" w:rsidR="00991C34" w:rsidRPr="00692926" w:rsidRDefault="00991C34" w:rsidP="00991C34">
            <w:pPr>
              <w:jc w:val="right"/>
              <w:rPr>
                <w:b/>
                <w:bCs/>
                <w:color w:val="000000"/>
                <w:sz w:val="18"/>
                <w:szCs w:val="18"/>
              </w:rPr>
            </w:pPr>
            <w:r w:rsidRPr="00A36623">
              <w:rPr>
                <w:b/>
                <w:sz w:val="18"/>
                <w:szCs w:val="18"/>
              </w:rPr>
              <w:t>163</w:t>
            </w:r>
            <w:r>
              <w:rPr>
                <w:b/>
                <w:sz w:val="18"/>
                <w:szCs w:val="18"/>
              </w:rPr>
              <w:t>,</w:t>
            </w:r>
            <w:r w:rsidRPr="00A36623">
              <w:rPr>
                <w:b/>
                <w:sz w:val="18"/>
                <w:szCs w:val="18"/>
              </w:rPr>
              <w:t>248</w:t>
            </w:r>
          </w:p>
        </w:tc>
      </w:tr>
      <w:tr w:rsidR="00991C34" w:rsidRPr="00604C75" w14:paraId="4FA5363A"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46A64CD9" w14:textId="64D3CD1F" w:rsidR="00991C34" w:rsidRPr="00604C75" w:rsidRDefault="00991C34" w:rsidP="00991C34">
            <w:pPr>
              <w:rPr>
                <w:sz w:val="18"/>
              </w:rPr>
            </w:pPr>
            <w:r w:rsidRPr="00604C75">
              <w:rPr>
                <w:sz w:val="18"/>
              </w:rPr>
              <w:t xml:space="preserve">Tax </w:t>
            </w:r>
            <w:r>
              <w:rPr>
                <w:sz w:val="18"/>
              </w:rPr>
              <w:t>P</w:t>
            </w:r>
            <w:r w:rsidRPr="00604C75">
              <w:rPr>
                <w:sz w:val="18"/>
              </w:rPr>
              <w:t>rovision</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4DF030F" w14:textId="785D7186" w:rsidR="00991C34" w:rsidRPr="00692926" w:rsidRDefault="00991C34" w:rsidP="00991C34">
            <w:pPr>
              <w:jc w:val="right"/>
              <w:rPr>
                <w:color w:val="000000"/>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14:paraId="2A855BAC" w14:textId="33D92781" w:rsidR="00991C34" w:rsidRPr="00692926" w:rsidRDefault="00991C34" w:rsidP="00991C34">
            <w:pPr>
              <w:jc w:val="right"/>
              <w:rPr>
                <w:color w:val="000000"/>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591AADD3" w14:textId="2CCD433A" w:rsidR="00991C34" w:rsidRPr="00692926" w:rsidRDefault="00991C34" w:rsidP="00991C34">
            <w:pPr>
              <w:jc w:val="right"/>
              <w:rPr>
                <w:color w:val="000000"/>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14:paraId="6F8B5768" w14:textId="5E24F2D9" w:rsidR="00991C34" w:rsidRPr="00692926" w:rsidRDefault="00991C34" w:rsidP="00991C34">
            <w:pPr>
              <w:jc w:val="right"/>
              <w:rPr>
                <w:color w:val="000000"/>
                <w:sz w:val="18"/>
                <w:szCs w:val="18"/>
              </w:rPr>
            </w:pPr>
            <w:r w:rsidRPr="00A36623">
              <w:rPr>
                <w:sz w:val="18"/>
                <w:szCs w:val="18"/>
              </w:rPr>
              <w:t>(26</w:t>
            </w:r>
            <w:r>
              <w:rPr>
                <w:sz w:val="18"/>
                <w:szCs w:val="18"/>
              </w:rPr>
              <w:t>,</w:t>
            </w:r>
            <w:r w:rsidRPr="00A36623">
              <w:rPr>
                <w:sz w:val="18"/>
                <w:szCs w:val="18"/>
              </w:rPr>
              <w:t>425)</w:t>
            </w:r>
          </w:p>
        </w:tc>
      </w:tr>
      <w:tr w:rsidR="00991C34" w:rsidRPr="00604C75" w14:paraId="4C09A856"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101E3C3E" w14:textId="2C70FEB2" w:rsidR="00991C34" w:rsidRPr="00604C75" w:rsidRDefault="00991C34" w:rsidP="00991C34">
            <w:pPr>
              <w:rPr>
                <w:sz w:val="18"/>
              </w:rPr>
            </w:pPr>
            <w:r w:rsidRPr="00604C75">
              <w:rPr>
                <w:sz w:val="18"/>
              </w:rPr>
              <w:t xml:space="preserve">Minority </w:t>
            </w:r>
            <w:r>
              <w:rPr>
                <w:sz w:val="18"/>
              </w:rPr>
              <w:t>I</w:t>
            </w:r>
            <w:r w:rsidRPr="00604C75">
              <w:rPr>
                <w:sz w:val="18"/>
              </w:rPr>
              <w:t>nterest</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2F9E2F3" w14:textId="26329F4A" w:rsidR="00991C34" w:rsidRPr="00692926" w:rsidRDefault="00991C34" w:rsidP="00991C34">
            <w:pPr>
              <w:jc w:val="right"/>
              <w:rPr>
                <w:color w:val="000000"/>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14:paraId="7784689A" w14:textId="7F1593F3" w:rsidR="00991C34" w:rsidRPr="00692926" w:rsidRDefault="00991C34" w:rsidP="00991C34">
            <w:pPr>
              <w:jc w:val="right"/>
              <w:rPr>
                <w:color w:val="000000"/>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DADE48B" w14:textId="79D9C8B6" w:rsidR="00991C34" w:rsidRPr="00692926" w:rsidRDefault="00991C34" w:rsidP="00991C34">
            <w:pPr>
              <w:jc w:val="right"/>
              <w:rPr>
                <w:color w:val="000000"/>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14:paraId="03256112" w14:textId="79275EC9" w:rsidR="00991C34" w:rsidRPr="00692926" w:rsidRDefault="00991C34" w:rsidP="00991C34">
            <w:pPr>
              <w:jc w:val="right"/>
              <w:rPr>
                <w:color w:val="000000"/>
                <w:sz w:val="18"/>
                <w:szCs w:val="18"/>
              </w:rPr>
            </w:pPr>
            <w:r w:rsidRPr="00A36623">
              <w:rPr>
                <w:b/>
                <w:sz w:val="18"/>
                <w:szCs w:val="18"/>
              </w:rPr>
              <w:t>136</w:t>
            </w:r>
            <w:r>
              <w:rPr>
                <w:b/>
                <w:sz w:val="18"/>
                <w:szCs w:val="18"/>
              </w:rPr>
              <w:t>,</w:t>
            </w:r>
            <w:r w:rsidRPr="00A36623">
              <w:rPr>
                <w:b/>
                <w:sz w:val="18"/>
                <w:szCs w:val="18"/>
              </w:rPr>
              <w:t>823</w:t>
            </w:r>
          </w:p>
        </w:tc>
      </w:tr>
      <w:tr w:rsidR="00224102" w:rsidRPr="00604C75" w14:paraId="407B98D1"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14:paraId="298BB8F2" w14:textId="4DDFF5F3" w:rsidR="00224102" w:rsidRPr="00604C75" w:rsidRDefault="00224102" w:rsidP="00224102">
            <w:pPr>
              <w:rPr>
                <w:rFonts w:eastAsia="Arial Unicode MS"/>
                <w:b/>
                <w:sz w:val="18"/>
                <w:szCs w:val="18"/>
              </w:rPr>
            </w:pPr>
            <w:r w:rsidRPr="00604C75">
              <w:rPr>
                <w:b/>
                <w:sz w:val="18"/>
              </w:rPr>
              <w:t>Net</w:t>
            </w:r>
            <w:r>
              <w:rPr>
                <w:b/>
                <w:sz w:val="18"/>
              </w:rPr>
              <w:t xml:space="preserve"> P</w:t>
            </w:r>
            <w:r w:rsidRPr="00604C75">
              <w:rPr>
                <w:b/>
                <w:sz w:val="18"/>
              </w:rPr>
              <w:t xml:space="preserve">rofit for the </w:t>
            </w:r>
            <w:r>
              <w:rPr>
                <w:b/>
                <w:sz w:val="18"/>
              </w:rPr>
              <w:t>P</w:t>
            </w:r>
            <w:r w:rsidRPr="00604C75">
              <w:rPr>
                <w:b/>
                <w:sz w:val="18"/>
              </w:rPr>
              <w:t>eriod</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042F440" w14:textId="531BF03F" w:rsidR="00224102" w:rsidRPr="00692926" w:rsidRDefault="00224102" w:rsidP="00224102">
            <w:pPr>
              <w:jc w:val="right"/>
              <w:rPr>
                <w:b/>
                <w:bCs/>
                <w:color w:val="000000"/>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14:paraId="53A1415F" w14:textId="71DC94A6" w:rsidR="00224102" w:rsidRPr="00692926" w:rsidRDefault="00224102" w:rsidP="00224102">
            <w:pPr>
              <w:jc w:val="right"/>
              <w:rPr>
                <w:b/>
                <w:bCs/>
                <w:color w:val="000000"/>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6C55B8BE" w14:textId="363F967F" w:rsidR="00224102" w:rsidRPr="00692926" w:rsidRDefault="00224102" w:rsidP="00224102">
            <w:pPr>
              <w:jc w:val="right"/>
              <w:rPr>
                <w:b/>
                <w:bCs/>
                <w:color w:val="000000"/>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14:paraId="2F9D4C0F" w14:textId="407D5915" w:rsidR="00224102" w:rsidRPr="00692926" w:rsidRDefault="00224102" w:rsidP="00224102">
            <w:pPr>
              <w:jc w:val="right"/>
              <w:rPr>
                <w:b/>
                <w:bCs/>
                <w:color w:val="000000"/>
                <w:sz w:val="18"/>
                <w:szCs w:val="18"/>
              </w:rPr>
            </w:pPr>
          </w:p>
        </w:tc>
      </w:tr>
      <w:tr w:rsidR="00224102" w:rsidRPr="00604C75" w14:paraId="6FD8A1ED"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14:paraId="60A25AB2" w14:textId="77777777" w:rsidR="00224102" w:rsidRPr="00604C75" w:rsidRDefault="00224102" w:rsidP="00224102">
            <w:pPr>
              <w:rPr>
                <w:b/>
                <w:sz w:val="18"/>
              </w:rPr>
            </w:pP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4F7E5786" w14:textId="77777777" w:rsidR="00224102" w:rsidRPr="00692926" w:rsidRDefault="00224102" w:rsidP="00224102">
            <w:pPr>
              <w:jc w:val="right"/>
              <w:rPr>
                <w:b/>
                <w:bCs/>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14:paraId="3CF088FF" w14:textId="77777777" w:rsidR="00224102" w:rsidRPr="00692926" w:rsidRDefault="00224102" w:rsidP="00224102">
            <w:pPr>
              <w:ind w:right="31"/>
              <w:jc w:val="right"/>
              <w:rPr>
                <w:b/>
                <w:bCs/>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2C465E4" w14:textId="77777777" w:rsidR="00224102" w:rsidRPr="00692926" w:rsidRDefault="00224102" w:rsidP="00224102">
            <w:pPr>
              <w:jc w:val="right"/>
              <w:rPr>
                <w:b/>
                <w:bCs/>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14:paraId="7385D210" w14:textId="77777777" w:rsidR="00224102" w:rsidRPr="00692926" w:rsidRDefault="00224102" w:rsidP="00224102">
            <w:pPr>
              <w:jc w:val="right"/>
              <w:rPr>
                <w:b/>
                <w:bCs/>
                <w:sz w:val="18"/>
                <w:szCs w:val="18"/>
              </w:rPr>
            </w:pPr>
          </w:p>
        </w:tc>
      </w:tr>
      <w:tr w:rsidR="00991C34" w:rsidRPr="00604C75" w14:paraId="34DD75E0"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bottom"/>
          </w:tcPr>
          <w:p w14:paraId="64C8F383" w14:textId="77777777" w:rsidR="00991C34" w:rsidRPr="00604C75" w:rsidRDefault="00991C34" w:rsidP="00991C34">
            <w:pPr>
              <w:rPr>
                <w:b/>
                <w:sz w:val="18"/>
              </w:rPr>
            </w:pPr>
            <w:r>
              <w:rPr>
                <w:b/>
                <w:sz w:val="18"/>
              </w:rPr>
              <w:t>31 December 2014</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C32D085" w14:textId="53EB3CCA" w:rsidR="00991C34" w:rsidRPr="00692926" w:rsidRDefault="00991C34" w:rsidP="00991C34">
            <w:pPr>
              <w:jc w:val="right"/>
              <w:rPr>
                <w:color w:val="000000"/>
                <w:sz w:val="18"/>
                <w:szCs w:val="18"/>
              </w:rPr>
            </w:pPr>
          </w:p>
        </w:tc>
        <w:tc>
          <w:tcPr>
            <w:tcW w:w="1176" w:type="dxa"/>
            <w:tcBorders>
              <w:top w:val="dotted" w:sz="4" w:space="0" w:color="auto"/>
              <w:left w:val="dotted" w:sz="4" w:space="0" w:color="auto"/>
              <w:bottom w:val="dotted" w:sz="4" w:space="0" w:color="auto"/>
              <w:right w:val="dotted" w:sz="4" w:space="0" w:color="auto"/>
            </w:tcBorders>
            <w:vAlign w:val="bottom"/>
          </w:tcPr>
          <w:p w14:paraId="14762F53" w14:textId="06A71C09" w:rsidR="00991C34" w:rsidRPr="00692926" w:rsidRDefault="00991C34" w:rsidP="00991C34">
            <w:pPr>
              <w:jc w:val="right"/>
              <w:rPr>
                <w:color w:val="000000"/>
                <w:sz w:val="18"/>
                <w:szCs w:val="18"/>
              </w:rPr>
            </w:pP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15022EB0" w14:textId="198B0E0F" w:rsidR="00991C34" w:rsidRPr="00692926" w:rsidRDefault="00991C34" w:rsidP="00991C34">
            <w:pPr>
              <w:jc w:val="right"/>
              <w:rPr>
                <w:color w:val="000000"/>
                <w:sz w:val="18"/>
                <w:szCs w:val="18"/>
              </w:rPr>
            </w:pPr>
          </w:p>
        </w:tc>
        <w:tc>
          <w:tcPr>
            <w:tcW w:w="1260" w:type="dxa"/>
            <w:tcBorders>
              <w:top w:val="dotted" w:sz="4" w:space="0" w:color="auto"/>
              <w:left w:val="dotted" w:sz="4" w:space="0" w:color="auto"/>
              <w:bottom w:val="dotted" w:sz="4" w:space="0" w:color="auto"/>
              <w:right w:val="double" w:sz="4" w:space="0" w:color="auto"/>
            </w:tcBorders>
            <w:vAlign w:val="bottom"/>
          </w:tcPr>
          <w:p w14:paraId="0FC5DDDF" w14:textId="3AD5076F" w:rsidR="00991C34" w:rsidRPr="00692926" w:rsidRDefault="00991C34" w:rsidP="00991C34">
            <w:pPr>
              <w:jc w:val="right"/>
              <w:rPr>
                <w:color w:val="000000"/>
                <w:sz w:val="18"/>
                <w:szCs w:val="18"/>
              </w:rPr>
            </w:pPr>
          </w:p>
        </w:tc>
      </w:tr>
      <w:tr w:rsidR="00991C34" w:rsidRPr="00604C75" w14:paraId="690BB0FA"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2EFFDF41" w14:textId="23EB5A66" w:rsidR="00991C34" w:rsidRPr="00604C75" w:rsidRDefault="00991C34" w:rsidP="00991C34">
            <w:pPr>
              <w:rPr>
                <w:rFonts w:eastAsia="Arial Unicode MS"/>
                <w:sz w:val="18"/>
                <w:szCs w:val="18"/>
              </w:rPr>
            </w:pPr>
            <w:r w:rsidRPr="00604C75">
              <w:rPr>
                <w:sz w:val="18"/>
              </w:rPr>
              <w:t xml:space="preserve">Segment </w:t>
            </w:r>
            <w:r>
              <w:rPr>
                <w:sz w:val="18"/>
              </w:rPr>
              <w:t>A</w:t>
            </w:r>
            <w:r w:rsidRPr="00604C75">
              <w:rPr>
                <w:sz w:val="18"/>
              </w:rPr>
              <w:t>ssets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9248207" w14:textId="5302C759" w:rsidR="00991C34" w:rsidRPr="00692926" w:rsidRDefault="00991C34" w:rsidP="00991C34">
            <w:pPr>
              <w:jc w:val="right"/>
              <w:rPr>
                <w:color w:val="000000"/>
                <w:sz w:val="18"/>
                <w:szCs w:val="18"/>
              </w:rPr>
            </w:pPr>
            <w:r w:rsidRPr="00D22F43">
              <w:rPr>
                <w:sz w:val="18"/>
                <w:szCs w:val="18"/>
              </w:rPr>
              <w:t>8,452,961</w:t>
            </w:r>
          </w:p>
        </w:tc>
        <w:tc>
          <w:tcPr>
            <w:tcW w:w="1176" w:type="dxa"/>
            <w:tcBorders>
              <w:top w:val="dotted" w:sz="4" w:space="0" w:color="auto"/>
              <w:left w:val="dotted" w:sz="4" w:space="0" w:color="auto"/>
              <w:bottom w:val="dotted" w:sz="4" w:space="0" w:color="auto"/>
              <w:right w:val="dotted" w:sz="4" w:space="0" w:color="auto"/>
            </w:tcBorders>
            <w:vAlign w:val="bottom"/>
          </w:tcPr>
          <w:p w14:paraId="789D0FF8" w14:textId="0C009F71" w:rsidR="00991C34" w:rsidRPr="00692926" w:rsidRDefault="00991C34" w:rsidP="00991C34">
            <w:pPr>
              <w:jc w:val="right"/>
              <w:rPr>
                <w:color w:val="000000"/>
                <w:sz w:val="18"/>
                <w:szCs w:val="18"/>
              </w:rPr>
            </w:pPr>
            <w:r w:rsidRPr="00D22F43">
              <w:rPr>
                <w:sz w:val="18"/>
                <w:szCs w:val="18"/>
              </w:rPr>
              <w:t>2,482,961</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3C7A9D99" w14:textId="5E0D1AFF" w:rsidR="00991C34" w:rsidRPr="00692926" w:rsidRDefault="00991C34" w:rsidP="00991C34">
            <w:pPr>
              <w:jc w:val="right"/>
              <w:rPr>
                <w:color w:val="000000"/>
                <w:sz w:val="18"/>
                <w:szCs w:val="18"/>
              </w:rPr>
            </w:pPr>
            <w:r w:rsidRPr="00D22F43">
              <w:rPr>
                <w:sz w:val="18"/>
                <w:szCs w:val="18"/>
              </w:rPr>
              <w:t>411,745</w:t>
            </w:r>
          </w:p>
        </w:tc>
        <w:tc>
          <w:tcPr>
            <w:tcW w:w="1260" w:type="dxa"/>
            <w:tcBorders>
              <w:top w:val="dotted" w:sz="4" w:space="0" w:color="auto"/>
              <w:left w:val="dotted" w:sz="4" w:space="0" w:color="auto"/>
              <w:bottom w:val="dotted" w:sz="4" w:space="0" w:color="auto"/>
              <w:right w:val="double" w:sz="4" w:space="0" w:color="auto"/>
            </w:tcBorders>
            <w:vAlign w:val="bottom"/>
          </w:tcPr>
          <w:p w14:paraId="46FCBDD7" w14:textId="7FBD437E" w:rsidR="00991C34" w:rsidRPr="00692926" w:rsidRDefault="00991C34" w:rsidP="00991C34">
            <w:pPr>
              <w:jc w:val="right"/>
              <w:rPr>
                <w:color w:val="000000"/>
                <w:sz w:val="18"/>
                <w:szCs w:val="18"/>
              </w:rPr>
            </w:pPr>
            <w:r w:rsidRPr="00D22F43">
              <w:rPr>
                <w:sz w:val="18"/>
                <w:szCs w:val="18"/>
              </w:rPr>
              <w:t>11,347,667</w:t>
            </w:r>
          </w:p>
        </w:tc>
      </w:tr>
      <w:tr w:rsidR="00991C34" w:rsidRPr="00604C75" w14:paraId="63E45E9B"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009158CA" w14:textId="39147061" w:rsidR="00991C34" w:rsidRPr="00604C75" w:rsidRDefault="00991C34" w:rsidP="00991C34">
            <w:pPr>
              <w:rPr>
                <w:rFonts w:eastAsia="Arial Unicode MS"/>
                <w:sz w:val="18"/>
                <w:szCs w:val="18"/>
              </w:rPr>
            </w:pPr>
            <w:r w:rsidRPr="00604C75">
              <w:rPr>
                <w:sz w:val="18"/>
              </w:rPr>
              <w:t xml:space="preserve">Investments in </w:t>
            </w:r>
            <w:r>
              <w:rPr>
                <w:sz w:val="18"/>
              </w:rPr>
              <w:t>A</w:t>
            </w:r>
            <w:r w:rsidRPr="00604C75">
              <w:rPr>
                <w:sz w:val="18"/>
              </w:rPr>
              <w:t xml:space="preserve">ssociates and </w:t>
            </w:r>
            <w:r>
              <w:rPr>
                <w:sz w:val="18"/>
              </w:rPr>
              <w:t>S</w:t>
            </w:r>
            <w:r w:rsidRPr="00604C75">
              <w:rPr>
                <w:sz w:val="18"/>
              </w:rPr>
              <w:t>ubsidiaries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6307FB6C" w14:textId="328B9406" w:rsidR="00991C34" w:rsidRPr="00692926" w:rsidRDefault="00991C34" w:rsidP="00991C34">
            <w:pPr>
              <w:jc w:val="right"/>
              <w:rPr>
                <w:color w:val="000000"/>
                <w:sz w:val="18"/>
                <w:szCs w:val="18"/>
              </w:rPr>
            </w:pPr>
            <w:r>
              <w:rPr>
                <w:sz w:val="18"/>
                <w:szCs w:val="18"/>
              </w:rPr>
              <w:t>-</w:t>
            </w:r>
          </w:p>
        </w:tc>
        <w:tc>
          <w:tcPr>
            <w:tcW w:w="1176" w:type="dxa"/>
            <w:tcBorders>
              <w:top w:val="dotted" w:sz="4" w:space="0" w:color="auto"/>
              <w:left w:val="dotted" w:sz="4" w:space="0" w:color="auto"/>
              <w:bottom w:val="dotted" w:sz="4" w:space="0" w:color="auto"/>
              <w:right w:val="dotted" w:sz="4" w:space="0" w:color="auto"/>
            </w:tcBorders>
            <w:vAlign w:val="bottom"/>
          </w:tcPr>
          <w:p w14:paraId="4445475C" w14:textId="1CDB59DE" w:rsidR="00991C34" w:rsidRPr="00692926" w:rsidRDefault="00991C34" w:rsidP="00991C34">
            <w:pPr>
              <w:jc w:val="right"/>
              <w:rPr>
                <w:color w:val="000000"/>
                <w:sz w:val="18"/>
                <w:szCs w:val="18"/>
              </w:rPr>
            </w:pPr>
            <w:r>
              <w:rPr>
                <w:sz w:val="18"/>
                <w:szCs w:val="18"/>
              </w:rPr>
              <w:t>-</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30CF73A8" w14:textId="5059D594" w:rsidR="00991C34" w:rsidRPr="00692926" w:rsidRDefault="00991C34" w:rsidP="00991C34">
            <w:pPr>
              <w:jc w:val="right"/>
              <w:rPr>
                <w:color w:val="000000"/>
                <w:sz w:val="18"/>
                <w:szCs w:val="18"/>
              </w:rPr>
            </w:pPr>
            <w:r>
              <w:rPr>
                <w:sz w:val="18"/>
                <w:szCs w:val="18"/>
              </w:rPr>
              <w:t>-</w:t>
            </w:r>
          </w:p>
        </w:tc>
        <w:tc>
          <w:tcPr>
            <w:tcW w:w="1260" w:type="dxa"/>
            <w:tcBorders>
              <w:top w:val="dotted" w:sz="4" w:space="0" w:color="auto"/>
              <w:left w:val="dotted" w:sz="4" w:space="0" w:color="auto"/>
              <w:bottom w:val="dotted" w:sz="4" w:space="0" w:color="auto"/>
              <w:right w:val="double" w:sz="4" w:space="0" w:color="auto"/>
            </w:tcBorders>
            <w:vAlign w:val="bottom"/>
          </w:tcPr>
          <w:p w14:paraId="2194C8B4" w14:textId="7C9A0086" w:rsidR="00991C34" w:rsidRPr="00692926" w:rsidRDefault="00991C34" w:rsidP="00991C34">
            <w:pPr>
              <w:jc w:val="right"/>
              <w:rPr>
                <w:color w:val="000000"/>
                <w:sz w:val="18"/>
                <w:szCs w:val="18"/>
              </w:rPr>
            </w:pPr>
            <w:r w:rsidRPr="00A36623">
              <w:rPr>
                <w:sz w:val="18"/>
                <w:szCs w:val="18"/>
              </w:rPr>
              <w:t>-</w:t>
            </w:r>
          </w:p>
        </w:tc>
      </w:tr>
      <w:tr w:rsidR="00991C34" w:rsidRPr="00604C75" w14:paraId="4E8019C9"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4B0E4982" w14:textId="77777777" w:rsidR="00991C34" w:rsidRPr="00604C75" w:rsidRDefault="00991C34" w:rsidP="00991C34">
            <w:pPr>
              <w:rPr>
                <w:b/>
                <w:sz w:val="18"/>
              </w:rPr>
            </w:pPr>
            <w:r w:rsidRPr="00604C75">
              <w:rPr>
                <w:b/>
                <w:sz w:val="18"/>
              </w:rPr>
              <w:t>Total Assets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7E26DAF6" w14:textId="62ADFAF5" w:rsidR="00991C34" w:rsidRPr="00DE3E0E" w:rsidRDefault="00991C34" w:rsidP="00991C34">
            <w:pPr>
              <w:jc w:val="right"/>
              <w:rPr>
                <w:b/>
                <w:bCs/>
                <w:color w:val="000000"/>
                <w:sz w:val="18"/>
                <w:szCs w:val="18"/>
              </w:rPr>
            </w:pPr>
            <w:r w:rsidRPr="00A36623">
              <w:rPr>
                <w:b/>
                <w:sz w:val="18"/>
                <w:szCs w:val="18"/>
              </w:rPr>
              <w:t>8</w:t>
            </w:r>
            <w:r>
              <w:rPr>
                <w:b/>
                <w:sz w:val="18"/>
                <w:szCs w:val="18"/>
              </w:rPr>
              <w:t>,</w:t>
            </w:r>
            <w:r w:rsidRPr="00A36623">
              <w:rPr>
                <w:b/>
                <w:sz w:val="18"/>
                <w:szCs w:val="18"/>
              </w:rPr>
              <w:t>452</w:t>
            </w:r>
            <w:r>
              <w:rPr>
                <w:b/>
                <w:sz w:val="18"/>
                <w:szCs w:val="18"/>
              </w:rPr>
              <w:t>,</w:t>
            </w:r>
            <w:r w:rsidRPr="00A36623">
              <w:rPr>
                <w:b/>
                <w:sz w:val="18"/>
                <w:szCs w:val="18"/>
              </w:rPr>
              <w:t>961</w:t>
            </w:r>
          </w:p>
        </w:tc>
        <w:tc>
          <w:tcPr>
            <w:tcW w:w="1176" w:type="dxa"/>
            <w:tcBorders>
              <w:top w:val="dotted" w:sz="4" w:space="0" w:color="auto"/>
              <w:left w:val="dotted" w:sz="4" w:space="0" w:color="auto"/>
              <w:bottom w:val="dotted" w:sz="4" w:space="0" w:color="auto"/>
              <w:right w:val="dotted" w:sz="4" w:space="0" w:color="auto"/>
            </w:tcBorders>
            <w:vAlign w:val="bottom"/>
          </w:tcPr>
          <w:p w14:paraId="33AB0E4C" w14:textId="4CD04693" w:rsidR="00991C34" w:rsidRPr="00DE3E0E" w:rsidRDefault="00991C34" w:rsidP="00991C34">
            <w:pPr>
              <w:jc w:val="right"/>
              <w:rPr>
                <w:b/>
                <w:bCs/>
                <w:color w:val="000000"/>
                <w:sz w:val="18"/>
                <w:szCs w:val="18"/>
              </w:rPr>
            </w:pPr>
            <w:r w:rsidRPr="00A36623">
              <w:rPr>
                <w:b/>
                <w:sz w:val="18"/>
                <w:szCs w:val="18"/>
              </w:rPr>
              <w:t>2</w:t>
            </w:r>
            <w:r>
              <w:rPr>
                <w:b/>
                <w:sz w:val="18"/>
                <w:szCs w:val="18"/>
              </w:rPr>
              <w:t>,</w:t>
            </w:r>
            <w:r w:rsidRPr="00A36623">
              <w:rPr>
                <w:b/>
                <w:sz w:val="18"/>
                <w:szCs w:val="18"/>
              </w:rPr>
              <w:t>482</w:t>
            </w:r>
            <w:r>
              <w:rPr>
                <w:b/>
                <w:sz w:val="18"/>
                <w:szCs w:val="18"/>
              </w:rPr>
              <w:t>,</w:t>
            </w:r>
            <w:r w:rsidRPr="00A36623">
              <w:rPr>
                <w:b/>
                <w:sz w:val="18"/>
                <w:szCs w:val="18"/>
              </w:rPr>
              <w:t>961</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4450480F" w14:textId="73EF1194" w:rsidR="00991C34" w:rsidRPr="007A0A00" w:rsidRDefault="00991C34" w:rsidP="00991C34">
            <w:pPr>
              <w:jc w:val="right"/>
              <w:rPr>
                <w:b/>
                <w:bCs/>
                <w:color w:val="000000"/>
                <w:sz w:val="18"/>
                <w:szCs w:val="18"/>
              </w:rPr>
            </w:pPr>
            <w:r w:rsidRPr="00A36623">
              <w:rPr>
                <w:b/>
                <w:sz w:val="18"/>
                <w:szCs w:val="18"/>
              </w:rPr>
              <w:t>411</w:t>
            </w:r>
            <w:r>
              <w:rPr>
                <w:b/>
                <w:sz w:val="18"/>
                <w:szCs w:val="18"/>
              </w:rPr>
              <w:t>,</w:t>
            </w:r>
            <w:r w:rsidRPr="00A36623">
              <w:rPr>
                <w:b/>
                <w:sz w:val="18"/>
                <w:szCs w:val="18"/>
              </w:rPr>
              <w:t>745</w:t>
            </w:r>
          </w:p>
        </w:tc>
        <w:tc>
          <w:tcPr>
            <w:tcW w:w="1260" w:type="dxa"/>
            <w:tcBorders>
              <w:top w:val="dotted" w:sz="4" w:space="0" w:color="auto"/>
              <w:left w:val="dotted" w:sz="4" w:space="0" w:color="auto"/>
              <w:bottom w:val="dotted" w:sz="4" w:space="0" w:color="auto"/>
              <w:right w:val="double" w:sz="4" w:space="0" w:color="auto"/>
            </w:tcBorders>
            <w:vAlign w:val="bottom"/>
          </w:tcPr>
          <w:p w14:paraId="56E9481B" w14:textId="6167D630" w:rsidR="00991C34" w:rsidRPr="00DE3E0E" w:rsidRDefault="00991C34" w:rsidP="00991C34">
            <w:pPr>
              <w:jc w:val="right"/>
              <w:rPr>
                <w:b/>
                <w:bCs/>
                <w:color w:val="000000"/>
                <w:sz w:val="18"/>
                <w:szCs w:val="18"/>
              </w:rPr>
            </w:pPr>
            <w:r w:rsidRPr="00A36623">
              <w:rPr>
                <w:b/>
                <w:sz w:val="18"/>
                <w:szCs w:val="18"/>
              </w:rPr>
              <w:t>11</w:t>
            </w:r>
            <w:r>
              <w:rPr>
                <w:b/>
                <w:sz w:val="18"/>
                <w:szCs w:val="18"/>
              </w:rPr>
              <w:t>,</w:t>
            </w:r>
            <w:r w:rsidRPr="00A36623">
              <w:rPr>
                <w:b/>
                <w:sz w:val="18"/>
                <w:szCs w:val="18"/>
              </w:rPr>
              <w:t>347</w:t>
            </w:r>
            <w:r>
              <w:rPr>
                <w:b/>
                <w:sz w:val="18"/>
                <w:szCs w:val="18"/>
              </w:rPr>
              <w:t>,</w:t>
            </w:r>
            <w:r w:rsidRPr="00A36623">
              <w:rPr>
                <w:b/>
                <w:sz w:val="18"/>
                <w:szCs w:val="18"/>
              </w:rPr>
              <w:t>667</w:t>
            </w:r>
          </w:p>
        </w:tc>
      </w:tr>
      <w:tr w:rsidR="00991C34" w:rsidRPr="00604C75" w14:paraId="23CAD67B"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236A1607" w14:textId="6027FEC5" w:rsidR="00991C34" w:rsidRPr="00604C75" w:rsidRDefault="00991C34" w:rsidP="00991C34">
            <w:pPr>
              <w:rPr>
                <w:sz w:val="18"/>
              </w:rPr>
            </w:pPr>
            <w:r w:rsidRPr="00604C75">
              <w:rPr>
                <w:sz w:val="18"/>
              </w:rPr>
              <w:t xml:space="preserve">Segment </w:t>
            </w:r>
            <w:r>
              <w:rPr>
                <w:sz w:val="18"/>
              </w:rPr>
              <w:t>L</w:t>
            </w:r>
            <w:r w:rsidRPr="00604C75">
              <w:rPr>
                <w:sz w:val="18"/>
              </w:rPr>
              <w:t>iabilities</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37DBD47F" w14:textId="3C776D12" w:rsidR="00991C34" w:rsidRPr="00692926" w:rsidRDefault="00991C34" w:rsidP="00991C34">
            <w:pPr>
              <w:jc w:val="right"/>
              <w:rPr>
                <w:color w:val="000000"/>
                <w:sz w:val="18"/>
                <w:szCs w:val="18"/>
              </w:rPr>
            </w:pPr>
            <w:r w:rsidRPr="00A36623">
              <w:rPr>
                <w:sz w:val="18"/>
                <w:szCs w:val="18"/>
              </w:rPr>
              <w:t>6</w:t>
            </w:r>
            <w:r>
              <w:rPr>
                <w:sz w:val="18"/>
                <w:szCs w:val="18"/>
              </w:rPr>
              <w:t>,</w:t>
            </w:r>
            <w:r w:rsidRPr="00A36623">
              <w:rPr>
                <w:sz w:val="18"/>
                <w:szCs w:val="18"/>
              </w:rPr>
              <w:t>284</w:t>
            </w:r>
            <w:r>
              <w:rPr>
                <w:sz w:val="18"/>
                <w:szCs w:val="18"/>
              </w:rPr>
              <w:t>,</w:t>
            </w:r>
            <w:r w:rsidRPr="00A36623">
              <w:rPr>
                <w:sz w:val="18"/>
                <w:szCs w:val="18"/>
              </w:rPr>
              <w:t>936</w:t>
            </w:r>
          </w:p>
        </w:tc>
        <w:tc>
          <w:tcPr>
            <w:tcW w:w="1176" w:type="dxa"/>
            <w:tcBorders>
              <w:top w:val="dotted" w:sz="4" w:space="0" w:color="auto"/>
              <w:left w:val="dotted" w:sz="4" w:space="0" w:color="auto"/>
              <w:bottom w:val="dotted" w:sz="4" w:space="0" w:color="auto"/>
              <w:right w:val="dotted" w:sz="4" w:space="0" w:color="auto"/>
            </w:tcBorders>
            <w:vAlign w:val="bottom"/>
          </w:tcPr>
          <w:p w14:paraId="0773F0B2" w14:textId="38679929" w:rsidR="00991C34" w:rsidRPr="00692926" w:rsidRDefault="00991C34" w:rsidP="00991C34">
            <w:pPr>
              <w:jc w:val="right"/>
              <w:rPr>
                <w:color w:val="000000"/>
                <w:sz w:val="18"/>
                <w:szCs w:val="18"/>
              </w:rPr>
            </w:pPr>
            <w:r w:rsidRPr="00A36623">
              <w:rPr>
                <w:sz w:val="18"/>
                <w:szCs w:val="18"/>
              </w:rPr>
              <w:t>2</w:t>
            </w:r>
            <w:r>
              <w:rPr>
                <w:sz w:val="18"/>
                <w:szCs w:val="18"/>
              </w:rPr>
              <w:t>,</w:t>
            </w:r>
            <w:r w:rsidRPr="00A36623">
              <w:rPr>
                <w:sz w:val="18"/>
                <w:szCs w:val="18"/>
              </w:rPr>
              <w:t>483</w:t>
            </w:r>
            <w:r>
              <w:rPr>
                <w:sz w:val="18"/>
                <w:szCs w:val="18"/>
              </w:rPr>
              <w:t>,</w:t>
            </w:r>
            <w:r w:rsidRPr="00A36623">
              <w:rPr>
                <w:sz w:val="18"/>
                <w:szCs w:val="18"/>
              </w:rPr>
              <w:t>878</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05E58701" w14:textId="2BAE2BE6" w:rsidR="00991C34" w:rsidRPr="00692926" w:rsidRDefault="00991C34" w:rsidP="00991C34">
            <w:pPr>
              <w:jc w:val="right"/>
              <w:rPr>
                <w:color w:val="000000"/>
                <w:sz w:val="18"/>
                <w:szCs w:val="18"/>
              </w:rPr>
            </w:pPr>
            <w:r w:rsidRPr="00A36623">
              <w:rPr>
                <w:sz w:val="18"/>
                <w:szCs w:val="18"/>
              </w:rPr>
              <w:t>1</w:t>
            </w:r>
            <w:r>
              <w:rPr>
                <w:sz w:val="18"/>
                <w:szCs w:val="18"/>
              </w:rPr>
              <w:t>,</w:t>
            </w:r>
            <w:r w:rsidRPr="00A36623">
              <w:rPr>
                <w:sz w:val="18"/>
                <w:szCs w:val="18"/>
              </w:rPr>
              <w:t>605</w:t>
            </w:r>
            <w:r>
              <w:rPr>
                <w:sz w:val="18"/>
                <w:szCs w:val="18"/>
              </w:rPr>
              <w:t>,</w:t>
            </w:r>
            <w:r w:rsidRPr="00A36623">
              <w:rPr>
                <w:sz w:val="18"/>
                <w:szCs w:val="18"/>
              </w:rPr>
              <w:t>953</w:t>
            </w:r>
          </w:p>
        </w:tc>
        <w:tc>
          <w:tcPr>
            <w:tcW w:w="1260" w:type="dxa"/>
            <w:tcBorders>
              <w:top w:val="dotted" w:sz="4" w:space="0" w:color="auto"/>
              <w:left w:val="dotted" w:sz="4" w:space="0" w:color="auto"/>
              <w:bottom w:val="dotted" w:sz="4" w:space="0" w:color="auto"/>
              <w:right w:val="double" w:sz="4" w:space="0" w:color="auto"/>
            </w:tcBorders>
            <w:vAlign w:val="bottom"/>
          </w:tcPr>
          <w:p w14:paraId="5178D687" w14:textId="73EE911B" w:rsidR="00991C34" w:rsidRPr="00692926" w:rsidRDefault="00991C34" w:rsidP="00991C34">
            <w:pPr>
              <w:jc w:val="right"/>
              <w:rPr>
                <w:color w:val="000000"/>
                <w:sz w:val="18"/>
                <w:szCs w:val="18"/>
              </w:rPr>
            </w:pPr>
            <w:r w:rsidRPr="00A36623">
              <w:rPr>
                <w:sz w:val="18"/>
                <w:szCs w:val="18"/>
              </w:rPr>
              <w:t>10</w:t>
            </w:r>
            <w:r>
              <w:rPr>
                <w:sz w:val="18"/>
                <w:szCs w:val="18"/>
              </w:rPr>
              <w:t>,</w:t>
            </w:r>
            <w:r w:rsidRPr="00A36623">
              <w:rPr>
                <w:sz w:val="18"/>
                <w:szCs w:val="18"/>
              </w:rPr>
              <w:t>374</w:t>
            </w:r>
            <w:r>
              <w:rPr>
                <w:sz w:val="18"/>
                <w:szCs w:val="18"/>
              </w:rPr>
              <w:t>,</w:t>
            </w:r>
            <w:r w:rsidRPr="00A36623">
              <w:rPr>
                <w:sz w:val="18"/>
                <w:szCs w:val="18"/>
              </w:rPr>
              <w:t>767</w:t>
            </w:r>
          </w:p>
        </w:tc>
      </w:tr>
      <w:tr w:rsidR="00991C34" w:rsidRPr="00604C75" w14:paraId="314747BB" w14:textId="77777777" w:rsidTr="002A69DD">
        <w:trPr>
          <w:cantSplit/>
          <w:trHeight w:val="245"/>
        </w:trPr>
        <w:tc>
          <w:tcPr>
            <w:tcW w:w="4549" w:type="dxa"/>
            <w:tcBorders>
              <w:top w:val="dotted"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3792F391" w14:textId="7965BAFB" w:rsidR="00991C34" w:rsidRPr="00604C75" w:rsidRDefault="00991C34" w:rsidP="00991C34">
            <w:pPr>
              <w:rPr>
                <w:sz w:val="18"/>
              </w:rPr>
            </w:pPr>
            <w:r w:rsidRPr="00604C75">
              <w:rPr>
                <w:sz w:val="18"/>
              </w:rPr>
              <w:t xml:space="preserve">Shareholders’ </w:t>
            </w:r>
            <w:r>
              <w:rPr>
                <w:sz w:val="18"/>
              </w:rPr>
              <w:t>E</w:t>
            </w:r>
            <w:r w:rsidRPr="00604C75">
              <w:rPr>
                <w:sz w:val="18"/>
              </w:rPr>
              <w:t>quity</w:t>
            </w:r>
          </w:p>
        </w:tc>
        <w:tc>
          <w:tcPr>
            <w:tcW w:w="1217"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1B96D513" w14:textId="4F496F7D" w:rsidR="00991C34" w:rsidRPr="00692926" w:rsidRDefault="00991C34" w:rsidP="00991C34">
            <w:pPr>
              <w:jc w:val="right"/>
              <w:rPr>
                <w:color w:val="000000"/>
                <w:sz w:val="18"/>
                <w:szCs w:val="18"/>
              </w:rPr>
            </w:pPr>
            <w:r w:rsidRPr="00A36623">
              <w:rPr>
                <w:sz w:val="18"/>
                <w:szCs w:val="18"/>
              </w:rPr>
              <w:t>(39</w:t>
            </w:r>
            <w:r>
              <w:rPr>
                <w:sz w:val="18"/>
                <w:szCs w:val="18"/>
              </w:rPr>
              <w:t>,</w:t>
            </w:r>
            <w:r w:rsidRPr="00A36623">
              <w:rPr>
                <w:sz w:val="18"/>
                <w:szCs w:val="18"/>
              </w:rPr>
              <w:t>151)</w:t>
            </w:r>
          </w:p>
        </w:tc>
        <w:tc>
          <w:tcPr>
            <w:tcW w:w="1176" w:type="dxa"/>
            <w:tcBorders>
              <w:top w:val="dotted" w:sz="4" w:space="0" w:color="auto"/>
              <w:left w:val="dotted" w:sz="4" w:space="0" w:color="auto"/>
              <w:bottom w:val="dotted" w:sz="4" w:space="0" w:color="auto"/>
              <w:right w:val="dotted" w:sz="4" w:space="0" w:color="auto"/>
            </w:tcBorders>
            <w:vAlign w:val="bottom"/>
          </w:tcPr>
          <w:p w14:paraId="0478F3C0" w14:textId="7198AAC5" w:rsidR="00991C34" w:rsidRPr="00692926" w:rsidRDefault="00991C34" w:rsidP="00991C34">
            <w:pPr>
              <w:jc w:val="right"/>
              <w:rPr>
                <w:color w:val="000000"/>
                <w:sz w:val="18"/>
                <w:szCs w:val="18"/>
              </w:rPr>
            </w:pPr>
            <w:r w:rsidRPr="00A36623">
              <w:rPr>
                <w:sz w:val="18"/>
                <w:szCs w:val="18"/>
              </w:rPr>
              <w:t>25</w:t>
            </w:r>
            <w:r>
              <w:rPr>
                <w:sz w:val="18"/>
                <w:szCs w:val="18"/>
              </w:rPr>
              <w:t>,</w:t>
            </w:r>
            <w:r w:rsidRPr="00A36623">
              <w:rPr>
                <w:sz w:val="18"/>
                <w:szCs w:val="18"/>
              </w:rPr>
              <w:t>112</w:t>
            </w:r>
          </w:p>
        </w:tc>
        <w:tc>
          <w:tcPr>
            <w:tcW w:w="106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14:paraId="2F2BC8EB" w14:textId="01B230AC" w:rsidR="00991C34" w:rsidRPr="00692926" w:rsidRDefault="00991C34" w:rsidP="00991C34">
            <w:pPr>
              <w:jc w:val="right"/>
              <w:rPr>
                <w:color w:val="000000"/>
                <w:sz w:val="18"/>
                <w:szCs w:val="18"/>
              </w:rPr>
            </w:pPr>
            <w:r w:rsidRPr="00A36623">
              <w:rPr>
                <w:sz w:val="18"/>
                <w:szCs w:val="18"/>
              </w:rPr>
              <w:t>986</w:t>
            </w:r>
            <w:r>
              <w:rPr>
                <w:sz w:val="18"/>
                <w:szCs w:val="18"/>
              </w:rPr>
              <w:t>,</w:t>
            </w:r>
            <w:r w:rsidRPr="00A36623">
              <w:rPr>
                <w:sz w:val="18"/>
                <w:szCs w:val="18"/>
              </w:rPr>
              <w:t>939</w:t>
            </w:r>
          </w:p>
        </w:tc>
        <w:tc>
          <w:tcPr>
            <w:tcW w:w="1260" w:type="dxa"/>
            <w:tcBorders>
              <w:top w:val="dotted" w:sz="4" w:space="0" w:color="auto"/>
              <w:left w:val="dotted" w:sz="4" w:space="0" w:color="auto"/>
              <w:bottom w:val="dotted" w:sz="4" w:space="0" w:color="auto"/>
              <w:right w:val="double" w:sz="4" w:space="0" w:color="auto"/>
            </w:tcBorders>
            <w:vAlign w:val="bottom"/>
          </w:tcPr>
          <w:p w14:paraId="3DC7B3BE" w14:textId="5DE711A8" w:rsidR="00991C34" w:rsidRPr="00692926" w:rsidRDefault="00991C34" w:rsidP="00991C34">
            <w:pPr>
              <w:jc w:val="right"/>
              <w:rPr>
                <w:color w:val="000000"/>
                <w:sz w:val="18"/>
                <w:szCs w:val="18"/>
              </w:rPr>
            </w:pPr>
            <w:r w:rsidRPr="00A36623">
              <w:rPr>
                <w:sz w:val="18"/>
                <w:szCs w:val="18"/>
              </w:rPr>
              <w:t>972</w:t>
            </w:r>
            <w:r>
              <w:rPr>
                <w:sz w:val="18"/>
                <w:szCs w:val="18"/>
              </w:rPr>
              <w:t>,</w:t>
            </w:r>
            <w:r w:rsidRPr="00A36623">
              <w:rPr>
                <w:sz w:val="18"/>
                <w:szCs w:val="18"/>
              </w:rPr>
              <w:t>900</w:t>
            </w:r>
          </w:p>
        </w:tc>
      </w:tr>
      <w:tr w:rsidR="00991C34" w:rsidRPr="00604C75" w14:paraId="6701B972" w14:textId="77777777" w:rsidTr="002A69DD">
        <w:trPr>
          <w:cantSplit/>
          <w:trHeight w:val="245"/>
        </w:trPr>
        <w:tc>
          <w:tcPr>
            <w:tcW w:w="4549" w:type="dxa"/>
            <w:tcBorders>
              <w:top w:val="dotted" w:sz="4" w:space="0" w:color="auto"/>
              <w:left w:val="double" w:sz="4" w:space="0" w:color="auto"/>
              <w:bottom w:val="double" w:sz="4" w:space="0" w:color="auto"/>
              <w:right w:val="dotted" w:sz="4" w:space="0" w:color="auto"/>
            </w:tcBorders>
            <w:noWrap/>
            <w:tcMar>
              <w:top w:w="15" w:type="dxa"/>
              <w:left w:w="15" w:type="dxa"/>
              <w:bottom w:w="0" w:type="dxa"/>
              <w:right w:w="15" w:type="dxa"/>
            </w:tcMar>
            <w:vAlign w:val="bottom"/>
          </w:tcPr>
          <w:p w14:paraId="1697A442" w14:textId="77777777" w:rsidR="00991C34" w:rsidRPr="00604C75" w:rsidRDefault="00991C34" w:rsidP="00991C34">
            <w:pPr>
              <w:rPr>
                <w:b/>
                <w:sz w:val="18"/>
              </w:rPr>
            </w:pPr>
            <w:r w:rsidRPr="00604C75">
              <w:rPr>
                <w:b/>
                <w:sz w:val="18"/>
              </w:rPr>
              <w:t>Total Liabilities</w:t>
            </w:r>
          </w:p>
        </w:tc>
        <w:tc>
          <w:tcPr>
            <w:tcW w:w="1217" w:type="dxa"/>
            <w:tcBorders>
              <w:top w:val="dotted" w:sz="4" w:space="0" w:color="auto"/>
              <w:left w:val="dotted" w:sz="4" w:space="0" w:color="auto"/>
              <w:bottom w:val="double" w:sz="4" w:space="0" w:color="auto"/>
              <w:right w:val="dotted" w:sz="4" w:space="0" w:color="auto"/>
            </w:tcBorders>
            <w:noWrap/>
            <w:tcMar>
              <w:top w:w="15" w:type="dxa"/>
              <w:left w:w="15" w:type="dxa"/>
              <w:bottom w:w="0" w:type="dxa"/>
              <w:right w:w="15" w:type="dxa"/>
            </w:tcMar>
            <w:vAlign w:val="bottom"/>
          </w:tcPr>
          <w:p w14:paraId="52852ADA" w14:textId="1EEFB745" w:rsidR="00991C34" w:rsidRPr="00692926" w:rsidRDefault="00991C34" w:rsidP="00991C34">
            <w:pPr>
              <w:jc w:val="right"/>
              <w:rPr>
                <w:b/>
                <w:bCs/>
                <w:color w:val="000000"/>
                <w:sz w:val="18"/>
                <w:szCs w:val="18"/>
              </w:rPr>
            </w:pPr>
            <w:r w:rsidRPr="00A36623">
              <w:rPr>
                <w:b/>
                <w:sz w:val="18"/>
                <w:szCs w:val="18"/>
              </w:rPr>
              <w:t>6</w:t>
            </w:r>
            <w:r>
              <w:rPr>
                <w:b/>
                <w:sz w:val="18"/>
                <w:szCs w:val="18"/>
              </w:rPr>
              <w:t>,</w:t>
            </w:r>
            <w:r w:rsidRPr="00A36623">
              <w:rPr>
                <w:b/>
                <w:sz w:val="18"/>
                <w:szCs w:val="18"/>
              </w:rPr>
              <w:t>245</w:t>
            </w:r>
            <w:r>
              <w:rPr>
                <w:b/>
                <w:sz w:val="18"/>
                <w:szCs w:val="18"/>
              </w:rPr>
              <w:t>,</w:t>
            </w:r>
            <w:r w:rsidRPr="00A36623">
              <w:rPr>
                <w:b/>
                <w:sz w:val="18"/>
                <w:szCs w:val="18"/>
              </w:rPr>
              <w:t>785</w:t>
            </w:r>
          </w:p>
        </w:tc>
        <w:tc>
          <w:tcPr>
            <w:tcW w:w="1176" w:type="dxa"/>
            <w:tcBorders>
              <w:top w:val="dotted" w:sz="4" w:space="0" w:color="auto"/>
              <w:left w:val="dotted" w:sz="4" w:space="0" w:color="auto"/>
              <w:bottom w:val="double" w:sz="4" w:space="0" w:color="auto"/>
              <w:right w:val="dotted" w:sz="4" w:space="0" w:color="auto"/>
            </w:tcBorders>
            <w:vAlign w:val="bottom"/>
          </w:tcPr>
          <w:p w14:paraId="59C9D3D9" w14:textId="2F308A6C" w:rsidR="00991C34" w:rsidRPr="00692926" w:rsidRDefault="00991C34" w:rsidP="00991C34">
            <w:pPr>
              <w:jc w:val="right"/>
              <w:rPr>
                <w:b/>
                <w:bCs/>
                <w:color w:val="000000"/>
                <w:sz w:val="18"/>
                <w:szCs w:val="18"/>
              </w:rPr>
            </w:pPr>
            <w:r w:rsidRPr="00A36623">
              <w:rPr>
                <w:b/>
                <w:sz w:val="18"/>
                <w:szCs w:val="18"/>
              </w:rPr>
              <w:t>2</w:t>
            </w:r>
            <w:r>
              <w:rPr>
                <w:b/>
                <w:sz w:val="18"/>
                <w:szCs w:val="18"/>
              </w:rPr>
              <w:t>,</w:t>
            </w:r>
            <w:r w:rsidRPr="00A36623">
              <w:rPr>
                <w:b/>
                <w:sz w:val="18"/>
                <w:szCs w:val="18"/>
              </w:rPr>
              <w:t>508</w:t>
            </w:r>
            <w:r>
              <w:rPr>
                <w:b/>
                <w:sz w:val="18"/>
                <w:szCs w:val="18"/>
              </w:rPr>
              <w:t>,</w:t>
            </w:r>
            <w:r w:rsidRPr="00A36623">
              <w:rPr>
                <w:b/>
                <w:sz w:val="18"/>
                <w:szCs w:val="18"/>
              </w:rPr>
              <w:t>990</w:t>
            </w:r>
          </w:p>
        </w:tc>
        <w:tc>
          <w:tcPr>
            <w:tcW w:w="1064" w:type="dxa"/>
            <w:tcBorders>
              <w:top w:val="dotted" w:sz="4" w:space="0" w:color="auto"/>
              <w:left w:val="dotted" w:sz="4" w:space="0" w:color="auto"/>
              <w:bottom w:val="double" w:sz="4" w:space="0" w:color="auto"/>
              <w:right w:val="dotted" w:sz="4" w:space="0" w:color="auto"/>
            </w:tcBorders>
            <w:noWrap/>
            <w:tcMar>
              <w:top w:w="15" w:type="dxa"/>
              <w:left w:w="15" w:type="dxa"/>
              <w:bottom w:w="0" w:type="dxa"/>
              <w:right w:w="15" w:type="dxa"/>
            </w:tcMar>
            <w:vAlign w:val="bottom"/>
          </w:tcPr>
          <w:p w14:paraId="2ED0FFD4" w14:textId="1BE7D57A" w:rsidR="00991C34" w:rsidRPr="00692926" w:rsidRDefault="00991C34" w:rsidP="00991C34">
            <w:pPr>
              <w:jc w:val="right"/>
              <w:rPr>
                <w:b/>
                <w:bCs/>
                <w:color w:val="000000"/>
                <w:sz w:val="18"/>
                <w:szCs w:val="18"/>
              </w:rPr>
            </w:pPr>
            <w:r w:rsidRPr="00A36623">
              <w:rPr>
                <w:b/>
                <w:sz w:val="18"/>
                <w:szCs w:val="18"/>
              </w:rPr>
              <w:t>2</w:t>
            </w:r>
            <w:r>
              <w:rPr>
                <w:b/>
                <w:sz w:val="18"/>
                <w:szCs w:val="18"/>
              </w:rPr>
              <w:t>,</w:t>
            </w:r>
            <w:r w:rsidRPr="00A36623">
              <w:rPr>
                <w:b/>
                <w:sz w:val="18"/>
                <w:szCs w:val="18"/>
              </w:rPr>
              <w:t>592</w:t>
            </w:r>
            <w:r>
              <w:rPr>
                <w:b/>
                <w:sz w:val="18"/>
                <w:szCs w:val="18"/>
              </w:rPr>
              <w:t>,</w:t>
            </w:r>
            <w:r w:rsidRPr="00A36623">
              <w:rPr>
                <w:b/>
                <w:sz w:val="18"/>
                <w:szCs w:val="18"/>
              </w:rPr>
              <w:t>892</w:t>
            </w:r>
          </w:p>
        </w:tc>
        <w:tc>
          <w:tcPr>
            <w:tcW w:w="1260" w:type="dxa"/>
            <w:tcBorders>
              <w:top w:val="dotted" w:sz="4" w:space="0" w:color="auto"/>
              <w:left w:val="dotted" w:sz="4" w:space="0" w:color="auto"/>
              <w:bottom w:val="double" w:sz="4" w:space="0" w:color="auto"/>
              <w:right w:val="double" w:sz="4" w:space="0" w:color="auto"/>
            </w:tcBorders>
            <w:vAlign w:val="bottom"/>
          </w:tcPr>
          <w:p w14:paraId="22F3333F" w14:textId="0A3DD810" w:rsidR="00991C34" w:rsidRPr="00692926" w:rsidRDefault="00991C34" w:rsidP="00991C34">
            <w:pPr>
              <w:jc w:val="right"/>
              <w:rPr>
                <w:b/>
                <w:bCs/>
                <w:color w:val="000000"/>
                <w:sz w:val="18"/>
                <w:szCs w:val="18"/>
              </w:rPr>
            </w:pPr>
            <w:r w:rsidRPr="00A36623">
              <w:rPr>
                <w:b/>
                <w:sz w:val="18"/>
                <w:szCs w:val="18"/>
              </w:rPr>
              <w:t>11</w:t>
            </w:r>
            <w:r>
              <w:rPr>
                <w:b/>
                <w:sz w:val="18"/>
                <w:szCs w:val="18"/>
              </w:rPr>
              <w:t>,</w:t>
            </w:r>
            <w:r w:rsidRPr="00A36623">
              <w:rPr>
                <w:b/>
                <w:sz w:val="18"/>
                <w:szCs w:val="18"/>
              </w:rPr>
              <w:t>347</w:t>
            </w:r>
            <w:r>
              <w:rPr>
                <w:b/>
                <w:sz w:val="18"/>
                <w:szCs w:val="18"/>
              </w:rPr>
              <w:t>,</w:t>
            </w:r>
            <w:r w:rsidRPr="00A36623">
              <w:rPr>
                <w:b/>
                <w:sz w:val="18"/>
                <w:szCs w:val="18"/>
              </w:rPr>
              <w:t>667</w:t>
            </w:r>
          </w:p>
        </w:tc>
      </w:tr>
    </w:tbl>
    <w:p w14:paraId="48344825" w14:textId="332D617B" w:rsidR="006A6954" w:rsidRPr="00604C75" w:rsidRDefault="00E90939" w:rsidP="00F6472E">
      <w:pPr>
        <w:spacing w:before="120" w:after="120"/>
        <w:jc w:val="center"/>
        <w:rPr>
          <w:noProof/>
          <w:lang w:val="tr-TR"/>
        </w:rPr>
      </w:pPr>
      <w:r w:rsidRPr="00604C75">
        <w:rPr>
          <w:iCs/>
          <w:sz w:val="20"/>
          <w:szCs w:val="20"/>
        </w:rPr>
        <w:br w:type="page"/>
      </w:r>
      <w:r w:rsidR="006A6954" w:rsidRPr="00604C75">
        <w:rPr>
          <w:b/>
          <w:noProof/>
          <w:sz w:val="20"/>
          <w:szCs w:val="20"/>
          <w:lang w:val="tr-TR"/>
        </w:rPr>
        <w:lastRenderedPageBreak/>
        <w:t>SECTION FOUR</w:t>
      </w:r>
    </w:p>
    <w:p w14:paraId="18C08557" w14:textId="52417A67" w:rsidR="006A6954" w:rsidRPr="00604C75" w:rsidRDefault="00613F85" w:rsidP="00490153">
      <w:pPr>
        <w:pStyle w:val="NormalIndent"/>
        <w:widowControl w:val="0"/>
        <w:spacing w:before="120"/>
        <w:ind w:left="0" w:right="2"/>
        <w:jc w:val="center"/>
        <w:rPr>
          <w:b/>
          <w:noProof/>
          <w:lang w:val="tr-TR"/>
        </w:rPr>
      </w:pPr>
      <w:r w:rsidRPr="00604C75">
        <w:rPr>
          <w:b/>
          <w:bCs/>
          <w:noProof/>
          <w:lang w:val="tr-TR"/>
        </w:rPr>
        <w:t xml:space="preserve">INORMATION </w:t>
      </w:r>
      <w:r w:rsidR="00A041CD">
        <w:rPr>
          <w:b/>
          <w:bCs/>
          <w:noProof/>
          <w:lang w:val="tr-TR"/>
        </w:rPr>
        <w:t>ON THE</w:t>
      </w:r>
      <w:r w:rsidR="006A6954" w:rsidRPr="00604C75">
        <w:rPr>
          <w:b/>
          <w:bCs/>
          <w:noProof/>
          <w:lang w:val="tr-TR"/>
        </w:rPr>
        <w:t xml:space="preserve"> FINANCIAL POSITION OF THE </w:t>
      </w:r>
      <w:r w:rsidR="004C1213" w:rsidRPr="00604C75">
        <w:rPr>
          <w:b/>
          <w:bCs/>
          <w:noProof/>
          <w:lang w:val="tr-TR"/>
        </w:rPr>
        <w:t>GROUP</w:t>
      </w:r>
    </w:p>
    <w:p w14:paraId="14E1C9FF" w14:textId="77777777" w:rsidR="006A6954" w:rsidRPr="00604C75" w:rsidRDefault="00613F85" w:rsidP="00023E18">
      <w:pPr>
        <w:pStyle w:val="Heading2"/>
        <w:widowControl w:val="0"/>
        <w:numPr>
          <w:ilvl w:val="0"/>
          <w:numId w:val="9"/>
        </w:numPr>
        <w:tabs>
          <w:tab w:val="clear" w:pos="1080"/>
        </w:tabs>
        <w:ind w:left="742" w:right="2" w:hanging="714"/>
        <w:jc w:val="both"/>
        <w:rPr>
          <w:rFonts w:ascii="Times New Roman" w:hAnsi="Times New Roman"/>
          <w:noProof/>
          <w:sz w:val="20"/>
          <w:lang w:val="tr-TR"/>
        </w:rPr>
      </w:pPr>
      <w:bookmarkStart w:id="12" w:name="_Toc198789893"/>
      <w:bookmarkStart w:id="13" w:name="_Toc198789831"/>
      <w:r w:rsidRPr="00604C75">
        <w:rPr>
          <w:rFonts w:ascii="Times New Roman" w:hAnsi="Times New Roman"/>
          <w:noProof/>
          <w:sz w:val="20"/>
          <w:lang w:val="tr-TR"/>
        </w:rPr>
        <w:t>Information on Capital Adequacy Ratio</w:t>
      </w:r>
      <w:bookmarkEnd w:id="12"/>
      <w:bookmarkEnd w:id="13"/>
    </w:p>
    <w:p w14:paraId="1CC6715E" w14:textId="77777777" w:rsidR="006A6954" w:rsidRPr="00604C75" w:rsidRDefault="006A6954" w:rsidP="00490153">
      <w:pPr>
        <w:pStyle w:val="ListParagraph"/>
        <w:widowControl w:val="0"/>
        <w:spacing w:before="120"/>
        <w:ind w:left="0" w:right="2"/>
        <w:jc w:val="both"/>
        <w:rPr>
          <w:sz w:val="20"/>
          <w:szCs w:val="20"/>
          <w:lang w:val="tr-TR"/>
        </w:rPr>
      </w:pPr>
      <w:r w:rsidRPr="00195EDC">
        <w:rPr>
          <w:noProof/>
          <w:sz w:val="20"/>
          <w:szCs w:val="20"/>
          <w:lang w:val="tr-TR"/>
        </w:rPr>
        <w:t xml:space="preserve">The </w:t>
      </w:r>
      <w:r w:rsidR="007845DE" w:rsidRPr="00195EDC">
        <w:rPr>
          <w:noProof/>
          <w:sz w:val="20"/>
          <w:szCs w:val="20"/>
          <w:lang w:val="tr-TR"/>
        </w:rPr>
        <w:t xml:space="preserve">standard rate of the </w:t>
      </w:r>
      <w:r w:rsidRPr="00195EDC">
        <w:rPr>
          <w:noProof/>
          <w:sz w:val="20"/>
          <w:szCs w:val="20"/>
          <w:lang w:val="tr-TR"/>
        </w:rPr>
        <w:t xml:space="preserve">capital adequacy of the </w:t>
      </w:r>
      <w:r w:rsidR="000E4AF4" w:rsidRPr="00195EDC">
        <w:rPr>
          <w:noProof/>
          <w:sz w:val="20"/>
          <w:szCs w:val="20"/>
          <w:lang w:val="tr-TR"/>
        </w:rPr>
        <w:t>Group</w:t>
      </w:r>
      <w:r w:rsidRPr="00195EDC">
        <w:rPr>
          <w:noProof/>
          <w:sz w:val="20"/>
          <w:szCs w:val="20"/>
          <w:lang w:val="tr-TR"/>
        </w:rPr>
        <w:t xml:space="preserve"> is </w:t>
      </w:r>
      <w:r w:rsidR="00EB22B4" w:rsidRPr="00195EDC">
        <w:rPr>
          <w:noProof/>
          <w:sz w:val="20"/>
          <w:szCs w:val="20"/>
          <w:lang w:val="tr-TR"/>
        </w:rPr>
        <w:t>14.16</w:t>
      </w:r>
      <w:r w:rsidRPr="00195EDC">
        <w:rPr>
          <w:noProof/>
          <w:sz w:val="20"/>
          <w:szCs w:val="20"/>
          <w:lang w:val="tr-TR"/>
        </w:rPr>
        <w:t xml:space="preserve">% </w:t>
      </w:r>
      <w:r w:rsidRPr="00195EDC">
        <w:rPr>
          <w:sz w:val="20"/>
          <w:szCs w:val="20"/>
        </w:rPr>
        <w:t>(</w:t>
      </w:r>
      <w:r w:rsidR="005D4647" w:rsidRPr="00195EDC">
        <w:rPr>
          <w:sz w:val="20"/>
          <w:szCs w:val="20"/>
        </w:rPr>
        <w:t xml:space="preserve">31 December </w:t>
      </w:r>
      <w:r w:rsidRPr="00195EDC">
        <w:rPr>
          <w:sz w:val="20"/>
          <w:szCs w:val="20"/>
        </w:rPr>
        <w:t>201</w:t>
      </w:r>
      <w:r w:rsidR="00735ECD" w:rsidRPr="00195EDC">
        <w:rPr>
          <w:sz w:val="20"/>
          <w:szCs w:val="20"/>
        </w:rPr>
        <w:t>4</w:t>
      </w:r>
      <w:r w:rsidRPr="00195EDC">
        <w:rPr>
          <w:sz w:val="20"/>
          <w:szCs w:val="20"/>
        </w:rPr>
        <w:t xml:space="preserve">: </w:t>
      </w:r>
      <w:r w:rsidR="00735ECD" w:rsidRPr="00195EDC">
        <w:rPr>
          <w:sz w:val="20"/>
          <w:szCs w:val="20"/>
        </w:rPr>
        <w:t>13.83</w:t>
      </w:r>
      <w:r w:rsidR="00E95044" w:rsidRPr="00195EDC">
        <w:rPr>
          <w:sz w:val="20"/>
          <w:szCs w:val="20"/>
        </w:rPr>
        <w:t>%</w:t>
      </w:r>
      <w:r w:rsidRPr="00195EDC">
        <w:rPr>
          <w:sz w:val="20"/>
          <w:szCs w:val="20"/>
        </w:rPr>
        <w:t>)</w:t>
      </w:r>
      <w:r w:rsidR="00334424" w:rsidRPr="00195EDC">
        <w:rPr>
          <w:noProof/>
          <w:sz w:val="20"/>
          <w:szCs w:val="20"/>
          <w:lang w:val="tr-TR"/>
        </w:rPr>
        <w:t>.</w:t>
      </w:r>
    </w:p>
    <w:p w14:paraId="593BC3E7" w14:textId="77777777" w:rsidR="00403BE2" w:rsidRPr="00604C75" w:rsidRDefault="006A6954" w:rsidP="00490153">
      <w:pPr>
        <w:pStyle w:val="BodyTextIndent"/>
        <w:widowControl w:val="0"/>
        <w:spacing w:before="120" w:after="0"/>
        <w:ind w:left="0" w:right="2"/>
        <w:jc w:val="both"/>
        <w:rPr>
          <w:noProof/>
          <w:sz w:val="20"/>
          <w:szCs w:val="20"/>
          <w:lang w:val="tr-TR"/>
        </w:rPr>
      </w:pPr>
      <w:r w:rsidRPr="00604C75">
        <w:rPr>
          <w:iCs/>
          <w:sz w:val="20"/>
          <w:szCs w:val="20"/>
        </w:rPr>
        <w:t xml:space="preserve">The </w:t>
      </w:r>
      <w:r w:rsidR="007845DE" w:rsidRPr="00604C75">
        <w:rPr>
          <w:iCs/>
          <w:sz w:val="20"/>
          <w:szCs w:val="20"/>
        </w:rPr>
        <w:t xml:space="preserve">calculation of the standard rate of the </w:t>
      </w:r>
      <w:r w:rsidRPr="00604C75">
        <w:rPr>
          <w:iCs/>
          <w:sz w:val="20"/>
          <w:szCs w:val="20"/>
        </w:rPr>
        <w:t xml:space="preserve">capital adequacy is </w:t>
      </w:r>
      <w:r w:rsidR="007845DE" w:rsidRPr="00604C75">
        <w:rPr>
          <w:iCs/>
          <w:sz w:val="20"/>
          <w:szCs w:val="20"/>
        </w:rPr>
        <w:t>made within framework of the “Regulation on the Measurement and Assessment of the Capital Adequacy of Banks (Regulation)”,</w:t>
      </w:r>
      <w:r w:rsidR="00BB12A3">
        <w:rPr>
          <w:iCs/>
          <w:sz w:val="20"/>
          <w:szCs w:val="20"/>
        </w:rPr>
        <w:t xml:space="preserve"> </w:t>
      </w:r>
      <w:r w:rsidR="00BB12A3" w:rsidRPr="00AF1C1D">
        <w:rPr>
          <w:iCs/>
          <w:sz w:val="20"/>
          <w:szCs w:val="20"/>
        </w:rPr>
        <w:t xml:space="preserve">which </w:t>
      </w:r>
      <w:r w:rsidR="008C1382">
        <w:rPr>
          <w:iCs/>
          <w:sz w:val="20"/>
          <w:szCs w:val="20"/>
        </w:rPr>
        <w:t>was</w:t>
      </w:r>
      <w:r w:rsidR="008C1382" w:rsidRPr="00AF1C1D">
        <w:rPr>
          <w:iCs/>
          <w:sz w:val="20"/>
          <w:szCs w:val="20"/>
        </w:rPr>
        <w:t xml:space="preserve"> </w:t>
      </w:r>
      <w:r w:rsidR="00BB12A3" w:rsidRPr="00AF1C1D">
        <w:rPr>
          <w:iCs/>
          <w:sz w:val="20"/>
          <w:szCs w:val="20"/>
        </w:rPr>
        <w:t>published in Official Gazette No.2</w:t>
      </w:r>
      <w:r w:rsidR="00BB12A3">
        <w:rPr>
          <w:iCs/>
          <w:sz w:val="20"/>
          <w:szCs w:val="20"/>
        </w:rPr>
        <w:t>9111</w:t>
      </w:r>
      <w:r w:rsidR="00BB12A3" w:rsidRPr="00AF1C1D">
        <w:rPr>
          <w:iCs/>
          <w:sz w:val="20"/>
          <w:szCs w:val="20"/>
        </w:rPr>
        <w:t xml:space="preserve"> dated </w:t>
      </w:r>
      <w:r w:rsidR="00BB12A3">
        <w:rPr>
          <w:iCs/>
          <w:sz w:val="20"/>
          <w:szCs w:val="20"/>
        </w:rPr>
        <w:t>6</w:t>
      </w:r>
      <w:r w:rsidR="00BB12A3" w:rsidRPr="00AF1C1D">
        <w:rPr>
          <w:iCs/>
          <w:sz w:val="20"/>
          <w:szCs w:val="20"/>
        </w:rPr>
        <w:t xml:space="preserve"> </w:t>
      </w:r>
      <w:r w:rsidR="00BB12A3">
        <w:rPr>
          <w:iCs/>
          <w:sz w:val="20"/>
          <w:szCs w:val="20"/>
        </w:rPr>
        <w:t>September</w:t>
      </w:r>
      <w:r w:rsidR="00BB12A3" w:rsidRPr="00AF1C1D">
        <w:rPr>
          <w:iCs/>
          <w:sz w:val="20"/>
          <w:szCs w:val="20"/>
        </w:rPr>
        <w:t xml:space="preserve"> 201</w:t>
      </w:r>
      <w:r w:rsidR="00BB12A3">
        <w:rPr>
          <w:iCs/>
          <w:sz w:val="20"/>
          <w:szCs w:val="20"/>
        </w:rPr>
        <w:t>4.</w:t>
      </w:r>
    </w:p>
    <w:p w14:paraId="64D76276" w14:textId="77777777" w:rsidR="007845DE" w:rsidRPr="00604C75" w:rsidRDefault="007845DE" w:rsidP="00490153">
      <w:pPr>
        <w:pStyle w:val="BodyTextIndent"/>
        <w:widowControl w:val="0"/>
        <w:spacing w:before="120" w:after="0" w:line="120" w:lineRule="auto"/>
        <w:ind w:left="0"/>
        <w:jc w:val="both"/>
        <w:rPr>
          <w:noProof/>
          <w:sz w:val="20"/>
          <w:szCs w:val="20"/>
          <w:lang w:val="tr-TR"/>
        </w:rPr>
      </w:pPr>
    </w:p>
    <w:p w14:paraId="35E93823" w14:textId="77777777" w:rsidR="008E33C5" w:rsidRPr="00604C75" w:rsidRDefault="00735ECD" w:rsidP="00490153">
      <w:pPr>
        <w:pStyle w:val="BodyTextIndent"/>
        <w:widowControl w:val="0"/>
        <w:spacing w:before="120" w:after="0"/>
        <w:ind w:left="0" w:right="2"/>
        <w:jc w:val="both"/>
        <w:rPr>
          <w:b/>
          <w:noProof/>
          <w:sz w:val="20"/>
          <w:szCs w:val="20"/>
          <w:lang w:val="tr-TR"/>
        </w:rPr>
      </w:pPr>
      <w:r w:rsidRPr="00604C75">
        <w:rPr>
          <w:b/>
          <w:noProof/>
          <w:sz w:val="20"/>
          <w:szCs w:val="20"/>
          <w:lang w:val="tr-TR"/>
        </w:rPr>
        <w:t xml:space="preserve">               </w:t>
      </w:r>
      <w:r w:rsidR="00403BE2" w:rsidRPr="00604C75">
        <w:rPr>
          <w:b/>
          <w:noProof/>
          <w:sz w:val="20"/>
          <w:szCs w:val="20"/>
          <w:lang w:val="tr-TR"/>
        </w:rPr>
        <w:t>Information rela</w:t>
      </w:r>
      <w:r w:rsidRPr="00604C75">
        <w:rPr>
          <w:b/>
          <w:noProof/>
          <w:sz w:val="20"/>
          <w:szCs w:val="20"/>
          <w:lang w:val="tr-TR"/>
        </w:rPr>
        <w:t>ted to capital adequacy ratio</w:t>
      </w:r>
    </w:p>
    <w:p w14:paraId="4F1B6670" w14:textId="77777777" w:rsidR="00735ECD" w:rsidRPr="00604C75" w:rsidRDefault="00735ECD" w:rsidP="00735ECD">
      <w:pPr>
        <w:pStyle w:val="BodyTextIndent"/>
        <w:widowControl w:val="0"/>
        <w:spacing w:after="0"/>
        <w:ind w:left="0" w:right="2"/>
        <w:jc w:val="both"/>
        <w:rPr>
          <w:b/>
          <w:noProof/>
          <w:sz w:val="20"/>
          <w:szCs w:val="20"/>
          <w:lang w:val="tr-TR"/>
        </w:rPr>
      </w:pPr>
    </w:p>
    <w:tbl>
      <w:tblPr>
        <w:tblW w:w="1013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590"/>
        <w:gridCol w:w="868"/>
        <w:gridCol w:w="616"/>
        <w:gridCol w:w="784"/>
        <w:gridCol w:w="864"/>
        <w:gridCol w:w="856"/>
        <w:gridCol w:w="856"/>
        <w:gridCol w:w="656"/>
        <w:gridCol w:w="736"/>
        <w:gridCol w:w="616"/>
        <w:gridCol w:w="696"/>
      </w:tblGrid>
      <w:tr w:rsidR="00E5554B" w:rsidRPr="00604C75" w14:paraId="21022819" w14:textId="77777777" w:rsidTr="00735ECD">
        <w:trPr>
          <w:trHeight w:hRule="exact" w:val="282"/>
        </w:trPr>
        <w:tc>
          <w:tcPr>
            <w:tcW w:w="2590" w:type="dxa"/>
            <w:vMerge w:val="restart"/>
            <w:shd w:val="clear" w:color="auto" w:fill="auto"/>
            <w:vAlign w:val="center"/>
            <w:hideMark/>
          </w:tcPr>
          <w:p w14:paraId="6935BAB7" w14:textId="77777777" w:rsidR="00E5554B" w:rsidRPr="00604C75" w:rsidRDefault="00E5554B" w:rsidP="00735ECD">
            <w:pPr>
              <w:jc w:val="both"/>
              <w:rPr>
                <w:bCs/>
                <w:color w:val="000000"/>
                <w:sz w:val="16"/>
                <w:szCs w:val="16"/>
              </w:rPr>
            </w:pPr>
            <w:r w:rsidRPr="00604C75">
              <w:rPr>
                <w:bCs/>
                <w:color w:val="000000"/>
                <w:sz w:val="16"/>
                <w:szCs w:val="16"/>
                <w:lang w:val="tr-TR"/>
              </w:rPr>
              <w:t>  </w:t>
            </w:r>
          </w:p>
        </w:tc>
        <w:tc>
          <w:tcPr>
            <w:tcW w:w="868" w:type="dxa"/>
            <w:shd w:val="clear" w:color="auto" w:fill="auto"/>
            <w:vAlign w:val="center"/>
            <w:hideMark/>
          </w:tcPr>
          <w:p w14:paraId="4D48EB20" w14:textId="77777777" w:rsidR="00E5554B" w:rsidRPr="00604C75" w:rsidRDefault="00E5554B" w:rsidP="00735ECD">
            <w:pPr>
              <w:jc w:val="center"/>
              <w:rPr>
                <w:b/>
                <w:bCs/>
                <w:color w:val="000000"/>
                <w:sz w:val="16"/>
                <w:szCs w:val="16"/>
              </w:rPr>
            </w:pPr>
            <w:r w:rsidRPr="00604C75">
              <w:rPr>
                <w:b/>
                <w:bCs/>
                <w:color w:val="000000"/>
                <w:sz w:val="16"/>
                <w:szCs w:val="16"/>
                <w:lang w:val="tr-TR"/>
              </w:rPr>
              <w:t> </w:t>
            </w:r>
          </w:p>
        </w:tc>
        <w:tc>
          <w:tcPr>
            <w:tcW w:w="616" w:type="dxa"/>
            <w:shd w:val="clear" w:color="auto" w:fill="auto"/>
            <w:vAlign w:val="center"/>
            <w:hideMark/>
          </w:tcPr>
          <w:p w14:paraId="01711301" w14:textId="77777777" w:rsidR="00E5554B" w:rsidRPr="00604C75" w:rsidRDefault="00E5554B" w:rsidP="00735ECD">
            <w:pPr>
              <w:jc w:val="center"/>
              <w:rPr>
                <w:b/>
                <w:bCs/>
                <w:color w:val="000000"/>
                <w:sz w:val="16"/>
                <w:szCs w:val="16"/>
              </w:rPr>
            </w:pPr>
            <w:r w:rsidRPr="00604C75">
              <w:rPr>
                <w:b/>
                <w:bCs/>
                <w:color w:val="000000"/>
                <w:sz w:val="16"/>
                <w:szCs w:val="16"/>
                <w:lang w:val="tr-TR"/>
              </w:rPr>
              <w:t> </w:t>
            </w:r>
          </w:p>
        </w:tc>
        <w:tc>
          <w:tcPr>
            <w:tcW w:w="6064" w:type="dxa"/>
            <w:gridSpan w:val="8"/>
            <w:shd w:val="clear" w:color="auto" w:fill="auto"/>
            <w:vAlign w:val="center"/>
            <w:hideMark/>
          </w:tcPr>
          <w:p w14:paraId="69F2C1D0" w14:textId="77777777" w:rsidR="00E5554B" w:rsidRPr="00604C75" w:rsidRDefault="00E5554B" w:rsidP="00735ECD">
            <w:pPr>
              <w:jc w:val="center"/>
              <w:rPr>
                <w:b/>
                <w:bCs/>
                <w:color w:val="000000"/>
                <w:sz w:val="16"/>
                <w:szCs w:val="16"/>
              </w:rPr>
            </w:pPr>
            <w:r w:rsidRPr="00604C75">
              <w:rPr>
                <w:b/>
                <w:bCs/>
                <w:color w:val="000000"/>
                <w:sz w:val="16"/>
                <w:szCs w:val="16"/>
                <w:lang w:val="tr-TR"/>
              </w:rPr>
              <w:t>Risk Weights</w:t>
            </w:r>
          </w:p>
        </w:tc>
      </w:tr>
      <w:tr w:rsidR="00E5554B" w:rsidRPr="00604C75" w14:paraId="57A4DA7C" w14:textId="77777777" w:rsidTr="00735ECD">
        <w:trPr>
          <w:trHeight w:val="282"/>
        </w:trPr>
        <w:tc>
          <w:tcPr>
            <w:tcW w:w="2590" w:type="dxa"/>
            <w:vMerge/>
            <w:vAlign w:val="center"/>
            <w:hideMark/>
          </w:tcPr>
          <w:p w14:paraId="6AC91CB9" w14:textId="77777777" w:rsidR="00E5554B" w:rsidRPr="00604C75" w:rsidRDefault="00E5554B" w:rsidP="00735ECD">
            <w:pPr>
              <w:rPr>
                <w:bCs/>
                <w:color w:val="000000"/>
                <w:sz w:val="16"/>
                <w:szCs w:val="16"/>
              </w:rPr>
            </w:pPr>
          </w:p>
        </w:tc>
        <w:tc>
          <w:tcPr>
            <w:tcW w:w="868" w:type="dxa"/>
            <w:shd w:val="clear" w:color="auto" w:fill="auto"/>
            <w:vAlign w:val="center"/>
            <w:hideMark/>
          </w:tcPr>
          <w:p w14:paraId="405FD6A6" w14:textId="77777777" w:rsidR="00E5554B" w:rsidRPr="00604C75" w:rsidRDefault="00E5554B" w:rsidP="00735ECD">
            <w:pPr>
              <w:jc w:val="center"/>
              <w:rPr>
                <w:b/>
                <w:bCs/>
                <w:color w:val="000000"/>
                <w:sz w:val="16"/>
                <w:szCs w:val="16"/>
              </w:rPr>
            </w:pPr>
          </w:p>
        </w:tc>
        <w:tc>
          <w:tcPr>
            <w:tcW w:w="616" w:type="dxa"/>
            <w:shd w:val="clear" w:color="auto" w:fill="auto"/>
            <w:vAlign w:val="center"/>
            <w:hideMark/>
          </w:tcPr>
          <w:p w14:paraId="37BA7872" w14:textId="77777777" w:rsidR="00E5554B" w:rsidRPr="00604C75" w:rsidRDefault="00E5554B" w:rsidP="00735ECD">
            <w:pPr>
              <w:jc w:val="center"/>
              <w:rPr>
                <w:sz w:val="16"/>
                <w:szCs w:val="16"/>
              </w:rPr>
            </w:pPr>
          </w:p>
        </w:tc>
        <w:tc>
          <w:tcPr>
            <w:tcW w:w="6064" w:type="dxa"/>
            <w:gridSpan w:val="8"/>
            <w:shd w:val="clear" w:color="auto" w:fill="auto"/>
            <w:vAlign w:val="center"/>
            <w:hideMark/>
          </w:tcPr>
          <w:p w14:paraId="07AB749A" w14:textId="77777777" w:rsidR="00E5554B" w:rsidRPr="00604C75" w:rsidRDefault="00E5554B" w:rsidP="00735ECD">
            <w:pPr>
              <w:jc w:val="center"/>
              <w:rPr>
                <w:b/>
                <w:bCs/>
                <w:color w:val="000000"/>
                <w:sz w:val="16"/>
                <w:szCs w:val="16"/>
              </w:rPr>
            </w:pPr>
            <w:r w:rsidRPr="00604C75">
              <w:rPr>
                <w:rFonts w:eastAsia="Arial Unicode MS"/>
                <w:b/>
                <w:bCs/>
                <w:color w:val="000000"/>
                <w:sz w:val="16"/>
                <w:szCs w:val="16"/>
                <w:lang w:val="tr-TR"/>
              </w:rPr>
              <w:t>The Parent Bank</w:t>
            </w:r>
          </w:p>
        </w:tc>
      </w:tr>
      <w:tr w:rsidR="00FB00D5" w:rsidRPr="00604C75" w14:paraId="1A704C61" w14:textId="77777777" w:rsidTr="00735ECD">
        <w:trPr>
          <w:trHeight w:val="282"/>
        </w:trPr>
        <w:tc>
          <w:tcPr>
            <w:tcW w:w="2590" w:type="dxa"/>
            <w:vMerge/>
            <w:vAlign w:val="center"/>
            <w:hideMark/>
          </w:tcPr>
          <w:p w14:paraId="6A5EBD22" w14:textId="77777777" w:rsidR="00E5554B" w:rsidRPr="00604C75" w:rsidRDefault="00E5554B" w:rsidP="00735ECD">
            <w:pPr>
              <w:rPr>
                <w:bCs/>
                <w:color w:val="000000"/>
                <w:sz w:val="16"/>
                <w:szCs w:val="16"/>
              </w:rPr>
            </w:pPr>
          </w:p>
        </w:tc>
        <w:tc>
          <w:tcPr>
            <w:tcW w:w="868" w:type="dxa"/>
            <w:shd w:val="clear" w:color="auto" w:fill="auto"/>
            <w:vAlign w:val="bottom"/>
            <w:hideMark/>
          </w:tcPr>
          <w:p w14:paraId="4F8AA561" w14:textId="77777777" w:rsidR="00E5554B" w:rsidRPr="00604C75" w:rsidRDefault="00E5554B" w:rsidP="00735ECD">
            <w:pPr>
              <w:jc w:val="right"/>
              <w:rPr>
                <w:b/>
                <w:bCs/>
                <w:color w:val="000000"/>
                <w:sz w:val="16"/>
                <w:szCs w:val="16"/>
              </w:rPr>
            </w:pPr>
            <w:r w:rsidRPr="00604C75">
              <w:rPr>
                <w:b/>
                <w:bCs/>
                <w:color w:val="000000"/>
                <w:sz w:val="16"/>
                <w:szCs w:val="16"/>
                <w:lang w:val="tr-TR"/>
              </w:rPr>
              <w:t>0%</w:t>
            </w:r>
          </w:p>
        </w:tc>
        <w:tc>
          <w:tcPr>
            <w:tcW w:w="616" w:type="dxa"/>
            <w:shd w:val="clear" w:color="auto" w:fill="auto"/>
            <w:vAlign w:val="bottom"/>
            <w:hideMark/>
          </w:tcPr>
          <w:p w14:paraId="14F766E3" w14:textId="77777777" w:rsidR="00E5554B" w:rsidRPr="00604C75" w:rsidRDefault="00E5554B" w:rsidP="00735ECD">
            <w:pPr>
              <w:jc w:val="right"/>
              <w:rPr>
                <w:b/>
                <w:bCs/>
                <w:color w:val="000000"/>
                <w:sz w:val="16"/>
                <w:szCs w:val="16"/>
              </w:rPr>
            </w:pPr>
            <w:r w:rsidRPr="00604C75">
              <w:rPr>
                <w:b/>
                <w:bCs/>
                <w:color w:val="000000"/>
                <w:sz w:val="16"/>
                <w:szCs w:val="16"/>
                <w:lang w:val="tr-TR"/>
              </w:rPr>
              <w:t>10%</w:t>
            </w:r>
          </w:p>
        </w:tc>
        <w:tc>
          <w:tcPr>
            <w:tcW w:w="784" w:type="dxa"/>
            <w:shd w:val="clear" w:color="auto" w:fill="auto"/>
            <w:vAlign w:val="bottom"/>
            <w:hideMark/>
          </w:tcPr>
          <w:p w14:paraId="7232D479" w14:textId="77777777" w:rsidR="00E5554B" w:rsidRPr="00604C75" w:rsidRDefault="00E5554B" w:rsidP="00735ECD">
            <w:pPr>
              <w:jc w:val="right"/>
              <w:rPr>
                <w:b/>
                <w:bCs/>
                <w:color w:val="000000"/>
                <w:sz w:val="16"/>
                <w:szCs w:val="16"/>
              </w:rPr>
            </w:pPr>
            <w:r w:rsidRPr="00604C75">
              <w:rPr>
                <w:b/>
                <w:bCs/>
                <w:color w:val="000000"/>
                <w:sz w:val="16"/>
                <w:szCs w:val="16"/>
                <w:lang w:val="tr-TR"/>
              </w:rPr>
              <w:t>20%</w:t>
            </w:r>
          </w:p>
        </w:tc>
        <w:tc>
          <w:tcPr>
            <w:tcW w:w="864" w:type="dxa"/>
            <w:shd w:val="clear" w:color="auto" w:fill="auto"/>
            <w:vAlign w:val="bottom"/>
            <w:hideMark/>
          </w:tcPr>
          <w:p w14:paraId="230E2723" w14:textId="77777777" w:rsidR="00E5554B" w:rsidRPr="00604C75" w:rsidRDefault="00E5554B" w:rsidP="00735ECD">
            <w:pPr>
              <w:jc w:val="right"/>
              <w:rPr>
                <w:b/>
                <w:bCs/>
                <w:color w:val="000000"/>
                <w:sz w:val="16"/>
                <w:szCs w:val="16"/>
              </w:rPr>
            </w:pPr>
            <w:r w:rsidRPr="00604C75">
              <w:rPr>
                <w:b/>
                <w:bCs/>
                <w:color w:val="000000"/>
                <w:sz w:val="16"/>
                <w:szCs w:val="16"/>
                <w:lang w:val="tr-TR"/>
              </w:rPr>
              <w:t>50%</w:t>
            </w:r>
          </w:p>
        </w:tc>
        <w:tc>
          <w:tcPr>
            <w:tcW w:w="856" w:type="dxa"/>
            <w:shd w:val="clear" w:color="auto" w:fill="auto"/>
            <w:vAlign w:val="bottom"/>
            <w:hideMark/>
          </w:tcPr>
          <w:p w14:paraId="710022E2" w14:textId="77777777" w:rsidR="00E5554B" w:rsidRPr="00604C75" w:rsidRDefault="00E5554B" w:rsidP="00735ECD">
            <w:pPr>
              <w:jc w:val="right"/>
              <w:rPr>
                <w:b/>
                <w:bCs/>
                <w:color w:val="000000"/>
                <w:sz w:val="16"/>
                <w:szCs w:val="16"/>
              </w:rPr>
            </w:pPr>
            <w:r w:rsidRPr="00604C75">
              <w:rPr>
                <w:b/>
                <w:bCs/>
                <w:color w:val="000000"/>
                <w:sz w:val="16"/>
                <w:szCs w:val="16"/>
                <w:lang w:val="tr-TR"/>
              </w:rPr>
              <w:t>75%</w:t>
            </w:r>
          </w:p>
        </w:tc>
        <w:tc>
          <w:tcPr>
            <w:tcW w:w="856" w:type="dxa"/>
            <w:shd w:val="clear" w:color="auto" w:fill="auto"/>
            <w:vAlign w:val="bottom"/>
            <w:hideMark/>
          </w:tcPr>
          <w:p w14:paraId="2D4728A5" w14:textId="77777777" w:rsidR="00E5554B" w:rsidRPr="00604C75" w:rsidRDefault="00E5554B" w:rsidP="00735ECD">
            <w:pPr>
              <w:jc w:val="right"/>
              <w:rPr>
                <w:b/>
                <w:bCs/>
                <w:color w:val="000000"/>
                <w:sz w:val="16"/>
                <w:szCs w:val="16"/>
              </w:rPr>
            </w:pPr>
            <w:r w:rsidRPr="00604C75">
              <w:rPr>
                <w:b/>
                <w:bCs/>
                <w:color w:val="000000"/>
                <w:sz w:val="16"/>
                <w:szCs w:val="16"/>
                <w:lang w:val="tr-TR"/>
              </w:rPr>
              <w:t>100%</w:t>
            </w:r>
          </w:p>
        </w:tc>
        <w:tc>
          <w:tcPr>
            <w:tcW w:w="656" w:type="dxa"/>
            <w:shd w:val="clear" w:color="auto" w:fill="auto"/>
            <w:vAlign w:val="bottom"/>
            <w:hideMark/>
          </w:tcPr>
          <w:p w14:paraId="1DEF1530" w14:textId="77777777" w:rsidR="00E5554B" w:rsidRPr="00604C75" w:rsidRDefault="00E5554B" w:rsidP="00735ECD">
            <w:pPr>
              <w:jc w:val="right"/>
              <w:rPr>
                <w:b/>
                <w:bCs/>
                <w:color w:val="000000"/>
                <w:sz w:val="16"/>
                <w:szCs w:val="16"/>
              </w:rPr>
            </w:pPr>
            <w:r w:rsidRPr="00604C75">
              <w:rPr>
                <w:b/>
                <w:bCs/>
                <w:color w:val="000000"/>
                <w:sz w:val="16"/>
                <w:szCs w:val="16"/>
                <w:lang w:val="tr-TR"/>
              </w:rPr>
              <w:t>150%</w:t>
            </w:r>
          </w:p>
        </w:tc>
        <w:tc>
          <w:tcPr>
            <w:tcW w:w="736" w:type="dxa"/>
            <w:shd w:val="clear" w:color="auto" w:fill="auto"/>
            <w:vAlign w:val="bottom"/>
            <w:hideMark/>
          </w:tcPr>
          <w:p w14:paraId="780CA4B5" w14:textId="77777777" w:rsidR="00E5554B" w:rsidRPr="00604C75" w:rsidRDefault="00E5554B" w:rsidP="00735ECD">
            <w:pPr>
              <w:jc w:val="right"/>
              <w:rPr>
                <w:b/>
                <w:bCs/>
                <w:color w:val="000000"/>
                <w:sz w:val="16"/>
                <w:szCs w:val="16"/>
              </w:rPr>
            </w:pPr>
            <w:r w:rsidRPr="00604C75">
              <w:rPr>
                <w:rFonts w:eastAsia="Arial Unicode MS"/>
                <w:b/>
                <w:bCs/>
                <w:color w:val="000000"/>
                <w:sz w:val="16"/>
                <w:szCs w:val="16"/>
                <w:lang w:val="tr-TR"/>
              </w:rPr>
              <w:t>200%</w:t>
            </w:r>
          </w:p>
        </w:tc>
        <w:tc>
          <w:tcPr>
            <w:tcW w:w="616" w:type="dxa"/>
            <w:shd w:val="clear" w:color="auto" w:fill="auto"/>
            <w:vAlign w:val="bottom"/>
            <w:hideMark/>
          </w:tcPr>
          <w:p w14:paraId="18179E88" w14:textId="77777777" w:rsidR="00E5554B" w:rsidRPr="00604C75" w:rsidRDefault="00E5554B" w:rsidP="00735ECD">
            <w:pPr>
              <w:jc w:val="right"/>
              <w:rPr>
                <w:b/>
                <w:bCs/>
                <w:color w:val="000000"/>
                <w:sz w:val="16"/>
                <w:szCs w:val="16"/>
              </w:rPr>
            </w:pPr>
            <w:r w:rsidRPr="00604C75">
              <w:rPr>
                <w:rFonts w:eastAsia="Arial Unicode MS"/>
                <w:b/>
                <w:bCs/>
                <w:color w:val="000000"/>
                <w:sz w:val="16"/>
                <w:szCs w:val="16"/>
                <w:lang w:val="tr-TR"/>
              </w:rPr>
              <w:t>250%</w:t>
            </w:r>
          </w:p>
        </w:tc>
        <w:tc>
          <w:tcPr>
            <w:tcW w:w="696" w:type="dxa"/>
            <w:shd w:val="clear" w:color="auto" w:fill="auto"/>
            <w:vAlign w:val="bottom"/>
            <w:hideMark/>
          </w:tcPr>
          <w:p w14:paraId="5D2974BD" w14:textId="77777777" w:rsidR="00E5554B" w:rsidRPr="00604C75" w:rsidRDefault="00E5554B" w:rsidP="00735ECD">
            <w:pPr>
              <w:jc w:val="right"/>
              <w:rPr>
                <w:b/>
                <w:bCs/>
                <w:color w:val="000000"/>
                <w:sz w:val="16"/>
                <w:szCs w:val="16"/>
              </w:rPr>
            </w:pPr>
            <w:r w:rsidRPr="00604C75">
              <w:rPr>
                <w:rFonts w:eastAsia="Arial Unicode MS"/>
                <w:b/>
                <w:bCs/>
                <w:color w:val="000000"/>
                <w:sz w:val="16"/>
                <w:szCs w:val="16"/>
                <w:lang w:val="tr-TR"/>
              </w:rPr>
              <w:t>1250%</w:t>
            </w:r>
          </w:p>
        </w:tc>
      </w:tr>
      <w:tr w:rsidR="00224102" w:rsidRPr="00604C75" w14:paraId="42F46A0F" w14:textId="77777777" w:rsidTr="00D75635">
        <w:trPr>
          <w:trHeight w:hRule="exact" w:val="282"/>
        </w:trPr>
        <w:tc>
          <w:tcPr>
            <w:tcW w:w="2590" w:type="dxa"/>
            <w:shd w:val="clear" w:color="auto" w:fill="auto"/>
            <w:vAlign w:val="center"/>
            <w:hideMark/>
          </w:tcPr>
          <w:p w14:paraId="612EF748" w14:textId="77777777" w:rsidR="00224102" w:rsidRPr="00604C75" w:rsidRDefault="00224102" w:rsidP="00224102">
            <w:pPr>
              <w:ind w:firstLineChars="8" w:firstLine="13"/>
              <w:rPr>
                <w:b/>
                <w:color w:val="000000"/>
                <w:sz w:val="16"/>
                <w:szCs w:val="16"/>
              </w:rPr>
            </w:pPr>
            <w:r w:rsidRPr="00604C75">
              <w:rPr>
                <w:b/>
                <w:color w:val="000000"/>
                <w:sz w:val="16"/>
                <w:szCs w:val="16"/>
              </w:rPr>
              <w:t>Value at Credit Risk</w:t>
            </w:r>
          </w:p>
        </w:tc>
        <w:tc>
          <w:tcPr>
            <w:tcW w:w="868" w:type="dxa"/>
            <w:shd w:val="clear" w:color="auto" w:fill="auto"/>
            <w:vAlign w:val="bottom"/>
          </w:tcPr>
          <w:p w14:paraId="61D18163" w14:textId="272071FA" w:rsidR="00224102" w:rsidRPr="00452C0C" w:rsidRDefault="00224102" w:rsidP="00224102">
            <w:pPr>
              <w:jc w:val="right"/>
              <w:rPr>
                <w:b/>
                <w:bCs/>
                <w:color w:val="000000"/>
                <w:sz w:val="16"/>
                <w:szCs w:val="16"/>
              </w:rPr>
            </w:pPr>
            <w:r>
              <w:rPr>
                <w:b/>
                <w:bCs/>
                <w:color w:val="000000"/>
                <w:sz w:val="16"/>
                <w:szCs w:val="16"/>
              </w:rPr>
              <w:t>1,975,312</w:t>
            </w:r>
          </w:p>
        </w:tc>
        <w:tc>
          <w:tcPr>
            <w:tcW w:w="616" w:type="dxa"/>
            <w:shd w:val="clear" w:color="auto" w:fill="auto"/>
            <w:vAlign w:val="bottom"/>
          </w:tcPr>
          <w:p w14:paraId="3D5D92F3" w14:textId="6C085289" w:rsidR="00224102" w:rsidRPr="00452C0C" w:rsidRDefault="00224102" w:rsidP="00224102">
            <w:pPr>
              <w:jc w:val="right"/>
              <w:rPr>
                <w:b/>
                <w:bCs/>
                <w:color w:val="000000"/>
                <w:sz w:val="16"/>
                <w:szCs w:val="16"/>
              </w:rPr>
            </w:pPr>
            <w:r>
              <w:rPr>
                <w:b/>
                <w:bCs/>
                <w:color w:val="000000"/>
                <w:sz w:val="16"/>
                <w:szCs w:val="16"/>
              </w:rPr>
              <w:t>-</w:t>
            </w:r>
          </w:p>
        </w:tc>
        <w:tc>
          <w:tcPr>
            <w:tcW w:w="784" w:type="dxa"/>
            <w:shd w:val="clear" w:color="auto" w:fill="auto"/>
            <w:vAlign w:val="bottom"/>
          </w:tcPr>
          <w:p w14:paraId="49DB41E7" w14:textId="115ABECD" w:rsidR="00224102" w:rsidRPr="00452C0C" w:rsidRDefault="00224102" w:rsidP="00224102">
            <w:pPr>
              <w:jc w:val="right"/>
              <w:rPr>
                <w:b/>
                <w:bCs/>
                <w:color w:val="000000"/>
                <w:sz w:val="16"/>
                <w:szCs w:val="16"/>
              </w:rPr>
            </w:pPr>
            <w:r>
              <w:rPr>
                <w:b/>
                <w:bCs/>
                <w:color w:val="000000"/>
                <w:sz w:val="16"/>
                <w:szCs w:val="16"/>
              </w:rPr>
              <w:t>688,454</w:t>
            </w:r>
          </w:p>
        </w:tc>
        <w:tc>
          <w:tcPr>
            <w:tcW w:w="864" w:type="dxa"/>
            <w:shd w:val="clear" w:color="auto" w:fill="auto"/>
            <w:vAlign w:val="bottom"/>
          </w:tcPr>
          <w:p w14:paraId="7B7C1BA6" w14:textId="4AA67CBC" w:rsidR="00224102" w:rsidRPr="00452C0C" w:rsidRDefault="00224102" w:rsidP="00224102">
            <w:pPr>
              <w:jc w:val="right"/>
              <w:rPr>
                <w:b/>
                <w:bCs/>
                <w:color w:val="000000"/>
                <w:sz w:val="16"/>
                <w:szCs w:val="16"/>
              </w:rPr>
            </w:pPr>
            <w:r>
              <w:rPr>
                <w:b/>
                <w:bCs/>
                <w:color w:val="000000"/>
                <w:sz w:val="16"/>
                <w:szCs w:val="16"/>
              </w:rPr>
              <w:t>3,961,400</w:t>
            </w:r>
          </w:p>
        </w:tc>
        <w:tc>
          <w:tcPr>
            <w:tcW w:w="856" w:type="dxa"/>
            <w:shd w:val="clear" w:color="auto" w:fill="auto"/>
            <w:vAlign w:val="bottom"/>
          </w:tcPr>
          <w:p w14:paraId="633D9C40" w14:textId="1C905E53" w:rsidR="00224102" w:rsidRPr="00452C0C" w:rsidRDefault="00224102" w:rsidP="00224102">
            <w:pPr>
              <w:jc w:val="right"/>
              <w:rPr>
                <w:b/>
                <w:bCs/>
                <w:color w:val="000000"/>
                <w:sz w:val="16"/>
                <w:szCs w:val="16"/>
              </w:rPr>
            </w:pPr>
            <w:r>
              <w:rPr>
                <w:b/>
                <w:bCs/>
                <w:color w:val="000000"/>
                <w:sz w:val="16"/>
                <w:szCs w:val="16"/>
              </w:rPr>
              <w:t>1,360,584</w:t>
            </w:r>
          </w:p>
        </w:tc>
        <w:tc>
          <w:tcPr>
            <w:tcW w:w="856" w:type="dxa"/>
            <w:shd w:val="clear" w:color="auto" w:fill="auto"/>
            <w:vAlign w:val="bottom"/>
          </w:tcPr>
          <w:p w14:paraId="4DA02149" w14:textId="5720CA27" w:rsidR="00224102" w:rsidRPr="00452C0C" w:rsidRDefault="00224102" w:rsidP="00224102">
            <w:pPr>
              <w:jc w:val="right"/>
              <w:rPr>
                <w:b/>
                <w:bCs/>
                <w:color w:val="000000"/>
                <w:sz w:val="16"/>
                <w:szCs w:val="16"/>
              </w:rPr>
            </w:pPr>
            <w:r>
              <w:rPr>
                <w:b/>
                <w:bCs/>
                <w:color w:val="000000"/>
                <w:sz w:val="16"/>
                <w:szCs w:val="16"/>
              </w:rPr>
              <w:t>6,717,902</w:t>
            </w:r>
          </w:p>
        </w:tc>
        <w:tc>
          <w:tcPr>
            <w:tcW w:w="656" w:type="dxa"/>
            <w:shd w:val="clear" w:color="auto" w:fill="auto"/>
            <w:vAlign w:val="bottom"/>
          </w:tcPr>
          <w:p w14:paraId="1329C5CA" w14:textId="0E9F7A50" w:rsidR="00224102" w:rsidRPr="00452C0C" w:rsidRDefault="00224102" w:rsidP="00224102">
            <w:pPr>
              <w:jc w:val="right"/>
              <w:rPr>
                <w:b/>
                <w:bCs/>
                <w:color w:val="000000"/>
                <w:sz w:val="16"/>
                <w:szCs w:val="16"/>
              </w:rPr>
            </w:pPr>
            <w:r>
              <w:rPr>
                <w:b/>
                <w:bCs/>
                <w:color w:val="000000"/>
                <w:sz w:val="16"/>
                <w:szCs w:val="16"/>
              </w:rPr>
              <w:t>51,677</w:t>
            </w:r>
          </w:p>
        </w:tc>
        <w:tc>
          <w:tcPr>
            <w:tcW w:w="736" w:type="dxa"/>
            <w:shd w:val="clear" w:color="auto" w:fill="auto"/>
            <w:vAlign w:val="bottom"/>
          </w:tcPr>
          <w:p w14:paraId="449588CF" w14:textId="59B64E7F" w:rsidR="00224102" w:rsidRPr="00452C0C" w:rsidRDefault="00224102" w:rsidP="00224102">
            <w:pPr>
              <w:jc w:val="right"/>
              <w:rPr>
                <w:b/>
                <w:bCs/>
                <w:color w:val="000000"/>
                <w:sz w:val="16"/>
                <w:szCs w:val="16"/>
              </w:rPr>
            </w:pPr>
            <w:r>
              <w:rPr>
                <w:b/>
                <w:bCs/>
                <w:color w:val="000000"/>
                <w:sz w:val="16"/>
                <w:szCs w:val="16"/>
              </w:rPr>
              <w:t>31,386</w:t>
            </w:r>
          </w:p>
        </w:tc>
        <w:tc>
          <w:tcPr>
            <w:tcW w:w="616" w:type="dxa"/>
            <w:shd w:val="clear" w:color="auto" w:fill="auto"/>
            <w:vAlign w:val="bottom"/>
          </w:tcPr>
          <w:p w14:paraId="37AE5068" w14:textId="6BE8F7DA" w:rsidR="00224102" w:rsidRPr="00452C0C" w:rsidRDefault="00224102" w:rsidP="00224102">
            <w:pPr>
              <w:jc w:val="right"/>
              <w:rPr>
                <w:b/>
                <w:bCs/>
                <w:color w:val="000000"/>
                <w:sz w:val="16"/>
                <w:szCs w:val="16"/>
              </w:rPr>
            </w:pPr>
            <w:r>
              <w:rPr>
                <w:b/>
                <w:bCs/>
                <w:color w:val="000000"/>
                <w:sz w:val="16"/>
                <w:szCs w:val="16"/>
              </w:rPr>
              <w:t>-</w:t>
            </w:r>
          </w:p>
        </w:tc>
        <w:tc>
          <w:tcPr>
            <w:tcW w:w="696" w:type="dxa"/>
            <w:shd w:val="clear" w:color="auto" w:fill="auto"/>
            <w:vAlign w:val="bottom"/>
          </w:tcPr>
          <w:p w14:paraId="354F6C24" w14:textId="3F71D5CF" w:rsidR="00224102" w:rsidRPr="00452C0C" w:rsidRDefault="00224102" w:rsidP="00224102">
            <w:pPr>
              <w:jc w:val="right"/>
              <w:rPr>
                <w:b/>
                <w:bCs/>
                <w:color w:val="000000"/>
                <w:sz w:val="16"/>
                <w:szCs w:val="16"/>
              </w:rPr>
            </w:pPr>
            <w:r>
              <w:rPr>
                <w:b/>
                <w:bCs/>
                <w:color w:val="000000"/>
                <w:sz w:val="16"/>
                <w:szCs w:val="16"/>
              </w:rPr>
              <w:t>-</w:t>
            </w:r>
          </w:p>
        </w:tc>
      </w:tr>
      <w:tr w:rsidR="00224102" w:rsidRPr="00604C75" w14:paraId="38064BB9" w14:textId="77777777" w:rsidTr="00D75635">
        <w:trPr>
          <w:trHeight w:hRule="exact" w:val="269"/>
        </w:trPr>
        <w:tc>
          <w:tcPr>
            <w:tcW w:w="2590" w:type="dxa"/>
            <w:shd w:val="clear" w:color="auto" w:fill="auto"/>
            <w:vAlign w:val="center"/>
            <w:hideMark/>
          </w:tcPr>
          <w:p w14:paraId="35959824" w14:textId="77777777" w:rsidR="00224102" w:rsidRPr="00604C75" w:rsidRDefault="00224102" w:rsidP="00224102">
            <w:pPr>
              <w:ind w:firstLineChars="8" w:firstLine="13"/>
              <w:rPr>
                <w:b/>
                <w:color w:val="000000"/>
                <w:sz w:val="16"/>
                <w:szCs w:val="16"/>
              </w:rPr>
            </w:pPr>
            <w:r w:rsidRPr="00604C75">
              <w:rPr>
                <w:b/>
                <w:snapToGrid w:val="0"/>
                <w:sz w:val="16"/>
                <w:szCs w:val="16"/>
              </w:rPr>
              <w:t>Risk Groups</w:t>
            </w:r>
          </w:p>
        </w:tc>
        <w:tc>
          <w:tcPr>
            <w:tcW w:w="868" w:type="dxa"/>
            <w:shd w:val="clear" w:color="auto" w:fill="auto"/>
            <w:vAlign w:val="bottom"/>
          </w:tcPr>
          <w:p w14:paraId="46FA7CFC" w14:textId="77777777" w:rsidR="00224102" w:rsidRPr="00452C0C" w:rsidRDefault="00224102" w:rsidP="00224102">
            <w:pPr>
              <w:jc w:val="right"/>
              <w:rPr>
                <w:color w:val="000000"/>
                <w:sz w:val="16"/>
                <w:szCs w:val="16"/>
              </w:rPr>
            </w:pPr>
          </w:p>
        </w:tc>
        <w:tc>
          <w:tcPr>
            <w:tcW w:w="616" w:type="dxa"/>
            <w:shd w:val="clear" w:color="auto" w:fill="auto"/>
            <w:vAlign w:val="bottom"/>
          </w:tcPr>
          <w:p w14:paraId="1299BC92" w14:textId="77777777" w:rsidR="00224102" w:rsidRPr="00452C0C" w:rsidRDefault="00224102" w:rsidP="00224102">
            <w:pPr>
              <w:jc w:val="right"/>
              <w:rPr>
                <w:color w:val="000000"/>
                <w:sz w:val="16"/>
                <w:szCs w:val="16"/>
              </w:rPr>
            </w:pPr>
          </w:p>
        </w:tc>
        <w:tc>
          <w:tcPr>
            <w:tcW w:w="784" w:type="dxa"/>
            <w:shd w:val="clear" w:color="auto" w:fill="auto"/>
            <w:vAlign w:val="bottom"/>
          </w:tcPr>
          <w:p w14:paraId="2EE3EB88" w14:textId="77777777" w:rsidR="00224102" w:rsidRPr="00452C0C" w:rsidRDefault="00224102" w:rsidP="00224102">
            <w:pPr>
              <w:jc w:val="right"/>
              <w:rPr>
                <w:color w:val="000000"/>
                <w:sz w:val="16"/>
                <w:szCs w:val="16"/>
              </w:rPr>
            </w:pPr>
          </w:p>
        </w:tc>
        <w:tc>
          <w:tcPr>
            <w:tcW w:w="864" w:type="dxa"/>
            <w:shd w:val="clear" w:color="auto" w:fill="auto"/>
            <w:vAlign w:val="bottom"/>
          </w:tcPr>
          <w:p w14:paraId="78CF869C" w14:textId="77777777" w:rsidR="00224102" w:rsidRPr="00452C0C" w:rsidRDefault="00224102" w:rsidP="00224102">
            <w:pPr>
              <w:jc w:val="right"/>
              <w:rPr>
                <w:color w:val="000000"/>
                <w:sz w:val="16"/>
                <w:szCs w:val="16"/>
                <w:highlight w:val="green"/>
              </w:rPr>
            </w:pPr>
          </w:p>
        </w:tc>
        <w:tc>
          <w:tcPr>
            <w:tcW w:w="856" w:type="dxa"/>
            <w:shd w:val="clear" w:color="auto" w:fill="auto"/>
            <w:vAlign w:val="bottom"/>
          </w:tcPr>
          <w:p w14:paraId="4C6C1671" w14:textId="77777777" w:rsidR="00224102" w:rsidRPr="00452C0C" w:rsidRDefault="00224102" w:rsidP="00224102">
            <w:pPr>
              <w:jc w:val="right"/>
              <w:rPr>
                <w:color w:val="000000"/>
                <w:sz w:val="16"/>
                <w:szCs w:val="16"/>
              </w:rPr>
            </w:pPr>
          </w:p>
        </w:tc>
        <w:tc>
          <w:tcPr>
            <w:tcW w:w="856" w:type="dxa"/>
            <w:shd w:val="clear" w:color="auto" w:fill="auto"/>
            <w:vAlign w:val="bottom"/>
          </w:tcPr>
          <w:p w14:paraId="69A5CBFC" w14:textId="77777777" w:rsidR="00224102" w:rsidRPr="00452C0C" w:rsidRDefault="00224102" w:rsidP="00224102">
            <w:pPr>
              <w:jc w:val="right"/>
              <w:rPr>
                <w:color w:val="000000"/>
                <w:sz w:val="16"/>
                <w:szCs w:val="16"/>
              </w:rPr>
            </w:pPr>
          </w:p>
        </w:tc>
        <w:tc>
          <w:tcPr>
            <w:tcW w:w="656" w:type="dxa"/>
            <w:shd w:val="clear" w:color="auto" w:fill="auto"/>
            <w:vAlign w:val="bottom"/>
          </w:tcPr>
          <w:p w14:paraId="188F61B5" w14:textId="77777777" w:rsidR="00224102" w:rsidRPr="00452C0C" w:rsidRDefault="00224102" w:rsidP="00224102">
            <w:pPr>
              <w:jc w:val="right"/>
              <w:rPr>
                <w:color w:val="000000"/>
                <w:sz w:val="16"/>
                <w:szCs w:val="16"/>
              </w:rPr>
            </w:pPr>
          </w:p>
        </w:tc>
        <w:tc>
          <w:tcPr>
            <w:tcW w:w="736" w:type="dxa"/>
            <w:shd w:val="clear" w:color="auto" w:fill="auto"/>
            <w:vAlign w:val="bottom"/>
          </w:tcPr>
          <w:p w14:paraId="4FA42A74" w14:textId="77777777" w:rsidR="00224102" w:rsidRPr="00452C0C" w:rsidRDefault="00224102" w:rsidP="00224102">
            <w:pPr>
              <w:jc w:val="right"/>
              <w:rPr>
                <w:color w:val="000000"/>
                <w:sz w:val="16"/>
                <w:szCs w:val="16"/>
              </w:rPr>
            </w:pPr>
          </w:p>
        </w:tc>
        <w:tc>
          <w:tcPr>
            <w:tcW w:w="616" w:type="dxa"/>
            <w:shd w:val="clear" w:color="auto" w:fill="auto"/>
            <w:vAlign w:val="bottom"/>
          </w:tcPr>
          <w:p w14:paraId="67FD8BD7" w14:textId="77777777" w:rsidR="00224102" w:rsidRPr="00452C0C" w:rsidRDefault="00224102" w:rsidP="00224102">
            <w:pPr>
              <w:jc w:val="right"/>
              <w:rPr>
                <w:color w:val="000000"/>
                <w:sz w:val="16"/>
                <w:szCs w:val="16"/>
              </w:rPr>
            </w:pPr>
          </w:p>
        </w:tc>
        <w:tc>
          <w:tcPr>
            <w:tcW w:w="696" w:type="dxa"/>
            <w:shd w:val="clear" w:color="auto" w:fill="auto"/>
            <w:vAlign w:val="bottom"/>
          </w:tcPr>
          <w:p w14:paraId="04EA9FEF" w14:textId="77777777" w:rsidR="00224102" w:rsidRPr="00452C0C" w:rsidRDefault="00224102" w:rsidP="00224102">
            <w:pPr>
              <w:jc w:val="right"/>
              <w:rPr>
                <w:color w:val="000000"/>
                <w:sz w:val="16"/>
                <w:szCs w:val="16"/>
              </w:rPr>
            </w:pPr>
          </w:p>
        </w:tc>
      </w:tr>
      <w:tr w:rsidR="00224102" w:rsidRPr="00604C75" w14:paraId="41A06A5B" w14:textId="77777777" w:rsidTr="00D75635">
        <w:trPr>
          <w:trHeight w:val="404"/>
        </w:trPr>
        <w:tc>
          <w:tcPr>
            <w:tcW w:w="2590" w:type="dxa"/>
            <w:shd w:val="clear" w:color="auto" w:fill="auto"/>
            <w:vAlign w:val="bottom"/>
            <w:hideMark/>
          </w:tcPr>
          <w:p w14:paraId="6493BF03" w14:textId="77777777" w:rsidR="00224102" w:rsidRPr="00604C75" w:rsidRDefault="00224102" w:rsidP="00224102">
            <w:pPr>
              <w:rPr>
                <w:rFonts w:eastAsia="Arial Unicode MS"/>
                <w:sz w:val="14"/>
                <w:szCs w:val="14"/>
              </w:rPr>
            </w:pPr>
          </w:p>
          <w:p w14:paraId="1313C8E2" w14:textId="77777777" w:rsidR="00224102" w:rsidRPr="00604C75" w:rsidRDefault="00224102" w:rsidP="00224102">
            <w:pPr>
              <w:ind w:firstLineChars="1" w:firstLine="1"/>
              <w:rPr>
                <w:color w:val="000000"/>
                <w:sz w:val="14"/>
                <w:szCs w:val="14"/>
              </w:rPr>
            </w:pPr>
            <w:r w:rsidRPr="00604C75">
              <w:rPr>
                <w:color w:val="000000"/>
                <w:sz w:val="14"/>
                <w:szCs w:val="14"/>
              </w:rPr>
              <w:t>Contingent and Non-Contingent      Receivables from Central Governments or Central Banks</w:t>
            </w:r>
            <w:r w:rsidRPr="00604C75" w:rsidDel="006D7232">
              <w:rPr>
                <w:rFonts w:eastAsia="Arial Unicode MS"/>
                <w:sz w:val="14"/>
                <w:szCs w:val="14"/>
              </w:rPr>
              <w:t xml:space="preserve"> </w:t>
            </w:r>
          </w:p>
        </w:tc>
        <w:tc>
          <w:tcPr>
            <w:tcW w:w="868" w:type="dxa"/>
            <w:shd w:val="clear" w:color="auto" w:fill="auto"/>
            <w:vAlign w:val="bottom"/>
          </w:tcPr>
          <w:p w14:paraId="790E4410" w14:textId="40274EEC" w:rsidR="00224102" w:rsidRPr="00452C0C" w:rsidRDefault="00224102" w:rsidP="00224102">
            <w:pPr>
              <w:jc w:val="right"/>
              <w:rPr>
                <w:color w:val="000000"/>
                <w:sz w:val="16"/>
                <w:szCs w:val="16"/>
              </w:rPr>
            </w:pPr>
            <w:r w:rsidRPr="00E46F2D">
              <w:rPr>
                <w:color w:val="000000"/>
                <w:sz w:val="16"/>
                <w:szCs w:val="16"/>
              </w:rPr>
              <w:t>1,821,604</w:t>
            </w:r>
          </w:p>
        </w:tc>
        <w:tc>
          <w:tcPr>
            <w:tcW w:w="616" w:type="dxa"/>
            <w:shd w:val="clear" w:color="auto" w:fill="auto"/>
            <w:vAlign w:val="bottom"/>
          </w:tcPr>
          <w:p w14:paraId="33562255" w14:textId="36E48D5D"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0A6FEEEC" w14:textId="7444BCAF"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032D97A0" w14:textId="17A9B4C9" w:rsidR="00224102" w:rsidRPr="00452C0C" w:rsidRDefault="00224102" w:rsidP="00224102">
            <w:pPr>
              <w:jc w:val="right"/>
              <w:rPr>
                <w:color w:val="000000"/>
                <w:sz w:val="16"/>
                <w:szCs w:val="16"/>
              </w:rPr>
            </w:pPr>
            <w:r w:rsidRPr="00E46F2D">
              <w:rPr>
                <w:color w:val="000000"/>
                <w:sz w:val="16"/>
                <w:szCs w:val="16"/>
              </w:rPr>
              <w:t>323,090</w:t>
            </w:r>
          </w:p>
        </w:tc>
        <w:tc>
          <w:tcPr>
            <w:tcW w:w="856" w:type="dxa"/>
            <w:shd w:val="clear" w:color="auto" w:fill="auto"/>
            <w:vAlign w:val="bottom"/>
          </w:tcPr>
          <w:p w14:paraId="071E77F8" w14:textId="7EBA5AC8"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36ED2A55" w14:textId="12404F92"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437DC30E" w14:textId="59177D83"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4AB0C5E1" w14:textId="565BFC54"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7AA421C0" w14:textId="789B59EE" w:rsidR="00224102" w:rsidRPr="00452C0C" w:rsidRDefault="00224102" w:rsidP="00224102">
            <w:pPr>
              <w:jc w:val="right"/>
              <w:rPr>
                <w:color w:val="000000"/>
                <w:sz w:val="16"/>
                <w:szCs w:val="16"/>
              </w:rPr>
            </w:pPr>
            <w:r w:rsidRPr="00E46F2D">
              <w:rPr>
                <w:color w:val="000000"/>
                <w:sz w:val="16"/>
                <w:szCs w:val="16"/>
              </w:rPr>
              <w:t>- </w:t>
            </w:r>
          </w:p>
        </w:tc>
        <w:tc>
          <w:tcPr>
            <w:tcW w:w="696" w:type="dxa"/>
            <w:shd w:val="clear" w:color="auto" w:fill="auto"/>
            <w:vAlign w:val="bottom"/>
          </w:tcPr>
          <w:p w14:paraId="05AFBADD" w14:textId="7D5F3E47"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250176C4" w14:textId="77777777" w:rsidTr="00D75635">
        <w:trPr>
          <w:trHeight w:val="404"/>
        </w:trPr>
        <w:tc>
          <w:tcPr>
            <w:tcW w:w="2590" w:type="dxa"/>
            <w:shd w:val="clear" w:color="auto" w:fill="auto"/>
            <w:vAlign w:val="bottom"/>
            <w:hideMark/>
          </w:tcPr>
          <w:p w14:paraId="421CF622" w14:textId="77777777" w:rsidR="00224102" w:rsidRPr="00604C75" w:rsidRDefault="00224102" w:rsidP="00224102">
            <w:pPr>
              <w:ind w:firstLineChars="1" w:firstLine="1"/>
              <w:rPr>
                <w:color w:val="000000"/>
                <w:sz w:val="14"/>
                <w:szCs w:val="14"/>
              </w:rPr>
            </w:pPr>
            <w:r w:rsidRPr="00604C75">
              <w:rPr>
                <w:color w:val="000000"/>
                <w:sz w:val="14"/>
                <w:szCs w:val="14"/>
              </w:rPr>
              <w:t>Contingent and Non-Contingent Receivables from Regional Government or Domestic Government</w:t>
            </w:r>
            <w:r w:rsidRPr="00604C75" w:rsidDel="006D7232">
              <w:rPr>
                <w:sz w:val="14"/>
                <w:szCs w:val="14"/>
              </w:rPr>
              <w:t xml:space="preserve"> </w:t>
            </w:r>
          </w:p>
        </w:tc>
        <w:tc>
          <w:tcPr>
            <w:tcW w:w="868" w:type="dxa"/>
            <w:shd w:val="clear" w:color="auto" w:fill="auto"/>
            <w:vAlign w:val="bottom"/>
          </w:tcPr>
          <w:p w14:paraId="6C1B3E5B" w14:textId="79211B04"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6C341840" w14:textId="243E2C44"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25933E5F" w14:textId="0B070E2A"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1CCC8460" w14:textId="15F909F0"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6CFF23C0" w14:textId="0B778941"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130B6487" w14:textId="3CB6CC37"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371C588C" w14:textId="68C4D106"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557DD3F7" w14:textId="7E0D34AF"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57399427" w14:textId="505CD91F" w:rsidR="00224102" w:rsidRPr="00452C0C" w:rsidRDefault="00224102" w:rsidP="00224102">
            <w:pPr>
              <w:jc w:val="right"/>
              <w:rPr>
                <w:color w:val="000000"/>
                <w:sz w:val="16"/>
                <w:szCs w:val="16"/>
              </w:rPr>
            </w:pPr>
            <w:r w:rsidRPr="00E46F2D">
              <w:rPr>
                <w:color w:val="000000"/>
                <w:sz w:val="16"/>
                <w:szCs w:val="16"/>
              </w:rPr>
              <w:t> -</w:t>
            </w:r>
          </w:p>
        </w:tc>
        <w:tc>
          <w:tcPr>
            <w:tcW w:w="696" w:type="dxa"/>
            <w:shd w:val="clear" w:color="auto" w:fill="auto"/>
            <w:vAlign w:val="bottom"/>
          </w:tcPr>
          <w:p w14:paraId="56F58BCF" w14:textId="18FBF19B"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78E961D6" w14:textId="77777777" w:rsidTr="00D75635">
        <w:trPr>
          <w:trHeight w:val="606"/>
        </w:trPr>
        <w:tc>
          <w:tcPr>
            <w:tcW w:w="2590" w:type="dxa"/>
            <w:shd w:val="clear" w:color="auto" w:fill="auto"/>
            <w:vAlign w:val="bottom"/>
            <w:hideMark/>
          </w:tcPr>
          <w:p w14:paraId="44360CA1" w14:textId="77777777" w:rsidR="00224102" w:rsidRPr="00604C75" w:rsidRDefault="00224102" w:rsidP="00224102">
            <w:pPr>
              <w:ind w:firstLineChars="1" w:firstLine="1"/>
              <w:rPr>
                <w:color w:val="000000"/>
                <w:sz w:val="14"/>
                <w:szCs w:val="14"/>
              </w:rPr>
            </w:pPr>
            <w:r w:rsidRPr="00604C75">
              <w:rPr>
                <w:color w:val="000000"/>
                <w:sz w:val="14"/>
                <w:szCs w:val="14"/>
              </w:rPr>
              <w:t>Contingent and Non-Contingent Receivables from Administrative Units and Non-Commercial Enterprises</w:t>
            </w:r>
          </w:p>
        </w:tc>
        <w:tc>
          <w:tcPr>
            <w:tcW w:w="868" w:type="dxa"/>
            <w:shd w:val="clear" w:color="auto" w:fill="auto"/>
            <w:vAlign w:val="bottom"/>
          </w:tcPr>
          <w:p w14:paraId="688F44A4" w14:textId="3D0BC132"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5B4944B5" w14:textId="122CCE0C"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24DDBAA2" w14:textId="20BCEDDB"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694D9B63" w14:textId="436A39FA"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614F0A31" w14:textId="57B47FF3"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3046E2DA" w14:textId="2F18F293" w:rsidR="00224102" w:rsidRPr="00452C0C" w:rsidRDefault="00224102" w:rsidP="00224102">
            <w:pPr>
              <w:jc w:val="right"/>
              <w:rPr>
                <w:color w:val="000000"/>
                <w:sz w:val="16"/>
                <w:szCs w:val="16"/>
              </w:rPr>
            </w:pPr>
            <w:r w:rsidRPr="00E46F2D">
              <w:rPr>
                <w:color w:val="000000"/>
                <w:sz w:val="16"/>
                <w:szCs w:val="16"/>
              </w:rPr>
              <w:t>1,310</w:t>
            </w:r>
          </w:p>
        </w:tc>
        <w:tc>
          <w:tcPr>
            <w:tcW w:w="656" w:type="dxa"/>
            <w:shd w:val="clear" w:color="auto" w:fill="auto"/>
            <w:vAlign w:val="bottom"/>
          </w:tcPr>
          <w:p w14:paraId="2A799200" w14:textId="1708FF77"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14E2C472" w14:textId="7BD62CFD"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5A9716F7" w14:textId="366155C5"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7158DB7E" w14:textId="3AD65DD4"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1557CD33" w14:textId="77777777" w:rsidTr="00D75635">
        <w:trPr>
          <w:trHeight w:val="404"/>
        </w:trPr>
        <w:tc>
          <w:tcPr>
            <w:tcW w:w="2590" w:type="dxa"/>
            <w:shd w:val="clear" w:color="auto" w:fill="auto"/>
            <w:vAlign w:val="bottom"/>
            <w:hideMark/>
          </w:tcPr>
          <w:p w14:paraId="2C5B52B1" w14:textId="77777777" w:rsidR="00224102" w:rsidRPr="00604C75" w:rsidRDefault="00224102" w:rsidP="00224102">
            <w:pPr>
              <w:ind w:firstLineChars="1" w:firstLine="1"/>
              <w:rPr>
                <w:color w:val="000000"/>
                <w:sz w:val="14"/>
                <w:szCs w:val="14"/>
              </w:rPr>
            </w:pPr>
            <w:r w:rsidRPr="00604C75">
              <w:rPr>
                <w:color w:val="000000"/>
                <w:sz w:val="14"/>
                <w:szCs w:val="14"/>
              </w:rPr>
              <w:t>Contingent and Non-Contingent Receivables from Multilateral Development Banks</w:t>
            </w:r>
          </w:p>
        </w:tc>
        <w:tc>
          <w:tcPr>
            <w:tcW w:w="868" w:type="dxa"/>
            <w:shd w:val="clear" w:color="auto" w:fill="auto"/>
            <w:vAlign w:val="bottom"/>
          </w:tcPr>
          <w:p w14:paraId="46802532" w14:textId="6F598A8D"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3D1FC149" w14:textId="02CCBEA0"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0646EA5C" w14:textId="06BE8607"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699980EB" w14:textId="68B22443"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40F3ABBC" w14:textId="6D52A702"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5F102882" w14:textId="5BB6E034"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09EEDB92" w14:textId="2C5A390A"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2B6A2970" w14:textId="0662EA8A"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22C46669" w14:textId="0997DA8C"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639990E0" w14:textId="41EB62AE"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20F98D76" w14:textId="77777777" w:rsidTr="00D75635">
        <w:trPr>
          <w:trHeight w:hRule="exact" w:val="625"/>
        </w:trPr>
        <w:tc>
          <w:tcPr>
            <w:tcW w:w="2590" w:type="dxa"/>
            <w:shd w:val="clear" w:color="auto" w:fill="auto"/>
            <w:vAlign w:val="bottom"/>
            <w:hideMark/>
          </w:tcPr>
          <w:p w14:paraId="6467DF9D" w14:textId="77777777" w:rsidR="00224102" w:rsidRPr="00604C75" w:rsidRDefault="00224102" w:rsidP="00224102">
            <w:pPr>
              <w:ind w:firstLineChars="1" w:firstLine="1"/>
              <w:rPr>
                <w:color w:val="000000"/>
                <w:sz w:val="14"/>
                <w:szCs w:val="14"/>
              </w:rPr>
            </w:pPr>
            <w:r w:rsidRPr="00604C75">
              <w:rPr>
                <w:color w:val="000000"/>
                <w:sz w:val="14"/>
                <w:szCs w:val="14"/>
              </w:rPr>
              <w:t>Contingent and Non-Contingent Receivables from International Organizations</w:t>
            </w:r>
          </w:p>
        </w:tc>
        <w:tc>
          <w:tcPr>
            <w:tcW w:w="868" w:type="dxa"/>
            <w:shd w:val="clear" w:color="auto" w:fill="auto"/>
            <w:vAlign w:val="bottom"/>
          </w:tcPr>
          <w:p w14:paraId="7FFA6BD0" w14:textId="65A1F9DE"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45070C57" w14:textId="7F4F864C"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3A713029" w14:textId="36DEACE6"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23516478" w14:textId="4B383A7F"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048825B1" w14:textId="0BE4CFD0"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761A9F76" w14:textId="2FAC1129"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7664597D" w14:textId="693B7387"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02CA18B5" w14:textId="3099B4F2"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1E229AD1" w14:textId="33DEE66D"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309A0D36" w14:textId="2B885A1F"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5D08C9E9" w14:textId="77777777" w:rsidTr="00D75635">
        <w:trPr>
          <w:trHeight w:hRule="exact" w:val="563"/>
        </w:trPr>
        <w:tc>
          <w:tcPr>
            <w:tcW w:w="2590" w:type="dxa"/>
            <w:shd w:val="clear" w:color="auto" w:fill="auto"/>
            <w:vAlign w:val="bottom"/>
            <w:hideMark/>
          </w:tcPr>
          <w:p w14:paraId="20B4AE3A" w14:textId="77777777" w:rsidR="00224102" w:rsidRPr="00604C75" w:rsidRDefault="00224102" w:rsidP="00224102">
            <w:pPr>
              <w:ind w:firstLineChars="1" w:firstLine="1"/>
              <w:rPr>
                <w:color w:val="000000"/>
                <w:sz w:val="14"/>
                <w:szCs w:val="14"/>
              </w:rPr>
            </w:pPr>
            <w:r w:rsidRPr="00604C75">
              <w:rPr>
                <w:color w:val="000000"/>
                <w:sz w:val="14"/>
                <w:szCs w:val="14"/>
              </w:rPr>
              <w:t>Contingent and Non-Contingent Receivables from Banks and Intermediaries</w:t>
            </w:r>
          </w:p>
        </w:tc>
        <w:tc>
          <w:tcPr>
            <w:tcW w:w="868" w:type="dxa"/>
            <w:shd w:val="clear" w:color="auto" w:fill="auto"/>
            <w:vAlign w:val="bottom"/>
          </w:tcPr>
          <w:p w14:paraId="4E8CB00D" w14:textId="072B4B1B"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064AB96B" w14:textId="77AD9628"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7BB7F76A" w14:textId="49706534" w:rsidR="00224102" w:rsidRPr="00452C0C" w:rsidRDefault="00224102" w:rsidP="00224102">
            <w:pPr>
              <w:jc w:val="right"/>
              <w:rPr>
                <w:color w:val="000000"/>
                <w:sz w:val="16"/>
                <w:szCs w:val="16"/>
              </w:rPr>
            </w:pPr>
            <w:r w:rsidRPr="00E46F2D">
              <w:rPr>
                <w:color w:val="000000"/>
                <w:sz w:val="16"/>
                <w:szCs w:val="16"/>
              </w:rPr>
              <w:t>688,419</w:t>
            </w:r>
          </w:p>
        </w:tc>
        <w:tc>
          <w:tcPr>
            <w:tcW w:w="864" w:type="dxa"/>
            <w:shd w:val="clear" w:color="auto" w:fill="auto"/>
            <w:vAlign w:val="bottom"/>
          </w:tcPr>
          <w:p w14:paraId="5B9B8A87" w14:textId="7F412A94" w:rsidR="00224102" w:rsidRPr="00452C0C" w:rsidRDefault="00224102" w:rsidP="00224102">
            <w:pPr>
              <w:jc w:val="right"/>
              <w:rPr>
                <w:color w:val="000000"/>
                <w:sz w:val="16"/>
                <w:szCs w:val="16"/>
              </w:rPr>
            </w:pPr>
            <w:r w:rsidRPr="00E46F2D">
              <w:rPr>
                <w:color w:val="000000"/>
                <w:sz w:val="16"/>
                <w:szCs w:val="16"/>
              </w:rPr>
              <w:t>1,173,232</w:t>
            </w:r>
          </w:p>
        </w:tc>
        <w:tc>
          <w:tcPr>
            <w:tcW w:w="856" w:type="dxa"/>
            <w:shd w:val="clear" w:color="auto" w:fill="auto"/>
            <w:vAlign w:val="bottom"/>
          </w:tcPr>
          <w:p w14:paraId="791E41F8" w14:textId="0B605404"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18D5BAA3" w14:textId="23A22438"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5A65B649" w14:textId="220B4FEB"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0B0EFBC5" w14:textId="20E69894"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58DD6199" w14:textId="233025E0"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3FF60ACA" w14:textId="20351DBD"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66A1FCB7" w14:textId="77777777" w:rsidTr="00D75635">
        <w:trPr>
          <w:trHeight w:hRule="exact" w:val="557"/>
        </w:trPr>
        <w:tc>
          <w:tcPr>
            <w:tcW w:w="2590" w:type="dxa"/>
            <w:shd w:val="clear" w:color="auto" w:fill="auto"/>
            <w:vAlign w:val="bottom"/>
            <w:hideMark/>
          </w:tcPr>
          <w:p w14:paraId="3536EA61" w14:textId="77777777" w:rsidR="00224102" w:rsidRPr="00604C75" w:rsidRDefault="00224102" w:rsidP="00224102">
            <w:pPr>
              <w:ind w:firstLineChars="1" w:firstLine="1"/>
              <w:rPr>
                <w:color w:val="000000"/>
                <w:sz w:val="14"/>
                <w:szCs w:val="14"/>
              </w:rPr>
            </w:pPr>
            <w:r w:rsidRPr="00604C75">
              <w:rPr>
                <w:color w:val="000000"/>
                <w:sz w:val="14"/>
                <w:szCs w:val="14"/>
              </w:rPr>
              <w:t>Contingent and Non-Contingent Corporate Receivables</w:t>
            </w:r>
          </w:p>
        </w:tc>
        <w:tc>
          <w:tcPr>
            <w:tcW w:w="868" w:type="dxa"/>
            <w:shd w:val="clear" w:color="auto" w:fill="auto"/>
            <w:vAlign w:val="bottom"/>
          </w:tcPr>
          <w:p w14:paraId="16CA52F3" w14:textId="380A6910"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6ADCE13B" w14:textId="3717AABB"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36B9940A" w14:textId="1B8A2238"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08710400" w14:textId="0BA05909"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72B32899" w14:textId="6CF78174"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5E29630D" w14:textId="7FD65DFD" w:rsidR="00224102" w:rsidRPr="00452C0C" w:rsidRDefault="00224102" w:rsidP="00224102">
            <w:pPr>
              <w:jc w:val="right"/>
              <w:rPr>
                <w:color w:val="000000"/>
                <w:sz w:val="16"/>
                <w:szCs w:val="16"/>
              </w:rPr>
            </w:pPr>
            <w:r w:rsidRPr="00E46F2D">
              <w:rPr>
                <w:color w:val="000000"/>
                <w:sz w:val="16"/>
                <w:szCs w:val="16"/>
              </w:rPr>
              <w:t>6,179,362</w:t>
            </w:r>
          </w:p>
        </w:tc>
        <w:tc>
          <w:tcPr>
            <w:tcW w:w="656" w:type="dxa"/>
            <w:shd w:val="clear" w:color="auto" w:fill="auto"/>
            <w:vAlign w:val="bottom"/>
          </w:tcPr>
          <w:p w14:paraId="74C9D218" w14:textId="0DE2CCB4"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7D8DE3E4" w14:textId="677A6212"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476CA7BA" w14:textId="7692820E"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2E6B54D3" w14:textId="6A3E5E64"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0015D534" w14:textId="77777777" w:rsidTr="00D75635">
        <w:trPr>
          <w:trHeight w:hRule="exact" w:val="404"/>
        </w:trPr>
        <w:tc>
          <w:tcPr>
            <w:tcW w:w="2590" w:type="dxa"/>
            <w:shd w:val="clear" w:color="auto" w:fill="auto"/>
            <w:vAlign w:val="bottom"/>
            <w:hideMark/>
          </w:tcPr>
          <w:p w14:paraId="6F68DF0E" w14:textId="77777777" w:rsidR="00224102" w:rsidRPr="00604C75" w:rsidRDefault="00224102" w:rsidP="00224102">
            <w:pPr>
              <w:ind w:firstLineChars="1" w:firstLine="1"/>
              <w:rPr>
                <w:color w:val="000000"/>
                <w:sz w:val="14"/>
                <w:szCs w:val="14"/>
              </w:rPr>
            </w:pPr>
            <w:r w:rsidRPr="00604C75">
              <w:rPr>
                <w:color w:val="000000"/>
                <w:sz w:val="14"/>
                <w:szCs w:val="14"/>
              </w:rPr>
              <w:t>Contingent and Non-Contingent Retail Receivables</w:t>
            </w:r>
          </w:p>
        </w:tc>
        <w:tc>
          <w:tcPr>
            <w:tcW w:w="868" w:type="dxa"/>
            <w:shd w:val="clear" w:color="auto" w:fill="auto"/>
            <w:vAlign w:val="bottom"/>
          </w:tcPr>
          <w:p w14:paraId="25420F7A" w14:textId="2F154680"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72588AAB" w14:textId="1B82CDF9"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49CCA9AC" w14:textId="07DC62DC"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4B960686" w14:textId="424F9684"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558510C1" w14:textId="0C48A7D9" w:rsidR="00224102" w:rsidRPr="00452C0C" w:rsidRDefault="00224102" w:rsidP="00224102">
            <w:pPr>
              <w:jc w:val="right"/>
              <w:rPr>
                <w:color w:val="000000"/>
                <w:sz w:val="16"/>
                <w:szCs w:val="16"/>
              </w:rPr>
            </w:pPr>
            <w:r w:rsidRPr="00E46F2D">
              <w:rPr>
                <w:color w:val="000000"/>
                <w:sz w:val="16"/>
                <w:szCs w:val="16"/>
              </w:rPr>
              <w:t>1,360,584</w:t>
            </w:r>
          </w:p>
        </w:tc>
        <w:tc>
          <w:tcPr>
            <w:tcW w:w="856" w:type="dxa"/>
            <w:shd w:val="clear" w:color="auto" w:fill="auto"/>
            <w:vAlign w:val="bottom"/>
          </w:tcPr>
          <w:p w14:paraId="6CE0A04A" w14:textId="157F1016" w:rsidR="00224102" w:rsidRPr="00452C0C" w:rsidRDefault="00224102" w:rsidP="00224102">
            <w:pPr>
              <w:jc w:val="right"/>
              <w:rPr>
                <w:color w:val="000000"/>
                <w:sz w:val="16"/>
                <w:szCs w:val="16"/>
              </w:rPr>
            </w:pPr>
            <w:r w:rsidRPr="00E46F2D">
              <w:rPr>
                <w:color w:val="000000"/>
                <w:sz w:val="16"/>
                <w:szCs w:val="16"/>
              </w:rPr>
              <w:t>4,065</w:t>
            </w:r>
          </w:p>
        </w:tc>
        <w:tc>
          <w:tcPr>
            <w:tcW w:w="656" w:type="dxa"/>
            <w:shd w:val="clear" w:color="auto" w:fill="auto"/>
            <w:vAlign w:val="bottom"/>
          </w:tcPr>
          <w:p w14:paraId="00723178" w14:textId="728F3B68"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37E0825D" w14:textId="651C52E1"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3AF60559" w14:textId="63285716"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0B380B4A" w14:textId="6180BC46"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335B29F7" w14:textId="77777777" w:rsidTr="00D75635">
        <w:trPr>
          <w:trHeight w:hRule="exact" w:val="584"/>
        </w:trPr>
        <w:tc>
          <w:tcPr>
            <w:tcW w:w="2590" w:type="dxa"/>
            <w:shd w:val="clear" w:color="auto" w:fill="auto"/>
            <w:vAlign w:val="bottom"/>
            <w:hideMark/>
          </w:tcPr>
          <w:p w14:paraId="60A0CBA9" w14:textId="77777777" w:rsidR="00224102" w:rsidRPr="00604C75" w:rsidRDefault="00224102" w:rsidP="00224102">
            <w:pPr>
              <w:ind w:firstLineChars="1" w:firstLine="1"/>
              <w:rPr>
                <w:color w:val="000000"/>
                <w:sz w:val="14"/>
                <w:szCs w:val="14"/>
              </w:rPr>
            </w:pPr>
            <w:r w:rsidRPr="00604C75">
              <w:rPr>
                <w:color w:val="000000"/>
                <w:sz w:val="14"/>
                <w:szCs w:val="14"/>
              </w:rPr>
              <w:t xml:space="preserve">Contingent and Non-Contingent Receivables </w:t>
            </w:r>
            <w:r w:rsidRPr="00604C75">
              <w:rPr>
                <w:color w:val="000000" w:themeColor="text1"/>
                <w:sz w:val="14"/>
                <w:szCs w:val="14"/>
              </w:rPr>
              <w:t>Secured by Residential Property</w:t>
            </w:r>
          </w:p>
        </w:tc>
        <w:tc>
          <w:tcPr>
            <w:tcW w:w="868" w:type="dxa"/>
            <w:shd w:val="clear" w:color="auto" w:fill="auto"/>
            <w:vAlign w:val="bottom"/>
          </w:tcPr>
          <w:p w14:paraId="13B1ECD6" w14:textId="485548FA"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2BD79813" w14:textId="6DE377A2"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08F1CB93" w14:textId="7C94C77D"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3F1B827F" w14:textId="4BEC2993" w:rsidR="00224102" w:rsidRPr="00452C0C" w:rsidRDefault="00224102" w:rsidP="00224102">
            <w:pPr>
              <w:jc w:val="right"/>
              <w:rPr>
                <w:color w:val="000000"/>
                <w:sz w:val="16"/>
                <w:szCs w:val="16"/>
              </w:rPr>
            </w:pPr>
            <w:r w:rsidRPr="00E46F2D">
              <w:rPr>
                <w:color w:val="000000"/>
                <w:sz w:val="16"/>
                <w:szCs w:val="16"/>
              </w:rPr>
              <w:t>2,433,358</w:t>
            </w:r>
          </w:p>
        </w:tc>
        <w:tc>
          <w:tcPr>
            <w:tcW w:w="856" w:type="dxa"/>
            <w:shd w:val="clear" w:color="auto" w:fill="auto"/>
            <w:vAlign w:val="bottom"/>
          </w:tcPr>
          <w:p w14:paraId="1D6A0F8A" w14:textId="2F9A2410"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08E2ECF7" w14:textId="389BE242"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04A96C51" w14:textId="78AFBF1D"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72AD15D2" w14:textId="032D79F3"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752B148B" w14:textId="1F639BC3"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10C0110F" w14:textId="096ECE86"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203D8E14" w14:textId="77777777" w:rsidTr="00D75635">
        <w:trPr>
          <w:trHeight w:hRule="exact" w:val="269"/>
        </w:trPr>
        <w:tc>
          <w:tcPr>
            <w:tcW w:w="2590" w:type="dxa"/>
            <w:shd w:val="clear" w:color="auto" w:fill="auto"/>
            <w:vAlign w:val="bottom"/>
            <w:hideMark/>
          </w:tcPr>
          <w:p w14:paraId="4B65C771" w14:textId="77777777" w:rsidR="00224102" w:rsidRPr="00604C75" w:rsidRDefault="00224102" w:rsidP="00224102">
            <w:pPr>
              <w:ind w:firstLineChars="1" w:firstLine="1"/>
              <w:rPr>
                <w:color w:val="000000"/>
                <w:sz w:val="14"/>
                <w:szCs w:val="14"/>
              </w:rPr>
            </w:pPr>
            <w:r w:rsidRPr="00604C75">
              <w:rPr>
                <w:color w:val="000000"/>
                <w:sz w:val="14"/>
                <w:szCs w:val="14"/>
              </w:rPr>
              <w:t>Non-Performing Receivables</w:t>
            </w:r>
          </w:p>
        </w:tc>
        <w:tc>
          <w:tcPr>
            <w:tcW w:w="868" w:type="dxa"/>
            <w:shd w:val="clear" w:color="auto" w:fill="auto"/>
            <w:vAlign w:val="bottom"/>
          </w:tcPr>
          <w:p w14:paraId="1AA1044F" w14:textId="3965915D"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2E2EFE67" w14:textId="26E6C7CD"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5BE275A1" w14:textId="5631DDAF"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19C794E1" w14:textId="2508A4D6" w:rsidR="00224102" w:rsidRPr="00452C0C" w:rsidRDefault="00224102" w:rsidP="00224102">
            <w:pPr>
              <w:jc w:val="right"/>
              <w:rPr>
                <w:color w:val="000000"/>
                <w:sz w:val="16"/>
                <w:szCs w:val="16"/>
              </w:rPr>
            </w:pPr>
            <w:r w:rsidRPr="00E46F2D">
              <w:rPr>
                <w:color w:val="000000"/>
                <w:sz w:val="16"/>
                <w:szCs w:val="16"/>
              </w:rPr>
              <w:t>31,720</w:t>
            </w:r>
          </w:p>
        </w:tc>
        <w:tc>
          <w:tcPr>
            <w:tcW w:w="856" w:type="dxa"/>
            <w:shd w:val="clear" w:color="auto" w:fill="auto"/>
            <w:vAlign w:val="bottom"/>
          </w:tcPr>
          <w:p w14:paraId="18A74B17" w14:textId="755E925E"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64F8728B" w14:textId="5FE3F294" w:rsidR="00224102" w:rsidRPr="00452C0C" w:rsidRDefault="00224102" w:rsidP="00224102">
            <w:pPr>
              <w:jc w:val="right"/>
              <w:rPr>
                <w:color w:val="000000"/>
                <w:sz w:val="16"/>
                <w:szCs w:val="16"/>
              </w:rPr>
            </w:pPr>
            <w:r w:rsidRPr="00E46F2D">
              <w:rPr>
                <w:color w:val="000000"/>
                <w:sz w:val="16"/>
                <w:szCs w:val="16"/>
              </w:rPr>
              <w:t>185,791</w:t>
            </w:r>
          </w:p>
        </w:tc>
        <w:tc>
          <w:tcPr>
            <w:tcW w:w="656" w:type="dxa"/>
            <w:shd w:val="clear" w:color="auto" w:fill="auto"/>
            <w:vAlign w:val="bottom"/>
          </w:tcPr>
          <w:p w14:paraId="2A4F1963" w14:textId="4F0890C2" w:rsidR="00224102" w:rsidRPr="00452C0C" w:rsidRDefault="00224102" w:rsidP="00224102">
            <w:pPr>
              <w:jc w:val="right"/>
              <w:rPr>
                <w:color w:val="000000"/>
                <w:sz w:val="16"/>
                <w:szCs w:val="16"/>
              </w:rPr>
            </w:pPr>
            <w:r w:rsidRPr="00E46F2D">
              <w:rPr>
                <w:color w:val="000000"/>
                <w:sz w:val="16"/>
                <w:szCs w:val="16"/>
              </w:rPr>
              <w:t>3,300</w:t>
            </w:r>
          </w:p>
        </w:tc>
        <w:tc>
          <w:tcPr>
            <w:tcW w:w="736" w:type="dxa"/>
            <w:shd w:val="clear" w:color="auto" w:fill="auto"/>
            <w:vAlign w:val="bottom"/>
          </w:tcPr>
          <w:p w14:paraId="378DAB1B" w14:textId="05BA7AB1"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50E9F0DE" w14:textId="7CD7BD67"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39CA481F" w14:textId="783EE734"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722963BF" w14:textId="77777777" w:rsidTr="00D75635">
        <w:trPr>
          <w:trHeight w:hRule="exact" w:val="404"/>
        </w:trPr>
        <w:tc>
          <w:tcPr>
            <w:tcW w:w="2590" w:type="dxa"/>
            <w:shd w:val="clear" w:color="auto" w:fill="auto"/>
            <w:vAlign w:val="bottom"/>
            <w:hideMark/>
          </w:tcPr>
          <w:p w14:paraId="74804D4F" w14:textId="77777777" w:rsidR="00224102" w:rsidRPr="00604C75" w:rsidRDefault="00224102" w:rsidP="00224102">
            <w:pPr>
              <w:ind w:firstLineChars="1" w:firstLine="1"/>
              <w:rPr>
                <w:color w:val="000000"/>
                <w:sz w:val="14"/>
                <w:szCs w:val="14"/>
              </w:rPr>
            </w:pPr>
            <w:r w:rsidRPr="00604C75">
              <w:rPr>
                <w:color w:val="000000"/>
                <w:sz w:val="14"/>
                <w:szCs w:val="14"/>
              </w:rPr>
              <w:t>Receivables identified as high risk by the Board</w:t>
            </w:r>
          </w:p>
        </w:tc>
        <w:tc>
          <w:tcPr>
            <w:tcW w:w="868" w:type="dxa"/>
            <w:shd w:val="clear" w:color="auto" w:fill="auto"/>
            <w:vAlign w:val="bottom"/>
          </w:tcPr>
          <w:p w14:paraId="7922CACE" w14:textId="38E29D29"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46CB2B75" w14:textId="59E7D384"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7B4F139F" w14:textId="7A9D2F8F" w:rsidR="00224102" w:rsidRPr="00452C0C" w:rsidRDefault="00224102" w:rsidP="00224102">
            <w:pPr>
              <w:jc w:val="right"/>
              <w:rPr>
                <w:color w:val="000000"/>
                <w:sz w:val="16"/>
                <w:szCs w:val="16"/>
              </w:rPr>
            </w:pPr>
            <w:r w:rsidRPr="00E46F2D">
              <w:rPr>
                <w:color w:val="000000"/>
                <w:sz w:val="16"/>
                <w:szCs w:val="16"/>
              </w:rPr>
              <w:t>- </w:t>
            </w:r>
          </w:p>
        </w:tc>
        <w:tc>
          <w:tcPr>
            <w:tcW w:w="864" w:type="dxa"/>
            <w:shd w:val="clear" w:color="auto" w:fill="auto"/>
            <w:vAlign w:val="bottom"/>
          </w:tcPr>
          <w:p w14:paraId="23B0BF16" w14:textId="741131FB"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4E9F8070" w14:textId="5E824BDA" w:rsidR="00224102" w:rsidRPr="00452C0C" w:rsidRDefault="00224102" w:rsidP="00224102">
            <w:pPr>
              <w:jc w:val="right"/>
              <w:rPr>
                <w:color w:val="000000"/>
                <w:sz w:val="16"/>
                <w:szCs w:val="16"/>
              </w:rPr>
            </w:pPr>
            <w:r w:rsidRPr="00E46F2D">
              <w:rPr>
                <w:color w:val="000000"/>
                <w:sz w:val="16"/>
                <w:szCs w:val="16"/>
              </w:rPr>
              <w:t>-</w:t>
            </w:r>
          </w:p>
        </w:tc>
        <w:tc>
          <w:tcPr>
            <w:tcW w:w="856" w:type="dxa"/>
            <w:shd w:val="clear" w:color="auto" w:fill="auto"/>
            <w:vAlign w:val="bottom"/>
          </w:tcPr>
          <w:p w14:paraId="580F3389" w14:textId="1A0C5BE6"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5A38E95B" w14:textId="72BFFEB9" w:rsidR="00224102" w:rsidRPr="00452C0C" w:rsidRDefault="00224102" w:rsidP="00224102">
            <w:pPr>
              <w:jc w:val="right"/>
              <w:rPr>
                <w:color w:val="000000"/>
                <w:sz w:val="16"/>
                <w:szCs w:val="16"/>
              </w:rPr>
            </w:pPr>
            <w:r w:rsidRPr="00E46F2D">
              <w:rPr>
                <w:color w:val="000000"/>
                <w:sz w:val="16"/>
                <w:szCs w:val="16"/>
              </w:rPr>
              <w:t>48,377</w:t>
            </w:r>
          </w:p>
        </w:tc>
        <w:tc>
          <w:tcPr>
            <w:tcW w:w="736" w:type="dxa"/>
            <w:shd w:val="clear" w:color="auto" w:fill="auto"/>
            <w:vAlign w:val="bottom"/>
          </w:tcPr>
          <w:p w14:paraId="545D390D" w14:textId="5C3AE121" w:rsidR="00224102" w:rsidRPr="00452C0C" w:rsidRDefault="00224102" w:rsidP="00224102">
            <w:pPr>
              <w:jc w:val="right"/>
              <w:rPr>
                <w:color w:val="000000"/>
                <w:sz w:val="16"/>
                <w:szCs w:val="16"/>
              </w:rPr>
            </w:pPr>
            <w:r w:rsidRPr="00E46F2D">
              <w:rPr>
                <w:color w:val="000000"/>
                <w:sz w:val="16"/>
                <w:szCs w:val="16"/>
              </w:rPr>
              <w:t>31,386</w:t>
            </w:r>
          </w:p>
        </w:tc>
        <w:tc>
          <w:tcPr>
            <w:tcW w:w="616" w:type="dxa"/>
            <w:shd w:val="clear" w:color="auto" w:fill="auto"/>
            <w:vAlign w:val="bottom"/>
          </w:tcPr>
          <w:p w14:paraId="17627E45" w14:textId="5A97EB16"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3892C8AD" w14:textId="750988A4"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3CB67E33" w14:textId="77777777" w:rsidTr="00D75635">
        <w:trPr>
          <w:trHeight w:hRule="exact" w:val="269"/>
        </w:trPr>
        <w:tc>
          <w:tcPr>
            <w:tcW w:w="2590" w:type="dxa"/>
            <w:shd w:val="clear" w:color="auto" w:fill="auto"/>
            <w:vAlign w:val="bottom"/>
            <w:hideMark/>
          </w:tcPr>
          <w:p w14:paraId="38E47A7E" w14:textId="77777777" w:rsidR="00224102" w:rsidRPr="00604C75" w:rsidRDefault="00224102" w:rsidP="00224102">
            <w:pPr>
              <w:ind w:firstLineChars="1" w:firstLine="1"/>
              <w:rPr>
                <w:color w:val="000000"/>
                <w:sz w:val="14"/>
                <w:szCs w:val="14"/>
              </w:rPr>
            </w:pPr>
            <w:r w:rsidRPr="00604C75">
              <w:rPr>
                <w:color w:val="000000"/>
                <w:sz w:val="14"/>
                <w:szCs w:val="14"/>
              </w:rPr>
              <w:t>Securities Secured</w:t>
            </w:r>
            <w:r w:rsidRPr="00604C75" w:rsidDel="006D7232">
              <w:rPr>
                <w:sz w:val="14"/>
                <w:szCs w:val="14"/>
              </w:rPr>
              <w:t xml:space="preserve"> </w:t>
            </w:r>
            <w:r w:rsidRPr="00604C75">
              <w:rPr>
                <w:sz w:val="14"/>
                <w:szCs w:val="14"/>
              </w:rPr>
              <w:t>by Mortgage</w:t>
            </w:r>
          </w:p>
        </w:tc>
        <w:tc>
          <w:tcPr>
            <w:tcW w:w="868" w:type="dxa"/>
            <w:shd w:val="clear" w:color="auto" w:fill="auto"/>
            <w:vAlign w:val="bottom"/>
          </w:tcPr>
          <w:p w14:paraId="303C0107" w14:textId="718F9916" w:rsidR="00224102" w:rsidRPr="00452C0C" w:rsidRDefault="00224102" w:rsidP="00224102">
            <w:pPr>
              <w:jc w:val="right"/>
              <w:rPr>
                <w:color w:val="000000"/>
                <w:sz w:val="16"/>
                <w:szCs w:val="16"/>
              </w:rPr>
            </w:pPr>
            <w:r w:rsidRPr="00E46F2D">
              <w:rPr>
                <w:color w:val="000000"/>
                <w:sz w:val="16"/>
                <w:szCs w:val="16"/>
              </w:rPr>
              <w:t>-</w:t>
            </w:r>
          </w:p>
        </w:tc>
        <w:tc>
          <w:tcPr>
            <w:tcW w:w="616" w:type="dxa"/>
            <w:shd w:val="clear" w:color="auto" w:fill="auto"/>
            <w:vAlign w:val="bottom"/>
          </w:tcPr>
          <w:p w14:paraId="09002770" w14:textId="30272B0C"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65F5A883" w14:textId="690C3866" w:rsidR="00224102" w:rsidRPr="00452C0C" w:rsidRDefault="00224102" w:rsidP="00224102">
            <w:pPr>
              <w:jc w:val="right"/>
              <w:rPr>
                <w:color w:val="000000"/>
                <w:sz w:val="16"/>
                <w:szCs w:val="16"/>
              </w:rPr>
            </w:pPr>
            <w:r w:rsidRPr="00E46F2D">
              <w:rPr>
                <w:color w:val="000000"/>
                <w:sz w:val="16"/>
                <w:szCs w:val="16"/>
              </w:rPr>
              <w:t>-</w:t>
            </w:r>
          </w:p>
        </w:tc>
        <w:tc>
          <w:tcPr>
            <w:tcW w:w="864" w:type="dxa"/>
            <w:shd w:val="clear" w:color="auto" w:fill="auto"/>
            <w:vAlign w:val="bottom"/>
          </w:tcPr>
          <w:p w14:paraId="1C4E859B" w14:textId="6AF8C2A0"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0B6840E3" w14:textId="5645B6D0" w:rsidR="00224102" w:rsidRPr="00452C0C" w:rsidRDefault="00224102" w:rsidP="00224102">
            <w:pPr>
              <w:jc w:val="right"/>
              <w:rPr>
                <w:color w:val="000000"/>
                <w:sz w:val="16"/>
                <w:szCs w:val="16"/>
              </w:rPr>
            </w:pPr>
            <w:r w:rsidRPr="00E46F2D">
              <w:rPr>
                <w:color w:val="000000"/>
                <w:sz w:val="16"/>
                <w:szCs w:val="16"/>
              </w:rPr>
              <w:t>-</w:t>
            </w:r>
          </w:p>
        </w:tc>
        <w:tc>
          <w:tcPr>
            <w:tcW w:w="856" w:type="dxa"/>
            <w:shd w:val="clear" w:color="auto" w:fill="auto"/>
            <w:vAlign w:val="bottom"/>
          </w:tcPr>
          <w:p w14:paraId="398DF312" w14:textId="013F949A"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15B2D2A2" w14:textId="1E56DA17" w:rsidR="00224102" w:rsidRPr="00452C0C" w:rsidRDefault="00224102" w:rsidP="00224102">
            <w:pPr>
              <w:jc w:val="right"/>
              <w:rPr>
                <w:color w:val="000000"/>
                <w:sz w:val="16"/>
                <w:szCs w:val="16"/>
              </w:rPr>
            </w:pPr>
            <w:r w:rsidRPr="00E46F2D">
              <w:rPr>
                <w:color w:val="000000"/>
                <w:sz w:val="16"/>
                <w:szCs w:val="16"/>
              </w:rPr>
              <w:t>-</w:t>
            </w:r>
          </w:p>
        </w:tc>
        <w:tc>
          <w:tcPr>
            <w:tcW w:w="736" w:type="dxa"/>
            <w:shd w:val="clear" w:color="auto" w:fill="auto"/>
            <w:vAlign w:val="bottom"/>
          </w:tcPr>
          <w:p w14:paraId="08474335" w14:textId="6F4BF9C9"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30E9FE21" w14:textId="1FFAAA49"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1BC70278" w14:textId="78384331"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4CE88565" w14:textId="77777777" w:rsidTr="00D75635">
        <w:trPr>
          <w:trHeight w:hRule="exact" w:val="269"/>
        </w:trPr>
        <w:tc>
          <w:tcPr>
            <w:tcW w:w="2590" w:type="dxa"/>
            <w:shd w:val="clear" w:color="auto" w:fill="auto"/>
            <w:vAlign w:val="bottom"/>
            <w:hideMark/>
          </w:tcPr>
          <w:p w14:paraId="401444BE" w14:textId="77777777" w:rsidR="00224102" w:rsidRPr="00604C75" w:rsidRDefault="00224102" w:rsidP="00224102">
            <w:pPr>
              <w:ind w:firstLineChars="1" w:firstLine="1"/>
              <w:rPr>
                <w:color w:val="000000"/>
                <w:sz w:val="14"/>
                <w:szCs w:val="14"/>
              </w:rPr>
            </w:pPr>
            <w:r w:rsidRPr="00604C75">
              <w:rPr>
                <w:sz w:val="14"/>
                <w:szCs w:val="14"/>
              </w:rPr>
              <w:t>Securitization positions</w:t>
            </w:r>
          </w:p>
        </w:tc>
        <w:tc>
          <w:tcPr>
            <w:tcW w:w="868" w:type="dxa"/>
            <w:shd w:val="clear" w:color="auto" w:fill="auto"/>
            <w:vAlign w:val="bottom"/>
          </w:tcPr>
          <w:p w14:paraId="649DFB2C" w14:textId="5EF6E433" w:rsidR="00224102" w:rsidRPr="00452C0C" w:rsidRDefault="00224102" w:rsidP="00224102">
            <w:pPr>
              <w:jc w:val="right"/>
              <w:rPr>
                <w:color w:val="000000"/>
                <w:sz w:val="16"/>
                <w:szCs w:val="16"/>
              </w:rPr>
            </w:pPr>
            <w:r w:rsidRPr="00E46F2D">
              <w:rPr>
                <w:color w:val="000000"/>
                <w:sz w:val="16"/>
                <w:szCs w:val="16"/>
              </w:rPr>
              <w:t>-</w:t>
            </w:r>
          </w:p>
        </w:tc>
        <w:tc>
          <w:tcPr>
            <w:tcW w:w="616" w:type="dxa"/>
            <w:shd w:val="clear" w:color="auto" w:fill="auto"/>
            <w:vAlign w:val="bottom"/>
          </w:tcPr>
          <w:p w14:paraId="1BB9B222" w14:textId="6E7C112C"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3DF39273" w14:textId="5D90D899" w:rsidR="00224102" w:rsidRPr="00452C0C" w:rsidRDefault="00224102" w:rsidP="00224102">
            <w:pPr>
              <w:jc w:val="right"/>
              <w:rPr>
                <w:color w:val="000000"/>
                <w:sz w:val="16"/>
                <w:szCs w:val="16"/>
              </w:rPr>
            </w:pPr>
            <w:r w:rsidRPr="00E46F2D">
              <w:rPr>
                <w:color w:val="000000"/>
                <w:sz w:val="16"/>
                <w:szCs w:val="16"/>
              </w:rPr>
              <w:t>-</w:t>
            </w:r>
          </w:p>
        </w:tc>
        <w:tc>
          <w:tcPr>
            <w:tcW w:w="864" w:type="dxa"/>
            <w:shd w:val="clear" w:color="auto" w:fill="auto"/>
            <w:vAlign w:val="bottom"/>
          </w:tcPr>
          <w:p w14:paraId="44462649" w14:textId="57EE6057"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5237968F" w14:textId="74D30078" w:rsidR="00224102" w:rsidRPr="00452C0C" w:rsidRDefault="00224102" w:rsidP="00224102">
            <w:pPr>
              <w:jc w:val="right"/>
              <w:rPr>
                <w:color w:val="000000"/>
                <w:sz w:val="16"/>
                <w:szCs w:val="16"/>
              </w:rPr>
            </w:pPr>
            <w:r w:rsidRPr="00E46F2D">
              <w:rPr>
                <w:color w:val="000000"/>
                <w:sz w:val="16"/>
                <w:szCs w:val="16"/>
              </w:rPr>
              <w:t>-</w:t>
            </w:r>
          </w:p>
        </w:tc>
        <w:tc>
          <w:tcPr>
            <w:tcW w:w="856" w:type="dxa"/>
            <w:shd w:val="clear" w:color="auto" w:fill="auto"/>
            <w:vAlign w:val="bottom"/>
          </w:tcPr>
          <w:p w14:paraId="3997D633" w14:textId="0BD8BB36"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11012BBC" w14:textId="5A2B3136" w:rsidR="00224102" w:rsidRPr="00452C0C" w:rsidRDefault="00224102" w:rsidP="00224102">
            <w:pPr>
              <w:jc w:val="right"/>
              <w:rPr>
                <w:color w:val="000000"/>
                <w:sz w:val="16"/>
                <w:szCs w:val="16"/>
              </w:rPr>
            </w:pPr>
            <w:r w:rsidRPr="00E46F2D">
              <w:rPr>
                <w:color w:val="000000"/>
                <w:sz w:val="16"/>
                <w:szCs w:val="16"/>
              </w:rPr>
              <w:t>-</w:t>
            </w:r>
          </w:p>
        </w:tc>
        <w:tc>
          <w:tcPr>
            <w:tcW w:w="736" w:type="dxa"/>
            <w:shd w:val="clear" w:color="auto" w:fill="auto"/>
            <w:vAlign w:val="bottom"/>
          </w:tcPr>
          <w:p w14:paraId="74F79087" w14:textId="4D372D6C"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587084F3" w14:textId="35DBC94A"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6FA94C7F" w14:textId="008B18C2"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48D7ED6C" w14:textId="77777777" w:rsidTr="00D75635">
        <w:trPr>
          <w:trHeight w:val="227"/>
        </w:trPr>
        <w:tc>
          <w:tcPr>
            <w:tcW w:w="2590" w:type="dxa"/>
            <w:shd w:val="clear" w:color="auto" w:fill="auto"/>
            <w:vAlign w:val="bottom"/>
            <w:hideMark/>
          </w:tcPr>
          <w:p w14:paraId="0F5244D8" w14:textId="77777777" w:rsidR="00224102" w:rsidRPr="00604C75" w:rsidRDefault="00224102" w:rsidP="00224102">
            <w:pPr>
              <w:ind w:firstLineChars="1" w:firstLine="1"/>
              <w:rPr>
                <w:color w:val="000000"/>
                <w:sz w:val="14"/>
                <w:szCs w:val="14"/>
              </w:rPr>
            </w:pPr>
            <w:r w:rsidRPr="00604C75">
              <w:rPr>
                <w:color w:val="000000"/>
                <w:sz w:val="14"/>
                <w:szCs w:val="14"/>
              </w:rPr>
              <w:t>Short-term Receivables and Short-term Corporate Receivables from Banks and Intermediaries</w:t>
            </w:r>
          </w:p>
        </w:tc>
        <w:tc>
          <w:tcPr>
            <w:tcW w:w="868" w:type="dxa"/>
            <w:shd w:val="clear" w:color="auto" w:fill="auto"/>
            <w:vAlign w:val="bottom"/>
          </w:tcPr>
          <w:p w14:paraId="6227BB14" w14:textId="340DD9DB" w:rsidR="00224102" w:rsidRPr="00452C0C" w:rsidRDefault="00224102" w:rsidP="00224102">
            <w:pPr>
              <w:jc w:val="right"/>
              <w:rPr>
                <w:color w:val="000000"/>
                <w:sz w:val="16"/>
                <w:szCs w:val="16"/>
              </w:rPr>
            </w:pPr>
            <w:r w:rsidRPr="00E46F2D">
              <w:rPr>
                <w:color w:val="000000"/>
                <w:sz w:val="16"/>
                <w:szCs w:val="16"/>
              </w:rPr>
              <w:t>-</w:t>
            </w:r>
          </w:p>
        </w:tc>
        <w:tc>
          <w:tcPr>
            <w:tcW w:w="616" w:type="dxa"/>
            <w:shd w:val="clear" w:color="auto" w:fill="auto"/>
            <w:vAlign w:val="bottom"/>
          </w:tcPr>
          <w:p w14:paraId="2940D957" w14:textId="3FF328B2"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37DEA7BC" w14:textId="667697B1" w:rsidR="00224102" w:rsidRPr="00452C0C" w:rsidRDefault="00224102" w:rsidP="00224102">
            <w:pPr>
              <w:jc w:val="right"/>
              <w:rPr>
                <w:color w:val="000000"/>
                <w:sz w:val="16"/>
                <w:szCs w:val="16"/>
              </w:rPr>
            </w:pPr>
            <w:r w:rsidRPr="00E46F2D">
              <w:rPr>
                <w:color w:val="000000"/>
                <w:sz w:val="16"/>
                <w:szCs w:val="16"/>
              </w:rPr>
              <w:t>-</w:t>
            </w:r>
          </w:p>
        </w:tc>
        <w:tc>
          <w:tcPr>
            <w:tcW w:w="864" w:type="dxa"/>
            <w:shd w:val="clear" w:color="auto" w:fill="auto"/>
            <w:vAlign w:val="bottom"/>
          </w:tcPr>
          <w:p w14:paraId="73D5BBEC" w14:textId="7D5C8189"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69974AC3" w14:textId="67C9FBE4" w:rsidR="00224102" w:rsidRPr="00452C0C" w:rsidRDefault="00224102" w:rsidP="00224102">
            <w:pPr>
              <w:jc w:val="right"/>
              <w:rPr>
                <w:color w:val="000000"/>
                <w:sz w:val="16"/>
                <w:szCs w:val="16"/>
              </w:rPr>
            </w:pPr>
            <w:r w:rsidRPr="00E46F2D">
              <w:rPr>
                <w:color w:val="000000"/>
                <w:sz w:val="16"/>
                <w:szCs w:val="16"/>
              </w:rPr>
              <w:t>-</w:t>
            </w:r>
          </w:p>
        </w:tc>
        <w:tc>
          <w:tcPr>
            <w:tcW w:w="856" w:type="dxa"/>
            <w:shd w:val="clear" w:color="auto" w:fill="auto"/>
            <w:vAlign w:val="bottom"/>
          </w:tcPr>
          <w:p w14:paraId="6C1C08C2" w14:textId="5BDF5D6E"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0A88E63A" w14:textId="4065A303" w:rsidR="00224102" w:rsidRPr="00452C0C" w:rsidRDefault="00224102" w:rsidP="00224102">
            <w:pPr>
              <w:jc w:val="right"/>
              <w:rPr>
                <w:color w:val="000000"/>
                <w:sz w:val="16"/>
                <w:szCs w:val="16"/>
              </w:rPr>
            </w:pPr>
            <w:r w:rsidRPr="00E46F2D">
              <w:rPr>
                <w:color w:val="000000"/>
                <w:sz w:val="16"/>
                <w:szCs w:val="16"/>
              </w:rPr>
              <w:t>-</w:t>
            </w:r>
          </w:p>
        </w:tc>
        <w:tc>
          <w:tcPr>
            <w:tcW w:w="736" w:type="dxa"/>
            <w:shd w:val="clear" w:color="auto" w:fill="auto"/>
            <w:vAlign w:val="bottom"/>
          </w:tcPr>
          <w:p w14:paraId="40F4FA57" w14:textId="1B8E545F"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1134A916" w14:textId="59A63B23"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2C475D6D" w14:textId="43A2B563"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5971B336" w14:textId="77777777" w:rsidTr="00D75635">
        <w:trPr>
          <w:trHeight w:hRule="exact" w:val="404"/>
        </w:trPr>
        <w:tc>
          <w:tcPr>
            <w:tcW w:w="2590" w:type="dxa"/>
            <w:shd w:val="clear" w:color="auto" w:fill="auto"/>
            <w:vAlign w:val="bottom"/>
            <w:hideMark/>
          </w:tcPr>
          <w:p w14:paraId="1EBC255F" w14:textId="77777777" w:rsidR="00224102" w:rsidRPr="00604C75" w:rsidRDefault="00224102" w:rsidP="00224102">
            <w:pPr>
              <w:ind w:firstLineChars="1" w:firstLine="1"/>
              <w:rPr>
                <w:color w:val="000000"/>
                <w:sz w:val="14"/>
                <w:szCs w:val="14"/>
              </w:rPr>
            </w:pPr>
            <w:r w:rsidRPr="00604C75">
              <w:rPr>
                <w:color w:val="000000"/>
                <w:sz w:val="14"/>
                <w:szCs w:val="14"/>
              </w:rPr>
              <w:t>Investments as Collective Investment Institutions</w:t>
            </w:r>
          </w:p>
        </w:tc>
        <w:tc>
          <w:tcPr>
            <w:tcW w:w="868" w:type="dxa"/>
            <w:shd w:val="clear" w:color="auto" w:fill="auto"/>
            <w:vAlign w:val="bottom"/>
          </w:tcPr>
          <w:p w14:paraId="32F27EE3" w14:textId="537BD8B1" w:rsidR="00224102" w:rsidRPr="00452C0C" w:rsidRDefault="00224102" w:rsidP="00224102">
            <w:pPr>
              <w:jc w:val="right"/>
              <w:rPr>
                <w:color w:val="000000"/>
                <w:sz w:val="16"/>
                <w:szCs w:val="16"/>
              </w:rPr>
            </w:pPr>
            <w:r w:rsidRPr="00E46F2D">
              <w:rPr>
                <w:color w:val="000000"/>
                <w:sz w:val="16"/>
                <w:szCs w:val="16"/>
              </w:rPr>
              <w:t>-</w:t>
            </w:r>
          </w:p>
        </w:tc>
        <w:tc>
          <w:tcPr>
            <w:tcW w:w="616" w:type="dxa"/>
            <w:shd w:val="clear" w:color="auto" w:fill="auto"/>
            <w:vAlign w:val="bottom"/>
          </w:tcPr>
          <w:p w14:paraId="1BFA87FC" w14:textId="73C4C9B4"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753F86E4" w14:textId="0B5DCC37" w:rsidR="00224102" w:rsidRPr="00452C0C" w:rsidRDefault="00224102" w:rsidP="00224102">
            <w:pPr>
              <w:jc w:val="right"/>
              <w:rPr>
                <w:color w:val="000000"/>
                <w:sz w:val="16"/>
                <w:szCs w:val="16"/>
              </w:rPr>
            </w:pPr>
            <w:r w:rsidRPr="00E46F2D">
              <w:rPr>
                <w:color w:val="000000"/>
                <w:sz w:val="16"/>
                <w:szCs w:val="16"/>
              </w:rPr>
              <w:t>-</w:t>
            </w:r>
          </w:p>
        </w:tc>
        <w:tc>
          <w:tcPr>
            <w:tcW w:w="864" w:type="dxa"/>
            <w:shd w:val="clear" w:color="auto" w:fill="auto"/>
            <w:vAlign w:val="bottom"/>
          </w:tcPr>
          <w:p w14:paraId="2126C973" w14:textId="6E0EAFAE"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680AF48D" w14:textId="175C5C5D" w:rsidR="00224102" w:rsidRPr="00452C0C" w:rsidRDefault="00224102" w:rsidP="00224102">
            <w:pPr>
              <w:jc w:val="right"/>
              <w:rPr>
                <w:color w:val="000000"/>
                <w:sz w:val="16"/>
                <w:szCs w:val="16"/>
              </w:rPr>
            </w:pPr>
            <w:r w:rsidRPr="00E46F2D">
              <w:rPr>
                <w:color w:val="000000"/>
                <w:sz w:val="16"/>
                <w:szCs w:val="16"/>
              </w:rPr>
              <w:t>-</w:t>
            </w:r>
          </w:p>
        </w:tc>
        <w:tc>
          <w:tcPr>
            <w:tcW w:w="856" w:type="dxa"/>
            <w:shd w:val="clear" w:color="auto" w:fill="auto"/>
            <w:vAlign w:val="bottom"/>
          </w:tcPr>
          <w:p w14:paraId="0754B2C6" w14:textId="144964CC" w:rsidR="00224102" w:rsidRPr="00452C0C" w:rsidRDefault="00224102" w:rsidP="00224102">
            <w:pPr>
              <w:jc w:val="right"/>
              <w:rPr>
                <w:color w:val="000000"/>
                <w:sz w:val="16"/>
                <w:szCs w:val="16"/>
              </w:rPr>
            </w:pPr>
            <w:r w:rsidRPr="00E46F2D">
              <w:rPr>
                <w:color w:val="000000"/>
                <w:sz w:val="16"/>
                <w:szCs w:val="16"/>
              </w:rPr>
              <w:t>- </w:t>
            </w:r>
          </w:p>
        </w:tc>
        <w:tc>
          <w:tcPr>
            <w:tcW w:w="656" w:type="dxa"/>
            <w:shd w:val="clear" w:color="auto" w:fill="auto"/>
            <w:vAlign w:val="bottom"/>
          </w:tcPr>
          <w:p w14:paraId="575AF878" w14:textId="216F9FEE" w:rsidR="00224102" w:rsidRPr="00452C0C" w:rsidRDefault="00224102" w:rsidP="00224102">
            <w:pPr>
              <w:jc w:val="right"/>
              <w:rPr>
                <w:color w:val="000000"/>
                <w:sz w:val="16"/>
                <w:szCs w:val="16"/>
              </w:rPr>
            </w:pPr>
            <w:r w:rsidRPr="00E46F2D">
              <w:rPr>
                <w:color w:val="000000"/>
                <w:sz w:val="16"/>
                <w:szCs w:val="16"/>
              </w:rPr>
              <w:t>-</w:t>
            </w:r>
          </w:p>
        </w:tc>
        <w:tc>
          <w:tcPr>
            <w:tcW w:w="736" w:type="dxa"/>
            <w:shd w:val="clear" w:color="auto" w:fill="auto"/>
            <w:vAlign w:val="bottom"/>
          </w:tcPr>
          <w:p w14:paraId="57FB09AE" w14:textId="75C7EFA3"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54AF3C3D" w14:textId="6C8D77D3"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61A6DCCE" w14:textId="0D3AAA1A" w:rsidR="00224102" w:rsidRPr="00452C0C" w:rsidRDefault="00224102" w:rsidP="00224102">
            <w:pPr>
              <w:jc w:val="right"/>
              <w:rPr>
                <w:color w:val="000000"/>
                <w:sz w:val="16"/>
                <w:szCs w:val="16"/>
              </w:rPr>
            </w:pPr>
            <w:r w:rsidRPr="00E46F2D">
              <w:rPr>
                <w:color w:val="000000"/>
                <w:sz w:val="16"/>
                <w:szCs w:val="16"/>
              </w:rPr>
              <w:t>- </w:t>
            </w:r>
          </w:p>
        </w:tc>
      </w:tr>
      <w:tr w:rsidR="00224102" w:rsidRPr="00604C75" w14:paraId="3FE3203B" w14:textId="77777777" w:rsidTr="00D75635">
        <w:trPr>
          <w:trHeight w:val="282"/>
        </w:trPr>
        <w:tc>
          <w:tcPr>
            <w:tcW w:w="2590" w:type="dxa"/>
            <w:shd w:val="clear" w:color="auto" w:fill="auto"/>
            <w:vAlign w:val="bottom"/>
            <w:hideMark/>
          </w:tcPr>
          <w:p w14:paraId="79F4F96D" w14:textId="77777777" w:rsidR="00224102" w:rsidRPr="00604C75" w:rsidRDefault="00224102" w:rsidP="00224102">
            <w:pPr>
              <w:ind w:firstLineChars="1" w:firstLine="1"/>
              <w:rPr>
                <w:color w:val="000000"/>
                <w:sz w:val="14"/>
                <w:szCs w:val="14"/>
              </w:rPr>
            </w:pPr>
            <w:r w:rsidRPr="00604C75">
              <w:rPr>
                <w:color w:val="000000"/>
                <w:sz w:val="14"/>
                <w:szCs w:val="14"/>
              </w:rPr>
              <w:t>Other Receivables</w:t>
            </w:r>
          </w:p>
        </w:tc>
        <w:tc>
          <w:tcPr>
            <w:tcW w:w="868" w:type="dxa"/>
            <w:shd w:val="clear" w:color="auto" w:fill="auto"/>
            <w:vAlign w:val="bottom"/>
          </w:tcPr>
          <w:p w14:paraId="4611D07F" w14:textId="6FBD7CE1" w:rsidR="00224102" w:rsidRPr="00452C0C" w:rsidRDefault="00224102" w:rsidP="00224102">
            <w:pPr>
              <w:jc w:val="right"/>
              <w:rPr>
                <w:color w:val="000000"/>
                <w:sz w:val="16"/>
                <w:szCs w:val="16"/>
              </w:rPr>
            </w:pPr>
            <w:r w:rsidRPr="00E46F2D">
              <w:rPr>
                <w:color w:val="000000"/>
                <w:sz w:val="16"/>
                <w:szCs w:val="16"/>
              </w:rPr>
              <w:t>153,708</w:t>
            </w:r>
          </w:p>
        </w:tc>
        <w:tc>
          <w:tcPr>
            <w:tcW w:w="616" w:type="dxa"/>
            <w:shd w:val="clear" w:color="auto" w:fill="auto"/>
            <w:vAlign w:val="bottom"/>
          </w:tcPr>
          <w:p w14:paraId="34786264" w14:textId="0A36594F" w:rsidR="00224102" w:rsidRPr="00452C0C" w:rsidRDefault="00224102" w:rsidP="00224102">
            <w:pPr>
              <w:jc w:val="right"/>
              <w:rPr>
                <w:color w:val="000000"/>
                <w:sz w:val="16"/>
                <w:szCs w:val="16"/>
              </w:rPr>
            </w:pPr>
            <w:r w:rsidRPr="00E46F2D">
              <w:rPr>
                <w:color w:val="000000"/>
                <w:sz w:val="16"/>
                <w:szCs w:val="16"/>
              </w:rPr>
              <w:t>- </w:t>
            </w:r>
          </w:p>
        </w:tc>
        <w:tc>
          <w:tcPr>
            <w:tcW w:w="784" w:type="dxa"/>
            <w:shd w:val="clear" w:color="auto" w:fill="auto"/>
            <w:vAlign w:val="bottom"/>
          </w:tcPr>
          <w:p w14:paraId="09637065" w14:textId="25449737" w:rsidR="00224102" w:rsidRPr="00452C0C" w:rsidRDefault="00224102" w:rsidP="00224102">
            <w:pPr>
              <w:jc w:val="right"/>
              <w:rPr>
                <w:color w:val="000000"/>
                <w:sz w:val="16"/>
                <w:szCs w:val="16"/>
              </w:rPr>
            </w:pPr>
            <w:r w:rsidRPr="00E46F2D">
              <w:rPr>
                <w:color w:val="000000"/>
                <w:sz w:val="16"/>
                <w:szCs w:val="16"/>
              </w:rPr>
              <w:t>35</w:t>
            </w:r>
          </w:p>
        </w:tc>
        <w:tc>
          <w:tcPr>
            <w:tcW w:w="864" w:type="dxa"/>
            <w:shd w:val="clear" w:color="auto" w:fill="auto"/>
            <w:vAlign w:val="bottom"/>
          </w:tcPr>
          <w:p w14:paraId="46DB92E8" w14:textId="21F71B13"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709F9B4E" w14:textId="02A3CE8E" w:rsidR="00224102" w:rsidRPr="00452C0C" w:rsidRDefault="00224102" w:rsidP="00224102">
            <w:pPr>
              <w:jc w:val="right"/>
              <w:rPr>
                <w:color w:val="000000"/>
                <w:sz w:val="16"/>
                <w:szCs w:val="16"/>
              </w:rPr>
            </w:pPr>
            <w:r w:rsidRPr="00E46F2D">
              <w:rPr>
                <w:color w:val="000000"/>
                <w:sz w:val="16"/>
                <w:szCs w:val="16"/>
              </w:rPr>
              <w:t>- </w:t>
            </w:r>
          </w:p>
        </w:tc>
        <w:tc>
          <w:tcPr>
            <w:tcW w:w="856" w:type="dxa"/>
            <w:shd w:val="clear" w:color="auto" w:fill="auto"/>
            <w:vAlign w:val="bottom"/>
          </w:tcPr>
          <w:p w14:paraId="3615F50D" w14:textId="33879991" w:rsidR="00224102" w:rsidRPr="00452C0C" w:rsidRDefault="00224102" w:rsidP="00224102">
            <w:pPr>
              <w:jc w:val="right"/>
              <w:rPr>
                <w:color w:val="000000"/>
                <w:sz w:val="16"/>
                <w:szCs w:val="16"/>
              </w:rPr>
            </w:pPr>
            <w:r w:rsidRPr="00E46F2D">
              <w:rPr>
                <w:color w:val="000000"/>
                <w:sz w:val="16"/>
                <w:szCs w:val="16"/>
              </w:rPr>
              <w:t>347,374</w:t>
            </w:r>
          </w:p>
        </w:tc>
        <w:tc>
          <w:tcPr>
            <w:tcW w:w="656" w:type="dxa"/>
            <w:shd w:val="clear" w:color="auto" w:fill="auto"/>
            <w:vAlign w:val="bottom"/>
          </w:tcPr>
          <w:p w14:paraId="0366B4FD" w14:textId="51A43828" w:rsidR="00224102" w:rsidRPr="00452C0C" w:rsidRDefault="00224102" w:rsidP="00224102">
            <w:pPr>
              <w:jc w:val="right"/>
              <w:rPr>
                <w:color w:val="000000"/>
                <w:sz w:val="16"/>
                <w:szCs w:val="16"/>
              </w:rPr>
            </w:pPr>
            <w:r w:rsidRPr="00E46F2D">
              <w:rPr>
                <w:color w:val="000000"/>
                <w:sz w:val="16"/>
                <w:szCs w:val="16"/>
              </w:rPr>
              <w:t>- </w:t>
            </w:r>
          </w:p>
        </w:tc>
        <w:tc>
          <w:tcPr>
            <w:tcW w:w="736" w:type="dxa"/>
            <w:shd w:val="clear" w:color="auto" w:fill="auto"/>
            <w:vAlign w:val="bottom"/>
          </w:tcPr>
          <w:p w14:paraId="163A0968" w14:textId="5FD7D551" w:rsidR="00224102" w:rsidRPr="00452C0C" w:rsidRDefault="00224102" w:rsidP="00224102">
            <w:pPr>
              <w:jc w:val="right"/>
              <w:rPr>
                <w:color w:val="000000"/>
                <w:sz w:val="16"/>
                <w:szCs w:val="16"/>
              </w:rPr>
            </w:pPr>
            <w:r w:rsidRPr="00E46F2D">
              <w:rPr>
                <w:color w:val="000000"/>
                <w:sz w:val="16"/>
                <w:szCs w:val="16"/>
              </w:rPr>
              <w:t>- </w:t>
            </w:r>
          </w:p>
        </w:tc>
        <w:tc>
          <w:tcPr>
            <w:tcW w:w="616" w:type="dxa"/>
            <w:shd w:val="clear" w:color="auto" w:fill="auto"/>
            <w:vAlign w:val="bottom"/>
          </w:tcPr>
          <w:p w14:paraId="4B8796CC" w14:textId="2CAF6588" w:rsidR="00224102" w:rsidRPr="00452C0C" w:rsidRDefault="00224102" w:rsidP="00224102">
            <w:pPr>
              <w:jc w:val="right"/>
              <w:rPr>
                <w:color w:val="000000"/>
                <w:sz w:val="16"/>
                <w:szCs w:val="16"/>
              </w:rPr>
            </w:pPr>
            <w:r w:rsidRPr="00E46F2D">
              <w:rPr>
                <w:color w:val="000000"/>
                <w:sz w:val="16"/>
                <w:szCs w:val="16"/>
              </w:rPr>
              <w:t>-</w:t>
            </w:r>
          </w:p>
        </w:tc>
        <w:tc>
          <w:tcPr>
            <w:tcW w:w="696" w:type="dxa"/>
            <w:shd w:val="clear" w:color="auto" w:fill="auto"/>
            <w:vAlign w:val="bottom"/>
          </w:tcPr>
          <w:p w14:paraId="2BB0FCE8" w14:textId="510A1763" w:rsidR="00224102" w:rsidRPr="00452C0C" w:rsidRDefault="00224102" w:rsidP="00224102">
            <w:pPr>
              <w:jc w:val="right"/>
              <w:rPr>
                <w:color w:val="000000"/>
                <w:sz w:val="16"/>
                <w:szCs w:val="16"/>
              </w:rPr>
            </w:pPr>
            <w:r w:rsidRPr="00E46F2D">
              <w:rPr>
                <w:color w:val="000000"/>
                <w:sz w:val="16"/>
                <w:szCs w:val="16"/>
              </w:rPr>
              <w:t>- </w:t>
            </w:r>
          </w:p>
        </w:tc>
      </w:tr>
    </w:tbl>
    <w:p w14:paraId="07584A02" w14:textId="77777777" w:rsidR="00BC2685" w:rsidRPr="00604C75" w:rsidRDefault="00BC2685" w:rsidP="00735ECD">
      <w:pPr>
        <w:pStyle w:val="NormalIndent"/>
        <w:widowControl w:val="0"/>
        <w:spacing w:line="216" w:lineRule="auto"/>
        <w:ind w:left="0" w:right="2"/>
        <w:jc w:val="both"/>
        <w:rPr>
          <w:b/>
          <w:bCs/>
          <w:noProof/>
          <w:lang w:val="tr-TR"/>
        </w:rPr>
      </w:pPr>
    </w:p>
    <w:p w14:paraId="611BE8A5" w14:textId="392B8C97" w:rsidR="00CC6795" w:rsidRPr="00604C75" w:rsidRDefault="00613F85" w:rsidP="009C1ADD">
      <w:pPr>
        <w:pStyle w:val="NormalIndent"/>
        <w:pageBreakBefore/>
        <w:widowControl w:val="0"/>
        <w:spacing w:line="216" w:lineRule="auto"/>
        <w:ind w:left="0"/>
        <w:jc w:val="both"/>
        <w:rPr>
          <w:b/>
          <w:bCs/>
          <w:noProof/>
          <w:lang w:val="tr-TR"/>
        </w:rPr>
      </w:pPr>
      <w:r w:rsidRPr="00604C75">
        <w:rPr>
          <w:b/>
          <w:bCs/>
          <w:noProof/>
          <w:lang w:val="tr-TR"/>
        </w:rPr>
        <w:lastRenderedPageBreak/>
        <w:t xml:space="preserve">INFORMATION </w:t>
      </w:r>
      <w:r w:rsidR="00A041CD">
        <w:rPr>
          <w:b/>
          <w:bCs/>
          <w:noProof/>
          <w:lang w:val="tr-TR"/>
        </w:rPr>
        <w:t>ON THE</w:t>
      </w:r>
      <w:r w:rsidR="00CC6795" w:rsidRPr="00604C75">
        <w:rPr>
          <w:b/>
          <w:bCs/>
          <w:noProof/>
          <w:lang w:val="tr-TR"/>
        </w:rPr>
        <w:t xml:space="preserve"> FINANCIAL POSITION OF THE GROUP (Continued)</w:t>
      </w:r>
    </w:p>
    <w:p w14:paraId="06B8EB72" w14:textId="77777777" w:rsidR="00491B70" w:rsidRPr="00604C75" w:rsidRDefault="00491B70" w:rsidP="00CC6795">
      <w:pPr>
        <w:pStyle w:val="NormalIndent"/>
        <w:widowControl w:val="0"/>
        <w:spacing w:line="216" w:lineRule="auto"/>
        <w:ind w:left="0" w:right="2"/>
        <w:jc w:val="both"/>
        <w:rPr>
          <w:b/>
          <w:bCs/>
          <w:noProof/>
          <w:lang w:val="tr-TR"/>
        </w:rPr>
      </w:pPr>
    </w:p>
    <w:p w14:paraId="7F2D1E4C" w14:textId="77777777" w:rsidR="0090192A" w:rsidRPr="00604C75" w:rsidRDefault="00613F85" w:rsidP="008477F3">
      <w:pPr>
        <w:pStyle w:val="Heading2"/>
        <w:widowControl w:val="0"/>
        <w:numPr>
          <w:ilvl w:val="0"/>
          <w:numId w:val="53"/>
        </w:numPr>
        <w:spacing w:before="0"/>
        <w:ind w:left="567" w:right="2" w:hanging="567"/>
        <w:jc w:val="both"/>
        <w:rPr>
          <w:rFonts w:ascii="Times New Roman" w:hAnsi="Times New Roman"/>
          <w:noProof/>
          <w:sz w:val="20"/>
          <w:lang w:val="tr-TR"/>
        </w:rPr>
      </w:pPr>
      <w:r w:rsidRPr="00604C75">
        <w:rPr>
          <w:rFonts w:ascii="Times New Roman" w:hAnsi="Times New Roman"/>
          <w:noProof/>
          <w:sz w:val="20"/>
          <w:lang w:val="tr-TR"/>
        </w:rPr>
        <w:t>Information on Capital Adequacy Ratio</w:t>
      </w:r>
      <w:r w:rsidRPr="00604C75" w:rsidDel="00613F85">
        <w:rPr>
          <w:rFonts w:ascii="Times New Roman" w:hAnsi="Times New Roman"/>
          <w:noProof/>
          <w:sz w:val="20"/>
          <w:lang w:val="tr-TR"/>
        </w:rPr>
        <w:t xml:space="preserve"> </w:t>
      </w:r>
      <w:r w:rsidR="0090192A" w:rsidRPr="00604C75">
        <w:rPr>
          <w:rFonts w:ascii="Times New Roman" w:hAnsi="Times New Roman"/>
          <w:bCs/>
          <w:noProof/>
          <w:sz w:val="20"/>
          <w:lang w:val="tr-TR"/>
        </w:rPr>
        <w:t>(Continued)</w:t>
      </w:r>
    </w:p>
    <w:p w14:paraId="00F0380F" w14:textId="77777777" w:rsidR="0090192A" w:rsidRPr="00604C75" w:rsidRDefault="0090192A" w:rsidP="0090192A">
      <w:pPr>
        <w:rPr>
          <w:lang w:val="tr-TR"/>
        </w:rPr>
      </w:pPr>
    </w:p>
    <w:tbl>
      <w:tblPr>
        <w:tblW w:w="1013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674"/>
        <w:gridCol w:w="882"/>
        <w:gridCol w:w="546"/>
        <w:gridCol w:w="756"/>
        <w:gridCol w:w="864"/>
        <w:gridCol w:w="856"/>
        <w:gridCol w:w="856"/>
        <w:gridCol w:w="656"/>
        <w:gridCol w:w="736"/>
        <w:gridCol w:w="616"/>
        <w:gridCol w:w="696"/>
      </w:tblGrid>
      <w:tr w:rsidR="00CC6795" w:rsidRPr="00604C75" w14:paraId="533346BB" w14:textId="77777777" w:rsidTr="0090192A">
        <w:trPr>
          <w:trHeight w:hRule="exact" w:val="282"/>
        </w:trPr>
        <w:tc>
          <w:tcPr>
            <w:tcW w:w="2674" w:type="dxa"/>
            <w:vMerge w:val="restart"/>
            <w:shd w:val="clear" w:color="auto" w:fill="auto"/>
            <w:vAlign w:val="center"/>
            <w:hideMark/>
          </w:tcPr>
          <w:p w14:paraId="1AA34109" w14:textId="77777777" w:rsidR="00CC6795" w:rsidRPr="00604C75" w:rsidRDefault="00CC6795" w:rsidP="001B0ADF">
            <w:pPr>
              <w:jc w:val="both"/>
              <w:rPr>
                <w:bCs/>
                <w:color w:val="000000"/>
                <w:sz w:val="16"/>
                <w:szCs w:val="16"/>
              </w:rPr>
            </w:pPr>
            <w:r w:rsidRPr="00604C75">
              <w:rPr>
                <w:bCs/>
                <w:color w:val="000000"/>
                <w:sz w:val="16"/>
                <w:szCs w:val="16"/>
                <w:lang w:val="tr-TR"/>
              </w:rPr>
              <w:t>  </w:t>
            </w:r>
          </w:p>
        </w:tc>
        <w:tc>
          <w:tcPr>
            <w:tcW w:w="882" w:type="dxa"/>
            <w:shd w:val="clear" w:color="auto" w:fill="auto"/>
            <w:vAlign w:val="center"/>
            <w:hideMark/>
          </w:tcPr>
          <w:p w14:paraId="0402C8D8" w14:textId="77777777" w:rsidR="00CC6795" w:rsidRPr="00604C75" w:rsidRDefault="00CC6795" w:rsidP="001B0ADF">
            <w:pPr>
              <w:jc w:val="center"/>
              <w:rPr>
                <w:b/>
                <w:bCs/>
                <w:color w:val="000000"/>
                <w:sz w:val="16"/>
                <w:szCs w:val="16"/>
              </w:rPr>
            </w:pPr>
            <w:r w:rsidRPr="00604C75">
              <w:rPr>
                <w:b/>
                <w:bCs/>
                <w:color w:val="000000"/>
                <w:sz w:val="16"/>
                <w:szCs w:val="16"/>
                <w:lang w:val="tr-TR"/>
              </w:rPr>
              <w:t> </w:t>
            </w:r>
          </w:p>
        </w:tc>
        <w:tc>
          <w:tcPr>
            <w:tcW w:w="546" w:type="dxa"/>
            <w:shd w:val="clear" w:color="auto" w:fill="auto"/>
            <w:vAlign w:val="center"/>
            <w:hideMark/>
          </w:tcPr>
          <w:p w14:paraId="79DFCBE3" w14:textId="77777777" w:rsidR="00CC6795" w:rsidRPr="00604C75" w:rsidRDefault="00CC6795" w:rsidP="001B0ADF">
            <w:pPr>
              <w:jc w:val="center"/>
              <w:rPr>
                <w:b/>
                <w:bCs/>
                <w:color w:val="000000"/>
                <w:sz w:val="16"/>
                <w:szCs w:val="16"/>
              </w:rPr>
            </w:pPr>
            <w:r w:rsidRPr="00604C75">
              <w:rPr>
                <w:b/>
                <w:bCs/>
                <w:color w:val="000000"/>
                <w:sz w:val="16"/>
                <w:szCs w:val="16"/>
                <w:lang w:val="tr-TR"/>
              </w:rPr>
              <w:t> </w:t>
            </w:r>
          </w:p>
        </w:tc>
        <w:tc>
          <w:tcPr>
            <w:tcW w:w="6036" w:type="dxa"/>
            <w:gridSpan w:val="8"/>
            <w:shd w:val="clear" w:color="auto" w:fill="auto"/>
            <w:vAlign w:val="center"/>
            <w:hideMark/>
          </w:tcPr>
          <w:p w14:paraId="199DBB9D" w14:textId="77777777" w:rsidR="00CC6795" w:rsidRPr="00604C75" w:rsidRDefault="00CC6795" w:rsidP="001B0ADF">
            <w:pPr>
              <w:jc w:val="center"/>
              <w:rPr>
                <w:b/>
                <w:bCs/>
                <w:color w:val="000000"/>
                <w:sz w:val="16"/>
                <w:szCs w:val="16"/>
              </w:rPr>
            </w:pPr>
            <w:r w:rsidRPr="00604C75">
              <w:rPr>
                <w:b/>
                <w:bCs/>
                <w:color w:val="000000"/>
                <w:sz w:val="16"/>
                <w:szCs w:val="16"/>
                <w:lang w:val="tr-TR"/>
              </w:rPr>
              <w:t>Risk Weights</w:t>
            </w:r>
          </w:p>
        </w:tc>
      </w:tr>
      <w:tr w:rsidR="00CC6795" w:rsidRPr="00604C75" w14:paraId="2A52CE8F" w14:textId="77777777" w:rsidTr="0090192A">
        <w:trPr>
          <w:trHeight w:val="282"/>
        </w:trPr>
        <w:tc>
          <w:tcPr>
            <w:tcW w:w="2674" w:type="dxa"/>
            <w:vMerge/>
            <w:vAlign w:val="center"/>
            <w:hideMark/>
          </w:tcPr>
          <w:p w14:paraId="712D65D2" w14:textId="77777777" w:rsidR="00CC6795" w:rsidRPr="00604C75" w:rsidRDefault="00CC6795" w:rsidP="001B0ADF">
            <w:pPr>
              <w:rPr>
                <w:bCs/>
                <w:color w:val="000000"/>
                <w:sz w:val="16"/>
                <w:szCs w:val="16"/>
              </w:rPr>
            </w:pPr>
          </w:p>
        </w:tc>
        <w:tc>
          <w:tcPr>
            <w:tcW w:w="882" w:type="dxa"/>
            <w:shd w:val="clear" w:color="auto" w:fill="auto"/>
            <w:vAlign w:val="center"/>
            <w:hideMark/>
          </w:tcPr>
          <w:p w14:paraId="75A82D16" w14:textId="77777777" w:rsidR="00CC6795" w:rsidRPr="00604C75" w:rsidRDefault="00CC6795" w:rsidP="001B0ADF">
            <w:pPr>
              <w:jc w:val="center"/>
              <w:rPr>
                <w:b/>
                <w:bCs/>
                <w:color w:val="000000"/>
                <w:sz w:val="16"/>
                <w:szCs w:val="16"/>
              </w:rPr>
            </w:pPr>
          </w:p>
        </w:tc>
        <w:tc>
          <w:tcPr>
            <w:tcW w:w="546" w:type="dxa"/>
            <w:shd w:val="clear" w:color="auto" w:fill="auto"/>
            <w:vAlign w:val="center"/>
            <w:hideMark/>
          </w:tcPr>
          <w:p w14:paraId="4FD69250" w14:textId="77777777" w:rsidR="00CC6795" w:rsidRPr="00604C75" w:rsidRDefault="00CC6795" w:rsidP="001B0ADF">
            <w:pPr>
              <w:jc w:val="center"/>
              <w:rPr>
                <w:sz w:val="16"/>
                <w:szCs w:val="16"/>
              </w:rPr>
            </w:pPr>
          </w:p>
        </w:tc>
        <w:tc>
          <w:tcPr>
            <w:tcW w:w="6036" w:type="dxa"/>
            <w:gridSpan w:val="8"/>
            <w:shd w:val="clear" w:color="auto" w:fill="auto"/>
            <w:vAlign w:val="center"/>
            <w:hideMark/>
          </w:tcPr>
          <w:p w14:paraId="75B7E17F" w14:textId="77777777" w:rsidR="00CC6795" w:rsidRPr="00604C75" w:rsidRDefault="00EB3E59" w:rsidP="001B0ADF">
            <w:pPr>
              <w:jc w:val="center"/>
              <w:rPr>
                <w:b/>
                <w:bCs/>
                <w:color w:val="000000"/>
                <w:sz w:val="16"/>
                <w:szCs w:val="16"/>
              </w:rPr>
            </w:pPr>
            <w:r w:rsidRPr="00604C75">
              <w:rPr>
                <w:rFonts w:eastAsia="Arial Unicode MS"/>
                <w:b/>
                <w:bCs/>
                <w:color w:val="000000"/>
                <w:sz w:val="16"/>
                <w:szCs w:val="16"/>
                <w:lang w:val="tr-TR"/>
              </w:rPr>
              <w:t>Consolidated</w:t>
            </w:r>
          </w:p>
        </w:tc>
      </w:tr>
      <w:tr w:rsidR="00CC6795" w:rsidRPr="00604C75" w14:paraId="18754040" w14:textId="77777777" w:rsidTr="0090192A">
        <w:trPr>
          <w:trHeight w:val="282"/>
        </w:trPr>
        <w:tc>
          <w:tcPr>
            <w:tcW w:w="2674" w:type="dxa"/>
            <w:vMerge/>
            <w:vAlign w:val="center"/>
            <w:hideMark/>
          </w:tcPr>
          <w:p w14:paraId="45CAFC85" w14:textId="77777777" w:rsidR="00CC6795" w:rsidRPr="00604C75" w:rsidRDefault="00CC6795" w:rsidP="001B0ADF">
            <w:pPr>
              <w:rPr>
                <w:bCs/>
                <w:color w:val="000000"/>
                <w:sz w:val="16"/>
                <w:szCs w:val="16"/>
              </w:rPr>
            </w:pPr>
          </w:p>
        </w:tc>
        <w:tc>
          <w:tcPr>
            <w:tcW w:w="882" w:type="dxa"/>
            <w:shd w:val="clear" w:color="auto" w:fill="auto"/>
            <w:vAlign w:val="center"/>
            <w:hideMark/>
          </w:tcPr>
          <w:p w14:paraId="1746597A" w14:textId="77777777" w:rsidR="00CC6795" w:rsidRPr="00604C75" w:rsidRDefault="00CC6795" w:rsidP="001B0ADF">
            <w:pPr>
              <w:jc w:val="right"/>
              <w:rPr>
                <w:b/>
                <w:bCs/>
                <w:color w:val="000000"/>
                <w:sz w:val="16"/>
                <w:szCs w:val="16"/>
              </w:rPr>
            </w:pPr>
            <w:r w:rsidRPr="00604C75">
              <w:rPr>
                <w:b/>
                <w:bCs/>
                <w:color w:val="000000"/>
                <w:sz w:val="16"/>
                <w:szCs w:val="16"/>
                <w:lang w:val="tr-TR"/>
              </w:rPr>
              <w:t>0%</w:t>
            </w:r>
          </w:p>
        </w:tc>
        <w:tc>
          <w:tcPr>
            <w:tcW w:w="546" w:type="dxa"/>
            <w:shd w:val="clear" w:color="auto" w:fill="auto"/>
            <w:vAlign w:val="center"/>
            <w:hideMark/>
          </w:tcPr>
          <w:p w14:paraId="00E36B06" w14:textId="77777777" w:rsidR="00CC6795" w:rsidRPr="00604C75" w:rsidRDefault="00CC6795" w:rsidP="001B0ADF">
            <w:pPr>
              <w:jc w:val="right"/>
              <w:rPr>
                <w:b/>
                <w:bCs/>
                <w:color w:val="000000"/>
                <w:sz w:val="16"/>
                <w:szCs w:val="16"/>
              </w:rPr>
            </w:pPr>
            <w:r w:rsidRPr="00604C75">
              <w:rPr>
                <w:b/>
                <w:bCs/>
                <w:color w:val="000000"/>
                <w:sz w:val="16"/>
                <w:szCs w:val="16"/>
                <w:lang w:val="tr-TR"/>
              </w:rPr>
              <w:t>10%</w:t>
            </w:r>
          </w:p>
        </w:tc>
        <w:tc>
          <w:tcPr>
            <w:tcW w:w="756" w:type="dxa"/>
            <w:shd w:val="clear" w:color="auto" w:fill="auto"/>
            <w:vAlign w:val="center"/>
            <w:hideMark/>
          </w:tcPr>
          <w:p w14:paraId="2F8D8685" w14:textId="77777777" w:rsidR="00CC6795" w:rsidRPr="00604C75" w:rsidRDefault="00CC6795" w:rsidP="001B0ADF">
            <w:pPr>
              <w:jc w:val="right"/>
              <w:rPr>
                <w:b/>
                <w:bCs/>
                <w:color w:val="000000"/>
                <w:sz w:val="16"/>
                <w:szCs w:val="16"/>
              </w:rPr>
            </w:pPr>
            <w:r w:rsidRPr="00604C75">
              <w:rPr>
                <w:b/>
                <w:bCs/>
                <w:color w:val="000000"/>
                <w:sz w:val="16"/>
                <w:szCs w:val="16"/>
                <w:lang w:val="tr-TR"/>
              </w:rPr>
              <w:t>20%</w:t>
            </w:r>
          </w:p>
        </w:tc>
        <w:tc>
          <w:tcPr>
            <w:tcW w:w="864" w:type="dxa"/>
            <w:shd w:val="clear" w:color="auto" w:fill="auto"/>
            <w:vAlign w:val="center"/>
            <w:hideMark/>
          </w:tcPr>
          <w:p w14:paraId="636E5EC7" w14:textId="77777777" w:rsidR="00CC6795" w:rsidRPr="00604C75" w:rsidRDefault="00CC6795" w:rsidP="001B0ADF">
            <w:pPr>
              <w:jc w:val="right"/>
              <w:rPr>
                <w:b/>
                <w:bCs/>
                <w:color w:val="000000"/>
                <w:sz w:val="16"/>
                <w:szCs w:val="16"/>
              </w:rPr>
            </w:pPr>
            <w:r w:rsidRPr="00604C75">
              <w:rPr>
                <w:b/>
                <w:bCs/>
                <w:color w:val="000000"/>
                <w:sz w:val="16"/>
                <w:szCs w:val="16"/>
                <w:lang w:val="tr-TR"/>
              </w:rPr>
              <w:t>50%</w:t>
            </w:r>
          </w:p>
        </w:tc>
        <w:tc>
          <w:tcPr>
            <w:tcW w:w="856" w:type="dxa"/>
            <w:shd w:val="clear" w:color="auto" w:fill="auto"/>
            <w:vAlign w:val="center"/>
            <w:hideMark/>
          </w:tcPr>
          <w:p w14:paraId="1C36E20F" w14:textId="77777777" w:rsidR="00CC6795" w:rsidRPr="00604C75" w:rsidRDefault="00CC6795" w:rsidP="001B0ADF">
            <w:pPr>
              <w:jc w:val="right"/>
              <w:rPr>
                <w:b/>
                <w:bCs/>
                <w:color w:val="000000"/>
                <w:sz w:val="16"/>
                <w:szCs w:val="16"/>
              </w:rPr>
            </w:pPr>
            <w:r w:rsidRPr="00604C75">
              <w:rPr>
                <w:b/>
                <w:bCs/>
                <w:color w:val="000000"/>
                <w:sz w:val="16"/>
                <w:szCs w:val="16"/>
                <w:lang w:val="tr-TR"/>
              </w:rPr>
              <w:t>75%</w:t>
            </w:r>
          </w:p>
        </w:tc>
        <w:tc>
          <w:tcPr>
            <w:tcW w:w="856" w:type="dxa"/>
            <w:shd w:val="clear" w:color="auto" w:fill="auto"/>
            <w:vAlign w:val="center"/>
            <w:hideMark/>
          </w:tcPr>
          <w:p w14:paraId="008B0882" w14:textId="77777777" w:rsidR="00CC6795" w:rsidRPr="00604C75" w:rsidRDefault="00CC6795" w:rsidP="001B0ADF">
            <w:pPr>
              <w:jc w:val="right"/>
              <w:rPr>
                <w:b/>
                <w:bCs/>
                <w:color w:val="000000"/>
                <w:sz w:val="16"/>
                <w:szCs w:val="16"/>
              </w:rPr>
            </w:pPr>
            <w:r w:rsidRPr="00604C75">
              <w:rPr>
                <w:b/>
                <w:bCs/>
                <w:color w:val="000000"/>
                <w:sz w:val="16"/>
                <w:szCs w:val="16"/>
                <w:lang w:val="tr-TR"/>
              </w:rPr>
              <w:t>100%</w:t>
            </w:r>
          </w:p>
        </w:tc>
        <w:tc>
          <w:tcPr>
            <w:tcW w:w="656" w:type="dxa"/>
            <w:shd w:val="clear" w:color="auto" w:fill="auto"/>
            <w:vAlign w:val="center"/>
            <w:hideMark/>
          </w:tcPr>
          <w:p w14:paraId="70D21966" w14:textId="77777777" w:rsidR="00CC6795" w:rsidRPr="00604C75" w:rsidRDefault="00CC6795" w:rsidP="001B0ADF">
            <w:pPr>
              <w:jc w:val="right"/>
              <w:rPr>
                <w:b/>
                <w:bCs/>
                <w:color w:val="000000"/>
                <w:sz w:val="16"/>
                <w:szCs w:val="16"/>
              </w:rPr>
            </w:pPr>
            <w:r w:rsidRPr="00604C75">
              <w:rPr>
                <w:b/>
                <w:bCs/>
                <w:color w:val="000000"/>
                <w:sz w:val="16"/>
                <w:szCs w:val="16"/>
                <w:lang w:val="tr-TR"/>
              </w:rPr>
              <w:t>150%</w:t>
            </w:r>
          </w:p>
        </w:tc>
        <w:tc>
          <w:tcPr>
            <w:tcW w:w="736" w:type="dxa"/>
            <w:shd w:val="clear" w:color="auto" w:fill="auto"/>
            <w:vAlign w:val="center"/>
            <w:hideMark/>
          </w:tcPr>
          <w:p w14:paraId="47254468" w14:textId="77777777" w:rsidR="00CC6795" w:rsidRPr="00604C75" w:rsidRDefault="00CC6795" w:rsidP="001B0ADF">
            <w:pPr>
              <w:jc w:val="right"/>
              <w:rPr>
                <w:b/>
                <w:bCs/>
                <w:color w:val="000000"/>
                <w:sz w:val="16"/>
                <w:szCs w:val="16"/>
              </w:rPr>
            </w:pPr>
            <w:r w:rsidRPr="00604C75">
              <w:rPr>
                <w:rFonts w:eastAsia="Arial Unicode MS"/>
                <w:b/>
                <w:bCs/>
                <w:color w:val="000000"/>
                <w:sz w:val="16"/>
                <w:szCs w:val="16"/>
                <w:lang w:val="tr-TR"/>
              </w:rPr>
              <w:t>200%</w:t>
            </w:r>
          </w:p>
        </w:tc>
        <w:tc>
          <w:tcPr>
            <w:tcW w:w="616" w:type="dxa"/>
            <w:shd w:val="clear" w:color="auto" w:fill="auto"/>
            <w:vAlign w:val="center"/>
            <w:hideMark/>
          </w:tcPr>
          <w:p w14:paraId="7BBE33CD" w14:textId="77777777" w:rsidR="00CC6795" w:rsidRPr="00604C75" w:rsidRDefault="00CC6795" w:rsidP="001B0ADF">
            <w:pPr>
              <w:jc w:val="right"/>
              <w:rPr>
                <w:b/>
                <w:bCs/>
                <w:color w:val="000000"/>
                <w:sz w:val="16"/>
                <w:szCs w:val="16"/>
              </w:rPr>
            </w:pPr>
            <w:r w:rsidRPr="00604C75">
              <w:rPr>
                <w:rFonts w:eastAsia="Arial Unicode MS"/>
                <w:b/>
                <w:bCs/>
                <w:color w:val="000000"/>
                <w:sz w:val="16"/>
                <w:szCs w:val="16"/>
                <w:lang w:val="tr-TR"/>
              </w:rPr>
              <w:t>250%</w:t>
            </w:r>
          </w:p>
        </w:tc>
        <w:tc>
          <w:tcPr>
            <w:tcW w:w="696" w:type="dxa"/>
            <w:shd w:val="clear" w:color="auto" w:fill="auto"/>
            <w:vAlign w:val="center"/>
            <w:hideMark/>
          </w:tcPr>
          <w:p w14:paraId="4AD64080" w14:textId="77777777" w:rsidR="00CC6795" w:rsidRPr="00604C75" w:rsidRDefault="00CC6795" w:rsidP="001B0ADF">
            <w:pPr>
              <w:jc w:val="right"/>
              <w:rPr>
                <w:b/>
                <w:bCs/>
                <w:color w:val="000000"/>
                <w:sz w:val="16"/>
                <w:szCs w:val="16"/>
              </w:rPr>
            </w:pPr>
            <w:r w:rsidRPr="00604C75">
              <w:rPr>
                <w:rFonts w:eastAsia="Arial Unicode MS"/>
                <w:b/>
                <w:bCs/>
                <w:color w:val="000000"/>
                <w:sz w:val="16"/>
                <w:szCs w:val="16"/>
                <w:lang w:val="tr-TR"/>
              </w:rPr>
              <w:t>1250%</w:t>
            </w:r>
          </w:p>
        </w:tc>
      </w:tr>
      <w:tr w:rsidR="00224102" w:rsidRPr="00604C75" w14:paraId="4EC1C10A" w14:textId="77777777" w:rsidTr="00D75635">
        <w:trPr>
          <w:trHeight w:hRule="exact" w:val="282"/>
        </w:trPr>
        <w:tc>
          <w:tcPr>
            <w:tcW w:w="2674" w:type="dxa"/>
            <w:shd w:val="clear" w:color="auto" w:fill="auto"/>
            <w:vAlign w:val="center"/>
            <w:hideMark/>
          </w:tcPr>
          <w:p w14:paraId="652E913E" w14:textId="77777777" w:rsidR="00224102" w:rsidRPr="00604C75" w:rsidRDefault="00224102" w:rsidP="00224102">
            <w:pPr>
              <w:ind w:firstLineChars="200" w:firstLine="321"/>
              <w:rPr>
                <w:b/>
                <w:color w:val="000000"/>
                <w:sz w:val="16"/>
                <w:szCs w:val="16"/>
              </w:rPr>
            </w:pPr>
            <w:r w:rsidRPr="00604C75">
              <w:rPr>
                <w:b/>
                <w:color w:val="000000"/>
                <w:sz w:val="16"/>
                <w:szCs w:val="16"/>
              </w:rPr>
              <w:t>Value at Credit Risk</w:t>
            </w:r>
          </w:p>
        </w:tc>
        <w:tc>
          <w:tcPr>
            <w:tcW w:w="882" w:type="dxa"/>
            <w:shd w:val="clear" w:color="auto" w:fill="auto"/>
            <w:vAlign w:val="bottom"/>
          </w:tcPr>
          <w:p w14:paraId="4686E7FE" w14:textId="4A129144" w:rsidR="00224102" w:rsidRPr="006B5904" w:rsidRDefault="00224102" w:rsidP="00224102">
            <w:pPr>
              <w:jc w:val="right"/>
              <w:rPr>
                <w:b/>
                <w:bCs/>
                <w:color w:val="000000"/>
                <w:sz w:val="16"/>
                <w:szCs w:val="16"/>
              </w:rPr>
            </w:pPr>
            <w:r>
              <w:rPr>
                <w:b/>
                <w:bCs/>
                <w:color w:val="000000"/>
                <w:sz w:val="16"/>
                <w:szCs w:val="16"/>
              </w:rPr>
              <w:t>2,001,648</w:t>
            </w:r>
          </w:p>
        </w:tc>
        <w:tc>
          <w:tcPr>
            <w:tcW w:w="546" w:type="dxa"/>
            <w:shd w:val="clear" w:color="auto" w:fill="auto"/>
            <w:vAlign w:val="bottom"/>
          </w:tcPr>
          <w:p w14:paraId="407EC767" w14:textId="6D82BFCD" w:rsidR="00224102" w:rsidRPr="006B5904" w:rsidRDefault="00224102" w:rsidP="00224102">
            <w:pPr>
              <w:jc w:val="right"/>
              <w:rPr>
                <w:b/>
                <w:bCs/>
                <w:color w:val="000000"/>
                <w:sz w:val="16"/>
                <w:szCs w:val="16"/>
              </w:rPr>
            </w:pPr>
            <w:r>
              <w:rPr>
                <w:b/>
                <w:bCs/>
                <w:color w:val="000000"/>
                <w:sz w:val="16"/>
                <w:szCs w:val="16"/>
              </w:rPr>
              <w:t>-</w:t>
            </w:r>
          </w:p>
        </w:tc>
        <w:tc>
          <w:tcPr>
            <w:tcW w:w="756" w:type="dxa"/>
            <w:shd w:val="clear" w:color="auto" w:fill="auto"/>
            <w:vAlign w:val="bottom"/>
          </w:tcPr>
          <w:p w14:paraId="5AB482DF" w14:textId="76D63DB3" w:rsidR="00224102" w:rsidRPr="006B5904" w:rsidRDefault="00224102" w:rsidP="00224102">
            <w:pPr>
              <w:jc w:val="right"/>
              <w:rPr>
                <w:b/>
                <w:bCs/>
                <w:color w:val="000000"/>
                <w:sz w:val="16"/>
                <w:szCs w:val="16"/>
              </w:rPr>
            </w:pPr>
            <w:r>
              <w:rPr>
                <w:b/>
                <w:bCs/>
                <w:color w:val="000000"/>
                <w:sz w:val="16"/>
                <w:szCs w:val="16"/>
              </w:rPr>
              <w:t>688,455</w:t>
            </w:r>
          </w:p>
        </w:tc>
        <w:tc>
          <w:tcPr>
            <w:tcW w:w="864" w:type="dxa"/>
            <w:shd w:val="clear" w:color="auto" w:fill="auto"/>
            <w:vAlign w:val="bottom"/>
          </w:tcPr>
          <w:p w14:paraId="5A0D97A7" w14:textId="5EDECC97" w:rsidR="00224102" w:rsidRPr="006B5904" w:rsidRDefault="00224102" w:rsidP="00224102">
            <w:pPr>
              <w:jc w:val="right"/>
              <w:rPr>
                <w:b/>
                <w:bCs/>
                <w:color w:val="000000"/>
                <w:sz w:val="16"/>
                <w:szCs w:val="16"/>
              </w:rPr>
            </w:pPr>
            <w:r>
              <w:rPr>
                <w:b/>
                <w:bCs/>
                <w:color w:val="000000"/>
                <w:sz w:val="16"/>
                <w:szCs w:val="16"/>
              </w:rPr>
              <w:t>3,969,497</w:t>
            </w:r>
          </w:p>
        </w:tc>
        <w:tc>
          <w:tcPr>
            <w:tcW w:w="856" w:type="dxa"/>
            <w:shd w:val="clear" w:color="auto" w:fill="auto"/>
            <w:vAlign w:val="bottom"/>
          </w:tcPr>
          <w:p w14:paraId="567FB80F" w14:textId="6994121E" w:rsidR="00224102" w:rsidRPr="006B5904" w:rsidRDefault="00224102" w:rsidP="00224102">
            <w:pPr>
              <w:jc w:val="right"/>
              <w:rPr>
                <w:b/>
                <w:bCs/>
                <w:color w:val="000000"/>
                <w:sz w:val="16"/>
                <w:szCs w:val="16"/>
              </w:rPr>
            </w:pPr>
            <w:r>
              <w:rPr>
                <w:b/>
                <w:bCs/>
                <w:color w:val="000000"/>
                <w:sz w:val="16"/>
                <w:szCs w:val="16"/>
              </w:rPr>
              <w:t>1,815,204</w:t>
            </w:r>
          </w:p>
        </w:tc>
        <w:tc>
          <w:tcPr>
            <w:tcW w:w="856" w:type="dxa"/>
            <w:shd w:val="clear" w:color="auto" w:fill="auto"/>
            <w:vAlign w:val="bottom"/>
          </w:tcPr>
          <w:p w14:paraId="7CC501D8" w14:textId="2AF4FD19" w:rsidR="00224102" w:rsidRPr="006B5904" w:rsidRDefault="00224102" w:rsidP="00224102">
            <w:pPr>
              <w:jc w:val="right"/>
              <w:rPr>
                <w:b/>
                <w:bCs/>
                <w:color w:val="000000"/>
                <w:sz w:val="16"/>
                <w:szCs w:val="16"/>
              </w:rPr>
            </w:pPr>
            <w:r>
              <w:rPr>
                <w:b/>
                <w:bCs/>
                <w:color w:val="000000"/>
                <w:sz w:val="16"/>
                <w:szCs w:val="16"/>
              </w:rPr>
              <w:t>7,132,285</w:t>
            </w:r>
          </w:p>
        </w:tc>
        <w:tc>
          <w:tcPr>
            <w:tcW w:w="656" w:type="dxa"/>
            <w:shd w:val="clear" w:color="auto" w:fill="auto"/>
            <w:vAlign w:val="bottom"/>
          </w:tcPr>
          <w:p w14:paraId="2CE4B8FA" w14:textId="3F5EB546" w:rsidR="00224102" w:rsidRPr="006B5904" w:rsidRDefault="00224102" w:rsidP="00224102">
            <w:pPr>
              <w:jc w:val="right"/>
              <w:rPr>
                <w:b/>
                <w:bCs/>
                <w:color w:val="000000"/>
                <w:sz w:val="16"/>
                <w:szCs w:val="16"/>
              </w:rPr>
            </w:pPr>
            <w:r>
              <w:rPr>
                <w:b/>
                <w:bCs/>
                <w:color w:val="000000"/>
                <w:sz w:val="16"/>
                <w:szCs w:val="16"/>
              </w:rPr>
              <w:t>66,008</w:t>
            </w:r>
          </w:p>
        </w:tc>
        <w:tc>
          <w:tcPr>
            <w:tcW w:w="736" w:type="dxa"/>
            <w:shd w:val="clear" w:color="auto" w:fill="auto"/>
            <w:vAlign w:val="bottom"/>
          </w:tcPr>
          <w:p w14:paraId="5D990BE3" w14:textId="21172523" w:rsidR="00224102" w:rsidRPr="006B5904" w:rsidRDefault="00224102" w:rsidP="00224102">
            <w:pPr>
              <w:jc w:val="right"/>
              <w:rPr>
                <w:b/>
                <w:bCs/>
                <w:color w:val="000000"/>
                <w:sz w:val="16"/>
                <w:szCs w:val="16"/>
              </w:rPr>
            </w:pPr>
            <w:r>
              <w:rPr>
                <w:b/>
                <w:bCs/>
                <w:color w:val="000000"/>
                <w:sz w:val="16"/>
                <w:szCs w:val="16"/>
              </w:rPr>
              <w:t>31,386</w:t>
            </w:r>
          </w:p>
        </w:tc>
        <w:tc>
          <w:tcPr>
            <w:tcW w:w="616" w:type="dxa"/>
            <w:shd w:val="clear" w:color="auto" w:fill="auto"/>
            <w:vAlign w:val="bottom"/>
          </w:tcPr>
          <w:p w14:paraId="5369DEBA" w14:textId="4AB0F60E" w:rsidR="00224102" w:rsidRPr="006B5904" w:rsidRDefault="00224102" w:rsidP="00224102">
            <w:pPr>
              <w:jc w:val="right"/>
              <w:rPr>
                <w:b/>
                <w:bCs/>
                <w:color w:val="000000"/>
                <w:sz w:val="16"/>
                <w:szCs w:val="16"/>
              </w:rPr>
            </w:pPr>
            <w:r>
              <w:rPr>
                <w:b/>
                <w:bCs/>
                <w:color w:val="000000"/>
                <w:sz w:val="16"/>
                <w:szCs w:val="16"/>
              </w:rPr>
              <w:t>-</w:t>
            </w:r>
          </w:p>
        </w:tc>
        <w:tc>
          <w:tcPr>
            <w:tcW w:w="696" w:type="dxa"/>
            <w:shd w:val="clear" w:color="auto" w:fill="auto"/>
            <w:vAlign w:val="bottom"/>
          </w:tcPr>
          <w:p w14:paraId="1F92688E" w14:textId="7AAF3610" w:rsidR="00224102" w:rsidRPr="006B5904" w:rsidRDefault="00224102" w:rsidP="00224102">
            <w:pPr>
              <w:jc w:val="right"/>
              <w:rPr>
                <w:b/>
                <w:bCs/>
                <w:color w:val="000000"/>
                <w:sz w:val="16"/>
                <w:szCs w:val="16"/>
              </w:rPr>
            </w:pPr>
            <w:r>
              <w:rPr>
                <w:b/>
                <w:bCs/>
                <w:color w:val="000000"/>
                <w:sz w:val="16"/>
                <w:szCs w:val="16"/>
              </w:rPr>
              <w:t>-</w:t>
            </w:r>
          </w:p>
        </w:tc>
      </w:tr>
      <w:tr w:rsidR="00224102" w:rsidRPr="00604C75" w14:paraId="79670049" w14:textId="77777777" w:rsidTr="00D75635">
        <w:trPr>
          <w:trHeight w:hRule="exact" w:val="269"/>
        </w:trPr>
        <w:tc>
          <w:tcPr>
            <w:tcW w:w="2674" w:type="dxa"/>
            <w:shd w:val="clear" w:color="auto" w:fill="auto"/>
            <w:vAlign w:val="center"/>
            <w:hideMark/>
          </w:tcPr>
          <w:p w14:paraId="7A1771F9" w14:textId="77777777" w:rsidR="00224102" w:rsidRPr="00604C75" w:rsidRDefault="00224102" w:rsidP="00224102">
            <w:pPr>
              <w:ind w:firstLineChars="200" w:firstLine="321"/>
              <w:rPr>
                <w:color w:val="000000"/>
                <w:sz w:val="16"/>
                <w:szCs w:val="16"/>
              </w:rPr>
            </w:pPr>
            <w:r w:rsidRPr="00604C75">
              <w:rPr>
                <w:b/>
                <w:snapToGrid w:val="0"/>
                <w:sz w:val="16"/>
                <w:szCs w:val="16"/>
              </w:rPr>
              <w:t>Risk Groups</w:t>
            </w:r>
          </w:p>
        </w:tc>
        <w:tc>
          <w:tcPr>
            <w:tcW w:w="882" w:type="dxa"/>
            <w:shd w:val="clear" w:color="auto" w:fill="auto"/>
            <w:vAlign w:val="bottom"/>
          </w:tcPr>
          <w:p w14:paraId="707C5963" w14:textId="77777777" w:rsidR="00224102" w:rsidRPr="006B5904" w:rsidRDefault="00224102" w:rsidP="00224102">
            <w:pPr>
              <w:jc w:val="right"/>
              <w:rPr>
                <w:sz w:val="16"/>
                <w:szCs w:val="16"/>
              </w:rPr>
            </w:pPr>
          </w:p>
        </w:tc>
        <w:tc>
          <w:tcPr>
            <w:tcW w:w="546" w:type="dxa"/>
            <w:shd w:val="clear" w:color="auto" w:fill="auto"/>
            <w:vAlign w:val="bottom"/>
          </w:tcPr>
          <w:p w14:paraId="6D7E1596" w14:textId="77777777" w:rsidR="00224102" w:rsidRPr="006B5904" w:rsidRDefault="00224102" w:rsidP="00224102">
            <w:pPr>
              <w:jc w:val="right"/>
              <w:rPr>
                <w:sz w:val="16"/>
                <w:szCs w:val="16"/>
              </w:rPr>
            </w:pPr>
          </w:p>
        </w:tc>
        <w:tc>
          <w:tcPr>
            <w:tcW w:w="756" w:type="dxa"/>
            <w:shd w:val="clear" w:color="auto" w:fill="auto"/>
            <w:vAlign w:val="bottom"/>
          </w:tcPr>
          <w:p w14:paraId="190F079E" w14:textId="77777777" w:rsidR="00224102" w:rsidRPr="006B5904" w:rsidRDefault="00224102" w:rsidP="00224102">
            <w:pPr>
              <w:jc w:val="right"/>
              <w:rPr>
                <w:sz w:val="16"/>
                <w:szCs w:val="16"/>
              </w:rPr>
            </w:pPr>
          </w:p>
        </w:tc>
        <w:tc>
          <w:tcPr>
            <w:tcW w:w="864" w:type="dxa"/>
            <w:shd w:val="clear" w:color="auto" w:fill="auto"/>
            <w:vAlign w:val="bottom"/>
          </w:tcPr>
          <w:p w14:paraId="70A3F011" w14:textId="77777777" w:rsidR="00224102" w:rsidRPr="006B5904" w:rsidRDefault="00224102" w:rsidP="00224102">
            <w:pPr>
              <w:jc w:val="right"/>
              <w:rPr>
                <w:sz w:val="16"/>
                <w:szCs w:val="16"/>
              </w:rPr>
            </w:pPr>
          </w:p>
        </w:tc>
        <w:tc>
          <w:tcPr>
            <w:tcW w:w="856" w:type="dxa"/>
            <w:shd w:val="clear" w:color="auto" w:fill="auto"/>
            <w:vAlign w:val="bottom"/>
          </w:tcPr>
          <w:p w14:paraId="5C3DBACE" w14:textId="77777777" w:rsidR="00224102" w:rsidRPr="006B5904" w:rsidRDefault="00224102" w:rsidP="00224102">
            <w:pPr>
              <w:jc w:val="right"/>
              <w:rPr>
                <w:sz w:val="16"/>
                <w:szCs w:val="16"/>
              </w:rPr>
            </w:pPr>
          </w:p>
        </w:tc>
        <w:tc>
          <w:tcPr>
            <w:tcW w:w="856" w:type="dxa"/>
            <w:shd w:val="clear" w:color="auto" w:fill="auto"/>
            <w:vAlign w:val="bottom"/>
          </w:tcPr>
          <w:p w14:paraId="473449C7" w14:textId="77777777" w:rsidR="00224102" w:rsidRPr="006B5904" w:rsidRDefault="00224102" w:rsidP="00224102">
            <w:pPr>
              <w:jc w:val="right"/>
              <w:rPr>
                <w:sz w:val="16"/>
                <w:szCs w:val="16"/>
              </w:rPr>
            </w:pPr>
          </w:p>
        </w:tc>
        <w:tc>
          <w:tcPr>
            <w:tcW w:w="656" w:type="dxa"/>
            <w:shd w:val="clear" w:color="auto" w:fill="auto"/>
            <w:vAlign w:val="bottom"/>
          </w:tcPr>
          <w:p w14:paraId="3BFF2212" w14:textId="77777777" w:rsidR="00224102" w:rsidRPr="006B5904" w:rsidRDefault="00224102" w:rsidP="00224102">
            <w:pPr>
              <w:jc w:val="right"/>
              <w:rPr>
                <w:sz w:val="16"/>
                <w:szCs w:val="16"/>
              </w:rPr>
            </w:pPr>
          </w:p>
        </w:tc>
        <w:tc>
          <w:tcPr>
            <w:tcW w:w="736" w:type="dxa"/>
            <w:shd w:val="clear" w:color="auto" w:fill="auto"/>
            <w:vAlign w:val="bottom"/>
          </w:tcPr>
          <w:p w14:paraId="45CAF105" w14:textId="77777777" w:rsidR="00224102" w:rsidRPr="006B5904" w:rsidRDefault="00224102" w:rsidP="00224102">
            <w:pPr>
              <w:jc w:val="right"/>
              <w:rPr>
                <w:sz w:val="16"/>
                <w:szCs w:val="16"/>
              </w:rPr>
            </w:pPr>
          </w:p>
        </w:tc>
        <w:tc>
          <w:tcPr>
            <w:tcW w:w="616" w:type="dxa"/>
            <w:shd w:val="clear" w:color="auto" w:fill="auto"/>
            <w:vAlign w:val="bottom"/>
          </w:tcPr>
          <w:p w14:paraId="158D168C" w14:textId="77777777" w:rsidR="00224102" w:rsidRPr="006B5904" w:rsidRDefault="00224102" w:rsidP="00224102">
            <w:pPr>
              <w:tabs>
                <w:tab w:val="left" w:pos="709"/>
              </w:tabs>
              <w:ind w:left="709" w:right="-68" w:hanging="709"/>
              <w:jc w:val="right"/>
              <w:rPr>
                <w:sz w:val="16"/>
                <w:szCs w:val="16"/>
              </w:rPr>
            </w:pPr>
          </w:p>
        </w:tc>
        <w:tc>
          <w:tcPr>
            <w:tcW w:w="696" w:type="dxa"/>
            <w:shd w:val="clear" w:color="auto" w:fill="auto"/>
            <w:vAlign w:val="bottom"/>
          </w:tcPr>
          <w:p w14:paraId="60A6C882" w14:textId="77777777" w:rsidR="00224102" w:rsidRPr="006B5904" w:rsidRDefault="00224102" w:rsidP="00224102">
            <w:pPr>
              <w:tabs>
                <w:tab w:val="left" w:pos="709"/>
              </w:tabs>
              <w:ind w:left="709" w:right="-68" w:hanging="709"/>
              <w:jc w:val="right"/>
              <w:rPr>
                <w:sz w:val="16"/>
                <w:szCs w:val="16"/>
              </w:rPr>
            </w:pPr>
          </w:p>
        </w:tc>
      </w:tr>
      <w:tr w:rsidR="00224102" w:rsidRPr="00604C75" w14:paraId="27AE3A52" w14:textId="77777777" w:rsidTr="00D75635">
        <w:trPr>
          <w:trHeight w:val="227"/>
        </w:trPr>
        <w:tc>
          <w:tcPr>
            <w:tcW w:w="2674" w:type="dxa"/>
            <w:shd w:val="clear" w:color="auto" w:fill="auto"/>
            <w:vAlign w:val="bottom"/>
            <w:hideMark/>
          </w:tcPr>
          <w:p w14:paraId="7F82E148" w14:textId="77777777" w:rsidR="00224102" w:rsidRPr="00604C75" w:rsidRDefault="00224102" w:rsidP="00224102">
            <w:pPr>
              <w:ind w:left="318" w:firstLineChars="1" w:firstLine="1"/>
              <w:rPr>
                <w:color w:val="000000"/>
                <w:sz w:val="16"/>
                <w:szCs w:val="16"/>
              </w:rPr>
            </w:pPr>
            <w:r w:rsidRPr="00604C75">
              <w:rPr>
                <w:color w:val="000000"/>
                <w:sz w:val="14"/>
                <w:szCs w:val="14"/>
              </w:rPr>
              <w:t>Contingent and Non-Contingent      Receivables from Central Governments or Central Banks</w:t>
            </w:r>
            <w:r w:rsidRPr="00604C75" w:rsidDel="006D7232">
              <w:rPr>
                <w:rFonts w:eastAsia="Arial Unicode MS"/>
                <w:sz w:val="16"/>
                <w:szCs w:val="16"/>
              </w:rPr>
              <w:t xml:space="preserve"> </w:t>
            </w:r>
          </w:p>
        </w:tc>
        <w:tc>
          <w:tcPr>
            <w:tcW w:w="882" w:type="dxa"/>
            <w:shd w:val="clear" w:color="auto" w:fill="auto"/>
            <w:vAlign w:val="bottom"/>
          </w:tcPr>
          <w:p w14:paraId="5B099598" w14:textId="2E7B95AF" w:rsidR="00224102" w:rsidRPr="006B5904" w:rsidRDefault="00224102" w:rsidP="00224102">
            <w:pPr>
              <w:jc w:val="right"/>
              <w:rPr>
                <w:color w:val="000000"/>
                <w:sz w:val="16"/>
                <w:szCs w:val="16"/>
              </w:rPr>
            </w:pPr>
            <w:r w:rsidRPr="00C80118">
              <w:rPr>
                <w:color w:val="000000"/>
                <w:sz w:val="16"/>
                <w:szCs w:val="16"/>
              </w:rPr>
              <w:t>1,821,604</w:t>
            </w:r>
          </w:p>
        </w:tc>
        <w:tc>
          <w:tcPr>
            <w:tcW w:w="546" w:type="dxa"/>
            <w:shd w:val="clear" w:color="auto" w:fill="auto"/>
            <w:vAlign w:val="bottom"/>
          </w:tcPr>
          <w:p w14:paraId="19BCCD99" w14:textId="2BF2FAA3"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7B283734" w14:textId="6AA71DD1"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50DAB0D0" w14:textId="4B615BEA" w:rsidR="00224102" w:rsidRPr="006B5904" w:rsidRDefault="00224102" w:rsidP="00224102">
            <w:pPr>
              <w:jc w:val="right"/>
              <w:rPr>
                <w:color w:val="000000"/>
                <w:sz w:val="16"/>
                <w:szCs w:val="16"/>
              </w:rPr>
            </w:pPr>
            <w:r w:rsidRPr="00C80118">
              <w:rPr>
                <w:color w:val="000000"/>
                <w:sz w:val="16"/>
                <w:szCs w:val="16"/>
              </w:rPr>
              <w:t>323,090</w:t>
            </w:r>
          </w:p>
        </w:tc>
        <w:tc>
          <w:tcPr>
            <w:tcW w:w="856" w:type="dxa"/>
            <w:shd w:val="clear" w:color="auto" w:fill="auto"/>
            <w:vAlign w:val="bottom"/>
          </w:tcPr>
          <w:p w14:paraId="70BDFD31" w14:textId="0E695A91"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43A734A4" w14:textId="50998F45"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009B4A87" w14:textId="3EC02BD9"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6086D370" w14:textId="6D45630A"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2F6A6AF2" w14:textId="73E07AE8"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2095A380" w14:textId="4D1D0DCB"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00723471" w14:textId="77777777" w:rsidTr="00D75635">
        <w:trPr>
          <w:trHeight w:val="284"/>
        </w:trPr>
        <w:tc>
          <w:tcPr>
            <w:tcW w:w="2674" w:type="dxa"/>
            <w:shd w:val="clear" w:color="auto" w:fill="auto"/>
            <w:vAlign w:val="bottom"/>
            <w:hideMark/>
          </w:tcPr>
          <w:p w14:paraId="620026F1" w14:textId="77777777" w:rsidR="00224102" w:rsidRPr="00604C75" w:rsidRDefault="00224102" w:rsidP="00224102">
            <w:pPr>
              <w:ind w:left="318" w:firstLineChars="1" w:firstLine="2"/>
              <w:rPr>
                <w:color w:val="000000"/>
                <w:sz w:val="16"/>
                <w:szCs w:val="16"/>
              </w:rPr>
            </w:pPr>
            <w:r w:rsidRPr="00604C75">
              <w:rPr>
                <w:color w:val="000000"/>
                <w:sz w:val="16"/>
                <w:szCs w:val="16"/>
              </w:rPr>
              <w:t>Contingent and Non-Contingent Receivables from Regional Government or Domestic Government</w:t>
            </w:r>
            <w:r w:rsidRPr="00604C75" w:rsidDel="006D7232">
              <w:rPr>
                <w:sz w:val="16"/>
                <w:szCs w:val="16"/>
              </w:rPr>
              <w:t xml:space="preserve"> </w:t>
            </w:r>
          </w:p>
        </w:tc>
        <w:tc>
          <w:tcPr>
            <w:tcW w:w="882" w:type="dxa"/>
            <w:shd w:val="clear" w:color="auto" w:fill="auto"/>
            <w:vAlign w:val="bottom"/>
          </w:tcPr>
          <w:p w14:paraId="3AE2CC82" w14:textId="1625C1D1"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29CC72B7" w14:textId="44E85BDE"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2359A801" w14:textId="5BD67E65"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418EF9D1" w14:textId="1530E0ED"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25129D65" w14:textId="7BEFBB50"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562CF6B2" w14:textId="7A077E30"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1600DDB0" w14:textId="4A670339"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3A45664E" w14:textId="567AFD23"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13728F1D" w14:textId="1AE884DC"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2CE8F7AB" w14:textId="07D3E0D6"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69DE981E" w14:textId="77777777" w:rsidTr="00D75635">
        <w:trPr>
          <w:trHeight w:val="284"/>
        </w:trPr>
        <w:tc>
          <w:tcPr>
            <w:tcW w:w="2674" w:type="dxa"/>
            <w:shd w:val="clear" w:color="auto" w:fill="auto"/>
            <w:vAlign w:val="bottom"/>
            <w:hideMark/>
          </w:tcPr>
          <w:p w14:paraId="385273F2" w14:textId="77777777" w:rsidR="00224102" w:rsidRPr="00604C75" w:rsidRDefault="00224102" w:rsidP="00224102">
            <w:pPr>
              <w:ind w:left="318" w:firstLineChars="1" w:firstLine="2"/>
              <w:rPr>
                <w:color w:val="000000"/>
                <w:sz w:val="16"/>
                <w:szCs w:val="16"/>
              </w:rPr>
            </w:pPr>
            <w:r w:rsidRPr="00604C75">
              <w:rPr>
                <w:color w:val="000000"/>
                <w:sz w:val="16"/>
                <w:szCs w:val="16"/>
              </w:rPr>
              <w:t>Contingent and Non-Contingent Receivables from Administrative Units and Non-Commercial Enterprises</w:t>
            </w:r>
          </w:p>
        </w:tc>
        <w:tc>
          <w:tcPr>
            <w:tcW w:w="882" w:type="dxa"/>
            <w:shd w:val="clear" w:color="auto" w:fill="auto"/>
            <w:vAlign w:val="bottom"/>
          </w:tcPr>
          <w:p w14:paraId="4E36DACA" w14:textId="4ED383BA"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29744E74" w14:textId="4C3528AE"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6DF26E29" w14:textId="2BB6849F"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087919AD" w14:textId="73208E11"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28DAC236" w14:textId="1E676F8E"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6B596C94" w14:textId="129B41E8" w:rsidR="00224102" w:rsidRPr="006B5904" w:rsidRDefault="00224102" w:rsidP="00224102">
            <w:pPr>
              <w:jc w:val="right"/>
              <w:rPr>
                <w:color w:val="000000"/>
                <w:sz w:val="16"/>
                <w:szCs w:val="16"/>
              </w:rPr>
            </w:pPr>
            <w:r w:rsidRPr="00C80118">
              <w:rPr>
                <w:color w:val="000000"/>
                <w:sz w:val="16"/>
                <w:szCs w:val="16"/>
              </w:rPr>
              <w:t>1,310</w:t>
            </w:r>
          </w:p>
        </w:tc>
        <w:tc>
          <w:tcPr>
            <w:tcW w:w="656" w:type="dxa"/>
            <w:shd w:val="clear" w:color="auto" w:fill="auto"/>
            <w:vAlign w:val="bottom"/>
          </w:tcPr>
          <w:p w14:paraId="60A7573C" w14:textId="3FBBE1BF"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0ECA812D" w14:textId="4032FB71"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09CA4FCD" w14:textId="2EA2730C"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316424A5" w14:textId="74C057BB"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01C058ED" w14:textId="77777777" w:rsidTr="00D75635">
        <w:trPr>
          <w:trHeight w:val="284"/>
        </w:trPr>
        <w:tc>
          <w:tcPr>
            <w:tcW w:w="2674" w:type="dxa"/>
            <w:shd w:val="clear" w:color="auto" w:fill="auto"/>
            <w:vAlign w:val="bottom"/>
            <w:hideMark/>
          </w:tcPr>
          <w:p w14:paraId="1B7EB05C" w14:textId="77777777" w:rsidR="00224102" w:rsidRPr="00604C75" w:rsidRDefault="00224102" w:rsidP="00224102">
            <w:pPr>
              <w:ind w:left="318" w:firstLineChars="1" w:firstLine="2"/>
              <w:rPr>
                <w:color w:val="000000"/>
                <w:sz w:val="16"/>
                <w:szCs w:val="16"/>
              </w:rPr>
            </w:pPr>
            <w:r w:rsidRPr="00604C75">
              <w:rPr>
                <w:color w:val="000000"/>
                <w:sz w:val="16"/>
                <w:szCs w:val="16"/>
              </w:rPr>
              <w:t>Contingent and Non-Contingent Receivables from Multilateral Development Banks</w:t>
            </w:r>
          </w:p>
        </w:tc>
        <w:tc>
          <w:tcPr>
            <w:tcW w:w="882" w:type="dxa"/>
            <w:shd w:val="clear" w:color="auto" w:fill="auto"/>
            <w:vAlign w:val="bottom"/>
          </w:tcPr>
          <w:p w14:paraId="66407DC1" w14:textId="248F884A"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53254821" w14:textId="23D9AB49"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584CECDC" w14:textId="68B62208"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1A2789B8" w14:textId="149BD73B"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79DB0A7E" w14:textId="4905F3C8"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632E7BE2" w14:textId="5DFDD703"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09536D8A" w14:textId="069D9865"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609DF1D7" w14:textId="076CEA5E"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2653B37A" w14:textId="41F2BFAD"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74191826" w14:textId="37CC272A"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08A99F78" w14:textId="77777777" w:rsidTr="00D75635">
        <w:trPr>
          <w:trHeight w:val="284"/>
        </w:trPr>
        <w:tc>
          <w:tcPr>
            <w:tcW w:w="2674" w:type="dxa"/>
            <w:shd w:val="clear" w:color="auto" w:fill="auto"/>
            <w:vAlign w:val="bottom"/>
            <w:hideMark/>
          </w:tcPr>
          <w:p w14:paraId="4B203DF6" w14:textId="77777777" w:rsidR="00224102" w:rsidRPr="00604C75" w:rsidRDefault="00224102" w:rsidP="00224102">
            <w:pPr>
              <w:ind w:left="318" w:firstLineChars="1" w:firstLine="2"/>
              <w:rPr>
                <w:color w:val="000000"/>
                <w:sz w:val="16"/>
                <w:szCs w:val="16"/>
              </w:rPr>
            </w:pPr>
            <w:r w:rsidRPr="00604C75">
              <w:rPr>
                <w:color w:val="000000"/>
                <w:sz w:val="16"/>
                <w:szCs w:val="16"/>
              </w:rPr>
              <w:t>Contingent and Non-Contingent Receivables from International Organizations</w:t>
            </w:r>
          </w:p>
        </w:tc>
        <w:tc>
          <w:tcPr>
            <w:tcW w:w="882" w:type="dxa"/>
            <w:shd w:val="clear" w:color="auto" w:fill="auto"/>
            <w:vAlign w:val="bottom"/>
          </w:tcPr>
          <w:p w14:paraId="2EF5D33F" w14:textId="68177215"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27B5F04E" w14:textId="698E58EA"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09D0A0B4" w14:textId="3D6A72B0"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23B1CDFE" w14:textId="258CF2C3"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77385061" w14:textId="4F05412D"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4670818A" w14:textId="47E1A173"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65265EFA" w14:textId="1059BBE2"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0C16807A" w14:textId="7F447D5D"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564B9220" w14:textId="351161D0"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2C31AC3E" w14:textId="5D5751EA"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74BB4F30" w14:textId="77777777" w:rsidTr="00D75635">
        <w:trPr>
          <w:trHeight w:val="284"/>
        </w:trPr>
        <w:tc>
          <w:tcPr>
            <w:tcW w:w="2674" w:type="dxa"/>
            <w:shd w:val="clear" w:color="auto" w:fill="auto"/>
            <w:vAlign w:val="bottom"/>
            <w:hideMark/>
          </w:tcPr>
          <w:p w14:paraId="6E576302" w14:textId="77777777" w:rsidR="00224102" w:rsidRPr="00604C75" w:rsidRDefault="00224102" w:rsidP="00224102">
            <w:pPr>
              <w:ind w:left="318" w:firstLineChars="1" w:firstLine="2"/>
              <w:rPr>
                <w:color w:val="000000"/>
                <w:sz w:val="16"/>
                <w:szCs w:val="16"/>
              </w:rPr>
            </w:pPr>
            <w:r w:rsidRPr="00604C75">
              <w:rPr>
                <w:color w:val="000000"/>
                <w:sz w:val="16"/>
                <w:szCs w:val="16"/>
              </w:rPr>
              <w:t xml:space="preserve">Contingent and Non-Contingent Receivables from </w:t>
            </w:r>
          </w:p>
          <w:p w14:paraId="297E2835" w14:textId="77777777" w:rsidR="00224102" w:rsidRPr="00604C75" w:rsidRDefault="00224102" w:rsidP="00224102">
            <w:pPr>
              <w:ind w:left="318" w:firstLineChars="1" w:firstLine="2"/>
              <w:rPr>
                <w:color w:val="000000"/>
                <w:sz w:val="16"/>
                <w:szCs w:val="16"/>
              </w:rPr>
            </w:pPr>
            <w:r w:rsidRPr="00604C75">
              <w:rPr>
                <w:color w:val="000000"/>
                <w:sz w:val="16"/>
                <w:szCs w:val="16"/>
              </w:rPr>
              <w:t>Banks and Intermediaries</w:t>
            </w:r>
          </w:p>
        </w:tc>
        <w:tc>
          <w:tcPr>
            <w:tcW w:w="882" w:type="dxa"/>
            <w:shd w:val="clear" w:color="auto" w:fill="auto"/>
            <w:vAlign w:val="bottom"/>
          </w:tcPr>
          <w:p w14:paraId="67D9430E" w14:textId="49BDD9B5"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14EE6D12" w14:textId="5F30DFE3"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19DAFE1E" w14:textId="261D5C17" w:rsidR="00224102" w:rsidRPr="006B5904" w:rsidRDefault="00224102" w:rsidP="00224102">
            <w:pPr>
              <w:jc w:val="right"/>
              <w:rPr>
                <w:color w:val="000000"/>
                <w:sz w:val="16"/>
                <w:szCs w:val="16"/>
              </w:rPr>
            </w:pPr>
            <w:r w:rsidRPr="00C80118">
              <w:rPr>
                <w:color w:val="000000"/>
                <w:sz w:val="16"/>
                <w:szCs w:val="16"/>
              </w:rPr>
              <w:t>688,420</w:t>
            </w:r>
          </w:p>
        </w:tc>
        <w:tc>
          <w:tcPr>
            <w:tcW w:w="864" w:type="dxa"/>
            <w:shd w:val="clear" w:color="auto" w:fill="auto"/>
            <w:vAlign w:val="bottom"/>
          </w:tcPr>
          <w:p w14:paraId="01538FAE" w14:textId="192A28E0" w:rsidR="00224102" w:rsidRPr="006B5904" w:rsidRDefault="00224102" w:rsidP="00224102">
            <w:pPr>
              <w:jc w:val="right"/>
              <w:rPr>
                <w:color w:val="000000"/>
                <w:sz w:val="16"/>
                <w:szCs w:val="16"/>
              </w:rPr>
            </w:pPr>
            <w:r w:rsidRPr="00C80118">
              <w:rPr>
                <w:color w:val="000000"/>
                <w:sz w:val="16"/>
                <w:szCs w:val="16"/>
              </w:rPr>
              <w:t>1,175,691</w:t>
            </w:r>
          </w:p>
        </w:tc>
        <w:tc>
          <w:tcPr>
            <w:tcW w:w="856" w:type="dxa"/>
            <w:shd w:val="clear" w:color="auto" w:fill="auto"/>
            <w:vAlign w:val="bottom"/>
          </w:tcPr>
          <w:p w14:paraId="7DBBC453" w14:textId="11D562F5"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27679440" w14:textId="7BCF278A"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4BAF1013" w14:textId="359A5E68"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160884EB" w14:textId="59428C53"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5FDFE0F1" w14:textId="6180742A"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2AC578E2" w14:textId="3A6EF9D2"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3795C45A" w14:textId="77777777" w:rsidTr="00D75635">
        <w:trPr>
          <w:trHeight w:val="284"/>
        </w:trPr>
        <w:tc>
          <w:tcPr>
            <w:tcW w:w="2674" w:type="dxa"/>
            <w:shd w:val="clear" w:color="auto" w:fill="auto"/>
            <w:vAlign w:val="bottom"/>
            <w:hideMark/>
          </w:tcPr>
          <w:p w14:paraId="50D9E384" w14:textId="77777777" w:rsidR="00224102" w:rsidRPr="00604C75" w:rsidRDefault="00224102" w:rsidP="00224102">
            <w:pPr>
              <w:ind w:left="318" w:firstLineChars="1" w:firstLine="2"/>
              <w:rPr>
                <w:color w:val="000000"/>
                <w:sz w:val="16"/>
                <w:szCs w:val="16"/>
              </w:rPr>
            </w:pPr>
            <w:r w:rsidRPr="00604C75">
              <w:rPr>
                <w:color w:val="000000"/>
                <w:sz w:val="16"/>
                <w:szCs w:val="16"/>
              </w:rPr>
              <w:t>Contingent and Non-Contingent Corporate Receivables</w:t>
            </w:r>
          </w:p>
        </w:tc>
        <w:tc>
          <w:tcPr>
            <w:tcW w:w="882" w:type="dxa"/>
            <w:shd w:val="clear" w:color="auto" w:fill="auto"/>
            <w:vAlign w:val="bottom"/>
          </w:tcPr>
          <w:p w14:paraId="51FA1B30" w14:textId="2311DCE3"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02F1F149" w14:textId="4B6570F1"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16C21FC4" w14:textId="655D8A96"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3049560F" w14:textId="542A04FA"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08773C3E" w14:textId="0AEAD14F"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614ED23D" w14:textId="7849A6CE" w:rsidR="00224102" w:rsidRPr="006B5904" w:rsidRDefault="00224102" w:rsidP="00224102">
            <w:pPr>
              <w:jc w:val="right"/>
              <w:rPr>
                <w:color w:val="000000"/>
                <w:sz w:val="16"/>
                <w:szCs w:val="16"/>
              </w:rPr>
            </w:pPr>
            <w:r w:rsidRPr="00C80118">
              <w:rPr>
                <w:color w:val="000000"/>
                <w:sz w:val="16"/>
                <w:szCs w:val="16"/>
              </w:rPr>
              <w:t>6,753,216</w:t>
            </w:r>
          </w:p>
        </w:tc>
        <w:tc>
          <w:tcPr>
            <w:tcW w:w="656" w:type="dxa"/>
            <w:shd w:val="clear" w:color="auto" w:fill="auto"/>
            <w:vAlign w:val="bottom"/>
          </w:tcPr>
          <w:p w14:paraId="27E46573" w14:textId="27FB3012"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0014A6DA" w14:textId="64998DC3"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3351A3E8" w14:textId="48AF56BF"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5E09C34A" w14:textId="5224DCA2"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04ECAFBE" w14:textId="77777777" w:rsidTr="00D75635">
        <w:trPr>
          <w:trHeight w:val="284"/>
        </w:trPr>
        <w:tc>
          <w:tcPr>
            <w:tcW w:w="2674" w:type="dxa"/>
            <w:shd w:val="clear" w:color="auto" w:fill="auto"/>
            <w:vAlign w:val="bottom"/>
            <w:hideMark/>
          </w:tcPr>
          <w:p w14:paraId="079A7BB4" w14:textId="77777777" w:rsidR="00224102" w:rsidRPr="00604C75" w:rsidRDefault="00224102" w:rsidP="00224102">
            <w:pPr>
              <w:ind w:left="318" w:firstLineChars="1" w:firstLine="2"/>
              <w:rPr>
                <w:color w:val="000000"/>
                <w:sz w:val="16"/>
                <w:szCs w:val="16"/>
              </w:rPr>
            </w:pPr>
            <w:r w:rsidRPr="00604C75">
              <w:rPr>
                <w:color w:val="000000"/>
                <w:sz w:val="16"/>
                <w:szCs w:val="16"/>
              </w:rPr>
              <w:t>Contingent and Non-Contingent Retail Receivables</w:t>
            </w:r>
          </w:p>
        </w:tc>
        <w:tc>
          <w:tcPr>
            <w:tcW w:w="882" w:type="dxa"/>
            <w:shd w:val="clear" w:color="auto" w:fill="auto"/>
            <w:vAlign w:val="bottom"/>
          </w:tcPr>
          <w:p w14:paraId="4C88550C" w14:textId="568F53A4"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25339117" w14:textId="3A7615C0"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4651F021" w14:textId="6442077A"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5075F47C" w14:textId="46AFB5B3"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5831125C" w14:textId="229B4DF5" w:rsidR="00224102" w:rsidRPr="006B5904" w:rsidRDefault="00224102" w:rsidP="00224102">
            <w:pPr>
              <w:jc w:val="right"/>
              <w:rPr>
                <w:color w:val="000000"/>
                <w:sz w:val="16"/>
                <w:szCs w:val="16"/>
              </w:rPr>
            </w:pPr>
            <w:r w:rsidRPr="00C80118">
              <w:rPr>
                <w:color w:val="000000"/>
                <w:sz w:val="16"/>
                <w:szCs w:val="16"/>
              </w:rPr>
              <w:t>1,815,204</w:t>
            </w:r>
          </w:p>
        </w:tc>
        <w:tc>
          <w:tcPr>
            <w:tcW w:w="856" w:type="dxa"/>
            <w:shd w:val="clear" w:color="auto" w:fill="auto"/>
            <w:vAlign w:val="bottom"/>
          </w:tcPr>
          <w:p w14:paraId="6D9A410A" w14:textId="1A29A541" w:rsidR="00224102" w:rsidRPr="006B5904" w:rsidRDefault="00224102" w:rsidP="00224102">
            <w:pPr>
              <w:jc w:val="right"/>
              <w:rPr>
                <w:color w:val="000000"/>
                <w:sz w:val="16"/>
                <w:szCs w:val="16"/>
              </w:rPr>
            </w:pPr>
            <w:r w:rsidRPr="00C80118">
              <w:rPr>
                <w:color w:val="000000"/>
                <w:sz w:val="16"/>
                <w:szCs w:val="16"/>
              </w:rPr>
              <w:t>4,065</w:t>
            </w:r>
          </w:p>
        </w:tc>
        <w:tc>
          <w:tcPr>
            <w:tcW w:w="656" w:type="dxa"/>
            <w:shd w:val="clear" w:color="auto" w:fill="auto"/>
            <w:vAlign w:val="bottom"/>
          </w:tcPr>
          <w:p w14:paraId="51BE12DE" w14:textId="2B362164"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03E6C0C5" w14:textId="178EF8C8"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467DEB2E" w14:textId="638FDCBA"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67B42497" w14:textId="0EFEC24C"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39B33729" w14:textId="77777777" w:rsidTr="00D75635">
        <w:trPr>
          <w:trHeight w:val="284"/>
        </w:trPr>
        <w:tc>
          <w:tcPr>
            <w:tcW w:w="2674" w:type="dxa"/>
            <w:shd w:val="clear" w:color="auto" w:fill="auto"/>
            <w:vAlign w:val="bottom"/>
            <w:hideMark/>
          </w:tcPr>
          <w:p w14:paraId="071EBB4F" w14:textId="77777777" w:rsidR="00224102" w:rsidRPr="00604C75" w:rsidRDefault="00224102" w:rsidP="00224102">
            <w:pPr>
              <w:ind w:left="318" w:firstLineChars="1" w:firstLine="2"/>
              <w:rPr>
                <w:color w:val="000000"/>
                <w:sz w:val="16"/>
                <w:szCs w:val="16"/>
              </w:rPr>
            </w:pPr>
            <w:r w:rsidRPr="00604C75">
              <w:rPr>
                <w:color w:val="000000"/>
                <w:sz w:val="16"/>
                <w:szCs w:val="16"/>
              </w:rPr>
              <w:t xml:space="preserve">Contingent and Non-Contingent Receivables </w:t>
            </w:r>
            <w:r w:rsidRPr="00604C75">
              <w:rPr>
                <w:color w:val="000000" w:themeColor="text1"/>
                <w:sz w:val="16"/>
                <w:szCs w:val="16"/>
              </w:rPr>
              <w:t>Secured by Residential Property</w:t>
            </w:r>
          </w:p>
        </w:tc>
        <w:tc>
          <w:tcPr>
            <w:tcW w:w="882" w:type="dxa"/>
            <w:shd w:val="clear" w:color="auto" w:fill="auto"/>
            <w:vAlign w:val="bottom"/>
          </w:tcPr>
          <w:p w14:paraId="41046A6A" w14:textId="1DD71D8C"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61733E7F" w14:textId="5B55836D"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1D316DBF" w14:textId="5EC04608"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0C4C098A" w14:textId="18013F71" w:rsidR="00224102" w:rsidRPr="006B5904" w:rsidRDefault="00224102" w:rsidP="00224102">
            <w:pPr>
              <w:jc w:val="right"/>
              <w:rPr>
                <w:color w:val="000000"/>
                <w:sz w:val="16"/>
                <w:szCs w:val="16"/>
              </w:rPr>
            </w:pPr>
            <w:r w:rsidRPr="00C80118">
              <w:rPr>
                <w:color w:val="000000"/>
                <w:sz w:val="16"/>
                <w:szCs w:val="16"/>
              </w:rPr>
              <w:t>2,438,996</w:t>
            </w:r>
          </w:p>
        </w:tc>
        <w:tc>
          <w:tcPr>
            <w:tcW w:w="856" w:type="dxa"/>
            <w:shd w:val="clear" w:color="auto" w:fill="auto"/>
            <w:vAlign w:val="bottom"/>
          </w:tcPr>
          <w:p w14:paraId="5C169BBE" w14:textId="20519F03"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6A61B318" w14:textId="26624437"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41208F36" w14:textId="7AACF639"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1922EF40" w14:textId="2F889FCF"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6C411B8D" w14:textId="4D6CCF0E"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18CADDFF" w14:textId="38641FEA"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43FAEF20" w14:textId="77777777" w:rsidTr="00D75635">
        <w:trPr>
          <w:trHeight w:val="227"/>
        </w:trPr>
        <w:tc>
          <w:tcPr>
            <w:tcW w:w="2674" w:type="dxa"/>
            <w:shd w:val="clear" w:color="auto" w:fill="auto"/>
            <w:vAlign w:val="bottom"/>
            <w:hideMark/>
          </w:tcPr>
          <w:p w14:paraId="2B57EA3A" w14:textId="77777777" w:rsidR="00224102" w:rsidRPr="00604C75" w:rsidRDefault="00224102" w:rsidP="00224102">
            <w:pPr>
              <w:ind w:left="318" w:firstLineChars="1" w:firstLine="2"/>
              <w:rPr>
                <w:color w:val="000000"/>
                <w:sz w:val="16"/>
                <w:szCs w:val="16"/>
              </w:rPr>
            </w:pPr>
            <w:r w:rsidRPr="00604C75">
              <w:rPr>
                <w:color w:val="000000"/>
                <w:sz w:val="16"/>
                <w:szCs w:val="16"/>
              </w:rPr>
              <w:t>Non-Performing Receivables</w:t>
            </w:r>
          </w:p>
        </w:tc>
        <w:tc>
          <w:tcPr>
            <w:tcW w:w="882" w:type="dxa"/>
            <w:shd w:val="clear" w:color="auto" w:fill="auto"/>
            <w:vAlign w:val="bottom"/>
          </w:tcPr>
          <w:p w14:paraId="66C16DBD" w14:textId="6C82BBF9"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259BCE1E" w14:textId="2EADD767"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653F224C" w14:textId="0D8BD3BD"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4213AFCD" w14:textId="5C895112" w:rsidR="00224102" w:rsidRPr="006B5904" w:rsidRDefault="00224102" w:rsidP="00224102">
            <w:pPr>
              <w:jc w:val="right"/>
              <w:rPr>
                <w:color w:val="000000"/>
                <w:sz w:val="16"/>
                <w:szCs w:val="16"/>
              </w:rPr>
            </w:pPr>
            <w:r w:rsidRPr="00C80118">
              <w:rPr>
                <w:color w:val="000000"/>
                <w:sz w:val="16"/>
                <w:szCs w:val="16"/>
              </w:rPr>
              <w:t>31,720</w:t>
            </w:r>
          </w:p>
        </w:tc>
        <w:tc>
          <w:tcPr>
            <w:tcW w:w="856" w:type="dxa"/>
            <w:shd w:val="clear" w:color="auto" w:fill="auto"/>
            <w:vAlign w:val="bottom"/>
          </w:tcPr>
          <w:p w14:paraId="084C1E6C" w14:textId="3AB5DB68"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6B37CBA1" w14:textId="69D314D1" w:rsidR="00224102" w:rsidRPr="006B5904" w:rsidRDefault="00224102" w:rsidP="00224102">
            <w:pPr>
              <w:jc w:val="right"/>
              <w:rPr>
                <w:color w:val="000000"/>
                <w:sz w:val="16"/>
                <w:szCs w:val="16"/>
              </w:rPr>
            </w:pPr>
            <w:r w:rsidRPr="00C80118">
              <w:rPr>
                <w:color w:val="000000"/>
                <w:sz w:val="16"/>
                <w:szCs w:val="16"/>
              </w:rPr>
              <w:t>186,816</w:t>
            </w:r>
          </w:p>
        </w:tc>
        <w:tc>
          <w:tcPr>
            <w:tcW w:w="656" w:type="dxa"/>
            <w:shd w:val="clear" w:color="auto" w:fill="auto"/>
            <w:vAlign w:val="bottom"/>
          </w:tcPr>
          <w:p w14:paraId="568BDABF" w14:textId="6332EB8F" w:rsidR="00224102" w:rsidRPr="006B5904" w:rsidRDefault="00224102" w:rsidP="00224102">
            <w:pPr>
              <w:jc w:val="right"/>
              <w:rPr>
                <w:color w:val="000000"/>
                <w:sz w:val="16"/>
                <w:szCs w:val="16"/>
              </w:rPr>
            </w:pPr>
            <w:r w:rsidRPr="00C80118">
              <w:rPr>
                <w:color w:val="000000"/>
                <w:sz w:val="16"/>
                <w:szCs w:val="16"/>
              </w:rPr>
              <w:t>17,631</w:t>
            </w:r>
          </w:p>
        </w:tc>
        <w:tc>
          <w:tcPr>
            <w:tcW w:w="736" w:type="dxa"/>
            <w:shd w:val="clear" w:color="auto" w:fill="auto"/>
            <w:vAlign w:val="bottom"/>
          </w:tcPr>
          <w:p w14:paraId="4E53A395" w14:textId="6131708C"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79B76EEE" w14:textId="5D927FDE"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0D279E92" w14:textId="3633D207"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742ACDB6" w14:textId="77777777" w:rsidTr="00D75635">
        <w:trPr>
          <w:trHeight w:val="284"/>
        </w:trPr>
        <w:tc>
          <w:tcPr>
            <w:tcW w:w="2674" w:type="dxa"/>
            <w:shd w:val="clear" w:color="auto" w:fill="auto"/>
            <w:vAlign w:val="bottom"/>
            <w:hideMark/>
          </w:tcPr>
          <w:p w14:paraId="0CB47F49" w14:textId="77777777" w:rsidR="00224102" w:rsidRPr="00604C75" w:rsidRDefault="00224102" w:rsidP="00224102">
            <w:pPr>
              <w:ind w:left="318" w:firstLineChars="1" w:firstLine="2"/>
              <w:rPr>
                <w:color w:val="000000"/>
                <w:sz w:val="16"/>
                <w:szCs w:val="16"/>
              </w:rPr>
            </w:pPr>
            <w:r w:rsidRPr="00604C75">
              <w:rPr>
                <w:color w:val="000000"/>
                <w:sz w:val="16"/>
                <w:szCs w:val="16"/>
              </w:rPr>
              <w:t>Receivables identified as high risk by the Board</w:t>
            </w:r>
          </w:p>
        </w:tc>
        <w:tc>
          <w:tcPr>
            <w:tcW w:w="882" w:type="dxa"/>
            <w:shd w:val="clear" w:color="auto" w:fill="auto"/>
            <w:vAlign w:val="bottom"/>
          </w:tcPr>
          <w:p w14:paraId="0383D323" w14:textId="7E1170C1"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7347A15B" w14:textId="1B38BE25"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1E061061" w14:textId="2D30AD86"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69AF1780" w14:textId="57F18443"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7D258787" w14:textId="31A153BE"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23CD33D1" w14:textId="197EEE45"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12499073" w14:textId="2E82B652" w:rsidR="00224102" w:rsidRPr="006B5904" w:rsidRDefault="00224102" w:rsidP="00224102">
            <w:pPr>
              <w:jc w:val="right"/>
              <w:rPr>
                <w:color w:val="000000"/>
                <w:sz w:val="16"/>
                <w:szCs w:val="16"/>
              </w:rPr>
            </w:pPr>
            <w:r w:rsidRPr="00C80118">
              <w:rPr>
                <w:color w:val="000000"/>
                <w:sz w:val="16"/>
                <w:szCs w:val="16"/>
              </w:rPr>
              <w:t>48,377</w:t>
            </w:r>
          </w:p>
        </w:tc>
        <w:tc>
          <w:tcPr>
            <w:tcW w:w="736" w:type="dxa"/>
            <w:shd w:val="clear" w:color="auto" w:fill="auto"/>
            <w:vAlign w:val="bottom"/>
          </w:tcPr>
          <w:p w14:paraId="2B37561C" w14:textId="791C4156" w:rsidR="00224102" w:rsidRPr="006B5904" w:rsidRDefault="00224102" w:rsidP="00224102">
            <w:pPr>
              <w:jc w:val="right"/>
              <w:rPr>
                <w:color w:val="000000"/>
                <w:sz w:val="16"/>
                <w:szCs w:val="16"/>
              </w:rPr>
            </w:pPr>
            <w:r w:rsidRPr="00C80118">
              <w:rPr>
                <w:color w:val="000000"/>
                <w:sz w:val="16"/>
                <w:szCs w:val="16"/>
              </w:rPr>
              <w:t>31,386</w:t>
            </w:r>
          </w:p>
        </w:tc>
        <w:tc>
          <w:tcPr>
            <w:tcW w:w="616" w:type="dxa"/>
            <w:shd w:val="clear" w:color="auto" w:fill="auto"/>
            <w:vAlign w:val="bottom"/>
          </w:tcPr>
          <w:p w14:paraId="04EF2AD8" w14:textId="3B7ABD26"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664B5C8F" w14:textId="0226F540"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442AF89C" w14:textId="77777777" w:rsidTr="00D75635">
        <w:trPr>
          <w:trHeight w:val="227"/>
        </w:trPr>
        <w:tc>
          <w:tcPr>
            <w:tcW w:w="2674" w:type="dxa"/>
            <w:shd w:val="clear" w:color="auto" w:fill="auto"/>
            <w:vAlign w:val="bottom"/>
            <w:hideMark/>
          </w:tcPr>
          <w:p w14:paraId="2922B14F" w14:textId="77777777" w:rsidR="00224102" w:rsidRPr="00604C75" w:rsidRDefault="00224102" w:rsidP="00224102">
            <w:pPr>
              <w:ind w:left="318" w:firstLineChars="1" w:firstLine="2"/>
              <w:rPr>
                <w:color w:val="000000"/>
                <w:sz w:val="16"/>
                <w:szCs w:val="16"/>
              </w:rPr>
            </w:pPr>
            <w:r w:rsidRPr="00604C75">
              <w:rPr>
                <w:color w:val="000000"/>
                <w:sz w:val="16"/>
                <w:szCs w:val="16"/>
              </w:rPr>
              <w:t>Securities Secured</w:t>
            </w:r>
            <w:r w:rsidRPr="00604C75" w:rsidDel="006D7232">
              <w:rPr>
                <w:sz w:val="16"/>
                <w:szCs w:val="16"/>
              </w:rPr>
              <w:t xml:space="preserve"> </w:t>
            </w:r>
            <w:r w:rsidRPr="00604C75">
              <w:rPr>
                <w:sz w:val="16"/>
                <w:szCs w:val="16"/>
              </w:rPr>
              <w:t>by Mortgage</w:t>
            </w:r>
          </w:p>
        </w:tc>
        <w:tc>
          <w:tcPr>
            <w:tcW w:w="882" w:type="dxa"/>
            <w:shd w:val="clear" w:color="auto" w:fill="auto"/>
            <w:vAlign w:val="bottom"/>
          </w:tcPr>
          <w:p w14:paraId="32F8F6A5" w14:textId="0124DFB2"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141AF4B5" w14:textId="4F47987C"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692A7248" w14:textId="238CD66E"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1C6F2CA5" w14:textId="5AB90B87"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70106C69" w14:textId="6C099CFB"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411BFA5F" w14:textId="4A99255B"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6960DCA9" w14:textId="210A339D"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43FE2A8B" w14:textId="6273D7E0"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08B2E699" w14:textId="1B62F391"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524535BA" w14:textId="7181427D"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62EF99C4" w14:textId="77777777" w:rsidTr="00D75635">
        <w:trPr>
          <w:trHeight w:val="227"/>
        </w:trPr>
        <w:tc>
          <w:tcPr>
            <w:tcW w:w="2674" w:type="dxa"/>
            <w:shd w:val="clear" w:color="auto" w:fill="auto"/>
            <w:vAlign w:val="bottom"/>
            <w:hideMark/>
          </w:tcPr>
          <w:p w14:paraId="3F9062EC" w14:textId="77777777" w:rsidR="00224102" w:rsidRPr="00604C75" w:rsidRDefault="00224102" w:rsidP="00224102">
            <w:pPr>
              <w:ind w:left="318" w:firstLineChars="1" w:firstLine="2"/>
              <w:rPr>
                <w:color w:val="000000"/>
                <w:sz w:val="16"/>
                <w:szCs w:val="16"/>
              </w:rPr>
            </w:pPr>
            <w:r w:rsidRPr="00604C75">
              <w:rPr>
                <w:sz w:val="16"/>
                <w:szCs w:val="16"/>
              </w:rPr>
              <w:t>Securitization positions</w:t>
            </w:r>
          </w:p>
        </w:tc>
        <w:tc>
          <w:tcPr>
            <w:tcW w:w="882" w:type="dxa"/>
            <w:shd w:val="clear" w:color="auto" w:fill="auto"/>
            <w:vAlign w:val="bottom"/>
          </w:tcPr>
          <w:p w14:paraId="212FC0F1" w14:textId="729BFCB2"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4009A2C9" w14:textId="06A442D0"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4CB6CC90" w14:textId="393FA9FC"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1BD29E76" w14:textId="0676E535"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7A15C8CA" w14:textId="34B677C6"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30C4E8DE" w14:textId="2AC3FF63"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0D264D51" w14:textId="16F32AAD"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1170C68A" w14:textId="1733A048"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2E7D52C2" w14:textId="24823A6A"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18DC9FEA" w14:textId="483A1AEB"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561C0EAA" w14:textId="77777777" w:rsidTr="00D75635">
        <w:trPr>
          <w:trHeight w:val="227"/>
        </w:trPr>
        <w:tc>
          <w:tcPr>
            <w:tcW w:w="2674" w:type="dxa"/>
            <w:shd w:val="clear" w:color="auto" w:fill="auto"/>
            <w:vAlign w:val="bottom"/>
            <w:hideMark/>
          </w:tcPr>
          <w:p w14:paraId="1CEAD22A" w14:textId="77777777" w:rsidR="00224102" w:rsidRPr="00604C75" w:rsidRDefault="00224102" w:rsidP="00224102">
            <w:pPr>
              <w:ind w:left="318" w:firstLineChars="1" w:firstLine="2"/>
              <w:rPr>
                <w:color w:val="000000"/>
                <w:sz w:val="16"/>
                <w:szCs w:val="16"/>
              </w:rPr>
            </w:pPr>
            <w:r w:rsidRPr="00604C75">
              <w:rPr>
                <w:color w:val="000000"/>
                <w:sz w:val="16"/>
                <w:szCs w:val="16"/>
              </w:rPr>
              <w:t>Short-term Receivables and Short-term Corporate Receivables from Banks and Intermediaries</w:t>
            </w:r>
          </w:p>
        </w:tc>
        <w:tc>
          <w:tcPr>
            <w:tcW w:w="882" w:type="dxa"/>
            <w:shd w:val="clear" w:color="auto" w:fill="auto"/>
            <w:vAlign w:val="bottom"/>
          </w:tcPr>
          <w:p w14:paraId="778D668D" w14:textId="1C7D3BD7"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06A43280" w14:textId="7C7B2055"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643214F7" w14:textId="4936BB34"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705B37F8" w14:textId="6A4D6702"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767F290A" w14:textId="5CF2D912"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07565FE5" w14:textId="6DDD1034"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17A98007" w14:textId="6F32F8B0"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5CA149FC" w14:textId="46024E2D"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32A0204A" w14:textId="37AE9308"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44038542" w14:textId="4C4B1C11"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483F47A5" w14:textId="77777777" w:rsidTr="00D75635">
        <w:trPr>
          <w:trHeight w:val="227"/>
        </w:trPr>
        <w:tc>
          <w:tcPr>
            <w:tcW w:w="2674" w:type="dxa"/>
            <w:shd w:val="clear" w:color="auto" w:fill="auto"/>
            <w:vAlign w:val="bottom"/>
            <w:hideMark/>
          </w:tcPr>
          <w:p w14:paraId="0D6B79DC" w14:textId="77777777" w:rsidR="00224102" w:rsidRPr="00604C75" w:rsidRDefault="00224102" w:rsidP="00224102">
            <w:pPr>
              <w:ind w:left="318" w:firstLineChars="1" w:firstLine="2"/>
              <w:rPr>
                <w:color w:val="000000"/>
                <w:sz w:val="16"/>
                <w:szCs w:val="16"/>
              </w:rPr>
            </w:pPr>
            <w:r w:rsidRPr="00604C75">
              <w:rPr>
                <w:color w:val="000000"/>
                <w:sz w:val="16"/>
                <w:szCs w:val="16"/>
              </w:rPr>
              <w:t>Investments as Collective Investment Institutions</w:t>
            </w:r>
          </w:p>
        </w:tc>
        <w:tc>
          <w:tcPr>
            <w:tcW w:w="882" w:type="dxa"/>
            <w:shd w:val="clear" w:color="auto" w:fill="auto"/>
            <w:vAlign w:val="bottom"/>
          </w:tcPr>
          <w:p w14:paraId="6F2EA830" w14:textId="7943000B" w:rsidR="00224102" w:rsidRPr="006B5904" w:rsidRDefault="00224102" w:rsidP="00224102">
            <w:pPr>
              <w:jc w:val="right"/>
              <w:rPr>
                <w:color w:val="000000"/>
                <w:sz w:val="16"/>
                <w:szCs w:val="16"/>
              </w:rPr>
            </w:pPr>
            <w:r w:rsidRPr="00C80118">
              <w:rPr>
                <w:color w:val="000000"/>
                <w:sz w:val="16"/>
                <w:szCs w:val="16"/>
              </w:rPr>
              <w:t>-</w:t>
            </w:r>
          </w:p>
        </w:tc>
        <w:tc>
          <w:tcPr>
            <w:tcW w:w="546" w:type="dxa"/>
            <w:shd w:val="clear" w:color="auto" w:fill="auto"/>
            <w:vAlign w:val="bottom"/>
          </w:tcPr>
          <w:p w14:paraId="6BF72D46" w14:textId="45A926AD"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0490CFBE" w14:textId="2505668E" w:rsidR="00224102" w:rsidRPr="006B5904" w:rsidRDefault="00224102" w:rsidP="00224102">
            <w:pPr>
              <w:jc w:val="right"/>
              <w:rPr>
                <w:color w:val="000000"/>
                <w:sz w:val="16"/>
                <w:szCs w:val="16"/>
              </w:rPr>
            </w:pPr>
            <w:r w:rsidRPr="00C80118">
              <w:rPr>
                <w:color w:val="000000"/>
                <w:sz w:val="16"/>
                <w:szCs w:val="16"/>
              </w:rPr>
              <w:t>-</w:t>
            </w:r>
          </w:p>
        </w:tc>
        <w:tc>
          <w:tcPr>
            <w:tcW w:w="864" w:type="dxa"/>
            <w:shd w:val="clear" w:color="auto" w:fill="auto"/>
            <w:vAlign w:val="bottom"/>
          </w:tcPr>
          <w:p w14:paraId="427E627F" w14:textId="298D987A"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05957E01" w14:textId="23DB9F33"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530F9400" w14:textId="67DA32EA" w:rsidR="00224102" w:rsidRPr="006B5904" w:rsidRDefault="00224102" w:rsidP="00224102">
            <w:pPr>
              <w:jc w:val="right"/>
              <w:rPr>
                <w:color w:val="000000"/>
                <w:sz w:val="16"/>
                <w:szCs w:val="16"/>
              </w:rPr>
            </w:pPr>
            <w:r w:rsidRPr="00C80118">
              <w:rPr>
                <w:color w:val="000000"/>
                <w:sz w:val="16"/>
                <w:szCs w:val="16"/>
              </w:rPr>
              <w:t>-</w:t>
            </w:r>
          </w:p>
        </w:tc>
        <w:tc>
          <w:tcPr>
            <w:tcW w:w="656" w:type="dxa"/>
            <w:shd w:val="clear" w:color="auto" w:fill="auto"/>
            <w:vAlign w:val="bottom"/>
          </w:tcPr>
          <w:p w14:paraId="17ADA137" w14:textId="0B8ECC57"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7B0E6CF4" w14:textId="771E0439"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7376D2C2" w14:textId="4F37F9E2"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30806213" w14:textId="39EC6AC3" w:rsidR="00224102" w:rsidRPr="006B5904" w:rsidRDefault="00224102" w:rsidP="00224102">
            <w:pPr>
              <w:jc w:val="right"/>
              <w:rPr>
                <w:color w:val="000000"/>
                <w:sz w:val="16"/>
                <w:szCs w:val="16"/>
              </w:rPr>
            </w:pPr>
            <w:r w:rsidRPr="00C80118">
              <w:rPr>
                <w:color w:val="000000"/>
                <w:sz w:val="16"/>
                <w:szCs w:val="16"/>
              </w:rPr>
              <w:t>-</w:t>
            </w:r>
          </w:p>
        </w:tc>
      </w:tr>
      <w:tr w:rsidR="00224102" w:rsidRPr="00604C75" w14:paraId="5C5B5D1E" w14:textId="77777777" w:rsidTr="00D75635">
        <w:trPr>
          <w:trHeight w:val="227"/>
        </w:trPr>
        <w:tc>
          <w:tcPr>
            <w:tcW w:w="2674" w:type="dxa"/>
            <w:shd w:val="clear" w:color="auto" w:fill="auto"/>
            <w:vAlign w:val="bottom"/>
            <w:hideMark/>
          </w:tcPr>
          <w:p w14:paraId="3EAC6F7D" w14:textId="77777777" w:rsidR="00224102" w:rsidRPr="00604C75" w:rsidRDefault="00224102" w:rsidP="00224102">
            <w:pPr>
              <w:ind w:left="318" w:firstLineChars="1" w:firstLine="2"/>
              <w:rPr>
                <w:color w:val="000000"/>
                <w:sz w:val="16"/>
                <w:szCs w:val="16"/>
              </w:rPr>
            </w:pPr>
            <w:r w:rsidRPr="00604C75">
              <w:rPr>
                <w:color w:val="000000"/>
                <w:sz w:val="16"/>
                <w:szCs w:val="16"/>
              </w:rPr>
              <w:t>Other Receivables</w:t>
            </w:r>
          </w:p>
        </w:tc>
        <w:tc>
          <w:tcPr>
            <w:tcW w:w="882" w:type="dxa"/>
            <w:shd w:val="clear" w:color="auto" w:fill="auto"/>
            <w:vAlign w:val="bottom"/>
          </w:tcPr>
          <w:p w14:paraId="783DF37C" w14:textId="53220733" w:rsidR="00224102" w:rsidRPr="006B5904" w:rsidRDefault="00224102" w:rsidP="00224102">
            <w:pPr>
              <w:jc w:val="right"/>
              <w:rPr>
                <w:color w:val="000000"/>
                <w:sz w:val="16"/>
                <w:szCs w:val="16"/>
              </w:rPr>
            </w:pPr>
            <w:r w:rsidRPr="00C80118">
              <w:rPr>
                <w:color w:val="000000"/>
                <w:sz w:val="16"/>
                <w:szCs w:val="16"/>
              </w:rPr>
              <w:t>180,044</w:t>
            </w:r>
          </w:p>
        </w:tc>
        <w:tc>
          <w:tcPr>
            <w:tcW w:w="546" w:type="dxa"/>
            <w:shd w:val="clear" w:color="auto" w:fill="auto"/>
            <w:vAlign w:val="bottom"/>
          </w:tcPr>
          <w:p w14:paraId="7BB2DD85" w14:textId="1D8A25A3" w:rsidR="00224102" w:rsidRPr="006B5904" w:rsidRDefault="00224102" w:rsidP="00224102">
            <w:pPr>
              <w:jc w:val="right"/>
              <w:rPr>
                <w:color w:val="000000"/>
                <w:sz w:val="16"/>
                <w:szCs w:val="16"/>
              </w:rPr>
            </w:pPr>
            <w:r w:rsidRPr="00C80118">
              <w:rPr>
                <w:color w:val="000000"/>
                <w:sz w:val="16"/>
                <w:szCs w:val="16"/>
              </w:rPr>
              <w:t>-</w:t>
            </w:r>
          </w:p>
        </w:tc>
        <w:tc>
          <w:tcPr>
            <w:tcW w:w="756" w:type="dxa"/>
            <w:shd w:val="clear" w:color="auto" w:fill="auto"/>
            <w:vAlign w:val="bottom"/>
          </w:tcPr>
          <w:p w14:paraId="17E932BA" w14:textId="46B2C7E0" w:rsidR="00224102" w:rsidRPr="006B5904" w:rsidRDefault="00224102" w:rsidP="00224102">
            <w:pPr>
              <w:jc w:val="right"/>
              <w:rPr>
                <w:color w:val="000000"/>
                <w:sz w:val="16"/>
                <w:szCs w:val="16"/>
              </w:rPr>
            </w:pPr>
            <w:r w:rsidRPr="00C80118">
              <w:rPr>
                <w:color w:val="000000"/>
                <w:sz w:val="16"/>
                <w:szCs w:val="16"/>
              </w:rPr>
              <w:t>35</w:t>
            </w:r>
          </w:p>
        </w:tc>
        <w:tc>
          <w:tcPr>
            <w:tcW w:w="864" w:type="dxa"/>
            <w:shd w:val="clear" w:color="auto" w:fill="auto"/>
            <w:vAlign w:val="bottom"/>
          </w:tcPr>
          <w:p w14:paraId="684BC357" w14:textId="5611D9AE"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3D91BC2B" w14:textId="67799FD1" w:rsidR="00224102" w:rsidRPr="006B5904" w:rsidRDefault="00224102" w:rsidP="00224102">
            <w:pPr>
              <w:jc w:val="right"/>
              <w:rPr>
                <w:color w:val="000000"/>
                <w:sz w:val="16"/>
                <w:szCs w:val="16"/>
              </w:rPr>
            </w:pPr>
            <w:r w:rsidRPr="00C80118">
              <w:rPr>
                <w:color w:val="000000"/>
                <w:sz w:val="16"/>
                <w:szCs w:val="16"/>
              </w:rPr>
              <w:t>-</w:t>
            </w:r>
          </w:p>
        </w:tc>
        <w:tc>
          <w:tcPr>
            <w:tcW w:w="856" w:type="dxa"/>
            <w:shd w:val="clear" w:color="auto" w:fill="auto"/>
            <w:vAlign w:val="bottom"/>
          </w:tcPr>
          <w:p w14:paraId="1AEC961D" w14:textId="3372BBA0" w:rsidR="00224102" w:rsidRPr="006B5904" w:rsidRDefault="00224102" w:rsidP="00224102">
            <w:pPr>
              <w:jc w:val="right"/>
              <w:rPr>
                <w:color w:val="000000"/>
                <w:sz w:val="16"/>
                <w:szCs w:val="16"/>
              </w:rPr>
            </w:pPr>
            <w:r w:rsidRPr="00C80118">
              <w:rPr>
                <w:color w:val="000000"/>
                <w:sz w:val="16"/>
                <w:szCs w:val="16"/>
              </w:rPr>
              <w:t>186,878</w:t>
            </w:r>
          </w:p>
        </w:tc>
        <w:tc>
          <w:tcPr>
            <w:tcW w:w="656" w:type="dxa"/>
            <w:shd w:val="clear" w:color="auto" w:fill="auto"/>
            <w:vAlign w:val="bottom"/>
          </w:tcPr>
          <w:p w14:paraId="01479DDF" w14:textId="0AFA4713" w:rsidR="00224102" w:rsidRPr="006B5904" w:rsidRDefault="00224102" w:rsidP="00224102">
            <w:pPr>
              <w:jc w:val="right"/>
              <w:rPr>
                <w:color w:val="000000"/>
                <w:sz w:val="16"/>
                <w:szCs w:val="16"/>
              </w:rPr>
            </w:pPr>
            <w:r w:rsidRPr="00C80118">
              <w:rPr>
                <w:color w:val="000000"/>
                <w:sz w:val="16"/>
                <w:szCs w:val="16"/>
              </w:rPr>
              <w:t>-</w:t>
            </w:r>
          </w:p>
        </w:tc>
        <w:tc>
          <w:tcPr>
            <w:tcW w:w="736" w:type="dxa"/>
            <w:shd w:val="clear" w:color="auto" w:fill="auto"/>
            <w:vAlign w:val="bottom"/>
          </w:tcPr>
          <w:p w14:paraId="3380247E" w14:textId="1A6DAD52" w:rsidR="00224102" w:rsidRPr="006B5904" w:rsidRDefault="00224102" w:rsidP="00224102">
            <w:pPr>
              <w:jc w:val="right"/>
              <w:rPr>
                <w:color w:val="000000"/>
                <w:sz w:val="16"/>
                <w:szCs w:val="16"/>
              </w:rPr>
            </w:pPr>
            <w:r w:rsidRPr="00C80118">
              <w:rPr>
                <w:color w:val="000000"/>
                <w:sz w:val="16"/>
                <w:szCs w:val="16"/>
              </w:rPr>
              <w:t>-</w:t>
            </w:r>
          </w:p>
        </w:tc>
        <w:tc>
          <w:tcPr>
            <w:tcW w:w="616" w:type="dxa"/>
            <w:shd w:val="clear" w:color="auto" w:fill="auto"/>
            <w:vAlign w:val="bottom"/>
          </w:tcPr>
          <w:p w14:paraId="5604BD41" w14:textId="770A03CA" w:rsidR="00224102" w:rsidRPr="006B5904" w:rsidRDefault="00224102" w:rsidP="00224102">
            <w:pPr>
              <w:jc w:val="right"/>
              <w:rPr>
                <w:color w:val="000000"/>
                <w:sz w:val="16"/>
                <w:szCs w:val="16"/>
              </w:rPr>
            </w:pPr>
            <w:r w:rsidRPr="00C80118">
              <w:rPr>
                <w:color w:val="000000"/>
                <w:sz w:val="16"/>
                <w:szCs w:val="16"/>
              </w:rPr>
              <w:t>-</w:t>
            </w:r>
          </w:p>
        </w:tc>
        <w:tc>
          <w:tcPr>
            <w:tcW w:w="696" w:type="dxa"/>
            <w:shd w:val="clear" w:color="auto" w:fill="auto"/>
            <w:vAlign w:val="bottom"/>
          </w:tcPr>
          <w:p w14:paraId="0EDD56E6" w14:textId="7F9CA7AF" w:rsidR="00224102" w:rsidRPr="006B5904" w:rsidRDefault="00224102" w:rsidP="00224102">
            <w:pPr>
              <w:jc w:val="right"/>
              <w:rPr>
                <w:color w:val="000000"/>
                <w:sz w:val="16"/>
                <w:szCs w:val="16"/>
              </w:rPr>
            </w:pPr>
            <w:r w:rsidRPr="00C80118">
              <w:rPr>
                <w:color w:val="000000"/>
                <w:sz w:val="16"/>
                <w:szCs w:val="16"/>
              </w:rPr>
              <w:t>-</w:t>
            </w:r>
          </w:p>
        </w:tc>
      </w:tr>
    </w:tbl>
    <w:p w14:paraId="38101E24" w14:textId="77777777" w:rsidR="00AF45B2" w:rsidRPr="00604C75" w:rsidRDefault="00AF45B2" w:rsidP="00AF45B2">
      <w:pPr>
        <w:pStyle w:val="BodyTextIndent"/>
        <w:tabs>
          <w:tab w:val="left" w:pos="1276"/>
        </w:tabs>
        <w:spacing w:after="0" w:line="220" w:lineRule="auto"/>
        <w:ind w:left="0"/>
        <w:jc w:val="both"/>
        <w:rPr>
          <w:b/>
          <w:bCs/>
          <w:noProof/>
          <w:sz w:val="20"/>
          <w:szCs w:val="20"/>
          <w:lang w:val="tr-TR"/>
        </w:rPr>
      </w:pPr>
    </w:p>
    <w:p w14:paraId="5D61278A" w14:textId="77777777" w:rsidR="00403848" w:rsidRPr="00604C75" w:rsidRDefault="00403848" w:rsidP="00403848">
      <w:pPr>
        <w:pStyle w:val="BodyText3"/>
        <w:tabs>
          <w:tab w:val="clear" w:pos="539"/>
          <w:tab w:val="clear" w:pos="5310"/>
          <w:tab w:val="clear" w:pos="7560"/>
          <w:tab w:val="left" w:pos="1276"/>
        </w:tabs>
        <w:ind w:left="1276" w:hanging="425"/>
        <w:jc w:val="both"/>
        <w:rPr>
          <w:b/>
          <w:bCs w:val="0"/>
          <w:i w:val="0"/>
          <w:iCs w:val="0"/>
          <w:sz w:val="20"/>
        </w:rPr>
      </w:pPr>
    </w:p>
    <w:p w14:paraId="7336B884" w14:textId="77777777" w:rsidR="00403848" w:rsidRPr="00604C75" w:rsidRDefault="00403848" w:rsidP="00403848">
      <w:pPr>
        <w:spacing w:line="211" w:lineRule="auto"/>
        <w:jc w:val="both"/>
        <w:rPr>
          <w:b/>
          <w:sz w:val="20"/>
          <w:szCs w:val="20"/>
        </w:rPr>
      </w:pPr>
    </w:p>
    <w:p w14:paraId="15518290" w14:textId="77777777" w:rsidR="00CC6795" w:rsidRPr="00604C75" w:rsidRDefault="00CC6795" w:rsidP="00403848">
      <w:pPr>
        <w:spacing w:line="211" w:lineRule="auto"/>
        <w:jc w:val="both"/>
        <w:rPr>
          <w:b/>
          <w:sz w:val="20"/>
          <w:szCs w:val="20"/>
        </w:rPr>
      </w:pPr>
    </w:p>
    <w:p w14:paraId="3857C07A" w14:textId="77777777" w:rsidR="00A041CD" w:rsidRPr="00604C75" w:rsidRDefault="00A041CD" w:rsidP="00A041CD">
      <w:pPr>
        <w:pStyle w:val="NormalIndent"/>
        <w:pageBreakBefore/>
        <w:widowControl w:val="0"/>
        <w:spacing w:line="216" w:lineRule="auto"/>
        <w:ind w:left="0"/>
        <w:jc w:val="both"/>
        <w:rPr>
          <w:b/>
          <w:bCs/>
          <w:noProof/>
          <w:lang w:val="tr-TR"/>
        </w:rPr>
      </w:pPr>
      <w:r w:rsidRPr="00604C75">
        <w:rPr>
          <w:b/>
          <w:bCs/>
          <w:noProof/>
          <w:lang w:val="tr-TR"/>
        </w:rPr>
        <w:lastRenderedPageBreak/>
        <w:t xml:space="preserve">INFORMATION </w:t>
      </w:r>
      <w:r>
        <w:rPr>
          <w:b/>
          <w:bCs/>
          <w:noProof/>
          <w:lang w:val="tr-TR"/>
        </w:rPr>
        <w:t>ON THE</w:t>
      </w:r>
      <w:r w:rsidRPr="00604C75">
        <w:rPr>
          <w:b/>
          <w:bCs/>
          <w:noProof/>
          <w:lang w:val="tr-TR"/>
        </w:rPr>
        <w:t xml:space="preserve"> FINANCIAL POSITION OF THE GROUP (Continued)</w:t>
      </w:r>
    </w:p>
    <w:p w14:paraId="755B7177" w14:textId="77777777" w:rsidR="00CC6795" w:rsidRPr="00604C75" w:rsidRDefault="00CC6795" w:rsidP="00403848">
      <w:pPr>
        <w:spacing w:line="211" w:lineRule="auto"/>
        <w:jc w:val="both"/>
        <w:rPr>
          <w:b/>
          <w:sz w:val="20"/>
          <w:szCs w:val="20"/>
        </w:rPr>
      </w:pPr>
    </w:p>
    <w:p w14:paraId="501CDC70" w14:textId="77777777" w:rsidR="00755F2C" w:rsidRPr="00604C75" w:rsidRDefault="00755F2C" w:rsidP="008477F3">
      <w:pPr>
        <w:pStyle w:val="BodyTextIndent"/>
        <w:numPr>
          <w:ilvl w:val="0"/>
          <w:numId w:val="55"/>
        </w:numPr>
        <w:tabs>
          <w:tab w:val="left" w:pos="1276"/>
        </w:tabs>
        <w:spacing w:after="0" w:line="221" w:lineRule="auto"/>
        <w:ind w:left="630" w:hanging="602"/>
        <w:jc w:val="both"/>
        <w:rPr>
          <w:b/>
          <w:noProof/>
          <w:sz w:val="20"/>
          <w:szCs w:val="20"/>
          <w:lang w:val="tr-TR"/>
        </w:rPr>
      </w:pPr>
      <w:r w:rsidRPr="00604C75">
        <w:rPr>
          <w:b/>
          <w:noProof/>
          <w:sz w:val="20"/>
          <w:lang w:val="tr-TR"/>
        </w:rPr>
        <w:t>I</w:t>
      </w:r>
      <w:r w:rsidR="00046167" w:rsidRPr="00604C75">
        <w:rPr>
          <w:b/>
          <w:noProof/>
          <w:sz w:val="20"/>
          <w:lang w:val="tr-TR"/>
        </w:rPr>
        <w:t>nformation</w:t>
      </w:r>
      <w:r w:rsidRPr="00604C75">
        <w:rPr>
          <w:b/>
          <w:noProof/>
          <w:sz w:val="20"/>
          <w:lang w:val="tr-TR"/>
        </w:rPr>
        <w:t xml:space="preserve"> </w:t>
      </w:r>
      <w:r w:rsidR="00046167" w:rsidRPr="00604C75">
        <w:rPr>
          <w:b/>
          <w:noProof/>
          <w:sz w:val="20"/>
          <w:lang w:val="tr-TR"/>
        </w:rPr>
        <w:t>on Capital Adequacy Ratio</w:t>
      </w:r>
      <w:r w:rsidR="00046167" w:rsidRPr="00604C75" w:rsidDel="00613F85">
        <w:rPr>
          <w:b/>
          <w:noProof/>
          <w:sz w:val="20"/>
          <w:lang w:val="tr-TR"/>
        </w:rPr>
        <w:t xml:space="preserve"> </w:t>
      </w:r>
      <w:r w:rsidR="00046167" w:rsidRPr="00604C75">
        <w:rPr>
          <w:b/>
          <w:bCs/>
          <w:noProof/>
          <w:sz w:val="20"/>
          <w:lang w:val="tr-TR"/>
        </w:rPr>
        <w:t>(Continued)</w:t>
      </w:r>
    </w:p>
    <w:p w14:paraId="7E41986A" w14:textId="77777777" w:rsidR="00755F2C" w:rsidRPr="00604C75" w:rsidRDefault="00755F2C" w:rsidP="00AD726D">
      <w:pPr>
        <w:pStyle w:val="BodyTextIndent"/>
        <w:tabs>
          <w:tab w:val="left" w:pos="1276"/>
        </w:tabs>
        <w:spacing w:after="0" w:line="221" w:lineRule="auto"/>
        <w:ind w:left="0"/>
        <w:jc w:val="both"/>
        <w:rPr>
          <w:b/>
          <w:noProof/>
          <w:sz w:val="20"/>
          <w:szCs w:val="20"/>
          <w:lang w:val="tr-TR"/>
        </w:rPr>
      </w:pPr>
    </w:p>
    <w:p w14:paraId="358111A5" w14:textId="77777777" w:rsidR="00046167" w:rsidRPr="00604C75" w:rsidRDefault="00046167" w:rsidP="00046167">
      <w:pPr>
        <w:pStyle w:val="BodyTextIndent"/>
        <w:tabs>
          <w:tab w:val="left" w:pos="1276"/>
        </w:tabs>
        <w:spacing w:after="0" w:line="220" w:lineRule="auto"/>
        <w:ind w:left="0"/>
        <w:jc w:val="both"/>
        <w:rPr>
          <w:b/>
          <w:noProof/>
          <w:sz w:val="20"/>
          <w:szCs w:val="20"/>
          <w:lang w:val="tr-TR"/>
        </w:rPr>
      </w:pPr>
      <w:r w:rsidRPr="00604C75">
        <w:rPr>
          <w:b/>
          <w:noProof/>
          <w:sz w:val="20"/>
          <w:szCs w:val="20"/>
          <w:lang w:val="tr-TR"/>
        </w:rPr>
        <w:t>Summary information about the capital adequacy ratio</w:t>
      </w:r>
    </w:p>
    <w:p w14:paraId="338EB997" w14:textId="77777777" w:rsidR="00046167" w:rsidRPr="00604C75" w:rsidRDefault="00046167" w:rsidP="00AD726D">
      <w:pPr>
        <w:pStyle w:val="BodyTextIndent"/>
        <w:tabs>
          <w:tab w:val="left" w:pos="1276"/>
        </w:tabs>
        <w:spacing w:after="0" w:line="221" w:lineRule="auto"/>
        <w:ind w:left="0"/>
        <w:jc w:val="both"/>
        <w:rPr>
          <w:b/>
          <w:noProof/>
          <w:sz w:val="20"/>
          <w:szCs w:val="20"/>
          <w:lang w:val="tr-TR"/>
        </w:rPr>
      </w:pPr>
    </w:p>
    <w:tbl>
      <w:tblPr>
        <w:tblW w:w="10086" w:type="dxa"/>
        <w:tblInd w:w="-12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4564"/>
        <w:gridCol w:w="1399"/>
        <w:gridCol w:w="1386"/>
        <w:gridCol w:w="1389"/>
        <w:gridCol w:w="1348"/>
      </w:tblGrid>
      <w:tr w:rsidR="00046167" w:rsidRPr="00604C75" w14:paraId="11864CF4" w14:textId="77777777" w:rsidTr="00E83EAC">
        <w:trPr>
          <w:trHeight w:val="247"/>
        </w:trPr>
        <w:tc>
          <w:tcPr>
            <w:tcW w:w="4564" w:type="dxa"/>
            <w:shd w:val="clear" w:color="auto" w:fill="auto"/>
            <w:vAlign w:val="bottom"/>
          </w:tcPr>
          <w:p w14:paraId="057296BF" w14:textId="77777777" w:rsidR="00046167" w:rsidRPr="00604C75" w:rsidRDefault="00046167" w:rsidP="002C403E">
            <w:pPr>
              <w:spacing w:line="211" w:lineRule="auto"/>
              <w:rPr>
                <w:color w:val="000000"/>
                <w:sz w:val="16"/>
                <w:szCs w:val="16"/>
                <w:lang w:eastAsia="zh-CN"/>
              </w:rPr>
            </w:pPr>
            <w:r w:rsidRPr="00604C75">
              <w:rPr>
                <w:color w:val="000000"/>
                <w:sz w:val="16"/>
                <w:szCs w:val="16"/>
                <w:lang w:eastAsia="zh-CN"/>
              </w:rPr>
              <w:t> </w:t>
            </w:r>
          </w:p>
        </w:tc>
        <w:tc>
          <w:tcPr>
            <w:tcW w:w="1399" w:type="dxa"/>
            <w:vAlign w:val="bottom"/>
          </w:tcPr>
          <w:p w14:paraId="180DDC67" w14:textId="77777777" w:rsidR="00046167" w:rsidRPr="00604C75" w:rsidRDefault="00046167" w:rsidP="002C403E">
            <w:pPr>
              <w:spacing w:line="211" w:lineRule="auto"/>
              <w:ind w:right="-79"/>
              <w:jc w:val="right"/>
              <w:rPr>
                <w:b/>
                <w:bCs/>
                <w:snapToGrid w:val="0"/>
                <w:color w:val="000000"/>
                <w:sz w:val="16"/>
                <w:szCs w:val="16"/>
                <w:lang w:eastAsia="zh-CN"/>
              </w:rPr>
            </w:pPr>
            <w:r w:rsidRPr="00604C75">
              <w:rPr>
                <w:b/>
                <w:bCs/>
                <w:snapToGrid w:val="0"/>
                <w:color w:val="000000"/>
                <w:sz w:val="16"/>
                <w:szCs w:val="16"/>
                <w:lang w:eastAsia="zh-CN"/>
              </w:rPr>
              <w:t>The Parent Bank</w:t>
            </w:r>
          </w:p>
        </w:tc>
        <w:tc>
          <w:tcPr>
            <w:tcW w:w="1386" w:type="dxa"/>
            <w:shd w:val="clear" w:color="auto" w:fill="auto"/>
            <w:noWrap/>
            <w:vAlign w:val="bottom"/>
          </w:tcPr>
          <w:p w14:paraId="66CD2C0A" w14:textId="77777777" w:rsidR="00046167" w:rsidRPr="00604C75" w:rsidRDefault="00046167" w:rsidP="002C403E">
            <w:pPr>
              <w:spacing w:line="211" w:lineRule="auto"/>
              <w:ind w:right="-79"/>
              <w:jc w:val="right"/>
              <w:rPr>
                <w:b/>
                <w:bCs/>
                <w:color w:val="000000"/>
                <w:sz w:val="16"/>
                <w:szCs w:val="16"/>
                <w:lang w:eastAsia="zh-CN"/>
              </w:rPr>
            </w:pPr>
            <w:r w:rsidRPr="00604C75">
              <w:rPr>
                <w:rFonts w:eastAsia="Arial Unicode MS"/>
                <w:b/>
                <w:bCs/>
                <w:color w:val="000000"/>
                <w:sz w:val="16"/>
                <w:szCs w:val="16"/>
                <w:lang w:eastAsia="zh-CN"/>
              </w:rPr>
              <w:t>Consolidated</w:t>
            </w:r>
          </w:p>
        </w:tc>
        <w:tc>
          <w:tcPr>
            <w:tcW w:w="1389" w:type="dxa"/>
            <w:vAlign w:val="bottom"/>
          </w:tcPr>
          <w:p w14:paraId="681F668E" w14:textId="77777777" w:rsidR="00046167" w:rsidRPr="00604C75" w:rsidRDefault="00046167" w:rsidP="002C403E">
            <w:pPr>
              <w:spacing w:line="211" w:lineRule="auto"/>
              <w:ind w:right="-79"/>
              <w:jc w:val="right"/>
              <w:rPr>
                <w:b/>
                <w:bCs/>
                <w:snapToGrid w:val="0"/>
                <w:color w:val="000000"/>
                <w:sz w:val="16"/>
                <w:szCs w:val="16"/>
                <w:lang w:eastAsia="zh-CN"/>
              </w:rPr>
            </w:pPr>
            <w:r w:rsidRPr="00604C75">
              <w:rPr>
                <w:b/>
                <w:bCs/>
                <w:snapToGrid w:val="0"/>
                <w:color w:val="000000"/>
                <w:sz w:val="16"/>
                <w:szCs w:val="16"/>
                <w:lang w:eastAsia="zh-CN"/>
              </w:rPr>
              <w:t>The Parent Bank</w:t>
            </w:r>
          </w:p>
        </w:tc>
        <w:tc>
          <w:tcPr>
            <w:tcW w:w="1348" w:type="dxa"/>
            <w:vAlign w:val="bottom"/>
          </w:tcPr>
          <w:p w14:paraId="17AE3725" w14:textId="77777777" w:rsidR="00046167" w:rsidRPr="00604C75" w:rsidRDefault="00046167" w:rsidP="002C403E">
            <w:pPr>
              <w:spacing w:line="211" w:lineRule="auto"/>
              <w:ind w:right="-79"/>
              <w:jc w:val="right"/>
              <w:rPr>
                <w:b/>
                <w:bCs/>
                <w:color w:val="000000"/>
                <w:sz w:val="16"/>
                <w:szCs w:val="16"/>
                <w:lang w:eastAsia="zh-CN"/>
              </w:rPr>
            </w:pPr>
            <w:r w:rsidRPr="00604C75">
              <w:rPr>
                <w:rFonts w:eastAsia="Arial Unicode MS"/>
                <w:b/>
                <w:bCs/>
                <w:color w:val="000000"/>
                <w:sz w:val="16"/>
                <w:szCs w:val="16"/>
                <w:lang w:eastAsia="zh-CN"/>
              </w:rPr>
              <w:t>Consolidated</w:t>
            </w:r>
          </w:p>
        </w:tc>
      </w:tr>
      <w:tr w:rsidR="00046167" w:rsidRPr="00604C75" w14:paraId="6AAB476D" w14:textId="77777777" w:rsidTr="00E83EAC">
        <w:trPr>
          <w:cantSplit/>
          <w:trHeight w:val="246"/>
        </w:trPr>
        <w:tc>
          <w:tcPr>
            <w:tcW w:w="4564" w:type="dxa"/>
            <w:shd w:val="clear" w:color="auto" w:fill="auto"/>
            <w:vAlign w:val="bottom"/>
          </w:tcPr>
          <w:p w14:paraId="6842DD31" w14:textId="77777777" w:rsidR="00046167" w:rsidRPr="00604C75" w:rsidRDefault="00046167" w:rsidP="002C403E">
            <w:pPr>
              <w:spacing w:line="211" w:lineRule="auto"/>
              <w:rPr>
                <w:color w:val="000000"/>
                <w:sz w:val="16"/>
                <w:szCs w:val="16"/>
                <w:lang w:eastAsia="zh-CN"/>
              </w:rPr>
            </w:pPr>
            <w:r w:rsidRPr="00604C75">
              <w:rPr>
                <w:rFonts w:eastAsia="Arial Unicode MS"/>
                <w:color w:val="000000"/>
                <w:sz w:val="16"/>
                <w:szCs w:val="16"/>
                <w:lang w:eastAsia="zh-CN"/>
              </w:rPr>
              <w:t> </w:t>
            </w:r>
          </w:p>
        </w:tc>
        <w:tc>
          <w:tcPr>
            <w:tcW w:w="1399" w:type="dxa"/>
            <w:vAlign w:val="bottom"/>
          </w:tcPr>
          <w:p w14:paraId="682C959D" w14:textId="77777777" w:rsidR="00046167" w:rsidRPr="00604C75" w:rsidRDefault="003E3A4E">
            <w:pPr>
              <w:spacing w:line="211" w:lineRule="auto"/>
              <w:ind w:right="-79"/>
              <w:jc w:val="right"/>
              <w:rPr>
                <w:b/>
                <w:bCs/>
                <w:color w:val="000000"/>
                <w:sz w:val="16"/>
                <w:szCs w:val="16"/>
                <w:lang w:eastAsia="zh-CN"/>
              </w:rPr>
            </w:pPr>
            <w:r>
              <w:rPr>
                <w:b/>
                <w:bCs/>
                <w:color w:val="000000"/>
                <w:sz w:val="16"/>
                <w:szCs w:val="16"/>
                <w:lang w:eastAsia="zh-CN"/>
              </w:rPr>
              <w:t>3</w:t>
            </w:r>
            <w:r w:rsidR="00481210">
              <w:rPr>
                <w:b/>
                <w:bCs/>
                <w:color w:val="000000"/>
                <w:sz w:val="16"/>
                <w:szCs w:val="16"/>
                <w:lang w:eastAsia="zh-CN"/>
              </w:rPr>
              <w:t>1</w:t>
            </w:r>
            <w:r>
              <w:rPr>
                <w:b/>
                <w:bCs/>
                <w:color w:val="000000"/>
                <w:sz w:val="16"/>
                <w:szCs w:val="16"/>
                <w:lang w:eastAsia="zh-CN"/>
              </w:rPr>
              <w:t xml:space="preserve"> </w:t>
            </w:r>
            <w:r w:rsidR="00481210">
              <w:rPr>
                <w:b/>
                <w:bCs/>
                <w:color w:val="000000"/>
                <w:sz w:val="16"/>
                <w:szCs w:val="16"/>
                <w:lang w:eastAsia="zh-CN"/>
              </w:rPr>
              <w:t>December</w:t>
            </w:r>
            <w:r w:rsidR="00481210" w:rsidRPr="00604C75">
              <w:rPr>
                <w:b/>
                <w:bCs/>
                <w:color w:val="000000"/>
                <w:sz w:val="16"/>
                <w:szCs w:val="16"/>
                <w:lang w:eastAsia="zh-CN"/>
              </w:rPr>
              <w:t xml:space="preserve"> </w:t>
            </w:r>
            <w:r w:rsidR="00046167" w:rsidRPr="00604C75">
              <w:rPr>
                <w:b/>
                <w:bCs/>
                <w:color w:val="000000"/>
                <w:sz w:val="16"/>
                <w:szCs w:val="16"/>
                <w:lang w:eastAsia="zh-CN"/>
              </w:rPr>
              <w:t>2015</w:t>
            </w:r>
          </w:p>
        </w:tc>
        <w:tc>
          <w:tcPr>
            <w:tcW w:w="1386" w:type="dxa"/>
            <w:shd w:val="clear" w:color="auto" w:fill="auto"/>
            <w:noWrap/>
            <w:vAlign w:val="bottom"/>
          </w:tcPr>
          <w:p w14:paraId="117488B2" w14:textId="77777777" w:rsidR="00046167" w:rsidRPr="00604C75" w:rsidRDefault="003E3A4E" w:rsidP="00B85547">
            <w:pPr>
              <w:spacing w:line="211" w:lineRule="auto"/>
              <w:ind w:right="-79" w:hanging="147"/>
              <w:jc w:val="right"/>
              <w:rPr>
                <w:b/>
                <w:bCs/>
                <w:color w:val="000000"/>
                <w:sz w:val="16"/>
                <w:szCs w:val="16"/>
                <w:lang w:eastAsia="zh-CN"/>
              </w:rPr>
            </w:pPr>
            <w:r>
              <w:rPr>
                <w:b/>
                <w:snapToGrid w:val="0"/>
                <w:sz w:val="16"/>
                <w:szCs w:val="16"/>
              </w:rPr>
              <w:t>3</w:t>
            </w:r>
            <w:r w:rsidR="00481210">
              <w:rPr>
                <w:b/>
                <w:snapToGrid w:val="0"/>
                <w:sz w:val="16"/>
                <w:szCs w:val="16"/>
              </w:rPr>
              <w:t>1</w:t>
            </w:r>
            <w:r>
              <w:rPr>
                <w:b/>
                <w:snapToGrid w:val="0"/>
                <w:sz w:val="16"/>
                <w:szCs w:val="16"/>
              </w:rPr>
              <w:t xml:space="preserve"> </w:t>
            </w:r>
            <w:r w:rsidR="00481210">
              <w:rPr>
                <w:b/>
                <w:snapToGrid w:val="0"/>
                <w:sz w:val="16"/>
                <w:szCs w:val="16"/>
              </w:rPr>
              <w:t>December</w:t>
            </w:r>
            <w:r>
              <w:rPr>
                <w:b/>
                <w:snapToGrid w:val="0"/>
                <w:sz w:val="16"/>
                <w:szCs w:val="16"/>
              </w:rPr>
              <w:t xml:space="preserve"> </w:t>
            </w:r>
            <w:r w:rsidR="00046167" w:rsidRPr="00604C75">
              <w:rPr>
                <w:b/>
                <w:bCs/>
                <w:color w:val="000000"/>
                <w:sz w:val="16"/>
                <w:szCs w:val="16"/>
                <w:lang w:eastAsia="zh-CN"/>
              </w:rPr>
              <w:t>201</w:t>
            </w:r>
            <w:r w:rsidR="00481210">
              <w:rPr>
                <w:b/>
                <w:bCs/>
                <w:color w:val="000000"/>
                <w:sz w:val="16"/>
                <w:szCs w:val="16"/>
                <w:lang w:eastAsia="zh-CN"/>
              </w:rPr>
              <w:t>5</w:t>
            </w:r>
          </w:p>
        </w:tc>
        <w:tc>
          <w:tcPr>
            <w:tcW w:w="1389" w:type="dxa"/>
            <w:vAlign w:val="bottom"/>
          </w:tcPr>
          <w:p w14:paraId="3EACD447" w14:textId="77777777" w:rsidR="00046167" w:rsidRPr="00800C9F" w:rsidRDefault="00046167" w:rsidP="00B85547">
            <w:pPr>
              <w:spacing w:line="211" w:lineRule="auto"/>
              <w:ind w:right="-79" w:hanging="115"/>
              <w:jc w:val="right"/>
              <w:rPr>
                <w:b/>
                <w:bCs/>
                <w:color w:val="000000"/>
                <w:sz w:val="16"/>
                <w:szCs w:val="16"/>
                <w:lang w:eastAsia="zh-CN"/>
              </w:rPr>
            </w:pPr>
            <w:r w:rsidRPr="00800C9F">
              <w:rPr>
                <w:b/>
                <w:bCs/>
                <w:color w:val="000000"/>
                <w:sz w:val="16"/>
                <w:szCs w:val="16"/>
                <w:lang w:eastAsia="zh-CN"/>
              </w:rPr>
              <w:t>31 December 201</w:t>
            </w:r>
            <w:r w:rsidR="00800C9F" w:rsidRPr="00800C9F">
              <w:rPr>
                <w:b/>
                <w:bCs/>
                <w:color w:val="000000"/>
                <w:sz w:val="16"/>
                <w:szCs w:val="16"/>
                <w:lang w:eastAsia="zh-CN"/>
              </w:rPr>
              <w:t>4</w:t>
            </w:r>
          </w:p>
        </w:tc>
        <w:tc>
          <w:tcPr>
            <w:tcW w:w="1348" w:type="dxa"/>
            <w:vAlign w:val="bottom"/>
          </w:tcPr>
          <w:p w14:paraId="075889CE" w14:textId="77777777" w:rsidR="00046167" w:rsidRPr="00604C75" w:rsidRDefault="00046167" w:rsidP="00B85547">
            <w:pPr>
              <w:spacing w:line="211" w:lineRule="auto"/>
              <w:ind w:right="-79" w:hanging="229"/>
              <w:jc w:val="right"/>
              <w:rPr>
                <w:b/>
                <w:bCs/>
                <w:color w:val="000000"/>
                <w:sz w:val="16"/>
                <w:szCs w:val="16"/>
                <w:lang w:eastAsia="zh-CN"/>
              </w:rPr>
            </w:pPr>
            <w:r w:rsidRPr="00604C75">
              <w:rPr>
                <w:b/>
                <w:snapToGrid w:val="0"/>
                <w:sz w:val="16"/>
                <w:szCs w:val="16"/>
              </w:rPr>
              <w:t xml:space="preserve">31 December </w:t>
            </w:r>
            <w:r w:rsidRPr="00604C75">
              <w:rPr>
                <w:b/>
                <w:bCs/>
                <w:color w:val="000000"/>
                <w:sz w:val="16"/>
                <w:szCs w:val="16"/>
                <w:lang w:eastAsia="zh-CN"/>
              </w:rPr>
              <w:t>2014</w:t>
            </w:r>
          </w:p>
        </w:tc>
      </w:tr>
      <w:tr w:rsidR="00980409" w:rsidRPr="00604C75" w14:paraId="7CE06E4F" w14:textId="77777777" w:rsidTr="00E83EAC">
        <w:trPr>
          <w:cantSplit/>
          <w:trHeight w:val="221"/>
        </w:trPr>
        <w:tc>
          <w:tcPr>
            <w:tcW w:w="4564" w:type="dxa"/>
            <w:shd w:val="clear" w:color="auto" w:fill="auto"/>
            <w:vAlign w:val="bottom"/>
          </w:tcPr>
          <w:p w14:paraId="47E00527" w14:textId="4EC33335" w:rsidR="00980409" w:rsidRPr="00604C75" w:rsidRDefault="00980409" w:rsidP="00980409">
            <w:pPr>
              <w:rPr>
                <w:i/>
                <w:iCs/>
                <w:color w:val="000000"/>
                <w:sz w:val="16"/>
                <w:szCs w:val="16"/>
              </w:rPr>
            </w:pPr>
            <w:r w:rsidRPr="00604C75">
              <w:rPr>
                <w:sz w:val="16"/>
                <w:szCs w:val="16"/>
                <w:lang w:eastAsia="tr-TR"/>
              </w:rPr>
              <w:t xml:space="preserve">Capital Requirement for Credit Risk (Main Amount </w:t>
            </w:r>
            <w:r>
              <w:rPr>
                <w:sz w:val="16"/>
                <w:szCs w:val="16"/>
                <w:lang w:eastAsia="tr-TR"/>
              </w:rPr>
              <w:t>R</w:t>
            </w:r>
            <w:r w:rsidRPr="00604C75">
              <w:rPr>
                <w:sz w:val="16"/>
                <w:szCs w:val="16"/>
                <w:lang w:eastAsia="tr-TR"/>
              </w:rPr>
              <w:t>elated with Credit Risk*0,08) (CRCR)</w:t>
            </w:r>
          </w:p>
        </w:tc>
        <w:tc>
          <w:tcPr>
            <w:tcW w:w="1399" w:type="dxa"/>
            <w:vAlign w:val="bottom"/>
          </w:tcPr>
          <w:p w14:paraId="783279DD" w14:textId="550788B9" w:rsidR="00980409" w:rsidRPr="004F34F5" w:rsidRDefault="00980409" w:rsidP="00980409">
            <w:pPr>
              <w:tabs>
                <w:tab w:val="left" w:pos="0"/>
              </w:tabs>
              <w:ind w:right="28"/>
              <w:jc w:val="right"/>
              <w:rPr>
                <w:sz w:val="16"/>
                <w:szCs w:val="16"/>
              </w:rPr>
            </w:pPr>
            <w:r w:rsidRPr="00E46F2D">
              <w:rPr>
                <w:sz w:val="16"/>
                <w:szCs w:val="16"/>
              </w:rPr>
              <w:t>799,761</w:t>
            </w:r>
          </w:p>
        </w:tc>
        <w:tc>
          <w:tcPr>
            <w:tcW w:w="1386" w:type="dxa"/>
            <w:shd w:val="clear" w:color="auto" w:fill="auto"/>
            <w:noWrap/>
            <w:vAlign w:val="bottom"/>
          </w:tcPr>
          <w:p w14:paraId="437A052D" w14:textId="4A207F53" w:rsidR="00980409" w:rsidRPr="004F34F5" w:rsidRDefault="00980409" w:rsidP="00980409">
            <w:pPr>
              <w:tabs>
                <w:tab w:val="left" w:pos="0"/>
              </w:tabs>
              <w:ind w:right="28"/>
              <w:jc w:val="right"/>
              <w:rPr>
                <w:sz w:val="16"/>
                <w:szCs w:val="16"/>
              </w:rPr>
            </w:pPr>
            <w:r w:rsidRPr="00E46F2D">
              <w:rPr>
                <w:sz w:val="16"/>
                <w:szCs w:val="16"/>
              </w:rPr>
              <w:t>862,233</w:t>
            </w:r>
          </w:p>
        </w:tc>
        <w:tc>
          <w:tcPr>
            <w:tcW w:w="1389" w:type="dxa"/>
            <w:vAlign w:val="bottom"/>
          </w:tcPr>
          <w:p w14:paraId="3B256CC9" w14:textId="2434B854" w:rsidR="00980409" w:rsidRPr="00692926" w:rsidRDefault="00980409" w:rsidP="00980409">
            <w:pPr>
              <w:ind w:right="-47"/>
              <w:jc w:val="right"/>
              <w:rPr>
                <w:sz w:val="16"/>
                <w:szCs w:val="16"/>
              </w:rPr>
            </w:pPr>
            <w:r w:rsidRPr="00692926">
              <w:rPr>
                <w:sz w:val="16"/>
                <w:szCs w:val="16"/>
              </w:rPr>
              <w:t>634,613</w:t>
            </w:r>
          </w:p>
        </w:tc>
        <w:tc>
          <w:tcPr>
            <w:tcW w:w="1348" w:type="dxa"/>
            <w:vAlign w:val="bottom"/>
          </w:tcPr>
          <w:p w14:paraId="25CB21E7" w14:textId="5AA4E332" w:rsidR="00980409" w:rsidRPr="00692926" w:rsidRDefault="00980409" w:rsidP="00980409">
            <w:pPr>
              <w:ind w:right="-47"/>
              <w:jc w:val="right"/>
              <w:rPr>
                <w:sz w:val="16"/>
                <w:szCs w:val="16"/>
              </w:rPr>
            </w:pPr>
            <w:r w:rsidRPr="00692926">
              <w:rPr>
                <w:sz w:val="16"/>
                <w:szCs w:val="16"/>
              </w:rPr>
              <w:t>671,854</w:t>
            </w:r>
          </w:p>
        </w:tc>
      </w:tr>
      <w:tr w:rsidR="00980409" w:rsidRPr="00604C75" w14:paraId="00FA55B1" w14:textId="77777777" w:rsidTr="00E83EAC">
        <w:trPr>
          <w:cantSplit/>
          <w:trHeight w:val="221"/>
        </w:trPr>
        <w:tc>
          <w:tcPr>
            <w:tcW w:w="4564" w:type="dxa"/>
            <w:shd w:val="clear" w:color="auto" w:fill="auto"/>
            <w:vAlign w:val="bottom"/>
          </w:tcPr>
          <w:p w14:paraId="48F4D345" w14:textId="77777777" w:rsidR="00980409" w:rsidRPr="00604C75" w:rsidRDefault="00980409" w:rsidP="00980409">
            <w:pPr>
              <w:rPr>
                <w:color w:val="000000"/>
                <w:sz w:val="16"/>
                <w:szCs w:val="16"/>
              </w:rPr>
            </w:pPr>
            <w:r w:rsidRPr="00604C75">
              <w:rPr>
                <w:sz w:val="16"/>
                <w:szCs w:val="16"/>
                <w:lang w:eastAsia="tr-TR"/>
              </w:rPr>
              <w:t>Capital Requirement for Market Risk (CRMR)</w:t>
            </w:r>
          </w:p>
        </w:tc>
        <w:tc>
          <w:tcPr>
            <w:tcW w:w="1399" w:type="dxa"/>
            <w:vAlign w:val="bottom"/>
          </w:tcPr>
          <w:p w14:paraId="7359E098" w14:textId="3C9F133D" w:rsidR="00980409" w:rsidRPr="004F34F5" w:rsidRDefault="00980409" w:rsidP="00980409">
            <w:pPr>
              <w:tabs>
                <w:tab w:val="left" w:pos="0"/>
              </w:tabs>
              <w:ind w:right="28"/>
              <w:jc w:val="right"/>
              <w:rPr>
                <w:sz w:val="16"/>
                <w:szCs w:val="16"/>
              </w:rPr>
            </w:pPr>
            <w:r w:rsidRPr="00E46F2D">
              <w:rPr>
                <w:sz w:val="16"/>
                <w:szCs w:val="16"/>
              </w:rPr>
              <w:t>4,549</w:t>
            </w:r>
          </w:p>
        </w:tc>
        <w:tc>
          <w:tcPr>
            <w:tcW w:w="1386" w:type="dxa"/>
            <w:shd w:val="clear" w:color="auto" w:fill="auto"/>
            <w:noWrap/>
            <w:vAlign w:val="bottom"/>
          </w:tcPr>
          <w:p w14:paraId="5A0A21F3" w14:textId="6DF2CAEE" w:rsidR="00980409" w:rsidRPr="004F34F5" w:rsidRDefault="00980409" w:rsidP="00980409">
            <w:pPr>
              <w:tabs>
                <w:tab w:val="left" w:pos="0"/>
              </w:tabs>
              <w:ind w:right="28"/>
              <w:jc w:val="right"/>
              <w:rPr>
                <w:sz w:val="16"/>
                <w:szCs w:val="16"/>
              </w:rPr>
            </w:pPr>
            <w:r w:rsidRPr="00E46F2D">
              <w:rPr>
                <w:sz w:val="16"/>
                <w:szCs w:val="16"/>
              </w:rPr>
              <w:t>4,117</w:t>
            </w:r>
          </w:p>
        </w:tc>
        <w:tc>
          <w:tcPr>
            <w:tcW w:w="1389" w:type="dxa"/>
            <w:vAlign w:val="bottom"/>
          </w:tcPr>
          <w:p w14:paraId="51C5557F" w14:textId="7AFB684C" w:rsidR="00980409" w:rsidRPr="00692926" w:rsidRDefault="00980409" w:rsidP="00980409">
            <w:pPr>
              <w:ind w:right="-47"/>
              <w:jc w:val="right"/>
              <w:rPr>
                <w:sz w:val="16"/>
                <w:szCs w:val="16"/>
              </w:rPr>
            </w:pPr>
            <w:r w:rsidRPr="00692926">
              <w:rPr>
                <w:sz w:val="16"/>
                <w:szCs w:val="16"/>
              </w:rPr>
              <w:t>1,367</w:t>
            </w:r>
          </w:p>
        </w:tc>
        <w:tc>
          <w:tcPr>
            <w:tcW w:w="1348" w:type="dxa"/>
            <w:vAlign w:val="bottom"/>
          </w:tcPr>
          <w:p w14:paraId="1A6DCA65" w14:textId="5231DB8D" w:rsidR="00980409" w:rsidRPr="00692926" w:rsidRDefault="00980409" w:rsidP="00980409">
            <w:pPr>
              <w:ind w:right="-47"/>
              <w:jc w:val="right"/>
              <w:rPr>
                <w:sz w:val="16"/>
                <w:szCs w:val="16"/>
              </w:rPr>
            </w:pPr>
            <w:r w:rsidRPr="00692926">
              <w:rPr>
                <w:sz w:val="16"/>
                <w:szCs w:val="16"/>
              </w:rPr>
              <w:t>2,423</w:t>
            </w:r>
          </w:p>
        </w:tc>
      </w:tr>
      <w:tr w:rsidR="00980409" w:rsidRPr="00604C75" w14:paraId="754B138D" w14:textId="77777777" w:rsidTr="00E83EAC">
        <w:trPr>
          <w:cantSplit/>
          <w:trHeight w:val="221"/>
        </w:trPr>
        <w:tc>
          <w:tcPr>
            <w:tcW w:w="4564" w:type="dxa"/>
            <w:shd w:val="clear" w:color="auto" w:fill="auto"/>
            <w:vAlign w:val="bottom"/>
          </w:tcPr>
          <w:p w14:paraId="1EB62857" w14:textId="77777777" w:rsidR="00980409" w:rsidRPr="00604C75" w:rsidRDefault="00980409" w:rsidP="00980409">
            <w:pPr>
              <w:rPr>
                <w:color w:val="000000"/>
                <w:sz w:val="16"/>
                <w:szCs w:val="16"/>
              </w:rPr>
            </w:pPr>
            <w:r w:rsidRPr="00604C75">
              <w:rPr>
                <w:sz w:val="16"/>
                <w:szCs w:val="16"/>
                <w:lang w:eastAsia="tr-TR"/>
              </w:rPr>
              <w:t xml:space="preserve">Capital Requirement for Operational Risk (CROR) </w:t>
            </w:r>
          </w:p>
        </w:tc>
        <w:tc>
          <w:tcPr>
            <w:tcW w:w="1399" w:type="dxa"/>
            <w:vAlign w:val="bottom"/>
          </w:tcPr>
          <w:p w14:paraId="4D365E8F" w14:textId="3FDEE994" w:rsidR="00980409" w:rsidRPr="004F34F5" w:rsidRDefault="00980409" w:rsidP="00980409">
            <w:pPr>
              <w:tabs>
                <w:tab w:val="left" w:pos="0"/>
              </w:tabs>
              <w:ind w:right="28"/>
              <w:jc w:val="right"/>
              <w:rPr>
                <w:sz w:val="16"/>
                <w:szCs w:val="16"/>
              </w:rPr>
            </w:pPr>
            <w:r w:rsidRPr="00E46F2D">
              <w:rPr>
                <w:sz w:val="16"/>
                <w:szCs w:val="16"/>
              </w:rPr>
              <w:t>70,287</w:t>
            </w:r>
          </w:p>
        </w:tc>
        <w:tc>
          <w:tcPr>
            <w:tcW w:w="1386" w:type="dxa"/>
            <w:shd w:val="clear" w:color="auto" w:fill="auto"/>
            <w:noWrap/>
            <w:vAlign w:val="bottom"/>
          </w:tcPr>
          <w:p w14:paraId="39D667D5" w14:textId="37A6F6DB" w:rsidR="00980409" w:rsidRPr="004F34F5" w:rsidRDefault="00980409" w:rsidP="00980409">
            <w:pPr>
              <w:tabs>
                <w:tab w:val="left" w:pos="0"/>
              </w:tabs>
              <w:ind w:right="28"/>
              <w:jc w:val="right"/>
              <w:rPr>
                <w:sz w:val="16"/>
                <w:szCs w:val="16"/>
              </w:rPr>
            </w:pPr>
            <w:r w:rsidRPr="00E46F2D">
              <w:rPr>
                <w:sz w:val="16"/>
                <w:szCs w:val="16"/>
              </w:rPr>
              <w:t>75,080</w:t>
            </w:r>
          </w:p>
        </w:tc>
        <w:tc>
          <w:tcPr>
            <w:tcW w:w="1389" w:type="dxa"/>
            <w:vAlign w:val="bottom"/>
          </w:tcPr>
          <w:p w14:paraId="715A2A4C" w14:textId="3E01AB4F" w:rsidR="00980409" w:rsidRPr="00692926" w:rsidRDefault="00980409" w:rsidP="00980409">
            <w:pPr>
              <w:ind w:right="-47"/>
              <w:jc w:val="right"/>
              <w:rPr>
                <w:sz w:val="16"/>
                <w:szCs w:val="16"/>
              </w:rPr>
            </w:pPr>
            <w:r w:rsidRPr="00692926">
              <w:rPr>
                <w:sz w:val="16"/>
                <w:szCs w:val="16"/>
              </w:rPr>
              <w:t>59,168</w:t>
            </w:r>
          </w:p>
        </w:tc>
        <w:tc>
          <w:tcPr>
            <w:tcW w:w="1348" w:type="dxa"/>
            <w:vAlign w:val="bottom"/>
          </w:tcPr>
          <w:p w14:paraId="2B15903C" w14:textId="1DDE8643" w:rsidR="00980409" w:rsidRPr="00692926" w:rsidRDefault="00980409" w:rsidP="00980409">
            <w:pPr>
              <w:ind w:right="-47"/>
              <w:jc w:val="right"/>
              <w:rPr>
                <w:sz w:val="16"/>
                <w:szCs w:val="16"/>
              </w:rPr>
            </w:pPr>
            <w:r w:rsidRPr="00692926">
              <w:rPr>
                <w:sz w:val="16"/>
                <w:szCs w:val="16"/>
              </w:rPr>
              <w:t>62,442</w:t>
            </w:r>
          </w:p>
        </w:tc>
      </w:tr>
      <w:tr w:rsidR="00980409" w:rsidRPr="00604C75" w14:paraId="5F95DC81" w14:textId="77777777" w:rsidTr="00E83EAC">
        <w:trPr>
          <w:cantSplit/>
          <w:trHeight w:val="221"/>
        </w:trPr>
        <w:tc>
          <w:tcPr>
            <w:tcW w:w="4564" w:type="dxa"/>
            <w:shd w:val="clear" w:color="auto" w:fill="auto"/>
            <w:vAlign w:val="bottom"/>
          </w:tcPr>
          <w:p w14:paraId="5C3A0C8B" w14:textId="77777777" w:rsidR="00980409" w:rsidRPr="00604C75" w:rsidRDefault="00980409" w:rsidP="00980409">
            <w:pPr>
              <w:rPr>
                <w:b/>
                <w:color w:val="000000"/>
                <w:sz w:val="16"/>
                <w:szCs w:val="16"/>
              </w:rPr>
            </w:pPr>
            <w:proofErr w:type="spellStart"/>
            <w:r w:rsidRPr="00604C75">
              <w:rPr>
                <w:sz w:val="16"/>
                <w:szCs w:val="16"/>
                <w:lang w:eastAsia="tr-TR"/>
              </w:rPr>
              <w:t>Shareholders</w:t>
            </w:r>
            <w:proofErr w:type="spellEnd"/>
            <w:r w:rsidRPr="00604C75">
              <w:rPr>
                <w:sz w:val="16"/>
                <w:szCs w:val="16"/>
                <w:lang w:eastAsia="tr-TR"/>
              </w:rPr>
              <w:t xml:space="preserve"> Equity</w:t>
            </w:r>
          </w:p>
        </w:tc>
        <w:tc>
          <w:tcPr>
            <w:tcW w:w="1399" w:type="dxa"/>
            <w:vAlign w:val="bottom"/>
          </w:tcPr>
          <w:p w14:paraId="3A00284F" w14:textId="0C667CF8" w:rsidR="00980409" w:rsidRPr="004F34F5" w:rsidRDefault="00980409" w:rsidP="00980409">
            <w:pPr>
              <w:tabs>
                <w:tab w:val="left" w:pos="0"/>
              </w:tabs>
              <w:ind w:right="28"/>
              <w:jc w:val="right"/>
              <w:rPr>
                <w:sz w:val="16"/>
                <w:szCs w:val="16"/>
              </w:rPr>
            </w:pPr>
            <w:r w:rsidRPr="00E46F2D">
              <w:rPr>
                <w:sz w:val="16"/>
                <w:szCs w:val="16"/>
              </w:rPr>
              <w:t>1,699,728</w:t>
            </w:r>
          </w:p>
        </w:tc>
        <w:tc>
          <w:tcPr>
            <w:tcW w:w="1386" w:type="dxa"/>
            <w:shd w:val="clear" w:color="auto" w:fill="auto"/>
            <w:noWrap/>
            <w:vAlign w:val="bottom"/>
          </w:tcPr>
          <w:p w14:paraId="3317232F" w14:textId="4B84A98F" w:rsidR="00980409" w:rsidRPr="004F34F5" w:rsidRDefault="00980409" w:rsidP="00980409">
            <w:pPr>
              <w:tabs>
                <w:tab w:val="left" w:pos="0"/>
              </w:tabs>
              <w:ind w:right="28"/>
              <w:jc w:val="right"/>
              <w:rPr>
                <w:sz w:val="16"/>
                <w:szCs w:val="16"/>
              </w:rPr>
            </w:pPr>
            <w:r w:rsidRPr="00E46F2D">
              <w:rPr>
                <w:sz w:val="16"/>
                <w:szCs w:val="16"/>
              </w:rPr>
              <w:t>1,666,027</w:t>
            </w:r>
          </w:p>
        </w:tc>
        <w:tc>
          <w:tcPr>
            <w:tcW w:w="1389" w:type="dxa"/>
            <w:vAlign w:val="bottom"/>
          </w:tcPr>
          <w:p w14:paraId="19AD9CAA" w14:textId="5F029F78" w:rsidR="00980409" w:rsidRPr="00692926" w:rsidRDefault="00980409" w:rsidP="00980409">
            <w:pPr>
              <w:ind w:right="-47"/>
              <w:jc w:val="right"/>
              <w:rPr>
                <w:sz w:val="16"/>
                <w:szCs w:val="16"/>
              </w:rPr>
            </w:pPr>
            <w:r w:rsidRPr="00692926">
              <w:rPr>
                <w:sz w:val="16"/>
                <w:szCs w:val="16"/>
              </w:rPr>
              <w:t>1,312,80</w:t>
            </w:r>
            <w:r>
              <w:rPr>
                <w:sz w:val="16"/>
                <w:szCs w:val="16"/>
              </w:rPr>
              <w:t>8</w:t>
            </w:r>
          </w:p>
        </w:tc>
        <w:tc>
          <w:tcPr>
            <w:tcW w:w="1348" w:type="dxa"/>
            <w:vAlign w:val="bottom"/>
          </w:tcPr>
          <w:p w14:paraId="345FF063" w14:textId="341B5815" w:rsidR="00980409" w:rsidRPr="00692926" w:rsidRDefault="00980409" w:rsidP="00980409">
            <w:pPr>
              <w:ind w:right="-47"/>
              <w:jc w:val="right"/>
              <w:rPr>
                <w:sz w:val="16"/>
                <w:szCs w:val="16"/>
              </w:rPr>
            </w:pPr>
            <w:r w:rsidRPr="00692926">
              <w:rPr>
                <w:sz w:val="16"/>
                <w:szCs w:val="16"/>
              </w:rPr>
              <w:t>1,273,599</w:t>
            </w:r>
          </w:p>
        </w:tc>
      </w:tr>
      <w:tr w:rsidR="00980409" w:rsidRPr="00604C75" w14:paraId="0DC23C92" w14:textId="77777777" w:rsidTr="00E83EAC">
        <w:trPr>
          <w:cantSplit/>
          <w:trHeight w:val="221"/>
        </w:trPr>
        <w:tc>
          <w:tcPr>
            <w:tcW w:w="4564" w:type="dxa"/>
            <w:shd w:val="clear" w:color="auto" w:fill="auto"/>
            <w:vAlign w:val="bottom"/>
          </w:tcPr>
          <w:p w14:paraId="13393934" w14:textId="77777777" w:rsidR="00980409" w:rsidRPr="00604C75" w:rsidRDefault="00980409" w:rsidP="00980409">
            <w:pPr>
              <w:rPr>
                <w:b/>
                <w:color w:val="000000"/>
                <w:sz w:val="16"/>
                <w:szCs w:val="16"/>
              </w:rPr>
            </w:pPr>
            <w:r w:rsidRPr="00604C75">
              <w:rPr>
                <w:b/>
                <w:sz w:val="16"/>
                <w:szCs w:val="16"/>
                <w:lang w:eastAsia="tr-TR"/>
              </w:rPr>
              <w:t>Shareholders Equity/((CRCR+CRMR+CROR) *12,5)*100)</w:t>
            </w:r>
          </w:p>
        </w:tc>
        <w:tc>
          <w:tcPr>
            <w:tcW w:w="1399" w:type="dxa"/>
            <w:vAlign w:val="bottom"/>
          </w:tcPr>
          <w:p w14:paraId="1554286E" w14:textId="69A92D0D" w:rsidR="00980409" w:rsidRPr="004F34F5" w:rsidRDefault="00980409" w:rsidP="00980409">
            <w:pPr>
              <w:tabs>
                <w:tab w:val="left" w:pos="0"/>
              </w:tabs>
              <w:ind w:right="28"/>
              <w:jc w:val="right"/>
              <w:rPr>
                <w:b/>
                <w:sz w:val="16"/>
                <w:szCs w:val="16"/>
              </w:rPr>
            </w:pPr>
            <w:r w:rsidRPr="00E46F2D">
              <w:rPr>
                <w:b/>
                <w:sz w:val="16"/>
                <w:szCs w:val="16"/>
              </w:rPr>
              <w:t>15.55</w:t>
            </w:r>
            <w:r w:rsidR="00FD0C7A">
              <w:rPr>
                <w:b/>
                <w:sz w:val="16"/>
                <w:szCs w:val="16"/>
              </w:rPr>
              <w:t>%</w:t>
            </w:r>
          </w:p>
        </w:tc>
        <w:tc>
          <w:tcPr>
            <w:tcW w:w="1386" w:type="dxa"/>
            <w:shd w:val="clear" w:color="auto" w:fill="auto"/>
            <w:noWrap/>
            <w:vAlign w:val="bottom"/>
          </w:tcPr>
          <w:p w14:paraId="589FC1B3" w14:textId="10D2ACAC" w:rsidR="00980409" w:rsidRPr="004F34F5" w:rsidRDefault="00980409" w:rsidP="00980409">
            <w:pPr>
              <w:tabs>
                <w:tab w:val="left" w:pos="0"/>
              </w:tabs>
              <w:ind w:right="28"/>
              <w:jc w:val="right"/>
              <w:rPr>
                <w:b/>
                <w:sz w:val="16"/>
                <w:szCs w:val="16"/>
              </w:rPr>
            </w:pPr>
            <w:r w:rsidRPr="00E46F2D">
              <w:rPr>
                <w:b/>
                <w:sz w:val="16"/>
                <w:szCs w:val="16"/>
              </w:rPr>
              <w:t>14.16</w:t>
            </w:r>
            <w:r w:rsidR="00FD0C7A">
              <w:rPr>
                <w:b/>
                <w:sz w:val="16"/>
                <w:szCs w:val="16"/>
              </w:rPr>
              <w:t>%</w:t>
            </w:r>
          </w:p>
        </w:tc>
        <w:tc>
          <w:tcPr>
            <w:tcW w:w="1389" w:type="dxa"/>
            <w:vAlign w:val="bottom"/>
          </w:tcPr>
          <w:p w14:paraId="03D6E3A5" w14:textId="77198D6F" w:rsidR="00980409" w:rsidRPr="00692926" w:rsidRDefault="00980409" w:rsidP="00980409">
            <w:pPr>
              <w:ind w:right="-47"/>
              <w:jc w:val="right"/>
              <w:rPr>
                <w:b/>
                <w:sz w:val="16"/>
                <w:szCs w:val="16"/>
              </w:rPr>
            </w:pPr>
            <w:r w:rsidRPr="00692926">
              <w:rPr>
                <w:b/>
                <w:sz w:val="16"/>
                <w:szCs w:val="16"/>
              </w:rPr>
              <w:t>15.11</w:t>
            </w:r>
            <w:r w:rsidR="00FD0C7A">
              <w:rPr>
                <w:b/>
                <w:sz w:val="16"/>
                <w:szCs w:val="16"/>
              </w:rPr>
              <w:t>%</w:t>
            </w:r>
          </w:p>
        </w:tc>
        <w:tc>
          <w:tcPr>
            <w:tcW w:w="1348" w:type="dxa"/>
            <w:vAlign w:val="bottom"/>
          </w:tcPr>
          <w:p w14:paraId="65E7EED5" w14:textId="6EF874A0" w:rsidR="00980409" w:rsidRPr="00692926" w:rsidRDefault="00980409" w:rsidP="00980409">
            <w:pPr>
              <w:ind w:right="-47"/>
              <w:jc w:val="right"/>
              <w:rPr>
                <w:b/>
                <w:sz w:val="16"/>
                <w:szCs w:val="16"/>
              </w:rPr>
            </w:pPr>
            <w:r w:rsidRPr="00692926">
              <w:rPr>
                <w:b/>
                <w:sz w:val="16"/>
                <w:szCs w:val="16"/>
              </w:rPr>
              <w:t>13.83</w:t>
            </w:r>
            <w:r w:rsidR="00FD0C7A">
              <w:rPr>
                <w:b/>
                <w:sz w:val="16"/>
                <w:szCs w:val="16"/>
              </w:rPr>
              <w:t>%</w:t>
            </w:r>
          </w:p>
        </w:tc>
      </w:tr>
      <w:tr w:rsidR="00980409" w:rsidRPr="00604C75" w14:paraId="62C223B2" w14:textId="77777777" w:rsidTr="00E83EAC">
        <w:trPr>
          <w:cantSplit/>
          <w:trHeight w:val="247"/>
        </w:trPr>
        <w:tc>
          <w:tcPr>
            <w:tcW w:w="4564" w:type="dxa"/>
            <w:shd w:val="clear" w:color="auto" w:fill="auto"/>
            <w:vAlign w:val="bottom"/>
          </w:tcPr>
          <w:p w14:paraId="6F9A62AF" w14:textId="77777777" w:rsidR="00980409" w:rsidRPr="00604C75" w:rsidRDefault="00980409" w:rsidP="00980409">
            <w:pPr>
              <w:rPr>
                <w:rFonts w:eastAsia="Arial Unicode MS"/>
                <w:b/>
                <w:color w:val="000000"/>
                <w:sz w:val="16"/>
                <w:szCs w:val="16"/>
              </w:rPr>
            </w:pPr>
            <w:r w:rsidRPr="00604C75">
              <w:rPr>
                <w:b/>
                <w:sz w:val="16"/>
                <w:szCs w:val="16"/>
                <w:lang w:eastAsia="tr-TR"/>
              </w:rPr>
              <w:t>Tier I Capital/((CRCR+CRMR+CROR) *12,5)*100)</w:t>
            </w:r>
          </w:p>
        </w:tc>
        <w:tc>
          <w:tcPr>
            <w:tcW w:w="1399" w:type="dxa"/>
            <w:vAlign w:val="bottom"/>
          </w:tcPr>
          <w:p w14:paraId="10C8D5E1" w14:textId="1A32287D" w:rsidR="00980409" w:rsidRPr="004F34F5" w:rsidRDefault="00980409" w:rsidP="00980409">
            <w:pPr>
              <w:tabs>
                <w:tab w:val="left" w:pos="0"/>
              </w:tabs>
              <w:ind w:right="28"/>
              <w:jc w:val="right"/>
              <w:rPr>
                <w:b/>
                <w:sz w:val="16"/>
                <w:szCs w:val="16"/>
              </w:rPr>
            </w:pPr>
            <w:r w:rsidRPr="00E46F2D">
              <w:rPr>
                <w:b/>
                <w:sz w:val="16"/>
                <w:szCs w:val="16"/>
              </w:rPr>
              <w:t>8.68</w:t>
            </w:r>
            <w:r w:rsidR="00FD0C7A">
              <w:rPr>
                <w:b/>
                <w:sz w:val="16"/>
                <w:szCs w:val="16"/>
              </w:rPr>
              <w:t>%</w:t>
            </w:r>
          </w:p>
        </w:tc>
        <w:tc>
          <w:tcPr>
            <w:tcW w:w="1386" w:type="dxa"/>
            <w:shd w:val="clear" w:color="auto" w:fill="auto"/>
            <w:noWrap/>
            <w:vAlign w:val="bottom"/>
          </w:tcPr>
          <w:p w14:paraId="03C1C76C" w14:textId="7D36F954" w:rsidR="00980409" w:rsidRPr="004F34F5" w:rsidRDefault="00980409" w:rsidP="00980409">
            <w:pPr>
              <w:tabs>
                <w:tab w:val="left" w:pos="0"/>
              </w:tabs>
              <w:ind w:right="28"/>
              <w:jc w:val="right"/>
              <w:rPr>
                <w:b/>
                <w:sz w:val="16"/>
                <w:szCs w:val="16"/>
              </w:rPr>
            </w:pPr>
            <w:r w:rsidRPr="00E46F2D">
              <w:rPr>
                <w:b/>
                <w:sz w:val="16"/>
                <w:szCs w:val="16"/>
              </w:rPr>
              <w:t>7.78</w:t>
            </w:r>
            <w:r w:rsidR="00FD0C7A">
              <w:rPr>
                <w:b/>
                <w:sz w:val="16"/>
                <w:szCs w:val="16"/>
              </w:rPr>
              <w:t>%</w:t>
            </w:r>
          </w:p>
        </w:tc>
        <w:tc>
          <w:tcPr>
            <w:tcW w:w="1389" w:type="dxa"/>
            <w:vAlign w:val="bottom"/>
          </w:tcPr>
          <w:p w14:paraId="3C0C33EE" w14:textId="64AA5F5E" w:rsidR="00980409" w:rsidRPr="00692926" w:rsidRDefault="00980409" w:rsidP="00980409">
            <w:pPr>
              <w:spacing w:line="240" w:lineRule="exact"/>
              <w:ind w:right="-47"/>
              <w:jc w:val="right"/>
              <w:rPr>
                <w:b/>
                <w:sz w:val="16"/>
                <w:szCs w:val="16"/>
              </w:rPr>
            </w:pPr>
            <w:r w:rsidRPr="00692926">
              <w:rPr>
                <w:b/>
                <w:sz w:val="16"/>
                <w:szCs w:val="16"/>
              </w:rPr>
              <w:t>10.63</w:t>
            </w:r>
            <w:r w:rsidR="00FD0C7A">
              <w:rPr>
                <w:b/>
                <w:sz w:val="16"/>
                <w:szCs w:val="16"/>
              </w:rPr>
              <w:t>%</w:t>
            </w:r>
          </w:p>
        </w:tc>
        <w:tc>
          <w:tcPr>
            <w:tcW w:w="1348" w:type="dxa"/>
            <w:vAlign w:val="bottom"/>
          </w:tcPr>
          <w:p w14:paraId="3B31060E" w14:textId="0DA78726" w:rsidR="00980409" w:rsidRPr="00692926" w:rsidRDefault="00980409" w:rsidP="00980409">
            <w:pPr>
              <w:ind w:right="-47"/>
              <w:jc w:val="right"/>
              <w:rPr>
                <w:b/>
                <w:sz w:val="16"/>
                <w:szCs w:val="16"/>
              </w:rPr>
            </w:pPr>
            <w:r w:rsidRPr="00692926">
              <w:rPr>
                <w:b/>
                <w:sz w:val="16"/>
                <w:szCs w:val="16"/>
              </w:rPr>
              <w:t>9.61</w:t>
            </w:r>
            <w:r w:rsidR="00FD0C7A">
              <w:rPr>
                <w:b/>
                <w:sz w:val="16"/>
                <w:szCs w:val="16"/>
              </w:rPr>
              <w:t>%</w:t>
            </w:r>
          </w:p>
        </w:tc>
      </w:tr>
      <w:tr w:rsidR="00980409" w:rsidRPr="00604C75" w14:paraId="4CA9951B" w14:textId="77777777" w:rsidTr="00E83EAC">
        <w:trPr>
          <w:cantSplit/>
          <w:trHeight w:val="261"/>
        </w:trPr>
        <w:tc>
          <w:tcPr>
            <w:tcW w:w="4564" w:type="dxa"/>
            <w:shd w:val="clear" w:color="auto" w:fill="auto"/>
            <w:vAlign w:val="bottom"/>
          </w:tcPr>
          <w:p w14:paraId="4CE050FC" w14:textId="77777777" w:rsidR="00980409" w:rsidRPr="00AB7CEB" w:rsidRDefault="00980409" w:rsidP="00980409">
            <w:pPr>
              <w:rPr>
                <w:rFonts w:eastAsia="Arial Unicode MS"/>
                <w:b/>
                <w:color w:val="000000"/>
                <w:sz w:val="16"/>
                <w:szCs w:val="16"/>
                <w:highlight w:val="cyan"/>
              </w:rPr>
            </w:pPr>
            <w:r w:rsidRPr="00E83EAC">
              <w:rPr>
                <w:rFonts w:eastAsia="Arial Unicode MS"/>
                <w:b/>
                <w:color w:val="000000"/>
                <w:sz w:val="16"/>
                <w:szCs w:val="16"/>
              </w:rPr>
              <w:t>Common equity</w:t>
            </w:r>
            <w:r w:rsidRPr="00E83EAC">
              <w:rPr>
                <w:b/>
                <w:sz w:val="16"/>
                <w:szCs w:val="16"/>
                <w:lang w:val="es-ES" w:eastAsia="tr-TR"/>
              </w:rPr>
              <w:t>/((</w:t>
            </w:r>
            <w:r w:rsidRPr="00E83EAC">
              <w:rPr>
                <w:b/>
                <w:sz w:val="16"/>
                <w:szCs w:val="16"/>
                <w:lang w:eastAsia="tr-TR"/>
              </w:rPr>
              <w:t>CRCR+CRMR+CROR</w:t>
            </w:r>
            <w:r w:rsidRPr="00E83EAC">
              <w:rPr>
                <w:b/>
                <w:sz w:val="16"/>
                <w:szCs w:val="16"/>
                <w:lang w:val="es-ES" w:eastAsia="tr-TR"/>
              </w:rPr>
              <w:t>) *12,5)*100)</w:t>
            </w:r>
          </w:p>
        </w:tc>
        <w:tc>
          <w:tcPr>
            <w:tcW w:w="1399" w:type="dxa"/>
            <w:vAlign w:val="bottom"/>
          </w:tcPr>
          <w:p w14:paraId="548FADE9" w14:textId="1147F1F2" w:rsidR="00980409" w:rsidRPr="004F34F5" w:rsidRDefault="00980409" w:rsidP="00980409">
            <w:pPr>
              <w:tabs>
                <w:tab w:val="left" w:pos="0"/>
              </w:tabs>
              <w:ind w:right="28"/>
              <w:jc w:val="right"/>
              <w:rPr>
                <w:b/>
                <w:sz w:val="16"/>
                <w:szCs w:val="16"/>
              </w:rPr>
            </w:pPr>
            <w:r w:rsidRPr="00E46F2D">
              <w:rPr>
                <w:b/>
                <w:sz w:val="16"/>
                <w:szCs w:val="16"/>
              </w:rPr>
              <w:t>8.90</w:t>
            </w:r>
            <w:r w:rsidR="00FD0C7A">
              <w:rPr>
                <w:b/>
                <w:sz w:val="16"/>
                <w:szCs w:val="16"/>
              </w:rPr>
              <w:t>%</w:t>
            </w:r>
          </w:p>
        </w:tc>
        <w:tc>
          <w:tcPr>
            <w:tcW w:w="1386" w:type="dxa"/>
            <w:shd w:val="clear" w:color="auto" w:fill="auto"/>
            <w:noWrap/>
            <w:vAlign w:val="bottom"/>
          </w:tcPr>
          <w:p w14:paraId="270F9FBC" w14:textId="41080A38" w:rsidR="00980409" w:rsidRPr="004F34F5" w:rsidRDefault="00980409" w:rsidP="00980409">
            <w:pPr>
              <w:tabs>
                <w:tab w:val="left" w:pos="0"/>
              </w:tabs>
              <w:ind w:right="28"/>
              <w:jc w:val="right"/>
              <w:rPr>
                <w:b/>
                <w:sz w:val="16"/>
                <w:szCs w:val="16"/>
              </w:rPr>
            </w:pPr>
            <w:r w:rsidRPr="00E46F2D">
              <w:rPr>
                <w:b/>
                <w:sz w:val="16"/>
                <w:szCs w:val="16"/>
              </w:rPr>
              <w:t>8.34</w:t>
            </w:r>
            <w:r w:rsidR="00FD0C7A">
              <w:rPr>
                <w:b/>
                <w:sz w:val="16"/>
                <w:szCs w:val="16"/>
              </w:rPr>
              <w:t>%</w:t>
            </w:r>
          </w:p>
        </w:tc>
        <w:tc>
          <w:tcPr>
            <w:tcW w:w="1389" w:type="dxa"/>
            <w:vAlign w:val="bottom"/>
          </w:tcPr>
          <w:p w14:paraId="1D6FABD7" w14:textId="065E247C" w:rsidR="00980409" w:rsidRPr="00692926" w:rsidRDefault="00980409" w:rsidP="00980409">
            <w:pPr>
              <w:spacing w:line="240" w:lineRule="exact"/>
              <w:ind w:right="-47"/>
              <w:jc w:val="right"/>
              <w:rPr>
                <w:b/>
                <w:sz w:val="16"/>
                <w:szCs w:val="16"/>
              </w:rPr>
            </w:pPr>
            <w:r w:rsidRPr="00692926">
              <w:rPr>
                <w:b/>
                <w:sz w:val="16"/>
                <w:szCs w:val="16"/>
              </w:rPr>
              <w:t>10.8</w:t>
            </w:r>
            <w:r>
              <w:rPr>
                <w:b/>
                <w:sz w:val="16"/>
                <w:szCs w:val="16"/>
              </w:rPr>
              <w:t>2</w:t>
            </w:r>
            <w:r w:rsidR="00FD0C7A">
              <w:rPr>
                <w:b/>
                <w:sz w:val="16"/>
                <w:szCs w:val="16"/>
              </w:rPr>
              <w:t>%</w:t>
            </w:r>
          </w:p>
        </w:tc>
        <w:tc>
          <w:tcPr>
            <w:tcW w:w="1348" w:type="dxa"/>
            <w:vAlign w:val="bottom"/>
          </w:tcPr>
          <w:p w14:paraId="602027F4" w14:textId="418E5D8B" w:rsidR="00980409" w:rsidRPr="00692926" w:rsidRDefault="00980409" w:rsidP="00980409">
            <w:pPr>
              <w:ind w:right="-47"/>
              <w:jc w:val="right"/>
              <w:rPr>
                <w:b/>
                <w:sz w:val="16"/>
                <w:szCs w:val="16"/>
              </w:rPr>
            </w:pPr>
            <w:r w:rsidRPr="00692926">
              <w:rPr>
                <w:b/>
                <w:sz w:val="16"/>
                <w:szCs w:val="16"/>
              </w:rPr>
              <w:t>10.25</w:t>
            </w:r>
            <w:r w:rsidR="00FD0C7A">
              <w:rPr>
                <w:b/>
                <w:sz w:val="16"/>
                <w:szCs w:val="16"/>
              </w:rPr>
              <w:t>%</w:t>
            </w:r>
          </w:p>
        </w:tc>
      </w:tr>
    </w:tbl>
    <w:p w14:paraId="20CA0201" w14:textId="77777777" w:rsidR="00046167" w:rsidRPr="00604C75" w:rsidRDefault="00046167" w:rsidP="00AD726D">
      <w:pPr>
        <w:pStyle w:val="BodyTextIndent"/>
        <w:tabs>
          <w:tab w:val="left" w:pos="1276"/>
        </w:tabs>
        <w:spacing w:after="0" w:line="221" w:lineRule="auto"/>
        <w:ind w:left="0"/>
        <w:jc w:val="both"/>
        <w:rPr>
          <w:b/>
          <w:noProof/>
          <w:sz w:val="20"/>
          <w:szCs w:val="20"/>
          <w:lang w:val="tr-TR"/>
        </w:rPr>
      </w:pPr>
    </w:p>
    <w:p w14:paraId="00BBA800" w14:textId="77777777" w:rsidR="00AE4624" w:rsidRPr="00604C75" w:rsidRDefault="00AE4624" w:rsidP="00AD726D">
      <w:pPr>
        <w:pStyle w:val="BodyTextIndent"/>
        <w:tabs>
          <w:tab w:val="left" w:pos="1276"/>
        </w:tabs>
        <w:spacing w:after="0" w:line="221" w:lineRule="auto"/>
        <w:ind w:left="0"/>
        <w:jc w:val="both"/>
        <w:rPr>
          <w:b/>
          <w:noProof/>
          <w:sz w:val="20"/>
          <w:szCs w:val="20"/>
          <w:lang w:val="tr-TR"/>
        </w:rPr>
      </w:pPr>
      <w:r w:rsidRPr="00604C75">
        <w:rPr>
          <w:b/>
          <w:noProof/>
          <w:sz w:val="20"/>
          <w:szCs w:val="20"/>
          <w:lang w:val="tr-TR"/>
        </w:rPr>
        <w:t xml:space="preserve">Information about </w:t>
      </w:r>
      <w:r w:rsidR="005512E8" w:rsidRPr="00604C75">
        <w:rPr>
          <w:b/>
          <w:noProof/>
          <w:sz w:val="20"/>
          <w:szCs w:val="20"/>
          <w:lang w:val="tr-TR"/>
        </w:rPr>
        <w:t>th</w:t>
      </w:r>
      <w:r w:rsidR="00E51107" w:rsidRPr="00604C75">
        <w:rPr>
          <w:b/>
          <w:noProof/>
          <w:sz w:val="20"/>
          <w:szCs w:val="20"/>
          <w:lang w:val="tr-TR"/>
        </w:rPr>
        <w:t>e</w:t>
      </w:r>
      <w:r w:rsidR="005512E8" w:rsidRPr="00604C75">
        <w:rPr>
          <w:b/>
          <w:noProof/>
          <w:sz w:val="20"/>
          <w:szCs w:val="20"/>
          <w:lang w:val="tr-TR"/>
        </w:rPr>
        <w:t xml:space="preserve"> </w:t>
      </w:r>
      <w:r w:rsidR="0082716F" w:rsidRPr="00604C75">
        <w:rPr>
          <w:b/>
          <w:noProof/>
          <w:sz w:val="20"/>
          <w:szCs w:val="20"/>
          <w:lang w:val="tr-TR"/>
        </w:rPr>
        <w:t>shareholders’ equity items</w:t>
      </w:r>
    </w:p>
    <w:p w14:paraId="3A28ADFD" w14:textId="77777777" w:rsidR="00585656" w:rsidRPr="00604C75" w:rsidRDefault="00585656" w:rsidP="00585656">
      <w:pPr>
        <w:pStyle w:val="BodyText3"/>
        <w:tabs>
          <w:tab w:val="clear" w:pos="539"/>
          <w:tab w:val="clear" w:pos="5310"/>
          <w:tab w:val="clear" w:pos="7560"/>
          <w:tab w:val="left" w:pos="1276"/>
        </w:tabs>
        <w:ind w:left="1276" w:hanging="425"/>
        <w:jc w:val="both"/>
        <w:rPr>
          <w:b/>
          <w:bCs w:val="0"/>
          <w:i w:val="0"/>
          <w:iCs w:val="0"/>
          <w:sz w:val="20"/>
        </w:rPr>
      </w:pPr>
    </w:p>
    <w:tbl>
      <w:tblPr>
        <w:tblW w:w="10159" w:type="dxa"/>
        <w:tblInd w:w="-1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7513"/>
        <w:gridCol w:w="1306"/>
        <w:gridCol w:w="1340"/>
      </w:tblGrid>
      <w:tr w:rsidR="00F0291B" w:rsidRPr="00604C75" w14:paraId="5A414E26" w14:textId="77777777" w:rsidTr="000E4F3B">
        <w:trPr>
          <w:cantSplit/>
          <w:trHeight w:val="102"/>
        </w:trPr>
        <w:tc>
          <w:tcPr>
            <w:tcW w:w="7513" w:type="dxa"/>
            <w:vAlign w:val="center"/>
            <w:hideMark/>
          </w:tcPr>
          <w:p w14:paraId="45A7A046" w14:textId="77777777" w:rsidR="00F0291B" w:rsidRPr="00604C75" w:rsidRDefault="00F0291B" w:rsidP="00D004B7">
            <w:pPr>
              <w:rPr>
                <w:sz w:val="16"/>
                <w:szCs w:val="16"/>
                <w:lang w:eastAsia="tr-TR"/>
              </w:rPr>
            </w:pPr>
          </w:p>
        </w:tc>
        <w:tc>
          <w:tcPr>
            <w:tcW w:w="1306" w:type="dxa"/>
            <w:vAlign w:val="bottom"/>
          </w:tcPr>
          <w:p w14:paraId="4ABC68CF" w14:textId="77777777" w:rsidR="00F0291B" w:rsidRPr="00604C75" w:rsidRDefault="00F0291B" w:rsidP="000E4F3B">
            <w:pPr>
              <w:spacing w:before="100" w:beforeAutospacing="1" w:after="100" w:afterAutospacing="1" w:line="20" w:lineRule="atLeast"/>
              <w:jc w:val="center"/>
              <w:rPr>
                <w:b/>
                <w:sz w:val="16"/>
                <w:szCs w:val="16"/>
                <w:lang w:eastAsia="tr-TR"/>
              </w:rPr>
            </w:pPr>
            <w:r>
              <w:rPr>
                <w:b/>
                <w:sz w:val="16"/>
                <w:szCs w:val="16"/>
                <w:lang w:eastAsia="tr-TR"/>
              </w:rPr>
              <w:t>3</w:t>
            </w:r>
            <w:r w:rsidR="00481210">
              <w:rPr>
                <w:b/>
                <w:sz w:val="16"/>
                <w:szCs w:val="16"/>
                <w:lang w:eastAsia="tr-TR"/>
              </w:rPr>
              <w:t>1</w:t>
            </w:r>
            <w:r>
              <w:rPr>
                <w:b/>
                <w:sz w:val="16"/>
                <w:szCs w:val="16"/>
                <w:lang w:eastAsia="tr-TR"/>
              </w:rPr>
              <w:t xml:space="preserve"> </w:t>
            </w:r>
            <w:r w:rsidR="00481210">
              <w:rPr>
                <w:b/>
                <w:sz w:val="16"/>
                <w:szCs w:val="16"/>
                <w:lang w:eastAsia="tr-TR"/>
              </w:rPr>
              <w:t xml:space="preserve">December </w:t>
            </w:r>
            <w:r w:rsidRPr="00604C75">
              <w:rPr>
                <w:b/>
                <w:sz w:val="16"/>
                <w:szCs w:val="16"/>
                <w:lang w:eastAsia="tr-TR"/>
              </w:rPr>
              <w:t>2015</w:t>
            </w:r>
          </w:p>
        </w:tc>
        <w:tc>
          <w:tcPr>
            <w:tcW w:w="1340" w:type="dxa"/>
            <w:vAlign w:val="bottom"/>
          </w:tcPr>
          <w:p w14:paraId="390D9CB3" w14:textId="77777777" w:rsidR="00F0291B" w:rsidRDefault="00F0291B" w:rsidP="00576E0A">
            <w:pPr>
              <w:spacing w:before="100" w:beforeAutospacing="1" w:after="100" w:afterAutospacing="1" w:line="20" w:lineRule="atLeast"/>
              <w:jc w:val="right"/>
              <w:rPr>
                <w:b/>
                <w:sz w:val="16"/>
                <w:szCs w:val="16"/>
                <w:lang w:eastAsia="tr-TR"/>
              </w:rPr>
            </w:pPr>
            <w:r>
              <w:rPr>
                <w:b/>
                <w:sz w:val="16"/>
                <w:szCs w:val="16"/>
                <w:lang w:eastAsia="tr-TR"/>
              </w:rPr>
              <w:t xml:space="preserve"> </w:t>
            </w:r>
            <w:r w:rsidRPr="00F0291B">
              <w:rPr>
                <w:b/>
                <w:sz w:val="16"/>
                <w:szCs w:val="16"/>
                <w:lang w:eastAsia="tr-TR"/>
              </w:rPr>
              <w:t>3</w:t>
            </w:r>
            <w:r>
              <w:rPr>
                <w:b/>
                <w:sz w:val="16"/>
                <w:szCs w:val="16"/>
                <w:lang w:eastAsia="tr-TR"/>
              </w:rPr>
              <w:t>1 Decembe</w:t>
            </w:r>
            <w:r w:rsidR="00A20963">
              <w:rPr>
                <w:b/>
                <w:sz w:val="16"/>
                <w:szCs w:val="16"/>
                <w:lang w:eastAsia="tr-TR"/>
              </w:rPr>
              <w:t>r 2014</w:t>
            </w:r>
          </w:p>
        </w:tc>
      </w:tr>
      <w:tr w:rsidR="00F0291B" w:rsidRPr="00604C75" w14:paraId="4156E040" w14:textId="77777777" w:rsidTr="000E4F3B">
        <w:trPr>
          <w:cantSplit/>
          <w:trHeight w:val="102"/>
        </w:trPr>
        <w:tc>
          <w:tcPr>
            <w:tcW w:w="7513" w:type="dxa"/>
            <w:vAlign w:val="center"/>
            <w:hideMark/>
          </w:tcPr>
          <w:p w14:paraId="166000D1" w14:textId="77777777" w:rsidR="00F0291B" w:rsidRPr="00B623B1" w:rsidRDefault="008574B8" w:rsidP="00D004B7">
            <w:pPr>
              <w:spacing w:before="100" w:beforeAutospacing="1" w:after="100" w:afterAutospacing="1" w:line="20" w:lineRule="atLeast"/>
              <w:jc w:val="center"/>
              <w:rPr>
                <w:sz w:val="16"/>
                <w:szCs w:val="16"/>
                <w:lang w:eastAsia="tr-TR"/>
              </w:rPr>
            </w:pPr>
            <w:r w:rsidRPr="00E83EAC">
              <w:rPr>
                <w:b/>
                <w:bCs/>
                <w:sz w:val="16"/>
                <w:szCs w:val="16"/>
                <w:lang w:eastAsia="tr-TR"/>
              </w:rPr>
              <w:t>COMMON EQUITY</w:t>
            </w:r>
          </w:p>
        </w:tc>
        <w:tc>
          <w:tcPr>
            <w:tcW w:w="1306" w:type="dxa"/>
            <w:vAlign w:val="center"/>
          </w:tcPr>
          <w:p w14:paraId="7C0C12CF" w14:textId="77777777" w:rsidR="00F0291B" w:rsidRPr="00604C75" w:rsidRDefault="00F0291B" w:rsidP="008C574E">
            <w:pPr>
              <w:jc w:val="right"/>
              <w:rPr>
                <w:b/>
                <w:bCs/>
                <w:color w:val="000000"/>
                <w:sz w:val="16"/>
                <w:szCs w:val="16"/>
              </w:rPr>
            </w:pPr>
          </w:p>
        </w:tc>
        <w:tc>
          <w:tcPr>
            <w:tcW w:w="1340" w:type="dxa"/>
          </w:tcPr>
          <w:p w14:paraId="763A9AF0" w14:textId="77777777" w:rsidR="00F0291B" w:rsidRPr="00604C75" w:rsidRDefault="00F0291B" w:rsidP="008C574E">
            <w:pPr>
              <w:jc w:val="right"/>
              <w:rPr>
                <w:b/>
                <w:bCs/>
                <w:color w:val="000000"/>
                <w:sz w:val="16"/>
                <w:szCs w:val="16"/>
              </w:rPr>
            </w:pPr>
          </w:p>
        </w:tc>
      </w:tr>
      <w:tr w:rsidR="00224102" w:rsidRPr="00604C75" w14:paraId="0955C287" w14:textId="77777777" w:rsidTr="000E4F3B">
        <w:trPr>
          <w:cantSplit/>
          <w:trHeight w:val="102"/>
        </w:trPr>
        <w:tc>
          <w:tcPr>
            <w:tcW w:w="7513" w:type="dxa"/>
            <w:vAlign w:val="center"/>
            <w:hideMark/>
          </w:tcPr>
          <w:p w14:paraId="3CE5C2DA" w14:textId="247CC947" w:rsidR="00224102" w:rsidRPr="00604C75" w:rsidRDefault="00B85547" w:rsidP="00D15467">
            <w:pPr>
              <w:spacing w:before="100" w:beforeAutospacing="1" w:after="100" w:afterAutospacing="1" w:line="20" w:lineRule="atLeast"/>
              <w:jc w:val="both"/>
              <w:rPr>
                <w:sz w:val="16"/>
                <w:szCs w:val="16"/>
                <w:lang w:eastAsia="tr-TR"/>
              </w:rPr>
            </w:pPr>
            <w:r>
              <w:rPr>
                <w:sz w:val="16"/>
                <w:szCs w:val="16"/>
                <w:lang w:eastAsia="tr-TR"/>
              </w:rPr>
              <w:t>Paid-in c</w:t>
            </w:r>
            <w:r w:rsidR="00224102" w:rsidRPr="00604C75">
              <w:rPr>
                <w:sz w:val="16"/>
                <w:szCs w:val="16"/>
                <w:lang w:eastAsia="tr-TR"/>
              </w:rPr>
              <w:t xml:space="preserve">apital to be </w:t>
            </w:r>
            <w:r>
              <w:rPr>
                <w:sz w:val="16"/>
                <w:szCs w:val="16"/>
                <w:lang w:eastAsia="tr-TR"/>
              </w:rPr>
              <w:t>e</w:t>
            </w:r>
            <w:r w:rsidR="00224102" w:rsidRPr="00604C75">
              <w:rPr>
                <w:sz w:val="16"/>
                <w:szCs w:val="16"/>
                <w:lang w:eastAsia="tr-TR"/>
              </w:rPr>
              <w:t xml:space="preserve">ntitled for </w:t>
            </w:r>
            <w:r>
              <w:rPr>
                <w:sz w:val="16"/>
                <w:szCs w:val="16"/>
                <w:lang w:eastAsia="tr-TR"/>
              </w:rPr>
              <w:t>c</w:t>
            </w:r>
            <w:r w:rsidR="00224102" w:rsidRPr="00604C75">
              <w:rPr>
                <w:sz w:val="16"/>
                <w:szCs w:val="16"/>
                <w:lang w:eastAsia="tr-TR"/>
              </w:rPr>
              <w:t xml:space="preserve">ompensation after </w:t>
            </w:r>
            <w:r>
              <w:rPr>
                <w:sz w:val="16"/>
                <w:szCs w:val="16"/>
                <w:lang w:eastAsia="tr-TR"/>
              </w:rPr>
              <w:t>a</w:t>
            </w:r>
            <w:r w:rsidR="00224102" w:rsidRPr="00604C75">
              <w:rPr>
                <w:sz w:val="16"/>
                <w:szCs w:val="16"/>
                <w:lang w:eastAsia="tr-TR"/>
              </w:rPr>
              <w:t xml:space="preserve">ll </w:t>
            </w:r>
            <w:r>
              <w:rPr>
                <w:sz w:val="16"/>
                <w:szCs w:val="16"/>
                <w:lang w:eastAsia="tr-TR"/>
              </w:rPr>
              <w:t>c</w:t>
            </w:r>
            <w:r w:rsidR="00224102" w:rsidRPr="00604C75">
              <w:rPr>
                <w:sz w:val="16"/>
                <w:szCs w:val="16"/>
                <w:lang w:eastAsia="tr-TR"/>
              </w:rPr>
              <w:t>reditors</w:t>
            </w:r>
          </w:p>
        </w:tc>
        <w:tc>
          <w:tcPr>
            <w:tcW w:w="1306" w:type="dxa"/>
            <w:vAlign w:val="center"/>
          </w:tcPr>
          <w:p w14:paraId="55710999" w14:textId="63218B8D" w:rsidR="00224102" w:rsidRPr="00692926" w:rsidRDefault="00224102" w:rsidP="000E4F3B">
            <w:pPr>
              <w:tabs>
                <w:tab w:val="left" w:pos="0"/>
              </w:tabs>
              <w:ind w:right="54"/>
              <w:jc w:val="right"/>
              <w:rPr>
                <w:sz w:val="16"/>
                <w:szCs w:val="16"/>
              </w:rPr>
            </w:pPr>
            <w:r>
              <w:rPr>
                <w:sz w:val="16"/>
                <w:szCs w:val="16"/>
              </w:rPr>
              <w:t>620,000</w:t>
            </w:r>
          </w:p>
        </w:tc>
        <w:tc>
          <w:tcPr>
            <w:tcW w:w="1340" w:type="dxa"/>
            <w:vAlign w:val="center"/>
          </w:tcPr>
          <w:p w14:paraId="6C8A1BB4" w14:textId="53CBD960" w:rsidR="00224102" w:rsidRPr="00692926" w:rsidRDefault="00224102" w:rsidP="000E4F3B">
            <w:pPr>
              <w:ind w:right="54"/>
              <w:jc w:val="right"/>
              <w:rPr>
                <w:sz w:val="16"/>
                <w:szCs w:val="16"/>
              </w:rPr>
            </w:pPr>
            <w:r w:rsidRPr="00692926">
              <w:rPr>
                <w:sz w:val="16"/>
                <w:szCs w:val="16"/>
              </w:rPr>
              <w:t>620,000</w:t>
            </w:r>
          </w:p>
        </w:tc>
      </w:tr>
      <w:tr w:rsidR="00224102" w:rsidRPr="00604C75" w14:paraId="4FC6B64F" w14:textId="77777777" w:rsidTr="000E4F3B">
        <w:trPr>
          <w:cantSplit/>
          <w:trHeight w:val="102"/>
        </w:trPr>
        <w:tc>
          <w:tcPr>
            <w:tcW w:w="7513" w:type="dxa"/>
            <w:vAlign w:val="center"/>
            <w:hideMark/>
          </w:tcPr>
          <w:p w14:paraId="3A146B84" w14:textId="271F91A3" w:rsidR="00224102" w:rsidRPr="00604C75" w:rsidRDefault="00224102" w:rsidP="00B85547">
            <w:pPr>
              <w:spacing w:before="100" w:beforeAutospacing="1" w:after="100" w:afterAutospacing="1" w:line="20" w:lineRule="atLeast"/>
              <w:rPr>
                <w:sz w:val="16"/>
                <w:szCs w:val="16"/>
                <w:lang w:eastAsia="tr-TR"/>
              </w:rPr>
            </w:pPr>
            <w:r w:rsidRPr="00604C75">
              <w:rPr>
                <w:sz w:val="16"/>
                <w:szCs w:val="16"/>
                <w:lang w:eastAsia="tr-TR"/>
              </w:rPr>
              <w:t xml:space="preserve">Share </w:t>
            </w:r>
            <w:r w:rsidR="00B85547">
              <w:rPr>
                <w:sz w:val="16"/>
                <w:szCs w:val="16"/>
                <w:lang w:eastAsia="tr-TR"/>
              </w:rPr>
              <w:t>p</w:t>
            </w:r>
            <w:r w:rsidRPr="00604C75">
              <w:rPr>
                <w:sz w:val="16"/>
                <w:szCs w:val="16"/>
                <w:lang w:eastAsia="tr-TR"/>
              </w:rPr>
              <w:t>remium</w:t>
            </w:r>
          </w:p>
        </w:tc>
        <w:tc>
          <w:tcPr>
            <w:tcW w:w="1306" w:type="dxa"/>
            <w:vAlign w:val="bottom"/>
          </w:tcPr>
          <w:p w14:paraId="3C6D82D1" w14:textId="305FA958" w:rsidR="00224102" w:rsidRPr="00692926" w:rsidRDefault="00224102" w:rsidP="000E4F3B">
            <w:pPr>
              <w:tabs>
                <w:tab w:val="left" w:pos="0"/>
              </w:tabs>
              <w:ind w:right="54"/>
              <w:jc w:val="right"/>
              <w:rPr>
                <w:sz w:val="16"/>
                <w:szCs w:val="16"/>
              </w:rPr>
            </w:pPr>
            <w:r>
              <w:rPr>
                <w:sz w:val="16"/>
                <w:szCs w:val="16"/>
              </w:rPr>
              <w:t>54</w:t>
            </w:r>
          </w:p>
        </w:tc>
        <w:tc>
          <w:tcPr>
            <w:tcW w:w="1340" w:type="dxa"/>
            <w:vAlign w:val="bottom"/>
          </w:tcPr>
          <w:p w14:paraId="504059ED" w14:textId="7FE0EF02" w:rsidR="00224102" w:rsidRPr="00692926" w:rsidRDefault="00224102" w:rsidP="000E4F3B">
            <w:pPr>
              <w:ind w:right="54"/>
              <w:jc w:val="right"/>
              <w:rPr>
                <w:sz w:val="16"/>
                <w:szCs w:val="16"/>
              </w:rPr>
            </w:pPr>
            <w:r w:rsidRPr="00692926">
              <w:rPr>
                <w:sz w:val="16"/>
                <w:szCs w:val="16"/>
              </w:rPr>
              <w:t>119</w:t>
            </w:r>
          </w:p>
        </w:tc>
      </w:tr>
      <w:tr w:rsidR="00224102" w:rsidRPr="00604C75" w14:paraId="33D0D03E" w14:textId="77777777" w:rsidTr="000E4F3B">
        <w:trPr>
          <w:cantSplit/>
          <w:trHeight w:val="102"/>
        </w:trPr>
        <w:tc>
          <w:tcPr>
            <w:tcW w:w="7513" w:type="dxa"/>
            <w:vAlign w:val="center"/>
            <w:hideMark/>
          </w:tcPr>
          <w:p w14:paraId="154CCD0B" w14:textId="160A5E24" w:rsidR="00224102" w:rsidRPr="00604C75" w:rsidRDefault="00B85547" w:rsidP="009D09BB">
            <w:pPr>
              <w:spacing w:before="100" w:beforeAutospacing="1" w:after="100" w:afterAutospacing="1" w:line="20" w:lineRule="atLeast"/>
              <w:rPr>
                <w:sz w:val="16"/>
                <w:szCs w:val="16"/>
                <w:lang w:eastAsia="tr-TR"/>
              </w:rPr>
            </w:pPr>
            <w:r>
              <w:rPr>
                <w:sz w:val="16"/>
                <w:szCs w:val="16"/>
                <w:lang w:eastAsia="tr-TR"/>
              </w:rPr>
              <w:t>Share c</w:t>
            </w:r>
            <w:r w:rsidR="00224102" w:rsidRPr="00604C75">
              <w:rPr>
                <w:sz w:val="16"/>
                <w:szCs w:val="16"/>
                <w:lang w:eastAsia="tr-TR"/>
              </w:rPr>
              <w:t xml:space="preserve">ancellation </w:t>
            </w:r>
            <w:r>
              <w:rPr>
                <w:sz w:val="16"/>
                <w:szCs w:val="16"/>
                <w:lang w:eastAsia="tr-TR"/>
              </w:rPr>
              <w:t>p</w:t>
            </w:r>
            <w:r w:rsidR="00224102" w:rsidRPr="00604C75">
              <w:rPr>
                <w:sz w:val="16"/>
                <w:szCs w:val="16"/>
                <w:lang w:eastAsia="tr-TR"/>
              </w:rPr>
              <w:t>rofits</w:t>
            </w:r>
          </w:p>
        </w:tc>
        <w:tc>
          <w:tcPr>
            <w:tcW w:w="1306" w:type="dxa"/>
            <w:vAlign w:val="bottom"/>
          </w:tcPr>
          <w:p w14:paraId="3E62D864" w14:textId="335B6830" w:rsidR="00224102" w:rsidRPr="00692926" w:rsidRDefault="00224102" w:rsidP="000E4F3B">
            <w:pPr>
              <w:tabs>
                <w:tab w:val="left" w:pos="0"/>
              </w:tabs>
              <w:ind w:right="54"/>
              <w:jc w:val="right"/>
              <w:rPr>
                <w:sz w:val="16"/>
                <w:szCs w:val="16"/>
              </w:rPr>
            </w:pPr>
            <w:r>
              <w:rPr>
                <w:sz w:val="16"/>
                <w:szCs w:val="16"/>
              </w:rPr>
              <w:t>-</w:t>
            </w:r>
          </w:p>
        </w:tc>
        <w:tc>
          <w:tcPr>
            <w:tcW w:w="1340" w:type="dxa"/>
            <w:vAlign w:val="bottom"/>
          </w:tcPr>
          <w:p w14:paraId="71145369" w14:textId="51D8D91A" w:rsidR="00224102" w:rsidRPr="00692926" w:rsidRDefault="00224102" w:rsidP="000E4F3B">
            <w:pPr>
              <w:ind w:right="54"/>
              <w:jc w:val="right"/>
              <w:rPr>
                <w:sz w:val="16"/>
                <w:szCs w:val="16"/>
              </w:rPr>
            </w:pPr>
            <w:r w:rsidRPr="00692926">
              <w:rPr>
                <w:sz w:val="16"/>
                <w:szCs w:val="16"/>
              </w:rPr>
              <w:t>(3,296)</w:t>
            </w:r>
          </w:p>
        </w:tc>
      </w:tr>
      <w:tr w:rsidR="00224102" w:rsidRPr="00604C75" w14:paraId="4EC5F201" w14:textId="77777777" w:rsidTr="000E4F3B">
        <w:trPr>
          <w:cantSplit/>
          <w:trHeight w:val="102"/>
        </w:trPr>
        <w:tc>
          <w:tcPr>
            <w:tcW w:w="7513" w:type="dxa"/>
            <w:vAlign w:val="center"/>
            <w:hideMark/>
          </w:tcPr>
          <w:p w14:paraId="6CD19FFB" w14:textId="3C0A4E81" w:rsidR="00224102" w:rsidRPr="00604C75" w:rsidRDefault="00224102" w:rsidP="00B85547">
            <w:pPr>
              <w:spacing w:before="100" w:beforeAutospacing="1" w:after="100" w:afterAutospacing="1" w:line="20" w:lineRule="atLeast"/>
              <w:rPr>
                <w:sz w:val="16"/>
                <w:szCs w:val="16"/>
                <w:lang w:eastAsia="tr-TR"/>
              </w:rPr>
            </w:pPr>
            <w:r w:rsidRPr="00604C75">
              <w:rPr>
                <w:sz w:val="16"/>
                <w:szCs w:val="16"/>
                <w:lang w:eastAsia="tr-TR"/>
              </w:rPr>
              <w:t xml:space="preserve">Legal </w:t>
            </w:r>
            <w:r w:rsidR="00B85547">
              <w:rPr>
                <w:sz w:val="16"/>
                <w:szCs w:val="16"/>
                <w:lang w:eastAsia="tr-TR"/>
              </w:rPr>
              <w:t>r</w:t>
            </w:r>
            <w:r w:rsidRPr="00604C75">
              <w:rPr>
                <w:sz w:val="16"/>
                <w:szCs w:val="16"/>
                <w:lang w:eastAsia="tr-TR"/>
              </w:rPr>
              <w:t>eserves</w:t>
            </w:r>
          </w:p>
        </w:tc>
        <w:tc>
          <w:tcPr>
            <w:tcW w:w="1306" w:type="dxa"/>
            <w:vAlign w:val="bottom"/>
          </w:tcPr>
          <w:p w14:paraId="40F348A2" w14:textId="301DF943" w:rsidR="00224102" w:rsidRPr="00692926" w:rsidRDefault="00224102" w:rsidP="000E4F3B">
            <w:pPr>
              <w:tabs>
                <w:tab w:val="left" w:pos="0"/>
              </w:tabs>
              <w:ind w:right="54"/>
              <w:jc w:val="right"/>
              <w:rPr>
                <w:sz w:val="16"/>
                <w:szCs w:val="16"/>
              </w:rPr>
            </w:pPr>
            <w:r>
              <w:rPr>
                <w:sz w:val="16"/>
                <w:szCs w:val="16"/>
              </w:rPr>
              <w:t>356,619</w:t>
            </w:r>
          </w:p>
        </w:tc>
        <w:tc>
          <w:tcPr>
            <w:tcW w:w="1340" w:type="dxa"/>
            <w:vAlign w:val="bottom"/>
          </w:tcPr>
          <w:p w14:paraId="503650C8" w14:textId="03447D4E" w:rsidR="00224102" w:rsidRPr="00692926" w:rsidRDefault="00224102" w:rsidP="000E4F3B">
            <w:pPr>
              <w:ind w:right="54"/>
              <w:jc w:val="right"/>
              <w:rPr>
                <w:sz w:val="16"/>
                <w:szCs w:val="16"/>
              </w:rPr>
            </w:pPr>
            <w:r w:rsidRPr="00692926">
              <w:rPr>
                <w:sz w:val="16"/>
                <w:szCs w:val="16"/>
              </w:rPr>
              <w:t>232,062</w:t>
            </w:r>
          </w:p>
        </w:tc>
      </w:tr>
      <w:tr w:rsidR="00224102" w:rsidRPr="00604C75" w14:paraId="617176C3" w14:textId="77777777" w:rsidTr="000E4F3B">
        <w:trPr>
          <w:cantSplit/>
          <w:trHeight w:val="102"/>
        </w:trPr>
        <w:tc>
          <w:tcPr>
            <w:tcW w:w="7513" w:type="dxa"/>
            <w:vAlign w:val="center"/>
            <w:hideMark/>
          </w:tcPr>
          <w:p w14:paraId="1AE1F90A" w14:textId="04371959" w:rsidR="00224102" w:rsidRPr="00604C75" w:rsidRDefault="00B85547" w:rsidP="00B85547">
            <w:pPr>
              <w:spacing w:before="100" w:beforeAutospacing="1" w:after="100" w:afterAutospacing="1" w:line="20" w:lineRule="atLeast"/>
              <w:rPr>
                <w:sz w:val="16"/>
                <w:szCs w:val="16"/>
                <w:lang w:eastAsia="tr-TR"/>
              </w:rPr>
            </w:pPr>
            <w:r>
              <w:rPr>
                <w:sz w:val="16"/>
                <w:szCs w:val="16"/>
                <w:lang w:eastAsia="tr-TR"/>
              </w:rPr>
              <w:t>Other c</w:t>
            </w:r>
            <w:r w:rsidR="00224102" w:rsidRPr="00604C75">
              <w:rPr>
                <w:sz w:val="16"/>
                <w:szCs w:val="16"/>
                <w:lang w:eastAsia="tr-TR"/>
              </w:rPr>
              <w:t xml:space="preserve">omprehensive </w:t>
            </w:r>
            <w:r>
              <w:rPr>
                <w:sz w:val="16"/>
                <w:szCs w:val="16"/>
                <w:lang w:eastAsia="tr-TR"/>
              </w:rPr>
              <w:t>i</w:t>
            </w:r>
            <w:r w:rsidR="00224102" w:rsidRPr="00604C75">
              <w:rPr>
                <w:sz w:val="16"/>
                <w:szCs w:val="16"/>
                <w:lang w:eastAsia="tr-TR"/>
              </w:rPr>
              <w:t>ncome according to TAS</w:t>
            </w:r>
          </w:p>
        </w:tc>
        <w:tc>
          <w:tcPr>
            <w:tcW w:w="1306" w:type="dxa"/>
            <w:vAlign w:val="bottom"/>
          </w:tcPr>
          <w:p w14:paraId="6A1BC4F4" w14:textId="77777777" w:rsidR="00224102" w:rsidRPr="00692926" w:rsidRDefault="00224102" w:rsidP="000E4F3B">
            <w:pPr>
              <w:tabs>
                <w:tab w:val="left" w:pos="0"/>
              </w:tabs>
              <w:ind w:right="54"/>
              <w:jc w:val="right"/>
              <w:rPr>
                <w:bCs/>
                <w:sz w:val="20"/>
                <w:szCs w:val="20"/>
              </w:rPr>
            </w:pPr>
          </w:p>
        </w:tc>
        <w:tc>
          <w:tcPr>
            <w:tcW w:w="1340" w:type="dxa"/>
            <w:vAlign w:val="bottom"/>
          </w:tcPr>
          <w:p w14:paraId="465FBA0E" w14:textId="7863FB3B" w:rsidR="00224102" w:rsidRPr="00692926" w:rsidRDefault="00224102" w:rsidP="000E4F3B">
            <w:pPr>
              <w:ind w:right="54"/>
              <w:jc w:val="right"/>
              <w:rPr>
                <w:bCs/>
                <w:sz w:val="20"/>
                <w:szCs w:val="20"/>
              </w:rPr>
            </w:pPr>
            <w:r w:rsidRPr="00692926">
              <w:rPr>
                <w:bCs/>
                <w:sz w:val="20"/>
                <w:szCs w:val="20"/>
              </w:rPr>
              <w:t>-</w:t>
            </w:r>
          </w:p>
        </w:tc>
      </w:tr>
      <w:tr w:rsidR="00224102" w:rsidRPr="00604C75" w14:paraId="41DE2E72" w14:textId="77777777" w:rsidTr="000E4F3B">
        <w:trPr>
          <w:cantSplit/>
          <w:trHeight w:val="102"/>
        </w:trPr>
        <w:tc>
          <w:tcPr>
            <w:tcW w:w="7513" w:type="dxa"/>
            <w:vAlign w:val="center"/>
            <w:hideMark/>
          </w:tcPr>
          <w:p w14:paraId="58E60236" w14:textId="77777777" w:rsidR="00224102" w:rsidRPr="00604C75" w:rsidRDefault="00224102" w:rsidP="00991C34">
            <w:pPr>
              <w:spacing w:before="100" w:beforeAutospacing="1" w:after="100" w:afterAutospacing="1" w:line="20" w:lineRule="atLeast"/>
              <w:rPr>
                <w:sz w:val="16"/>
                <w:szCs w:val="16"/>
                <w:lang w:eastAsia="tr-TR"/>
              </w:rPr>
            </w:pPr>
            <w:r w:rsidRPr="00604C75">
              <w:rPr>
                <w:sz w:val="16"/>
                <w:szCs w:val="16"/>
                <w:lang w:eastAsia="tr-TR"/>
              </w:rPr>
              <w:t>Profit</w:t>
            </w:r>
          </w:p>
        </w:tc>
        <w:tc>
          <w:tcPr>
            <w:tcW w:w="1306" w:type="dxa"/>
            <w:vAlign w:val="center"/>
          </w:tcPr>
          <w:p w14:paraId="0AEFB6A0" w14:textId="49E4C2F2" w:rsidR="00224102" w:rsidRPr="00692926" w:rsidRDefault="00224102" w:rsidP="000E4F3B">
            <w:pPr>
              <w:tabs>
                <w:tab w:val="left" w:pos="0"/>
              </w:tabs>
              <w:ind w:right="54"/>
              <w:jc w:val="right"/>
              <w:rPr>
                <w:sz w:val="16"/>
                <w:szCs w:val="16"/>
              </w:rPr>
            </w:pPr>
            <w:r>
              <w:rPr>
                <w:sz w:val="16"/>
                <w:szCs w:val="16"/>
              </w:rPr>
              <w:t>65,869</w:t>
            </w:r>
          </w:p>
        </w:tc>
        <w:tc>
          <w:tcPr>
            <w:tcW w:w="1340" w:type="dxa"/>
            <w:vAlign w:val="center"/>
          </w:tcPr>
          <w:p w14:paraId="293DC5E8" w14:textId="6EA0DC34" w:rsidR="00224102" w:rsidRPr="00692926" w:rsidRDefault="00224102" w:rsidP="000E4F3B">
            <w:pPr>
              <w:ind w:right="54"/>
              <w:jc w:val="right"/>
              <w:rPr>
                <w:sz w:val="16"/>
                <w:szCs w:val="16"/>
              </w:rPr>
            </w:pPr>
            <w:r w:rsidRPr="00692926">
              <w:rPr>
                <w:sz w:val="16"/>
                <w:szCs w:val="16"/>
              </w:rPr>
              <w:t>120,955</w:t>
            </w:r>
          </w:p>
        </w:tc>
      </w:tr>
      <w:tr w:rsidR="00224102" w:rsidRPr="00604C75" w14:paraId="6B66ADC2" w14:textId="77777777" w:rsidTr="000E4F3B">
        <w:trPr>
          <w:cantSplit/>
          <w:trHeight w:val="102"/>
        </w:trPr>
        <w:tc>
          <w:tcPr>
            <w:tcW w:w="7513" w:type="dxa"/>
            <w:shd w:val="clear" w:color="auto" w:fill="auto"/>
            <w:vAlign w:val="center"/>
            <w:hideMark/>
          </w:tcPr>
          <w:p w14:paraId="03A8AB1A"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 xml:space="preserve">      Net Current Period Profit</w:t>
            </w:r>
          </w:p>
        </w:tc>
        <w:tc>
          <w:tcPr>
            <w:tcW w:w="1306" w:type="dxa"/>
            <w:vAlign w:val="center"/>
          </w:tcPr>
          <w:p w14:paraId="78B8B632" w14:textId="46263755" w:rsidR="00224102" w:rsidRPr="00692926" w:rsidRDefault="00224102" w:rsidP="000E4F3B">
            <w:pPr>
              <w:tabs>
                <w:tab w:val="left" w:pos="0"/>
              </w:tabs>
              <w:ind w:right="54"/>
              <w:jc w:val="right"/>
              <w:rPr>
                <w:sz w:val="16"/>
                <w:szCs w:val="16"/>
              </w:rPr>
            </w:pPr>
            <w:r>
              <w:rPr>
                <w:sz w:val="16"/>
                <w:szCs w:val="16"/>
              </w:rPr>
              <w:t>69,876</w:t>
            </w:r>
          </w:p>
        </w:tc>
        <w:tc>
          <w:tcPr>
            <w:tcW w:w="1340" w:type="dxa"/>
            <w:vAlign w:val="center"/>
          </w:tcPr>
          <w:p w14:paraId="61328D61" w14:textId="11A7C4CA" w:rsidR="00224102" w:rsidRPr="00692926" w:rsidRDefault="00224102" w:rsidP="000E4F3B">
            <w:pPr>
              <w:ind w:right="54"/>
              <w:jc w:val="right"/>
              <w:rPr>
                <w:sz w:val="16"/>
                <w:szCs w:val="16"/>
              </w:rPr>
            </w:pPr>
            <w:r w:rsidRPr="00692926">
              <w:rPr>
                <w:sz w:val="16"/>
                <w:szCs w:val="16"/>
              </w:rPr>
              <w:t>136,591</w:t>
            </w:r>
          </w:p>
        </w:tc>
      </w:tr>
      <w:tr w:rsidR="00224102" w:rsidRPr="00604C75" w14:paraId="7D3925E3" w14:textId="77777777" w:rsidTr="000E4F3B">
        <w:trPr>
          <w:cantSplit/>
          <w:trHeight w:val="102"/>
        </w:trPr>
        <w:tc>
          <w:tcPr>
            <w:tcW w:w="7513" w:type="dxa"/>
            <w:shd w:val="clear" w:color="auto" w:fill="auto"/>
            <w:vAlign w:val="center"/>
            <w:hideMark/>
          </w:tcPr>
          <w:p w14:paraId="5D24DE6A"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 xml:space="preserve">      Prior Period Profit</w:t>
            </w:r>
          </w:p>
        </w:tc>
        <w:tc>
          <w:tcPr>
            <w:tcW w:w="1306" w:type="dxa"/>
            <w:vAlign w:val="center"/>
          </w:tcPr>
          <w:p w14:paraId="6A757AEC" w14:textId="4EFE25FB" w:rsidR="00224102" w:rsidRPr="00692926" w:rsidRDefault="00224102" w:rsidP="000E4F3B">
            <w:pPr>
              <w:tabs>
                <w:tab w:val="left" w:pos="0"/>
              </w:tabs>
              <w:ind w:right="54"/>
              <w:jc w:val="right"/>
              <w:rPr>
                <w:sz w:val="16"/>
                <w:szCs w:val="16"/>
              </w:rPr>
            </w:pPr>
            <w:r>
              <w:rPr>
                <w:sz w:val="16"/>
                <w:szCs w:val="16"/>
              </w:rPr>
              <w:t>(4,007)</w:t>
            </w:r>
          </w:p>
        </w:tc>
        <w:tc>
          <w:tcPr>
            <w:tcW w:w="1340" w:type="dxa"/>
            <w:vAlign w:val="center"/>
          </w:tcPr>
          <w:p w14:paraId="37F99796" w14:textId="3DB4EB29" w:rsidR="00224102" w:rsidRPr="00692926" w:rsidRDefault="00224102" w:rsidP="000E4F3B">
            <w:pPr>
              <w:ind w:right="54"/>
              <w:jc w:val="right"/>
              <w:rPr>
                <w:sz w:val="16"/>
                <w:szCs w:val="16"/>
              </w:rPr>
            </w:pPr>
            <w:r w:rsidRPr="00692926">
              <w:rPr>
                <w:sz w:val="16"/>
                <w:szCs w:val="16"/>
              </w:rPr>
              <w:t>(15,636)</w:t>
            </w:r>
          </w:p>
        </w:tc>
      </w:tr>
      <w:tr w:rsidR="00224102" w:rsidRPr="00604C75" w14:paraId="2805259A" w14:textId="77777777" w:rsidTr="000E4F3B">
        <w:trPr>
          <w:cantSplit/>
          <w:trHeight w:val="102"/>
        </w:trPr>
        <w:tc>
          <w:tcPr>
            <w:tcW w:w="7513" w:type="dxa"/>
            <w:vAlign w:val="center"/>
            <w:hideMark/>
          </w:tcPr>
          <w:p w14:paraId="146F71D9" w14:textId="20290CC7" w:rsidR="00224102" w:rsidRPr="00604C75" w:rsidRDefault="00224102" w:rsidP="00B85547">
            <w:pPr>
              <w:spacing w:before="100" w:beforeAutospacing="1" w:after="100" w:afterAutospacing="1" w:line="20" w:lineRule="atLeast"/>
              <w:rPr>
                <w:sz w:val="16"/>
                <w:szCs w:val="16"/>
                <w:lang w:eastAsia="tr-TR"/>
              </w:rPr>
            </w:pPr>
            <w:r w:rsidRPr="00604C75">
              <w:rPr>
                <w:sz w:val="16"/>
                <w:szCs w:val="16"/>
                <w:lang w:eastAsia="tr-TR"/>
              </w:rPr>
              <w:t xml:space="preserve">Provisions for </w:t>
            </w:r>
            <w:r w:rsidR="00B85547">
              <w:rPr>
                <w:sz w:val="16"/>
                <w:szCs w:val="16"/>
                <w:lang w:eastAsia="tr-TR"/>
              </w:rPr>
              <w:t>p</w:t>
            </w:r>
            <w:r w:rsidRPr="00604C75">
              <w:rPr>
                <w:sz w:val="16"/>
                <w:szCs w:val="16"/>
                <w:lang w:eastAsia="tr-TR"/>
              </w:rPr>
              <w:t xml:space="preserve">ossible </w:t>
            </w:r>
            <w:r w:rsidR="00B85547">
              <w:rPr>
                <w:sz w:val="16"/>
                <w:szCs w:val="16"/>
                <w:lang w:eastAsia="tr-TR"/>
              </w:rPr>
              <w:t>l</w:t>
            </w:r>
            <w:r w:rsidRPr="00604C75">
              <w:rPr>
                <w:sz w:val="16"/>
                <w:szCs w:val="16"/>
                <w:lang w:eastAsia="tr-TR"/>
              </w:rPr>
              <w:t>osses</w:t>
            </w:r>
          </w:p>
        </w:tc>
        <w:tc>
          <w:tcPr>
            <w:tcW w:w="1306" w:type="dxa"/>
            <w:vAlign w:val="center"/>
          </w:tcPr>
          <w:p w14:paraId="126F5964" w14:textId="1B29942A" w:rsidR="00224102" w:rsidRPr="00692926" w:rsidRDefault="00224102" w:rsidP="000E4F3B">
            <w:pPr>
              <w:tabs>
                <w:tab w:val="left" w:pos="0"/>
              </w:tabs>
              <w:ind w:right="54"/>
              <w:jc w:val="right"/>
              <w:rPr>
                <w:sz w:val="16"/>
                <w:szCs w:val="16"/>
              </w:rPr>
            </w:pPr>
            <w:r>
              <w:rPr>
                <w:sz w:val="16"/>
                <w:szCs w:val="16"/>
              </w:rPr>
              <w:t>-</w:t>
            </w:r>
          </w:p>
        </w:tc>
        <w:tc>
          <w:tcPr>
            <w:tcW w:w="1340" w:type="dxa"/>
            <w:vAlign w:val="center"/>
          </w:tcPr>
          <w:p w14:paraId="54C516B6" w14:textId="345BFB97" w:rsidR="00224102" w:rsidRPr="00692926" w:rsidRDefault="00224102" w:rsidP="000E4F3B">
            <w:pPr>
              <w:ind w:right="54"/>
              <w:jc w:val="right"/>
              <w:rPr>
                <w:sz w:val="16"/>
                <w:szCs w:val="16"/>
              </w:rPr>
            </w:pPr>
            <w:r w:rsidRPr="00692926">
              <w:rPr>
                <w:sz w:val="16"/>
                <w:szCs w:val="16"/>
              </w:rPr>
              <w:t>-</w:t>
            </w:r>
          </w:p>
        </w:tc>
      </w:tr>
      <w:tr w:rsidR="00224102" w:rsidRPr="00604C75" w14:paraId="30C5265B" w14:textId="77777777" w:rsidTr="000E4F3B">
        <w:trPr>
          <w:cantSplit/>
          <w:trHeight w:val="102"/>
        </w:trPr>
        <w:tc>
          <w:tcPr>
            <w:tcW w:w="7513" w:type="dxa"/>
            <w:vAlign w:val="center"/>
            <w:hideMark/>
          </w:tcPr>
          <w:p w14:paraId="6880447B" w14:textId="1C5D01E1" w:rsidR="00224102" w:rsidRPr="00604C75" w:rsidRDefault="00224102" w:rsidP="00B85547">
            <w:pPr>
              <w:spacing w:before="100" w:beforeAutospacing="1" w:after="100" w:afterAutospacing="1" w:line="20" w:lineRule="atLeast"/>
              <w:rPr>
                <w:sz w:val="16"/>
                <w:szCs w:val="16"/>
                <w:lang w:eastAsia="tr-TR"/>
              </w:rPr>
            </w:pPr>
            <w:r w:rsidRPr="00604C75">
              <w:rPr>
                <w:rFonts w:eastAsia="ヒラギノ明朝 Pro W3"/>
                <w:sz w:val="16"/>
                <w:szCs w:val="16"/>
                <w:lang w:eastAsia="tr-TR"/>
              </w:rPr>
              <w:t xml:space="preserve">Bonus </w:t>
            </w:r>
            <w:r w:rsidR="00B85547">
              <w:rPr>
                <w:rFonts w:eastAsia="ヒラギノ明朝 Pro W3"/>
                <w:sz w:val="16"/>
                <w:szCs w:val="16"/>
                <w:lang w:eastAsia="tr-TR"/>
              </w:rPr>
              <w:t>s</w:t>
            </w:r>
            <w:r w:rsidRPr="00604C75">
              <w:rPr>
                <w:rFonts w:eastAsia="ヒラギノ明朝 Pro W3"/>
                <w:sz w:val="16"/>
                <w:szCs w:val="16"/>
                <w:lang w:eastAsia="tr-TR"/>
              </w:rPr>
              <w:t xml:space="preserve">hares from </w:t>
            </w:r>
            <w:r w:rsidR="00B85547">
              <w:rPr>
                <w:rFonts w:eastAsia="ヒラギノ明朝 Pro W3"/>
                <w:sz w:val="16"/>
                <w:szCs w:val="16"/>
                <w:lang w:eastAsia="tr-TR"/>
              </w:rPr>
              <w:t>a</w:t>
            </w:r>
            <w:r w:rsidRPr="00604C75">
              <w:rPr>
                <w:rFonts w:eastAsia="ヒラギノ明朝 Pro W3"/>
                <w:sz w:val="16"/>
                <w:szCs w:val="16"/>
                <w:lang w:eastAsia="tr-TR"/>
              </w:rPr>
              <w:t xml:space="preserve">ssociates, </w:t>
            </w:r>
            <w:r w:rsidR="00B85547">
              <w:rPr>
                <w:rFonts w:eastAsia="ヒラギノ明朝 Pro W3"/>
                <w:sz w:val="16"/>
                <w:szCs w:val="16"/>
                <w:lang w:eastAsia="tr-TR"/>
              </w:rPr>
              <w:t>s</w:t>
            </w:r>
            <w:r w:rsidRPr="00604C75">
              <w:rPr>
                <w:rFonts w:eastAsia="ヒラギノ明朝 Pro W3"/>
                <w:sz w:val="16"/>
                <w:szCs w:val="16"/>
                <w:lang w:eastAsia="tr-TR"/>
              </w:rPr>
              <w:t xml:space="preserve">ubsidiaries and </w:t>
            </w:r>
            <w:r w:rsidR="00B85547">
              <w:rPr>
                <w:rFonts w:eastAsia="ヒラギノ明朝 Pro W3"/>
                <w:sz w:val="16"/>
                <w:szCs w:val="16"/>
                <w:lang w:eastAsia="tr-TR"/>
              </w:rPr>
              <w:t>j</w:t>
            </w:r>
            <w:r w:rsidRPr="00604C75">
              <w:rPr>
                <w:rFonts w:eastAsia="ヒラギノ明朝 Pro W3"/>
                <w:sz w:val="16"/>
                <w:szCs w:val="16"/>
                <w:lang w:eastAsia="tr-TR"/>
              </w:rPr>
              <w:t>oint-</w:t>
            </w:r>
            <w:r w:rsidR="00B85547">
              <w:rPr>
                <w:rFonts w:eastAsia="ヒラギノ明朝 Pro W3"/>
                <w:sz w:val="16"/>
                <w:szCs w:val="16"/>
                <w:lang w:eastAsia="tr-TR"/>
              </w:rPr>
              <w:t>v</w:t>
            </w:r>
            <w:r w:rsidRPr="00604C75">
              <w:rPr>
                <w:rFonts w:eastAsia="ヒラギノ明朝 Pro W3"/>
                <w:sz w:val="16"/>
                <w:szCs w:val="16"/>
                <w:lang w:eastAsia="tr-TR"/>
              </w:rPr>
              <w:t xml:space="preserve">entures not </w:t>
            </w:r>
            <w:r w:rsidR="00B85547">
              <w:rPr>
                <w:rFonts w:eastAsia="ヒラギノ明朝 Pro W3"/>
                <w:sz w:val="16"/>
                <w:szCs w:val="16"/>
                <w:lang w:eastAsia="tr-TR"/>
              </w:rPr>
              <w:t>a</w:t>
            </w:r>
            <w:r w:rsidRPr="00604C75">
              <w:rPr>
                <w:rFonts w:eastAsia="ヒラギノ明朝 Pro W3"/>
                <w:sz w:val="16"/>
                <w:szCs w:val="16"/>
                <w:lang w:eastAsia="tr-TR"/>
              </w:rPr>
              <w:t xml:space="preserve">ccounted in </w:t>
            </w:r>
            <w:r w:rsidR="00B85547">
              <w:rPr>
                <w:rFonts w:eastAsia="ヒラギノ明朝 Pro W3"/>
                <w:sz w:val="16"/>
                <w:szCs w:val="16"/>
                <w:lang w:eastAsia="tr-TR"/>
              </w:rPr>
              <w:t>c</w:t>
            </w:r>
            <w:r w:rsidRPr="00604C75">
              <w:rPr>
                <w:rFonts w:eastAsia="ヒラギノ明朝 Pro W3"/>
                <w:sz w:val="16"/>
                <w:szCs w:val="16"/>
                <w:lang w:eastAsia="tr-TR"/>
              </w:rPr>
              <w:t xml:space="preserve">urrent </w:t>
            </w:r>
            <w:r w:rsidR="00B85547">
              <w:rPr>
                <w:rFonts w:eastAsia="ヒラギノ明朝 Pro W3"/>
                <w:sz w:val="16"/>
                <w:szCs w:val="16"/>
                <w:lang w:eastAsia="tr-TR"/>
              </w:rPr>
              <w:t>p</w:t>
            </w:r>
            <w:r w:rsidRPr="00604C75">
              <w:rPr>
                <w:rFonts w:eastAsia="ヒラギノ明朝 Pro W3"/>
                <w:sz w:val="16"/>
                <w:szCs w:val="16"/>
                <w:lang w:eastAsia="tr-TR"/>
              </w:rPr>
              <w:t>erio</w:t>
            </w:r>
            <w:r>
              <w:rPr>
                <w:rFonts w:eastAsia="ヒラギノ明朝 Pro W3"/>
                <w:sz w:val="16"/>
                <w:szCs w:val="16"/>
                <w:lang w:eastAsia="tr-TR"/>
              </w:rPr>
              <w:t>d’</w:t>
            </w:r>
            <w:r w:rsidRPr="00604C75">
              <w:rPr>
                <w:rFonts w:eastAsia="ヒラギノ明朝 Pro W3"/>
                <w:sz w:val="16"/>
                <w:szCs w:val="16"/>
                <w:lang w:eastAsia="tr-TR"/>
              </w:rPr>
              <w:t xml:space="preserve">s </w:t>
            </w:r>
            <w:r w:rsidR="00B85547">
              <w:rPr>
                <w:rFonts w:eastAsia="ヒラギノ明朝 Pro W3"/>
                <w:sz w:val="16"/>
                <w:szCs w:val="16"/>
                <w:lang w:eastAsia="tr-TR"/>
              </w:rPr>
              <w:t>p</w:t>
            </w:r>
            <w:r w:rsidRPr="00604C75">
              <w:rPr>
                <w:rFonts w:eastAsia="ヒラギノ明朝 Pro W3"/>
                <w:sz w:val="16"/>
                <w:szCs w:val="16"/>
                <w:lang w:eastAsia="tr-TR"/>
              </w:rPr>
              <w:t>rofit</w:t>
            </w:r>
          </w:p>
        </w:tc>
        <w:tc>
          <w:tcPr>
            <w:tcW w:w="1306" w:type="dxa"/>
            <w:vAlign w:val="center"/>
          </w:tcPr>
          <w:p w14:paraId="1BD02416" w14:textId="04A82399" w:rsidR="00224102" w:rsidRPr="00692926" w:rsidRDefault="00224102" w:rsidP="000E4F3B">
            <w:pPr>
              <w:tabs>
                <w:tab w:val="left" w:pos="0"/>
              </w:tabs>
              <w:ind w:right="54"/>
              <w:jc w:val="right"/>
              <w:rPr>
                <w:sz w:val="16"/>
                <w:szCs w:val="16"/>
              </w:rPr>
            </w:pPr>
            <w:r>
              <w:rPr>
                <w:sz w:val="16"/>
                <w:szCs w:val="16"/>
              </w:rPr>
              <w:t>-</w:t>
            </w:r>
          </w:p>
        </w:tc>
        <w:tc>
          <w:tcPr>
            <w:tcW w:w="1340" w:type="dxa"/>
            <w:vAlign w:val="center"/>
          </w:tcPr>
          <w:p w14:paraId="1B052E12" w14:textId="28EBFBAC" w:rsidR="00224102" w:rsidRPr="00692926" w:rsidRDefault="00224102" w:rsidP="000E4F3B">
            <w:pPr>
              <w:ind w:right="54"/>
              <w:jc w:val="right"/>
              <w:rPr>
                <w:sz w:val="16"/>
                <w:szCs w:val="16"/>
              </w:rPr>
            </w:pPr>
            <w:r w:rsidRPr="00692926">
              <w:rPr>
                <w:sz w:val="16"/>
                <w:szCs w:val="16"/>
              </w:rPr>
              <w:t>-</w:t>
            </w:r>
          </w:p>
        </w:tc>
      </w:tr>
      <w:tr w:rsidR="00224102" w:rsidRPr="00604C75" w14:paraId="34B9E2E3" w14:textId="77777777" w:rsidTr="000E4F3B">
        <w:trPr>
          <w:cantSplit/>
          <w:trHeight w:val="102"/>
        </w:trPr>
        <w:tc>
          <w:tcPr>
            <w:tcW w:w="7513" w:type="dxa"/>
            <w:vAlign w:val="center"/>
          </w:tcPr>
          <w:p w14:paraId="165D4548"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Minority shares</w:t>
            </w:r>
          </w:p>
        </w:tc>
        <w:tc>
          <w:tcPr>
            <w:tcW w:w="1306" w:type="dxa"/>
            <w:vAlign w:val="center"/>
          </w:tcPr>
          <w:p w14:paraId="133794EE" w14:textId="516A40FB" w:rsidR="00224102" w:rsidRPr="00692926" w:rsidRDefault="00224102" w:rsidP="000E4F3B">
            <w:pPr>
              <w:tabs>
                <w:tab w:val="left" w:pos="0"/>
              </w:tabs>
              <w:ind w:right="54"/>
              <w:jc w:val="right"/>
              <w:rPr>
                <w:sz w:val="16"/>
                <w:szCs w:val="16"/>
              </w:rPr>
            </w:pPr>
            <w:r>
              <w:rPr>
                <w:sz w:val="16"/>
                <w:szCs w:val="16"/>
              </w:rPr>
              <w:t>11</w:t>
            </w:r>
          </w:p>
        </w:tc>
        <w:tc>
          <w:tcPr>
            <w:tcW w:w="1340" w:type="dxa"/>
            <w:vAlign w:val="center"/>
          </w:tcPr>
          <w:p w14:paraId="565923A9" w14:textId="1837BB8D" w:rsidR="00224102" w:rsidRPr="00692926" w:rsidRDefault="00224102" w:rsidP="000E4F3B">
            <w:pPr>
              <w:ind w:right="54"/>
              <w:jc w:val="right"/>
              <w:rPr>
                <w:sz w:val="16"/>
                <w:szCs w:val="16"/>
              </w:rPr>
            </w:pPr>
            <w:r w:rsidRPr="00692926">
              <w:rPr>
                <w:sz w:val="16"/>
                <w:szCs w:val="16"/>
              </w:rPr>
              <w:t>9,214</w:t>
            </w:r>
          </w:p>
        </w:tc>
      </w:tr>
      <w:tr w:rsidR="00224102" w:rsidRPr="00604C75" w14:paraId="451CA30A" w14:textId="77777777" w:rsidTr="000E4F3B">
        <w:trPr>
          <w:cantSplit/>
          <w:trHeight w:val="102"/>
        </w:trPr>
        <w:tc>
          <w:tcPr>
            <w:tcW w:w="7513" w:type="dxa"/>
            <w:vAlign w:val="center"/>
            <w:hideMark/>
          </w:tcPr>
          <w:p w14:paraId="5A41E5CC" w14:textId="77777777" w:rsidR="00224102" w:rsidRPr="00B623B1" w:rsidRDefault="00224102" w:rsidP="009D09BB">
            <w:pPr>
              <w:spacing w:before="100" w:beforeAutospacing="1" w:after="100" w:afterAutospacing="1" w:line="20" w:lineRule="atLeast"/>
              <w:rPr>
                <w:sz w:val="16"/>
                <w:szCs w:val="16"/>
                <w:lang w:eastAsia="tr-TR"/>
              </w:rPr>
            </w:pPr>
            <w:r w:rsidRPr="00E83EAC">
              <w:rPr>
                <w:b/>
                <w:sz w:val="16"/>
                <w:szCs w:val="16"/>
                <w:lang w:eastAsia="tr-TR"/>
              </w:rPr>
              <w:t>Common Equity Before Deductions</w:t>
            </w:r>
          </w:p>
        </w:tc>
        <w:tc>
          <w:tcPr>
            <w:tcW w:w="1306" w:type="dxa"/>
            <w:vAlign w:val="center"/>
          </w:tcPr>
          <w:p w14:paraId="2D1999F4" w14:textId="2A897264" w:rsidR="00224102" w:rsidRPr="00692926" w:rsidRDefault="00224102" w:rsidP="000E4F3B">
            <w:pPr>
              <w:tabs>
                <w:tab w:val="left" w:pos="0"/>
              </w:tabs>
              <w:ind w:right="54"/>
              <w:jc w:val="right"/>
              <w:rPr>
                <w:b/>
                <w:bCs/>
                <w:sz w:val="16"/>
                <w:szCs w:val="16"/>
              </w:rPr>
            </w:pPr>
            <w:r>
              <w:rPr>
                <w:b/>
                <w:bCs/>
                <w:sz w:val="16"/>
                <w:szCs w:val="16"/>
              </w:rPr>
              <w:t>1,042,553</w:t>
            </w:r>
          </w:p>
        </w:tc>
        <w:tc>
          <w:tcPr>
            <w:tcW w:w="1340" w:type="dxa"/>
            <w:vAlign w:val="center"/>
          </w:tcPr>
          <w:p w14:paraId="4A33ED1F" w14:textId="7EBE74B1" w:rsidR="00224102" w:rsidRPr="00692926" w:rsidRDefault="00224102" w:rsidP="000E4F3B">
            <w:pPr>
              <w:ind w:right="54"/>
              <w:jc w:val="right"/>
              <w:rPr>
                <w:b/>
                <w:bCs/>
                <w:sz w:val="16"/>
                <w:szCs w:val="16"/>
              </w:rPr>
            </w:pPr>
            <w:r w:rsidRPr="00692926">
              <w:rPr>
                <w:b/>
                <w:bCs/>
                <w:sz w:val="16"/>
                <w:szCs w:val="16"/>
              </w:rPr>
              <w:t>979,054</w:t>
            </w:r>
          </w:p>
        </w:tc>
      </w:tr>
      <w:tr w:rsidR="00224102" w:rsidRPr="00604C75" w14:paraId="55DCA5AB" w14:textId="77777777" w:rsidTr="000E4F3B">
        <w:trPr>
          <w:cantSplit/>
          <w:trHeight w:val="102"/>
        </w:trPr>
        <w:tc>
          <w:tcPr>
            <w:tcW w:w="7513" w:type="dxa"/>
            <w:vAlign w:val="center"/>
            <w:hideMark/>
          </w:tcPr>
          <w:p w14:paraId="76A79C3C" w14:textId="77777777" w:rsidR="00224102" w:rsidRPr="00B623B1" w:rsidRDefault="00224102" w:rsidP="00224102">
            <w:pPr>
              <w:spacing w:before="100" w:beforeAutospacing="1" w:after="100" w:afterAutospacing="1" w:line="20" w:lineRule="atLeast"/>
              <w:jc w:val="center"/>
              <w:rPr>
                <w:sz w:val="16"/>
                <w:szCs w:val="16"/>
                <w:lang w:eastAsia="tr-TR"/>
              </w:rPr>
            </w:pPr>
            <w:r w:rsidRPr="00E83EAC">
              <w:rPr>
                <w:b/>
                <w:bCs/>
                <w:sz w:val="16"/>
                <w:szCs w:val="16"/>
                <w:lang w:eastAsia="tr-TR"/>
              </w:rPr>
              <w:t>Deductions From Common Equity</w:t>
            </w:r>
          </w:p>
        </w:tc>
        <w:tc>
          <w:tcPr>
            <w:tcW w:w="1306" w:type="dxa"/>
            <w:vAlign w:val="center"/>
          </w:tcPr>
          <w:p w14:paraId="17218F54" w14:textId="77777777" w:rsidR="00224102" w:rsidRPr="00692926" w:rsidRDefault="00224102" w:rsidP="000E4F3B">
            <w:pPr>
              <w:tabs>
                <w:tab w:val="left" w:pos="0"/>
              </w:tabs>
              <w:ind w:right="54"/>
              <w:jc w:val="right"/>
              <w:rPr>
                <w:b/>
                <w:bCs/>
                <w:sz w:val="16"/>
                <w:szCs w:val="16"/>
              </w:rPr>
            </w:pPr>
          </w:p>
        </w:tc>
        <w:tc>
          <w:tcPr>
            <w:tcW w:w="1340" w:type="dxa"/>
            <w:vAlign w:val="center"/>
          </w:tcPr>
          <w:p w14:paraId="7D8441C9" w14:textId="77777777" w:rsidR="00224102" w:rsidRPr="00692926" w:rsidRDefault="00224102" w:rsidP="000E4F3B">
            <w:pPr>
              <w:ind w:right="54"/>
              <w:jc w:val="right"/>
              <w:rPr>
                <w:b/>
                <w:bCs/>
                <w:sz w:val="16"/>
                <w:szCs w:val="16"/>
              </w:rPr>
            </w:pPr>
          </w:p>
        </w:tc>
      </w:tr>
      <w:tr w:rsidR="00224102" w:rsidRPr="00604C75" w14:paraId="40604E92" w14:textId="77777777" w:rsidTr="000E4F3B">
        <w:trPr>
          <w:cantSplit/>
          <w:trHeight w:val="102"/>
        </w:trPr>
        <w:tc>
          <w:tcPr>
            <w:tcW w:w="7513" w:type="dxa"/>
            <w:vAlign w:val="center"/>
            <w:hideMark/>
          </w:tcPr>
          <w:p w14:paraId="0CCC6F76" w14:textId="12603433" w:rsidR="00224102" w:rsidRPr="00604C75" w:rsidRDefault="00224102" w:rsidP="00B85547">
            <w:pPr>
              <w:spacing w:before="100" w:beforeAutospacing="1" w:after="100" w:afterAutospacing="1" w:line="20" w:lineRule="atLeast"/>
              <w:jc w:val="both"/>
              <w:rPr>
                <w:sz w:val="16"/>
                <w:szCs w:val="16"/>
                <w:lang w:eastAsia="tr-TR"/>
              </w:rPr>
            </w:pPr>
            <w:r w:rsidRPr="00604C75">
              <w:rPr>
                <w:sz w:val="16"/>
                <w:szCs w:val="16"/>
                <w:lang w:eastAsia="tr-TR"/>
              </w:rPr>
              <w:t xml:space="preserve">Current and </w:t>
            </w:r>
            <w:r w:rsidR="00B85547">
              <w:rPr>
                <w:sz w:val="16"/>
                <w:szCs w:val="16"/>
                <w:lang w:eastAsia="tr-TR"/>
              </w:rPr>
              <w:t>p</w:t>
            </w:r>
            <w:r w:rsidRPr="00604C75">
              <w:rPr>
                <w:sz w:val="16"/>
                <w:szCs w:val="16"/>
                <w:lang w:eastAsia="tr-TR"/>
              </w:rPr>
              <w:t xml:space="preserve">rior </w:t>
            </w:r>
            <w:r w:rsidR="00B85547">
              <w:rPr>
                <w:sz w:val="16"/>
                <w:szCs w:val="16"/>
                <w:lang w:eastAsia="tr-TR"/>
              </w:rPr>
              <w:t>p</w:t>
            </w:r>
            <w:r w:rsidRPr="00604C75">
              <w:rPr>
                <w:sz w:val="16"/>
                <w:szCs w:val="16"/>
                <w:lang w:eastAsia="tr-TR"/>
              </w:rPr>
              <w:t xml:space="preserve">eriods' </w:t>
            </w:r>
            <w:r w:rsidR="00B85547">
              <w:rPr>
                <w:sz w:val="16"/>
                <w:szCs w:val="16"/>
                <w:lang w:eastAsia="tr-TR"/>
              </w:rPr>
              <w:t>l</w:t>
            </w:r>
            <w:r w:rsidRPr="00604C75">
              <w:rPr>
                <w:sz w:val="16"/>
                <w:szCs w:val="16"/>
                <w:lang w:eastAsia="tr-TR"/>
              </w:rPr>
              <w:t xml:space="preserve">osses not </w:t>
            </w:r>
            <w:r w:rsidR="00B85547">
              <w:rPr>
                <w:sz w:val="16"/>
                <w:szCs w:val="16"/>
                <w:lang w:eastAsia="tr-TR"/>
              </w:rPr>
              <w:t>c</w:t>
            </w:r>
            <w:r w:rsidRPr="00604C75">
              <w:rPr>
                <w:sz w:val="16"/>
                <w:szCs w:val="16"/>
                <w:lang w:eastAsia="tr-TR"/>
              </w:rPr>
              <w:t xml:space="preserve">overed by </w:t>
            </w:r>
            <w:r w:rsidR="00B85547">
              <w:rPr>
                <w:sz w:val="16"/>
                <w:szCs w:val="16"/>
                <w:lang w:eastAsia="tr-TR"/>
              </w:rPr>
              <w:t>r</w:t>
            </w:r>
            <w:r w:rsidRPr="00604C75">
              <w:rPr>
                <w:sz w:val="16"/>
                <w:szCs w:val="16"/>
                <w:lang w:eastAsia="tr-TR"/>
              </w:rPr>
              <w:t xml:space="preserve">eserves, and </w:t>
            </w:r>
            <w:r w:rsidR="00B85547">
              <w:rPr>
                <w:sz w:val="16"/>
                <w:szCs w:val="16"/>
                <w:lang w:eastAsia="tr-TR"/>
              </w:rPr>
              <w:t>l</w:t>
            </w:r>
            <w:r w:rsidRPr="00604C75">
              <w:rPr>
                <w:sz w:val="16"/>
                <w:szCs w:val="16"/>
                <w:lang w:eastAsia="tr-TR"/>
              </w:rPr>
              <w:t xml:space="preserve">osses </w:t>
            </w:r>
            <w:r w:rsidR="00B85547">
              <w:rPr>
                <w:sz w:val="16"/>
                <w:szCs w:val="16"/>
                <w:lang w:eastAsia="tr-TR"/>
              </w:rPr>
              <w:t>a</w:t>
            </w:r>
            <w:r w:rsidRPr="00604C75">
              <w:rPr>
                <w:sz w:val="16"/>
                <w:szCs w:val="16"/>
                <w:lang w:eastAsia="tr-TR"/>
              </w:rPr>
              <w:t xml:space="preserve">ccounted under </w:t>
            </w:r>
            <w:r w:rsidR="00B85547">
              <w:rPr>
                <w:sz w:val="16"/>
                <w:szCs w:val="16"/>
                <w:lang w:eastAsia="tr-TR"/>
              </w:rPr>
              <w:t>e</w:t>
            </w:r>
            <w:r w:rsidRPr="00604C75">
              <w:rPr>
                <w:sz w:val="16"/>
                <w:szCs w:val="16"/>
                <w:lang w:eastAsia="tr-TR"/>
              </w:rPr>
              <w:t xml:space="preserve">quity </w:t>
            </w:r>
            <w:r w:rsidR="00B85547">
              <w:rPr>
                <w:sz w:val="16"/>
                <w:szCs w:val="16"/>
                <w:lang w:eastAsia="tr-TR"/>
              </w:rPr>
              <w:t>a</w:t>
            </w:r>
            <w:r w:rsidRPr="00604C75">
              <w:rPr>
                <w:sz w:val="16"/>
                <w:szCs w:val="16"/>
                <w:lang w:eastAsia="tr-TR"/>
              </w:rPr>
              <w:t>ccording to TAS (-)</w:t>
            </w:r>
          </w:p>
        </w:tc>
        <w:tc>
          <w:tcPr>
            <w:tcW w:w="1306" w:type="dxa"/>
            <w:vAlign w:val="bottom"/>
          </w:tcPr>
          <w:p w14:paraId="19DCA948" w14:textId="01AF6710" w:rsidR="00224102" w:rsidRPr="00692926" w:rsidRDefault="00224102" w:rsidP="000E4F3B">
            <w:pPr>
              <w:tabs>
                <w:tab w:val="left" w:pos="0"/>
              </w:tabs>
              <w:ind w:right="54"/>
              <w:jc w:val="right"/>
              <w:rPr>
                <w:sz w:val="16"/>
                <w:szCs w:val="16"/>
              </w:rPr>
            </w:pPr>
            <w:r>
              <w:rPr>
                <w:sz w:val="16"/>
                <w:szCs w:val="16"/>
              </w:rPr>
              <w:t>27,437</w:t>
            </w:r>
          </w:p>
        </w:tc>
        <w:tc>
          <w:tcPr>
            <w:tcW w:w="1340" w:type="dxa"/>
            <w:vAlign w:val="bottom"/>
          </w:tcPr>
          <w:p w14:paraId="4156F776" w14:textId="57606451" w:rsidR="00224102" w:rsidRPr="00692926" w:rsidRDefault="00224102" w:rsidP="000E4F3B">
            <w:pPr>
              <w:ind w:right="54"/>
              <w:jc w:val="right"/>
              <w:rPr>
                <w:sz w:val="16"/>
                <w:szCs w:val="16"/>
              </w:rPr>
            </w:pPr>
            <w:r w:rsidRPr="00692926">
              <w:rPr>
                <w:sz w:val="16"/>
                <w:szCs w:val="16"/>
              </w:rPr>
              <w:t>6,154</w:t>
            </w:r>
          </w:p>
        </w:tc>
      </w:tr>
      <w:tr w:rsidR="00224102" w:rsidRPr="00604C75" w14:paraId="7463650B" w14:textId="77777777" w:rsidTr="000E4F3B">
        <w:trPr>
          <w:cantSplit/>
          <w:trHeight w:val="102"/>
        </w:trPr>
        <w:tc>
          <w:tcPr>
            <w:tcW w:w="7513" w:type="dxa"/>
            <w:vAlign w:val="center"/>
            <w:hideMark/>
          </w:tcPr>
          <w:p w14:paraId="49B315AC" w14:textId="32A34050" w:rsidR="00224102" w:rsidRPr="00604C75" w:rsidRDefault="00224102" w:rsidP="00B85547">
            <w:pPr>
              <w:spacing w:before="100" w:beforeAutospacing="1" w:after="100" w:afterAutospacing="1" w:line="20" w:lineRule="atLeast"/>
              <w:rPr>
                <w:sz w:val="16"/>
                <w:szCs w:val="16"/>
                <w:lang w:eastAsia="tr-TR"/>
              </w:rPr>
            </w:pPr>
            <w:r w:rsidRPr="00604C75">
              <w:rPr>
                <w:sz w:val="16"/>
                <w:szCs w:val="16"/>
                <w:lang w:eastAsia="tr-TR"/>
              </w:rPr>
              <w:t xml:space="preserve">Leasehold </w:t>
            </w:r>
            <w:r w:rsidR="00B85547">
              <w:rPr>
                <w:sz w:val="16"/>
                <w:szCs w:val="16"/>
                <w:lang w:eastAsia="tr-TR"/>
              </w:rPr>
              <w:t>i</w:t>
            </w:r>
            <w:r w:rsidRPr="00604C75">
              <w:rPr>
                <w:sz w:val="16"/>
                <w:szCs w:val="16"/>
                <w:lang w:eastAsia="tr-TR"/>
              </w:rPr>
              <w:t xml:space="preserve">mprovements on </w:t>
            </w:r>
            <w:r w:rsidR="00B85547">
              <w:rPr>
                <w:sz w:val="16"/>
                <w:szCs w:val="16"/>
                <w:lang w:eastAsia="tr-TR"/>
              </w:rPr>
              <w:t>o</w:t>
            </w:r>
            <w:r w:rsidRPr="00604C75">
              <w:rPr>
                <w:sz w:val="16"/>
                <w:szCs w:val="16"/>
                <w:lang w:eastAsia="tr-TR"/>
              </w:rPr>
              <w:t xml:space="preserve">perational </w:t>
            </w:r>
            <w:r w:rsidR="00B85547">
              <w:rPr>
                <w:sz w:val="16"/>
                <w:szCs w:val="16"/>
                <w:lang w:eastAsia="tr-TR"/>
              </w:rPr>
              <w:t>l</w:t>
            </w:r>
            <w:r w:rsidRPr="00604C75">
              <w:rPr>
                <w:sz w:val="16"/>
                <w:szCs w:val="16"/>
                <w:lang w:eastAsia="tr-TR"/>
              </w:rPr>
              <w:t>eases (-)</w:t>
            </w:r>
          </w:p>
        </w:tc>
        <w:tc>
          <w:tcPr>
            <w:tcW w:w="1306" w:type="dxa"/>
            <w:vAlign w:val="bottom"/>
          </w:tcPr>
          <w:p w14:paraId="76535121" w14:textId="096C4D2E" w:rsidR="00224102" w:rsidRPr="00876DB7" w:rsidRDefault="00224102" w:rsidP="000E4F3B">
            <w:pPr>
              <w:ind w:right="54"/>
              <w:jc w:val="right"/>
              <w:rPr>
                <w:sz w:val="16"/>
                <w:szCs w:val="16"/>
              </w:rPr>
            </w:pPr>
            <w:r w:rsidRPr="00876DB7">
              <w:rPr>
                <w:sz w:val="16"/>
                <w:szCs w:val="16"/>
              </w:rPr>
              <w:t>12,266</w:t>
            </w:r>
          </w:p>
        </w:tc>
        <w:tc>
          <w:tcPr>
            <w:tcW w:w="1340" w:type="dxa"/>
            <w:vAlign w:val="bottom"/>
          </w:tcPr>
          <w:p w14:paraId="755C6389" w14:textId="28924561" w:rsidR="00224102" w:rsidRPr="00692926" w:rsidRDefault="00224102" w:rsidP="000E4F3B">
            <w:pPr>
              <w:ind w:right="54"/>
              <w:jc w:val="right"/>
              <w:rPr>
                <w:sz w:val="16"/>
                <w:szCs w:val="16"/>
              </w:rPr>
            </w:pPr>
            <w:r w:rsidRPr="00692926">
              <w:rPr>
                <w:sz w:val="16"/>
                <w:szCs w:val="16"/>
              </w:rPr>
              <w:t>13,401</w:t>
            </w:r>
          </w:p>
        </w:tc>
      </w:tr>
      <w:tr w:rsidR="00224102" w:rsidRPr="00604C75" w14:paraId="5D74CB67" w14:textId="77777777" w:rsidTr="000E4F3B">
        <w:trPr>
          <w:cantSplit/>
          <w:trHeight w:val="102"/>
        </w:trPr>
        <w:tc>
          <w:tcPr>
            <w:tcW w:w="7513" w:type="dxa"/>
            <w:vAlign w:val="center"/>
            <w:hideMark/>
          </w:tcPr>
          <w:p w14:paraId="242854F4" w14:textId="539FE48E" w:rsidR="00224102" w:rsidRPr="00604C75" w:rsidRDefault="00224102" w:rsidP="00B85547">
            <w:pPr>
              <w:spacing w:before="100" w:beforeAutospacing="1" w:after="100" w:afterAutospacing="1" w:line="20" w:lineRule="atLeast"/>
              <w:jc w:val="both"/>
              <w:rPr>
                <w:sz w:val="16"/>
                <w:szCs w:val="16"/>
                <w:lang w:eastAsia="tr-TR"/>
              </w:rPr>
            </w:pPr>
            <w:r w:rsidRPr="00604C75">
              <w:rPr>
                <w:sz w:val="16"/>
                <w:szCs w:val="16"/>
                <w:lang w:eastAsia="tr-TR"/>
              </w:rPr>
              <w:t xml:space="preserve">Goodwill and </w:t>
            </w:r>
            <w:r w:rsidR="00B85547">
              <w:rPr>
                <w:sz w:val="16"/>
                <w:szCs w:val="16"/>
                <w:lang w:eastAsia="tr-TR"/>
              </w:rPr>
              <w:t>i</w:t>
            </w:r>
            <w:r w:rsidRPr="00604C75">
              <w:rPr>
                <w:sz w:val="16"/>
                <w:szCs w:val="16"/>
                <w:lang w:eastAsia="tr-TR"/>
              </w:rPr>
              <w:t xml:space="preserve">ntangible </w:t>
            </w:r>
            <w:r w:rsidR="00B85547">
              <w:rPr>
                <w:sz w:val="16"/>
                <w:szCs w:val="16"/>
                <w:lang w:eastAsia="tr-TR"/>
              </w:rPr>
              <w:t>a</w:t>
            </w:r>
            <w:r w:rsidRPr="00604C75">
              <w:rPr>
                <w:sz w:val="16"/>
                <w:szCs w:val="16"/>
                <w:lang w:eastAsia="tr-TR"/>
              </w:rPr>
              <w:t xml:space="preserve">ssets and </w:t>
            </w:r>
            <w:r w:rsidR="00B85547">
              <w:rPr>
                <w:sz w:val="16"/>
                <w:szCs w:val="16"/>
                <w:lang w:eastAsia="tr-TR"/>
              </w:rPr>
              <w:t>r</w:t>
            </w:r>
            <w:r w:rsidRPr="00604C75">
              <w:rPr>
                <w:sz w:val="16"/>
                <w:szCs w:val="16"/>
                <w:lang w:eastAsia="tr-TR"/>
              </w:rPr>
              <w:t xml:space="preserve">elated </w:t>
            </w:r>
            <w:r w:rsidR="00B85547">
              <w:rPr>
                <w:sz w:val="16"/>
                <w:szCs w:val="16"/>
                <w:lang w:eastAsia="tr-TR"/>
              </w:rPr>
              <w:t>d</w:t>
            </w:r>
            <w:r w:rsidRPr="00604C75">
              <w:rPr>
                <w:sz w:val="16"/>
                <w:szCs w:val="16"/>
                <w:lang w:eastAsia="tr-TR"/>
              </w:rPr>
              <w:t xml:space="preserve">eferred </w:t>
            </w:r>
            <w:r w:rsidR="00B85547">
              <w:rPr>
                <w:sz w:val="16"/>
                <w:szCs w:val="16"/>
                <w:lang w:eastAsia="tr-TR"/>
              </w:rPr>
              <w:t>t</w:t>
            </w:r>
            <w:r w:rsidRPr="00604C75">
              <w:rPr>
                <w:sz w:val="16"/>
                <w:szCs w:val="16"/>
                <w:lang w:eastAsia="tr-TR"/>
              </w:rPr>
              <w:t xml:space="preserve">ax </w:t>
            </w:r>
            <w:r w:rsidR="00B85547">
              <w:rPr>
                <w:sz w:val="16"/>
                <w:szCs w:val="16"/>
                <w:lang w:eastAsia="tr-TR"/>
              </w:rPr>
              <w:t>l</w:t>
            </w:r>
            <w:r w:rsidRPr="00604C75">
              <w:rPr>
                <w:sz w:val="16"/>
                <w:szCs w:val="16"/>
                <w:lang w:eastAsia="tr-TR"/>
              </w:rPr>
              <w:t>iabilities (-)</w:t>
            </w:r>
          </w:p>
        </w:tc>
        <w:tc>
          <w:tcPr>
            <w:tcW w:w="1306" w:type="dxa"/>
            <w:vAlign w:val="bottom"/>
          </w:tcPr>
          <w:p w14:paraId="3A4FD528" w14:textId="5228925E" w:rsidR="00224102" w:rsidRPr="00876DB7" w:rsidRDefault="00224102" w:rsidP="000E4F3B">
            <w:pPr>
              <w:ind w:right="54"/>
              <w:jc w:val="right"/>
              <w:rPr>
                <w:sz w:val="16"/>
                <w:szCs w:val="16"/>
              </w:rPr>
            </w:pPr>
            <w:r>
              <w:rPr>
                <w:sz w:val="16"/>
                <w:szCs w:val="16"/>
              </w:rPr>
              <w:t>16,562</w:t>
            </w:r>
          </w:p>
        </w:tc>
        <w:tc>
          <w:tcPr>
            <w:tcW w:w="1340" w:type="dxa"/>
            <w:vAlign w:val="bottom"/>
          </w:tcPr>
          <w:p w14:paraId="23B12212" w14:textId="572E4FAD" w:rsidR="00224102" w:rsidRPr="00692926" w:rsidRDefault="00224102" w:rsidP="000E4F3B">
            <w:pPr>
              <w:ind w:right="54"/>
              <w:jc w:val="right"/>
              <w:rPr>
                <w:sz w:val="16"/>
                <w:szCs w:val="16"/>
              </w:rPr>
            </w:pPr>
            <w:r w:rsidRPr="00692926">
              <w:rPr>
                <w:sz w:val="16"/>
                <w:szCs w:val="16"/>
              </w:rPr>
              <w:t>14,912</w:t>
            </w:r>
          </w:p>
        </w:tc>
      </w:tr>
      <w:tr w:rsidR="00224102" w:rsidRPr="00604C75" w14:paraId="37E68E0D" w14:textId="77777777" w:rsidTr="000E4F3B">
        <w:trPr>
          <w:cantSplit/>
          <w:trHeight w:val="102"/>
        </w:trPr>
        <w:tc>
          <w:tcPr>
            <w:tcW w:w="7513" w:type="dxa"/>
            <w:vAlign w:val="center"/>
            <w:hideMark/>
          </w:tcPr>
          <w:p w14:paraId="64AC1777" w14:textId="6B4F791F" w:rsidR="00224102" w:rsidRPr="00604C75" w:rsidRDefault="00224102" w:rsidP="00B85547">
            <w:pPr>
              <w:spacing w:before="100" w:beforeAutospacing="1" w:after="100" w:afterAutospacing="1" w:line="20" w:lineRule="atLeast"/>
              <w:rPr>
                <w:sz w:val="16"/>
                <w:szCs w:val="16"/>
                <w:lang w:val="de-DE" w:eastAsia="tr-TR"/>
              </w:rPr>
            </w:pPr>
            <w:r w:rsidRPr="00604C75">
              <w:rPr>
                <w:sz w:val="16"/>
                <w:szCs w:val="16"/>
                <w:lang w:val="de-DE" w:eastAsia="tr-TR"/>
              </w:rPr>
              <w:t xml:space="preserve">Net </w:t>
            </w:r>
            <w:r w:rsidR="00B85547">
              <w:rPr>
                <w:sz w:val="16"/>
                <w:szCs w:val="16"/>
                <w:lang w:val="de-DE" w:eastAsia="tr-TR"/>
              </w:rPr>
              <w:t>d</w:t>
            </w:r>
            <w:r w:rsidRPr="00604C75">
              <w:rPr>
                <w:sz w:val="16"/>
                <w:szCs w:val="16"/>
                <w:lang w:val="de-DE" w:eastAsia="tr-TR"/>
              </w:rPr>
              <w:t xml:space="preserve">eferred </w:t>
            </w:r>
            <w:r w:rsidR="00B85547">
              <w:rPr>
                <w:sz w:val="16"/>
                <w:szCs w:val="16"/>
                <w:lang w:val="de-DE" w:eastAsia="tr-TR"/>
              </w:rPr>
              <w:t>t</w:t>
            </w:r>
            <w:r w:rsidRPr="00604C75">
              <w:rPr>
                <w:sz w:val="16"/>
                <w:szCs w:val="16"/>
                <w:lang w:val="de-DE" w:eastAsia="tr-TR"/>
              </w:rPr>
              <w:t xml:space="preserve">ax assets / </w:t>
            </w:r>
            <w:r w:rsidR="00B85547">
              <w:rPr>
                <w:sz w:val="16"/>
                <w:szCs w:val="16"/>
                <w:lang w:val="de-DE" w:eastAsia="tr-TR"/>
              </w:rPr>
              <w:t>l</w:t>
            </w:r>
            <w:r w:rsidRPr="00604C75">
              <w:rPr>
                <w:sz w:val="16"/>
                <w:szCs w:val="16"/>
                <w:lang w:val="de-DE" w:eastAsia="tr-TR"/>
              </w:rPr>
              <w:t>iabilities (-)</w:t>
            </w:r>
          </w:p>
        </w:tc>
        <w:tc>
          <w:tcPr>
            <w:tcW w:w="1306" w:type="dxa"/>
            <w:vAlign w:val="bottom"/>
          </w:tcPr>
          <w:p w14:paraId="390D2365" w14:textId="4FAED6D5" w:rsidR="00224102" w:rsidRPr="00876DB7" w:rsidRDefault="00224102" w:rsidP="000E4F3B">
            <w:pPr>
              <w:ind w:right="54"/>
              <w:jc w:val="right"/>
              <w:rPr>
                <w:sz w:val="16"/>
                <w:szCs w:val="16"/>
              </w:rPr>
            </w:pPr>
            <w:r w:rsidRPr="00876DB7">
              <w:rPr>
                <w:sz w:val="16"/>
                <w:szCs w:val="16"/>
              </w:rPr>
              <w:t>4,806</w:t>
            </w:r>
          </w:p>
        </w:tc>
        <w:tc>
          <w:tcPr>
            <w:tcW w:w="1340" w:type="dxa"/>
            <w:vAlign w:val="bottom"/>
          </w:tcPr>
          <w:p w14:paraId="4813BA80" w14:textId="6D2E54C6" w:rsidR="00224102" w:rsidRPr="00692926" w:rsidRDefault="00224102" w:rsidP="000E4F3B">
            <w:pPr>
              <w:ind w:right="54"/>
              <w:jc w:val="right"/>
              <w:rPr>
                <w:sz w:val="16"/>
                <w:szCs w:val="16"/>
              </w:rPr>
            </w:pPr>
            <w:r w:rsidRPr="00692926">
              <w:rPr>
                <w:sz w:val="16"/>
                <w:szCs w:val="16"/>
              </w:rPr>
              <w:t>215</w:t>
            </w:r>
          </w:p>
        </w:tc>
      </w:tr>
      <w:tr w:rsidR="00224102" w:rsidRPr="00604C75" w14:paraId="6B075835" w14:textId="77777777" w:rsidTr="000E4F3B">
        <w:trPr>
          <w:cantSplit/>
          <w:trHeight w:val="102"/>
        </w:trPr>
        <w:tc>
          <w:tcPr>
            <w:tcW w:w="7513" w:type="dxa"/>
            <w:vAlign w:val="center"/>
            <w:hideMark/>
          </w:tcPr>
          <w:p w14:paraId="22E4627D" w14:textId="3EB5F31F" w:rsidR="00224102" w:rsidRPr="00604C75" w:rsidRDefault="00B85547" w:rsidP="002C3B01">
            <w:pPr>
              <w:spacing w:before="100" w:beforeAutospacing="1" w:after="100" w:afterAutospacing="1" w:line="20" w:lineRule="atLeast"/>
              <w:rPr>
                <w:sz w:val="16"/>
                <w:szCs w:val="16"/>
                <w:lang w:eastAsia="tr-TR"/>
              </w:rPr>
            </w:pPr>
            <w:r>
              <w:rPr>
                <w:sz w:val="16"/>
                <w:szCs w:val="16"/>
                <w:lang w:eastAsia="tr-TR"/>
              </w:rPr>
              <w:t>Shares o</w:t>
            </w:r>
            <w:r w:rsidR="00224102" w:rsidRPr="00604C75">
              <w:rPr>
                <w:sz w:val="16"/>
                <w:szCs w:val="16"/>
                <w:lang w:eastAsia="tr-TR"/>
              </w:rPr>
              <w:t>btained against Article 56, Paragraph 4 of the Banking Law (-)</w:t>
            </w:r>
          </w:p>
        </w:tc>
        <w:tc>
          <w:tcPr>
            <w:tcW w:w="1306" w:type="dxa"/>
            <w:vAlign w:val="bottom"/>
          </w:tcPr>
          <w:p w14:paraId="2EA3201D" w14:textId="653CCB24"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4313D60C" w14:textId="7B50FE83"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1A93DA14" w14:textId="77777777" w:rsidTr="000E4F3B">
        <w:trPr>
          <w:cantSplit/>
          <w:trHeight w:val="102"/>
        </w:trPr>
        <w:tc>
          <w:tcPr>
            <w:tcW w:w="7513" w:type="dxa"/>
            <w:vAlign w:val="center"/>
            <w:hideMark/>
          </w:tcPr>
          <w:p w14:paraId="13CFDEE5" w14:textId="3AB0C801" w:rsidR="00224102" w:rsidRPr="00604C75" w:rsidRDefault="00224102" w:rsidP="00B85547">
            <w:pPr>
              <w:spacing w:before="100" w:beforeAutospacing="1" w:after="100" w:afterAutospacing="1" w:line="20" w:lineRule="atLeast"/>
              <w:rPr>
                <w:sz w:val="16"/>
                <w:szCs w:val="16"/>
                <w:lang w:eastAsia="tr-TR"/>
              </w:rPr>
            </w:pPr>
            <w:r w:rsidRPr="00604C75">
              <w:rPr>
                <w:sz w:val="16"/>
                <w:szCs w:val="16"/>
                <w:lang w:eastAsia="tr-TR"/>
              </w:rPr>
              <w:t xml:space="preserve">Investments in </w:t>
            </w:r>
            <w:r w:rsidR="00B85547">
              <w:rPr>
                <w:sz w:val="16"/>
                <w:szCs w:val="16"/>
                <w:lang w:eastAsia="tr-TR"/>
              </w:rPr>
              <w:t>o</w:t>
            </w:r>
            <w:r w:rsidRPr="00604C75">
              <w:rPr>
                <w:sz w:val="16"/>
                <w:szCs w:val="16"/>
                <w:lang w:eastAsia="tr-TR"/>
              </w:rPr>
              <w:t xml:space="preserve">wn </w:t>
            </w:r>
            <w:r w:rsidR="00B85547">
              <w:rPr>
                <w:sz w:val="16"/>
                <w:szCs w:val="16"/>
                <w:lang w:eastAsia="tr-TR"/>
              </w:rPr>
              <w:t>c</w:t>
            </w:r>
            <w:r w:rsidRPr="00604C75">
              <w:rPr>
                <w:sz w:val="16"/>
                <w:szCs w:val="16"/>
                <w:lang w:eastAsia="tr-TR"/>
              </w:rPr>
              <w:t xml:space="preserve">ommon </w:t>
            </w:r>
            <w:r w:rsidR="00B85547">
              <w:rPr>
                <w:sz w:val="16"/>
                <w:szCs w:val="16"/>
                <w:lang w:eastAsia="tr-TR"/>
              </w:rPr>
              <w:t>e</w:t>
            </w:r>
            <w:r w:rsidRPr="00604C75">
              <w:rPr>
                <w:sz w:val="16"/>
                <w:szCs w:val="16"/>
                <w:lang w:eastAsia="tr-TR"/>
              </w:rPr>
              <w:t>quity (-)</w:t>
            </w:r>
          </w:p>
        </w:tc>
        <w:tc>
          <w:tcPr>
            <w:tcW w:w="1306" w:type="dxa"/>
            <w:vAlign w:val="bottom"/>
          </w:tcPr>
          <w:p w14:paraId="28A6B190" w14:textId="6CB317CE"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1DF6A7E6" w14:textId="3562F262"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3910B14E" w14:textId="77777777" w:rsidTr="000E4F3B">
        <w:trPr>
          <w:cantSplit/>
          <w:trHeight w:val="102"/>
        </w:trPr>
        <w:tc>
          <w:tcPr>
            <w:tcW w:w="7513" w:type="dxa"/>
            <w:vAlign w:val="center"/>
            <w:hideMark/>
          </w:tcPr>
          <w:p w14:paraId="3521FB98" w14:textId="3BB42D56" w:rsidR="00224102" w:rsidRPr="00604C75" w:rsidRDefault="00224102" w:rsidP="00B85547">
            <w:pPr>
              <w:tabs>
                <w:tab w:val="left" w:pos="566"/>
              </w:tabs>
              <w:spacing w:before="100" w:beforeAutospacing="1" w:after="100" w:afterAutospacing="1" w:line="20" w:lineRule="atLeast"/>
              <w:jc w:val="both"/>
              <w:rPr>
                <w:sz w:val="16"/>
                <w:szCs w:val="16"/>
                <w:lang w:eastAsia="tr-TR"/>
              </w:rPr>
            </w:pPr>
            <w:r w:rsidRPr="00604C75">
              <w:rPr>
                <w:rFonts w:eastAsia="ヒラギノ明朝 Pro W3"/>
                <w:sz w:val="16"/>
                <w:szCs w:val="16"/>
                <w:lang w:eastAsia="tr-TR"/>
              </w:rPr>
              <w:t xml:space="preserve">Total of </w:t>
            </w:r>
            <w:r w:rsidR="00B85547">
              <w:rPr>
                <w:rFonts w:eastAsia="ヒラギノ明朝 Pro W3"/>
                <w:sz w:val="16"/>
                <w:szCs w:val="16"/>
                <w:lang w:eastAsia="tr-TR"/>
              </w:rPr>
              <w:t>n</w:t>
            </w:r>
            <w:r w:rsidRPr="00604C75">
              <w:rPr>
                <w:rFonts w:eastAsia="ヒラギノ明朝 Pro W3"/>
                <w:sz w:val="16"/>
                <w:szCs w:val="16"/>
                <w:lang w:eastAsia="tr-TR"/>
              </w:rPr>
              <w:t xml:space="preserve">et </w:t>
            </w:r>
            <w:r w:rsidR="00B85547">
              <w:rPr>
                <w:rFonts w:eastAsia="ヒラギノ明朝 Pro W3"/>
                <w:sz w:val="16"/>
                <w:szCs w:val="16"/>
                <w:lang w:eastAsia="tr-TR"/>
              </w:rPr>
              <w:t>l</w:t>
            </w:r>
            <w:r w:rsidRPr="00604C75">
              <w:rPr>
                <w:rFonts w:eastAsia="ヒラギノ明朝 Pro W3"/>
                <w:sz w:val="16"/>
                <w:szCs w:val="16"/>
                <w:lang w:eastAsia="tr-TR"/>
              </w:rPr>
              <w:t xml:space="preserve">ong </w:t>
            </w:r>
            <w:r w:rsidR="00B85547">
              <w:rPr>
                <w:rFonts w:eastAsia="ヒラギノ明朝 Pro W3"/>
                <w:sz w:val="16"/>
                <w:szCs w:val="16"/>
                <w:lang w:eastAsia="tr-TR"/>
              </w:rPr>
              <w:t>p</w:t>
            </w:r>
            <w:r w:rsidRPr="00604C75">
              <w:rPr>
                <w:rFonts w:eastAsia="ヒラギノ明朝 Pro W3"/>
                <w:sz w:val="16"/>
                <w:szCs w:val="16"/>
                <w:lang w:eastAsia="tr-TR"/>
              </w:rPr>
              <w:t xml:space="preserve">ositions of the </w:t>
            </w:r>
            <w:r w:rsidR="00B85547">
              <w:rPr>
                <w:rFonts w:eastAsia="ヒラギノ明朝 Pro W3"/>
                <w:sz w:val="16"/>
                <w:szCs w:val="16"/>
                <w:lang w:eastAsia="tr-TR"/>
              </w:rPr>
              <w:t>i</w:t>
            </w:r>
            <w:r w:rsidRPr="00604C75">
              <w:rPr>
                <w:rFonts w:eastAsia="ヒラギノ明朝 Pro W3"/>
                <w:sz w:val="16"/>
                <w:szCs w:val="16"/>
                <w:lang w:eastAsia="tr-TR"/>
              </w:rPr>
              <w:t xml:space="preserve">nvestments in </w:t>
            </w:r>
            <w:r w:rsidR="00B85547">
              <w:rPr>
                <w:rFonts w:eastAsia="ヒラギノ明朝 Pro W3"/>
                <w:sz w:val="16"/>
                <w:szCs w:val="16"/>
                <w:lang w:eastAsia="tr-TR"/>
              </w:rPr>
              <w:t>e</w:t>
            </w:r>
            <w:r w:rsidRPr="00604C75">
              <w:rPr>
                <w:rFonts w:eastAsia="ヒラギノ明朝 Pro W3"/>
                <w:sz w:val="16"/>
                <w:szCs w:val="16"/>
                <w:lang w:eastAsia="tr-TR"/>
              </w:rPr>
              <w:t xml:space="preserve">quity </w:t>
            </w:r>
            <w:r w:rsidR="00B85547">
              <w:rPr>
                <w:rFonts w:eastAsia="ヒラギノ明朝 Pro W3"/>
                <w:sz w:val="16"/>
                <w:szCs w:val="16"/>
                <w:lang w:eastAsia="tr-TR"/>
              </w:rPr>
              <w:t>i</w:t>
            </w:r>
            <w:r w:rsidRPr="00604C75">
              <w:rPr>
                <w:rFonts w:eastAsia="ヒラギノ明朝 Pro W3"/>
                <w:sz w:val="16"/>
                <w:szCs w:val="16"/>
                <w:lang w:eastAsia="tr-TR"/>
              </w:rPr>
              <w:t xml:space="preserve">tems of </w:t>
            </w:r>
            <w:r w:rsidR="00B85547">
              <w:rPr>
                <w:rFonts w:eastAsia="ヒラギノ明朝 Pro W3"/>
                <w:sz w:val="16"/>
                <w:szCs w:val="16"/>
                <w:lang w:eastAsia="tr-TR"/>
              </w:rPr>
              <w:t>u</w:t>
            </w:r>
            <w:r w:rsidRPr="00604C75">
              <w:rPr>
                <w:rFonts w:eastAsia="ヒラギノ明朝 Pro W3"/>
                <w:sz w:val="16"/>
                <w:szCs w:val="16"/>
                <w:lang w:eastAsia="tr-TR"/>
              </w:rPr>
              <w:t xml:space="preserve">nconsolidated </w:t>
            </w:r>
            <w:r w:rsidR="00B85547">
              <w:rPr>
                <w:rFonts w:eastAsia="ヒラギノ明朝 Pro W3"/>
                <w:sz w:val="16"/>
                <w:szCs w:val="16"/>
                <w:lang w:eastAsia="tr-TR"/>
              </w:rPr>
              <w:t>b</w:t>
            </w:r>
            <w:r w:rsidRPr="00604C75">
              <w:rPr>
                <w:rFonts w:eastAsia="ヒラギノ明朝 Pro W3"/>
                <w:sz w:val="16"/>
                <w:szCs w:val="16"/>
                <w:lang w:eastAsia="tr-TR"/>
              </w:rPr>
              <w:t xml:space="preserve">anks and </w:t>
            </w:r>
            <w:r w:rsidR="00B85547">
              <w:rPr>
                <w:rFonts w:eastAsia="ヒラギノ明朝 Pro W3"/>
                <w:sz w:val="16"/>
                <w:szCs w:val="16"/>
                <w:lang w:eastAsia="tr-TR"/>
              </w:rPr>
              <w:t>f</w:t>
            </w:r>
            <w:r w:rsidRPr="00604C75">
              <w:rPr>
                <w:rFonts w:eastAsia="ヒラギノ明朝 Pro W3"/>
                <w:sz w:val="16"/>
                <w:szCs w:val="16"/>
                <w:lang w:eastAsia="tr-TR"/>
              </w:rPr>
              <w:t xml:space="preserve">inancial </w:t>
            </w:r>
            <w:r w:rsidR="00B85547">
              <w:rPr>
                <w:rFonts w:eastAsia="ヒラギノ明朝 Pro W3"/>
                <w:sz w:val="16"/>
                <w:szCs w:val="16"/>
                <w:lang w:eastAsia="tr-TR"/>
              </w:rPr>
              <w:t>i</w:t>
            </w:r>
            <w:r w:rsidRPr="00604C75">
              <w:rPr>
                <w:rFonts w:eastAsia="ヒラギノ明朝 Pro W3"/>
                <w:sz w:val="16"/>
                <w:szCs w:val="16"/>
                <w:lang w:eastAsia="tr-TR"/>
              </w:rPr>
              <w:t xml:space="preserve">nstitutions </w:t>
            </w:r>
            <w:r w:rsidR="00B85547">
              <w:rPr>
                <w:rFonts w:eastAsia="ヒラギノ明朝 Pro W3"/>
                <w:sz w:val="16"/>
                <w:szCs w:val="16"/>
                <w:lang w:eastAsia="tr-TR"/>
              </w:rPr>
              <w:t>w</w:t>
            </w:r>
            <w:r w:rsidRPr="00604C75">
              <w:rPr>
                <w:rFonts w:eastAsia="ヒラギノ明朝 Pro W3"/>
                <w:sz w:val="16"/>
                <w:szCs w:val="16"/>
                <w:lang w:eastAsia="tr-TR"/>
              </w:rPr>
              <w:t xml:space="preserve">here the Bank does not </w:t>
            </w:r>
            <w:r w:rsidR="00B85547">
              <w:rPr>
                <w:rFonts w:eastAsia="ヒラギノ明朝 Pro W3"/>
                <w:sz w:val="16"/>
                <w:szCs w:val="16"/>
                <w:lang w:eastAsia="tr-TR"/>
              </w:rPr>
              <w:t>o</w:t>
            </w:r>
            <w:r w:rsidRPr="00604C75">
              <w:rPr>
                <w:rFonts w:eastAsia="ヒラギノ明朝 Pro W3"/>
                <w:sz w:val="16"/>
                <w:szCs w:val="16"/>
                <w:lang w:eastAsia="tr-TR"/>
              </w:rPr>
              <w:t>wn 10%or</w:t>
            </w:r>
            <w:r>
              <w:rPr>
                <w:rFonts w:eastAsia="ヒラギノ明朝 Pro W3"/>
                <w:sz w:val="16"/>
                <w:szCs w:val="16"/>
                <w:lang w:eastAsia="tr-TR"/>
              </w:rPr>
              <w:t xml:space="preserve"> </w:t>
            </w:r>
            <w:r w:rsidR="00B85547">
              <w:rPr>
                <w:rFonts w:eastAsia="ヒラギノ明朝 Pro W3"/>
                <w:sz w:val="16"/>
                <w:szCs w:val="16"/>
                <w:lang w:eastAsia="tr-TR"/>
              </w:rPr>
              <w:t>l</w:t>
            </w:r>
            <w:r w:rsidRPr="00604C75">
              <w:rPr>
                <w:rFonts w:eastAsia="ヒラギノ明朝 Pro W3"/>
                <w:sz w:val="16"/>
                <w:szCs w:val="16"/>
                <w:lang w:eastAsia="tr-TR"/>
              </w:rPr>
              <w:t xml:space="preserve">ess of the </w:t>
            </w:r>
            <w:r w:rsidR="00B85547">
              <w:rPr>
                <w:rFonts w:eastAsia="ヒラギノ明朝 Pro W3"/>
                <w:sz w:val="16"/>
                <w:szCs w:val="16"/>
                <w:lang w:eastAsia="tr-TR"/>
              </w:rPr>
              <w:t>i</w:t>
            </w:r>
            <w:r w:rsidRPr="00604C75">
              <w:rPr>
                <w:rFonts w:eastAsia="ヒラギノ明朝 Pro W3"/>
                <w:sz w:val="16"/>
                <w:szCs w:val="16"/>
                <w:lang w:eastAsia="tr-TR"/>
              </w:rPr>
              <w:t xml:space="preserve">ssued </w:t>
            </w:r>
            <w:r w:rsidR="00B85547">
              <w:rPr>
                <w:rFonts w:eastAsia="ヒラギノ明朝 Pro W3"/>
                <w:sz w:val="16"/>
                <w:szCs w:val="16"/>
                <w:lang w:eastAsia="tr-TR"/>
              </w:rPr>
              <w:t>s</w:t>
            </w:r>
            <w:r w:rsidRPr="00604C75">
              <w:rPr>
                <w:rFonts w:eastAsia="ヒラギノ明朝 Pro W3"/>
                <w:sz w:val="16"/>
                <w:szCs w:val="16"/>
                <w:lang w:eastAsia="tr-TR"/>
              </w:rPr>
              <w:t xml:space="preserve">hare </w:t>
            </w:r>
            <w:r w:rsidR="00B85547">
              <w:rPr>
                <w:rFonts w:eastAsia="ヒラギノ明朝 Pro W3"/>
                <w:sz w:val="16"/>
                <w:szCs w:val="16"/>
                <w:lang w:eastAsia="tr-TR"/>
              </w:rPr>
              <w:t>c</w:t>
            </w:r>
            <w:r w:rsidRPr="00604C75">
              <w:rPr>
                <w:rFonts w:eastAsia="ヒラギノ明朝 Pro W3"/>
                <w:sz w:val="16"/>
                <w:szCs w:val="16"/>
                <w:lang w:eastAsia="tr-TR"/>
              </w:rPr>
              <w:t xml:space="preserve">apital </w:t>
            </w:r>
            <w:r w:rsidR="00B85547">
              <w:rPr>
                <w:rFonts w:eastAsia="ヒラギノ明朝 Pro W3"/>
                <w:sz w:val="16"/>
                <w:szCs w:val="16"/>
                <w:lang w:eastAsia="tr-TR"/>
              </w:rPr>
              <w:t>e</w:t>
            </w:r>
            <w:r w:rsidRPr="00604C75">
              <w:rPr>
                <w:rFonts w:eastAsia="ヒラギノ明朝 Pro W3"/>
                <w:sz w:val="16"/>
                <w:szCs w:val="16"/>
                <w:lang w:eastAsia="tr-TR"/>
              </w:rPr>
              <w:t xml:space="preserve">xceeding the 10% </w:t>
            </w:r>
            <w:r w:rsidR="00B85547">
              <w:rPr>
                <w:rFonts w:eastAsia="ヒラギノ明朝 Pro W3"/>
                <w:sz w:val="16"/>
                <w:szCs w:val="16"/>
                <w:lang w:eastAsia="tr-TR"/>
              </w:rPr>
              <w:t>t</w:t>
            </w:r>
            <w:r w:rsidRPr="00604C75">
              <w:rPr>
                <w:rFonts w:eastAsia="ヒラギノ明朝 Pro W3"/>
                <w:sz w:val="16"/>
                <w:szCs w:val="16"/>
                <w:lang w:eastAsia="tr-TR"/>
              </w:rPr>
              <w:t>hreshold of above Tier I Capital (-)</w:t>
            </w:r>
          </w:p>
        </w:tc>
        <w:tc>
          <w:tcPr>
            <w:tcW w:w="1306" w:type="dxa"/>
            <w:vAlign w:val="bottom"/>
          </w:tcPr>
          <w:p w14:paraId="73BDD740" w14:textId="0DAF402B"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54F794B4" w14:textId="2B088E7C"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733D4746" w14:textId="77777777" w:rsidTr="000E4F3B">
        <w:trPr>
          <w:cantSplit/>
          <w:trHeight w:val="102"/>
        </w:trPr>
        <w:tc>
          <w:tcPr>
            <w:tcW w:w="7513" w:type="dxa"/>
            <w:hideMark/>
          </w:tcPr>
          <w:p w14:paraId="506ED719" w14:textId="2E7F07A1" w:rsidR="00224102" w:rsidRPr="00604C75" w:rsidRDefault="00224102" w:rsidP="00B85547">
            <w:pPr>
              <w:spacing w:before="100" w:beforeAutospacing="1" w:after="100" w:afterAutospacing="1" w:line="20" w:lineRule="atLeast"/>
              <w:jc w:val="both"/>
              <w:rPr>
                <w:sz w:val="16"/>
                <w:szCs w:val="16"/>
                <w:lang w:eastAsia="tr-TR"/>
              </w:rPr>
            </w:pPr>
            <w:r w:rsidRPr="00604C75">
              <w:rPr>
                <w:sz w:val="16"/>
                <w:szCs w:val="16"/>
                <w:lang w:eastAsia="tr-TR"/>
              </w:rPr>
              <w:t xml:space="preserve">Total of </w:t>
            </w:r>
            <w:r w:rsidR="00B85547">
              <w:rPr>
                <w:sz w:val="16"/>
                <w:szCs w:val="16"/>
                <w:lang w:eastAsia="tr-TR"/>
              </w:rPr>
              <w:t>n</w:t>
            </w:r>
            <w:r w:rsidRPr="00604C75">
              <w:rPr>
                <w:sz w:val="16"/>
                <w:szCs w:val="16"/>
                <w:lang w:eastAsia="tr-TR"/>
              </w:rPr>
              <w:t xml:space="preserve">et </w:t>
            </w:r>
            <w:r w:rsidR="00B85547">
              <w:rPr>
                <w:sz w:val="16"/>
                <w:szCs w:val="16"/>
                <w:lang w:eastAsia="tr-TR"/>
              </w:rPr>
              <w:t>l</w:t>
            </w:r>
            <w:r w:rsidRPr="00604C75">
              <w:rPr>
                <w:sz w:val="16"/>
                <w:szCs w:val="16"/>
                <w:lang w:eastAsia="tr-TR"/>
              </w:rPr>
              <w:t xml:space="preserve">ong Positions of the </w:t>
            </w:r>
            <w:r w:rsidR="00B85547">
              <w:rPr>
                <w:sz w:val="16"/>
                <w:szCs w:val="16"/>
                <w:lang w:eastAsia="tr-TR"/>
              </w:rPr>
              <w:t>i</w:t>
            </w:r>
            <w:r w:rsidRPr="00604C75">
              <w:rPr>
                <w:sz w:val="16"/>
                <w:szCs w:val="16"/>
                <w:lang w:eastAsia="tr-TR"/>
              </w:rPr>
              <w:t xml:space="preserve">nvestments in </w:t>
            </w:r>
            <w:r w:rsidR="00B85547">
              <w:rPr>
                <w:sz w:val="16"/>
                <w:szCs w:val="16"/>
                <w:lang w:eastAsia="tr-TR"/>
              </w:rPr>
              <w:t>e</w:t>
            </w:r>
            <w:r w:rsidRPr="00604C75">
              <w:rPr>
                <w:sz w:val="16"/>
                <w:szCs w:val="16"/>
                <w:lang w:eastAsia="tr-TR"/>
              </w:rPr>
              <w:t xml:space="preserve">quity </w:t>
            </w:r>
            <w:r w:rsidR="00B85547">
              <w:rPr>
                <w:sz w:val="16"/>
                <w:szCs w:val="16"/>
                <w:lang w:eastAsia="tr-TR"/>
              </w:rPr>
              <w:t>i</w:t>
            </w:r>
            <w:r w:rsidRPr="00604C75">
              <w:rPr>
                <w:sz w:val="16"/>
                <w:szCs w:val="16"/>
                <w:lang w:eastAsia="tr-TR"/>
              </w:rPr>
              <w:t xml:space="preserve">tems of </w:t>
            </w:r>
            <w:r w:rsidR="00B85547">
              <w:rPr>
                <w:sz w:val="16"/>
                <w:szCs w:val="16"/>
                <w:lang w:eastAsia="tr-TR"/>
              </w:rPr>
              <w:t>u</w:t>
            </w:r>
            <w:r w:rsidRPr="00604C75">
              <w:rPr>
                <w:sz w:val="16"/>
                <w:szCs w:val="16"/>
                <w:lang w:eastAsia="tr-TR"/>
              </w:rPr>
              <w:t xml:space="preserve">nconsolidated Banks and </w:t>
            </w:r>
            <w:r w:rsidR="00B85547">
              <w:rPr>
                <w:sz w:val="16"/>
                <w:szCs w:val="16"/>
                <w:lang w:eastAsia="tr-TR"/>
              </w:rPr>
              <w:t>f</w:t>
            </w:r>
            <w:r w:rsidRPr="00604C75">
              <w:rPr>
                <w:sz w:val="16"/>
                <w:szCs w:val="16"/>
                <w:lang w:eastAsia="tr-TR"/>
              </w:rPr>
              <w:t xml:space="preserve">inancial </w:t>
            </w:r>
            <w:r w:rsidR="00B85547">
              <w:rPr>
                <w:sz w:val="16"/>
                <w:szCs w:val="16"/>
                <w:lang w:eastAsia="tr-TR"/>
              </w:rPr>
              <w:t>i</w:t>
            </w:r>
            <w:r w:rsidRPr="00604C75">
              <w:rPr>
                <w:sz w:val="16"/>
                <w:szCs w:val="16"/>
                <w:lang w:eastAsia="tr-TR"/>
              </w:rPr>
              <w:t xml:space="preserve">nstitutions </w:t>
            </w:r>
            <w:r w:rsidR="00B85547">
              <w:rPr>
                <w:sz w:val="16"/>
                <w:szCs w:val="16"/>
                <w:lang w:eastAsia="tr-TR"/>
              </w:rPr>
              <w:t>w</w:t>
            </w:r>
            <w:r w:rsidRPr="00604C75">
              <w:rPr>
                <w:sz w:val="16"/>
                <w:szCs w:val="16"/>
                <w:lang w:eastAsia="tr-TR"/>
              </w:rPr>
              <w:t xml:space="preserve">here the Bank </w:t>
            </w:r>
            <w:r w:rsidR="00B85547">
              <w:rPr>
                <w:sz w:val="16"/>
                <w:szCs w:val="16"/>
                <w:lang w:eastAsia="tr-TR"/>
              </w:rPr>
              <w:t>o</w:t>
            </w:r>
            <w:r w:rsidRPr="00604C75">
              <w:rPr>
                <w:sz w:val="16"/>
                <w:szCs w:val="16"/>
                <w:lang w:eastAsia="tr-TR"/>
              </w:rPr>
              <w:t xml:space="preserve">wns 10% or </w:t>
            </w:r>
            <w:r w:rsidR="00B85547">
              <w:rPr>
                <w:sz w:val="16"/>
                <w:szCs w:val="16"/>
                <w:lang w:eastAsia="tr-TR"/>
              </w:rPr>
              <w:t>l</w:t>
            </w:r>
            <w:r w:rsidRPr="00604C75">
              <w:rPr>
                <w:sz w:val="16"/>
                <w:szCs w:val="16"/>
                <w:lang w:eastAsia="tr-TR"/>
              </w:rPr>
              <w:t xml:space="preserve">ess of the </w:t>
            </w:r>
            <w:r w:rsidR="00B85547">
              <w:rPr>
                <w:sz w:val="16"/>
                <w:szCs w:val="16"/>
                <w:lang w:eastAsia="tr-TR"/>
              </w:rPr>
              <w:t>i</w:t>
            </w:r>
            <w:r w:rsidRPr="00604C75">
              <w:rPr>
                <w:sz w:val="16"/>
                <w:szCs w:val="16"/>
                <w:lang w:eastAsia="tr-TR"/>
              </w:rPr>
              <w:t xml:space="preserve">ssued </w:t>
            </w:r>
            <w:r w:rsidR="00B85547">
              <w:rPr>
                <w:sz w:val="16"/>
                <w:szCs w:val="16"/>
                <w:lang w:eastAsia="tr-TR"/>
              </w:rPr>
              <w:t>s</w:t>
            </w:r>
            <w:r w:rsidRPr="00604C75">
              <w:rPr>
                <w:sz w:val="16"/>
                <w:szCs w:val="16"/>
                <w:lang w:eastAsia="tr-TR"/>
              </w:rPr>
              <w:t xml:space="preserve">hare </w:t>
            </w:r>
            <w:r w:rsidR="00B85547">
              <w:rPr>
                <w:sz w:val="16"/>
                <w:szCs w:val="16"/>
                <w:lang w:eastAsia="tr-TR"/>
              </w:rPr>
              <w:t>c</w:t>
            </w:r>
            <w:r w:rsidRPr="00604C75">
              <w:rPr>
                <w:sz w:val="16"/>
                <w:szCs w:val="16"/>
                <w:lang w:eastAsia="tr-TR"/>
              </w:rPr>
              <w:t xml:space="preserve">apital </w:t>
            </w:r>
            <w:r w:rsidR="00B85547">
              <w:rPr>
                <w:sz w:val="16"/>
                <w:szCs w:val="16"/>
                <w:lang w:eastAsia="tr-TR"/>
              </w:rPr>
              <w:t>e</w:t>
            </w:r>
            <w:r w:rsidRPr="00604C75">
              <w:rPr>
                <w:sz w:val="16"/>
                <w:szCs w:val="16"/>
                <w:lang w:eastAsia="tr-TR"/>
              </w:rPr>
              <w:t xml:space="preserve">xceeding the 10% </w:t>
            </w:r>
            <w:r w:rsidR="00B85547">
              <w:rPr>
                <w:sz w:val="16"/>
                <w:szCs w:val="16"/>
                <w:lang w:eastAsia="tr-TR"/>
              </w:rPr>
              <w:t>t</w:t>
            </w:r>
            <w:r w:rsidRPr="00604C75">
              <w:rPr>
                <w:sz w:val="16"/>
                <w:szCs w:val="16"/>
                <w:lang w:eastAsia="tr-TR"/>
              </w:rPr>
              <w:t>hreshold of above Tier I Capital (-)</w:t>
            </w:r>
          </w:p>
        </w:tc>
        <w:tc>
          <w:tcPr>
            <w:tcW w:w="1306" w:type="dxa"/>
            <w:vAlign w:val="bottom"/>
          </w:tcPr>
          <w:p w14:paraId="473ECB26" w14:textId="2C616B4D"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4F044E51" w14:textId="2AF3F137"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046BDDF6" w14:textId="77777777" w:rsidTr="000E4F3B">
        <w:trPr>
          <w:cantSplit/>
          <w:trHeight w:val="102"/>
        </w:trPr>
        <w:tc>
          <w:tcPr>
            <w:tcW w:w="7513" w:type="dxa"/>
            <w:hideMark/>
          </w:tcPr>
          <w:p w14:paraId="10E43E12" w14:textId="488FB6D1" w:rsidR="00224102" w:rsidRPr="00604C75" w:rsidRDefault="00224102" w:rsidP="000E4F3B">
            <w:pPr>
              <w:spacing w:before="100" w:beforeAutospacing="1" w:after="100" w:afterAutospacing="1" w:line="20" w:lineRule="atLeast"/>
              <w:rPr>
                <w:sz w:val="16"/>
                <w:szCs w:val="16"/>
                <w:lang w:eastAsia="tr-TR"/>
              </w:rPr>
            </w:pPr>
            <w:r w:rsidRPr="00604C75">
              <w:rPr>
                <w:sz w:val="16"/>
                <w:szCs w:val="16"/>
                <w:lang w:eastAsia="tr-TR"/>
              </w:rPr>
              <w:t xml:space="preserve">Mortgage </w:t>
            </w:r>
            <w:r w:rsidR="00B85547">
              <w:rPr>
                <w:sz w:val="16"/>
                <w:szCs w:val="16"/>
                <w:lang w:eastAsia="tr-TR"/>
              </w:rPr>
              <w:t>s</w:t>
            </w:r>
            <w:r w:rsidRPr="00604C75">
              <w:rPr>
                <w:sz w:val="16"/>
                <w:szCs w:val="16"/>
                <w:lang w:eastAsia="tr-TR"/>
              </w:rPr>
              <w:t xml:space="preserve">ervicing </w:t>
            </w:r>
            <w:r w:rsidR="00B85547">
              <w:rPr>
                <w:sz w:val="16"/>
                <w:szCs w:val="16"/>
                <w:lang w:eastAsia="tr-TR"/>
              </w:rPr>
              <w:t>r</w:t>
            </w:r>
            <w:r w:rsidRPr="00604C75">
              <w:rPr>
                <w:sz w:val="16"/>
                <w:szCs w:val="16"/>
                <w:lang w:eastAsia="tr-TR"/>
              </w:rPr>
              <w:t xml:space="preserve">ights </w:t>
            </w:r>
            <w:r w:rsidR="00B85547">
              <w:rPr>
                <w:sz w:val="16"/>
                <w:szCs w:val="16"/>
                <w:lang w:eastAsia="tr-TR"/>
              </w:rPr>
              <w:t>e</w:t>
            </w:r>
            <w:r w:rsidRPr="00604C75">
              <w:rPr>
                <w:sz w:val="16"/>
                <w:szCs w:val="16"/>
                <w:lang w:eastAsia="tr-TR"/>
              </w:rPr>
              <w:t xml:space="preserve">xceeding the 10% </w:t>
            </w:r>
            <w:r w:rsidR="00B85547">
              <w:rPr>
                <w:sz w:val="16"/>
                <w:szCs w:val="16"/>
                <w:lang w:eastAsia="tr-TR"/>
              </w:rPr>
              <w:t>t</w:t>
            </w:r>
            <w:r w:rsidRPr="00604C75">
              <w:rPr>
                <w:sz w:val="16"/>
                <w:szCs w:val="16"/>
                <w:lang w:eastAsia="tr-TR"/>
              </w:rPr>
              <w:t>hreshold of Tier I Capital (-)</w:t>
            </w:r>
          </w:p>
        </w:tc>
        <w:tc>
          <w:tcPr>
            <w:tcW w:w="1306" w:type="dxa"/>
            <w:vAlign w:val="bottom"/>
          </w:tcPr>
          <w:p w14:paraId="1F2DF2E9" w14:textId="303CD16F" w:rsidR="00224102" w:rsidRPr="00692926" w:rsidRDefault="00224102" w:rsidP="009D09B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40CC9B3A" w14:textId="08C2D301"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109B62D9" w14:textId="77777777" w:rsidTr="000E4F3B">
        <w:trPr>
          <w:cantSplit/>
          <w:trHeight w:val="102"/>
        </w:trPr>
        <w:tc>
          <w:tcPr>
            <w:tcW w:w="7513" w:type="dxa"/>
            <w:hideMark/>
          </w:tcPr>
          <w:p w14:paraId="392ECA55" w14:textId="775EA9C3" w:rsidR="00224102" w:rsidRPr="00604C75" w:rsidRDefault="00224102" w:rsidP="00B85547">
            <w:pPr>
              <w:spacing w:before="100" w:beforeAutospacing="1" w:after="100" w:afterAutospacing="1" w:line="20" w:lineRule="atLeast"/>
              <w:jc w:val="both"/>
              <w:rPr>
                <w:sz w:val="16"/>
                <w:szCs w:val="16"/>
                <w:lang w:eastAsia="tr-TR"/>
              </w:rPr>
            </w:pPr>
            <w:r w:rsidRPr="00604C75">
              <w:rPr>
                <w:sz w:val="16"/>
                <w:szCs w:val="16"/>
                <w:lang w:eastAsia="tr-TR"/>
              </w:rPr>
              <w:t xml:space="preserve">Net </w:t>
            </w:r>
            <w:r w:rsidR="00B85547">
              <w:rPr>
                <w:sz w:val="16"/>
                <w:szCs w:val="16"/>
                <w:lang w:eastAsia="tr-TR"/>
              </w:rPr>
              <w:t>d</w:t>
            </w:r>
            <w:r w:rsidRPr="00604C75">
              <w:rPr>
                <w:sz w:val="16"/>
                <w:szCs w:val="16"/>
                <w:lang w:eastAsia="tr-TR"/>
              </w:rPr>
              <w:t xml:space="preserve">eferred </w:t>
            </w:r>
            <w:r w:rsidR="00B85547">
              <w:rPr>
                <w:sz w:val="16"/>
                <w:szCs w:val="16"/>
                <w:lang w:eastAsia="tr-TR"/>
              </w:rPr>
              <w:t>t</w:t>
            </w:r>
            <w:r w:rsidRPr="00604C75">
              <w:rPr>
                <w:sz w:val="16"/>
                <w:szCs w:val="16"/>
                <w:lang w:eastAsia="tr-TR"/>
              </w:rPr>
              <w:t xml:space="preserve">ax </w:t>
            </w:r>
            <w:r w:rsidR="00B85547">
              <w:rPr>
                <w:sz w:val="16"/>
                <w:szCs w:val="16"/>
                <w:lang w:eastAsia="tr-TR"/>
              </w:rPr>
              <w:t>a</w:t>
            </w:r>
            <w:r w:rsidRPr="00604C75">
              <w:rPr>
                <w:sz w:val="16"/>
                <w:szCs w:val="16"/>
                <w:lang w:eastAsia="tr-TR"/>
              </w:rPr>
              <w:t xml:space="preserve">ssets </w:t>
            </w:r>
            <w:r w:rsidR="00B85547">
              <w:rPr>
                <w:sz w:val="16"/>
                <w:szCs w:val="16"/>
                <w:lang w:eastAsia="tr-TR"/>
              </w:rPr>
              <w:t>a</w:t>
            </w:r>
            <w:r>
              <w:rPr>
                <w:sz w:val="16"/>
                <w:szCs w:val="16"/>
                <w:lang w:eastAsia="tr-TR"/>
              </w:rPr>
              <w:t>r</w:t>
            </w:r>
            <w:r w:rsidRPr="00604C75">
              <w:rPr>
                <w:sz w:val="16"/>
                <w:szCs w:val="16"/>
                <w:lang w:eastAsia="tr-TR"/>
              </w:rPr>
              <w:t xml:space="preserve">ising from </w:t>
            </w:r>
            <w:r w:rsidR="00B85547">
              <w:rPr>
                <w:sz w:val="16"/>
                <w:szCs w:val="16"/>
                <w:lang w:eastAsia="tr-TR"/>
              </w:rPr>
              <w:t>t</w:t>
            </w:r>
            <w:r w:rsidRPr="00604C75">
              <w:rPr>
                <w:sz w:val="16"/>
                <w:szCs w:val="16"/>
                <w:lang w:eastAsia="tr-TR"/>
              </w:rPr>
              <w:t xml:space="preserve">emporary </w:t>
            </w:r>
            <w:r w:rsidR="00B85547">
              <w:rPr>
                <w:sz w:val="16"/>
                <w:szCs w:val="16"/>
                <w:lang w:eastAsia="tr-TR"/>
              </w:rPr>
              <w:t>d</w:t>
            </w:r>
            <w:r w:rsidRPr="00604C75">
              <w:rPr>
                <w:sz w:val="16"/>
                <w:szCs w:val="16"/>
                <w:lang w:eastAsia="tr-TR"/>
              </w:rPr>
              <w:t xml:space="preserve">ifferences </w:t>
            </w:r>
            <w:r w:rsidR="00B85547">
              <w:rPr>
                <w:sz w:val="16"/>
                <w:szCs w:val="16"/>
                <w:lang w:eastAsia="tr-TR"/>
              </w:rPr>
              <w:t>e</w:t>
            </w:r>
            <w:r w:rsidRPr="00604C75">
              <w:rPr>
                <w:sz w:val="16"/>
                <w:szCs w:val="16"/>
                <w:lang w:eastAsia="tr-TR"/>
              </w:rPr>
              <w:t xml:space="preserve">xceeding the10% </w:t>
            </w:r>
            <w:r w:rsidR="00B85547">
              <w:rPr>
                <w:sz w:val="16"/>
                <w:szCs w:val="16"/>
                <w:lang w:eastAsia="tr-TR"/>
              </w:rPr>
              <w:t>t</w:t>
            </w:r>
            <w:r w:rsidRPr="00604C75">
              <w:rPr>
                <w:sz w:val="16"/>
                <w:szCs w:val="16"/>
                <w:lang w:eastAsia="tr-TR"/>
              </w:rPr>
              <w:t>hreshold of Tier I Capital (-)</w:t>
            </w:r>
          </w:p>
        </w:tc>
        <w:tc>
          <w:tcPr>
            <w:tcW w:w="1306" w:type="dxa"/>
            <w:vAlign w:val="bottom"/>
          </w:tcPr>
          <w:p w14:paraId="5314FFE9" w14:textId="7BC3BEA7"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67AA7019" w14:textId="0D68A951"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5254E10B" w14:textId="77777777" w:rsidTr="000E4F3B">
        <w:trPr>
          <w:cantSplit/>
          <w:trHeight w:val="102"/>
        </w:trPr>
        <w:tc>
          <w:tcPr>
            <w:tcW w:w="7513" w:type="dxa"/>
            <w:hideMark/>
          </w:tcPr>
          <w:p w14:paraId="342BEAA9" w14:textId="1741B235" w:rsidR="00224102" w:rsidRPr="00604C75" w:rsidRDefault="00224102" w:rsidP="00B85547">
            <w:pPr>
              <w:spacing w:before="100" w:beforeAutospacing="1" w:after="100" w:afterAutospacing="1" w:line="20" w:lineRule="atLeast"/>
              <w:rPr>
                <w:sz w:val="16"/>
                <w:szCs w:val="16"/>
                <w:lang w:eastAsia="tr-TR"/>
              </w:rPr>
            </w:pPr>
            <w:r w:rsidRPr="00604C75">
              <w:rPr>
                <w:sz w:val="16"/>
                <w:szCs w:val="16"/>
                <w:lang w:eastAsia="tr-TR"/>
              </w:rPr>
              <w:t xml:space="preserve">Amount Exceeding the 15% </w:t>
            </w:r>
            <w:r w:rsidR="00B85547">
              <w:rPr>
                <w:sz w:val="16"/>
                <w:szCs w:val="16"/>
                <w:lang w:eastAsia="tr-TR"/>
              </w:rPr>
              <w:t>t</w:t>
            </w:r>
            <w:r w:rsidRPr="00604C75">
              <w:rPr>
                <w:sz w:val="16"/>
                <w:szCs w:val="16"/>
                <w:lang w:eastAsia="tr-TR"/>
              </w:rPr>
              <w:t xml:space="preserve">hreshold of Tier I Capital as per the Article 2, </w:t>
            </w:r>
            <w:r w:rsidR="00B85547">
              <w:rPr>
                <w:sz w:val="16"/>
                <w:szCs w:val="16"/>
                <w:lang w:eastAsia="tr-TR"/>
              </w:rPr>
              <w:t>c</w:t>
            </w:r>
            <w:r w:rsidRPr="00604C75">
              <w:rPr>
                <w:sz w:val="16"/>
                <w:szCs w:val="16"/>
                <w:lang w:eastAsia="tr-TR"/>
              </w:rPr>
              <w:t xml:space="preserve">lause 2 of the </w:t>
            </w:r>
            <w:r w:rsidR="00B85547">
              <w:rPr>
                <w:sz w:val="16"/>
                <w:szCs w:val="16"/>
                <w:lang w:eastAsia="tr-TR"/>
              </w:rPr>
              <w:t>r</w:t>
            </w:r>
            <w:r w:rsidRPr="00604C75">
              <w:rPr>
                <w:sz w:val="16"/>
                <w:szCs w:val="16"/>
                <w:lang w:eastAsia="tr-TR"/>
              </w:rPr>
              <w:t xml:space="preserve">egulation on </w:t>
            </w:r>
            <w:r w:rsidR="00B85547">
              <w:rPr>
                <w:sz w:val="16"/>
                <w:szCs w:val="16"/>
                <w:lang w:eastAsia="tr-TR"/>
              </w:rPr>
              <w:t>m</w:t>
            </w:r>
            <w:r w:rsidRPr="00604C75">
              <w:rPr>
                <w:sz w:val="16"/>
                <w:szCs w:val="16"/>
                <w:lang w:eastAsia="tr-TR"/>
              </w:rPr>
              <w:t xml:space="preserve">easurement and </w:t>
            </w:r>
            <w:r w:rsidR="00B85547">
              <w:rPr>
                <w:sz w:val="16"/>
                <w:szCs w:val="16"/>
                <w:lang w:eastAsia="tr-TR"/>
              </w:rPr>
              <w:t>a</w:t>
            </w:r>
            <w:r w:rsidRPr="00604C75">
              <w:rPr>
                <w:sz w:val="16"/>
                <w:szCs w:val="16"/>
                <w:lang w:eastAsia="tr-TR"/>
              </w:rPr>
              <w:t>ssessment of Capital Adequacy Ratios of Banks (-)</w:t>
            </w:r>
          </w:p>
        </w:tc>
        <w:tc>
          <w:tcPr>
            <w:tcW w:w="1306" w:type="dxa"/>
            <w:vAlign w:val="bottom"/>
          </w:tcPr>
          <w:p w14:paraId="13D62858" w14:textId="057503E5"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19D66E5F" w14:textId="612B1DCA"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40D556E5" w14:textId="77777777" w:rsidTr="000E4F3B">
        <w:trPr>
          <w:cantSplit/>
          <w:trHeight w:val="102"/>
        </w:trPr>
        <w:tc>
          <w:tcPr>
            <w:tcW w:w="7513" w:type="dxa"/>
            <w:hideMark/>
          </w:tcPr>
          <w:p w14:paraId="1D4A351F" w14:textId="03DA7032" w:rsidR="00224102" w:rsidRPr="00604C75" w:rsidRDefault="00224102" w:rsidP="00B85547">
            <w:pPr>
              <w:spacing w:before="100" w:beforeAutospacing="1" w:after="100" w:afterAutospacing="1" w:line="20" w:lineRule="atLeast"/>
              <w:rPr>
                <w:sz w:val="16"/>
                <w:szCs w:val="16"/>
                <w:lang w:eastAsia="tr-TR"/>
              </w:rPr>
            </w:pPr>
            <w:r w:rsidRPr="00604C75">
              <w:rPr>
                <w:sz w:val="16"/>
                <w:szCs w:val="16"/>
                <w:lang w:eastAsia="tr-TR"/>
              </w:rPr>
              <w:t xml:space="preserve">The </w:t>
            </w:r>
            <w:r w:rsidR="00B85547">
              <w:rPr>
                <w:sz w:val="16"/>
                <w:szCs w:val="16"/>
                <w:lang w:eastAsia="tr-TR"/>
              </w:rPr>
              <w:t>p</w:t>
            </w:r>
            <w:r w:rsidRPr="00604C75">
              <w:rPr>
                <w:sz w:val="16"/>
                <w:szCs w:val="16"/>
                <w:lang w:eastAsia="tr-TR"/>
              </w:rPr>
              <w:t xml:space="preserve">ortion of </w:t>
            </w:r>
            <w:r w:rsidR="00B85547">
              <w:rPr>
                <w:sz w:val="16"/>
                <w:szCs w:val="16"/>
                <w:lang w:eastAsia="tr-TR"/>
              </w:rPr>
              <w:t>n</w:t>
            </w:r>
            <w:r w:rsidRPr="00604C75">
              <w:rPr>
                <w:sz w:val="16"/>
                <w:szCs w:val="16"/>
                <w:lang w:eastAsia="tr-TR"/>
              </w:rPr>
              <w:t xml:space="preserve">et </w:t>
            </w:r>
            <w:r w:rsidR="00B85547">
              <w:rPr>
                <w:sz w:val="16"/>
                <w:szCs w:val="16"/>
                <w:lang w:eastAsia="tr-TR"/>
              </w:rPr>
              <w:t>l</w:t>
            </w:r>
            <w:r w:rsidRPr="00604C75">
              <w:rPr>
                <w:sz w:val="16"/>
                <w:szCs w:val="16"/>
                <w:lang w:eastAsia="tr-TR"/>
              </w:rPr>
              <w:t xml:space="preserve">ong </w:t>
            </w:r>
            <w:r w:rsidR="00B85547">
              <w:rPr>
                <w:sz w:val="16"/>
                <w:szCs w:val="16"/>
                <w:lang w:eastAsia="tr-TR"/>
              </w:rPr>
              <w:t>p</w:t>
            </w:r>
            <w:r w:rsidRPr="00604C75">
              <w:rPr>
                <w:sz w:val="16"/>
                <w:szCs w:val="16"/>
                <w:lang w:eastAsia="tr-TR"/>
              </w:rPr>
              <w:t xml:space="preserve">osition of the </w:t>
            </w:r>
            <w:r w:rsidR="00B85547">
              <w:rPr>
                <w:sz w:val="16"/>
                <w:szCs w:val="16"/>
                <w:lang w:eastAsia="tr-TR"/>
              </w:rPr>
              <w:t>i</w:t>
            </w:r>
            <w:r w:rsidRPr="00604C75">
              <w:rPr>
                <w:sz w:val="16"/>
                <w:szCs w:val="16"/>
                <w:lang w:eastAsia="tr-TR"/>
              </w:rPr>
              <w:t xml:space="preserve">nvestments in </w:t>
            </w:r>
            <w:r w:rsidR="00B85547">
              <w:rPr>
                <w:sz w:val="16"/>
                <w:szCs w:val="16"/>
                <w:lang w:eastAsia="tr-TR"/>
              </w:rPr>
              <w:t>e</w:t>
            </w:r>
            <w:r w:rsidRPr="00604C75">
              <w:rPr>
                <w:sz w:val="16"/>
                <w:szCs w:val="16"/>
                <w:lang w:eastAsia="tr-TR"/>
              </w:rPr>
              <w:t xml:space="preserve">quity </w:t>
            </w:r>
            <w:r w:rsidR="00B85547">
              <w:rPr>
                <w:sz w:val="16"/>
                <w:szCs w:val="16"/>
                <w:lang w:eastAsia="tr-TR"/>
              </w:rPr>
              <w:t>i</w:t>
            </w:r>
            <w:r w:rsidRPr="00604C75">
              <w:rPr>
                <w:sz w:val="16"/>
                <w:szCs w:val="16"/>
                <w:lang w:eastAsia="tr-TR"/>
              </w:rPr>
              <w:t xml:space="preserve">tems of </w:t>
            </w:r>
            <w:r w:rsidR="00B85547">
              <w:rPr>
                <w:sz w:val="16"/>
                <w:szCs w:val="16"/>
                <w:lang w:eastAsia="tr-TR"/>
              </w:rPr>
              <w:t>u</w:t>
            </w:r>
            <w:r w:rsidRPr="00604C75">
              <w:rPr>
                <w:sz w:val="16"/>
                <w:szCs w:val="16"/>
                <w:lang w:eastAsia="tr-TR"/>
              </w:rPr>
              <w:t xml:space="preserve">nconsolidated </w:t>
            </w:r>
            <w:r w:rsidR="00B85547">
              <w:rPr>
                <w:sz w:val="16"/>
                <w:szCs w:val="16"/>
                <w:lang w:eastAsia="tr-TR"/>
              </w:rPr>
              <w:t>b</w:t>
            </w:r>
            <w:r w:rsidRPr="00604C75">
              <w:rPr>
                <w:sz w:val="16"/>
                <w:szCs w:val="16"/>
                <w:lang w:eastAsia="tr-TR"/>
              </w:rPr>
              <w:t xml:space="preserve">anks and </w:t>
            </w:r>
            <w:r w:rsidR="00B85547">
              <w:rPr>
                <w:sz w:val="16"/>
                <w:szCs w:val="16"/>
                <w:lang w:eastAsia="tr-TR"/>
              </w:rPr>
              <w:t>f</w:t>
            </w:r>
            <w:r w:rsidRPr="00604C75">
              <w:rPr>
                <w:sz w:val="16"/>
                <w:szCs w:val="16"/>
                <w:lang w:eastAsia="tr-TR"/>
              </w:rPr>
              <w:t>inancial</w:t>
            </w:r>
            <w:r w:rsidR="00B85547">
              <w:rPr>
                <w:sz w:val="16"/>
                <w:szCs w:val="16"/>
                <w:lang w:eastAsia="tr-TR"/>
              </w:rPr>
              <w:t xml:space="preserve"> i</w:t>
            </w:r>
            <w:r w:rsidRPr="00604C75">
              <w:rPr>
                <w:sz w:val="16"/>
                <w:szCs w:val="16"/>
                <w:lang w:eastAsia="tr-TR"/>
              </w:rPr>
              <w:t xml:space="preserve">nstitutions </w:t>
            </w:r>
            <w:r w:rsidR="00B85547">
              <w:rPr>
                <w:sz w:val="16"/>
                <w:szCs w:val="16"/>
                <w:lang w:eastAsia="tr-TR"/>
              </w:rPr>
              <w:t>w</w:t>
            </w:r>
            <w:r w:rsidRPr="00604C75">
              <w:rPr>
                <w:sz w:val="16"/>
                <w:szCs w:val="16"/>
                <w:lang w:eastAsia="tr-TR"/>
              </w:rPr>
              <w:t xml:space="preserve">here the </w:t>
            </w:r>
            <w:r w:rsidR="00B85547">
              <w:rPr>
                <w:sz w:val="16"/>
                <w:szCs w:val="16"/>
                <w:lang w:eastAsia="tr-TR"/>
              </w:rPr>
              <w:t>b</w:t>
            </w:r>
            <w:r w:rsidRPr="00604C75">
              <w:rPr>
                <w:sz w:val="16"/>
                <w:szCs w:val="16"/>
                <w:lang w:eastAsia="tr-TR"/>
              </w:rPr>
              <w:t xml:space="preserve">ank </w:t>
            </w:r>
            <w:r w:rsidR="00B85547">
              <w:rPr>
                <w:sz w:val="16"/>
                <w:szCs w:val="16"/>
                <w:lang w:eastAsia="tr-TR"/>
              </w:rPr>
              <w:t>o</w:t>
            </w:r>
            <w:r w:rsidRPr="00604C75">
              <w:rPr>
                <w:sz w:val="16"/>
                <w:szCs w:val="16"/>
                <w:lang w:eastAsia="tr-TR"/>
              </w:rPr>
              <w:t xml:space="preserve">wns 10% or more of the </w:t>
            </w:r>
            <w:r w:rsidR="00B85547">
              <w:rPr>
                <w:sz w:val="16"/>
                <w:szCs w:val="16"/>
                <w:lang w:eastAsia="tr-TR"/>
              </w:rPr>
              <w:t>i</w:t>
            </w:r>
            <w:r w:rsidRPr="00604C75">
              <w:rPr>
                <w:sz w:val="16"/>
                <w:szCs w:val="16"/>
                <w:lang w:eastAsia="tr-TR"/>
              </w:rPr>
              <w:t xml:space="preserve">ssued </w:t>
            </w:r>
            <w:r w:rsidR="00B85547">
              <w:rPr>
                <w:sz w:val="16"/>
                <w:szCs w:val="16"/>
                <w:lang w:eastAsia="tr-TR"/>
              </w:rPr>
              <w:t>s</w:t>
            </w:r>
            <w:r w:rsidRPr="00604C75">
              <w:rPr>
                <w:sz w:val="16"/>
                <w:szCs w:val="16"/>
                <w:lang w:eastAsia="tr-TR"/>
              </w:rPr>
              <w:t xml:space="preserve">hare </w:t>
            </w:r>
            <w:r w:rsidR="00B85547">
              <w:rPr>
                <w:sz w:val="16"/>
                <w:szCs w:val="16"/>
                <w:lang w:eastAsia="tr-TR"/>
              </w:rPr>
              <w:t>c</w:t>
            </w:r>
            <w:r w:rsidRPr="00604C75">
              <w:rPr>
                <w:sz w:val="16"/>
                <w:szCs w:val="16"/>
                <w:lang w:eastAsia="tr-TR"/>
              </w:rPr>
              <w:t xml:space="preserve">apital not </w:t>
            </w:r>
            <w:r w:rsidR="00B85547">
              <w:rPr>
                <w:sz w:val="16"/>
                <w:szCs w:val="16"/>
                <w:lang w:eastAsia="tr-TR"/>
              </w:rPr>
              <w:t>d</w:t>
            </w:r>
            <w:r w:rsidRPr="00604C75">
              <w:rPr>
                <w:sz w:val="16"/>
                <w:szCs w:val="16"/>
                <w:lang w:eastAsia="tr-TR"/>
              </w:rPr>
              <w:t>educted from Tier I Capital (-)</w:t>
            </w:r>
          </w:p>
        </w:tc>
        <w:tc>
          <w:tcPr>
            <w:tcW w:w="1306" w:type="dxa"/>
            <w:vAlign w:val="bottom"/>
          </w:tcPr>
          <w:p w14:paraId="42E49CBC" w14:textId="270331AF"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575DB428" w14:textId="501CDC32"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277EA1E2" w14:textId="77777777" w:rsidTr="000E4F3B">
        <w:trPr>
          <w:cantSplit/>
          <w:trHeight w:val="102"/>
        </w:trPr>
        <w:tc>
          <w:tcPr>
            <w:tcW w:w="7513" w:type="dxa"/>
            <w:hideMark/>
          </w:tcPr>
          <w:p w14:paraId="53736C67" w14:textId="7483658A"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 xml:space="preserve">      Mortgage Servicing Rights not </w:t>
            </w:r>
            <w:r>
              <w:rPr>
                <w:sz w:val="16"/>
                <w:szCs w:val="16"/>
                <w:lang w:eastAsia="tr-TR"/>
              </w:rPr>
              <w:t>D</w:t>
            </w:r>
            <w:r w:rsidRPr="00604C75">
              <w:rPr>
                <w:sz w:val="16"/>
                <w:szCs w:val="16"/>
                <w:lang w:eastAsia="tr-TR"/>
              </w:rPr>
              <w:t>educted (-)</w:t>
            </w:r>
          </w:p>
        </w:tc>
        <w:tc>
          <w:tcPr>
            <w:tcW w:w="1306" w:type="dxa"/>
            <w:vAlign w:val="bottom"/>
          </w:tcPr>
          <w:p w14:paraId="0E1283C3" w14:textId="53500119"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7755893B" w14:textId="22381AAE"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50DEF8CE" w14:textId="77777777" w:rsidTr="000E4F3B">
        <w:trPr>
          <w:cantSplit/>
          <w:trHeight w:val="102"/>
        </w:trPr>
        <w:tc>
          <w:tcPr>
            <w:tcW w:w="7513" w:type="dxa"/>
            <w:hideMark/>
          </w:tcPr>
          <w:p w14:paraId="401521E9" w14:textId="6FDB4AF4"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 xml:space="preserve">      Excess Amount </w:t>
            </w:r>
            <w:r>
              <w:rPr>
                <w:sz w:val="16"/>
                <w:szCs w:val="16"/>
                <w:lang w:eastAsia="tr-TR"/>
              </w:rPr>
              <w:t>A</w:t>
            </w:r>
            <w:r w:rsidRPr="00604C75">
              <w:rPr>
                <w:sz w:val="16"/>
                <w:szCs w:val="16"/>
                <w:lang w:eastAsia="tr-TR"/>
              </w:rPr>
              <w:t>rising from Deferred Tax Assets from Temporary Differences (-)</w:t>
            </w:r>
          </w:p>
        </w:tc>
        <w:tc>
          <w:tcPr>
            <w:tcW w:w="1306" w:type="dxa"/>
            <w:vAlign w:val="bottom"/>
          </w:tcPr>
          <w:p w14:paraId="05C2B413" w14:textId="6E490B46"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1982FADF" w14:textId="242AD8D9"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3EF651B5" w14:textId="77777777" w:rsidTr="000E4F3B">
        <w:trPr>
          <w:cantSplit/>
          <w:trHeight w:val="102"/>
        </w:trPr>
        <w:tc>
          <w:tcPr>
            <w:tcW w:w="7513" w:type="dxa"/>
            <w:hideMark/>
          </w:tcPr>
          <w:p w14:paraId="14FBCEBB" w14:textId="35F9338C" w:rsidR="00224102" w:rsidRPr="00604C75" w:rsidRDefault="00224102" w:rsidP="00B85547">
            <w:pPr>
              <w:spacing w:before="100" w:beforeAutospacing="1" w:after="100" w:afterAutospacing="1" w:line="20" w:lineRule="atLeast"/>
              <w:rPr>
                <w:sz w:val="16"/>
                <w:szCs w:val="16"/>
                <w:lang w:eastAsia="tr-TR"/>
              </w:rPr>
            </w:pPr>
            <w:r w:rsidRPr="00604C75">
              <w:rPr>
                <w:sz w:val="16"/>
                <w:szCs w:val="16"/>
                <w:lang w:eastAsia="tr-TR"/>
              </w:rPr>
              <w:t xml:space="preserve">Other </w:t>
            </w:r>
            <w:r w:rsidR="00B85547">
              <w:rPr>
                <w:sz w:val="16"/>
                <w:szCs w:val="16"/>
                <w:lang w:eastAsia="tr-TR"/>
              </w:rPr>
              <w:t>i</w:t>
            </w:r>
            <w:r w:rsidRPr="00604C75">
              <w:rPr>
                <w:sz w:val="16"/>
                <w:szCs w:val="16"/>
                <w:lang w:eastAsia="tr-TR"/>
              </w:rPr>
              <w:t xml:space="preserve">tems to be </w:t>
            </w:r>
            <w:r w:rsidR="00B85547">
              <w:rPr>
                <w:sz w:val="16"/>
                <w:szCs w:val="16"/>
                <w:lang w:eastAsia="tr-TR"/>
              </w:rPr>
              <w:t>d</w:t>
            </w:r>
            <w:r w:rsidRPr="00604C75">
              <w:rPr>
                <w:sz w:val="16"/>
                <w:szCs w:val="16"/>
                <w:lang w:eastAsia="tr-TR"/>
              </w:rPr>
              <w:t>efined by the BRSA (-)</w:t>
            </w:r>
          </w:p>
        </w:tc>
        <w:tc>
          <w:tcPr>
            <w:tcW w:w="1306" w:type="dxa"/>
            <w:vAlign w:val="bottom"/>
          </w:tcPr>
          <w:p w14:paraId="1B3691E2" w14:textId="633629BD"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17875C8D" w14:textId="113C8C96"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33E61E99" w14:textId="77777777" w:rsidTr="000E4F3B">
        <w:trPr>
          <w:cantSplit/>
          <w:trHeight w:val="102"/>
        </w:trPr>
        <w:tc>
          <w:tcPr>
            <w:tcW w:w="7513" w:type="dxa"/>
            <w:hideMark/>
          </w:tcPr>
          <w:p w14:paraId="0AA96759" w14:textId="46378829" w:rsidR="00224102" w:rsidRPr="00604C75" w:rsidRDefault="00224102" w:rsidP="00B85547">
            <w:pPr>
              <w:spacing w:before="100" w:beforeAutospacing="1" w:after="100" w:afterAutospacing="1" w:line="20" w:lineRule="atLeast"/>
              <w:rPr>
                <w:sz w:val="16"/>
                <w:szCs w:val="16"/>
                <w:lang w:eastAsia="tr-TR"/>
              </w:rPr>
            </w:pPr>
            <w:r w:rsidRPr="00604C75">
              <w:rPr>
                <w:sz w:val="16"/>
                <w:szCs w:val="16"/>
                <w:lang w:eastAsia="tr-TR"/>
              </w:rPr>
              <w:t xml:space="preserve">Deductions from Tier I Capital in </w:t>
            </w:r>
            <w:r w:rsidR="00B85547">
              <w:rPr>
                <w:sz w:val="16"/>
                <w:szCs w:val="16"/>
                <w:lang w:eastAsia="tr-TR"/>
              </w:rPr>
              <w:t>c</w:t>
            </w:r>
            <w:r w:rsidRPr="00604C75">
              <w:rPr>
                <w:sz w:val="16"/>
                <w:szCs w:val="16"/>
                <w:lang w:eastAsia="tr-TR"/>
              </w:rPr>
              <w:t xml:space="preserve">ases </w:t>
            </w:r>
            <w:r w:rsidR="00B85547">
              <w:rPr>
                <w:sz w:val="16"/>
                <w:szCs w:val="16"/>
                <w:lang w:eastAsia="tr-TR"/>
              </w:rPr>
              <w:t>w</w:t>
            </w:r>
            <w:r w:rsidRPr="00604C75">
              <w:rPr>
                <w:sz w:val="16"/>
                <w:szCs w:val="16"/>
                <w:lang w:eastAsia="tr-TR"/>
              </w:rPr>
              <w:t xml:space="preserve">here there are no </w:t>
            </w:r>
            <w:r>
              <w:rPr>
                <w:sz w:val="16"/>
                <w:szCs w:val="16"/>
                <w:lang w:eastAsia="tr-TR"/>
              </w:rPr>
              <w:t>A</w:t>
            </w:r>
            <w:r w:rsidRPr="00604C75">
              <w:rPr>
                <w:sz w:val="16"/>
                <w:szCs w:val="16"/>
                <w:lang w:eastAsia="tr-TR"/>
              </w:rPr>
              <w:t>dequate Additional Tier I or Tier II Capitals (-)</w:t>
            </w:r>
          </w:p>
        </w:tc>
        <w:tc>
          <w:tcPr>
            <w:tcW w:w="1306" w:type="dxa"/>
            <w:vAlign w:val="bottom"/>
          </w:tcPr>
          <w:p w14:paraId="1FEE659A" w14:textId="5F148632"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c>
          <w:tcPr>
            <w:tcW w:w="1340" w:type="dxa"/>
            <w:vAlign w:val="bottom"/>
          </w:tcPr>
          <w:p w14:paraId="17BC7521" w14:textId="416C04EE" w:rsidR="00224102" w:rsidRPr="00692926" w:rsidRDefault="00224102" w:rsidP="000E4F3B">
            <w:pPr>
              <w:spacing w:before="100" w:beforeAutospacing="1" w:after="100" w:afterAutospacing="1" w:line="20" w:lineRule="atLeast"/>
              <w:ind w:right="54"/>
              <w:jc w:val="right"/>
              <w:rPr>
                <w:sz w:val="16"/>
                <w:szCs w:val="16"/>
                <w:lang w:eastAsia="tr-TR"/>
              </w:rPr>
            </w:pPr>
            <w:r w:rsidRPr="00692926">
              <w:rPr>
                <w:sz w:val="16"/>
                <w:szCs w:val="16"/>
                <w:lang w:eastAsia="tr-TR"/>
              </w:rPr>
              <w:t>-</w:t>
            </w:r>
          </w:p>
        </w:tc>
      </w:tr>
      <w:tr w:rsidR="00224102" w:rsidRPr="00604C75" w14:paraId="131B411C" w14:textId="77777777" w:rsidTr="000E4F3B">
        <w:trPr>
          <w:cantSplit/>
          <w:trHeight w:val="102"/>
        </w:trPr>
        <w:tc>
          <w:tcPr>
            <w:tcW w:w="7513" w:type="dxa"/>
            <w:hideMark/>
          </w:tcPr>
          <w:p w14:paraId="1E30A27C" w14:textId="1B743B55" w:rsidR="00224102" w:rsidRPr="00B623B1" w:rsidRDefault="00224102" w:rsidP="00A041CD">
            <w:pPr>
              <w:spacing w:before="100" w:beforeAutospacing="1" w:after="100" w:afterAutospacing="1" w:line="20" w:lineRule="atLeast"/>
              <w:rPr>
                <w:b/>
                <w:sz w:val="16"/>
                <w:szCs w:val="16"/>
                <w:lang w:eastAsia="tr-TR"/>
              </w:rPr>
            </w:pPr>
            <w:r w:rsidRPr="00E83EAC">
              <w:rPr>
                <w:b/>
                <w:sz w:val="16"/>
                <w:szCs w:val="16"/>
                <w:lang w:eastAsia="tr-TR"/>
              </w:rPr>
              <w:t xml:space="preserve">Total </w:t>
            </w:r>
            <w:r>
              <w:rPr>
                <w:b/>
                <w:sz w:val="16"/>
                <w:szCs w:val="16"/>
                <w:lang w:eastAsia="tr-TR"/>
              </w:rPr>
              <w:t>R</w:t>
            </w:r>
            <w:r w:rsidRPr="00E83EAC">
              <w:rPr>
                <w:b/>
                <w:sz w:val="16"/>
                <w:szCs w:val="16"/>
                <w:lang w:eastAsia="tr-TR"/>
              </w:rPr>
              <w:t xml:space="preserve">egulatory </w:t>
            </w:r>
            <w:r>
              <w:rPr>
                <w:b/>
                <w:sz w:val="16"/>
                <w:szCs w:val="16"/>
                <w:lang w:eastAsia="tr-TR"/>
              </w:rPr>
              <w:t>A</w:t>
            </w:r>
            <w:r w:rsidRPr="00E83EAC">
              <w:rPr>
                <w:b/>
                <w:sz w:val="16"/>
                <w:szCs w:val="16"/>
                <w:lang w:eastAsia="tr-TR"/>
              </w:rPr>
              <w:t xml:space="preserve">djustments to Common </w:t>
            </w:r>
            <w:r>
              <w:rPr>
                <w:b/>
                <w:sz w:val="16"/>
                <w:szCs w:val="16"/>
                <w:lang w:eastAsia="tr-TR"/>
              </w:rPr>
              <w:t>E</w:t>
            </w:r>
            <w:r w:rsidRPr="00E83EAC">
              <w:rPr>
                <w:b/>
                <w:sz w:val="16"/>
                <w:szCs w:val="16"/>
                <w:lang w:eastAsia="tr-TR"/>
              </w:rPr>
              <w:t>quity</w:t>
            </w:r>
          </w:p>
        </w:tc>
        <w:tc>
          <w:tcPr>
            <w:tcW w:w="1306" w:type="dxa"/>
            <w:vAlign w:val="center"/>
          </w:tcPr>
          <w:p w14:paraId="4AD62CCA" w14:textId="45225587" w:rsidR="00224102" w:rsidRPr="00692926" w:rsidRDefault="00224102" w:rsidP="000E4F3B">
            <w:pPr>
              <w:tabs>
                <w:tab w:val="left" w:pos="0"/>
              </w:tabs>
              <w:ind w:right="54"/>
              <w:jc w:val="right"/>
              <w:rPr>
                <w:b/>
                <w:bCs/>
                <w:sz w:val="16"/>
                <w:szCs w:val="16"/>
              </w:rPr>
            </w:pPr>
            <w:r>
              <w:rPr>
                <w:b/>
                <w:bCs/>
                <w:sz w:val="16"/>
                <w:szCs w:val="16"/>
              </w:rPr>
              <w:t>61,071</w:t>
            </w:r>
          </w:p>
        </w:tc>
        <w:tc>
          <w:tcPr>
            <w:tcW w:w="1340" w:type="dxa"/>
            <w:vAlign w:val="center"/>
          </w:tcPr>
          <w:p w14:paraId="15810EA3" w14:textId="6BA427FA" w:rsidR="00224102" w:rsidRPr="00692926" w:rsidRDefault="00224102" w:rsidP="000E4F3B">
            <w:pPr>
              <w:ind w:right="54"/>
              <w:jc w:val="right"/>
              <w:rPr>
                <w:b/>
                <w:bCs/>
                <w:sz w:val="16"/>
                <w:szCs w:val="16"/>
              </w:rPr>
            </w:pPr>
            <w:r w:rsidRPr="00692926">
              <w:rPr>
                <w:b/>
                <w:bCs/>
                <w:sz w:val="16"/>
                <w:szCs w:val="16"/>
              </w:rPr>
              <w:t>34,682</w:t>
            </w:r>
          </w:p>
        </w:tc>
      </w:tr>
      <w:tr w:rsidR="00224102" w:rsidRPr="00604C75" w14:paraId="0C821C7F" w14:textId="77777777" w:rsidTr="000E4F3B">
        <w:trPr>
          <w:cantSplit/>
          <w:trHeight w:val="227"/>
        </w:trPr>
        <w:tc>
          <w:tcPr>
            <w:tcW w:w="7513" w:type="dxa"/>
            <w:vAlign w:val="bottom"/>
            <w:hideMark/>
          </w:tcPr>
          <w:p w14:paraId="179D8400" w14:textId="77777777" w:rsidR="00224102" w:rsidRPr="00B623B1" w:rsidRDefault="00224102" w:rsidP="00224102">
            <w:pPr>
              <w:spacing w:before="100" w:beforeAutospacing="1" w:after="100" w:afterAutospacing="1" w:line="20" w:lineRule="atLeast"/>
              <w:rPr>
                <w:b/>
                <w:sz w:val="16"/>
                <w:szCs w:val="16"/>
                <w:lang w:eastAsia="tr-TR"/>
              </w:rPr>
            </w:pPr>
            <w:r w:rsidRPr="00E83EAC">
              <w:rPr>
                <w:b/>
                <w:sz w:val="16"/>
                <w:szCs w:val="16"/>
                <w:lang w:eastAsia="tr-TR"/>
              </w:rPr>
              <w:t>Total Common Equity</w:t>
            </w:r>
          </w:p>
        </w:tc>
        <w:tc>
          <w:tcPr>
            <w:tcW w:w="1306" w:type="dxa"/>
            <w:vAlign w:val="center"/>
          </w:tcPr>
          <w:p w14:paraId="10DDA9A7" w14:textId="45E8E6E1" w:rsidR="00224102" w:rsidRPr="00692926" w:rsidRDefault="00224102" w:rsidP="000E4F3B">
            <w:pPr>
              <w:tabs>
                <w:tab w:val="left" w:pos="0"/>
              </w:tabs>
              <w:ind w:right="54"/>
              <w:jc w:val="right"/>
              <w:rPr>
                <w:b/>
                <w:bCs/>
                <w:sz w:val="16"/>
                <w:szCs w:val="16"/>
              </w:rPr>
            </w:pPr>
            <w:r>
              <w:rPr>
                <w:b/>
                <w:bCs/>
                <w:sz w:val="16"/>
                <w:szCs w:val="16"/>
              </w:rPr>
              <w:t>981,482</w:t>
            </w:r>
          </w:p>
        </w:tc>
        <w:tc>
          <w:tcPr>
            <w:tcW w:w="1340" w:type="dxa"/>
            <w:vAlign w:val="center"/>
          </w:tcPr>
          <w:p w14:paraId="22C2213E" w14:textId="51C8BEC2" w:rsidR="00224102" w:rsidRPr="00692926" w:rsidRDefault="00224102" w:rsidP="000E4F3B">
            <w:pPr>
              <w:ind w:right="54"/>
              <w:jc w:val="right"/>
              <w:rPr>
                <w:b/>
                <w:bCs/>
                <w:sz w:val="16"/>
                <w:szCs w:val="16"/>
              </w:rPr>
            </w:pPr>
            <w:r w:rsidRPr="00692926">
              <w:rPr>
                <w:b/>
                <w:bCs/>
                <w:sz w:val="16"/>
                <w:szCs w:val="16"/>
              </w:rPr>
              <w:t>944,372</w:t>
            </w:r>
          </w:p>
        </w:tc>
      </w:tr>
    </w:tbl>
    <w:p w14:paraId="768BE6DC" w14:textId="77777777" w:rsidR="00585656" w:rsidRPr="00604C75" w:rsidRDefault="00585656" w:rsidP="00585656">
      <w:pPr>
        <w:pStyle w:val="BodyText3"/>
        <w:tabs>
          <w:tab w:val="clear" w:pos="539"/>
          <w:tab w:val="clear" w:pos="5310"/>
          <w:tab w:val="clear" w:pos="7560"/>
          <w:tab w:val="left" w:pos="1276"/>
        </w:tabs>
        <w:jc w:val="both"/>
        <w:rPr>
          <w:b/>
          <w:bCs w:val="0"/>
          <w:i w:val="0"/>
          <w:iCs w:val="0"/>
          <w:sz w:val="20"/>
        </w:rPr>
      </w:pPr>
    </w:p>
    <w:p w14:paraId="702484FF" w14:textId="77777777" w:rsidR="00E51107" w:rsidRPr="00604C75" w:rsidRDefault="00E51107" w:rsidP="00585656">
      <w:pPr>
        <w:pStyle w:val="BodyText3"/>
        <w:tabs>
          <w:tab w:val="clear" w:pos="539"/>
          <w:tab w:val="clear" w:pos="5310"/>
          <w:tab w:val="clear" w:pos="7560"/>
          <w:tab w:val="left" w:pos="1276"/>
        </w:tabs>
        <w:jc w:val="both"/>
        <w:rPr>
          <w:b/>
          <w:bCs w:val="0"/>
          <w:i w:val="0"/>
          <w:iCs w:val="0"/>
          <w:sz w:val="20"/>
        </w:rPr>
      </w:pPr>
    </w:p>
    <w:p w14:paraId="440F2D3D" w14:textId="77777777" w:rsidR="00E51107" w:rsidRPr="00604C75" w:rsidRDefault="00E51107" w:rsidP="00585656">
      <w:pPr>
        <w:pStyle w:val="BodyText3"/>
        <w:tabs>
          <w:tab w:val="clear" w:pos="539"/>
          <w:tab w:val="clear" w:pos="5310"/>
          <w:tab w:val="clear" w:pos="7560"/>
          <w:tab w:val="left" w:pos="1276"/>
        </w:tabs>
        <w:jc w:val="both"/>
        <w:rPr>
          <w:b/>
          <w:bCs w:val="0"/>
          <w:i w:val="0"/>
          <w:iCs w:val="0"/>
          <w:sz w:val="20"/>
        </w:rPr>
      </w:pPr>
    </w:p>
    <w:p w14:paraId="197FCC22" w14:textId="77777777" w:rsidR="00A041CD" w:rsidRPr="00604C75" w:rsidRDefault="00A041CD" w:rsidP="00A041CD">
      <w:pPr>
        <w:pStyle w:val="NormalIndent"/>
        <w:pageBreakBefore/>
        <w:widowControl w:val="0"/>
        <w:spacing w:line="216" w:lineRule="auto"/>
        <w:ind w:left="0"/>
        <w:jc w:val="both"/>
        <w:rPr>
          <w:b/>
          <w:bCs/>
          <w:noProof/>
          <w:lang w:val="tr-TR"/>
        </w:rPr>
      </w:pPr>
      <w:r w:rsidRPr="00604C75">
        <w:rPr>
          <w:b/>
          <w:bCs/>
          <w:noProof/>
          <w:lang w:val="tr-TR"/>
        </w:rPr>
        <w:lastRenderedPageBreak/>
        <w:t xml:space="preserve">INFORMATION </w:t>
      </w:r>
      <w:r>
        <w:rPr>
          <w:b/>
          <w:bCs/>
          <w:noProof/>
          <w:lang w:val="tr-TR"/>
        </w:rPr>
        <w:t>ON THE</w:t>
      </w:r>
      <w:r w:rsidRPr="00604C75">
        <w:rPr>
          <w:b/>
          <w:bCs/>
          <w:noProof/>
          <w:lang w:val="tr-TR"/>
        </w:rPr>
        <w:t xml:space="preserve"> FINANCIAL POSITION OF THE GROUP (Continued)</w:t>
      </w:r>
    </w:p>
    <w:p w14:paraId="6A97070D" w14:textId="77777777" w:rsidR="00FE1037" w:rsidRPr="00604C75" w:rsidRDefault="00FE1037" w:rsidP="00FE1037">
      <w:pPr>
        <w:spacing w:line="211" w:lineRule="auto"/>
        <w:jc w:val="both"/>
        <w:rPr>
          <w:b/>
          <w:sz w:val="20"/>
          <w:szCs w:val="20"/>
        </w:rPr>
      </w:pPr>
    </w:p>
    <w:p w14:paraId="3EF67A2E" w14:textId="77777777" w:rsidR="00755F2C" w:rsidRPr="00604C75" w:rsidRDefault="00755F2C" w:rsidP="008477F3">
      <w:pPr>
        <w:pStyle w:val="BodyTextIndent"/>
        <w:numPr>
          <w:ilvl w:val="0"/>
          <w:numId w:val="56"/>
        </w:numPr>
        <w:tabs>
          <w:tab w:val="left" w:pos="1276"/>
        </w:tabs>
        <w:spacing w:after="0" w:line="221" w:lineRule="auto"/>
        <w:ind w:left="602" w:hanging="588"/>
        <w:jc w:val="both"/>
        <w:rPr>
          <w:b/>
          <w:noProof/>
          <w:sz w:val="20"/>
          <w:szCs w:val="20"/>
          <w:lang w:val="tr-TR"/>
        </w:rPr>
      </w:pPr>
      <w:r w:rsidRPr="00604C75">
        <w:rPr>
          <w:b/>
          <w:noProof/>
          <w:sz w:val="20"/>
          <w:lang w:val="tr-TR"/>
        </w:rPr>
        <w:t>I</w:t>
      </w:r>
      <w:r w:rsidR="00046167" w:rsidRPr="00604C75">
        <w:rPr>
          <w:b/>
          <w:noProof/>
          <w:sz w:val="20"/>
          <w:lang w:val="tr-TR"/>
        </w:rPr>
        <w:t>nformation</w:t>
      </w:r>
      <w:r w:rsidRPr="00604C75">
        <w:rPr>
          <w:b/>
          <w:noProof/>
          <w:sz w:val="20"/>
          <w:lang w:val="tr-TR"/>
        </w:rPr>
        <w:t xml:space="preserve"> </w:t>
      </w:r>
      <w:r w:rsidR="00046167" w:rsidRPr="00604C75">
        <w:rPr>
          <w:b/>
          <w:noProof/>
          <w:sz w:val="20"/>
          <w:lang w:val="tr-TR"/>
        </w:rPr>
        <w:t>on Capital Adequacy Ratio</w:t>
      </w:r>
      <w:r w:rsidR="00046167" w:rsidRPr="00604C75" w:rsidDel="00613F85">
        <w:rPr>
          <w:b/>
          <w:noProof/>
          <w:sz w:val="20"/>
          <w:lang w:val="tr-TR"/>
        </w:rPr>
        <w:t xml:space="preserve"> </w:t>
      </w:r>
      <w:r w:rsidR="00046167" w:rsidRPr="00604C75">
        <w:rPr>
          <w:b/>
          <w:bCs/>
          <w:noProof/>
          <w:sz w:val="20"/>
          <w:lang w:val="tr-TR"/>
        </w:rPr>
        <w:t>(Continued)</w:t>
      </w:r>
    </w:p>
    <w:p w14:paraId="10BA053D" w14:textId="77777777" w:rsidR="00755F2C" w:rsidRPr="00604C75" w:rsidRDefault="00755F2C" w:rsidP="00AD726D">
      <w:pPr>
        <w:pStyle w:val="BodyTextIndent"/>
        <w:tabs>
          <w:tab w:val="left" w:pos="1276"/>
        </w:tabs>
        <w:spacing w:after="0" w:line="221" w:lineRule="auto"/>
        <w:ind w:left="0"/>
        <w:jc w:val="both"/>
        <w:rPr>
          <w:b/>
          <w:noProof/>
          <w:sz w:val="20"/>
          <w:szCs w:val="20"/>
          <w:lang w:val="tr-TR"/>
        </w:rPr>
      </w:pPr>
    </w:p>
    <w:p w14:paraId="4B67B66C" w14:textId="77777777" w:rsidR="00FE1037" w:rsidRPr="00604C75" w:rsidRDefault="00FE1037" w:rsidP="00AD726D">
      <w:pPr>
        <w:pStyle w:val="BodyTextIndent"/>
        <w:tabs>
          <w:tab w:val="left" w:pos="1276"/>
        </w:tabs>
        <w:spacing w:after="0" w:line="221" w:lineRule="auto"/>
        <w:ind w:left="0"/>
        <w:jc w:val="both"/>
      </w:pPr>
      <w:r w:rsidRPr="00604C75">
        <w:rPr>
          <w:b/>
          <w:noProof/>
          <w:sz w:val="20"/>
          <w:szCs w:val="20"/>
          <w:lang w:val="tr-TR"/>
        </w:rPr>
        <w:t>Information about the shareholders’ equity items (Continued)</w:t>
      </w:r>
    </w:p>
    <w:tbl>
      <w:tblPr>
        <w:tblpPr w:leftFromText="180" w:rightFromText="180" w:vertAnchor="text" w:horzAnchor="margin" w:tblpY="224"/>
        <w:tblW w:w="947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7322"/>
        <w:gridCol w:w="1078"/>
        <w:gridCol w:w="1078"/>
      </w:tblGrid>
      <w:tr w:rsidR="00F0291B" w:rsidRPr="00604C75" w14:paraId="56495CAB" w14:textId="77777777" w:rsidTr="00576E0A">
        <w:trPr>
          <w:cantSplit/>
          <w:trHeight w:val="20"/>
        </w:trPr>
        <w:tc>
          <w:tcPr>
            <w:tcW w:w="7322" w:type="dxa"/>
            <w:shd w:val="clear" w:color="auto" w:fill="auto"/>
            <w:vAlign w:val="bottom"/>
            <w:hideMark/>
          </w:tcPr>
          <w:p w14:paraId="64CE2F17" w14:textId="77777777" w:rsidR="00F0291B" w:rsidRPr="00B623B1" w:rsidRDefault="00F0291B" w:rsidP="004D54EB">
            <w:pPr>
              <w:spacing w:before="100" w:beforeAutospacing="1" w:after="100" w:afterAutospacing="1" w:line="20" w:lineRule="atLeast"/>
              <w:jc w:val="center"/>
              <w:rPr>
                <w:b/>
                <w:sz w:val="16"/>
                <w:szCs w:val="16"/>
                <w:lang w:eastAsia="tr-TR"/>
              </w:rPr>
            </w:pPr>
            <w:r w:rsidRPr="00E83EAC">
              <w:rPr>
                <w:b/>
                <w:sz w:val="16"/>
                <w:szCs w:val="16"/>
                <w:lang w:eastAsia="tr-TR"/>
              </w:rPr>
              <w:t xml:space="preserve">ADDITIONAL </w:t>
            </w:r>
            <w:r w:rsidR="004D54EB" w:rsidRPr="00E83EAC">
              <w:rPr>
                <w:b/>
                <w:sz w:val="16"/>
                <w:szCs w:val="16"/>
                <w:lang w:eastAsia="tr-TR"/>
              </w:rPr>
              <w:t>TIER I CAPITAL</w:t>
            </w:r>
          </w:p>
        </w:tc>
        <w:tc>
          <w:tcPr>
            <w:tcW w:w="1078" w:type="dxa"/>
            <w:vAlign w:val="bottom"/>
          </w:tcPr>
          <w:p w14:paraId="54F167BC" w14:textId="77777777" w:rsidR="00F0291B" w:rsidRPr="00604C75" w:rsidRDefault="00F0291B" w:rsidP="00F0291B">
            <w:pPr>
              <w:spacing w:before="100" w:beforeAutospacing="1" w:after="100" w:afterAutospacing="1" w:line="20" w:lineRule="atLeast"/>
              <w:jc w:val="right"/>
              <w:rPr>
                <w:sz w:val="16"/>
                <w:szCs w:val="16"/>
                <w:lang w:eastAsia="tr-TR"/>
              </w:rPr>
            </w:pPr>
          </w:p>
        </w:tc>
        <w:tc>
          <w:tcPr>
            <w:tcW w:w="1078" w:type="dxa"/>
            <w:vAlign w:val="bottom"/>
          </w:tcPr>
          <w:p w14:paraId="4C258418" w14:textId="77777777" w:rsidR="00F0291B" w:rsidRPr="00604C75" w:rsidRDefault="00F0291B" w:rsidP="00F0291B">
            <w:pPr>
              <w:spacing w:before="100" w:beforeAutospacing="1" w:after="100" w:afterAutospacing="1" w:line="20" w:lineRule="atLeast"/>
              <w:jc w:val="right"/>
              <w:rPr>
                <w:sz w:val="16"/>
                <w:szCs w:val="16"/>
                <w:lang w:eastAsia="tr-TR"/>
              </w:rPr>
            </w:pPr>
          </w:p>
        </w:tc>
      </w:tr>
      <w:tr w:rsidR="00224102" w:rsidRPr="00604C75" w14:paraId="30F585BD" w14:textId="77777777" w:rsidTr="00576E0A">
        <w:trPr>
          <w:cantSplit/>
          <w:trHeight w:val="20"/>
        </w:trPr>
        <w:tc>
          <w:tcPr>
            <w:tcW w:w="7322" w:type="dxa"/>
            <w:shd w:val="clear" w:color="auto" w:fill="auto"/>
            <w:vAlign w:val="bottom"/>
            <w:hideMark/>
          </w:tcPr>
          <w:p w14:paraId="5774DEB1"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Preferred Stock not Included in Tier I Capital and the Related Share Premiums</w:t>
            </w:r>
          </w:p>
        </w:tc>
        <w:tc>
          <w:tcPr>
            <w:tcW w:w="1078" w:type="dxa"/>
            <w:vAlign w:val="bottom"/>
          </w:tcPr>
          <w:p w14:paraId="39900C96" w14:textId="06D7EA2D"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663F99A0" w14:textId="2EC7544B"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098D6F0D" w14:textId="77777777" w:rsidTr="00576E0A">
        <w:trPr>
          <w:cantSplit/>
          <w:trHeight w:val="20"/>
        </w:trPr>
        <w:tc>
          <w:tcPr>
            <w:tcW w:w="7322" w:type="dxa"/>
            <w:shd w:val="clear" w:color="auto" w:fill="auto"/>
            <w:vAlign w:val="bottom"/>
            <w:hideMark/>
          </w:tcPr>
          <w:p w14:paraId="56186BBD"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Debt Instruments and the Related Issuance Premiums Defined by the BRSA (Issued or Obtained after 1.1.2014)</w:t>
            </w:r>
          </w:p>
        </w:tc>
        <w:tc>
          <w:tcPr>
            <w:tcW w:w="1078" w:type="dxa"/>
            <w:vAlign w:val="bottom"/>
          </w:tcPr>
          <w:p w14:paraId="01EA27D4" w14:textId="160A294E"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0F068E4A" w14:textId="7818984C"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2FAE1062" w14:textId="77777777" w:rsidTr="00576E0A">
        <w:trPr>
          <w:cantSplit/>
          <w:trHeight w:val="20"/>
        </w:trPr>
        <w:tc>
          <w:tcPr>
            <w:tcW w:w="7322" w:type="dxa"/>
            <w:shd w:val="clear" w:color="auto" w:fill="auto"/>
            <w:vAlign w:val="bottom"/>
            <w:hideMark/>
          </w:tcPr>
          <w:p w14:paraId="11E9F8C1"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Debt Instruments and the Related Issuance Premiums Defined by the BRSA (Issued or Obtained before 1.1.2014)</w:t>
            </w:r>
          </w:p>
        </w:tc>
        <w:tc>
          <w:tcPr>
            <w:tcW w:w="1078" w:type="dxa"/>
            <w:vAlign w:val="bottom"/>
          </w:tcPr>
          <w:p w14:paraId="57F8ABF9" w14:textId="6EAB7C03"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79EA6192" w14:textId="6F23AA19"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0EC2EE76" w14:textId="77777777" w:rsidTr="00576E0A">
        <w:trPr>
          <w:cantSplit/>
          <w:trHeight w:val="20"/>
        </w:trPr>
        <w:tc>
          <w:tcPr>
            <w:tcW w:w="7322" w:type="dxa"/>
            <w:shd w:val="clear" w:color="auto" w:fill="auto"/>
            <w:vAlign w:val="bottom"/>
            <w:hideMark/>
          </w:tcPr>
          <w:p w14:paraId="43B73A45" w14:textId="77777777" w:rsidR="00224102" w:rsidRPr="00B623B1" w:rsidRDefault="00224102" w:rsidP="00224102">
            <w:pPr>
              <w:spacing w:before="100" w:beforeAutospacing="1" w:after="100" w:afterAutospacing="1" w:line="20" w:lineRule="atLeast"/>
              <w:rPr>
                <w:b/>
                <w:sz w:val="16"/>
                <w:szCs w:val="16"/>
                <w:lang w:val="es-ES" w:eastAsia="tr-TR"/>
              </w:rPr>
            </w:pPr>
            <w:proofErr w:type="spellStart"/>
            <w:r w:rsidRPr="00E83EAC">
              <w:rPr>
                <w:b/>
                <w:sz w:val="16"/>
                <w:szCs w:val="16"/>
                <w:lang w:val="es-ES" w:eastAsia="tr-TR"/>
              </w:rPr>
              <w:t>Additional</w:t>
            </w:r>
            <w:proofErr w:type="spellEnd"/>
            <w:r w:rsidRPr="00E83EAC">
              <w:rPr>
                <w:b/>
                <w:sz w:val="16"/>
                <w:szCs w:val="16"/>
                <w:lang w:val="es-ES" w:eastAsia="tr-TR"/>
              </w:rPr>
              <w:t xml:space="preserve"> </w:t>
            </w:r>
            <w:proofErr w:type="spellStart"/>
            <w:r w:rsidRPr="00E83EAC">
              <w:rPr>
                <w:b/>
                <w:sz w:val="16"/>
                <w:szCs w:val="16"/>
                <w:lang w:val="es-ES" w:eastAsia="tr-TR"/>
              </w:rPr>
              <w:t>Tier</w:t>
            </w:r>
            <w:proofErr w:type="spellEnd"/>
            <w:r w:rsidRPr="00E83EAC">
              <w:rPr>
                <w:b/>
                <w:sz w:val="16"/>
                <w:szCs w:val="16"/>
                <w:lang w:val="es-ES" w:eastAsia="tr-TR"/>
              </w:rPr>
              <w:t xml:space="preserve"> I Capital </w:t>
            </w:r>
            <w:proofErr w:type="spellStart"/>
            <w:r w:rsidRPr="00E83EAC">
              <w:rPr>
                <w:b/>
                <w:sz w:val="16"/>
                <w:szCs w:val="16"/>
                <w:lang w:val="es-ES" w:eastAsia="tr-TR"/>
              </w:rPr>
              <w:t>before</w:t>
            </w:r>
            <w:proofErr w:type="spellEnd"/>
            <w:r w:rsidRPr="00E83EAC">
              <w:rPr>
                <w:b/>
                <w:sz w:val="16"/>
                <w:szCs w:val="16"/>
                <w:lang w:val="es-ES" w:eastAsia="tr-TR"/>
              </w:rPr>
              <w:t xml:space="preserve"> </w:t>
            </w:r>
            <w:proofErr w:type="spellStart"/>
            <w:r w:rsidRPr="00E83EAC">
              <w:rPr>
                <w:b/>
                <w:sz w:val="16"/>
                <w:szCs w:val="16"/>
                <w:lang w:val="es-ES" w:eastAsia="tr-TR"/>
              </w:rPr>
              <w:t>Deductions</w:t>
            </w:r>
            <w:proofErr w:type="spellEnd"/>
          </w:p>
        </w:tc>
        <w:tc>
          <w:tcPr>
            <w:tcW w:w="1078" w:type="dxa"/>
            <w:vAlign w:val="bottom"/>
          </w:tcPr>
          <w:p w14:paraId="67434B85" w14:textId="5A79BA4C"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1BB52115" w14:textId="3ACDD5B7"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549B62AA" w14:textId="77777777" w:rsidTr="00576E0A">
        <w:trPr>
          <w:cantSplit/>
          <w:trHeight w:val="20"/>
        </w:trPr>
        <w:tc>
          <w:tcPr>
            <w:tcW w:w="7322" w:type="dxa"/>
            <w:shd w:val="clear" w:color="auto" w:fill="auto"/>
            <w:vAlign w:val="bottom"/>
            <w:hideMark/>
          </w:tcPr>
          <w:p w14:paraId="6742D173" w14:textId="77777777" w:rsidR="00224102" w:rsidRPr="00B623B1" w:rsidRDefault="00224102" w:rsidP="00224102">
            <w:pPr>
              <w:spacing w:before="100" w:beforeAutospacing="1" w:after="100" w:afterAutospacing="1" w:line="20" w:lineRule="atLeast"/>
              <w:jc w:val="center"/>
              <w:rPr>
                <w:b/>
                <w:sz w:val="16"/>
                <w:szCs w:val="16"/>
                <w:lang w:val="es-ES" w:eastAsia="tr-TR"/>
              </w:rPr>
            </w:pPr>
            <w:proofErr w:type="spellStart"/>
            <w:r w:rsidRPr="00E83EAC">
              <w:rPr>
                <w:b/>
                <w:sz w:val="16"/>
                <w:szCs w:val="16"/>
                <w:lang w:val="es-ES" w:eastAsia="tr-TR"/>
              </w:rPr>
              <w:t>Deductions</w:t>
            </w:r>
            <w:proofErr w:type="spellEnd"/>
            <w:r w:rsidRPr="00E83EAC">
              <w:rPr>
                <w:b/>
                <w:sz w:val="16"/>
                <w:szCs w:val="16"/>
                <w:lang w:val="es-ES" w:eastAsia="tr-TR"/>
              </w:rPr>
              <w:t xml:space="preserve"> </w:t>
            </w:r>
            <w:proofErr w:type="spellStart"/>
            <w:r w:rsidRPr="00E83EAC">
              <w:rPr>
                <w:b/>
                <w:sz w:val="16"/>
                <w:szCs w:val="16"/>
                <w:lang w:val="es-ES" w:eastAsia="tr-TR"/>
              </w:rPr>
              <w:t>from</w:t>
            </w:r>
            <w:proofErr w:type="spellEnd"/>
            <w:r w:rsidRPr="00E83EAC">
              <w:rPr>
                <w:b/>
                <w:sz w:val="16"/>
                <w:szCs w:val="16"/>
                <w:lang w:val="es-ES" w:eastAsia="tr-TR"/>
              </w:rPr>
              <w:t xml:space="preserve"> </w:t>
            </w:r>
            <w:proofErr w:type="spellStart"/>
            <w:r w:rsidRPr="00E83EAC">
              <w:rPr>
                <w:b/>
                <w:sz w:val="16"/>
                <w:szCs w:val="16"/>
                <w:lang w:val="es-ES" w:eastAsia="tr-TR"/>
              </w:rPr>
              <w:t>Additional</w:t>
            </w:r>
            <w:proofErr w:type="spellEnd"/>
            <w:r w:rsidRPr="00E83EAC">
              <w:rPr>
                <w:b/>
                <w:sz w:val="16"/>
                <w:szCs w:val="16"/>
                <w:lang w:val="es-ES" w:eastAsia="tr-TR"/>
              </w:rPr>
              <w:t xml:space="preserve"> </w:t>
            </w:r>
            <w:proofErr w:type="spellStart"/>
            <w:r w:rsidRPr="00E83EAC">
              <w:rPr>
                <w:b/>
                <w:sz w:val="16"/>
                <w:szCs w:val="16"/>
                <w:lang w:val="es-ES" w:eastAsia="tr-TR"/>
              </w:rPr>
              <w:t>Tier</w:t>
            </w:r>
            <w:proofErr w:type="spellEnd"/>
            <w:r w:rsidRPr="00E83EAC">
              <w:rPr>
                <w:b/>
                <w:sz w:val="16"/>
                <w:szCs w:val="16"/>
                <w:lang w:val="es-ES" w:eastAsia="tr-TR"/>
              </w:rPr>
              <w:t xml:space="preserve"> I Capital</w:t>
            </w:r>
          </w:p>
        </w:tc>
        <w:tc>
          <w:tcPr>
            <w:tcW w:w="1078" w:type="dxa"/>
            <w:vAlign w:val="bottom"/>
          </w:tcPr>
          <w:p w14:paraId="096A058B" w14:textId="006621AE"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43635407" w14:textId="0F4227B5"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3D8CEFC6" w14:textId="77777777" w:rsidTr="00576E0A">
        <w:trPr>
          <w:cantSplit/>
          <w:trHeight w:val="20"/>
        </w:trPr>
        <w:tc>
          <w:tcPr>
            <w:tcW w:w="7322" w:type="dxa"/>
            <w:shd w:val="clear" w:color="auto" w:fill="auto"/>
            <w:vAlign w:val="bottom"/>
            <w:hideMark/>
          </w:tcPr>
          <w:p w14:paraId="6824F098"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Direct and Indirect Investments of the Bank on its own Additional Core Capital (-)</w:t>
            </w:r>
          </w:p>
        </w:tc>
        <w:tc>
          <w:tcPr>
            <w:tcW w:w="1078" w:type="dxa"/>
            <w:vAlign w:val="bottom"/>
          </w:tcPr>
          <w:p w14:paraId="6C2ED314" w14:textId="501EA6A0"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5B649AA1" w14:textId="539F3A17"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58DDBE66" w14:textId="77777777" w:rsidTr="00576E0A">
        <w:trPr>
          <w:cantSplit/>
          <w:trHeight w:val="20"/>
        </w:trPr>
        <w:tc>
          <w:tcPr>
            <w:tcW w:w="7322" w:type="dxa"/>
            <w:shd w:val="clear" w:color="auto" w:fill="auto"/>
            <w:vAlign w:val="bottom"/>
            <w:hideMark/>
          </w:tcPr>
          <w:p w14:paraId="62D75E3D" w14:textId="77777777" w:rsidR="00224102" w:rsidRPr="00604C75" w:rsidRDefault="00224102" w:rsidP="009D09BB">
            <w:pPr>
              <w:spacing w:before="100" w:beforeAutospacing="1" w:after="100" w:afterAutospacing="1" w:line="20" w:lineRule="atLeast"/>
              <w:rPr>
                <w:sz w:val="16"/>
                <w:szCs w:val="16"/>
                <w:lang w:eastAsia="tr-TR"/>
              </w:rPr>
            </w:pPr>
            <w:r w:rsidRPr="00604C75">
              <w:rPr>
                <w:sz w:val="16"/>
                <w:szCs w:val="16"/>
                <w:lang w:eastAsia="tr-TR"/>
              </w:rPr>
              <w:t>Total of Net Long Positions of the Investments in Equity Items of Unconsolidated Banks and Financial Institutions where the Bank Owns 10% or less of the Issued Share Capital Exceeding the 10% Threshold of above Tier I Capital (-)</w:t>
            </w:r>
          </w:p>
        </w:tc>
        <w:tc>
          <w:tcPr>
            <w:tcW w:w="1078" w:type="dxa"/>
            <w:vAlign w:val="bottom"/>
          </w:tcPr>
          <w:p w14:paraId="7B4725CB" w14:textId="55EDC38B"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7381E291" w14:textId="75F6ED15"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51858EE4" w14:textId="77777777" w:rsidTr="00576E0A">
        <w:trPr>
          <w:cantSplit/>
          <w:trHeight w:val="20"/>
        </w:trPr>
        <w:tc>
          <w:tcPr>
            <w:tcW w:w="7322" w:type="dxa"/>
            <w:shd w:val="clear" w:color="auto" w:fill="auto"/>
            <w:vAlign w:val="bottom"/>
            <w:hideMark/>
          </w:tcPr>
          <w:p w14:paraId="4DDE3448" w14:textId="5514DDDB"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 xml:space="preserve">The Total of Net Long Position of the Direct or Indirect Investments in Additional Tier I Capital of Unconsolidated Banks and Financial Institutions </w:t>
            </w:r>
            <w:r>
              <w:rPr>
                <w:sz w:val="16"/>
                <w:szCs w:val="16"/>
                <w:lang w:eastAsia="tr-TR"/>
              </w:rPr>
              <w:t>W</w:t>
            </w:r>
            <w:r w:rsidRPr="00604C75">
              <w:rPr>
                <w:sz w:val="16"/>
                <w:szCs w:val="16"/>
                <w:lang w:eastAsia="tr-TR"/>
              </w:rPr>
              <w:t>here the Bank Owns more than 10% of the Issued Share Capital (-)</w:t>
            </w:r>
          </w:p>
        </w:tc>
        <w:tc>
          <w:tcPr>
            <w:tcW w:w="1078" w:type="dxa"/>
            <w:vAlign w:val="bottom"/>
          </w:tcPr>
          <w:p w14:paraId="60889734" w14:textId="10B82D4A"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731D990D" w14:textId="28A6258D"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7C96DF80" w14:textId="77777777" w:rsidTr="00576E0A">
        <w:trPr>
          <w:cantSplit/>
          <w:trHeight w:val="20"/>
        </w:trPr>
        <w:tc>
          <w:tcPr>
            <w:tcW w:w="7322" w:type="dxa"/>
            <w:shd w:val="clear" w:color="auto" w:fill="auto"/>
            <w:vAlign w:val="bottom"/>
            <w:hideMark/>
          </w:tcPr>
          <w:p w14:paraId="0BC7B4BF" w14:textId="1C8FFA52" w:rsidR="00224102" w:rsidRPr="00604C75" w:rsidRDefault="00224102" w:rsidP="009D09BB">
            <w:pPr>
              <w:spacing w:before="100" w:beforeAutospacing="1" w:after="100" w:afterAutospacing="1" w:line="20" w:lineRule="atLeast"/>
              <w:rPr>
                <w:sz w:val="16"/>
                <w:szCs w:val="16"/>
                <w:lang w:eastAsia="tr-TR"/>
              </w:rPr>
            </w:pPr>
            <w:r w:rsidRPr="00604C75">
              <w:rPr>
                <w:sz w:val="16"/>
                <w:szCs w:val="16"/>
                <w:lang w:eastAsia="tr-TR"/>
              </w:rPr>
              <w:t xml:space="preserve">Other </w:t>
            </w:r>
            <w:r>
              <w:rPr>
                <w:sz w:val="16"/>
                <w:szCs w:val="16"/>
                <w:lang w:eastAsia="tr-TR"/>
              </w:rPr>
              <w:t>I</w:t>
            </w:r>
            <w:r w:rsidRPr="00604C75">
              <w:rPr>
                <w:sz w:val="16"/>
                <w:szCs w:val="16"/>
                <w:lang w:eastAsia="tr-TR"/>
              </w:rPr>
              <w:t>tems to be Defined by the BRSA (-)</w:t>
            </w:r>
          </w:p>
        </w:tc>
        <w:tc>
          <w:tcPr>
            <w:tcW w:w="1078" w:type="dxa"/>
            <w:vAlign w:val="bottom"/>
          </w:tcPr>
          <w:p w14:paraId="076DB6CB" w14:textId="2DF23011"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170A2E17" w14:textId="67D19B19"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1A201D91" w14:textId="77777777" w:rsidTr="00576E0A">
        <w:trPr>
          <w:cantSplit/>
          <w:trHeight w:val="20"/>
        </w:trPr>
        <w:tc>
          <w:tcPr>
            <w:tcW w:w="7322" w:type="dxa"/>
            <w:shd w:val="clear" w:color="auto" w:fill="auto"/>
            <w:vAlign w:val="bottom"/>
            <w:hideMark/>
          </w:tcPr>
          <w:p w14:paraId="430925B7" w14:textId="3892561F" w:rsidR="00224102" w:rsidRPr="00604C75" w:rsidRDefault="00224102" w:rsidP="00224102">
            <w:pPr>
              <w:spacing w:before="100" w:beforeAutospacing="1" w:after="100" w:afterAutospacing="1" w:line="20" w:lineRule="atLeast"/>
              <w:rPr>
                <w:sz w:val="16"/>
                <w:szCs w:val="16"/>
                <w:lang w:val="es-ES" w:eastAsia="tr-TR"/>
              </w:rPr>
            </w:pPr>
            <w:proofErr w:type="spellStart"/>
            <w:r w:rsidRPr="00604C75">
              <w:rPr>
                <w:sz w:val="16"/>
                <w:szCs w:val="16"/>
                <w:lang w:val="es-ES" w:eastAsia="tr-TR"/>
              </w:rPr>
              <w:t>Deductions</w:t>
            </w:r>
            <w:proofErr w:type="spellEnd"/>
            <w:r w:rsidRPr="00604C75">
              <w:rPr>
                <w:sz w:val="16"/>
                <w:szCs w:val="16"/>
                <w:lang w:val="es-ES" w:eastAsia="tr-TR"/>
              </w:rPr>
              <w:t xml:space="preserve"> </w:t>
            </w:r>
            <w:proofErr w:type="spellStart"/>
            <w:r w:rsidRPr="00604C75">
              <w:rPr>
                <w:sz w:val="16"/>
                <w:szCs w:val="16"/>
                <w:lang w:val="es-ES" w:eastAsia="tr-TR"/>
              </w:rPr>
              <w:t>from</w:t>
            </w:r>
            <w:proofErr w:type="spellEnd"/>
            <w:r w:rsidRPr="00604C75">
              <w:rPr>
                <w:sz w:val="16"/>
                <w:szCs w:val="16"/>
                <w:lang w:val="es-ES" w:eastAsia="tr-TR"/>
              </w:rPr>
              <w:t xml:space="preserve"> </w:t>
            </w:r>
            <w:proofErr w:type="spellStart"/>
            <w:r w:rsidRPr="00604C75">
              <w:rPr>
                <w:sz w:val="16"/>
                <w:szCs w:val="16"/>
                <w:lang w:val="es-ES" w:eastAsia="tr-TR"/>
              </w:rPr>
              <w:t>Additional</w:t>
            </w:r>
            <w:proofErr w:type="spellEnd"/>
            <w:r w:rsidRPr="00604C75">
              <w:rPr>
                <w:sz w:val="16"/>
                <w:szCs w:val="16"/>
                <w:lang w:val="es-ES" w:eastAsia="tr-TR"/>
              </w:rPr>
              <w:t xml:space="preserve"> </w:t>
            </w:r>
            <w:proofErr w:type="spellStart"/>
            <w:r w:rsidRPr="00604C75">
              <w:rPr>
                <w:sz w:val="16"/>
                <w:szCs w:val="16"/>
                <w:lang w:val="es-ES" w:eastAsia="tr-TR"/>
              </w:rPr>
              <w:t>Core</w:t>
            </w:r>
            <w:proofErr w:type="spellEnd"/>
            <w:r w:rsidRPr="00604C75">
              <w:rPr>
                <w:sz w:val="16"/>
                <w:szCs w:val="16"/>
                <w:lang w:val="es-ES" w:eastAsia="tr-TR"/>
              </w:rPr>
              <w:t xml:space="preserve"> Capital in </w:t>
            </w:r>
            <w:r>
              <w:rPr>
                <w:sz w:val="16"/>
                <w:szCs w:val="16"/>
                <w:lang w:val="es-ES" w:eastAsia="tr-TR"/>
              </w:rPr>
              <w:t>C</w:t>
            </w:r>
            <w:r w:rsidRPr="00604C75">
              <w:rPr>
                <w:sz w:val="16"/>
                <w:szCs w:val="16"/>
                <w:lang w:val="es-ES" w:eastAsia="tr-TR"/>
              </w:rPr>
              <w:t xml:space="preserve">ases </w:t>
            </w:r>
            <w:proofErr w:type="spellStart"/>
            <w:r>
              <w:rPr>
                <w:sz w:val="16"/>
                <w:szCs w:val="16"/>
                <w:lang w:val="es-ES" w:eastAsia="tr-TR"/>
              </w:rPr>
              <w:t>W</w:t>
            </w:r>
            <w:r w:rsidRPr="00604C75">
              <w:rPr>
                <w:sz w:val="16"/>
                <w:szCs w:val="16"/>
                <w:lang w:val="es-ES" w:eastAsia="tr-TR"/>
              </w:rPr>
              <w:t>here</w:t>
            </w:r>
            <w:proofErr w:type="spellEnd"/>
            <w:r w:rsidRPr="00604C75">
              <w:rPr>
                <w:sz w:val="16"/>
                <w:szCs w:val="16"/>
                <w:lang w:val="es-ES" w:eastAsia="tr-TR"/>
              </w:rPr>
              <w:t xml:space="preserve"> </w:t>
            </w:r>
            <w:proofErr w:type="spellStart"/>
            <w:r>
              <w:rPr>
                <w:sz w:val="16"/>
                <w:szCs w:val="16"/>
                <w:lang w:val="es-ES" w:eastAsia="tr-TR"/>
              </w:rPr>
              <w:t>T</w:t>
            </w:r>
            <w:r w:rsidRPr="00604C75">
              <w:rPr>
                <w:sz w:val="16"/>
                <w:szCs w:val="16"/>
                <w:lang w:val="es-ES" w:eastAsia="tr-TR"/>
              </w:rPr>
              <w:t>here</w:t>
            </w:r>
            <w:proofErr w:type="spellEnd"/>
            <w:r w:rsidRPr="00604C75">
              <w:rPr>
                <w:sz w:val="16"/>
                <w:szCs w:val="16"/>
                <w:lang w:val="es-ES" w:eastAsia="tr-TR"/>
              </w:rPr>
              <w:t xml:space="preserve"> are no </w:t>
            </w:r>
            <w:proofErr w:type="spellStart"/>
            <w:r>
              <w:rPr>
                <w:sz w:val="16"/>
                <w:szCs w:val="16"/>
                <w:lang w:val="es-ES" w:eastAsia="tr-TR"/>
              </w:rPr>
              <w:t>A</w:t>
            </w:r>
            <w:r w:rsidRPr="00604C75">
              <w:rPr>
                <w:sz w:val="16"/>
                <w:szCs w:val="16"/>
                <w:lang w:val="es-ES" w:eastAsia="tr-TR"/>
              </w:rPr>
              <w:t>dequate</w:t>
            </w:r>
            <w:proofErr w:type="spellEnd"/>
            <w:r w:rsidRPr="00604C75">
              <w:rPr>
                <w:sz w:val="16"/>
                <w:szCs w:val="16"/>
                <w:lang w:val="es-ES" w:eastAsia="tr-TR"/>
              </w:rPr>
              <w:t xml:space="preserve"> </w:t>
            </w:r>
            <w:proofErr w:type="spellStart"/>
            <w:r w:rsidRPr="00604C75">
              <w:rPr>
                <w:sz w:val="16"/>
                <w:szCs w:val="16"/>
                <w:lang w:val="es-ES" w:eastAsia="tr-TR"/>
              </w:rPr>
              <w:t>Tier</w:t>
            </w:r>
            <w:proofErr w:type="spellEnd"/>
            <w:r w:rsidRPr="00604C75">
              <w:rPr>
                <w:sz w:val="16"/>
                <w:szCs w:val="16"/>
                <w:lang w:val="es-ES" w:eastAsia="tr-TR"/>
              </w:rPr>
              <w:t xml:space="preserve"> II Capital (-)</w:t>
            </w:r>
          </w:p>
        </w:tc>
        <w:tc>
          <w:tcPr>
            <w:tcW w:w="1078" w:type="dxa"/>
            <w:vAlign w:val="bottom"/>
          </w:tcPr>
          <w:p w14:paraId="50F8ACD4" w14:textId="5412FD7E"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6F0B2890" w14:textId="78639294"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729CC9E8" w14:textId="77777777" w:rsidTr="00576E0A">
        <w:trPr>
          <w:cantSplit/>
          <w:trHeight w:val="20"/>
        </w:trPr>
        <w:tc>
          <w:tcPr>
            <w:tcW w:w="7322" w:type="dxa"/>
            <w:shd w:val="clear" w:color="auto" w:fill="auto"/>
            <w:vAlign w:val="bottom"/>
            <w:hideMark/>
          </w:tcPr>
          <w:p w14:paraId="5D1B03E3" w14:textId="77777777" w:rsidR="00224102" w:rsidRPr="00B623B1" w:rsidRDefault="00224102" w:rsidP="00224102">
            <w:pPr>
              <w:spacing w:before="100" w:beforeAutospacing="1" w:after="100" w:afterAutospacing="1" w:line="20" w:lineRule="atLeast"/>
              <w:rPr>
                <w:b/>
                <w:sz w:val="16"/>
                <w:szCs w:val="16"/>
                <w:lang w:val="es-ES" w:eastAsia="tr-TR"/>
              </w:rPr>
            </w:pPr>
            <w:r w:rsidRPr="00E83EAC">
              <w:rPr>
                <w:b/>
                <w:sz w:val="16"/>
                <w:szCs w:val="16"/>
                <w:lang w:val="es-ES" w:eastAsia="tr-TR"/>
              </w:rPr>
              <w:t xml:space="preserve">Total </w:t>
            </w:r>
            <w:proofErr w:type="spellStart"/>
            <w:r w:rsidRPr="00E83EAC">
              <w:rPr>
                <w:b/>
                <w:sz w:val="16"/>
                <w:szCs w:val="16"/>
                <w:lang w:val="es-ES" w:eastAsia="tr-TR"/>
              </w:rPr>
              <w:t>Deductions</w:t>
            </w:r>
            <w:proofErr w:type="spellEnd"/>
            <w:r w:rsidRPr="00E83EAC">
              <w:rPr>
                <w:b/>
                <w:sz w:val="16"/>
                <w:szCs w:val="16"/>
                <w:lang w:val="es-ES" w:eastAsia="tr-TR"/>
              </w:rPr>
              <w:t xml:space="preserve"> </w:t>
            </w:r>
            <w:proofErr w:type="spellStart"/>
            <w:r w:rsidRPr="00E83EAC">
              <w:rPr>
                <w:b/>
                <w:sz w:val="16"/>
                <w:szCs w:val="16"/>
                <w:lang w:val="es-ES" w:eastAsia="tr-TR"/>
              </w:rPr>
              <w:t>from</w:t>
            </w:r>
            <w:proofErr w:type="spellEnd"/>
            <w:r w:rsidRPr="00E83EAC">
              <w:rPr>
                <w:b/>
                <w:sz w:val="16"/>
                <w:szCs w:val="16"/>
                <w:lang w:val="es-ES" w:eastAsia="tr-TR"/>
              </w:rPr>
              <w:t xml:space="preserve"> </w:t>
            </w:r>
            <w:proofErr w:type="spellStart"/>
            <w:r w:rsidRPr="00E83EAC">
              <w:rPr>
                <w:b/>
                <w:sz w:val="16"/>
                <w:szCs w:val="16"/>
                <w:lang w:val="es-ES" w:eastAsia="tr-TR"/>
              </w:rPr>
              <w:t>Additional</w:t>
            </w:r>
            <w:proofErr w:type="spellEnd"/>
            <w:r w:rsidRPr="00E83EAC">
              <w:rPr>
                <w:b/>
                <w:sz w:val="16"/>
                <w:szCs w:val="16"/>
                <w:lang w:val="es-ES" w:eastAsia="tr-TR"/>
              </w:rPr>
              <w:t xml:space="preserve"> </w:t>
            </w:r>
            <w:proofErr w:type="spellStart"/>
            <w:r w:rsidRPr="00E83EAC">
              <w:rPr>
                <w:b/>
                <w:sz w:val="16"/>
                <w:szCs w:val="16"/>
                <w:lang w:val="es-ES" w:eastAsia="tr-TR"/>
              </w:rPr>
              <w:t>Tier</w:t>
            </w:r>
            <w:proofErr w:type="spellEnd"/>
            <w:r w:rsidRPr="00E83EAC">
              <w:rPr>
                <w:b/>
                <w:sz w:val="16"/>
                <w:szCs w:val="16"/>
                <w:lang w:val="es-ES" w:eastAsia="tr-TR"/>
              </w:rPr>
              <w:t xml:space="preserve"> I Capital</w:t>
            </w:r>
          </w:p>
        </w:tc>
        <w:tc>
          <w:tcPr>
            <w:tcW w:w="1078" w:type="dxa"/>
            <w:vAlign w:val="bottom"/>
          </w:tcPr>
          <w:p w14:paraId="70710EDA" w14:textId="284863B4"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3C53B6E9" w14:textId="4C9BDB58"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5D81FCAE" w14:textId="77777777" w:rsidTr="00576E0A">
        <w:trPr>
          <w:cantSplit/>
          <w:trHeight w:val="20"/>
        </w:trPr>
        <w:tc>
          <w:tcPr>
            <w:tcW w:w="7322" w:type="dxa"/>
            <w:shd w:val="clear" w:color="auto" w:fill="auto"/>
            <w:vAlign w:val="bottom"/>
            <w:hideMark/>
          </w:tcPr>
          <w:p w14:paraId="03FAAB24" w14:textId="77777777" w:rsidR="00224102" w:rsidRPr="00B623B1" w:rsidRDefault="00224102" w:rsidP="00224102">
            <w:pPr>
              <w:spacing w:before="100" w:beforeAutospacing="1" w:after="100" w:afterAutospacing="1" w:line="20" w:lineRule="atLeast"/>
              <w:rPr>
                <w:b/>
                <w:sz w:val="16"/>
                <w:szCs w:val="16"/>
                <w:lang w:eastAsia="tr-TR"/>
              </w:rPr>
            </w:pPr>
            <w:r w:rsidRPr="00E83EAC">
              <w:rPr>
                <w:b/>
                <w:sz w:val="16"/>
                <w:szCs w:val="16"/>
                <w:lang w:eastAsia="tr-TR"/>
              </w:rPr>
              <w:t>Total Additional Tier I Capital</w:t>
            </w:r>
          </w:p>
        </w:tc>
        <w:tc>
          <w:tcPr>
            <w:tcW w:w="1078" w:type="dxa"/>
            <w:vAlign w:val="bottom"/>
          </w:tcPr>
          <w:p w14:paraId="4284403F" w14:textId="6D5B4AFD"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66A18541" w14:textId="024255CE"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620CE707" w14:textId="77777777" w:rsidTr="00E83EAC">
        <w:trPr>
          <w:cantSplit/>
          <w:trHeight w:val="127"/>
        </w:trPr>
        <w:tc>
          <w:tcPr>
            <w:tcW w:w="7322" w:type="dxa"/>
            <w:shd w:val="clear" w:color="auto" w:fill="auto"/>
            <w:vAlign w:val="center"/>
            <w:hideMark/>
          </w:tcPr>
          <w:p w14:paraId="5EC798E5" w14:textId="77777777" w:rsidR="00224102" w:rsidRPr="00B623B1" w:rsidRDefault="00224102" w:rsidP="00224102">
            <w:pPr>
              <w:spacing w:before="100" w:beforeAutospacing="1" w:after="100" w:afterAutospacing="1" w:line="20" w:lineRule="atLeast"/>
              <w:jc w:val="center"/>
              <w:rPr>
                <w:b/>
                <w:sz w:val="16"/>
                <w:szCs w:val="16"/>
                <w:lang w:eastAsia="tr-TR"/>
              </w:rPr>
            </w:pPr>
            <w:r w:rsidRPr="00E83EAC">
              <w:rPr>
                <w:b/>
                <w:sz w:val="16"/>
                <w:szCs w:val="16"/>
                <w:lang w:eastAsia="tr-TR"/>
              </w:rPr>
              <w:t>Deductions from Tier I Capital</w:t>
            </w:r>
          </w:p>
        </w:tc>
        <w:tc>
          <w:tcPr>
            <w:tcW w:w="1078" w:type="dxa"/>
            <w:vAlign w:val="bottom"/>
          </w:tcPr>
          <w:p w14:paraId="2A41626F" w14:textId="77777777" w:rsidR="00224102" w:rsidRPr="00692926" w:rsidRDefault="00224102" w:rsidP="009D09BB">
            <w:pPr>
              <w:ind w:right="44"/>
              <w:jc w:val="right"/>
              <w:rPr>
                <w:b/>
              </w:rPr>
            </w:pPr>
          </w:p>
        </w:tc>
        <w:tc>
          <w:tcPr>
            <w:tcW w:w="1078" w:type="dxa"/>
            <w:vAlign w:val="bottom"/>
          </w:tcPr>
          <w:p w14:paraId="2969FC9D" w14:textId="77777777" w:rsidR="00224102" w:rsidRPr="00692926" w:rsidRDefault="00224102" w:rsidP="009D09BB">
            <w:pPr>
              <w:ind w:right="44"/>
              <w:jc w:val="right"/>
              <w:rPr>
                <w:b/>
                <w:bCs/>
                <w:sz w:val="16"/>
                <w:szCs w:val="16"/>
              </w:rPr>
            </w:pPr>
          </w:p>
        </w:tc>
      </w:tr>
      <w:tr w:rsidR="00224102" w:rsidRPr="00604C75" w14:paraId="672E32CA" w14:textId="77777777" w:rsidTr="00576E0A">
        <w:trPr>
          <w:cantSplit/>
          <w:trHeight w:val="20"/>
        </w:trPr>
        <w:tc>
          <w:tcPr>
            <w:tcW w:w="7322" w:type="dxa"/>
            <w:shd w:val="clear" w:color="auto" w:fill="auto"/>
            <w:vAlign w:val="bottom"/>
            <w:hideMark/>
          </w:tcPr>
          <w:p w14:paraId="2407E923" w14:textId="60FEC50B"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 xml:space="preserve">Goodwill and Other Intangible Assets and Related Deferred Taxes not </w:t>
            </w:r>
            <w:r>
              <w:rPr>
                <w:sz w:val="16"/>
                <w:szCs w:val="16"/>
                <w:lang w:eastAsia="tr-TR"/>
              </w:rPr>
              <w:t>D</w:t>
            </w:r>
            <w:r w:rsidRPr="00604C75">
              <w:rPr>
                <w:sz w:val="16"/>
                <w:szCs w:val="16"/>
                <w:lang w:eastAsia="tr-TR"/>
              </w:rPr>
              <w:t>educted from Tier I Capital as per the Temporary Article 2, Clause 1 of the Regulation on Measurement and Assessment of Capital Adequacy Ratios of Banks (-)</w:t>
            </w:r>
          </w:p>
        </w:tc>
        <w:tc>
          <w:tcPr>
            <w:tcW w:w="1078" w:type="dxa"/>
            <w:vAlign w:val="bottom"/>
          </w:tcPr>
          <w:p w14:paraId="5E87A547" w14:textId="1BC7B1BB" w:rsidR="00224102" w:rsidRPr="00692926" w:rsidRDefault="00224102" w:rsidP="009D09BB">
            <w:pPr>
              <w:ind w:right="44"/>
              <w:jc w:val="right"/>
              <w:rPr>
                <w:sz w:val="16"/>
                <w:szCs w:val="16"/>
              </w:rPr>
            </w:pPr>
            <w:r>
              <w:rPr>
                <w:sz w:val="16"/>
                <w:szCs w:val="16"/>
              </w:rPr>
              <w:t>66,246</w:t>
            </w:r>
          </w:p>
        </w:tc>
        <w:tc>
          <w:tcPr>
            <w:tcW w:w="1078" w:type="dxa"/>
            <w:vAlign w:val="bottom"/>
          </w:tcPr>
          <w:p w14:paraId="14DC6C2A" w14:textId="52502ABF" w:rsidR="00224102" w:rsidRPr="00692926" w:rsidRDefault="00224102" w:rsidP="009D09BB">
            <w:pPr>
              <w:ind w:right="44"/>
              <w:jc w:val="right"/>
              <w:rPr>
                <w:sz w:val="16"/>
                <w:szCs w:val="16"/>
              </w:rPr>
            </w:pPr>
            <w:r w:rsidRPr="00692926">
              <w:rPr>
                <w:sz w:val="16"/>
                <w:szCs w:val="16"/>
              </w:rPr>
              <w:t>59,646</w:t>
            </w:r>
          </w:p>
        </w:tc>
      </w:tr>
      <w:tr w:rsidR="00224102" w:rsidRPr="00604C75" w14:paraId="0D9D98F1" w14:textId="77777777" w:rsidTr="00576E0A">
        <w:trPr>
          <w:cantSplit/>
          <w:trHeight w:val="20"/>
        </w:trPr>
        <w:tc>
          <w:tcPr>
            <w:tcW w:w="7322" w:type="dxa"/>
            <w:shd w:val="clear" w:color="auto" w:fill="auto"/>
            <w:vAlign w:val="bottom"/>
            <w:hideMark/>
          </w:tcPr>
          <w:p w14:paraId="725F5DAD" w14:textId="28DA1269"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 xml:space="preserve">Net Deferred Tax Asset/Liability not </w:t>
            </w:r>
            <w:r>
              <w:rPr>
                <w:sz w:val="16"/>
                <w:szCs w:val="16"/>
                <w:lang w:eastAsia="tr-TR"/>
              </w:rPr>
              <w:t>D</w:t>
            </w:r>
            <w:r w:rsidRPr="00604C75">
              <w:rPr>
                <w:sz w:val="16"/>
                <w:szCs w:val="16"/>
                <w:lang w:eastAsia="tr-TR"/>
              </w:rPr>
              <w:t>educted from Tier I Capital as per the Temporary Article 2, Clause 1 of the Regulation on Measurement and Assessment of Capital Adequacy Ratios of Banks (-)</w:t>
            </w:r>
          </w:p>
        </w:tc>
        <w:tc>
          <w:tcPr>
            <w:tcW w:w="1078" w:type="dxa"/>
            <w:vAlign w:val="bottom"/>
          </w:tcPr>
          <w:p w14:paraId="4F999E13" w14:textId="45F5BE6B" w:rsidR="00224102" w:rsidRPr="00391351" w:rsidRDefault="00224102" w:rsidP="009D09BB">
            <w:pPr>
              <w:ind w:right="44"/>
              <w:jc w:val="right"/>
            </w:pPr>
            <w:r w:rsidRPr="00692926">
              <w:rPr>
                <w:sz w:val="16"/>
                <w:szCs w:val="16"/>
              </w:rPr>
              <w:t>-</w:t>
            </w:r>
          </w:p>
        </w:tc>
        <w:tc>
          <w:tcPr>
            <w:tcW w:w="1078" w:type="dxa"/>
            <w:vAlign w:val="bottom"/>
          </w:tcPr>
          <w:p w14:paraId="53520BDA" w14:textId="58A17FDC" w:rsidR="00224102" w:rsidRPr="00692926" w:rsidRDefault="00224102" w:rsidP="009D09BB">
            <w:pPr>
              <w:ind w:right="44"/>
              <w:jc w:val="right"/>
              <w:rPr>
                <w:sz w:val="16"/>
                <w:szCs w:val="16"/>
              </w:rPr>
            </w:pPr>
            <w:r w:rsidRPr="00692926">
              <w:rPr>
                <w:sz w:val="16"/>
                <w:szCs w:val="16"/>
              </w:rPr>
              <w:t>-</w:t>
            </w:r>
          </w:p>
        </w:tc>
      </w:tr>
      <w:tr w:rsidR="00224102" w:rsidRPr="00604C75" w14:paraId="34F770FF" w14:textId="77777777" w:rsidTr="00576E0A">
        <w:trPr>
          <w:cantSplit/>
          <w:trHeight w:val="20"/>
        </w:trPr>
        <w:tc>
          <w:tcPr>
            <w:tcW w:w="7322" w:type="dxa"/>
            <w:shd w:val="clear" w:color="auto" w:fill="auto"/>
            <w:vAlign w:val="bottom"/>
            <w:hideMark/>
          </w:tcPr>
          <w:p w14:paraId="72011ADB" w14:textId="77777777" w:rsidR="00224102" w:rsidRPr="00B623B1" w:rsidRDefault="00224102" w:rsidP="00224102">
            <w:pPr>
              <w:spacing w:before="100" w:beforeAutospacing="1" w:after="100" w:afterAutospacing="1" w:line="20" w:lineRule="atLeast"/>
              <w:rPr>
                <w:b/>
                <w:sz w:val="16"/>
                <w:szCs w:val="16"/>
                <w:lang w:eastAsia="tr-TR"/>
              </w:rPr>
            </w:pPr>
            <w:r w:rsidRPr="00E83EAC">
              <w:rPr>
                <w:b/>
                <w:sz w:val="16"/>
                <w:szCs w:val="16"/>
                <w:lang w:eastAsia="tr-TR"/>
              </w:rPr>
              <w:t>Total Tier I Capital</w:t>
            </w:r>
          </w:p>
        </w:tc>
        <w:tc>
          <w:tcPr>
            <w:tcW w:w="1078" w:type="dxa"/>
            <w:vAlign w:val="bottom"/>
          </w:tcPr>
          <w:p w14:paraId="2F704470" w14:textId="5E08049C" w:rsidR="00224102" w:rsidRPr="00692926" w:rsidRDefault="00224102" w:rsidP="009D09BB">
            <w:pPr>
              <w:ind w:right="44"/>
              <w:jc w:val="right"/>
              <w:rPr>
                <w:b/>
                <w:bCs/>
                <w:sz w:val="16"/>
                <w:szCs w:val="16"/>
              </w:rPr>
            </w:pPr>
            <w:r>
              <w:rPr>
                <w:b/>
                <w:bCs/>
                <w:sz w:val="16"/>
                <w:szCs w:val="16"/>
              </w:rPr>
              <w:t>915,236</w:t>
            </w:r>
          </w:p>
        </w:tc>
        <w:tc>
          <w:tcPr>
            <w:tcW w:w="1078" w:type="dxa"/>
            <w:vAlign w:val="bottom"/>
          </w:tcPr>
          <w:p w14:paraId="00FE405A" w14:textId="1432DD1C" w:rsidR="00224102" w:rsidRPr="00692926" w:rsidRDefault="00224102" w:rsidP="009D09BB">
            <w:pPr>
              <w:ind w:right="44"/>
              <w:jc w:val="right"/>
              <w:rPr>
                <w:b/>
                <w:bCs/>
                <w:sz w:val="16"/>
                <w:szCs w:val="16"/>
              </w:rPr>
            </w:pPr>
            <w:r w:rsidRPr="00692926">
              <w:rPr>
                <w:b/>
                <w:bCs/>
                <w:sz w:val="16"/>
                <w:szCs w:val="16"/>
              </w:rPr>
              <w:t>884,726</w:t>
            </w:r>
          </w:p>
        </w:tc>
      </w:tr>
      <w:tr w:rsidR="00224102" w:rsidRPr="00604C75" w14:paraId="101A55F0" w14:textId="77777777" w:rsidTr="00576E0A">
        <w:trPr>
          <w:cantSplit/>
          <w:trHeight w:val="20"/>
        </w:trPr>
        <w:tc>
          <w:tcPr>
            <w:tcW w:w="7322" w:type="dxa"/>
            <w:shd w:val="clear" w:color="auto" w:fill="auto"/>
            <w:vAlign w:val="bottom"/>
            <w:hideMark/>
          </w:tcPr>
          <w:p w14:paraId="13B6B83D" w14:textId="77777777" w:rsidR="00224102" w:rsidRPr="00604C75" w:rsidRDefault="00224102" w:rsidP="00224102">
            <w:pPr>
              <w:spacing w:before="100" w:beforeAutospacing="1" w:after="100" w:afterAutospacing="1" w:line="20" w:lineRule="atLeast"/>
              <w:jc w:val="center"/>
              <w:rPr>
                <w:b/>
                <w:sz w:val="16"/>
                <w:szCs w:val="16"/>
                <w:lang w:eastAsia="tr-TR"/>
              </w:rPr>
            </w:pPr>
            <w:r w:rsidRPr="00604C75">
              <w:rPr>
                <w:b/>
                <w:sz w:val="16"/>
                <w:szCs w:val="16"/>
                <w:lang w:eastAsia="tr-TR"/>
              </w:rPr>
              <w:t>TIER II CAPITAL</w:t>
            </w:r>
          </w:p>
        </w:tc>
        <w:tc>
          <w:tcPr>
            <w:tcW w:w="1078" w:type="dxa"/>
            <w:vAlign w:val="bottom"/>
          </w:tcPr>
          <w:p w14:paraId="63C6B3B8" w14:textId="77777777" w:rsidR="00224102" w:rsidRPr="00692926" w:rsidRDefault="00224102" w:rsidP="009D09BB">
            <w:pPr>
              <w:tabs>
                <w:tab w:val="left" w:pos="0"/>
              </w:tabs>
              <w:ind w:right="44"/>
              <w:jc w:val="right"/>
              <w:rPr>
                <w:b/>
                <w:bCs/>
                <w:sz w:val="16"/>
                <w:szCs w:val="16"/>
              </w:rPr>
            </w:pPr>
          </w:p>
        </w:tc>
        <w:tc>
          <w:tcPr>
            <w:tcW w:w="1078" w:type="dxa"/>
            <w:vAlign w:val="bottom"/>
          </w:tcPr>
          <w:p w14:paraId="58E97AD6" w14:textId="77777777" w:rsidR="00224102" w:rsidRPr="00692926" w:rsidRDefault="00224102" w:rsidP="009D09BB">
            <w:pPr>
              <w:ind w:right="44"/>
              <w:jc w:val="right"/>
              <w:rPr>
                <w:b/>
                <w:bCs/>
                <w:sz w:val="16"/>
                <w:szCs w:val="16"/>
              </w:rPr>
            </w:pPr>
          </w:p>
        </w:tc>
      </w:tr>
      <w:tr w:rsidR="00224102" w:rsidRPr="00604C75" w14:paraId="33D8F344" w14:textId="77777777" w:rsidTr="00576E0A">
        <w:trPr>
          <w:cantSplit/>
          <w:trHeight w:val="20"/>
        </w:trPr>
        <w:tc>
          <w:tcPr>
            <w:tcW w:w="7322" w:type="dxa"/>
            <w:shd w:val="clear" w:color="auto" w:fill="auto"/>
            <w:vAlign w:val="bottom"/>
            <w:hideMark/>
          </w:tcPr>
          <w:p w14:paraId="5D5F84C5"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Debt Instruments and the Related Issuance Premiums Defined by the BRSA (Issued or Obtained after 1.1.2014)</w:t>
            </w:r>
          </w:p>
        </w:tc>
        <w:tc>
          <w:tcPr>
            <w:tcW w:w="1078" w:type="dxa"/>
            <w:vAlign w:val="bottom"/>
          </w:tcPr>
          <w:p w14:paraId="34755654" w14:textId="3DBE6F38" w:rsidR="00224102" w:rsidRPr="00692926" w:rsidRDefault="00224102" w:rsidP="009D09BB">
            <w:pPr>
              <w:ind w:right="44"/>
              <w:jc w:val="right"/>
            </w:pPr>
            <w:r w:rsidRPr="00692926">
              <w:rPr>
                <w:sz w:val="16"/>
                <w:szCs w:val="16"/>
              </w:rPr>
              <w:t>-</w:t>
            </w:r>
          </w:p>
        </w:tc>
        <w:tc>
          <w:tcPr>
            <w:tcW w:w="1078" w:type="dxa"/>
            <w:vAlign w:val="bottom"/>
          </w:tcPr>
          <w:p w14:paraId="147DA96A" w14:textId="7C83093A" w:rsidR="00224102" w:rsidRPr="00692926" w:rsidRDefault="00224102" w:rsidP="009D09BB">
            <w:pPr>
              <w:ind w:right="44"/>
              <w:jc w:val="right"/>
              <w:rPr>
                <w:sz w:val="16"/>
                <w:szCs w:val="16"/>
              </w:rPr>
            </w:pPr>
            <w:r w:rsidRPr="00692926">
              <w:rPr>
                <w:sz w:val="16"/>
                <w:szCs w:val="16"/>
                <w:lang w:eastAsia="tr-TR"/>
              </w:rPr>
              <w:t>-</w:t>
            </w:r>
          </w:p>
        </w:tc>
      </w:tr>
      <w:tr w:rsidR="00224102" w:rsidRPr="00604C75" w14:paraId="143DF36E" w14:textId="77777777" w:rsidTr="00576E0A">
        <w:trPr>
          <w:cantSplit/>
          <w:trHeight w:val="20"/>
        </w:trPr>
        <w:tc>
          <w:tcPr>
            <w:tcW w:w="7322" w:type="dxa"/>
            <w:shd w:val="clear" w:color="auto" w:fill="auto"/>
            <w:vAlign w:val="bottom"/>
            <w:hideMark/>
          </w:tcPr>
          <w:p w14:paraId="24F9548B"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Debt Instruments and the Related Issuance Premiums Defined by the BRSA (Issued or Obtained before 1.1.2014)</w:t>
            </w:r>
          </w:p>
        </w:tc>
        <w:tc>
          <w:tcPr>
            <w:tcW w:w="1078" w:type="dxa"/>
            <w:vAlign w:val="bottom"/>
          </w:tcPr>
          <w:p w14:paraId="0C2D0E00" w14:textId="5F3C0A67" w:rsidR="00224102" w:rsidRPr="00692926" w:rsidRDefault="00224102" w:rsidP="009D09BB">
            <w:pPr>
              <w:tabs>
                <w:tab w:val="left" w:pos="0"/>
              </w:tabs>
              <w:ind w:right="44"/>
              <w:jc w:val="right"/>
              <w:rPr>
                <w:bCs/>
                <w:sz w:val="16"/>
                <w:szCs w:val="16"/>
              </w:rPr>
            </w:pPr>
            <w:r>
              <w:rPr>
                <w:bCs/>
                <w:sz w:val="16"/>
                <w:szCs w:val="16"/>
              </w:rPr>
              <w:t>660,989</w:t>
            </w:r>
          </w:p>
        </w:tc>
        <w:tc>
          <w:tcPr>
            <w:tcW w:w="1078" w:type="dxa"/>
            <w:vAlign w:val="bottom"/>
          </w:tcPr>
          <w:p w14:paraId="377EBDA3" w14:textId="394B5709" w:rsidR="00224102" w:rsidRPr="00692926" w:rsidRDefault="00224102" w:rsidP="009D09BB">
            <w:pPr>
              <w:ind w:right="44"/>
              <w:jc w:val="right"/>
              <w:rPr>
                <w:sz w:val="16"/>
                <w:szCs w:val="16"/>
              </w:rPr>
            </w:pPr>
            <w:r w:rsidRPr="00692926">
              <w:rPr>
                <w:sz w:val="16"/>
                <w:szCs w:val="16"/>
                <w:lang w:eastAsia="tr-TR"/>
              </w:rPr>
              <w:t>329,141</w:t>
            </w:r>
          </w:p>
        </w:tc>
      </w:tr>
      <w:tr w:rsidR="00224102" w:rsidRPr="00604C75" w14:paraId="1580C7BC" w14:textId="77777777" w:rsidTr="00576E0A">
        <w:trPr>
          <w:cantSplit/>
          <w:trHeight w:val="20"/>
        </w:trPr>
        <w:tc>
          <w:tcPr>
            <w:tcW w:w="7322" w:type="dxa"/>
            <w:shd w:val="clear" w:color="auto" w:fill="auto"/>
            <w:vAlign w:val="bottom"/>
            <w:hideMark/>
          </w:tcPr>
          <w:p w14:paraId="27B074F1" w14:textId="6F06F50B"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Pledged Assets of the Shareholders to be used for the Bank</w:t>
            </w:r>
            <w:r w:rsidR="00B85547">
              <w:rPr>
                <w:sz w:val="16"/>
                <w:szCs w:val="16"/>
                <w:lang w:eastAsia="tr-TR"/>
              </w:rPr>
              <w:t>’</w:t>
            </w:r>
            <w:r w:rsidRPr="00604C75">
              <w:rPr>
                <w:sz w:val="16"/>
                <w:szCs w:val="16"/>
                <w:lang w:eastAsia="tr-TR"/>
              </w:rPr>
              <w:t>s Capital Increases</w:t>
            </w:r>
          </w:p>
        </w:tc>
        <w:tc>
          <w:tcPr>
            <w:tcW w:w="1078" w:type="dxa"/>
            <w:vAlign w:val="bottom"/>
          </w:tcPr>
          <w:p w14:paraId="3782FAF2" w14:textId="0BAA2254" w:rsidR="00224102" w:rsidRPr="00692926" w:rsidRDefault="00224102" w:rsidP="009D09BB">
            <w:pPr>
              <w:tabs>
                <w:tab w:val="left" w:pos="0"/>
              </w:tabs>
              <w:ind w:right="44"/>
              <w:jc w:val="right"/>
              <w:rPr>
                <w:bCs/>
                <w:sz w:val="16"/>
                <w:szCs w:val="16"/>
              </w:rPr>
            </w:pPr>
            <w:r>
              <w:rPr>
                <w:bCs/>
                <w:sz w:val="16"/>
                <w:szCs w:val="16"/>
              </w:rPr>
              <w:t>-</w:t>
            </w:r>
          </w:p>
        </w:tc>
        <w:tc>
          <w:tcPr>
            <w:tcW w:w="1078" w:type="dxa"/>
            <w:vAlign w:val="bottom"/>
          </w:tcPr>
          <w:p w14:paraId="36E1F500" w14:textId="53AB12AE" w:rsidR="00224102" w:rsidRPr="00692926" w:rsidRDefault="00224102" w:rsidP="009D09BB">
            <w:pPr>
              <w:ind w:right="44"/>
              <w:jc w:val="right"/>
              <w:rPr>
                <w:sz w:val="16"/>
                <w:szCs w:val="16"/>
              </w:rPr>
            </w:pPr>
            <w:r w:rsidRPr="00692926">
              <w:rPr>
                <w:sz w:val="16"/>
                <w:szCs w:val="16"/>
              </w:rPr>
              <w:t>-</w:t>
            </w:r>
          </w:p>
        </w:tc>
      </w:tr>
      <w:tr w:rsidR="00224102" w:rsidRPr="00604C75" w14:paraId="5ABCF234" w14:textId="77777777" w:rsidTr="00576E0A">
        <w:trPr>
          <w:cantSplit/>
          <w:trHeight w:val="20"/>
        </w:trPr>
        <w:tc>
          <w:tcPr>
            <w:tcW w:w="7322" w:type="dxa"/>
            <w:shd w:val="clear" w:color="auto" w:fill="auto"/>
            <w:vAlign w:val="bottom"/>
            <w:hideMark/>
          </w:tcPr>
          <w:p w14:paraId="087B3CC2" w14:textId="77777777" w:rsidR="00224102" w:rsidRPr="00604C75" w:rsidRDefault="00224102" w:rsidP="00D15467">
            <w:pPr>
              <w:spacing w:before="100" w:beforeAutospacing="1" w:after="100" w:afterAutospacing="1" w:line="20" w:lineRule="atLeast"/>
              <w:rPr>
                <w:sz w:val="16"/>
                <w:szCs w:val="16"/>
                <w:lang w:eastAsia="tr-TR"/>
              </w:rPr>
            </w:pPr>
            <w:r w:rsidRPr="00604C75">
              <w:rPr>
                <w:sz w:val="16"/>
                <w:szCs w:val="16"/>
                <w:lang w:eastAsia="tr-TR"/>
              </w:rPr>
              <w:t>General Provisions</w:t>
            </w:r>
          </w:p>
        </w:tc>
        <w:tc>
          <w:tcPr>
            <w:tcW w:w="1078" w:type="dxa"/>
            <w:vAlign w:val="bottom"/>
          </w:tcPr>
          <w:p w14:paraId="7AD6A08F" w14:textId="2D158736" w:rsidR="00224102" w:rsidRPr="00692926" w:rsidRDefault="00224102" w:rsidP="009D09BB">
            <w:pPr>
              <w:tabs>
                <w:tab w:val="left" w:pos="0"/>
              </w:tabs>
              <w:ind w:right="44"/>
              <w:jc w:val="right"/>
              <w:rPr>
                <w:bCs/>
                <w:sz w:val="16"/>
                <w:szCs w:val="16"/>
              </w:rPr>
            </w:pPr>
            <w:r>
              <w:rPr>
                <w:bCs/>
                <w:sz w:val="16"/>
                <w:szCs w:val="16"/>
              </w:rPr>
              <w:t>93,386</w:t>
            </w:r>
          </w:p>
        </w:tc>
        <w:tc>
          <w:tcPr>
            <w:tcW w:w="1078" w:type="dxa"/>
            <w:vAlign w:val="bottom"/>
          </w:tcPr>
          <w:p w14:paraId="16DA9619" w14:textId="107F4CC6" w:rsidR="00224102" w:rsidRPr="00692926" w:rsidRDefault="00224102" w:rsidP="009D09BB">
            <w:pPr>
              <w:ind w:right="44"/>
              <w:jc w:val="right"/>
              <w:rPr>
                <w:sz w:val="16"/>
                <w:szCs w:val="16"/>
              </w:rPr>
            </w:pPr>
            <w:r w:rsidRPr="00692926">
              <w:rPr>
                <w:sz w:val="16"/>
                <w:szCs w:val="16"/>
              </w:rPr>
              <w:t>62,858</w:t>
            </w:r>
          </w:p>
        </w:tc>
      </w:tr>
      <w:tr w:rsidR="00224102" w:rsidRPr="00604C75" w14:paraId="0C90BE91" w14:textId="77777777" w:rsidTr="00576E0A">
        <w:trPr>
          <w:cantSplit/>
          <w:trHeight w:val="20"/>
        </w:trPr>
        <w:tc>
          <w:tcPr>
            <w:tcW w:w="7322" w:type="dxa"/>
            <w:shd w:val="clear" w:color="auto" w:fill="auto"/>
            <w:vAlign w:val="bottom"/>
            <w:hideMark/>
          </w:tcPr>
          <w:p w14:paraId="1DA4ACC7" w14:textId="510110B3" w:rsidR="00224102" w:rsidRPr="00604C75" w:rsidRDefault="00224102" w:rsidP="00224102">
            <w:pPr>
              <w:spacing w:before="100" w:beforeAutospacing="1" w:after="100" w:afterAutospacing="1" w:line="20" w:lineRule="atLeast"/>
              <w:rPr>
                <w:b/>
                <w:sz w:val="16"/>
                <w:szCs w:val="16"/>
                <w:lang w:eastAsia="tr-TR"/>
              </w:rPr>
            </w:pPr>
            <w:r w:rsidRPr="00604C75">
              <w:rPr>
                <w:b/>
                <w:sz w:val="16"/>
                <w:szCs w:val="16"/>
                <w:lang w:eastAsia="tr-TR"/>
              </w:rPr>
              <w:t xml:space="preserve">Tier II Capital </w:t>
            </w:r>
            <w:r>
              <w:rPr>
                <w:b/>
                <w:sz w:val="16"/>
                <w:szCs w:val="16"/>
                <w:lang w:eastAsia="tr-TR"/>
              </w:rPr>
              <w:t>B</w:t>
            </w:r>
            <w:r w:rsidRPr="00604C75">
              <w:rPr>
                <w:b/>
                <w:sz w:val="16"/>
                <w:szCs w:val="16"/>
                <w:lang w:eastAsia="tr-TR"/>
              </w:rPr>
              <w:t>efore Deductions</w:t>
            </w:r>
          </w:p>
        </w:tc>
        <w:tc>
          <w:tcPr>
            <w:tcW w:w="1078" w:type="dxa"/>
            <w:vAlign w:val="bottom"/>
          </w:tcPr>
          <w:p w14:paraId="518519BF" w14:textId="6958978B" w:rsidR="00224102" w:rsidRPr="008D2BEE" w:rsidRDefault="00224102" w:rsidP="009D09BB">
            <w:pPr>
              <w:ind w:right="44"/>
              <w:jc w:val="right"/>
              <w:rPr>
                <w:b/>
                <w:bCs/>
                <w:sz w:val="16"/>
                <w:szCs w:val="16"/>
              </w:rPr>
            </w:pPr>
            <w:r>
              <w:rPr>
                <w:b/>
                <w:bCs/>
                <w:sz w:val="16"/>
                <w:szCs w:val="16"/>
              </w:rPr>
              <w:t>754,375</w:t>
            </w:r>
          </w:p>
        </w:tc>
        <w:tc>
          <w:tcPr>
            <w:tcW w:w="1078" w:type="dxa"/>
            <w:vAlign w:val="bottom"/>
          </w:tcPr>
          <w:p w14:paraId="7A398ADA" w14:textId="3F0524F7" w:rsidR="00224102" w:rsidRPr="00692926" w:rsidRDefault="00224102" w:rsidP="009D09BB">
            <w:pPr>
              <w:ind w:right="44"/>
              <w:jc w:val="right"/>
              <w:rPr>
                <w:b/>
                <w:bCs/>
                <w:sz w:val="16"/>
                <w:szCs w:val="16"/>
              </w:rPr>
            </w:pPr>
            <w:r w:rsidRPr="00692926">
              <w:rPr>
                <w:b/>
                <w:bCs/>
                <w:sz w:val="16"/>
                <w:szCs w:val="16"/>
              </w:rPr>
              <w:t>391,999</w:t>
            </w:r>
          </w:p>
        </w:tc>
      </w:tr>
      <w:tr w:rsidR="00224102" w:rsidRPr="00604C75" w14:paraId="77D5C61C" w14:textId="77777777" w:rsidTr="00576E0A">
        <w:trPr>
          <w:cantSplit/>
          <w:trHeight w:val="20"/>
        </w:trPr>
        <w:tc>
          <w:tcPr>
            <w:tcW w:w="7322" w:type="dxa"/>
            <w:shd w:val="clear" w:color="auto" w:fill="auto"/>
            <w:vAlign w:val="bottom"/>
            <w:hideMark/>
          </w:tcPr>
          <w:p w14:paraId="27EB6D69" w14:textId="77777777" w:rsidR="00224102" w:rsidRPr="00604C75" w:rsidRDefault="00224102" w:rsidP="00224102">
            <w:pPr>
              <w:spacing w:before="100" w:beforeAutospacing="1" w:after="100" w:afterAutospacing="1" w:line="20" w:lineRule="atLeast"/>
              <w:jc w:val="center"/>
              <w:rPr>
                <w:b/>
                <w:sz w:val="16"/>
                <w:szCs w:val="16"/>
                <w:lang w:eastAsia="tr-TR"/>
              </w:rPr>
            </w:pPr>
            <w:r w:rsidRPr="00604C75">
              <w:rPr>
                <w:b/>
                <w:sz w:val="16"/>
                <w:szCs w:val="16"/>
                <w:lang w:eastAsia="tr-TR"/>
              </w:rPr>
              <w:t>Deductions from Tier II Capital</w:t>
            </w:r>
          </w:p>
        </w:tc>
        <w:tc>
          <w:tcPr>
            <w:tcW w:w="1078" w:type="dxa"/>
            <w:vAlign w:val="bottom"/>
          </w:tcPr>
          <w:p w14:paraId="0DD1197C" w14:textId="0349DB22"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29CB5056" w14:textId="14129878"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265C5C6B" w14:textId="77777777" w:rsidTr="00576E0A">
        <w:trPr>
          <w:cantSplit/>
          <w:trHeight w:val="20"/>
        </w:trPr>
        <w:tc>
          <w:tcPr>
            <w:tcW w:w="7322" w:type="dxa"/>
            <w:shd w:val="clear" w:color="auto" w:fill="auto"/>
            <w:vAlign w:val="bottom"/>
            <w:hideMark/>
          </w:tcPr>
          <w:p w14:paraId="5F1E1C54"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Direct and Indirect Investments of the Bank on its own Tier II Capital (-)</w:t>
            </w:r>
          </w:p>
        </w:tc>
        <w:tc>
          <w:tcPr>
            <w:tcW w:w="1078" w:type="dxa"/>
            <w:vAlign w:val="bottom"/>
          </w:tcPr>
          <w:p w14:paraId="21319B9C" w14:textId="6BFCE14C"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072B6207" w14:textId="6B8C06EE"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292CBB97" w14:textId="77777777" w:rsidTr="00576E0A">
        <w:trPr>
          <w:cantSplit/>
          <w:trHeight w:val="20"/>
        </w:trPr>
        <w:tc>
          <w:tcPr>
            <w:tcW w:w="7322" w:type="dxa"/>
            <w:shd w:val="clear" w:color="auto" w:fill="auto"/>
            <w:vAlign w:val="bottom"/>
            <w:hideMark/>
          </w:tcPr>
          <w:p w14:paraId="40523F5A" w14:textId="77777777"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Total of Net Long Positions of the Investments in Equity Items of Unconsolidated Banks and Financial Institutions where the Bank Owns 10% or less of the Issued Share Capital Exceeding the 10% Threshold of above Tier I Capital (-)</w:t>
            </w:r>
          </w:p>
        </w:tc>
        <w:tc>
          <w:tcPr>
            <w:tcW w:w="1078" w:type="dxa"/>
            <w:vAlign w:val="bottom"/>
          </w:tcPr>
          <w:p w14:paraId="2E55284D" w14:textId="00B0E09C"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13F7EC30" w14:textId="11B92F3E"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6C6D5319" w14:textId="77777777" w:rsidTr="00576E0A">
        <w:trPr>
          <w:cantSplit/>
          <w:trHeight w:val="20"/>
        </w:trPr>
        <w:tc>
          <w:tcPr>
            <w:tcW w:w="7322" w:type="dxa"/>
            <w:shd w:val="clear" w:color="auto" w:fill="auto"/>
            <w:vAlign w:val="bottom"/>
            <w:hideMark/>
          </w:tcPr>
          <w:p w14:paraId="342554A4" w14:textId="30EA729A" w:rsidR="00224102" w:rsidRPr="00604C75" w:rsidRDefault="00224102" w:rsidP="00A041CD">
            <w:pPr>
              <w:spacing w:before="100" w:beforeAutospacing="1" w:after="100" w:afterAutospacing="1" w:line="20" w:lineRule="atLeast"/>
              <w:rPr>
                <w:sz w:val="16"/>
                <w:szCs w:val="16"/>
                <w:lang w:eastAsia="tr-TR"/>
              </w:rPr>
            </w:pPr>
            <w:r w:rsidRPr="00604C75">
              <w:rPr>
                <w:sz w:val="16"/>
                <w:szCs w:val="16"/>
                <w:lang w:eastAsia="tr-TR"/>
              </w:rPr>
              <w:t xml:space="preserve">The Total of Net Long Position of the Direct or Indirect Investments in Additional Core Capital and Tier II Capital of Unconsolidated Banks and Financial Institutions </w:t>
            </w:r>
            <w:r>
              <w:rPr>
                <w:sz w:val="16"/>
                <w:szCs w:val="16"/>
                <w:lang w:eastAsia="tr-TR"/>
              </w:rPr>
              <w:t>W</w:t>
            </w:r>
            <w:r w:rsidRPr="00604C75">
              <w:rPr>
                <w:sz w:val="16"/>
                <w:szCs w:val="16"/>
                <w:lang w:eastAsia="tr-TR"/>
              </w:rPr>
              <w:t>here the Bank Owns 10% or more of the Issued Share Capital Exceeding the 10% Threshold of Tier I Capital (-)</w:t>
            </w:r>
          </w:p>
        </w:tc>
        <w:tc>
          <w:tcPr>
            <w:tcW w:w="1078" w:type="dxa"/>
            <w:vAlign w:val="bottom"/>
          </w:tcPr>
          <w:p w14:paraId="172CE7AE" w14:textId="674EA053"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30C0B85B" w14:textId="3DF2CCF6"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7FF7CB65" w14:textId="77777777" w:rsidTr="00576E0A">
        <w:trPr>
          <w:cantSplit/>
          <w:trHeight w:val="20"/>
        </w:trPr>
        <w:tc>
          <w:tcPr>
            <w:tcW w:w="7322" w:type="dxa"/>
            <w:shd w:val="clear" w:color="auto" w:fill="auto"/>
            <w:vAlign w:val="bottom"/>
            <w:hideMark/>
          </w:tcPr>
          <w:p w14:paraId="3919D055" w14:textId="2D3B540A" w:rsidR="00224102" w:rsidRPr="00604C75" w:rsidRDefault="00224102" w:rsidP="00224102">
            <w:pPr>
              <w:spacing w:before="100" w:beforeAutospacing="1" w:after="100" w:afterAutospacing="1" w:line="20" w:lineRule="atLeast"/>
              <w:rPr>
                <w:sz w:val="16"/>
                <w:szCs w:val="16"/>
                <w:lang w:eastAsia="tr-TR"/>
              </w:rPr>
            </w:pPr>
            <w:r w:rsidRPr="00604C75">
              <w:rPr>
                <w:sz w:val="16"/>
                <w:szCs w:val="16"/>
                <w:lang w:eastAsia="tr-TR"/>
              </w:rPr>
              <w:t xml:space="preserve">Other </w:t>
            </w:r>
            <w:r>
              <w:rPr>
                <w:sz w:val="16"/>
                <w:szCs w:val="16"/>
                <w:lang w:eastAsia="tr-TR"/>
              </w:rPr>
              <w:t>I</w:t>
            </w:r>
            <w:r w:rsidRPr="00604C75">
              <w:rPr>
                <w:sz w:val="16"/>
                <w:szCs w:val="16"/>
                <w:lang w:eastAsia="tr-TR"/>
              </w:rPr>
              <w:t>tems to be Defined by the BRSA (-)</w:t>
            </w:r>
          </w:p>
        </w:tc>
        <w:tc>
          <w:tcPr>
            <w:tcW w:w="1078" w:type="dxa"/>
            <w:vAlign w:val="bottom"/>
          </w:tcPr>
          <w:p w14:paraId="2E5A163C" w14:textId="74223A38"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5113CEF7" w14:textId="55B34A29"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69D92E62" w14:textId="77777777" w:rsidTr="00576E0A">
        <w:trPr>
          <w:cantSplit/>
          <w:trHeight w:val="20"/>
        </w:trPr>
        <w:tc>
          <w:tcPr>
            <w:tcW w:w="7322" w:type="dxa"/>
            <w:shd w:val="clear" w:color="auto" w:fill="auto"/>
            <w:vAlign w:val="bottom"/>
            <w:hideMark/>
          </w:tcPr>
          <w:p w14:paraId="6042D095" w14:textId="77777777" w:rsidR="00224102" w:rsidRPr="00604C75" w:rsidRDefault="00224102" w:rsidP="00224102">
            <w:pPr>
              <w:spacing w:before="100" w:beforeAutospacing="1" w:after="100" w:afterAutospacing="1" w:line="20" w:lineRule="atLeast"/>
              <w:rPr>
                <w:b/>
                <w:sz w:val="16"/>
                <w:szCs w:val="16"/>
                <w:lang w:eastAsia="tr-TR"/>
              </w:rPr>
            </w:pPr>
            <w:r w:rsidRPr="00604C75">
              <w:rPr>
                <w:b/>
                <w:sz w:val="16"/>
                <w:szCs w:val="16"/>
                <w:lang w:eastAsia="tr-TR"/>
              </w:rPr>
              <w:t>Total Deductions from Tier II Capital</w:t>
            </w:r>
          </w:p>
        </w:tc>
        <w:tc>
          <w:tcPr>
            <w:tcW w:w="1078" w:type="dxa"/>
            <w:vAlign w:val="bottom"/>
          </w:tcPr>
          <w:p w14:paraId="7E48DDBC" w14:textId="225AE4C1"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c>
          <w:tcPr>
            <w:tcW w:w="1078" w:type="dxa"/>
            <w:vAlign w:val="bottom"/>
          </w:tcPr>
          <w:p w14:paraId="4C6F6DEE" w14:textId="56C996CF" w:rsidR="00224102" w:rsidRPr="00692926" w:rsidRDefault="00224102" w:rsidP="009D09BB">
            <w:pPr>
              <w:spacing w:before="100" w:beforeAutospacing="1" w:after="100" w:afterAutospacing="1" w:line="20" w:lineRule="atLeast"/>
              <w:ind w:right="44"/>
              <w:jc w:val="right"/>
              <w:rPr>
                <w:sz w:val="16"/>
                <w:szCs w:val="16"/>
                <w:lang w:eastAsia="tr-TR"/>
              </w:rPr>
            </w:pPr>
            <w:r w:rsidRPr="00692926">
              <w:rPr>
                <w:sz w:val="16"/>
                <w:szCs w:val="16"/>
                <w:lang w:eastAsia="tr-TR"/>
              </w:rPr>
              <w:t>-</w:t>
            </w:r>
          </w:p>
        </w:tc>
      </w:tr>
      <w:tr w:rsidR="00224102" w:rsidRPr="00604C75" w14:paraId="54BF05B1" w14:textId="77777777" w:rsidTr="00576E0A">
        <w:trPr>
          <w:cantSplit/>
          <w:trHeight w:val="70"/>
        </w:trPr>
        <w:tc>
          <w:tcPr>
            <w:tcW w:w="7322" w:type="dxa"/>
            <w:shd w:val="clear" w:color="auto" w:fill="auto"/>
            <w:vAlign w:val="bottom"/>
            <w:hideMark/>
          </w:tcPr>
          <w:p w14:paraId="4BD54728" w14:textId="77777777" w:rsidR="00224102" w:rsidRPr="00604C75" w:rsidRDefault="00224102" w:rsidP="009D09BB">
            <w:pPr>
              <w:spacing w:before="100" w:beforeAutospacing="1" w:after="100" w:afterAutospacing="1" w:line="20" w:lineRule="atLeast"/>
              <w:rPr>
                <w:b/>
                <w:sz w:val="16"/>
                <w:szCs w:val="16"/>
                <w:lang w:eastAsia="tr-TR"/>
              </w:rPr>
            </w:pPr>
            <w:r w:rsidRPr="00604C75">
              <w:rPr>
                <w:b/>
                <w:sz w:val="16"/>
                <w:szCs w:val="16"/>
                <w:lang w:eastAsia="tr-TR"/>
              </w:rPr>
              <w:t>Total Tier II Capital</w:t>
            </w:r>
          </w:p>
        </w:tc>
        <w:tc>
          <w:tcPr>
            <w:tcW w:w="1078" w:type="dxa"/>
            <w:vAlign w:val="bottom"/>
          </w:tcPr>
          <w:p w14:paraId="5017B667" w14:textId="635309CE" w:rsidR="00224102" w:rsidRPr="00692926" w:rsidRDefault="00224102" w:rsidP="009D09BB">
            <w:pPr>
              <w:pStyle w:val="NormalIndent"/>
              <w:ind w:left="0" w:right="44"/>
              <w:jc w:val="right"/>
              <w:rPr>
                <w:b/>
                <w:bCs/>
                <w:sz w:val="16"/>
                <w:szCs w:val="16"/>
              </w:rPr>
            </w:pPr>
            <w:r>
              <w:rPr>
                <w:b/>
                <w:bCs/>
                <w:sz w:val="16"/>
                <w:szCs w:val="16"/>
              </w:rPr>
              <w:t>754,375</w:t>
            </w:r>
          </w:p>
        </w:tc>
        <w:tc>
          <w:tcPr>
            <w:tcW w:w="1078" w:type="dxa"/>
            <w:vAlign w:val="bottom"/>
          </w:tcPr>
          <w:p w14:paraId="38BD6456" w14:textId="7C3D58D4" w:rsidR="00224102" w:rsidRPr="00692926" w:rsidRDefault="00224102" w:rsidP="009D09BB">
            <w:pPr>
              <w:spacing w:before="100" w:beforeAutospacing="1" w:after="100" w:afterAutospacing="1" w:line="20" w:lineRule="atLeast"/>
              <w:ind w:right="44"/>
              <w:jc w:val="right"/>
              <w:rPr>
                <w:b/>
                <w:sz w:val="16"/>
                <w:szCs w:val="16"/>
                <w:lang w:eastAsia="tr-TR"/>
              </w:rPr>
            </w:pPr>
            <w:r w:rsidRPr="00692926">
              <w:rPr>
                <w:b/>
                <w:sz w:val="16"/>
                <w:szCs w:val="16"/>
                <w:lang w:eastAsia="tr-TR"/>
              </w:rPr>
              <w:t>391,999</w:t>
            </w:r>
          </w:p>
        </w:tc>
      </w:tr>
    </w:tbl>
    <w:p w14:paraId="3F4A37F5" w14:textId="77777777" w:rsidR="00585656" w:rsidRPr="00604C75" w:rsidRDefault="00585656" w:rsidP="00585656">
      <w:pPr>
        <w:ind w:left="1701" w:hanging="425"/>
        <w:jc w:val="both"/>
        <w:rPr>
          <w:sz w:val="18"/>
          <w:szCs w:val="18"/>
        </w:rPr>
        <w:sectPr w:rsidR="00585656" w:rsidRPr="00604C75" w:rsidSect="00F142CB">
          <w:headerReference w:type="default" r:id="rId21"/>
          <w:type w:val="continuous"/>
          <w:pgSz w:w="11906" w:h="16838" w:code="9"/>
          <w:pgMar w:top="1134" w:right="1416" w:bottom="720" w:left="1418" w:header="851" w:footer="851" w:gutter="0"/>
          <w:cols w:space="708"/>
          <w:docGrid w:linePitch="360"/>
        </w:sectPr>
      </w:pPr>
    </w:p>
    <w:p w14:paraId="56C6F696" w14:textId="77777777" w:rsidR="00A041CD" w:rsidRPr="00604C75" w:rsidRDefault="00A041CD" w:rsidP="00A041CD">
      <w:pPr>
        <w:pStyle w:val="NormalIndent"/>
        <w:pageBreakBefore/>
        <w:widowControl w:val="0"/>
        <w:spacing w:line="216" w:lineRule="auto"/>
        <w:ind w:left="0"/>
        <w:jc w:val="both"/>
        <w:rPr>
          <w:b/>
          <w:bCs/>
          <w:noProof/>
          <w:lang w:val="tr-TR"/>
        </w:rPr>
      </w:pPr>
      <w:r w:rsidRPr="00604C75">
        <w:rPr>
          <w:b/>
          <w:bCs/>
          <w:noProof/>
          <w:lang w:val="tr-TR"/>
        </w:rPr>
        <w:lastRenderedPageBreak/>
        <w:t xml:space="preserve">INFORMATION </w:t>
      </w:r>
      <w:r>
        <w:rPr>
          <w:b/>
          <w:bCs/>
          <w:noProof/>
          <w:lang w:val="tr-TR"/>
        </w:rPr>
        <w:t>ON THE</w:t>
      </w:r>
      <w:r w:rsidRPr="00604C75">
        <w:rPr>
          <w:b/>
          <w:bCs/>
          <w:noProof/>
          <w:lang w:val="tr-TR"/>
        </w:rPr>
        <w:t xml:space="preserve"> FINANCIAL POSITION OF THE GROUP (Continued)</w:t>
      </w:r>
    </w:p>
    <w:p w14:paraId="5E405A30" w14:textId="77777777" w:rsidR="00BC28BB" w:rsidRPr="00604C75" w:rsidRDefault="00BC28BB" w:rsidP="00BC28BB">
      <w:pPr>
        <w:pStyle w:val="NormalIndent"/>
        <w:widowControl w:val="0"/>
        <w:spacing w:line="216" w:lineRule="auto"/>
        <w:ind w:left="0" w:right="2"/>
        <w:jc w:val="both"/>
        <w:rPr>
          <w:b/>
          <w:noProof/>
          <w:lang w:val="tr-TR"/>
        </w:rPr>
      </w:pPr>
    </w:p>
    <w:p w14:paraId="65D0D3C1" w14:textId="77777777" w:rsidR="00755F2C" w:rsidRPr="00604C75" w:rsidRDefault="00755F2C" w:rsidP="008477F3">
      <w:pPr>
        <w:pStyle w:val="BodyTextIndent"/>
        <w:numPr>
          <w:ilvl w:val="0"/>
          <w:numId w:val="57"/>
        </w:numPr>
        <w:tabs>
          <w:tab w:val="left" w:pos="1276"/>
        </w:tabs>
        <w:spacing w:after="0" w:line="221" w:lineRule="auto"/>
        <w:ind w:left="546" w:hanging="546"/>
        <w:jc w:val="both"/>
        <w:rPr>
          <w:b/>
          <w:noProof/>
          <w:sz w:val="20"/>
          <w:szCs w:val="20"/>
          <w:lang w:val="tr-TR"/>
        </w:rPr>
      </w:pPr>
      <w:r w:rsidRPr="00604C75">
        <w:rPr>
          <w:b/>
          <w:noProof/>
          <w:sz w:val="20"/>
          <w:lang w:val="tr-TR"/>
        </w:rPr>
        <w:t>I</w:t>
      </w:r>
      <w:r w:rsidR="001A5316" w:rsidRPr="00604C75">
        <w:rPr>
          <w:b/>
          <w:noProof/>
          <w:sz w:val="20"/>
          <w:lang w:val="tr-TR"/>
        </w:rPr>
        <w:t>nformation</w:t>
      </w:r>
      <w:r w:rsidRPr="00604C75">
        <w:rPr>
          <w:b/>
          <w:noProof/>
          <w:sz w:val="20"/>
          <w:lang w:val="tr-TR"/>
        </w:rPr>
        <w:t xml:space="preserve"> </w:t>
      </w:r>
      <w:r w:rsidR="001A5316" w:rsidRPr="00604C75">
        <w:rPr>
          <w:b/>
          <w:noProof/>
          <w:sz w:val="20"/>
          <w:lang w:val="tr-TR"/>
        </w:rPr>
        <w:t>on Capital Adequacy Ratio</w:t>
      </w:r>
      <w:r w:rsidR="001A5316" w:rsidRPr="00604C75" w:rsidDel="00613F85">
        <w:rPr>
          <w:b/>
          <w:noProof/>
          <w:sz w:val="20"/>
          <w:lang w:val="tr-TR"/>
        </w:rPr>
        <w:t xml:space="preserve"> </w:t>
      </w:r>
      <w:r w:rsidR="001A5316" w:rsidRPr="00604C75">
        <w:rPr>
          <w:b/>
          <w:bCs/>
          <w:noProof/>
          <w:sz w:val="20"/>
          <w:lang w:val="tr-TR"/>
        </w:rPr>
        <w:t>(Continued)</w:t>
      </w:r>
    </w:p>
    <w:p w14:paraId="175877AB" w14:textId="77777777" w:rsidR="00755F2C" w:rsidRPr="00604C75" w:rsidRDefault="00755F2C" w:rsidP="00BC28BB">
      <w:pPr>
        <w:pStyle w:val="NormalIndent"/>
        <w:widowControl w:val="0"/>
        <w:spacing w:line="216" w:lineRule="auto"/>
        <w:ind w:left="0" w:right="2"/>
        <w:jc w:val="both"/>
        <w:rPr>
          <w:b/>
          <w:noProof/>
          <w:lang w:val="tr-TR"/>
        </w:rPr>
      </w:pPr>
    </w:p>
    <w:p w14:paraId="37F3ABD2" w14:textId="77777777" w:rsidR="00EC59BF" w:rsidRPr="00604C75" w:rsidRDefault="00EC59BF" w:rsidP="00AD726D">
      <w:pPr>
        <w:pStyle w:val="BodyTextIndent"/>
        <w:tabs>
          <w:tab w:val="left" w:pos="426"/>
        </w:tabs>
        <w:spacing w:after="0" w:line="221" w:lineRule="auto"/>
        <w:ind w:left="0"/>
        <w:jc w:val="both"/>
        <w:rPr>
          <w:b/>
          <w:noProof/>
          <w:sz w:val="20"/>
          <w:szCs w:val="20"/>
          <w:lang w:val="tr-TR"/>
        </w:rPr>
      </w:pPr>
      <w:r w:rsidRPr="00604C75">
        <w:rPr>
          <w:b/>
          <w:noProof/>
          <w:sz w:val="20"/>
          <w:szCs w:val="20"/>
          <w:lang w:val="tr-TR"/>
        </w:rPr>
        <w:t xml:space="preserve">Information about </w:t>
      </w:r>
      <w:r w:rsidR="004230A9" w:rsidRPr="00604C75">
        <w:rPr>
          <w:b/>
          <w:noProof/>
          <w:sz w:val="20"/>
          <w:szCs w:val="20"/>
          <w:lang w:val="tr-TR"/>
        </w:rPr>
        <w:t>the</w:t>
      </w:r>
      <w:r w:rsidRPr="00604C75">
        <w:rPr>
          <w:b/>
          <w:noProof/>
          <w:sz w:val="20"/>
          <w:szCs w:val="20"/>
          <w:lang w:val="tr-TR"/>
        </w:rPr>
        <w:t xml:space="preserve"> shareholders’ equity items</w:t>
      </w:r>
      <w:r w:rsidRPr="00604C75">
        <w:rPr>
          <w:b/>
          <w:bCs/>
          <w:noProof/>
          <w:lang w:val="tr-TR"/>
        </w:rPr>
        <w:t xml:space="preserve"> </w:t>
      </w:r>
      <w:r w:rsidRPr="00604C75">
        <w:rPr>
          <w:b/>
          <w:bCs/>
          <w:noProof/>
          <w:sz w:val="20"/>
          <w:szCs w:val="20"/>
          <w:lang w:val="tr-TR"/>
        </w:rPr>
        <w:t>(Continued)</w:t>
      </w:r>
    </w:p>
    <w:p w14:paraId="1A1362D2" w14:textId="77777777" w:rsidR="00EC59BF" w:rsidRPr="00604C75" w:rsidRDefault="00EC59BF" w:rsidP="00EC59BF">
      <w:pPr>
        <w:spacing w:line="211" w:lineRule="auto"/>
        <w:jc w:val="both"/>
        <w:rPr>
          <w:b/>
          <w:sz w:val="20"/>
          <w:szCs w:val="20"/>
        </w:rPr>
      </w:pPr>
    </w:p>
    <w:tbl>
      <w:tblPr>
        <w:tblW w:w="9632"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7302"/>
        <w:gridCol w:w="1198"/>
        <w:gridCol w:w="1132"/>
      </w:tblGrid>
      <w:tr w:rsidR="00F0291B" w:rsidRPr="00604C75" w14:paraId="175D01FB" w14:textId="77777777" w:rsidTr="009D09BB">
        <w:trPr>
          <w:trHeight w:val="227"/>
        </w:trPr>
        <w:tc>
          <w:tcPr>
            <w:tcW w:w="7302" w:type="dxa"/>
            <w:shd w:val="clear" w:color="auto" w:fill="auto"/>
            <w:vAlign w:val="bottom"/>
            <w:hideMark/>
          </w:tcPr>
          <w:p w14:paraId="74C2C95C" w14:textId="77777777" w:rsidR="00F0291B" w:rsidRPr="00604C75" w:rsidRDefault="00F0291B" w:rsidP="00E83EAC">
            <w:pPr>
              <w:jc w:val="center"/>
              <w:rPr>
                <w:b/>
                <w:bCs/>
                <w:color w:val="000000"/>
                <w:sz w:val="16"/>
                <w:szCs w:val="16"/>
              </w:rPr>
            </w:pPr>
            <w:r w:rsidRPr="00604C75">
              <w:rPr>
                <w:b/>
                <w:bCs/>
                <w:color w:val="000000"/>
                <w:sz w:val="16"/>
                <w:szCs w:val="16"/>
                <w:lang w:eastAsia="tr-TR"/>
              </w:rPr>
              <w:t>CAPITAL</w:t>
            </w:r>
          </w:p>
        </w:tc>
        <w:tc>
          <w:tcPr>
            <w:tcW w:w="1198" w:type="dxa"/>
            <w:shd w:val="clear" w:color="auto" w:fill="auto"/>
            <w:vAlign w:val="bottom"/>
          </w:tcPr>
          <w:p w14:paraId="6FB3BBAA" w14:textId="77777777" w:rsidR="00F0291B" w:rsidRPr="00604C75" w:rsidRDefault="00F0291B" w:rsidP="00622BC2">
            <w:pPr>
              <w:jc w:val="right"/>
              <w:rPr>
                <w:b/>
                <w:bCs/>
                <w:color w:val="000000"/>
                <w:sz w:val="16"/>
                <w:szCs w:val="16"/>
              </w:rPr>
            </w:pPr>
          </w:p>
        </w:tc>
        <w:tc>
          <w:tcPr>
            <w:tcW w:w="1132" w:type="dxa"/>
            <w:vAlign w:val="bottom"/>
          </w:tcPr>
          <w:p w14:paraId="5D3362AA" w14:textId="77777777" w:rsidR="00F0291B" w:rsidRPr="00604C75" w:rsidRDefault="00F0291B" w:rsidP="00622BC2">
            <w:pPr>
              <w:jc w:val="right"/>
              <w:rPr>
                <w:b/>
                <w:bCs/>
                <w:color w:val="000000"/>
                <w:sz w:val="16"/>
                <w:szCs w:val="16"/>
              </w:rPr>
            </w:pPr>
          </w:p>
        </w:tc>
      </w:tr>
      <w:tr w:rsidR="00980409" w:rsidRPr="00604C75" w14:paraId="794FABF9" w14:textId="77777777" w:rsidTr="009D09BB">
        <w:trPr>
          <w:trHeight w:val="196"/>
        </w:trPr>
        <w:tc>
          <w:tcPr>
            <w:tcW w:w="7302" w:type="dxa"/>
            <w:shd w:val="clear" w:color="auto" w:fill="auto"/>
            <w:vAlign w:val="bottom"/>
            <w:hideMark/>
          </w:tcPr>
          <w:p w14:paraId="6621B513" w14:textId="0B723029" w:rsidR="00980409" w:rsidRPr="00604C75" w:rsidRDefault="00980409" w:rsidP="00980409">
            <w:pPr>
              <w:rPr>
                <w:color w:val="000000"/>
                <w:sz w:val="16"/>
                <w:szCs w:val="16"/>
              </w:rPr>
            </w:pPr>
            <w:r w:rsidRPr="00604C75">
              <w:rPr>
                <w:color w:val="000000"/>
                <w:sz w:val="16"/>
                <w:szCs w:val="16"/>
                <w:lang w:val="tr-TR" w:eastAsia="tr-TR"/>
              </w:rPr>
              <w:t xml:space="preserve">Loans </w:t>
            </w:r>
            <w:r>
              <w:rPr>
                <w:color w:val="000000"/>
                <w:sz w:val="16"/>
                <w:szCs w:val="16"/>
                <w:lang w:val="tr-TR" w:eastAsia="tr-TR"/>
              </w:rPr>
              <w:t>G</w:t>
            </w:r>
            <w:r w:rsidRPr="00604C75">
              <w:rPr>
                <w:color w:val="000000"/>
                <w:sz w:val="16"/>
                <w:szCs w:val="16"/>
                <w:lang w:val="tr-TR" w:eastAsia="tr-TR"/>
              </w:rPr>
              <w:t xml:space="preserve">ranted </w:t>
            </w:r>
            <w:r>
              <w:rPr>
                <w:color w:val="000000"/>
                <w:sz w:val="16"/>
                <w:szCs w:val="16"/>
                <w:lang w:val="tr-TR" w:eastAsia="tr-TR"/>
              </w:rPr>
              <w:t>A</w:t>
            </w:r>
            <w:r w:rsidRPr="00604C75">
              <w:rPr>
                <w:color w:val="000000"/>
                <w:sz w:val="16"/>
                <w:szCs w:val="16"/>
                <w:lang w:val="tr-TR" w:eastAsia="tr-TR"/>
              </w:rPr>
              <w:t xml:space="preserve">gainst the Articles 50 and 51 of the Banking Law (-) </w:t>
            </w:r>
          </w:p>
        </w:tc>
        <w:tc>
          <w:tcPr>
            <w:tcW w:w="1198" w:type="dxa"/>
            <w:shd w:val="clear" w:color="auto" w:fill="auto"/>
            <w:vAlign w:val="bottom"/>
          </w:tcPr>
          <w:p w14:paraId="362C9144" w14:textId="3AC13A76" w:rsidR="00980409" w:rsidRPr="00692926" w:rsidRDefault="00980409" w:rsidP="00980409">
            <w:pPr>
              <w:pStyle w:val="NormalIndent"/>
              <w:ind w:left="0"/>
              <w:jc w:val="right"/>
            </w:pPr>
            <w:r>
              <w:t>-</w:t>
            </w:r>
          </w:p>
        </w:tc>
        <w:tc>
          <w:tcPr>
            <w:tcW w:w="1132" w:type="dxa"/>
            <w:vAlign w:val="bottom"/>
          </w:tcPr>
          <w:p w14:paraId="66CD9EBD" w14:textId="0CFDA32C" w:rsidR="00980409" w:rsidRPr="00692926" w:rsidRDefault="00980409" w:rsidP="00980409">
            <w:pPr>
              <w:jc w:val="right"/>
              <w:rPr>
                <w:sz w:val="16"/>
                <w:szCs w:val="16"/>
              </w:rPr>
            </w:pPr>
            <w:r w:rsidRPr="00692926">
              <w:rPr>
                <w:sz w:val="16"/>
                <w:szCs w:val="16"/>
              </w:rPr>
              <w:t>-</w:t>
            </w:r>
          </w:p>
        </w:tc>
      </w:tr>
      <w:tr w:rsidR="00980409" w:rsidRPr="00604C75" w14:paraId="686751F0" w14:textId="77777777" w:rsidTr="009D09BB">
        <w:trPr>
          <w:trHeight w:val="461"/>
        </w:trPr>
        <w:tc>
          <w:tcPr>
            <w:tcW w:w="7302" w:type="dxa"/>
            <w:shd w:val="clear" w:color="auto" w:fill="auto"/>
            <w:vAlign w:val="bottom"/>
            <w:hideMark/>
          </w:tcPr>
          <w:p w14:paraId="00855E35" w14:textId="36AE5063" w:rsidR="00980409" w:rsidRPr="00604C75" w:rsidRDefault="00980409" w:rsidP="00980409">
            <w:pPr>
              <w:rPr>
                <w:color w:val="000000"/>
                <w:sz w:val="16"/>
                <w:szCs w:val="16"/>
              </w:rPr>
            </w:pPr>
            <w:r w:rsidRPr="00604C75">
              <w:rPr>
                <w:color w:val="000000"/>
                <w:sz w:val="16"/>
                <w:szCs w:val="16"/>
                <w:lang w:eastAsia="tr-TR"/>
              </w:rPr>
              <w:t xml:space="preserve">Net Book Values of Movables and </w:t>
            </w:r>
            <w:proofErr w:type="spellStart"/>
            <w:r w:rsidRPr="00604C75">
              <w:rPr>
                <w:color w:val="000000"/>
                <w:sz w:val="16"/>
                <w:szCs w:val="16"/>
                <w:lang w:eastAsia="tr-TR"/>
              </w:rPr>
              <w:t>Immovables</w:t>
            </w:r>
            <w:proofErr w:type="spellEnd"/>
            <w:r w:rsidRPr="00604C75">
              <w:rPr>
                <w:color w:val="000000"/>
                <w:sz w:val="16"/>
                <w:szCs w:val="16"/>
                <w:lang w:eastAsia="tr-TR"/>
              </w:rPr>
              <w:t xml:space="preserve"> Exceeding the Limit Defined in the Article 57, Clause 1 of the Banking Law and the Assets Acquired </w:t>
            </w:r>
            <w:r>
              <w:rPr>
                <w:color w:val="000000"/>
                <w:sz w:val="16"/>
                <w:szCs w:val="16"/>
                <w:lang w:eastAsia="tr-TR"/>
              </w:rPr>
              <w:t>A</w:t>
            </w:r>
            <w:r w:rsidRPr="00604C75">
              <w:rPr>
                <w:color w:val="000000"/>
                <w:sz w:val="16"/>
                <w:szCs w:val="16"/>
                <w:lang w:eastAsia="tr-TR"/>
              </w:rPr>
              <w:t>gainst Overdue Receivables and Held for Sale but Retained more than Five Years (-)</w:t>
            </w:r>
          </w:p>
        </w:tc>
        <w:tc>
          <w:tcPr>
            <w:tcW w:w="1198" w:type="dxa"/>
            <w:shd w:val="clear" w:color="auto" w:fill="auto"/>
            <w:vAlign w:val="bottom"/>
          </w:tcPr>
          <w:p w14:paraId="177BB65A" w14:textId="5E71498A" w:rsidR="00980409" w:rsidRPr="00692926" w:rsidRDefault="00980409" w:rsidP="00980409">
            <w:pPr>
              <w:tabs>
                <w:tab w:val="left" w:pos="0"/>
              </w:tabs>
              <w:jc w:val="right"/>
              <w:rPr>
                <w:bCs/>
                <w:sz w:val="16"/>
                <w:szCs w:val="16"/>
              </w:rPr>
            </w:pPr>
            <w:r>
              <w:rPr>
                <w:bCs/>
                <w:sz w:val="16"/>
                <w:szCs w:val="16"/>
              </w:rPr>
              <w:t>3,584</w:t>
            </w:r>
          </w:p>
        </w:tc>
        <w:tc>
          <w:tcPr>
            <w:tcW w:w="1132" w:type="dxa"/>
            <w:vAlign w:val="bottom"/>
          </w:tcPr>
          <w:p w14:paraId="000F5CCA" w14:textId="33DC6020" w:rsidR="00980409" w:rsidRPr="00692926" w:rsidRDefault="00980409" w:rsidP="00980409">
            <w:pPr>
              <w:jc w:val="right"/>
              <w:rPr>
                <w:sz w:val="16"/>
                <w:szCs w:val="16"/>
              </w:rPr>
            </w:pPr>
            <w:r w:rsidRPr="00692926">
              <w:rPr>
                <w:sz w:val="16"/>
                <w:szCs w:val="16"/>
              </w:rPr>
              <w:t>3,100</w:t>
            </w:r>
          </w:p>
        </w:tc>
      </w:tr>
      <w:tr w:rsidR="00980409" w:rsidRPr="00604C75" w14:paraId="33603AD5" w14:textId="77777777" w:rsidTr="009D09BB">
        <w:trPr>
          <w:trHeight w:val="376"/>
        </w:trPr>
        <w:tc>
          <w:tcPr>
            <w:tcW w:w="7302" w:type="dxa"/>
            <w:shd w:val="clear" w:color="auto" w:fill="auto"/>
            <w:vAlign w:val="bottom"/>
            <w:hideMark/>
          </w:tcPr>
          <w:p w14:paraId="5EBF4E40" w14:textId="77777777" w:rsidR="00980409" w:rsidRPr="00604C75" w:rsidRDefault="00980409" w:rsidP="00980409">
            <w:pPr>
              <w:rPr>
                <w:color w:val="000000"/>
                <w:sz w:val="16"/>
                <w:szCs w:val="16"/>
              </w:rPr>
            </w:pPr>
            <w:r w:rsidRPr="00604C75">
              <w:rPr>
                <w:rFonts w:eastAsia="ヒラギノ明朝 Pro W3"/>
                <w:color w:val="000000"/>
                <w:sz w:val="16"/>
                <w:szCs w:val="16"/>
                <w:lang w:eastAsia="tr-TR"/>
              </w:rPr>
              <w:t>Loans to Banks, Financial Institutions (domestic/foreign) or Qualified Shareholders in the form of Subordinated Debts or Debt Instruments Purchased from Such Parties and Qualified as Subordinated Debts (-)</w:t>
            </w:r>
          </w:p>
        </w:tc>
        <w:tc>
          <w:tcPr>
            <w:tcW w:w="1198" w:type="dxa"/>
            <w:shd w:val="clear" w:color="auto" w:fill="auto"/>
            <w:vAlign w:val="bottom"/>
          </w:tcPr>
          <w:p w14:paraId="6C29C5E3" w14:textId="1A4EB382" w:rsidR="00980409" w:rsidRPr="00692926" w:rsidRDefault="00980409" w:rsidP="00980409">
            <w:pPr>
              <w:jc w:val="right"/>
              <w:rPr>
                <w:sz w:val="16"/>
                <w:szCs w:val="16"/>
              </w:rPr>
            </w:pPr>
            <w:r>
              <w:rPr>
                <w:sz w:val="16"/>
                <w:szCs w:val="16"/>
              </w:rPr>
              <w:t>-</w:t>
            </w:r>
          </w:p>
        </w:tc>
        <w:tc>
          <w:tcPr>
            <w:tcW w:w="1132" w:type="dxa"/>
            <w:vAlign w:val="bottom"/>
          </w:tcPr>
          <w:p w14:paraId="19999119" w14:textId="0D8C75D2" w:rsidR="00980409" w:rsidRPr="00692926" w:rsidRDefault="00980409" w:rsidP="00980409">
            <w:pPr>
              <w:jc w:val="right"/>
              <w:rPr>
                <w:sz w:val="16"/>
                <w:szCs w:val="16"/>
              </w:rPr>
            </w:pPr>
            <w:r w:rsidRPr="00692926">
              <w:rPr>
                <w:sz w:val="16"/>
                <w:szCs w:val="16"/>
              </w:rPr>
              <w:t>-</w:t>
            </w:r>
          </w:p>
        </w:tc>
      </w:tr>
      <w:tr w:rsidR="00980409" w:rsidRPr="00604C75" w14:paraId="4C92D5C2" w14:textId="77777777" w:rsidTr="009D09BB">
        <w:trPr>
          <w:trHeight w:val="376"/>
        </w:trPr>
        <w:tc>
          <w:tcPr>
            <w:tcW w:w="7302" w:type="dxa"/>
            <w:shd w:val="clear" w:color="auto" w:fill="auto"/>
            <w:vAlign w:val="bottom"/>
            <w:hideMark/>
          </w:tcPr>
          <w:p w14:paraId="0DBDD38D" w14:textId="77777777" w:rsidR="00980409" w:rsidRPr="00604C75" w:rsidRDefault="00980409" w:rsidP="00980409">
            <w:pPr>
              <w:rPr>
                <w:color w:val="000000"/>
                <w:sz w:val="16"/>
                <w:szCs w:val="16"/>
              </w:rPr>
            </w:pPr>
            <w:r w:rsidRPr="00604C75">
              <w:rPr>
                <w:rFonts w:eastAsia="ヒラギノ明朝 Pro W3"/>
                <w:color w:val="000000"/>
                <w:sz w:val="16"/>
                <w:szCs w:val="16"/>
                <w:lang w:eastAsia="tr-TR"/>
              </w:rPr>
              <w:t>Deductions as per the Article 20, Clause 2 of the Regulation on Measurement and Assessment of Capital Adequacy Ratios of Banks (-)</w:t>
            </w:r>
          </w:p>
        </w:tc>
        <w:tc>
          <w:tcPr>
            <w:tcW w:w="1198" w:type="dxa"/>
            <w:shd w:val="clear" w:color="auto" w:fill="auto"/>
            <w:vAlign w:val="bottom"/>
          </w:tcPr>
          <w:p w14:paraId="4669775A" w14:textId="77777777" w:rsidR="00980409" w:rsidRPr="00692926" w:rsidRDefault="00980409" w:rsidP="00980409">
            <w:pPr>
              <w:jc w:val="right"/>
              <w:rPr>
                <w:sz w:val="16"/>
                <w:szCs w:val="16"/>
              </w:rPr>
            </w:pPr>
          </w:p>
        </w:tc>
        <w:tc>
          <w:tcPr>
            <w:tcW w:w="1132" w:type="dxa"/>
            <w:vAlign w:val="bottom"/>
          </w:tcPr>
          <w:p w14:paraId="57149B33" w14:textId="2C31CAFE" w:rsidR="00980409" w:rsidRPr="00692926" w:rsidRDefault="00980409" w:rsidP="00980409">
            <w:pPr>
              <w:jc w:val="right"/>
              <w:rPr>
                <w:sz w:val="16"/>
                <w:szCs w:val="16"/>
              </w:rPr>
            </w:pPr>
            <w:r w:rsidRPr="00692926">
              <w:rPr>
                <w:sz w:val="16"/>
                <w:szCs w:val="16"/>
              </w:rPr>
              <w:t>-</w:t>
            </w:r>
          </w:p>
        </w:tc>
      </w:tr>
      <w:tr w:rsidR="00980409" w:rsidRPr="00604C75" w14:paraId="45ED03C4" w14:textId="77777777" w:rsidTr="009D09BB">
        <w:trPr>
          <w:trHeight w:val="196"/>
        </w:trPr>
        <w:tc>
          <w:tcPr>
            <w:tcW w:w="7302" w:type="dxa"/>
            <w:shd w:val="clear" w:color="auto" w:fill="auto"/>
            <w:vAlign w:val="bottom"/>
            <w:hideMark/>
          </w:tcPr>
          <w:p w14:paraId="381F5256" w14:textId="584EC858" w:rsidR="00980409" w:rsidRPr="00604C75" w:rsidRDefault="00980409" w:rsidP="00980409">
            <w:pPr>
              <w:rPr>
                <w:color w:val="000000"/>
                <w:sz w:val="16"/>
                <w:szCs w:val="16"/>
              </w:rPr>
            </w:pPr>
            <w:r w:rsidRPr="00604C75">
              <w:rPr>
                <w:rFonts w:eastAsia="ヒラギノ明朝 Pro W3"/>
                <w:color w:val="000000"/>
                <w:sz w:val="16"/>
                <w:szCs w:val="16"/>
                <w:lang w:eastAsia="tr-TR"/>
              </w:rPr>
              <w:t xml:space="preserve">Other </w:t>
            </w:r>
            <w:r>
              <w:rPr>
                <w:rFonts w:eastAsia="ヒラギノ明朝 Pro W3"/>
                <w:color w:val="000000"/>
                <w:sz w:val="16"/>
                <w:szCs w:val="16"/>
                <w:lang w:eastAsia="tr-TR"/>
              </w:rPr>
              <w:t>I</w:t>
            </w:r>
            <w:r w:rsidRPr="00604C75">
              <w:rPr>
                <w:rFonts w:eastAsia="ヒラギノ明朝 Pro W3"/>
                <w:color w:val="000000"/>
                <w:sz w:val="16"/>
                <w:szCs w:val="16"/>
                <w:lang w:eastAsia="tr-TR"/>
              </w:rPr>
              <w:t>tems to be Defined by the BRSA (-)</w:t>
            </w:r>
          </w:p>
        </w:tc>
        <w:tc>
          <w:tcPr>
            <w:tcW w:w="1198" w:type="dxa"/>
            <w:shd w:val="clear" w:color="auto" w:fill="auto"/>
            <w:vAlign w:val="bottom"/>
          </w:tcPr>
          <w:p w14:paraId="24A6856F" w14:textId="359FD08E" w:rsidR="00980409" w:rsidRPr="00692926" w:rsidRDefault="00980409" w:rsidP="00980409">
            <w:pPr>
              <w:tabs>
                <w:tab w:val="left" w:pos="0"/>
              </w:tabs>
              <w:jc w:val="right"/>
              <w:rPr>
                <w:bCs/>
                <w:sz w:val="16"/>
                <w:szCs w:val="16"/>
              </w:rPr>
            </w:pPr>
            <w:r>
              <w:rPr>
                <w:bCs/>
                <w:sz w:val="16"/>
                <w:szCs w:val="16"/>
              </w:rPr>
              <w:t>-</w:t>
            </w:r>
          </w:p>
        </w:tc>
        <w:tc>
          <w:tcPr>
            <w:tcW w:w="1132" w:type="dxa"/>
            <w:vAlign w:val="bottom"/>
          </w:tcPr>
          <w:p w14:paraId="2359C526" w14:textId="4C0C4FF2" w:rsidR="00980409" w:rsidRPr="00692926" w:rsidRDefault="00980409" w:rsidP="00980409">
            <w:pPr>
              <w:jc w:val="right"/>
              <w:rPr>
                <w:sz w:val="16"/>
                <w:szCs w:val="16"/>
              </w:rPr>
            </w:pPr>
            <w:r w:rsidRPr="00692926">
              <w:rPr>
                <w:sz w:val="16"/>
                <w:szCs w:val="16"/>
              </w:rPr>
              <w:t>26</w:t>
            </w:r>
          </w:p>
        </w:tc>
      </w:tr>
      <w:tr w:rsidR="00980409" w:rsidRPr="00604C75" w14:paraId="63F7C5E5" w14:textId="77777777" w:rsidTr="009D09BB">
        <w:trPr>
          <w:trHeight w:val="737"/>
        </w:trPr>
        <w:tc>
          <w:tcPr>
            <w:tcW w:w="7302" w:type="dxa"/>
            <w:shd w:val="clear" w:color="auto" w:fill="auto"/>
            <w:vAlign w:val="bottom"/>
            <w:hideMark/>
          </w:tcPr>
          <w:p w14:paraId="30B6628D" w14:textId="4C55A1BD" w:rsidR="00980409" w:rsidRPr="00604C75" w:rsidRDefault="00980409" w:rsidP="00980409">
            <w:pPr>
              <w:rPr>
                <w:color w:val="000000"/>
                <w:sz w:val="16"/>
                <w:szCs w:val="16"/>
              </w:rPr>
            </w:pPr>
            <w:r w:rsidRPr="00604C75">
              <w:rPr>
                <w:rFonts w:eastAsia="ヒラギノ明朝 Pro W3"/>
                <w:color w:val="000000"/>
                <w:sz w:val="16"/>
                <w:szCs w:val="16"/>
                <w:lang w:eastAsia="tr-TR"/>
              </w:rPr>
              <w:t xml:space="preserve">The Portion of Total of Net Long Positions of the Investments in Equity Items of Unconsolidated Banks and Financial Institutions </w:t>
            </w:r>
            <w:r>
              <w:rPr>
                <w:rFonts w:eastAsia="ヒラギノ明朝 Pro W3"/>
                <w:color w:val="000000"/>
                <w:sz w:val="16"/>
                <w:szCs w:val="16"/>
                <w:lang w:eastAsia="tr-TR"/>
              </w:rPr>
              <w:t>W</w:t>
            </w:r>
            <w:r w:rsidRPr="00604C75">
              <w:rPr>
                <w:rFonts w:eastAsia="ヒラギノ明朝 Pro W3"/>
                <w:color w:val="000000"/>
                <w:sz w:val="16"/>
                <w:szCs w:val="16"/>
                <w:lang w:eastAsia="tr-TR"/>
              </w:rPr>
              <w:t xml:space="preserve">here the Bank Owns 10% or </w:t>
            </w:r>
            <w:r>
              <w:rPr>
                <w:rFonts w:eastAsia="ヒラギノ明朝 Pro W3"/>
                <w:color w:val="000000"/>
                <w:sz w:val="16"/>
                <w:szCs w:val="16"/>
                <w:lang w:eastAsia="tr-TR"/>
              </w:rPr>
              <w:t>L</w:t>
            </w:r>
            <w:r w:rsidRPr="00604C75">
              <w:rPr>
                <w:rFonts w:eastAsia="ヒラギノ明朝 Pro W3"/>
                <w:color w:val="000000"/>
                <w:sz w:val="16"/>
                <w:szCs w:val="16"/>
                <w:lang w:eastAsia="tr-TR"/>
              </w:rPr>
              <w:t xml:space="preserve">ess of the Issued Share Capital Exceeding the 10% Threshold of above Tier I Capital not </w:t>
            </w:r>
            <w:r>
              <w:rPr>
                <w:rFonts w:eastAsia="ヒラギノ明朝 Pro W3"/>
                <w:color w:val="000000"/>
                <w:sz w:val="16"/>
                <w:szCs w:val="16"/>
                <w:lang w:eastAsia="tr-TR"/>
              </w:rPr>
              <w:t>D</w:t>
            </w:r>
            <w:r w:rsidRPr="00604C75">
              <w:rPr>
                <w:rFonts w:eastAsia="ヒラギノ明朝 Pro W3"/>
                <w:color w:val="000000"/>
                <w:sz w:val="16"/>
                <w:szCs w:val="16"/>
                <w:lang w:eastAsia="tr-TR"/>
              </w:rPr>
              <w:t>educted from Tier I Capital, Additional Core Capital or Tier II Capital as per the Temporary Article 2, Clause 1 of the Regulation (-)</w:t>
            </w:r>
          </w:p>
        </w:tc>
        <w:tc>
          <w:tcPr>
            <w:tcW w:w="1198" w:type="dxa"/>
            <w:shd w:val="clear" w:color="auto" w:fill="auto"/>
            <w:vAlign w:val="bottom"/>
          </w:tcPr>
          <w:p w14:paraId="5FEF87B9" w14:textId="0329CF57" w:rsidR="00980409" w:rsidRPr="00692926" w:rsidRDefault="00980409" w:rsidP="00980409">
            <w:pPr>
              <w:spacing w:before="100" w:beforeAutospacing="1" w:after="100" w:afterAutospacing="1" w:line="20" w:lineRule="atLeast"/>
              <w:jc w:val="right"/>
              <w:rPr>
                <w:sz w:val="16"/>
                <w:szCs w:val="16"/>
                <w:lang w:eastAsia="tr-TR"/>
              </w:rPr>
            </w:pPr>
            <w:r>
              <w:rPr>
                <w:sz w:val="16"/>
                <w:szCs w:val="16"/>
                <w:lang w:eastAsia="tr-TR"/>
              </w:rPr>
              <w:t>-</w:t>
            </w:r>
          </w:p>
        </w:tc>
        <w:tc>
          <w:tcPr>
            <w:tcW w:w="1132" w:type="dxa"/>
            <w:vAlign w:val="bottom"/>
          </w:tcPr>
          <w:p w14:paraId="0336AF82" w14:textId="11B654F1"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r>
      <w:tr w:rsidR="00980409" w:rsidRPr="00604C75" w14:paraId="0EA8F7C0" w14:textId="77777777" w:rsidTr="009D09BB">
        <w:trPr>
          <w:trHeight w:val="749"/>
        </w:trPr>
        <w:tc>
          <w:tcPr>
            <w:tcW w:w="7302" w:type="dxa"/>
            <w:shd w:val="clear" w:color="auto" w:fill="auto"/>
            <w:vAlign w:val="bottom"/>
            <w:hideMark/>
          </w:tcPr>
          <w:p w14:paraId="336FE0D3" w14:textId="5CAC9A0C" w:rsidR="00980409" w:rsidRPr="00604C75" w:rsidRDefault="00980409" w:rsidP="00980409">
            <w:pPr>
              <w:rPr>
                <w:color w:val="000000"/>
                <w:sz w:val="16"/>
                <w:szCs w:val="16"/>
              </w:rPr>
            </w:pPr>
            <w:r w:rsidRPr="00604C75">
              <w:rPr>
                <w:rFonts w:eastAsia="ヒラギノ明朝 Pro W3"/>
                <w:color w:val="000000"/>
                <w:sz w:val="16"/>
                <w:szCs w:val="16"/>
                <w:lang w:eastAsia="tr-TR"/>
              </w:rPr>
              <w:t xml:space="preserve">The Portion of Total of Net Long Positions of the Investments in Equity Items of Unconsolidated Banks and Financial Institutions </w:t>
            </w:r>
            <w:r>
              <w:rPr>
                <w:rFonts w:eastAsia="ヒラギノ明朝 Pro W3"/>
                <w:color w:val="000000"/>
                <w:sz w:val="16"/>
                <w:szCs w:val="16"/>
                <w:lang w:eastAsia="tr-TR"/>
              </w:rPr>
              <w:t>W</w:t>
            </w:r>
            <w:r w:rsidRPr="00604C75">
              <w:rPr>
                <w:rFonts w:eastAsia="ヒラギノ明朝 Pro W3"/>
                <w:color w:val="000000"/>
                <w:sz w:val="16"/>
                <w:szCs w:val="16"/>
                <w:lang w:eastAsia="tr-TR"/>
              </w:rPr>
              <w:t xml:space="preserve">here the Bank Owns more than 10% of the Issued Share Capital Exceeding the 10% Threshold of above Tier I Capital not </w:t>
            </w:r>
            <w:r>
              <w:rPr>
                <w:rFonts w:eastAsia="ヒラギノ明朝 Pro W3"/>
                <w:color w:val="000000"/>
                <w:sz w:val="16"/>
                <w:szCs w:val="16"/>
                <w:lang w:eastAsia="tr-TR"/>
              </w:rPr>
              <w:t>D</w:t>
            </w:r>
            <w:r w:rsidRPr="00604C75">
              <w:rPr>
                <w:rFonts w:eastAsia="ヒラギノ明朝 Pro W3"/>
                <w:color w:val="000000"/>
                <w:sz w:val="16"/>
                <w:szCs w:val="16"/>
                <w:lang w:eastAsia="tr-TR"/>
              </w:rPr>
              <w:t>educted from Additional Core Capital or Tier II Capital as per the Temporary Article 2, Clause 1 of the Regulation (-)</w:t>
            </w:r>
          </w:p>
        </w:tc>
        <w:tc>
          <w:tcPr>
            <w:tcW w:w="1198" w:type="dxa"/>
            <w:shd w:val="clear" w:color="auto" w:fill="auto"/>
            <w:vAlign w:val="bottom"/>
          </w:tcPr>
          <w:p w14:paraId="6610C814" w14:textId="6CEA28F8" w:rsidR="00980409" w:rsidRPr="00692926" w:rsidRDefault="00980409" w:rsidP="00980409">
            <w:pPr>
              <w:spacing w:before="100" w:beforeAutospacing="1" w:after="100" w:afterAutospacing="1" w:line="20" w:lineRule="atLeast"/>
              <w:jc w:val="right"/>
              <w:rPr>
                <w:sz w:val="16"/>
                <w:szCs w:val="16"/>
                <w:lang w:eastAsia="tr-TR"/>
              </w:rPr>
            </w:pPr>
            <w:r>
              <w:rPr>
                <w:sz w:val="16"/>
                <w:szCs w:val="16"/>
                <w:lang w:eastAsia="tr-TR"/>
              </w:rPr>
              <w:t>-</w:t>
            </w:r>
          </w:p>
        </w:tc>
        <w:tc>
          <w:tcPr>
            <w:tcW w:w="1132" w:type="dxa"/>
            <w:vAlign w:val="bottom"/>
          </w:tcPr>
          <w:p w14:paraId="2CD8A7C5" w14:textId="27203FB1"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r>
      <w:tr w:rsidR="00980409" w:rsidRPr="00604C75" w14:paraId="6A1441BA" w14:textId="77777777" w:rsidTr="009D09BB">
        <w:trPr>
          <w:trHeight w:val="723"/>
        </w:trPr>
        <w:tc>
          <w:tcPr>
            <w:tcW w:w="7302" w:type="dxa"/>
            <w:shd w:val="clear" w:color="auto" w:fill="auto"/>
            <w:vAlign w:val="bottom"/>
            <w:hideMark/>
          </w:tcPr>
          <w:p w14:paraId="033549A9" w14:textId="7CAF5A75" w:rsidR="00980409" w:rsidRPr="00604C75" w:rsidRDefault="00980409" w:rsidP="00980409">
            <w:pPr>
              <w:rPr>
                <w:color w:val="000000"/>
                <w:sz w:val="16"/>
                <w:szCs w:val="16"/>
              </w:rPr>
            </w:pPr>
            <w:r w:rsidRPr="00604C75">
              <w:rPr>
                <w:rFonts w:eastAsia="ヒラギノ明朝 Pro W3"/>
                <w:color w:val="000000"/>
                <w:sz w:val="16"/>
                <w:szCs w:val="16"/>
                <w:lang w:eastAsia="tr-TR"/>
              </w:rPr>
              <w:t xml:space="preserve">The Portion of Net Long Position of the Investments in Equity Items of Unconsolidated Banks and Financial Institutions </w:t>
            </w:r>
            <w:r>
              <w:rPr>
                <w:rFonts w:eastAsia="ヒラギノ明朝 Pro W3"/>
                <w:color w:val="000000"/>
                <w:sz w:val="16"/>
                <w:szCs w:val="16"/>
                <w:lang w:eastAsia="tr-TR"/>
              </w:rPr>
              <w:t>W</w:t>
            </w:r>
            <w:r w:rsidRPr="00604C75">
              <w:rPr>
                <w:rFonts w:eastAsia="ヒラギノ明朝 Pro W3"/>
                <w:color w:val="000000"/>
                <w:sz w:val="16"/>
                <w:szCs w:val="16"/>
                <w:lang w:eastAsia="tr-TR"/>
              </w:rPr>
              <w:t xml:space="preserve">here the Bank Owns 10% or more of the Issued Share Capital, of the Net Deferred Tax Assets </w:t>
            </w:r>
            <w:r>
              <w:rPr>
                <w:rFonts w:eastAsia="ヒラギノ明朝 Pro W3"/>
                <w:color w:val="000000"/>
                <w:sz w:val="16"/>
                <w:szCs w:val="16"/>
                <w:lang w:eastAsia="tr-TR"/>
              </w:rPr>
              <w:t>A</w:t>
            </w:r>
            <w:r w:rsidRPr="00604C75">
              <w:rPr>
                <w:rFonts w:eastAsia="ヒラギノ明朝 Pro W3"/>
                <w:color w:val="000000"/>
                <w:sz w:val="16"/>
                <w:szCs w:val="16"/>
                <w:lang w:eastAsia="tr-TR"/>
              </w:rPr>
              <w:t xml:space="preserve">rising from Temporary Differences and of the Mortgage Servicing Rights not </w:t>
            </w:r>
            <w:r>
              <w:rPr>
                <w:rFonts w:eastAsia="ヒラギノ明朝 Pro W3"/>
                <w:color w:val="000000"/>
                <w:sz w:val="16"/>
                <w:szCs w:val="16"/>
                <w:lang w:eastAsia="tr-TR"/>
              </w:rPr>
              <w:t>D</w:t>
            </w:r>
            <w:r w:rsidRPr="00604C75">
              <w:rPr>
                <w:rFonts w:eastAsia="ヒラギノ明朝 Pro W3"/>
                <w:color w:val="000000"/>
                <w:sz w:val="16"/>
                <w:szCs w:val="16"/>
                <w:lang w:eastAsia="tr-TR"/>
              </w:rPr>
              <w:t xml:space="preserve">educted from Tier I Capital as per the </w:t>
            </w:r>
            <w:r>
              <w:rPr>
                <w:rFonts w:eastAsia="ヒラギノ明朝 Pro W3"/>
                <w:color w:val="000000"/>
                <w:sz w:val="16"/>
                <w:szCs w:val="16"/>
                <w:lang w:eastAsia="tr-TR"/>
              </w:rPr>
              <w:t>T</w:t>
            </w:r>
            <w:r w:rsidRPr="00604C75">
              <w:rPr>
                <w:rFonts w:eastAsia="ヒラギノ明朝 Pro W3"/>
                <w:color w:val="000000"/>
                <w:sz w:val="16"/>
                <w:szCs w:val="16"/>
                <w:lang w:eastAsia="tr-TR"/>
              </w:rPr>
              <w:t>emporary Article 2, Clause 2, Paragraph (1) and (2) and Temporary Article 2, Clause 1 of the Regulation (-)</w:t>
            </w:r>
          </w:p>
        </w:tc>
        <w:tc>
          <w:tcPr>
            <w:tcW w:w="1198" w:type="dxa"/>
            <w:shd w:val="clear" w:color="auto" w:fill="auto"/>
            <w:vAlign w:val="bottom"/>
          </w:tcPr>
          <w:p w14:paraId="2E5781C2" w14:textId="52DD0E27" w:rsidR="00980409" w:rsidRPr="00391351" w:rsidRDefault="00980409" w:rsidP="00980409">
            <w:pPr>
              <w:tabs>
                <w:tab w:val="left" w:pos="0"/>
              </w:tabs>
              <w:jc w:val="right"/>
              <w:rPr>
                <w:b/>
                <w:bCs/>
                <w:sz w:val="16"/>
                <w:szCs w:val="16"/>
              </w:rPr>
            </w:pPr>
            <w:r w:rsidRPr="00391351">
              <w:rPr>
                <w:b/>
                <w:bCs/>
                <w:sz w:val="16"/>
                <w:szCs w:val="16"/>
              </w:rPr>
              <w:t>-</w:t>
            </w:r>
          </w:p>
        </w:tc>
        <w:tc>
          <w:tcPr>
            <w:tcW w:w="1132" w:type="dxa"/>
            <w:vAlign w:val="bottom"/>
          </w:tcPr>
          <w:p w14:paraId="6E19AD24" w14:textId="6EF2A653" w:rsidR="00980409" w:rsidRPr="00391351" w:rsidRDefault="00980409" w:rsidP="009D09BB">
            <w:pPr>
              <w:spacing w:before="100" w:beforeAutospacing="1" w:after="100" w:afterAutospacing="1" w:line="20" w:lineRule="atLeast"/>
              <w:jc w:val="right"/>
              <w:rPr>
                <w:b/>
                <w:sz w:val="16"/>
                <w:szCs w:val="16"/>
                <w:lang w:eastAsia="tr-TR"/>
              </w:rPr>
            </w:pPr>
            <w:r w:rsidRPr="00391351">
              <w:rPr>
                <w:b/>
                <w:sz w:val="16"/>
                <w:szCs w:val="16"/>
                <w:lang w:eastAsia="tr-TR"/>
              </w:rPr>
              <w:t>-</w:t>
            </w:r>
          </w:p>
        </w:tc>
      </w:tr>
      <w:tr w:rsidR="00980409" w:rsidRPr="00604C75" w14:paraId="411D22A8" w14:textId="77777777" w:rsidTr="009D09BB">
        <w:trPr>
          <w:trHeight w:val="196"/>
        </w:trPr>
        <w:tc>
          <w:tcPr>
            <w:tcW w:w="7302" w:type="dxa"/>
            <w:shd w:val="clear" w:color="auto" w:fill="auto"/>
            <w:vAlign w:val="bottom"/>
            <w:hideMark/>
          </w:tcPr>
          <w:p w14:paraId="262A5BF5" w14:textId="6E2E2307" w:rsidR="00980409" w:rsidRPr="00B623B1" w:rsidRDefault="00980409" w:rsidP="00980409">
            <w:pPr>
              <w:jc w:val="center"/>
              <w:rPr>
                <w:b/>
                <w:bCs/>
                <w:color w:val="000000"/>
                <w:sz w:val="16"/>
                <w:szCs w:val="16"/>
              </w:rPr>
            </w:pPr>
            <w:r w:rsidRPr="00E83EAC">
              <w:rPr>
                <w:b/>
                <w:bCs/>
                <w:color w:val="000000"/>
                <w:sz w:val="16"/>
                <w:szCs w:val="16"/>
                <w:lang w:eastAsia="tr-TR"/>
              </w:rPr>
              <w:t>SHAREHOLDERS’S EQUITY</w:t>
            </w:r>
          </w:p>
        </w:tc>
        <w:tc>
          <w:tcPr>
            <w:tcW w:w="1198" w:type="dxa"/>
            <w:shd w:val="clear" w:color="auto" w:fill="auto"/>
            <w:vAlign w:val="bottom"/>
          </w:tcPr>
          <w:p w14:paraId="4216823F" w14:textId="514A6600" w:rsidR="00980409" w:rsidRPr="00692926" w:rsidRDefault="00980409" w:rsidP="00980409">
            <w:pPr>
              <w:spacing w:before="100" w:beforeAutospacing="1" w:after="100" w:afterAutospacing="1" w:line="20" w:lineRule="atLeast"/>
              <w:jc w:val="right"/>
              <w:rPr>
                <w:b/>
                <w:sz w:val="16"/>
                <w:szCs w:val="16"/>
                <w:lang w:eastAsia="tr-TR"/>
              </w:rPr>
            </w:pPr>
            <w:r>
              <w:rPr>
                <w:b/>
                <w:sz w:val="16"/>
                <w:szCs w:val="16"/>
                <w:lang w:eastAsia="tr-TR"/>
              </w:rPr>
              <w:t>1,666,027</w:t>
            </w:r>
          </w:p>
        </w:tc>
        <w:tc>
          <w:tcPr>
            <w:tcW w:w="1132" w:type="dxa"/>
            <w:vAlign w:val="bottom"/>
          </w:tcPr>
          <w:p w14:paraId="748F8639" w14:textId="3210B16A" w:rsidR="00980409" w:rsidRPr="00692926" w:rsidRDefault="00980409" w:rsidP="00980409">
            <w:pPr>
              <w:spacing w:before="100" w:beforeAutospacing="1" w:after="100" w:afterAutospacing="1" w:line="20" w:lineRule="atLeast"/>
              <w:jc w:val="right"/>
              <w:rPr>
                <w:b/>
                <w:sz w:val="16"/>
                <w:szCs w:val="16"/>
                <w:lang w:eastAsia="tr-TR"/>
              </w:rPr>
            </w:pPr>
            <w:r w:rsidRPr="00692926">
              <w:rPr>
                <w:b/>
                <w:sz w:val="16"/>
                <w:szCs w:val="16"/>
                <w:lang w:eastAsia="tr-TR"/>
              </w:rPr>
              <w:t>1,273,599</w:t>
            </w:r>
          </w:p>
        </w:tc>
      </w:tr>
      <w:tr w:rsidR="00980409" w:rsidRPr="00604C75" w14:paraId="4AB447BC" w14:textId="77777777" w:rsidTr="009D09BB">
        <w:trPr>
          <w:trHeight w:val="181"/>
        </w:trPr>
        <w:tc>
          <w:tcPr>
            <w:tcW w:w="7302" w:type="dxa"/>
            <w:shd w:val="clear" w:color="auto" w:fill="auto"/>
            <w:vAlign w:val="bottom"/>
            <w:hideMark/>
          </w:tcPr>
          <w:p w14:paraId="15C75AE1" w14:textId="7B02AC5D" w:rsidR="00980409" w:rsidRPr="00604C75" w:rsidRDefault="00980409" w:rsidP="00980409">
            <w:pPr>
              <w:rPr>
                <w:b/>
                <w:bCs/>
                <w:color w:val="000000"/>
                <w:sz w:val="16"/>
                <w:szCs w:val="16"/>
              </w:rPr>
            </w:pPr>
            <w:r w:rsidRPr="00604C75">
              <w:rPr>
                <w:b/>
                <w:bCs/>
                <w:color w:val="000000"/>
                <w:sz w:val="16"/>
                <w:szCs w:val="16"/>
                <w:lang w:eastAsia="tr-TR"/>
              </w:rPr>
              <w:t xml:space="preserve">Amounts </w:t>
            </w:r>
            <w:r>
              <w:rPr>
                <w:b/>
                <w:bCs/>
                <w:color w:val="000000"/>
                <w:sz w:val="16"/>
                <w:szCs w:val="16"/>
                <w:lang w:eastAsia="tr-TR"/>
              </w:rPr>
              <w:t>L</w:t>
            </w:r>
            <w:r w:rsidRPr="00604C75">
              <w:rPr>
                <w:b/>
                <w:bCs/>
                <w:color w:val="000000"/>
                <w:sz w:val="16"/>
                <w:szCs w:val="16"/>
                <w:lang w:eastAsia="tr-TR"/>
              </w:rPr>
              <w:t>ower than Excesses as per Deduction Rules</w:t>
            </w:r>
          </w:p>
        </w:tc>
        <w:tc>
          <w:tcPr>
            <w:tcW w:w="1198" w:type="dxa"/>
            <w:shd w:val="clear" w:color="auto" w:fill="auto"/>
            <w:vAlign w:val="bottom"/>
          </w:tcPr>
          <w:p w14:paraId="1BF62708" w14:textId="6A59E012" w:rsidR="00980409" w:rsidRPr="00692926" w:rsidRDefault="00980409" w:rsidP="00980409">
            <w:pPr>
              <w:spacing w:before="100" w:beforeAutospacing="1" w:after="100" w:afterAutospacing="1" w:line="20" w:lineRule="atLeast"/>
              <w:jc w:val="right"/>
              <w:rPr>
                <w:b/>
                <w:sz w:val="16"/>
                <w:szCs w:val="16"/>
                <w:lang w:eastAsia="tr-TR"/>
              </w:rPr>
            </w:pPr>
            <w:r w:rsidRPr="00692926">
              <w:rPr>
                <w:b/>
                <w:sz w:val="16"/>
                <w:szCs w:val="16"/>
                <w:lang w:eastAsia="tr-TR"/>
              </w:rPr>
              <w:t>-</w:t>
            </w:r>
          </w:p>
        </w:tc>
        <w:tc>
          <w:tcPr>
            <w:tcW w:w="1132" w:type="dxa"/>
            <w:vAlign w:val="bottom"/>
          </w:tcPr>
          <w:p w14:paraId="4D4427B6" w14:textId="3AE4469E" w:rsidR="00980409" w:rsidRPr="00692926" w:rsidRDefault="00980409" w:rsidP="00980409">
            <w:pPr>
              <w:spacing w:before="100" w:beforeAutospacing="1" w:after="100" w:afterAutospacing="1" w:line="20" w:lineRule="atLeast"/>
              <w:jc w:val="right"/>
              <w:rPr>
                <w:b/>
                <w:sz w:val="16"/>
                <w:szCs w:val="16"/>
                <w:lang w:eastAsia="tr-TR"/>
              </w:rPr>
            </w:pPr>
            <w:r w:rsidRPr="00692926">
              <w:rPr>
                <w:b/>
                <w:sz w:val="16"/>
                <w:szCs w:val="16"/>
                <w:lang w:eastAsia="tr-TR"/>
              </w:rPr>
              <w:t>-</w:t>
            </w:r>
          </w:p>
        </w:tc>
      </w:tr>
      <w:tr w:rsidR="00980409" w:rsidRPr="00604C75" w14:paraId="5BC9F250" w14:textId="77777777" w:rsidTr="009D09BB">
        <w:trPr>
          <w:trHeight w:val="362"/>
        </w:trPr>
        <w:tc>
          <w:tcPr>
            <w:tcW w:w="7302" w:type="dxa"/>
            <w:shd w:val="clear" w:color="auto" w:fill="auto"/>
            <w:vAlign w:val="bottom"/>
            <w:hideMark/>
          </w:tcPr>
          <w:p w14:paraId="0130D03E" w14:textId="563712E5" w:rsidR="00980409" w:rsidRPr="00604C75" w:rsidRDefault="00980409" w:rsidP="00980409">
            <w:pPr>
              <w:rPr>
                <w:color w:val="000000"/>
                <w:sz w:val="16"/>
                <w:szCs w:val="16"/>
              </w:rPr>
            </w:pPr>
            <w:r w:rsidRPr="00604C75">
              <w:rPr>
                <w:color w:val="000000"/>
                <w:sz w:val="16"/>
                <w:szCs w:val="16"/>
                <w:lang w:eastAsia="tr-TR"/>
              </w:rPr>
              <w:t xml:space="preserve">Remaining Total of Net Long Positions of the Investments in Equity Items of Unconsolidated Banks and Financial Institutions </w:t>
            </w:r>
            <w:r>
              <w:rPr>
                <w:color w:val="000000"/>
                <w:sz w:val="16"/>
                <w:szCs w:val="16"/>
                <w:lang w:eastAsia="tr-TR"/>
              </w:rPr>
              <w:t>W</w:t>
            </w:r>
            <w:r w:rsidRPr="00604C75">
              <w:rPr>
                <w:color w:val="000000"/>
                <w:sz w:val="16"/>
                <w:szCs w:val="16"/>
                <w:lang w:eastAsia="tr-TR"/>
              </w:rPr>
              <w:t xml:space="preserve">here the Bank Owns 10% or </w:t>
            </w:r>
            <w:r>
              <w:rPr>
                <w:color w:val="000000"/>
                <w:sz w:val="16"/>
                <w:szCs w:val="16"/>
                <w:lang w:eastAsia="tr-TR"/>
              </w:rPr>
              <w:t>L</w:t>
            </w:r>
            <w:r w:rsidRPr="00604C75">
              <w:rPr>
                <w:color w:val="000000"/>
                <w:sz w:val="16"/>
                <w:szCs w:val="16"/>
                <w:lang w:eastAsia="tr-TR"/>
              </w:rPr>
              <w:t>ess of the Issued Share Capital</w:t>
            </w:r>
          </w:p>
        </w:tc>
        <w:tc>
          <w:tcPr>
            <w:tcW w:w="1198" w:type="dxa"/>
            <w:shd w:val="clear" w:color="auto" w:fill="auto"/>
            <w:vAlign w:val="bottom"/>
          </w:tcPr>
          <w:p w14:paraId="48B17EF0" w14:textId="5F291B0B"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132" w:type="dxa"/>
            <w:vAlign w:val="bottom"/>
          </w:tcPr>
          <w:p w14:paraId="5C5FA1AB" w14:textId="4BE1F504"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r>
      <w:tr w:rsidR="00980409" w:rsidRPr="00604C75" w14:paraId="21629E87" w14:textId="77777777" w:rsidTr="009D09BB">
        <w:trPr>
          <w:trHeight w:val="363"/>
        </w:trPr>
        <w:tc>
          <w:tcPr>
            <w:tcW w:w="7302" w:type="dxa"/>
            <w:shd w:val="clear" w:color="auto" w:fill="auto"/>
            <w:vAlign w:val="bottom"/>
            <w:hideMark/>
          </w:tcPr>
          <w:p w14:paraId="6D61D50E" w14:textId="19DCD0D5" w:rsidR="00980409" w:rsidRPr="00604C75" w:rsidRDefault="00980409" w:rsidP="00980409">
            <w:pPr>
              <w:rPr>
                <w:color w:val="000000"/>
                <w:sz w:val="16"/>
                <w:szCs w:val="16"/>
              </w:rPr>
            </w:pPr>
            <w:r w:rsidRPr="00604C75">
              <w:rPr>
                <w:color w:val="000000"/>
                <w:sz w:val="16"/>
                <w:szCs w:val="16"/>
                <w:lang w:eastAsia="tr-TR"/>
              </w:rPr>
              <w:t>Remaining Total of Net Long Positions of the Investments in Tier I Capital of Unconsolidated Banks and</w:t>
            </w:r>
            <w:r>
              <w:rPr>
                <w:color w:val="000000"/>
                <w:sz w:val="16"/>
                <w:szCs w:val="16"/>
                <w:lang w:eastAsia="tr-TR"/>
              </w:rPr>
              <w:t xml:space="preserve"> </w:t>
            </w:r>
            <w:r w:rsidRPr="00604C75">
              <w:rPr>
                <w:color w:val="000000"/>
                <w:sz w:val="16"/>
                <w:szCs w:val="16"/>
                <w:lang w:eastAsia="tr-TR"/>
              </w:rPr>
              <w:t xml:space="preserve">Financial Institutions </w:t>
            </w:r>
            <w:r>
              <w:rPr>
                <w:color w:val="000000"/>
                <w:sz w:val="16"/>
                <w:szCs w:val="16"/>
                <w:lang w:eastAsia="tr-TR"/>
              </w:rPr>
              <w:t>W</w:t>
            </w:r>
            <w:r w:rsidRPr="00604C75">
              <w:rPr>
                <w:color w:val="000000"/>
                <w:sz w:val="16"/>
                <w:szCs w:val="16"/>
                <w:lang w:eastAsia="tr-TR"/>
              </w:rPr>
              <w:t>here the Bank Owns more than 10% or less of the Tier I Capital</w:t>
            </w:r>
          </w:p>
        </w:tc>
        <w:tc>
          <w:tcPr>
            <w:tcW w:w="1198" w:type="dxa"/>
            <w:shd w:val="clear" w:color="auto" w:fill="auto"/>
            <w:vAlign w:val="bottom"/>
          </w:tcPr>
          <w:p w14:paraId="5D376CCD" w14:textId="21459CAD"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132" w:type="dxa"/>
            <w:vAlign w:val="bottom"/>
          </w:tcPr>
          <w:p w14:paraId="3255D1E9" w14:textId="1EA5FBF1"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r>
      <w:tr w:rsidR="00980409" w:rsidRPr="00604C75" w14:paraId="17DB4094" w14:textId="77777777" w:rsidTr="009D09BB">
        <w:trPr>
          <w:trHeight w:val="169"/>
        </w:trPr>
        <w:tc>
          <w:tcPr>
            <w:tcW w:w="7302" w:type="dxa"/>
            <w:shd w:val="clear" w:color="auto" w:fill="auto"/>
            <w:vAlign w:val="bottom"/>
            <w:hideMark/>
          </w:tcPr>
          <w:p w14:paraId="5F687470" w14:textId="77777777" w:rsidR="00980409" w:rsidRPr="00604C75" w:rsidRDefault="00980409" w:rsidP="00980409">
            <w:pPr>
              <w:rPr>
                <w:color w:val="000000"/>
                <w:sz w:val="16"/>
                <w:szCs w:val="16"/>
              </w:rPr>
            </w:pPr>
            <w:r w:rsidRPr="00604C75">
              <w:rPr>
                <w:color w:val="000000"/>
                <w:sz w:val="16"/>
                <w:szCs w:val="16"/>
                <w:lang w:val="tr-TR"/>
              </w:rPr>
              <w:t xml:space="preserve">Remaining Mortgage Servicing Rights </w:t>
            </w:r>
          </w:p>
        </w:tc>
        <w:tc>
          <w:tcPr>
            <w:tcW w:w="1198" w:type="dxa"/>
            <w:shd w:val="clear" w:color="auto" w:fill="auto"/>
            <w:vAlign w:val="bottom"/>
          </w:tcPr>
          <w:p w14:paraId="4547CCE5" w14:textId="1F4AA659"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132" w:type="dxa"/>
            <w:vAlign w:val="bottom"/>
          </w:tcPr>
          <w:p w14:paraId="6E8C4FB8" w14:textId="5C7A0B55"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r>
      <w:tr w:rsidR="00980409" w:rsidRPr="00604C75" w14:paraId="5DC288F7" w14:textId="77777777" w:rsidTr="009D09BB">
        <w:trPr>
          <w:trHeight w:val="169"/>
        </w:trPr>
        <w:tc>
          <w:tcPr>
            <w:tcW w:w="7302" w:type="dxa"/>
            <w:shd w:val="clear" w:color="auto" w:fill="auto"/>
            <w:vAlign w:val="bottom"/>
            <w:hideMark/>
          </w:tcPr>
          <w:p w14:paraId="5149359F" w14:textId="47443599" w:rsidR="00980409" w:rsidRPr="00604C75" w:rsidRDefault="00980409" w:rsidP="00980409">
            <w:pPr>
              <w:rPr>
                <w:color w:val="000000"/>
                <w:sz w:val="16"/>
                <w:szCs w:val="16"/>
              </w:rPr>
            </w:pPr>
            <w:r w:rsidRPr="00604C75">
              <w:rPr>
                <w:color w:val="000000"/>
                <w:sz w:val="16"/>
                <w:szCs w:val="16"/>
                <w:lang w:eastAsia="tr-TR"/>
              </w:rPr>
              <w:t xml:space="preserve">Net Deferred Tax Assets </w:t>
            </w:r>
            <w:r>
              <w:rPr>
                <w:color w:val="000000"/>
                <w:sz w:val="16"/>
                <w:szCs w:val="16"/>
                <w:lang w:eastAsia="tr-TR"/>
              </w:rPr>
              <w:t>A</w:t>
            </w:r>
            <w:r w:rsidRPr="00604C75">
              <w:rPr>
                <w:color w:val="000000"/>
                <w:sz w:val="16"/>
                <w:szCs w:val="16"/>
                <w:lang w:eastAsia="tr-TR"/>
              </w:rPr>
              <w:t>rising from Temporary Differences</w:t>
            </w:r>
          </w:p>
        </w:tc>
        <w:tc>
          <w:tcPr>
            <w:tcW w:w="1198" w:type="dxa"/>
            <w:shd w:val="clear" w:color="auto" w:fill="auto"/>
            <w:vAlign w:val="bottom"/>
          </w:tcPr>
          <w:p w14:paraId="009AF606" w14:textId="2A870712"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c>
          <w:tcPr>
            <w:tcW w:w="1132" w:type="dxa"/>
            <w:vAlign w:val="bottom"/>
          </w:tcPr>
          <w:p w14:paraId="53DCEED0" w14:textId="079125C4" w:rsidR="00980409" w:rsidRPr="00692926" w:rsidRDefault="00980409" w:rsidP="00980409">
            <w:pPr>
              <w:spacing w:before="100" w:beforeAutospacing="1" w:after="100" w:afterAutospacing="1" w:line="20" w:lineRule="atLeast"/>
              <w:jc w:val="right"/>
              <w:rPr>
                <w:sz w:val="16"/>
                <w:szCs w:val="16"/>
                <w:lang w:eastAsia="tr-TR"/>
              </w:rPr>
            </w:pPr>
            <w:r w:rsidRPr="00692926">
              <w:rPr>
                <w:sz w:val="16"/>
                <w:szCs w:val="16"/>
                <w:lang w:eastAsia="tr-TR"/>
              </w:rPr>
              <w:t>-</w:t>
            </w:r>
          </w:p>
        </w:tc>
      </w:tr>
    </w:tbl>
    <w:p w14:paraId="0B0D4426" w14:textId="77777777" w:rsidR="00622BC2" w:rsidRPr="00604C75" w:rsidRDefault="00622BC2" w:rsidP="002C5191">
      <w:pPr>
        <w:tabs>
          <w:tab w:val="left" w:pos="8301"/>
        </w:tabs>
        <w:ind w:left="980" w:right="70"/>
        <w:rPr>
          <w:sz w:val="18"/>
          <w:szCs w:val="18"/>
          <w:lang w:val="tr-TR"/>
        </w:rPr>
      </w:pPr>
      <w:r w:rsidRPr="00604C75">
        <w:rPr>
          <w:sz w:val="18"/>
          <w:szCs w:val="18"/>
          <w:lang w:val="tr-TR"/>
        </w:rPr>
        <w:tab/>
      </w:r>
    </w:p>
    <w:p w14:paraId="16FC262C" w14:textId="77777777" w:rsidR="003A3147" w:rsidRPr="003A3147" w:rsidRDefault="008D4965" w:rsidP="003A3147">
      <w:pPr>
        <w:pStyle w:val="BodyText3"/>
        <w:tabs>
          <w:tab w:val="clear" w:pos="539"/>
          <w:tab w:val="clear" w:pos="5310"/>
          <w:tab w:val="clear" w:pos="7560"/>
          <w:tab w:val="left" w:pos="0"/>
        </w:tabs>
        <w:spacing w:before="120" w:after="120"/>
        <w:jc w:val="both"/>
        <w:rPr>
          <w:sz w:val="20"/>
          <w:highlight w:val="yellow"/>
        </w:rPr>
      </w:pPr>
      <w:r w:rsidRPr="008D4965">
        <w:rPr>
          <w:b/>
          <w:i w:val="0"/>
          <w:sz w:val="20"/>
        </w:rPr>
        <w:t>Components of items of shareholders’ equity subject to temporary applications</w:t>
      </w:r>
      <w:r w:rsidR="003A3147" w:rsidRPr="003A3147">
        <w:rPr>
          <w:sz w:val="20"/>
          <w:highlight w:val="yellow"/>
        </w:rPr>
        <w:t xml:space="preserve"> </w:t>
      </w:r>
    </w:p>
    <w:p w14:paraId="62511A95" w14:textId="77777777" w:rsidR="00622BC2" w:rsidRPr="00604C75" w:rsidRDefault="00622BC2" w:rsidP="00342370">
      <w:pPr>
        <w:tabs>
          <w:tab w:val="left" w:pos="8301"/>
        </w:tabs>
        <w:ind w:right="70"/>
        <w:rPr>
          <w:sz w:val="18"/>
          <w:szCs w:val="18"/>
          <w:lang w:val="tr-TR"/>
        </w:rPr>
      </w:pPr>
    </w:p>
    <w:tbl>
      <w:tblPr>
        <w:tblW w:w="97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356"/>
        <w:gridCol w:w="1879"/>
        <w:gridCol w:w="1504"/>
      </w:tblGrid>
      <w:tr w:rsidR="00342370" w:rsidRPr="00604C75" w14:paraId="22F3A717" w14:textId="77777777" w:rsidTr="009D09BB">
        <w:trPr>
          <w:trHeight w:val="327"/>
        </w:trPr>
        <w:tc>
          <w:tcPr>
            <w:tcW w:w="6356" w:type="dxa"/>
            <w:shd w:val="clear" w:color="auto" w:fill="auto"/>
            <w:vAlign w:val="center"/>
          </w:tcPr>
          <w:p w14:paraId="5C75B399" w14:textId="77777777" w:rsidR="00342370" w:rsidRPr="00604C75" w:rsidRDefault="00342370" w:rsidP="001921C0">
            <w:pPr>
              <w:tabs>
                <w:tab w:val="left" w:pos="142"/>
              </w:tabs>
              <w:spacing w:line="216" w:lineRule="auto"/>
              <w:rPr>
                <w:sz w:val="18"/>
                <w:szCs w:val="18"/>
              </w:rPr>
            </w:pPr>
          </w:p>
          <w:p w14:paraId="2A77DCE2" w14:textId="77777777" w:rsidR="00342370" w:rsidRPr="00604C75" w:rsidRDefault="00342370" w:rsidP="001921C0">
            <w:pPr>
              <w:tabs>
                <w:tab w:val="left" w:pos="142"/>
              </w:tabs>
              <w:spacing w:line="216" w:lineRule="auto"/>
              <w:rPr>
                <w:rFonts w:eastAsia="Arial Unicode MS"/>
                <w:sz w:val="18"/>
                <w:szCs w:val="18"/>
              </w:rPr>
            </w:pPr>
            <w:r w:rsidRPr="00604C75">
              <w:rPr>
                <w:sz w:val="18"/>
                <w:szCs w:val="18"/>
              </w:rPr>
              <w:tab/>
            </w:r>
          </w:p>
        </w:tc>
        <w:tc>
          <w:tcPr>
            <w:tcW w:w="1879" w:type="dxa"/>
            <w:shd w:val="clear" w:color="auto" w:fill="auto"/>
            <w:vAlign w:val="center"/>
          </w:tcPr>
          <w:p w14:paraId="53619DF2" w14:textId="77777777" w:rsidR="00342370" w:rsidRPr="00604C75" w:rsidRDefault="00342370" w:rsidP="001921C0">
            <w:pPr>
              <w:autoSpaceDE w:val="0"/>
              <w:autoSpaceDN w:val="0"/>
              <w:adjustRightInd w:val="0"/>
              <w:jc w:val="center"/>
              <w:rPr>
                <w:rFonts w:eastAsiaTheme="minorHAnsi"/>
                <w:b/>
                <w:bCs/>
                <w:sz w:val="18"/>
                <w:szCs w:val="18"/>
                <w:lang w:val="tr-TR"/>
              </w:rPr>
            </w:pPr>
            <w:r w:rsidRPr="00604C75">
              <w:rPr>
                <w:rFonts w:eastAsiaTheme="minorHAnsi"/>
                <w:b/>
                <w:bCs/>
                <w:sz w:val="18"/>
                <w:szCs w:val="18"/>
                <w:lang w:val="tr-TR"/>
              </w:rPr>
              <w:t>Amount Included</w:t>
            </w:r>
          </w:p>
          <w:p w14:paraId="62F53091" w14:textId="77777777" w:rsidR="00342370" w:rsidRPr="00604C75" w:rsidRDefault="00342370" w:rsidP="001921C0">
            <w:pPr>
              <w:tabs>
                <w:tab w:val="left" w:pos="142"/>
              </w:tabs>
              <w:spacing w:line="216" w:lineRule="auto"/>
              <w:ind w:right="26"/>
              <w:jc w:val="center"/>
              <w:rPr>
                <w:sz w:val="18"/>
                <w:szCs w:val="18"/>
              </w:rPr>
            </w:pPr>
            <w:r w:rsidRPr="00604C75">
              <w:rPr>
                <w:rFonts w:eastAsiaTheme="minorHAnsi"/>
                <w:b/>
                <w:bCs/>
                <w:sz w:val="18"/>
                <w:szCs w:val="18"/>
                <w:lang w:val="tr-TR"/>
              </w:rPr>
              <w:t>in Equity Calculation</w:t>
            </w:r>
          </w:p>
        </w:tc>
        <w:tc>
          <w:tcPr>
            <w:tcW w:w="1504" w:type="dxa"/>
            <w:vAlign w:val="center"/>
          </w:tcPr>
          <w:p w14:paraId="73551AD7" w14:textId="77777777" w:rsidR="00342370" w:rsidRPr="00604C75" w:rsidRDefault="00342370" w:rsidP="001921C0">
            <w:pPr>
              <w:tabs>
                <w:tab w:val="left" w:pos="142"/>
              </w:tabs>
              <w:spacing w:line="216" w:lineRule="auto"/>
              <w:ind w:right="43"/>
              <w:jc w:val="center"/>
              <w:rPr>
                <w:snapToGrid w:val="0"/>
                <w:sz w:val="18"/>
                <w:szCs w:val="18"/>
              </w:rPr>
            </w:pPr>
            <w:r w:rsidRPr="00604C75">
              <w:rPr>
                <w:rFonts w:eastAsiaTheme="minorHAnsi"/>
                <w:b/>
                <w:bCs/>
                <w:sz w:val="18"/>
                <w:szCs w:val="18"/>
                <w:lang w:val="tr-TR"/>
              </w:rPr>
              <w:t>Total Amount</w:t>
            </w:r>
          </w:p>
        </w:tc>
      </w:tr>
      <w:tr w:rsidR="00224102" w:rsidRPr="00604C75" w14:paraId="6F29B511" w14:textId="77777777" w:rsidTr="009D09BB">
        <w:trPr>
          <w:trHeight w:val="188"/>
        </w:trPr>
        <w:tc>
          <w:tcPr>
            <w:tcW w:w="6356" w:type="dxa"/>
            <w:shd w:val="clear" w:color="auto" w:fill="auto"/>
            <w:vAlign w:val="center"/>
          </w:tcPr>
          <w:p w14:paraId="785DCFEE" w14:textId="1EC90D98" w:rsidR="00224102" w:rsidRPr="00604C75" w:rsidRDefault="00224102" w:rsidP="00224102">
            <w:pPr>
              <w:spacing w:before="100" w:beforeAutospacing="1" w:after="100" w:afterAutospacing="1" w:line="20" w:lineRule="atLeast"/>
              <w:jc w:val="both"/>
              <w:rPr>
                <w:sz w:val="18"/>
                <w:szCs w:val="18"/>
                <w:lang w:eastAsia="tr-TR"/>
              </w:rPr>
            </w:pPr>
            <w:r w:rsidRPr="00604C75">
              <w:rPr>
                <w:color w:val="000000"/>
                <w:sz w:val="18"/>
                <w:szCs w:val="18"/>
                <w:lang w:eastAsia="tr-TR"/>
              </w:rPr>
              <w:t xml:space="preserve">Minority </w:t>
            </w:r>
            <w:proofErr w:type="spellStart"/>
            <w:r>
              <w:rPr>
                <w:color w:val="000000"/>
                <w:sz w:val="18"/>
                <w:szCs w:val="18"/>
                <w:lang w:eastAsia="tr-TR"/>
              </w:rPr>
              <w:t>A</w:t>
            </w:r>
            <w:r w:rsidRPr="00604C75">
              <w:rPr>
                <w:color w:val="000000"/>
                <w:sz w:val="18"/>
                <w:szCs w:val="18"/>
                <w:lang w:eastAsia="tr-TR"/>
              </w:rPr>
              <w:t>hares</w:t>
            </w:r>
            <w:proofErr w:type="spellEnd"/>
            <w:r w:rsidRPr="00604C75">
              <w:rPr>
                <w:color w:val="000000"/>
                <w:sz w:val="18"/>
                <w:szCs w:val="18"/>
                <w:lang w:eastAsia="tr-TR"/>
              </w:rPr>
              <w:t xml:space="preserve"> in </w:t>
            </w:r>
            <w:r w:rsidRPr="00604C75">
              <w:rPr>
                <w:rFonts w:eastAsia="Arial Unicode MS"/>
                <w:sz w:val="18"/>
                <w:szCs w:val="18"/>
              </w:rPr>
              <w:t>Tier I Capital</w:t>
            </w:r>
          </w:p>
        </w:tc>
        <w:tc>
          <w:tcPr>
            <w:tcW w:w="1879" w:type="dxa"/>
            <w:shd w:val="clear" w:color="auto" w:fill="auto"/>
            <w:vAlign w:val="bottom"/>
          </w:tcPr>
          <w:p w14:paraId="41FECE9A" w14:textId="01B7E1D8" w:rsidR="00224102" w:rsidRPr="00692926" w:rsidRDefault="00224102" w:rsidP="00224102">
            <w:pPr>
              <w:spacing w:before="100" w:beforeAutospacing="1" w:after="100" w:afterAutospacing="1" w:line="20" w:lineRule="atLeast"/>
              <w:ind w:right="43"/>
              <w:jc w:val="right"/>
              <w:rPr>
                <w:sz w:val="18"/>
                <w:szCs w:val="18"/>
                <w:lang w:eastAsia="tr-TR"/>
              </w:rPr>
            </w:pPr>
            <w:r w:rsidRPr="007974CC">
              <w:rPr>
                <w:sz w:val="18"/>
                <w:szCs w:val="18"/>
                <w:lang w:eastAsia="tr-TR"/>
              </w:rPr>
              <w:t>11</w:t>
            </w:r>
          </w:p>
        </w:tc>
        <w:tc>
          <w:tcPr>
            <w:tcW w:w="1504" w:type="dxa"/>
            <w:vAlign w:val="bottom"/>
          </w:tcPr>
          <w:p w14:paraId="6748CE92" w14:textId="252E249B" w:rsidR="00224102" w:rsidRPr="00DC45D4" w:rsidRDefault="00224102" w:rsidP="00224102">
            <w:pPr>
              <w:spacing w:before="100" w:beforeAutospacing="1" w:after="100" w:afterAutospacing="1" w:line="20" w:lineRule="atLeast"/>
              <w:ind w:right="43"/>
              <w:jc w:val="right"/>
              <w:rPr>
                <w:sz w:val="18"/>
                <w:szCs w:val="18"/>
                <w:lang w:eastAsia="tr-TR"/>
              </w:rPr>
            </w:pPr>
            <w:r w:rsidRPr="007974CC">
              <w:rPr>
                <w:sz w:val="18"/>
                <w:szCs w:val="18"/>
                <w:lang w:eastAsia="tr-TR"/>
              </w:rPr>
              <w:t>11</w:t>
            </w:r>
          </w:p>
        </w:tc>
      </w:tr>
      <w:tr w:rsidR="00224102" w:rsidRPr="00604C75" w14:paraId="2EEADE82" w14:textId="77777777" w:rsidTr="009D09BB">
        <w:trPr>
          <w:trHeight w:val="188"/>
        </w:trPr>
        <w:tc>
          <w:tcPr>
            <w:tcW w:w="6356" w:type="dxa"/>
            <w:shd w:val="clear" w:color="auto" w:fill="auto"/>
          </w:tcPr>
          <w:p w14:paraId="2E143AF2" w14:textId="0A727021" w:rsidR="00224102" w:rsidRPr="00604C75" w:rsidRDefault="00224102" w:rsidP="00224102">
            <w:pPr>
              <w:spacing w:before="100" w:beforeAutospacing="1" w:after="100" w:afterAutospacing="1" w:line="20" w:lineRule="atLeast"/>
              <w:jc w:val="both"/>
              <w:rPr>
                <w:sz w:val="18"/>
                <w:szCs w:val="18"/>
                <w:lang w:eastAsia="tr-TR"/>
              </w:rPr>
            </w:pPr>
            <w:r w:rsidRPr="00604C75">
              <w:rPr>
                <w:sz w:val="18"/>
                <w:szCs w:val="18"/>
                <w:lang w:eastAsia="tr-TR"/>
              </w:rPr>
              <w:t xml:space="preserve">Third Parties’ </w:t>
            </w:r>
            <w:r>
              <w:rPr>
                <w:sz w:val="18"/>
                <w:szCs w:val="18"/>
                <w:lang w:eastAsia="tr-TR"/>
              </w:rPr>
              <w:t>S</w:t>
            </w:r>
            <w:r w:rsidRPr="00604C75">
              <w:rPr>
                <w:sz w:val="18"/>
                <w:szCs w:val="18"/>
                <w:lang w:eastAsia="tr-TR"/>
              </w:rPr>
              <w:t xml:space="preserve">hares in </w:t>
            </w:r>
            <w:r>
              <w:rPr>
                <w:sz w:val="18"/>
                <w:szCs w:val="18"/>
                <w:lang w:eastAsia="tr-TR"/>
              </w:rPr>
              <w:t>C</w:t>
            </w:r>
            <w:r w:rsidRPr="00604C75">
              <w:rPr>
                <w:sz w:val="18"/>
                <w:szCs w:val="18"/>
                <w:lang w:eastAsia="tr-TR"/>
              </w:rPr>
              <w:t>apital</w:t>
            </w:r>
          </w:p>
        </w:tc>
        <w:tc>
          <w:tcPr>
            <w:tcW w:w="1879" w:type="dxa"/>
            <w:shd w:val="clear" w:color="auto" w:fill="auto"/>
            <w:vAlign w:val="bottom"/>
          </w:tcPr>
          <w:p w14:paraId="592633CC" w14:textId="6EBA5D99" w:rsidR="00224102" w:rsidRPr="00692926" w:rsidRDefault="00224102" w:rsidP="00224102">
            <w:pPr>
              <w:spacing w:before="100" w:beforeAutospacing="1" w:after="100" w:afterAutospacing="1" w:line="20" w:lineRule="atLeast"/>
              <w:ind w:right="43"/>
              <w:jc w:val="right"/>
              <w:rPr>
                <w:sz w:val="18"/>
                <w:szCs w:val="18"/>
                <w:lang w:eastAsia="tr-TR"/>
              </w:rPr>
            </w:pPr>
            <w:r w:rsidRPr="007974CC">
              <w:rPr>
                <w:sz w:val="18"/>
                <w:szCs w:val="18"/>
                <w:lang w:eastAsia="tr-TR"/>
              </w:rPr>
              <w:t>-</w:t>
            </w:r>
          </w:p>
        </w:tc>
        <w:tc>
          <w:tcPr>
            <w:tcW w:w="1504" w:type="dxa"/>
            <w:vAlign w:val="bottom"/>
          </w:tcPr>
          <w:p w14:paraId="299E09CE" w14:textId="31FB4177" w:rsidR="00224102" w:rsidRPr="00DC45D4" w:rsidRDefault="00224102" w:rsidP="00224102">
            <w:pPr>
              <w:spacing w:before="100" w:beforeAutospacing="1" w:after="100" w:afterAutospacing="1" w:line="20" w:lineRule="atLeast"/>
              <w:ind w:right="43"/>
              <w:jc w:val="right"/>
              <w:rPr>
                <w:sz w:val="18"/>
                <w:szCs w:val="18"/>
                <w:lang w:eastAsia="tr-TR"/>
              </w:rPr>
            </w:pPr>
            <w:r w:rsidRPr="007974CC">
              <w:rPr>
                <w:sz w:val="18"/>
                <w:szCs w:val="18"/>
                <w:lang w:eastAsia="tr-TR"/>
              </w:rPr>
              <w:t>-</w:t>
            </w:r>
          </w:p>
        </w:tc>
      </w:tr>
      <w:tr w:rsidR="00224102" w:rsidRPr="00604C75" w14:paraId="79000A6E" w14:textId="77777777" w:rsidTr="009D09BB">
        <w:trPr>
          <w:trHeight w:val="188"/>
        </w:trPr>
        <w:tc>
          <w:tcPr>
            <w:tcW w:w="6356" w:type="dxa"/>
            <w:shd w:val="clear" w:color="auto" w:fill="auto"/>
          </w:tcPr>
          <w:p w14:paraId="0366DD53" w14:textId="634463B3" w:rsidR="00224102" w:rsidRPr="00834CDD" w:rsidRDefault="00224102" w:rsidP="00224102">
            <w:pPr>
              <w:spacing w:before="100" w:beforeAutospacing="1" w:after="100" w:afterAutospacing="1" w:line="20" w:lineRule="atLeast"/>
              <w:jc w:val="both"/>
              <w:rPr>
                <w:sz w:val="18"/>
                <w:szCs w:val="18"/>
                <w:lang w:eastAsia="tr-TR"/>
              </w:rPr>
            </w:pPr>
            <w:r w:rsidRPr="00834CDD">
              <w:rPr>
                <w:sz w:val="18"/>
                <w:szCs w:val="18"/>
                <w:lang w:eastAsia="tr-TR"/>
              </w:rPr>
              <w:t>Third Parties’ Shares in Tier II Capital</w:t>
            </w:r>
          </w:p>
        </w:tc>
        <w:tc>
          <w:tcPr>
            <w:tcW w:w="1879" w:type="dxa"/>
            <w:shd w:val="clear" w:color="auto" w:fill="auto"/>
            <w:vAlign w:val="bottom"/>
          </w:tcPr>
          <w:p w14:paraId="1C456031" w14:textId="3B504FCE" w:rsidR="00224102" w:rsidRPr="00692926" w:rsidRDefault="00224102" w:rsidP="00224102">
            <w:pPr>
              <w:spacing w:before="100" w:beforeAutospacing="1" w:after="100" w:afterAutospacing="1" w:line="20" w:lineRule="atLeast"/>
              <w:ind w:right="43"/>
              <w:jc w:val="right"/>
              <w:rPr>
                <w:sz w:val="18"/>
                <w:szCs w:val="18"/>
                <w:lang w:eastAsia="tr-TR"/>
              </w:rPr>
            </w:pPr>
            <w:r w:rsidRPr="007974CC">
              <w:rPr>
                <w:sz w:val="18"/>
                <w:szCs w:val="18"/>
                <w:lang w:eastAsia="tr-TR"/>
              </w:rPr>
              <w:t>-</w:t>
            </w:r>
          </w:p>
        </w:tc>
        <w:tc>
          <w:tcPr>
            <w:tcW w:w="1504" w:type="dxa"/>
            <w:vAlign w:val="bottom"/>
          </w:tcPr>
          <w:p w14:paraId="2C8803A1" w14:textId="41F67D55" w:rsidR="00224102" w:rsidRPr="00DC45D4" w:rsidRDefault="00224102" w:rsidP="00224102">
            <w:pPr>
              <w:spacing w:before="100" w:beforeAutospacing="1" w:after="100" w:afterAutospacing="1" w:line="20" w:lineRule="atLeast"/>
              <w:ind w:right="43"/>
              <w:jc w:val="right"/>
              <w:rPr>
                <w:sz w:val="18"/>
                <w:szCs w:val="18"/>
                <w:lang w:eastAsia="tr-TR"/>
              </w:rPr>
            </w:pPr>
            <w:r w:rsidRPr="007974CC">
              <w:rPr>
                <w:sz w:val="18"/>
                <w:szCs w:val="18"/>
                <w:lang w:eastAsia="tr-TR"/>
              </w:rPr>
              <w:t>-</w:t>
            </w:r>
          </w:p>
        </w:tc>
      </w:tr>
      <w:tr w:rsidR="00224102" w:rsidRPr="00604C75" w14:paraId="1F9AAE1D" w14:textId="77777777" w:rsidTr="009D09BB">
        <w:trPr>
          <w:trHeight w:val="188"/>
        </w:trPr>
        <w:tc>
          <w:tcPr>
            <w:tcW w:w="6356" w:type="dxa"/>
            <w:shd w:val="clear" w:color="auto" w:fill="auto"/>
            <w:vAlign w:val="center"/>
          </w:tcPr>
          <w:p w14:paraId="119D2117" w14:textId="5B151669" w:rsidR="00224102" w:rsidRPr="00834CDD" w:rsidRDefault="00224102" w:rsidP="0073281E">
            <w:pPr>
              <w:spacing w:before="100" w:beforeAutospacing="1" w:after="100" w:afterAutospacing="1" w:line="20" w:lineRule="atLeast"/>
              <w:jc w:val="both"/>
              <w:rPr>
                <w:sz w:val="18"/>
                <w:szCs w:val="18"/>
                <w:lang w:eastAsia="tr-TR"/>
              </w:rPr>
            </w:pPr>
            <w:r w:rsidRPr="0073281E">
              <w:rPr>
                <w:sz w:val="18"/>
                <w:szCs w:val="18"/>
                <w:lang w:eastAsia="tr-TR"/>
              </w:rPr>
              <w:t>Debt Instruments and the Related Issuance Premiums Defined by the BRSA</w:t>
            </w:r>
            <w:r w:rsidR="0073281E">
              <w:rPr>
                <w:sz w:val="18"/>
                <w:szCs w:val="18"/>
                <w:lang w:eastAsia="tr-TR"/>
              </w:rPr>
              <w:t xml:space="preserve"> </w:t>
            </w:r>
            <w:r w:rsidRPr="0073281E">
              <w:rPr>
                <w:sz w:val="18"/>
                <w:szCs w:val="18"/>
                <w:lang w:eastAsia="tr-TR"/>
              </w:rPr>
              <w:t>(Issued before 1.1.2014)</w:t>
            </w:r>
          </w:p>
        </w:tc>
        <w:tc>
          <w:tcPr>
            <w:tcW w:w="1879" w:type="dxa"/>
            <w:shd w:val="clear" w:color="auto" w:fill="auto"/>
            <w:vAlign w:val="bottom"/>
          </w:tcPr>
          <w:p w14:paraId="540B1E09" w14:textId="49EA6C19" w:rsidR="00224102" w:rsidRPr="00692926" w:rsidRDefault="00224102" w:rsidP="00224102">
            <w:pPr>
              <w:spacing w:before="100" w:beforeAutospacing="1" w:after="100" w:afterAutospacing="1" w:line="20" w:lineRule="atLeast"/>
              <w:ind w:right="43"/>
              <w:jc w:val="right"/>
              <w:rPr>
                <w:sz w:val="18"/>
                <w:szCs w:val="18"/>
                <w:lang w:eastAsia="tr-TR"/>
              </w:rPr>
            </w:pPr>
            <w:r w:rsidRPr="007974CC">
              <w:rPr>
                <w:sz w:val="18"/>
                <w:szCs w:val="18"/>
              </w:rPr>
              <w:t>296,226</w:t>
            </w:r>
          </w:p>
        </w:tc>
        <w:tc>
          <w:tcPr>
            <w:tcW w:w="1504" w:type="dxa"/>
            <w:vAlign w:val="bottom"/>
          </w:tcPr>
          <w:p w14:paraId="498C1F54" w14:textId="16CE652F" w:rsidR="00224102" w:rsidRPr="00DC45D4" w:rsidRDefault="00224102" w:rsidP="009D09BB">
            <w:pPr>
              <w:spacing w:before="100" w:beforeAutospacing="1" w:after="100" w:afterAutospacing="1" w:line="20" w:lineRule="atLeast"/>
              <w:ind w:right="43"/>
              <w:jc w:val="right"/>
              <w:rPr>
                <w:sz w:val="18"/>
                <w:szCs w:val="18"/>
                <w:lang w:eastAsia="tr-TR"/>
              </w:rPr>
            </w:pPr>
            <w:r>
              <w:rPr>
                <w:sz w:val="18"/>
                <w:szCs w:val="18"/>
              </w:rPr>
              <w:t>402,796</w:t>
            </w:r>
          </w:p>
        </w:tc>
      </w:tr>
    </w:tbl>
    <w:p w14:paraId="0C1644C9" w14:textId="77777777" w:rsidR="00622BC2" w:rsidRPr="00604C75" w:rsidRDefault="00622BC2" w:rsidP="002C5191">
      <w:pPr>
        <w:tabs>
          <w:tab w:val="left" w:pos="8301"/>
        </w:tabs>
        <w:ind w:left="980" w:right="70"/>
        <w:rPr>
          <w:sz w:val="18"/>
          <w:szCs w:val="18"/>
          <w:lang w:val="tr-TR"/>
        </w:rPr>
      </w:pPr>
    </w:p>
    <w:p w14:paraId="4D5999FA" w14:textId="77777777" w:rsidR="00622BC2" w:rsidRPr="00604C75" w:rsidRDefault="00622BC2" w:rsidP="002C5191">
      <w:pPr>
        <w:tabs>
          <w:tab w:val="left" w:pos="8301"/>
        </w:tabs>
        <w:ind w:left="980" w:right="70"/>
        <w:rPr>
          <w:sz w:val="18"/>
          <w:szCs w:val="18"/>
          <w:lang w:val="tr-TR"/>
        </w:rPr>
      </w:pPr>
    </w:p>
    <w:p w14:paraId="0174E630" w14:textId="77777777" w:rsidR="00622BC2" w:rsidRPr="00604C75" w:rsidRDefault="00622BC2" w:rsidP="002C5191">
      <w:pPr>
        <w:tabs>
          <w:tab w:val="left" w:pos="8301"/>
        </w:tabs>
        <w:ind w:left="980" w:right="70"/>
        <w:rPr>
          <w:sz w:val="18"/>
          <w:szCs w:val="18"/>
          <w:lang w:val="tr-TR"/>
        </w:rPr>
      </w:pPr>
    </w:p>
    <w:p w14:paraId="7CAF7528" w14:textId="77777777" w:rsidR="00622BC2" w:rsidRPr="00604C75" w:rsidRDefault="00622BC2" w:rsidP="002C5191">
      <w:pPr>
        <w:tabs>
          <w:tab w:val="left" w:pos="8301"/>
        </w:tabs>
        <w:ind w:left="980" w:right="70"/>
        <w:rPr>
          <w:sz w:val="18"/>
          <w:szCs w:val="18"/>
          <w:lang w:val="tr-TR"/>
        </w:rPr>
      </w:pPr>
    </w:p>
    <w:p w14:paraId="722E88CC" w14:textId="77777777" w:rsidR="00622BC2" w:rsidRPr="00604C75" w:rsidRDefault="00622BC2" w:rsidP="002C5191">
      <w:pPr>
        <w:tabs>
          <w:tab w:val="left" w:pos="8301"/>
        </w:tabs>
        <w:ind w:left="980" w:right="70"/>
        <w:rPr>
          <w:sz w:val="18"/>
          <w:szCs w:val="18"/>
          <w:lang w:val="tr-TR"/>
        </w:rPr>
      </w:pPr>
    </w:p>
    <w:p w14:paraId="7E42FCDB" w14:textId="77777777" w:rsidR="00622BC2" w:rsidRPr="00604C75" w:rsidRDefault="00622BC2" w:rsidP="002C5191">
      <w:pPr>
        <w:tabs>
          <w:tab w:val="left" w:pos="8301"/>
        </w:tabs>
        <w:ind w:left="980" w:right="70"/>
        <w:rPr>
          <w:sz w:val="18"/>
          <w:szCs w:val="18"/>
          <w:lang w:val="tr-TR"/>
        </w:rPr>
      </w:pPr>
    </w:p>
    <w:p w14:paraId="6AEB5C69" w14:textId="77777777" w:rsidR="00622BC2" w:rsidRPr="00604C75" w:rsidRDefault="00622BC2" w:rsidP="002C5191">
      <w:pPr>
        <w:tabs>
          <w:tab w:val="left" w:pos="8301"/>
        </w:tabs>
        <w:ind w:left="980" w:right="70"/>
        <w:rPr>
          <w:sz w:val="18"/>
          <w:szCs w:val="18"/>
          <w:lang w:val="tr-TR"/>
        </w:rPr>
      </w:pPr>
    </w:p>
    <w:p w14:paraId="624515EA" w14:textId="77777777" w:rsidR="00622BC2" w:rsidRPr="00604C75" w:rsidRDefault="00622BC2" w:rsidP="002C5191">
      <w:pPr>
        <w:tabs>
          <w:tab w:val="left" w:pos="8301"/>
        </w:tabs>
        <w:ind w:left="980" w:right="70"/>
        <w:rPr>
          <w:sz w:val="18"/>
          <w:szCs w:val="18"/>
          <w:lang w:val="tr-TR"/>
        </w:rPr>
      </w:pPr>
    </w:p>
    <w:p w14:paraId="0F668FE5" w14:textId="77777777" w:rsidR="00622BC2" w:rsidRPr="00604C75" w:rsidRDefault="00622BC2" w:rsidP="002C5191">
      <w:pPr>
        <w:tabs>
          <w:tab w:val="left" w:pos="8301"/>
        </w:tabs>
        <w:ind w:left="980" w:right="70"/>
        <w:rPr>
          <w:sz w:val="18"/>
          <w:szCs w:val="18"/>
          <w:lang w:val="tr-TR"/>
        </w:rPr>
      </w:pPr>
    </w:p>
    <w:p w14:paraId="6CAB0E85" w14:textId="77777777" w:rsidR="00622BC2" w:rsidRPr="00604C75" w:rsidRDefault="00622BC2" w:rsidP="002C5191">
      <w:pPr>
        <w:tabs>
          <w:tab w:val="left" w:pos="8301"/>
        </w:tabs>
        <w:ind w:left="980" w:right="70"/>
        <w:rPr>
          <w:sz w:val="18"/>
          <w:szCs w:val="18"/>
          <w:lang w:val="tr-TR"/>
        </w:rPr>
      </w:pPr>
    </w:p>
    <w:p w14:paraId="7958E558" w14:textId="77777777" w:rsidR="00622BC2" w:rsidRPr="00604C75" w:rsidRDefault="00622BC2" w:rsidP="002C5191">
      <w:pPr>
        <w:tabs>
          <w:tab w:val="left" w:pos="8301"/>
        </w:tabs>
        <w:ind w:left="980" w:right="70"/>
        <w:rPr>
          <w:sz w:val="18"/>
          <w:szCs w:val="18"/>
          <w:lang w:val="tr-TR"/>
        </w:rPr>
      </w:pPr>
    </w:p>
    <w:p w14:paraId="626369DC" w14:textId="77777777" w:rsidR="00710FB4" w:rsidRPr="00604C75" w:rsidRDefault="00710FB4" w:rsidP="00BF5F88">
      <w:pPr>
        <w:pStyle w:val="BodyTextIndent"/>
        <w:spacing w:after="0" w:line="221" w:lineRule="auto"/>
        <w:ind w:left="0"/>
        <w:jc w:val="both"/>
        <w:rPr>
          <w:b/>
          <w:noProof/>
          <w:sz w:val="20"/>
          <w:szCs w:val="20"/>
          <w:lang w:val="tr-TR"/>
        </w:rPr>
      </w:pPr>
    </w:p>
    <w:p w14:paraId="1AE117BB" w14:textId="77777777" w:rsidR="00C11499" w:rsidRPr="00604C75" w:rsidRDefault="00C11499" w:rsidP="0011340D">
      <w:pPr>
        <w:spacing w:line="216" w:lineRule="auto"/>
        <w:ind w:left="851"/>
        <w:jc w:val="both"/>
        <w:rPr>
          <w:rFonts w:eastAsia="Arial Unicode MS"/>
          <w:bCs/>
          <w:sz w:val="20"/>
          <w:szCs w:val="20"/>
        </w:rPr>
      </w:pPr>
    </w:p>
    <w:p w14:paraId="48582F9C" w14:textId="77777777" w:rsidR="00C11499" w:rsidRPr="00604C75" w:rsidRDefault="00C11499" w:rsidP="0011340D">
      <w:pPr>
        <w:spacing w:line="216" w:lineRule="auto"/>
        <w:ind w:left="851"/>
        <w:jc w:val="both"/>
        <w:rPr>
          <w:rFonts w:eastAsia="Arial Unicode MS"/>
          <w:bCs/>
          <w:sz w:val="20"/>
          <w:szCs w:val="20"/>
        </w:rPr>
      </w:pPr>
    </w:p>
    <w:p w14:paraId="7A2742DE" w14:textId="77777777" w:rsidR="00C11499" w:rsidRPr="00604C75" w:rsidRDefault="00C11499" w:rsidP="0011340D">
      <w:pPr>
        <w:spacing w:line="216" w:lineRule="auto"/>
        <w:ind w:left="851"/>
        <w:jc w:val="both"/>
        <w:rPr>
          <w:rFonts w:eastAsia="Arial Unicode MS"/>
          <w:bCs/>
          <w:sz w:val="20"/>
          <w:szCs w:val="20"/>
        </w:rPr>
      </w:pPr>
    </w:p>
    <w:p w14:paraId="4F3D3EA0" w14:textId="24E55948" w:rsidR="00BF5F88" w:rsidRPr="00604C75" w:rsidRDefault="0090051F" w:rsidP="00E83EAC">
      <w:pPr>
        <w:pStyle w:val="NormalIndent"/>
        <w:pageBreakBefore/>
        <w:widowControl w:val="0"/>
        <w:spacing w:after="120"/>
        <w:ind w:left="0"/>
        <w:jc w:val="both"/>
        <w:rPr>
          <w:b/>
          <w:bCs/>
          <w:noProof/>
          <w:lang w:val="tr-TR"/>
        </w:rPr>
      </w:pPr>
      <w:r w:rsidRPr="00604C75">
        <w:rPr>
          <w:b/>
          <w:bCs/>
          <w:noProof/>
          <w:lang w:val="tr-TR"/>
        </w:rPr>
        <w:lastRenderedPageBreak/>
        <w:t xml:space="preserve">INFORMATION </w:t>
      </w:r>
      <w:r w:rsidR="00BF5F88" w:rsidRPr="00604C75">
        <w:rPr>
          <w:b/>
          <w:bCs/>
          <w:noProof/>
          <w:lang w:val="tr-TR"/>
        </w:rPr>
        <w:t>O</w:t>
      </w:r>
      <w:r w:rsidR="00A041CD">
        <w:rPr>
          <w:b/>
          <w:bCs/>
          <w:noProof/>
          <w:lang w:val="tr-TR"/>
        </w:rPr>
        <w:t>N THE</w:t>
      </w:r>
      <w:r w:rsidR="00BF5F88" w:rsidRPr="00604C75">
        <w:rPr>
          <w:b/>
          <w:bCs/>
          <w:noProof/>
          <w:lang w:val="tr-TR"/>
        </w:rPr>
        <w:t xml:space="preserve"> FINANCIAL POSITION OF THE GROUP (Continued)</w:t>
      </w:r>
    </w:p>
    <w:p w14:paraId="7B986340" w14:textId="77777777" w:rsidR="00EB2E4E" w:rsidRPr="00604C75" w:rsidRDefault="00EB2E4E" w:rsidP="008477F3">
      <w:pPr>
        <w:pStyle w:val="BodyTextIndent"/>
        <w:numPr>
          <w:ilvl w:val="0"/>
          <w:numId w:val="64"/>
        </w:numPr>
        <w:tabs>
          <w:tab w:val="left" w:pos="1276"/>
        </w:tabs>
        <w:spacing w:line="221" w:lineRule="auto"/>
        <w:ind w:left="709"/>
        <w:jc w:val="both"/>
        <w:rPr>
          <w:b/>
          <w:noProof/>
          <w:sz w:val="20"/>
          <w:szCs w:val="20"/>
          <w:lang w:val="tr-TR"/>
        </w:rPr>
      </w:pPr>
      <w:r w:rsidRPr="00604C75">
        <w:rPr>
          <w:b/>
          <w:noProof/>
          <w:sz w:val="20"/>
          <w:lang w:val="tr-TR"/>
        </w:rPr>
        <w:t>Information on Capital Adequacy Ratio</w:t>
      </w:r>
      <w:r w:rsidRPr="00604C75" w:rsidDel="00613F85">
        <w:rPr>
          <w:b/>
          <w:noProof/>
          <w:sz w:val="20"/>
          <w:lang w:val="tr-TR"/>
        </w:rPr>
        <w:t xml:space="preserve"> </w:t>
      </w:r>
      <w:r w:rsidRPr="00604C75">
        <w:rPr>
          <w:b/>
          <w:bCs/>
          <w:noProof/>
          <w:sz w:val="20"/>
          <w:lang w:val="tr-TR"/>
        </w:rPr>
        <w:t>(Continued)</w:t>
      </w:r>
    </w:p>
    <w:p w14:paraId="20249A5E" w14:textId="77777777" w:rsidR="009F61D3" w:rsidRPr="00E83EAC" w:rsidRDefault="009F61D3" w:rsidP="00224102">
      <w:pPr>
        <w:spacing w:before="120" w:after="120"/>
        <w:rPr>
          <w:sz w:val="20"/>
          <w:szCs w:val="20"/>
        </w:rPr>
      </w:pPr>
      <w:r w:rsidRPr="00E83EAC">
        <w:rPr>
          <w:b/>
          <w:bCs/>
          <w:sz w:val="20"/>
          <w:szCs w:val="20"/>
        </w:rPr>
        <w:t>Details on Subordinated Liabilities</w:t>
      </w:r>
    </w:p>
    <w:tbl>
      <w:tblPr>
        <w:tblW w:w="10282" w:type="dxa"/>
        <w:tblInd w:w="-29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778"/>
        <w:gridCol w:w="1417"/>
        <w:gridCol w:w="1418"/>
        <w:gridCol w:w="1417"/>
        <w:gridCol w:w="1418"/>
        <w:gridCol w:w="1417"/>
        <w:gridCol w:w="1417"/>
      </w:tblGrid>
      <w:tr w:rsidR="00342370" w:rsidRPr="00EA3453" w14:paraId="566709C7" w14:textId="77777777" w:rsidTr="0073281E">
        <w:trPr>
          <w:trHeight w:val="20"/>
        </w:trPr>
        <w:tc>
          <w:tcPr>
            <w:tcW w:w="1778" w:type="dxa"/>
            <w:shd w:val="clear" w:color="000000" w:fill="FFFFFF"/>
            <w:vAlign w:val="bottom"/>
            <w:hideMark/>
          </w:tcPr>
          <w:p w14:paraId="1A018E50" w14:textId="77777777" w:rsidR="00342370" w:rsidRPr="00AF1C1D" w:rsidRDefault="00342370" w:rsidP="001921C0">
            <w:pPr>
              <w:rPr>
                <w:sz w:val="16"/>
                <w:szCs w:val="16"/>
                <w:lang w:eastAsia="tr-TR"/>
              </w:rPr>
            </w:pPr>
            <w:r w:rsidRPr="00AF1C1D">
              <w:rPr>
                <w:sz w:val="16"/>
                <w:szCs w:val="16"/>
                <w:lang w:eastAsia="tr-TR"/>
              </w:rPr>
              <w:t>Issuer</w:t>
            </w:r>
          </w:p>
        </w:tc>
        <w:tc>
          <w:tcPr>
            <w:tcW w:w="1417" w:type="dxa"/>
            <w:shd w:val="clear" w:color="000000" w:fill="FFFFFF"/>
            <w:vAlign w:val="bottom"/>
            <w:hideMark/>
          </w:tcPr>
          <w:p w14:paraId="48BD47E3" w14:textId="3293AD0B" w:rsidR="00342370" w:rsidRPr="00AF1C1D" w:rsidRDefault="00342370" w:rsidP="001921C0">
            <w:pPr>
              <w:ind w:firstLineChars="200" w:firstLine="320"/>
              <w:jc w:val="right"/>
              <w:rPr>
                <w:sz w:val="16"/>
                <w:szCs w:val="16"/>
                <w:lang w:eastAsia="tr-TR"/>
              </w:rPr>
            </w:pPr>
            <w:r w:rsidRPr="00AF1C1D">
              <w:rPr>
                <w:sz w:val="16"/>
                <w:szCs w:val="16"/>
                <w:lang w:eastAsia="tr-TR"/>
              </w:rPr>
              <w:t>IFC-INT</w:t>
            </w:r>
            <w:r w:rsidR="00B85547">
              <w:rPr>
                <w:sz w:val="16"/>
                <w:szCs w:val="16"/>
                <w:lang w:eastAsia="tr-TR"/>
              </w:rPr>
              <w:t>’</w:t>
            </w:r>
            <w:r w:rsidRPr="00AF1C1D">
              <w:rPr>
                <w:sz w:val="16"/>
                <w:szCs w:val="16"/>
                <w:lang w:eastAsia="tr-TR"/>
              </w:rPr>
              <w:t>L FINANCE CO</w:t>
            </w:r>
          </w:p>
        </w:tc>
        <w:tc>
          <w:tcPr>
            <w:tcW w:w="1418" w:type="dxa"/>
            <w:shd w:val="clear" w:color="000000" w:fill="FFFFFF"/>
            <w:vAlign w:val="bottom"/>
            <w:hideMark/>
          </w:tcPr>
          <w:p w14:paraId="207BAB7B" w14:textId="77777777" w:rsidR="00342370" w:rsidRPr="00AF1C1D" w:rsidRDefault="00342370" w:rsidP="001921C0">
            <w:pPr>
              <w:ind w:firstLineChars="200" w:firstLine="320"/>
              <w:jc w:val="right"/>
              <w:rPr>
                <w:sz w:val="16"/>
                <w:szCs w:val="16"/>
                <w:lang w:eastAsia="tr-TR"/>
              </w:rPr>
            </w:pPr>
            <w:r w:rsidRPr="00AF1C1D">
              <w:rPr>
                <w:sz w:val="16"/>
                <w:szCs w:val="16"/>
                <w:lang w:eastAsia="tr-TR"/>
              </w:rPr>
              <w:t>FMO AMSTERDAM</w:t>
            </w:r>
          </w:p>
        </w:tc>
        <w:tc>
          <w:tcPr>
            <w:tcW w:w="1417" w:type="dxa"/>
            <w:shd w:val="clear" w:color="000000" w:fill="FFFFFF"/>
            <w:vAlign w:val="bottom"/>
            <w:hideMark/>
          </w:tcPr>
          <w:p w14:paraId="436E4342" w14:textId="77777777" w:rsidR="00342370" w:rsidRPr="00AF1C1D" w:rsidRDefault="00342370" w:rsidP="001921C0">
            <w:pPr>
              <w:ind w:firstLineChars="200" w:firstLine="320"/>
              <w:jc w:val="right"/>
              <w:rPr>
                <w:sz w:val="16"/>
                <w:szCs w:val="16"/>
                <w:lang w:eastAsia="tr-TR"/>
              </w:rPr>
            </w:pPr>
            <w:r w:rsidRPr="00AF1C1D">
              <w:rPr>
                <w:sz w:val="16"/>
                <w:szCs w:val="16"/>
                <w:lang w:eastAsia="tr-TR"/>
              </w:rPr>
              <w:t>BLACK SEA TRADE AND DEVELOPMENT BANK</w:t>
            </w:r>
          </w:p>
        </w:tc>
        <w:tc>
          <w:tcPr>
            <w:tcW w:w="1418" w:type="dxa"/>
            <w:shd w:val="clear" w:color="000000" w:fill="FFFFFF"/>
            <w:vAlign w:val="bottom"/>
            <w:hideMark/>
          </w:tcPr>
          <w:p w14:paraId="78170FF1" w14:textId="77777777" w:rsidR="00342370" w:rsidRPr="00AF1C1D" w:rsidRDefault="00342370" w:rsidP="001921C0">
            <w:pPr>
              <w:ind w:firstLineChars="200" w:firstLine="320"/>
              <w:jc w:val="right"/>
              <w:rPr>
                <w:sz w:val="16"/>
                <w:szCs w:val="16"/>
                <w:lang w:eastAsia="tr-TR"/>
              </w:rPr>
            </w:pPr>
            <w:r w:rsidRPr="00AF1C1D">
              <w:rPr>
                <w:sz w:val="16"/>
                <w:szCs w:val="16"/>
                <w:lang w:eastAsia="tr-TR"/>
              </w:rPr>
              <w:t>DEGKÖLN</w:t>
            </w:r>
          </w:p>
        </w:tc>
        <w:tc>
          <w:tcPr>
            <w:tcW w:w="1417" w:type="dxa"/>
            <w:shd w:val="clear" w:color="000000" w:fill="FFFFFF"/>
            <w:vAlign w:val="bottom"/>
            <w:hideMark/>
          </w:tcPr>
          <w:p w14:paraId="27CB9001" w14:textId="21C61FD1" w:rsidR="00342370" w:rsidRPr="00AF1C1D" w:rsidRDefault="00B85547" w:rsidP="00B85547">
            <w:pPr>
              <w:ind w:leftChars="-64" w:hangingChars="96" w:hanging="154"/>
              <w:jc w:val="right"/>
              <w:rPr>
                <w:sz w:val="16"/>
                <w:szCs w:val="16"/>
                <w:lang w:eastAsia="tr-TR"/>
              </w:rPr>
            </w:pPr>
            <w:r>
              <w:rPr>
                <w:sz w:val="16"/>
                <w:szCs w:val="16"/>
                <w:lang w:eastAsia="tr-TR"/>
              </w:rPr>
              <w:t xml:space="preserve"> </w:t>
            </w:r>
            <w:r w:rsidR="00342370" w:rsidRPr="00AF1C1D">
              <w:rPr>
                <w:sz w:val="16"/>
                <w:szCs w:val="16"/>
                <w:lang w:eastAsia="tr-TR"/>
              </w:rPr>
              <w:t>EFSESASICAV-SIF</w:t>
            </w:r>
          </w:p>
        </w:tc>
        <w:tc>
          <w:tcPr>
            <w:tcW w:w="1417" w:type="dxa"/>
            <w:shd w:val="clear" w:color="000000" w:fill="FFFFFF"/>
          </w:tcPr>
          <w:p w14:paraId="47604F27" w14:textId="77777777" w:rsidR="00342370" w:rsidRPr="0067190E" w:rsidRDefault="00342370" w:rsidP="001921C0">
            <w:pPr>
              <w:jc w:val="right"/>
              <w:rPr>
                <w:sz w:val="16"/>
                <w:szCs w:val="16"/>
                <w:lang w:eastAsia="tr-TR"/>
              </w:rPr>
            </w:pPr>
          </w:p>
          <w:p w14:paraId="4E9C1F3B" w14:textId="51B1AF54" w:rsidR="00342370" w:rsidRPr="0067190E" w:rsidRDefault="00342370" w:rsidP="001921C0">
            <w:pPr>
              <w:jc w:val="right"/>
              <w:rPr>
                <w:sz w:val="16"/>
                <w:szCs w:val="16"/>
                <w:lang w:eastAsia="tr-TR"/>
              </w:rPr>
            </w:pPr>
            <w:r w:rsidRPr="0067190E">
              <w:rPr>
                <w:sz w:val="16"/>
                <w:szCs w:val="16"/>
                <w:lang w:eastAsia="tr-TR"/>
              </w:rPr>
              <w:t>COMMERCIAL BANK, UNITED ARAB BANK, NATIONAL BANK OF OMAN</w:t>
            </w:r>
          </w:p>
        </w:tc>
      </w:tr>
      <w:tr w:rsidR="00342370" w:rsidRPr="00EA3453" w14:paraId="6004CBAA" w14:textId="77777777" w:rsidTr="0073281E">
        <w:trPr>
          <w:trHeight w:val="20"/>
        </w:trPr>
        <w:tc>
          <w:tcPr>
            <w:tcW w:w="1778" w:type="dxa"/>
            <w:shd w:val="clear" w:color="000000" w:fill="FFFFFF"/>
            <w:vAlign w:val="bottom"/>
            <w:hideMark/>
          </w:tcPr>
          <w:p w14:paraId="49EEEDFC" w14:textId="77777777" w:rsidR="00342370" w:rsidRPr="00AF1C1D" w:rsidRDefault="00342370" w:rsidP="001921C0">
            <w:pPr>
              <w:rPr>
                <w:sz w:val="16"/>
                <w:szCs w:val="16"/>
                <w:lang w:eastAsia="tr-TR"/>
              </w:rPr>
            </w:pPr>
            <w:r w:rsidRPr="00AF1C1D">
              <w:rPr>
                <w:sz w:val="16"/>
                <w:szCs w:val="16"/>
              </w:rPr>
              <w:t>Unique identifier (</w:t>
            </w:r>
            <w:proofErr w:type="spellStart"/>
            <w:r w:rsidRPr="00AF1C1D">
              <w:rPr>
                <w:sz w:val="16"/>
                <w:szCs w:val="16"/>
              </w:rPr>
              <w:t>eg</w:t>
            </w:r>
            <w:proofErr w:type="spellEnd"/>
            <w:r w:rsidRPr="00AF1C1D">
              <w:rPr>
                <w:sz w:val="16"/>
                <w:szCs w:val="16"/>
              </w:rPr>
              <w:t xml:space="preserve"> CUSIP, ISIN)</w:t>
            </w:r>
          </w:p>
        </w:tc>
        <w:tc>
          <w:tcPr>
            <w:tcW w:w="1417" w:type="dxa"/>
            <w:shd w:val="clear" w:color="000000" w:fill="FFFFFF"/>
            <w:vAlign w:val="bottom"/>
            <w:hideMark/>
          </w:tcPr>
          <w:p w14:paraId="6E2CBC74" w14:textId="77777777"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8" w:type="dxa"/>
            <w:shd w:val="clear" w:color="000000" w:fill="FFFFFF"/>
            <w:vAlign w:val="bottom"/>
            <w:hideMark/>
          </w:tcPr>
          <w:p w14:paraId="45469B29" w14:textId="77777777"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7" w:type="dxa"/>
            <w:shd w:val="clear" w:color="000000" w:fill="FFFFFF"/>
            <w:vAlign w:val="bottom"/>
            <w:hideMark/>
          </w:tcPr>
          <w:p w14:paraId="40BB58D3" w14:textId="77777777"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8" w:type="dxa"/>
            <w:shd w:val="clear" w:color="000000" w:fill="FFFFFF"/>
            <w:vAlign w:val="bottom"/>
            <w:hideMark/>
          </w:tcPr>
          <w:p w14:paraId="6E4B63D3" w14:textId="77777777"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7" w:type="dxa"/>
            <w:shd w:val="clear" w:color="000000" w:fill="FFFFFF"/>
            <w:vAlign w:val="bottom"/>
            <w:hideMark/>
          </w:tcPr>
          <w:p w14:paraId="5D41994D" w14:textId="77777777" w:rsidR="00342370" w:rsidRPr="00AF1C1D" w:rsidRDefault="00342370" w:rsidP="001921C0">
            <w:pPr>
              <w:ind w:firstLineChars="200" w:firstLine="320"/>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38A2FE5B" w14:textId="77777777" w:rsidR="00342370" w:rsidRPr="00EA3453" w:rsidRDefault="00342370" w:rsidP="001921C0">
            <w:pPr>
              <w:ind w:firstLineChars="200" w:firstLine="280"/>
              <w:jc w:val="right"/>
              <w:rPr>
                <w:sz w:val="14"/>
                <w:szCs w:val="14"/>
                <w:lang w:eastAsia="tr-TR"/>
              </w:rPr>
            </w:pPr>
            <w:r w:rsidRPr="00EA3453">
              <w:rPr>
                <w:sz w:val="14"/>
                <w:szCs w:val="14"/>
                <w:lang w:eastAsia="tr-TR"/>
              </w:rPr>
              <w:t xml:space="preserve">                   -   </w:t>
            </w:r>
          </w:p>
        </w:tc>
      </w:tr>
      <w:tr w:rsidR="00342370" w:rsidRPr="00EA3453" w14:paraId="13E66D6C" w14:textId="77777777" w:rsidTr="0073281E">
        <w:trPr>
          <w:trHeight w:val="20"/>
        </w:trPr>
        <w:tc>
          <w:tcPr>
            <w:tcW w:w="1778" w:type="dxa"/>
            <w:shd w:val="clear" w:color="000000" w:fill="FFFFFF"/>
            <w:vAlign w:val="bottom"/>
            <w:hideMark/>
          </w:tcPr>
          <w:p w14:paraId="33061419" w14:textId="77777777" w:rsidR="00342370" w:rsidRPr="00AF1C1D" w:rsidRDefault="00342370" w:rsidP="001921C0">
            <w:pPr>
              <w:rPr>
                <w:sz w:val="16"/>
                <w:szCs w:val="16"/>
                <w:lang w:eastAsia="tr-TR"/>
              </w:rPr>
            </w:pPr>
            <w:r w:rsidRPr="00AF1C1D">
              <w:rPr>
                <w:sz w:val="16"/>
                <w:szCs w:val="16"/>
              </w:rPr>
              <w:t>Governing law(s) of the instrument</w:t>
            </w:r>
          </w:p>
        </w:tc>
        <w:tc>
          <w:tcPr>
            <w:tcW w:w="1417" w:type="dxa"/>
            <w:shd w:val="clear" w:color="000000" w:fill="FFFFFF"/>
            <w:vAlign w:val="bottom"/>
            <w:hideMark/>
          </w:tcPr>
          <w:p w14:paraId="0B3DC6AC" w14:textId="77777777"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8" w:type="dxa"/>
            <w:shd w:val="clear" w:color="000000" w:fill="FFFFFF"/>
            <w:vAlign w:val="bottom"/>
            <w:hideMark/>
          </w:tcPr>
          <w:p w14:paraId="5BFB61D1" w14:textId="77777777"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7" w:type="dxa"/>
            <w:shd w:val="clear" w:color="000000" w:fill="FFFFFF"/>
            <w:vAlign w:val="bottom"/>
            <w:hideMark/>
          </w:tcPr>
          <w:p w14:paraId="55E464A5" w14:textId="77777777"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8" w:type="dxa"/>
            <w:shd w:val="clear" w:color="000000" w:fill="FFFFFF"/>
            <w:vAlign w:val="bottom"/>
            <w:hideMark/>
          </w:tcPr>
          <w:p w14:paraId="35F5DFFD" w14:textId="77777777"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7" w:type="dxa"/>
            <w:shd w:val="clear" w:color="000000" w:fill="FFFFFF"/>
            <w:vAlign w:val="bottom"/>
            <w:hideMark/>
          </w:tcPr>
          <w:p w14:paraId="349EC2C7" w14:textId="77777777" w:rsidR="00342370" w:rsidRPr="00AF1C1D" w:rsidRDefault="00342370" w:rsidP="001921C0">
            <w:pPr>
              <w:jc w:val="right"/>
              <w:rPr>
                <w:sz w:val="16"/>
                <w:szCs w:val="16"/>
                <w:lang w:eastAsia="tr-TR"/>
              </w:rPr>
            </w:pPr>
            <w:r w:rsidRPr="00AF1C1D">
              <w:rPr>
                <w:color w:val="000000"/>
                <w:sz w:val="16"/>
                <w:szCs w:val="16"/>
              </w:rPr>
              <w:t>Regulation on Equity of Banks (Published in the Official Gazette Nr. 26333 dated 1 November 2006)</w:t>
            </w:r>
          </w:p>
        </w:tc>
        <w:tc>
          <w:tcPr>
            <w:tcW w:w="1417" w:type="dxa"/>
            <w:shd w:val="clear" w:color="000000" w:fill="FFFFFF"/>
            <w:vAlign w:val="bottom"/>
          </w:tcPr>
          <w:p w14:paraId="49A32C47" w14:textId="28A01989" w:rsidR="00342370" w:rsidRPr="00895BBC" w:rsidRDefault="00342370" w:rsidP="001921C0">
            <w:pPr>
              <w:jc w:val="right"/>
              <w:rPr>
                <w:sz w:val="14"/>
                <w:szCs w:val="14"/>
                <w:highlight w:val="yellow"/>
                <w:lang w:eastAsia="tr-TR"/>
              </w:rPr>
            </w:pPr>
            <w:r w:rsidRPr="00AF1C1D">
              <w:rPr>
                <w:color w:val="000000"/>
                <w:sz w:val="16"/>
                <w:szCs w:val="16"/>
              </w:rPr>
              <w:t>Regulation on Equity of Banks (Publish</w:t>
            </w:r>
            <w:r>
              <w:rPr>
                <w:color w:val="000000"/>
                <w:sz w:val="16"/>
                <w:szCs w:val="16"/>
              </w:rPr>
              <w:t xml:space="preserve">ed in the Official Gazette Nr. 28756 </w:t>
            </w:r>
            <w:r w:rsidRPr="00AF1C1D">
              <w:rPr>
                <w:color w:val="000000"/>
                <w:sz w:val="16"/>
                <w:szCs w:val="16"/>
              </w:rPr>
              <w:t xml:space="preserve">dated </w:t>
            </w:r>
            <w:r>
              <w:rPr>
                <w:color w:val="000000"/>
                <w:sz w:val="16"/>
                <w:szCs w:val="16"/>
              </w:rPr>
              <w:t>5</w:t>
            </w:r>
            <w:r w:rsidRPr="00AF1C1D">
              <w:rPr>
                <w:color w:val="000000"/>
                <w:sz w:val="16"/>
                <w:szCs w:val="16"/>
              </w:rPr>
              <w:t xml:space="preserve"> </w:t>
            </w:r>
            <w:r>
              <w:rPr>
                <w:color w:val="000000"/>
                <w:sz w:val="16"/>
                <w:szCs w:val="16"/>
              </w:rPr>
              <w:t>September</w:t>
            </w:r>
            <w:r w:rsidRPr="00AF1C1D">
              <w:rPr>
                <w:color w:val="000000"/>
                <w:sz w:val="16"/>
                <w:szCs w:val="16"/>
              </w:rPr>
              <w:t xml:space="preserve"> </w:t>
            </w:r>
            <w:r>
              <w:rPr>
                <w:color w:val="000000"/>
                <w:sz w:val="16"/>
                <w:szCs w:val="16"/>
              </w:rPr>
              <w:t>2013</w:t>
            </w:r>
          </w:p>
        </w:tc>
      </w:tr>
      <w:tr w:rsidR="00B85547" w:rsidRPr="00EA3453" w14:paraId="07A31AB8" w14:textId="77777777" w:rsidTr="0073281E">
        <w:trPr>
          <w:trHeight w:val="20"/>
        </w:trPr>
        <w:tc>
          <w:tcPr>
            <w:tcW w:w="10282" w:type="dxa"/>
            <w:gridSpan w:val="7"/>
            <w:shd w:val="clear" w:color="000000" w:fill="FFFFFF"/>
            <w:vAlign w:val="bottom"/>
          </w:tcPr>
          <w:p w14:paraId="509F3AE4" w14:textId="7F1D2F3B" w:rsidR="00B85547" w:rsidRPr="00895BBC" w:rsidRDefault="00B85547" w:rsidP="00B85547">
            <w:pPr>
              <w:jc w:val="center"/>
              <w:rPr>
                <w:sz w:val="14"/>
                <w:szCs w:val="14"/>
                <w:highlight w:val="yellow"/>
                <w:lang w:eastAsia="tr-TR"/>
              </w:rPr>
            </w:pPr>
            <w:r w:rsidRPr="00AF1C1D">
              <w:rPr>
                <w:b/>
                <w:sz w:val="16"/>
                <w:szCs w:val="16"/>
                <w:lang w:eastAsia="tr-TR"/>
              </w:rPr>
              <w:t>Regulatory treatment</w:t>
            </w:r>
          </w:p>
        </w:tc>
      </w:tr>
      <w:tr w:rsidR="00342370" w:rsidRPr="00EA3453" w14:paraId="10C7C734" w14:textId="77777777" w:rsidTr="0073281E">
        <w:trPr>
          <w:trHeight w:val="20"/>
        </w:trPr>
        <w:tc>
          <w:tcPr>
            <w:tcW w:w="1778" w:type="dxa"/>
            <w:shd w:val="clear" w:color="000000" w:fill="FFFFFF"/>
            <w:vAlign w:val="bottom"/>
            <w:hideMark/>
          </w:tcPr>
          <w:p w14:paraId="1744A8D0" w14:textId="77777777" w:rsidR="00342370" w:rsidRPr="00AF1C1D" w:rsidRDefault="00342370" w:rsidP="001921C0">
            <w:pPr>
              <w:rPr>
                <w:sz w:val="16"/>
                <w:szCs w:val="16"/>
                <w:lang w:eastAsia="tr-TR"/>
              </w:rPr>
            </w:pPr>
            <w:r w:rsidRPr="00AF1C1D">
              <w:rPr>
                <w:sz w:val="16"/>
                <w:szCs w:val="16"/>
                <w:lang w:eastAsia="tr-TR"/>
              </w:rPr>
              <w:t>Subject to 10% deduction as of 1/1/2015</w:t>
            </w:r>
          </w:p>
        </w:tc>
        <w:tc>
          <w:tcPr>
            <w:tcW w:w="1417" w:type="dxa"/>
            <w:shd w:val="clear" w:color="000000" w:fill="FFFFFF"/>
            <w:noWrap/>
            <w:vAlign w:val="bottom"/>
            <w:hideMark/>
          </w:tcPr>
          <w:p w14:paraId="400CEE3B" w14:textId="77777777" w:rsidR="00342370" w:rsidRPr="00AF1C1D" w:rsidRDefault="00342370" w:rsidP="001921C0">
            <w:pPr>
              <w:jc w:val="right"/>
              <w:rPr>
                <w:sz w:val="16"/>
                <w:szCs w:val="16"/>
                <w:lang w:eastAsia="tr-TR"/>
              </w:rPr>
            </w:pPr>
            <w:r w:rsidRPr="00AF1C1D">
              <w:rPr>
                <w:color w:val="000000"/>
                <w:sz w:val="16"/>
                <w:szCs w:val="16"/>
              </w:rPr>
              <w:t>Yes</w:t>
            </w:r>
          </w:p>
        </w:tc>
        <w:tc>
          <w:tcPr>
            <w:tcW w:w="1418" w:type="dxa"/>
            <w:shd w:val="clear" w:color="000000" w:fill="FFFFFF"/>
            <w:noWrap/>
            <w:vAlign w:val="bottom"/>
            <w:hideMark/>
          </w:tcPr>
          <w:p w14:paraId="4B1C2FE4" w14:textId="77777777" w:rsidR="00342370" w:rsidRPr="00AF1C1D" w:rsidRDefault="00342370" w:rsidP="001921C0">
            <w:pPr>
              <w:jc w:val="right"/>
              <w:rPr>
                <w:sz w:val="16"/>
                <w:szCs w:val="16"/>
                <w:lang w:eastAsia="tr-TR"/>
              </w:rPr>
            </w:pPr>
            <w:r w:rsidRPr="00AF1C1D">
              <w:rPr>
                <w:color w:val="000000"/>
                <w:sz w:val="16"/>
                <w:szCs w:val="16"/>
              </w:rPr>
              <w:t>Yes</w:t>
            </w:r>
          </w:p>
        </w:tc>
        <w:tc>
          <w:tcPr>
            <w:tcW w:w="1417" w:type="dxa"/>
            <w:shd w:val="clear" w:color="000000" w:fill="FFFFFF"/>
            <w:noWrap/>
            <w:vAlign w:val="bottom"/>
            <w:hideMark/>
          </w:tcPr>
          <w:p w14:paraId="13660B3B" w14:textId="77777777" w:rsidR="00342370" w:rsidRPr="00AF1C1D" w:rsidRDefault="00342370" w:rsidP="001921C0">
            <w:pPr>
              <w:jc w:val="right"/>
              <w:rPr>
                <w:sz w:val="16"/>
                <w:szCs w:val="16"/>
                <w:lang w:eastAsia="tr-TR"/>
              </w:rPr>
            </w:pPr>
            <w:r w:rsidRPr="00AF1C1D">
              <w:rPr>
                <w:color w:val="000000"/>
                <w:sz w:val="16"/>
                <w:szCs w:val="16"/>
              </w:rPr>
              <w:t>Yes</w:t>
            </w:r>
          </w:p>
        </w:tc>
        <w:tc>
          <w:tcPr>
            <w:tcW w:w="1418" w:type="dxa"/>
            <w:shd w:val="clear" w:color="000000" w:fill="FFFFFF"/>
            <w:noWrap/>
            <w:vAlign w:val="bottom"/>
            <w:hideMark/>
          </w:tcPr>
          <w:p w14:paraId="4CC9A243" w14:textId="77777777" w:rsidR="00342370" w:rsidRPr="00AF1C1D" w:rsidRDefault="00342370" w:rsidP="001921C0">
            <w:pPr>
              <w:jc w:val="right"/>
              <w:rPr>
                <w:sz w:val="16"/>
                <w:szCs w:val="16"/>
                <w:lang w:eastAsia="tr-TR"/>
              </w:rPr>
            </w:pPr>
            <w:r w:rsidRPr="00AF1C1D">
              <w:rPr>
                <w:color w:val="000000"/>
                <w:sz w:val="16"/>
                <w:szCs w:val="16"/>
              </w:rPr>
              <w:t>Yes</w:t>
            </w:r>
          </w:p>
        </w:tc>
        <w:tc>
          <w:tcPr>
            <w:tcW w:w="1417" w:type="dxa"/>
            <w:shd w:val="clear" w:color="000000" w:fill="FFFFFF"/>
            <w:noWrap/>
            <w:vAlign w:val="bottom"/>
            <w:hideMark/>
          </w:tcPr>
          <w:p w14:paraId="6E62B748" w14:textId="77777777" w:rsidR="00342370" w:rsidRPr="00AF1C1D" w:rsidRDefault="00342370" w:rsidP="001921C0">
            <w:pPr>
              <w:jc w:val="right"/>
              <w:rPr>
                <w:sz w:val="16"/>
                <w:szCs w:val="16"/>
                <w:lang w:eastAsia="tr-TR"/>
              </w:rPr>
            </w:pPr>
            <w:r w:rsidRPr="00AF1C1D">
              <w:rPr>
                <w:color w:val="000000"/>
                <w:sz w:val="16"/>
                <w:szCs w:val="16"/>
              </w:rPr>
              <w:t>Yes</w:t>
            </w:r>
          </w:p>
        </w:tc>
        <w:tc>
          <w:tcPr>
            <w:tcW w:w="1417" w:type="dxa"/>
            <w:shd w:val="clear" w:color="auto" w:fill="auto"/>
            <w:vAlign w:val="bottom"/>
          </w:tcPr>
          <w:p w14:paraId="5C1E4848" w14:textId="77777777" w:rsidR="00342370" w:rsidRPr="00895BBC" w:rsidRDefault="00342370" w:rsidP="001921C0">
            <w:pPr>
              <w:jc w:val="right"/>
              <w:rPr>
                <w:sz w:val="14"/>
                <w:szCs w:val="14"/>
                <w:highlight w:val="yellow"/>
                <w:lang w:eastAsia="tr-TR"/>
              </w:rPr>
            </w:pPr>
            <w:r w:rsidRPr="00380764">
              <w:rPr>
                <w:sz w:val="14"/>
                <w:szCs w:val="14"/>
                <w:lang w:eastAsia="tr-TR"/>
              </w:rPr>
              <w:t>No</w:t>
            </w:r>
          </w:p>
        </w:tc>
      </w:tr>
      <w:tr w:rsidR="00342370" w:rsidRPr="00EA3453" w14:paraId="21CE7863" w14:textId="77777777" w:rsidTr="0073281E">
        <w:trPr>
          <w:trHeight w:val="20"/>
        </w:trPr>
        <w:tc>
          <w:tcPr>
            <w:tcW w:w="1778" w:type="dxa"/>
            <w:shd w:val="clear" w:color="000000" w:fill="FFFFFF"/>
            <w:vAlign w:val="bottom"/>
            <w:hideMark/>
          </w:tcPr>
          <w:p w14:paraId="5B31CF96" w14:textId="77777777" w:rsidR="00342370" w:rsidRPr="00AF1C1D" w:rsidRDefault="00342370" w:rsidP="001921C0">
            <w:pPr>
              <w:rPr>
                <w:sz w:val="16"/>
                <w:szCs w:val="16"/>
                <w:lang w:eastAsia="tr-TR"/>
              </w:rPr>
            </w:pPr>
            <w:r w:rsidRPr="00AF1C1D">
              <w:rPr>
                <w:sz w:val="16"/>
                <w:szCs w:val="16"/>
                <w:lang w:eastAsia="tr-TR"/>
              </w:rPr>
              <w:t>Eligible on Unconsolidated/ consolidated / both unconsolidated and consolidated</w:t>
            </w:r>
          </w:p>
        </w:tc>
        <w:tc>
          <w:tcPr>
            <w:tcW w:w="1417" w:type="dxa"/>
            <w:shd w:val="clear" w:color="000000" w:fill="FFFFFF"/>
            <w:vAlign w:val="bottom"/>
            <w:hideMark/>
          </w:tcPr>
          <w:p w14:paraId="20F58217" w14:textId="77777777"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8" w:type="dxa"/>
            <w:shd w:val="clear" w:color="000000" w:fill="FFFFFF"/>
            <w:vAlign w:val="bottom"/>
            <w:hideMark/>
          </w:tcPr>
          <w:p w14:paraId="058C629C" w14:textId="77777777"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7" w:type="dxa"/>
            <w:shd w:val="clear" w:color="000000" w:fill="FFFFFF"/>
            <w:vAlign w:val="bottom"/>
            <w:hideMark/>
          </w:tcPr>
          <w:p w14:paraId="75AF9B43" w14:textId="77777777"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8" w:type="dxa"/>
            <w:shd w:val="clear" w:color="000000" w:fill="FFFFFF"/>
            <w:vAlign w:val="bottom"/>
            <w:hideMark/>
          </w:tcPr>
          <w:p w14:paraId="6CE45A10" w14:textId="77777777"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7" w:type="dxa"/>
            <w:shd w:val="clear" w:color="000000" w:fill="FFFFFF"/>
            <w:vAlign w:val="bottom"/>
            <w:hideMark/>
          </w:tcPr>
          <w:p w14:paraId="0F601A6A" w14:textId="77777777" w:rsidR="00342370" w:rsidRPr="00AF1C1D" w:rsidRDefault="00342370" w:rsidP="001921C0">
            <w:pPr>
              <w:jc w:val="right"/>
              <w:rPr>
                <w:sz w:val="16"/>
                <w:szCs w:val="16"/>
                <w:lang w:eastAsia="tr-TR"/>
              </w:rPr>
            </w:pPr>
            <w:r w:rsidRPr="00AF1C1D">
              <w:rPr>
                <w:color w:val="000000"/>
                <w:sz w:val="16"/>
                <w:szCs w:val="16"/>
              </w:rPr>
              <w:t>Valid on Consolidated and Unconsolidated Basis</w:t>
            </w:r>
          </w:p>
        </w:tc>
        <w:tc>
          <w:tcPr>
            <w:tcW w:w="1417" w:type="dxa"/>
            <w:shd w:val="clear" w:color="000000" w:fill="FFFFFF"/>
            <w:vAlign w:val="bottom"/>
          </w:tcPr>
          <w:p w14:paraId="74E21F0F" w14:textId="77777777" w:rsidR="00342370" w:rsidRPr="00895BBC" w:rsidRDefault="00342370" w:rsidP="001921C0">
            <w:pPr>
              <w:jc w:val="right"/>
              <w:rPr>
                <w:sz w:val="14"/>
                <w:szCs w:val="14"/>
                <w:highlight w:val="yellow"/>
                <w:lang w:eastAsia="tr-TR"/>
              </w:rPr>
            </w:pPr>
            <w:r w:rsidRPr="00AF1C1D">
              <w:rPr>
                <w:color w:val="000000"/>
                <w:sz w:val="16"/>
                <w:szCs w:val="16"/>
              </w:rPr>
              <w:t>Valid on Consolidated and Unconsolidated Basis</w:t>
            </w:r>
          </w:p>
        </w:tc>
      </w:tr>
      <w:tr w:rsidR="00E50B4B" w:rsidRPr="00EA3453" w14:paraId="209F36FF" w14:textId="77777777" w:rsidTr="0073281E">
        <w:trPr>
          <w:trHeight w:val="20"/>
        </w:trPr>
        <w:tc>
          <w:tcPr>
            <w:tcW w:w="1778" w:type="dxa"/>
            <w:shd w:val="clear" w:color="000000" w:fill="FFFFFF"/>
            <w:vAlign w:val="bottom"/>
            <w:hideMark/>
          </w:tcPr>
          <w:p w14:paraId="08ED4436" w14:textId="77777777" w:rsidR="00E50B4B" w:rsidRPr="00AF1C1D" w:rsidRDefault="00E50B4B" w:rsidP="00E50B4B">
            <w:pPr>
              <w:rPr>
                <w:sz w:val="16"/>
                <w:szCs w:val="16"/>
                <w:lang w:eastAsia="tr-TR"/>
              </w:rPr>
            </w:pPr>
            <w:r w:rsidRPr="00AF1C1D">
              <w:rPr>
                <w:sz w:val="16"/>
                <w:szCs w:val="16"/>
                <w:lang w:eastAsia="tr-TR"/>
              </w:rPr>
              <w:t>Instrument type</w:t>
            </w:r>
          </w:p>
        </w:tc>
        <w:tc>
          <w:tcPr>
            <w:tcW w:w="1417" w:type="dxa"/>
            <w:shd w:val="clear" w:color="000000" w:fill="FFFFFF"/>
            <w:vAlign w:val="bottom"/>
            <w:hideMark/>
          </w:tcPr>
          <w:p w14:paraId="115E81B8" w14:textId="77777777" w:rsidR="00E50B4B" w:rsidRPr="00AF1C1D" w:rsidRDefault="00E50B4B" w:rsidP="00E50B4B">
            <w:pPr>
              <w:jc w:val="right"/>
              <w:rPr>
                <w:sz w:val="16"/>
                <w:szCs w:val="16"/>
                <w:lang w:eastAsia="tr-TR"/>
              </w:rPr>
            </w:pPr>
            <w:r>
              <w:rPr>
                <w:color w:val="000000"/>
                <w:sz w:val="16"/>
                <w:szCs w:val="16"/>
              </w:rPr>
              <w:t xml:space="preserve">Secondary </w:t>
            </w:r>
            <w:r w:rsidRPr="00AF1C1D">
              <w:rPr>
                <w:color w:val="000000"/>
                <w:sz w:val="16"/>
                <w:szCs w:val="16"/>
              </w:rPr>
              <w:t>Subordinated Loan</w:t>
            </w:r>
          </w:p>
        </w:tc>
        <w:tc>
          <w:tcPr>
            <w:tcW w:w="1418" w:type="dxa"/>
            <w:shd w:val="clear" w:color="000000" w:fill="FFFFFF"/>
            <w:hideMark/>
          </w:tcPr>
          <w:p w14:paraId="71A328DD" w14:textId="77777777" w:rsidR="00E50B4B" w:rsidRDefault="00E50B4B" w:rsidP="00E50B4B">
            <w:pPr>
              <w:jc w:val="right"/>
            </w:pPr>
            <w:r w:rsidRPr="006736FF">
              <w:rPr>
                <w:color w:val="000000"/>
                <w:sz w:val="16"/>
                <w:szCs w:val="16"/>
              </w:rPr>
              <w:t>Secondary Subordinated Loan</w:t>
            </w:r>
          </w:p>
        </w:tc>
        <w:tc>
          <w:tcPr>
            <w:tcW w:w="1417" w:type="dxa"/>
            <w:shd w:val="clear" w:color="000000" w:fill="FFFFFF"/>
            <w:hideMark/>
          </w:tcPr>
          <w:p w14:paraId="1B6388E5" w14:textId="77777777" w:rsidR="00E50B4B" w:rsidRDefault="00E50B4B" w:rsidP="00E50B4B">
            <w:pPr>
              <w:jc w:val="right"/>
            </w:pPr>
            <w:r w:rsidRPr="006736FF">
              <w:rPr>
                <w:color w:val="000000"/>
                <w:sz w:val="16"/>
                <w:szCs w:val="16"/>
              </w:rPr>
              <w:t>Secondary Subordinated Loan</w:t>
            </w:r>
          </w:p>
        </w:tc>
        <w:tc>
          <w:tcPr>
            <w:tcW w:w="1418" w:type="dxa"/>
            <w:shd w:val="clear" w:color="000000" w:fill="FFFFFF"/>
            <w:hideMark/>
          </w:tcPr>
          <w:p w14:paraId="54876E2A" w14:textId="77777777" w:rsidR="00E50B4B" w:rsidRDefault="00E50B4B" w:rsidP="00E50B4B">
            <w:pPr>
              <w:jc w:val="right"/>
            </w:pPr>
            <w:r w:rsidRPr="006736FF">
              <w:rPr>
                <w:color w:val="000000"/>
                <w:sz w:val="16"/>
                <w:szCs w:val="16"/>
              </w:rPr>
              <w:t>Secondary Subordinated Loan</w:t>
            </w:r>
          </w:p>
        </w:tc>
        <w:tc>
          <w:tcPr>
            <w:tcW w:w="1417" w:type="dxa"/>
            <w:shd w:val="clear" w:color="000000" w:fill="FFFFFF"/>
            <w:hideMark/>
          </w:tcPr>
          <w:p w14:paraId="6A9A2B34" w14:textId="77777777" w:rsidR="00E50B4B" w:rsidRDefault="00E50B4B" w:rsidP="00E50B4B">
            <w:pPr>
              <w:jc w:val="right"/>
            </w:pPr>
            <w:r w:rsidRPr="006736FF">
              <w:rPr>
                <w:color w:val="000000"/>
                <w:sz w:val="16"/>
                <w:szCs w:val="16"/>
              </w:rPr>
              <w:t>Secondary Subordinated Loan</w:t>
            </w:r>
          </w:p>
        </w:tc>
        <w:tc>
          <w:tcPr>
            <w:tcW w:w="1417" w:type="dxa"/>
            <w:shd w:val="clear" w:color="000000" w:fill="FFFFFF"/>
          </w:tcPr>
          <w:p w14:paraId="377863F3" w14:textId="77777777" w:rsidR="00E50B4B" w:rsidRDefault="00E50B4B" w:rsidP="00E50B4B">
            <w:pPr>
              <w:jc w:val="right"/>
            </w:pPr>
            <w:r w:rsidRPr="006736FF">
              <w:rPr>
                <w:color w:val="000000"/>
                <w:sz w:val="16"/>
                <w:szCs w:val="16"/>
              </w:rPr>
              <w:t>Secondary Subordinated Loan</w:t>
            </w:r>
          </w:p>
        </w:tc>
      </w:tr>
      <w:tr w:rsidR="00715695" w:rsidRPr="00EA3453" w14:paraId="340D11A9" w14:textId="77777777" w:rsidTr="0073281E">
        <w:trPr>
          <w:trHeight w:val="20"/>
        </w:trPr>
        <w:tc>
          <w:tcPr>
            <w:tcW w:w="1778" w:type="dxa"/>
            <w:shd w:val="clear" w:color="000000" w:fill="FFFFFF"/>
            <w:vAlign w:val="bottom"/>
            <w:hideMark/>
          </w:tcPr>
          <w:p w14:paraId="170DA6B0" w14:textId="77777777" w:rsidR="00715695" w:rsidRPr="00AF1C1D" w:rsidRDefault="00715695" w:rsidP="00715695">
            <w:pPr>
              <w:rPr>
                <w:sz w:val="16"/>
                <w:szCs w:val="16"/>
                <w:lang w:eastAsia="tr-TR"/>
              </w:rPr>
            </w:pPr>
            <w:r w:rsidRPr="00AF1C1D">
              <w:rPr>
                <w:sz w:val="16"/>
                <w:szCs w:val="16"/>
                <w:lang w:eastAsia="tr-TR"/>
              </w:rPr>
              <w:t xml:space="preserve">Amount </w:t>
            </w:r>
            <w:proofErr w:type="spellStart"/>
            <w:r w:rsidRPr="00AF1C1D">
              <w:rPr>
                <w:sz w:val="16"/>
                <w:szCs w:val="16"/>
                <w:lang w:eastAsia="tr-TR"/>
              </w:rPr>
              <w:t>recognised</w:t>
            </w:r>
            <w:proofErr w:type="spellEnd"/>
            <w:r w:rsidRPr="00AF1C1D">
              <w:rPr>
                <w:sz w:val="16"/>
                <w:szCs w:val="16"/>
                <w:lang w:eastAsia="tr-TR"/>
              </w:rPr>
              <w:t xml:space="preserve"> in regulatory capital (Currency in million TRL, as of most recent reporting date)</w:t>
            </w:r>
          </w:p>
        </w:tc>
        <w:tc>
          <w:tcPr>
            <w:tcW w:w="1417" w:type="dxa"/>
            <w:shd w:val="clear" w:color="000000" w:fill="FFFFFF"/>
            <w:noWrap/>
            <w:vAlign w:val="bottom"/>
            <w:hideMark/>
          </w:tcPr>
          <w:p w14:paraId="01C05D72" w14:textId="77777777" w:rsidR="00715695" w:rsidRPr="00715695" w:rsidRDefault="00715695" w:rsidP="00715695">
            <w:pPr>
              <w:jc w:val="right"/>
              <w:rPr>
                <w:color w:val="000000"/>
                <w:sz w:val="16"/>
                <w:szCs w:val="16"/>
              </w:rPr>
            </w:pPr>
            <w:r w:rsidRPr="00715695">
              <w:rPr>
                <w:color w:val="000000"/>
                <w:sz w:val="16"/>
                <w:szCs w:val="16"/>
              </w:rPr>
              <w:t>104,711</w:t>
            </w:r>
          </w:p>
        </w:tc>
        <w:tc>
          <w:tcPr>
            <w:tcW w:w="1418" w:type="dxa"/>
            <w:shd w:val="clear" w:color="000000" w:fill="FFFFFF"/>
            <w:noWrap/>
            <w:vAlign w:val="bottom"/>
            <w:hideMark/>
          </w:tcPr>
          <w:p w14:paraId="4BCD9809" w14:textId="77777777" w:rsidR="00715695" w:rsidRPr="00715695" w:rsidRDefault="00715695" w:rsidP="00715695">
            <w:pPr>
              <w:jc w:val="right"/>
              <w:rPr>
                <w:color w:val="000000"/>
                <w:sz w:val="16"/>
                <w:szCs w:val="16"/>
              </w:rPr>
            </w:pPr>
            <w:r w:rsidRPr="00715695">
              <w:rPr>
                <w:color w:val="000000"/>
                <w:sz w:val="16"/>
                <w:szCs w:val="16"/>
              </w:rPr>
              <w:t>52,355</w:t>
            </w:r>
          </w:p>
        </w:tc>
        <w:tc>
          <w:tcPr>
            <w:tcW w:w="1417" w:type="dxa"/>
            <w:shd w:val="clear" w:color="000000" w:fill="FFFFFF"/>
            <w:noWrap/>
            <w:vAlign w:val="bottom"/>
            <w:hideMark/>
          </w:tcPr>
          <w:p w14:paraId="294E5EE6" w14:textId="77777777" w:rsidR="00715695" w:rsidRPr="00715695" w:rsidRDefault="00715695" w:rsidP="00715695">
            <w:pPr>
              <w:jc w:val="right"/>
              <w:rPr>
                <w:color w:val="000000"/>
                <w:sz w:val="16"/>
                <w:szCs w:val="16"/>
              </w:rPr>
            </w:pPr>
            <w:r w:rsidRPr="00715695">
              <w:rPr>
                <w:color w:val="000000"/>
                <w:sz w:val="16"/>
                <w:szCs w:val="16"/>
              </w:rPr>
              <w:t>62,826</w:t>
            </w:r>
          </w:p>
        </w:tc>
        <w:tc>
          <w:tcPr>
            <w:tcW w:w="1418" w:type="dxa"/>
            <w:shd w:val="clear" w:color="000000" w:fill="FFFFFF"/>
            <w:noWrap/>
            <w:vAlign w:val="bottom"/>
            <w:hideMark/>
          </w:tcPr>
          <w:p w14:paraId="3E9B6EED" w14:textId="77777777" w:rsidR="00715695" w:rsidRPr="00715695" w:rsidRDefault="00715695" w:rsidP="00715695">
            <w:pPr>
              <w:jc w:val="right"/>
              <w:rPr>
                <w:color w:val="000000"/>
                <w:sz w:val="16"/>
                <w:szCs w:val="16"/>
              </w:rPr>
            </w:pPr>
            <w:r w:rsidRPr="00715695">
              <w:rPr>
                <w:color w:val="000000"/>
                <w:sz w:val="16"/>
                <w:szCs w:val="16"/>
              </w:rPr>
              <w:t>50,890</w:t>
            </w:r>
          </w:p>
        </w:tc>
        <w:tc>
          <w:tcPr>
            <w:tcW w:w="1417" w:type="dxa"/>
            <w:shd w:val="clear" w:color="000000" w:fill="FFFFFF"/>
            <w:noWrap/>
            <w:vAlign w:val="bottom"/>
            <w:hideMark/>
          </w:tcPr>
          <w:p w14:paraId="6BFB5DFA" w14:textId="77777777" w:rsidR="00715695" w:rsidRPr="00715695" w:rsidRDefault="00715695" w:rsidP="00715695">
            <w:pPr>
              <w:jc w:val="right"/>
              <w:rPr>
                <w:color w:val="000000"/>
                <w:sz w:val="16"/>
                <w:szCs w:val="16"/>
              </w:rPr>
            </w:pPr>
            <w:r w:rsidRPr="00715695">
              <w:rPr>
                <w:color w:val="000000"/>
                <w:sz w:val="16"/>
                <w:szCs w:val="16"/>
              </w:rPr>
              <w:t>25,444</w:t>
            </w:r>
          </w:p>
        </w:tc>
        <w:tc>
          <w:tcPr>
            <w:tcW w:w="1417" w:type="dxa"/>
            <w:shd w:val="clear" w:color="000000" w:fill="FFFFFF"/>
            <w:vAlign w:val="bottom"/>
          </w:tcPr>
          <w:p w14:paraId="25511E88" w14:textId="77777777" w:rsidR="00715695" w:rsidRPr="00715695" w:rsidRDefault="00715695" w:rsidP="00715695">
            <w:pPr>
              <w:jc w:val="right"/>
              <w:rPr>
                <w:color w:val="000000"/>
                <w:sz w:val="16"/>
                <w:szCs w:val="16"/>
              </w:rPr>
            </w:pPr>
            <w:r w:rsidRPr="00715695">
              <w:rPr>
                <w:color w:val="000000"/>
                <w:sz w:val="16"/>
                <w:szCs w:val="16"/>
              </w:rPr>
              <w:t>364,763</w:t>
            </w:r>
          </w:p>
        </w:tc>
      </w:tr>
      <w:tr w:rsidR="00715695" w:rsidRPr="00EA3453" w14:paraId="6B2C6200" w14:textId="77777777" w:rsidTr="0073281E">
        <w:trPr>
          <w:trHeight w:val="20"/>
        </w:trPr>
        <w:tc>
          <w:tcPr>
            <w:tcW w:w="1778" w:type="dxa"/>
            <w:shd w:val="clear" w:color="000000" w:fill="FFFFFF"/>
            <w:vAlign w:val="bottom"/>
            <w:hideMark/>
          </w:tcPr>
          <w:p w14:paraId="746B5A75" w14:textId="77777777" w:rsidR="00715695" w:rsidRPr="00AF1C1D" w:rsidRDefault="00715695" w:rsidP="00715695">
            <w:pPr>
              <w:rPr>
                <w:sz w:val="16"/>
                <w:szCs w:val="16"/>
                <w:lang w:eastAsia="tr-TR"/>
              </w:rPr>
            </w:pPr>
            <w:r w:rsidRPr="00AF1C1D">
              <w:rPr>
                <w:sz w:val="16"/>
                <w:szCs w:val="16"/>
                <w:lang w:eastAsia="tr-TR"/>
              </w:rPr>
              <w:t>Par value of instrument (Million TRL)</w:t>
            </w:r>
          </w:p>
        </w:tc>
        <w:tc>
          <w:tcPr>
            <w:tcW w:w="1417" w:type="dxa"/>
            <w:shd w:val="clear" w:color="000000" w:fill="FFFFFF"/>
            <w:noWrap/>
            <w:vAlign w:val="bottom"/>
            <w:hideMark/>
          </w:tcPr>
          <w:p w14:paraId="557A2114" w14:textId="77777777" w:rsidR="00715695" w:rsidRPr="00715695" w:rsidRDefault="00715695" w:rsidP="00715695">
            <w:pPr>
              <w:jc w:val="right"/>
              <w:rPr>
                <w:color w:val="000000"/>
                <w:sz w:val="16"/>
                <w:szCs w:val="16"/>
              </w:rPr>
            </w:pPr>
            <w:r w:rsidRPr="00715695">
              <w:rPr>
                <w:color w:val="000000"/>
                <w:sz w:val="16"/>
                <w:szCs w:val="16"/>
              </w:rPr>
              <w:t>145,905</w:t>
            </w:r>
          </w:p>
        </w:tc>
        <w:tc>
          <w:tcPr>
            <w:tcW w:w="1418" w:type="dxa"/>
            <w:shd w:val="clear" w:color="000000" w:fill="FFFFFF"/>
            <w:noWrap/>
            <w:vAlign w:val="bottom"/>
            <w:hideMark/>
          </w:tcPr>
          <w:p w14:paraId="4953EFBB" w14:textId="77777777" w:rsidR="00715695" w:rsidRPr="00715695" w:rsidRDefault="00715695" w:rsidP="00715695">
            <w:pPr>
              <w:jc w:val="right"/>
              <w:rPr>
                <w:color w:val="000000"/>
                <w:sz w:val="16"/>
                <w:szCs w:val="16"/>
              </w:rPr>
            </w:pPr>
            <w:r w:rsidRPr="00715695">
              <w:rPr>
                <w:color w:val="000000"/>
                <w:sz w:val="16"/>
                <w:szCs w:val="16"/>
              </w:rPr>
              <w:t>72,953</w:t>
            </w:r>
          </w:p>
        </w:tc>
        <w:tc>
          <w:tcPr>
            <w:tcW w:w="1417" w:type="dxa"/>
            <w:shd w:val="clear" w:color="000000" w:fill="FFFFFF"/>
            <w:noWrap/>
            <w:vAlign w:val="bottom"/>
            <w:hideMark/>
          </w:tcPr>
          <w:p w14:paraId="3420AF41" w14:textId="77777777" w:rsidR="00715695" w:rsidRPr="00715695" w:rsidRDefault="00715695" w:rsidP="00715695">
            <w:pPr>
              <w:jc w:val="right"/>
              <w:rPr>
                <w:color w:val="000000"/>
                <w:sz w:val="16"/>
                <w:szCs w:val="16"/>
              </w:rPr>
            </w:pPr>
            <w:r w:rsidRPr="00715695">
              <w:rPr>
                <w:color w:val="000000"/>
                <w:sz w:val="16"/>
                <w:szCs w:val="16"/>
              </w:rPr>
              <w:t>87,543</w:t>
            </w:r>
          </w:p>
        </w:tc>
        <w:tc>
          <w:tcPr>
            <w:tcW w:w="1418" w:type="dxa"/>
            <w:shd w:val="clear" w:color="000000" w:fill="FFFFFF"/>
            <w:noWrap/>
            <w:vAlign w:val="bottom"/>
            <w:hideMark/>
          </w:tcPr>
          <w:p w14:paraId="64F00DAE" w14:textId="77777777" w:rsidR="00715695" w:rsidRPr="00715695" w:rsidRDefault="00715695" w:rsidP="00715695">
            <w:pPr>
              <w:jc w:val="right"/>
              <w:rPr>
                <w:color w:val="000000"/>
                <w:sz w:val="16"/>
                <w:szCs w:val="16"/>
              </w:rPr>
            </w:pPr>
            <w:r w:rsidRPr="00715695">
              <w:rPr>
                <w:color w:val="000000"/>
                <w:sz w:val="16"/>
                <w:szCs w:val="16"/>
              </w:rPr>
              <w:t>63,676</w:t>
            </w:r>
          </w:p>
        </w:tc>
        <w:tc>
          <w:tcPr>
            <w:tcW w:w="1417" w:type="dxa"/>
            <w:shd w:val="clear" w:color="000000" w:fill="FFFFFF"/>
            <w:noWrap/>
            <w:vAlign w:val="bottom"/>
            <w:hideMark/>
          </w:tcPr>
          <w:p w14:paraId="6849A779" w14:textId="77777777" w:rsidR="00715695" w:rsidRPr="00715695" w:rsidRDefault="00715695" w:rsidP="00715695">
            <w:pPr>
              <w:jc w:val="right"/>
              <w:rPr>
                <w:color w:val="000000"/>
                <w:sz w:val="16"/>
                <w:szCs w:val="16"/>
              </w:rPr>
            </w:pPr>
            <w:r w:rsidRPr="00715695">
              <w:rPr>
                <w:color w:val="000000"/>
                <w:sz w:val="16"/>
                <w:szCs w:val="16"/>
              </w:rPr>
              <w:t>31,838</w:t>
            </w:r>
          </w:p>
        </w:tc>
        <w:tc>
          <w:tcPr>
            <w:tcW w:w="1417" w:type="dxa"/>
            <w:shd w:val="clear" w:color="000000" w:fill="FFFFFF"/>
            <w:vAlign w:val="bottom"/>
          </w:tcPr>
          <w:p w14:paraId="6CAAAFEF" w14:textId="77777777" w:rsidR="00715695" w:rsidRPr="00715695" w:rsidRDefault="00715695" w:rsidP="00715695">
            <w:pPr>
              <w:jc w:val="right"/>
              <w:rPr>
                <w:color w:val="000000"/>
                <w:sz w:val="16"/>
                <w:szCs w:val="16"/>
              </w:rPr>
            </w:pPr>
            <w:r w:rsidRPr="00715695">
              <w:rPr>
                <w:color w:val="000000"/>
                <w:sz w:val="16"/>
                <w:szCs w:val="16"/>
              </w:rPr>
              <w:t>364,763</w:t>
            </w:r>
          </w:p>
        </w:tc>
      </w:tr>
      <w:tr w:rsidR="00715695" w:rsidRPr="00EA3453" w14:paraId="52131870" w14:textId="77777777" w:rsidTr="0073281E">
        <w:trPr>
          <w:trHeight w:val="20"/>
        </w:trPr>
        <w:tc>
          <w:tcPr>
            <w:tcW w:w="1778" w:type="dxa"/>
            <w:shd w:val="clear" w:color="000000" w:fill="FFFFFF"/>
            <w:vAlign w:val="bottom"/>
            <w:hideMark/>
          </w:tcPr>
          <w:p w14:paraId="20B895B5" w14:textId="77777777" w:rsidR="00715695" w:rsidRPr="00AF1C1D" w:rsidRDefault="00715695" w:rsidP="00715695">
            <w:pPr>
              <w:rPr>
                <w:sz w:val="16"/>
                <w:szCs w:val="16"/>
                <w:lang w:eastAsia="tr-TR"/>
              </w:rPr>
            </w:pPr>
            <w:r w:rsidRPr="00AF1C1D">
              <w:rPr>
                <w:sz w:val="16"/>
                <w:szCs w:val="16"/>
                <w:lang w:eastAsia="tr-TR"/>
              </w:rPr>
              <w:t>Accounting classification</w:t>
            </w:r>
          </w:p>
        </w:tc>
        <w:tc>
          <w:tcPr>
            <w:tcW w:w="1417" w:type="dxa"/>
            <w:shd w:val="clear" w:color="000000" w:fill="FFFFFF"/>
            <w:noWrap/>
            <w:vAlign w:val="bottom"/>
            <w:hideMark/>
          </w:tcPr>
          <w:p w14:paraId="64541665" w14:textId="77777777" w:rsidR="00715695" w:rsidRPr="00715695" w:rsidRDefault="00715695" w:rsidP="00715695">
            <w:pPr>
              <w:jc w:val="right"/>
              <w:rPr>
                <w:color w:val="000000"/>
                <w:sz w:val="16"/>
                <w:szCs w:val="16"/>
              </w:rPr>
            </w:pPr>
            <w:r w:rsidRPr="00715695">
              <w:rPr>
                <w:color w:val="000000"/>
                <w:sz w:val="16"/>
                <w:szCs w:val="16"/>
              </w:rPr>
              <w:t>347</w:t>
            </w:r>
          </w:p>
        </w:tc>
        <w:tc>
          <w:tcPr>
            <w:tcW w:w="1418" w:type="dxa"/>
            <w:shd w:val="clear" w:color="000000" w:fill="FFFFFF"/>
            <w:noWrap/>
            <w:vAlign w:val="bottom"/>
            <w:hideMark/>
          </w:tcPr>
          <w:p w14:paraId="08EC1223" w14:textId="77777777" w:rsidR="00715695" w:rsidRPr="00715695" w:rsidRDefault="00715695" w:rsidP="00715695">
            <w:pPr>
              <w:jc w:val="right"/>
              <w:rPr>
                <w:color w:val="000000"/>
                <w:sz w:val="16"/>
                <w:szCs w:val="16"/>
              </w:rPr>
            </w:pPr>
            <w:r w:rsidRPr="00715695">
              <w:rPr>
                <w:color w:val="000000"/>
                <w:sz w:val="16"/>
                <w:szCs w:val="16"/>
              </w:rPr>
              <w:t>347</w:t>
            </w:r>
          </w:p>
        </w:tc>
        <w:tc>
          <w:tcPr>
            <w:tcW w:w="1417" w:type="dxa"/>
            <w:shd w:val="clear" w:color="000000" w:fill="FFFFFF"/>
            <w:noWrap/>
            <w:vAlign w:val="bottom"/>
            <w:hideMark/>
          </w:tcPr>
          <w:p w14:paraId="63807C57" w14:textId="77777777" w:rsidR="00715695" w:rsidRPr="00715695" w:rsidRDefault="00715695" w:rsidP="00715695">
            <w:pPr>
              <w:jc w:val="right"/>
              <w:rPr>
                <w:color w:val="000000"/>
                <w:sz w:val="16"/>
                <w:szCs w:val="16"/>
              </w:rPr>
            </w:pPr>
            <w:r w:rsidRPr="00715695">
              <w:rPr>
                <w:color w:val="000000"/>
                <w:sz w:val="16"/>
                <w:szCs w:val="16"/>
              </w:rPr>
              <w:t>347</w:t>
            </w:r>
          </w:p>
        </w:tc>
        <w:tc>
          <w:tcPr>
            <w:tcW w:w="1418" w:type="dxa"/>
            <w:shd w:val="clear" w:color="000000" w:fill="FFFFFF"/>
            <w:noWrap/>
            <w:vAlign w:val="bottom"/>
            <w:hideMark/>
          </w:tcPr>
          <w:p w14:paraId="532EF537" w14:textId="77777777" w:rsidR="00715695" w:rsidRPr="00715695" w:rsidRDefault="00715695" w:rsidP="00715695">
            <w:pPr>
              <w:jc w:val="right"/>
              <w:rPr>
                <w:color w:val="000000"/>
                <w:sz w:val="16"/>
                <w:szCs w:val="16"/>
              </w:rPr>
            </w:pPr>
            <w:r w:rsidRPr="00715695">
              <w:rPr>
                <w:color w:val="000000"/>
                <w:sz w:val="16"/>
                <w:szCs w:val="16"/>
              </w:rPr>
              <w:t>347</w:t>
            </w:r>
          </w:p>
        </w:tc>
        <w:tc>
          <w:tcPr>
            <w:tcW w:w="1417" w:type="dxa"/>
            <w:shd w:val="clear" w:color="000000" w:fill="FFFFFF"/>
            <w:noWrap/>
            <w:vAlign w:val="bottom"/>
            <w:hideMark/>
          </w:tcPr>
          <w:p w14:paraId="4B821021" w14:textId="77777777" w:rsidR="00715695" w:rsidRPr="00715695" w:rsidRDefault="00715695" w:rsidP="00715695">
            <w:pPr>
              <w:jc w:val="right"/>
              <w:rPr>
                <w:color w:val="000000"/>
                <w:sz w:val="16"/>
                <w:szCs w:val="16"/>
              </w:rPr>
            </w:pPr>
            <w:r w:rsidRPr="00715695">
              <w:rPr>
                <w:color w:val="000000"/>
                <w:sz w:val="16"/>
                <w:szCs w:val="16"/>
              </w:rPr>
              <w:t>347</w:t>
            </w:r>
          </w:p>
        </w:tc>
        <w:tc>
          <w:tcPr>
            <w:tcW w:w="1417" w:type="dxa"/>
            <w:shd w:val="clear" w:color="000000" w:fill="FFFFFF"/>
            <w:vAlign w:val="bottom"/>
          </w:tcPr>
          <w:p w14:paraId="57B190F6" w14:textId="77777777" w:rsidR="00715695" w:rsidRPr="00715695" w:rsidRDefault="00715695" w:rsidP="00715695">
            <w:pPr>
              <w:jc w:val="right"/>
              <w:rPr>
                <w:color w:val="000000"/>
                <w:sz w:val="16"/>
                <w:szCs w:val="16"/>
              </w:rPr>
            </w:pPr>
            <w:r w:rsidRPr="00715695">
              <w:rPr>
                <w:color w:val="000000"/>
                <w:sz w:val="16"/>
                <w:szCs w:val="16"/>
              </w:rPr>
              <w:t>347</w:t>
            </w:r>
          </w:p>
        </w:tc>
      </w:tr>
      <w:tr w:rsidR="00715695" w:rsidRPr="00EA3453" w14:paraId="69FA7A41" w14:textId="77777777" w:rsidTr="0073281E">
        <w:trPr>
          <w:trHeight w:val="20"/>
        </w:trPr>
        <w:tc>
          <w:tcPr>
            <w:tcW w:w="1778" w:type="dxa"/>
            <w:shd w:val="clear" w:color="000000" w:fill="FFFFFF"/>
            <w:vAlign w:val="bottom"/>
            <w:hideMark/>
          </w:tcPr>
          <w:p w14:paraId="419D702E" w14:textId="77777777" w:rsidR="00715695" w:rsidRPr="00AF1C1D" w:rsidRDefault="00715695" w:rsidP="00715695">
            <w:pPr>
              <w:rPr>
                <w:sz w:val="16"/>
                <w:szCs w:val="16"/>
                <w:lang w:eastAsia="tr-TR"/>
              </w:rPr>
            </w:pPr>
            <w:r w:rsidRPr="00AF1C1D">
              <w:rPr>
                <w:sz w:val="16"/>
                <w:szCs w:val="16"/>
                <w:lang w:eastAsia="tr-TR"/>
              </w:rPr>
              <w:t>Original date of issuance</w:t>
            </w:r>
          </w:p>
        </w:tc>
        <w:tc>
          <w:tcPr>
            <w:tcW w:w="1417" w:type="dxa"/>
            <w:shd w:val="clear" w:color="000000" w:fill="FFFFFF"/>
            <w:noWrap/>
            <w:vAlign w:val="bottom"/>
            <w:hideMark/>
          </w:tcPr>
          <w:p w14:paraId="4FE57957" w14:textId="77777777" w:rsidR="00715695" w:rsidRPr="00715695" w:rsidRDefault="00715695" w:rsidP="00715695">
            <w:pPr>
              <w:jc w:val="right"/>
              <w:rPr>
                <w:color w:val="000000"/>
                <w:sz w:val="16"/>
                <w:szCs w:val="16"/>
              </w:rPr>
            </w:pPr>
            <w:r w:rsidRPr="00715695">
              <w:rPr>
                <w:color w:val="000000"/>
                <w:sz w:val="16"/>
                <w:szCs w:val="16"/>
              </w:rPr>
              <w:t>29.12.2010</w:t>
            </w:r>
          </w:p>
        </w:tc>
        <w:tc>
          <w:tcPr>
            <w:tcW w:w="1418" w:type="dxa"/>
            <w:shd w:val="clear" w:color="000000" w:fill="FFFFFF"/>
            <w:noWrap/>
            <w:vAlign w:val="bottom"/>
            <w:hideMark/>
          </w:tcPr>
          <w:p w14:paraId="316CD646" w14:textId="77777777" w:rsidR="00715695" w:rsidRPr="00715695" w:rsidRDefault="00715695" w:rsidP="00715695">
            <w:pPr>
              <w:jc w:val="right"/>
              <w:rPr>
                <w:color w:val="000000"/>
                <w:sz w:val="16"/>
                <w:szCs w:val="16"/>
              </w:rPr>
            </w:pPr>
            <w:r w:rsidRPr="00715695">
              <w:rPr>
                <w:color w:val="000000"/>
                <w:sz w:val="16"/>
                <w:szCs w:val="16"/>
              </w:rPr>
              <w:t>29.12.2010</w:t>
            </w:r>
          </w:p>
        </w:tc>
        <w:tc>
          <w:tcPr>
            <w:tcW w:w="1417" w:type="dxa"/>
            <w:shd w:val="clear" w:color="000000" w:fill="FFFFFF"/>
            <w:noWrap/>
            <w:vAlign w:val="bottom"/>
            <w:hideMark/>
          </w:tcPr>
          <w:p w14:paraId="376502D6" w14:textId="77777777" w:rsidR="00715695" w:rsidRPr="00715695" w:rsidRDefault="00715695" w:rsidP="00715695">
            <w:pPr>
              <w:jc w:val="right"/>
              <w:rPr>
                <w:color w:val="000000"/>
                <w:sz w:val="16"/>
                <w:szCs w:val="16"/>
              </w:rPr>
            </w:pPr>
            <w:r w:rsidRPr="00715695">
              <w:rPr>
                <w:color w:val="000000"/>
                <w:sz w:val="16"/>
                <w:szCs w:val="16"/>
              </w:rPr>
              <w:t>29.12.2010</w:t>
            </w:r>
          </w:p>
        </w:tc>
        <w:tc>
          <w:tcPr>
            <w:tcW w:w="1418" w:type="dxa"/>
            <w:shd w:val="clear" w:color="000000" w:fill="FFFFFF"/>
            <w:noWrap/>
            <w:vAlign w:val="bottom"/>
            <w:hideMark/>
          </w:tcPr>
          <w:p w14:paraId="392AA98E" w14:textId="77777777" w:rsidR="00715695" w:rsidRPr="00715695" w:rsidRDefault="00715695" w:rsidP="00715695">
            <w:pPr>
              <w:jc w:val="right"/>
              <w:rPr>
                <w:color w:val="000000"/>
                <w:sz w:val="16"/>
                <w:szCs w:val="16"/>
              </w:rPr>
            </w:pPr>
            <w:r w:rsidRPr="00715695">
              <w:rPr>
                <w:color w:val="000000"/>
                <w:sz w:val="16"/>
                <w:szCs w:val="16"/>
              </w:rPr>
              <w:t>29.12.2011</w:t>
            </w:r>
          </w:p>
        </w:tc>
        <w:tc>
          <w:tcPr>
            <w:tcW w:w="1417" w:type="dxa"/>
            <w:shd w:val="clear" w:color="000000" w:fill="FFFFFF"/>
            <w:noWrap/>
            <w:vAlign w:val="bottom"/>
            <w:hideMark/>
          </w:tcPr>
          <w:p w14:paraId="34B76FF3" w14:textId="77777777" w:rsidR="00715695" w:rsidRPr="00715695" w:rsidRDefault="00715695" w:rsidP="00715695">
            <w:pPr>
              <w:jc w:val="right"/>
              <w:rPr>
                <w:color w:val="000000"/>
                <w:sz w:val="16"/>
                <w:szCs w:val="16"/>
              </w:rPr>
            </w:pPr>
            <w:r w:rsidRPr="00715695">
              <w:rPr>
                <w:color w:val="000000"/>
                <w:sz w:val="16"/>
                <w:szCs w:val="16"/>
              </w:rPr>
              <w:t>29.12.2011</w:t>
            </w:r>
          </w:p>
        </w:tc>
        <w:tc>
          <w:tcPr>
            <w:tcW w:w="1417" w:type="dxa"/>
            <w:shd w:val="clear" w:color="000000" w:fill="FFFFFF"/>
            <w:vAlign w:val="bottom"/>
          </w:tcPr>
          <w:p w14:paraId="7C4E7C10" w14:textId="77777777" w:rsidR="00715695" w:rsidRPr="00715695" w:rsidRDefault="00715695" w:rsidP="00715695">
            <w:pPr>
              <w:jc w:val="right"/>
              <w:rPr>
                <w:color w:val="000000"/>
                <w:sz w:val="16"/>
                <w:szCs w:val="16"/>
              </w:rPr>
            </w:pPr>
            <w:r w:rsidRPr="00715695">
              <w:rPr>
                <w:color w:val="000000"/>
                <w:sz w:val="16"/>
                <w:szCs w:val="16"/>
              </w:rPr>
              <w:t>30.06.2015</w:t>
            </w:r>
          </w:p>
        </w:tc>
      </w:tr>
      <w:tr w:rsidR="00715695" w:rsidRPr="00EA3453" w14:paraId="4DBF1AFE" w14:textId="77777777" w:rsidTr="0073281E">
        <w:trPr>
          <w:trHeight w:val="20"/>
        </w:trPr>
        <w:tc>
          <w:tcPr>
            <w:tcW w:w="1778" w:type="dxa"/>
            <w:shd w:val="clear" w:color="000000" w:fill="FFFFFF"/>
            <w:vAlign w:val="bottom"/>
            <w:hideMark/>
          </w:tcPr>
          <w:p w14:paraId="493106F9" w14:textId="77777777" w:rsidR="00715695" w:rsidRPr="00AF1C1D" w:rsidRDefault="00715695" w:rsidP="00715695">
            <w:pPr>
              <w:rPr>
                <w:sz w:val="16"/>
                <w:szCs w:val="16"/>
                <w:lang w:eastAsia="tr-TR"/>
              </w:rPr>
            </w:pPr>
            <w:r w:rsidRPr="00AF1C1D">
              <w:rPr>
                <w:sz w:val="16"/>
                <w:szCs w:val="16"/>
                <w:lang w:eastAsia="tr-TR"/>
              </w:rPr>
              <w:t>Demand or time</w:t>
            </w:r>
          </w:p>
        </w:tc>
        <w:tc>
          <w:tcPr>
            <w:tcW w:w="1417" w:type="dxa"/>
            <w:shd w:val="clear" w:color="000000" w:fill="FFFFFF"/>
            <w:noWrap/>
            <w:vAlign w:val="bottom"/>
            <w:hideMark/>
          </w:tcPr>
          <w:p w14:paraId="78E565DB" w14:textId="77777777" w:rsidR="00715695" w:rsidRPr="00715695" w:rsidRDefault="00715695" w:rsidP="00715695">
            <w:pPr>
              <w:jc w:val="right"/>
              <w:rPr>
                <w:color w:val="000000"/>
                <w:sz w:val="16"/>
                <w:szCs w:val="16"/>
              </w:rPr>
            </w:pPr>
            <w:r>
              <w:rPr>
                <w:color w:val="000000"/>
                <w:sz w:val="16"/>
                <w:szCs w:val="16"/>
              </w:rPr>
              <w:t>Time</w:t>
            </w:r>
          </w:p>
        </w:tc>
        <w:tc>
          <w:tcPr>
            <w:tcW w:w="1418" w:type="dxa"/>
            <w:shd w:val="clear" w:color="000000" w:fill="FFFFFF"/>
            <w:noWrap/>
            <w:vAlign w:val="bottom"/>
            <w:hideMark/>
          </w:tcPr>
          <w:p w14:paraId="138175E0" w14:textId="77777777" w:rsidR="00715695" w:rsidRPr="00715695" w:rsidRDefault="00715695" w:rsidP="00715695">
            <w:pPr>
              <w:jc w:val="right"/>
              <w:rPr>
                <w:color w:val="000000"/>
                <w:sz w:val="16"/>
                <w:szCs w:val="16"/>
              </w:rPr>
            </w:pPr>
            <w:r>
              <w:rPr>
                <w:color w:val="000000"/>
                <w:sz w:val="16"/>
                <w:szCs w:val="16"/>
              </w:rPr>
              <w:t>Time</w:t>
            </w:r>
          </w:p>
        </w:tc>
        <w:tc>
          <w:tcPr>
            <w:tcW w:w="1417" w:type="dxa"/>
            <w:shd w:val="clear" w:color="000000" w:fill="FFFFFF"/>
            <w:noWrap/>
            <w:vAlign w:val="bottom"/>
            <w:hideMark/>
          </w:tcPr>
          <w:p w14:paraId="6893DAD4" w14:textId="77777777" w:rsidR="00715695" w:rsidRPr="00715695" w:rsidRDefault="00715695" w:rsidP="00715695">
            <w:pPr>
              <w:jc w:val="right"/>
              <w:rPr>
                <w:color w:val="000000"/>
                <w:sz w:val="16"/>
                <w:szCs w:val="16"/>
              </w:rPr>
            </w:pPr>
            <w:r>
              <w:rPr>
                <w:color w:val="000000"/>
                <w:sz w:val="16"/>
                <w:szCs w:val="16"/>
              </w:rPr>
              <w:t>Time</w:t>
            </w:r>
          </w:p>
        </w:tc>
        <w:tc>
          <w:tcPr>
            <w:tcW w:w="1418" w:type="dxa"/>
            <w:shd w:val="clear" w:color="000000" w:fill="FFFFFF"/>
            <w:noWrap/>
            <w:vAlign w:val="bottom"/>
            <w:hideMark/>
          </w:tcPr>
          <w:p w14:paraId="0B3EE9A9" w14:textId="77777777" w:rsidR="00715695" w:rsidRPr="00715695" w:rsidRDefault="00715695" w:rsidP="00715695">
            <w:pPr>
              <w:jc w:val="right"/>
              <w:rPr>
                <w:color w:val="000000"/>
                <w:sz w:val="16"/>
                <w:szCs w:val="16"/>
              </w:rPr>
            </w:pPr>
            <w:r>
              <w:rPr>
                <w:color w:val="000000"/>
                <w:sz w:val="16"/>
                <w:szCs w:val="16"/>
              </w:rPr>
              <w:t>Time</w:t>
            </w:r>
          </w:p>
        </w:tc>
        <w:tc>
          <w:tcPr>
            <w:tcW w:w="1417" w:type="dxa"/>
            <w:shd w:val="clear" w:color="000000" w:fill="FFFFFF"/>
            <w:noWrap/>
            <w:vAlign w:val="bottom"/>
            <w:hideMark/>
          </w:tcPr>
          <w:p w14:paraId="0796A86D" w14:textId="77777777" w:rsidR="00715695" w:rsidRPr="00715695" w:rsidRDefault="00715695" w:rsidP="00715695">
            <w:pPr>
              <w:jc w:val="right"/>
              <w:rPr>
                <w:color w:val="000000"/>
                <w:sz w:val="16"/>
                <w:szCs w:val="16"/>
              </w:rPr>
            </w:pPr>
            <w:r>
              <w:rPr>
                <w:color w:val="000000"/>
                <w:sz w:val="16"/>
                <w:szCs w:val="16"/>
              </w:rPr>
              <w:t>Time</w:t>
            </w:r>
          </w:p>
        </w:tc>
        <w:tc>
          <w:tcPr>
            <w:tcW w:w="1417" w:type="dxa"/>
            <w:shd w:val="clear" w:color="000000" w:fill="FFFFFF"/>
            <w:vAlign w:val="bottom"/>
          </w:tcPr>
          <w:p w14:paraId="39C821A2" w14:textId="77777777" w:rsidR="00715695" w:rsidRPr="00715695" w:rsidRDefault="00715695" w:rsidP="00715695">
            <w:pPr>
              <w:jc w:val="right"/>
              <w:rPr>
                <w:color w:val="000000"/>
                <w:sz w:val="16"/>
                <w:szCs w:val="16"/>
              </w:rPr>
            </w:pPr>
            <w:r>
              <w:rPr>
                <w:color w:val="000000"/>
                <w:sz w:val="16"/>
                <w:szCs w:val="16"/>
              </w:rPr>
              <w:t>Time</w:t>
            </w:r>
          </w:p>
        </w:tc>
      </w:tr>
      <w:tr w:rsidR="00715695" w:rsidRPr="00EA3453" w14:paraId="6C0EC838" w14:textId="77777777" w:rsidTr="0073281E">
        <w:trPr>
          <w:trHeight w:val="20"/>
        </w:trPr>
        <w:tc>
          <w:tcPr>
            <w:tcW w:w="1778" w:type="dxa"/>
            <w:shd w:val="clear" w:color="000000" w:fill="FFFFFF"/>
            <w:vAlign w:val="bottom"/>
            <w:hideMark/>
          </w:tcPr>
          <w:p w14:paraId="377B65A1" w14:textId="77777777" w:rsidR="00715695" w:rsidRPr="00AF1C1D" w:rsidRDefault="00715695" w:rsidP="00715695">
            <w:pPr>
              <w:rPr>
                <w:sz w:val="16"/>
                <w:szCs w:val="16"/>
                <w:lang w:eastAsia="tr-TR"/>
              </w:rPr>
            </w:pPr>
            <w:r w:rsidRPr="00AF1C1D">
              <w:rPr>
                <w:sz w:val="16"/>
                <w:szCs w:val="16"/>
                <w:lang w:eastAsia="tr-TR"/>
              </w:rPr>
              <w:t>Original maturity date</w:t>
            </w:r>
          </w:p>
        </w:tc>
        <w:tc>
          <w:tcPr>
            <w:tcW w:w="1417" w:type="dxa"/>
            <w:shd w:val="clear" w:color="000000" w:fill="FFFFFF"/>
            <w:noWrap/>
            <w:vAlign w:val="bottom"/>
            <w:hideMark/>
          </w:tcPr>
          <w:p w14:paraId="13F6A5C9" w14:textId="77777777" w:rsidR="00715695" w:rsidRPr="00715695" w:rsidRDefault="00715695" w:rsidP="00715695">
            <w:pPr>
              <w:jc w:val="right"/>
              <w:rPr>
                <w:color w:val="000000"/>
                <w:sz w:val="16"/>
                <w:szCs w:val="16"/>
              </w:rPr>
            </w:pPr>
            <w:r w:rsidRPr="00715695">
              <w:rPr>
                <w:color w:val="000000"/>
                <w:sz w:val="16"/>
                <w:szCs w:val="16"/>
              </w:rPr>
              <w:t>15.06.2021</w:t>
            </w:r>
          </w:p>
        </w:tc>
        <w:tc>
          <w:tcPr>
            <w:tcW w:w="1418" w:type="dxa"/>
            <w:shd w:val="clear" w:color="000000" w:fill="FFFFFF"/>
            <w:noWrap/>
            <w:vAlign w:val="bottom"/>
            <w:hideMark/>
          </w:tcPr>
          <w:p w14:paraId="7842D0C1" w14:textId="77777777" w:rsidR="00715695" w:rsidRPr="00715695" w:rsidRDefault="00715695" w:rsidP="00715695">
            <w:pPr>
              <w:jc w:val="right"/>
              <w:rPr>
                <w:color w:val="000000"/>
                <w:sz w:val="16"/>
                <w:szCs w:val="16"/>
              </w:rPr>
            </w:pPr>
            <w:r w:rsidRPr="00715695">
              <w:rPr>
                <w:color w:val="000000"/>
                <w:sz w:val="16"/>
                <w:szCs w:val="16"/>
              </w:rPr>
              <w:t>15.06.2021</w:t>
            </w:r>
          </w:p>
        </w:tc>
        <w:tc>
          <w:tcPr>
            <w:tcW w:w="1417" w:type="dxa"/>
            <w:shd w:val="clear" w:color="000000" w:fill="FFFFFF"/>
            <w:noWrap/>
            <w:vAlign w:val="bottom"/>
            <w:hideMark/>
          </w:tcPr>
          <w:p w14:paraId="364F79EB" w14:textId="77777777" w:rsidR="00715695" w:rsidRPr="00715695" w:rsidRDefault="00715695" w:rsidP="00715695">
            <w:pPr>
              <w:jc w:val="right"/>
              <w:rPr>
                <w:color w:val="000000"/>
                <w:sz w:val="16"/>
                <w:szCs w:val="16"/>
              </w:rPr>
            </w:pPr>
            <w:r w:rsidRPr="00715695">
              <w:rPr>
                <w:color w:val="000000"/>
                <w:sz w:val="16"/>
                <w:szCs w:val="16"/>
              </w:rPr>
              <w:t>15.06.2021</w:t>
            </w:r>
          </w:p>
        </w:tc>
        <w:tc>
          <w:tcPr>
            <w:tcW w:w="1418" w:type="dxa"/>
            <w:shd w:val="clear" w:color="000000" w:fill="FFFFFF"/>
            <w:noWrap/>
            <w:vAlign w:val="bottom"/>
            <w:hideMark/>
          </w:tcPr>
          <w:p w14:paraId="22050550" w14:textId="77777777" w:rsidR="00715695" w:rsidRPr="00715695" w:rsidRDefault="00715695" w:rsidP="00715695">
            <w:pPr>
              <w:jc w:val="right"/>
              <w:rPr>
                <w:color w:val="000000"/>
                <w:sz w:val="16"/>
                <w:szCs w:val="16"/>
              </w:rPr>
            </w:pPr>
            <w:r w:rsidRPr="00715695">
              <w:rPr>
                <w:color w:val="000000"/>
                <w:sz w:val="16"/>
                <w:szCs w:val="16"/>
              </w:rPr>
              <w:t>15.06.2022</w:t>
            </w:r>
          </w:p>
        </w:tc>
        <w:tc>
          <w:tcPr>
            <w:tcW w:w="1417" w:type="dxa"/>
            <w:shd w:val="clear" w:color="000000" w:fill="FFFFFF"/>
            <w:noWrap/>
            <w:vAlign w:val="bottom"/>
            <w:hideMark/>
          </w:tcPr>
          <w:p w14:paraId="35A998D8" w14:textId="77777777" w:rsidR="00715695" w:rsidRPr="00715695" w:rsidRDefault="00715695" w:rsidP="00715695">
            <w:pPr>
              <w:jc w:val="right"/>
              <w:rPr>
                <w:color w:val="000000"/>
                <w:sz w:val="16"/>
                <w:szCs w:val="16"/>
              </w:rPr>
            </w:pPr>
            <w:r w:rsidRPr="00715695">
              <w:rPr>
                <w:color w:val="000000"/>
                <w:sz w:val="16"/>
                <w:szCs w:val="16"/>
              </w:rPr>
              <w:t>15.06.2022</w:t>
            </w:r>
          </w:p>
        </w:tc>
        <w:tc>
          <w:tcPr>
            <w:tcW w:w="1417" w:type="dxa"/>
            <w:shd w:val="clear" w:color="000000" w:fill="FFFFFF"/>
            <w:vAlign w:val="bottom"/>
          </w:tcPr>
          <w:p w14:paraId="46595496" w14:textId="77777777" w:rsidR="00715695" w:rsidRPr="00715695" w:rsidRDefault="00715695" w:rsidP="00715695">
            <w:pPr>
              <w:jc w:val="right"/>
              <w:rPr>
                <w:color w:val="000000"/>
                <w:sz w:val="16"/>
                <w:szCs w:val="16"/>
              </w:rPr>
            </w:pPr>
            <w:r w:rsidRPr="00715695">
              <w:rPr>
                <w:color w:val="000000"/>
                <w:sz w:val="16"/>
                <w:szCs w:val="16"/>
              </w:rPr>
              <w:t>30.06.2025</w:t>
            </w:r>
          </w:p>
        </w:tc>
      </w:tr>
      <w:tr w:rsidR="00715695" w:rsidRPr="00EA3453" w14:paraId="3909D7E6" w14:textId="77777777" w:rsidTr="0073281E">
        <w:trPr>
          <w:trHeight w:val="20"/>
        </w:trPr>
        <w:tc>
          <w:tcPr>
            <w:tcW w:w="1778" w:type="dxa"/>
            <w:shd w:val="clear" w:color="000000" w:fill="FFFFFF"/>
            <w:vAlign w:val="bottom"/>
            <w:hideMark/>
          </w:tcPr>
          <w:p w14:paraId="0E24025C" w14:textId="77777777" w:rsidR="00715695" w:rsidRPr="00AF1C1D" w:rsidRDefault="00715695" w:rsidP="00715695">
            <w:pPr>
              <w:rPr>
                <w:sz w:val="16"/>
                <w:szCs w:val="16"/>
                <w:lang w:eastAsia="tr-TR"/>
              </w:rPr>
            </w:pPr>
            <w:r w:rsidRPr="00AF1C1D">
              <w:rPr>
                <w:sz w:val="16"/>
                <w:szCs w:val="16"/>
                <w:lang w:eastAsia="tr-TR"/>
              </w:rPr>
              <w:t>Issuer call subject to prior supervisory approval</w:t>
            </w:r>
          </w:p>
        </w:tc>
        <w:tc>
          <w:tcPr>
            <w:tcW w:w="1417" w:type="dxa"/>
            <w:shd w:val="clear" w:color="000000" w:fill="FFFFFF"/>
            <w:noWrap/>
            <w:vAlign w:val="bottom"/>
            <w:hideMark/>
          </w:tcPr>
          <w:p w14:paraId="167B3A33" w14:textId="77777777" w:rsidR="00715695" w:rsidRPr="00D1625C" w:rsidRDefault="00715695" w:rsidP="00715695">
            <w:pPr>
              <w:jc w:val="right"/>
              <w:rPr>
                <w:sz w:val="16"/>
                <w:szCs w:val="16"/>
                <w:lang w:eastAsia="tr-TR"/>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8" w:type="dxa"/>
            <w:shd w:val="clear" w:color="000000" w:fill="FFFFFF"/>
            <w:noWrap/>
            <w:vAlign w:val="bottom"/>
            <w:hideMark/>
          </w:tcPr>
          <w:p w14:paraId="1074618A" w14:textId="77777777" w:rsidR="00715695" w:rsidRPr="00D1625C" w:rsidRDefault="00715695" w:rsidP="00715695">
            <w:pPr>
              <w:jc w:val="right"/>
              <w:rPr>
                <w:sz w:val="16"/>
                <w:szCs w:val="16"/>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7" w:type="dxa"/>
            <w:shd w:val="clear" w:color="000000" w:fill="FFFFFF"/>
            <w:noWrap/>
            <w:vAlign w:val="bottom"/>
            <w:hideMark/>
          </w:tcPr>
          <w:p w14:paraId="5BCEA8A6" w14:textId="77777777" w:rsidR="00715695" w:rsidRPr="00D1625C" w:rsidRDefault="00715695" w:rsidP="00715695">
            <w:pPr>
              <w:jc w:val="right"/>
              <w:rPr>
                <w:sz w:val="16"/>
                <w:szCs w:val="16"/>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8" w:type="dxa"/>
            <w:shd w:val="clear" w:color="000000" w:fill="FFFFFF"/>
            <w:noWrap/>
            <w:vAlign w:val="bottom"/>
            <w:hideMark/>
          </w:tcPr>
          <w:p w14:paraId="2228C704" w14:textId="77777777" w:rsidR="00715695" w:rsidRPr="00D1625C" w:rsidRDefault="00715695" w:rsidP="00715695">
            <w:pPr>
              <w:jc w:val="right"/>
              <w:rPr>
                <w:sz w:val="16"/>
                <w:szCs w:val="16"/>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7" w:type="dxa"/>
            <w:shd w:val="clear" w:color="000000" w:fill="FFFFFF"/>
            <w:noWrap/>
            <w:vAlign w:val="bottom"/>
            <w:hideMark/>
          </w:tcPr>
          <w:p w14:paraId="1167AEB6" w14:textId="77777777" w:rsidR="00715695" w:rsidRPr="00D1625C" w:rsidRDefault="00715695" w:rsidP="00715695">
            <w:pPr>
              <w:jc w:val="right"/>
              <w:rPr>
                <w:sz w:val="16"/>
                <w:szCs w:val="16"/>
              </w:rPr>
            </w:pPr>
            <w:r w:rsidRPr="00D1625C">
              <w:rPr>
                <w:sz w:val="16"/>
                <w:szCs w:val="16"/>
                <w:lang w:eastAsia="tr-TR"/>
              </w:rPr>
              <w:t>After 5</w:t>
            </w:r>
            <w:r w:rsidRPr="00D1625C">
              <w:rPr>
                <w:sz w:val="16"/>
                <w:szCs w:val="16"/>
                <w:vertAlign w:val="superscript"/>
                <w:lang w:eastAsia="tr-TR"/>
              </w:rPr>
              <w:t xml:space="preserve"> </w:t>
            </w:r>
            <w:proofErr w:type="spellStart"/>
            <w:r w:rsidRPr="00D1625C">
              <w:rPr>
                <w:sz w:val="16"/>
                <w:szCs w:val="16"/>
                <w:lang w:eastAsia="tr-TR"/>
              </w:rPr>
              <w:t>th</w:t>
            </w:r>
            <w:proofErr w:type="spellEnd"/>
            <w:r w:rsidRPr="00D1625C">
              <w:rPr>
                <w:sz w:val="16"/>
                <w:szCs w:val="16"/>
                <w:lang w:eastAsia="tr-TR"/>
              </w:rPr>
              <w:t xml:space="preserve"> year</w:t>
            </w:r>
          </w:p>
        </w:tc>
        <w:tc>
          <w:tcPr>
            <w:tcW w:w="1417" w:type="dxa"/>
            <w:shd w:val="clear" w:color="000000" w:fill="FFFFFF"/>
            <w:vAlign w:val="bottom"/>
          </w:tcPr>
          <w:p w14:paraId="51A62FD1" w14:textId="6BF83840" w:rsidR="00715695" w:rsidRPr="00D1625C" w:rsidRDefault="0073281E" w:rsidP="00715695">
            <w:pPr>
              <w:jc w:val="right"/>
              <w:rPr>
                <w:sz w:val="16"/>
                <w:szCs w:val="16"/>
              </w:rPr>
            </w:pPr>
            <w:r>
              <w:rPr>
                <w:sz w:val="16"/>
                <w:szCs w:val="16"/>
              </w:rPr>
              <w:t>-Illegalit</w:t>
            </w:r>
            <w:r w:rsidR="00715695" w:rsidRPr="00D1625C">
              <w:rPr>
                <w:sz w:val="16"/>
                <w:szCs w:val="16"/>
              </w:rPr>
              <w:t>y,</w:t>
            </w:r>
          </w:p>
          <w:p w14:paraId="6F854B80" w14:textId="77777777" w:rsidR="00715695" w:rsidRPr="00D1625C" w:rsidRDefault="00715695" w:rsidP="00715695">
            <w:pPr>
              <w:jc w:val="right"/>
              <w:rPr>
                <w:sz w:val="16"/>
                <w:szCs w:val="16"/>
              </w:rPr>
            </w:pPr>
            <w:r w:rsidRPr="00D1625C">
              <w:rPr>
                <w:sz w:val="16"/>
                <w:szCs w:val="16"/>
              </w:rPr>
              <w:t xml:space="preserve">- After 5 </w:t>
            </w:r>
            <w:proofErr w:type="spellStart"/>
            <w:r w:rsidRPr="00D1625C">
              <w:rPr>
                <w:sz w:val="16"/>
                <w:szCs w:val="16"/>
              </w:rPr>
              <w:t>th</w:t>
            </w:r>
            <w:proofErr w:type="spellEnd"/>
            <w:r w:rsidRPr="00D1625C">
              <w:rPr>
                <w:sz w:val="16"/>
                <w:szCs w:val="16"/>
              </w:rPr>
              <w:t xml:space="preserve"> year,</w:t>
            </w:r>
          </w:p>
          <w:p w14:paraId="67AE60E3" w14:textId="77777777" w:rsidR="00715695" w:rsidRPr="00D1625C" w:rsidRDefault="00715695" w:rsidP="00715695">
            <w:pPr>
              <w:jc w:val="right"/>
              <w:rPr>
                <w:sz w:val="16"/>
                <w:szCs w:val="16"/>
              </w:rPr>
            </w:pPr>
            <w:r w:rsidRPr="00D1625C">
              <w:rPr>
                <w:sz w:val="16"/>
                <w:szCs w:val="16"/>
              </w:rPr>
              <w:t xml:space="preserve">-Taxation reason  and  </w:t>
            </w:r>
          </w:p>
          <w:p w14:paraId="27C7DA2E" w14:textId="2740CDF6" w:rsidR="00715695" w:rsidRPr="00D1625C" w:rsidRDefault="00715695" w:rsidP="00715695">
            <w:pPr>
              <w:jc w:val="right"/>
              <w:rPr>
                <w:sz w:val="16"/>
                <w:szCs w:val="16"/>
              </w:rPr>
            </w:pPr>
            <w:r w:rsidRPr="00D1625C">
              <w:rPr>
                <w:sz w:val="16"/>
                <w:szCs w:val="16"/>
              </w:rPr>
              <w:t>-Depending on regulatory as a reason BRSA has the right to refund.</w:t>
            </w:r>
          </w:p>
        </w:tc>
      </w:tr>
      <w:tr w:rsidR="00715695" w:rsidRPr="00EA3453" w14:paraId="1B8488FC" w14:textId="77777777" w:rsidTr="0073281E">
        <w:trPr>
          <w:trHeight w:val="20"/>
        </w:trPr>
        <w:tc>
          <w:tcPr>
            <w:tcW w:w="1778" w:type="dxa"/>
            <w:shd w:val="clear" w:color="000000" w:fill="FFFFFF"/>
            <w:vAlign w:val="bottom"/>
            <w:hideMark/>
          </w:tcPr>
          <w:p w14:paraId="49AC6D71" w14:textId="77777777" w:rsidR="00715695" w:rsidRPr="00AF1C1D" w:rsidRDefault="00715695" w:rsidP="00715695">
            <w:pPr>
              <w:rPr>
                <w:sz w:val="16"/>
                <w:szCs w:val="16"/>
                <w:lang w:eastAsia="tr-TR"/>
              </w:rPr>
            </w:pPr>
            <w:r w:rsidRPr="00AF1C1D">
              <w:rPr>
                <w:sz w:val="16"/>
                <w:szCs w:val="16"/>
                <w:lang w:eastAsia="tr-TR"/>
              </w:rPr>
              <w:t>Optional call date, contingent call dates and redemption amount</w:t>
            </w:r>
          </w:p>
        </w:tc>
        <w:tc>
          <w:tcPr>
            <w:tcW w:w="1417" w:type="dxa"/>
            <w:shd w:val="clear" w:color="000000" w:fill="FFFFFF"/>
            <w:noWrap/>
            <w:vAlign w:val="bottom"/>
            <w:hideMark/>
          </w:tcPr>
          <w:p w14:paraId="76EF6E8D" w14:textId="77777777" w:rsidR="00715695" w:rsidRPr="00AF1C1D" w:rsidRDefault="00715695" w:rsidP="00715695">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14:paraId="5A7103A5" w14:textId="77777777" w:rsidR="00715695" w:rsidRPr="00AF1C1D" w:rsidRDefault="00715695" w:rsidP="00715695">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14:paraId="3CA5A47D" w14:textId="77777777" w:rsidR="00715695" w:rsidRPr="00AF1C1D" w:rsidRDefault="00715695" w:rsidP="00715695">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14:paraId="39A41731" w14:textId="77777777" w:rsidR="00715695" w:rsidRPr="00AF1C1D" w:rsidRDefault="00715695" w:rsidP="00715695">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14:paraId="671A8D16" w14:textId="77777777" w:rsidR="00715695" w:rsidRPr="00AF1C1D" w:rsidRDefault="00715695" w:rsidP="00715695">
            <w:pPr>
              <w:jc w:val="right"/>
              <w:rPr>
                <w:sz w:val="16"/>
                <w:szCs w:val="16"/>
                <w:lang w:eastAsia="tr-TR"/>
              </w:rPr>
            </w:pPr>
            <w:r w:rsidRPr="00AF1C1D">
              <w:rPr>
                <w:sz w:val="16"/>
                <w:szCs w:val="16"/>
                <w:lang w:eastAsia="tr-TR"/>
              </w:rPr>
              <w:t>-</w:t>
            </w:r>
          </w:p>
        </w:tc>
        <w:tc>
          <w:tcPr>
            <w:tcW w:w="1417" w:type="dxa"/>
            <w:shd w:val="clear" w:color="000000" w:fill="FFFFFF"/>
            <w:vAlign w:val="bottom"/>
          </w:tcPr>
          <w:p w14:paraId="00A3807A" w14:textId="77777777" w:rsidR="00715695" w:rsidRPr="008C0E85" w:rsidRDefault="00715695" w:rsidP="00715695">
            <w:pPr>
              <w:jc w:val="right"/>
              <w:rPr>
                <w:sz w:val="14"/>
                <w:szCs w:val="14"/>
                <w:lang w:eastAsia="tr-TR"/>
              </w:rPr>
            </w:pPr>
            <w:r w:rsidRPr="008C0E85">
              <w:rPr>
                <w:sz w:val="14"/>
                <w:szCs w:val="14"/>
                <w:lang w:eastAsia="tr-TR"/>
              </w:rPr>
              <w:t>-</w:t>
            </w:r>
          </w:p>
        </w:tc>
      </w:tr>
      <w:tr w:rsidR="00715695" w:rsidRPr="00EA3453" w14:paraId="73BF154C" w14:textId="77777777" w:rsidTr="0073281E">
        <w:trPr>
          <w:trHeight w:val="20"/>
        </w:trPr>
        <w:tc>
          <w:tcPr>
            <w:tcW w:w="1778" w:type="dxa"/>
            <w:shd w:val="clear" w:color="000000" w:fill="FFFFFF"/>
            <w:vAlign w:val="bottom"/>
            <w:hideMark/>
          </w:tcPr>
          <w:p w14:paraId="4687FC05" w14:textId="77777777" w:rsidR="00715695" w:rsidRPr="00AF1C1D" w:rsidRDefault="00715695" w:rsidP="00715695">
            <w:pPr>
              <w:rPr>
                <w:sz w:val="16"/>
                <w:szCs w:val="16"/>
                <w:lang w:eastAsia="tr-TR"/>
              </w:rPr>
            </w:pPr>
            <w:r w:rsidRPr="00AF1C1D">
              <w:rPr>
                <w:sz w:val="16"/>
                <w:szCs w:val="16"/>
                <w:lang w:eastAsia="tr-TR"/>
              </w:rPr>
              <w:t>Subsequent call dates, if applicable</w:t>
            </w:r>
          </w:p>
        </w:tc>
        <w:tc>
          <w:tcPr>
            <w:tcW w:w="1417" w:type="dxa"/>
            <w:shd w:val="clear" w:color="000000" w:fill="FFFFFF"/>
            <w:noWrap/>
            <w:vAlign w:val="bottom"/>
            <w:hideMark/>
          </w:tcPr>
          <w:p w14:paraId="69DC344D" w14:textId="77777777" w:rsidR="00715695" w:rsidRPr="00AF1C1D" w:rsidRDefault="00715695" w:rsidP="00715695">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14:paraId="3FCF6675" w14:textId="77777777" w:rsidR="00715695" w:rsidRPr="00AF1C1D" w:rsidRDefault="00715695" w:rsidP="00715695">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14:paraId="129A7358" w14:textId="77777777" w:rsidR="00715695" w:rsidRPr="00AF1C1D" w:rsidRDefault="00715695" w:rsidP="00715695">
            <w:pPr>
              <w:jc w:val="right"/>
              <w:rPr>
                <w:sz w:val="16"/>
                <w:szCs w:val="16"/>
                <w:lang w:eastAsia="tr-TR"/>
              </w:rPr>
            </w:pPr>
            <w:r w:rsidRPr="00AF1C1D">
              <w:rPr>
                <w:sz w:val="16"/>
                <w:szCs w:val="16"/>
                <w:lang w:eastAsia="tr-TR"/>
              </w:rPr>
              <w:t>-</w:t>
            </w:r>
          </w:p>
        </w:tc>
        <w:tc>
          <w:tcPr>
            <w:tcW w:w="1418" w:type="dxa"/>
            <w:shd w:val="clear" w:color="000000" w:fill="FFFFFF"/>
            <w:noWrap/>
            <w:vAlign w:val="bottom"/>
            <w:hideMark/>
          </w:tcPr>
          <w:p w14:paraId="4A47AC78" w14:textId="77777777" w:rsidR="00715695" w:rsidRPr="00AF1C1D" w:rsidRDefault="00715695" w:rsidP="00715695">
            <w:pPr>
              <w:jc w:val="right"/>
              <w:rPr>
                <w:sz w:val="16"/>
                <w:szCs w:val="16"/>
                <w:lang w:eastAsia="tr-TR"/>
              </w:rPr>
            </w:pPr>
            <w:r w:rsidRPr="00AF1C1D">
              <w:rPr>
                <w:sz w:val="16"/>
                <w:szCs w:val="16"/>
                <w:lang w:eastAsia="tr-TR"/>
              </w:rPr>
              <w:t>-</w:t>
            </w:r>
          </w:p>
        </w:tc>
        <w:tc>
          <w:tcPr>
            <w:tcW w:w="1417" w:type="dxa"/>
            <w:shd w:val="clear" w:color="000000" w:fill="FFFFFF"/>
            <w:noWrap/>
            <w:vAlign w:val="bottom"/>
            <w:hideMark/>
          </w:tcPr>
          <w:p w14:paraId="3AB04598" w14:textId="77777777" w:rsidR="00715695" w:rsidRPr="00AF1C1D" w:rsidRDefault="00715695" w:rsidP="00715695">
            <w:pPr>
              <w:jc w:val="right"/>
              <w:rPr>
                <w:sz w:val="16"/>
                <w:szCs w:val="16"/>
                <w:lang w:eastAsia="tr-TR"/>
              </w:rPr>
            </w:pPr>
            <w:r w:rsidRPr="00AF1C1D">
              <w:rPr>
                <w:sz w:val="16"/>
                <w:szCs w:val="16"/>
                <w:lang w:eastAsia="tr-TR"/>
              </w:rPr>
              <w:t>-</w:t>
            </w:r>
          </w:p>
        </w:tc>
        <w:tc>
          <w:tcPr>
            <w:tcW w:w="1417" w:type="dxa"/>
            <w:shd w:val="clear" w:color="000000" w:fill="FFFFFF"/>
            <w:vAlign w:val="bottom"/>
          </w:tcPr>
          <w:p w14:paraId="176AB56F" w14:textId="77777777" w:rsidR="00715695" w:rsidRPr="008C0E85" w:rsidRDefault="00715695" w:rsidP="00715695">
            <w:pPr>
              <w:jc w:val="right"/>
              <w:rPr>
                <w:sz w:val="14"/>
                <w:szCs w:val="14"/>
                <w:lang w:eastAsia="tr-TR"/>
              </w:rPr>
            </w:pPr>
            <w:r w:rsidRPr="008C0E85">
              <w:rPr>
                <w:sz w:val="14"/>
                <w:szCs w:val="14"/>
                <w:lang w:eastAsia="tr-TR"/>
              </w:rPr>
              <w:t>-</w:t>
            </w:r>
          </w:p>
        </w:tc>
      </w:tr>
      <w:tr w:rsidR="00B85547" w:rsidRPr="00EA3453" w14:paraId="07BF514B" w14:textId="77777777" w:rsidTr="0073281E">
        <w:trPr>
          <w:trHeight w:val="20"/>
        </w:trPr>
        <w:tc>
          <w:tcPr>
            <w:tcW w:w="10282" w:type="dxa"/>
            <w:gridSpan w:val="7"/>
            <w:shd w:val="clear" w:color="000000" w:fill="FFFFFF"/>
            <w:vAlign w:val="bottom"/>
          </w:tcPr>
          <w:p w14:paraId="3125872B" w14:textId="0F7A33DF" w:rsidR="00B85547" w:rsidRPr="00895BBC" w:rsidRDefault="00B85547" w:rsidP="00715695">
            <w:pPr>
              <w:jc w:val="center"/>
              <w:rPr>
                <w:sz w:val="14"/>
                <w:szCs w:val="14"/>
                <w:highlight w:val="yellow"/>
                <w:lang w:eastAsia="tr-TR"/>
              </w:rPr>
            </w:pPr>
            <w:r w:rsidRPr="00AF1C1D">
              <w:rPr>
                <w:b/>
                <w:sz w:val="16"/>
                <w:szCs w:val="16"/>
                <w:lang w:eastAsia="tr-TR"/>
              </w:rPr>
              <w:t>Coupons / dividends</w:t>
            </w:r>
          </w:p>
        </w:tc>
      </w:tr>
      <w:tr w:rsidR="00715695" w:rsidRPr="00EA3453" w14:paraId="064FC497" w14:textId="77777777" w:rsidTr="0073281E">
        <w:trPr>
          <w:trHeight w:val="20"/>
        </w:trPr>
        <w:tc>
          <w:tcPr>
            <w:tcW w:w="1778" w:type="dxa"/>
            <w:shd w:val="clear" w:color="000000" w:fill="FFFFFF"/>
            <w:vAlign w:val="bottom"/>
            <w:hideMark/>
          </w:tcPr>
          <w:p w14:paraId="519E6776" w14:textId="77777777" w:rsidR="00715695" w:rsidRPr="00AF1C1D" w:rsidRDefault="00715695" w:rsidP="00715695">
            <w:pPr>
              <w:rPr>
                <w:sz w:val="16"/>
                <w:szCs w:val="16"/>
                <w:lang w:eastAsia="tr-TR"/>
              </w:rPr>
            </w:pPr>
            <w:r w:rsidRPr="00AF1C1D">
              <w:rPr>
                <w:sz w:val="16"/>
                <w:szCs w:val="16"/>
                <w:lang w:eastAsia="tr-TR"/>
              </w:rPr>
              <w:t>Fixed or floating dividend/coupon</w:t>
            </w:r>
          </w:p>
        </w:tc>
        <w:tc>
          <w:tcPr>
            <w:tcW w:w="1417" w:type="dxa"/>
            <w:shd w:val="clear" w:color="000000" w:fill="FFFFFF"/>
            <w:noWrap/>
            <w:vAlign w:val="bottom"/>
            <w:hideMark/>
          </w:tcPr>
          <w:p w14:paraId="44F40311" w14:textId="77777777" w:rsidR="00715695" w:rsidRPr="00AF1C1D" w:rsidRDefault="00715695" w:rsidP="00715695">
            <w:pPr>
              <w:jc w:val="right"/>
              <w:rPr>
                <w:sz w:val="16"/>
                <w:szCs w:val="16"/>
                <w:lang w:eastAsia="tr-TR"/>
              </w:rPr>
            </w:pPr>
            <w:r w:rsidRPr="00AF1C1D">
              <w:rPr>
                <w:color w:val="000000"/>
                <w:sz w:val="16"/>
                <w:szCs w:val="16"/>
              </w:rPr>
              <w:t>Floating</w:t>
            </w:r>
          </w:p>
        </w:tc>
        <w:tc>
          <w:tcPr>
            <w:tcW w:w="1418" w:type="dxa"/>
            <w:shd w:val="clear" w:color="000000" w:fill="FFFFFF"/>
            <w:noWrap/>
            <w:vAlign w:val="bottom"/>
            <w:hideMark/>
          </w:tcPr>
          <w:p w14:paraId="60267DEA" w14:textId="77777777" w:rsidR="00715695" w:rsidRPr="00AF1C1D" w:rsidRDefault="00715695" w:rsidP="00715695">
            <w:pPr>
              <w:jc w:val="right"/>
              <w:rPr>
                <w:sz w:val="16"/>
                <w:szCs w:val="16"/>
                <w:lang w:eastAsia="tr-TR"/>
              </w:rPr>
            </w:pPr>
            <w:r w:rsidRPr="00AF1C1D">
              <w:rPr>
                <w:color w:val="000000"/>
                <w:sz w:val="16"/>
                <w:szCs w:val="16"/>
              </w:rPr>
              <w:t>Floating</w:t>
            </w:r>
          </w:p>
        </w:tc>
        <w:tc>
          <w:tcPr>
            <w:tcW w:w="1417" w:type="dxa"/>
            <w:shd w:val="clear" w:color="000000" w:fill="FFFFFF"/>
            <w:noWrap/>
            <w:vAlign w:val="bottom"/>
            <w:hideMark/>
          </w:tcPr>
          <w:p w14:paraId="3FB95293" w14:textId="77777777" w:rsidR="00715695" w:rsidRPr="00AF1C1D" w:rsidRDefault="00715695" w:rsidP="00715695">
            <w:pPr>
              <w:jc w:val="right"/>
              <w:rPr>
                <w:sz w:val="16"/>
                <w:szCs w:val="16"/>
                <w:lang w:eastAsia="tr-TR"/>
              </w:rPr>
            </w:pPr>
            <w:r w:rsidRPr="00AF1C1D">
              <w:rPr>
                <w:color w:val="000000"/>
                <w:sz w:val="16"/>
                <w:szCs w:val="16"/>
              </w:rPr>
              <w:t>Floating</w:t>
            </w:r>
          </w:p>
        </w:tc>
        <w:tc>
          <w:tcPr>
            <w:tcW w:w="1418" w:type="dxa"/>
            <w:shd w:val="clear" w:color="000000" w:fill="FFFFFF"/>
            <w:noWrap/>
            <w:vAlign w:val="bottom"/>
            <w:hideMark/>
          </w:tcPr>
          <w:p w14:paraId="43A19FB4" w14:textId="77777777" w:rsidR="00715695" w:rsidRPr="00AF1C1D" w:rsidRDefault="00715695" w:rsidP="00715695">
            <w:pPr>
              <w:jc w:val="right"/>
              <w:rPr>
                <w:sz w:val="16"/>
                <w:szCs w:val="16"/>
                <w:lang w:eastAsia="tr-TR"/>
              </w:rPr>
            </w:pPr>
            <w:r w:rsidRPr="00AF1C1D">
              <w:rPr>
                <w:color w:val="000000"/>
                <w:sz w:val="16"/>
                <w:szCs w:val="16"/>
              </w:rPr>
              <w:t>Floating</w:t>
            </w:r>
          </w:p>
        </w:tc>
        <w:tc>
          <w:tcPr>
            <w:tcW w:w="1417" w:type="dxa"/>
            <w:shd w:val="clear" w:color="000000" w:fill="FFFFFF"/>
            <w:noWrap/>
            <w:vAlign w:val="bottom"/>
            <w:hideMark/>
          </w:tcPr>
          <w:p w14:paraId="2A788F1D" w14:textId="77777777" w:rsidR="00715695" w:rsidRPr="00AF1C1D" w:rsidRDefault="00715695" w:rsidP="00715695">
            <w:pPr>
              <w:jc w:val="right"/>
              <w:rPr>
                <w:sz w:val="16"/>
                <w:szCs w:val="16"/>
                <w:lang w:eastAsia="tr-TR"/>
              </w:rPr>
            </w:pPr>
            <w:r w:rsidRPr="00AF1C1D">
              <w:rPr>
                <w:color w:val="000000"/>
                <w:sz w:val="16"/>
                <w:szCs w:val="16"/>
              </w:rPr>
              <w:t>Floating</w:t>
            </w:r>
          </w:p>
        </w:tc>
        <w:tc>
          <w:tcPr>
            <w:tcW w:w="1417" w:type="dxa"/>
            <w:shd w:val="clear" w:color="000000" w:fill="FFFFFF"/>
            <w:vAlign w:val="bottom"/>
          </w:tcPr>
          <w:p w14:paraId="6E171364" w14:textId="77777777" w:rsidR="00715695" w:rsidRPr="00895BBC" w:rsidRDefault="00715695" w:rsidP="00715695">
            <w:pPr>
              <w:jc w:val="right"/>
              <w:rPr>
                <w:sz w:val="14"/>
                <w:szCs w:val="14"/>
                <w:highlight w:val="yellow"/>
                <w:lang w:eastAsia="tr-TR"/>
              </w:rPr>
            </w:pPr>
            <w:r w:rsidRPr="00AF1C1D">
              <w:rPr>
                <w:color w:val="000000"/>
                <w:sz w:val="16"/>
                <w:szCs w:val="16"/>
              </w:rPr>
              <w:t>Floating</w:t>
            </w:r>
          </w:p>
        </w:tc>
      </w:tr>
      <w:tr w:rsidR="00715695" w:rsidRPr="00EA3453" w14:paraId="28CC3C4D" w14:textId="77777777" w:rsidTr="0073281E">
        <w:trPr>
          <w:trHeight w:val="20"/>
        </w:trPr>
        <w:tc>
          <w:tcPr>
            <w:tcW w:w="1778" w:type="dxa"/>
            <w:shd w:val="clear" w:color="000000" w:fill="FFFFFF"/>
            <w:vAlign w:val="bottom"/>
            <w:hideMark/>
          </w:tcPr>
          <w:p w14:paraId="3D357FA4" w14:textId="77777777" w:rsidR="00715695" w:rsidRPr="00AF1C1D" w:rsidRDefault="00715695" w:rsidP="00715695">
            <w:pPr>
              <w:rPr>
                <w:sz w:val="16"/>
                <w:szCs w:val="16"/>
                <w:lang w:eastAsia="tr-TR"/>
              </w:rPr>
            </w:pPr>
            <w:r w:rsidRPr="00AF1C1D">
              <w:rPr>
                <w:sz w:val="16"/>
                <w:szCs w:val="16"/>
                <w:lang w:eastAsia="tr-TR"/>
              </w:rPr>
              <w:t>Coupon rate and any related index</w:t>
            </w:r>
          </w:p>
        </w:tc>
        <w:tc>
          <w:tcPr>
            <w:tcW w:w="1417" w:type="dxa"/>
            <w:shd w:val="clear" w:color="000000" w:fill="FFFFFF"/>
            <w:noWrap/>
            <w:vAlign w:val="bottom"/>
            <w:hideMark/>
          </w:tcPr>
          <w:p w14:paraId="486E858D" w14:textId="77777777" w:rsidR="00715695" w:rsidRPr="00AF1C1D" w:rsidRDefault="00715695" w:rsidP="00715695">
            <w:pPr>
              <w:jc w:val="right"/>
              <w:rPr>
                <w:sz w:val="16"/>
                <w:szCs w:val="16"/>
                <w:lang w:eastAsia="tr-TR"/>
              </w:rPr>
            </w:pPr>
            <w:r w:rsidRPr="00AF1C1D">
              <w:rPr>
                <w:sz w:val="16"/>
                <w:szCs w:val="16"/>
                <w:lang w:eastAsia="tr-TR"/>
              </w:rPr>
              <w:t>Libor+4.5</w:t>
            </w:r>
          </w:p>
        </w:tc>
        <w:tc>
          <w:tcPr>
            <w:tcW w:w="1418" w:type="dxa"/>
            <w:shd w:val="clear" w:color="000000" w:fill="FFFFFF"/>
            <w:noWrap/>
            <w:vAlign w:val="bottom"/>
            <w:hideMark/>
          </w:tcPr>
          <w:p w14:paraId="53065D4B" w14:textId="77777777" w:rsidR="00715695" w:rsidRPr="00AF1C1D" w:rsidRDefault="00715695" w:rsidP="00715695">
            <w:pPr>
              <w:jc w:val="right"/>
              <w:rPr>
                <w:sz w:val="16"/>
                <w:szCs w:val="16"/>
                <w:lang w:eastAsia="tr-TR"/>
              </w:rPr>
            </w:pPr>
            <w:r w:rsidRPr="00AF1C1D">
              <w:rPr>
                <w:sz w:val="16"/>
                <w:szCs w:val="16"/>
                <w:lang w:eastAsia="tr-TR"/>
              </w:rPr>
              <w:t>Libor+4.5</w:t>
            </w:r>
          </w:p>
        </w:tc>
        <w:tc>
          <w:tcPr>
            <w:tcW w:w="1417" w:type="dxa"/>
            <w:shd w:val="clear" w:color="000000" w:fill="FFFFFF"/>
            <w:noWrap/>
            <w:vAlign w:val="bottom"/>
            <w:hideMark/>
          </w:tcPr>
          <w:p w14:paraId="3635F5BE" w14:textId="77777777" w:rsidR="00715695" w:rsidRPr="00AF1C1D" w:rsidRDefault="00715695" w:rsidP="00715695">
            <w:pPr>
              <w:jc w:val="right"/>
              <w:rPr>
                <w:sz w:val="16"/>
                <w:szCs w:val="16"/>
                <w:lang w:eastAsia="tr-TR"/>
              </w:rPr>
            </w:pPr>
            <w:r w:rsidRPr="00AF1C1D">
              <w:rPr>
                <w:sz w:val="16"/>
                <w:szCs w:val="16"/>
                <w:lang w:eastAsia="tr-TR"/>
              </w:rPr>
              <w:t>Libor+4.5</w:t>
            </w:r>
          </w:p>
        </w:tc>
        <w:tc>
          <w:tcPr>
            <w:tcW w:w="1418" w:type="dxa"/>
            <w:shd w:val="clear" w:color="000000" w:fill="FFFFFF"/>
            <w:noWrap/>
            <w:vAlign w:val="bottom"/>
            <w:hideMark/>
          </w:tcPr>
          <w:p w14:paraId="4F21384A" w14:textId="77777777" w:rsidR="00715695" w:rsidRPr="00AF1C1D" w:rsidRDefault="00715695" w:rsidP="00715695">
            <w:pPr>
              <w:jc w:val="right"/>
              <w:rPr>
                <w:sz w:val="16"/>
                <w:szCs w:val="16"/>
                <w:lang w:eastAsia="tr-TR"/>
              </w:rPr>
            </w:pPr>
            <w:r w:rsidRPr="00AF1C1D">
              <w:rPr>
                <w:sz w:val="16"/>
                <w:szCs w:val="16"/>
                <w:lang w:eastAsia="tr-TR"/>
              </w:rPr>
              <w:t>Euribor+4.5</w:t>
            </w:r>
          </w:p>
        </w:tc>
        <w:tc>
          <w:tcPr>
            <w:tcW w:w="1417" w:type="dxa"/>
            <w:shd w:val="clear" w:color="000000" w:fill="FFFFFF"/>
            <w:noWrap/>
            <w:vAlign w:val="bottom"/>
            <w:hideMark/>
          </w:tcPr>
          <w:p w14:paraId="4879468C" w14:textId="77777777" w:rsidR="00715695" w:rsidRPr="00AF1C1D" w:rsidRDefault="00715695" w:rsidP="00715695">
            <w:pPr>
              <w:jc w:val="right"/>
              <w:rPr>
                <w:sz w:val="16"/>
                <w:szCs w:val="16"/>
                <w:lang w:eastAsia="tr-TR"/>
              </w:rPr>
            </w:pPr>
            <w:r w:rsidRPr="00AF1C1D">
              <w:rPr>
                <w:sz w:val="16"/>
                <w:szCs w:val="16"/>
                <w:lang w:eastAsia="tr-TR"/>
              </w:rPr>
              <w:t>Euribor+4.5</w:t>
            </w:r>
          </w:p>
        </w:tc>
        <w:tc>
          <w:tcPr>
            <w:tcW w:w="1417" w:type="dxa"/>
            <w:shd w:val="clear" w:color="000000" w:fill="FFFFFF"/>
            <w:vAlign w:val="bottom"/>
          </w:tcPr>
          <w:p w14:paraId="6F9456A0" w14:textId="77777777" w:rsidR="00715695" w:rsidRPr="00576E0A" w:rsidRDefault="00715695" w:rsidP="00715695">
            <w:pPr>
              <w:jc w:val="right"/>
              <w:rPr>
                <w:sz w:val="16"/>
                <w:szCs w:val="16"/>
                <w:highlight w:val="yellow"/>
                <w:lang w:eastAsia="tr-TR"/>
              </w:rPr>
            </w:pPr>
            <w:r w:rsidRPr="00576E0A">
              <w:rPr>
                <w:sz w:val="16"/>
                <w:szCs w:val="16"/>
              </w:rPr>
              <w:t>Libor+6</w:t>
            </w:r>
          </w:p>
        </w:tc>
      </w:tr>
      <w:tr w:rsidR="00715695" w:rsidRPr="000D5F7F" w14:paraId="3270A48A" w14:textId="77777777" w:rsidTr="0073281E">
        <w:trPr>
          <w:trHeight w:val="20"/>
        </w:trPr>
        <w:tc>
          <w:tcPr>
            <w:tcW w:w="1778" w:type="dxa"/>
            <w:shd w:val="clear" w:color="000000" w:fill="FFFFFF"/>
            <w:vAlign w:val="bottom"/>
            <w:hideMark/>
          </w:tcPr>
          <w:p w14:paraId="3E321955" w14:textId="77777777" w:rsidR="00715695" w:rsidRPr="00AF1C1D" w:rsidRDefault="00715695" w:rsidP="00715695">
            <w:pPr>
              <w:rPr>
                <w:sz w:val="16"/>
                <w:szCs w:val="16"/>
                <w:lang w:eastAsia="tr-TR"/>
              </w:rPr>
            </w:pPr>
            <w:r w:rsidRPr="00AF1C1D">
              <w:rPr>
                <w:sz w:val="16"/>
                <w:szCs w:val="16"/>
                <w:lang w:eastAsia="tr-TR"/>
              </w:rPr>
              <w:t>Existence of a dividend stopper</w:t>
            </w:r>
          </w:p>
        </w:tc>
        <w:tc>
          <w:tcPr>
            <w:tcW w:w="1417" w:type="dxa"/>
            <w:shd w:val="clear" w:color="000000" w:fill="FFFFFF"/>
            <w:noWrap/>
            <w:vAlign w:val="bottom"/>
            <w:hideMark/>
          </w:tcPr>
          <w:p w14:paraId="2302B709" w14:textId="77777777" w:rsidR="00715695" w:rsidRPr="00AF1C1D" w:rsidRDefault="00715695" w:rsidP="0071569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3A348FFD" w14:textId="77777777" w:rsidR="00715695" w:rsidRPr="00AF1C1D" w:rsidRDefault="00715695" w:rsidP="0071569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0D84ADD6" w14:textId="77777777" w:rsidR="00715695" w:rsidRPr="00AF1C1D" w:rsidRDefault="00715695" w:rsidP="0071569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360DA4D0" w14:textId="77777777" w:rsidR="00715695" w:rsidRPr="00AF1C1D" w:rsidRDefault="00715695" w:rsidP="0071569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447890A3" w14:textId="77777777" w:rsidR="00715695" w:rsidRPr="00AF1C1D" w:rsidRDefault="00715695" w:rsidP="0071569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60518538" w14:textId="77777777" w:rsidR="00715695" w:rsidRPr="000D5F7F" w:rsidRDefault="00715695" w:rsidP="00715695">
            <w:pPr>
              <w:jc w:val="right"/>
              <w:rPr>
                <w:sz w:val="14"/>
                <w:szCs w:val="14"/>
                <w:lang w:eastAsia="tr-TR"/>
              </w:rPr>
            </w:pPr>
            <w:r w:rsidRPr="000D5F7F">
              <w:rPr>
                <w:sz w:val="14"/>
                <w:szCs w:val="14"/>
                <w:lang w:eastAsia="tr-TR"/>
              </w:rPr>
              <w:t xml:space="preserve">                           -   </w:t>
            </w:r>
          </w:p>
        </w:tc>
      </w:tr>
      <w:tr w:rsidR="00715695" w:rsidRPr="00EA3453" w14:paraId="110FCA1F" w14:textId="77777777" w:rsidTr="0073281E">
        <w:trPr>
          <w:trHeight w:val="20"/>
        </w:trPr>
        <w:tc>
          <w:tcPr>
            <w:tcW w:w="1778" w:type="dxa"/>
            <w:shd w:val="clear" w:color="000000" w:fill="FFFFFF"/>
            <w:vAlign w:val="bottom"/>
            <w:hideMark/>
          </w:tcPr>
          <w:p w14:paraId="26650AE4" w14:textId="77777777" w:rsidR="00715695" w:rsidRPr="00AF1C1D" w:rsidRDefault="00715695" w:rsidP="00715695">
            <w:pPr>
              <w:tabs>
                <w:tab w:val="left" w:pos="689"/>
              </w:tabs>
              <w:spacing w:line="20" w:lineRule="atLeast"/>
              <w:rPr>
                <w:sz w:val="16"/>
                <w:szCs w:val="16"/>
                <w:lang w:eastAsia="tr-TR"/>
              </w:rPr>
            </w:pPr>
            <w:r w:rsidRPr="00AF1C1D">
              <w:rPr>
                <w:sz w:val="16"/>
                <w:szCs w:val="16"/>
                <w:lang w:eastAsia="tr-TR"/>
              </w:rPr>
              <w:t xml:space="preserve">Fully discretionary, partially </w:t>
            </w:r>
          </w:p>
          <w:p w14:paraId="0D5F8E9E" w14:textId="77777777" w:rsidR="00715695" w:rsidRPr="00AF1C1D" w:rsidRDefault="00715695" w:rsidP="00715695">
            <w:pPr>
              <w:rPr>
                <w:sz w:val="16"/>
                <w:szCs w:val="16"/>
                <w:lang w:eastAsia="tr-TR"/>
              </w:rPr>
            </w:pPr>
            <w:r w:rsidRPr="00AF1C1D">
              <w:rPr>
                <w:sz w:val="16"/>
                <w:szCs w:val="16"/>
                <w:lang w:eastAsia="tr-TR"/>
              </w:rPr>
              <w:t>discretionary or mandatory</w:t>
            </w:r>
          </w:p>
        </w:tc>
        <w:tc>
          <w:tcPr>
            <w:tcW w:w="1417" w:type="dxa"/>
            <w:shd w:val="clear" w:color="000000" w:fill="FFFFFF"/>
            <w:vAlign w:val="bottom"/>
            <w:hideMark/>
          </w:tcPr>
          <w:p w14:paraId="25EF094F" w14:textId="77777777" w:rsidR="00715695" w:rsidRPr="00AF1C1D" w:rsidRDefault="00715695" w:rsidP="00715695">
            <w:pPr>
              <w:jc w:val="right"/>
              <w:rPr>
                <w:sz w:val="16"/>
                <w:szCs w:val="16"/>
                <w:lang w:eastAsia="tr-TR"/>
              </w:rPr>
            </w:pPr>
            <w:r w:rsidRPr="00AF1C1D">
              <w:rPr>
                <w:color w:val="000000"/>
                <w:sz w:val="16"/>
                <w:szCs w:val="16"/>
              </w:rPr>
              <w:t>Mandatory</w:t>
            </w:r>
          </w:p>
        </w:tc>
        <w:tc>
          <w:tcPr>
            <w:tcW w:w="1418" w:type="dxa"/>
            <w:shd w:val="clear" w:color="000000" w:fill="FFFFFF"/>
            <w:vAlign w:val="bottom"/>
            <w:hideMark/>
          </w:tcPr>
          <w:p w14:paraId="5E44E13B" w14:textId="77777777" w:rsidR="00715695" w:rsidRPr="00AF1C1D" w:rsidRDefault="00715695" w:rsidP="00715695">
            <w:pPr>
              <w:jc w:val="right"/>
              <w:rPr>
                <w:sz w:val="16"/>
                <w:szCs w:val="16"/>
                <w:lang w:eastAsia="tr-TR"/>
              </w:rPr>
            </w:pPr>
            <w:r w:rsidRPr="00AF1C1D">
              <w:rPr>
                <w:color w:val="000000"/>
                <w:sz w:val="16"/>
                <w:szCs w:val="16"/>
              </w:rPr>
              <w:t>Mandatory</w:t>
            </w:r>
          </w:p>
        </w:tc>
        <w:tc>
          <w:tcPr>
            <w:tcW w:w="1417" w:type="dxa"/>
            <w:shd w:val="clear" w:color="000000" w:fill="FFFFFF"/>
            <w:vAlign w:val="bottom"/>
            <w:hideMark/>
          </w:tcPr>
          <w:p w14:paraId="138183DB" w14:textId="77777777" w:rsidR="00715695" w:rsidRPr="00AF1C1D" w:rsidRDefault="00715695" w:rsidP="00715695">
            <w:pPr>
              <w:jc w:val="right"/>
              <w:rPr>
                <w:sz w:val="16"/>
                <w:szCs w:val="16"/>
                <w:lang w:eastAsia="tr-TR"/>
              </w:rPr>
            </w:pPr>
            <w:r w:rsidRPr="00AF1C1D">
              <w:rPr>
                <w:color w:val="000000"/>
                <w:sz w:val="16"/>
                <w:szCs w:val="16"/>
              </w:rPr>
              <w:t>Mandatory</w:t>
            </w:r>
          </w:p>
        </w:tc>
        <w:tc>
          <w:tcPr>
            <w:tcW w:w="1418" w:type="dxa"/>
            <w:shd w:val="clear" w:color="000000" w:fill="FFFFFF"/>
            <w:vAlign w:val="bottom"/>
            <w:hideMark/>
          </w:tcPr>
          <w:p w14:paraId="6AAC1FDA" w14:textId="77777777" w:rsidR="00715695" w:rsidRPr="00AF1C1D" w:rsidRDefault="00715695" w:rsidP="00715695">
            <w:pPr>
              <w:jc w:val="right"/>
              <w:rPr>
                <w:sz w:val="16"/>
                <w:szCs w:val="16"/>
                <w:lang w:eastAsia="tr-TR"/>
              </w:rPr>
            </w:pPr>
            <w:r w:rsidRPr="00AF1C1D">
              <w:rPr>
                <w:color w:val="000000"/>
                <w:sz w:val="16"/>
                <w:szCs w:val="16"/>
              </w:rPr>
              <w:t>Mandatory</w:t>
            </w:r>
          </w:p>
        </w:tc>
        <w:tc>
          <w:tcPr>
            <w:tcW w:w="1417" w:type="dxa"/>
            <w:shd w:val="clear" w:color="000000" w:fill="FFFFFF"/>
            <w:vAlign w:val="bottom"/>
            <w:hideMark/>
          </w:tcPr>
          <w:p w14:paraId="684EF058" w14:textId="77777777" w:rsidR="00715695" w:rsidRPr="00AF1C1D" w:rsidRDefault="00715695" w:rsidP="00715695">
            <w:pPr>
              <w:jc w:val="right"/>
              <w:rPr>
                <w:sz w:val="16"/>
                <w:szCs w:val="16"/>
                <w:lang w:eastAsia="tr-TR"/>
              </w:rPr>
            </w:pPr>
            <w:r w:rsidRPr="00AF1C1D">
              <w:rPr>
                <w:color w:val="000000"/>
                <w:sz w:val="16"/>
                <w:szCs w:val="16"/>
              </w:rPr>
              <w:t>Mandatory</w:t>
            </w:r>
          </w:p>
        </w:tc>
        <w:tc>
          <w:tcPr>
            <w:tcW w:w="1417" w:type="dxa"/>
            <w:shd w:val="clear" w:color="000000" w:fill="FFFFFF"/>
            <w:vAlign w:val="bottom"/>
          </w:tcPr>
          <w:p w14:paraId="37674D5D" w14:textId="77777777" w:rsidR="00715695" w:rsidRPr="00895BBC" w:rsidRDefault="00715695" w:rsidP="00715695">
            <w:pPr>
              <w:jc w:val="right"/>
              <w:rPr>
                <w:sz w:val="14"/>
                <w:szCs w:val="14"/>
                <w:highlight w:val="yellow"/>
                <w:lang w:eastAsia="tr-TR"/>
              </w:rPr>
            </w:pPr>
            <w:r w:rsidRPr="00AF1C1D">
              <w:rPr>
                <w:color w:val="000000"/>
                <w:sz w:val="16"/>
                <w:szCs w:val="16"/>
              </w:rPr>
              <w:t>Mandatory</w:t>
            </w:r>
          </w:p>
        </w:tc>
      </w:tr>
      <w:tr w:rsidR="0073281E" w:rsidRPr="00EA3453" w14:paraId="6F3F6181" w14:textId="77777777" w:rsidTr="0073281E">
        <w:trPr>
          <w:trHeight w:val="20"/>
        </w:trPr>
        <w:tc>
          <w:tcPr>
            <w:tcW w:w="1778" w:type="dxa"/>
            <w:shd w:val="clear" w:color="000000" w:fill="FFFFFF"/>
            <w:vAlign w:val="bottom"/>
          </w:tcPr>
          <w:p w14:paraId="56301EFC" w14:textId="50AFFC0B" w:rsidR="0073281E" w:rsidRPr="00AF1C1D" w:rsidRDefault="0073281E" w:rsidP="0073281E">
            <w:pPr>
              <w:tabs>
                <w:tab w:val="left" w:pos="689"/>
              </w:tabs>
              <w:spacing w:line="20" w:lineRule="atLeast"/>
              <w:rPr>
                <w:sz w:val="16"/>
                <w:szCs w:val="16"/>
                <w:lang w:eastAsia="tr-TR"/>
              </w:rPr>
            </w:pPr>
            <w:r w:rsidRPr="00AF1C1D">
              <w:rPr>
                <w:sz w:val="16"/>
                <w:szCs w:val="16"/>
                <w:lang w:eastAsia="tr-TR"/>
              </w:rPr>
              <w:t>Existence of step up or other incentive to redeem</w:t>
            </w:r>
          </w:p>
        </w:tc>
        <w:tc>
          <w:tcPr>
            <w:tcW w:w="1417" w:type="dxa"/>
            <w:shd w:val="clear" w:color="000000" w:fill="FFFFFF"/>
            <w:vAlign w:val="bottom"/>
          </w:tcPr>
          <w:p w14:paraId="0F218D81" w14:textId="0A65156E" w:rsidR="0073281E" w:rsidRPr="00AF1C1D" w:rsidRDefault="0073281E" w:rsidP="0073281E">
            <w:pPr>
              <w:jc w:val="right"/>
              <w:rPr>
                <w:color w:val="000000"/>
                <w:sz w:val="16"/>
                <w:szCs w:val="16"/>
              </w:rPr>
            </w:pPr>
            <w:r w:rsidRPr="00AF1C1D">
              <w:rPr>
                <w:sz w:val="16"/>
                <w:szCs w:val="16"/>
                <w:lang w:eastAsia="tr-TR"/>
              </w:rPr>
              <w:t xml:space="preserve">                               -   </w:t>
            </w:r>
          </w:p>
        </w:tc>
        <w:tc>
          <w:tcPr>
            <w:tcW w:w="1418" w:type="dxa"/>
            <w:shd w:val="clear" w:color="000000" w:fill="FFFFFF"/>
            <w:vAlign w:val="bottom"/>
          </w:tcPr>
          <w:p w14:paraId="153E4D2E" w14:textId="62F3D1DC" w:rsidR="0073281E" w:rsidRPr="00AF1C1D" w:rsidRDefault="0073281E" w:rsidP="0073281E">
            <w:pPr>
              <w:jc w:val="right"/>
              <w:rPr>
                <w:color w:val="000000"/>
                <w:sz w:val="16"/>
                <w:szCs w:val="16"/>
              </w:rPr>
            </w:pPr>
            <w:r w:rsidRPr="00AF1C1D">
              <w:rPr>
                <w:sz w:val="16"/>
                <w:szCs w:val="16"/>
                <w:lang w:eastAsia="tr-TR"/>
              </w:rPr>
              <w:t xml:space="preserve">                         -   </w:t>
            </w:r>
          </w:p>
        </w:tc>
        <w:tc>
          <w:tcPr>
            <w:tcW w:w="1417" w:type="dxa"/>
            <w:shd w:val="clear" w:color="000000" w:fill="FFFFFF"/>
            <w:vAlign w:val="bottom"/>
          </w:tcPr>
          <w:p w14:paraId="1223A3D9" w14:textId="3EC6C7E7" w:rsidR="0073281E" w:rsidRPr="00AF1C1D" w:rsidRDefault="0073281E" w:rsidP="0073281E">
            <w:pPr>
              <w:jc w:val="right"/>
              <w:rPr>
                <w:color w:val="000000"/>
                <w:sz w:val="16"/>
                <w:szCs w:val="16"/>
              </w:rPr>
            </w:pPr>
            <w:r w:rsidRPr="00AF1C1D">
              <w:rPr>
                <w:sz w:val="16"/>
                <w:szCs w:val="16"/>
                <w:lang w:eastAsia="tr-TR"/>
              </w:rPr>
              <w:t xml:space="preserve">                                  -   </w:t>
            </w:r>
          </w:p>
        </w:tc>
        <w:tc>
          <w:tcPr>
            <w:tcW w:w="1418" w:type="dxa"/>
            <w:shd w:val="clear" w:color="000000" w:fill="FFFFFF"/>
            <w:vAlign w:val="bottom"/>
          </w:tcPr>
          <w:p w14:paraId="7C516FE7" w14:textId="6AEFC0BB" w:rsidR="0073281E" w:rsidRPr="00AF1C1D" w:rsidRDefault="0073281E" w:rsidP="0073281E">
            <w:pPr>
              <w:jc w:val="right"/>
              <w:rPr>
                <w:color w:val="000000"/>
                <w:sz w:val="16"/>
                <w:szCs w:val="16"/>
              </w:rPr>
            </w:pPr>
            <w:r w:rsidRPr="00AF1C1D">
              <w:rPr>
                <w:sz w:val="16"/>
                <w:szCs w:val="16"/>
                <w:lang w:eastAsia="tr-TR"/>
              </w:rPr>
              <w:t xml:space="preserve">                                -   </w:t>
            </w:r>
          </w:p>
        </w:tc>
        <w:tc>
          <w:tcPr>
            <w:tcW w:w="1417" w:type="dxa"/>
            <w:shd w:val="clear" w:color="000000" w:fill="FFFFFF"/>
            <w:vAlign w:val="bottom"/>
          </w:tcPr>
          <w:p w14:paraId="5B3EFA56" w14:textId="0AC1C1A5" w:rsidR="0073281E" w:rsidRPr="00AF1C1D" w:rsidRDefault="0073281E" w:rsidP="0073281E">
            <w:pPr>
              <w:jc w:val="right"/>
              <w:rPr>
                <w:color w:val="000000"/>
                <w:sz w:val="16"/>
                <w:szCs w:val="16"/>
              </w:rPr>
            </w:pPr>
            <w:r w:rsidRPr="00AF1C1D">
              <w:rPr>
                <w:sz w:val="16"/>
                <w:szCs w:val="16"/>
                <w:lang w:eastAsia="tr-TR"/>
              </w:rPr>
              <w:t xml:space="preserve">                           -   </w:t>
            </w:r>
          </w:p>
        </w:tc>
        <w:tc>
          <w:tcPr>
            <w:tcW w:w="1417" w:type="dxa"/>
            <w:shd w:val="clear" w:color="000000" w:fill="FFFFFF"/>
            <w:vAlign w:val="bottom"/>
          </w:tcPr>
          <w:p w14:paraId="1A16942E" w14:textId="462E8639" w:rsidR="0073281E" w:rsidRPr="00AF1C1D" w:rsidRDefault="0073281E" w:rsidP="0073281E">
            <w:pPr>
              <w:jc w:val="right"/>
              <w:rPr>
                <w:color w:val="000000"/>
                <w:sz w:val="16"/>
                <w:szCs w:val="16"/>
              </w:rPr>
            </w:pPr>
            <w:r w:rsidRPr="000D5F7F">
              <w:rPr>
                <w:sz w:val="14"/>
                <w:szCs w:val="14"/>
                <w:lang w:eastAsia="tr-TR"/>
              </w:rPr>
              <w:t xml:space="preserve">                           -   </w:t>
            </w:r>
          </w:p>
        </w:tc>
      </w:tr>
      <w:tr w:rsidR="0073281E" w:rsidRPr="00EA3453" w14:paraId="65D43FB8" w14:textId="77777777" w:rsidTr="0073281E">
        <w:trPr>
          <w:trHeight w:val="20"/>
        </w:trPr>
        <w:tc>
          <w:tcPr>
            <w:tcW w:w="1778" w:type="dxa"/>
            <w:shd w:val="clear" w:color="000000" w:fill="FFFFFF"/>
            <w:vAlign w:val="bottom"/>
          </w:tcPr>
          <w:p w14:paraId="3C9AFD52" w14:textId="01E003CA" w:rsidR="0073281E" w:rsidRPr="00AF1C1D" w:rsidRDefault="0073281E" w:rsidP="0073281E">
            <w:pPr>
              <w:tabs>
                <w:tab w:val="left" w:pos="689"/>
              </w:tabs>
              <w:spacing w:line="20" w:lineRule="atLeast"/>
              <w:rPr>
                <w:sz w:val="16"/>
                <w:szCs w:val="16"/>
                <w:lang w:eastAsia="tr-TR"/>
              </w:rPr>
            </w:pPr>
            <w:r w:rsidRPr="00AF1C1D">
              <w:rPr>
                <w:sz w:val="16"/>
                <w:szCs w:val="16"/>
                <w:lang w:eastAsia="tr-TR"/>
              </w:rPr>
              <w:t>Non</w:t>
            </w:r>
            <w:r>
              <w:rPr>
                <w:sz w:val="16"/>
                <w:szCs w:val="16"/>
                <w:lang w:eastAsia="tr-TR"/>
              </w:rPr>
              <w:t>-</w:t>
            </w:r>
            <w:r w:rsidRPr="00AF1C1D">
              <w:rPr>
                <w:sz w:val="16"/>
                <w:szCs w:val="16"/>
                <w:lang w:eastAsia="tr-TR"/>
              </w:rPr>
              <w:t>cumulative or cumulative</w:t>
            </w:r>
          </w:p>
        </w:tc>
        <w:tc>
          <w:tcPr>
            <w:tcW w:w="1417" w:type="dxa"/>
            <w:shd w:val="clear" w:color="000000" w:fill="FFFFFF"/>
            <w:vAlign w:val="bottom"/>
          </w:tcPr>
          <w:p w14:paraId="20F4FAF2" w14:textId="09FE1003" w:rsidR="0073281E" w:rsidRPr="00AF1C1D" w:rsidRDefault="0073281E" w:rsidP="0073281E">
            <w:pPr>
              <w:jc w:val="right"/>
              <w:rPr>
                <w:color w:val="000000"/>
                <w:sz w:val="16"/>
                <w:szCs w:val="16"/>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8" w:type="dxa"/>
            <w:shd w:val="clear" w:color="000000" w:fill="FFFFFF"/>
            <w:vAlign w:val="bottom"/>
          </w:tcPr>
          <w:p w14:paraId="714BECAE" w14:textId="72B8FC56" w:rsidR="0073281E" w:rsidRPr="00AF1C1D" w:rsidRDefault="0073281E" w:rsidP="0073281E">
            <w:pPr>
              <w:jc w:val="right"/>
              <w:rPr>
                <w:color w:val="000000"/>
                <w:sz w:val="16"/>
                <w:szCs w:val="16"/>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7" w:type="dxa"/>
            <w:shd w:val="clear" w:color="000000" w:fill="FFFFFF"/>
            <w:vAlign w:val="bottom"/>
          </w:tcPr>
          <w:p w14:paraId="08C3B617" w14:textId="3DB55762" w:rsidR="0073281E" w:rsidRPr="00AF1C1D" w:rsidRDefault="0073281E" w:rsidP="0073281E">
            <w:pPr>
              <w:jc w:val="right"/>
              <w:rPr>
                <w:color w:val="000000"/>
                <w:sz w:val="16"/>
                <w:szCs w:val="16"/>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8" w:type="dxa"/>
            <w:shd w:val="clear" w:color="000000" w:fill="FFFFFF"/>
            <w:vAlign w:val="bottom"/>
          </w:tcPr>
          <w:p w14:paraId="572D52F7" w14:textId="70E627BC" w:rsidR="0073281E" w:rsidRPr="00AF1C1D" w:rsidRDefault="0073281E" w:rsidP="0073281E">
            <w:pPr>
              <w:jc w:val="right"/>
              <w:rPr>
                <w:color w:val="000000"/>
                <w:sz w:val="16"/>
                <w:szCs w:val="16"/>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7" w:type="dxa"/>
            <w:shd w:val="clear" w:color="000000" w:fill="FFFFFF"/>
            <w:vAlign w:val="bottom"/>
          </w:tcPr>
          <w:p w14:paraId="00D4B9EE" w14:textId="488F4F08" w:rsidR="0073281E" w:rsidRPr="00AF1C1D" w:rsidRDefault="0073281E" w:rsidP="0073281E">
            <w:pPr>
              <w:jc w:val="right"/>
              <w:rPr>
                <w:color w:val="000000"/>
                <w:sz w:val="16"/>
                <w:szCs w:val="16"/>
              </w:rPr>
            </w:pPr>
            <w:r w:rsidRPr="00AF1C1D">
              <w:rPr>
                <w:sz w:val="16"/>
                <w:szCs w:val="16"/>
                <w:lang w:eastAsia="tr-TR"/>
              </w:rPr>
              <w:t>Non</w:t>
            </w:r>
            <w:r>
              <w:rPr>
                <w:sz w:val="16"/>
                <w:szCs w:val="16"/>
                <w:lang w:eastAsia="tr-TR"/>
              </w:rPr>
              <w:t>-</w:t>
            </w:r>
            <w:r w:rsidRPr="00AF1C1D">
              <w:rPr>
                <w:sz w:val="16"/>
                <w:szCs w:val="16"/>
                <w:lang w:eastAsia="tr-TR"/>
              </w:rPr>
              <w:t>cumulative</w:t>
            </w:r>
          </w:p>
        </w:tc>
        <w:tc>
          <w:tcPr>
            <w:tcW w:w="1417" w:type="dxa"/>
            <w:shd w:val="clear" w:color="000000" w:fill="FFFFFF"/>
            <w:vAlign w:val="bottom"/>
          </w:tcPr>
          <w:p w14:paraId="7BED9E06" w14:textId="3CD7C9F0" w:rsidR="0073281E" w:rsidRPr="00AF1C1D" w:rsidRDefault="0073281E" w:rsidP="0073281E">
            <w:pPr>
              <w:jc w:val="right"/>
              <w:rPr>
                <w:color w:val="000000"/>
                <w:sz w:val="16"/>
                <w:szCs w:val="16"/>
              </w:rPr>
            </w:pPr>
            <w:r w:rsidRPr="00AF1C1D">
              <w:rPr>
                <w:sz w:val="16"/>
                <w:szCs w:val="16"/>
                <w:lang w:eastAsia="tr-TR"/>
              </w:rPr>
              <w:t>Non</w:t>
            </w:r>
            <w:r>
              <w:rPr>
                <w:sz w:val="16"/>
                <w:szCs w:val="16"/>
                <w:lang w:eastAsia="tr-TR"/>
              </w:rPr>
              <w:t>-</w:t>
            </w:r>
            <w:r w:rsidRPr="00AF1C1D">
              <w:rPr>
                <w:sz w:val="16"/>
                <w:szCs w:val="16"/>
                <w:lang w:eastAsia="tr-TR"/>
              </w:rPr>
              <w:t>cumulative</w:t>
            </w:r>
          </w:p>
        </w:tc>
      </w:tr>
    </w:tbl>
    <w:p w14:paraId="61EDA4CD" w14:textId="53BEFF79" w:rsidR="00224102" w:rsidRPr="00604C75" w:rsidRDefault="00A041CD" w:rsidP="00224102">
      <w:pPr>
        <w:pStyle w:val="NormalIndent"/>
        <w:pageBreakBefore/>
        <w:widowControl w:val="0"/>
        <w:spacing w:after="120"/>
        <w:ind w:left="0"/>
        <w:jc w:val="both"/>
        <w:rPr>
          <w:b/>
          <w:bCs/>
          <w:noProof/>
          <w:lang w:val="tr-TR"/>
        </w:rPr>
      </w:pPr>
      <w:r w:rsidRPr="00604C75">
        <w:rPr>
          <w:b/>
          <w:bCs/>
          <w:noProof/>
          <w:lang w:val="tr-TR"/>
        </w:rPr>
        <w:lastRenderedPageBreak/>
        <w:t>INFORMATION O</w:t>
      </w:r>
      <w:r>
        <w:rPr>
          <w:b/>
          <w:bCs/>
          <w:noProof/>
          <w:lang w:val="tr-TR"/>
        </w:rPr>
        <w:t>N THE</w:t>
      </w:r>
      <w:r w:rsidRPr="00604C75">
        <w:rPr>
          <w:b/>
          <w:bCs/>
          <w:noProof/>
          <w:lang w:val="tr-TR"/>
        </w:rPr>
        <w:t xml:space="preserve"> FINANCIAL POSITION OF THE GROUP (Continued</w:t>
      </w:r>
      <w:r>
        <w:rPr>
          <w:b/>
          <w:bCs/>
          <w:noProof/>
          <w:lang w:val="tr-TR"/>
        </w:rPr>
        <w:t>)</w:t>
      </w:r>
    </w:p>
    <w:p w14:paraId="74D82C14" w14:textId="77777777" w:rsidR="00224102" w:rsidRPr="00604C75" w:rsidRDefault="00224102" w:rsidP="00AD6A3F">
      <w:pPr>
        <w:pStyle w:val="BodyTextIndent"/>
        <w:numPr>
          <w:ilvl w:val="0"/>
          <w:numId w:val="77"/>
        </w:numPr>
        <w:tabs>
          <w:tab w:val="left" w:pos="567"/>
        </w:tabs>
        <w:spacing w:line="221" w:lineRule="auto"/>
        <w:ind w:hanging="1080"/>
        <w:jc w:val="both"/>
        <w:rPr>
          <w:b/>
          <w:noProof/>
          <w:sz w:val="20"/>
          <w:szCs w:val="20"/>
          <w:lang w:val="tr-TR"/>
        </w:rPr>
      </w:pPr>
      <w:r w:rsidRPr="00604C75">
        <w:rPr>
          <w:b/>
          <w:noProof/>
          <w:sz w:val="20"/>
          <w:lang w:val="tr-TR"/>
        </w:rPr>
        <w:t>Information on Capital Adequacy Ratio</w:t>
      </w:r>
      <w:r w:rsidRPr="00604C75" w:rsidDel="00613F85">
        <w:rPr>
          <w:b/>
          <w:noProof/>
          <w:sz w:val="20"/>
          <w:lang w:val="tr-TR"/>
        </w:rPr>
        <w:t xml:space="preserve"> </w:t>
      </w:r>
      <w:r w:rsidRPr="00604C75">
        <w:rPr>
          <w:b/>
          <w:bCs/>
          <w:noProof/>
          <w:sz w:val="20"/>
          <w:lang w:val="tr-TR"/>
        </w:rPr>
        <w:t>(Continued)</w:t>
      </w:r>
    </w:p>
    <w:p w14:paraId="241FF2C7" w14:textId="78B18B57" w:rsidR="00224102" w:rsidRPr="00E83EAC" w:rsidRDefault="00224102" w:rsidP="00224102">
      <w:pPr>
        <w:rPr>
          <w:sz w:val="20"/>
          <w:szCs w:val="20"/>
        </w:rPr>
      </w:pPr>
      <w:r w:rsidRPr="00E83EAC">
        <w:rPr>
          <w:b/>
          <w:bCs/>
          <w:sz w:val="20"/>
          <w:szCs w:val="20"/>
        </w:rPr>
        <w:t>Details on Subordinated Liabilities</w:t>
      </w:r>
      <w:r>
        <w:rPr>
          <w:b/>
          <w:bCs/>
          <w:sz w:val="20"/>
          <w:szCs w:val="20"/>
        </w:rPr>
        <w:t xml:space="preserve"> (Continued)</w:t>
      </w:r>
    </w:p>
    <w:p w14:paraId="54E2911B" w14:textId="77777777" w:rsidR="007E25BD" w:rsidRDefault="007E25BD" w:rsidP="00B77804">
      <w:pPr>
        <w:tabs>
          <w:tab w:val="left" w:pos="426"/>
          <w:tab w:val="left" w:pos="6115"/>
          <w:tab w:val="left" w:pos="7375"/>
        </w:tabs>
        <w:spacing w:line="228" w:lineRule="auto"/>
        <w:jc w:val="both"/>
        <w:rPr>
          <w:b/>
          <w:sz w:val="20"/>
          <w:szCs w:val="20"/>
        </w:rPr>
      </w:pPr>
    </w:p>
    <w:tbl>
      <w:tblPr>
        <w:tblW w:w="10282" w:type="dxa"/>
        <w:tblInd w:w="-29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778"/>
        <w:gridCol w:w="1417"/>
        <w:gridCol w:w="1418"/>
        <w:gridCol w:w="1417"/>
        <w:gridCol w:w="1418"/>
        <w:gridCol w:w="1417"/>
        <w:gridCol w:w="1417"/>
      </w:tblGrid>
      <w:tr w:rsidR="00224102" w:rsidRPr="00895BBC" w14:paraId="247DA9D0" w14:textId="77777777" w:rsidTr="00F77D55">
        <w:trPr>
          <w:trHeight w:val="180"/>
        </w:trPr>
        <w:tc>
          <w:tcPr>
            <w:tcW w:w="8865" w:type="dxa"/>
            <w:gridSpan w:val="6"/>
            <w:shd w:val="clear" w:color="000000" w:fill="FFFFFF"/>
            <w:vAlign w:val="bottom"/>
          </w:tcPr>
          <w:p w14:paraId="4A273A0F" w14:textId="77777777" w:rsidR="00224102" w:rsidRPr="00AF1C1D" w:rsidRDefault="00224102" w:rsidP="00F77D55">
            <w:pPr>
              <w:jc w:val="center"/>
              <w:rPr>
                <w:sz w:val="16"/>
                <w:szCs w:val="16"/>
                <w:lang w:eastAsia="tr-TR"/>
              </w:rPr>
            </w:pPr>
            <w:r w:rsidRPr="00AF1C1D">
              <w:rPr>
                <w:b/>
                <w:sz w:val="16"/>
                <w:szCs w:val="16"/>
                <w:lang w:eastAsia="tr-TR"/>
              </w:rPr>
              <w:t>Convertible or non-convertible</w:t>
            </w:r>
          </w:p>
        </w:tc>
        <w:tc>
          <w:tcPr>
            <w:tcW w:w="1417" w:type="dxa"/>
            <w:shd w:val="clear" w:color="000000" w:fill="FFFFFF"/>
          </w:tcPr>
          <w:p w14:paraId="5DEB3C85" w14:textId="77777777" w:rsidR="00224102" w:rsidRPr="00895BBC" w:rsidRDefault="00224102" w:rsidP="00F77D55">
            <w:pPr>
              <w:jc w:val="center"/>
              <w:rPr>
                <w:sz w:val="14"/>
                <w:szCs w:val="14"/>
                <w:highlight w:val="yellow"/>
                <w:lang w:eastAsia="tr-TR"/>
              </w:rPr>
            </w:pPr>
          </w:p>
        </w:tc>
      </w:tr>
      <w:tr w:rsidR="00224102" w:rsidRPr="000D5F7F" w14:paraId="25552B46" w14:textId="77777777" w:rsidTr="00F77D55">
        <w:trPr>
          <w:trHeight w:val="480"/>
        </w:trPr>
        <w:tc>
          <w:tcPr>
            <w:tcW w:w="1778" w:type="dxa"/>
            <w:shd w:val="clear" w:color="000000" w:fill="FFFFFF"/>
            <w:vAlign w:val="bottom"/>
            <w:hideMark/>
          </w:tcPr>
          <w:p w14:paraId="03E84ED5" w14:textId="77777777" w:rsidR="00224102" w:rsidRPr="00AF1C1D" w:rsidRDefault="00224102" w:rsidP="00F77D55">
            <w:pPr>
              <w:rPr>
                <w:sz w:val="16"/>
                <w:szCs w:val="16"/>
                <w:lang w:eastAsia="tr-TR"/>
              </w:rPr>
            </w:pPr>
            <w:r w:rsidRPr="00AF1C1D">
              <w:rPr>
                <w:sz w:val="16"/>
                <w:szCs w:val="16"/>
                <w:lang w:eastAsia="tr-TR"/>
              </w:rPr>
              <w:t>If convertible, conversion trigger (s)</w:t>
            </w:r>
          </w:p>
        </w:tc>
        <w:tc>
          <w:tcPr>
            <w:tcW w:w="1417" w:type="dxa"/>
            <w:shd w:val="clear" w:color="000000" w:fill="FFFFFF"/>
            <w:noWrap/>
            <w:vAlign w:val="bottom"/>
            <w:hideMark/>
          </w:tcPr>
          <w:p w14:paraId="0224F2B0"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5E7EEAFB"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46097CFF"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750D1CFF"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131E6517"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1018DFFA" w14:textId="77777777" w:rsidR="00224102" w:rsidRPr="000D5F7F" w:rsidRDefault="00224102" w:rsidP="00F77D55">
            <w:pPr>
              <w:jc w:val="right"/>
              <w:rPr>
                <w:sz w:val="14"/>
                <w:szCs w:val="14"/>
                <w:lang w:eastAsia="tr-TR"/>
              </w:rPr>
            </w:pPr>
            <w:r w:rsidRPr="000D5F7F">
              <w:rPr>
                <w:sz w:val="14"/>
                <w:szCs w:val="14"/>
                <w:lang w:eastAsia="tr-TR"/>
              </w:rPr>
              <w:t xml:space="preserve">                           -   </w:t>
            </w:r>
          </w:p>
        </w:tc>
      </w:tr>
      <w:tr w:rsidR="00224102" w:rsidRPr="000D5F7F" w14:paraId="2879E46C" w14:textId="77777777" w:rsidTr="00F77D55">
        <w:trPr>
          <w:trHeight w:val="480"/>
        </w:trPr>
        <w:tc>
          <w:tcPr>
            <w:tcW w:w="1778" w:type="dxa"/>
            <w:shd w:val="clear" w:color="000000" w:fill="FFFFFF"/>
            <w:vAlign w:val="bottom"/>
            <w:hideMark/>
          </w:tcPr>
          <w:p w14:paraId="4F69F1C6" w14:textId="77777777" w:rsidR="00224102" w:rsidRPr="00AF1C1D" w:rsidRDefault="00224102" w:rsidP="00F77D55">
            <w:pPr>
              <w:rPr>
                <w:sz w:val="16"/>
                <w:szCs w:val="16"/>
                <w:lang w:eastAsia="tr-TR"/>
              </w:rPr>
            </w:pPr>
            <w:r w:rsidRPr="00AF1C1D">
              <w:rPr>
                <w:sz w:val="16"/>
                <w:szCs w:val="16"/>
                <w:lang w:eastAsia="tr-TR"/>
              </w:rPr>
              <w:t>If convertible, fully or partially</w:t>
            </w:r>
          </w:p>
        </w:tc>
        <w:tc>
          <w:tcPr>
            <w:tcW w:w="1417" w:type="dxa"/>
            <w:shd w:val="clear" w:color="000000" w:fill="FFFFFF"/>
            <w:noWrap/>
            <w:vAlign w:val="bottom"/>
            <w:hideMark/>
          </w:tcPr>
          <w:p w14:paraId="2E6D0E80"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28D2089D"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1CA126C9"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6D59A5E3"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233DF080"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1A401BDE" w14:textId="77777777" w:rsidR="00224102" w:rsidRPr="000D5F7F" w:rsidRDefault="00224102" w:rsidP="00F77D55">
            <w:pPr>
              <w:jc w:val="right"/>
              <w:rPr>
                <w:sz w:val="14"/>
                <w:szCs w:val="14"/>
                <w:lang w:eastAsia="tr-TR"/>
              </w:rPr>
            </w:pPr>
            <w:r w:rsidRPr="000D5F7F">
              <w:rPr>
                <w:sz w:val="14"/>
                <w:szCs w:val="14"/>
                <w:lang w:eastAsia="tr-TR"/>
              </w:rPr>
              <w:t xml:space="preserve">                           -   </w:t>
            </w:r>
          </w:p>
        </w:tc>
      </w:tr>
      <w:tr w:rsidR="00224102" w:rsidRPr="000D5F7F" w14:paraId="793F9AE8" w14:textId="77777777" w:rsidTr="00F77D55">
        <w:trPr>
          <w:trHeight w:val="255"/>
        </w:trPr>
        <w:tc>
          <w:tcPr>
            <w:tcW w:w="1778" w:type="dxa"/>
            <w:shd w:val="clear" w:color="000000" w:fill="FFFFFF"/>
            <w:vAlign w:val="bottom"/>
            <w:hideMark/>
          </w:tcPr>
          <w:p w14:paraId="673CD5BA" w14:textId="77777777" w:rsidR="00224102" w:rsidRPr="00AF1C1D" w:rsidRDefault="00224102" w:rsidP="00F77D55">
            <w:pPr>
              <w:rPr>
                <w:sz w:val="16"/>
                <w:szCs w:val="16"/>
                <w:lang w:eastAsia="tr-TR"/>
              </w:rPr>
            </w:pPr>
            <w:r w:rsidRPr="00AF1C1D">
              <w:rPr>
                <w:sz w:val="16"/>
                <w:szCs w:val="16"/>
                <w:lang w:eastAsia="tr-TR"/>
              </w:rPr>
              <w:t>If convertible, conversion rate</w:t>
            </w:r>
          </w:p>
        </w:tc>
        <w:tc>
          <w:tcPr>
            <w:tcW w:w="1417" w:type="dxa"/>
            <w:shd w:val="clear" w:color="000000" w:fill="FFFFFF"/>
            <w:noWrap/>
            <w:vAlign w:val="bottom"/>
            <w:hideMark/>
          </w:tcPr>
          <w:p w14:paraId="23E04040"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6D0D9E81"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3E86B11A"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5044FE32"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01D8B682"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71DE53BE" w14:textId="77777777" w:rsidR="00224102" w:rsidRPr="000D5F7F" w:rsidRDefault="00224102" w:rsidP="00F77D55">
            <w:pPr>
              <w:jc w:val="right"/>
              <w:rPr>
                <w:sz w:val="14"/>
                <w:szCs w:val="14"/>
                <w:lang w:eastAsia="tr-TR"/>
              </w:rPr>
            </w:pPr>
            <w:r w:rsidRPr="000D5F7F">
              <w:rPr>
                <w:sz w:val="14"/>
                <w:szCs w:val="14"/>
                <w:lang w:eastAsia="tr-TR"/>
              </w:rPr>
              <w:t xml:space="preserve">                           -   </w:t>
            </w:r>
          </w:p>
        </w:tc>
      </w:tr>
      <w:tr w:rsidR="00224102" w:rsidRPr="000D5F7F" w14:paraId="23E2D9EE" w14:textId="77777777" w:rsidTr="00F77D55">
        <w:trPr>
          <w:trHeight w:val="480"/>
        </w:trPr>
        <w:tc>
          <w:tcPr>
            <w:tcW w:w="1778" w:type="dxa"/>
            <w:shd w:val="clear" w:color="000000" w:fill="FFFFFF"/>
            <w:vAlign w:val="bottom"/>
            <w:hideMark/>
          </w:tcPr>
          <w:p w14:paraId="1826A301" w14:textId="77777777" w:rsidR="00224102" w:rsidRPr="00AF1C1D" w:rsidRDefault="00224102" w:rsidP="00F77D55">
            <w:pPr>
              <w:rPr>
                <w:sz w:val="16"/>
                <w:szCs w:val="16"/>
                <w:lang w:eastAsia="tr-TR"/>
              </w:rPr>
            </w:pPr>
            <w:r w:rsidRPr="00AF1C1D">
              <w:rPr>
                <w:sz w:val="16"/>
                <w:szCs w:val="16"/>
                <w:lang w:eastAsia="tr-TR"/>
              </w:rPr>
              <w:t>If convertible, mandatory or optional conversion</w:t>
            </w:r>
          </w:p>
        </w:tc>
        <w:tc>
          <w:tcPr>
            <w:tcW w:w="1417" w:type="dxa"/>
            <w:shd w:val="clear" w:color="000000" w:fill="FFFFFF"/>
            <w:noWrap/>
            <w:vAlign w:val="bottom"/>
            <w:hideMark/>
          </w:tcPr>
          <w:p w14:paraId="1D48266C"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73F6B487"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5A78A131"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60CCC245"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2A45B95E"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4FE51EFE" w14:textId="77777777" w:rsidR="00224102" w:rsidRPr="000D5F7F" w:rsidRDefault="00224102" w:rsidP="00F77D55">
            <w:pPr>
              <w:jc w:val="right"/>
              <w:rPr>
                <w:sz w:val="14"/>
                <w:szCs w:val="14"/>
                <w:lang w:eastAsia="tr-TR"/>
              </w:rPr>
            </w:pPr>
            <w:r w:rsidRPr="000D5F7F">
              <w:rPr>
                <w:sz w:val="14"/>
                <w:szCs w:val="14"/>
                <w:lang w:eastAsia="tr-TR"/>
              </w:rPr>
              <w:t xml:space="preserve">                           -   </w:t>
            </w:r>
          </w:p>
        </w:tc>
      </w:tr>
      <w:tr w:rsidR="00224102" w:rsidRPr="000D5F7F" w14:paraId="33E6B62E" w14:textId="77777777" w:rsidTr="00F77D55">
        <w:trPr>
          <w:trHeight w:val="255"/>
        </w:trPr>
        <w:tc>
          <w:tcPr>
            <w:tcW w:w="1778" w:type="dxa"/>
            <w:shd w:val="clear" w:color="000000" w:fill="FFFFFF"/>
            <w:vAlign w:val="bottom"/>
            <w:hideMark/>
          </w:tcPr>
          <w:p w14:paraId="50CF4944" w14:textId="77777777" w:rsidR="00224102" w:rsidRPr="00AF1C1D" w:rsidRDefault="00224102" w:rsidP="00F77D55">
            <w:pPr>
              <w:rPr>
                <w:sz w:val="16"/>
                <w:szCs w:val="16"/>
                <w:lang w:eastAsia="tr-TR"/>
              </w:rPr>
            </w:pPr>
            <w:r w:rsidRPr="00AF1C1D">
              <w:rPr>
                <w:sz w:val="16"/>
                <w:szCs w:val="16"/>
                <w:lang w:eastAsia="tr-TR"/>
              </w:rPr>
              <w:t>If convertible, specify instrument type convertible into</w:t>
            </w:r>
          </w:p>
        </w:tc>
        <w:tc>
          <w:tcPr>
            <w:tcW w:w="1417" w:type="dxa"/>
            <w:shd w:val="clear" w:color="000000" w:fill="FFFFFF"/>
            <w:noWrap/>
            <w:vAlign w:val="bottom"/>
            <w:hideMark/>
          </w:tcPr>
          <w:p w14:paraId="3B3A8C52"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5025FEBA"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5CAA16B6"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0436289A"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2CC03F50"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6649AFB6" w14:textId="77777777" w:rsidR="00224102" w:rsidRPr="000D5F7F" w:rsidRDefault="00224102" w:rsidP="00F77D55">
            <w:pPr>
              <w:jc w:val="right"/>
              <w:rPr>
                <w:sz w:val="14"/>
                <w:szCs w:val="14"/>
                <w:lang w:eastAsia="tr-TR"/>
              </w:rPr>
            </w:pPr>
            <w:r w:rsidRPr="000D5F7F">
              <w:rPr>
                <w:sz w:val="14"/>
                <w:szCs w:val="14"/>
                <w:lang w:eastAsia="tr-TR"/>
              </w:rPr>
              <w:t xml:space="preserve">                           -   </w:t>
            </w:r>
          </w:p>
        </w:tc>
      </w:tr>
      <w:tr w:rsidR="00224102" w:rsidRPr="000D5F7F" w14:paraId="32E7A1D0" w14:textId="77777777" w:rsidTr="00F77D55">
        <w:trPr>
          <w:trHeight w:val="480"/>
        </w:trPr>
        <w:tc>
          <w:tcPr>
            <w:tcW w:w="1778" w:type="dxa"/>
            <w:shd w:val="clear" w:color="000000" w:fill="FFFFFF"/>
            <w:vAlign w:val="bottom"/>
            <w:hideMark/>
          </w:tcPr>
          <w:p w14:paraId="34E7CD1E" w14:textId="77777777" w:rsidR="00224102" w:rsidRPr="00AF1C1D" w:rsidRDefault="00224102" w:rsidP="00F77D55">
            <w:pPr>
              <w:rPr>
                <w:sz w:val="16"/>
                <w:szCs w:val="16"/>
                <w:lang w:eastAsia="tr-TR"/>
              </w:rPr>
            </w:pPr>
            <w:r w:rsidRPr="00AF1C1D">
              <w:rPr>
                <w:sz w:val="16"/>
                <w:szCs w:val="16"/>
                <w:lang w:eastAsia="tr-TR"/>
              </w:rPr>
              <w:t xml:space="preserve">If convertible, specify issuer of instrument it converts </w:t>
            </w:r>
            <w:proofErr w:type="spellStart"/>
            <w:r w:rsidRPr="00AF1C1D">
              <w:rPr>
                <w:sz w:val="16"/>
                <w:szCs w:val="16"/>
                <w:lang w:eastAsia="tr-TR"/>
              </w:rPr>
              <w:t>int</w:t>
            </w:r>
            <w:proofErr w:type="spellEnd"/>
          </w:p>
        </w:tc>
        <w:tc>
          <w:tcPr>
            <w:tcW w:w="1417" w:type="dxa"/>
            <w:shd w:val="clear" w:color="000000" w:fill="FFFFFF"/>
            <w:noWrap/>
            <w:vAlign w:val="bottom"/>
            <w:hideMark/>
          </w:tcPr>
          <w:p w14:paraId="3BB4B989"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1F3E9B1B"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3FD12896"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560ECACC"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1086D8D1"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20388233" w14:textId="77777777" w:rsidR="00224102" w:rsidRPr="000D5F7F" w:rsidRDefault="00224102" w:rsidP="00F77D55">
            <w:pPr>
              <w:jc w:val="right"/>
              <w:rPr>
                <w:sz w:val="14"/>
                <w:szCs w:val="14"/>
                <w:lang w:eastAsia="tr-TR"/>
              </w:rPr>
            </w:pPr>
            <w:r w:rsidRPr="000D5F7F">
              <w:rPr>
                <w:sz w:val="14"/>
                <w:szCs w:val="14"/>
                <w:lang w:eastAsia="tr-TR"/>
              </w:rPr>
              <w:t xml:space="preserve">                           -   </w:t>
            </w:r>
          </w:p>
        </w:tc>
      </w:tr>
      <w:tr w:rsidR="00224102" w:rsidRPr="00895BBC" w14:paraId="597CF867" w14:textId="77777777" w:rsidTr="00F77D55">
        <w:trPr>
          <w:trHeight w:val="246"/>
        </w:trPr>
        <w:tc>
          <w:tcPr>
            <w:tcW w:w="8865" w:type="dxa"/>
            <w:gridSpan w:val="6"/>
            <w:shd w:val="clear" w:color="000000" w:fill="FFFFFF"/>
            <w:vAlign w:val="bottom"/>
          </w:tcPr>
          <w:p w14:paraId="7B3786BE" w14:textId="77777777" w:rsidR="00224102" w:rsidRPr="00AF1C1D" w:rsidRDefault="00224102" w:rsidP="00F77D55">
            <w:pPr>
              <w:jc w:val="center"/>
              <w:rPr>
                <w:sz w:val="16"/>
                <w:szCs w:val="16"/>
                <w:lang w:eastAsia="tr-TR"/>
              </w:rPr>
            </w:pPr>
            <w:r w:rsidRPr="00AF1C1D">
              <w:rPr>
                <w:b/>
                <w:sz w:val="16"/>
                <w:szCs w:val="16"/>
                <w:lang w:eastAsia="tr-TR"/>
              </w:rPr>
              <w:t>Write-down feature</w:t>
            </w:r>
          </w:p>
        </w:tc>
        <w:tc>
          <w:tcPr>
            <w:tcW w:w="1417" w:type="dxa"/>
            <w:shd w:val="clear" w:color="000000" w:fill="FFFFFF"/>
          </w:tcPr>
          <w:p w14:paraId="1C393397" w14:textId="77777777" w:rsidR="00224102" w:rsidRPr="00895BBC" w:rsidRDefault="00224102" w:rsidP="00F77D55">
            <w:pPr>
              <w:jc w:val="center"/>
              <w:rPr>
                <w:sz w:val="14"/>
                <w:szCs w:val="14"/>
                <w:highlight w:val="yellow"/>
                <w:lang w:eastAsia="tr-TR"/>
              </w:rPr>
            </w:pPr>
          </w:p>
        </w:tc>
      </w:tr>
      <w:tr w:rsidR="00224102" w:rsidRPr="00D1625C" w14:paraId="06F9B671" w14:textId="77777777" w:rsidTr="00F77D55">
        <w:trPr>
          <w:trHeight w:val="480"/>
        </w:trPr>
        <w:tc>
          <w:tcPr>
            <w:tcW w:w="1778" w:type="dxa"/>
            <w:shd w:val="clear" w:color="000000" w:fill="FFFFFF"/>
            <w:vAlign w:val="bottom"/>
            <w:hideMark/>
          </w:tcPr>
          <w:p w14:paraId="2A526B60" w14:textId="77777777" w:rsidR="00224102" w:rsidRPr="00AF1C1D" w:rsidRDefault="00224102" w:rsidP="00F77D55">
            <w:pPr>
              <w:rPr>
                <w:sz w:val="16"/>
                <w:szCs w:val="16"/>
                <w:lang w:eastAsia="tr-TR"/>
              </w:rPr>
            </w:pPr>
            <w:r w:rsidRPr="00AF1C1D">
              <w:rPr>
                <w:sz w:val="16"/>
                <w:szCs w:val="16"/>
                <w:lang w:eastAsia="tr-TR"/>
              </w:rPr>
              <w:t>If write-down, write-down trigger(s)</w:t>
            </w:r>
          </w:p>
        </w:tc>
        <w:tc>
          <w:tcPr>
            <w:tcW w:w="1417" w:type="dxa"/>
            <w:shd w:val="clear" w:color="000000" w:fill="FFFFFF"/>
            <w:noWrap/>
            <w:vAlign w:val="bottom"/>
            <w:hideMark/>
          </w:tcPr>
          <w:p w14:paraId="36EE0131"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63B07AEF"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0468FD44"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4AC8D665"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15D5BF7B"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441F7C8B" w14:textId="597A27F7" w:rsidR="00224102" w:rsidRPr="00D1625C" w:rsidRDefault="00224102" w:rsidP="00F77D55">
            <w:pPr>
              <w:jc w:val="right"/>
              <w:rPr>
                <w:color w:val="000000"/>
                <w:sz w:val="16"/>
                <w:szCs w:val="16"/>
              </w:rPr>
            </w:pPr>
            <w:r w:rsidRPr="00D1625C">
              <w:rPr>
                <w:color w:val="000000"/>
                <w:sz w:val="16"/>
                <w:szCs w:val="16"/>
              </w:rPr>
              <w:t>When unsustainable situation is realized,</w:t>
            </w:r>
            <w:r w:rsidR="0073281E">
              <w:rPr>
                <w:color w:val="000000"/>
                <w:sz w:val="16"/>
                <w:szCs w:val="16"/>
              </w:rPr>
              <w:t xml:space="preserve"> </w:t>
            </w:r>
            <w:r w:rsidRPr="00D1625C">
              <w:rPr>
                <w:color w:val="000000"/>
                <w:sz w:val="16"/>
                <w:szCs w:val="16"/>
              </w:rPr>
              <w:t xml:space="preserve">value </w:t>
            </w:r>
            <w:proofErr w:type="gramStart"/>
            <w:r w:rsidRPr="00D1625C">
              <w:rPr>
                <w:color w:val="000000"/>
                <w:sz w:val="16"/>
                <w:szCs w:val="16"/>
              </w:rPr>
              <w:t>decrement  is</w:t>
            </w:r>
            <w:proofErr w:type="gramEnd"/>
            <w:r w:rsidRPr="00D1625C">
              <w:rPr>
                <w:color w:val="000000"/>
                <w:sz w:val="16"/>
                <w:szCs w:val="16"/>
              </w:rPr>
              <w:t xml:space="preserve"> realized.</w:t>
            </w:r>
          </w:p>
        </w:tc>
      </w:tr>
      <w:tr w:rsidR="00224102" w:rsidRPr="00D1625C" w14:paraId="21E88AAD" w14:textId="77777777" w:rsidTr="00F77D55">
        <w:trPr>
          <w:trHeight w:val="480"/>
        </w:trPr>
        <w:tc>
          <w:tcPr>
            <w:tcW w:w="1778" w:type="dxa"/>
            <w:shd w:val="clear" w:color="000000" w:fill="FFFFFF"/>
            <w:vAlign w:val="bottom"/>
            <w:hideMark/>
          </w:tcPr>
          <w:p w14:paraId="34D8CDA4" w14:textId="77777777" w:rsidR="00224102" w:rsidRPr="00AF1C1D" w:rsidRDefault="00224102" w:rsidP="00F77D55">
            <w:pPr>
              <w:rPr>
                <w:sz w:val="16"/>
                <w:szCs w:val="16"/>
                <w:lang w:eastAsia="tr-TR"/>
              </w:rPr>
            </w:pPr>
            <w:r w:rsidRPr="00AF1C1D">
              <w:rPr>
                <w:sz w:val="16"/>
                <w:szCs w:val="16"/>
                <w:lang w:eastAsia="tr-TR"/>
              </w:rPr>
              <w:t>If write-down, full or partial</w:t>
            </w:r>
          </w:p>
        </w:tc>
        <w:tc>
          <w:tcPr>
            <w:tcW w:w="1417" w:type="dxa"/>
            <w:shd w:val="clear" w:color="000000" w:fill="FFFFFF"/>
            <w:noWrap/>
            <w:vAlign w:val="bottom"/>
            <w:hideMark/>
          </w:tcPr>
          <w:p w14:paraId="7C55D614"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0402C4BD"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794249B8"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7F13077C"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181312C4"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2EC3A047" w14:textId="77777777" w:rsidR="00224102" w:rsidRPr="00D1625C" w:rsidRDefault="00224102" w:rsidP="00F77D55">
            <w:pPr>
              <w:jc w:val="right"/>
              <w:rPr>
                <w:color w:val="000000"/>
                <w:sz w:val="16"/>
                <w:szCs w:val="16"/>
              </w:rPr>
            </w:pPr>
            <w:r w:rsidRPr="00D1625C">
              <w:rPr>
                <w:color w:val="000000"/>
                <w:sz w:val="16"/>
                <w:szCs w:val="16"/>
              </w:rPr>
              <w:t>Partial or completely value decrement is should be realized.</w:t>
            </w:r>
          </w:p>
        </w:tc>
      </w:tr>
      <w:tr w:rsidR="00224102" w:rsidRPr="00D1625C" w14:paraId="67C6A407" w14:textId="77777777" w:rsidTr="00F77D55">
        <w:trPr>
          <w:trHeight w:val="255"/>
        </w:trPr>
        <w:tc>
          <w:tcPr>
            <w:tcW w:w="1778" w:type="dxa"/>
            <w:shd w:val="clear" w:color="000000" w:fill="FFFFFF"/>
            <w:vAlign w:val="bottom"/>
            <w:hideMark/>
          </w:tcPr>
          <w:p w14:paraId="711CE23D" w14:textId="77777777" w:rsidR="00224102" w:rsidRPr="00AF1C1D" w:rsidRDefault="00224102" w:rsidP="00F77D55">
            <w:pPr>
              <w:rPr>
                <w:sz w:val="16"/>
                <w:szCs w:val="16"/>
                <w:lang w:eastAsia="tr-TR"/>
              </w:rPr>
            </w:pPr>
            <w:r w:rsidRPr="00AF1C1D">
              <w:rPr>
                <w:sz w:val="16"/>
                <w:szCs w:val="16"/>
                <w:lang w:eastAsia="tr-TR"/>
              </w:rPr>
              <w:t>If write-down, permanent or temporary</w:t>
            </w:r>
          </w:p>
        </w:tc>
        <w:tc>
          <w:tcPr>
            <w:tcW w:w="1417" w:type="dxa"/>
            <w:shd w:val="clear" w:color="000000" w:fill="FFFFFF"/>
            <w:noWrap/>
            <w:vAlign w:val="bottom"/>
            <w:hideMark/>
          </w:tcPr>
          <w:p w14:paraId="7C2044BA"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7CF99C76"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0EF455AE"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4E879C99"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438F6FC0"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70BEEE3E" w14:textId="77777777" w:rsidR="00224102" w:rsidRPr="00D1625C" w:rsidRDefault="00224102" w:rsidP="00F77D55">
            <w:pPr>
              <w:jc w:val="right"/>
              <w:rPr>
                <w:color w:val="000000"/>
                <w:sz w:val="16"/>
                <w:szCs w:val="16"/>
              </w:rPr>
            </w:pPr>
            <w:r w:rsidRPr="00D1625C">
              <w:rPr>
                <w:color w:val="000000"/>
                <w:sz w:val="16"/>
                <w:szCs w:val="16"/>
              </w:rPr>
              <w:t>Permanent</w:t>
            </w:r>
          </w:p>
        </w:tc>
      </w:tr>
      <w:tr w:rsidR="00224102" w:rsidRPr="00895BBC" w14:paraId="7EF5F459" w14:textId="77777777" w:rsidTr="00F77D55">
        <w:trPr>
          <w:trHeight w:val="255"/>
        </w:trPr>
        <w:tc>
          <w:tcPr>
            <w:tcW w:w="1778" w:type="dxa"/>
            <w:shd w:val="clear" w:color="000000" w:fill="FFFFFF"/>
            <w:vAlign w:val="bottom"/>
            <w:hideMark/>
          </w:tcPr>
          <w:p w14:paraId="4A8F82C6" w14:textId="77777777" w:rsidR="00224102" w:rsidRPr="00AF1C1D" w:rsidRDefault="00224102" w:rsidP="00F77D55">
            <w:pPr>
              <w:rPr>
                <w:sz w:val="16"/>
                <w:szCs w:val="16"/>
                <w:lang w:eastAsia="tr-TR"/>
              </w:rPr>
            </w:pPr>
            <w:r w:rsidRPr="00AF1C1D">
              <w:rPr>
                <w:sz w:val="16"/>
                <w:szCs w:val="16"/>
                <w:lang w:eastAsia="tr-TR"/>
              </w:rPr>
              <w:t>If temporary write-down, description of write-up mechanism</w:t>
            </w:r>
          </w:p>
        </w:tc>
        <w:tc>
          <w:tcPr>
            <w:tcW w:w="1417" w:type="dxa"/>
            <w:shd w:val="clear" w:color="000000" w:fill="FFFFFF"/>
            <w:noWrap/>
            <w:vAlign w:val="bottom"/>
            <w:hideMark/>
          </w:tcPr>
          <w:p w14:paraId="7E98C4C9"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45C25193"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4AC0464C"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8" w:type="dxa"/>
            <w:shd w:val="clear" w:color="000000" w:fill="FFFFFF"/>
            <w:noWrap/>
            <w:vAlign w:val="bottom"/>
            <w:hideMark/>
          </w:tcPr>
          <w:p w14:paraId="4D55BFE7"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noWrap/>
            <w:vAlign w:val="bottom"/>
            <w:hideMark/>
          </w:tcPr>
          <w:p w14:paraId="6DAFE924" w14:textId="77777777" w:rsidR="00224102" w:rsidRPr="00AF1C1D" w:rsidRDefault="00224102" w:rsidP="00F77D55">
            <w:pPr>
              <w:jc w:val="right"/>
              <w:rPr>
                <w:sz w:val="16"/>
                <w:szCs w:val="16"/>
                <w:lang w:eastAsia="tr-TR"/>
              </w:rPr>
            </w:pPr>
            <w:r w:rsidRPr="00AF1C1D">
              <w:rPr>
                <w:sz w:val="16"/>
                <w:szCs w:val="16"/>
                <w:lang w:eastAsia="tr-TR"/>
              </w:rPr>
              <w:t xml:space="preserve">                           -   </w:t>
            </w:r>
          </w:p>
        </w:tc>
        <w:tc>
          <w:tcPr>
            <w:tcW w:w="1417" w:type="dxa"/>
            <w:shd w:val="clear" w:color="000000" w:fill="FFFFFF"/>
            <w:vAlign w:val="bottom"/>
          </w:tcPr>
          <w:p w14:paraId="108FFD52" w14:textId="77777777" w:rsidR="00224102" w:rsidRPr="00895BBC" w:rsidRDefault="00224102" w:rsidP="00F77D55">
            <w:pPr>
              <w:jc w:val="right"/>
              <w:rPr>
                <w:sz w:val="14"/>
                <w:szCs w:val="14"/>
                <w:highlight w:val="yellow"/>
                <w:lang w:eastAsia="tr-TR"/>
              </w:rPr>
            </w:pPr>
            <w:r w:rsidRPr="00F91312">
              <w:rPr>
                <w:sz w:val="14"/>
                <w:szCs w:val="14"/>
                <w:lang w:eastAsia="tr-TR"/>
              </w:rPr>
              <w:t xml:space="preserve">                           -   </w:t>
            </w:r>
          </w:p>
        </w:tc>
      </w:tr>
      <w:tr w:rsidR="00224102" w:rsidRPr="00895BBC" w14:paraId="6503175C" w14:textId="77777777" w:rsidTr="00F77D55">
        <w:trPr>
          <w:trHeight w:val="645"/>
        </w:trPr>
        <w:tc>
          <w:tcPr>
            <w:tcW w:w="1778" w:type="dxa"/>
            <w:shd w:val="clear" w:color="000000" w:fill="FFFFFF"/>
            <w:vAlign w:val="bottom"/>
            <w:hideMark/>
          </w:tcPr>
          <w:p w14:paraId="3CABF810" w14:textId="77777777" w:rsidR="00224102" w:rsidRPr="00AF1C1D" w:rsidRDefault="00224102" w:rsidP="00F77D55">
            <w:pPr>
              <w:rPr>
                <w:sz w:val="16"/>
                <w:szCs w:val="16"/>
                <w:lang w:eastAsia="tr-TR"/>
              </w:rPr>
            </w:pPr>
            <w:r w:rsidRPr="00AF1C1D">
              <w:rPr>
                <w:sz w:val="16"/>
                <w:szCs w:val="16"/>
                <w:lang w:eastAsia="tr-TR"/>
              </w:rPr>
              <w:t>Position in subordination hierarchy in liquidation (specify instrument type immediately senior to instrument)</w:t>
            </w:r>
          </w:p>
        </w:tc>
        <w:tc>
          <w:tcPr>
            <w:tcW w:w="1417" w:type="dxa"/>
            <w:shd w:val="clear" w:color="000000" w:fill="FFFFFF"/>
            <w:vAlign w:val="bottom"/>
            <w:hideMark/>
          </w:tcPr>
          <w:p w14:paraId="2C584FDC" w14:textId="77777777" w:rsidR="00224102" w:rsidRPr="00AF1C1D" w:rsidRDefault="00224102" w:rsidP="00F77D55">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8" w:type="dxa"/>
            <w:shd w:val="clear" w:color="000000" w:fill="FFFFFF"/>
            <w:vAlign w:val="bottom"/>
            <w:hideMark/>
          </w:tcPr>
          <w:p w14:paraId="52FC80CA" w14:textId="77777777" w:rsidR="00224102" w:rsidRPr="00AF1C1D" w:rsidRDefault="00224102" w:rsidP="00F77D55">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7" w:type="dxa"/>
            <w:shd w:val="clear" w:color="000000" w:fill="FFFFFF"/>
            <w:vAlign w:val="bottom"/>
            <w:hideMark/>
          </w:tcPr>
          <w:p w14:paraId="3BE5A55E" w14:textId="77777777" w:rsidR="00224102" w:rsidRPr="00AF1C1D" w:rsidRDefault="00224102" w:rsidP="00F77D55">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8" w:type="dxa"/>
            <w:shd w:val="clear" w:color="000000" w:fill="FFFFFF"/>
            <w:vAlign w:val="bottom"/>
            <w:hideMark/>
          </w:tcPr>
          <w:p w14:paraId="7405D4C5" w14:textId="77777777" w:rsidR="00224102" w:rsidRPr="00AF1C1D" w:rsidRDefault="00224102" w:rsidP="00F77D55">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7" w:type="dxa"/>
            <w:shd w:val="clear" w:color="000000" w:fill="FFFFFF"/>
            <w:vAlign w:val="bottom"/>
            <w:hideMark/>
          </w:tcPr>
          <w:p w14:paraId="1EC090AA" w14:textId="77777777" w:rsidR="00224102" w:rsidRPr="00AF1C1D" w:rsidRDefault="00224102" w:rsidP="00F77D55">
            <w:pPr>
              <w:rPr>
                <w:sz w:val="16"/>
                <w:szCs w:val="16"/>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c>
          <w:tcPr>
            <w:tcW w:w="1417" w:type="dxa"/>
            <w:shd w:val="clear" w:color="000000" w:fill="FFFFFF"/>
            <w:vAlign w:val="bottom"/>
          </w:tcPr>
          <w:p w14:paraId="5C7A906A" w14:textId="77777777" w:rsidR="00224102" w:rsidRPr="00895BBC" w:rsidRDefault="00224102" w:rsidP="00F77D55">
            <w:pPr>
              <w:jc w:val="right"/>
              <w:rPr>
                <w:sz w:val="14"/>
                <w:szCs w:val="14"/>
                <w:highlight w:val="yellow"/>
                <w:lang w:eastAsia="tr-TR"/>
              </w:rPr>
            </w:pPr>
            <w:r w:rsidRPr="00AF1C1D">
              <w:rPr>
                <w:color w:val="000000"/>
                <w:sz w:val="16"/>
                <w:szCs w:val="16"/>
              </w:rPr>
              <w:t xml:space="preserve">Before core capital, </w:t>
            </w:r>
            <w:proofErr w:type="spellStart"/>
            <w:r w:rsidRPr="00AF1C1D">
              <w:rPr>
                <w:color w:val="000000"/>
                <w:sz w:val="16"/>
                <w:szCs w:val="16"/>
              </w:rPr>
              <w:t>aftter</w:t>
            </w:r>
            <w:proofErr w:type="spellEnd"/>
            <w:r w:rsidRPr="00AF1C1D">
              <w:rPr>
                <w:color w:val="000000"/>
                <w:sz w:val="16"/>
                <w:szCs w:val="16"/>
              </w:rPr>
              <w:t xml:space="preserve"> all creditors</w:t>
            </w:r>
          </w:p>
        </w:tc>
      </w:tr>
      <w:tr w:rsidR="00224102" w:rsidRPr="00895BBC" w14:paraId="1D423516" w14:textId="77777777" w:rsidTr="00F77D55">
        <w:trPr>
          <w:trHeight w:val="480"/>
        </w:trPr>
        <w:tc>
          <w:tcPr>
            <w:tcW w:w="1778" w:type="dxa"/>
            <w:shd w:val="clear" w:color="000000" w:fill="FFFFFF"/>
            <w:vAlign w:val="bottom"/>
            <w:hideMark/>
          </w:tcPr>
          <w:p w14:paraId="42A410FE" w14:textId="77777777" w:rsidR="00224102" w:rsidRPr="00AF1C1D" w:rsidRDefault="00224102" w:rsidP="00F77D55">
            <w:pPr>
              <w:rPr>
                <w:sz w:val="16"/>
                <w:szCs w:val="16"/>
                <w:lang w:eastAsia="tr-TR"/>
              </w:rPr>
            </w:pPr>
            <w:r w:rsidRPr="00AF1C1D">
              <w:rPr>
                <w:sz w:val="16"/>
                <w:szCs w:val="16"/>
                <w:lang w:eastAsia="tr-TR"/>
              </w:rPr>
              <w:t>Whether conditions which stands in article of 7 and 8 of Banks’ shareholder equity law are possessed or not</w:t>
            </w:r>
          </w:p>
        </w:tc>
        <w:tc>
          <w:tcPr>
            <w:tcW w:w="1417" w:type="dxa"/>
            <w:shd w:val="clear" w:color="000000" w:fill="FFFFFF"/>
            <w:noWrap/>
            <w:vAlign w:val="bottom"/>
            <w:hideMark/>
          </w:tcPr>
          <w:p w14:paraId="2B2CC1AF" w14:textId="77777777" w:rsidR="00224102" w:rsidRPr="00AF1C1D" w:rsidRDefault="00224102" w:rsidP="00F77D55">
            <w:pPr>
              <w:jc w:val="right"/>
              <w:rPr>
                <w:sz w:val="16"/>
                <w:szCs w:val="16"/>
                <w:lang w:eastAsia="tr-TR"/>
              </w:rPr>
            </w:pPr>
            <w:r>
              <w:rPr>
                <w:color w:val="000000"/>
                <w:sz w:val="16"/>
                <w:szCs w:val="16"/>
              </w:rPr>
              <w:t>No</w:t>
            </w:r>
          </w:p>
        </w:tc>
        <w:tc>
          <w:tcPr>
            <w:tcW w:w="1418" w:type="dxa"/>
            <w:shd w:val="clear" w:color="000000" w:fill="FFFFFF"/>
            <w:noWrap/>
            <w:vAlign w:val="bottom"/>
            <w:hideMark/>
          </w:tcPr>
          <w:p w14:paraId="6F0F0F24" w14:textId="77777777" w:rsidR="00224102" w:rsidRDefault="00224102" w:rsidP="00F77D55">
            <w:pPr>
              <w:jc w:val="right"/>
            </w:pPr>
            <w:r w:rsidRPr="00DF3424">
              <w:rPr>
                <w:color w:val="000000"/>
                <w:sz w:val="16"/>
                <w:szCs w:val="16"/>
              </w:rPr>
              <w:t>No</w:t>
            </w:r>
          </w:p>
        </w:tc>
        <w:tc>
          <w:tcPr>
            <w:tcW w:w="1417" w:type="dxa"/>
            <w:shd w:val="clear" w:color="000000" w:fill="FFFFFF"/>
            <w:noWrap/>
            <w:vAlign w:val="bottom"/>
            <w:hideMark/>
          </w:tcPr>
          <w:p w14:paraId="2FC4DD9A" w14:textId="77777777" w:rsidR="00224102" w:rsidRDefault="00224102" w:rsidP="00F77D55">
            <w:pPr>
              <w:jc w:val="right"/>
            </w:pPr>
            <w:r w:rsidRPr="00DF3424">
              <w:rPr>
                <w:color w:val="000000"/>
                <w:sz w:val="16"/>
                <w:szCs w:val="16"/>
              </w:rPr>
              <w:t>No</w:t>
            </w:r>
          </w:p>
        </w:tc>
        <w:tc>
          <w:tcPr>
            <w:tcW w:w="1418" w:type="dxa"/>
            <w:shd w:val="clear" w:color="000000" w:fill="FFFFFF"/>
            <w:noWrap/>
            <w:vAlign w:val="bottom"/>
            <w:hideMark/>
          </w:tcPr>
          <w:p w14:paraId="2E762ACC" w14:textId="77777777" w:rsidR="00224102" w:rsidRDefault="00224102" w:rsidP="00F77D55">
            <w:pPr>
              <w:jc w:val="right"/>
            </w:pPr>
            <w:r w:rsidRPr="00DF3424">
              <w:rPr>
                <w:color w:val="000000"/>
                <w:sz w:val="16"/>
                <w:szCs w:val="16"/>
              </w:rPr>
              <w:t>No</w:t>
            </w:r>
          </w:p>
        </w:tc>
        <w:tc>
          <w:tcPr>
            <w:tcW w:w="1417" w:type="dxa"/>
            <w:shd w:val="clear" w:color="000000" w:fill="FFFFFF"/>
            <w:noWrap/>
            <w:vAlign w:val="bottom"/>
            <w:hideMark/>
          </w:tcPr>
          <w:p w14:paraId="0654A363" w14:textId="77777777" w:rsidR="00224102" w:rsidRDefault="00224102" w:rsidP="00F77D55">
            <w:pPr>
              <w:jc w:val="right"/>
            </w:pPr>
            <w:r w:rsidRPr="00DF3424">
              <w:rPr>
                <w:color w:val="000000"/>
                <w:sz w:val="16"/>
                <w:szCs w:val="16"/>
              </w:rPr>
              <w:t>No</w:t>
            </w:r>
          </w:p>
        </w:tc>
        <w:tc>
          <w:tcPr>
            <w:tcW w:w="1417" w:type="dxa"/>
            <w:shd w:val="clear" w:color="000000" w:fill="FFFFFF"/>
            <w:vAlign w:val="bottom"/>
          </w:tcPr>
          <w:p w14:paraId="780CC72E" w14:textId="2B7ADBD4" w:rsidR="00224102" w:rsidRPr="00895BBC" w:rsidRDefault="00B85547" w:rsidP="00F77D55">
            <w:pPr>
              <w:jc w:val="right"/>
              <w:rPr>
                <w:sz w:val="14"/>
                <w:szCs w:val="14"/>
                <w:highlight w:val="yellow"/>
                <w:lang w:eastAsia="tr-TR"/>
              </w:rPr>
            </w:pPr>
            <w:r>
              <w:rPr>
                <w:sz w:val="14"/>
                <w:szCs w:val="14"/>
                <w:lang w:eastAsia="tr-TR"/>
              </w:rPr>
              <w:t>Possess</w:t>
            </w:r>
          </w:p>
        </w:tc>
      </w:tr>
      <w:tr w:rsidR="00224102" w:rsidRPr="00895BBC" w14:paraId="3C7C46A4" w14:textId="77777777" w:rsidTr="00F77D55">
        <w:trPr>
          <w:trHeight w:val="480"/>
        </w:trPr>
        <w:tc>
          <w:tcPr>
            <w:tcW w:w="1778" w:type="dxa"/>
            <w:shd w:val="clear" w:color="000000" w:fill="FFFFFF"/>
            <w:vAlign w:val="bottom"/>
            <w:hideMark/>
          </w:tcPr>
          <w:p w14:paraId="0FFB4CC2" w14:textId="77777777" w:rsidR="00224102" w:rsidRPr="00AF1C1D" w:rsidRDefault="00224102" w:rsidP="00F77D55">
            <w:pPr>
              <w:rPr>
                <w:sz w:val="16"/>
                <w:szCs w:val="16"/>
                <w:lang w:eastAsia="tr-TR"/>
              </w:rPr>
            </w:pPr>
            <w:r w:rsidRPr="00AF1C1D">
              <w:rPr>
                <w:sz w:val="16"/>
                <w:szCs w:val="16"/>
                <w:lang w:eastAsia="tr-TR"/>
              </w:rPr>
              <w:t xml:space="preserve">According to article 7 and 8 of Banks' shareholders equity law that are not </w:t>
            </w:r>
            <w:proofErr w:type="spellStart"/>
            <w:r w:rsidRPr="00AF1C1D">
              <w:rPr>
                <w:sz w:val="16"/>
                <w:szCs w:val="16"/>
                <w:lang w:eastAsia="tr-TR"/>
              </w:rPr>
              <w:t>possesed</w:t>
            </w:r>
            <w:proofErr w:type="spellEnd"/>
          </w:p>
        </w:tc>
        <w:tc>
          <w:tcPr>
            <w:tcW w:w="1417" w:type="dxa"/>
            <w:shd w:val="clear" w:color="000000" w:fill="FFFFFF"/>
            <w:noWrap/>
            <w:vAlign w:val="bottom"/>
            <w:hideMark/>
          </w:tcPr>
          <w:p w14:paraId="36BC780F" w14:textId="77777777" w:rsidR="00224102" w:rsidRPr="00AF1C1D" w:rsidRDefault="00224102" w:rsidP="00F77D55">
            <w:pPr>
              <w:jc w:val="right"/>
              <w:rPr>
                <w:sz w:val="16"/>
                <w:szCs w:val="16"/>
                <w:lang w:eastAsia="tr-TR"/>
              </w:rPr>
            </w:pPr>
            <w:r w:rsidRPr="00AF1C1D">
              <w:rPr>
                <w:sz w:val="16"/>
                <w:szCs w:val="16"/>
                <w:lang w:eastAsia="tr-TR"/>
              </w:rPr>
              <w:t>8-2-(a), (ç), (e), (ğ)</w:t>
            </w:r>
          </w:p>
        </w:tc>
        <w:tc>
          <w:tcPr>
            <w:tcW w:w="1418" w:type="dxa"/>
            <w:shd w:val="clear" w:color="000000" w:fill="FFFFFF"/>
            <w:noWrap/>
            <w:vAlign w:val="bottom"/>
            <w:hideMark/>
          </w:tcPr>
          <w:p w14:paraId="77569929" w14:textId="77777777" w:rsidR="00224102" w:rsidRPr="00AF1C1D" w:rsidRDefault="00224102" w:rsidP="00F77D55">
            <w:pPr>
              <w:jc w:val="right"/>
              <w:rPr>
                <w:sz w:val="16"/>
                <w:szCs w:val="16"/>
                <w:lang w:eastAsia="tr-TR"/>
              </w:rPr>
            </w:pPr>
            <w:r w:rsidRPr="00AF1C1D">
              <w:rPr>
                <w:sz w:val="16"/>
                <w:szCs w:val="16"/>
                <w:lang w:eastAsia="tr-TR"/>
              </w:rPr>
              <w:t>8-2-(a), (ç), (e), (ğ)</w:t>
            </w:r>
          </w:p>
        </w:tc>
        <w:tc>
          <w:tcPr>
            <w:tcW w:w="1417" w:type="dxa"/>
            <w:shd w:val="clear" w:color="000000" w:fill="FFFFFF"/>
            <w:noWrap/>
            <w:vAlign w:val="bottom"/>
            <w:hideMark/>
          </w:tcPr>
          <w:p w14:paraId="503E9F32" w14:textId="77777777" w:rsidR="00224102" w:rsidRPr="00AF1C1D" w:rsidRDefault="00224102" w:rsidP="00F77D55">
            <w:pPr>
              <w:jc w:val="right"/>
              <w:rPr>
                <w:sz w:val="16"/>
                <w:szCs w:val="16"/>
                <w:lang w:eastAsia="tr-TR"/>
              </w:rPr>
            </w:pPr>
            <w:r w:rsidRPr="00AF1C1D">
              <w:rPr>
                <w:sz w:val="16"/>
                <w:szCs w:val="16"/>
                <w:lang w:eastAsia="tr-TR"/>
              </w:rPr>
              <w:t>8-2-(a), (ç), (e), (ğ)</w:t>
            </w:r>
          </w:p>
        </w:tc>
        <w:tc>
          <w:tcPr>
            <w:tcW w:w="1418" w:type="dxa"/>
            <w:shd w:val="clear" w:color="000000" w:fill="FFFFFF"/>
            <w:noWrap/>
            <w:vAlign w:val="bottom"/>
            <w:hideMark/>
          </w:tcPr>
          <w:p w14:paraId="0D6E312F" w14:textId="77777777" w:rsidR="00224102" w:rsidRPr="00AF1C1D" w:rsidRDefault="00224102" w:rsidP="00F77D55">
            <w:pPr>
              <w:jc w:val="right"/>
              <w:rPr>
                <w:sz w:val="16"/>
                <w:szCs w:val="16"/>
                <w:lang w:eastAsia="tr-TR"/>
              </w:rPr>
            </w:pPr>
            <w:r w:rsidRPr="00AF1C1D">
              <w:rPr>
                <w:sz w:val="16"/>
                <w:szCs w:val="16"/>
                <w:lang w:eastAsia="tr-TR"/>
              </w:rPr>
              <w:t>8-2-(a), (ç), (e), (ğ)</w:t>
            </w:r>
          </w:p>
        </w:tc>
        <w:tc>
          <w:tcPr>
            <w:tcW w:w="1417" w:type="dxa"/>
            <w:shd w:val="clear" w:color="000000" w:fill="FFFFFF"/>
            <w:noWrap/>
            <w:vAlign w:val="bottom"/>
            <w:hideMark/>
          </w:tcPr>
          <w:p w14:paraId="5761A0C1" w14:textId="77777777" w:rsidR="00224102" w:rsidRPr="00AF1C1D" w:rsidRDefault="00224102" w:rsidP="00F77D55">
            <w:pPr>
              <w:jc w:val="right"/>
              <w:rPr>
                <w:sz w:val="16"/>
                <w:szCs w:val="16"/>
                <w:lang w:eastAsia="tr-TR"/>
              </w:rPr>
            </w:pPr>
            <w:r w:rsidRPr="00AF1C1D">
              <w:rPr>
                <w:sz w:val="16"/>
                <w:szCs w:val="16"/>
                <w:lang w:eastAsia="tr-TR"/>
              </w:rPr>
              <w:t>8-2-(a), (ç), (e), (ğ)</w:t>
            </w:r>
          </w:p>
        </w:tc>
        <w:tc>
          <w:tcPr>
            <w:tcW w:w="1417" w:type="dxa"/>
            <w:shd w:val="clear" w:color="000000" w:fill="FFFFFF"/>
            <w:vAlign w:val="bottom"/>
          </w:tcPr>
          <w:p w14:paraId="5760ED4B" w14:textId="77777777" w:rsidR="00224102" w:rsidRPr="00895BBC" w:rsidRDefault="00224102" w:rsidP="00F77D55">
            <w:pPr>
              <w:jc w:val="right"/>
              <w:rPr>
                <w:sz w:val="14"/>
                <w:szCs w:val="14"/>
                <w:highlight w:val="yellow"/>
                <w:lang w:eastAsia="tr-TR"/>
              </w:rPr>
            </w:pPr>
            <w:r w:rsidRPr="000D5F7F">
              <w:rPr>
                <w:sz w:val="14"/>
                <w:szCs w:val="14"/>
                <w:lang w:eastAsia="tr-TR"/>
              </w:rPr>
              <w:t>-</w:t>
            </w:r>
          </w:p>
        </w:tc>
      </w:tr>
    </w:tbl>
    <w:p w14:paraId="12E59DD1" w14:textId="77777777" w:rsidR="007E25BD" w:rsidRDefault="007E25BD" w:rsidP="00B77804">
      <w:pPr>
        <w:tabs>
          <w:tab w:val="left" w:pos="426"/>
          <w:tab w:val="left" w:pos="6115"/>
          <w:tab w:val="left" w:pos="7375"/>
        </w:tabs>
        <w:spacing w:line="228" w:lineRule="auto"/>
        <w:jc w:val="both"/>
        <w:rPr>
          <w:b/>
          <w:sz w:val="20"/>
          <w:szCs w:val="20"/>
        </w:rPr>
      </w:pPr>
    </w:p>
    <w:p w14:paraId="0DE408B6" w14:textId="77777777" w:rsidR="007E25BD" w:rsidRDefault="007E25BD" w:rsidP="00B77804">
      <w:pPr>
        <w:tabs>
          <w:tab w:val="left" w:pos="426"/>
          <w:tab w:val="left" w:pos="6115"/>
          <w:tab w:val="left" w:pos="7375"/>
        </w:tabs>
        <w:spacing w:line="228" w:lineRule="auto"/>
        <w:jc w:val="both"/>
        <w:rPr>
          <w:b/>
          <w:sz w:val="20"/>
          <w:szCs w:val="20"/>
        </w:rPr>
      </w:pPr>
    </w:p>
    <w:p w14:paraId="002EE0EC" w14:textId="77777777" w:rsidR="007E25BD" w:rsidRDefault="007E25BD" w:rsidP="00B77804">
      <w:pPr>
        <w:tabs>
          <w:tab w:val="left" w:pos="426"/>
          <w:tab w:val="left" w:pos="6115"/>
          <w:tab w:val="left" w:pos="7375"/>
        </w:tabs>
        <w:spacing w:line="228" w:lineRule="auto"/>
        <w:jc w:val="both"/>
        <w:rPr>
          <w:b/>
          <w:sz w:val="20"/>
          <w:szCs w:val="20"/>
        </w:rPr>
      </w:pPr>
    </w:p>
    <w:p w14:paraId="2177770F" w14:textId="77777777" w:rsidR="007E25BD" w:rsidRDefault="007E25BD" w:rsidP="00B77804">
      <w:pPr>
        <w:tabs>
          <w:tab w:val="left" w:pos="426"/>
          <w:tab w:val="left" w:pos="6115"/>
          <w:tab w:val="left" w:pos="7375"/>
        </w:tabs>
        <w:spacing w:line="228" w:lineRule="auto"/>
        <w:jc w:val="both"/>
        <w:rPr>
          <w:b/>
          <w:sz w:val="20"/>
          <w:szCs w:val="20"/>
        </w:rPr>
      </w:pPr>
    </w:p>
    <w:p w14:paraId="7F1F2C33" w14:textId="77777777" w:rsidR="007E25BD" w:rsidRDefault="007E25BD" w:rsidP="00B77804">
      <w:pPr>
        <w:tabs>
          <w:tab w:val="left" w:pos="426"/>
          <w:tab w:val="left" w:pos="6115"/>
          <w:tab w:val="left" w:pos="7375"/>
        </w:tabs>
        <w:spacing w:line="228" w:lineRule="auto"/>
        <w:jc w:val="both"/>
        <w:rPr>
          <w:b/>
          <w:sz w:val="20"/>
          <w:szCs w:val="20"/>
        </w:rPr>
      </w:pPr>
    </w:p>
    <w:p w14:paraId="69EFA021" w14:textId="4EEBF47D" w:rsidR="007E25BD" w:rsidRPr="00604C75" w:rsidRDefault="00A041CD" w:rsidP="00E83EAC">
      <w:pPr>
        <w:pStyle w:val="NormalIndent"/>
        <w:pageBreakBefore/>
        <w:widowControl w:val="0"/>
        <w:spacing w:after="120"/>
        <w:ind w:left="0"/>
        <w:jc w:val="both"/>
        <w:rPr>
          <w:b/>
          <w:bCs/>
          <w:noProof/>
          <w:lang w:val="tr-TR"/>
        </w:rPr>
      </w:pPr>
      <w:r>
        <w:rPr>
          <w:b/>
          <w:bCs/>
          <w:noProof/>
          <w:lang w:val="tr-TR"/>
        </w:rPr>
        <w:lastRenderedPageBreak/>
        <w:t xml:space="preserve">INFORMATION ON THE </w:t>
      </w:r>
      <w:r w:rsidR="007E25BD" w:rsidRPr="00604C75">
        <w:rPr>
          <w:b/>
          <w:bCs/>
          <w:noProof/>
          <w:lang w:val="tr-TR"/>
        </w:rPr>
        <w:t>FINANCIAL POSITION OF THE GROUP (Continued)</w:t>
      </w:r>
    </w:p>
    <w:p w14:paraId="28DEF8B7" w14:textId="77777777" w:rsidR="00EB2E4E" w:rsidRPr="00604C75" w:rsidRDefault="00EB2E4E" w:rsidP="008477F3">
      <w:pPr>
        <w:pStyle w:val="BodyTextIndent"/>
        <w:numPr>
          <w:ilvl w:val="0"/>
          <w:numId w:val="65"/>
        </w:numPr>
        <w:tabs>
          <w:tab w:val="left" w:pos="1276"/>
        </w:tabs>
        <w:spacing w:line="221" w:lineRule="auto"/>
        <w:ind w:left="709"/>
        <w:jc w:val="both"/>
        <w:rPr>
          <w:b/>
          <w:noProof/>
          <w:sz w:val="20"/>
          <w:szCs w:val="20"/>
          <w:lang w:val="tr-TR"/>
        </w:rPr>
      </w:pPr>
      <w:r w:rsidRPr="00604C75">
        <w:rPr>
          <w:b/>
          <w:noProof/>
          <w:sz w:val="20"/>
          <w:lang w:val="tr-TR"/>
        </w:rPr>
        <w:t>Information on Capital Adequacy Ratio</w:t>
      </w:r>
      <w:r w:rsidRPr="00604C75" w:rsidDel="00613F85">
        <w:rPr>
          <w:b/>
          <w:noProof/>
          <w:sz w:val="20"/>
          <w:lang w:val="tr-TR"/>
        </w:rPr>
        <w:t xml:space="preserve"> </w:t>
      </w:r>
      <w:r w:rsidRPr="00604C75">
        <w:rPr>
          <w:b/>
          <w:bCs/>
          <w:noProof/>
          <w:sz w:val="20"/>
          <w:lang w:val="tr-TR"/>
        </w:rPr>
        <w:t>(Continued)</w:t>
      </w:r>
    </w:p>
    <w:p w14:paraId="0CF85F72" w14:textId="77777777" w:rsidR="00F00EEF" w:rsidRPr="00604C75" w:rsidRDefault="00F00EEF" w:rsidP="00B77804">
      <w:pPr>
        <w:tabs>
          <w:tab w:val="left" w:pos="426"/>
          <w:tab w:val="left" w:pos="6115"/>
          <w:tab w:val="left" w:pos="7375"/>
        </w:tabs>
        <w:spacing w:line="228" w:lineRule="auto"/>
        <w:jc w:val="both"/>
        <w:rPr>
          <w:b/>
          <w:sz w:val="20"/>
          <w:szCs w:val="20"/>
        </w:rPr>
      </w:pPr>
      <w:r w:rsidRPr="00604C75">
        <w:rPr>
          <w:b/>
          <w:sz w:val="20"/>
          <w:szCs w:val="20"/>
        </w:rPr>
        <w:t xml:space="preserve">The </w:t>
      </w:r>
      <w:r w:rsidR="00521B91" w:rsidRPr="00604C75">
        <w:rPr>
          <w:b/>
          <w:sz w:val="20"/>
          <w:szCs w:val="20"/>
        </w:rPr>
        <w:t>Internal A</w:t>
      </w:r>
      <w:r w:rsidR="00755D1D" w:rsidRPr="00604C75">
        <w:rPr>
          <w:b/>
          <w:sz w:val="20"/>
          <w:szCs w:val="20"/>
        </w:rPr>
        <w:t>ssessment</w:t>
      </w:r>
      <w:r w:rsidRPr="00604C75">
        <w:rPr>
          <w:b/>
          <w:sz w:val="20"/>
          <w:szCs w:val="20"/>
        </w:rPr>
        <w:t xml:space="preserve"> Process of Internal Capital Adequacy Regarding the Current and Future Operations</w:t>
      </w:r>
    </w:p>
    <w:p w14:paraId="2F725F86" w14:textId="77777777" w:rsidR="00F00EEF" w:rsidRPr="00604C75" w:rsidRDefault="00F00EEF" w:rsidP="00B77804">
      <w:pPr>
        <w:tabs>
          <w:tab w:val="left" w:pos="426"/>
          <w:tab w:val="left" w:pos="540"/>
          <w:tab w:val="left" w:pos="6115"/>
          <w:tab w:val="left" w:pos="7375"/>
        </w:tabs>
        <w:spacing w:line="228" w:lineRule="auto"/>
        <w:ind w:left="1276" w:hanging="1276"/>
        <w:jc w:val="both"/>
        <w:rPr>
          <w:b/>
          <w:noProof/>
          <w:sz w:val="16"/>
          <w:szCs w:val="16"/>
          <w:lang w:val="tr-TR"/>
        </w:rPr>
      </w:pPr>
    </w:p>
    <w:p w14:paraId="51C7599E" w14:textId="42BBEF99" w:rsidR="006413F2" w:rsidRPr="00604C75" w:rsidRDefault="00B77804" w:rsidP="00B77804">
      <w:pPr>
        <w:pStyle w:val="NormalIndent"/>
        <w:tabs>
          <w:tab w:val="left" w:pos="426"/>
        </w:tabs>
        <w:spacing w:line="228" w:lineRule="auto"/>
        <w:ind w:left="0" w:hanging="394"/>
        <w:jc w:val="both"/>
      </w:pPr>
      <w:r w:rsidRPr="00604C75">
        <w:t xml:space="preserve">       </w:t>
      </w:r>
      <w:r w:rsidR="006413F2" w:rsidRPr="00604C75">
        <w:t xml:space="preserve">The </w:t>
      </w:r>
      <w:r w:rsidR="00B85547">
        <w:t>ultimate</w:t>
      </w:r>
      <w:r w:rsidR="006413F2" w:rsidRPr="00604C75">
        <w:t xml:space="preserve"> objective of the internal assessment process of capital requirement is to </w:t>
      </w:r>
      <w:r w:rsidR="00B85547">
        <w:t xml:space="preserve">sustain considering </w:t>
      </w:r>
      <w:r w:rsidR="006413F2" w:rsidRPr="00604C75">
        <w:t>assess the capital adequacy of the</w:t>
      </w:r>
      <w:r w:rsidR="002C3B01">
        <w:t xml:space="preserve"> Parent</w:t>
      </w:r>
      <w:r w:rsidR="006413F2" w:rsidRPr="00604C75">
        <w:t xml:space="preserve"> Bank in line with the risk profile and risk appetite by considering the </w:t>
      </w:r>
      <w:r w:rsidR="005C0D22" w:rsidRPr="00604C75">
        <w:t xml:space="preserve">Parent </w:t>
      </w:r>
      <w:r w:rsidR="006413F2" w:rsidRPr="00604C75">
        <w:t>Bank’s strategies, credit growth prospects, structure of assets and liabilities, future funding sources and liquidity, and dividend distribution policy and possible fluctuations in the capital due to the economic cycle.</w:t>
      </w:r>
    </w:p>
    <w:p w14:paraId="67C5D63E" w14:textId="77777777" w:rsidR="006413F2" w:rsidRPr="00604C75" w:rsidRDefault="006413F2" w:rsidP="00B77804">
      <w:pPr>
        <w:pStyle w:val="NormalIndent"/>
        <w:tabs>
          <w:tab w:val="left" w:pos="426"/>
        </w:tabs>
        <w:spacing w:line="228" w:lineRule="auto"/>
        <w:ind w:left="1276" w:hanging="1276"/>
        <w:jc w:val="both"/>
        <w:rPr>
          <w:sz w:val="16"/>
          <w:szCs w:val="16"/>
        </w:rPr>
      </w:pPr>
    </w:p>
    <w:p w14:paraId="2BB8EC2E" w14:textId="77777777" w:rsidR="006413F2" w:rsidRPr="00604C75" w:rsidRDefault="006413F2" w:rsidP="00B77804">
      <w:pPr>
        <w:pStyle w:val="NormalIndent"/>
        <w:tabs>
          <w:tab w:val="left" w:pos="426"/>
        </w:tabs>
        <w:spacing w:line="228" w:lineRule="auto"/>
        <w:ind w:left="0"/>
        <w:jc w:val="both"/>
      </w:pPr>
      <w:r w:rsidRPr="00604C75">
        <w:t xml:space="preserve">Within this scope, legal and internal capital requirements are assessed prospectively, along with the annual targets of the </w:t>
      </w:r>
      <w:r w:rsidR="005C0D22" w:rsidRPr="00604C75">
        <w:t xml:space="preserve">Parent </w:t>
      </w:r>
      <w:r w:rsidRPr="00604C75">
        <w:t>Bank, in parallel to the preparation of 3 year strategic plans. In the process of assessing internal capital requirements</w:t>
      </w:r>
      <w:r w:rsidR="005C0D22" w:rsidRPr="00604C75">
        <w:t>, the</w:t>
      </w:r>
      <w:r w:rsidRPr="00604C75">
        <w:t xml:space="preserve"> credit risk, market risk, and operational risks, in the first pillar, and the interest rate risk resulting from the Banking accounts, concentration risk, business risk, reputation risk, model risk, and exchange risk are also included.</w:t>
      </w:r>
    </w:p>
    <w:p w14:paraId="70496A83" w14:textId="77777777" w:rsidR="006413F2" w:rsidRPr="00604C75" w:rsidRDefault="006413F2" w:rsidP="00B77804">
      <w:pPr>
        <w:tabs>
          <w:tab w:val="left" w:pos="426"/>
          <w:tab w:val="left" w:pos="1620"/>
          <w:tab w:val="left" w:pos="6115"/>
          <w:tab w:val="left" w:pos="7375"/>
        </w:tabs>
        <w:spacing w:line="228" w:lineRule="auto"/>
        <w:ind w:left="1276" w:hanging="1276"/>
        <w:jc w:val="both"/>
        <w:rPr>
          <w:b/>
          <w:sz w:val="16"/>
          <w:szCs w:val="16"/>
        </w:rPr>
      </w:pPr>
    </w:p>
    <w:p w14:paraId="4B882092" w14:textId="3EE389CA" w:rsidR="006413F2" w:rsidRPr="00604C75" w:rsidRDefault="00B77804" w:rsidP="00E50B4B">
      <w:pPr>
        <w:pStyle w:val="NormalIndent"/>
        <w:tabs>
          <w:tab w:val="left" w:pos="426"/>
        </w:tabs>
        <w:spacing w:after="120" w:line="228" w:lineRule="auto"/>
        <w:ind w:left="0" w:hanging="394"/>
        <w:jc w:val="both"/>
      </w:pPr>
      <w:r w:rsidRPr="00604C75">
        <w:t xml:space="preserve">        </w:t>
      </w:r>
      <w:r w:rsidR="006413F2" w:rsidRPr="00604C75">
        <w:t>The risks that the</w:t>
      </w:r>
      <w:r w:rsidR="005C0D22" w:rsidRPr="00604C75">
        <w:t xml:space="preserve"> Parent</w:t>
      </w:r>
      <w:r w:rsidR="006413F2" w:rsidRPr="00604C75">
        <w:t xml:space="preserve"> Bank can encounter due to its operations are being evaluated in 2015 budget works and the possible capital requirements according to The</w:t>
      </w:r>
      <w:r w:rsidR="002C3B01">
        <w:t xml:space="preserve"> Parent</w:t>
      </w:r>
      <w:r w:rsidR="006413F2" w:rsidRPr="00604C75">
        <w:t xml:space="preserve"> Bank’s goal and strategies are evaluated. The evaluation of legal and internal capital ratio requirements considers normal conditions as</w:t>
      </w:r>
      <w:r w:rsidR="00E50B4B">
        <w:t xml:space="preserve"> well as the stress conditions. </w:t>
      </w:r>
      <w:r w:rsidR="006413F2" w:rsidRPr="00604C75">
        <w:t xml:space="preserve">The stress scenarios are designed after estimation of post macroeconomic variables, the effects of these variables on the loan costs and market risk factors (exchange rate, interest rates etc.). The effects of stress scenarios on capital, income, risk weighted assets and capital requirement are calculated. </w:t>
      </w:r>
    </w:p>
    <w:p w14:paraId="405659FB" w14:textId="3A29CF9E" w:rsidR="006413F2" w:rsidRDefault="006413F2" w:rsidP="00B77804">
      <w:pPr>
        <w:pStyle w:val="NormalIndent"/>
        <w:spacing w:line="228" w:lineRule="auto"/>
        <w:ind w:left="0"/>
        <w:jc w:val="both"/>
      </w:pPr>
      <w:r w:rsidRPr="00604C75">
        <w:t>Internal assessment of internal capital requirement is considered by the</w:t>
      </w:r>
      <w:r w:rsidR="002C3B01">
        <w:t xml:space="preserve"> Parent</w:t>
      </w:r>
      <w:r w:rsidRPr="00604C75">
        <w:t xml:space="preserve"> Bank as an improving process and further upgrades to this method is planned for the future.</w:t>
      </w:r>
    </w:p>
    <w:p w14:paraId="4BC6BCF6" w14:textId="5A2B73E8" w:rsidR="00BF5F88" w:rsidRPr="00604C75" w:rsidRDefault="00553D7B" w:rsidP="00B85547">
      <w:pPr>
        <w:pStyle w:val="NormalIndent"/>
        <w:pageBreakBefore/>
        <w:widowControl w:val="0"/>
        <w:spacing w:before="120"/>
        <w:ind w:left="0"/>
        <w:jc w:val="both"/>
        <w:rPr>
          <w:b/>
          <w:bCs/>
          <w:noProof/>
          <w:lang w:val="tr-TR"/>
        </w:rPr>
      </w:pPr>
      <w:r w:rsidRPr="00604C75">
        <w:rPr>
          <w:b/>
          <w:bCs/>
          <w:noProof/>
          <w:lang w:val="tr-TR"/>
        </w:rPr>
        <w:lastRenderedPageBreak/>
        <w:t xml:space="preserve">INFORMATION </w:t>
      </w:r>
      <w:r w:rsidR="00BF5F88" w:rsidRPr="00604C75">
        <w:rPr>
          <w:b/>
          <w:bCs/>
          <w:noProof/>
          <w:lang w:val="tr-TR"/>
        </w:rPr>
        <w:t>O</w:t>
      </w:r>
      <w:r w:rsidR="00A041CD">
        <w:rPr>
          <w:b/>
          <w:bCs/>
          <w:noProof/>
          <w:lang w:val="tr-TR"/>
        </w:rPr>
        <w:t>N THE</w:t>
      </w:r>
      <w:r w:rsidR="00BF5F88" w:rsidRPr="00604C75">
        <w:rPr>
          <w:b/>
          <w:bCs/>
          <w:noProof/>
          <w:lang w:val="tr-TR"/>
        </w:rPr>
        <w:t xml:space="preserve"> FINANCIAL POSITION OF THE GROUP (Continued)</w:t>
      </w:r>
    </w:p>
    <w:p w14:paraId="5ABC078F" w14:textId="77777777" w:rsidR="008C5DDC" w:rsidRPr="00604C75" w:rsidRDefault="00917ED4" w:rsidP="00B85547">
      <w:pPr>
        <w:pStyle w:val="Heading2"/>
        <w:numPr>
          <w:ilvl w:val="0"/>
          <w:numId w:val="53"/>
        </w:numPr>
        <w:tabs>
          <w:tab w:val="left" w:pos="0"/>
          <w:tab w:val="left" w:pos="426"/>
        </w:tabs>
        <w:ind w:left="0" w:firstLine="0"/>
        <w:rPr>
          <w:rFonts w:ascii="Times New Roman" w:hAnsi="Times New Roman"/>
          <w:sz w:val="20"/>
        </w:rPr>
      </w:pPr>
      <w:r w:rsidRPr="00604C75">
        <w:rPr>
          <w:rFonts w:ascii="Times New Roman" w:hAnsi="Times New Roman"/>
          <w:sz w:val="20"/>
        </w:rPr>
        <w:t>E</w:t>
      </w:r>
      <w:r w:rsidR="00553D7B" w:rsidRPr="00604C75">
        <w:rPr>
          <w:rFonts w:ascii="Times New Roman" w:hAnsi="Times New Roman"/>
          <w:sz w:val="20"/>
        </w:rPr>
        <w:t>xplanations</w:t>
      </w:r>
      <w:r w:rsidRPr="00604C75">
        <w:rPr>
          <w:rFonts w:ascii="Times New Roman" w:hAnsi="Times New Roman"/>
          <w:sz w:val="20"/>
        </w:rPr>
        <w:t xml:space="preserve"> </w:t>
      </w:r>
      <w:r w:rsidR="00553D7B" w:rsidRPr="00604C75">
        <w:rPr>
          <w:rFonts w:ascii="Times New Roman" w:hAnsi="Times New Roman"/>
          <w:sz w:val="20"/>
        </w:rPr>
        <w:t>on Credit Risk</w:t>
      </w:r>
      <w:r w:rsidR="00553D7B" w:rsidRPr="00604C75" w:rsidDel="00553D7B">
        <w:rPr>
          <w:rFonts w:ascii="Times New Roman" w:hAnsi="Times New Roman"/>
          <w:sz w:val="20"/>
        </w:rPr>
        <w:t xml:space="preserve"> </w:t>
      </w:r>
    </w:p>
    <w:p w14:paraId="592E306D" w14:textId="77777777" w:rsidR="0021074F" w:rsidRDefault="00796604" w:rsidP="00B85547">
      <w:pPr>
        <w:pStyle w:val="NormalIndent"/>
        <w:tabs>
          <w:tab w:val="left" w:pos="0"/>
        </w:tabs>
        <w:spacing w:before="120"/>
        <w:ind w:left="0"/>
        <w:jc w:val="both"/>
      </w:pPr>
      <w:r w:rsidRPr="00CD141D">
        <w:t xml:space="preserve">The </w:t>
      </w:r>
      <w:proofErr w:type="spellStart"/>
      <w:r w:rsidRPr="00CD141D">
        <w:t>sectoral</w:t>
      </w:r>
      <w:proofErr w:type="spellEnd"/>
      <w:r w:rsidRPr="00CD141D">
        <w:t xml:space="preserve"> concentrations for loans are monitored closely in accordance with the </w:t>
      </w:r>
      <w:r>
        <w:t xml:space="preserve">Parent </w:t>
      </w:r>
      <w:r w:rsidRPr="00CD141D">
        <w:t>Bank’s loan policy. During the</w:t>
      </w:r>
      <w:r>
        <w:t xml:space="preserve"> Management of Risk </w:t>
      </w:r>
      <w:proofErr w:type="spellStart"/>
      <w:r>
        <w:t>Comittee</w:t>
      </w:r>
      <w:proofErr w:type="spellEnd"/>
      <w:r w:rsidRPr="00CD141D">
        <w:t xml:space="preserve"> meetings held every month, overall Bank’s risk is monitored by analyzing </w:t>
      </w:r>
      <w:proofErr w:type="spellStart"/>
      <w:r w:rsidRPr="00CD141D">
        <w:t>sectoral</w:t>
      </w:r>
      <w:proofErr w:type="spellEnd"/>
      <w:r w:rsidRPr="00CD141D">
        <w:t xml:space="preserve"> concentration</w:t>
      </w:r>
      <w:r w:rsidRPr="001233FA">
        <w:t>. In accordance with Credit Risk Policies the risk concentration for construction sector specified as 18% of total loans, for other sectors specified as 15% of total loan and realized rates, necessary approvals and actions are evaluated monthly</w:t>
      </w:r>
      <w:r w:rsidR="0021074F" w:rsidRPr="004722A4">
        <w:t>.</w:t>
      </w:r>
    </w:p>
    <w:p w14:paraId="3BDAB587" w14:textId="77777777" w:rsidR="005D119F" w:rsidRPr="00604C75" w:rsidRDefault="005D119F" w:rsidP="00B85547">
      <w:pPr>
        <w:pStyle w:val="NormalIndent"/>
        <w:tabs>
          <w:tab w:val="left" w:pos="0"/>
        </w:tabs>
        <w:spacing w:before="120"/>
        <w:ind w:left="0" w:right="-172"/>
        <w:jc w:val="both"/>
      </w:pPr>
      <w:r w:rsidRPr="00604C75">
        <w:t xml:space="preserve">All </w:t>
      </w:r>
      <w:r w:rsidR="0076115E" w:rsidRPr="00604C75">
        <w:t>transactions</w:t>
      </w:r>
      <w:r w:rsidRPr="00604C75">
        <w:t xml:space="preserve"> are within the </w:t>
      </w:r>
      <w:r w:rsidR="0076115E" w:rsidRPr="00604C75">
        <w:t>limits</w:t>
      </w:r>
      <w:r w:rsidRPr="00604C75">
        <w:t xml:space="preserve"> determined by the Board of Directors</w:t>
      </w:r>
      <w:r w:rsidR="00F35588" w:rsidRPr="00604C75">
        <w:t xml:space="preserve"> and being monitored on a regular basis.</w:t>
      </w:r>
    </w:p>
    <w:p w14:paraId="5FF4573D" w14:textId="77777777" w:rsidR="00F35588" w:rsidRPr="00604C75" w:rsidRDefault="0076115E" w:rsidP="00B85547">
      <w:pPr>
        <w:pStyle w:val="NormalIndent"/>
        <w:tabs>
          <w:tab w:val="left" w:pos="0"/>
        </w:tabs>
        <w:spacing w:before="120"/>
        <w:ind w:left="0"/>
        <w:jc w:val="both"/>
      </w:pPr>
      <w:r w:rsidRPr="00604C75">
        <w:t xml:space="preserve">All loans are revised at least once a year according to the regulations. Following the revision performed according to the </w:t>
      </w:r>
      <w:r w:rsidR="00234D4B" w:rsidRPr="00604C75">
        <w:t>Group</w:t>
      </w:r>
      <w:r w:rsidR="002335CB" w:rsidRPr="00604C75">
        <w:t>’s</w:t>
      </w:r>
      <w:r w:rsidRPr="00604C75">
        <w:t xml:space="preserve"> rating methodology, the credit limits are revised or additional guarantees are requested. In the same process, risk based loan loss provisions are calculated and loan pricing policies are updated according to the results. As the expected loan losses are considered as a standard cost, they are considered in the pricing process. In case of unexpected losses, economical capital values are calculated and </w:t>
      </w:r>
      <w:r w:rsidR="00234D4B" w:rsidRPr="00604C75">
        <w:t>Group’s</w:t>
      </w:r>
      <w:r w:rsidRPr="00604C75">
        <w:t xml:space="preserve"> current capital is held within the required economical capital requirements. Incomes that are reevaluated according to the risk are monitored as a performance criteria and equity sharing with the profit centers are expected to be beneficial.</w:t>
      </w:r>
    </w:p>
    <w:p w14:paraId="5BE24EE0" w14:textId="77777777" w:rsidR="00342112" w:rsidRPr="00604C75" w:rsidRDefault="00342112" w:rsidP="00B85547">
      <w:pPr>
        <w:pStyle w:val="NormalIndent"/>
        <w:tabs>
          <w:tab w:val="left" w:pos="0"/>
        </w:tabs>
        <w:spacing w:before="120"/>
        <w:ind w:left="0"/>
        <w:jc w:val="both"/>
      </w:pPr>
      <w:r w:rsidRPr="00604C75">
        <w:t>Derivatives, option</w:t>
      </w:r>
      <w:r w:rsidR="00257948" w:rsidRPr="00604C75">
        <w:t xml:space="preserve">s </w:t>
      </w:r>
      <w:r w:rsidRPr="00604C75">
        <w:t xml:space="preserve">and other similar contracts </w:t>
      </w:r>
      <w:r w:rsidR="009E35C6" w:rsidRPr="00604C75">
        <w:t xml:space="preserve">does not </w:t>
      </w:r>
      <w:r w:rsidRPr="00604C75">
        <w:t xml:space="preserve">have specific provisions with specific control limits and the risk arising from these contracts are limited with the </w:t>
      </w:r>
      <w:r w:rsidR="00234D4B" w:rsidRPr="00604C75">
        <w:t>Group’s</w:t>
      </w:r>
      <w:r w:rsidRPr="00604C75">
        <w:t xml:space="preserve"> global risk framework. </w:t>
      </w:r>
      <w:r w:rsidR="00E12062" w:rsidRPr="00604C75">
        <w:t>Group’s</w:t>
      </w:r>
      <w:r w:rsidRPr="00604C75">
        <w:t xml:space="preserve"> current policy indicates that such items should be fully collateralized to eliminate possible risks.</w:t>
      </w:r>
    </w:p>
    <w:p w14:paraId="4A60DDE9" w14:textId="77777777" w:rsidR="00962EF8" w:rsidRPr="00604C75" w:rsidRDefault="00342112" w:rsidP="00B85547">
      <w:pPr>
        <w:pStyle w:val="NormalIndent"/>
        <w:tabs>
          <w:tab w:val="left" w:pos="0"/>
        </w:tabs>
        <w:spacing w:before="120"/>
        <w:ind w:left="0"/>
        <w:jc w:val="both"/>
      </w:pPr>
      <w:r w:rsidRPr="00604C75">
        <w:t xml:space="preserve">The </w:t>
      </w:r>
      <w:r w:rsidR="00E247A6" w:rsidRPr="00604C75">
        <w:t>Group</w:t>
      </w:r>
      <w:r w:rsidRPr="00604C75">
        <w:t xml:space="preserve"> does not use any loan derivative instruments.</w:t>
      </w:r>
    </w:p>
    <w:p w14:paraId="5D4CB0CA" w14:textId="77777777" w:rsidR="00C91387" w:rsidRPr="00604C75" w:rsidRDefault="00C91387" w:rsidP="00B85547">
      <w:pPr>
        <w:pStyle w:val="NormalIndent"/>
        <w:tabs>
          <w:tab w:val="left" w:pos="0"/>
        </w:tabs>
        <w:spacing w:before="120"/>
        <w:ind w:left="0"/>
        <w:jc w:val="both"/>
      </w:pPr>
      <w:r w:rsidRPr="00604C75">
        <w:t>Indemnified non-cash loans are subject to the same risk weight as outstanding loans matured but not yet paid.</w:t>
      </w:r>
    </w:p>
    <w:p w14:paraId="10770FB9" w14:textId="77777777" w:rsidR="00C91387" w:rsidRPr="00604C75" w:rsidRDefault="00C91387" w:rsidP="00B85547">
      <w:pPr>
        <w:pStyle w:val="NormalIndent"/>
        <w:tabs>
          <w:tab w:val="left" w:pos="0"/>
        </w:tabs>
        <w:spacing w:before="120"/>
        <w:ind w:left="0"/>
        <w:jc w:val="both"/>
      </w:pPr>
      <w:r w:rsidRPr="00604C75">
        <w:t>Rescheduled loans are monitored like other</w:t>
      </w:r>
      <w:r w:rsidR="00C87F10" w:rsidRPr="00604C75">
        <w:t xml:space="preserve"> loans within the Group</w:t>
      </w:r>
      <w:r w:rsidRPr="00604C75">
        <w:t>’s internal rating application. Risk ratings of the borrowers are used for credit maturities.</w:t>
      </w:r>
    </w:p>
    <w:p w14:paraId="00884A6D" w14:textId="77777777" w:rsidR="00173BAC" w:rsidRPr="00604C75" w:rsidRDefault="00820AE0" w:rsidP="00B85547">
      <w:pPr>
        <w:pStyle w:val="NormalIndent"/>
        <w:tabs>
          <w:tab w:val="left" w:pos="0"/>
        </w:tabs>
        <w:spacing w:before="120"/>
        <w:ind w:left="0"/>
        <w:jc w:val="both"/>
      </w:pPr>
      <w:r w:rsidRPr="00604C75">
        <w:t>Group’s</w:t>
      </w:r>
      <w:r w:rsidR="00173BAC" w:rsidRPr="00604C75">
        <w:t xml:space="preserve"> international banking operations and loans are with the OECD countries and when the economic conditions of these operations are found to be unimportant of a part for the credit risk.</w:t>
      </w:r>
    </w:p>
    <w:p w14:paraId="04EC1A31" w14:textId="77777777" w:rsidR="00173BAC" w:rsidRPr="00604C75" w:rsidRDefault="00234D4B" w:rsidP="00B85547">
      <w:pPr>
        <w:pStyle w:val="NormalIndent"/>
        <w:tabs>
          <w:tab w:val="left" w:pos="0"/>
        </w:tabs>
        <w:spacing w:before="120"/>
        <w:ind w:left="0"/>
        <w:jc w:val="both"/>
      </w:pPr>
      <w:r w:rsidRPr="00604C75">
        <w:t>The Group is</w:t>
      </w:r>
      <w:r w:rsidR="00173BAC" w:rsidRPr="00604C75">
        <w:t xml:space="preserve"> not active in international banking market.</w:t>
      </w:r>
    </w:p>
    <w:p w14:paraId="7ABB2F3F" w14:textId="77777777" w:rsidR="00BC3276" w:rsidRPr="00604C75" w:rsidRDefault="002C335B" w:rsidP="00B85547">
      <w:pPr>
        <w:pStyle w:val="NormalIndent"/>
        <w:spacing w:before="120"/>
        <w:ind w:left="0" w:hanging="229"/>
        <w:jc w:val="both"/>
      </w:pPr>
      <w:r w:rsidRPr="00604C75">
        <w:t xml:space="preserve">    </w:t>
      </w:r>
      <w:r w:rsidR="00173BAC" w:rsidRPr="00604C75">
        <w:t xml:space="preserve">The accumulation of the </w:t>
      </w:r>
      <w:r w:rsidR="00BC3276" w:rsidRPr="00604C75">
        <w:t xml:space="preserve">Parent </w:t>
      </w:r>
      <w:r w:rsidR="00173BAC" w:rsidRPr="00604C75">
        <w:t xml:space="preserve">Bank’s highest 100 cash loan </w:t>
      </w:r>
      <w:r w:rsidR="00CC47E1">
        <w:t>clients is 53.74</w:t>
      </w:r>
      <w:r w:rsidR="00E95044" w:rsidRPr="00604C75">
        <w:t>%</w:t>
      </w:r>
      <w:r w:rsidR="00173BAC" w:rsidRPr="00604C75">
        <w:t xml:space="preserve"> (</w:t>
      </w:r>
      <w:r w:rsidR="009A4D6E" w:rsidRPr="00604C75">
        <w:t xml:space="preserve">31 December </w:t>
      </w:r>
      <w:r w:rsidR="00173BAC" w:rsidRPr="00604C75">
        <w:t>201</w:t>
      </w:r>
      <w:r w:rsidR="00E976FF" w:rsidRPr="00604C75">
        <w:t>4</w:t>
      </w:r>
      <w:r w:rsidR="00173BAC" w:rsidRPr="00604C75">
        <w:t xml:space="preserve">: </w:t>
      </w:r>
      <w:r w:rsidR="00E976FF" w:rsidRPr="00604C75">
        <w:t>25.62</w:t>
      </w:r>
      <w:r w:rsidR="00E95044" w:rsidRPr="00604C75">
        <w:t>%</w:t>
      </w:r>
      <w:r w:rsidR="00173BAC" w:rsidRPr="00604C75">
        <w:t>) of</w:t>
      </w:r>
      <w:r w:rsidRPr="00604C75">
        <w:t xml:space="preserve"> the overall cash </w:t>
      </w:r>
      <w:r w:rsidR="00173BAC" w:rsidRPr="00604C75">
        <w:t>loans.</w:t>
      </w:r>
    </w:p>
    <w:p w14:paraId="65100A77" w14:textId="77777777" w:rsidR="00173BAC" w:rsidRPr="00604C75" w:rsidRDefault="00173BAC" w:rsidP="00B85547">
      <w:pPr>
        <w:pStyle w:val="NormalIndent"/>
        <w:spacing w:before="120"/>
        <w:ind w:left="0"/>
        <w:jc w:val="both"/>
      </w:pPr>
      <w:r w:rsidRPr="00604C75">
        <w:t xml:space="preserve">The accumulation of the </w:t>
      </w:r>
      <w:r w:rsidR="00BC3276" w:rsidRPr="00604C75">
        <w:t xml:space="preserve">Parent </w:t>
      </w:r>
      <w:r w:rsidRPr="00604C75">
        <w:t xml:space="preserve">Bank’s highest 100 non-cash loan </w:t>
      </w:r>
      <w:r w:rsidR="00A740C2">
        <w:t xml:space="preserve">clients is </w:t>
      </w:r>
      <w:r w:rsidR="00CC47E1" w:rsidRPr="00CC47E1">
        <w:t>67.75</w:t>
      </w:r>
      <w:r w:rsidR="00E95044" w:rsidRPr="00604C75">
        <w:t>%</w:t>
      </w:r>
      <w:r w:rsidRPr="00604C75">
        <w:t xml:space="preserve"> (</w:t>
      </w:r>
      <w:r w:rsidR="009A4D6E" w:rsidRPr="00604C75">
        <w:t xml:space="preserve">31 December </w:t>
      </w:r>
      <w:r w:rsidRPr="00604C75">
        <w:t>201</w:t>
      </w:r>
      <w:r w:rsidR="00E976FF" w:rsidRPr="00604C75">
        <w:t>4</w:t>
      </w:r>
      <w:r w:rsidRPr="00604C75">
        <w:t xml:space="preserve">: </w:t>
      </w:r>
      <w:r w:rsidR="00E976FF" w:rsidRPr="00604C75">
        <w:t>33.88</w:t>
      </w:r>
      <w:r w:rsidR="00E95044" w:rsidRPr="00604C75">
        <w:t>%</w:t>
      </w:r>
      <w:r w:rsidRPr="00604C75">
        <w:t>) of the overall non-cash loans.</w:t>
      </w:r>
    </w:p>
    <w:p w14:paraId="2C9B9505" w14:textId="77777777" w:rsidR="00173BAC" w:rsidRPr="00604C75" w:rsidRDefault="002C335B" w:rsidP="00B85547">
      <w:pPr>
        <w:pStyle w:val="NormalIndent"/>
        <w:spacing w:before="120"/>
        <w:ind w:left="0" w:hanging="229"/>
        <w:jc w:val="both"/>
      </w:pPr>
      <w:r w:rsidRPr="00604C75">
        <w:t xml:space="preserve">    </w:t>
      </w:r>
      <w:r w:rsidR="00173BAC" w:rsidRPr="00604C75">
        <w:t xml:space="preserve">The accumulation </w:t>
      </w:r>
      <w:r w:rsidR="00CB2A99" w:rsidRPr="00604C75">
        <w:t xml:space="preserve">cash and non-cash </w:t>
      </w:r>
      <w:r w:rsidR="00E87AAA" w:rsidRPr="00604C75">
        <w:t xml:space="preserve">receivables of the </w:t>
      </w:r>
      <w:r w:rsidR="00BC3276" w:rsidRPr="00604C75">
        <w:t xml:space="preserve">Parent </w:t>
      </w:r>
      <w:r w:rsidR="00E87AAA" w:rsidRPr="00604C75">
        <w:t>Bank’s highest 100 loan clients are</w:t>
      </w:r>
      <w:r w:rsidR="00CC47E1">
        <w:t xml:space="preserve"> 8.03</w:t>
      </w:r>
      <w:r w:rsidR="00E95044" w:rsidRPr="00604C75">
        <w:t>%</w:t>
      </w:r>
      <w:r w:rsidR="00173BAC" w:rsidRPr="00604C75">
        <w:t xml:space="preserve"> (</w:t>
      </w:r>
      <w:r w:rsidR="009A4D6E" w:rsidRPr="00604C75">
        <w:t xml:space="preserve">31 December </w:t>
      </w:r>
      <w:r w:rsidR="00173BAC" w:rsidRPr="00604C75">
        <w:t>201</w:t>
      </w:r>
      <w:r w:rsidR="00E976FF" w:rsidRPr="00604C75">
        <w:t>4</w:t>
      </w:r>
      <w:r w:rsidR="00173BAC" w:rsidRPr="00604C75">
        <w:t xml:space="preserve">: </w:t>
      </w:r>
      <w:r w:rsidR="00E976FF" w:rsidRPr="00604C75">
        <w:t>5.03</w:t>
      </w:r>
      <w:r w:rsidR="00E95044" w:rsidRPr="00604C75">
        <w:t>%</w:t>
      </w:r>
      <w:r w:rsidR="00173BAC" w:rsidRPr="00604C75">
        <w:t xml:space="preserve">) of the overall </w:t>
      </w:r>
      <w:r w:rsidR="00CB2A99" w:rsidRPr="00604C75">
        <w:t>balance sheet and off balance sheet items</w:t>
      </w:r>
      <w:r w:rsidR="00173BAC" w:rsidRPr="00604C75">
        <w:t>.</w:t>
      </w:r>
    </w:p>
    <w:p w14:paraId="7F7D2D27" w14:textId="77777777" w:rsidR="00CB2A99" w:rsidRPr="00604C75" w:rsidRDefault="002C335B" w:rsidP="00B85547">
      <w:pPr>
        <w:pStyle w:val="NormalIndent"/>
        <w:spacing w:before="120"/>
        <w:ind w:left="851" w:hanging="1080"/>
        <w:jc w:val="both"/>
      </w:pPr>
      <w:r w:rsidRPr="00604C75">
        <w:t xml:space="preserve">     </w:t>
      </w:r>
      <w:r w:rsidR="00F51CB2">
        <w:t>As of 3</w:t>
      </w:r>
      <w:r w:rsidR="00AD51AF">
        <w:t>1</w:t>
      </w:r>
      <w:r w:rsidR="00F51CB2">
        <w:t xml:space="preserve"> </w:t>
      </w:r>
      <w:r w:rsidR="00AD51AF">
        <w:t>December</w:t>
      </w:r>
      <w:r w:rsidR="00AD51AF" w:rsidRPr="00604C75">
        <w:t xml:space="preserve"> </w:t>
      </w:r>
      <w:r w:rsidR="00CB2A99" w:rsidRPr="00604C75">
        <w:t>201</w:t>
      </w:r>
      <w:r w:rsidR="00E976FF" w:rsidRPr="00604C75">
        <w:t>5</w:t>
      </w:r>
      <w:r w:rsidR="00CB2A99" w:rsidRPr="00604C75">
        <w:t>, general loan l</w:t>
      </w:r>
      <w:r w:rsidR="00E95044" w:rsidRPr="00604C75">
        <w:t xml:space="preserve">oss provision </w:t>
      </w:r>
      <w:r w:rsidR="00C91387" w:rsidRPr="00604C75">
        <w:t>is</w:t>
      </w:r>
      <w:r w:rsidR="00E95044" w:rsidRPr="00604C75">
        <w:t xml:space="preserve"> to TL</w:t>
      </w:r>
      <w:r w:rsidR="00D43116" w:rsidRPr="00604C75">
        <w:t xml:space="preserve"> </w:t>
      </w:r>
      <w:r w:rsidR="00CC47E1">
        <w:t>93,386</w:t>
      </w:r>
      <w:r w:rsidR="00C77F23" w:rsidRPr="00604C75">
        <w:t xml:space="preserve"> </w:t>
      </w:r>
      <w:r w:rsidR="00CB2A99" w:rsidRPr="00604C75">
        <w:t>(</w:t>
      </w:r>
      <w:r w:rsidR="009A4D6E" w:rsidRPr="00604C75">
        <w:t xml:space="preserve">31 December </w:t>
      </w:r>
      <w:r w:rsidR="00CB2A99" w:rsidRPr="00604C75">
        <w:t>201</w:t>
      </w:r>
      <w:r w:rsidR="00E976FF" w:rsidRPr="00604C75">
        <w:t>4</w:t>
      </w:r>
      <w:r w:rsidR="00CB2A99" w:rsidRPr="00604C75">
        <w:t>: TL</w:t>
      </w:r>
      <w:r w:rsidR="00E976FF" w:rsidRPr="00604C75">
        <w:t xml:space="preserve"> 62,858</w:t>
      </w:r>
      <w:r w:rsidR="00CB2A99" w:rsidRPr="00604C75">
        <w:t>).</w:t>
      </w:r>
    </w:p>
    <w:p w14:paraId="51573459" w14:textId="77777777" w:rsidR="00BF5F88" w:rsidRPr="00604C75" w:rsidRDefault="00BF5F88" w:rsidP="002C335B">
      <w:pPr>
        <w:pStyle w:val="BodyText3"/>
        <w:tabs>
          <w:tab w:val="clear" w:pos="539"/>
          <w:tab w:val="clear" w:pos="5310"/>
          <w:tab w:val="clear" w:pos="7560"/>
        </w:tabs>
        <w:spacing w:line="230" w:lineRule="auto"/>
        <w:ind w:left="851" w:right="1" w:hanging="1080"/>
        <w:jc w:val="both"/>
      </w:pPr>
    </w:p>
    <w:p w14:paraId="1980148D" w14:textId="77777777" w:rsidR="00BF5F88" w:rsidRPr="00604C75" w:rsidRDefault="00BF5F88" w:rsidP="002C335B">
      <w:pPr>
        <w:pStyle w:val="BodyText3"/>
        <w:tabs>
          <w:tab w:val="clear" w:pos="539"/>
          <w:tab w:val="clear" w:pos="5310"/>
          <w:tab w:val="clear" w:pos="7560"/>
        </w:tabs>
        <w:spacing w:line="230" w:lineRule="auto"/>
        <w:ind w:left="851" w:right="1" w:hanging="1080"/>
        <w:jc w:val="both"/>
      </w:pPr>
    </w:p>
    <w:p w14:paraId="61A11B65" w14:textId="77777777" w:rsidR="00BF5F88" w:rsidRPr="00604C75" w:rsidRDefault="00BF5F88" w:rsidP="002C335B">
      <w:pPr>
        <w:pStyle w:val="BodyText3"/>
        <w:tabs>
          <w:tab w:val="clear" w:pos="539"/>
          <w:tab w:val="clear" w:pos="5310"/>
          <w:tab w:val="clear" w:pos="7560"/>
        </w:tabs>
        <w:spacing w:line="230" w:lineRule="auto"/>
        <w:ind w:left="851" w:right="1" w:hanging="1080"/>
        <w:jc w:val="both"/>
      </w:pPr>
    </w:p>
    <w:p w14:paraId="7CA4D80A" w14:textId="77777777" w:rsidR="00BF5F88" w:rsidRPr="00604C75" w:rsidRDefault="00BF5F88" w:rsidP="002C335B">
      <w:pPr>
        <w:pStyle w:val="BodyText3"/>
        <w:tabs>
          <w:tab w:val="clear" w:pos="539"/>
          <w:tab w:val="clear" w:pos="5310"/>
          <w:tab w:val="clear" w:pos="7560"/>
        </w:tabs>
        <w:spacing w:line="230" w:lineRule="auto"/>
        <w:ind w:left="851" w:right="1" w:hanging="1080"/>
        <w:jc w:val="both"/>
      </w:pPr>
    </w:p>
    <w:p w14:paraId="5B00FC7B" w14:textId="77777777" w:rsidR="00BF5F88" w:rsidRPr="00604C75" w:rsidRDefault="00BF5F88" w:rsidP="002C335B">
      <w:pPr>
        <w:pStyle w:val="BodyText3"/>
        <w:tabs>
          <w:tab w:val="clear" w:pos="539"/>
          <w:tab w:val="clear" w:pos="5310"/>
          <w:tab w:val="clear" w:pos="7560"/>
        </w:tabs>
        <w:spacing w:line="230" w:lineRule="auto"/>
        <w:ind w:left="851" w:right="1" w:hanging="1080"/>
        <w:jc w:val="both"/>
      </w:pPr>
    </w:p>
    <w:p w14:paraId="4FE2D678" w14:textId="77777777" w:rsidR="00BF5F88" w:rsidRPr="00604C75" w:rsidRDefault="00BF5F88" w:rsidP="002C335B">
      <w:pPr>
        <w:pStyle w:val="BodyText3"/>
        <w:tabs>
          <w:tab w:val="clear" w:pos="539"/>
          <w:tab w:val="clear" w:pos="5310"/>
          <w:tab w:val="clear" w:pos="7560"/>
        </w:tabs>
        <w:spacing w:line="230" w:lineRule="auto"/>
        <w:ind w:left="851" w:right="1" w:hanging="1080"/>
        <w:jc w:val="both"/>
      </w:pPr>
    </w:p>
    <w:p w14:paraId="4C4AA6FD" w14:textId="77777777" w:rsidR="00BF5F88" w:rsidRPr="00604C75" w:rsidRDefault="00BF5F88" w:rsidP="002C335B">
      <w:pPr>
        <w:pStyle w:val="BodyText3"/>
        <w:tabs>
          <w:tab w:val="clear" w:pos="539"/>
          <w:tab w:val="clear" w:pos="5310"/>
          <w:tab w:val="clear" w:pos="7560"/>
        </w:tabs>
        <w:spacing w:line="230" w:lineRule="auto"/>
        <w:ind w:left="851" w:right="1" w:hanging="1080"/>
        <w:jc w:val="both"/>
      </w:pPr>
    </w:p>
    <w:p w14:paraId="66F5193D" w14:textId="77777777" w:rsidR="00137398" w:rsidRPr="00604C75" w:rsidRDefault="00137398" w:rsidP="002C335B">
      <w:pPr>
        <w:tabs>
          <w:tab w:val="left" w:pos="6115"/>
          <w:tab w:val="left" w:pos="7375"/>
        </w:tabs>
        <w:ind w:left="1276" w:hanging="567"/>
        <w:jc w:val="both"/>
        <w:rPr>
          <w:sz w:val="20"/>
          <w:szCs w:val="20"/>
        </w:rPr>
      </w:pPr>
    </w:p>
    <w:p w14:paraId="63D6377D" w14:textId="77777777" w:rsidR="00137398" w:rsidRPr="00604C75" w:rsidRDefault="00137398" w:rsidP="002C335B">
      <w:pPr>
        <w:tabs>
          <w:tab w:val="left" w:pos="6115"/>
          <w:tab w:val="left" w:pos="7375"/>
        </w:tabs>
        <w:ind w:left="1276" w:hanging="567"/>
        <w:jc w:val="both"/>
        <w:rPr>
          <w:sz w:val="20"/>
          <w:szCs w:val="20"/>
        </w:rPr>
      </w:pPr>
    </w:p>
    <w:p w14:paraId="2C1B99B1" w14:textId="78168728" w:rsidR="005E33B0" w:rsidRPr="00604C75" w:rsidRDefault="000A1E58" w:rsidP="00991C34">
      <w:pPr>
        <w:pStyle w:val="NormalIndent"/>
        <w:pageBreakBefore/>
        <w:widowControl w:val="0"/>
        <w:spacing w:before="120"/>
        <w:ind w:left="0"/>
        <w:jc w:val="both"/>
        <w:rPr>
          <w:b/>
          <w:sz w:val="22"/>
          <w:szCs w:val="22"/>
        </w:rPr>
      </w:pPr>
      <w:r w:rsidRPr="00604C75">
        <w:rPr>
          <w:b/>
        </w:rPr>
        <w:lastRenderedPageBreak/>
        <w:t>INFORMATION</w:t>
      </w:r>
      <w:r w:rsidR="00A041CD">
        <w:rPr>
          <w:b/>
          <w:bCs/>
          <w:noProof/>
          <w:lang w:val="tr-TR"/>
        </w:rPr>
        <w:t xml:space="preserve"> ON THE</w:t>
      </w:r>
      <w:r w:rsidR="00137398" w:rsidRPr="00604C75">
        <w:rPr>
          <w:b/>
          <w:bCs/>
          <w:noProof/>
          <w:lang w:val="tr-TR"/>
        </w:rPr>
        <w:t xml:space="preserve"> FINANCIAL POSITION OF THE GROUP (Continued)</w:t>
      </w:r>
    </w:p>
    <w:p w14:paraId="77602D58" w14:textId="77777777" w:rsidR="00C12D19" w:rsidRPr="00604C75" w:rsidRDefault="00C12D19" w:rsidP="00991C34">
      <w:pPr>
        <w:pStyle w:val="Heading2"/>
        <w:tabs>
          <w:tab w:val="left" w:pos="0"/>
          <w:tab w:val="left" w:pos="426"/>
        </w:tabs>
        <w:rPr>
          <w:rFonts w:ascii="Times New Roman" w:hAnsi="Times New Roman"/>
          <w:sz w:val="20"/>
        </w:rPr>
      </w:pPr>
      <w:r>
        <w:rPr>
          <w:rFonts w:ascii="Times New Roman" w:hAnsi="Times New Roman"/>
          <w:sz w:val="20"/>
        </w:rPr>
        <w:t xml:space="preserve">II.   </w:t>
      </w:r>
      <w:r w:rsidRPr="00604C75">
        <w:rPr>
          <w:rFonts w:ascii="Times New Roman" w:hAnsi="Times New Roman"/>
          <w:sz w:val="20"/>
        </w:rPr>
        <w:t>Explanations on Credit Risk</w:t>
      </w:r>
      <w:r w:rsidRPr="00604C75" w:rsidDel="00553D7B">
        <w:rPr>
          <w:rFonts w:ascii="Times New Roman" w:hAnsi="Times New Roman"/>
          <w:sz w:val="20"/>
        </w:rPr>
        <w:t xml:space="preserve"> </w:t>
      </w:r>
      <w:r w:rsidR="00332F58" w:rsidRPr="00332F58">
        <w:rPr>
          <w:rFonts w:ascii="Times New Roman" w:hAnsi="Times New Roman"/>
          <w:bCs/>
          <w:noProof/>
          <w:sz w:val="20"/>
          <w:lang w:val="tr-TR"/>
        </w:rPr>
        <w:t>(Continued)</w:t>
      </w:r>
    </w:p>
    <w:tbl>
      <w:tblPr>
        <w:tblpPr w:leftFromText="141" w:rightFromText="141" w:vertAnchor="text" w:horzAnchor="margin" w:tblpY="141"/>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5072"/>
        <w:gridCol w:w="1908"/>
        <w:gridCol w:w="1652"/>
      </w:tblGrid>
      <w:tr w:rsidR="00C12D19" w:rsidRPr="00923A53" w14:paraId="5E5145F0" w14:textId="77777777" w:rsidTr="00991C34">
        <w:tc>
          <w:tcPr>
            <w:tcW w:w="5072" w:type="dxa"/>
          </w:tcPr>
          <w:p w14:paraId="3FB88666" w14:textId="77777777" w:rsidR="00C12D19" w:rsidRPr="00923A53" w:rsidRDefault="00C12D19" w:rsidP="00C12D19">
            <w:pPr>
              <w:pStyle w:val="BodyTextIndent"/>
              <w:spacing w:after="0"/>
              <w:ind w:left="0"/>
              <w:rPr>
                <w:b/>
                <w:sz w:val="18"/>
                <w:szCs w:val="18"/>
              </w:rPr>
            </w:pPr>
            <w:r>
              <w:rPr>
                <w:b/>
                <w:sz w:val="18"/>
                <w:szCs w:val="18"/>
              </w:rPr>
              <w:t>Risk Group</w:t>
            </w:r>
          </w:p>
        </w:tc>
        <w:tc>
          <w:tcPr>
            <w:tcW w:w="1908" w:type="dxa"/>
            <w:vAlign w:val="bottom"/>
          </w:tcPr>
          <w:p w14:paraId="2508D398" w14:textId="77777777" w:rsidR="00C12D19" w:rsidRPr="00BA7CFE" w:rsidRDefault="00C12D19" w:rsidP="00B85547">
            <w:pPr>
              <w:ind w:right="-84"/>
              <w:jc w:val="right"/>
              <w:rPr>
                <w:b/>
                <w:bCs/>
                <w:color w:val="000000"/>
                <w:sz w:val="18"/>
                <w:szCs w:val="18"/>
              </w:rPr>
            </w:pPr>
            <w:r>
              <w:rPr>
                <w:b/>
                <w:bCs/>
                <w:color w:val="000000"/>
                <w:sz w:val="18"/>
                <w:szCs w:val="18"/>
              </w:rPr>
              <w:t xml:space="preserve">             </w:t>
            </w:r>
            <w:r w:rsidRPr="00BA7CFE">
              <w:rPr>
                <w:b/>
                <w:bCs/>
                <w:color w:val="000000"/>
                <w:sz w:val="18"/>
                <w:szCs w:val="18"/>
              </w:rPr>
              <w:t xml:space="preserve">Current Period </w:t>
            </w:r>
          </w:p>
          <w:p w14:paraId="5EAA2E35" w14:textId="0BBCDFA5" w:rsidR="00C12D19" w:rsidRPr="00923A53" w:rsidRDefault="00C12D19" w:rsidP="00B85547">
            <w:pPr>
              <w:pStyle w:val="BodyTextIndent"/>
              <w:spacing w:after="0"/>
              <w:ind w:left="357" w:right="-84"/>
              <w:jc w:val="right"/>
              <w:rPr>
                <w:b/>
                <w:sz w:val="18"/>
                <w:szCs w:val="18"/>
              </w:rPr>
            </w:pPr>
            <w:r w:rsidRPr="00BA7CFE">
              <w:rPr>
                <w:b/>
                <w:bCs/>
                <w:color w:val="000000"/>
                <w:sz w:val="18"/>
                <w:szCs w:val="18"/>
              </w:rPr>
              <w:t>Risk Amount</w:t>
            </w:r>
            <w:r w:rsidR="00F779C3">
              <w:rPr>
                <w:b/>
                <w:bCs/>
                <w:color w:val="000000"/>
                <w:sz w:val="18"/>
                <w:szCs w:val="18"/>
              </w:rPr>
              <w:t xml:space="preserve"> </w:t>
            </w:r>
            <w:r w:rsidRPr="00A36623">
              <w:rPr>
                <w:b/>
                <w:sz w:val="18"/>
                <w:szCs w:val="18"/>
                <w:vertAlign w:val="superscript"/>
              </w:rPr>
              <w:t>(</w:t>
            </w:r>
            <w:r w:rsidR="00B85547">
              <w:rPr>
                <w:b/>
                <w:sz w:val="18"/>
                <w:szCs w:val="18"/>
                <w:vertAlign w:val="superscript"/>
              </w:rPr>
              <w:t>*</w:t>
            </w:r>
            <w:r w:rsidRPr="00A36623">
              <w:rPr>
                <w:b/>
                <w:sz w:val="18"/>
                <w:szCs w:val="18"/>
                <w:vertAlign w:val="superscript"/>
              </w:rPr>
              <w:t>)</w:t>
            </w:r>
          </w:p>
        </w:tc>
        <w:tc>
          <w:tcPr>
            <w:tcW w:w="1652" w:type="dxa"/>
            <w:vAlign w:val="bottom"/>
          </w:tcPr>
          <w:p w14:paraId="4CD8D347" w14:textId="77777777" w:rsidR="00F779C3" w:rsidRDefault="00B85547" w:rsidP="00B85547">
            <w:pPr>
              <w:pStyle w:val="BodyTextIndent"/>
              <w:spacing w:after="0"/>
              <w:ind w:left="410" w:right="-28"/>
              <w:jc w:val="right"/>
              <w:rPr>
                <w:b/>
                <w:sz w:val="18"/>
                <w:szCs w:val="18"/>
              </w:rPr>
            </w:pPr>
            <w:r>
              <w:rPr>
                <w:b/>
                <w:sz w:val="18"/>
                <w:szCs w:val="18"/>
              </w:rPr>
              <w:t xml:space="preserve">Average </w:t>
            </w:r>
          </w:p>
          <w:p w14:paraId="52067F5F" w14:textId="443DA3AC" w:rsidR="00C12D19" w:rsidRPr="00923A53" w:rsidRDefault="00B85547" w:rsidP="00F779C3">
            <w:pPr>
              <w:pStyle w:val="BodyTextIndent"/>
              <w:spacing w:after="0"/>
              <w:ind w:left="0" w:right="-28"/>
              <w:jc w:val="right"/>
              <w:rPr>
                <w:b/>
                <w:sz w:val="18"/>
                <w:szCs w:val="18"/>
              </w:rPr>
            </w:pPr>
            <w:r>
              <w:rPr>
                <w:b/>
                <w:sz w:val="18"/>
                <w:szCs w:val="18"/>
              </w:rPr>
              <w:t>Risk Amount</w:t>
            </w:r>
            <w:r w:rsidR="00F779C3">
              <w:rPr>
                <w:b/>
                <w:sz w:val="18"/>
                <w:szCs w:val="18"/>
              </w:rPr>
              <w:t xml:space="preserve"> </w:t>
            </w:r>
            <w:r w:rsidRPr="0011340D">
              <w:rPr>
                <w:b/>
                <w:sz w:val="18"/>
                <w:szCs w:val="18"/>
                <w:vertAlign w:val="superscript"/>
              </w:rPr>
              <w:t>(</w:t>
            </w:r>
            <w:r>
              <w:rPr>
                <w:b/>
                <w:sz w:val="18"/>
                <w:szCs w:val="18"/>
                <w:vertAlign w:val="superscript"/>
              </w:rPr>
              <w:t>**</w:t>
            </w:r>
            <w:r w:rsidRPr="0011340D">
              <w:rPr>
                <w:b/>
                <w:sz w:val="18"/>
                <w:szCs w:val="18"/>
                <w:vertAlign w:val="superscript"/>
              </w:rPr>
              <w:t>)</w:t>
            </w:r>
          </w:p>
        </w:tc>
      </w:tr>
      <w:tr w:rsidR="00224102" w:rsidRPr="00923A53" w14:paraId="70878D09" w14:textId="77777777" w:rsidTr="00991C34">
        <w:tc>
          <w:tcPr>
            <w:tcW w:w="5072" w:type="dxa"/>
            <w:vAlign w:val="bottom"/>
          </w:tcPr>
          <w:p w14:paraId="6EF4EDA3" w14:textId="77777777" w:rsidR="00224102" w:rsidRPr="00923A53" w:rsidRDefault="00224102" w:rsidP="00224102">
            <w:pPr>
              <w:pStyle w:val="BodyTextIndent"/>
              <w:spacing w:after="0"/>
              <w:ind w:left="0"/>
              <w:rPr>
                <w:sz w:val="18"/>
                <w:szCs w:val="18"/>
              </w:rPr>
            </w:pPr>
            <w:r w:rsidRPr="00D67865">
              <w:rPr>
                <w:rFonts w:eastAsia="Arial Unicode MS"/>
                <w:color w:val="000000"/>
                <w:sz w:val="18"/>
                <w:szCs w:val="18"/>
              </w:rPr>
              <w:t>Contingent and Non-Contingent Receivables from Central Governments or Central Banks</w:t>
            </w:r>
            <w:r w:rsidRPr="00D67865" w:rsidDel="00B277CC">
              <w:rPr>
                <w:sz w:val="18"/>
                <w:szCs w:val="18"/>
              </w:rPr>
              <w:t xml:space="preserve"> </w:t>
            </w:r>
          </w:p>
        </w:tc>
        <w:tc>
          <w:tcPr>
            <w:tcW w:w="1908" w:type="dxa"/>
            <w:vAlign w:val="bottom"/>
          </w:tcPr>
          <w:p w14:paraId="454D842B" w14:textId="2B38BF29" w:rsidR="00224102" w:rsidRPr="00ED4F4E" w:rsidRDefault="00224102" w:rsidP="00224102">
            <w:pPr>
              <w:jc w:val="right"/>
              <w:rPr>
                <w:color w:val="000000"/>
                <w:sz w:val="18"/>
                <w:szCs w:val="18"/>
              </w:rPr>
            </w:pPr>
            <w:r w:rsidRPr="00ED4F4E">
              <w:rPr>
                <w:color w:val="000000"/>
                <w:sz w:val="18"/>
                <w:szCs w:val="18"/>
              </w:rPr>
              <w:t>2,144,694</w:t>
            </w:r>
          </w:p>
        </w:tc>
        <w:tc>
          <w:tcPr>
            <w:tcW w:w="1652" w:type="dxa"/>
            <w:vAlign w:val="bottom"/>
          </w:tcPr>
          <w:p w14:paraId="49D44C7F" w14:textId="157CFBB1" w:rsidR="00224102" w:rsidRPr="00ED4F4E" w:rsidRDefault="00224102" w:rsidP="00224102">
            <w:pPr>
              <w:jc w:val="right"/>
              <w:rPr>
                <w:color w:val="000000"/>
                <w:sz w:val="18"/>
                <w:szCs w:val="18"/>
              </w:rPr>
            </w:pPr>
            <w:r w:rsidRPr="00ED4F4E">
              <w:rPr>
                <w:color w:val="000000"/>
                <w:sz w:val="18"/>
                <w:szCs w:val="18"/>
              </w:rPr>
              <w:t>2,164,591</w:t>
            </w:r>
          </w:p>
        </w:tc>
      </w:tr>
      <w:tr w:rsidR="00224102" w:rsidRPr="00923A53" w14:paraId="517140DC" w14:textId="77777777" w:rsidTr="00991C34">
        <w:tc>
          <w:tcPr>
            <w:tcW w:w="5072" w:type="dxa"/>
            <w:vAlign w:val="bottom"/>
          </w:tcPr>
          <w:p w14:paraId="1B3A7780" w14:textId="387559CC" w:rsidR="00224102" w:rsidRPr="00923A53" w:rsidRDefault="00224102" w:rsidP="00224102">
            <w:pPr>
              <w:pStyle w:val="BodyTextIndent"/>
              <w:spacing w:after="0"/>
              <w:ind w:left="0"/>
              <w:rPr>
                <w:sz w:val="18"/>
                <w:szCs w:val="18"/>
              </w:rPr>
            </w:pPr>
            <w:r w:rsidRPr="00D67865">
              <w:rPr>
                <w:rFonts w:eastAsia="Arial Unicode MS"/>
                <w:color w:val="000000"/>
                <w:sz w:val="18"/>
                <w:szCs w:val="18"/>
              </w:rPr>
              <w:t xml:space="preserve">Contingent and Non-Contingent Receivables from </w:t>
            </w:r>
            <w:r>
              <w:rPr>
                <w:color w:val="000000"/>
                <w:sz w:val="18"/>
                <w:szCs w:val="18"/>
              </w:rPr>
              <w:t>R</w:t>
            </w:r>
            <w:r w:rsidRPr="00D67865">
              <w:rPr>
                <w:color w:val="000000"/>
                <w:sz w:val="18"/>
                <w:szCs w:val="18"/>
              </w:rPr>
              <w:t xml:space="preserve">egional </w:t>
            </w:r>
            <w:r>
              <w:rPr>
                <w:color w:val="000000"/>
                <w:sz w:val="18"/>
                <w:szCs w:val="18"/>
              </w:rPr>
              <w:t>G</w:t>
            </w:r>
            <w:r w:rsidRPr="00D67865">
              <w:rPr>
                <w:color w:val="000000"/>
                <w:sz w:val="18"/>
                <w:szCs w:val="18"/>
              </w:rPr>
              <w:t xml:space="preserve">overnments or </w:t>
            </w:r>
            <w:r>
              <w:rPr>
                <w:color w:val="000000"/>
                <w:sz w:val="18"/>
                <w:szCs w:val="18"/>
              </w:rPr>
              <w:t>L</w:t>
            </w:r>
            <w:r w:rsidRPr="00D67865">
              <w:rPr>
                <w:color w:val="000000"/>
                <w:sz w:val="18"/>
                <w:szCs w:val="18"/>
              </w:rPr>
              <w:t xml:space="preserve">ocal </w:t>
            </w:r>
            <w:r>
              <w:rPr>
                <w:color w:val="000000"/>
                <w:sz w:val="18"/>
                <w:szCs w:val="18"/>
              </w:rPr>
              <w:t>A</w:t>
            </w:r>
            <w:r w:rsidRPr="00D67865">
              <w:rPr>
                <w:color w:val="000000"/>
                <w:sz w:val="18"/>
                <w:szCs w:val="18"/>
              </w:rPr>
              <w:t>uthorities</w:t>
            </w:r>
          </w:p>
        </w:tc>
        <w:tc>
          <w:tcPr>
            <w:tcW w:w="1908" w:type="dxa"/>
            <w:vAlign w:val="bottom"/>
          </w:tcPr>
          <w:p w14:paraId="2D072C43" w14:textId="3544C0F9" w:rsidR="00224102" w:rsidRPr="00ED4F4E" w:rsidRDefault="00224102" w:rsidP="00224102">
            <w:pPr>
              <w:jc w:val="right"/>
              <w:rPr>
                <w:color w:val="000000"/>
                <w:sz w:val="18"/>
                <w:szCs w:val="18"/>
              </w:rPr>
            </w:pPr>
            <w:r w:rsidRPr="00ED4F4E">
              <w:rPr>
                <w:color w:val="000000"/>
                <w:sz w:val="18"/>
                <w:szCs w:val="18"/>
              </w:rPr>
              <w:t>-</w:t>
            </w:r>
          </w:p>
        </w:tc>
        <w:tc>
          <w:tcPr>
            <w:tcW w:w="1652" w:type="dxa"/>
            <w:vAlign w:val="bottom"/>
          </w:tcPr>
          <w:p w14:paraId="0739DA1D" w14:textId="42794098" w:rsidR="00224102" w:rsidRPr="00ED4F4E" w:rsidRDefault="00224102" w:rsidP="00224102">
            <w:pPr>
              <w:jc w:val="right"/>
              <w:rPr>
                <w:color w:val="000000"/>
                <w:sz w:val="18"/>
                <w:szCs w:val="18"/>
              </w:rPr>
            </w:pPr>
            <w:r w:rsidRPr="00ED4F4E">
              <w:rPr>
                <w:color w:val="000000"/>
                <w:sz w:val="18"/>
                <w:szCs w:val="18"/>
              </w:rPr>
              <w:t>-</w:t>
            </w:r>
          </w:p>
        </w:tc>
      </w:tr>
      <w:tr w:rsidR="00224102" w:rsidRPr="00923A53" w14:paraId="337B27AC" w14:textId="77777777" w:rsidTr="00991C34">
        <w:tc>
          <w:tcPr>
            <w:tcW w:w="5072" w:type="dxa"/>
            <w:vAlign w:val="bottom"/>
          </w:tcPr>
          <w:p w14:paraId="00D205DA" w14:textId="16E21042" w:rsidR="00224102" w:rsidRPr="00923A53" w:rsidRDefault="00224102" w:rsidP="00224102">
            <w:pPr>
              <w:pStyle w:val="BodyTextIndent"/>
              <w:spacing w:after="0"/>
              <w:ind w:left="0"/>
              <w:rPr>
                <w:sz w:val="18"/>
                <w:szCs w:val="18"/>
              </w:rPr>
            </w:pPr>
            <w:r w:rsidRPr="00D67865">
              <w:rPr>
                <w:sz w:val="18"/>
                <w:szCs w:val="18"/>
              </w:rPr>
              <w:t xml:space="preserve">Contingent and Non-Contingent Receivables from </w:t>
            </w:r>
            <w:r>
              <w:rPr>
                <w:sz w:val="18"/>
                <w:szCs w:val="18"/>
              </w:rPr>
              <w:t>A</w:t>
            </w:r>
            <w:r w:rsidRPr="00D67865">
              <w:rPr>
                <w:sz w:val="18"/>
                <w:szCs w:val="18"/>
              </w:rPr>
              <w:t xml:space="preserve">dministrative </w:t>
            </w:r>
            <w:r>
              <w:rPr>
                <w:sz w:val="18"/>
                <w:szCs w:val="18"/>
              </w:rPr>
              <w:t>U</w:t>
            </w:r>
            <w:r w:rsidRPr="00D67865">
              <w:rPr>
                <w:sz w:val="18"/>
                <w:szCs w:val="18"/>
              </w:rPr>
              <w:t xml:space="preserve">nits and </w:t>
            </w:r>
            <w:r>
              <w:rPr>
                <w:sz w:val="18"/>
                <w:szCs w:val="18"/>
              </w:rPr>
              <w:t>N</w:t>
            </w:r>
            <w:r w:rsidRPr="00D67865">
              <w:rPr>
                <w:sz w:val="18"/>
                <w:szCs w:val="18"/>
              </w:rPr>
              <w:t xml:space="preserve">on-commercial </w:t>
            </w:r>
            <w:r>
              <w:rPr>
                <w:sz w:val="18"/>
                <w:szCs w:val="18"/>
              </w:rPr>
              <w:t>E</w:t>
            </w:r>
            <w:r w:rsidRPr="00D67865">
              <w:rPr>
                <w:sz w:val="18"/>
                <w:szCs w:val="18"/>
              </w:rPr>
              <w:t>nterprises</w:t>
            </w:r>
            <w:r w:rsidRPr="00D67865" w:rsidDel="00E42652">
              <w:rPr>
                <w:color w:val="000000"/>
                <w:sz w:val="18"/>
                <w:szCs w:val="18"/>
              </w:rPr>
              <w:t xml:space="preserve"> </w:t>
            </w:r>
          </w:p>
        </w:tc>
        <w:tc>
          <w:tcPr>
            <w:tcW w:w="1908" w:type="dxa"/>
            <w:vAlign w:val="bottom"/>
          </w:tcPr>
          <w:p w14:paraId="14372C14" w14:textId="34C1A07D" w:rsidR="00224102" w:rsidRPr="00ED4F4E" w:rsidRDefault="00224102" w:rsidP="00224102">
            <w:pPr>
              <w:jc w:val="right"/>
              <w:rPr>
                <w:color w:val="000000"/>
                <w:sz w:val="18"/>
                <w:szCs w:val="18"/>
              </w:rPr>
            </w:pPr>
            <w:r w:rsidRPr="00ED4F4E">
              <w:rPr>
                <w:color w:val="000000"/>
                <w:sz w:val="18"/>
                <w:szCs w:val="18"/>
              </w:rPr>
              <w:t>1,310</w:t>
            </w:r>
          </w:p>
        </w:tc>
        <w:tc>
          <w:tcPr>
            <w:tcW w:w="1652" w:type="dxa"/>
            <w:vAlign w:val="bottom"/>
          </w:tcPr>
          <w:p w14:paraId="23A2B15E" w14:textId="6078DC19" w:rsidR="00224102" w:rsidRPr="00ED4F4E" w:rsidRDefault="00224102" w:rsidP="00224102">
            <w:pPr>
              <w:jc w:val="right"/>
              <w:rPr>
                <w:color w:val="000000"/>
                <w:sz w:val="18"/>
                <w:szCs w:val="18"/>
              </w:rPr>
            </w:pPr>
            <w:r w:rsidRPr="00ED4F4E">
              <w:rPr>
                <w:color w:val="000000"/>
                <w:sz w:val="18"/>
                <w:szCs w:val="18"/>
              </w:rPr>
              <w:t>1,32</w:t>
            </w:r>
            <w:r>
              <w:rPr>
                <w:color w:val="000000"/>
                <w:sz w:val="18"/>
                <w:szCs w:val="18"/>
              </w:rPr>
              <w:t>8</w:t>
            </w:r>
          </w:p>
        </w:tc>
      </w:tr>
      <w:tr w:rsidR="00224102" w:rsidRPr="00923A53" w14:paraId="35DB8BC5" w14:textId="77777777" w:rsidTr="00991C34">
        <w:tc>
          <w:tcPr>
            <w:tcW w:w="5072" w:type="dxa"/>
            <w:vAlign w:val="bottom"/>
          </w:tcPr>
          <w:p w14:paraId="16ADBC61" w14:textId="5A8C000A" w:rsidR="00224102" w:rsidRPr="00923A53" w:rsidRDefault="00224102" w:rsidP="00224102">
            <w:pPr>
              <w:pStyle w:val="BodyTextIndent"/>
              <w:spacing w:after="0"/>
              <w:ind w:left="0"/>
              <w:rPr>
                <w:sz w:val="18"/>
                <w:szCs w:val="18"/>
              </w:rPr>
            </w:pPr>
            <w:r w:rsidRPr="00D67865">
              <w:rPr>
                <w:sz w:val="18"/>
                <w:szCs w:val="18"/>
              </w:rPr>
              <w:t xml:space="preserve">Contingent and Non-Contingent Receivables from </w:t>
            </w:r>
            <w:r>
              <w:rPr>
                <w:color w:val="000000"/>
                <w:sz w:val="18"/>
                <w:szCs w:val="18"/>
              </w:rPr>
              <w:t>M</w:t>
            </w:r>
            <w:r w:rsidRPr="00D67865">
              <w:rPr>
                <w:color w:val="000000"/>
                <w:sz w:val="18"/>
                <w:szCs w:val="18"/>
              </w:rPr>
              <w:t xml:space="preserve">ultilateral </w:t>
            </w:r>
            <w:r>
              <w:rPr>
                <w:color w:val="000000"/>
                <w:sz w:val="18"/>
                <w:szCs w:val="18"/>
              </w:rPr>
              <w:t>D</w:t>
            </w:r>
            <w:r w:rsidRPr="00D67865">
              <w:rPr>
                <w:color w:val="000000"/>
                <w:sz w:val="18"/>
                <w:szCs w:val="18"/>
              </w:rPr>
              <w:t xml:space="preserve">evelopment </w:t>
            </w:r>
            <w:r>
              <w:rPr>
                <w:color w:val="000000"/>
                <w:sz w:val="18"/>
                <w:szCs w:val="18"/>
              </w:rPr>
              <w:t>B</w:t>
            </w:r>
            <w:r w:rsidRPr="00D67865">
              <w:rPr>
                <w:color w:val="000000"/>
                <w:sz w:val="18"/>
                <w:szCs w:val="18"/>
              </w:rPr>
              <w:t>anks</w:t>
            </w:r>
          </w:p>
        </w:tc>
        <w:tc>
          <w:tcPr>
            <w:tcW w:w="1908" w:type="dxa"/>
            <w:vAlign w:val="bottom"/>
          </w:tcPr>
          <w:p w14:paraId="22208AA0" w14:textId="07EF4E2F" w:rsidR="00224102" w:rsidRPr="00ED4F4E" w:rsidRDefault="00224102" w:rsidP="00224102">
            <w:pPr>
              <w:jc w:val="right"/>
              <w:rPr>
                <w:color w:val="000000"/>
                <w:sz w:val="18"/>
                <w:szCs w:val="18"/>
              </w:rPr>
            </w:pPr>
            <w:r w:rsidRPr="00ED4F4E">
              <w:rPr>
                <w:color w:val="000000"/>
                <w:sz w:val="18"/>
                <w:szCs w:val="18"/>
              </w:rPr>
              <w:t>-</w:t>
            </w:r>
          </w:p>
        </w:tc>
        <w:tc>
          <w:tcPr>
            <w:tcW w:w="1652" w:type="dxa"/>
            <w:vAlign w:val="bottom"/>
          </w:tcPr>
          <w:p w14:paraId="5572F2DA" w14:textId="791055FC" w:rsidR="00224102" w:rsidRPr="00ED4F4E" w:rsidRDefault="00224102" w:rsidP="00224102">
            <w:pPr>
              <w:jc w:val="right"/>
              <w:rPr>
                <w:color w:val="000000"/>
                <w:sz w:val="18"/>
                <w:szCs w:val="18"/>
              </w:rPr>
            </w:pPr>
            <w:r w:rsidRPr="00ED4F4E">
              <w:rPr>
                <w:color w:val="000000"/>
                <w:sz w:val="18"/>
                <w:szCs w:val="18"/>
              </w:rPr>
              <w:t>-</w:t>
            </w:r>
          </w:p>
        </w:tc>
      </w:tr>
      <w:tr w:rsidR="00224102" w:rsidRPr="00923A53" w14:paraId="4F5F5E28" w14:textId="77777777" w:rsidTr="00991C34">
        <w:tc>
          <w:tcPr>
            <w:tcW w:w="5072" w:type="dxa"/>
            <w:vAlign w:val="bottom"/>
          </w:tcPr>
          <w:p w14:paraId="428DDC62" w14:textId="47EA6649" w:rsidR="00224102" w:rsidRPr="00923A53" w:rsidRDefault="00224102" w:rsidP="00224102">
            <w:pPr>
              <w:pStyle w:val="BodyTextIndent"/>
              <w:spacing w:after="0"/>
              <w:ind w:left="0"/>
              <w:rPr>
                <w:sz w:val="18"/>
                <w:szCs w:val="18"/>
              </w:rPr>
            </w:pPr>
            <w:r w:rsidRPr="00D67865">
              <w:rPr>
                <w:sz w:val="18"/>
                <w:szCs w:val="18"/>
              </w:rPr>
              <w:t xml:space="preserve">Contingent and Non-Contingent Receivables from </w:t>
            </w:r>
            <w:r>
              <w:rPr>
                <w:color w:val="000000"/>
                <w:sz w:val="18"/>
                <w:szCs w:val="18"/>
              </w:rPr>
              <w:t>I</w:t>
            </w:r>
            <w:r w:rsidRPr="00D67865">
              <w:rPr>
                <w:color w:val="000000"/>
                <w:sz w:val="18"/>
                <w:szCs w:val="18"/>
              </w:rPr>
              <w:t>nternational organizations</w:t>
            </w:r>
          </w:p>
        </w:tc>
        <w:tc>
          <w:tcPr>
            <w:tcW w:w="1908" w:type="dxa"/>
            <w:vAlign w:val="bottom"/>
          </w:tcPr>
          <w:p w14:paraId="574C70F2" w14:textId="0E7C12DB" w:rsidR="00224102" w:rsidRPr="00ED4F4E" w:rsidRDefault="00224102" w:rsidP="00224102">
            <w:pPr>
              <w:jc w:val="right"/>
              <w:rPr>
                <w:color w:val="000000"/>
                <w:sz w:val="18"/>
                <w:szCs w:val="18"/>
              </w:rPr>
            </w:pPr>
            <w:r w:rsidRPr="00ED4F4E">
              <w:rPr>
                <w:color w:val="000000"/>
                <w:sz w:val="18"/>
                <w:szCs w:val="18"/>
              </w:rPr>
              <w:t>-</w:t>
            </w:r>
          </w:p>
        </w:tc>
        <w:tc>
          <w:tcPr>
            <w:tcW w:w="1652" w:type="dxa"/>
            <w:vAlign w:val="bottom"/>
          </w:tcPr>
          <w:p w14:paraId="2A95C97C" w14:textId="22AAD937" w:rsidR="00224102" w:rsidRPr="00ED4F4E" w:rsidRDefault="00224102" w:rsidP="00224102">
            <w:pPr>
              <w:jc w:val="right"/>
              <w:rPr>
                <w:color w:val="000000"/>
                <w:sz w:val="18"/>
                <w:szCs w:val="18"/>
              </w:rPr>
            </w:pPr>
            <w:r w:rsidRPr="00ED4F4E">
              <w:rPr>
                <w:color w:val="000000"/>
                <w:sz w:val="18"/>
                <w:szCs w:val="18"/>
              </w:rPr>
              <w:t>-</w:t>
            </w:r>
          </w:p>
        </w:tc>
      </w:tr>
      <w:tr w:rsidR="00224102" w:rsidRPr="00923A53" w14:paraId="088E4704" w14:textId="77777777" w:rsidTr="00991C34">
        <w:tc>
          <w:tcPr>
            <w:tcW w:w="5072" w:type="dxa"/>
            <w:vAlign w:val="bottom"/>
          </w:tcPr>
          <w:p w14:paraId="18AC02A5" w14:textId="0662D285" w:rsidR="00224102" w:rsidRPr="00923A53" w:rsidRDefault="00224102" w:rsidP="00224102">
            <w:pPr>
              <w:pStyle w:val="BodyTextIndent"/>
              <w:spacing w:after="0"/>
              <w:ind w:left="0"/>
              <w:rPr>
                <w:sz w:val="18"/>
                <w:szCs w:val="18"/>
              </w:rPr>
            </w:pPr>
            <w:r w:rsidRPr="00D67865">
              <w:rPr>
                <w:sz w:val="18"/>
                <w:szCs w:val="18"/>
              </w:rPr>
              <w:t xml:space="preserve">Contingent and Non-Contingent Receivables from banks and </w:t>
            </w:r>
            <w:r>
              <w:rPr>
                <w:sz w:val="18"/>
                <w:szCs w:val="18"/>
              </w:rPr>
              <w:t>I</w:t>
            </w:r>
            <w:r w:rsidRPr="00D67865">
              <w:rPr>
                <w:sz w:val="18"/>
                <w:szCs w:val="18"/>
              </w:rPr>
              <w:t>ntermediaries</w:t>
            </w:r>
            <w:r w:rsidRPr="00D67865" w:rsidDel="00E42652">
              <w:rPr>
                <w:color w:val="000000"/>
                <w:sz w:val="18"/>
                <w:szCs w:val="18"/>
              </w:rPr>
              <w:t xml:space="preserve"> </w:t>
            </w:r>
          </w:p>
        </w:tc>
        <w:tc>
          <w:tcPr>
            <w:tcW w:w="1908" w:type="dxa"/>
            <w:vAlign w:val="bottom"/>
          </w:tcPr>
          <w:p w14:paraId="19EE2CD1" w14:textId="508E3484" w:rsidR="00224102" w:rsidRPr="00ED4F4E" w:rsidRDefault="00224102" w:rsidP="00224102">
            <w:pPr>
              <w:jc w:val="right"/>
              <w:rPr>
                <w:color w:val="000000"/>
                <w:sz w:val="18"/>
                <w:szCs w:val="18"/>
              </w:rPr>
            </w:pPr>
            <w:r w:rsidRPr="00ED4F4E">
              <w:rPr>
                <w:color w:val="000000"/>
                <w:sz w:val="18"/>
                <w:szCs w:val="18"/>
              </w:rPr>
              <w:t>1,887,922</w:t>
            </w:r>
          </w:p>
        </w:tc>
        <w:tc>
          <w:tcPr>
            <w:tcW w:w="1652" w:type="dxa"/>
            <w:vAlign w:val="bottom"/>
          </w:tcPr>
          <w:p w14:paraId="6139FC3B" w14:textId="59C222B4" w:rsidR="00224102" w:rsidRPr="00ED4F4E" w:rsidRDefault="00224102" w:rsidP="00224102">
            <w:pPr>
              <w:jc w:val="right"/>
              <w:rPr>
                <w:color w:val="000000"/>
                <w:sz w:val="18"/>
                <w:szCs w:val="18"/>
              </w:rPr>
            </w:pPr>
            <w:r w:rsidRPr="00ED4F4E">
              <w:rPr>
                <w:color w:val="000000"/>
                <w:sz w:val="18"/>
                <w:szCs w:val="18"/>
              </w:rPr>
              <w:t>1,153,360</w:t>
            </w:r>
          </w:p>
        </w:tc>
      </w:tr>
      <w:tr w:rsidR="00224102" w:rsidRPr="00923A53" w14:paraId="1088DCD2" w14:textId="77777777" w:rsidTr="00991C34">
        <w:tc>
          <w:tcPr>
            <w:tcW w:w="5072" w:type="dxa"/>
            <w:vAlign w:val="bottom"/>
          </w:tcPr>
          <w:p w14:paraId="5547274A" w14:textId="77777777" w:rsidR="00224102" w:rsidRPr="00923A53" w:rsidRDefault="00224102" w:rsidP="00224102">
            <w:pPr>
              <w:pStyle w:val="BodyTextIndent"/>
              <w:spacing w:after="0"/>
              <w:ind w:left="0"/>
              <w:rPr>
                <w:sz w:val="18"/>
                <w:szCs w:val="18"/>
              </w:rPr>
            </w:pPr>
            <w:r w:rsidRPr="00D67865">
              <w:rPr>
                <w:rFonts w:eastAsia="Arial Unicode MS"/>
                <w:color w:val="000000"/>
                <w:sz w:val="18"/>
                <w:szCs w:val="18"/>
              </w:rPr>
              <w:t>Contingent and Non-Contingent Corporate Receivables</w:t>
            </w:r>
            <w:r w:rsidRPr="00D67865" w:rsidDel="00B277CC">
              <w:rPr>
                <w:sz w:val="18"/>
                <w:szCs w:val="18"/>
              </w:rPr>
              <w:t xml:space="preserve"> </w:t>
            </w:r>
          </w:p>
        </w:tc>
        <w:tc>
          <w:tcPr>
            <w:tcW w:w="1908" w:type="dxa"/>
            <w:vAlign w:val="bottom"/>
          </w:tcPr>
          <w:p w14:paraId="25BB1C9F" w14:textId="104E551A" w:rsidR="00224102" w:rsidRPr="00ED4F4E" w:rsidRDefault="00224102" w:rsidP="00224102">
            <w:pPr>
              <w:jc w:val="right"/>
              <w:rPr>
                <w:color w:val="000000"/>
                <w:sz w:val="18"/>
                <w:szCs w:val="18"/>
              </w:rPr>
            </w:pPr>
            <w:r w:rsidRPr="00ED4F4E">
              <w:rPr>
                <w:color w:val="000000"/>
                <w:sz w:val="18"/>
                <w:szCs w:val="18"/>
              </w:rPr>
              <w:t>7,187,446</w:t>
            </w:r>
          </w:p>
        </w:tc>
        <w:tc>
          <w:tcPr>
            <w:tcW w:w="1652" w:type="dxa"/>
            <w:vAlign w:val="bottom"/>
          </w:tcPr>
          <w:p w14:paraId="1645D854" w14:textId="77843C50" w:rsidR="00224102" w:rsidRPr="00ED4F4E" w:rsidRDefault="00224102" w:rsidP="00224102">
            <w:pPr>
              <w:jc w:val="right"/>
              <w:rPr>
                <w:color w:val="000000"/>
                <w:sz w:val="18"/>
                <w:szCs w:val="18"/>
              </w:rPr>
            </w:pPr>
            <w:r w:rsidRPr="00ED4F4E">
              <w:rPr>
                <w:color w:val="000000"/>
                <w:sz w:val="18"/>
                <w:szCs w:val="18"/>
              </w:rPr>
              <w:t>6,445,049</w:t>
            </w:r>
          </w:p>
        </w:tc>
      </w:tr>
      <w:tr w:rsidR="00224102" w:rsidRPr="00923A53" w14:paraId="79B7EF08" w14:textId="77777777" w:rsidTr="00991C34">
        <w:tc>
          <w:tcPr>
            <w:tcW w:w="5072" w:type="dxa"/>
            <w:vAlign w:val="bottom"/>
          </w:tcPr>
          <w:p w14:paraId="6D8C10A5" w14:textId="77777777" w:rsidR="00224102" w:rsidRPr="00923A53" w:rsidRDefault="00224102" w:rsidP="00224102">
            <w:pPr>
              <w:pStyle w:val="BodyTextIndent"/>
              <w:spacing w:after="0"/>
              <w:ind w:left="0"/>
              <w:rPr>
                <w:sz w:val="18"/>
                <w:szCs w:val="18"/>
              </w:rPr>
            </w:pPr>
            <w:r w:rsidRPr="00D67865">
              <w:rPr>
                <w:rFonts w:eastAsia="Arial Unicode MS"/>
                <w:color w:val="000000"/>
                <w:sz w:val="18"/>
                <w:szCs w:val="18"/>
              </w:rPr>
              <w:t>Contingent and Non-Contingent Retail Receivables</w:t>
            </w:r>
            <w:r w:rsidRPr="00D67865" w:rsidDel="00B277CC">
              <w:rPr>
                <w:sz w:val="18"/>
                <w:szCs w:val="18"/>
              </w:rPr>
              <w:t xml:space="preserve"> </w:t>
            </w:r>
          </w:p>
        </w:tc>
        <w:tc>
          <w:tcPr>
            <w:tcW w:w="1908" w:type="dxa"/>
            <w:vAlign w:val="bottom"/>
          </w:tcPr>
          <w:p w14:paraId="3167782A" w14:textId="620C1C24" w:rsidR="00224102" w:rsidRPr="00ED4F4E" w:rsidRDefault="00224102" w:rsidP="00224102">
            <w:pPr>
              <w:jc w:val="right"/>
              <w:rPr>
                <w:color w:val="000000"/>
                <w:sz w:val="18"/>
                <w:szCs w:val="18"/>
              </w:rPr>
            </w:pPr>
            <w:r w:rsidRPr="00ED4F4E">
              <w:rPr>
                <w:color w:val="000000"/>
                <w:sz w:val="18"/>
                <w:szCs w:val="18"/>
              </w:rPr>
              <w:t>1,858,594</w:t>
            </w:r>
          </w:p>
        </w:tc>
        <w:tc>
          <w:tcPr>
            <w:tcW w:w="1652" w:type="dxa"/>
            <w:vAlign w:val="bottom"/>
          </w:tcPr>
          <w:p w14:paraId="69799E39" w14:textId="78409360" w:rsidR="00224102" w:rsidRPr="00ED4F4E" w:rsidRDefault="00224102" w:rsidP="00224102">
            <w:pPr>
              <w:jc w:val="right"/>
              <w:rPr>
                <w:color w:val="000000"/>
                <w:sz w:val="18"/>
                <w:szCs w:val="18"/>
              </w:rPr>
            </w:pPr>
            <w:r w:rsidRPr="00ED4F4E">
              <w:rPr>
                <w:color w:val="000000"/>
                <w:sz w:val="18"/>
                <w:szCs w:val="18"/>
              </w:rPr>
              <w:t>2,550,062</w:t>
            </w:r>
          </w:p>
        </w:tc>
      </w:tr>
      <w:tr w:rsidR="00224102" w:rsidRPr="00923A53" w14:paraId="339F1D96" w14:textId="77777777" w:rsidTr="00991C34">
        <w:tc>
          <w:tcPr>
            <w:tcW w:w="5072" w:type="dxa"/>
            <w:vAlign w:val="bottom"/>
          </w:tcPr>
          <w:p w14:paraId="205A0F8D" w14:textId="77777777" w:rsidR="00224102" w:rsidRPr="00923A53" w:rsidRDefault="00224102" w:rsidP="00224102">
            <w:pPr>
              <w:pStyle w:val="BodyTextIndent"/>
              <w:spacing w:after="0"/>
              <w:ind w:left="0"/>
              <w:rPr>
                <w:sz w:val="18"/>
                <w:szCs w:val="18"/>
              </w:rPr>
            </w:pPr>
            <w:r w:rsidRPr="00D67865">
              <w:rPr>
                <w:rFonts w:eastAsia="Arial Unicode MS"/>
                <w:color w:val="000000"/>
                <w:sz w:val="18"/>
                <w:szCs w:val="18"/>
              </w:rPr>
              <w:t>Contingent and Non-Contingent Receivables Secured by Residential Property</w:t>
            </w:r>
          </w:p>
        </w:tc>
        <w:tc>
          <w:tcPr>
            <w:tcW w:w="1908" w:type="dxa"/>
            <w:vAlign w:val="bottom"/>
          </w:tcPr>
          <w:p w14:paraId="3A1361A0" w14:textId="45153F4C" w:rsidR="00224102" w:rsidRPr="00ED4F4E" w:rsidRDefault="00224102" w:rsidP="00224102">
            <w:pPr>
              <w:jc w:val="right"/>
              <w:rPr>
                <w:color w:val="000000"/>
                <w:sz w:val="18"/>
                <w:szCs w:val="18"/>
              </w:rPr>
            </w:pPr>
            <w:r w:rsidRPr="00ED4F4E">
              <w:rPr>
                <w:color w:val="000000"/>
                <w:sz w:val="18"/>
                <w:szCs w:val="18"/>
              </w:rPr>
              <w:t>2,465,374</w:t>
            </w:r>
          </w:p>
        </w:tc>
        <w:tc>
          <w:tcPr>
            <w:tcW w:w="1652" w:type="dxa"/>
            <w:vAlign w:val="bottom"/>
          </w:tcPr>
          <w:p w14:paraId="149502F5" w14:textId="79375870" w:rsidR="00224102" w:rsidRPr="00ED4F4E" w:rsidRDefault="00224102" w:rsidP="00224102">
            <w:pPr>
              <w:jc w:val="right"/>
              <w:rPr>
                <w:color w:val="000000"/>
                <w:sz w:val="18"/>
                <w:szCs w:val="18"/>
              </w:rPr>
            </w:pPr>
            <w:r w:rsidRPr="00ED4F4E">
              <w:rPr>
                <w:color w:val="000000"/>
                <w:sz w:val="18"/>
                <w:szCs w:val="18"/>
              </w:rPr>
              <w:t>2,068,912</w:t>
            </w:r>
          </w:p>
        </w:tc>
      </w:tr>
      <w:tr w:rsidR="00224102" w:rsidRPr="00923A53" w14:paraId="40040E0A" w14:textId="77777777" w:rsidTr="00991C34">
        <w:tc>
          <w:tcPr>
            <w:tcW w:w="5072" w:type="dxa"/>
            <w:vAlign w:val="bottom"/>
          </w:tcPr>
          <w:p w14:paraId="7A3EE040" w14:textId="77777777" w:rsidR="00224102" w:rsidRPr="00923A53" w:rsidRDefault="00224102" w:rsidP="00224102">
            <w:pPr>
              <w:pStyle w:val="BodyTextIndent"/>
              <w:spacing w:after="0"/>
              <w:ind w:left="0"/>
              <w:rPr>
                <w:sz w:val="18"/>
                <w:szCs w:val="18"/>
              </w:rPr>
            </w:pPr>
            <w:r w:rsidRPr="00D67865">
              <w:rPr>
                <w:color w:val="000000"/>
                <w:sz w:val="18"/>
                <w:szCs w:val="18"/>
              </w:rPr>
              <w:t>Non-Performing Receivables</w:t>
            </w:r>
          </w:p>
        </w:tc>
        <w:tc>
          <w:tcPr>
            <w:tcW w:w="1908" w:type="dxa"/>
            <w:vAlign w:val="bottom"/>
          </w:tcPr>
          <w:p w14:paraId="592DF281" w14:textId="11CC149D" w:rsidR="00224102" w:rsidRPr="00ED4F4E" w:rsidRDefault="00224102" w:rsidP="00224102">
            <w:pPr>
              <w:jc w:val="right"/>
              <w:rPr>
                <w:color w:val="000000"/>
                <w:sz w:val="18"/>
                <w:szCs w:val="18"/>
              </w:rPr>
            </w:pPr>
            <w:r w:rsidRPr="00ED4F4E">
              <w:rPr>
                <w:color w:val="000000"/>
                <w:sz w:val="18"/>
                <w:szCs w:val="18"/>
              </w:rPr>
              <w:t>236,253</w:t>
            </w:r>
          </w:p>
        </w:tc>
        <w:tc>
          <w:tcPr>
            <w:tcW w:w="1652" w:type="dxa"/>
            <w:vAlign w:val="bottom"/>
          </w:tcPr>
          <w:p w14:paraId="52BD376C" w14:textId="6A663C6B" w:rsidR="00224102" w:rsidRPr="00ED4F4E" w:rsidRDefault="00224102" w:rsidP="00224102">
            <w:pPr>
              <w:jc w:val="right"/>
              <w:rPr>
                <w:color w:val="000000"/>
                <w:sz w:val="18"/>
                <w:szCs w:val="18"/>
              </w:rPr>
            </w:pPr>
            <w:r w:rsidRPr="00ED4F4E">
              <w:rPr>
                <w:color w:val="000000"/>
                <w:sz w:val="18"/>
                <w:szCs w:val="18"/>
              </w:rPr>
              <w:t>192,980</w:t>
            </w:r>
          </w:p>
        </w:tc>
      </w:tr>
      <w:tr w:rsidR="00224102" w:rsidRPr="00923A53" w14:paraId="46B4EB07" w14:textId="77777777" w:rsidTr="00991C34">
        <w:tc>
          <w:tcPr>
            <w:tcW w:w="5072" w:type="dxa"/>
            <w:vAlign w:val="bottom"/>
          </w:tcPr>
          <w:p w14:paraId="769B6D5F" w14:textId="51B6E595" w:rsidR="00224102" w:rsidRPr="00923A53" w:rsidRDefault="00224102" w:rsidP="00224102">
            <w:pPr>
              <w:pStyle w:val="BodyTextIndent"/>
              <w:spacing w:after="0"/>
              <w:ind w:left="0"/>
              <w:rPr>
                <w:sz w:val="18"/>
                <w:szCs w:val="18"/>
              </w:rPr>
            </w:pPr>
            <w:r w:rsidRPr="00D67865">
              <w:rPr>
                <w:color w:val="000000"/>
                <w:sz w:val="18"/>
                <w:szCs w:val="18"/>
              </w:rPr>
              <w:t xml:space="preserve">Receivables </w:t>
            </w:r>
            <w:r>
              <w:rPr>
                <w:color w:val="000000"/>
                <w:sz w:val="18"/>
                <w:szCs w:val="18"/>
              </w:rPr>
              <w:t>I</w:t>
            </w:r>
            <w:r w:rsidRPr="00D67865">
              <w:rPr>
                <w:color w:val="000000"/>
                <w:sz w:val="18"/>
                <w:szCs w:val="18"/>
              </w:rPr>
              <w:t xml:space="preserve">dentified as </w:t>
            </w:r>
            <w:r>
              <w:rPr>
                <w:color w:val="000000"/>
                <w:sz w:val="18"/>
                <w:szCs w:val="18"/>
              </w:rPr>
              <w:t>H</w:t>
            </w:r>
            <w:r w:rsidRPr="00D67865">
              <w:rPr>
                <w:color w:val="000000"/>
                <w:sz w:val="18"/>
                <w:szCs w:val="18"/>
              </w:rPr>
              <w:t xml:space="preserve">igh </w:t>
            </w:r>
            <w:r>
              <w:rPr>
                <w:color w:val="000000"/>
                <w:sz w:val="18"/>
                <w:szCs w:val="18"/>
              </w:rPr>
              <w:t>R</w:t>
            </w:r>
            <w:r w:rsidRPr="00D67865">
              <w:rPr>
                <w:color w:val="000000"/>
                <w:sz w:val="18"/>
                <w:szCs w:val="18"/>
              </w:rPr>
              <w:t>isk by the Board</w:t>
            </w:r>
          </w:p>
        </w:tc>
        <w:tc>
          <w:tcPr>
            <w:tcW w:w="1908" w:type="dxa"/>
            <w:vAlign w:val="bottom"/>
          </w:tcPr>
          <w:p w14:paraId="43BFCA40" w14:textId="0CB3E961" w:rsidR="00224102" w:rsidRPr="00ED4F4E" w:rsidRDefault="00224102" w:rsidP="00224102">
            <w:pPr>
              <w:jc w:val="right"/>
              <w:rPr>
                <w:color w:val="000000"/>
                <w:sz w:val="18"/>
                <w:szCs w:val="18"/>
              </w:rPr>
            </w:pPr>
            <w:r w:rsidRPr="00ED4F4E">
              <w:rPr>
                <w:color w:val="000000"/>
                <w:sz w:val="18"/>
                <w:szCs w:val="18"/>
              </w:rPr>
              <w:t>83,365</w:t>
            </w:r>
          </w:p>
        </w:tc>
        <w:tc>
          <w:tcPr>
            <w:tcW w:w="1652" w:type="dxa"/>
            <w:vAlign w:val="bottom"/>
          </w:tcPr>
          <w:p w14:paraId="2FBED317" w14:textId="232D704B" w:rsidR="00224102" w:rsidRPr="00ED4F4E" w:rsidRDefault="00224102" w:rsidP="00224102">
            <w:pPr>
              <w:jc w:val="right"/>
              <w:rPr>
                <w:color w:val="000000"/>
                <w:sz w:val="18"/>
                <w:szCs w:val="18"/>
              </w:rPr>
            </w:pPr>
            <w:r w:rsidRPr="00ED4F4E">
              <w:rPr>
                <w:color w:val="000000"/>
                <w:sz w:val="18"/>
                <w:szCs w:val="18"/>
              </w:rPr>
              <w:t>121,718</w:t>
            </w:r>
          </w:p>
        </w:tc>
      </w:tr>
      <w:tr w:rsidR="00224102" w:rsidRPr="00923A53" w14:paraId="04AC454D" w14:textId="77777777" w:rsidTr="00991C34">
        <w:tc>
          <w:tcPr>
            <w:tcW w:w="5072" w:type="dxa"/>
            <w:vAlign w:val="bottom"/>
          </w:tcPr>
          <w:p w14:paraId="25A944EF" w14:textId="7092572C" w:rsidR="00224102" w:rsidRPr="00923A53" w:rsidRDefault="00224102" w:rsidP="00224102">
            <w:pPr>
              <w:pStyle w:val="BodyTextIndent"/>
              <w:spacing w:after="0"/>
              <w:ind w:left="0"/>
              <w:rPr>
                <w:sz w:val="18"/>
                <w:szCs w:val="18"/>
              </w:rPr>
            </w:pPr>
            <w:r w:rsidRPr="00D67865">
              <w:rPr>
                <w:color w:val="000000"/>
                <w:sz w:val="18"/>
                <w:szCs w:val="18"/>
              </w:rPr>
              <w:t xml:space="preserve">Secured by </w:t>
            </w:r>
            <w:r>
              <w:rPr>
                <w:color w:val="000000"/>
                <w:sz w:val="18"/>
                <w:szCs w:val="18"/>
              </w:rPr>
              <w:t>M</w:t>
            </w:r>
            <w:r w:rsidRPr="00D67865">
              <w:rPr>
                <w:color w:val="000000"/>
                <w:sz w:val="18"/>
                <w:szCs w:val="18"/>
              </w:rPr>
              <w:t>or</w:t>
            </w:r>
            <w:r>
              <w:rPr>
                <w:color w:val="000000"/>
                <w:sz w:val="18"/>
                <w:szCs w:val="18"/>
              </w:rPr>
              <w:t>t</w:t>
            </w:r>
            <w:r w:rsidRPr="00D67865">
              <w:rPr>
                <w:color w:val="000000"/>
                <w:sz w:val="18"/>
                <w:szCs w:val="18"/>
              </w:rPr>
              <w:t>gages</w:t>
            </w:r>
          </w:p>
        </w:tc>
        <w:tc>
          <w:tcPr>
            <w:tcW w:w="1908" w:type="dxa"/>
            <w:vAlign w:val="bottom"/>
          </w:tcPr>
          <w:p w14:paraId="69C6530C" w14:textId="3AA9ACF3" w:rsidR="00224102" w:rsidRPr="00ED4F4E" w:rsidRDefault="00224102" w:rsidP="00224102">
            <w:pPr>
              <w:jc w:val="right"/>
              <w:rPr>
                <w:color w:val="000000"/>
                <w:sz w:val="18"/>
                <w:szCs w:val="18"/>
              </w:rPr>
            </w:pPr>
            <w:r w:rsidRPr="00ED4F4E">
              <w:rPr>
                <w:color w:val="000000"/>
                <w:sz w:val="18"/>
                <w:szCs w:val="18"/>
              </w:rPr>
              <w:t>-</w:t>
            </w:r>
          </w:p>
        </w:tc>
        <w:tc>
          <w:tcPr>
            <w:tcW w:w="1652" w:type="dxa"/>
            <w:vAlign w:val="bottom"/>
          </w:tcPr>
          <w:p w14:paraId="786CE579" w14:textId="7193E3F7" w:rsidR="00224102" w:rsidRPr="00ED4F4E" w:rsidRDefault="00224102" w:rsidP="00224102">
            <w:pPr>
              <w:jc w:val="right"/>
              <w:rPr>
                <w:color w:val="000000"/>
                <w:sz w:val="18"/>
                <w:szCs w:val="18"/>
              </w:rPr>
            </w:pPr>
            <w:r w:rsidRPr="00ED4F4E">
              <w:rPr>
                <w:color w:val="000000"/>
                <w:sz w:val="18"/>
                <w:szCs w:val="18"/>
              </w:rPr>
              <w:t>-</w:t>
            </w:r>
          </w:p>
        </w:tc>
      </w:tr>
      <w:tr w:rsidR="00224102" w:rsidRPr="00923A53" w14:paraId="5476AF50" w14:textId="77777777" w:rsidTr="00991C34">
        <w:tc>
          <w:tcPr>
            <w:tcW w:w="5072" w:type="dxa"/>
            <w:vAlign w:val="bottom"/>
          </w:tcPr>
          <w:p w14:paraId="5FEB55A4" w14:textId="39272F37" w:rsidR="00224102" w:rsidRPr="00923A53" w:rsidRDefault="00224102" w:rsidP="00224102">
            <w:pPr>
              <w:pStyle w:val="BodyTextIndent"/>
              <w:spacing w:after="0"/>
              <w:ind w:left="0"/>
              <w:rPr>
                <w:sz w:val="18"/>
                <w:szCs w:val="18"/>
              </w:rPr>
            </w:pPr>
            <w:r w:rsidRPr="00D67865">
              <w:rPr>
                <w:color w:val="000000"/>
                <w:sz w:val="18"/>
                <w:szCs w:val="18"/>
              </w:rPr>
              <w:t xml:space="preserve">Securitization </w:t>
            </w:r>
            <w:r>
              <w:rPr>
                <w:color w:val="000000"/>
                <w:sz w:val="18"/>
                <w:szCs w:val="18"/>
              </w:rPr>
              <w:t>P</w:t>
            </w:r>
            <w:r w:rsidRPr="00D67865">
              <w:rPr>
                <w:color w:val="000000"/>
                <w:sz w:val="18"/>
                <w:szCs w:val="18"/>
              </w:rPr>
              <w:t>ositions</w:t>
            </w:r>
          </w:p>
        </w:tc>
        <w:tc>
          <w:tcPr>
            <w:tcW w:w="1908" w:type="dxa"/>
            <w:vAlign w:val="bottom"/>
          </w:tcPr>
          <w:p w14:paraId="62415708" w14:textId="22176DD9" w:rsidR="00224102" w:rsidRPr="00ED4F4E" w:rsidRDefault="00224102" w:rsidP="00224102">
            <w:pPr>
              <w:jc w:val="right"/>
              <w:rPr>
                <w:color w:val="000000"/>
                <w:sz w:val="18"/>
                <w:szCs w:val="18"/>
              </w:rPr>
            </w:pPr>
            <w:r w:rsidRPr="00ED4F4E">
              <w:rPr>
                <w:color w:val="000000"/>
                <w:sz w:val="18"/>
                <w:szCs w:val="18"/>
              </w:rPr>
              <w:t>-</w:t>
            </w:r>
          </w:p>
        </w:tc>
        <w:tc>
          <w:tcPr>
            <w:tcW w:w="1652" w:type="dxa"/>
            <w:vAlign w:val="bottom"/>
          </w:tcPr>
          <w:p w14:paraId="7FB4C1AB" w14:textId="170F0EB5" w:rsidR="00224102" w:rsidRPr="00ED4F4E" w:rsidRDefault="00224102" w:rsidP="00224102">
            <w:pPr>
              <w:jc w:val="right"/>
              <w:rPr>
                <w:color w:val="000000"/>
                <w:sz w:val="18"/>
                <w:szCs w:val="18"/>
              </w:rPr>
            </w:pPr>
            <w:r w:rsidRPr="00ED4F4E">
              <w:rPr>
                <w:color w:val="000000"/>
                <w:sz w:val="18"/>
                <w:szCs w:val="18"/>
              </w:rPr>
              <w:t>-</w:t>
            </w:r>
          </w:p>
        </w:tc>
      </w:tr>
      <w:tr w:rsidR="00224102" w:rsidRPr="00CB2A99" w14:paraId="1FD3F276" w14:textId="77777777" w:rsidTr="00991C34">
        <w:tc>
          <w:tcPr>
            <w:tcW w:w="5072" w:type="dxa"/>
            <w:vAlign w:val="bottom"/>
          </w:tcPr>
          <w:p w14:paraId="68306302" w14:textId="1AF64D03" w:rsidR="00224102" w:rsidRPr="00CB2A99" w:rsidRDefault="00224102" w:rsidP="00224102">
            <w:pPr>
              <w:pStyle w:val="BodyTextIndent"/>
              <w:spacing w:after="0"/>
              <w:ind w:left="0"/>
              <w:rPr>
                <w:sz w:val="18"/>
                <w:szCs w:val="18"/>
              </w:rPr>
            </w:pPr>
            <w:r w:rsidRPr="00D67865">
              <w:rPr>
                <w:color w:val="000000"/>
                <w:sz w:val="18"/>
                <w:szCs w:val="18"/>
              </w:rPr>
              <w:t xml:space="preserve">Short-term </w:t>
            </w:r>
            <w:r>
              <w:rPr>
                <w:color w:val="000000"/>
                <w:sz w:val="18"/>
                <w:szCs w:val="18"/>
              </w:rPr>
              <w:t>R</w:t>
            </w:r>
            <w:r w:rsidRPr="00D67865">
              <w:rPr>
                <w:color w:val="000000"/>
                <w:sz w:val="18"/>
                <w:szCs w:val="18"/>
              </w:rPr>
              <w:t xml:space="preserve">eceivables </w:t>
            </w:r>
            <w:proofErr w:type="spellStart"/>
            <w:r w:rsidRPr="00D67865">
              <w:rPr>
                <w:color w:val="000000"/>
                <w:sz w:val="18"/>
                <w:szCs w:val="18"/>
              </w:rPr>
              <w:t>frorn</w:t>
            </w:r>
            <w:proofErr w:type="spellEnd"/>
            <w:r w:rsidRPr="00D67865">
              <w:rPr>
                <w:color w:val="000000"/>
                <w:sz w:val="18"/>
                <w:szCs w:val="18"/>
              </w:rPr>
              <w:t xml:space="preserve"> </w:t>
            </w:r>
            <w:r>
              <w:rPr>
                <w:color w:val="000000"/>
                <w:sz w:val="18"/>
                <w:szCs w:val="18"/>
              </w:rPr>
              <w:t>B</w:t>
            </w:r>
            <w:r w:rsidRPr="00D67865">
              <w:rPr>
                <w:color w:val="000000"/>
                <w:sz w:val="18"/>
                <w:szCs w:val="18"/>
              </w:rPr>
              <w:t xml:space="preserve">anks, </w:t>
            </w:r>
            <w:r>
              <w:rPr>
                <w:color w:val="000000"/>
                <w:sz w:val="18"/>
                <w:szCs w:val="18"/>
              </w:rPr>
              <w:t>B</w:t>
            </w:r>
            <w:r w:rsidRPr="00D67865">
              <w:rPr>
                <w:color w:val="000000"/>
                <w:sz w:val="18"/>
                <w:szCs w:val="18"/>
              </w:rPr>
              <w:t xml:space="preserve">rokerage </w:t>
            </w:r>
            <w:r>
              <w:rPr>
                <w:color w:val="000000"/>
                <w:sz w:val="18"/>
                <w:szCs w:val="18"/>
              </w:rPr>
              <w:t>H</w:t>
            </w:r>
            <w:r w:rsidRPr="00D67865">
              <w:rPr>
                <w:color w:val="000000"/>
                <w:sz w:val="18"/>
                <w:szCs w:val="18"/>
              </w:rPr>
              <w:t xml:space="preserve">ouses and </w:t>
            </w:r>
            <w:r>
              <w:rPr>
                <w:color w:val="000000"/>
                <w:sz w:val="18"/>
                <w:szCs w:val="18"/>
              </w:rPr>
              <w:t>C</w:t>
            </w:r>
            <w:r w:rsidRPr="00D67865">
              <w:rPr>
                <w:color w:val="000000"/>
                <w:sz w:val="18"/>
                <w:szCs w:val="18"/>
              </w:rPr>
              <w:t>orporates</w:t>
            </w:r>
          </w:p>
        </w:tc>
        <w:tc>
          <w:tcPr>
            <w:tcW w:w="1908" w:type="dxa"/>
            <w:vAlign w:val="bottom"/>
          </w:tcPr>
          <w:p w14:paraId="2353207D" w14:textId="0B4996A5" w:rsidR="00224102" w:rsidRPr="00ED4F4E" w:rsidRDefault="00224102" w:rsidP="00224102">
            <w:pPr>
              <w:jc w:val="right"/>
              <w:rPr>
                <w:color w:val="000000"/>
                <w:sz w:val="18"/>
                <w:szCs w:val="18"/>
              </w:rPr>
            </w:pPr>
            <w:r w:rsidRPr="00ED4F4E">
              <w:rPr>
                <w:color w:val="000000"/>
                <w:sz w:val="18"/>
                <w:szCs w:val="18"/>
              </w:rPr>
              <w:t>-</w:t>
            </w:r>
          </w:p>
        </w:tc>
        <w:tc>
          <w:tcPr>
            <w:tcW w:w="1652" w:type="dxa"/>
            <w:vAlign w:val="bottom"/>
          </w:tcPr>
          <w:p w14:paraId="4712304E" w14:textId="20DB345F" w:rsidR="00224102" w:rsidRPr="00ED4F4E" w:rsidRDefault="00224102" w:rsidP="00224102">
            <w:pPr>
              <w:jc w:val="right"/>
              <w:rPr>
                <w:color w:val="000000"/>
                <w:sz w:val="18"/>
                <w:szCs w:val="18"/>
              </w:rPr>
            </w:pPr>
            <w:r w:rsidRPr="00ED4F4E">
              <w:rPr>
                <w:color w:val="000000"/>
                <w:sz w:val="18"/>
                <w:szCs w:val="18"/>
              </w:rPr>
              <w:t>-</w:t>
            </w:r>
          </w:p>
        </w:tc>
      </w:tr>
      <w:tr w:rsidR="00224102" w:rsidRPr="00CB2A99" w14:paraId="4F750181" w14:textId="77777777" w:rsidTr="00991C34">
        <w:tc>
          <w:tcPr>
            <w:tcW w:w="5072" w:type="dxa"/>
            <w:vAlign w:val="bottom"/>
          </w:tcPr>
          <w:p w14:paraId="21094F58" w14:textId="39859916" w:rsidR="00224102" w:rsidRPr="00CB2A99" w:rsidRDefault="00224102" w:rsidP="00224102">
            <w:pPr>
              <w:pStyle w:val="BodyTextIndent"/>
              <w:spacing w:after="0"/>
              <w:ind w:left="0"/>
              <w:rPr>
                <w:sz w:val="18"/>
                <w:szCs w:val="18"/>
              </w:rPr>
            </w:pPr>
            <w:proofErr w:type="spellStart"/>
            <w:r w:rsidRPr="00D67865">
              <w:rPr>
                <w:color w:val="000000"/>
                <w:sz w:val="18"/>
                <w:szCs w:val="18"/>
              </w:rPr>
              <w:t>Investrnents</w:t>
            </w:r>
            <w:proofErr w:type="spellEnd"/>
            <w:r w:rsidRPr="00D67865">
              <w:rPr>
                <w:color w:val="000000"/>
                <w:sz w:val="18"/>
                <w:szCs w:val="18"/>
              </w:rPr>
              <w:t xml:space="preserve"> </w:t>
            </w:r>
            <w:r>
              <w:rPr>
                <w:color w:val="000000"/>
                <w:sz w:val="18"/>
                <w:szCs w:val="18"/>
              </w:rPr>
              <w:t>S</w:t>
            </w:r>
            <w:r w:rsidRPr="00D67865">
              <w:rPr>
                <w:color w:val="000000"/>
                <w:sz w:val="18"/>
                <w:szCs w:val="18"/>
              </w:rPr>
              <w:t>imilar to</w:t>
            </w:r>
            <w:r>
              <w:rPr>
                <w:color w:val="000000"/>
                <w:sz w:val="18"/>
                <w:szCs w:val="18"/>
              </w:rPr>
              <w:t xml:space="preserve"> C</w:t>
            </w:r>
            <w:r w:rsidRPr="00D67865">
              <w:rPr>
                <w:color w:val="000000"/>
                <w:sz w:val="18"/>
                <w:szCs w:val="18"/>
              </w:rPr>
              <w:t xml:space="preserve">ollective </w:t>
            </w:r>
            <w:proofErr w:type="spellStart"/>
            <w:r>
              <w:rPr>
                <w:color w:val="000000"/>
                <w:sz w:val="18"/>
                <w:szCs w:val="18"/>
              </w:rPr>
              <w:t>I</w:t>
            </w:r>
            <w:r w:rsidRPr="00D67865">
              <w:rPr>
                <w:color w:val="000000"/>
                <w:sz w:val="18"/>
                <w:szCs w:val="18"/>
              </w:rPr>
              <w:t>nvestrnent</w:t>
            </w:r>
            <w:proofErr w:type="spellEnd"/>
            <w:r w:rsidRPr="00D67865">
              <w:rPr>
                <w:color w:val="000000"/>
                <w:sz w:val="18"/>
                <w:szCs w:val="18"/>
              </w:rPr>
              <w:t xml:space="preserve"> </w:t>
            </w:r>
            <w:r>
              <w:rPr>
                <w:color w:val="000000"/>
                <w:sz w:val="18"/>
                <w:szCs w:val="18"/>
              </w:rPr>
              <w:t>F</w:t>
            </w:r>
            <w:r w:rsidRPr="00D67865">
              <w:rPr>
                <w:color w:val="000000"/>
                <w:sz w:val="18"/>
                <w:szCs w:val="18"/>
              </w:rPr>
              <w:t>unds</w:t>
            </w:r>
          </w:p>
        </w:tc>
        <w:tc>
          <w:tcPr>
            <w:tcW w:w="1908" w:type="dxa"/>
            <w:vAlign w:val="bottom"/>
          </w:tcPr>
          <w:p w14:paraId="7D359877" w14:textId="64EEF4CC" w:rsidR="00224102" w:rsidRPr="00ED4F4E" w:rsidRDefault="00224102" w:rsidP="00224102">
            <w:pPr>
              <w:jc w:val="right"/>
              <w:rPr>
                <w:color w:val="000000"/>
                <w:sz w:val="18"/>
                <w:szCs w:val="18"/>
              </w:rPr>
            </w:pPr>
            <w:r w:rsidRPr="00ED4F4E">
              <w:rPr>
                <w:color w:val="000000"/>
                <w:sz w:val="18"/>
                <w:szCs w:val="18"/>
              </w:rPr>
              <w:t>-</w:t>
            </w:r>
          </w:p>
        </w:tc>
        <w:tc>
          <w:tcPr>
            <w:tcW w:w="1652" w:type="dxa"/>
            <w:vAlign w:val="bottom"/>
          </w:tcPr>
          <w:p w14:paraId="0C270199" w14:textId="2720EF53" w:rsidR="00224102" w:rsidRPr="00ED4F4E" w:rsidRDefault="00224102" w:rsidP="00224102">
            <w:pPr>
              <w:jc w:val="right"/>
              <w:rPr>
                <w:color w:val="000000"/>
                <w:sz w:val="18"/>
                <w:szCs w:val="18"/>
              </w:rPr>
            </w:pPr>
            <w:r w:rsidRPr="00ED4F4E">
              <w:rPr>
                <w:color w:val="000000"/>
                <w:sz w:val="18"/>
                <w:szCs w:val="18"/>
              </w:rPr>
              <w:t>-</w:t>
            </w:r>
          </w:p>
        </w:tc>
      </w:tr>
      <w:tr w:rsidR="00224102" w:rsidRPr="00CB2A99" w14:paraId="735674EA" w14:textId="77777777" w:rsidTr="00991C34">
        <w:tc>
          <w:tcPr>
            <w:tcW w:w="5072" w:type="dxa"/>
            <w:vAlign w:val="bottom"/>
          </w:tcPr>
          <w:p w14:paraId="56C7912C" w14:textId="77777777" w:rsidR="00224102" w:rsidRPr="00CB2A99" w:rsidRDefault="00224102" w:rsidP="00224102">
            <w:pPr>
              <w:pStyle w:val="BodyTextIndent"/>
              <w:spacing w:after="0"/>
              <w:ind w:left="0"/>
              <w:rPr>
                <w:sz w:val="18"/>
                <w:szCs w:val="18"/>
              </w:rPr>
            </w:pPr>
            <w:r w:rsidRPr="00D67865">
              <w:rPr>
                <w:color w:val="000000"/>
                <w:sz w:val="18"/>
                <w:szCs w:val="18"/>
              </w:rPr>
              <w:t>Other Receivables</w:t>
            </w:r>
          </w:p>
        </w:tc>
        <w:tc>
          <w:tcPr>
            <w:tcW w:w="1908" w:type="dxa"/>
            <w:vAlign w:val="bottom"/>
          </w:tcPr>
          <w:p w14:paraId="4119209F" w14:textId="0990871C" w:rsidR="00224102" w:rsidRPr="00ED4F4E" w:rsidRDefault="00224102" w:rsidP="00224102">
            <w:pPr>
              <w:jc w:val="right"/>
              <w:rPr>
                <w:color w:val="000000"/>
                <w:sz w:val="18"/>
                <w:szCs w:val="18"/>
              </w:rPr>
            </w:pPr>
            <w:r w:rsidRPr="00ED4F4E">
              <w:rPr>
                <w:color w:val="000000"/>
                <w:sz w:val="18"/>
                <w:szCs w:val="18"/>
              </w:rPr>
              <w:t>366,957</w:t>
            </w:r>
          </w:p>
        </w:tc>
        <w:tc>
          <w:tcPr>
            <w:tcW w:w="1652" w:type="dxa"/>
            <w:vAlign w:val="bottom"/>
          </w:tcPr>
          <w:p w14:paraId="7C055338" w14:textId="641DC2F0" w:rsidR="00224102" w:rsidRPr="00ED4F4E" w:rsidRDefault="00224102" w:rsidP="00224102">
            <w:pPr>
              <w:jc w:val="right"/>
              <w:rPr>
                <w:color w:val="000000"/>
                <w:sz w:val="18"/>
                <w:szCs w:val="18"/>
              </w:rPr>
            </w:pPr>
            <w:r w:rsidRPr="00ED4F4E">
              <w:rPr>
                <w:color w:val="000000"/>
                <w:sz w:val="18"/>
                <w:szCs w:val="18"/>
              </w:rPr>
              <w:t>315,640</w:t>
            </w:r>
          </w:p>
        </w:tc>
      </w:tr>
      <w:tr w:rsidR="00224102" w:rsidRPr="00B020A3" w14:paraId="137638A8" w14:textId="77777777" w:rsidTr="00991C34">
        <w:tc>
          <w:tcPr>
            <w:tcW w:w="5072" w:type="dxa"/>
            <w:vAlign w:val="bottom"/>
          </w:tcPr>
          <w:p w14:paraId="56D032A9" w14:textId="77777777" w:rsidR="00224102" w:rsidRPr="00B020A3" w:rsidRDefault="00224102" w:rsidP="00224102">
            <w:pPr>
              <w:pStyle w:val="BodyTextIndent"/>
              <w:spacing w:after="0"/>
              <w:ind w:left="0"/>
              <w:rPr>
                <w:b/>
                <w:sz w:val="18"/>
                <w:szCs w:val="18"/>
              </w:rPr>
            </w:pPr>
            <w:r w:rsidRPr="00B020A3">
              <w:rPr>
                <w:b/>
                <w:sz w:val="18"/>
                <w:szCs w:val="18"/>
              </w:rPr>
              <w:t>Total</w:t>
            </w:r>
          </w:p>
        </w:tc>
        <w:tc>
          <w:tcPr>
            <w:tcW w:w="1908" w:type="dxa"/>
            <w:vAlign w:val="bottom"/>
          </w:tcPr>
          <w:p w14:paraId="0C346EC4" w14:textId="0D97CF82" w:rsidR="00224102" w:rsidRPr="00ED4F4E" w:rsidRDefault="00224102" w:rsidP="00224102">
            <w:pPr>
              <w:jc w:val="right"/>
              <w:rPr>
                <w:b/>
                <w:bCs/>
                <w:sz w:val="18"/>
                <w:szCs w:val="18"/>
              </w:rPr>
            </w:pPr>
            <w:r w:rsidRPr="00ED4F4E">
              <w:rPr>
                <w:b/>
                <w:bCs/>
                <w:sz w:val="18"/>
                <w:szCs w:val="18"/>
              </w:rPr>
              <w:t>16,231,915</w:t>
            </w:r>
          </w:p>
        </w:tc>
        <w:tc>
          <w:tcPr>
            <w:tcW w:w="1652" w:type="dxa"/>
            <w:vAlign w:val="bottom"/>
          </w:tcPr>
          <w:p w14:paraId="528A01DC" w14:textId="7126603A" w:rsidR="00224102" w:rsidRPr="00ED4F4E" w:rsidRDefault="00224102" w:rsidP="00224102">
            <w:pPr>
              <w:jc w:val="right"/>
              <w:rPr>
                <w:b/>
                <w:bCs/>
                <w:sz w:val="18"/>
                <w:szCs w:val="18"/>
              </w:rPr>
            </w:pPr>
            <w:r w:rsidRPr="00ED4F4E">
              <w:rPr>
                <w:b/>
                <w:bCs/>
                <w:sz w:val="18"/>
                <w:szCs w:val="18"/>
              </w:rPr>
              <w:t>15,013,640</w:t>
            </w:r>
          </w:p>
        </w:tc>
      </w:tr>
    </w:tbl>
    <w:p w14:paraId="39682F71"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6CF0D48B"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6E16D82C"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7D6FFD9A"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4C60F342"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3E60FD9F"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29EEA404"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4316EC78"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617A8837"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34C890E7"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0D6BCF7A"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7C0341D3"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240138EF"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5DF1F746"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26A81917"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19D746F9"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72CA7A19"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5CBB0166"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0D318AB0"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40A2333E"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299498EF"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44BBC045"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71CC00CA"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3A472A89"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5737AC00"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0DCE5ADD"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7F72DE62" w14:textId="425442AE" w:rsidR="00C12D19" w:rsidRDefault="00C12D19" w:rsidP="00CD0767">
      <w:pPr>
        <w:tabs>
          <w:tab w:val="left" w:pos="284"/>
          <w:tab w:val="left" w:pos="426"/>
          <w:tab w:val="left" w:pos="709"/>
          <w:tab w:val="left" w:pos="6115"/>
          <w:tab w:val="left" w:pos="7375"/>
        </w:tabs>
        <w:spacing w:before="60"/>
        <w:jc w:val="both"/>
        <w:rPr>
          <w:sz w:val="20"/>
          <w:szCs w:val="20"/>
        </w:rPr>
      </w:pPr>
      <w:r w:rsidRPr="00CB2A99">
        <w:rPr>
          <w:sz w:val="20"/>
          <w:szCs w:val="20"/>
          <w:vertAlign w:val="superscript"/>
        </w:rPr>
        <w:t>(</w:t>
      </w:r>
      <w:r w:rsidR="00B85547">
        <w:rPr>
          <w:sz w:val="20"/>
          <w:szCs w:val="20"/>
          <w:vertAlign w:val="superscript"/>
        </w:rPr>
        <w:t>*</w:t>
      </w:r>
      <w:r w:rsidRPr="00CB2A99">
        <w:rPr>
          <w:sz w:val="20"/>
          <w:szCs w:val="20"/>
          <w:vertAlign w:val="superscript"/>
        </w:rPr>
        <w:t>)</w:t>
      </w:r>
      <w:r w:rsidRPr="00CB2A99">
        <w:rPr>
          <w:sz w:val="20"/>
          <w:szCs w:val="20"/>
        </w:rPr>
        <w:tab/>
      </w:r>
      <w:r>
        <w:rPr>
          <w:sz w:val="20"/>
          <w:szCs w:val="20"/>
        </w:rPr>
        <w:t xml:space="preserve">Includes the </w:t>
      </w:r>
      <w:r w:rsidR="00B85547">
        <w:rPr>
          <w:sz w:val="20"/>
          <w:szCs w:val="20"/>
        </w:rPr>
        <w:t>r</w:t>
      </w:r>
      <w:r w:rsidRPr="00CB2A99">
        <w:rPr>
          <w:sz w:val="20"/>
          <w:szCs w:val="20"/>
        </w:rPr>
        <w:t>isk amounts</w:t>
      </w:r>
      <w:r>
        <w:rPr>
          <w:sz w:val="20"/>
          <w:szCs w:val="20"/>
        </w:rPr>
        <w:t xml:space="preserve"> after credit conversion</w:t>
      </w:r>
      <w:r w:rsidRPr="00CB2A99">
        <w:rPr>
          <w:sz w:val="20"/>
          <w:szCs w:val="20"/>
        </w:rPr>
        <w:t>.</w:t>
      </w:r>
    </w:p>
    <w:p w14:paraId="74CA41F2" w14:textId="2386F7C6" w:rsidR="00C12D19" w:rsidRDefault="00C12D19" w:rsidP="00991C34">
      <w:pPr>
        <w:tabs>
          <w:tab w:val="left" w:pos="284"/>
          <w:tab w:val="left" w:pos="426"/>
          <w:tab w:val="left" w:pos="709"/>
          <w:tab w:val="left" w:pos="6115"/>
          <w:tab w:val="left" w:pos="7375"/>
        </w:tabs>
        <w:spacing w:after="120"/>
        <w:jc w:val="both"/>
        <w:rPr>
          <w:sz w:val="20"/>
          <w:szCs w:val="20"/>
        </w:rPr>
      </w:pPr>
      <w:r w:rsidRPr="00CB2A99">
        <w:rPr>
          <w:sz w:val="20"/>
          <w:szCs w:val="20"/>
          <w:vertAlign w:val="superscript"/>
        </w:rPr>
        <w:t>(</w:t>
      </w:r>
      <w:r w:rsidR="00B85547">
        <w:rPr>
          <w:sz w:val="20"/>
          <w:szCs w:val="20"/>
          <w:vertAlign w:val="superscript"/>
        </w:rPr>
        <w:t>**</w:t>
      </w:r>
      <w:r w:rsidRPr="00CB2A99">
        <w:rPr>
          <w:sz w:val="20"/>
          <w:szCs w:val="20"/>
          <w:vertAlign w:val="superscript"/>
        </w:rPr>
        <w:t>)</w:t>
      </w:r>
      <w:r w:rsidRPr="00CB2A99">
        <w:rPr>
          <w:sz w:val="20"/>
          <w:szCs w:val="20"/>
          <w:vertAlign w:val="superscript"/>
        </w:rPr>
        <w:tab/>
      </w:r>
      <w:r w:rsidRPr="00CB2A99">
        <w:rPr>
          <w:sz w:val="20"/>
          <w:szCs w:val="20"/>
        </w:rPr>
        <w:t>Average risk amounts are calculated by the arithmetic average of the</w:t>
      </w:r>
      <w:r w:rsidR="00B30C53">
        <w:rPr>
          <w:sz w:val="20"/>
          <w:szCs w:val="20"/>
        </w:rPr>
        <w:t xml:space="preserve"> July-December</w:t>
      </w:r>
      <w:r>
        <w:rPr>
          <w:sz w:val="20"/>
          <w:szCs w:val="20"/>
        </w:rPr>
        <w:t xml:space="preserve"> </w:t>
      </w:r>
      <w:r w:rsidR="00B30C53">
        <w:rPr>
          <w:sz w:val="20"/>
          <w:szCs w:val="20"/>
        </w:rPr>
        <w:t xml:space="preserve">periods </w:t>
      </w:r>
      <w:r>
        <w:rPr>
          <w:sz w:val="20"/>
          <w:szCs w:val="20"/>
        </w:rPr>
        <w:t>risk amounts.</w:t>
      </w:r>
    </w:p>
    <w:p w14:paraId="4DDF2468" w14:textId="77777777" w:rsidR="00C12D19" w:rsidRPr="00BC1BD6" w:rsidRDefault="00C12D19" w:rsidP="00991C34">
      <w:pPr>
        <w:pStyle w:val="BodyTextIndent"/>
        <w:numPr>
          <w:ilvl w:val="1"/>
          <w:numId w:val="10"/>
        </w:numPr>
        <w:tabs>
          <w:tab w:val="clear" w:pos="786"/>
          <w:tab w:val="left" w:pos="0"/>
        </w:tabs>
        <w:spacing w:before="120"/>
        <w:ind w:left="0" w:firstLine="0"/>
        <w:jc w:val="both"/>
        <w:rPr>
          <w:b/>
          <w:sz w:val="20"/>
          <w:szCs w:val="20"/>
        </w:rPr>
      </w:pPr>
      <w:r w:rsidRPr="00BC1BD6">
        <w:rPr>
          <w:b/>
          <w:sz w:val="20"/>
          <w:szCs w:val="20"/>
        </w:rPr>
        <w:t>Information on types of loans and specific provisions:</w:t>
      </w:r>
    </w:p>
    <w:tbl>
      <w:tblPr>
        <w:tblW w:w="8789" w:type="dxa"/>
        <w:tblInd w:w="-7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308"/>
        <w:gridCol w:w="1264"/>
        <w:gridCol w:w="1304"/>
        <w:gridCol w:w="1304"/>
        <w:gridCol w:w="1304"/>
        <w:gridCol w:w="1305"/>
      </w:tblGrid>
      <w:tr w:rsidR="00C12D19" w:rsidRPr="00923A53" w14:paraId="53506273" w14:textId="77777777" w:rsidTr="00C12D19">
        <w:trPr>
          <w:trHeight w:val="360"/>
        </w:trPr>
        <w:tc>
          <w:tcPr>
            <w:tcW w:w="2308" w:type="dxa"/>
            <w:shd w:val="clear" w:color="auto" w:fill="auto"/>
            <w:noWrap/>
            <w:vAlign w:val="bottom"/>
          </w:tcPr>
          <w:p w14:paraId="6B2A5763" w14:textId="77777777" w:rsidR="00C12D19" w:rsidRPr="00923A53" w:rsidRDefault="00C12D19" w:rsidP="00C12D19">
            <w:pPr>
              <w:tabs>
                <w:tab w:val="left" w:pos="0"/>
              </w:tabs>
              <w:outlineLvl w:val="0"/>
              <w:rPr>
                <w:b/>
                <w:sz w:val="18"/>
                <w:szCs w:val="18"/>
              </w:rPr>
            </w:pPr>
            <w:r w:rsidRPr="00923A53">
              <w:rPr>
                <w:b/>
                <w:sz w:val="18"/>
                <w:szCs w:val="18"/>
              </w:rPr>
              <w:t xml:space="preserve">31 </w:t>
            </w:r>
            <w:r>
              <w:rPr>
                <w:b/>
                <w:sz w:val="18"/>
                <w:szCs w:val="18"/>
              </w:rPr>
              <w:t>December 2015</w:t>
            </w:r>
          </w:p>
        </w:tc>
        <w:tc>
          <w:tcPr>
            <w:tcW w:w="1264" w:type="dxa"/>
            <w:shd w:val="clear" w:color="auto" w:fill="auto"/>
            <w:noWrap/>
            <w:vAlign w:val="bottom"/>
          </w:tcPr>
          <w:p w14:paraId="52676973" w14:textId="2AE836C9" w:rsidR="00C12D19" w:rsidRPr="00923A53" w:rsidRDefault="00B85547" w:rsidP="00C12D19">
            <w:pPr>
              <w:tabs>
                <w:tab w:val="left" w:pos="0"/>
              </w:tabs>
              <w:ind w:right="-50"/>
              <w:jc w:val="right"/>
              <w:rPr>
                <w:b/>
                <w:bCs/>
                <w:sz w:val="18"/>
                <w:szCs w:val="18"/>
              </w:rPr>
            </w:pPr>
            <w:r>
              <w:rPr>
                <w:b/>
                <w:bCs/>
                <w:sz w:val="18"/>
                <w:szCs w:val="18"/>
              </w:rPr>
              <w:t>Corporate/ Commercial</w:t>
            </w:r>
          </w:p>
        </w:tc>
        <w:tc>
          <w:tcPr>
            <w:tcW w:w="1304" w:type="dxa"/>
            <w:shd w:val="clear" w:color="auto" w:fill="auto"/>
            <w:vAlign w:val="bottom"/>
          </w:tcPr>
          <w:p w14:paraId="64453D9D" w14:textId="77777777" w:rsidR="00C12D19" w:rsidRPr="00923A53" w:rsidRDefault="00C12D19" w:rsidP="00C12D19">
            <w:pPr>
              <w:tabs>
                <w:tab w:val="left" w:pos="0"/>
              </w:tabs>
              <w:ind w:right="-50"/>
              <w:jc w:val="right"/>
              <w:rPr>
                <w:b/>
                <w:bCs/>
                <w:sz w:val="18"/>
                <w:szCs w:val="18"/>
              </w:rPr>
            </w:pPr>
            <w:r>
              <w:rPr>
                <w:b/>
                <w:bCs/>
                <w:sz w:val="18"/>
                <w:szCs w:val="18"/>
              </w:rPr>
              <w:t>SME</w:t>
            </w:r>
          </w:p>
        </w:tc>
        <w:tc>
          <w:tcPr>
            <w:tcW w:w="1304" w:type="dxa"/>
            <w:shd w:val="clear" w:color="auto" w:fill="auto"/>
            <w:vAlign w:val="bottom"/>
          </w:tcPr>
          <w:p w14:paraId="4F598BE6" w14:textId="77777777" w:rsidR="00C12D19" w:rsidRPr="00923A53" w:rsidRDefault="00C12D19" w:rsidP="00C12D19">
            <w:pPr>
              <w:tabs>
                <w:tab w:val="left" w:pos="0"/>
              </w:tabs>
              <w:ind w:right="-50"/>
              <w:jc w:val="right"/>
              <w:rPr>
                <w:b/>
                <w:bCs/>
                <w:sz w:val="18"/>
                <w:szCs w:val="18"/>
              </w:rPr>
            </w:pPr>
            <w:r>
              <w:rPr>
                <w:b/>
                <w:bCs/>
                <w:sz w:val="18"/>
                <w:szCs w:val="18"/>
              </w:rPr>
              <w:t>Consumer</w:t>
            </w:r>
          </w:p>
        </w:tc>
        <w:tc>
          <w:tcPr>
            <w:tcW w:w="1304" w:type="dxa"/>
            <w:shd w:val="clear" w:color="auto" w:fill="auto"/>
            <w:noWrap/>
            <w:vAlign w:val="bottom"/>
          </w:tcPr>
          <w:p w14:paraId="3958C48E" w14:textId="77777777" w:rsidR="00C12D19" w:rsidRPr="00923A53" w:rsidRDefault="00C12D19" w:rsidP="00C12D19">
            <w:pPr>
              <w:tabs>
                <w:tab w:val="left" w:pos="0"/>
              </w:tabs>
              <w:ind w:right="-50"/>
              <w:jc w:val="right"/>
              <w:rPr>
                <w:b/>
                <w:bCs/>
                <w:sz w:val="18"/>
                <w:szCs w:val="18"/>
              </w:rPr>
            </w:pPr>
            <w:r>
              <w:rPr>
                <w:b/>
                <w:bCs/>
                <w:sz w:val="18"/>
                <w:szCs w:val="18"/>
              </w:rPr>
              <w:t>Credit Cards</w:t>
            </w:r>
          </w:p>
        </w:tc>
        <w:tc>
          <w:tcPr>
            <w:tcW w:w="1305" w:type="dxa"/>
            <w:shd w:val="clear" w:color="auto" w:fill="auto"/>
            <w:noWrap/>
            <w:vAlign w:val="bottom"/>
          </w:tcPr>
          <w:p w14:paraId="1D7958CD" w14:textId="77777777" w:rsidR="00C12D19" w:rsidRPr="00923A53" w:rsidRDefault="00C12D19" w:rsidP="00C12D19">
            <w:pPr>
              <w:tabs>
                <w:tab w:val="left" w:pos="0"/>
              </w:tabs>
              <w:ind w:right="-50"/>
              <w:jc w:val="right"/>
              <w:rPr>
                <w:b/>
                <w:bCs/>
                <w:sz w:val="18"/>
                <w:szCs w:val="18"/>
              </w:rPr>
            </w:pPr>
            <w:r>
              <w:rPr>
                <w:b/>
                <w:bCs/>
                <w:sz w:val="18"/>
                <w:szCs w:val="18"/>
              </w:rPr>
              <w:t>Total</w:t>
            </w:r>
          </w:p>
        </w:tc>
      </w:tr>
      <w:tr w:rsidR="00224102" w:rsidRPr="00923A53" w14:paraId="05A6DAE2" w14:textId="77777777" w:rsidTr="00C12D19">
        <w:trPr>
          <w:trHeight w:val="240"/>
        </w:trPr>
        <w:tc>
          <w:tcPr>
            <w:tcW w:w="2308" w:type="dxa"/>
            <w:shd w:val="clear" w:color="auto" w:fill="auto"/>
            <w:noWrap/>
            <w:vAlign w:val="bottom"/>
          </w:tcPr>
          <w:p w14:paraId="4DDDB589" w14:textId="77777777" w:rsidR="00224102" w:rsidRPr="00195EDC" w:rsidRDefault="00224102" w:rsidP="00224102">
            <w:pPr>
              <w:tabs>
                <w:tab w:val="left" w:pos="0"/>
              </w:tabs>
              <w:outlineLvl w:val="0"/>
              <w:rPr>
                <w:sz w:val="18"/>
                <w:szCs w:val="18"/>
              </w:rPr>
            </w:pPr>
            <w:r w:rsidRPr="00195EDC">
              <w:rPr>
                <w:sz w:val="18"/>
                <w:szCs w:val="18"/>
              </w:rPr>
              <w:t>Standard Loans</w:t>
            </w:r>
          </w:p>
        </w:tc>
        <w:tc>
          <w:tcPr>
            <w:tcW w:w="1264" w:type="dxa"/>
            <w:shd w:val="clear" w:color="auto" w:fill="auto"/>
            <w:noWrap/>
            <w:vAlign w:val="bottom"/>
          </w:tcPr>
          <w:p w14:paraId="4D8A27DA" w14:textId="00E430AA" w:rsidR="00224102" w:rsidRPr="00195EDC" w:rsidRDefault="00224102" w:rsidP="00224102">
            <w:pPr>
              <w:ind w:right="-50"/>
              <w:jc w:val="right"/>
              <w:rPr>
                <w:rFonts w:eastAsia="Arial Unicode MS"/>
                <w:sz w:val="18"/>
                <w:szCs w:val="18"/>
              </w:rPr>
            </w:pPr>
            <w:r w:rsidRPr="00E46F2D">
              <w:rPr>
                <w:rFonts w:eastAsia="Arial Unicode MS"/>
                <w:sz w:val="18"/>
                <w:szCs w:val="18"/>
              </w:rPr>
              <w:t>5,140,130</w:t>
            </w:r>
          </w:p>
        </w:tc>
        <w:tc>
          <w:tcPr>
            <w:tcW w:w="1304" w:type="dxa"/>
            <w:shd w:val="clear" w:color="auto" w:fill="auto"/>
            <w:vAlign w:val="bottom"/>
          </w:tcPr>
          <w:p w14:paraId="4827C34A" w14:textId="1ADD53C3" w:rsidR="00224102" w:rsidRPr="00195EDC" w:rsidRDefault="00224102" w:rsidP="00224102">
            <w:pPr>
              <w:ind w:right="-50"/>
              <w:jc w:val="right"/>
              <w:rPr>
                <w:rFonts w:eastAsia="Arial Unicode MS"/>
                <w:sz w:val="18"/>
                <w:szCs w:val="18"/>
              </w:rPr>
            </w:pPr>
            <w:r w:rsidRPr="00E46F2D">
              <w:rPr>
                <w:rFonts w:eastAsia="Arial Unicode MS"/>
                <w:sz w:val="18"/>
                <w:szCs w:val="18"/>
              </w:rPr>
              <w:t>3,205,170</w:t>
            </w:r>
          </w:p>
        </w:tc>
        <w:tc>
          <w:tcPr>
            <w:tcW w:w="1304" w:type="dxa"/>
            <w:shd w:val="clear" w:color="auto" w:fill="auto"/>
            <w:vAlign w:val="bottom"/>
          </w:tcPr>
          <w:p w14:paraId="387BD9B5" w14:textId="1D23DF34" w:rsidR="00224102" w:rsidRPr="00195EDC" w:rsidRDefault="00224102" w:rsidP="00224102">
            <w:pPr>
              <w:ind w:right="-50"/>
              <w:jc w:val="right"/>
              <w:rPr>
                <w:rFonts w:eastAsia="Arial Unicode MS"/>
                <w:sz w:val="18"/>
                <w:szCs w:val="18"/>
              </w:rPr>
            </w:pPr>
            <w:r w:rsidRPr="00E46F2D">
              <w:rPr>
                <w:rFonts w:eastAsia="Arial Unicode MS"/>
                <w:sz w:val="18"/>
                <w:szCs w:val="18"/>
              </w:rPr>
              <w:t>194,351</w:t>
            </w:r>
          </w:p>
        </w:tc>
        <w:tc>
          <w:tcPr>
            <w:tcW w:w="1304" w:type="dxa"/>
            <w:shd w:val="clear" w:color="auto" w:fill="auto"/>
            <w:noWrap/>
            <w:vAlign w:val="bottom"/>
          </w:tcPr>
          <w:p w14:paraId="025BB6D8" w14:textId="3D4F5F51" w:rsidR="00224102" w:rsidRPr="00195EDC" w:rsidRDefault="00224102" w:rsidP="00224102">
            <w:pPr>
              <w:ind w:right="-50"/>
              <w:jc w:val="right"/>
              <w:rPr>
                <w:rFonts w:eastAsia="Arial Unicode MS"/>
                <w:sz w:val="18"/>
                <w:szCs w:val="18"/>
              </w:rPr>
            </w:pPr>
            <w:r w:rsidRPr="00E46F2D">
              <w:rPr>
                <w:rFonts w:eastAsia="Arial Unicode MS"/>
                <w:sz w:val="18"/>
                <w:szCs w:val="18"/>
              </w:rPr>
              <w:t>59,709</w:t>
            </w:r>
          </w:p>
        </w:tc>
        <w:tc>
          <w:tcPr>
            <w:tcW w:w="1305" w:type="dxa"/>
            <w:shd w:val="clear" w:color="auto" w:fill="auto"/>
            <w:noWrap/>
            <w:vAlign w:val="bottom"/>
          </w:tcPr>
          <w:p w14:paraId="138237E4" w14:textId="453C0D3D" w:rsidR="00224102" w:rsidRPr="00195EDC" w:rsidRDefault="00224102" w:rsidP="00224102">
            <w:pPr>
              <w:ind w:right="-50"/>
              <w:jc w:val="right"/>
              <w:rPr>
                <w:rFonts w:eastAsia="Arial Unicode MS"/>
                <w:sz w:val="18"/>
                <w:szCs w:val="18"/>
              </w:rPr>
            </w:pPr>
            <w:r w:rsidRPr="00E46F2D">
              <w:rPr>
                <w:rFonts w:eastAsia="Arial Unicode MS"/>
                <w:sz w:val="18"/>
                <w:szCs w:val="18"/>
              </w:rPr>
              <w:t>8,599,360</w:t>
            </w:r>
          </w:p>
        </w:tc>
      </w:tr>
      <w:tr w:rsidR="00224102" w:rsidRPr="00923A53" w14:paraId="3B7E68EC" w14:textId="77777777" w:rsidTr="00C12D19">
        <w:trPr>
          <w:trHeight w:val="240"/>
        </w:trPr>
        <w:tc>
          <w:tcPr>
            <w:tcW w:w="2308" w:type="dxa"/>
            <w:shd w:val="clear" w:color="auto" w:fill="auto"/>
            <w:noWrap/>
            <w:vAlign w:val="bottom"/>
          </w:tcPr>
          <w:p w14:paraId="6D27CB4B" w14:textId="472EBCE3" w:rsidR="00224102" w:rsidRPr="00195EDC" w:rsidRDefault="00224102" w:rsidP="00224102">
            <w:pPr>
              <w:tabs>
                <w:tab w:val="left" w:pos="0"/>
              </w:tabs>
              <w:outlineLvl w:val="0"/>
              <w:rPr>
                <w:sz w:val="18"/>
                <w:szCs w:val="18"/>
              </w:rPr>
            </w:pPr>
            <w:r w:rsidRPr="00195EDC">
              <w:rPr>
                <w:sz w:val="18"/>
                <w:szCs w:val="18"/>
              </w:rPr>
              <w:t>Loans under Close Monitoring</w:t>
            </w:r>
          </w:p>
        </w:tc>
        <w:tc>
          <w:tcPr>
            <w:tcW w:w="1264" w:type="dxa"/>
            <w:shd w:val="clear" w:color="auto" w:fill="auto"/>
            <w:noWrap/>
            <w:vAlign w:val="bottom"/>
          </w:tcPr>
          <w:p w14:paraId="2AAEE91E" w14:textId="1A8E8BE6" w:rsidR="00224102" w:rsidRPr="00195EDC" w:rsidRDefault="00224102" w:rsidP="00224102">
            <w:pPr>
              <w:ind w:right="-50"/>
              <w:jc w:val="right"/>
              <w:rPr>
                <w:rFonts w:eastAsia="Arial Unicode MS"/>
                <w:sz w:val="18"/>
                <w:szCs w:val="18"/>
              </w:rPr>
            </w:pPr>
            <w:r w:rsidRPr="00E46F2D">
              <w:rPr>
                <w:rFonts w:eastAsia="Arial Unicode MS"/>
                <w:sz w:val="18"/>
                <w:szCs w:val="18"/>
              </w:rPr>
              <w:t>126,215</w:t>
            </w:r>
          </w:p>
        </w:tc>
        <w:tc>
          <w:tcPr>
            <w:tcW w:w="1304" w:type="dxa"/>
            <w:shd w:val="clear" w:color="auto" w:fill="auto"/>
            <w:vAlign w:val="bottom"/>
          </w:tcPr>
          <w:p w14:paraId="1331FAE5" w14:textId="4916AFD1" w:rsidR="00224102" w:rsidRPr="00195EDC" w:rsidRDefault="00224102" w:rsidP="00224102">
            <w:pPr>
              <w:ind w:right="-50"/>
              <w:jc w:val="right"/>
              <w:rPr>
                <w:rFonts w:eastAsia="Arial Unicode MS"/>
                <w:sz w:val="18"/>
                <w:szCs w:val="18"/>
              </w:rPr>
            </w:pPr>
            <w:r w:rsidRPr="00E46F2D">
              <w:rPr>
                <w:rFonts w:eastAsia="Arial Unicode MS"/>
                <w:sz w:val="18"/>
                <w:szCs w:val="18"/>
              </w:rPr>
              <w:t>311,406</w:t>
            </w:r>
          </w:p>
        </w:tc>
        <w:tc>
          <w:tcPr>
            <w:tcW w:w="1304" w:type="dxa"/>
            <w:shd w:val="clear" w:color="auto" w:fill="auto"/>
            <w:vAlign w:val="bottom"/>
          </w:tcPr>
          <w:p w14:paraId="7F72D23E" w14:textId="3C12F172" w:rsidR="00224102" w:rsidRPr="00195EDC" w:rsidRDefault="00224102" w:rsidP="00224102">
            <w:pPr>
              <w:ind w:right="-50"/>
              <w:jc w:val="right"/>
              <w:rPr>
                <w:rFonts w:eastAsia="Arial Unicode MS"/>
                <w:sz w:val="18"/>
                <w:szCs w:val="18"/>
              </w:rPr>
            </w:pPr>
            <w:r w:rsidRPr="00E46F2D">
              <w:rPr>
                <w:rFonts w:eastAsia="Arial Unicode MS"/>
                <w:sz w:val="18"/>
                <w:szCs w:val="18"/>
              </w:rPr>
              <w:t>27,425</w:t>
            </w:r>
          </w:p>
        </w:tc>
        <w:tc>
          <w:tcPr>
            <w:tcW w:w="1304" w:type="dxa"/>
            <w:shd w:val="clear" w:color="auto" w:fill="auto"/>
            <w:noWrap/>
            <w:vAlign w:val="bottom"/>
          </w:tcPr>
          <w:p w14:paraId="72F8976C" w14:textId="593A3DF1" w:rsidR="00224102" w:rsidRPr="00195EDC" w:rsidRDefault="00224102" w:rsidP="00224102">
            <w:pPr>
              <w:ind w:right="-50"/>
              <w:jc w:val="right"/>
              <w:rPr>
                <w:rFonts w:eastAsia="Arial Unicode MS"/>
                <w:sz w:val="18"/>
                <w:szCs w:val="18"/>
              </w:rPr>
            </w:pPr>
            <w:r w:rsidRPr="00E46F2D">
              <w:rPr>
                <w:rFonts w:eastAsia="Arial Unicode MS"/>
                <w:sz w:val="18"/>
                <w:szCs w:val="18"/>
              </w:rPr>
              <w:t>5,415</w:t>
            </w:r>
          </w:p>
        </w:tc>
        <w:tc>
          <w:tcPr>
            <w:tcW w:w="1305" w:type="dxa"/>
            <w:shd w:val="clear" w:color="auto" w:fill="auto"/>
            <w:noWrap/>
            <w:vAlign w:val="bottom"/>
          </w:tcPr>
          <w:p w14:paraId="45D5F0A9" w14:textId="55CA7A87" w:rsidR="00224102" w:rsidRPr="00195EDC" w:rsidRDefault="00224102" w:rsidP="00224102">
            <w:pPr>
              <w:ind w:right="-50"/>
              <w:jc w:val="right"/>
              <w:rPr>
                <w:rFonts w:eastAsia="Arial Unicode MS"/>
                <w:sz w:val="18"/>
                <w:szCs w:val="18"/>
              </w:rPr>
            </w:pPr>
            <w:r w:rsidRPr="00E46F2D">
              <w:rPr>
                <w:rFonts w:eastAsia="Arial Unicode MS"/>
                <w:sz w:val="18"/>
                <w:szCs w:val="18"/>
              </w:rPr>
              <w:t>470,461</w:t>
            </w:r>
          </w:p>
        </w:tc>
      </w:tr>
      <w:tr w:rsidR="00224102" w:rsidRPr="00923A53" w14:paraId="38446E93" w14:textId="77777777" w:rsidTr="00C12D19">
        <w:trPr>
          <w:trHeight w:val="240"/>
        </w:trPr>
        <w:tc>
          <w:tcPr>
            <w:tcW w:w="2308" w:type="dxa"/>
            <w:shd w:val="clear" w:color="auto" w:fill="auto"/>
            <w:noWrap/>
            <w:vAlign w:val="bottom"/>
          </w:tcPr>
          <w:p w14:paraId="7B8C044A" w14:textId="67113CCF" w:rsidR="00224102" w:rsidRPr="00195EDC" w:rsidRDefault="00224102" w:rsidP="00224102">
            <w:pPr>
              <w:tabs>
                <w:tab w:val="left" w:pos="0"/>
              </w:tabs>
              <w:outlineLvl w:val="0"/>
              <w:rPr>
                <w:sz w:val="18"/>
                <w:szCs w:val="18"/>
              </w:rPr>
            </w:pPr>
            <w:r w:rsidRPr="00195EDC">
              <w:rPr>
                <w:sz w:val="18"/>
                <w:szCs w:val="18"/>
              </w:rPr>
              <w:t>Non-performing Loans</w:t>
            </w:r>
          </w:p>
        </w:tc>
        <w:tc>
          <w:tcPr>
            <w:tcW w:w="1264" w:type="dxa"/>
            <w:shd w:val="clear" w:color="auto" w:fill="auto"/>
            <w:noWrap/>
            <w:vAlign w:val="bottom"/>
          </w:tcPr>
          <w:p w14:paraId="458D93ED" w14:textId="3E8FAE41" w:rsidR="00224102" w:rsidRPr="00195EDC" w:rsidRDefault="00224102" w:rsidP="00224102">
            <w:pPr>
              <w:ind w:right="-50"/>
              <w:jc w:val="right"/>
              <w:rPr>
                <w:rFonts w:eastAsia="Arial Unicode MS"/>
                <w:sz w:val="18"/>
                <w:szCs w:val="18"/>
              </w:rPr>
            </w:pPr>
            <w:r w:rsidRPr="00E46F2D">
              <w:rPr>
                <w:rFonts w:eastAsia="Arial Unicode MS"/>
                <w:sz w:val="18"/>
                <w:szCs w:val="18"/>
              </w:rPr>
              <w:t>192,242</w:t>
            </w:r>
          </w:p>
        </w:tc>
        <w:tc>
          <w:tcPr>
            <w:tcW w:w="1304" w:type="dxa"/>
            <w:shd w:val="clear" w:color="auto" w:fill="auto"/>
            <w:vAlign w:val="bottom"/>
          </w:tcPr>
          <w:p w14:paraId="6370CD7A" w14:textId="51926658" w:rsidR="00224102" w:rsidRPr="00195EDC" w:rsidRDefault="00224102" w:rsidP="00224102">
            <w:pPr>
              <w:ind w:right="-50"/>
              <w:jc w:val="right"/>
              <w:rPr>
                <w:rFonts w:eastAsia="Arial Unicode MS"/>
                <w:sz w:val="18"/>
                <w:szCs w:val="18"/>
              </w:rPr>
            </w:pPr>
            <w:r w:rsidRPr="00E46F2D">
              <w:rPr>
                <w:rFonts w:eastAsia="Arial Unicode MS"/>
                <w:sz w:val="18"/>
                <w:szCs w:val="18"/>
              </w:rPr>
              <w:t>286,807</w:t>
            </w:r>
          </w:p>
        </w:tc>
        <w:tc>
          <w:tcPr>
            <w:tcW w:w="1304" w:type="dxa"/>
            <w:shd w:val="clear" w:color="auto" w:fill="auto"/>
            <w:vAlign w:val="bottom"/>
          </w:tcPr>
          <w:p w14:paraId="7987AE1D" w14:textId="0FC38902" w:rsidR="00224102" w:rsidRPr="00195EDC" w:rsidRDefault="00224102" w:rsidP="00224102">
            <w:pPr>
              <w:ind w:right="-50"/>
              <w:jc w:val="right"/>
              <w:rPr>
                <w:rFonts w:eastAsia="Arial Unicode MS"/>
                <w:sz w:val="18"/>
                <w:szCs w:val="18"/>
              </w:rPr>
            </w:pPr>
            <w:r w:rsidRPr="00E46F2D">
              <w:rPr>
                <w:rFonts w:eastAsia="Arial Unicode MS"/>
                <w:sz w:val="18"/>
                <w:szCs w:val="18"/>
              </w:rPr>
              <w:t>32,648</w:t>
            </w:r>
          </w:p>
        </w:tc>
        <w:tc>
          <w:tcPr>
            <w:tcW w:w="1304" w:type="dxa"/>
            <w:shd w:val="clear" w:color="auto" w:fill="auto"/>
            <w:noWrap/>
            <w:vAlign w:val="bottom"/>
          </w:tcPr>
          <w:p w14:paraId="652F84D8" w14:textId="50BE2A75" w:rsidR="00224102" w:rsidRPr="00195EDC" w:rsidRDefault="00224102" w:rsidP="00224102">
            <w:pPr>
              <w:ind w:right="-50"/>
              <w:jc w:val="right"/>
              <w:rPr>
                <w:rFonts w:eastAsia="Arial Unicode MS"/>
                <w:sz w:val="18"/>
                <w:szCs w:val="18"/>
              </w:rPr>
            </w:pPr>
            <w:r w:rsidRPr="00E46F2D">
              <w:rPr>
                <w:rFonts w:eastAsia="Arial Unicode MS"/>
                <w:sz w:val="18"/>
                <w:szCs w:val="18"/>
              </w:rPr>
              <w:t>5,644</w:t>
            </w:r>
          </w:p>
        </w:tc>
        <w:tc>
          <w:tcPr>
            <w:tcW w:w="1305" w:type="dxa"/>
            <w:shd w:val="clear" w:color="auto" w:fill="auto"/>
            <w:noWrap/>
            <w:vAlign w:val="bottom"/>
          </w:tcPr>
          <w:p w14:paraId="6B084B7A" w14:textId="1A5C3A7C" w:rsidR="00224102" w:rsidRPr="00195EDC" w:rsidRDefault="00224102" w:rsidP="00224102">
            <w:pPr>
              <w:ind w:right="-50"/>
              <w:jc w:val="right"/>
              <w:rPr>
                <w:rFonts w:eastAsia="Arial Unicode MS"/>
                <w:sz w:val="18"/>
                <w:szCs w:val="18"/>
              </w:rPr>
            </w:pPr>
            <w:r w:rsidRPr="00E46F2D">
              <w:rPr>
                <w:rFonts w:eastAsia="Arial Unicode MS"/>
                <w:sz w:val="18"/>
                <w:szCs w:val="18"/>
              </w:rPr>
              <w:t>517,341</w:t>
            </w:r>
          </w:p>
        </w:tc>
      </w:tr>
      <w:tr w:rsidR="00224102" w:rsidRPr="00923A53" w14:paraId="29273651" w14:textId="77777777" w:rsidTr="00C12D19">
        <w:trPr>
          <w:trHeight w:val="240"/>
        </w:trPr>
        <w:tc>
          <w:tcPr>
            <w:tcW w:w="2308" w:type="dxa"/>
            <w:shd w:val="clear" w:color="auto" w:fill="auto"/>
            <w:noWrap/>
            <w:vAlign w:val="bottom"/>
          </w:tcPr>
          <w:p w14:paraId="3452BC91" w14:textId="1B56C411" w:rsidR="00224102" w:rsidRPr="00195EDC" w:rsidRDefault="00224102" w:rsidP="00224102">
            <w:pPr>
              <w:tabs>
                <w:tab w:val="left" w:pos="0"/>
              </w:tabs>
              <w:outlineLvl w:val="0"/>
              <w:rPr>
                <w:sz w:val="18"/>
                <w:szCs w:val="18"/>
              </w:rPr>
            </w:pPr>
            <w:r w:rsidRPr="00195EDC">
              <w:rPr>
                <w:sz w:val="18"/>
                <w:szCs w:val="18"/>
              </w:rPr>
              <w:t>Specific Provision (-)</w:t>
            </w:r>
          </w:p>
        </w:tc>
        <w:tc>
          <w:tcPr>
            <w:tcW w:w="1264" w:type="dxa"/>
            <w:shd w:val="clear" w:color="auto" w:fill="auto"/>
            <w:noWrap/>
            <w:vAlign w:val="bottom"/>
          </w:tcPr>
          <w:p w14:paraId="6518E53C" w14:textId="2BE1FBE7" w:rsidR="00224102" w:rsidRPr="00195EDC" w:rsidRDefault="00224102" w:rsidP="00224102">
            <w:pPr>
              <w:ind w:right="-50"/>
              <w:jc w:val="right"/>
              <w:rPr>
                <w:rFonts w:eastAsia="Arial Unicode MS"/>
                <w:sz w:val="18"/>
                <w:szCs w:val="18"/>
              </w:rPr>
            </w:pPr>
            <w:r w:rsidRPr="00E46F2D">
              <w:rPr>
                <w:rFonts w:eastAsia="Arial Unicode MS"/>
                <w:sz w:val="18"/>
                <w:szCs w:val="18"/>
              </w:rPr>
              <w:t>(117,677)</w:t>
            </w:r>
          </w:p>
        </w:tc>
        <w:tc>
          <w:tcPr>
            <w:tcW w:w="1304" w:type="dxa"/>
            <w:shd w:val="clear" w:color="auto" w:fill="auto"/>
            <w:vAlign w:val="bottom"/>
          </w:tcPr>
          <w:p w14:paraId="071F117B" w14:textId="131A9CD4" w:rsidR="00224102" w:rsidRPr="00195EDC" w:rsidRDefault="00224102" w:rsidP="00224102">
            <w:pPr>
              <w:ind w:right="-50"/>
              <w:jc w:val="right"/>
              <w:rPr>
                <w:rFonts w:eastAsia="Arial Unicode MS"/>
                <w:sz w:val="18"/>
                <w:szCs w:val="18"/>
              </w:rPr>
            </w:pPr>
            <w:r w:rsidRPr="00E46F2D">
              <w:rPr>
                <w:rFonts w:eastAsia="Arial Unicode MS"/>
                <w:sz w:val="18"/>
                <w:szCs w:val="18"/>
              </w:rPr>
              <w:t>(139,660)</w:t>
            </w:r>
          </w:p>
        </w:tc>
        <w:tc>
          <w:tcPr>
            <w:tcW w:w="1304" w:type="dxa"/>
            <w:shd w:val="clear" w:color="auto" w:fill="auto"/>
            <w:vAlign w:val="bottom"/>
          </w:tcPr>
          <w:p w14:paraId="4DEE57A0" w14:textId="1FABAA7B" w:rsidR="00224102" w:rsidRPr="00195EDC" w:rsidRDefault="00224102" w:rsidP="00224102">
            <w:pPr>
              <w:ind w:right="-50"/>
              <w:jc w:val="right"/>
              <w:rPr>
                <w:rFonts w:eastAsia="Arial Unicode MS"/>
                <w:sz w:val="18"/>
                <w:szCs w:val="18"/>
              </w:rPr>
            </w:pPr>
            <w:r w:rsidRPr="00E46F2D">
              <w:rPr>
                <w:rFonts w:eastAsia="Arial Unicode MS"/>
                <w:sz w:val="18"/>
                <w:szCs w:val="18"/>
              </w:rPr>
              <w:t>(20,701)</w:t>
            </w:r>
          </w:p>
        </w:tc>
        <w:tc>
          <w:tcPr>
            <w:tcW w:w="1304" w:type="dxa"/>
            <w:shd w:val="clear" w:color="auto" w:fill="auto"/>
            <w:noWrap/>
            <w:vAlign w:val="bottom"/>
          </w:tcPr>
          <w:p w14:paraId="4BA47AF4" w14:textId="04514F3A" w:rsidR="00224102" w:rsidRPr="00195EDC" w:rsidRDefault="00224102" w:rsidP="00224102">
            <w:pPr>
              <w:ind w:right="-50"/>
              <w:jc w:val="right"/>
              <w:rPr>
                <w:rFonts w:eastAsia="Arial Unicode MS"/>
                <w:sz w:val="18"/>
                <w:szCs w:val="18"/>
              </w:rPr>
            </w:pPr>
            <w:r w:rsidRPr="00E46F2D">
              <w:rPr>
                <w:rFonts w:eastAsia="Arial Unicode MS"/>
                <w:sz w:val="18"/>
                <w:szCs w:val="18"/>
              </w:rPr>
              <w:t>(3,462)</w:t>
            </w:r>
          </w:p>
        </w:tc>
        <w:tc>
          <w:tcPr>
            <w:tcW w:w="1305" w:type="dxa"/>
            <w:shd w:val="clear" w:color="auto" w:fill="auto"/>
            <w:noWrap/>
            <w:vAlign w:val="bottom"/>
          </w:tcPr>
          <w:p w14:paraId="000DB6B7" w14:textId="7A147119" w:rsidR="00224102" w:rsidRPr="00195EDC" w:rsidRDefault="00224102" w:rsidP="00224102">
            <w:pPr>
              <w:ind w:right="-50"/>
              <w:jc w:val="right"/>
              <w:rPr>
                <w:rFonts w:eastAsia="Arial Unicode MS"/>
                <w:sz w:val="18"/>
                <w:szCs w:val="18"/>
              </w:rPr>
            </w:pPr>
            <w:r w:rsidRPr="00E46F2D">
              <w:rPr>
                <w:rFonts w:eastAsia="Arial Unicode MS"/>
                <w:sz w:val="18"/>
                <w:szCs w:val="18"/>
              </w:rPr>
              <w:t>(281,500)</w:t>
            </w:r>
          </w:p>
        </w:tc>
      </w:tr>
      <w:tr w:rsidR="00224102" w:rsidRPr="00923A53" w14:paraId="1E414810" w14:textId="77777777" w:rsidTr="00C12D19">
        <w:trPr>
          <w:trHeight w:val="255"/>
        </w:trPr>
        <w:tc>
          <w:tcPr>
            <w:tcW w:w="2308" w:type="dxa"/>
            <w:shd w:val="clear" w:color="auto" w:fill="auto"/>
            <w:noWrap/>
            <w:vAlign w:val="bottom"/>
          </w:tcPr>
          <w:p w14:paraId="605B7EDE" w14:textId="77777777" w:rsidR="00224102" w:rsidRPr="00195EDC" w:rsidRDefault="00224102" w:rsidP="00224102">
            <w:pPr>
              <w:tabs>
                <w:tab w:val="left" w:pos="0"/>
              </w:tabs>
              <w:outlineLvl w:val="0"/>
              <w:rPr>
                <w:b/>
                <w:sz w:val="18"/>
                <w:szCs w:val="18"/>
              </w:rPr>
            </w:pPr>
            <w:r w:rsidRPr="00195EDC">
              <w:rPr>
                <w:b/>
                <w:sz w:val="18"/>
                <w:szCs w:val="18"/>
              </w:rPr>
              <w:t>Total</w:t>
            </w:r>
          </w:p>
        </w:tc>
        <w:tc>
          <w:tcPr>
            <w:tcW w:w="1264" w:type="dxa"/>
            <w:shd w:val="clear" w:color="auto" w:fill="auto"/>
            <w:noWrap/>
            <w:vAlign w:val="bottom"/>
          </w:tcPr>
          <w:p w14:paraId="311EF007" w14:textId="2CA4E268" w:rsidR="00224102" w:rsidRPr="00195EDC" w:rsidRDefault="00224102" w:rsidP="00224102">
            <w:pPr>
              <w:ind w:right="-50"/>
              <w:jc w:val="right"/>
              <w:rPr>
                <w:rFonts w:eastAsia="Arial Unicode MS"/>
                <w:b/>
                <w:sz w:val="18"/>
                <w:szCs w:val="18"/>
              </w:rPr>
            </w:pPr>
            <w:r w:rsidRPr="00E46F2D">
              <w:rPr>
                <w:rFonts w:eastAsia="Arial Unicode MS"/>
                <w:b/>
                <w:sz w:val="18"/>
                <w:szCs w:val="18"/>
              </w:rPr>
              <w:t>5,340,910</w:t>
            </w:r>
          </w:p>
        </w:tc>
        <w:tc>
          <w:tcPr>
            <w:tcW w:w="1304" w:type="dxa"/>
            <w:shd w:val="clear" w:color="auto" w:fill="auto"/>
            <w:vAlign w:val="bottom"/>
          </w:tcPr>
          <w:p w14:paraId="0AEB0D2B" w14:textId="1103844D" w:rsidR="00224102" w:rsidRPr="00195EDC" w:rsidRDefault="00224102" w:rsidP="00224102">
            <w:pPr>
              <w:ind w:right="-50"/>
              <w:jc w:val="right"/>
              <w:rPr>
                <w:rFonts w:eastAsia="Arial Unicode MS"/>
                <w:b/>
                <w:sz w:val="18"/>
                <w:szCs w:val="18"/>
              </w:rPr>
            </w:pPr>
            <w:r w:rsidRPr="00E46F2D">
              <w:rPr>
                <w:rFonts w:eastAsia="Arial Unicode MS"/>
                <w:b/>
                <w:sz w:val="18"/>
                <w:szCs w:val="18"/>
              </w:rPr>
              <w:t>3,663,723</w:t>
            </w:r>
          </w:p>
        </w:tc>
        <w:tc>
          <w:tcPr>
            <w:tcW w:w="1304" w:type="dxa"/>
            <w:shd w:val="clear" w:color="auto" w:fill="auto"/>
            <w:vAlign w:val="bottom"/>
          </w:tcPr>
          <w:p w14:paraId="7664EF2D" w14:textId="7EE87B26" w:rsidR="00224102" w:rsidRPr="00195EDC" w:rsidRDefault="00224102" w:rsidP="00224102">
            <w:pPr>
              <w:ind w:right="-50"/>
              <w:jc w:val="right"/>
              <w:rPr>
                <w:rFonts w:eastAsia="Arial Unicode MS"/>
                <w:b/>
                <w:sz w:val="18"/>
                <w:szCs w:val="18"/>
              </w:rPr>
            </w:pPr>
            <w:r w:rsidRPr="00E46F2D">
              <w:rPr>
                <w:rFonts w:eastAsia="Arial Unicode MS"/>
                <w:b/>
                <w:sz w:val="18"/>
                <w:szCs w:val="18"/>
              </w:rPr>
              <w:t>233,723</w:t>
            </w:r>
          </w:p>
        </w:tc>
        <w:tc>
          <w:tcPr>
            <w:tcW w:w="1304" w:type="dxa"/>
            <w:shd w:val="clear" w:color="auto" w:fill="auto"/>
            <w:noWrap/>
            <w:vAlign w:val="bottom"/>
          </w:tcPr>
          <w:p w14:paraId="19389945" w14:textId="438FDBFE" w:rsidR="00224102" w:rsidRPr="00195EDC" w:rsidRDefault="00224102" w:rsidP="00224102">
            <w:pPr>
              <w:ind w:right="-50"/>
              <w:jc w:val="right"/>
              <w:rPr>
                <w:rFonts w:eastAsia="Arial Unicode MS"/>
                <w:b/>
                <w:sz w:val="18"/>
                <w:szCs w:val="18"/>
              </w:rPr>
            </w:pPr>
            <w:r w:rsidRPr="00E46F2D">
              <w:rPr>
                <w:rFonts w:eastAsia="Arial Unicode MS"/>
                <w:b/>
                <w:sz w:val="18"/>
                <w:szCs w:val="18"/>
              </w:rPr>
              <w:t>67,306</w:t>
            </w:r>
          </w:p>
        </w:tc>
        <w:tc>
          <w:tcPr>
            <w:tcW w:w="1305" w:type="dxa"/>
            <w:shd w:val="clear" w:color="auto" w:fill="auto"/>
            <w:noWrap/>
            <w:vAlign w:val="bottom"/>
          </w:tcPr>
          <w:p w14:paraId="2B5CB2BA" w14:textId="2EA0D9B8" w:rsidR="00224102" w:rsidRPr="00195EDC" w:rsidRDefault="00224102" w:rsidP="00224102">
            <w:pPr>
              <w:ind w:right="-50"/>
              <w:jc w:val="right"/>
              <w:rPr>
                <w:rFonts w:eastAsia="Arial Unicode MS"/>
                <w:b/>
                <w:sz w:val="18"/>
                <w:szCs w:val="18"/>
              </w:rPr>
            </w:pPr>
            <w:r w:rsidRPr="00E46F2D">
              <w:rPr>
                <w:rFonts w:eastAsia="Arial Unicode MS"/>
                <w:b/>
                <w:sz w:val="18"/>
                <w:szCs w:val="18"/>
              </w:rPr>
              <w:t>9,305,662</w:t>
            </w:r>
          </w:p>
        </w:tc>
      </w:tr>
    </w:tbl>
    <w:p w14:paraId="49765405" w14:textId="05F8027F" w:rsidR="00C12D19" w:rsidRPr="007E00E2" w:rsidRDefault="00195EDC" w:rsidP="00980409">
      <w:pPr>
        <w:pStyle w:val="BodyTextIndent"/>
        <w:tabs>
          <w:tab w:val="left" w:pos="0"/>
          <w:tab w:val="left" w:pos="5793"/>
          <w:tab w:val="left" w:pos="6270"/>
        </w:tabs>
        <w:spacing w:after="0"/>
        <w:ind w:left="0"/>
        <w:rPr>
          <w:b/>
          <w:sz w:val="16"/>
          <w:szCs w:val="16"/>
        </w:rPr>
      </w:pPr>
      <w:r>
        <w:rPr>
          <w:b/>
          <w:sz w:val="16"/>
          <w:szCs w:val="16"/>
        </w:rPr>
        <w:tab/>
      </w:r>
      <w:r w:rsidR="00980409">
        <w:rPr>
          <w:b/>
          <w:sz w:val="16"/>
          <w:szCs w:val="16"/>
        </w:rPr>
        <w:tab/>
      </w:r>
    </w:p>
    <w:tbl>
      <w:tblPr>
        <w:tblW w:w="8789" w:type="dxa"/>
        <w:tblInd w:w="-7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308"/>
        <w:gridCol w:w="1264"/>
        <w:gridCol w:w="1304"/>
        <w:gridCol w:w="1304"/>
        <w:gridCol w:w="1304"/>
        <w:gridCol w:w="1305"/>
      </w:tblGrid>
      <w:tr w:rsidR="00C12D19" w:rsidRPr="00923A53" w14:paraId="2B183D41" w14:textId="77777777" w:rsidTr="00C12D19">
        <w:trPr>
          <w:trHeight w:val="360"/>
        </w:trPr>
        <w:tc>
          <w:tcPr>
            <w:tcW w:w="2308" w:type="dxa"/>
            <w:noWrap/>
            <w:vAlign w:val="bottom"/>
          </w:tcPr>
          <w:p w14:paraId="5B822539" w14:textId="77777777" w:rsidR="00C12D19" w:rsidRPr="00923A53" w:rsidRDefault="00C12D19" w:rsidP="00C12D19">
            <w:pPr>
              <w:tabs>
                <w:tab w:val="left" w:pos="0"/>
              </w:tabs>
              <w:outlineLvl w:val="0"/>
              <w:rPr>
                <w:b/>
                <w:sz w:val="18"/>
                <w:szCs w:val="18"/>
              </w:rPr>
            </w:pPr>
            <w:r w:rsidRPr="00923A53">
              <w:rPr>
                <w:b/>
                <w:sz w:val="18"/>
                <w:szCs w:val="18"/>
              </w:rPr>
              <w:t xml:space="preserve">31 </w:t>
            </w:r>
            <w:r>
              <w:rPr>
                <w:b/>
                <w:sz w:val="18"/>
                <w:szCs w:val="18"/>
              </w:rPr>
              <w:t>December</w:t>
            </w:r>
            <w:r w:rsidRPr="00923A53">
              <w:rPr>
                <w:b/>
                <w:sz w:val="18"/>
                <w:szCs w:val="18"/>
              </w:rPr>
              <w:t xml:space="preserve"> 201</w:t>
            </w:r>
            <w:r>
              <w:rPr>
                <w:b/>
                <w:sz w:val="18"/>
                <w:szCs w:val="18"/>
              </w:rPr>
              <w:t>4</w:t>
            </w:r>
          </w:p>
        </w:tc>
        <w:tc>
          <w:tcPr>
            <w:tcW w:w="1264" w:type="dxa"/>
            <w:noWrap/>
            <w:vAlign w:val="bottom"/>
          </w:tcPr>
          <w:p w14:paraId="2ADADAA5" w14:textId="42DBDDD7" w:rsidR="00C12D19" w:rsidRPr="00923A53" w:rsidRDefault="00B85547" w:rsidP="00C12D19">
            <w:pPr>
              <w:tabs>
                <w:tab w:val="left" w:pos="0"/>
              </w:tabs>
              <w:ind w:right="-38"/>
              <w:jc w:val="right"/>
              <w:rPr>
                <w:b/>
                <w:bCs/>
                <w:sz w:val="18"/>
                <w:szCs w:val="18"/>
              </w:rPr>
            </w:pPr>
            <w:r>
              <w:rPr>
                <w:b/>
                <w:bCs/>
                <w:sz w:val="18"/>
                <w:szCs w:val="18"/>
              </w:rPr>
              <w:t>Corporate/ Commercial</w:t>
            </w:r>
          </w:p>
        </w:tc>
        <w:tc>
          <w:tcPr>
            <w:tcW w:w="1304" w:type="dxa"/>
            <w:vAlign w:val="bottom"/>
          </w:tcPr>
          <w:p w14:paraId="2902A4BD" w14:textId="77777777" w:rsidR="00C12D19" w:rsidRPr="00923A53" w:rsidRDefault="00C12D19" w:rsidP="00C12D19">
            <w:pPr>
              <w:tabs>
                <w:tab w:val="left" w:pos="0"/>
              </w:tabs>
              <w:ind w:right="-38"/>
              <w:jc w:val="right"/>
              <w:rPr>
                <w:b/>
                <w:bCs/>
                <w:sz w:val="18"/>
                <w:szCs w:val="18"/>
              </w:rPr>
            </w:pPr>
            <w:r>
              <w:rPr>
                <w:b/>
                <w:bCs/>
                <w:sz w:val="18"/>
                <w:szCs w:val="18"/>
              </w:rPr>
              <w:t>SME</w:t>
            </w:r>
          </w:p>
        </w:tc>
        <w:tc>
          <w:tcPr>
            <w:tcW w:w="1304" w:type="dxa"/>
            <w:vAlign w:val="bottom"/>
          </w:tcPr>
          <w:p w14:paraId="6576B45C" w14:textId="77777777" w:rsidR="00C12D19" w:rsidRPr="00923A53" w:rsidRDefault="00C12D19" w:rsidP="00C12D19">
            <w:pPr>
              <w:tabs>
                <w:tab w:val="left" w:pos="0"/>
              </w:tabs>
              <w:ind w:right="-38"/>
              <w:jc w:val="right"/>
              <w:rPr>
                <w:b/>
                <w:bCs/>
                <w:sz w:val="18"/>
                <w:szCs w:val="18"/>
              </w:rPr>
            </w:pPr>
            <w:r>
              <w:rPr>
                <w:b/>
                <w:bCs/>
                <w:sz w:val="18"/>
                <w:szCs w:val="18"/>
              </w:rPr>
              <w:t>Consumer</w:t>
            </w:r>
          </w:p>
        </w:tc>
        <w:tc>
          <w:tcPr>
            <w:tcW w:w="1304" w:type="dxa"/>
            <w:noWrap/>
            <w:vAlign w:val="bottom"/>
          </w:tcPr>
          <w:p w14:paraId="15F21520" w14:textId="77777777" w:rsidR="00C12D19" w:rsidRPr="00923A53" w:rsidRDefault="00C12D19" w:rsidP="00C12D19">
            <w:pPr>
              <w:tabs>
                <w:tab w:val="left" w:pos="0"/>
              </w:tabs>
              <w:ind w:right="-38"/>
              <w:jc w:val="right"/>
              <w:rPr>
                <w:b/>
                <w:bCs/>
                <w:sz w:val="18"/>
                <w:szCs w:val="18"/>
              </w:rPr>
            </w:pPr>
            <w:r>
              <w:rPr>
                <w:b/>
                <w:bCs/>
                <w:sz w:val="18"/>
                <w:szCs w:val="18"/>
              </w:rPr>
              <w:t>Credit Cards</w:t>
            </w:r>
          </w:p>
        </w:tc>
        <w:tc>
          <w:tcPr>
            <w:tcW w:w="1305" w:type="dxa"/>
            <w:noWrap/>
            <w:vAlign w:val="bottom"/>
          </w:tcPr>
          <w:p w14:paraId="03212F17" w14:textId="77777777" w:rsidR="00C12D19" w:rsidRPr="00923A53" w:rsidRDefault="00C12D19" w:rsidP="00C12D19">
            <w:pPr>
              <w:tabs>
                <w:tab w:val="left" w:pos="0"/>
              </w:tabs>
              <w:ind w:right="-38"/>
              <w:jc w:val="right"/>
              <w:rPr>
                <w:b/>
                <w:bCs/>
                <w:sz w:val="18"/>
                <w:szCs w:val="18"/>
              </w:rPr>
            </w:pPr>
            <w:r>
              <w:rPr>
                <w:b/>
                <w:bCs/>
                <w:sz w:val="18"/>
                <w:szCs w:val="18"/>
              </w:rPr>
              <w:t>Total</w:t>
            </w:r>
          </w:p>
        </w:tc>
      </w:tr>
      <w:tr w:rsidR="00224102" w:rsidRPr="00923A53" w14:paraId="0335A89F" w14:textId="77777777" w:rsidTr="00C12D19">
        <w:trPr>
          <w:trHeight w:val="240"/>
        </w:trPr>
        <w:tc>
          <w:tcPr>
            <w:tcW w:w="2308" w:type="dxa"/>
            <w:noWrap/>
            <w:vAlign w:val="bottom"/>
          </w:tcPr>
          <w:p w14:paraId="5BF2AD6C" w14:textId="77777777" w:rsidR="00224102" w:rsidRPr="00923A53" w:rsidRDefault="00224102" w:rsidP="00224102">
            <w:pPr>
              <w:tabs>
                <w:tab w:val="left" w:pos="0"/>
              </w:tabs>
              <w:outlineLvl w:val="0"/>
              <w:rPr>
                <w:sz w:val="18"/>
                <w:szCs w:val="18"/>
              </w:rPr>
            </w:pPr>
            <w:bookmarkStart w:id="14" w:name="_Hlk192479687"/>
            <w:r w:rsidRPr="00255BCD">
              <w:rPr>
                <w:sz w:val="18"/>
                <w:szCs w:val="18"/>
              </w:rPr>
              <w:t>Standard Loans</w:t>
            </w:r>
          </w:p>
        </w:tc>
        <w:tc>
          <w:tcPr>
            <w:tcW w:w="1264" w:type="dxa"/>
            <w:noWrap/>
            <w:vAlign w:val="bottom"/>
          </w:tcPr>
          <w:p w14:paraId="07F3EBAB" w14:textId="187786B0" w:rsidR="00224102" w:rsidRPr="00A36623" w:rsidRDefault="00224102" w:rsidP="00224102">
            <w:pPr>
              <w:ind w:right="-50"/>
              <w:jc w:val="right"/>
              <w:rPr>
                <w:rFonts w:eastAsia="Arial Unicode MS"/>
                <w:sz w:val="18"/>
                <w:szCs w:val="18"/>
              </w:rPr>
            </w:pPr>
            <w:r w:rsidRPr="00A36623">
              <w:rPr>
                <w:rFonts w:eastAsia="Arial Unicode MS"/>
                <w:sz w:val="18"/>
                <w:szCs w:val="18"/>
              </w:rPr>
              <w:t>3</w:t>
            </w:r>
            <w:r>
              <w:rPr>
                <w:rFonts w:eastAsia="Arial Unicode MS"/>
                <w:sz w:val="18"/>
                <w:szCs w:val="18"/>
              </w:rPr>
              <w:t>,</w:t>
            </w:r>
            <w:r w:rsidRPr="00A36623">
              <w:rPr>
                <w:rFonts w:eastAsia="Arial Unicode MS"/>
                <w:sz w:val="18"/>
                <w:szCs w:val="18"/>
              </w:rPr>
              <w:t>319</w:t>
            </w:r>
            <w:r>
              <w:rPr>
                <w:rFonts w:eastAsia="Arial Unicode MS"/>
                <w:sz w:val="18"/>
                <w:szCs w:val="18"/>
              </w:rPr>
              <w:t>,</w:t>
            </w:r>
            <w:r w:rsidRPr="00A36623">
              <w:rPr>
                <w:rFonts w:eastAsia="Arial Unicode MS"/>
                <w:sz w:val="18"/>
                <w:szCs w:val="18"/>
              </w:rPr>
              <w:t>484</w:t>
            </w:r>
          </w:p>
        </w:tc>
        <w:tc>
          <w:tcPr>
            <w:tcW w:w="1304" w:type="dxa"/>
            <w:vAlign w:val="bottom"/>
          </w:tcPr>
          <w:p w14:paraId="33A4B406" w14:textId="335CABE1" w:rsidR="00224102" w:rsidRPr="00A36623" w:rsidRDefault="00224102" w:rsidP="00224102">
            <w:pPr>
              <w:ind w:right="-50"/>
              <w:jc w:val="right"/>
              <w:rPr>
                <w:rFonts w:eastAsia="Arial Unicode MS"/>
                <w:sz w:val="18"/>
                <w:szCs w:val="18"/>
              </w:rPr>
            </w:pPr>
            <w:r w:rsidRPr="00A36623">
              <w:rPr>
                <w:rFonts w:eastAsia="Arial Unicode MS"/>
                <w:sz w:val="18"/>
                <w:szCs w:val="18"/>
              </w:rPr>
              <w:t>3</w:t>
            </w:r>
            <w:r>
              <w:rPr>
                <w:rFonts w:eastAsia="Arial Unicode MS"/>
                <w:sz w:val="18"/>
                <w:szCs w:val="18"/>
              </w:rPr>
              <w:t>,</w:t>
            </w:r>
            <w:r w:rsidRPr="00A36623">
              <w:rPr>
                <w:rFonts w:eastAsia="Arial Unicode MS"/>
                <w:sz w:val="18"/>
                <w:szCs w:val="18"/>
              </w:rPr>
              <w:t>684</w:t>
            </w:r>
            <w:r>
              <w:rPr>
                <w:rFonts w:eastAsia="Arial Unicode MS"/>
                <w:sz w:val="18"/>
                <w:szCs w:val="18"/>
              </w:rPr>
              <w:t>,</w:t>
            </w:r>
            <w:r w:rsidRPr="00A36623">
              <w:rPr>
                <w:rFonts w:eastAsia="Arial Unicode MS"/>
                <w:sz w:val="18"/>
                <w:szCs w:val="18"/>
              </w:rPr>
              <w:t>223</w:t>
            </w:r>
          </w:p>
        </w:tc>
        <w:tc>
          <w:tcPr>
            <w:tcW w:w="1304" w:type="dxa"/>
            <w:vAlign w:val="bottom"/>
          </w:tcPr>
          <w:p w14:paraId="509B06CC" w14:textId="3530AAFC" w:rsidR="00224102" w:rsidRPr="00A36623" w:rsidRDefault="00224102" w:rsidP="00224102">
            <w:pPr>
              <w:ind w:right="-50"/>
              <w:jc w:val="right"/>
              <w:rPr>
                <w:rFonts w:eastAsia="Arial Unicode MS"/>
                <w:sz w:val="18"/>
                <w:szCs w:val="18"/>
              </w:rPr>
            </w:pPr>
            <w:r w:rsidRPr="00A36623">
              <w:rPr>
                <w:rFonts w:eastAsia="Arial Unicode MS"/>
                <w:sz w:val="18"/>
                <w:szCs w:val="18"/>
              </w:rPr>
              <w:t>280</w:t>
            </w:r>
            <w:r>
              <w:rPr>
                <w:rFonts w:eastAsia="Arial Unicode MS"/>
                <w:sz w:val="18"/>
                <w:szCs w:val="18"/>
              </w:rPr>
              <w:t>,</w:t>
            </w:r>
            <w:r w:rsidRPr="00A36623">
              <w:rPr>
                <w:rFonts w:eastAsia="Arial Unicode MS"/>
                <w:sz w:val="18"/>
                <w:szCs w:val="18"/>
              </w:rPr>
              <w:t>935</w:t>
            </w:r>
          </w:p>
        </w:tc>
        <w:tc>
          <w:tcPr>
            <w:tcW w:w="1304" w:type="dxa"/>
            <w:noWrap/>
            <w:vAlign w:val="bottom"/>
          </w:tcPr>
          <w:p w14:paraId="666097EC" w14:textId="05C3934E" w:rsidR="00224102" w:rsidRPr="00A36623" w:rsidRDefault="00224102" w:rsidP="00224102">
            <w:pPr>
              <w:ind w:right="-50"/>
              <w:jc w:val="right"/>
              <w:rPr>
                <w:rFonts w:eastAsia="Arial Unicode MS"/>
                <w:sz w:val="18"/>
                <w:szCs w:val="18"/>
              </w:rPr>
            </w:pPr>
            <w:r w:rsidRPr="00A36623">
              <w:rPr>
                <w:rFonts w:eastAsia="Arial Unicode MS"/>
                <w:sz w:val="18"/>
                <w:szCs w:val="18"/>
              </w:rPr>
              <w:t>256</w:t>
            </w:r>
            <w:r>
              <w:rPr>
                <w:rFonts w:eastAsia="Arial Unicode MS"/>
                <w:sz w:val="18"/>
                <w:szCs w:val="18"/>
              </w:rPr>
              <w:t>,</w:t>
            </w:r>
            <w:r w:rsidRPr="00A36623">
              <w:rPr>
                <w:rFonts w:eastAsia="Arial Unicode MS"/>
                <w:sz w:val="18"/>
                <w:szCs w:val="18"/>
              </w:rPr>
              <w:t>263</w:t>
            </w:r>
          </w:p>
        </w:tc>
        <w:tc>
          <w:tcPr>
            <w:tcW w:w="1305" w:type="dxa"/>
            <w:noWrap/>
            <w:vAlign w:val="bottom"/>
          </w:tcPr>
          <w:p w14:paraId="22B13471" w14:textId="29E072F3" w:rsidR="00224102" w:rsidRPr="00A36623" w:rsidRDefault="00224102" w:rsidP="00224102">
            <w:pPr>
              <w:ind w:right="-50"/>
              <w:jc w:val="right"/>
              <w:rPr>
                <w:rFonts w:eastAsia="Arial Unicode MS"/>
                <w:sz w:val="18"/>
                <w:szCs w:val="18"/>
              </w:rPr>
            </w:pPr>
            <w:r w:rsidRPr="00A36623">
              <w:rPr>
                <w:rFonts w:eastAsia="Arial Unicode MS"/>
                <w:sz w:val="18"/>
                <w:szCs w:val="18"/>
              </w:rPr>
              <w:t>7</w:t>
            </w:r>
            <w:r>
              <w:rPr>
                <w:rFonts w:eastAsia="Arial Unicode MS"/>
                <w:sz w:val="18"/>
                <w:szCs w:val="18"/>
              </w:rPr>
              <w:t>,</w:t>
            </w:r>
            <w:r w:rsidRPr="00A36623">
              <w:rPr>
                <w:rFonts w:eastAsia="Arial Unicode MS"/>
                <w:sz w:val="18"/>
                <w:szCs w:val="18"/>
              </w:rPr>
              <w:t>540</w:t>
            </w:r>
            <w:r>
              <w:rPr>
                <w:rFonts w:eastAsia="Arial Unicode MS"/>
                <w:sz w:val="18"/>
                <w:szCs w:val="18"/>
              </w:rPr>
              <w:t>,</w:t>
            </w:r>
            <w:r w:rsidRPr="00A36623">
              <w:rPr>
                <w:rFonts w:eastAsia="Arial Unicode MS"/>
                <w:sz w:val="18"/>
                <w:szCs w:val="18"/>
              </w:rPr>
              <w:t>905</w:t>
            </w:r>
          </w:p>
        </w:tc>
      </w:tr>
      <w:tr w:rsidR="00224102" w:rsidRPr="00923A53" w14:paraId="60167DC6" w14:textId="77777777" w:rsidTr="00C12D19">
        <w:trPr>
          <w:trHeight w:val="240"/>
        </w:trPr>
        <w:tc>
          <w:tcPr>
            <w:tcW w:w="2308" w:type="dxa"/>
            <w:noWrap/>
            <w:vAlign w:val="bottom"/>
          </w:tcPr>
          <w:p w14:paraId="3C929FDF" w14:textId="777B6134" w:rsidR="00224102" w:rsidRPr="00923A53" w:rsidRDefault="00224102" w:rsidP="00224102">
            <w:pPr>
              <w:tabs>
                <w:tab w:val="left" w:pos="0"/>
              </w:tabs>
              <w:outlineLvl w:val="0"/>
              <w:rPr>
                <w:sz w:val="18"/>
                <w:szCs w:val="18"/>
              </w:rPr>
            </w:pPr>
            <w:r w:rsidRPr="00255BCD">
              <w:rPr>
                <w:sz w:val="18"/>
                <w:szCs w:val="18"/>
              </w:rPr>
              <w:t xml:space="preserve">Loans under </w:t>
            </w:r>
            <w:r>
              <w:rPr>
                <w:sz w:val="18"/>
                <w:szCs w:val="18"/>
              </w:rPr>
              <w:t>C</w:t>
            </w:r>
            <w:r w:rsidRPr="00255BCD">
              <w:rPr>
                <w:sz w:val="18"/>
                <w:szCs w:val="18"/>
              </w:rPr>
              <w:t xml:space="preserve">lose </w:t>
            </w:r>
            <w:r>
              <w:rPr>
                <w:sz w:val="18"/>
                <w:szCs w:val="18"/>
              </w:rPr>
              <w:t>M</w:t>
            </w:r>
            <w:r w:rsidRPr="00255BCD">
              <w:rPr>
                <w:sz w:val="18"/>
                <w:szCs w:val="18"/>
              </w:rPr>
              <w:t>onitoring</w:t>
            </w:r>
          </w:p>
        </w:tc>
        <w:tc>
          <w:tcPr>
            <w:tcW w:w="1264" w:type="dxa"/>
            <w:noWrap/>
            <w:vAlign w:val="bottom"/>
          </w:tcPr>
          <w:p w14:paraId="600C0C1F" w14:textId="6E3374EC" w:rsidR="00224102" w:rsidRPr="00A36623" w:rsidRDefault="00224102" w:rsidP="00224102">
            <w:pPr>
              <w:ind w:right="-50"/>
              <w:jc w:val="right"/>
              <w:rPr>
                <w:rFonts w:eastAsia="Arial Unicode MS"/>
                <w:sz w:val="18"/>
                <w:szCs w:val="18"/>
              </w:rPr>
            </w:pPr>
            <w:r w:rsidRPr="00A36623">
              <w:rPr>
                <w:rFonts w:eastAsia="Arial Unicode MS"/>
                <w:sz w:val="18"/>
                <w:szCs w:val="18"/>
              </w:rPr>
              <w:t>32</w:t>
            </w:r>
            <w:r>
              <w:rPr>
                <w:rFonts w:eastAsia="Arial Unicode MS"/>
                <w:sz w:val="18"/>
                <w:szCs w:val="18"/>
              </w:rPr>
              <w:t>,</w:t>
            </w:r>
            <w:r w:rsidRPr="00A36623">
              <w:rPr>
                <w:rFonts w:eastAsia="Arial Unicode MS"/>
                <w:sz w:val="18"/>
                <w:szCs w:val="18"/>
              </w:rPr>
              <w:t>605</w:t>
            </w:r>
          </w:p>
        </w:tc>
        <w:tc>
          <w:tcPr>
            <w:tcW w:w="1304" w:type="dxa"/>
            <w:vAlign w:val="bottom"/>
          </w:tcPr>
          <w:p w14:paraId="4939F780" w14:textId="38194BD4" w:rsidR="00224102" w:rsidRPr="00A36623" w:rsidRDefault="00224102" w:rsidP="00224102">
            <w:pPr>
              <w:ind w:right="-50"/>
              <w:jc w:val="right"/>
              <w:rPr>
                <w:rFonts w:eastAsia="Arial Unicode MS"/>
                <w:sz w:val="18"/>
                <w:szCs w:val="18"/>
              </w:rPr>
            </w:pPr>
            <w:r w:rsidRPr="00A36623">
              <w:rPr>
                <w:rFonts w:eastAsia="Arial Unicode MS"/>
                <w:sz w:val="18"/>
                <w:szCs w:val="18"/>
              </w:rPr>
              <w:t>95</w:t>
            </w:r>
            <w:r>
              <w:rPr>
                <w:rFonts w:eastAsia="Arial Unicode MS"/>
                <w:sz w:val="18"/>
                <w:szCs w:val="18"/>
              </w:rPr>
              <w:t>,</w:t>
            </w:r>
            <w:r w:rsidRPr="00A36623">
              <w:rPr>
                <w:rFonts w:eastAsia="Arial Unicode MS"/>
                <w:sz w:val="18"/>
                <w:szCs w:val="18"/>
              </w:rPr>
              <w:t>696</w:t>
            </w:r>
          </w:p>
        </w:tc>
        <w:tc>
          <w:tcPr>
            <w:tcW w:w="1304" w:type="dxa"/>
            <w:vAlign w:val="bottom"/>
          </w:tcPr>
          <w:p w14:paraId="4FD8B51A" w14:textId="4822FFF2" w:rsidR="00224102" w:rsidRPr="00A36623" w:rsidRDefault="00224102" w:rsidP="00224102">
            <w:pPr>
              <w:ind w:right="-50"/>
              <w:jc w:val="right"/>
              <w:rPr>
                <w:rFonts w:eastAsia="Arial Unicode MS"/>
                <w:sz w:val="18"/>
                <w:szCs w:val="18"/>
              </w:rPr>
            </w:pPr>
            <w:r w:rsidRPr="00A36623">
              <w:rPr>
                <w:rFonts w:eastAsia="Arial Unicode MS"/>
                <w:sz w:val="18"/>
                <w:szCs w:val="18"/>
              </w:rPr>
              <w:t>43</w:t>
            </w:r>
            <w:r>
              <w:rPr>
                <w:rFonts w:eastAsia="Arial Unicode MS"/>
                <w:sz w:val="18"/>
                <w:szCs w:val="18"/>
              </w:rPr>
              <w:t>,</w:t>
            </w:r>
            <w:r w:rsidRPr="00A36623">
              <w:rPr>
                <w:rFonts w:eastAsia="Arial Unicode MS"/>
                <w:sz w:val="18"/>
                <w:szCs w:val="18"/>
              </w:rPr>
              <w:t>835</w:t>
            </w:r>
          </w:p>
        </w:tc>
        <w:tc>
          <w:tcPr>
            <w:tcW w:w="1304" w:type="dxa"/>
            <w:noWrap/>
            <w:vAlign w:val="bottom"/>
          </w:tcPr>
          <w:p w14:paraId="47A88AD9" w14:textId="7FCD6C23" w:rsidR="00224102" w:rsidRPr="00A36623" w:rsidRDefault="00224102" w:rsidP="00224102">
            <w:pPr>
              <w:ind w:right="-50"/>
              <w:jc w:val="right"/>
              <w:rPr>
                <w:rFonts w:eastAsia="Arial Unicode MS"/>
                <w:sz w:val="18"/>
                <w:szCs w:val="18"/>
              </w:rPr>
            </w:pPr>
            <w:r w:rsidRPr="00A36623">
              <w:rPr>
                <w:rFonts w:eastAsia="Arial Unicode MS"/>
                <w:sz w:val="18"/>
                <w:szCs w:val="18"/>
              </w:rPr>
              <w:t>14</w:t>
            </w:r>
            <w:r>
              <w:rPr>
                <w:rFonts w:eastAsia="Arial Unicode MS"/>
                <w:sz w:val="18"/>
                <w:szCs w:val="18"/>
              </w:rPr>
              <w:t>,</w:t>
            </w:r>
            <w:r w:rsidRPr="00A36623">
              <w:rPr>
                <w:rFonts w:eastAsia="Arial Unicode MS"/>
                <w:sz w:val="18"/>
                <w:szCs w:val="18"/>
              </w:rPr>
              <w:t>869</w:t>
            </w:r>
          </w:p>
        </w:tc>
        <w:tc>
          <w:tcPr>
            <w:tcW w:w="1305" w:type="dxa"/>
            <w:noWrap/>
            <w:vAlign w:val="bottom"/>
          </w:tcPr>
          <w:p w14:paraId="27E38FF5" w14:textId="3A8917F1" w:rsidR="00224102" w:rsidRPr="00A36623" w:rsidRDefault="00224102" w:rsidP="00224102">
            <w:pPr>
              <w:ind w:right="-50"/>
              <w:jc w:val="right"/>
              <w:rPr>
                <w:rFonts w:eastAsia="Arial Unicode MS"/>
                <w:sz w:val="18"/>
                <w:szCs w:val="18"/>
              </w:rPr>
            </w:pPr>
            <w:r w:rsidRPr="00A36623">
              <w:rPr>
                <w:rFonts w:eastAsia="Arial Unicode MS"/>
                <w:sz w:val="18"/>
                <w:szCs w:val="18"/>
              </w:rPr>
              <w:t>187</w:t>
            </w:r>
            <w:r>
              <w:rPr>
                <w:rFonts w:eastAsia="Arial Unicode MS"/>
                <w:sz w:val="18"/>
                <w:szCs w:val="18"/>
              </w:rPr>
              <w:t>,</w:t>
            </w:r>
            <w:r w:rsidRPr="00A36623">
              <w:rPr>
                <w:rFonts w:eastAsia="Arial Unicode MS"/>
                <w:sz w:val="18"/>
                <w:szCs w:val="18"/>
              </w:rPr>
              <w:t>005</w:t>
            </w:r>
          </w:p>
        </w:tc>
      </w:tr>
      <w:tr w:rsidR="00224102" w:rsidRPr="00923A53" w14:paraId="7282EF5A" w14:textId="77777777" w:rsidTr="00C12D19">
        <w:trPr>
          <w:trHeight w:val="240"/>
        </w:trPr>
        <w:tc>
          <w:tcPr>
            <w:tcW w:w="2308" w:type="dxa"/>
            <w:noWrap/>
            <w:vAlign w:val="bottom"/>
          </w:tcPr>
          <w:p w14:paraId="59E3F19D" w14:textId="534D0685" w:rsidR="00224102" w:rsidRPr="00923A53" w:rsidRDefault="00224102" w:rsidP="00224102">
            <w:pPr>
              <w:tabs>
                <w:tab w:val="left" w:pos="0"/>
              </w:tabs>
              <w:outlineLvl w:val="0"/>
              <w:rPr>
                <w:sz w:val="18"/>
                <w:szCs w:val="18"/>
              </w:rPr>
            </w:pPr>
            <w:r w:rsidRPr="00255BCD">
              <w:rPr>
                <w:sz w:val="18"/>
                <w:szCs w:val="18"/>
              </w:rPr>
              <w:t xml:space="preserve">Non-performing </w:t>
            </w:r>
            <w:r>
              <w:rPr>
                <w:sz w:val="18"/>
                <w:szCs w:val="18"/>
              </w:rPr>
              <w:t>L</w:t>
            </w:r>
            <w:r w:rsidRPr="00255BCD">
              <w:rPr>
                <w:sz w:val="18"/>
                <w:szCs w:val="18"/>
              </w:rPr>
              <w:t>oans</w:t>
            </w:r>
          </w:p>
        </w:tc>
        <w:tc>
          <w:tcPr>
            <w:tcW w:w="1264" w:type="dxa"/>
            <w:noWrap/>
            <w:vAlign w:val="bottom"/>
          </w:tcPr>
          <w:p w14:paraId="18B90854" w14:textId="13D78765" w:rsidR="00224102" w:rsidRPr="00A36623" w:rsidRDefault="00224102" w:rsidP="00224102">
            <w:pPr>
              <w:ind w:right="-50"/>
              <w:jc w:val="right"/>
              <w:rPr>
                <w:rFonts w:eastAsia="Arial Unicode MS"/>
                <w:sz w:val="18"/>
                <w:szCs w:val="18"/>
              </w:rPr>
            </w:pPr>
            <w:r w:rsidRPr="00A36623">
              <w:rPr>
                <w:rFonts w:eastAsia="Arial Unicode MS"/>
                <w:sz w:val="18"/>
                <w:szCs w:val="18"/>
              </w:rPr>
              <w:t>153</w:t>
            </w:r>
            <w:r>
              <w:rPr>
                <w:rFonts w:eastAsia="Arial Unicode MS"/>
                <w:sz w:val="18"/>
                <w:szCs w:val="18"/>
              </w:rPr>
              <w:t>,</w:t>
            </w:r>
            <w:r w:rsidRPr="00A36623">
              <w:rPr>
                <w:rFonts w:eastAsia="Arial Unicode MS"/>
                <w:sz w:val="18"/>
                <w:szCs w:val="18"/>
              </w:rPr>
              <w:t>013</w:t>
            </w:r>
          </w:p>
        </w:tc>
        <w:tc>
          <w:tcPr>
            <w:tcW w:w="1304" w:type="dxa"/>
            <w:vAlign w:val="bottom"/>
          </w:tcPr>
          <w:p w14:paraId="0D812E66" w14:textId="0087AF6E" w:rsidR="00224102" w:rsidRPr="00A36623" w:rsidRDefault="00224102" w:rsidP="00224102">
            <w:pPr>
              <w:ind w:right="-50"/>
              <w:jc w:val="right"/>
              <w:rPr>
                <w:rFonts w:eastAsia="Arial Unicode MS"/>
                <w:sz w:val="18"/>
                <w:szCs w:val="18"/>
              </w:rPr>
            </w:pPr>
            <w:r w:rsidRPr="00A36623">
              <w:rPr>
                <w:rFonts w:eastAsia="Arial Unicode MS"/>
                <w:sz w:val="18"/>
                <w:szCs w:val="18"/>
              </w:rPr>
              <w:t>258</w:t>
            </w:r>
            <w:r>
              <w:rPr>
                <w:rFonts w:eastAsia="Arial Unicode MS"/>
                <w:sz w:val="18"/>
                <w:szCs w:val="18"/>
              </w:rPr>
              <w:t>,</w:t>
            </w:r>
            <w:r w:rsidRPr="00A36623">
              <w:rPr>
                <w:rFonts w:eastAsia="Arial Unicode MS"/>
                <w:sz w:val="18"/>
                <w:szCs w:val="18"/>
              </w:rPr>
              <w:t>402</w:t>
            </w:r>
          </w:p>
        </w:tc>
        <w:tc>
          <w:tcPr>
            <w:tcW w:w="1304" w:type="dxa"/>
            <w:vAlign w:val="bottom"/>
          </w:tcPr>
          <w:p w14:paraId="2FDDB527" w14:textId="6EE091B7" w:rsidR="00224102" w:rsidRPr="00A36623" w:rsidRDefault="00224102" w:rsidP="00224102">
            <w:pPr>
              <w:ind w:right="-50"/>
              <w:jc w:val="right"/>
              <w:rPr>
                <w:rFonts w:eastAsia="Arial Unicode MS"/>
                <w:sz w:val="18"/>
                <w:szCs w:val="18"/>
              </w:rPr>
            </w:pPr>
            <w:r w:rsidRPr="00A36623">
              <w:rPr>
                <w:rFonts w:eastAsia="Arial Unicode MS"/>
                <w:sz w:val="18"/>
                <w:szCs w:val="18"/>
              </w:rPr>
              <w:t>20</w:t>
            </w:r>
            <w:r>
              <w:rPr>
                <w:rFonts w:eastAsia="Arial Unicode MS"/>
                <w:sz w:val="18"/>
                <w:szCs w:val="18"/>
              </w:rPr>
              <w:t>,</w:t>
            </w:r>
            <w:r w:rsidRPr="00A36623">
              <w:rPr>
                <w:rFonts w:eastAsia="Arial Unicode MS"/>
                <w:sz w:val="18"/>
                <w:szCs w:val="18"/>
              </w:rPr>
              <w:t>820</w:t>
            </w:r>
          </w:p>
        </w:tc>
        <w:tc>
          <w:tcPr>
            <w:tcW w:w="1304" w:type="dxa"/>
            <w:noWrap/>
            <w:vAlign w:val="bottom"/>
          </w:tcPr>
          <w:p w14:paraId="677B788D" w14:textId="7F5FF5C9" w:rsidR="00224102" w:rsidRPr="00A36623" w:rsidRDefault="00224102" w:rsidP="00224102">
            <w:pPr>
              <w:ind w:right="-50"/>
              <w:jc w:val="right"/>
              <w:rPr>
                <w:rFonts w:eastAsia="Arial Unicode MS"/>
                <w:sz w:val="18"/>
                <w:szCs w:val="18"/>
              </w:rPr>
            </w:pPr>
            <w:r w:rsidRPr="00A36623">
              <w:rPr>
                <w:rFonts w:eastAsia="Arial Unicode MS"/>
                <w:sz w:val="18"/>
                <w:szCs w:val="18"/>
              </w:rPr>
              <w:t>8</w:t>
            </w:r>
            <w:r>
              <w:rPr>
                <w:rFonts w:eastAsia="Arial Unicode MS"/>
                <w:sz w:val="18"/>
                <w:szCs w:val="18"/>
              </w:rPr>
              <w:t>,</w:t>
            </w:r>
            <w:r w:rsidRPr="00A36623">
              <w:rPr>
                <w:rFonts w:eastAsia="Arial Unicode MS"/>
                <w:sz w:val="18"/>
                <w:szCs w:val="18"/>
              </w:rPr>
              <w:t>638</w:t>
            </w:r>
          </w:p>
        </w:tc>
        <w:tc>
          <w:tcPr>
            <w:tcW w:w="1305" w:type="dxa"/>
            <w:noWrap/>
            <w:vAlign w:val="bottom"/>
          </w:tcPr>
          <w:p w14:paraId="06CC9BD5" w14:textId="0594DC41" w:rsidR="00224102" w:rsidRPr="00A36623" w:rsidRDefault="00224102" w:rsidP="00224102">
            <w:pPr>
              <w:ind w:right="-50"/>
              <w:jc w:val="right"/>
              <w:rPr>
                <w:rFonts w:eastAsia="Arial Unicode MS"/>
                <w:sz w:val="18"/>
                <w:szCs w:val="18"/>
              </w:rPr>
            </w:pPr>
            <w:r w:rsidRPr="00A36623">
              <w:rPr>
                <w:rFonts w:eastAsia="Arial Unicode MS"/>
                <w:sz w:val="18"/>
                <w:szCs w:val="18"/>
              </w:rPr>
              <w:t>440</w:t>
            </w:r>
            <w:r>
              <w:rPr>
                <w:rFonts w:eastAsia="Arial Unicode MS"/>
                <w:sz w:val="18"/>
                <w:szCs w:val="18"/>
              </w:rPr>
              <w:t>,</w:t>
            </w:r>
            <w:r w:rsidRPr="00A36623">
              <w:rPr>
                <w:rFonts w:eastAsia="Arial Unicode MS"/>
                <w:sz w:val="18"/>
                <w:szCs w:val="18"/>
              </w:rPr>
              <w:t>873</w:t>
            </w:r>
          </w:p>
        </w:tc>
      </w:tr>
      <w:tr w:rsidR="00224102" w:rsidRPr="00923A53" w14:paraId="02E0B78A" w14:textId="77777777" w:rsidTr="00C12D19">
        <w:trPr>
          <w:trHeight w:val="240"/>
        </w:trPr>
        <w:tc>
          <w:tcPr>
            <w:tcW w:w="2308" w:type="dxa"/>
            <w:noWrap/>
            <w:vAlign w:val="bottom"/>
          </w:tcPr>
          <w:p w14:paraId="242539A5" w14:textId="4CFFF541" w:rsidR="00224102" w:rsidRPr="00923A53" w:rsidRDefault="00224102" w:rsidP="00224102">
            <w:pPr>
              <w:tabs>
                <w:tab w:val="left" w:pos="0"/>
              </w:tabs>
              <w:outlineLvl w:val="0"/>
              <w:rPr>
                <w:sz w:val="18"/>
                <w:szCs w:val="18"/>
              </w:rPr>
            </w:pPr>
            <w:r w:rsidRPr="00255BCD">
              <w:rPr>
                <w:sz w:val="18"/>
                <w:szCs w:val="18"/>
              </w:rPr>
              <w:t xml:space="preserve">Specific </w:t>
            </w:r>
            <w:r>
              <w:rPr>
                <w:sz w:val="18"/>
                <w:szCs w:val="18"/>
              </w:rPr>
              <w:t>P</w:t>
            </w:r>
            <w:r w:rsidRPr="00255BCD">
              <w:rPr>
                <w:sz w:val="18"/>
                <w:szCs w:val="18"/>
              </w:rPr>
              <w:t>rovision (-)</w:t>
            </w:r>
          </w:p>
        </w:tc>
        <w:tc>
          <w:tcPr>
            <w:tcW w:w="1264" w:type="dxa"/>
            <w:noWrap/>
            <w:vAlign w:val="bottom"/>
          </w:tcPr>
          <w:p w14:paraId="432142C9" w14:textId="329AB4EB" w:rsidR="00224102" w:rsidRPr="00A36623" w:rsidRDefault="00224102" w:rsidP="00224102">
            <w:pPr>
              <w:ind w:right="-50"/>
              <w:jc w:val="right"/>
              <w:rPr>
                <w:rFonts w:eastAsia="Arial Unicode MS"/>
                <w:sz w:val="18"/>
                <w:szCs w:val="18"/>
              </w:rPr>
            </w:pPr>
            <w:r w:rsidRPr="00A36623">
              <w:rPr>
                <w:rFonts w:eastAsia="Arial Unicode MS"/>
                <w:sz w:val="18"/>
                <w:szCs w:val="18"/>
              </w:rPr>
              <w:t>(102</w:t>
            </w:r>
            <w:r>
              <w:rPr>
                <w:rFonts w:eastAsia="Arial Unicode MS"/>
                <w:sz w:val="18"/>
                <w:szCs w:val="18"/>
              </w:rPr>
              <w:t>,</w:t>
            </w:r>
            <w:r w:rsidRPr="00A36623">
              <w:rPr>
                <w:rFonts w:eastAsia="Arial Unicode MS"/>
                <w:sz w:val="18"/>
                <w:szCs w:val="18"/>
              </w:rPr>
              <w:t>740)</w:t>
            </w:r>
          </w:p>
        </w:tc>
        <w:tc>
          <w:tcPr>
            <w:tcW w:w="1304" w:type="dxa"/>
            <w:vAlign w:val="bottom"/>
          </w:tcPr>
          <w:p w14:paraId="6E0BFCAC" w14:textId="59C8E8AE" w:rsidR="00224102" w:rsidRPr="00A36623" w:rsidRDefault="00224102" w:rsidP="00224102">
            <w:pPr>
              <w:ind w:right="-50"/>
              <w:jc w:val="right"/>
              <w:rPr>
                <w:rFonts w:eastAsia="Arial Unicode MS"/>
                <w:sz w:val="18"/>
                <w:szCs w:val="18"/>
              </w:rPr>
            </w:pPr>
            <w:r w:rsidRPr="00A36623">
              <w:rPr>
                <w:rFonts w:eastAsia="Arial Unicode MS"/>
                <w:sz w:val="18"/>
                <w:szCs w:val="18"/>
              </w:rPr>
              <w:t>(148</w:t>
            </w:r>
            <w:r>
              <w:rPr>
                <w:rFonts w:eastAsia="Arial Unicode MS"/>
                <w:sz w:val="18"/>
                <w:szCs w:val="18"/>
              </w:rPr>
              <w:t>,</w:t>
            </w:r>
            <w:r w:rsidRPr="00A36623">
              <w:rPr>
                <w:rFonts w:eastAsia="Arial Unicode MS"/>
                <w:sz w:val="18"/>
                <w:szCs w:val="18"/>
              </w:rPr>
              <w:t>966)</w:t>
            </w:r>
          </w:p>
        </w:tc>
        <w:tc>
          <w:tcPr>
            <w:tcW w:w="1304" w:type="dxa"/>
            <w:vAlign w:val="bottom"/>
          </w:tcPr>
          <w:p w14:paraId="5CE942A7" w14:textId="2ABFF5E1" w:rsidR="00224102" w:rsidRPr="00A36623" w:rsidRDefault="00224102" w:rsidP="00224102">
            <w:pPr>
              <w:ind w:right="-50"/>
              <w:jc w:val="right"/>
              <w:rPr>
                <w:rFonts w:eastAsia="Arial Unicode MS"/>
                <w:sz w:val="18"/>
                <w:szCs w:val="18"/>
              </w:rPr>
            </w:pPr>
            <w:r w:rsidRPr="00A36623">
              <w:rPr>
                <w:rFonts w:eastAsia="Arial Unicode MS"/>
                <w:sz w:val="18"/>
                <w:szCs w:val="18"/>
              </w:rPr>
              <w:t>(13</w:t>
            </w:r>
            <w:r>
              <w:rPr>
                <w:rFonts w:eastAsia="Arial Unicode MS"/>
                <w:sz w:val="18"/>
                <w:szCs w:val="18"/>
              </w:rPr>
              <w:t>,</w:t>
            </w:r>
            <w:r w:rsidRPr="00A36623">
              <w:rPr>
                <w:rFonts w:eastAsia="Arial Unicode MS"/>
                <w:sz w:val="18"/>
                <w:szCs w:val="18"/>
              </w:rPr>
              <w:t>126)</w:t>
            </w:r>
          </w:p>
        </w:tc>
        <w:tc>
          <w:tcPr>
            <w:tcW w:w="1304" w:type="dxa"/>
            <w:noWrap/>
            <w:vAlign w:val="bottom"/>
          </w:tcPr>
          <w:p w14:paraId="7BAED75B" w14:textId="72FC052F" w:rsidR="00224102" w:rsidRPr="00A36623" w:rsidRDefault="00224102" w:rsidP="00224102">
            <w:pPr>
              <w:ind w:right="-50"/>
              <w:jc w:val="right"/>
              <w:rPr>
                <w:rFonts w:eastAsia="Arial Unicode MS"/>
                <w:sz w:val="18"/>
                <w:szCs w:val="18"/>
              </w:rPr>
            </w:pPr>
            <w:r w:rsidRPr="00A36623">
              <w:rPr>
                <w:rFonts w:eastAsia="Arial Unicode MS"/>
                <w:sz w:val="18"/>
                <w:szCs w:val="18"/>
              </w:rPr>
              <w:t>(4</w:t>
            </w:r>
            <w:r>
              <w:rPr>
                <w:rFonts w:eastAsia="Arial Unicode MS"/>
                <w:sz w:val="18"/>
                <w:szCs w:val="18"/>
              </w:rPr>
              <w:t>,</w:t>
            </w:r>
            <w:r w:rsidRPr="00A36623">
              <w:rPr>
                <w:rFonts w:eastAsia="Arial Unicode MS"/>
                <w:sz w:val="18"/>
                <w:szCs w:val="18"/>
              </w:rPr>
              <w:t>411)</w:t>
            </w:r>
          </w:p>
        </w:tc>
        <w:tc>
          <w:tcPr>
            <w:tcW w:w="1305" w:type="dxa"/>
            <w:noWrap/>
            <w:vAlign w:val="bottom"/>
          </w:tcPr>
          <w:p w14:paraId="7D88C454" w14:textId="7B5EFAE2" w:rsidR="00224102" w:rsidRPr="00A36623" w:rsidRDefault="00224102" w:rsidP="00224102">
            <w:pPr>
              <w:ind w:right="-50"/>
              <w:jc w:val="right"/>
              <w:rPr>
                <w:rFonts w:eastAsia="Arial Unicode MS"/>
                <w:sz w:val="18"/>
                <w:szCs w:val="18"/>
              </w:rPr>
            </w:pPr>
            <w:r w:rsidRPr="00A36623">
              <w:rPr>
                <w:rFonts w:eastAsia="Arial Unicode MS"/>
                <w:sz w:val="18"/>
                <w:szCs w:val="18"/>
              </w:rPr>
              <w:t>(269</w:t>
            </w:r>
            <w:r>
              <w:rPr>
                <w:rFonts w:eastAsia="Arial Unicode MS"/>
                <w:sz w:val="18"/>
                <w:szCs w:val="18"/>
              </w:rPr>
              <w:t>,</w:t>
            </w:r>
            <w:r w:rsidRPr="00A36623">
              <w:rPr>
                <w:rFonts w:eastAsia="Arial Unicode MS"/>
                <w:sz w:val="18"/>
                <w:szCs w:val="18"/>
              </w:rPr>
              <w:t>243)</w:t>
            </w:r>
          </w:p>
        </w:tc>
      </w:tr>
      <w:tr w:rsidR="00224102" w:rsidRPr="00923A53" w14:paraId="3E315433" w14:textId="77777777" w:rsidTr="00C12D19">
        <w:trPr>
          <w:trHeight w:val="255"/>
        </w:trPr>
        <w:tc>
          <w:tcPr>
            <w:tcW w:w="2308" w:type="dxa"/>
            <w:noWrap/>
            <w:vAlign w:val="bottom"/>
          </w:tcPr>
          <w:p w14:paraId="01EDE7B4" w14:textId="77777777" w:rsidR="00224102" w:rsidRPr="00923A53" w:rsidRDefault="00224102" w:rsidP="00224102">
            <w:pPr>
              <w:tabs>
                <w:tab w:val="left" w:pos="0"/>
              </w:tabs>
              <w:outlineLvl w:val="0"/>
              <w:rPr>
                <w:b/>
                <w:sz w:val="18"/>
                <w:szCs w:val="18"/>
              </w:rPr>
            </w:pPr>
            <w:r>
              <w:rPr>
                <w:b/>
                <w:sz w:val="18"/>
                <w:szCs w:val="18"/>
              </w:rPr>
              <w:t>Total</w:t>
            </w:r>
          </w:p>
        </w:tc>
        <w:tc>
          <w:tcPr>
            <w:tcW w:w="1264" w:type="dxa"/>
            <w:noWrap/>
            <w:vAlign w:val="bottom"/>
          </w:tcPr>
          <w:p w14:paraId="1EDE8B35" w14:textId="73820348" w:rsidR="00224102" w:rsidRPr="00A36623" w:rsidRDefault="00224102" w:rsidP="00224102">
            <w:pPr>
              <w:ind w:right="-50"/>
              <w:jc w:val="right"/>
              <w:rPr>
                <w:rFonts w:eastAsia="Arial Unicode MS"/>
                <w:b/>
                <w:sz w:val="18"/>
                <w:szCs w:val="18"/>
              </w:rPr>
            </w:pPr>
            <w:r w:rsidRPr="00A36623">
              <w:rPr>
                <w:rFonts w:eastAsia="Arial Unicode MS"/>
                <w:b/>
                <w:sz w:val="18"/>
                <w:szCs w:val="18"/>
              </w:rPr>
              <w:t>3</w:t>
            </w:r>
            <w:r>
              <w:rPr>
                <w:rFonts w:eastAsia="Arial Unicode MS"/>
                <w:b/>
                <w:sz w:val="18"/>
                <w:szCs w:val="18"/>
              </w:rPr>
              <w:t>,</w:t>
            </w:r>
            <w:r w:rsidRPr="00A36623">
              <w:rPr>
                <w:rFonts w:eastAsia="Arial Unicode MS"/>
                <w:b/>
                <w:sz w:val="18"/>
                <w:szCs w:val="18"/>
              </w:rPr>
              <w:t>402</w:t>
            </w:r>
            <w:r>
              <w:rPr>
                <w:rFonts w:eastAsia="Arial Unicode MS"/>
                <w:b/>
                <w:sz w:val="18"/>
                <w:szCs w:val="18"/>
              </w:rPr>
              <w:t>,</w:t>
            </w:r>
            <w:r w:rsidRPr="00A36623">
              <w:rPr>
                <w:rFonts w:eastAsia="Arial Unicode MS"/>
                <w:b/>
                <w:sz w:val="18"/>
                <w:szCs w:val="18"/>
              </w:rPr>
              <w:t>362</w:t>
            </w:r>
          </w:p>
        </w:tc>
        <w:tc>
          <w:tcPr>
            <w:tcW w:w="1304" w:type="dxa"/>
            <w:vAlign w:val="bottom"/>
          </w:tcPr>
          <w:p w14:paraId="5A8F3E2C" w14:textId="6503785F" w:rsidR="00224102" w:rsidRPr="00A36623" w:rsidRDefault="00224102" w:rsidP="00224102">
            <w:pPr>
              <w:ind w:right="-50"/>
              <w:jc w:val="right"/>
              <w:rPr>
                <w:rFonts w:eastAsia="Arial Unicode MS"/>
                <w:b/>
                <w:sz w:val="18"/>
                <w:szCs w:val="18"/>
              </w:rPr>
            </w:pPr>
            <w:r w:rsidRPr="00A36623">
              <w:rPr>
                <w:rFonts w:eastAsia="Arial Unicode MS"/>
                <w:b/>
                <w:sz w:val="18"/>
                <w:szCs w:val="18"/>
              </w:rPr>
              <w:t>3</w:t>
            </w:r>
            <w:r>
              <w:rPr>
                <w:rFonts w:eastAsia="Arial Unicode MS"/>
                <w:b/>
                <w:sz w:val="18"/>
                <w:szCs w:val="18"/>
              </w:rPr>
              <w:t>,</w:t>
            </w:r>
            <w:r w:rsidRPr="00A36623">
              <w:rPr>
                <w:rFonts w:eastAsia="Arial Unicode MS"/>
                <w:b/>
                <w:sz w:val="18"/>
                <w:szCs w:val="18"/>
              </w:rPr>
              <w:t>889</w:t>
            </w:r>
            <w:r>
              <w:rPr>
                <w:rFonts w:eastAsia="Arial Unicode MS"/>
                <w:b/>
                <w:sz w:val="18"/>
                <w:szCs w:val="18"/>
              </w:rPr>
              <w:t>,</w:t>
            </w:r>
            <w:r w:rsidRPr="00A36623">
              <w:rPr>
                <w:rFonts w:eastAsia="Arial Unicode MS"/>
                <w:b/>
                <w:sz w:val="18"/>
                <w:szCs w:val="18"/>
              </w:rPr>
              <w:t>355</w:t>
            </w:r>
          </w:p>
        </w:tc>
        <w:tc>
          <w:tcPr>
            <w:tcW w:w="1304" w:type="dxa"/>
            <w:vAlign w:val="bottom"/>
          </w:tcPr>
          <w:p w14:paraId="445112F3" w14:textId="632A05F9" w:rsidR="00224102" w:rsidRPr="00A36623" w:rsidRDefault="00224102" w:rsidP="00224102">
            <w:pPr>
              <w:ind w:right="-50"/>
              <w:jc w:val="right"/>
              <w:rPr>
                <w:rFonts w:eastAsia="Arial Unicode MS"/>
                <w:b/>
                <w:sz w:val="18"/>
                <w:szCs w:val="18"/>
              </w:rPr>
            </w:pPr>
            <w:r w:rsidRPr="00A36623">
              <w:rPr>
                <w:rFonts w:eastAsia="Arial Unicode MS"/>
                <w:b/>
                <w:sz w:val="18"/>
                <w:szCs w:val="18"/>
              </w:rPr>
              <w:t>332</w:t>
            </w:r>
            <w:r>
              <w:rPr>
                <w:rFonts w:eastAsia="Arial Unicode MS"/>
                <w:b/>
                <w:sz w:val="18"/>
                <w:szCs w:val="18"/>
              </w:rPr>
              <w:t>,</w:t>
            </w:r>
            <w:r w:rsidRPr="00A36623">
              <w:rPr>
                <w:rFonts w:eastAsia="Arial Unicode MS"/>
                <w:b/>
                <w:sz w:val="18"/>
                <w:szCs w:val="18"/>
              </w:rPr>
              <w:t>464</w:t>
            </w:r>
          </w:p>
        </w:tc>
        <w:tc>
          <w:tcPr>
            <w:tcW w:w="1304" w:type="dxa"/>
            <w:noWrap/>
            <w:vAlign w:val="bottom"/>
          </w:tcPr>
          <w:p w14:paraId="7550BC81" w14:textId="0F839303" w:rsidR="00224102" w:rsidRPr="00A36623" w:rsidRDefault="00224102" w:rsidP="00224102">
            <w:pPr>
              <w:ind w:right="-50"/>
              <w:jc w:val="right"/>
              <w:rPr>
                <w:rFonts w:eastAsia="Arial Unicode MS"/>
                <w:b/>
                <w:sz w:val="18"/>
                <w:szCs w:val="18"/>
              </w:rPr>
            </w:pPr>
            <w:r w:rsidRPr="00A36623">
              <w:rPr>
                <w:rFonts w:eastAsia="Arial Unicode MS"/>
                <w:b/>
                <w:sz w:val="18"/>
                <w:szCs w:val="18"/>
              </w:rPr>
              <w:t>275</w:t>
            </w:r>
            <w:r>
              <w:rPr>
                <w:rFonts w:eastAsia="Arial Unicode MS"/>
                <w:b/>
                <w:sz w:val="18"/>
                <w:szCs w:val="18"/>
              </w:rPr>
              <w:t>,</w:t>
            </w:r>
            <w:r w:rsidRPr="00A36623">
              <w:rPr>
                <w:rFonts w:eastAsia="Arial Unicode MS"/>
                <w:b/>
                <w:sz w:val="18"/>
                <w:szCs w:val="18"/>
              </w:rPr>
              <w:t>359</w:t>
            </w:r>
          </w:p>
        </w:tc>
        <w:tc>
          <w:tcPr>
            <w:tcW w:w="1305" w:type="dxa"/>
            <w:noWrap/>
            <w:vAlign w:val="bottom"/>
          </w:tcPr>
          <w:p w14:paraId="355CA4F6" w14:textId="61BBE156" w:rsidR="00224102" w:rsidRPr="00A36623" w:rsidRDefault="00224102" w:rsidP="00224102">
            <w:pPr>
              <w:ind w:right="-50"/>
              <w:jc w:val="right"/>
              <w:rPr>
                <w:rFonts w:eastAsia="Arial Unicode MS"/>
                <w:b/>
                <w:sz w:val="18"/>
                <w:szCs w:val="18"/>
              </w:rPr>
            </w:pPr>
            <w:r w:rsidRPr="00A36623">
              <w:rPr>
                <w:rFonts w:eastAsia="Arial Unicode MS"/>
                <w:b/>
                <w:sz w:val="18"/>
                <w:szCs w:val="18"/>
              </w:rPr>
              <w:t>7</w:t>
            </w:r>
            <w:r>
              <w:rPr>
                <w:rFonts w:eastAsia="Arial Unicode MS"/>
                <w:b/>
                <w:sz w:val="18"/>
                <w:szCs w:val="18"/>
              </w:rPr>
              <w:t>,</w:t>
            </w:r>
            <w:r w:rsidRPr="00A36623">
              <w:rPr>
                <w:rFonts w:eastAsia="Arial Unicode MS"/>
                <w:b/>
                <w:sz w:val="18"/>
                <w:szCs w:val="18"/>
              </w:rPr>
              <w:t>899</w:t>
            </w:r>
            <w:r>
              <w:rPr>
                <w:rFonts w:eastAsia="Arial Unicode MS"/>
                <w:b/>
                <w:sz w:val="18"/>
                <w:szCs w:val="18"/>
              </w:rPr>
              <w:t>,</w:t>
            </w:r>
            <w:r w:rsidRPr="00A36623">
              <w:rPr>
                <w:rFonts w:eastAsia="Arial Unicode MS"/>
                <w:b/>
                <w:sz w:val="18"/>
                <w:szCs w:val="18"/>
              </w:rPr>
              <w:t>540</w:t>
            </w:r>
          </w:p>
        </w:tc>
      </w:tr>
      <w:bookmarkEnd w:id="14"/>
    </w:tbl>
    <w:p w14:paraId="0577F269" w14:textId="77777777" w:rsidR="00C12D19" w:rsidRDefault="00C12D19" w:rsidP="00C12D19">
      <w:pPr>
        <w:tabs>
          <w:tab w:val="left" w:pos="0"/>
        </w:tabs>
        <w:jc w:val="both"/>
        <w:rPr>
          <w:sz w:val="20"/>
          <w:szCs w:val="20"/>
        </w:rPr>
      </w:pPr>
    </w:p>
    <w:p w14:paraId="659B5D5D" w14:textId="77777777" w:rsidR="00C12D19" w:rsidRDefault="00C12D19" w:rsidP="00C12D19">
      <w:pPr>
        <w:tabs>
          <w:tab w:val="left" w:pos="0"/>
        </w:tabs>
        <w:jc w:val="both"/>
        <w:rPr>
          <w:sz w:val="20"/>
          <w:szCs w:val="20"/>
        </w:rPr>
      </w:pPr>
    </w:p>
    <w:p w14:paraId="5059FC3F" w14:textId="77777777" w:rsidR="00C12D19" w:rsidRDefault="00C12D19" w:rsidP="00C12D19">
      <w:pPr>
        <w:tabs>
          <w:tab w:val="left" w:pos="0"/>
        </w:tabs>
        <w:jc w:val="both"/>
        <w:rPr>
          <w:sz w:val="20"/>
          <w:szCs w:val="20"/>
        </w:rPr>
      </w:pPr>
    </w:p>
    <w:p w14:paraId="272EDDD9" w14:textId="6671CACD" w:rsidR="00735D13" w:rsidRPr="00604C75" w:rsidRDefault="00735D13" w:rsidP="00B85547">
      <w:pPr>
        <w:pStyle w:val="NormalIndent"/>
        <w:pageBreakBefore/>
        <w:widowControl w:val="0"/>
        <w:spacing w:before="120"/>
        <w:ind w:left="0"/>
        <w:jc w:val="both"/>
        <w:rPr>
          <w:b/>
          <w:sz w:val="22"/>
          <w:szCs w:val="22"/>
        </w:rPr>
      </w:pPr>
      <w:r w:rsidRPr="00604C75">
        <w:rPr>
          <w:b/>
        </w:rPr>
        <w:lastRenderedPageBreak/>
        <w:t>INFORMATION</w:t>
      </w:r>
      <w:r w:rsidR="00A041CD">
        <w:rPr>
          <w:b/>
          <w:bCs/>
          <w:noProof/>
          <w:lang w:val="tr-TR"/>
        </w:rPr>
        <w:t xml:space="preserve"> ON THE</w:t>
      </w:r>
      <w:r w:rsidRPr="00604C75">
        <w:rPr>
          <w:b/>
          <w:bCs/>
          <w:noProof/>
          <w:lang w:val="tr-TR"/>
        </w:rPr>
        <w:t xml:space="preserve"> FINANCIAL POSITION OF THE GROUP (Continued)</w:t>
      </w:r>
    </w:p>
    <w:p w14:paraId="7109C286" w14:textId="77777777" w:rsidR="00C12D19" w:rsidRDefault="00735D13" w:rsidP="00B85547">
      <w:pPr>
        <w:pStyle w:val="Heading2"/>
        <w:tabs>
          <w:tab w:val="left" w:pos="0"/>
          <w:tab w:val="left" w:pos="426"/>
        </w:tabs>
        <w:spacing w:after="120"/>
        <w:rPr>
          <w:rFonts w:ascii="Times New Roman" w:hAnsi="Times New Roman"/>
          <w:sz w:val="20"/>
        </w:rPr>
      </w:pPr>
      <w:r>
        <w:rPr>
          <w:rFonts w:ascii="Times New Roman" w:hAnsi="Times New Roman"/>
          <w:sz w:val="20"/>
        </w:rPr>
        <w:t xml:space="preserve">II.   </w:t>
      </w:r>
      <w:r w:rsidRPr="00604C75">
        <w:rPr>
          <w:rFonts w:ascii="Times New Roman" w:hAnsi="Times New Roman"/>
          <w:sz w:val="20"/>
        </w:rPr>
        <w:t>Explanations on Credit Risk</w:t>
      </w:r>
      <w:r w:rsidRPr="00604C75" w:rsidDel="00553D7B">
        <w:rPr>
          <w:rFonts w:ascii="Times New Roman" w:hAnsi="Times New Roman"/>
          <w:sz w:val="20"/>
        </w:rPr>
        <w:t xml:space="preserve"> </w:t>
      </w:r>
      <w:r w:rsidR="00332F58" w:rsidRPr="00332F58">
        <w:rPr>
          <w:rFonts w:ascii="Times New Roman" w:hAnsi="Times New Roman"/>
          <w:bCs/>
          <w:noProof/>
          <w:sz w:val="20"/>
          <w:lang w:val="tr-TR"/>
        </w:rPr>
        <w:t>(Continued)</w:t>
      </w:r>
    </w:p>
    <w:p w14:paraId="1E788080" w14:textId="77777777" w:rsidR="00C12D19" w:rsidRPr="00BC1BD6" w:rsidRDefault="00C12D19" w:rsidP="00B85547">
      <w:pPr>
        <w:pStyle w:val="BodyTextIndent"/>
        <w:numPr>
          <w:ilvl w:val="1"/>
          <w:numId w:val="10"/>
        </w:numPr>
        <w:tabs>
          <w:tab w:val="clear" w:pos="786"/>
          <w:tab w:val="left" w:pos="0"/>
        </w:tabs>
        <w:spacing w:before="120"/>
        <w:ind w:left="0" w:firstLine="0"/>
        <w:jc w:val="both"/>
        <w:rPr>
          <w:b/>
          <w:sz w:val="20"/>
          <w:szCs w:val="20"/>
        </w:rPr>
      </w:pPr>
      <w:r w:rsidRPr="00BC1BD6">
        <w:rPr>
          <w:b/>
          <w:sz w:val="20"/>
          <w:szCs w:val="20"/>
        </w:rPr>
        <w:t>Information on loans and receivables past due but not impaired:</w:t>
      </w:r>
    </w:p>
    <w:tbl>
      <w:tblPr>
        <w:tblW w:w="9018"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70" w:type="dxa"/>
          <w:right w:w="70" w:type="dxa"/>
        </w:tblCellMar>
        <w:tblLook w:val="0000" w:firstRow="0" w:lastRow="0" w:firstColumn="0" w:lastColumn="0" w:noHBand="0" w:noVBand="0"/>
      </w:tblPr>
      <w:tblGrid>
        <w:gridCol w:w="2331"/>
        <w:gridCol w:w="1340"/>
        <w:gridCol w:w="1340"/>
        <w:gridCol w:w="1340"/>
        <w:gridCol w:w="1340"/>
        <w:gridCol w:w="1327"/>
      </w:tblGrid>
      <w:tr w:rsidR="00C12D19" w:rsidRPr="00923A53" w14:paraId="603EB2DD" w14:textId="77777777" w:rsidTr="00554C15">
        <w:trPr>
          <w:trHeight w:val="332"/>
        </w:trPr>
        <w:tc>
          <w:tcPr>
            <w:tcW w:w="2331" w:type="dxa"/>
            <w:shd w:val="clear" w:color="auto" w:fill="FFFFFF"/>
            <w:noWrap/>
            <w:vAlign w:val="bottom"/>
          </w:tcPr>
          <w:p w14:paraId="0FE65EAF" w14:textId="77777777" w:rsidR="00C12D19" w:rsidRPr="00923A53" w:rsidRDefault="00C12D19" w:rsidP="00C12D19">
            <w:pPr>
              <w:tabs>
                <w:tab w:val="left" w:pos="0"/>
              </w:tabs>
              <w:outlineLvl w:val="0"/>
              <w:rPr>
                <w:b/>
                <w:sz w:val="18"/>
                <w:szCs w:val="18"/>
              </w:rPr>
            </w:pPr>
            <w:r w:rsidRPr="00923A53">
              <w:rPr>
                <w:b/>
                <w:sz w:val="18"/>
                <w:szCs w:val="18"/>
              </w:rPr>
              <w:t xml:space="preserve">31 </w:t>
            </w:r>
            <w:r>
              <w:rPr>
                <w:b/>
                <w:sz w:val="18"/>
                <w:szCs w:val="18"/>
              </w:rPr>
              <w:t>December</w:t>
            </w:r>
            <w:r w:rsidRPr="00923A53">
              <w:rPr>
                <w:b/>
                <w:sz w:val="18"/>
                <w:szCs w:val="18"/>
              </w:rPr>
              <w:t xml:space="preserve"> 201</w:t>
            </w:r>
            <w:r w:rsidR="00735D13">
              <w:rPr>
                <w:b/>
                <w:sz w:val="18"/>
                <w:szCs w:val="18"/>
              </w:rPr>
              <w:t>5</w:t>
            </w:r>
          </w:p>
        </w:tc>
        <w:tc>
          <w:tcPr>
            <w:tcW w:w="1340" w:type="dxa"/>
            <w:shd w:val="clear" w:color="auto" w:fill="FFFFFF"/>
            <w:noWrap/>
            <w:vAlign w:val="bottom"/>
          </w:tcPr>
          <w:p w14:paraId="13CB0B2F" w14:textId="5BCC2B05" w:rsidR="00C12D19" w:rsidRPr="00923A53" w:rsidRDefault="00B85547" w:rsidP="00C12D19">
            <w:pPr>
              <w:tabs>
                <w:tab w:val="left" w:pos="0"/>
              </w:tabs>
              <w:ind w:right="-38"/>
              <w:jc w:val="right"/>
              <w:rPr>
                <w:b/>
                <w:bCs/>
                <w:sz w:val="18"/>
                <w:szCs w:val="18"/>
              </w:rPr>
            </w:pPr>
            <w:r>
              <w:rPr>
                <w:b/>
                <w:bCs/>
                <w:sz w:val="18"/>
                <w:szCs w:val="18"/>
              </w:rPr>
              <w:t>Corporate/ Commercial</w:t>
            </w:r>
          </w:p>
        </w:tc>
        <w:tc>
          <w:tcPr>
            <w:tcW w:w="1340" w:type="dxa"/>
            <w:shd w:val="clear" w:color="auto" w:fill="FFFFFF"/>
            <w:vAlign w:val="bottom"/>
          </w:tcPr>
          <w:p w14:paraId="6F78D8F9" w14:textId="77777777" w:rsidR="00C12D19" w:rsidRPr="00923A53" w:rsidRDefault="00C12D19" w:rsidP="00C12D19">
            <w:pPr>
              <w:tabs>
                <w:tab w:val="left" w:pos="0"/>
              </w:tabs>
              <w:ind w:right="-38"/>
              <w:jc w:val="right"/>
              <w:rPr>
                <w:b/>
                <w:bCs/>
                <w:sz w:val="18"/>
                <w:szCs w:val="18"/>
              </w:rPr>
            </w:pPr>
            <w:r>
              <w:rPr>
                <w:b/>
                <w:bCs/>
                <w:sz w:val="18"/>
                <w:szCs w:val="18"/>
              </w:rPr>
              <w:t>SME</w:t>
            </w:r>
          </w:p>
        </w:tc>
        <w:tc>
          <w:tcPr>
            <w:tcW w:w="1340" w:type="dxa"/>
            <w:shd w:val="clear" w:color="auto" w:fill="FFFFFF"/>
            <w:vAlign w:val="bottom"/>
          </w:tcPr>
          <w:p w14:paraId="0A28AC91" w14:textId="77777777" w:rsidR="00C12D19" w:rsidRPr="00923A53" w:rsidRDefault="00C12D19" w:rsidP="00C12D19">
            <w:pPr>
              <w:tabs>
                <w:tab w:val="left" w:pos="0"/>
              </w:tabs>
              <w:ind w:right="-38"/>
              <w:jc w:val="right"/>
              <w:rPr>
                <w:b/>
                <w:bCs/>
                <w:sz w:val="18"/>
                <w:szCs w:val="18"/>
              </w:rPr>
            </w:pPr>
            <w:r>
              <w:rPr>
                <w:b/>
                <w:bCs/>
                <w:sz w:val="18"/>
                <w:szCs w:val="18"/>
              </w:rPr>
              <w:t>Consumer</w:t>
            </w:r>
          </w:p>
        </w:tc>
        <w:tc>
          <w:tcPr>
            <w:tcW w:w="1340" w:type="dxa"/>
            <w:shd w:val="clear" w:color="auto" w:fill="FFFFFF"/>
            <w:noWrap/>
            <w:vAlign w:val="bottom"/>
          </w:tcPr>
          <w:p w14:paraId="5570DD90" w14:textId="77777777" w:rsidR="00C12D19" w:rsidRPr="00923A53" w:rsidRDefault="00C12D19" w:rsidP="00C12D19">
            <w:pPr>
              <w:tabs>
                <w:tab w:val="left" w:pos="0"/>
              </w:tabs>
              <w:ind w:right="-38"/>
              <w:jc w:val="right"/>
              <w:rPr>
                <w:b/>
                <w:bCs/>
                <w:sz w:val="18"/>
                <w:szCs w:val="18"/>
              </w:rPr>
            </w:pPr>
            <w:r>
              <w:rPr>
                <w:b/>
                <w:bCs/>
                <w:sz w:val="18"/>
                <w:szCs w:val="18"/>
              </w:rPr>
              <w:t>Credit Cards</w:t>
            </w:r>
          </w:p>
        </w:tc>
        <w:tc>
          <w:tcPr>
            <w:tcW w:w="1327" w:type="dxa"/>
            <w:shd w:val="clear" w:color="auto" w:fill="FFFFFF"/>
            <w:noWrap/>
            <w:vAlign w:val="bottom"/>
          </w:tcPr>
          <w:p w14:paraId="65F0C191" w14:textId="77777777" w:rsidR="00C12D19" w:rsidRPr="00923A53" w:rsidRDefault="00C12D19" w:rsidP="00C12D19">
            <w:pPr>
              <w:tabs>
                <w:tab w:val="left" w:pos="0"/>
              </w:tabs>
              <w:ind w:right="-38"/>
              <w:jc w:val="right"/>
              <w:rPr>
                <w:b/>
                <w:bCs/>
                <w:sz w:val="18"/>
                <w:szCs w:val="18"/>
              </w:rPr>
            </w:pPr>
            <w:r>
              <w:rPr>
                <w:b/>
                <w:bCs/>
                <w:sz w:val="18"/>
                <w:szCs w:val="18"/>
              </w:rPr>
              <w:t>Total</w:t>
            </w:r>
          </w:p>
        </w:tc>
      </w:tr>
      <w:tr w:rsidR="00224102" w:rsidRPr="00923A53" w14:paraId="39D5AC26" w14:textId="77777777" w:rsidTr="00554C15">
        <w:trPr>
          <w:trHeight w:val="221"/>
        </w:trPr>
        <w:tc>
          <w:tcPr>
            <w:tcW w:w="2331" w:type="dxa"/>
            <w:shd w:val="clear" w:color="auto" w:fill="FFFFFF"/>
            <w:noWrap/>
            <w:vAlign w:val="bottom"/>
          </w:tcPr>
          <w:p w14:paraId="6060A44C" w14:textId="26A4702C" w:rsidR="00224102" w:rsidRPr="007C0BA6" w:rsidRDefault="00224102" w:rsidP="00224102">
            <w:pPr>
              <w:outlineLvl w:val="0"/>
              <w:rPr>
                <w:sz w:val="18"/>
                <w:szCs w:val="18"/>
              </w:rPr>
            </w:pPr>
            <w:r w:rsidRPr="007C0BA6">
              <w:rPr>
                <w:sz w:val="18"/>
                <w:szCs w:val="18"/>
              </w:rPr>
              <w:t xml:space="preserve">Past due up to 30 </w:t>
            </w:r>
            <w:r>
              <w:rPr>
                <w:sz w:val="18"/>
                <w:szCs w:val="18"/>
              </w:rPr>
              <w:t>D</w:t>
            </w:r>
            <w:r w:rsidRPr="007C0BA6">
              <w:rPr>
                <w:sz w:val="18"/>
                <w:szCs w:val="18"/>
              </w:rPr>
              <w:t>ays</w:t>
            </w:r>
          </w:p>
        </w:tc>
        <w:tc>
          <w:tcPr>
            <w:tcW w:w="1340" w:type="dxa"/>
            <w:shd w:val="clear" w:color="auto" w:fill="FFFFFF"/>
            <w:noWrap/>
            <w:vAlign w:val="bottom"/>
          </w:tcPr>
          <w:p w14:paraId="768BD38B" w14:textId="50ADBF93" w:rsidR="00224102" w:rsidRPr="00A935B9" w:rsidRDefault="00224102" w:rsidP="00224102">
            <w:pPr>
              <w:jc w:val="right"/>
              <w:rPr>
                <w:sz w:val="18"/>
                <w:szCs w:val="18"/>
                <w:highlight w:val="yellow"/>
              </w:rPr>
            </w:pPr>
            <w:r w:rsidRPr="003F3682">
              <w:rPr>
                <w:sz w:val="18"/>
                <w:szCs w:val="18"/>
              </w:rPr>
              <w:t>67,106</w:t>
            </w:r>
          </w:p>
        </w:tc>
        <w:tc>
          <w:tcPr>
            <w:tcW w:w="1340" w:type="dxa"/>
            <w:shd w:val="clear" w:color="auto" w:fill="FFFFFF"/>
            <w:vAlign w:val="bottom"/>
          </w:tcPr>
          <w:p w14:paraId="6D3F76D3" w14:textId="4533BD93" w:rsidR="00224102" w:rsidRPr="00A935B9" w:rsidRDefault="00224102" w:rsidP="00224102">
            <w:pPr>
              <w:jc w:val="right"/>
              <w:rPr>
                <w:sz w:val="18"/>
                <w:szCs w:val="18"/>
                <w:highlight w:val="yellow"/>
              </w:rPr>
            </w:pPr>
            <w:r w:rsidRPr="003F3682">
              <w:rPr>
                <w:sz w:val="18"/>
                <w:szCs w:val="18"/>
              </w:rPr>
              <w:t>155,807</w:t>
            </w:r>
          </w:p>
        </w:tc>
        <w:tc>
          <w:tcPr>
            <w:tcW w:w="1340" w:type="dxa"/>
            <w:shd w:val="clear" w:color="auto" w:fill="FFFFFF"/>
            <w:vAlign w:val="bottom"/>
          </w:tcPr>
          <w:p w14:paraId="36BE7C42" w14:textId="2C8D1E03" w:rsidR="00224102" w:rsidRPr="00A935B9" w:rsidRDefault="00224102" w:rsidP="00224102">
            <w:pPr>
              <w:jc w:val="right"/>
              <w:rPr>
                <w:sz w:val="18"/>
                <w:szCs w:val="18"/>
                <w:highlight w:val="yellow"/>
              </w:rPr>
            </w:pPr>
            <w:r w:rsidRPr="003F3682">
              <w:rPr>
                <w:sz w:val="18"/>
                <w:szCs w:val="18"/>
              </w:rPr>
              <w:t>69,763</w:t>
            </w:r>
          </w:p>
        </w:tc>
        <w:tc>
          <w:tcPr>
            <w:tcW w:w="1340" w:type="dxa"/>
            <w:shd w:val="clear" w:color="auto" w:fill="FFFFFF"/>
            <w:noWrap/>
            <w:vAlign w:val="bottom"/>
          </w:tcPr>
          <w:p w14:paraId="44B1B057" w14:textId="70E14CEE" w:rsidR="00224102" w:rsidRPr="00A935B9" w:rsidRDefault="00224102" w:rsidP="00224102">
            <w:pPr>
              <w:jc w:val="right"/>
              <w:rPr>
                <w:sz w:val="18"/>
                <w:szCs w:val="18"/>
                <w:highlight w:val="yellow"/>
              </w:rPr>
            </w:pPr>
            <w:r w:rsidRPr="003F3682">
              <w:rPr>
                <w:sz w:val="18"/>
                <w:szCs w:val="18"/>
              </w:rPr>
              <w:t>7,623</w:t>
            </w:r>
          </w:p>
        </w:tc>
        <w:tc>
          <w:tcPr>
            <w:tcW w:w="1327" w:type="dxa"/>
            <w:shd w:val="clear" w:color="auto" w:fill="FFFFFF"/>
            <w:noWrap/>
            <w:vAlign w:val="bottom"/>
          </w:tcPr>
          <w:p w14:paraId="6FC6D491" w14:textId="5A8D2D7E" w:rsidR="00224102" w:rsidRPr="00A935B9" w:rsidRDefault="00224102" w:rsidP="00224102">
            <w:pPr>
              <w:jc w:val="right"/>
              <w:rPr>
                <w:sz w:val="18"/>
                <w:szCs w:val="18"/>
                <w:highlight w:val="yellow"/>
              </w:rPr>
            </w:pPr>
            <w:r w:rsidRPr="003F3682">
              <w:rPr>
                <w:sz w:val="18"/>
                <w:szCs w:val="18"/>
              </w:rPr>
              <w:t>300,299</w:t>
            </w:r>
          </w:p>
        </w:tc>
      </w:tr>
      <w:tr w:rsidR="00224102" w:rsidRPr="00923A53" w14:paraId="35A6263E" w14:textId="77777777" w:rsidTr="00554C15">
        <w:trPr>
          <w:trHeight w:val="221"/>
        </w:trPr>
        <w:tc>
          <w:tcPr>
            <w:tcW w:w="2331" w:type="dxa"/>
            <w:shd w:val="clear" w:color="auto" w:fill="FFFFFF"/>
            <w:noWrap/>
            <w:vAlign w:val="bottom"/>
          </w:tcPr>
          <w:p w14:paraId="5539EFD1" w14:textId="0D700581" w:rsidR="00224102" w:rsidRPr="007C0BA6" w:rsidRDefault="00224102" w:rsidP="00224102">
            <w:pPr>
              <w:outlineLvl w:val="0"/>
              <w:rPr>
                <w:sz w:val="18"/>
                <w:szCs w:val="18"/>
              </w:rPr>
            </w:pPr>
            <w:r w:rsidRPr="007C0BA6">
              <w:rPr>
                <w:sz w:val="18"/>
                <w:szCs w:val="18"/>
              </w:rPr>
              <w:t xml:space="preserve">Past due 30-60 </w:t>
            </w:r>
            <w:r>
              <w:rPr>
                <w:sz w:val="18"/>
                <w:szCs w:val="18"/>
              </w:rPr>
              <w:t>D</w:t>
            </w:r>
            <w:r w:rsidRPr="007C0BA6">
              <w:rPr>
                <w:sz w:val="18"/>
                <w:szCs w:val="18"/>
              </w:rPr>
              <w:t>ays</w:t>
            </w:r>
          </w:p>
        </w:tc>
        <w:tc>
          <w:tcPr>
            <w:tcW w:w="1340" w:type="dxa"/>
            <w:shd w:val="clear" w:color="auto" w:fill="FFFFFF"/>
            <w:noWrap/>
            <w:vAlign w:val="bottom"/>
          </w:tcPr>
          <w:p w14:paraId="2AB1FFBE" w14:textId="1386E54D" w:rsidR="00224102" w:rsidRPr="00A935B9" w:rsidRDefault="00224102" w:rsidP="00224102">
            <w:pPr>
              <w:jc w:val="right"/>
              <w:rPr>
                <w:sz w:val="18"/>
                <w:szCs w:val="18"/>
                <w:highlight w:val="yellow"/>
              </w:rPr>
            </w:pPr>
            <w:r w:rsidRPr="003F3682">
              <w:rPr>
                <w:sz w:val="18"/>
                <w:szCs w:val="18"/>
              </w:rPr>
              <w:t>106,48</w:t>
            </w:r>
            <w:r>
              <w:rPr>
                <w:sz w:val="18"/>
                <w:szCs w:val="18"/>
              </w:rPr>
              <w:t>4</w:t>
            </w:r>
          </w:p>
        </w:tc>
        <w:tc>
          <w:tcPr>
            <w:tcW w:w="1340" w:type="dxa"/>
            <w:shd w:val="clear" w:color="auto" w:fill="FFFFFF"/>
            <w:vAlign w:val="bottom"/>
          </w:tcPr>
          <w:p w14:paraId="09ACD533" w14:textId="5619DF3D" w:rsidR="00224102" w:rsidRPr="00A935B9" w:rsidRDefault="00224102" w:rsidP="00224102">
            <w:pPr>
              <w:jc w:val="right"/>
              <w:rPr>
                <w:sz w:val="18"/>
                <w:szCs w:val="18"/>
                <w:highlight w:val="yellow"/>
              </w:rPr>
            </w:pPr>
            <w:r w:rsidRPr="003F3682">
              <w:rPr>
                <w:sz w:val="18"/>
                <w:szCs w:val="18"/>
              </w:rPr>
              <w:t>229,247</w:t>
            </w:r>
          </w:p>
        </w:tc>
        <w:tc>
          <w:tcPr>
            <w:tcW w:w="1340" w:type="dxa"/>
            <w:shd w:val="clear" w:color="auto" w:fill="FFFFFF"/>
            <w:vAlign w:val="bottom"/>
          </w:tcPr>
          <w:p w14:paraId="467BA958" w14:textId="4A2CF49F" w:rsidR="00224102" w:rsidRPr="00A935B9" w:rsidRDefault="00224102" w:rsidP="00224102">
            <w:pPr>
              <w:jc w:val="right"/>
              <w:rPr>
                <w:sz w:val="18"/>
                <w:szCs w:val="18"/>
                <w:highlight w:val="yellow"/>
              </w:rPr>
            </w:pPr>
            <w:r w:rsidRPr="003F3682">
              <w:rPr>
                <w:sz w:val="18"/>
                <w:szCs w:val="18"/>
              </w:rPr>
              <w:t>21,04</w:t>
            </w:r>
            <w:r>
              <w:rPr>
                <w:sz w:val="18"/>
                <w:szCs w:val="18"/>
              </w:rPr>
              <w:t>3</w:t>
            </w:r>
          </w:p>
        </w:tc>
        <w:tc>
          <w:tcPr>
            <w:tcW w:w="1340" w:type="dxa"/>
            <w:shd w:val="clear" w:color="auto" w:fill="FFFFFF"/>
            <w:noWrap/>
            <w:vAlign w:val="bottom"/>
          </w:tcPr>
          <w:p w14:paraId="111C6811" w14:textId="622CD745" w:rsidR="00224102" w:rsidRPr="00A935B9" w:rsidRDefault="00224102" w:rsidP="00224102">
            <w:pPr>
              <w:jc w:val="right"/>
              <w:rPr>
                <w:sz w:val="18"/>
                <w:szCs w:val="18"/>
                <w:highlight w:val="yellow"/>
              </w:rPr>
            </w:pPr>
            <w:r w:rsidRPr="003F3682">
              <w:rPr>
                <w:sz w:val="18"/>
                <w:szCs w:val="18"/>
              </w:rPr>
              <w:t>4,143</w:t>
            </w:r>
          </w:p>
        </w:tc>
        <w:tc>
          <w:tcPr>
            <w:tcW w:w="1327" w:type="dxa"/>
            <w:shd w:val="clear" w:color="auto" w:fill="FFFFFF"/>
            <w:noWrap/>
            <w:vAlign w:val="bottom"/>
          </w:tcPr>
          <w:p w14:paraId="09D11884" w14:textId="0196DC50" w:rsidR="00224102" w:rsidRPr="00A935B9" w:rsidRDefault="00224102" w:rsidP="00224102">
            <w:pPr>
              <w:jc w:val="right"/>
              <w:rPr>
                <w:sz w:val="18"/>
                <w:szCs w:val="18"/>
                <w:highlight w:val="yellow"/>
              </w:rPr>
            </w:pPr>
            <w:r w:rsidRPr="003F3682">
              <w:rPr>
                <w:sz w:val="18"/>
                <w:szCs w:val="18"/>
              </w:rPr>
              <w:t>360,91</w:t>
            </w:r>
            <w:r>
              <w:rPr>
                <w:sz w:val="18"/>
                <w:szCs w:val="18"/>
              </w:rPr>
              <w:t>7</w:t>
            </w:r>
          </w:p>
        </w:tc>
      </w:tr>
      <w:tr w:rsidR="00224102" w:rsidRPr="00923A53" w14:paraId="481CED43" w14:textId="77777777" w:rsidTr="00554C15">
        <w:trPr>
          <w:trHeight w:val="221"/>
        </w:trPr>
        <w:tc>
          <w:tcPr>
            <w:tcW w:w="2331" w:type="dxa"/>
            <w:shd w:val="clear" w:color="auto" w:fill="FFFFFF"/>
            <w:noWrap/>
            <w:vAlign w:val="bottom"/>
          </w:tcPr>
          <w:p w14:paraId="4215EB65" w14:textId="1D8FDE36" w:rsidR="00224102" w:rsidRPr="007C0BA6" w:rsidRDefault="00224102" w:rsidP="00224102">
            <w:pPr>
              <w:outlineLvl w:val="0"/>
              <w:rPr>
                <w:sz w:val="18"/>
                <w:szCs w:val="18"/>
              </w:rPr>
            </w:pPr>
            <w:r w:rsidRPr="007C0BA6">
              <w:rPr>
                <w:sz w:val="18"/>
                <w:szCs w:val="18"/>
              </w:rPr>
              <w:t xml:space="preserve">Past due 60-90 </w:t>
            </w:r>
            <w:r>
              <w:rPr>
                <w:sz w:val="18"/>
                <w:szCs w:val="18"/>
              </w:rPr>
              <w:t>D</w:t>
            </w:r>
            <w:r w:rsidRPr="007C0BA6">
              <w:rPr>
                <w:sz w:val="18"/>
                <w:szCs w:val="18"/>
              </w:rPr>
              <w:t>ays</w:t>
            </w:r>
          </w:p>
        </w:tc>
        <w:tc>
          <w:tcPr>
            <w:tcW w:w="1340" w:type="dxa"/>
            <w:shd w:val="clear" w:color="auto" w:fill="FFFFFF"/>
            <w:noWrap/>
            <w:vAlign w:val="bottom"/>
          </w:tcPr>
          <w:p w14:paraId="5DF4577C" w14:textId="60BC2FF1" w:rsidR="00224102" w:rsidRPr="00A935B9" w:rsidRDefault="00224102" w:rsidP="00224102">
            <w:pPr>
              <w:jc w:val="right"/>
              <w:rPr>
                <w:sz w:val="18"/>
                <w:szCs w:val="18"/>
                <w:highlight w:val="yellow"/>
              </w:rPr>
            </w:pPr>
            <w:r w:rsidRPr="003F3682">
              <w:rPr>
                <w:sz w:val="18"/>
                <w:szCs w:val="18"/>
              </w:rPr>
              <w:t>19,73</w:t>
            </w:r>
            <w:r>
              <w:rPr>
                <w:sz w:val="18"/>
                <w:szCs w:val="18"/>
              </w:rPr>
              <w:t>1</w:t>
            </w:r>
          </w:p>
        </w:tc>
        <w:tc>
          <w:tcPr>
            <w:tcW w:w="1340" w:type="dxa"/>
            <w:shd w:val="clear" w:color="auto" w:fill="FFFFFF"/>
            <w:vAlign w:val="bottom"/>
          </w:tcPr>
          <w:p w14:paraId="01CD0911" w14:textId="382F4FFE" w:rsidR="00224102" w:rsidRPr="00A935B9" w:rsidRDefault="00224102" w:rsidP="00224102">
            <w:pPr>
              <w:jc w:val="right"/>
              <w:rPr>
                <w:sz w:val="18"/>
                <w:szCs w:val="18"/>
                <w:highlight w:val="yellow"/>
              </w:rPr>
            </w:pPr>
            <w:r w:rsidRPr="003F3682">
              <w:rPr>
                <w:sz w:val="18"/>
                <w:szCs w:val="18"/>
              </w:rPr>
              <w:t>82,159</w:t>
            </w:r>
          </w:p>
        </w:tc>
        <w:tc>
          <w:tcPr>
            <w:tcW w:w="1340" w:type="dxa"/>
            <w:shd w:val="clear" w:color="auto" w:fill="FFFFFF"/>
            <w:vAlign w:val="bottom"/>
          </w:tcPr>
          <w:p w14:paraId="31E17C8F" w14:textId="07C127D4" w:rsidR="00224102" w:rsidRPr="00A935B9" w:rsidRDefault="00224102" w:rsidP="00224102">
            <w:pPr>
              <w:jc w:val="right"/>
              <w:rPr>
                <w:sz w:val="18"/>
                <w:szCs w:val="18"/>
                <w:highlight w:val="yellow"/>
              </w:rPr>
            </w:pPr>
            <w:r w:rsidRPr="003F3682">
              <w:rPr>
                <w:sz w:val="18"/>
                <w:szCs w:val="18"/>
              </w:rPr>
              <w:t>6,382</w:t>
            </w:r>
          </w:p>
        </w:tc>
        <w:tc>
          <w:tcPr>
            <w:tcW w:w="1340" w:type="dxa"/>
            <w:shd w:val="clear" w:color="auto" w:fill="FFFFFF"/>
            <w:noWrap/>
            <w:vAlign w:val="bottom"/>
          </w:tcPr>
          <w:p w14:paraId="32745A4F" w14:textId="609D8702" w:rsidR="00224102" w:rsidRPr="00A935B9" w:rsidRDefault="00224102" w:rsidP="00224102">
            <w:pPr>
              <w:jc w:val="right"/>
              <w:rPr>
                <w:sz w:val="18"/>
                <w:szCs w:val="18"/>
                <w:highlight w:val="yellow"/>
              </w:rPr>
            </w:pPr>
            <w:r w:rsidRPr="003F3682">
              <w:rPr>
                <w:sz w:val="18"/>
                <w:szCs w:val="18"/>
              </w:rPr>
              <w:t>1,272</w:t>
            </w:r>
          </w:p>
        </w:tc>
        <w:tc>
          <w:tcPr>
            <w:tcW w:w="1327" w:type="dxa"/>
            <w:shd w:val="clear" w:color="auto" w:fill="FFFFFF"/>
            <w:noWrap/>
            <w:vAlign w:val="bottom"/>
          </w:tcPr>
          <w:p w14:paraId="34B969CF" w14:textId="4717B49E" w:rsidR="00224102" w:rsidRPr="00A935B9" w:rsidRDefault="00224102" w:rsidP="00224102">
            <w:pPr>
              <w:jc w:val="right"/>
              <w:rPr>
                <w:sz w:val="18"/>
                <w:szCs w:val="18"/>
                <w:highlight w:val="yellow"/>
              </w:rPr>
            </w:pPr>
            <w:r w:rsidRPr="003F3682">
              <w:rPr>
                <w:sz w:val="18"/>
                <w:szCs w:val="18"/>
              </w:rPr>
              <w:t>109,54</w:t>
            </w:r>
            <w:r>
              <w:rPr>
                <w:sz w:val="18"/>
                <w:szCs w:val="18"/>
              </w:rPr>
              <w:t>4</w:t>
            </w:r>
          </w:p>
        </w:tc>
      </w:tr>
      <w:tr w:rsidR="00224102" w:rsidRPr="00923A53" w14:paraId="34F33F9B" w14:textId="77777777" w:rsidTr="00554C15">
        <w:trPr>
          <w:trHeight w:val="235"/>
        </w:trPr>
        <w:tc>
          <w:tcPr>
            <w:tcW w:w="2331" w:type="dxa"/>
            <w:shd w:val="clear" w:color="auto" w:fill="FFFFFF"/>
            <w:noWrap/>
            <w:vAlign w:val="bottom"/>
          </w:tcPr>
          <w:p w14:paraId="18C6EC9F" w14:textId="77777777" w:rsidR="00224102" w:rsidRPr="00923A53" w:rsidRDefault="00224102" w:rsidP="00224102">
            <w:pPr>
              <w:outlineLvl w:val="0"/>
              <w:rPr>
                <w:b/>
                <w:sz w:val="18"/>
                <w:szCs w:val="18"/>
              </w:rPr>
            </w:pPr>
            <w:r>
              <w:rPr>
                <w:b/>
                <w:sz w:val="18"/>
                <w:szCs w:val="18"/>
              </w:rPr>
              <w:t>Total</w:t>
            </w:r>
          </w:p>
        </w:tc>
        <w:tc>
          <w:tcPr>
            <w:tcW w:w="1340" w:type="dxa"/>
            <w:shd w:val="clear" w:color="auto" w:fill="FFFFFF"/>
            <w:noWrap/>
            <w:vAlign w:val="bottom"/>
          </w:tcPr>
          <w:p w14:paraId="22705BF7" w14:textId="03A87506" w:rsidR="00224102" w:rsidRPr="00A935B9" w:rsidRDefault="00224102" w:rsidP="00224102">
            <w:pPr>
              <w:jc w:val="right"/>
              <w:rPr>
                <w:b/>
                <w:bCs/>
                <w:sz w:val="18"/>
                <w:szCs w:val="18"/>
                <w:highlight w:val="yellow"/>
              </w:rPr>
            </w:pPr>
            <w:r w:rsidRPr="003F3682">
              <w:rPr>
                <w:b/>
                <w:bCs/>
                <w:sz w:val="18"/>
                <w:szCs w:val="18"/>
              </w:rPr>
              <w:t>193,32</w:t>
            </w:r>
            <w:r>
              <w:rPr>
                <w:b/>
                <w:bCs/>
                <w:sz w:val="18"/>
                <w:szCs w:val="18"/>
              </w:rPr>
              <w:t>1</w:t>
            </w:r>
          </w:p>
        </w:tc>
        <w:tc>
          <w:tcPr>
            <w:tcW w:w="1340" w:type="dxa"/>
            <w:shd w:val="clear" w:color="auto" w:fill="FFFFFF"/>
            <w:vAlign w:val="bottom"/>
          </w:tcPr>
          <w:p w14:paraId="4B84E227" w14:textId="79ED8DAB" w:rsidR="00224102" w:rsidRPr="00A935B9" w:rsidRDefault="00224102" w:rsidP="00224102">
            <w:pPr>
              <w:jc w:val="right"/>
              <w:rPr>
                <w:b/>
                <w:bCs/>
                <w:sz w:val="18"/>
                <w:szCs w:val="18"/>
                <w:highlight w:val="yellow"/>
              </w:rPr>
            </w:pPr>
            <w:r w:rsidRPr="003F3682">
              <w:rPr>
                <w:b/>
                <w:bCs/>
                <w:sz w:val="18"/>
                <w:szCs w:val="18"/>
              </w:rPr>
              <w:t>467,213</w:t>
            </w:r>
          </w:p>
        </w:tc>
        <w:tc>
          <w:tcPr>
            <w:tcW w:w="1340" w:type="dxa"/>
            <w:shd w:val="clear" w:color="auto" w:fill="FFFFFF"/>
            <w:vAlign w:val="bottom"/>
          </w:tcPr>
          <w:p w14:paraId="43E4E0B0" w14:textId="03CE9348" w:rsidR="00224102" w:rsidRPr="00A935B9" w:rsidRDefault="00224102" w:rsidP="00224102">
            <w:pPr>
              <w:jc w:val="right"/>
              <w:rPr>
                <w:b/>
                <w:bCs/>
                <w:sz w:val="18"/>
                <w:szCs w:val="18"/>
                <w:highlight w:val="yellow"/>
              </w:rPr>
            </w:pPr>
            <w:r w:rsidRPr="003F3682">
              <w:rPr>
                <w:b/>
                <w:bCs/>
                <w:sz w:val="18"/>
                <w:szCs w:val="18"/>
              </w:rPr>
              <w:t>97,18</w:t>
            </w:r>
            <w:r>
              <w:rPr>
                <w:b/>
                <w:bCs/>
                <w:sz w:val="18"/>
                <w:szCs w:val="18"/>
              </w:rPr>
              <w:t>8</w:t>
            </w:r>
          </w:p>
        </w:tc>
        <w:tc>
          <w:tcPr>
            <w:tcW w:w="1340" w:type="dxa"/>
            <w:shd w:val="clear" w:color="auto" w:fill="FFFFFF"/>
            <w:noWrap/>
            <w:vAlign w:val="bottom"/>
          </w:tcPr>
          <w:p w14:paraId="3E8C96B4" w14:textId="1CE281CB" w:rsidR="00224102" w:rsidRPr="00A935B9" w:rsidRDefault="00224102" w:rsidP="00224102">
            <w:pPr>
              <w:jc w:val="right"/>
              <w:rPr>
                <w:b/>
                <w:bCs/>
                <w:sz w:val="18"/>
                <w:szCs w:val="18"/>
                <w:highlight w:val="yellow"/>
              </w:rPr>
            </w:pPr>
            <w:r w:rsidRPr="003F3682">
              <w:rPr>
                <w:b/>
                <w:bCs/>
                <w:sz w:val="18"/>
                <w:szCs w:val="18"/>
              </w:rPr>
              <w:t>13,038</w:t>
            </w:r>
          </w:p>
        </w:tc>
        <w:tc>
          <w:tcPr>
            <w:tcW w:w="1327" w:type="dxa"/>
            <w:shd w:val="clear" w:color="auto" w:fill="FFFFFF"/>
            <w:noWrap/>
            <w:vAlign w:val="bottom"/>
          </w:tcPr>
          <w:p w14:paraId="327E5E45" w14:textId="06D84399" w:rsidR="00224102" w:rsidRPr="00A935B9" w:rsidRDefault="00224102" w:rsidP="00224102">
            <w:pPr>
              <w:jc w:val="right"/>
              <w:rPr>
                <w:b/>
                <w:bCs/>
                <w:sz w:val="18"/>
                <w:szCs w:val="18"/>
                <w:highlight w:val="yellow"/>
              </w:rPr>
            </w:pPr>
            <w:r w:rsidRPr="003F3682">
              <w:rPr>
                <w:b/>
                <w:bCs/>
                <w:sz w:val="18"/>
                <w:szCs w:val="18"/>
              </w:rPr>
              <w:t>770,7</w:t>
            </w:r>
            <w:r>
              <w:rPr>
                <w:b/>
                <w:bCs/>
                <w:sz w:val="18"/>
                <w:szCs w:val="18"/>
              </w:rPr>
              <w:t>60</w:t>
            </w:r>
          </w:p>
        </w:tc>
      </w:tr>
    </w:tbl>
    <w:p w14:paraId="72DBDC2C" w14:textId="77777777" w:rsidR="00C12D19" w:rsidRDefault="00C12D19" w:rsidP="00C12D19">
      <w:pPr>
        <w:widowControl w:val="0"/>
        <w:rPr>
          <w:b/>
          <w:sz w:val="20"/>
          <w:szCs w:val="20"/>
        </w:rPr>
      </w:pPr>
    </w:p>
    <w:tbl>
      <w:tblPr>
        <w:tblW w:w="9017"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85"/>
        <w:gridCol w:w="1494"/>
        <w:gridCol w:w="1349"/>
        <w:gridCol w:w="1348"/>
        <w:gridCol w:w="1349"/>
        <w:gridCol w:w="1292"/>
      </w:tblGrid>
      <w:tr w:rsidR="00C12D19" w:rsidRPr="00923A53" w14:paraId="5CF46E55" w14:textId="77777777" w:rsidTr="00554C15">
        <w:trPr>
          <w:trHeight w:val="351"/>
        </w:trPr>
        <w:tc>
          <w:tcPr>
            <w:tcW w:w="2185" w:type="dxa"/>
            <w:noWrap/>
            <w:vAlign w:val="bottom"/>
          </w:tcPr>
          <w:p w14:paraId="779A6D08" w14:textId="77777777" w:rsidR="00C12D19" w:rsidRPr="00923A53" w:rsidRDefault="00C12D19" w:rsidP="00400883">
            <w:pPr>
              <w:widowControl w:val="0"/>
              <w:outlineLvl w:val="0"/>
              <w:rPr>
                <w:b/>
                <w:sz w:val="18"/>
                <w:szCs w:val="18"/>
              </w:rPr>
            </w:pPr>
            <w:r>
              <w:rPr>
                <w:b/>
                <w:sz w:val="18"/>
                <w:szCs w:val="18"/>
              </w:rPr>
              <w:t>31 December</w:t>
            </w:r>
            <w:r w:rsidR="00735D13">
              <w:rPr>
                <w:b/>
                <w:sz w:val="18"/>
                <w:szCs w:val="18"/>
              </w:rPr>
              <w:t xml:space="preserve"> 2014</w:t>
            </w:r>
          </w:p>
        </w:tc>
        <w:tc>
          <w:tcPr>
            <w:tcW w:w="1494" w:type="dxa"/>
            <w:noWrap/>
            <w:vAlign w:val="bottom"/>
          </w:tcPr>
          <w:p w14:paraId="7A55BF38" w14:textId="5A463AC4" w:rsidR="00C12D19" w:rsidRPr="00923A53" w:rsidRDefault="00B85547" w:rsidP="00400883">
            <w:pPr>
              <w:widowControl w:val="0"/>
              <w:ind w:right="-50"/>
              <w:jc w:val="right"/>
              <w:rPr>
                <w:b/>
                <w:bCs/>
                <w:sz w:val="18"/>
                <w:szCs w:val="18"/>
              </w:rPr>
            </w:pPr>
            <w:r>
              <w:rPr>
                <w:b/>
                <w:bCs/>
                <w:sz w:val="18"/>
                <w:szCs w:val="18"/>
              </w:rPr>
              <w:t>Corporate/ Commercial</w:t>
            </w:r>
          </w:p>
        </w:tc>
        <w:tc>
          <w:tcPr>
            <w:tcW w:w="1349" w:type="dxa"/>
            <w:vAlign w:val="bottom"/>
          </w:tcPr>
          <w:p w14:paraId="4695B62A" w14:textId="77777777" w:rsidR="00C12D19" w:rsidRPr="00923A53" w:rsidRDefault="00C12D19" w:rsidP="00400883">
            <w:pPr>
              <w:widowControl w:val="0"/>
              <w:ind w:right="-50"/>
              <w:jc w:val="right"/>
              <w:rPr>
                <w:b/>
                <w:bCs/>
                <w:sz w:val="18"/>
                <w:szCs w:val="18"/>
              </w:rPr>
            </w:pPr>
            <w:r>
              <w:rPr>
                <w:b/>
                <w:bCs/>
                <w:sz w:val="18"/>
                <w:szCs w:val="18"/>
              </w:rPr>
              <w:t>SME</w:t>
            </w:r>
          </w:p>
        </w:tc>
        <w:tc>
          <w:tcPr>
            <w:tcW w:w="1348" w:type="dxa"/>
            <w:vAlign w:val="bottom"/>
          </w:tcPr>
          <w:p w14:paraId="787A359B" w14:textId="77777777" w:rsidR="00C12D19" w:rsidRPr="00923A53" w:rsidRDefault="00C12D19" w:rsidP="00400883">
            <w:pPr>
              <w:widowControl w:val="0"/>
              <w:ind w:right="-50"/>
              <w:jc w:val="right"/>
              <w:rPr>
                <w:b/>
                <w:bCs/>
                <w:sz w:val="18"/>
                <w:szCs w:val="18"/>
              </w:rPr>
            </w:pPr>
            <w:r>
              <w:rPr>
                <w:b/>
                <w:bCs/>
                <w:sz w:val="18"/>
                <w:szCs w:val="18"/>
              </w:rPr>
              <w:t>Consumer</w:t>
            </w:r>
          </w:p>
        </w:tc>
        <w:tc>
          <w:tcPr>
            <w:tcW w:w="1349" w:type="dxa"/>
            <w:noWrap/>
            <w:vAlign w:val="bottom"/>
          </w:tcPr>
          <w:p w14:paraId="03677F09" w14:textId="77777777" w:rsidR="00C12D19" w:rsidRPr="00923A53" w:rsidRDefault="00C12D19" w:rsidP="00400883">
            <w:pPr>
              <w:widowControl w:val="0"/>
              <w:ind w:right="-50"/>
              <w:jc w:val="right"/>
              <w:rPr>
                <w:b/>
                <w:bCs/>
                <w:sz w:val="18"/>
                <w:szCs w:val="18"/>
              </w:rPr>
            </w:pPr>
            <w:r>
              <w:rPr>
                <w:b/>
                <w:bCs/>
                <w:sz w:val="18"/>
                <w:szCs w:val="18"/>
              </w:rPr>
              <w:t>Credit Cards</w:t>
            </w:r>
          </w:p>
        </w:tc>
        <w:tc>
          <w:tcPr>
            <w:tcW w:w="1292" w:type="dxa"/>
            <w:noWrap/>
            <w:vAlign w:val="bottom"/>
          </w:tcPr>
          <w:p w14:paraId="34813C56" w14:textId="77777777" w:rsidR="00C12D19" w:rsidRPr="00923A53" w:rsidRDefault="00C12D19" w:rsidP="00400883">
            <w:pPr>
              <w:widowControl w:val="0"/>
              <w:ind w:right="-50"/>
              <w:jc w:val="right"/>
              <w:rPr>
                <w:b/>
                <w:bCs/>
                <w:sz w:val="18"/>
                <w:szCs w:val="18"/>
              </w:rPr>
            </w:pPr>
            <w:r>
              <w:rPr>
                <w:b/>
                <w:bCs/>
                <w:sz w:val="18"/>
                <w:szCs w:val="18"/>
              </w:rPr>
              <w:t>Total</w:t>
            </w:r>
          </w:p>
        </w:tc>
      </w:tr>
      <w:tr w:rsidR="00224102" w:rsidRPr="00923A53" w14:paraId="2AF0C195" w14:textId="77777777" w:rsidTr="00554C15">
        <w:trPr>
          <w:trHeight w:val="234"/>
        </w:trPr>
        <w:tc>
          <w:tcPr>
            <w:tcW w:w="2185" w:type="dxa"/>
            <w:noWrap/>
            <w:vAlign w:val="bottom"/>
          </w:tcPr>
          <w:p w14:paraId="28398A79" w14:textId="334C87DF" w:rsidR="00224102" w:rsidRPr="007C0BA6" w:rsidRDefault="00224102" w:rsidP="00224102">
            <w:pPr>
              <w:widowControl w:val="0"/>
              <w:outlineLvl w:val="0"/>
              <w:rPr>
                <w:sz w:val="18"/>
                <w:szCs w:val="18"/>
              </w:rPr>
            </w:pPr>
            <w:r w:rsidRPr="007C0BA6">
              <w:rPr>
                <w:sz w:val="18"/>
                <w:szCs w:val="18"/>
              </w:rPr>
              <w:t xml:space="preserve">Past due up to 30 </w:t>
            </w:r>
            <w:r>
              <w:rPr>
                <w:sz w:val="18"/>
                <w:szCs w:val="18"/>
              </w:rPr>
              <w:t>D</w:t>
            </w:r>
            <w:r w:rsidRPr="007C0BA6">
              <w:rPr>
                <w:sz w:val="18"/>
                <w:szCs w:val="18"/>
              </w:rPr>
              <w:t>ays</w:t>
            </w:r>
          </w:p>
        </w:tc>
        <w:tc>
          <w:tcPr>
            <w:tcW w:w="1494" w:type="dxa"/>
            <w:noWrap/>
            <w:vAlign w:val="bottom"/>
          </w:tcPr>
          <w:p w14:paraId="42820465" w14:textId="552EF6DA" w:rsidR="00224102" w:rsidRPr="00A36623" w:rsidRDefault="00224102" w:rsidP="00224102">
            <w:pPr>
              <w:spacing w:line="228" w:lineRule="auto"/>
              <w:ind w:right="-21"/>
              <w:jc w:val="right"/>
              <w:rPr>
                <w:rFonts w:eastAsia="Arial Unicode MS"/>
                <w:sz w:val="18"/>
                <w:szCs w:val="18"/>
              </w:rPr>
            </w:pPr>
            <w:r w:rsidRPr="00A36623">
              <w:rPr>
                <w:rFonts w:eastAsia="Arial Unicode MS"/>
                <w:sz w:val="18"/>
                <w:szCs w:val="18"/>
              </w:rPr>
              <w:t>189</w:t>
            </w:r>
            <w:r>
              <w:rPr>
                <w:rFonts w:eastAsia="Arial Unicode MS"/>
                <w:sz w:val="18"/>
                <w:szCs w:val="18"/>
              </w:rPr>
              <w:t>,</w:t>
            </w:r>
            <w:r w:rsidRPr="00A36623">
              <w:rPr>
                <w:rFonts w:eastAsia="Arial Unicode MS"/>
                <w:sz w:val="18"/>
                <w:szCs w:val="18"/>
              </w:rPr>
              <w:t>983</w:t>
            </w:r>
          </w:p>
        </w:tc>
        <w:tc>
          <w:tcPr>
            <w:tcW w:w="1349" w:type="dxa"/>
            <w:vAlign w:val="bottom"/>
          </w:tcPr>
          <w:p w14:paraId="10EF78A0" w14:textId="56CF3F8A" w:rsidR="00224102" w:rsidRPr="00A36623" w:rsidRDefault="00224102" w:rsidP="00224102">
            <w:pPr>
              <w:spacing w:line="228" w:lineRule="auto"/>
              <w:ind w:right="-21"/>
              <w:jc w:val="right"/>
              <w:rPr>
                <w:rFonts w:eastAsia="Arial Unicode MS"/>
                <w:sz w:val="18"/>
                <w:szCs w:val="18"/>
              </w:rPr>
            </w:pPr>
            <w:r w:rsidRPr="00A36623">
              <w:rPr>
                <w:rFonts w:eastAsia="Arial Unicode MS"/>
                <w:sz w:val="18"/>
                <w:szCs w:val="18"/>
              </w:rPr>
              <w:t>304</w:t>
            </w:r>
            <w:r>
              <w:rPr>
                <w:rFonts w:eastAsia="Arial Unicode MS"/>
                <w:sz w:val="18"/>
                <w:szCs w:val="18"/>
              </w:rPr>
              <w:t>,</w:t>
            </w:r>
            <w:r w:rsidRPr="00A36623">
              <w:rPr>
                <w:rFonts w:eastAsia="Arial Unicode MS"/>
                <w:sz w:val="18"/>
                <w:szCs w:val="18"/>
              </w:rPr>
              <w:t>276</w:t>
            </w:r>
          </w:p>
        </w:tc>
        <w:tc>
          <w:tcPr>
            <w:tcW w:w="1348" w:type="dxa"/>
            <w:vAlign w:val="bottom"/>
          </w:tcPr>
          <w:p w14:paraId="4DF3551C" w14:textId="1E0708B7" w:rsidR="00224102" w:rsidRPr="00A36623" w:rsidRDefault="00224102" w:rsidP="00224102">
            <w:pPr>
              <w:spacing w:line="228" w:lineRule="auto"/>
              <w:ind w:right="-21"/>
              <w:jc w:val="right"/>
              <w:rPr>
                <w:rFonts w:eastAsia="Arial Unicode MS"/>
                <w:sz w:val="18"/>
                <w:szCs w:val="18"/>
              </w:rPr>
            </w:pPr>
            <w:r w:rsidRPr="00A36623">
              <w:rPr>
                <w:rFonts w:eastAsia="Arial Unicode MS"/>
                <w:sz w:val="18"/>
                <w:szCs w:val="18"/>
              </w:rPr>
              <w:t>111</w:t>
            </w:r>
            <w:r>
              <w:rPr>
                <w:rFonts w:eastAsia="Arial Unicode MS"/>
                <w:sz w:val="18"/>
                <w:szCs w:val="18"/>
              </w:rPr>
              <w:t>,</w:t>
            </w:r>
            <w:r w:rsidRPr="00A36623">
              <w:rPr>
                <w:rFonts w:eastAsia="Arial Unicode MS"/>
                <w:sz w:val="18"/>
                <w:szCs w:val="18"/>
              </w:rPr>
              <w:t>326</w:t>
            </w:r>
          </w:p>
        </w:tc>
        <w:tc>
          <w:tcPr>
            <w:tcW w:w="1349" w:type="dxa"/>
            <w:noWrap/>
            <w:vAlign w:val="bottom"/>
          </w:tcPr>
          <w:p w14:paraId="0B14FBDA" w14:textId="2B084574" w:rsidR="00224102" w:rsidRPr="00A36623" w:rsidRDefault="00224102" w:rsidP="00224102">
            <w:pPr>
              <w:spacing w:line="228" w:lineRule="auto"/>
              <w:ind w:right="-21"/>
              <w:jc w:val="right"/>
              <w:rPr>
                <w:rFonts w:eastAsia="Arial Unicode MS"/>
                <w:sz w:val="18"/>
                <w:szCs w:val="18"/>
              </w:rPr>
            </w:pPr>
            <w:r w:rsidRPr="00A36623">
              <w:rPr>
                <w:rFonts w:eastAsia="Arial Unicode MS"/>
                <w:sz w:val="18"/>
                <w:szCs w:val="18"/>
              </w:rPr>
              <w:t>32</w:t>
            </w:r>
            <w:r>
              <w:rPr>
                <w:rFonts w:eastAsia="Arial Unicode MS"/>
                <w:sz w:val="18"/>
                <w:szCs w:val="18"/>
              </w:rPr>
              <w:t>,</w:t>
            </w:r>
            <w:r w:rsidRPr="00A36623">
              <w:rPr>
                <w:rFonts w:eastAsia="Arial Unicode MS"/>
                <w:sz w:val="18"/>
                <w:szCs w:val="18"/>
              </w:rPr>
              <w:t>339</w:t>
            </w:r>
          </w:p>
        </w:tc>
        <w:tc>
          <w:tcPr>
            <w:tcW w:w="1292" w:type="dxa"/>
            <w:noWrap/>
            <w:vAlign w:val="bottom"/>
          </w:tcPr>
          <w:p w14:paraId="3F0E8428" w14:textId="4C9C41B0" w:rsidR="00224102" w:rsidRPr="00A36623" w:rsidRDefault="00224102" w:rsidP="00224102">
            <w:pPr>
              <w:spacing w:line="228" w:lineRule="auto"/>
              <w:ind w:right="-21"/>
              <w:jc w:val="right"/>
              <w:rPr>
                <w:rFonts w:eastAsia="Arial Unicode MS"/>
                <w:sz w:val="18"/>
                <w:szCs w:val="18"/>
              </w:rPr>
            </w:pPr>
            <w:r w:rsidRPr="00A36623">
              <w:rPr>
                <w:rFonts w:eastAsia="Arial Unicode MS"/>
                <w:sz w:val="18"/>
                <w:szCs w:val="18"/>
              </w:rPr>
              <w:t>637</w:t>
            </w:r>
            <w:r>
              <w:rPr>
                <w:rFonts w:eastAsia="Arial Unicode MS"/>
                <w:sz w:val="18"/>
                <w:szCs w:val="18"/>
              </w:rPr>
              <w:t>,</w:t>
            </w:r>
            <w:r w:rsidRPr="00A36623">
              <w:rPr>
                <w:rFonts w:eastAsia="Arial Unicode MS"/>
                <w:sz w:val="18"/>
                <w:szCs w:val="18"/>
              </w:rPr>
              <w:t>924</w:t>
            </w:r>
          </w:p>
        </w:tc>
      </w:tr>
      <w:tr w:rsidR="00224102" w:rsidRPr="00923A53" w14:paraId="6314B483" w14:textId="77777777" w:rsidTr="00554C15">
        <w:trPr>
          <w:trHeight w:val="234"/>
        </w:trPr>
        <w:tc>
          <w:tcPr>
            <w:tcW w:w="2185" w:type="dxa"/>
            <w:noWrap/>
            <w:vAlign w:val="bottom"/>
          </w:tcPr>
          <w:p w14:paraId="713F3CCE" w14:textId="1A055014" w:rsidR="00224102" w:rsidRPr="007C0BA6" w:rsidRDefault="00224102" w:rsidP="00224102">
            <w:pPr>
              <w:widowControl w:val="0"/>
              <w:outlineLvl w:val="0"/>
              <w:rPr>
                <w:sz w:val="18"/>
                <w:szCs w:val="18"/>
              </w:rPr>
            </w:pPr>
            <w:r w:rsidRPr="007C0BA6">
              <w:rPr>
                <w:sz w:val="18"/>
                <w:szCs w:val="18"/>
              </w:rPr>
              <w:t xml:space="preserve">Past due 30-60 </w:t>
            </w:r>
            <w:r>
              <w:rPr>
                <w:sz w:val="18"/>
                <w:szCs w:val="18"/>
              </w:rPr>
              <w:t>D</w:t>
            </w:r>
            <w:r w:rsidRPr="007C0BA6">
              <w:rPr>
                <w:sz w:val="18"/>
                <w:szCs w:val="18"/>
              </w:rPr>
              <w:t>ays</w:t>
            </w:r>
          </w:p>
        </w:tc>
        <w:tc>
          <w:tcPr>
            <w:tcW w:w="1494" w:type="dxa"/>
            <w:noWrap/>
            <w:vAlign w:val="bottom"/>
          </w:tcPr>
          <w:p w14:paraId="220C9636" w14:textId="4FA5BE45" w:rsidR="00224102" w:rsidRPr="00A36623" w:rsidRDefault="00224102" w:rsidP="00224102">
            <w:pPr>
              <w:spacing w:line="228" w:lineRule="auto"/>
              <w:ind w:right="-21"/>
              <w:jc w:val="right"/>
              <w:rPr>
                <w:rFonts w:eastAsia="Arial Unicode MS"/>
                <w:sz w:val="18"/>
                <w:szCs w:val="18"/>
              </w:rPr>
            </w:pPr>
            <w:r w:rsidRPr="00A36623">
              <w:rPr>
                <w:rFonts w:eastAsia="Arial Unicode MS"/>
                <w:sz w:val="18"/>
                <w:szCs w:val="18"/>
              </w:rPr>
              <w:t>16</w:t>
            </w:r>
            <w:r>
              <w:rPr>
                <w:rFonts w:eastAsia="Arial Unicode MS"/>
                <w:sz w:val="18"/>
                <w:szCs w:val="18"/>
              </w:rPr>
              <w:t>,</w:t>
            </w:r>
            <w:r w:rsidRPr="00A36623">
              <w:rPr>
                <w:rFonts w:eastAsia="Arial Unicode MS"/>
                <w:sz w:val="18"/>
                <w:szCs w:val="18"/>
              </w:rPr>
              <w:t>743</w:t>
            </w:r>
          </w:p>
        </w:tc>
        <w:tc>
          <w:tcPr>
            <w:tcW w:w="1349" w:type="dxa"/>
            <w:vAlign w:val="bottom"/>
          </w:tcPr>
          <w:p w14:paraId="57EB5455" w14:textId="0E185D74" w:rsidR="00224102" w:rsidRPr="00A36623" w:rsidRDefault="00224102" w:rsidP="00224102">
            <w:pPr>
              <w:spacing w:line="228" w:lineRule="auto"/>
              <w:ind w:right="-21"/>
              <w:jc w:val="right"/>
              <w:rPr>
                <w:rFonts w:eastAsia="Arial Unicode MS"/>
                <w:sz w:val="18"/>
                <w:szCs w:val="18"/>
              </w:rPr>
            </w:pPr>
            <w:r w:rsidRPr="008632A7">
              <w:rPr>
                <w:rFonts w:eastAsia="Arial Unicode MS"/>
                <w:sz w:val="18"/>
                <w:szCs w:val="18"/>
              </w:rPr>
              <w:t>54,532</w:t>
            </w:r>
          </w:p>
        </w:tc>
        <w:tc>
          <w:tcPr>
            <w:tcW w:w="1348" w:type="dxa"/>
            <w:vAlign w:val="bottom"/>
          </w:tcPr>
          <w:p w14:paraId="7A0F1BFD" w14:textId="5EAF1169" w:rsidR="00224102" w:rsidRPr="00A36623" w:rsidRDefault="00224102" w:rsidP="00224102">
            <w:pPr>
              <w:spacing w:line="228" w:lineRule="auto"/>
              <w:ind w:right="-21"/>
              <w:jc w:val="right"/>
              <w:rPr>
                <w:rFonts w:eastAsia="Arial Unicode MS"/>
                <w:sz w:val="18"/>
                <w:szCs w:val="18"/>
              </w:rPr>
            </w:pPr>
            <w:r w:rsidRPr="008632A7">
              <w:rPr>
                <w:rFonts w:eastAsia="Arial Unicode MS"/>
                <w:sz w:val="18"/>
                <w:szCs w:val="18"/>
              </w:rPr>
              <w:t>27,189</w:t>
            </w:r>
          </w:p>
        </w:tc>
        <w:tc>
          <w:tcPr>
            <w:tcW w:w="1349" w:type="dxa"/>
            <w:noWrap/>
            <w:vAlign w:val="bottom"/>
          </w:tcPr>
          <w:p w14:paraId="30B1B451" w14:textId="7C7FA381" w:rsidR="00224102" w:rsidRPr="00A36623" w:rsidRDefault="00224102" w:rsidP="00224102">
            <w:pPr>
              <w:spacing w:line="228" w:lineRule="auto"/>
              <w:ind w:right="-21"/>
              <w:jc w:val="right"/>
              <w:rPr>
                <w:rFonts w:eastAsia="Arial Unicode MS"/>
                <w:sz w:val="18"/>
                <w:szCs w:val="18"/>
              </w:rPr>
            </w:pPr>
            <w:r w:rsidRPr="008632A7">
              <w:rPr>
                <w:rFonts w:eastAsia="Arial Unicode MS"/>
                <w:sz w:val="18"/>
                <w:szCs w:val="18"/>
              </w:rPr>
              <w:t>9,133</w:t>
            </w:r>
          </w:p>
        </w:tc>
        <w:tc>
          <w:tcPr>
            <w:tcW w:w="1292" w:type="dxa"/>
            <w:noWrap/>
            <w:vAlign w:val="bottom"/>
          </w:tcPr>
          <w:p w14:paraId="2C5F678F" w14:textId="5922CF21" w:rsidR="00224102" w:rsidRPr="00A36623" w:rsidRDefault="00224102" w:rsidP="00224102">
            <w:pPr>
              <w:spacing w:line="228" w:lineRule="auto"/>
              <w:ind w:right="-21"/>
              <w:jc w:val="right"/>
              <w:rPr>
                <w:rFonts w:eastAsia="Arial Unicode MS"/>
                <w:sz w:val="18"/>
                <w:szCs w:val="18"/>
              </w:rPr>
            </w:pPr>
            <w:r w:rsidRPr="008632A7">
              <w:rPr>
                <w:rFonts w:eastAsia="Arial Unicode MS"/>
                <w:sz w:val="18"/>
                <w:szCs w:val="18"/>
              </w:rPr>
              <w:t>107,597</w:t>
            </w:r>
          </w:p>
        </w:tc>
      </w:tr>
      <w:tr w:rsidR="00224102" w:rsidRPr="00923A53" w14:paraId="5B37B735" w14:textId="77777777" w:rsidTr="00554C15">
        <w:trPr>
          <w:trHeight w:val="234"/>
        </w:trPr>
        <w:tc>
          <w:tcPr>
            <w:tcW w:w="2185" w:type="dxa"/>
            <w:noWrap/>
            <w:vAlign w:val="bottom"/>
          </w:tcPr>
          <w:p w14:paraId="2C5DDE15" w14:textId="58DDCF7A" w:rsidR="00224102" w:rsidRPr="007C0BA6" w:rsidRDefault="00224102" w:rsidP="00224102">
            <w:pPr>
              <w:widowControl w:val="0"/>
              <w:outlineLvl w:val="0"/>
              <w:rPr>
                <w:sz w:val="18"/>
                <w:szCs w:val="18"/>
              </w:rPr>
            </w:pPr>
            <w:r w:rsidRPr="007C0BA6">
              <w:rPr>
                <w:sz w:val="18"/>
                <w:szCs w:val="18"/>
              </w:rPr>
              <w:t xml:space="preserve">Past due 60-90 </w:t>
            </w:r>
            <w:r>
              <w:rPr>
                <w:sz w:val="18"/>
                <w:szCs w:val="18"/>
              </w:rPr>
              <w:t>D</w:t>
            </w:r>
            <w:r w:rsidRPr="007C0BA6">
              <w:rPr>
                <w:sz w:val="18"/>
                <w:szCs w:val="18"/>
              </w:rPr>
              <w:t>ays</w:t>
            </w:r>
          </w:p>
        </w:tc>
        <w:tc>
          <w:tcPr>
            <w:tcW w:w="1494" w:type="dxa"/>
            <w:noWrap/>
            <w:vAlign w:val="bottom"/>
          </w:tcPr>
          <w:p w14:paraId="281D92F6" w14:textId="39734892" w:rsidR="00224102" w:rsidRPr="00A36623" w:rsidRDefault="00224102" w:rsidP="00224102">
            <w:pPr>
              <w:spacing w:line="228" w:lineRule="auto"/>
              <w:ind w:right="-21"/>
              <w:jc w:val="right"/>
              <w:rPr>
                <w:rFonts w:eastAsia="Arial Unicode MS"/>
                <w:sz w:val="18"/>
                <w:szCs w:val="18"/>
              </w:rPr>
            </w:pPr>
            <w:r w:rsidRPr="00A36623">
              <w:rPr>
                <w:rFonts w:eastAsia="Arial Unicode MS"/>
                <w:sz w:val="18"/>
                <w:szCs w:val="18"/>
              </w:rPr>
              <w:t>15</w:t>
            </w:r>
            <w:r>
              <w:rPr>
                <w:rFonts w:eastAsia="Arial Unicode MS"/>
                <w:sz w:val="18"/>
                <w:szCs w:val="18"/>
              </w:rPr>
              <w:t>,</w:t>
            </w:r>
            <w:r w:rsidRPr="00A36623">
              <w:rPr>
                <w:rFonts w:eastAsia="Arial Unicode MS"/>
                <w:sz w:val="18"/>
                <w:szCs w:val="18"/>
              </w:rPr>
              <w:t>862</w:t>
            </w:r>
          </w:p>
        </w:tc>
        <w:tc>
          <w:tcPr>
            <w:tcW w:w="1349" w:type="dxa"/>
            <w:vAlign w:val="bottom"/>
          </w:tcPr>
          <w:p w14:paraId="119BBE36" w14:textId="0C561776" w:rsidR="00224102" w:rsidRPr="00A36623" w:rsidRDefault="00224102" w:rsidP="00224102">
            <w:pPr>
              <w:spacing w:line="228" w:lineRule="auto"/>
              <w:ind w:right="-21"/>
              <w:jc w:val="right"/>
              <w:rPr>
                <w:rFonts w:eastAsia="Arial Unicode MS"/>
                <w:sz w:val="18"/>
                <w:szCs w:val="18"/>
              </w:rPr>
            </w:pPr>
            <w:r w:rsidRPr="008632A7">
              <w:rPr>
                <w:rFonts w:eastAsia="Arial Unicode MS"/>
                <w:sz w:val="18"/>
                <w:szCs w:val="18"/>
              </w:rPr>
              <w:t>41,164</w:t>
            </w:r>
          </w:p>
        </w:tc>
        <w:tc>
          <w:tcPr>
            <w:tcW w:w="1348" w:type="dxa"/>
            <w:vAlign w:val="bottom"/>
          </w:tcPr>
          <w:p w14:paraId="1EDCE51A" w14:textId="5D2EE290" w:rsidR="00224102" w:rsidRPr="00A36623" w:rsidRDefault="00224102" w:rsidP="00224102">
            <w:pPr>
              <w:spacing w:line="228" w:lineRule="auto"/>
              <w:ind w:right="-21"/>
              <w:jc w:val="right"/>
              <w:rPr>
                <w:rFonts w:eastAsia="Arial Unicode MS"/>
                <w:sz w:val="18"/>
                <w:szCs w:val="18"/>
              </w:rPr>
            </w:pPr>
            <w:r w:rsidRPr="008632A7">
              <w:rPr>
                <w:rFonts w:eastAsia="Arial Unicode MS"/>
                <w:sz w:val="18"/>
                <w:szCs w:val="18"/>
              </w:rPr>
              <w:t>16,646</w:t>
            </w:r>
          </w:p>
        </w:tc>
        <w:tc>
          <w:tcPr>
            <w:tcW w:w="1349" w:type="dxa"/>
            <w:noWrap/>
            <w:vAlign w:val="bottom"/>
          </w:tcPr>
          <w:p w14:paraId="1B4DD4DD" w14:textId="7C85B8CE" w:rsidR="00224102" w:rsidRPr="00A36623" w:rsidRDefault="00224102" w:rsidP="00224102">
            <w:pPr>
              <w:spacing w:line="228" w:lineRule="auto"/>
              <w:ind w:right="-21"/>
              <w:jc w:val="right"/>
              <w:rPr>
                <w:rFonts w:eastAsia="Arial Unicode MS"/>
                <w:sz w:val="18"/>
                <w:szCs w:val="18"/>
              </w:rPr>
            </w:pPr>
            <w:r w:rsidRPr="008632A7">
              <w:rPr>
                <w:rFonts w:eastAsia="Arial Unicode MS"/>
                <w:sz w:val="18"/>
                <w:szCs w:val="18"/>
              </w:rPr>
              <w:t>5,736</w:t>
            </w:r>
          </w:p>
        </w:tc>
        <w:tc>
          <w:tcPr>
            <w:tcW w:w="1292" w:type="dxa"/>
            <w:noWrap/>
            <w:vAlign w:val="bottom"/>
          </w:tcPr>
          <w:p w14:paraId="13EBE187" w14:textId="40B785EF" w:rsidR="00224102" w:rsidRPr="00A36623" w:rsidRDefault="00224102" w:rsidP="00224102">
            <w:pPr>
              <w:spacing w:line="228" w:lineRule="auto"/>
              <w:ind w:right="-21"/>
              <w:jc w:val="right"/>
              <w:rPr>
                <w:rFonts w:eastAsia="Arial Unicode MS"/>
                <w:sz w:val="18"/>
                <w:szCs w:val="18"/>
              </w:rPr>
            </w:pPr>
            <w:r w:rsidRPr="008632A7">
              <w:rPr>
                <w:rFonts w:eastAsia="Arial Unicode MS"/>
                <w:sz w:val="18"/>
                <w:szCs w:val="18"/>
              </w:rPr>
              <w:t>79,408</w:t>
            </w:r>
          </w:p>
        </w:tc>
      </w:tr>
      <w:tr w:rsidR="00224102" w:rsidRPr="00923A53" w14:paraId="507CAA52" w14:textId="77777777" w:rsidTr="00554C15">
        <w:trPr>
          <w:trHeight w:val="248"/>
        </w:trPr>
        <w:tc>
          <w:tcPr>
            <w:tcW w:w="2185" w:type="dxa"/>
            <w:noWrap/>
            <w:vAlign w:val="bottom"/>
          </w:tcPr>
          <w:p w14:paraId="037C4AD1" w14:textId="77777777" w:rsidR="00224102" w:rsidRPr="00923A53" w:rsidRDefault="00224102" w:rsidP="00224102">
            <w:pPr>
              <w:widowControl w:val="0"/>
              <w:outlineLvl w:val="0"/>
              <w:rPr>
                <w:b/>
                <w:sz w:val="18"/>
                <w:szCs w:val="18"/>
              </w:rPr>
            </w:pPr>
            <w:r>
              <w:rPr>
                <w:b/>
                <w:sz w:val="18"/>
                <w:szCs w:val="18"/>
              </w:rPr>
              <w:t>Total</w:t>
            </w:r>
          </w:p>
        </w:tc>
        <w:tc>
          <w:tcPr>
            <w:tcW w:w="1494" w:type="dxa"/>
            <w:noWrap/>
            <w:vAlign w:val="bottom"/>
          </w:tcPr>
          <w:p w14:paraId="524EF03E" w14:textId="3A8CBAA2" w:rsidR="00224102" w:rsidRPr="00A36623" w:rsidRDefault="00224102" w:rsidP="00224102">
            <w:pPr>
              <w:spacing w:line="228" w:lineRule="auto"/>
              <w:ind w:right="-21"/>
              <w:jc w:val="right"/>
              <w:rPr>
                <w:rFonts w:eastAsia="Arial Unicode MS"/>
                <w:b/>
                <w:sz w:val="18"/>
                <w:szCs w:val="18"/>
              </w:rPr>
            </w:pPr>
            <w:r w:rsidRPr="00A36623">
              <w:rPr>
                <w:rFonts w:eastAsia="Arial Unicode MS"/>
                <w:b/>
                <w:sz w:val="18"/>
                <w:szCs w:val="18"/>
              </w:rPr>
              <w:t>222</w:t>
            </w:r>
            <w:r>
              <w:rPr>
                <w:rFonts w:eastAsia="Arial Unicode MS"/>
                <w:b/>
                <w:sz w:val="18"/>
                <w:szCs w:val="18"/>
              </w:rPr>
              <w:t>,</w:t>
            </w:r>
            <w:r w:rsidRPr="00A36623">
              <w:rPr>
                <w:rFonts w:eastAsia="Arial Unicode MS"/>
                <w:b/>
                <w:sz w:val="18"/>
                <w:szCs w:val="18"/>
              </w:rPr>
              <w:t>588</w:t>
            </w:r>
          </w:p>
        </w:tc>
        <w:tc>
          <w:tcPr>
            <w:tcW w:w="1349" w:type="dxa"/>
            <w:vAlign w:val="bottom"/>
          </w:tcPr>
          <w:p w14:paraId="39635CD5" w14:textId="1CAFF36F" w:rsidR="00224102" w:rsidRPr="00A36623" w:rsidRDefault="00224102" w:rsidP="00224102">
            <w:pPr>
              <w:spacing w:line="228" w:lineRule="auto"/>
              <w:ind w:right="-21"/>
              <w:jc w:val="right"/>
              <w:rPr>
                <w:rFonts w:eastAsia="Arial Unicode MS"/>
                <w:b/>
                <w:sz w:val="18"/>
                <w:szCs w:val="18"/>
              </w:rPr>
            </w:pPr>
            <w:r w:rsidRPr="00A36623">
              <w:rPr>
                <w:rFonts w:eastAsia="Arial Unicode MS"/>
                <w:b/>
                <w:sz w:val="18"/>
                <w:szCs w:val="18"/>
              </w:rPr>
              <w:t>399</w:t>
            </w:r>
            <w:r>
              <w:rPr>
                <w:rFonts w:eastAsia="Arial Unicode MS"/>
                <w:b/>
                <w:sz w:val="18"/>
                <w:szCs w:val="18"/>
              </w:rPr>
              <w:t>,</w:t>
            </w:r>
            <w:r w:rsidRPr="00A36623">
              <w:rPr>
                <w:rFonts w:eastAsia="Arial Unicode MS"/>
                <w:b/>
                <w:sz w:val="18"/>
                <w:szCs w:val="18"/>
              </w:rPr>
              <w:t>97</w:t>
            </w:r>
            <w:r>
              <w:rPr>
                <w:rFonts w:eastAsia="Arial Unicode MS"/>
                <w:b/>
                <w:sz w:val="18"/>
                <w:szCs w:val="18"/>
              </w:rPr>
              <w:t>2</w:t>
            </w:r>
          </w:p>
        </w:tc>
        <w:tc>
          <w:tcPr>
            <w:tcW w:w="1348" w:type="dxa"/>
            <w:vAlign w:val="bottom"/>
          </w:tcPr>
          <w:p w14:paraId="33ED16D8" w14:textId="0BCFB5B0" w:rsidR="00224102" w:rsidRPr="00A36623" w:rsidRDefault="00224102" w:rsidP="00224102">
            <w:pPr>
              <w:spacing w:line="228" w:lineRule="auto"/>
              <w:ind w:right="-21"/>
              <w:jc w:val="right"/>
              <w:rPr>
                <w:rFonts w:eastAsia="Arial Unicode MS"/>
                <w:b/>
                <w:sz w:val="18"/>
                <w:szCs w:val="18"/>
              </w:rPr>
            </w:pPr>
            <w:r w:rsidRPr="00A36623">
              <w:rPr>
                <w:rFonts w:eastAsia="Arial Unicode MS"/>
                <w:b/>
                <w:sz w:val="18"/>
                <w:szCs w:val="18"/>
              </w:rPr>
              <w:t>155</w:t>
            </w:r>
            <w:r>
              <w:rPr>
                <w:rFonts w:eastAsia="Arial Unicode MS"/>
                <w:b/>
                <w:sz w:val="18"/>
                <w:szCs w:val="18"/>
              </w:rPr>
              <w:t>,</w:t>
            </w:r>
            <w:r w:rsidRPr="00A36623">
              <w:rPr>
                <w:rFonts w:eastAsia="Arial Unicode MS"/>
                <w:b/>
                <w:sz w:val="18"/>
                <w:szCs w:val="18"/>
              </w:rPr>
              <w:t>161</w:t>
            </w:r>
          </w:p>
        </w:tc>
        <w:tc>
          <w:tcPr>
            <w:tcW w:w="1349" w:type="dxa"/>
            <w:noWrap/>
            <w:vAlign w:val="bottom"/>
          </w:tcPr>
          <w:p w14:paraId="2992308A" w14:textId="6EFC167F" w:rsidR="00224102" w:rsidRPr="00A36623" w:rsidRDefault="00224102" w:rsidP="00224102">
            <w:pPr>
              <w:spacing w:line="228" w:lineRule="auto"/>
              <w:ind w:right="-21"/>
              <w:jc w:val="right"/>
              <w:rPr>
                <w:rFonts w:eastAsia="Arial Unicode MS"/>
                <w:b/>
                <w:sz w:val="18"/>
                <w:szCs w:val="18"/>
              </w:rPr>
            </w:pPr>
            <w:r w:rsidRPr="00A36623">
              <w:rPr>
                <w:rFonts w:eastAsia="Arial Unicode MS"/>
                <w:b/>
                <w:sz w:val="18"/>
                <w:szCs w:val="18"/>
              </w:rPr>
              <w:t>47</w:t>
            </w:r>
            <w:r>
              <w:rPr>
                <w:rFonts w:eastAsia="Arial Unicode MS"/>
                <w:b/>
                <w:sz w:val="18"/>
                <w:szCs w:val="18"/>
              </w:rPr>
              <w:t>,</w:t>
            </w:r>
            <w:r w:rsidRPr="00A36623">
              <w:rPr>
                <w:rFonts w:eastAsia="Arial Unicode MS"/>
                <w:b/>
                <w:sz w:val="18"/>
                <w:szCs w:val="18"/>
              </w:rPr>
              <w:t>208</w:t>
            </w:r>
          </w:p>
        </w:tc>
        <w:tc>
          <w:tcPr>
            <w:tcW w:w="1292" w:type="dxa"/>
            <w:noWrap/>
            <w:vAlign w:val="bottom"/>
          </w:tcPr>
          <w:p w14:paraId="685CF054" w14:textId="5EBF4474" w:rsidR="00224102" w:rsidRPr="00A36623" w:rsidRDefault="00224102" w:rsidP="00224102">
            <w:pPr>
              <w:spacing w:line="228" w:lineRule="auto"/>
              <w:ind w:right="-21"/>
              <w:jc w:val="right"/>
              <w:rPr>
                <w:rFonts w:eastAsia="Arial Unicode MS"/>
                <w:b/>
                <w:sz w:val="18"/>
                <w:szCs w:val="18"/>
              </w:rPr>
            </w:pPr>
            <w:r w:rsidRPr="00A36623">
              <w:rPr>
                <w:rFonts w:eastAsia="Arial Unicode MS"/>
                <w:b/>
                <w:sz w:val="18"/>
                <w:szCs w:val="18"/>
              </w:rPr>
              <w:t>824</w:t>
            </w:r>
            <w:r>
              <w:rPr>
                <w:rFonts w:eastAsia="Arial Unicode MS"/>
                <w:b/>
                <w:sz w:val="18"/>
                <w:szCs w:val="18"/>
              </w:rPr>
              <w:t>,</w:t>
            </w:r>
            <w:r w:rsidRPr="00A36623">
              <w:rPr>
                <w:rFonts w:eastAsia="Arial Unicode MS"/>
                <w:b/>
                <w:sz w:val="18"/>
                <w:szCs w:val="18"/>
              </w:rPr>
              <w:t>92</w:t>
            </w:r>
            <w:r>
              <w:rPr>
                <w:rFonts w:eastAsia="Arial Unicode MS"/>
                <w:b/>
                <w:sz w:val="18"/>
                <w:szCs w:val="18"/>
              </w:rPr>
              <w:t>9</w:t>
            </w:r>
          </w:p>
        </w:tc>
      </w:tr>
    </w:tbl>
    <w:p w14:paraId="3F8BA6C8" w14:textId="77777777" w:rsidR="00C12D19" w:rsidRPr="00BC1BD6" w:rsidRDefault="00C12D19" w:rsidP="00B85547">
      <w:pPr>
        <w:pStyle w:val="BodyTextIndent"/>
        <w:widowControl w:val="0"/>
        <w:numPr>
          <w:ilvl w:val="1"/>
          <w:numId w:val="10"/>
        </w:numPr>
        <w:tabs>
          <w:tab w:val="clear" w:pos="786"/>
        </w:tabs>
        <w:spacing w:before="120"/>
        <w:ind w:left="0" w:firstLine="0"/>
        <w:jc w:val="both"/>
        <w:rPr>
          <w:b/>
          <w:sz w:val="20"/>
          <w:szCs w:val="20"/>
        </w:rPr>
      </w:pPr>
      <w:r w:rsidRPr="00BC1BD6">
        <w:rPr>
          <w:b/>
          <w:sz w:val="20"/>
          <w:szCs w:val="20"/>
        </w:rPr>
        <w:t>Information on debt securities, treasury bills and other bills:</w:t>
      </w:r>
    </w:p>
    <w:tbl>
      <w:tblPr>
        <w:tblW w:w="8987"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0000"/>
        <w:tblCellMar>
          <w:left w:w="70" w:type="dxa"/>
          <w:right w:w="70" w:type="dxa"/>
        </w:tblCellMar>
        <w:tblLook w:val="0000" w:firstRow="0" w:lastRow="0" w:firstColumn="0" w:lastColumn="0" w:noHBand="0" w:noVBand="0"/>
      </w:tblPr>
      <w:tblGrid>
        <w:gridCol w:w="1758"/>
        <w:gridCol w:w="2007"/>
        <w:gridCol w:w="1806"/>
        <w:gridCol w:w="1469"/>
        <w:gridCol w:w="1113"/>
        <w:gridCol w:w="834"/>
      </w:tblGrid>
      <w:tr w:rsidR="00E50B4B" w:rsidRPr="00923A53" w14:paraId="2165E026" w14:textId="77777777" w:rsidTr="00554C15">
        <w:trPr>
          <w:trHeight w:val="643"/>
        </w:trPr>
        <w:tc>
          <w:tcPr>
            <w:tcW w:w="1758" w:type="dxa"/>
            <w:shd w:val="clear" w:color="auto" w:fill="auto"/>
            <w:noWrap/>
          </w:tcPr>
          <w:p w14:paraId="2D07BA12" w14:textId="77777777" w:rsidR="00E50B4B" w:rsidRPr="00923A53" w:rsidRDefault="00E50B4B" w:rsidP="00400883">
            <w:pPr>
              <w:widowControl w:val="0"/>
              <w:outlineLvl w:val="0"/>
              <w:rPr>
                <w:b/>
                <w:bCs/>
                <w:sz w:val="18"/>
                <w:szCs w:val="18"/>
              </w:rPr>
            </w:pPr>
            <w:bookmarkStart w:id="15" w:name="OLE_LINK71"/>
          </w:p>
          <w:p w14:paraId="1C79FFCF" w14:textId="77777777" w:rsidR="00E50B4B" w:rsidRPr="00923A53" w:rsidRDefault="00E50B4B" w:rsidP="00400883">
            <w:pPr>
              <w:widowControl w:val="0"/>
              <w:outlineLvl w:val="0"/>
              <w:rPr>
                <w:b/>
                <w:bCs/>
                <w:sz w:val="18"/>
                <w:szCs w:val="18"/>
              </w:rPr>
            </w:pPr>
            <w:r w:rsidRPr="00923A53">
              <w:rPr>
                <w:b/>
                <w:bCs/>
                <w:sz w:val="18"/>
                <w:szCs w:val="18"/>
              </w:rPr>
              <w:t xml:space="preserve">31 </w:t>
            </w:r>
            <w:r>
              <w:rPr>
                <w:b/>
                <w:bCs/>
                <w:sz w:val="18"/>
                <w:szCs w:val="18"/>
              </w:rPr>
              <w:t>December 2015</w:t>
            </w:r>
          </w:p>
          <w:p w14:paraId="0F5775AE" w14:textId="77777777" w:rsidR="00E50B4B" w:rsidRPr="00923A53" w:rsidRDefault="00E50B4B" w:rsidP="00400883">
            <w:pPr>
              <w:widowControl w:val="0"/>
              <w:outlineLvl w:val="0"/>
              <w:rPr>
                <w:b/>
                <w:bCs/>
                <w:sz w:val="18"/>
                <w:szCs w:val="18"/>
              </w:rPr>
            </w:pPr>
          </w:p>
          <w:p w14:paraId="294A40A5" w14:textId="77777777" w:rsidR="00E50B4B" w:rsidRPr="00923A53" w:rsidRDefault="00E50B4B" w:rsidP="00400883">
            <w:pPr>
              <w:widowControl w:val="0"/>
              <w:outlineLvl w:val="0"/>
              <w:rPr>
                <w:sz w:val="18"/>
                <w:szCs w:val="18"/>
              </w:rPr>
            </w:pPr>
            <w:r w:rsidRPr="00923A53">
              <w:rPr>
                <w:b/>
                <w:bCs/>
                <w:sz w:val="18"/>
                <w:szCs w:val="18"/>
              </w:rPr>
              <w:t>Fitch’s Rating</w:t>
            </w:r>
          </w:p>
        </w:tc>
        <w:tc>
          <w:tcPr>
            <w:tcW w:w="2007" w:type="dxa"/>
            <w:shd w:val="clear" w:color="auto" w:fill="auto"/>
            <w:noWrap/>
            <w:vAlign w:val="bottom"/>
          </w:tcPr>
          <w:p w14:paraId="209EC8C5" w14:textId="77777777" w:rsidR="00E50B4B" w:rsidRPr="00923A53" w:rsidRDefault="00E50B4B" w:rsidP="00400883">
            <w:pPr>
              <w:widowControl w:val="0"/>
              <w:ind w:right="-33"/>
              <w:jc w:val="right"/>
              <w:rPr>
                <w:b/>
              </w:rPr>
            </w:pPr>
            <w:r w:rsidRPr="007C0BA6">
              <w:rPr>
                <w:b/>
                <w:bCs/>
                <w:sz w:val="18"/>
                <w:szCs w:val="18"/>
              </w:rPr>
              <w:t>Financial Assets at Fair Value through P/L (Net)</w:t>
            </w:r>
          </w:p>
        </w:tc>
        <w:tc>
          <w:tcPr>
            <w:tcW w:w="1806" w:type="dxa"/>
            <w:shd w:val="clear" w:color="auto" w:fill="auto"/>
            <w:noWrap/>
            <w:vAlign w:val="bottom"/>
          </w:tcPr>
          <w:p w14:paraId="0688E458" w14:textId="77777777" w:rsidR="00E50B4B" w:rsidRPr="00923A53" w:rsidRDefault="00E50B4B" w:rsidP="00400883">
            <w:pPr>
              <w:widowControl w:val="0"/>
              <w:ind w:right="-33"/>
              <w:jc w:val="right"/>
              <w:rPr>
                <w:b/>
              </w:rPr>
            </w:pPr>
            <w:r w:rsidRPr="007C0BA6">
              <w:rPr>
                <w:b/>
                <w:bCs/>
                <w:sz w:val="18"/>
                <w:szCs w:val="18"/>
              </w:rPr>
              <w:t>Available for Sale Financial Assets (Net)</w:t>
            </w:r>
          </w:p>
        </w:tc>
        <w:tc>
          <w:tcPr>
            <w:tcW w:w="1469" w:type="dxa"/>
            <w:shd w:val="clear" w:color="auto" w:fill="auto"/>
            <w:noWrap/>
            <w:vAlign w:val="bottom"/>
          </w:tcPr>
          <w:p w14:paraId="17C190B4" w14:textId="3F214B4F" w:rsidR="00E50B4B" w:rsidRPr="00923A53" w:rsidRDefault="00E50B4B" w:rsidP="00B85547">
            <w:pPr>
              <w:widowControl w:val="0"/>
              <w:ind w:right="-33"/>
              <w:jc w:val="right"/>
              <w:rPr>
                <w:b/>
              </w:rPr>
            </w:pPr>
            <w:r w:rsidRPr="007C0BA6">
              <w:rPr>
                <w:b/>
                <w:bCs/>
                <w:sz w:val="18"/>
                <w:szCs w:val="18"/>
              </w:rPr>
              <w:t>Held to Maturity Securities</w:t>
            </w:r>
            <w:r w:rsidR="00B85547">
              <w:rPr>
                <w:b/>
                <w:bCs/>
                <w:sz w:val="18"/>
                <w:szCs w:val="18"/>
              </w:rPr>
              <w:t xml:space="preserve"> </w:t>
            </w:r>
            <w:r w:rsidRPr="007C0BA6">
              <w:rPr>
                <w:b/>
                <w:bCs/>
                <w:sz w:val="18"/>
                <w:szCs w:val="18"/>
              </w:rPr>
              <w:t>(Net)</w:t>
            </w:r>
          </w:p>
        </w:tc>
        <w:tc>
          <w:tcPr>
            <w:tcW w:w="1113" w:type="dxa"/>
            <w:shd w:val="clear" w:color="auto" w:fill="auto"/>
            <w:vAlign w:val="bottom"/>
          </w:tcPr>
          <w:p w14:paraId="53B68558" w14:textId="77777777" w:rsidR="00554C15" w:rsidRDefault="00E50B4B" w:rsidP="00E50B4B">
            <w:pPr>
              <w:widowControl w:val="0"/>
              <w:ind w:right="-33"/>
              <w:jc w:val="right"/>
              <w:rPr>
                <w:b/>
                <w:sz w:val="18"/>
                <w:szCs w:val="18"/>
              </w:rPr>
            </w:pPr>
            <w:r>
              <w:rPr>
                <w:b/>
                <w:sz w:val="18"/>
                <w:szCs w:val="18"/>
              </w:rPr>
              <w:t xml:space="preserve">Other </w:t>
            </w:r>
          </w:p>
          <w:p w14:paraId="77D901BC" w14:textId="10224026" w:rsidR="00E50B4B" w:rsidRDefault="00E50B4B" w:rsidP="00554C15">
            <w:pPr>
              <w:widowControl w:val="0"/>
              <w:ind w:right="-33"/>
              <w:jc w:val="right"/>
              <w:rPr>
                <w:b/>
                <w:sz w:val="18"/>
                <w:szCs w:val="18"/>
              </w:rPr>
            </w:pPr>
            <w:r>
              <w:rPr>
                <w:b/>
                <w:sz w:val="18"/>
                <w:szCs w:val="18"/>
              </w:rPr>
              <w:t>Bonds</w:t>
            </w:r>
            <w:r w:rsidR="00554C15">
              <w:rPr>
                <w:b/>
                <w:sz w:val="18"/>
                <w:szCs w:val="18"/>
              </w:rPr>
              <w:t xml:space="preserve"> (</w:t>
            </w:r>
            <w:r>
              <w:rPr>
                <w:b/>
                <w:sz w:val="18"/>
                <w:szCs w:val="18"/>
              </w:rPr>
              <w:t>Net)</w:t>
            </w:r>
          </w:p>
        </w:tc>
        <w:tc>
          <w:tcPr>
            <w:tcW w:w="834" w:type="dxa"/>
            <w:shd w:val="clear" w:color="auto" w:fill="auto"/>
            <w:noWrap/>
            <w:vAlign w:val="bottom"/>
          </w:tcPr>
          <w:p w14:paraId="5B2479EA" w14:textId="77777777" w:rsidR="00E50B4B" w:rsidRPr="00923A53" w:rsidRDefault="00E50B4B" w:rsidP="00400883">
            <w:pPr>
              <w:widowControl w:val="0"/>
              <w:ind w:right="-33"/>
              <w:jc w:val="right"/>
              <w:rPr>
                <w:b/>
              </w:rPr>
            </w:pPr>
            <w:r>
              <w:rPr>
                <w:b/>
                <w:sz w:val="18"/>
                <w:szCs w:val="18"/>
              </w:rPr>
              <w:t>Total</w:t>
            </w:r>
          </w:p>
        </w:tc>
      </w:tr>
      <w:tr w:rsidR="00980409" w:rsidRPr="00224102" w14:paraId="611E34F9" w14:textId="77777777" w:rsidTr="00554C15">
        <w:trPr>
          <w:trHeight w:val="272"/>
        </w:trPr>
        <w:tc>
          <w:tcPr>
            <w:tcW w:w="1758" w:type="dxa"/>
            <w:shd w:val="clear" w:color="auto" w:fill="auto"/>
            <w:noWrap/>
            <w:vAlign w:val="bottom"/>
          </w:tcPr>
          <w:p w14:paraId="5C54D8FC" w14:textId="77777777" w:rsidR="00980409" w:rsidRPr="00923A53" w:rsidRDefault="00980409" w:rsidP="00980409">
            <w:pPr>
              <w:widowControl w:val="0"/>
              <w:rPr>
                <w:sz w:val="18"/>
                <w:szCs w:val="18"/>
              </w:rPr>
            </w:pPr>
            <w:r w:rsidRPr="00923A53">
              <w:rPr>
                <w:sz w:val="18"/>
                <w:szCs w:val="18"/>
              </w:rPr>
              <w:t>BBB- (*)</w:t>
            </w:r>
          </w:p>
        </w:tc>
        <w:tc>
          <w:tcPr>
            <w:tcW w:w="2007" w:type="dxa"/>
            <w:shd w:val="clear" w:color="auto" w:fill="auto"/>
            <w:noWrap/>
            <w:vAlign w:val="bottom"/>
          </w:tcPr>
          <w:p w14:paraId="3E152AD1" w14:textId="50F33DAB" w:rsidR="00980409" w:rsidRPr="001130A4" w:rsidRDefault="00980409" w:rsidP="00980409">
            <w:pPr>
              <w:tabs>
                <w:tab w:val="left" w:pos="0"/>
              </w:tabs>
              <w:ind w:right="-47"/>
              <w:jc w:val="right"/>
              <w:rPr>
                <w:rFonts w:eastAsia="Arial Unicode MS"/>
                <w:sz w:val="18"/>
                <w:szCs w:val="18"/>
              </w:rPr>
            </w:pPr>
            <w:r w:rsidRPr="00E46F2D">
              <w:rPr>
                <w:rFonts w:eastAsia="Arial Unicode MS"/>
                <w:sz w:val="18"/>
                <w:szCs w:val="18"/>
              </w:rPr>
              <w:t>422</w:t>
            </w:r>
          </w:p>
        </w:tc>
        <w:tc>
          <w:tcPr>
            <w:tcW w:w="1806" w:type="dxa"/>
            <w:shd w:val="clear" w:color="auto" w:fill="auto"/>
            <w:noWrap/>
            <w:vAlign w:val="bottom"/>
          </w:tcPr>
          <w:p w14:paraId="4D1863A6" w14:textId="561112EC" w:rsidR="00980409" w:rsidRPr="001130A4" w:rsidRDefault="00980409" w:rsidP="00980409">
            <w:pPr>
              <w:tabs>
                <w:tab w:val="left" w:pos="0"/>
              </w:tabs>
              <w:ind w:right="-47"/>
              <w:jc w:val="right"/>
              <w:rPr>
                <w:rFonts w:eastAsia="Arial Unicode MS"/>
                <w:sz w:val="18"/>
                <w:szCs w:val="18"/>
              </w:rPr>
            </w:pPr>
            <w:r w:rsidRPr="00E46F2D">
              <w:rPr>
                <w:rFonts w:eastAsia="Arial Unicode MS"/>
                <w:sz w:val="18"/>
                <w:szCs w:val="18"/>
              </w:rPr>
              <w:t xml:space="preserve"> 667,072</w:t>
            </w:r>
          </w:p>
        </w:tc>
        <w:tc>
          <w:tcPr>
            <w:tcW w:w="1469" w:type="dxa"/>
            <w:shd w:val="clear" w:color="auto" w:fill="auto"/>
            <w:noWrap/>
            <w:vAlign w:val="bottom"/>
          </w:tcPr>
          <w:p w14:paraId="3BB3BB56" w14:textId="43112D14" w:rsidR="00980409" w:rsidRPr="001130A4" w:rsidRDefault="00980409" w:rsidP="00980409">
            <w:pPr>
              <w:tabs>
                <w:tab w:val="left" w:pos="0"/>
              </w:tabs>
              <w:ind w:right="-47"/>
              <w:jc w:val="right"/>
              <w:rPr>
                <w:rFonts w:eastAsia="Arial Unicode MS"/>
                <w:sz w:val="18"/>
                <w:szCs w:val="18"/>
              </w:rPr>
            </w:pPr>
            <w:r w:rsidRPr="00E46F2D">
              <w:rPr>
                <w:rFonts w:eastAsia="Arial Unicode MS"/>
                <w:sz w:val="18"/>
                <w:szCs w:val="18"/>
              </w:rPr>
              <w:t>-</w:t>
            </w:r>
          </w:p>
        </w:tc>
        <w:tc>
          <w:tcPr>
            <w:tcW w:w="1113" w:type="dxa"/>
            <w:shd w:val="clear" w:color="auto" w:fill="auto"/>
            <w:vAlign w:val="bottom"/>
          </w:tcPr>
          <w:p w14:paraId="79269886" w14:textId="78074902" w:rsidR="00980409" w:rsidRPr="001130A4" w:rsidRDefault="00224102" w:rsidP="00980409">
            <w:pPr>
              <w:tabs>
                <w:tab w:val="left" w:pos="0"/>
              </w:tabs>
              <w:ind w:right="-47"/>
              <w:jc w:val="right"/>
              <w:rPr>
                <w:rFonts w:eastAsia="Arial Unicode MS"/>
                <w:sz w:val="18"/>
                <w:szCs w:val="18"/>
              </w:rPr>
            </w:pPr>
            <w:r w:rsidRPr="00E46F2D">
              <w:rPr>
                <w:rFonts w:eastAsia="Arial Unicode MS"/>
                <w:sz w:val="18"/>
                <w:szCs w:val="18"/>
              </w:rPr>
              <w:t>144,149</w:t>
            </w:r>
          </w:p>
        </w:tc>
        <w:tc>
          <w:tcPr>
            <w:tcW w:w="834" w:type="dxa"/>
            <w:shd w:val="clear" w:color="auto" w:fill="auto"/>
            <w:noWrap/>
            <w:vAlign w:val="bottom"/>
          </w:tcPr>
          <w:p w14:paraId="58B6350E" w14:textId="642D5147" w:rsidR="00980409" w:rsidRPr="00224102" w:rsidRDefault="00224102" w:rsidP="00980409">
            <w:pPr>
              <w:tabs>
                <w:tab w:val="left" w:pos="0"/>
              </w:tabs>
              <w:ind w:right="-47"/>
              <w:jc w:val="right"/>
              <w:rPr>
                <w:rFonts w:eastAsia="Arial Unicode MS"/>
                <w:sz w:val="18"/>
                <w:szCs w:val="18"/>
              </w:rPr>
            </w:pPr>
            <w:r w:rsidRPr="00224102">
              <w:rPr>
                <w:rFonts w:eastAsia="Arial Unicode MS"/>
                <w:sz w:val="18"/>
                <w:szCs w:val="18"/>
              </w:rPr>
              <w:t>811,643</w:t>
            </w:r>
          </w:p>
        </w:tc>
      </w:tr>
      <w:tr w:rsidR="00980409" w:rsidRPr="00923A53" w14:paraId="57728FC9" w14:textId="77777777" w:rsidTr="00554C15">
        <w:trPr>
          <w:trHeight w:val="272"/>
        </w:trPr>
        <w:tc>
          <w:tcPr>
            <w:tcW w:w="1758" w:type="dxa"/>
            <w:shd w:val="clear" w:color="auto" w:fill="auto"/>
            <w:noWrap/>
            <w:vAlign w:val="bottom"/>
          </w:tcPr>
          <w:p w14:paraId="169F45DA" w14:textId="77777777" w:rsidR="00980409" w:rsidRPr="00923A53" w:rsidRDefault="00980409" w:rsidP="00980409">
            <w:pPr>
              <w:widowControl w:val="0"/>
              <w:rPr>
                <w:b/>
                <w:bCs/>
                <w:sz w:val="18"/>
                <w:szCs w:val="18"/>
              </w:rPr>
            </w:pPr>
            <w:r>
              <w:rPr>
                <w:b/>
                <w:bCs/>
                <w:sz w:val="18"/>
                <w:szCs w:val="18"/>
              </w:rPr>
              <w:t>Total</w:t>
            </w:r>
          </w:p>
        </w:tc>
        <w:tc>
          <w:tcPr>
            <w:tcW w:w="2007" w:type="dxa"/>
            <w:shd w:val="clear" w:color="auto" w:fill="auto"/>
            <w:noWrap/>
            <w:vAlign w:val="bottom"/>
          </w:tcPr>
          <w:p w14:paraId="77476D6C" w14:textId="5011260D" w:rsidR="00980409" w:rsidRPr="001130A4" w:rsidRDefault="00980409" w:rsidP="00980409">
            <w:pPr>
              <w:tabs>
                <w:tab w:val="left" w:pos="0"/>
              </w:tabs>
              <w:ind w:right="-47"/>
              <w:jc w:val="right"/>
              <w:rPr>
                <w:rFonts w:eastAsia="Arial Unicode MS"/>
                <w:b/>
                <w:sz w:val="18"/>
                <w:szCs w:val="18"/>
              </w:rPr>
            </w:pPr>
            <w:r w:rsidRPr="00E46F2D">
              <w:rPr>
                <w:rFonts w:eastAsia="Arial Unicode MS"/>
                <w:b/>
                <w:sz w:val="18"/>
                <w:szCs w:val="18"/>
              </w:rPr>
              <w:t>422</w:t>
            </w:r>
          </w:p>
        </w:tc>
        <w:tc>
          <w:tcPr>
            <w:tcW w:w="1806" w:type="dxa"/>
            <w:shd w:val="clear" w:color="auto" w:fill="auto"/>
            <w:noWrap/>
            <w:vAlign w:val="bottom"/>
          </w:tcPr>
          <w:p w14:paraId="0A3DAF0A" w14:textId="04E19A5F" w:rsidR="00980409" w:rsidRPr="001130A4" w:rsidRDefault="00980409" w:rsidP="00980409">
            <w:pPr>
              <w:tabs>
                <w:tab w:val="left" w:pos="0"/>
              </w:tabs>
              <w:ind w:right="-47"/>
              <w:jc w:val="right"/>
              <w:rPr>
                <w:rFonts w:eastAsia="Arial Unicode MS"/>
                <w:b/>
                <w:sz w:val="18"/>
                <w:szCs w:val="18"/>
              </w:rPr>
            </w:pPr>
            <w:r w:rsidRPr="00E46F2D">
              <w:rPr>
                <w:rFonts w:eastAsia="Arial Unicode MS"/>
                <w:b/>
                <w:sz w:val="18"/>
                <w:szCs w:val="18"/>
              </w:rPr>
              <w:t>667,072</w:t>
            </w:r>
          </w:p>
        </w:tc>
        <w:tc>
          <w:tcPr>
            <w:tcW w:w="1469" w:type="dxa"/>
            <w:shd w:val="clear" w:color="auto" w:fill="auto"/>
            <w:noWrap/>
            <w:vAlign w:val="bottom"/>
          </w:tcPr>
          <w:p w14:paraId="7B70CE33" w14:textId="3F857ED9" w:rsidR="00980409" w:rsidRPr="001130A4" w:rsidRDefault="00980409" w:rsidP="00980409">
            <w:pPr>
              <w:tabs>
                <w:tab w:val="left" w:pos="0"/>
              </w:tabs>
              <w:ind w:right="-47"/>
              <w:jc w:val="right"/>
              <w:rPr>
                <w:rFonts w:eastAsia="Arial Unicode MS"/>
                <w:b/>
                <w:sz w:val="18"/>
                <w:szCs w:val="18"/>
              </w:rPr>
            </w:pPr>
            <w:r w:rsidRPr="00E46F2D">
              <w:rPr>
                <w:rFonts w:eastAsia="Arial Unicode MS"/>
                <w:b/>
                <w:sz w:val="18"/>
                <w:szCs w:val="18"/>
              </w:rPr>
              <w:t>-</w:t>
            </w:r>
          </w:p>
        </w:tc>
        <w:tc>
          <w:tcPr>
            <w:tcW w:w="1113" w:type="dxa"/>
            <w:shd w:val="clear" w:color="auto" w:fill="auto"/>
            <w:vAlign w:val="bottom"/>
          </w:tcPr>
          <w:p w14:paraId="31A363E1" w14:textId="242FA5E5" w:rsidR="00980409" w:rsidRPr="001130A4" w:rsidRDefault="00980409" w:rsidP="00980409">
            <w:pPr>
              <w:tabs>
                <w:tab w:val="left" w:pos="0"/>
              </w:tabs>
              <w:ind w:right="-47"/>
              <w:jc w:val="right"/>
              <w:rPr>
                <w:rFonts w:eastAsia="Arial Unicode MS"/>
                <w:b/>
                <w:sz w:val="18"/>
                <w:szCs w:val="18"/>
              </w:rPr>
            </w:pPr>
            <w:r w:rsidRPr="00E46F2D">
              <w:rPr>
                <w:rFonts w:eastAsia="Arial Unicode MS"/>
                <w:b/>
                <w:sz w:val="18"/>
                <w:szCs w:val="18"/>
              </w:rPr>
              <w:t>144,149</w:t>
            </w:r>
          </w:p>
        </w:tc>
        <w:tc>
          <w:tcPr>
            <w:tcW w:w="834" w:type="dxa"/>
            <w:shd w:val="clear" w:color="auto" w:fill="auto"/>
            <w:noWrap/>
            <w:vAlign w:val="bottom"/>
          </w:tcPr>
          <w:p w14:paraId="643B7133" w14:textId="2928DA7B" w:rsidR="00980409" w:rsidRPr="00D11F4D" w:rsidRDefault="00980409" w:rsidP="00980409">
            <w:pPr>
              <w:tabs>
                <w:tab w:val="left" w:pos="0"/>
              </w:tabs>
              <w:ind w:right="-47"/>
              <w:jc w:val="right"/>
              <w:rPr>
                <w:rFonts w:eastAsia="Arial Unicode MS"/>
                <w:b/>
                <w:sz w:val="18"/>
                <w:szCs w:val="18"/>
              </w:rPr>
            </w:pPr>
            <w:r w:rsidRPr="00E46F2D">
              <w:rPr>
                <w:rFonts w:eastAsia="Arial Unicode MS"/>
                <w:b/>
                <w:sz w:val="18"/>
                <w:szCs w:val="18"/>
              </w:rPr>
              <w:t>811,643</w:t>
            </w:r>
          </w:p>
        </w:tc>
      </w:tr>
    </w:tbl>
    <w:bookmarkEnd w:id="15"/>
    <w:p w14:paraId="6102FF30" w14:textId="41ED3635" w:rsidR="00C12D19" w:rsidRPr="007C0BA6" w:rsidRDefault="00C12D19" w:rsidP="00E50B4B">
      <w:pPr>
        <w:pStyle w:val="BodyTextIndent"/>
        <w:widowControl w:val="0"/>
        <w:tabs>
          <w:tab w:val="left" w:pos="426"/>
          <w:tab w:val="left" w:pos="709"/>
          <w:tab w:val="left" w:pos="1701"/>
        </w:tabs>
        <w:spacing w:before="60"/>
        <w:ind w:left="0"/>
        <w:rPr>
          <w:sz w:val="18"/>
          <w:szCs w:val="18"/>
        </w:rPr>
      </w:pPr>
      <w:r>
        <w:rPr>
          <w:b/>
          <w:bCs/>
          <w:sz w:val="18"/>
          <w:szCs w:val="18"/>
        </w:rPr>
        <w:t xml:space="preserve"> </w:t>
      </w:r>
      <w:r w:rsidRPr="007C0BA6">
        <w:rPr>
          <w:sz w:val="18"/>
          <w:szCs w:val="18"/>
        </w:rPr>
        <w:t>(*)</w:t>
      </w:r>
      <w:r w:rsidRPr="007C0BA6">
        <w:rPr>
          <w:sz w:val="18"/>
          <w:szCs w:val="18"/>
        </w:rPr>
        <w:tab/>
        <w:t>Consists of Turkish Republic government bonds</w:t>
      </w:r>
      <w:r w:rsidR="006C5AFC">
        <w:rPr>
          <w:sz w:val="18"/>
          <w:szCs w:val="18"/>
        </w:rPr>
        <w:t>, private sector bonds</w:t>
      </w:r>
      <w:r w:rsidRPr="007C0BA6">
        <w:rPr>
          <w:sz w:val="18"/>
          <w:szCs w:val="18"/>
        </w:rPr>
        <w:t xml:space="preserve"> and treasury bills</w:t>
      </w:r>
      <w:r>
        <w:rPr>
          <w:sz w:val="18"/>
          <w:szCs w:val="18"/>
        </w:rPr>
        <w:t>.</w:t>
      </w:r>
    </w:p>
    <w:tbl>
      <w:tblPr>
        <w:tblW w:w="9019"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327"/>
        <w:gridCol w:w="1983"/>
        <w:gridCol w:w="1857"/>
        <w:gridCol w:w="1600"/>
        <w:gridCol w:w="1252"/>
      </w:tblGrid>
      <w:tr w:rsidR="00C12D19" w:rsidRPr="00923A53" w14:paraId="4063DFDC" w14:textId="77777777" w:rsidTr="00554C15">
        <w:trPr>
          <w:trHeight w:val="442"/>
        </w:trPr>
        <w:tc>
          <w:tcPr>
            <w:tcW w:w="2327" w:type="dxa"/>
            <w:noWrap/>
          </w:tcPr>
          <w:p w14:paraId="4B04C73A" w14:textId="77777777" w:rsidR="00C12D19" w:rsidRPr="00923A53" w:rsidRDefault="00C12D19" w:rsidP="00400883">
            <w:pPr>
              <w:widowControl w:val="0"/>
              <w:outlineLvl w:val="0"/>
              <w:rPr>
                <w:b/>
                <w:bCs/>
                <w:sz w:val="18"/>
                <w:szCs w:val="18"/>
              </w:rPr>
            </w:pPr>
          </w:p>
          <w:p w14:paraId="115BE067" w14:textId="77777777" w:rsidR="00C12D19" w:rsidRPr="00923A53" w:rsidRDefault="00C12D19" w:rsidP="00400883">
            <w:pPr>
              <w:widowControl w:val="0"/>
              <w:outlineLvl w:val="0"/>
              <w:rPr>
                <w:b/>
                <w:bCs/>
                <w:sz w:val="18"/>
                <w:szCs w:val="18"/>
              </w:rPr>
            </w:pPr>
            <w:r w:rsidRPr="00923A53">
              <w:rPr>
                <w:b/>
                <w:bCs/>
                <w:sz w:val="18"/>
                <w:szCs w:val="18"/>
              </w:rPr>
              <w:t xml:space="preserve">31 </w:t>
            </w:r>
            <w:r>
              <w:rPr>
                <w:b/>
                <w:bCs/>
                <w:sz w:val="18"/>
                <w:szCs w:val="18"/>
              </w:rPr>
              <w:t>December</w:t>
            </w:r>
            <w:r w:rsidR="00303EB0">
              <w:rPr>
                <w:b/>
                <w:bCs/>
                <w:sz w:val="18"/>
                <w:szCs w:val="18"/>
              </w:rPr>
              <w:t xml:space="preserve"> 2014</w:t>
            </w:r>
          </w:p>
          <w:p w14:paraId="0CBC8B37" w14:textId="77777777" w:rsidR="00C12D19" w:rsidRPr="00923A53" w:rsidRDefault="00C12D19" w:rsidP="00400883">
            <w:pPr>
              <w:widowControl w:val="0"/>
              <w:outlineLvl w:val="0"/>
              <w:rPr>
                <w:b/>
                <w:bCs/>
                <w:sz w:val="18"/>
                <w:szCs w:val="18"/>
              </w:rPr>
            </w:pPr>
          </w:p>
          <w:p w14:paraId="38356E82" w14:textId="77777777" w:rsidR="00C12D19" w:rsidRPr="00923A53" w:rsidRDefault="00C12D19" w:rsidP="00400883">
            <w:pPr>
              <w:widowControl w:val="0"/>
              <w:outlineLvl w:val="0"/>
              <w:rPr>
                <w:sz w:val="18"/>
                <w:szCs w:val="18"/>
              </w:rPr>
            </w:pPr>
            <w:r w:rsidRPr="00923A53">
              <w:rPr>
                <w:b/>
                <w:bCs/>
                <w:sz w:val="18"/>
                <w:szCs w:val="18"/>
              </w:rPr>
              <w:t>Fitch’s Rating</w:t>
            </w:r>
          </w:p>
        </w:tc>
        <w:tc>
          <w:tcPr>
            <w:tcW w:w="1983" w:type="dxa"/>
            <w:noWrap/>
            <w:vAlign w:val="bottom"/>
          </w:tcPr>
          <w:p w14:paraId="74DD4D89" w14:textId="77777777" w:rsidR="00C12D19" w:rsidRPr="00923A53" w:rsidRDefault="00C12D19" w:rsidP="0073394C">
            <w:pPr>
              <w:widowControl w:val="0"/>
              <w:ind w:right="-34"/>
              <w:jc w:val="right"/>
              <w:rPr>
                <w:b/>
              </w:rPr>
            </w:pPr>
            <w:r w:rsidRPr="007C0BA6">
              <w:rPr>
                <w:b/>
                <w:bCs/>
                <w:sz w:val="18"/>
                <w:szCs w:val="18"/>
              </w:rPr>
              <w:t>Financial Assets at Fair Value through P/L (Net)</w:t>
            </w:r>
          </w:p>
        </w:tc>
        <w:tc>
          <w:tcPr>
            <w:tcW w:w="1857" w:type="dxa"/>
            <w:noWrap/>
            <w:vAlign w:val="bottom"/>
          </w:tcPr>
          <w:p w14:paraId="68F47894" w14:textId="77777777" w:rsidR="00C12D19" w:rsidRPr="00923A53" w:rsidRDefault="00C12D19" w:rsidP="0073394C">
            <w:pPr>
              <w:widowControl w:val="0"/>
              <w:ind w:right="-34"/>
              <w:jc w:val="right"/>
              <w:rPr>
                <w:b/>
              </w:rPr>
            </w:pPr>
            <w:r w:rsidRPr="007C0BA6">
              <w:rPr>
                <w:b/>
                <w:bCs/>
                <w:sz w:val="18"/>
                <w:szCs w:val="18"/>
              </w:rPr>
              <w:t>Available for Sale Financial Assets (Net)</w:t>
            </w:r>
          </w:p>
        </w:tc>
        <w:tc>
          <w:tcPr>
            <w:tcW w:w="1600" w:type="dxa"/>
            <w:noWrap/>
            <w:vAlign w:val="bottom"/>
          </w:tcPr>
          <w:p w14:paraId="1901317F" w14:textId="4B92C01B" w:rsidR="00C12D19" w:rsidRPr="00923A53" w:rsidRDefault="00C12D19" w:rsidP="0073394C">
            <w:pPr>
              <w:widowControl w:val="0"/>
              <w:ind w:right="-34"/>
              <w:jc w:val="right"/>
              <w:rPr>
                <w:b/>
              </w:rPr>
            </w:pPr>
            <w:r w:rsidRPr="007C0BA6">
              <w:rPr>
                <w:b/>
                <w:bCs/>
                <w:sz w:val="18"/>
                <w:szCs w:val="18"/>
              </w:rPr>
              <w:t>Held to Maturity Securities (Net)</w:t>
            </w:r>
          </w:p>
        </w:tc>
        <w:tc>
          <w:tcPr>
            <w:tcW w:w="1252" w:type="dxa"/>
            <w:noWrap/>
            <w:vAlign w:val="bottom"/>
          </w:tcPr>
          <w:p w14:paraId="5DD49BA5" w14:textId="77777777" w:rsidR="00C12D19" w:rsidRPr="00923A53" w:rsidRDefault="00C12D19" w:rsidP="0073394C">
            <w:pPr>
              <w:widowControl w:val="0"/>
              <w:ind w:right="-34"/>
              <w:jc w:val="right"/>
              <w:rPr>
                <w:b/>
              </w:rPr>
            </w:pPr>
            <w:r>
              <w:rPr>
                <w:b/>
                <w:sz w:val="18"/>
                <w:szCs w:val="18"/>
              </w:rPr>
              <w:t>Total</w:t>
            </w:r>
          </w:p>
        </w:tc>
      </w:tr>
      <w:tr w:rsidR="00224102" w:rsidRPr="00923A53" w14:paraId="7DDEB183" w14:textId="77777777" w:rsidTr="00554C15">
        <w:trPr>
          <w:trHeight w:val="234"/>
        </w:trPr>
        <w:tc>
          <w:tcPr>
            <w:tcW w:w="2327" w:type="dxa"/>
            <w:noWrap/>
            <w:vAlign w:val="bottom"/>
          </w:tcPr>
          <w:p w14:paraId="528FC95F" w14:textId="77777777" w:rsidR="00224102" w:rsidRPr="00923A53" w:rsidRDefault="00224102" w:rsidP="00224102">
            <w:pPr>
              <w:widowControl w:val="0"/>
              <w:rPr>
                <w:sz w:val="18"/>
                <w:szCs w:val="18"/>
              </w:rPr>
            </w:pPr>
            <w:r w:rsidRPr="00923A53">
              <w:rPr>
                <w:sz w:val="18"/>
                <w:szCs w:val="18"/>
              </w:rPr>
              <w:t>BB+ (*)</w:t>
            </w:r>
          </w:p>
        </w:tc>
        <w:tc>
          <w:tcPr>
            <w:tcW w:w="1983" w:type="dxa"/>
            <w:noWrap/>
            <w:vAlign w:val="bottom"/>
          </w:tcPr>
          <w:p w14:paraId="712D222B" w14:textId="092515BD" w:rsidR="00224102" w:rsidRPr="00A36623" w:rsidRDefault="00224102" w:rsidP="00224102">
            <w:pPr>
              <w:ind w:right="-47"/>
              <w:jc w:val="right"/>
              <w:rPr>
                <w:rFonts w:eastAsia="Arial Unicode MS"/>
                <w:sz w:val="18"/>
                <w:szCs w:val="18"/>
              </w:rPr>
            </w:pPr>
            <w:r w:rsidRPr="00A36623">
              <w:rPr>
                <w:rFonts w:eastAsia="Arial Unicode MS"/>
                <w:sz w:val="18"/>
                <w:szCs w:val="18"/>
              </w:rPr>
              <w:t xml:space="preserve">               1</w:t>
            </w:r>
            <w:r>
              <w:rPr>
                <w:rFonts w:eastAsia="Arial Unicode MS"/>
                <w:sz w:val="18"/>
                <w:szCs w:val="18"/>
              </w:rPr>
              <w:t>,</w:t>
            </w:r>
            <w:r w:rsidRPr="00A36623">
              <w:rPr>
                <w:rFonts w:eastAsia="Arial Unicode MS"/>
                <w:sz w:val="18"/>
                <w:szCs w:val="18"/>
              </w:rPr>
              <w:t xml:space="preserve">755 </w:t>
            </w:r>
          </w:p>
        </w:tc>
        <w:tc>
          <w:tcPr>
            <w:tcW w:w="1857" w:type="dxa"/>
            <w:noWrap/>
            <w:vAlign w:val="bottom"/>
          </w:tcPr>
          <w:p w14:paraId="6B84B199" w14:textId="488A4640" w:rsidR="00224102" w:rsidRPr="00A36623" w:rsidRDefault="00224102" w:rsidP="00224102">
            <w:pPr>
              <w:ind w:right="-47"/>
              <w:jc w:val="right"/>
              <w:rPr>
                <w:rFonts w:eastAsia="Arial Unicode MS"/>
                <w:sz w:val="18"/>
                <w:szCs w:val="18"/>
              </w:rPr>
            </w:pPr>
            <w:r w:rsidRPr="00A36623">
              <w:rPr>
                <w:rFonts w:eastAsia="Arial Unicode MS"/>
                <w:sz w:val="18"/>
                <w:szCs w:val="18"/>
              </w:rPr>
              <w:t>895</w:t>
            </w:r>
            <w:r>
              <w:rPr>
                <w:rFonts w:eastAsia="Arial Unicode MS"/>
                <w:sz w:val="18"/>
                <w:szCs w:val="18"/>
              </w:rPr>
              <w:t>,</w:t>
            </w:r>
            <w:r w:rsidRPr="00A36623">
              <w:rPr>
                <w:rFonts w:eastAsia="Arial Unicode MS"/>
                <w:sz w:val="18"/>
                <w:szCs w:val="18"/>
              </w:rPr>
              <w:t xml:space="preserve">945 </w:t>
            </w:r>
          </w:p>
        </w:tc>
        <w:tc>
          <w:tcPr>
            <w:tcW w:w="1600" w:type="dxa"/>
            <w:noWrap/>
            <w:vAlign w:val="bottom"/>
          </w:tcPr>
          <w:p w14:paraId="5C9E1CA9" w14:textId="0B5345FF" w:rsidR="00224102" w:rsidRPr="00A36623" w:rsidRDefault="00224102" w:rsidP="00224102">
            <w:pPr>
              <w:ind w:right="-47"/>
              <w:jc w:val="right"/>
              <w:rPr>
                <w:rFonts w:eastAsia="Arial Unicode MS"/>
                <w:sz w:val="18"/>
                <w:szCs w:val="18"/>
              </w:rPr>
            </w:pPr>
            <w:r w:rsidRPr="00A36623">
              <w:rPr>
                <w:rFonts w:eastAsia="Arial Unicode MS"/>
                <w:sz w:val="18"/>
                <w:szCs w:val="18"/>
              </w:rPr>
              <w:t>-</w:t>
            </w:r>
          </w:p>
        </w:tc>
        <w:tc>
          <w:tcPr>
            <w:tcW w:w="1252" w:type="dxa"/>
            <w:noWrap/>
            <w:vAlign w:val="bottom"/>
          </w:tcPr>
          <w:p w14:paraId="38BE76C2" w14:textId="6561D069" w:rsidR="00224102" w:rsidRPr="00A36623" w:rsidRDefault="00224102" w:rsidP="00224102">
            <w:pPr>
              <w:ind w:right="-47"/>
              <w:jc w:val="right"/>
              <w:rPr>
                <w:rFonts w:eastAsia="Arial Unicode MS"/>
                <w:sz w:val="18"/>
                <w:szCs w:val="18"/>
              </w:rPr>
            </w:pPr>
            <w:r w:rsidRPr="00A36623">
              <w:rPr>
                <w:rFonts w:eastAsia="Arial Unicode MS"/>
                <w:sz w:val="18"/>
                <w:szCs w:val="18"/>
              </w:rPr>
              <w:t>897</w:t>
            </w:r>
            <w:r>
              <w:rPr>
                <w:rFonts w:eastAsia="Arial Unicode MS"/>
                <w:sz w:val="18"/>
                <w:szCs w:val="18"/>
              </w:rPr>
              <w:t>,</w:t>
            </w:r>
            <w:r w:rsidRPr="00A36623">
              <w:rPr>
                <w:rFonts w:eastAsia="Arial Unicode MS"/>
                <w:sz w:val="18"/>
                <w:szCs w:val="18"/>
              </w:rPr>
              <w:t xml:space="preserve">700 </w:t>
            </w:r>
          </w:p>
        </w:tc>
      </w:tr>
      <w:tr w:rsidR="00224102" w:rsidRPr="00923A53" w14:paraId="05D7FE67" w14:textId="77777777" w:rsidTr="00554C15">
        <w:trPr>
          <w:trHeight w:val="234"/>
        </w:trPr>
        <w:tc>
          <w:tcPr>
            <w:tcW w:w="2327" w:type="dxa"/>
            <w:noWrap/>
            <w:vAlign w:val="bottom"/>
          </w:tcPr>
          <w:p w14:paraId="634CE1E7" w14:textId="77777777" w:rsidR="00224102" w:rsidRPr="00923A53" w:rsidRDefault="00224102" w:rsidP="00224102">
            <w:pPr>
              <w:widowControl w:val="0"/>
              <w:rPr>
                <w:b/>
                <w:bCs/>
                <w:sz w:val="18"/>
                <w:szCs w:val="18"/>
              </w:rPr>
            </w:pPr>
            <w:r>
              <w:rPr>
                <w:b/>
                <w:bCs/>
                <w:sz w:val="18"/>
                <w:szCs w:val="18"/>
              </w:rPr>
              <w:t>Total</w:t>
            </w:r>
          </w:p>
        </w:tc>
        <w:tc>
          <w:tcPr>
            <w:tcW w:w="1983" w:type="dxa"/>
            <w:noWrap/>
            <w:vAlign w:val="bottom"/>
          </w:tcPr>
          <w:p w14:paraId="178349BD" w14:textId="36FD18F5" w:rsidR="00224102" w:rsidRPr="00A36623" w:rsidRDefault="00224102" w:rsidP="00224102">
            <w:pPr>
              <w:ind w:right="-47"/>
              <w:jc w:val="right"/>
              <w:rPr>
                <w:rFonts w:eastAsia="Arial Unicode MS"/>
                <w:b/>
                <w:sz w:val="18"/>
                <w:szCs w:val="18"/>
              </w:rPr>
            </w:pPr>
            <w:r w:rsidRPr="00A36623">
              <w:rPr>
                <w:rFonts w:eastAsia="Arial Unicode MS"/>
                <w:b/>
                <w:sz w:val="18"/>
                <w:szCs w:val="18"/>
              </w:rPr>
              <w:t>1</w:t>
            </w:r>
            <w:r>
              <w:rPr>
                <w:rFonts w:eastAsia="Arial Unicode MS"/>
                <w:b/>
                <w:sz w:val="18"/>
                <w:szCs w:val="18"/>
              </w:rPr>
              <w:t>,</w:t>
            </w:r>
            <w:r w:rsidRPr="00A36623">
              <w:rPr>
                <w:rFonts w:eastAsia="Arial Unicode MS"/>
                <w:b/>
                <w:sz w:val="18"/>
                <w:szCs w:val="18"/>
              </w:rPr>
              <w:t xml:space="preserve">755 </w:t>
            </w:r>
          </w:p>
        </w:tc>
        <w:tc>
          <w:tcPr>
            <w:tcW w:w="1857" w:type="dxa"/>
            <w:noWrap/>
            <w:vAlign w:val="bottom"/>
          </w:tcPr>
          <w:p w14:paraId="22B0A3F0" w14:textId="437D807E" w:rsidR="00224102" w:rsidRPr="00A36623" w:rsidRDefault="00224102" w:rsidP="00224102">
            <w:pPr>
              <w:ind w:right="-47"/>
              <w:jc w:val="right"/>
              <w:rPr>
                <w:rFonts w:eastAsia="Arial Unicode MS"/>
                <w:b/>
                <w:sz w:val="18"/>
                <w:szCs w:val="18"/>
              </w:rPr>
            </w:pPr>
            <w:r w:rsidRPr="00A36623">
              <w:rPr>
                <w:rFonts w:eastAsia="Arial Unicode MS"/>
                <w:b/>
                <w:sz w:val="18"/>
                <w:szCs w:val="18"/>
              </w:rPr>
              <w:t xml:space="preserve">            895</w:t>
            </w:r>
            <w:r>
              <w:rPr>
                <w:rFonts w:eastAsia="Arial Unicode MS"/>
                <w:b/>
                <w:sz w:val="18"/>
                <w:szCs w:val="18"/>
              </w:rPr>
              <w:t>,</w:t>
            </w:r>
            <w:r w:rsidRPr="00A36623">
              <w:rPr>
                <w:rFonts w:eastAsia="Arial Unicode MS"/>
                <w:b/>
                <w:sz w:val="18"/>
                <w:szCs w:val="18"/>
              </w:rPr>
              <w:t xml:space="preserve">945 </w:t>
            </w:r>
          </w:p>
        </w:tc>
        <w:tc>
          <w:tcPr>
            <w:tcW w:w="1600" w:type="dxa"/>
            <w:noWrap/>
            <w:vAlign w:val="bottom"/>
          </w:tcPr>
          <w:p w14:paraId="6D8E0494" w14:textId="4D9CA88E" w:rsidR="00224102" w:rsidRPr="00A36623" w:rsidRDefault="00224102" w:rsidP="00224102">
            <w:pPr>
              <w:ind w:right="-47"/>
              <w:jc w:val="right"/>
              <w:rPr>
                <w:rFonts w:eastAsia="Arial Unicode MS"/>
                <w:b/>
                <w:sz w:val="18"/>
                <w:szCs w:val="18"/>
              </w:rPr>
            </w:pPr>
            <w:r w:rsidRPr="00A36623">
              <w:rPr>
                <w:rFonts w:eastAsia="Arial Unicode MS"/>
                <w:b/>
                <w:sz w:val="18"/>
                <w:szCs w:val="18"/>
              </w:rPr>
              <w:t>-</w:t>
            </w:r>
          </w:p>
        </w:tc>
        <w:tc>
          <w:tcPr>
            <w:tcW w:w="1252" w:type="dxa"/>
            <w:noWrap/>
            <w:vAlign w:val="bottom"/>
          </w:tcPr>
          <w:p w14:paraId="7C528C29" w14:textId="79037A29" w:rsidR="00224102" w:rsidRPr="00A36623" w:rsidRDefault="00224102" w:rsidP="00224102">
            <w:pPr>
              <w:ind w:right="-47"/>
              <w:jc w:val="right"/>
              <w:rPr>
                <w:rFonts w:eastAsia="Arial Unicode MS"/>
                <w:b/>
                <w:sz w:val="18"/>
                <w:szCs w:val="18"/>
              </w:rPr>
            </w:pPr>
            <w:r w:rsidRPr="00A36623">
              <w:rPr>
                <w:rFonts w:eastAsia="Arial Unicode MS"/>
                <w:b/>
                <w:sz w:val="18"/>
                <w:szCs w:val="18"/>
              </w:rPr>
              <w:t>897</w:t>
            </w:r>
            <w:r>
              <w:rPr>
                <w:rFonts w:eastAsia="Arial Unicode MS"/>
                <w:b/>
                <w:sz w:val="18"/>
                <w:szCs w:val="18"/>
              </w:rPr>
              <w:t>,</w:t>
            </w:r>
            <w:r w:rsidRPr="00A36623">
              <w:rPr>
                <w:rFonts w:eastAsia="Arial Unicode MS"/>
                <w:b/>
                <w:sz w:val="18"/>
                <w:szCs w:val="18"/>
              </w:rPr>
              <w:t>700</w:t>
            </w:r>
          </w:p>
        </w:tc>
      </w:tr>
    </w:tbl>
    <w:p w14:paraId="4A47727C" w14:textId="19DB9DA5" w:rsidR="00C12D19" w:rsidRDefault="00C12D19" w:rsidP="00980409">
      <w:pPr>
        <w:pStyle w:val="BodyTextIndent"/>
        <w:widowControl w:val="0"/>
        <w:tabs>
          <w:tab w:val="left" w:pos="426"/>
          <w:tab w:val="left" w:pos="8130"/>
        </w:tabs>
        <w:spacing w:before="60"/>
        <w:ind w:left="1701" w:hanging="1701"/>
        <w:rPr>
          <w:sz w:val="18"/>
          <w:szCs w:val="18"/>
        </w:rPr>
      </w:pPr>
      <w:r>
        <w:rPr>
          <w:sz w:val="18"/>
          <w:szCs w:val="18"/>
        </w:rPr>
        <w:t xml:space="preserve">  </w:t>
      </w:r>
      <w:r w:rsidRPr="00CB2A99">
        <w:rPr>
          <w:sz w:val="18"/>
          <w:szCs w:val="18"/>
        </w:rPr>
        <w:t>(*)</w:t>
      </w:r>
      <w:r w:rsidRPr="00CB2A99">
        <w:rPr>
          <w:sz w:val="18"/>
          <w:szCs w:val="18"/>
        </w:rPr>
        <w:tab/>
        <w:t>Consists of Tu</w:t>
      </w:r>
      <w:r w:rsidR="005B3C27">
        <w:rPr>
          <w:sz w:val="18"/>
          <w:szCs w:val="18"/>
        </w:rPr>
        <w:t>rkish Republic government bonds and</w:t>
      </w:r>
      <w:r w:rsidR="00B85547">
        <w:rPr>
          <w:sz w:val="18"/>
          <w:szCs w:val="18"/>
        </w:rPr>
        <w:t xml:space="preserve"> </w:t>
      </w:r>
      <w:r w:rsidRPr="00CB2A99">
        <w:rPr>
          <w:sz w:val="18"/>
          <w:szCs w:val="18"/>
        </w:rPr>
        <w:t>treasury bills</w:t>
      </w:r>
      <w:r>
        <w:rPr>
          <w:sz w:val="18"/>
          <w:szCs w:val="18"/>
        </w:rPr>
        <w:t>.</w:t>
      </w:r>
      <w:r w:rsidR="00980409">
        <w:rPr>
          <w:sz w:val="18"/>
          <w:szCs w:val="18"/>
        </w:rPr>
        <w:tab/>
      </w:r>
    </w:p>
    <w:p w14:paraId="31FFDA50" w14:textId="77777777" w:rsidR="00822E37" w:rsidRPr="00BC1BD6" w:rsidRDefault="00822E37" w:rsidP="00E50B4B">
      <w:pPr>
        <w:pStyle w:val="BodyTextIndent"/>
        <w:widowControl w:val="0"/>
        <w:ind w:left="0"/>
        <w:jc w:val="both"/>
        <w:rPr>
          <w:sz w:val="20"/>
          <w:szCs w:val="20"/>
        </w:rPr>
      </w:pPr>
      <w:r w:rsidRPr="00BC1BD6">
        <w:rPr>
          <w:b/>
          <w:sz w:val="20"/>
          <w:szCs w:val="20"/>
        </w:rPr>
        <w:t xml:space="preserve">d. </w:t>
      </w:r>
      <w:r>
        <w:rPr>
          <w:b/>
          <w:sz w:val="20"/>
          <w:szCs w:val="20"/>
        </w:rPr>
        <w:tab/>
      </w:r>
      <w:r w:rsidRPr="00BC1BD6">
        <w:rPr>
          <w:b/>
          <w:sz w:val="20"/>
          <w:szCs w:val="20"/>
        </w:rPr>
        <w:t>Information on rating concentration:</w:t>
      </w:r>
    </w:p>
    <w:p w14:paraId="3F66EBAE" w14:textId="77777777" w:rsidR="00822E37" w:rsidRPr="009C7A8C" w:rsidRDefault="00822E37" w:rsidP="00822E37">
      <w:pPr>
        <w:pStyle w:val="BodyTextIndent"/>
        <w:tabs>
          <w:tab w:val="left" w:pos="0"/>
        </w:tabs>
        <w:ind w:left="0"/>
        <w:jc w:val="both"/>
        <w:rPr>
          <w:sz w:val="20"/>
          <w:szCs w:val="20"/>
        </w:rPr>
      </w:pPr>
      <w:r w:rsidRPr="00CB145E">
        <w:rPr>
          <w:sz w:val="20"/>
          <w:szCs w:val="20"/>
        </w:rPr>
        <w:t xml:space="preserve">The credit risk is evaluated according to </w:t>
      </w:r>
      <w:r>
        <w:rPr>
          <w:sz w:val="20"/>
          <w:szCs w:val="20"/>
        </w:rPr>
        <w:t xml:space="preserve">the Parent </w:t>
      </w:r>
      <w:r w:rsidRPr="00CB145E">
        <w:rPr>
          <w:sz w:val="20"/>
          <w:szCs w:val="20"/>
        </w:rPr>
        <w:t>Bank’s internal rating system. The loans rated according to probability of default, from the best rating (above standard), to the lowest rate (substandard) are presented in the below table and at the bottom of the table there is past due loans (impaired).</w:t>
      </w:r>
    </w:p>
    <w:p w14:paraId="6A6C4A06" w14:textId="77777777" w:rsidR="00822E37" w:rsidRPr="00740D88" w:rsidRDefault="00822E37" w:rsidP="00822E37">
      <w:pPr>
        <w:tabs>
          <w:tab w:val="left" w:pos="0"/>
        </w:tabs>
        <w:jc w:val="both"/>
        <w:rPr>
          <w:sz w:val="20"/>
          <w:szCs w:val="20"/>
          <w:lang w:val="tr-TR"/>
        </w:rPr>
      </w:pPr>
      <w:r w:rsidRPr="00CB145E">
        <w:rPr>
          <w:sz w:val="20"/>
          <w:szCs w:val="20"/>
          <w:lang w:val="tr-TR"/>
        </w:rPr>
        <w:t>“Above standard” category means that the debtor has a strong financial structure,"standard" category means that debtor has a good and sufficient financial structure, “substandard” category means that the debtor’s financial structure under risk in the short and medium term.</w:t>
      </w:r>
    </w:p>
    <w:p w14:paraId="5760C3E3" w14:textId="77777777" w:rsidR="00822E37" w:rsidRDefault="00822E37" w:rsidP="00822E37">
      <w:pPr>
        <w:jc w:val="both"/>
        <w:rPr>
          <w:sz w:val="20"/>
          <w:szCs w:val="20"/>
        </w:rPr>
      </w:pPr>
    </w:p>
    <w:tbl>
      <w:tblPr>
        <w:tblW w:w="8981"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5577"/>
        <w:gridCol w:w="1745"/>
        <w:gridCol w:w="1659"/>
      </w:tblGrid>
      <w:tr w:rsidR="00822E37" w:rsidRPr="00923A53" w14:paraId="4684DA91" w14:textId="77777777" w:rsidTr="00466F39">
        <w:trPr>
          <w:trHeight w:val="365"/>
        </w:trPr>
        <w:tc>
          <w:tcPr>
            <w:tcW w:w="5577" w:type="dxa"/>
          </w:tcPr>
          <w:p w14:paraId="3647B109" w14:textId="77777777" w:rsidR="00822E37" w:rsidRPr="00923A53" w:rsidRDefault="00822E37" w:rsidP="00400883">
            <w:pPr>
              <w:outlineLvl w:val="0"/>
              <w:rPr>
                <w:b/>
                <w:bCs/>
                <w:sz w:val="18"/>
                <w:szCs w:val="18"/>
              </w:rPr>
            </w:pPr>
          </w:p>
        </w:tc>
        <w:tc>
          <w:tcPr>
            <w:tcW w:w="1745" w:type="dxa"/>
            <w:vAlign w:val="bottom"/>
          </w:tcPr>
          <w:p w14:paraId="775F6A60" w14:textId="77777777" w:rsidR="00822E37" w:rsidRPr="00923A53" w:rsidRDefault="00822E37" w:rsidP="00851A3A">
            <w:pPr>
              <w:ind w:right="-1"/>
              <w:jc w:val="right"/>
              <w:outlineLvl w:val="0"/>
              <w:rPr>
                <w:b/>
                <w:bCs/>
                <w:sz w:val="18"/>
                <w:szCs w:val="18"/>
              </w:rPr>
            </w:pPr>
            <w:r w:rsidRPr="00923A53">
              <w:rPr>
                <w:b/>
                <w:bCs/>
                <w:sz w:val="18"/>
                <w:szCs w:val="18"/>
              </w:rPr>
              <w:t xml:space="preserve">31 </w:t>
            </w:r>
            <w:r>
              <w:rPr>
                <w:b/>
                <w:bCs/>
                <w:sz w:val="18"/>
                <w:szCs w:val="18"/>
              </w:rPr>
              <w:t>December</w:t>
            </w:r>
            <w:r w:rsidRPr="00923A53">
              <w:rPr>
                <w:b/>
                <w:bCs/>
                <w:sz w:val="18"/>
                <w:szCs w:val="18"/>
              </w:rPr>
              <w:t xml:space="preserve"> 201</w:t>
            </w:r>
            <w:r>
              <w:rPr>
                <w:b/>
                <w:bCs/>
                <w:sz w:val="18"/>
                <w:szCs w:val="18"/>
              </w:rPr>
              <w:t>5</w:t>
            </w:r>
          </w:p>
        </w:tc>
        <w:tc>
          <w:tcPr>
            <w:tcW w:w="1659" w:type="dxa"/>
            <w:vAlign w:val="bottom"/>
          </w:tcPr>
          <w:p w14:paraId="2280E95A" w14:textId="77777777" w:rsidR="00822E37" w:rsidRPr="00923A53" w:rsidRDefault="00822E37" w:rsidP="00851A3A">
            <w:pPr>
              <w:ind w:right="-1"/>
              <w:jc w:val="right"/>
              <w:outlineLvl w:val="0"/>
              <w:rPr>
                <w:b/>
                <w:bCs/>
                <w:sz w:val="18"/>
                <w:szCs w:val="18"/>
              </w:rPr>
            </w:pPr>
            <w:r w:rsidRPr="00923A53">
              <w:rPr>
                <w:b/>
                <w:bCs/>
                <w:sz w:val="18"/>
                <w:szCs w:val="18"/>
              </w:rPr>
              <w:t xml:space="preserve">31 </w:t>
            </w:r>
            <w:r>
              <w:rPr>
                <w:b/>
                <w:bCs/>
                <w:sz w:val="18"/>
                <w:szCs w:val="18"/>
              </w:rPr>
              <w:t>December</w:t>
            </w:r>
            <w:r w:rsidRPr="00923A53">
              <w:rPr>
                <w:b/>
                <w:bCs/>
                <w:sz w:val="18"/>
                <w:szCs w:val="18"/>
              </w:rPr>
              <w:t xml:space="preserve"> 201</w:t>
            </w:r>
            <w:r>
              <w:rPr>
                <w:b/>
                <w:bCs/>
                <w:sz w:val="18"/>
                <w:szCs w:val="18"/>
              </w:rPr>
              <w:t>4</w:t>
            </w:r>
          </w:p>
        </w:tc>
      </w:tr>
      <w:tr w:rsidR="00EB2A5F" w:rsidRPr="00923A53" w14:paraId="5D4A7E0E" w14:textId="77777777" w:rsidTr="00466F39">
        <w:trPr>
          <w:trHeight w:val="231"/>
        </w:trPr>
        <w:tc>
          <w:tcPr>
            <w:tcW w:w="5577" w:type="dxa"/>
            <w:vAlign w:val="center"/>
          </w:tcPr>
          <w:p w14:paraId="71C1C158" w14:textId="56F664B7" w:rsidR="00EB2A5F" w:rsidRPr="007C0BA6" w:rsidRDefault="00EB2A5F" w:rsidP="00851A3A">
            <w:pPr>
              <w:pStyle w:val="xl79"/>
              <w:pBdr>
                <w:left w:val="none" w:sz="0" w:space="0" w:color="auto"/>
                <w:bottom w:val="none" w:sz="0" w:space="0" w:color="auto"/>
                <w:right w:val="none" w:sz="0" w:space="0" w:color="auto"/>
              </w:pBdr>
              <w:spacing w:before="0" w:beforeAutospacing="0" w:after="0" w:afterAutospacing="0"/>
              <w:ind w:left="-13"/>
              <w:rPr>
                <w:rFonts w:eastAsia="Times New Roman"/>
              </w:rPr>
            </w:pPr>
            <w:r>
              <w:rPr>
                <w:rFonts w:eastAsia="Times New Roman"/>
              </w:rPr>
              <w:t xml:space="preserve">High </w:t>
            </w:r>
            <w:r w:rsidR="00466F39">
              <w:rPr>
                <w:rFonts w:eastAsia="Times New Roman"/>
              </w:rPr>
              <w:t xml:space="preserve">Standard </w:t>
            </w:r>
            <w:r>
              <w:rPr>
                <w:rFonts w:eastAsia="Times New Roman"/>
              </w:rPr>
              <w:t>(A,B)</w:t>
            </w:r>
          </w:p>
        </w:tc>
        <w:tc>
          <w:tcPr>
            <w:tcW w:w="1745" w:type="dxa"/>
            <w:vAlign w:val="bottom"/>
          </w:tcPr>
          <w:p w14:paraId="3123308D" w14:textId="729ECF27" w:rsidR="00EB2A5F" w:rsidRPr="00E50B4B" w:rsidRDefault="00EB2A5F" w:rsidP="00851A3A">
            <w:pPr>
              <w:tabs>
                <w:tab w:val="left" w:pos="0"/>
              </w:tabs>
              <w:ind w:right="-1"/>
              <w:jc w:val="right"/>
              <w:outlineLvl w:val="0"/>
              <w:rPr>
                <w:b/>
                <w:bCs/>
                <w:sz w:val="18"/>
                <w:szCs w:val="18"/>
              </w:rPr>
            </w:pPr>
            <w:r>
              <w:rPr>
                <w:bCs/>
                <w:sz w:val="18"/>
                <w:szCs w:val="18"/>
              </w:rPr>
              <w:t>86.56</w:t>
            </w:r>
            <w:r w:rsidR="00834CDD">
              <w:rPr>
                <w:bCs/>
                <w:sz w:val="18"/>
                <w:szCs w:val="18"/>
              </w:rPr>
              <w:t>%</w:t>
            </w:r>
          </w:p>
        </w:tc>
        <w:tc>
          <w:tcPr>
            <w:tcW w:w="1659" w:type="dxa"/>
            <w:vAlign w:val="bottom"/>
          </w:tcPr>
          <w:p w14:paraId="2E0A5423" w14:textId="02A050DC" w:rsidR="00EB2A5F" w:rsidRPr="00A36623" w:rsidRDefault="00EB2A5F" w:rsidP="00851A3A">
            <w:pPr>
              <w:ind w:right="-1"/>
              <w:jc w:val="right"/>
              <w:outlineLvl w:val="0"/>
              <w:rPr>
                <w:bCs/>
                <w:sz w:val="18"/>
                <w:szCs w:val="18"/>
              </w:rPr>
            </w:pPr>
            <w:r>
              <w:rPr>
                <w:bCs/>
                <w:sz w:val="18"/>
                <w:szCs w:val="18"/>
              </w:rPr>
              <w:t>73.</w:t>
            </w:r>
            <w:r w:rsidRPr="00A36623">
              <w:rPr>
                <w:bCs/>
                <w:sz w:val="18"/>
                <w:szCs w:val="18"/>
              </w:rPr>
              <w:t>52</w:t>
            </w:r>
            <w:r w:rsidR="00834CDD">
              <w:rPr>
                <w:bCs/>
                <w:sz w:val="18"/>
                <w:szCs w:val="18"/>
              </w:rPr>
              <w:t>%</w:t>
            </w:r>
          </w:p>
        </w:tc>
      </w:tr>
      <w:tr w:rsidR="00EB2A5F" w:rsidRPr="00923A53" w14:paraId="6E44D985" w14:textId="77777777" w:rsidTr="00466F39">
        <w:trPr>
          <w:trHeight w:val="231"/>
        </w:trPr>
        <w:tc>
          <w:tcPr>
            <w:tcW w:w="5577" w:type="dxa"/>
            <w:vAlign w:val="center"/>
          </w:tcPr>
          <w:p w14:paraId="0DD2D9E6" w14:textId="77777777" w:rsidR="00EB2A5F" w:rsidRPr="007C0BA6" w:rsidRDefault="00EB2A5F" w:rsidP="00851A3A">
            <w:pPr>
              <w:ind w:left="-13"/>
              <w:rPr>
                <w:rFonts w:eastAsia="Arial Unicode MS"/>
                <w:sz w:val="18"/>
              </w:rPr>
            </w:pPr>
            <w:r>
              <w:rPr>
                <w:sz w:val="18"/>
              </w:rPr>
              <w:t>Standard</w:t>
            </w:r>
            <w:r w:rsidRPr="007C0BA6">
              <w:rPr>
                <w:sz w:val="18"/>
              </w:rPr>
              <w:t xml:space="preserve"> </w:t>
            </w:r>
            <w:r>
              <w:rPr>
                <w:sz w:val="18"/>
                <w:szCs w:val="18"/>
              </w:rPr>
              <w:t>(C</w:t>
            </w:r>
            <w:r w:rsidRPr="007C0BA6">
              <w:rPr>
                <w:sz w:val="18"/>
                <w:szCs w:val="18"/>
              </w:rPr>
              <w:t>)</w:t>
            </w:r>
          </w:p>
        </w:tc>
        <w:tc>
          <w:tcPr>
            <w:tcW w:w="1745" w:type="dxa"/>
            <w:vAlign w:val="bottom"/>
          </w:tcPr>
          <w:p w14:paraId="6CFDF4DD" w14:textId="517DF3C4" w:rsidR="00EB2A5F" w:rsidRPr="00015FB2" w:rsidRDefault="00EB2A5F" w:rsidP="00851A3A">
            <w:pPr>
              <w:tabs>
                <w:tab w:val="left" w:pos="0"/>
              </w:tabs>
              <w:ind w:right="-1"/>
              <w:jc w:val="right"/>
              <w:outlineLvl w:val="0"/>
              <w:rPr>
                <w:bCs/>
                <w:sz w:val="18"/>
                <w:szCs w:val="18"/>
              </w:rPr>
            </w:pPr>
            <w:r w:rsidRPr="00015FB2">
              <w:rPr>
                <w:bCs/>
                <w:sz w:val="18"/>
                <w:szCs w:val="18"/>
              </w:rPr>
              <w:t>6.</w:t>
            </w:r>
            <w:r>
              <w:rPr>
                <w:bCs/>
                <w:sz w:val="18"/>
                <w:szCs w:val="18"/>
              </w:rPr>
              <w:t>90</w:t>
            </w:r>
            <w:r w:rsidR="00834CDD">
              <w:rPr>
                <w:bCs/>
                <w:sz w:val="18"/>
                <w:szCs w:val="18"/>
              </w:rPr>
              <w:t>%</w:t>
            </w:r>
          </w:p>
        </w:tc>
        <w:tc>
          <w:tcPr>
            <w:tcW w:w="1659" w:type="dxa"/>
            <w:vAlign w:val="bottom"/>
          </w:tcPr>
          <w:p w14:paraId="65A7B7D8" w14:textId="5B4AB04F" w:rsidR="00EB2A5F" w:rsidRPr="00A36623" w:rsidRDefault="00EB2A5F" w:rsidP="00851A3A">
            <w:pPr>
              <w:ind w:right="-1"/>
              <w:jc w:val="right"/>
              <w:outlineLvl w:val="0"/>
              <w:rPr>
                <w:bCs/>
                <w:sz w:val="18"/>
                <w:szCs w:val="18"/>
              </w:rPr>
            </w:pPr>
            <w:r>
              <w:rPr>
                <w:bCs/>
                <w:sz w:val="18"/>
                <w:szCs w:val="18"/>
              </w:rPr>
              <w:t>17.</w:t>
            </w:r>
            <w:r w:rsidRPr="00A36623">
              <w:rPr>
                <w:bCs/>
                <w:sz w:val="18"/>
                <w:szCs w:val="18"/>
              </w:rPr>
              <w:t>64</w:t>
            </w:r>
            <w:r w:rsidR="00834CDD">
              <w:rPr>
                <w:bCs/>
                <w:sz w:val="18"/>
                <w:szCs w:val="18"/>
              </w:rPr>
              <w:t>%</w:t>
            </w:r>
          </w:p>
        </w:tc>
      </w:tr>
      <w:tr w:rsidR="00EB2A5F" w:rsidRPr="00923A53" w14:paraId="785C8961" w14:textId="77777777" w:rsidTr="00466F39">
        <w:trPr>
          <w:trHeight w:val="231"/>
        </w:trPr>
        <w:tc>
          <w:tcPr>
            <w:tcW w:w="5577" w:type="dxa"/>
            <w:vAlign w:val="center"/>
          </w:tcPr>
          <w:p w14:paraId="6259AD6A" w14:textId="77777777" w:rsidR="00EB2A5F" w:rsidRPr="007C0BA6" w:rsidRDefault="00EB2A5F" w:rsidP="00851A3A">
            <w:pPr>
              <w:ind w:left="-13"/>
              <w:rPr>
                <w:rFonts w:eastAsia="Arial Unicode MS"/>
                <w:sz w:val="18"/>
              </w:rPr>
            </w:pPr>
            <w:r>
              <w:rPr>
                <w:sz w:val="18"/>
              </w:rPr>
              <w:t>Substandard</w:t>
            </w:r>
            <w:r w:rsidRPr="007C0BA6">
              <w:rPr>
                <w:sz w:val="18"/>
              </w:rPr>
              <w:t xml:space="preserve"> </w:t>
            </w:r>
            <w:r>
              <w:rPr>
                <w:sz w:val="18"/>
                <w:szCs w:val="18"/>
              </w:rPr>
              <w:t>(D</w:t>
            </w:r>
            <w:r w:rsidRPr="007C0BA6">
              <w:rPr>
                <w:sz w:val="18"/>
                <w:szCs w:val="18"/>
              </w:rPr>
              <w:t>)</w:t>
            </w:r>
          </w:p>
        </w:tc>
        <w:tc>
          <w:tcPr>
            <w:tcW w:w="1745" w:type="dxa"/>
            <w:vAlign w:val="bottom"/>
          </w:tcPr>
          <w:p w14:paraId="255E9D24" w14:textId="67FD95EB" w:rsidR="00EB2A5F" w:rsidRPr="00015FB2" w:rsidRDefault="00EB2A5F" w:rsidP="00851A3A">
            <w:pPr>
              <w:tabs>
                <w:tab w:val="left" w:pos="0"/>
              </w:tabs>
              <w:ind w:right="-1"/>
              <w:jc w:val="right"/>
              <w:outlineLvl w:val="0"/>
              <w:rPr>
                <w:bCs/>
                <w:sz w:val="18"/>
                <w:szCs w:val="18"/>
              </w:rPr>
            </w:pPr>
            <w:r w:rsidRPr="00015FB2">
              <w:rPr>
                <w:bCs/>
                <w:sz w:val="18"/>
                <w:szCs w:val="18"/>
              </w:rPr>
              <w:t>1.1</w:t>
            </w:r>
            <w:r>
              <w:rPr>
                <w:bCs/>
                <w:sz w:val="18"/>
                <w:szCs w:val="18"/>
              </w:rPr>
              <w:t>4</w:t>
            </w:r>
            <w:r w:rsidR="00834CDD">
              <w:rPr>
                <w:bCs/>
                <w:sz w:val="18"/>
                <w:szCs w:val="18"/>
              </w:rPr>
              <w:t>%</w:t>
            </w:r>
          </w:p>
        </w:tc>
        <w:tc>
          <w:tcPr>
            <w:tcW w:w="1659" w:type="dxa"/>
            <w:vAlign w:val="bottom"/>
          </w:tcPr>
          <w:p w14:paraId="39BF3B8E" w14:textId="5B5A9CDE" w:rsidR="00EB2A5F" w:rsidRPr="00A36623" w:rsidRDefault="00EB2A5F" w:rsidP="00851A3A">
            <w:pPr>
              <w:ind w:right="-1"/>
              <w:jc w:val="right"/>
              <w:outlineLvl w:val="0"/>
              <w:rPr>
                <w:bCs/>
                <w:sz w:val="18"/>
                <w:szCs w:val="18"/>
              </w:rPr>
            </w:pPr>
            <w:r>
              <w:rPr>
                <w:bCs/>
                <w:sz w:val="18"/>
                <w:szCs w:val="18"/>
              </w:rPr>
              <w:t>4.</w:t>
            </w:r>
            <w:r w:rsidRPr="00A36623">
              <w:rPr>
                <w:bCs/>
                <w:sz w:val="18"/>
                <w:szCs w:val="18"/>
              </w:rPr>
              <w:t>54</w:t>
            </w:r>
            <w:r w:rsidR="00834CDD">
              <w:rPr>
                <w:bCs/>
                <w:sz w:val="18"/>
                <w:szCs w:val="18"/>
              </w:rPr>
              <w:t>%</w:t>
            </w:r>
          </w:p>
        </w:tc>
      </w:tr>
      <w:tr w:rsidR="00EB2A5F" w:rsidRPr="00923A53" w14:paraId="2F12FE00" w14:textId="77777777" w:rsidTr="00466F39">
        <w:trPr>
          <w:trHeight w:val="231"/>
        </w:trPr>
        <w:tc>
          <w:tcPr>
            <w:tcW w:w="5577" w:type="dxa"/>
            <w:vAlign w:val="bottom"/>
          </w:tcPr>
          <w:p w14:paraId="110F436E" w14:textId="4582941A" w:rsidR="00EB2A5F" w:rsidRPr="00923A53" w:rsidRDefault="00EB2A5F" w:rsidP="00851A3A">
            <w:pPr>
              <w:ind w:left="-13"/>
              <w:outlineLvl w:val="0"/>
              <w:rPr>
                <w:bCs/>
                <w:sz w:val="18"/>
                <w:szCs w:val="18"/>
              </w:rPr>
            </w:pPr>
            <w:r>
              <w:rPr>
                <w:bCs/>
                <w:sz w:val="18"/>
                <w:szCs w:val="18"/>
              </w:rPr>
              <w:t>Impa</w:t>
            </w:r>
            <w:r w:rsidR="00466F39">
              <w:rPr>
                <w:bCs/>
                <w:sz w:val="18"/>
                <w:szCs w:val="18"/>
              </w:rPr>
              <w:t>i</w:t>
            </w:r>
            <w:r>
              <w:rPr>
                <w:bCs/>
                <w:sz w:val="18"/>
                <w:szCs w:val="18"/>
              </w:rPr>
              <w:t>red (E)</w:t>
            </w:r>
          </w:p>
        </w:tc>
        <w:tc>
          <w:tcPr>
            <w:tcW w:w="1745" w:type="dxa"/>
            <w:vAlign w:val="bottom"/>
          </w:tcPr>
          <w:p w14:paraId="119A89BD" w14:textId="066D51E9" w:rsidR="00EB2A5F" w:rsidRPr="00015FB2" w:rsidRDefault="00EB2A5F" w:rsidP="00851A3A">
            <w:pPr>
              <w:tabs>
                <w:tab w:val="left" w:pos="0"/>
              </w:tabs>
              <w:ind w:right="-1"/>
              <w:jc w:val="right"/>
              <w:outlineLvl w:val="0"/>
              <w:rPr>
                <w:bCs/>
                <w:sz w:val="18"/>
                <w:szCs w:val="18"/>
              </w:rPr>
            </w:pPr>
            <w:r>
              <w:rPr>
                <w:bCs/>
                <w:sz w:val="18"/>
                <w:szCs w:val="18"/>
              </w:rPr>
              <w:t>5.40</w:t>
            </w:r>
            <w:r w:rsidR="00834CDD">
              <w:rPr>
                <w:bCs/>
                <w:sz w:val="18"/>
                <w:szCs w:val="18"/>
              </w:rPr>
              <w:t>%</w:t>
            </w:r>
          </w:p>
        </w:tc>
        <w:tc>
          <w:tcPr>
            <w:tcW w:w="1659" w:type="dxa"/>
            <w:vAlign w:val="bottom"/>
          </w:tcPr>
          <w:p w14:paraId="70A2C2AB" w14:textId="3E40DD25" w:rsidR="00EB2A5F" w:rsidRPr="00A36623" w:rsidRDefault="00EB2A5F" w:rsidP="00851A3A">
            <w:pPr>
              <w:ind w:right="-1"/>
              <w:jc w:val="right"/>
              <w:outlineLvl w:val="0"/>
              <w:rPr>
                <w:bCs/>
                <w:sz w:val="18"/>
                <w:szCs w:val="18"/>
              </w:rPr>
            </w:pPr>
            <w:r>
              <w:rPr>
                <w:bCs/>
                <w:sz w:val="18"/>
                <w:szCs w:val="18"/>
              </w:rPr>
              <w:t>0.</w:t>
            </w:r>
            <w:r w:rsidRPr="00A36623">
              <w:rPr>
                <w:bCs/>
                <w:sz w:val="18"/>
                <w:szCs w:val="18"/>
              </w:rPr>
              <w:t>35</w:t>
            </w:r>
            <w:r w:rsidR="00834CDD">
              <w:rPr>
                <w:bCs/>
                <w:sz w:val="18"/>
                <w:szCs w:val="18"/>
              </w:rPr>
              <w:t>%</w:t>
            </w:r>
          </w:p>
        </w:tc>
      </w:tr>
      <w:tr w:rsidR="00EB2A5F" w:rsidRPr="00923A53" w14:paraId="3432802F" w14:textId="77777777" w:rsidTr="00466F39">
        <w:trPr>
          <w:trHeight w:val="231"/>
        </w:trPr>
        <w:tc>
          <w:tcPr>
            <w:tcW w:w="5577" w:type="dxa"/>
            <w:vAlign w:val="center"/>
          </w:tcPr>
          <w:p w14:paraId="06A724CA" w14:textId="77777777" w:rsidR="00EB2A5F" w:rsidRPr="007C0BA6" w:rsidRDefault="00EB2A5F" w:rsidP="00851A3A">
            <w:pPr>
              <w:ind w:left="-13"/>
              <w:rPr>
                <w:sz w:val="18"/>
              </w:rPr>
            </w:pPr>
            <w:r w:rsidRPr="007C0BA6">
              <w:rPr>
                <w:sz w:val="18"/>
              </w:rPr>
              <w:t xml:space="preserve">Not rated </w:t>
            </w:r>
          </w:p>
        </w:tc>
        <w:tc>
          <w:tcPr>
            <w:tcW w:w="1745" w:type="dxa"/>
            <w:vAlign w:val="bottom"/>
          </w:tcPr>
          <w:p w14:paraId="553B043E" w14:textId="55975103" w:rsidR="00EB2A5F" w:rsidRPr="00015FB2" w:rsidRDefault="00EB2A5F" w:rsidP="00851A3A">
            <w:pPr>
              <w:tabs>
                <w:tab w:val="left" w:pos="0"/>
              </w:tabs>
              <w:ind w:right="-1"/>
              <w:jc w:val="right"/>
              <w:outlineLvl w:val="0"/>
              <w:rPr>
                <w:bCs/>
                <w:sz w:val="18"/>
                <w:szCs w:val="18"/>
              </w:rPr>
            </w:pPr>
            <w:r>
              <w:rPr>
                <w:bCs/>
                <w:sz w:val="18"/>
                <w:szCs w:val="18"/>
              </w:rPr>
              <w:t>-</w:t>
            </w:r>
          </w:p>
        </w:tc>
        <w:tc>
          <w:tcPr>
            <w:tcW w:w="1659" w:type="dxa"/>
            <w:vAlign w:val="bottom"/>
          </w:tcPr>
          <w:p w14:paraId="541E9477" w14:textId="7A7418C5" w:rsidR="00EB2A5F" w:rsidRPr="00A36623" w:rsidRDefault="00EB2A5F" w:rsidP="00851A3A">
            <w:pPr>
              <w:ind w:right="-1"/>
              <w:jc w:val="right"/>
              <w:outlineLvl w:val="0"/>
              <w:rPr>
                <w:bCs/>
                <w:sz w:val="18"/>
                <w:szCs w:val="18"/>
              </w:rPr>
            </w:pPr>
            <w:r>
              <w:rPr>
                <w:bCs/>
                <w:sz w:val="18"/>
                <w:szCs w:val="18"/>
              </w:rPr>
              <w:t>3.</w:t>
            </w:r>
            <w:r w:rsidRPr="00A36623">
              <w:rPr>
                <w:bCs/>
                <w:sz w:val="18"/>
                <w:szCs w:val="18"/>
              </w:rPr>
              <w:t>95</w:t>
            </w:r>
            <w:r w:rsidR="00834CDD">
              <w:rPr>
                <w:bCs/>
                <w:sz w:val="18"/>
                <w:szCs w:val="18"/>
              </w:rPr>
              <w:t>%</w:t>
            </w:r>
          </w:p>
        </w:tc>
      </w:tr>
    </w:tbl>
    <w:p w14:paraId="106C5495" w14:textId="1A1C4D89" w:rsidR="003A65D8" w:rsidRPr="00604C75" w:rsidRDefault="00A041CD" w:rsidP="00490153">
      <w:pPr>
        <w:pStyle w:val="NormalIndent"/>
        <w:pageBreakBefore/>
        <w:widowControl w:val="0"/>
        <w:spacing w:before="120"/>
        <w:ind w:left="0"/>
        <w:jc w:val="both"/>
        <w:rPr>
          <w:b/>
          <w:sz w:val="22"/>
          <w:szCs w:val="22"/>
        </w:rPr>
      </w:pPr>
      <w:r w:rsidRPr="00604C75">
        <w:rPr>
          <w:b/>
        </w:rPr>
        <w:lastRenderedPageBreak/>
        <w:t>INFORMATION</w:t>
      </w:r>
      <w:r>
        <w:rPr>
          <w:b/>
          <w:bCs/>
          <w:noProof/>
          <w:lang w:val="tr-TR"/>
        </w:rPr>
        <w:t xml:space="preserve"> ON THE</w:t>
      </w:r>
      <w:r w:rsidRPr="00604C75">
        <w:rPr>
          <w:b/>
          <w:bCs/>
          <w:noProof/>
          <w:lang w:val="tr-TR"/>
        </w:rPr>
        <w:t xml:space="preserve"> FINANCIAL POSITION OF THE GROUP (Continued)</w:t>
      </w:r>
    </w:p>
    <w:p w14:paraId="36105E70" w14:textId="77777777" w:rsidR="003A65D8" w:rsidRDefault="003A65D8" w:rsidP="00490153">
      <w:pPr>
        <w:pStyle w:val="Heading2"/>
        <w:tabs>
          <w:tab w:val="left" w:pos="0"/>
          <w:tab w:val="left" w:pos="426"/>
        </w:tabs>
        <w:rPr>
          <w:rFonts w:ascii="Times New Roman" w:hAnsi="Times New Roman"/>
          <w:sz w:val="20"/>
        </w:rPr>
      </w:pPr>
      <w:r>
        <w:rPr>
          <w:rFonts w:ascii="Times New Roman" w:hAnsi="Times New Roman"/>
          <w:sz w:val="20"/>
        </w:rPr>
        <w:t xml:space="preserve">II.   </w:t>
      </w:r>
      <w:r w:rsidRPr="00604C75">
        <w:rPr>
          <w:rFonts w:ascii="Times New Roman" w:hAnsi="Times New Roman"/>
          <w:sz w:val="20"/>
        </w:rPr>
        <w:t>Explanations on Credit Risk</w:t>
      </w:r>
      <w:r w:rsidRPr="00604C75" w:rsidDel="00553D7B">
        <w:rPr>
          <w:rFonts w:ascii="Times New Roman" w:hAnsi="Times New Roman"/>
          <w:sz w:val="20"/>
        </w:rPr>
        <w:t xml:space="preserve"> </w:t>
      </w:r>
      <w:r w:rsidR="00332F58" w:rsidRPr="00332F58">
        <w:rPr>
          <w:rFonts w:ascii="Times New Roman" w:hAnsi="Times New Roman"/>
          <w:bCs/>
          <w:noProof/>
          <w:sz w:val="20"/>
          <w:lang w:val="tr-TR"/>
        </w:rPr>
        <w:t>(Continued)</w:t>
      </w:r>
    </w:p>
    <w:p w14:paraId="02B5714D" w14:textId="77777777" w:rsidR="00822E37" w:rsidRPr="00BC1BD6" w:rsidRDefault="003A65D8" w:rsidP="00490153">
      <w:pPr>
        <w:pStyle w:val="BodyTextIndent"/>
        <w:widowControl w:val="0"/>
        <w:numPr>
          <w:ilvl w:val="0"/>
          <w:numId w:val="11"/>
        </w:numPr>
        <w:tabs>
          <w:tab w:val="left" w:pos="0"/>
          <w:tab w:val="left" w:pos="284"/>
          <w:tab w:val="left" w:pos="567"/>
        </w:tabs>
        <w:spacing w:before="120" w:after="0"/>
        <w:ind w:left="0" w:firstLine="0"/>
        <w:jc w:val="both"/>
        <w:rPr>
          <w:b/>
          <w:sz w:val="20"/>
          <w:szCs w:val="20"/>
        </w:rPr>
      </w:pPr>
      <w:r>
        <w:rPr>
          <w:b/>
          <w:sz w:val="20"/>
          <w:szCs w:val="20"/>
        </w:rPr>
        <w:t xml:space="preserve"> </w:t>
      </w:r>
      <w:r w:rsidR="00822E37" w:rsidRPr="00BC1BD6">
        <w:rPr>
          <w:b/>
          <w:sz w:val="20"/>
          <w:szCs w:val="20"/>
        </w:rPr>
        <w:t>Fair value of collaterals ( loans and advances to customers):</w:t>
      </w:r>
    </w:p>
    <w:p w14:paraId="05C8400A" w14:textId="77777777" w:rsidR="00822E37" w:rsidRPr="00923A53" w:rsidRDefault="00822E37" w:rsidP="003A65D8">
      <w:pPr>
        <w:pStyle w:val="BodyTextIndent"/>
        <w:widowControl w:val="0"/>
        <w:tabs>
          <w:tab w:val="left" w:pos="0"/>
        </w:tabs>
        <w:spacing w:after="0"/>
        <w:ind w:left="0"/>
        <w:rPr>
          <w:b/>
          <w:sz w:val="20"/>
          <w:szCs w:val="20"/>
        </w:rPr>
      </w:pPr>
    </w:p>
    <w:tbl>
      <w:tblPr>
        <w:tblW w:w="8847"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351"/>
        <w:gridCol w:w="1535"/>
        <w:gridCol w:w="1247"/>
        <w:gridCol w:w="1248"/>
        <w:gridCol w:w="1247"/>
        <w:gridCol w:w="1219"/>
      </w:tblGrid>
      <w:tr w:rsidR="00822E37" w:rsidRPr="00923A53" w14:paraId="130EDC0D" w14:textId="77777777" w:rsidTr="003A65D8">
        <w:trPr>
          <w:trHeight w:val="226"/>
        </w:trPr>
        <w:tc>
          <w:tcPr>
            <w:tcW w:w="2351" w:type="dxa"/>
            <w:noWrap/>
            <w:vAlign w:val="bottom"/>
          </w:tcPr>
          <w:p w14:paraId="6E4D616D" w14:textId="77777777" w:rsidR="00822E37" w:rsidRPr="00923A53" w:rsidRDefault="00822E37" w:rsidP="003A65D8">
            <w:pPr>
              <w:widowControl w:val="0"/>
              <w:tabs>
                <w:tab w:val="left" w:pos="0"/>
              </w:tabs>
              <w:outlineLvl w:val="0"/>
              <w:rPr>
                <w:b/>
                <w:sz w:val="18"/>
                <w:szCs w:val="18"/>
              </w:rPr>
            </w:pPr>
            <w:r w:rsidRPr="00923A53">
              <w:rPr>
                <w:b/>
                <w:sz w:val="18"/>
                <w:szCs w:val="18"/>
              </w:rPr>
              <w:t xml:space="preserve">31 </w:t>
            </w:r>
            <w:r>
              <w:rPr>
                <w:b/>
                <w:sz w:val="18"/>
                <w:szCs w:val="18"/>
              </w:rPr>
              <w:t>December</w:t>
            </w:r>
            <w:r w:rsidR="003A65D8">
              <w:rPr>
                <w:b/>
                <w:sz w:val="18"/>
                <w:szCs w:val="18"/>
              </w:rPr>
              <w:t xml:space="preserve"> 2015</w:t>
            </w:r>
          </w:p>
        </w:tc>
        <w:tc>
          <w:tcPr>
            <w:tcW w:w="1535" w:type="dxa"/>
            <w:noWrap/>
            <w:vAlign w:val="bottom"/>
          </w:tcPr>
          <w:p w14:paraId="299F805C" w14:textId="4A0808FA" w:rsidR="00822E37" w:rsidRPr="00923A53" w:rsidRDefault="00B85547" w:rsidP="003A65D8">
            <w:pPr>
              <w:widowControl w:val="0"/>
              <w:tabs>
                <w:tab w:val="left" w:pos="0"/>
              </w:tabs>
              <w:ind w:right="-50"/>
              <w:jc w:val="right"/>
              <w:rPr>
                <w:b/>
                <w:bCs/>
                <w:sz w:val="18"/>
                <w:szCs w:val="18"/>
              </w:rPr>
            </w:pPr>
            <w:r>
              <w:rPr>
                <w:b/>
                <w:bCs/>
                <w:sz w:val="18"/>
                <w:szCs w:val="18"/>
              </w:rPr>
              <w:t>Corporate/ Commercial</w:t>
            </w:r>
          </w:p>
        </w:tc>
        <w:tc>
          <w:tcPr>
            <w:tcW w:w="1247" w:type="dxa"/>
            <w:vAlign w:val="bottom"/>
          </w:tcPr>
          <w:p w14:paraId="670C1805" w14:textId="77777777" w:rsidR="00822E37" w:rsidRPr="00923A53" w:rsidRDefault="00822E37" w:rsidP="003A65D8">
            <w:pPr>
              <w:widowControl w:val="0"/>
              <w:tabs>
                <w:tab w:val="left" w:pos="0"/>
              </w:tabs>
              <w:ind w:right="-50"/>
              <w:jc w:val="right"/>
              <w:rPr>
                <w:b/>
                <w:bCs/>
                <w:sz w:val="18"/>
                <w:szCs w:val="18"/>
              </w:rPr>
            </w:pPr>
            <w:r>
              <w:rPr>
                <w:b/>
                <w:bCs/>
                <w:sz w:val="18"/>
                <w:szCs w:val="18"/>
              </w:rPr>
              <w:t>SME</w:t>
            </w:r>
          </w:p>
        </w:tc>
        <w:tc>
          <w:tcPr>
            <w:tcW w:w="1248" w:type="dxa"/>
            <w:vAlign w:val="bottom"/>
          </w:tcPr>
          <w:p w14:paraId="56026669" w14:textId="77777777" w:rsidR="00822E37" w:rsidRPr="00923A53" w:rsidRDefault="00822E37" w:rsidP="003A65D8">
            <w:pPr>
              <w:widowControl w:val="0"/>
              <w:tabs>
                <w:tab w:val="left" w:pos="0"/>
              </w:tabs>
              <w:ind w:right="-50"/>
              <w:jc w:val="right"/>
              <w:rPr>
                <w:b/>
                <w:bCs/>
                <w:sz w:val="18"/>
                <w:szCs w:val="18"/>
              </w:rPr>
            </w:pPr>
            <w:r>
              <w:rPr>
                <w:b/>
                <w:bCs/>
                <w:sz w:val="18"/>
                <w:szCs w:val="18"/>
              </w:rPr>
              <w:t>Consumer</w:t>
            </w:r>
          </w:p>
        </w:tc>
        <w:tc>
          <w:tcPr>
            <w:tcW w:w="1247" w:type="dxa"/>
            <w:noWrap/>
            <w:vAlign w:val="bottom"/>
          </w:tcPr>
          <w:p w14:paraId="351FA7E1" w14:textId="77777777" w:rsidR="00822E37" w:rsidRPr="00923A53" w:rsidRDefault="00822E37" w:rsidP="003A65D8">
            <w:pPr>
              <w:widowControl w:val="0"/>
              <w:tabs>
                <w:tab w:val="left" w:pos="0"/>
              </w:tabs>
              <w:ind w:right="-50"/>
              <w:jc w:val="right"/>
              <w:rPr>
                <w:b/>
                <w:bCs/>
                <w:sz w:val="18"/>
                <w:szCs w:val="18"/>
              </w:rPr>
            </w:pPr>
            <w:r>
              <w:rPr>
                <w:b/>
                <w:bCs/>
                <w:sz w:val="18"/>
                <w:szCs w:val="18"/>
              </w:rPr>
              <w:t>Credit Cards</w:t>
            </w:r>
          </w:p>
        </w:tc>
        <w:tc>
          <w:tcPr>
            <w:tcW w:w="1219" w:type="dxa"/>
            <w:noWrap/>
            <w:vAlign w:val="bottom"/>
          </w:tcPr>
          <w:p w14:paraId="1A78457F" w14:textId="77777777" w:rsidR="00822E37" w:rsidRPr="00923A53" w:rsidRDefault="00822E37" w:rsidP="003A65D8">
            <w:pPr>
              <w:widowControl w:val="0"/>
              <w:tabs>
                <w:tab w:val="left" w:pos="0"/>
              </w:tabs>
              <w:ind w:right="-50"/>
              <w:jc w:val="right"/>
              <w:rPr>
                <w:b/>
                <w:bCs/>
                <w:sz w:val="18"/>
                <w:szCs w:val="18"/>
              </w:rPr>
            </w:pPr>
            <w:r>
              <w:rPr>
                <w:b/>
                <w:bCs/>
                <w:sz w:val="18"/>
                <w:szCs w:val="18"/>
              </w:rPr>
              <w:t>Total</w:t>
            </w:r>
          </w:p>
        </w:tc>
      </w:tr>
      <w:tr w:rsidR="00224102" w:rsidRPr="00923A53" w14:paraId="43AEF956" w14:textId="77777777" w:rsidTr="003A65D8">
        <w:trPr>
          <w:trHeight w:val="240"/>
        </w:trPr>
        <w:tc>
          <w:tcPr>
            <w:tcW w:w="2351" w:type="dxa"/>
            <w:noWrap/>
            <w:vAlign w:val="bottom"/>
          </w:tcPr>
          <w:p w14:paraId="3C1C9A11" w14:textId="113D0B78" w:rsidR="00224102" w:rsidRPr="007C0BA6" w:rsidRDefault="00224102" w:rsidP="00224102">
            <w:pPr>
              <w:widowControl w:val="0"/>
              <w:tabs>
                <w:tab w:val="left" w:pos="0"/>
              </w:tabs>
              <w:outlineLvl w:val="0"/>
              <w:rPr>
                <w:sz w:val="18"/>
                <w:szCs w:val="18"/>
              </w:rPr>
            </w:pPr>
            <w:r w:rsidRPr="007C0BA6">
              <w:rPr>
                <w:sz w:val="18"/>
                <w:szCs w:val="18"/>
              </w:rPr>
              <w:t xml:space="preserve">Loans under </w:t>
            </w:r>
            <w:r>
              <w:rPr>
                <w:sz w:val="18"/>
                <w:szCs w:val="18"/>
              </w:rPr>
              <w:t>C</w:t>
            </w:r>
            <w:r w:rsidRPr="007C0BA6">
              <w:rPr>
                <w:sz w:val="18"/>
                <w:szCs w:val="18"/>
              </w:rPr>
              <w:t xml:space="preserve">lose </w:t>
            </w:r>
            <w:r>
              <w:rPr>
                <w:sz w:val="18"/>
                <w:szCs w:val="18"/>
              </w:rPr>
              <w:t>M</w:t>
            </w:r>
            <w:r w:rsidRPr="007C0BA6">
              <w:rPr>
                <w:sz w:val="18"/>
                <w:szCs w:val="18"/>
              </w:rPr>
              <w:t>onitoring</w:t>
            </w:r>
          </w:p>
        </w:tc>
        <w:tc>
          <w:tcPr>
            <w:tcW w:w="1535" w:type="dxa"/>
            <w:noWrap/>
            <w:vAlign w:val="bottom"/>
          </w:tcPr>
          <w:p w14:paraId="304F529F" w14:textId="490EAFF1" w:rsidR="00224102" w:rsidRPr="00224CEA" w:rsidRDefault="00224102" w:rsidP="00224102">
            <w:pPr>
              <w:tabs>
                <w:tab w:val="left" w:pos="0"/>
              </w:tabs>
              <w:ind w:right="-42"/>
              <w:jc w:val="right"/>
              <w:outlineLvl w:val="0"/>
              <w:rPr>
                <w:bCs/>
                <w:sz w:val="18"/>
                <w:szCs w:val="18"/>
              </w:rPr>
            </w:pPr>
            <w:r w:rsidRPr="00224CEA">
              <w:rPr>
                <w:bCs/>
                <w:sz w:val="18"/>
                <w:szCs w:val="18"/>
              </w:rPr>
              <w:t>136,45</w:t>
            </w:r>
            <w:r>
              <w:rPr>
                <w:bCs/>
                <w:sz w:val="18"/>
                <w:szCs w:val="18"/>
              </w:rPr>
              <w:t>1</w:t>
            </w:r>
          </w:p>
        </w:tc>
        <w:tc>
          <w:tcPr>
            <w:tcW w:w="1247" w:type="dxa"/>
            <w:vAlign w:val="bottom"/>
          </w:tcPr>
          <w:p w14:paraId="6E216C6F" w14:textId="03B4A23D" w:rsidR="00224102" w:rsidRPr="00224CEA" w:rsidRDefault="00224102" w:rsidP="00224102">
            <w:pPr>
              <w:tabs>
                <w:tab w:val="left" w:pos="0"/>
              </w:tabs>
              <w:ind w:right="-42"/>
              <w:jc w:val="right"/>
              <w:outlineLvl w:val="0"/>
              <w:rPr>
                <w:bCs/>
                <w:sz w:val="18"/>
                <w:szCs w:val="18"/>
              </w:rPr>
            </w:pPr>
            <w:r w:rsidRPr="00224CEA">
              <w:rPr>
                <w:bCs/>
                <w:sz w:val="18"/>
                <w:szCs w:val="18"/>
              </w:rPr>
              <w:t>414,8</w:t>
            </w:r>
            <w:r>
              <w:rPr>
                <w:bCs/>
                <w:sz w:val="18"/>
                <w:szCs w:val="18"/>
              </w:rPr>
              <w:t>8</w:t>
            </w:r>
            <w:r w:rsidRPr="00224CEA">
              <w:rPr>
                <w:bCs/>
                <w:sz w:val="18"/>
                <w:szCs w:val="18"/>
              </w:rPr>
              <w:t>6</w:t>
            </w:r>
          </w:p>
        </w:tc>
        <w:tc>
          <w:tcPr>
            <w:tcW w:w="1248" w:type="dxa"/>
            <w:vAlign w:val="bottom"/>
          </w:tcPr>
          <w:p w14:paraId="1349D3E4" w14:textId="5331E2F6" w:rsidR="00224102" w:rsidRPr="00224CEA" w:rsidRDefault="00224102" w:rsidP="00224102">
            <w:pPr>
              <w:tabs>
                <w:tab w:val="left" w:pos="0"/>
              </w:tabs>
              <w:ind w:right="-42"/>
              <w:jc w:val="right"/>
              <w:outlineLvl w:val="0"/>
              <w:rPr>
                <w:bCs/>
                <w:sz w:val="18"/>
                <w:szCs w:val="18"/>
              </w:rPr>
            </w:pPr>
            <w:r w:rsidRPr="00224CEA">
              <w:rPr>
                <w:bCs/>
                <w:sz w:val="18"/>
                <w:szCs w:val="18"/>
              </w:rPr>
              <w:t>48,627</w:t>
            </w:r>
          </w:p>
        </w:tc>
        <w:tc>
          <w:tcPr>
            <w:tcW w:w="1247" w:type="dxa"/>
            <w:noWrap/>
            <w:vAlign w:val="bottom"/>
          </w:tcPr>
          <w:p w14:paraId="12528528" w14:textId="24A2A9C7" w:rsidR="00224102" w:rsidRPr="00224CEA" w:rsidRDefault="00224102" w:rsidP="00224102">
            <w:pPr>
              <w:tabs>
                <w:tab w:val="left" w:pos="0"/>
              </w:tabs>
              <w:ind w:right="-42"/>
              <w:jc w:val="right"/>
              <w:outlineLvl w:val="0"/>
              <w:rPr>
                <w:bCs/>
                <w:sz w:val="18"/>
                <w:szCs w:val="18"/>
              </w:rPr>
            </w:pPr>
            <w:r w:rsidRPr="00224CEA">
              <w:rPr>
                <w:bCs/>
                <w:sz w:val="18"/>
                <w:szCs w:val="18"/>
              </w:rPr>
              <w:t>5,686</w:t>
            </w:r>
          </w:p>
        </w:tc>
        <w:tc>
          <w:tcPr>
            <w:tcW w:w="1219" w:type="dxa"/>
            <w:noWrap/>
            <w:vAlign w:val="bottom"/>
          </w:tcPr>
          <w:p w14:paraId="02CB1345" w14:textId="3C8E2574" w:rsidR="00224102" w:rsidRPr="00224CEA" w:rsidRDefault="00224102" w:rsidP="00224102">
            <w:pPr>
              <w:tabs>
                <w:tab w:val="left" w:pos="0"/>
              </w:tabs>
              <w:ind w:right="-42"/>
              <w:jc w:val="right"/>
              <w:outlineLvl w:val="0"/>
              <w:rPr>
                <w:bCs/>
                <w:sz w:val="18"/>
                <w:szCs w:val="18"/>
              </w:rPr>
            </w:pPr>
            <w:r w:rsidRPr="00224CEA">
              <w:rPr>
                <w:bCs/>
                <w:sz w:val="18"/>
                <w:szCs w:val="18"/>
              </w:rPr>
              <w:t>605,</w:t>
            </w:r>
            <w:r>
              <w:rPr>
                <w:bCs/>
                <w:sz w:val="18"/>
                <w:szCs w:val="18"/>
              </w:rPr>
              <w:t>650</w:t>
            </w:r>
          </w:p>
        </w:tc>
      </w:tr>
      <w:tr w:rsidR="00224102" w:rsidRPr="00923A53" w14:paraId="3D545F17" w14:textId="77777777" w:rsidTr="003A65D8">
        <w:trPr>
          <w:trHeight w:val="240"/>
        </w:trPr>
        <w:tc>
          <w:tcPr>
            <w:tcW w:w="2351" w:type="dxa"/>
            <w:noWrap/>
            <w:vAlign w:val="bottom"/>
          </w:tcPr>
          <w:p w14:paraId="2AA025B9" w14:textId="6DEDBBC7" w:rsidR="00224102" w:rsidRPr="007C0BA6" w:rsidRDefault="00224102" w:rsidP="00224102">
            <w:pPr>
              <w:widowControl w:val="0"/>
              <w:tabs>
                <w:tab w:val="left" w:pos="0"/>
              </w:tabs>
              <w:outlineLvl w:val="0"/>
              <w:rPr>
                <w:sz w:val="18"/>
                <w:szCs w:val="18"/>
              </w:rPr>
            </w:pPr>
            <w:r w:rsidRPr="007C0BA6">
              <w:rPr>
                <w:sz w:val="18"/>
                <w:szCs w:val="18"/>
              </w:rPr>
              <w:t xml:space="preserve">Non-performing </w:t>
            </w:r>
            <w:r>
              <w:rPr>
                <w:sz w:val="18"/>
                <w:szCs w:val="18"/>
              </w:rPr>
              <w:t>L</w:t>
            </w:r>
            <w:r w:rsidRPr="007C0BA6">
              <w:rPr>
                <w:sz w:val="18"/>
                <w:szCs w:val="18"/>
              </w:rPr>
              <w:t>oans</w:t>
            </w:r>
          </w:p>
        </w:tc>
        <w:tc>
          <w:tcPr>
            <w:tcW w:w="1535" w:type="dxa"/>
            <w:noWrap/>
            <w:vAlign w:val="bottom"/>
          </w:tcPr>
          <w:p w14:paraId="5CD3EDA4" w14:textId="0749A87A" w:rsidR="00224102" w:rsidRPr="00224CEA" w:rsidRDefault="00224102" w:rsidP="00224102">
            <w:pPr>
              <w:tabs>
                <w:tab w:val="left" w:pos="0"/>
              </w:tabs>
              <w:ind w:right="-42"/>
              <w:jc w:val="right"/>
              <w:outlineLvl w:val="0"/>
              <w:rPr>
                <w:bCs/>
                <w:sz w:val="18"/>
                <w:szCs w:val="18"/>
              </w:rPr>
            </w:pPr>
            <w:r>
              <w:rPr>
                <w:bCs/>
                <w:sz w:val="18"/>
                <w:szCs w:val="18"/>
              </w:rPr>
              <w:t>131,388</w:t>
            </w:r>
          </w:p>
        </w:tc>
        <w:tc>
          <w:tcPr>
            <w:tcW w:w="1247" w:type="dxa"/>
            <w:vAlign w:val="bottom"/>
          </w:tcPr>
          <w:p w14:paraId="495098B3" w14:textId="7E2CF611" w:rsidR="00224102" w:rsidRPr="00224CEA" w:rsidRDefault="00224102" w:rsidP="00224102">
            <w:pPr>
              <w:tabs>
                <w:tab w:val="left" w:pos="0"/>
              </w:tabs>
              <w:ind w:right="-42"/>
              <w:jc w:val="right"/>
              <w:outlineLvl w:val="0"/>
              <w:rPr>
                <w:bCs/>
                <w:sz w:val="18"/>
                <w:szCs w:val="18"/>
              </w:rPr>
            </w:pPr>
            <w:r>
              <w:rPr>
                <w:bCs/>
                <w:sz w:val="18"/>
                <w:szCs w:val="18"/>
              </w:rPr>
              <w:t>120,557</w:t>
            </w:r>
          </w:p>
        </w:tc>
        <w:tc>
          <w:tcPr>
            <w:tcW w:w="1248" w:type="dxa"/>
            <w:vAlign w:val="bottom"/>
          </w:tcPr>
          <w:p w14:paraId="33FEE8FD" w14:textId="097793F4" w:rsidR="00224102" w:rsidRPr="00224CEA" w:rsidRDefault="00224102" w:rsidP="00224102">
            <w:pPr>
              <w:tabs>
                <w:tab w:val="left" w:pos="0"/>
              </w:tabs>
              <w:ind w:right="-42"/>
              <w:jc w:val="right"/>
              <w:outlineLvl w:val="0"/>
              <w:rPr>
                <w:bCs/>
                <w:sz w:val="18"/>
                <w:szCs w:val="18"/>
              </w:rPr>
            </w:pPr>
            <w:r>
              <w:rPr>
                <w:bCs/>
                <w:sz w:val="18"/>
                <w:szCs w:val="18"/>
              </w:rPr>
              <w:t>10,675</w:t>
            </w:r>
          </w:p>
        </w:tc>
        <w:tc>
          <w:tcPr>
            <w:tcW w:w="1247" w:type="dxa"/>
            <w:noWrap/>
            <w:vAlign w:val="bottom"/>
          </w:tcPr>
          <w:p w14:paraId="553D0335" w14:textId="3191F763" w:rsidR="00224102" w:rsidRPr="00224CEA" w:rsidRDefault="00224102" w:rsidP="00224102">
            <w:pPr>
              <w:tabs>
                <w:tab w:val="left" w:pos="0"/>
              </w:tabs>
              <w:ind w:right="-42"/>
              <w:jc w:val="right"/>
              <w:outlineLvl w:val="0"/>
              <w:rPr>
                <w:bCs/>
                <w:sz w:val="18"/>
                <w:szCs w:val="18"/>
              </w:rPr>
            </w:pPr>
            <w:r>
              <w:rPr>
                <w:bCs/>
                <w:sz w:val="18"/>
                <w:szCs w:val="18"/>
              </w:rPr>
              <w:t>2,608</w:t>
            </w:r>
          </w:p>
        </w:tc>
        <w:tc>
          <w:tcPr>
            <w:tcW w:w="1219" w:type="dxa"/>
            <w:noWrap/>
            <w:vAlign w:val="bottom"/>
          </w:tcPr>
          <w:p w14:paraId="20B0E52B" w14:textId="0797991B" w:rsidR="00224102" w:rsidRPr="00224CEA" w:rsidRDefault="00224102" w:rsidP="00224102">
            <w:pPr>
              <w:tabs>
                <w:tab w:val="left" w:pos="0"/>
              </w:tabs>
              <w:ind w:right="-42"/>
              <w:jc w:val="right"/>
              <w:outlineLvl w:val="0"/>
              <w:rPr>
                <w:bCs/>
                <w:sz w:val="18"/>
                <w:szCs w:val="18"/>
              </w:rPr>
            </w:pPr>
            <w:r>
              <w:rPr>
                <w:bCs/>
                <w:sz w:val="18"/>
                <w:szCs w:val="18"/>
              </w:rPr>
              <w:t>265,228</w:t>
            </w:r>
          </w:p>
        </w:tc>
      </w:tr>
      <w:tr w:rsidR="00224102" w:rsidRPr="00923A53" w14:paraId="2546033B" w14:textId="77777777" w:rsidTr="003A65D8">
        <w:trPr>
          <w:trHeight w:val="255"/>
        </w:trPr>
        <w:tc>
          <w:tcPr>
            <w:tcW w:w="2351" w:type="dxa"/>
            <w:noWrap/>
            <w:vAlign w:val="bottom"/>
          </w:tcPr>
          <w:p w14:paraId="68D0BF3C" w14:textId="77777777" w:rsidR="00224102" w:rsidRPr="00923A53" w:rsidRDefault="00224102" w:rsidP="00224102">
            <w:pPr>
              <w:widowControl w:val="0"/>
              <w:tabs>
                <w:tab w:val="left" w:pos="0"/>
              </w:tabs>
              <w:outlineLvl w:val="0"/>
              <w:rPr>
                <w:b/>
                <w:sz w:val="18"/>
                <w:szCs w:val="18"/>
              </w:rPr>
            </w:pPr>
            <w:r>
              <w:rPr>
                <w:b/>
                <w:sz w:val="18"/>
                <w:szCs w:val="18"/>
              </w:rPr>
              <w:t>Total</w:t>
            </w:r>
          </w:p>
        </w:tc>
        <w:tc>
          <w:tcPr>
            <w:tcW w:w="1535" w:type="dxa"/>
            <w:noWrap/>
            <w:vAlign w:val="bottom"/>
          </w:tcPr>
          <w:p w14:paraId="2B453E62" w14:textId="78324748" w:rsidR="00224102" w:rsidRPr="00224CEA" w:rsidRDefault="00224102" w:rsidP="00224102">
            <w:pPr>
              <w:tabs>
                <w:tab w:val="left" w:pos="0"/>
              </w:tabs>
              <w:ind w:right="-42"/>
              <w:jc w:val="right"/>
              <w:outlineLvl w:val="0"/>
              <w:rPr>
                <w:b/>
                <w:bCs/>
                <w:sz w:val="18"/>
                <w:szCs w:val="18"/>
              </w:rPr>
            </w:pPr>
            <w:r>
              <w:rPr>
                <w:b/>
                <w:bCs/>
                <w:sz w:val="18"/>
                <w:szCs w:val="18"/>
              </w:rPr>
              <w:t>267,839</w:t>
            </w:r>
          </w:p>
        </w:tc>
        <w:tc>
          <w:tcPr>
            <w:tcW w:w="1247" w:type="dxa"/>
            <w:vAlign w:val="bottom"/>
          </w:tcPr>
          <w:p w14:paraId="1A770A6C" w14:textId="6DAEC97C" w:rsidR="00224102" w:rsidRPr="00224CEA" w:rsidRDefault="00224102" w:rsidP="00224102">
            <w:pPr>
              <w:tabs>
                <w:tab w:val="left" w:pos="0"/>
              </w:tabs>
              <w:ind w:right="-42"/>
              <w:jc w:val="right"/>
              <w:outlineLvl w:val="0"/>
              <w:rPr>
                <w:b/>
                <w:bCs/>
                <w:sz w:val="18"/>
                <w:szCs w:val="18"/>
              </w:rPr>
            </w:pPr>
            <w:r>
              <w:rPr>
                <w:b/>
                <w:bCs/>
                <w:sz w:val="18"/>
                <w:szCs w:val="18"/>
              </w:rPr>
              <w:t>535,443</w:t>
            </w:r>
          </w:p>
        </w:tc>
        <w:tc>
          <w:tcPr>
            <w:tcW w:w="1248" w:type="dxa"/>
            <w:vAlign w:val="bottom"/>
          </w:tcPr>
          <w:p w14:paraId="63D79C63" w14:textId="438B0F60" w:rsidR="00224102" w:rsidRPr="00224CEA" w:rsidRDefault="00224102" w:rsidP="00224102">
            <w:pPr>
              <w:tabs>
                <w:tab w:val="left" w:pos="0"/>
              </w:tabs>
              <w:ind w:right="-42"/>
              <w:jc w:val="right"/>
              <w:outlineLvl w:val="0"/>
              <w:rPr>
                <w:b/>
                <w:bCs/>
                <w:sz w:val="18"/>
                <w:szCs w:val="18"/>
              </w:rPr>
            </w:pPr>
            <w:r>
              <w:rPr>
                <w:b/>
                <w:bCs/>
                <w:sz w:val="18"/>
                <w:szCs w:val="18"/>
              </w:rPr>
              <w:t>59,302</w:t>
            </w:r>
          </w:p>
        </w:tc>
        <w:tc>
          <w:tcPr>
            <w:tcW w:w="1247" w:type="dxa"/>
            <w:noWrap/>
            <w:vAlign w:val="bottom"/>
          </w:tcPr>
          <w:p w14:paraId="619762EC" w14:textId="6375E2CC" w:rsidR="00224102" w:rsidRPr="00224CEA" w:rsidRDefault="00224102" w:rsidP="00224102">
            <w:pPr>
              <w:tabs>
                <w:tab w:val="left" w:pos="0"/>
              </w:tabs>
              <w:ind w:right="-42"/>
              <w:jc w:val="right"/>
              <w:outlineLvl w:val="0"/>
              <w:rPr>
                <w:b/>
                <w:bCs/>
                <w:sz w:val="18"/>
                <w:szCs w:val="18"/>
              </w:rPr>
            </w:pPr>
            <w:r>
              <w:rPr>
                <w:b/>
                <w:bCs/>
                <w:sz w:val="18"/>
                <w:szCs w:val="18"/>
              </w:rPr>
              <w:t>8,294</w:t>
            </w:r>
          </w:p>
        </w:tc>
        <w:tc>
          <w:tcPr>
            <w:tcW w:w="1219" w:type="dxa"/>
            <w:noWrap/>
            <w:vAlign w:val="bottom"/>
          </w:tcPr>
          <w:p w14:paraId="07BAD33A" w14:textId="29A068AF" w:rsidR="00224102" w:rsidRPr="00224CEA" w:rsidRDefault="00224102" w:rsidP="00224102">
            <w:pPr>
              <w:tabs>
                <w:tab w:val="left" w:pos="0"/>
              </w:tabs>
              <w:ind w:right="-42"/>
              <w:jc w:val="right"/>
              <w:outlineLvl w:val="0"/>
              <w:rPr>
                <w:b/>
                <w:bCs/>
                <w:sz w:val="18"/>
                <w:szCs w:val="18"/>
              </w:rPr>
            </w:pPr>
            <w:r>
              <w:rPr>
                <w:b/>
                <w:bCs/>
                <w:sz w:val="18"/>
                <w:szCs w:val="18"/>
              </w:rPr>
              <w:t>870,878</w:t>
            </w:r>
          </w:p>
        </w:tc>
      </w:tr>
    </w:tbl>
    <w:p w14:paraId="09F6B9E4" w14:textId="77777777" w:rsidR="00822E37" w:rsidRPr="00923A53" w:rsidRDefault="00822E37" w:rsidP="003A65D8">
      <w:pPr>
        <w:pStyle w:val="BodyTextIndent"/>
        <w:widowControl w:val="0"/>
        <w:tabs>
          <w:tab w:val="left" w:pos="0"/>
        </w:tabs>
        <w:spacing w:after="0"/>
        <w:ind w:left="0"/>
        <w:rPr>
          <w:b/>
          <w:sz w:val="16"/>
          <w:szCs w:val="16"/>
        </w:rPr>
      </w:pPr>
    </w:p>
    <w:tbl>
      <w:tblPr>
        <w:tblW w:w="8847"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351"/>
        <w:gridCol w:w="1535"/>
        <w:gridCol w:w="1247"/>
        <w:gridCol w:w="1248"/>
        <w:gridCol w:w="1247"/>
        <w:gridCol w:w="1219"/>
      </w:tblGrid>
      <w:tr w:rsidR="00822E37" w:rsidRPr="00923A53" w14:paraId="603A83FC" w14:textId="77777777" w:rsidTr="003A65D8">
        <w:trPr>
          <w:trHeight w:val="360"/>
        </w:trPr>
        <w:tc>
          <w:tcPr>
            <w:tcW w:w="2351" w:type="dxa"/>
            <w:noWrap/>
            <w:vAlign w:val="bottom"/>
          </w:tcPr>
          <w:p w14:paraId="59460FEE" w14:textId="77777777" w:rsidR="00822E37" w:rsidRPr="00923A53" w:rsidRDefault="00822E37" w:rsidP="003A65D8">
            <w:pPr>
              <w:widowControl w:val="0"/>
              <w:tabs>
                <w:tab w:val="left" w:pos="0"/>
              </w:tabs>
              <w:outlineLvl w:val="0"/>
              <w:rPr>
                <w:b/>
                <w:sz w:val="18"/>
                <w:szCs w:val="18"/>
              </w:rPr>
            </w:pPr>
            <w:r w:rsidRPr="00923A53">
              <w:rPr>
                <w:b/>
                <w:sz w:val="18"/>
                <w:szCs w:val="18"/>
              </w:rPr>
              <w:t xml:space="preserve">31 </w:t>
            </w:r>
            <w:r>
              <w:rPr>
                <w:b/>
                <w:sz w:val="18"/>
                <w:szCs w:val="18"/>
              </w:rPr>
              <w:t>December</w:t>
            </w:r>
            <w:r w:rsidR="003A65D8">
              <w:rPr>
                <w:b/>
                <w:sz w:val="18"/>
                <w:szCs w:val="18"/>
              </w:rPr>
              <w:t xml:space="preserve"> 2014</w:t>
            </w:r>
          </w:p>
        </w:tc>
        <w:tc>
          <w:tcPr>
            <w:tcW w:w="1535" w:type="dxa"/>
            <w:noWrap/>
            <w:vAlign w:val="bottom"/>
          </w:tcPr>
          <w:p w14:paraId="6FDE0ED3" w14:textId="7A1C01B8" w:rsidR="00822E37" w:rsidRPr="00923A53" w:rsidRDefault="00B85547" w:rsidP="003A65D8">
            <w:pPr>
              <w:widowControl w:val="0"/>
              <w:tabs>
                <w:tab w:val="left" w:pos="0"/>
              </w:tabs>
              <w:ind w:right="-50"/>
              <w:jc w:val="right"/>
              <w:rPr>
                <w:b/>
                <w:bCs/>
                <w:sz w:val="18"/>
                <w:szCs w:val="18"/>
              </w:rPr>
            </w:pPr>
            <w:r>
              <w:rPr>
                <w:b/>
                <w:bCs/>
                <w:sz w:val="18"/>
                <w:szCs w:val="18"/>
              </w:rPr>
              <w:t>Corporate/ Commercial</w:t>
            </w:r>
          </w:p>
        </w:tc>
        <w:tc>
          <w:tcPr>
            <w:tcW w:w="1247" w:type="dxa"/>
            <w:vAlign w:val="bottom"/>
          </w:tcPr>
          <w:p w14:paraId="34EBAE0A" w14:textId="77777777" w:rsidR="00822E37" w:rsidRPr="00923A53" w:rsidRDefault="00822E37" w:rsidP="003A65D8">
            <w:pPr>
              <w:widowControl w:val="0"/>
              <w:tabs>
                <w:tab w:val="left" w:pos="0"/>
              </w:tabs>
              <w:ind w:right="-50"/>
              <w:jc w:val="right"/>
              <w:rPr>
                <w:b/>
                <w:bCs/>
                <w:sz w:val="18"/>
                <w:szCs w:val="18"/>
              </w:rPr>
            </w:pPr>
            <w:r>
              <w:rPr>
                <w:b/>
                <w:bCs/>
                <w:sz w:val="18"/>
                <w:szCs w:val="18"/>
              </w:rPr>
              <w:t>SME</w:t>
            </w:r>
          </w:p>
        </w:tc>
        <w:tc>
          <w:tcPr>
            <w:tcW w:w="1248" w:type="dxa"/>
            <w:vAlign w:val="bottom"/>
          </w:tcPr>
          <w:p w14:paraId="50807300" w14:textId="77777777" w:rsidR="00822E37" w:rsidRPr="00923A53" w:rsidRDefault="00822E37" w:rsidP="003A65D8">
            <w:pPr>
              <w:widowControl w:val="0"/>
              <w:tabs>
                <w:tab w:val="left" w:pos="0"/>
              </w:tabs>
              <w:ind w:right="-50"/>
              <w:jc w:val="right"/>
              <w:rPr>
                <w:b/>
                <w:bCs/>
                <w:sz w:val="18"/>
                <w:szCs w:val="18"/>
              </w:rPr>
            </w:pPr>
            <w:r>
              <w:rPr>
                <w:b/>
                <w:bCs/>
                <w:sz w:val="18"/>
                <w:szCs w:val="18"/>
              </w:rPr>
              <w:t>Consumer</w:t>
            </w:r>
          </w:p>
        </w:tc>
        <w:tc>
          <w:tcPr>
            <w:tcW w:w="1247" w:type="dxa"/>
            <w:noWrap/>
            <w:vAlign w:val="bottom"/>
          </w:tcPr>
          <w:p w14:paraId="6AC897C5" w14:textId="77777777" w:rsidR="00822E37" w:rsidRPr="00923A53" w:rsidRDefault="00822E37" w:rsidP="003A65D8">
            <w:pPr>
              <w:widowControl w:val="0"/>
              <w:tabs>
                <w:tab w:val="left" w:pos="0"/>
              </w:tabs>
              <w:ind w:right="-50"/>
              <w:jc w:val="right"/>
              <w:rPr>
                <w:b/>
                <w:bCs/>
                <w:sz w:val="18"/>
                <w:szCs w:val="18"/>
              </w:rPr>
            </w:pPr>
            <w:r>
              <w:rPr>
                <w:b/>
                <w:bCs/>
                <w:sz w:val="18"/>
                <w:szCs w:val="18"/>
              </w:rPr>
              <w:t>Credit Cards</w:t>
            </w:r>
          </w:p>
        </w:tc>
        <w:tc>
          <w:tcPr>
            <w:tcW w:w="1219" w:type="dxa"/>
            <w:noWrap/>
            <w:vAlign w:val="bottom"/>
          </w:tcPr>
          <w:p w14:paraId="2C73596D" w14:textId="77777777" w:rsidR="00822E37" w:rsidRPr="00923A53" w:rsidRDefault="00822E37" w:rsidP="003A65D8">
            <w:pPr>
              <w:widowControl w:val="0"/>
              <w:tabs>
                <w:tab w:val="left" w:pos="0"/>
              </w:tabs>
              <w:ind w:right="-50"/>
              <w:jc w:val="right"/>
              <w:rPr>
                <w:b/>
                <w:bCs/>
                <w:sz w:val="18"/>
                <w:szCs w:val="18"/>
              </w:rPr>
            </w:pPr>
            <w:r>
              <w:rPr>
                <w:b/>
                <w:bCs/>
                <w:sz w:val="18"/>
                <w:szCs w:val="18"/>
              </w:rPr>
              <w:t>Total</w:t>
            </w:r>
          </w:p>
        </w:tc>
      </w:tr>
      <w:tr w:rsidR="00224102" w:rsidRPr="00923A53" w14:paraId="1B52D654" w14:textId="77777777" w:rsidTr="003A65D8">
        <w:trPr>
          <w:trHeight w:val="240"/>
        </w:trPr>
        <w:tc>
          <w:tcPr>
            <w:tcW w:w="2351" w:type="dxa"/>
            <w:noWrap/>
            <w:vAlign w:val="bottom"/>
          </w:tcPr>
          <w:p w14:paraId="3FE64F23" w14:textId="5835E6ED" w:rsidR="00224102" w:rsidRPr="007C0BA6" w:rsidRDefault="00224102" w:rsidP="00224102">
            <w:pPr>
              <w:widowControl w:val="0"/>
              <w:tabs>
                <w:tab w:val="left" w:pos="0"/>
              </w:tabs>
              <w:outlineLvl w:val="0"/>
              <w:rPr>
                <w:sz w:val="18"/>
                <w:szCs w:val="18"/>
              </w:rPr>
            </w:pPr>
            <w:r w:rsidRPr="007C0BA6">
              <w:rPr>
                <w:sz w:val="18"/>
                <w:szCs w:val="18"/>
              </w:rPr>
              <w:t xml:space="preserve">Loans under </w:t>
            </w:r>
            <w:r>
              <w:rPr>
                <w:sz w:val="18"/>
                <w:szCs w:val="18"/>
              </w:rPr>
              <w:t>C</w:t>
            </w:r>
            <w:r w:rsidRPr="007C0BA6">
              <w:rPr>
                <w:sz w:val="18"/>
                <w:szCs w:val="18"/>
              </w:rPr>
              <w:t>lose</w:t>
            </w:r>
            <w:r>
              <w:rPr>
                <w:sz w:val="18"/>
                <w:szCs w:val="18"/>
              </w:rPr>
              <w:t xml:space="preserve"> M</w:t>
            </w:r>
            <w:r w:rsidRPr="007C0BA6">
              <w:rPr>
                <w:sz w:val="18"/>
                <w:szCs w:val="18"/>
              </w:rPr>
              <w:t>onitoring</w:t>
            </w:r>
          </w:p>
        </w:tc>
        <w:tc>
          <w:tcPr>
            <w:tcW w:w="1535" w:type="dxa"/>
            <w:noWrap/>
            <w:vAlign w:val="bottom"/>
          </w:tcPr>
          <w:p w14:paraId="0176BD79" w14:textId="15FBC3EE" w:rsidR="00224102" w:rsidRPr="00A36623" w:rsidRDefault="00224102" w:rsidP="00224102">
            <w:pPr>
              <w:ind w:right="-48"/>
              <w:jc w:val="right"/>
              <w:rPr>
                <w:rFonts w:eastAsia="Arial Unicode MS"/>
                <w:sz w:val="18"/>
                <w:szCs w:val="18"/>
              </w:rPr>
            </w:pPr>
            <w:r w:rsidRPr="00A36623">
              <w:rPr>
                <w:rFonts w:eastAsia="Arial Unicode MS"/>
                <w:sz w:val="18"/>
                <w:szCs w:val="18"/>
              </w:rPr>
              <w:t>23</w:t>
            </w:r>
            <w:r>
              <w:rPr>
                <w:rFonts w:eastAsia="Arial Unicode MS"/>
                <w:sz w:val="18"/>
                <w:szCs w:val="18"/>
              </w:rPr>
              <w:t>,</w:t>
            </w:r>
            <w:r w:rsidRPr="00A36623">
              <w:rPr>
                <w:rFonts w:eastAsia="Arial Unicode MS"/>
                <w:sz w:val="18"/>
                <w:szCs w:val="18"/>
              </w:rPr>
              <w:t>949</w:t>
            </w:r>
          </w:p>
        </w:tc>
        <w:tc>
          <w:tcPr>
            <w:tcW w:w="1247" w:type="dxa"/>
            <w:vAlign w:val="bottom"/>
          </w:tcPr>
          <w:p w14:paraId="434F7092" w14:textId="4B10ABE2" w:rsidR="00224102" w:rsidRPr="00A36623" w:rsidRDefault="00224102" w:rsidP="00224102">
            <w:pPr>
              <w:ind w:right="-48"/>
              <w:jc w:val="right"/>
              <w:rPr>
                <w:rFonts w:eastAsia="Arial Unicode MS"/>
                <w:sz w:val="18"/>
                <w:szCs w:val="18"/>
              </w:rPr>
            </w:pPr>
            <w:r w:rsidRPr="00A36623">
              <w:rPr>
                <w:rFonts w:eastAsia="Arial Unicode MS"/>
                <w:sz w:val="18"/>
                <w:szCs w:val="18"/>
              </w:rPr>
              <w:t>91</w:t>
            </w:r>
            <w:r>
              <w:rPr>
                <w:rFonts w:eastAsia="Arial Unicode MS"/>
                <w:sz w:val="18"/>
                <w:szCs w:val="18"/>
              </w:rPr>
              <w:t>,</w:t>
            </w:r>
            <w:r w:rsidRPr="00A36623">
              <w:rPr>
                <w:rFonts w:eastAsia="Arial Unicode MS"/>
                <w:sz w:val="18"/>
                <w:szCs w:val="18"/>
              </w:rPr>
              <w:t>559</w:t>
            </w:r>
          </w:p>
        </w:tc>
        <w:tc>
          <w:tcPr>
            <w:tcW w:w="1248" w:type="dxa"/>
            <w:vAlign w:val="bottom"/>
          </w:tcPr>
          <w:p w14:paraId="599E71EC" w14:textId="3B5887DD" w:rsidR="00224102" w:rsidRPr="00A36623" w:rsidRDefault="00224102" w:rsidP="00224102">
            <w:pPr>
              <w:ind w:right="-48"/>
              <w:jc w:val="right"/>
              <w:rPr>
                <w:rFonts w:eastAsia="Arial Unicode MS"/>
                <w:sz w:val="18"/>
                <w:szCs w:val="18"/>
              </w:rPr>
            </w:pPr>
            <w:r w:rsidRPr="00A36623">
              <w:rPr>
                <w:rFonts w:eastAsia="Arial Unicode MS"/>
                <w:sz w:val="18"/>
                <w:szCs w:val="18"/>
              </w:rPr>
              <w:t>54</w:t>
            </w:r>
            <w:r>
              <w:rPr>
                <w:rFonts w:eastAsia="Arial Unicode MS"/>
                <w:sz w:val="18"/>
                <w:szCs w:val="18"/>
              </w:rPr>
              <w:t>,</w:t>
            </w:r>
            <w:r w:rsidRPr="00A36623">
              <w:rPr>
                <w:rFonts w:eastAsia="Arial Unicode MS"/>
                <w:sz w:val="18"/>
                <w:szCs w:val="18"/>
              </w:rPr>
              <w:t>372</w:t>
            </w:r>
          </w:p>
        </w:tc>
        <w:tc>
          <w:tcPr>
            <w:tcW w:w="1247" w:type="dxa"/>
            <w:noWrap/>
            <w:vAlign w:val="bottom"/>
          </w:tcPr>
          <w:p w14:paraId="2E854AB8" w14:textId="7B6E2C89" w:rsidR="00224102" w:rsidRPr="00A36623" w:rsidRDefault="00224102" w:rsidP="00224102">
            <w:pPr>
              <w:ind w:right="-48"/>
              <w:jc w:val="right"/>
              <w:rPr>
                <w:rFonts w:eastAsia="Arial Unicode MS"/>
                <w:sz w:val="18"/>
                <w:szCs w:val="18"/>
              </w:rPr>
            </w:pPr>
            <w:r w:rsidRPr="00A36623">
              <w:rPr>
                <w:rFonts w:eastAsia="Arial Unicode MS"/>
                <w:sz w:val="18"/>
                <w:szCs w:val="18"/>
              </w:rPr>
              <w:t>9</w:t>
            </w:r>
            <w:r>
              <w:rPr>
                <w:rFonts w:eastAsia="Arial Unicode MS"/>
                <w:sz w:val="18"/>
                <w:szCs w:val="18"/>
              </w:rPr>
              <w:t>,</w:t>
            </w:r>
            <w:r w:rsidRPr="00A36623">
              <w:rPr>
                <w:rFonts w:eastAsia="Arial Unicode MS"/>
                <w:sz w:val="18"/>
                <w:szCs w:val="18"/>
              </w:rPr>
              <w:t>084</w:t>
            </w:r>
          </w:p>
        </w:tc>
        <w:tc>
          <w:tcPr>
            <w:tcW w:w="1219" w:type="dxa"/>
            <w:noWrap/>
            <w:vAlign w:val="bottom"/>
          </w:tcPr>
          <w:p w14:paraId="4A904278" w14:textId="01C61778" w:rsidR="00224102" w:rsidRPr="00A36623" w:rsidRDefault="00224102" w:rsidP="00224102">
            <w:pPr>
              <w:ind w:right="-48"/>
              <w:jc w:val="right"/>
              <w:rPr>
                <w:rFonts w:eastAsia="Arial Unicode MS"/>
                <w:sz w:val="18"/>
                <w:szCs w:val="18"/>
              </w:rPr>
            </w:pPr>
            <w:r w:rsidRPr="00A36623">
              <w:rPr>
                <w:rFonts w:eastAsia="Arial Unicode MS"/>
                <w:sz w:val="18"/>
                <w:szCs w:val="18"/>
              </w:rPr>
              <w:t>178</w:t>
            </w:r>
            <w:r>
              <w:rPr>
                <w:rFonts w:eastAsia="Arial Unicode MS"/>
                <w:sz w:val="18"/>
                <w:szCs w:val="18"/>
              </w:rPr>
              <w:t>,</w:t>
            </w:r>
            <w:r w:rsidRPr="00A36623">
              <w:rPr>
                <w:rFonts w:eastAsia="Arial Unicode MS"/>
                <w:sz w:val="18"/>
                <w:szCs w:val="18"/>
              </w:rPr>
              <w:t>964</w:t>
            </w:r>
          </w:p>
        </w:tc>
      </w:tr>
      <w:tr w:rsidR="00224102" w:rsidRPr="00923A53" w14:paraId="0C270155" w14:textId="77777777" w:rsidTr="003A65D8">
        <w:trPr>
          <w:trHeight w:val="240"/>
        </w:trPr>
        <w:tc>
          <w:tcPr>
            <w:tcW w:w="2351" w:type="dxa"/>
            <w:noWrap/>
            <w:vAlign w:val="bottom"/>
          </w:tcPr>
          <w:p w14:paraId="53F51B19" w14:textId="26E907D0" w:rsidR="00224102" w:rsidRPr="007C0BA6" w:rsidRDefault="00224102" w:rsidP="00224102">
            <w:pPr>
              <w:widowControl w:val="0"/>
              <w:tabs>
                <w:tab w:val="left" w:pos="0"/>
              </w:tabs>
              <w:outlineLvl w:val="0"/>
              <w:rPr>
                <w:sz w:val="18"/>
                <w:szCs w:val="18"/>
              </w:rPr>
            </w:pPr>
            <w:r w:rsidRPr="007C0BA6">
              <w:rPr>
                <w:sz w:val="18"/>
                <w:szCs w:val="18"/>
              </w:rPr>
              <w:t xml:space="preserve">Non-performing </w:t>
            </w:r>
            <w:r>
              <w:rPr>
                <w:sz w:val="18"/>
                <w:szCs w:val="18"/>
              </w:rPr>
              <w:t>L</w:t>
            </w:r>
            <w:r w:rsidRPr="007C0BA6">
              <w:rPr>
                <w:sz w:val="18"/>
                <w:szCs w:val="18"/>
              </w:rPr>
              <w:t>oans</w:t>
            </w:r>
          </w:p>
        </w:tc>
        <w:tc>
          <w:tcPr>
            <w:tcW w:w="1535" w:type="dxa"/>
            <w:noWrap/>
            <w:vAlign w:val="bottom"/>
          </w:tcPr>
          <w:p w14:paraId="7D1D6BF7" w14:textId="517571E9" w:rsidR="00224102" w:rsidRPr="00A36623" w:rsidRDefault="00224102" w:rsidP="00224102">
            <w:pPr>
              <w:ind w:right="-48"/>
              <w:jc w:val="right"/>
              <w:rPr>
                <w:rFonts w:eastAsia="Arial Unicode MS"/>
                <w:sz w:val="18"/>
                <w:szCs w:val="18"/>
              </w:rPr>
            </w:pPr>
            <w:r w:rsidRPr="00A36623">
              <w:rPr>
                <w:rFonts w:eastAsia="Arial Unicode MS"/>
                <w:sz w:val="18"/>
                <w:szCs w:val="18"/>
              </w:rPr>
              <w:t>75</w:t>
            </w:r>
            <w:r>
              <w:rPr>
                <w:rFonts w:eastAsia="Arial Unicode MS"/>
                <w:sz w:val="18"/>
                <w:szCs w:val="18"/>
              </w:rPr>
              <w:t>,</w:t>
            </w:r>
            <w:r w:rsidRPr="00A36623">
              <w:rPr>
                <w:rFonts w:eastAsia="Arial Unicode MS"/>
                <w:sz w:val="18"/>
                <w:szCs w:val="18"/>
              </w:rPr>
              <w:t>063</w:t>
            </w:r>
          </w:p>
        </w:tc>
        <w:tc>
          <w:tcPr>
            <w:tcW w:w="1247" w:type="dxa"/>
            <w:vAlign w:val="bottom"/>
          </w:tcPr>
          <w:p w14:paraId="6CC3D36C" w14:textId="099C2616" w:rsidR="00224102" w:rsidRPr="00A36623" w:rsidRDefault="00224102" w:rsidP="00224102">
            <w:pPr>
              <w:ind w:right="-48"/>
              <w:jc w:val="right"/>
              <w:rPr>
                <w:rFonts w:eastAsia="Arial Unicode MS"/>
                <w:sz w:val="18"/>
                <w:szCs w:val="18"/>
              </w:rPr>
            </w:pPr>
            <w:r w:rsidRPr="00A36623">
              <w:rPr>
                <w:rFonts w:eastAsia="Arial Unicode MS"/>
                <w:sz w:val="18"/>
                <w:szCs w:val="18"/>
              </w:rPr>
              <w:t>151</w:t>
            </w:r>
            <w:r>
              <w:rPr>
                <w:rFonts w:eastAsia="Arial Unicode MS"/>
                <w:sz w:val="18"/>
                <w:szCs w:val="18"/>
              </w:rPr>
              <w:t>,</w:t>
            </w:r>
            <w:r w:rsidRPr="00A36623">
              <w:rPr>
                <w:rFonts w:eastAsia="Arial Unicode MS"/>
                <w:sz w:val="18"/>
                <w:szCs w:val="18"/>
              </w:rPr>
              <w:t>046</w:t>
            </w:r>
          </w:p>
        </w:tc>
        <w:tc>
          <w:tcPr>
            <w:tcW w:w="1248" w:type="dxa"/>
            <w:vAlign w:val="bottom"/>
          </w:tcPr>
          <w:p w14:paraId="2F92B745" w14:textId="7ED4B63A" w:rsidR="00224102" w:rsidRPr="00A36623" w:rsidRDefault="00224102" w:rsidP="00224102">
            <w:pPr>
              <w:ind w:right="-48"/>
              <w:jc w:val="right"/>
              <w:rPr>
                <w:rFonts w:eastAsia="Arial Unicode MS"/>
                <w:sz w:val="18"/>
                <w:szCs w:val="18"/>
              </w:rPr>
            </w:pPr>
            <w:r w:rsidRPr="00A36623">
              <w:rPr>
                <w:rFonts w:eastAsia="Arial Unicode MS"/>
                <w:sz w:val="18"/>
                <w:szCs w:val="18"/>
              </w:rPr>
              <w:t>6</w:t>
            </w:r>
            <w:r>
              <w:rPr>
                <w:rFonts w:eastAsia="Arial Unicode MS"/>
                <w:sz w:val="18"/>
                <w:szCs w:val="18"/>
              </w:rPr>
              <w:t>,</w:t>
            </w:r>
            <w:r w:rsidRPr="00A36623">
              <w:rPr>
                <w:rFonts w:eastAsia="Arial Unicode MS"/>
                <w:sz w:val="18"/>
                <w:szCs w:val="18"/>
              </w:rPr>
              <w:t>584</w:t>
            </w:r>
          </w:p>
        </w:tc>
        <w:tc>
          <w:tcPr>
            <w:tcW w:w="1247" w:type="dxa"/>
            <w:noWrap/>
            <w:vAlign w:val="bottom"/>
          </w:tcPr>
          <w:p w14:paraId="2A8D8E3C" w14:textId="11B6D82A" w:rsidR="00224102" w:rsidRPr="00A36623" w:rsidRDefault="00224102" w:rsidP="00224102">
            <w:pPr>
              <w:ind w:right="-48"/>
              <w:jc w:val="right"/>
              <w:rPr>
                <w:rFonts w:eastAsia="Arial Unicode MS"/>
                <w:sz w:val="18"/>
                <w:szCs w:val="18"/>
              </w:rPr>
            </w:pPr>
            <w:r w:rsidRPr="00A36623">
              <w:rPr>
                <w:rFonts w:eastAsia="Arial Unicode MS"/>
                <w:sz w:val="18"/>
                <w:szCs w:val="18"/>
              </w:rPr>
              <w:t>2</w:t>
            </w:r>
            <w:r>
              <w:rPr>
                <w:rFonts w:eastAsia="Arial Unicode MS"/>
                <w:sz w:val="18"/>
                <w:szCs w:val="18"/>
              </w:rPr>
              <w:t>,</w:t>
            </w:r>
            <w:r w:rsidRPr="00A36623">
              <w:rPr>
                <w:rFonts w:eastAsia="Arial Unicode MS"/>
                <w:sz w:val="18"/>
                <w:szCs w:val="18"/>
              </w:rPr>
              <w:t>082</w:t>
            </w:r>
          </w:p>
        </w:tc>
        <w:tc>
          <w:tcPr>
            <w:tcW w:w="1219" w:type="dxa"/>
            <w:noWrap/>
            <w:vAlign w:val="bottom"/>
          </w:tcPr>
          <w:p w14:paraId="1396682B" w14:textId="53461F63" w:rsidR="00224102" w:rsidRPr="00A36623" w:rsidRDefault="00224102" w:rsidP="00224102">
            <w:pPr>
              <w:ind w:right="-48"/>
              <w:jc w:val="right"/>
              <w:rPr>
                <w:rFonts w:eastAsia="Arial Unicode MS"/>
                <w:sz w:val="18"/>
                <w:szCs w:val="18"/>
              </w:rPr>
            </w:pPr>
            <w:r w:rsidRPr="00A36623">
              <w:rPr>
                <w:rFonts w:eastAsia="Arial Unicode MS"/>
                <w:sz w:val="18"/>
                <w:szCs w:val="18"/>
              </w:rPr>
              <w:t>234</w:t>
            </w:r>
            <w:r>
              <w:rPr>
                <w:rFonts w:eastAsia="Arial Unicode MS"/>
                <w:sz w:val="18"/>
                <w:szCs w:val="18"/>
              </w:rPr>
              <w:t>,</w:t>
            </w:r>
            <w:r w:rsidRPr="00A36623">
              <w:rPr>
                <w:rFonts w:eastAsia="Arial Unicode MS"/>
                <w:sz w:val="18"/>
                <w:szCs w:val="18"/>
              </w:rPr>
              <w:t>775</w:t>
            </w:r>
          </w:p>
        </w:tc>
      </w:tr>
      <w:tr w:rsidR="00224102" w:rsidRPr="00923A53" w14:paraId="1454B8B3" w14:textId="77777777" w:rsidTr="003A65D8">
        <w:trPr>
          <w:trHeight w:val="255"/>
        </w:trPr>
        <w:tc>
          <w:tcPr>
            <w:tcW w:w="2351" w:type="dxa"/>
            <w:noWrap/>
            <w:vAlign w:val="bottom"/>
          </w:tcPr>
          <w:p w14:paraId="4F6AC6D6" w14:textId="77777777" w:rsidR="00224102" w:rsidRPr="00923A53" w:rsidRDefault="00224102" w:rsidP="00224102">
            <w:pPr>
              <w:widowControl w:val="0"/>
              <w:tabs>
                <w:tab w:val="left" w:pos="0"/>
              </w:tabs>
              <w:outlineLvl w:val="0"/>
              <w:rPr>
                <w:b/>
                <w:sz w:val="18"/>
                <w:szCs w:val="18"/>
              </w:rPr>
            </w:pPr>
            <w:r>
              <w:rPr>
                <w:b/>
                <w:sz w:val="18"/>
                <w:szCs w:val="18"/>
              </w:rPr>
              <w:t>Total</w:t>
            </w:r>
          </w:p>
        </w:tc>
        <w:tc>
          <w:tcPr>
            <w:tcW w:w="1535" w:type="dxa"/>
            <w:noWrap/>
            <w:vAlign w:val="bottom"/>
          </w:tcPr>
          <w:p w14:paraId="4E5AD8FB" w14:textId="5992AA15" w:rsidR="00224102" w:rsidRPr="00A36623" w:rsidRDefault="00224102" w:rsidP="00224102">
            <w:pPr>
              <w:ind w:right="-48"/>
              <w:jc w:val="right"/>
              <w:rPr>
                <w:rFonts w:eastAsia="Arial Unicode MS"/>
                <w:b/>
                <w:sz w:val="18"/>
                <w:szCs w:val="18"/>
              </w:rPr>
            </w:pPr>
            <w:r w:rsidRPr="00A36623">
              <w:rPr>
                <w:rFonts w:eastAsia="Arial Unicode MS"/>
                <w:b/>
                <w:sz w:val="18"/>
                <w:szCs w:val="18"/>
              </w:rPr>
              <w:t>99</w:t>
            </w:r>
            <w:r>
              <w:rPr>
                <w:rFonts w:eastAsia="Arial Unicode MS"/>
                <w:b/>
                <w:sz w:val="18"/>
                <w:szCs w:val="18"/>
              </w:rPr>
              <w:t>,</w:t>
            </w:r>
            <w:r w:rsidRPr="00A36623">
              <w:rPr>
                <w:rFonts w:eastAsia="Arial Unicode MS"/>
                <w:b/>
                <w:sz w:val="18"/>
                <w:szCs w:val="18"/>
              </w:rPr>
              <w:t>012</w:t>
            </w:r>
          </w:p>
        </w:tc>
        <w:tc>
          <w:tcPr>
            <w:tcW w:w="1247" w:type="dxa"/>
            <w:vAlign w:val="bottom"/>
          </w:tcPr>
          <w:p w14:paraId="0E42FBD7" w14:textId="436EB360" w:rsidR="00224102" w:rsidRPr="00A36623" w:rsidRDefault="00224102" w:rsidP="00224102">
            <w:pPr>
              <w:ind w:right="-48"/>
              <w:jc w:val="right"/>
              <w:rPr>
                <w:rFonts w:eastAsia="Arial Unicode MS"/>
                <w:b/>
                <w:sz w:val="18"/>
                <w:szCs w:val="18"/>
              </w:rPr>
            </w:pPr>
            <w:r w:rsidRPr="00A36623">
              <w:rPr>
                <w:rFonts w:eastAsia="Arial Unicode MS"/>
                <w:b/>
                <w:sz w:val="18"/>
                <w:szCs w:val="18"/>
              </w:rPr>
              <w:t>242</w:t>
            </w:r>
            <w:r>
              <w:rPr>
                <w:rFonts w:eastAsia="Arial Unicode MS"/>
                <w:b/>
                <w:sz w:val="18"/>
                <w:szCs w:val="18"/>
              </w:rPr>
              <w:t>,</w:t>
            </w:r>
            <w:r w:rsidRPr="00A36623">
              <w:rPr>
                <w:rFonts w:eastAsia="Arial Unicode MS"/>
                <w:b/>
                <w:sz w:val="18"/>
                <w:szCs w:val="18"/>
              </w:rPr>
              <w:t>605</w:t>
            </w:r>
          </w:p>
        </w:tc>
        <w:tc>
          <w:tcPr>
            <w:tcW w:w="1248" w:type="dxa"/>
            <w:vAlign w:val="bottom"/>
          </w:tcPr>
          <w:p w14:paraId="3AC414BD" w14:textId="37E136D6" w:rsidR="00224102" w:rsidRPr="00A36623" w:rsidRDefault="00224102" w:rsidP="00224102">
            <w:pPr>
              <w:ind w:right="-48"/>
              <w:jc w:val="right"/>
              <w:rPr>
                <w:rFonts w:eastAsia="Arial Unicode MS"/>
                <w:b/>
                <w:sz w:val="18"/>
                <w:szCs w:val="18"/>
              </w:rPr>
            </w:pPr>
            <w:r w:rsidRPr="00A36623">
              <w:rPr>
                <w:rFonts w:eastAsia="Arial Unicode MS"/>
                <w:b/>
                <w:sz w:val="18"/>
                <w:szCs w:val="18"/>
              </w:rPr>
              <w:t>60</w:t>
            </w:r>
            <w:r>
              <w:rPr>
                <w:rFonts w:eastAsia="Arial Unicode MS"/>
                <w:b/>
                <w:sz w:val="18"/>
                <w:szCs w:val="18"/>
              </w:rPr>
              <w:t>,</w:t>
            </w:r>
            <w:r w:rsidRPr="00A36623">
              <w:rPr>
                <w:rFonts w:eastAsia="Arial Unicode MS"/>
                <w:b/>
                <w:sz w:val="18"/>
                <w:szCs w:val="18"/>
              </w:rPr>
              <w:t>956</w:t>
            </w:r>
          </w:p>
        </w:tc>
        <w:tc>
          <w:tcPr>
            <w:tcW w:w="1247" w:type="dxa"/>
            <w:noWrap/>
            <w:vAlign w:val="bottom"/>
          </w:tcPr>
          <w:p w14:paraId="0F5C61E4" w14:textId="107E738B" w:rsidR="00224102" w:rsidRPr="00A36623" w:rsidRDefault="00224102" w:rsidP="00224102">
            <w:pPr>
              <w:ind w:right="-48"/>
              <w:jc w:val="right"/>
              <w:rPr>
                <w:rFonts w:eastAsia="Arial Unicode MS"/>
                <w:b/>
                <w:sz w:val="18"/>
                <w:szCs w:val="18"/>
              </w:rPr>
            </w:pPr>
            <w:r w:rsidRPr="00A36623">
              <w:rPr>
                <w:rFonts w:eastAsia="Arial Unicode MS"/>
                <w:b/>
                <w:sz w:val="18"/>
                <w:szCs w:val="18"/>
              </w:rPr>
              <w:t>11</w:t>
            </w:r>
            <w:r>
              <w:rPr>
                <w:rFonts w:eastAsia="Arial Unicode MS"/>
                <w:b/>
                <w:sz w:val="18"/>
                <w:szCs w:val="18"/>
              </w:rPr>
              <w:t>,</w:t>
            </w:r>
            <w:r w:rsidRPr="00A36623">
              <w:rPr>
                <w:rFonts w:eastAsia="Arial Unicode MS"/>
                <w:b/>
                <w:sz w:val="18"/>
                <w:szCs w:val="18"/>
              </w:rPr>
              <w:t>166</w:t>
            </w:r>
          </w:p>
        </w:tc>
        <w:tc>
          <w:tcPr>
            <w:tcW w:w="1219" w:type="dxa"/>
            <w:noWrap/>
            <w:vAlign w:val="bottom"/>
          </w:tcPr>
          <w:p w14:paraId="66242963" w14:textId="0A99A3A4" w:rsidR="00224102" w:rsidRPr="00A36623" w:rsidRDefault="00224102" w:rsidP="00224102">
            <w:pPr>
              <w:ind w:right="-48"/>
              <w:jc w:val="right"/>
              <w:rPr>
                <w:rFonts w:eastAsia="Arial Unicode MS"/>
                <w:b/>
                <w:sz w:val="18"/>
                <w:szCs w:val="18"/>
              </w:rPr>
            </w:pPr>
            <w:r w:rsidRPr="00A36623">
              <w:rPr>
                <w:rFonts w:eastAsia="Arial Unicode MS"/>
                <w:b/>
                <w:sz w:val="18"/>
                <w:szCs w:val="18"/>
              </w:rPr>
              <w:t>413</w:t>
            </w:r>
            <w:r>
              <w:rPr>
                <w:rFonts w:eastAsia="Arial Unicode MS"/>
                <w:b/>
                <w:sz w:val="18"/>
                <w:szCs w:val="18"/>
              </w:rPr>
              <w:t>,</w:t>
            </w:r>
            <w:r w:rsidRPr="00A36623">
              <w:rPr>
                <w:rFonts w:eastAsia="Arial Unicode MS"/>
                <w:b/>
                <w:sz w:val="18"/>
                <w:szCs w:val="18"/>
              </w:rPr>
              <w:t>739</w:t>
            </w:r>
          </w:p>
        </w:tc>
      </w:tr>
    </w:tbl>
    <w:p w14:paraId="113E5690" w14:textId="77777777" w:rsidR="00822E37" w:rsidRPr="00923A53" w:rsidRDefault="00822E37" w:rsidP="003A65D8">
      <w:pPr>
        <w:pStyle w:val="BodyTextIndent"/>
        <w:widowControl w:val="0"/>
        <w:tabs>
          <w:tab w:val="left" w:pos="0"/>
        </w:tabs>
        <w:spacing w:after="0"/>
        <w:ind w:left="0"/>
        <w:rPr>
          <w:b/>
          <w:sz w:val="16"/>
          <w:szCs w:val="16"/>
        </w:rPr>
      </w:pPr>
    </w:p>
    <w:tbl>
      <w:tblPr>
        <w:tblW w:w="8847"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5726"/>
        <w:gridCol w:w="1530"/>
        <w:gridCol w:w="1591"/>
      </w:tblGrid>
      <w:tr w:rsidR="00822E37" w:rsidRPr="00923A53" w14:paraId="364C2FE7" w14:textId="77777777" w:rsidTr="003A65D8">
        <w:trPr>
          <w:trHeight w:val="360"/>
        </w:trPr>
        <w:tc>
          <w:tcPr>
            <w:tcW w:w="5726" w:type="dxa"/>
            <w:noWrap/>
            <w:vAlign w:val="bottom"/>
          </w:tcPr>
          <w:p w14:paraId="1F8B9A3F" w14:textId="77777777" w:rsidR="00822E37" w:rsidRPr="007C0BA6" w:rsidRDefault="00822E37" w:rsidP="003A65D8">
            <w:pPr>
              <w:widowControl w:val="0"/>
              <w:tabs>
                <w:tab w:val="left" w:pos="0"/>
              </w:tabs>
              <w:outlineLvl w:val="0"/>
              <w:rPr>
                <w:b/>
                <w:sz w:val="18"/>
                <w:szCs w:val="18"/>
              </w:rPr>
            </w:pPr>
            <w:r w:rsidRPr="007C0BA6">
              <w:rPr>
                <w:b/>
                <w:sz w:val="18"/>
                <w:szCs w:val="18"/>
              </w:rPr>
              <w:t>Type of Collaterals</w:t>
            </w:r>
          </w:p>
        </w:tc>
        <w:tc>
          <w:tcPr>
            <w:tcW w:w="1530" w:type="dxa"/>
            <w:noWrap/>
            <w:vAlign w:val="bottom"/>
          </w:tcPr>
          <w:p w14:paraId="49A924C0" w14:textId="77777777" w:rsidR="00822E37" w:rsidRPr="00923A53" w:rsidRDefault="00822E37" w:rsidP="003A65D8">
            <w:pPr>
              <w:widowControl w:val="0"/>
              <w:tabs>
                <w:tab w:val="left" w:pos="0"/>
              </w:tabs>
              <w:ind w:right="-23"/>
              <w:jc w:val="right"/>
              <w:rPr>
                <w:b/>
                <w:bCs/>
                <w:sz w:val="18"/>
                <w:szCs w:val="18"/>
              </w:rPr>
            </w:pPr>
            <w:r w:rsidRPr="00923A53">
              <w:rPr>
                <w:b/>
                <w:bCs/>
                <w:sz w:val="18"/>
                <w:szCs w:val="18"/>
              </w:rPr>
              <w:t xml:space="preserve">31 </w:t>
            </w:r>
            <w:r>
              <w:rPr>
                <w:b/>
                <w:bCs/>
                <w:sz w:val="18"/>
                <w:szCs w:val="18"/>
              </w:rPr>
              <w:t>December</w:t>
            </w:r>
            <w:r w:rsidRPr="00923A53">
              <w:rPr>
                <w:b/>
                <w:bCs/>
                <w:sz w:val="18"/>
                <w:szCs w:val="18"/>
              </w:rPr>
              <w:t xml:space="preserve"> 201</w:t>
            </w:r>
            <w:r w:rsidR="003A65D8">
              <w:rPr>
                <w:b/>
                <w:bCs/>
                <w:sz w:val="18"/>
                <w:szCs w:val="18"/>
              </w:rPr>
              <w:t>5</w:t>
            </w:r>
          </w:p>
        </w:tc>
        <w:tc>
          <w:tcPr>
            <w:tcW w:w="1591" w:type="dxa"/>
            <w:vAlign w:val="bottom"/>
          </w:tcPr>
          <w:p w14:paraId="78F3A6A0" w14:textId="77777777" w:rsidR="00822E37" w:rsidRPr="00923A53" w:rsidRDefault="00822E37" w:rsidP="003A65D8">
            <w:pPr>
              <w:widowControl w:val="0"/>
              <w:tabs>
                <w:tab w:val="left" w:pos="0"/>
              </w:tabs>
              <w:ind w:right="-23"/>
              <w:jc w:val="right"/>
              <w:rPr>
                <w:b/>
                <w:bCs/>
                <w:sz w:val="18"/>
                <w:szCs w:val="18"/>
              </w:rPr>
            </w:pPr>
            <w:r w:rsidRPr="00923A53">
              <w:rPr>
                <w:b/>
                <w:bCs/>
                <w:sz w:val="18"/>
                <w:szCs w:val="18"/>
              </w:rPr>
              <w:t xml:space="preserve">31 </w:t>
            </w:r>
            <w:r>
              <w:rPr>
                <w:b/>
                <w:bCs/>
                <w:sz w:val="18"/>
                <w:szCs w:val="18"/>
              </w:rPr>
              <w:t>December</w:t>
            </w:r>
            <w:r w:rsidRPr="00923A53">
              <w:rPr>
                <w:b/>
                <w:bCs/>
                <w:sz w:val="18"/>
                <w:szCs w:val="18"/>
              </w:rPr>
              <w:t xml:space="preserve"> 201</w:t>
            </w:r>
            <w:r w:rsidR="003A65D8">
              <w:rPr>
                <w:b/>
                <w:bCs/>
                <w:sz w:val="18"/>
                <w:szCs w:val="18"/>
              </w:rPr>
              <w:t>4</w:t>
            </w:r>
          </w:p>
        </w:tc>
      </w:tr>
      <w:tr w:rsidR="00224102" w:rsidRPr="00923A53" w14:paraId="4CAF3543" w14:textId="77777777" w:rsidTr="003A65D8">
        <w:trPr>
          <w:trHeight w:val="240"/>
        </w:trPr>
        <w:tc>
          <w:tcPr>
            <w:tcW w:w="5726" w:type="dxa"/>
            <w:noWrap/>
            <w:vAlign w:val="bottom"/>
          </w:tcPr>
          <w:p w14:paraId="23D67A6D" w14:textId="54DD77C0" w:rsidR="00224102" w:rsidRPr="007C0BA6" w:rsidRDefault="00224102" w:rsidP="00224102">
            <w:pPr>
              <w:widowControl w:val="0"/>
              <w:tabs>
                <w:tab w:val="left" w:pos="0"/>
              </w:tabs>
              <w:outlineLvl w:val="0"/>
              <w:rPr>
                <w:sz w:val="18"/>
                <w:szCs w:val="18"/>
              </w:rPr>
            </w:pPr>
            <w:r w:rsidRPr="007C0BA6">
              <w:rPr>
                <w:sz w:val="18"/>
                <w:szCs w:val="18"/>
              </w:rPr>
              <w:t xml:space="preserve">Real-estate </w:t>
            </w:r>
            <w:r>
              <w:rPr>
                <w:sz w:val="18"/>
                <w:szCs w:val="18"/>
              </w:rPr>
              <w:t>M</w:t>
            </w:r>
            <w:r w:rsidRPr="007C0BA6">
              <w:rPr>
                <w:sz w:val="18"/>
                <w:szCs w:val="18"/>
              </w:rPr>
              <w:t>ortgage</w:t>
            </w:r>
          </w:p>
        </w:tc>
        <w:tc>
          <w:tcPr>
            <w:tcW w:w="1530" w:type="dxa"/>
            <w:noWrap/>
            <w:vAlign w:val="bottom"/>
          </w:tcPr>
          <w:p w14:paraId="76236257" w14:textId="3414A7F8" w:rsidR="00224102" w:rsidRPr="00224CEA" w:rsidRDefault="00224102" w:rsidP="00224102">
            <w:pPr>
              <w:ind w:right="-23"/>
              <w:jc w:val="right"/>
              <w:rPr>
                <w:rFonts w:eastAsia="Arial Unicode MS"/>
                <w:sz w:val="18"/>
                <w:szCs w:val="18"/>
              </w:rPr>
            </w:pPr>
            <w:r w:rsidRPr="00224CEA">
              <w:rPr>
                <w:rFonts w:eastAsia="Arial Unicode MS"/>
                <w:sz w:val="18"/>
                <w:szCs w:val="18"/>
              </w:rPr>
              <w:t>843,27</w:t>
            </w:r>
            <w:r>
              <w:rPr>
                <w:rFonts w:eastAsia="Arial Unicode MS"/>
                <w:sz w:val="18"/>
                <w:szCs w:val="18"/>
              </w:rPr>
              <w:t>2</w:t>
            </w:r>
          </w:p>
        </w:tc>
        <w:tc>
          <w:tcPr>
            <w:tcW w:w="1591" w:type="dxa"/>
            <w:vAlign w:val="bottom"/>
          </w:tcPr>
          <w:p w14:paraId="46808D08" w14:textId="227B7917" w:rsidR="00224102" w:rsidRPr="00A36623" w:rsidRDefault="00224102" w:rsidP="00224102">
            <w:pPr>
              <w:ind w:right="-23"/>
              <w:jc w:val="right"/>
              <w:rPr>
                <w:rFonts w:eastAsia="Arial Unicode MS"/>
                <w:sz w:val="18"/>
                <w:szCs w:val="18"/>
              </w:rPr>
            </w:pPr>
            <w:r>
              <w:rPr>
                <w:rFonts w:eastAsia="Arial Unicode MS"/>
                <w:sz w:val="18"/>
                <w:szCs w:val="18"/>
              </w:rPr>
              <w:t>393,</w:t>
            </w:r>
            <w:r w:rsidRPr="00A36623">
              <w:rPr>
                <w:rFonts w:eastAsia="Arial Unicode MS"/>
                <w:sz w:val="18"/>
                <w:szCs w:val="18"/>
              </w:rPr>
              <w:t>816</w:t>
            </w:r>
          </w:p>
        </w:tc>
      </w:tr>
      <w:tr w:rsidR="00224102" w:rsidRPr="00923A53" w14:paraId="0DA5E367" w14:textId="77777777" w:rsidTr="003A65D8">
        <w:trPr>
          <w:trHeight w:val="240"/>
        </w:trPr>
        <w:tc>
          <w:tcPr>
            <w:tcW w:w="5726" w:type="dxa"/>
            <w:noWrap/>
            <w:vAlign w:val="bottom"/>
          </w:tcPr>
          <w:p w14:paraId="789B1E82" w14:textId="77777777" w:rsidR="00224102" w:rsidRPr="007C0BA6" w:rsidRDefault="00224102" w:rsidP="00224102">
            <w:pPr>
              <w:widowControl w:val="0"/>
              <w:tabs>
                <w:tab w:val="left" w:pos="0"/>
              </w:tabs>
              <w:outlineLvl w:val="0"/>
              <w:rPr>
                <w:sz w:val="18"/>
                <w:szCs w:val="18"/>
              </w:rPr>
            </w:pPr>
            <w:r>
              <w:rPr>
                <w:sz w:val="18"/>
                <w:szCs w:val="18"/>
              </w:rPr>
              <w:t xml:space="preserve">Vehicle </w:t>
            </w:r>
            <w:r w:rsidRPr="007C0BA6">
              <w:rPr>
                <w:sz w:val="18"/>
                <w:szCs w:val="18"/>
              </w:rPr>
              <w:t>Pledge</w:t>
            </w:r>
            <w:r>
              <w:rPr>
                <w:sz w:val="18"/>
                <w:szCs w:val="18"/>
              </w:rPr>
              <w:t xml:space="preserve"> </w:t>
            </w:r>
          </w:p>
        </w:tc>
        <w:tc>
          <w:tcPr>
            <w:tcW w:w="1530" w:type="dxa"/>
            <w:noWrap/>
            <w:vAlign w:val="bottom"/>
          </w:tcPr>
          <w:p w14:paraId="71EE52E4" w14:textId="58256B2B" w:rsidR="00224102" w:rsidRPr="00224CEA" w:rsidRDefault="00224102" w:rsidP="00224102">
            <w:pPr>
              <w:ind w:right="-23"/>
              <w:jc w:val="right"/>
              <w:rPr>
                <w:rFonts w:eastAsia="Arial Unicode MS"/>
                <w:sz w:val="18"/>
                <w:szCs w:val="18"/>
              </w:rPr>
            </w:pPr>
            <w:r w:rsidRPr="00224CEA">
              <w:rPr>
                <w:rFonts w:eastAsia="Arial Unicode MS"/>
                <w:sz w:val="18"/>
                <w:szCs w:val="18"/>
              </w:rPr>
              <w:t>16,480</w:t>
            </w:r>
          </w:p>
        </w:tc>
        <w:tc>
          <w:tcPr>
            <w:tcW w:w="1591" w:type="dxa"/>
            <w:vAlign w:val="bottom"/>
          </w:tcPr>
          <w:p w14:paraId="5EEEE3CC" w14:textId="7D098FD7" w:rsidR="00224102" w:rsidRPr="00A36623" w:rsidRDefault="00224102" w:rsidP="00224102">
            <w:pPr>
              <w:ind w:right="-23"/>
              <w:jc w:val="right"/>
              <w:rPr>
                <w:rFonts w:eastAsia="Arial Unicode MS"/>
                <w:sz w:val="18"/>
                <w:szCs w:val="18"/>
              </w:rPr>
            </w:pPr>
            <w:r>
              <w:rPr>
                <w:rFonts w:eastAsia="Arial Unicode MS"/>
                <w:sz w:val="18"/>
                <w:szCs w:val="18"/>
              </w:rPr>
              <w:t>12,</w:t>
            </w:r>
            <w:r w:rsidRPr="00A36623">
              <w:rPr>
                <w:rFonts w:eastAsia="Arial Unicode MS"/>
                <w:sz w:val="18"/>
                <w:szCs w:val="18"/>
              </w:rPr>
              <w:t>464</w:t>
            </w:r>
          </w:p>
        </w:tc>
      </w:tr>
      <w:tr w:rsidR="00224102" w:rsidRPr="00923A53" w14:paraId="4AB7684C" w14:textId="77777777" w:rsidTr="003A65D8">
        <w:trPr>
          <w:trHeight w:val="240"/>
        </w:trPr>
        <w:tc>
          <w:tcPr>
            <w:tcW w:w="5726" w:type="dxa"/>
            <w:noWrap/>
            <w:vAlign w:val="bottom"/>
          </w:tcPr>
          <w:p w14:paraId="3011952D" w14:textId="12C1E2B8" w:rsidR="00224102" w:rsidRPr="007C0BA6" w:rsidRDefault="00224102" w:rsidP="00224102">
            <w:pPr>
              <w:widowControl w:val="0"/>
              <w:tabs>
                <w:tab w:val="left" w:pos="0"/>
              </w:tabs>
              <w:outlineLvl w:val="0"/>
              <w:rPr>
                <w:sz w:val="18"/>
                <w:szCs w:val="18"/>
              </w:rPr>
            </w:pPr>
            <w:r w:rsidRPr="007C0BA6">
              <w:rPr>
                <w:sz w:val="18"/>
                <w:szCs w:val="18"/>
              </w:rPr>
              <w:t xml:space="preserve">Cash and </w:t>
            </w:r>
            <w:r>
              <w:rPr>
                <w:sz w:val="18"/>
                <w:szCs w:val="18"/>
              </w:rPr>
              <w:t>C</w:t>
            </w:r>
            <w:r w:rsidRPr="007C0BA6">
              <w:rPr>
                <w:sz w:val="18"/>
                <w:szCs w:val="18"/>
              </w:rPr>
              <w:t xml:space="preserve">ash </w:t>
            </w:r>
            <w:r>
              <w:rPr>
                <w:sz w:val="18"/>
                <w:szCs w:val="18"/>
              </w:rPr>
              <w:t>E</w:t>
            </w:r>
            <w:r w:rsidRPr="007C0BA6">
              <w:rPr>
                <w:sz w:val="18"/>
                <w:szCs w:val="18"/>
              </w:rPr>
              <w:t>quivalents</w:t>
            </w:r>
          </w:p>
        </w:tc>
        <w:tc>
          <w:tcPr>
            <w:tcW w:w="1530" w:type="dxa"/>
            <w:noWrap/>
            <w:vAlign w:val="bottom"/>
          </w:tcPr>
          <w:p w14:paraId="2D94A003" w14:textId="1C380F77" w:rsidR="00224102" w:rsidRPr="00224CEA" w:rsidRDefault="00224102" w:rsidP="00224102">
            <w:pPr>
              <w:ind w:right="-23"/>
              <w:jc w:val="right"/>
              <w:rPr>
                <w:rFonts w:eastAsia="Arial Unicode MS"/>
                <w:sz w:val="18"/>
                <w:szCs w:val="18"/>
              </w:rPr>
            </w:pPr>
            <w:r w:rsidRPr="00224CEA">
              <w:rPr>
                <w:rFonts w:eastAsia="Arial Unicode MS"/>
                <w:sz w:val="18"/>
                <w:szCs w:val="18"/>
              </w:rPr>
              <w:t>2,365</w:t>
            </w:r>
          </w:p>
        </w:tc>
        <w:tc>
          <w:tcPr>
            <w:tcW w:w="1591" w:type="dxa"/>
            <w:vAlign w:val="bottom"/>
          </w:tcPr>
          <w:p w14:paraId="39CB6390" w14:textId="3E4EA955" w:rsidR="00224102" w:rsidRPr="00A36623" w:rsidRDefault="00224102" w:rsidP="00224102">
            <w:pPr>
              <w:ind w:right="-23"/>
              <w:jc w:val="right"/>
              <w:rPr>
                <w:rFonts w:eastAsia="Arial Unicode MS"/>
                <w:sz w:val="18"/>
                <w:szCs w:val="18"/>
              </w:rPr>
            </w:pPr>
            <w:r>
              <w:rPr>
                <w:rFonts w:eastAsia="Arial Unicode MS"/>
                <w:sz w:val="18"/>
                <w:szCs w:val="18"/>
              </w:rPr>
              <w:t>1,</w:t>
            </w:r>
            <w:r w:rsidRPr="00A36623">
              <w:rPr>
                <w:rFonts w:eastAsia="Arial Unicode MS"/>
                <w:sz w:val="18"/>
                <w:szCs w:val="18"/>
              </w:rPr>
              <w:t>878</w:t>
            </w:r>
          </w:p>
        </w:tc>
      </w:tr>
      <w:tr w:rsidR="00224102" w:rsidRPr="00923A53" w14:paraId="6086C9E8" w14:textId="77777777" w:rsidTr="003A65D8">
        <w:trPr>
          <w:trHeight w:val="255"/>
        </w:trPr>
        <w:tc>
          <w:tcPr>
            <w:tcW w:w="5726" w:type="dxa"/>
            <w:noWrap/>
            <w:vAlign w:val="bottom"/>
          </w:tcPr>
          <w:p w14:paraId="79291568" w14:textId="77777777" w:rsidR="00224102" w:rsidRPr="00923A53" w:rsidRDefault="00224102" w:rsidP="00224102">
            <w:pPr>
              <w:widowControl w:val="0"/>
              <w:tabs>
                <w:tab w:val="left" w:pos="0"/>
              </w:tabs>
              <w:outlineLvl w:val="0"/>
              <w:rPr>
                <w:b/>
                <w:sz w:val="18"/>
                <w:szCs w:val="18"/>
              </w:rPr>
            </w:pPr>
            <w:r>
              <w:rPr>
                <w:sz w:val="18"/>
                <w:szCs w:val="18"/>
              </w:rPr>
              <w:t>Other</w:t>
            </w:r>
          </w:p>
        </w:tc>
        <w:tc>
          <w:tcPr>
            <w:tcW w:w="1530" w:type="dxa"/>
            <w:noWrap/>
            <w:vAlign w:val="bottom"/>
          </w:tcPr>
          <w:p w14:paraId="382722E7" w14:textId="568D0483" w:rsidR="00224102" w:rsidRPr="00224CEA" w:rsidRDefault="00224102" w:rsidP="00224102">
            <w:pPr>
              <w:ind w:right="-23"/>
              <w:jc w:val="right"/>
              <w:rPr>
                <w:rFonts w:eastAsia="Arial Unicode MS"/>
                <w:sz w:val="18"/>
                <w:szCs w:val="18"/>
              </w:rPr>
            </w:pPr>
            <w:r>
              <w:rPr>
                <w:rFonts w:eastAsia="Arial Unicode MS"/>
                <w:sz w:val="18"/>
                <w:szCs w:val="18"/>
              </w:rPr>
              <w:t>8,761</w:t>
            </w:r>
          </w:p>
        </w:tc>
        <w:tc>
          <w:tcPr>
            <w:tcW w:w="1591" w:type="dxa"/>
            <w:vAlign w:val="bottom"/>
          </w:tcPr>
          <w:p w14:paraId="5072D5F4" w14:textId="57E03DB7" w:rsidR="00224102" w:rsidRPr="00A36623" w:rsidRDefault="00224102" w:rsidP="00224102">
            <w:pPr>
              <w:ind w:right="-23"/>
              <w:jc w:val="right"/>
              <w:rPr>
                <w:rFonts w:eastAsia="Arial Unicode MS"/>
                <w:sz w:val="18"/>
                <w:szCs w:val="18"/>
              </w:rPr>
            </w:pPr>
            <w:r>
              <w:rPr>
                <w:rFonts w:eastAsia="Arial Unicode MS"/>
                <w:sz w:val="18"/>
                <w:szCs w:val="18"/>
              </w:rPr>
              <w:t>5,</w:t>
            </w:r>
            <w:r w:rsidRPr="00A36623">
              <w:rPr>
                <w:rFonts w:eastAsia="Arial Unicode MS"/>
                <w:sz w:val="18"/>
                <w:szCs w:val="18"/>
              </w:rPr>
              <w:t>581</w:t>
            </w:r>
          </w:p>
        </w:tc>
      </w:tr>
      <w:tr w:rsidR="00224102" w:rsidRPr="00923A53" w14:paraId="53ED405E" w14:textId="77777777" w:rsidTr="003A65D8">
        <w:trPr>
          <w:trHeight w:val="255"/>
        </w:trPr>
        <w:tc>
          <w:tcPr>
            <w:tcW w:w="5726" w:type="dxa"/>
            <w:noWrap/>
            <w:vAlign w:val="bottom"/>
          </w:tcPr>
          <w:p w14:paraId="2DFCA213" w14:textId="77777777" w:rsidR="00224102" w:rsidRPr="00923A53" w:rsidRDefault="00224102" w:rsidP="00224102">
            <w:pPr>
              <w:widowControl w:val="0"/>
              <w:tabs>
                <w:tab w:val="left" w:pos="0"/>
              </w:tabs>
              <w:outlineLvl w:val="0"/>
              <w:rPr>
                <w:b/>
                <w:sz w:val="18"/>
                <w:szCs w:val="18"/>
              </w:rPr>
            </w:pPr>
            <w:r>
              <w:rPr>
                <w:b/>
                <w:sz w:val="18"/>
                <w:szCs w:val="18"/>
              </w:rPr>
              <w:t>Total</w:t>
            </w:r>
          </w:p>
        </w:tc>
        <w:tc>
          <w:tcPr>
            <w:tcW w:w="1530" w:type="dxa"/>
            <w:noWrap/>
            <w:vAlign w:val="bottom"/>
          </w:tcPr>
          <w:p w14:paraId="4FE26FBE" w14:textId="02206F80" w:rsidR="00224102" w:rsidRPr="00224CEA" w:rsidRDefault="00224102" w:rsidP="00224102">
            <w:pPr>
              <w:ind w:right="-23"/>
              <w:jc w:val="right"/>
              <w:rPr>
                <w:rFonts w:eastAsia="Arial Unicode MS"/>
                <w:b/>
                <w:sz w:val="18"/>
                <w:szCs w:val="18"/>
              </w:rPr>
            </w:pPr>
            <w:r>
              <w:rPr>
                <w:rFonts w:eastAsia="Arial Unicode MS"/>
                <w:b/>
                <w:sz w:val="18"/>
                <w:szCs w:val="18"/>
              </w:rPr>
              <w:t>870,878</w:t>
            </w:r>
          </w:p>
        </w:tc>
        <w:tc>
          <w:tcPr>
            <w:tcW w:w="1591" w:type="dxa"/>
            <w:vAlign w:val="bottom"/>
          </w:tcPr>
          <w:p w14:paraId="3CE5B8BF" w14:textId="1EB6F696" w:rsidR="00224102" w:rsidRPr="00A36623" w:rsidRDefault="00224102" w:rsidP="00224102">
            <w:pPr>
              <w:ind w:right="-23"/>
              <w:jc w:val="right"/>
              <w:rPr>
                <w:rFonts w:eastAsia="Arial Unicode MS"/>
                <w:b/>
                <w:sz w:val="18"/>
                <w:szCs w:val="18"/>
              </w:rPr>
            </w:pPr>
            <w:r>
              <w:rPr>
                <w:rFonts w:eastAsia="Arial Unicode MS"/>
                <w:b/>
                <w:sz w:val="18"/>
                <w:szCs w:val="18"/>
              </w:rPr>
              <w:t>413,</w:t>
            </w:r>
            <w:r w:rsidRPr="00A36623">
              <w:rPr>
                <w:rFonts w:eastAsia="Arial Unicode MS"/>
                <w:b/>
                <w:sz w:val="18"/>
                <w:szCs w:val="18"/>
              </w:rPr>
              <w:t>739</w:t>
            </w:r>
          </w:p>
        </w:tc>
      </w:tr>
    </w:tbl>
    <w:p w14:paraId="4FCB2CD7" w14:textId="77777777" w:rsidR="00C12D19" w:rsidRDefault="00C12D19" w:rsidP="00C12D19">
      <w:pPr>
        <w:pStyle w:val="BodyTextIndent"/>
        <w:widowControl w:val="0"/>
        <w:tabs>
          <w:tab w:val="left" w:pos="1701"/>
        </w:tabs>
        <w:spacing w:after="0"/>
        <w:ind w:left="1701" w:hanging="434"/>
        <w:rPr>
          <w:sz w:val="18"/>
          <w:szCs w:val="18"/>
        </w:rPr>
      </w:pPr>
    </w:p>
    <w:p w14:paraId="40841404"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2600A41D" w14:textId="77777777" w:rsidR="00C12D19" w:rsidRDefault="00C12D19" w:rsidP="00C6031E">
      <w:pPr>
        <w:pStyle w:val="Heading2"/>
        <w:tabs>
          <w:tab w:val="left" w:pos="851"/>
        </w:tabs>
        <w:spacing w:before="0"/>
        <w:ind w:left="851" w:hanging="851"/>
        <w:jc w:val="both"/>
        <w:rPr>
          <w:rFonts w:ascii="Times New Roman" w:hAnsi="Times New Roman"/>
          <w:caps/>
          <w:sz w:val="20"/>
        </w:rPr>
      </w:pPr>
    </w:p>
    <w:p w14:paraId="01A4AB08" w14:textId="77777777" w:rsidR="00C12D19" w:rsidRDefault="00C12D19" w:rsidP="00C12D19"/>
    <w:p w14:paraId="2541F1C1" w14:textId="77777777" w:rsidR="00C12D19" w:rsidRDefault="00C12D19" w:rsidP="00C12D19"/>
    <w:p w14:paraId="6DE43428" w14:textId="77777777" w:rsidR="00495F6E" w:rsidRDefault="00495F6E" w:rsidP="00C12D19"/>
    <w:p w14:paraId="66B1CCF7" w14:textId="77777777" w:rsidR="00495F6E" w:rsidRDefault="00495F6E" w:rsidP="00C12D19"/>
    <w:p w14:paraId="4E110DA6" w14:textId="77777777" w:rsidR="00495F6E" w:rsidRDefault="00495F6E" w:rsidP="00C12D19"/>
    <w:p w14:paraId="7F45850C" w14:textId="77777777" w:rsidR="00495F6E" w:rsidRDefault="00495F6E" w:rsidP="00C12D19"/>
    <w:p w14:paraId="290E2535" w14:textId="77777777" w:rsidR="00495F6E" w:rsidRDefault="00495F6E" w:rsidP="00C12D19"/>
    <w:p w14:paraId="1EB621DF" w14:textId="77777777" w:rsidR="00495F6E" w:rsidRDefault="00495F6E" w:rsidP="00C12D19"/>
    <w:p w14:paraId="4C3E23A7" w14:textId="77777777" w:rsidR="00495F6E" w:rsidRDefault="00495F6E" w:rsidP="00C12D19"/>
    <w:p w14:paraId="06EAADFD" w14:textId="77777777" w:rsidR="00495F6E" w:rsidRDefault="00495F6E" w:rsidP="00C12D19"/>
    <w:p w14:paraId="74218119" w14:textId="77777777" w:rsidR="00495F6E" w:rsidRDefault="00495F6E" w:rsidP="00C12D19"/>
    <w:p w14:paraId="44629325" w14:textId="77777777" w:rsidR="00495F6E" w:rsidRDefault="00495F6E" w:rsidP="00C12D19"/>
    <w:p w14:paraId="14B3BE0C" w14:textId="77777777" w:rsidR="00495F6E" w:rsidRDefault="00495F6E" w:rsidP="00C12D19"/>
    <w:p w14:paraId="4E8E9066" w14:textId="77777777" w:rsidR="00495F6E" w:rsidRDefault="00495F6E" w:rsidP="00C12D19"/>
    <w:p w14:paraId="4E46822E" w14:textId="77777777" w:rsidR="00495F6E" w:rsidRDefault="00495F6E" w:rsidP="00C12D19"/>
    <w:p w14:paraId="01FCF27C" w14:textId="77777777" w:rsidR="00495F6E" w:rsidRDefault="00495F6E" w:rsidP="00C12D19"/>
    <w:p w14:paraId="5FEF355E" w14:textId="77777777" w:rsidR="00495F6E" w:rsidRDefault="00495F6E" w:rsidP="00C12D19"/>
    <w:p w14:paraId="76DF4B70" w14:textId="77777777" w:rsidR="00495F6E" w:rsidRDefault="00495F6E" w:rsidP="00C12D19"/>
    <w:p w14:paraId="6F5DF4EE" w14:textId="77777777" w:rsidR="00495F6E" w:rsidRDefault="00495F6E" w:rsidP="00C12D19"/>
    <w:p w14:paraId="028A4860" w14:textId="77777777" w:rsidR="00495F6E" w:rsidRDefault="00495F6E" w:rsidP="00C12D19"/>
    <w:p w14:paraId="0E072C5F" w14:textId="77777777" w:rsidR="00495F6E" w:rsidRDefault="00495F6E" w:rsidP="00C12D19"/>
    <w:p w14:paraId="443DF368" w14:textId="77777777" w:rsidR="00495F6E" w:rsidRDefault="00495F6E" w:rsidP="00C12D19"/>
    <w:p w14:paraId="4D1D0AFE" w14:textId="77777777" w:rsidR="00495F6E" w:rsidRDefault="00495F6E" w:rsidP="00495F6E">
      <w:pPr>
        <w:pStyle w:val="NormalIndent"/>
        <w:pageBreakBefore/>
        <w:widowControl w:val="0"/>
        <w:ind w:left="0"/>
        <w:jc w:val="both"/>
        <w:rPr>
          <w:b/>
        </w:rPr>
        <w:sectPr w:rsidR="00495F6E" w:rsidSect="00024367">
          <w:footerReference w:type="default" r:id="rId22"/>
          <w:pgSz w:w="12240" w:h="15840"/>
          <w:pgMar w:top="1134" w:right="1475" w:bottom="720" w:left="1418" w:header="720" w:footer="720" w:gutter="0"/>
          <w:cols w:space="720"/>
          <w:docGrid w:linePitch="360"/>
        </w:sectPr>
      </w:pPr>
    </w:p>
    <w:p w14:paraId="6E3B800C" w14:textId="3FF5E44A" w:rsidR="00495F6E" w:rsidRPr="00604C75" w:rsidRDefault="00A041CD" w:rsidP="00490153">
      <w:pPr>
        <w:pStyle w:val="NormalIndent"/>
        <w:pageBreakBefore/>
        <w:widowControl w:val="0"/>
        <w:spacing w:before="120"/>
        <w:ind w:left="0"/>
        <w:jc w:val="both"/>
        <w:rPr>
          <w:b/>
          <w:sz w:val="22"/>
          <w:szCs w:val="22"/>
        </w:rPr>
      </w:pPr>
      <w:r w:rsidRPr="00604C75">
        <w:rPr>
          <w:b/>
        </w:rPr>
        <w:lastRenderedPageBreak/>
        <w:t>INFORMATION</w:t>
      </w:r>
      <w:r>
        <w:rPr>
          <w:b/>
          <w:bCs/>
          <w:noProof/>
          <w:lang w:val="tr-TR"/>
        </w:rPr>
        <w:t xml:space="preserve"> ON THE</w:t>
      </w:r>
      <w:r w:rsidRPr="00604C75">
        <w:rPr>
          <w:b/>
          <w:bCs/>
          <w:noProof/>
          <w:lang w:val="tr-TR"/>
        </w:rPr>
        <w:t xml:space="preserve"> FINANCIAL POSITION OF THE GROUP (Continued)</w:t>
      </w:r>
    </w:p>
    <w:p w14:paraId="19616053" w14:textId="77777777" w:rsidR="00495F6E" w:rsidRDefault="00495F6E" w:rsidP="00490153">
      <w:pPr>
        <w:pStyle w:val="Heading2"/>
        <w:tabs>
          <w:tab w:val="left" w:pos="0"/>
          <w:tab w:val="left" w:pos="426"/>
        </w:tabs>
        <w:rPr>
          <w:rFonts w:ascii="Times New Roman" w:hAnsi="Times New Roman"/>
          <w:sz w:val="20"/>
        </w:rPr>
      </w:pPr>
      <w:r>
        <w:rPr>
          <w:rFonts w:ascii="Times New Roman" w:hAnsi="Times New Roman"/>
          <w:sz w:val="20"/>
        </w:rPr>
        <w:t xml:space="preserve">II.   </w:t>
      </w:r>
      <w:r w:rsidRPr="00604C75">
        <w:rPr>
          <w:rFonts w:ascii="Times New Roman" w:hAnsi="Times New Roman"/>
          <w:sz w:val="20"/>
        </w:rPr>
        <w:t>Explanations on Credit Risk</w:t>
      </w:r>
      <w:r w:rsidRPr="00604C75" w:rsidDel="00553D7B">
        <w:rPr>
          <w:rFonts w:ascii="Times New Roman" w:hAnsi="Times New Roman"/>
          <w:sz w:val="20"/>
        </w:rPr>
        <w:t xml:space="preserve"> </w:t>
      </w:r>
      <w:r w:rsidR="00332F58" w:rsidRPr="00332F58">
        <w:rPr>
          <w:rFonts w:ascii="Times New Roman" w:hAnsi="Times New Roman"/>
          <w:bCs/>
          <w:noProof/>
          <w:sz w:val="20"/>
          <w:lang w:val="tr-TR"/>
        </w:rPr>
        <w:t>(Continued)</w:t>
      </w:r>
    </w:p>
    <w:p w14:paraId="219334BB" w14:textId="77777777" w:rsidR="00495F6E" w:rsidRPr="008C7454" w:rsidRDefault="00495F6E" w:rsidP="00490153">
      <w:pPr>
        <w:pStyle w:val="BodyTextIndent"/>
        <w:widowControl w:val="0"/>
        <w:numPr>
          <w:ilvl w:val="0"/>
          <w:numId w:val="12"/>
        </w:numPr>
        <w:tabs>
          <w:tab w:val="clear" w:pos="1495"/>
        </w:tabs>
        <w:spacing w:before="120" w:after="0"/>
        <w:ind w:left="426" w:hanging="426"/>
        <w:jc w:val="both"/>
        <w:rPr>
          <w:b/>
          <w:sz w:val="20"/>
          <w:szCs w:val="20"/>
        </w:rPr>
      </w:pPr>
      <w:r>
        <w:rPr>
          <w:b/>
          <w:sz w:val="20"/>
          <w:szCs w:val="20"/>
        </w:rPr>
        <w:t>Risk p</w:t>
      </w:r>
      <w:r w:rsidRPr="008C7454">
        <w:rPr>
          <w:b/>
          <w:sz w:val="20"/>
          <w:szCs w:val="20"/>
        </w:rPr>
        <w:t>rofile</w:t>
      </w:r>
      <w:r>
        <w:rPr>
          <w:b/>
          <w:sz w:val="20"/>
          <w:szCs w:val="20"/>
        </w:rPr>
        <w:t xml:space="preserve"> according to the geographical concentration</w:t>
      </w:r>
      <w:r w:rsidRPr="008C7454" w:rsidDel="00272DB2">
        <w:rPr>
          <w:b/>
          <w:sz w:val="20"/>
          <w:szCs w:val="20"/>
        </w:rPr>
        <w:t xml:space="preserve"> </w:t>
      </w:r>
      <w:r w:rsidRPr="008C7454">
        <w:rPr>
          <w:b/>
          <w:sz w:val="20"/>
          <w:szCs w:val="20"/>
        </w:rPr>
        <w:t>:</w:t>
      </w:r>
    </w:p>
    <w:p w14:paraId="275A9E03" w14:textId="77777777" w:rsidR="00495F6E" w:rsidRPr="008C7454" w:rsidRDefault="00495F6E" w:rsidP="00495F6E">
      <w:pPr>
        <w:pStyle w:val="BodyTextIndent"/>
        <w:widowControl w:val="0"/>
        <w:tabs>
          <w:tab w:val="left" w:pos="1276"/>
        </w:tabs>
        <w:spacing w:after="0"/>
        <w:jc w:val="both"/>
        <w:rPr>
          <w:b/>
          <w:sz w:val="20"/>
          <w:szCs w:val="20"/>
        </w:rPr>
      </w:pPr>
    </w:p>
    <w:tbl>
      <w:tblPr>
        <w:tblW w:w="14336"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352"/>
        <w:gridCol w:w="1302"/>
        <w:gridCol w:w="1385"/>
        <w:gridCol w:w="1138"/>
        <w:gridCol w:w="1144"/>
        <w:gridCol w:w="1204"/>
        <w:gridCol w:w="1246"/>
        <w:gridCol w:w="1193"/>
        <w:gridCol w:w="1340"/>
        <w:gridCol w:w="984"/>
        <w:gridCol w:w="1048"/>
      </w:tblGrid>
      <w:tr w:rsidR="00495F6E" w:rsidRPr="00C6031E" w14:paraId="29D9D846" w14:textId="77777777" w:rsidTr="00E33C73">
        <w:tc>
          <w:tcPr>
            <w:tcW w:w="2352" w:type="dxa"/>
          </w:tcPr>
          <w:p w14:paraId="5A6C95C8" w14:textId="77777777" w:rsidR="00495F6E" w:rsidRPr="00C6031E" w:rsidRDefault="00495F6E" w:rsidP="00400883">
            <w:pPr>
              <w:widowControl w:val="0"/>
              <w:ind w:right="-586"/>
              <w:rPr>
                <w:b/>
                <w:bCs/>
                <w:snapToGrid w:val="0"/>
                <w:sz w:val="15"/>
                <w:szCs w:val="15"/>
              </w:rPr>
            </w:pPr>
          </w:p>
        </w:tc>
        <w:tc>
          <w:tcPr>
            <w:tcW w:w="11984" w:type="dxa"/>
            <w:gridSpan w:val="10"/>
            <w:shd w:val="clear" w:color="auto" w:fill="FFFFFF" w:themeFill="background1"/>
            <w:vAlign w:val="bottom"/>
          </w:tcPr>
          <w:p w14:paraId="12BAF872" w14:textId="77777777" w:rsidR="00495F6E" w:rsidRPr="00C6031E" w:rsidRDefault="00495F6E" w:rsidP="00400883">
            <w:pPr>
              <w:widowControl w:val="0"/>
              <w:ind w:left="182" w:right="-52"/>
              <w:jc w:val="center"/>
              <w:rPr>
                <w:b/>
                <w:bCs/>
                <w:snapToGrid w:val="0"/>
                <w:sz w:val="15"/>
                <w:szCs w:val="15"/>
              </w:rPr>
            </w:pPr>
            <w:r w:rsidRPr="00C6031E">
              <w:rPr>
                <w:b/>
                <w:bCs/>
                <w:snapToGrid w:val="0"/>
                <w:sz w:val="15"/>
                <w:szCs w:val="15"/>
              </w:rPr>
              <w:t>Risk Categories</w:t>
            </w:r>
            <w:r>
              <w:rPr>
                <w:b/>
                <w:bCs/>
                <w:snapToGrid w:val="0"/>
                <w:sz w:val="15"/>
                <w:szCs w:val="15"/>
              </w:rPr>
              <w:t xml:space="preserve"> (*)</w:t>
            </w:r>
          </w:p>
        </w:tc>
      </w:tr>
      <w:tr w:rsidR="00495F6E" w:rsidRPr="00C6031E" w14:paraId="650A816F" w14:textId="77777777" w:rsidTr="00E33C73">
        <w:trPr>
          <w:trHeight w:val="340"/>
        </w:trPr>
        <w:tc>
          <w:tcPr>
            <w:tcW w:w="2352" w:type="dxa"/>
            <w:vAlign w:val="bottom"/>
          </w:tcPr>
          <w:p w14:paraId="254ACB60" w14:textId="77777777" w:rsidR="00495F6E" w:rsidRPr="00C6031E" w:rsidRDefault="00495F6E" w:rsidP="00400883">
            <w:pPr>
              <w:widowControl w:val="0"/>
              <w:ind w:right="-586"/>
              <w:rPr>
                <w:b/>
                <w:bCs/>
                <w:snapToGrid w:val="0"/>
                <w:sz w:val="15"/>
                <w:szCs w:val="15"/>
              </w:rPr>
            </w:pPr>
          </w:p>
        </w:tc>
        <w:tc>
          <w:tcPr>
            <w:tcW w:w="1302" w:type="dxa"/>
            <w:vAlign w:val="bottom"/>
          </w:tcPr>
          <w:p w14:paraId="4168E277" w14:textId="77777777" w:rsidR="00495F6E" w:rsidRPr="00C6031E" w:rsidRDefault="00495F6E" w:rsidP="00400883">
            <w:pPr>
              <w:widowControl w:val="0"/>
              <w:ind w:right="-52"/>
              <w:jc w:val="right"/>
              <w:rPr>
                <w:b/>
                <w:bCs/>
                <w:snapToGrid w:val="0"/>
                <w:sz w:val="15"/>
                <w:szCs w:val="15"/>
              </w:rPr>
            </w:pPr>
            <w:r w:rsidRPr="00CB145E">
              <w:rPr>
                <w:b/>
                <w:color w:val="000000"/>
                <w:sz w:val="15"/>
                <w:szCs w:val="15"/>
              </w:rPr>
              <w:t>Contingent and Non-Contingent      Receivables from Central Governments or Central Banks</w:t>
            </w:r>
            <w:r w:rsidRPr="00CB145E" w:rsidDel="006D7232">
              <w:rPr>
                <w:rFonts w:eastAsia="Arial Unicode MS"/>
                <w:b/>
                <w:sz w:val="15"/>
                <w:szCs w:val="15"/>
              </w:rPr>
              <w:t xml:space="preserve"> </w:t>
            </w:r>
          </w:p>
        </w:tc>
        <w:tc>
          <w:tcPr>
            <w:tcW w:w="1385" w:type="dxa"/>
            <w:vAlign w:val="bottom"/>
          </w:tcPr>
          <w:p w14:paraId="6FC4B8BC" w14:textId="77777777" w:rsidR="00495F6E" w:rsidRPr="00C6031E" w:rsidRDefault="00495F6E" w:rsidP="00400883">
            <w:pPr>
              <w:widowControl w:val="0"/>
              <w:ind w:right="-52"/>
              <w:jc w:val="right"/>
              <w:rPr>
                <w:b/>
                <w:bCs/>
                <w:snapToGrid w:val="0"/>
                <w:sz w:val="15"/>
                <w:szCs w:val="15"/>
              </w:rPr>
            </w:pPr>
            <w:r w:rsidRPr="00CB145E">
              <w:rPr>
                <w:b/>
                <w:color w:val="000000"/>
                <w:sz w:val="15"/>
                <w:szCs w:val="15"/>
              </w:rPr>
              <w:t>Contingent and Non-Contingent Receivables from Administrative Units and Non-Commercial Enterprises</w:t>
            </w:r>
          </w:p>
        </w:tc>
        <w:tc>
          <w:tcPr>
            <w:tcW w:w="1138" w:type="dxa"/>
            <w:vAlign w:val="bottom"/>
          </w:tcPr>
          <w:p w14:paraId="68EFE567" w14:textId="77777777" w:rsidR="00495F6E" w:rsidRPr="00C6031E" w:rsidRDefault="00495F6E" w:rsidP="00400883">
            <w:pPr>
              <w:widowControl w:val="0"/>
              <w:ind w:right="-52"/>
              <w:jc w:val="right"/>
              <w:rPr>
                <w:b/>
                <w:bCs/>
                <w:snapToGrid w:val="0"/>
                <w:sz w:val="15"/>
                <w:szCs w:val="15"/>
              </w:rPr>
            </w:pPr>
            <w:r w:rsidRPr="00CB145E">
              <w:rPr>
                <w:b/>
                <w:color w:val="000000"/>
                <w:sz w:val="15"/>
                <w:szCs w:val="15"/>
              </w:rPr>
              <w:t>Contingent and Non-Contingent Receivables from Banks and Intermediaries</w:t>
            </w:r>
          </w:p>
        </w:tc>
        <w:tc>
          <w:tcPr>
            <w:tcW w:w="1144" w:type="dxa"/>
            <w:vAlign w:val="bottom"/>
          </w:tcPr>
          <w:p w14:paraId="564089D7" w14:textId="77777777" w:rsidR="00495F6E" w:rsidRPr="00C6031E" w:rsidRDefault="00495F6E" w:rsidP="00400883">
            <w:pPr>
              <w:widowControl w:val="0"/>
              <w:ind w:right="-52"/>
              <w:jc w:val="right"/>
              <w:rPr>
                <w:b/>
                <w:bCs/>
                <w:snapToGrid w:val="0"/>
                <w:sz w:val="15"/>
                <w:szCs w:val="15"/>
              </w:rPr>
            </w:pPr>
            <w:r w:rsidRPr="00CB145E">
              <w:rPr>
                <w:b/>
                <w:color w:val="000000"/>
                <w:sz w:val="15"/>
                <w:szCs w:val="15"/>
              </w:rPr>
              <w:t>Contingent and Non-Contingent Corporate Receivables</w:t>
            </w:r>
          </w:p>
        </w:tc>
        <w:tc>
          <w:tcPr>
            <w:tcW w:w="1204" w:type="dxa"/>
            <w:vAlign w:val="bottom"/>
          </w:tcPr>
          <w:p w14:paraId="04F4ECC1" w14:textId="77777777" w:rsidR="00495F6E" w:rsidRPr="00C6031E" w:rsidRDefault="00495F6E" w:rsidP="00400883">
            <w:pPr>
              <w:widowControl w:val="0"/>
              <w:ind w:right="-52"/>
              <w:jc w:val="right"/>
              <w:rPr>
                <w:b/>
                <w:bCs/>
                <w:snapToGrid w:val="0"/>
                <w:sz w:val="15"/>
                <w:szCs w:val="15"/>
              </w:rPr>
            </w:pPr>
            <w:r w:rsidRPr="00CB145E">
              <w:rPr>
                <w:b/>
                <w:color w:val="000000"/>
                <w:sz w:val="15"/>
                <w:szCs w:val="15"/>
              </w:rPr>
              <w:t>Contingent and Non-Contingent Retail Receivables</w:t>
            </w:r>
          </w:p>
        </w:tc>
        <w:tc>
          <w:tcPr>
            <w:tcW w:w="1246" w:type="dxa"/>
            <w:vAlign w:val="bottom"/>
          </w:tcPr>
          <w:p w14:paraId="432B4DF4" w14:textId="77777777" w:rsidR="00495F6E" w:rsidRPr="00C6031E" w:rsidRDefault="00495F6E" w:rsidP="00400883">
            <w:pPr>
              <w:widowControl w:val="0"/>
              <w:ind w:right="-52"/>
              <w:jc w:val="right"/>
              <w:rPr>
                <w:b/>
                <w:bCs/>
                <w:snapToGrid w:val="0"/>
                <w:sz w:val="15"/>
                <w:szCs w:val="15"/>
              </w:rPr>
            </w:pPr>
            <w:r w:rsidRPr="00CB145E">
              <w:rPr>
                <w:b/>
                <w:color w:val="000000"/>
                <w:sz w:val="15"/>
                <w:szCs w:val="15"/>
              </w:rPr>
              <w:t xml:space="preserve">Contingent and Non-Contingent Receivables </w:t>
            </w:r>
            <w:r w:rsidRPr="00CB145E">
              <w:rPr>
                <w:b/>
                <w:color w:val="000000" w:themeColor="text1"/>
                <w:sz w:val="15"/>
                <w:szCs w:val="15"/>
              </w:rPr>
              <w:t>Secured by Residential Property</w:t>
            </w:r>
          </w:p>
        </w:tc>
        <w:tc>
          <w:tcPr>
            <w:tcW w:w="1193" w:type="dxa"/>
            <w:vAlign w:val="bottom"/>
          </w:tcPr>
          <w:p w14:paraId="6F5A5910" w14:textId="77777777" w:rsidR="00495F6E" w:rsidRPr="00C6031E" w:rsidRDefault="00495F6E" w:rsidP="00B85547">
            <w:pPr>
              <w:widowControl w:val="0"/>
              <w:ind w:right="-108"/>
              <w:jc w:val="right"/>
              <w:rPr>
                <w:b/>
                <w:bCs/>
                <w:snapToGrid w:val="0"/>
                <w:sz w:val="15"/>
                <w:szCs w:val="15"/>
              </w:rPr>
            </w:pPr>
            <w:r w:rsidRPr="00CB145E">
              <w:rPr>
                <w:b/>
                <w:color w:val="000000"/>
                <w:sz w:val="15"/>
                <w:szCs w:val="15"/>
              </w:rPr>
              <w:t>Non-Performing Receivables</w:t>
            </w:r>
          </w:p>
        </w:tc>
        <w:tc>
          <w:tcPr>
            <w:tcW w:w="1340" w:type="dxa"/>
            <w:vAlign w:val="bottom"/>
          </w:tcPr>
          <w:p w14:paraId="516CB679" w14:textId="77777777" w:rsidR="00E33C73" w:rsidRDefault="00E33C73" w:rsidP="00E33C73">
            <w:pPr>
              <w:widowControl w:val="0"/>
              <w:ind w:right="-52"/>
              <w:jc w:val="right"/>
              <w:rPr>
                <w:b/>
                <w:color w:val="000000"/>
                <w:sz w:val="15"/>
                <w:szCs w:val="15"/>
              </w:rPr>
            </w:pPr>
            <w:r>
              <w:rPr>
                <w:b/>
                <w:color w:val="000000"/>
                <w:sz w:val="15"/>
                <w:szCs w:val="15"/>
              </w:rPr>
              <w:t>Receivables I</w:t>
            </w:r>
            <w:r w:rsidR="00495F6E" w:rsidRPr="00CB145E">
              <w:rPr>
                <w:b/>
                <w:color w:val="000000"/>
                <w:sz w:val="15"/>
                <w:szCs w:val="15"/>
              </w:rPr>
              <w:t xml:space="preserve">dentified as </w:t>
            </w:r>
          </w:p>
          <w:p w14:paraId="08846300" w14:textId="77777777" w:rsidR="00E33C73" w:rsidRDefault="00E33C73" w:rsidP="00E33C73">
            <w:pPr>
              <w:widowControl w:val="0"/>
              <w:ind w:right="-52"/>
              <w:jc w:val="right"/>
              <w:rPr>
                <w:b/>
                <w:color w:val="000000"/>
                <w:sz w:val="15"/>
                <w:szCs w:val="15"/>
              </w:rPr>
            </w:pPr>
            <w:r>
              <w:rPr>
                <w:b/>
                <w:color w:val="000000"/>
                <w:sz w:val="15"/>
                <w:szCs w:val="15"/>
              </w:rPr>
              <w:t>H</w:t>
            </w:r>
            <w:r w:rsidR="00495F6E" w:rsidRPr="00CB145E">
              <w:rPr>
                <w:b/>
                <w:color w:val="000000"/>
                <w:sz w:val="15"/>
                <w:szCs w:val="15"/>
              </w:rPr>
              <w:t xml:space="preserve">igh </w:t>
            </w:r>
            <w:r>
              <w:rPr>
                <w:b/>
                <w:color w:val="000000"/>
                <w:sz w:val="15"/>
                <w:szCs w:val="15"/>
              </w:rPr>
              <w:t>R</w:t>
            </w:r>
            <w:r w:rsidR="00495F6E" w:rsidRPr="00CB145E">
              <w:rPr>
                <w:b/>
                <w:color w:val="000000"/>
                <w:sz w:val="15"/>
                <w:szCs w:val="15"/>
              </w:rPr>
              <w:t xml:space="preserve">isk by </w:t>
            </w:r>
          </w:p>
          <w:p w14:paraId="7817A954" w14:textId="59D6BCAF" w:rsidR="00495F6E" w:rsidRPr="00C6031E" w:rsidRDefault="00495F6E" w:rsidP="00E33C73">
            <w:pPr>
              <w:widowControl w:val="0"/>
              <w:ind w:right="-52"/>
              <w:jc w:val="right"/>
              <w:rPr>
                <w:b/>
                <w:bCs/>
                <w:snapToGrid w:val="0"/>
                <w:sz w:val="15"/>
                <w:szCs w:val="15"/>
              </w:rPr>
            </w:pPr>
            <w:r w:rsidRPr="00CB145E">
              <w:rPr>
                <w:b/>
                <w:color w:val="000000"/>
                <w:sz w:val="15"/>
                <w:szCs w:val="15"/>
              </w:rPr>
              <w:t>the Board</w:t>
            </w:r>
          </w:p>
        </w:tc>
        <w:tc>
          <w:tcPr>
            <w:tcW w:w="984" w:type="dxa"/>
            <w:vAlign w:val="bottom"/>
          </w:tcPr>
          <w:p w14:paraId="3EC7F8B9" w14:textId="7808A6F5" w:rsidR="00495F6E" w:rsidRPr="00C6031E" w:rsidRDefault="00495F6E" w:rsidP="00B85547">
            <w:pPr>
              <w:widowControl w:val="0"/>
              <w:ind w:right="-52"/>
              <w:jc w:val="right"/>
              <w:rPr>
                <w:b/>
                <w:bCs/>
                <w:snapToGrid w:val="0"/>
                <w:sz w:val="15"/>
                <w:szCs w:val="15"/>
              </w:rPr>
            </w:pPr>
            <w:r w:rsidRPr="006346D1">
              <w:rPr>
                <w:b/>
                <w:bCs/>
                <w:snapToGrid w:val="0"/>
                <w:sz w:val="15"/>
                <w:szCs w:val="15"/>
              </w:rPr>
              <w:t xml:space="preserve">Other </w:t>
            </w:r>
            <w:r w:rsidR="00B85547">
              <w:rPr>
                <w:b/>
                <w:bCs/>
                <w:snapToGrid w:val="0"/>
                <w:sz w:val="15"/>
                <w:szCs w:val="15"/>
              </w:rPr>
              <w:t>R</w:t>
            </w:r>
            <w:r w:rsidRPr="006346D1">
              <w:rPr>
                <w:b/>
                <w:bCs/>
                <w:snapToGrid w:val="0"/>
                <w:sz w:val="15"/>
                <w:szCs w:val="15"/>
              </w:rPr>
              <w:t>eceivables</w:t>
            </w:r>
          </w:p>
        </w:tc>
        <w:tc>
          <w:tcPr>
            <w:tcW w:w="1048" w:type="dxa"/>
            <w:vAlign w:val="bottom"/>
          </w:tcPr>
          <w:p w14:paraId="189D98C4" w14:textId="77777777" w:rsidR="00495F6E" w:rsidRPr="006346D1" w:rsidRDefault="00495F6E" w:rsidP="00400883">
            <w:pPr>
              <w:widowControl w:val="0"/>
              <w:ind w:left="182" w:right="-52"/>
              <w:jc w:val="right"/>
              <w:rPr>
                <w:b/>
                <w:bCs/>
                <w:snapToGrid w:val="0"/>
                <w:sz w:val="15"/>
                <w:szCs w:val="15"/>
              </w:rPr>
            </w:pPr>
          </w:p>
          <w:p w14:paraId="70FA5C96" w14:textId="77777777" w:rsidR="00495F6E" w:rsidRPr="006346D1" w:rsidRDefault="00495F6E" w:rsidP="00400883">
            <w:pPr>
              <w:widowControl w:val="0"/>
              <w:ind w:left="182" w:right="-52"/>
              <w:jc w:val="right"/>
              <w:rPr>
                <w:b/>
                <w:bCs/>
                <w:snapToGrid w:val="0"/>
                <w:sz w:val="15"/>
                <w:szCs w:val="15"/>
              </w:rPr>
            </w:pPr>
          </w:p>
          <w:p w14:paraId="4FBEC7F9" w14:textId="77777777" w:rsidR="00495F6E" w:rsidRPr="00C6031E" w:rsidRDefault="00495F6E" w:rsidP="00400883">
            <w:pPr>
              <w:widowControl w:val="0"/>
              <w:ind w:right="-52"/>
              <w:jc w:val="right"/>
              <w:rPr>
                <w:b/>
                <w:bCs/>
                <w:snapToGrid w:val="0"/>
                <w:sz w:val="15"/>
                <w:szCs w:val="15"/>
              </w:rPr>
            </w:pPr>
            <w:r w:rsidRPr="006346D1">
              <w:rPr>
                <w:b/>
                <w:bCs/>
                <w:snapToGrid w:val="0"/>
                <w:sz w:val="15"/>
                <w:szCs w:val="15"/>
              </w:rPr>
              <w:t>Total</w:t>
            </w:r>
          </w:p>
        </w:tc>
      </w:tr>
      <w:tr w:rsidR="00495F6E" w:rsidRPr="00C6031E" w14:paraId="0F092E48" w14:textId="77777777" w:rsidTr="00E33C73">
        <w:tc>
          <w:tcPr>
            <w:tcW w:w="2352" w:type="dxa"/>
            <w:vAlign w:val="bottom"/>
          </w:tcPr>
          <w:p w14:paraId="5F146154" w14:textId="77777777" w:rsidR="00495F6E" w:rsidRPr="00C6031E" w:rsidRDefault="00495F6E" w:rsidP="00400883">
            <w:pPr>
              <w:pStyle w:val="BodyTextIndent"/>
              <w:widowControl w:val="0"/>
              <w:tabs>
                <w:tab w:val="left" w:pos="1276"/>
              </w:tabs>
              <w:spacing w:after="0"/>
              <w:ind w:left="-66"/>
              <w:rPr>
                <w:b/>
                <w:sz w:val="15"/>
                <w:szCs w:val="15"/>
              </w:rPr>
            </w:pPr>
            <w:r>
              <w:rPr>
                <w:b/>
                <w:sz w:val="15"/>
                <w:szCs w:val="15"/>
              </w:rPr>
              <w:t>31 December 2015</w:t>
            </w:r>
          </w:p>
        </w:tc>
        <w:tc>
          <w:tcPr>
            <w:tcW w:w="1302" w:type="dxa"/>
            <w:vAlign w:val="bottom"/>
          </w:tcPr>
          <w:p w14:paraId="2BE6C3D6" w14:textId="77777777" w:rsidR="00495F6E" w:rsidRPr="00E33C73" w:rsidRDefault="00495F6E" w:rsidP="00400883">
            <w:pPr>
              <w:pStyle w:val="BodyTextIndent"/>
              <w:widowControl w:val="0"/>
              <w:spacing w:after="0"/>
              <w:ind w:right="-64"/>
              <w:jc w:val="right"/>
              <w:rPr>
                <w:b/>
                <w:sz w:val="16"/>
                <w:szCs w:val="16"/>
              </w:rPr>
            </w:pPr>
          </w:p>
        </w:tc>
        <w:tc>
          <w:tcPr>
            <w:tcW w:w="1385" w:type="dxa"/>
            <w:vAlign w:val="bottom"/>
          </w:tcPr>
          <w:p w14:paraId="4EF3A6EF" w14:textId="77777777" w:rsidR="00495F6E" w:rsidRPr="00E33C73" w:rsidRDefault="00495F6E" w:rsidP="00400883">
            <w:pPr>
              <w:pStyle w:val="BodyTextIndent"/>
              <w:widowControl w:val="0"/>
              <w:spacing w:after="0"/>
              <w:ind w:right="-64"/>
              <w:jc w:val="right"/>
              <w:rPr>
                <w:b/>
                <w:sz w:val="16"/>
                <w:szCs w:val="16"/>
              </w:rPr>
            </w:pPr>
          </w:p>
        </w:tc>
        <w:tc>
          <w:tcPr>
            <w:tcW w:w="1138" w:type="dxa"/>
            <w:vAlign w:val="bottom"/>
          </w:tcPr>
          <w:p w14:paraId="7457EF85" w14:textId="77777777" w:rsidR="00495F6E" w:rsidRPr="00E33C73" w:rsidRDefault="00495F6E" w:rsidP="00400883">
            <w:pPr>
              <w:pStyle w:val="BodyTextIndent"/>
              <w:widowControl w:val="0"/>
              <w:spacing w:after="0"/>
              <w:ind w:right="-64"/>
              <w:jc w:val="right"/>
              <w:rPr>
                <w:b/>
                <w:sz w:val="16"/>
                <w:szCs w:val="16"/>
              </w:rPr>
            </w:pPr>
          </w:p>
        </w:tc>
        <w:tc>
          <w:tcPr>
            <w:tcW w:w="1144" w:type="dxa"/>
            <w:vAlign w:val="bottom"/>
          </w:tcPr>
          <w:p w14:paraId="6C8CB334" w14:textId="77777777" w:rsidR="00495F6E" w:rsidRPr="00E33C73" w:rsidRDefault="00495F6E" w:rsidP="00400883">
            <w:pPr>
              <w:pStyle w:val="BodyTextIndent"/>
              <w:widowControl w:val="0"/>
              <w:spacing w:after="0"/>
              <w:ind w:right="-64"/>
              <w:jc w:val="right"/>
              <w:rPr>
                <w:b/>
                <w:sz w:val="16"/>
                <w:szCs w:val="16"/>
              </w:rPr>
            </w:pPr>
          </w:p>
        </w:tc>
        <w:tc>
          <w:tcPr>
            <w:tcW w:w="1204" w:type="dxa"/>
            <w:vAlign w:val="bottom"/>
          </w:tcPr>
          <w:p w14:paraId="6CC3D5B0" w14:textId="77777777" w:rsidR="00495F6E" w:rsidRPr="00E33C73" w:rsidRDefault="00495F6E" w:rsidP="00400883">
            <w:pPr>
              <w:pStyle w:val="BodyTextIndent"/>
              <w:widowControl w:val="0"/>
              <w:spacing w:after="0"/>
              <w:ind w:right="-64"/>
              <w:jc w:val="right"/>
              <w:rPr>
                <w:b/>
                <w:sz w:val="16"/>
                <w:szCs w:val="16"/>
              </w:rPr>
            </w:pPr>
          </w:p>
        </w:tc>
        <w:tc>
          <w:tcPr>
            <w:tcW w:w="1246" w:type="dxa"/>
            <w:vAlign w:val="bottom"/>
          </w:tcPr>
          <w:p w14:paraId="2FE9AE42" w14:textId="77777777" w:rsidR="00495F6E" w:rsidRPr="00E33C73" w:rsidRDefault="00495F6E" w:rsidP="00400883">
            <w:pPr>
              <w:pStyle w:val="BodyTextIndent"/>
              <w:widowControl w:val="0"/>
              <w:spacing w:after="0"/>
              <w:ind w:right="-64"/>
              <w:jc w:val="right"/>
              <w:rPr>
                <w:b/>
                <w:sz w:val="16"/>
                <w:szCs w:val="16"/>
              </w:rPr>
            </w:pPr>
          </w:p>
        </w:tc>
        <w:tc>
          <w:tcPr>
            <w:tcW w:w="1193" w:type="dxa"/>
            <w:vAlign w:val="bottom"/>
          </w:tcPr>
          <w:p w14:paraId="32CEF46B" w14:textId="77777777" w:rsidR="00495F6E" w:rsidRPr="00E33C73" w:rsidRDefault="00495F6E" w:rsidP="00400883">
            <w:pPr>
              <w:pStyle w:val="BodyTextIndent"/>
              <w:widowControl w:val="0"/>
              <w:spacing w:after="0"/>
              <w:ind w:right="-64"/>
              <w:jc w:val="right"/>
              <w:rPr>
                <w:b/>
                <w:sz w:val="16"/>
                <w:szCs w:val="16"/>
              </w:rPr>
            </w:pPr>
          </w:p>
        </w:tc>
        <w:tc>
          <w:tcPr>
            <w:tcW w:w="1340" w:type="dxa"/>
            <w:vAlign w:val="bottom"/>
          </w:tcPr>
          <w:p w14:paraId="48836990" w14:textId="77777777" w:rsidR="00495F6E" w:rsidRPr="00E33C73" w:rsidRDefault="00495F6E" w:rsidP="00400883">
            <w:pPr>
              <w:pStyle w:val="BodyTextIndent"/>
              <w:widowControl w:val="0"/>
              <w:spacing w:after="0"/>
              <w:ind w:right="-64"/>
              <w:jc w:val="right"/>
              <w:rPr>
                <w:b/>
                <w:sz w:val="16"/>
                <w:szCs w:val="16"/>
              </w:rPr>
            </w:pPr>
          </w:p>
        </w:tc>
        <w:tc>
          <w:tcPr>
            <w:tcW w:w="984" w:type="dxa"/>
            <w:vAlign w:val="bottom"/>
          </w:tcPr>
          <w:p w14:paraId="74759818" w14:textId="77777777" w:rsidR="00495F6E" w:rsidRPr="00E33C73" w:rsidRDefault="00495F6E" w:rsidP="00400883">
            <w:pPr>
              <w:pStyle w:val="BodyTextIndent"/>
              <w:widowControl w:val="0"/>
              <w:spacing w:after="0"/>
              <w:ind w:right="-64"/>
              <w:jc w:val="right"/>
              <w:rPr>
                <w:b/>
                <w:sz w:val="16"/>
                <w:szCs w:val="16"/>
              </w:rPr>
            </w:pPr>
          </w:p>
        </w:tc>
        <w:tc>
          <w:tcPr>
            <w:tcW w:w="1048" w:type="dxa"/>
            <w:vAlign w:val="bottom"/>
          </w:tcPr>
          <w:p w14:paraId="5E58C84E" w14:textId="77777777" w:rsidR="00495F6E" w:rsidRPr="00E33C73" w:rsidRDefault="00495F6E" w:rsidP="00400883">
            <w:pPr>
              <w:pStyle w:val="BodyTextIndent"/>
              <w:widowControl w:val="0"/>
              <w:spacing w:after="0"/>
              <w:ind w:right="-64"/>
              <w:jc w:val="right"/>
              <w:rPr>
                <w:b/>
                <w:sz w:val="16"/>
                <w:szCs w:val="16"/>
              </w:rPr>
            </w:pPr>
          </w:p>
        </w:tc>
      </w:tr>
      <w:tr w:rsidR="00224102" w:rsidRPr="00C6031E" w14:paraId="447E1281" w14:textId="77777777" w:rsidTr="00E33C73">
        <w:tc>
          <w:tcPr>
            <w:tcW w:w="2352" w:type="dxa"/>
            <w:vAlign w:val="bottom"/>
          </w:tcPr>
          <w:p w14:paraId="6E4140BE" w14:textId="77777777" w:rsidR="00224102" w:rsidRPr="00C6031E" w:rsidRDefault="00224102" w:rsidP="00224102">
            <w:pPr>
              <w:pStyle w:val="BodyTextIndent"/>
              <w:widowControl w:val="0"/>
              <w:tabs>
                <w:tab w:val="left" w:pos="1276"/>
              </w:tabs>
              <w:spacing w:after="0"/>
              <w:ind w:left="-66"/>
              <w:rPr>
                <w:sz w:val="15"/>
                <w:szCs w:val="15"/>
              </w:rPr>
            </w:pPr>
            <w:r w:rsidRPr="00C6031E">
              <w:rPr>
                <w:sz w:val="15"/>
                <w:szCs w:val="15"/>
              </w:rPr>
              <w:t>Domestic</w:t>
            </w:r>
          </w:p>
        </w:tc>
        <w:tc>
          <w:tcPr>
            <w:tcW w:w="1302" w:type="dxa"/>
            <w:vAlign w:val="bottom"/>
          </w:tcPr>
          <w:p w14:paraId="585DA8E4" w14:textId="6768EA69" w:rsidR="00224102" w:rsidRPr="00E33C73" w:rsidRDefault="00224102" w:rsidP="00224102">
            <w:pPr>
              <w:jc w:val="right"/>
              <w:rPr>
                <w:sz w:val="16"/>
                <w:szCs w:val="16"/>
              </w:rPr>
            </w:pPr>
            <w:r w:rsidRPr="00E33C73">
              <w:rPr>
                <w:sz w:val="16"/>
                <w:szCs w:val="16"/>
              </w:rPr>
              <w:t>2,144,694</w:t>
            </w:r>
          </w:p>
        </w:tc>
        <w:tc>
          <w:tcPr>
            <w:tcW w:w="1385" w:type="dxa"/>
            <w:vAlign w:val="bottom"/>
          </w:tcPr>
          <w:p w14:paraId="1C251403" w14:textId="6FD164D6" w:rsidR="00224102" w:rsidRPr="00E33C73" w:rsidRDefault="00224102" w:rsidP="00224102">
            <w:pPr>
              <w:jc w:val="right"/>
              <w:rPr>
                <w:sz w:val="16"/>
                <w:szCs w:val="16"/>
              </w:rPr>
            </w:pPr>
            <w:r w:rsidRPr="00E33C73">
              <w:rPr>
                <w:sz w:val="16"/>
                <w:szCs w:val="16"/>
              </w:rPr>
              <w:t>1,310</w:t>
            </w:r>
          </w:p>
        </w:tc>
        <w:tc>
          <w:tcPr>
            <w:tcW w:w="1138" w:type="dxa"/>
            <w:vAlign w:val="bottom"/>
          </w:tcPr>
          <w:p w14:paraId="557D811E" w14:textId="26A5A571" w:rsidR="00224102" w:rsidRPr="00E33C73" w:rsidRDefault="00224102" w:rsidP="00224102">
            <w:pPr>
              <w:jc w:val="right"/>
              <w:rPr>
                <w:sz w:val="16"/>
                <w:szCs w:val="16"/>
              </w:rPr>
            </w:pPr>
            <w:r w:rsidRPr="00E33C73">
              <w:rPr>
                <w:sz w:val="16"/>
                <w:szCs w:val="16"/>
              </w:rPr>
              <w:t>1,114,904</w:t>
            </w:r>
          </w:p>
        </w:tc>
        <w:tc>
          <w:tcPr>
            <w:tcW w:w="1144" w:type="dxa"/>
            <w:vAlign w:val="bottom"/>
          </w:tcPr>
          <w:p w14:paraId="4ACF476C" w14:textId="1D0C22F6" w:rsidR="00224102" w:rsidRPr="00E33C73" w:rsidRDefault="00224102" w:rsidP="00224102">
            <w:pPr>
              <w:jc w:val="right"/>
              <w:rPr>
                <w:sz w:val="16"/>
                <w:szCs w:val="16"/>
              </w:rPr>
            </w:pPr>
            <w:r w:rsidRPr="00E33C73">
              <w:rPr>
                <w:sz w:val="16"/>
                <w:szCs w:val="16"/>
              </w:rPr>
              <w:t>7,114,334</w:t>
            </w:r>
          </w:p>
        </w:tc>
        <w:tc>
          <w:tcPr>
            <w:tcW w:w="1204" w:type="dxa"/>
            <w:vAlign w:val="bottom"/>
          </w:tcPr>
          <w:p w14:paraId="0CF3C6D1" w14:textId="7C00B1AD" w:rsidR="00224102" w:rsidRPr="00E33C73" w:rsidRDefault="00224102" w:rsidP="00224102">
            <w:pPr>
              <w:jc w:val="right"/>
              <w:rPr>
                <w:sz w:val="16"/>
                <w:szCs w:val="16"/>
              </w:rPr>
            </w:pPr>
            <w:r w:rsidRPr="00E33C73">
              <w:rPr>
                <w:sz w:val="16"/>
                <w:szCs w:val="16"/>
              </w:rPr>
              <w:t>1,858,313</w:t>
            </w:r>
          </w:p>
        </w:tc>
        <w:tc>
          <w:tcPr>
            <w:tcW w:w="1246" w:type="dxa"/>
            <w:vAlign w:val="bottom"/>
          </w:tcPr>
          <w:p w14:paraId="7F1EE576" w14:textId="2DC114A9" w:rsidR="00224102" w:rsidRPr="00E33C73" w:rsidRDefault="00224102" w:rsidP="00224102">
            <w:pPr>
              <w:jc w:val="right"/>
              <w:rPr>
                <w:sz w:val="16"/>
                <w:szCs w:val="16"/>
              </w:rPr>
            </w:pPr>
            <w:r w:rsidRPr="00E33C73">
              <w:rPr>
                <w:sz w:val="16"/>
                <w:szCs w:val="16"/>
              </w:rPr>
              <w:t>2,453,883</w:t>
            </w:r>
          </w:p>
        </w:tc>
        <w:tc>
          <w:tcPr>
            <w:tcW w:w="1193" w:type="dxa"/>
            <w:vAlign w:val="bottom"/>
          </w:tcPr>
          <w:p w14:paraId="5F55E025" w14:textId="05135296" w:rsidR="00224102" w:rsidRPr="00E33C73" w:rsidRDefault="00224102" w:rsidP="00224102">
            <w:pPr>
              <w:jc w:val="right"/>
              <w:rPr>
                <w:sz w:val="16"/>
                <w:szCs w:val="16"/>
              </w:rPr>
            </w:pPr>
            <w:r w:rsidRPr="00E33C73">
              <w:rPr>
                <w:sz w:val="16"/>
                <w:szCs w:val="16"/>
              </w:rPr>
              <w:t>236,253</w:t>
            </w:r>
          </w:p>
        </w:tc>
        <w:tc>
          <w:tcPr>
            <w:tcW w:w="1340" w:type="dxa"/>
            <w:vAlign w:val="bottom"/>
          </w:tcPr>
          <w:p w14:paraId="7C84C414" w14:textId="1F6ABF1A" w:rsidR="00224102" w:rsidRPr="00E33C73" w:rsidRDefault="00224102" w:rsidP="00224102">
            <w:pPr>
              <w:jc w:val="right"/>
              <w:rPr>
                <w:sz w:val="16"/>
                <w:szCs w:val="16"/>
              </w:rPr>
            </w:pPr>
            <w:r w:rsidRPr="00E33C73">
              <w:rPr>
                <w:sz w:val="16"/>
                <w:szCs w:val="16"/>
              </w:rPr>
              <w:t>83,365</w:t>
            </w:r>
          </w:p>
        </w:tc>
        <w:tc>
          <w:tcPr>
            <w:tcW w:w="984" w:type="dxa"/>
            <w:vAlign w:val="bottom"/>
          </w:tcPr>
          <w:p w14:paraId="0C632EE7" w14:textId="6380288C" w:rsidR="00224102" w:rsidRPr="00E33C73" w:rsidRDefault="00224102" w:rsidP="00224102">
            <w:pPr>
              <w:jc w:val="right"/>
              <w:rPr>
                <w:sz w:val="16"/>
                <w:szCs w:val="16"/>
              </w:rPr>
            </w:pPr>
            <w:r w:rsidRPr="00E33C73">
              <w:rPr>
                <w:sz w:val="16"/>
                <w:szCs w:val="16"/>
              </w:rPr>
              <w:t>-</w:t>
            </w:r>
          </w:p>
        </w:tc>
        <w:tc>
          <w:tcPr>
            <w:tcW w:w="1048" w:type="dxa"/>
            <w:vAlign w:val="bottom"/>
          </w:tcPr>
          <w:p w14:paraId="540AFC4E" w14:textId="15DC797B" w:rsidR="00224102" w:rsidRPr="00E33C73" w:rsidRDefault="00224102" w:rsidP="00224102">
            <w:pPr>
              <w:jc w:val="right"/>
              <w:rPr>
                <w:sz w:val="16"/>
                <w:szCs w:val="16"/>
              </w:rPr>
            </w:pPr>
            <w:r w:rsidRPr="00E33C73">
              <w:rPr>
                <w:sz w:val="16"/>
                <w:szCs w:val="16"/>
              </w:rPr>
              <w:t>15,007,056</w:t>
            </w:r>
          </w:p>
        </w:tc>
      </w:tr>
      <w:tr w:rsidR="00224102" w:rsidRPr="00C6031E" w14:paraId="62AE5517" w14:textId="77777777" w:rsidTr="00E33C73">
        <w:tc>
          <w:tcPr>
            <w:tcW w:w="2352" w:type="dxa"/>
            <w:vAlign w:val="bottom"/>
          </w:tcPr>
          <w:p w14:paraId="3398B45C" w14:textId="77777777" w:rsidR="00224102" w:rsidRPr="00C6031E" w:rsidRDefault="00224102" w:rsidP="00224102">
            <w:pPr>
              <w:pStyle w:val="BodyTextIndent"/>
              <w:widowControl w:val="0"/>
              <w:tabs>
                <w:tab w:val="left" w:pos="1276"/>
              </w:tabs>
              <w:spacing w:after="0"/>
              <w:ind w:left="-66"/>
              <w:rPr>
                <w:sz w:val="15"/>
                <w:szCs w:val="15"/>
              </w:rPr>
            </w:pPr>
            <w:r w:rsidRPr="00C6031E">
              <w:rPr>
                <w:sz w:val="15"/>
                <w:szCs w:val="15"/>
              </w:rPr>
              <w:t>EU Countries</w:t>
            </w:r>
          </w:p>
        </w:tc>
        <w:tc>
          <w:tcPr>
            <w:tcW w:w="1302" w:type="dxa"/>
            <w:vAlign w:val="bottom"/>
          </w:tcPr>
          <w:p w14:paraId="044BEA91" w14:textId="4B8DA9AD" w:rsidR="00224102" w:rsidRPr="00E33C73" w:rsidRDefault="00224102" w:rsidP="00224102">
            <w:pPr>
              <w:jc w:val="right"/>
              <w:rPr>
                <w:sz w:val="16"/>
                <w:szCs w:val="16"/>
              </w:rPr>
            </w:pPr>
            <w:r w:rsidRPr="00E33C73">
              <w:rPr>
                <w:sz w:val="16"/>
                <w:szCs w:val="16"/>
              </w:rPr>
              <w:t>-</w:t>
            </w:r>
          </w:p>
        </w:tc>
        <w:tc>
          <w:tcPr>
            <w:tcW w:w="1385" w:type="dxa"/>
            <w:vAlign w:val="bottom"/>
          </w:tcPr>
          <w:p w14:paraId="6F72788A" w14:textId="3B20D3C5" w:rsidR="00224102" w:rsidRPr="00E33C73" w:rsidRDefault="00224102" w:rsidP="00224102">
            <w:pPr>
              <w:jc w:val="right"/>
              <w:rPr>
                <w:sz w:val="16"/>
                <w:szCs w:val="16"/>
              </w:rPr>
            </w:pPr>
            <w:r w:rsidRPr="00E33C73">
              <w:rPr>
                <w:sz w:val="16"/>
                <w:szCs w:val="16"/>
              </w:rPr>
              <w:t>-</w:t>
            </w:r>
          </w:p>
        </w:tc>
        <w:tc>
          <w:tcPr>
            <w:tcW w:w="1138" w:type="dxa"/>
            <w:vAlign w:val="bottom"/>
          </w:tcPr>
          <w:p w14:paraId="15874B5C" w14:textId="59587341" w:rsidR="00224102" w:rsidRPr="00E33C73" w:rsidRDefault="00224102" w:rsidP="00224102">
            <w:pPr>
              <w:jc w:val="right"/>
              <w:rPr>
                <w:sz w:val="16"/>
                <w:szCs w:val="16"/>
              </w:rPr>
            </w:pPr>
            <w:r w:rsidRPr="00E33C73">
              <w:rPr>
                <w:sz w:val="16"/>
                <w:szCs w:val="16"/>
              </w:rPr>
              <w:t>91,021</w:t>
            </w:r>
          </w:p>
        </w:tc>
        <w:tc>
          <w:tcPr>
            <w:tcW w:w="1144" w:type="dxa"/>
            <w:vAlign w:val="bottom"/>
          </w:tcPr>
          <w:p w14:paraId="0262BA67" w14:textId="0E07CEF4" w:rsidR="00224102" w:rsidRPr="00E33C73" w:rsidRDefault="00224102" w:rsidP="00224102">
            <w:pPr>
              <w:jc w:val="right"/>
              <w:rPr>
                <w:sz w:val="16"/>
                <w:szCs w:val="16"/>
              </w:rPr>
            </w:pPr>
            <w:r w:rsidRPr="00E33C73">
              <w:rPr>
                <w:sz w:val="16"/>
                <w:szCs w:val="16"/>
              </w:rPr>
              <w:t>34,472</w:t>
            </w:r>
          </w:p>
        </w:tc>
        <w:tc>
          <w:tcPr>
            <w:tcW w:w="1204" w:type="dxa"/>
            <w:vAlign w:val="bottom"/>
          </w:tcPr>
          <w:p w14:paraId="2095BAD1" w14:textId="451204E6" w:rsidR="00224102" w:rsidRPr="00E33C73" w:rsidRDefault="00224102" w:rsidP="00224102">
            <w:pPr>
              <w:jc w:val="right"/>
              <w:rPr>
                <w:sz w:val="16"/>
                <w:szCs w:val="16"/>
              </w:rPr>
            </w:pPr>
            <w:r w:rsidRPr="00E33C73">
              <w:rPr>
                <w:sz w:val="16"/>
                <w:szCs w:val="16"/>
              </w:rPr>
              <w:t>113</w:t>
            </w:r>
          </w:p>
        </w:tc>
        <w:tc>
          <w:tcPr>
            <w:tcW w:w="1246" w:type="dxa"/>
            <w:vAlign w:val="bottom"/>
          </w:tcPr>
          <w:p w14:paraId="2B2C9CA7" w14:textId="04F88A8A" w:rsidR="00224102" w:rsidRPr="00E33C73" w:rsidRDefault="00224102" w:rsidP="00224102">
            <w:pPr>
              <w:jc w:val="right"/>
              <w:rPr>
                <w:sz w:val="16"/>
                <w:szCs w:val="16"/>
              </w:rPr>
            </w:pPr>
            <w:r w:rsidRPr="00E33C73">
              <w:rPr>
                <w:sz w:val="16"/>
                <w:szCs w:val="16"/>
              </w:rPr>
              <w:t>11,491</w:t>
            </w:r>
          </w:p>
        </w:tc>
        <w:tc>
          <w:tcPr>
            <w:tcW w:w="1193" w:type="dxa"/>
            <w:vAlign w:val="bottom"/>
          </w:tcPr>
          <w:p w14:paraId="69826A0A" w14:textId="47547676" w:rsidR="00224102" w:rsidRPr="00E33C73" w:rsidRDefault="00224102" w:rsidP="00224102">
            <w:pPr>
              <w:jc w:val="right"/>
              <w:rPr>
                <w:sz w:val="16"/>
                <w:szCs w:val="16"/>
              </w:rPr>
            </w:pPr>
            <w:r w:rsidRPr="00E33C73">
              <w:rPr>
                <w:sz w:val="16"/>
                <w:szCs w:val="16"/>
              </w:rPr>
              <w:t>-</w:t>
            </w:r>
          </w:p>
        </w:tc>
        <w:tc>
          <w:tcPr>
            <w:tcW w:w="1340" w:type="dxa"/>
            <w:vAlign w:val="bottom"/>
          </w:tcPr>
          <w:p w14:paraId="4B2AE463" w14:textId="659E6B40" w:rsidR="00224102" w:rsidRPr="00E33C73" w:rsidRDefault="00224102" w:rsidP="00224102">
            <w:pPr>
              <w:jc w:val="right"/>
              <w:rPr>
                <w:sz w:val="16"/>
                <w:szCs w:val="16"/>
              </w:rPr>
            </w:pPr>
            <w:r w:rsidRPr="00E33C73">
              <w:rPr>
                <w:sz w:val="16"/>
                <w:szCs w:val="16"/>
              </w:rPr>
              <w:t>-</w:t>
            </w:r>
          </w:p>
        </w:tc>
        <w:tc>
          <w:tcPr>
            <w:tcW w:w="984" w:type="dxa"/>
            <w:vAlign w:val="bottom"/>
          </w:tcPr>
          <w:p w14:paraId="4788933D" w14:textId="5BB184C4" w:rsidR="00224102" w:rsidRPr="00E33C73" w:rsidRDefault="00224102" w:rsidP="00224102">
            <w:pPr>
              <w:jc w:val="right"/>
              <w:rPr>
                <w:sz w:val="16"/>
                <w:szCs w:val="16"/>
              </w:rPr>
            </w:pPr>
            <w:r w:rsidRPr="00E33C73">
              <w:rPr>
                <w:sz w:val="16"/>
                <w:szCs w:val="16"/>
              </w:rPr>
              <w:t>-</w:t>
            </w:r>
          </w:p>
        </w:tc>
        <w:tc>
          <w:tcPr>
            <w:tcW w:w="1048" w:type="dxa"/>
            <w:vAlign w:val="bottom"/>
          </w:tcPr>
          <w:p w14:paraId="5D856CDD" w14:textId="487BBBFA" w:rsidR="00224102" w:rsidRPr="00E33C73" w:rsidRDefault="00224102" w:rsidP="00224102">
            <w:pPr>
              <w:jc w:val="right"/>
              <w:rPr>
                <w:sz w:val="16"/>
                <w:szCs w:val="16"/>
              </w:rPr>
            </w:pPr>
            <w:r w:rsidRPr="00E33C73">
              <w:rPr>
                <w:sz w:val="16"/>
                <w:szCs w:val="16"/>
              </w:rPr>
              <w:t>137,097</w:t>
            </w:r>
          </w:p>
        </w:tc>
      </w:tr>
      <w:tr w:rsidR="00224102" w:rsidRPr="00C6031E" w14:paraId="2B19840A" w14:textId="77777777" w:rsidTr="00E33C73">
        <w:tc>
          <w:tcPr>
            <w:tcW w:w="2352" w:type="dxa"/>
            <w:vAlign w:val="bottom"/>
          </w:tcPr>
          <w:p w14:paraId="55034864" w14:textId="77777777" w:rsidR="00224102" w:rsidRPr="00C6031E" w:rsidRDefault="00224102" w:rsidP="00224102">
            <w:pPr>
              <w:pStyle w:val="BodyTextIndent"/>
              <w:widowControl w:val="0"/>
              <w:tabs>
                <w:tab w:val="left" w:pos="1276"/>
              </w:tabs>
              <w:spacing w:after="0"/>
              <w:ind w:left="-66"/>
              <w:rPr>
                <w:sz w:val="15"/>
                <w:szCs w:val="15"/>
              </w:rPr>
            </w:pPr>
            <w:r w:rsidRPr="00C6031E">
              <w:rPr>
                <w:sz w:val="15"/>
                <w:szCs w:val="15"/>
              </w:rPr>
              <w:t>OECD Countries (**)</w:t>
            </w:r>
          </w:p>
        </w:tc>
        <w:tc>
          <w:tcPr>
            <w:tcW w:w="1302" w:type="dxa"/>
            <w:vAlign w:val="bottom"/>
          </w:tcPr>
          <w:p w14:paraId="79FD19E3" w14:textId="3A5CD542" w:rsidR="00224102" w:rsidRPr="00E33C73" w:rsidRDefault="00224102" w:rsidP="00224102">
            <w:pPr>
              <w:jc w:val="right"/>
              <w:rPr>
                <w:sz w:val="16"/>
                <w:szCs w:val="16"/>
              </w:rPr>
            </w:pPr>
            <w:r w:rsidRPr="00E33C73">
              <w:rPr>
                <w:sz w:val="16"/>
                <w:szCs w:val="16"/>
              </w:rPr>
              <w:t>-</w:t>
            </w:r>
          </w:p>
        </w:tc>
        <w:tc>
          <w:tcPr>
            <w:tcW w:w="1385" w:type="dxa"/>
            <w:vAlign w:val="bottom"/>
          </w:tcPr>
          <w:p w14:paraId="7DD71970" w14:textId="19508D39" w:rsidR="00224102" w:rsidRPr="00E33C73" w:rsidRDefault="00224102" w:rsidP="00224102">
            <w:pPr>
              <w:jc w:val="right"/>
              <w:rPr>
                <w:sz w:val="16"/>
                <w:szCs w:val="16"/>
              </w:rPr>
            </w:pPr>
            <w:r w:rsidRPr="00E33C73">
              <w:rPr>
                <w:sz w:val="16"/>
                <w:szCs w:val="16"/>
              </w:rPr>
              <w:t>-</w:t>
            </w:r>
          </w:p>
        </w:tc>
        <w:tc>
          <w:tcPr>
            <w:tcW w:w="1138" w:type="dxa"/>
            <w:vAlign w:val="bottom"/>
          </w:tcPr>
          <w:p w14:paraId="3FF7E72E" w14:textId="24515802" w:rsidR="00224102" w:rsidRPr="00E33C73" w:rsidRDefault="00224102" w:rsidP="00224102">
            <w:pPr>
              <w:jc w:val="right"/>
              <w:rPr>
                <w:sz w:val="16"/>
                <w:szCs w:val="16"/>
              </w:rPr>
            </w:pPr>
            <w:r w:rsidRPr="00E33C73">
              <w:rPr>
                <w:sz w:val="16"/>
                <w:szCs w:val="16"/>
              </w:rPr>
              <w:t>563</w:t>
            </w:r>
          </w:p>
        </w:tc>
        <w:tc>
          <w:tcPr>
            <w:tcW w:w="1144" w:type="dxa"/>
            <w:vAlign w:val="bottom"/>
          </w:tcPr>
          <w:p w14:paraId="246CB58A" w14:textId="17CEA71E" w:rsidR="00224102" w:rsidRPr="00E33C73" w:rsidRDefault="00224102" w:rsidP="00224102">
            <w:pPr>
              <w:jc w:val="right"/>
              <w:rPr>
                <w:sz w:val="16"/>
                <w:szCs w:val="16"/>
              </w:rPr>
            </w:pPr>
            <w:r w:rsidRPr="00E33C73">
              <w:rPr>
                <w:sz w:val="16"/>
                <w:szCs w:val="16"/>
              </w:rPr>
              <w:t>-</w:t>
            </w:r>
          </w:p>
        </w:tc>
        <w:tc>
          <w:tcPr>
            <w:tcW w:w="1204" w:type="dxa"/>
            <w:vAlign w:val="bottom"/>
          </w:tcPr>
          <w:p w14:paraId="797D4333" w14:textId="584449B4" w:rsidR="00224102" w:rsidRPr="00E33C73" w:rsidRDefault="00224102" w:rsidP="00224102">
            <w:pPr>
              <w:jc w:val="right"/>
              <w:rPr>
                <w:sz w:val="16"/>
                <w:szCs w:val="16"/>
              </w:rPr>
            </w:pPr>
            <w:r w:rsidRPr="00E33C73">
              <w:rPr>
                <w:sz w:val="16"/>
                <w:szCs w:val="16"/>
              </w:rPr>
              <w:t>-</w:t>
            </w:r>
          </w:p>
        </w:tc>
        <w:tc>
          <w:tcPr>
            <w:tcW w:w="1246" w:type="dxa"/>
            <w:vAlign w:val="bottom"/>
          </w:tcPr>
          <w:p w14:paraId="5587F416" w14:textId="10E01B6B" w:rsidR="00224102" w:rsidRPr="00E33C73" w:rsidRDefault="00224102" w:rsidP="00224102">
            <w:pPr>
              <w:jc w:val="right"/>
              <w:rPr>
                <w:sz w:val="16"/>
                <w:szCs w:val="16"/>
              </w:rPr>
            </w:pPr>
            <w:r w:rsidRPr="00E33C73">
              <w:rPr>
                <w:sz w:val="16"/>
                <w:szCs w:val="16"/>
              </w:rPr>
              <w:t>-</w:t>
            </w:r>
          </w:p>
        </w:tc>
        <w:tc>
          <w:tcPr>
            <w:tcW w:w="1193" w:type="dxa"/>
            <w:vAlign w:val="bottom"/>
          </w:tcPr>
          <w:p w14:paraId="5BABD3DF" w14:textId="12D7D5AD" w:rsidR="00224102" w:rsidRPr="00E33C73" w:rsidRDefault="00224102" w:rsidP="00224102">
            <w:pPr>
              <w:jc w:val="right"/>
              <w:rPr>
                <w:sz w:val="16"/>
                <w:szCs w:val="16"/>
              </w:rPr>
            </w:pPr>
            <w:r w:rsidRPr="00E33C73">
              <w:rPr>
                <w:sz w:val="16"/>
                <w:szCs w:val="16"/>
              </w:rPr>
              <w:t>-</w:t>
            </w:r>
          </w:p>
        </w:tc>
        <w:tc>
          <w:tcPr>
            <w:tcW w:w="1340" w:type="dxa"/>
            <w:vAlign w:val="bottom"/>
          </w:tcPr>
          <w:p w14:paraId="69EBF0B8" w14:textId="46028303" w:rsidR="00224102" w:rsidRPr="00E33C73" w:rsidRDefault="00224102" w:rsidP="00224102">
            <w:pPr>
              <w:jc w:val="right"/>
              <w:rPr>
                <w:sz w:val="16"/>
                <w:szCs w:val="16"/>
              </w:rPr>
            </w:pPr>
            <w:r w:rsidRPr="00E33C73">
              <w:rPr>
                <w:sz w:val="16"/>
                <w:szCs w:val="16"/>
              </w:rPr>
              <w:t>-</w:t>
            </w:r>
          </w:p>
        </w:tc>
        <w:tc>
          <w:tcPr>
            <w:tcW w:w="984" w:type="dxa"/>
            <w:vAlign w:val="bottom"/>
          </w:tcPr>
          <w:p w14:paraId="1B7EB377" w14:textId="76594603" w:rsidR="00224102" w:rsidRPr="00E33C73" w:rsidRDefault="00224102" w:rsidP="00224102">
            <w:pPr>
              <w:jc w:val="right"/>
              <w:rPr>
                <w:sz w:val="16"/>
                <w:szCs w:val="16"/>
              </w:rPr>
            </w:pPr>
            <w:r w:rsidRPr="00E33C73">
              <w:rPr>
                <w:sz w:val="16"/>
                <w:szCs w:val="16"/>
              </w:rPr>
              <w:t>-</w:t>
            </w:r>
          </w:p>
        </w:tc>
        <w:tc>
          <w:tcPr>
            <w:tcW w:w="1048" w:type="dxa"/>
            <w:vAlign w:val="bottom"/>
          </w:tcPr>
          <w:p w14:paraId="66B78FEE" w14:textId="7AEFE1B7" w:rsidR="00224102" w:rsidRPr="00E33C73" w:rsidRDefault="00224102" w:rsidP="00224102">
            <w:pPr>
              <w:jc w:val="right"/>
              <w:rPr>
                <w:sz w:val="16"/>
                <w:szCs w:val="16"/>
              </w:rPr>
            </w:pPr>
            <w:r w:rsidRPr="00E33C73">
              <w:rPr>
                <w:sz w:val="16"/>
                <w:szCs w:val="16"/>
              </w:rPr>
              <w:t>563</w:t>
            </w:r>
          </w:p>
        </w:tc>
      </w:tr>
      <w:tr w:rsidR="00224102" w:rsidRPr="00C6031E" w14:paraId="2DAF46C2" w14:textId="77777777" w:rsidTr="00E33C73">
        <w:tc>
          <w:tcPr>
            <w:tcW w:w="2352" w:type="dxa"/>
            <w:vAlign w:val="bottom"/>
          </w:tcPr>
          <w:p w14:paraId="0CEB40AA" w14:textId="77777777" w:rsidR="00224102" w:rsidRPr="00C6031E" w:rsidRDefault="00224102" w:rsidP="00224102">
            <w:pPr>
              <w:pStyle w:val="BodyTextIndent"/>
              <w:widowControl w:val="0"/>
              <w:tabs>
                <w:tab w:val="left" w:pos="1276"/>
              </w:tabs>
              <w:spacing w:after="0"/>
              <w:ind w:left="-66"/>
              <w:rPr>
                <w:sz w:val="15"/>
                <w:szCs w:val="15"/>
              </w:rPr>
            </w:pPr>
            <w:r w:rsidRPr="00C6031E">
              <w:rPr>
                <w:sz w:val="15"/>
                <w:szCs w:val="15"/>
              </w:rPr>
              <w:t>Off-Shore Banking Regions</w:t>
            </w:r>
          </w:p>
        </w:tc>
        <w:tc>
          <w:tcPr>
            <w:tcW w:w="1302" w:type="dxa"/>
            <w:vAlign w:val="bottom"/>
          </w:tcPr>
          <w:p w14:paraId="381C62BF" w14:textId="7892020A" w:rsidR="00224102" w:rsidRPr="00E33C73" w:rsidRDefault="00224102" w:rsidP="00224102">
            <w:pPr>
              <w:jc w:val="right"/>
              <w:rPr>
                <w:sz w:val="16"/>
                <w:szCs w:val="16"/>
              </w:rPr>
            </w:pPr>
            <w:r w:rsidRPr="00E33C73">
              <w:rPr>
                <w:sz w:val="16"/>
                <w:szCs w:val="16"/>
              </w:rPr>
              <w:t>-</w:t>
            </w:r>
          </w:p>
        </w:tc>
        <w:tc>
          <w:tcPr>
            <w:tcW w:w="1385" w:type="dxa"/>
            <w:vAlign w:val="bottom"/>
          </w:tcPr>
          <w:p w14:paraId="3404FA93" w14:textId="071E5E76" w:rsidR="00224102" w:rsidRPr="00E33C73" w:rsidRDefault="00224102" w:rsidP="00224102">
            <w:pPr>
              <w:jc w:val="right"/>
              <w:rPr>
                <w:sz w:val="16"/>
                <w:szCs w:val="16"/>
              </w:rPr>
            </w:pPr>
            <w:r w:rsidRPr="00E33C73">
              <w:rPr>
                <w:sz w:val="16"/>
                <w:szCs w:val="16"/>
              </w:rPr>
              <w:t>-</w:t>
            </w:r>
          </w:p>
        </w:tc>
        <w:tc>
          <w:tcPr>
            <w:tcW w:w="1138" w:type="dxa"/>
            <w:vAlign w:val="bottom"/>
          </w:tcPr>
          <w:p w14:paraId="3E0DB44A" w14:textId="1AED9527" w:rsidR="00224102" w:rsidRPr="00E33C73" w:rsidRDefault="00224102" w:rsidP="00224102">
            <w:pPr>
              <w:jc w:val="right"/>
              <w:rPr>
                <w:sz w:val="16"/>
                <w:szCs w:val="16"/>
              </w:rPr>
            </w:pPr>
            <w:r w:rsidRPr="00E33C73">
              <w:rPr>
                <w:sz w:val="16"/>
                <w:szCs w:val="16"/>
              </w:rPr>
              <w:t>-</w:t>
            </w:r>
          </w:p>
        </w:tc>
        <w:tc>
          <w:tcPr>
            <w:tcW w:w="1144" w:type="dxa"/>
            <w:vAlign w:val="bottom"/>
          </w:tcPr>
          <w:p w14:paraId="2ECA6163" w14:textId="6B36C345" w:rsidR="00224102" w:rsidRPr="00E33C73" w:rsidRDefault="00224102" w:rsidP="00224102">
            <w:pPr>
              <w:jc w:val="right"/>
              <w:rPr>
                <w:sz w:val="16"/>
                <w:szCs w:val="16"/>
              </w:rPr>
            </w:pPr>
            <w:r w:rsidRPr="00E33C73">
              <w:rPr>
                <w:sz w:val="16"/>
                <w:szCs w:val="16"/>
              </w:rPr>
              <w:t>-</w:t>
            </w:r>
          </w:p>
        </w:tc>
        <w:tc>
          <w:tcPr>
            <w:tcW w:w="1204" w:type="dxa"/>
            <w:vAlign w:val="bottom"/>
          </w:tcPr>
          <w:p w14:paraId="2506D906" w14:textId="014F8BF4" w:rsidR="00224102" w:rsidRPr="00E33C73" w:rsidRDefault="00224102" w:rsidP="00224102">
            <w:pPr>
              <w:jc w:val="right"/>
              <w:rPr>
                <w:sz w:val="16"/>
                <w:szCs w:val="16"/>
              </w:rPr>
            </w:pPr>
            <w:r w:rsidRPr="00E33C73">
              <w:rPr>
                <w:sz w:val="16"/>
                <w:szCs w:val="16"/>
              </w:rPr>
              <w:t>-</w:t>
            </w:r>
          </w:p>
        </w:tc>
        <w:tc>
          <w:tcPr>
            <w:tcW w:w="1246" w:type="dxa"/>
            <w:vAlign w:val="bottom"/>
          </w:tcPr>
          <w:p w14:paraId="12C08EA7" w14:textId="434A3A40" w:rsidR="00224102" w:rsidRPr="00E33C73" w:rsidRDefault="00224102" w:rsidP="00224102">
            <w:pPr>
              <w:jc w:val="right"/>
              <w:rPr>
                <w:sz w:val="16"/>
                <w:szCs w:val="16"/>
              </w:rPr>
            </w:pPr>
            <w:r w:rsidRPr="00E33C73">
              <w:rPr>
                <w:sz w:val="16"/>
                <w:szCs w:val="16"/>
              </w:rPr>
              <w:t>-</w:t>
            </w:r>
          </w:p>
        </w:tc>
        <w:tc>
          <w:tcPr>
            <w:tcW w:w="1193" w:type="dxa"/>
            <w:vAlign w:val="bottom"/>
          </w:tcPr>
          <w:p w14:paraId="002D5D7C" w14:textId="305E8C49" w:rsidR="00224102" w:rsidRPr="00E33C73" w:rsidRDefault="00224102" w:rsidP="00224102">
            <w:pPr>
              <w:jc w:val="right"/>
              <w:rPr>
                <w:sz w:val="16"/>
                <w:szCs w:val="16"/>
              </w:rPr>
            </w:pPr>
            <w:r w:rsidRPr="00E33C73">
              <w:rPr>
                <w:sz w:val="16"/>
                <w:szCs w:val="16"/>
              </w:rPr>
              <w:t>-</w:t>
            </w:r>
          </w:p>
        </w:tc>
        <w:tc>
          <w:tcPr>
            <w:tcW w:w="1340" w:type="dxa"/>
            <w:vAlign w:val="bottom"/>
          </w:tcPr>
          <w:p w14:paraId="67681617" w14:textId="34D77A2A" w:rsidR="00224102" w:rsidRPr="00E33C73" w:rsidRDefault="00224102" w:rsidP="00224102">
            <w:pPr>
              <w:jc w:val="right"/>
              <w:rPr>
                <w:sz w:val="16"/>
                <w:szCs w:val="16"/>
              </w:rPr>
            </w:pPr>
            <w:r w:rsidRPr="00E33C73">
              <w:rPr>
                <w:sz w:val="16"/>
                <w:szCs w:val="16"/>
              </w:rPr>
              <w:t>-</w:t>
            </w:r>
          </w:p>
        </w:tc>
        <w:tc>
          <w:tcPr>
            <w:tcW w:w="984" w:type="dxa"/>
            <w:vAlign w:val="bottom"/>
          </w:tcPr>
          <w:p w14:paraId="1F246B77" w14:textId="61BB00A1" w:rsidR="00224102" w:rsidRPr="00E33C73" w:rsidRDefault="00224102" w:rsidP="00224102">
            <w:pPr>
              <w:jc w:val="right"/>
              <w:rPr>
                <w:sz w:val="16"/>
                <w:szCs w:val="16"/>
              </w:rPr>
            </w:pPr>
            <w:r w:rsidRPr="00E33C73">
              <w:rPr>
                <w:sz w:val="16"/>
                <w:szCs w:val="16"/>
              </w:rPr>
              <w:t>-</w:t>
            </w:r>
          </w:p>
        </w:tc>
        <w:tc>
          <w:tcPr>
            <w:tcW w:w="1048" w:type="dxa"/>
            <w:vAlign w:val="bottom"/>
          </w:tcPr>
          <w:p w14:paraId="533B86CD" w14:textId="43C70887" w:rsidR="00224102" w:rsidRPr="00E33C73" w:rsidRDefault="00224102" w:rsidP="00224102">
            <w:pPr>
              <w:jc w:val="right"/>
              <w:rPr>
                <w:sz w:val="16"/>
                <w:szCs w:val="16"/>
              </w:rPr>
            </w:pPr>
            <w:r w:rsidRPr="00E33C73">
              <w:rPr>
                <w:sz w:val="16"/>
                <w:szCs w:val="16"/>
              </w:rPr>
              <w:t>-</w:t>
            </w:r>
          </w:p>
        </w:tc>
      </w:tr>
      <w:tr w:rsidR="00224102" w:rsidRPr="00C6031E" w14:paraId="12A610B6" w14:textId="77777777" w:rsidTr="00E33C73">
        <w:tc>
          <w:tcPr>
            <w:tcW w:w="2352" w:type="dxa"/>
            <w:vAlign w:val="bottom"/>
          </w:tcPr>
          <w:p w14:paraId="383A439D" w14:textId="77777777" w:rsidR="00224102" w:rsidRPr="00C6031E" w:rsidRDefault="00224102" w:rsidP="00224102">
            <w:pPr>
              <w:pStyle w:val="BodyTextIndent"/>
              <w:widowControl w:val="0"/>
              <w:tabs>
                <w:tab w:val="left" w:pos="1276"/>
              </w:tabs>
              <w:spacing w:after="0"/>
              <w:ind w:left="-66"/>
              <w:rPr>
                <w:sz w:val="15"/>
                <w:szCs w:val="15"/>
              </w:rPr>
            </w:pPr>
            <w:r w:rsidRPr="00C6031E">
              <w:rPr>
                <w:sz w:val="15"/>
                <w:szCs w:val="15"/>
              </w:rPr>
              <w:t>USA, Canada</w:t>
            </w:r>
          </w:p>
        </w:tc>
        <w:tc>
          <w:tcPr>
            <w:tcW w:w="1302" w:type="dxa"/>
            <w:vAlign w:val="bottom"/>
          </w:tcPr>
          <w:p w14:paraId="2E40AE49" w14:textId="7DD70D1A" w:rsidR="00224102" w:rsidRPr="00E33C73" w:rsidRDefault="00224102" w:rsidP="00224102">
            <w:pPr>
              <w:jc w:val="right"/>
              <w:rPr>
                <w:sz w:val="16"/>
                <w:szCs w:val="16"/>
              </w:rPr>
            </w:pPr>
            <w:r w:rsidRPr="00E33C73">
              <w:rPr>
                <w:sz w:val="16"/>
                <w:szCs w:val="16"/>
              </w:rPr>
              <w:t>-</w:t>
            </w:r>
          </w:p>
        </w:tc>
        <w:tc>
          <w:tcPr>
            <w:tcW w:w="1385" w:type="dxa"/>
            <w:vAlign w:val="bottom"/>
          </w:tcPr>
          <w:p w14:paraId="026AEE9B" w14:textId="342CC0EB" w:rsidR="00224102" w:rsidRPr="00E33C73" w:rsidRDefault="00224102" w:rsidP="00224102">
            <w:pPr>
              <w:jc w:val="right"/>
              <w:rPr>
                <w:sz w:val="16"/>
                <w:szCs w:val="16"/>
              </w:rPr>
            </w:pPr>
            <w:r w:rsidRPr="00E33C73">
              <w:rPr>
                <w:sz w:val="16"/>
                <w:szCs w:val="16"/>
              </w:rPr>
              <w:t>-</w:t>
            </w:r>
          </w:p>
        </w:tc>
        <w:tc>
          <w:tcPr>
            <w:tcW w:w="1138" w:type="dxa"/>
            <w:vAlign w:val="bottom"/>
          </w:tcPr>
          <w:p w14:paraId="5B5059BE" w14:textId="5F9D6EA8" w:rsidR="00224102" w:rsidRPr="00E33C73" w:rsidRDefault="00224102" w:rsidP="00224102">
            <w:pPr>
              <w:jc w:val="right"/>
              <w:rPr>
                <w:sz w:val="16"/>
                <w:szCs w:val="16"/>
              </w:rPr>
            </w:pPr>
            <w:r w:rsidRPr="00E33C73">
              <w:rPr>
                <w:sz w:val="16"/>
                <w:szCs w:val="16"/>
              </w:rPr>
              <w:t>114,236</w:t>
            </w:r>
          </w:p>
        </w:tc>
        <w:tc>
          <w:tcPr>
            <w:tcW w:w="1144" w:type="dxa"/>
            <w:vAlign w:val="bottom"/>
          </w:tcPr>
          <w:p w14:paraId="348FB906" w14:textId="7F70FD9D" w:rsidR="00224102" w:rsidRPr="00E33C73" w:rsidRDefault="00224102" w:rsidP="00224102">
            <w:pPr>
              <w:jc w:val="right"/>
              <w:rPr>
                <w:sz w:val="16"/>
                <w:szCs w:val="16"/>
              </w:rPr>
            </w:pPr>
            <w:r w:rsidRPr="00E33C73">
              <w:rPr>
                <w:sz w:val="16"/>
                <w:szCs w:val="16"/>
              </w:rPr>
              <w:t>-</w:t>
            </w:r>
          </w:p>
        </w:tc>
        <w:tc>
          <w:tcPr>
            <w:tcW w:w="1204" w:type="dxa"/>
            <w:vAlign w:val="bottom"/>
          </w:tcPr>
          <w:p w14:paraId="08B9F459" w14:textId="2223B7A1" w:rsidR="00224102" w:rsidRPr="00E33C73" w:rsidRDefault="00224102" w:rsidP="00224102">
            <w:pPr>
              <w:jc w:val="right"/>
              <w:rPr>
                <w:sz w:val="16"/>
                <w:szCs w:val="16"/>
              </w:rPr>
            </w:pPr>
            <w:r w:rsidRPr="00E33C73">
              <w:rPr>
                <w:sz w:val="16"/>
                <w:szCs w:val="16"/>
              </w:rPr>
              <w:t>10</w:t>
            </w:r>
          </w:p>
        </w:tc>
        <w:tc>
          <w:tcPr>
            <w:tcW w:w="1246" w:type="dxa"/>
            <w:vAlign w:val="bottom"/>
          </w:tcPr>
          <w:p w14:paraId="60DFB3A7" w14:textId="267FAF15" w:rsidR="00224102" w:rsidRPr="00E33C73" w:rsidRDefault="00224102" w:rsidP="00224102">
            <w:pPr>
              <w:jc w:val="right"/>
              <w:rPr>
                <w:sz w:val="16"/>
                <w:szCs w:val="16"/>
              </w:rPr>
            </w:pPr>
            <w:r w:rsidRPr="00E33C73">
              <w:rPr>
                <w:sz w:val="16"/>
                <w:szCs w:val="16"/>
              </w:rPr>
              <w:t>-</w:t>
            </w:r>
          </w:p>
        </w:tc>
        <w:tc>
          <w:tcPr>
            <w:tcW w:w="1193" w:type="dxa"/>
            <w:vAlign w:val="bottom"/>
          </w:tcPr>
          <w:p w14:paraId="00FBE5CA" w14:textId="5C255AD4" w:rsidR="00224102" w:rsidRPr="00E33C73" w:rsidRDefault="00224102" w:rsidP="00224102">
            <w:pPr>
              <w:jc w:val="right"/>
              <w:rPr>
                <w:sz w:val="16"/>
                <w:szCs w:val="16"/>
              </w:rPr>
            </w:pPr>
            <w:r w:rsidRPr="00E33C73">
              <w:rPr>
                <w:sz w:val="16"/>
                <w:szCs w:val="16"/>
              </w:rPr>
              <w:t>-</w:t>
            </w:r>
          </w:p>
        </w:tc>
        <w:tc>
          <w:tcPr>
            <w:tcW w:w="1340" w:type="dxa"/>
            <w:vAlign w:val="bottom"/>
          </w:tcPr>
          <w:p w14:paraId="5AAB1ADF" w14:textId="2FA7B02F" w:rsidR="00224102" w:rsidRPr="00E33C73" w:rsidRDefault="00224102" w:rsidP="00224102">
            <w:pPr>
              <w:jc w:val="right"/>
              <w:rPr>
                <w:sz w:val="16"/>
                <w:szCs w:val="16"/>
              </w:rPr>
            </w:pPr>
            <w:r w:rsidRPr="00E33C73">
              <w:rPr>
                <w:sz w:val="16"/>
                <w:szCs w:val="16"/>
              </w:rPr>
              <w:t>-</w:t>
            </w:r>
          </w:p>
        </w:tc>
        <w:tc>
          <w:tcPr>
            <w:tcW w:w="984" w:type="dxa"/>
            <w:vAlign w:val="bottom"/>
          </w:tcPr>
          <w:p w14:paraId="7132C875" w14:textId="6C25CED3" w:rsidR="00224102" w:rsidRPr="00E33C73" w:rsidRDefault="00224102" w:rsidP="00224102">
            <w:pPr>
              <w:jc w:val="right"/>
              <w:rPr>
                <w:sz w:val="16"/>
                <w:szCs w:val="16"/>
              </w:rPr>
            </w:pPr>
            <w:r w:rsidRPr="00E33C73">
              <w:rPr>
                <w:sz w:val="16"/>
                <w:szCs w:val="16"/>
              </w:rPr>
              <w:t>-</w:t>
            </w:r>
          </w:p>
        </w:tc>
        <w:tc>
          <w:tcPr>
            <w:tcW w:w="1048" w:type="dxa"/>
            <w:vAlign w:val="bottom"/>
          </w:tcPr>
          <w:p w14:paraId="444127F1" w14:textId="1D34778C" w:rsidR="00224102" w:rsidRPr="00E33C73" w:rsidRDefault="00224102" w:rsidP="00224102">
            <w:pPr>
              <w:jc w:val="right"/>
              <w:rPr>
                <w:sz w:val="16"/>
                <w:szCs w:val="16"/>
              </w:rPr>
            </w:pPr>
            <w:r w:rsidRPr="00E33C73">
              <w:rPr>
                <w:sz w:val="16"/>
                <w:szCs w:val="16"/>
              </w:rPr>
              <w:t>114,246</w:t>
            </w:r>
          </w:p>
        </w:tc>
      </w:tr>
      <w:tr w:rsidR="00224102" w:rsidRPr="00C6031E" w14:paraId="57F6C542" w14:textId="77777777" w:rsidTr="00E33C73">
        <w:tc>
          <w:tcPr>
            <w:tcW w:w="2352" w:type="dxa"/>
            <w:vAlign w:val="bottom"/>
          </w:tcPr>
          <w:p w14:paraId="07DBC686" w14:textId="77777777" w:rsidR="00224102" w:rsidRPr="00C6031E" w:rsidRDefault="00224102" w:rsidP="00224102">
            <w:pPr>
              <w:pStyle w:val="BodyTextIndent"/>
              <w:widowControl w:val="0"/>
              <w:tabs>
                <w:tab w:val="left" w:pos="1276"/>
              </w:tabs>
              <w:spacing w:after="0"/>
              <w:ind w:left="-66"/>
              <w:rPr>
                <w:sz w:val="15"/>
                <w:szCs w:val="15"/>
              </w:rPr>
            </w:pPr>
            <w:r w:rsidRPr="00C6031E">
              <w:rPr>
                <w:sz w:val="15"/>
                <w:szCs w:val="15"/>
              </w:rPr>
              <w:t>Other Countries</w:t>
            </w:r>
          </w:p>
        </w:tc>
        <w:tc>
          <w:tcPr>
            <w:tcW w:w="1302" w:type="dxa"/>
            <w:vAlign w:val="bottom"/>
          </w:tcPr>
          <w:p w14:paraId="155BC332" w14:textId="6DB151D0" w:rsidR="00224102" w:rsidRPr="00E33C73" w:rsidRDefault="00224102" w:rsidP="00224102">
            <w:pPr>
              <w:jc w:val="right"/>
              <w:rPr>
                <w:sz w:val="16"/>
                <w:szCs w:val="16"/>
              </w:rPr>
            </w:pPr>
            <w:r w:rsidRPr="00E33C73">
              <w:rPr>
                <w:sz w:val="16"/>
                <w:szCs w:val="16"/>
              </w:rPr>
              <w:t>-</w:t>
            </w:r>
          </w:p>
        </w:tc>
        <w:tc>
          <w:tcPr>
            <w:tcW w:w="1385" w:type="dxa"/>
            <w:vAlign w:val="bottom"/>
          </w:tcPr>
          <w:p w14:paraId="7C5C17B2" w14:textId="7DCA84F9" w:rsidR="00224102" w:rsidRPr="00E33C73" w:rsidRDefault="00224102" w:rsidP="00224102">
            <w:pPr>
              <w:jc w:val="right"/>
              <w:rPr>
                <w:sz w:val="16"/>
                <w:szCs w:val="16"/>
              </w:rPr>
            </w:pPr>
            <w:r w:rsidRPr="00E33C73">
              <w:rPr>
                <w:sz w:val="16"/>
                <w:szCs w:val="16"/>
              </w:rPr>
              <w:t>-</w:t>
            </w:r>
          </w:p>
        </w:tc>
        <w:tc>
          <w:tcPr>
            <w:tcW w:w="1138" w:type="dxa"/>
            <w:vAlign w:val="bottom"/>
          </w:tcPr>
          <w:p w14:paraId="74061341" w14:textId="382774B1" w:rsidR="00224102" w:rsidRPr="00E33C73" w:rsidRDefault="00224102" w:rsidP="00224102">
            <w:pPr>
              <w:jc w:val="right"/>
              <w:rPr>
                <w:sz w:val="16"/>
                <w:szCs w:val="16"/>
              </w:rPr>
            </w:pPr>
            <w:r w:rsidRPr="00E33C73">
              <w:rPr>
                <w:sz w:val="16"/>
                <w:szCs w:val="16"/>
              </w:rPr>
              <w:t>567,198</w:t>
            </w:r>
          </w:p>
        </w:tc>
        <w:tc>
          <w:tcPr>
            <w:tcW w:w="1144" w:type="dxa"/>
            <w:vAlign w:val="bottom"/>
          </w:tcPr>
          <w:p w14:paraId="281D8DBD" w14:textId="11E565C8" w:rsidR="00224102" w:rsidRPr="00E33C73" w:rsidRDefault="00224102" w:rsidP="00224102">
            <w:pPr>
              <w:jc w:val="right"/>
              <w:rPr>
                <w:sz w:val="16"/>
                <w:szCs w:val="16"/>
              </w:rPr>
            </w:pPr>
            <w:r w:rsidRPr="00E33C73">
              <w:rPr>
                <w:sz w:val="16"/>
                <w:szCs w:val="16"/>
              </w:rPr>
              <w:t>38,640</w:t>
            </w:r>
          </w:p>
        </w:tc>
        <w:tc>
          <w:tcPr>
            <w:tcW w:w="1204" w:type="dxa"/>
            <w:vAlign w:val="bottom"/>
          </w:tcPr>
          <w:p w14:paraId="10D35F82" w14:textId="154E75EE" w:rsidR="00224102" w:rsidRPr="00E33C73" w:rsidRDefault="00224102" w:rsidP="00224102">
            <w:pPr>
              <w:jc w:val="right"/>
              <w:rPr>
                <w:sz w:val="16"/>
                <w:szCs w:val="16"/>
              </w:rPr>
            </w:pPr>
            <w:r w:rsidRPr="00E33C73">
              <w:rPr>
                <w:sz w:val="16"/>
                <w:szCs w:val="16"/>
              </w:rPr>
              <w:t>158</w:t>
            </w:r>
          </w:p>
        </w:tc>
        <w:tc>
          <w:tcPr>
            <w:tcW w:w="1246" w:type="dxa"/>
            <w:vAlign w:val="bottom"/>
          </w:tcPr>
          <w:p w14:paraId="1803BB85" w14:textId="1A801AE4" w:rsidR="00224102" w:rsidRPr="00E33C73" w:rsidRDefault="00224102" w:rsidP="00224102">
            <w:pPr>
              <w:jc w:val="right"/>
              <w:rPr>
                <w:sz w:val="16"/>
                <w:szCs w:val="16"/>
              </w:rPr>
            </w:pPr>
            <w:r w:rsidRPr="00E33C73">
              <w:rPr>
                <w:sz w:val="16"/>
                <w:szCs w:val="16"/>
              </w:rPr>
              <w:t>-</w:t>
            </w:r>
          </w:p>
        </w:tc>
        <w:tc>
          <w:tcPr>
            <w:tcW w:w="1193" w:type="dxa"/>
            <w:vAlign w:val="bottom"/>
          </w:tcPr>
          <w:p w14:paraId="623DA71E" w14:textId="37BCD34D" w:rsidR="00224102" w:rsidRPr="00E33C73" w:rsidRDefault="00224102" w:rsidP="00224102">
            <w:pPr>
              <w:jc w:val="right"/>
              <w:rPr>
                <w:sz w:val="16"/>
                <w:szCs w:val="16"/>
              </w:rPr>
            </w:pPr>
            <w:r w:rsidRPr="00E33C73">
              <w:rPr>
                <w:sz w:val="16"/>
                <w:szCs w:val="16"/>
              </w:rPr>
              <w:t>-</w:t>
            </w:r>
          </w:p>
        </w:tc>
        <w:tc>
          <w:tcPr>
            <w:tcW w:w="1340" w:type="dxa"/>
            <w:vAlign w:val="bottom"/>
          </w:tcPr>
          <w:p w14:paraId="724126E0" w14:textId="2A1E9B19" w:rsidR="00224102" w:rsidRPr="00E33C73" w:rsidRDefault="00224102" w:rsidP="00224102">
            <w:pPr>
              <w:jc w:val="right"/>
              <w:rPr>
                <w:sz w:val="16"/>
                <w:szCs w:val="16"/>
              </w:rPr>
            </w:pPr>
            <w:r w:rsidRPr="00E33C73">
              <w:rPr>
                <w:sz w:val="16"/>
                <w:szCs w:val="16"/>
              </w:rPr>
              <w:t>-</w:t>
            </w:r>
          </w:p>
        </w:tc>
        <w:tc>
          <w:tcPr>
            <w:tcW w:w="984" w:type="dxa"/>
            <w:vAlign w:val="bottom"/>
          </w:tcPr>
          <w:p w14:paraId="487D5EAE" w14:textId="33A8F827" w:rsidR="00224102" w:rsidRPr="00E33C73" w:rsidRDefault="00224102" w:rsidP="00224102">
            <w:pPr>
              <w:jc w:val="right"/>
              <w:rPr>
                <w:sz w:val="16"/>
                <w:szCs w:val="16"/>
              </w:rPr>
            </w:pPr>
            <w:r w:rsidRPr="00E33C73">
              <w:rPr>
                <w:sz w:val="16"/>
                <w:szCs w:val="16"/>
              </w:rPr>
              <w:t>-</w:t>
            </w:r>
          </w:p>
        </w:tc>
        <w:tc>
          <w:tcPr>
            <w:tcW w:w="1048" w:type="dxa"/>
            <w:vAlign w:val="bottom"/>
          </w:tcPr>
          <w:p w14:paraId="0CA60411" w14:textId="0C461494" w:rsidR="00224102" w:rsidRPr="00E33C73" w:rsidRDefault="00224102" w:rsidP="00224102">
            <w:pPr>
              <w:jc w:val="right"/>
              <w:rPr>
                <w:sz w:val="16"/>
                <w:szCs w:val="16"/>
              </w:rPr>
            </w:pPr>
            <w:r w:rsidRPr="00E33C73">
              <w:rPr>
                <w:sz w:val="16"/>
                <w:szCs w:val="16"/>
              </w:rPr>
              <w:t>605,996</w:t>
            </w:r>
          </w:p>
        </w:tc>
      </w:tr>
      <w:tr w:rsidR="00224102" w:rsidRPr="00C6031E" w14:paraId="4DA0733A" w14:textId="77777777" w:rsidTr="00E33C73">
        <w:tc>
          <w:tcPr>
            <w:tcW w:w="2352" w:type="dxa"/>
            <w:vAlign w:val="bottom"/>
          </w:tcPr>
          <w:p w14:paraId="30FA60F3" w14:textId="77777777" w:rsidR="00224102" w:rsidRPr="00C6031E" w:rsidRDefault="00224102" w:rsidP="00224102">
            <w:pPr>
              <w:pStyle w:val="BodyTextIndent"/>
              <w:widowControl w:val="0"/>
              <w:tabs>
                <w:tab w:val="left" w:pos="1276"/>
              </w:tabs>
              <w:spacing w:after="0"/>
              <w:ind w:left="-66"/>
              <w:rPr>
                <w:sz w:val="15"/>
                <w:szCs w:val="15"/>
              </w:rPr>
            </w:pPr>
            <w:r w:rsidRPr="00C6031E">
              <w:rPr>
                <w:sz w:val="15"/>
                <w:szCs w:val="15"/>
              </w:rPr>
              <w:t>Associates, Subsidiaries and Joint –Ventures</w:t>
            </w:r>
          </w:p>
        </w:tc>
        <w:tc>
          <w:tcPr>
            <w:tcW w:w="1302" w:type="dxa"/>
            <w:vAlign w:val="bottom"/>
          </w:tcPr>
          <w:p w14:paraId="10661A4E" w14:textId="6E819DBF" w:rsidR="00224102" w:rsidRPr="00E33C73" w:rsidRDefault="00224102" w:rsidP="00224102">
            <w:pPr>
              <w:jc w:val="right"/>
              <w:rPr>
                <w:sz w:val="16"/>
                <w:szCs w:val="16"/>
              </w:rPr>
            </w:pPr>
            <w:r w:rsidRPr="00E33C73">
              <w:rPr>
                <w:sz w:val="16"/>
                <w:szCs w:val="16"/>
              </w:rPr>
              <w:t>-</w:t>
            </w:r>
          </w:p>
        </w:tc>
        <w:tc>
          <w:tcPr>
            <w:tcW w:w="1385" w:type="dxa"/>
            <w:vAlign w:val="bottom"/>
          </w:tcPr>
          <w:p w14:paraId="380BD583" w14:textId="3D0E0BAC" w:rsidR="00224102" w:rsidRPr="00E33C73" w:rsidRDefault="00224102" w:rsidP="00224102">
            <w:pPr>
              <w:jc w:val="right"/>
              <w:rPr>
                <w:sz w:val="16"/>
                <w:szCs w:val="16"/>
              </w:rPr>
            </w:pPr>
            <w:r w:rsidRPr="00E33C73">
              <w:rPr>
                <w:sz w:val="16"/>
                <w:szCs w:val="16"/>
              </w:rPr>
              <w:t>-</w:t>
            </w:r>
          </w:p>
        </w:tc>
        <w:tc>
          <w:tcPr>
            <w:tcW w:w="1138" w:type="dxa"/>
            <w:vAlign w:val="bottom"/>
          </w:tcPr>
          <w:p w14:paraId="390ADEC1" w14:textId="390C6D8C" w:rsidR="00224102" w:rsidRPr="00E33C73" w:rsidRDefault="00224102" w:rsidP="00224102">
            <w:pPr>
              <w:jc w:val="right"/>
              <w:rPr>
                <w:sz w:val="16"/>
                <w:szCs w:val="16"/>
              </w:rPr>
            </w:pPr>
            <w:r w:rsidRPr="00E33C73">
              <w:rPr>
                <w:sz w:val="16"/>
                <w:szCs w:val="16"/>
              </w:rPr>
              <w:t>-</w:t>
            </w:r>
          </w:p>
        </w:tc>
        <w:tc>
          <w:tcPr>
            <w:tcW w:w="1144" w:type="dxa"/>
            <w:vAlign w:val="bottom"/>
          </w:tcPr>
          <w:p w14:paraId="7110559F" w14:textId="442494B8" w:rsidR="00224102" w:rsidRPr="00E33C73" w:rsidRDefault="00224102" w:rsidP="00224102">
            <w:pPr>
              <w:jc w:val="right"/>
              <w:rPr>
                <w:sz w:val="16"/>
                <w:szCs w:val="16"/>
              </w:rPr>
            </w:pPr>
            <w:r w:rsidRPr="00E33C73">
              <w:rPr>
                <w:sz w:val="16"/>
                <w:szCs w:val="16"/>
              </w:rPr>
              <w:t>-</w:t>
            </w:r>
          </w:p>
        </w:tc>
        <w:tc>
          <w:tcPr>
            <w:tcW w:w="1204" w:type="dxa"/>
            <w:vAlign w:val="bottom"/>
          </w:tcPr>
          <w:p w14:paraId="1AB1A7DB" w14:textId="677B7400" w:rsidR="00224102" w:rsidRPr="00E33C73" w:rsidRDefault="00224102" w:rsidP="00224102">
            <w:pPr>
              <w:jc w:val="right"/>
              <w:rPr>
                <w:sz w:val="16"/>
                <w:szCs w:val="16"/>
              </w:rPr>
            </w:pPr>
            <w:r w:rsidRPr="00E33C73">
              <w:rPr>
                <w:sz w:val="16"/>
                <w:szCs w:val="16"/>
              </w:rPr>
              <w:t>-</w:t>
            </w:r>
          </w:p>
        </w:tc>
        <w:tc>
          <w:tcPr>
            <w:tcW w:w="1246" w:type="dxa"/>
            <w:vAlign w:val="bottom"/>
          </w:tcPr>
          <w:p w14:paraId="2C813009" w14:textId="4D37725F" w:rsidR="00224102" w:rsidRPr="00E33C73" w:rsidRDefault="00224102" w:rsidP="00224102">
            <w:pPr>
              <w:jc w:val="right"/>
              <w:rPr>
                <w:sz w:val="16"/>
                <w:szCs w:val="16"/>
              </w:rPr>
            </w:pPr>
            <w:r w:rsidRPr="00E33C73">
              <w:rPr>
                <w:sz w:val="16"/>
                <w:szCs w:val="16"/>
              </w:rPr>
              <w:t>-</w:t>
            </w:r>
          </w:p>
        </w:tc>
        <w:tc>
          <w:tcPr>
            <w:tcW w:w="1193" w:type="dxa"/>
            <w:vAlign w:val="bottom"/>
          </w:tcPr>
          <w:p w14:paraId="731C9AF0" w14:textId="19BC2DC8" w:rsidR="00224102" w:rsidRPr="00E33C73" w:rsidRDefault="00224102" w:rsidP="00224102">
            <w:pPr>
              <w:jc w:val="right"/>
              <w:rPr>
                <w:sz w:val="16"/>
                <w:szCs w:val="16"/>
              </w:rPr>
            </w:pPr>
            <w:r w:rsidRPr="00E33C73">
              <w:rPr>
                <w:sz w:val="16"/>
                <w:szCs w:val="16"/>
              </w:rPr>
              <w:t>-</w:t>
            </w:r>
          </w:p>
        </w:tc>
        <w:tc>
          <w:tcPr>
            <w:tcW w:w="1340" w:type="dxa"/>
            <w:vAlign w:val="bottom"/>
          </w:tcPr>
          <w:p w14:paraId="2B70E8F1" w14:textId="039A0076" w:rsidR="00224102" w:rsidRPr="00E33C73" w:rsidRDefault="00224102" w:rsidP="00224102">
            <w:pPr>
              <w:jc w:val="right"/>
              <w:rPr>
                <w:sz w:val="16"/>
                <w:szCs w:val="16"/>
              </w:rPr>
            </w:pPr>
            <w:r w:rsidRPr="00E33C73">
              <w:rPr>
                <w:sz w:val="16"/>
                <w:szCs w:val="16"/>
              </w:rPr>
              <w:t>-</w:t>
            </w:r>
          </w:p>
        </w:tc>
        <w:tc>
          <w:tcPr>
            <w:tcW w:w="984" w:type="dxa"/>
            <w:vAlign w:val="bottom"/>
          </w:tcPr>
          <w:p w14:paraId="25A533DA" w14:textId="7AB9BCBF" w:rsidR="00224102" w:rsidRPr="00E33C73" w:rsidRDefault="00224102" w:rsidP="00224102">
            <w:pPr>
              <w:jc w:val="right"/>
              <w:rPr>
                <w:sz w:val="16"/>
                <w:szCs w:val="16"/>
              </w:rPr>
            </w:pPr>
            <w:r w:rsidRPr="00E33C73">
              <w:rPr>
                <w:sz w:val="16"/>
                <w:szCs w:val="16"/>
              </w:rPr>
              <w:t>-</w:t>
            </w:r>
          </w:p>
        </w:tc>
        <w:tc>
          <w:tcPr>
            <w:tcW w:w="1048" w:type="dxa"/>
            <w:vAlign w:val="bottom"/>
          </w:tcPr>
          <w:p w14:paraId="4DC304EA" w14:textId="638BB37C" w:rsidR="00224102" w:rsidRPr="00E33C73" w:rsidRDefault="00224102" w:rsidP="00224102">
            <w:pPr>
              <w:jc w:val="right"/>
              <w:rPr>
                <w:sz w:val="16"/>
                <w:szCs w:val="16"/>
              </w:rPr>
            </w:pPr>
            <w:r w:rsidRPr="00E33C73">
              <w:rPr>
                <w:sz w:val="16"/>
                <w:szCs w:val="16"/>
              </w:rPr>
              <w:t>-</w:t>
            </w:r>
          </w:p>
        </w:tc>
      </w:tr>
      <w:tr w:rsidR="00224102" w:rsidRPr="00C6031E" w14:paraId="6E5ECA2B" w14:textId="77777777" w:rsidTr="00E33C73">
        <w:tc>
          <w:tcPr>
            <w:tcW w:w="2352" w:type="dxa"/>
            <w:vAlign w:val="bottom"/>
          </w:tcPr>
          <w:p w14:paraId="1F715954" w14:textId="3A163B1B" w:rsidR="00224102" w:rsidRPr="00C6031E" w:rsidRDefault="00224102" w:rsidP="00224102">
            <w:pPr>
              <w:widowControl w:val="0"/>
              <w:ind w:left="-66"/>
              <w:rPr>
                <w:sz w:val="15"/>
                <w:szCs w:val="15"/>
              </w:rPr>
            </w:pPr>
            <w:r w:rsidRPr="00C6031E">
              <w:rPr>
                <w:sz w:val="15"/>
                <w:szCs w:val="15"/>
              </w:rPr>
              <w:t>Unallocated Assets</w:t>
            </w:r>
            <w:r>
              <w:rPr>
                <w:sz w:val="15"/>
                <w:szCs w:val="15"/>
              </w:rPr>
              <w:t xml:space="preserve"> </w:t>
            </w:r>
            <w:r w:rsidRPr="00C6031E">
              <w:rPr>
                <w:sz w:val="15"/>
                <w:szCs w:val="15"/>
              </w:rPr>
              <w:t>Liabilities</w:t>
            </w:r>
            <w:r w:rsidR="008D6FDE">
              <w:rPr>
                <w:sz w:val="15"/>
                <w:szCs w:val="15"/>
              </w:rPr>
              <w:t xml:space="preserve"> </w:t>
            </w:r>
            <w:r w:rsidRPr="00C6031E">
              <w:rPr>
                <w:sz w:val="15"/>
                <w:szCs w:val="15"/>
              </w:rPr>
              <w:t>(***)</w:t>
            </w:r>
          </w:p>
        </w:tc>
        <w:tc>
          <w:tcPr>
            <w:tcW w:w="1302" w:type="dxa"/>
            <w:vAlign w:val="bottom"/>
          </w:tcPr>
          <w:p w14:paraId="5A7CBC83" w14:textId="7A932250" w:rsidR="00224102" w:rsidRPr="00E33C73" w:rsidRDefault="00224102" w:rsidP="00224102">
            <w:pPr>
              <w:jc w:val="right"/>
              <w:rPr>
                <w:sz w:val="16"/>
                <w:szCs w:val="16"/>
              </w:rPr>
            </w:pPr>
            <w:r w:rsidRPr="00E33C73">
              <w:rPr>
                <w:sz w:val="16"/>
                <w:szCs w:val="16"/>
              </w:rPr>
              <w:t>-</w:t>
            </w:r>
          </w:p>
        </w:tc>
        <w:tc>
          <w:tcPr>
            <w:tcW w:w="1385" w:type="dxa"/>
            <w:vAlign w:val="bottom"/>
          </w:tcPr>
          <w:p w14:paraId="7E58D4FD" w14:textId="62955D37" w:rsidR="00224102" w:rsidRPr="00E33C73" w:rsidRDefault="00224102" w:rsidP="00224102">
            <w:pPr>
              <w:jc w:val="right"/>
              <w:rPr>
                <w:sz w:val="16"/>
                <w:szCs w:val="16"/>
              </w:rPr>
            </w:pPr>
            <w:r w:rsidRPr="00E33C73">
              <w:rPr>
                <w:sz w:val="16"/>
                <w:szCs w:val="16"/>
              </w:rPr>
              <w:t>-</w:t>
            </w:r>
          </w:p>
        </w:tc>
        <w:tc>
          <w:tcPr>
            <w:tcW w:w="1138" w:type="dxa"/>
            <w:vAlign w:val="bottom"/>
          </w:tcPr>
          <w:p w14:paraId="30EFE13A" w14:textId="27F17321" w:rsidR="00224102" w:rsidRPr="00E33C73" w:rsidRDefault="00224102" w:rsidP="00224102">
            <w:pPr>
              <w:jc w:val="right"/>
              <w:rPr>
                <w:sz w:val="16"/>
                <w:szCs w:val="16"/>
              </w:rPr>
            </w:pPr>
            <w:r w:rsidRPr="00E33C73">
              <w:rPr>
                <w:sz w:val="16"/>
                <w:szCs w:val="16"/>
              </w:rPr>
              <w:t>-</w:t>
            </w:r>
          </w:p>
        </w:tc>
        <w:tc>
          <w:tcPr>
            <w:tcW w:w="1144" w:type="dxa"/>
            <w:vAlign w:val="bottom"/>
          </w:tcPr>
          <w:p w14:paraId="7DA03686" w14:textId="7D0985AC" w:rsidR="00224102" w:rsidRPr="00E33C73" w:rsidRDefault="00224102" w:rsidP="00224102">
            <w:pPr>
              <w:jc w:val="right"/>
              <w:rPr>
                <w:sz w:val="16"/>
                <w:szCs w:val="16"/>
              </w:rPr>
            </w:pPr>
            <w:r w:rsidRPr="00E33C73">
              <w:rPr>
                <w:sz w:val="16"/>
                <w:szCs w:val="16"/>
              </w:rPr>
              <w:t>-</w:t>
            </w:r>
          </w:p>
        </w:tc>
        <w:tc>
          <w:tcPr>
            <w:tcW w:w="1204" w:type="dxa"/>
            <w:vAlign w:val="bottom"/>
          </w:tcPr>
          <w:p w14:paraId="0658A553" w14:textId="26A21FD4" w:rsidR="00224102" w:rsidRPr="00E33C73" w:rsidRDefault="00224102" w:rsidP="00224102">
            <w:pPr>
              <w:jc w:val="right"/>
              <w:rPr>
                <w:sz w:val="16"/>
                <w:szCs w:val="16"/>
              </w:rPr>
            </w:pPr>
            <w:r w:rsidRPr="00E33C73">
              <w:rPr>
                <w:sz w:val="16"/>
                <w:szCs w:val="16"/>
              </w:rPr>
              <w:t>-</w:t>
            </w:r>
          </w:p>
        </w:tc>
        <w:tc>
          <w:tcPr>
            <w:tcW w:w="1246" w:type="dxa"/>
            <w:vAlign w:val="bottom"/>
          </w:tcPr>
          <w:p w14:paraId="11CB1156" w14:textId="3BAC1DCA" w:rsidR="00224102" w:rsidRPr="00E33C73" w:rsidRDefault="00224102" w:rsidP="00224102">
            <w:pPr>
              <w:jc w:val="right"/>
              <w:rPr>
                <w:sz w:val="16"/>
                <w:szCs w:val="16"/>
              </w:rPr>
            </w:pPr>
            <w:r w:rsidRPr="00E33C73">
              <w:rPr>
                <w:sz w:val="16"/>
                <w:szCs w:val="16"/>
              </w:rPr>
              <w:t>-</w:t>
            </w:r>
          </w:p>
        </w:tc>
        <w:tc>
          <w:tcPr>
            <w:tcW w:w="1193" w:type="dxa"/>
            <w:vAlign w:val="bottom"/>
          </w:tcPr>
          <w:p w14:paraId="3664BBDA" w14:textId="6F979C5C" w:rsidR="00224102" w:rsidRPr="00E33C73" w:rsidRDefault="00224102" w:rsidP="00224102">
            <w:pPr>
              <w:jc w:val="right"/>
              <w:rPr>
                <w:sz w:val="16"/>
                <w:szCs w:val="16"/>
              </w:rPr>
            </w:pPr>
            <w:r w:rsidRPr="00E33C73">
              <w:rPr>
                <w:sz w:val="16"/>
                <w:szCs w:val="16"/>
              </w:rPr>
              <w:t>-</w:t>
            </w:r>
          </w:p>
        </w:tc>
        <w:tc>
          <w:tcPr>
            <w:tcW w:w="1340" w:type="dxa"/>
            <w:vAlign w:val="bottom"/>
          </w:tcPr>
          <w:p w14:paraId="51876918" w14:textId="5A0E795C" w:rsidR="00224102" w:rsidRPr="00E33C73" w:rsidRDefault="00224102" w:rsidP="00224102">
            <w:pPr>
              <w:jc w:val="right"/>
              <w:rPr>
                <w:sz w:val="16"/>
                <w:szCs w:val="16"/>
              </w:rPr>
            </w:pPr>
            <w:r w:rsidRPr="00E33C73">
              <w:rPr>
                <w:sz w:val="16"/>
                <w:szCs w:val="16"/>
              </w:rPr>
              <w:t>-</w:t>
            </w:r>
          </w:p>
        </w:tc>
        <w:tc>
          <w:tcPr>
            <w:tcW w:w="984" w:type="dxa"/>
            <w:vAlign w:val="bottom"/>
          </w:tcPr>
          <w:p w14:paraId="52D7A1D2" w14:textId="145D2BDE" w:rsidR="00224102" w:rsidRPr="00E33C73" w:rsidRDefault="00224102" w:rsidP="00224102">
            <w:pPr>
              <w:jc w:val="right"/>
              <w:rPr>
                <w:sz w:val="16"/>
                <w:szCs w:val="16"/>
              </w:rPr>
            </w:pPr>
            <w:r w:rsidRPr="00E33C73">
              <w:rPr>
                <w:sz w:val="16"/>
                <w:szCs w:val="16"/>
              </w:rPr>
              <w:t>366,957</w:t>
            </w:r>
          </w:p>
        </w:tc>
        <w:tc>
          <w:tcPr>
            <w:tcW w:w="1048" w:type="dxa"/>
            <w:vAlign w:val="bottom"/>
          </w:tcPr>
          <w:p w14:paraId="3567E8E8" w14:textId="29C2298E" w:rsidR="00224102" w:rsidRPr="00E33C73" w:rsidRDefault="00224102" w:rsidP="00224102">
            <w:pPr>
              <w:jc w:val="right"/>
              <w:rPr>
                <w:sz w:val="16"/>
                <w:szCs w:val="16"/>
              </w:rPr>
            </w:pPr>
            <w:r w:rsidRPr="00E33C73">
              <w:rPr>
                <w:sz w:val="16"/>
                <w:szCs w:val="16"/>
              </w:rPr>
              <w:t>366,957</w:t>
            </w:r>
          </w:p>
        </w:tc>
      </w:tr>
      <w:tr w:rsidR="00224102" w:rsidRPr="00C6031E" w14:paraId="11306EB4" w14:textId="77777777" w:rsidTr="00E33C73">
        <w:trPr>
          <w:trHeight w:hRule="exact" w:val="227"/>
        </w:trPr>
        <w:tc>
          <w:tcPr>
            <w:tcW w:w="2352" w:type="dxa"/>
            <w:vAlign w:val="bottom"/>
          </w:tcPr>
          <w:p w14:paraId="457ED52C" w14:textId="77777777" w:rsidR="00224102" w:rsidRPr="00C6031E" w:rsidRDefault="00224102" w:rsidP="00224102">
            <w:pPr>
              <w:pStyle w:val="BodyTextIndent"/>
              <w:widowControl w:val="0"/>
              <w:tabs>
                <w:tab w:val="left" w:pos="1276"/>
              </w:tabs>
              <w:spacing w:after="0"/>
              <w:ind w:left="-66"/>
              <w:rPr>
                <w:b/>
                <w:sz w:val="15"/>
                <w:szCs w:val="15"/>
              </w:rPr>
            </w:pPr>
            <w:r w:rsidRPr="00C6031E">
              <w:rPr>
                <w:b/>
                <w:sz w:val="15"/>
                <w:szCs w:val="15"/>
              </w:rPr>
              <w:t>Total</w:t>
            </w:r>
          </w:p>
        </w:tc>
        <w:tc>
          <w:tcPr>
            <w:tcW w:w="1302" w:type="dxa"/>
            <w:vAlign w:val="bottom"/>
          </w:tcPr>
          <w:p w14:paraId="2DC4D513" w14:textId="3EA4E657" w:rsidR="00224102" w:rsidRPr="00E33C73" w:rsidRDefault="00224102" w:rsidP="00224102">
            <w:pPr>
              <w:jc w:val="right"/>
              <w:rPr>
                <w:b/>
                <w:bCs/>
                <w:sz w:val="16"/>
                <w:szCs w:val="16"/>
              </w:rPr>
            </w:pPr>
            <w:r w:rsidRPr="00E33C73">
              <w:rPr>
                <w:b/>
                <w:bCs/>
                <w:sz w:val="16"/>
                <w:szCs w:val="16"/>
              </w:rPr>
              <w:t>2,144,694</w:t>
            </w:r>
          </w:p>
        </w:tc>
        <w:tc>
          <w:tcPr>
            <w:tcW w:w="1385" w:type="dxa"/>
            <w:vAlign w:val="bottom"/>
          </w:tcPr>
          <w:p w14:paraId="732EF671" w14:textId="537528F7" w:rsidR="00224102" w:rsidRPr="00E33C73" w:rsidRDefault="00224102" w:rsidP="00224102">
            <w:pPr>
              <w:jc w:val="right"/>
              <w:rPr>
                <w:b/>
                <w:bCs/>
                <w:sz w:val="16"/>
                <w:szCs w:val="16"/>
              </w:rPr>
            </w:pPr>
            <w:r w:rsidRPr="00E33C73">
              <w:rPr>
                <w:b/>
                <w:bCs/>
                <w:sz w:val="16"/>
                <w:szCs w:val="16"/>
              </w:rPr>
              <w:t>1,310</w:t>
            </w:r>
          </w:p>
        </w:tc>
        <w:tc>
          <w:tcPr>
            <w:tcW w:w="1138" w:type="dxa"/>
            <w:vAlign w:val="bottom"/>
          </w:tcPr>
          <w:p w14:paraId="6BB14442" w14:textId="3F227444" w:rsidR="00224102" w:rsidRPr="00E33C73" w:rsidRDefault="00224102" w:rsidP="00224102">
            <w:pPr>
              <w:jc w:val="right"/>
              <w:rPr>
                <w:b/>
                <w:bCs/>
                <w:sz w:val="16"/>
                <w:szCs w:val="16"/>
              </w:rPr>
            </w:pPr>
            <w:r w:rsidRPr="00E33C73">
              <w:rPr>
                <w:b/>
                <w:bCs/>
                <w:sz w:val="16"/>
                <w:szCs w:val="16"/>
              </w:rPr>
              <w:t>1,887,922</w:t>
            </w:r>
          </w:p>
        </w:tc>
        <w:tc>
          <w:tcPr>
            <w:tcW w:w="1144" w:type="dxa"/>
            <w:vAlign w:val="bottom"/>
          </w:tcPr>
          <w:p w14:paraId="0A9497E2" w14:textId="6A2C2D7F" w:rsidR="00224102" w:rsidRPr="00E33C73" w:rsidRDefault="00224102" w:rsidP="00224102">
            <w:pPr>
              <w:jc w:val="right"/>
              <w:rPr>
                <w:b/>
                <w:bCs/>
                <w:sz w:val="16"/>
                <w:szCs w:val="16"/>
              </w:rPr>
            </w:pPr>
            <w:r w:rsidRPr="00E33C73">
              <w:rPr>
                <w:b/>
                <w:bCs/>
                <w:sz w:val="16"/>
                <w:szCs w:val="16"/>
              </w:rPr>
              <w:t>7,187,446</w:t>
            </w:r>
          </w:p>
        </w:tc>
        <w:tc>
          <w:tcPr>
            <w:tcW w:w="1204" w:type="dxa"/>
            <w:vAlign w:val="bottom"/>
          </w:tcPr>
          <w:p w14:paraId="01936EFB" w14:textId="4048C125" w:rsidR="00224102" w:rsidRPr="00E33C73" w:rsidRDefault="00224102" w:rsidP="00224102">
            <w:pPr>
              <w:jc w:val="right"/>
              <w:rPr>
                <w:b/>
                <w:bCs/>
                <w:sz w:val="16"/>
                <w:szCs w:val="16"/>
              </w:rPr>
            </w:pPr>
            <w:r w:rsidRPr="00E33C73">
              <w:rPr>
                <w:b/>
                <w:bCs/>
                <w:sz w:val="16"/>
                <w:szCs w:val="16"/>
              </w:rPr>
              <w:t>1,858,594</w:t>
            </w:r>
          </w:p>
        </w:tc>
        <w:tc>
          <w:tcPr>
            <w:tcW w:w="1246" w:type="dxa"/>
            <w:vAlign w:val="bottom"/>
          </w:tcPr>
          <w:p w14:paraId="1015374D" w14:textId="59FF1A39" w:rsidR="00224102" w:rsidRPr="00E33C73" w:rsidRDefault="00224102" w:rsidP="00224102">
            <w:pPr>
              <w:jc w:val="right"/>
              <w:rPr>
                <w:b/>
                <w:bCs/>
                <w:sz w:val="16"/>
                <w:szCs w:val="16"/>
              </w:rPr>
            </w:pPr>
            <w:r w:rsidRPr="00E33C73">
              <w:rPr>
                <w:b/>
                <w:bCs/>
                <w:sz w:val="16"/>
                <w:szCs w:val="16"/>
              </w:rPr>
              <w:t>2,465,374</w:t>
            </w:r>
          </w:p>
        </w:tc>
        <w:tc>
          <w:tcPr>
            <w:tcW w:w="1193" w:type="dxa"/>
            <w:vAlign w:val="bottom"/>
          </w:tcPr>
          <w:p w14:paraId="18F74D95" w14:textId="07EB601E" w:rsidR="00224102" w:rsidRPr="00E33C73" w:rsidRDefault="00224102" w:rsidP="00224102">
            <w:pPr>
              <w:jc w:val="right"/>
              <w:rPr>
                <w:b/>
                <w:bCs/>
                <w:sz w:val="16"/>
                <w:szCs w:val="16"/>
              </w:rPr>
            </w:pPr>
            <w:r w:rsidRPr="00E33C73">
              <w:rPr>
                <w:b/>
                <w:bCs/>
                <w:sz w:val="16"/>
                <w:szCs w:val="16"/>
              </w:rPr>
              <w:t>236,253</w:t>
            </w:r>
          </w:p>
        </w:tc>
        <w:tc>
          <w:tcPr>
            <w:tcW w:w="1340" w:type="dxa"/>
            <w:vAlign w:val="bottom"/>
          </w:tcPr>
          <w:p w14:paraId="62680C7B" w14:textId="1A0A8ED8" w:rsidR="00224102" w:rsidRPr="00E33C73" w:rsidRDefault="00224102" w:rsidP="00224102">
            <w:pPr>
              <w:jc w:val="right"/>
              <w:rPr>
                <w:b/>
                <w:bCs/>
                <w:sz w:val="16"/>
                <w:szCs w:val="16"/>
              </w:rPr>
            </w:pPr>
            <w:r w:rsidRPr="00E33C73">
              <w:rPr>
                <w:b/>
                <w:bCs/>
                <w:sz w:val="16"/>
                <w:szCs w:val="16"/>
              </w:rPr>
              <w:t>83,365</w:t>
            </w:r>
          </w:p>
        </w:tc>
        <w:tc>
          <w:tcPr>
            <w:tcW w:w="984" w:type="dxa"/>
            <w:vAlign w:val="bottom"/>
          </w:tcPr>
          <w:p w14:paraId="4CB3A77B" w14:textId="5D381DED" w:rsidR="00224102" w:rsidRPr="00E33C73" w:rsidRDefault="00224102" w:rsidP="00224102">
            <w:pPr>
              <w:jc w:val="right"/>
              <w:rPr>
                <w:b/>
                <w:bCs/>
                <w:sz w:val="16"/>
                <w:szCs w:val="16"/>
              </w:rPr>
            </w:pPr>
            <w:r w:rsidRPr="00E33C73">
              <w:rPr>
                <w:b/>
                <w:bCs/>
                <w:sz w:val="16"/>
                <w:szCs w:val="16"/>
              </w:rPr>
              <w:t>366,957</w:t>
            </w:r>
          </w:p>
        </w:tc>
        <w:tc>
          <w:tcPr>
            <w:tcW w:w="1048" w:type="dxa"/>
            <w:vAlign w:val="bottom"/>
          </w:tcPr>
          <w:p w14:paraId="232D0548" w14:textId="6C2D89AA" w:rsidR="00224102" w:rsidRPr="00E33C73" w:rsidRDefault="00224102" w:rsidP="00224102">
            <w:pPr>
              <w:jc w:val="right"/>
              <w:rPr>
                <w:b/>
                <w:bCs/>
                <w:sz w:val="16"/>
                <w:szCs w:val="16"/>
              </w:rPr>
            </w:pPr>
            <w:r w:rsidRPr="00E33C73">
              <w:rPr>
                <w:b/>
                <w:bCs/>
                <w:sz w:val="16"/>
                <w:szCs w:val="16"/>
              </w:rPr>
              <w:t>16,231,915</w:t>
            </w:r>
          </w:p>
        </w:tc>
      </w:tr>
    </w:tbl>
    <w:p w14:paraId="0A13B72D" w14:textId="01E65D45" w:rsidR="00495F6E" w:rsidRPr="00923A53" w:rsidRDefault="00156FF4" w:rsidP="009E467E">
      <w:pPr>
        <w:pStyle w:val="Default"/>
        <w:widowControl w:val="0"/>
        <w:tabs>
          <w:tab w:val="left" w:pos="426"/>
        </w:tabs>
        <w:spacing w:before="60"/>
        <w:rPr>
          <w:color w:val="auto"/>
          <w:sz w:val="16"/>
          <w:szCs w:val="18"/>
        </w:rPr>
      </w:pPr>
      <w:r>
        <w:rPr>
          <w:color w:val="auto"/>
          <w:sz w:val="16"/>
          <w:szCs w:val="18"/>
        </w:rPr>
        <w:t xml:space="preserve">  </w:t>
      </w:r>
      <w:r w:rsidR="00495F6E" w:rsidRPr="007453BB">
        <w:rPr>
          <w:color w:val="auto"/>
          <w:sz w:val="16"/>
          <w:szCs w:val="18"/>
        </w:rPr>
        <w:t>(*)</w:t>
      </w:r>
      <w:r w:rsidR="00495F6E" w:rsidRPr="00923A53">
        <w:rPr>
          <w:color w:val="auto"/>
          <w:sz w:val="16"/>
          <w:szCs w:val="18"/>
        </w:rPr>
        <w:tab/>
      </w:r>
      <w:r w:rsidR="00B30C53">
        <w:rPr>
          <w:color w:val="auto"/>
          <w:sz w:val="16"/>
          <w:szCs w:val="18"/>
        </w:rPr>
        <w:t xml:space="preserve"> </w:t>
      </w:r>
      <w:r w:rsidR="00495F6E">
        <w:rPr>
          <w:color w:val="auto"/>
          <w:sz w:val="16"/>
          <w:szCs w:val="18"/>
        </w:rPr>
        <w:t xml:space="preserve">Risk </w:t>
      </w:r>
      <w:r w:rsidR="00495F6E" w:rsidRPr="00667A5B">
        <w:rPr>
          <w:color w:val="auto"/>
          <w:sz w:val="16"/>
          <w:szCs w:val="18"/>
        </w:rPr>
        <w:t>categories in the Communiqué on Measurement and Assessme</w:t>
      </w:r>
      <w:r w:rsidR="00B85547">
        <w:rPr>
          <w:color w:val="auto"/>
          <w:sz w:val="16"/>
          <w:szCs w:val="18"/>
        </w:rPr>
        <w:t>nt of Capital Adequacy of Banks</w:t>
      </w:r>
      <w:r w:rsidR="008D6FDE">
        <w:rPr>
          <w:color w:val="auto"/>
          <w:sz w:val="16"/>
          <w:szCs w:val="18"/>
        </w:rPr>
        <w:t>.</w:t>
      </w:r>
    </w:p>
    <w:p w14:paraId="3166ED46" w14:textId="4FA722A3" w:rsidR="00495F6E" w:rsidRPr="00923A53" w:rsidRDefault="00156FF4" w:rsidP="009E467E">
      <w:pPr>
        <w:pStyle w:val="Default"/>
        <w:widowControl w:val="0"/>
        <w:tabs>
          <w:tab w:val="left" w:pos="426"/>
        </w:tabs>
        <w:spacing w:before="60" w:after="60"/>
        <w:rPr>
          <w:color w:val="auto"/>
          <w:sz w:val="16"/>
          <w:szCs w:val="18"/>
        </w:rPr>
      </w:pPr>
      <w:r>
        <w:rPr>
          <w:color w:val="auto"/>
          <w:sz w:val="16"/>
          <w:szCs w:val="18"/>
        </w:rPr>
        <w:t xml:space="preserve">  </w:t>
      </w:r>
      <w:r w:rsidR="00495F6E">
        <w:rPr>
          <w:color w:val="auto"/>
          <w:sz w:val="16"/>
          <w:szCs w:val="18"/>
        </w:rPr>
        <w:t xml:space="preserve">(**)   </w:t>
      </w:r>
      <w:r w:rsidR="00495F6E" w:rsidRPr="00667A5B">
        <w:rPr>
          <w:color w:val="auto"/>
          <w:sz w:val="16"/>
          <w:szCs w:val="18"/>
        </w:rPr>
        <w:t>OECD countries other than EU countries,</w:t>
      </w:r>
      <w:r w:rsidR="00B85547">
        <w:rPr>
          <w:color w:val="auto"/>
          <w:sz w:val="16"/>
          <w:szCs w:val="18"/>
        </w:rPr>
        <w:t xml:space="preserve"> USA and Canada</w:t>
      </w:r>
      <w:r w:rsidR="008D6FDE">
        <w:rPr>
          <w:color w:val="auto"/>
          <w:sz w:val="16"/>
          <w:szCs w:val="18"/>
        </w:rPr>
        <w:t>.</w:t>
      </w:r>
    </w:p>
    <w:p w14:paraId="54A96B8C" w14:textId="59E8B13D" w:rsidR="00495F6E" w:rsidRPr="00923A53" w:rsidRDefault="00156FF4" w:rsidP="00495F6E">
      <w:pPr>
        <w:pStyle w:val="BodyText"/>
        <w:widowControl w:val="0"/>
        <w:rPr>
          <w:color w:val="auto"/>
          <w:sz w:val="22"/>
        </w:rPr>
      </w:pPr>
      <w:r>
        <w:rPr>
          <w:color w:val="auto"/>
          <w:sz w:val="16"/>
          <w:szCs w:val="18"/>
        </w:rPr>
        <w:t xml:space="preserve">  </w:t>
      </w:r>
      <w:r w:rsidR="00495F6E">
        <w:rPr>
          <w:color w:val="auto"/>
          <w:sz w:val="16"/>
          <w:szCs w:val="18"/>
        </w:rPr>
        <w:t>(***)</w:t>
      </w:r>
      <w:r w:rsidR="00B30C53">
        <w:rPr>
          <w:color w:val="auto"/>
          <w:sz w:val="16"/>
          <w:szCs w:val="18"/>
        </w:rPr>
        <w:t xml:space="preserve"> </w:t>
      </w:r>
      <w:r w:rsidR="00495F6E">
        <w:rPr>
          <w:color w:val="auto"/>
          <w:sz w:val="16"/>
          <w:szCs w:val="18"/>
        </w:rPr>
        <w:t xml:space="preserve">Assets and liabilities are not </w:t>
      </w:r>
      <w:r w:rsidR="00B85547">
        <w:rPr>
          <w:color w:val="auto"/>
          <w:sz w:val="16"/>
          <w:szCs w:val="18"/>
        </w:rPr>
        <w:t>allocated on a consistent basis</w:t>
      </w:r>
      <w:r w:rsidR="008D6FDE">
        <w:rPr>
          <w:color w:val="auto"/>
          <w:sz w:val="16"/>
          <w:szCs w:val="18"/>
        </w:rPr>
        <w:t>.</w:t>
      </w:r>
    </w:p>
    <w:p w14:paraId="028FC0E4" w14:textId="77777777" w:rsidR="00495F6E" w:rsidRDefault="00495F6E" w:rsidP="00495F6E">
      <w:pPr>
        <w:pStyle w:val="Default"/>
        <w:widowControl w:val="0"/>
        <w:ind w:left="1276" w:hanging="425"/>
        <w:rPr>
          <w:b/>
          <w:sz w:val="20"/>
          <w:szCs w:val="20"/>
        </w:rPr>
      </w:pPr>
    </w:p>
    <w:p w14:paraId="5FE794F0" w14:textId="77777777" w:rsidR="00495F6E" w:rsidRDefault="00495F6E" w:rsidP="00C12D19">
      <w:pPr>
        <w:sectPr w:rsidR="00495F6E" w:rsidSect="00495F6E">
          <w:pgSz w:w="15840" w:h="12240" w:orient="landscape"/>
          <w:pgMar w:top="1418" w:right="1134" w:bottom="1474" w:left="720" w:header="720" w:footer="720" w:gutter="0"/>
          <w:cols w:space="720"/>
          <w:docGrid w:linePitch="360"/>
        </w:sectPr>
      </w:pPr>
    </w:p>
    <w:p w14:paraId="5249982D" w14:textId="5B1E7E90" w:rsidR="00332F58" w:rsidRPr="00604C75" w:rsidRDefault="00A041CD" w:rsidP="00490153">
      <w:pPr>
        <w:pStyle w:val="NormalIndent"/>
        <w:pageBreakBefore/>
        <w:widowControl w:val="0"/>
        <w:spacing w:before="120"/>
        <w:ind w:left="0"/>
        <w:jc w:val="both"/>
        <w:rPr>
          <w:b/>
          <w:sz w:val="22"/>
          <w:szCs w:val="22"/>
        </w:rPr>
      </w:pPr>
      <w:r w:rsidRPr="00604C75">
        <w:rPr>
          <w:b/>
        </w:rPr>
        <w:lastRenderedPageBreak/>
        <w:t>INFORMATION</w:t>
      </w:r>
      <w:r>
        <w:rPr>
          <w:b/>
          <w:bCs/>
          <w:noProof/>
          <w:lang w:val="tr-TR"/>
        </w:rPr>
        <w:t xml:space="preserve"> ON THE</w:t>
      </w:r>
      <w:r w:rsidRPr="00604C75">
        <w:rPr>
          <w:b/>
          <w:bCs/>
          <w:noProof/>
          <w:lang w:val="tr-TR"/>
        </w:rPr>
        <w:t xml:space="preserve"> FINANCIAL POSITION OF THE GROUP (Continued)</w:t>
      </w:r>
    </w:p>
    <w:p w14:paraId="32D99213" w14:textId="77777777" w:rsidR="00332F58" w:rsidRDefault="00332F58" w:rsidP="00490153">
      <w:pPr>
        <w:pStyle w:val="Heading2"/>
        <w:tabs>
          <w:tab w:val="left" w:pos="0"/>
          <w:tab w:val="left" w:pos="426"/>
        </w:tabs>
        <w:rPr>
          <w:rFonts w:ascii="Times New Roman" w:hAnsi="Times New Roman"/>
          <w:bCs/>
          <w:noProof/>
          <w:sz w:val="20"/>
          <w:lang w:val="tr-TR"/>
        </w:rPr>
      </w:pPr>
      <w:r>
        <w:rPr>
          <w:rFonts w:ascii="Times New Roman" w:hAnsi="Times New Roman"/>
          <w:sz w:val="20"/>
        </w:rPr>
        <w:t xml:space="preserve">II.   </w:t>
      </w:r>
      <w:r w:rsidRPr="00604C75">
        <w:rPr>
          <w:rFonts w:ascii="Times New Roman" w:hAnsi="Times New Roman"/>
          <w:sz w:val="20"/>
        </w:rPr>
        <w:t>Explanations on Credit Risk</w:t>
      </w:r>
      <w:r w:rsidRPr="00604C75" w:rsidDel="00553D7B">
        <w:rPr>
          <w:rFonts w:ascii="Times New Roman" w:hAnsi="Times New Roman"/>
          <w:sz w:val="20"/>
        </w:rPr>
        <w:t xml:space="preserve"> </w:t>
      </w:r>
      <w:r w:rsidRPr="00332F58">
        <w:rPr>
          <w:rFonts w:ascii="Times New Roman" w:hAnsi="Times New Roman"/>
          <w:bCs/>
          <w:noProof/>
          <w:sz w:val="20"/>
          <w:lang w:val="tr-TR"/>
        </w:rPr>
        <w:t>(Continued)</w:t>
      </w:r>
    </w:p>
    <w:p w14:paraId="40AA0DE7" w14:textId="77777777" w:rsidR="00332F58" w:rsidRPr="008C7454" w:rsidRDefault="00727614" w:rsidP="008477F3">
      <w:pPr>
        <w:pStyle w:val="BodyTextIndent"/>
        <w:widowControl w:val="0"/>
        <w:numPr>
          <w:ilvl w:val="0"/>
          <w:numId w:val="43"/>
        </w:numPr>
        <w:tabs>
          <w:tab w:val="clear" w:pos="1495"/>
          <w:tab w:val="num" w:pos="0"/>
          <w:tab w:val="left" w:pos="284"/>
          <w:tab w:val="left" w:pos="426"/>
          <w:tab w:val="left" w:pos="709"/>
          <w:tab w:val="left" w:pos="1276"/>
        </w:tabs>
        <w:spacing w:before="120" w:after="0"/>
        <w:ind w:left="0" w:firstLine="0"/>
        <w:jc w:val="both"/>
        <w:rPr>
          <w:b/>
          <w:sz w:val="20"/>
          <w:szCs w:val="20"/>
        </w:rPr>
      </w:pPr>
      <w:r>
        <w:rPr>
          <w:b/>
          <w:sz w:val="20"/>
          <w:szCs w:val="20"/>
        </w:rPr>
        <w:t xml:space="preserve"> </w:t>
      </w:r>
      <w:r w:rsidR="00332F58">
        <w:rPr>
          <w:b/>
          <w:sz w:val="20"/>
          <w:szCs w:val="20"/>
        </w:rPr>
        <w:t>Risk p</w:t>
      </w:r>
      <w:r w:rsidR="00332F58" w:rsidRPr="008C7454">
        <w:rPr>
          <w:b/>
          <w:sz w:val="20"/>
          <w:szCs w:val="20"/>
        </w:rPr>
        <w:t>rofile</w:t>
      </w:r>
      <w:r w:rsidR="00332F58">
        <w:rPr>
          <w:b/>
          <w:sz w:val="20"/>
          <w:szCs w:val="20"/>
        </w:rPr>
        <w:t xml:space="preserve"> according to the geographical concentration(continued):</w:t>
      </w:r>
    </w:p>
    <w:p w14:paraId="56E4249E" w14:textId="77777777" w:rsidR="00332F58" w:rsidRPr="008C7454" w:rsidRDefault="00332F58" w:rsidP="00332F58">
      <w:pPr>
        <w:pStyle w:val="BodyTextIndent"/>
        <w:widowControl w:val="0"/>
        <w:tabs>
          <w:tab w:val="num" w:pos="0"/>
          <w:tab w:val="left" w:pos="1276"/>
        </w:tabs>
        <w:spacing w:after="0"/>
        <w:ind w:left="0"/>
        <w:jc w:val="both"/>
        <w:rPr>
          <w:b/>
          <w:sz w:val="20"/>
          <w:szCs w:val="20"/>
        </w:rPr>
      </w:pPr>
    </w:p>
    <w:tbl>
      <w:tblPr>
        <w:tblW w:w="14370" w:type="dxa"/>
        <w:tblInd w:w="2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422"/>
        <w:gridCol w:w="1232"/>
        <w:gridCol w:w="1385"/>
        <w:gridCol w:w="1138"/>
        <w:gridCol w:w="1144"/>
        <w:gridCol w:w="1204"/>
        <w:gridCol w:w="1246"/>
        <w:gridCol w:w="1304"/>
        <w:gridCol w:w="1134"/>
        <w:gridCol w:w="993"/>
        <w:gridCol w:w="1168"/>
      </w:tblGrid>
      <w:tr w:rsidR="00332F58" w:rsidRPr="00C6031E" w14:paraId="0054FE8C" w14:textId="77777777" w:rsidTr="008D6FDE">
        <w:tc>
          <w:tcPr>
            <w:tcW w:w="2422" w:type="dxa"/>
          </w:tcPr>
          <w:p w14:paraId="095DA91A" w14:textId="77777777" w:rsidR="00332F58" w:rsidRPr="00C6031E" w:rsidRDefault="00332F58" w:rsidP="00332F58">
            <w:pPr>
              <w:widowControl w:val="0"/>
              <w:tabs>
                <w:tab w:val="num" w:pos="0"/>
              </w:tabs>
              <w:ind w:right="-586"/>
              <w:rPr>
                <w:b/>
                <w:bCs/>
                <w:snapToGrid w:val="0"/>
                <w:sz w:val="15"/>
                <w:szCs w:val="15"/>
              </w:rPr>
            </w:pPr>
          </w:p>
        </w:tc>
        <w:tc>
          <w:tcPr>
            <w:tcW w:w="11948" w:type="dxa"/>
            <w:gridSpan w:val="10"/>
            <w:shd w:val="clear" w:color="auto" w:fill="FFFFFF" w:themeFill="background1"/>
            <w:vAlign w:val="bottom"/>
          </w:tcPr>
          <w:p w14:paraId="692D0CE8" w14:textId="77777777" w:rsidR="00332F58" w:rsidRPr="00C6031E" w:rsidRDefault="00332F58" w:rsidP="00332F58">
            <w:pPr>
              <w:widowControl w:val="0"/>
              <w:tabs>
                <w:tab w:val="num" w:pos="0"/>
              </w:tabs>
              <w:ind w:right="-52"/>
              <w:jc w:val="center"/>
              <w:rPr>
                <w:b/>
                <w:bCs/>
                <w:snapToGrid w:val="0"/>
                <w:sz w:val="15"/>
                <w:szCs w:val="15"/>
              </w:rPr>
            </w:pPr>
            <w:r w:rsidRPr="00C6031E">
              <w:rPr>
                <w:b/>
                <w:bCs/>
                <w:snapToGrid w:val="0"/>
                <w:sz w:val="15"/>
                <w:szCs w:val="15"/>
              </w:rPr>
              <w:t>Risk Categories</w:t>
            </w:r>
            <w:r>
              <w:rPr>
                <w:b/>
                <w:bCs/>
                <w:snapToGrid w:val="0"/>
                <w:sz w:val="15"/>
                <w:szCs w:val="15"/>
              </w:rPr>
              <w:t xml:space="preserve"> (*)</w:t>
            </w:r>
          </w:p>
        </w:tc>
      </w:tr>
      <w:tr w:rsidR="00332F58" w:rsidRPr="00C6031E" w14:paraId="1EBD3694" w14:textId="77777777" w:rsidTr="008D6FDE">
        <w:tc>
          <w:tcPr>
            <w:tcW w:w="2422" w:type="dxa"/>
            <w:vAlign w:val="bottom"/>
          </w:tcPr>
          <w:p w14:paraId="57B5E14D" w14:textId="77777777" w:rsidR="00332F58" w:rsidRPr="00C6031E" w:rsidRDefault="00332F58" w:rsidP="00332F58">
            <w:pPr>
              <w:widowControl w:val="0"/>
              <w:tabs>
                <w:tab w:val="num" w:pos="0"/>
              </w:tabs>
              <w:ind w:right="-586"/>
              <w:rPr>
                <w:b/>
                <w:bCs/>
                <w:snapToGrid w:val="0"/>
                <w:sz w:val="15"/>
                <w:szCs w:val="15"/>
              </w:rPr>
            </w:pPr>
          </w:p>
        </w:tc>
        <w:tc>
          <w:tcPr>
            <w:tcW w:w="1232" w:type="dxa"/>
            <w:vAlign w:val="bottom"/>
          </w:tcPr>
          <w:p w14:paraId="779139C3" w14:textId="77777777" w:rsidR="00332F58" w:rsidRPr="00C6031E" w:rsidRDefault="00332F58" w:rsidP="00332F58">
            <w:pPr>
              <w:widowControl w:val="0"/>
              <w:tabs>
                <w:tab w:val="num" w:pos="0"/>
              </w:tabs>
              <w:ind w:right="-52"/>
              <w:jc w:val="right"/>
              <w:rPr>
                <w:b/>
                <w:bCs/>
                <w:snapToGrid w:val="0"/>
                <w:sz w:val="15"/>
                <w:szCs w:val="15"/>
              </w:rPr>
            </w:pPr>
            <w:r w:rsidRPr="00C93EEE">
              <w:rPr>
                <w:b/>
                <w:color w:val="000000"/>
                <w:sz w:val="15"/>
                <w:szCs w:val="15"/>
              </w:rPr>
              <w:t>Contingent and Non-Contingent      Receivables from Central Governments or Central Banks</w:t>
            </w:r>
            <w:r w:rsidRPr="00C93EEE" w:rsidDel="006D7232">
              <w:rPr>
                <w:rFonts w:eastAsia="Arial Unicode MS"/>
                <w:b/>
                <w:sz w:val="15"/>
                <w:szCs w:val="15"/>
              </w:rPr>
              <w:t xml:space="preserve"> </w:t>
            </w:r>
          </w:p>
        </w:tc>
        <w:tc>
          <w:tcPr>
            <w:tcW w:w="1385" w:type="dxa"/>
            <w:vAlign w:val="bottom"/>
          </w:tcPr>
          <w:p w14:paraId="1961E08F" w14:textId="77777777" w:rsidR="00332F58" w:rsidRPr="00C6031E" w:rsidRDefault="00332F58" w:rsidP="00332F58">
            <w:pPr>
              <w:widowControl w:val="0"/>
              <w:tabs>
                <w:tab w:val="num" w:pos="0"/>
              </w:tabs>
              <w:ind w:right="-52"/>
              <w:jc w:val="right"/>
              <w:rPr>
                <w:b/>
                <w:bCs/>
                <w:snapToGrid w:val="0"/>
                <w:sz w:val="15"/>
                <w:szCs w:val="15"/>
              </w:rPr>
            </w:pPr>
            <w:r w:rsidRPr="00C93EEE">
              <w:rPr>
                <w:b/>
                <w:color w:val="000000"/>
                <w:sz w:val="15"/>
                <w:szCs w:val="15"/>
              </w:rPr>
              <w:t>Contingent and Non-Contingent Receivables from Administrative Units and Non-Commercial Enterprises</w:t>
            </w:r>
          </w:p>
        </w:tc>
        <w:tc>
          <w:tcPr>
            <w:tcW w:w="1138" w:type="dxa"/>
            <w:vAlign w:val="bottom"/>
          </w:tcPr>
          <w:p w14:paraId="5AF08505" w14:textId="77777777" w:rsidR="00332F58" w:rsidRPr="00C6031E" w:rsidRDefault="00332F58" w:rsidP="00332F58">
            <w:pPr>
              <w:widowControl w:val="0"/>
              <w:tabs>
                <w:tab w:val="num" w:pos="0"/>
              </w:tabs>
              <w:ind w:right="-52"/>
              <w:jc w:val="right"/>
              <w:rPr>
                <w:b/>
                <w:bCs/>
                <w:snapToGrid w:val="0"/>
                <w:sz w:val="15"/>
                <w:szCs w:val="15"/>
              </w:rPr>
            </w:pPr>
            <w:r w:rsidRPr="00C93EEE">
              <w:rPr>
                <w:b/>
                <w:color w:val="000000"/>
                <w:sz w:val="15"/>
                <w:szCs w:val="15"/>
              </w:rPr>
              <w:t>Contingent and Non-Contingent Receivables from Banks and Intermediaries</w:t>
            </w:r>
          </w:p>
        </w:tc>
        <w:tc>
          <w:tcPr>
            <w:tcW w:w="1144" w:type="dxa"/>
            <w:vAlign w:val="bottom"/>
          </w:tcPr>
          <w:p w14:paraId="582BFE10" w14:textId="77777777" w:rsidR="00332F58" w:rsidRPr="00C6031E" w:rsidRDefault="00332F58" w:rsidP="00332F58">
            <w:pPr>
              <w:widowControl w:val="0"/>
              <w:tabs>
                <w:tab w:val="num" w:pos="0"/>
              </w:tabs>
              <w:ind w:right="-52"/>
              <w:jc w:val="right"/>
              <w:rPr>
                <w:b/>
                <w:bCs/>
                <w:snapToGrid w:val="0"/>
                <w:sz w:val="15"/>
                <w:szCs w:val="15"/>
              </w:rPr>
            </w:pPr>
            <w:r w:rsidRPr="00C93EEE">
              <w:rPr>
                <w:b/>
                <w:color w:val="000000"/>
                <w:sz w:val="15"/>
                <w:szCs w:val="15"/>
              </w:rPr>
              <w:t>Contingent and Non-Contingent Corporate Receivables</w:t>
            </w:r>
          </w:p>
        </w:tc>
        <w:tc>
          <w:tcPr>
            <w:tcW w:w="1204" w:type="dxa"/>
            <w:vAlign w:val="bottom"/>
          </w:tcPr>
          <w:p w14:paraId="2ABE7F36" w14:textId="77777777" w:rsidR="00332F58" w:rsidRPr="00C6031E" w:rsidRDefault="00332F58" w:rsidP="00332F58">
            <w:pPr>
              <w:widowControl w:val="0"/>
              <w:tabs>
                <w:tab w:val="num" w:pos="0"/>
              </w:tabs>
              <w:ind w:right="-52"/>
              <w:jc w:val="right"/>
              <w:rPr>
                <w:b/>
                <w:bCs/>
                <w:snapToGrid w:val="0"/>
                <w:sz w:val="15"/>
                <w:szCs w:val="15"/>
              </w:rPr>
            </w:pPr>
            <w:r w:rsidRPr="00C93EEE">
              <w:rPr>
                <w:b/>
                <w:color w:val="000000"/>
                <w:sz w:val="15"/>
                <w:szCs w:val="15"/>
              </w:rPr>
              <w:t>Contingent and Non-Contingent Retail Receivables</w:t>
            </w:r>
          </w:p>
        </w:tc>
        <w:tc>
          <w:tcPr>
            <w:tcW w:w="1246" w:type="dxa"/>
            <w:vAlign w:val="bottom"/>
          </w:tcPr>
          <w:p w14:paraId="6922F476" w14:textId="77777777" w:rsidR="00332F58" w:rsidRPr="00C6031E" w:rsidRDefault="00332F58" w:rsidP="00332F58">
            <w:pPr>
              <w:widowControl w:val="0"/>
              <w:tabs>
                <w:tab w:val="num" w:pos="0"/>
              </w:tabs>
              <w:ind w:right="-52"/>
              <w:jc w:val="right"/>
              <w:rPr>
                <w:b/>
                <w:bCs/>
                <w:snapToGrid w:val="0"/>
                <w:sz w:val="15"/>
                <w:szCs w:val="15"/>
              </w:rPr>
            </w:pPr>
            <w:r w:rsidRPr="00C93EEE">
              <w:rPr>
                <w:b/>
                <w:color w:val="000000"/>
                <w:sz w:val="15"/>
                <w:szCs w:val="15"/>
              </w:rPr>
              <w:t xml:space="preserve">Contingent and Non-Contingent Receivables </w:t>
            </w:r>
            <w:r w:rsidRPr="00C93EEE">
              <w:rPr>
                <w:b/>
                <w:color w:val="000000" w:themeColor="text1"/>
                <w:sz w:val="15"/>
                <w:szCs w:val="15"/>
              </w:rPr>
              <w:t>Secured by Residential Property</w:t>
            </w:r>
          </w:p>
        </w:tc>
        <w:tc>
          <w:tcPr>
            <w:tcW w:w="1304" w:type="dxa"/>
            <w:vAlign w:val="bottom"/>
          </w:tcPr>
          <w:p w14:paraId="7D093565" w14:textId="77777777" w:rsidR="00332F58" w:rsidRPr="00C6031E" w:rsidRDefault="00332F58" w:rsidP="00332F58">
            <w:pPr>
              <w:widowControl w:val="0"/>
              <w:tabs>
                <w:tab w:val="num" w:pos="0"/>
              </w:tabs>
              <w:ind w:right="-52"/>
              <w:jc w:val="right"/>
              <w:rPr>
                <w:b/>
                <w:bCs/>
                <w:snapToGrid w:val="0"/>
                <w:sz w:val="15"/>
                <w:szCs w:val="15"/>
              </w:rPr>
            </w:pPr>
            <w:r w:rsidRPr="00C93EEE">
              <w:rPr>
                <w:b/>
                <w:color w:val="000000"/>
                <w:sz w:val="15"/>
                <w:szCs w:val="15"/>
              </w:rPr>
              <w:t>Non-Performing Receivables</w:t>
            </w:r>
          </w:p>
        </w:tc>
        <w:tc>
          <w:tcPr>
            <w:tcW w:w="1134" w:type="dxa"/>
            <w:vAlign w:val="bottom"/>
          </w:tcPr>
          <w:p w14:paraId="65525E6C" w14:textId="42AF3536" w:rsidR="00332F58" w:rsidRPr="00C6031E" w:rsidRDefault="00B85547" w:rsidP="00B85547">
            <w:pPr>
              <w:widowControl w:val="0"/>
              <w:tabs>
                <w:tab w:val="num" w:pos="0"/>
              </w:tabs>
              <w:ind w:right="-52"/>
              <w:jc w:val="right"/>
              <w:rPr>
                <w:b/>
                <w:bCs/>
                <w:snapToGrid w:val="0"/>
                <w:sz w:val="15"/>
                <w:szCs w:val="15"/>
              </w:rPr>
            </w:pPr>
            <w:r>
              <w:rPr>
                <w:b/>
                <w:color w:val="000000"/>
                <w:sz w:val="15"/>
                <w:szCs w:val="15"/>
              </w:rPr>
              <w:t>Receivables I</w:t>
            </w:r>
            <w:r w:rsidR="00332F58" w:rsidRPr="00C93EEE">
              <w:rPr>
                <w:b/>
                <w:color w:val="000000"/>
                <w:sz w:val="15"/>
                <w:szCs w:val="15"/>
              </w:rPr>
              <w:t xml:space="preserve">dentified as </w:t>
            </w:r>
            <w:r>
              <w:rPr>
                <w:b/>
                <w:color w:val="000000"/>
                <w:sz w:val="15"/>
                <w:szCs w:val="15"/>
              </w:rPr>
              <w:t>H</w:t>
            </w:r>
            <w:r w:rsidR="00332F58" w:rsidRPr="00C93EEE">
              <w:rPr>
                <w:b/>
                <w:color w:val="000000"/>
                <w:sz w:val="15"/>
                <w:szCs w:val="15"/>
              </w:rPr>
              <w:t xml:space="preserve">igh </w:t>
            </w:r>
            <w:r>
              <w:rPr>
                <w:b/>
                <w:color w:val="000000"/>
                <w:sz w:val="15"/>
                <w:szCs w:val="15"/>
              </w:rPr>
              <w:t>R</w:t>
            </w:r>
            <w:r w:rsidR="00332F58" w:rsidRPr="00C93EEE">
              <w:rPr>
                <w:b/>
                <w:color w:val="000000"/>
                <w:sz w:val="15"/>
                <w:szCs w:val="15"/>
              </w:rPr>
              <w:t>isk by the Board</w:t>
            </w:r>
          </w:p>
        </w:tc>
        <w:tc>
          <w:tcPr>
            <w:tcW w:w="993" w:type="dxa"/>
            <w:vAlign w:val="bottom"/>
          </w:tcPr>
          <w:p w14:paraId="23FD4375" w14:textId="54CC07A4" w:rsidR="00332F58" w:rsidRPr="00C6031E" w:rsidRDefault="00332F58" w:rsidP="00B85547">
            <w:pPr>
              <w:widowControl w:val="0"/>
              <w:tabs>
                <w:tab w:val="num" w:pos="0"/>
              </w:tabs>
              <w:ind w:right="-52"/>
              <w:jc w:val="right"/>
              <w:rPr>
                <w:b/>
                <w:bCs/>
                <w:snapToGrid w:val="0"/>
                <w:sz w:val="15"/>
                <w:szCs w:val="15"/>
              </w:rPr>
            </w:pPr>
            <w:r w:rsidRPr="00C93EEE">
              <w:rPr>
                <w:b/>
                <w:bCs/>
                <w:snapToGrid w:val="0"/>
                <w:sz w:val="15"/>
                <w:szCs w:val="15"/>
              </w:rPr>
              <w:t xml:space="preserve">Other </w:t>
            </w:r>
            <w:r w:rsidR="00B85547">
              <w:rPr>
                <w:b/>
                <w:bCs/>
                <w:snapToGrid w:val="0"/>
                <w:sz w:val="15"/>
                <w:szCs w:val="15"/>
              </w:rPr>
              <w:t>R</w:t>
            </w:r>
            <w:r w:rsidRPr="00C93EEE">
              <w:rPr>
                <w:b/>
                <w:bCs/>
                <w:snapToGrid w:val="0"/>
                <w:sz w:val="15"/>
                <w:szCs w:val="15"/>
              </w:rPr>
              <w:t>eceivables</w:t>
            </w:r>
          </w:p>
        </w:tc>
        <w:tc>
          <w:tcPr>
            <w:tcW w:w="1168" w:type="dxa"/>
            <w:vAlign w:val="bottom"/>
          </w:tcPr>
          <w:p w14:paraId="46119A66" w14:textId="77777777" w:rsidR="00332F58" w:rsidRPr="00C93EEE" w:rsidRDefault="00332F58" w:rsidP="00332F58">
            <w:pPr>
              <w:widowControl w:val="0"/>
              <w:tabs>
                <w:tab w:val="num" w:pos="0"/>
              </w:tabs>
              <w:ind w:right="-52"/>
              <w:jc w:val="right"/>
              <w:rPr>
                <w:b/>
                <w:bCs/>
                <w:snapToGrid w:val="0"/>
                <w:sz w:val="15"/>
                <w:szCs w:val="15"/>
              </w:rPr>
            </w:pPr>
          </w:p>
          <w:p w14:paraId="2C5D0C0E" w14:textId="77777777" w:rsidR="00332F58" w:rsidRPr="00C93EEE" w:rsidRDefault="00332F58" w:rsidP="00332F58">
            <w:pPr>
              <w:widowControl w:val="0"/>
              <w:tabs>
                <w:tab w:val="num" w:pos="0"/>
              </w:tabs>
              <w:ind w:right="-52"/>
              <w:jc w:val="right"/>
              <w:rPr>
                <w:b/>
                <w:bCs/>
                <w:snapToGrid w:val="0"/>
                <w:sz w:val="15"/>
                <w:szCs w:val="15"/>
              </w:rPr>
            </w:pPr>
          </w:p>
          <w:p w14:paraId="08A43621" w14:textId="77777777" w:rsidR="00332F58" w:rsidRPr="00C6031E" w:rsidRDefault="00332F58" w:rsidP="00332F58">
            <w:pPr>
              <w:widowControl w:val="0"/>
              <w:tabs>
                <w:tab w:val="num" w:pos="0"/>
              </w:tabs>
              <w:ind w:right="-52"/>
              <w:jc w:val="right"/>
              <w:rPr>
                <w:b/>
                <w:bCs/>
                <w:snapToGrid w:val="0"/>
                <w:sz w:val="15"/>
                <w:szCs w:val="15"/>
              </w:rPr>
            </w:pPr>
            <w:r w:rsidRPr="00C93EEE">
              <w:rPr>
                <w:b/>
                <w:bCs/>
                <w:snapToGrid w:val="0"/>
                <w:sz w:val="15"/>
                <w:szCs w:val="15"/>
              </w:rPr>
              <w:t>Total</w:t>
            </w:r>
          </w:p>
        </w:tc>
      </w:tr>
      <w:tr w:rsidR="00332F58" w:rsidRPr="00C6031E" w14:paraId="30FF047C" w14:textId="77777777" w:rsidTr="008D6FDE">
        <w:tc>
          <w:tcPr>
            <w:tcW w:w="2422" w:type="dxa"/>
            <w:vAlign w:val="bottom"/>
          </w:tcPr>
          <w:p w14:paraId="5BE39425" w14:textId="77777777" w:rsidR="00332F58" w:rsidRPr="00C6031E" w:rsidRDefault="00332F58" w:rsidP="00332F58">
            <w:pPr>
              <w:pStyle w:val="BodyTextIndent"/>
              <w:widowControl w:val="0"/>
              <w:tabs>
                <w:tab w:val="num" w:pos="0"/>
                <w:tab w:val="left" w:pos="1276"/>
              </w:tabs>
              <w:spacing w:after="0"/>
              <w:ind w:left="0"/>
              <w:rPr>
                <w:b/>
                <w:sz w:val="15"/>
                <w:szCs w:val="15"/>
              </w:rPr>
            </w:pPr>
            <w:r>
              <w:rPr>
                <w:b/>
                <w:sz w:val="15"/>
                <w:szCs w:val="15"/>
              </w:rPr>
              <w:t>31 December 2014</w:t>
            </w:r>
          </w:p>
        </w:tc>
        <w:tc>
          <w:tcPr>
            <w:tcW w:w="1232" w:type="dxa"/>
            <w:vAlign w:val="bottom"/>
          </w:tcPr>
          <w:p w14:paraId="44B73B1D" w14:textId="77777777" w:rsidR="00332F58" w:rsidRPr="00C6031E" w:rsidRDefault="00332F58" w:rsidP="00332F58">
            <w:pPr>
              <w:pStyle w:val="BodyTextIndent"/>
              <w:widowControl w:val="0"/>
              <w:tabs>
                <w:tab w:val="num" w:pos="0"/>
              </w:tabs>
              <w:spacing w:after="0"/>
              <w:ind w:left="0" w:right="-64"/>
              <w:jc w:val="right"/>
              <w:rPr>
                <w:b/>
                <w:sz w:val="15"/>
                <w:szCs w:val="15"/>
              </w:rPr>
            </w:pPr>
          </w:p>
        </w:tc>
        <w:tc>
          <w:tcPr>
            <w:tcW w:w="1385" w:type="dxa"/>
            <w:vAlign w:val="bottom"/>
          </w:tcPr>
          <w:p w14:paraId="4463A20C" w14:textId="77777777" w:rsidR="00332F58" w:rsidRPr="00C6031E" w:rsidRDefault="00332F58" w:rsidP="00332F58">
            <w:pPr>
              <w:pStyle w:val="BodyTextIndent"/>
              <w:widowControl w:val="0"/>
              <w:tabs>
                <w:tab w:val="num" w:pos="0"/>
              </w:tabs>
              <w:spacing w:after="0"/>
              <w:ind w:left="0" w:right="-64"/>
              <w:jc w:val="right"/>
              <w:rPr>
                <w:b/>
                <w:sz w:val="15"/>
                <w:szCs w:val="15"/>
              </w:rPr>
            </w:pPr>
          </w:p>
        </w:tc>
        <w:tc>
          <w:tcPr>
            <w:tcW w:w="1138" w:type="dxa"/>
            <w:vAlign w:val="bottom"/>
          </w:tcPr>
          <w:p w14:paraId="3D4C9062" w14:textId="77777777" w:rsidR="00332F58" w:rsidRPr="00C6031E" w:rsidRDefault="00332F58" w:rsidP="00332F58">
            <w:pPr>
              <w:pStyle w:val="BodyTextIndent"/>
              <w:widowControl w:val="0"/>
              <w:tabs>
                <w:tab w:val="num" w:pos="0"/>
              </w:tabs>
              <w:spacing w:after="0"/>
              <w:ind w:left="0" w:right="-64"/>
              <w:jc w:val="right"/>
              <w:rPr>
                <w:b/>
                <w:sz w:val="15"/>
                <w:szCs w:val="15"/>
              </w:rPr>
            </w:pPr>
          </w:p>
        </w:tc>
        <w:tc>
          <w:tcPr>
            <w:tcW w:w="1144" w:type="dxa"/>
            <w:vAlign w:val="bottom"/>
          </w:tcPr>
          <w:p w14:paraId="3D4BDA44" w14:textId="77777777" w:rsidR="00332F58" w:rsidRPr="00C6031E" w:rsidRDefault="00332F58" w:rsidP="00332F58">
            <w:pPr>
              <w:pStyle w:val="BodyTextIndent"/>
              <w:widowControl w:val="0"/>
              <w:tabs>
                <w:tab w:val="num" w:pos="0"/>
              </w:tabs>
              <w:spacing w:after="0"/>
              <w:ind w:left="0" w:right="-64"/>
              <w:jc w:val="right"/>
              <w:rPr>
                <w:b/>
                <w:sz w:val="15"/>
                <w:szCs w:val="15"/>
              </w:rPr>
            </w:pPr>
          </w:p>
        </w:tc>
        <w:tc>
          <w:tcPr>
            <w:tcW w:w="1204" w:type="dxa"/>
            <w:vAlign w:val="bottom"/>
          </w:tcPr>
          <w:p w14:paraId="2201344D" w14:textId="77777777" w:rsidR="00332F58" w:rsidRPr="00C6031E" w:rsidRDefault="00332F58" w:rsidP="00332F58">
            <w:pPr>
              <w:pStyle w:val="BodyTextIndent"/>
              <w:widowControl w:val="0"/>
              <w:tabs>
                <w:tab w:val="num" w:pos="0"/>
              </w:tabs>
              <w:spacing w:after="0"/>
              <w:ind w:left="0" w:right="-64"/>
              <w:jc w:val="right"/>
              <w:rPr>
                <w:b/>
                <w:sz w:val="15"/>
                <w:szCs w:val="15"/>
              </w:rPr>
            </w:pPr>
          </w:p>
        </w:tc>
        <w:tc>
          <w:tcPr>
            <w:tcW w:w="1246" w:type="dxa"/>
            <w:vAlign w:val="bottom"/>
          </w:tcPr>
          <w:p w14:paraId="23404065" w14:textId="77777777" w:rsidR="00332F58" w:rsidRPr="00C6031E" w:rsidRDefault="00332F58" w:rsidP="00332F58">
            <w:pPr>
              <w:pStyle w:val="BodyTextIndent"/>
              <w:widowControl w:val="0"/>
              <w:tabs>
                <w:tab w:val="num" w:pos="0"/>
              </w:tabs>
              <w:spacing w:after="0"/>
              <w:ind w:left="0" w:right="-64"/>
              <w:jc w:val="right"/>
              <w:rPr>
                <w:b/>
                <w:sz w:val="15"/>
                <w:szCs w:val="15"/>
              </w:rPr>
            </w:pPr>
          </w:p>
        </w:tc>
        <w:tc>
          <w:tcPr>
            <w:tcW w:w="1304" w:type="dxa"/>
            <w:vAlign w:val="bottom"/>
          </w:tcPr>
          <w:p w14:paraId="72F33509" w14:textId="77777777" w:rsidR="00332F58" w:rsidRPr="00C6031E" w:rsidRDefault="00332F58" w:rsidP="00332F58">
            <w:pPr>
              <w:pStyle w:val="BodyTextIndent"/>
              <w:widowControl w:val="0"/>
              <w:tabs>
                <w:tab w:val="num" w:pos="0"/>
              </w:tabs>
              <w:spacing w:after="0"/>
              <w:ind w:left="0" w:right="-64"/>
              <w:jc w:val="right"/>
              <w:rPr>
                <w:b/>
                <w:sz w:val="15"/>
                <w:szCs w:val="15"/>
              </w:rPr>
            </w:pPr>
          </w:p>
        </w:tc>
        <w:tc>
          <w:tcPr>
            <w:tcW w:w="1134" w:type="dxa"/>
            <w:vAlign w:val="bottom"/>
          </w:tcPr>
          <w:p w14:paraId="77468C02" w14:textId="77777777" w:rsidR="00332F58" w:rsidRPr="00C6031E" w:rsidRDefault="00332F58" w:rsidP="00332F58">
            <w:pPr>
              <w:pStyle w:val="BodyTextIndent"/>
              <w:widowControl w:val="0"/>
              <w:tabs>
                <w:tab w:val="num" w:pos="0"/>
              </w:tabs>
              <w:spacing w:after="0"/>
              <w:ind w:left="0" w:right="-64"/>
              <w:jc w:val="right"/>
              <w:rPr>
                <w:b/>
                <w:sz w:val="15"/>
                <w:szCs w:val="15"/>
              </w:rPr>
            </w:pPr>
          </w:p>
        </w:tc>
        <w:tc>
          <w:tcPr>
            <w:tcW w:w="993" w:type="dxa"/>
            <w:vAlign w:val="bottom"/>
          </w:tcPr>
          <w:p w14:paraId="68761EBD" w14:textId="77777777" w:rsidR="00332F58" w:rsidRPr="00C6031E" w:rsidRDefault="00332F58" w:rsidP="00332F58">
            <w:pPr>
              <w:pStyle w:val="BodyTextIndent"/>
              <w:widowControl w:val="0"/>
              <w:tabs>
                <w:tab w:val="num" w:pos="0"/>
              </w:tabs>
              <w:spacing w:after="0"/>
              <w:ind w:left="0" w:right="-64"/>
              <w:jc w:val="right"/>
              <w:rPr>
                <w:b/>
                <w:sz w:val="15"/>
                <w:szCs w:val="15"/>
              </w:rPr>
            </w:pPr>
          </w:p>
        </w:tc>
        <w:tc>
          <w:tcPr>
            <w:tcW w:w="1168" w:type="dxa"/>
            <w:vAlign w:val="bottom"/>
          </w:tcPr>
          <w:p w14:paraId="168615CD" w14:textId="77777777" w:rsidR="00332F58" w:rsidRPr="00C6031E" w:rsidRDefault="00332F58" w:rsidP="00332F58">
            <w:pPr>
              <w:pStyle w:val="BodyTextIndent"/>
              <w:widowControl w:val="0"/>
              <w:tabs>
                <w:tab w:val="num" w:pos="0"/>
              </w:tabs>
              <w:spacing w:after="0"/>
              <w:ind w:left="0" w:right="-64"/>
              <w:jc w:val="right"/>
              <w:rPr>
                <w:b/>
                <w:sz w:val="15"/>
                <w:szCs w:val="15"/>
              </w:rPr>
            </w:pPr>
          </w:p>
        </w:tc>
      </w:tr>
      <w:tr w:rsidR="00224102" w:rsidRPr="00C6031E" w14:paraId="3F18B53B" w14:textId="77777777" w:rsidTr="008D6FDE">
        <w:tc>
          <w:tcPr>
            <w:tcW w:w="2422" w:type="dxa"/>
            <w:vAlign w:val="bottom"/>
          </w:tcPr>
          <w:p w14:paraId="425BC690" w14:textId="77777777" w:rsidR="00224102" w:rsidRPr="00C6031E" w:rsidRDefault="00224102" w:rsidP="00224102">
            <w:pPr>
              <w:pStyle w:val="BodyTextIndent"/>
              <w:widowControl w:val="0"/>
              <w:tabs>
                <w:tab w:val="num" w:pos="0"/>
                <w:tab w:val="left" w:pos="1276"/>
              </w:tabs>
              <w:spacing w:after="0"/>
              <w:ind w:left="0"/>
              <w:rPr>
                <w:sz w:val="15"/>
                <w:szCs w:val="15"/>
              </w:rPr>
            </w:pPr>
            <w:r w:rsidRPr="00C6031E">
              <w:rPr>
                <w:sz w:val="15"/>
                <w:szCs w:val="15"/>
              </w:rPr>
              <w:t>Domestic</w:t>
            </w:r>
          </w:p>
        </w:tc>
        <w:tc>
          <w:tcPr>
            <w:tcW w:w="1232" w:type="dxa"/>
            <w:vAlign w:val="bottom"/>
          </w:tcPr>
          <w:p w14:paraId="55DD6105" w14:textId="730E7CEE" w:rsidR="00224102" w:rsidRPr="00E33C73" w:rsidRDefault="00224102" w:rsidP="007C1215">
            <w:pPr>
              <w:ind w:right="-23"/>
              <w:jc w:val="right"/>
              <w:rPr>
                <w:rFonts w:eastAsia="Arial Unicode MS"/>
                <w:sz w:val="16"/>
                <w:szCs w:val="16"/>
              </w:rPr>
            </w:pPr>
            <w:r w:rsidRPr="00E33C73">
              <w:rPr>
                <w:rFonts w:eastAsia="Arial Unicode MS"/>
                <w:sz w:val="16"/>
                <w:szCs w:val="16"/>
              </w:rPr>
              <w:t>2,158,320</w:t>
            </w:r>
          </w:p>
        </w:tc>
        <w:tc>
          <w:tcPr>
            <w:tcW w:w="1385" w:type="dxa"/>
            <w:vAlign w:val="bottom"/>
          </w:tcPr>
          <w:p w14:paraId="28DFED6F" w14:textId="3F661BD1" w:rsidR="00224102" w:rsidRPr="00E33C73" w:rsidRDefault="00224102" w:rsidP="007C1215">
            <w:pPr>
              <w:ind w:right="-23"/>
              <w:jc w:val="right"/>
              <w:rPr>
                <w:rFonts w:eastAsia="Arial Unicode MS"/>
                <w:sz w:val="16"/>
                <w:szCs w:val="16"/>
              </w:rPr>
            </w:pPr>
            <w:r w:rsidRPr="00E33C73">
              <w:rPr>
                <w:rFonts w:eastAsia="Arial Unicode MS"/>
                <w:sz w:val="16"/>
                <w:szCs w:val="16"/>
              </w:rPr>
              <w:t>1,476</w:t>
            </w:r>
          </w:p>
        </w:tc>
        <w:tc>
          <w:tcPr>
            <w:tcW w:w="1138" w:type="dxa"/>
            <w:vAlign w:val="bottom"/>
          </w:tcPr>
          <w:p w14:paraId="31A49564" w14:textId="53CF441C" w:rsidR="00224102" w:rsidRPr="00E33C73" w:rsidRDefault="00224102" w:rsidP="007C1215">
            <w:pPr>
              <w:ind w:right="-23"/>
              <w:jc w:val="right"/>
              <w:rPr>
                <w:rFonts w:eastAsia="Arial Unicode MS"/>
                <w:sz w:val="16"/>
                <w:szCs w:val="16"/>
              </w:rPr>
            </w:pPr>
            <w:r w:rsidRPr="00E33C73">
              <w:rPr>
                <w:rFonts w:eastAsia="Arial Unicode MS"/>
                <w:sz w:val="16"/>
                <w:szCs w:val="16"/>
              </w:rPr>
              <w:t>370,565</w:t>
            </w:r>
          </w:p>
        </w:tc>
        <w:tc>
          <w:tcPr>
            <w:tcW w:w="1144" w:type="dxa"/>
            <w:vAlign w:val="bottom"/>
          </w:tcPr>
          <w:p w14:paraId="1203DD8B" w14:textId="0A63BD52" w:rsidR="00224102" w:rsidRPr="00E33C73" w:rsidRDefault="00224102" w:rsidP="007C1215">
            <w:pPr>
              <w:ind w:right="-23"/>
              <w:jc w:val="right"/>
              <w:rPr>
                <w:rFonts w:eastAsia="Arial Unicode MS"/>
                <w:sz w:val="16"/>
                <w:szCs w:val="16"/>
              </w:rPr>
            </w:pPr>
            <w:r w:rsidRPr="00E33C73">
              <w:rPr>
                <w:rFonts w:eastAsia="Arial Unicode MS"/>
                <w:sz w:val="16"/>
                <w:szCs w:val="16"/>
              </w:rPr>
              <w:t>4,716,186</w:t>
            </w:r>
          </w:p>
        </w:tc>
        <w:tc>
          <w:tcPr>
            <w:tcW w:w="1204" w:type="dxa"/>
            <w:vAlign w:val="bottom"/>
          </w:tcPr>
          <w:p w14:paraId="3956EA86" w14:textId="77DBE180" w:rsidR="00224102" w:rsidRPr="00E33C73" w:rsidRDefault="00224102" w:rsidP="007C1215">
            <w:pPr>
              <w:ind w:right="-23"/>
              <w:jc w:val="right"/>
              <w:rPr>
                <w:rFonts w:eastAsia="Arial Unicode MS"/>
                <w:sz w:val="16"/>
                <w:szCs w:val="16"/>
              </w:rPr>
            </w:pPr>
            <w:r w:rsidRPr="00E33C73">
              <w:rPr>
                <w:rFonts w:eastAsia="Arial Unicode MS"/>
                <w:sz w:val="16"/>
                <w:szCs w:val="16"/>
              </w:rPr>
              <w:t>3,503,925</w:t>
            </w:r>
          </w:p>
        </w:tc>
        <w:tc>
          <w:tcPr>
            <w:tcW w:w="1246" w:type="dxa"/>
            <w:vAlign w:val="bottom"/>
          </w:tcPr>
          <w:p w14:paraId="566FE607" w14:textId="0A53A240" w:rsidR="00224102" w:rsidRPr="00E33C73" w:rsidRDefault="00224102" w:rsidP="007C1215">
            <w:pPr>
              <w:ind w:right="-23"/>
              <w:jc w:val="right"/>
              <w:rPr>
                <w:rFonts w:eastAsia="Arial Unicode MS"/>
                <w:sz w:val="16"/>
                <w:szCs w:val="16"/>
              </w:rPr>
            </w:pPr>
            <w:r w:rsidRPr="00E33C73">
              <w:rPr>
                <w:rFonts w:eastAsia="Arial Unicode MS"/>
                <w:sz w:val="16"/>
                <w:szCs w:val="16"/>
              </w:rPr>
              <w:t>1,289,958</w:t>
            </w:r>
          </w:p>
        </w:tc>
        <w:tc>
          <w:tcPr>
            <w:tcW w:w="1304" w:type="dxa"/>
            <w:vAlign w:val="bottom"/>
          </w:tcPr>
          <w:p w14:paraId="1DD88219" w14:textId="79F1E032" w:rsidR="00224102" w:rsidRPr="00E33C73" w:rsidRDefault="00224102" w:rsidP="007C1215">
            <w:pPr>
              <w:ind w:right="-23"/>
              <w:jc w:val="right"/>
              <w:rPr>
                <w:rFonts w:eastAsia="Arial Unicode MS"/>
                <w:sz w:val="16"/>
                <w:szCs w:val="16"/>
              </w:rPr>
            </w:pPr>
            <w:r w:rsidRPr="00E33C73">
              <w:rPr>
                <w:rFonts w:eastAsia="Arial Unicode MS"/>
                <w:sz w:val="16"/>
                <w:szCs w:val="16"/>
              </w:rPr>
              <w:t>171,630</w:t>
            </w:r>
          </w:p>
        </w:tc>
        <w:tc>
          <w:tcPr>
            <w:tcW w:w="1134" w:type="dxa"/>
            <w:vAlign w:val="bottom"/>
          </w:tcPr>
          <w:p w14:paraId="1603AD9C" w14:textId="6C617B23" w:rsidR="00224102" w:rsidRPr="00E33C73" w:rsidRDefault="00224102" w:rsidP="007C1215">
            <w:pPr>
              <w:ind w:right="-23"/>
              <w:jc w:val="right"/>
              <w:rPr>
                <w:rFonts w:eastAsia="Arial Unicode MS"/>
                <w:sz w:val="16"/>
                <w:szCs w:val="16"/>
              </w:rPr>
            </w:pPr>
            <w:r w:rsidRPr="00E33C73">
              <w:rPr>
                <w:rFonts w:eastAsia="Arial Unicode MS"/>
                <w:sz w:val="16"/>
                <w:szCs w:val="16"/>
              </w:rPr>
              <w:t>160,439</w:t>
            </w:r>
          </w:p>
        </w:tc>
        <w:tc>
          <w:tcPr>
            <w:tcW w:w="993" w:type="dxa"/>
            <w:vAlign w:val="bottom"/>
          </w:tcPr>
          <w:p w14:paraId="2627F9D0" w14:textId="7BAABEB3"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68" w:type="dxa"/>
            <w:vAlign w:val="bottom"/>
          </w:tcPr>
          <w:p w14:paraId="66A7669E" w14:textId="480FA264" w:rsidR="00224102" w:rsidRPr="00E33C73" w:rsidRDefault="00224102" w:rsidP="007C1215">
            <w:pPr>
              <w:ind w:right="-23"/>
              <w:jc w:val="right"/>
              <w:rPr>
                <w:rFonts w:eastAsia="Arial Unicode MS"/>
                <w:sz w:val="16"/>
                <w:szCs w:val="16"/>
              </w:rPr>
            </w:pPr>
            <w:r w:rsidRPr="00E33C73">
              <w:rPr>
                <w:rFonts w:eastAsia="Arial Unicode MS"/>
                <w:sz w:val="16"/>
                <w:szCs w:val="16"/>
              </w:rPr>
              <w:t>12,372,499</w:t>
            </w:r>
          </w:p>
        </w:tc>
      </w:tr>
      <w:tr w:rsidR="00224102" w:rsidRPr="00C6031E" w14:paraId="023B19BE" w14:textId="77777777" w:rsidTr="008D6FDE">
        <w:tc>
          <w:tcPr>
            <w:tcW w:w="2422" w:type="dxa"/>
            <w:vAlign w:val="bottom"/>
          </w:tcPr>
          <w:p w14:paraId="31ED7F9C" w14:textId="77777777" w:rsidR="00224102" w:rsidRPr="00C6031E" w:rsidRDefault="00224102" w:rsidP="00224102">
            <w:pPr>
              <w:pStyle w:val="BodyTextIndent"/>
              <w:widowControl w:val="0"/>
              <w:tabs>
                <w:tab w:val="num" w:pos="0"/>
                <w:tab w:val="left" w:pos="1276"/>
              </w:tabs>
              <w:spacing w:after="0"/>
              <w:ind w:left="0"/>
              <w:rPr>
                <w:sz w:val="15"/>
                <w:szCs w:val="15"/>
              </w:rPr>
            </w:pPr>
            <w:r w:rsidRPr="00C6031E">
              <w:rPr>
                <w:sz w:val="15"/>
                <w:szCs w:val="15"/>
              </w:rPr>
              <w:t>EU Countries</w:t>
            </w:r>
          </w:p>
        </w:tc>
        <w:tc>
          <w:tcPr>
            <w:tcW w:w="1232" w:type="dxa"/>
            <w:vAlign w:val="bottom"/>
          </w:tcPr>
          <w:p w14:paraId="7F456214" w14:textId="144142DF"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85" w:type="dxa"/>
            <w:vAlign w:val="bottom"/>
          </w:tcPr>
          <w:p w14:paraId="23D09460" w14:textId="28480E31"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8" w:type="dxa"/>
            <w:vAlign w:val="bottom"/>
          </w:tcPr>
          <w:p w14:paraId="13D8EB23" w14:textId="3584D1EF" w:rsidR="00224102" w:rsidRPr="00E33C73" w:rsidRDefault="00224102" w:rsidP="007C1215">
            <w:pPr>
              <w:ind w:right="-23"/>
              <w:jc w:val="right"/>
              <w:rPr>
                <w:rFonts w:eastAsia="Arial Unicode MS"/>
                <w:sz w:val="16"/>
                <w:szCs w:val="16"/>
              </w:rPr>
            </w:pPr>
            <w:r w:rsidRPr="00E33C73">
              <w:rPr>
                <w:rFonts w:eastAsia="Arial Unicode MS"/>
                <w:sz w:val="16"/>
                <w:szCs w:val="16"/>
              </w:rPr>
              <w:t>19,420</w:t>
            </w:r>
          </w:p>
        </w:tc>
        <w:tc>
          <w:tcPr>
            <w:tcW w:w="1144" w:type="dxa"/>
            <w:vAlign w:val="bottom"/>
          </w:tcPr>
          <w:p w14:paraId="03C16367" w14:textId="341E8F0A" w:rsidR="00224102" w:rsidRPr="00E33C73" w:rsidRDefault="00224102" w:rsidP="007C1215">
            <w:pPr>
              <w:ind w:right="-23"/>
              <w:jc w:val="right"/>
              <w:rPr>
                <w:rFonts w:eastAsia="Arial Unicode MS"/>
                <w:sz w:val="16"/>
                <w:szCs w:val="16"/>
              </w:rPr>
            </w:pPr>
            <w:r w:rsidRPr="00E33C73">
              <w:rPr>
                <w:rFonts w:eastAsia="Arial Unicode MS"/>
                <w:sz w:val="16"/>
                <w:szCs w:val="16"/>
              </w:rPr>
              <w:t>45,587</w:t>
            </w:r>
          </w:p>
        </w:tc>
        <w:tc>
          <w:tcPr>
            <w:tcW w:w="1204" w:type="dxa"/>
            <w:vAlign w:val="bottom"/>
          </w:tcPr>
          <w:p w14:paraId="2D0F170C" w14:textId="3B7EA241" w:rsidR="00224102" w:rsidRPr="00E33C73" w:rsidRDefault="00224102" w:rsidP="007C1215">
            <w:pPr>
              <w:ind w:right="-23"/>
              <w:jc w:val="right"/>
              <w:rPr>
                <w:rFonts w:eastAsia="Arial Unicode MS"/>
                <w:sz w:val="16"/>
                <w:szCs w:val="16"/>
              </w:rPr>
            </w:pPr>
            <w:r w:rsidRPr="00E33C73">
              <w:rPr>
                <w:rFonts w:eastAsia="Arial Unicode MS"/>
                <w:sz w:val="16"/>
                <w:szCs w:val="16"/>
              </w:rPr>
              <w:t>121</w:t>
            </w:r>
          </w:p>
        </w:tc>
        <w:tc>
          <w:tcPr>
            <w:tcW w:w="1246" w:type="dxa"/>
            <w:vAlign w:val="bottom"/>
          </w:tcPr>
          <w:p w14:paraId="36F3FCC7" w14:textId="5BA524C4" w:rsidR="00224102" w:rsidRPr="00E33C73" w:rsidRDefault="00224102" w:rsidP="007C1215">
            <w:pPr>
              <w:ind w:right="-23"/>
              <w:jc w:val="right"/>
              <w:rPr>
                <w:rFonts w:eastAsia="Arial Unicode MS"/>
                <w:sz w:val="16"/>
                <w:szCs w:val="16"/>
              </w:rPr>
            </w:pPr>
            <w:r w:rsidRPr="00E33C73">
              <w:rPr>
                <w:rFonts w:eastAsia="Arial Unicode MS"/>
                <w:sz w:val="16"/>
                <w:szCs w:val="16"/>
              </w:rPr>
              <w:t>10,637</w:t>
            </w:r>
          </w:p>
        </w:tc>
        <w:tc>
          <w:tcPr>
            <w:tcW w:w="1304" w:type="dxa"/>
            <w:vAlign w:val="bottom"/>
          </w:tcPr>
          <w:p w14:paraId="49353AD4" w14:textId="793DFA7E"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4" w:type="dxa"/>
            <w:vAlign w:val="bottom"/>
          </w:tcPr>
          <w:p w14:paraId="1A1EBD5F" w14:textId="2B48857B"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993" w:type="dxa"/>
            <w:vAlign w:val="bottom"/>
          </w:tcPr>
          <w:p w14:paraId="28539DA3" w14:textId="5A1BE930"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68" w:type="dxa"/>
            <w:vAlign w:val="bottom"/>
          </w:tcPr>
          <w:p w14:paraId="2AD32B91" w14:textId="1FB66586" w:rsidR="00224102" w:rsidRPr="00E33C73" w:rsidRDefault="00224102" w:rsidP="007C1215">
            <w:pPr>
              <w:ind w:right="-23"/>
              <w:jc w:val="right"/>
              <w:rPr>
                <w:rFonts w:eastAsia="Arial Unicode MS"/>
                <w:sz w:val="16"/>
                <w:szCs w:val="16"/>
              </w:rPr>
            </w:pPr>
            <w:r w:rsidRPr="00E33C73">
              <w:rPr>
                <w:rFonts w:eastAsia="Arial Unicode MS"/>
                <w:sz w:val="16"/>
                <w:szCs w:val="16"/>
              </w:rPr>
              <w:t>75,765</w:t>
            </w:r>
          </w:p>
        </w:tc>
      </w:tr>
      <w:tr w:rsidR="00224102" w:rsidRPr="00C6031E" w14:paraId="3731EB62" w14:textId="77777777" w:rsidTr="008D6FDE">
        <w:tc>
          <w:tcPr>
            <w:tcW w:w="2422" w:type="dxa"/>
            <w:vAlign w:val="bottom"/>
          </w:tcPr>
          <w:p w14:paraId="30574D1D" w14:textId="77777777" w:rsidR="00224102" w:rsidRPr="00C6031E" w:rsidRDefault="00224102" w:rsidP="00224102">
            <w:pPr>
              <w:pStyle w:val="BodyTextIndent"/>
              <w:widowControl w:val="0"/>
              <w:tabs>
                <w:tab w:val="num" w:pos="0"/>
                <w:tab w:val="left" w:pos="1276"/>
              </w:tabs>
              <w:spacing w:after="0"/>
              <w:ind w:left="0"/>
              <w:rPr>
                <w:sz w:val="15"/>
                <w:szCs w:val="15"/>
              </w:rPr>
            </w:pPr>
            <w:r w:rsidRPr="00C6031E">
              <w:rPr>
                <w:sz w:val="15"/>
                <w:szCs w:val="15"/>
              </w:rPr>
              <w:t>OECD Countries (**)</w:t>
            </w:r>
          </w:p>
        </w:tc>
        <w:tc>
          <w:tcPr>
            <w:tcW w:w="1232" w:type="dxa"/>
            <w:vAlign w:val="bottom"/>
          </w:tcPr>
          <w:p w14:paraId="20362922" w14:textId="401266F1"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85" w:type="dxa"/>
            <w:vAlign w:val="bottom"/>
          </w:tcPr>
          <w:p w14:paraId="58D4AE6E" w14:textId="3D7528D4"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8" w:type="dxa"/>
            <w:vAlign w:val="bottom"/>
          </w:tcPr>
          <w:p w14:paraId="72348AD3" w14:textId="323BA725" w:rsidR="00224102" w:rsidRPr="00E33C73" w:rsidRDefault="00224102" w:rsidP="007C1215">
            <w:pPr>
              <w:ind w:right="-23"/>
              <w:jc w:val="right"/>
              <w:rPr>
                <w:rFonts w:eastAsia="Arial Unicode MS"/>
                <w:sz w:val="16"/>
                <w:szCs w:val="16"/>
              </w:rPr>
            </w:pPr>
            <w:r w:rsidRPr="00E33C73">
              <w:rPr>
                <w:rFonts w:eastAsia="Arial Unicode MS"/>
                <w:sz w:val="16"/>
                <w:szCs w:val="16"/>
              </w:rPr>
              <w:t>1,270</w:t>
            </w:r>
          </w:p>
        </w:tc>
        <w:tc>
          <w:tcPr>
            <w:tcW w:w="1144" w:type="dxa"/>
            <w:vAlign w:val="bottom"/>
          </w:tcPr>
          <w:p w14:paraId="64BEAAD3" w14:textId="3DA685B2"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04" w:type="dxa"/>
            <w:vAlign w:val="bottom"/>
          </w:tcPr>
          <w:p w14:paraId="01AC4955" w14:textId="66472473"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46" w:type="dxa"/>
            <w:vAlign w:val="bottom"/>
          </w:tcPr>
          <w:p w14:paraId="4985EBD7" w14:textId="2153A260"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04" w:type="dxa"/>
            <w:vAlign w:val="bottom"/>
          </w:tcPr>
          <w:p w14:paraId="31B56629" w14:textId="42E0A2B1"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4" w:type="dxa"/>
            <w:vAlign w:val="bottom"/>
          </w:tcPr>
          <w:p w14:paraId="171CEF37" w14:textId="089948C1"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993" w:type="dxa"/>
            <w:vAlign w:val="bottom"/>
          </w:tcPr>
          <w:p w14:paraId="4C11CCEC" w14:textId="494C7E4E"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68" w:type="dxa"/>
            <w:vAlign w:val="bottom"/>
          </w:tcPr>
          <w:p w14:paraId="61EF5F8F" w14:textId="1D723856" w:rsidR="00224102" w:rsidRPr="00E33C73" w:rsidRDefault="00224102" w:rsidP="007C1215">
            <w:pPr>
              <w:ind w:right="-23"/>
              <w:jc w:val="right"/>
              <w:rPr>
                <w:rFonts w:eastAsia="Arial Unicode MS"/>
                <w:sz w:val="16"/>
                <w:szCs w:val="16"/>
              </w:rPr>
            </w:pPr>
            <w:r w:rsidRPr="00E33C73">
              <w:rPr>
                <w:rFonts w:eastAsia="Arial Unicode MS"/>
                <w:sz w:val="16"/>
                <w:szCs w:val="16"/>
              </w:rPr>
              <w:t>1,270</w:t>
            </w:r>
          </w:p>
        </w:tc>
      </w:tr>
      <w:tr w:rsidR="00224102" w:rsidRPr="00C6031E" w14:paraId="03BBAFB2" w14:textId="77777777" w:rsidTr="008D6FDE">
        <w:tc>
          <w:tcPr>
            <w:tcW w:w="2422" w:type="dxa"/>
            <w:vAlign w:val="bottom"/>
          </w:tcPr>
          <w:p w14:paraId="111FE0CD" w14:textId="77777777" w:rsidR="00224102" w:rsidRPr="00C6031E" w:rsidRDefault="00224102" w:rsidP="00224102">
            <w:pPr>
              <w:pStyle w:val="BodyTextIndent"/>
              <w:widowControl w:val="0"/>
              <w:tabs>
                <w:tab w:val="num" w:pos="0"/>
                <w:tab w:val="left" w:pos="1276"/>
              </w:tabs>
              <w:spacing w:after="0"/>
              <w:ind w:left="0"/>
              <w:rPr>
                <w:sz w:val="15"/>
                <w:szCs w:val="15"/>
              </w:rPr>
            </w:pPr>
            <w:r w:rsidRPr="00C6031E">
              <w:rPr>
                <w:sz w:val="15"/>
                <w:szCs w:val="15"/>
              </w:rPr>
              <w:t>Off-Shore Banking Regions</w:t>
            </w:r>
          </w:p>
        </w:tc>
        <w:tc>
          <w:tcPr>
            <w:tcW w:w="1232" w:type="dxa"/>
            <w:vAlign w:val="bottom"/>
          </w:tcPr>
          <w:p w14:paraId="0EFFD5EB" w14:textId="7ACC0E5B"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85" w:type="dxa"/>
            <w:vAlign w:val="bottom"/>
          </w:tcPr>
          <w:p w14:paraId="07BE49C1" w14:textId="69E21854"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8" w:type="dxa"/>
            <w:vAlign w:val="bottom"/>
          </w:tcPr>
          <w:p w14:paraId="2A201920" w14:textId="4046E237" w:rsidR="00224102" w:rsidRPr="00E33C73" w:rsidRDefault="00E33C73" w:rsidP="007C1215">
            <w:pPr>
              <w:ind w:right="-23"/>
              <w:jc w:val="right"/>
              <w:rPr>
                <w:rFonts w:eastAsia="Arial Unicode MS"/>
                <w:sz w:val="16"/>
                <w:szCs w:val="16"/>
              </w:rPr>
            </w:pPr>
            <w:r>
              <w:rPr>
                <w:rFonts w:eastAsia="Arial Unicode MS"/>
                <w:sz w:val="16"/>
                <w:szCs w:val="16"/>
              </w:rPr>
              <w:t>-</w:t>
            </w:r>
            <w:r w:rsidR="00224102" w:rsidRPr="00E33C73">
              <w:rPr>
                <w:rFonts w:eastAsia="Arial Unicode MS"/>
                <w:sz w:val="16"/>
                <w:szCs w:val="16"/>
              </w:rPr>
              <w:t> </w:t>
            </w:r>
          </w:p>
        </w:tc>
        <w:tc>
          <w:tcPr>
            <w:tcW w:w="1144" w:type="dxa"/>
            <w:vAlign w:val="bottom"/>
          </w:tcPr>
          <w:p w14:paraId="2C70BA51" w14:textId="271929EA"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04" w:type="dxa"/>
            <w:vAlign w:val="bottom"/>
          </w:tcPr>
          <w:p w14:paraId="7BA87928" w14:textId="71EDB0D1"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46" w:type="dxa"/>
            <w:vAlign w:val="bottom"/>
          </w:tcPr>
          <w:p w14:paraId="093CFB88" w14:textId="4ADB9546"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04" w:type="dxa"/>
            <w:vAlign w:val="bottom"/>
          </w:tcPr>
          <w:p w14:paraId="038A3799" w14:textId="7649B33B"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4" w:type="dxa"/>
            <w:vAlign w:val="bottom"/>
          </w:tcPr>
          <w:p w14:paraId="68839BFB" w14:textId="0245B01B"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993" w:type="dxa"/>
            <w:vAlign w:val="bottom"/>
          </w:tcPr>
          <w:p w14:paraId="1C03DD41" w14:textId="78E36D0B"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68" w:type="dxa"/>
            <w:vAlign w:val="bottom"/>
          </w:tcPr>
          <w:p w14:paraId="5B4BBDC2" w14:textId="400BE52C" w:rsidR="00224102" w:rsidRPr="00E33C73" w:rsidRDefault="00224102" w:rsidP="007C1215">
            <w:pPr>
              <w:ind w:right="-23"/>
              <w:jc w:val="right"/>
              <w:rPr>
                <w:rFonts w:eastAsia="Arial Unicode MS"/>
                <w:sz w:val="16"/>
                <w:szCs w:val="16"/>
              </w:rPr>
            </w:pPr>
            <w:r w:rsidRPr="00E33C73">
              <w:rPr>
                <w:rFonts w:eastAsia="Arial Unicode MS"/>
                <w:sz w:val="16"/>
                <w:szCs w:val="16"/>
              </w:rPr>
              <w:t>-</w:t>
            </w:r>
          </w:p>
        </w:tc>
      </w:tr>
      <w:tr w:rsidR="00224102" w:rsidRPr="00C6031E" w14:paraId="15E159D2" w14:textId="77777777" w:rsidTr="008D6FDE">
        <w:tc>
          <w:tcPr>
            <w:tcW w:w="2422" w:type="dxa"/>
            <w:vAlign w:val="bottom"/>
          </w:tcPr>
          <w:p w14:paraId="524FE893" w14:textId="77777777" w:rsidR="00224102" w:rsidRPr="00C6031E" w:rsidRDefault="00224102" w:rsidP="00224102">
            <w:pPr>
              <w:pStyle w:val="BodyTextIndent"/>
              <w:widowControl w:val="0"/>
              <w:tabs>
                <w:tab w:val="num" w:pos="0"/>
                <w:tab w:val="left" w:pos="1276"/>
              </w:tabs>
              <w:spacing w:after="0"/>
              <w:ind w:left="0"/>
              <w:rPr>
                <w:sz w:val="15"/>
                <w:szCs w:val="15"/>
              </w:rPr>
            </w:pPr>
            <w:r w:rsidRPr="00C6031E">
              <w:rPr>
                <w:sz w:val="15"/>
                <w:szCs w:val="15"/>
              </w:rPr>
              <w:t>USA, Canada</w:t>
            </w:r>
          </w:p>
        </w:tc>
        <w:tc>
          <w:tcPr>
            <w:tcW w:w="1232" w:type="dxa"/>
            <w:vAlign w:val="bottom"/>
          </w:tcPr>
          <w:p w14:paraId="5E9A2FFC" w14:textId="40B7E6D5"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85" w:type="dxa"/>
            <w:vAlign w:val="bottom"/>
          </w:tcPr>
          <w:p w14:paraId="5C2FB58E" w14:textId="4F49B732"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8" w:type="dxa"/>
            <w:vAlign w:val="bottom"/>
          </w:tcPr>
          <w:p w14:paraId="2D54EEB7" w14:textId="2D5FB4D2" w:rsidR="00224102" w:rsidRPr="00E33C73" w:rsidRDefault="00224102" w:rsidP="007C1215">
            <w:pPr>
              <w:ind w:right="-23"/>
              <w:jc w:val="right"/>
              <w:rPr>
                <w:rFonts w:eastAsia="Arial Unicode MS"/>
                <w:sz w:val="16"/>
                <w:szCs w:val="16"/>
              </w:rPr>
            </w:pPr>
            <w:r w:rsidRPr="00E33C73">
              <w:rPr>
                <w:rFonts w:eastAsia="Arial Unicode MS"/>
                <w:sz w:val="16"/>
                <w:szCs w:val="16"/>
              </w:rPr>
              <w:t>13,986</w:t>
            </w:r>
          </w:p>
        </w:tc>
        <w:tc>
          <w:tcPr>
            <w:tcW w:w="1144" w:type="dxa"/>
            <w:vAlign w:val="bottom"/>
          </w:tcPr>
          <w:p w14:paraId="2E56AC10" w14:textId="1F82E2A4"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04" w:type="dxa"/>
            <w:vAlign w:val="bottom"/>
          </w:tcPr>
          <w:p w14:paraId="4E13A386" w14:textId="7EF1AE89"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46" w:type="dxa"/>
            <w:vAlign w:val="bottom"/>
          </w:tcPr>
          <w:p w14:paraId="627530FB" w14:textId="5BE1085B"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04" w:type="dxa"/>
            <w:vAlign w:val="bottom"/>
          </w:tcPr>
          <w:p w14:paraId="44E4FD34" w14:textId="2570C7D1"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4" w:type="dxa"/>
            <w:vAlign w:val="bottom"/>
          </w:tcPr>
          <w:p w14:paraId="1FD27C93" w14:textId="27E447D6"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993" w:type="dxa"/>
            <w:vAlign w:val="bottom"/>
          </w:tcPr>
          <w:p w14:paraId="6901CE38" w14:textId="77651629"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68" w:type="dxa"/>
            <w:vAlign w:val="bottom"/>
          </w:tcPr>
          <w:p w14:paraId="05512ABD" w14:textId="1383B7CC" w:rsidR="00224102" w:rsidRPr="00E33C73" w:rsidRDefault="00224102" w:rsidP="007C1215">
            <w:pPr>
              <w:ind w:right="-23"/>
              <w:jc w:val="right"/>
              <w:rPr>
                <w:rFonts w:eastAsia="Arial Unicode MS"/>
                <w:sz w:val="16"/>
                <w:szCs w:val="16"/>
              </w:rPr>
            </w:pPr>
            <w:r w:rsidRPr="00E33C73">
              <w:rPr>
                <w:rFonts w:eastAsia="Arial Unicode MS"/>
                <w:sz w:val="16"/>
                <w:szCs w:val="16"/>
              </w:rPr>
              <w:t>13,986</w:t>
            </w:r>
          </w:p>
        </w:tc>
      </w:tr>
      <w:tr w:rsidR="00224102" w:rsidRPr="00C6031E" w14:paraId="3A4621D4" w14:textId="77777777" w:rsidTr="008D6FDE">
        <w:tc>
          <w:tcPr>
            <w:tcW w:w="2422" w:type="dxa"/>
            <w:vAlign w:val="bottom"/>
          </w:tcPr>
          <w:p w14:paraId="013F99DF" w14:textId="77777777" w:rsidR="00224102" w:rsidRPr="00C6031E" w:rsidRDefault="00224102" w:rsidP="00224102">
            <w:pPr>
              <w:pStyle w:val="BodyTextIndent"/>
              <w:widowControl w:val="0"/>
              <w:tabs>
                <w:tab w:val="num" w:pos="0"/>
                <w:tab w:val="left" w:pos="1276"/>
              </w:tabs>
              <w:spacing w:after="0"/>
              <w:ind w:left="0"/>
              <w:rPr>
                <w:sz w:val="15"/>
                <w:szCs w:val="15"/>
              </w:rPr>
            </w:pPr>
            <w:r w:rsidRPr="00C6031E">
              <w:rPr>
                <w:sz w:val="15"/>
                <w:szCs w:val="15"/>
              </w:rPr>
              <w:t>Other Countries</w:t>
            </w:r>
          </w:p>
        </w:tc>
        <w:tc>
          <w:tcPr>
            <w:tcW w:w="1232" w:type="dxa"/>
            <w:vAlign w:val="bottom"/>
          </w:tcPr>
          <w:p w14:paraId="7FFEA58C" w14:textId="7EC495FD"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85" w:type="dxa"/>
            <w:vAlign w:val="bottom"/>
          </w:tcPr>
          <w:p w14:paraId="6721EC23" w14:textId="61865F31"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8" w:type="dxa"/>
            <w:vAlign w:val="bottom"/>
          </w:tcPr>
          <w:p w14:paraId="1B6CDEE6" w14:textId="1CF0F4E0" w:rsidR="00224102" w:rsidRPr="00E33C73" w:rsidRDefault="00224102" w:rsidP="007C1215">
            <w:pPr>
              <w:ind w:right="-23"/>
              <w:jc w:val="right"/>
              <w:rPr>
                <w:rFonts w:eastAsia="Arial Unicode MS"/>
                <w:sz w:val="16"/>
                <w:szCs w:val="16"/>
              </w:rPr>
            </w:pPr>
            <w:r w:rsidRPr="00E33C73">
              <w:rPr>
                <w:rFonts w:eastAsia="Arial Unicode MS"/>
                <w:sz w:val="16"/>
                <w:szCs w:val="16"/>
              </w:rPr>
              <w:t>2,858</w:t>
            </w:r>
          </w:p>
        </w:tc>
        <w:tc>
          <w:tcPr>
            <w:tcW w:w="1144" w:type="dxa"/>
            <w:vAlign w:val="bottom"/>
          </w:tcPr>
          <w:p w14:paraId="3AAFCB69" w14:textId="0530A4CC" w:rsidR="00224102" w:rsidRPr="00E33C73" w:rsidRDefault="00224102" w:rsidP="007C1215">
            <w:pPr>
              <w:ind w:right="-23"/>
              <w:jc w:val="right"/>
              <w:rPr>
                <w:rFonts w:eastAsia="Arial Unicode MS"/>
                <w:sz w:val="16"/>
                <w:szCs w:val="16"/>
              </w:rPr>
            </w:pPr>
            <w:r w:rsidRPr="00E33C73">
              <w:rPr>
                <w:rFonts w:eastAsia="Arial Unicode MS"/>
                <w:sz w:val="16"/>
                <w:szCs w:val="16"/>
              </w:rPr>
              <w:t>33,183</w:t>
            </w:r>
          </w:p>
        </w:tc>
        <w:tc>
          <w:tcPr>
            <w:tcW w:w="1204" w:type="dxa"/>
            <w:vAlign w:val="bottom"/>
          </w:tcPr>
          <w:p w14:paraId="051B5B48" w14:textId="405DCA25" w:rsidR="00224102" w:rsidRPr="00E33C73" w:rsidRDefault="00224102" w:rsidP="007C1215">
            <w:pPr>
              <w:ind w:right="-23"/>
              <w:jc w:val="right"/>
              <w:rPr>
                <w:rFonts w:eastAsia="Arial Unicode MS"/>
                <w:sz w:val="16"/>
                <w:szCs w:val="16"/>
              </w:rPr>
            </w:pPr>
            <w:r w:rsidRPr="00E33C73">
              <w:rPr>
                <w:rFonts w:eastAsia="Arial Unicode MS"/>
                <w:sz w:val="16"/>
                <w:szCs w:val="16"/>
              </w:rPr>
              <w:t>60</w:t>
            </w:r>
          </w:p>
        </w:tc>
        <w:tc>
          <w:tcPr>
            <w:tcW w:w="1246" w:type="dxa"/>
            <w:vAlign w:val="bottom"/>
          </w:tcPr>
          <w:p w14:paraId="05898E5C" w14:textId="28C66FA0"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04" w:type="dxa"/>
            <w:vAlign w:val="bottom"/>
          </w:tcPr>
          <w:p w14:paraId="0927118D" w14:textId="3F941238"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4" w:type="dxa"/>
            <w:vAlign w:val="bottom"/>
          </w:tcPr>
          <w:p w14:paraId="3AD9158E" w14:textId="42D38D06"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993" w:type="dxa"/>
            <w:vAlign w:val="bottom"/>
          </w:tcPr>
          <w:p w14:paraId="351CBF6E" w14:textId="52F5CF8A"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68" w:type="dxa"/>
            <w:vAlign w:val="bottom"/>
          </w:tcPr>
          <w:p w14:paraId="2AE8A672" w14:textId="01281282" w:rsidR="00224102" w:rsidRPr="00E33C73" w:rsidRDefault="00224102" w:rsidP="007C1215">
            <w:pPr>
              <w:ind w:right="-23"/>
              <w:jc w:val="right"/>
              <w:rPr>
                <w:rFonts w:eastAsia="Arial Unicode MS"/>
                <w:sz w:val="16"/>
                <w:szCs w:val="16"/>
              </w:rPr>
            </w:pPr>
            <w:r w:rsidRPr="00E33C73">
              <w:rPr>
                <w:rFonts w:eastAsia="Arial Unicode MS"/>
                <w:sz w:val="16"/>
                <w:szCs w:val="16"/>
              </w:rPr>
              <w:t>36,101</w:t>
            </w:r>
          </w:p>
        </w:tc>
      </w:tr>
      <w:tr w:rsidR="00224102" w:rsidRPr="00C6031E" w14:paraId="18C909D1" w14:textId="77777777" w:rsidTr="008D6FDE">
        <w:tc>
          <w:tcPr>
            <w:tcW w:w="2422" w:type="dxa"/>
            <w:vAlign w:val="bottom"/>
          </w:tcPr>
          <w:p w14:paraId="2F8CA79F" w14:textId="77777777" w:rsidR="00224102" w:rsidRPr="00C6031E" w:rsidRDefault="00224102" w:rsidP="00224102">
            <w:pPr>
              <w:pStyle w:val="BodyTextIndent"/>
              <w:widowControl w:val="0"/>
              <w:tabs>
                <w:tab w:val="num" w:pos="0"/>
                <w:tab w:val="left" w:pos="1276"/>
              </w:tabs>
              <w:spacing w:after="0"/>
              <w:ind w:left="0"/>
              <w:rPr>
                <w:sz w:val="15"/>
                <w:szCs w:val="15"/>
              </w:rPr>
            </w:pPr>
            <w:r w:rsidRPr="00C6031E">
              <w:rPr>
                <w:sz w:val="15"/>
                <w:szCs w:val="15"/>
              </w:rPr>
              <w:t>Associates, Subsidiaries and Joint –Ventures</w:t>
            </w:r>
          </w:p>
        </w:tc>
        <w:tc>
          <w:tcPr>
            <w:tcW w:w="1232" w:type="dxa"/>
            <w:vAlign w:val="bottom"/>
          </w:tcPr>
          <w:p w14:paraId="42073DED" w14:textId="28C2DF30"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85" w:type="dxa"/>
            <w:vAlign w:val="bottom"/>
          </w:tcPr>
          <w:p w14:paraId="2ADF8BA9" w14:textId="26478949"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8" w:type="dxa"/>
            <w:vAlign w:val="bottom"/>
          </w:tcPr>
          <w:p w14:paraId="5CFD8EB6" w14:textId="0C393A11"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44" w:type="dxa"/>
            <w:vAlign w:val="bottom"/>
          </w:tcPr>
          <w:p w14:paraId="0658BE6D" w14:textId="54BB6375"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04" w:type="dxa"/>
            <w:vAlign w:val="bottom"/>
          </w:tcPr>
          <w:p w14:paraId="158E1B11" w14:textId="330160FD"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46" w:type="dxa"/>
            <w:vAlign w:val="bottom"/>
          </w:tcPr>
          <w:p w14:paraId="07B108E3" w14:textId="3319AA19"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04" w:type="dxa"/>
            <w:vAlign w:val="bottom"/>
          </w:tcPr>
          <w:p w14:paraId="2DAE984D" w14:textId="4E4D62F5"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4" w:type="dxa"/>
            <w:vAlign w:val="bottom"/>
          </w:tcPr>
          <w:p w14:paraId="1E157F6B" w14:textId="13485F85"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993" w:type="dxa"/>
            <w:vAlign w:val="bottom"/>
          </w:tcPr>
          <w:p w14:paraId="39C5DD40" w14:textId="43DDEF04"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68" w:type="dxa"/>
            <w:vAlign w:val="bottom"/>
          </w:tcPr>
          <w:p w14:paraId="76C5AE9F" w14:textId="6421E180" w:rsidR="00224102" w:rsidRPr="00E33C73" w:rsidRDefault="00224102" w:rsidP="007C1215">
            <w:pPr>
              <w:ind w:right="-23"/>
              <w:jc w:val="right"/>
              <w:rPr>
                <w:rFonts w:eastAsia="Arial Unicode MS"/>
                <w:sz w:val="16"/>
                <w:szCs w:val="16"/>
              </w:rPr>
            </w:pPr>
            <w:r w:rsidRPr="00E33C73">
              <w:rPr>
                <w:rFonts w:eastAsia="Arial Unicode MS"/>
                <w:sz w:val="16"/>
                <w:szCs w:val="16"/>
              </w:rPr>
              <w:t>-</w:t>
            </w:r>
          </w:p>
        </w:tc>
      </w:tr>
      <w:tr w:rsidR="00224102" w:rsidRPr="00C6031E" w14:paraId="2BA28867" w14:textId="77777777" w:rsidTr="008D6FDE">
        <w:tc>
          <w:tcPr>
            <w:tcW w:w="2422" w:type="dxa"/>
            <w:vAlign w:val="bottom"/>
          </w:tcPr>
          <w:p w14:paraId="738A5ABC" w14:textId="4EE44BD3" w:rsidR="00224102" w:rsidRPr="00C6031E" w:rsidRDefault="00224102" w:rsidP="00224102">
            <w:pPr>
              <w:widowControl w:val="0"/>
              <w:tabs>
                <w:tab w:val="num" w:pos="0"/>
              </w:tabs>
              <w:rPr>
                <w:sz w:val="15"/>
                <w:szCs w:val="15"/>
              </w:rPr>
            </w:pPr>
            <w:r w:rsidRPr="00C6031E">
              <w:rPr>
                <w:sz w:val="15"/>
                <w:szCs w:val="15"/>
              </w:rPr>
              <w:t>Unallocated Assets</w:t>
            </w:r>
            <w:r>
              <w:rPr>
                <w:sz w:val="15"/>
                <w:szCs w:val="15"/>
              </w:rPr>
              <w:t xml:space="preserve"> </w:t>
            </w:r>
            <w:r w:rsidRPr="00C6031E">
              <w:rPr>
                <w:sz w:val="15"/>
                <w:szCs w:val="15"/>
              </w:rPr>
              <w:t>Liabilities</w:t>
            </w:r>
            <w:r w:rsidR="008D6FDE">
              <w:rPr>
                <w:sz w:val="15"/>
                <w:szCs w:val="15"/>
              </w:rPr>
              <w:t xml:space="preserve"> </w:t>
            </w:r>
            <w:r w:rsidRPr="00C6031E">
              <w:rPr>
                <w:sz w:val="15"/>
                <w:szCs w:val="15"/>
              </w:rPr>
              <w:t>(***)</w:t>
            </w:r>
          </w:p>
        </w:tc>
        <w:tc>
          <w:tcPr>
            <w:tcW w:w="1232" w:type="dxa"/>
            <w:vAlign w:val="bottom"/>
          </w:tcPr>
          <w:p w14:paraId="1DC7C6E6" w14:textId="38DF9E0D"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85" w:type="dxa"/>
            <w:vAlign w:val="bottom"/>
          </w:tcPr>
          <w:p w14:paraId="14262EEA" w14:textId="44009B9B" w:rsidR="00224102" w:rsidRPr="00E33C73" w:rsidRDefault="00224102" w:rsidP="007C1215">
            <w:pPr>
              <w:ind w:right="-23"/>
              <w:jc w:val="right"/>
              <w:rPr>
                <w:rFonts w:eastAsia="Arial Unicode MS"/>
                <w:sz w:val="16"/>
                <w:szCs w:val="16"/>
              </w:rPr>
            </w:pPr>
            <w:r w:rsidRPr="00E33C73">
              <w:rPr>
                <w:rFonts w:eastAsia="Arial Unicode MS"/>
                <w:sz w:val="16"/>
                <w:szCs w:val="16"/>
              </w:rPr>
              <w:t>-</w:t>
            </w:r>
          </w:p>
        </w:tc>
        <w:tc>
          <w:tcPr>
            <w:tcW w:w="1138" w:type="dxa"/>
            <w:vAlign w:val="bottom"/>
          </w:tcPr>
          <w:p w14:paraId="17E273D1" w14:textId="4FC9268F"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44" w:type="dxa"/>
            <w:vAlign w:val="bottom"/>
          </w:tcPr>
          <w:p w14:paraId="6581E43A" w14:textId="0FB51A92"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04" w:type="dxa"/>
            <w:vAlign w:val="bottom"/>
          </w:tcPr>
          <w:p w14:paraId="431D73F7" w14:textId="0AEBA685"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246" w:type="dxa"/>
            <w:vAlign w:val="bottom"/>
          </w:tcPr>
          <w:p w14:paraId="5BF69DF9" w14:textId="374DB016"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304" w:type="dxa"/>
            <w:vAlign w:val="bottom"/>
          </w:tcPr>
          <w:p w14:paraId="1F175218" w14:textId="6D3AD541"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1134" w:type="dxa"/>
            <w:vAlign w:val="bottom"/>
          </w:tcPr>
          <w:p w14:paraId="5CB52720" w14:textId="6E1D5E9F" w:rsidR="00224102" w:rsidRPr="00E33C73" w:rsidRDefault="00224102" w:rsidP="007C1215">
            <w:pPr>
              <w:ind w:right="-23"/>
              <w:jc w:val="right"/>
              <w:rPr>
                <w:rFonts w:eastAsia="Arial Unicode MS"/>
                <w:sz w:val="16"/>
                <w:szCs w:val="16"/>
              </w:rPr>
            </w:pPr>
            <w:r w:rsidRPr="00E33C73">
              <w:rPr>
                <w:rFonts w:eastAsia="Arial Unicode MS"/>
                <w:sz w:val="16"/>
                <w:szCs w:val="16"/>
              </w:rPr>
              <w:t>- </w:t>
            </w:r>
          </w:p>
        </w:tc>
        <w:tc>
          <w:tcPr>
            <w:tcW w:w="993" w:type="dxa"/>
            <w:vAlign w:val="bottom"/>
          </w:tcPr>
          <w:p w14:paraId="2CAAF09C" w14:textId="31E3C6BA" w:rsidR="00224102" w:rsidRPr="00E33C73" w:rsidRDefault="00224102" w:rsidP="007C1215">
            <w:pPr>
              <w:ind w:right="-23"/>
              <w:jc w:val="right"/>
              <w:rPr>
                <w:rFonts w:eastAsia="Arial Unicode MS"/>
                <w:sz w:val="16"/>
                <w:szCs w:val="16"/>
              </w:rPr>
            </w:pPr>
            <w:r w:rsidRPr="00E33C73">
              <w:rPr>
                <w:rFonts w:eastAsia="Arial Unicode MS"/>
                <w:sz w:val="16"/>
                <w:szCs w:val="16"/>
              </w:rPr>
              <w:t>357,892</w:t>
            </w:r>
          </w:p>
        </w:tc>
        <w:tc>
          <w:tcPr>
            <w:tcW w:w="1168" w:type="dxa"/>
            <w:vAlign w:val="bottom"/>
          </w:tcPr>
          <w:p w14:paraId="34DD5F6C" w14:textId="109958E4" w:rsidR="00224102" w:rsidRPr="00E33C73" w:rsidRDefault="00224102" w:rsidP="007C1215">
            <w:pPr>
              <w:ind w:right="-23"/>
              <w:jc w:val="right"/>
              <w:rPr>
                <w:rFonts w:eastAsia="Arial Unicode MS"/>
                <w:sz w:val="16"/>
                <w:szCs w:val="16"/>
              </w:rPr>
            </w:pPr>
            <w:r w:rsidRPr="00E33C73">
              <w:rPr>
                <w:rFonts w:eastAsia="Arial Unicode MS"/>
                <w:sz w:val="16"/>
                <w:szCs w:val="16"/>
              </w:rPr>
              <w:t>357,892</w:t>
            </w:r>
          </w:p>
        </w:tc>
      </w:tr>
      <w:tr w:rsidR="00224102" w:rsidRPr="00C6031E" w14:paraId="1DEC4B7E" w14:textId="77777777" w:rsidTr="008D6FDE">
        <w:trPr>
          <w:trHeight w:hRule="exact" w:val="227"/>
        </w:trPr>
        <w:tc>
          <w:tcPr>
            <w:tcW w:w="2422" w:type="dxa"/>
            <w:vAlign w:val="bottom"/>
          </w:tcPr>
          <w:p w14:paraId="1557ACEA" w14:textId="77777777" w:rsidR="00224102" w:rsidRPr="00CA7C06" w:rsidRDefault="00224102" w:rsidP="00224102">
            <w:pPr>
              <w:pStyle w:val="BodyTextIndent"/>
              <w:widowControl w:val="0"/>
              <w:tabs>
                <w:tab w:val="num" w:pos="0"/>
                <w:tab w:val="left" w:pos="1276"/>
              </w:tabs>
              <w:spacing w:after="0"/>
              <w:ind w:left="0"/>
              <w:rPr>
                <w:b/>
                <w:sz w:val="15"/>
                <w:szCs w:val="15"/>
              </w:rPr>
            </w:pPr>
            <w:r w:rsidRPr="00CA7C06">
              <w:rPr>
                <w:b/>
                <w:sz w:val="15"/>
                <w:szCs w:val="15"/>
              </w:rPr>
              <w:t>Total</w:t>
            </w:r>
          </w:p>
        </w:tc>
        <w:tc>
          <w:tcPr>
            <w:tcW w:w="1232" w:type="dxa"/>
            <w:vAlign w:val="bottom"/>
          </w:tcPr>
          <w:p w14:paraId="5F914A26" w14:textId="5A0ED65D" w:rsidR="00224102" w:rsidRPr="00E33C73" w:rsidRDefault="00224102" w:rsidP="007C1215">
            <w:pPr>
              <w:ind w:right="-23"/>
              <w:jc w:val="right"/>
              <w:rPr>
                <w:rFonts w:eastAsia="Arial Unicode MS"/>
                <w:b/>
                <w:sz w:val="16"/>
                <w:szCs w:val="16"/>
              </w:rPr>
            </w:pPr>
            <w:r w:rsidRPr="00E33C73">
              <w:rPr>
                <w:rFonts w:eastAsia="Arial Unicode MS"/>
                <w:b/>
                <w:sz w:val="16"/>
                <w:szCs w:val="16"/>
              </w:rPr>
              <w:t>2,158,320</w:t>
            </w:r>
          </w:p>
        </w:tc>
        <w:tc>
          <w:tcPr>
            <w:tcW w:w="1385" w:type="dxa"/>
            <w:vAlign w:val="bottom"/>
          </w:tcPr>
          <w:p w14:paraId="63D67609" w14:textId="43A43C6A" w:rsidR="00224102" w:rsidRPr="00E33C73" w:rsidRDefault="00224102" w:rsidP="007C1215">
            <w:pPr>
              <w:ind w:right="-23"/>
              <w:jc w:val="right"/>
              <w:rPr>
                <w:rFonts w:eastAsia="Arial Unicode MS"/>
                <w:b/>
                <w:sz w:val="16"/>
                <w:szCs w:val="16"/>
              </w:rPr>
            </w:pPr>
            <w:r w:rsidRPr="00E33C73">
              <w:rPr>
                <w:rFonts w:eastAsia="Arial Unicode MS"/>
                <w:b/>
                <w:sz w:val="16"/>
                <w:szCs w:val="16"/>
              </w:rPr>
              <w:t>1,476</w:t>
            </w:r>
          </w:p>
        </w:tc>
        <w:tc>
          <w:tcPr>
            <w:tcW w:w="1138" w:type="dxa"/>
            <w:vAlign w:val="bottom"/>
          </w:tcPr>
          <w:p w14:paraId="357B1621" w14:textId="591ECB17" w:rsidR="00224102" w:rsidRPr="00E33C73" w:rsidRDefault="00224102" w:rsidP="007C1215">
            <w:pPr>
              <w:ind w:right="-23"/>
              <w:jc w:val="right"/>
              <w:rPr>
                <w:rFonts w:eastAsia="Arial Unicode MS"/>
                <w:b/>
                <w:sz w:val="16"/>
                <w:szCs w:val="16"/>
              </w:rPr>
            </w:pPr>
            <w:r w:rsidRPr="00E33C73">
              <w:rPr>
                <w:rFonts w:eastAsia="Arial Unicode MS"/>
                <w:b/>
                <w:sz w:val="16"/>
                <w:szCs w:val="16"/>
              </w:rPr>
              <w:t>408,099</w:t>
            </w:r>
          </w:p>
        </w:tc>
        <w:tc>
          <w:tcPr>
            <w:tcW w:w="1144" w:type="dxa"/>
            <w:vAlign w:val="bottom"/>
          </w:tcPr>
          <w:p w14:paraId="4E0CC82E" w14:textId="04CA550C" w:rsidR="00224102" w:rsidRPr="00E33C73" w:rsidRDefault="00224102" w:rsidP="007C1215">
            <w:pPr>
              <w:ind w:right="-23"/>
              <w:jc w:val="right"/>
              <w:rPr>
                <w:rFonts w:eastAsia="Arial Unicode MS"/>
                <w:b/>
                <w:sz w:val="16"/>
                <w:szCs w:val="16"/>
              </w:rPr>
            </w:pPr>
            <w:r w:rsidRPr="00E33C73">
              <w:rPr>
                <w:rFonts w:eastAsia="Arial Unicode MS"/>
                <w:b/>
                <w:sz w:val="16"/>
                <w:szCs w:val="16"/>
              </w:rPr>
              <w:t>4,794,956</w:t>
            </w:r>
          </w:p>
        </w:tc>
        <w:tc>
          <w:tcPr>
            <w:tcW w:w="1204" w:type="dxa"/>
            <w:vAlign w:val="bottom"/>
          </w:tcPr>
          <w:p w14:paraId="5B685E88" w14:textId="25BD79D9" w:rsidR="00224102" w:rsidRPr="00E33C73" w:rsidRDefault="00224102" w:rsidP="007C1215">
            <w:pPr>
              <w:ind w:right="-23"/>
              <w:jc w:val="right"/>
              <w:rPr>
                <w:rFonts w:eastAsia="Arial Unicode MS"/>
                <w:b/>
                <w:sz w:val="16"/>
                <w:szCs w:val="16"/>
              </w:rPr>
            </w:pPr>
            <w:r w:rsidRPr="00E33C73">
              <w:rPr>
                <w:rFonts w:eastAsia="Arial Unicode MS"/>
                <w:b/>
                <w:sz w:val="16"/>
                <w:szCs w:val="16"/>
              </w:rPr>
              <w:t>3,504,106</w:t>
            </w:r>
          </w:p>
        </w:tc>
        <w:tc>
          <w:tcPr>
            <w:tcW w:w="1246" w:type="dxa"/>
            <w:vAlign w:val="bottom"/>
          </w:tcPr>
          <w:p w14:paraId="4DFF6EBB" w14:textId="7C287EC8" w:rsidR="00224102" w:rsidRPr="00E33C73" w:rsidRDefault="00224102" w:rsidP="007C1215">
            <w:pPr>
              <w:ind w:right="-23"/>
              <w:jc w:val="right"/>
              <w:rPr>
                <w:rFonts w:eastAsia="Arial Unicode MS"/>
                <w:b/>
                <w:sz w:val="16"/>
                <w:szCs w:val="16"/>
              </w:rPr>
            </w:pPr>
            <w:r w:rsidRPr="00E33C73">
              <w:rPr>
                <w:rFonts w:eastAsia="Arial Unicode MS"/>
                <w:b/>
                <w:sz w:val="16"/>
                <w:szCs w:val="16"/>
              </w:rPr>
              <w:t>1,300,595</w:t>
            </w:r>
          </w:p>
        </w:tc>
        <w:tc>
          <w:tcPr>
            <w:tcW w:w="1304" w:type="dxa"/>
            <w:vAlign w:val="bottom"/>
          </w:tcPr>
          <w:p w14:paraId="5B47E847" w14:textId="3C84DA04" w:rsidR="00224102" w:rsidRPr="00E33C73" w:rsidRDefault="00224102" w:rsidP="007C1215">
            <w:pPr>
              <w:ind w:right="-23"/>
              <w:jc w:val="right"/>
              <w:rPr>
                <w:rFonts w:eastAsia="Arial Unicode MS"/>
                <w:b/>
                <w:sz w:val="16"/>
                <w:szCs w:val="16"/>
              </w:rPr>
            </w:pPr>
            <w:r w:rsidRPr="00E33C73">
              <w:rPr>
                <w:rFonts w:eastAsia="Arial Unicode MS"/>
                <w:b/>
                <w:sz w:val="16"/>
                <w:szCs w:val="16"/>
              </w:rPr>
              <w:t>171,630</w:t>
            </w:r>
          </w:p>
        </w:tc>
        <w:tc>
          <w:tcPr>
            <w:tcW w:w="1134" w:type="dxa"/>
            <w:vAlign w:val="bottom"/>
          </w:tcPr>
          <w:p w14:paraId="70A6DEA8" w14:textId="2BF22F91" w:rsidR="00224102" w:rsidRPr="00E33C73" w:rsidRDefault="00224102" w:rsidP="007C1215">
            <w:pPr>
              <w:ind w:right="-23"/>
              <w:jc w:val="right"/>
              <w:rPr>
                <w:rFonts w:eastAsia="Arial Unicode MS"/>
                <w:b/>
                <w:sz w:val="16"/>
                <w:szCs w:val="16"/>
              </w:rPr>
            </w:pPr>
            <w:r w:rsidRPr="00E33C73">
              <w:rPr>
                <w:rFonts w:eastAsia="Arial Unicode MS"/>
                <w:b/>
                <w:sz w:val="16"/>
                <w:szCs w:val="16"/>
              </w:rPr>
              <w:t>160,439</w:t>
            </w:r>
          </w:p>
        </w:tc>
        <w:tc>
          <w:tcPr>
            <w:tcW w:w="993" w:type="dxa"/>
            <w:vAlign w:val="bottom"/>
          </w:tcPr>
          <w:p w14:paraId="4CB8BE54" w14:textId="776E2587" w:rsidR="00224102" w:rsidRPr="00E33C73" w:rsidRDefault="00224102" w:rsidP="007C1215">
            <w:pPr>
              <w:ind w:right="-23"/>
              <w:jc w:val="right"/>
              <w:rPr>
                <w:rFonts w:eastAsia="Arial Unicode MS"/>
                <w:b/>
                <w:sz w:val="16"/>
                <w:szCs w:val="16"/>
              </w:rPr>
            </w:pPr>
            <w:r w:rsidRPr="00E33C73">
              <w:rPr>
                <w:rFonts w:eastAsia="Arial Unicode MS"/>
                <w:b/>
                <w:sz w:val="16"/>
                <w:szCs w:val="16"/>
              </w:rPr>
              <w:t>357,892</w:t>
            </w:r>
          </w:p>
        </w:tc>
        <w:tc>
          <w:tcPr>
            <w:tcW w:w="1168" w:type="dxa"/>
            <w:vAlign w:val="bottom"/>
          </w:tcPr>
          <w:p w14:paraId="666A7A8C" w14:textId="15386FE9" w:rsidR="00224102" w:rsidRPr="00E33C73" w:rsidRDefault="00224102" w:rsidP="007C1215">
            <w:pPr>
              <w:ind w:right="-23"/>
              <w:jc w:val="right"/>
              <w:rPr>
                <w:rFonts w:eastAsia="Arial Unicode MS"/>
                <w:b/>
                <w:sz w:val="16"/>
                <w:szCs w:val="16"/>
              </w:rPr>
            </w:pPr>
            <w:r w:rsidRPr="00E33C73">
              <w:rPr>
                <w:rFonts w:eastAsia="Arial Unicode MS"/>
                <w:b/>
                <w:sz w:val="16"/>
                <w:szCs w:val="16"/>
              </w:rPr>
              <w:t>12,857,513</w:t>
            </w:r>
          </w:p>
        </w:tc>
      </w:tr>
    </w:tbl>
    <w:p w14:paraId="0D18D334" w14:textId="47959FE4" w:rsidR="00332F58" w:rsidRPr="00923A53" w:rsidRDefault="00156FF4" w:rsidP="00B30C53">
      <w:pPr>
        <w:pStyle w:val="Default"/>
        <w:widowControl w:val="0"/>
        <w:tabs>
          <w:tab w:val="num" w:pos="142"/>
        </w:tabs>
        <w:spacing w:before="60"/>
        <w:ind w:left="142"/>
        <w:rPr>
          <w:color w:val="auto"/>
          <w:sz w:val="16"/>
          <w:szCs w:val="18"/>
        </w:rPr>
      </w:pPr>
      <w:r>
        <w:rPr>
          <w:color w:val="auto"/>
          <w:sz w:val="16"/>
          <w:szCs w:val="18"/>
        </w:rPr>
        <w:t xml:space="preserve">  </w:t>
      </w:r>
      <w:r w:rsidR="00332F58" w:rsidRPr="007453BB">
        <w:rPr>
          <w:color w:val="auto"/>
          <w:sz w:val="16"/>
          <w:szCs w:val="18"/>
        </w:rPr>
        <w:t>(*)</w:t>
      </w:r>
      <w:r w:rsidR="00B30C53">
        <w:rPr>
          <w:color w:val="auto"/>
          <w:sz w:val="16"/>
          <w:szCs w:val="18"/>
        </w:rPr>
        <w:t xml:space="preserve">     </w:t>
      </w:r>
      <w:r w:rsidR="00332F58">
        <w:rPr>
          <w:color w:val="auto"/>
          <w:sz w:val="16"/>
          <w:szCs w:val="18"/>
        </w:rPr>
        <w:t>Risk</w:t>
      </w:r>
      <w:r w:rsidR="00332F58" w:rsidRPr="00667A5B">
        <w:rPr>
          <w:color w:val="auto"/>
          <w:sz w:val="16"/>
          <w:szCs w:val="18"/>
        </w:rPr>
        <w:t xml:space="preserve"> categories in the Communiqué on Measurement and Assessme</w:t>
      </w:r>
      <w:r w:rsidR="00B85547">
        <w:rPr>
          <w:color w:val="auto"/>
          <w:sz w:val="16"/>
          <w:szCs w:val="18"/>
        </w:rPr>
        <w:t>nt of Capital Adequacy of Banks</w:t>
      </w:r>
      <w:r w:rsidR="00CD13B2">
        <w:rPr>
          <w:color w:val="auto"/>
          <w:sz w:val="16"/>
          <w:szCs w:val="18"/>
        </w:rPr>
        <w:t>.</w:t>
      </w:r>
    </w:p>
    <w:p w14:paraId="0C6B2EBC" w14:textId="3F87D5A0" w:rsidR="00332F58" w:rsidRPr="00923A53" w:rsidRDefault="00156FF4" w:rsidP="009E467E">
      <w:pPr>
        <w:pStyle w:val="Default"/>
        <w:widowControl w:val="0"/>
        <w:tabs>
          <w:tab w:val="num" w:pos="142"/>
        </w:tabs>
        <w:spacing w:before="60" w:after="60"/>
        <w:ind w:left="142"/>
        <w:rPr>
          <w:color w:val="auto"/>
          <w:sz w:val="16"/>
          <w:szCs w:val="18"/>
        </w:rPr>
      </w:pPr>
      <w:r>
        <w:rPr>
          <w:color w:val="auto"/>
          <w:sz w:val="16"/>
          <w:szCs w:val="18"/>
        </w:rPr>
        <w:t xml:space="preserve">  </w:t>
      </w:r>
      <w:r w:rsidR="00332F58" w:rsidRPr="00923A53">
        <w:rPr>
          <w:color w:val="auto"/>
          <w:sz w:val="16"/>
          <w:szCs w:val="18"/>
        </w:rPr>
        <w:t>(**)</w:t>
      </w:r>
      <w:r w:rsidR="00B30C53">
        <w:rPr>
          <w:color w:val="auto"/>
          <w:sz w:val="16"/>
          <w:szCs w:val="18"/>
        </w:rPr>
        <w:t xml:space="preserve">   </w:t>
      </w:r>
      <w:r w:rsidR="00332F58" w:rsidRPr="00667A5B">
        <w:rPr>
          <w:color w:val="auto"/>
          <w:sz w:val="16"/>
          <w:szCs w:val="18"/>
        </w:rPr>
        <w:t>OECD countries other th</w:t>
      </w:r>
      <w:r w:rsidR="00B85547">
        <w:rPr>
          <w:color w:val="auto"/>
          <w:sz w:val="16"/>
          <w:szCs w:val="18"/>
        </w:rPr>
        <w:t>an EU countries, USA and Canada</w:t>
      </w:r>
      <w:r w:rsidR="00CD13B2">
        <w:rPr>
          <w:color w:val="auto"/>
          <w:sz w:val="16"/>
          <w:szCs w:val="18"/>
        </w:rPr>
        <w:t>.</w:t>
      </w:r>
    </w:p>
    <w:p w14:paraId="400EFE03" w14:textId="01929303" w:rsidR="00332F58" w:rsidRPr="00CD13B2" w:rsidRDefault="00156FF4" w:rsidP="00CD13B2">
      <w:pPr>
        <w:pStyle w:val="BodyText"/>
        <w:widowControl w:val="0"/>
        <w:tabs>
          <w:tab w:val="clear" w:pos="0"/>
          <w:tab w:val="num" w:pos="142"/>
        </w:tabs>
        <w:ind w:left="142"/>
        <w:rPr>
          <w:color w:val="auto"/>
          <w:sz w:val="22"/>
        </w:rPr>
        <w:sectPr w:rsidR="00332F58" w:rsidRPr="00CD13B2" w:rsidSect="00332F58">
          <w:pgSz w:w="15840" w:h="12240" w:orient="landscape"/>
          <w:pgMar w:top="1418" w:right="1134" w:bottom="1474" w:left="720" w:header="720" w:footer="720" w:gutter="0"/>
          <w:cols w:space="720"/>
          <w:docGrid w:linePitch="360"/>
        </w:sectPr>
      </w:pPr>
      <w:r>
        <w:rPr>
          <w:color w:val="auto"/>
          <w:sz w:val="16"/>
          <w:szCs w:val="18"/>
        </w:rPr>
        <w:t xml:space="preserve">  </w:t>
      </w:r>
      <w:r w:rsidR="00B30C53">
        <w:rPr>
          <w:color w:val="auto"/>
          <w:sz w:val="16"/>
          <w:szCs w:val="18"/>
        </w:rPr>
        <w:t xml:space="preserve">(***) </w:t>
      </w:r>
      <w:r w:rsidR="00332F58">
        <w:rPr>
          <w:color w:val="auto"/>
          <w:sz w:val="16"/>
          <w:szCs w:val="18"/>
        </w:rPr>
        <w:t>Assets and liabilities are not allocated on a consistent basis</w:t>
      </w:r>
      <w:r w:rsidR="00CD13B2">
        <w:rPr>
          <w:color w:val="auto"/>
          <w:sz w:val="16"/>
          <w:szCs w:val="18"/>
        </w:rPr>
        <w:t>.</w:t>
      </w:r>
    </w:p>
    <w:p w14:paraId="1A338FC9" w14:textId="77777777" w:rsidR="00D55107" w:rsidRPr="00604C75" w:rsidRDefault="00D55107" w:rsidP="00490153">
      <w:pPr>
        <w:pStyle w:val="NormalIndent"/>
        <w:pageBreakBefore/>
        <w:widowControl w:val="0"/>
        <w:spacing w:before="120"/>
        <w:ind w:left="0"/>
        <w:jc w:val="both"/>
        <w:rPr>
          <w:b/>
          <w:sz w:val="22"/>
          <w:szCs w:val="22"/>
        </w:rPr>
      </w:pPr>
      <w:r w:rsidRPr="00604C75">
        <w:rPr>
          <w:b/>
        </w:rPr>
        <w:lastRenderedPageBreak/>
        <w:t>INFORMATION</w:t>
      </w:r>
      <w:r w:rsidRPr="00604C75">
        <w:rPr>
          <w:b/>
          <w:bCs/>
          <w:noProof/>
          <w:lang w:val="tr-TR"/>
        </w:rPr>
        <w:t xml:space="preserve"> RELATED TO FINANCIAL POSITION OF THE GROUP (Continued)</w:t>
      </w:r>
    </w:p>
    <w:p w14:paraId="29D14056" w14:textId="77777777" w:rsidR="00D55107" w:rsidRDefault="00D55107" w:rsidP="00490153">
      <w:pPr>
        <w:pStyle w:val="Heading2"/>
        <w:tabs>
          <w:tab w:val="left" w:pos="0"/>
          <w:tab w:val="left" w:pos="426"/>
        </w:tabs>
        <w:rPr>
          <w:rFonts w:ascii="Times New Roman" w:hAnsi="Times New Roman"/>
          <w:bCs/>
          <w:noProof/>
          <w:sz w:val="20"/>
          <w:lang w:val="tr-TR"/>
        </w:rPr>
      </w:pPr>
      <w:r>
        <w:rPr>
          <w:rFonts w:ascii="Times New Roman" w:hAnsi="Times New Roman"/>
          <w:sz w:val="20"/>
        </w:rPr>
        <w:t xml:space="preserve">II.   </w:t>
      </w:r>
      <w:r w:rsidRPr="00604C75">
        <w:rPr>
          <w:rFonts w:ascii="Times New Roman" w:hAnsi="Times New Roman"/>
          <w:sz w:val="20"/>
        </w:rPr>
        <w:t>Explanations on Credit Risk</w:t>
      </w:r>
      <w:r w:rsidRPr="00604C75" w:rsidDel="00553D7B">
        <w:rPr>
          <w:rFonts w:ascii="Times New Roman" w:hAnsi="Times New Roman"/>
          <w:sz w:val="20"/>
        </w:rPr>
        <w:t xml:space="preserve"> </w:t>
      </w:r>
      <w:r w:rsidRPr="00332F58">
        <w:rPr>
          <w:rFonts w:ascii="Times New Roman" w:hAnsi="Times New Roman"/>
          <w:bCs/>
          <w:noProof/>
          <w:sz w:val="20"/>
          <w:lang w:val="tr-TR"/>
        </w:rPr>
        <w:t>(Continued)</w:t>
      </w:r>
    </w:p>
    <w:p w14:paraId="52E9AF81" w14:textId="77777777" w:rsidR="00D55107" w:rsidRPr="008C7454" w:rsidRDefault="00D55107" w:rsidP="008477F3">
      <w:pPr>
        <w:pStyle w:val="BodyTextIndent"/>
        <w:numPr>
          <w:ilvl w:val="0"/>
          <w:numId w:val="43"/>
        </w:numPr>
        <w:tabs>
          <w:tab w:val="clear" w:pos="1495"/>
          <w:tab w:val="left" w:pos="0"/>
        </w:tabs>
        <w:spacing w:before="120" w:after="0"/>
        <w:ind w:left="0" w:firstLine="0"/>
        <w:jc w:val="both"/>
        <w:rPr>
          <w:b/>
          <w:sz w:val="20"/>
          <w:szCs w:val="20"/>
        </w:rPr>
      </w:pPr>
      <w:r w:rsidRPr="008C7454">
        <w:rPr>
          <w:b/>
          <w:sz w:val="20"/>
          <w:szCs w:val="20"/>
        </w:rPr>
        <w:t>Risk profile by Sectors or Counterparties:</w:t>
      </w:r>
    </w:p>
    <w:p w14:paraId="69FEC945" w14:textId="77777777" w:rsidR="00D55107" w:rsidRPr="0099514C" w:rsidRDefault="00D55107" w:rsidP="00D55107">
      <w:pPr>
        <w:pStyle w:val="BodyTextIndent"/>
        <w:tabs>
          <w:tab w:val="left" w:pos="0"/>
          <w:tab w:val="left" w:pos="1276"/>
        </w:tabs>
        <w:spacing w:after="0"/>
        <w:ind w:left="0"/>
        <w:rPr>
          <w:b/>
          <w:sz w:val="14"/>
          <w:szCs w:val="14"/>
        </w:rPr>
      </w:pPr>
    </w:p>
    <w:tbl>
      <w:tblPr>
        <w:tblW w:w="5000"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2932"/>
        <w:gridCol w:w="989"/>
        <w:gridCol w:w="728"/>
        <w:gridCol w:w="964"/>
        <w:gridCol w:w="989"/>
        <w:gridCol w:w="989"/>
        <w:gridCol w:w="989"/>
        <w:gridCol w:w="864"/>
        <w:gridCol w:w="858"/>
        <w:gridCol w:w="864"/>
        <w:gridCol w:w="989"/>
        <w:gridCol w:w="989"/>
        <w:gridCol w:w="1069"/>
      </w:tblGrid>
      <w:tr w:rsidR="00D55107" w:rsidRPr="00923A53" w14:paraId="53F348BE" w14:textId="77777777" w:rsidTr="007C1215">
        <w:tc>
          <w:tcPr>
            <w:tcW w:w="1031" w:type="pct"/>
            <w:vAlign w:val="center"/>
          </w:tcPr>
          <w:p w14:paraId="6E7C3AFF" w14:textId="77777777" w:rsidR="00D55107" w:rsidRPr="00923A53" w:rsidRDefault="00D55107" w:rsidP="00D55107">
            <w:pPr>
              <w:pStyle w:val="BodyTextIndent"/>
              <w:tabs>
                <w:tab w:val="left" w:pos="0"/>
                <w:tab w:val="left" w:pos="1276"/>
              </w:tabs>
              <w:spacing w:after="0"/>
              <w:ind w:left="0"/>
              <w:rPr>
                <w:b/>
                <w:sz w:val="18"/>
                <w:szCs w:val="18"/>
              </w:rPr>
            </w:pPr>
          </w:p>
        </w:tc>
        <w:tc>
          <w:tcPr>
            <w:tcW w:w="3969" w:type="pct"/>
            <w:gridSpan w:val="12"/>
            <w:vAlign w:val="bottom"/>
          </w:tcPr>
          <w:p w14:paraId="2EF04E29" w14:textId="77777777" w:rsidR="00D55107" w:rsidRPr="00923A53" w:rsidRDefault="00D55107" w:rsidP="00D55107">
            <w:pPr>
              <w:pStyle w:val="BodyTextIndent"/>
              <w:tabs>
                <w:tab w:val="left" w:pos="0"/>
                <w:tab w:val="left" w:pos="1276"/>
              </w:tabs>
              <w:spacing w:after="0"/>
              <w:ind w:left="0" w:right="-80"/>
              <w:jc w:val="center"/>
              <w:rPr>
                <w:b/>
                <w:sz w:val="18"/>
                <w:szCs w:val="18"/>
              </w:rPr>
            </w:pPr>
            <w:r w:rsidRPr="00923A53">
              <w:rPr>
                <w:b/>
                <w:sz w:val="18"/>
                <w:szCs w:val="18"/>
              </w:rPr>
              <w:t xml:space="preserve">Risk </w:t>
            </w:r>
            <w:r>
              <w:rPr>
                <w:b/>
                <w:sz w:val="18"/>
                <w:szCs w:val="18"/>
              </w:rPr>
              <w:t>Categories</w:t>
            </w:r>
            <w:r w:rsidRPr="00923A53">
              <w:rPr>
                <w:b/>
                <w:sz w:val="18"/>
                <w:szCs w:val="18"/>
              </w:rPr>
              <w:t xml:space="preserve"> (*)</w:t>
            </w:r>
          </w:p>
        </w:tc>
      </w:tr>
      <w:tr w:rsidR="00D55107" w:rsidRPr="00933ECF" w14:paraId="68AFE237" w14:textId="77777777" w:rsidTr="007C1215">
        <w:tc>
          <w:tcPr>
            <w:tcW w:w="1031" w:type="pct"/>
            <w:vAlign w:val="bottom"/>
          </w:tcPr>
          <w:p w14:paraId="373A96A9" w14:textId="77777777" w:rsidR="00D55107" w:rsidRPr="00933ECF" w:rsidRDefault="00D55107" w:rsidP="00D55107">
            <w:pPr>
              <w:pStyle w:val="BodyTextIndent"/>
              <w:tabs>
                <w:tab w:val="left" w:pos="0"/>
                <w:tab w:val="left" w:pos="1276"/>
              </w:tabs>
              <w:spacing w:after="0" w:line="216" w:lineRule="auto"/>
              <w:ind w:left="0"/>
              <w:rPr>
                <w:b/>
                <w:sz w:val="16"/>
                <w:szCs w:val="18"/>
                <w:lang w:val="tr-TR"/>
              </w:rPr>
            </w:pPr>
            <w:r w:rsidRPr="00933ECF">
              <w:rPr>
                <w:b/>
                <w:sz w:val="16"/>
                <w:szCs w:val="18"/>
                <w:lang w:val="tr-TR"/>
              </w:rPr>
              <w:t>Sectors/Counterparties</w:t>
            </w:r>
          </w:p>
        </w:tc>
        <w:tc>
          <w:tcPr>
            <w:tcW w:w="348" w:type="pct"/>
            <w:vAlign w:val="bottom"/>
          </w:tcPr>
          <w:p w14:paraId="5DB2B1FA"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1</w:t>
            </w:r>
          </w:p>
        </w:tc>
        <w:tc>
          <w:tcPr>
            <w:tcW w:w="256" w:type="pct"/>
            <w:vAlign w:val="bottom"/>
          </w:tcPr>
          <w:p w14:paraId="2B62A2D5"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2</w:t>
            </w:r>
          </w:p>
        </w:tc>
        <w:tc>
          <w:tcPr>
            <w:tcW w:w="339" w:type="pct"/>
            <w:vAlign w:val="bottom"/>
          </w:tcPr>
          <w:p w14:paraId="020D8526"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3</w:t>
            </w:r>
          </w:p>
        </w:tc>
        <w:tc>
          <w:tcPr>
            <w:tcW w:w="348" w:type="pct"/>
            <w:vAlign w:val="bottom"/>
          </w:tcPr>
          <w:p w14:paraId="5BB9A605"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4</w:t>
            </w:r>
          </w:p>
        </w:tc>
        <w:tc>
          <w:tcPr>
            <w:tcW w:w="348" w:type="pct"/>
            <w:vAlign w:val="bottom"/>
          </w:tcPr>
          <w:p w14:paraId="7C22F5E4"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5</w:t>
            </w:r>
          </w:p>
        </w:tc>
        <w:tc>
          <w:tcPr>
            <w:tcW w:w="348" w:type="pct"/>
            <w:vAlign w:val="bottom"/>
          </w:tcPr>
          <w:p w14:paraId="64402822"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6</w:t>
            </w:r>
          </w:p>
        </w:tc>
        <w:tc>
          <w:tcPr>
            <w:tcW w:w="304" w:type="pct"/>
            <w:vAlign w:val="bottom"/>
          </w:tcPr>
          <w:p w14:paraId="0C508762"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7</w:t>
            </w:r>
          </w:p>
        </w:tc>
        <w:tc>
          <w:tcPr>
            <w:tcW w:w="302" w:type="pct"/>
            <w:vAlign w:val="bottom"/>
          </w:tcPr>
          <w:p w14:paraId="086664B7"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8</w:t>
            </w:r>
          </w:p>
        </w:tc>
        <w:tc>
          <w:tcPr>
            <w:tcW w:w="304" w:type="pct"/>
            <w:vAlign w:val="bottom"/>
          </w:tcPr>
          <w:p w14:paraId="5B32771A"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9</w:t>
            </w:r>
          </w:p>
        </w:tc>
        <w:tc>
          <w:tcPr>
            <w:tcW w:w="348" w:type="pct"/>
            <w:vAlign w:val="bottom"/>
          </w:tcPr>
          <w:p w14:paraId="3A100A3F"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TL</w:t>
            </w:r>
          </w:p>
        </w:tc>
        <w:tc>
          <w:tcPr>
            <w:tcW w:w="348" w:type="pct"/>
            <w:vAlign w:val="bottom"/>
          </w:tcPr>
          <w:p w14:paraId="1465D8A6"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FC</w:t>
            </w:r>
          </w:p>
        </w:tc>
        <w:tc>
          <w:tcPr>
            <w:tcW w:w="377" w:type="pct"/>
            <w:vAlign w:val="bottom"/>
          </w:tcPr>
          <w:p w14:paraId="22350FE7" w14:textId="77777777" w:rsidR="00D55107" w:rsidRPr="0032757D" w:rsidRDefault="00D55107" w:rsidP="00D55107">
            <w:pPr>
              <w:pStyle w:val="BodyTextIndent"/>
              <w:tabs>
                <w:tab w:val="left" w:pos="0"/>
                <w:tab w:val="left" w:pos="1276"/>
              </w:tabs>
              <w:spacing w:after="0" w:line="216" w:lineRule="auto"/>
              <w:ind w:left="0" w:right="-80"/>
              <w:jc w:val="right"/>
              <w:rPr>
                <w:b/>
                <w:sz w:val="16"/>
                <w:szCs w:val="18"/>
                <w:lang w:val="tr-TR"/>
              </w:rPr>
            </w:pPr>
            <w:r w:rsidRPr="0032757D">
              <w:rPr>
                <w:b/>
                <w:sz w:val="16"/>
                <w:szCs w:val="18"/>
                <w:lang w:val="tr-TR"/>
              </w:rPr>
              <w:t>Total</w:t>
            </w:r>
          </w:p>
        </w:tc>
      </w:tr>
      <w:tr w:rsidR="00224102" w:rsidRPr="00881830" w14:paraId="20052D4B" w14:textId="77777777" w:rsidTr="007C1215">
        <w:tc>
          <w:tcPr>
            <w:tcW w:w="1031" w:type="pct"/>
            <w:vAlign w:val="bottom"/>
          </w:tcPr>
          <w:p w14:paraId="3E8634E4" w14:textId="77777777" w:rsidR="00224102" w:rsidRPr="00881830" w:rsidRDefault="00224102" w:rsidP="00224102">
            <w:pPr>
              <w:tabs>
                <w:tab w:val="left" w:pos="0"/>
              </w:tabs>
              <w:spacing w:line="216" w:lineRule="auto"/>
              <w:rPr>
                <w:b/>
                <w:snapToGrid w:val="0"/>
                <w:sz w:val="16"/>
                <w:szCs w:val="16"/>
                <w:lang w:val="tr-TR"/>
              </w:rPr>
            </w:pPr>
            <w:r w:rsidRPr="00881830">
              <w:rPr>
                <w:b/>
                <w:snapToGrid w:val="0"/>
                <w:sz w:val="16"/>
                <w:szCs w:val="16"/>
                <w:lang w:val="tr-TR"/>
              </w:rPr>
              <w:t>Agriculture</w:t>
            </w:r>
          </w:p>
        </w:tc>
        <w:tc>
          <w:tcPr>
            <w:tcW w:w="348" w:type="pct"/>
            <w:vAlign w:val="bottom"/>
          </w:tcPr>
          <w:p w14:paraId="3DA7F1A9" w14:textId="711DC3D8" w:rsidR="00224102" w:rsidRPr="00991C34" w:rsidRDefault="00224102" w:rsidP="00224102">
            <w:pPr>
              <w:jc w:val="right"/>
              <w:rPr>
                <w:b/>
                <w:sz w:val="16"/>
                <w:szCs w:val="16"/>
              </w:rPr>
            </w:pPr>
            <w:r w:rsidRPr="00991C34">
              <w:rPr>
                <w:b/>
                <w:sz w:val="16"/>
                <w:szCs w:val="16"/>
              </w:rPr>
              <w:t>-</w:t>
            </w:r>
          </w:p>
        </w:tc>
        <w:tc>
          <w:tcPr>
            <w:tcW w:w="256" w:type="pct"/>
            <w:vAlign w:val="bottom"/>
          </w:tcPr>
          <w:p w14:paraId="6EEEAA45" w14:textId="7B1C0E20" w:rsidR="00224102" w:rsidRPr="00991C34" w:rsidRDefault="00224102" w:rsidP="00224102">
            <w:pPr>
              <w:jc w:val="right"/>
              <w:rPr>
                <w:b/>
                <w:sz w:val="16"/>
                <w:szCs w:val="16"/>
              </w:rPr>
            </w:pPr>
            <w:r w:rsidRPr="00991C34">
              <w:rPr>
                <w:b/>
                <w:sz w:val="16"/>
                <w:szCs w:val="16"/>
              </w:rPr>
              <w:t>-</w:t>
            </w:r>
          </w:p>
        </w:tc>
        <w:tc>
          <w:tcPr>
            <w:tcW w:w="339" w:type="pct"/>
            <w:vAlign w:val="bottom"/>
          </w:tcPr>
          <w:p w14:paraId="55071D04" w14:textId="641A0B3E" w:rsidR="00224102" w:rsidRPr="00991C34" w:rsidRDefault="00224102" w:rsidP="00224102">
            <w:pPr>
              <w:jc w:val="right"/>
              <w:rPr>
                <w:b/>
                <w:sz w:val="16"/>
                <w:szCs w:val="16"/>
              </w:rPr>
            </w:pPr>
            <w:r w:rsidRPr="00991C34">
              <w:rPr>
                <w:b/>
                <w:sz w:val="16"/>
                <w:szCs w:val="16"/>
              </w:rPr>
              <w:t>-</w:t>
            </w:r>
          </w:p>
        </w:tc>
        <w:tc>
          <w:tcPr>
            <w:tcW w:w="348" w:type="pct"/>
            <w:vAlign w:val="bottom"/>
          </w:tcPr>
          <w:p w14:paraId="0CF0F75A" w14:textId="47A443B1" w:rsidR="00224102" w:rsidRPr="00991C34" w:rsidRDefault="00224102" w:rsidP="00224102">
            <w:pPr>
              <w:jc w:val="right"/>
              <w:rPr>
                <w:b/>
                <w:sz w:val="16"/>
                <w:szCs w:val="16"/>
              </w:rPr>
            </w:pPr>
            <w:r w:rsidRPr="00991C34">
              <w:rPr>
                <w:b/>
                <w:sz w:val="16"/>
                <w:szCs w:val="16"/>
              </w:rPr>
              <w:t>159,401</w:t>
            </w:r>
          </w:p>
        </w:tc>
        <w:tc>
          <w:tcPr>
            <w:tcW w:w="348" w:type="pct"/>
            <w:vAlign w:val="bottom"/>
          </w:tcPr>
          <w:p w14:paraId="134DE375" w14:textId="53FB6725" w:rsidR="00224102" w:rsidRPr="00991C34" w:rsidRDefault="00224102" w:rsidP="00224102">
            <w:pPr>
              <w:jc w:val="right"/>
              <w:rPr>
                <w:b/>
                <w:sz w:val="16"/>
                <w:szCs w:val="16"/>
              </w:rPr>
            </w:pPr>
            <w:r w:rsidRPr="00991C34">
              <w:rPr>
                <w:b/>
                <w:sz w:val="16"/>
                <w:szCs w:val="16"/>
              </w:rPr>
              <w:t>62,492</w:t>
            </w:r>
          </w:p>
        </w:tc>
        <w:tc>
          <w:tcPr>
            <w:tcW w:w="348" w:type="pct"/>
            <w:vAlign w:val="bottom"/>
          </w:tcPr>
          <w:p w14:paraId="2E1BB5FA" w14:textId="113B9FEF" w:rsidR="00224102" w:rsidRPr="00991C34" w:rsidRDefault="00224102" w:rsidP="00224102">
            <w:pPr>
              <w:jc w:val="right"/>
              <w:rPr>
                <w:b/>
                <w:sz w:val="16"/>
                <w:szCs w:val="16"/>
              </w:rPr>
            </w:pPr>
            <w:r w:rsidRPr="00991C34">
              <w:rPr>
                <w:b/>
                <w:sz w:val="16"/>
                <w:szCs w:val="16"/>
              </w:rPr>
              <w:t>19,628</w:t>
            </w:r>
          </w:p>
        </w:tc>
        <w:tc>
          <w:tcPr>
            <w:tcW w:w="304" w:type="pct"/>
            <w:vAlign w:val="bottom"/>
          </w:tcPr>
          <w:p w14:paraId="782113AE" w14:textId="5D241F67" w:rsidR="00224102" w:rsidRPr="00991C34" w:rsidRDefault="00224102" w:rsidP="00224102">
            <w:pPr>
              <w:jc w:val="right"/>
              <w:rPr>
                <w:b/>
                <w:sz w:val="16"/>
                <w:szCs w:val="16"/>
              </w:rPr>
            </w:pPr>
            <w:r w:rsidRPr="00991C34">
              <w:rPr>
                <w:b/>
                <w:sz w:val="16"/>
                <w:szCs w:val="16"/>
              </w:rPr>
              <w:t>13,055</w:t>
            </w:r>
          </w:p>
        </w:tc>
        <w:tc>
          <w:tcPr>
            <w:tcW w:w="302" w:type="pct"/>
            <w:vAlign w:val="bottom"/>
          </w:tcPr>
          <w:p w14:paraId="27FCEE94" w14:textId="144A5376" w:rsidR="00224102" w:rsidRPr="00991C34" w:rsidRDefault="00224102" w:rsidP="00224102">
            <w:pPr>
              <w:jc w:val="right"/>
              <w:rPr>
                <w:b/>
                <w:sz w:val="16"/>
                <w:szCs w:val="16"/>
              </w:rPr>
            </w:pPr>
            <w:r w:rsidRPr="00991C34">
              <w:rPr>
                <w:b/>
                <w:sz w:val="16"/>
                <w:szCs w:val="16"/>
              </w:rPr>
              <w:t>-</w:t>
            </w:r>
          </w:p>
        </w:tc>
        <w:tc>
          <w:tcPr>
            <w:tcW w:w="304" w:type="pct"/>
            <w:vAlign w:val="bottom"/>
          </w:tcPr>
          <w:p w14:paraId="2D595AB1" w14:textId="3526260D" w:rsidR="00224102" w:rsidRPr="00991C34" w:rsidRDefault="00224102" w:rsidP="00224102">
            <w:pPr>
              <w:jc w:val="right"/>
              <w:rPr>
                <w:b/>
                <w:sz w:val="16"/>
                <w:szCs w:val="16"/>
              </w:rPr>
            </w:pPr>
            <w:r w:rsidRPr="00991C34">
              <w:rPr>
                <w:b/>
                <w:sz w:val="16"/>
                <w:szCs w:val="16"/>
              </w:rPr>
              <w:t>-</w:t>
            </w:r>
          </w:p>
        </w:tc>
        <w:tc>
          <w:tcPr>
            <w:tcW w:w="348" w:type="pct"/>
            <w:vAlign w:val="bottom"/>
          </w:tcPr>
          <w:p w14:paraId="57F8F13F" w14:textId="6053B46B" w:rsidR="00224102" w:rsidRPr="00991C34" w:rsidRDefault="00224102" w:rsidP="00224102">
            <w:pPr>
              <w:jc w:val="right"/>
              <w:rPr>
                <w:b/>
                <w:sz w:val="16"/>
                <w:szCs w:val="16"/>
              </w:rPr>
            </w:pPr>
            <w:r w:rsidRPr="00991C34">
              <w:rPr>
                <w:b/>
                <w:sz w:val="16"/>
                <w:szCs w:val="16"/>
              </w:rPr>
              <w:t>191,616</w:t>
            </w:r>
          </w:p>
        </w:tc>
        <w:tc>
          <w:tcPr>
            <w:tcW w:w="348" w:type="pct"/>
            <w:vAlign w:val="bottom"/>
          </w:tcPr>
          <w:p w14:paraId="044BD987" w14:textId="79529454" w:rsidR="00224102" w:rsidRPr="00991C34" w:rsidRDefault="00224102" w:rsidP="00224102">
            <w:pPr>
              <w:jc w:val="right"/>
              <w:rPr>
                <w:b/>
                <w:sz w:val="16"/>
                <w:szCs w:val="16"/>
              </w:rPr>
            </w:pPr>
            <w:r w:rsidRPr="00991C34">
              <w:rPr>
                <w:b/>
                <w:sz w:val="16"/>
                <w:szCs w:val="16"/>
              </w:rPr>
              <w:t>62,960</w:t>
            </w:r>
          </w:p>
        </w:tc>
        <w:tc>
          <w:tcPr>
            <w:tcW w:w="377" w:type="pct"/>
            <w:vAlign w:val="bottom"/>
          </w:tcPr>
          <w:p w14:paraId="6CE4C923" w14:textId="61DE1887" w:rsidR="00224102" w:rsidRPr="00991C34" w:rsidRDefault="00224102" w:rsidP="00224102">
            <w:pPr>
              <w:jc w:val="right"/>
              <w:rPr>
                <w:b/>
                <w:sz w:val="16"/>
                <w:szCs w:val="16"/>
              </w:rPr>
            </w:pPr>
            <w:r w:rsidRPr="00991C34">
              <w:rPr>
                <w:b/>
                <w:sz w:val="16"/>
                <w:szCs w:val="16"/>
              </w:rPr>
              <w:t>254,576</w:t>
            </w:r>
          </w:p>
        </w:tc>
      </w:tr>
      <w:tr w:rsidR="00224102" w:rsidRPr="00881830" w14:paraId="790D8B5E" w14:textId="77777777" w:rsidTr="007C1215">
        <w:trPr>
          <w:trHeight w:val="210"/>
        </w:trPr>
        <w:tc>
          <w:tcPr>
            <w:tcW w:w="1031" w:type="pct"/>
            <w:vAlign w:val="bottom"/>
          </w:tcPr>
          <w:p w14:paraId="01A7472E"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Farming and Stockbreeding</w:t>
            </w:r>
          </w:p>
        </w:tc>
        <w:tc>
          <w:tcPr>
            <w:tcW w:w="348" w:type="pct"/>
            <w:vAlign w:val="bottom"/>
          </w:tcPr>
          <w:p w14:paraId="09625448" w14:textId="17A83BBD" w:rsidR="00224102" w:rsidRPr="00991C34" w:rsidRDefault="00224102" w:rsidP="00224102">
            <w:pPr>
              <w:jc w:val="right"/>
              <w:rPr>
                <w:sz w:val="16"/>
                <w:szCs w:val="16"/>
              </w:rPr>
            </w:pPr>
            <w:r w:rsidRPr="00991C34">
              <w:rPr>
                <w:sz w:val="16"/>
                <w:szCs w:val="16"/>
              </w:rPr>
              <w:t>-</w:t>
            </w:r>
          </w:p>
        </w:tc>
        <w:tc>
          <w:tcPr>
            <w:tcW w:w="256" w:type="pct"/>
            <w:vAlign w:val="bottom"/>
          </w:tcPr>
          <w:p w14:paraId="1C47F3D9" w14:textId="5F59A528" w:rsidR="00224102" w:rsidRPr="00991C34" w:rsidRDefault="00224102" w:rsidP="00224102">
            <w:pPr>
              <w:jc w:val="right"/>
              <w:rPr>
                <w:sz w:val="16"/>
                <w:szCs w:val="16"/>
              </w:rPr>
            </w:pPr>
            <w:r w:rsidRPr="00991C34">
              <w:rPr>
                <w:sz w:val="16"/>
                <w:szCs w:val="16"/>
              </w:rPr>
              <w:t>-</w:t>
            </w:r>
          </w:p>
        </w:tc>
        <w:tc>
          <w:tcPr>
            <w:tcW w:w="339" w:type="pct"/>
            <w:vAlign w:val="bottom"/>
          </w:tcPr>
          <w:p w14:paraId="0F6298D3" w14:textId="65A702A1" w:rsidR="00224102" w:rsidRPr="00991C34" w:rsidRDefault="00224102" w:rsidP="00224102">
            <w:pPr>
              <w:jc w:val="right"/>
              <w:rPr>
                <w:sz w:val="16"/>
                <w:szCs w:val="16"/>
              </w:rPr>
            </w:pPr>
            <w:r w:rsidRPr="00991C34">
              <w:rPr>
                <w:sz w:val="16"/>
                <w:szCs w:val="16"/>
              </w:rPr>
              <w:t>-</w:t>
            </w:r>
          </w:p>
        </w:tc>
        <w:tc>
          <w:tcPr>
            <w:tcW w:w="348" w:type="pct"/>
            <w:vAlign w:val="bottom"/>
          </w:tcPr>
          <w:p w14:paraId="548D8F56" w14:textId="109D7C6A" w:rsidR="00224102" w:rsidRPr="00991C34" w:rsidRDefault="00224102" w:rsidP="00224102">
            <w:pPr>
              <w:jc w:val="right"/>
              <w:rPr>
                <w:sz w:val="16"/>
                <w:szCs w:val="16"/>
              </w:rPr>
            </w:pPr>
            <w:r w:rsidRPr="00991C34">
              <w:rPr>
                <w:sz w:val="16"/>
                <w:szCs w:val="16"/>
              </w:rPr>
              <w:t>148,597</w:t>
            </w:r>
          </w:p>
        </w:tc>
        <w:tc>
          <w:tcPr>
            <w:tcW w:w="348" w:type="pct"/>
            <w:vAlign w:val="bottom"/>
          </w:tcPr>
          <w:p w14:paraId="55C0ACAC" w14:textId="063899FB" w:rsidR="00224102" w:rsidRPr="00991C34" w:rsidRDefault="00224102" w:rsidP="00224102">
            <w:pPr>
              <w:jc w:val="right"/>
              <w:rPr>
                <w:sz w:val="16"/>
                <w:szCs w:val="16"/>
              </w:rPr>
            </w:pPr>
            <w:r w:rsidRPr="00991C34">
              <w:rPr>
                <w:sz w:val="16"/>
                <w:szCs w:val="16"/>
              </w:rPr>
              <w:t>62,326</w:t>
            </w:r>
          </w:p>
        </w:tc>
        <w:tc>
          <w:tcPr>
            <w:tcW w:w="348" w:type="pct"/>
            <w:vAlign w:val="bottom"/>
          </w:tcPr>
          <w:p w14:paraId="5BAD1D25" w14:textId="4930795B" w:rsidR="00224102" w:rsidRPr="00991C34" w:rsidRDefault="00224102" w:rsidP="00224102">
            <w:pPr>
              <w:jc w:val="right"/>
              <w:rPr>
                <w:sz w:val="16"/>
                <w:szCs w:val="16"/>
              </w:rPr>
            </w:pPr>
            <w:r w:rsidRPr="00991C34">
              <w:rPr>
                <w:sz w:val="16"/>
                <w:szCs w:val="16"/>
              </w:rPr>
              <w:t>18,527</w:t>
            </w:r>
          </w:p>
        </w:tc>
        <w:tc>
          <w:tcPr>
            <w:tcW w:w="304" w:type="pct"/>
            <w:vAlign w:val="bottom"/>
          </w:tcPr>
          <w:p w14:paraId="1B440C67" w14:textId="6A694CEA" w:rsidR="00224102" w:rsidRPr="00991C34" w:rsidRDefault="00224102" w:rsidP="00224102">
            <w:pPr>
              <w:jc w:val="right"/>
              <w:rPr>
                <w:sz w:val="16"/>
                <w:szCs w:val="16"/>
              </w:rPr>
            </w:pPr>
            <w:r w:rsidRPr="00991C34">
              <w:rPr>
                <w:sz w:val="16"/>
                <w:szCs w:val="16"/>
              </w:rPr>
              <w:t>12,744</w:t>
            </w:r>
          </w:p>
        </w:tc>
        <w:tc>
          <w:tcPr>
            <w:tcW w:w="302" w:type="pct"/>
            <w:vAlign w:val="bottom"/>
          </w:tcPr>
          <w:p w14:paraId="1C9C9DD7" w14:textId="178FB3B2" w:rsidR="00224102" w:rsidRPr="00991C34" w:rsidRDefault="00224102" w:rsidP="00224102">
            <w:pPr>
              <w:jc w:val="right"/>
              <w:rPr>
                <w:sz w:val="16"/>
                <w:szCs w:val="16"/>
              </w:rPr>
            </w:pPr>
            <w:r w:rsidRPr="00991C34">
              <w:rPr>
                <w:sz w:val="16"/>
                <w:szCs w:val="16"/>
              </w:rPr>
              <w:t>-</w:t>
            </w:r>
          </w:p>
        </w:tc>
        <w:tc>
          <w:tcPr>
            <w:tcW w:w="304" w:type="pct"/>
            <w:vAlign w:val="bottom"/>
          </w:tcPr>
          <w:p w14:paraId="3F601374" w14:textId="74BD2032" w:rsidR="00224102" w:rsidRPr="00991C34" w:rsidRDefault="00224102" w:rsidP="00224102">
            <w:pPr>
              <w:jc w:val="right"/>
              <w:rPr>
                <w:sz w:val="16"/>
                <w:szCs w:val="16"/>
              </w:rPr>
            </w:pPr>
            <w:r w:rsidRPr="00991C34">
              <w:rPr>
                <w:sz w:val="16"/>
                <w:szCs w:val="16"/>
              </w:rPr>
              <w:t>-</w:t>
            </w:r>
          </w:p>
        </w:tc>
        <w:tc>
          <w:tcPr>
            <w:tcW w:w="348" w:type="pct"/>
            <w:vAlign w:val="bottom"/>
          </w:tcPr>
          <w:p w14:paraId="63D71484" w14:textId="23A9E18E" w:rsidR="00224102" w:rsidRPr="00991C34" w:rsidRDefault="00224102" w:rsidP="00224102">
            <w:pPr>
              <w:jc w:val="right"/>
              <w:rPr>
                <w:sz w:val="16"/>
                <w:szCs w:val="16"/>
              </w:rPr>
            </w:pPr>
            <w:r w:rsidRPr="00991C34">
              <w:rPr>
                <w:sz w:val="16"/>
                <w:szCs w:val="16"/>
              </w:rPr>
              <w:t>184,577</w:t>
            </w:r>
          </w:p>
        </w:tc>
        <w:tc>
          <w:tcPr>
            <w:tcW w:w="348" w:type="pct"/>
            <w:vAlign w:val="bottom"/>
          </w:tcPr>
          <w:p w14:paraId="4D3B01D1" w14:textId="4F050E81" w:rsidR="00224102" w:rsidRPr="00991C34" w:rsidRDefault="00224102" w:rsidP="00224102">
            <w:pPr>
              <w:jc w:val="right"/>
              <w:rPr>
                <w:sz w:val="16"/>
                <w:szCs w:val="16"/>
              </w:rPr>
            </w:pPr>
            <w:r w:rsidRPr="00991C34">
              <w:rPr>
                <w:sz w:val="16"/>
                <w:szCs w:val="16"/>
              </w:rPr>
              <w:t>57,617</w:t>
            </w:r>
          </w:p>
        </w:tc>
        <w:tc>
          <w:tcPr>
            <w:tcW w:w="377" w:type="pct"/>
            <w:vAlign w:val="bottom"/>
          </w:tcPr>
          <w:p w14:paraId="6BC17E0C" w14:textId="7867379D" w:rsidR="00224102" w:rsidRPr="00991C34" w:rsidRDefault="00224102" w:rsidP="00224102">
            <w:pPr>
              <w:jc w:val="right"/>
              <w:rPr>
                <w:sz w:val="16"/>
                <w:szCs w:val="16"/>
              </w:rPr>
            </w:pPr>
            <w:r w:rsidRPr="00991C34">
              <w:rPr>
                <w:sz w:val="16"/>
                <w:szCs w:val="16"/>
              </w:rPr>
              <w:t>242,194</w:t>
            </w:r>
          </w:p>
        </w:tc>
      </w:tr>
      <w:tr w:rsidR="00224102" w:rsidRPr="00881830" w14:paraId="08173905" w14:textId="77777777" w:rsidTr="007C1215">
        <w:tc>
          <w:tcPr>
            <w:tcW w:w="1031" w:type="pct"/>
            <w:vAlign w:val="bottom"/>
          </w:tcPr>
          <w:p w14:paraId="17A87C7A"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Forestry</w:t>
            </w:r>
          </w:p>
        </w:tc>
        <w:tc>
          <w:tcPr>
            <w:tcW w:w="348" w:type="pct"/>
            <w:vAlign w:val="bottom"/>
          </w:tcPr>
          <w:p w14:paraId="35BC1A61" w14:textId="2A54C11C" w:rsidR="00224102" w:rsidRPr="00991C34" w:rsidRDefault="00224102" w:rsidP="00224102">
            <w:pPr>
              <w:jc w:val="right"/>
              <w:rPr>
                <w:sz w:val="16"/>
                <w:szCs w:val="16"/>
              </w:rPr>
            </w:pPr>
            <w:r w:rsidRPr="00991C34">
              <w:rPr>
                <w:sz w:val="16"/>
                <w:szCs w:val="16"/>
              </w:rPr>
              <w:t>-</w:t>
            </w:r>
          </w:p>
        </w:tc>
        <w:tc>
          <w:tcPr>
            <w:tcW w:w="256" w:type="pct"/>
            <w:vAlign w:val="bottom"/>
          </w:tcPr>
          <w:p w14:paraId="0C4CCEB6" w14:textId="460C49E4" w:rsidR="00224102" w:rsidRPr="00991C34" w:rsidRDefault="00224102" w:rsidP="00224102">
            <w:pPr>
              <w:jc w:val="right"/>
              <w:rPr>
                <w:sz w:val="16"/>
                <w:szCs w:val="16"/>
              </w:rPr>
            </w:pPr>
            <w:r w:rsidRPr="00991C34">
              <w:rPr>
                <w:sz w:val="16"/>
                <w:szCs w:val="16"/>
              </w:rPr>
              <w:t>-</w:t>
            </w:r>
          </w:p>
        </w:tc>
        <w:tc>
          <w:tcPr>
            <w:tcW w:w="339" w:type="pct"/>
            <w:vAlign w:val="bottom"/>
          </w:tcPr>
          <w:p w14:paraId="79A2DCED" w14:textId="7EEA1074" w:rsidR="00224102" w:rsidRPr="00991C34" w:rsidRDefault="00224102" w:rsidP="00224102">
            <w:pPr>
              <w:jc w:val="right"/>
              <w:rPr>
                <w:sz w:val="16"/>
                <w:szCs w:val="16"/>
              </w:rPr>
            </w:pPr>
            <w:r w:rsidRPr="00991C34">
              <w:rPr>
                <w:sz w:val="16"/>
                <w:szCs w:val="16"/>
              </w:rPr>
              <w:t>-</w:t>
            </w:r>
          </w:p>
        </w:tc>
        <w:tc>
          <w:tcPr>
            <w:tcW w:w="348" w:type="pct"/>
            <w:vAlign w:val="bottom"/>
          </w:tcPr>
          <w:p w14:paraId="780274DE" w14:textId="59B0DE06" w:rsidR="00224102" w:rsidRPr="00991C34" w:rsidRDefault="00224102" w:rsidP="00224102">
            <w:pPr>
              <w:jc w:val="right"/>
              <w:rPr>
                <w:sz w:val="16"/>
                <w:szCs w:val="16"/>
              </w:rPr>
            </w:pPr>
            <w:r w:rsidRPr="00991C34">
              <w:rPr>
                <w:sz w:val="16"/>
                <w:szCs w:val="16"/>
              </w:rPr>
              <w:t>2,417</w:t>
            </w:r>
          </w:p>
        </w:tc>
        <w:tc>
          <w:tcPr>
            <w:tcW w:w="348" w:type="pct"/>
            <w:vAlign w:val="bottom"/>
          </w:tcPr>
          <w:p w14:paraId="114A63C2" w14:textId="1E307E62" w:rsidR="00224102" w:rsidRPr="00991C34" w:rsidRDefault="00224102" w:rsidP="00224102">
            <w:pPr>
              <w:jc w:val="right"/>
              <w:rPr>
                <w:sz w:val="16"/>
                <w:szCs w:val="16"/>
              </w:rPr>
            </w:pPr>
            <w:r w:rsidRPr="00991C34">
              <w:rPr>
                <w:sz w:val="16"/>
                <w:szCs w:val="16"/>
              </w:rPr>
              <w:t>72</w:t>
            </w:r>
          </w:p>
        </w:tc>
        <w:tc>
          <w:tcPr>
            <w:tcW w:w="348" w:type="pct"/>
            <w:vAlign w:val="bottom"/>
          </w:tcPr>
          <w:p w14:paraId="6DE1CDBC" w14:textId="0AA2155A" w:rsidR="00224102" w:rsidRPr="00991C34" w:rsidRDefault="00224102" w:rsidP="00224102">
            <w:pPr>
              <w:jc w:val="right"/>
              <w:rPr>
                <w:sz w:val="16"/>
                <w:szCs w:val="16"/>
              </w:rPr>
            </w:pPr>
            <w:r w:rsidRPr="00991C34">
              <w:rPr>
                <w:sz w:val="16"/>
                <w:szCs w:val="16"/>
              </w:rPr>
              <w:t>718</w:t>
            </w:r>
          </w:p>
        </w:tc>
        <w:tc>
          <w:tcPr>
            <w:tcW w:w="304" w:type="pct"/>
            <w:vAlign w:val="bottom"/>
          </w:tcPr>
          <w:p w14:paraId="0A9E9159" w14:textId="04019C18" w:rsidR="00224102" w:rsidRPr="00991C34" w:rsidRDefault="00224102" w:rsidP="00224102">
            <w:pPr>
              <w:jc w:val="right"/>
              <w:rPr>
                <w:sz w:val="16"/>
                <w:szCs w:val="16"/>
              </w:rPr>
            </w:pPr>
            <w:r w:rsidRPr="00991C34">
              <w:rPr>
                <w:sz w:val="16"/>
                <w:szCs w:val="16"/>
              </w:rPr>
              <w:t>3</w:t>
            </w:r>
          </w:p>
        </w:tc>
        <w:tc>
          <w:tcPr>
            <w:tcW w:w="302" w:type="pct"/>
            <w:vAlign w:val="bottom"/>
          </w:tcPr>
          <w:p w14:paraId="003AB41D" w14:textId="11D788F2" w:rsidR="00224102" w:rsidRPr="00991C34" w:rsidRDefault="00224102" w:rsidP="00224102">
            <w:pPr>
              <w:jc w:val="right"/>
              <w:rPr>
                <w:sz w:val="16"/>
                <w:szCs w:val="16"/>
              </w:rPr>
            </w:pPr>
            <w:r w:rsidRPr="00991C34">
              <w:rPr>
                <w:sz w:val="16"/>
                <w:szCs w:val="16"/>
              </w:rPr>
              <w:t>-</w:t>
            </w:r>
          </w:p>
        </w:tc>
        <w:tc>
          <w:tcPr>
            <w:tcW w:w="304" w:type="pct"/>
            <w:vAlign w:val="bottom"/>
          </w:tcPr>
          <w:p w14:paraId="671C7986" w14:textId="5CFFF0AB" w:rsidR="00224102" w:rsidRPr="00991C34" w:rsidRDefault="00224102" w:rsidP="00224102">
            <w:pPr>
              <w:jc w:val="right"/>
              <w:rPr>
                <w:sz w:val="16"/>
                <w:szCs w:val="16"/>
              </w:rPr>
            </w:pPr>
            <w:r w:rsidRPr="00991C34">
              <w:rPr>
                <w:sz w:val="16"/>
                <w:szCs w:val="16"/>
              </w:rPr>
              <w:t>-</w:t>
            </w:r>
          </w:p>
        </w:tc>
        <w:tc>
          <w:tcPr>
            <w:tcW w:w="348" w:type="pct"/>
            <w:vAlign w:val="bottom"/>
          </w:tcPr>
          <w:p w14:paraId="4A6F0457" w14:textId="38088B3F" w:rsidR="00224102" w:rsidRPr="00991C34" w:rsidRDefault="00224102" w:rsidP="00224102">
            <w:pPr>
              <w:jc w:val="right"/>
              <w:rPr>
                <w:sz w:val="16"/>
                <w:szCs w:val="16"/>
              </w:rPr>
            </w:pPr>
            <w:r w:rsidRPr="00991C34">
              <w:rPr>
                <w:sz w:val="16"/>
                <w:szCs w:val="16"/>
              </w:rPr>
              <w:t>3,210</w:t>
            </w:r>
          </w:p>
        </w:tc>
        <w:tc>
          <w:tcPr>
            <w:tcW w:w="348" w:type="pct"/>
            <w:vAlign w:val="bottom"/>
          </w:tcPr>
          <w:p w14:paraId="20064CBB" w14:textId="41C00B31" w:rsidR="00224102" w:rsidRPr="00991C34" w:rsidRDefault="00224102" w:rsidP="00224102">
            <w:pPr>
              <w:jc w:val="right"/>
              <w:rPr>
                <w:sz w:val="16"/>
                <w:szCs w:val="16"/>
              </w:rPr>
            </w:pPr>
            <w:r w:rsidRPr="00991C34">
              <w:rPr>
                <w:sz w:val="16"/>
                <w:szCs w:val="16"/>
              </w:rPr>
              <w:t>-</w:t>
            </w:r>
          </w:p>
        </w:tc>
        <w:tc>
          <w:tcPr>
            <w:tcW w:w="377" w:type="pct"/>
            <w:vAlign w:val="bottom"/>
          </w:tcPr>
          <w:p w14:paraId="2CBA7495" w14:textId="0FE7BB63" w:rsidR="00224102" w:rsidRPr="00991C34" w:rsidRDefault="00224102" w:rsidP="00224102">
            <w:pPr>
              <w:jc w:val="right"/>
              <w:rPr>
                <w:sz w:val="16"/>
                <w:szCs w:val="16"/>
              </w:rPr>
            </w:pPr>
            <w:r w:rsidRPr="00991C34">
              <w:rPr>
                <w:sz w:val="16"/>
                <w:szCs w:val="16"/>
              </w:rPr>
              <w:t>3,210</w:t>
            </w:r>
          </w:p>
        </w:tc>
      </w:tr>
      <w:tr w:rsidR="00224102" w:rsidRPr="00881830" w14:paraId="7226142D" w14:textId="77777777" w:rsidTr="007C1215">
        <w:tc>
          <w:tcPr>
            <w:tcW w:w="1031" w:type="pct"/>
            <w:vAlign w:val="bottom"/>
          </w:tcPr>
          <w:p w14:paraId="7DF333D4"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Fishery</w:t>
            </w:r>
          </w:p>
        </w:tc>
        <w:tc>
          <w:tcPr>
            <w:tcW w:w="348" w:type="pct"/>
            <w:vAlign w:val="bottom"/>
          </w:tcPr>
          <w:p w14:paraId="76184300" w14:textId="2460B71A" w:rsidR="00224102" w:rsidRPr="00991C34" w:rsidRDefault="00224102" w:rsidP="00224102">
            <w:pPr>
              <w:jc w:val="right"/>
              <w:rPr>
                <w:sz w:val="16"/>
                <w:szCs w:val="16"/>
              </w:rPr>
            </w:pPr>
            <w:r w:rsidRPr="00991C34">
              <w:rPr>
                <w:sz w:val="16"/>
                <w:szCs w:val="16"/>
              </w:rPr>
              <w:t>-</w:t>
            </w:r>
          </w:p>
        </w:tc>
        <w:tc>
          <w:tcPr>
            <w:tcW w:w="256" w:type="pct"/>
            <w:vAlign w:val="bottom"/>
          </w:tcPr>
          <w:p w14:paraId="1BCF41ED" w14:textId="67285286" w:rsidR="00224102" w:rsidRPr="00991C34" w:rsidRDefault="00224102" w:rsidP="00224102">
            <w:pPr>
              <w:jc w:val="right"/>
              <w:rPr>
                <w:sz w:val="16"/>
                <w:szCs w:val="16"/>
              </w:rPr>
            </w:pPr>
            <w:r w:rsidRPr="00991C34">
              <w:rPr>
                <w:sz w:val="16"/>
                <w:szCs w:val="16"/>
              </w:rPr>
              <w:t>-</w:t>
            </w:r>
          </w:p>
        </w:tc>
        <w:tc>
          <w:tcPr>
            <w:tcW w:w="339" w:type="pct"/>
            <w:vAlign w:val="bottom"/>
          </w:tcPr>
          <w:p w14:paraId="7920DC5D" w14:textId="4F04654B" w:rsidR="00224102" w:rsidRPr="00991C34" w:rsidRDefault="00224102" w:rsidP="00224102">
            <w:pPr>
              <w:jc w:val="right"/>
              <w:rPr>
                <w:sz w:val="16"/>
                <w:szCs w:val="16"/>
              </w:rPr>
            </w:pPr>
            <w:r w:rsidRPr="00991C34">
              <w:rPr>
                <w:sz w:val="16"/>
                <w:szCs w:val="16"/>
              </w:rPr>
              <w:t>-</w:t>
            </w:r>
          </w:p>
        </w:tc>
        <w:tc>
          <w:tcPr>
            <w:tcW w:w="348" w:type="pct"/>
            <w:vAlign w:val="bottom"/>
          </w:tcPr>
          <w:p w14:paraId="7CB2CF9F" w14:textId="298C8DAF" w:rsidR="00224102" w:rsidRPr="00991C34" w:rsidRDefault="00224102" w:rsidP="00224102">
            <w:pPr>
              <w:jc w:val="right"/>
              <w:rPr>
                <w:sz w:val="16"/>
                <w:szCs w:val="16"/>
              </w:rPr>
            </w:pPr>
            <w:r w:rsidRPr="00991C34">
              <w:rPr>
                <w:sz w:val="16"/>
                <w:szCs w:val="16"/>
              </w:rPr>
              <w:t>8,387</w:t>
            </w:r>
          </w:p>
        </w:tc>
        <w:tc>
          <w:tcPr>
            <w:tcW w:w="348" w:type="pct"/>
            <w:vAlign w:val="bottom"/>
          </w:tcPr>
          <w:p w14:paraId="72D40011" w14:textId="598EE775" w:rsidR="00224102" w:rsidRPr="00991C34" w:rsidRDefault="00224102" w:rsidP="00224102">
            <w:pPr>
              <w:jc w:val="right"/>
              <w:rPr>
                <w:sz w:val="16"/>
                <w:szCs w:val="16"/>
              </w:rPr>
            </w:pPr>
            <w:r w:rsidRPr="00991C34">
              <w:rPr>
                <w:sz w:val="16"/>
                <w:szCs w:val="16"/>
              </w:rPr>
              <w:t>94</w:t>
            </w:r>
          </w:p>
        </w:tc>
        <w:tc>
          <w:tcPr>
            <w:tcW w:w="348" w:type="pct"/>
            <w:vAlign w:val="bottom"/>
          </w:tcPr>
          <w:p w14:paraId="4A138F60" w14:textId="244B252D" w:rsidR="00224102" w:rsidRPr="00991C34" w:rsidRDefault="00224102" w:rsidP="00224102">
            <w:pPr>
              <w:jc w:val="right"/>
              <w:rPr>
                <w:sz w:val="16"/>
                <w:szCs w:val="16"/>
              </w:rPr>
            </w:pPr>
            <w:r w:rsidRPr="00991C34">
              <w:rPr>
                <w:sz w:val="16"/>
                <w:szCs w:val="16"/>
              </w:rPr>
              <w:t>383</w:t>
            </w:r>
          </w:p>
        </w:tc>
        <w:tc>
          <w:tcPr>
            <w:tcW w:w="304" w:type="pct"/>
            <w:vAlign w:val="bottom"/>
          </w:tcPr>
          <w:p w14:paraId="6B7031CF" w14:textId="69397FFA" w:rsidR="00224102" w:rsidRPr="00991C34" w:rsidRDefault="00224102" w:rsidP="00224102">
            <w:pPr>
              <w:jc w:val="right"/>
              <w:rPr>
                <w:sz w:val="16"/>
                <w:szCs w:val="16"/>
              </w:rPr>
            </w:pPr>
            <w:r w:rsidRPr="00991C34">
              <w:rPr>
                <w:sz w:val="16"/>
                <w:szCs w:val="16"/>
              </w:rPr>
              <w:t>308</w:t>
            </w:r>
          </w:p>
        </w:tc>
        <w:tc>
          <w:tcPr>
            <w:tcW w:w="302" w:type="pct"/>
            <w:vAlign w:val="bottom"/>
          </w:tcPr>
          <w:p w14:paraId="4A33CD88" w14:textId="487F51AF" w:rsidR="00224102" w:rsidRPr="00991C34" w:rsidRDefault="00224102" w:rsidP="00224102">
            <w:pPr>
              <w:jc w:val="right"/>
              <w:rPr>
                <w:sz w:val="16"/>
                <w:szCs w:val="16"/>
              </w:rPr>
            </w:pPr>
            <w:r w:rsidRPr="00991C34">
              <w:rPr>
                <w:sz w:val="16"/>
                <w:szCs w:val="16"/>
              </w:rPr>
              <w:t>-</w:t>
            </w:r>
          </w:p>
        </w:tc>
        <w:tc>
          <w:tcPr>
            <w:tcW w:w="304" w:type="pct"/>
            <w:vAlign w:val="bottom"/>
          </w:tcPr>
          <w:p w14:paraId="4060B3A5" w14:textId="1F516F45" w:rsidR="00224102" w:rsidRPr="00991C34" w:rsidRDefault="00224102" w:rsidP="00224102">
            <w:pPr>
              <w:jc w:val="right"/>
              <w:rPr>
                <w:sz w:val="16"/>
                <w:szCs w:val="16"/>
              </w:rPr>
            </w:pPr>
            <w:r w:rsidRPr="00991C34">
              <w:rPr>
                <w:sz w:val="16"/>
                <w:szCs w:val="16"/>
              </w:rPr>
              <w:t>-</w:t>
            </w:r>
          </w:p>
        </w:tc>
        <w:tc>
          <w:tcPr>
            <w:tcW w:w="348" w:type="pct"/>
            <w:vAlign w:val="bottom"/>
          </w:tcPr>
          <w:p w14:paraId="58D8A798" w14:textId="64557560" w:rsidR="00224102" w:rsidRPr="00991C34" w:rsidRDefault="00224102" w:rsidP="00224102">
            <w:pPr>
              <w:jc w:val="right"/>
              <w:rPr>
                <w:sz w:val="16"/>
                <w:szCs w:val="16"/>
              </w:rPr>
            </w:pPr>
            <w:r w:rsidRPr="00991C34">
              <w:rPr>
                <w:sz w:val="16"/>
                <w:szCs w:val="16"/>
              </w:rPr>
              <w:t>3,829</w:t>
            </w:r>
          </w:p>
        </w:tc>
        <w:tc>
          <w:tcPr>
            <w:tcW w:w="348" w:type="pct"/>
            <w:vAlign w:val="bottom"/>
          </w:tcPr>
          <w:p w14:paraId="0AA24638" w14:textId="29439D95" w:rsidR="00224102" w:rsidRPr="00991C34" w:rsidRDefault="00224102" w:rsidP="00224102">
            <w:pPr>
              <w:jc w:val="right"/>
              <w:rPr>
                <w:sz w:val="16"/>
                <w:szCs w:val="16"/>
              </w:rPr>
            </w:pPr>
            <w:r w:rsidRPr="00991C34">
              <w:rPr>
                <w:sz w:val="16"/>
                <w:szCs w:val="16"/>
              </w:rPr>
              <w:t>5,343</w:t>
            </w:r>
          </w:p>
        </w:tc>
        <w:tc>
          <w:tcPr>
            <w:tcW w:w="377" w:type="pct"/>
            <w:vAlign w:val="bottom"/>
          </w:tcPr>
          <w:p w14:paraId="0E6C7736" w14:textId="23E0172E" w:rsidR="00224102" w:rsidRPr="00991C34" w:rsidRDefault="00224102" w:rsidP="00224102">
            <w:pPr>
              <w:jc w:val="right"/>
              <w:rPr>
                <w:sz w:val="16"/>
                <w:szCs w:val="16"/>
              </w:rPr>
            </w:pPr>
            <w:r w:rsidRPr="00991C34">
              <w:rPr>
                <w:sz w:val="16"/>
                <w:szCs w:val="16"/>
              </w:rPr>
              <w:t>9,172</w:t>
            </w:r>
          </w:p>
        </w:tc>
      </w:tr>
      <w:tr w:rsidR="00224102" w:rsidRPr="00881830" w14:paraId="3729433B" w14:textId="77777777" w:rsidTr="007C1215">
        <w:tc>
          <w:tcPr>
            <w:tcW w:w="1031" w:type="pct"/>
            <w:vAlign w:val="bottom"/>
          </w:tcPr>
          <w:p w14:paraId="39E10014" w14:textId="77777777" w:rsidR="00224102" w:rsidRPr="00881830" w:rsidRDefault="00224102" w:rsidP="00224102">
            <w:pPr>
              <w:tabs>
                <w:tab w:val="left" w:pos="0"/>
              </w:tabs>
              <w:spacing w:line="216" w:lineRule="auto"/>
              <w:rPr>
                <w:b/>
                <w:snapToGrid w:val="0"/>
                <w:sz w:val="16"/>
                <w:szCs w:val="16"/>
                <w:lang w:val="tr-TR"/>
              </w:rPr>
            </w:pPr>
            <w:r w:rsidRPr="00881830">
              <w:rPr>
                <w:b/>
                <w:snapToGrid w:val="0"/>
                <w:sz w:val="16"/>
                <w:szCs w:val="16"/>
                <w:lang w:val="tr-TR"/>
              </w:rPr>
              <w:t>Manufacturing</w:t>
            </w:r>
          </w:p>
        </w:tc>
        <w:tc>
          <w:tcPr>
            <w:tcW w:w="348" w:type="pct"/>
            <w:vAlign w:val="bottom"/>
          </w:tcPr>
          <w:p w14:paraId="07CCD151" w14:textId="23835280" w:rsidR="00224102" w:rsidRPr="00991C34" w:rsidRDefault="00224102" w:rsidP="00224102">
            <w:pPr>
              <w:jc w:val="right"/>
              <w:rPr>
                <w:b/>
                <w:sz w:val="16"/>
                <w:szCs w:val="16"/>
              </w:rPr>
            </w:pPr>
            <w:r w:rsidRPr="00991C34">
              <w:rPr>
                <w:b/>
                <w:sz w:val="16"/>
                <w:szCs w:val="16"/>
              </w:rPr>
              <w:t>-</w:t>
            </w:r>
          </w:p>
        </w:tc>
        <w:tc>
          <w:tcPr>
            <w:tcW w:w="256" w:type="pct"/>
            <w:vAlign w:val="bottom"/>
          </w:tcPr>
          <w:p w14:paraId="5786BFEE" w14:textId="396732BA" w:rsidR="00224102" w:rsidRPr="00991C34" w:rsidRDefault="00224102" w:rsidP="00224102">
            <w:pPr>
              <w:jc w:val="right"/>
              <w:rPr>
                <w:b/>
                <w:sz w:val="16"/>
                <w:szCs w:val="16"/>
              </w:rPr>
            </w:pPr>
            <w:r w:rsidRPr="00991C34">
              <w:rPr>
                <w:b/>
                <w:sz w:val="16"/>
                <w:szCs w:val="16"/>
              </w:rPr>
              <w:t>-</w:t>
            </w:r>
          </w:p>
        </w:tc>
        <w:tc>
          <w:tcPr>
            <w:tcW w:w="339" w:type="pct"/>
            <w:vAlign w:val="bottom"/>
          </w:tcPr>
          <w:p w14:paraId="677DED71" w14:textId="1539C800" w:rsidR="00224102" w:rsidRPr="00991C34" w:rsidRDefault="00224102" w:rsidP="00224102">
            <w:pPr>
              <w:jc w:val="right"/>
              <w:rPr>
                <w:b/>
                <w:sz w:val="16"/>
                <w:szCs w:val="16"/>
              </w:rPr>
            </w:pPr>
            <w:r w:rsidRPr="00991C34">
              <w:rPr>
                <w:b/>
                <w:sz w:val="16"/>
                <w:szCs w:val="16"/>
              </w:rPr>
              <w:t>-</w:t>
            </w:r>
          </w:p>
        </w:tc>
        <w:tc>
          <w:tcPr>
            <w:tcW w:w="348" w:type="pct"/>
            <w:vAlign w:val="bottom"/>
          </w:tcPr>
          <w:p w14:paraId="650AFC0A" w14:textId="5FC98128" w:rsidR="00224102" w:rsidRPr="00991C34" w:rsidRDefault="00224102" w:rsidP="00224102">
            <w:pPr>
              <w:jc w:val="right"/>
              <w:rPr>
                <w:b/>
                <w:sz w:val="16"/>
                <w:szCs w:val="16"/>
              </w:rPr>
            </w:pPr>
            <w:r w:rsidRPr="00991C34">
              <w:rPr>
                <w:b/>
                <w:sz w:val="16"/>
                <w:szCs w:val="16"/>
              </w:rPr>
              <w:t>2,408,812</w:t>
            </w:r>
          </w:p>
        </w:tc>
        <w:tc>
          <w:tcPr>
            <w:tcW w:w="348" w:type="pct"/>
            <w:vAlign w:val="bottom"/>
          </w:tcPr>
          <w:p w14:paraId="7173EC5D" w14:textId="7AA6D36F" w:rsidR="00224102" w:rsidRPr="00991C34" w:rsidRDefault="00224102" w:rsidP="00224102">
            <w:pPr>
              <w:jc w:val="right"/>
              <w:rPr>
                <w:b/>
                <w:sz w:val="16"/>
                <w:szCs w:val="16"/>
              </w:rPr>
            </w:pPr>
            <w:r w:rsidRPr="00991C34">
              <w:rPr>
                <w:b/>
                <w:sz w:val="16"/>
                <w:szCs w:val="16"/>
              </w:rPr>
              <w:t>622,419</w:t>
            </w:r>
          </w:p>
        </w:tc>
        <w:tc>
          <w:tcPr>
            <w:tcW w:w="348" w:type="pct"/>
            <w:vAlign w:val="bottom"/>
          </w:tcPr>
          <w:p w14:paraId="073F98BC" w14:textId="3B04BC36" w:rsidR="00224102" w:rsidRPr="00991C34" w:rsidRDefault="00224102" w:rsidP="00224102">
            <w:pPr>
              <w:jc w:val="right"/>
              <w:rPr>
                <w:b/>
                <w:sz w:val="16"/>
                <w:szCs w:val="16"/>
              </w:rPr>
            </w:pPr>
            <w:r w:rsidRPr="00991C34">
              <w:rPr>
                <w:b/>
                <w:sz w:val="16"/>
                <w:szCs w:val="16"/>
              </w:rPr>
              <w:t>322,572</w:t>
            </w:r>
          </w:p>
        </w:tc>
        <w:tc>
          <w:tcPr>
            <w:tcW w:w="304" w:type="pct"/>
            <w:vAlign w:val="bottom"/>
          </w:tcPr>
          <w:p w14:paraId="2DD31BF8" w14:textId="2399AA7E" w:rsidR="00224102" w:rsidRPr="00991C34" w:rsidRDefault="00224102" w:rsidP="00224102">
            <w:pPr>
              <w:jc w:val="right"/>
              <w:rPr>
                <w:b/>
                <w:sz w:val="16"/>
                <w:szCs w:val="16"/>
              </w:rPr>
            </w:pPr>
            <w:r w:rsidRPr="00991C34">
              <w:rPr>
                <w:b/>
                <w:sz w:val="16"/>
                <w:szCs w:val="16"/>
              </w:rPr>
              <w:t>65,136</w:t>
            </w:r>
          </w:p>
        </w:tc>
        <w:tc>
          <w:tcPr>
            <w:tcW w:w="302" w:type="pct"/>
            <w:vAlign w:val="bottom"/>
          </w:tcPr>
          <w:p w14:paraId="16E4D15D" w14:textId="658A993E" w:rsidR="00224102" w:rsidRPr="00991C34" w:rsidRDefault="00224102" w:rsidP="00224102">
            <w:pPr>
              <w:jc w:val="right"/>
              <w:rPr>
                <w:b/>
                <w:sz w:val="16"/>
                <w:szCs w:val="16"/>
              </w:rPr>
            </w:pPr>
            <w:r w:rsidRPr="00991C34">
              <w:rPr>
                <w:b/>
                <w:sz w:val="16"/>
                <w:szCs w:val="16"/>
              </w:rPr>
              <w:t>-</w:t>
            </w:r>
          </w:p>
        </w:tc>
        <w:tc>
          <w:tcPr>
            <w:tcW w:w="304" w:type="pct"/>
            <w:vAlign w:val="bottom"/>
          </w:tcPr>
          <w:p w14:paraId="63408F36" w14:textId="725E52C3" w:rsidR="00224102" w:rsidRPr="00991C34" w:rsidRDefault="00224102" w:rsidP="00224102">
            <w:pPr>
              <w:jc w:val="right"/>
              <w:rPr>
                <w:b/>
                <w:sz w:val="16"/>
                <w:szCs w:val="16"/>
              </w:rPr>
            </w:pPr>
            <w:r w:rsidRPr="00991C34">
              <w:rPr>
                <w:b/>
                <w:sz w:val="16"/>
                <w:szCs w:val="16"/>
              </w:rPr>
              <w:t>-</w:t>
            </w:r>
          </w:p>
        </w:tc>
        <w:tc>
          <w:tcPr>
            <w:tcW w:w="348" w:type="pct"/>
            <w:vAlign w:val="bottom"/>
          </w:tcPr>
          <w:p w14:paraId="3EC2EDD3" w14:textId="56A7FA74" w:rsidR="00224102" w:rsidRPr="00991C34" w:rsidRDefault="00224102" w:rsidP="00224102">
            <w:pPr>
              <w:jc w:val="right"/>
              <w:rPr>
                <w:b/>
                <w:sz w:val="16"/>
                <w:szCs w:val="16"/>
              </w:rPr>
            </w:pPr>
            <w:r w:rsidRPr="00991C34">
              <w:rPr>
                <w:b/>
                <w:sz w:val="16"/>
                <w:szCs w:val="16"/>
              </w:rPr>
              <w:t>1,529,573</w:t>
            </w:r>
          </w:p>
        </w:tc>
        <w:tc>
          <w:tcPr>
            <w:tcW w:w="348" w:type="pct"/>
            <w:vAlign w:val="bottom"/>
          </w:tcPr>
          <w:p w14:paraId="572A7E02" w14:textId="0825682D" w:rsidR="00224102" w:rsidRPr="00991C34" w:rsidRDefault="00224102" w:rsidP="00224102">
            <w:pPr>
              <w:jc w:val="right"/>
              <w:rPr>
                <w:b/>
                <w:sz w:val="16"/>
                <w:szCs w:val="16"/>
              </w:rPr>
            </w:pPr>
            <w:r w:rsidRPr="00991C34">
              <w:rPr>
                <w:b/>
                <w:sz w:val="16"/>
                <w:szCs w:val="16"/>
              </w:rPr>
              <w:t>1,889,366</w:t>
            </w:r>
          </w:p>
        </w:tc>
        <w:tc>
          <w:tcPr>
            <w:tcW w:w="377" w:type="pct"/>
            <w:vAlign w:val="bottom"/>
          </w:tcPr>
          <w:p w14:paraId="14310213" w14:textId="6D435B2E" w:rsidR="00224102" w:rsidRPr="00991C34" w:rsidRDefault="00224102" w:rsidP="00224102">
            <w:pPr>
              <w:jc w:val="right"/>
              <w:rPr>
                <w:b/>
                <w:sz w:val="16"/>
                <w:szCs w:val="16"/>
              </w:rPr>
            </w:pPr>
            <w:r w:rsidRPr="00991C34">
              <w:rPr>
                <w:b/>
                <w:sz w:val="16"/>
                <w:szCs w:val="16"/>
              </w:rPr>
              <w:t>3,418,939</w:t>
            </w:r>
          </w:p>
        </w:tc>
      </w:tr>
      <w:tr w:rsidR="00224102" w:rsidRPr="00881830" w14:paraId="7F09CAB2" w14:textId="77777777" w:rsidTr="007C1215">
        <w:tc>
          <w:tcPr>
            <w:tcW w:w="1031" w:type="pct"/>
            <w:vAlign w:val="bottom"/>
          </w:tcPr>
          <w:p w14:paraId="45050E58"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Mining and Quarrying</w:t>
            </w:r>
          </w:p>
        </w:tc>
        <w:tc>
          <w:tcPr>
            <w:tcW w:w="348" w:type="pct"/>
            <w:vAlign w:val="bottom"/>
          </w:tcPr>
          <w:p w14:paraId="6E040CA0" w14:textId="49654274" w:rsidR="00224102" w:rsidRPr="00991C34" w:rsidRDefault="00224102" w:rsidP="00224102">
            <w:pPr>
              <w:jc w:val="right"/>
              <w:rPr>
                <w:sz w:val="16"/>
                <w:szCs w:val="16"/>
              </w:rPr>
            </w:pPr>
            <w:r w:rsidRPr="00991C34">
              <w:rPr>
                <w:sz w:val="16"/>
                <w:szCs w:val="16"/>
              </w:rPr>
              <w:t>-</w:t>
            </w:r>
          </w:p>
        </w:tc>
        <w:tc>
          <w:tcPr>
            <w:tcW w:w="256" w:type="pct"/>
            <w:vAlign w:val="bottom"/>
          </w:tcPr>
          <w:p w14:paraId="2C653AFB" w14:textId="13024629" w:rsidR="00224102" w:rsidRPr="00991C34" w:rsidRDefault="00224102" w:rsidP="00224102">
            <w:pPr>
              <w:jc w:val="right"/>
              <w:rPr>
                <w:sz w:val="16"/>
                <w:szCs w:val="16"/>
              </w:rPr>
            </w:pPr>
            <w:r w:rsidRPr="00991C34">
              <w:rPr>
                <w:sz w:val="16"/>
                <w:szCs w:val="16"/>
              </w:rPr>
              <w:t>-</w:t>
            </w:r>
          </w:p>
        </w:tc>
        <w:tc>
          <w:tcPr>
            <w:tcW w:w="339" w:type="pct"/>
            <w:vAlign w:val="bottom"/>
          </w:tcPr>
          <w:p w14:paraId="4294758B" w14:textId="1115E0B7" w:rsidR="00224102" w:rsidRPr="00991C34" w:rsidRDefault="00224102" w:rsidP="00224102">
            <w:pPr>
              <w:jc w:val="right"/>
              <w:rPr>
                <w:sz w:val="16"/>
                <w:szCs w:val="16"/>
              </w:rPr>
            </w:pPr>
            <w:r w:rsidRPr="00991C34">
              <w:rPr>
                <w:sz w:val="16"/>
                <w:szCs w:val="16"/>
              </w:rPr>
              <w:t>-</w:t>
            </w:r>
          </w:p>
        </w:tc>
        <w:tc>
          <w:tcPr>
            <w:tcW w:w="348" w:type="pct"/>
            <w:vAlign w:val="bottom"/>
          </w:tcPr>
          <w:p w14:paraId="546E1E7A" w14:textId="1C78DC5C" w:rsidR="00224102" w:rsidRPr="00991C34" w:rsidRDefault="00224102" w:rsidP="00224102">
            <w:pPr>
              <w:jc w:val="right"/>
              <w:rPr>
                <w:sz w:val="16"/>
                <w:szCs w:val="16"/>
              </w:rPr>
            </w:pPr>
            <w:r w:rsidRPr="00991C34">
              <w:rPr>
                <w:sz w:val="16"/>
                <w:szCs w:val="16"/>
              </w:rPr>
              <w:t>275,359</w:t>
            </w:r>
          </w:p>
        </w:tc>
        <w:tc>
          <w:tcPr>
            <w:tcW w:w="348" w:type="pct"/>
            <w:vAlign w:val="bottom"/>
          </w:tcPr>
          <w:p w14:paraId="1F940504" w14:textId="2063B93B" w:rsidR="00224102" w:rsidRPr="00991C34" w:rsidRDefault="00224102" w:rsidP="00224102">
            <w:pPr>
              <w:jc w:val="right"/>
              <w:rPr>
                <w:sz w:val="16"/>
                <w:szCs w:val="16"/>
              </w:rPr>
            </w:pPr>
            <w:r w:rsidRPr="00991C34">
              <w:rPr>
                <w:sz w:val="16"/>
                <w:szCs w:val="16"/>
              </w:rPr>
              <w:t>55,070</w:t>
            </w:r>
          </w:p>
        </w:tc>
        <w:tc>
          <w:tcPr>
            <w:tcW w:w="348" w:type="pct"/>
            <w:vAlign w:val="bottom"/>
          </w:tcPr>
          <w:p w14:paraId="0C912400" w14:textId="3C1A9FE4" w:rsidR="00224102" w:rsidRPr="00991C34" w:rsidRDefault="00224102" w:rsidP="00224102">
            <w:pPr>
              <w:jc w:val="right"/>
              <w:rPr>
                <w:sz w:val="16"/>
                <w:szCs w:val="16"/>
              </w:rPr>
            </w:pPr>
            <w:r w:rsidRPr="00991C34">
              <w:rPr>
                <w:sz w:val="16"/>
                <w:szCs w:val="16"/>
              </w:rPr>
              <w:t>23,153</w:t>
            </w:r>
          </w:p>
        </w:tc>
        <w:tc>
          <w:tcPr>
            <w:tcW w:w="304" w:type="pct"/>
            <w:vAlign w:val="bottom"/>
          </w:tcPr>
          <w:p w14:paraId="371EDAA9" w14:textId="6E73246C" w:rsidR="00224102" w:rsidRPr="00991C34" w:rsidRDefault="00224102" w:rsidP="00224102">
            <w:pPr>
              <w:jc w:val="right"/>
              <w:rPr>
                <w:sz w:val="16"/>
                <w:szCs w:val="16"/>
              </w:rPr>
            </w:pPr>
            <w:r w:rsidRPr="00991C34">
              <w:rPr>
                <w:sz w:val="16"/>
                <w:szCs w:val="16"/>
              </w:rPr>
              <w:t>8,722</w:t>
            </w:r>
          </w:p>
        </w:tc>
        <w:tc>
          <w:tcPr>
            <w:tcW w:w="302" w:type="pct"/>
            <w:vAlign w:val="bottom"/>
          </w:tcPr>
          <w:p w14:paraId="35B743E3" w14:textId="5BCD3E20" w:rsidR="00224102" w:rsidRPr="00991C34" w:rsidRDefault="00224102" w:rsidP="00224102">
            <w:pPr>
              <w:jc w:val="right"/>
              <w:rPr>
                <w:sz w:val="16"/>
                <w:szCs w:val="16"/>
              </w:rPr>
            </w:pPr>
            <w:r w:rsidRPr="00991C34">
              <w:rPr>
                <w:sz w:val="16"/>
                <w:szCs w:val="16"/>
              </w:rPr>
              <w:t>-</w:t>
            </w:r>
          </w:p>
        </w:tc>
        <w:tc>
          <w:tcPr>
            <w:tcW w:w="304" w:type="pct"/>
            <w:vAlign w:val="bottom"/>
          </w:tcPr>
          <w:p w14:paraId="52B421AC" w14:textId="6E4FCA9D" w:rsidR="00224102" w:rsidRPr="00991C34" w:rsidRDefault="00224102" w:rsidP="00224102">
            <w:pPr>
              <w:jc w:val="right"/>
              <w:rPr>
                <w:sz w:val="16"/>
                <w:szCs w:val="16"/>
              </w:rPr>
            </w:pPr>
            <w:r w:rsidRPr="00991C34">
              <w:rPr>
                <w:sz w:val="16"/>
                <w:szCs w:val="16"/>
              </w:rPr>
              <w:t>-</w:t>
            </w:r>
          </w:p>
        </w:tc>
        <w:tc>
          <w:tcPr>
            <w:tcW w:w="348" w:type="pct"/>
            <w:vAlign w:val="bottom"/>
          </w:tcPr>
          <w:p w14:paraId="637CA4E4" w14:textId="1A4A07A8" w:rsidR="00224102" w:rsidRPr="00991C34" w:rsidRDefault="00224102" w:rsidP="00224102">
            <w:pPr>
              <w:jc w:val="right"/>
              <w:rPr>
                <w:sz w:val="16"/>
                <w:szCs w:val="16"/>
              </w:rPr>
            </w:pPr>
            <w:r w:rsidRPr="00991C34">
              <w:rPr>
                <w:sz w:val="16"/>
                <w:szCs w:val="16"/>
              </w:rPr>
              <w:t>154,722</w:t>
            </w:r>
          </w:p>
        </w:tc>
        <w:tc>
          <w:tcPr>
            <w:tcW w:w="348" w:type="pct"/>
            <w:vAlign w:val="bottom"/>
          </w:tcPr>
          <w:p w14:paraId="3FCE9DC3" w14:textId="1D5E7587" w:rsidR="00224102" w:rsidRPr="00991C34" w:rsidRDefault="00224102" w:rsidP="00224102">
            <w:pPr>
              <w:jc w:val="right"/>
              <w:rPr>
                <w:sz w:val="16"/>
                <w:szCs w:val="16"/>
              </w:rPr>
            </w:pPr>
            <w:r w:rsidRPr="00991C34">
              <w:rPr>
                <w:sz w:val="16"/>
                <w:szCs w:val="16"/>
              </w:rPr>
              <w:t>207,582</w:t>
            </w:r>
          </w:p>
        </w:tc>
        <w:tc>
          <w:tcPr>
            <w:tcW w:w="377" w:type="pct"/>
            <w:vAlign w:val="bottom"/>
          </w:tcPr>
          <w:p w14:paraId="748720FF" w14:textId="72491837" w:rsidR="00224102" w:rsidRPr="00991C34" w:rsidRDefault="00224102" w:rsidP="00224102">
            <w:pPr>
              <w:jc w:val="right"/>
              <w:rPr>
                <w:sz w:val="16"/>
                <w:szCs w:val="16"/>
              </w:rPr>
            </w:pPr>
            <w:r w:rsidRPr="00991C34">
              <w:rPr>
                <w:sz w:val="16"/>
                <w:szCs w:val="16"/>
              </w:rPr>
              <w:t>362,304</w:t>
            </w:r>
          </w:p>
        </w:tc>
      </w:tr>
      <w:tr w:rsidR="00224102" w:rsidRPr="00881830" w14:paraId="58A952FD" w14:textId="77777777" w:rsidTr="007C1215">
        <w:tc>
          <w:tcPr>
            <w:tcW w:w="1031" w:type="pct"/>
            <w:vAlign w:val="bottom"/>
          </w:tcPr>
          <w:p w14:paraId="35B21CCE"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Production</w:t>
            </w:r>
          </w:p>
        </w:tc>
        <w:tc>
          <w:tcPr>
            <w:tcW w:w="348" w:type="pct"/>
            <w:vAlign w:val="bottom"/>
          </w:tcPr>
          <w:p w14:paraId="0D07D458" w14:textId="31AE2B2C" w:rsidR="00224102" w:rsidRPr="00991C34" w:rsidRDefault="00224102" w:rsidP="00224102">
            <w:pPr>
              <w:jc w:val="right"/>
              <w:rPr>
                <w:sz w:val="16"/>
                <w:szCs w:val="16"/>
              </w:rPr>
            </w:pPr>
            <w:r w:rsidRPr="00991C34">
              <w:rPr>
                <w:sz w:val="16"/>
                <w:szCs w:val="16"/>
              </w:rPr>
              <w:t>-</w:t>
            </w:r>
          </w:p>
        </w:tc>
        <w:tc>
          <w:tcPr>
            <w:tcW w:w="256" w:type="pct"/>
            <w:vAlign w:val="bottom"/>
          </w:tcPr>
          <w:p w14:paraId="0069EEB7" w14:textId="7E64D8A2" w:rsidR="00224102" w:rsidRPr="00991C34" w:rsidRDefault="00224102" w:rsidP="00224102">
            <w:pPr>
              <w:jc w:val="right"/>
              <w:rPr>
                <w:sz w:val="16"/>
                <w:szCs w:val="16"/>
              </w:rPr>
            </w:pPr>
            <w:r w:rsidRPr="00991C34">
              <w:rPr>
                <w:sz w:val="16"/>
                <w:szCs w:val="16"/>
              </w:rPr>
              <w:t>-</w:t>
            </w:r>
          </w:p>
        </w:tc>
        <w:tc>
          <w:tcPr>
            <w:tcW w:w="339" w:type="pct"/>
            <w:vAlign w:val="bottom"/>
          </w:tcPr>
          <w:p w14:paraId="7AF7A58A" w14:textId="59D7989A" w:rsidR="00224102" w:rsidRPr="00991C34" w:rsidRDefault="00224102" w:rsidP="00224102">
            <w:pPr>
              <w:jc w:val="right"/>
              <w:rPr>
                <w:sz w:val="16"/>
                <w:szCs w:val="16"/>
              </w:rPr>
            </w:pPr>
            <w:r w:rsidRPr="00991C34">
              <w:rPr>
                <w:sz w:val="16"/>
                <w:szCs w:val="16"/>
              </w:rPr>
              <w:t>-</w:t>
            </w:r>
          </w:p>
        </w:tc>
        <w:tc>
          <w:tcPr>
            <w:tcW w:w="348" w:type="pct"/>
            <w:vAlign w:val="bottom"/>
          </w:tcPr>
          <w:p w14:paraId="09968EC8" w14:textId="6DAA363C" w:rsidR="00224102" w:rsidRPr="00991C34" w:rsidRDefault="00224102" w:rsidP="00224102">
            <w:pPr>
              <w:jc w:val="right"/>
              <w:rPr>
                <w:sz w:val="16"/>
                <w:szCs w:val="16"/>
              </w:rPr>
            </w:pPr>
            <w:r w:rsidRPr="00991C34">
              <w:rPr>
                <w:sz w:val="16"/>
                <w:szCs w:val="16"/>
              </w:rPr>
              <w:t>1,761,167</w:t>
            </w:r>
          </w:p>
        </w:tc>
        <w:tc>
          <w:tcPr>
            <w:tcW w:w="348" w:type="pct"/>
            <w:vAlign w:val="bottom"/>
          </w:tcPr>
          <w:p w14:paraId="6FF042E1" w14:textId="43A544BB" w:rsidR="00224102" w:rsidRPr="00991C34" w:rsidRDefault="00224102" w:rsidP="00224102">
            <w:pPr>
              <w:jc w:val="right"/>
              <w:rPr>
                <w:sz w:val="16"/>
                <w:szCs w:val="16"/>
              </w:rPr>
            </w:pPr>
            <w:r w:rsidRPr="00991C34">
              <w:rPr>
                <w:sz w:val="16"/>
                <w:szCs w:val="16"/>
              </w:rPr>
              <w:t>564,881</w:t>
            </w:r>
          </w:p>
        </w:tc>
        <w:tc>
          <w:tcPr>
            <w:tcW w:w="348" w:type="pct"/>
            <w:vAlign w:val="bottom"/>
          </w:tcPr>
          <w:p w14:paraId="6F42A2BA" w14:textId="65E8C68A" w:rsidR="00224102" w:rsidRPr="00991C34" w:rsidRDefault="00224102" w:rsidP="00224102">
            <w:pPr>
              <w:jc w:val="right"/>
              <w:rPr>
                <w:sz w:val="16"/>
                <w:szCs w:val="16"/>
              </w:rPr>
            </w:pPr>
            <w:r w:rsidRPr="00991C34">
              <w:rPr>
                <w:sz w:val="16"/>
                <w:szCs w:val="16"/>
              </w:rPr>
              <w:t>286,324</w:t>
            </w:r>
          </w:p>
        </w:tc>
        <w:tc>
          <w:tcPr>
            <w:tcW w:w="304" w:type="pct"/>
            <w:vAlign w:val="bottom"/>
          </w:tcPr>
          <w:p w14:paraId="6A69B679" w14:textId="0BCE1B6E" w:rsidR="00224102" w:rsidRPr="00991C34" w:rsidRDefault="00224102" w:rsidP="00224102">
            <w:pPr>
              <w:jc w:val="right"/>
              <w:rPr>
                <w:sz w:val="16"/>
                <w:szCs w:val="16"/>
              </w:rPr>
            </w:pPr>
            <w:r w:rsidRPr="00991C34">
              <w:rPr>
                <w:sz w:val="16"/>
                <w:szCs w:val="16"/>
              </w:rPr>
              <w:t>56,171</w:t>
            </w:r>
          </w:p>
        </w:tc>
        <w:tc>
          <w:tcPr>
            <w:tcW w:w="302" w:type="pct"/>
            <w:vAlign w:val="bottom"/>
          </w:tcPr>
          <w:p w14:paraId="748A385D" w14:textId="5D823FB6" w:rsidR="00224102" w:rsidRPr="00991C34" w:rsidRDefault="00224102" w:rsidP="00224102">
            <w:pPr>
              <w:jc w:val="right"/>
              <w:rPr>
                <w:sz w:val="16"/>
                <w:szCs w:val="16"/>
              </w:rPr>
            </w:pPr>
            <w:r w:rsidRPr="00991C34">
              <w:rPr>
                <w:sz w:val="16"/>
                <w:szCs w:val="16"/>
              </w:rPr>
              <w:t>-</w:t>
            </w:r>
          </w:p>
        </w:tc>
        <w:tc>
          <w:tcPr>
            <w:tcW w:w="304" w:type="pct"/>
            <w:vAlign w:val="bottom"/>
          </w:tcPr>
          <w:p w14:paraId="75A14403" w14:textId="04C024AD" w:rsidR="00224102" w:rsidRPr="00991C34" w:rsidRDefault="00224102" w:rsidP="00224102">
            <w:pPr>
              <w:jc w:val="right"/>
              <w:rPr>
                <w:sz w:val="16"/>
                <w:szCs w:val="16"/>
              </w:rPr>
            </w:pPr>
            <w:r w:rsidRPr="00991C34">
              <w:rPr>
                <w:sz w:val="16"/>
                <w:szCs w:val="16"/>
              </w:rPr>
              <w:t>-</w:t>
            </w:r>
          </w:p>
        </w:tc>
        <w:tc>
          <w:tcPr>
            <w:tcW w:w="348" w:type="pct"/>
            <w:vAlign w:val="bottom"/>
          </w:tcPr>
          <w:p w14:paraId="46BB2D96" w14:textId="25B3616E" w:rsidR="00224102" w:rsidRPr="00991C34" w:rsidRDefault="00224102" w:rsidP="00224102">
            <w:pPr>
              <w:jc w:val="right"/>
              <w:rPr>
                <w:sz w:val="16"/>
                <w:szCs w:val="16"/>
              </w:rPr>
            </w:pPr>
            <w:r w:rsidRPr="00991C34">
              <w:rPr>
                <w:sz w:val="16"/>
                <w:szCs w:val="16"/>
              </w:rPr>
              <w:t>1,252,711</w:t>
            </w:r>
          </w:p>
        </w:tc>
        <w:tc>
          <w:tcPr>
            <w:tcW w:w="348" w:type="pct"/>
            <w:vAlign w:val="bottom"/>
          </w:tcPr>
          <w:p w14:paraId="15D0AF22" w14:textId="3314401E" w:rsidR="00224102" w:rsidRPr="00991C34" w:rsidRDefault="00224102" w:rsidP="00224102">
            <w:pPr>
              <w:jc w:val="right"/>
              <w:rPr>
                <w:sz w:val="16"/>
                <w:szCs w:val="16"/>
              </w:rPr>
            </w:pPr>
            <w:r w:rsidRPr="00991C34">
              <w:rPr>
                <w:sz w:val="16"/>
                <w:szCs w:val="16"/>
              </w:rPr>
              <w:t>1,415,832</w:t>
            </w:r>
          </w:p>
        </w:tc>
        <w:tc>
          <w:tcPr>
            <w:tcW w:w="377" w:type="pct"/>
            <w:vAlign w:val="bottom"/>
          </w:tcPr>
          <w:p w14:paraId="01DB6473" w14:textId="4EE37C67" w:rsidR="00224102" w:rsidRPr="00991C34" w:rsidRDefault="00224102" w:rsidP="00224102">
            <w:pPr>
              <w:jc w:val="right"/>
              <w:rPr>
                <w:sz w:val="16"/>
                <w:szCs w:val="16"/>
              </w:rPr>
            </w:pPr>
            <w:r w:rsidRPr="00991C34">
              <w:rPr>
                <w:sz w:val="16"/>
                <w:szCs w:val="16"/>
              </w:rPr>
              <w:t>2,668,543</w:t>
            </w:r>
          </w:p>
        </w:tc>
      </w:tr>
      <w:tr w:rsidR="00224102" w:rsidRPr="00881830" w14:paraId="2B891F1C" w14:textId="77777777" w:rsidTr="007C1215">
        <w:tc>
          <w:tcPr>
            <w:tcW w:w="1031" w:type="pct"/>
            <w:vAlign w:val="bottom"/>
          </w:tcPr>
          <w:p w14:paraId="72E18B20"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Electricity, Gas and Water</w:t>
            </w:r>
          </w:p>
        </w:tc>
        <w:tc>
          <w:tcPr>
            <w:tcW w:w="348" w:type="pct"/>
            <w:vAlign w:val="bottom"/>
          </w:tcPr>
          <w:p w14:paraId="51A34BF3" w14:textId="11F92D02" w:rsidR="00224102" w:rsidRPr="00991C34" w:rsidRDefault="00224102" w:rsidP="00224102">
            <w:pPr>
              <w:jc w:val="right"/>
              <w:rPr>
                <w:sz w:val="16"/>
                <w:szCs w:val="16"/>
              </w:rPr>
            </w:pPr>
            <w:r w:rsidRPr="00991C34">
              <w:rPr>
                <w:sz w:val="16"/>
                <w:szCs w:val="16"/>
              </w:rPr>
              <w:t>-</w:t>
            </w:r>
          </w:p>
        </w:tc>
        <w:tc>
          <w:tcPr>
            <w:tcW w:w="256" w:type="pct"/>
            <w:vAlign w:val="bottom"/>
          </w:tcPr>
          <w:p w14:paraId="00A596E7" w14:textId="04F5572F" w:rsidR="00224102" w:rsidRPr="00991C34" w:rsidRDefault="00224102" w:rsidP="00224102">
            <w:pPr>
              <w:jc w:val="right"/>
              <w:rPr>
                <w:sz w:val="16"/>
                <w:szCs w:val="16"/>
              </w:rPr>
            </w:pPr>
            <w:r w:rsidRPr="00991C34">
              <w:rPr>
                <w:sz w:val="16"/>
                <w:szCs w:val="16"/>
              </w:rPr>
              <w:t>-</w:t>
            </w:r>
          </w:p>
        </w:tc>
        <w:tc>
          <w:tcPr>
            <w:tcW w:w="339" w:type="pct"/>
            <w:vAlign w:val="bottom"/>
          </w:tcPr>
          <w:p w14:paraId="6B9AC56D" w14:textId="4ECB82FB" w:rsidR="00224102" w:rsidRPr="00991C34" w:rsidRDefault="00224102" w:rsidP="00224102">
            <w:pPr>
              <w:jc w:val="right"/>
              <w:rPr>
                <w:sz w:val="16"/>
                <w:szCs w:val="16"/>
              </w:rPr>
            </w:pPr>
            <w:r w:rsidRPr="00991C34">
              <w:rPr>
                <w:sz w:val="16"/>
                <w:szCs w:val="16"/>
              </w:rPr>
              <w:t>-</w:t>
            </w:r>
          </w:p>
        </w:tc>
        <w:tc>
          <w:tcPr>
            <w:tcW w:w="348" w:type="pct"/>
            <w:vAlign w:val="bottom"/>
          </w:tcPr>
          <w:p w14:paraId="2B94D891" w14:textId="14460B10" w:rsidR="00224102" w:rsidRPr="00991C34" w:rsidRDefault="00224102" w:rsidP="00224102">
            <w:pPr>
              <w:jc w:val="right"/>
              <w:rPr>
                <w:sz w:val="16"/>
                <w:szCs w:val="16"/>
              </w:rPr>
            </w:pPr>
            <w:r w:rsidRPr="00991C34">
              <w:rPr>
                <w:sz w:val="16"/>
                <w:szCs w:val="16"/>
              </w:rPr>
              <w:t>372,286</w:t>
            </w:r>
          </w:p>
        </w:tc>
        <w:tc>
          <w:tcPr>
            <w:tcW w:w="348" w:type="pct"/>
            <w:vAlign w:val="bottom"/>
          </w:tcPr>
          <w:p w14:paraId="0844FC56" w14:textId="044216BB" w:rsidR="00224102" w:rsidRPr="00991C34" w:rsidRDefault="00224102" w:rsidP="00224102">
            <w:pPr>
              <w:jc w:val="right"/>
              <w:rPr>
                <w:sz w:val="16"/>
                <w:szCs w:val="16"/>
              </w:rPr>
            </w:pPr>
            <w:r w:rsidRPr="00991C34">
              <w:rPr>
                <w:sz w:val="16"/>
                <w:szCs w:val="16"/>
              </w:rPr>
              <w:t>2,468</w:t>
            </w:r>
          </w:p>
        </w:tc>
        <w:tc>
          <w:tcPr>
            <w:tcW w:w="348" w:type="pct"/>
            <w:vAlign w:val="bottom"/>
          </w:tcPr>
          <w:p w14:paraId="5991118F" w14:textId="0F7C5476" w:rsidR="00224102" w:rsidRPr="00991C34" w:rsidRDefault="00224102" w:rsidP="00224102">
            <w:pPr>
              <w:jc w:val="right"/>
              <w:rPr>
                <w:sz w:val="16"/>
                <w:szCs w:val="16"/>
              </w:rPr>
            </w:pPr>
            <w:r w:rsidRPr="00991C34">
              <w:rPr>
                <w:sz w:val="16"/>
                <w:szCs w:val="16"/>
              </w:rPr>
              <w:t>13,095</w:t>
            </w:r>
          </w:p>
        </w:tc>
        <w:tc>
          <w:tcPr>
            <w:tcW w:w="304" w:type="pct"/>
            <w:vAlign w:val="bottom"/>
          </w:tcPr>
          <w:p w14:paraId="2D5B7C22" w14:textId="1457A668" w:rsidR="00224102" w:rsidRPr="00991C34" w:rsidRDefault="00224102" w:rsidP="00224102">
            <w:pPr>
              <w:jc w:val="right"/>
              <w:rPr>
                <w:sz w:val="16"/>
                <w:szCs w:val="16"/>
              </w:rPr>
            </w:pPr>
            <w:r w:rsidRPr="00991C34">
              <w:rPr>
                <w:sz w:val="16"/>
                <w:szCs w:val="16"/>
              </w:rPr>
              <w:t>243</w:t>
            </w:r>
          </w:p>
        </w:tc>
        <w:tc>
          <w:tcPr>
            <w:tcW w:w="302" w:type="pct"/>
            <w:vAlign w:val="bottom"/>
          </w:tcPr>
          <w:p w14:paraId="29B5EE62" w14:textId="2EF757A2" w:rsidR="00224102" w:rsidRPr="00991C34" w:rsidRDefault="00224102" w:rsidP="00224102">
            <w:pPr>
              <w:jc w:val="right"/>
              <w:rPr>
                <w:sz w:val="16"/>
                <w:szCs w:val="16"/>
              </w:rPr>
            </w:pPr>
            <w:r w:rsidRPr="00991C34">
              <w:rPr>
                <w:sz w:val="16"/>
                <w:szCs w:val="16"/>
              </w:rPr>
              <w:t>-</w:t>
            </w:r>
          </w:p>
        </w:tc>
        <w:tc>
          <w:tcPr>
            <w:tcW w:w="304" w:type="pct"/>
            <w:vAlign w:val="bottom"/>
          </w:tcPr>
          <w:p w14:paraId="4386EAC3" w14:textId="5D9BE071" w:rsidR="00224102" w:rsidRPr="00991C34" w:rsidRDefault="00224102" w:rsidP="00224102">
            <w:pPr>
              <w:jc w:val="right"/>
              <w:rPr>
                <w:sz w:val="16"/>
                <w:szCs w:val="16"/>
              </w:rPr>
            </w:pPr>
            <w:r w:rsidRPr="00991C34">
              <w:rPr>
                <w:sz w:val="16"/>
                <w:szCs w:val="16"/>
              </w:rPr>
              <w:t>-</w:t>
            </w:r>
          </w:p>
        </w:tc>
        <w:tc>
          <w:tcPr>
            <w:tcW w:w="348" w:type="pct"/>
            <w:vAlign w:val="bottom"/>
          </w:tcPr>
          <w:p w14:paraId="29E9076B" w14:textId="14486671" w:rsidR="00224102" w:rsidRPr="00991C34" w:rsidRDefault="00224102" w:rsidP="00224102">
            <w:pPr>
              <w:jc w:val="right"/>
              <w:rPr>
                <w:sz w:val="16"/>
                <w:szCs w:val="16"/>
              </w:rPr>
            </w:pPr>
            <w:r w:rsidRPr="00991C34">
              <w:rPr>
                <w:sz w:val="16"/>
                <w:szCs w:val="16"/>
              </w:rPr>
              <w:t>122,140</w:t>
            </w:r>
          </w:p>
        </w:tc>
        <w:tc>
          <w:tcPr>
            <w:tcW w:w="348" w:type="pct"/>
            <w:vAlign w:val="bottom"/>
          </w:tcPr>
          <w:p w14:paraId="6BCE5FC5" w14:textId="58897503" w:rsidR="00224102" w:rsidRPr="00991C34" w:rsidRDefault="00224102" w:rsidP="00224102">
            <w:pPr>
              <w:jc w:val="right"/>
              <w:rPr>
                <w:sz w:val="16"/>
                <w:szCs w:val="16"/>
              </w:rPr>
            </w:pPr>
            <w:r w:rsidRPr="00991C34">
              <w:rPr>
                <w:sz w:val="16"/>
                <w:szCs w:val="16"/>
              </w:rPr>
              <w:t>265,952</w:t>
            </w:r>
          </w:p>
        </w:tc>
        <w:tc>
          <w:tcPr>
            <w:tcW w:w="377" w:type="pct"/>
            <w:vAlign w:val="bottom"/>
          </w:tcPr>
          <w:p w14:paraId="673D08D7" w14:textId="32A9547D" w:rsidR="00224102" w:rsidRPr="00991C34" w:rsidRDefault="00224102" w:rsidP="00224102">
            <w:pPr>
              <w:jc w:val="right"/>
              <w:rPr>
                <w:sz w:val="16"/>
                <w:szCs w:val="16"/>
              </w:rPr>
            </w:pPr>
            <w:r w:rsidRPr="00991C34">
              <w:rPr>
                <w:sz w:val="16"/>
                <w:szCs w:val="16"/>
              </w:rPr>
              <w:t>388,092</w:t>
            </w:r>
          </w:p>
        </w:tc>
      </w:tr>
      <w:tr w:rsidR="00224102" w:rsidRPr="00881830" w14:paraId="7442CB88" w14:textId="77777777" w:rsidTr="007C1215">
        <w:trPr>
          <w:trHeight w:val="216"/>
        </w:trPr>
        <w:tc>
          <w:tcPr>
            <w:tcW w:w="1031" w:type="pct"/>
            <w:vAlign w:val="bottom"/>
          </w:tcPr>
          <w:p w14:paraId="467B4A71" w14:textId="77777777" w:rsidR="00224102" w:rsidRPr="00881830" w:rsidRDefault="00224102" w:rsidP="00224102">
            <w:pPr>
              <w:tabs>
                <w:tab w:val="left" w:pos="0"/>
              </w:tabs>
              <w:spacing w:line="216" w:lineRule="auto"/>
              <w:rPr>
                <w:b/>
                <w:snapToGrid w:val="0"/>
                <w:sz w:val="16"/>
                <w:szCs w:val="16"/>
                <w:lang w:val="tr-TR"/>
              </w:rPr>
            </w:pPr>
            <w:r w:rsidRPr="00881830">
              <w:rPr>
                <w:b/>
                <w:snapToGrid w:val="0"/>
                <w:sz w:val="16"/>
                <w:szCs w:val="16"/>
                <w:lang w:val="tr-TR"/>
              </w:rPr>
              <w:t>Construction</w:t>
            </w:r>
          </w:p>
        </w:tc>
        <w:tc>
          <w:tcPr>
            <w:tcW w:w="348" w:type="pct"/>
            <w:vAlign w:val="bottom"/>
          </w:tcPr>
          <w:p w14:paraId="02E39FA8" w14:textId="187CC244" w:rsidR="00224102" w:rsidRPr="00991C34" w:rsidRDefault="00224102" w:rsidP="00224102">
            <w:pPr>
              <w:jc w:val="right"/>
              <w:rPr>
                <w:b/>
                <w:sz w:val="16"/>
                <w:szCs w:val="16"/>
              </w:rPr>
            </w:pPr>
            <w:r w:rsidRPr="00991C34">
              <w:rPr>
                <w:b/>
                <w:sz w:val="16"/>
                <w:szCs w:val="16"/>
              </w:rPr>
              <w:t>-</w:t>
            </w:r>
          </w:p>
        </w:tc>
        <w:tc>
          <w:tcPr>
            <w:tcW w:w="256" w:type="pct"/>
            <w:vAlign w:val="bottom"/>
          </w:tcPr>
          <w:p w14:paraId="717091E5" w14:textId="6C6AB0DF" w:rsidR="00224102" w:rsidRPr="00991C34" w:rsidRDefault="00224102" w:rsidP="00224102">
            <w:pPr>
              <w:jc w:val="right"/>
              <w:rPr>
                <w:b/>
                <w:sz w:val="16"/>
                <w:szCs w:val="16"/>
              </w:rPr>
            </w:pPr>
            <w:r w:rsidRPr="00991C34">
              <w:rPr>
                <w:b/>
                <w:sz w:val="16"/>
                <w:szCs w:val="16"/>
              </w:rPr>
              <w:t>-</w:t>
            </w:r>
          </w:p>
        </w:tc>
        <w:tc>
          <w:tcPr>
            <w:tcW w:w="339" w:type="pct"/>
            <w:vAlign w:val="bottom"/>
          </w:tcPr>
          <w:p w14:paraId="069A024C" w14:textId="0F3DE4B3" w:rsidR="00224102" w:rsidRPr="00991C34" w:rsidRDefault="00224102" w:rsidP="00224102">
            <w:pPr>
              <w:jc w:val="right"/>
              <w:rPr>
                <w:b/>
                <w:sz w:val="16"/>
                <w:szCs w:val="16"/>
              </w:rPr>
            </w:pPr>
            <w:r w:rsidRPr="00991C34">
              <w:rPr>
                <w:b/>
                <w:sz w:val="16"/>
                <w:szCs w:val="16"/>
              </w:rPr>
              <w:t>-</w:t>
            </w:r>
          </w:p>
        </w:tc>
        <w:tc>
          <w:tcPr>
            <w:tcW w:w="348" w:type="pct"/>
            <w:vAlign w:val="bottom"/>
          </w:tcPr>
          <w:p w14:paraId="5D56CAA4" w14:textId="1A4C040C" w:rsidR="00224102" w:rsidRPr="00991C34" w:rsidRDefault="00224102" w:rsidP="00224102">
            <w:pPr>
              <w:jc w:val="right"/>
              <w:rPr>
                <w:b/>
                <w:sz w:val="16"/>
                <w:szCs w:val="16"/>
              </w:rPr>
            </w:pPr>
            <w:r w:rsidRPr="00991C34">
              <w:rPr>
                <w:b/>
                <w:sz w:val="16"/>
                <w:szCs w:val="16"/>
              </w:rPr>
              <w:t>942,631</w:t>
            </w:r>
          </w:p>
        </w:tc>
        <w:tc>
          <w:tcPr>
            <w:tcW w:w="348" w:type="pct"/>
            <w:vAlign w:val="bottom"/>
          </w:tcPr>
          <w:p w14:paraId="65A8D5C9" w14:textId="5A15E612" w:rsidR="00224102" w:rsidRPr="00991C34" w:rsidRDefault="00224102" w:rsidP="00224102">
            <w:pPr>
              <w:jc w:val="right"/>
              <w:rPr>
                <w:b/>
                <w:sz w:val="16"/>
                <w:szCs w:val="16"/>
              </w:rPr>
            </w:pPr>
            <w:r w:rsidRPr="00991C34">
              <w:rPr>
                <w:b/>
                <w:sz w:val="16"/>
                <w:szCs w:val="16"/>
              </w:rPr>
              <w:t>235,790</w:t>
            </w:r>
          </w:p>
        </w:tc>
        <w:tc>
          <w:tcPr>
            <w:tcW w:w="348" w:type="pct"/>
            <w:vAlign w:val="bottom"/>
          </w:tcPr>
          <w:p w14:paraId="191E628E" w14:textId="432917A1" w:rsidR="00224102" w:rsidRPr="00991C34" w:rsidRDefault="00224102" w:rsidP="00224102">
            <w:pPr>
              <w:jc w:val="right"/>
              <w:rPr>
                <w:b/>
                <w:sz w:val="16"/>
                <w:szCs w:val="16"/>
              </w:rPr>
            </w:pPr>
            <w:r w:rsidRPr="00991C34">
              <w:rPr>
                <w:b/>
                <w:sz w:val="16"/>
                <w:szCs w:val="16"/>
              </w:rPr>
              <w:t>1,194,618</w:t>
            </w:r>
          </w:p>
        </w:tc>
        <w:tc>
          <w:tcPr>
            <w:tcW w:w="304" w:type="pct"/>
            <w:vAlign w:val="bottom"/>
          </w:tcPr>
          <w:p w14:paraId="3DB78F98" w14:textId="2D559B09" w:rsidR="00224102" w:rsidRPr="00991C34" w:rsidRDefault="00224102" w:rsidP="00224102">
            <w:pPr>
              <w:jc w:val="right"/>
              <w:rPr>
                <w:b/>
                <w:sz w:val="16"/>
                <w:szCs w:val="16"/>
              </w:rPr>
            </w:pPr>
            <w:r w:rsidRPr="00991C34">
              <w:rPr>
                <w:b/>
                <w:sz w:val="16"/>
                <w:szCs w:val="16"/>
              </w:rPr>
              <w:t>47,901</w:t>
            </w:r>
          </w:p>
        </w:tc>
        <w:tc>
          <w:tcPr>
            <w:tcW w:w="302" w:type="pct"/>
            <w:vAlign w:val="bottom"/>
          </w:tcPr>
          <w:p w14:paraId="460C81ED" w14:textId="7A5D4A41" w:rsidR="00224102" w:rsidRPr="00991C34" w:rsidRDefault="00224102" w:rsidP="00224102">
            <w:pPr>
              <w:jc w:val="right"/>
              <w:rPr>
                <w:b/>
                <w:sz w:val="16"/>
                <w:szCs w:val="16"/>
              </w:rPr>
            </w:pPr>
            <w:r w:rsidRPr="00991C34">
              <w:rPr>
                <w:b/>
                <w:sz w:val="16"/>
                <w:szCs w:val="16"/>
              </w:rPr>
              <w:t>-</w:t>
            </w:r>
          </w:p>
        </w:tc>
        <w:tc>
          <w:tcPr>
            <w:tcW w:w="304" w:type="pct"/>
            <w:vAlign w:val="bottom"/>
          </w:tcPr>
          <w:p w14:paraId="68E1346A" w14:textId="7D1892C1" w:rsidR="00224102" w:rsidRPr="00991C34" w:rsidRDefault="00224102" w:rsidP="00224102">
            <w:pPr>
              <w:jc w:val="right"/>
              <w:rPr>
                <w:b/>
                <w:sz w:val="16"/>
                <w:szCs w:val="16"/>
              </w:rPr>
            </w:pPr>
            <w:r w:rsidRPr="00991C34">
              <w:rPr>
                <w:b/>
                <w:sz w:val="16"/>
                <w:szCs w:val="16"/>
              </w:rPr>
              <w:t>-</w:t>
            </w:r>
          </w:p>
        </w:tc>
        <w:tc>
          <w:tcPr>
            <w:tcW w:w="348" w:type="pct"/>
            <w:vAlign w:val="bottom"/>
          </w:tcPr>
          <w:p w14:paraId="22A4C61D" w14:textId="7A4B4BCC" w:rsidR="00224102" w:rsidRPr="00991C34" w:rsidRDefault="00224102" w:rsidP="00224102">
            <w:pPr>
              <w:jc w:val="right"/>
              <w:rPr>
                <w:b/>
                <w:sz w:val="16"/>
                <w:szCs w:val="16"/>
              </w:rPr>
            </w:pPr>
            <w:r w:rsidRPr="00991C34">
              <w:rPr>
                <w:b/>
                <w:sz w:val="16"/>
                <w:szCs w:val="16"/>
              </w:rPr>
              <w:t>882,531</w:t>
            </w:r>
          </w:p>
        </w:tc>
        <w:tc>
          <w:tcPr>
            <w:tcW w:w="348" w:type="pct"/>
            <w:vAlign w:val="bottom"/>
          </w:tcPr>
          <w:p w14:paraId="265106D3" w14:textId="7F3E7C9A" w:rsidR="00224102" w:rsidRPr="00991C34" w:rsidRDefault="00224102" w:rsidP="00224102">
            <w:pPr>
              <w:jc w:val="right"/>
              <w:rPr>
                <w:b/>
                <w:sz w:val="16"/>
                <w:szCs w:val="16"/>
              </w:rPr>
            </w:pPr>
            <w:r w:rsidRPr="00991C34">
              <w:rPr>
                <w:b/>
                <w:sz w:val="16"/>
                <w:szCs w:val="16"/>
              </w:rPr>
              <w:t>1,538,409</w:t>
            </w:r>
          </w:p>
        </w:tc>
        <w:tc>
          <w:tcPr>
            <w:tcW w:w="377" w:type="pct"/>
            <w:vAlign w:val="bottom"/>
          </w:tcPr>
          <w:p w14:paraId="0D7FA0A6" w14:textId="5D0C62CB" w:rsidR="00224102" w:rsidRPr="00991C34" w:rsidRDefault="00224102" w:rsidP="00224102">
            <w:pPr>
              <w:jc w:val="right"/>
              <w:rPr>
                <w:b/>
                <w:sz w:val="16"/>
                <w:szCs w:val="16"/>
              </w:rPr>
            </w:pPr>
            <w:r w:rsidRPr="00991C34">
              <w:rPr>
                <w:b/>
                <w:sz w:val="16"/>
                <w:szCs w:val="16"/>
              </w:rPr>
              <w:t>2,420,940</w:t>
            </w:r>
          </w:p>
        </w:tc>
      </w:tr>
      <w:tr w:rsidR="00224102" w:rsidRPr="00881830" w14:paraId="67B8C960" w14:textId="77777777" w:rsidTr="007C1215">
        <w:tc>
          <w:tcPr>
            <w:tcW w:w="1031" w:type="pct"/>
            <w:vAlign w:val="bottom"/>
          </w:tcPr>
          <w:p w14:paraId="41870855" w14:textId="77777777" w:rsidR="00224102" w:rsidRPr="00881830" w:rsidRDefault="00224102" w:rsidP="00224102">
            <w:pPr>
              <w:tabs>
                <w:tab w:val="left" w:pos="0"/>
              </w:tabs>
              <w:spacing w:line="216" w:lineRule="auto"/>
              <w:rPr>
                <w:b/>
                <w:snapToGrid w:val="0"/>
                <w:sz w:val="16"/>
                <w:szCs w:val="16"/>
                <w:lang w:val="tr-TR"/>
              </w:rPr>
            </w:pPr>
            <w:r w:rsidRPr="00881830">
              <w:rPr>
                <w:b/>
                <w:snapToGrid w:val="0"/>
                <w:sz w:val="16"/>
                <w:szCs w:val="16"/>
                <w:lang w:val="tr-TR"/>
              </w:rPr>
              <w:t>Services</w:t>
            </w:r>
          </w:p>
        </w:tc>
        <w:tc>
          <w:tcPr>
            <w:tcW w:w="348" w:type="pct"/>
            <w:vAlign w:val="bottom"/>
          </w:tcPr>
          <w:p w14:paraId="74577C51" w14:textId="388DDF42" w:rsidR="00224102" w:rsidRPr="00991C34" w:rsidRDefault="00224102" w:rsidP="00224102">
            <w:pPr>
              <w:jc w:val="right"/>
              <w:rPr>
                <w:b/>
                <w:sz w:val="16"/>
                <w:szCs w:val="16"/>
              </w:rPr>
            </w:pPr>
            <w:r w:rsidRPr="00991C34">
              <w:rPr>
                <w:b/>
                <w:sz w:val="16"/>
                <w:szCs w:val="16"/>
              </w:rPr>
              <w:t>-</w:t>
            </w:r>
          </w:p>
        </w:tc>
        <w:tc>
          <w:tcPr>
            <w:tcW w:w="256" w:type="pct"/>
            <w:vAlign w:val="bottom"/>
          </w:tcPr>
          <w:p w14:paraId="5B492EA7" w14:textId="57395278" w:rsidR="00224102" w:rsidRPr="00991C34" w:rsidRDefault="00224102" w:rsidP="00224102">
            <w:pPr>
              <w:jc w:val="right"/>
              <w:rPr>
                <w:b/>
                <w:sz w:val="16"/>
                <w:szCs w:val="16"/>
              </w:rPr>
            </w:pPr>
            <w:r w:rsidRPr="00991C34">
              <w:rPr>
                <w:b/>
                <w:sz w:val="16"/>
                <w:szCs w:val="16"/>
              </w:rPr>
              <w:t>770</w:t>
            </w:r>
          </w:p>
        </w:tc>
        <w:tc>
          <w:tcPr>
            <w:tcW w:w="339" w:type="pct"/>
            <w:vAlign w:val="bottom"/>
          </w:tcPr>
          <w:p w14:paraId="218FA6FE" w14:textId="0671405E" w:rsidR="00224102" w:rsidRPr="00991C34" w:rsidRDefault="00224102" w:rsidP="00224102">
            <w:pPr>
              <w:jc w:val="right"/>
              <w:rPr>
                <w:b/>
                <w:sz w:val="16"/>
                <w:szCs w:val="16"/>
              </w:rPr>
            </w:pPr>
            <w:r w:rsidRPr="00991C34">
              <w:rPr>
                <w:b/>
                <w:sz w:val="16"/>
                <w:szCs w:val="16"/>
              </w:rPr>
              <w:t>1,887,922</w:t>
            </w:r>
          </w:p>
        </w:tc>
        <w:tc>
          <w:tcPr>
            <w:tcW w:w="348" w:type="pct"/>
            <w:vAlign w:val="bottom"/>
          </w:tcPr>
          <w:p w14:paraId="1F062E73" w14:textId="59F7E440" w:rsidR="00224102" w:rsidRPr="00991C34" w:rsidRDefault="00224102" w:rsidP="00224102">
            <w:pPr>
              <w:jc w:val="right"/>
              <w:rPr>
                <w:b/>
                <w:sz w:val="16"/>
                <w:szCs w:val="16"/>
              </w:rPr>
            </w:pPr>
            <w:r w:rsidRPr="00991C34">
              <w:rPr>
                <w:b/>
                <w:sz w:val="16"/>
                <w:szCs w:val="16"/>
              </w:rPr>
              <w:t>3,055,365</w:t>
            </w:r>
          </w:p>
        </w:tc>
        <w:tc>
          <w:tcPr>
            <w:tcW w:w="348" w:type="pct"/>
            <w:vAlign w:val="bottom"/>
          </w:tcPr>
          <w:p w14:paraId="4B30B2E4" w14:textId="0D37CF66" w:rsidR="00224102" w:rsidRPr="00991C34" w:rsidRDefault="00224102" w:rsidP="00224102">
            <w:pPr>
              <w:jc w:val="right"/>
              <w:rPr>
                <w:b/>
                <w:sz w:val="16"/>
                <w:szCs w:val="16"/>
              </w:rPr>
            </w:pPr>
            <w:r w:rsidRPr="00991C34">
              <w:rPr>
                <w:b/>
                <w:sz w:val="16"/>
                <w:szCs w:val="16"/>
              </w:rPr>
              <w:t>645,760</w:t>
            </w:r>
          </w:p>
        </w:tc>
        <w:tc>
          <w:tcPr>
            <w:tcW w:w="348" w:type="pct"/>
            <w:vAlign w:val="bottom"/>
          </w:tcPr>
          <w:p w14:paraId="264BA8C0" w14:textId="1FC8B80F" w:rsidR="00224102" w:rsidRPr="00991C34" w:rsidRDefault="00224102" w:rsidP="00224102">
            <w:pPr>
              <w:jc w:val="right"/>
              <w:rPr>
                <w:b/>
                <w:sz w:val="16"/>
                <w:szCs w:val="16"/>
              </w:rPr>
            </w:pPr>
            <w:r w:rsidRPr="00991C34">
              <w:rPr>
                <w:b/>
                <w:sz w:val="16"/>
                <w:szCs w:val="16"/>
              </w:rPr>
              <w:t>763,147</w:t>
            </w:r>
          </w:p>
        </w:tc>
        <w:tc>
          <w:tcPr>
            <w:tcW w:w="304" w:type="pct"/>
            <w:vAlign w:val="bottom"/>
          </w:tcPr>
          <w:p w14:paraId="3F959203" w14:textId="1384DD13" w:rsidR="00224102" w:rsidRPr="00991C34" w:rsidRDefault="00224102" w:rsidP="00224102">
            <w:pPr>
              <w:jc w:val="right"/>
              <w:rPr>
                <w:b/>
                <w:sz w:val="16"/>
                <w:szCs w:val="16"/>
              </w:rPr>
            </w:pPr>
            <w:r w:rsidRPr="00991C34">
              <w:rPr>
                <w:b/>
                <w:sz w:val="16"/>
                <w:szCs w:val="16"/>
              </w:rPr>
              <w:t>90,331</w:t>
            </w:r>
          </w:p>
        </w:tc>
        <w:tc>
          <w:tcPr>
            <w:tcW w:w="302" w:type="pct"/>
            <w:vAlign w:val="bottom"/>
          </w:tcPr>
          <w:p w14:paraId="680F42C5" w14:textId="0E4861CA" w:rsidR="00224102" w:rsidRPr="00991C34" w:rsidRDefault="00224102" w:rsidP="00224102">
            <w:pPr>
              <w:jc w:val="right"/>
              <w:rPr>
                <w:b/>
                <w:sz w:val="16"/>
                <w:szCs w:val="16"/>
              </w:rPr>
            </w:pPr>
            <w:r w:rsidRPr="00991C34">
              <w:rPr>
                <w:b/>
                <w:sz w:val="16"/>
                <w:szCs w:val="16"/>
              </w:rPr>
              <w:t>-</w:t>
            </w:r>
          </w:p>
        </w:tc>
        <w:tc>
          <w:tcPr>
            <w:tcW w:w="304" w:type="pct"/>
            <w:vAlign w:val="bottom"/>
          </w:tcPr>
          <w:p w14:paraId="2C817CEC" w14:textId="61B47774" w:rsidR="00224102" w:rsidRPr="00991C34" w:rsidRDefault="00224102" w:rsidP="00224102">
            <w:pPr>
              <w:jc w:val="right"/>
              <w:rPr>
                <w:b/>
                <w:sz w:val="16"/>
                <w:szCs w:val="16"/>
              </w:rPr>
            </w:pPr>
            <w:r w:rsidRPr="00991C34">
              <w:rPr>
                <w:b/>
                <w:sz w:val="16"/>
                <w:szCs w:val="16"/>
              </w:rPr>
              <w:t>-</w:t>
            </w:r>
          </w:p>
        </w:tc>
        <w:tc>
          <w:tcPr>
            <w:tcW w:w="348" w:type="pct"/>
            <w:vAlign w:val="bottom"/>
          </w:tcPr>
          <w:p w14:paraId="7EA23F26" w14:textId="2E0086E8" w:rsidR="00224102" w:rsidRPr="00991C34" w:rsidRDefault="00224102" w:rsidP="00224102">
            <w:pPr>
              <w:jc w:val="right"/>
              <w:rPr>
                <w:b/>
                <w:sz w:val="16"/>
                <w:szCs w:val="16"/>
              </w:rPr>
            </w:pPr>
            <w:r w:rsidRPr="00991C34">
              <w:rPr>
                <w:b/>
                <w:sz w:val="16"/>
                <w:szCs w:val="16"/>
              </w:rPr>
              <w:t>2,863,839</w:t>
            </w:r>
          </w:p>
        </w:tc>
        <w:tc>
          <w:tcPr>
            <w:tcW w:w="348" w:type="pct"/>
            <w:vAlign w:val="bottom"/>
          </w:tcPr>
          <w:p w14:paraId="315D97B5" w14:textId="086E0FD5" w:rsidR="00224102" w:rsidRPr="00991C34" w:rsidRDefault="00224102" w:rsidP="00224102">
            <w:pPr>
              <w:jc w:val="right"/>
              <w:rPr>
                <w:b/>
                <w:sz w:val="16"/>
                <w:szCs w:val="16"/>
              </w:rPr>
            </w:pPr>
            <w:r w:rsidRPr="00991C34">
              <w:rPr>
                <w:b/>
                <w:sz w:val="16"/>
                <w:szCs w:val="16"/>
              </w:rPr>
              <w:t>3,579,456</w:t>
            </w:r>
          </w:p>
        </w:tc>
        <w:tc>
          <w:tcPr>
            <w:tcW w:w="377" w:type="pct"/>
            <w:vAlign w:val="bottom"/>
          </w:tcPr>
          <w:p w14:paraId="6E91BAD1" w14:textId="2CAF7513" w:rsidR="00224102" w:rsidRPr="00991C34" w:rsidRDefault="00224102" w:rsidP="00224102">
            <w:pPr>
              <w:jc w:val="right"/>
              <w:rPr>
                <w:b/>
                <w:sz w:val="16"/>
                <w:szCs w:val="16"/>
              </w:rPr>
            </w:pPr>
            <w:r w:rsidRPr="00991C34">
              <w:rPr>
                <w:b/>
                <w:sz w:val="16"/>
                <w:szCs w:val="16"/>
              </w:rPr>
              <w:t>6,443,295</w:t>
            </w:r>
          </w:p>
        </w:tc>
      </w:tr>
      <w:tr w:rsidR="00224102" w:rsidRPr="00881830" w14:paraId="3032CAEA" w14:textId="77777777" w:rsidTr="007C1215">
        <w:tc>
          <w:tcPr>
            <w:tcW w:w="1031" w:type="pct"/>
            <w:vAlign w:val="bottom"/>
          </w:tcPr>
          <w:p w14:paraId="371265FB"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Wholesale and Retail Trade</w:t>
            </w:r>
          </w:p>
        </w:tc>
        <w:tc>
          <w:tcPr>
            <w:tcW w:w="348" w:type="pct"/>
            <w:vAlign w:val="bottom"/>
          </w:tcPr>
          <w:p w14:paraId="57DF1C8F" w14:textId="2B2582F6" w:rsidR="00224102" w:rsidRPr="00991C34" w:rsidRDefault="00224102" w:rsidP="00224102">
            <w:pPr>
              <w:jc w:val="right"/>
              <w:rPr>
                <w:sz w:val="16"/>
                <w:szCs w:val="16"/>
              </w:rPr>
            </w:pPr>
            <w:r w:rsidRPr="00991C34">
              <w:rPr>
                <w:sz w:val="16"/>
                <w:szCs w:val="16"/>
              </w:rPr>
              <w:t>-</w:t>
            </w:r>
          </w:p>
        </w:tc>
        <w:tc>
          <w:tcPr>
            <w:tcW w:w="256" w:type="pct"/>
            <w:vAlign w:val="bottom"/>
          </w:tcPr>
          <w:p w14:paraId="255773A4" w14:textId="6B374162" w:rsidR="00224102" w:rsidRPr="00991C34" w:rsidRDefault="00224102" w:rsidP="00224102">
            <w:pPr>
              <w:jc w:val="right"/>
              <w:rPr>
                <w:sz w:val="16"/>
                <w:szCs w:val="16"/>
              </w:rPr>
            </w:pPr>
            <w:r w:rsidRPr="00991C34">
              <w:rPr>
                <w:sz w:val="16"/>
                <w:szCs w:val="16"/>
              </w:rPr>
              <w:t>2</w:t>
            </w:r>
          </w:p>
        </w:tc>
        <w:tc>
          <w:tcPr>
            <w:tcW w:w="339" w:type="pct"/>
            <w:vAlign w:val="bottom"/>
          </w:tcPr>
          <w:p w14:paraId="26FC1E51" w14:textId="05A50E6A" w:rsidR="00224102" w:rsidRPr="00991C34" w:rsidRDefault="00224102" w:rsidP="00224102">
            <w:pPr>
              <w:jc w:val="right"/>
              <w:rPr>
                <w:sz w:val="16"/>
                <w:szCs w:val="16"/>
              </w:rPr>
            </w:pPr>
            <w:r w:rsidRPr="00991C34">
              <w:rPr>
                <w:sz w:val="16"/>
                <w:szCs w:val="16"/>
              </w:rPr>
              <w:t>-</w:t>
            </w:r>
          </w:p>
        </w:tc>
        <w:tc>
          <w:tcPr>
            <w:tcW w:w="348" w:type="pct"/>
            <w:vAlign w:val="bottom"/>
          </w:tcPr>
          <w:p w14:paraId="3123C4B2" w14:textId="70DCBA7B" w:rsidR="00224102" w:rsidRPr="00991C34" w:rsidRDefault="00224102" w:rsidP="00224102">
            <w:pPr>
              <w:jc w:val="right"/>
              <w:rPr>
                <w:sz w:val="16"/>
                <w:szCs w:val="16"/>
              </w:rPr>
            </w:pPr>
            <w:r w:rsidRPr="00991C34">
              <w:rPr>
                <w:sz w:val="16"/>
                <w:szCs w:val="16"/>
              </w:rPr>
              <w:t>1,346,084</w:t>
            </w:r>
          </w:p>
        </w:tc>
        <w:tc>
          <w:tcPr>
            <w:tcW w:w="348" w:type="pct"/>
            <w:vAlign w:val="bottom"/>
          </w:tcPr>
          <w:p w14:paraId="443DAE24" w14:textId="7651CFDF" w:rsidR="00224102" w:rsidRPr="00991C34" w:rsidRDefault="00224102" w:rsidP="00224102">
            <w:pPr>
              <w:jc w:val="right"/>
              <w:rPr>
                <w:sz w:val="16"/>
                <w:szCs w:val="16"/>
              </w:rPr>
            </w:pPr>
            <w:r w:rsidRPr="00991C34">
              <w:rPr>
                <w:sz w:val="16"/>
                <w:szCs w:val="16"/>
              </w:rPr>
              <w:t>455,958</w:t>
            </w:r>
          </w:p>
        </w:tc>
        <w:tc>
          <w:tcPr>
            <w:tcW w:w="348" w:type="pct"/>
            <w:vAlign w:val="bottom"/>
          </w:tcPr>
          <w:p w14:paraId="0D4E6DE1" w14:textId="183C3FD6" w:rsidR="00224102" w:rsidRPr="00991C34" w:rsidRDefault="00224102" w:rsidP="00224102">
            <w:pPr>
              <w:jc w:val="right"/>
              <w:rPr>
                <w:sz w:val="16"/>
                <w:szCs w:val="16"/>
              </w:rPr>
            </w:pPr>
            <w:r w:rsidRPr="00991C34">
              <w:rPr>
                <w:sz w:val="16"/>
                <w:szCs w:val="16"/>
              </w:rPr>
              <w:t>259,969</w:t>
            </w:r>
          </w:p>
        </w:tc>
        <w:tc>
          <w:tcPr>
            <w:tcW w:w="304" w:type="pct"/>
            <w:vAlign w:val="bottom"/>
          </w:tcPr>
          <w:p w14:paraId="14D9F934" w14:textId="23EB4C8F" w:rsidR="00224102" w:rsidRPr="00991C34" w:rsidRDefault="00224102" w:rsidP="00224102">
            <w:pPr>
              <w:jc w:val="right"/>
              <w:rPr>
                <w:sz w:val="16"/>
                <w:szCs w:val="16"/>
              </w:rPr>
            </w:pPr>
            <w:r w:rsidRPr="00991C34">
              <w:rPr>
                <w:sz w:val="16"/>
                <w:szCs w:val="16"/>
              </w:rPr>
              <w:t>62,235</w:t>
            </w:r>
          </w:p>
        </w:tc>
        <w:tc>
          <w:tcPr>
            <w:tcW w:w="302" w:type="pct"/>
            <w:vAlign w:val="bottom"/>
          </w:tcPr>
          <w:p w14:paraId="0939F6AB" w14:textId="290F9012" w:rsidR="00224102" w:rsidRPr="00991C34" w:rsidRDefault="00224102" w:rsidP="00224102">
            <w:pPr>
              <w:jc w:val="right"/>
              <w:rPr>
                <w:sz w:val="16"/>
                <w:szCs w:val="16"/>
              </w:rPr>
            </w:pPr>
            <w:r w:rsidRPr="00991C34">
              <w:rPr>
                <w:sz w:val="16"/>
                <w:szCs w:val="16"/>
              </w:rPr>
              <w:t>-</w:t>
            </w:r>
          </w:p>
        </w:tc>
        <w:tc>
          <w:tcPr>
            <w:tcW w:w="304" w:type="pct"/>
            <w:vAlign w:val="bottom"/>
          </w:tcPr>
          <w:p w14:paraId="0FB8A922" w14:textId="64B31937" w:rsidR="00224102" w:rsidRPr="00991C34" w:rsidRDefault="00224102" w:rsidP="00224102">
            <w:pPr>
              <w:jc w:val="right"/>
              <w:rPr>
                <w:sz w:val="16"/>
                <w:szCs w:val="16"/>
              </w:rPr>
            </w:pPr>
            <w:r w:rsidRPr="00991C34">
              <w:rPr>
                <w:sz w:val="16"/>
                <w:szCs w:val="16"/>
              </w:rPr>
              <w:t>-</w:t>
            </w:r>
          </w:p>
        </w:tc>
        <w:tc>
          <w:tcPr>
            <w:tcW w:w="348" w:type="pct"/>
            <w:vAlign w:val="bottom"/>
          </w:tcPr>
          <w:p w14:paraId="3A3D3ADE" w14:textId="08C8729F" w:rsidR="00224102" w:rsidRPr="00991C34" w:rsidRDefault="00224102" w:rsidP="00224102">
            <w:pPr>
              <w:jc w:val="right"/>
              <w:rPr>
                <w:sz w:val="16"/>
                <w:szCs w:val="16"/>
              </w:rPr>
            </w:pPr>
            <w:r w:rsidRPr="00991C34">
              <w:rPr>
                <w:sz w:val="16"/>
                <w:szCs w:val="16"/>
              </w:rPr>
              <w:t>1,429,174</w:t>
            </w:r>
          </w:p>
        </w:tc>
        <w:tc>
          <w:tcPr>
            <w:tcW w:w="348" w:type="pct"/>
            <w:vAlign w:val="bottom"/>
          </w:tcPr>
          <w:p w14:paraId="5A08355B" w14:textId="54E78C33" w:rsidR="00224102" w:rsidRPr="00991C34" w:rsidRDefault="00224102" w:rsidP="00224102">
            <w:pPr>
              <w:jc w:val="right"/>
              <w:rPr>
                <w:sz w:val="16"/>
                <w:szCs w:val="16"/>
              </w:rPr>
            </w:pPr>
            <w:r w:rsidRPr="00991C34">
              <w:rPr>
                <w:sz w:val="16"/>
                <w:szCs w:val="16"/>
              </w:rPr>
              <w:t>695,074</w:t>
            </w:r>
          </w:p>
        </w:tc>
        <w:tc>
          <w:tcPr>
            <w:tcW w:w="377" w:type="pct"/>
            <w:vAlign w:val="bottom"/>
          </w:tcPr>
          <w:p w14:paraId="07F3D4AE" w14:textId="0D806D47" w:rsidR="00224102" w:rsidRPr="00991C34" w:rsidRDefault="00224102" w:rsidP="00224102">
            <w:pPr>
              <w:jc w:val="right"/>
              <w:rPr>
                <w:sz w:val="16"/>
                <w:szCs w:val="16"/>
              </w:rPr>
            </w:pPr>
            <w:r w:rsidRPr="00991C34">
              <w:rPr>
                <w:sz w:val="16"/>
                <w:szCs w:val="16"/>
              </w:rPr>
              <w:t>2,124,248</w:t>
            </w:r>
          </w:p>
        </w:tc>
      </w:tr>
      <w:tr w:rsidR="00224102" w:rsidRPr="00881830" w14:paraId="0B860F09" w14:textId="77777777" w:rsidTr="007C1215">
        <w:tc>
          <w:tcPr>
            <w:tcW w:w="1031" w:type="pct"/>
            <w:vAlign w:val="bottom"/>
          </w:tcPr>
          <w:p w14:paraId="279F3339" w14:textId="661C4C24"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Hotel, Food and Beverage </w:t>
            </w:r>
            <w:r>
              <w:rPr>
                <w:snapToGrid w:val="0"/>
                <w:sz w:val="16"/>
                <w:szCs w:val="16"/>
                <w:lang w:val="tr-TR"/>
              </w:rPr>
              <w:t>S</w:t>
            </w:r>
            <w:r w:rsidRPr="00881830">
              <w:rPr>
                <w:snapToGrid w:val="0"/>
                <w:sz w:val="16"/>
                <w:szCs w:val="16"/>
                <w:lang w:val="tr-TR"/>
              </w:rPr>
              <w:t>ervices</w:t>
            </w:r>
          </w:p>
        </w:tc>
        <w:tc>
          <w:tcPr>
            <w:tcW w:w="348" w:type="pct"/>
            <w:vAlign w:val="bottom"/>
          </w:tcPr>
          <w:p w14:paraId="217CDEBC" w14:textId="2A0ED31B" w:rsidR="00224102" w:rsidRPr="00991C34" w:rsidRDefault="00224102" w:rsidP="00224102">
            <w:pPr>
              <w:jc w:val="right"/>
              <w:rPr>
                <w:sz w:val="16"/>
                <w:szCs w:val="16"/>
              </w:rPr>
            </w:pPr>
            <w:r w:rsidRPr="00991C34">
              <w:rPr>
                <w:sz w:val="16"/>
                <w:szCs w:val="16"/>
              </w:rPr>
              <w:t>-</w:t>
            </w:r>
          </w:p>
        </w:tc>
        <w:tc>
          <w:tcPr>
            <w:tcW w:w="256" w:type="pct"/>
            <w:vAlign w:val="bottom"/>
          </w:tcPr>
          <w:p w14:paraId="4E79A1A5" w14:textId="5521FFF4" w:rsidR="00224102" w:rsidRPr="00991C34" w:rsidRDefault="00224102" w:rsidP="00224102">
            <w:pPr>
              <w:jc w:val="right"/>
              <w:rPr>
                <w:sz w:val="16"/>
                <w:szCs w:val="16"/>
              </w:rPr>
            </w:pPr>
            <w:r w:rsidRPr="00991C34">
              <w:rPr>
                <w:sz w:val="16"/>
                <w:szCs w:val="16"/>
              </w:rPr>
              <w:t>-</w:t>
            </w:r>
          </w:p>
        </w:tc>
        <w:tc>
          <w:tcPr>
            <w:tcW w:w="339" w:type="pct"/>
            <w:vAlign w:val="bottom"/>
          </w:tcPr>
          <w:p w14:paraId="2B3B1E7E" w14:textId="034D1EA9" w:rsidR="00224102" w:rsidRPr="00991C34" w:rsidRDefault="00224102" w:rsidP="00224102">
            <w:pPr>
              <w:jc w:val="right"/>
              <w:rPr>
                <w:sz w:val="16"/>
                <w:szCs w:val="16"/>
              </w:rPr>
            </w:pPr>
            <w:r w:rsidRPr="00991C34">
              <w:rPr>
                <w:sz w:val="16"/>
                <w:szCs w:val="16"/>
              </w:rPr>
              <w:t>-</w:t>
            </w:r>
          </w:p>
        </w:tc>
        <w:tc>
          <w:tcPr>
            <w:tcW w:w="348" w:type="pct"/>
            <w:vAlign w:val="bottom"/>
          </w:tcPr>
          <w:p w14:paraId="160DA2AA" w14:textId="07D6BEB2" w:rsidR="00224102" w:rsidRPr="00991C34" w:rsidRDefault="00224102" w:rsidP="00224102">
            <w:pPr>
              <w:jc w:val="right"/>
              <w:rPr>
                <w:sz w:val="16"/>
                <w:szCs w:val="16"/>
              </w:rPr>
            </w:pPr>
            <w:r w:rsidRPr="00991C34">
              <w:rPr>
                <w:sz w:val="16"/>
                <w:szCs w:val="16"/>
              </w:rPr>
              <w:t>82,567</w:t>
            </w:r>
          </w:p>
        </w:tc>
        <w:tc>
          <w:tcPr>
            <w:tcW w:w="348" w:type="pct"/>
            <w:vAlign w:val="bottom"/>
          </w:tcPr>
          <w:p w14:paraId="242613E6" w14:textId="447B8502" w:rsidR="00224102" w:rsidRPr="00991C34" w:rsidRDefault="00224102" w:rsidP="00224102">
            <w:pPr>
              <w:jc w:val="right"/>
              <w:rPr>
                <w:sz w:val="16"/>
                <w:szCs w:val="16"/>
              </w:rPr>
            </w:pPr>
            <w:r w:rsidRPr="00991C34">
              <w:rPr>
                <w:sz w:val="16"/>
                <w:szCs w:val="16"/>
              </w:rPr>
              <w:t>14,550</w:t>
            </w:r>
          </w:p>
        </w:tc>
        <w:tc>
          <w:tcPr>
            <w:tcW w:w="348" w:type="pct"/>
            <w:vAlign w:val="bottom"/>
          </w:tcPr>
          <w:p w14:paraId="63D6249C" w14:textId="14E4B9E7" w:rsidR="00224102" w:rsidRPr="00991C34" w:rsidRDefault="00224102" w:rsidP="00224102">
            <w:pPr>
              <w:jc w:val="right"/>
              <w:rPr>
                <w:sz w:val="16"/>
                <w:szCs w:val="16"/>
              </w:rPr>
            </w:pPr>
            <w:r w:rsidRPr="00991C34">
              <w:rPr>
                <w:sz w:val="16"/>
                <w:szCs w:val="16"/>
              </w:rPr>
              <w:t>93,596</w:t>
            </w:r>
          </w:p>
        </w:tc>
        <w:tc>
          <w:tcPr>
            <w:tcW w:w="304" w:type="pct"/>
            <w:vAlign w:val="bottom"/>
          </w:tcPr>
          <w:p w14:paraId="29476E82" w14:textId="4B6E6E85" w:rsidR="00224102" w:rsidRPr="00991C34" w:rsidRDefault="00224102" w:rsidP="00224102">
            <w:pPr>
              <w:jc w:val="right"/>
              <w:rPr>
                <w:sz w:val="16"/>
                <w:szCs w:val="16"/>
              </w:rPr>
            </w:pPr>
            <w:r w:rsidRPr="00991C34">
              <w:rPr>
                <w:sz w:val="16"/>
                <w:szCs w:val="16"/>
              </w:rPr>
              <w:t>1,567</w:t>
            </w:r>
          </w:p>
        </w:tc>
        <w:tc>
          <w:tcPr>
            <w:tcW w:w="302" w:type="pct"/>
            <w:vAlign w:val="bottom"/>
          </w:tcPr>
          <w:p w14:paraId="3467320A" w14:textId="27145084" w:rsidR="00224102" w:rsidRPr="00991C34" w:rsidRDefault="00224102" w:rsidP="00224102">
            <w:pPr>
              <w:jc w:val="right"/>
              <w:rPr>
                <w:sz w:val="16"/>
                <w:szCs w:val="16"/>
              </w:rPr>
            </w:pPr>
            <w:r w:rsidRPr="00991C34">
              <w:rPr>
                <w:sz w:val="16"/>
                <w:szCs w:val="16"/>
              </w:rPr>
              <w:t>-</w:t>
            </w:r>
          </w:p>
        </w:tc>
        <w:tc>
          <w:tcPr>
            <w:tcW w:w="304" w:type="pct"/>
            <w:vAlign w:val="bottom"/>
          </w:tcPr>
          <w:p w14:paraId="75F7880A" w14:textId="27AFFB4E" w:rsidR="00224102" w:rsidRPr="00991C34" w:rsidRDefault="00224102" w:rsidP="00224102">
            <w:pPr>
              <w:jc w:val="right"/>
              <w:rPr>
                <w:sz w:val="16"/>
                <w:szCs w:val="16"/>
              </w:rPr>
            </w:pPr>
            <w:r w:rsidRPr="00991C34">
              <w:rPr>
                <w:sz w:val="16"/>
                <w:szCs w:val="16"/>
              </w:rPr>
              <w:t>-</w:t>
            </w:r>
          </w:p>
        </w:tc>
        <w:tc>
          <w:tcPr>
            <w:tcW w:w="348" w:type="pct"/>
            <w:vAlign w:val="bottom"/>
          </w:tcPr>
          <w:p w14:paraId="342AE2BE" w14:textId="6F9EDFEB" w:rsidR="00224102" w:rsidRPr="00991C34" w:rsidRDefault="00224102" w:rsidP="00224102">
            <w:pPr>
              <w:jc w:val="right"/>
              <w:rPr>
                <w:sz w:val="16"/>
                <w:szCs w:val="16"/>
              </w:rPr>
            </w:pPr>
            <w:r w:rsidRPr="00991C34">
              <w:rPr>
                <w:sz w:val="16"/>
                <w:szCs w:val="16"/>
              </w:rPr>
              <w:t>53,110</w:t>
            </w:r>
          </w:p>
        </w:tc>
        <w:tc>
          <w:tcPr>
            <w:tcW w:w="348" w:type="pct"/>
            <w:vAlign w:val="bottom"/>
          </w:tcPr>
          <w:p w14:paraId="6C495748" w14:textId="6F59D760" w:rsidR="00224102" w:rsidRPr="00991C34" w:rsidRDefault="00224102" w:rsidP="00224102">
            <w:pPr>
              <w:jc w:val="right"/>
              <w:rPr>
                <w:sz w:val="16"/>
                <w:szCs w:val="16"/>
              </w:rPr>
            </w:pPr>
            <w:r w:rsidRPr="00991C34">
              <w:rPr>
                <w:sz w:val="16"/>
                <w:szCs w:val="16"/>
              </w:rPr>
              <w:t>139,170</w:t>
            </w:r>
          </w:p>
        </w:tc>
        <w:tc>
          <w:tcPr>
            <w:tcW w:w="377" w:type="pct"/>
            <w:vAlign w:val="bottom"/>
          </w:tcPr>
          <w:p w14:paraId="54A65134" w14:textId="2E727D04" w:rsidR="00224102" w:rsidRPr="00991C34" w:rsidRDefault="00224102" w:rsidP="00224102">
            <w:pPr>
              <w:jc w:val="right"/>
              <w:rPr>
                <w:sz w:val="16"/>
                <w:szCs w:val="16"/>
              </w:rPr>
            </w:pPr>
            <w:r w:rsidRPr="00991C34">
              <w:rPr>
                <w:sz w:val="16"/>
                <w:szCs w:val="16"/>
              </w:rPr>
              <w:t>192,280</w:t>
            </w:r>
          </w:p>
        </w:tc>
      </w:tr>
      <w:tr w:rsidR="00224102" w:rsidRPr="00881830" w14:paraId="37CF4EFF" w14:textId="77777777" w:rsidTr="007C1215">
        <w:tc>
          <w:tcPr>
            <w:tcW w:w="1031" w:type="pct"/>
            <w:vAlign w:val="bottom"/>
          </w:tcPr>
          <w:p w14:paraId="30FB8943"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Transportation and Telecom</w:t>
            </w:r>
          </w:p>
        </w:tc>
        <w:tc>
          <w:tcPr>
            <w:tcW w:w="348" w:type="pct"/>
            <w:vAlign w:val="bottom"/>
          </w:tcPr>
          <w:p w14:paraId="3CCDA3A2" w14:textId="2F709876" w:rsidR="00224102" w:rsidRPr="00991C34" w:rsidRDefault="00224102" w:rsidP="00224102">
            <w:pPr>
              <w:jc w:val="right"/>
              <w:rPr>
                <w:sz w:val="16"/>
                <w:szCs w:val="16"/>
              </w:rPr>
            </w:pPr>
            <w:r w:rsidRPr="00991C34">
              <w:rPr>
                <w:sz w:val="16"/>
                <w:szCs w:val="16"/>
              </w:rPr>
              <w:t>-</w:t>
            </w:r>
          </w:p>
        </w:tc>
        <w:tc>
          <w:tcPr>
            <w:tcW w:w="256" w:type="pct"/>
            <w:vAlign w:val="bottom"/>
          </w:tcPr>
          <w:p w14:paraId="380B64F4" w14:textId="44C3F4CA" w:rsidR="00224102" w:rsidRPr="00991C34" w:rsidRDefault="00224102" w:rsidP="00224102">
            <w:pPr>
              <w:jc w:val="right"/>
              <w:rPr>
                <w:sz w:val="16"/>
                <w:szCs w:val="16"/>
              </w:rPr>
            </w:pPr>
            <w:r w:rsidRPr="00991C34">
              <w:rPr>
                <w:sz w:val="16"/>
                <w:szCs w:val="16"/>
              </w:rPr>
              <w:t>22</w:t>
            </w:r>
          </w:p>
        </w:tc>
        <w:tc>
          <w:tcPr>
            <w:tcW w:w="339" w:type="pct"/>
            <w:vAlign w:val="bottom"/>
          </w:tcPr>
          <w:p w14:paraId="282CBC15" w14:textId="141641DE" w:rsidR="00224102" w:rsidRPr="00991C34" w:rsidRDefault="00224102" w:rsidP="00224102">
            <w:pPr>
              <w:jc w:val="right"/>
              <w:rPr>
                <w:sz w:val="16"/>
                <w:szCs w:val="16"/>
              </w:rPr>
            </w:pPr>
            <w:r w:rsidRPr="00991C34">
              <w:rPr>
                <w:sz w:val="16"/>
                <w:szCs w:val="16"/>
              </w:rPr>
              <w:t>-</w:t>
            </w:r>
          </w:p>
        </w:tc>
        <w:tc>
          <w:tcPr>
            <w:tcW w:w="348" w:type="pct"/>
            <w:vAlign w:val="bottom"/>
          </w:tcPr>
          <w:p w14:paraId="57384A7E" w14:textId="00277D02" w:rsidR="00224102" w:rsidRPr="00991C34" w:rsidRDefault="00224102" w:rsidP="00224102">
            <w:pPr>
              <w:jc w:val="right"/>
              <w:rPr>
                <w:sz w:val="16"/>
                <w:szCs w:val="16"/>
              </w:rPr>
            </w:pPr>
            <w:r w:rsidRPr="00991C34">
              <w:rPr>
                <w:sz w:val="16"/>
                <w:szCs w:val="16"/>
              </w:rPr>
              <w:t>662,392</w:t>
            </w:r>
          </w:p>
        </w:tc>
        <w:tc>
          <w:tcPr>
            <w:tcW w:w="348" w:type="pct"/>
            <w:vAlign w:val="bottom"/>
          </w:tcPr>
          <w:p w14:paraId="258EADF3" w14:textId="65994741" w:rsidR="00224102" w:rsidRPr="00991C34" w:rsidRDefault="00224102" w:rsidP="00224102">
            <w:pPr>
              <w:jc w:val="right"/>
              <w:rPr>
                <w:sz w:val="16"/>
                <w:szCs w:val="16"/>
              </w:rPr>
            </w:pPr>
            <w:r w:rsidRPr="00991C34">
              <w:rPr>
                <w:sz w:val="16"/>
                <w:szCs w:val="16"/>
              </w:rPr>
              <w:t>70,589</w:t>
            </w:r>
          </w:p>
        </w:tc>
        <w:tc>
          <w:tcPr>
            <w:tcW w:w="348" w:type="pct"/>
            <w:vAlign w:val="bottom"/>
          </w:tcPr>
          <w:p w14:paraId="6DB40583" w14:textId="35047DEC" w:rsidR="00224102" w:rsidRPr="00991C34" w:rsidRDefault="00224102" w:rsidP="00224102">
            <w:pPr>
              <w:jc w:val="right"/>
              <w:rPr>
                <w:sz w:val="16"/>
                <w:szCs w:val="16"/>
              </w:rPr>
            </w:pPr>
            <w:r w:rsidRPr="00991C34">
              <w:rPr>
                <w:sz w:val="16"/>
                <w:szCs w:val="16"/>
              </w:rPr>
              <w:t>65,675</w:t>
            </w:r>
          </w:p>
        </w:tc>
        <w:tc>
          <w:tcPr>
            <w:tcW w:w="304" w:type="pct"/>
            <w:vAlign w:val="bottom"/>
          </w:tcPr>
          <w:p w14:paraId="2E44624F" w14:textId="5597B07B" w:rsidR="00224102" w:rsidRPr="00991C34" w:rsidRDefault="00224102" w:rsidP="00224102">
            <w:pPr>
              <w:jc w:val="right"/>
              <w:rPr>
                <w:sz w:val="16"/>
                <w:szCs w:val="16"/>
              </w:rPr>
            </w:pPr>
            <w:r w:rsidRPr="00991C34">
              <w:rPr>
                <w:sz w:val="16"/>
                <w:szCs w:val="16"/>
              </w:rPr>
              <w:t>11,108</w:t>
            </w:r>
          </w:p>
        </w:tc>
        <w:tc>
          <w:tcPr>
            <w:tcW w:w="302" w:type="pct"/>
            <w:vAlign w:val="bottom"/>
          </w:tcPr>
          <w:p w14:paraId="107C43F3" w14:textId="1DB281C6" w:rsidR="00224102" w:rsidRPr="00991C34" w:rsidRDefault="00224102" w:rsidP="00224102">
            <w:pPr>
              <w:jc w:val="right"/>
              <w:rPr>
                <w:sz w:val="16"/>
                <w:szCs w:val="16"/>
              </w:rPr>
            </w:pPr>
            <w:r w:rsidRPr="00991C34">
              <w:rPr>
                <w:sz w:val="16"/>
                <w:szCs w:val="16"/>
              </w:rPr>
              <w:t>-</w:t>
            </w:r>
          </w:p>
        </w:tc>
        <w:tc>
          <w:tcPr>
            <w:tcW w:w="304" w:type="pct"/>
            <w:vAlign w:val="bottom"/>
          </w:tcPr>
          <w:p w14:paraId="0A476D30" w14:textId="1E6C4308" w:rsidR="00224102" w:rsidRPr="00991C34" w:rsidRDefault="00224102" w:rsidP="00224102">
            <w:pPr>
              <w:jc w:val="right"/>
              <w:rPr>
                <w:sz w:val="16"/>
                <w:szCs w:val="16"/>
              </w:rPr>
            </w:pPr>
            <w:r w:rsidRPr="00991C34">
              <w:rPr>
                <w:sz w:val="16"/>
                <w:szCs w:val="16"/>
              </w:rPr>
              <w:t>-</w:t>
            </w:r>
          </w:p>
        </w:tc>
        <w:tc>
          <w:tcPr>
            <w:tcW w:w="348" w:type="pct"/>
            <w:vAlign w:val="bottom"/>
          </w:tcPr>
          <w:p w14:paraId="71348ED8" w14:textId="4EC07362" w:rsidR="00224102" w:rsidRPr="00991C34" w:rsidRDefault="00224102" w:rsidP="00224102">
            <w:pPr>
              <w:jc w:val="right"/>
              <w:rPr>
                <w:sz w:val="16"/>
                <w:szCs w:val="16"/>
              </w:rPr>
            </w:pPr>
            <w:r w:rsidRPr="00991C34">
              <w:rPr>
                <w:sz w:val="16"/>
                <w:szCs w:val="16"/>
              </w:rPr>
              <w:t>289,628</w:t>
            </w:r>
          </w:p>
        </w:tc>
        <w:tc>
          <w:tcPr>
            <w:tcW w:w="348" w:type="pct"/>
            <w:vAlign w:val="bottom"/>
          </w:tcPr>
          <w:p w14:paraId="0858EE75" w14:textId="41507267" w:rsidR="00224102" w:rsidRPr="00991C34" w:rsidRDefault="00224102" w:rsidP="00224102">
            <w:pPr>
              <w:jc w:val="right"/>
              <w:rPr>
                <w:sz w:val="16"/>
                <w:szCs w:val="16"/>
              </w:rPr>
            </w:pPr>
            <w:r w:rsidRPr="00991C34">
              <w:rPr>
                <w:sz w:val="16"/>
                <w:szCs w:val="16"/>
              </w:rPr>
              <w:t>520,158</w:t>
            </w:r>
          </w:p>
        </w:tc>
        <w:tc>
          <w:tcPr>
            <w:tcW w:w="377" w:type="pct"/>
            <w:vAlign w:val="bottom"/>
          </w:tcPr>
          <w:p w14:paraId="56C0A6E4" w14:textId="63BD032B" w:rsidR="00224102" w:rsidRPr="00991C34" w:rsidRDefault="00224102" w:rsidP="00224102">
            <w:pPr>
              <w:jc w:val="right"/>
              <w:rPr>
                <w:sz w:val="16"/>
                <w:szCs w:val="16"/>
              </w:rPr>
            </w:pPr>
            <w:r w:rsidRPr="00991C34">
              <w:rPr>
                <w:sz w:val="16"/>
                <w:szCs w:val="16"/>
              </w:rPr>
              <w:t>809,786</w:t>
            </w:r>
          </w:p>
        </w:tc>
      </w:tr>
      <w:tr w:rsidR="00224102" w:rsidRPr="00881830" w14:paraId="79195D6A" w14:textId="77777777" w:rsidTr="007C1215">
        <w:tc>
          <w:tcPr>
            <w:tcW w:w="1031" w:type="pct"/>
            <w:vAlign w:val="bottom"/>
          </w:tcPr>
          <w:p w14:paraId="27166222"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Financial Institutions</w:t>
            </w:r>
          </w:p>
        </w:tc>
        <w:tc>
          <w:tcPr>
            <w:tcW w:w="348" w:type="pct"/>
            <w:vAlign w:val="bottom"/>
          </w:tcPr>
          <w:p w14:paraId="20BF6F7F" w14:textId="6AA103D5" w:rsidR="00224102" w:rsidRPr="00991C34" w:rsidRDefault="00224102" w:rsidP="00224102">
            <w:pPr>
              <w:jc w:val="right"/>
              <w:rPr>
                <w:sz w:val="16"/>
                <w:szCs w:val="16"/>
              </w:rPr>
            </w:pPr>
            <w:r w:rsidRPr="00991C34">
              <w:rPr>
                <w:sz w:val="16"/>
                <w:szCs w:val="16"/>
              </w:rPr>
              <w:t>-</w:t>
            </w:r>
          </w:p>
        </w:tc>
        <w:tc>
          <w:tcPr>
            <w:tcW w:w="256" w:type="pct"/>
            <w:vAlign w:val="bottom"/>
          </w:tcPr>
          <w:p w14:paraId="6B251701" w14:textId="7760DDAC" w:rsidR="00224102" w:rsidRPr="00991C34" w:rsidRDefault="00224102" w:rsidP="00224102">
            <w:pPr>
              <w:jc w:val="right"/>
              <w:rPr>
                <w:sz w:val="16"/>
                <w:szCs w:val="16"/>
              </w:rPr>
            </w:pPr>
            <w:r w:rsidRPr="00991C34">
              <w:rPr>
                <w:sz w:val="16"/>
                <w:szCs w:val="16"/>
              </w:rPr>
              <w:t>-</w:t>
            </w:r>
          </w:p>
        </w:tc>
        <w:tc>
          <w:tcPr>
            <w:tcW w:w="339" w:type="pct"/>
            <w:vAlign w:val="bottom"/>
          </w:tcPr>
          <w:p w14:paraId="08F0603A" w14:textId="59B551D2" w:rsidR="00224102" w:rsidRPr="00991C34" w:rsidRDefault="00224102" w:rsidP="00224102">
            <w:pPr>
              <w:jc w:val="right"/>
              <w:rPr>
                <w:sz w:val="16"/>
                <w:szCs w:val="16"/>
              </w:rPr>
            </w:pPr>
            <w:r w:rsidRPr="00991C34">
              <w:rPr>
                <w:sz w:val="16"/>
                <w:szCs w:val="16"/>
              </w:rPr>
              <w:t>1,887,922</w:t>
            </w:r>
          </w:p>
        </w:tc>
        <w:tc>
          <w:tcPr>
            <w:tcW w:w="348" w:type="pct"/>
            <w:vAlign w:val="bottom"/>
          </w:tcPr>
          <w:p w14:paraId="08A8430D" w14:textId="4AA93957" w:rsidR="00224102" w:rsidRPr="00991C34" w:rsidRDefault="00224102" w:rsidP="00224102">
            <w:pPr>
              <w:jc w:val="right"/>
              <w:rPr>
                <w:sz w:val="16"/>
                <w:szCs w:val="16"/>
              </w:rPr>
            </w:pPr>
            <w:r w:rsidRPr="00991C34">
              <w:rPr>
                <w:sz w:val="16"/>
                <w:szCs w:val="16"/>
              </w:rPr>
              <w:t>58,254</w:t>
            </w:r>
          </w:p>
        </w:tc>
        <w:tc>
          <w:tcPr>
            <w:tcW w:w="348" w:type="pct"/>
            <w:vAlign w:val="bottom"/>
          </w:tcPr>
          <w:p w14:paraId="3A21031E" w14:textId="5FBA0421" w:rsidR="00224102" w:rsidRPr="00991C34" w:rsidRDefault="00224102" w:rsidP="00224102">
            <w:pPr>
              <w:jc w:val="right"/>
              <w:rPr>
                <w:sz w:val="16"/>
                <w:szCs w:val="16"/>
              </w:rPr>
            </w:pPr>
            <w:r w:rsidRPr="00991C34">
              <w:rPr>
                <w:sz w:val="16"/>
                <w:szCs w:val="16"/>
              </w:rPr>
              <w:t>3,619</w:t>
            </w:r>
          </w:p>
        </w:tc>
        <w:tc>
          <w:tcPr>
            <w:tcW w:w="348" w:type="pct"/>
            <w:vAlign w:val="bottom"/>
          </w:tcPr>
          <w:p w14:paraId="1F8174FC" w14:textId="0FCC0DEC" w:rsidR="00224102" w:rsidRPr="00991C34" w:rsidRDefault="00224102" w:rsidP="00224102">
            <w:pPr>
              <w:jc w:val="right"/>
              <w:rPr>
                <w:sz w:val="16"/>
                <w:szCs w:val="16"/>
              </w:rPr>
            </w:pPr>
            <w:r w:rsidRPr="00991C34">
              <w:rPr>
                <w:sz w:val="16"/>
                <w:szCs w:val="16"/>
              </w:rPr>
              <w:t>181,377</w:t>
            </w:r>
          </w:p>
        </w:tc>
        <w:tc>
          <w:tcPr>
            <w:tcW w:w="304" w:type="pct"/>
            <w:vAlign w:val="bottom"/>
          </w:tcPr>
          <w:p w14:paraId="4471AE47" w14:textId="5F1C7D10" w:rsidR="00224102" w:rsidRPr="00991C34" w:rsidRDefault="00224102" w:rsidP="00224102">
            <w:pPr>
              <w:jc w:val="right"/>
              <w:rPr>
                <w:sz w:val="16"/>
                <w:szCs w:val="16"/>
              </w:rPr>
            </w:pPr>
            <w:r w:rsidRPr="00991C34">
              <w:rPr>
                <w:sz w:val="16"/>
                <w:szCs w:val="16"/>
              </w:rPr>
              <w:t>371</w:t>
            </w:r>
          </w:p>
        </w:tc>
        <w:tc>
          <w:tcPr>
            <w:tcW w:w="302" w:type="pct"/>
            <w:vAlign w:val="bottom"/>
          </w:tcPr>
          <w:p w14:paraId="5837C59D" w14:textId="2CADD4F6" w:rsidR="00224102" w:rsidRPr="00991C34" w:rsidRDefault="00224102" w:rsidP="00224102">
            <w:pPr>
              <w:jc w:val="right"/>
              <w:rPr>
                <w:sz w:val="16"/>
                <w:szCs w:val="16"/>
              </w:rPr>
            </w:pPr>
            <w:r w:rsidRPr="00991C34">
              <w:rPr>
                <w:sz w:val="16"/>
                <w:szCs w:val="16"/>
              </w:rPr>
              <w:t>-</w:t>
            </w:r>
          </w:p>
        </w:tc>
        <w:tc>
          <w:tcPr>
            <w:tcW w:w="304" w:type="pct"/>
            <w:vAlign w:val="bottom"/>
          </w:tcPr>
          <w:p w14:paraId="6EA5007C" w14:textId="70A190B4" w:rsidR="00224102" w:rsidRPr="00991C34" w:rsidRDefault="00224102" w:rsidP="00224102">
            <w:pPr>
              <w:jc w:val="right"/>
              <w:rPr>
                <w:sz w:val="16"/>
                <w:szCs w:val="16"/>
              </w:rPr>
            </w:pPr>
            <w:r w:rsidRPr="00991C34">
              <w:rPr>
                <w:sz w:val="16"/>
                <w:szCs w:val="16"/>
              </w:rPr>
              <w:t>-</w:t>
            </w:r>
          </w:p>
        </w:tc>
        <w:tc>
          <w:tcPr>
            <w:tcW w:w="348" w:type="pct"/>
            <w:vAlign w:val="bottom"/>
          </w:tcPr>
          <w:p w14:paraId="4B1076D4" w14:textId="0B39BB75" w:rsidR="00224102" w:rsidRPr="00991C34" w:rsidRDefault="00224102" w:rsidP="00224102">
            <w:pPr>
              <w:jc w:val="right"/>
              <w:rPr>
                <w:sz w:val="16"/>
                <w:szCs w:val="16"/>
              </w:rPr>
            </w:pPr>
            <w:r w:rsidRPr="00991C34">
              <w:rPr>
                <w:sz w:val="16"/>
                <w:szCs w:val="16"/>
              </w:rPr>
              <w:t>679,385</w:t>
            </w:r>
          </w:p>
        </w:tc>
        <w:tc>
          <w:tcPr>
            <w:tcW w:w="348" w:type="pct"/>
            <w:vAlign w:val="bottom"/>
          </w:tcPr>
          <w:p w14:paraId="51AB7E81" w14:textId="646172BA" w:rsidR="00224102" w:rsidRPr="00991C34" w:rsidRDefault="00224102" w:rsidP="00224102">
            <w:pPr>
              <w:jc w:val="right"/>
              <w:rPr>
                <w:sz w:val="16"/>
                <w:szCs w:val="16"/>
              </w:rPr>
            </w:pPr>
            <w:r w:rsidRPr="00991C34">
              <w:rPr>
                <w:sz w:val="16"/>
                <w:szCs w:val="16"/>
              </w:rPr>
              <w:t>1,452,158</w:t>
            </w:r>
          </w:p>
        </w:tc>
        <w:tc>
          <w:tcPr>
            <w:tcW w:w="377" w:type="pct"/>
            <w:vAlign w:val="bottom"/>
          </w:tcPr>
          <w:p w14:paraId="3B20EC63" w14:textId="5987E593" w:rsidR="00224102" w:rsidRPr="00991C34" w:rsidRDefault="00224102" w:rsidP="00224102">
            <w:pPr>
              <w:jc w:val="right"/>
              <w:rPr>
                <w:sz w:val="16"/>
                <w:szCs w:val="16"/>
              </w:rPr>
            </w:pPr>
            <w:r w:rsidRPr="00991C34">
              <w:rPr>
                <w:sz w:val="16"/>
                <w:szCs w:val="16"/>
              </w:rPr>
              <w:t>2,131,543</w:t>
            </w:r>
          </w:p>
        </w:tc>
      </w:tr>
      <w:tr w:rsidR="00224102" w:rsidRPr="00881830" w14:paraId="54DD667D" w14:textId="77777777" w:rsidTr="007C1215">
        <w:tc>
          <w:tcPr>
            <w:tcW w:w="1031" w:type="pct"/>
            <w:vAlign w:val="bottom"/>
          </w:tcPr>
          <w:p w14:paraId="5D21A856"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Real Estate and Rental Services</w:t>
            </w:r>
          </w:p>
        </w:tc>
        <w:tc>
          <w:tcPr>
            <w:tcW w:w="348" w:type="pct"/>
            <w:vAlign w:val="bottom"/>
          </w:tcPr>
          <w:p w14:paraId="6F43DCC2" w14:textId="218F27CE" w:rsidR="00224102" w:rsidRPr="00991C34" w:rsidRDefault="00224102" w:rsidP="00224102">
            <w:pPr>
              <w:jc w:val="right"/>
              <w:rPr>
                <w:sz w:val="16"/>
                <w:szCs w:val="16"/>
              </w:rPr>
            </w:pPr>
            <w:r w:rsidRPr="00991C34">
              <w:rPr>
                <w:sz w:val="16"/>
                <w:szCs w:val="16"/>
              </w:rPr>
              <w:t>-</w:t>
            </w:r>
          </w:p>
        </w:tc>
        <w:tc>
          <w:tcPr>
            <w:tcW w:w="256" w:type="pct"/>
            <w:vAlign w:val="bottom"/>
          </w:tcPr>
          <w:p w14:paraId="1978DF70" w14:textId="1810A677" w:rsidR="00224102" w:rsidRPr="00991C34" w:rsidRDefault="00224102" w:rsidP="00224102">
            <w:pPr>
              <w:jc w:val="right"/>
              <w:rPr>
                <w:sz w:val="16"/>
                <w:szCs w:val="16"/>
              </w:rPr>
            </w:pPr>
            <w:r w:rsidRPr="00991C34">
              <w:rPr>
                <w:sz w:val="16"/>
                <w:szCs w:val="16"/>
              </w:rPr>
              <w:t>-</w:t>
            </w:r>
          </w:p>
        </w:tc>
        <w:tc>
          <w:tcPr>
            <w:tcW w:w="339" w:type="pct"/>
            <w:vAlign w:val="bottom"/>
          </w:tcPr>
          <w:p w14:paraId="4D2080F6" w14:textId="0768CB6C" w:rsidR="00224102" w:rsidRPr="00991C34" w:rsidRDefault="00224102" w:rsidP="00224102">
            <w:pPr>
              <w:jc w:val="right"/>
              <w:rPr>
                <w:sz w:val="16"/>
                <w:szCs w:val="16"/>
              </w:rPr>
            </w:pPr>
            <w:r w:rsidRPr="00991C34">
              <w:rPr>
                <w:sz w:val="16"/>
                <w:szCs w:val="16"/>
              </w:rPr>
              <w:t>-</w:t>
            </w:r>
          </w:p>
        </w:tc>
        <w:tc>
          <w:tcPr>
            <w:tcW w:w="348" w:type="pct"/>
            <w:vAlign w:val="bottom"/>
          </w:tcPr>
          <w:p w14:paraId="73003CD3" w14:textId="60618B6B" w:rsidR="00224102" w:rsidRPr="00991C34" w:rsidRDefault="00224102" w:rsidP="00224102">
            <w:pPr>
              <w:jc w:val="right"/>
              <w:rPr>
                <w:sz w:val="16"/>
                <w:szCs w:val="16"/>
              </w:rPr>
            </w:pPr>
            <w:r w:rsidRPr="00991C34">
              <w:rPr>
                <w:sz w:val="16"/>
                <w:szCs w:val="16"/>
              </w:rPr>
              <w:t>173,933</w:t>
            </w:r>
          </w:p>
        </w:tc>
        <w:tc>
          <w:tcPr>
            <w:tcW w:w="348" w:type="pct"/>
            <w:vAlign w:val="bottom"/>
          </w:tcPr>
          <w:p w14:paraId="6B2A5439" w14:textId="27EDC0AC" w:rsidR="00224102" w:rsidRPr="00991C34" w:rsidRDefault="00224102" w:rsidP="00224102">
            <w:pPr>
              <w:jc w:val="right"/>
              <w:rPr>
                <w:sz w:val="16"/>
                <w:szCs w:val="16"/>
              </w:rPr>
            </w:pPr>
            <w:r w:rsidRPr="00991C34">
              <w:rPr>
                <w:sz w:val="16"/>
                <w:szCs w:val="16"/>
              </w:rPr>
              <w:t>13,649</w:t>
            </w:r>
          </w:p>
        </w:tc>
        <w:tc>
          <w:tcPr>
            <w:tcW w:w="348" w:type="pct"/>
            <w:vAlign w:val="bottom"/>
          </w:tcPr>
          <w:p w14:paraId="51EE0C5C" w14:textId="528F95DE" w:rsidR="00224102" w:rsidRPr="00991C34" w:rsidRDefault="00224102" w:rsidP="00224102">
            <w:pPr>
              <w:jc w:val="right"/>
              <w:rPr>
                <w:sz w:val="16"/>
                <w:szCs w:val="16"/>
              </w:rPr>
            </w:pPr>
            <w:r w:rsidRPr="00991C34">
              <w:rPr>
                <w:sz w:val="16"/>
                <w:szCs w:val="16"/>
              </w:rPr>
              <w:t>17,407</w:t>
            </w:r>
          </w:p>
        </w:tc>
        <w:tc>
          <w:tcPr>
            <w:tcW w:w="304" w:type="pct"/>
            <w:vAlign w:val="bottom"/>
          </w:tcPr>
          <w:p w14:paraId="345D16CA" w14:textId="55BD65CB" w:rsidR="00224102" w:rsidRPr="00991C34" w:rsidRDefault="00224102" w:rsidP="00224102">
            <w:pPr>
              <w:jc w:val="right"/>
              <w:rPr>
                <w:sz w:val="16"/>
                <w:szCs w:val="16"/>
              </w:rPr>
            </w:pPr>
            <w:r w:rsidRPr="00991C34">
              <w:rPr>
                <w:sz w:val="16"/>
                <w:szCs w:val="16"/>
              </w:rPr>
              <w:t>316</w:t>
            </w:r>
          </w:p>
        </w:tc>
        <w:tc>
          <w:tcPr>
            <w:tcW w:w="302" w:type="pct"/>
            <w:vAlign w:val="bottom"/>
          </w:tcPr>
          <w:p w14:paraId="72401667" w14:textId="65929358" w:rsidR="00224102" w:rsidRPr="00991C34" w:rsidRDefault="00224102" w:rsidP="00224102">
            <w:pPr>
              <w:jc w:val="right"/>
              <w:rPr>
                <w:sz w:val="16"/>
                <w:szCs w:val="16"/>
              </w:rPr>
            </w:pPr>
            <w:r w:rsidRPr="00991C34">
              <w:rPr>
                <w:sz w:val="16"/>
                <w:szCs w:val="16"/>
              </w:rPr>
              <w:t>-</w:t>
            </w:r>
          </w:p>
        </w:tc>
        <w:tc>
          <w:tcPr>
            <w:tcW w:w="304" w:type="pct"/>
            <w:vAlign w:val="bottom"/>
          </w:tcPr>
          <w:p w14:paraId="1FA85126" w14:textId="781CFE21" w:rsidR="00224102" w:rsidRPr="00991C34" w:rsidRDefault="00224102" w:rsidP="00224102">
            <w:pPr>
              <w:jc w:val="right"/>
              <w:rPr>
                <w:sz w:val="16"/>
                <w:szCs w:val="16"/>
              </w:rPr>
            </w:pPr>
            <w:r w:rsidRPr="00991C34">
              <w:rPr>
                <w:sz w:val="16"/>
                <w:szCs w:val="16"/>
              </w:rPr>
              <w:t>-</w:t>
            </w:r>
          </w:p>
        </w:tc>
        <w:tc>
          <w:tcPr>
            <w:tcW w:w="348" w:type="pct"/>
            <w:vAlign w:val="bottom"/>
          </w:tcPr>
          <w:p w14:paraId="173DEFA8" w14:textId="53ABD783" w:rsidR="00224102" w:rsidRPr="00991C34" w:rsidRDefault="00224102" w:rsidP="00224102">
            <w:pPr>
              <w:jc w:val="right"/>
              <w:rPr>
                <w:sz w:val="16"/>
                <w:szCs w:val="16"/>
              </w:rPr>
            </w:pPr>
            <w:r w:rsidRPr="00991C34">
              <w:rPr>
                <w:sz w:val="16"/>
                <w:szCs w:val="16"/>
              </w:rPr>
              <w:t>39,477</w:t>
            </w:r>
          </w:p>
        </w:tc>
        <w:tc>
          <w:tcPr>
            <w:tcW w:w="348" w:type="pct"/>
            <w:vAlign w:val="bottom"/>
          </w:tcPr>
          <w:p w14:paraId="3E1FB322" w14:textId="44F1BC2C" w:rsidR="00224102" w:rsidRPr="00991C34" w:rsidRDefault="00224102" w:rsidP="00224102">
            <w:pPr>
              <w:jc w:val="right"/>
              <w:rPr>
                <w:sz w:val="16"/>
                <w:szCs w:val="16"/>
              </w:rPr>
            </w:pPr>
            <w:r w:rsidRPr="00991C34">
              <w:rPr>
                <w:sz w:val="16"/>
                <w:szCs w:val="16"/>
              </w:rPr>
              <w:t>165,828</w:t>
            </w:r>
          </w:p>
        </w:tc>
        <w:tc>
          <w:tcPr>
            <w:tcW w:w="377" w:type="pct"/>
            <w:vAlign w:val="bottom"/>
          </w:tcPr>
          <w:p w14:paraId="6127F48B" w14:textId="2F1A2D2B" w:rsidR="00224102" w:rsidRPr="00991C34" w:rsidRDefault="00224102" w:rsidP="00224102">
            <w:pPr>
              <w:jc w:val="right"/>
              <w:rPr>
                <w:sz w:val="16"/>
                <w:szCs w:val="16"/>
              </w:rPr>
            </w:pPr>
            <w:r w:rsidRPr="00991C34">
              <w:rPr>
                <w:sz w:val="16"/>
                <w:szCs w:val="16"/>
              </w:rPr>
              <w:t>205,305</w:t>
            </w:r>
          </w:p>
        </w:tc>
      </w:tr>
      <w:tr w:rsidR="00224102" w:rsidRPr="00881830" w14:paraId="51D05357" w14:textId="77777777" w:rsidTr="007C1215">
        <w:tc>
          <w:tcPr>
            <w:tcW w:w="1031" w:type="pct"/>
            <w:vAlign w:val="bottom"/>
          </w:tcPr>
          <w:p w14:paraId="4CB1BC20"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Self-employment Services</w:t>
            </w:r>
          </w:p>
        </w:tc>
        <w:tc>
          <w:tcPr>
            <w:tcW w:w="348" w:type="pct"/>
            <w:vAlign w:val="bottom"/>
          </w:tcPr>
          <w:p w14:paraId="598AF4FC" w14:textId="2E59E7F0" w:rsidR="00224102" w:rsidRPr="00991C34" w:rsidRDefault="00224102" w:rsidP="00224102">
            <w:pPr>
              <w:jc w:val="right"/>
              <w:rPr>
                <w:sz w:val="16"/>
                <w:szCs w:val="16"/>
              </w:rPr>
            </w:pPr>
            <w:r w:rsidRPr="00991C34">
              <w:rPr>
                <w:sz w:val="16"/>
                <w:szCs w:val="16"/>
              </w:rPr>
              <w:t>-</w:t>
            </w:r>
          </w:p>
        </w:tc>
        <w:tc>
          <w:tcPr>
            <w:tcW w:w="256" w:type="pct"/>
            <w:vAlign w:val="bottom"/>
          </w:tcPr>
          <w:p w14:paraId="42E54DD3" w14:textId="5886A37D" w:rsidR="00224102" w:rsidRPr="00991C34" w:rsidRDefault="00224102" w:rsidP="00224102">
            <w:pPr>
              <w:jc w:val="right"/>
              <w:rPr>
                <w:sz w:val="16"/>
                <w:szCs w:val="16"/>
              </w:rPr>
            </w:pPr>
            <w:r w:rsidRPr="00991C34">
              <w:rPr>
                <w:sz w:val="16"/>
                <w:szCs w:val="16"/>
              </w:rPr>
              <w:t>-</w:t>
            </w:r>
          </w:p>
        </w:tc>
        <w:tc>
          <w:tcPr>
            <w:tcW w:w="339" w:type="pct"/>
            <w:vAlign w:val="bottom"/>
          </w:tcPr>
          <w:p w14:paraId="71E76F2A" w14:textId="2D0AAA48" w:rsidR="00224102" w:rsidRPr="00991C34" w:rsidRDefault="00224102" w:rsidP="00224102">
            <w:pPr>
              <w:jc w:val="right"/>
              <w:rPr>
                <w:sz w:val="16"/>
                <w:szCs w:val="16"/>
              </w:rPr>
            </w:pPr>
            <w:r w:rsidRPr="00991C34">
              <w:rPr>
                <w:sz w:val="16"/>
                <w:szCs w:val="16"/>
              </w:rPr>
              <w:t>-</w:t>
            </w:r>
          </w:p>
        </w:tc>
        <w:tc>
          <w:tcPr>
            <w:tcW w:w="348" w:type="pct"/>
            <w:vAlign w:val="bottom"/>
          </w:tcPr>
          <w:p w14:paraId="56A0A474" w14:textId="070DC2A0" w:rsidR="00224102" w:rsidRPr="00991C34" w:rsidRDefault="00224102" w:rsidP="00224102">
            <w:pPr>
              <w:jc w:val="right"/>
              <w:rPr>
                <w:sz w:val="16"/>
                <w:szCs w:val="16"/>
              </w:rPr>
            </w:pPr>
            <w:r w:rsidRPr="00991C34">
              <w:rPr>
                <w:sz w:val="16"/>
                <w:szCs w:val="16"/>
              </w:rPr>
              <w:t>713,434</w:t>
            </w:r>
          </w:p>
        </w:tc>
        <w:tc>
          <w:tcPr>
            <w:tcW w:w="348" w:type="pct"/>
            <w:vAlign w:val="bottom"/>
          </w:tcPr>
          <w:p w14:paraId="6BD1DC44" w14:textId="5793E2FB" w:rsidR="00224102" w:rsidRPr="00991C34" w:rsidRDefault="00224102" w:rsidP="00224102">
            <w:pPr>
              <w:jc w:val="right"/>
              <w:rPr>
                <w:sz w:val="16"/>
                <w:szCs w:val="16"/>
              </w:rPr>
            </w:pPr>
            <w:r w:rsidRPr="00991C34">
              <w:rPr>
                <w:sz w:val="16"/>
                <w:szCs w:val="16"/>
              </w:rPr>
              <w:t>78,144</w:t>
            </w:r>
          </w:p>
        </w:tc>
        <w:tc>
          <w:tcPr>
            <w:tcW w:w="348" w:type="pct"/>
            <w:vAlign w:val="bottom"/>
          </w:tcPr>
          <w:p w14:paraId="6CFC0CA5" w14:textId="0A67D4D2" w:rsidR="00224102" w:rsidRPr="00991C34" w:rsidRDefault="00224102" w:rsidP="00224102">
            <w:pPr>
              <w:jc w:val="right"/>
              <w:rPr>
                <w:sz w:val="16"/>
                <w:szCs w:val="16"/>
              </w:rPr>
            </w:pPr>
            <w:r w:rsidRPr="00991C34">
              <w:rPr>
                <w:sz w:val="16"/>
                <w:szCs w:val="16"/>
              </w:rPr>
              <w:t>136,218</w:t>
            </w:r>
          </w:p>
        </w:tc>
        <w:tc>
          <w:tcPr>
            <w:tcW w:w="304" w:type="pct"/>
            <w:vAlign w:val="bottom"/>
          </w:tcPr>
          <w:p w14:paraId="1C7DFE2B" w14:textId="05B899DD" w:rsidR="00224102" w:rsidRPr="00991C34" w:rsidRDefault="00224102" w:rsidP="00224102">
            <w:pPr>
              <w:jc w:val="right"/>
              <w:rPr>
                <w:sz w:val="16"/>
                <w:szCs w:val="16"/>
              </w:rPr>
            </w:pPr>
            <w:r w:rsidRPr="00991C34">
              <w:rPr>
                <w:sz w:val="16"/>
                <w:szCs w:val="16"/>
              </w:rPr>
              <w:t>9,979</w:t>
            </w:r>
          </w:p>
        </w:tc>
        <w:tc>
          <w:tcPr>
            <w:tcW w:w="302" w:type="pct"/>
            <w:vAlign w:val="bottom"/>
          </w:tcPr>
          <w:p w14:paraId="288C8493" w14:textId="372A07F5" w:rsidR="00224102" w:rsidRPr="00991C34" w:rsidRDefault="00224102" w:rsidP="00224102">
            <w:pPr>
              <w:jc w:val="right"/>
              <w:rPr>
                <w:sz w:val="16"/>
                <w:szCs w:val="16"/>
              </w:rPr>
            </w:pPr>
            <w:r w:rsidRPr="00991C34">
              <w:rPr>
                <w:sz w:val="16"/>
                <w:szCs w:val="16"/>
              </w:rPr>
              <w:t>-</w:t>
            </w:r>
          </w:p>
        </w:tc>
        <w:tc>
          <w:tcPr>
            <w:tcW w:w="304" w:type="pct"/>
            <w:vAlign w:val="bottom"/>
          </w:tcPr>
          <w:p w14:paraId="31C6C3C9" w14:textId="6917AF5C" w:rsidR="00224102" w:rsidRPr="00991C34" w:rsidRDefault="00224102" w:rsidP="00224102">
            <w:pPr>
              <w:jc w:val="right"/>
              <w:rPr>
                <w:sz w:val="16"/>
                <w:szCs w:val="16"/>
              </w:rPr>
            </w:pPr>
            <w:r w:rsidRPr="00991C34">
              <w:rPr>
                <w:sz w:val="16"/>
                <w:szCs w:val="16"/>
              </w:rPr>
              <w:t>-</w:t>
            </w:r>
          </w:p>
        </w:tc>
        <w:tc>
          <w:tcPr>
            <w:tcW w:w="348" w:type="pct"/>
            <w:vAlign w:val="bottom"/>
          </w:tcPr>
          <w:p w14:paraId="3151BB54" w14:textId="7DD4BF8E" w:rsidR="00224102" w:rsidRPr="00991C34" w:rsidRDefault="00224102" w:rsidP="00224102">
            <w:pPr>
              <w:jc w:val="right"/>
              <w:rPr>
                <w:sz w:val="16"/>
                <w:szCs w:val="16"/>
              </w:rPr>
            </w:pPr>
            <w:r w:rsidRPr="00991C34">
              <w:rPr>
                <w:sz w:val="16"/>
                <w:szCs w:val="16"/>
              </w:rPr>
              <w:t>331,631</w:t>
            </w:r>
          </w:p>
        </w:tc>
        <w:tc>
          <w:tcPr>
            <w:tcW w:w="348" w:type="pct"/>
            <w:vAlign w:val="bottom"/>
          </w:tcPr>
          <w:p w14:paraId="278C6008" w14:textId="67F43EA2" w:rsidR="00224102" w:rsidRPr="00991C34" w:rsidRDefault="00224102" w:rsidP="00224102">
            <w:pPr>
              <w:jc w:val="right"/>
              <w:rPr>
                <w:sz w:val="16"/>
                <w:szCs w:val="16"/>
              </w:rPr>
            </w:pPr>
            <w:r w:rsidRPr="00991C34">
              <w:rPr>
                <w:sz w:val="16"/>
                <w:szCs w:val="16"/>
              </w:rPr>
              <w:t>606,144</w:t>
            </w:r>
          </w:p>
        </w:tc>
        <w:tc>
          <w:tcPr>
            <w:tcW w:w="377" w:type="pct"/>
            <w:vAlign w:val="bottom"/>
          </w:tcPr>
          <w:p w14:paraId="4F4CD691" w14:textId="2EC8F0A3" w:rsidR="00224102" w:rsidRPr="00991C34" w:rsidRDefault="00224102" w:rsidP="00224102">
            <w:pPr>
              <w:jc w:val="right"/>
              <w:rPr>
                <w:sz w:val="16"/>
                <w:szCs w:val="16"/>
              </w:rPr>
            </w:pPr>
            <w:r w:rsidRPr="00991C34">
              <w:rPr>
                <w:sz w:val="16"/>
                <w:szCs w:val="16"/>
              </w:rPr>
              <w:t>937,775</w:t>
            </w:r>
          </w:p>
        </w:tc>
      </w:tr>
      <w:tr w:rsidR="00224102" w:rsidRPr="00881830" w14:paraId="2DC263B7" w14:textId="77777777" w:rsidTr="007C1215">
        <w:tc>
          <w:tcPr>
            <w:tcW w:w="1031" w:type="pct"/>
            <w:vAlign w:val="bottom"/>
          </w:tcPr>
          <w:p w14:paraId="401A0234"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Educational Services</w:t>
            </w:r>
          </w:p>
        </w:tc>
        <w:tc>
          <w:tcPr>
            <w:tcW w:w="348" w:type="pct"/>
            <w:vAlign w:val="bottom"/>
          </w:tcPr>
          <w:p w14:paraId="40D35750" w14:textId="20DC7684" w:rsidR="00224102" w:rsidRPr="00991C34" w:rsidRDefault="00224102" w:rsidP="00224102">
            <w:pPr>
              <w:jc w:val="right"/>
              <w:rPr>
                <w:sz w:val="16"/>
                <w:szCs w:val="16"/>
              </w:rPr>
            </w:pPr>
            <w:r w:rsidRPr="00991C34">
              <w:rPr>
                <w:sz w:val="16"/>
                <w:szCs w:val="16"/>
              </w:rPr>
              <w:t>-</w:t>
            </w:r>
          </w:p>
        </w:tc>
        <w:tc>
          <w:tcPr>
            <w:tcW w:w="256" w:type="pct"/>
            <w:vAlign w:val="bottom"/>
          </w:tcPr>
          <w:p w14:paraId="06C96A6A" w14:textId="6531424D" w:rsidR="00224102" w:rsidRPr="00991C34" w:rsidRDefault="00224102" w:rsidP="00224102">
            <w:pPr>
              <w:jc w:val="right"/>
              <w:rPr>
                <w:sz w:val="16"/>
                <w:szCs w:val="16"/>
              </w:rPr>
            </w:pPr>
            <w:r w:rsidRPr="00991C34">
              <w:rPr>
                <w:sz w:val="16"/>
                <w:szCs w:val="16"/>
              </w:rPr>
              <w:t>1</w:t>
            </w:r>
          </w:p>
        </w:tc>
        <w:tc>
          <w:tcPr>
            <w:tcW w:w="339" w:type="pct"/>
            <w:vAlign w:val="bottom"/>
          </w:tcPr>
          <w:p w14:paraId="78040985" w14:textId="21E43D71" w:rsidR="00224102" w:rsidRPr="00991C34" w:rsidRDefault="00224102" w:rsidP="00224102">
            <w:pPr>
              <w:jc w:val="right"/>
              <w:rPr>
                <w:sz w:val="16"/>
                <w:szCs w:val="16"/>
              </w:rPr>
            </w:pPr>
            <w:r w:rsidRPr="00991C34">
              <w:rPr>
                <w:sz w:val="16"/>
                <w:szCs w:val="16"/>
              </w:rPr>
              <w:t>-</w:t>
            </w:r>
          </w:p>
        </w:tc>
        <w:tc>
          <w:tcPr>
            <w:tcW w:w="348" w:type="pct"/>
            <w:vAlign w:val="bottom"/>
          </w:tcPr>
          <w:p w14:paraId="4DEE292E" w14:textId="7F1BDE72" w:rsidR="00224102" w:rsidRPr="00991C34" w:rsidRDefault="00224102" w:rsidP="00224102">
            <w:pPr>
              <w:jc w:val="right"/>
              <w:rPr>
                <w:sz w:val="16"/>
                <w:szCs w:val="16"/>
              </w:rPr>
            </w:pPr>
            <w:r w:rsidRPr="00991C34">
              <w:rPr>
                <w:sz w:val="16"/>
                <w:szCs w:val="16"/>
              </w:rPr>
              <w:t>1,781</w:t>
            </w:r>
          </w:p>
        </w:tc>
        <w:tc>
          <w:tcPr>
            <w:tcW w:w="348" w:type="pct"/>
            <w:vAlign w:val="bottom"/>
          </w:tcPr>
          <w:p w14:paraId="44AE98E9" w14:textId="70365447" w:rsidR="00224102" w:rsidRPr="00991C34" w:rsidRDefault="00224102" w:rsidP="00224102">
            <w:pPr>
              <w:jc w:val="right"/>
              <w:rPr>
                <w:sz w:val="16"/>
                <w:szCs w:val="16"/>
              </w:rPr>
            </w:pPr>
            <w:r w:rsidRPr="00991C34">
              <w:rPr>
                <w:sz w:val="16"/>
                <w:szCs w:val="16"/>
              </w:rPr>
              <w:t>407</w:t>
            </w:r>
          </w:p>
        </w:tc>
        <w:tc>
          <w:tcPr>
            <w:tcW w:w="348" w:type="pct"/>
            <w:vAlign w:val="bottom"/>
          </w:tcPr>
          <w:p w14:paraId="792CFC41" w14:textId="55DB4813" w:rsidR="00224102" w:rsidRPr="00991C34" w:rsidRDefault="00224102" w:rsidP="00224102">
            <w:pPr>
              <w:jc w:val="right"/>
              <w:rPr>
                <w:sz w:val="16"/>
                <w:szCs w:val="16"/>
              </w:rPr>
            </w:pPr>
            <w:r w:rsidRPr="00991C34">
              <w:rPr>
                <w:sz w:val="16"/>
                <w:szCs w:val="16"/>
              </w:rPr>
              <w:t>129</w:t>
            </w:r>
          </w:p>
        </w:tc>
        <w:tc>
          <w:tcPr>
            <w:tcW w:w="304" w:type="pct"/>
            <w:vAlign w:val="bottom"/>
          </w:tcPr>
          <w:p w14:paraId="4DD6531B" w14:textId="4BAD64E6" w:rsidR="00224102" w:rsidRPr="00991C34" w:rsidRDefault="00224102" w:rsidP="00224102">
            <w:pPr>
              <w:jc w:val="right"/>
              <w:rPr>
                <w:sz w:val="16"/>
                <w:szCs w:val="16"/>
              </w:rPr>
            </w:pPr>
            <w:r w:rsidRPr="00991C34">
              <w:rPr>
                <w:sz w:val="16"/>
                <w:szCs w:val="16"/>
              </w:rPr>
              <w:t>9</w:t>
            </w:r>
          </w:p>
        </w:tc>
        <w:tc>
          <w:tcPr>
            <w:tcW w:w="302" w:type="pct"/>
            <w:vAlign w:val="bottom"/>
          </w:tcPr>
          <w:p w14:paraId="323F18A3" w14:textId="0C9196A0" w:rsidR="00224102" w:rsidRPr="00991C34" w:rsidRDefault="00224102" w:rsidP="00224102">
            <w:pPr>
              <w:jc w:val="right"/>
              <w:rPr>
                <w:sz w:val="16"/>
                <w:szCs w:val="16"/>
              </w:rPr>
            </w:pPr>
            <w:r w:rsidRPr="00991C34">
              <w:rPr>
                <w:sz w:val="16"/>
                <w:szCs w:val="16"/>
              </w:rPr>
              <w:t>-</w:t>
            </w:r>
          </w:p>
        </w:tc>
        <w:tc>
          <w:tcPr>
            <w:tcW w:w="304" w:type="pct"/>
            <w:vAlign w:val="bottom"/>
          </w:tcPr>
          <w:p w14:paraId="39A0F949" w14:textId="2BB615B1" w:rsidR="00224102" w:rsidRPr="00991C34" w:rsidRDefault="00224102" w:rsidP="00224102">
            <w:pPr>
              <w:jc w:val="right"/>
              <w:rPr>
                <w:sz w:val="16"/>
                <w:szCs w:val="16"/>
              </w:rPr>
            </w:pPr>
            <w:r w:rsidRPr="00991C34">
              <w:rPr>
                <w:sz w:val="16"/>
                <w:szCs w:val="16"/>
              </w:rPr>
              <w:t>-</w:t>
            </w:r>
          </w:p>
        </w:tc>
        <w:tc>
          <w:tcPr>
            <w:tcW w:w="348" w:type="pct"/>
            <w:vAlign w:val="bottom"/>
          </w:tcPr>
          <w:p w14:paraId="6F8837B7" w14:textId="364F0AD8" w:rsidR="00224102" w:rsidRPr="00991C34" w:rsidRDefault="00224102" w:rsidP="00224102">
            <w:pPr>
              <w:jc w:val="right"/>
              <w:rPr>
                <w:sz w:val="16"/>
                <w:szCs w:val="16"/>
              </w:rPr>
            </w:pPr>
            <w:r w:rsidRPr="00991C34">
              <w:rPr>
                <w:sz w:val="16"/>
                <w:szCs w:val="16"/>
              </w:rPr>
              <w:t>1,858</w:t>
            </w:r>
          </w:p>
        </w:tc>
        <w:tc>
          <w:tcPr>
            <w:tcW w:w="348" w:type="pct"/>
            <w:vAlign w:val="bottom"/>
          </w:tcPr>
          <w:p w14:paraId="57CE4B49" w14:textId="23D6EAED" w:rsidR="00224102" w:rsidRPr="00991C34" w:rsidRDefault="00224102" w:rsidP="00224102">
            <w:pPr>
              <w:jc w:val="right"/>
              <w:rPr>
                <w:sz w:val="16"/>
                <w:szCs w:val="16"/>
              </w:rPr>
            </w:pPr>
            <w:r w:rsidRPr="00991C34">
              <w:rPr>
                <w:sz w:val="16"/>
                <w:szCs w:val="16"/>
              </w:rPr>
              <w:t>469</w:t>
            </w:r>
          </w:p>
        </w:tc>
        <w:tc>
          <w:tcPr>
            <w:tcW w:w="377" w:type="pct"/>
            <w:vAlign w:val="bottom"/>
          </w:tcPr>
          <w:p w14:paraId="202B0743" w14:textId="0C8F1D31" w:rsidR="00224102" w:rsidRPr="00991C34" w:rsidRDefault="00224102" w:rsidP="00224102">
            <w:pPr>
              <w:jc w:val="right"/>
              <w:rPr>
                <w:sz w:val="16"/>
                <w:szCs w:val="16"/>
              </w:rPr>
            </w:pPr>
            <w:r w:rsidRPr="00991C34">
              <w:rPr>
                <w:sz w:val="16"/>
                <w:szCs w:val="16"/>
              </w:rPr>
              <w:t>2,327</w:t>
            </w:r>
          </w:p>
        </w:tc>
      </w:tr>
      <w:tr w:rsidR="00224102" w:rsidRPr="00881830" w14:paraId="46984454" w14:textId="77777777" w:rsidTr="007C1215">
        <w:tc>
          <w:tcPr>
            <w:tcW w:w="1031" w:type="pct"/>
            <w:vAlign w:val="bottom"/>
          </w:tcPr>
          <w:p w14:paraId="15783D2C" w14:textId="77777777" w:rsidR="00224102" w:rsidRPr="00881830" w:rsidRDefault="00224102" w:rsidP="00224102">
            <w:pPr>
              <w:tabs>
                <w:tab w:val="left" w:pos="0"/>
              </w:tabs>
              <w:spacing w:line="216" w:lineRule="auto"/>
              <w:rPr>
                <w:snapToGrid w:val="0"/>
                <w:sz w:val="16"/>
                <w:szCs w:val="16"/>
                <w:lang w:val="tr-TR"/>
              </w:rPr>
            </w:pPr>
            <w:r w:rsidRPr="00881830">
              <w:rPr>
                <w:snapToGrid w:val="0"/>
                <w:sz w:val="16"/>
                <w:szCs w:val="16"/>
                <w:lang w:val="tr-TR"/>
              </w:rPr>
              <w:t xml:space="preserve">  Health and Social Services</w:t>
            </w:r>
          </w:p>
        </w:tc>
        <w:tc>
          <w:tcPr>
            <w:tcW w:w="348" w:type="pct"/>
            <w:vAlign w:val="bottom"/>
          </w:tcPr>
          <w:p w14:paraId="40CF84B8" w14:textId="14FBA01F" w:rsidR="00224102" w:rsidRPr="00991C34" w:rsidRDefault="00224102" w:rsidP="00224102">
            <w:pPr>
              <w:jc w:val="right"/>
              <w:rPr>
                <w:sz w:val="16"/>
                <w:szCs w:val="16"/>
              </w:rPr>
            </w:pPr>
            <w:r w:rsidRPr="00991C34">
              <w:rPr>
                <w:sz w:val="16"/>
                <w:szCs w:val="16"/>
              </w:rPr>
              <w:t>-</w:t>
            </w:r>
          </w:p>
        </w:tc>
        <w:tc>
          <w:tcPr>
            <w:tcW w:w="256" w:type="pct"/>
            <w:vAlign w:val="bottom"/>
          </w:tcPr>
          <w:p w14:paraId="74236879" w14:textId="21D500BB" w:rsidR="00224102" w:rsidRPr="00991C34" w:rsidRDefault="00224102" w:rsidP="00224102">
            <w:pPr>
              <w:jc w:val="right"/>
              <w:rPr>
                <w:sz w:val="16"/>
                <w:szCs w:val="16"/>
              </w:rPr>
            </w:pPr>
            <w:r w:rsidRPr="00991C34">
              <w:rPr>
                <w:sz w:val="16"/>
                <w:szCs w:val="16"/>
              </w:rPr>
              <w:t>745</w:t>
            </w:r>
          </w:p>
        </w:tc>
        <w:tc>
          <w:tcPr>
            <w:tcW w:w="339" w:type="pct"/>
            <w:vAlign w:val="bottom"/>
          </w:tcPr>
          <w:p w14:paraId="0D6BDDCD" w14:textId="59499865" w:rsidR="00224102" w:rsidRPr="00991C34" w:rsidRDefault="00224102" w:rsidP="00224102">
            <w:pPr>
              <w:jc w:val="right"/>
              <w:rPr>
                <w:sz w:val="16"/>
                <w:szCs w:val="16"/>
              </w:rPr>
            </w:pPr>
            <w:r w:rsidRPr="00991C34">
              <w:rPr>
                <w:sz w:val="16"/>
                <w:szCs w:val="16"/>
              </w:rPr>
              <w:t>-</w:t>
            </w:r>
          </w:p>
        </w:tc>
        <w:tc>
          <w:tcPr>
            <w:tcW w:w="348" w:type="pct"/>
            <w:vAlign w:val="bottom"/>
          </w:tcPr>
          <w:p w14:paraId="7E28AE0D" w14:textId="7809A528" w:rsidR="00224102" w:rsidRPr="00991C34" w:rsidRDefault="00224102" w:rsidP="00224102">
            <w:pPr>
              <w:jc w:val="right"/>
              <w:rPr>
                <w:sz w:val="16"/>
                <w:szCs w:val="16"/>
              </w:rPr>
            </w:pPr>
            <w:r w:rsidRPr="00991C34">
              <w:rPr>
                <w:sz w:val="16"/>
                <w:szCs w:val="16"/>
              </w:rPr>
              <w:t>16,920</w:t>
            </w:r>
          </w:p>
        </w:tc>
        <w:tc>
          <w:tcPr>
            <w:tcW w:w="348" w:type="pct"/>
            <w:vAlign w:val="bottom"/>
          </w:tcPr>
          <w:p w14:paraId="79AA2BD8" w14:textId="3969709A" w:rsidR="00224102" w:rsidRPr="00991C34" w:rsidRDefault="00224102" w:rsidP="00224102">
            <w:pPr>
              <w:jc w:val="right"/>
              <w:rPr>
                <w:sz w:val="16"/>
                <w:szCs w:val="16"/>
              </w:rPr>
            </w:pPr>
            <w:r w:rsidRPr="00991C34">
              <w:rPr>
                <w:sz w:val="16"/>
                <w:szCs w:val="16"/>
              </w:rPr>
              <w:t>8,844</w:t>
            </w:r>
          </w:p>
        </w:tc>
        <w:tc>
          <w:tcPr>
            <w:tcW w:w="348" w:type="pct"/>
            <w:vAlign w:val="bottom"/>
          </w:tcPr>
          <w:p w14:paraId="1060F8E1" w14:textId="444FC2B0" w:rsidR="00224102" w:rsidRPr="00991C34" w:rsidRDefault="00224102" w:rsidP="00224102">
            <w:pPr>
              <w:jc w:val="right"/>
              <w:rPr>
                <w:sz w:val="16"/>
                <w:szCs w:val="16"/>
              </w:rPr>
            </w:pPr>
            <w:r w:rsidRPr="00991C34">
              <w:rPr>
                <w:sz w:val="16"/>
                <w:szCs w:val="16"/>
              </w:rPr>
              <w:t>8,776</w:t>
            </w:r>
          </w:p>
        </w:tc>
        <w:tc>
          <w:tcPr>
            <w:tcW w:w="304" w:type="pct"/>
            <w:vAlign w:val="bottom"/>
          </w:tcPr>
          <w:p w14:paraId="73388981" w14:textId="0DF60841" w:rsidR="00224102" w:rsidRPr="00991C34" w:rsidRDefault="00224102" w:rsidP="00224102">
            <w:pPr>
              <w:jc w:val="right"/>
              <w:rPr>
                <w:sz w:val="16"/>
                <w:szCs w:val="16"/>
              </w:rPr>
            </w:pPr>
            <w:r w:rsidRPr="00991C34">
              <w:rPr>
                <w:sz w:val="16"/>
                <w:szCs w:val="16"/>
              </w:rPr>
              <w:t>4,746</w:t>
            </w:r>
          </w:p>
        </w:tc>
        <w:tc>
          <w:tcPr>
            <w:tcW w:w="302" w:type="pct"/>
            <w:vAlign w:val="bottom"/>
          </w:tcPr>
          <w:p w14:paraId="5B001BCA" w14:textId="5787CABE" w:rsidR="00224102" w:rsidRPr="00991C34" w:rsidRDefault="00224102" w:rsidP="00224102">
            <w:pPr>
              <w:jc w:val="right"/>
              <w:rPr>
                <w:sz w:val="16"/>
                <w:szCs w:val="16"/>
              </w:rPr>
            </w:pPr>
            <w:r w:rsidRPr="00991C34">
              <w:rPr>
                <w:sz w:val="16"/>
                <w:szCs w:val="16"/>
              </w:rPr>
              <w:t>-</w:t>
            </w:r>
          </w:p>
        </w:tc>
        <w:tc>
          <w:tcPr>
            <w:tcW w:w="304" w:type="pct"/>
            <w:vAlign w:val="bottom"/>
          </w:tcPr>
          <w:p w14:paraId="2E36ED06" w14:textId="4F2A0545" w:rsidR="00224102" w:rsidRPr="00991C34" w:rsidRDefault="00224102" w:rsidP="00224102">
            <w:pPr>
              <w:jc w:val="right"/>
              <w:rPr>
                <w:sz w:val="16"/>
                <w:szCs w:val="16"/>
              </w:rPr>
            </w:pPr>
            <w:r w:rsidRPr="00991C34">
              <w:rPr>
                <w:sz w:val="16"/>
                <w:szCs w:val="16"/>
              </w:rPr>
              <w:t>-</w:t>
            </w:r>
          </w:p>
        </w:tc>
        <w:tc>
          <w:tcPr>
            <w:tcW w:w="348" w:type="pct"/>
            <w:vAlign w:val="bottom"/>
          </w:tcPr>
          <w:p w14:paraId="0C2FD474" w14:textId="4D9E851D" w:rsidR="00224102" w:rsidRPr="00991C34" w:rsidRDefault="00224102" w:rsidP="00224102">
            <w:pPr>
              <w:jc w:val="right"/>
              <w:rPr>
                <w:sz w:val="16"/>
                <w:szCs w:val="16"/>
              </w:rPr>
            </w:pPr>
            <w:r w:rsidRPr="00991C34">
              <w:rPr>
                <w:sz w:val="16"/>
                <w:szCs w:val="16"/>
              </w:rPr>
              <w:t>39,576</w:t>
            </w:r>
          </w:p>
        </w:tc>
        <w:tc>
          <w:tcPr>
            <w:tcW w:w="348" w:type="pct"/>
            <w:vAlign w:val="bottom"/>
          </w:tcPr>
          <w:p w14:paraId="21F60E61" w14:textId="35450AD4" w:rsidR="00224102" w:rsidRPr="00991C34" w:rsidRDefault="00224102" w:rsidP="00224102">
            <w:pPr>
              <w:jc w:val="right"/>
              <w:rPr>
                <w:sz w:val="16"/>
                <w:szCs w:val="16"/>
              </w:rPr>
            </w:pPr>
            <w:r w:rsidRPr="00991C34">
              <w:rPr>
                <w:sz w:val="16"/>
                <w:szCs w:val="16"/>
              </w:rPr>
              <w:t>455</w:t>
            </w:r>
          </w:p>
        </w:tc>
        <w:tc>
          <w:tcPr>
            <w:tcW w:w="377" w:type="pct"/>
            <w:vAlign w:val="bottom"/>
          </w:tcPr>
          <w:p w14:paraId="77926777" w14:textId="5A570FC6" w:rsidR="00224102" w:rsidRPr="00991C34" w:rsidRDefault="00224102" w:rsidP="00224102">
            <w:pPr>
              <w:jc w:val="right"/>
              <w:rPr>
                <w:sz w:val="16"/>
                <w:szCs w:val="16"/>
              </w:rPr>
            </w:pPr>
            <w:r w:rsidRPr="00991C34">
              <w:rPr>
                <w:sz w:val="16"/>
                <w:szCs w:val="16"/>
              </w:rPr>
              <w:t>40,031</w:t>
            </w:r>
          </w:p>
        </w:tc>
      </w:tr>
      <w:tr w:rsidR="00224102" w:rsidRPr="00881830" w14:paraId="4E51770F" w14:textId="77777777" w:rsidTr="007C1215">
        <w:tc>
          <w:tcPr>
            <w:tcW w:w="1031" w:type="pct"/>
            <w:vAlign w:val="bottom"/>
          </w:tcPr>
          <w:p w14:paraId="5A822D58" w14:textId="77777777" w:rsidR="00224102" w:rsidRPr="00881830" w:rsidRDefault="00224102" w:rsidP="00224102">
            <w:pPr>
              <w:tabs>
                <w:tab w:val="left" w:pos="0"/>
              </w:tabs>
              <w:spacing w:line="216" w:lineRule="auto"/>
              <w:rPr>
                <w:b/>
                <w:snapToGrid w:val="0"/>
                <w:sz w:val="16"/>
                <w:szCs w:val="16"/>
                <w:lang w:val="tr-TR"/>
              </w:rPr>
            </w:pPr>
            <w:r w:rsidRPr="00881830">
              <w:rPr>
                <w:b/>
                <w:snapToGrid w:val="0"/>
                <w:sz w:val="16"/>
                <w:szCs w:val="16"/>
                <w:lang w:val="tr-TR"/>
              </w:rPr>
              <w:t>Other</w:t>
            </w:r>
          </w:p>
        </w:tc>
        <w:tc>
          <w:tcPr>
            <w:tcW w:w="348" w:type="pct"/>
            <w:vAlign w:val="bottom"/>
          </w:tcPr>
          <w:p w14:paraId="4F127936" w14:textId="31213436" w:rsidR="00224102" w:rsidRPr="00991C34" w:rsidRDefault="00224102" w:rsidP="00224102">
            <w:pPr>
              <w:jc w:val="right"/>
              <w:rPr>
                <w:b/>
                <w:sz w:val="16"/>
                <w:szCs w:val="16"/>
              </w:rPr>
            </w:pPr>
            <w:r w:rsidRPr="00991C34">
              <w:rPr>
                <w:b/>
                <w:sz w:val="16"/>
                <w:szCs w:val="16"/>
              </w:rPr>
              <w:t>2,144,694</w:t>
            </w:r>
          </w:p>
        </w:tc>
        <w:tc>
          <w:tcPr>
            <w:tcW w:w="256" w:type="pct"/>
            <w:vAlign w:val="bottom"/>
          </w:tcPr>
          <w:p w14:paraId="12C0EA35" w14:textId="6D4C79D3" w:rsidR="00224102" w:rsidRPr="00991C34" w:rsidRDefault="00224102" w:rsidP="00224102">
            <w:pPr>
              <w:jc w:val="right"/>
              <w:rPr>
                <w:b/>
                <w:sz w:val="16"/>
                <w:szCs w:val="16"/>
              </w:rPr>
            </w:pPr>
            <w:r w:rsidRPr="00991C34">
              <w:rPr>
                <w:b/>
                <w:sz w:val="16"/>
                <w:szCs w:val="16"/>
              </w:rPr>
              <w:t>540</w:t>
            </w:r>
          </w:p>
        </w:tc>
        <w:tc>
          <w:tcPr>
            <w:tcW w:w="339" w:type="pct"/>
            <w:vAlign w:val="bottom"/>
          </w:tcPr>
          <w:p w14:paraId="0DE5A1B6" w14:textId="24098ED5" w:rsidR="00224102" w:rsidRPr="00991C34" w:rsidRDefault="00224102" w:rsidP="00224102">
            <w:pPr>
              <w:jc w:val="right"/>
              <w:rPr>
                <w:b/>
                <w:sz w:val="16"/>
                <w:szCs w:val="16"/>
              </w:rPr>
            </w:pPr>
            <w:r w:rsidRPr="00991C34">
              <w:rPr>
                <w:b/>
                <w:sz w:val="16"/>
                <w:szCs w:val="16"/>
              </w:rPr>
              <w:t>-</w:t>
            </w:r>
          </w:p>
        </w:tc>
        <w:tc>
          <w:tcPr>
            <w:tcW w:w="348" w:type="pct"/>
            <w:vAlign w:val="bottom"/>
          </w:tcPr>
          <w:p w14:paraId="3D798E45" w14:textId="67698D7E" w:rsidR="00224102" w:rsidRPr="00991C34" w:rsidRDefault="00224102" w:rsidP="00224102">
            <w:pPr>
              <w:jc w:val="right"/>
              <w:rPr>
                <w:b/>
                <w:sz w:val="16"/>
                <w:szCs w:val="16"/>
              </w:rPr>
            </w:pPr>
            <w:r w:rsidRPr="00991C34">
              <w:rPr>
                <w:b/>
                <w:sz w:val="16"/>
                <w:szCs w:val="16"/>
              </w:rPr>
              <w:t>621,237</w:t>
            </w:r>
          </w:p>
        </w:tc>
        <w:tc>
          <w:tcPr>
            <w:tcW w:w="348" w:type="pct"/>
            <w:vAlign w:val="bottom"/>
          </w:tcPr>
          <w:p w14:paraId="7B53CE05" w14:textId="00E9B43B" w:rsidR="00224102" w:rsidRPr="00991C34" w:rsidRDefault="00224102" w:rsidP="00224102">
            <w:pPr>
              <w:jc w:val="right"/>
              <w:rPr>
                <w:b/>
                <w:sz w:val="16"/>
                <w:szCs w:val="16"/>
              </w:rPr>
            </w:pPr>
            <w:r w:rsidRPr="00991C34">
              <w:rPr>
                <w:b/>
                <w:sz w:val="16"/>
                <w:szCs w:val="16"/>
              </w:rPr>
              <w:t>292,133</w:t>
            </w:r>
          </w:p>
        </w:tc>
        <w:tc>
          <w:tcPr>
            <w:tcW w:w="348" w:type="pct"/>
            <w:vAlign w:val="bottom"/>
          </w:tcPr>
          <w:p w14:paraId="591397AA" w14:textId="33FABA22" w:rsidR="00224102" w:rsidRPr="00991C34" w:rsidRDefault="00224102" w:rsidP="00224102">
            <w:pPr>
              <w:jc w:val="right"/>
              <w:rPr>
                <w:b/>
                <w:sz w:val="16"/>
                <w:szCs w:val="16"/>
              </w:rPr>
            </w:pPr>
            <w:r w:rsidRPr="00991C34">
              <w:rPr>
                <w:b/>
                <w:sz w:val="16"/>
                <w:szCs w:val="16"/>
              </w:rPr>
              <w:t>165,409</w:t>
            </w:r>
          </w:p>
        </w:tc>
        <w:tc>
          <w:tcPr>
            <w:tcW w:w="304" w:type="pct"/>
            <w:vAlign w:val="bottom"/>
          </w:tcPr>
          <w:p w14:paraId="5FAE4CB7" w14:textId="4CD9C037" w:rsidR="00224102" w:rsidRPr="00991C34" w:rsidRDefault="00224102" w:rsidP="00224102">
            <w:pPr>
              <w:jc w:val="right"/>
              <w:rPr>
                <w:b/>
                <w:sz w:val="16"/>
                <w:szCs w:val="16"/>
              </w:rPr>
            </w:pPr>
            <w:r w:rsidRPr="00991C34">
              <w:rPr>
                <w:b/>
                <w:sz w:val="16"/>
                <w:szCs w:val="16"/>
              </w:rPr>
              <w:t>19,830</w:t>
            </w:r>
          </w:p>
        </w:tc>
        <w:tc>
          <w:tcPr>
            <w:tcW w:w="302" w:type="pct"/>
            <w:vAlign w:val="bottom"/>
          </w:tcPr>
          <w:p w14:paraId="3CC20144" w14:textId="6FB6354D" w:rsidR="00224102" w:rsidRPr="00991C34" w:rsidRDefault="00224102" w:rsidP="00224102">
            <w:pPr>
              <w:jc w:val="right"/>
              <w:rPr>
                <w:b/>
                <w:sz w:val="16"/>
                <w:szCs w:val="16"/>
              </w:rPr>
            </w:pPr>
            <w:r w:rsidRPr="00991C34">
              <w:rPr>
                <w:b/>
                <w:sz w:val="16"/>
                <w:szCs w:val="16"/>
              </w:rPr>
              <w:t>83,365</w:t>
            </w:r>
          </w:p>
        </w:tc>
        <w:tc>
          <w:tcPr>
            <w:tcW w:w="304" w:type="pct"/>
            <w:vAlign w:val="bottom"/>
          </w:tcPr>
          <w:p w14:paraId="79B7600C" w14:textId="5B8DE768" w:rsidR="00224102" w:rsidRPr="00991C34" w:rsidRDefault="00224102" w:rsidP="00224102">
            <w:pPr>
              <w:jc w:val="right"/>
              <w:rPr>
                <w:b/>
                <w:sz w:val="16"/>
                <w:szCs w:val="16"/>
              </w:rPr>
            </w:pPr>
            <w:r w:rsidRPr="00991C34">
              <w:rPr>
                <w:b/>
                <w:sz w:val="16"/>
                <w:szCs w:val="16"/>
              </w:rPr>
              <w:t>366,957</w:t>
            </w:r>
          </w:p>
        </w:tc>
        <w:tc>
          <w:tcPr>
            <w:tcW w:w="348" w:type="pct"/>
            <w:vAlign w:val="bottom"/>
          </w:tcPr>
          <w:p w14:paraId="0AEC9E1B" w14:textId="2E01DF40" w:rsidR="00224102" w:rsidRPr="00991C34" w:rsidRDefault="00224102" w:rsidP="00224102">
            <w:pPr>
              <w:jc w:val="right"/>
              <w:rPr>
                <w:b/>
                <w:sz w:val="16"/>
                <w:szCs w:val="16"/>
              </w:rPr>
            </w:pPr>
            <w:r w:rsidRPr="00991C34">
              <w:rPr>
                <w:b/>
                <w:sz w:val="16"/>
                <w:szCs w:val="16"/>
              </w:rPr>
              <w:t>1,929,916</w:t>
            </w:r>
          </w:p>
        </w:tc>
        <w:tc>
          <w:tcPr>
            <w:tcW w:w="348" w:type="pct"/>
            <w:vAlign w:val="bottom"/>
          </w:tcPr>
          <w:p w14:paraId="327A1B18" w14:textId="2888AE7F" w:rsidR="00224102" w:rsidRPr="00991C34" w:rsidRDefault="00224102" w:rsidP="00224102">
            <w:pPr>
              <w:jc w:val="right"/>
              <w:rPr>
                <w:b/>
                <w:sz w:val="16"/>
                <w:szCs w:val="16"/>
              </w:rPr>
            </w:pPr>
            <w:r w:rsidRPr="00991C34">
              <w:rPr>
                <w:b/>
                <w:sz w:val="16"/>
                <w:szCs w:val="16"/>
              </w:rPr>
              <w:t>1,764,249</w:t>
            </w:r>
          </w:p>
        </w:tc>
        <w:tc>
          <w:tcPr>
            <w:tcW w:w="377" w:type="pct"/>
            <w:vAlign w:val="bottom"/>
          </w:tcPr>
          <w:p w14:paraId="116E44C8" w14:textId="3B44CDE9" w:rsidR="00224102" w:rsidRPr="00991C34" w:rsidRDefault="00224102" w:rsidP="00224102">
            <w:pPr>
              <w:jc w:val="right"/>
              <w:rPr>
                <w:b/>
                <w:sz w:val="16"/>
                <w:szCs w:val="16"/>
              </w:rPr>
            </w:pPr>
            <w:r w:rsidRPr="00991C34">
              <w:rPr>
                <w:b/>
                <w:sz w:val="16"/>
                <w:szCs w:val="16"/>
              </w:rPr>
              <w:t>3,694,165</w:t>
            </w:r>
          </w:p>
        </w:tc>
      </w:tr>
      <w:tr w:rsidR="00224102" w:rsidRPr="00881830" w14:paraId="75A9A40E" w14:textId="77777777" w:rsidTr="007C1215">
        <w:tc>
          <w:tcPr>
            <w:tcW w:w="1031" w:type="pct"/>
            <w:vAlign w:val="bottom"/>
          </w:tcPr>
          <w:p w14:paraId="26516274" w14:textId="77777777" w:rsidR="00224102" w:rsidRPr="00881830" w:rsidRDefault="00224102" w:rsidP="00224102">
            <w:pPr>
              <w:tabs>
                <w:tab w:val="left" w:pos="0"/>
              </w:tabs>
              <w:spacing w:line="216" w:lineRule="auto"/>
              <w:rPr>
                <w:b/>
                <w:snapToGrid w:val="0"/>
                <w:sz w:val="16"/>
                <w:szCs w:val="16"/>
                <w:lang w:val="tr-TR"/>
              </w:rPr>
            </w:pPr>
            <w:r w:rsidRPr="00881830">
              <w:rPr>
                <w:b/>
                <w:snapToGrid w:val="0"/>
                <w:sz w:val="16"/>
                <w:szCs w:val="16"/>
                <w:lang w:val="tr-TR"/>
              </w:rPr>
              <w:t>TOTAL</w:t>
            </w:r>
          </w:p>
        </w:tc>
        <w:tc>
          <w:tcPr>
            <w:tcW w:w="348" w:type="pct"/>
            <w:vAlign w:val="bottom"/>
          </w:tcPr>
          <w:p w14:paraId="1B3AB41D" w14:textId="5B3740F9" w:rsidR="00224102" w:rsidRPr="00991C34" w:rsidRDefault="00224102" w:rsidP="00224102">
            <w:pPr>
              <w:jc w:val="right"/>
              <w:rPr>
                <w:b/>
                <w:bCs/>
                <w:sz w:val="16"/>
                <w:szCs w:val="16"/>
              </w:rPr>
            </w:pPr>
            <w:r w:rsidRPr="00991C34">
              <w:rPr>
                <w:b/>
                <w:bCs/>
                <w:sz w:val="16"/>
                <w:szCs w:val="16"/>
              </w:rPr>
              <w:t>2,144,694</w:t>
            </w:r>
          </w:p>
        </w:tc>
        <w:tc>
          <w:tcPr>
            <w:tcW w:w="256" w:type="pct"/>
            <w:vAlign w:val="bottom"/>
          </w:tcPr>
          <w:p w14:paraId="361C8A50" w14:textId="1B730624" w:rsidR="00224102" w:rsidRPr="00991C34" w:rsidRDefault="00224102" w:rsidP="00224102">
            <w:pPr>
              <w:jc w:val="right"/>
              <w:rPr>
                <w:b/>
                <w:bCs/>
                <w:sz w:val="16"/>
                <w:szCs w:val="16"/>
              </w:rPr>
            </w:pPr>
            <w:r w:rsidRPr="00991C34">
              <w:rPr>
                <w:b/>
                <w:bCs/>
                <w:sz w:val="16"/>
                <w:szCs w:val="16"/>
              </w:rPr>
              <w:t>1,310</w:t>
            </w:r>
          </w:p>
        </w:tc>
        <w:tc>
          <w:tcPr>
            <w:tcW w:w="339" w:type="pct"/>
            <w:vAlign w:val="bottom"/>
          </w:tcPr>
          <w:p w14:paraId="7FF2E75D" w14:textId="13FF7BE1" w:rsidR="00224102" w:rsidRPr="00991C34" w:rsidRDefault="00224102" w:rsidP="00224102">
            <w:pPr>
              <w:jc w:val="right"/>
              <w:rPr>
                <w:b/>
                <w:bCs/>
                <w:sz w:val="16"/>
                <w:szCs w:val="16"/>
              </w:rPr>
            </w:pPr>
            <w:r w:rsidRPr="00991C34">
              <w:rPr>
                <w:b/>
                <w:bCs/>
                <w:sz w:val="16"/>
                <w:szCs w:val="16"/>
              </w:rPr>
              <w:t>1,887,922</w:t>
            </w:r>
          </w:p>
        </w:tc>
        <w:tc>
          <w:tcPr>
            <w:tcW w:w="348" w:type="pct"/>
            <w:vAlign w:val="bottom"/>
          </w:tcPr>
          <w:p w14:paraId="24A2E5DB" w14:textId="784E1E37" w:rsidR="00224102" w:rsidRPr="00991C34" w:rsidRDefault="00224102" w:rsidP="00224102">
            <w:pPr>
              <w:jc w:val="right"/>
              <w:rPr>
                <w:b/>
                <w:bCs/>
                <w:sz w:val="16"/>
                <w:szCs w:val="16"/>
              </w:rPr>
            </w:pPr>
            <w:r w:rsidRPr="00991C34">
              <w:rPr>
                <w:b/>
                <w:bCs/>
                <w:sz w:val="16"/>
                <w:szCs w:val="16"/>
              </w:rPr>
              <w:t>7,187,446</w:t>
            </w:r>
          </w:p>
        </w:tc>
        <w:tc>
          <w:tcPr>
            <w:tcW w:w="348" w:type="pct"/>
            <w:vAlign w:val="bottom"/>
          </w:tcPr>
          <w:p w14:paraId="1858BAD5" w14:textId="19EB8E4F" w:rsidR="00224102" w:rsidRPr="00991C34" w:rsidRDefault="00224102" w:rsidP="00224102">
            <w:pPr>
              <w:jc w:val="right"/>
              <w:rPr>
                <w:b/>
                <w:bCs/>
                <w:sz w:val="16"/>
                <w:szCs w:val="16"/>
              </w:rPr>
            </w:pPr>
            <w:r w:rsidRPr="00991C34">
              <w:rPr>
                <w:b/>
                <w:bCs/>
                <w:sz w:val="16"/>
                <w:szCs w:val="16"/>
              </w:rPr>
              <w:t>1,858,594</w:t>
            </w:r>
          </w:p>
        </w:tc>
        <w:tc>
          <w:tcPr>
            <w:tcW w:w="348" w:type="pct"/>
            <w:vAlign w:val="bottom"/>
          </w:tcPr>
          <w:p w14:paraId="1F0440AB" w14:textId="4F10A42D" w:rsidR="00224102" w:rsidRPr="00991C34" w:rsidRDefault="00224102" w:rsidP="00224102">
            <w:pPr>
              <w:jc w:val="right"/>
              <w:rPr>
                <w:b/>
                <w:bCs/>
                <w:sz w:val="16"/>
                <w:szCs w:val="16"/>
              </w:rPr>
            </w:pPr>
            <w:r w:rsidRPr="00991C34">
              <w:rPr>
                <w:b/>
                <w:bCs/>
                <w:sz w:val="16"/>
                <w:szCs w:val="16"/>
              </w:rPr>
              <w:t>2,465,374</w:t>
            </w:r>
          </w:p>
        </w:tc>
        <w:tc>
          <w:tcPr>
            <w:tcW w:w="304" w:type="pct"/>
            <w:vAlign w:val="bottom"/>
          </w:tcPr>
          <w:p w14:paraId="013197F2" w14:textId="16341917" w:rsidR="00224102" w:rsidRPr="00991C34" w:rsidRDefault="00224102" w:rsidP="00224102">
            <w:pPr>
              <w:jc w:val="right"/>
              <w:rPr>
                <w:b/>
                <w:bCs/>
                <w:sz w:val="16"/>
                <w:szCs w:val="16"/>
              </w:rPr>
            </w:pPr>
            <w:r w:rsidRPr="00991C34">
              <w:rPr>
                <w:b/>
                <w:bCs/>
                <w:sz w:val="16"/>
                <w:szCs w:val="16"/>
              </w:rPr>
              <w:t>236,253</w:t>
            </w:r>
          </w:p>
        </w:tc>
        <w:tc>
          <w:tcPr>
            <w:tcW w:w="302" w:type="pct"/>
            <w:vAlign w:val="bottom"/>
          </w:tcPr>
          <w:p w14:paraId="669EDEC0" w14:textId="643AB426" w:rsidR="00224102" w:rsidRPr="00991C34" w:rsidRDefault="00224102" w:rsidP="00224102">
            <w:pPr>
              <w:jc w:val="right"/>
              <w:rPr>
                <w:b/>
                <w:bCs/>
                <w:sz w:val="16"/>
                <w:szCs w:val="16"/>
              </w:rPr>
            </w:pPr>
            <w:r w:rsidRPr="00991C34">
              <w:rPr>
                <w:b/>
                <w:bCs/>
                <w:sz w:val="16"/>
                <w:szCs w:val="16"/>
              </w:rPr>
              <w:t>83,365</w:t>
            </w:r>
          </w:p>
        </w:tc>
        <w:tc>
          <w:tcPr>
            <w:tcW w:w="304" w:type="pct"/>
            <w:vAlign w:val="bottom"/>
          </w:tcPr>
          <w:p w14:paraId="77D462A9" w14:textId="0A33F3F0" w:rsidR="00224102" w:rsidRPr="00991C34" w:rsidRDefault="00224102" w:rsidP="00224102">
            <w:pPr>
              <w:jc w:val="right"/>
              <w:rPr>
                <w:b/>
                <w:bCs/>
                <w:sz w:val="16"/>
                <w:szCs w:val="16"/>
              </w:rPr>
            </w:pPr>
            <w:r w:rsidRPr="00991C34">
              <w:rPr>
                <w:b/>
                <w:bCs/>
                <w:sz w:val="16"/>
                <w:szCs w:val="16"/>
              </w:rPr>
              <w:t>366,957</w:t>
            </w:r>
          </w:p>
        </w:tc>
        <w:tc>
          <w:tcPr>
            <w:tcW w:w="348" w:type="pct"/>
            <w:vAlign w:val="bottom"/>
          </w:tcPr>
          <w:p w14:paraId="29D9DCD1" w14:textId="625A34BC" w:rsidR="00224102" w:rsidRPr="00991C34" w:rsidRDefault="00224102" w:rsidP="00224102">
            <w:pPr>
              <w:jc w:val="right"/>
              <w:rPr>
                <w:b/>
                <w:bCs/>
                <w:sz w:val="16"/>
                <w:szCs w:val="16"/>
              </w:rPr>
            </w:pPr>
            <w:r w:rsidRPr="00991C34">
              <w:rPr>
                <w:b/>
                <w:bCs/>
                <w:sz w:val="16"/>
                <w:szCs w:val="16"/>
              </w:rPr>
              <w:t>7,397,475</w:t>
            </w:r>
          </w:p>
        </w:tc>
        <w:tc>
          <w:tcPr>
            <w:tcW w:w="348" w:type="pct"/>
            <w:vAlign w:val="bottom"/>
          </w:tcPr>
          <w:p w14:paraId="25F8F54D" w14:textId="2F083BE3" w:rsidR="00224102" w:rsidRPr="00991C34" w:rsidRDefault="00224102" w:rsidP="00224102">
            <w:pPr>
              <w:jc w:val="right"/>
              <w:rPr>
                <w:b/>
                <w:bCs/>
                <w:sz w:val="16"/>
                <w:szCs w:val="16"/>
              </w:rPr>
            </w:pPr>
            <w:r w:rsidRPr="00991C34">
              <w:rPr>
                <w:b/>
                <w:bCs/>
                <w:sz w:val="16"/>
                <w:szCs w:val="16"/>
              </w:rPr>
              <w:t>8,834,440</w:t>
            </w:r>
          </w:p>
        </w:tc>
        <w:tc>
          <w:tcPr>
            <w:tcW w:w="377" w:type="pct"/>
            <w:vAlign w:val="bottom"/>
          </w:tcPr>
          <w:p w14:paraId="5AE7475D" w14:textId="720DA990" w:rsidR="00224102" w:rsidRPr="00991C34" w:rsidRDefault="00224102" w:rsidP="00224102">
            <w:pPr>
              <w:jc w:val="right"/>
              <w:rPr>
                <w:b/>
                <w:bCs/>
                <w:sz w:val="16"/>
                <w:szCs w:val="16"/>
              </w:rPr>
            </w:pPr>
            <w:r w:rsidRPr="00991C34">
              <w:rPr>
                <w:b/>
                <w:bCs/>
                <w:sz w:val="16"/>
                <w:szCs w:val="16"/>
              </w:rPr>
              <w:t>16,231,915</w:t>
            </w:r>
          </w:p>
        </w:tc>
      </w:tr>
    </w:tbl>
    <w:p w14:paraId="0807B529" w14:textId="1C1177DD" w:rsidR="00D55107" w:rsidRPr="00B30C53" w:rsidRDefault="00D55107" w:rsidP="00390114">
      <w:pPr>
        <w:pStyle w:val="Default"/>
        <w:spacing w:before="60" w:after="60"/>
        <w:ind w:left="142" w:hanging="254"/>
        <w:rPr>
          <w:sz w:val="16"/>
          <w:szCs w:val="16"/>
          <w:lang w:val="en-US" w:eastAsia="en-US"/>
        </w:rPr>
      </w:pPr>
      <w:r w:rsidRPr="00B30C53">
        <w:rPr>
          <w:sz w:val="16"/>
          <w:szCs w:val="16"/>
          <w:lang w:val="en-US" w:eastAsia="en-US"/>
        </w:rPr>
        <w:t xml:space="preserve">    </w:t>
      </w:r>
      <w:r w:rsidR="00B30C53" w:rsidRPr="00B30C53">
        <w:rPr>
          <w:sz w:val="16"/>
          <w:szCs w:val="16"/>
          <w:lang w:val="en-US" w:eastAsia="en-US"/>
        </w:rPr>
        <w:t xml:space="preserve">(*) </w:t>
      </w:r>
      <w:r w:rsidRPr="00B30C53">
        <w:rPr>
          <w:sz w:val="16"/>
          <w:szCs w:val="16"/>
          <w:lang w:val="en-US" w:eastAsia="en-US"/>
        </w:rPr>
        <w:t>Risk categories in the Communiqué on Measurement and Assessment of Capital Adequacy of Banks.</w:t>
      </w:r>
      <w:r w:rsidR="00980409" w:rsidRPr="00B30C53">
        <w:rPr>
          <w:sz w:val="16"/>
          <w:szCs w:val="16"/>
          <w:lang w:val="en-US" w:eastAsia="en-US"/>
        </w:rPr>
        <w:tab/>
      </w:r>
    </w:p>
    <w:p w14:paraId="2ABD93FA" w14:textId="77777777" w:rsidR="00D55107" w:rsidRPr="00B30C53" w:rsidRDefault="00D55107" w:rsidP="00390114">
      <w:pPr>
        <w:pStyle w:val="BodyTextIndent"/>
        <w:numPr>
          <w:ilvl w:val="0"/>
          <w:numId w:val="14"/>
        </w:numPr>
        <w:spacing w:after="0"/>
        <w:ind w:left="284" w:hanging="254"/>
        <w:jc w:val="both"/>
        <w:rPr>
          <w:color w:val="000000"/>
          <w:sz w:val="16"/>
          <w:szCs w:val="16"/>
        </w:rPr>
      </w:pPr>
      <w:r w:rsidRPr="00CB145E">
        <w:rPr>
          <w:color w:val="000000"/>
          <w:sz w:val="16"/>
          <w:szCs w:val="16"/>
        </w:rPr>
        <w:t>Contingent and Non-Contingent Receivables from Central Governments or Central Banks</w:t>
      </w:r>
      <w:r w:rsidRPr="00B30C53" w:rsidDel="006D7232">
        <w:rPr>
          <w:color w:val="000000"/>
          <w:sz w:val="16"/>
          <w:szCs w:val="16"/>
        </w:rPr>
        <w:t xml:space="preserve"> </w:t>
      </w:r>
    </w:p>
    <w:p w14:paraId="45E2AC7F" w14:textId="77777777" w:rsidR="00D55107" w:rsidRPr="00B30C53" w:rsidRDefault="00D55107" w:rsidP="00390114">
      <w:pPr>
        <w:pStyle w:val="ListParagraph"/>
        <w:numPr>
          <w:ilvl w:val="0"/>
          <w:numId w:val="14"/>
        </w:numPr>
        <w:spacing w:line="216" w:lineRule="auto"/>
        <w:ind w:left="284" w:hanging="254"/>
        <w:outlineLvl w:val="0"/>
        <w:rPr>
          <w:color w:val="000000"/>
          <w:sz w:val="16"/>
          <w:szCs w:val="16"/>
        </w:rPr>
      </w:pPr>
      <w:r w:rsidRPr="00960D54">
        <w:rPr>
          <w:color w:val="000000"/>
          <w:sz w:val="16"/>
          <w:szCs w:val="16"/>
        </w:rPr>
        <w:t>Contingent and Non-Contingent Receivables from Administrative Units and Non-Commercial Enterprises</w:t>
      </w:r>
    </w:p>
    <w:p w14:paraId="24005357" w14:textId="77777777" w:rsidR="00D55107" w:rsidRPr="00B30C53" w:rsidRDefault="00D55107" w:rsidP="00390114">
      <w:pPr>
        <w:pStyle w:val="BodyTextIndent"/>
        <w:numPr>
          <w:ilvl w:val="0"/>
          <w:numId w:val="14"/>
        </w:numPr>
        <w:spacing w:after="0"/>
        <w:ind w:left="284" w:hanging="254"/>
        <w:jc w:val="both"/>
        <w:rPr>
          <w:color w:val="000000"/>
          <w:sz w:val="16"/>
          <w:szCs w:val="16"/>
        </w:rPr>
      </w:pPr>
      <w:r w:rsidRPr="00960D54">
        <w:rPr>
          <w:color w:val="000000"/>
          <w:sz w:val="16"/>
          <w:szCs w:val="16"/>
        </w:rPr>
        <w:t>Contingent and Non-Contingent Receivables from Banks and Intermediaries</w:t>
      </w:r>
    </w:p>
    <w:p w14:paraId="3B89E3DB" w14:textId="77777777" w:rsidR="00D55107" w:rsidRPr="00B30C53" w:rsidRDefault="00D55107" w:rsidP="00390114">
      <w:pPr>
        <w:pStyle w:val="BodyTextIndent"/>
        <w:numPr>
          <w:ilvl w:val="0"/>
          <w:numId w:val="14"/>
        </w:numPr>
        <w:spacing w:after="0"/>
        <w:ind w:left="284" w:hanging="254"/>
        <w:jc w:val="both"/>
        <w:rPr>
          <w:color w:val="000000"/>
          <w:sz w:val="16"/>
          <w:szCs w:val="16"/>
        </w:rPr>
      </w:pPr>
      <w:r w:rsidRPr="00960D54">
        <w:rPr>
          <w:color w:val="000000"/>
          <w:sz w:val="16"/>
          <w:szCs w:val="16"/>
        </w:rPr>
        <w:t>Contingent and Non-Contingent Corporate Receivables</w:t>
      </w:r>
    </w:p>
    <w:p w14:paraId="33F72BB1" w14:textId="77777777" w:rsidR="00D55107" w:rsidRPr="00B30C53" w:rsidRDefault="00D55107" w:rsidP="00390114">
      <w:pPr>
        <w:pStyle w:val="BodyTextIndent"/>
        <w:numPr>
          <w:ilvl w:val="0"/>
          <w:numId w:val="14"/>
        </w:numPr>
        <w:spacing w:after="0"/>
        <w:ind w:left="284" w:hanging="254"/>
        <w:jc w:val="both"/>
        <w:rPr>
          <w:color w:val="000000"/>
          <w:sz w:val="16"/>
          <w:szCs w:val="16"/>
        </w:rPr>
      </w:pPr>
      <w:r w:rsidRPr="00960D54">
        <w:rPr>
          <w:color w:val="000000"/>
          <w:sz w:val="16"/>
          <w:szCs w:val="16"/>
        </w:rPr>
        <w:t xml:space="preserve">Contingent and Non-Contingent Retail Receivables </w:t>
      </w:r>
    </w:p>
    <w:p w14:paraId="2C53E4B1" w14:textId="77777777" w:rsidR="00D55107" w:rsidRPr="00B30C53" w:rsidRDefault="00D55107" w:rsidP="00390114">
      <w:pPr>
        <w:pStyle w:val="BodyTextIndent"/>
        <w:numPr>
          <w:ilvl w:val="0"/>
          <w:numId w:val="14"/>
        </w:numPr>
        <w:spacing w:after="0"/>
        <w:ind w:left="284" w:hanging="254"/>
        <w:jc w:val="both"/>
        <w:rPr>
          <w:color w:val="000000"/>
          <w:sz w:val="16"/>
          <w:szCs w:val="16"/>
        </w:rPr>
      </w:pPr>
      <w:r w:rsidRPr="00960D54">
        <w:rPr>
          <w:color w:val="000000"/>
          <w:sz w:val="16"/>
          <w:szCs w:val="16"/>
        </w:rPr>
        <w:t xml:space="preserve">Contingent and Non-Contingent Receivables </w:t>
      </w:r>
      <w:r w:rsidRPr="00B30C53">
        <w:rPr>
          <w:color w:val="000000"/>
          <w:sz w:val="16"/>
          <w:szCs w:val="16"/>
        </w:rPr>
        <w:t>Secured by Residential Property</w:t>
      </w:r>
    </w:p>
    <w:p w14:paraId="29792767" w14:textId="77777777" w:rsidR="00D55107" w:rsidRPr="00B30C53" w:rsidRDefault="00D55107" w:rsidP="00390114">
      <w:pPr>
        <w:pStyle w:val="BodyTextIndent"/>
        <w:numPr>
          <w:ilvl w:val="0"/>
          <w:numId w:val="14"/>
        </w:numPr>
        <w:spacing w:after="0"/>
        <w:ind w:left="284" w:hanging="254"/>
        <w:jc w:val="both"/>
        <w:rPr>
          <w:color w:val="000000"/>
          <w:sz w:val="16"/>
          <w:szCs w:val="16"/>
        </w:rPr>
      </w:pPr>
      <w:r w:rsidRPr="00960D54">
        <w:rPr>
          <w:color w:val="000000"/>
          <w:sz w:val="16"/>
          <w:szCs w:val="16"/>
        </w:rPr>
        <w:t>Non-Performing Receivables</w:t>
      </w:r>
    </w:p>
    <w:p w14:paraId="27E970BD" w14:textId="77777777" w:rsidR="00D55107" w:rsidRPr="00B30C53" w:rsidRDefault="00D55107" w:rsidP="00390114">
      <w:pPr>
        <w:pStyle w:val="BodyTextIndent"/>
        <w:numPr>
          <w:ilvl w:val="0"/>
          <w:numId w:val="14"/>
        </w:numPr>
        <w:spacing w:after="0"/>
        <w:ind w:left="284" w:hanging="254"/>
        <w:jc w:val="both"/>
        <w:rPr>
          <w:color w:val="000000"/>
          <w:sz w:val="16"/>
          <w:szCs w:val="16"/>
        </w:rPr>
      </w:pPr>
      <w:r w:rsidRPr="00960D54">
        <w:rPr>
          <w:color w:val="000000"/>
          <w:sz w:val="16"/>
          <w:szCs w:val="16"/>
        </w:rPr>
        <w:t>Receivables identified as high risk by the Board</w:t>
      </w:r>
    </w:p>
    <w:p w14:paraId="4196BFBA" w14:textId="1B9F5EB4" w:rsidR="00D55107" w:rsidRPr="00B30C53" w:rsidRDefault="007C1215" w:rsidP="00390114">
      <w:pPr>
        <w:pStyle w:val="BodyTextIndent"/>
        <w:numPr>
          <w:ilvl w:val="0"/>
          <w:numId w:val="14"/>
        </w:numPr>
        <w:spacing w:after="0"/>
        <w:ind w:left="284" w:hanging="254"/>
        <w:jc w:val="both"/>
        <w:rPr>
          <w:color w:val="000000"/>
          <w:sz w:val="16"/>
          <w:szCs w:val="16"/>
        </w:rPr>
      </w:pPr>
      <w:r>
        <w:rPr>
          <w:color w:val="000000"/>
          <w:sz w:val="16"/>
          <w:szCs w:val="16"/>
        </w:rPr>
        <w:t>Other</w:t>
      </w:r>
    </w:p>
    <w:p w14:paraId="4F461DD5" w14:textId="77777777" w:rsidR="00D55107" w:rsidRPr="0099514C" w:rsidRDefault="00D55107" w:rsidP="00D55107">
      <w:pPr>
        <w:pStyle w:val="BodyTextIndent"/>
        <w:tabs>
          <w:tab w:val="left" w:pos="0"/>
          <w:tab w:val="left" w:pos="1276"/>
        </w:tabs>
        <w:spacing w:after="0"/>
        <w:ind w:left="0"/>
        <w:rPr>
          <w:sz w:val="14"/>
          <w:szCs w:val="14"/>
        </w:rPr>
      </w:pPr>
    </w:p>
    <w:p w14:paraId="4FF3575C" w14:textId="77777777" w:rsidR="00495F6E" w:rsidRDefault="00495F6E" w:rsidP="00C12D19"/>
    <w:p w14:paraId="456B3C3D" w14:textId="77777777" w:rsidR="00702219" w:rsidRDefault="00702219" w:rsidP="00C12D19">
      <w:pPr>
        <w:sectPr w:rsidR="00702219" w:rsidSect="00702219">
          <w:pgSz w:w="15840" w:h="12240" w:orient="landscape"/>
          <w:pgMar w:top="1418" w:right="1134" w:bottom="1474" w:left="709" w:header="720" w:footer="720" w:gutter="0"/>
          <w:cols w:space="720"/>
          <w:docGrid w:linePitch="360"/>
        </w:sectPr>
      </w:pPr>
    </w:p>
    <w:p w14:paraId="3DF2C581" w14:textId="24A2D98A" w:rsidR="00702219" w:rsidRPr="00604C75" w:rsidRDefault="00A041CD" w:rsidP="00490153">
      <w:pPr>
        <w:pStyle w:val="NormalIndent"/>
        <w:pageBreakBefore/>
        <w:widowControl w:val="0"/>
        <w:spacing w:before="120"/>
        <w:ind w:left="0"/>
        <w:jc w:val="both"/>
        <w:rPr>
          <w:b/>
          <w:sz w:val="22"/>
          <w:szCs w:val="22"/>
        </w:rPr>
      </w:pPr>
      <w:r w:rsidRPr="00604C75">
        <w:rPr>
          <w:b/>
        </w:rPr>
        <w:lastRenderedPageBreak/>
        <w:t>INFORMATION</w:t>
      </w:r>
      <w:r>
        <w:rPr>
          <w:b/>
          <w:bCs/>
          <w:noProof/>
          <w:lang w:val="tr-TR"/>
        </w:rPr>
        <w:t xml:space="preserve"> ON THE</w:t>
      </w:r>
      <w:r w:rsidRPr="00604C75">
        <w:rPr>
          <w:b/>
          <w:bCs/>
          <w:noProof/>
          <w:lang w:val="tr-TR"/>
        </w:rPr>
        <w:t xml:space="preserve"> FINANCIAL POSITION OF THE GROUP (Continued)</w:t>
      </w:r>
    </w:p>
    <w:p w14:paraId="16165570" w14:textId="77777777" w:rsidR="00702219" w:rsidRDefault="00702219" w:rsidP="00490153">
      <w:pPr>
        <w:pStyle w:val="Heading2"/>
        <w:tabs>
          <w:tab w:val="left" w:pos="0"/>
          <w:tab w:val="left" w:pos="426"/>
        </w:tabs>
        <w:rPr>
          <w:rFonts w:ascii="Times New Roman" w:hAnsi="Times New Roman"/>
          <w:bCs/>
          <w:noProof/>
          <w:sz w:val="20"/>
          <w:lang w:val="tr-TR"/>
        </w:rPr>
      </w:pPr>
      <w:r>
        <w:rPr>
          <w:rFonts w:ascii="Times New Roman" w:hAnsi="Times New Roman"/>
          <w:sz w:val="20"/>
        </w:rPr>
        <w:t xml:space="preserve">II.   </w:t>
      </w:r>
      <w:r w:rsidRPr="00604C75">
        <w:rPr>
          <w:rFonts w:ascii="Times New Roman" w:hAnsi="Times New Roman"/>
          <w:sz w:val="20"/>
        </w:rPr>
        <w:t>Explanations on Credit Risk</w:t>
      </w:r>
      <w:r w:rsidRPr="00604C75" w:rsidDel="00553D7B">
        <w:rPr>
          <w:rFonts w:ascii="Times New Roman" w:hAnsi="Times New Roman"/>
          <w:sz w:val="20"/>
        </w:rPr>
        <w:t xml:space="preserve"> </w:t>
      </w:r>
      <w:r w:rsidRPr="00332F58">
        <w:rPr>
          <w:rFonts w:ascii="Times New Roman" w:hAnsi="Times New Roman"/>
          <w:bCs/>
          <w:noProof/>
          <w:sz w:val="20"/>
          <w:lang w:val="tr-TR"/>
        </w:rPr>
        <w:t>(Continued)</w:t>
      </w:r>
    </w:p>
    <w:p w14:paraId="151EBE90" w14:textId="77777777" w:rsidR="00702219" w:rsidRPr="008C7454" w:rsidRDefault="00702219" w:rsidP="00490153">
      <w:pPr>
        <w:pStyle w:val="BodyTextIndent"/>
        <w:spacing w:before="120" w:after="0"/>
        <w:ind w:left="0"/>
        <w:jc w:val="both"/>
        <w:rPr>
          <w:b/>
          <w:sz w:val="20"/>
          <w:szCs w:val="20"/>
        </w:rPr>
      </w:pPr>
      <w:r>
        <w:rPr>
          <w:b/>
          <w:sz w:val="20"/>
          <w:szCs w:val="20"/>
        </w:rPr>
        <w:t xml:space="preserve">h.    </w:t>
      </w:r>
      <w:r w:rsidRPr="008C7454">
        <w:rPr>
          <w:b/>
          <w:sz w:val="20"/>
          <w:szCs w:val="20"/>
        </w:rPr>
        <w:t>Analysis of maturity-bearing exposures according to remaining maturities:</w:t>
      </w:r>
    </w:p>
    <w:p w14:paraId="578148B1" w14:textId="77777777" w:rsidR="00702219" w:rsidRPr="008C7454" w:rsidRDefault="00702219" w:rsidP="00702219">
      <w:pPr>
        <w:pStyle w:val="BodyTextIndent"/>
        <w:spacing w:after="0"/>
        <w:ind w:left="851"/>
        <w:jc w:val="both"/>
        <w:rPr>
          <w:b/>
          <w:sz w:val="20"/>
          <w:szCs w:val="20"/>
        </w:rPr>
      </w:pPr>
    </w:p>
    <w:tbl>
      <w:tblPr>
        <w:tblW w:w="9230"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4252"/>
        <w:gridCol w:w="993"/>
        <w:gridCol w:w="1134"/>
        <w:gridCol w:w="992"/>
        <w:gridCol w:w="923"/>
        <w:gridCol w:w="936"/>
      </w:tblGrid>
      <w:tr w:rsidR="00702219" w:rsidRPr="00923A53" w14:paraId="45B242C2" w14:textId="77777777" w:rsidTr="00702219">
        <w:tc>
          <w:tcPr>
            <w:tcW w:w="4252" w:type="dxa"/>
            <w:vMerge w:val="restart"/>
            <w:vAlign w:val="center"/>
          </w:tcPr>
          <w:p w14:paraId="15CE98DA" w14:textId="77777777" w:rsidR="00702219" w:rsidRPr="00923A53" w:rsidRDefault="00702219" w:rsidP="00400883">
            <w:pPr>
              <w:tabs>
                <w:tab w:val="left" w:pos="1620"/>
                <w:tab w:val="left" w:pos="6115"/>
                <w:tab w:val="left" w:pos="7375"/>
              </w:tabs>
              <w:rPr>
                <w:b/>
                <w:sz w:val="18"/>
                <w:szCs w:val="20"/>
              </w:rPr>
            </w:pPr>
            <w:r w:rsidRPr="007E5AA9">
              <w:rPr>
                <w:b/>
                <w:sz w:val="18"/>
                <w:szCs w:val="20"/>
              </w:rPr>
              <w:t>Risk classifications</w:t>
            </w:r>
          </w:p>
        </w:tc>
        <w:tc>
          <w:tcPr>
            <w:tcW w:w="4978" w:type="dxa"/>
            <w:gridSpan w:val="5"/>
          </w:tcPr>
          <w:p w14:paraId="31CAA1E9" w14:textId="77777777" w:rsidR="00702219" w:rsidRPr="00923A53" w:rsidRDefault="00702219" w:rsidP="00400883">
            <w:pPr>
              <w:tabs>
                <w:tab w:val="left" w:pos="1620"/>
                <w:tab w:val="left" w:pos="6115"/>
                <w:tab w:val="left" w:pos="7375"/>
              </w:tabs>
              <w:jc w:val="center"/>
              <w:rPr>
                <w:b/>
                <w:sz w:val="18"/>
                <w:szCs w:val="20"/>
              </w:rPr>
            </w:pPr>
            <w:r w:rsidRPr="007E5AA9">
              <w:rPr>
                <w:b/>
                <w:sz w:val="18"/>
                <w:szCs w:val="20"/>
              </w:rPr>
              <w:t>Term To Maturity</w:t>
            </w:r>
            <w:r>
              <w:rPr>
                <w:b/>
                <w:sz w:val="18"/>
                <w:szCs w:val="20"/>
              </w:rPr>
              <w:t xml:space="preserve"> (*)</w:t>
            </w:r>
          </w:p>
        </w:tc>
      </w:tr>
      <w:tr w:rsidR="00702219" w:rsidRPr="00923A53" w14:paraId="29CF4C46" w14:textId="77777777" w:rsidTr="00702219">
        <w:tc>
          <w:tcPr>
            <w:tcW w:w="4252" w:type="dxa"/>
            <w:vMerge/>
          </w:tcPr>
          <w:p w14:paraId="62B7E185" w14:textId="77777777" w:rsidR="00702219" w:rsidRPr="00923A53" w:rsidRDefault="00702219" w:rsidP="00400883">
            <w:pPr>
              <w:tabs>
                <w:tab w:val="left" w:pos="1620"/>
                <w:tab w:val="left" w:pos="6115"/>
                <w:tab w:val="left" w:pos="7375"/>
              </w:tabs>
              <w:jc w:val="both"/>
              <w:rPr>
                <w:b/>
                <w:sz w:val="18"/>
                <w:szCs w:val="20"/>
              </w:rPr>
            </w:pPr>
          </w:p>
        </w:tc>
        <w:tc>
          <w:tcPr>
            <w:tcW w:w="993" w:type="dxa"/>
            <w:vAlign w:val="bottom"/>
          </w:tcPr>
          <w:p w14:paraId="43538B60" w14:textId="77777777" w:rsidR="00702219" w:rsidRPr="00923A53" w:rsidRDefault="00702219" w:rsidP="00400883">
            <w:pPr>
              <w:tabs>
                <w:tab w:val="left" w:pos="6115"/>
                <w:tab w:val="left" w:pos="7375"/>
              </w:tabs>
              <w:ind w:left="-817" w:right="-73"/>
              <w:jc w:val="right"/>
              <w:rPr>
                <w:b/>
                <w:sz w:val="18"/>
                <w:szCs w:val="20"/>
              </w:rPr>
            </w:pPr>
            <w:r w:rsidRPr="00923A53">
              <w:rPr>
                <w:b/>
                <w:sz w:val="18"/>
                <w:szCs w:val="20"/>
              </w:rPr>
              <w:t>1</w:t>
            </w:r>
            <w:r>
              <w:rPr>
                <w:b/>
                <w:sz w:val="18"/>
                <w:szCs w:val="20"/>
              </w:rPr>
              <w:t xml:space="preserve"> Month</w:t>
            </w:r>
          </w:p>
        </w:tc>
        <w:tc>
          <w:tcPr>
            <w:tcW w:w="1134" w:type="dxa"/>
            <w:vAlign w:val="bottom"/>
          </w:tcPr>
          <w:p w14:paraId="7716B677" w14:textId="77777777" w:rsidR="00702219" w:rsidRPr="00923A53" w:rsidRDefault="00702219" w:rsidP="00400883">
            <w:pPr>
              <w:tabs>
                <w:tab w:val="left" w:pos="6115"/>
                <w:tab w:val="left" w:pos="7375"/>
              </w:tabs>
              <w:ind w:left="165" w:right="-74" w:firstLine="42"/>
              <w:jc w:val="right"/>
              <w:rPr>
                <w:b/>
                <w:sz w:val="18"/>
                <w:szCs w:val="20"/>
              </w:rPr>
            </w:pPr>
            <w:r w:rsidRPr="00923A53">
              <w:rPr>
                <w:b/>
                <w:sz w:val="18"/>
                <w:szCs w:val="20"/>
              </w:rPr>
              <w:t xml:space="preserve">1-3 </w:t>
            </w:r>
            <w:r>
              <w:rPr>
                <w:b/>
                <w:sz w:val="18"/>
                <w:szCs w:val="20"/>
              </w:rPr>
              <w:t>Month</w:t>
            </w:r>
          </w:p>
        </w:tc>
        <w:tc>
          <w:tcPr>
            <w:tcW w:w="992" w:type="dxa"/>
            <w:vAlign w:val="bottom"/>
          </w:tcPr>
          <w:p w14:paraId="3D62F635" w14:textId="77777777" w:rsidR="00702219" w:rsidRPr="00923A53" w:rsidRDefault="00702219" w:rsidP="00400883">
            <w:pPr>
              <w:tabs>
                <w:tab w:val="left" w:pos="6115"/>
                <w:tab w:val="left" w:pos="7375"/>
              </w:tabs>
              <w:ind w:right="-74"/>
              <w:jc w:val="right"/>
              <w:rPr>
                <w:b/>
                <w:sz w:val="18"/>
                <w:szCs w:val="20"/>
              </w:rPr>
            </w:pPr>
            <w:r w:rsidRPr="00923A53">
              <w:rPr>
                <w:b/>
                <w:sz w:val="18"/>
                <w:szCs w:val="20"/>
              </w:rPr>
              <w:t xml:space="preserve">3-6 </w:t>
            </w:r>
            <w:r>
              <w:rPr>
                <w:b/>
                <w:sz w:val="18"/>
                <w:szCs w:val="20"/>
              </w:rPr>
              <w:t>Month</w:t>
            </w:r>
          </w:p>
        </w:tc>
        <w:tc>
          <w:tcPr>
            <w:tcW w:w="923" w:type="dxa"/>
            <w:vAlign w:val="bottom"/>
          </w:tcPr>
          <w:p w14:paraId="188C1637" w14:textId="77777777" w:rsidR="00702219" w:rsidRPr="00923A53" w:rsidRDefault="00702219" w:rsidP="00400883">
            <w:pPr>
              <w:tabs>
                <w:tab w:val="left" w:pos="6115"/>
                <w:tab w:val="left" w:pos="7375"/>
              </w:tabs>
              <w:ind w:right="-74"/>
              <w:jc w:val="right"/>
              <w:rPr>
                <w:b/>
                <w:sz w:val="18"/>
                <w:szCs w:val="20"/>
              </w:rPr>
            </w:pPr>
            <w:r w:rsidRPr="00923A53">
              <w:rPr>
                <w:b/>
                <w:sz w:val="18"/>
                <w:szCs w:val="20"/>
              </w:rPr>
              <w:t xml:space="preserve">6-12 </w:t>
            </w:r>
            <w:r>
              <w:rPr>
                <w:b/>
                <w:sz w:val="18"/>
                <w:szCs w:val="20"/>
              </w:rPr>
              <w:t>Month</w:t>
            </w:r>
          </w:p>
        </w:tc>
        <w:tc>
          <w:tcPr>
            <w:tcW w:w="936" w:type="dxa"/>
            <w:vAlign w:val="bottom"/>
          </w:tcPr>
          <w:p w14:paraId="513CEFFB" w14:textId="77777777" w:rsidR="00702219" w:rsidRPr="00923A53" w:rsidRDefault="00702219" w:rsidP="00400883">
            <w:pPr>
              <w:tabs>
                <w:tab w:val="left" w:pos="6115"/>
                <w:tab w:val="left" w:pos="7375"/>
              </w:tabs>
              <w:ind w:right="-74"/>
              <w:jc w:val="right"/>
              <w:rPr>
                <w:b/>
                <w:sz w:val="18"/>
                <w:szCs w:val="20"/>
              </w:rPr>
            </w:pPr>
            <w:r>
              <w:rPr>
                <w:b/>
                <w:sz w:val="18"/>
                <w:szCs w:val="20"/>
              </w:rPr>
              <w:t xml:space="preserve">Over </w:t>
            </w:r>
            <w:r w:rsidRPr="00923A53">
              <w:rPr>
                <w:b/>
                <w:sz w:val="18"/>
                <w:szCs w:val="20"/>
              </w:rPr>
              <w:t xml:space="preserve">1 </w:t>
            </w:r>
            <w:r>
              <w:rPr>
                <w:b/>
                <w:sz w:val="18"/>
                <w:szCs w:val="20"/>
              </w:rPr>
              <w:t>year</w:t>
            </w:r>
            <w:r w:rsidRPr="00923A53">
              <w:rPr>
                <w:b/>
                <w:sz w:val="18"/>
                <w:szCs w:val="20"/>
              </w:rPr>
              <w:t xml:space="preserve"> </w:t>
            </w:r>
          </w:p>
        </w:tc>
      </w:tr>
      <w:tr w:rsidR="00224102" w:rsidRPr="00923A53" w14:paraId="0B37FE00" w14:textId="77777777" w:rsidTr="00702219">
        <w:tc>
          <w:tcPr>
            <w:tcW w:w="4252" w:type="dxa"/>
            <w:vAlign w:val="bottom"/>
          </w:tcPr>
          <w:p w14:paraId="10ADD5FA" w14:textId="77777777" w:rsidR="00224102" w:rsidRPr="0032757D" w:rsidRDefault="00224102" w:rsidP="00224102">
            <w:pPr>
              <w:rPr>
                <w:color w:val="000000"/>
                <w:sz w:val="18"/>
                <w:szCs w:val="18"/>
              </w:rPr>
            </w:pPr>
            <w:r w:rsidRPr="009F60D1">
              <w:rPr>
                <w:rFonts w:eastAsia="Arial Unicode MS"/>
                <w:color w:val="000000"/>
                <w:sz w:val="18"/>
                <w:szCs w:val="18"/>
              </w:rPr>
              <w:t>Contingent and Non-Contingent Receivables from Central Governments or Central Banks</w:t>
            </w:r>
            <w:r w:rsidRPr="009F60D1" w:rsidDel="00B277CC">
              <w:rPr>
                <w:sz w:val="18"/>
                <w:szCs w:val="18"/>
              </w:rPr>
              <w:t xml:space="preserve"> </w:t>
            </w:r>
          </w:p>
        </w:tc>
        <w:tc>
          <w:tcPr>
            <w:tcW w:w="993" w:type="dxa"/>
            <w:vAlign w:val="bottom"/>
          </w:tcPr>
          <w:p w14:paraId="77F6824D" w14:textId="5D4F3F4F" w:rsidR="00224102" w:rsidRPr="00350DD1" w:rsidRDefault="00224102" w:rsidP="00224102">
            <w:pPr>
              <w:jc w:val="right"/>
              <w:rPr>
                <w:color w:val="000000"/>
                <w:sz w:val="16"/>
                <w:szCs w:val="16"/>
              </w:rPr>
            </w:pPr>
            <w:r w:rsidRPr="00F604F2">
              <w:rPr>
                <w:color w:val="000000"/>
                <w:sz w:val="18"/>
                <w:szCs w:val="18"/>
              </w:rPr>
              <w:t>-</w:t>
            </w:r>
          </w:p>
        </w:tc>
        <w:tc>
          <w:tcPr>
            <w:tcW w:w="1134" w:type="dxa"/>
            <w:vAlign w:val="bottom"/>
          </w:tcPr>
          <w:p w14:paraId="46F1C3CD" w14:textId="657E8993"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43F164D1" w14:textId="7ABCBB1E"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1EB57B7F" w14:textId="41DCF4B1"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334F7B3F" w14:textId="358CF03D" w:rsidR="00224102" w:rsidRPr="00350DD1" w:rsidRDefault="00224102" w:rsidP="00224102">
            <w:pPr>
              <w:jc w:val="right"/>
              <w:rPr>
                <w:color w:val="000000"/>
                <w:sz w:val="16"/>
                <w:szCs w:val="16"/>
              </w:rPr>
            </w:pPr>
            <w:r w:rsidRPr="00F604F2">
              <w:rPr>
                <w:color w:val="000000"/>
                <w:sz w:val="18"/>
                <w:szCs w:val="18"/>
              </w:rPr>
              <w:t>667,072</w:t>
            </w:r>
          </w:p>
        </w:tc>
      </w:tr>
      <w:tr w:rsidR="00224102" w:rsidRPr="00923A53" w14:paraId="79A38F38" w14:textId="77777777" w:rsidTr="00702219">
        <w:tc>
          <w:tcPr>
            <w:tcW w:w="4252" w:type="dxa"/>
            <w:vAlign w:val="bottom"/>
          </w:tcPr>
          <w:p w14:paraId="7E17FEDE" w14:textId="0A8A86D7" w:rsidR="00224102" w:rsidRPr="0032757D" w:rsidRDefault="00224102" w:rsidP="00224102">
            <w:pPr>
              <w:rPr>
                <w:color w:val="000000"/>
                <w:sz w:val="18"/>
                <w:szCs w:val="18"/>
              </w:rPr>
            </w:pPr>
            <w:r w:rsidRPr="009F60D1">
              <w:rPr>
                <w:rFonts w:eastAsia="Arial Unicode MS"/>
                <w:color w:val="000000"/>
                <w:sz w:val="18"/>
                <w:szCs w:val="18"/>
              </w:rPr>
              <w:t xml:space="preserve">Contingent and Non-Contingent Receivables from </w:t>
            </w:r>
            <w:r>
              <w:rPr>
                <w:color w:val="000000"/>
                <w:sz w:val="18"/>
                <w:szCs w:val="18"/>
              </w:rPr>
              <w:t>R</w:t>
            </w:r>
            <w:r w:rsidRPr="009F60D1">
              <w:rPr>
                <w:color w:val="000000"/>
                <w:sz w:val="18"/>
                <w:szCs w:val="18"/>
              </w:rPr>
              <w:t xml:space="preserve">egional </w:t>
            </w:r>
            <w:r>
              <w:rPr>
                <w:color w:val="000000"/>
                <w:sz w:val="18"/>
                <w:szCs w:val="18"/>
              </w:rPr>
              <w:t>G</w:t>
            </w:r>
            <w:r w:rsidRPr="009F60D1">
              <w:rPr>
                <w:color w:val="000000"/>
                <w:sz w:val="18"/>
                <w:szCs w:val="18"/>
              </w:rPr>
              <w:t xml:space="preserve">overnments or </w:t>
            </w:r>
            <w:r>
              <w:rPr>
                <w:color w:val="000000"/>
                <w:sz w:val="18"/>
                <w:szCs w:val="18"/>
              </w:rPr>
              <w:t>L</w:t>
            </w:r>
            <w:r w:rsidRPr="009F60D1">
              <w:rPr>
                <w:color w:val="000000"/>
                <w:sz w:val="18"/>
                <w:szCs w:val="18"/>
              </w:rPr>
              <w:t xml:space="preserve">ocal </w:t>
            </w:r>
            <w:r>
              <w:rPr>
                <w:color w:val="000000"/>
                <w:sz w:val="18"/>
                <w:szCs w:val="18"/>
              </w:rPr>
              <w:t>A</w:t>
            </w:r>
            <w:r w:rsidRPr="009F60D1">
              <w:rPr>
                <w:color w:val="000000"/>
                <w:sz w:val="18"/>
                <w:szCs w:val="18"/>
              </w:rPr>
              <w:t>uthorities</w:t>
            </w:r>
          </w:p>
        </w:tc>
        <w:tc>
          <w:tcPr>
            <w:tcW w:w="993" w:type="dxa"/>
            <w:vAlign w:val="bottom"/>
          </w:tcPr>
          <w:p w14:paraId="799985AD" w14:textId="5E65A9DE" w:rsidR="00224102" w:rsidRPr="00350DD1" w:rsidRDefault="00224102" w:rsidP="00224102">
            <w:pPr>
              <w:jc w:val="right"/>
              <w:rPr>
                <w:color w:val="000000"/>
                <w:sz w:val="16"/>
                <w:szCs w:val="16"/>
              </w:rPr>
            </w:pPr>
            <w:r w:rsidRPr="00F604F2">
              <w:rPr>
                <w:color w:val="000000"/>
                <w:sz w:val="18"/>
                <w:szCs w:val="18"/>
              </w:rPr>
              <w:t>-</w:t>
            </w:r>
          </w:p>
        </w:tc>
        <w:tc>
          <w:tcPr>
            <w:tcW w:w="1134" w:type="dxa"/>
            <w:vAlign w:val="bottom"/>
          </w:tcPr>
          <w:p w14:paraId="11AA47F2" w14:textId="1A9CAE07"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4C96B966" w14:textId="5D8569CC"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4D535785" w14:textId="309EBA9F"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11515E83" w14:textId="08C0E385"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r>
      <w:tr w:rsidR="00224102" w:rsidRPr="00923A53" w14:paraId="30B27C06" w14:textId="77777777" w:rsidTr="00702219">
        <w:tc>
          <w:tcPr>
            <w:tcW w:w="4252" w:type="dxa"/>
            <w:vAlign w:val="bottom"/>
          </w:tcPr>
          <w:p w14:paraId="12BA4A10" w14:textId="04B54029" w:rsidR="00224102" w:rsidRPr="0032757D" w:rsidRDefault="00224102" w:rsidP="00224102">
            <w:pPr>
              <w:rPr>
                <w:color w:val="000000"/>
                <w:sz w:val="18"/>
                <w:szCs w:val="18"/>
              </w:rPr>
            </w:pPr>
            <w:r w:rsidRPr="009F60D1">
              <w:rPr>
                <w:sz w:val="18"/>
                <w:szCs w:val="18"/>
              </w:rPr>
              <w:t xml:space="preserve">Contingent and Non-Contingent Receivables from </w:t>
            </w:r>
            <w:r>
              <w:rPr>
                <w:sz w:val="18"/>
                <w:szCs w:val="18"/>
              </w:rPr>
              <w:t>A</w:t>
            </w:r>
            <w:r w:rsidRPr="009F60D1">
              <w:rPr>
                <w:sz w:val="18"/>
                <w:szCs w:val="18"/>
              </w:rPr>
              <w:t xml:space="preserve">dministrative </w:t>
            </w:r>
            <w:r>
              <w:rPr>
                <w:sz w:val="18"/>
                <w:szCs w:val="18"/>
              </w:rPr>
              <w:t>U</w:t>
            </w:r>
            <w:r w:rsidRPr="009F60D1">
              <w:rPr>
                <w:sz w:val="18"/>
                <w:szCs w:val="18"/>
              </w:rPr>
              <w:t xml:space="preserve">nits and </w:t>
            </w:r>
            <w:r>
              <w:rPr>
                <w:sz w:val="18"/>
                <w:szCs w:val="18"/>
              </w:rPr>
              <w:t>N</w:t>
            </w:r>
            <w:r w:rsidRPr="009F60D1">
              <w:rPr>
                <w:sz w:val="18"/>
                <w:szCs w:val="18"/>
              </w:rPr>
              <w:t xml:space="preserve">on-commercial </w:t>
            </w:r>
            <w:r>
              <w:rPr>
                <w:sz w:val="18"/>
                <w:szCs w:val="18"/>
              </w:rPr>
              <w:t>E</w:t>
            </w:r>
            <w:r w:rsidRPr="009F60D1">
              <w:rPr>
                <w:sz w:val="18"/>
                <w:szCs w:val="18"/>
              </w:rPr>
              <w:t>nterprises</w:t>
            </w:r>
            <w:r w:rsidRPr="009F60D1" w:rsidDel="00E42652">
              <w:rPr>
                <w:color w:val="000000"/>
                <w:sz w:val="18"/>
                <w:szCs w:val="18"/>
              </w:rPr>
              <w:t xml:space="preserve"> </w:t>
            </w:r>
          </w:p>
        </w:tc>
        <w:tc>
          <w:tcPr>
            <w:tcW w:w="993" w:type="dxa"/>
            <w:vAlign w:val="bottom"/>
          </w:tcPr>
          <w:p w14:paraId="0FB7FEE3" w14:textId="73DD9F6E" w:rsidR="00224102" w:rsidRPr="00350DD1" w:rsidRDefault="00224102" w:rsidP="00224102">
            <w:pPr>
              <w:jc w:val="right"/>
              <w:rPr>
                <w:color w:val="000000"/>
                <w:sz w:val="16"/>
                <w:szCs w:val="16"/>
              </w:rPr>
            </w:pPr>
            <w:r w:rsidRPr="00F604F2">
              <w:rPr>
                <w:color w:val="000000"/>
                <w:sz w:val="18"/>
                <w:szCs w:val="18"/>
              </w:rPr>
              <w:t>91</w:t>
            </w:r>
            <w:r>
              <w:rPr>
                <w:color w:val="000000"/>
                <w:sz w:val="18"/>
                <w:szCs w:val="18"/>
              </w:rPr>
              <w:t>0</w:t>
            </w:r>
          </w:p>
        </w:tc>
        <w:tc>
          <w:tcPr>
            <w:tcW w:w="1134" w:type="dxa"/>
            <w:vAlign w:val="bottom"/>
          </w:tcPr>
          <w:p w14:paraId="20BA1159" w14:textId="0C03921D"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1D3856BB" w14:textId="78D1D4EC"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1563FDC8" w14:textId="18EB9525"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380B9DD3" w14:textId="50539CA7" w:rsidR="00224102" w:rsidRPr="00350DD1" w:rsidRDefault="00224102" w:rsidP="00224102">
            <w:pPr>
              <w:jc w:val="right"/>
              <w:rPr>
                <w:color w:val="000000"/>
                <w:sz w:val="16"/>
                <w:szCs w:val="16"/>
              </w:rPr>
            </w:pPr>
            <w:r w:rsidRPr="00F604F2">
              <w:rPr>
                <w:color w:val="000000"/>
                <w:sz w:val="18"/>
                <w:szCs w:val="18"/>
              </w:rPr>
              <w:t>400</w:t>
            </w:r>
          </w:p>
        </w:tc>
      </w:tr>
      <w:tr w:rsidR="00224102" w:rsidRPr="00923A53" w14:paraId="65A51972" w14:textId="77777777" w:rsidTr="00702219">
        <w:tc>
          <w:tcPr>
            <w:tcW w:w="4252" w:type="dxa"/>
            <w:vAlign w:val="bottom"/>
          </w:tcPr>
          <w:p w14:paraId="4A4CB9E3" w14:textId="607B38E5" w:rsidR="00224102" w:rsidRPr="0032757D" w:rsidRDefault="00224102" w:rsidP="00224102">
            <w:pPr>
              <w:rPr>
                <w:color w:val="000000"/>
                <w:sz w:val="18"/>
                <w:szCs w:val="18"/>
              </w:rPr>
            </w:pPr>
            <w:r w:rsidRPr="0032757D">
              <w:rPr>
                <w:sz w:val="18"/>
                <w:szCs w:val="18"/>
              </w:rPr>
              <w:t xml:space="preserve">Contingent and Non-Contingent Receivables from </w:t>
            </w:r>
            <w:r>
              <w:rPr>
                <w:color w:val="000000"/>
                <w:sz w:val="18"/>
                <w:szCs w:val="18"/>
              </w:rPr>
              <w:t>M</w:t>
            </w:r>
            <w:r w:rsidRPr="009F60D1">
              <w:rPr>
                <w:color w:val="000000"/>
                <w:sz w:val="18"/>
                <w:szCs w:val="18"/>
              </w:rPr>
              <w:t xml:space="preserve">ultilateral </w:t>
            </w:r>
            <w:r>
              <w:rPr>
                <w:color w:val="000000"/>
                <w:sz w:val="18"/>
                <w:szCs w:val="18"/>
              </w:rPr>
              <w:t>D</w:t>
            </w:r>
            <w:r w:rsidRPr="009F60D1">
              <w:rPr>
                <w:color w:val="000000"/>
                <w:sz w:val="18"/>
                <w:szCs w:val="18"/>
              </w:rPr>
              <w:t xml:space="preserve">evelopment </w:t>
            </w:r>
            <w:r>
              <w:rPr>
                <w:color w:val="000000"/>
                <w:sz w:val="18"/>
                <w:szCs w:val="18"/>
              </w:rPr>
              <w:t>B</w:t>
            </w:r>
            <w:r w:rsidRPr="009F60D1">
              <w:rPr>
                <w:color w:val="000000"/>
                <w:sz w:val="18"/>
                <w:szCs w:val="18"/>
              </w:rPr>
              <w:t>anks</w:t>
            </w:r>
          </w:p>
        </w:tc>
        <w:tc>
          <w:tcPr>
            <w:tcW w:w="993" w:type="dxa"/>
            <w:vAlign w:val="bottom"/>
          </w:tcPr>
          <w:p w14:paraId="7C840CC8" w14:textId="4821FB52"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c>
          <w:tcPr>
            <w:tcW w:w="1134" w:type="dxa"/>
            <w:vAlign w:val="bottom"/>
          </w:tcPr>
          <w:p w14:paraId="70EB5442" w14:textId="2AC96F6E"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0F0C4EB5" w14:textId="6F83F288"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66342A6D" w14:textId="6CF6BF25"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7A4C8C08" w14:textId="6712D200"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r>
      <w:tr w:rsidR="00224102" w:rsidRPr="00923A53" w14:paraId="1BAC063F" w14:textId="77777777" w:rsidTr="00702219">
        <w:tc>
          <w:tcPr>
            <w:tcW w:w="4252" w:type="dxa"/>
            <w:vAlign w:val="bottom"/>
          </w:tcPr>
          <w:p w14:paraId="09CE2513" w14:textId="7F05406B" w:rsidR="00224102" w:rsidRPr="0032757D" w:rsidRDefault="00224102" w:rsidP="00224102">
            <w:pPr>
              <w:rPr>
                <w:color w:val="000000"/>
                <w:sz w:val="18"/>
                <w:szCs w:val="18"/>
              </w:rPr>
            </w:pPr>
            <w:r w:rsidRPr="0032757D">
              <w:rPr>
                <w:sz w:val="18"/>
                <w:szCs w:val="18"/>
              </w:rPr>
              <w:t xml:space="preserve">Contingent and Non-Contingent Receivables from </w:t>
            </w:r>
            <w:r>
              <w:rPr>
                <w:color w:val="000000"/>
                <w:sz w:val="18"/>
                <w:szCs w:val="18"/>
              </w:rPr>
              <w:t>I</w:t>
            </w:r>
            <w:r w:rsidRPr="009F60D1">
              <w:rPr>
                <w:color w:val="000000"/>
                <w:sz w:val="18"/>
                <w:szCs w:val="18"/>
              </w:rPr>
              <w:t xml:space="preserve">nternational </w:t>
            </w:r>
            <w:r>
              <w:rPr>
                <w:color w:val="000000"/>
                <w:sz w:val="18"/>
                <w:szCs w:val="18"/>
              </w:rPr>
              <w:t>O</w:t>
            </w:r>
            <w:r w:rsidRPr="009F60D1">
              <w:rPr>
                <w:color w:val="000000"/>
                <w:sz w:val="18"/>
                <w:szCs w:val="18"/>
              </w:rPr>
              <w:t>rganizations</w:t>
            </w:r>
          </w:p>
        </w:tc>
        <w:tc>
          <w:tcPr>
            <w:tcW w:w="993" w:type="dxa"/>
            <w:vAlign w:val="bottom"/>
          </w:tcPr>
          <w:p w14:paraId="44710AA4" w14:textId="5A48C4F9"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c>
          <w:tcPr>
            <w:tcW w:w="1134" w:type="dxa"/>
            <w:vAlign w:val="bottom"/>
          </w:tcPr>
          <w:p w14:paraId="3FB20D05" w14:textId="45C54265"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2CAA51AF" w14:textId="42B637EF"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1D0C6A63" w14:textId="23E7B183"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005A1A35" w14:textId="12E036DF"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r>
      <w:tr w:rsidR="00224102" w:rsidRPr="00923A53" w14:paraId="4411BC97" w14:textId="77777777" w:rsidTr="00702219">
        <w:tc>
          <w:tcPr>
            <w:tcW w:w="4252" w:type="dxa"/>
            <w:vAlign w:val="bottom"/>
          </w:tcPr>
          <w:p w14:paraId="3178720F" w14:textId="1C09D56A" w:rsidR="00224102" w:rsidRPr="0032757D" w:rsidRDefault="00224102" w:rsidP="00224102">
            <w:pPr>
              <w:rPr>
                <w:color w:val="000000"/>
                <w:sz w:val="18"/>
                <w:szCs w:val="18"/>
              </w:rPr>
            </w:pPr>
            <w:r w:rsidRPr="009F60D1">
              <w:rPr>
                <w:sz w:val="18"/>
                <w:szCs w:val="18"/>
              </w:rPr>
              <w:t xml:space="preserve">Contingent and Non-Contingent Receivables from </w:t>
            </w:r>
            <w:r>
              <w:rPr>
                <w:sz w:val="18"/>
                <w:szCs w:val="18"/>
              </w:rPr>
              <w:t>B</w:t>
            </w:r>
            <w:r w:rsidRPr="009F60D1">
              <w:rPr>
                <w:sz w:val="18"/>
                <w:szCs w:val="18"/>
              </w:rPr>
              <w:t xml:space="preserve">anks and </w:t>
            </w:r>
            <w:r>
              <w:rPr>
                <w:sz w:val="18"/>
                <w:szCs w:val="18"/>
              </w:rPr>
              <w:t>I</w:t>
            </w:r>
            <w:r w:rsidRPr="009F60D1">
              <w:rPr>
                <w:sz w:val="18"/>
                <w:szCs w:val="18"/>
              </w:rPr>
              <w:t>ntermediaries</w:t>
            </w:r>
            <w:r w:rsidRPr="009F60D1" w:rsidDel="00E42652">
              <w:rPr>
                <w:color w:val="000000"/>
                <w:sz w:val="18"/>
                <w:szCs w:val="18"/>
              </w:rPr>
              <w:t xml:space="preserve"> </w:t>
            </w:r>
          </w:p>
        </w:tc>
        <w:tc>
          <w:tcPr>
            <w:tcW w:w="993" w:type="dxa"/>
            <w:vAlign w:val="bottom"/>
          </w:tcPr>
          <w:p w14:paraId="74BC8323" w14:textId="7AA991A2" w:rsidR="00224102" w:rsidRPr="00350DD1" w:rsidRDefault="00224102" w:rsidP="00224102">
            <w:pPr>
              <w:jc w:val="right"/>
              <w:rPr>
                <w:color w:val="000000"/>
                <w:sz w:val="16"/>
                <w:szCs w:val="16"/>
              </w:rPr>
            </w:pPr>
            <w:r w:rsidRPr="00F604F2">
              <w:rPr>
                <w:color w:val="000000"/>
                <w:sz w:val="18"/>
                <w:szCs w:val="18"/>
              </w:rPr>
              <w:t>1,418,948</w:t>
            </w:r>
          </w:p>
        </w:tc>
        <w:tc>
          <w:tcPr>
            <w:tcW w:w="1134" w:type="dxa"/>
            <w:vAlign w:val="bottom"/>
          </w:tcPr>
          <w:p w14:paraId="7EFFBFCF" w14:textId="2F9E2009" w:rsidR="00224102" w:rsidRPr="00350DD1" w:rsidRDefault="00224102" w:rsidP="00224102">
            <w:pPr>
              <w:jc w:val="right"/>
              <w:rPr>
                <w:color w:val="000000"/>
                <w:sz w:val="16"/>
                <w:szCs w:val="16"/>
              </w:rPr>
            </w:pPr>
            <w:r w:rsidRPr="00F604F2">
              <w:rPr>
                <w:color w:val="000000"/>
                <w:sz w:val="18"/>
                <w:szCs w:val="18"/>
              </w:rPr>
              <w:t>67,425</w:t>
            </w:r>
          </w:p>
        </w:tc>
        <w:tc>
          <w:tcPr>
            <w:tcW w:w="992" w:type="dxa"/>
            <w:vAlign w:val="bottom"/>
          </w:tcPr>
          <w:p w14:paraId="346E7032" w14:textId="0B8FCAFA" w:rsidR="00224102" w:rsidRPr="00350DD1" w:rsidRDefault="00224102" w:rsidP="00224102">
            <w:pPr>
              <w:jc w:val="right"/>
              <w:rPr>
                <w:color w:val="000000"/>
                <w:sz w:val="16"/>
                <w:szCs w:val="16"/>
              </w:rPr>
            </w:pPr>
            <w:r w:rsidRPr="00F604F2">
              <w:rPr>
                <w:color w:val="000000"/>
                <w:sz w:val="18"/>
                <w:szCs w:val="18"/>
              </w:rPr>
              <w:t>66,249</w:t>
            </w:r>
          </w:p>
        </w:tc>
        <w:tc>
          <w:tcPr>
            <w:tcW w:w="923" w:type="dxa"/>
            <w:vAlign w:val="bottom"/>
          </w:tcPr>
          <w:p w14:paraId="0BD2FBB8" w14:textId="6121EAF1" w:rsidR="00224102" w:rsidRPr="00350DD1" w:rsidRDefault="00224102" w:rsidP="00224102">
            <w:pPr>
              <w:jc w:val="right"/>
              <w:rPr>
                <w:color w:val="000000"/>
                <w:sz w:val="16"/>
                <w:szCs w:val="16"/>
              </w:rPr>
            </w:pPr>
            <w:r w:rsidRPr="00F604F2">
              <w:rPr>
                <w:color w:val="000000"/>
                <w:sz w:val="18"/>
                <w:szCs w:val="18"/>
              </w:rPr>
              <w:t>30,533</w:t>
            </w:r>
          </w:p>
        </w:tc>
        <w:tc>
          <w:tcPr>
            <w:tcW w:w="936" w:type="dxa"/>
            <w:vAlign w:val="bottom"/>
          </w:tcPr>
          <w:p w14:paraId="380F753F" w14:textId="281CB306" w:rsidR="00224102" w:rsidRPr="00350DD1" w:rsidRDefault="00224102" w:rsidP="00224102">
            <w:pPr>
              <w:jc w:val="right"/>
              <w:rPr>
                <w:color w:val="000000"/>
                <w:sz w:val="16"/>
                <w:szCs w:val="16"/>
              </w:rPr>
            </w:pPr>
            <w:r w:rsidRPr="00F604F2">
              <w:rPr>
                <w:color w:val="000000"/>
                <w:sz w:val="18"/>
                <w:szCs w:val="18"/>
              </w:rPr>
              <w:t>304,767</w:t>
            </w:r>
          </w:p>
        </w:tc>
      </w:tr>
      <w:tr w:rsidR="00224102" w:rsidRPr="00923A53" w14:paraId="6086AE90" w14:textId="77777777" w:rsidTr="00702219">
        <w:trPr>
          <w:trHeight w:hRule="exact" w:val="227"/>
        </w:trPr>
        <w:tc>
          <w:tcPr>
            <w:tcW w:w="4252" w:type="dxa"/>
            <w:vAlign w:val="bottom"/>
          </w:tcPr>
          <w:p w14:paraId="777CCA5D" w14:textId="77777777" w:rsidR="00224102" w:rsidRPr="0032757D" w:rsidRDefault="00224102" w:rsidP="00224102">
            <w:pPr>
              <w:rPr>
                <w:color w:val="000000"/>
                <w:sz w:val="18"/>
                <w:szCs w:val="18"/>
              </w:rPr>
            </w:pPr>
            <w:r w:rsidRPr="009F60D1">
              <w:rPr>
                <w:rFonts w:eastAsia="Arial Unicode MS"/>
                <w:color w:val="000000"/>
                <w:sz w:val="18"/>
                <w:szCs w:val="18"/>
              </w:rPr>
              <w:t>Contingent and Non-Contingent Corporate Receivables</w:t>
            </w:r>
            <w:r w:rsidRPr="009F60D1" w:rsidDel="00B277CC">
              <w:rPr>
                <w:sz w:val="18"/>
                <w:szCs w:val="18"/>
              </w:rPr>
              <w:t xml:space="preserve"> </w:t>
            </w:r>
          </w:p>
        </w:tc>
        <w:tc>
          <w:tcPr>
            <w:tcW w:w="993" w:type="dxa"/>
            <w:vAlign w:val="bottom"/>
          </w:tcPr>
          <w:p w14:paraId="096C4601" w14:textId="304555A7" w:rsidR="00224102" w:rsidRPr="00350DD1" w:rsidRDefault="00224102" w:rsidP="00224102">
            <w:pPr>
              <w:jc w:val="right"/>
              <w:rPr>
                <w:color w:val="000000"/>
                <w:sz w:val="16"/>
                <w:szCs w:val="16"/>
              </w:rPr>
            </w:pPr>
            <w:r w:rsidRPr="00F604F2">
              <w:rPr>
                <w:color w:val="000000"/>
                <w:sz w:val="18"/>
                <w:szCs w:val="18"/>
              </w:rPr>
              <w:t>1,125,383</w:t>
            </w:r>
          </w:p>
        </w:tc>
        <w:tc>
          <w:tcPr>
            <w:tcW w:w="1134" w:type="dxa"/>
            <w:vAlign w:val="bottom"/>
          </w:tcPr>
          <w:p w14:paraId="19C63D5A" w14:textId="15458D14" w:rsidR="00224102" w:rsidRPr="00350DD1" w:rsidRDefault="00224102" w:rsidP="00224102">
            <w:pPr>
              <w:jc w:val="right"/>
              <w:rPr>
                <w:color w:val="000000"/>
                <w:sz w:val="16"/>
                <w:szCs w:val="16"/>
              </w:rPr>
            </w:pPr>
            <w:r w:rsidRPr="00F604F2">
              <w:rPr>
                <w:color w:val="000000"/>
                <w:sz w:val="18"/>
                <w:szCs w:val="18"/>
              </w:rPr>
              <w:t>532,49</w:t>
            </w:r>
            <w:r>
              <w:rPr>
                <w:color w:val="000000"/>
                <w:sz w:val="18"/>
                <w:szCs w:val="18"/>
              </w:rPr>
              <w:t>1</w:t>
            </w:r>
          </w:p>
        </w:tc>
        <w:tc>
          <w:tcPr>
            <w:tcW w:w="992" w:type="dxa"/>
            <w:vAlign w:val="bottom"/>
          </w:tcPr>
          <w:p w14:paraId="652C66E2" w14:textId="05341BBB" w:rsidR="00224102" w:rsidRPr="00350DD1" w:rsidRDefault="00224102" w:rsidP="00224102">
            <w:pPr>
              <w:jc w:val="right"/>
              <w:rPr>
                <w:color w:val="000000"/>
                <w:sz w:val="16"/>
                <w:szCs w:val="16"/>
              </w:rPr>
            </w:pPr>
            <w:r w:rsidRPr="00F604F2">
              <w:rPr>
                <w:color w:val="000000"/>
                <w:sz w:val="18"/>
                <w:szCs w:val="18"/>
              </w:rPr>
              <w:t>830,959</w:t>
            </w:r>
          </w:p>
        </w:tc>
        <w:tc>
          <w:tcPr>
            <w:tcW w:w="923" w:type="dxa"/>
            <w:vAlign w:val="bottom"/>
          </w:tcPr>
          <w:p w14:paraId="7373C6FD" w14:textId="396F1C36" w:rsidR="00224102" w:rsidRPr="00350DD1" w:rsidRDefault="00224102" w:rsidP="00224102">
            <w:pPr>
              <w:jc w:val="right"/>
              <w:rPr>
                <w:color w:val="000000"/>
                <w:sz w:val="16"/>
                <w:szCs w:val="16"/>
              </w:rPr>
            </w:pPr>
            <w:r w:rsidRPr="00F604F2">
              <w:rPr>
                <w:color w:val="000000"/>
                <w:sz w:val="18"/>
                <w:szCs w:val="18"/>
              </w:rPr>
              <w:t>1,407,046</w:t>
            </w:r>
          </w:p>
        </w:tc>
        <w:tc>
          <w:tcPr>
            <w:tcW w:w="936" w:type="dxa"/>
            <w:vAlign w:val="bottom"/>
          </w:tcPr>
          <w:p w14:paraId="3BA5BE6A" w14:textId="0FCAF5CD" w:rsidR="00224102" w:rsidRPr="00350DD1" w:rsidRDefault="00224102" w:rsidP="00224102">
            <w:pPr>
              <w:jc w:val="right"/>
              <w:rPr>
                <w:color w:val="000000"/>
                <w:sz w:val="16"/>
                <w:szCs w:val="16"/>
              </w:rPr>
            </w:pPr>
            <w:r w:rsidRPr="00F604F2">
              <w:rPr>
                <w:color w:val="000000"/>
                <w:sz w:val="18"/>
                <w:szCs w:val="18"/>
              </w:rPr>
              <w:t>3,291,567</w:t>
            </w:r>
          </w:p>
        </w:tc>
      </w:tr>
      <w:tr w:rsidR="00224102" w:rsidRPr="00923A53" w14:paraId="4E93ABE6" w14:textId="77777777" w:rsidTr="00702219">
        <w:tc>
          <w:tcPr>
            <w:tcW w:w="4252" w:type="dxa"/>
          </w:tcPr>
          <w:p w14:paraId="29E3C426" w14:textId="77777777" w:rsidR="00224102" w:rsidRPr="0032757D" w:rsidRDefault="00224102" w:rsidP="00224102">
            <w:pPr>
              <w:rPr>
                <w:color w:val="000000"/>
                <w:sz w:val="18"/>
                <w:szCs w:val="18"/>
              </w:rPr>
            </w:pPr>
            <w:r w:rsidRPr="009F60D1">
              <w:rPr>
                <w:rFonts w:eastAsia="Arial Unicode MS"/>
                <w:color w:val="000000"/>
                <w:sz w:val="18"/>
                <w:szCs w:val="18"/>
              </w:rPr>
              <w:t>Contingent and Non-Contingent Retail Receivables</w:t>
            </w:r>
            <w:r w:rsidRPr="009F60D1" w:rsidDel="00B277CC">
              <w:rPr>
                <w:sz w:val="18"/>
                <w:szCs w:val="18"/>
              </w:rPr>
              <w:t xml:space="preserve"> </w:t>
            </w:r>
          </w:p>
        </w:tc>
        <w:tc>
          <w:tcPr>
            <w:tcW w:w="993" w:type="dxa"/>
            <w:vAlign w:val="bottom"/>
          </w:tcPr>
          <w:p w14:paraId="21E8A69F" w14:textId="76BAD96D" w:rsidR="00224102" w:rsidRPr="00350DD1" w:rsidRDefault="00224102" w:rsidP="00224102">
            <w:pPr>
              <w:jc w:val="right"/>
              <w:rPr>
                <w:color w:val="000000"/>
                <w:sz w:val="16"/>
                <w:szCs w:val="16"/>
              </w:rPr>
            </w:pPr>
            <w:r w:rsidRPr="00F604F2">
              <w:rPr>
                <w:color w:val="000000"/>
                <w:sz w:val="18"/>
                <w:szCs w:val="18"/>
              </w:rPr>
              <w:t>766,201</w:t>
            </w:r>
          </w:p>
        </w:tc>
        <w:tc>
          <w:tcPr>
            <w:tcW w:w="1134" w:type="dxa"/>
            <w:vAlign w:val="bottom"/>
          </w:tcPr>
          <w:p w14:paraId="754CD9CE" w14:textId="5F49E404" w:rsidR="00224102" w:rsidRPr="00350DD1" w:rsidRDefault="00224102" w:rsidP="00224102">
            <w:pPr>
              <w:jc w:val="right"/>
              <w:rPr>
                <w:color w:val="000000"/>
                <w:sz w:val="16"/>
                <w:szCs w:val="16"/>
              </w:rPr>
            </w:pPr>
            <w:r w:rsidRPr="00F604F2">
              <w:rPr>
                <w:color w:val="000000"/>
                <w:sz w:val="18"/>
                <w:szCs w:val="18"/>
              </w:rPr>
              <w:t>155,563</w:t>
            </w:r>
          </w:p>
        </w:tc>
        <w:tc>
          <w:tcPr>
            <w:tcW w:w="992" w:type="dxa"/>
            <w:vAlign w:val="bottom"/>
          </w:tcPr>
          <w:p w14:paraId="204CAEF2" w14:textId="6808DE0E" w:rsidR="00224102" w:rsidRPr="00350DD1" w:rsidRDefault="00224102" w:rsidP="00224102">
            <w:pPr>
              <w:jc w:val="right"/>
              <w:rPr>
                <w:color w:val="000000"/>
                <w:sz w:val="16"/>
                <w:szCs w:val="16"/>
              </w:rPr>
            </w:pPr>
            <w:r w:rsidRPr="00F604F2">
              <w:rPr>
                <w:color w:val="000000"/>
                <w:sz w:val="18"/>
                <w:szCs w:val="18"/>
              </w:rPr>
              <w:t>232,605</w:t>
            </w:r>
          </w:p>
        </w:tc>
        <w:tc>
          <w:tcPr>
            <w:tcW w:w="923" w:type="dxa"/>
            <w:vAlign w:val="bottom"/>
          </w:tcPr>
          <w:p w14:paraId="38E03E2D" w14:textId="06D93195" w:rsidR="00224102" w:rsidRPr="00350DD1" w:rsidRDefault="00224102" w:rsidP="00224102">
            <w:pPr>
              <w:jc w:val="right"/>
              <w:rPr>
                <w:color w:val="000000"/>
                <w:sz w:val="16"/>
                <w:szCs w:val="16"/>
              </w:rPr>
            </w:pPr>
            <w:r w:rsidRPr="00F604F2">
              <w:rPr>
                <w:color w:val="000000"/>
                <w:sz w:val="18"/>
                <w:szCs w:val="18"/>
              </w:rPr>
              <w:t>335,147</w:t>
            </w:r>
          </w:p>
        </w:tc>
        <w:tc>
          <w:tcPr>
            <w:tcW w:w="936" w:type="dxa"/>
            <w:vAlign w:val="bottom"/>
          </w:tcPr>
          <w:p w14:paraId="0DBE0A09" w14:textId="7023AC6E" w:rsidR="00224102" w:rsidRPr="00350DD1" w:rsidRDefault="00224102" w:rsidP="00224102">
            <w:pPr>
              <w:jc w:val="right"/>
              <w:rPr>
                <w:color w:val="000000"/>
                <w:sz w:val="16"/>
                <w:szCs w:val="16"/>
              </w:rPr>
            </w:pPr>
            <w:r w:rsidRPr="00F604F2">
              <w:rPr>
                <w:color w:val="000000"/>
                <w:sz w:val="18"/>
                <w:szCs w:val="18"/>
              </w:rPr>
              <w:t>369,077</w:t>
            </w:r>
          </w:p>
        </w:tc>
      </w:tr>
      <w:tr w:rsidR="00224102" w:rsidRPr="00923A53" w14:paraId="3126C8FF" w14:textId="77777777" w:rsidTr="00702219">
        <w:tc>
          <w:tcPr>
            <w:tcW w:w="4252" w:type="dxa"/>
            <w:vAlign w:val="bottom"/>
          </w:tcPr>
          <w:p w14:paraId="12366BFA" w14:textId="77777777" w:rsidR="00224102" w:rsidRPr="0032757D" w:rsidRDefault="00224102" w:rsidP="00224102">
            <w:pPr>
              <w:rPr>
                <w:color w:val="000000"/>
                <w:sz w:val="18"/>
                <w:szCs w:val="18"/>
              </w:rPr>
            </w:pPr>
            <w:r w:rsidRPr="009F60D1">
              <w:rPr>
                <w:rFonts w:eastAsia="Arial Unicode MS"/>
                <w:color w:val="000000"/>
                <w:sz w:val="18"/>
                <w:szCs w:val="18"/>
              </w:rPr>
              <w:t>Contingent and Non-Contingent Receivables Secured by Residential Property</w:t>
            </w:r>
          </w:p>
        </w:tc>
        <w:tc>
          <w:tcPr>
            <w:tcW w:w="993" w:type="dxa"/>
            <w:vAlign w:val="bottom"/>
          </w:tcPr>
          <w:p w14:paraId="4CD90BFE" w14:textId="09018E19" w:rsidR="00224102" w:rsidRPr="00350DD1" w:rsidRDefault="00224102" w:rsidP="00224102">
            <w:pPr>
              <w:jc w:val="right"/>
              <w:rPr>
                <w:color w:val="000000"/>
                <w:sz w:val="16"/>
                <w:szCs w:val="16"/>
              </w:rPr>
            </w:pPr>
            <w:r w:rsidRPr="00F604F2">
              <w:rPr>
                <w:color w:val="000000"/>
                <w:sz w:val="18"/>
                <w:szCs w:val="18"/>
              </w:rPr>
              <w:t>91,850</w:t>
            </w:r>
          </w:p>
        </w:tc>
        <w:tc>
          <w:tcPr>
            <w:tcW w:w="1134" w:type="dxa"/>
            <w:vAlign w:val="bottom"/>
          </w:tcPr>
          <w:p w14:paraId="3DADF5A0" w14:textId="0B2486FA" w:rsidR="00224102" w:rsidRPr="00350DD1" w:rsidRDefault="00224102" w:rsidP="00224102">
            <w:pPr>
              <w:jc w:val="right"/>
              <w:rPr>
                <w:color w:val="000000"/>
                <w:sz w:val="16"/>
                <w:szCs w:val="16"/>
              </w:rPr>
            </w:pPr>
            <w:r w:rsidRPr="00F604F2">
              <w:rPr>
                <w:color w:val="000000"/>
                <w:sz w:val="18"/>
                <w:szCs w:val="18"/>
              </w:rPr>
              <w:t>81,285</w:t>
            </w:r>
          </w:p>
        </w:tc>
        <w:tc>
          <w:tcPr>
            <w:tcW w:w="992" w:type="dxa"/>
            <w:vAlign w:val="bottom"/>
          </w:tcPr>
          <w:p w14:paraId="55B4D99C" w14:textId="21C0AF69" w:rsidR="00224102" w:rsidRPr="00350DD1" w:rsidRDefault="00224102" w:rsidP="00224102">
            <w:pPr>
              <w:jc w:val="right"/>
              <w:rPr>
                <w:color w:val="000000"/>
                <w:sz w:val="16"/>
                <w:szCs w:val="16"/>
              </w:rPr>
            </w:pPr>
            <w:r w:rsidRPr="00F604F2">
              <w:rPr>
                <w:color w:val="000000"/>
                <w:sz w:val="18"/>
                <w:szCs w:val="18"/>
              </w:rPr>
              <w:t>155,778</w:t>
            </w:r>
          </w:p>
        </w:tc>
        <w:tc>
          <w:tcPr>
            <w:tcW w:w="923" w:type="dxa"/>
            <w:vAlign w:val="bottom"/>
          </w:tcPr>
          <w:p w14:paraId="160D1163" w14:textId="006F33EE" w:rsidR="00224102" w:rsidRPr="00350DD1" w:rsidRDefault="00224102" w:rsidP="00224102">
            <w:pPr>
              <w:jc w:val="right"/>
              <w:rPr>
                <w:color w:val="000000"/>
                <w:sz w:val="16"/>
                <w:szCs w:val="16"/>
              </w:rPr>
            </w:pPr>
            <w:r w:rsidRPr="00F604F2">
              <w:rPr>
                <w:color w:val="000000"/>
                <w:sz w:val="18"/>
                <w:szCs w:val="18"/>
              </w:rPr>
              <w:t>202,476</w:t>
            </w:r>
          </w:p>
        </w:tc>
        <w:tc>
          <w:tcPr>
            <w:tcW w:w="936" w:type="dxa"/>
            <w:vAlign w:val="bottom"/>
          </w:tcPr>
          <w:p w14:paraId="0E60C308" w14:textId="233F42A0" w:rsidR="00224102" w:rsidRPr="00350DD1" w:rsidRDefault="00224102" w:rsidP="00224102">
            <w:pPr>
              <w:jc w:val="right"/>
              <w:rPr>
                <w:color w:val="000000"/>
                <w:sz w:val="16"/>
                <w:szCs w:val="16"/>
              </w:rPr>
            </w:pPr>
            <w:r w:rsidRPr="00F604F2">
              <w:rPr>
                <w:color w:val="000000"/>
                <w:sz w:val="18"/>
                <w:szCs w:val="18"/>
              </w:rPr>
              <w:t>1,933,985</w:t>
            </w:r>
          </w:p>
        </w:tc>
      </w:tr>
      <w:tr w:rsidR="00224102" w:rsidRPr="00923A53" w14:paraId="6A7DA3F5" w14:textId="77777777" w:rsidTr="00702219">
        <w:trPr>
          <w:trHeight w:hRule="exact" w:val="227"/>
        </w:trPr>
        <w:tc>
          <w:tcPr>
            <w:tcW w:w="4252" w:type="dxa"/>
            <w:vAlign w:val="bottom"/>
          </w:tcPr>
          <w:p w14:paraId="37F9B63B" w14:textId="77777777" w:rsidR="00224102" w:rsidRPr="0032757D" w:rsidRDefault="00224102" w:rsidP="00224102">
            <w:pPr>
              <w:rPr>
                <w:color w:val="000000"/>
                <w:sz w:val="18"/>
                <w:szCs w:val="18"/>
              </w:rPr>
            </w:pPr>
            <w:r w:rsidRPr="009F60D1">
              <w:rPr>
                <w:color w:val="000000"/>
                <w:sz w:val="18"/>
                <w:szCs w:val="18"/>
              </w:rPr>
              <w:t>Non-Performing Receivables</w:t>
            </w:r>
          </w:p>
        </w:tc>
        <w:tc>
          <w:tcPr>
            <w:tcW w:w="993" w:type="dxa"/>
            <w:vAlign w:val="bottom"/>
          </w:tcPr>
          <w:p w14:paraId="01D0B5E0" w14:textId="0B4C854C"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c>
          <w:tcPr>
            <w:tcW w:w="1134" w:type="dxa"/>
            <w:vAlign w:val="bottom"/>
          </w:tcPr>
          <w:p w14:paraId="3EDE0DF2" w14:textId="1E82C589"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67C9BFE6" w14:textId="6518C43B"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41D3DA3C" w14:textId="1280BC48"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7767F70D" w14:textId="46714523" w:rsidR="00224102" w:rsidRPr="00350DD1" w:rsidRDefault="00224102" w:rsidP="00224102">
            <w:pPr>
              <w:jc w:val="right"/>
              <w:rPr>
                <w:color w:val="000000"/>
                <w:sz w:val="16"/>
                <w:szCs w:val="16"/>
              </w:rPr>
            </w:pPr>
            <w:r w:rsidRPr="00F604F2">
              <w:rPr>
                <w:color w:val="000000"/>
                <w:sz w:val="18"/>
                <w:szCs w:val="18"/>
              </w:rPr>
              <w:t>236,253</w:t>
            </w:r>
          </w:p>
        </w:tc>
      </w:tr>
      <w:tr w:rsidR="00224102" w:rsidRPr="00923A53" w14:paraId="4EB1ED1F" w14:textId="77777777" w:rsidTr="00702219">
        <w:trPr>
          <w:trHeight w:hRule="exact" w:val="227"/>
        </w:trPr>
        <w:tc>
          <w:tcPr>
            <w:tcW w:w="4252" w:type="dxa"/>
            <w:vAlign w:val="bottom"/>
          </w:tcPr>
          <w:p w14:paraId="7107E01E" w14:textId="4C4244AA" w:rsidR="00224102" w:rsidRPr="009F60D1" w:rsidRDefault="00224102" w:rsidP="00224102">
            <w:pPr>
              <w:rPr>
                <w:sz w:val="18"/>
                <w:szCs w:val="18"/>
              </w:rPr>
            </w:pPr>
            <w:r w:rsidRPr="009F60D1">
              <w:rPr>
                <w:color w:val="000000"/>
                <w:sz w:val="18"/>
                <w:szCs w:val="18"/>
              </w:rPr>
              <w:t xml:space="preserve">Receivables </w:t>
            </w:r>
            <w:r>
              <w:rPr>
                <w:color w:val="000000"/>
                <w:sz w:val="18"/>
                <w:szCs w:val="18"/>
              </w:rPr>
              <w:t>I</w:t>
            </w:r>
            <w:r w:rsidRPr="009F60D1">
              <w:rPr>
                <w:color w:val="000000"/>
                <w:sz w:val="18"/>
                <w:szCs w:val="18"/>
              </w:rPr>
              <w:t xml:space="preserve">dentified as </w:t>
            </w:r>
            <w:r>
              <w:rPr>
                <w:color w:val="000000"/>
                <w:sz w:val="18"/>
                <w:szCs w:val="18"/>
              </w:rPr>
              <w:t>H</w:t>
            </w:r>
            <w:r w:rsidRPr="009F60D1">
              <w:rPr>
                <w:color w:val="000000"/>
                <w:sz w:val="18"/>
                <w:szCs w:val="18"/>
              </w:rPr>
              <w:t xml:space="preserve">igh </w:t>
            </w:r>
            <w:r>
              <w:rPr>
                <w:color w:val="000000"/>
                <w:sz w:val="18"/>
                <w:szCs w:val="18"/>
              </w:rPr>
              <w:t>R</w:t>
            </w:r>
            <w:r w:rsidRPr="009F60D1">
              <w:rPr>
                <w:color w:val="000000"/>
                <w:sz w:val="18"/>
                <w:szCs w:val="18"/>
              </w:rPr>
              <w:t>isk by the Board</w:t>
            </w:r>
          </w:p>
        </w:tc>
        <w:tc>
          <w:tcPr>
            <w:tcW w:w="993" w:type="dxa"/>
            <w:vAlign w:val="bottom"/>
          </w:tcPr>
          <w:p w14:paraId="562DD13D" w14:textId="09F70055"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c>
          <w:tcPr>
            <w:tcW w:w="1134" w:type="dxa"/>
            <w:vAlign w:val="bottom"/>
          </w:tcPr>
          <w:p w14:paraId="36C0F231" w14:textId="66380F1F"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23182442" w14:textId="620BA235"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7033C560" w14:textId="794B2691"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0D27E612" w14:textId="2DB685A9" w:rsidR="00224102" w:rsidRPr="00350DD1" w:rsidRDefault="00224102" w:rsidP="00224102">
            <w:pPr>
              <w:jc w:val="right"/>
              <w:rPr>
                <w:color w:val="000000"/>
                <w:sz w:val="16"/>
                <w:szCs w:val="16"/>
              </w:rPr>
            </w:pPr>
            <w:r w:rsidRPr="00F604F2">
              <w:rPr>
                <w:color w:val="000000"/>
                <w:sz w:val="18"/>
                <w:szCs w:val="18"/>
              </w:rPr>
              <w:t>83,365</w:t>
            </w:r>
          </w:p>
        </w:tc>
      </w:tr>
      <w:tr w:rsidR="00224102" w:rsidRPr="00923A53" w14:paraId="15DE43EE" w14:textId="77777777" w:rsidTr="00702219">
        <w:trPr>
          <w:trHeight w:hRule="exact" w:val="227"/>
        </w:trPr>
        <w:tc>
          <w:tcPr>
            <w:tcW w:w="4252" w:type="dxa"/>
            <w:vAlign w:val="bottom"/>
          </w:tcPr>
          <w:p w14:paraId="1AE29B07" w14:textId="25511649" w:rsidR="00224102" w:rsidRPr="0032757D" w:rsidRDefault="00224102" w:rsidP="00224102">
            <w:pPr>
              <w:rPr>
                <w:color w:val="000000"/>
                <w:sz w:val="18"/>
                <w:szCs w:val="18"/>
              </w:rPr>
            </w:pPr>
            <w:r>
              <w:rPr>
                <w:color w:val="000000"/>
                <w:sz w:val="18"/>
                <w:szCs w:val="18"/>
              </w:rPr>
              <w:t>Secured by Mort</w:t>
            </w:r>
            <w:r w:rsidRPr="0032757D">
              <w:rPr>
                <w:color w:val="000000"/>
                <w:sz w:val="18"/>
                <w:szCs w:val="18"/>
              </w:rPr>
              <w:t>gages</w:t>
            </w:r>
          </w:p>
        </w:tc>
        <w:tc>
          <w:tcPr>
            <w:tcW w:w="993" w:type="dxa"/>
            <w:vAlign w:val="bottom"/>
          </w:tcPr>
          <w:p w14:paraId="02620A14" w14:textId="01B73A42"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c>
          <w:tcPr>
            <w:tcW w:w="1134" w:type="dxa"/>
            <w:vAlign w:val="bottom"/>
          </w:tcPr>
          <w:p w14:paraId="06294D07" w14:textId="3134FB46"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797CBC04" w14:textId="6C41AF4F"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4145D84F" w14:textId="2E493C80"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2F882ACA" w14:textId="5F71B08D" w:rsidR="00224102" w:rsidRPr="00350DD1" w:rsidRDefault="00224102" w:rsidP="00224102">
            <w:pPr>
              <w:jc w:val="right"/>
              <w:rPr>
                <w:color w:val="000000"/>
                <w:sz w:val="16"/>
                <w:szCs w:val="16"/>
              </w:rPr>
            </w:pPr>
            <w:r w:rsidRPr="00F604F2">
              <w:rPr>
                <w:color w:val="000000"/>
                <w:sz w:val="18"/>
                <w:szCs w:val="18"/>
              </w:rPr>
              <w:t>-</w:t>
            </w:r>
          </w:p>
        </w:tc>
      </w:tr>
      <w:tr w:rsidR="00224102" w:rsidRPr="00923A53" w14:paraId="5DC08104" w14:textId="77777777" w:rsidTr="00702219">
        <w:trPr>
          <w:trHeight w:hRule="exact" w:val="227"/>
        </w:trPr>
        <w:tc>
          <w:tcPr>
            <w:tcW w:w="4252" w:type="dxa"/>
            <w:vAlign w:val="bottom"/>
          </w:tcPr>
          <w:p w14:paraId="0AE0ABF3" w14:textId="32D0B0E8" w:rsidR="00224102" w:rsidRPr="0032757D" w:rsidRDefault="00224102" w:rsidP="00224102">
            <w:pPr>
              <w:rPr>
                <w:color w:val="000000"/>
                <w:sz w:val="18"/>
                <w:szCs w:val="18"/>
              </w:rPr>
            </w:pPr>
            <w:r w:rsidRPr="009F60D1">
              <w:rPr>
                <w:color w:val="000000"/>
                <w:sz w:val="18"/>
                <w:szCs w:val="18"/>
              </w:rPr>
              <w:t xml:space="preserve">Securitization </w:t>
            </w:r>
            <w:r>
              <w:rPr>
                <w:color w:val="000000"/>
                <w:sz w:val="18"/>
                <w:szCs w:val="18"/>
              </w:rPr>
              <w:t>P</w:t>
            </w:r>
            <w:r w:rsidRPr="009F60D1">
              <w:rPr>
                <w:color w:val="000000"/>
                <w:sz w:val="18"/>
                <w:szCs w:val="18"/>
              </w:rPr>
              <w:t>ositions</w:t>
            </w:r>
          </w:p>
        </w:tc>
        <w:tc>
          <w:tcPr>
            <w:tcW w:w="993" w:type="dxa"/>
            <w:vAlign w:val="bottom"/>
          </w:tcPr>
          <w:p w14:paraId="68313C60" w14:textId="3060FC0C"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c>
          <w:tcPr>
            <w:tcW w:w="1134" w:type="dxa"/>
            <w:vAlign w:val="bottom"/>
          </w:tcPr>
          <w:p w14:paraId="43E62A6F" w14:textId="33FADA32"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6FF6ABF4" w14:textId="1CFE15D8"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652FA25B" w14:textId="2F915A07"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6F745A7E" w14:textId="4A3D430C" w:rsidR="00224102" w:rsidRPr="00350DD1" w:rsidRDefault="00224102" w:rsidP="00224102">
            <w:pPr>
              <w:jc w:val="right"/>
              <w:rPr>
                <w:color w:val="000000"/>
                <w:sz w:val="16"/>
                <w:szCs w:val="16"/>
              </w:rPr>
            </w:pPr>
            <w:r w:rsidRPr="00F604F2">
              <w:rPr>
                <w:color w:val="000000"/>
                <w:sz w:val="18"/>
                <w:szCs w:val="18"/>
              </w:rPr>
              <w:t>-</w:t>
            </w:r>
          </w:p>
        </w:tc>
      </w:tr>
      <w:tr w:rsidR="00224102" w:rsidRPr="00923A53" w14:paraId="4A5E61E1" w14:textId="77777777" w:rsidTr="00702219">
        <w:tc>
          <w:tcPr>
            <w:tcW w:w="4252" w:type="dxa"/>
            <w:vAlign w:val="bottom"/>
          </w:tcPr>
          <w:p w14:paraId="3D22705D" w14:textId="41493476" w:rsidR="00224102" w:rsidRPr="0032757D" w:rsidRDefault="00224102" w:rsidP="00224102">
            <w:pPr>
              <w:rPr>
                <w:color w:val="000000"/>
                <w:sz w:val="18"/>
                <w:szCs w:val="18"/>
              </w:rPr>
            </w:pPr>
            <w:r>
              <w:rPr>
                <w:color w:val="000000"/>
                <w:sz w:val="18"/>
                <w:szCs w:val="18"/>
              </w:rPr>
              <w:t>Short</w:t>
            </w:r>
            <w:r w:rsidRPr="0032757D">
              <w:rPr>
                <w:color w:val="000000"/>
                <w:sz w:val="18"/>
                <w:szCs w:val="18"/>
              </w:rPr>
              <w:t xml:space="preserve">-term </w:t>
            </w:r>
            <w:r>
              <w:rPr>
                <w:color w:val="000000"/>
                <w:sz w:val="18"/>
                <w:szCs w:val="18"/>
              </w:rPr>
              <w:t>R</w:t>
            </w:r>
            <w:r w:rsidRPr="0032757D">
              <w:rPr>
                <w:color w:val="000000"/>
                <w:sz w:val="18"/>
                <w:szCs w:val="18"/>
              </w:rPr>
              <w:t xml:space="preserve">eceivables </w:t>
            </w:r>
            <w:proofErr w:type="spellStart"/>
            <w:r w:rsidRPr="0032757D">
              <w:rPr>
                <w:color w:val="000000"/>
                <w:sz w:val="18"/>
                <w:szCs w:val="18"/>
              </w:rPr>
              <w:t>frorn</w:t>
            </w:r>
            <w:proofErr w:type="spellEnd"/>
            <w:r w:rsidRPr="0032757D">
              <w:rPr>
                <w:color w:val="000000"/>
                <w:sz w:val="18"/>
                <w:szCs w:val="18"/>
              </w:rPr>
              <w:t xml:space="preserve"> </w:t>
            </w:r>
            <w:r>
              <w:rPr>
                <w:color w:val="000000"/>
                <w:sz w:val="18"/>
                <w:szCs w:val="18"/>
              </w:rPr>
              <w:t>B</w:t>
            </w:r>
            <w:r w:rsidRPr="0032757D">
              <w:rPr>
                <w:color w:val="000000"/>
                <w:sz w:val="18"/>
                <w:szCs w:val="18"/>
              </w:rPr>
              <w:t xml:space="preserve">anks, </w:t>
            </w:r>
            <w:r>
              <w:rPr>
                <w:color w:val="000000"/>
                <w:sz w:val="18"/>
                <w:szCs w:val="18"/>
              </w:rPr>
              <w:t>B</w:t>
            </w:r>
            <w:r w:rsidRPr="0032757D">
              <w:rPr>
                <w:color w:val="000000"/>
                <w:sz w:val="18"/>
                <w:szCs w:val="18"/>
              </w:rPr>
              <w:t xml:space="preserve">rokerage </w:t>
            </w:r>
            <w:r>
              <w:rPr>
                <w:color w:val="000000"/>
                <w:sz w:val="18"/>
                <w:szCs w:val="18"/>
              </w:rPr>
              <w:t>H</w:t>
            </w:r>
            <w:r w:rsidRPr="0032757D">
              <w:rPr>
                <w:color w:val="000000"/>
                <w:sz w:val="18"/>
                <w:szCs w:val="18"/>
              </w:rPr>
              <w:t xml:space="preserve">ouses and </w:t>
            </w:r>
            <w:r>
              <w:rPr>
                <w:color w:val="000000"/>
                <w:sz w:val="18"/>
                <w:szCs w:val="18"/>
              </w:rPr>
              <w:t>C</w:t>
            </w:r>
            <w:r w:rsidRPr="0032757D">
              <w:rPr>
                <w:color w:val="000000"/>
                <w:sz w:val="18"/>
                <w:szCs w:val="18"/>
              </w:rPr>
              <w:t>o</w:t>
            </w:r>
            <w:r>
              <w:rPr>
                <w:color w:val="000000"/>
                <w:sz w:val="18"/>
                <w:szCs w:val="18"/>
              </w:rPr>
              <w:t>r</w:t>
            </w:r>
            <w:r w:rsidRPr="0032757D">
              <w:rPr>
                <w:color w:val="000000"/>
                <w:sz w:val="18"/>
                <w:szCs w:val="18"/>
              </w:rPr>
              <w:t>porates</w:t>
            </w:r>
          </w:p>
        </w:tc>
        <w:tc>
          <w:tcPr>
            <w:tcW w:w="993" w:type="dxa"/>
            <w:vAlign w:val="bottom"/>
          </w:tcPr>
          <w:p w14:paraId="6D3D6790" w14:textId="1BCF73E5"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c>
          <w:tcPr>
            <w:tcW w:w="1134" w:type="dxa"/>
            <w:vAlign w:val="bottom"/>
          </w:tcPr>
          <w:p w14:paraId="67BAFFF6" w14:textId="419DE527"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0BFA7BED" w14:textId="2B250BA8"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2370FABB" w14:textId="0645E52B"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404FA449" w14:textId="2ADF29F8" w:rsidR="00224102" w:rsidRPr="00350DD1" w:rsidRDefault="00224102" w:rsidP="00224102">
            <w:pPr>
              <w:jc w:val="right"/>
              <w:rPr>
                <w:color w:val="000000"/>
                <w:sz w:val="16"/>
                <w:szCs w:val="16"/>
              </w:rPr>
            </w:pPr>
            <w:r w:rsidRPr="00F604F2">
              <w:rPr>
                <w:color w:val="000000"/>
                <w:sz w:val="18"/>
                <w:szCs w:val="18"/>
              </w:rPr>
              <w:t>-</w:t>
            </w:r>
          </w:p>
        </w:tc>
      </w:tr>
      <w:tr w:rsidR="00224102" w:rsidRPr="00923A53" w14:paraId="44AD0E57" w14:textId="77777777" w:rsidTr="00702219">
        <w:tc>
          <w:tcPr>
            <w:tcW w:w="4252" w:type="dxa"/>
            <w:vAlign w:val="bottom"/>
          </w:tcPr>
          <w:p w14:paraId="21DDDB04" w14:textId="7A3DC8CA" w:rsidR="00224102" w:rsidRPr="0032757D" w:rsidRDefault="00224102" w:rsidP="00224102">
            <w:pPr>
              <w:rPr>
                <w:color w:val="000000"/>
                <w:sz w:val="18"/>
                <w:szCs w:val="18"/>
              </w:rPr>
            </w:pPr>
            <w:r w:rsidRPr="0032757D">
              <w:rPr>
                <w:color w:val="000000"/>
                <w:sz w:val="18"/>
                <w:szCs w:val="18"/>
              </w:rPr>
              <w:t>I</w:t>
            </w:r>
            <w:r>
              <w:rPr>
                <w:color w:val="000000"/>
                <w:sz w:val="18"/>
                <w:szCs w:val="18"/>
              </w:rPr>
              <w:t>nvestments Simil</w:t>
            </w:r>
            <w:r w:rsidRPr="0032757D">
              <w:rPr>
                <w:color w:val="000000"/>
                <w:sz w:val="18"/>
                <w:szCs w:val="18"/>
              </w:rPr>
              <w:t xml:space="preserve">ar to </w:t>
            </w:r>
            <w:r>
              <w:rPr>
                <w:color w:val="000000"/>
                <w:sz w:val="18"/>
                <w:szCs w:val="18"/>
              </w:rPr>
              <w:t>C</w:t>
            </w:r>
            <w:r w:rsidRPr="0032757D">
              <w:rPr>
                <w:color w:val="000000"/>
                <w:sz w:val="18"/>
                <w:szCs w:val="18"/>
              </w:rPr>
              <w:t xml:space="preserve">ollective </w:t>
            </w:r>
            <w:proofErr w:type="spellStart"/>
            <w:r>
              <w:rPr>
                <w:color w:val="000000"/>
                <w:sz w:val="18"/>
                <w:szCs w:val="18"/>
              </w:rPr>
              <w:t>I</w:t>
            </w:r>
            <w:r w:rsidRPr="0032757D">
              <w:rPr>
                <w:color w:val="000000"/>
                <w:sz w:val="18"/>
                <w:szCs w:val="18"/>
              </w:rPr>
              <w:t>nvestrnent</w:t>
            </w:r>
            <w:proofErr w:type="spellEnd"/>
            <w:r w:rsidRPr="0032757D">
              <w:rPr>
                <w:color w:val="000000"/>
                <w:sz w:val="18"/>
                <w:szCs w:val="18"/>
              </w:rPr>
              <w:t xml:space="preserve"> </w:t>
            </w:r>
            <w:r>
              <w:rPr>
                <w:color w:val="000000"/>
                <w:sz w:val="18"/>
                <w:szCs w:val="18"/>
              </w:rPr>
              <w:t>F</w:t>
            </w:r>
            <w:r w:rsidRPr="0032757D">
              <w:rPr>
                <w:color w:val="000000"/>
                <w:sz w:val="18"/>
                <w:szCs w:val="18"/>
              </w:rPr>
              <w:t>unds</w:t>
            </w:r>
          </w:p>
        </w:tc>
        <w:tc>
          <w:tcPr>
            <w:tcW w:w="993" w:type="dxa"/>
            <w:vAlign w:val="bottom"/>
          </w:tcPr>
          <w:p w14:paraId="5727FFF8" w14:textId="6A5E0997"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c>
          <w:tcPr>
            <w:tcW w:w="1134" w:type="dxa"/>
            <w:vAlign w:val="bottom"/>
          </w:tcPr>
          <w:p w14:paraId="3493ACEE" w14:textId="63FCB1B0"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205DE627" w14:textId="69E5F29C"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4D5328C7" w14:textId="5222A458"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0A50467E" w14:textId="3D26E0E8" w:rsidR="00224102" w:rsidRPr="00350DD1" w:rsidRDefault="00224102" w:rsidP="00224102">
            <w:pPr>
              <w:jc w:val="right"/>
              <w:rPr>
                <w:color w:val="000000"/>
                <w:sz w:val="16"/>
                <w:szCs w:val="16"/>
              </w:rPr>
            </w:pPr>
            <w:r w:rsidRPr="00F604F2">
              <w:rPr>
                <w:color w:val="000000"/>
                <w:sz w:val="18"/>
                <w:szCs w:val="18"/>
              </w:rPr>
              <w:t>-</w:t>
            </w:r>
          </w:p>
        </w:tc>
      </w:tr>
      <w:tr w:rsidR="00224102" w:rsidRPr="00923A53" w14:paraId="1378942B" w14:textId="77777777" w:rsidTr="00702219">
        <w:trPr>
          <w:trHeight w:hRule="exact" w:val="227"/>
        </w:trPr>
        <w:tc>
          <w:tcPr>
            <w:tcW w:w="4252" w:type="dxa"/>
            <w:vAlign w:val="bottom"/>
          </w:tcPr>
          <w:p w14:paraId="3E0BECC8" w14:textId="77777777" w:rsidR="00224102" w:rsidRPr="0032757D" w:rsidRDefault="00224102" w:rsidP="00224102">
            <w:pPr>
              <w:rPr>
                <w:color w:val="000000"/>
                <w:sz w:val="18"/>
                <w:szCs w:val="18"/>
              </w:rPr>
            </w:pPr>
            <w:r w:rsidRPr="0032757D">
              <w:rPr>
                <w:color w:val="000000"/>
                <w:sz w:val="18"/>
                <w:szCs w:val="18"/>
              </w:rPr>
              <w:t>Other Receivables</w:t>
            </w:r>
          </w:p>
        </w:tc>
        <w:tc>
          <w:tcPr>
            <w:tcW w:w="993" w:type="dxa"/>
            <w:vAlign w:val="bottom"/>
          </w:tcPr>
          <w:p w14:paraId="6A8791F1" w14:textId="62D78705" w:rsidR="00224102" w:rsidRPr="00350DD1" w:rsidRDefault="00224102" w:rsidP="00224102">
            <w:pPr>
              <w:ind w:right="-23"/>
              <w:jc w:val="right"/>
              <w:rPr>
                <w:rFonts w:eastAsia="Arial Unicode MS"/>
                <w:sz w:val="16"/>
                <w:szCs w:val="16"/>
              </w:rPr>
            </w:pPr>
            <w:r w:rsidRPr="00F604F2">
              <w:rPr>
                <w:rFonts w:eastAsia="Arial Unicode MS"/>
                <w:sz w:val="18"/>
                <w:szCs w:val="18"/>
              </w:rPr>
              <w:t>-</w:t>
            </w:r>
          </w:p>
        </w:tc>
        <w:tc>
          <w:tcPr>
            <w:tcW w:w="1134" w:type="dxa"/>
            <w:vAlign w:val="bottom"/>
          </w:tcPr>
          <w:p w14:paraId="6DF6A9DB" w14:textId="68CCFA63" w:rsidR="00224102" w:rsidRPr="00350DD1" w:rsidRDefault="00224102" w:rsidP="00224102">
            <w:pPr>
              <w:jc w:val="right"/>
              <w:rPr>
                <w:color w:val="000000"/>
                <w:sz w:val="16"/>
                <w:szCs w:val="16"/>
              </w:rPr>
            </w:pPr>
            <w:r w:rsidRPr="00F604F2">
              <w:rPr>
                <w:color w:val="000000"/>
                <w:sz w:val="18"/>
                <w:szCs w:val="18"/>
              </w:rPr>
              <w:t>-</w:t>
            </w:r>
          </w:p>
        </w:tc>
        <w:tc>
          <w:tcPr>
            <w:tcW w:w="992" w:type="dxa"/>
            <w:vAlign w:val="bottom"/>
          </w:tcPr>
          <w:p w14:paraId="2ADF3890" w14:textId="3845A477" w:rsidR="00224102" w:rsidRPr="00350DD1" w:rsidRDefault="00224102" w:rsidP="00224102">
            <w:pPr>
              <w:jc w:val="right"/>
              <w:rPr>
                <w:color w:val="000000"/>
                <w:sz w:val="16"/>
                <w:szCs w:val="16"/>
              </w:rPr>
            </w:pPr>
            <w:r w:rsidRPr="00F604F2">
              <w:rPr>
                <w:color w:val="000000"/>
                <w:sz w:val="18"/>
                <w:szCs w:val="18"/>
              </w:rPr>
              <w:t>-</w:t>
            </w:r>
          </w:p>
        </w:tc>
        <w:tc>
          <w:tcPr>
            <w:tcW w:w="923" w:type="dxa"/>
            <w:vAlign w:val="bottom"/>
          </w:tcPr>
          <w:p w14:paraId="5089A57B" w14:textId="78E53037" w:rsidR="00224102" w:rsidRPr="00350DD1" w:rsidRDefault="00224102" w:rsidP="00224102">
            <w:pPr>
              <w:jc w:val="right"/>
              <w:rPr>
                <w:color w:val="000000"/>
                <w:sz w:val="16"/>
                <w:szCs w:val="16"/>
              </w:rPr>
            </w:pPr>
            <w:r w:rsidRPr="00F604F2">
              <w:rPr>
                <w:color w:val="000000"/>
                <w:sz w:val="18"/>
                <w:szCs w:val="18"/>
              </w:rPr>
              <w:t>-</w:t>
            </w:r>
          </w:p>
        </w:tc>
        <w:tc>
          <w:tcPr>
            <w:tcW w:w="936" w:type="dxa"/>
            <w:vAlign w:val="bottom"/>
          </w:tcPr>
          <w:p w14:paraId="4B9E503A" w14:textId="08903C57" w:rsidR="00224102" w:rsidRPr="00350DD1" w:rsidRDefault="00224102" w:rsidP="00224102">
            <w:pPr>
              <w:jc w:val="right"/>
              <w:rPr>
                <w:color w:val="000000"/>
                <w:sz w:val="16"/>
                <w:szCs w:val="16"/>
              </w:rPr>
            </w:pPr>
            <w:r w:rsidRPr="00F604F2">
              <w:rPr>
                <w:color w:val="000000"/>
                <w:sz w:val="18"/>
                <w:szCs w:val="18"/>
              </w:rPr>
              <w:t>-</w:t>
            </w:r>
          </w:p>
        </w:tc>
      </w:tr>
      <w:tr w:rsidR="00224102" w:rsidRPr="00AB4200" w14:paraId="0C9FFE85" w14:textId="77777777" w:rsidTr="00702219">
        <w:trPr>
          <w:trHeight w:hRule="exact" w:val="227"/>
        </w:trPr>
        <w:tc>
          <w:tcPr>
            <w:tcW w:w="4252" w:type="dxa"/>
            <w:vAlign w:val="bottom"/>
          </w:tcPr>
          <w:p w14:paraId="13D8F9F5" w14:textId="77777777" w:rsidR="00224102" w:rsidRPr="00AB4200" w:rsidRDefault="00224102" w:rsidP="00224102">
            <w:pPr>
              <w:pStyle w:val="BodyTextIndent"/>
              <w:tabs>
                <w:tab w:val="left" w:pos="1276"/>
              </w:tabs>
              <w:spacing w:after="0"/>
              <w:ind w:left="-38" w:right="-78"/>
              <w:rPr>
                <w:b/>
                <w:sz w:val="16"/>
                <w:szCs w:val="16"/>
              </w:rPr>
            </w:pPr>
            <w:r w:rsidRPr="00AB4200">
              <w:rPr>
                <w:b/>
                <w:sz w:val="16"/>
                <w:szCs w:val="16"/>
              </w:rPr>
              <w:t>TOTAL</w:t>
            </w:r>
          </w:p>
        </w:tc>
        <w:tc>
          <w:tcPr>
            <w:tcW w:w="993" w:type="dxa"/>
            <w:vAlign w:val="bottom"/>
          </w:tcPr>
          <w:p w14:paraId="05F9F8A9" w14:textId="401F4F7F" w:rsidR="00224102" w:rsidRPr="00350DD1" w:rsidRDefault="00224102" w:rsidP="00224102">
            <w:pPr>
              <w:jc w:val="right"/>
              <w:rPr>
                <w:b/>
                <w:bCs/>
                <w:sz w:val="16"/>
                <w:szCs w:val="16"/>
              </w:rPr>
            </w:pPr>
            <w:r w:rsidRPr="00F604F2">
              <w:rPr>
                <w:b/>
                <w:bCs/>
                <w:sz w:val="18"/>
                <w:szCs w:val="18"/>
              </w:rPr>
              <w:t>3,403,292</w:t>
            </w:r>
          </w:p>
        </w:tc>
        <w:tc>
          <w:tcPr>
            <w:tcW w:w="1134" w:type="dxa"/>
            <w:vAlign w:val="bottom"/>
          </w:tcPr>
          <w:p w14:paraId="61C517E6" w14:textId="1A1D5516" w:rsidR="00224102" w:rsidRPr="00350DD1" w:rsidRDefault="00224102" w:rsidP="00224102">
            <w:pPr>
              <w:jc w:val="right"/>
              <w:rPr>
                <w:b/>
                <w:bCs/>
                <w:sz w:val="16"/>
                <w:szCs w:val="16"/>
              </w:rPr>
            </w:pPr>
            <w:r w:rsidRPr="00F604F2">
              <w:rPr>
                <w:b/>
                <w:bCs/>
                <w:sz w:val="18"/>
                <w:szCs w:val="18"/>
              </w:rPr>
              <w:t>836,764</w:t>
            </w:r>
          </w:p>
        </w:tc>
        <w:tc>
          <w:tcPr>
            <w:tcW w:w="992" w:type="dxa"/>
            <w:vAlign w:val="bottom"/>
          </w:tcPr>
          <w:p w14:paraId="6132CEB6" w14:textId="66B3292F" w:rsidR="00224102" w:rsidRPr="00350DD1" w:rsidRDefault="00224102" w:rsidP="00224102">
            <w:pPr>
              <w:jc w:val="right"/>
              <w:rPr>
                <w:b/>
                <w:bCs/>
                <w:sz w:val="16"/>
                <w:szCs w:val="16"/>
              </w:rPr>
            </w:pPr>
            <w:r w:rsidRPr="00F604F2">
              <w:rPr>
                <w:b/>
                <w:bCs/>
                <w:sz w:val="18"/>
                <w:szCs w:val="18"/>
              </w:rPr>
              <w:t>1,285,591</w:t>
            </w:r>
          </w:p>
        </w:tc>
        <w:tc>
          <w:tcPr>
            <w:tcW w:w="923" w:type="dxa"/>
            <w:vAlign w:val="bottom"/>
          </w:tcPr>
          <w:p w14:paraId="7530F521" w14:textId="644EA662" w:rsidR="00224102" w:rsidRPr="00350DD1" w:rsidRDefault="00224102" w:rsidP="00224102">
            <w:pPr>
              <w:jc w:val="right"/>
              <w:rPr>
                <w:b/>
                <w:bCs/>
                <w:sz w:val="16"/>
                <w:szCs w:val="16"/>
              </w:rPr>
            </w:pPr>
            <w:r w:rsidRPr="00F604F2">
              <w:rPr>
                <w:b/>
                <w:bCs/>
                <w:sz w:val="18"/>
                <w:szCs w:val="18"/>
              </w:rPr>
              <w:t>1,975,202</w:t>
            </w:r>
          </w:p>
        </w:tc>
        <w:tc>
          <w:tcPr>
            <w:tcW w:w="936" w:type="dxa"/>
            <w:vAlign w:val="bottom"/>
          </w:tcPr>
          <w:p w14:paraId="7238EB18" w14:textId="3C043634" w:rsidR="00224102" w:rsidRPr="00350DD1" w:rsidRDefault="00224102" w:rsidP="00224102">
            <w:pPr>
              <w:jc w:val="right"/>
              <w:rPr>
                <w:b/>
                <w:bCs/>
                <w:sz w:val="16"/>
                <w:szCs w:val="16"/>
              </w:rPr>
            </w:pPr>
            <w:r w:rsidRPr="00F604F2">
              <w:rPr>
                <w:b/>
                <w:bCs/>
                <w:sz w:val="18"/>
                <w:szCs w:val="18"/>
              </w:rPr>
              <w:t>6,886,486</w:t>
            </w:r>
          </w:p>
        </w:tc>
      </w:tr>
    </w:tbl>
    <w:p w14:paraId="70F3DF19" w14:textId="5115BB36" w:rsidR="00702219" w:rsidRPr="008C7454" w:rsidRDefault="00702219" w:rsidP="00195EDC">
      <w:pPr>
        <w:tabs>
          <w:tab w:val="left" w:pos="6115"/>
          <w:tab w:val="left" w:pos="7375"/>
        </w:tabs>
        <w:spacing w:before="60"/>
        <w:ind w:left="142"/>
        <w:jc w:val="both"/>
        <w:rPr>
          <w:sz w:val="20"/>
          <w:szCs w:val="20"/>
        </w:rPr>
      </w:pPr>
      <w:r>
        <w:rPr>
          <w:sz w:val="20"/>
          <w:szCs w:val="20"/>
        </w:rPr>
        <w:t>(*)</w:t>
      </w:r>
      <w:r w:rsidR="00B30C53">
        <w:rPr>
          <w:sz w:val="20"/>
          <w:szCs w:val="20"/>
        </w:rPr>
        <w:t xml:space="preserve"> </w:t>
      </w:r>
      <w:r>
        <w:rPr>
          <w:sz w:val="20"/>
          <w:szCs w:val="20"/>
        </w:rPr>
        <w:t xml:space="preserve">Risk amounting to </w:t>
      </w:r>
      <w:r w:rsidRPr="00195EDC">
        <w:rPr>
          <w:sz w:val="20"/>
          <w:szCs w:val="20"/>
        </w:rPr>
        <w:t xml:space="preserve">TL </w:t>
      </w:r>
      <w:r w:rsidR="00350DD1" w:rsidRPr="00195EDC">
        <w:rPr>
          <w:sz w:val="20"/>
          <w:szCs w:val="20"/>
        </w:rPr>
        <w:t>1,844,580</w:t>
      </w:r>
      <w:r w:rsidRPr="00195EDC">
        <w:rPr>
          <w:sz w:val="20"/>
          <w:szCs w:val="20"/>
        </w:rPr>
        <w:t xml:space="preserve"> is on</w:t>
      </w:r>
      <w:r w:rsidRPr="008C7454">
        <w:rPr>
          <w:sz w:val="20"/>
          <w:szCs w:val="20"/>
        </w:rPr>
        <w:t xml:space="preserve"> demand and not showed on the table above.</w:t>
      </w:r>
    </w:p>
    <w:p w14:paraId="56C2B76B" w14:textId="77777777" w:rsidR="00702219" w:rsidRPr="008C7454" w:rsidRDefault="00702219" w:rsidP="00702219">
      <w:pPr>
        <w:ind w:left="851"/>
        <w:jc w:val="both"/>
        <w:rPr>
          <w:b/>
          <w:sz w:val="20"/>
          <w:szCs w:val="20"/>
        </w:rPr>
      </w:pPr>
    </w:p>
    <w:p w14:paraId="07036F19" w14:textId="0C7328D1" w:rsidR="00702219" w:rsidRPr="008C7454" w:rsidRDefault="00195EDC" w:rsidP="00B85547">
      <w:pPr>
        <w:pStyle w:val="BodyTextIndent"/>
        <w:tabs>
          <w:tab w:val="left" w:pos="284"/>
        </w:tabs>
        <w:spacing w:after="0"/>
        <w:ind w:left="98"/>
        <w:rPr>
          <w:b/>
          <w:sz w:val="20"/>
          <w:szCs w:val="20"/>
        </w:rPr>
      </w:pPr>
      <w:r>
        <w:rPr>
          <w:b/>
          <w:sz w:val="20"/>
          <w:szCs w:val="20"/>
        </w:rPr>
        <w:t>i. Exposures</w:t>
      </w:r>
      <w:r w:rsidR="00702219" w:rsidRPr="008C7454">
        <w:rPr>
          <w:b/>
          <w:sz w:val="20"/>
          <w:szCs w:val="20"/>
        </w:rPr>
        <w:t xml:space="preserve"> by risk weights:</w:t>
      </w:r>
    </w:p>
    <w:p w14:paraId="29C9C2C9" w14:textId="77777777" w:rsidR="00702219" w:rsidRPr="008C7454" w:rsidRDefault="00702219" w:rsidP="00702219">
      <w:pPr>
        <w:pStyle w:val="BodyTextIndent"/>
        <w:tabs>
          <w:tab w:val="left" w:pos="1276"/>
        </w:tabs>
        <w:spacing w:after="0"/>
        <w:ind w:left="851"/>
        <w:rPr>
          <w:b/>
          <w:sz w:val="20"/>
          <w:szCs w:val="20"/>
        </w:rPr>
      </w:pPr>
    </w:p>
    <w:tbl>
      <w:tblPr>
        <w:tblW w:w="9304" w:type="dxa"/>
        <w:tblInd w:w="11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12"/>
        <w:gridCol w:w="1749"/>
        <w:gridCol w:w="771"/>
        <w:gridCol w:w="588"/>
        <w:gridCol w:w="559"/>
        <w:gridCol w:w="685"/>
        <w:gridCol w:w="714"/>
        <w:gridCol w:w="684"/>
        <w:gridCol w:w="605"/>
        <w:gridCol w:w="622"/>
        <w:gridCol w:w="571"/>
        <w:gridCol w:w="644"/>
        <w:gridCol w:w="900"/>
      </w:tblGrid>
      <w:tr w:rsidR="00702219" w14:paraId="5DBF1EF5" w14:textId="77777777" w:rsidTr="00B85547">
        <w:trPr>
          <w:trHeight w:val="435"/>
        </w:trPr>
        <w:tc>
          <w:tcPr>
            <w:tcW w:w="212" w:type="dxa"/>
            <w:shd w:val="clear" w:color="auto" w:fill="auto"/>
            <w:tcMar>
              <w:top w:w="15" w:type="dxa"/>
              <w:left w:w="15" w:type="dxa"/>
              <w:bottom w:w="0" w:type="dxa"/>
              <w:right w:w="15" w:type="dxa"/>
            </w:tcMar>
            <w:vAlign w:val="bottom"/>
            <w:hideMark/>
          </w:tcPr>
          <w:p w14:paraId="3C427568" w14:textId="77777777" w:rsidR="00702219" w:rsidRDefault="00702219" w:rsidP="00400883">
            <w:pPr>
              <w:rPr>
                <w:b/>
                <w:bCs/>
                <w:color w:val="000000"/>
                <w:sz w:val="16"/>
                <w:szCs w:val="16"/>
              </w:rPr>
            </w:pPr>
            <w:r>
              <w:rPr>
                <w:b/>
                <w:bCs/>
                <w:color w:val="000000"/>
                <w:sz w:val="16"/>
                <w:szCs w:val="16"/>
                <w:lang w:val="tr-TR"/>
              </w:rPr>
              <w:t> </w:t>
            </w:r>
          </w:p>
        </w:tc>
        <w:tc>
          <w:tcPr>
            <w:tcW w:w="1749" w:type="dxa"/>
            <w:shd w:val="clear" w:color="auto" w:fill="auto"/>
            <w:noWrap/>
            <w:tcMar>
              <w:top w:w="15" w:type="dxa"/>
              <w:left w:w="15" w:type="dxa"/>
              <w:bottom w:w="0" w:type="dxa"/>
              <w:right w:w="15" w:type="dxa"/>
            </w:tcMar>
            <w:vAlign w:val="bottom"/>
            <w:hideMark/>
          </w:tcPr>
          <w:p w14:paraId="5C9EEF32" w14:textId="77777777" w:rsidR="00702219" w:rsidRDefault="00702219" w:rsidP="00400883">
            <w:pPr>
              <w:rPr>
                <w:b/>
                <w:bCs/>
                <w:color w:val="000000"/>
                <w:sz w:val="16"/>
                <w:szCs w:val="16"/>
              </w:rPr>
            </w:pPr>
            <w:r>
              <w:rPr>
                <w:b/>
                <w:bCs/>
                <w:color w:val="000000"/>
                <w:sz w:val="16"/>
                <w:szCs w:val="16"/>
              </w:rPr>
              <w:t>Risk Weights</w:t>
            </w:r>
          </w:p>
        </w:tc>
        <w:tc>
          <w:tcPr>
            <w:tcW w:w="771" w:type="dxa"/>
            <w:shd w:val="clear" w:color="auto" w:fill="auto"/>
            <w:tcMar>
              <w:top w:w="15" w:type="dxa"/>
              <w:left w:w="15" w:type="dxa"/>
              <w:bottom w:w="0" w:type="dxa"/>
              <w:right w:w="15" w:type="dxa"/>
            </w:tcMar>
            <w:vAlign w:val="bottom"/>
            <w:hideMark/>
          </w:tcPr>
          <w:p w14:paraId="584B37E4" w14:textId="77777777" w:rsidR="00702219" w:rsidRDefault="00702219" w:rsidP="00400883">
            <w:pPr>
              <w:jc w:val="right"/>
              <w:rPr>
                <w:b/>
                <w:bCs/>
                <w:color w:val="000000"/>
                <w:sz w:val="16"/>
                <w:szCs w:val="16"/>
              </w:rPr>
            </w:pPr>
            <w:r>
              <w:rPr>
                <w:b/>
                <w:bCs/>
                <w:color w:val="000000"/>
                <w:sz w:val="16"/>
                <w:szCs w:val="16"/>
                <w:lang w:val="tr-TR"/>
              </w:rPr>
              <w:t>0%</w:t>
            </w:r>
          </w:p>
        </w:tc>
        <w:tc>
          <w:tcPr>
            <w:tcW w:w="588" w:type="dxa"/>
            <w:shd w:val="clear" w:color="auto" w:fill="auto"/>
            <w:tcMar>
              <w:top w:w="15" w:type="dxa"/>
              <w:left w:w="15" w:type="dxa"/>
              <w:bottom w:w="0" w:type="dxa"/>
              <w:right w:w="15" w:type="dxa"/>
            </w:tcMar>
            <w:vAlign w:val="bottom"/>
            <w:hideMark/>
          </w:tcPr>
          <w:p w14:paraId="58AC00CA" w14:textId="77777777" w:rsidR="00702219" w:rsidRDefault="00702219" w:rsidP="00400883">
            <w:pPr>
              <w:jc w:val="right"/>
              <w:rPr>
                <w:b/>
                <w:bCs/>
                <w:color w:val="000000"/>
                <w:sz w:val="16"/>
                <w:szCs w:val="16"/>
              </w:rPr>
            </w:pPr>
            <w:r>
              <w:rPr>
                <w:b/>
                <w:bCs/>
                <w:color w:val="000000"/>
                <w:sz w:val="16"/>
                <w:szCs w:val="16"/>
                <w:lang w:val="tr-TR"/>
              </w:rPr>
              <w:t>10%</w:t>
            </w:r>
          </w:p>
        </w:tc>
        <w:tc>
          <w:tcPr>
            <w:tcW w:w="559" w:type="dxa"/>
            <w:shd w:val="clear" w:color="auto" w:fill="auto"/>
            <w:tcMar>
              <w:top w:w="15" w:type="dxa"/>
              <w:left w:w="15" w:type="dxa"/>
              <w:bottom w:w="0" w:type="dxa"/>
              <w:right w:w="15" w:type="dxa"/>
            </w:tcMar>
            <w:vAlign w:val="bottom"/>
            <w:hideMark/>
          </w:tcPr>
          <w:p w14:paraId="59A732DA" w14:textId="77777777" w:rsidR="00702219" w:rsidRDefault="00702219" w:rsidP="00400883">
            <w:pPr>
              <w:jc w:val="right"/>
              <w:rPr>
                <w:b/>
                <w:bCs/>
                <w:color w:val="000000"/>
                <w:sz w:val="16"/>
                <w:szCs w:val="16"/>
              </w:rPr>
            </w:pPr>
            <w:r>
              <w:rPr>
                <w:b/>
                <w:bCs/>
                <w:color w:val="000000"/>
                <w:sz w:val="16"/>
                <w:szCs w:val="16"/>
                <w:lang w:val="tr-TR"/>
              </w:rPr>
              <w:t>20%</w:t>
            </w:r>
          </w:p>
        </w:tc>
        <w:tc>
          <w:tcPr>
            <w:tcW w:w="685" w:type="dxa"/>
            <w:shd w:val="clear" w:color="auto" w:fill="auto"/>
            <w:tcMar>
              <w:top w:w="15" w:type="dxa"/>
              <w:left w:w="15" w:type="dxa"/>
              <w:bottom w:w="0" w:type="dxa"/>
              <w:right w:w="15" w:type="dxa"/>
            </w:tcMar>
            <w:vAlign w:val="bottom"/>
            <w:hideMark/>
          </w:tcPr>
          <w:p w14:paraId="7E56BD7E" w14:textId="77777777" w:rsidR="00702219" w:rsidRDefault="00702219" w:rsidP="00400883">
            <w:pPr>
              <w:jc w:val="right"/>
              <w:rPr>
                <w:b/>
                <w:bCs/>
                <w:color w:val="000000"/>
                <w:sz w:val="16"/>
                <w:szCs w:val="16"/>
              </w:rPr>
            </w:pPr>
            <w:r>
              <w:rPr>
                <w:b/>
                <w:bCs/>
                <w:color w:val="000000"/>
                <w:sz w:val="16"/>
                <w:szCs w:val="16"/>
                <w:lang w:val="tr-TR"/>
              </w:rPr>
              <w:t>50%</w:t>
            </w:r>
          </w:p>
        </w:tc>
        <w:tc>
          <w:tcPr>
            <w:tcW w:w="714" w:type="dxa"/>
            <w:shd w:val="clear" w:color="auto" w:fill="auto"/>
            <w:tcMar>
              <w:top w:w="15" w:type="dxa"/>
              <w:left w:w="15" w:type="dxa"/>
              <w:bottom w:w="0" w:type="dxa"/>
              <w:right w:w="15" w:type="dxa"/>
            </w:tcMar>
            <w:vAlign w:val="bottom"/>
            <w:hideMark/>
          </w:tcPr>
          <w:p w14:paraId="60B084FB" w14:textId="77777777" w:rsidR="00702219" w:rsidRDefault="00702219" w:rsidP="00400883">
            <w:pPr>
              <w:jc w:val="right"/>
              <w:rPr>
                <w:b/>
                <w:bCs/>
                <w:color w:val="000000"/>
                <w:sz w:val="16"/>
                <w:szCs w:val="16"/>
              </w:rPr>
            </w:pPr>
            <w:r>
              <w:rPr>
                <w:b/>
                <w:bCs/>
                <w:color w:val="000000"/>
                <w:sz w:val="16"/>
                <w:szCs w:val="16"/>
                <w:lang w:val="tr-TR"/>
              </w:rPr>
              <w:t>75%</w:t>
            </w:r>
          </w:p>
        </w:tc>
        <w:tc>
          <w:tcPr>
            <w:tcW w:w="684" w:type="dxa"/>
            <w:shd w:val="clear" w:color="auto" w:fill="auto"/>
            <w:tcMar>
              <w:top w:w="15" w:type="dxa"/>
              <w:left w:w="15" w:type="dxa"/>
              <w:bottom w:w="0" w:type="dxa"/>
              <w:right w:w="15" w:type="dxa"/>
            </w:tcMar>
            <w:vAlign w:val="bottom"/>
            <w:hideMark/>
          </w:tcPr>
          <w:p w14:paraId="6EEA74E9" w14:textId="77777777" w:rsidR="00702219" w:rsidRDefault="00702219" w:rsidP="00400883">
            <w:pPr>
              <w:jc w:val="right"/>
              <w:rPr>
                <w:b/>
                <w:bCs/>
                <w:color w:val="000000"/>
                <w:sz w:val="16"/>
                <w:szCs w:val="16"/>
              </w:rPr>
            </w:pPr>
            <w:r>
              <w:rPr>
                <w:b/>
                <w:bCs/>
                <w:color w:val="000000"/>
                <w:sz w:val="16"/>
                <w:szCs w:val="16"/>
                <w:lang w:val="tr-TR"/>
              </w:rPr>
              <w:t>100%</w:t>
            </w:r>
          </w:p>
        </w:tc>
        <w:tc>
          <w:tcPr>
            <w:tcW w:w="605" w:type="dxa"/>
            <w:shd w:val="clear" w:color="auto" w:fill="auto"/>
            <w:tcMar>
              <w:top w:w="15" w:type="dxa"/>
              <w:left w:w="15" w:type="dxa"/>
              <w:bottom w:w="0" w:type="dxa"/>
              <w:right w:w="15" w:type="dxa"/>
            </w:tcMar>
            <w:vAlign w:val="bottom"/>
            <w:hideMark/>
          </w:tcPr>
          <w:p w14:paraId="339405C8" w14:textId="77777777" w:rsidR="00702219" w:rsidRDefault="00702219" w:rsidP="00400883">
            <w:pPr>
              <w:jc w:val="right"/>
              <w:rPr>
                <w:b/>
                <w:bCs/>
                <w:color w:val="000000"/>
                <w:sz w:val="16"/>
                <w:szCs w:val="16"/>
              </w:rPr>
            </w:pPr>
            <w:r>
              <w:rPr>
                <w:b/>
                <w:bCs/>
                <w:color w:val="000000"/>
                <w:sz w:val="16"/>
                <w:szCs w:val="16"/>
                <w:lang w:val="tr-TR"/>
              </w:rPr>
              <w:t>150%</w:t>
            </w:r>
          </w:p>
        </w:tc>
        <w:tc>
          <w:tcPr>
            <w:tcW w:w="622" w:type="dxa"/>
            <w:shd w:val="clear" w:color="auto" w:fill="auto"/>
            <w:tcMar>
              <w:top w:w="15" w:type="dxa"/>
              <w:left w:w="15" w:type="dxa"/>
              <w:bottom w:w="0" w:type="dxa"/>
              <w:right w:w="15" w:type="dxa"/>
            </w:tcMar>
            <w:vAlign w:val="bottom"/>
            <w:hideMark/>
          </w:tcPr>
          <w:p w14:paraId="50AE9C4D" w14:textId="77777777" w:rsidR="00702219" w:rsidRDefault="00702219" w:rsidP="00400883">
            <w:pPr>
              <w:jc w:val="right"/>
              <w:rPr>
                <w:b/>
                <w:bCs/>
                <w:color w:val="000000"/>
                <w:sz w:val="16"/>
                <w:szCs w:val="16"/>
              </w:rPr>
            </w:pPr>
            <w:r>
              <w:rPr>
                <w:b/>
                <w:bCs/>
                <w:color w:val="000000"/>
                <w:sz w:val="16"/>
                <w:szCs w:val="16"/>
                <w:lang w:val="tr-TR"/>
              </w:rPr>
              <w:t>200%</w:t>
            </w:r>
          </w:p>
        </w:tc>
        <w:tc>
          <w:tcPr>
            <w:tcW w:w="571" w:type="dxa"/>
            <w:shd w:val="clear" w:color="auto" w:fill="auto"/>
            <w:tcMar>
              <w:top w:w="15" w:type="dxa"/>
              <w:left w:w="15" w:type="dxa"/>
              <w:bottom w:w="0" w:type="dxa"/>
              <w:right w:w="15" w:type="dxa"/>
            </w:tcMar>
            <w:vAlign w:val="bottom"/>
            <w:hideMark/>
          </w:tcPr>
          <w:p w14:paraId="55AF1D39" w14:textId="77777777" w:rsidR="00702219" w:rsidRDefault="00702219" w:rsidP="00400883">
            <w:pPr>
              <w:jc w:val="right"/>
              <w:rPr>
                <w:b/>
                <w:bCs/>
                <w:color w:val="000000"/>
                <w:sz w:val="16"/>
                <w:szCs w:val="16"/>
              </w:rPr>
            </w:pPr>
            <w:r>
              <w:rPr>
                <w:b/>
                <w:bCs/>
                <w:color w:val="000000"/>
                <w:sz w:val="16"/>
                <w:szCs w:val="16"/>
                <w:lang w:val="tr-TR"/>
              </w:rPr>
              <w:t>250%</w:t>
            </w:r>
          </w:p>
        </w:tc>
        <w:tc>
          <w:tcPr>
            <w:tcW w:w="644" w:type="dxa"/>
            <w:shd w:val="clear" w:color="auto" w:fill="auto"/>
            <w:tcMar>
              <w:top w:w="15" w:type="dxa"/>
              <w:left w:w="15" w:type="dxa"/>
              <w:bottom w:w="0" w:type="dxa"/>
              <w:right w:w="15" w:type="dxa"/>
            </w:tcMar>
            <w:vAlign w:val="bottom"/>
            <w:hideMark/>
          </w:tcPr>
          <w:p w14:paraId="3A00F916" w14:textId="77777777" w:rsidR="00702219" w:rsidRDefault="00702219" w:rsidP="00400883">
            <w:pPr>
              <w:jc w:val="right"/>
              <w:rPr>
                <w:b/>
                <w:bCs/>
                <w:color w:val="000000"/>
                <w:sz w:val="16"/>
                <w:szCs w:val="16"/>
              </w:rPr>
            </w:pPr>
            <w:r>
              <w:rPr>
                <w:b/>
                <w:bCs/>
                <w:color w:val="000000"/>
                <w:sz w:val="16"/>
                <w:szCs w:val="16"/>
                <w:lang w:val="tr-TR"/>
              </w:rPr>
              <w:t>1250%</w:t>
            </w:r>
          </w:p>
        </w:tc>
        <w:tc>
          <w:tcPr>
            <w:tcW w:w="900" w:type="dxa"/>
            <w:shd w:val="clear" w:color="auto" w:fill="auto"/>
            <w:tcMar>
              <w:top w:w="15" w:type="dxa"/>
              <w:left w:w="15" w:type="dxa"/>
              <w:bottom w:w="0" w:type="dxa"/>
              <w:right w:w="15" w:type="dxa"/>
            </w:tcMar>
            <w:vAlign w:val="bottom"/>
            <w:hideMark/>
          </w:tcPr>
          <w:p w14:paraId="5260919D" w14:textId="77777777" w:rsidR="00702219" w:rsidRDefault="00702219" w:rsidP="00400883">
            <w:pPr>
              <w:jc w:val="center"/>
              <w:rPr>
                <w:b/>
                <w:bCs/>
                <w:color w:val="000000"/>
                <w:sz w:val="16"/>
                <w:szCs w:val="16"/>
              </w:rPr>
            </w:pPr>
            <w:r>
              <w:rPr>
                <w:b/>
                <w:bCs/>
                <w:color w:val="000000"/>
                <w:sz w:val="16"/>
                <w:szCs w:val="16"/>
                <w:lang w:val="tr-TR"/>
              </w:rPr>
              <w:t xml:space="preserve"> Deductions from Equity</w:t>
            </w:r>
          </w:p>
        </w:tc>
      </w:tr>
      <w:tr w:rsidR="00224102" w14:paraId="0D1311E6" w14:textId="77777777" w:rsidTr="00B85547">
        <w:trPr>
          <w:trHeight w:val="565"/>
        </w:trPr>
        <w:tc>
          <w:tcPr>
            <w:tcW w:w="212" w:type="dxa"/>
            <w:shd w:val="clear" w:color="auto" w:fill="auto"/>
            <w:tcMar>
              <w:top w:w="15" w:type="dxa"/>
              <w:left w:w="15" w:type="dxa"/>
              <w:bottom w:w="0" w:type="dxa"/>
              <w:right w:w="15" w:type="dxa"/>
            </w:tcMar>
            <w:vAlign w:val="center"/>
            <w:hideMark/>
          </w:tcPr>
          <w:p w14:paraId="08137E90" w14:textId="77777777" w:rsidR="00224102" w:rsidRDefault="00224102" w:rsidP="00224102">
            <w:pPr>
              <w:jc w:val="center"/>
              <w:rPr>
                <w:b/>
                <w:bCs/>
                <w:color w:val="000000"/>
                <w:sz w:val="16"/>
                <w:szCs w:val="16"/>
              </w:rPr>
            </w:pPr>
            <w:r>
              <w:rPr>
                <w:b/>
                <w:bCs/>
                <w:color w:val="000000"/>
                <w:sz w:val="16"/>
                <w:szCs w:val="16"/>
                <w:lang w:val="tr-TR"/>
              </w:rPr>
              <w:t>1</w:t>
            </w:r>
          </w:p>
        </w:tc>
        <w:tc>
          <w:tcPr>
            <w:tcW w:w="1749" w:type="dxa"/>
            <w:shd w:val="clear" w:color="auto" w:fill="auto"/>
            <w:tcMar>
              <w:top w:w="15" w:type="dxa"/>
              <w:left w:w="15" w:type="dxa"/>
              <w:bottom w:w="0" w:type="dxa"/>
              <w:right w:w="15" w:type="dxa"/>
            </w:tcMar>
            <w:vAlign w:val="bottom"/>
            <w:hideMark/>
          </w:tcPr>
          <w:p w14:paraId="6EEB20D1" w14:textId="77777777" w:rsidR="00224102" w:rsidRDefault="00224102" w:rsidP="00224102">
            <w:pPr>
              <w:rPr>
                <w:color w:val="000000"/>
                <w:sz w:val="16"/>
                <w:szCs w:val="16"/>
              </w:rPr>
            </w:pPr>
            <w:r>
              <w:rPr>
                <w:sz w:val="16"/>
                <w:szCs w:val="16"/>
              </w:rPr>
              <w:t>Amount</w:t>
            </w:r>
            <w:r w:rsidRPr="007E5AA9">
              <w:rPr>
                <w:sz w:val="16"/>
                <w:szCs w:val="16"/>
              </w:rPr>
              <w:t xml:space="preserve"> before Credit Risk Mitigation</w:t>
            </w:r>
          </w:p>
        </w:tc>
        <w:tc>
          <w:tcPr>
            <w:tcW w:w="771" w:type="dxa"/>
            <w:shd w:val="clear" w:color="auto" w:fill="auto"/>
            <w:tcMar>
              <w:top w:w="15" w:type="dxa"/>
              <w:left w:w="15" w:type="dxa"/>
              <w:bottom w:w="0" w:type="dxa"/>
              <w:right w:w="15" w:type="dxa"/>
            </w:tcMar>
            <w:vAlign w:val="bottom"/>
          </w:tcPr>
          <w:p w14:paraId="4D56EF35" w14:textId="725AE6EC" w:rsidR="00224102" w:rsidRPr="00C549F4" w:rsidRDefault="00224102" w:rsidP="00224102">
            <w:pPr>
              <w:jc w:val="right"/>
              <w:rPr>
                <w:sz w:val="16"/>
                <w:szCs w:val="16"/>
              </w:rPr>
            </w:pPr>
            <w:r w:rsidRPr="00F604F2">
              <w:rPr>
                <w:sz w:val="16"/>
                <w:szCs w:val="16"/>
              </w:rPr>
              <w:t>2,001,648</w:t>
            </w:r>
          </w:p>
        </w:tc>
        <w:tc>
          <w:tcPr>
            <w:tcW w:w="588" w:type="dxa"/>
            <w:shd w:val="clear" w:color="auto" w:fill="auto"/>
            <w:tcMar>
              <w:top w:w="15" w:type="dxa"/>
              <w:left w:w="15" w:type="dxa"/>
              <w:bottom w:w="0" w:type="dxa"/>
              <w:right w:w="15" w:type="dxa"/>
            </w:tcMar>
            <w:vAlign w:val="bottom"/>
          </w:tcPr>
          <w:p w14:paraId="1B2392B5" w14:textId="27F1110B" w:rsidR="00224102" w:rsidRPr="00C549F4" w:rsidRDefault="00224102" w:rsidP="00224102">
            <w:pPr>
              <w:jc w:val="right"/>
              <w:rPr>
                <w:sz w:val="16"/>
                <w:szCs w:val="16"/>
              </w:rPr>
            </w:pPr>
            <w:r w:rsidRPr="00F604F2">
              <w:rPr>
                <w:sz w:val="16"/>
                <w:szCs w:val="16"/>
              </w:rPr>
              <w:t>-</w:t>
            </w:r>
          </w:p>
        </w:tc>
        <w:tc>
          <w:tcPr>
            <w:tcW w:w="559" w:type="dxa"/>
            <w:shd w:val="clear" w:color="auto" w:fill="auto"/>
            <w:tcMar>
              <w:top w:w="15" w:type="dxa"/>
              <w:left w:w="15" w:type="dxa"/>
              <w:bottom w:w="0" w:type="dxa"/>
              <w:right w:w="15" w:type="dxa"/>
            </w:tcMar>
            <w:vAlign w:val="bottom"/>
          </w:tcPr>
          <w:p w14:paraId="3EBFE40C" w14:textId="18E818E5" w:rsidR="00224102" w:rsidRPr="00C549F4" w:rsidRDefault="00224102" w:rsidP="00224102">
            <w:pPr>
              <w:jc w:val="right"/>
              <w:rPr>
                <w:sz w:val="16"/>
                <w:szCs w:val="16"/>
              </w:rPr>
            </w:pPr>
            <w:r w:rsidRPr="00F604F2">
              <w:rPr>
                <w:sz w:val="16"/>
                <w:szCs w:val="16"/>
              </w:rPr>
              <w:t>698,374</w:t>
            </w:r>
          </w:p>
        </w:tc>
        <w:tc>
          <w:tcPr>
            <w:tcW w:w="685" w:type="dxa"/>
            <w:shd w:val="clear" w:color="auto" w:fill="auto"/>
            <w:tcMar>
              <w:top w:w="15" w:type="dxa"/>
              <w:left w:w="15" w:type="dxa"/>
              <w:bottom w:w="0" w:type="dxa"/>
              <w:right w:w="15" w:type="dxa"/>
            </w:tcMar>
            <w:vAlign w:val="bottom"/>
          </w:tcPr>
          <w:p w14:paraId="629C8656" w14:textId="46A313D6" w:rsidR="00224102" w:rsidRPr="00C549F4" w:rsidRDefault="00224102" w:rsidP="00224102">
            <w:pPr>
              <w:jc w:val="right"/>
              <w:rPr>
                <w:sz w:val="16"/>
                <w:szCs w:val="16"/>
              </w:rPr>
            </w:pPr>
            <w:r w:rsidRPr="00F604F2">
              <w:rPr>
                <w:sz w:val="16"/>
                <w:szCs w:val="16"/>
              </w:rPr>
              <w:t>4,009,853</w:t>
            </w:r>
          </w:p>
        </w:tc>
        <w:tc>
          <w:tcPr>
            <w:tcW w:w="714" w:type="dxa"/>
            <w:shd w:val="clear" w:color="auto" w:fill="auto"/>
            <w:tcMar>
              <w:top w:w="15" w:type="dxa"/>
              <w:left w:w="15" w:type="dxa"/>
              <w:bottom w:w="0" w:type="dxa"/>
              <w:right w:w="15" w:type="dxa"/>
            </w:tcMar>
            <w:vAlign w:val="bottom"/>
          </w:tcPr>
          <w:p w14:paraId="29DA7340" w14:textId="2BC6A28E" w:rsidR="00224102" w:rsidRPr="00C549F4" w:rsidRDefault="00224102" w:rsidP="00224102">
            <w:pPr>
              <w:jc w:val="right"/>
              <w:rPr>
                <w:sz w:val="16"/>
                <w:szCs w:val="16"/>
              </w:rPr>
            </w:pPr>
            <w:r w:rsidRPr="00F604F2">
              <w:rPr>
                <w:sz w:val="16"/>
                <w:szCs w:val="16"/>
              </w:rPr>
              <w:t>1,854,529</w:t>
            </w:r>
          </w:p>
        </w:tc>
        <w:tc>
          <w:tcPr>
            <w:tcW w:w="684" w:type="dxa"/>
            <w:shd w:val="clear" w:color="auto" w:fill="auto"/>
            <w:tcMar>
              <w:top w:w="15" w:type="dxa"/>
              <w:left w:w="15" w:type="dxa"/>
              <w:bottom w:w="0" w:type="dxa"/>
              <w:right w:w="15" w:type="dxa"/>
            </w:tcMar>
            <w:vAlign w:val="bottom"/>
          </w:tcPr>
          <w:p w14:paraId="3C842834" w14:textId="677A32FA" w:rsidR="00224102" w:rsidRPr="00C549F4" w:rsidRDefault="00224102" w:rsidP="00224102">
            <w:pPr>
              <w:jc w:val="right"/>
              <w:rPr>
                <w:sz w:val="16"/>
                <w:szCs w:val="16"/>
              </w:rPr>
            </w:pPr>
            <w:r w:rsidRPr="00F604F2">
              <w:rPr>
                <w:sz w:val="16"/>
                <w:szCs w:val="16"/>
              </w:rPr>
              <w:t>7,566,515</w:t>
            </w:r>
          </w:p>
        </w:tc>
        <w:tc>
          <w:tcPr>
            <w:tcW w:w="605" w:type="dxa"/>
            <w:shd w:val="clear" w:color="auto" w:fill="auto"/>
            <w:tcMar>
              <w:top w:w="15" w:type="dxa"/>
              <w:left w:w="15" w:type="dxa"/>
              <w:bottom w:w="0" w:type="dxa"/>
              <w:right w:w="15" w:type="dxa"/>
            </w:tcMar>
            <w:vAlign w:val="bottom"/>
          </w:tcPr>
          <w:p w14:paraId="35073772" w14:textId="3CF6BFB7" w:rsidR="00224102" w:rsidRPr="00C549F4" w:rsidRDefault="00224102" w:rsidP="00224102">
            <w:pPr>
              <w:jc w:val="right"/>
              <w:rPr>
                <w:sz w:val="16"/>
                <w:szCs w:val="16"/>
              </w:rPr>
            </w:pPr>
            <w:r w:rsidRPr="00F604F2">
              <w:rPr>
                <w:sz w:val="16"/>
                <w:szCs w:val="16"/>
              </w:rPr>
              <w:t>68,084</w:t>
            </w:r>
          </w:p>
        </w:tc>
        <w:tc>
          <w:tcPr>
            <w:tcW w:w="622" w:type="dxa"/>
            <w:shd w:val="clear" w:color="auto" w:fill="auto"/>
            <w:tcMar>
              <w:top w:w="15" w:type="dxa"/>
              <w:left w:w="15" w:type="dxa"/>
              <w:bottom w:w="0" w:type="dxa"/>
              <w:right w:w="15" w:type="dxa"/>
            </w:tcMar>
            <w:vAlign w:val="bottom"/>
          </w:tcPr>
          <w:p w14:paraId="70E6E11C" w14:textId="7CEEBFAE" w:rsidR="00224102" w:rsidRPr="00C549F4" w:rsidRDefault="00224102" w:rsidP="00224102">
            <w:pPr>
              <w:jc w:val="right"/>
              <w:rPr>
                <w:sz w:val="16"/>
                <w:szCs w:val="16"/>
              </w:rPr>
            </w:pPr>
            <w:r w:rsidRPr="00F604F2">
              <w:rPr>
                <w:sz w:val="16"/>
                <w:szCs w:val="16"/>
              </w:rPr>
              <w:t>32,913</w:t>
            </w:r>
          </w:p>
        </w:tc>
        <w:tc>
          <w:tcPr>
            <w:tcW w:w="571" w:type="dxa"/>
            <w:shd w:val="clear" w:color="auto" w:fill="auto"/>
            <w:tcMar>
              <w:top w:w="15" w:type="dxa"/>
              <w:left w:w="15" w:type="dxa"/>
              <w:bottom w:w="0" w:type="dxa"/>
              <w:right w:w="15" w:type="dxa"/>
            </w:tcMar>
            <w:vAlign w:val="bottom"/>
          </w:tcPr>
          <w:p w14:paraId="6456E110" w14:textId="22917B7F" w:rsidR="00224102" w:rsidRPr="00C549F4" w:rsidRDefault="00224102" w:rsidP="00224102">
            <w:pPr>
              <w:jc w:val="right"/>
              <w:rPr>
                <w:sz w:val="16"/>
                <w:szCs w:val="16"/>
              </w:rPr>
            </w:pPr>
            <w:r w:rsidRPr="00F604F2">
              <w:rPr>
                <w:sz w:val="16"/>
                <w:szCs w:val="16"/>
              </w:rPr>
              <w:t>-</w:t>
            </w:r>
          </w:p>
        </w:tc>
        <w:tc>
          <w:tcPr>
            <w:tcW w:w="644" w:type="dxa"/>
            <w:shd w:val="clear" w:color="auto" w:fill="auto"/>
            <w:tcMar>
              <w:top w:w="15" w:type="dxa"/>
              <w:left w:w="15" w:type="dxa"/>
              <w:bottom w:w="0" w:type="dxa"/>
              <w:right w:w="15" w:type="dxa"/>
            </w:tcMar>
            <w:vAlign w:val="bottom"/>
          </w:tcPr>
          <w:p w14:paraId="7405003F" w14:textId="7DFCC91D" w:rsidR="00224102" w:rsidRPr="00C549F4" w:rsidRDefault="00224102" w:rsidP="00224102">
            <w:pPr>
              <w:jc w:val="right"/>
              <w:rPr>
                <w:sz w:val="16"/>
                <w:szCs w:val="16"/>
              </w:rPr>
            </w:pPr>
            <w:r w:rsidRPr="00F604F2">
              <w:rPr>
                <w:sz w:val="16"/>
                <w:szCs w:val="16"/>
              </w:rPr>
              <w:t>-</w:t>
            </w:r>
          </w:p>
        </w:tc>
        <w:tc>
          <w:tcPr>
            <w:tcW w:w="900" w:type="dxa"/>
            <w:shd w:val="clear" w:color="auto" w:fill="auto"/>
            <w:tcMar>
              <w:top w:w="15" w:type="dxa"/>
              <w:left w:w="15" w:type="dxa"/>
              <w:bottom w:w="0" w:type="dxa"/>
              <w:right w:w="15" w:type="dxa"/>
            </w:tcMar>
            <w:vAlign w:val="bottom"/>
          </w:tcPr>
          <w:p w14:paraId="7EE75E21" w14:textId="08929452" w:rsidR="00224102" w:rsidRPr="00C549F4" w:rsidRDefault="00224102" w:rsidP="00224102">
            <w:pPr>
              <w:jc w:val="right"/>
              <w:rPr>
                <w:sz w:val="16"/>
                <w:szCs w:val="16"/>
              </w:rPr>
            </w:pPr>
            <w:r w:rsidRPr="00F604F2">
              <w:rPr>
                <w:sz w:val="16"/>
                <w:szCs w:val="16"/>
              </w:rPr>
              <w:t>3,584</w:t>
            </w:r>
          </w:p>
        </w:tc>
      </w:tr>
      <w:tr w:rsidR="00224102" w14:paraId="0FD89164" w14:textId="77777777" w:rsidTr="00B85547">
        <w:trPr>
          <w:trHeight w:val="528"/>
        </w:trPr>
        <w:tc>
          <w:tcPr>
            <w:tcW w:w="212" w:type="dxa"/>
            <w:shd w:val="clear" w:color="auto" w:fill="auto"/>
            <w:tcMar>
              <w:top w:w="15" w:type="dxa"/>
              <w:left w:w="15" w:type="dxa"/>
              <w:bottom w:w="0" w:type="dxa"/>
              <w:right w:w="15" w:type="dxa"/>
            </w:tcMar>
            <w:vAlign w:val="center"/>
            <w:hideMark/>
          </w:tcPr>
          <w:p w14:paraId="2FA26C6A" w14:textId="77777777" w:rsidR="00224102" w:rsidRDefault="00224102" w:rsidP="00224102">
            <w:pPr>
              <w:jc w:val="center"/>
              <w:rPr>
                <w:b/>
                <w:bCs/>
                <w:color w:val="000000"/>
                <w:sz w:val="16"/>
                <w:szCs w:val="16"/>
              </w:rPr>
            </w:pPr>
            <w:r>
              <w:rPr>
                <w:b/>
                <w:bCs/>
                <w:color w:val="000000"/>
                <w:sz w:val="16"/>
                <w:szCs w:val="16"/>
                <w:lang w:val="tr-TR"/>
              </w:rPr>
              <w:t>2</w:t>
            </w:r>
          </w:p>
        </w:tc>
        <w:tc>
          <w:tcPr>
            <w:tcW w:w="1749" w:type="dxa"/>
            <w:shd w:val="clear" w:color="auto" w:fill="auto"/>
            <w:tcMar>
              <w:top w:w="15" w:type="dxa"/>
              <w:left w:w="15" w:type="dxa"/>
              <w:bottom w:w="0" w:type="dxa"/>
              <w:right w:w="15" w:type="dxa"/>
            </w:tcMar>
            <w:vAlign w:val="bottom"/>
            <w:hideMark/>
          </w:tcPr>
          <w:p w14:paraId="0525D968" w14:textId="77777777" w:rsidR="00224102" w:rsidRDefault="00224102" w:rsidP="00224102">
            <w:pPr>
              <w:rPr>
                <w:color w:val="000000"/>
                <w:sz w:val="16"/>
                <w:szCs w:val="16"/>
              </w:rPr>
            </w:pPr>
            <w:r>
              <w:rPr>
                <w:sz w:val="16"/>
                <w:szCs w:val="16"/>
              </w:rPr>
              <w:t>Amount</w:t>
            </w:r>
            <w:r w:rsidRPr="007E5AA9">
              <w:rPr>
                <w:sz w:val="16"/>
                <w:szCs w:val="16"/>
              </w:rPr>
              <w:t xml:space="preserve"> after Credit Risk Mitigation</w:t>
            </w:r>
          </w:p>
        </w:tc>
        <w:tc>
          <w:tcPr>
            <w:tcW w:w="771" w:type="dxa"/>
            <w:shd w:val="clear" w:color="auto" w:fill="auto"/>
            <w:tcMar>
              <w:top w:w="15" w:type="dxa"/>
              <w:left w:w="15" w:type="dxa"/>
              <w:bottom w:w="0" w:type="dxa"/>
              <w:right w:w="15" w:type="dxa"/>
            </w:tcMar>
            <w:vAlign w:val="bottom"/>
          </w:tcPr>
          <w:p w14:paraId="1812156B" w14:textId="08F8E986" w:rsidR="00224102" w:rsidRPr="00C549F4" w:rsidRDefault="00224102" w:rsidP="00224102">
            <w:pPr>
              <w:jc w:val="right"/>
              <w:rPr>
                <w:sz w:val="16"/>
                <w:szCs w:val="16"/>
              </w:rPr>
            </w:pPr>
            <w:r w:rsidRPr="00F604F2">
              <w:rPr>
                <w:sz w:val="16"/>
                <w:szCs w:val="16"/>
              </w:rPr>
              <w:t>2,001,648</w:t>
            </w:r>
          </w:p>
        </w:tc>
        <w:tc>
          <w:tcPr>
            <w:tcW w:w="588" w:type="dxa"/>
            <w:shd w:val="clear" w:color="auto" w:fill="auto"/>
            <w:tcMar>
              <w:top w:w="15" w:type="dxa"/>
              <w:left w:w="15" w:type="dxa"/>
              <w:bottom w:w="0" w:type="dxa"/>
              <w:right w:w="15" w:type="dxa"/>
            </w:tcMar>
            <w:vAlign w:val="bottom"/>
          </w:tcPr>
          <w:p w14:paraId="08CC6AEA" w14:textId="792DF410" w:rsidR="00224102" w:rsidRPr="00C549F4" w:rsidRDefault="00224102" w:rsidP="00224102">
            <w:pPr>
              <w:jc w:val="right"/>
              <w:rPr>
                <w:sz w:val="16"/>
                <w:szCs w:val="16"/>
              </w:rPr>
            </w:pPr>
            <w:r w:rsidRPr="00F604F2">
              <w:rPr>
                <w:sz w:val="16"/>
                <w:szCs w:val="16"/>
              </w:rPr>
              <w:t>-</w:t>
            </w:r>
          </w:p>
        </w:tc>
        <w:tc>
          <w:tcPr>
            <w:tcW w:w="559" w:type="dxa"/>
            <w:shd w:val="clear" w:color="auto" w:fill="auto"/>
            <w:tcMar>
              <w:top w:w="15" w:type="dxa"/>
              <w:left w:w="15" w:type="dxa"/>
              <w:bottom w:w="0" w:type="dxa"/>
              <w:right w:w="15" w:type="dxa"/>
            </w:tcMar>
            <w:vAlign w:val="bottom"/>
          </w:tcPr>
          <w:p w14:paraId="252E3999" w14:textId="57134C6C" w:rsidR="00224102" w:rsidRPr="00C549F4" w:rsidRDefault="00224102" w:rsidP="00224102">
            <w:pPr>
              <w:jc w:val="right"/>
              <w:rPr>
                <w:sz w:val="16"/>
                <w:szCs w:val="16"/>
              </w:rPr>
            </w:pPr>
            <w:r w:rsidRPr="00F604F2">
              <w:rPr>
                <w:sz w:val="16"/>
                <w:szCs w:val="16"/>
              </w:rPr>
              <w:t>688,455</w:t>
            </w:r>
          </w:p>
        </w:tc>
        <w:tc>
          <w:tcPr>
            <w:tcW w:w="685" w:type="dxa"/>
            <w:shd w:val="clear" w:color="auto" w:fill="auto"/>
            <w:tcMar>
              <w:top w:w="15" w:type="dxa"/>
              <w:left w:w="15" w:type="dxa"/>
              <w:bottom w:w="0" w:type="dxa"/>
              <w:right w:w="15" w:type="dxa"/>
            </w:tcMar>
            <w:vAlign w:val="bottom"/>
          </w:tcPr>
          <w:p w14:paraId="79646AF6" w14:textId="183CB8A9" w:rsidR="00224102" w:rsidRPr="00C549F4" w:rsidRDefault="00224102" w:rsidP="00224102">
            <w:pPr>
              <w:jc w:val="right"/>
              <w:rPr>
                <w:sz w:val="16"/>
                <w:szCs w:val="16"/>
              </w:rPr>
            </w:pPr>
            <w:r w:rsidRPr="00F604F2">
              <w:rPr>
                <w:sz w:val="16"/>
                <w:szCs w:val="16"/>
              </w:rPr>
              <w:t>3,969,497</w:t>
            </w:r>
          </w:p>
        </w:tc>
        <w:tc>
          <w:tcPr>
            <w:tcW w:w="714" w:type="dxa"/>
            <w:shd w:val="clear" w:color="auto" w:fill="auto"/>
            <w:tcMar>
              <w:top w:w="15" w:type="dxa"/>
              <w:left w:w="15" w:type="dxa"/>
              <w:bottom w:w="0" w:type="dxa"/>
              <w:right w:w="15" w:type="dxa"/>
            </w:tcMar>
            <w:vAlign w:val="bottom"/>
          </w:tcPr>
          <w:p w14:paraId="1C684B0B" w14:textId="404FE3B8" w:rsidR="00224102" w:rsidRPr="00C549F4" w:rsidRDefault="00224102" w:rsidP="00224102">
            <w:pPr>
              <w:jc w:val="right"/>
              <w:rPr>
                <w:sz w:val="16"/>
                <w:szCs w:val="16"/>
              </w:rPr>
            </w:pPr>
            <w:r w:rsidRPr="00F604F2">
              <w:rPr>
                <w:sz w:val="16"/>
                <w:szCs w:val="16"/>
              </w:rPr>
              <w:t>1,815,204</w:t>
            </w:r>
          </w:p>
        </w:tc>
        <w:tc>
          <w:tcPr>
            <w:tcW w:w="684" w:type="dxa"/>
            <w:shd w:val="clear" w:color="auto" w:fill="auto"/>
            <w:tcMar>
              <w:top w:w="15" w:type="dxa"/>
              <w:left w:w="15" w:type="dxa"/>
              <w:bottom w:w="0" w:type="dxa"/>
              <w:right w:w="15" w:type="dxa"/>
            </w:tcMar>
            <w:vAlign w:val="bottom"/>
          </w:tcPr>
          <w:p w14:paraId="68139938" w14:textId="4E540C13" w:rsidR="00224102" w:rsidRPr="00C549F4" w:rsidRDefault="00224102" w:rsidP="00224102">
            <w:pPr>
              <w:jc w:val="right"/>
              <w:rPr>
                <w:sz w:val="16"/>
                <w:szCs w:val="16"/>
              </w:rPr>
            </w:pPr>
            <w:r w:rsidRPr="00F604F2">
              <w:rPr>
                <w:sz w:val="16"/>
                <w:szCs w:val="16"/>
              </w:rPr>
              <w:t>7,132,28</w:t>
            </w:r>
            <w:r>
              <w:rPr>
                <w:sz w:val="16"/>
                <w:szCs w:val="16"/>
              </w:rPr>
              <w:t>5</w:t>
            </w:r>
          </w:p>
        </w:tc>
        <w:tc>
          <w:tcPr>
            <w:tcW w:w="605" w:type="dxa"/>
            <w:shd w:val="clear" w:color="auto" w:fill="auto"/>
            <w:tcMar>
              <w:top w:w="15" w:type="dxa"/>
              <w:left w:w="15" w:type="dxa"/>
              <w:bottom w:w="0" w:type="dxa"/>
              <w:right w:w="15" w:type="dxa"/>
            </w:tcMar>
            <w:vAlign w:val="bottom"/>
          </w:tcPr>
          <w:p w14:paraId="52E9EA56" w14:textId="4602969C" w:rsidR="00224102" w:rsidRPr="00C549F4" w:rsidRDefault="00224102" w:rsidP="00224102">
            <w:pPr>
              <w:jc w:val="right"/>
              <w:rPr>
                <w:sz w:val="16"/>
                <w:szCs w:val="16"/>
              </w:rPr>
            </w:pPr>
            <w:r w:rsidRPr="00F604F2">
              <w:rPr>
                <w:sz w:val="16"/>
                <w:szCs w:val="16"/>
              </w:rPr>
              <w:t>66,00</w:t>
            </w:r>
            <w:r>
              <w:rPr>
                <w:sz w:val="16"/>
                <w:szCs w:val="16"/>
              </w:rPr>
              <w:t>8</w:t>
            </w:r>
          </w:p>
        </w:tc>
        <w:tc>
          <w:tcPr>
            <w:tcW w:w="622" w:type="dxa"/>
            <w:shd w:val="clear" w:color="auto" w:fill="auto"/>
            <w:tcMar>
              <w:top w:w="15" w:type="dxa"/>
              <w:left w:w="15" w:type="dxa"/>
              <w:bottom w:w="0" w:type="dxa"/>
              <w:right w:w="15" w:type="dxa"/>
            </w:tcMar>
            <w:vAlign w:val="bottom"/>
          </w:tcPr>
          <w:p w14:paraId="72CFBBC8" w14:textId="206C6521" w:rsidR="00224102" w:rsidRPr="00C549F4" w:rsidRDefault="00224102" w:rsidP="00224102">
            <w:pPr>
              <w:jc w:val="right"/>
              <w:rPr>
                <w:sz w:val="16"/>
                <w:szCs w:val="16"/>
              </w:rPr>
            </w:pPr>
            <w:r w:rsidRPr="00F604F2">
              <w:rPr>
                <w:sz w:val="16"/>
                <w:szCs w:val="16"/>
              </w:rPr>
              <w:t>31,386</w:t>
            </w:r>
          </w:p>
        </w:tc>
        <w:tc>
          <w:tcPr>
            <w:tcW w:w="571" w:type="dxa"/>
            <w:shd w:val="clear" w:color="auto" w:fill="auto"/>
            <w:tcMar>
              <w:top w:w="15" w:type="dxa"/>
              <w:left w:w="15" w:type="dxa"/>
              <w:bottom w:w="0" w:type="dxa"/>
              <w:right w:w="15" w:type="dxa"/>
            </w:tcMar>
            <w:vAlign w:val="bottom"/>
          </w:tcPr>
          <w:p w14:paraId="2663DFFE" w14:textId="686F4558" w:rsidR="00224102" w:rsidRPr="00C549F4" w:rsidRDefault="00224102" w:rsidP="00224102">
            <w:pPr>
              <w:jc w:val="right"/>
              <w:rPr>
                <w:sz w:val="16"/>
                <w:szCs w:val="16"/>
              </w:rPr>
            </w:pPr>
            <w:r w:rsidRPr="00F604F2">
              <w:rPr>
                <w:sz w:val="16"/>
                <w:szCs w:val="16"/>
              </w:rPr>
              <w:t>-</w:t>
            </w:r>
          </w:p>
        </w:tc>
        <w:tc>
          <w:tcPr>
            <w:tcW w:w="644" w:type="dxa"/>
            <w:shd w:val="clear" w:color="auto" w:fill="auto"/>
            <w:tcMar>
              <w:top w:w="15" w:type="dxa"/>
              <w:left w:w="15" w:type="dxa"/>
              <w:bottom w:w="0" w:type="dxa"/>
              <w:right w:w="15" w:type="dxa"/>
            </w:tcMar>
            <w:vAlign w:val="bottom"/>
          </w:tcPr>
          <w:p w14:paraId="6094E252" w14:textId="75C31523" w:rsidR="00224102" w:rsidRPr="00C549F4" w:rsidRDefault="00224102" w:rsidP="00224102">
            <w:pPr>
              <w:jc w:val="right"/>
              <w:rPr>
                <w:sz w:val="16"/>
                <w:szCs w:val="16"/>
              </w:rPr>
            </w:pPr>
            <w:r w:rsidRPr="00F604F2">
              <w:rPr>
                <w:sz w:val="16"/>
                <w:szCs w:val="16"/>
              </w:rPr>
              <w:t>-</w:t>
            </w:r>
          </w:p>
        </w:tc>
        <w:tc>
          <w:tcPr>
            <w:tcW w:w="900" w:type="dxa"/>
            <w:shd w:val="clear" w:color="auto" w:fill="auto"/>
            <w:tcMar>
              <w:top w:w="15" w:type="dxa"/>
              <w:left w:w="15" w:type="dxa"/>
              <w:bottom w:w="0" w:type="dxa"/>
              <w:right w:w="15" w:type="dxa"/>
            </w:tcMar>
            <w:vAlign w:val="bottom"/>
          </w:tcPr>
          <w:p w14:paraId="4ABB55D4" w14:textId="4DCDCAD3" w:rsidR="00224102" w:rsidRPr="00C549F4" w:rsidRDefault="00224102" w:rsidP="00224102">
            <w:pPr>
              <w:jc w:val="right"/>
              <w:rPr>
                <w:sz w:val="16"/>
                <w:szCs w:val="16"/>
              </w:rPr>
            </w:pPr>
            <w:r w:rsidRPr="00F604F2">
              <w:rPr>
                <w:sz w:val="16"/>
                <w:szCs w:val="16"/>
              </w:rPr>
              <w:t>3,584</w:t>
            </w:r>
          </w:p>
        </w:tc>
      </w:tr>
    </w:tbl>
    <w:p w14:paraId="024E67F9" w14:textId="77777777" w:rsidR="00702219" w:rsidRDefault="00702219" w:rsidP="00702219">
      <w:pPr>
        <w:spacing w:after="200" w:line="276" w:lineRule="auto"/>
        <w:ind w:left="709"/>
        <w:rPr>
          <w:b/>
          <w:sz w:val="22"/>
          <w:szCs w:val="22"/>
        </w:rPr>
      </w:pPr>
      <w:r>
        <w:rPr>
          <w:b/>
          <w:sz w:val="22"/>
          <w:szCs w:val="22"/>
        </w:rPr>
        <w:t xml:space="preserve"> </w:t>
      </w:r>
      <w:r>
        <w:rPr>
          <w:b/>
          <w:sz w:val="22"/>
          <w:szCs w:val="22"/>
        </w:rPr>
        <w:br w:type="page"/>
      </w:r>
    </w:p>
    <w:p w14:paraId="14F7693E" w14:textId="5070E832" w:rsidR="00FF034A" w:rsidRPr="00604C75" w:rsidRDefault="00A041CD" w:rsidP="00490153">
      <w:pPr>
        <w:pStyle w:val="NormalIndent"/>
        <w:pageBreakBefore/>
        <w:widowControl w:val="0"/>
        <w:spacing w:before="120"/>
        <w:ind w:left="0"/>
        <w:jc w:val="both"/>
        <w:rPr>
          <w:b/>
          <w:sz w:val="22"/>
          <w:szCs w:val="22"/>
        </w:rPr>
      </w:pPr>
      <w:r w:rsidRPr="00604C75">
        <w:rPr>
          <w:b/>
        </w:rPr>
        <w:lastRenderedPageBreak/>
        <w:t>INFORMATION</w:t>
      </w:r>
      <w:r>
        <w:rPr>
          <w:b/>
          <w:bCs/>
          <w:noProof/>
          <w:lang w:val="tr-TR"/>
        </w:rPr>
        <w:t xml:space="preserve"> ON THE</w:t>
      </w:r>
      <w:r w:rsidRPr="00604C75">
        <w:rPr>
          <w:b/>
          <w:bCs/>
          <w:noProof/>
          <w:lang w:val="tr-TR"/>
        </w:rPr>
        <w:t xml:space="preserve"> FINANCIAL POSITION OF THE GROUP (Continued)</w:t>
      </w:r>
    </w:p>
    <w:p w14:paraId="2B6AC0D7" w14:textId="77777777" w:rsidR="00FF034A" w:rsidRDefault="00FF034A" w:rsidP="00490153">
      <w:pPr>
        <w:pStyle w:val="Heading2"/>
        <w:tabs>
          <w:tab w:val="left" w:pos="0"/>
          <w:tab w:val="left" w:pos="426"/>
        </w:tabs>
        <w:rPr>
          <w:rFonts w:ascii="Times New Roman" w:hAnsi="Times New Roman"/>
          <w:bCs/>
          <w:noProof/>
          <w:sz w:val="20"/>
          <w:lang w:val="tr-TR"/>
        </w:rPr>
      </w:pPr>
      <w:r>
        <w:rPr>
          <w:rFonts w:ascii="Times New Roman" w:hAnsi="Times New Roman"/>
          <w:sz w:val="20"/>
        </w:rPr>
        <w:t xml:space="preserve">II.   </w:t>
      </w:r>
      <w:r w:rsidRPr="00604C75">
        <w:rPr>
          <w:rFonts w:ascii="Times New Roman" w:hAnsi="Times New Roman"/>
          <w:sz w:val="20"/>
        </w:rPr>
        <w:t>Explanations on Credit Risk</w:t>
      </w:r>
      <w:r w:rsidRPr="00604C75" w:rsidDel="00553D7B">
        <w:rPr>
          <w:rFonts w:ascii="Times New Roman" w:hAnsi="Times New Roman"/>
          <w:sz w:val="20"/>
        </w:rPr>
        <w:t xml:space="preserve"> </w:t>
      </w:r>
      <w:r w:rsidRPr="00332F58">
        <w:rPr>
          <w:rFonts w:ascii="Times New Roman" w:hAnsi="Times New Roman"/>
          <w:bCs/>
          <w:noProof/>
          <w:sz w:val="20"/>
          <w:lang w:val="tr-TR"/>
        </w:rPr>
        <w:t>(Continued)</w:t>
      </w:r>
    </w:p>
    <w:p w14:paraId="50091535" w14:textId="77777777" w:rsidR="00FF034A" w:rsidRPr="007C1A55" w:rsidRDefault="00FF034A" w:rsidP="00490153">
      <w:pPr>
        <w:pStyle w:val="BodyTextIndent"/>
        <w:numPr>
          <w:ilvl w:val="0"/>
          <w:numId w:val="13"/>
        </w:numPr>
        <w:spacing w:before="120" w:after="0" w:line="216" w:lineRule="auto"/>
        <w:ind w:left="0" w:firstLine="0"/>
        <w:jc w:val="both"/>
        <w:rPr>
          <w:b/>
          <w:sz w:val="20"/>
          <w:szCs w:val="20"/>
        </w:rPr>
      </w:pPr>
      <w:r w:rsidRPr="007C1A55">
        <w:rPr>
          <w:b/>
          <w:sz w:val="20"/>
          <w:szCs w:val="20"/>
        </w:rPr>
        <w:t xml:space="preserve">Information of major sectors </w:t>
      </w:r>
      <w:r>
        <w:rPr>
          <w:b/>
          <w:sz w:val="20"/>
          <w:szCs w:val="20"/>
        </w:rPr>
        <w:t>or</w:t>
      </w:r>
      <w:r w:rsidRPr="007C1A55">
        <w:rPr>
          <w:b/>
          <w:sz w:val="20"/>
          <w:szCs w:val="20"/>
        </w:rPr>
        <w:t xml:space="preserve"> type of counterparties</w:t>
      </w:r>
    </w:p>
    <w:p w14:paraId="077F7DA1" w14:textId="77777777" w:rsidR="00FF034A" w:rsidRPr="007C1A55" w:rsidRDefault="00FF034A" w:rsidP="00FF034A">
      <w:pPr>
        <w:pStyle w:val="BodyTextIndent"/>
        <w:spacing w:after="0" w:line="216" w:lineRule="auto"/>
        <w:ind w:left="1855"/>
        <w:jc w:val="both"/>
        <w:rPr>
          <w:b/>
          <w:sz w:val="20"/>
          <w:szCs w:val="20"/>
        </w:rPr>
      </w:pPr>
    </w:p>
    <w:tbl>
      <w:tblPr>
        <w:tblW w:w="5000"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592"/>
        <w:gridCol w:w="2845"/>
        <w:gridCol w:w="1358"/>
        <w:gridCol w:w="1435"/>
        <w:gridCol w:w="1769"/>
        <w:gridCol w:w="1565"/>
      </w:tblGrid>
      <w:tr w:rsidR="00FF034A" w:rsidRPr="00923A53" w14:paraId="1F7DCF55" w14:textId="77777777" w:rsidTr="00390114">
        <w:tc>
          <w:tcPr>
            <w:tcW w:w="309" w:type="pct"/>
            <w:vMerge w:val="restart"/>
            <w:vAlign w:val="bottom"/>
          </w:tcPr>
          <w:p w14:paraId="41034821" w14:textId="77777777" w:rsidR="00FF034A" w:rsidRPr="00923A53" w:rsidRDefault="00FF034A" w:rsidP="00400883">
            <w:pPr>
              <w:pStyle w:val="BodyTextIndent"/>
              <w:tabs>
                <w:tab w:val="left" w:pos="1276"/>
              </w:tabs>
              <w:spacing w:after="0"/>
              <w:ind w:left="34"/>
              <w:rPr>
                <w:b/>
                <w:sz w:val="18"/>
                <w:szCs w:val="18"/>
              </w:rPr>
            </w:pPr>
          </w:p>
        </w:tc>
        <w:tc>
          <w:tcPr>
            <w:tcW w:w="1487" w:type="pct"/>
            <w:vMerge w:val="restart"/>
            <w:vAlign w:val="bottom"/>
          </w:tcPr>
          <w:p w14:paraId="35F2EE22" w14:textId="77777777" w:rsidR="00FF034A" w:rsidRPr="007C0BA6" w:rsidRDefault="00FF034A" w:rsidP="00400883">
            <w:pPr>
              <w:rPr>
                <w:b/>
                <w:sz w:val="18"/>
                <w:szCs w:val="18"/>
              </w:rPr>
            </w:pPr>
            <w:r w:rsidRPr="007C0BA6">
              <w:rPr>
                <w:b/>
                <w:sz w:val="18"/>
                <w:szCs w:val="18"/>
              </w:rPr>
              <w:t>Major Sectors / Counterparties</w:t>
            </w:r>
          </w:p>
        </w:tc>
        <w:tc>
          <w:tcPr>
            <w:tcW w:w="1460" w:type="pct"/>
            <w:gridSpan w:val="2"/>
          </w:tcPr>
          <w:p w14:paraId="43A66784" w14:textId="77777777" w:rsidR="00FF034A" w:rsidRPr="00923A53" w:rsidRDefault="00FF034A" w:rsidP="00400883">
            <w:pPr>
              <w:pStyle w:val="BodyTextIndent"/>
              <w:tabs>
                <w:tab w:val="left" w:pos="1384"/>
              </w:tabs>
              <w:spacing w:after="0"/>
              <w:jc w:val="center"/>
              <w:rPr>
                <w:b/>
                <w:sz w:val="18"/>
                <w:szCs w:val="18"/>
              </w:rPr>
            </w:pPr>
            <w:r>
              <w:rPr>
                <w:b/>
                <w:sz w:val="18"/>
                <w:szCs w:val="18"/>
              </w:rPr>
              <w:t>Loans</w:t>
            </w:r>
          </w:p>
        </w:tc>
        <w:tc>
          <w:tcPr>
            <w:tcW w:w="1743" w:type="pct"/>
            <w:gridSpan w:val="2"/>
          </w:tcPr>
          <w:p w14:paraId="61DE12A3" w14:textId="77777777" w:rsidR="00FF034A" w:rsidRPr="00923A53" w:rsidRDefault="00FF034A" w:rsidP="00400883">
            <w:pPr>
              <w:pStyle w:val="BodyTextIndent"/>
              <w:tabs>
                <w:tab w:val="left" w:pos="1384"/>
              </w:tabs>
              <w:spacing w:after="0"/>
              <w:rPr>
                <w:b/>
                <w:sz w:val="18"/>
                <w:szCs w:val="18"/>
              </w:rPr>
            </w:pPr>
          </w:p>
        </w:tc>
      </w:tr>
      <w:tr w:rsidR="00FF034A" w:rsidRPr="00923A53" w14:paraId="495D1C53" w14:textId="77777777" w:rsidTr="00390114">
        <w:tc>
          <w:tcPr>
            <w:tcW w:w="309" w:type="pct"/>
            <w:vMerge/>
            <w:vAlign w:val="bottom"/>
          </w:tcPr>
          <w:p w14:paraId="3887BABC" w14:textId="77777777" w:rsidR="00FF034A" w:rsidRPr="00923A53" w:rsidRDefault="00FF034A" w:rsidP="00400883">
            <w:pPr>
              <w:pStyle w:val="BodyTextIndent"/>
              <w:tabs>
                <w:tab w:val="left" w:pos="1276"/>
              </w:tabs>
              <w:spacing w:after="0"/>
              <w:ind w:left="34"/>
              <w:rPr>
                <w:b/>
                <w:sz w:val="18"/>
                <w:szCs w:val="18"/>
              </w:rPr>
            </w:pPr>
          </w:p>
        </w:tc>
        <w:tc>
          <w:tcPr>
            <w:tcW w:w="1487" w:type="pct"/>
            <w:vMerge/>
          </w:tcPr>
          <w:p w14:paraId="4A138361" w14:textId="77777777" w:rsidR="00FF034A" w:rsidRPr="00923A53" w:rsidRDefault="00FF034A" w:rsidP="00400883">
            <w:pPr>
              <w:pStyle w:val="BodyTextIndent"/>
              <w:tabs>
                <w:tab w:val="left" w:pos="1276"/>
              </w:tabs>
              <w:spacing w:after="0"/>
              <w:rPr>
                <w:b/>
                <w:sz w:val="18"/>
                <w:szCs w:val="18"/>
              </w:rPr>
            </w:pPr>
          </w:p>
        </w:tc>
        <w:tc>
          <w:tcPr>
            <w:tcW w:w="710" w:type="pct"/>
            <w:vAlign w:val="bottom"/>
          </w:tcPr>
          <w:p w14:paraId="69A40C35" w14:textId="77777777" w:rsidR="00FF034A" w:rsidRPr="00923A53" w:rsidRDefault="00FF034A" w:rsidP="00400883">
            <w:pPr>
              <w:pStyle w:val="BodyTextIndent"/>
              <w:spacing w:after="0"/>
              <w:ind w:right="-87"/>
              <w:jc w:val="right"/>
              <w:rPr>
                <w:b/>
                <w:sz w:val="18"/>
                <w:szCs w:val="18"/>
              </w:rPr>
            </w:pPr>
            <w:r>
              <w:rPr>
                <w:b/>
                <w:sz w:val="18"/>
                <w:szCs w:val="18"/>
              </w:rPr>
              <w:t>Impaired Loans</w:t>
            </w:r>
          </w:p>
        </w:tc>
        <w:tc>
          <w:tcPr>
            <w:tcW w:w="750" w:type="pct"/>
            <w:vAlign w:val="bottom"/>
          </w:tcPr>
          <w:p w14:paraId="557543A4" w14:textId="77777777" w:rsidR="00FF034A" w:rsidRPr="00923A53" w:rsidRDefault="00FF034A" w:rsidP="00400883">
            <w:pPr>
              <w:pStyle w:val="BodyTextIndent"/>
              <w:spacing w:after="0"/>
              <w:ind w:right="-87"/>
              <w:jc w:val="right"/>
              <w:rPr>
                <w:b/>
                <w:sz w:val="18"/>
                <w:szCs w:val="18"/>
              </w:rPr>
            </w:pPr>
            <w:r>
              <w:rPr>
                <w:b/>
                <w:sz w:val="18"/>
                <w:szCs w:val="18"/>
              </w:rPr>
              <w:t>Past Due Loans</w:t>
            </w:r>
          </w:p>
        </w:tc>
        <w:tc>
          <w:tcPr>
            <w:tcW w:w="925" w:type="pct"/>
            <w:vAlign w:val="bottom"/>
          </w:tcPr>
          <w:p w14:paraId="0EB0C41F" w14:textId="57A1D20A" w:rsidR="00FF034A" w:rsidRPr="00923A53" w:rsidRDefault="00B85547" w:rsidP="00400883">
            <w:pPr>
              <w:pStyle w:val="BodyTextIndent"/>
              <w:spacing w:after="0"/>
              <w:ind w:right="-87"/>
              <w:jc w:val="right"/>
              <w:rPr>
                <w:b/>
                <w:sz w:val="18"/>
                <w:szCs w:val="18"/>
              </w:rPr>
            </w:pPr>
            <w:r>
              <w:rPr>
                <w:b/>
                <w:sz w:val="18"/>
                <w:szCs w:val="18"/>
              </w:rPr>
              <w:t xml:space="preserve">Value </w:t>
            </w:r>
            <w:r w:rsidR="00FF034A">
              <w:rPr>
                <w:b/>
                <w:sz w:val="18"/>
                <w:szCs w:val="18"/>
              </w:rPr>
              <w:t>Adjustments</w:t>
            </w:r>
          </w:p>
        </w:tc>
        <w:tc>
          <w:tcPr>
            <w:tcW w:w="818" w:type="pct"/>
            <w:vAlign w:val="bottom"/>
          </w:tcPr>
          <w:p w14:paraId="2E608F10" w14:textId="77777777" w:rsidR="00FF034A" w:rsidRPr="00923A53" w:rsidRDefault="00FF034A" w:rsidP="00400883">
            <w:pPr>
              <w:pStyle w:val="BodyTextIndent"/>
              <w:spacing w:after="0"/>
              <w:ind w:right="-87"/>
              <w:jc w:val="right"/>
              <w:rPr>
                <w:b/>
                <w:sz w:val="18"/>
                <w:szCs w:val="18"/>
              </w:rPr>
            </w:pPr>
            <w:r>
              <w:rPr>
                <w:b/>
                <w:sz w:val="18"/>
                <w:szCs w:val="18"/>
              </w:rPr>
              <w:t>Provisions</w:t>
            </w:r>
          </w:p>
        </w:tc>
      </w:tr>
      <w:tr w:rsidR="00224102" w:rsidRPr="00923A53" w14:paraId="5A10336D" w14:textId="77777777" w:rsidTr="00390114">
        <w:tc>
          <w:tcPr>
            <w:tcW w:w="309" w:type="pct"/>
          </w:tcPr>
          <w:p w14:paraId="141468E2" w14:textId="77777777" w:rsidR="00224102" w:rsidRPr="00923A53" w:rsidRDefault="00224102" w:rsidP="00224102">
            <w:pPr>
              <w:pStyle w:val="BodyTextIndent"/>
              <w:tabs>
                <w:tab w:val="left" w:pos="1276"/>
              </w:tabs>
              <w:spacing w:after="0"/>
              <w:ind w:left="34"/>
              <w:rPr>
                <w:b/>
                <w:sz w:val="18"/>
                <w:szCs w:val="18"/>
              </w:rPr>
            </w:pPr>
            <w:r w:rsidRPr="00923A53">
              <w:rPr>
                <w:b/>
                <w:sz w:val="18"/>
                <w:szCs w:val="18"/>
              </w:rPr>
              <w:t>1</w:t>
            </w:r>
          </w:p>
        </w:tc>
        <w:tc>
          <w:tcPr>
            <w:tcW w:w="1487" w:type="pct"/>
            <w:vAlign w:val="bottom"/>
          </w:tcPr>
          <w:p w14:paraId="6E085993" w14:textId="77777777" w:rsidR="00224102" w:rsidRPr="00923A53" w:rsidRDefault="00224102" w:rsidP="00224102">
            <w:pPr>
              <w:pStyle w:val="BodyTextIndent"/>
              <w:tabs>
                <w:tab w:val="left" w:pos="1276"/>
              </w:tabs>
              <w:spacing w:after="0"/>
              <w:ind w:left="0"/>
              <w:rPr>
                <w:b/>
                <w:sz w:val="18"/>
                <w:szCs w:val="18"/>
              </w:rPr>
            </w:pPr>
            <w:r w:rsidRPr="0066317E">
              <w:rPr>
                <w:b/>
                <w:sz w:val="18"/>
                <w:szCs w:val="18"/>
              </w:rPr>
              <w:t>Agriculture</w:t>
            </w:r>
          </w:p>
        </w:tc>
        <w:tc>
          <w:tcPr>
            <w:tcW w:w="710" w:type="pct"/>
            <w:vAlign w:val="bottom"/>
          </w:tcPr>
          <w:p w14:paraId="51615470" w14:textId="1C4AC139" w:rsidR="00224102" w:rsidRPr="00C549F4" w:rsidRDefault="00224102" w:rsidP="00224102">
            <w:pPr>
              <w:jc w:val="right"/>
              <w:rPr>
                <w:b/>
                <w:bCs/>
                <w:color w:val="000000"/>
                <w:sz w:val="16"/>
                <w:szCs w:val="16"/>
              </w:rPr>
            </w:pPr>
            <w:r w:rsidRPr="00DF0397">
              <w:rPr>
                <w:b/>
                <w:bCs/>
                <w:color w:val="000000"/>
                <w:sz w:val="18"/>
                <w:szCs w:val="18"/>
              </w:rPr>
              <w:t>12,296</w:t>
            </w:r>
          </w:p>
        </w:tc>
        <w:tc>
          <w:tcPr>
            <w:tcW w:w="750" w:type="pct"/>
            <w:vAlign w:val="bottom"/>
          </w:tcPr>
          <w:p w14:paraId="1DF1263B" w14:textId="027B05BA" w:rsidR="00224102" w:rsidRPr="00C549F4" w:rsidRDefault="00224102" w:rsidP="00224102">
            <w:pPr>
              <w:jc w:val="right"/>
              <w:rPr>
                <w:b/>
                <w:bCs/>
                <w:color w:val="000000"/>
                <w:sz w:val="16"/>
                <w:szCs w:val="16"/>
              </w:rPr>
            </w:pPr>
            <w:r w:rsidRPr="00DF0397">
              <w:rPr>
                <w:b/>
                <w:bCs/>
                <w:color w:val="000000"/>
                <w:sz w:val="18"/>
                <w:szCs w:val="18"/>
              </w:rPr>
              <w:t>26,579</w:t>
            </w:r>
          </w:p>
        </w:tc>
        <w:tc>
          <w:tcPr>
            <w:tcW w:w="925" w:type="pct"/>
            <w:vAlign w:val="bottom"/>
          </w:tcPr>
          <w:p w14:paraId="47545B3B" w14:textId="013BD723" w:rsidR="00224102" w:rsidRPr="00C549F4" w:rsidRDefault="00224102" w:rsidP="00224102">
            <w:pPr>
              <w:jc w:val="right"/>
              <w:rPr>
                <w:b/>
                <w:bCs/>
                <w:color w:val="000000"/>
                <w:sz w:val="16"/>
                <w:szCs w:val="16"/>
              </w:rPr>
            </w:pPr>
            <w:r w:rsidRPr="00DF0397">
              <w:rPr>
                <w:b/>
                <w:bCs/>
                <w:color w:val="000000"/>
                <w:sz w:val="18"/>
                <w:szCs w:val="18"/>
              </w:rPr>
              <w:t>-</w:t>
            </w:r>
          </w:p>
        </w:tc>
        <w:tc>
          <w:tcPr>
            <w:tcW w:w="818" w:type="pct"/>
            <w:vAlign w:val="bottom"/>
          </w:tcPr>
          <w:p w14:paraId="0A3CD050" w14:textId="2AA3324F" w:rsidR="00224102" w:rsidRPr="00C549F4" w:rsidRDefault="00224102" w:rsidP="00224102">
            <w:pPr>
              <w:jc w:val="right"/>
              <w:rPr>
                <w:b/>
                <w:bCs/>
                <w:color w:val="000000"/>
                <w:sz w:val="16"/>
                <w:szCs w:val="16"/>
              </w:rPr>
            </w:pPr>
            <w:r w:rsidRPr="00DF0397">
              <w:rPr>
                <w:b/>
                <w:bCs/>
                <w:color w:val="000000"/>
                <w:sz w:val="18"/>
                <w:szCs w:val="18"/>
              </w:rPr>
              <w:t>13,523</w:t>
            </w:r>
          </w:p>
        </w:tc>
      </w:tr>
      <w:tr w:rsidR="00224102" w:rsidRPr="00923A53" w14:paraId="0EEF955C" w14:textId="77777777" w:rsidTr="00390114">
        <w:tc>
          <w:tcPr>
            <w:tcW w:w="309" w:type="pct"/>
          </w:tcPr>
          <w:p w14:paraId="3A91B670"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1.1</w:t>
            </w:r>
          </w:p>
        </w:tc>
        <w:tc>
          <w:tcPr>
            <w:tcW w:w="1487" w:type="pct"/>
            <w:vAlign w:val="bottom"/>
          </w:tcPr>
          <w:p w14:paraId="0310B85D" w14:textId="77777777" w:rsidR="00224102" w:rsidRPr="00923A53" w:rsidRDefault="00224102" w:rsidP="00224102">
            <w:pPr>
              <w:rPr>
                <w:sz w:val="18"/>
                <w:szCs w:val="18"/>
              </w:rPr>
            </w:pPr>
            <w:r w:rsidRPr="0066317E">
              <w:rPr>
                <w:snapToGrid w:val="0"/>
                <w:sz w:val="18"/>
                <w:szCs w:val="18"/>
              </w:rPr>
              <w:t>Farming and Stockbreeding</w:t>
            </w:r>
          </w:p>
        </w:tc>
        <w:tc>
          <w:tcPr>
            <w:tcW w:w="710" w:type="pct"/>
            <w:vAlign w:val="bottom"/>
          </w:tcPr>
          <w:p w14:paraId="337D7AD0" w14:textId="607C7ADB" w:rsidR="00224102" w:rsidRPr="00C549F4" w:rsidRDefault="00224102" w:rsidP="00224102">
            <w:pPr>
              <w:jc w:val="right"/>
              <w:rPr>
                <w:color w:val="000000"/>
                <w:sz w:val="16"/>
                <w:szCs w:val="16"/>
              </w:rPr>
            </w:pPr>
            <w:r w:rsidRPr="00DF0397">
              <w:rPr>
                <w:color w:val="000000"/>
                <w:sz w:val="18"/>
                <w:szCs w:val="18"/>
              </w:rPr>
              <w:t>11,915</w:t>
            </w:r>
          </w:p>
        </w:tc>
        <w:tc>
          <w:tcPr>
            <w:tcW w:w="750" w:type="pct"/>
            <w:vAlign w:val="bottom"/>
          </w:tcPr>
          <w:p w14:paraId="6FDD4BCA" w14:textId="72CE6219" w:rsidR="00224102" w:rsidRPr="00C549F4" w:rsidRDefault="00224102" w:rsidP="00224102">
            <w:pPr>
              <w:jc w:val="right"/>
              <w:rPr>
                <w:color w:val="000000"/>
                <w:sz w:val="16"/>
                <w:szCs w:val="16"/>
              </w:rPr>
            </w:pPr>
            <w:r w:rsidRPr="00DF0397">
              <w:rPr>
                <w:color w:val="000000"/>
                <w:sz w:val="18"/>
                <w:szCs w:val="18"/>
              </w:rPr>
              <w:t>25,911</w:t>
            </w:r>
          </w:p>
        </w:tc>
        <w:tc>
          <w:tcPr>
            <w:tcW w:w="925" w:type="pct"/>
            <w:vAlign w:val="bottom"/>
          </w:tcPr>
          <w:p w14:paraId="17B16724" w14:textId="0D425364"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0BCE9324" w14:textId="5D43B1DE" w:rsidR="00224102" w:rsidRPr="00C549F4" w:rsidRDefault="00224102" w:rsidP="00224102">
            <w:pPr>
              <w:jc w:val="right"/>
              <w:rPr>
                <w:color w:val="000000"/>
                <w:sz w:val="16"/>
                <w:szCs w:val="16"/>
              </w:rPr>
            </w:pPr>
            <w:r w:rsidRPr="00DF0397">
              <w:rPr>
                <w:color w:val="000000"/>
                <w:sz w:val="18"/>
                <w:szCs w:val="18"/>
              </w:rPr>
              <w:t>13,167</w:t>
            </w:r>
          </w:p>
        </w:tc>
      </w:tr>
      <w:tr w:rsidR="00224102" w:rsidRPr="00923A53" w14:paraId="53C406AD" w14:textId="77777777" w:rsidTr="00390114">
        <w:tc>
          <w:tcPr>
            <w:tcW w:w="309" w:type="pct"/>
          </w:tcPr>
          <w:p w14:paraId="1841B6A0"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1.2</w:t>
            </w:r>
          </w:p>
        </w:tc>
        <w:tc>
          <w:tcPr>
            <w:tcW w:w="1487" w:type="pct"/>
            <w:vAlign w:val="bottom"/>
          </w:tcPr>
          <w:p w14:paraId="2C07E78D" w14:textId="77777777" w:rsidR="00224102" w:rsidRPr="00923A53" w:rsidRDefault="00224102" w:rsidP="00224102">
            <w:pPr>
              <w:rPr>
                <w:snapToGrid w:val="0"/>
                <w:sz w:val="18"/>
                <w:szCs w:val="18"/>
              </w:rPr>
            </w:pPr>
            <w:r w:rsidRPr="0066317E">
              <w:rPr>
                <w:snapToGrid w:val="0"/>
                <w:sz w:val="18"/>
                <w:szCs w:val="18"/>
              </w:rPr>
              <w:t>Forestry</w:t>
            </w:r>
          </w:p>
        </w:tc>
        <w:tc>
          <w:tcPr>
            <w:tcW w:w="710" w:type="pct"/>
            <w:vAlign w:val="bottom"/>
          </w:tcPr>
          <w:p w14:paraId="464AD461" w14:textId="1AA5385B" w:rsidR="00224102" w:rsidRPr="00C549F4" w:rsidRDefault="00224102" w:rsidP="00224102">
            <w:pPr>
              <w:jc w:val="right"/>
              <w:rPr>
                <w:color w:val="000000"/>
                <w:sz w:val="16"/>
                <w:szCs w:val="16"/>
              </w:rPr>
            </w:pPr>
            <w:r w:rsidRPr="00DF0397">
              <w:rPr>
                <w:color w:val="000000"/>
                <w:sz w:val="18"/>
                <w:szCs w:val="18"/>
              </w:rPr>
              <w:t>-</w:t>
            </w:r>
          </w:p>
        </w:tc>
        <w:tc>
          <w:tcPr>
            <w:tcW w:w="750" w:type="pct"/>
            <w:vAlign w:val="bottom"/>
          </w:tcPr>
          <w:p w14:paraId="3FC26401" w14:textId="0AA44E27" w:rsidR="00224102" w:rsidRPr="00C549F4" w:rsidRDefault="00224102" w:rsidP="00224102">
            <w:pPr>
              <w:jc w:val="right"/>
              <w:rPr>
                <w:color w:val="000000"/>
                <w:sz w:val="16"/>
                <w:szCs w:val="16"/>
              </w:rPr>
            </w:pPr>
            <w:r w:rsidRPr="00DF0397">
              <w:rPr>
                <w:color w:val="000000"/>
                <w:sz w:val="18"/>
                <w:szCs w:val="18"/>
              </w:rPr>
              <w:t>51</w:t>
            </w:r>
          </w:p>
        </w:tc>
        <w:tc>
          <w:tcPr>
            <w:tcW w:w="925" w:type="pct"/>
            <w:vAlign w:val="bottom"/>
          </w:tcPr>
          <w:p w14:paraId="1F83613E" w14:textId="0B9CCE4F"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0E364A10" w14:textId="2A09C2E7" w:rsidR="00224102" w:rsidRPr="00C549F4" w:rsidRDefault="00224102" w:rsidP="00224102">
            <w:pPr>
              <w:jc w:val="right"/>
              <w:rPr>
                <w:color w:val="000000"/>
                <w:sz w:val="16"/>
                <w:szCs w:val="16"/>
              </w:rPr>
            </w:pPr>
            <w:r w:rsidRPr="00DF0397">
              <w:rPr>
                <w:color w:val="000000"/>
                <w:sz w:val="18"/>
                <w:szCs w:val="18"/>
              </w:rPr>
              <w:t>47</w:t>
            </w:r>
          </w:p>
        </w:tc>
      </w:tr>
      <w:tr w:rsidR="00224102" w:rsidRPr="00923A53" w14:paraId="43DE4CCA" w14:textId="77777777" w:rsidTr="00390114">
        <w:tc>
          <w:tcPr>
            <w:tcW w:w="309" w:type="pct"/>
          </w:tcPr>
          <w:p w14:paraId="224103E6"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1.3</w:t>
            </w:r>
          </w:p>
        </w:tc>
        <w:tc>
          <w:tcPr>
            <w:tcW w:w="1487" w:type="pct"/>
            <w:vAlign w:val="bottom"/>
          </w:tcPr>
          <w:p w14:paraId="333F5B5B" w14:textId="77777777" w:rsidR="00224102" w:rsidRPr="00923A53" w:rsidRDefault="00224102" w:rsidP="00224102">
            <w:pPr>
              <w:rPr>
                <w:snapToGrid w:val="0"/>
                <w:sz w:val="18"/>
                <w:szCs w:val="18"/>
              </w:rPr>
            </w:pPr>
            <w:r w:rsidRPr="0066317E">
              <w:rPr>
                <w:snapToGrid w:val="0"/>
                <w:sz w:val="18"/>
                <w:szCs w:val="18"/>
              </w:rPr>
              <w:t>Fishery</w:t>
            </w:r>
          </w:p>
        </w:tc>
        <w:tc>
          <w:tcPr>
            <w:tcW w:w="710" w:type="pct"/>
            <w:vAlign w:val="bottom"/>
          </w:tcPr>
          <w:p w14:paraId="20A092DE" w14:textId="791286DF" w:rsidR="00224102" w:rsidRPr="00C549F4" w:rsidRDefault="00224102" w:rsidP="00224102">
            <w:pPr>
              <w:jc w:val="right"/>
              <w:rPr>
                <w:color w:val="000000"/>
                <w:sz w:val="16"/>
                <w:szCs w:val="16"/>
              </w:rPr>
            </w:pPr>
            <w:r w:rsidRPr="00DF0397">
              <w:rPr>
                <w:color w:val="000000"/>
                <w:sz w:val="18"/>
                <w:szCs w:val="18"/>
              </w:rPr>
              <w:t>381</w:t>
            </w:r>
          </w:p>
        </w:tc>
        <w:tc>
          <w:tcPr>
            <w:tcW w:w="750" w:type="pct"/>
            <w:vAlign w:val="bottom"/>
          </w:tcPr>
          <w:p w14:paraId="4B2F1C33" w14:textId="1580E267" w:rsidR="00224102" w:rsidRPr="00C549F4" w:rsidRDefault="00224102" w:rsidP="00224102">
            <w:pPr>
              <w:jc w:val="right"/>
              <w:rPr>
                <w:color w:val="000000"/>
                <w:sz w:val="16"/>
                <w:szCs w:val="16"/>
              </w:rPr>
            </w:pPr>
            <w:r w:rsidRPr="00DF0397">
              <w:rPr>
                <w:color w:val="000000"/>
                <w:sz w:val="18"/>
                <w:szCs w:val="18"/>
              </w:rPr>
              <w:t>617</w:t>
            </w:r>
          </w:p>
        </w:tc>
        <w:tc>
          <w:tcPr>
            <w:tcW w:w="925" w:type="pct"/>
            <w:vAlign w:val="bottom"/>
          </w:tcPr>
          <w:p w14:paraId="6959AA4A" w14:textId="49DABF37"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2FE6C9F3" w14:textId="0FF43C9C" w:rsidR="00224102" w:rsidRPr="00C549F4" w:rsidRDefault="00224102" w:rsidP="00224102">
            <w:pPr>
              <w:jc w:val="right"/>
              <w:rPr>
                <w:color w:val="000000"/>
                <w:sz w:val="16"/>
                <w:szCs w:val="16"/>
              </w:rPr>
            </w:pPr>
            <w:r w:rsidRPr="00DF0397">
              <w:rPr>
                <w:color w:val="000000"/>
                <w:sz w:val="18"/>
                <w:szCs w:val="18"/>
              </w:rPr>
              <w:t>309</w:t>
            </w:r>
          </w:p>
        </w:tc>
      </w:tr>
      <w:tr w:rsidR="00224102" w:rsidRPr="00923A53" w14:paraId="4208D84D" w14:textId="77777777" w:rsidTr="00390114">
        <w:tc>
          <w:tcPr>
            <w:tcW w:w="309" w:type="pct"/>
          </w:tcPr>
          <w:p w14:paraId="4234AF3C" w14:textId="77777777" w:rsidR="00224102" w:rsidRPr="00923A53" w:rsidRDefault="00224102" w:rsidP="00224102">
            <w:pPr>
              <w:pStyle w:val="BodyTextIndent"/>
              <w:tabs>
                <w:tab w:val="left" w:pos="1276"/>
              </w:tabs>
              <w:spacing w:after="0"/>
              <w:ind w:left="34"/>
              <w:rPr>
                <w:b/>
                <w:sz w:val="18"/>
                <w:szCs w:val="18"/>
              </w:rPr>
            </w:pPr>
            <w:r w:rsidRPr="00923A53">
              <w:rPr>
                <w:b/>
                <w:sz w:val="18"/>
                <w:szCs w:val="18"/>
              </w:rPr>
              <w:t>2</w:t>
            </w:r>
          </w:p>
        </w:tc>
        <w:tc>
          <w:tcPr>
            <w:tcW w:w="1487" w:type="pct"/>
            <w:vAlign w:val="bottom"/>
          </w:tcPr>
          <w:p w14:paraId="7A336011" w14:textId="77777777" w:rsidR="00224102" w:rsidRPr="00923A53" w:rsidRDefault="00224102" w:rsidP="00224102">
            <w:pPr>
              <w:pStyle w:val="BodyTextIndent"/>
              <w:tabs>
                <w:tab w:val="left" w:pos="1276"/>
              </w:tabs>
              <w:spacing w:after="0"/>
              <w:ind w:left="0"/>
              <w:rPr>
                <w:b/>
                <w:sz w:val="18"/>
                <w:szCs w:val="18"/>
              </w:rPr>
            </w:pPr>
            <w:r w:rsidRPr="0066317E">
              <w:rPr>
                <w:b/>
                <w:sz w:val="18"/>
                <w:szCs w:val="18"/>
              </w:rPr>
              <w:t>Manufacturing</w:t>
            </w:r>
          </w:p>
        </w:tc>
        <w:tc>
          <w:tcPr>
            <w:tcW w:w="710" w:type="pct"/>
            <w:vAlign w:val="bottom"/>
          </w:tcPr>
          <w:p w14:paraId="1FF97320" w14:textId="703A20AF" w:rsidR="00224102" w:rsidRPr="00C549F4" w:rsidRDefault="00224102" w:rsidP="00224102">
            <w:pPr>
              <w:jc w:val="right"/>
              <w:rPr>
                <w:b/>
                <w:bCs/>
                <w:color w:val="000000"/>
                <w:sz w:val="16"/>
                <w:szCs w:val="16"/>
              </w:rPr>
            </w:pPr>
            <w:r w:rsidRPr="00DF0397">
              <w:rPr>
                <w:b/>
                <w:bCs/>
                <w:color w:val="000000"/>
                <w:sz w:val="18"/>
                <w:szCs w:val="18"/>
              </w:rPr>
              <w:t>201,260</w:t>
            </w:r>
          </w:p>
        </w:tc>
        <w:tc>
          <w:tcPr>
            <w:tcW w:w="750" w:type="pct"/>
            <w:vAlign w:val="bottom"/>
          </w:tcPr>
          <w:p w14:paraId="3FC24B59" w14:textId="32AA930A" w:rsidR="00224102" w:rsidRPr="00C549F4" w:rsidRDefault="00224102" w:rsidP="00224102">
            <w:pPr>
              <w:jc w:val="right"/>
              <w:rPr>
                <w:b/>
                <w:bCs/>
                <w:color w:val="000000"/>
                <w:sz w:val="16"/>
                <w:szCs w:val="16"/>
              </w:rPr>
            </w:pPr>
            <w:r w:rsidRPr="00DF0397">
              <w:rPr>
                <w:b/>
                <w:bCs/>
                <w:color w:val="000000"/>
                <w:sz w:val="18"/>
                <w:szCs w:val="18"/>
              </w:rPr>
              <w:t>136,125</w:t>
            </w:r>
          </w:p>
        </w:tc>
        <w:tc>
          <w:tcPr>
            <w:tcW w:w="925" w:type="pct"/>
            <w:vAlign w:val="bottom"/>
          </w:tcPr>
          <w:p w14:paraId="1BD15C11" w14:textId="6FFD8D4C" w:rsidR="00224102" w:rsidRPr="00C549F4" w:rsidRDefault="00224102" w:rsidP="00224102">
            <w:pPr>
              <w:jc w:val="right"/>
              <w:rPr>
                <w:b/>
                <w:bCs/>
                <w:color w:val="000000"/>
                <w:sz w:val="16"/>
                <w:szCs w:val="16"/>
              </w:rPr>
            </w:pPr>
            <w:r w:rsidRPr="00DF0397">
              <w:rPr>
                <w:b/>
                <w:bCs/>
                <w:color w:val="000000"/>
                <w:sz w:val="18"/>
                <w:szCs w:val="18"/>
              </w:rPr>
              <w:t>-</w:t>
            </w:r>
          </w:p>
        </w:tc>
        <w:tc>
          <w:tcPr>
            <w:tcW w:w="818" w:type="pct"/>
            <w:vAlign w:val="bottom"/>
          </w:tcPr>
          <w:p w14:paraId="49C5BDA2" w14:textId="624B9BBA" w:rsidR="00224102" w:rsidRPr="00C549F4" w:rsidRDefault="00224102" w:rsidP="00224102">
            <w:pPr>
              <w:jc w:val="right"/>
              <w:rPr>
                <w:b/>
                <w:bCs/>
                <w:color w:val="000000"/>
                <w:sz w:val="16"/>
                <w:szCs w:val="16"/>
              </w:rPr>
            </w:pPr>
            <w:r w:rsidRPr="00DF0397">
              <w:rPr>
                <w:b/>
                <w:bCs/>
                <w:color w:val="000000"/>
                <w:sz w:val="18"/>
                <w:szCs w:val="18"/>
              </w:rPr>
              <w:t>69,780</w:t>
            </w:r>
          </w:p>
        </w:tc>
      </w:tr>
      <w:tr w:rsidR="00224102" w:rsidRPr="00923A53" w14:paraId="59570FEE" w14:textId="77777777" w:rsidTr="00390114">
        <w:tc>
          <w:tcPr>
            <w:tcW w:w="309" w:type="pct"/>
          </w:tcPr>
          <w:p w14:paraId="685EE3C0"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2.1</w:t>
            </w:r>
          </w:p>
        </w:tc>
        <w:tc>
          <w:tcPr>
            <w:tcW w:w="1487" w:type="pct"/>
            <w:vAlign w:val="bottom"/>
          </w:tcPr>
          <w:p w14:paraId="1B543E87" w14:textId="77777777" w:rsidR="00224102" w:rsidRPr="00923A53" w:rsidRDefault="00224102" w:rsidP="00224102">
            <w:pPr>
              <w:rPr>
                <w:snapToGrid w:val="0"/>
                <w:sz w:val="18"/>
                <w:szCs w:val="18"/>
              </w:rPr>
            </w:pPr>
            <w:r w:rsidRPr="0066317E">
              <w:rPr>
                <w:snapToGrid w:val="0"/>
                <w:sz w:val="18"/>
                <w:szCs w:val="18"/>
              </w:rPr>
              <w:t>Mining and Quarrying</w:t>
            </w:r>
          </w:p>
        </w:tc>
        <w:tc>
          <w:tcPr>
            <w:tcW w:w="710" w:type="pct"/>
            <w:vAlign w:val="bottom"/>
          </w:tcPr>
          <w:p w14:paraId="09EF8B9A" w14:textId="2A2EDE8A" w:rsidR="00224102" w:rsidRPr="00C549F4" w:rsidRDefault="00224102" w:rsidP="00224102">
            <w:pPr>
              <w:jc w:val="right"/>
              <w:rPr>
                <w:color w:val="000000"/>
                <w:sz w:val="16"/>
                <w:szCs w:val="16"/>
              </w:rPr>
            </w:pPr>
            <w:r w:rsidRPr="00DF0397">
              <w:rPr>
                <w:color w:val="000000"/>
                <w:sz w:val="18"/>
                <w:szCs w:val="18"/>
              </w:rPr>
              <w:t>16,108</w:t>
            </w:r>
          </w:p>
        </w:tc>
        <w:tc>
          <w:tcPr>
            <w:tcW w:w="750" w:type="pct"/>
            <w:vAlign w:val="bottom"/>
          </w:tcPr>
          <w:p w14:paraId="45CB3C28" w14:textId="491CD226" w:rsidR="00224102" w:rsidRPr="00C549F4" w:rsidRDefault="00224102" w:rsidP="00224102">
            <w:pPr>
              <w:jc w:val="right"/>
              <w:rPr>
                <w:color w:val="000000"/>
                <w:sz w:val="16"/>
                <w:szCs w:val="16"/>
              </w:rPr>
            </w:pPr>
            <w:r w:rsidRPr="00DF0397">
              <w:rPr>
                <w:color w:val="000000"/>
                <w:sz w:val="18"/>
                <w:szCs w:val="18"/>
              </w:rPr>
              <w:t>15,070</w:t>
            </w:r>
          </w:p>
        </w:tc>
        <w:tc>
          <w:tcPr>
            <w:tcW w:w="925" w:type="pct"/>
            <w:vAlign w:val="bottom"/>
          </w:tcPr>
          <w:p w14:paraId="20CFA0A0" w14:textId="0ECFE560"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5851E8A6" w14:textId="715E9AEB" w:rsidR="00224102" w:rsidRPr="00C549F4" w:rsidRDefault="00224102" w:rsidP="00224102">
            <w:pPr>
              <w:jc w:val="right"/>
              <w:rPr>
                <w:color w:val="000000"/>
                <w:sz w:val="16"/>
                <w:szCs w:val="16"/>
              </w:rPr>
            </w:pPr>
            <w:r w:rsidRPr="00DF0397">
              <w:rPr>
                <w:color w:val="000000"/>
                <w:sz w:val="18"/>
                <w:szCs w:val="18"/>
              </w:rPr>
              <w:t>6,353</w:t>
            </w:r>
          </w:p>
        </w:tc>
      </w:tr>
      <w:tr w:rsidR="00224102" w:rsidRPr="00923A53" w14:paraId="0121E6AA" w14:textId="77777777" w:rsidTr="00390114">
        <w:tc>
          <w:tcPr>
            <w:tcW w:w="309" w:type="pct"/>
          </w:tcPr>
          <w:p w14:paraId="7C0AFF50"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2.2</w:t>
            </w:r>
          </w:p>
        </w:tc>
        <w:tc>
          <w:tcPr>
            <w:tcW w:w="1487" w:type="pct"/>
            <w:vAlign w:val="bottom"/>
          </w:tcPr>
          <w:p w14:paraId="4CF1A8CE" w14:textId="77777777" w:rsidR="00224102" w:rsidRPr="00923A53" w:rsidRDefault="00224102" w:rsidP="00224102">
            <w:pPr>
              <w:rPr>
                <w:snapToGrid w:val="0"/>
                <w:sz w:val="18"/>
                <w:szCs w:val="18"/>
              </w:rPr>
            </w:pPr>
            <w:r w:rsidRPr="0066317E">
              <w:rPr>
                <w:snapToGrid w:val="0"/>
                <w:sz w:val="18"/>
                <w:szCs w:val="18"/>
              </w:rPr>
              <w:t>Production</w:t>
            </w:r>
          </w:p>
        </w:tc>
        <w:tc>
          <w:tcPr>
            <w:tcW w:w="710" w:type="pct"/>
            <w:vAlign w:val="bottom"/>
          </w:tcPr>
          <w:p w14:paraId="6DE5D3B4" w14:textId="60A22DFF" w:rsidR="00224102" w:rsidRPr="00C549F4" w:rsidRDefault="00224102" w:rsidP="00224102">
            <w:pPr>
              <w:jc w:val="right"/>
              <w:rPr>
                <w:color w:val="000000"/>
                <w:sz w:val="16"/>
                <w:szCs w:val="16"/>
              </w:rPr>
            </w:pPr>
            <w:r w:rsidRPr="00DF0397">
              <w:rPr>
                <w:color w:val="000000"/>
                <w:sz w:val="18"/>
                <w:szCs w:val="18"/>
              </w:rPr>
              <w:t>185,087</w:t>
            </w:r>
          </w:p>
        </w:tc>
        <w:tc>
          <w:tcPr>
            <w:tcW w:w="750" w:type="pct"/>
            <w:vAlign w:val="bottom"/>
          </w:tcPr>
          <w:p w14:paraId="24F79DAC" w14:textId="43DE6257" w:rsidR="00224102" w:rsidRPr="00C549F4" w:rsidRDefault="00224102" w:rsidP="00224102">
            <w:pPr>
              <w:jc w:val="right"/>
              <w:rPr>
                <w:color w:val="000000"/>
                <w:sz w:val="16"/>
                <w:szCs w:val="16"/>
              </w:rPr>
            </w:pPr>
            <w:r w:rsidRPr="00DF0397">
              <w:rPr>
                <w:color w:val="000000"/>
                <w:sz w:val="18"/>
                <w:szCs w:val="18"/>
              </w:rPr>
              <w:t>119,914</w:t>
            </w:r>
          </w:p>
        </w:tc>
        <w:tc>
          <w:tcPr>
            <w:tcW w:w="925" w:type="pct"/>
            <w:vAlign w:val="bottom"/>
          </w:tcPr>
          <w:p w14:paraId="4A689DEF" w14:textId="5EEA8A14"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2A7FBA7C" w14:textId="7166C611" w:rsidR="00224102" w:rsidRPr="00C549F4" w:rsidRDefault="00224102" w:rsidP="00224102">
            <w:pPr>
              <w:jc w:val="right"/>
              <w:rPr>
                <w:color w:val="000000"/>
                <w:sz w:val="16"/>
                <w:szCs w:val="16"/>
              </w:rPr>
            </w:pPr>
            <w:r w:rsidRPr="00DF0397">
              <w:rPr>
                <w:color w:val="000000"/>
                <w:sz w:val="18"/>
                <w:szCs w:val="18"/>
              </w:rPr>
              <w:t>62,529</w:t>
            </w:r>
          </w:p>
        </w:tc>
      </w:tr>
      <w:tr w:rsidR="00224102" w:rsidRPr="00923A53" w14:paraId="4DA65108" w14:textId="77777777" w:rsidTr="00390114">
        <w:tc>
          <w:tcPr>
            <w:tcW w:w="309" w:type="pct"/>
          </w:tcPr>
          <w:p w14:paraId="0C9AC367"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2.3</w:t>
            </w:r>
          </w:p>
        </w:tc>
        <w:tc>
          <w:tcPr>
            <w:tcW w:w="1487" w:type="pct"/>
            <w:vAlign w:val="bottom"/>
          </w:tcPr>
          <w:p w14:paraId="28471060" w14:textId="77777777" w:rsidR="00224102" w:rsidRPr="00923A53" w:rsidRDefault="00224102" w:rsidP="00224102">
            <w:pPr>
              <w:rPr>
                <w:snapToGrid w:val="0"/>
                <w:sz w:val="18"/>
                <w:szCs w:val="18"/>
              </w:rPr>
            </w:pPr>
            <w:r w:rsidRPr="0066317E">
              <w:rPr>
                <w:snapToGrid w:val="0"/>
                <w:sz w:val="18"/>
                <w:szCs w:val="18"/>
              </w:rPr>
              <w:t>Electricity, Gas and Water</w:t>
            </w:r>
          </w:p>
        </w:tc>
        <w:tc>
          <w:tcPr>
            <w:tcW w:w="710" w:type="pct"/>
            <w:vAlign w:val="bottom"/>
          </w:tcPr>
          <w:p w14:paraId="494BFC91" w14:textId="62E4477F" w:rsidR="00224102" w:rsidRPr="00C549F4" w:rsidRDefault="00224102" w:rsidP="00224102">
            <w:pPr>
              <w:jc w:val="right"/>
              <w:rPr>
                <w:color w:val="000000"/>
                <w:sz w:val="16"/>
                <w:szCs w:val="16"/>
              </w:rPr>
            </w:pPr>
            <w:r w:rsidRPr="00DF0397">
              <w:rPr>
                <w:color w:val="000000"/>
                <w:sz w:val="18"/>
                <w:szCs w:val="18"/>
              </w:rPr>
              <w:t>6</w:t>
            </w:r>
            <w:r>
              <w:rPr>
                <w:color w:val="000000"/>
                <w:sz w:val="18"/>
                <w:szCs w:val="18"/>
              </w:rPr>
              <w:t>5</w:t>
            </w:r>
          </w:p>
        </w:tc>
        <w:tc>
          <w:tcPr>
            <w:tcW w:w="750" w:type="pct"/>
            <w:vAlign w:val="bottom"/>
          </w:tcPr>
          <w:p w14:paraId="03252607" w14:textId="5C09B3FE" w:rsidR="00224102" w:rsidRPr="00C549F4" w:rsidRDefault="00224102" w:rsidP="00224102">
            <w:pPr>
              <w:jc w:val="right"/>
              <w:rPr>
                <w:color w:val="000000"/>
                <w:sz w:val="16"/>
                <w:szCs w:val="16"/>
              </w:rPr>
            </w:pPr>
            <w:r w:rsidRPr="00DF0397">
              <w:rPr>
                <w:color w:val="000000"/>
                <w:sz w:val="18"/>
                <w:szCs w:val="18"/>
              </w:rPr>
              <w:t>1,141</w:t>
            </w:r>
          </w:p>
        </w:tc>
        <w:tc>
          <w:tcPr>
            <w:tcW w:w="925" w:type="pct"/>
            <w:vAlign w:val="bottom"/>
          </w:tcPr>
          <w:p w14:paraId="43308028" w14:textId="091E6886"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36B15F6B" w14:textId="0889923D" w:rsidR="00224102" w:rsidRPr="00C549F4" w:rsidRDefault="00224102" w:rsidP="00224102">
            <w:pPr>
              <w:jc w:val="right"/>
              <w:rPr>
                <w:color w:val="000000"/>
                <w:sz w:val="16"/>
                <w:szCs w:val="16"/>
              </w:rPr>
            </w:pPr>
            <w:r w:rsidRPr="00DF0397">
              <w:rPr>
                <w:color w:val="000000"/>
                <w:sz w:val="18"/>
                <w:szCs w:val="18"/>
              </w:rPr>
              <w:t>898</w:t>
            </w:r>
          </w:p>
        </w:tc>
      </w:tr>
      <w:tr w:rsidR="00224102" w:rsidRPr="00923A53" w14:paraId="6056C79E" w14:textId="77777777" w:rsidTr="00390114">
        <w:tc>
          <w:tcPr>
            <w:tcW w:w="309" w:type="pct"/>
          </w:tcPr>
          <w:p w14:paraId="007F6C7D" w14:textId="77777777" w:rsidR="00224102" w:rsidRPr="00923A53" w:rsidRDefault="00224102" w:rsidP="00224102">
            <w:pPr>
              <w:pStyle w:val="BodyTextIndent"/>
              <w:tabs>
                <w:tab w:val="left" w:pos="1276"/>
              </w:tabs>
              <w:spacing w:after="0"/>
              <w:ind w:left="34"/>
              <w:rPr>
                <w:b/>
                <w:sz w:val="18"/>
                <w:szCs w:val="18"/>
              </w:rPr>
            </w:pPr>
            <w:r w:rsidRPr="00923A53">
              <w:rPr>
                <w:b/>
                <w:sz w:val="18"/>
                <w:szCs w:val="18"/>
              </w:rPr>
              <w:t>3</w:t>
            </w:r>
          </w:p>
        </w:tc>
        <w:tc>
          <w:tcPr>
            <w:tcW w:w="1487" w:type="pct"/>
            <w:vAlign w:val="bottom"/>
          </w:tcPr>
          <w:p w14:paraId="33719CF3" w14:textId="77777777" w:rsidR="00224102" w:rsidRPr="00923A53" w:rsidRDefault="00224102" w:rsidP="00224102">
            <w:pPr>
              <w:pStyle w:val="BodyTextIndent"/>
              <w:tabs>
                <w:tab w:val="left" w:pos="1276"/>
              </w:tabs>
              <w:spacing w:after="0"/>
              <w:ind w:left="0"/>
              <w:rPr>
                <w:b/>
                <w:sz w:val="18"/>
                <w:szCs w:val="18"/>
              </w:rPr>
            </w:pPr>
            <w:r w:rsidRPr="0066317E">
              <w:rPr>
                <w:b/>
                <w:sz w:val="18"/>
                <w:szCs w:val="18"/>
              </w:rPr>
              <w:t>Construction</w:t>
            </w:r>
          </w:p>
        </w:tc>
        <w:tc>
          <w:tcPr>
            <w:tcW w:w="710" w:type="pct"/>
            <w:vAlign w:val="bottom"/>
          </w:tcPr>
          <w:p w14:paraId="289EF032" w14:textId="650AE205" w:rsidR="00224102" w:rsidRPr="00C549F4" w:rsidRDefault="00224102" w:rsidP="00224102">
            <w:pPr>
              <w:jc w:val="right"/>
              <w:rPr>
                <w:b/>
                <w:bCs/>
                <w:color w:val="000000"/>
                <w:sz w:val="16"/>
                <w:szCs w:val="16"/>
              </w:rPr>
            </w:pPr>
            <w:r w:rsidRPr="00DF0397">
              <w:rPr>
                <w:b/>
                <w:bCs/>
                <w:color w:val="000000"/>
                <w:sz w:val="18"/>
                <w:szCs w:val="18"/>
              </w:rPr>
              <w:t>81,390</w:t>
            </w:r>
          </w:p>
        </w:tc>
        <w:tc>
          <w:tcPr>
            <w:tcW w:w="750" w:type="pct"/>
            <w:vAlign w:val="bottom"/>
          </w:tcPr>
          <w:p w14:paraId="74716BF1" w14:textId="7317A456" w:rsidR="00224102" w:rsidRPr="00C549F4" w:rsidRDefault="00224102" w:rsidP="00224102">
            <w:pPr>
              <w:jc w:val="right"/>
              <w:rPr>
                <w:b/>
                <w:bCs/>
                <w:color w:val="000000"/>
                <w:sz w:val="16"/>
                <w:szCs w:val="16"/>
              </w:rPr>
            </w:pPr>
            <w:r w:rsidRPr="00DF0397">
              <w:rPr>
                <w:b/>
                <w:bCs/>
                <w:color w:val="000000"/>
                <w:sz w:val="18"/>
                <w:szCs w:val="18"/>
              </w:rPr>
              <w:t>89,824</w:t>
            </w:r>
          </w:p>
        </w:tc>
        <w:tc>
          <w:tcPr>
            <w:tcW w:w="925" w:type="pct"/>
            <w:vAlign w:val="bottom"/>
          </w:tcPr>
          <w:p w14:paraId="3E46E078" w14:textId="74ADD244" w:rsidR="00224102" w:rsidRPr="00C549F4" w:rsidRDefault="00224102" w:rsidP="00224102">
            <w:pPr>
              <w:jc w:val="right"/>
              <w:rPr>
                <w:b/>
                <w:bCs/>
                <w:color w:val="000000"/>
                <w:sz w:val="16"/>
                <w:szCs w:val="16"/>
              </w:rPr>
            </w:pPr>
            <w:r w:rsidRPr="00DF0397">
              <w:rPr>
                <w:b/>
                <w:bCs/>
                <w:color w:val="000000"/>
                <w:sz w:val="18"/>
                <w:szCs w:val="18"/>
              </w:rPr>
              <w:t>-</w:t>
            </w:r>
          </w:p>
        </w:tc>
        <w:tc>
          <w:tcPr>
            <w:tcW w:w="818" w:type="pct"/>
            <w:vAlign w:val="bottom"/>
          </w:tcPr>
          <w:p w14:paraId="401E2AA5" w14:textId="03035F3D" w:rsidR="00224102" w:rsidRPr="00C549F4" w:rsidRDefault="00224102" w:rsidP="00224102">
            <w:pPr>
              <w:jc w:val="right"/>
              <w:rPr>
                <w:b/>
                <w:bCs/>
                <w:color w:val="000000"/>
                <w:sz w:val="16"/>
                <w:szCs w:val="16"/>
              </w:rPr>
            </w:pPr>
            <w:r w:rsidRPr="00DF0397">
              <w:rPr>
                <w:b/>
                <w:bCs/>
                <w:color w:val="000000"/>
                <w:sz w:val="18"/>
                <w:szCs w:val="18"/>
              </w:rPr>
              <w:t>38,327</w:t>
            </w:r>
          </w:p>
        </w:tc>
      </w:tr>
      <w:tr w:rsidR="00224102" w:rsidRPr="00923A53" w14:paraId="0E75C459" w14:textId="77777777" w:rsidTr="00390114">
        <w:tc>
          <w:tcPr>
            <w:tcW w:w="309" w:type="pct"/>
          </w:tcPr>
          <w:p w14:paraId="7C34E3C4" w14:textId="77777777" w:rsidR="00224102" w:rsidRPr="00923A53" w:rsidRDefault="00224102" w:rsidP="00224102">
            <w:pPr>
              <w:pStyle w:val="BodyTextIndent"/>
              <w:tabs>
                <w:tab w:val="left" w:pos="1276"/>
              </w:tabs>
              <w:spacing w:after="0"/>
              <w:ind w:left="34"/>
              <w:rPr>
                <w:b/>
                <w:sz w:val="18"/>
                <w:szCs w:val="18"/>
              </w:rPr>
            </w:pPr>
            <w:r w:rsidRPr="00923A53">
              <w:rPr>
                <w:b/>
                <w:sz w:val="18"/>
                <w:szCs w:val="18"/>
              </w:rPr>
              <w:t>4</w:t>
            </w:r>
          </w:p>
        </w:tc>
        <w:tc>
          <w:tcPr>
            <w:tcW w:w="1487" w:type="pct"/>
            <w:vAlign w:val="bottom"/>
          </w:tcPr>
          <w:p w14:paraId="1412E193" w14:textId="77777777" w:rsidR="00224102" w:rsidRPr="00923A53" w:rsidRDefault="00224102" w:rsidP="00224102">
            <w:pPr>
              <w:pStyle w:val="BodyTextIndent"/>
              <w:tabs>
                <w:tab w:val="left" w:pos="1276"/>
              </w:tabs>
              <w:spacing w:after="0"/>
              <w:ind w:left="0"/>
              <w:rPr>
                <w:b/>
                <w:sz w:val="18"/>
                <w:szCs w:val="18"/>
              </w:rPr>
            </w:pPr>
            <w:r w:rsidRPr="0066317E">
              <w:rPr>
                <w:b/>
                <w:sz w:val="18"/>
                <w:szCs w:val="18"/>
              </w:rPr>
              <w:t>Services</w:t>
            </w:r>
          </w:p>
        </w:tc>
        <w:tc>
          <w:tcPr>
            <w:tcW w:w="710" w:type="pct"/>
            <w:vAlign w:val="bottom"/>
          </w:tcPr>
          <w:p w14:paraId="3364722F" w14:textId="6B0099CF" w:rsidR="00224102" w:rsidRPr="00C549F4" w:rsidRDefault="00224102" w:rsidP="00224102">
            <w:pPr>
              <w:jc w:val="right"/>
              <w:rPr>
                <w:b/>
                <w:bCs/>
                <w:color w:val="000000"/>
                <w:sz w:val="16"/>
                <w:szCs w:val="16"/>
              </w:rPr>
            </w:pPr>
            <w:r w:rsidRPr="00DF0397">
              <w:rPr>
                <w:b/>
                <w:bCs/>
                <w:color w:val="000000"/>
                <w:sz w:val="18"/>
                <w:szCs w:val="18"/>
              </w:rPr>
              <w:t>244,423</w:t>
            </w:r>
          </w:p>
        </w:tc>
        <w:tc>
          <w:tcPr>
            <w:tcW w:w="750" w:type="pct"/>
            <w:vAlign w:val="bottom"/>
          </w:tcPr>
          <w:p w14:paraId="2F7D4E3D" w14:textId="1E45332B" w:rsidR="00224102" w:rsidRPr="00C549F4" w:rsidRDefault="00224102" w:rsidP="00224102">
            <w:pPr>
              <w:jc w:val="right"/>
              <w:rPr>
                <w:b/>
                <w:bCs/>
                <w:color w:val="000000"/>
                <w:sz w:val="16"/>
                <w:szCs w:val="16"/>
              </w:rPr>
            </w:pPr>
            <w:r w:rsidRPr="00DF0397">
              <w:rPr>
                <w:b/>
                <w:bCs/>
                <w:color w:val="000000"/>
                <w:sz w:val="18"/>
                <w:szCs w:val="18"/>
              </w:rPr>
              <w:t>205,050</w:t>
            </w:r>
          </w:p>
        </w:tc>
        <w:tc>
          <w:tcPr>
            <w:tcW w:w="925" w:type="pct"/>
            <w:vAlign w:val="bottom"/>
          </w:tcPr>
          <w:p w14:paraId="752F59D7" w14:textId="31792181" w:rsidR="00224102" w:rsidRPr="00C549F4" w:rsidRDefault="00224102" w:rsidP="00224102">
            <w:pPr>
              <w:jc w:val="right"/>
              <w:rPr>
                <w:b/>
                <w:bCs/>
                <w:color w:val="000000"/>
                <w:sz w:val="16"/>
                <w:szCs w:val="16"/>
              </w:rPr>
            </w:pPr>
            <w:r w:rsidRPr="00DF0397">
              <w:rPr>
                <w:b/>
                <w:bCs/>
                <w:color w:val="000000"/>
                <w:sz w:val="18"/>
                <w:szCs w:val="18"/>
              </w:rPr>
              <w:t>-</w:t>
            </w:r>
          </w:p>
        </w:tc>
        <w:tc>
          <w:tcPr>
            <w:tcW w:w="818" w:type="pct"/>
            <w:vAlign w:val="bottom"/>
          </w:tcPr>
          <w:p w14:paraId="34968B96" w14:textId="1F1661BB" w:rsidR="00224102" w:rsidRPr="00C549F4" w:rsidRDefault="00224102" w:rsidP="00224102">
            <w:pPr>
              <w:jc w:val="right"/>
              <w:rPr>
                <w:b/>
                <w:bCs/>
                <w:color w:val="000000"/>
                <w:sz w:val="16"/>
                <w:szCs w:val="16"/>
              </w:rPr>
            </w:pPr>
            <w:r w:rsidRPr="00DF0397">
              <w:rPr>
                <w:b/>
                <w:bCs/>
                <w:color w:val="000000"/>
                <w:sz w:val="18"/>
                <w:szCs w:val="18"/>
              </w:rPr>
              <w:t>117,222</w:t>
            </w:r>
          </w:p>
        </w:tc>
      </w:tr>
      <w:tr w:rsidR="00224102" w:rsidRPr="00923A53" w14:paraId="0912A5D6" w14:textId="77777777" w:rsidTr="00390114">
        <w:tc>
          <w:tcPr>
            <w:tcW w:w="309" w:type="pct"/>
          </w:tcPr>
          <w:p w14:paraId="56FA4F6A"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4.1</w:t>
            </w:r>
          </w:p>
        </w:tc>
        <w:tc>
          <w:tcPr>
            <w:tcW w:w="1487" w:type="pct"/>
            <w:vAlign w:val="bottom"/>
          </w:tcPr>
          <w:p w14:paraId="5BC5817A" w14:textId="77777777" w:rsidR="00224102" w:rsidRPr="00923A53" w:rsidRDefault="00224102" w:rsidP="00224102">
            <w:pPr>
              <w:rPr>
                <w:snapToGrid w:val="0"/>
                <w:sz w:val="18"/>
                <w:szCs w:val="18"/>
              </w:rPr>
            </w:pPr>
            <w:r w:rsidRPr="0066317E">
              <w:rPr>
                <w:snapToGrid w:val="0"/>
                <w:sz w:val="18"/>
                <w:szCs w:val="18"/>
              </w:rPr>
              <w:t>Wholesale and Retail Trade</w:t>
            </w:r>
          </w:p>
        </w:tc>
        <w:tc>
          <w:tcPr>
            <w:tcW w:w="710" w:type="pct"/>
            <w:vAlign w:val="bottom"/>
          </w:tcPr>
          <w:p w14:paraId="43051BB5" w14:textId="55446102" w:rsidR="00224102" w:rsidRPr="00C549F4" w:rsidRDefault="00224102" w:rsidP="00224102">
            <w:pPr>
              <w:jc w:val="right"/>
              <w:rPr>
                <w:color w:val="000000"/>
                <w:sz w:val="16"/>
                <w:szCs w:val="16"/>
              </w:rPr>
            </w:pPr>
            <w:r w:rsidRPr="00DF0397">
              <w:rPr>
                <w:color w:val="000000"/>
                <w:sz w:val="18"/>
                <w:szCs w:val="18"/>
              </w:rPr>
              <w:t>183,831</w:t>
            </w:r>
          </w:p>
        </w:tc>
        <w:tc>
          <w:tcPr>
            <w:tcW w:w="750" w:type="pct"/>
            <w:vAlign w:val="bottom"/>
          </w:tcPr>
          <w:p w14:paraId="3604C84B" w14:textId="3255C6C5" w:rsidR="00224102" w:rsidRPr="00C549F4" w:rsidRDefault="00224102" w:rsidP="00224102">
            <w:pPr>
              <w:jc w:val="right"/>
              <w:rPr>
                <w:color w:val="000000"/>
                <w:sz w:val="16"/>
                <w:szCs w:val="16"/>
              </w:rPr>
            </w:pPr>
            <w:r w:rsidRPr="00DF0397">
              <w:rPr>
                <w:color w:val="000000"/>
                <w:sz w:val="18"/>
                <w:szCs w:val="18"/>
              </w:rPr>
              <w:t>134,509</w:t>
            </w:r>
          </w:p>
        </w:tc>
        <w:tc>
          <w:tcPr>
            <w:tcW w:w="925" w:type="pct"/>
            <w:vAlign w:val="bottom"/>
          </w:tcPr>
          <w:p w14:paraId="7084C168" w14:textId="51CEB23E"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2FFC9CA8" w14:textId="602E6091" w:rsidR="00224102" w:rsidRPr="00C549F4" w:rsidRDefault="00224102" w:rsidP="00224102">
            <w:pPr>
              <w:jc w:val="right"/>
              <w:rPr>
                <w:color w:val="000000"/>
                <w:sz w:val="16"/>
                <w:szCs w:val="16"/>
              </w:rPr>
            </w:pPr>
            <w:r w:rsidRPr="00DF0397">
              <w:rPr>
                <w:color w:val="000000"/>
                <w:sz w:val="18"/>
                <w:szCs w:val="18"/>
              </w:rPr>
              <w:t>73,845</w:t>
            </w:r>
          </w:p>
        </w:tc>
      </w:tr>
      <w:tr w:rsidR="00224102" w:rsidRPr="00923A53" w14:paraId="7F842226" w14:textId="77777777" w:rsidTr="00390114">
        <w:tc>
          <w:tcPr>
            <w:tcW w:w="309" w:type="pct"/>
          </w:tcPr>
          <w:p w14:paraId="2B70BD30"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4.2</w:t>
            </w:r>
          </w:p>
        </w:tc>
        <w:tc>
          <w:tcPr>
            <w:tcW w:w="1487" w:type="pct"/>
            <w:vAlign w:val="bottom"/>
          </w:tcPr>
          <w:p w14:paraId="1F16A7FE" w14:textId="77777777" w:rsidR="00224102" w:rsidRPr="00923A53" w:rsidRDefault="00224102" w:rsidP="00224102">
            <w:pPr>
              <w:rPr>
                <w:snapToGrid w:val="0"/>
                <w:sz w:val="18"/>
                <w:szCs w:val="18"/>
              </w:rPr>
            </w:pPr>
            <w:r w:rsidRPr="0066317E">
              <w:rPr>
                <w:snapToGrid w:val="0"/>
                <w:sz w:val="18"/>
                <w:szCs w:val="18"/>
              </w:rPr>
              <w:t>Accommodation and Dining</w:t>
            </w:r>
          </w:p>
        </w:tc>
        <w:tc>
          <w:tcPr>
            <w:tcW w:w="710" w:type="pct"/>
            <w:vAlign w:val="bottom"/>
          </w:tcPr>
          <w:p w14:paraId="43376EAD" w14:textId="79CC6AC4" w:rsidR="00224102" w:rsidRPr="00C549F4" w:rsidRDefault="00224102" w:rsidP="00224102">
            <w:pPr>
              <w:jc w:val="right"/>
              <w:rPr>
                <w:color w:val="000000"/>
                <w:sz w:val="16"/>
                <w:szCs w:val="16"/>
              </w:rPr>
            </w:pPr>
            <w:r w:rsidRPr="00DF0397">
              <w:rPr>
                <w:color w:val="000000"/>
                <w:sz w:val="18"/>
                <w:szCs w:val="18"/>
              </w:rPr>
              <w:t>19,320</w:t>
            </w:r>
          </w:p>
        </w:tc>
        <w:tc>
          <w:tcPr>
            <w:tcW w:w="750" w:type="pct"/>
            <w:vAlign w:val="bottom"/>
          </w:tcPr>
          <w:p w14:paraId="409DAD8D" w14:textId="666498A1" w:rsidR="00224102" w:rsidRPr="00C549F4" w:rsidRDefault="00224102" w:rsidP="00224102">
            <w:pPr>
              <w:jc w:val="right"/>
              <w:rPr>
                <w:color w:val="000000"/>
                <w:sz w:val="16"/>
                <w:szCs w:val="16"/>
              </w:rPr>
            </w:pPr>
            <w:r w:rsidRPr="00DF0397">
              <w:rPr>
                <w:color w:val="000000"/>
                <w:sz w:val="18"/>
                <w:szCs w:val="18"/>
              </w:rPr>
              <w:t>4,210</w:t>
            </w:r>
          </w:p>
        </w:tc>
        <w:tc>
          <w:tcPr>
            <w:tcW w:w="925" w:type="pct"/>
            <w:vAlign w:val="bottom"/>
          </w:tcPr>
          <w:p w14:paraId="7C17D7BB" w14:textId="077E1F2E"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39BC1526" w14:textId="7ACDE50B" w:rsidR="00224102" w:rsidRPr="00C549F4" w:rsidRDefault="00224102" w:rsidP="00224102">
            <w:pPr>
              <w:jc w:val="right"/>
              <w:rPr>
                <w:color w:val="000000"/>
                <w:sz w:val="16"/>
                <w:szCs w:val="16"/>
              </w:rPr>
            </w:pPr>
            <w:r w:rsidRPr="00DF0397">
              <w:rPr>
                <w:color w:val="000000"/>
                <w:sz w:val="18"/>
                <w:szCs w:val="18"/>
              </w:rPr>
              <w:t>2,615</w:t>
            </w:r>
          </w:p>
        </w:tc>
      </w:tr>
      <w:tr w:rsidR="00224102" w:rsidRPr="00923A53" w14:paraId="5D48B685" w14:textId="77777777" w:rsidTr="00390114">
        <w:tc>
          <w:tcPr>
            <w:tcW w:w="309" w:type="pct"/>
          </w:tcPr>
          <w:p w14:paraId="0B1F19B9"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4.3</w:t>
            </w:r>
          </w:p>
        </w:tc>
        <w:tc>
          <w:tcPr>
            <w:tcW w:w="1487" w:type="pct"/>
            <w:vAlign w:val="bottom"/>
          </w:tcPr>
          <w:p w14:paraId="432A82E2" w14:textId="77777777" w:rsidR="00224102" w:rsidRPr="00923A53" w:rsidRDefault="00224102" w:rsidP="00224102">
            <w:pPr>
              <w:rPr>
                <w:snapToGrid w:val="0"/>
                <w:sz w:val="18"/>
                <w:szCs w:val="18"/>
              </w:rPr>
            </w:pPr>
            <w:r w:rsidRPr="0066317E">
              <w:rPr>
                <w:snapToGrid w:val="0"/>
                <w:sz w:val="18"/>
                <w:szCs w:val="18"/>
              </w:rPr>
              <w:t>Transportation and Telecom</w:t>
            </w:r>
          </w:p>
        </w:tc>
        <w:tc>
          <w:tcPr>
            <w:tcW w:w="710" w:type="pct"/>
            <w:vAlign w:val="bottom"/>
          </w:tcPr>
          <w:p w14:paraId="50EBE62D" w14:textId="6590A82A" w:rsidR="00224102" w:rsidRPr="00C549F4" w:rsidRDefault="00224102" w:rsidP="00224102">
            <w:pPr>
              <w:jc w:val="right"/>
              <w:rPr>
                <w:color w:val="000000"/>
                <w:sz w:val="16"/>
                <w:szCs w:val="16"/>
              </w:rPr>
            </w:pPr>
            <w:r w:rsidRPr="00DF0397">
              <w:rPr>
                <w:color w:val="000000"/>
                <w:sz w:val="18"/>
                <w:szCs w:val="18"/>
              </w:rPr>
              <w:t>16,164</w:t>
            </w:r>
          </w:p>
        </w:tc>
        <w:tc>
          <w:tcPr>
            <w:tcW w:w="750" w:type="pct"/>
            <w:vAlign w:val="bottom"/>
          </w:tcPr>
          <w:p w14:paraId="04EA3088" w14:textId="2F4959C6" w:rsidR="00224102" w:rsidRPr="00C549F4" w:rsidRDefault="00224102" w:rsidP="00224102">
            <w:pPr>
              <w:jc w:val="right"/>
              <w:rPr>
                <w:color w:val="000000"/>
                <w:sz w:val="16"/>
                <w:szCs w:val="16"/>
              </w:rPr>
            </w:pPr>
            <w:r w:rsidRPr="00DF0397">
              <w:rPr>
                <w:color w:val="000000"/>
                <w:sz w:val="18"/>
                <w:szCs w:val="18"/>
              </w:rPr>
              <w:t>32,178</w:t>
            </w:r>
          </w:p>
        </w:tc>
        <w:tc>
          <w:tcPr>
            <w:tcW w:w="925" w:type="pct"/>
            <w:vAlign w:val="bottom"/>
          </w:tcPr>
          <w:p w14:paraId="27547F44" w14:textId="786FC02F"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6FA30D78" w14:textId="387157B8" w:rsidR="00224102" w:rsidRPr="00C549F4" w:rsidRDefault="00224102" w:rsidP="00224102">
            <w:pPr>
              <w:jc w:val="right"/>
              <w:rPr>
                <w:color w:val="000000"/>
                <w:sz w:val="16"/>
                <w:szCs w:val="16"/>
              </w:rPr>
            </w:pPr>
            <w:r w:rsidRPr="00DF0397">
              <w:rPr>
                <w:color w:val="000000"/>
                <w:sz w:val="18"/>
                <w:szCs w:val="18"/>
              </w:rPr>
              <w:t>21,345</w:t>
            </w:r>
          </w:p>
        </w:tc>
      </w:tr>
      <w:tr w:rsidR="00224102" w:rsidRPr="00923A53" w14:paraId="3743FFAE" w14:textId="77777777" w:rsidTr="00390114">
        <w:tc>
          <w:tcPr>
            <w:tcW w:w="309" w:type="pct"/>
          </w:tcPr>
          <w:p w14:paraId="498EE4F5"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4.4</w:t>
            </w:r>
          </w:p>
        </w:tc>
        <w:tc>
          <w:tcPr>
            <w:tcW w:w="1487" w:type="pct"/>
            <w:vAlign w:val="bottom"/>
          </w:tcPr>
          <w:p w14:paraId="09F26047" w14:textId="77777777" w:rsidR="00224102" w:rsidRPr="007C0BA6" w:rsidRDefault="00224102" w:rsidP="00224102">
            <w:pPr>
              <w:ind w:firstLineChars="7" w:firstLine="13"/>
              <w:rPr>
                <w:sz w:val="18"/>
                <w:szCs w:val="18"/>
              </w:rPr>
            </w:pPr>
            <w:r w:rsidRPr="007C0BA6">
              <w:rPr>
                <w:sz w:val="18"/>
                <w:szCs w:val="18"/>
              </w:rPr>
              <w:t>Financial Institutions</w:t>
            </w:r>
          </w:p>
        </w:tc>
        <w:tc>
          <w:tcPr>
            <w:tcW w:w="710" w:type="pct"/>
            <w:vAlign w:val="bottom"/>
          </w:tcPr>
          <w:p w14:paraId="32642C08" w14:textId="5C95BE98" w:rsidR="00224102" w:rsidRPr="00C549F4" w:rsidRDefault="00224102" w:rsidP="00224102">
            <w:pPr>
              <w:jc w:val="right"/>
              <w:rPr>
                <w:color w:val="000000"/>
                <w:sz w:val="16"/>
                <w:szCs w:val="16"/>
              </w:rPr>
            </w:pPr>
            <w:r w:rsidRPr="00DF0397">
              <w:rPr>
                <w:color w:val="000000"/>
                <w:sz w:val="18"/>
                <w:szCs w:val="18"/>
              </w:rPr>
              <w:t>682</w:t>
            </w:r>
          </w:p>
        </w:tc>
        <w:tc>
          <w:tcPr>
            <w:tcW w:w="750" w:type="pct"/>
            <w:vAlign w:val="bottom"/>
          </w:tcPr>
          <w:p w14:paraId="47F9F723" w14:textId="44AA1A7F" w:rsidR="00224102" w:rsidRPr="00C549F4" w:rsidRDefault="00224102" w:rsidP="00224102">
            <w:pPr>
              <w:jc w:val="right"/>
              <w:rPr>
                <w:color w:val="000000"/>
                <w:sz w:val="16"/>
                <w:szCs w:val="16"/>
              </w:rPr>
            </w:pPr>
            <w:r w:rsidRPr="00DF0397">
              <w:rPr>
                <w:color w:val="000000"/>
                <w:sz w:val="18"/>
                <w:szCs w:val="18"/>
              </w:rPr>
              <w:t>2,947</w:t>
            </w:r>
          </w:p>
        </w:tc>
        <w:tc>
          <w:tcPr>
            <w:tcW w:w="925" w:type="pct"/>
            <w:vAlign w:val="bottom"/>
          </w:tcPr>
          <w:p w14:paraId="5B8AD773" w14:textId="16496B5B"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78783988" w14:textId="684535F8" w:rsidR="00224102" w:rsidRPr="00C549F4" w:rsidRDefault="00224102" w:rsidP="00224102">
            <w:pPr>
              <w:jc w:val="right"/>
              <w:rPr>
                <w:color w:val="000000"/>
                <w:sz w:val="16"/>
                <w:szCs w:val="16"/>
              </w:rPr>
            </w:pPr>
            <w:r w:rsidRPr="00DF0397">
              <w:rPr>
                <w:color w:val="000000"/>
                <w:sz w:val="18"/>
                <w:szCs w:val="18"/>
              </w:rPr>
              <w:t>2,597</w:t>
            </w:r>
          </w:p>
        </w:tc>
      </w:tr>
      <w:tr w:rsidR="00224102" w:rsidRPr="00923A53" w14:paraId="71DB19D5" w14:textId="77777777" w:rsidTr="00390114">
        <w:tc>
          <w:tcPr>
            <w:tcW w:w="309" w:type="pct"/>
          </w:tcPr>
          <w:p w14:paraId="46B497FE"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4.5</w:t>
            </w:r>
          </w:p>
        </w:tc>
        <w:tc>
          <w:tcPr>
            <w:tcW w:w="1487" w:type="pct"/>
            <w:vAlign w:val="bottom"/>
          </w:tcPr>
          <w:p w14:paraId="1937C6B0" w14:textId="77777777" w:rsidR="00224102" w:rsidRPr="00923A53" w:rsidRDefault="00224102" w:rsidP="00224102">
            <w:pPr>
              <w:rPr>
                <w:snapToGrid w:val="0"/>
                <w:sz w:val="18"/>
                <w:szCs w:val="18"/>
              </w:rPr>
            </w:pPr>
            <w:r w:rsidRPr="0066317E">
              <w:rPr>
                <w:snapToGrid w:val="0"/>
                <w:sz w:val="18"/>
                <w:szCs w:val="18"/>
              </w:rPr>
              <w:t>Real Estate and Rental Services</w:t>
            </w:r>
          </w:p>
        </w:tc>
        <w:tc>
          <w:tcPr>
            <w:tcW w:w="710" w:type="pct"/>
            <w:vAlign w:val="bottom"/>
          </w:tcPr>
          <w:p w14:paraId="0BCE187F" w14:textId="6E44A874" w:rsidR="00224102" w:rsidRPr="00C549F4" w:rsidRDefault="00224102" w:rsidP="00224102">
            <w:pPr>
              <w:jc w:val="right"/>
              <w:rPr>
                <w:color w:val="000000"/>
                <w:sz w:val="16"/>
                <w:szCs w:val="16"/>
              </w:rPr>
            </w:pPr>
            <w:r w:rsidRPr="00DF0397">
              <w:rPr>
                <w:color w:val="000000"/>
                <w:sz w:val="18"/>
                <w:szCs w:val="18"/>
              </w:rPr>
              <w:t>794</w:t>
            </w:r>
          </w:p>
        </w:tc>
        <w:tc>
          <w:tcPr>
            <w:tcW w:w="750" w:type="pct"/>
            <w:vAlign w:val="bottom"/>
          </w:tcPr>
          <w:p w14:paraId="7C8E6958" w14:textId="1229D488" w:rsidR="00224102" w:rsidRPr="00C549F4" w:rsidRDefault="00224102" w:rsidP="00224102">
            <w:pPr>
              <w:jc w:val="right"/>
              <w:rPr>
                <w:color w:val="000000"/>
                <w:sz w:val="16"/>
                <w:szCs w:val="16"/>
              </w:rPr>
            </w:pPr>
            <w:r w:rsidRPr="00DF0397">
              <w:rPr>
                <w:color w:val="000000"/>
                <w:sz w:val="18"/>
                <w:szCs w:val="18"/>
              </w:rPr>
              <w:t>549</w:t>
            </w:r>
          </w:p>
        </w:tc>
        <w:tc>
          <w:tcPr>
            <w:tcW w:w="925" w:type="pct"/>
            <w:vAlign w:val="bottom"/>
          </w:tcPr>
          <w:p w14:paraId="7E6C516C" w14:textId="304CBEDA"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1C7C9133" w14:textId="106CE602" w:rsidR="00224102" w:rsidRPr="00C549F4" w:rsidRDefault="00224102" w:rsidP="00224102">
            <w:pPr>
              <w:jc w:val="right"/>
              <w:rPr>
                <w:color w:val="000000"/>
                <w:sz w:val="16"/>
                <w:szCs w:val="16"/>
              </w:rPr>
            </w:pPr>
            <w:r w:rsidRPr="00DF0397">
              <w:rPr>
                <w:color w:val="000000"/>
                <w:sz w:val="18"/>
                <w:szCs w:val="18"/>
              </w:rPr>
              <w:t>251</w:t>
            </w:r>
          </w:p>
        </w:tc>
      </w:tr>
      <w:tr w:rsidR="00224102" w:rsidRPr="00923A53" w14:paraId="6C2C3F92" w14:textId="77777777" w:rsidTr="00390114">
        <w:tc>
          <w:tcPr>
            <w:tcW w:w="309" w:type="pct"/>
          </w:tcPr>
          <w:p w14:paraId="7D7AE514"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4.6</w:t>
            </w:r>
          </w:p>
        </w:tc>
        <w:tc>
          <w:tcPr>
            <w:tcW w:w="1487" w:type="pct"/>
            <w:vAlign w:val="bottom"/>
          </w:tcPr>
          <w:p w14:paraId="6EB33543" w14:textId="77777777" w:rsidR="00224102" w:rsidRPr="00923A53" w:rsidRDefault="00224102" w:rsidP="00224102">
            <w:pPr>
              <w:rPr>
                <w:snapToGrid w:val="0"/>
                <w:sz w:val="18"/>
                <w:szCs w:val="18"/>
              </w:rPr>
            </w:pPr>
            <w:r w:rsidRPr="0066317E">
              <w:rPr>
                <w:snapToGrid w:val="0"/>
                <w:sz w:val="18"/>
                <w:szCs w:val="18"/>
              </w:rPr>
              <w:t>Professional Services</w:t>
            </w:r>
          </w:p>
        </w:tc>
        <w:tc>
          <w:tcPr>
            <w:tcW w:w="710" w:type="pct"/>
            <w:vAlign w:val="bottom"/>
          </w:tcPr>
          <w:p w14:paraId="6C0F3510" w14:textId="43D3FEC7" w:rsidR="00224102" w:rsidRPr="00C549F4" w:rsidRDefault="00224102" w:rsidP="00224102">
            <w:pPr>
              <w:jc w:val="right"/>
              <w:rPr>
                <w:color w:val="000000"/>
                <w:sz w:val="16"/>
                <w:szCs w:val="16"/>
              </w:rPr>
            </w:pPr>
            <w:r w:rsidRPr="00DF0397">
              <w:rPr>
                <w:color w:val="000000"/>
                <w:sz w:val="18"/>
                <w:szCs w:val="18"/>
              </w:rPr>
              <w:t>17,067</w:t>
            </w:r>
          </w:p>
        </w:tc>
        <w:tc>
          <w:tcPr>
            <w:tcW w:w="750" w:type="pct"/>
            <w:vAlign w:val="bottom"/>
          </w:tcPr>
          <w:p w14:paraId="1E738C0B" w14:textId="128091A4" w:rsidR="00224102" w:rsidRPr="00C549F4" w:rsidRDefault="00224102" w:rsidP="00224102">
            <w:pPr>
              <w:jc w:val="right"/>
              <w:rPr>
                <w:color w:val="000000"/>
                <w:sz w:val="16"/>
                <w:szCs w:val="16"/>
              </w:rPr>
            </w:pPr>
            <w:r w:rsidRPr="00DF0397">
              <w:rPr>
                <w:color w:val="000000"/>
                <w:sz w:val="18"/>
                <w:szCs w:val="18"/>
              </w:rPr>
              <w:t>21,777</w:t>
            </w:r>
          </w:p>
        </w:tc>
        <w:tc>
          <w:tcPr>
            <w:tcW w:w="925" w:type="pct"/>
            <w:vAlign w:val="bottom"/>
          </w:tcPr>
          <w:p w14:paraId="51D044C2" w14:textId="2483C7D5"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3DEA9A3F" w14:textId="0BFC3CE9" w:rsidR="00224102" w:rsidRPr="00C549F4" w:rsidRDefault="00224102" w:rsidP="00224102">
            <w:pPr>
              <w:jc w:val="right"/>
              <w:rPr>
                <w:color w:val="000000"/>
                <w:sz w:val="16"/>
                <w:szCs w:val="16"/>
              </w:rPr>
            </w:pPr>
            <w:r w:rsidRPr="00DF0397">
              <w:rPr>
                <w:color w:val="000000"/>
                <w:sz w:val="18"/>
                <w:szCs w:val="18"/>
              </w:rPr>
              <w:t>12,406</w:t>
            </w:r>
          </w:p>
        </w:tc>
      </w:tr>
      <w:tr w:rsidR="00224102" w:rsidRPr="00923A53" w14:paraId="3243111D" w14:textId="77777777" w:rsidTr="00390114">
        <w:tc>
          <w:tcPr>
            <w:tcW w:w="309" w:type="pct"/>
          </w:tcPr>
          <w:p w14:paraId="788FB853"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4.7</w:t>
            </w:r>
          </w:p>
        </w:tc>
        <w:tc>
          <w:tcPr>
            <w:tcW w:w="1487" w:type="pct"/>
            <w:vAlign w:val="bottom"/>
          </w:tcPr>
          <w:p w14:paraId="3C9F44C2" w14:textId="77777777" w:rsidR="00224102" w:rsidRPr="00923A53" w:rsidRDefault="00224102" w:rsidP="00224102">
            <w:pPr>
              <w:rPr>
                <w:snapToGrid w:val="0"/>
                <w:sz w:val="18"/>
                <w:szCs w:val="18"/>
              </w:rPr>
            </w:pPr>
            <w:r w:rsidRPr="0066317E">
              <w:rPr>
                <w:snapToGrid w:val="0"/>
                <w:sz w:val="18"/>
                <w:szCs w:val="18"/>
              </w:rPr>
              <w:t>Educational Services</w:t>
            </w:r>
          </w:p>
        </w:tc>
        <w:tc>
          <w:tcPr>
            <w:tcW w:w="710" w:type="pct"/>
            <w:vAlign w:val="bottom"/>
          </w:tcPr>
          <w:p w14:paraId="451DA303" w14:textId="722EB8AC" w:rsidR="00224102" w:rsidRPr="00C549F4" w:rsidRDefault="00224102" w:rsidP="00224102">
            <w:pPr>
              <w:jc w:val="right"/>
              <w:rPr>
                <w:color w:val="000000"/>
                <w:sz w:val="16"/>
                <w:szCs w:val="16"/>
              </w:rPr>
            </w:pPr>
            <w:r w:rsidRPr="00DF0397">
              <w:rPr>
                <w:color w:val="000000"/>
                <w:sz w:val="18"/>
                <w:szCs w:val="18"/>
              </w:rPr>
              <w:t>33</w:t>
            </w:r>
          </w:p>
        </w:tc>
        <w:tc>
          <w:tcPr>
            <w:tcW w:w="750" w:type="pct"/>
            <w:vAlign w:val="bottom"/>
          </w:tcPr>
          <w:p w14:paraId="1D039072" w14:textId="24DA26B0" w:rsidR="00224102" w:rsidRPr="00C549F4" w:rsidRDefault="00224102" w:rsidP="00224102">
            <w:pPr>
              <w:jc w:val="right"/>
              <w:rPr>
                <w:color w:val="000000"/>
                <w:sz w:val="16"/>
                <w:szCs w:val="16"/>
              </w:rPr>
            </w:pPr>
            <w:r w:rsidRPr="00DF0397">
              <w:rPr>
                <w:color w:val="000000"/>
                <w:sz w:val="18"/>
                <w:szCs w:val="18"/>
              </w:rPr>
              <w:t>6</w:t>
            </w:r>
          </w:p>
        </w:tc>
        <w:tc>
          <w:tcPr>
            <w:tcW w:w="925" w:type="pct"/>
            <w:vAlign w:val="bottom"/>
          </w:tcPr>
          <w:p w14:paraId="2CC91D89" w14:textId="2016E769"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3A7EEC7C" w14:textId="2225A42B" w:rsidR="00224102" w:rsidRPr="00C549F4" w:rsidRDefault="00224102" w:rsidP="00224102">
            <w:pPr>
              <w:jc w:val="right"/>
              <w:rPr>
                <w:color w:val="000000"/>
                <w:sz w:val="16"/>
                <w:szCs w:val="16"/>
              </w:rPr>
            </w:pPr>
            <w:r>
              <w:rPr>
                <w:color w:val="000000"/>
                <w:sz w:val="18"/>
                <w:szCs w:val="18"/>
              </w:rPr>
              <w:t>4</w:t>
            </w:r>
          </w:p>
        </w:tc>
      </w:tr>
      <w:tr w:rsidR="00224102" w:rsidRPr="00923A53" w14:paraId="231E617B" w14:textId="77777777" w:rsidTr="00390114">
        <w:tc>
          <w:tcPr>
            <w:tcW w:w="309" w:type="pct"/>
          </w:tcPr>
          <w:p w14:paraId="51F444A0" w14:textId="77777777" w:rsidR="00224102" w:rsidRPr="0032757D" w:rsidRDefault="00224102" w:rsidP="00224102">
            <w:pPr>
              <w:pStyle w:val="BodyTextIndent"/>
              <w:tabs>
                <w:tab w:val="left" w:pos="1276"/>
              </w:tabs>
              <w:spacing w:after="0"/>
              <w:ind w:left="34"/>
              <w:rPr>
                <w:sz w:val="18"/>
                <w:szCs w:val="18"/>
              </w:rPr>
            </w:pPr>
            <w:r w:rsidRPr="0032757D">
              <w:rPr>
                <w:sz w:val="18"/>
                <w:szCs w:val="18"/>
              </w:rPr>
              <w:t>4.8</w:t>
            </w:r>
          </w:p>
        </w:tc>
        <w:tc>
          <w:tcPr>
            <w:tcW w:w="1487" w:type="pct"/>
            <w:vAlign w:val="bottom"/>
          </w:tcPr>
          <w:p w14:paraId="22F985B8" w14:textId="77777777" w:rsidR="00224102" w:rsidRPr="007C0BA6" w:rsidRDefault="00224102" w:rsidP="00224102">
            <w:pPr>
              <w:ind w:firstLineChars="7" w:firstLine="13"/>
              <w:rPr>
                <w:sz w:val="18"/>
                <w:szCs w:val="18"/>
              </w:rPr>
            </w:pPr>
            <w:r w:rsidRPr="0011340D">
              <w:rPr>
                <w:snapToGrid w:val="0"/>
                <w:sz w:val="18"/>
                <w:szCs w:val="18"/>
              </w:rPr>
              <w:t>Health and Social Servic</w:t>
            </w:r>
            <w:r w:rsidRPr="007C0BA6">
              <w:rPr>
                <w:sz w:val="18"/>
                <w:szCs w:val="18"/>
              </w:rPr>
              <w:t>es</w:t>
            </w:r>
          </w:p>
        </w:tc>
        <w:tc>
          <w:tcPr>
            <w:tcW w:w="710" w:type="pct"/>
            <w:vAlign w:val="bottom"/>
          </w:tcPr>
          <w:p w14:paraId="598BA448" w14:textId="3E0AE6EB" w:rsidR="00224102" w:rsidRPr="00C549F4" w:rsidRDefault="00224102" w:rsidP="00224102">
            <w:pPr>
              <w:jc w:val="right"/>
              <w:rPr>
                <w:color w:val="000000"/>
                <w:sz w:val="16"/>
                <w:szCs w:val="16"/>
              </w:rPr>
            </w:pPr>
            <w:r w:rsidRPr="00DF0397">
              <w:rPr>
                <w:color w:val="000000"/>
                <w:sz w:val="18"/>
                <w:szCs w:val="18"/>
              </w:rPr>
              <w:t>6,532</w:t>
            </w:r>
          </w:p>
        </w:tc>
        <w:tc>
          <w:tcPr>
            <w:tcW w:w="750" w:type="pct"/>
            <w:vAlign w:val="bottom"/>
          </w:tcPr>
          <w:p w14:paraId="5D2A4016" w14:textId="7A2B8F43" w:rsidR="00224102" w:rsidRPr="00C549F4" w:rsidRDefault="00224102" w:rsidP="00224102">
            <w:pPr>
              <w:jc w:val="right"/>
              <w:rPr>
                <w:color w:val="000000"/>
                <w:sz w:val="16"/>
                <w:szCs w:val="16"/>
              </w:rPr>
            </w:pPr>
            <w:r w:rsidRPr="00DF0397">
              <w:rPr>
                <w:color w:val="000000"/>
                <w:sz w:val="18"/>
                <w:szCs w:val="18"/>
              </w:rPr>
              <w:t>8,874</w:t>
            </w:r>
          </w:p>
        </w:tc>
        <w:tc>
          <w:tcPr>
            <w:tcW w:w="925" w:type="pct"/>
            <w:vAlign w:val="bottom"/>
          </w:tcPr>
          <w:p w14:paraId="38E97558" w14:textId="20A65325" w:rsidR="00224102" w:rsidRPr="00C549F4" w:rsidRDefault="00224102" w:rsidP="00224102">
            <w:pPr>
              <w:jc w:val="right"/>
              <w:rPr>
                <w:color w:val="000000"/>
                <w:sz w:val="16"/>
                <w:szCs w:val="16"/>
              </w:rPr>
            </w:pPr>
            <w:r w:rsidRPr="00DF0397">
              <w:rPr>
                <w:color w:val="000000"/>
                <w:sz w:val="18"/>
                <w:szCs w:val="18"/>
              </w:rPr>
              <w:t>-</w:t>
            </w:r>
          </w:p>
        </w:tc>
        <w:tc>
          <w:tcPr>
            <w:tcW w:w="818" w:type="pct"/>
            <w:vAlign w:val="bottom"/>
          </w:tcPr>
          <w:p w14:paraId="6F477347" w14:textId="0183B2CE" w:rsidR="00224102" w:rsidRPr="00C549F4" w:rsidRDefault="00224102" w:rsidP="00224102">
            <w:pPr>
              <w:jc w:val="right"/>
              <w:rPr>
                <w:color w:val="000000"/>
                <w:sz w:val="16"/>
                <w:szCs w:val="16"/>
              </w:rPr>
            </w:pPr>
            <w:r w:rsidRPr="00DF0397">
              <w:rPr>
                <w:color w:val="000000"/>
                <w:sz w:val="18"/>
                <w:szCs w:val="18"/>
              </w:rPr>
              <w:t>4,159</w:t>
            </w:r>
          </w:p>
        </w:tc>
      </w:tr>
      <w:tr w:rsidR="00224102" w:rsidRPr="00923A53" w14:paraId="3B792C4B" w14:textId="77777777" w:rsidTr="00390114">
        <w:tc>
          <w:tcPr>
            <w:tcW w:w="309" w:type="pct"/>
          </w:tcPr>
          <w:p w14:paraId="5F8E7ABB" w14:textId="77777777" w:rsidR="00224102" w:rsidRPr="00923A53" w:rsidRDefault="00224102" w:rsidP="00224102">
            <w:pPr>
              <w:pStyle w:val="BodyTextIndent"/>
              <w:tabs>
                <w:tab w:val="left" w:pos="1276"/>
              </w:tabs>
              <w:spacing w:after="0"/>
              <w:ind w:left="34"/>
              <w:rPr>
                <w:b/>
                <w:sz w:val="18"/>
                <w:szCs w:val="18"/>
              </w:rPr>
            </w:pPr>
            <w:r w:rsidRPr="00923A53">
              <w:rPr>
                <w:b/>
                <w:sz w:val="18"/>
                <w:szCs w:val="18"/>
              </w:rPr>
              <w:t>5</w:t>
            </w:r>
          </w:p>
        </w:tc>
        <w:tc>
          <w:tcPr>
            <w:tcW w:w="1487" w:type="pct"/>
            <w:vAlign w:val="bottom"/>
          </w:tcPr>
          <w:p w14:paraId="780749F9" w14:textId="77777777" w:rsidR="00224102" w:rsidRPr="00923A53" w:rsidRDefault="00224102" w:rsidP="00224102">
            <w:pPr>
              <w:pStyle w:val="BodyTextIndent"/>
              <w:tabs>
                <w:tab w:val="left" w:pos="1276"/>
              </w:tabs>
              <w:spacing w:after="0"/>
              <w:ind w:left="0"/>
              <w:rPr>
                <w:b/>
                <w:sz w:val="18"/>
                <w:szCs w:val="18"/>
              </w:rPr>
            </w:pPr>
            <w:r>
              <w:rPr>
                <w:b/>
                <w:sz w:val="18"/>
                <w:szCs w:val="18"/>
              </w:rPr>
              <w:t>Other</w:t>
            </w:r>
          </w:p>
        </w:tc>
        <w:tc>
          <w:tcPr>
            <w:tcW w:w="710" w:type="pct"/>
            <w:vAlign w:val="bottom"/>
          </w:tcPr>
          <w:p w14:paraId="4AADC0D4" w14:textId="2A415C8C" w:rsidR="00224102" w:rsidRPr="00C549F4" w:rsidRDefault="00224102" w:rsidP="00224102">
            <w:pPr>
              <w:jc w:val="right"/>
              <w:rPr>
                <w:b/>
                <w:bCs/>
                <w:color w:val="000000"/>
                <w:sz w:val="16"/>
                <w:szCs w:val="16"/>
              </w:rPr>
            </w:pPr>
            <w:r w:rsidRPr="00DF0397">
              <w:rPr>
                <w:b/>
                <w:bCs/>
                <w:color w:val="000000"/>
                <w:sz w:val="18"/>
                <w:szCs w:val="18"/>
              </w:rPr>
              <w:t>55,</w:t>
            </w:r>
            <w:r>
              <w:rPr>
                <w:b/>
                <w:bCs/>
                <w:color w:val="000000"/>
                <w:sz w:val="18"/>
                <w:szCs w:val="18"/>
              </w:rPr>
              <w:t>661</w:t>
            </w:r>
          </w:p>
        </w:tc>
        <w:tc>
          <w:tcPr>
            <w:tcW w:w="750" w:type="pct"/>
            <w:vAlign w:val="bottom"/>
          </w:tcPr>
          <w:p w14:paraId="06CB6A19" w14:textId="0CF4C27A" w:rsidR="00224102" w:rsidRPr="00C549F4" w:rsidRDefault="00224102" w:rsidP="00224102">
            <w:pPr>
              <w:jc w:val="right"/>
              <w:rPr>
                <w:b/>
                <w:bCs/>
                <w:color w:val="000000"/>
                <w:sz w:val="16"/>
                <w:szCs w:val="16"/>
              </w:rPr>
            </w:pPr>
            <w:r w:rsidRPr="00DF0397">
              <w:rPr>
                <w:b/>
                <w:bCs/>
                <w:color w:val="000000"/>
                <w:sz w:val="18"/>
                <w:szCs w:val="18"/>
              </w:rPr>
              <w:t>59,763</w:t>
            </w:r>
          </w:p>
        </w:tc>
        <w:tc>
          <w:tcPr>
            <w:tcW w:w="925" w:type="pct"/>
            <w:vAlign w:val="bottom"/>
          </w:tcPr>
          <w:p w14:paraId="44B1F5D5" w14:textId="2BABF981" w:rsidR="00224102" w:rsidRPr="00C549F4" w:rsidRDefault="00224102" w:rsidP="00224102">
            <w:pPr>
              <w:jc w:val="right"/>
              <w:rPr>
                <w:b/>
                <w:bCs/>
                <w:color w:val="000000"/>
                <w:sz w:val="16"/>
                <w:szCs w:val="16"/>
              </w:rPr>
            </w:pPr>
            <w:r w:rsidRPr="00DF0397">
              <w:rPr>
                <w:b/>
                <w:bCs/>
                <w:color w:val="000000"/>
                <w:sz w:val="18"/>
                <w:szCs w:val="18"/>
              </w:rPr>
              <w:t>-</w:t>
            </w:r>
          </w:p>
        </w:tc>
        <w:tc>
          <w:tcPr>
            <w:tcW w:w="818" w:type="pct"/>
            <w:vAlign w:val="bottom"/>
          </w:tcPr>
          <w:p w14:paraId="7A30C16B" w14:textId="4122792F" w:rsidR="00224102" w:rsidRPr="00C549F4" w:rsidRDefault="00224102" w:rsidP="00224102">
            <w:pPr>
              <w:jc w:val="right"/>
              <w:rPr>
                <w:b/>
                <w:bCs/>
                <w:color w:val="000000"/>
                <w:sz w:val="16"/>
                <w:szCs w:val="16"/>
              </w:rPr>
            </w:pPr>
            <w:r w:rsidRPr="00DF0397">
              <w:rPr>
                <w:b/>
                <w:bCs/>
                <w:color w:val="000000"/>
                <w:sz w:val="18"/>
                <w:szCs w:val="18"/>
              </w:rPr>
              <w:t>42,648</w:t>
            </w:r>
          </w:p>
        </w:tc>
      </w:tr>
      <w:tr w:rsidR="00224102" w:rsidRPr="009B0DCA" w14:paraId="66740429" w14:textId="77777777" w:rsidTr="00390114">
        <w:tc>
          <w:tcPr>
            <w:tcW w:w="309" w:type="pct"/>
            <w:vAlign w:val="bottom"/>
          </w:tcPr>
          <w:p w14:paraId="32A50DFE" w14:textId="77777777" w:rsidR="00224102" w:rsidRPr="009B0DCA" w:rsidRDefault="00224102" w:rsidP="00224102">
            <w:pPr>
              <w:pStyle w:val="BodyTextIndent"/>
              <w:tabs>
                <w:tab w:val="left" w:pos="1276"/>
              </w:tabs>
              <w:spacing w:after="0"/>
              <w:ind w:left="34"/>
              <w:rPr>
                <w:b/>
                <w:sz w:val="18"/>
                <w:szCs w:val="18"/>
              </w:rPr>
            </w:pPr>
          </w:p>
        </w:tc>
        <w:tc>
          <w:tcPr>
            <w:tcW w:w="1487" w:type="pct"/>
            <w:vAlign w:val="bottom"/>
          </w:tcPr>
          <w:p w14:paraId="01168D76" w14:textId="77777777" w:rsidR="00224102" w:rsidRPr="009B0DCA" w:rsidRDefault="00224102" w:rsidP="00224102">
            <w:pPr>
              <w:pStyle w:val="BodyTextIndent"/>
              <w:tabs>
                <w:tab w:val="left" w:pos="1276"/>
              </w:tabs>
              <w:spacing w:after="0"/>
              <w:ind w:left="0"/>
              <w:rPr>
                <w:b/>
                <w:sz w:val="18"/>
                <w:szCs w:val="18"/>
              </w:rPr>
            </w:pPr>
            <w:r w:rsidRPr="009B0DCA">
              <w:rPr>
                <w:b/>
                <w:sz w:val="18"/>
                <w:szCs w:val="18"/>
              </w:rPr>
              <w:t>Total</w:t>
            </w:r>
          </w:p>
        </w:tc>
        <w:tc>
          <w:tcPr>
            <w:tcW w:w="710" w:type="pct"/>
            <w:vAlign w:val="bottom"/>
          </w:tcPr>
          <w:p w14:paraId="593DA695" w14:textId="4390B8B7" w:rsidR="00224102" w:rsidRPr="00C549F4" w:rsidRDefault="00224102" w:rsidP="00224102">
            <w:pPr>
              <w:jc w:val="right"/>
              <w:rPr>
                <w:b/>
                <w:bCs/>
                <w:color w:val="000000"/>
                <w:sz w:val="16"/>
                <w:szCs w:val="16"/>
              </w:rPr>
            </w:pPr>
            <w:r w:rsidRPr="00DF0397">
              <w:rPr>
                <w:b/>
                <w:bCs/>
                <w:color w:val="000000"/>
                <w:sz w:val="18"/>
                <w:szCs w:val="18"/>
              </w:rPr>
              <w:t>595,</w:t>
            </w:r>
            <w:r>
              <w:rPr>
                <w:b/>
                <w:bCs/>
                <w:color w:val="000000"/>
                <w:sz w:val="18"/>
                <w:szCs w:val="18"/>
              </w:rPr>
              <w:t>030</w:t>
            </w:r>
          </w:p>
        </w:tc>
        <w:tc>
          <w:tcPr>
            <w:tcW w:w="750" w:type="pct"/>
            <w:vAlign w:val="bottom"/>
          </w:tcPr>
          <w:p w14:paraId="2D2C7D3F" w14:textId="1EB6CB8D" w:rsidR="00224102" w:rsidRPr="00C549F4" w:rsidRDefault="00224102" w:rsidP="00224102">
            <w:pPr>
              <w:jc w:val="right"/>
              <w:rPr>
                <w:b/>
                <w:bCs/>
                <w:color w:val="000000"/>
                <w:sz w:val="16"/>
                <w:szCs w:val="16"/>
              </w:rPr>
            </w:pPr>
            <w:r w:rsidRPr="00DF0397">
              <w:rPr>
                <w:b/>
                <w:bCs/>
                <w:color w:val="000000"/>
                <w:sz w:val="18"/>
                <w:szCs w:val="18"/>
              </w:rPr>
              <w:t>517,341</w:t>
            </w:r>
          </w:p>
        </w:tc>
        <w:tc>
          <w:tcPr>
            <w:tcW w:w="925" w:type="pct"/>
            <w:vAlign w:val="bottom"/>
          </w:tcPr>
          <w:p w14:paraId="1ECD9409" w14:textId="046A7364" w:rsidR="00224102" w:rsidRPr="00C549F4" w:rsidRDefault="00224102" w:rsidP="00224102">
            <w:pPr>
              <w:jc w:val="right"/>
              <w:rPr>
                <w:b/>
                <w:bCs/>
                <w:color w:val="000000"/>
                <w:sz w:val="16"/>
                <w:szCs w:val="16"/>
              </w:rPr>
            </w:pPr>
            <w:r w:rsidRPr="00DF0397">
              <w:rPr>
                <w:b/>
                <w:bCs/>
                <w:color w:val="000000"/>
                <w:sz w:val="18"/>
                <w:szCs w:val="18"/>
              </w:rPr>
              <w:t>-</w:t>
            </w:r>
          </w:p>
        </w:tc>
        <w:tc>
          <w:tcPr>
            <w:tcW w:w="818" w:type="pct"/>
            <w:vAlign w:val="bottom"/>
          </w:tcPr>
          <w:p w14:paraId="4FB4CEF2" w14:textId="6A7EDC37" w:rsidR="00224102" w:rsidRPr="00C549F4" w:rsidRDefault="00224102" w:rsidP="00224102">
            <w:pPr>
              <w:jc w:val="right"/>
              <w:rPr>
                <w:b/>
                <w:bCs/>
                <w:color w:val="000000"/>
                <w:sz w:val="16"/>
                <w:szCs w:val="16"/>
              </w:rPr>
            </w:pPr>
            <w:r w:rsidRPr="00DF0397">
              <w:rPr>
                <w:b/>
                <w:bCs/>
                <w:color w:val="000000"/>
                <w:sz w:val="18"/>
                <w:szCs w:val="18"/>
              </w:rPr>
              <w:t>281,500</w:t>
            </w:r>
          </w:p>
        </w:tc>
      </w:tr>
    </w:tbl>
    <w:p w14:paraId="5A100277" w14:textId="59DF7FA0" w:rsidR="00FF034A" w:rsidRPr="007C1A55" w:rsidRDefault="00FF034A" w:rsidP="003D5FD7">
      <w:pPr>
        <w:pStyle w:val="BodyTextIndent"/>
        <w:numPr>
          <w:ilvl w:val="0"/>
          <w:numId w:val="13"/>
        </w:numPr>
        <w:spacing w:before="120"/>
        <w:ind w:left="0" w:firstLine="0"/>
        <w:jc w:val="both"/>
        <w:rPr>
          <w:b/>
          <w:sz w:val="20"/>
          <w:szCs w:val="20"/>
        </w:rPr>
      </w:pPr>
      <w:r w:rsidRPr="007C1A55">
        <w:rPr>
          <w:b/>
          <w:sz w:val="20"/>
          <w:szCs w:val="20"/>
        </w:rPr>
        <w:t xml:space="preserve">Information </w:t>
      </w:r>
      <w:r w:rsidR="004F7E1E">
        <w:rPr>
          <w:b/>
          <w:sz w:val="20"/>
          <w:szCs w:val="20"/>
        </w:rPr>
        <w:t>R</w:t>
      </w:r>
      <w:r>
        <w:rPr>
          <w:b/>
          <w:sz w:val="20"/>
          <w:szCs w:val="20"/>
        </w:rPr>
        <w:t>elated with</w:t>
      </w:r>
      <w:r w:rsidRPr="007C1A55">
        <w:rPr>
          <w:b/>
          <w:sz w:val="20"/>
          <w:szCs w:val="20"/>
        </w:rPr>
        <w:t xml:space="preserve"> Value Adjustment</w:t>
      </w:r>
      <w:r>
        <w:rPr>
          <w:b/>
          <w:sz w:val="20"/>
          <w:szCs w:val="20"/>
        </w:rPr>
        <w:t>s</w:t>
      </w:r>
      <w:r w:rsidRPr="007C1A55">
        <w:rPr>
          <w:b/>
          <w:sz w:val="20"/>
          <w:szCs w:val="20"/>
        </w:rPr>
        <w:t xml:space="preserve"> and Change in Provisions:</w:t>
      </w:r>
    </w:p>
    <w:tbl>
      <w:tblPr>
        <w:tblW w:w="5000"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567"/>
        <w:gridCol w:w="1888"/>
        <w:gridCol w:w="1234"/>
        <w:gridCol w:w="1389"/>
        <w:gridCol w:w="1542"/>
        <w:gridCol w:w="1377"/>
        <w:gridCol w:w="1567"/>
      </w:tblGrid>
      <w:tr w:rsidR="00FF034A" w:rsidRPr="00923A53" w14:paraId="07AA3A89" w14:textId="77777777" w:rsidTr="003D5FD7">
        <w:tc>
          <w:tcPr>
            <w:tcW w:w="297" w:type="pct"/>
          </w:tcPr>
          <w:p w14:paraId="08493414" w14:textId="77777777" w:rsidR="00FF034A" w:rsidRPr="00923A53" w:rsidRDefault="00FF034A" w:rsidP="00400883">
            <w:pPr>
              <w:pStyle w:val="BodyTextIndent"/>
              <w:tabs>
                <w:tab w:val="left" w:pos="1276"/>
              </w:tabs>
              <w:spacing w:after="0"/>
              <w:ind w:left="34"/>
              <w:rPr>
                <w:b/>
                <w:sz w:val="18"/>
                <w:szCs w:val="18"/>
              </w:rPr>
            </w:pPr>
          </w:p>
        </w:tc>
        <w:tc>
          <w:tcPr>
            <w:tcW w:w="987" w:type="pct"/>
          </w:tcPr>
          <w:p w14:paraId="7B5F9730" w14:textId="77777777" w:rsidR="00FF034A" w:rsidRPr="00923A53" w:rsidRDefault="00FF034A" w:rsidP="00400883">
            <w:pPr>
              <w:pStyle w:val="BodyTextIndent"/>
              <w:tabs>
                <w:tab w:val="left" w:pos="1276"/>
              </w:tabs>
              <w:spacing w:after="0"/>
              <w:ind w:left="176"/>
              <w:rPr>
                <w:b/>
                <w:sz w:val="18"/>
                <w:szCs w:val="18"/>
              </w:rPr>
            </w:pPr>
          </w:p>
        </w:tc>
        <w:tc>
          <w:tcPr>
            <w:tcW w:w="645" w:type="pct"/>
            <w:vAlign w:val="bottom"/>
          </w:tcPr>
          <w:p w14:paraId="1D3807EC" w14:textId="77777777" w:rsidR="00FF034A" w:rsidRPr="00923A53" w:rsidRDefault="00FF034A" w:rsidP="00400883">
            <w:pPr>
              <w:pStyle w:val="BodyTextIndent"/>
              <w:spacing w:after="0"/>
              <w:ind w:left="175" w:right="-76"/>
              <w:jc w:val="right"/>
              <w:rPr>
                <w:b/>
                <w:sz w:val="18"/>
                <w:szCs w:val="18"/>
              </w:rPr>
            </w:pPr>
            <w:r w:rsidRPr="0066317E">
              <w:rPr>
                <w:b/>
                <w:sz w:val="18"/>
                <w:szCs w:val="18"/>
              </w:rPr>
              <w:t>Opening Balance</w:t>
            </w:r>
          </w:p>
        </w:tc>
        <w:tc>
          <w:tcPr>
            <w:tcW w:w="726" w:type="pct"/>
            <w:vAlign w:val="bottom"/>
          </w:tcPr>
          <w:p w14:paraId="0994A967" w14:textId="1C3E493E" w:rsidR="00FF034A" w:rsidRPr="00923A53" w:rsidRDefault="00FF034A" w:rsidP="00400883">
            <w:pPr>
              <w:pStyle w:val="BodyTextIndent"/>
              <w:spacing w:after="0"/>
              <w:ind w:left="175" w:right="-76"/>
              <w:jc w:val="right"/>
              <w:rPr>
                <w:b/>
                <w:sz w:val="18"/>
                <w:szCs w:val="18"/>
              </w:rPr>
            </w:pPr>
            <w:r>
              <w:rPr>
                <w:b/>
                <w:sz w:val="18"/>
                <w:szCs w:val="18"/>
              </w:rPr>
              <w:t>Charge of th</w:t>
            </w:r>
            <w:r w:rsidR="003D5FD7">
              <w:rPr>
                <w:b/>
                <w:sz w:val="18"/>
                <w:szCs w:val="18"/>
              </w:rPr>
              <w:t>e P</w:t>
            </w:r>
            <w:r>
              <w:rPr>
                <w:b/>
                <w:sz w:val="18"/>
                <w:szCs w:val="18"/>
              </w:rPr>
              <w:t>eriod</w:t>
            </w:r>
          </w:p>
        </w:tc>
        <w:tc>
          <w:tcPr>
            <w:tcW w:w="806" w:type="pct"/>
            <w:vAlign w:val="bottom"/>
          </w:tcPr>
          <w:p w14:paraId="27337E88" w14:textId="77777777" w:rsidR="00FF034A" w:rsidRPr="00923A53" w:rsidRDefault="00FF034A" w:rsidP="00400883">
            <w:pPr>
              <w:pStyle w:val="BodyTextIndent"/>
              <w:spacing w:after="0"/>
              <w:ind w:left="175" w:right="-76"/>
              <w:jc w:val="right"/>
              <w:rPr>
                <w:b/>
                <w:sz w:val="18"/>
                <w:szCs w:val="18"/>
              </w:rPr>
            </w:pPr>
            <w:r w:rsidRPr="00527735">
              <w:rPr>
                <w:b/>
                <w:sz w:val="18"/>
                <w:szCs w:val="18"/>
              </w:rPr>
              <w:t xml:space="preserve">Provision </w:t>
            </w:r>
            <w:r>
              <w:rPr>
                <w:b/>
                <w:sz w:val="18"/>
                <w:szCs w:val="18"/>
              </w:rPr>
              <w:t>Cancelations</w:t>
            </w:r>
          </w:p>
        </w:tc>
        <w:tc>
          <w:tcPr>
            <w:tcW w:w="720" w:type="pct"/>
            <w:vAlign w:val="bottom"/>
          </w:tcPr>
          <w:p w14:paraId="7D89DE07" w14:textId="1C946804" w:rsidR="00FF034A" w:rsidRPr="00527735" w:rsidRDefault="00B85547" w:rsidP="00400883">
            <w:pPr>
              <w:pStyle w:val="BodyTextIndent"/>
              <w:spacing w:after="0"/>
              <w:ind w:left="34" w:right="-76"/>
              <w:jc w:val="right"/>
              <w:rPr>
                <w:b/>
                <w:sz w:val="18"/>
                <w:szCs w:val="18"/>
              </w:rPr>
            </w:pPr>
            <w:r>
              <w:rPr>
                <w:b/>
                <w:sz w:val="18"/>
                <w:szCs w:val="18"/>
              </w:rPr>
              <w:t>Value</w:t>
            </w:r>
          </w:p>
          <w:p w14:paraId="2D179C58" w14:textId="77777777" w:rsidR="00FF034A" w:rsidRPr="00923A53" w:rsidRDefault="00FF034A" w:rsidP="00400883">
            <w:pPr>
              <w:pStyle w:val="BodyTextIndent"/>
              <w:spacing w:after="0"/>
              <w:ind w:left="34" w:right="-76"/>
              <w:jc w:val="right"/>
              <w:rPr>
                <w:b/>
                <w:sz w:val="18"/>
                <w:szCs w:val="18"/>
              </w:rPr>
            </w:pPr>
            <w:r>
              <w:rPr>
                <w:b/>
                <w:sz w:val="18"/>
                <w:szCs w:val="18"/>
              </w:rPr>
              <w:t>Adjustments</w:t>
            </w:r>
          </w:p>
        </w:tc>
        <w:tc>
          <w:tcPr>
            <w:tcW w:w="819" w:type="pct"/>
            <w:vAlign w:val="bottom"/>
          </w:tcPr>
          <w:p w14:paraId="7DD5A1B9" w14:textId="77777777" w:rsidR="00FF034A" w:rsidRPr="00923A53" w:rsidRDefault="00FF034A" w:rsidP="00400883">
            <w:pPr>
              <w:pStyle w:val="BodyTextIndent"/>
              <w:spacing w:after="0"/>
              <w:ind w:left="0" w:right="-76"/>
              <w:jc w:val="right"/>
              <w:rPr>
                <w:b/>
                <w:sz w:val="18"/>
                <w:szCs w:val="18"/>
              </w:rPr>
            </w:pPr>
            <w:r w:rsidRPr="00527735">
              <w:rPr>
                <w:b/>
                <w:sz w:val="18"/>
                <w:szCs w:val="18"/>
              </w:rPr>
              <w:t>Closing Balance</w:t>
            </w:r>
          </w:p>
        </w:tc>
      </w:tr>
      <w:tr w:rsidR="00224102" w:rsidRPr="00923A53" w14:paraId="51954D2F" w14:textId="77777777" w:rsidTr="003D5FD7">
        <w:tc>
          <w:tcPr>
            <w:tcW w:w="297" w:type="pct"/>
            <w:tcBorders>
              <w:bottom w:val="dotted" w:sz="4" w:space="0" w:color="auto"/>
            </w:tcBorders>
          </w:tcPr>
          <w:p w14:paraId="289444DB" w14:textId="77777777" w:rsidR="00224102" w:rsidRPr="00923A53" w:rsidRDefault="00224102" w:rsidP="00224102">
            <w:pPr>
              <w:pStyle w:val="BodyTextIndent"/>
              <w:tabs>
                <w:tab w:val="left" w:pos="1276"/>
              </w:tabs>
              <w:spacing w:after="0"/>
              <w:ind w:left="34"/>
              <w:rPr>
                <w:b/>
                <w:sz w:val="18"/>
                <w:szCs w:val="18"/>
              </w:rPr>
            </w:pPr>
            <w:r w:rsidRPr="00923A53">
              <w:rPr>
                <w:b/>
                <w:sz w:val="18"/>
                <w:szCs w:val="18"/>
              </w:rPr>
              <w:t>1</w:t>
            </w:r>
          </w:p>
        </w:tc>
        <w:tc>
          <w:tcPr>
            <w:tcW w:w="987" w:type="pct"/>
            <w:tcBorders>
              <w:bottom w:val="dotted" w:sz="4" w:space="0" w:color="auto"/>
            </w:tcBorders>
            <w:vAlign w:val="bottom"/>
          </w:tcPr>
          <w:p w14:paraId="5B224A0B" w14:textId="77777777" w:rsidR="00224102" w:rsidRPr="00923A53" w:rsidRDefault="00224102" w:rsidP="00224102">
            <w:pPr>
              <w:pStyle w:val="BodyTextIndent"/>
              <w:tabs>
                <w:tab w:val="left" w:pos="1276"/>
              </w:tabs>
              <w:spacing w:after="0"/>
              <w:ind w:left="0"/>
              <w:rPr>
                <w:sz w:val="18"/>
                <w:szCs w:val="18"/>
              </w:rPr>
            </w:pPr>
            <w:r>
              <w:rPr>
                <w:sz w:val="18"/>
                <w:szCs w:val="18"/>
              </w:rPr>
              <w:t xml:space="preserve">Specific Provisions </w:t>
            </w:r>
          </w:p>
        </w:tc>
        <w:tc>
          <w:tcPr>
            <w:tcW w:w="645" w:type="pct"/>
            <w:tcBorders>
              <w:bottom w:val="dotted" w:sz="4" w:space="0" w:color="auto"/>
            </w:tcBorders>
            <w:vAlign w:val="bottom"/>
          </w:tcPr>
          <w:p w14:paraId="4D7F6295" w14:textId="68CE5393" w:rsidR="00224102" w:rsidRPr="00C549F4" w:rsidRDefault="00224102" w:rsidP="00224102">
            <w:pPr>
              <w:ind w:right="-23"/>
              <w:jc w:val="right"/>
              <w:rPr>
                <w:rFonts w:eastAsia="Arial Unicode MS"/>
                <w:sz w:val="16"/>
                <w:szCs w:val="16"/>
              </w:rPr>
            </w:pPr>
            <w:r>
              <w:rPr>
                <w:rFonts w:eastAsia="Arial Unicode MS"/>
                <w:sz w:val="18"/>
                <w:szCs w:val="18"/>
              </w:rPr>
              <w:t>269,</w:t>
            </w:r>
            <w:r w:rsidRPr="00A36623">
              <w:rPr>
                <w:rFonts w:eastAsia="Arial Unicode MS"/>
                <w:sz w:val="18"/>
                <w:szCs w:val="18"/>
              </w:rPr>
              <w:t>243</w:t>
            </w:r>
          </w:p>
        </w:tc>
        <w:tc>
          <w:tcPr>
            <w:tcW w:w="726" w:type="pct"/>
            <w:tcBorders>
              <w:bottom w:val="dotted" w:sz="4" w:space="0" w:color="auto"/>
            </w:tcBorders>
            <w:vAlign w:val="bottom"/>
          </w:tcPr>
          <w:p w14:paraId="2AF5DF1F" w14:textId="3022F08A" w:rsidR="00224102" w:rsidRPr="00C549F4" w:rsidRDefault="00224102" w:rsidP="00224102">
            <w:pPr>
              <w:ind w:right="-23"/>
              <w:jc w:val="right"/>
              <w:rPr>
                <w:rFonts w:eastAsia="Arial Unicode MS"/>
                <w:sz w:val="16"/>
                <w:szCs w:val="16"/>
              </w:rPr>
            </w:pPr>
            <w:r w:rsidRPr="00DF0397">
              <w:rPr>
                <w:rFonts w:eastAsia="Arial Unicode MS"/>
                <w:sz w:val="18"/>
                <w:szCs w:val="18"/>
              </w:rPr>
              <w:t xml:space="preserve">   </w:t>
            </w:r>
            <w:r>
              <w:rPr>
                <w:rFonts w:eastAsia="Arial Unicode MS"/>
                <w:sz w:val="18"/>
                <w:szCs w:val="18"/>
              </w:rPr>
              <w:t>166,633</w:t>
            </w:r>
            <w:r w:rsidRPr="00DF0397">
              <w:rPr>
                <w:rFonts w:eastAsia="Arial Unicode MS"/>
                <w:sz w:val="18"/>
                <w:szCs w:val="18"/>
              </w:rPr>
              <w:t xml:space="preserve"> </w:t>
            </w:r>
          </w:p>
        </w:tc>
        <w:tc>
          <w:tcPr>
            <w:tcW w:w="806" w:type="pct"/>
            <w:tcBorders>
              <w:bottom w:val="dotted" w:sz="4" w:space="0" w:color="auto"/>
            </w:tcBorders>
            <w:vAlign w:val="bottom"/>
          </w:tcPr>
          <w:p w14:paraId="357D7ECE" w14:textId="151473A2" w:rsidR="00224102" w:rsidRPr="00C549F4" w:rsidRDefault="00224102" w:rsidP="00224102">
            <w:pPr>
              <w:ind w:right="-23"/>
              <w:jc w:val="right"/>
              <w:rPr>
                <w:rFonts w:eastAsia="Arial Unicode MS"/>
                <w:sz w:val="16"/>
                <w:szCs w:val="16"/>
              </w:rPr>
            </w:pPr>
            <w:r w:rsidRPr="00DF0397">
              <w:rPr>
                <w:rFonts w:eastAsia="Arial Unicode MS"/>
                <w:sz w:val="18"/>
                <w:szCs w:val="18"/>
              </w:rPr>
              <w:t xml:space="preserve">  (</w:t>
            </w:r>
            <w:r>
              <w:rPr>
                <w:rFonts w:eastAsia="Arial Unicode MS"/>
                <w:sz w:val="18"/>
                <w:szCs w:val="18"/>
              </w:rPr>
              <w:t>154,376</w:t>
            </w:r>
            <w:r w:rsidRPr="00DF0397">
              <w:rPr>
                <w:rFonts w:eastAsia="Arial Unicode MS"/>
                <w:sz w:val="18"/>
                <w:szCs w:val="18"/>
              </w:rPr>
              <w:t>)</w:t>
            </w:r>
          </w:p>
        </w:tc>
        <w:tc>
          <w:tcPr>
            <w:tcW w:w="720" w:type="pct"/>
            <w:tcBorders>
              <w:bottom w:val="dotted" w:sz="4" w:space="0" w:color="auto"/>
            </w:tcBorders>
            <w:vAlign w:val="bottom"/>
          </w:tcPr>
          <w:p w14:paraId="2A7676CF" w14:textId="6B81D82E" w:rsidR="00224102" w:rsidRPr="00C549F4" w:rsidRDefault="00224102" w:rsidP="00224102">
            <w:pPr>
              <w:ind w:right="-23"/>
              <w:jc w:val="right"/>
              <w:rPr>
                <w:rFonts w:eastAsia="Arial Unicode MS"/>
                <w:sz w:val="16"/>
                <w:szCs w:val="16"/>
              </w:rPr>
            </w:pPr>
            <w:r w:rsidRPr="00DF0397">
              <w:rPr>
                <w:rFonts w:eastAsia="Arial Unicode MS"/>
                <w:sz w:val="18"/>
                <w:szCs w:val="18"/>
              </w:rPr>
              <w:t xml:space="preserve">               -   </w:t>
            </w:r>
          </w:p>
        </w:tc>
        <w:tc>
          <w:tcPr>
            <w:tcW w:w="819" w:type="pct"/>
            <w:tcBorders>
              <w:bottom w:val="dotted" w:sz="4" w:space="0" w:color="auto"/>
            </w:tcBorders>
            <w:vAlign w:val="bottom"/>
          </w:tcPr>
          <w:p w14:paraId="1DB8B21A" w14:textId="5067A8E1" w:rsidR="00224102" w:rsidRPr="00C549F4" w:rsidRDefault="00224102" w:rsidP="00224102">
            <w:pPr>
              <w:ind w:right="-23"/>
              <w:jc w:val="right"/>
              <w:rPr>
                <w:rFonts w:eastAsia="Arial Unicode MS"/>
                <w:sz w:val="16"/>
                <w:szCs w:val="16"/>
              </w:rPr>
            </w:pPr>
            <w:r w:rsidRPr="00DF0397">
              <w:rPr>
                <w:rFonts w:eastAsia="Arial Unicode MS"/>
                <w:sz w:val="18"/>
                <w:szCs w:val="18"/>
              </w:rPr>
              <w:t xml:space="preserve">   281,500 </w:t>
            </w:r>
          </w:p>
        </w:tc>
      </w:tr>
      <w:tr w:rsidR="00224102" w:rsidRPr="00923A53" w14:paraId="0F23F527" w14:textId="77777777" w:rsidTr="003D5FD7">
        <w:tc>
          <w:tcPr>
            <w:tcW w:w="297" w:type="pct"/>
            <w:tcBorders>
              <w:top w:val="dotted" w:sz="4" w:space="0" w:color="auto"/>
              <w:bottom w:val="double" w:sz="4" w:space="0" w:color="auto"/>
            </w:tcBorders>
          </w:tcPr>
          <w:p w14:paraId="67BEF7B0" w14:textId="77777777" w:rsidR="00224102" w:rsidRPr="00923A53" w:rsidRDefault="00224102" w:rsidP="00224102">
            <w:pPr>
              <w:pStyle w:val="BodyTextIndent"/>
              <w:tabs>
                <w:tab w:val="left" w:pos="1276"/>
              </w:tabs>
              <w:spacing w:after="0"/>
              <w:ind w:left="34"/>
              <w:rPr>
                <w:b/>
                <w:sz w:val="18"/>
                <w:szCs w:val="18"/>
              </w:rPr>
            </w:pPr>
            <w:r w:rsidRPr="00923A53">
              <w:rPr>
                <w:b/>
                <w:sz w:val="18"/>
                <w:szCs w:val="18"/>
              </w:rPr>
              <w:t>2</w:t>
            </w:r>
          </w:p>
        </w:tc>
        <w:tc>
          <w:tcPr>
            <w:tcW w:w="987" w:type="pct"/>
            <w:tcBorders>
              <w:top w:val="dotted" w:sz="4" w:space="0" w:color="auto"/>
              <w:bottom w:val="double" w:sz="4" w:space="0" w:color="auto"/>
            </w:tcBorders>
            <w:vAlign w:val="bottom"/>
          </w:tcPr>
          <w:p w14:paraId="2430FF32" w14:textId="77777777" w:rsidR="00224102" w:rsidRPr="00923A53" w:rsidRDefault="00224102" w:rsidP="00224102">
            <w:pPr>
              <w:pStyle w:val="BodyTextIndent"/>
              <w:tabs>
                <w:tab w:val="left" w:pos="1276"/>
              </w:tabs>
              <w:spacing w:after="0"/>
              <w:ind w:left="0"/>
              <w:rPr>
                <w:sz w:val="18"/>
                <w:szCs w:val="18"/>
              </w:rPr>
            </w:pPr>
            <w:r w:rsidRPr="00527735">
              <w:rPr>
                <w:sz w:val="18"/>
                <w:szCs w:val="18"/>
              </w:rPr>
              <w:t>General Provisions</w:t>
            </w:r>
          </w:p>
        </w:tc>
        <w:tc>
          <w:tcPr>
            <w:tcW w:w="645" w:type="pct"/>
            <w:tcBorders>
              <w:top w:val="dotted" w:sz="4" w:space="0" w:color="auto"/>
              <w:bottom w:val="double" w:sz="4" w:space="0" w:color="auto"/>
            </w:tcBorders>
            <w:vAlign w:val="bottom"/>
          </w:tcPr>
          <w:p w14:paraId="06BAD5FE" w14:textId="6440DCF9" w:rsidR="00224102" w:rsidRPr="00C549F4" w:rsidRDefault="00224102" w:rsidP="00224102">
            <w:pPr>
              <w:ind w:right="-23"/>
              <w:jc w:val="right"/>
              <w:rPr>
                <w:rFonts w:eastAsia="Arial Unicode MS"/>
                <w:sz w:val="16"/>
                <w:szCs w:val="16"/>
              </w:rPr>
            </w:pPr>
            <w:r>
              <w:rPr>
                <w:rFonts w:eastAsia="Arial Unicode MS"/>
                <w:sz w:val="18"/>
                <w:szCs w:val="18"/>
              </w:rPr>
              <w:t>62,</w:t>
            </w:r>
            <w:r w:rsidRPr="00A36623">
              <w:rPr>
                <w:rFonts w:eastAsia="Arial Unicode MS"/>
                <w:sz w:val="18"/>
                <w:szCs w:val="18"/>
              </w:rPr>
              <w:t>858</w:t>
            </w:r>
          </w:p>
        </w:tc>
        <w:tc>
          <w:tcPr>
            <w:tcW w:w="726" w:type="pct"/>
            <w:tcBorders>
              <w:top w:val="dotted" w:sz="4" w:space="0" w:color="auto"/>
              <w:bottom w:val="double" w:sz="4" w:space="0" w:color="auto"/>
            </w:tcBorders>
            <w:vAlign w:val="bottom"/>
          </w:tcPr>
          <w:p w14:paraId="48B026EC" w14:textId="2C592E1C" w:rsidR="00224102" w:rsidRPr="00C549F4" w:rsidRDefault="00224102" w:rsidP="00224102">
            <w:pPr>
              <w:ind w:right="-23"/>
              <w:jc w:val="right"/>
              <w:rPr>
                <w:rFonts w:eastAsia="Arial Unicode MS"/>
                <w:sz w:val="16"/>
                <w:szCs w:val="16"/>
              </w:rPr>
            </w:pPr>
            <w:r w:rsidRPr="00DF0397">
              <w:rPr>
                <w:rFonts w:eastAsia="Arial Unicode MS"/>
                <w:sz w:val="18"/>
                <w:szCs w:val="18"/>
              </w:rPr>
              <w:t xml:space="preserve">     30,498 </w:t>
            </w:r>
          </w:p>
        </w:tc>
        <w:tc>
          <w:tcPr>
            <w:tcW w:w="806" w:type="pct"/>
            <w:tcBorders>
              <w:top w:val="dotted" w:sz="4" w:space="0" w:color="auto"/>
              <w:bottom w:val="double" w:sz="4" w:space="0" w:color="auto"/>
            </w:tcBorders>
            <w:vAlign w:val="bottom"/>
          </w:tcPr>
          <w:p w14:paraId="28D207AC" w14:textId="713B9331" w:rsidR="00224102" w:rsidRPr="00C549F4" w:rsidRDefault="00224102" w:rsidP="00224102">
            <w:pPr>
              <w:ind w:right="-23"/>
              <w:jc w:val="right"/>
              <w:rPr>
                <w:rFonts w:eastAsia="Arial Unicode MS"/>
                <w:sz w:val="16"/>
                <w:szCs w:val="16"/>
              </w:rPr>
            </w:pPr>
            <w:r w:rsidRPr="00DF0397">
              <w:rPr>
                <w:rFonts w:eastAsia="Arial Unicode MS"/>
                <w:sz w:val="18"/>
                <w:szCs w:val="18"/>
              </w:rPr>
              <w:t xml:space="preserve">          (116)</w:t>
            </w:r>
          </w:p>
        </w:tc>
        <w:tc>
          <w:tcPr>
            <w:tcW w:w="720" w:type="pct"/>
            <w:tcBorders>
              <w:top w:val="dotted" w:sz="4" w:space="0" w:color="auto"/>
              <w:bottom w:val="double" w:sz="4" w:space="0" w:color="auto"/>
            </w:tcBorders>
            <w:vAlign w:val="bottom"/>
          </w:tcPr>
          <w:p w14:paraId="1C7D2675" w14:textId="0694DDB3" w:rsidR="00224102" w:rsidRPr="00C549F4" w:rsidRDefault="00224102" w:rsidP="00224102">
            <w:pPr>
              <w:ind w:right="-23"/>
              <w:jc w:val="right"/>
              <w:rPr>
                <w:rFonts w:eastAsia="Arial Unicode MS"/>
                <w:sz w:val="16"/>
                <w:szCs w:val="16"/>
              </w:rPr>
            </w:pPr>
            <w:r w:rsidRPr="00DF0397">
              <w:rPr>
                <w:rFonts w:eastAsia="Arial Unicode MS"/>
                <w:sz w:val="18"/>
                <w:szCs w:val="18"/>
              </w:rPr>
              <w:t xml:space="preserve">           146 </w:t>
            </w:r>
          </w:p>
        </w:tc>
        <w:tc>
          <w:tcPr>
            <w:tcW w:w="819" w:type="pct"/>
            <w:tcBorders>
              <w:top w:val="dotted" w:sz="4" w:space="0" w:color="auto"/>
              <w:bottom w:val="double" w:sz="4" w:space="0" w:color="auto"/>
            </w:tcBorders>
            <w:vAlign w:val="bottom"/>
          </w:tcPr>
          <w:p w14:paraId="0839093C" w14:textId="4D3EE474" w:rsidR="00224102" w:rsidRPr="00C549F4" w:rsidRDefault="00224102" w:rsidP="00224102">
            <w:pPr>
              <w:ind w:right="-23"/>
              <w:jc w:val="right"/>
              <w:rPr>
                <w:rFonts w:eastAsia="Arial Unicode MS"/>
                <w:sz w:val="16"/>
                <w:szCs w:val="16"/>
              </w:rPr>
            </w:pPr>
            <w:r w:rsidRPr="00DF0397">
              <w:rPr>
                <w:rFonts w:eastAsia="Arial Unicode MS"/>
                <w:sz w:val="18"/>
                <w:szCs w:val="18"/>
              </w:rPr>
              <w:t xml:space="preserve">     93,386 </w:t>
            </w:r>
          </w:p>
        </w:tc>
      </w:tr>
    </w:tbl>
    <w:p w14:paraId="6BFC6379" w14:textId="77777777" w:rsidR="005E33B0" w:rsidRPr="00604C75" w:rsidRDefault="005E33B0" w:rsidP="003D5FD7">
      <w:pPr>
        <w:pStyle w:val="Heading2"/>
        <w:tabs>
          <w:tab w:val="left" w:pos="851"/>
        </w:tabs>
        <w:ind w:left="851" w:hanging="851"/>
        <w:jc w:val="both"/>
        <w:rPr>
          <w:rFonts w:ascii="Times New Roman" w:hAnsi="Times New Roman"/>
          <w:caps/>
          <w:sz w:val="20"/>
        </w:rPr>
      </w:pPr>
      <w:r w:rsidRPr="00604C75">
        <w:rPr>
          <w:rFonts w:ascii="Times New Roman" w:hAnsi="Times New Roman"/>
          <w:caps/>
          <w:sz w:val="20"/>
        </w:rPr>
        <w:t>ı</w:t>
      </w:r>
      <w:r w:rsidR="003E6A93" w:rsidRPr="00604C75">
        <w:rPr>
          <w:rFonts w:ascii="Times New Roman" w:hAnsi="Times New Roman"/>
          <w:caps/>
          <w:sz w:val="20"/>
        </w:rPr>
        <w:t>II.</w:t>
      </w:r>
      <w:r w:rsidR="003E6A93" w:rsidRPr="00604C75">
        <w:rPr>
          <w:rFonts w:ascii="Times New Roman" w:hAnsi="Times New Roman"/>
          <w:caps/>
          <w:sz w:val="20"/>
        </w:rPr>
        <w:tab/>
      </w:r>
      <w:r w:rsidR="000A1E58" w:rsidRPr="00604C75">
        <w:rPr>
          <w:rFonts w:ascii="Times New Roman" w:hAnsi="Times New Roman"/>
          <w:sz w:val="20"/>
        </w:rPr>
        <w:t>Explanations</w:t>
      </w:r>
      <w:r w:rsidR="003E6A93" w:rsidRPr="00604C75">
        <w:rPr>
          <w:rFonts w:ascii="Times New Roman" w:hAnsi="Times New Roman"/>
          <w:caps/>
          <w:sz w:val="20"/>
        </w:rPr>
        <w:t xml:space="preserve"> </w:t>
      </w:r>
      <w:r w:rsidR="000A1E58" w:rsidRPr="00604C75">
        <w:rPr>
          <w:rFonts w:ascii="Times New Roman" w:hAnsi="Times New Roman"/>
          <w:sz w:val="20"/>
        </w:rPr>
        <w:t>on Market Risk</w:t>
      </w:r>
      <w:r w:rsidR="000A1E58" w:rsidRPr="00604C75" w:rsidDel="000A1E58">
        <w:rPr>
          <w:rFonts w:ascii="Times New Roman" w:hAnsi="Times New Roman"/>
          <w:caps/>
          <w:sz w:val="20"/>
        </w:rPr>
        <w:t xml:space="preserve"> </w:t>
      </w:r>
    </w:p>
    <w:p w14:paraId="0D1FA922" w14:textId="77777777" w:rsidR="005E33B0" w:rsidRPr="00604C75" w:rsidRDefault="003A4706" w:rsidP="00991C34">
      <w:pPr>
        <w:pStyle w:val="BodyTextIndent"/>
        <w:spacing w:before="120" w:after="0"/>
        <w:ind w:left="0"/>
        <w:jc w:val="both"/>
        <w:rPr>
          <w:sz w:val="20"/>
          <w:szCs w:val="20"/>
        </w:rPr>
      </w:pPr>
      <w:r w:rsidRPr="00604C75">
        <w:rPr>
          <w:sz w:val="20"/>
          <w:szCs w:val="20"/>
        </w:rPr>
        <w:t xml:space="preserve">The Parent </w:t>
      </w:r>
      <w:r w:rsidR="005E33B0" w:rsidRPr="00604C75">
        <w:rPr>
          <w:sz w:val="20"/>
          <w:szCs w:val="20"/>
        </w:rPr>
        <w:t xml:space="preserve">Bank’s risk management operations, which are determined by the Board of Directors, are in line with the “Regulation of Internal Bank Systems” and “Regulation of Capital Adequacy Measurement and Evaluation”. </w:t>
      </w:r>
      <w:r w:rsidR="00C6031E" w:rsidRPr="00604C75">
        <w:rPr>
          <w:sz w:val="20"/>
          <w:szCs w:val="20"/>
        </w:rPr>
        <w:br/>
      </w:r>
      <w:r w:rsidR="005E33B0" w:rsidRPr="00604C75">
        <w:rPr>
          <w:sz w:val="20"/>
          <w:szCs w:val="20"/>
        </w:rPr>
        <w:t>In order to comply with the Regulations, the Bank’s operations regarding the market risk are administrated in line with the “Regulation of Internal Bank Systems” and “Regulation of Capital Adequacy Measurement and Evaluation”.</w:t>
      </w:r>
    </w:p>
    <w:p w14:paraId="5774BD0F" w14:textId="77777777" w:rsidR="005E33B0" w:rsidRPr="00604C75" w:rsidRDefault="005E33B0" w:rsidP="00991C34">
      <w:pPr>
        <w:pStyle w:val="BodyTextIndent"/>
        <w:spacing w:before="120" w:after="0"/>
        <w:ind w:left="0"/>
        <w:jc w:val="both"/>
        <w:rPr>
          <w:sz w:val="20"/>
          <w:szCs w:val="20"/>
        </w:rPr>
      </w:pPr>
      <w:r w:rsidRPr="00604C75">
        <w:rPr>
          <w:sz w:val="20"/>
          <w:szCs w:val="20"/>
        </w:rPr>
        <w:t>Board of directors monitors the efficiency of risk administration systems by evaluations of the Audit Committee, Management and Early Detection of Risk Committee as well as upper management’s opinions and other miscellaneous reports.</w:t>
      </w:r>
    </w:p>
    <w:p w14:paraId="0DC59CAA" w14:textId="77777777" w:rsidR="005E33B0" w:rsidRPr="00604C75" w:rsidRDefault="005E33B0" w:rsidP="00991C34">
      <w:pPr>
        <w:pStyle w:val="BodyTextIndent"/>
        <w:spacing w:before="120" w:after="0"/>
        <w:ind w:left="0"/>
        <w:jc w:val="both"/>
        <w:rPr>
          <w:sz w:val="20"/>
          <w:szCs w:val="20"/>
        </w:rPr>
      </w:pPr>
      <w:r w:rsidRPr="00604C75">
        <w:rPr>
          <w:sz w:val="20"/>
          <w:szCs w:val="20"/>
        </w:rPr>
        <w:t xml:space="preserve">The </w:t>
      </w:r>
      <w:r w:rsidR="00DE209A" w:rsidRPr="00604C75">
        <w:rPr>
          <w:sz w:val="20"/>
          <w:szCs w:val="20"/>
        </w:rPr>
        <w:t xml:space="preserve">Parent </w:t>
      </w:r>
      <w:r w:rsidRPr="00604C75">
        <w:rPr>
          <w:sz w:val="20"/>
          <w:szCs w:val="20"/>
        </w:rPr>
        <w:t>Bank’s risk policies and risk administration policies</w:t>
      </w:r>
      <w:r w:rsidR="00C04603" w:rsidRPr="00604C75">
        <w:rPr>
          <w:sz w:val="20"/>
          <w:szCs w:val="20"/>
        </w:rPr>
        <w:t xml:space="preserve"> for the encountered market risk</w:t>
      </w:r>
      <w:r w:rsidRPr="00604C75">
        <w:rPr>
          <w:sz w:val="20"/>
          <w:szCs w:val="20"/>
        </w:rPr>
        <w:t xml:space="preserve"> are being approved by the board of directors and </w:t>
      </w:r>
      <w:r w:rsidR="00992F84" w:rsidRPr="00604C75">
        <w:rPr>
          <w:sz w:val="20"/>
          <w:szCs w:val="20"/>
        </w:rPr>
        <w:t>reviewed</w:t>
      </w:r>
      <w:r w:rsidRPr="00604C75">
        <w:rPr>
          <w:sz w:val="20"/>
          <w:szCs w:val="20"/>
        </w:rPr>
        <w:t xml:space="preserve"> on a regular basis. Market risk is </w:t>
      </w:r>
      <w:r w:rsidR="00C04603" w:rsidRPr="00604C75">
        <w:rPr>
          <w:sz w:val="20"/>
          <w:szCs w:val="20"/>
        </w:rPr>
        <w:t>measured and limited</w:t>
      </w:r>
      <w:r w:rsidRPr="00604C75">
        <w:rPr>
          <w:sz w:val="20"/>
          <w:szCs w:val="20"/>
        </w:rPr>
        <w:t xml:space="preserve"> </w:t>
      </w:r>
      <w:r w:rsidR="00C04603" w:rsidRPr="00604C75">
        <w:rPr>
          <w:sz w:val="20"/>
          <w:szCs w:val="20"/>
        </w:rPr>
        <w:t xml:space="preserve">in compliance with </w:t>
      </w:r>
      <w:r w:rsidRPr="00604C75">
        <w:rPr>
          <w:sz w:val="20"/>
          <w:szCs w:val="20"/>
        </w:rPr>
        <w:t>international standards</w:t>
      </w:r>
      <w:r w:rsidR="00C04603" w:rsidRPr="00604C75">
        <w:rPr>
          <w:sz w:val="20"/>
          <w:szCs w:val="20"/>
        </w:rPr>
        <w:t xml:space="preserve"> and</w:t>
      </w:r>
      <w:r w:rsidRPr="00604C75">
        <w:rPr>
          <w:sz w:val="20"/>
          <w:szCs w:val="20"/>
        </w:rPr>
        <w:t xml:space="preserve"> capital </w:t>
      </w:r>
      <w:r w:rsidR="00C04603" w:rsidRPr="00604C75">
        <w:rPr>
          <w:sz w:val="20"/>
          <w:szCs w:val="20"/>
        </w:rPr>
        <w:t>requirements are calculated accordingly</w:t>
      </w:r>
      <w:r w:rsidRPr="00604C75">
        <w:rPr>
          <w:sz w:val="20"/>
          <w:szCs w:val="20"/>
        </w:rPr>
        <w:t xml:space="preserve"> in addition to </w:t>
      </w:r>
      <w:r w:rsidR="00C04603" w:rsidRPr="00604C75">
        <w:rPr>
          <w:sz w:val="20"/>
          <w:szCs w:val="20"/>
        </w:rPr>
        <w:t>it is managed by</w:t>
      </w:r>
      <w:r w:rsidRPr="00604C75">
        <w:rPr>
          <w:sz w:val="20"/>
          <w:szCs w:val="20"/>
        </w:rPr>
        <w:t xml:space="preserve"> hedging </w:t>
      </w:r>
      <w:r w:rsidR="00C04603" w:rsidRPr="00604C75">
        <w:rPr>
          <w:sz w:val="20"/>
          <w:szCs w:val="20"/>
        </w:rPr>
        <w:t>instruments</w:t>
      </w:r>
      <w:r w:rsidRPr="00604C75">
        <w:rPr>
          <w:sz w:val="20"/>
          <w:szCs w:val="20"/>
        </w:rPr>
        <w:t xml:space="preserve"> to eliminate </w:t>
      </w:r>
      <w:r w:rsidR="00C04603" w:rsidRPr="00604C75">
        <w:rPr>
          <w:sz w:val="20"/>
          <w:szCs w:val="20"/>
        </w:rPr>
        <w:t xml:space="preserve">the </w:t>
      </w:r>
      <w:r w:rsidRPr="00604C75">
        <w:rPr>
          <w:sz w:val="20"/>
          <w:szCs w:val="20"/>
        </w:rPr>
        <w:t>risk.</w:t>
      </w:r>
    </w:p>
    <w:p w14:paraId="2E852ABE" w14:textId="77777777" w:rsidR="00B30C53" w:rsidRDefault="005E33B0" w:rsidP="00991C34">
      <w:pPr>
        <w:pStyle w:val="BodyTextIndent"/>
        <w:spacing w:before="120" w:after="0"/>
        <w:ind w:left="0"/>
        <w:jc w:val="both"/>
        <w:rPr>
          <w:sz w:val="20"/>
          <w:szCs w:val="20"/>
        </w:rPr>
      </w:pPr>
      <w:r w:rsidRPr="00604C75">
        <w:rPr>
          <w:sz w:val="20"/>
          <w:szCs w:val="20"/>
        </w:rPr>
        <w:t>The market risk of portfolios held for trading is calculated using the standard method and the value at risk (“</w:t>
      </w:r>
      <w:proofErr w:type="spellStart"/>
      <w:r w:rsidRPr="00604C75">
        <w:rPr>
          <w:sz w:val="20"/>
          <w:szCs w:val="20"/>
        </w:rPr>
        <w:t>VaR</w:t>
      </w:r>
      <w:proofErr w:type="spellEnd"/>
      <w:r w:rsidRPr="00604C75">
        <w:rPr>
          <w:sz w:val="20"/>
          <w:szCs w:val="20"/>
        </w:rPr>
        <w:t>”) methods. Standard method calculations are made on a monthly basis which is used for calculating the capital adequacy</w:t>
      </w:r>
      <w:r w:rsidR="00392CFC" w:rsidRPr="00604C75">
        <w:rPr>
          <w:sz w:val="20"/>
          <w:szCs w:val="20"/>
        </w:rPr>
        <w:t xml:space="preserve"> generally accepted three methods (variance,</w:t>
      </w:r>
      <w:r w:rsidR="00306327" w:rsidRPr="00604C75">
        <w:rPr>
          <w:sz w:val="20"/>
          <w:szCs w:val="20"/>
        </w:rPr>
        <w:t xml:space="preserve"> </w:t>
      </w:r>
      <w:r w:rsidR="00392CFC" w:rsidRPr="00604C75">
        <w:rPr>
          <w:sz w:val="20"/>
          <w:szCs w:val="20"/>
        </w:rPr>
        <w:t>covariance,</w:t>
      </w:r>
      <w:r w:rsidR="00306327" w:rsidRPr="00604C75">
        <w:rPr>
          <w:sz w:val="20"/>
          <w:szCs w:val="20"/>
        </w:rPr>
        <w:t xml:space="preserve"> </w:t>
      </w:r>
      <w:r w:rsidR="00392CFC" w:rsidRPr="00604C75">
        <w:rPr>
          <w:sz w:val="20"/>
          <w:szCs w:val="20"/>
        </w:rPr>
        <w:t xml:space="preserve">historical simulation, </w:t>
      </w:r>
      <w:proofErr w:type="spellStart"/>
      <w:proofErr w:type="gramStart"/>
      <w:r w:rsidR="00392CFC" w:rsidRPr="00604C75">
        <w:rPr>
          <w:sz w:val="20"/>
          <w:szCs w:val="20"/>
        </w:rPr>
        <w:t>monte</w:t>
      </w:r>
      <w:proofErr w:type="spellEnd"/>
      <w:r w:rsidR="00BB12A3">
        <w:rPr>
          <w:sz w:val="20"/>
          <w:szCs w:val="20"/>
        </w:rPr>
        <w:t xml:space="preserve"> </w:t>
      </w:r>
      <w:proofErr w:type="spellStart"/>
      <w:r w:rsidR="00392CFC" w:rsidRPr="00604C75">
        <w:rPr>
          <w:sz w:val="20"/>
          <w:szCs w:val="20"/>
        </w:rPr>
        <w:t>carlo</w:t>
      </w:r>
      <w:proofErr w:type="spellEnd"/>
      <w:proofErr w:type="gramEnd"/>
      <w:r w:rsidR="00392CFC" w:rsidRPr="00604C75">
        <w:rPr>
          <w:sz w:val="20"/>
          <w:szCs w:val="20"/>
        </w:rPr>
        <w:t>).</w:t>
      </w:r>
    </w:p>
    <w:p w14:paraId="442F7F06" w14:textId="77777777" w:rsidR="00B30C53" w:rsidRDefault="00B30C53" w:rsidP="000D23C2">
      <w:pPr>
        <w:pStyle w:val="BodyTextIndent"/>
        <w:spacing w:after="0"/>
        <w:ind w:left="0"/>
        <w:jc w:val="both"/>
        <w:rPr>
          <w:sz w:val="20"/>
          <w:szCs w:val="20"/>
        </w:rPr>
      </w:pPr>
    </w:p>
    <w:p w14:paraId="08AB3583" w14:textId="77777777" w:rsidR="00490153" w:rsidRDefault="00490153">
      <w:pPr>
        <w:spacing w:after="200" w:line="276" w:lineRule="auto"/>
        <w:rPr>
          <w:b/>
        </w:rPr>
      </w:pPr>
      <w:r>
        <w:rPr>
          <w:b/>
        </w:rPr>
        <w:br w:type="page"/>
      </w:r>
    </w:p>
    <w:p w14:paraId="470A324D" w14:textId="040B91CC" w:rsidR="00DF35B0" w:rsidRPr="007043B9" w:rsidRDefault="00DF35B0" w:rsidP="00490153">
      <w:pPr>
        <w:pStyle w:val="BodyTextIndent"/>
        <w:spacing w:before="120" w:after="0"/>
        <w:ind w:left="0"/>
        <w:jc w:val="both"/>
        <w:rPr>
          <w:b/>
          <w:sz w:val="20"/>
          <w:szCs w:val="20"/>
        </w:rPr>
      </w:pPr>
      <w:r w:rsidRPr="007043B9">
        <w:rPr>
          <w:b/>
          <w:sz w:val="20"/>
          <w:szCs w:val="20"/>
        </w:rPr>
        <w:lastRenderedPageBreak/>
        <w:t>INFORMATION</w:t>
      </w:r>
      <w:r w:rsidR="00A041CD">
        <w:rPr>
          <w:b/>
          <w:bCs/>
          <w:noProof/>
          <w:sz w:val="20"/>
          <w:szCs w:val="20"/>
          <w:lang w:val="tr-TR"/>
        </w:rPr>
        <w:t xml:space="preserve"> </w:t>
      </w:r>
      <w:r w:rsidRPr="007043B9">
        <w:rPr>
          <w:b/>
          <w:bCs/>
          <w:noProof/>
          <w:sz w:val="20"/>
          <w:szCs w:val="20"/>
          <w:lang w:val="tr-TR"/>
        </w:rPr>
        <w:t>O</w:t>
      </w:r>
      <w:r w:rsidR="00A041CD">
        <w:rPr>
          <w:b/>
          <w:bCs/>
          <w:noProof/>
          <w:sz w:val="20"/>
          <w:szCs w:val="20"/>
          <w:lang w:val="tr-TR"/>
        </w:rPr>
        <w:t>N THE</w:t>
      </w:r>
      <w:r w:rsidRPr="007043B9">
        <w:rPr>
          <w:b/>
          <w:bCs/>
          <w:noProof/>
          <w:sz w:val="20"/>
          <w:szCs w:val="20"/>
          <w:lang w:val="tr-TR"/>
        </w:rPr>
        <w:t xml:space="preserve"> FINANCIAL POSITION OF THE GROUP (Continued)</w:t>
      </w:r>
    </w:p>
    <w:p w14:paraId="3037789F" w14:textId="77777777" w:rsidR="00DF35B0" w:rsidRPr="00604C75" w:rsidRDefault="00DF35B0" w:rsidP="00490153">
      <w:pPr>
        <w:pStyle w:val="Heading2"/>
        <w:tabs>
          <w:tab w:val="left" w:pos="426"/>
          <w:tab w:val="left" w:pos="851"/>
        </w:tabs>
        <w:ind w:left="851" w:hanging="851"/>
        <w:jc w:val="both"/>
        <w:rPr>
          <w:rFonts w:ascii="Times New Roman" w:hAnsi="Times New Roman"/>
          <w:caps/>
          <w:sz w:val="20"/>
        </w:rPr>
      </w:pPr>
      <w:r w:rsidRPr="00604C75">
        <w:rPr>
          <w:rFonts w:ascii="Times New Roman" w:hAnsi="Times New Roman"/>
          <w:caps/>
          <w:sz w:val="20"/>
        </w:rPr>
        <w:t>ıII.</w:t>
      </w:r>
      <w:r w:rsidRPr="00604C75">
        <w:rPr>
          <w:rFonts w:ascii="Times New Roman" w:hAnsi="Times New Roman"/>
          <w:caps/>
          <w:sz w:val="20"/>
        </w:rPr>
        <w:tab/>
      </w:r>
      <w:r w:rsidRPr="00604C75">
        <w:rPr>
          <w:rFonts w:ascii="Times New Roman" w:hAnsi="Times New Roman"/>
          <w:sz w:val="20"/>
        </w:rPr>
        <w:t>Explanations</w:t>
      </w:r>
      <w:r w:rsidRPr="00604C75">
        <w:rPr>
          <w:rFonts w:ascii="Times New Roman" w:hAnsi="Times New Roman"/>
          <w:caps/>
          <w:sz w:val="20"/>
        </w:rPr>
        <w:t xml:space="preserve"> </w:t>
      </w:r>
      <w:r w:rsidRPr="00604C75">
        <w:rPr>
          <w:rFonts w:ascii="Times New Roman" w:hAnsi="Times New Roman"/>
          <w:sz w:val="20"/>
        </w:rPr>
        <w:t>on Market Risk</w:t>
      </w:r>
      <w:r w:rsidRPr="00604C75" w:rsidDel="000A1E58">
        <w:rPr>
          <w:rFonts w:ascii="Times New Roman" w:hAnsi="Times New Roman"/>
          <w:caps/>
          <w:sz w:val="20"/>
        </w:rPr>
        <w:t xml:space="preserve"> </w:t>
      </w:r>
      <w:r w:rsidRPr="00DF35B0">
        <w:rPr>
          <w:rFonts w:ascii="Times New Roman" w:hAnsi="Times New Roman"/>
          <w:bCs/>
          <w:noProof/>
          <w:sz w:val="20"/>
          <w:lang w:val="tr-TR"/>
        </w:rPr>
        <w:t>(Continued)</w:t>
      </w:r>
    </w:p>
    <w:p w14:paraId="3CC91EF8" w14:textId="744B94A3" w:rsidR="005E33B0" w:rsidRPr="00604C75" w:rsidRDefault="00B30C53" w:rsidP="00490153">
      <w:pPr>
        <w:pStyle w:val="BodyTextIndent"/>
        <w:spacing w:before="120" w:after="0"/>
        <w:ind w:left="0"/>
        <w:jc w:val="both"/>
        <w:rPr>
          <w:sz w:val="20"/>
          <w:szCs w:val="20"/>
        </w:rPr>
      </w:pPr>
      <w:proofErr w:type="spellStart"/>
      <w:r>
        <w:rPr>
          <w:sz w:val="20"/>
          <w:szCs w:val="20"/>
        </w:rPr>
        <w:t>VaR</w:t>
      </w:r>
      <w:proofErr w:type="spellEnd"/>
      <w:r>
        <w:rPr>
          <w:sz w:val="20"/>
          <w:szCs w:val="20"/>
        </w:rPr>
        <w:t xml:space="preserve"> c</w:t>
      </w:r>
      <w:r w:rsidR="005E33B0" w:rsidRPr="00604C75">
        <w:rPr>
          <w:sz w:val="20"/>
          <w:szCs w:val="20"/>
        </w:rPr>
        <w:t xml:space="preserve">alculations are performed on a daily basis using the historical simulation (EWMA) method. </w:t>
      </w:r>
      <w:proofErr w:type="spellStart"/>
      <w:r w:rsidR="005E33B0" w:rsidRPr="00604C75">
        <w:rPr>
          <w:sz w:val="20"/>
          <w:szCs w:val="20"/>
        </w:rPr>
        <w:t>VaR</w:t>
      </w:r>
      <w:proofErr w:type="spellEnd"/>
      <w:r w:rsidR="005E33B0" w:rsidRPr="00604C75">
        <w:rPr>
          <w:sz w:val="20"/>
          <w:szCs w:val="20"/>
        </w:rPr>
        <w:t xml:space="preserve"> calculations are made using the past 1 year data with 99</w:t>
      </w:r>
      <w:r w:rsidR="0052736D" w:rsidRPr="00604C75">
        <w:rPr>
          <w:sz w:val="20"/>
          <w:szCs w:val="20"/>
        </w:rPr>
        <w:t>%</w:t>
      </w:r>
      <w:r w:rsidR="005E33B0" w:rsidRPr="00604C75">
        <w:rPr>
          <w:sz w:val="20"/>
          <w:szCs w:val="20"/>
        </w:rPr>
        <w:t xml:space="preserve"> assurance and 1 day holding period (10 days for legal capital calculation). All positions in the trading portfolio are set a daily risk limit and nominal position limits and all these limits are monitored and reported to upper management. In addition, trading portfolio, value at risk increase and limit comply situations are reported to </w:t>
      </w:r>
      <w:r w:rsidR="008F2417" w:rsidRPr="00604C75">
        <w:rPr>
          <w:sz w:val="20"/>
          <w:szCs w:val="20"/>
        </w:rPr>
        <w:t xml:space="preserve">Asset Liability </w:t>
      </w:r>
      <w:r w:rsidR="005E33B0" w:rsidRPr="00604C75">
        <w:rPr>
          <w:sz w:val="20"/>
          <w:szCs w:val="20"/>
        </w:rPr>
        <w:t xml:space="preserve">Committee every two weeks and to upper management and Management and Early Detection of Risk Committee every three months. </w:t>
      </w:r>
      <w:proofErr w:type="spellStart"/>
      <w:r w:rsidR="005E33B0" w:rsidRPr="00604C75">
        <w:rPr>
          <w:sz w:val="20"/>
          <w:szCs w:val="20"/>
        </w:rPr>
        <w:t>VaR</w:t>
      </w:r>
      <w:proofErr w:type="spellEnd"/>
      <w:r w:rsidR="005E33B0" w:rsidRPr="00604C75">
        <w:rPr>
          <w:sz w:val="20"/>
          <w:szCs w:val="20"/>
        </w:rPr>
        <w:t xml:space="preserve"> model is tested on a backward basis to ensure reliability. In order to limit market risk, in addition to </w:t>
      </w:r>
      <w:proofErr w:type="spellStart"/>
      <w:r w:rsidR="005E33B0" w:rsidRPr="00604C75">
        <w:rPr>
          <w:sz w:val="20"/>
          <w:szCs w:val="20"/>
        </w:rPr>
        <w:t>VaR</w:t>
      </w:r>
      <w:proofErr w:type="spellEnd"/>
      <w:r w:rsidR="005E33B0" w:rsidRPr="00604C75">
        <w:rPr>
          <w:sz w:val="20"/>
          <w:szCs w:val="20"/>
        </w:rPr>
        <w:t xml:space="preserve"> and nominal position limits, there are stop loss limits on trading portfolio that are approved by the board of directors.</w:t>
      </w:r>
    </w:p>
    <w:p w14:paraId="0AB5D6E8" w14:textId="77777777" w:rsidR="005E33B0" w:rsidRPr="00604C75" w:rsidRDefault="005E33B0" w:rsidP="000D23C2">
      <w:pPr>
        <w:pStyle w:val="BodyTextIndent"/>
        <w:tabs>
          <w:tab w:val="left" w:pos="1276"/>
        </w:tabs>
        <w:spacing w:after="0"/>
        <w:ind w:left="0"/>
        <w:jc w:val="both"/>
        <w:rPr>
          <w:b/>
          <w:sz w:val="20"/>
          <w:szCs w:val="20"/>
        </w:rPr>
      </w:pPr>
    </w:p>
    <w:p w14:paraId="7D022857" w14:textId="77777777" w:rsidR="005E33B0" w:rsidRPr="00604C75" w:rsidRDefault="005E33B0" w:rsidP="000D23C2">
      <w:pPr>
        <w:pStyle w:val="BodyTextIndent"/>
        <w:tabs>
          <w:tab w:val="left" w:pos="426"/>
        </w:tabs>
        <w:spacing w:after="0"/>
        <w:ind w:left="0"/>
        <w:rPr>
          <w:b/>
          <w:sz w:val="20"/>
          <w:szCs w:val="20"/>
        </w:rPr>
      </w:pPr>
      <w:r w:rsidRPr="00604C75">
        <w:rPr>
          <w:b/>
          <w:sz w:val="20"/>
          <w:szCs w:val="20"/>
        </w:rPr>
        <w:t>a.</w:t>
      </w:r>
      <w:r w:rsidRPr="00604C75">
        <w:rPr>
          <w:b/>
          <w:sz w:val="20"/>
          <w:szCs w:val="20"/>
        </w:rPr>
        <w:tab/>
      </w:r>
      <w:r w:rsidRPr="00604C75">
        <w:rPr>
          <w:b/>
          <w:noProof/>
          <w:sz w:val="20"/>
          <w:szCs w:val="20"/>
        </w:rPr>
        <w:t>Information on Market Risk</w:t>
      </w:r>
    </w:p>
    <w:p w14:paraId="56D29C4C" w14:textId="77777777" w:rsidR="005E33B0" w:rsidRPr="00604C75" w:rsidRDefault="005E33B0" w:rsidP="000D23C2">
      <w:pPr>
        <w:pStyle w:val="BodyTextIndent"/>
        <w:tabs>
          <w:tab w:val="left" w:pos="1276"/>
        </w:tabs>
        <w:spacing w:after="0"/>
        <w:ind w:left="0"/>
        <w:rPr>
          <w:b/>
          <w:sz w:val="20"/>
          <w:szCs w:val="20"/>
        </w:rPr>
      </w:pPr>
    </w:p>
    <w:tbl>
      <w:tblPr>
        <w:tblW w:w="935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782"/>
        <w:gridCol w:w="1679"/>
        <w:gridCol w:w="1890"/>
      </w:tblGrid>
      <w:tr w:rsidR="003E6A93" w:rsidRPr="00604C75" w14:paraId="29A063EA" w14:textId="77777777" w:rsidTr="00991C34">
        <w:trPr>
          <w:trHeight w:val="170"/>
        </w:trPr>
        <w:tc>
          <w:tcPr>
            <w:tcW w:w="5782" w:type="dxa"/>
            <w:vAlign w:val="center"/>
          </w:tcPr>
          <w:p w14:paraId="68C2F1D7" w14:textId="77777777" w:rsidR="003E6A93" w:rsidRPr="00604C75" w:rsidRDefault="003E6A93" w:rsidP="002944A4">
            <w:pPr>
              <w:spacing w:line="216" w:lineRule="auto"/>
              <w:rPr>
                <w:sz w:val="10"/>
                <w:szCs w:val="10"/>
              </w:rPr>
            </w:pPr>
          </w:p>
          <w:p w14:paraId="19C4A3F8" w14:textId="77777777" w:rsidR="003E6A93" w:rsidRPr="00604C75" w:rsidRDefault="003E6A93" w:rsidP="002944A4">
            <w:pPr>
              <w:spacing w:line="216" w:lineRule="auto"/>
              <w:rPr>
                <w:rFonts w:eastAsia="Arial Unicode MS"/>
                <w:sz w:val="18"/>
              </w:rPr>
            </w:pPr>
            <w:r w:rsidRPr="00604C75">
              <w:rPr>
                <w:sz w:val="22"/>
              </w:rPr>
              <w:tab/>
            </w:r>
          </w:p>
        </w:tc>
        <w:tc>
          <w:tcPr>
            <w:tcW w:w="1679" w:type="dxa"/>
            <w:vAlign w:val="bottom"/>
          </w:tcPr>
          <w:p w14:paraId="27D312EC" w14:textId="77777777" w:rsidR="003E6A93" w:rsidRPr="00604C75" w:rsidRDefault="00F51CB2" w:rsidP="00991C34">
            <w:pPr>
              <w:ind w:right="48"/>
              <w:jc w:val="right"/>
              <w:outlineLvl w:val="0"/>
              <w:rPr>
                <w:b/>
                <w:bCs/>
                <w:sz w:val="18"/>
                <w:szCs w:val="18"/>
              </w:rPr>
            </w:pPr>
            <w:r>
              <w:rPr>
                <w:b/>
                <w:sz w:val="18"/>
              </w:rPr>
              <w:t>3</w:t>
            </w:r>
            <w:r w:rsidR="00AD51AF">
              <w:rPr>
                <w:b/>
                <w:sz w:val="18"/>
              </w:rPr>
              <w:t>1</w:t>
            </w:r>
            <w:r>
              <w:rPr>
                <w:b/>
                <w:sz w:val="18"/>
              </w:rPr>
              <w:t xml:space="preserve"> </w:t>
            </w:r>
            <w:r w:rsidR="00AD51AF">
              <w:rPr>
                <w:b/>
                <w:sz w:val="18"/>
              </w:rPr>
              <w:t>December</w:t>
            </w:r>
            <w:r w:rsidR="003E6A93" w:rsidRPr="00604C75">
              <w:rPr>
                <w:b/>
                <w:sz w:val="18"/>
              </w:rPr>
              <w:t xml:space="preserve"> 2015</w:t>
            </w:r>
          </w:p>
        </w:tc>
        <w:tc>
          <w:tcPr>
            <w:tcW w:w="1890" w:type="dxa"/>
            <w:vAlign w:val="bottom"/>
          </w:tcPr>
          <w:p w14:paraId="6789B98E" w14:textId="77777777" w:rsidR="003E6A93" w:rsidRPr="00604C75" w:rsidRDefault="00107B0B" w:rsidP="00991C34">
            <w:pPr>
              <w:ind w:right="48"/>
              <w:jc w:val="right"/>
              <w:outlineLvl w:val="0"/>
              <w:rPr>
                <w:b/>
                <w:bCs/>
                <w:sz w:val="18"/>
                <w:szCs w:val="18"/>
              </w:rPr>
            </w:pPr>
            <w:r w:rsidRPr="00604C75">
              <w:rPr>
                <w:b/>
                <w:sz w:val="18"/>
              </w:rPr>
              <w:t>31 December 201</w:t>
            </w:r>
            <w:r w:rsidR="004C0C4A" w:rsidRPr="00604C75">
              <w:rPr>
                <w:b/>
                <w:sz w:val="18"/>
              </w:rPr>
              <w:t>4</w:t>
            </w:r>
          </w:p>
        </w:tc>
      </w:tr>
      <w:tr w:rsidR="00224102" w:rsidRPr="00604C75" w14:paraId="0438271C" w14:textId="77777777" w:rsidTr="00991C34">
        <w:trPr>
          <w:trHeight w:val="129"/>
        </w:trPr>
        <w:tc>
          <w:tcPr>
            <w:tcW w:w="5782" w:type="dxa"/>
            <w:vAlign w:val="center"/>
          </w:tcPr>
          <w:p w14:paraId="0925CDFF" w14:textId="77777777" w:rsidR="00224102" w:rsidRPr="00604C75" w:rsidRDefault="00224102" w:rsidP="00224102">
            <w:pPr>
              <w:tabs>
                <w:tab w:val="left" w:pos="427"/>
              </w:tabs>
              <w:spacing w:line="216" w:lineRule="auto"/>
              <w:rPr>
                <w:sz w:val="18"/>
              </w:rPr>
            </w:pPr>
            <w:r w:rsidRPr="00604C75">
              <w:rPr>
                <w:sz w:val="18"/>
                <w:szCs w:val="18"/>
              </w:rPr>
              <w:t>(I) Capital Requirement against General Market Risk – Standard Method</w:t>
            </w:r>
          </w:p>
        </w:tc>
        <w:tc>
          <w:tcPr>
            <w:tcW w:w="1679" w:type="dxa"/>
            <w:vAlign w:val="bottom"/>
          </w:tcPr>
          <w:p w14:paraId="0A5C55C7" w14:textId="5695EB3A" w:rsidR="00224102" w:rsidRPr="00692926" w:rsidRDefault="00224102" w:rsidP="00224102">
            <w:pPr>
              <w:ind w:right="48"/>
              <w:jc w:val="right"/>
              <w:rPr>
                <w:rFonts w:eastAsia="Arial Unicode MS"/>
                <w:sz w:val="18"/>
                <w:szCs w:val="18"/>
              </w:rPr>
            </w:pPr>
            <w:r>
              <w:rPr>
                <w:rFonts w:eastAsia="Arial Unicode MS"/>
                <w:sz w:val="18"/>
                <w:szCs w:val="18"/>
              </w:rPr>
              <w:t>1,728</w:t>
            </w:r>
          </w:p>
        </w:tc>
        <w:tc>
          <w:tcPr>
            <w:tcW w:w="1890" w:type="dxa"/>
            <w:vAlign w:val="bottom"/>
          </w:tcPr>
          <w:p w14:paraId="1353783B" w14:textId="25C72965" w:rsidR="00224102" w:rsidRPr="00692926" w:rsidRDefault="00224102" w:rsidP="00224102">
            <w:pPr>
              <w:ind w:right="48"/>
              <w:jc w:val="right"/>
              <w:rPr>
                <w:rFonts w:eastAsia="Arial Unicode MS"/>
                <w:sz w:val="18"/>
                <w:szCs w:val="18"/>
              </w:rPr>
            </w:pPr>
            <w:r w:rsidRPr="00692926">
              <w:rPr>
                <w:rFonts w:eastAsia="Arial Unicode MS"/>
                <w:sz w:val="18"/>
                <w:szCs w:val="18"/>
              </w:rPr>
              <w:t>498</w:t>
            </w:r>
          </w:p>
        </w:tc>
      </w:tr>
      <w:tr w:rsidR="00224102" w:rsidRPr="00604C75" w14:paraId="45068A74" w14:textId="77777777" w:rsidTr="00991C34">
        <w:trPr>
          <w:trHeight w:val="129"/>
        </w:trPr>
        <w:tc>
          <w:tcPr>
            <w:tcW w:w="5782" w:type="dxa"/>
            <w:vAlign w:val="center"/>
          </w:tcPr>
          <w:p w14:paraId="79410F12" w14:textId="77777777" w:rsidR="00224102" w:rsidRPr="00604C75" w:rsidRDefault="00224102" w:rsidP="00224102">
            <w:pPr>
              <w:tabs>
                <w:tab w:val="left" w:pos="427"/>
              </w:tabs>
              <w:spacing w:line="216" w:lineRule="auto"/>
              <w:rPr>
                <w:rFonts w:eastAsia="Arial Unicode MS"/>
                <w:sz w:val="18"/>
              </w:rPr>
            </w:pPr>
            <w:r w:rsidRPr="00604C75">
              <w:rPr>
                <w:sz w:val="18"/>
                <w:szCs w:val="18"/>
              </w:rPr>
              <w:t>(II) Capital Requirement against Specific Risk – Standard Method</w:t>
            </w:r>
          </w:p>
        </w:tc>
        <w:tc>
          <w:tcPr>
            <w:tcW w:w="1679" w:type="dxa"/>
            <w:vAlign w:val="bottom"/>
          </w:tcPr>
          <w:p w14:paraId="4FEC24B1" w14:textId="6041CAA9" w:rsidR="00224102" w:rsidRPr="00692926" w:rsidRDefault="00224102" w:rsidP="00224102">
            <w:pPr>
              <w:ind w:right="48"/>
              <w:jc w:val="right"/>
              <w:rPr>
                <w:rFonts w:eastAsia="Arial Unicode MS"/>
                <w:sz w:val="18"/>
                <w:szCs w:val="18"/>
              </w:rPr>
            </w:pPr>
            <w:r>
              <w:rPr>
                <w:rFonts w:eastAsia="Arial Unicode MS"/>
                <w:sz w:val="18"/>
                <w:szCs w:val="18"/>
              </w:rPr>
              <w:t>7</w:t>
            </w:r>
          </w:p>
        </w:tc>
        <w:tc>
          <w:tcPr>
            <w:tcW w:w="1890" w:type="dxa"/>
            <w:vAlign w:val="bottom"/>
          </w:tcPr>
          <w:p w14:paraId="31487D95" w14:textId="0228F768" w:rsidR="00224102" w:rsidRPr="00692926" w:rsidRDefault="00224102" w:rsidP="00224102">
            <w:pPr>
              <w:ind w:right="48"/>
              <w:jc w:val="right"/>
              <w:rPr>
                <w:rFonts w:eastAsia="Arial Unicode MS"/>
                <w:sz w:val="18"/>
                <w:szCs w:val="18"/>
              </w:rPr>
            </w:pPr>
            <w:r w:rsidRPr="00692926">
              <w:rPr>
                <w:rFonts w:eastAsia="Arial Unicode MS"/>
                <w:sz w:val="18"/>
                <w:szCs w:val="18"/>
              </w:rPr>
              <w:t>999</w:t>
            </w:r>
          </w:p>
        </w:tc>
      </w:tr>
      <w:tr w:rsidR="00224102" w:rsidRPr="00604C75" w14:paraId="6986D89E" w14:textId="77777777" w:rsidTr="00991C34">
        <w:trPr>
          <w:trHeight w:val="129"/>
        </w:trPr>
        <w:tc>
          <w:tcPr>
            <w:tcW w:w="5782" w:type="dxa"/>
            <w:shd w:val="clear" w:color="auto" w:fill="auto"/>
            <w:vAlign w:val="center"/>
          </w:tcPr>
          <w:p w14:paraId="26FA6F5D" w14:textId="77777777" w:rsidR="00224102" w:rsidRPr="00604C75" w:rsidRDefault="00224102" w:rsidP="00224102">
            <w:pPr>
              <w:tabs>
                <w:tab w:val="left" w:pos="569"/>
              </w:tabs>
              <w:spacing w:line="216" w:lineRule="auto"/>
              <w:rPr>
                <w:rFonts w:eastAsia="Arial Unicode MS"/>
                <w:sz w:val="18"/>
              </w:rPr>
            </w:pPr>
            <w:r w:rsidRPr="00604C75">
              <w:rPr>
                <w:sz w:val="18"/>
                <w:szCs w:val="18"/>
              </w:rPr>
              <w:t>Capital Requirement for Specific Risk Related to Securitization Positions-Standard Method</w:t>
            </w:r>
          </w:p>
        </w:tc>
        <w:tc>
          <w:tcPr>
            <w:tcW w:w="1679" w:type="dxa"/>
            <w:shd w:val="clear" w:color="auto" w:fill="auto"/>
            <w:vAlign w:val="bottom"/>
          </w:tcPr>
          <w:p w14:paraId="708F19D9" w14:textId="61F73B4B" w:rsidR="00224102" w:rsidRPr="00692926" w:rsidRDefault="00224102" w:rsidP="00224102">
            <w:pPr>
              <w:ind w:right="48"/>
              <w:jc w:val="right"/>
              <w:rPr>
                <w:rFonts w:eastAsia="Arial Unicode MS"/>
                <w:sz w:val="18"/>
                <w:szCs w:val="18"/>
              </w:rPr>
            </w:pPr>
            <w:r>
              <w:rPr>
                <w:rFonts w:eastAsia="Arial Unicode MS"/>
                <w:sz w:val="18"/>
                <w:szCs w:val="18"/>
              </w:rPr>
              <w:t>-</w:t>
            </w:r>
          </w:p>
        </w:tc>
        <w:tc>
          <w:tcPr>
            <w:tcW w:w="1890" w:type="dxa"/>
            <w:vAlign w:val="bottom"/>
          </w:tcPr>
          <w:p w14:paraId="3CDF9C95" w14:textId="00B81FB3" w:rsidR="00224102" w:rsidRPr="00692926" w:rsidRDefault="00224102" w:rsidP="00224102">
            <w:pPr>
              <w:ind w:right="48"/>
              <w:jc w:val="right"/>
              <w:rPr>
                <w:rFonts w:eastAsia="Arial Unicode MS"/>
                <w:sz w:val="18"/>
                <w:szCs w:val="18"/>
              </w:rPr>
            </w:pPr>
            <w:r w:rsidRPr="00692926">
              <w:rPr>
                <w:rFonts w:eastAsia="Arial Unicode MS"/>
                <w:sz w:val="18"/>
                <w:szCs w:val="18"/>
              </w:rPr>
              <w:t>-</w:t>
            </w:r>
          </w:p>
        </w:tc>
      </w:tr>
      <w:tr w:rsidR="00224102" w:rsidRPr="00604C75" w14:paraId="0CD2C579" w14:textId="77777777" w:rsidTr="00991C34">
        <w:trPr>
          <w:trHeight w:val="129"/>
        </w:trPr>
        <w:tc>
          <w:tcPr>
            <w:tcW w:w="5782" w:type="dxa"/>
            <w:vAlign w:val="center"/>
          </w:tcPr>
          <w:p w14:paraId="75311317" w14:textId="77777777" w:rsidR="00224102" w:rsidRPr="00604C75" w:rsidRDefault="00224102" w:rsidP="00224102">
            <w:pPr>
              <w:tabs>
                <w:tab w:val="left" w:pos="427"/>
              </w:tabs>
              <w:spacing w:line="216" w:lineRule="auto"/>
              <w:rPr>
                <w:rFonts w:eastAsia="Arial Unicode MS"/>
                <w:sz w:val="18"/>
              </w:rPr>
            </w:pPr>
            <w:r w:rsidRPr="00604C75">
              <w:rPr>
                <w:sz w:val="18"/>
                <w:szCs w:val="18"/>
              </w:rPr>
              <w:t>(III) Capital Requirement against Currency Risk – Standard Method</w:t>
            </w:r>
          </w:p>
        </w:tc>
        <w:tc>
          <w:tcPr>
            <w:tcW w:w="1679" w:type="dxa"/>
            <w:vAlign w:val="bottom"/>
          </w:tcPr>
          <w:p w14:paraId="76B6568F" w14:textId="73BF8EF8" w:rsidR="00224102" w:rsidRPr="00692926" w:rsidRDefault="00224102" w:rsidP="00224102">
            <w:pPr>
              <w:ind w:right="48"/>
              <w:jc w:val="right"/>
              <w:rPr>
                <w:rFonts w:eastAsia="Arial Unicode MS"/>
                <w:sz w:val="18"/>
                <w:szCs w:val="18"/>
              </w:rPr>
            </w:pPr>
            <w:r>
              <w:rPr>
                <w:rFonts w:eastAsia="Arial Unicode MS"/>
                <w:sz w:val="18"/>
                <w:szCs w:val="18"/>
              </w:rPr>
              <w:t>1,753</w:t>
            </w:r>
          </w:p>
        </w:tc>
        <w:tc>
          <w:tcPr>
            <w:tcW w:w="1890" w:type="dxa"/>
            <w:vAlign w:val="bottom"/>
          </w:tcPr>
          <w:p w14:paraId="4C2399DE" w14:textId="2C3057D3" w:rsidR="00224102" w:rsidRPr="00692926" w:rsidRDefault="00224102" w:rsidP="00224102">
            <w:pPr>
              <w:ind w:right="48"/>
              <w:jc w:val="right"/>
              <w:rPr>
                <w:rFonts w:eastAsia="Arial Unicode MS"/>
                <w:sz w:val="18"/>
                <w:szCs w:val="18"/>
              </w:rPr>
            </w:pPr>
            <w:r w:rsidRPr="00692926">
              <w:rPr>
                <w:rFonts w:eastAsia="Arial Unicode MS"/>
                <w:sz w:val="18"/>
                <w:szCs w:val="18"/>
              </w:rPr>
              <w:t>566</w:t>
            </w:r>
          </w:p>
        </w:tc>
      </w:tr>
      <w:tr w:rsidR="00224102" w:rsidRPr="00604C75" w14:paraId="7B7A0B4E" w14:textId="77777777" w:rsidTr="00991C34">
        <w:trPr>
          <w:trHeight w:val="129"/>
        </w:trPr>
        <w:tc>
          <w:tcPr>
            <w:tcW w:w="5782" w:type="dxa"/>
            <w:vAlign w:val="center"/>
          </w:tcPr>
          <w:p w14:paraId="0CEE750C" w14:textId="77777777" w:rsidR="00224102" w:rsidRPr="00604C75" w:rsidRDefault="00224102" w:rsidP="00224102">
            <w:pPr>
              <w:tabs>
                <w:tab w:val="left" w:pos="427"/>
              </w:tabs>
              <w:spacing w:line="216" w:lineRule="auto"/>
              <w:rPr>
                <w:rFonts w:eastAsia="Arial Unicode MS"/>
                <w:sz w:val="18"/>
              </w:rPr>
            </w:pPr>
            <w:r w:rsidRPr="00604C75">
              <w:rPr>
                <w:sz w:val="18"/>
                <w:szCs w:val="18"/>
              </w:rPr>
              <w:t>(IV) Capital Requirement against Commodity Risk – Standard Method</w:t>
            </w:r>
          </w:p>
        </w:tc>
        <w:tc>
          <w:tcPr>
            <w:tcW w:w="1679" w:type="dxa"/>
            <w:vAlign w:val="bottom"/>
          </w:tcPr>
          <w:p w14:paraId="330D08C7" w14:textId="5CCB5706" w:rsidR="00224102" w:rsidRPr="00692926" w:rsidRDefault="00224102" w:rsidP="00224102">
            <w:pPr>
              <w:ind w:right="48"/>
              <w:jc w:val="right"/>
              <w:rPr>
                <w:rFonts w:eastAsia="Arial Unicode MS"/>
                <w:sz w:val="18"/>
                <w:szCs w:val="18"/>
              </w:rPr>
            </w:pPr>
            <w:r>
              <w:rPr>
                <w:rFonts w:eastAsia="Arial Unicode MS"/>
                <w:sz w:val="18"/>
                <w:szCs w:val="18"/>
              </w:rPr>
              <w:t>-</w:t>
            </w:r>
          </w:p>
        </w:tc>
        <w:tc>
          <w:tcPr>
            <w:tcW w:w="1890" w:type="dxa"/>
            <w:vAlign w:val="bottom"/>
          </w:tcPr>
          <w:p w14:paraId="161695B5" w14:textId="619ED03F" w:rsidR="00224102" w:rsidRPr="00692926" w:rsidRDefault="00224102" w:rsidP="00224102">
            <w:pPr>
              <w:ind w:right="48"/>
              <w:jc w:val="right"/>
              <w:rPr>
                <w:rFonts w:eastAsia="Arial Unicode MS"/>
                <w:sz w:val="18"/>
                <w:szCs w:val="18"/>
              </w:rPr>
            </w:pPr>
            <w:r w:rsidRPr="00692926">
              <w:rPr>
                <w:rFonts w:eastAsia="Arial Unicode MS"/>
                <w:sz w:val="18"/>
                <w:szCs w:val="18"/>
              </w:rPr>
              <w:t>-</w:t>
            </w:r>
          </w:p>
        </w:tc>
      </w:tr>
      <w:tr w:rsidR="00224102" w:rsidRPr="00604C75" w14:paraId="0318614D" w14:textId="77777777" w:rsidTr="00991C34">
        <w:trPr>
          <w:trHeight w:val="129"/>
        </w:trPr>
        <w:tc>
          <w:tcPr>
            <w:tcW w:w="5782" w:type="dxa"/>
            <w:vAlign w:val="center"/>
          </w:tcPr>
          <w:p w14:paraId="1410A547" w14:textId="77777777" w:rsidR="00224102" w:rsidRPr="00604C75" w:rsidRDefault="00224102" w:rsidP="00224102">
            <w:pPr>
              <w:tabs>
                <w:tab w:val="left" w:pos="427"/>
              </w:tabs>
              <w:spacing w:line="216" w:lineRule="auto"/>
              <w:rPr>
                <w:rFonts w:eastAsia="Arial Unicode MS"/>
                <w:sz w:val="18"/>
              </w:rPr>
            </w:pPr>
            <w:r w:rsidRPr="00604C75">
              <w:rPr>
                <w:sz w:val="18"/>
                <w:szCs w:val="18"/>
              </w:rPr>
              <w:t>(V) Capital Requirement against Exchange Risk – Standard Method</w:t>
            </w:r>
          </w:p>
        </w:tc>
        <w:tc>
          <w:tcPr>
            <w:tcW w:w="1679" w:type="dxa"/>
            <w:vAlign w:val="bottom"/>
          </w:tcPr>
          <w:p w14:paraId="5DA144AC" w14:textId="5BCBA633" w:rsidR="00224102" w:rsidRPr="00692926" w:rsidRDefault="00224102" w:rsidP="00224102">
            <w:pPr>
              <w:ind w:right="48"/>
              <w:jc w:val="right"/>
              <w:rPr>
                <w:rFonts w:eastAsia="Arial Unicode MS"/>
                <w:sz w:val="18"/>
                <w:szCs w:val="18"/>
              </w:rPr>
            </w:pPr>
            <w:r>
              <w:rPr>
                <w:rFonts w:eastAsia="Arial Unicode MS"/>
                <w:sz w:val="18"/>
                <w:szCs w:val="18"/>
              </w:rPr>
              <w:t>-</w:t>
            </w:r>
          </w:p>
        </w:tc>
        <w:tc>
          <w:tcPr>
            <w:tcW w:w="1890" w:type="dxa"/>
            <w:vAlign w:val="bottom"/>
          </w:tcPr>
          <w:p w14:paraId="0ED456F3" w14:textId="4457B0F0" w:rsidR="00224102" w:rsidRPr="00692926" w:rsidRDefault="00224102" w:rsidP="00224102">
            <w:pPr>
              <w:ind w:right="48"/>
              <w:jc w:val="right"/>
              <w:rPr>
                <w:rFonts w:eastAsia="Arial Unicode MS"/>
                <w:sz w:val="18"/>
                <w:szCs w:val="18"/>
              </w:rPr>
            </w:pPr>
            <w:r w:rsidRPr="00692926">
              <w:rPr>
                <w:rFonts w:eastAsia="Arial Unicode MS"/>
                <w:sz w:val="18"/>
                <w:szCs w:val="18"/>
              </w:rPr>
              <w:t>-</w:t>
            </w:r>
          </w:p>
        </w:tc>
      </w:tr>
      <w:tr w:rsidR="00224102" w:rsidRPr="00604C75" w14:paraId="52B297DE" w14:textId="77777777" w:rsidTr="00991C34">
        <w:trPr>
          <w:trHeight w:val="129"/>
        </w:trPr>
        <w:tc>
          <w:tcPr>
            <w:tcW w:w="5782" w:type="dxa"/>
            <w:vAlign w:val="center"/>
          </w:tcPr>
          <w:p w14:paraId="59598337" w14:textId="77777777" w:rsidR="00224102" w:rsidRPr="00604C75" w:rsidRDefault="00224102" w:rsidP="00224102">
            <w:pPr>
              <w:tabs>
                <w:tab w:val="left" w:pos="427"/>
              </w:tabs>
              <w:spacing w:line="216" w:lineRule="auto"/>
              <w:rPr>
                <w:rFonts w:eastAsia="Arial Unicode MS"/>
                <w:sz w:val="18"/>
              </w:rPr>
            </w:pPr>
            <w:r w:rsidRPr="00604C75">
              <w:rPr>
                <w:sz w:val="18"/>
                <w:szCs w:val="18"/>
              </w:rPr>
              <w:t>(VI) Capital Requirement against Market Risk of Options – Standard Method</w:t>
            </w:r>
          </w:p>
        </w:tc>
        <w:tc>
          <w:tcPr>
            <w:tcW w:w="1679" w:type="dxa"/>
            <w:vAlign w:val="bottom"/>
          </w:tcPr>
          <w:p w14:paraId="5A0BB052" w14:textId="7259670A" w:rsidR="00224102" w:rsidRPr="00DC45D4" w:rsidRDefault="00224102" w:rsidP="00224102">
            <w:pPr>
              <w:ind w:right="48"/>
              <w:jc w:val="right"/>
              <w:rPr>
                <w:rFonts w:eastAsia="Arial Unicode MS"/>
                <w:sz w:val="18"/>
                <w:szCs w:val="18"/>
              </w:rPr>
            </w:pPr>
            <w:r>
              <w:rPr>
                <w:rFonts w:eastAsia="Arial Unicode MS"/>
                <w:sz w:val="18"/>
                <w:szCs w:val="18"/>
              </w:rPr>
              <w:t>-</w:t>
            </w:r>
          </w:p>
        </w:tc>
        <w:tc>
          <w:tcPr>
            <w:tcW w:w="1890" w:type="dxa"/>
            <w:vAlign w:val="bottom"/>
          </w:tcPr>
          <w:p w14:paraId="0D781461" w14:textId="34211830" w:rsidR="00224102" w:rsidRPr="00DC45D4" w:rsidRDefault="00224102" w:rsidP="00224102">
            <w:pPr>
              <w:ind w:right="48"/>
              <w:jc w:val="right"/>
              <w:rPr>
                <w:rFonts w:eastAsia="Arial Unicode MS"/>
                <w:sz w:val="18"/>
                <w:szCs w:val="18"/>
              </w:rPr>
            </w:pPr>
            <w:r w:rsidRPr="00DC45D4">
              <w:rPr>
                <w:rFonts w:eastAsia="Arial Unicode MS"/>
                <w:sz w:val="18"/>
                <w:szCs w:val="18"/>
              </w:rPr>
              <w:t>-</w:t>
            </w:r>
          </w:p>
        </w:tc>
      </w:tr>
      <w:tr w:rsidR="00224102" w:rsidRPr="00604C75" w14:paraId="105CFA20" w14:textId="77777777" w:rsidTr="00991C34">
        <w:trPr>
          <w:trHeight w:val="129"/>
        </w:trPr>
        <w:tc>
          <w:tcPr>
            <w:tcW w:w="5782" w:type="dxa"/>
            <w:shd w:val="clear" w:color="auto" w:fill="auto"/>
            <w:vAlign w:val="center"/>
          </w:tcPr>
          <w:p w14:paraId="2878F631" w14:textId="77777777" w:rsidR="00224102" w:rsidRPr="00604C75" w:rsidRDefault="00224102" w:rsidP="00224102">
            <w:pPr>
              <w:tabs>
                <w:tab w:val="left" w:pos="569"/>
              </w:tabs>
              <w:spacing w:line="216" w:lineRule="auto"/>
              <w:rPr>
                <w:rFonts w:eastAsia="Arial Unicode MS"/>
                <w:sz w:val="18"/>
              </w:rPr>
            </w:pPr>
            <w:r w:rsidRPr="00604C75">
              <w:rPr>
                <w:sz w:val="18"/>
                <w:szCs w:val="18"/>
              </w:rPr>
              <w:t>(VII) Capital Requirement against Counterparty Credit Risk-Standard Method</w:t>
            </w:r>
          </w:p>
        </w:tc>
        <w:tc>
          <w:tcPr>
            <w:tcW w:w="1679" w:type="dxa"/>
            <w:shd w:val="clear" w:color="auto" w:fill="auto"/>
            <w:vAlign w:val="bottom"/>
          </w:tcPr>
          <w:p w14:paraId="438987C6" w14:textId="2B937C0F" w:rsidR="00224102" w:rsidRPr="00DC45D4" w:rsidRDefault="00224102" w:rsidP="00224102">
            <w:pPr>
              <w:ind w:right="48"/>
              <w:jc w:val="right"/>
              <w:rPr>
                <w:rFonts w:eastAsia="Arial Unicode MS"/>
                <w:sz w:val="18"/>
                <w:szCs w:val="18"/>
              </w:rPr>
            </w:pPr>
            <w:r>
              <w:rPr>
                <w:rFonts w:eastAsia="Arial Unicode MS"/>
                <w:sz w:val="18"/>
                <w:szCs w:val="18"/>
              </w:rPr>
              <w:t>629</w:t>
            </w:r>
          </w:p>
        </w:tc>
        <w:tc>
          <w:tcPr>
            <w:tcW w:w="1890" w:type="dxa"/>
            <w:vAlign w:val="bottom"/>
          </w:tcPr>
          <w:p w14:paraId="0E2A85D5" w14:textId="47E4F91C" w:rsidR="00224102" w:rsidRPr="00DC45D4" w:rsidRDefault="00224102" w:rsidP="00224102">
            <w:pPr>
              <w:ind w:right="48"/>
              <w:jc w:val="right"/>
              <w:rPr>
                <w:rFonts w:eastAsia="Arial Unicode MS"/>
                <w:sz w:val="18"/>
                <w:szCs w:val="18"/>
              </w:rPr>
            </w:pPr>
            <w:r w:rsidRPr="00DC45D4">
              <w:rPr>
                <w:rFonts w:eastAsia="Arial Unicode MS"/>
                <w:sz w:val="18"/>
                <w:szCs w:val="18"/>
              </w:rPr>
              <w:t>360</w:t>
            </w:r>
          </w:p>
        </w:tc>
      </w:tr>
      <w:tr w:rsidR="00224102" w:rsidRPr="00604C75" w14:paraId="5DA87F0B" w14:textId="77777777" w:rsidTr="00991C34">
        <w:trPr>
          <w:trHeight w:val="129"/>
        </w:trPr>
        <w:tc>
          <w:tcPr>
            <w:tcW w:w="5782" w:type="dxa"/>
            <w:vAlign w:val="center"/>
          </w:tcPr>
          <w:p w14:paraId="59F44483" w14:textId="77777777" w:rsidR="00224102" w:rsidRPr="00604C75" w:rsidRDefault="00224102" w:rsidP="00224102">
            <w:pPr>
              <w:tabs>
                <w:tab w:val="left" w:pos="427"/>
              </w:tabs>
              <w:spacing w:line="216" w:lineRule="auto"/>
              <w:rPr>
                <w:rFonts w:eastAsia="Arial Unicode MS"/>
                <w:sz w:val="18"/>
              </w:rPr>
            </w:pPr>
            <w:r w:rsidRPr="00604C75">
              <w:rPr>
                <w:sz w:val="18"/>
                <w:szCs w:val="18"/>
              </w:rPr>
              <w:t>(VIII) Capital Requirement against Market Risks of Banks Applying Risk Measurement Models</w:t>
            </w:r>
          </w:p>
        </w:tc>
        <w:tc>
          <w:tcPr>
            <w:tcW w:w="1679" w:type="dxa"/>
            <w:vAlign w:val="bottom"/>
          </w:tcPr>
          <w:p w14:paraId="0AF539D9" w14:textId="3EC85492" w:rsidR="00224102" w:rsidRPr="00DC45D4" w:rsidRDefault="00224102" w:rsidP="00224102">
            <w:pPr>
              <w:ind w:right="48"/>
              <w:jc w:val="right"/>
              <w:rPr>
                <w:rFonts w:eastAsia="Arial Unicode MS"/>
                <w:sz w:val="18"/>
                <w:szCs w:val="18"/>
              </w:rPr>
            </w:pPr>
            <w:r>
              <w:rPr>
                <w:rFonts w:eastAsia="Arial Unicode MS"/>
                <w:sz w:val="18"/>
                <w:szCs w:val="18"/>
              </w:rPr>
              <w:t>-</w:t>
            </w:r>
          </w:p>
        </w:tc>
        <w:tc>
          <w:tcPr>
            <w:tcW w:w="1890" w:type="dxa"/>
            <w:vAlign w:val="bottom"/>
          </w:tcPr>
          <w:p w14:paraId="7CB8EEA7" w14:textId="7BE40D56" w:rsidR="00224102" w:rsidRPr="00DC45D4" w:rsidRDefault="00224102" w:rsidP="00224102">
            <w:pPr>
              <w:ind w:right="48"/>
              <w:jc w:val="right"/>
              <w:rPr>
                <w:rFonts w:eastAsia="Arial Unicode MS"/>
                <w:sz w:val="18"/>
                <w:szCs w:val="18"/>
              </w:rPr>
            </w:pPr>
            <w:r w:rsidRPr="00DC45D4">
              <w:rPr>
                <w:rFonts w:eastAsia="Arial Unicode MS"/>
                <w:sz w:val="18"/>
                <w:szCs w:val="18"/>
              </w:rPr>
              <w:t>-</w:t>
            </w:r>
          </w:p>
        </w:tc>
      </w:tr>
      <w:tr w:rsidR="00224102" w:rsidRPr="00604C75" w14:paraId="14B85F76" w14:textId="77777777" w:rsidTr="00991C34">
        <w:trPr>
          <w:trHeight w:val="129"/>
        </w:trPr>
        <w:tc>
          <w:tcPr>
            <w:tcW w:w="5782" w:type="dxa"/>
            <w:vAlign w:val="center"/>
          </w:tcPr>
          <w:p w14:paraId="241EA4EF" w14:textId="77777777" w:rsidR="00224102" w:rsidRPr="00604C75" w:rsidRDefault="00224102" w:rsidP="00224102">
            <w:pPr>
              <w:tabs>
                <w:tab w:val="left" w:pos="427"/>
              </w:tabs>
              <w:spacing w:line="216" w:lineRule="auto"/>
              <w:rPr>
                <w:rFonts w:eastAsia="Arial Unicode MS"/>
                <w:sz w:val="18"/>
              </w:rPr>
            </w:pPr>
            <w:r w:rsidRPr="00604C75">
              <w:rPr>
                <w:sz w:val="18"/>
                <w:szCs w:val="18"/>
              </w:rPr>
              <w:t>(IX) Total Capital Requirement against Market Risk (I+II+III+IV+V+VI+VII)</w:t>
            </w:r>
          </w:p>
        </w:tc>
        <w:tc>
          <w:tcPr>
            <w:tcW w:w="1679" w:type="dxa"/>
            <w:vAlign w:val="bottom"/>
          </w:tcPr>
          <w:p w14:paraId="46AA39CB" w14:textId="236B4151" w:rsidR="00224102" w:rsidRPr="00692926" w:rsidRDefault="00224102" w:rsidP="00224102">
            <w:pPr>
              <w:ind w:right="48"/>
              <w:jc w:val="right"/>
              <w:rPr>
                <w:rFonts w:eastAsia="Arial Unicode MS"/>
                <w:sz w:val="18"/>
                <w:szCs w:val="18"/>
              </w:rPr>
            </w:pPr>
            <w:r>
              <w:rPr>
                <w:rFonts w:eastAsia="Arial Unicode MS"/>
                <w:sz w:val="18"/>
                <w:szCs w:val="18"/>
              </w:rPr>
              <w:t>4,117</w:t>
            </w:r>
          </w:p>
        </w:tc>
        <w:tc>
          <w:tcPr>
            <w:tcW w:w="1890" w:type="dxa"/>
            <w:vAlign w:val="bottom"/>
          </w:tcPr>
          <w:p w14:paraId="0B77F9D7" w14:textId="222BDF92" w:rsidR="00224102" w:rsidRPr="00692926" w:rsidRDefault="00224102" w:rsidP="00224102">
            <w:pPr>
              <w:ind w:right="48"/>
              <w:jc w:val="right"/>
              <w:rPr>
                <w:rFonts w:eastAsia="Arial Unicode MS"/>
                <w:sz w:val="18"/>
                <w:szCs w:val="18"/>
              </w:rPr>
            </w:pPr>
            <w:r w:rsidRPr="00692926">
              <w:rPr>
                <w:rFonts w:eastAsia="Arial Unicode MS"/>
                <w:sz w:val="18"/>
                <w:szCs w:val="18"/>
              </w:rPr>
              <w:t>2,423</w:t>
            </w:r>
          </w:p>
        </w:tc>
      </w:tr>
      <w:tr w:rsidR="00224102" w:rsidRPr="00604C75" w14:paraId="2B6A8B32" w14:textId="77777777" w:rsidTr="00991C34">
        <w:trPr>
          <w:trHeight w:val="129"/>
        </w:trPr>
        <w:tc>
          <w:tcPr>
            <w:tcW w:w="5782" w:type="dxa"/>
            <w:vAlign w:val="center"/>
          </w:tcPr>
          <w:p w14:paraId="0032E7BF" w14:textId="77777777" w:rsidR="00224102" w:rsidRPr="00604C75" w:rsidRDefault="00224102" w:rsidP="00224102">
            <w:pPr>
              <w:tabs>
                <w:tab w:val="left" w:pos="427"/>
              </w:tabs>
              <w:spacing w:line="216" w:lineRule="auto"/>
              <w:rPr>
                <w:rFonts w:eastAsia="Arial Unicode MS"/>
                <w:b/>
                <w:sz w:val="18"/>
              </w:rPr>
            </w:pPr>
            <w:r w:rsidRPr="00604C75">
              <w:rPr>
                <w:rFonts w:eastAsia="Arial Unicode MS"/>
                <w:b/>
                <w:sz w:val="18"/>
              </w:rPr>
              <w:t xml:space="preserve">(X) </w:t>
            </w:r>
            <w:r w:rsidRPr="00604C75">
              <w:rPr>
                <w:b/>
                <w:noProof/>
                <w:sz w:val="18"/>
              </w:rPr>
              <w:t>Amount Subject to Market Risk</w:t>
            </w:r>
            <w:r w:rsidRPr="00604C75">
              <w:rPr>
                <w:b/>
                <w:noProof/>
                <w:sz w:val="18"/>
                <w:szCs w:val="18"/>
              </w:rPr>
              <w:t xml:space="preserve"> (12,5xVIII) or (12,5xIX)</w:t>
            </w:r>
          </w:p>
        </w:tc>
        <w:tc>
          <w:tcPr>
            <w:tcW w:w="1679" w:type="dxa"/>
            <w:vAlign w:val="bottom"/>
          </w:tcPr>
          <w:p w14:paraId="3BF12E81" w14:textId="36B9BB35" w:rsidR="00224102" w:rsidRPr="006D78EE" w:rsidRDefault="00224102" w:rsidP="00224102">
            <w:pPr>
              <w:ind w:right="48"/>
              <w:jc w:val="right"/>
              <w:rPr>
                <w:rFonts w:eastAsia="Arial Unicode MS"/>
                <w:b/>
                <w:sz w:val="18"/>
                <w:szCs w:val="18"/>
              </w:rPr>
            </w:pPr>
            <w:r>
              <w:rPr>
                <w:rFonts w:eastAsia="Arial Unicode MS"/>
                <w:b/>
                <w:sz w:val="18"/>
                <w:szCs w:val="18"/>
              </w:rPr>
              <w:t>51,463</w:t>
            </w:r>
          </w:p>
        </w:tc>
        <w:tc>
          <w:tcPr>
            <w:tcW w:w="1890" w:type="dxa"/>
            <w:vAlign w:val="bottom"/>
          </w:tcPr>
          <w:p w14:paraId="2E91D379" w14:textId="1F926B35" w:rsidR="00224102" w:rsidRPr="00692926" w:rsidRDefault="00224102" w:rsidP="00224102">
            <w:pPr>
              <w:ind w:right="48"/>
              <w:jc w:val="right"/>
              <w:rPr>
                <w:rFonts w:eastAsia="Arial Unicode MS"/>
                <w:b/>
                <w:sz w:val="18"/>
                <w:szCs w:val="18"/>
              </w:rPr>
            </w:pPr>
            <w:r w:rsidRPr="00692926">
              <w:rPr>
                <w:rFonts w:eastAsia="Arial Unicode MS"/>
                <w:b/>
                <w:sz w:val="18"/>
                <w:szCs w:val="18"/>
              </w:rPr>
              <w:t>30,288</w:t>
            </w:r>
          </w:p>
        </w:tc>
      </w:tr>
    </w:tbl>
    <w:p w14:paraId="316AC685" w14:textId="77777777" w:rsidR="00F06BBC" w:rsidRDefault="00F06BBC" w:rsidP="00F06BBC">
      <w:pPr>
        <w:pStyle w:val="BodyTextIndent"/>
        <w:tabs>
          <w:tab w:val="left" w:pos="1276"/>
        </w:tabs>
        <w:spacing w:after="0"/>
        <w:ind w:left="1276" w:hanging="425"/>
        <w:rPr>
          <w:b/>
          <w:sz w:val="20"/>
          <w:szCs w:val="20"/>
        </w:rPr>
      </w:pPr>
    </w:p>
    <w:p w14:paraId="684EAF7C" w14:textId="77777777" w:rsidR="00F06BBC" w:rsidRPr="00EC6061" w:rsidRDefault="00F06BBC" w:rsidP="00F06BBC">
      <w:pPr>
        <w:pStyle w:val="BodyTextIndent"/>
        <w:tabs>
          <w:tab w:val="left" w:pos="426"/>
        </w:tabs>
        <w:spacing w:after="0"/>
        <w:ind w:left="1276" w:hanging="1276"/>
        <w:rPr>
          <w:b/>
          <w:sz w:val="20"/>
          <w:szCs w:val="20"/>
        </w:rPr>
      </w:pPr>
      <w:r w:rsidRPr="00EC6061">
        <w:rPr>
          <w:b/>
          <w:sz w:val="20"/>
          <w:szCs w:val="20"/>
        </w:rPr>
        <w:t>b.</w:t>
      </w:r>
      <w:r w:rsidRPr="00EC6061">
        <w:rPr>
          <w:b/>
          <w:sz w:val="20"/>
          <w:szCs w:val="20"/>
        </w:rPr>
        <w:tab/>
        <w:t>Average Market Risk Table of Calculated Market Risk during the Period at Month Ends:</w:t>
      </w:r>
    </w:p>
    <w:p w14:paraId="2DAF19B7" w14:textId="77777777" w:rsidR="00F06BBC" w:rsidRPr="00D74C21" w:rsidRDefault="00F06BBC" w:rsidP="00F06BBC">
      <w:pPr>
        <w:pStyle w:val="BodyTextIndent"/>
        <w:tabs>
          <w:tab w:val="left" w:pos="1276"/>
        </w:tabs>
        <w:spacing w:after="0"/>
        <w:ind w:left="1276" w:hanging="425"/>
        <w:rPr>
          <w:b/>
          <w:sz w:val="16"/>
          <w:szCs w:val="16"/>
        </w:rPr>
      </w:pPr>
    </w:p>
    <w:tbl>
      <w:tblPr>
        <w:tblW w:w="932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148"/>
        <w:gridCol w:w="1057"/>
        <w:gridCol w:w="1057"/>
        <w:gridCol w:w="1058"/>
      </w:tblGrid>
      <w:tr w:rsidR="00F06BBC" w:rsidRPr="00D74C21" w14:paraId="3EF63D84" w14:textId="77777777" w:rsidTr="001E5A3C">
        <w:trPr>
          <w:trHeight w:val="256"/>
        </w:trPr>
        <w:tc>
          <w:tcPr>
            <w:tcW w:w="6148" w:type="dxa"/>
          </w:tcPr>
          <w:p w14:paraId="317A4A03" w14:textId="77777777" w:rsidR="00F06BBC" w:rsidRPr="00D74C21" w:rsidRDefault="00F06BBC" w:rsidP="00400883">
            <w:pPr>
              <w:jc w:val="both"/>
              <w:rPr>
                <w:sz w:val="16"/>
              </w:rPr>
            </w:pPr>
            <w:r w:rsidRPr="00D74C21">
              <w:rPr>
                <w:sz w:val="16"/>
              </w:rPr>
              <w:t> </w:t>
            </w:r>
          </w:p>
        </w:tc>
        <w:tc>
          <w:tcPr>
            <w:tcW w:w="3172" w:type="dxa"/>
            <w:gridSpan w:val="3"/>
            <w:vAlign w:val="bottom"/>
          </w:tcPr>
          <w:p w14:paraId="3B762856" w14:textId="77777777" w:rsidR="00F06BBC" w:rsidRPr="0032757D" w:rsidRDefault="00F06BBC" w:rsidP="00F06BBC">
            <w:pPr>
              <w:jc w:val="center"/>
              <w:rPr>
                <w:b/>
                <w:bCs/>
                <w:sz w:val="18"/>
                <w:szCs w:val="18"/>
              </w:rPr>
            </w:pPr>
            <w:r w:rsidRPr="0032757D">
              <w:rPr>
                <w:b/>
                <w:bCs/>
                <w:sz w:val="18"/>
                <w:szCs w:val="18"/>
              </w:rPr>
              <w:t>31 December 201</w:t>
            </w:r>
            <w:r>
              <w:rPr>
                <w:b/>
                <w:bCs/>
                <w:sz w:val="18"/>
                <w:szCs w:val="18"/>
              </w:rPr>
              <w:t>5</w:t>
            </w:r>
          </w:p>
        </w:tc>
      </w:tr>
      <w:tr w:rsidR="00F06BBC" w:rsidRPr="00D74C21" w14:paraId="3B02EFE5" w14:textId="77777777" w:rsidTr="001E5A3C">
        <w:trPr>
          <w:trHeight w:val="256"/>
        </w:trPr>
        <w:tc>
          <w:tcPr>
            <w:tcW w:w="6148" w:type="dxa"/>
          </w:tcPr>
          <w:p w14:paraId="07A2B55E" w14:textId="77777777" w:rsidR="00F06BBC" w:rsidRPr="00D74C21" w:rsidRDefault="00F06BBC" w:rsidP="00400883">
            <w:pPr>
              <w:jc w:val="both"/>
              <w:rPr>
                <w:sz w:val="16"/>
              </w:rPr>
            </w:pPr>
            <w:r w:rsidRPr="00D74C21">
              <w:rPr>
                <w:sz w:val="16"/>
              </w:rPr>
              <w:t> </w:t>
            </w:r>
          </w:p>
        </w:tc>
        <w:tc>
          <w:tcPr>
            <w:tcW w:w="1057" w:type="dxa"/>
            <w:vAlign w:val="bottom"/>
          </w:tcPr>
          <w:p w14:paraId="08148469" w14:textId="77777777" w:rsidR="00F06BBC" w:rsidRPr="007C0BA6" w:rsidRDefault="00F06BBC" w:rsidP="00400883">
            <w:pPr>
              <w:ind w:right="24"/>
              <w:jc w:val="right"/>
              <w:rPr>
                <w:rFonts w:eastAsia="Arial Unicode MS"/>
                <w:b/>
                <w:sz w:val="18"/>
                <w:szCs w:val="18"/>
              </w:rPr>
            </w:pPr>
            <w:r w:rsidRPr="007C0BA6">
              <w:rPr>
                <w:rFonts w:eastAsia="Arial Unicode MS"/>
                <w:b/>
                <w:sz w:val="18"/>
                <w:szCs w:val="18"/>
              </w:rPr>
              <w:t>Average</w:t>
            </w:r>
          </w:p>
        </w:tc>
        <w:tc>
          <w:tcPr>
            <w:tcW w:w="1057" w:type="dxa"/>
            <w:vAlign w:val="bottom"/>
          </w:tcPr>
          <w:p w14:paraId="16285889" w14:textId="77777777" w:rsidR="00F06BBC" w:rsidRPr="007C0BA6" w:rsidRDefault="00F06BBC" w:rsidP="00400883">
            <w:pPr>
              <w:ind w:right="24"/>
              <w:jc w:val="right"/>
              <w:rPr>
                <w:rFonts w:eastAsia="Arial Unicode MS"/>
                <w:b/>
                <w:sz w:val="18"/>
                <w:szCs w:val="18"/>
              </w:rPr>
            </w:pPr>
            <w:r w:rsidRPr="007C0BA6">
              <w:rPr>
                <w:rFonts w:eastAsia="Arial Unicode MS"/>
                <w:b/>
                <w:sz w:val="18"/>
                <w:szCs w:val="18"/>
              </w:rPr>
              <w:t>Maximum</w:t>
            </w:r>
          </w:p>
        </w:tc>
        <w:tc>
          <w:tcPr>
            <w:tcW w:w="1057" w:type="dxa"/>
            <w:vAlign w:val="bottom"/>
          </w:tcPr>
          <w:p w14:paraId="24D92F93" w14:textId="77777777" w:rsidR="00F06BBC" w:rsidRPr="007C0BA6" w:rsidRDefault="00F06BBC" w:rsidP="00400883">
            <w:pPr>
              <w:ind w:right="24"/>
              <w:jc w:val="right"/>
              <w:rPr>
                <w:rFonts w:eastAsia="Arial Unicode MS"/>
                <w:b/>
                <w:sz w:val="18"/>
                <w:szCs w:val="18"/>
              </w:rPr>
            </w:pPr>
            <w:r w:rsidRPr="007C0BA6">
              <w:rPr>
                <w:rFonts w:eastAsia="Arial Unicode MS"/>
                <w:b/>
                <w:sz w:val="18"/>
                <w:szCs w:val="18"/>
              </w:rPr>
              <w:t>Minimum</w:t>
            </w:r>
          </w:p>
        </w:tc>
      </w:tr>
      <w:tr w:rsidR="00224102" w:rsidRPr="00D74C21" w14:paraId="71B4DBB8" w14:textId="77777777" w:rsidTr="001E5A3C">
        <w:trPr>
          <w:trHeight w:val="256"/>
        </w:trPr>
        <w:tc>
          <w:tcPr>
            <w:tcW w:w="6148" w:type="dxa"/>
            <w:vAlign w:val="bottom"/>
          </w:tcPr>
          <w:p w14:paraId="7ABA07B1" w14:textId="77777777" w:rsidR="00224102" w:rsidRPr="007C0BA6" w:rsidRDefault="00224102" w:rsidP="00224102">
            <w:pPr>
              <w:rPr>
                <w:rFonts w:eastAsia="Arial Unicode MS"/>
                <w:sz w:val="18"/>
                <w:szCs w:val="18"/>
              </w:rPr>
            </w:pPr>
            <w:r w:rsidRPr="007C0BA6">
              <w:rPr>
                <w:rFonts w:eastAsia="Arial Unicode MS"/>
                <w:sz w:val="18"/>
                <w:szCs w:val="18"/>
              </w:rPr>
              <w:t>Interest Rate Risk</w:t>
            </w:r>
          </w:p>
        </w:tc>
        <w:tc>
          <w:tcPr>
            <w:tcW w:w="1057" w:type="dxa"/>
            <w:vAlign w:val="bottom"/>
          </w:tcPr>
          <w:p w14:paraId="4DC619E5" w14:textId="5B21FD54" w:rsidR="00224102" w:rsidRPr="00A02032" w:rsidRDefault="00224102" w:rsidP="00224102">
            <w:pPr>
              <w:jc w:val="right"/>
              <w:rPr>
                <w:color w:val="000000"/>
                <w:sz w:val="18"/>
                <w:szCs w:val="18"/>
              </w:rPr>
            </w:pPr>
            <w:r w:rsidRPr="00A02032">
              <w:rPr>
                <w:color w:val="000000"/>
                <w:sz w:val="18"/>
                <w:szCs w:val="18"/>
              </w:rPr>
              <w:t>1,563</w:t>
            </w:r>
          </w:p>
        </w:tc>
        <w:tc>
          <w:tcPr>
            <w:tcW w:w="1057" w:type="dxa"/>
            <w:vAlign w:val="bottom"/>
          </w:tcPr>
          <w:p w14:paraId="43DC4520" w14:textId="23A17C06" w:rsidR="00224102" w:rsidRPr="00A02032" w:rsidRDefault="00224102" w:rsidP="00224102">
            <w:pPr>
              <w:jc w:val="right"/>
              <w:rPr>
                <w:color w:val="000000"/>
                <w:sz w:val="18"/>
                <w:szCs w:val="18"/>
              </w:rPr>
            </w:pPr>
            <w:r w:rsidRPr="00A02032">
              <w:rPr>
                <w:color w:val="000000"/>
                <w:sz w:val="18"/>
                <w:szCs w:val="18"/>
              </w:rPr>
              <w:t>3,049</w:t>
            </w:r>
          </w:p>
        </w:tc>
        <w:tc>
          <w:tcPr>
            <w:tcW w:w="1057" w:type="dxa"/>
            <w:vAlign w:val="bottom"/>
          </w:tcPr>
          <w:p w14:paraId="7454BBC8" w14:textId="2D9847DF" w:rsidR="00224102" w:rsidRPr="00A02032" w:rsidRDefault="00224102" w:rsidP="00224102">
            <w:pPr>
              <w:jc w:val="right"/>
              <w:rPr>
                <w:color w:val="000000"/>
                <w:sz w:val="18"/>
                <w:szCs w:val="18"/>
              </w:rPr>
            </w:pPr>
            <w:r w:rsidRPr="00A02032">
              <w:rPr>
                <w:color w:val="000000"/>
                <w:sz w:val="18"/>
                <w:szCs w:val="18"/>
              </w:rPr>
              <w:t>327</w:t>
            </w:r>
          </w:p>
        </w:tc>
      </w:tr>
      <w:tr w:rsidR="00224102" w:rsidRPr="00D74C21" w14:paraId="28DAFC68" w14:textId="77777777" w:rsidTr="001E5A3C">
        <w:trPr>
          <w:trHeight w:val="256"/>
        </w:trPr>
        <w:tc>
          <w:tcPr>
            <w:tcW w:w="6148" w:type="dxa"/>
            <w:vAlign w:val="bottom"/>
          </w:tcPr>
          <w:p w14:paraId="425E099F" w14:textId="77777777" w:rsidR="00224102" w:rsidRPr="007C0BA6" w:rsidRDefault="00224102" w:rsidP="00224102">
            <w:pPr>
              <w:rPr>
                <w:sz w:val="18"/>
                <w:szCs w:val="18"/>
              </w:rPr>
            </w:pPr>
            <w:r w:rsidRPr="007C0BA6">
              <w:rPr>
                <w:sz w:val="18"/>
                <w:szCs w:val="18"/>
              </w:rPr>
              <w:t>Common Stock Risk</w:t>
            </w:r>
          </w:p>
        </w:tc>
        <w:tc>
          <w:tcPr>
            <w:tcW w:w="1057" w:type="dxa"/>
            <w:vAlign w:val="bottom"/>
          </w:tcPr>
          <w:p w14:paraId="2CA3E245" w14:textId="0A7F3656" w:rsidR="00224102" w:rsidRPr="00A02032" w:rsidRDefault="00224102" w:rsidP="00224102">
            <w:pPr>
              <w:jc w:val="right"/>
              <w:rPr>
                <w:color w:val="000000"/>
                <w:sz w:val="18"/>
                <w:szCs w:val="18"/>
              </w:rPr>
            </w:pPr>
            <w:r w:rsidRPr="00A02032">
              <w:rPr>
                <w:color w:val="000000"/>
                <w:sz w:val="18"/>
                <w:szCs w:val="18"/>
              </w:rPr>
              <w:t>-</w:t>
            </w:r>
          </w:p>
        </w:tc>
        <w:tc>
          <w:tcPr>
            <w:tcW w:w="1057" w:type="dxa"/>
            <w:vAlign w:val="bottom"/>
          </w:tcPr>
          <w:p w14:paraId="262C2BD0" w14:textId="348830B8" w:rsidR="00224102" w:rsidRPr="00A02032" w:rsidRDefault="00224102" w:rsidP="00224102">
            <w:pPr>
              <w:jc w:val="right"/>
              <w:rPr>
                <w:color w:val="000000"/>
                <w:sz w:val="18"/>
                <w:szCs w:val="18"/>
              </w:rPr>
            </w:pPr>
            <w:r w:rsidRPr="00A02032">
              <w:rPr>
                <w:color w:val="000000"/>
                <w:sz w:val="18"/>
                <w:szCs w:val="18"/>
              </w:rPr>
              <w:t>-</w:t>
            </w:r>
          </w:p>
        </w:tc>
        <w:tc>
          <w:tcPr>
            <w:tcW w:w="1057" w:type="dxa"/>
            <w:vAlign w:val="bottom"/>
          </w:tcPr>
          <w:p w14:paraId="07998DA1" w14:textId="1483A882" w:rsidR="00224102" w:rsidRPr="00A02032" w:rsidRDefault="00224102" w:rsidP="00224102">
            <w:pPr>
              <w:jc w:val="right"/>
              <w:rPr>
                <w:color w:val="000000"/>
                <w:sz w:val="18"/>
                <w:szCs w:val="18"/>
              </w:rPr>
            </w:pPr>
            <w:r w:rsidRPr="00A02032">
              <w:rPr>
                <w:color w:val="000000"/>
                <w:sz w:val="18"/>
                <w:szCs w:val="18"/>
              </w:rPr>
              <w:t>-</w:t>
            </w:r>
          </w:p>
        </w:tc>
      </w:tr>
      <w:tr w:rsidR="00224102" w:rsidRPr="00D74C21" w14:paraId="14497739" w14:textId="77777777" w:rsidTr="001E5A3C">
        <w:trPr>
          <w:trHeight w:val="256"/>
        </w:trPr>
        <w:tc>
          <w:tcPr>
            <w:tcW w:w="6148" w:type="dxa"/>
            <w:vAlign w:val="bottom"/>
          </w:tcPr>
          <w:p w14:paraId="7411EDFB" w14:textId="77777777" w:rsidR="00224102" w:rsidRPr="007C0BA6" w:rsidRDefault="00224102" w:rsidP="00224102">
            <w:pPr>
              <w:rPr>
                <w:sz w:val="18"/>
                <w:szCs w:val="18"/>
              </w:rPr>
            </w:pPr>
            <w:r w:rsidRPr="007C0BA6">
              <w:rPr>
                <w:sz w:val="18"/>
                <w:szCs w:val="18"/>
              </w:rPr>
              <w:t>Currency Risk</w:t>
            </w:r>
          </w:p>
        </w:tc>
        <w:tc>
          <w:tcPr>
            <w:tcW w:w="1057" w:type="dxa"/>
            <w:vAlign w:val="bottom"/>
          </w:tcPr>
          <w:p w14:paraId="6EE3ABF8" w14:textId="6197FA22" w:rsidR="00224102" w:rsidRPr="00A02032" w:rsidRDefault="00224102" w:rsidP="00224102">
            <w:pPr>
              <w:jc w:val="right"/>
              <w:rPr>
                <w:color w:val="000000"/>
                <w:sz w:val="18"/>
                <w:szCs w:val="18"/>
              </w:rPr>
            </w:pPr>
            <w:r>
              <w:rPr>
                <w:color w:val="000000"/>
                <w:sz w:val="18"/>
                <w:szCs w:val="18"/>
              </w:rPr>
              <w:t>1,885</w:t>
            </w:r>
          </w:p>
        </w:tc>
        <w:tc>
          <w:tcPr>
            <w:tcW w:w="1057" w:type="dxa"/>
            <w:vAlign w:val="bottom"/>
          </w:tcPr>
          <w:p w14:paraId="2F49379D" w14:textId="75619259" w:rsidR="00224102" w:rsidRPr="00A02032" w:rsidRDefault="00224102" w:rsidP="00224102">
            <w:pPr>
              <w:jc w:val="right"/>
              <w:rPr>
                <w:color w:val="000000"/>
                <w:sz w:val="18"/>
                <w:szCs w:val="18"/>
              </w:rPr>
            </w:pPr>
            <w:r w:rsidRPr="00A02032">
              <w:rPr>
                <w:color w:val="000000"/>
                <w:sz w:val="18"/>
                <w:szCs w:val="18"/>
              </w:rPr>
              <w:t>3,140</w:t>
            </w:r>
          </w:p>
        </w:tc>
        <w:tc>
          <w:tcPr>
            <w:tcW w:w="1057" w:type="dxa"/>
            <w:vAlign w:val="bottom"/>
          </w:tcPr>
          <w:p w14:paraId="26E758E1" w14:textId="7B6C4A11" w:rsidR="00224102" w:rsidRPr="00A02032" w:rsidRDefault="00224102" w:rsidP="00224102">
            <w:pPr>
              <w:jc w:val="right"/>
              <w:rPr>
                <w:color w:val="000000"/>
                <w:sz w:val="18"/>
                <w:szCs w:val="18"/>
              </w:rPr>
            </w:pPr>
            <w:r w:rsidRPr="00A02032">
              <w:rPr>
                <w:color w:val="000000"/>
                <w:sz w:val="18"/>
                <w:szCs w:val="18"/>
              </w:rPr>
              <w:t>129</w:t>
            </w:r>
          </w:p>
        </w:tc>
      </w:tr>
      <w:tr w:rsidR="00224102" w:rsidRPr="00D74C21" w14:paraId="7332FAF1" w14:textId="77777777" w:rsidTr="001E5A3C">
        <w:trPr>
          <w:trHeight w:val="256"/>
        </w:trPr>
        <w:tc>
          <w:tcPr>
            <w:tcW w:w="6148" w:type="dxa"/>
            <w:vAlign w:val="bottom"/>
          </w:tcPr>
          <w:p w14:paraId="616F841F" w14:textId="77777777" w:rsidR="00224102" w:rsidRPr="007C0BA6" w:rsidRDefault="00224102" w:rsidP="00224102">
            <w:pPr>
              <w:rPr>
                <w:sz w:val="18"/>
                <w:szCs w:val="18"/>
              </w:rPr>
            </w:pPr>
            <w:r w:rsidRPr="007C0BA6">
              <w:rPr>
                <w:sz w:val="18"/>
                <w:szCs w:val="18"/>
              </w:rPr>
              <w:t>Commodity Risk</w:t>
            </w:r>
          </w:p>
        </w:tc>
        <w:tc>
          <w:tcPr>
            <w:tcW w:w="1057" w:type="dxa"/>
            <w:vAlign w:val="bottom"/>
          </w:tcPr>
          <w:p w14:paraId="0E2C7EDE" w14:textId="4EBB765D" w:rsidR="00224102" w:rsidRPr="00A02032" w:rsidRDefault="00224102" w:rsidP="00224102">
            <w:pPr>
              <w:jc w:val="right"/>
              <w:rPr>
                <w:color w:val="000000"/>
                <w:sz w:val="18"/>
                <w:szCs w:val="18"/>
              </w:rPr>
            </w:pPr>
            <w:r w:rsidRPr="00A02032">
              <w:rPr>
                <w:color w:val="000000"/>
                <w:sz w:val="18"/>
                <w:szCs w:val="18"/>
              </w:rPr>
              <w:t>-</w:t>
            </w:r>
          </w:p>
        </w:tc>
        <w:tc>
          <w:tcPr>
            <w:tcW w:w="1057" w:type="dxa"/>
            <w:vAlign w:val="bottom"/>
          </w:tcPr>
          <w:p w14:paraId="5C0BC9D0" w14:textId="2D9C26F7" w:rsidR="00224102" w:rsidRPr="00A02032" w:rsidRDefault="00224102" w:rsidP="00224102">
            <w:pPr>
              <w:jc w:val="right"/>
              <w:rPr>
                <w:color w:val="000000"/>
                <w:sz w:val="18"/>
                <w:szCs w:val="18"/>
              </w:rPr>
            </w:pPr>
            <w:r w:rsidRPr="00A02032">
              <w:rPr>
                <w:color w:val="000000"/>
                <w:sz w:val="18"/>
                <w:szCs w:val="18"/>
              </w:rPr>
              <w:t>-</w:t>
            </w:r>
          </w:p>
        </w:tc>
        <w:tc>
          <w:tcPr>
            <w:tcW w:w="1057" w:type="dxa"/>
            <w:vAlign w:val="bottom"/>
          </w:tcPr>
          <w:p w14:paraId="4B4A0F1F" w14:textId="515A5861" w:rsidR="00224102" w:rsidRPr="00A02032" w:rsidRDefault="00224102" w:rsidP="00224102">
            <w:pPr>
              <w:jc w:val="right"/>
              <w:rPr>
                <w:color w:val="000000"/>
                <w:sz w:val="18"/>
                <w:szCs w:val="18"/>
              </w:rPr>
            </w:pPr>
            <w:r w:rsidRPr="00A02032">
              <w:rPr>
                <w:color w:val="000000"/>
                <w:sz w:val="18"/>
                <w:szCs w:val="18"/>
              </w:rPr>
              <w:t>-</w:t>
            </w:r>
          </w:p>
        </w:tc>
      </w:tr>
      <w:tr w:rsidR="00224102" w:rsidRPr="00D74C21" w14:paraId="74200608" w14:textId="77777777" w:rsidTr="001E5A3C">
        <w:trPr>
          <w:trHeight w:val="256"/>
        </w:trPr>
        <w:tc>
          <w:tcPr>
            <w:tcW w:w="6148" w:type="dxa"/>
            <w:vAlign w:val="bottom"/>
          </w:tcPr>
          <w:p w14:paraId="05D1D1DC" w14:textId="77777777" w:rsidR="00224102" w:rsidRPr="007C0BA6" w:rsidRDefault="00224102" w:rsidP="00224102">
            <w:pPr>
              <w:rPr>
                <w:sz w:val="18"/>
                <w:szCs w:val="18"/>
              </w:rPr>
            </w:pPr>
            <w:r w:rsidRPr="007C0BA6">
              <w:rPr>
                <w:sz w:val="18"/>
                <w:szCs w:val="18"/>
              </w:rPr>
              <w:t>Exchange Risk</w:t>
            </w:r>
          </w:p>
        </w:tc>
        <w:tc>
          <w:tcPr>
            <w:tcW w:w="1057" w:type="dxa"/>
            <w:vAlign w:val="bottom"/>
          </w:tcPr>
          <w:p w14:paraId="5D6CA462" w14:textId="4039F8D3" w:rsidR="00224102" w:rsidRPr="00A02032" w:rsidRDefault="00224102" w:rsidP="00224102">
            <w:pPr>
              <w:jc w:val="right"/>
              <w:rPr>
                <w:color w:val="000000"/>
                <w:sz w:val="18"/>
                <w:szCs w:val="18"/>
              </w:rPr>
            </w:pPr>
            <w:r w:rsidRPr="00A02032">
              <w:rPr>
                <w:color w:val="000000"/>
                <w:sz w:val="18"/>
                <w:szCs w:val="18"/>
              </w:rPr>
              <w:t>-</w:t>
            </w:r>
          </w:p>
        </w:tc>
        <w:tc>
          <w:tcPr>
            <w:tcW w:w="1057" w:type="dxa"/>
            <w:vAlign w:val="bottom"/>
          </w:tcPr>
          <w:p w14:paraId="2BEB3E09" w14:textId="5628DE24" w:rsidR="00224102" w:rsidRPr="00A02032" w:rsidRDefault="00224102" w:rsidP="00224102">
            <w:pPr>
              <w:jc w:val="right"/>
              <w:rPr>
                <w:color w:val="000000"/>
                <w:sz w:val="18"/>
                <w:szCs w:val="18"/>
              </w:rPr>
            </w:pPr>
            <w:r w:rsidRPr="00A02032">
              <w:rPr>
                <w:color w:val="000000"/>
                <w:sz w:val="18"/>
                <w:szCs w:val="18"/>
              </w:rPr>
              <w:t>-</w:t>
            </w:r>
          </w:p>
        </w:tc>
        <w:tc>
          <w:tcPr>
            <w:tcW w:w="1057" w:type="dxa"/>
            <w:vAlign w:val="bottom"/>
          </w:tcPr>
          <w:p w14:paraId="7AB7B176" w14:textId="1D5C5660" w:rsidR="00224102" w:rsidRPr="00A02032" w:rsidRDefault="00224102" w:rsidP="00224102">
            <w:pPr>
              <w:jc w:val="right"/>
              <w:rPr>
                <w:color w:val="000000"/>
                <w:sz w:val="18"/>
                <w:szCs w:val="18"/>
              </w:rPr>
            </w:pPr>
            <w:r w:rsidRPr="00A02032">
              <w:rPr>
                <w:color w:val="000000"/>
                <w:sz w:val="18"/>
                <w:szCs w:val="18"/>
              </w:rPr>
              <w:t>-</w:t>
            </w:r>
          </w:p>
        </w:tc>
      </w:tr>
      <w:tr w:rsidR="00224102" w:rsidRPr="00D74C21" w14:paraId="62BE9C6D" w14:textId="77777777" w:rsidTr="001E5A3C">
        <w:trPr>
          <w:trHeight w:val="256"/>
        </w:trPr>
        <w:tc>
          <w:tcPr>
            <w:tcW w:w="6148" w:type="dxa"/>
            <w:vAlign w:val="bottom"/>
          </w:tcPr>
          <w:p w14:paraId="0B945F04" w14:textId="77777777" w:rsidR="00224102" w:rsidRPr="007C0BA6" w:rsidRDefault="00224102" w:rsidP="00224102">
            <w:pPr>
              <w:rPr>
                <w:sz w:val="18"/>
                <w:szCs w:val="18"/>
              </w:rPr>
            </w:pPr>
            <w:r w:rsidRPr="007C0BA6">
              <w:rPr>
                <w:sz w:val="18"/>
                <w:szCs w:val="18"/>
              </w:rPr>
              <w:t>Option Risk</w:t>
            </w:r>
          </w:p>
        </w:tc>
        <w:tc>
          <w:tcPr>
            <w:tcW w:w="1057" w:type="dxa"/>
            <w:vAlign w:val="bottom"/>
          </w:tcPr>
          <w:p w14:paraId="560DC48A" w14:textId="6134D8B0" w:rsidR="00224102" w:rsidRPr="00A02032" w:rsidRDefault="00224102" w:rsidP="00224102">
            <w:pPr>
              <w:jc w:val="right"/>
              <w:rPr>
                <w:color w:val="000000"/>
                <w:sz w:val="18"/>
                <w:szCs w:val="18"/>
              </w:rPr>
            </w:pPr>
            <w:r w:rsidRPr="00A02032">
              <w:rPr>
                <w:color w:val="000000"/>
                <w:sz w:val="18"/>
                <w:szCs w:val="18"/>
              </w:rPr>
              <w:t>88</w:t>
            </w:r>
          </w:p>
        </w:tc>
        <w:tc>
          <w:tcPr>
            <w:tcW w:w="1057" w:type="dxa"/>
            <w:vAlign w:val="bottom"/>
          </w:tcPr>
          <w:p w14:paraId="6939C2CA" w14:textId="4948EBCB" w:rsidR="00224102" w:rsidRPr="00A02032" w:rsidRDefault="00224102" w:rsidP="00224102">
            <w:pPr>
              <w:jc w:val="right"/>
              <w:rPr>
                <w:color w:val="000000"/>
                <w:sz w:val="18"/>
                <w:szCs w:val="18"/>
              </w:rPr>
            </w:pPr>
            <w:r w:rsidRPr="00A02032">
              <w:rPr>
                <w:color w:val="000000"/>
                <w:sz w:val="18"/>
                <w:szCs w:val="18"/>
              </w:rPr>
              <w:t>218</w:t>
            </w:r>
          </w:p>
        </w:tc>
        <w:tc>
          <w:tcPr>
            <w:tcW w:w="1057" w:type="dxa"/>
            <w:vAlign w:val="bottom"/>
          </w:tcPr>
          <w:p w14:paraId="67F2A55C" w14:textId="1912B49A" w:rsidR="00224102" w:rsidRPr="00A02032" w:rsidRDefault="00224102" w:rsidP="00224102">
            <w:pPr>
              <w:jc w:val="right"/>
              <w:rPr>
                <w:color w:val="000000"/>
                <w:sz w:val="18"/>
                <w:szCs w:val="18"/>
              </w:rPr>
            </w:pPr>
            <w:r w:rsidRPr="00A02032">
              <w:rPr>
                <w:color w:val="000000"/>
                <w:sz w:val="18"/>
                <w:szCs w:val="18"/>
              </w:rPr>
              <w:t>2</w:t>
            </w:r>
          </w:p>
        </w:tc>
      </w:tr>
      <w:tr w:rsidR="00224102" w:rsidRPr="00D74C21" w14:paraId="58C3C7B4" w14:textId="77777777" w:rsidTr="001E5A3C">
        <w:trPr>
          <w:trHeight w:val="256"/>
        </w:trPr>
        <w:tc>
          <w:tcPr>
            <w:tcW w:w="6148" w:type="dxa"/>
            <w:vAlign w:val="bottom"/>
          </w:tcPr>
          <w:p w14:paraId="4583F1EA" w14:textId="77777777" w:rsidR="00224102" w:rsidRPr="007C0BA6" w:rsidRDefault="00224102" w:rsidP="00224102">
            <w:pPr>
              <w:rPr>
                <w:sz w:val="18"/>
                <w:szCs w:val="18"/>
              </w:rPr>
            </w:pPr>
            <w:r w:rsidRPr="007C0BA6">
              <w:rPr>
                <w:sz w:val="18"/>
                <w:szCs w:val="18"/>
              </w:rPr>
              <w:t>Counterparty Credit Risk</w:t>
            </w:r>
          </w:p>
        </w:tc>
        <w:tc>
          <w:tcPr>
            <w:tcW w:w="1057" w:type="dxa"/>
            <w:vAlign w:val="bottom"/>
          </w:tcPr>
          <w:p w14:paraId="71E4828F" w14:textId="1100227F" w:rsidR="00224102" w:rsidRPr="00A02032" w:rsidRDefault="00224102" w:rsidP="00224102">
            <w:pPr>
              <w:jc w:val="right"/>
              <w:rPr>
                <w:color w:val="000000"/>
                <w:sz w:val="18"/>
                <w:szCs w:val="18"/>
              </w:rPr>
            </w:pPr>
            <w:r w:rsidRPr="00A02032">
              <w:rPr>
                <w:color w:val="000000"/>
                <w:sz w:val="18"/>
                <w:szCs w:val="18"/>
              </w:rPr>
              <w:t>804</w:t>
            </w:r>
          </w:p>
        </w:tc>
        <w:tc>
          <w:tcPr>
            <w:tcW w:w="1057" w:type="dxa"/>
            <w:vAlign w:val="bottom"/>
          </w:tcPr>
          <w:p w14:paraId="66719F02" w14:textId="7C70F064" w:rsidR="00224102" w:rsidRPr="00A02032" w:rsidRDefault="00224102" w:rsidP="00224102">
            <w:pPr>
              <w:jc w:val="right"/>
              <w:rPr>
                <w:color w:val="000000"/>
                <w:sz w:val="18"/>
                <w:szCs w:val="18"/>
              </w:rPr>
            </w:pPr>
            <w:r w:rsidRPr="00A02032">
              <w:rPr>
                <w:color w:val="000000"/>
                <w:sz w:val="18"/>
                <w:szCs w:val="18"/>
              </w:rPr>
              <w:t>1,327</w:t>
            </w:r>
          </w:p>
        </w:tc>
        <w:tc>
          <w:tcPr>
            <w:tcW w:w="1057" w:type="dxa"/>
            <w:vAlign w:val="bottom"/>
          </w:tcPr>
          <w:p w14:paraId="2FEE01B2" w14:textId="4305DE57" w:rsidR="00224102" w:rsidRPr="00A02032" w:rsidRDefault="00224102" w:rsidP="00224102">
            <w:pPr>
              <w:jc w:val="right"/>
              <w:rPr>
                <w:color w:val="000000"/>
                <w:sz w:val="18"/>
                <w:szCs w:val="18"/>
              </w:rPr>
            </w:pPr>
            <w:r w:rsidRPr="00A02032">
              <w:rPr>
                <w:color w:val="000000"/>
                <w:sz w:val="18"/>
                <w:szCs w:val="18"/>
              </w:rPr>
              <w:t>378</w:t>
            </w:r>
          </w:p>
        </w:tc>
      </w:tr>
      <w:tr w:rsidR="00224102" w:rsidRPr="00D74C21" w14:paraId="5C435924" w14:textId="77777777" w:rsidTr="001E5A3C">
        <w:trPr>
          <w:trHeight w:val="256"/>
        </w:trPr>
        <w:tc>
          <w:tcPr>
            <w:tcW w:w="6148" w:type="dxa"/>
            <w:vAlign w:val="bottom"/>
          </w:tcPr>
          <w:p w14:paraId="69D12D83" w14:textId="279759CF" w:rsidR="00224102" w:rsidRPr="007C0BA6" w:rsidRDefault="00224102" w:rsidP="00B85547">
            <w:pPr>
              <w:rPr>
                <w:rFonts w:eastAsia="Arial Unicode MS"/>
                <w:b/>
                <w:sz w:val="18"/>
                <w:szCs w:val="18"/>
              </w:rPr>
            </w:pPr>
            <w:r w:rsidRPr="007C0BA6">
              <w:rPr>
                <w:rFonts w:eastAsia="Arial Unicode MS"/>
                <w:b/>
                <w:sz w:val="18"/>
                <w:szCs w:val="18"/>
              </w:rPr>
              <w:t xml:space="preserve">Total </w:t>
            </w:r>
            <w:r w:rsidR="00B85547">
              <w:rPr>
                <w:rFonts w:eastAsia="Arial Unicode MS"/>
                <w:b/>
                <w:sz w:val="18"/>
                <w:szCs w:val="18"/>
              </w:rPr>
              <w:t>Value at</w:t>
            </w:r>
            <w:r w:rsidRPr="007C0BA6">
              <w:rPr>
                <w:rFonts w:eastAsia="Arial Unicode MS"/>
                <w:b/>
                <w:sz w:val="18"/>
                <w:szCs w:val="18"/>
              </w:rPr>
              <w:t xml:space="preserve"> Risk</w:t>
            </w:r>
          </w:p>
        </w:tc>
        <w:tc>
          <w:tcPr>
            <w:tcW w:w="1057" w:type="dxa"/>
            <w:vAlign w:val="bottom"/>
          </w:tcPr>
          <w:p w14:paraId="18CBF4BA" w14:textId="62E67E81" w:rsidR="00224102" w:rsidRPr="00A02032" w:rsidRDefault="00224102" w:rsidP="00224102">
            <w:pPr>
              <w:jc w:val="right"/>
              <w:rPr>
                <w:b/>
                <w:bCs/>
                <w:color w:val="000000"/>
                <w:sz w:val="18"/>
                <w:szCs w:val="18"/>
              </w:rPr>
            </w:pPr>
            <w:r>
              <w:rPr>
                <w:b/>
                <w:bCs/>
                <w:color w:val="000000"/>
                <w:sz w:val="18"/>
                <w:szCs w:val="18"/>
              </w:rPr>
              <w:t>54,241</w:t>
            </w:r>
          </w:p>
        </w:tc>
        <w:tc>
          <w:tcPr>
            <w:tcW w:w="1057" w:type="dxa"/>
            <w:vAlign w:val="bottom"/>
          </w:tcPr>
          <w:p w14:paraId="637839E4" w14:textId="14BEE01F" w:rsidR="00224102" w:rsidRPr="00A02032" w:rsidRDefault="00224102" w:rsidP="00224102">
            <w:pPr>
              <w:jc w:val="right"/>
              <w:rPr>
                <w:b/>
                <w:bCs/>
                <w:color w:val="000000"/>
                <w:sz w:val="18"/>
                <w:szCs w:val="18"/>
              </w:rPr>
            </w:pPr>
            <w:r w:rsidRPr="00A02032">
              <w:rPr>
                <w:b/>
                <w:bCs/>
                <w:color w:val="000000"/>
                <w:sz w:val="18"/>
                <w:szCs w:val="18"/>
              </w:rPr>
              <w:t>96,669</w:t>
            </w:r>
          </w:p>
        </w:tc>
        <w:tc>
          <w:tcPr>
            <w:tcW w:w="1057" w:type="dxa"/>
            <w:vAlign w:val="bottom"/>
          </w:tcPr>
          <w:p w14:paraId="1651D41F" w14:textId="58BB5CB8" w:rsidR="00224102" w:rsidRPr="00A02032" w:rsidRDefault="00224102" w:rsidP="00224102">
            <w:pPr>
              <w:jc w:val="right"/>
              <w:rPr>
                <w:b/>
                <w:bCs/>
                <w:color w:val="000000"/>
                <w:sz w:val="18"/>
                <w:szCs w:val="18"/>
              </w:rPr>
            </w:pPr>
            <w:r w:rsidRPr="00A02032">
              <w:rPr>
                <w:b/>
                <w:bCs/>
                <w:color w:val="000000"/>
                <w:sz w:val="18"/>
                <w:szCs w:val="18"/>
              </w:rPr>
              <w:t>10,447</w:t>
            </w:r>
          </w:p>
        </w:tc>
      </w:tr>
    </w:tbl>
    <w:p w14:paraId="36FF0B84" w14:textId="77777777" w:rsidR="00F06BBC" w:rsidRPr="00EC6061" w:rsidRDefault="00F06BBC" w:rsidP="00B85547">
      <w:pPr>
        <w:pStyle w:val="BodyTextIndent"/>
        <w:tabs>
          <w:tab w:val="left" w:pos="0"/>
        </w:tabs>
        <w:spacing w:before="120" w:after="0"/>
        <w:ind w:left="0"/>
        <w:rPr>
          <w:b/>
          <w:sz w:val="20"/>
          <w:szCs w:val="20"/>
        </w:rPr>
      </w:pPr>
      <w:r w:rsidRPr="00EC6061">
        <w:rPr>
          <w:b/>
          <w:sz w:val="20"/>
          <w:szCs w:val="20"/>
        </w:rPr>
        <w:t>c.</w:t>
      </w:r>
      <w:r w:rsidRPr="00EC6061">
        <w:rPr>
          <w:b/>
          <w:sz w:val="20"/>
          <w:szCs w:val="20"/>
        </w:rPr>
        <w:tab/>
        <w:t xml:space="preserve">Information on Counterparty Credit Risk: </w:t>
      </w:r>
    </w:p>
    <w:p w14:paraId="7D9AAE49" w14:textId="39115650" w:rsidR="00F06BBC" w:rsidRPr="00C6031E" w:rsidRDefault="00F06BBC" w:rsidP="00B85547">
      <w:pPr>
        <w:tabs>
          <w:tab w:val="left" w:pos="0"/>
        </w:tabs>
        <w:spacing w:before="120"/>
        <w:jc w:val="both"/>
        <w:rPr>
          <w:sz w:val="20"/>
          <w:szCs w:val="20"/>
        </w:rPr>
      </w:pPr>
      <w:r w:rsidRPr="00C6031E">
        <w:rPr>
          <w:sz w:val="20"/>
          <w:szCs w:val="20"/>
        </w:rPr>
        <w:t xml:space="preserve">In order to calculate the counterparty credit risk </w:t>
      </w:r>
      <w:r w:rsidR="00B85547">
        <w:rPr>
          <w:sz w:val="20"/>
          <w:szCs w:val="20"/>
        </w:rPr>
        <w:t xml:space="preserve">the </w:t>
      </w:r>
      <w:r w:rsidRPr="00C6031E">
        <w:rPr>
          <w:sz w:val="20"/>
          <w:szCs w:val="20"/>
        </w:rPr>
        <w:t>“Fair Value”</w:t>
      </w:r>
      <w:r w:rsidR="00B85547">
        <w:rPr>
          <w:sz w:val="20"/>
          <w:szCs w:val="20"/>
        </w:rPr>
        <w:t xml:space="preserve"> method is used which is determined by</w:t>
      </w:r>
      <w:r w:rsidRPr="00C6031E">
        <w:rPr>
          <w:sz w:val="20"/>
          <w:szCs w:val="20"/>
        </w:rPr>
        <w:t xml:space="preserve"> (A</w:t>
      </w:r>
      <w:r w:rsidR="00B85547">
        <w:rPr>
          <w:sz w:val="20"/>
          <w:szCs w:val="20"/>
        </w:rPr>
        <w:t>ppendix</w:t>
      </w:r>
      <w:r w:rsidR="008A5D56">
        <w:rPr>
          <w:sz w:val="20"/>
          <w:szCs w:val="20"/>
        </w:rPr>
        <w:t xml:space="preserve"> 2) of “Regulation</w:t>
      </w:r>
      <w:r w:rsidRPr="00C6031E">
        <w:rPr>
          <w:sz w:val="20"/>
          <w:szCs w:val="20"/>
        </w:rPr>
        <w:t xml:space="preserve"> on Measurement and Assessment of Capital Adequacy of Banks,” published in 28 June 2012 is taken into consideration. In accordance with the before-mentioned method, potential credit risk value is calculated and added to the renewal costs of the agreements with positive values.</w:t>
      </w:r>
    </w:p>
    <w:p w14:paraId="20107F3D" w14:textId="77777777" w:rsidR="00F06BBC" w:rsidRPr="00C6031E" w:rsidRDefault="00F06BBC" w:rsidP="00B85547">
      <w:pPr>
        <w:tabs>
          <w:tab w:val="left" w:pos="0"/>
        </w:tabs>
        <w:spacing w:before="120"/>
        <w:jc w:val="both"/>
        <w:rPr>
          <w:sz w:val="20"/>
          <w:szCs w:val="20"/>
        </w:rPr>
      </w:pPr>
      <w:r w:rsidRPr="00C6031E">
        <w:rPr>
          <w:sz w:val="20"/>
          <w:szCs w:val="20"/>
        </w:rPr>
        <w:t>For derivative transactions, sum of revaluation costs and accumulation of potential credit risk is considered to be the risk amount. Revaluation costs are calculated by valuation of the contract with its fair value and by multiplication of contract amount with the loan conversion rate.</w:t>
      </w:r>
    </w:p>
    <w:p w14:paraId="33EDF95D" w14:textId="77777777" w:rsidR="00F06BBC" w:rsidRPr="00C6031E" w:rsidRDefault="00F06BBC" w:rsidP="00F06BBC">
      <w:pPr>
        <w:pStyle w:val="BodyTextIndent"/>
        <w:tabs>
          <w:tab w:val="left" w:pos="0"/>
        </w:tabs>
        <w:spacing w:after="0"/>
        <w:ind w:left="0"/>
        <w:rPr>
          <w:b/>
          <w:sz w:val="20"/>
          <w:szCs w:val="20"/>
        </w:rPr>
      </w:pPr>
    </w:p>
    <w:p w14:paraId="4B843316" w14:textId="470C2E3D" w:rsidR="00971F37" w:rsidRPr="00604C75" w:rsidRDefault="00A041CD" w:rsidP="00B85547">
      <w:pPr>
        <w:pStyle w:val="NormalIndent"/>
        <w:pageBreakBefore/>
        <w:widowControl w:val="0"/>
        <w:spacing w:before="120"/>
        <w:ind w:left="0"/>
        <w:jc w:val="both"/>
        <w:rPr>
          <w:b/>
          <w:sz w:val="22"/>
          <w:szCs w:val="22"/>
        </w:rPr>
      </w:pPr>
      <w:r w:rsidRPr="007043B9">
        <w:rPr>
          <w:b/>
        </w:rPr>
        <w:lastRenderedPageBreak/>
        <w:t>INFORMATION</w:t>
      </w:r>
      <w:r>
        <w:rPr>
          <w:b/>
          <w:bCs/>
          <w:noProof/>
          <w:lang w:val="tr-TR"/>
        </w:rPr>
        <w:t xml:space="preserve"> </w:t>
      </w:r>
      <w:r w:rsidRPr="007043B9">
        <w:rPr>
          <w:b/>
          <w:bCs/>
          <w:noProof/>
          <w:lang w:val="tr-TR"/>
        </w:rPr>
        <w:t>O</w:t>
      </w:r>
      <w:r>
        <w:rPr>
          <w:b/>
          <w:bCs/>
          <w:noProof/>
          <w:lang w:val="tr-TR"/>
        </w:rPr>
        <w:t>N THE</w:t>
      </w:r>
      <w:r w:rsidRPr="007043B9">
        <w:rPr>
          <w:b/>
          <w:bCs/>
          <w:noProof/>
          <w:lang w:val="tr-TR"/>
        </w:rPr>
        <w:t xml:space="preserve"> FINANCIAL POSITION OF THE GROUP (Continued)</w:t>
      </w:r>
    </w:p>
    <w:p w14:paraId="45EA2556" w14:textId="77777777" w:rsidR="00971F37" w:rsidRPr="00604C75" w:rsidRDefault="00971F37" w:rsidP="00B85547">
      <w:pPr>
        <w:pStyle w:val="Heading2"/>
        <w:tabs>
          <w:tab w:val="left" w:pos="426"/>
          <w:tab w:val="left" w:pos="851"/>
        </w:tabs>
        <w:ind w:left="851" w:hanging="851"/>
        <w:jc w:val="both"/>
        <w:rPr>
          <w:rFonts w:ascii="Times New Roman" w:hAnsi="Times New Roman"/>
          <w:caps/>
          <w:sz w:val="20"/>
        </w:rPr>
      </w:pPr>
      <w:r w:rsidRPr="00604C75">
        <w:rPr>
          <w:rFonts w:ascii="Times New Roman" w:hAnsi="Times New Roman"/>
          <w:caps/>
          <w:sz w:val="20"/>
        </w:rPr>
        <w:t>ıII.</w:t>
      </w:r>
      <w:r w:rsidRPr="00604C75">
        <w:rPr>
          <w:rFonts w:ascii="Times New Roman" w:hAnsi="Times New Roman"/>
          <w:caps/>
          <w:sz w:val="20"/>
        </w:rPr>
        <w:tab/>
      </w:r>
      <w:r w:rsidRPr="00604C75">
        <w:rPr>
          <w:rFonts w:ascii="Times New Roman" w:hAnsi="Times New Roman"/>
          <w:sz w:val="20"/>
        </w:rPr>
        <w:t>Explanations</w:t>
      </w:r>
      <w:r w:rsidRPr="00604C75">
        <w:rPr>
          <w:rFonts w:ascii="Times New Roman" w:hAnsi="Times New Roman"/>
          <w:caps/>
          <w:sz w:val="20"/>
        </w:rPr>
        <w:t xml:space="preserve"> </w:t>
      </w:r>
      <w:r w:rsidRPr="00604C75">
        <w:rPr>
          <w:rFonts w:ascii="Times New Roman" w:hAnsi="Times New Roman"/>
          <w:sz w:val="20"/>
        </w:rPr>
        <w:t>on Market Risk</w:t>
      </w:r>
      <w:r w:rsidRPr="00604C75" w:rsidDel="000A1E58">
        <w:rPr>
          <w:rFonts w:ascii="Times New Roman" w:hAnsi="Times New Roman"/>
          <w:caps/>
          <w:sz w:val="20"/>
        </w:rPr>
        <w:t xml:space="preserve"> </w:t>
      </w:r>
      <w:r w:rsidRPr="00DF35B0">
        <w:rPr>
          <w:rFonts w:ascii="Times New Roman" w:hAnsi="Times New Roman"/>
          <w:bCs/>
          <w:noProof/>
          <w:sz w:val="20"/>
          <w:lang w:val="tr-TR"/>
        </w:rPr>
        <w:t>(Continued)</w:t>
      </w:r>
    </w:p>
    <w:p w14:paraId="23BC4080" w14:textId="77777777" w:rsidR="00F06BBC" w:rsidRPr="00EC6061" w:rsidRDefault="00971F37" w:rsidP="00B85547">
      <w:pPr>
        <w:pStyle w:val="BodyTextIndent"/>
        <w:tabs>
          <w:tab w:val="left" w:pos="0"/>
          <w:tab w:val="left" w:pos="567"/>
        </w:tabs>
        <w:spacing w:before="120" w:after="0"/>
        <w:ind w:left="0"/>
        <w:rPr>
          <w:b/>
          <w:sz w:val="20"/>
          <w:szCs w:val="20"/>
        </w:rPr>
      </w:pPr>
      <w:r>
        <w:rPr>
          <w:b/>
          <w:sz w:val="20"/>
          <w:szCs w:val="20"/>
        </w:rPr>
        <w:t xml:space="preserve">d.      </w:t>
      </w:r>
      <w:r w:rsidR="00F06BBC" w:rsidRPr="00EC6061">
        <w:rPr>
          <w:b/>
          <w:sz w:val="20"/>
          <w:szCs w:val="20"/>
        </w:rPr>
        <w:t xml:space="preserve">Quantitative Information on Counterparty Risk: </w:t>
      </w:r>
    </w:p>
    <w:p w14:paraId="08032F8B" w14:textId="77777777" w:rsidR="00F06BBC" w:rsidRPr="00D74C21" w:rsidRDefault="00F06BBC" w:rsidP="00F06BBC">
      <w:pPr>
        <w:pStyle w:val="BodyTextIndent"/>
        <w:tabs>
          <w:tab w:val="left" w:pos="1276"/>
        </w:tabs>
        <w:spacing w:after="0"/>
        <w:ind w:left="1276"/>
        <w:rPr>
          <w:b/>
          <w:sz w:val="20"/>
          <w:szCs w:val="20"/>
        </w:rPr>
      </w:pPr>
    </w:p>
    <w:tbl>
      <w:tblPr>
        <w:tblW w:w="8912" w:type="dxa"/>
        <w:tblInd w:w="2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7169"/>
        <w:gridCol w:w="1743"/>
      </w:tblGrid>
      <w:tr w:rsidR="00F06BBC" w:rsidRPr="00D74C21" w14:paraId="7ECAEA54" w14:textId="77777777" w:rsidTr="008A5D56">
        <w:tc>
          <w:tcPr>
            <w:tcW w:w="7169" w:type="dxa"/>
          </w:tcPr>
          <w:p w14:paraId="7D438E15" w14:textId="77777777" w:rsidR="00F06BBC" w:rsidRPr="00D74C21" w:rsidRDefault="00F06BBC" w:rsidP="00400883">
            <w:pPr>
              <w:jc w:val="both"/>
              <w:rPr>
                <w:sz w:val="18"/>
                <w:szCs w:val="18"/>
              </w:rPr>
            </w:pPr>
          </w:p>
        </w:tc>
        <w:tc>
          <w:tcPr>
            <w:tcW w:w="1743" w:type="dxa"/>
            <w:vAlign w:val="bottom"/>
          </w:tcPr>
          <w:p w14:paraId="23AEAA60" w14:textId="77777777" w:rsidR="00F06BBC" w:rsidRPr="00D74C21" w:rsidRDefault="00F06BBC" w:rsidP="00CD0767">
            <w:pPr>
              <w:ind w:right="-68"/>
              <w:jc w:val="center"/>
              <w:rPr>
                <w:b/>
                <w:sz w:val="18"/>
                <w:szCs w:val="18"/>
              </w:rPr>
            </w:pPr>
            <w:r w:rsidRPr="00D74C21">
              <w:rPr>
                <w:b/>
                <w:sz w:val="18"/>
                <w:szCs w:val="18"/>
              </w:rPr>
              <w:t xml:space="preserve">31 </w:t>
            </w:r>
            <w:r>
              <w:rPr>
                <w:b/>
                <w:sz w:val="18"/>
                <w:szCs w:val="18"/>
              </w:rPr>
              <w:t>December</w:t>
            </w:r>
            <w:r w:rsidRPr="00D74C21">
              <w:rPr>
                <w:b/>
                <w:sz w:val="18"/>
                <w:szCs w:val="18"/>
              </w:rPr>
              <w:t xml:space="preserve"> 201</w:t>
            </w:r>
            <w:r w:rsidR="00971F37">
              <w:rPr>
                <w:b/>
                <w:sz w:val="18"/>
                <w:szCs w:val="18"/>
              </w:rPr>
              <w:t>5</w:t>
            </w:r>
          </w:p>
        </w:tc>
      </w:tr>
      <w:tr w:rsidR="00224102" w:rsidRPr="00D74C21" w14:paraId="6AE8B5C3" w14:textId="77777777" w:rsidTr="008A5D56">
        <w:tc>
          <w:tcPr>
            <w:tcW w:w="7169" w:type="dxa"/>
            <w:vAlign w:val="bottom"/>
          </w:tcPr>
          <w:p w14:paraId="498CA754" w14:textId="77777777" w:rsidR="00224102" w:rsidRPr="007C0BA6" w:rsidRDefault="00224102" w:rsidP="00224102">
            <w:pPr>
              <w:rPr>
                <w:sz w:val="18"/>
                <w:szCs w:val="18"/>
                <w:lang w:eastAsia="tr-TR"/>
              </w:rPr>
            </w:pPr>
            <w:r w:rsidRPr="007C0BA6">
              <w:rPr>
                <w:sz w:val="18"/>
                <w:szCs w:val="18"/>
                <w:lang w:eastAsia="tr-TR"/>
              </w:rPr>
              <w:t>Interest Rate</w:t>
            </w:r>
            <w:r>
              <w:rPr>
                <w:sz w:val="18"/>
                <w:szCs w:val="18"/>
                <w:lang w:eastAsia="tr-TR"/>
              </w:rPr>
              <w:t xml:space="preserve"> Contracts </w:t>
            </w:r>
          </w:p>
        </w:tc>
        <w:tc>
          <w:tcPr>
            <w:tcW w:w="1743" w:type="dxa"/>
            <w:vAlign w:val="bottom"/>
          </w:tcPr>
          <w:p w14:paraId="33FC2373" w14:textId="3AAD20A3" w:rsidR="00224102" w:rsidRPr="008661F6" w:rsidRDefault="00224102" w:rsidP="00224102">
            <w:pPr>
              <w:jc w:val="right"/>
              <w:rPr>
                <w:sz w:val="18"/>
                <w:szCs w:val="18"/>
              </w:rPr>
            </w:pPr>
            <w:r w:rsidRPr="008661F6">
              <w:rPr>
                <w:sz w:val="18"/>
                <w:szCs w:val="18"/>
              </w:rPr>
              <w:t xml:space="preserve">     2,432,029    </w:t>
            </w:r>
          </w:p>
        </w:tc>
      </w:tr>
      <w:tr w:rsidR="00224102" w:rsidRPr="00D74C21" w14:paraId="6CE5FCC9" w14:textId="77777777" w:rsidTr="008A5D56">
        <w:tc>
          <w:tcPr>
            <w:tcW w:w="7169" w:type="dxa"/>
            <w:vAlign w:val="bottom"/>
          </w:tcPr>
          <w:p w14:paraId="7C91E283" w14:textId="77777777" w:rsidR="00224102" w:rsidRPr="007C0BA6" w:rsidRDefault="00224102" w:rsidP="00224102">
            <w:pPr>
              <w:rPr>
                <w:sz w:val="18"/>
                <w:szCs w:val="18"/>
                <w:lang w:eastAsia="tr-TR"/>
              </w:rPr>
            </w:pPr>
            <w:r w:rsidRPr="007C0BA6">
              <w:rPr>
                <w:sz w:val="18"/>
                <w:szCs w:val="18"/>
                <w:lang w:eastAsia="tr-TR"/>
              </w:rPr>
              <w:t xml:space="preserve">Foreign Exchange </w:t>
            </w:r>
            <w:r>
              <w:rPr>
                <w:sz w:val="18"/>
                <w:szCs w:val="18"/>
                <w:lang w:eastAsia="tr-TR"/>
              </w:rPr>
              <w:t>Rate Contracts</w:t>
            </w:r>
          </w:p>
        </w:tc>
        <w:tc>
          <w:tcPr>
            <w:tcW w:w="1743" w:type="dxa"/>
            <w:vAlign w:val="bottom"/>
          </w:tcPr>
          <w:p w14:paraId="03ABB25B" w14:textId="3FDA967A" w:rsidR="00224102" w:rsidRPr="008661F6" w:rsidRDefault="00224102" w:rsidP="00224102">
            <w:pPr>
              <w:jc w:val="right"/>
              <w:rPr>
                <w:sz w:val="18"/>
                <w:szCs w:val="18"/>
              </w:rPr>
            </w:pPr>
            <w:r w:rsidRPr="008661F6">
              <w:rPr>
                <w:sz w:val="18"/>
                <w:szCs w:val="18"/>
              </w:rPr>
              <w:t xml:space="preserve">        904,412    </w:t>
            </w:r>
          </w:p>
        </w:tc>
      </w:tr>
      <w:tr w:rsidR="00224102" w:rsidRPr="00D74C21" w14:paraId="5F199C23" w14:textId="77777777" w:rsidTr="008A5D56">
        <w:tc>
          <w:tcPr>
            <w:tcW w:w="7169" w:type="dxa"/>
            <w:vAlign w:val="bottom"/>
          </w:tcPr>
          <w:p w14:paraId="4E1F9FE8" w14:textId="77777777" w:rsidR="00224102" w:rsidRPr="007C0BA6" w:rsidRDefault="00224102" w:rsidP="00224102">
            <w:pPr>
              <w:rPr>
                <w:sz w:val="18"/>
                <w:szCs w:val="18"/>
                <w:lang w:eastAsia="tr-TR"/>
              </w:rPr>
            </w:pPr>
            <w:r w:rsidRPr="007C0BA6">
              <w:rPr>
                <w:sz w:val="18"/>
                <w:szCs w:val="18"/>
                <w:lang w:eastAsia="tr-TR"/>
              </w:rPr>
              <w:t>Commodity</w:t>
            </w:r>
            <w:r>
              <w:rPr>
                <w:sz w:val="18"/>
                <w:szCs w:val="18"/>
                <w:lang w:eastAsia="tr-TR"/>
              </w:rPr>
              <w:t xml:space="preserve"> Contracts</w:t>
            </w:r>
          </w:p>
        </w:tc>
        <w:tc>
          <w:tcPr>
            <w:tcW w:w="1743" w:type="dxa"/>
            <w:vAlign w:val="bottom"/>
          </w:tcPr>
          <w:p w14:paraId="2E466EE9" w14:textId="02C06B94" w:rsidR="00224102" w:rsidRPr="008661F6" w:rsidRDefault="00224102" w:rsidP="00224102">
            <w:pPr>
              <w:jc w:val="right"/>
              <w:rPr>
                <w:sz w:val="18"/>
                <w:szCs w:val="18"/>
              </w:rPr>
            </w:pPr>
            <w:r w:rsidRPr="008661F6">
              <w:rPr>
                <w:sz w:val="18"/>
                <w:szCs w:val="18"/>
              </w:rPr>
              <w:t xml:space="preserve">                    -      </w:t>
            </w:r>
          </w:p>
        </w:tc>
      </w:tr>
      <w:tr w:rsidR="00224102" w:rsidRPr="00D74C21" w14:paraId="17D7DDE8" w14:textId="77777777" w:rsidTr="008A5D56">
        <w:tc>
          <w:tcPr>
            <w:tcW w:w="7169" w:type="dxa"/>
            <w:vAlign w:val="bottom"/>
          </w:tcPr>
          <w:p w14:paraId="7487CD18" w14:textId="77777777" w:rsidR="00224102" w:rsidRPr="007C0BA6" w:rsidRDefault="00224102" w:rsidP="00224102">
            <w:pPr>
              <w:rPr>
                <w:sz w:val="18"/>
                <w:szCs w:val="18"/>
                <w:lang w:eastAsia="tr-TR"/>
              </w:rPr>
            </w:pPr>
            <w:r>
              <w:rPr>
                <w:sz w:val="18"/>
                <w:szCs w:val="18"/>
                <w:lang w:eastAsia="tr-TR"/>
              </w:rPr>
              <w:t>Equity Shares Related Contracts</w:t>
            </w:r>
          </w:p>
        </w:tc>
        <w:tc>
          <w:tcPr>
            <w:tcW w:w="1743" w:type="dxa"/>
            <w:vAlign w:val="bottom"/>
          </w:tcPr>
          <w:p w14:paraId="18D3FE84" w14:textId="306905A4" w:rsidR="00224102" w:rsidRPr="008661F6" w:rsidRDefault="00224102" w:rsidP="00224102">
            <w:pPr>
              <w:jc w:val="right"/>
              <w:rPr>
                <w:sz w:val="18"/>
                <w:szCs w:val="18"/>
              </w:rPr>
            </w:pPr>
            <w:r w:rsidRPr="008661F6">
              <w:rPr>
                <w:sz w:val="18"/>
                <w:szCs w:val="18"/>
              </w:rPr>
              <w:t xml:space="preserve">                    -      </w:t>
            </w:r>
          </w:p>
        </w:tc>
      </w:tr>
      <w:tr w:rsidR="00224102" w:rsidRPr="00D74C21" w14:paraId="5772FFCC" w14:textId="77777777" w:rsidTr="008A5D56">
        <w:tc>
          <w:tcPr>
            <w:tcW w:w="7169" w:type="dxa"/>
            <w:vAlign w:val="bottom"/>
          </w:tcPr>
          <w:p w14:paraId="4F68B97D" w14:textId="77777777" w:rsidR="00224102" w:rsidRPr="007C0BA6" w:rsidRDefault="00224102" w:rsidP="00224102">
            <w:pPr>
              <w:rPr>
                <w:sz w:val="18"/>
                <w:szCs w:val="18"/>
                <w:lang w:eastAsia="tr-TR"/>
              </w:rPr>
            </w:pPr>
            <w:r w:rsidRPr="007C0BA6">
              <w:rPr>
                <w:sz w:val="18"/>
                <w:szCs w:val="18"/>
                <w:lang w:eastAsia="tr-TR"/>
              </w:rPr>
              <w:t>Other</w:t>
            </w:r>
          </w:p>
        </w:tc>
        <w:tc>
          <w:tcPr>
            <w:tcW w:w="1743" w:type="dxa"/>
            <w:vAlign w:val="bottom"/>
          </w:tcPr>
          <w:p w14:paraId="7FA0D0B0" w14:textId="48C2064E" w:rsidR="00224102" w:rsidRPr="008661F6" w:rsidRDefault="00224102" w:rsidP="00224102">
            <w:pPr>
              <w:jc w:val="right"/>
              <w:rPr>
                <w:sz w:val="18"/>
                <w:szCs w:val="18"/>
              </w:rPr>
            </w:pPr>
            <w:r w:rsidRPr="008661F6">
              <w:rPr>
                <w:sz w:val="18"/>
                <w:szCs w:val="18"/>
              </w:rPr>
              <w:t xml:space="preserve">                    -      </w:t>
            </w:r>
          </w:p>
        </w:tc>
      </w:tr>
      <w:tr w:rsidR="00224102" w:rsidRPr="00D74C21" w14:paraId="260186D5" w14:textId="77777777" w:rsidTr="008A5D56">
        <w:tc>
          <w:tcPr>
            <w:tcW w:w="7169" w:type="dxa"/>
            <w:vAlign w:val="bottom"/>
          </w:tcPr>
          <w:p w14:paraId="71CC2BB8" w14:textId="77777777" w:rsidR="00224102" w:rsidRPr="007C0BA6" w:rsidRDefault="00224102" w:rsidP="00224102">
            <w:pPr>
              <w:rPr>
                <w:sz w:val="18"/>
                <w:szCs w:val="18"/>
                <w:lang w:eastAsia="tr-TR"/>
              </w:rPr>
            </w:pPr>
            <w:r w:rsidRPr="007C0BA6">
              <w:rPr>
                <w:sz w:val="18"/>
                <w:szCs w:val="18"/>
                <w:lang w:eastAsia="tr-TR"/>
              </w:rPr>
              <w:t>Gross Positive Fair Values</w:t>
            </w:r>
          </w:p>
        </w:tc>
        <w:tc>
          <w:tcPr>
            <w:tcW w:w="1743" w:type="dxa"/>
            <w:vAlign w:val="bottom"/>
          </w:tcPr>
          <w:p w14:paraId="40B6204A" w14:textId="7249907B" w:rsidR="00224102" w:rsidRPr="008661F6" w:rsidRDefault="00224102" w:rsidP="00224102">
            <w:pPr>
              <w:jc w:val="right"/>
              <w:rPr>
                <w:sz w:val="18"/>
                <w:szCs w:val="18"/>
              </w:rPr>
            </w:pPr>
            <w:r w:rsidRPr="008661F6">
              <w:rPr>
                <w:sz w:val="18"/>
                <w:szCs w:val="18"/>
              </w:rPr>
              <w:t xml:space="preserve">        170,845    </w:t>
            </w:r>
          </w:p>
        </w:tc>
      </w:tr>
      <w:tr w:rsidR="00224102" w:rsidRPr="00D74C21" w14:paraId="0E673C74" w14:textId="77777777" w:rsidTr="008A5D56">
        <w:tc>
          <w:tcPr>
            <w:tcW w:w="7169" w:type="dxa"/>
            <w:vAlign w:val="bottom"/>
          </w:tcPr>
          <w:p w14:paraId="239E6BF4" w14:textId="77777777" w:rsidR="00224102" w:rsidRPr="007C0BA6" w:rsidRDefault="00224102" w:rsidP="00224102">
            <w:pPr>
              <w:rPr>
                <w:sz w:val="18"/>
                <w:szCs w:val="18"/>
                <w:lang w:eastAsia="tr-TR"/>
              </w:rPr>
            </w:pPr>
            <w:r w:rsidRPr="007C0BA6">
              <w:rPr>
                <w:sz w:val="18"/>
                <w:szCs w:val="18"/>
                <w:lang w:eastAsia="tr-TR"/>
              </w:rPr>
              <w:t>Netting</w:t>
            </w:r>
            <w:r>
              <w:rPr>
                <w:sz w:val="18"/>
                <w:szCs w:val="18"/>
                <w:lang w:eastAsia="tr-TR"/>
              </w:rPr>
              <w:t xml:space="preserve"> </w:t>
            </w:r>
            <w:r w:rsidRPr="007C0BA6">
              <w:rPr>
                <w:sz w:val="18"/>
                <w:szCs w:val="18"/>
                <w:lang w:eastAsia="tr-TR"/>
              </w:rPr>
              <w:t>Benefits</w:t>
            </w:r>
          </w:p>
        </w:tc>
        <w:tc>
          <w:tcPr>
            <w:tcW w:w="1743" w:type="dxa"/>
            <w:vAlign w:val="bottom"/>
          </w:tcPr>
          <w:p w14:paraId="0FA02990" w14:textId="17C40176" w:rsidR="00224102" w:rsidRPr="008661F6" w:rsidRDefault="00224102" w:rsidP="00224102">
            <w:pPr>
              <w:jc w:val="right"/>
              <w:rPr>
                <w:sz w:val="18"/>
                <w:szCs w:val="18"/>
              </w:rPr>
            </w:pPr>
            <w:r w:rsidRPr="008661F6">
              <w:rPr>
                <w:sz w:val="18"/>
                <w:szCs w:val="18"/>
              </w:rPr>
              <w:t xml:space="preserve">                    -      </w:t>
            </w:r>
          </w:p>
        </w:tc>
      </w:tr>
      <w:tr w:rsidR="00224102" w:rsidRPr="00D74C21" w14:paraId="4CFA65EC" w14:textId="77777777" w:rsidTr="008A5D56">
        <w:tc>
          <w:tcPr>
            <w:tcW w:w="7169" w:type="dxa"/>
            <w:vAlign w:val="bottom"/>
          </w:tcPr>
          <w:p w14:paraId="2986D807" w14:textId="77777777" w:rsidR="00224102" w:rsidRPr="007C0BA6" w:rsidRDefault="00224102" w:rsidP="00224102">
            <w:pPr>
              <w:rPr>
                <w:sz w:val="18"/>
                <w:szCs w:val="18"/>
                <w:lang w:eastAsia="tr-TR"/>
              </w:rPr>
            </w:pPr>
            <w:r w:rsidRPr="007C0BA6">
              <w:rPr>
                <w:sz w:val="18"/>
                <w:szCs w:val="18"/>
                <w:lang w:eastAsia="tr-TR"/>
              </w:rPr>
              <w:t xml:space="preserve">Net Current </w:t>
            </w:r>
            <w:r>
              <w:rPr>
                <w:sz w:val="18"/>
                <w:szCs w:val="18"/>
                <w:lang w:eastAsia="tr-TR"/>
              </w:rPr>
              <w:t xml:space="preserve">Exposure </w:t>
            </w:r>
            <w:r w:rsidRPr="007C0BA6">
              <w:rPr>
                <w:sz w:val="18"/>
                <w:szCs w:val="18"/>
                <w:lang w:eastAsia="tr-TR"/>
              </w:rPr>
              <w:t>Amount</w:t>
            </w:r>
          </w:p>
        </w:tc>
        <w:tc>
          <w:tcPr>
            <w:tcW w:w="1743" w:type="dxa"/>
            <w:vAlign w:val="bottom"/>
          </w:tcPr>
          <w:p w14:paraId="351A4CA0" w14:textId="14EF7D88" w:rsidR="00224102" w:rsidRPr="008661F6" w:rsidRDefault="00224102" w:rsidP="00224102">
            <w:pPr>
              <w:jc w:val="right"/>
              <w:rPr>
                <w:sz w:val="18"/>
                <w:szCs w:val="18"/>
              </w:rPr>
            </w:pPr>
            <w:r w:rsidRPr="008661F6">
              <w:rPr>
                <w:sz w:val="18"/>
                <w:szCs w:val="18"/>
              </w:rPr>
              <w:t xml:space="preserve">         </w:t>
            </w:r>
            <w:r>
              <w:rPr>
                <w:sz w:val="18"/>
                <w:szCs w:val="18"/>
              </w:rPr>
              <w:t>170,845</w:t>
            </w:r>
            <w:r w:rsidRPr="008661F6">
              <w:rPr>
                <w:sz w:val="18"/>
                <w:szCs w:val="18"/>
              </w:rPr>
              <w:t xml:space="preserve">      </w:t>
            </w:r>
          </w:p>
        </w:tc>
      </w:tr>
      <w:tr w:rsidR="00224102" w:rsidRPr="00D74C21" w14:paraId="212D6842" w14:textId="77777777" w:rsidTr="008A5D56">
        <w:tc>
          <w:tcPr>
            <w:tcW w:w="7169" w:type="dxa"/>
            <w:vAlign w:val="bottom"/>
          </w:tcPr>
          <w:p w14:paraId="3D24F9BC" w14:textId="77777777" w:rsidR="00224102" w:rsidRPr="007C0BA6" w:rsidRDefault="00224102" w:rsidP="00224102">
            <w:pPr>
              <w:rPr>
                <w:sz w:val="18"/>
                <w:szCs w:val="18"/>
                <w:lang w:eastAsia="tr-TR"/>
              </w:rPr>
            </w:pPr>
            <w:r>
              <w:rPr>
                <w:sz w:val="18"/>
                <w:szCs w:val="18"/>
                <w:lang w:eastAsia="tr-TR"/>
              </w:rPr>
              <w:t xml:space="preserve">Collaterals Received </w:t>
            </w:r>
          </w:p>
        </w:tc>
        <w:tc>
          <w:tcPr>
            <w:tcW w:w="1743" w:type="dxa"/>
            <w:vAlign w:val="bottom"/>
          </w:tcPr>
          <w:p w14:paraId="4E8D6375" w14:textId="61F2F378" w:rsidR="00224102" w:rsidRPr="008661F6" w:rsidRDefault="00224102" w:rsidP="00224102">
            <w:pPr>
              <w:jc w:val="right"/>
              <w:rPr>
                <w:sz w:val="18"/>
                <w:szCs w:val="18"/>
              </w:rPr>
            </w:pPr>
            <w:r w:rsidRPr="008661F6">
              <w:rPr>
                <w:sz w:val="18"/>
                <w:szCs w:val="18"/>
              </w:rPr>
              <w:t xml:space="preserve">                    -      </w:t>
            </w:r>
          </w:p>
        </w:tc>
      </w:tr>
      <w:tr w:rsidR="00224102" w:rsidRPr="00D74C21" w14:paraId="3DB712AB" w14:textId="77777777" w:rsidTr="008A5D56">
        <w:tc>
          <w:tcPr>
            <w:tcW w:w="7169" w:type="dxa"/>
            <w:vAlign w:val="bottom"/>
          </w:tcPr>
          <w:p w14:paraId="66055CE7" w14:textId="77777777" w:rsidR="00224102" w:rsidRPr="007C0BA6" w:rsidRDefault="00224102" w:rsidP="00224102">
            <w:pPr>
              <w:rPr>
                <w:sz w:val="18"/>
                <w:szCs w:val="18"/>
                <w:lang w:eastAsia="tr-TR"/>
              </w:rPr>
            </w:pPr>
            <w:r w:rsidRPr="007C0BA6">
              <w:rPr>
                <w:sz w:val="18"/>
                <w:szCs w:val="18"/>
                <w:lang w:eastAsia="tr-TR"/>
              </w:rPr>
              <w:t>Net Derivative</w:t>
            </w:r>
            <w:r>
              <w:rPr>
                <w:sz w:val="18"/>
                <w:szCs w:val="18"/>
                <w:lang w:eastAsia="tr-TR"/>
              </w:rPr>
              <w:t xml:space="preserve"> </w:t>
            </w:r>
            <w:r w:rsidRPr="007C0BA6">
              <w:rPr>
                <w:sz w:val="18"/>
                <w:szCs w:val="18"/>
                <w:lang w:eastAsia="tr-TR"/>
              </w:rPr>
              <w:t>Position</w:t>
            </w:r>
          </w:p>
        </w:tc>
        <w:tc>
          <w:tcPr>
            <w:tcW w:w="1743" w:type="dxa"/>
            <w:vAlign w:val="bottom"/>
          </w:tcPr>
          <w:p w14:paraId="76C9FB35" w14:textId="1E721954" w:rsidR="00224102" w:rsidRPr="008661F6" w:rsidRDefault="00224102" w:rsidP="00224102">
            <w:pPr>
              <w:jc w:val="right"/>
              <w:rPr>
                <w:sz w:val="18"/>
                <w:szCs w:val="18"/>
              </w:rPr>
            </w:pPr>
            <w:r w:rsidRPr="008661F6">
              <w:rPr>
                <w:sz w:val="18"/>
                <w:szCs w:val="18"/>
              </w:rPr>
              <w:t xml:space="preserve">        170,845    </w:t>
            </w:r>
          </w:p>
        </w:tc>
      </w:tr>
    </w:tbl>
    <w:p w14:paraId="3B452DBA" w14:textId="77777777" w:rsidR="00F06BBC" w:rsidRPr="00C22AF8" w:rsidRDefault="00F06BBC" w:rsidP="00B85547">
      <w:pPr>
        <w:pStyle w:val="Heading2"/>
        <w:tabs>
          <w:tab w:val="left" w:pos="426"/>
          <w:tab w:val="left" w:pos="851"/>
        </w:tabs>
        <w:ind w:left="851" w:hanging="851"/>
        <w:rPr>
          <w:rFonts w:ascii="Times New Roman" w:hAnsi="Times New Roman"/>
          <w:caps/>
          <w:sz w:val="20"/>
        </w:rPr>
      </w:pPr>
      <w:r w:rsidRPr="00C22AF8">
        <w:rPr>
          <w:rFonts w:ascii="Times New Roman" w:hAnsi="Times New Roman"/>
          <w:caps/>
          <w:sz w:val="20"/>
        </w:rPr>
        <w:t>IV.</w:t>
      </w:r>
      <w:r w:rsidRPr="00C22AF8">
        <w:rPr>
          <w:rFonts w:ascii="Times New Roman" w:hAnsi="Times New Roman"/>
          <w:caps/>
          <w:sz w:val="20"/>
        </w:rPr>
        <w:tab/>
      </w:r>
      <w:r w:rsidR="00971F37" w:rsidRPr="00604C75">
        <w:rPr>
          <w:rFonts w:ascii="Times New Roman" w:hAnsi="Times New Roman"/>
          <w:sz w:val="20"/>
        </w:rPr>
        <w:t>Explanations</w:t>
      </w:r>
      <w:r w:rsidR="00971F37" w:rsidRPr="00604C75">
        <w:rPr>
          <w:rFonts w:ascii="Times New Roman" w:hAnsi="Times New Roman"/>
          <w:caps/>
          <w:sz w:val="20"/>
        </w:rPr>
        <w:t xml:space="preserve"> </w:t>
      </w:r>
      <w:r w:rsidR="00971F37" w:rsidRPr="00604C75">
        <w:rPr>
          <w:rFonts w:ascii="Times New Roman" w:hAnsi="Times New Roman"/>
          <w:sz w:val="20"/>
        </w:rPr>
        <w:t xml:space="preserve">on </w:t>
      </w:r>
      <w:r w:rsidR="00971F37">
        <w:rPr>
          <w:rFonts w:ascii="Times New Roman" w:hAnsi="Times New Roman"/>
          <w:sz w:val="20"/>
        </w:rPr>
        <w:t>Operational Risk</w:t>
      </w:r>
      <w:r w:rsidRPr="00C22AF8">
        <w:rPr>
          <w:rFonts w:ascii="Times New Roman" w:hAnsi="Times New Roman"/>
          <w:caps/>
          <w:sz w:val="20"/>
        </w:rPr>
        <w:t>:</w:t>
      </w:r>
    </w:p>
    <w:p w14:paraId="31B66587" w14:textId="037BBEA8" w:rsidR="00F06BBC" w:rsidRDefault="00F06BBC" w:rsidP="00B85547">
      <w:pPr>
        <w:spacing w:before="120"/>
        <w:jc w:val="both"/>
        <w:rPr>
          <w:noProof/>
          <w:color w:val="000000"/>
          <w:sz w:val="20"/>
          <w:szCs w:val="20"/>
        </w:rPr>
      </w:pPr>
      <w:r>
        <w:rPr>
          <w:noProof/>
          <w:color w:val="000000"/>
          <w:sz w:val="20"/>
          <w:szCs w:val="20"/>
        </w:rPr>
        <w:t>The</w:t>
      </w:r>
      <w:r w:rsidRPr="000256CD">
        <w:rPr>
          <w:noProof/>
          <w:color w:val="000000"/>
          <w:sz w:val="20"/>
          <w:szCs w:val="20"/>
        </w:rPr>
        <w:t xml:space="preserve"> </w:t>
      </w:r>
      <w:r>
        <w:rPr>
          <w:noProof/>
          <w:color w:val="000000"/>
          <w:sz w:val="20"/>
          <w:szCs w:val="20"/>
        </w:rPr>
        <w:t xml:space="preserve">Parent </w:t>
      </w:r>
      <w:r w:rsidRPr="000256CD">
        <w:rPr>
          <w:noProof/>
          <w:color w:val="000000"/>
          <w:sz w:val="20"/>
          <w:szCs w:val="20"/>
        </w:rPr>
        <w:t xml:space="preserve">Bank calculated the operational risk using the “Basic Indicator </w:t>
      </w:r>
      <w:r>
        <w:rPr>
          <w:noProof/>
          <w:color w:val="000000"/>
          <w:sz w:val="20"/>
          <w:szCs w:val="20"/>
        </w:rPr>
        <w:t>Method</w:t>
      </w:r>
      <w:r w:rsidRPr="000256CD">
        <w:rPr>
          <w:noProof/>
          <w:color w:val="000000"/>
          <w:sz w:val="20"/>
          <w:szCs w:val="20"/>
        </w:rPr>
        <w:t xml:space="preserve">”. </w:t>
      </w:r>
      <w:r w:rsidR="008A5D56">
        <w:rPr>
          <w:noProof/>
          <w:color w:val="000000"/>
          <w:sz w:val="20"/>
          <w:szCs w:val="20"/>
        </w:rPr>
        <w:t>Amount subject to o</w:t>
      </w:r>
      <w:r w:rsidRPr="00E21BC0">
        <w:rPr>
          <w:noProof/>
          <w:color w:val="000000"/>
          <w:sz w:val="20"/>
          <w:szCs w:val="20"/>
        </w:rPr>
        <w:t xml:space="preserve">perational </w:t>
      </w:r>
      <w:r w:rsidR="008A5D56">
        <w:rPr>
          <w:noProof/>
          <w:color w:val="000000"/>
          <w:sz w:val="20"/>
          <w:szCs w:val="20"/>
        </w:rPr>
        <w:t>r</w:t>
      </w:r>
      <w:r w:rsidRPr="00E21BC0">
        <w:rPr>
          <w:noProof/>
          <w:color w:val="000000"/>
          <w:sz w:val="20"/>
          <w:szCs w:val="20"/>
        </w:rPr>
        <w:t>isk</w:t>
      </w:r>
      <w:r w:rsidRPr="000256CD">
        <w:rPr>
          <w:noProof/>
          <w:color w:val="000000"/>
          <w:sz w:val="20"/>
          <w:szCs w:val="20"/>
        </w:rPr>
        <w:t xml:space="preserve"> is calculated once a year in accordance with </w:t>
      </w:r>
      <w:r>
        <w:rPr>
          <w:noProof/>
          <w:color w:val="000000"/>
          <w:sz w:val="20"/>
          <w:szCs w:val="20"/>
        </w:rPr>
        <w:t xml:space="preserve">the </w:t>
      </w:r>
      <w:r w:rsidRPr="000256CD">
        <w:rPr>
          <w:noProof/>
          <w:color w:val="000000"/>
          <w:sz w:val="20"/>
          <w:szCs w:val="20"/>
        </w:rPr>
        <w:t>“Regulation for Measuring and Evaluating Capital Ad</w:t>
      </w:r>
      <w:r>
        <w:rPr>
          <w:noProof/>
          <w:color w:val="000000"/>
          <w:sz w:val="20"/>
          <w:szCs w:val="20"/>
        </w:rPr>
        <w:t>equacy of Banks” published in 28</w:t>
      </w:r>
      <w:r w:rsidRPr="000256CD">
        <w:rPr>
          <w:noProof/>
          <w:color w:val="000000"/>
          <w:sz w:val="20"/>
          <w:szCs w:val="20"/>
        </w:rPr>
        <w:t xml:space="preserve"> June 2012 Official Gazette No.28337 using the gross income</w:t>
      </w:r>
      <w:r>
        <w:rPr>
          <w:noProof/>
          <w:color w:val="000000"/>
          <w:sz w:val="20"/>
          <w:szCs w:val="20"/>
        </w:rPr>
        <w:t xml:space="preserve"> balances </w:t>
      </w:r>
      <w:r w:rsidRPr="000256CD">
        <w:rPr>
          <w:noProof/>
          <w:color w:val="000000"/>
          <w:sz w:val="20"/>
          <w:szCs w:val="20"/>
        </w:rPr>
        <w:t>of last three years; 201</w:t>
      </w:r>
      <w:r w:rsidR="00971F37">
        <w:rPr>
          <w:noProof/>
          <w:color w:val="000000"/>
          <w:sz w:val="20"/>
          <w:szCs w:val="20"/>
        </w:rPr>
        <w:t>4</w:t>
      </w:r>
      <w:r w:rsidRPr="000256CD">
        <w:rPr>
          <w:noProof/>
          <w:color w:val="000000"/>
          <w:sz w:val="20"/>
          <w:szCs w:val="20"/>
        </w:rPr>
        <w:t>, 201</w:t>
      </w:r>
      <w:r w:rsidR="00971F37">
        <w:rPr>
          <w:noProof/>
          <w:color w:val="000000"/>
          <w:sz w:val="20"/>
          <w:szCs w:val="20"/>
        </w:rPr>
        <w:t>3</w:t>
      </w:r>
      <w:r w:rsidRPr="000256CD">
        <w:rPr>
          <w:noProof/>
          <w:color w:val="000000"/>
          <w:sz w:val="20"/>
          <w:szCs w:val="20"/>
        </w:rPr>
        <w:t xml:space="preserve"> and 201</w:t>
      </w:r>
      <w:r w:rsidR="00971F37">
        <w:rPr>
          <w:noProof/>
          <w:color w:val="000000"/>
          <w:sz w:val="20"/>
          <w:szCs w:val="20"/>
        </w:rPr>
        <w:t>2</w:t>
      </w:r>
      <w:r w:rsidRPr="000256CD">
        <w:rPr>
          <w:noProof/>
          <w:color w:val="000000"/>
          <w:sz w:val="20"/>
          <w:szCs w:val="20"/>
        </w:rPr>
        <w:t xml:space="preserve"> respectively. The risk amount calculated using the </w:t>
      </w:r>
      <w:r w:rsidR="00C93D30">
        <w:rPr>
          <w:noProof/>
          <w:color w:val="000000"/>
          <w:sz w:val="20"/>
          <w:szCs w:val="20"/>
        </w:rPr>
        <w:t>“</w:t>
      </w:r>
      <w:r w:rsidRPr="000256CD">
        <w:rPr>
          <w:noProof/>
          <w:color w:val="000000"/>
          <w:sz w:val="20"/>
          <w:szCs w:val="20"/>
        </w:rPr>
        <w:t>Capital Adequcy Standard Ratio</w:t>
      </w:r>
      <w:r w:rsidR="00C93D30">
        <w:rPr>
          <w:noProof/>
          <w:color w:val="000000"/>
          <w:sz w:val="20"/>
          <w:szCs w:val="20"/>
        </w:rPr>
        <w:t>”</w:t>
      </w:r>
      <w:r w:rsidRPr="000256CD">
        <w:rPr>
          <w:noProof/>
          <w:color w:val="000000"/>
          <w:sz w:val="20"/>
          <w:szCs w:val="20"/>
        </w:rPr>
        <w:t xml:space="preserve"> indicated in the disclosure I of the </w:t>
      </w:r>
      <w:r>
        <w:rPr>
          <w:noProof/>
          <w:color w:val="000000"/>
          <w:sz w:val="20"/>
          <w:szCs w:val="20"/>
        </w:rPr>
        <w:t>S</w:t>
      </w:r>
      <w:r w:rsidRPr="000256CD">
        <w:rPr>
          <w:noProof/>
          <w:color w:val="000000"/>
          <w:sz w:val="20"/>
          <w:szCs w:val="20"/>
        </w:rPr>
        <w:t xml:space="preserve">ection </w:t>
      </w:r>
      <w:r>
        <w:rPr>
          <w:noProof/>
          <w:color w:val="000000"/>
          <w:sz w:val="20"/>
          <w:szCs w:val="20"/>
        </w:rPr>
        <w:t>Four</w:t>
      </w:r>
      <w:r w:rsidRPr="000256CD">
        <w:rPr>
          <w:noProof/>
          <w:color w:val="000000"/>
          <w:sz w:val="20"/>
          <w:szCs w:val="20"/>
        </w:rPr>
        <w:t xml:space="preserve"> amounts to TL </w:t>
      </w:r>
      <w:r w:rsidR="00C549F4" w:rsidRPr="00195EDC">
        <w:rPr>
          <w:sz w:val="20"/>
          <w:szCs w:val="20"/>
        </w:rPr>
        <w:t>938,500</w:t>
      </w:r>
    </w:p>
    <w:p w14:paraId="67596A28" w14:textId="5521F1A3" w:rsidR="00F06BBC" w:rsidRDefault="00F06BBC" w:rsidP="00B85547">
      <w:pPr>
        <w:autoSpaceDE w:val="0"/>
        <w:autoSpaceDN w:val="0"/>
        <w:adjustRightInd w:val="0"/>
        <w:spacing w:before="120"/>
        <w:jc w:val="both"/>
        <w:rPr>
          <w:noProof/>
          <w:color w:val="000000"/>
          <w:sz w:val="20"/>
          <w:szCs w:val="20"/>
        </w:rPr>
      </w:pPr>
      <w:r w:rsidRPr="00C22AF8">
        <w:rPr>
          <w:noProof/>
          <w:color w:val="000000"/>
          <w:sz w:val="20"/>
          <w:szCs w:val="20"/>
        </w:rPr>
        <w:t xml:space="preserve">The </w:t>
      </w:r>
      <w:r w:rsidR="00C93D30">
        <w:rPr>
          <w:noProof/>
          <w:color w:val="000000"/>
          <w:sz w:val="20"/>
          <w:szCs w:val="20"/>
        </w:rPr>
        <w:t>annual</w:t>
      </w:r>
      <w:r w:rsidRPr="00C22AF8">
        <w:rPr>
          <w:noProof/>
          <w:color w:val="000000"/>
          <w:sz w:val="20"/>
          <w:szCs w:val="20"/>
        </w:rPr>
        <w:t xml:space="preserve"> gross income is calculated </w:t>
      </w:r>
      <w:r w:rsidR="00C93D30">
        <w:rPr>
          <w:noProof/>
          <w:color w:val="000000"/>
          <w:sz w:val="20"/>
          <w:szCs w:val="20"/>
        </w:rPr>
        <w:t xml:space="preserve">over sum of </w:t>
      </w:r>
      <w:r w:rsidR="00C93D30" w:rsidRPr="00C22AF8">
        <w:rPr>
          <w:noProof/>
          <w:color w:val="000000"/>
          <w:sz w:val="20"/>
          <w:szCs w:val="20"/>
        </w:rPr>
        <w:t xml:space="preserve">net values of interest and non-interest income </w:t>
      </w:r>
      <w:r w:rsidRPr="00C22AF8">
        <w:rPr>
          <w:noProof/>
          <w:color w:val="000000"/>
          <w:sz w:val="20"/>
          <w:szCs w:val="20"/>
        </w:rPr>
        <w:t xml:space="preserve">by deducting the profit/loss that is generated from available for sale </w:t>
      </w:r>
      <w:r w:rsidR="00B85547">
        <w:rPr>
          <w:noProof/>
          <w:color w:val="000000"/>
          <w:sz w:val="20"/>
          <w:szCs w:val="20"/>
        </w:rPr>
        <w:t>and held to maturity</w:t>
      </w:r>
      <w:r w:rsidR="00462855">
        <w:rPr>
          <w:noProof/>
          <w:color w:val="000000"/>
          <w:sz w:val="20"/>
          <w:szCs w:val="20"/>
        </w:rPr>
        <w:t xml:space="preserve"> and</w:t>
      </w:r>
      <w:r w:rsidR="00B85547">
        <w:rPr>
          <w:noProof/>
          <w:color w:val="000000"/>
          <w:sz w:val="20"/>
          <w:szCs w:val="20"/>
        </w:rPr>
        <w:t xml:space="preserve"> </w:t>
      </w:r>
      <w:r w:rsidRPr="00C22AF8">
        <w:rPr>
          <w:noProof/>
          <w:color w:val="000000"/>
          <w:sz w:val="20"/>
          <w:szCs w:val="20"/>
        </w:rPr>
        <w:t>extraordinary income, operating expense for support services and amount</w:t>
      </w:r>
      <w:r w:rsidR="00C93D30">
        <w:rPr>
          <w:noProof/>
          <w:color w:val="000000"/>
          <w:sz w:val="20"/>
          <w:szCs w:val="20"/>
        </w:rPr>
        <w:t xml:space="preserve"> collected from insurances</w:t>
      </w:r>
      <w:r w:rsidRPr="00C22AF8">
        <w:rPr>
          <w:noProof/>
          <w:color w:val="000000"/>
          <w:sz w:val="20"/>
          <w:szCs w:val="20"/>
        </w:rPr>
        <w:t>.</w:t>
      </w:r>
    </w:p>
    <w:p w14:paraId="6C4A684E" w14:textId="77777777" w:rsidR="00971F37" w:rsidRPr="00C22AF8" w:rsidRDefault="00971F37" w:rsidP="00971F37">
      <w:pPr>
        <w:autoSpaceDE w:val="0"/>
        <w:autoSpaceDN w:val="0"/>
        <w:adjustRightInd w:val="0"/>
        <w:jc w:val="both"/>
        <w:rPr>
          <w:noProof/>
          <w:color w:val="000000"/>
          <w:sz w:val="20"/>
          <w:szCs w:val="20"/>
        </w:rPr>
      </w:pPr>
    </w:p>
    <w:tbl>
      <w:tblPr>
        <w:tblW w:w="9214"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1701"/>
        <w:gridCol w:w="1252"/>
        <w:gridCol w:w="1352"/>
        <w:gridCol w:w="1329"/>
        <w:gridCol w:w="1582"/>
        <w:gridCol w:w="864"/>
        <w:gridCol w:w="1134"/>
      </w:tblGrid>
      <w:tr w:rsidR="00B85547" w:rsidRPr="00D74C21" w14:paraId="2CF9FB79" w14:textId="77777777" w:rsidTr="00971F37">
        <w:tc>
          <w:tcPr>
            <w:tcW w:w="1701" w:type="dxa"/>
          </w:tcPr>
          <w:p w14:paraId="7D906820" w14:textId="77777777" w:rsidR="00B85547" w:rsidRPr="00D74C21" w:rsidRDefault="00B85547" w:rsidP="00B85547">
            <w:pPr>
              <w:rPr>
                <w:b/>
                <w:sz w:val="18"/>
                <w:szCs w:val="18"/>
              </w:rPr>
            </w:pPr>
          </w:p>
        </w:tc>
        <w:tc>
          <w:tcPr>
            <w:tcW w:w="1252" w:type="dxa"/>
            <w:vAlign w:val="bottom"/>
          </w:tcPr>
          <w:p w14:paraId="27F79421" w14:textId="08B7384A" w:rsidR="00B85547" w:rsidRPr="00D74C21" w:rsidRDefault="00B85547" w:rsidP="00B85547">
            <w:pPr>
              <w:ind w:left="-122" w:right="-46" w:firstLine="122"/>
              <w:jc w:val="right"/>
              <w:rPr>
                <w:b/>
                <w:sz w:val="18"/>
                <w:szCs w:val="18"/>
              </w:rPr>
            </w:pPr>
            <w:r>
              <w:rPr>
                <w:b/>
                <w:sz w:val="18"/>
                <w:szCs w:val="18"/>
              </w:rPr>
              <w:t>31 December 2012</w:t>
            </w:r>
          </w:p>
        </w:tc>
        <w:tc>
          <w:tcPr>
            <w:tcW w:w="1352" w:type="dxa"/>
            <w:vAlign w:val="bottom"/>
          </w:tcPr>
          <w:p w14:paraId="5FFA7D3E" w14:textId="5DF3E058" w:rsidR="00B85547" w:rsidRPr="00D74C21" w:rsidRDefault="00B85547" w:rsidP="00B85547">
            <w:pPr>
              <w:ind w:left="-114" w:right="-46"/>
              <w:jc w:val="right"/>
              <w:rPr>
                <w:b/>
                <w:sz w:val="18"/>
                <w:szCs w:val="18"/>
              </w:rPr>
            </w:pPr>
            <w:r>
              <w:rPr>
                <w:b/>
                <w:sz w:val="18"/>
                <w:szCs w:val="18"/>
              </w:rPr>
              <w:t>31 December 2013</w:t>
            </w:r>
          </w:p>
        </w:tc>
        <w:tc>
          <w:tcPr>
            <w:tcW w:w="1329" w:type="dxa"/>
            <w:vAlign w:val="bottom"/>
          </w:tcPr>
          <w:p w14:paraId="27A3A9C3" w14:textId="43C065A1" w:rsidR="00B85547" w:rsidRPr="00D74C21" w:rsidRDefault="00B85547" w:rsidP="00B85547">
            <w:pPr>
              <w:ind w:left="-143" w:right="-46"/>
              <w:jc w:val="right"/>
              <w:rPr>
                <w:b/>
                <w:sz w:val="18"/>
                <w:szCs w:val="18"/>
              </w:rPr>
            </w:pPr>
            <w:r>
              <w:rPr>
                <w:b/>
                <w:sz w:val="18"/>
                <w:szCs w:val="18"/>
              </w:rPr>
              <w:t>31 December 2014</w:t>
            </w:r>
          </w:p>
        </w:tc>
        <w:tc>
          <w:tcPr>
            <w:tcW w:w="1582" w:type="dxa"/>
            <w:vAlign w:val="bottom"/>
          </w:tcPr>
          <w:p w14:paraId="4CB46971" w14:textId="097BA744" w:rsidR="00B85547" w:rsidRPr="00D74C21" w:rsidRDefault="00B85547" w:rsidP="00B85547">
            <w:pPr>
              <w:ind w:left="-89" w:right="-46"/>
              <w:jc w:val="right"/>
              <w:rPr>
                <w:b/>
                <w:sz w:val="18"/>
                <w:szCs w:val="18"/>
              </w:rPr>
            </w:pPr>
            <w:r>
              <w:rPr>
                <w:b/>
                <w:sz w:val="18"/>
                <w:szCs w:val="18"/>
              </w:rPr>
              <w:t>Total Number of</w:t>
            </w:r>
            <w:r w:rsidRPr="00D74C21">
              <w:rPr>
                <w:b/>
                <w:sz w:val="18"/>
                <w:szCs w:val="18"/>
              </w:rPr>
              <w:t xml:space="preserve"> Po</w:t>
            </w:r>
            <w:r>
              <w:rPr>
                <w:b/>
                <w:sz w:val="18"/>
                <w:szCs w:val="18"/>
              </w:rPr>
              <w:t>sitive</w:t>
            </w:r>
            <w:r w:rsidRPr="00D74C21">
              <w:rPr>
                <w:b/>
                <w:sz w:val="18"/>
                <w:szCs w:val="18"/>
              </w:rPr>
              <w:t xml:space="preserve"> </w:t>
            </w:r>
            <w:r>
              <w:rPr>
                <w:b/>
                <w:sz w:val="18"/>
                <w:szCs w:val="18"/>
              </w:rPr>
              <w:t>Year</w:t>
            </w:r>
          </w:p>
        </w:tc>
        <w:tc>
          <w:tcPr>
            <w:tcW w:w="864" w:type="dxa"/>
            <w:vAlign w:val="bottom"/>
          </w:tcPr>
          <w:p w14:paraId="403DF874" w14:textId="2B7B81F5" w:rsidR="00B85547" w:rsidRPr="00D74C21" w:rsidRDefault="00B85547" w:rsidP="00B85547">
            <w:pPr>
              <w:ind w:left="-103" w:right="-46"/>
              <w:jc w:val="right"/>
              <w:rPr>
                <w:b/>
                <w:sz w:val="18"/>
                <w:szCs w:val="18"/>
              </w:rPr>
            </w:pPr>
            <w:r>
              <w:rPr>
                <w:b/>
                <w:sz w:val="18"/>
                <w:szCs w:val="18"/>
              </w:rPr>
              <w:t>Ratio</w:t>
            </w:r>
            <w:r w:rsidRPr="00D74C21">
              <w:rPr>
                <w:b/>
                <w:sz w:val="18"/>
                <w:szCs w:val="18"/>
              </w:rPr>
              <w:t xml:space="preserve"> (%)</w:t>
            </w:r>
          </w:p>
        </w:tc>
        <w:tc>
          <w:tcPr>
            <w:tcW w:w="1134" w:type="dxa"/>
            <w:vAlign w:val="bottom"/>
          </w:tcPr>
          <w:p w14:paraId="24716344" w14:textId="654E70F9" w:rsidR="00B85547" w:rsidRPr="00D74C21" w:rsidRDefault="00B85547" w:rsidP="00B85547">
            <w:pPr>
              <w:ind w:left="-98" w:right="-46"/>
              <w:jc w:val="right"/>
              <w:rPr>
                <w:b/>
                <w:sz w:val="18"/>
                <w:szCs w:val="18"/>
              </w:rPr>
            </w:pPr>
            <w:r>
              <w:rPr>
                <w:b/>
                <w:sz w:val="18"/>
                <w:szCs w:val="18"/>
              </w:rPr>
              <w:t>Total</w:t>
            </w:r>
          </w:p>
        </w:tc>
      </w:tr>
      <w:tr w:rsidR="00224102" w:rsidRPr="00D74C21" w14:paraId="51814F38" w14:textId="77777777" w:rsidTr="00971F37">
        <w:trPr>
          <w:trHeight w:val="304"/>
        </w:trPr>
        <w:tc>
          <w:tcPr>
            <w:tcW w:w="1701" w:type="dxa"/>
            <w:vAlign w:val="bottom"/>
          </w:tcPr>
          <w:p w14:paraId="0D312DA6" w14:textId="77777777" w:rsidR="00224102" w:rsidRPr="008F2FCF" w:rsidRDefault="00224102" w:rsidP="00224102">
            <w:pPr>
              <w:rPr>
                <w:sz w:val="18"/>
                <w:szCs w:val="18"/>
              </w:rPr>
            </w:pPr>
            <w:r w:rsidRPr="008F2FCF">
              <w:rPr>
                <w:sz w:val="18"/>
                <w:szCs w:val="18"/>
              </w:rPr>
              <w:t>Gross Income</w:t>
            </w:r>
          </w:p>
        </w:tc>
        <w:tc>
          <w:tcPr>
            <w:tcW w:w="1252" w:type="dxa"/>
            <w:vAlign w:val="bottom"/>
          </w:tcPr>
          <w:p w14:paraId="32B0E0DE" w14:textId="350CC588" w:rsidR="00224102" w:rsidRPr="00BD31E2" w:rsidRDefault="00224102" w:rsidP="00224102">
            <w:pPr>
              <w:ind w:right="48"/>
              <w:jc w:val="right"/>
              <w:rPr>
                <w:rFonts w:eastAsia="Arial Unicode MS"/>
                <w:sz w:val="18"/>
                <w:szCs w:val="18"/>
              </w:rPr>
            </w:pPr>
            <w:r w:rsidRPr="00BD31E2">
              <w:rPr>
                <w:rFonts w:eastAsia="Arial Unicode MS"/>
                <w:sz w:val="18"/>
                <w:szCs w:val="18"/>
              </w:rPr>
              <w:t>489,070</w:t>
            </w:r>
          </w:p>
        </w:tc>
        <w:tc>
          <w:tcPr>
            <w:tcW w:w="1352" w:type="dxa"/>
            <w:vAlign w:val="bottom"/>
          </w:tcPr>
          <w:p w14:paraId="46AF7AE4" w14:textId="747F1D43" w:rsidR="00224102" w:rsidRPr="00BD31E2" w:rsidRDefault="00224102" w:rsidP="00224102">
            <w:pPr>
              <w:ind w:right="48"/>
              <w:jc w:val="right"/>
              <w:rPr>
                <w:rFonts w:eastAsia="Arial Unicode MS"/>
                <w:sz w:val="18"/>
                <w:szCs w:val="18"/>
              </w:rPr>
            </w:pPr>
            <w:r w:rsidRPr="00BD31E2">
              <w:rPr>
                <w:rFonts w:eastAsia="Arial Unicode MS"/>
                <w:sz w:val="18"/>
                <w:szCs w:val="18"/>
              </w:rPr>
              <w:t>477,615</w:t>
            </w:r>
          </w:p>
        </w:tc>
        <w:tc>
          <w:tcPr>
            <w:tcW w:w="1329" w:type="dxa"/>
            <w:vAlign w:val="bottom"/>
          </w:tcPr>
          <w:p w14:paraId="550A594A" w14:textId="50B492EF" w:rsidR="00224102" w:rsidRPr="00BD31E2" w:rsidRDefault="00224102" w:rsidP="00224102">
            <w:pPr>
              <w:ind w:right="48"/>
              <w:jc w:val="right"/>
              <w:rPr>
                <w:rFonts w:eastAsia="Arial Unicode MS"/>
                <w:sz w:val="18"/>
                <w:szCs w:val="18"/>
              </w:rPr>
            </w:pPr>
            <w:r w:rsidRPr="00BD31E2">
              <w:rPr>
                <w:rFonts w:eastAsia="Arial Unicode MS"/>
                <w:sz w:val="18"/>
                <w:szCs w:val="18"/>
              </w:rPr>
              <w:t>534,919</w:t>
            </w:r>
          </w:p>
        </w:tc>
        <w:tc>
          <w:tcPr>
            <w:tcW w:w="1582" w:type="dxa"/>
            <w:vAlign w:val="bottom"/>
          </w:tcPr>
          <w:p w14:paraId="09104B45" w14:textId="50085649" w:rsidR="00224102" w:rsidRPr="00BD31E2" w:rsidRDefault="00224102" w:rsidP="00224102">
            <w:pPr>
              <w:ind w:right="48"/>
              <w:jc w:val="right"/>
              <w:rPr>
                <w:rFonts w:eastAsia="Arial Unicode MS"/>
                <w:sz w:val="18"/>
                <w:szCs w:val="18"/>
              </w:rPr>
            </w:pPr>
            <w:r w:rsidRPr="00BD31E2">
              <w:rPr>
                <w:rFonts w:eastAsia="Arial Unicode MS"/>
                <w:sz w:val="18"/>
                <w:szCs w:val="18"/>
              </w:rPr>
              <w:t>500,535</w:t>
            </w:r>
          </w:p>
        </w:tc>
        <w:tc>
          <w:tcPr>
            <w:tcW w:w="864" w:type="dxa"/>
            <w:vAlign w:val="bottom"/>
          </w:tcPr>
          <w:p w14:paraId="5124524F" w14:textId="20EFF82D" w:rsidR="00224102" w:rsidRPr="00BD31E2" w:rsidRDefault="00224102" w:rsidP="00224102">
            <w:pPr>
              <w:ind w:right="48"/>
              <w:jc w:val="right"/>
              <w:rPr>
                <w:rFonts w:eastAsia="Arial Unicode MS"/>
                <w:sz w:val="18"/>
                <w:szCs w:val="18"/>
              </w:rPr>
            </w:pPr>
            <w:r w:rsidRPr="00BD31E2">
              <w:rPr>
                <w:rFonts w:eastAsia="Arial Unicode MS"/>
                <w:sz w:val="18"/>
                <w:szCs w:val="18"/>
              </w:rPr>
              <w:t>15</w:t>
            </w:r>
          </w:p>
        </w:tc>
        <w:tc>
          <w:tcPr>
            <w:tcW w:w="1134" w:type="dxa"/>
            <w:vAlign w:val="bottom"/>
          </w:tcPr>
          <w:p w14:paraId="79767C09" w14:textId="65641437" w:rsidR="00224102" w:rsidRPr="00BD31E2" w:rsidRDefault="00224102" w:rsidP="00224102">
            <w:pPr>
              <w:ind w:right="48"/>
              <w:jc w:val="right"/>
              <w:rPr>
                <w:rFonts w:eastAsia="Arial Unicode MS"/>
                <w:sz w:val="18"/>
                <w:szCs w:val="18"/>
              </w:rPr>
            </w:pPr>
            <w:r w:rsidRPr="00BD31E2">
              <w:rPr>
                <w:rFonts w:eastAsia="Arial Unicode MS"/>
                <w:sz w:val="18"/>
                <w:szCs w:val="18"/>
              </w:rPr>
              <w:t>75,080</w:t>
            </w:r>
          </w:p>
        </w:tc>
      </w:tr>
      <w:tr w:rsidR="00224102" w:rsidRPr="00D74C21" w14:paraId="159F8E24" w14:textId="77777777" w:rsidTr="00971F37">
        <w:tc>
          <w:tcPr>
            <w:tcW w:w="1701" w:type="dxa"/>
            <w:vAlign w:val="bottom"/>
          </w:tcPr>
          <w:p w14:paraId="68C8EB30" w14:textId="4FD56E0B" w:rsidR="00224102" w:rsidRPr="008F2FCF" w:rsidRDefault="00224102" w:rsidP="00224102">
            <w:pPr>
              <w:rPr>
                <w:sz w:val="18"/>
                <w:szCs w:val="18"/>
              </w:rPr>
            </w:pPr>
            <w:r w:rsidRPr="008F2FCF">
              <w:rPr>
                <w:sz w:val="18"/>
                <w:szCs w:val="18"/>
              </w:rPr>
              <w:t xml:space="preserve">Amount </w:t>
            </w:r>
            <w:r>
              <w:rPr>
                <w:sz w:val="18"/>
                <w:szCs w:val="18"/>
              </w:rPr>
              <w:t>S</w:t>
            </w:r>
            <w:r w:rsidRPr="008F2FCF">
              <w:rPr>
                <w:sz w:val="18"/>
                <w:szCs w:val="18"/>
              </w:rPr>
              <w:t>ubject to Operational Risk</w:t>
            </w:r>
          </w:p>
          <w:p w14:paraId="7EF37417" w14:textId="77777777" w:rsidR="00224102" w:rsidRPr="00D74C21" w:rsidRDefault="00224102" w:rsidP="00224102">
            <w:pPr>
              <w:rPr>
                <w:sz w:val="18"/>
                <w:szCs w:val="18"/>
              </w:rPr>
            </w:pPr>
            <w:r w:rsidRPr="008F2FCF">
              <w:rPr>
                <w:sz w:val="18"/>
                <w:szCs w:val="18"/>
              </w:rPr>
              <w:t>(Total*12,5)</w:t>
            </w:r>
          </w:p>
        </w:tc>
        <w:tc>
          <w:tcPr>
            <w:tcW w:w="1252" w:type="dxa"/>
            <w:vAlign w:val="bottom"/>
          </w:tcPr>
          <w:p w14:paraId="5CB98686" w14:textId="0065F8A2" w:rsidR="00224102" w:rsidRPr="00BD31E2" w:rsidRDefault="00224102" w:rsidP="00224102">
            <w:pPr>
              <w:ind w:right="48"/>
              <w:jc w:val="right"/>
              <w:rPr>
                <w:rFonts w:eastAsia="Arial Unicode MS"/>
                <w:sz w:val="18"/>
                <w:szCs w:val="18"/>
              </w:rPr>
            </w:pPr>
            <w:r>
              <w:rPr>
                <w:color w:val="000000"/>
                <w:sz w:val="18"/>
                <w:szCs w:val="18"/>
              </w:rPr>
              <w:t>-</w:t>
            </w:r>
          </w:p>
        </w:tc>
        <w:tc>
          <w:tcPr>
            <w:tcW w:w="1352" w:type="dxa"/>
            <w:vAlign w:val="bottom"/>
          </w:tcPr>
          <w:p w14:paraId="546A995F" w14:textId="158F6966" w:rsidR="00224102" w:rsidRPr="00BD31E2" w:rsidRDefault="00224102" w:rsidP="00224102">
            <w:pPr>
              <w:ind w:right="48"/>
              <w:jc w:val="right"/>
              <w:rPr>
                <w:rFonts w:eastAsia="Arial Unicode MS"/>
                <w:sz w:val="18"/>
                <w:szCs w:val="18"/>
              </w:rPr>
            </w:pPr>
            <w:r>
              <w:rPr>
                <w:color w:val="000000"/>
                <w:sz w:val="18"/>
                <w:szCs w:val="18"/>
              </w:rPr>
              <w:t>-</w:t>
            </w:r>
          </w:p>
        </w:tc>
        <w:tc>
          <w:tcPr>
            <w:tcW w:w="1329" w:type="dxa"/>
            <w:vAlign w:val="bottom"/>
          </w:tcPr>
          <w:p w14:paraId="188AB16C" w14:textId="41286C33" w:rsidR="00224102" w:rsidRPr="00BD31E2" w:rsidRDefault="00224102" w:rsidP="00224102">
            <w:pPr>
              <w:ind w:right="48"/>
              <w:jc w:val="right"/>
              <w:rPr>
                <w:rFonts w:eastAsia="Arial Unicode MS"/>
                <w:sz w:val="18"/>
                <w:szCs w:val="18"/>
              </w:rPr>
            </w:pPr>
            <w:r>
              <w:rPr>
                <w:color w:val="000000"/>
                <w:sz w:val="18"/>
                <w:szCs w:val="18"/>
              </w:rPr>
              <w:t>-</w:t>
            </w:r>
          </w:p>
        </w:tc>
        <w:tc>
          <w:tcPr>
            <w:tcW w:w="1582" w:type="dxa"/>
            <w:vAlign w:val="bottom"/>
          </w:tcPr>
          <w:p w14:paraId="1BC542E5" w14:textId="0F608958" w:rsidR="00224102" w:rsidRPr="00BD31E2" w:rsidRDefault="00224102" w:rsidP="00224102">
            <w:pPr>
              <w:ind w:right="48"/>
              <w:jc w:val="right"/>
              <w:rPr>
                <w:rFonts w:eastAsia="Arial Unicode MS"/>
                <w:sz w:val="18"/>
                <w:szCs w:val="18"/>
              </w:rPr>
            </w:pPr>
            <w:r>
              <w:rPr>
                <w:color w:val="000000"/>
                <w:sz w:val="18"/>
                <w:szCs w:val="18"/>
              </w:rPr>
              <w:t>-</w:t>
            </w:r>
          </w:p>
        </w:tc>
        <w:tc>
          <w:tcPr>
            <w:tcW w:w="864" w:type="dxa"/>
            <w:vAlign w:val="bottom"/>
          </w:tcPr>
          <w:p w14:paraId="79A409AE" w14:textId="5975B71A" w:rsidR="00224102" w:rsidRPr="00BD31E2" w:rsidRDefault="00224102" w:rsidP="00224102">
            <w:pPr>
              <w:ind w:right="48"/>
              <w:jc w:val="right"/>
              <w:rPr>
                <w:rFonts w:eastAsia="Arial Unicode MS"/>
                <w:sz w:val="18"/>
                <w:szCs w:val="18"/>
              </w:rPr>
            </w:pPr>
            <w:r>
              <w:rPr>
                <w:color w:val="000000"/>
                <w:sz w:val="18"/>
                <w:szCs w:val="18"/>
              </w:rPr>
              <w:t>-</w:t>
            </w:r>
          </w:p>
        </w:tc>
        <w:tc>
          <w:tcPr>
            <w:tcW w:w="1134" w:type="dxa"/>
            <w:vAlign w:val="bottom"/>
          </w:tcPr>
          <w:p w14:paraId="251444C9" w14:textId="1EC92942" w:rsidR="00224102" w:rsidRPr="00BD31E2" w:rsidRDefault="00224102" w:rsidP="00224102">
            <w:pPr>
              <w:ind w:right="48"/>
              <w:jc w:val="right"/>
              <w:rPr>
                <w:rFonts w:eastAsia="Arial Unicode MS"/>
                <w:sz w:val="18"/>
                <w:szCs w:val="18"/>
              </w:rPr>
            </w:pPr>
            <w:r w:rsidRPr="00BD31E2">
              <w:rPr>
                <w:rFonts w:eastAsia="Arial Unicode MS"/>
                <w:sz w:val="18"/>
                <w:szCs w:val="18"/>
              </w:rPr>
              <w:t>938,50</w:t>
            </w:r>
            <w:r>
              <w:rPr>
                <w:rFonts w:eastAsia="Arial Unicode MS"/>
                <w:sz w:val="18"/>
                <w:szCs w:val="18"/>
              </w:rPr>
              <w:t>0</w:t>
            </w:r>
          </w:p>
        </w:tc>
      </w:tr>
    </w:tbl>
    <w:p w14:paraId="251CBA9F" w14:textId="77777777" w:rsidR="009E467E" w:rsidRDefault="009E467E" w:rsidP="003E6A93">
      <w:pPr>
        <w:jc w:val="both"/>
        <w:rPr>
          <w:bCs/>
          <w:sz w:val="18"/>
          <w:szCs w:val="18"/>
        </w:rPr>
      </w:pPr>
    </w:p>
    <w:p w14:paraId="5A301A6F" w14:textId="77777777" w:rsidR="009E467E" w:rsidRDefault="009E467E">
      <w:pPr>
        <w:spacing w:after="200" w:line="276" w:lineRule="auto"/>
        <w:rPr>
          <w:bCs/>
          <w:sz w:val="18"/>
          <w:szCs w:val="18"/>
        </w:rPr>
      </w:pPr>
      <w:r>
        <w:rPr>
          <w:bCs/>
          <w:sz w:val="18"/>
          <w:szCs w:val="18"/>
        </w:rPr>
        <w:br w:type="page"/>
      </w:r>
    </w:p>
    <w:p w14:paraId="3956B26D" w14:textId="4E07D863" w:rsidR="00A041CD" w:rsidRPr="00A041CD" w:rsidRDefault="00A041CD" w:rsidP="00F5238A">
      <w:pPr>
        <w:pStyle w:val="Heading2"/>
        <w:tabs>
          <w:tab w:val="left" w:pos="0"/>
          <w:tab w:val="left" w:pos="284"/>
        </w:tabs>
        <w:spacing w:before="0"/>
        <w:rPr>
          <w:rFonts w:ascii="Times New Roman" w:hAnsi="Times New Roman"/>
          <w:sz w:val="20"/>
        </w:rPr>
      </w:pPr>
      <w:r w:rsidRPr="00A041CD">
        <w:rPr>
          <w:rFonts w:ascii="Times New Roman" w:hAnsi="Times New Roman"/>
          <w:sz w:val="20"/>
        </w:rPr>
        <w:lastRenderedPageBreak/>
        <w:t>INFORMATION ON THE FINANCIAL POSITION OF THE GROUP (Continued)</w:t>
      </w:r>
    </w:p>
    <w:p w14:paraId="027308C4" w14:textId="77777777" w:rsidR="005E33B0" w:rsidRPr="00604C75" w:rsidRDefault="005E33B0" w:rsidP="00A041CD">
      <w:pPr>
        <w:pStyle w:val="Heading2"/>
        <w:tabs>
          <w:tab w:val="left" w:pos="0"/>
          <w:tab w:val="left" w:pos="284"/>
        </w:tabs>
        <w:rPr>
          <w:rFonts w:ascii="Times New Roman" w:hAnsi="Times New Roman"/>
          <w:caps/>
          <w:sz w:val="20"/>
        </w:rPr>
      </w:pPr>
      <w:r w:rsidRPr="00604C75">
        <w:rPr>
          <w:rFonts w:ascii="Times New Roman" w:hAnsi="Times New Roman"/>
          <w:caps/>
          <w:sz w:val="20"/>
        </w:rPr>
        <w:t>V.</w:t>
      </w:r>
      <w:r w:rsidRPr="00604C75">
        <w:rPr>
          <w:rFonts w:ascii="Times New Roman" w:hAnsi="Times New Roman"/>
          <w:caps/>
          <w:sz w:val="20"/>
        </w:rPr>
        <w:tab/>
      </w:r>
      <w:r w:rsidR="00F5238A">
        <w:rPr>
          <w:rFonts w:ascii="Times New Roman" w:hAnsi="Times New Roman"/>
          <w:caps/>
          <w:sz w:val="20"/>
        </w:rPr>
        <w:t xml:space="preserve">   </w:t>
      </w:r>
      <w:r w:rsidR="005F5062" w:rsidRPr="00604C75">
        <w:rPr>
          <w:rFonts w:ascii="Times New Roman" w:hAnsi="Times New Roman"/>
          <w:sz w:val="20"/>
        </w:rPr>
        <w:t>Explanations</w:t>
      </w:r>
      <w:r w:rsidRPr="00604C75">
        <w:rPr>
          <w:rFonts w:ascii="Times New Roman" w:hAnsi="Times New Roman"/>
          <w:noProof/>
          <w:sz w:val="20"/>
        </w:rPr>
        <w:t xml:space="preserve"> </w:t>
      </w:r>
      <w:r w:rsidR="005F5062" w:rsidRPr="00604C75">
        <w:rPr>
          <w:rFonts w:ascii="Times New Roman" w:hAnsi="Times New Roman"/>
          <w:noProof/>
          <w:sz w:val="20"/>
        </w:rPr>
        <w:t>on Currency Risk</w:t>
      </w:r>
    </w:p>
    <w:p w14:paraId="12240506" w14:textId="77777777" w:rsidR="005E33B0" w:rsidRPr="00604C75" w:rsidRDefault="005E33B0" w:rsidP="003E6A93">
      <w:pPr>
        <w:tabs>
          <w:tab w:val="left" w:pos="0"/>
        </w:tabs>
        <w:jc w:val="both"/>
        <w:rPr>
          <w:sz w:val="20"/>
          <w:szCs w:val="20"/>
        </w:rPr>
      </w:pPr>
    </w:p>
    <w:p w14:paraId="0AE1650B" w14:textId="08ADAE67" w:rsidR="005E33B0" w:rsidRPr="00604C75" w:rsidRDefault="005E33B0" w:rsidP="003E6A93">
      <w:pPr>
        <w:tabs>
          <w:tab w:val="left" w:pos="0"/>
        </w:tabs>
        <w:jc w:val="both"/>
        <w:rPr>
          <w:sz w:val="20"/>
          <w:szCs w:val="20"/>
        </w:rPr>
      </w:pPr>
      <w:r w:rsidRPr="00604C75">
        <w:rPr>
          <w:sz w:val="20"/>
          <w:szCs w:val="20"/>
        </w:rPr>
        <w:t xml:space="preserve">The difference between the </w:t>
      </w:r>
      <w:r w:rsidR="00F24546">
        <w:rPr>
          <w:sz w:val="20"/>
          <w:szCs w:val="20"/>
        </w:rPr>
        <w:t>Parent Bank</w:t>
      </w:r>
      <w:r w:rsidR="00F24546" w:rsidRPr="00604C75">
        <w:rPr>
          <w:sz w:val="20"/>
          <w:szCs w:val="20"/>
        </w:rPr>
        <w:t xml:space="preserve">’s </w:t>
      </w:r>
      <w:r w:rsidRPr="00604C75">
        <w:rPr>
          <w:sz w:val="20"/>
          <w:szCs w:val="20"/>
        </w:rPr>
        <w:t xml:space="preserve">foreign currency denominated and foreign currency indexed on and off-balance sheet assets and liabilities is defined as the “Net Foreign Currency Position” and it is the basis of currency risk. Another important dimension of the currency risk is the change in the exchange rates of different foreign currencies in “Net Foreign Currency Position” (cross currency risk). </w:t>
      </w:r>
    </w:p>
    <w:p w14:paraId="03EE0169" w14:textId="77777777" w:rsidR="005E33B0" w:rsidRPr="00604C75" w:rsidRDefault="005E33B0" w:rsidP="003E6A93">
      <w:pPr>
        <w:tabs>
          <w:tab w:val="left" w:pos="0"/>
        </w:tabs>
        <w:jc w:val="both"/>
        <w:rPr>
          <w:sz w:val="20"/>
          <w:szCs w:val="20"/>
        </w:rPr>
      </w:pPr>
    </w:p>
    <w:p w14:paraId="5CB8C547" w14:textId="53A1F812" w:rsidR="005E33B0" w:rsidRPr="00604C75" w:rsidRDefault="00164C94" w:rsidP="003E6A93">
      <w:pPr>
        <w:tabs>
          <w:tab w:val="left" w:pos="0"/>
        </w:tabs>
        <w:jc w:val="both"/>
        <w:rPr>
          <w:sz w:val="20"/>
          <w:szCs w:val="20"/>
        </w:rPr>
      </w:pPr>
      <w:r w:rsidRPr="00604C75">
        <w:rPr>
          <w:sz w:val="20"/>
          <w:szCs w:val="20"/>
        </w:rPr>
        <w:t xml:space="preserve">The </w:t>
      </w:r>
      <w:r w:rsidR="0051773A" w:rsidRPr="00604C75">
        <w:rPr>
          <w:sz w:val="20"/>
          <w:szCs w:val="20"/>
        </w:rPr>
        <w:t xml:space="preserve">Parent </w:t>
      </w:r>
      <w:r w:rsidR="005E33B0" w:rsidRPr="00604C75">
        <w:rPr>
          <w:sz w:val="20"/>
          <w:szCs w:val="20"/>
        </w:rPr>
        <w:t xml:space="preserve">Bank keeps the amount at currency risk within the legal limits and monitors the foreign currency positions daily/momentarily. Even though the </w:t>
      </w:r>
      <w:r w:rsidR="00F24546">
        <w:rPr>
          <w:sz w:val="20"/>
          <w:szCs w:val="20"/>
        </w:rPr>
        <w:t xml:space="preserve">Parent </w:t>
      </w:r>
      <w:r w:rsidR="005E33B0" w:rsidRPr="00604C75">
        <w:rPr>
          <w:sz w:val="20"/>
          <w:szCs w:val="20"/>
        </w:rPr>
        <w:t>Bank’s determined foreign currency limit is minimal compared to the legal limit, the positions throughout the year did not exceed the</w:t>
      </w:r>
      <w:r w:rsidR="002373A0">
        <w:rPr>
          <w:sz w:val="20"/>
          <w:szCs w:val="20"/>
        </w:rPr>
        <w:t xml:space="preserve"> limits. Term option contracts such as</w:t>
      </w:r>
      <w:r w:rsidR="005E33B0" w:rsidRPr="00604C75">
        <w:rPr>
          <w:sz w:val="20"/>
          <w:szCs w:val="20"/>
        </w:rPr>
        <w:t xml:space="preserve"> swap and forward are used for hedging the currency risk. Stre</w:t>
      </w:r>
      <w:r w:rsidR="00E53D6F">
        <w:rPr>
          <w:sz w:val="20"/>
          <w:szCs w:val="20"/>
        </w:rPr>
        <w:t>ss tests are performed to mitigate</w:t>
      </w:r>
      <w:r w:rsidR="005E33B0" w:rsidRPr="00604C75">
        <w:rPr>
          <w:sz w:val="20"/>
          <w:szCs w:val="20"/>
        </w:rPr>
        <w:t xml:space="preserve"> the </w:t>
      </w:r>
      <w:r w:rsidR="00E53D6F">
        <w:rPr>
          <w:sz w:val="20"/>
          <w:szCs w:val="20"/>
        </w:rPr>
        <w:t>fluctuations</w:t>
      </w:r>
      <w:r w:rsidR="005E33B0" w:rsidRPr="00604C75">
        <w:rPr>
          <w:sz w:val="20"/>
          <w:szCs w:val="20"/>
        </w:rPr>
        <w:t xml:space="preserve"> of the exchange rates.</w:t>
      </w:r>
    </w:p>
    <w:p w14:paraId="37750E1C" w14:textId="77777777" w:rsidR="009E467E" w:rsidRDefault="005E33B0" w:rsidP="009E467E">
      <w:pPr>
        <w:tabs>
          <w:tab w:val="left" w:pos="0"/>
        </w:tabs>
        <w:jc w:val="both"/>
        <w:rPr>
          <w:sz w:val="20"/>
          <w:szCs w:val="20"/>
        </w:rPr>
      </w:pPr>
      <w:r w:rsidRPr="00604C75">
        <w:rPr>
          <w:sz w:val="20"/>
          <w:szCs w:val="20"/>
        </w:rPr>
        <w:t xml:space="preserve"> </w:t>
      </w:r>
    </w:p>
    <w:p w14:paraId="20AB0F6E" w14:textId="77777777" w:rsidR="005E33B0" w:rsidRPr="00604C75" w:rsidRDefault="005E33B0" w:rsidP="009E467E">
      <w:pPr>
        <w:tabs>
          <w:tab w:val="left" w:pos="0"/>
        </w:tabs>
        <w:jc w:val="both"/>
        <w:rPr>
          <w:sz w:val="20"/>
          <w:szCs w:val="20"/>
        </w:rPr>
      </w:pPr>
      <w:r w:rsidRPr="00604C75">
        <w:rPr>
          <w:sz w:val="20"/>
          <w:szCs w:val="20"/>
        </w:rPr>
        <w:t xml:space="preserve">The </w:t>
      </w:r>
      <w:r w:rsidR="0051773A" w:rsidRPr="00604C75">
        <w:rPr>
          <w:sz w:val="20"/>
          <w:szCs w:val="20"/>
        </w:rPr>
        <w:t xml:space="preserve">Parent </w:t>
      </w:r>
      <w:r w:rsidRPr="00604C75">
        <w:rPr>
          <w:sz w:val="20"/>
          <w:szCs w:val="20"/>
        </w:rPr>
        <w:t>Bank’s publicly announced foreign exchange bid rates as of the date of the financial statements and for the la</w:t>
      </w:r>
      <w:r w:rsidR="00164C94" w:rsidRPr="00604C75">
        <w:rPr>
          <w:sz w:val="20"/>
          <w:szCs w:val="20"/>
        </w:rPr>
        <w:t>st five days prior to that date</w:t>
      </w:r>
    </w:p>
    <w:p w14:paraId="5D7BBED5" w14:textId="77777777" w:rsidR="003E6A93" w:rsidRPr="00604C75" w:rsidRDefault="003E6A93" w:rsidP="003E6A93">
      <w:pPr>
        <w:tabs>
          <w:tab w:val="left" w:pos="0"/>
        </w:tabs>
        <w:jc w:val="both"/>
        <w:rPr>
          <w:sz w:val="20"/>
          <w:szCs w:val="20"/>
        </w:rPr>
      </w:pPr>
    </w:p>
    <w:p w14:paraId="6F54E358" w14:textId="77777777" w:rsidR="003E6A93" w:rsidRPr="00604C75" w:rsidRDefault="003E6A93" w:rsidP="003E6A93">
      <w:pPr>
        <w:jc w:val="both"/>
        <w:rPr>
          <w:b/>
          <w:sz w:val="20"/>
          <w:szCs w:val="20"/>
        </w:rPr>
      </w:pPr>
      <w:r w:rsidRPr="00604C75">
        <w:rPr>
          <w:sz w:val="20"/>
          <w:szCs w:val="20"/>
        </w:rPr>
        <w:tab/>
      </w:r>
      <w:r w:rsidRPr="00604C75">
        <w:rPr>
          <w:sz w:val="20"/>
          <w:szCs w:val="20"/>
        </w:rPr>
        <w:tab/>
      </w:r>
      <w:r w:rsidRPr="00604C75">
        <w:rPr>
          <w:sz w:val="20"/>
          <w:szCs w:val="20"/>
        </w:rPr>
        <w:tab/>
      </w:r>
      <w:r w:rsidRPr="00604C75">
        <w:rPr>
          <w:sz w:val="20"/>
          <w:szCs w:val="20"/>
        </w:rPr>
        <w:tab/>
      </w:r>
      <w:r w:rsidRPr="00604C75">
        <w:rPr>
          <w:sz w:val="20"/>
          <w:szCs w:val="20"/>
        </w:rPr>
        <w:tab/>
      </w:r>
      <w:r w:rsidRPr="00604C75">
        <w:rPr>
          <w:sz w:val="20"/>
          <w:szCs w:val="20"/>
        </w:rPr>
        <w:tab/>
      </w:r>
      <w:r w:rsidR="006044C9">
        <w:rPr>
          <w:sz w:val="20"/>
          <w:szCs w:val="20"/>
        </w:rPr>
        <w:t xml:space="preserve">         </w:t>
      </w:r>
      <w:proofErr w:type="spellStart"/>
      <w:r w:rsidR="009E35C6" w:rsidRPr="00604C75">
        <w:rPr>
          <w:b/>
          <w:sz w:val="20"/>
          <w:szCs w:val="20"/>
        </w:rPr>
        <w:t>Usd</w:t>
      </w:r>
      <w:proofErr w:type="spellEnd"/>
      <w:r w:rsidRPr="00604C75">
        <w:rPr>
          <w:b/>
          <w:sz w:val="20"/>
          <w:szCs w:val="20"/>
        </w:rPr>
        <w:tab/>
        <w:t xml:space="preserve">        </w:t>
      </w:r>
      <w:r w:rsidR="009E35C6" w:rsidRPr="00604C75">
        <w:rPr>
          <w:b/>
          <w:sz w:val="20"/>
          <w:szCs w:val="20"/>
        </w:rPr>
        <w:t>Euro</w:t>
      </w:r>
    </w:p>
    <w:p w14:paraId="26A28B60" w14:textId="77777777" w:rsidR="003E6A93" w:rsidRPr="00604C75" w:rsidRDefault="003E6A93" w:rsidP="003E6A93">
      <w:pPr>
        <w:tabs>
          <w:tab w:val="left" w:pos="0"/>
          <w:tab w:val="right" w:pos="7938"/>
          <w:tab w:val="right" w:pos="10080"/>
        </w:tabs>
        <w:jc w:val="both"/>
        <w:rPr>
          <w:b/>
          <w:sz w:val="20"/>
          <w:szCs w:val="20"/>
        </w:rPr>
      </w:pPr>
    </w:p>
    <w:p w14:paraId="44C9A4A3" w14:textId="77777777" w:rsidR="003E6A93" w:rsidRPr="00195EDC" w:rsidRDefault="003E6A93" w:rsidP="003E6A93">
      <w:pPr>
        <w:jc w:val="both"/>
        <w:rPr>
          <w:b/>
          <w:sz w:val="20"/>
          <w:szCs w:val="20"/>
        </w:rPr>
      </w:pPr>
      <w:r w:rsidRPr="00604C75">
        <w:rPr>
          <w:b/>
          <w:sz w:val="20"/>
          <w:szCs w:val="20"/>
        </w:rPr>
        <w:t>Rate used:</w:t>
      </w:r>
      <w:r w:rsidRPr="00604C75">
        <w:rPr>
          <w:b/>
          <w:sz w:val="20"/>
          <w:szCs w:val="20"/>
        </w:rPr>
        <w:tab/>
      </w:r>
      <w:r w:rsidRPr="00604C75">
        <w:rPr>
          <w:b/>
          <w:sz w:val="20"/>
          <w:szCs w:val="20"/>
        </w:rPr>
        <w:tab/>
      </w:r>
      <w:r w:rsidRPr="00604C75">
        <w:rPr>
          <w:b/>
          <w:sz w:val="20"/>
          <w:szCs w:val="20"/>
        </w:rPr>
        <w:tab/>
        <w:t xml:space="preserve">                            </w:t>
      </w:r>
      <w:r w:rsidR="00674CA1">
        <w:rPr>
          <w:b/>
          <w:sz w:val="20"/>
          <w:szCs w:val="20"/>
        </w:rPr>
        <w:t xml:space="preserve"> </w:t>
      </w:r>
      <w:r w:rsidRPr="00195EDC">
        <w:rPr>
          <w:b/>
          <w:sz w:val="20"/>
          <w:szCs w:val="20"/>
        </w:rPr>
        <w:t xml:space="preserve">TL </w:t>
      </w:r>
      <w:r w:rsidR="00AE21CA" w:rsidRPr="00195EDC">
        <w:rPr>
          <w:b/>
          <w:sz w:val="20"/>
          <w:szCs w:val="20"/>
        </w:rPr>
        <w:t>2.9181</w:t>
      </w:r>
      <w:r w:rsidR="00806624" w:rsidRPr="00195EDC">
        <w:rPr>
          <w:b/>
          <w:sz w:val="20"/>
          <w:szCs w:val="20"/>
        </w:rPr>
        <w:t xml:space="preserve">      </w:t>
      </w:r>
      <w:r w:rsidR="00674CA1" w:rsidRPr="00195EDC">
        <w:rPr>
          <w:b/>
          <w:sz w:val="20"/>
          <w:szCs w:val="20"/>
        </w:rPr>
        <w:t xml:space="preserve"> </w:t>
      </w:r>
      <w:r w:rsidR="00806624" w:rsidRPr="00195EDC">
        <w:rPr>
          <w:b/>
          <w:sz w:val="20"/>
          <w:szCs w:val="20"/>
        </w:rPr>
        <w:t xml:space="preserve">    </w:t>
      </w:r>
      <w:r w:rsidR="00CF7607" w:rsidRPr="00195EDC">
        <w:rPr>
          <w:b/>
          <w:sz w:val="20"/>
          <w:szCs w:val="20"/>
        </w:rPr>
        <w:t xml:space="preserve">TL </w:t>
      </w:r>
      <w:r w:rsidR="00AE21CA" w:rsidRPr="00195EDC">
        <w:rPr>
          <w:b/>
          <w:sz w:val="20"/>
          <w:szCs w:val="20"/>
        </w:rPr>
        <w:t>3.1838</w:t>
      </w:r>
      <w:r w:rsidRPr="00195EDC">
        <w:rPr>
          <w:b/>
          <w:sz w:val="20"/>
          <w:szCs w:val="20"/>
        </w:rPr>
        <w:t xml:space="preserve"> </w:t>
      </w:r>
    </w:p>
    <w:p w14:paraId="06BDD4FD" w14:textId="77777777" w:rsidR="003E6A93" w:rsidRPr="00195EDC" w:rsidRDefault="003E6A93" w:rsidP="003E6A93">
      <w:pPr>
        <w:jc w:val="both"/>
        <w:rPr>
          <w:sz w:val="20"/>
          <w:szCs w:val="20"/>
        </w:rPr>
      </w:pPr>
      <w:r w:rsidRPr="00195EDC">
        <w:rPr>
          <w:sz w:val="20"/>
          <w:szCs w:val="20"/>
        </w:rPr>
        <w:t>3</w:t>
      </w:r>
      <w:r w:rsidR="002A69DD" w:rsidRPr="00195EDC">
        <w:rPr>
          <w:sz w:val="20"/>
          <w:szCs w:val="20"/>
        </w:rPr>
        <w:t>1</w:t>
      </w:r>
      <w:r w:rsidR="00CF7607" w:rsidRPr="00195EDC">
        <w:rPr>
          <w:sz w:val="20"/>
          <w:szCs w:val="20"/>
        </w:rPr>
        <w:t xml:space="preserve"> </w:t>
      </w:r>
      <w:r w:rsidR="002A69DD" w:rsidRPr="00195EDC">
        <w:rPr>
          <w:sz w:val="20"/>
          <w:szCs w:val="20"/>
        </w:rPr>
        <w:t xml:space="preserve">December </w:t>
      </w:r>
      <w:r w:rsidRPr="00195EDC">
        <w:rPr>
          <w:sz w:val="20"/>
          <w:szCs w:val="20"/>
        </w:rPr>
        <w:t xml:space="preserve">2015 </w:t>
      </w:r>
      <w:proofErr w:type="spellStart"/>
      <w:r w:rsidR="009E38BD" w:rsidRPr="00195EDC">
        <w:rPr>
          <w:sz w:val="20"/>
          <w:szCs w:val="20"/>
        </w:rPr>
        <w:t>Foreing</w:t>
      </w:r>
      <w:proofErr w:type="spellEnd"/>
      <w:r w:rsidR="009E38BD" w:rsidRPr="00195EDC">
        <w:rPr>
          <w:sz w:val="20"/>
          <w:szCs w:val="20"/>
        </w:rPr>
        <w:t xml:space="preserve"> Currency </w:t>
      </w:r>
      <w:r w:rsidRPr="00195EDC">
        <w:rPr>
          <w:sz w:val="20"/>
          <w:szCs w:val="20"/>
        </w:rPr>
        <w:t xml:space="preserve">Bid Rate </w:t>
      </w:r>
      <w:r w:rsidRPr="00195EDC">
        <w:rPr>
          <w:sz w:val="20"/>
          <w:szCs w:val="20"/>
        </w:rPr>
        <w:tab/>
        <w:t>TL</w:t>
      </w:r>
      <w:r w:rsidR="00AE21CA" w:rsidRPr="00195EDC">
        <w:rPr>
          <w:sz w:val="20"/>
          <w:szCs w:val="20"/>
        </w:rPr>
        <w:t xml:space="preserve"> 2.9181</w:t>
      </w:r>
      <w:r w:rsidRPr="00195EDC">
        <w:rPr>
          <w:sz w:val="20"/>
          <w:szCs w:val="20"/>
        </w:rPr>
        <w:tab/>
        <w:t xml:space="preserve">TL </w:t>
      </w:r>
      <w:r w:rsidR="00AE21CA" w:rsidRPr="00195EDC">
        <w:rPr>
          <w:sz w:val="20"/>
          <w:szCs w:val="20"/>
        </w:rPr>
        <w:t>3.1838</w:t>
      </w:r>
      <w:r w:rsidRPr="00195EDC">
        <w:rPr>
          <w:sz w:val="20"/>
          <w:szCs w:val="20"/>
        </w:rPr>
        <w:t xml:space="preserve"> </w:t>
      </w:r>
    </w:p>
    <w:p w14:paraId="3BA0A43C" w14:textId="77777777" w:rsidR="003E6A93" w:rsidRPr="00195EDC" w:rsidRDefault="006B3FB7" w:rsidP="003E6A93">
      <w:pPr>
        <w:jc w:val="both"/>
        <w:rPr>
          <w:sz w:val="20"/>
          <w:szCs w:val="20"/>
        </w:rPr>
      </w:pPr>
      <w:r w:rsidRPr="00195EDC">
        <w:rPr>
          <w:sz w:val="20"/>
          <w:szCs w:val="20"/>
        </w:rPr>
        <w:t>30</w:t>
      </w:r>
      <w:r w:rsidR="003E6A93" w:rsidRPr="00195EDC">
        <w:rPr>
          <w:sz w:val="20"/>
          <w:szCs w:val="20"/>
        </w:rPr>
        <w:t xml:space="preserve"> </w:t>
      </w:r>
      <w:r w:rsidR="002A69DD" w:rsidRPr="00195EDC">
        <w:rPr>
          <w:sz w:val="20"/>
          <w:szCs w:val="20"/>
        </w:rPr>
        <w:t>December</w:t>
      </w:r>
      <w:r w:rsidR="003E6A93" w:rsidRPr="00195EDC">
        <w:rPr>
          <w:sz w:val="20"/>
          <w:szCs w:val="20"/>
        </w:rPr>
        <w:t xml:space="preserve"> 2015 </w:t>
      </w:r>
      <w:proofErr w:type="spellStart"/>
      <w:r w:rsidR="009E38BD" w:rsidRPr="00195EDC">
        <w:rPr>
          <w:sz w:val="20"/>
          <w:szCs w:val="20"/>
        </w:rPr>
        <w:t>Foreing</w:t>
      </w:r>
      <w:proofErr w:type="spellEnd"/>
      <w:r w:rsidR="009E38BD" w:rsidRPr="00195EDC">
        <w:rPr>
          <w:sz w:val="20"/>
          <w:szCs w:val="20"/>
        </w:rPr>
        <w:t xml:space="preserve"> Currency </w:t>
      </w:r>
      <w:r w:rsidR="003E6A93" w:rsidRPr="00195EDC">
        <w:rPr>
          <w:sz w:val="20"/>
          <w:szCs w:val="20"/>
        </w:rPr>
        <w:t>Bid Rate</w:t>
      </w:r>
      <w:r w:rsidR="003E6A93" w:rsidRPr="00195EDC">
        <w:rPr>
          <w:sz w:val="20"/>
          <w:szCs w:val="20"/>
        </w:rPr>
        <w:tab/>
        <w:t xml:space="preserve">TL </w:t>
      </w:r>
      <w:r w:rsidR="00AE21CA" w:rsidRPr="00195EDC">
        <w:rPr>
          <w:sz w:val="20"/>
          <w:szCs w:val="20"/>
        </w:rPr>
        <w:t>2.9076</w:t>
      </w:r>
      <w:r w:rsidR="00806624" w:rsidRPr="00195EDC">
        <w:rPr>
          <w:sz w:val="20"/>
          <w:szCs w:val="20"/>
        </w:rPr>
        <w:tab/>
        <w:t>T</w:t>
      </w:r>
      <w:r w:rsidR="00AE21CA" w:rsidRPr="00195EDC">
        <w:rPr>
          <w:sz w:val="20"/>
          <w:szCs w:val="20"/>
        </w:rPr>
        <w:t>L 3.1776</w:t>
      </w:r>
    </w:p>
    <w:p w14:paraId="1CC95FBA" w14:textId="77777777" w:rsidR="003E6A93" w:rsidRPr="00195EDC" w:rsidRDefault="00CF7607" w:rsidP="003E6A93">
      <w:pPr>
        <w:jc w:val="both"/>
        <w:rPr>
          <w:sz w:val="20"/>
          <w:szCs w:val="20"/>
        </w:rPr>
      </w:pPr>
      <w:r w:rsidRPr="00195EDC">
        <w:rPr>
          <w:sz w:val="20"/>
          <w:szCs w:val="20"/>
        </w:rPr>
        <w:t>2</w:t>
      </w:r>
      <w:r w:rsidR="006B3FB7" w:rsidRPr="00195EDC">
        <w:rPr>
          <w:sz w:val="20"/>
          <w:szCs w:val="20"/>
        </w:rPr>
        <w:t>9</w:t>
      </w:r>
      <w:r w:rsidRPr="00195EDC">
        <w:rPr>
          <w:sz w:val="20"/>
          <w:szCs w:val="20"/>
        </w:rPr>
        <w:t xml:space="preserve"> </w:t>
      </w:r>
      <w:r w:rsidR="002A69DD" w:rsidRPr="00195EDC">
        <w:rPr>
          <w:sz w:val="20"/>
          <w:szCs w:val="20"/>
        </w:rPr>
        <w:t>December</w:t>
      </w:r>
      <w:r w:rsidR="003E6A93" w:rsidRPr="00195EDC">
        <w:rPr>
          <w:sz w:val="20"/>
          <w:szCs w:val="20"/>
        </w:rPr>
        <w:t xml:space="preserve"> 2015 </w:t>
      </w:r>
      <w:proofErr w:type="spellStart"/>
      <w:r w:rsidR="009E38BD" w:rsidRPr="00195EDC">
        <w:rPr>
          <w:sz w:val="20"/>
          <w:szCs w:val="20"/>
        </w:rPr>
        <w:t>Foreing</w:t>
      </w:r>
      <w:proofErr w:type="spellEnd"/>
      <w:r w:rsidR="009E38BD" w:rsidRPr="00195EDC">
        <w:rPr>
          <w:sz w:val="20"/>
          <w:szCs w:val="20"/>
        </w:rPr>
        <w:t xml:space="preserve"> Currency </w:t>
      </w:r>
      <w:r w:rsidRPr="00195EDC">
        <w:rPr>
          <w:sz w:val="20"/>
          <w:szCs w:val="20"/>
        </w:rPr>
        <w:t>Bid Rate</w:t>
      </w:r>
      <w:r w:rsidRPr="00195EDC">
        <w:rPr>
          <w:sz w:val="20"/>
          <w:szCs w:val="20"/>
        </w:rPr>
        <w:tab/>
        <w:t xml:space="preserve">TL </w:t>
      </w:r>
      <w:r w:rsidR="00AE21CA" w:rsidRPr="00195EDC">
        <w:rPr>
          <w:sz w:val="20"/>
          <w:szCs w:val="20"/>
        </w:rPr>
        <w:t>2.9084</w:t>
      </w:r>
      <w:r w:rsidR="003E6A93" w:rsidRPr="00195EDC">
        <w:rPr>
          <w:sz w:val="20"/>
          <w:szCs w:val="20"/>
        </w:rPr>
        <w:tab/>
        <w:t xml:space="preserve">TL </w:t>
      </w:r>
      <w:r w:rsidR="00AE21CA" w:rsidRPr="00195EDC">
        <w:rPr>
          <w:sz w:val="20"/>
          <w:szCs w:val="20"/>
        </w:rPr>
        <w:t>3.1921</w:t>
      </w:r>
      <w:r w:rsidR="003E6A93" w:rsidRPr="00195EDC">
        <w:rPr>
          <w:sz w:val="20"/>
          <w:szCs w:val="20"/>
        </w:rPr>
        <w:t xml:space="preserve"> </w:t>
      </w:r>
    </w:p>
    <w:p w14:paraId="746A1272" w14:textId="77777777" w:rsidR="003E6A93" w:rsidRPr="00195EDC" w:rsidRDefault="006B3FB7" w:rsidP="003E6A93">
      <w:pPr>
        <w:jc w:val="both"/>
        <w:rPr>
          <w:sz w:val="20"/>
          <w:szCs w:val="20"/>
        </w:rPr>
      </w:pPr>
      <w:r w:rsidRPr="00195EDC">
        <w:rPr>
          <w:sz w:val="20"/>
          <w:szCs w:val="20"/>
        </w:rPr>
        <w:t>28</w:t>
      </w:r>
      <w:r w:rsidR="00CF7607" w:rsidRPr="00195EDC">
        <w:rPr>
          <w:sz w:val="20"/>
          <w:szCs w:val="20"/>
        </w:rPr>
        <w:t xml:space="preserve"> </w:t>
      </w:r>
      <w:r w:rsidR="002A69DD" w:rsidRPr="00195EDC">
        <w:rPr>
          <w:sz w:val="20"/>
          <w:szCs w:val="20"/>
        </w:rPr>
        <w:t>December</w:t>
      </w:r>
      <w:r w:rsidR="003E6A93" w:rsidRPr="00195EDC">
        <w:rPr>
          <w:sz w:val="20"/>
          <w:szCs w:val="20"/>
        </w:rPr>
        <w:t xml:space="preserve"> 2015 </w:t>
      </w:r>
      <w:proofErr w:type="spellStart"/>
      <w:r w:rsidR="009E38BD" w:rsidRPr="00195EDC">
        <w:rPr>
          <w:sz w:val="20"/>
          <w:szCs w:val="20"/>
        </w:rPr>
        <w:t>Foreing</w:t>
      </w:r>
      <w:proofErr w:type="spellEnd"/>
      <w:r w:rsidR="009E38BD" w:rsidRPr="00195EDC">
        <w:rPr>
          <w:sz w:val="20"/>
          <w:szCs w:val="20"/>
        </w:rPr>
        <w:t xml:space="preserve"> Currency </w:t>
      </w:r>
      <w:r w:rsidR="003E6A93" w:rsidRPr="00195EDC">
        <w:rPr>
          <w:sz w:val="20"/>
          <w:szCs w:val="20"/>
        </w:rPr>
        <w:t>Bid Rate</w:t>
      </w:r>
      <w:r w:rsidR="003E6A93" w:rsidRPr="00195EDC">
        <w:rPr>
          <w:sz w:val="20"/>
          <w:szCs w:val="20"/>
        </w:rPr>
        <w:tab/>
        <w:t xml:space="preserve">TL </w:t>
      </w:r>
      <w:r w:rsidR="00AE21CA" w:rsidRPr="00195EDC">
        <w:rPr>
          <w:sz w:val="20"/>
          <w:szCs w:val="20"/>
        </w:rPr>
        <w:t>2.9157</w:t>
      </w:r>
      <w:r w:rsidR="003E6A93" w:rsidRPr="00195EDC">
        <w:rPr>
          <w:sz w:val="20"/>
          <w:szCs w:val="20"/>
        </w:rPr>
        <w:tab/>
        <w:t xml:space="preserve">TL </w:t>
      </w:r>
      <w:r w:rsidR="00AE21CA" w:rsidRPr="00195EDC">
        <w:rPr>
          <w:sz w:val="20"/>
          <w:szCs w:val="20"/>
        </w:rPr>
        <w:t>3.2006</w:t>
      </w:r>
      <w:r w:rsidR="003E6A93" w:rsidRPr="00195EDC">
        <w:rPr>
          <w:sz w:val="20"/>
          <w:szCs w:val="20"/>
        </w:rPr>
        <w:t xml:space="preserve"> </w:t>
      </w:r>
    </w:p>
    <w:p w14:paraId="2452A23E" w14:textId="77777777" w:rsidR="003E6A93" w:rsidRPr="00195EDC" w:rsidRDefault="00CF7607" w:rsidP="003E6A93">
      <w:pPr>
        <w:jc w:val="both"/>
        <w:rPr>
          <w:sz w:val="20"/>
          <w:szCs w:val="20"/>
        </w:rPr>
      </w:pPr>
      <w:r w:rsidRPr="00195EDC">
        <w:rPr>
          <w:sz w:val="20"/>
          <w:szCs w:val="20"/>
        </w:rPr>
        <w:t>2</w:t>
      </w:r>
      <w:r w:rsidR="006B3FB7" w:rsidRPr="00195EDC">
        <w:rPr>
          <w:sz w:val="20"/>
          <w:szCs w:val="20"/>
        </w:rPr>
        <w:t>5</w:t>
      </w:r>
      <w:r w:rsidRPr="00195EDC">
        <w:rPr>
          <w:sz w:val="20"/>
          <w:szCs w:val="20"/>
        </w:rPr>
        <w:t xml:space="preserve"> </w:t>
      </w:r>
      <w:r w:rsidR="002A69DD" w:rsidRPr="00195EDC">
        <w:rPr>
          <w:sz w:val="20"/>
          <w:szCs w:val="20"/>
        </w:rPr>
        <w:t>December</w:t>
      </w:r>
      <w:r w:rsidR="003E6A93" w:rsidRPr="00195EDC">
        <w:rPr>
          <w:sz w:val="20"/>
          <w:szCs w:val="20"/>
        </w:rPr>
        <w:t xml:space="preserve"> 2015 </w:t>
      </w:r>
      <w:proofErr w:type="spellStart"/>
      <w:r w:rsidR="009E38BD" w:rsidRPr="00195EDC">
        <w:rPr>
          <w:sz w:val="20"/>
          <w:szCs w:val="20"/>
        </w:rPr>
        <w:t>Foreing</w:t>
      </w:r>
      <w:proofErr w:type="spellEnd"/>
      <w:r w:rsidR="009E38BD" w:rsidRPr="00195EDC">
        <w:rPr>
          <w:sz w:val="20"/>
          <w:szCs w:val="20"/>
        </w:rPr>
        <w:t xml:space="preserve"> Currency </w:t>
      </w:r>
      <w:r w:rsidR="003E6A93" w:rsidRPr="00195EDC">
        <w:rPr>
          <w:sz w:val="20"/>
          <w:szCs w:val="20"/>
        </w:rPr>
        <w:t>Bid Rate</w:t>
      </w:r>
      <w:r w:rsidR="003E6A93" w:rsidRPr="00195EDC">
        <w:rPr>
          <w:sz w:val="20"/>
          <w:szCs w:val="20"/>
        </w:rPr>
        <w:tab/>
        <w:t xml:space="preserve">TL </w:t>
      </w:r>
      <w:r w:rsidR="00AE21CA" w:rsidRPr="00195EDC">
        <w:rPr>
          <w:sz w:val="20"/>
          <w:szCs w:val="20"/>
        </w:rPr>
        <w:t>2.9123</w:t>
      </w:r>
      <w:r w:rsidR="003E6A93" w:rsidRPr="00195EDC">
        <w:rPr>
          <w:sz w:val="20"/>
          <w:szCs w:val="20"/>
        </w:rPr>
        <w:tab/>
        <w:t xml:space="preserve">TL </w:t>
      </w:r>
      <w:r w:rsidR="00AE21CA" w:rsidRPr="00195EDC">
        <w:rPr>
          <w:sz w:val="20"/>
          <w:szCs w:val="20"/>
        </w:rPr>
        <w:t>3.1904</w:t>
      </w:r>
    </w:p>
    <w:p w14:paraId="1126DDB2" w14:textId="77777777" w:rsidR="005E33B0" w:rsidRPr="00195EDC" w:rsidRDefault="005E33B0" w:rsidP="003E6A93">
      <w:pPr>
        <w:tabs>
          <w:tab w:val="left" w:pos="0"/>
          <w:tab w:val="right" w:pos="7938"/>
          <w:tab w:val="right" w:pos="10080"/>
        </w:tabs>
        <w:jc w:val="both"/>
        <w:rPr>
          <w:b/>
          <w:sz w:val="20"/>
          <w:szCs w:val="20"/>
        </w:rPr>
      </w:pPr>
    </w:p>
    <w:p w14:paraId="1B13BFD8" w14:textId="7539E99B" w:rsidR="00944464" w:rsidRPr="00195EDC" w:rsidRDefault="00944464" w:rsidP="003E6A93">
      <w:pPr>
        <w:pStyle w:val="BodyTextIndent"/>
        <w:tabs>
          <w:tab w:val="left" w:pos="0"/>
        </w:tabs>
        <w:spacing w:after="0"/>
        <w:ind w:left="0"/>
        <w:rPr>
          <w:sz w:val="20"/>
          <w:szCs w:val="20"/>
        </w:rPr>
      </w:pPr>
      <w:r w:rsidRPr="00195EDC">
        <w:rPr>
          <w:sz w:val="20"/>
          <w:szCs w:val="20"/>
        </w:rPr>
        <w:t>The Bank’s fore</w:t>
      </w:r>
      <w:r w:rsidR="00E53D6F">
        <w:rPr>
          <w:sz w:val="20"/>
          <w:szCs w:val="20"/>
        </w:rPr>
        <w:t>ign currency bid rates for the r</w:t>
      </w:r>
      <w:r w:rsidRPr="00195EDC">
        <w:rPr>
          <w:sz w:val="20"/>
          <w:szCs w:val="20"/>
        </w:rPr>
        <w:t>eporting date and average of 30 days before the reporting day is as follows:</w:t>
      </w:r>
    </w:p>
    <w:p w14:paraId="5FB39490" w14:textId="77777777" w:rsidR="005E33B0" w:rsidRPr="00195EDC" w:rsidRDefault="005E33B0" w:rsidP="003E6A93">
      <w:pPr>
        <w:pStyle w:val="BodyTextIndent"/>
        <w:tabs>
          <w:tab w:val="left" w:pos="0"/>
        </w:tabs>
        <w:spacing w:after="0"/>
        <w:ind w:left="0"/>
        <w:rPr>
          <w:sz w:val="20"/>
          <w:szCs w:val="20"/>
        </w:rPr>
      </w:pPr>
      <w:r w:rsidRPr="00195EDC">
        <w:rPr>
          <w:sz w:val="20"/>
          <w:szCs w:val="20"/>
        </w:rPr>
        <w:t xml:space="preserve"> </w:t>
      </w:r>
    </w:p>
    <w:p w14:paraId="07574304" w14:textId="77777777" w:rsidR="005E33B0" w:rsidRPr="00195EDC" w:rsidRDefault="009E35C6" w:rsidP="003E6A93">
      <w:pPr>
        <w:pStyle w:val="BodyTextIndent"/>
        <w:tabs>
          <w:tab w:val="left" w:pos="0"/>
        </w:tabs>
        <w:spacing w:after="0"/>
        <w:ind w:left="0"/>
        <w:rPr>
          <w:sz w:val="20"/>
          <w:szCs w:val="20"/>
        </w:rPr>
      </w:pPr>
      <w:proofErr w:type="spellStart"/>
      <w:r w:rsidRPr="00195EDC">
        <w:rPr>
          <w:sz w:val="20"/>
          <w:szCs w:val="20"/>
        </w:rPr>
        <w:t>Usd</w:t>
      </w:r>
      <w:proofErr w:type="spellEnd"/>
      <w:r w:rsidRPr="00195EDC">
        <w:rPr>
          <w:sz w:val="20"/>
          <w:szCs w:val="20"/>
        </w:rPr>
        <w:t>:</w:t>
      </w:r>
      <w:r w:rsidR="005E33B0" w:rsidRPr="00195EDC">
        <w:rPr>
          <w:sz w:val="20"/>
          <w:szCs w:val="20"/>
        </w:rPr>
        <w:t xml:space="preserve"> </w:t>
      </w:r>
      <w:r w:rsidRPr="00195EDC">
        <w:rPr>
          <w:sz w:val="20"/>
          <w:szCs w:val="20"/>
        </w:rPr>
        <w:t xml:space="preserve"> </w:t>
      </w:r>
      <w:r w:rsidR="005E33B0" w:rsidRPr="00195EDC">
        <w:rPr>
          <w:sz w:val="20"/>
          <w:szCs w:val="20"/>
        </w:rPr>
        <w:t>TL</w:t>
      </w:r>
      <w:r w:rsidR="005E33B0" w:rsidRPr="00195EDC">
        <w:t xml:space="preserve"> </w:t>
      </w:r>
      <w:r w:rsidR="004A109B" w:rsidRPr="00195EDC">
        <w:rPr>
          <w:sz w:val="20"/>
          <w:szCs w:val="20"/>
        </w:rPr>
        <w:t>2.9177</w:t>
      </w:r>
    </w:p>
    <w:p w14:paraId="39B296BE" w14:textId="77777777" w:rsidR="005E33B0" w:rsidRPr="00195EDC" w:rsidRDefault="009E35C6" w:rsidP="003E6A93">
      <w:pPr>
        <w:pStyle w:val="BodyTextIndent"/>
        <w:tabs>
          <w:tab w:val="left" w:pos="0"/>
        </w:tabs>
        <w:spacing w:after="0"/>
        <w:ind w:left="0"/>
        <w:rPr>
          <w:sz w:val="20"/>
          <w:szCs w:val="20"/>
        </w:rPr>
      </w:pPr>
      <w:r w:rsidRPr="00195EDC">
        <w:rPr>
          <w:sz w:val="20"/>
          <w:szCs w:val="20"/>
        </w:rPr>
        <w:t>Euro:</w:t>
      </w:r>
      <w:r w:rsidR="005E33B0" w:rsidRPr="00195EDC">
        <w:rPr>
          <w:sz w:val="20"/>
          <w:szCs w:val="20"/>
        </w:rPr>
        <w:t xml:space="preserve"> TL </w:t>
      </w:r>
      <w:r w:rsidR="004A109B" w:rsidRPr="00195EDC">
        <w:rPr>
          <w:sz w:val="20"/>
          <w:szCs w:val="20"/>
        </w:rPr>
        <w:t>3.1765</w:t>
      </w:r>
    </w:p>
    <w:p w14:paraId="134DC9E6" w14:textId="77777777" w:rsidR="005E33B0" w:rsidRPr="00195EDC" w:rsidRDefault="005E33B0" w:rsidP="003E6A93">
      <w:pPr>
        <w:tabs>
          <w:tab w:val="left" w:pos="0"/>
        </w:tabs>
        <w:jc w:val="both"/>
        <w:rPr>
          <w:sz w:val="20"/>
          <w:szCs w:val="20"/>
        </w:rPr>
      </w:pPr>
    </w:p>
    <w:p w14:paraId="2A472BFC" w14:textId="77777777" w:rsidR="003E6A93" w:rsidRPr="00195EDC" w:rsidRDefault="005E33B0" w:rsidP="003E6A93">
      <w:pPr>
        <w:tabs>
          <w:tab w:val="left" w:pos="0"/>
        </w:tabs>
        <w:jc w:val="both"/>
        <w:rPr>
          <w:sz w:val="20"/>
          <w:szCs w:val="20"/>
        </w:rPr>
      </w:pPr>
      <w:r w:rsidRPr="00195EDC">
        <w:rPr>
          <w:sz w:val="20"/>
          <w:szCs w:val="20"/>
        </w:rPr>
        <w:t>As of 31 December 201</w:t>
      </w:r>
      <w:r w:rsidR="003E6A93" w:rsidRPr="00195EDC">
        <w:rPr>
          <w:sz w:val="20"/>
          <w:szCs w:val="20"/>
        </w:rPr>
        <w:t>4;</w:t>
      </w:r>
    </w:p>
    <w:p w14:paraId="076F3B91" w14:textId="77777777" w:rsidR="005E33B0" w:rsidRPr="00195EDC" w:rsidRDefault="003E6A93" w:rsidP="009E35C6">
      <w:pPr>
        <w:tabs>
          <w:tab w:val="left" w:pos="0"/>
        </w:tabs>
        <w:rPr>
          <w:sz w:val="20"/>
          <w:szCs w:val="20"/>
        </w:rPr>
      </w:pPr>
      <w:r w:rsidRPr="00195EDC">
        <w:rPr>
          <w:sz w:val="20"/>
          <w:szCs w:val="20"/>
        </w:rPr>
        <w:t xml:space="preserve">                                                      </w:t>
      </w:r>
      <w:r w:rsidR="009E35C6" w:rsidRPr="00195EDC">
        <w:rPr>
          <w:sz w:val="20"/>
          <w:szCs w:val="20"/>
        </w:rPr>
        <w:t xml:space="preserve">                            </w:t>
      </w:r>
      <w:r w:rsidR="00674CA1" w:rsidRPr="00195EDC">
        <w:rPr>
          <w:sz w:val="20"/>
          <w:szCs w:val="20"/>
        </w:rPr>
        <w:t xml:space="preserve"> </w:t>
      </w:r>
      <w:r w:rsidR="006044C9" w:rsidRPr="00195EDC">
        <w:rPr>
          <w:sz w:val="20"/>
          <w:szCs w:val="20"/>
        </w:rPr>
        <w:t xml:space="preserve">          </w:t>
      </w:r>
      <w:proofErr w:type="spellStart"/>
      <w:r w:rsidR="009E35C6" w:rsidRPr="00195EDC">
        <w:rPr>
          <w:b/>
          <w:sz w:val="20"/>
          <w:szCs w:val="20"/>
        </w:rPr>
        <w:t>Usd</w:t>
      </w:r>
      <w:proofErr w:type="spellEnd"/>
      <w:r w:rsidR="005E33B0" w:rsidRPr="00195EDC">
        <w:rPr>
          <w:b/>
          <w:sz w:val="20"/>
          <w:szCs w:val="20"/>
        </w:rPr>
        <w:tab/>
      </w:r>
      <w:r w:rsidR="009E35C6" w:rsidRPr="00195EDC">
        <w:rPr>
          <w:b/>
          <w:sz w:val="20"/>
          <w:szCs w:val="20"/>
        </w:rPr>
        <w:t xml:space="preserve">   </w:t>
      </w:r>
      <w:r w:rsidRPr="00195EDC">
        <w:rPr>
          <w:b/>
          <w:sz w:val="20"/>
          <w:szCs w:val="20"/>
        </w:rPr>
        <w:t xml:space="preserve">        </w:t>
      </w:r>
      <w:r w:rsidR="00674CA1" w:rsidRPr="00195EDC">
        <w:rPr>
          <w:b/>
          <w:sz w:val="20"/>
          <w:szCs w:val="20"/>
        </w:rPr>
        <w:t xml:space="preserve"> </w:t>
      </w:r>
      <w:r w:rsidR="006044C9" w:rsidRPr="00195EDC">
        <w:rPr>
          <w:b/>
          <w:sz w:val="20"/>
          <w:szCs w:val="20"/>
        </w:rPr>
        <w:t xml:space="preserve">       </w:t>
      </w:r>
      <w:r w:rsidR="009E35C6" w:rsidRPr="00195EDC">
        <w:rPr>
          <w:b/>
          <w:sz w:val="20"/>
          <w:szCs w:val="20"/>
        </w:rPr>
        <w:t>Euro</w:t>
      </w:r>
    </w:p>
    <w:p w14:paraId="514CD50F" w14:textId="77777777" w:rsidR="005E33B0" w:rsidRPr="00806624" w:rsidRDefault="005E33B0" w:rsidP="003E6A93">
      <w:pPr>
        <w:tabs>
          <w:tab w:val="left" w:pos="0"/>
          <w:tab w:val="right" w:pos="7938"/>
          <w:tab w:val="right" w:pos="10080"/>
        </w:tabs>
        <w:jc w:val="both"/>
        <w:rPr>
          <w:sz w:val="20"/>
          <w:szCs w:val="20"/>
        </w:rPr>
      </w:pPr>
      <w:r w:rsidRPr="00195EDC">
        <w:rPr>
          <w:b/>
          <w:sz w:val="20"/>
          <w:szCs w:val="20"/>
        </w:rPr>
        <w:t>Rate Used</w:t>
      </w:r>
      <w:r w:rsidR="003E6A93" w:rsidRPr="00195EDC">
        <w:rPr>
          <w:sz w:val="20"/>
          <w:szCs w:val="20"/>
        </w:rPr>
        <w:t xml:space="preserve">:                                                                </w:t>
      </w:r>
      <w:r w:rsidR="00674CA1" w:rsidRPr="00195EDC">
        <w:rPr>
          <w:sz w:val="20"/>
          <w:szCs w:val="20"/>
        </w:rPr>
        <w:t xml:space="preserve"> </w:t>
      </w:r>
      <w:r w:rsidRPr="00195EDC">
        <w:rPr>
          <w:sz w:val="20"/>
          <w:szCs w:val="20"/>
        </w:rPr>
        <w:t xml:space="preserve">TL </w:t>
      </w:r>
      <w:r w:rsidR="004A109B" w:rsidRPr="00195EDC">
        <w:rPr>
          <w:sz w:val="20"/>
          <w:szCs w:val="20"/>
        </w:rPr>
        <w:t>2.3269</w:t>
      </w:r>
      <w:r w:rsidR="003E6A93" w:rsidRPr="00195EDC">
        <w:rPr>
          <w:sz w:val="20"/>
          <w:szCs w:val="20"/>
        </w:rPr>
        <w:t xml:space="preserve">            </w:t>
      </w:r>
      <w:r w:rsidRPr="00195EDC">
        <w:rPr>
          <w:sz w:val="20"/>
          <w:szCs w:val="20"/>
        </w:rPr>
        <w:t>TL</w:t>
      </w:r>
      <w:r w:rsidRPr="00806624">
        <w:rPr>
          <w:sz w:val="20"/>
          <w:szCs w:val="20"/>
        </w:rPr>
        <w:t xml:space="preserve"> </w:t>
      </w:r>
      <w:r w:rsidR="004A109B">
        <w:rPr>
          <w:sz w:val="20"/>
          <w:szCs w:val="20"/>
        </w:rPr>
        <w:t>2.8272</w:t>
      </w:r>
    </w:p>
    <w:p w14:paraId="149ACA5C" w14:textId="77777777" w:rsidR="00A041CD" w:rsidRDefault="00A041CD">
      <w:pPr>
        <w:spacing w:after="200" w:line="276" w:lineRule="auto"/>
        <w:rPr>
          <w:b/>
          <w:sz w:val="20"/>
          <w:szCs w:val="20"/>
        </w:rPr>
      </w:pPr>
      <w:r>
        <w:rPr>
          <w:sz w:val="20"/>
        </w:rPr>
        <w:br w:type="page"/>
      </w:r>
    </w:p>
    <w:p w14:paraId="0B9680CF" w14:textId="1151EDE3" w:rsidR="005E33B0" w:rsidRPr="00604C75" w:rsidRDefault="00A041CD" w:rsidP="00A041CD">
      <w:pPr>
        <w:pStyle w:val="Heading2"/>
        <w:tabs>
          <w:tab w:val="left" w:pos="0"/>
          <w:tab w:val="left" w:pos="284"/>
        </w:tabs>
        <w:spacing w:before="0"/>
        <w:rPr>
          <w:b w:val="0"/>
          <w:sz w:val="20"/>
        </w:rPr>
      </w:pPr>
      <w:r w:rsidRPr="00A041CD">
        <w:rPr>
          <w:rFonts w:ascii="Times New Roman" w:hAnsi="Times New Roman"/>
          <w:sz w:val="20"/>
        </w:rPr>
        <w:lastRenderedPageBreak/>
        <w:t>INFORMATION ON THE FINANCIAL POSITION OF THE GROUP (Continued)</w:t>
      </w:r>
    </w:p>
    <w:p w14:paraId="30672F77" w14:textId="77777777" w:rsidR="004D72EC" w:rsidRPr="00604C75" w:rsidRDefault="004D72EC" w:rsidP="00490153">
      <w:pPr>
        <w:pStyle w:val="Heading2"/>
        <w:tabs>
          <w:tab w:val="left" w:pos="709"/>
        </w:tabs>
        <w:ind w:left="851" w:hanging="851"/>
        <w:rPr>
          <w:rFonts w:ascii="Times New Roman" w:hAnsi="Times New Roman"/>
          <w:caps/>
          <w:sz w:val="20"/>
        </w:rPr>
      </w:pPr>
      <w:r w:rsidRPr="00604C75">
        <w:rPr>
          <w:rFonts w:ascii="Times New Roman" w:hAnsi="Times New Roman"/>
          <w:caps/>
          <w:sz w:val="20"/>
        </w:rPr>
        <w:t>V.</w:t>
      </w:r>
      <w:r w:rsidRPr="00604C75">
        <w:rPr>
          <w:rFonts w:ascii="Times New Roman" w:hAnsi="Times New Roman"/>
          <w:caps/>
          <w:sz w:val="20"/>
        </w:rPr>
        <w:tab/>
      </w:r>
      <w:r w:rsidRPr="00604C75">
        <w:rPr>
          <w:rFonts w:ascii="Times New Roman" w:hAnsi="Times New Roman"/>
          <w:noProof/>
          <w:sz w:val="20"/>
        </w:rPr>
        <w:t>E</w:t>
      </w:r>
      <w:r w:rsidR="009E5A22" w:rsidRPr="00604C75">
        <w:rPr>
          <w:rFonts w:ascii="Times New Roman" w:hAnsi="Times New Roman"/>
          <w:noProof/>
          <w:sz w:val="20"/>
        </w:rPr>
        <w:t>xplanations</w:t>
      </w:r>
      <w:r w:rsidRPr="00604C75">
        <w:rPr>
          <w:rFonts w:ascii="Times New Roman" w:hAnsi="Times New Roman"/>
          <w:noProof/>
          <w:sz w:val="20"/>
        </w:rPr>
        <w:t xml:space="preserve"> </w:t>
      </w:r>
      <w:r w:rsidR="009E5A22" w:rsidRPr="00604C75">
        <w:rPr>
          <w:rFonts w:ascii="Times New Roman" w:hAnsi="Times New Roman"/>
          <w:noProof/>
          <w:sz w:val="20"/>
        </w:rPr>
        <w:t xml:space="preserve">on Currency Risk </w:t>
      </w:r>
      <w:r w:rsidRPr="00604C75">
        <w:rPr>
          <w:rFonts w:ascii="Times New Roman" w:hAnsi="Times New Roman"/>
          <w:noProof/>
          <w:sz w:val="20"/>
        </w:rPr>
        <w:t>(Continued)</w:t>
      </w:r>
    </w:p>
    <w:p w14:paraId="0194B0B1" w14:textId="77777777" w:rsidR="005E33B0" w:rsidRPr="00604C75" w:rsidRDefault="005055B5" w:rsidP="00490153">
      <w:pPr>
        <w:spacing w:before="120"/>
        <w:jc w:val="both"/>
        <w:rPr>
          <w:sz w:val="20"/>
          <w:szCs w:val="20"/>
        </w:rPr>
      </w:pPr>
      <w:r w:rsidRPr="00604C75">
        <w:rPr>
          <w:b/>
          <w:noProof/>
          <w:sz w:val="20"/>
          <w:szCs w:val="20"/>
        </w:rPr>
        <w:t xml:space="preserve">a.   </w:t>
      </w:r>
      <w:r w:rsidR="002944A4" w:rsidRPr="00604C75">
        <w:rPr>
          <w:b/>
          <w:noProof/>
          <w:sz w:val="20"/>
          <w:szCs w:val="20"/>
        </w:rPr>
        <w:t xml:space="preserve">        </w:t>
      </w:r>
      <w:r w:rsidR="005E33B0" w:rsidRPr="00604C75">
        <w:rPr>
          <w:b/>
          <w:noProof/>
          <w:sz w:val="20"/>
          <w:szCs w:val="20"/>
        </w:rPr>
        <w:t xml:space="preserve">Information on currency risk of the </w:t>
      </w:r>
      <w:r w:rsidR="007F46D5" w:rsidRPr="00604C75">
        <w:rPr>
          <w:b/>
          <w:noProof/>
          <w:sz w:val="20"/>
          <w:szCs w:val="20"/>
        </w:rPr>
        <w:t>Group</w:t>
      </w:r>
    </w:p>
    <w:p w14:paraId="404B1C37" w14:textId="77777777" w:rsidR="005E33B0" w:rsidRPr="00604C75" w:rsidRDefault="005E33B0" w:rsidP="002944A4">
      <w:pPr>
        <w:jc w:val="both"/>
        <w:rPr>
          <w:sz w:val="20"/>
          <w:szCs w:val="20"/>
        </w:rPr>
      </w:pPr>
    </w:p>
    <w:p w14:paraId="1C864060" w14:textId="77777777" w:rsidR="005E33B0" w:rsidRPr="00604C75" w:rsidRDefault="005E33B0" w:rsidP="002944A4">
      <w:pPr>
        <w:jc w:val="both"/>
        <w:rPr>
          <w:noProof/>
          <w:sz w:val="20"/>
          <w:szCs w:val="20"/>
        </w:rPr>
      </w:pPr>
      <w:r w:rsidRPr="00604C75">
        <w:rPr>
          <w:noProof/>
          <w:sz w:val="20"/>
          <w:szCs w:val="20"/>
        </w:rPr>
        <w:t xml:space="preserve">The </w:t>
      </w:r>
      <w:r w:rsidR="007F46D5" w:rsidRPr="00604C75">
        <w:rPr>
          <w:noProof/>
          <w:sz w:val="20"/>
          <w:szCs w:val="20"/>
        </w:rPr>
        <w:t>Group’s</w:t>
      </w:r>
      <w:r w:rsidRPr="00604C75">
        <w:rPr>
          <w:noProof/>
          <w:sz w:val="20"/>
          <w:szCs w:val="20"/>
        </w:rPr>
        <w:t xml:space="preserve"> real foreign currency position, both in financial and economic terms, is presented in the table below:</w:t>
      </w:r>
    </w:p>
    <w:p w14:paraId="6560725F" w14:textId="77777777" w:rsidR="005E33B0" w:rsidRPr="00604C75" w:rsidRDefault="005E33B0" w:rsidP="002944A4">
      <w:pPr>
        <w:jc w:val="both"/>
        <w:rPr>
          <w:sz w:val="20"/>
          <w:szCs w:val="20"/>
        </w:rPr>
      </w:pPr>
    </w:p>
    <w:tbl>
      <w:tblPr>
        <w:tblW w:w="989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236"/>
        <w:gridCol w:w="900"/>
        <w:gridCol w:w="991"/>
        <w:gridCol w:w="882"/>
        <w:gridCol w:w="938"/>
        <w:gridCol w:w="952"/>
      </w:tblGrid>
      <w:tr w:rsidR="0074162A" w:rsidRPr="00604C75" w14:paraId="2563AA08" w14:textId="77777777" w:rsidTr="00AD726D">
        <w:tc>
          <w:tcPr>
            <w:tcW w:w="5236" w:type="dxa"/>
            <w:vAlign w:val="bottom"/>
          </w:tcPr>
          <w:p w14:paraId="40109C00" w14:textId="77777777" w:rsidR="0074162A" w:rsidRPr="00604C75" w:rsidRDefault="0074162A" w:rsidP="002944A4">
            <w:pPr>
              <w:ind w:left="-202"/>
              <w:jc w:val="center"/>
              <w:rPr>
                <w:b/>
                <w:snapToGrid w:val="0"/>
                <w:sz w:val="18"/>
                <w:szCs w:val="18"/>
              </w:rPr>
            </w:pPr>
          </w:p>
        </w:tc>
        <w:tc>
          <w:tcPr>
            <w:tcW w:w="900" w:type="dxa"/>
            <w:vAlign w:val="bottom"/>
          </w:tcPr>
          <w:p w14:paraId="583D7EA5" w14:textId="77777777" w:rsidR="0074162A" w:rsidRPr="00604C75" w:rsidRDefault="00915D6C">
            <w:pPr>
              <w:jc w:val="right"/>
              <w:rPr>
                <w:b/>
                <w:snapToGrid w:val="0"/>
                <w:sz w:val="18"/>
                <w:szCs w:val="18"/>
              </w:rPr>
            </w:pPr>
            <w:r w:rsidRPr="00604C75">
              <w:rPr>
                <w:b/>
                <w:snapToGrid w:val="0"/>
                <w:sz w:val="18"/>
                <w:szCs w:val="18"/>
              </w:rPr>
              <w:t>Euro</w:t>
            </w:r>
          </w:p>
        </w:tc>
        <w:tc>
          <w:tcPr>
            <w:tcW w:w="991" w:type="dxa"/>
            <w:vAlign w:val="bottom"/>
          </w:tcPr>
          <w:p w14:paraId="4A306731" w14:textId="77777777" w:rsidR="0074162A" w:rsidRPr="00604C75" w:rsidRDefault="00915D6C">
            <w:pPr>
              <w:pStyle w:val="Heading6"/>
              <w:ind w:left="0"/>
              <w:jc w:val="right"/>
              <w:rPr>
                <w:rFonts w:ascii="Times New Roman" w:hAnsi="Times New Roman"/>
                <w:b/>
                <w:sz w:val="18"/>
                <w:szCs w:val="18"/>
                <w:u w:val="none"/>
              </w:rPr>
            </w:pPr>
            <w:proofErr w:type="spellStart"/>
            <w:r w:rsidRPr="00604C75">
              <w:rPr>
                <w:rFonts w:ascii="Times New Roman" w:hAnsi="Times New Roman"/>
                <w:b/>
                <w:sz w:val="18"/>
                <w:szCs w:val="18"/>
                <w:u w:val="none"/>
              </w:rPr>
              <w:t>Usd</w:t>
            </w:r>
            <w:proofErr w:type="spellEnd"/>
          </w:p>
        </w:tc>
        <w:tc>
          <w:tcPr>
            <w:tcW w:w="882" w:type="dxa"/>
          </w:tcPr>
          <w:p w14:paraId="3DF3A82E" w14:textId="77777777" w:rsidR="0074162A" w:rsidRPr="00604C75" w:rsidRDefault="0074162A" w:rsidP="00AD726D">
            <w:pPr>
              <w:jc w:val="right"/>
              <w:rPr>
                <w:b/>
                <w:snapToGrid w:val="0"/>
                <w:sz w:val="18"/>
                <w:szCs w:val="18"/>
              </w:rPr>
            </w:pPr>
            <w:r w:rsidRPr="00604C75">
              <w:rPr>
                <w:b/>
                <w:snapToGrid w:val="0"/>
                <w:sz w:val="18"/>
                <w:szCs w:val="18"/>
              </w:rPr>
              <w:t>Yen</w:t>
            </w:r>
          </w:p>
        </w:tc>
        <w:tc>
          <w:tcPr>
            <w:tcW w:w="938" w:type="dxa"/>
            <w:vAlign w:val="bottom"/>
          </w:tcPr>
          <w:p w14:paraId="4787BD55" w14:textId="77777777" w:rsidR="0074162A" w:rsidRPr="00604C75" w:rsidRDefault="0074162A" w:rsidP="00AD726D">
            <w:pPr>
              <w:jc w:val="right"/>
              <w:rPr>
                <w:b/>
                <w:snapToGrid w:val="0"/>
                <w:sz w:val="18"/>
                <w:szCs w:val="18"/>
              </w:rPr>
            </w:pPr>
            <w:r w:rsidRPr="00604C75">
              <w:rPr>
                <w:b/>
                <w:snapToGrid w:val="0"/>
                <w:sz w:val="18"/>
                <w:szCs w:val="18"/>
              </w:rPr>
              <w:t>Other FC</w:t>
            </w:r>
          </w:p>
        </w:tc>
        <w:tc>
          <w:tcPr>
            <w:tcW w:w="952" w:type="dxa"/>
            <w:vAlign w:val="bottom"/>
          </w:tcPr>
          <w:p w14:paraId="3D7750CD" w14:textId="77777777" w:rsidR="0074162A" w:rsidRPr="00604C75" w:rsidRDefault="0074162A">
            <w:pPr>
              <w:jc w:val="right"/>
              <w:rPr>
                <w:b/>
                <w:snapToGrid w:val="0"/>
                <w:sz w:val="18"/>
                <w:szCs w:val="18"/>
              </w:rPr>
            </w:pPr>
            <w:r w:rsidRPr="00604C75">
              <w:rPr>
                <w:b/>
                <w:snapToGrid w:val="0"/>
                <w:sz w:val="18"/>
                <w:szCs w:val="18"/>
              </w:rPr>
              <w:t>Total</w:t>
            </w:r>
          </w:p>
        </w:tc>
      </w:tr>
      <w:tr w:rsidR="002944A4" w:rsidRPr="00604C75" w14:paraId="5581C10C" w14:textId="77777777" w:rsidTr="00AD726D">
        <w:tc>
          <w:tcPr>
            <w:tcW w:w="5236" w:type="dxa"/>
            <w:vAlign w:val="bottom"/>
          </w:tcPr>
          <w:p w14:paraId="7B7EBB69" w14:textId="77777777" w:rsidR="002944A4" w:rsidRPr="00604C75" w:rsidRDefault="007327C2" w:rsidP="007327C2">
            <w:pPr>
              <w:pStyle w:val="Heading3"/>
              <w:ind w:left="0"/>
              <w:rPr>
                <w:rFonts w:ascii="Times New Roman" w:hAnsi="Times New Roman"/>
                <w:snapToGrid w:val="0"/>
                <w:sz w:val="18"/>
                <w:szCs w:val="18"/>
              </w:rPr>
            </w:pPr>
            <w:r>
              <w:rPr>
                <w:rFonts w:ascii="Times New Roman" w:hAnsi="Times New Roman"/>
                <w:sz w:val="18"/>
                <w:szCs w:val="18"/>
              </w:rPr>
              <w:t>31</w:t>
            </w:r>
            <w:r w:rsidR="00F51CB2">
              <w:rPr>
                <w:rFonts w:ascii="Times New Roman" w:hAnsi="Times New Roman"/>
                <w:sz w:val="18"/>
                <w:szCs w:val="18"/>
              </w:rPr>
              <w:t xml:space="preserve"> </w:t>
            </w:r>
            <w:r>
              <w:rPr>
                <w:rFonts w:ascii="Times New Roman" w:hAnsi="Times New Roman"/>
                <w:sz w:val="18"/>
                <w:szCs w:val="18"/>
              </w:rPr>
              <w:t>December</w:t>
            </w:r>
            <w:r w:rsidR="002944A4" w:rsidRPr="00604C75">
              <w:rPr>
                <w:rFonts w:ascii="Times New Roman" w:hAnsi="Times New Roman"/>
                <w:sz w:val="18"/>
                <w:szCs w:val="18"/>
              </w:rPr>
              <w:t xml:space="preserve"> 2015</w:t>
            </w:r>
          </w:p>
        </w:tc>
        <w:tc>
          <w:tcPr>
            <w:tcW w:w="900" w:type="dxa"/>
            <w:vAlign w:val="bottom"/>
          </w:tcPr>
          <w:p w14:paraId="47E8A86D" w14:textId="77777777" w:rsidR="002944A4" w:rsidRPr="00604C75" w:rsidRDefault="002944A4" w:rsidP="002944A4">
            <w:pPr>
              <w:jc w:val="right"/>
              <w:rPr>
                <w:sz w:val="18"/>
                <w:szCs w:val="18"/>
              </w:rPr>
            </w:pPr>
          </w:p>
        </w:tc>
        <w:tc>
          <w:tcPr>
            <w:tcW w:w="991" w:type="dxa"/>
            <w:vAlign w:val="bottom"/>
          </w:tcPr>
          <w:p w14:paraId="43922C0C" w14:textId="77777777" w:rsidR="002944A4" w:rsidRPr="00604C75" w:rsidRDefault="002944A4" w:rsidP="002944A4">
            <w:pPr>
              <w:jc w:val="right"/>
              <w:rPr>
                <w:sz w:val="18"/>
                <w:szCs w:val="18"/>
              </w:rPr>
            </w:pPr>
          </w:p>
        </w:tc>
        <w:tc>
          <w:tcPr>
            <w:tcW w:w="882" w:type="dxa"/>
          </w:tcPr>
          <w:p w14:paraId="59B0A904" w14:textId="77777777" w:rsidR="002944A4" w:rsidRPr="00604C75" w:rsidRDefault="002944A4" w:rsidP="002944A4">
            <w:pPr>
              <w:jc w:val="right"/>
              <w:rPr>
                <w:sz w:val="18"/>
                <w:szCs w:val="18"/>
              </w:rPr>
            </w:pPr>
          </w:p>
        </w:tc>
        <w:tc>
          <w:tcPr>
            <w:tcW w:w="938" w:type="dxa"/>
            <w:vAlign w:val="bottom"/>
          </w:tcPr>
          <w:p w14:paraId="6950E46E" w14:textId="77777777" w:rsidR="002944A4" w:rsidRPr="00604C75" w:rsidRDefault="002944A4" w:rsidP="002944A4">
            <w:pPr>
              <w:jc w:val="right"/>
              <w:rPr>
                <w:sz w:val="18"/>
                <w:szCs w:val="18"/>
              </w:rPr>
            </w:pPr>
          </w:p>
        </w:tc>
        <w:tc>
          <w:tcPr>
            <w:tcW w:w="952" w:type="dxa"/>
            <w:vAlign w:val="bottom"/>
          </w:tcPr>
          <w:p w14:paraId="5F5831F7" w14:textId="77777777" w:rsidR="002944A4" w:rsidRPr="00604C75" w:rsidRDefault="002944A4" w:rsidP="002944A4">
            <w:pPr>
              <w:jc w:val="right"/>
              <w:rPr>
                <w:sz w:val="18"/>
                <w:szCs w:val="18"/>
              </w:rPr>
            </w:pPr>
          </w:p>
        </w:tc>
      </w:tr>
      <w:tr w:rsidR="002944A4" w:rsidRPr="00604C75" w14:paraId="0935B5B0" w14:textId="77777777" w:rsidTr="00AD726D">
        <w:tc>
          <w:tcPr>
            <w:tcW w:w="5236" w:type="dxa"/>
            <w:vAlign w:val="bottom"/>
          </w:tcPr>
          <w:p w14:paraId="6DD7CDE9" w14:textId="77777777" w:rsidR="002944A4" w:rsidRPr="00604C75" w:rsidRDefault="002944A4" w:rsidP="002944A4">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rPr>
            </w:pPr>
            <w:r w:rsidRPr="00604C75">
              <w:rPr>
                <w:rFonts w:eastAsia="Times New Roman"/>
                <w:b/>
                <w:snapToGrid w:val="0"/>
                <w:lang w:val="en-US"/>
              </w:rPr>
              <w:t>Assets</w:t>
            </w:r>
          </w:p>
        </w:tc>
        <w:tc>
          <w:tcPr>
            <w:tcW w:w="900" w:type="dxa"/>
            <w:vAlign w:val="bottom"/>
          </w:tcPr>
          <w:p w14:paraId="0B035AB6" w14:textId="77777777" w:rsidR="002944A4" w:rsidRPr="00604C75" w:rsidRDefault="002944A4" w:rsidP="002944A4">
            <w:pPr>
              <w:jc w:val="right"/>
              <w:rPr>
                <w:sz w:val="18"/>
                <w:szCs w:val="18"/>
              </w:rPr>
            </w:pPr>
          </w:p>
        </w:tc>
        <w:tc>
          <w:tcPr>
            <w:tcW w:w="991" w:type="dxa"/>
            <w:vAlign w:val="bottom"/>
          </w:tcPr>
          <w:p w14:paraId="1ABB9D5C" w14:textId="77777777" w:rsidR="002944A4" w:rsidRPr="00604C75" w:rsidRDefault="002944A4" w:rsidP="002944A4">
            <w:pPr>
              <w:jc w:val="center"/>
              <w:rPr>
                <w:sz w:val="18"/>
                <w:szCs w:val="18"/>
              </w:rPr>
            </w:pPr>
          </w:p>
        </w:tc>
        <w:tc>
          <w:tcPr>
            <w:tcW w:w="882" w:type="dxa"/>
          </w:tcPr>
          <w:p w14:paraId="2A909077" w14:textId="77777777" w:rsidR="002944A4" w:rsidRPr="00604C75" w:rsidRDefault="002944A4" w:rsidP="002944A4">
            <w:pPr>
              <w:rPr>
                <w:sz w:val="18"/>
                <w:szCs w:val="18"/>
              </w:rPr>
            </w:pPr>
          </w:p>
        </w:tc>
        <w:tc>
          <w:tcPr>
            <w:tcW w:w="938" w:type="dxa"/>
            <w:vAlign w:val="bottom"/>
          </w:tcPr>
          <w:p w14:paraId="0702E7FF" w14:textId="77777777" w:rsidR="002944A4" w:rsidRPr="00604C75" w:rsidRDefault="002944A4" w:rsidP="002944A4">
            <w:pPr>
              <w:rPr>
                <w:sz w:val="18"/>
                <w:szCs w:val="18"/>
              </w:rPr>
            </w:pPr>
          </w:p>
        </w:tc>
        <w:tc>
          <w:tcPr>
            <w:tcW w:w="952" w:type="dxa"/>
            <w:vAlign w:val="bottom"/>
          </w:tcPr>
          <w:p w14:paraId="158ACF0C" w14:textId="77777777" w:rsidR="002944A4" w:rsidRPr="00604C75" w:rsidRDefault="002944A4" w:rsidP="002944A4">
            <w:pPr>
              <w:jc w:val="right"/>
              <w:rPr>
                <w:sz w:val="18"/>
                <w:szCs w:val="18"/>
              </w:rPr>
            </w:pPr>
          </w:p>
        </w:tc>
      </w:tr>
      <w:tr w:rsidR="00224102" w:rsidRPr="00604C75" w14:paraId="097C6569" w14:textId="77777777" w:rsidTr="00AD726D">
        <w:tc>
          <w:tcPr>
            <w:tcW w:w="5236" w:type="dxa"/>
            <w:vAlign w:val="bottom"/>
          </w:tcPr>
          <w:p w14:paraId="6C87C87F"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rPr>
                <w:rFonts w:eastAsia="Times New Roman"/>
                <w:snapToGrid w:val="0"/>
              </w:rPr>
            </w:pPr>
            <w:r w:rsidRPr="00604C75">
              <w:rPr>
                <w:rFonts w:eastAsia="Times New Roman"/>
                <w:noProof/>
                <w:snapToGrid w:val="0"/>
              </w:rPr>
              <w:t>Cash (Cash in Vault, Effectives, Cash in Transit, Cheques Purchased) and Balances with The Central Bank of the Republic of Turkey</w:t>
            </w:r>
          </w:p>
        </w:tc>
        <w:tc>
          <w:tcPr>
            <w:tcW w:w="900" w:type="dxa"/>
            <w:vAlign w:val="bottom"/>
          </w:tcPr>
          <w:p w14:paraId="3023ACBE" w14:textId="0B8914ED" w:rsidR="00224102" w:rsidRPr="00D8486A" w:rsidRDefault="00224102" w:rsidP="00224102">
            <w:pPr>
              <w:jc w:val="right"/>
              <w:rPr>
                <w:sz w:val="16"/>
                <w:szCs w:val="16"/>
              </w:rPr>
            </w:pPr>
            <w:r>
              <w:rPr>
                <w:sz w:val="18"/>
                <w:szCs w:val="18"/>
              </w:rPr>
              <w:t>24,552</w:t>
            </w:r>
          </w:p>
        </w:tc>
        <w:tc>
          <w:tcPr>
            <w:tcW w:w="991" w:type="dxa"/>
            <w:vAlign w:val="bottom"/>
          </w:tcPr>
          <w:p w14:paraId="63A6D18F" w14:textId="51AB8E48" w:rsidR="00224102" w:rsidRPr="00D8486A" w:rsidRDefault="00224102" w:rsidP="00224102">
            <w:pPr>
              <w:jc w:val="right"/>
              <w:rPr>
                <w:sz w:val="16"/>
                <w:szCs w:val="16"/>
              </w:rPr>
            </w:pPr>
            <w:r>
              <w:rPr>
                <w:sz w:val="18"/>
                <w:szCs w:val="18"/>
              </w:rPr>
              <w:t>1,263,661</w:t>
            </w:r>
          </w:p>
        </w:tc>
        <w:tc>
          <w:tcPr>
            <w:tcW w:w="882" w:type="dxa"/>
            <w:vAlign w:val="bottom"/>
          </w:tcPr>
          <w:p w14:paraId="11C2414E" w14:textId="2F5873BD" w:rsidR="00224102" w:rsidRPr="00D8486A" w:rsidRDefault="00224102" w:rsidP="00224102">
            <w:pPr>
              <w:jc w:val="right"/>
              <w:rPr>
                <w:sz w:val="16"/>
                <w:szCs w:val="16"/>
              </w:rPr>
            </w:pPr>
            <w:r>
              <w:rPr>
                <w:sz w:val="18"/>
                <w:szCs w:val="18"/>
              </w:rPr>
              <w:t>2</w:t>
            </w:r>
          </w:p>
        </w:tc>
        <w:tc>
          <w:tcPr>
            <w:tcW w:w="938" w:type="dxa"/>
            <w:vAlign w:val="bottom"/>
          </w:tcPr>
          <w:p w14:paraId="64500575" w14:textId="5C2FC495" w:rsidR="00224102" w:rsidRPr="00D8486A" w:rsidRDefault="00224102" w:rsidP="00224102">
            <w:pPr>
              <w:jc w:val="right"/>
              <w:rPr>
                <w:sz w:val="16"/>
                <w:szCs w:val="16"/>
              </w:rPr>
            </w:pPr>
            <w:r>
              <w:rPr>
                <w:sz w:val="18"/>
                <w:szCs w:val="18"/>
              </w:rPr>
              <w:t>205,715</w:t>
            </w:r>
          </w:p>
        </w:tc>
        <w:tc>
          <w:tcPr>
            <w:tcW w:w="952" w:type="dxa"/>
            <w:vAlign w:val="bottom"/>
          </w:tcPr>
          <w:p w14:paraId="6CEE3537" w14:textId="15B600E6" w:rsidR="00224102" w:rsidRPr="00D8486A" w:rsidRDefault="00224102" w:rsidP="00224102">
            <w:pPr>
              <w:jc w:val="right"/>
              <w:rPr>
                <w:bCs/>
                <w:sz w:val="16"/>
                <w:szCs w:val="16"/>
              </w:rPr>
            </w:pPr>
            <w:r w:rsidRPr="003F362C">
              <w:rPr>
                <w:bCs/>
                <w:sz w:val="18"/>
                <w:szCs w:val="18"/>
              </w:rPr>
              <w:t>1,493,930</w:t>
            </w:r>
          </w:p>
        </w:tc>
      </w:tr>
      <w:tr w:rsidR="00224102" w:rsidRPr="00604C75" w14:paraId="48ED5FBD" w14:textId="77777777" w:rsidTr="00AD726D">
        <w:tc>
          <w:tcPr>
            <w:tcW w:w="5236" w:type="dxa"/>
            <w:vAlign w:val="bottom"/>
          </w:tcPr>
          <w:p w14:paraId="044B2C50" w14:textId="77777777" w:rsidR="00224102" w:rsidRPr="00604C75" w:rsidRDefault="00224102" w:rsidP="00224102">
            <w:pPr>
              <w:rPr>
                <w:i/>
                <w:snapToGrid w:val="0"/>
                <w:sz w:val="18"/>
                <w:szCs w:val="18"/>
              </w:rPr>
            </w:pPr>
            <w:r w:rsidRPr="00604C75">
              <w:rPr>
                <w:noProof/>
                <w:snapToGrid w:val="0"/>
                <w:sz w:val="18"/>
                <w:szCs w:val="18"/>
              </w:rPr>
              <w:t>Banks</w:t>
            </w:r>
          </w:p>
        </w:tc>
        <w:tc>
          <w:tcPr>
            <w:tcW w:w="900" w:type="dxa"/>
            <w:vAlign w:val="bottom"/>
          </w:tcPr>
          <w:p w14:paraId="52EFB142" w14:textId="68D13D09" w:rsidR="00224102" w:rsidRPr="00D8486A" w:rsidRDefault="00224102" w:rsidP="00224102">
            <w:pPr>
              <w:jc w:val="right"/>
              <w:rPr>
                <w:sz w:val="16"/>
                <w:szCs w:val="16"/>
              </w:rPr>
            </w:pPr>
            <w:r>
              <w:rPr>
                <w:sz w:val="18"/>
                <w:szCs w:val="18"/>
              </w:rPr>
              <w:t>1,921</w:t>
            </w:r>
          </w:p>
        </w:tc>
        <w:tc>
          <w:tcPr>
            <w:tcW w:w="991" w:type="dxa"/>
            <w:vAlign w:val="bottom"/>
          </w:tcPr>
          <w:p w14:paraId="507013A8" w14:textId="59BAC62F" w:rsidR="00224102" w:rsidRPr="00D8486A" w:rsidRDefault="00224102" w:rsidP="00224102">
            <w:pPr>
              <w:jc w:val="right"/>
              <w:rPr>
                <w:sz w:val="16"/>
                <w:szCs w:val="16"/>
              </w:rPr>
            </w:pPr>
            <w:r>
              <w:rPr>
                <w:sz w:val="18"/>
                <w:szCs w:val="18"/>
              </w:rPr>
              <w:t>317,263</w:t>
            </w:r>
          </w:p>
        </w:tc>
        <w:tc>
          <w:tcPr>
            <w:tcW w:w="882" w:type="dxa"/>
            <w:vAlign w:val="bottom"/>
          </w:tcPr>
          <w:p w14:paraId="76AEF656" w14:textId="775189F6" w:rsidR="00224102" w:rsidRPr="00D8486A" w:rsidRDefault="00224102" w:rsidP="00224102">
            <w:pPr>
              <w:jc w:val="right"/>
              <w:rPr>
                <w:sz w:val="16"/>
                <w:szCs w:val="16"/>
              </w:rPr>
            </w:pPr>
            <w:r>
              <w:rPr>
                <w:sz w:val="18"/>
                <w:szCs w:val="18"/>
              </w:rPr>
              <w:t>162</w:t>
            </w:r>
          </w:p>
        </w:tc>
        <w:tc>
          <w:tcPr>
            <w:tcW w:w="938" w:type="dxa"/>
            <w:vAlign w:val="bottom"/>
          </w:tcPr>
          <w:p w14:paraId="312D2712" w14:textId="79B09E5F" w:rsidR="00224102" w:rsidRPr="00D8486A" w:rsidRDefault="00224102" w:rsidP="00224102">
            <w:pPr>
              <w:jc w:val="right"/>
              <w:rPr>
                <w:sz w:val="16"/>
                <w:szCs w:val="16"/>
              </w:rPr>
            </w:pPr>
            <w:r>
              <w:rPr>
                <w:sz w:val="18"/>
                <w:szCs w:val="18"/>
              </w:rPr>
              <w:t>2,732</w:t>
            </w:r>
          </w:p>
        </w:tc>
        <w:tc>
          <w:tcPr>
            <w:tcW w:w="952" w:type="dxa"/>
            <w:vAlign w:val="bottom"/>
          </w:tcPr>
          <w:p w14:paraId="2C40B1AF" w14:textId="500246EA" w:rsidR="00224102" w:rsidRPr="00D8486A" w:rsidRDefault="00224102" w:rsidP="00224102">
            <w:pPr>
              <w:jc w:val="right"/>
              <w:rPr>
                <w:bCs/>
                <w:sz w:val="16"/>
                <w:szCs w:val="16"/>
              </w:rPr>
            </w:pPr>
            <w:r w:rsidRPr="003F362C">
              <w:rPr>
                <w:bCs/>
                <w:sz w:val="18"/>
                <w:szCs w:val="18"/>
              </w:rPr>
              <w:t>322,078</w:t>
            </w:r>
          </w:p>
        </w:tc>
      </w:tr>
      <w:tr w:rsidR="00224102" w:rsidRPr="00604C75" w14:paraId="24E907FF" w14:textId="77777777" w:rsidTr="00AD726D">
        <w:tc>
          <w:tcPr>
            <w:tcW w:w="5236" w:type="dxa"/>
            <w:vAlign w:val="bottom"/>
          </w:tcPr>
          <w:p w14:paraId="557EB558" w14:textId="77777777" w:rsidR="00224102" w:rsidRPr="00604C75" w:rsidRDefault="00224102" w:rsidP="00224102">
            <w:pPr>
              <w:rPr>
                <w:snapToGrid w:val="0"/>
                <w:sz w:val="18"/>
                <w:szCs w:val="18"/>
              </w:rPr>
            </w:pPr>
            <w:r w:rsidRPr="00604C75">
              <w:rPr>
                <w:noProof/>
                <w:snapToGrid w:val="0"/>
                <w:sz w:val="18"/>
                <w:szCs w:val="18"/>
              </w:rPr>
              <w:t>Financial Assets at Fair Value Through Profit and Loss</w:t>
            </w:r>
            <w:r>
              <w:rPr>
                <w:noProof/>
                <w:snapToGrid w:val="0"/>
                <w:sz w:val="18"/>
                <w:szCs w:val="18"/>
              </w:rPr>
              <w:t xml:space="preserve"> </w:t>
            </w:r>
            <w:r w:rsidRPr="00604C75">
              <w:rPr>
                <w:snapToGrid w:val="0"/>
                <w:sz w:val="18"/>
                <w:szCs w:val="18"/>
              </w:rPr>
              <w:t>(*)</w:t>
            </w:r>
          </w:p>
        </w:tc>
        <w:tc>
          <w:tcPr>
            <w:tcW w:w="900" w:type="dxa"/>
            <w:vAlign w:val="bottom"/>
          </w:tcPr>
          <w:p w14:paraId="78FFC915" w14:textId="5499CE0B" w:rsidR="00224102" w:rsidRPr="00D8486A" w:rsidRDefault="00224102" w:rsidP="00224102">
            <w:pPr>
              <w:jc w:val="right"/>
              <w:rPr>
                <w:sz w:val="16"/>
                <w:szCs w:val="16"/>
              </w:rPr>
            </w:pPr>
            <w:r>
              <w:rPr>
                <w:sz w:val="18"/>
                <w:szCs w:val="18"/>
              </w:rPr>
              <w:t>13</w:t>
            </w:r>
          </w:p>
        </w:tc>
        <w:tc>
          <w:tcPr>
            <w:tcW w:w="991" w:type="dxa"/>
            <w:vAlign w:val="bottom"/>
          </w:tcPr>
          <w:p w14:paraId="07D21BD9" w14:textId="424939BC" w:rsidR="00224102" w:rsidRPr="00D8486A" w:rsidRDefault="00224102" w:rsidP="00224102">
            <w:pPr>
              <w:jc w:val="right"/>
              <w:rPr>
                <w:sz w:val="16"/>
                <w:szCs w:val="16"/>
              </w:rPr>
            </w:pPr>
            <w:r>
              <w:rPr>
                <w:sz w:val="18"/>
                <w:szCs w:val="18"/>
              </w:rPr>
              <w:t>905</w:t>
            </w:r>
          </w:p>
        </w:tc>
        <w:tc>
          <w:tcPr>
            <w:tcW w:w="882" w:type="dxa"/>
            <w:vAlign w:val="bottom"/>
          </w:tcPr>
          <w:p w14:paraId="228318FE" w14:textId="337B27DA" w:rsidR="00224102" w:rsidRPr="00D8486A" w:rsidRDefault="00224102" w:rsidP="00224102">
            <w:pPr>
              <w:jc w:val="right"/>
              <w:rPr>
                <w:sz w:val="16"/>
                <w:szCs w:val="16"/>
              </w:rPr>
            </w:pPr>
            <w:r>
              <w:rPr>
                <w:sz w:val="18"/>
                <w:szCs w:val="18"/>
              </w:rPr>
              <w:t>-</w:t>
            </w:r>
          </w:p>
        </w:tc>
        <w:tc>
          <w:tcPr>
            <w:tcW w:w="938" w:type="dxa"/>
            <w:vAlign w:val="bottom"/>
          </w:tcPr>
          <w:p w14:paraId="1A6294DA" w14:textId="29964030" w:rsidR="00224102" w:rsidRPr="00D8486A" w:rsidRDefault="00224102" w:rsidP="00224102">
            <w:pPr>
              <w:jc w:val="right"/>
              <w:rPr>
                <w:sz w:val="16"/>
                <w:szCs w:val="16"/>
              </w:rPr>
            </w:pPr>
            <w:r>
              <w:rPr>
                <w:sz w:val="18"/>
                <w:szCs w:val="18"/>
              </w:rPr>
              <w:t>-</w:t>
            </w:r>
          </w:p>
        </w:tc>
        <w:tc>
          <w:tcPr>
            <w:tcW w:w="952" w:type="dxa"/>
            <w:vAlign w:val="bottom"/>
          </w:tcPr>
          <w:p w14:paraId="52F53B19" w14:textId="3ECC7961" w:rsidR="00224102" w:rsidRPr="00D8486A" w:rsidRDefault="00224102" w:rsidP="00224102">
            <w:pPr>
              <w:jc w:val="right"/>
              <w:rPr>
                <w:bCs/>
                <w:sz w:val="16"/>
                <w:szCs w:val="16"/>
              </w:rPr>
            </w:pPr>
            <w:r w:rsidRPr="003F362C">
              <w:rPr>
                <w:bCs/>
                <w:sz w:val="18"/>
                <w:szCs w:val="18"/>
              </w:rPr>
              <w:t>918</w:t>
            </w:r>
          </w:p>
        </w:tc>
      </w:tr>
      <w:tr w:rsidR="00224102" w:rsidRPr="00604C75" w14:paraId="578F54B0" w14:textId="77777777" w:rsidTr="00AD726D">
        <w:tc>
          <w:tcPr>
            <w:tcW w:w="5236" w:type="dxa"/>
            <w:vAlign w:val="bottom"/>
          </w:tcPr>
          <w:p w14:paraId="1AE49A48" w14:textId="77777777" w:rsidR="00224102" w:rsidRPr="00604C75" w:rsidRDefault="00224102" w:rsidP="00224102">
            <w:pPr>
              <w:rPr>
                <w:snapToGrid w:val="0"/>
                <w:sz w:val="18"/>
                <w:szCs w:val="18"/>
              </w:rPr>
            </w:pPr>
            <w:r w:rsidRPr="00604C75">
              <w:rPr>
                <w:noProof/>
                <w:snapToGrid w:val="0"/>
                <w:sz w:val="18"/>
                <w:szCs w:val="18"/>
              </w:rPr>
              <w:t>Money Market Placements</w:t>
            </w:r>
          </w:p>
        </w:tc>
        <w:tc>
          <w:tcPr>
            <w:tcW w:w="900" w:type="dxa"/>
            <w:vAlign w:val="bottom"/>
          </w:tcPr>
          <w:p w14:paraId="4EFF6B10" w14:textId="0FFC4449" w:rsidR="00224102" w:rsidRPr="00D8486A" w:rsidRDefault="00224102" w:rsidP="00224102">
            <w:pPr>
              <w:jc w:val="right"/>
              <w:rPr>
                <w:sz w:val="16"/>
                <w:szCs w:val="16"/>
              </w:rPr>
            </w:pPr>
            <w:r>
              <w:rPr>
                <w:sz w:val="18"/>
                <w:szCs w:val="18"/>
              </w:rPr>
              <w:t>-</w:t>
            </w:r>
          </w:p>
        </w:tc>
        <w:tc>
          <w:tcPr>
            <w:tcW w:w="991" w:type="dxa"/>
            <w:vAlign w:val="bottom"/>
          </w:tcPr>
          <w:p w14:paraId="37BB136A" w14:textId="7CF2DB49" w:rsidR="00224102" w:rsidRPr="00D8486A" w:rsidRDefault="00224102" w:rsidP="00224102">
            <w:pPr>
              <w:jc w:val="right"/>
              <w:rPr>
                <w:sz w:val="16"/>
                <w:szCs w:val="16"/>
              </w:rPr>
            </w:pPr>
            <w:r>
              <w:rPr>
                <w:sz w:val="18"/>
                <w:szCs w:val="18"/>
              </w:rPr>
              <w:t>-</w:t>
            </w:r>
          </w:p>
        </w:tc>
        <w:tc>
          <w:tcPr>
            <w:tcW w:w="882" w:type="dxa"/>
            <w:vAlign w:val="bottom"/>
          </w:tcPr>
          <w:p w14:paraId="1EE491BE" w14:textId="4DBA983A" w:rsidR="00224102" w:rsidRPr="00D8486A" w:rsidRDefault="00224102" w:rsidP="00224102">
            <w:pPr>
              <w:jc w:val="right"/>
              <w:rPr>
                <w:sz w:val="16"/>
                <w:szCs w:val="16"/>
              </w:rPr>
            </w:pPr>
            <w:r>
              <w:rPr>
                <w:sz w:val="18"/>
                <w:szCs w:val="18"/>
              </w:rPr>
              <w:t>-</w:t>
            </w:r>
          </w:p>
        </w:tc>
        <w:tc>
          <w:tcPr>
            <w:tcW w:w="938" w:type="dxa"/>
            <w:vAlign w:val="bottom"/>
          </w:tcPr>
          <w:p w14:paraId="41B7DD65" w14:textId="56ED4E2B" w:rsidR="00224102" w:rsidRPr="00D8486A" w:rsidRDefault="00224102" w:rsidP="00224102">
            <w:pPr>
              <w:jc w:val="right"/>
              <w:rPr>
                <w:sz w:val="16"/>
                <w:szCs w:val="16"/>
              </w:rPr>
            </w:pPr>
            <w:r>
              <w:rPr>
                <w:sz w:val="18"/>
                <w:szCs w:val="18"/>
              </w:rPr>
              <w:t>-</w:t>
            </w:r>
          </w:p>
        </w:tc>
        <w:tc>
          <w:tcPr>
            <w:tcW w:w="952" w:type="dxa"/>
            <w:vAlign w:val="bottom"/>
          </w:tcPr>
          <w:p w14:paraId="45B54E72" w14:textId="746FCEEC" w:rsidR="00224102" w:rsidRPr="00D8486A" w:rsidRDefault="00224102" w:rsidP="00224102">
            <w:pPr>
              <w:jc w:val="right"/>
              <w:rPr>
                <w:bCs/>
                <w:sz w:val="16"/>
                <w:szCs w:val="16"/>
              </w:rPr>
            </w:pPr>
            <w:r w:rsidRPr="003F362C">
              <w:rPr>
                <w:bCs/>
                <w:sz w:val="18"/>
                <w:szCs w:val="18"/>
              </w:rPr>
              <w:t>-</w:t>
            </w:r>
          </w:p>
        </w:tc>
      </w:tr>
      <w:tr w:rsidR="00224102" w:rsidRPr="00604C75" w14:paraId="2F2D10F9" w14:textId="77777777" w:rsidTr="00AD726D">
        <w:tc>
          <w:tcPr>
            <w:tcW w:w="5236" w:type="dxa"/>
            <w:vAlign w:val="bottom"/>
          </w:tcPr>
          <w:p w14:paraId="30B0C5A5" w14:textId="77777777" w:rsidR="00224102" w:rsidRPr="00604C75" w:rsidRDefault="00224102" w:rsidP="00224102">
            <w:pPr>
              <w:rPr>
                <w:snapToGrid w:val="0"/>
                <w:sz w:val="18"/>
                <w:szCs w:val="18"/>
              </w:rPr>
            </w:pPr>
            <w:r w:rsidRPr="00604C75">
              <w:rPr>
                <w:noProof/>
                <w:snapToGrid w:val="0"/>
                <w:sz w:val="18"/>
                <w:szCs w:val="18"/>
              </w:rPr>
              <w:t>Financial Assets Available-For-Sale</w:t>
            </w:r>
          </w:p>
        </w:tc>
        <w:tc>
          <w:tcPr>
            <w:tcW w:w="900" w:type="dxa"/>
            <w:vAlign w:val="bottom"/>
          </w:tcPr>
          <w:p w14:paraId="089B1F64" w14:textId="5191F9F7" w:rsidR="00224102" w:rsidRPr="00D8486A" w:rsidRDefault="00224102" w:rsidP="00224102">
            <w:pPr>
              <w:jc w:val="right"/>
              <w:rPr>
                <w:sz w:val="16"/>
                <w:szCs w:val="16"/>
              </w:rPr>
            </w:pPr>
            <w:r>
              <w:rPr>
                <w:sz w:val="18"/>
                <w:szCs w:val="18"/>
              </w:rPr>
              <w:t>-</w:t>
            </w:r>
          </w:p>
        </w:tc>
        <w:tc>
          <w:tcPr>
            <w:tcW w:w="991" w:type="dxa"/>
            <w:vAlign w:val="bottom"/>
          </w:tcPr>
          <w:p w14:paraId="420FE7A4" w14:textId="7E1481D7" w:rsidR="00224102" w:rsidRPr="00D8486A" w:rsidRDefault="00224102" w:rsidP="00224102">
            <w:pPr>
              <w:jc w:val="right"/>
              <w:rPr>
                <w:sz w:val="16"/>
                <w:szCs w:val="16"/>
              </w:rPr>
            </w:pPr>
            <w:r>
              <w:rPr>
                <w:sz w:val="18"/>
                <w:szCs w:val="18"/>
              </w:rPr>
              <w:t>462,164</w:t>
            </w:r>
          </w:p>
        </w:tc>
        <w:tc>
          <w:tcPr>
            <w:tcW w:w="882" w:type="dxa"/>
            <w:vAlign w:val="bottom"/>
          </w:tcPr>
          <w:p w14:paraId="77364DC6" w14:textId="0ED94425" w:rsidR="00224102" w:rsidRPr="00D8486A" w:rsidRDefault="00224102" w:rsidP="00224102">
            <w:pPr>
              <w:jc w:val="right"/>
              <w:rPr>
                <w:sz w:val="16"/>
                <w:szCs w:val="16"/>
              </w:rPr>
            </w:pPr>
            <w:r>
              <w:rPr>
                <w:sz w:val="18"/>
                <w:szCs w:val="18"/>
              </w:rPr>
              <w:t>-</w:t>
            </w:r>
          </w:p>
        </w:tc>
        <w:tc>
          <w:tcPr>
            <w:tcW w:w="938" w:type="dxa"/>
            <w:vAlign w:val="bottom"/>
          </w:tcPr>
          <w:p w14:paraId="7952A4E7" w14:textId="731C640A" w:rsidR="00224102" w:rsidRPr="00D8486A" w:rsidRDefault="00224102" w:rsidP="00224102">
            <w:pPr>
              <w:jc w:val="right"/>
              <w:rPr>
                <w:sz w:val="16"/>
                <w:szCs w:val="16"/>
              </w:rPr>
            </w:pPr>
            <w:r>
              <w:rPr>
                <w:sz w:val="18"/>
                <w:szCs w:val="18"/>
              </w:rPr>
              <w:t>-</w:t>
            </w:r>
          </w:p>
        </w:tc>
        <w:tc>
          <w:tcPr>
            <w:tcW w:w="952" w:type="dxa"/>
            <w:vAlign w:val="bottom"/>
          </w:tcPr>
          <w:p w14:paraId="728D3B69" w14:textId="06B1E9CA" w:rsidR="00224102" w:rsidRPr="00D8486A" w:rsidRDefault="00224102" w:rsidP="00224102">
            <w:pPr>
              <w:jc w:val="right"/>
              <w:rPr>
                <w:bCs/>
                <w:sz w:val="16"/>
                <w:szCs w:val="16"/>
              </w:rPr>
            </w:pPr>
            <w:r w:rsidRPr="003F362C">
              <w:rPr>
                <w:bCs/>
                <w:sz w:val="18"/>
                <w:szCs w:val="18"/>
              </w:rPr>
              <w:t>462,164</w:t>
            </w:r>
          </w:p>
        </w:tc>
      </w:tr>
      <w:tr w:rsidR="00224102" w:rsidRPr="00604C75" w14:paraId="694DDCAA" w14:textId="77777777" w:rsidTr="00AD726D">
        <w:tc>
          <w:tcPr>
            <w:tcW w:w="5236" w:type="dxa"/>
            <w:vAlign w:val="bottom"/>
          </w:tcPr>
          <w:p w14:paraId="6EF0F499" w14:textId="77777777" w:rsidR="00224102" w:rsidRPr="00604C75" w:rsidRDefault="00224102" w:rsidP="00224102">
            <w:pPr>
              <w:rPr>
                <w:snapToGrid w:val="0"/>
                <w:sz w:val="18"/>
                <w:szCs w:val="18"/>
              </w:rPr>
            </w:pPr>
            <w:r w:rsidRPr="00604C75">
              <w:rPr>
                <w:noProof/>
                <w:snapToGrid w:val="0"/>
                <w:sz w:val="18"/>
                <w:szCs w:val="18"/>
              </w:rPr>
              <w:t>Loans</w:t>
            </w:r>
            <w:r w:rsidRPr="00604C75">
              <w:rPr>
                <w:snapToGrid w:val="0"/>
                <w:sz w:val="18"/>
                <w:szCs w:val="18"/>
              </w:rPr>
              <w:t xml:space="preserve"> (**)</w:t>
            </w:r>
          </w:p>
        </w:tc>
        <w:tc>
          <w:tcPr>
            <w:tcW w:w="900" w:type="dxa"/>
            <w:vAlign w:val="bottom"/>
          </w:tcPr>
          <w:p w14:paraId="2CE4911D" w14:textId="4D43279A" w:rsidR="00224102" w:rsidRPr="00D8486A" w:rsidRDefault="00224102" w:rsidP="00224102">
            <w:pPr>
              <w:jc w:val="right"/>
              <w:rPr>
                <w:sz w:val="16"/>
                <w:szCs w:val="16"/>
              </w:rPr>
            </w:pPr>
            <w:r>
              <w:rPr>
                <w:sz w:val="18"/>
                <w:szCs w:val="18"/>
              </w:rPr>
              <w:t>2,728,190</w:t>
            </w:r>
          </w:p>
        </w:tc>
        <w:tc>
          <w:tcPr>
            <w:tcW w:w="991" w:type="dxa"/>
            <w:vAlign w:val="bottom"/>
          </w:tcPr>
          <w:p w14:paraId="579FBF01" w14:textId="221BB201" w:rsidR="00224102" w:rsidRPr="00D8486A" w:rsidRDefault="00224102" w:rsidP="00224102">
            <w:pPr>
              <w:jc w:val="right"/>
              <w:rPr>
                <w:sz w:val="16"/>
                <w:szCs w:val="16"/>
              </w:rPr>
            </w:pPr>
            <w:r>
              <w:rPr>
                <w:sz w:val="18"/>
                <w:szCs w:val="18"/>
              </w:rPr>
              <w:t>3,186,809</w:t>
            </w:r>
          </w:p>
        </w:tc>
        <w:tc>
          <w:tcPr>
            <w:tcW w:w="882" w:type="dxa"/>
            <w:vAlign w:val="bottom"/>
          </w:tcPr>
          <w:p w14:paraId="266F6F6B" w14:textId="635E30ED" w:rsidR="00224102" w:rsidRPr="00D8486A" w:rsidRDefault="00224102" w:rsidP="00224102">
            <w:pPr>
              <w:jc w:val="right"/>
              <w:rPr>
                <w:sz w:val="16"/>
                <w:szCs w:val="16"/>
              </w:rPr>
            </w:pPr>
            <w:r>
              <w:rPr>
                <w:sz w:val="18"/>
                <w:szCs w:val="18"/>
              </w:rPr>
              <w:t>-</w:t>
            </w:r>
          </w:p>
        </w:tc>
        <w:tc>
          <w:tcPr>
            <w:tcW w:w="938" w:type="dxa"/>
            <w:vAlign w:val="bottom"/>
          </w:tcPr>
          <w:p w14:paraId="1C121E7C" w14:textId="0958B1D4" w:rsidR="00224102" w:rsidRPr="00D8486A" w:rsidRDefault="00224102" w:rsidP="00224102">
            <w:pPr>
              <w:jc w:val="right"/>
              <w:rPr>
                <w:sz w:val="16"/>
                <w:szCs w:val="16"/>
              </w:rPr>
            </w:pPr>
            <w:r>
              <w:rPr>
                <w:sz w:val="18"/>
                <w:szCs w:val="18"/>
              </w:rPr>
              <w:t>432</w:t>
            </w:r>
          </w:p>
        </w:tc>
        <w:tc>
          <w:tcPr>
            <w:tcW w:w="952" w:type="dxa"/>
            <w:vAlign w:val="bottom"/>
          </w:tcPr>
          <w:p w14:paraId="7E2840E0" w14:textId="727E9A6E" w:rsidR="00224102" w:rsidRPr="00D8486A" w:rsidRDefault="00224102" w:rsidP="00224102">
            <w:pPr>
              <w:jc w:val="right"/>
              <w:rPr>
                <w:bCs/>
                <w:sz w:val="16"/>
                <w:szCs w:val="16"/>
              </w:rPr>
            </w:pPr>
            <w:r>
              <w:rPr>
                <w:bCs/>
                <w:sz w:val="18"/>
                <w:szCs w:val="18"/>
              </w:rPr>
              <w:t>5,915,431</w:t>
            </w:r>
          </w:p>
        </w:tc>
      </w:tr>
      <w:tr w:rsidR="00224102" w:rsidRPr="00604C75" w14:paraId="6FB1C242" w14:textId="77777777" w:rsidTr="00AD726D">
        <w:tc>
          <w:tcPr>
            <w:tcW w:w="5236" w:type="dxa"/>
            <w:vAlign w:val="bottom"/>
          </w:tcPr>
          <w:p w14:paraId="6B17595F" w14:textId="49EB802D" w:rsidR="00224102" w:rsidRPr="00604C75" w:rsidRDefault="00224102" w:rsidP="00224102">
            <w:pPr>
              <w:rPr>
                <w:snapToGrid w:val="0"/>
                <w:sz w:val="18"/>
                <w:szCs w:val="18"/>
              </w:rPr>
            </w:pPr>
            <w:r w:rsidRPr="00604C75">
              <w:rPr>
                <w:noProof/>
                <w:snapToGrid w:val="0"/>
                <w:sz w:val="18"/>
                <w:szCs w:val="18"/>
              </w:rPr>
              <w:t>Investments in Associates, Subsidiaries and Joint Ventures</w:t>
            </w:r>
          </w:p>
        </w:tc>
        <w:tc>
          <w:tcPr>
            <w:tcW w:w="900" w:type="dxa"/>
            <w:vAlign w:val="bottom"/>
          </w:tcPr>
          <w:p w14:paraId="79CC75C3" w14:textId="13FA44AB" w:rsidR="00224102" w:rsidRPr="00D8486A" w:rsidRDefault="00224102" w:rsidP="00224102">
            <w:pPr>
              <w:jc w:val="right"/>
              <w:rPr>
                <w:sz w:val="16"/>
                <w:szCs w:val="16"/>
              </w:rPr>
            </w:pPr>
            <w:r>
              <w:rPr>
                <w:sz w:val="18"/>
                <w:szCs w:val="18"/>
              </w:rPr>
              <w:t>-</w:t>
            </w:r>
          </w:p>
        </w:tc>
        <w:tc>
          <w:tcPr>
            <w:tcW w:w="991" w:type="dxa"/>
            <w:vAlign w:val="bottom"/>
          </w:tcPr>
          <w:p w14:paraId="33CEBB8B" w14:textId="5A822E51" w:rsidR="00224102" w:rsidRPr="00D8486A" w:rsidRDefault="00224102" w:rsidP="00224102">
            <w:pPr>
              <w:jc w:val="right"/>
              <w:rPr>
                <w:sz w:val="16"/>
                <w:szCs w:val="16"/>
              </w:rPr>
            </w:pPr>
            <w:r>
              <w:rPr>
                <w:sz w:val="18"/>
                <w:szCs w:val="18"/>
              </w:rPr>
              <w:t>-</w:t>
            </w:r>
          </w:p>
        </w:tc>
        <w:tc>
          <w:tcPr>
            <w:tcW w:w="882" w:type="dxa"/>
            <w:vAlign w:val="bottom"/>
          </w:tcPr>
          <w:p w14:paraId="1CFD8729" w14:textId="2B68AC64" w:rsidR="00224102" w:rsidRPr="00D8486A" w:rsidRDefault="00224102" w:rsidP="00224102">
            <w:pPr>
              <w:jc w:val="right"/>
              <w:rPr>
                <w:sz w:val="16"/>
                <w:szCs w:val="16"/>
              </w:rPr>
            </w:pPr>
            <w:r>
              <w:rPr>
                <w:sz w:val="18"/>
                <w:szCs w:val="18"/>
              </w:rPr>
              <w:t>-</w:t>
            </w:r>
          </w:p>
        </w:tc>
        <w:tc>
          <w:tcPr>
            <w:tcW w:w="938" w:type="dxa"/>
            <w:vAlign w:val="bottom"/>
          </w:tcPr>
          <w:p w14:paraId="4536E432" w14:textId="43A3C9E0" w:rsidR="00224102" w:rsidRPr="00D8486A" w:rsidRDefault="00224102" w:rsidP="00224102">
            <w:pPr>
              <w:jc w:val="right"/>
              <w:rPr>
                <w:sz w:val="16"/>
                <w:szCs w:val="16"/>
              </w:rPr>
            </w:pPr>
            <w:r>
              <w:rPr>
                <w:sz w:val="18"/>
                <w:szCs w:val="18"/>
              </w:rPr>
              <w:t>-</w:t>
            </w:r>
          </w:p>
        </w:tc>
        <w:tc>
          <w:tcPr>
            <w:tcW w:w="952" w:type="dxa"/>
            <w:vAlign w:val="bottom"/>
          </w:tcPr>
          <w:p w14:paraId="65DD23C2" w14:textId="5B4231A1" w:rsidR="00224102" w:rsidRPr="00D8486A" w:rsidRDefault="00224102" w:rsidP="00224102">
            <w:pPr>
              <w:jc w:val="right"/>
              <w:rPr>
                <w:bCs/>
                <w:sz w:val="16"/>
                <w:szCs w:val="16"/>
              </w:rPr>
            </w:pPr>
            <w:r w:rsidRPr="003F362C">
              <w:rPr>
                <w:bCs/>
                <w:sz w:val="18"/>
                <w:szCs w:val="18"/>
              </w:rPr>
              <w:t>-</w:t>
            </w:r>
          </w:p>
        </w:tc>
      </w:tr>
      <w:tr w:rsidR="00224102" w:rsidRPr="00604C75" w14:paraId="5718CE33" w14:textId="77777777" w:rsidTr="00AD726D">
        <w:tc>
          <w:tcPr>
            <w:tcW w:w="5236" w:type="dxa"/>
            <w:vAlign w:val="bottom"/>
          </w:tcPr>
          <w:p w14:paraId="117656B0" w14:textId="77777777" w:rsidR="00224102" w:rsidRPr="00604C75" w:rsidRDefault="00224102" w:rsidP="00224102">
            <w:pPr>
              <w:rPr>
                <w:snapToGrid w:val="0"/>
                <w:sz w:val="18"/>
                <w:szCs w:val="18"/>
              </w:rPr>
            </w:pPr>
            <w:r w:rsidRPr="00604C75">
              <w:rPr>
                <w:noProof/>
                <w:snapToGrid w:val="0"/>
                <w:sz w:val="18"/>
                <w:szCs w:val="18"/>
              </w:rPr>
              <w:t>Held-to-Maturity Investments</w:t>
            </w:r>
          </w:p>
        </w:tc>
        <w:tc>
          <w:tcPr>
            <w:tcW w:w="900" w:type="dxa"/>
            <w:vAlign w:val="bottom"/>
          </w:tcPr>
          <w:p w14:paraId="03E86965" w14:textId="0856B85D" w:rsidR="00224102" w:rsidRPr="00D8486A" w:rsidRDefault="00224102" w:rsidP="00224102">
            <w:pPr>
              <w:jc w:val="right"/>
              <w:rPr>
                <w:sz w:val="16"/>
                <w:szCs w:val="16"/>
              </w:rPr>
            </w:pPr>
            <w:r>
              <w:rPr>
                <w:sz w:val="18"/>
                <w:szCs w:val="18"/>
              </w:rPr>
              <w:t>-</w:t>
            </w:r>
          </w:p>
        </w:tc>
        <w:tc>
          <w:tcPr>
            <w:tcW w:w="991" w:type="dxa"/>
            <w:vAlign w:val="bottom"/>
          </w:tcPr>
          <w:p w14:paraId="061FF7CD" w14:textId="43883821" w:rsidR="00224102" w:rsidRPr="00D8486A" w:rsidRDefault="00224102" w:rsidP="00224102">
            <w:pPr>
              <w:jc w:val="right"/>
              <w:rPr>
                <w:sz w:val="16"/>
                <w:szCs w:val="16"/>
              </w:rPr>
            </w:pPr>
            <w:r>
              <w:rPr>
                <w:sz w:val="18"/>
                <w:szCs w:val="18"/>
              </w:rPr>
              <w:t>-</w:t>
            </w:r>
          </w:p>
        </w:tc>
        <w:tc>
          <w:tcPr>
            <w:tcW w:w="882" w:type="dxa"/>
            <w:vAlign w:val="bottom"/>
          </w:tcPr>
          <w:p w14:paraId="1372181E" w14:textId="75D1D083" w:rsidR="00224102" w:rsidRPr="00D8486A" w:rsidRDefault="00224102" w:rsidP="00224102">
            <w:pPr>
              <w:jc w:val="right"/>
              <w:rPr>
                <w:sz w:val="16"/>
                <w:szCs w:val="16"/>
              </w:rPr>
            </w:pPr>
            <w:r>
              <w:rPr>
                <w:sz w:val="18"/>
                <w:szCs w:val="18"/>
              </w:rPr>
              <w:t>-</w:t>
            </w:r>
          </w:p>
        </w:tc>
        <w:tc>
          <w:tcPr>
            <w:tcW w:w="938" w:type="dxa"/>
            <w:vAlign w:val="bottom"/>
          </w:tcPr>
          <w:p w14:paraId="1B13E38F" w14:textId="662F6ACE" w:rsidR="00224102" w:rsidRPr="00D8486A" w:rsidRDefault="00224102" w:rsidP="00224102">
            <w:pPr>
              <w:jc w:val="right"/>
              <w:rPr>
                <w:sz w:val="16"/>
                <w:szCs w:val="16"/>
              </w:rPr>
            </w:pPr>
            <w:r>
              <w:rPr>
                <w:sz w:val="18"/>
                <w:szCs w:val="18"/>
              </w:rPr>
              <w:t>-</w:t>
            </w:r>
          </w:p>
        </w:tc>
        <w:tc>
          <w:tcPr>
            <w:tcW w:w="952" w:type="dxa"/>
            <w:vAlign w:val="bottom"/>
          </w:tcPr>
          <w:p w14:paraId="650DA250" w14:textId="4B9DDBF5" w:rsidR="00224102" w:rsidRPr="00D8486A" w:rsidRDefault="00224102" w:rsidP="00224102">
            <w:pPr>
              <w:jc w:val="right"/>
              <w:rPr>
                <w:bCs/>
                <w:sz w:val="16"/>
                <w:szCs w:val="16"/>
              </w:rPr>
            </w:pPr>
            <w:r w:rsidRPr="003F362C">
              <w:rPr>
                <w:bCs/>
                <w:sz w:val="18"/>
                <w:szCs w:val="18"/>
              </w:rPr>
              <w:t>-</w:t>
            </w:r>
          </w:p>
        </w:tc>
      </w:tr>
      <w:tr w:rsidR="00224102" w:rsidRPr="00604C75" w14:paraId="118C0113" w14:textId="77777777" w:rsidTr="00AD726D">
        <w:tc>
          <w:tcPr>
            <w:tcW w:w="5236" w:type="dxa"/>
            <w:vAlign w:val="bottom"/>
          </w:tcPr>
          <w:p w14:paraId="6DAB4D05" w14:textId="77777777" w:rsidR="00224102" w:rsidRPr="00604C75" w:rsidRDefault="00224102" w:rsidP="00224102">
            <w:pPr>
              <w:rPr>
                <w:snapToGrid w:val="0"/>
                <w:sz w:val="18"/>
                <w:szCs w:val="18"/>
              </w:rPr>
            </w:pPr>
            <w:r w:rsidRPr="00604C75">
              <w:rPr>
                <w:noProof/>
                <w:snapToGrid w:val="0"/>
                <w:sz w:val="18"/>
                <w:szCs w:val="18"/>
              </w:rPr>
              <w:t xml:space="preserve">Hedging Derivative Financial Assets </w:t>
            </w:r>
          </w:p>
        </w:tc>
        <w:tc>
          <w:tcPr>
            <w:tcW w:w="900" w:type="dxa"/>
            <w:vAlign w:val="bottom"/>
          </w:tcPr>
          <w:p w14:paraId="5FB6B87E" w14:textId="25A75939" w:rsidR="00224102" w:rsidRPr="00D8486A" w:rsidRDefault="00224102" w:rsidP="00224102">
            <w:pPr>
              <w:jc w:val="right"/>
              <w:rPr>
                <w:sz w:val="16"/>
                <w:szCs w:val="16"/>
              </w:rPr>
            </w:pPr>
            <w:r>
              <w:rPr>
                <w:sz w:val="18"/>
                <w:szCs w:val="18"/>
              </w:rPr>
              <w:t>-</w:t>
            </w:r>
          </w:p>
        </w:tc>
        <w:tc>
          <w:tcPr>
            <w:tcW w:w="991" w:type="dxa"/>
            <w:vAlign w:val="bottom"/>
          </w:tcPr>
          <w:p w14:paraId="7FD0A764" w14:textId="1D4FF84B" w:rsidR="00224102" w:rsidRPr="00D8486A" w:rsidRDefault="00224102" w:rsidP="00224102">
            <w:pPr>
              <w:jc w:val="right"/>
              <w:rPr>
                <w:sz w:val="16"/>
                <w:szCs w:val="16"/>
              </w:rPr>
            </w:pPr>
            <w:r>
              <w:rPr>
                <w:sz w:val="18"/>
                <w:szCs w:val="18"/>
              </w:rPr>
              <w:t>-</w:t>
            </w:r>
          </w:p>
        </w:tc>
        <w:tc>
          <w:tcPr>
            <w:tcW w:w="882" w:type="dxa"/>
            <w:vAlign w:val="bottom"/>
          </w:tcPr>
          <w:p w14:paraId="02B29D92" w14:textId="1A72C3CF" w:rsidR="00224102" w:rsidRPr="00D8486A" w:rsidRDefault="00224102" w:rsidP="00224102">
            <w:pPr>
              <w:jc w:val="right"/>
              <w:rPr>
                <w:sz w:val="16"/>
                <w:szCs w:val="16"/>
              </w:rPr>
            </w:pPr>
            <w:r>
              <w:rPr>
                <w:sz w:val="18"/>
                <w:szCs w:val="18"/>
              </w:rPr>
              <w:t>-</w:t>
            </w:r>
          </w:p>
        </w:tc>
        <w:tc>
          <w:tcPr>
            <w:tcW w:w="938" w:type="dxa"/>
            <w:vAlign w:val="bottom"/>
          </w:tcPr>
          <w:p w14:paraId="19538F6E" w14:textId="71C3F905" w:rsidR="00224102" w:rsidRPr="00D8486A" w:rsidRDefault="00224102" w:rsidP="00224102">
            <w:pPr>
              <w:jc w:val="right"/>
              <w:rPr>
                <w:sz w:val="16"/>
                <w:szCs w:val="16"/>
              </w:rPr>
            </w:pPr>
            <w:r>
              <w:rPr>
                <w:sz w:val="18"/>
                <w:szCs w:val="18"/>
              </w:rPr>
              <w:t>-</w:t>
            </w:r>
          </w:p>
        </w:tc>
        <w:tc>
          <w:tcPr>
            <w:tcW w:w="952" w:type="dxa"/>
            <w:vAlign w:val="bottom"/>
          </w:tcPr>
          <w:p w14:paraId="35B23AF1" w14:textId="3DC2064B" w:rsidR="00224102" w:rsidRPr="00D8486A" w:rsidRDefault="00224102" w:rsidP="00224102">
            <w:pPr>
              <w:jc w:val="right"/>
              <w:rPr>
                <w:bCs/>
                <w:sz w:val="16"/>
                <w:szCs w:val="16"/>
              </w:rPr>
            </w:pPr>
            <w:r w:rsidRPr="003F362C">
              <w:rPr>
                <w:bCs/>
                <w:sz w:val="18"/>
                <w:szCs w:val="18"/>
              </w:rPr>
              <w:t>-</w:t>
            </w:r>
          </w:p>
        </w:tc>
      </w:tr>
      <w:tr w:rsidR="00224102" w:rsidRPr="00604C75" w14:paraId="2B86D425" w14:textId="77777777" w:rsidTr="00AD726D">
        <w:tc>
          <w:tcPr>
            <w:tcW w:w="5236" w:type="dxa"/>
            <w:vAlign w:val="bottom"/>
          </w:tcPr>
          <w:p w14:paraId="4312015B" w14:textId="77777777" w:rsidR="00224102" w:rsidRPr="00604C75" w:rsidRDefault="00224102" w:rsidP="00224102">
            <w:pPr>
              <w:rPr>
                <w:snapToGrid w:val="0"/>
                <w:sz w:val="18"/>
                <w:szCs w:val="18"/>
              </w:rPr>
            </w:pPr>
            <w:r w:rsidRPr="00604C75">
              <w:rPr>
                <w:noProof/>
                <w:snapToGrid w:val="0"/>
                <w:sz w:val="18"/>
                <w:szCs w:val="18"/>
              </w:rPr>
              <w:t>Tangible Assets</w:t>
            </w:r>
          </w:p>
        </w:tc>
        <w:tc>
          <w:tcPr>
            <w:tcW w:w="900" w:type="dxa"/>
            <w:vAlign w:val="bottom"/>
          </w:tcPr>
          <w:p w14:paraId="24CAD687" w14:textId="3CCB457B" w:rsidR="00224102" w:rsidRPr="00D8486A" w:rsidRDefault="00224102" w:rsidP="00224102">
            <w:pPr>
              <w:jc w:val="right"/>
              <w:rPr>
                <w:sz w:val="16"/>
                <w:szCs w:val="16"/>
              </w:rPr>
            </w:pPr>
            <w:r>
              <w:rPr>
                <w:sz w:val="18"/>
                <w:szCs w:val="18"/>
              </w:rPr>
              <w:t>-</w:t>
            </w:r>
          </w:p>
        </w:tc>
        <w:tc>
          <w:tcPr>
            <w:tcW w:w="991" w:type="dxa"/>
            <w:vAlign w:val="bottom"/>
          </w:tcPr>
          <w:p w14:paraId="1494C40D" w14:textId="64CC036D" w:rsidR="00224102" w:rsidRPr="00D8486A" w:rsidRDefault="00224102" w:rsidP="00224102">
            <w:pPr>
              <w:jc w:val="right"/>
              <w:rPr>
                <w:sz w:val="16"/>
                <w:szCs w:val="16"/>
              </w:rPr>
            </w:pPr>
            <w:r>
              <w:rPr>
                <w:sz w:val="18"/>
                <w:szCs w:val="18"/>
              </w:rPr>
              <w:t>-</w:t>
            </w:r>
          </w:p>
        </w:tc>
        <w:tc>
          <w:tcPr>
            <w:tcW w:w="882" w:type="dxa"/>
            <w:vAlign w:val="bottom"/>
          </w:tcPr>
          <w:p w14:paraId="2A31D362" w14:textId="49C0A0BB" w:rsidR="00224102" w:rsidRPr="00D8486A" w:rsidRDefault="00224102" w:rsidP="00224102">
            <w:pPr>
              <w:jc w:val="right"/>
              <w:rPr>
                <w:sz w:val="16"/>
                <w:szCs w:val="16"/>
              </w:rPr>
            </w:pPr>
            <w:r>
              <w:rPr>
                <w:sz w:val="18"/>
                <w:szCs w:val="18"/>
              </w:rPr>
              <w:t>-</w:t>
            </w:r>
          </w:p>
        </w:tc>
        <w:tc>
          <w:tcPr>
            <w:tcW w:w="938" w:type="dxa"/>
            <w:vAlign w:val="bottom"/>
          </w:tcPr>
          <w:p w14:paraId="548713F8" w14:textId="0678AEC2" w:rsidR="00224102" w:rsidRPr="00D8486A" w:rsidRDefault="00224102" w:rsidP="00224102">
            <w:pPr>
              <w:jc w:val="right"/>
              <w:rPr>
                <w:sz w:val="16"/>
                <w:szCs w:val="16"/>
              </w:rPr>
            </w:pPr>
            <w:r>
              <w:rPr>
                <w:sz w:val="18"/>
                <w:szCs w:val="18"/>
              </w:rPr>
              <w:t>-</w:t>
            </w:r>
          </w:p>
        </w:tc>
        <w:tc>
          <w:tcPr>
            <w:tcW w:w="952" w:type="dxa"/>
            <w:vAlign w:val="bottom"/>
          </w:tcPr>
          <w:p w14:paraId="5D15E1DD" w14:textId="2BBB9259" w:rsidR="00224102" w:rsidRPr="00D8486A" w:rsidRDefault="00224102" w:rsidP="00224102">
            <w:pPr>
              <w:jc w:val="right"/>
              <w:rPr>
                <w:bCs/>
                <w:sz w:val="16"/>
                <w:szCs w:val="16"/>
              </w:rPr>
            </w:pPr>
            <w:r w:rsidRPr="003F362C">
              <w:rPr>
                <w:bCs/>
                <w:sz w:val="18"/>
                <w:szCs w:val="18"/>
              </w:rPr>
              <w:t>-</w:t>
            </w:r>
          </w:p>
        </w:tc>
      </w:tr>
      <w:tr w:rsidR="00224102" w:rsidRPr="00604C75" w14:paraId="17DC6691" w14:textId="77777777" w:rsidTr="00AD726D">
        <w:tc>
          <w:tcPr>
            <w:tcW w:w="5236" w:type="dxa"/>
            <w:vAlign w:val="bottom"/>
          </w:tcPr>
          <w:p w14:paraId="6E8568C1" w14:textId="77777777" w:rsidR="00224102" w:rsidRPr="00604C75" w:rsidRDefault="00224102" w:rsidP="00224102">
            <w:pPr>
              <w:rPr>
                <w:snapToGrid w:val="0"/>
                <w:sz w:val="18"/>
                <w:szCs w:val="18"/>
              </w:rPr>
            </w:pPr>
            <w:r w:rsidRPr="00604C75">
              <w:rPr>
                <w:noProof/>
                <w:snapToGrid w:val="0"/>
                <w:sz w:val="18"/>
                <w:szCs w:val="18"/>
              </w:rPr>
              <w:t>Intangible Assets</w:t>
            </w:r>
          </w:p>
        </w:tc>
        <w:tc>
          <w:tcPr>
            <w:tcW w:w="900" w:type="dxa"/>
            <w:vAlign w:val="bottom"/>
          </w:tcPr>
          <w:p w14:paraId="0F10A1BD" w14:textId="14E645BF" w:rsidR="00224102" w:rsidRPr="00D8486A" w:rsidRDefault="00224102" w:rsidP="00224102">
            <w:pPr>
              <w:jc w:val="right"/>
              <w:rPr>
                <w:sz w:val="16"/>
                <w:szCs w:val="16"/>
              </w:rPr>
            </w:pPr>
            <w:r>
              <w:rPr>
                <w:sz w:val="18"/>
                <w:szCs w:val="18"/>
              </w:rPr>
              <w:t>-</w:t>
            </w:r>
          </w:p>
        </w:tc>
        <w:tc>
          <w:tcPr>
            <w:tcW w:w="991" w:type="dxa"/>
            <w:vAlign w:val="bottom"/>
          </w:tcPr>
          <w:p w14:paraId="0C197940" w14:textId="02364EA6" w:rsidR="00224102" w:rsidRPr="00D8486A" w:rsidRDefault="00224102" w:rsidP="00224102">
            <w:pPr>
              <w:jc w:val="right"/>
              <w:rPr>
                <w:sz w:val="16"/>
                <w:szCs w:val="16"/>
              </w:rPr>
            </w:pPr>
            <w:r>
              <w:rPr>
                <w:sz w:val="18"/>
                <w:szCs w:val="18"/>
              </w:rPr>
              <w:t>-</w:t>
            </w:r>
          </w:p>
        </w:tc>
        <w:tc>
          <w:tcPr>
            <w:tcW w:w="882" w:type="dxa"/>
            <w:vAlign w:val="bottom"/>
          </w:tcPr>
          <w:p w14:paraId="484D3875" w14:textId="10ABBD0B" w:rsidR="00224102" w:rsidRPr="00D8486A" w:rsidRDefault="00224102" w:rsidP="00224102">
            <w:pPr>
              <w:jc w:val="right"/>
              <w:rPr>
                <w:sz w:val="16"/>
                <w:szCs w:val="16"/>
              </w:rPr>
            </w:pPr>
            <w:r>
              <w:rPr>
                <w:sz w:val="18"/>
                <w:szCs w:val="18"/>
              </w:rPr>
              <w:t>-</w:t>
            </w:r>
          </w:p>
        </w:tc>
        <w:tc>
          <w:tcPr>
            <w:tcW w:w="938" w:type="dxa"/>
            <w:vAlign w:val="bottom"/>
          </w:tcPr>
          <w:p w14:paraId="557BC0C9" w14:textId="74C92F2E" w:rsidR="00224102" w:rsidRPr="00D8486A" w:rsidRDefault="00224102" w:rsidP="00224102">
            <w:pPr>
              <w:jc w:val="right"/>
              <w:rPr>
                <w:sz w:val="16"/>
                <w:szCs w:val="16"/>
              </w:rPr>
            </w:pPr>
            <w:r>
              <w:rPr>
                <w:sz w:val="18"/>
                <w:szCs w:val="18"/>
              </w:rPr>
              <w:t>-</w:t>
            </w:r>
          </w:p>
        </w:tc>
        <w:tc>
          <w:tcPr>
            <w:tcW w:w="952" w:type="dxa"/>
            <w:vAlign w:val="bottom"/>
          </w:tcPr>
          <w:p w14:paraId="079FC886" w14:textId="2BC30D9B" w:rsidR="00224102" w:rsidRPr="00D8486A" w:rsidRDefault="00224102" w:rsidP="00224102">
            <w:pPr>
              <w:jc w:val="right"/>
              <w:rPr>
                <w:bCs/>
                <w:sz w:val="16"/>
                <w:szCs w:val="16"/>
              </w:rPr>
            </w:pPr>
            <w:r w:rsidRPr="003F362C">
              <w:rPr>
                <w:bCs/>
                <w:sz w:val="18"/>
                <w:szCs w:val="18"/>
              </w:rPr>
              <w:t>-</w:t>
            </w:r>
          </w:p>
        </w:tc>
      </w:tr>
      <w:tr w:rsidR="00224102" w:rsidRPr="00604C75" w14:paraId="506C1A0C" w14:textId="77777777" w:rsidTr="00AD726D">
        <w:tc>
          <w:tcPr>
            <w:tcW w:w="5236" w:type="dxa"/>
            <w:vAlign w:val="bottom"/>
          </w:tcPr>
          <w:p w14:paraId="7D5790C1" w14:textId="726EA933" w:rsidR="00224102" w:rsidRPr="00604C75" w:rsidRDefault="00224102" w:rsidP="00224102">
            <w:pPr>
              <w:rPr>
                <w:snapToGrid w:val="0"/>
                <w:sz w:val="18"/>
                <w:szCs w:val="18"/>
              </w:rPr>
            </w:pPr>
            <w:r w:rsidRPr="00604C75">
              <w:rPr>
                <w:noProof/>
                <w:snapToGrid w:val="0"/>
                <w:sz w:val="18"/>
                <w:szCs w:val="18"/>
              </w:rPr>
              <w:t>Other Assets</w:t>
            </w:r>
            <w:r w:rsidRPr="00604C75">
              <w:rPr>
                <w:sz w:val="18"/>
                <w:szCs w:val="18"/>
                <w:vertAlign w:val="superscript"/>
                <w:lang w:eastAsia="tr-TR"/>
              </w:rPr>
              <w:t xml:space="preserve"> </w:t>
            </w:r>
            <w:r>
              <w:rPr>
                <w:snapToGrid w:val="0"/>
                <w:sz w:val="18"/>
                <w:szCs w:val="18"/>
              </w:rPr>
              <w:t>(***)</w:t>
            </w:r>
          </w:p>
        </w:tc>
        <w:tc>
          <w:tcPr>
            <w:tcW w:w="900" w:type="dxa"/>
            <w:vAlign w:val="bottom"/>
          </w:tcPr>
          <w:p w14:paraId="23593247" w14:textId="61686209" w:rsidR="00224102" w:rsidRPr="00D8486A" w:rsidRDefault="00224102" w:rsidP="00224102">
            <w:pPr>
              <w:jc w:val="right"/>
              <w:rPr>
                <w:sz w:val="16"/>
                <w:szCs w:val="16"/>
              </w:rPr>
            </w:pPr>
            <w:r>
              <w:rPr>
                <w:sz w:val="18"/>
                <w:szCs w:val="18"/>
              </w:rPr>
              <w:t>2,364</w:t>
            </w:r>
          </w:p>
        </w:tc>
        <w:tc>
          <w:tcPr>
            <w:tcW w:w="991" w:type="dxa"/>
            <w:vAlign w:val="bottom"/>
          </w:tcPr>
          <w:p w14:paraId="2FEA9281" w14:textId="379B547F" w:rsidR="00224102" w:rsidRPr="00D8486A" w:rsidRDefault="00224102" w:rsidP="00224102">
            <w:pPr>
              <w:jc w:val="right"/>
              <w:rPr>
                <w:sz w:val="16"/>
                <w:szCs w:val="16"/>
              </w:rPr>
            </w:pPr>
            <w:r>
              <w:rPr>
                <w:sz w:val="18"/>
                <w:szCs w:val="18"/>
              </w:rPr>
              <w:t>37,405</w:t>
            </w:r>
          </w:p>
        </w:tc>
        <w:tc>
          <w:tcPr>
            <w:tcW w:w="882" w:type="dxa"/>
            <w:vAlign w:val="bottom"/>
          </w:tcPr>
          <w:p w14:paraId="550327FE" w14:textId="30239C27" w:rsidR="00224102" w:rsidRPr="00D8486A" w:rsidRDefault="00224102" w:rsidP="00224102">
            <w:pPr>
              <w:jc w:val="right"/>
              <w:rPr>
                <w:sz w:val="16"/>
                <w:szCs w:val="16"/>
              </w:rPr>
            </w:pPr>
            <w:r>
              <w:rPr>
                <w:sz w:val="18"/>
                <w:szCs w:val="18"/>
              </w:rPr>
              <w:t>-</w:t>
            </w:r>
          </w:p>
        </w:tc>
        <w:tc>
          <w:tcPr>
            <w:tcW w:w="938" w:type="dxa"/>
            <w:vAlign w:val="bottom"/>
          </w:tcPr>
          <w:p w14:paraId="75221FE6" w14:textId="301D9325" w:rsidR="00224102" w:rsidRPr="00D8486A" w:rsidRDefault="00224102" w:rsidP="00224102">
            <w:pPr>
              <w:jc w:val="right"/>
              <w:rPr>
                <w:sz w:val="16"/>
                <w:szCs w:val="16"/>
              </w:rPr>
            </w:pPr>
            <w:r>
              <w:rPr>
                <w:sz w:val="18"/>
                <w:szCs w:val="18"/>
              </w:rPr>
              <w:t>-</w:t>
            </w:r>
          </w:p>
        </w:tc>
        <w:tc>
          <w:tcPr>
            <w:tcW w:w="952" w:type="dxa"/>
            <w:vAlign w:val="bottom"/>
          </w:tcPr>
          <w:p w14:paraId="392EB896" w14:textId="711CEA85" w:rsidR="00224102" w:rsidRPr="00D8486A" w:rsidRDefault="00224102" w:rsidP="00224102">
            <w:pPr>
              <w:jc w:val="right"/>
              <w:rPr>
                <w:bCs/>
                <w:sz w:val="16"/>
                <w:szCs w:val="16"/>
              </w:rPr>
            </w:pPr>
            <w:r w:rsidRPr="00117A4B">
              <w:rPr>
                <w:bCs/>
                <w:sz w:val="18"/>
                <w:szCs w:val="18"/>
              </w:rPr>
              <w:t>39,769</w:t>
            </w:r>
          </w:p>
        </w:tc>
      </w:tr>
      <w:tr w:rsidR="00224102" w:rsidRPr="00604C75" w14:paraId="110D3A38" w14:textId="77777777" w:rsidTr="00AD726D">
        <w:tc>
          <w:tcPr>
            <w:tcW w:w="5236" w:type="dxa"/>
            <w:vAlign w:val="bottom"/>
          </w:tcPr>
          <w:p w14:paraId="5E302A1B"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rPr>
                <w:b/>
              </w:rPr>
            </w:pPr>
            <w:r w:rsidRPr="00604C75">
              <w:rPr>
                <w:b/>
                <w:snapToGrid w:val="0"/>
              </w:rPr>
              <w:t>Total Assets</w:t>
            </w:r>
          </w:p>
        </w:tc>
        <w:tc>
          <w:tcPr>
            <w:tcW w:w="900" w:type="dxa"/>
            <w:vAlign w:val="bottom"/>
          </w:tcPr>
          <w:p w14:paraId="78CC2F4A" w14:textId="18766957" w:rsidR="00224102" w:rsidRPr="00D8486A" w:rsidRDefault="00224102" w:rsidP="00224102">
            <w:pPr>
              <w:jc w:val="right"/>
              <w:rPr>
                <w:b/>
                <w:bCs/>
                <w:sz w:val="16"/>
                <w:szCs w:val="16"/>
              </w:rPr>
            </w:pPr>
            <w:r>
              <w:rPr>
                <w:b/>
                <w:bCs/>
                <w:sz w:val="18"/>
                <w:szCs w:val="18"/>
              </w:rPr>
              <w:t>2,757,040</w:t>
            </w:r>
          </w:p>
        </w:tc>
        <w:tc>
          <w:tcPr>
            <w:tcW w:w="991" w:type="dxa"/>
            <w:vAlign w:val="bottom"/>
          </w:tcPr>
          <w:p w14:paraId="4C3F0FC9" w14:textId="40536A81" w:rsidR="00224102" w:rsidRPr="00D8486A" w:rsidRDefault="00224102" w:rsidP="00224102">
            <w:pPr>
              <w:jc w:val="right"/>
              <w:rPr>
                <w:b/>
                <w:bCs/>
                <w:sz w:val="16"/>
                <w:szCs w:val="16"/>
              </w:rPr>
            </w:pPr>
            <w:r>
              <w:rPr>
                <w:b/>
                <w:bCs/>
                <w:sz w:val="18"/>
                <w:szCs w:val="18"/>
              </w:rPr>
              <w:t>5,268,207</w:t>
            </w:r>
          </w:p>
        </w:tc>
        <w:tc>
          <w:tcPr>
            <w:tcW w:w="882" w:type="dxa"/>
            <w:vAlign w:val="bottom"/>
          </w:tcPr>
          <w:p w14:paraId="2A4D6D0F" w14:textId="680E0AD7" w:rsidR="00224102" w:rsidRPr="00D8486A" w:rsidRDefault="00224102" w:rsidP="00224102">
            <w:pPr>
              <w:jc w:val="right"/>
              <w:rPr>
                <w:b/>
                <w:bCs/>
                <w:sz w:val="16"/>
                <w:szCs w:val="16"/>
              </w:rPr>
            </w:pPr>
            <w:r>
              <w:rPr>
                <w:b/>
                <w:bCs/>
                <w:sz w:val="18"/>
                <w:szCs w:val="18"/>
              </w:rPr>
              <w:t>164</w:t>
            </w:r>
          </w:p>
        </w:tc>
        <w:tc>
          <w:tcPr>
            <w:tcW w:w="938" w:type="dxa"/>
            <w:vAlign w:val="bottom"/>
          </w:tcPr>
          <w:p w14:paraId="775DA685" w14:textId="32081661" w:rsidR="00224102" w:rsidRPr="00D8486A" w:rsidRDefault="00224102" w:rsidP="00224102">
            <w:pPr>
              <w:jc w:val="right"/>
              <w:rPr>
                <w:b/>
                <w:bCs/>
                <w:sz w:val="16"/>
                <w:szCs w:val="16"/>
              </w:rPr>
            </w:pPr>
            <w:r>
              <w:rPr>
                <w:b/>
                <w:bCs/>
                <w:sz w:val="18"/>
                <w:szCs w:val="18"/>
              </w:rPr>
              <w:t>208,879</w:t>
            </w:r>
          </w:p>
        </w:tc>
        <w:tc>
          <w:tcPr>
            <w:tcW w:w="952" w:type="dxa"/>
            <w:vAlign w:val="bottom"/>
          </w:tcPr>
          <w:p w14:paraId="5ECA46DB" w14:textId="2E5A98CD" w:rsidR="00224102" w:rsidRPr="00D8486A" w:rsidRDefault="00224102" w:rsidP="00224102">
            <w:pPr>
              <w:jc w:val="right"/>
              <w:rPr>
                <w:b/>
                <w:bCs/>
                <w:sz w:val="16"/>
                <w:szCs w:val="16"/>
              </w:rPr>
            </w:pPr>
            <w:r>
              <w:rPr>
                <w:b/>
                <w:bCs/>
                <w:sz w:val="18"/>
                <w:szCs w:val="18"/>
              </w:rPr>
              <w:t>8,234,290</w:t>
            </w:r>
          </w:p>
        </w:tc>
      </w:tr>
      <w:tr w:rsidR="00224102" w:rsidRPr="00604C75" w14:paraId="7F1C9586" w14:textId="77777777" w:rsidTr="001921C0">
        <w:tc>
          <w:tcPr>
            <w:tcW w:w="5236" w:type="dxa"/>
            <w:vAlign w:val="bottom"/>
          </w:tcPr>
          <w:p w14:paraId="437F3715" w14:textId="77777777" w:rsidR="00224102" w:rsidRPr="00604C75" w:rsidRDefault="00224102" w:rsidP="00224102">
            <w:pPr>
              <w:jc w:val="both"/>
              <w:rPr>
                <w:snapToGrid w:val="0"/>
                <w:sz w:val="18"/>
                <w:szCs w:val="18"/>
              </w:rPr>
            </w:pPr>
          </w:p>
        </w:tc>
        <w:tc>
          <w:tcPr>
            <w:tcW w:w="900" w:type="dxa"/>
            <w:vAlign w:val="bottom"/>
          </w:tcPr>
          <w:p w14:paraId="0270F813" w14:textId="77777777" w:rsidR="00224102" w:rsidRPr="00D8486A" w:rsidRDefault="00224102" w:rsidP="00224102">
            <w:pPr>
              <w:jc w:val="right"/>
              <w:rPr>
                <w:b/>
                <w:sz w:val="16"/>
                <w:szCs w:val="16"/>
              </w:rPr>
            </w:pPr>
          </w:p>
        </w:tc>
        <w:tc>
          <w:tcPr>
            <w:tcW w:w="991" w:type="dxa"/>
            <w:vAlign w:val="bottom"/>
          </w:tcPr>
          <w:p w14:paraId="42E9A367" w14:textId="77777777" w:rsidR="00224102" w:rsidRPr="00D8486A" w:rsidRDefault="00224102" w:rsidP="00224102">
            <w:pPr>
              <w:jc w:val="right"/>
              <w:rPr>
                <w:b/>
                <w:sz w:val="16"/>
                <w:szCs w:val="16"/>
              </w:rPr>
            </w:pPr>
          </w:p>
        </w:tc>
        <w:tc>
          <w:tcPr>
            <w:tcW w:w="882" w:type="dxa"/>
            <w:vAlign w:val="bottom"/>
          </w:tcPr>
          <w:p w14:paraId="182E9099" w14:textId="77777777" w:rsidR="00224102" w:rsidRPr="00D8486A" w:rsidRDefault="00224102" w:rsidP="00224102">
            <w:pPr>
              <w:jc w:val="right"/>
              <w:rPr>
                <w:b/>
                <w:sz w:val="16"/>
                <w:szCs w:val="16"/>
              </w:rPr>
            </w:pPr>
          </w:p>
        </w:tc>
        <w:tc>
          <w:tcPr>
            <w:tcW w:w="938" w:type="dxa"/>
            <w:vAlign w:val="bottom"/>
          </w:tcPr>
          <w:p w14:paraId="4D6DF075" w14:textId="77777777" w:rsidR="00224102" w:rsidRPr="00D8486A" w:rsidRDefault="00224102" w:rsidP="00224102">
            <w:pPr>
              <w:jc w:val="right"/>
              <w:rPr>
                <w:b/>
                <w:sz w:val="16"/>
                <w:szCs w:val="16"/>
              </w:rPr>
            </w:pPr>
          </w:p>
        </w:tc>
        <w:tc>
          <w:tcPr>
            <w:tcW w:w="952" w:type="dxa"/>
            <w:vAlign w:val="bottom"/>
          </w:tcPr>
          <w:p w14:paraId="0DAE9F29" w14:textId="77777777" w:rsidR="00224102" w:rsidRPr="00D8486A" w:rsidRDefault="00224102" w:rsidP="00224102">
            <w:pPr>
              <w:jc w:val="right"/>
              <w:rPr>
                <w:b/>
                <w:sz w:val="16"/>
                <w:szCs w:val="16"/>
              </w:rPr>
            </w:pPr>
          </w:p>
        </w:tc>
      </w:tr>
      <w:tr w:rsidR="00224102" w:rsidRPr="00604C75" w14:paraId="298D2D9B" w14:textId="77777777" w:rsidTr="001921C0">
        <w:tc>
          <w:tcPr>
            <w:tcW w:w="5236" w:type="dxa"/>
            <w:vAlign w:val="bottom"/>
          </w:tcPr>
          <w:p w14:paraId="06A12746" w14:textId="77777777" w:rsidR="00224102" w:rsidRPr="00604C75" w:rsidRDefault="00224102" w:rsidP="00224102">
            <w:pPr>
              <w:rPr>
                <w:b/>
                <w:i/>
                <w:snapToGrid w:val="0"/>
                <w:sz w:val="18"/>
                <w:szCs w:val="18"/>
              </w:rPr>
            </w:pPr>
            <w:r w:rsidRPr="00604C75">
              <w:rPr>
                <w:b/>
                <w:noProof/>
                <w:snapToGrid w:val="0"/>
                <w:sz w:val="18"/>
                <w:szCs w:val="18"/>
              </w:rPr>
              <w:t>Liabilities</w:t>
            </w:r>
          </w:p>
        </w:tc>
        <w:tc>
          <w:tcPr>
            <w:tcW w:w="900" w:type="dxa"/>
            <w:vAlign w:val="bottom"/>
          </w:tcPr>
          <w:p w14:paraId="6F6C69FD" w14:textId="77777777" w:rsidR="00224102" w:rsidRPr="00D8486A" w:rsidRDefault="00224102" w:rsidP="00224102">
            <w:pPr>
              <w:jc w:val="right"/>
              <w:rPr>
                <w:b/>
                <w:sz w:val="16"/>
                <w:szCs w:val="16"/>
              </w:rPr>
            </w:pPr>
          </w:p>
        </w:tc>
        <w:tc>
          <w:tcPr>
            <w:tcW w:w="991" w:type="dxa"/>
            <w:vAlign w:val="bottom"/>
          </w:tcPr>
          <w:p w14:paraId="2D2B0CA4" w14:textId="77777777" w:rsidR="00224102" w:rsidRPr="00D8486A" w:rsidRDefault="00224102" w:rsidP="00224102">
            <w:pPr>
              <w:jc w:val="right"/>
              <w:rPr>
                <w:b/>
                <w:sz w:val="16"/>
                <w:szCs w:val="16"/>
              </w:rPr>
            </w:pPr>
          </w:p>
        </w:tc>
        <w:tc>
          <w:tcPr>
            <w:tcW w:w="882" w:type="dxa"/>
            <w:vAlign w:val="bottom"/>
          </w:tcPr>
          <w:p w14:paraId="6790C19F" w14:textId="77777777" w:rsidR="00224102" w:rsidRPr="00D8486A" w:rsidRDefault="00224102" w:rsidP="00224102">
            <w:pPr>
              <w:jc w:val="right"/>
              <w:rPr>
                <w:sz w:val="16"/>
                <w:szCs w:val="16"/>
              </w:rPr>
            </w:pPr>
          </w:p>
        </w:tc>
        <w:tc>
          <w:tcPr>
            <w:tcW w:w="938" w:type="dxa"/>
            <w:vAlign w:val="bottom"/>
          </w:tcPr>
          <w:p w14:paraId="3760ECFE" w14:textId="77777777" w:rsidR="00224102" w:rsidRPr="00D8486A" w:rsidRDefault="00224102" w:rsidP="00224102">
            <w:pPr>
              <w:jc w:val="right"/>
              <w:rPr>
                <w:b/>
                <w:sz w:val="16"/>
                <w:szCs w:val="16"/>
              </w:rPr>
            </w:pPr>
          </w:p>
        </w:tc>
        <w:tc>
          <w:tcPr>
            <w:tcW w:w="952" w:type="dxa"/>
            <w:vAlign w:val="bottom"/>
          </w:tcPr>
          <w:p w14:paraId="1C70AC42" w14:textId="77777777" w:rsidR="00224102" w:rsidRPr="00D8486A" w:rsidRDefault="00224102" w:rsidP="00224102">
            <w:pPr>
              <w:jc w:val="right"/>
              <w:rPr>
                <w:b/>
                <w:sz w:val="16"/>
                <w:szCs w:val="16"/>
              </w:rPr>
            </w:pPr>
          </w:p>
        </w:tc>
      </w:tr>
      <w:tr w:rsidR="00224102" w:rsidRPr="00604C75" w14:paraId="6DE25015" w14:textId="77777777" w:rsidTr="00AD726D">
        <w:tc>
          <w:tcPr>
            <w:tcW w:w="5236" w:type="dxa"/>
            <w:vAlign w:val="bottom"/>
          </w:tcPr>
          <w:p w14:paraId="281B4DAE"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rPr>
                <w:rFonts w:eastAsia="Times New Roman"/>
                <w:snapToGrid w:val="0"/>
              </w:rPr>
            </w:pPr>
            <w:r w:rsidRPr="00604C75">
              <w:rPr>
                <w:rFonts w:eastAsia="Times New Roman"/>
                <w:noProof/>
                <w:snapToGrid w:val="0"/>
              </w:rPr>
              <w:t>Bank Deposits</w:t>
            </w:r>
          </w:p>
        </w:tc>
        <w:tc>
          <w:tcPr>
            <w:tcW w:w="900" w:type="dxa"/>
            <w:vAlign w:val="bottom"/>
          </w:tcPr>
          <w:p w14:paraId="3A7FD2CB" w14:textId="21092FB4" w:rsidR="00224102" w:rsidRPr="00D8486A" w:rsidRDefault="00224102" w:rsidP="00224102">
            <w:pPr>
              <w:jc w:val="right"/>
              <w:rPr>
                <w:sz w:val="16"/>
                <w:szCs w:val="16"/>
              </w:rPr>
            </w:pPr>
            <w:r>
              <w:rPr>
                <w:sz w:val="18"/>
                <w:szCs w:val="18"/>
              </w:rPr>
              <w:t>70,206</w:t>
            </w:r>
          </w:p>
        </w:tc>
        <w:tc>
          <w:tcPr>
            <w:tcW w:w="991" w:type="dxa"/>
            <w:vAlign w:val="bottom"/>
          </w:tcPr>
          <w:p w14:paraId="54C693A1" w14:textId="25C630C9" w:rsidR="00224102" w:rsidRPr="00D8486A" w:rsidRDefault="00224102" w:rsidP="00224102">
            <w:pPr>
              <w:jc w:val="right"/>
              <w:rPr>
                <w:sz w:val="16"/>
                <w:szCs w:val="16"/>
              </w:rPr>
            </w:pPr>
            <w:r>
              <w:rPr>
                <w:sz w:val="18"/>
                <w:szCs w:val="18"/>
              </w:rPr>
              <w:t>262,629</w:t>
            </w:r>
          </w:p>
        </w:tc>
        <w:tc>
          <w:tcPr>
            <w:tcW w:w="882" w:type="dxa"/>
            <w:vAlign w:val="bottom"/>
          </w:tcPr>
          <w:p w14:paraId="611A782E" w14:textId="24101852" w:rsidR="00224102" w:rsidRPr="00D8486A" w:rsidRDefault="00224102" w:rsidP="00224102">
            <w:pPr>
              <w:jc w:val="right"/>
              <w:rPr>
                <w:sz w:val="16"/>
                <w:szCs w:val="16"/>
              </w:rPr>
            </w:pPr>
            <w:r>
              <w:rPr>
                <w:sz w:val="18"/>
                <w:szCs w:val="18"/>
              </w:rPr>
              <w:t>-</w:t>
            </w:r>
          </w:p>
        </w:tc>
        <w:tc>
          <w:tcPr>
            <w:tcW w:w="938" w:type="dxa"/>
            <w:vAlign w:val="bottom"/>
          </w:tcPr>
          <w:p w14:paraId="4F815DBE" w14:textId="4660DD5A" w:rsidR="00224102" w:rsidRPr="00D8486A" w:rsidRDefault="00224102" w:rsidP="00224102">
            <w:pPr>
              <w:jc w:val="right"/>
              <w:rPr>
                <w:sz w:val="16"/>
                <w:szCs w:val="16"/>
              </w:rPr>
            </w:pPr>
            <w:r>
              <w:rPr>
                <w:sz w:val="18"/>
                <w:szCs w:val="18"/>
              </w:rPr>
              <w:t>198</w:t>
            </w:r>
          </w:p>
        </w:tc>
        <w:tc>
          <w:tcPr>
            <w:tcW w:w="952" w:type="dxa"/>
            <w:vAlign w:val="bottom"/>
          </w:tcPr>
          <w:p w14:paraId="30F6247B" w14:textId="0703018C" w:rsidR="00224102" w:rsidRPr="00D8486A" w:rsidRDefault="00224102" w:rsidP="00224102">
            <w:pPr>
              <w:jc w:val="right"/>
              <w:rPr>
                <w:bCs/>
                <w:sz w:val="16"/>
                <w:szCs w:val="16"/>
              </w:rPr>
            </w:pPr>
            <w:r w:rsidRPr="00DA744A">
              <w:rPr>
                <w:bCs/>
                <w:sz w:val="18"/>
                <w:szCs w:val="18"/>
              </w:rPr>
              <w:t>333,033</w:t>
            </w:r>
          </w:p>
        </w:tc>
      </w:tr>
      <w:tr w:rsidR="00224102" w:rsidRPr="00604C75" w14:paraId="44E508A0" w14:textId="77777777" w:rsidTr="00AD726D">
        <w:tc>
          <w:tcPr>
            <w:tcW w:w="5236" w:type="dxa"/>
            <w:vAlign w:val="bottom"/>
          </w:tcPr>
          <w:p w14:paraId="1E2727D2" w14:textId="77777777" w:rsidR="00224102" w:rsidRPr="00604C75" w:rsidRDefault="00224102" w:rsidP="00224102">
            <w:pPr>
              <w:rPr>
                <w:snapToGrid w:val="0"/>
                <w:sz w:val="18"/>
                <w:szCs w:val="18"/>
              </w:rPr>
            </w:pPr>
            <w:r w:rsidRPr="00604C75">
              <w:rPr>
                <w:noProof/>
                <w:snapToGrid w:val="0"/>
                <w:sz w:val="18"/>
                <w:szCs w:val="18"/>
              </w:rPr>
              <w:t>Foreign Currency Deposits</w:t>
            </w:r>
          </w:p>
        </w:tc>
        <w:tc>
          <w:tcPr>
            <w:tcW w:w="900" w:type="dxa"/>
            <w:vAlign w:val="bottom"/>
          </w:tcPr>
          <w:p w14:paraId="5F2F763C" w14:textId="6C378B73" w:rsidR="00224102" w:rsidRPr="00D8486A" w:rsidRDefault="00224102" w:rsidP="00224102">
            <w:pPr>
              <w:jc w:val="right"/>
              <w:rPr>
                <w:sz w:val="16"/>
                <w:szCs w:val="16"/>
              </w:rPr>
            </w:pPr>
            <w:r>
              <w:rPr>
                <w:sz w:val="18"/>
                <w:szCs w:val="18"/>
              </w:rPr>
              <w:t>405,706</w:t>
            </w:r>
          </w:p>
        </w:tc>
        <w:tc>
          <w:tcPr>
            <w:tcW w:w="991" w:type="dxa"/>
            <w:vAlign w:val="bottom"/>
          </w:tcPr>
          <w:p w14:paraId="3AD7B88F" w14:textId="1D849F74" w:rsidR="00224102" w:rsidRPr="00D8486A" w:rsidRDefault="00224102" w:rsidP="00224102">
            <w:pPr>
              <w:jc w:val="right"/>
              <w:rPr>
                <w:sz w:val="16"/>
                <w:szCs w:val="16"/>
              </w:rPr>
            </w:pPr>
            <w:r>
              <w:rPr>
                <w:sz w:val="18"/>
                <w:szCs w:val="18"/>
              </w:rPr>
              <w:t>1,856,147</w:t>
            </w:r>
          </w:p>
        </w:tc>
        <w:tc>
          <w:tcPr>
            <w:tcW w:w="882" w:type="dxa"/>
            <w:vAlign w:val="bottom"/>
          </w:tcPr>
          <w:p w14:paraId="00D01AD9" w14:textId="26B3748B" w:rsidR="00224102" w:rsidRPr="00D8486A" w:rsidRDefault="00224102" w:rsidP="00224102">
            <w:pPr>
              <w:jc w:val="right"/>
              <w:rPr>
                <w:sz w:val="16"/>
                <w:szCs w:val="16"/>
              </w:rPr>
            </w:pPr>
            <w:r>
              <w:rPr>
                <w:sz w:val="18"/>
                <w:szCs w:val="18"/>
              </w:rPr>
              <w:t>45</w:t>
            </w:r>
          </w:p>
        </w:tc>
        <w:tc>
          <w:tcPr>
            <w:tcW w:w="938" w:type="dxa"/>
            <w:vAlign w:val="bottom"/>
          </w:tcPr>
          <w:p w14:paraId="4AA2A297" w14:textId="5DB78CD3" w:rsidR="00224102" w:rsidRPr="00D8486A" w:rsidRDefault="00224102" w:rsidP="00224102">
            <w:pPr>
              <w:jc w:val="right"/>
              <w:rPr>
                <w:sz w:val="16"/>
                <w:szCs w:val="16"/>
              </w:rPr>
            </w:pPr>
            <w:r>
              <w:rPr>
                <w:sz w:val="18"/>
                <w:szCs w:val="18"/>
              </w:rPr>
              <w:t>232,564</w:t>
            </w:r>
          </w:p>
        </w:tc>
        <w:tc>
          <w:tcPr>
            <w:tcW w:w="952" w:type="dxa"/>
            <w:vAlign w:val="bottom"/>
          </w:tcPr>
          <w:p w14:paraId="5C4457B1" w14:textId="20454F4D" w:rsidR="00224102" w:rsidRPr="00D8486A" w:rsidRDefault="00224102" w:rsidP="00224102">
            <w:pPr>
              <w:jc w:val="right"/>
              <w:rPr>
                <w:bCs/>
                <w:sz w:val="16"/>
                <w:szCs w:val="16"/>
              </w:rPr>
            </w:pPr>
            <w:r w:rsidRPr="00DA744A">
              <w:rPr>
                <w:bCs/>
                <w:sz w:val="18"/>
                <w:szCs w:val="18"/>
              </w:rPr>
              <w:t>2,494,462</w:t>
            </w:r>
          </w:p>
        </w:tc>
      </w:tr>
      <w:tr w:rsidR="00224102" w:rsidRPr="00604C75" w14:paraId="47443942" w14:textId="77777777" w:rsidTr="00AD726D">
        <w:tc>
          <w:tcPr>
            <w:tcW w:w="5236" w:type="dxa"/>
            <w:vAlign w:val="bottom"/>
          </w:tcPr>
          <w:p w14:paraId="2188CE79" w14:textId="77777777" w:rsidR="00224102" w:rsidRPr="00604C75" w:rsidRDefault="00224102" w:rsidP="00224102">
            <w:pPr>
              <w:rPr>
                <w:snapToGrid w:val="0"/>
                <w:sz w:val="18"/>
                <w:szCs w:val="18"/>
              </w:rPr>
            </w:pPr>
            <w:r w:rsidRPr="00604C75">
              <w:rPr>
                <w:noProof/>
                <w:snapToGrid w:val="0"/>
                <w:sz w:val="18"/>
                <w:szCs w:val="18"/>
              </w:rPr>
              <w:t>Money Market Funds</w:t>
            </w:r>
          </w:p>
        </w:tc>
        <w:tc>
          <w:tcPr>
            <w:tcW w:w="900" w:type="dxa"/>
            <w:vAlign w:val="bottom"/>
          </w:tcPr>
          <w:p w14:paraId="1865C476" w14:textId="7FFD0ED5" w:rsidR="00224102" w:rsidRPr="00D8486A" w:rsidRDefault="00224102" w:rsidP="00224102">
            <w:pPr>
              <w:jc w:val="right"/>
              <w:rPr>
                <w:sz w:val="16"/>
                <w:szCs w:val="16"/>
              </w:rPr>
            </w:pPr>
            <w:r>
              <w:rPr>
                <w:sz w:val="18"/>
                <w:szCs w:val="18"/>
              </w:rPr>
              <w:t>-</w:t>
            </w:r>
          </w:p>
        </w:tc>
        <w:tc>
          <w:tcPr>
            <w:tcW w:w="991" w:type="dxa"/>
            <w:vAlign w:val="bottom"/>
          </w:tcPr>
          <w:p w14:paraId="132EA7CE" w14:textId="677F2CE8" w:rsidR="00224102" w:rsidRPr="00D8486A" w:rsidRDefault="00224102" w:rsidP="00224102">
            <w:pPr>
              <w:jc w:val="right"/>
              <w:rPr>
                <w:sz w:val="16"/>
                <w:szCs w:val="16"/>
              </w:rPr>
            </w:pPr>
            <w:r>
              <w:rPr>
                <w:sz w:val="18"/>
                <w:szCs w:val="18"/>
              </w:rPr>
              <w:t>116,444</w:t>
            </w:r>
          </w:p>
        </w:tc>
        <w:tc>
          <w:tcPr>
            <w:tcW w:w="882" w:type="dxa"/>
            <w:vAlign w:val="bottom"/>
          </w:tcPr>
          <w:p w14:paraId="7FE84181" w14:textId="0ABC5FAF" w:rsidR="00224102" w:rsidRPr="00D8486A" w:rsidRDefault="00224102" w:rsidP="00224102">
            <w:pPr>
              <w:jc w:val="right"/>
              <w:rPr>
                <w:sz w:val="16"/>
                <w:szCs w:val="16"/>
              </w:rPr>
            </w:pPr>
            <w:r>
              <w:rPr>
                <w:sz w:val="18"/>
                <w:szCs w:val="18"/>
              </w:rPr>
              <w:t>-</w:t>
            </w:r>
          </w:p>
        </w:tc>
        <w:tc>
          <w:tcPr>
            <w:tcW w:w="938" w:type="dxa"/>
            <w:vAlign w:val="bottom"/>
          </w:tcPr>
          <w:p w14:paraId="0C25F07F" w14:textId="1ECF66E4" w:rsidR="00224102" w:rsidRPr="00D8486A" w:rsidRDefault="00224102" w:rsidP="00224102">
            <w:pPr>
              <w:jc w:val="right"/>
              <w:rPr>
                <w:sz w:val="16"/>
                <w:szCs w:val="16"/>
              </w:rPr>
            </w:pPr>
            <w:r>
              <w:rPr>
                <w:sz w:val="18"/>
                <w:szCs w:val="18"/>
              </w:rPr>
              <w:t>-</w:t>
            </w:r>
          </w:p>
        </w:tc>
        <w:tc>
          <w:tcPr>
            <w:tcW w:w="952" w:type="dxa"/>
            <w:vAlign w:val="bottom"/>
          </w:tcPr>
          <w:p w14:paraId="2687EAB7" w14:textId="5B3DA6BA" w:rsidR="00224102" w:rsidRPr="00D8486A" w:rsidRDefault="00224102" w:rsidP="00224102">
            <w:pPr>
              <w:jc w:val="right"/>
              <w:rPr>
                <w:bCs/>
                <w:sz w:val="16"/>
                <w:szCs w:val="16"/>
              </w:rPr>
            </w:pPr>
            <w:r w:rsidRPr="00DA744A">
              <w:rPr>
                <w:bCs/>
                <w:sz w:val="18"/>
                <w:szCs w:val="18"/>
              </w:rPr>
              <w:t>116,444</w:t>
            </w:r>
          </w:p>
        </w:tc>
      </w:tr>
      <w:tr w:rsidR="00224102" w:rsidRPr="00604C75" w14:paraId="7D1C583D" w14:textId="77777777" w:rsidTr="00AD726D">
        <w:tc>
          <w:tcPr>
            <w:tcW w:w="5236" w:type="dxa"/>
            <w:vAlign w:val="bottom"/>
          </w:tcPr>
          <w:p w14:paraId="1F557D75" w14:textId="77777777" w:rsidR="00224102" w:rsidRPr="00604C75" w:rsidRDefault="00224102" w:rsidP="00224102">
            <w:pPr>
              <w:rPr>
                <w:snapToGrid w:val="0"/>
                <w:sz w:val="18"/>
                <w:szCs w:val="18"/>
              </w:rPr>
            </w:pPr>
            <w:r w:rsidRPr="00604C75">
              <w:rPr>
                <w:noProof/>
                <w:snapToGrid w:val="0"/>
                <w:sz w:val="18"/>
                <w:szCs w:val="18"/>
              </w:rPr>
              <w:t>Funds Borrowed From Other Financial Institutions</w:t>
            </w:r>
          </w:p>
        </w:tc>
        <w:tc>
          <w:tcPr>
            <w:tcW w:w="900" w:type="dxa"/>
            <w:vAlign w:val="bottom"/>
          </w:tcPr>
          <w:p w14:paraId="2DBABB3C" w14:textId="09132DA0" w:rsidR="00224102" w:rsidRPr="00D8486A" w:rsidRDefault="00224102" w:rsidP="00224102">
            <w:pPr>
              <w:jc w:val="right"/>
              <w:rPr>
                <w:sz w:val="16"/>
                <w:szCs w:val="16"/>
              </w:rPr>
            </w:pPr>
            <w:r>
              <w:rPr>
                <w:sz w:val="18"/>
                <w:szCs w:val="18"/>
              </w:rPr>
              <w:t>1,282,612</w:t>
            </w:r>
          </w:p>
        </w:tc>
        <w:tc>
          <w:tcPr>
            <w:tcW w:w="991" w:type="dxa"/>
            <w:vAlign w:val="bottom"/>
          </w:tcPr>
          <w:p w14:paraId="6FADBC71" w14:textId="450D0C60" w:rsidR="00224102" w:rsidRPr="00D8486A" w:rsidRDefault="00224102" w:rsidP="00224102">
            <w:pPr>
              <w:jc w:val="right"/>
              <w:rPr>
                <w:sz w:val="16"/>
                <w:szCs w:val="16"/>
              </w:rPr>
            </w:pPr>
            <w:r>
              <w:rPr>
                <w:sz w:val="18"/>
                <w:szCs w:val="18"/>
              </w:rPr>
              <w:t>3,621,740</w:t>
            </w:r>
          </w:p>
        </w:tc>
        <w:tc>
          <w:tcPr>
            <w:tcW w:w="882" w:type="dxa"/>
            <w:vAlign w:val="bottom"/>
          </w:tcPr>
          <w:p w14:paraId="77233E79" w14:textId="4BE737F6" w:rsidR="00224102" w:rsidRPr="00D8486A" w:rsidRDefault="00224102" w:rsidP="00224102">
            <w:pPr>
              <w:jc w:val="right"/>
              <w:rPr>
                <w:sz w:val="16"/>
                <w:szCs w:val="16"/>
              </w:rPr>
            </w:pPr>
            <w:r>
              <w:rPr>
                <w:sz w:val="18"/>
                <w:szCs w:val="18"/>
              </w:rPr>
              <w:t>-</w:t>
            </w:r>
          </w:p>
        </w:tc>
        <w:tc>
          <w:tcPr>
            <w:tcW w:w="938" w:type="dxa"/>
            <w:vAlign w:val="bottom"/>
          </w:tcPr>
          <w:p w14:paraId="1E2098E0" w14:textId="3547CC56" w:rsidR="00224102" w:rsidRPr="00D8486A" w:rsidRDefault="00224102" w:rsidP="00224102">
            <w:pPr>
              <w:jc w:val="right"/>
              <w:rPr>
                <w:sz w:val="16"/>
                <w:szCs w:val="16"/>
              </w:rPr>
            </w:pPr>
            <w:r>
              <w:rPr>
                <w:sz w:val="18"/>
                <w:szCs w:val="18"/>
              </w:rPr>
              <w:t>-</w:t>
            </w:r>
          </w:p>
        </w:tc>
        <w:tc>
          <w:tcPr>
            <w:tcW w:w="952" w:type="dxa"/>
            <w:vAlign w:val="bottom"/>
          </w:tcPr>
          <w:p w14:paraId="63959906" w14:textId="4FFA201E" w:rsidR="00224102" w:rsidRPr="00D8486A" w:rsidRDefault="00224102" w:rsidP="00224102">
            <w:pPr>
              <w:jc w:val="right"/>
              <w:rPr>
                <w:bCs/>
                <w:sz w:val="16"/>
                <w:szCs w:val="16"/>
              </w:rPr>
            </w:pPr>
            <w:r w:rsidRPr="00DA744A">
              <w:rPr>
                <w:bCs/>
                <w:sz w:val="18"/>
                <w:szCs w:val="18"/>
              </w:rPr>
              <w:t>4,904,352</w:t>
            </w:r>
          </w:p>
        </w:tc>
      </w:tr>
      <w:tr w:rsidR="00224102" w:rsidRPr="00604C75" w14:paraId="0F08006B" w14:textId="77777777" w:rsidTr="00AD726D">
        <w:tc>
          <w:tcPr>
            <w:tcW w:w="5236" w:type="dxa"/>
            <w:vAlign w:val="bottom"/>
          </w:tcPr>
          <w:p w14:paraId="43720CED" w14:textId="77777777" w:rsidR="00224102" w:rsidRPr="00604C75" w:rsidRDefault="00224102" w:rsidP="00224102">
            <w:pPr>
              <w:rPr>
                <w:snapToGrid w:val="0"/>
                <w:sz w:val="18"/>
                <w:szCs w:val="18"/>
              </w:rPr>
            </w:pPr>
            <w:r w:rsidRPr="00604C75">
              <w:rPr>
                <w:noProof/>
                <w:snapToGrid w:val="0"/>
                <w:sz w:val="18"/>
                <w:szCs w:val="18"/>
              </w:rPr>
              <w:t>Marketable Securities Issued</w:t>
            </w:r>
          </w:p>
        </w:tc>
        <w:tc>
          <w:tcPr>
            <w:tcW w:w="900" w:type="dxa"/>
            <w:vAlign w:val="bottom"/>
          </w:tcPr>
          <w:p w14:paraId="0966C82D" w14:textId="5AB12380" w:rsidR="00224102" w:rsidRPr="00D8486A" w:rsidRDefault="00224102" w:rsidP="00224102">
            <w:pPr>
              <w:jc w:val="right"/>
              <w:rPr>
                <w:sz w:val="16"/>
                <w:szCs w:val="16"/>
              </w:rPr>
            </w:pPr>
            <w:r>
              <w:rPr>
                <w:sz w:val="18"/>
                <w:szCs w:val="18"/>
              </w:rPr>
              <w:t>-</w:t>
            </w:r>
          </w:p>
        </w:tc>
        <w:tc>
          <w:tcPr>
            <w:tcW w:w="991" w:type="dxa"/>
            <w:vAlign w:val="bottom"/>
          </w:tcPr>
          <w:p w14:paraId="471A254A" w14:textId="51EEE639" w:rsidR="00224102" w:rsidRPr="00D8486A" w:rsidRDefault="00224102" w:rsidP="00224102">
            <w:pPr>
              <w:jc w:val="right"/>
              <w:rPr>
                <w:sz w:val="16"/>
                <w:szCs w:val="16"/>
              </w:rPr>
            </w:pPr>
            <w:r>
              <w:rPr>
                <w:sz w:val="18"/>
                <w:szCs w:val="18"/>
              </w:rPr>
              <w:t>735,736</w:t>
            </w:r>
          </w:p>
        </w:tc>
        <w:tc>
          <w:tcPr>
            <w:tcW w:w="882" w:type="dxa"/>
            <w:vAlign w:val="bottom"/>
          </w:tcPr>
          <w:p w14:paraId="51155189" w14:textId="6D2B3603" w:rsidR="00224102" w:rsidRPr="00D8486A" w:rsidRDefault="00224102" w:rsidP="00224102">
            <w:pPr>
              <w:jc w:val="right"/>
              <w:rPr>
                <w:sz w:val="16"/>
                <w:szCs w:val="16"/>
              </w:rPr>
            </w:pPr>
            <w:r>
              <w:rPr>
                <w:sz w:val="18"/>
                <w:szCs w:val="18"/>
              </w:rPr>
              <w:t>-</w:t>
            </w:r>
          </w:p>
        </w:tc>
        <w:tc>
          <w:tcPr>
            <w:tcW w:w="938" w:type="dxa"/>
            <w:vAlign w:val="bottom"/>
          </w:tcPr>
          <w:p w14:paraId="39E5E3D0" w14:textId="534E9938" w:rsidR="00224102" w:rsidRPr="00D8486A" w:rsidRDefault="00224102" w:rsidP="00224102">
            <w:pPr>
              <w:jc w:val="right"/>
              <w:rPr>
                <w:sz w:val="16"/>
                <w:szCs w:val="16"/>
              </w:rPr>
            </w:pPr>
            <w:r>
              <w:rPr>
                <w:sz w:val="18"/>
                <w:szCs w:val="18"/>
              </w:rPr>
              <w:t>-</w:t>
            </w:r>
          </w:p>
        </w:tc>
        <w:tc>
          <w:tcPr>
            <w:tcW w:w="952" w:type="dxa"/>
            <w:vAlign w:val="bottom"/>
          </w:tcPr>
          <w:p w14:paraId="436183BF" w14:textId="323CC622" w:rsidR="00224102" w:rsidRPr="00D8486A" w:rsidRDefault="00224102" w:rsidP="00224102">
            <w:pPr>
              <w:jc w:val="right"/>
              <w:rPr>
                <w:bCs/>
                <w:sz w:val="16"/>
                <w:szCs w:val="16"/>
              </w:rPr>
            </w:pPr>
            <w:r w:rsidRPr="00DA744A">
              <w:rPr>
                <w:bCs/>
                <w:sz w:val="18"/>
                <w:szCs w:val="18"/>
              </w:rPr>
              <w:t>735,736</w:t>
            </w:r>
          </w:p>
        </w:tc>
      </w:tr>
      <w:tr w:rsidR="00224102" w:rsidRPr="00604C75" w14:paraId="1EFC3198" w14:textId="77777777" w:rsidTr="00AD726D">
        <w:tc>
          <w:tcPr>
            <w:tcW w:w="5236" w:type="dxa"/>
            <w:vAlign w:val="bottom"/>
          </w:tcPr>
          <w:p w14:paraId="4104CE08" w14:textId="77777777" w:rsidR="00224102" w:rsidRPr="00604C75" w:rsidRDefault="00224102" w:rsidP="00224102">
            <w:pPr>
              <w:rPr>
                <w:snapToGrid w:val="0"/>
                <w:sz w:val="18"/>
                <w:szCs w:val="18"/>
              </w:rPr>
            </w:pPr>
            <w:r w:rsidRPr="00604C75">
              <w:rPr>
                <w:noProof/>
                <w:snapToGrid w:val="0"/>
                <w:sz w:val="18"/>
                <w:szCs w:val="18"/>
              </w:rPr>
              <w:t>Miscellaneous Payables</w:t>
            </w:r>
          </w:p>
        </w:tc>
        <w:tc>
          <w:tcPr>
            <w:tcW w:w="900" w:type="dxa"/>
            <w:vAlign w:val="bottom"/>
          </w:tcPr>
          <w:p w14:paraId="7060D57B" w14:textId="20E6D1F4" w:rsidR="00224102" w:rsidRPr="00D8486A" w:rsidRDefault="00224102" w:rsidP="00224102">
            <w:pPr>
              <w:jc w:val="right"/>
              <w:rPr>
                <w:sz w:val="16"/>
                <w:szCs w:val="16"/>
              </w:rPr>
            </w:pPr>
            <w:r>
              <w:rPr>
                <w:sz w:val="18"/>
                <w:szCs w:val="18"/>
              </w:rPr>
              <w:t>41,726</w:t>
            </w:r>
          </w:p>
        </w:tc>
        <w:tc>
          <w:tcPr>
            <w:tcW w:w="991" w:type="dxa"/>
            <w:vAlign w:val="bottom"/>
          </w:tcPr>
          <w:p w14:paraId="4DEAC1F3" w14:textId="7C19D517" w:rsidR="00224102" w:rsidRPr="00D8486A" w:rsidRDefault="00224102" w:rsidP="00224102">
            <w:pPr>
              <w:jc w:val="right"/>
              <w:rPr>
                <w:sz w:val="16"/>
                <w:szCs w:val="16"/>
              </w:rPr>
            </w:pPr>
            <w:r>
              <w:rPr>
                <w:sz w:val="18"/>
                <w:szCs w:val="18"/>
              </w:rPr>
              <w:t>83,076</w:t>
            </w:r>
          </w:p>
        </w:tc>
        <w:tc>
          <w:tcPr>
            <w:tcW w:w="882" w:type="dxa"/>
            <w:vAlign w:val="bottom"/>
          </w:tcPr>
          <w:p w14:paraId="421F6144" w14:textId="4AEAB0CD" w:rsidR="00224102" w:rsidRPr="00D8486A" w:rsidRDefault="00224102" w:rsidP="00224102">
            <w:pPr>
              <w:jc w:val="right"/>
              <w:rPr>
                <w:sz w:val="16"/>
                <w:szCs w:val="16"/>
              </w:rPr>
            </w:pPr>
            <w:r>
              <w:rPr>
                <w:sz w:val="18"/>
                <w:szCs w:val="18"/>
              </w:rPr>
              <w:t>-</w:t>
            </w:r>
          </w:p>
        </w:tc>
        <w:tc>
          <w:tcPr>
            <w:tcW w:w="938" w:type="dxa"/>
            <w:vAlign w:val="bottom"/>
          </w:tcPr>
          <w:p w14:paraId="48E34D50" w14:textId="59511746" w:rsidR="00224102" w:rsidRPr="00D8486A" w:rsidRDefault="00224102" w:rsidP="00224102">
            <w:pPr>
              <w:jc w:val="right"/>
              <w:rPr>
                <w:sz w:val="16"/>
                <w:szCs w:val="16"/>
              </w:rPr>
            </w:pPr>
            <w:r>
              <w:rPr>
                <w:sz w:val="18"/>
                <w:szCs w:val="18"/>
              </w:rPr>
              <w:t>112</w:t>
            </w:r>
          </w:p>
        </w:tc>
        <w:tc>
          <w:tcPr>
            <w:tcW w:w="952" w:type="dxa"/>
            <w:vAlign w:val="bottom"/>
          </w:tcPr>
          <w:p w14:paraId="5319C736" w14:textId="13ED928A" w:rsidR="00224102" w:rsidRPr="00D8486A" w:rsidRDefault="00224102" w:rsidP="00224102">
            <w:pPr>
              <w:jc w:val="right"/>
              <w:rPr>
                <w:bCs/>
                <w:sz w:val="16"/>
                <w:szCs w:val="16"/>
              </w:rPr>
            </w:pPr>
            <w:r w:rsidRPr="00DA744A">
              <w:rPr>
                <w:bCs/>
                <w:sz w:val="18"/>
                <w:szCs w:val="18"/>
              </w:rPr>
              <w:t>124,914</w:t>
            </w:r>
          </w:p>
        </w:tc>
      </w:tr>
      <w:tr w:rsidR="00224102" w:rsidRPr="00604C75" w14:paraId="0B751FF0" w14:textId="77777777" w:rsidTr="00AD726D">
        <w:tc>
          <w:tcPr>
            <w:tcW w:w="5236" w:type="dxa"/>
            <w:vAlign w:val="bottom"/>
          </w:tcPr>
          <w:p w14:paraId="4C0758ED" w14:textId="77777777" w:rsidR="00224102" w:rsidRPr="00604C75" w:rsidRDefault="00224102" w:rsidP="00224102">
            <w:pPr>
              <w:rPr>
                <w:snapToGrid w:val="0"/>
                <w:sz w:val="18"/>
                <w:szCs w:val="18"/>
              </w:rPr>
            </w:pPr>
            <w:r w:rsidRPr="00604C75">
              <w:rPr>
                <w:noProof/>
                <w:snapToGrid w:val="0"/>
                <w:sz w:val="18"/>
                <w:szCs w:val="18"/>
              </w:rPr>
              <w:t>Derivative Financial Liabilities For Hedging Purposes</w:t>
            </w:r>
          </w:p>
        </w:tc>
        <w:tc>
          <w:tcPr>
            <w:tcW w:w="900" w:type="dxa"/>
            <w:vAlign w:val="bottom"/>
          </w:tcPr>
          <w:p w14:paraId="50EB6B97" w14:textId="645DA16F" w:rsidR="00224102" w:rsidRPr="00D8486A" w:rsidRDefault="00224102" w:rsidP="00224102">
            <w:pPr>
              <w:jc w:val="right"/>
              <w:rPr>
                <w:sz w:val="16"/>
                <w:szCs w:val="16"/>
              </w:rPr>
            </w:pPr>
            <w:r>
              <w:rPr>
                <w:sz w:val="18"/>
                <w:szCs w:val="18"/>
              </w:rPr>
              <w:t>-</w:t>
            </w:r>
          </w:p>
        </w:tc>
        <w:tc>
          <w:tcPr>
            <w:tcW w:w="991" w:type="dxa"/>
            <w:vAlign w:val="bottom"/>
          </w:tcPr>
          <w:p w14:paraId="728B647B" w14:textId="6606BE96" w:rsidR="00224102" w:rsidRPr="00D8486A" w:rsidRDefault="00224102" w:rsidP="00224102">
            <w:pPr>
              <w:jc w:val="right"/>
              <w:rPr>
                <w:sz w:val="16"/>
                <w:szCs w:val="16"/>
              </w:rPr>
            </w:pPr>
            <w:r>
              <w:rPr>
                <w:sz w:val="18"/>
                <w:szCs w:val="18"/>
              </w:rPr>
              <w:t>-</w:t>
            </w:r>
          </w:p>
        </w:tc>
        <w:tc>
          <w:tcPr>
            <w:tcW w:w="882" w:type="dxa"/>
            <w:vAlign w:val="bottom"/>
          </w:tcPr>
          <w:p w14:paraId="689AC0B6" w14:textId="0EF229CB" w:rsidR="00224102" w:rsidRPr="00D8486A" w:rsidRDefault="00224102" w:rsidP="00224102">
            <w:pPr>
              <w:jc w:val="right"/>
              <w:rPr>
                <w:sz w:val="16"/>
                <w:szCs w:val="16"/>
              </w:rPr>
            </w:pPr>
            <w:r>
              <w:rPr>
                <w:sz w:val="18"/>
                <w:szCs w:val="18"/>
              </w:rPr>
              <w:t>-</w:t>
            </w:r>
          </w:p>
        </w:tc>
        <w:tc>
          <w:tcPr>
            <w:tcW w:w="938" w:type="dxa"/>
            <w:vAlign w:val="bottom"/>
          </w:tcPr>
          <w:p w14:paraId="13DFF40A" w14:textId="7C398AF2" w:rsidR="00224102" w:rsidRPr="00D8486A" w:rsidRDefault="00224102" w:rsidP="00224102">
            <w:pPr>
              <w:jc w:val="right"/>
              <w:rPr>
                <w:sz w:val="16"/>
                <w:szCs w:val="16"/>
              </w:rPr>
            </w:pPr>
            <w:r>
              <w:rPr>
                <w:sz w:val="18"/>
                <w:szCs w:val="18"/>
              </w:rPr>
              <w:t>-</w:t>
            </w:r>
          </w:p>
        </w:tc>
        <w:tc>
          <w:tcPr>
            <w:tcW w:w="952" w:type="dxa"/>
            <w:vAlign w:val="bottom"/>
          </w:tcPr>
          <w:p w14:paraId="11A1E905" w14:textId="431C014E" w:rsidR="00224102" w:rsidRPr="00D8486A" w:rsidRDefault="00224102" w:rsidP="00224102">
            <w:pPr>
              <w:jc w:val="right"/>
              <w:rPr>
                <w:bCs/>
                <w:sz w:val="16"/>
                <w:szCs w:val="16"/>
              </w:rPr>
            </w:pPr>
            <w:r>
              <w:rPr>
                <w:bCs/>
                <w:sz w:val="18"/>
                <w:szCs w:val="18"/>
              </w:rPr>
              <w:t>-</w:t>
            </w:r>
          </w:p>
        </w:tc>
      </w:tr>
      <w:tr w:rsidR="00224102" w:rsidRPr="00604C75" w14:paraId="7DC936B6" w14:textId="77777777" w:rsidTr="00AD726D">
        <w:tc>
          <w:tcPr>
            <w:tcW w:w="5236" w:type="dxa"/>
            <w:vAlign w:val="bottom"/>
          </w:tcPr>
          <w:p w14:paraId="2756F9BB" w14:textId="6C13D682" w:rsidR="00224102" w:rsidRPr="00604C75" w:rsidRDefault="00224102" w:rsidP="00224102">
            <w:pPr>
              <w:rPr>
                <w:snapToGrid w:val="0"/>
                <w:sz w:val="18"/>
                <w:szCs w:val="18"/>
              </w:rPr>
            </w:pPr>
            <w:r w:rsidRPr="00604C75">
              <w:rPr>
                <w:noProof/>
                <w:snapToGrid w:val="0"/>
                <w:sz w:val="18"/>
                <w:szCs w:val="18"/>
              </w:rPr>
              <w:t>Other Liabilities</w:t>
            </w:r>
            <w:r w:rsidRPr="00604C75">
              <w:rPr>
                <w:snapToGrid w:val="0"/>
                <w:sz w:val="18"/>
                <w:szCs w:val="18"/>
              </w:rPr>
              <w:t xml:space="preserve"> (***</w:t>
            </w:r>
            <w:r>
              <w:rPr>
                <w:snapToGrid w:val="0"/>
                <w:sz w:val="18"/>
                <w:szCs w:val="18"/>
              </w:rPr>
              <w:t>*</w:t>
            </w:r>
            <w:r w:rsidRPr="00604C75">
              <w:rPr>
                <w:snapToGrid w:val="0"/>
                <w:sz w:val="18"/>
                <w:szCs w:val="18"/>
              </w:rPr>
              <w:t>)</w:t>
            </w:r>
          </w:p>
        </w:tc>
        <w:tc>
          <w:tcPr>
            <w:tcW w:w="900" w:type="dxa"/>
            <w:vAlign w:val="bottom"/>
          </w:tcPr>
          <w:p w14:paraId="4EB72F9C" w14:textId="33F71DBD" w:rsidR="00224102" w:rsidRPr="00D8486A" w:rsidRDefault="00224102" w:rsidP="00224102">
            <w:pPr>
              <w:jc w:val="right"/>
              <w:rPr>
                <w:sz w:val="16"/>
                <w:szCs w:val="16"/>
              </w:rPr>
            </w:pPr>
            <w:r>
              <w:rPr>
                <w:sz w:val="18"/>
                <w:szCs w:val="18"/>
              </w:rPr>
              <w:t>7,785</w:t>
            </w:r>
          </w:p>
        </w:tc>
        <w:tc>
          <w:tcPr>
            <w:tcW w:w="991" w:type="dxa"/>
            <w:vAlign w:val="bottom"/>
          </w:tcPr>
          <w:p w14:paraId="64AA41BF" w14:textId="71B35338" w:rsidR="00224102" w:rsidRPr="00D8486A" w:rsidRDefault="00224102" w:rsidP="00224102">
            <w:pPr>
              <w:jc w:val="right"/>
              <w:rPr>
                <w:sz w:val="16"/>
                <w:szCs w:val="16"/>
              </w:rPr>
            </w:pPr>
            <w:r>
              <w:rPr>
                <w:sz w:val="18"/>
                <w:szCs w:val="18"/>
              </w:rPr>
              <w:t>4,288</w:t>
            </w:r>
          </w:p>
        </w:tc>
        <w:tc>
          <w:tcPr>
            <w:tcW w:w="882" w:type="dxa"/>
            <w:vAlign w:val="bottom"/>
          </w:tcPr>
          <w:p w14:paraId="72A92090" w14:textId="334B88C8" w:rsidR="00224102" w:rsidRPr="00D8486A" w:rsidRDefault="00224102" w:rsidP="00224102">
            <w:pPr>
              <w:jc w:val="right"/>
              <w:rPr>
                <w:sz w:val="16"/>
                <w:szCs w:val="16"/>
              </w:rPr>
            </w:pPr>
            <w:r>
              <w:rPr>
                <w:sz w:val="18"/>
                <w:szCs w:val="18"/>
              </w:rPr>
              <w:t>-</w:t>
            </w:r>
          </w:p>
        </w:tc>
        <w:tc>
          <w:tcPr>
            <w:tcW w:w="938" w:type="dxa"/>
            <w:vAlign w:val="bottom"/>
          </w:tcPr>
          <w:p w14:paraId="5D532EE5" w14:textId="53CFAB7E" w:rsidR="00224102" w:rsidRPr="00D8486A" w:rsidRDefault="00224102" w:rsidP="00224102">
            <w:pPr>
              <w:jc w:val="right"/>
              <w:rPr>
                <w:sz w:val="16"/>
                <w:szCs w:val="16"/>
              </w:rPr>
            </w:pPr>
            <w:r>
              <w:rPr>
                <w:sz w:val="18"/>
                <w:szCs w:val="18"/>
              </w:rPr>
              <w:t>2,107</w:t>
            </w:r>
          </w:p>
        </w:tc>
        <w:tc>
          <w:tcPr>
            <w:tcW w:w="952" w:type="dxa"/>
            <w:vAlign w:val="bottom"/>
          </w:tcPr>
          <w:p w14:paraId="5B3AE753" w14:textId="617FB646" w:rsidR="00224102" w:rsidRPr="00D8486A" w:rsidRDefault="00224102" w:rsidP="00224102">
            <w:pPr>
              <w:jc w:val="right"/>
              <w:rPr>
                <w:bCs/>
                <w:sz w:val="16"/>
                <w:szCs w:val="16"/>
              </w:rPr>
            </w:pPr>
            <w:r w:rsidRPr="00DA744A">
              <w:rPr>
                <w:bCs/>
                <w:sz w:val="18"/>
                <w:szCs w:val="18"/>
              </w:rPr>
              <w:t>14,180</w:t>
            </w:r>
          </w:p>
        </w:tc>
      </w:tr>
      <w:tr w:rsidR="00224102" w:rsidRPr="00604C75" w14:paraId="769AB460" w14:textId="77777777" w:rsidTr="00AD726D">
        <w:tc>
          <w:tcPr>
            <w:tcW w:w="5236" w:type="dxa"/>
            <w:vAlign w:val="bottom"/>
          </w:tcPr>
          <w:p w14:paraId="2B44E2F9" w14:textId="77777777" w:rsidR="00224102" w:rsidRPr="00604C75" w:rsidRDefault="00224102" w:rsidP="00224102">
            <w:pPr>
              <w:rPr>
                <w:b/>
                <w:snapToGrid w:val="0"/>
                <w:sz w:val="18"/>
                <w:szCs w:val="18"/>
              </w:rPr>
            </w:pPr>
            <w:r w:rsidRPr="00604C75">
              <w:rPr>
                <w:b/>
                <w:noProof/>
                <w:snapToGrid w:val="0"/>
                <w:sz w:val="18"/>
                <w:szCs w:val="18"/>
              </w:rPr>
              <w:t>Total Liabilities</w:t>
            </w:r>
          </w:p>
        </w:tc>
        <w:tc>
          <w:tcPr>
            <w:tcW w:w="900" w:type="dxa"/>
            <w:vAlign w:val="bottom"/>
          </w:tcPr>
          <w:p w14:paraId="0CC431DE" w14:textId="0A36A8B5" w:rsidR="00224102" w:rsidRPr="00D8486A" w:rsidRDefault="00224102" w:rsidP="00224102">
            <w:pPr>
              <w:jc w:val="right"/>
              <w:rPr>
                <w:b/>
                <w:bCs/>
                <w:sz w:val="16"/>
                <w:szCs w:val="16"/>
              </w:rPr>
            </w:pPr>
            <w:r>
              <w:rPr>
                <w:b/>
                <w:bCs/>
                <w:sz w:val="18"/>
                <w:szCs w:val="18"/>
              </w:rPr>
              <w:t>1,808,035</w:t>
            </w:r>
          </w:p>
        </w:tc>
        <w:tc>
          <w:tcPr>
            <w:tcW w:w="991" w:type="dxa"/>
            <w:vAlign w:val="bottom"/>
          </w:tcPr>
          <w:p w14:paraId="5DB9C918" w14:textId="1994AF50" w:rsidR="00224102" w:rsidRPr="00D8486A" w:rsidRDefault="00224102" w:rsidP="00224102">
            <w:pPr>
              <w:jc w:val="right"/>
              <w:rPr>
                <w:b/>
                <w:bCs/>
                <w:sz w:val="16"/>
                <w:szCs w:val="16"/>
              </w:rPr>
            </w:pPr>
            <w:r>
              <w:rPr>
                <w:b/>
                <w:bCs/>
                <w:sz w:val="18"/>
                <w:szCs w:val="18"/>
              </w:rPr>
              <w:t>6,680,060</w:t>
            </w:r>
          </w:p>
        </w:tc>
        <w:tc>
          <w:tcPr>
            <w:tcW w:w="882" w:type="dxa"/>
            <w:vAlign w:val="bottom"/>
          </w:tcPr>
          <w:p w14:paraId="3B648771" w14:textId="0D1DA949" w:rsidR="00224102" w:rsidRPr="00D8486A" w:rsidRDefault="00224102" w:rsidP="00224102">
            <w:pPr>
              <w:jc w:val="right"/>
              <w:rPr>
                <w:b/>
                <w:bCs/>
                <w:sz w:val="16"/>
                <w:szCs w:val="16"/>
              </w:rPr>
            </w:pPr>
            <w:r>
              <w:rPr>
                <w:b/>
                <w:bCs/>
                <w:sz w:val="18"/>
                <w:szCs w:val="18"/>
              </w:rPr>
              <w:t>45</w:t>
            </w:r>
          </w:p>
        </w:tc>
        <w:tc>
          <w:tcPr>
            <w:tcW w:w="938" w:type="dxa"/>
            <w:vAlign w:val="bottom"/>
          </w:tcPr>
          <w:p w14:paraId="1AACDF35" w14:textId="3F126469" w:rsidR="00224102" w:rsidRPr="00D8486A" w:rsidRDefault="00224102" w:rsidP="00224102">
            <w:pPr>
              <w:jc w:val="right"/>
              <w:rPr>
                <w:b/>
                <w:bCs/>
                <w:sz w:val="16"/>
                <w:szCs w:val="16"/>
              </w:rPr>
            </w:pPr>
            <w:r>
              <w:rPr>
                <w:b/>
                <w:bCs/>
                <w:sz w:val="18"/>
                <w:szCs w:val="18"/>
              </w:rPr>
              <w:t>234,981</w:t>
            </w:r>
          </w:p>
        </w:tc>
        <w:tc>
          <w:tcPr>
            <w:tcW w:w="952" w:type="dxa"/>
            <w:vAlign w:val="bottom"/>
          </w:tcPr>
          <w:p w14:paraId="74FBAFF8" w14:textId="6892733C" w:rsidR="00224102" w:rsidRPr="00D8486A" w:rsidRDefault="00224102" w:rsidP="00224102">
            <w:pPr>
              <w:jc w:val="right"/>
              <w:rPr>
                <w:b/>
                <w:bCs/>
                <w:sz w:val="16"/>
                <w:szCs w:val="16"/>
              </w:rPr>
            </w:pPr>
            <w:r>
              <w:rPr>
                <w:b/>
                <w:bCs/>
                <w:sz w:val="18"/>
                <w:szCs w:val="18"/>
              </w:rPr>
              <w:t>8,723,121</w:t>
            </w:r>
          </w:p>
        </w:tc>
      </w:tr>
      <w:tr w:rsidR="00224102" w:rsidRPr="00604C75" w14:paraId="0B2909B3" w14:textId="77777777" w:rsidTr="001921C0">
        <w:tc>
          <w:tcPr>
            <w:tcW w:w="5236" w:type="dxa"/>
            <w:vAlign w:val="bottom"/>
          </w:tcPr>
          <w:p w14:paraId="2806CDAC" w14:textId="77777777" w:rsidR="00224102" w:rsidRPr="00604C75" w:rsidRDefault="00224102" w:rsidP="00224102">
            <w:pPr>
              <w:jc w:val="both"/>
              <w:rPr>
                <w:snapToGrid w:val="0"/>
                <w:sz w:val="18"/>
                <w:szCs w:val="18"/>
              </w:rPr>
            </w:pPr>
          </w:p>
        </w:tc>
        <w:tc>
          <w:tcPr>
            <w:tcW w:w="900" w:type="dxa"/>
            <w:vAlign w:val="bottom"/>
          </w:tcPr>
          <w:p w14:paraId="280D10A2" w14:textId="77777777" w:rsidR="00224102" w:rsidRPr="00D8486A" w:rsidRDefault="00224102" w:rsidP="00224102">
            <w:pPr>
              <w:jc w:val="right"/>
              <w:rPr>
                <w:b/>
                <w:sz w:val="16"/>
                <w:szCs w:val="16"/>
              </w:rPr>
            </w:pPr>
          </w:p>
        </w:tc>
        <w:tc>
          <w:tcPr>
            <w:tcW w:w="991" w:type="dxa"/>
            <w:vAlign w:val="bottom"/>
          </w:tcPr>
          <w:p w14:paraId="1843E5D4" w14:textId="77777777" w:rsidR="00224102" w:rsidRPr="00D8486A" w:rsidRDefault="00224102" w:rsidP="00224102">
            <w:pPr>
              <w:jc w:val="right"/>
              <w:rPr>
                <w:b/>
                <w:sz w:val="16"/>
                <w:szCs w:val="16"/>
              </w:rPr>
            </w:pPr>
          </w:p>
        </w:tc>
        <w:tc>
          <w:tcPr>
            <w:tcW w:w="882" w:type="dxa"/>
            <w:vAlign w:val="bottom"/>
          </w:tcPr>
          <w:p w14:paraId="7FD4BAB9" w14:textId="77777777" w:rsidR="00224102" w:rsidRPr="00D8486A" w:rsidRDefault="00224102" w:rsidP="00224102">
            <w:pPr>
              <w:jc w:val="right"/>
              <w:rPr>
                <w:b/>
                <w:sz w:val="16"/>
                <w:szCs w:val="16"/>
              </w:rPr>
            </w:pPr>
          </w:p>
        </w:tc>
        <w:tc>
          <w:tcPr>
            <w:tcW w:w="938" w:type="dxa"/>
            <w:vAlign w:val="bottom"/>
          </w:tcPr>
          <w:p w14:paraId="1F0C3AB4" w14:textId="77777777" w:rsidR="00224102" w:rsidRPr="00D8486A" w:rsidRDefault="00224102" w:rsidP="00224102">
            <w:pPr>
              <w:jc w:val="right"/>
              <w:rPr>
                <w:b/>
                <w:sz w:val="16"/>
                <w:szCs w:val="16"/>
              </w:rPr>
            </w:pPr>
          </w:p>
        </w:tc>
        <w:tc>
          <w:tcPr>
            <w:tcW w:w="952" w:type="dxa"/>
            <w:vAlign w:val="bottom"/>
          </w:tcPr>
          <w:p w14:paraId="3334C9A8" w14:textId="77777777" w:rsidR="00224102" w:rsidRPr="00D8486A" w:rsidRDefault="00224102" w:rsidP="00224102">
            <w:pPr>
              <w:jc w:val="right"/>
              <w:rPr>
                <w:b/>
                <w:sz w:val="16"/>
                <w:szCs w:val="16"/>
              </w:rPr>
            </w:pPr>
          </w:p>
        </w:tc>
      </w:tr>
      <w:tr w:rsidR="00224102" w:rsidRPr="00604C75" w14:paraId="713E34B5" w14:textId="77777777" w:rsidTr="00AD726D">
        <w:tc>
          <w:tcPr>
            <w:tcW w:w="5236" w:type="dxa"/>
            <w:vAlign w:val="bottom"/>
          </w:tcPr>
          <w:p w14:paraId="4065DF6F"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rPr>
            </w:pPr>
            <w:r w:rsidRPr="00604C75">
              <w:rPr>
                <w:rFonts w:eastAsia="Times New Roman"/>
                <w:b/>
                <w:noProof/>
                <w:snapToGrid w:val="0"/>
              </w:rPr>
              <w:t>Net Balance Sheet Position</w:t>
            </w:r>
          </w:p>
        </w:tc>
        <w:tc>
          <w:tcPr>
            <w:tcW w:w="900" w:type="dxa"/>
            <w:vAlign w:val="bottom"/>
          </w:tcPr>
          <w:p w14:paraId="1F398323" w14:textId="37F59879" w:rsidR="00224102" w:rsidRPr="00D8486A" w:rsidRDefault="00224102" w:rsidP="00224102">
            <w:pPr>
              <w:jc w:val="right"/>
              <w:rPr>
                <w:b/>
                <w:sz w:val="16"/>
                <w:szCs w:val="16"/>
              </w:rPr>
            </w:pPr>
            <w:r w:rsidRPr="00DA744A">
              <w:rPr>
                <w:b/>
                <w:sz w:val="18"/>
                <w:szCs w:val="18"/>
              </w:rPr>
              <w:t>949,</w:t>
            </w:r>
            <w:r>
              <w:rPr>
                <w:b/>
                <w:sz w:val="18"/>
                <w:szCs w:val="18"/>
              </w:rPr>
              <w:t>005</w:t>
            </w:r>
          </w:p>
        </w:tc>
        <w:tc>
          <w:tcPr>
            <w:tcW w:w="991" w:type="dxa"/>
            <w:vAlign w:val="bottom"/>
          </w:tcPr>
          <w:p w14:paraId="7C689912" w14:textId="35DDC040" w:rsidR="00224102" w:rsidRPr="00D8486A" w:rsidRDefault="00224102" w:rsidP="00224102">
            <w:pPr>
              <w:jc w:val="right"/>
              <w:rPr>
                <w:b/>
                <w:sz w:val="16"/>
                <w:szCs w:val="16"/>
              </w:rPr>
            </w:pPr>
            <w:r>
              <w:rPr>
                <w:b/>
                <w:sz w:val="18"/>
                <w:szCs w:val="18"/>
              </w:rPr>
              <w:t>(1,411</w:t>
            </w:r>
            <w:r w:rsidRPr="00DA744A">
              <w:rPr>
                <w:b/>
                <w:sz w:val="18"/>
                <w:szCs w:val="18"/>
              </w:rPr>
              <w:t>,</w:t>
            </w:r>
            <w:r>
              <w:rPr>
                <w:b/>
                <w:sz w:val="18"/>
                <w:szCs w:val="18"/>
              </w:rPr>
              <w:t>853</w:t>
            </w:r>
            <w:r w:rsidRPr="00DA744A">
              <w:rPr>
                <w:b/>
                <w:sz w:val="18"/>
                <w:szCs w:val="18"/>
              </w:rPr>
              <w:t>)</w:t>
            </w:r>
          </w:p>
        </w:tc>
        <w:tc>
          <w:tcPr>
            <w:tcW w:w="882" w:type="dxa"/>
            <w:vAlign w:val="bottom"/>
          </w:tcPr>
          <w:p w14:paraId="53C5530E" w14:textId="07D09CEE" w:rsidR="00224102" w:rsidRPr="00D8486A" w:rsidRDefault="00224102" w:rsidP="00224102">
            <w:pPr>
              <w:jc w:val="right"/>
              <w:rPr>
                <w:b/>
                <w:sz w:val="16"/>
                <w:szCs w:val="16"/>
              </w:rPr>
            </w:pPr>
            <w:r w:rsidRPr="00DA744A">
              <w:rPr>
                <w:b/>
                <w:sz w:val="18"/>
                <w:szCs w:val="18"/>
              </w:rPr>
              <w:t>119</w:t>
            </w:r>
          </w:p>
        </w:tc>
        <w:tc>
          <w:tcPr>
            <w:tcW w:w="938" w:type="dxa"/>
            <w:vAlign w:val="bottom"/>
          </w:tcPr>
          <w:p w14:paraId="54102251" w14:textId="32C95665" w:rsidR="00224102" w:rsidRPr="00D8486A" w:rsidRDefault="00224102" w:rsidP="00224102">
            <w:pPr>
              <w:jc w:val="right"/>
              <w:rPr>
                <w:b/>
                <w:sz w:val="16"/>
                <w:szCs w:val="16"/>
              </w:rPr>
            </w:pPr>
            <w:r w:rsidRPr="00DA744A">
              <w:rPr>
                <w:b/>
                <w:sz w:val="18"/>
                <w:szCs w:val="18"/>
              </w:rPr>
              <w:t>(26,102)</w:t>
            </w:r>
          </w:p>
        </w:tc>
        <w:tc>
          <w:tcPr>
            <w:tcW w:w="952" w:type="dxa"/>
            <w:vAlign w:val="bottom"/>
          </w:tcPr>
          <w:p w14:paraId="0A015C4A" w14:textId="4AB93FE8" w:rsidR="00224102" w:rsidRPr="00D8486A" w:rsidRDefault="00224102" w:rsidP="00224102">
            <w:pPr>
              <w:jc w:val="right"/>
              <w:rPr>
                <w:b/>
                <w:bCs/>
                <w:sz w:val="16"/>
                <w:szCs w:val="16"/>
              </w:rPr>
            </w:pPr>
            <w:r w:rsidRPr="00DA744A">
              <w:rPr>
                <w:b/>
                <w:bCs/>
                <w:sz w:val="18"/>
                <w:szCs w:val="18"/>
              </w:rPr>
              <w:t>(4</w:t>
            </w:r>
            <w:r>
              <w:rPr>
                <w:b/>
                <w:bCs/>
                <w:sz w:val="18"/>
                <w:szCs w:val="18"/>
              </w:rPr>
              <w:t>88</w:t>
            </w:r>
            <w:r w:rsidRPr="00DA744A">
              <w:rPr>
                <w:b/>
                <w:bCs/>
                <w:sz w:val="18"/>
                <w:szCs w:val="18"/>
              </w:rPr>
              <w:t>,</w:t>
            </w:r>
            <w:r>
              <w:rPr>
                <w:b/>
                <w:bCs/>
                <w:sz w:val="18"/>
                <w:szCs w:val="18"/>
              </w:rPr>
              <w:t>831</w:t>
            </w:r>
            <w:r w:rsidRPr="00DA744A">
              <w:rPr>
                <w:b/>
                <w:bCs/>
                <w:sz w:val="18"/>
                <w:szCs w:val="18"/>
              </w:rPr>
              <w:t>)</w:t>
            </w:r>
          </w:p>
        </w:tc>
      </w:tr>
      <w:tr w:rsidR="00224102" w:rsidRPr="00604C75" w14:paraId="30A5D5CC" w14:textId="77777777" w:rsidTr="00AD726D">
        <w:tc>
          <w:tcPr>
            <w:tcW w:w="5236" w:type="dxa"/>
            <w:vAlign w:val="bottom"/>
          </w:tcPr>
          <w:p w14:paraId="7A78FBF0" w14:textId="77777777" w:rsidR="00224102" w:rsidRPr="00604C75" w:rsidRDefault="00224102" w:rsidP="00224102">
            <w:pPr>
              <w:rPr>
                <w:b/>
                <w:snapToGrid w:val="0"/>
                <w:sz w:val="18"/>
                <w:szCs w:val="18"/>
              </w:rPr>
            </w:pPr>
            <w:r w:rsidRPr="00604C75">
              <w:rPr>
                <w:b/>
                <w:noProof/>
                <w:snapToGrid w:val="0"/>
                <w:sz w:val="18"/>
                <w:szCs w:val="18"/>
              </w:rPr>
              <w:t>Net Off Balance Sheet Position</w:t>
            </w:r>
          </w:p>
        </w:tc>
        <w:tc>
          <w:tcPr>
            <w:tcW w:w="900" w:type="dxa"/>
            <w:vAlign w:val="bottom"/>
          </w:tcPr>
          <w:p w14:paraId="0E660D84" w14:textId="7B06E81B" w:rsidR="00224102" w:rsidRPr="00D8486A" w:rsidRDefault="00224102" w:rsidP="00224102">
            <w:pPr>
              <w:jc w:val="right"/>
              <w:rPr>
                <w:b/>
                <w:sz w:val="16"/>
                <w:szCs w:val="16"/>
              </w:rPr>
            </w:pPr>
            <w:r w:rsidRPr="00DA744A">
              <w:rPr>
                <w:b/>
                <w:sz w:val="18"/>
                <w:szCs w:val="18"/>
              </w:rPr>
              <w:t>(950,544)</w:t>
            </w:r>
          </w:p>
        </w:tc>
        <w:tc>
          <w:tcPr>
            <w:tcW w:w="991" w:type="dxa"/>
            <w:vAlign w:val="bottom"/>
          </w:tcPr>
          <w:p w14:paraId="7C214702" w14:textId="404519A6" w:rsidR="00224102" w:rsidRPr="00D8486A" w:rsidRDefault="00224102" w:rsidP="00224102">
            <w:pPr>
              <w:jc w:val="right"/>
              <w:rPr>
                <w:b/>
                <w:sz w:val="16"/>
                <w:szCs w:val="16"/>
              </w:rPr>
            </w:pPr>
            <w:r w:rsidRPr="00DA744A">
              <w:rPr>
                <w:b/>
                <w:sz w:val="18"/>
                <w:szCs w:val="18"/>
              </w:rPr>
              <w:t>1,467,888</w:t>
            </w:r>
          </w:p>
        </w:tc>
        <w:tc>
          <w:tcPr>
            <w:tcW w:w="882" w:type="dxa"/>
            <w:vAlign w:val="bottom"/>
          </w:tcPr>
          <w:p w14:paraId="23AE1190" w14:textId="32DEE731" w:rsidR="00224102" w:rsidRPr="00D8486A" w:rsidRDefault="00224102" w:rsidP="00224102">
            <w:pPr>
              <w:jc w:val="right"/>
              <w:rPr>
                <w:b/>
                <w:sz w:val="16"/>
                <w:szCs w:val="16"/>
              </w:rPr>
            </w:pPr>
            <w:r w:rsidRPr="00DA744A">
              <w:rPr>
                <w:b/>
                <w:sz w:val="18"/>
                <w:szCs w:val="18"/>
              </w:rPr>
              <w:t>(123)</w:t>
            </w:r>
          </w:p>
        </w:tc>
        <w:tc>
          <w:tcPr>
            <w:tcW w:w="938" w:type="dxa"/>
            <w:vAlign w:val="bottom"/>
          </w:tcPr>
          <w:p w14:paraId="67E48246" w14:textId="48DFCD50" w:rsidR="00224102" w:rsidRPr="00D8486A" w:rsidRDefault="00224102" w:rsidP="00224102">
            <w:pPr>
              <w:jc w:val="right"/>
              <w:rPr>
                <w:b/>
                <w:sz w:val="16"/>
                <w:szCs w:val="16"/>
              </w:rPr>
            </w:pPr>
            <w:r w:rsidRPr="00DA744A">
              <w:rPr>
                <w:b/>
                <w:sz w:val="18"/>
                <w:szCs w:val="18"/>
              </w:rPr>
              <w:t>25,331</w:t>
            </w:r>
          </w:p>
        </w:tc>
        <w:tc>
          <w:tcPr>
            <w:tcW w:w="952" w:type="dxa"/>
            <w:vAlign w:val="bottom"/>
          </w:tcPr>
          <w:p w14:paraId="4466A3C7" w14:textId="09C1EECE" w:rsidR="00224102" w:rsidRPr="00D8486A" w:rsidRDefault="00224102" w:rsidP="00224102">
            <w:pPr>
              <w:jc w:val="right"/>
              <w:rPr>
                <w:b/>
                <w:bCs/>
                <w:sz w:val="16"/>
                <w:szCs w:val="16"/>
              </w:rPr>
            </w:pPr>
            <w:r w:rsidRPr="00DA744A">
              <w:rPr>
                <w:b/>
                <w:bCs/>
                <w:sz w:val="18"/>
                <w:szCs w:val="18"/>
              </w:rPr>
              <w:t>542,552</w:t>
            </w:r>
          </w:p>
        </w:tc>
      </w:tr>
      <w:tr w:rsidR="00224102" w:rsidRPr="00604C75" w14:paraId="6155B149" w14:textId="77777777" w:rsidTr="00AD726D">
        <w:tc>
          <w:tcPr>
            <w:tcW w:w="5236" w:type="dxa"/>
            <w:vAlign w:val="bottom"/>
          </w:tcPr>
          <w:p w14:paraId="6507B80B" w14:textId="77777777" w:rsidR="00224102" w:rsidRPr="00604C75" w:rsidRDefault="00224102" w:rsidP="00224102">
            <w:pPr>
              <w:rPr>
                <w:snapToGrid w:val="0"/>
                <w:sz w:val="18"/>
                <w:szCs w:val="18"/>
              </w:rPr>
            </w:pPr>
            <w:r w:rsidRPr="00604C75">
              <w:rPr>
                <w:noProof/>
                <w:snapToGrid w:val="0"/>
                <w:sz w:val="18"/>
                <w:szCs w:val="18"/>
              </w:rPr>
              <w:t>Financial Derivative Assets</w:t>
            </w:r>
          </w:p>
        </w:tc>
        <w:tc>
          <w:tcPr>
            <w:tcW w:w="900" w:type="dxa"/>
            <w:vAlign w:val="bottom"/>
          </w:tcPr>
          <w:p w14:paraId="742C5C07" w14:textId="5CC03222" w:rsidR="00224102" w:rsidRPr="00D8486A" w:rsidRDefault="00224102" w:rsidP="00224102">
            <w:pPr>
              <w:jc w:val="right"/>
              <w:rPr>
                <w:sz w:val="16"/>
                <w:szCs w:val="16"/>
              </w:rPr>
            </w:pPr>
            <w:r w:rsidRPr="00117A4B">
              <w:rPr>
                <w:sz w:val="18"/>
                <w:szCs w:val="18"/>
              </w:rPr>
              <w:t>710,406</w:t>
            </w:r>
          </w:p>
        </w:tc>
        <w:tc>
          <w:tcPr>
            <w:tcW w:w="991" w:type="dxa"/>
            <w:vAlign w:val="bottom"/>
          </w:tcPr>
          <w:p w14:paraId="64D3772B" w14:textId="23BA6E6B" w:rsidR="00224102" w:rsidRPr="00D8486A" w:rsidRDefault="00224102" w:rsidP="00224102">
            <w:pPr>
              <w:jc w:val="right"/>
              <w:rPr>
                <w:sz w:val="16"/>
                <w:szCs w:val="16"/>
              </w:rPr>
            </w:pPr>
            <w:r w:rsidRPr="00117A4B">
              <w:rPr>
                <w:sz w:val="18"/>
                <w:szCs w:val="18"/>
              </w:rPr>
              <w:t>2,758,520</w:t>
            </w:r>
          </w:p>
        </w:tc>
        <w:tc>
          <w:tcPr>
            <w:tcW w:w="882" w:type="dxa"/>
            <w:vAlign w:val="bottom"/>
          </w:tcPr>
          <w:p w14:paraId="1F8FABED" w14:textId="7E2DADCA" w:rsidR="00224102" w:rsidRPr="00D8486A" w:rsidRDefault="00224102" w:rsidP="00224102">
            <w:pPr>
              <w:jc w:val="right"/>
              <w:rPr>
                <w:sz w:val="16"/>
                <w:szCs w:val="16"/>
              </w:rPr>
            </w:pPr>
            <w:r w:rsidRPr="00117A4B">
              <w:rPr>
                <w:sz w:val="18"/>
                <w:szCs w:val="18"/>
              </w:rPr>
              <w:t>242</w:t>
            </w:r>
          </w:p>
        </w:tc>
        <w:tc>
          <w:tcPr>
            <w:tcW w:w="938" w:type="dxa"/>
            <w:vAlign w:val="bottom"/>
          </w:tcPr>
          <w:p w14:paraId="65C36DE0" w14:textId="432AF830" w:rsidR="00224102" w:rsidRPr="00D8486A" w:rsidRDefault="00224102" w:rsidP="00224102">
            <w:pPr>
              <w:jc w:val="right"/>
              <w:rPr>
                <w:sz w:val="16"/>
                <w:szCs w:val="16"/>
              </w:rPr>
            </w:pPr>
            <w:r w:rsidRPr="00117A4B">
              <w:rPr>
                <w:sz w:val="18"/>
                <w:szCs w:val="18"/>
              </w:rPr>
              <w:t>67,758</w:t>
            </w:r>
          </w:p>
        </w:tc>
        <w:tc>
          <w:tcPr>
            <w:tcW w:w="952" w:type="dxa"/>
            <w:vAlign w:val="bottom"/>
          </w:tcPr>
          <w:p w14:paraId="155B0EDB" w14:textId="697A0517" w:rsidR="00224102" w:rsidRPr="00D8486A" w:rsidRDefault="00224102" w:rsidP="00224102">
            <w:pPr>
              <w:jc w:val="right"/>
              <w:rPr>
                <w:bCs/>
                <w:sz w:val="16"/>
                <w:szCs w:val="16"/>
              </w:rPr>
            </w:pPr>
            <w:r w:rsidRPr="00117A4B">
              <w:rPr>
                <w:bCs/>
                <w:sz w:val="18"/>
                <w:szCs w:val="18"/>
              </w:rPr>
              <w:t>3,536,926</w:t>
            </w:r>
          </w:p>
        </w:tc>
      </w:tr>
      <w:tr w:rsidR="00224102" w:rsidRPr="00604C75" w14:paraId="4B802A40" w14:textId="77777777" w:rsidTr="00AD726D">
        <w:trPr>
          <w:trHeight w:val="189"/>
        </w:trPr>
        <w:tc>
          <w:tcPr>
            <w:tcW w:w="5236" w:type="dxa"/>
            <w:vAlign w:val="bottom"/>
          </w:tcPr>
          <w:p w14:paraId="2F7F3388" w14:textId="77777777" w:rsidR="00224102" w:rsidRPr="00604C75" w:rsidRDefault="00224102" w:rsidP="00224102">
            <w:pPr>
              <w:rPr>
                <w:snapToGrid w:val="0"/>
                <w:sz w:val="18"/>
                <w:szCs w:val="18"/>
              </w:rPr>
            </w:pPr>
            <w:r w:rsidRPr="00604C75">
              <w:rPr>
                <w:noProof/>
                <w:snapToGrid w:val="0"/>
                <w:sz w:val="18"/>
                <w:szCs w:val="18"/>
              </w:rPr>
              <w:t>Financial Derivative Liabilities</w:t>
            </w:r>
          </w:p>
        </w:tc>
        <w:tc>
          <w:tcPr>
            <w:tcW w:w="900" w:type="dxa"/>
            <w:vAlign w:val="bottom"/>
          </w:tcPr>
          <w:p w14:paraId="3DE8C578" w14:textId="01C03F8C" w:rsidR="00224102" w:rsidRPr="00D8486A" w:rsidRDefault="00224102" w:rsidP="00224102">
            <w:pPr>
              <w:jc w:val="right"/>
              <w:rPr>
                <w:sz w:val="16"/>
                <w:szCs w:val="16"/>
              </w:rPr>
            </w:pPr>
            <w:r w:rsidRPr="00117A4B">
              <w:rPr>
                <w:sz w:val="18"/>
                <w:szCs w:val="18"/>
              </w:rPr>
              <w:t>1,660,950</w:t>
            </w:r>
          </w:p>
        </w:tc>
        <w:tc>
          <w:tcPr>
            <w:tcW w:w="991" w:type="dxa"/>
            <w:vAlign w:val="bottom"/>
          </w:tcPr>
          <w:p w14:paraId="25EC5700" w14:textId="47EBA768" w:rsidR="00224102" w:rsidRPr="00D8486A" w:rsidRDefault="00224102" w:rsidP="00224102">
            <w:pPr>
              <w:jc w:val="right"/>
              <w:rPr>
                <w:sz w:val="16"/>
                <w:szCs w:val="16"/>
              </w:rPr>
            </w:pPr>
            <w:r w:rsidRPr="00117A4B">
              <w:rPr>
                <w:sz w:val="18"/>
                <w:szCs w:val="18"/>
              </w:rPr>
              <w:t>1,290,632</w:t>
            </w:r>
          </w:p>
        </w:tc>
        <w:tc>
          <w:tcPr>
            <w:tcW w:w="882" w:type="dxa"/>
            <w:vAlign w:val="bottom"/>
          </w:tcPr>
          <w:p w14:paraId="76D25CA2" w14:textId="35C5F425" w:rsidR="00224102" w:rsidRPr="00D8486A" w:rsidRDefault="00224102" w:rsidP="00224102">
            <w:pPr>
              <w:jc w:val="right"/>
              <w:rPr>
                <w:sz w:val="16"/>
                <w:szCs w:val="16"/>
              </w:rPr>
            </w:pPr>
            <w:r w:rsidRPr="00117A4B">
              <w:rPr>
                <w:sz w:val="18"/>
                <w:szCs w:val="18"/>
              </w:rPr>
              <w:t>365</w:t>
            </w:r>
          </w:p>
        </w:tc>
        <w:tc>
          <w:tcPr>
            <w:tcW w:w="938" w:type="dxa"/>
            <w:vAlign w:val="bottom"/>
          </w:tcPr>
          <w:p w14:paraId="7F38B78C" w14:textId="14636BB2" w:rsidR="00224102" w:rsidRPr="00D8486A" w:rsidRDefault="00224102" w:rsidP="00224102">
            <w:pPr>
              <w:jc w:val="right"/>
              <w:rPr>
                <w:sz w:val="16"/>
                <w:szCs w:val="16"/>
              </w:rPr>
            </w:pPr>
            <w:r w:rsidRPr="00117A4B">
              <w:rPr>
                <w:sz w:val="18"/>
                <w:szCs w:val="18"/>
              </w:rPr>
              <w:t>42,427</w:t>
            </w:r>
          </w:p>
        </w:tc>
        <w:tc>
          <w:tcPr>
            <w:tcW w:w="952" w:type="dxa"/>
            <w:vAlign w:val="bottom"/>
          </w:tcPr>
          <w:p w14:paraId="3DE66A13" w14:textId="0DBF58FA" w:rsidR="00224102" w:rsidRPr="00D8486A" w:rsidRDefault="00224102" w:rsidP="00224102">
            <w:pPr>
              <w:jc w:val="right"/>
              <w:rPr>
                <w:bCs/>
                <w:sz w:val="16"/>
                <w:szCs w:val="16"/>
              </w:rPr>
            </w:pPr>
            <w:r w:rsidRPr="00117A4B">
              <w:rPr>
                <w:bCs/>
                <w:sz w:val="18"/>
                <w:szCs w:val="18"/>
              </w:rPr>
              <w:t>2,994,374</w:t>
            </w:r>
          </w:p>
        </w:tc>
      </w:tr>
      <w:tr w:rsidR="00224102" w:rsidRPr="00604C75" w14:paraId="5C289F9E" w14:textId="77777777" w:rsidTr="00AD726D">
        <w:tc>
          <w:tcPr>
            <w:tcW w:w="5236" w:type="dxa"/>
            <w:vAlign w:val="bottom"/>
          </w:tcPr>
          <w:p w14:paraId="0EE1C0CE" w14:textId="1B14126E" w:rsidR="00224102" w:rsidRPr="00604C75" w:rsidRDefault="00224102" w:rsidP="00224102">
            <w:pPr>
              <w:pStyle w:val="Heading5"/>
              <w:ind w:left="0"/>
              <w:rPr>
                <w:rFonts w:ascii="Times New Roman" w:hAnsi="Times New Roman"/>
                <w:sz w:val="18"/>
                <w:szCs w:val="18"/>
              </w:rPr>
            </w:pPr>
            <w:r w:rsidRPr="00604C75">
              <w:rPr>
                <w:rFonts w:ascii="Times New Roman" w:hAnsi="Times New Roman"/>
                <w:noProof/>
                <w:sz w:val="18"/>
                <w:szCs w:val="18"/>
              </w:rPr>
              <w:t>Non-Cash Loans</w:t>
            </w:r>
            <w:r>
              <w:rPr>
                <w:rFonts w:ascii="Times New Roman" w:hAnsi="Times New Roman"/>
                <w:noProof/>
                <w:sz w:val="18"/>
                <w:szCs w:val="18"/>
              </w:rPr>
              <w:t xml:space="preserve"> (*****)</w:t>
            </w:r>
          </w:p>
        </w:tc>
        <w:tc>
          <w:tcPr>
            <w:tcW w:w="900" w:type="dxa"/>
            <w:vAlign w:val="bottom"/>
          </w:tcPr>
          <w:p w14:paraId="05AE535D" w14:textId="27BB7886" w:rsidR="00224102" w:rsidRPr="00D8486A" w:rsidRDefault="00224102" w:rsidP="00224102">
            <w:pPr>
              <w:jc w:val="right"/>
              <w:rPr>
                <w:b/>
                <w:sz w:val="16"/>
                <w:szCs w:val="16"/>
              </w:rPr>
            </w:pPr>
            <w:r w:rsidRPr="00117A4B">
              <w:rPr>
                <w:b/>
                <w:sz w:val="18"/>
                <w:szCs w:val="18"/>
              </w:rPr>
              <w:t>410,233</w:t>
            </w:r>
          </w:p>
        </w:tc>
        <w:tc>
          <w:tcPr>
            <w:tcW w:w="991" w:type="dxa"/>
            <w:vAlign w:val="bottom"/>
          </w:tcPr>
          <w:p w14:paraId="0BC0D6ED" w14:textId="75ED7645" w:rsidR="00224102" w:rsidRPr="00D8486A" w:rsidRDefault="00224102" w:rsidP="00224102">
            <w:pPr>
              <w:jc w:val="right"/>
              <w:rPr>
                <w:b/>
                <w:sz w:val="16"/>
                <w:szCs w:val="16"/>
              </w:rPr>
            </w:pPr>
            <w:r w:rsidRPr="00117A4B">
              <w:rPr>
                <w:b/>
                <w:sz w:val="18"/>
                <w:szCs w:val="18"/>
              </w:rPr>
              <w:t>1,531,569</w:t>
            </w:r>
          </w:p>
        </w:tc>
        <w:tc>
          <w:tcPr>
            <w:tcW w:w="882" w:type="dxa"/>
            <w:vAlign w:val="bottom"/>
          </w:tcPr>
          <w:p w14:paraId="00020829" w14:textId="5A399354" w:rsidR="00224102" w:rsidRPr="00D8486A" w:rsidRDefault="00224102" w:rsidP="00224102">
            <w:pPr>
              <w:jc w:val="right"/>
              <w:rPr>
                <w:b/>
                <w:sz w:val="16"/>
                <w:szCs w:val="16"/>
              </w:rPr>
            </w:pPr>
            <w:r w:rsidRPr="00117A4B">
              <w:rPr>
                <w:b/>
                <w:sz w:val="18"/>
                <w:szCs w:val="18"/>
              </w:rPr>
              <w:t>106</w:t>
            </w:r>
          </w:p>
        </w:tc>
        <w:tc>
          <w:tcPr>
            <w:tcW w:w="938" w:type="dxa"/>
            <w:vAlign w:val="bottom"/>
          </w:tcPr>
          <w:p w14:paraId="68FFBA00" w14:textId="40D022ED" w:rsidR="00224102" w:rsidRPr="00D8486A" w:rsidRDefault="00224102" w:rsidP="00224102">
            <w:pPr>
              <w:jc w:val="right"/>
              <w:rPr>
                <w:b/>
                <w:sz w:val="16"/>
                <w:szCs w:val="16"/>
              </w:rPr>
            </w:pPr>
            <w:r>
              <w:rPr>
                <w:b/>
                <w:sz w:val="18"/>
                <w:szCs w:val="18"/>
              </w:rPr>
              <w:t>4,752</w:t>
            </w:r>
          </w:p>
        </w:tc>
        <w:tc>
          <w:tcPr>
            <w:tcW w:w="952" w:type="dxa"/>
            <w:vAlign w:val="bottom"/>
          </w:tcPr>
          <w:p w14:paraId="358F792E" w14:textId="16206C53" w:rsidR="00224102" w:rsidRPr="00D8486A" w:rsidRDefault="00224102" w:rsidP="00224102">
            <w:pPr>
              <w:jc w:val="right"/>
              <w:rPr>
                <w:b/>
                <w:bCs/>
                <w:sz w:val="16"/>
                <w:szCs w:val="16"/>
              </w:rPr>
            </w:pPr>
            <w:r w:rsidRPr="00117A4B">
              <w:rPr>
                <w:b/>
                <w:bCs/>
                <w:sz w:val="18"/>
                <w:szCs w:val="18"/>
              </w:rPr>
              <w:t>1,946,</w:t>
            </w:r>
            <w:r>
              <w:rPr>
                <w:b/>
                <w:bCs/>
                <w:sz w:val="18"/>
                <w:szCs w:val="18"/>
              </w:rPr>
              <w:t>660</w:t>
            </w:r>
          </w:p>
        </w:tc>
      </w:tr>
      <w:tr w:rsidR="00224102" w:rsidRPr="00604C75" w14:paraId="55E5BD6D" w14:textId="77777777" w:rsidTr="001921C0">
        <w:tc>
          <w:tcPr>
            <w:tcW w:w="5236" w:type="dxa"/>
            <w:vAlign w:val="bottom"/>
          </w:tcPr>
          <w:p w14:paraId="1D805C4C" w14:textId="77777777" w:rsidR="00224102" w:rsidRPr="00604C75" w:rsidRDefault="00224102" w:rsidP="00224102">
            <w:pPr>
              <w:jc w:val="both"/>
              <w:rPr>
                <w:snapToGrid w:val="0"/>
                <w:sz w:val="18"/>
                <w:szCs w:val="18"/>
              </w:rPr>
            </w:pPr>
          </w:p>
        </w:tc>
        <w:tc>
          <w:tcPr>
            <w:tcW w:w="900" w:type="dxa"/>
            <w:vAlign w:val="bottom"/>
          </w:tcPr>
          <w:p w14:paraId="606198AA" w14:textId="77777777" w:rsidR="00224102" w:rsidRPr="00D8486A" w:rsidRDefault="00224102" w:rsidP="00224102">
            <w:pPr>
              <w:jc w:val="right"/>
              <w:rPr>
                <w:b/>
                <w:sz w:val="16"/>
                <w:szCs w:val="16"/>
              </w:rPr>
            </w:pPr>
          </w:p>
        </w:tc>
        <w:tc>
          <w:tcPr>
            <w:tcW w:w="991" w:type="dxa"/>
            <w:vAlign w:val="bottom"/>
          </w:tcPr>
          <w:p w14:paraId="1B2A8F6C" w14:textId="77777777" w:rsidR="00224102" w:rsidRPr="00D8486A" w:rsidRDefault="00224102" w:rsidP="00224102">
            <w:pPr>
              <w:jc w:val="right"/>
              <w:rPr>
                <w:b/>
                <w:sz w:val="16"/>
                <w:szCs w:val="16"/>
              </w:rPr>
            </w:pPr>
          </w:p>
        </w:tc>
        <w:tc>
          <w:tcPr>
            <w:tcW w:w="882" w:type="dxa"/>
            <w:vAlign w:val="bottom"/>
          </w:tcPr>
          <w:p w14:paraId="4ACCD7A8" w14:textId="77777777" w:rsidR="00224102" w:rsidRPr="00D8486A" w:rsidRDefault="00224102" w:rsidP="00224102">
            <w:pPr>
              <w:jc w:val="right"/>
              <w:rPr>
                <w:b/>
                <w:sz w:val="16"/>
                <w:szCs w:val="16"/>
              </w:rPr>
            </w:pPr>
          </w:p>
        </w:tc>
        <w:tc>
          <w:tcPr>
            <w:tcW w:w="938" w:type="dxa"/>
            <w:vAlign w:val="bottom"/>
          </w:tcPr>
          <w:p w14:paraId="2F7A356E" w14:textId="77777777" w:rsidR="00224102" w:rsidRPr="00D8486A" w:rsidRDefault="00224102" w:rsidP="00224102">
            <w:pPr>
              <w:jc w:val="right"/>
              <w:rPr>
                <w:b/>
                <w:sz w:val="16"/>
                <w:szCs w:val="16"/>
              </w:rPr>
            </w:pPr>
          </w:p>
        </w:tc>
        <w:tc>
          <w:tcPr>
            <w:tcW w:w="952" w:type="dxa"/>
            <w:vAlign w:val="bottom"/>
          </w:tcPr>
          <w:p w14:paraId="7E6077ED" w14:textId="77777777" w:rsidR="00224102" w:rsidRPr="00D8486A" w:rsidRDefault="00224102" w:rsidP="00224102">
            <w:pPr>
              <w:jc w:val="right"/>
              <w:rPr>
                <w:b/>
                <w:sz w:val="16"/>
                <w:szCs w:val="16"/>
              </w:rPr>
            </w:pPr>
          </w:p>
        </w:tc>
      </w:tr>
      <w:tr w:rsidR="00224102" w:rsidRPr="00604C75" w14:paraId="68F33EF4" w14:textId="77777777" w:rsidTr="001921C0">
        <w:tc>
          <w:tcPr>
            <w:tcW w:w="5236" w:type="dxa"/>
            <w:vAlign w:val="bottom"/>
          </w:tcPr>
          <w:p w14:paraId="69A0E206" w14:textId="77777777" w:rsidR="00224102" w:rsidRPr="00604C75" w:rsidRDefault="00224102" w:rsidP="00224102">
            <w:pPr>
              <w:pStyle w:val="Heading3"/>
              <w:ind w:left="0"/>
              <w:rPr>
                <w:rFonts w:ascii="Times New Roman" w:hAnsi="Times New Roman"/>
                <w:sz w:val="18"/>
                <w:szCs w:val="18"/>
              </w:rPr>
            </w:pPr>
            <w:r w:rsidRPr="00604C75">
              <w:rPr>
                <w:rFonts w:ascii="Times New Roman" w:hAnsi="Times New Roman"/>
                <w:sz w:val="18"/>
                <w:szCs w:val="18"/>
              </w:rPr>
              <w:t>31 December 2014</w:t>
            </w:r>
          </w:p>
        </w:tc>
        <w:tc>
          <w:tcPr>
            <w:tcW w:w="900" w:type="dxa"/>
            <w:vAlign w:val="bottom"/>
          </w:tcPr>
          <w:p w14:paraId="5C0C01CE" w14:textId="77777777" w:rsidR="00224102" w:rsidRPr="00D8486A" w:rsidRDefault="00224102" w:rsidP="00224102">
            <w:pPr>
              <w:jc w:val="right"/>
              <w:rPr>
                <w:sz w:val="16"/>
                <w:szCs w:val="16"/>
              </w:rPr>
            </w:pPr>
          </w:p>
        </w:tc>
        <w:tc>
          <w:tcPr>
            <w:tcW w:w="991" w:type="dxa"/>
            <w:vAlign w:val="bottom"/>
          </w:tcPr>
          <w:p w14:paraId="53AE1ED1" w14:textId="77777777" w:rsidR="00224102" w:rsidRPr="00D8486A" w:rsidRDefault="00224102" w:rsidP="00224102">
            <w:pPr>
              <w:jc w:val="right"/>
              <w:rPr>
                <w:sz w:val="16"/>
                <w:szCs w:val="16"/>
              </w:rPr>
            </w:pPr>
          </w:p>
        </w:tc>
        <w:tc>
          <w:tcPr>
            <w:tcW w:w="882" w:type="dxa"/>
            <w:vAlign w:val="bottom"/>
          </w:tcPr>
          <w:p w14:paraId="59E10FBE" w14:textId="77777777" w:rsidR="00224102" w:rsidRPr="00D8486A" w:rsidRDefault="00224102" w:rsidP="00224102">
            <w:pPr>
              <w:jc w:val="right"/>
              <w:rPr>
                <w:sz w:val="16"/>
                <w:szCs w:val="16"/>
              </w:rPr>
            </w:pPr>
          </w:p>
        </w:tc>
        <w:tc>
          <w:tcPr>
            <w:tcW w:w="938" w:type="dxa"/>
            <w:vAlign w:val="bottom"/>
          </w:tcPr>
          <w:p w14:paraId="2A25C15E" w14:textId="77777777" w:rsidR="00224102" w:rsidRPr="00D8486A" w:rsidRDefault="00224102" w:rsidP="00224102">
            <w:pPr>
              <w:jc w:val="right"/>
              <w:rPr>
                <w:sz w:val="16"/>
                <w:szCs w:val="16"/>
              </w:rPr>
            </w:pPr>
          </w:p>
        </w:tc>
        <w:tc>
          <w:tcPr>
            <w:tcW w:w="952" w:type="dxa"/>
            <w:vAlign w:val="bottom"/>
          </w:tcPr>
          <w:p w14:paraId="057808B8" w14:textId="77777777" w:rsidR="00224102" w:rsidRPr="00D8486A" w:rsidRDefault="00224102" w:rsidP="00224102">
            <w:pPr>
              <w:jc w:val="right"/>
              <w:rPr>
                <w:sz w:val="16"/>
                <w:szCs w:val="16"/>
              </w:rPr>
            </w:pPr>
          </w:p>
        </w:tc>
      </w:tr>
      <w:tr w:rsidR="00224102" w:rsidRPr="00604C75" w14:paraId="63C63D0F" w14:textId="77777777" w:rsidTr="001921C0">
        <w:tc>
          <w:tcPr>
            <w:tcW w:w="5236" w:type="dxa"/>
            <w:vAlign w:val="bottom"/>
          </w:tcPr>
          <w:p w14:paraId="56C2F4C0" w14:textId="77777777" w:rsidR="00224102" w:rsidRPr="00604C75" w:rsidRDefault="00224102" w:rsidP="00224102">
            <w:pPr>
              <w:rPr>
                <w:snapToGrid w:val="0"/>
                <w:sz w:val="18"/>
                <w:szCs w:val="18"/>
              </w:rPr>
            </w:pPr>
            <w:r w:rsidRPr="00604C75">
              <w:rPr>
                <w:noProof/>
                <w:snapToGrid w:val="0"/>
                <w:sz w:val="18"/>
                <w:szCs w:val="18"/>
              </w:rPr>
              <w:t>Total Assets</w:t>
            </w:r>
          </w:p>
        </w:tc>
        <w:tc>
          <w:tcPr>
            <w:tcW w:w="900" w:type="dxa"/>
            <w:vAlign w:val="bottom"/>
          </w:tcPr>
          <w:p w14:paraId="103448FD" w14:textId="142D5832" w:rsidR="00224102" w:rsidRPr="00D8486A" w:rsidRDefault="00224102" w:rsidP="00224102">
            <w:pPr>
              <w:jc w:val="right"/>
              <w:rPr>
                <w:bCs/>
                <w:sz w:val="16"/>
                <w:szCs w:val="16"/>
              </w:rPr>
            </w:pPr>
            <w:r w:rsidRPr="00692926">
              <w:rPr>
                <w:bCs/>
                <w:sz w:val="18"/>
                <w:szCs w:val="18"/>
              </w:rPr>
              <w:t>1,019,499</w:t>
            </w:r>
          </w:p>
        </w:tc>
        <w:tc>
          <w:tcPr>
            <w:tcW w:w="991" w:type="dxa"/>
            <w:vAlign w:val="bottom"/>
          </w:tcPr>
          <w:p w14:paraId="40E0C037" w14:textId="69EBCEE7" w:rsidR="00224102" w:rsidRPr="00D8486A" w:rsidRDefault="00224102" w:rsidP="00224102">
            <w:pPr>
              <w:jc w:val="right"/>
              <w:rPr>
                <w:bCs/>
                <w:sz w:val="16"/>
                <w:szCs w:val="16"/>
              </w:rPr>
            </w:pPr>
            <w:r w:rsidRPr="00692926">
              <w:rPr>
                <w:bCs/>
                <w:sz w:val="18"/>
                <w:szCs w:val="18"/>
              </w:rPr>
              <w:t>3,624,121</w:t>
            </w:r>
          </w:p>
        </w:tc>
        <w:tc>
          <w:tcPr>
            <w:tcW w:w="882" w:type="dxa"/>
            <w:vAlign w:val="bottom"/>
          </w:tcPr>
          <w:p w14:paraId="093AE190" w14:textId="7F37E480" w:rsidR="00224102" w:rsidRPr="00D8486A" w:rsidRDefault="00224102" w:rsidP="00224102">
            <w:pPr>
              <w:jc w:val="right"/>
              <w:rPr>
                <w:bCs/>
                <w:sz w:val="16"/>
                <w:szCs w:val="16"/>
              </w:rPr>
            </w:pPr>
            <w:r w:rsidRPr="00692926">
              <w:rPr>
                <w:bCs/>
                <w:sz w:val="18"/>
                <w:szCs w:val="18"/>
              </w:rPr>
              <w:t>-</w:t>
            </w:r>
          </w:p>
        </w:tc>
        <w:tc>
          <w:tcPr>
            <w:tcW w:w="938" w:type="dxa"/>
            <w:vAlign w:val="bottom"/>
          </w:tcPr>
          <w:p w14:paraId="32EC1426" w14:textId="7E868946" w:rsidR="00224102" w:rsidRPr="00D8486A" w:rsidRDefault="00224102" w:rsidP="00224102">
            <w:pPr>
              <w:jc w:val="right"/>
              <w:rPr>
                <w:bCs/>
                <w:sz w:val="16"/>
                <w:szCs w:val="16"/>
              </w:rPr>
            </w:pPr>
            <w:r w:rsidRPr="00692926">
              <w:rPr>
                <w:bCs/>
                <w:sz w:val="18"/>
                <w:szCs w:val="18"/>
              </w:rPr>
              <w:t>234,550</w:t>
            </w:r>
          </w:p>
        </w:tc>
        <w:tc>
          <w:tcPr>
            <w:tcW w:w="952" w:type="dxa"/>
            <w:vAlign w:val="bottom"/>
          </w:tcPr>
          <w:p w14:paraId="25CDD08B" w14:textId="4EC04CAB" w:rsidR="00224102" w:rsidRPr="00D8486A" w:rsidRDefault="00224102" w:rsidP="00224102">
            <w:pPr>
              <w:jc w:val="right"/>
              <w:rPr>
                <w:bCs/>
                <w:sz w:val="16"/>
                <w:szCs w:val="16"/>
              </w:rPr>
            </w:pPr>
            <w:r w:rsidRPr="00692926">
              <w:rPr>
                <w:bCs/>
                <w:sz w:val="18"/>
                <w:szCs w:val="18"/>
              </w:rPr>
              <w:t>4,878,170</w:t>
            </w:r>
          </w:p>
        </w:tc>
      </w:tr>
      <w:tr w:rsidR="00224102" w:rsidRPr="00604C75" w14:paraId="2B6838A4" w14:textId="77777777" w:rsidTr="001921C0">
        <w:tc>
          <w:tcPr>
            <w:tcW w:w="5236" w:type="dxa"/>
            <w:vAlign w:val="bottom"/>
          </w:tcPr>
          <w:p w14:paraId="47215D1D" w14:textId="77777777" w:rsidR="00224102" w:rsidRPr="00604C75" w:rsidRDefault="00224102" w:rsidP="00224102">
            <w:pPr>
              <w:rPr>
                <w:snapToGrid w:val="0"/>
                <w:sz w:val="18"/>
                <w:szCs w:val="18"/>
              </w:rPr>
            </w:pPr>
            <w:r w:rsidRPr="00604C75">
              <w:rPr>
                <w:noProof/>
                <w:snapToGrid w:val="0"/>
                <w:sz w:val="18"/>
                <w:szCs w:val="18"/>
              </w:rPr>
              <w:t>Total Liabilities</w:t>
            </w:r>
          </w:p>
        </w:tc>
        <w:tc>
          <w:tcPr>
            <w:tcW w:w="900" w:type="dxa"/>
            <w:vAlign w:val="bottom"/>
          </w:tcPr>
          <w:p w14:paraId="65FDF441" w14:textId="2EE5F3CA" w:rsidR="00224102" w:rsidRPr="00D8486A" w:rsidRDefault="00224102" w:rsidP="00224102">
            <w:pPr>
              <w:jc w:val="right"/>
              <w:rPr>
                <w:sz w:val="16"/>
                <w:szCs w:val="16"/>
              </w:rPr>
            </w:pPr>
            <w:r w:rsidRPr="00692926">
              <w:rPr>
                <w:sz w:val="18"/>
                <w:szCs w:val="18"/>
              </w:rPr>
              <w:t>1,111,369</w:t>
            </w:r>
          </w:p>
        </w:tc>
        <w:tc>
          <w:tcPr>
            <w:tcW w:w="991" w:type="dxa"/>
            <w:vAlign w:val="bottom"/>
          </w:tcPr>
          <w:p w14:paraId="5A904FD5" w14:textId="44E4C386" w:rsidR="00224102" w:rsidRPr="00D8486A" w:rsidRDefault="00224102" w:rsidP="00224102">
            <w:pPr>
              <w:jc w:val="right"/>
              <w:rPr>
                <w:sz w:val="16"/>
                <w:szCs w:val="16"/>
              </w:rPr>
            </w:pPr>
            <w:r w:rsidRPr="00692926">
              <w:rPr>
                <w:sz w:val="18"/>
                <w:szCs w:val="18"/>
              </w:rPr>
              <w:t>4,072,053</w:t>
            </w:r>
          </w:p>
        </w:tc>
        <w:tc>
          <w:tcPr>
            <w:tcW w:w="882" w:type="dxa"/>
            <w:vAlign w:val="bottom"/>
          </w:tcPr>
          <w:p w14:paraId="6D537FA2" w14:textId="53B15D76" w:rsidR="00224102" w:rsidRPr="00D8486A" w:rsidRDefault="00224102" w:rsidP="00224102">
            <w:pPr>
              <w:jc w:val="right"/>
              <w:rPr>
                <w:sz w:val="16"/>
                <w:szCs w:val="16"/>
              </w:rPr>
            </w:pPr>
            <w:r w:rsidRPr="00692926">
              <w:rPr>
                <w:sz w:val="18"/>
                <w:szCs w:val="18"/>
              </w:rPr>
              <w:t>-</w:t>
            </w:r>
          </w:p>
        </w:tc>
        <w:tc>
          <w:tcPr>
            <w:tcW w:w="938" w:type="dxa"/>
            <w:vAlign w:val="bottom"/>
          </w:tcPr>
          <w:p w14:paraId="37546137" w14:textId="07044DD2" w:rsidR="00224102" w:rsidRPr="00D8486A" w:rsidRDefault="00224102" w:rsidP="00224102">
            <w:pPr>
              <w:jc w:val="right"/>
              <w:rPr>
                <w:sz w:val="16"/>
                <w:szCs w:val="16"/>
              </w:rPr>
            </w:pPr>
            <w:r w:rsidRPr="00692926">
              <w:rPr>
                <w:sz w:val="18"/>
                <w:szCs w:val="18"/>
              </w:rPr>
              <w:t>20,258</w:t>
            </w:r>
          </w:p>
        </w:tc>
        <w:tc>
          <w:tcPr>
            <w:tcW w:w="952" w:type="dxa"/>
            <w:vAlign w:val="bottom"/>
          </w:tcPr>
          <w:p w14:paraId="3B223C18" w14:textId="2980F402" w:rsidR="00224102" w:rsidRPr="00D8486A" w:rsidRDefault="00224102" w:rsidP="00224102">
            <w:pPr>
              <w:jc w:val="right"/>
              <w:rPr>
                <w:sz w:val="16"/>
                <w:szCs w:val="16"/>
              </w:rPr>
            </w:pPr>
            <w:r w:rsidRPr="00692926">
              <w:rPr>
                <w:sz w:val="18"/>
                <w:szCs w:val="18"/>
              </w:rPr>
              <w:t>5,203,680</w:t>
            </w:r>
          </w:p>
        </w:tc>
      </w:tr>
      <w:tr w:rsidR="00224102" w:rsidRPr="00604C75" w14:paraId="1977F316" w14:textId="77777777" w:rsidTr="00AD726D">
        <w:tc>
          <w:tcPr>
            <w:tcW w:w="5236" w:type="dxa"/>
            <w:vAlign w:val="bottom"/>
          </w:tcPr>
          <w:p w14:paraId="5851AFD6" w14:textId="77777777" w:rsidR="00224102" w:rsidRPr="00604C75" w:rsidRDefault="00224102" w:rsidP="00224102">
            <w:pPr>
              <w:rPr>
                <w:b/>
                <w:bCs/>
                <w:snapToGrid w:val="0"/>
                <w:sz w:val="18"/>
                <w:szCs w:val="18"/>
              </w:rPr>
            </w:pPr>
            <w:r w:rsidRPr="00604C75">
              <w:rPr>
                <w:b/>
                <w:bCs/>
                <w:noProof/>
                <w:snapToGrid w:val="0"/>
                <w:sz w:val="18"/>
                <w:szCs w:val="18"/>
              </w:rPr>
              <w:t>Net Balance Sheet Position</w:t>
            </w:r>
          </w:p>
        </w:tc>
        <w:tc>
          <w:tcPr>
            <w:tcW w:w="900" w:type="dxa"/>
            <w:vAlign w:val="bottom"/>
          </w:tcPr>
          <w:p w14:paraId="50D390CA" w14:textId="36646BB5" w:rsidR="00224102" w:rsidRPr="00D8486A" w:rsidRDefault="00224102" w:rsidP="00224102">
            <w:pPr>
              <w:jc w:val="right"/>
              <w:rPr>
                <w:b/>
                <w:sz w:val="16"/>
                <w:szCs w:val="16"/>
              </w:rPr>
            </w:pPr>
            <w:r w:rsidRPr="00692926">
              <w:rPr>
                <w:b/>
                <w:sz w:val="18"/>
                <w:szCs w:val="18"/>
              </w:rPr>
              <w:t>(91,870)</w:t>
            </w:r>
          </w:p>
        </w:tc>
        <w:tc>
          <w:tcPr>
            <w:tcW w:w="991" w:type="dxa"/>
            <w:vAlign w:val="bottom"/>
          </w:tcPr>
          <w:p w14:paraId="5F666C5F" w14:textId="10DB5A68" w:rsidR="00224102" w:rsidRPr="00D8486A" w:rsidRDefault="00224102" w:rsidP="00224102">
            <w:pPr>
              <w:jc w:val="right"/>
              <w:rPr>
                <w:b/>
                <w:sz w:val="16"/>
                <w:szCs w:val="16"/>
              </w:rPr>
            </w:pPr>
            <w:r w:rsidRPr="00692926">
              <w:rPr>
                <w:b/>
                <w:sz w:val="18"/>
                <w:szCs w:val="18"/>
              </w:rPr>
              <w:t>(447,932)</w:t>
            </w:r>
          </w:p>
        </w:tc>
        <w:tc>
          <w:tcPr>
            <w:tcW w:w="882" w:type="dxa"/>
            <w:vAlign w:val="bottom"/>
          </w:tcPr>
          <w:p w14:paraId="7758744A" w14:textId="7D93A57A" w:rsidR="00224102" w:rsidRPr="00D8486A" w:rsidRDefault="00224102" w:rsidP="00224102">
            <w:pPr>
              <w:jc w:val="right"/>
              <w:rPr>
                <w:b/>
                <w:sz w:val="16"/>
                <w:szCs w:val="16"/>
              </w:rPr>
            </w:pPr>
            <w:r w:rsidRPr="00692926">
              <w:rPr>
                <w:b/>
                <w:sz w:val="18"/>
                <w:szCs w:val="18"/>
              </w:rPr>
              <w:t>-</w:t>
            </w:r>
          </w:p>
        </w:tc>
        <w:tc>
          <w:tcPr>
            <w:tcW w:w="938" w:type="dxa"/>
            <w:vAlign w:val="bottom"/>
          </w:tcPr>
          <w:p w14:paraId="17723DC9" w14:textId="4F7E34E8" w:rsidR="00224102" w:rsidRPr="00D8486A" w:rsidRDefault="00224102" w:rsidP="00224102">
            <w:pPr>
              <w:jc w:val="right"/>
              <w:rPr>
                <w:b/>
                <w:sz w:val="16"/>
                <w:szCs w:val="16"/>
              </w:rPr>
            </w:pPr>
            <w:r w:rsidRPr="00692926">
              <w:rPr>
                <w:b/>
                <w:sz w:val="18"/>
                <w:szCs w:val="18"/>
              </w:rPr>
              <w:t>214,292</w:t>
            </w:r>
          </w:p>
        </w:tc>
        <w:tc>
          <w:tcPr>
            <w:tcW w:w="952" w:type="dxa"/>
            <w:vAlign w:val="bottom"/>
          </w:tcPr>
          <w:p w14:paraId="14B90816" w14:textId="6E91D956" w:rsidR="00224102" w:rsidRPr="00D8486A" w:rsidRDefault="00224102" w:rsidP="00224102">
            <w:pPr>
              <w:jc w:val="right"/>
              <w:rPr>
                <w:b/>
                <w:sz w:val="16"/>
                <w:szCs w:val="16"/>
              </w:rPr>
            </w:pPr>
            <w:r w:rsidRPr="00692926">
              <w:rPr>
                <w:b/>
                <w:sz w:val="18"/>
                <w:szCs w:val="18"/>
              </w:rPr>
              <w:t>(325,510)</w:t>
            </w:r>
          </w:p>
        </w:tc>
      </w:tr>
      <w:tr w:rsidR="00224102" w:rsidRPr="00604C75" w14:paraId="57B1E554" w14:textId="77777777" w:rsidTr="00AD726D">
        <w:tc>
          <w:tcPr>
            <w:tcW w:w="5236" w:type="dxa"/>
            <w:vAlign w:val="bottom"/>
          </w:tcPr>
          <w:p w14:paraId="29B54439" w14:textId="77777777" w:rsidR="00224102" w:rsidRPr="00604C75" w:rsidRDefault="00224102" w:rsidP="00224102">
            <w:pPr>
              <w:rPr>
                <w:b/>
                <w:snapToGrid w:val="0"/>
                <w:sz w:val="18"/>
                <w:szCs w:val="18"/>
              </w:rPr>
            </w:pPr>
            <w:r w:rsidRPr="00604C75">
              <w:rPr>
                <w:b/>
                <w:noProof/>
                <w:snapToGrid w:val="0"/>
                <w:sz w:val="18"/>
                <w:szCs w:val="18"/>
              </w:rPr>
              <w:t>Net Off balance Sheet Position</w:t>
            </w:r>
          </w:p>
        </w:tc>
        <w:tc>
          <w:tcPr>
            <w:tcW w:w="900" w:type="dxa"/>
            <w:vAlign w:val="bottom"/>
          </w:tcPr>
          <w:p w14:paraId="2A06FF26" w14:textId="2FC4A107" w:rsidR="00224102" w:rsidRPr="00D8486A" w:rsidRDefault="00224102" w:rsidP="00224102">
            <w:pPr>
              <w:jc w:val="right"/>
              <w:rPr>
                <w:b/>
                <w:sz w:val="16"/>
                <w:szCs w:val="16"/>
              </w:rPr>
            </w:pPr>
            <w:r w:rsidRPr="00692926">
              <w:rPr>
                <w:b/>
                <w:sz w:val="18"/>
                <w:szCs w:val="18"/>
              </w:rPr>
              <w:t>90,009</w:t>
            </w:r>
          </w:p>
        </w:tc>
        <w:tc>
          <w:tcPr>
            <w:tcW w:w="991" w:type="dxa"/>
            <w:vAlign w:val="bottom"/>
          </w:tcPr>
          <w:p w14:paraId="6977105F" w14:textId="484112A8" w:rsidR="00224102" w:rsidRPr="00D8486A" w:rsidRDefault="00224102" w:rsidP="00224102">
            <w:pPr>
              <w:jc w:val="right"/>
              <w:rPr>
                <w:b/>
                <w:sz w:val="16"/>
                <w:szCs w:val="16"/>
              </w:rPr>
            </w:pPr>
            <w:r w:rsidRPr="00692926">
              <w:rPr>
                <w:b/>
                <w:sz w:val="18"/>
                <w:szCs w:val="18"/>
              </w:rPr>
              <w:t>463,952</w:t>
            </w:r>
          </w:p>
        </w:tc>
        <w:tc>
          <w:tcPr>
            <w:tcW w:w="882" w:type="dxa"/>
            <w:vAlign w:val="bottom"/>
          </w:tcPr>
          <w:p w14:paraId="17BBF5DD" w14:textId="4FB3D326" w:rsidR="00224102" w:rsidRPr="00D8486A" w:rsidRDefault="00224102" w:rsidP="00224102">
            <w:pPr>
              <w:jc w:val="right"/>
              <w:rPr>
                <w:b/>
                <w:sz w:val="16"/>
                <w:szCs w:val="16"/>
              </w:rPr>
            </w:pPr>
            <w:r w:rsidRPr="00692926">
              <w:rPr>
                <w:b/>
                <w:sz w:val="18"/>
                <w:szCs w:val="18"/>
              </w:rPr>
              <w:t>-</w:t>
            </w:r>
          </w:p>
        </w:tc>
        <w:tc>
          <w:tcPr>
            <w:tcW w:w="938" w:type="dxa"/>
            <w:vAlign w:val="bottom"/>
          </w:tcPr>
          <w:p w14:paraId="20D3E199" w14:textId="778C9DD0" w:rsidR="00224102" w:rsidRPr="00D8486A" w:rsidRDefault="00224102" w:rsidP="00224102">
            <w:pPr>
              <w:jc w:val="right"/>
              <w:rPr>
                <w:b/>
                <w:sz w:val="16"/>
                <w:szCs w:val="16"/>
              </w:rPr>
            </w:pPr>
            <w:r w:rsidRPr="00692926">
              <w:rPr>
                <w:b/>
                <w:sz w:val="18"/>
                <w:szCs w:val="18"/>
              </w:rPr>
              <w:t>(213,968)</w:t>
            </w:r>
          </w:p>
        </w:tc>
        <w:tc>
          <w:tcPr>
            <w:tcW w:w="952" w:type="dxa"/>
            <w:vAlign w:val="bottom"/>
          </w:tcPr>
          <w:p w14:paraId="7B827AE7" w14:textId="5A2FC635" w:rsidR="00224102" w:rsidRPr="00D8486A" w:rsidRDefault="00224102" w:rsidP="00224102">
            <w:pPr>
              <w:jc w:val="right"/>
              <w:rPr>
                <w:b/>
                <w:sz w:val="16"/>
                <w:szCs w:val="16"/>
              </w:rPr>
            </w:pPr>
            <w:r w:rsidRPr="00692926">
              <w:rPr>
                <w:b/>
                <w:sz w:val="18"/>
                <w:szCs w:val="18"/>
              </w:rPr>
              <w:t>339,993</w:t>
            </w:r>
          </w:p>
        </w:tc>
      </w:tr>
      <w:tr w:rsidR="00224102" w:rsidRPr="00604C75" w14:paraId="3F1F2853" w14:textId="77777777" w:rsidTr="00AD726D">
        <w:tc>
          <w:tcPr>
            <w:tcW w:w="5236" w:type="dxa"/>
            <w:vAlign w:val="bottom"/>
          </w:tcPr>
          <w:p w14:paraId="5EB7B9A1" w14:textId="77777777" w:rsidR="00224102" w:rsidRPr="00604C75" w:rsidRDefault="00224102" w:rsidP="00224102">
            <w:pPr>
              <w:rPr>
                <w:snapToGrid w:val="0"/>
                <w:sz w:val="18"/>
                <w:szCs w:val="18"/>
              </w:rPr>
            </w:pPr>
            <w:r w:rsidRPr="00604C75">
              <w:rPr>
                <w:noProof/>
                <w:snapToGrid w:val="0"/>
                <w:sz w:val="18"/>
                <w:szCs w:val="18"/>
              </w:rPr>
              <w:t>Financial Derivative Assets</w:t>
            </w:r>
          </w:p>
        </w:tc>
        <w:tc>
          <w:tcPr>
            <w:tcW w:w="900" w:type="dxa"/>
            <w:vAlign w:val="bottom"/>
          </w:tcPr>
          <w:p w14:paraId="495947D4" w14:textId="5600846F" w:rsidR="00224102" w:rsidRPr="00D8486A" w:rsidRDefault="00224102" w:rsidP="00224102">
            <w:pPr>
              <w:jc w:val="right"/>
              <w:rPr>
                <w:sz w:val="16"/>
                <w:szCs w:val="16"/>
              </w:rPr>
            </w:pPr>
            <w:r w:rsidRPr="00692926">
              <w:rPr>
                <w:sz w:val="18"/>
                <w:szCs w:val="18"/>
              </w:rPr>
              <w:t>268,179</w:t>
            </w:r>
          </w:p>
        </w:tc>
        <w:tc>
          <w:tcPr>
            <w:tcW w:w="991" w:type="dxa"/>
            <w:vAlign w:val="bottom"/>
          </w:tcPr>
          <w:p w14:paraId="012570E7" w14:textId="3A154108" w:rsidR="00224102" w:rsidRPr="00D8486A" w:rsidRDefault="00224102" w:rsidP="00224102">
            <w:pPr>
              <w:jc w:val="right"/>
              <w:rPr>
                <w:sz w:val="16"/>
                <w:szCs w:val="16"/>
              </w:rPr>
            </w:pPr>
            <w:r w:rsidRPr="00692926">
              <w:rPr>
                <w:sz w:val="18"/>
                <w:szCs w:val="18"/>
              </w:rPr>
              <w:t>1,232,020</w:t>
            </w:r>
          </w:p>
        </w:tc>
        <w:tc>
          <w:tcPr>
            <w:tcW w:w="882" w:type="dxa"/>
            <w:vAlign w:val="bottom"/>
          </w:tcPr>
          <w:p w14:paraId="1468FC14" w14:textId="5059CED1" w:rsidR="00224102" w:rsidRPr="00D8486A" w:rsidRDefault="00224102" w:rsidP="00224102">
            <w:pPr>
              <w:jc w:val="right"/>
              <w:rPr>
                <w:sz w:val="16"/>
                <w:szCs w:val="16"/>
              </w:rPr>
            </w:pPr>
            <w:r w:rsidRPr="00692926">
              <w:rPr>
                <w:sz w:val="18"/>
                <w:szCs w:val="18"/>
              </w:rPr>
              <w:t>-</w:t>
            </w:r>
          </w:p>
        </w:tc>
        <w:tc>
          <w:tcPr>
            <w:tcW w:w="938" w:type="dxa"/>
            <w:vAlign w:val="bottom"/>
          </w:tcPr>
          <w:p w14:paraId="1A9B3A8D" w14:textId="1E084FB0" w:rsidR="00224102" w:rsidRPr="00D8486A" w:rsidRDefault="00224102" w:rsidP="00224102">
            <w:pPr>
              <w:jc w:val="right"/>
              <w:rPr>
                <w:sz w:val="16"/>
                <w:szCs w:val="16"/>
              </w:rPr>
            </w:pPr>
            <w:r w:rsidRPr="00692926">
              <w:rPr>
                <w:sz w:val="18"/>
                <w:szCs w:val="18"/>
              </w:rPr>
              <w:t>13,640</w:t>
            </w:r>
          </w:p>
        </w:tc>
        <w:tc>
          <w:tcPr>
            <w:tcW w:w="952" w:type="dxa"/>
            <w:vAlign w:val="bottom"/>
          </w:tcPr>
          <w:p w14:paraId="5021E370" w14:textId="6FCE0196" w:rsidR="00224102" w:rsidRPr="00D8486A" w:rsidRDefault="00224102" w:rsidP="00224102">
            <w:pPr>
              <w:jc w:val="right"/>
              <w:rPr>
                <w:sz w:val="16"/>
                <w:szCs w:val="16"/>
              </w:rPr>
            </w:pPr>
            <w:r w:rsidRPr="00692926">
              <w:rPr>
                <w:sz w:val="18"/>
                <w:szCs w:val="18"/>
              </w:rPr>
              <w:t>1,513,839</w:t>
            </w:r>
          </w:p>
        </w:tc>
      </w:tr>
      <w:tr w:rsidR="00224102" w:rsidRPr="00604C75" w14:paraId="690036DE" w14:textId="77777777" w:rsidTr="00AD726D">
        <w:tc>
          <w:tcPr>
            <w:tcW w:w="5236" w:type="dxa"/>
            <w:vAlign w:val="bottom"/>
          </w:tcPr>
          <w:p w14:paraId="295AD836" w14:textId="77777777" w:rsidR="00224102" w:rsidRPr="00604C75" w:rsidRDefault="00224102" w:rsidP="00224102">
            <w:pPr>
              <w:rPr>
                <w:snapToGrid w:val="0"/>
                <w:sz w:val="18"/>
                <w:szCs w:val="18"/>
              </w:rPr>
            </w:pPr>
            <w:r w:rsidRPr="00604C75">
              <w:rPr>
                <w:noProof/>
                <w:snapToGrid w:val="0"/>
                <w:sz w:val="18"/>
                <w:szCs w:val="18"/>
              </w:rPr>
              <w:t>Financial Derivative Liabilities</w:t>
            </w:r>
          </w:p>
        </w:tc>
        <w:tc>
          <w:tcPr>
            <w:tcW w:w="900" w:type="dxa"/>
            <w:vAlign w:val="bottom"/>
          </w:tcPr>
          <w:p w14:paraId="1D256437" w14:textId="5929DED7" w:rsidR="00224102" w:rsidRPr="00D8486A" w:rsidRDefault="00224102" w:rsidP="00224102">
            <w:pPr>
              <w:jc w:val="right"/>
              <w:rPr>
                <w:sz w:val="16"/>
                <w:szCs w:val="16"/>
              </w:rPr>
            </w:pPr>
            <w:r w:rsidRPr="00692926">
              <w:rPr>
                <w:sz w:val="18"/>
                <w:szCs w:val="18"/>
              </w:rPr>
              <w:t>178,170</w:t>
            </w:r>
          </w:p>
        </w:tc>
        <w:tc>
          <w:tcPr>
            <w:tcW w:w="991" w:type="dxa"/>
            <w:vAlign w:val="bottom"/>
          </w:tcPr>
          <w:p w14:paraId="3E82483B" w14:textId="3BC6C374" w:rsidR="00224102" w:rsidRPr="00D8486A" w:rsidRDefault="00224102" w:rsidP="00224102">
            <w:pPr>
              <w:jc w:val="right"/>
              <w:rPr>
                <w:sz w:val="16"/>
                <w:szCs w:val="16"/>
              </w:rPr>
            </w:pPr>
            <w:r w:rsidRPr="00692926">
              <w:rPr>
                <w:sz w:val="18"/>
                <w:szCs w:val="18"/>
              </w:rPr>
              <w:t>768,068</w:t>
            </w:r>
          </w:p>
        </w:tc>
        <w:tc>
          <w:tcPr>
            <w:tcW w:w="882" w:type="dxa"/>
            <w:vAlign w:val="bottom"/>
          </w:tcPr>
          <w:p w14:paraId="2719C664" w14:textId="19133A18" w:rsidR="00224102" w:rsidRPr="00D8486A" w:rsidRDefault="00224102" w:rsidP="00224102">
            <w:pPr>
              <w:jc w:val="right"/>
              <w:rPr>
                <w:sz w:val="16"/>
                <w:szCs w:val="16"/>
              </w:rPr>
            </w:pPr>
            <w:r w:rsidRPr="00692926">
              <w:rPr>
                <w:sz w:val="18"/>
                <w:szCs w:val="18"/>
              </w:rPr>
              <w:t>-</w:t>
            </w:r>
          </w:p>
        </w:tc>
        <w:tc>
          <w:tcPr>
            <w:tcW w:w="938" w:type="dxa"/>
            <w:vAlign w:val="bottom"/>
          </w:tcPr>
          <w:p w14:paraId="22DCC4B2" w14:textId="069F2E65" w:rsidR="00224102" w:rsidRPr="00D8486A" w:rsidRDefault="00224102" w:rsidP="00224102">
            <w:pPr>
              <w:jc w:val="right"/>
              <w:rPr>
                <w:sz w:val="16"/>
                <w:szCs w:val="16"/>
              </w:rPr>
            </w:pPr>
            <w:r w:rsidRPr="00692926">
              <w:rPr>
                <w:sz w:val="18"/>
                <w:szCs w:val="18"/>
              </w:rPr>
              <w:t>227,608</w:t>
            </w:r>
          </w:p>
        </w:tc>
        <w:tc>
          <w:tcPr>
            <w:tcW w:w="952" w:type="dxa"/>
            <w:vAlign w:val="bottom"/>
          </w:tcPr>
          <w:p w14:paraId="0A729664" w14:textId="212FB06C" w:rsidR="00224102" w:rsidRPr="00D8486A" w:rsidRDefault="00224102" w:rsidP="00224102">
            <w:pPr>
              <w:jc w:val="right"/>
              <w:rPr>
                <w:sz w:val="16"/>
                <w:szCs w:val="16"/>
              </w:rPr>
            </w:pPr>
            <w:r w:rsidRPr="00692926">
              <w:rPr>
                <w:sz w:val="18"/>
                <w:szCs w:val="18"/>
              </w:rPr>
              <w:t>1,173,846</w:t>
            </w:r>
          </w:p>
        </w:tc>
      </w:tr>
      <w:tr w:rsidR="00224102" w:rsidRPr="00604C75" w14:paraId="64821CDE" w14:textId="77777777" w:rsidTr="00AD726D">
        <w:tc>
          <w:tcPr>
            <w:tcW w:w="5236" w:type="dxa"/>
            <w:vAlign w:val="bottom"/>
          </w:tcPr>
          <w:p w14:paraId="4845D9DC" w14:textId="65056582" w:rsidR="00224102" w:rsidRPr="00604C75" w:rsidRDefault="00224102" w:rsidP="00224102">
            <w:pPr>
              <w:rPr>
                <w:b/>
                <w:snapToGrid w:val="0"/>
                <w:sz w:val="18"/>
                <w:szCs w:val="18"/>
              </w:rPr>
            </w:pPr>
            <w:r w:rsidRPr="00604C75">
              <w:rPr>
                <w:b/>
                <w:noProof/>
                <w:snapToGrid w:val="0"/>
                <w:sz w:val="18"/>
                <w:szCs w:val="18"/>
              </w:rPr>
              <w:t xml:space="preserve">Non-Cash Loans </w:t>
            </w:r>
            <w:r w:rsidRPr="00604C75">
              <w:rPr>
                <w:b/>
                <w:snapToGrid w:val="0"/>
                <w:sz w:val="18"/>
                <w:szCs w:val="18"/>
              </w:rPr>
              <w:t>(***</w:t>
            </w:r>
            <w:r>
              <w:rPr>
                <w:b/>
                <w:snapToGrid w:val="0"/>
                <w:sz w:val="18"/>
                <w:szCs w:val="18"/>
              </w:rPr>
              <w:t>*</w:t>
            </w:r>
            <w:r w:rsidRPr="00604C75">
              <w:rPr>
                <w:b/>
                <w:snapToGrid w:val="0"/>
                <w:sz w:val="18"/>
                <w:szCs w:val="18"/>
              </w:rPr>
              <w:t>*)</w:t>
            </w:r>
          </w:p>
        </w:tc>
        <w:tc>
          <w:tcPr>
            <w:tcW w:w="900" w:type="dxa"/>
            <w:vAlign w:val="bottom"/>
          </w:tcPr>
          <w:p w14:paraId="3AC3A663" w14:textId="553997C2" w:rsidR="00224102" w:rsidRPr="00D8486A" w:rsidRDefault="00224102" w:rsidP="00224102">
            <w:pPr>
              <w:jc w:val="right"/>
              <w:rPr>
                <w:b/>
                <w:bCs/>
                <w:sz w:val="16"/>
                <w:szCs w:val="16"/>
              </w:rPr>
            </w:pPr>
            <w:r w:rsidRPr="00692926">
              <w:rPr>
                <w:b/>
                <w:bCs/>
                <w:sz w:val="18"/>
                <w:szCs w:val="18"/>
              </w:rPr>
              <w:t>315,228</w:t>
            </w:r>
          </w:p>
        </w:tc>
        <w:tc>
          <w:tcPr>
            <w:tcW w:w="991" w:type="dxa"/>
            <w:vAlign w:val="bottom"/>
          </w:tcPr>
          <w:p w14:paraId="7ED2F928" w14:textId="4A7E5B0E" w:rsidR="00224102" w:rsidRPr="00D8486A" w:rsidRDefault="00224102" w:rsidP="00224102">
            <w:pPr>
              <w:jc w:val="right"/>
              <w:rPr>
                <w:b/>
                <w:bCs/>
                <w:sz w:val="16"/>
                <w:szCs w:val="16"/>
              </w:rPr>
            </w:pPr>
            <w:r w:rsidRPr="00692926">
              <w:rPr>
                <w:b/>
                <w:bCs/>
                <w:sz w:val="18"/>
                <w:szCs w:val="18"/>
              </w:rPr>
              <w:t>658,107</w:t>
            </w:r>
          </w:p>
        </w:tc>
        <w:tc>
          <w:tcPr>
            <w:tcW w:w="882" w:type="dxa"/>
            <w:vAlign w:val="bottom"/>
          </w:tcPr>
          <w:p w14:paraId="7EAD6186" w14:textId="51C6A017" w:rsidR="00224102" w:rsidRPr="00D8486A" w:rsidRDefault="00224102" w:rsidP="00224102">
            <w:pPr>
              <w:jc w:val="right"/>
              <w:rPr>
                <w:b/>
                <w:sz w:val="16"/>
                <w:szCs w:val="16"/>
              </w:rPr>
            </w:pPr>
            <w:r w:rsidRPr="00692926">
              <w:rPr>
                <w:b/>
                <w:sz w:val="18"/>
                <w:szCs w:val="18"/>
              </w:rPr>
              <w:t>-</w:t>
            </w:r>
          </w:p>
        </w:tc>
        <w:tc>
          <w:tcPr>
            <w:tcW w:w="938" w:type="dxa"/>
            <w:vAlign w:val="bottom"/>
          </w:tcPr>
          <w:p w14:paraId="5C834465" w14:textId="14AC0838" w:rsidR="00224102" w:rsidRPr="00D8486A" w:rsidRDefault="00224102" w:rsidP="00224102">
            <w:pPr>
              <w:jc w:val="right"/>
              <w:rPr>
                <w:b/>
                <w:sz w:val="16"/>
                <w:szCs w:val="16"/>
              </w:rPr>
            </w:pPr>
            <w:r w:rsidRPr="00692926">
              <w:rPr>
                <w:b/>
                <w:sz w:val="18"/>
                <w:szCs w:val="18"/>
              </w:rPr>
              <w:t>13,10</w:t>
            </w:r>
            <w:r>
              <w:rPr>
                <w:b/>
                <w:sz w:val="18"/>
                <w:szCs w:val="18"/>
              </w:rPr>
              <w:t>6</w:t>
            </w:r>
          </w:p>
        </w:tc>
        <w:tc>
          <w:tcPr>
            <w:tcW w:w="952" w:type="dxa"/>
            <w:vAlign w:val="bottom"/>
          </w:tcPr>
          <w:p w14:paraId="32E3B421" w14:textId="481D2E41" w:rsidR="00224102" w:rsidRPr="00D8486A" w:rsidRDefault="00224102" w:rsidP="00224102">
            <w:pPr>
              <w:jc w:val="right"/>
              <w:rPr>
                <w:b/>
                <w:bCs/>
                <w:sz w:val="16"/>
                <w:szCs w:val="16"/>
              </w:rPr>
            </w:pPr>
            <w:r w:rsidRPr="00692926">
              <w:rPr>
                <w:b/>
                <w:bCs/>
                <w:sz w:val="18"/>
                <w:szCs w:val="18"/>
              </w:rPr>
              <w:t>986,44</w:t>
            </w:r>
            <w:r>
              <w:rPr>
                <w:b/>
                <w:bCs/>
                <w:sz w:val="18"/>
                <w:szCs w:val="18"/>
              </w:rPr>
              <w:t>1</w:t>
            </w:r>
          </w:p>
        </w:tc>
      </w:tr>
    </w:tbl>
    <w:p w14:paraId="6E9A6A68" w14:textId="4322DB20" w:rsidR="00D917FF" w:rsidRPr="00B30C53" w:rsidRDefault="00671A37" w:rsidP="007378F2">
      <w:pPr>
        <w:tabs>
          <w:tab w:val="left" w:pos="142"/>
        </w:tabs>
        <w:spacing w:before="60"/>
        <w:ind w:left="567" w:right="-549" w:hanging="567"/>
        <w:jc w:val="both"/>
        <w:rPr>
          <w:color w:val="000000"/>
          <w:sz w:val="16"/>
          <w:szCs w:val="16"/>
        </w:rPr>
      </w:pPr>
      <w:r w:rsidRPr="00B30C53">
        <w:rPr>
          <w:sz w:val="16"/>
          <w:szCs w:val="16"/>
          <w:vertAlign w:val="superscript"/>
        </w:rPr>
        <w:t xml:space="preserve"> </w:t>
      </w:r>
      <w:r w:rsidRPr="00B30C53">
        <w:rPr>
          <w:sz w:val="16"/>
          <w:szCs w:val="16"/>
        </w:rPr>
        <w:t>(*)</w:t>
      </w:r>
      <w:r w:rsidR="00B30C53">
        <w:rPr>
          <w:sz w:val="16"/>
          <w:szCs w:val="16"/>
        </w:rPr>
        <w:t xml:space="preserve">         </w:t>
      </w:r>
      <w:r w:rsidR="0074162A" w:rsidRPr="00B30C53">
        <w:rPr>
          <w:iCs/>
          <w:sz w:val="16"/>
          <w:szCs w:val="16"/>
        </w:rPr>
        <w:t>Accruals of derivative assets h</w:t>
      </w:r>
      <w:r w:rsidR="00D8486A" w:rsidRPr="00B30C53">
        <w:rPr>
          <w:iCs/>
          <w:sz w:val="16"/>
          <w:szCs w:val="16"/>
        </w:rPr>
        <w:t>eld for trading amounting to TL 4,119</w:t>
      </w:r>
      <w:r w:rsidR="00656F4B" w:rsidRPr="00B30C53">
        <w:rPr>
          <w:iCs/>
          <w:sz w:val="16"/>
          <w:szCs w:val="16"/>
        </w:rPr>
        <w:t xml:space="preserve"> </w:t>
      </w:r>
      <w:r w:rsidR="0074162A" w:rsidRPr="00B30C53">
        <w:rPr>
          <w:iCs/>
          <w:sz w:val="16"/>
          <w:szCs w:val="16"/>
        </w:rPr>
        <w:t>(31 December 201</w:t>
      </w:r>
      <w:r w:rsidRPr="00B30C53">
        <w:rPr>
          <w:iCs/>
          <w:sz w:val="16"/>
          <w:szCs w:val="16"/>
        </w:rPr>
        <w:t>4</w:t>
      </w:r>
      <w:r w:rsidR="0074162A" w:rsidRPr="00B30C53">
        <w:rPr>
          <w:iCs/>
          <w:sz w:val="16"/>
          <w:szCs w:val="16"/>
        </w:rPr>
        <w:t xml:space="preserve">: TL </w:t>
      </w:r>
      <w:r w:rsidRPr="00B30C53">
        <w:rPr>
          <w:iCs/>
          <w:sz w:val="16"/>
          <w:szCs w:val="16"/>
        </w:rPr>
        <w:t>10,708</w:t>
      </w:r>
      <w:r w:rsidR="0074162A" w:rsidRPr="00B30C53">
        <w:rPr>
          <w:iCs/>
          <w:sz w:val="16"/>
          <w:szCs w:val="16"/>
        </w:rPr>
        <w:t>) have been deducted from fai</w:t>
      </w:r>
      <w:r w:rsidR="009200D9">
        <w:rPr>
          <w:iCs/>
          <w:sz w:val="16"/>
          <w:szCs w:val="16"/>
        </w:rPr>
        <w:t>r value through profit and loss</w:t>
      </w:r>
      <w:r w:rsidR="0074162A" w:rsidRPr="00B30C53">
        <w:rPr>
          <w:iCs/>
          <w:sz w:val="16"/>
          <w:szCs w:val="16"/>
        </w:rPr>
        <w:t>.</w:t>
      </w:r>
      <w:r w:rsidR="0074162A" w:rsidRPr="00B30C53">
        <w:rPr>
          <w:color w:val="000000"/>
          <w:sz w:val="16"/>
          <w:szCs w:val="16"/>
        </w:rPr>
        <w:t xml:space="preserve"> </w:t>
      </w:r>
    </w:p>
    <w:p w14:paraId="34F0F7FD" w14:textId="152913D2" w:rsidR="0074162A" w:rsidRPr="00B30C53" w:rsidRDefault="00671A37" w:rsidP="007378F2">
      <w:pPr>
        <w:tabs>
          <w:tab w:val="left" w:pos="426"/>
        </w:tabs>
        <w:ind w:left="588" w:right="-549" w:hanging="588"/>
        <w:jc w:val="both"/>
        <w:rPr>
          <w:iCs/>
          <w:sz w:val="16"/>
          <w:szCs w:val="16"/>
        </w:rPr>
      </w:pPr>
      <w:r w:rsidRPr="00B30C53">
        <w:rPr>
          <w:iCs/>
          <w:sz w:val="16"/>
          <w:szCs w:val="16"/>
        </w:rPr>
        <w:t>(**)</w:t>
      </w:r>
      <w:r w:rsidR="00B30C53">
        <w:rPr>
          <w:iCs/>
          <w:sz w:val="16"/>
          <w:szCs w:val="16"/>
        </w:rPr>
        <w:t xml:space="preserve">       </w:t>
      </w:r>
      <w:r w:rsidR="0074162A" w:rsidRPr="00B30C53">
        <w:rPr>
          <w:iCs/>
          <w:sz w:val="16"/>
          <w:szCs w:val="16"/>
        </w:rPr>
        <w:t xml:space="preserve">FC indexed loans </w:t>
      </w:r>
      <w:r w:rsidR="00915D6C" w:rsidRPr="00B30C53">
        <w:rPr>
          <w:iCs/>
          <w:sz w:val="16"/>
          <w:szCs w:val="16"/>
        </w:rPr>
        <w:t xml:space="preserve">and accruals </w:t>
      </w:r>
      <w:r w:rsidR="0074162A" w:rsidRPr="00B30C53">
        <w:rPr>
          <w:iCs/>
          <w:sz w:val="16"/>
          <w:szCs w:val="16"/>
        </w:rPr>
        <w:t xml:space="preserve">amounting to </w:t>
      </w:r>
      <w:r w:rsidR="00224102">
        <w:rPr>
          <w:iCs/>
          <w:sz w:val="16"/>
          <w:szCs w:val="16"/>
        </w:rPr>
        <w:t xml:space="preserve">TL </w:t>
      </w:r>
      <w:r w:rsidR="00D8486A" w:rsidRPr="00B30C53">
        <w:rPr>
          <w:iCs/>
          <w:sz w:val="16"/>
          <w:szCs w:val="16"/>
        </w:rPr>
        <w:t>933,448</w:t>
      </w:r>
      <w:r w:rsidR="0074162A" w:rsidRPr="00B30C53">
        <w:rPr>
          <w:iCs/>
          <w:sz w:val="16"/>
          <w:szCs w:val="16"/>
        </w:rPr>
        <w:t xml:space="preserve"> (31 December 201</w:t>
      </w:r>
      <w:r w:rsidRPr="00B30C53">
        <w:rPr>
          <w:iCs/>
          <w:sz w:val="16"/>
          <w:szCs w:val="16"/>
        </w:rPr>
        <w:t>4: TL 1,028,110</w:t>
      </w:r>
      <w:r w:rsidR="0074162A" w:rsidRPr="00B30C53">
        <w:rPr>
          <w:iCs/>
          <w:sz w:val="16"/>
          <w:szCs w:val="16"/>
        </w:rPr>
        <w:t>)</w:t>
      </w:r>
      <w:r w:rsidR="00224102">
        <w:rPr>
          <w:iCs/>
          <w:sz w:val="16"/>
          <w:szCs w:val="16"/>
        </w:rPr>
        <w:t xml:space="preserve"> and TL 788,646 (31 December 2014: TL 462,577) leasing receivables </w:t>
      </w:r>
      <w:r w:rsidR="0074162A" w:rsidRPr="00B30C53">
        <w:rPr>
          <w:iCs/>
          <w:sz w:val="16"/>
          <w:szCs w:val="16"/>
        </w:rPr>
        <w:t>are shown in loans.</w:t>
      </w:r>
    </w:p>
    <w:p w14:paraId="706D2D0A" w14:textId="3D047642" w:rsidR="00B30C53" w:rsidRPr="00B30C53" w:rsidRDefault="00671A37" w:rsidP="007378F2">
      <w:pPr>
        <w:tabs>
          <w:tab w:val="left" w:pos="0"/>
        </w:tabs>
        <w:ind w:right="-549"/>
        <w:jc w:val="both"/>
        <w:rPr>
          <w:iCs/>
          <w:sz w:val="16"/>
          <w:szCs w:val="16"/>
        </w:rPr>
      </w:pPr>
      <w:r w:rsidRPr="00B30C53">
        <w:rPr>
          <w:iCs/>
          <w:sz w:val="16"/>
          <w:szCs w:val="16"/>
        </w:rPr>
        <w:t>(***)</w:t>
      </w:r>
      <w:r w:rsidR="00B30C53">
        <w:rPr>
          <w:iCs/>
          <w:sz w:val="16"/>
          <w:szCs w:val="16"/>
        </w:rPr>
        <w:t xml:space="preserve">     </w:t>
      </w:r>
      <w:r w:rsidR="00B85547">
        <w:rPr>
          <w:iCs/>
          <w:sz w:val="16"/>
          <w:szCs w:val="16"/>
        </w:rPr>
        <w:t xml:space="preserve"> </w:t>
      </w:r>
      <w:r w:rsidR="00B30C53" w:rsidRPr="00B30C53">
        <w:rPr>
          <w:iCs/>
          <w:sz w:val="16"/>
          <w:szCs w:val="16"/>
        </w:rPr>
        <w:t>Leasing receivables amounting to TL 52 are shown in other asset line (31 December 2014: TL 462,577)</w:t>
      </w:r>
      <w:r w:rsidR="007378F2">
        <w:rPr>
          <w:iCs/>
          <w:sz w:val="16"/>
          <w:szCs w:val="16"/>
        </w:rPr>
        <w:t>.</w:t>
      </w:r>
    </w:p>
    <w:p w14:paraId="5B449994" w14:textId="3FF0AE69" w:rsidR="00B30C53" w:rsidRPr="00B30C53" w:rsidRDefault="00671A37" w:rsidP="007378F2">
      <w:pPr>
        <w:ind w:left="574" w:right="-549" w:hanging="574"/>
        <w:jc w:val="both"/>
        <w:rPr>
          <w:iCs/>
          <w:sz w:val="16"/>
          <w:szCs w:val="16"/>
        </w:rPr>
      </w:pPr>
      <w:r w:rsidRPr="00B30C53">
        <w:rPr>
          <w:iCs/>
          <w:sz w:val="16"/>
          <w:szCs w:val="16"/>
        </w:rPr>
        <w:t>(****)</w:t>
      </w:r>
      <w:r w:rsidR="00B30C53">
        <w:rPr>
          <w:iCs/>
          <w:sz w:val="16"/>
          <w:szCs w:val="16"/>
        </w:rPr>
        <w:t xml:space="preserve">   </w:t>
      </w:r>
      <w:r w:rsidR="00B30C53" w:rsidRPr="00B30C53">
        <w:rPr>
          <w:iCs/>
          <w:sz w:val="16"/>
          <w:szCs w:val="16"/>
        </w:rPr>
        <w:t>Accruals of derivative liabilities held for trading amounting to TL 1</w:t>
      </w:r>
      <w:r w:rsidR="00224102">
        <w:rPr>
          <w:iCs/>
          <w:sz w:val="16"/>
          <w:szCs w:val="16"/>
        </w:rPr>
        <w:t>3,288</w:t>
      </w:r>
      <w:r w:rsidR="00B30C53" w:rsidRPr="00B30C53">
        <w:rPr>
          <w:iCs/>
          <w:sz w:val="16"/>
          <w:szCs w:val="16"/>
        </w:rPr>
        <w:t xml:space="preserve"> (31 December 2014: TL 8,201), other provisions amounting to TL</w:t>
      </w:r>
      <w:r w:rsidR="00B30C53">
        <w:rPr>
          <w:iCs/>
          <w:sz w:val="16"/>
          <w:szCs w:val="16"/>
        </w:rPr>
        <w:t xml:space="preserve"> 3 and </w:t>
      </w:r>
      <w:r w:rsidR="00B30C53" w:rsidRPr="00B30C53">
        <w:rPr>
          <w:iCs/>
          <w:sz w:val="16"/>
          <w:szCs w:val="16"/>
        </w:rPr>
        <w:t>(31 December 2014: TL 7) have been deducted from other liabilities.</w:t>
      </w:r>
    </w:p>
    <w:p w14:paraId="74E2A040" w14:textId="115F580B" w:rsidR="005E33B0" w:rsidRPr="00B30C53" w:rsidRDefault="00671A37" w:rsidP="007378F2">
      <w:pPr>
        <w:tabs>
          <w:tab w:val="left" w:pos="0"/>
        </w:tabs>
        <w:ind w:right="-549"/>
        <w:jc w:val="both"/>
        <w:rPr>
          <w:iCs/>
          <w:sz w:val="16"/>
          <w:szCs w:val="16"/>
        </w:rPr>
      </w:pPr>
      <w:r w:rsidRPr="00B30C53">
        <w:rPr>
          <w:iCs/>
          <w:sz w:val="16"/>
          <w:szCs w:val="16"/>
        </w:rPr>
        <w:t>(*****)</w:t>
      </w:r>
      <w:r w:rsidR="00903692">
        <w:rPr>
          <w:iCs/>
          <w:sz w:val="16"/>
          <w:szCs w:val="16"/>
        </w:rPr>
        <w:t xml:space="preserve">  N</w:t>
      </w:r>
      <w:r w:rsidR="00B30C53" w:rsidRPr="00B30C53">
        <w:rPr>
          <w:iCs/>
          <w:sz w:val="16"/>
          <w:szCs w:val="16"/>
        </w:rPr>
        <w:t>o effect on Net off-balance sheet position.</w:t>
      </w:r>
    </w:p>
    <w:p w14:paraId="352A9DE7" w14:textId="1FA0CB9A" w:rsidR="00AA2891" w:rsidRPr="00A041CD" w:rsidRDefault="00A041CD" w:rsidP="00490153">
      <w:pPr>
        <w:pageBreakBefore/>
        <w:tabs>
          <w:tab w:val="left" w:pos="142"/>
        </w:tabs>
        <w:spacing w:before="120"/>
        <w:rPr>
          <w:b/>
          <w:sz w:val="20"/>
          <w:szCs w:val="20"/>
        </w:rPr>
      </w:pPr>
      <w:r w:rsidRPr="00A041CD">
        <w:rPr>
          <w:b/>
          <w:sz w:val="20"/>
          <w:szCs w:val="20"/>
        </w:rPr>
        <w:lastRenderedPageBreak/>
        <w:t>INFORMATION ON THE FINANCIAL POSITION OF THE GROUP (Continued)</w:t>
      </w:r>
    </w:p>
    <w:p w14:paraId="5D95EDFA" w14:textId="77777777" w:rsidR="004D72EC" w:rsidRPr="00604C75" w:rsidRDefault="004D72EC" w:rsidP="00490153">
      <w:pPr>
        <w:pStyle w:val="Heading2"/>
        <w:tabs>
          <w:tab w:val="left" w:pos="672"/>
        </w:tabs>
        <w:ind w:left="851" w:hanging="851"/>
        <w:rPr>
          <w:rFonts w:ascii="Times New Roman" w:hAnsi="Times New Roman"/>
          <w:caps/>
          <w:sz w:val="20"/>
        </w:rPr>
      </w:pPr>
      <w:r w:rsidRPr="00604C75">
        <w:rPr>
          <w:rFonts w:ascii="Times New Roman" w:hAnsi="Times New Roman"/>
          <w:caps/>
          <w:sz w:val="20"/>
        </w:rPr>
        <w:t>V.</w:t>
      </w:r>
      <w:r w:rsidRPr="00604C75">
        <w:rPr>
          <w:rFonts w:ascii="Times New Roman" w:hAnsi="Times New Roman"/>
          <w:caps/>
          <w:sz w:val="20"/>
        </w:rPr>
        <w:tab/>
      </w:r>
      <w:r w:rsidR="009E5A22" w:rsidRPr="00604C75">
        <w:rPr>
          <w:rFonts w:ascii="Times New Roman" w:hAnsi="Times New Roman"/>
          <w:noProof/>
          <w:sz w:val="20"/>
        </w:rPr>
        <w:t>Explanations on Currency Risk</w:t>
      </w:r>
      <w:r w:rsidR="009E5A22" w:rsidRPr="00604C75" w:rsidDel="009E5A22">
        <w:rPr>
          <w:rFonts w:ascii="Times New Roman" w:hAnsi="Times New Roman"/>
          <w:noProof/>
          <w:sz w:val="20"/>
        </w:rPr>
        <w:t xml:space="preserve"> </w:t>
      </w:r>
      <w:r w:rsidRPr="00604C75">
        <w:rPr>
          <w:rFonts w:ascii="Times New Roman" w:hAnsi="Times New Roman"/>
          <w:noProof/>
          <w:sz w:val="20"/>
        </w:rPr>
        <w:t>(Continued)</w:t>
      </w:r>
    </w:p>
    <w:p w14:paraId="72DD7FFA" w14:textId="76AF88F7" w:rsidR="005E33B0" w:rsidRPr="00604C75" w:rsidRDefault="004D72EC" w:rsidP="00490153">
      <w:pPr>
        <w:tabs>
          <w:tab w:val="left" w:pos="0"/>
        </w:tabs>
        <w:spacing w:before="120"/>
        <w:ind w:hanging="98"/>
        <w:jc w:val="both"/>
        <w:rPr>
          <w:sz w:val="20"/>
          <w:szCs w:val="20"/>
        </w:rPr>
      </w:pPr>
      <w:r w:rsidRPr="00604C75">
        <w:rPr>
          <w:b/>
          <w:noProof/>
        </w:rPr>
        <w:t xml:space="preserve"> </w:t>
      </w:r>
      <w:r w:rsidR="0074162A" w:rsidRPr="00604C75">
        <w:rPr>
          <w:b/>
          <w:noProof/>
          <w:sz w:val="20"/>
          <w:szCs w:val="20"/>
        </w:rPr>
        <w:t xml:space="preserve"> </w:t>
      </w:r>
      <w:r w:rsidR="0074162A" w:rsidRPr="00604C75">
        <w:rPr>
          <w:b/>
          <w:sz w:val="20"/>
          <w:szCs w:val="20"/>
        </w:rPr>
        <w:t xml:space="preserve">b.  </w:t>
      </w:r>
      <w:r w:rsidR="009E5A22" w:rsidRPr="00604C75">
        <w:rPr>
          <w:b/>
          <w:sz w:val="20"/>
          <w:szCs w:val="20"/>
        </w:rPr>
        <w:t xml:space="preserve">      </w:t>
      </w:r>
      <w:r w:rsidR="00A041CD">
        <w:rPr>
          <w:b/>
          <w:sz w:val="20"/>
          <w:szCs w:val="20"/>
        </w:rPr>
        <w:t xml:space="preserve">  </w:t>
      </w:r>
      <w:r w:rsidR="00871B0E" w:rsidRPr="00604C75">
        <w:rPr>
          <w:b/>
          <w:sz w:val="20"/>
          <w:szCs w:val="20"/>
        </w:rPr>
        <w:t>Exposure to currency risk</w:t>
      </w:r>
    </w:p>
    <w:p w14:paraId="36838B0A" w14:textId="77777777" w:rsidR="005E33B0" w:rsidRPr="00604C75" w:rsidRDefault="005E33B0" w:rsidP="0074162A">
      <w:pPr>
        <w:pStyle w:val="NormalIndent"/>
        <w:tabs>
          <w:tab w:val="left" w:pos="0"/>
        </w:tabs>
        <w:ind w:left="873" w:hanging="1276"/>
        <w:rPr>
          <w:b/>
          <w:sz w:val="22"/>
          <w:szCs w:val="22"/>
        </w:rPr>
      </w:pPr>
    </w:p>
    <w:p w14:paraId="6F79C3CA" w14:textId="3FC575E6" w:rsidR="005D53D2" w:rsidRPr="00604C75" w:rsidRDefault="0074162A" w:rsidP="00674CA1">
      <w:pPr>
        <w:pStyle w:val="NormalIndent"/>
        <w:tabs>
          <w:tab w:val="left" w:pos="-14"/>
        </w:tabs>
        <w:ind w:left="0" w:hanging="163"/>
        <w:jc w:val="both"/>
      </w:pPr>
      <w:r w:rsidRPr="00604C75">
        <w:t xml:space="preserve">   </w:t>
      </w:r>
      <w:r w:rsidR="005D53D2" w:rsidRPr="00604C75">
        <w:t>The table below represent the sensitivity</w:t>
      </w:r>
      <w:r w:rsidR="003E226F" w:rsidRPr="00604C75">
        <w:t xml:space="preserve"> of the</w:t>
      </w:r>
      <w:r w:rsidR="005D53D2" w:rsidRPr="00604C75">
        <w:t xml:space="preserve"> </w:t>
      </w:r>
      <w:r w:rsidR="00A26322" w:rsidRPr="00604C75">
        <w:t>Group</w:t>
      </w:r>
      <w:r w:rsidR="005D53D2" w:rsidRPr="00604C75">
        <w:t xml:space="preserve"> to 10% weakening o</w:t>
      </w:r>
      <w:r w:rsidRPr="00604C75">
        <w:t xml:space="preserve">f TL against USD, EUR and other </w:t>
      </w:r>
      <w:r w:rsidR="005D53D2" w:rsidRPr="00604C75">
        <w:t>currencies and the effects on equity and income statement (wit</w:t>
      </w:r>
      <w:r w:rsidR="006B3805" w:rsidRPr="00604C75">
        <w:t xml:space="preserve">hout tax effect) for the </w:t>
      </w:r>
      <w:r w:rsidR="00DA641D">
        <w:t>nine</w:t>
      </w:r>
      <w:r w:rsidR="00524596">
        <w:t>-</w:t>
      </w:r>
      <w:r w:rsidR="006B3805" w:rsidRPr="00604C75">
        <w:t>month interim periods then ended</w:t>
      </w:r>
      <w:r w:rsidR="002133E1">
        <w:t xml:space="preserve"> 31</w:t>
      </w:r>
      <w:r w:rsidR="00F51CB2">
        <w:t xml:space="preserve"> </w:t>
      </w:r>
      <w:r w:rsidR="002133E1">
        <w:t>December</w:t>
      </w:r>
      <w:r w:rsidR="005D53D2" w:rsidRPr="00604C75">
        <w:t xml:space="preserve"> 201</w:t>
      </w:r>
      <w:r w:rsidR="00AD40A0" w:rsidRPr="00604C75">
        <w:t>5</w:t>
      </w:r>
      <w:r w:rsidR="005D53D2" w:rsidRPr="00604C75">
        <w:t xml:space="preserve"> and 201</w:t>
      </w:r>
      <w:r w:rsidR="00AD40A0" w:rsidRPr="00604C75">
        <w:t>4</w:t>
      </w:r>
      <w:r w:rsidR="005D53D2" w:rsidRPr="00604C75">
        <w:t xml:space="preserve">. </w:t>
      </w:r>
    </w:p>
    <w:p w14:paraId="2D590F53" w14:textId="69EE0E20" w:rsidR="005D53D2" w:rsidRPr="00604C75" w:rsidRDefault="005D53D2" w:rsidP="00674CA1">
      <w:pPr>
        <w:pStyle w:val="BodybyBD"/>
        <w:tabs>
          <w:tab w:val="left" w:pos="0"/>
        </w:tabs>
        <w:spacing w:before="120" w:after="120" w:line="240" w:lineRule="auto"/>
        <w:ind w:left="-84" w:hanging="1276"/>
        <w:rPr>
          <w:sz w:val="20"/>
        </w:rPr>
      </w:pPr>
      <w:r w:rsidRPr="00604C75">
        <w:rPr>
          <w:sz w:val="20"/>
        </w:rPr>
        <w:t xml:space="preserve">                      </w:t>
      </w:r>
      <w:r w:rsidR="0074162A" w:rsidRPr="00604C75">
        <w:rPr>
          <w:sz w:val="20"/>
        </w:rPr>
        <w:t xml:space="preserve">   </w:t>
      </w:r>
      <w:r w:rsidRPr="00604C75">
        <w:rPr>
          <w:sz w:val="20"/>
        </w:rPr>
        <w:t xml:space="preserve">  Analysis are assumed with other variables especially interest rate remain </w:t>
      </w:r>
      <w:r w:rsidR="00B85547">
        <w:rPr>
          <w:sz w:val="20"/>
        </w:rPr>
        <w:t>stable</w:t>
      </w:r>
      <w:r w:rsidRPr="00604C75">
        <w:rPr>
          <w:sz w:val="20"/>
        </w:rPr>
        <w:t>.</w:t>
      </w:r>
    </w:p>
    <w:tbl>
      <w:tblPr>
        <w:tblW w:w="9382" w:type="dxa"/>
        <w:tblInd w:w="2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3377"/>
        <w:gridCol w:w="1641"/>
        <w:gridCol w:w="1130"/>
        <w:gridCol w:w="1862"/>
        <w:gridCol w:w="1372"/>
      </w:tblGrid>
      <w:tr w:rsidR="0074162A" w:rsidRPr="00604C75" w14:paraId="5FB8B740" w14:textId="77777777" w:rsidTr="00701A84">
        <w:trPr>
          <w:trHeight w:val="276"/>
        </w:trPr>
        <w:tc>
          <w:tcPr>
            <w:tcW w:w="3377" w:type="dxa"/>
            <w:vMerge w:val="restart"/>
            <w:shd w:val="clear" w:color="auto" w:fill="FFFFFF" w:themeFill="background1"/>
            <w:vAlign w:val="bottom"/>
          </w:tcPr>
          <w:p w14:paraId="4CADAF34" w14:textId="77777777" w:rsidR="0074162A" w:rsidRPr="00604C75" w:rsidRDefault="0074162A" w:rsidP="0074162A">
            <w:pPr>
              <w:pStyle w:val="Footer"/>
              <w:tabs>
                <w:tab w:val="left" w:pos="0"/>
              </w:tabs>
              <w:rPr>
                <w:b/>
                <w:sz w:val="20"/>
              </w:rPr>
            </w:pPr>
          </w:p>
        </w:tc>
        <w:tc>
          <w:tcPr>
            <w:tcW w:w="2771" w:type="dxa"/>
            <w:gridSpan w:val="2"/>
            <w:shd w:val="clear" w:color="auto" w:fill="auto"/>
            <w:vAlign w:val="bottom"/>
          </w:tcPr>
          <w:p w14:paraId="3E2745BE" w14:textId="77777777" w:rsidR="0074162A" w:rsidRPr="00604C75" w:rsidRDefault="00F74DBA" w:rsidP="00F74DBA">
            <w:pPr>
              <w:tabs>
                <w:tab w:val="left" w:pos="0"/>
              </w:tabs>
              <w:jc w:val="center"/>
              <w:rPr>
                <w:b/>
                <w:bCs/>
                <w:sz w:val="18"/>
                <w:szCs w:val="18"/>
              </w:rPr>
            </w:pPr>
            <w:r>
              <w:rPr>
                <w:b/>
                <w:bCs/>
                <w:sz w:val="18"/>
                <w:szCs w:val="18"/>
              </w:rPr>
              <w:t>31</w:t>
            </w:r>
            <w:r w:rsidR="00F51CB2">
              <w:rPr>
                <w:b/>
                <w:bCs/>
                <w:sz w:val="18"/>
                <w:szCs w:val="18"/>
              </w:rPr>
              <w:t xml:space="preserve"> </w:t>
            </w:r>
            <w:r>
              <w:rPr>
                <w:b/>
                <w:bCs/>
                <w:sz w:val="18"/>
                <w:szCs w:val="18"/>
              </w:rPr>
              <w:t>December</w:t>
            </w:r>
            <w:r w:rsidR="0074162A" w:rsidRPr="00604C75">
              <w:rPr>
                <w:b/>
                <w:bCs/>
                <w:sz w:val="18"/>
                <w:szCs w:val="18"/>
              </w:rPr>
              <w:t xml:space="preserve"> 2015</w:t>
            </w:r>
          </w:p>
        </w:tc>
        <w:tc>
          <w:tcPr>
            <w:tcW w:w="3234" w:type="dxa"/>
            <w:gridSpan w:val="2"/>
            <w:shd w:val="clear" w:color="auto" w:fill="auto"/>
            <w:vAlign w:val="bottom"/>
          </w:tcPr>
          <w:p w14:paraId="03AB5A6D" w14:textId="77777777" w:rsidR="0074162A" w:rsidRPr="00604C75" w:rsidRDefault="00F74DBA" w:rsidP="00F74DBA">
            <w:pPr>
              <w:tabs>
                <w:tab w:val="left" w:pos="0"/>
              </w:tabs>
              <w:ind w:right="-128"/>
              <w:jc w:val="center"/>
              <w:rPr>
                <w:b/>
                <w:bCs/>
                <w:sz w:val="18"/>
                <w:szCs w:val="18"/>
              </w:rPr>
            </w:pPr>
            <w:r>
              <w:rPr>
                <w:b/>
                <w:bCs/>
                <w:sz w:val="18"/>
                <w:szCs w:val="18"/>
              </w:rPr>
              <w:t>31</w:t>
            </w:r>
            <w:r w:rsidR="00F51CB2">
              <w:rPr>
                <w:b/>
                <w:bCs/>
                <w:sz w:val="18"/>
                <w:szCs w:val="18"/>
              </w:rPr>
              <w:t xml:space="preserve"> </w:t>
            </w:r>
            <w:r>
              <w:rPr>
                <w:b/>
                <w:bCs/>
                <w:sz w:val="18"/>
                <w:szCs w:val="18"/>
              </w:rPr>
              <w:t>December</w:t>
            </w:r>
            <w:r w:rsidR="0074162A" w:rsidRPr="00604C75">
              <w:rPr>
                <w:b/>
                <w:bCs/>
                <w:sz w:val="18"/>
                <w:szCs w:val="18"/>
              </w:rPr>
              <w:t xml:space="preserve"> 2014</w:t>
            </w:r>
          </w:p>
        </w:tc>
      </w:tr>
      <w:tr w:rsidR="00D6453B" w:rsidRPr="00604C75" w14:paraId="6C99754C" w14:textId="77777777" w:rsidTr="00701A84">
        <w:trPr>
          <w:trHeight w:val="223"/>
        </w:trPr>
        <w:tc>
          <w:tcPr>
            <w:tcW w:w="3377" w:type="dxa"/>
            <w:vMerge/>
            <w:shd w:val="clear" w:color="auto" w:fill="FFFFFF" w:themeFill="background1"/>
            <w:vAlign w:val="bottom"/>
          </w:tcPr>
          <w:p w14:paraId="4C5B002B" w14:textId="77777777" w:rsidR="00D6453B" w:rsidRPr="00604C75" w:rsidRDefault="00D6453B" w:rsidP="0074162A">
            <w:pPr>
              <w:pStyle w:val="Footer"/>
              <w:tabs>
                <w:tab w:val="left" w:pos="0"/>
              </w:tabs>
              <w:rPr>
                <w:b/>
                <w:sz w:val="20"/>
              </w:rPr>
            </w:pPr>
          </w:p>
        </w:tc>
        <w:tc>
          <w:tcPr>
            <w:tcW w:w="1641" w:type="dxa"/>
            <w:shd w:val="clear" w:color="auto" w:fill="FFFFFF" w:themeFill="background1"/>
            <w:vAlign w:val="bottom"/>
          </w:tcPr>
          <w:p w14:paraId="5A225D5E" w14:textId="77777777" w:rsidR="00D6453B" w:rsidRPr="00604C75" w:rsidRDefault="00D6453B" w:rsidP="0074162A">
            <w:pPr>
              <w:tabs>
                <w:tab w:val="left" w:pos="0"/>
              </w:tabs>
              <w:jc w:val="right"/>
              <w:rPr>
                <w:b/>
                <w:bCs/>
                <w:sz w:val="20"/>
                <w:szCs w:val="20"/>
              </w:rPr>
            </w:pPr>
            <w:r w:rsidRPr="00604C75">
              <w:rPr>
                <w:b/>
                <w:bCs/>
                <w:sz w:val="18"/>
                <w:szCs w:val="18"/>
              </w:rPr>
              <w:t xml:space="preserve">Income statement </w:t>
            </w:r>
          </w:p>
        </w:tc>
        <w:tc>
          <w:tcPr>
            <w:tcW w:w="1130" w:type="dxa"/>
            <w:shd w:val="clear" w:color="auto" w:fill="FFFFFF" w:themeFill="background1"/>
            <w:vAlign w:val="bottom"/>
          </w:tcPr>
          <w:p w14:paraId="7364C0A1" w14:textId="77777777" w:rsidR="00D6453B" w:rsidRPr="00604C75" w:rsidRDefault="00D6453B" w:rsidP="0074162A">
            <w:pPr>
              <w:tabs>
                <w:tab w:val="left" w:pos="0"/>
              </w:tabs>
              <w:jc w:val="right"/>
              <w:rPr>
                <w:b/>
                <w:bCs/>
                <w:sz w:val="20"/>
                <w:szCs w:val="20"/>
              </w:rPr>
            </w:pPr>
            <w:r w:rsidRPr="00604C75">
              <w:rPr>
                <w:b/>
                <w:bCs/>
                <w:sz w:val="18"/>
                <w:szCs w:val="18"/>
              </w:rPr>
              <w:t>Equity</w:t>
            </w:r>
          </w:p>
        </w:tc>
        <w:tc>
          <w:tcPr>
            <w:tcW w:w="1862" w:type="dxa"/>
            <w:shd w:val="clear" w:color="auto" w:fill="FFFFFF" w:themeFill="background1"/>
            <w:vAlign w:val="bottom"/>
          </w:tcPr>
          <w:p w14:paraId="7B3EC663" w14:textId="77777777" w:rsidR="00D6453B" w:rsidRPr="00604C75" w:rsidRDefault="00D6453B" w:rsidP="0074162A">
            <w:pPr>
              <w:tabs>
                <w:tab w:val="left" w:pos="0"/>
              </w:tabs>
              <w:jc w:val="right"/>
              <w:rPr>
                <w:b/>
                <w:bCs/>
                <w:sz w:val="20"/>
                <w:szCs w:val="20"/>
              </w:rPr>
            </w:pPr>
            <w:r w:rsidRPr="00604C75">
              <w:rPr>
                <w:b/>
                <w:bCs/>
                <w:sz w:val="18"/>
                <w:szCs w:val="18"/>
              </w:rPr>
              <w:t xml:space="preserve">Income statement </w:t>
            </w:r>
          </w:p>
        </w:tc>
        <w:tc>
          <w:tcPr>
            <w:tcW w:w="1372" w:type="dxa"/>
            <w:shd w:val="clear" w:color="auto" w:fill="FFFFFF" w:themeFill="background1"/>
            <w:vAlign w:val="bottom"/>
          </w:tcPr>
          <w:p w14:paraId="324DC55E" w14:textId="77777777" w:rsidR="00D6453B" w:rsidRPr="00604C75" w:rsidRDefault="00D6453B" w:rsidP="0074162A">
            <w:pPr>
              <w:tabs>
                <w:tab w:val="left" w:pos="0"/>
              </w:tabs>
              <w:jc w:val="right"/>
              <w:rPr>
                <w:b/>
                <w:bCs/>
                <w:sz w:val="20"/>
                <w:szCs w:val="20"/>
              </w:rPr>
            </w:pPr>
            <w:r w:rsidRPr="00604C75">
              <w:rPr>
                <w:b/>
                <w:bCs/>
                <w:sz w:val="18"/>
                <w:szCs w:val="18"/>
              </w:rPr>
              <w:t>Equity</w:t>
            </w:r>
          </w:p>
        </w:tc>
      </w:tr>
      <w:tr w:rsidR="00224102" w:rsidRPr="00604C75" w14:paraId="2BABC799" w14:textId="77777777" w:rsidTr="00701A84">
        <w:trPr>
          <w:trHeight w:val="106"/>
        </w:trPr>
        <w:tc>
          <w:tcPr>
            <w:tcW w:w="3377" w:type="dxa"/>
            <w:shd w:val="clear" w:color="auto" w:fill="FFFFFF" w:themeFill="background1"/>
            <w:vAlign w:val="bottom"/>
          </w:tcPr>
          <w:p w14:paraId="5635CFC1" w14:textId="77777777" w:rsidR="00224102" w:rsidRPr="00604C75" w:rsidRDefault="00224102" w:rsidP="00224102">
            <w:pPr>
              <w:tabs>
                <w:tab w:val="left" w:pos="0"/>
                <w:tab w:val="left" w:pos="2100"/>
              </w:tabs>
              <w:rPr>
                <w:sz w:val="20"/>
                <w:szCs w:val="20"/>
              </w:rPr>
            </w:pPr>
            <w:proofErr w:type="spellStart"/>
            <w:r w:rsidRPr="00604C75">
              <w:rPr>
                <w:sz w:val="20"/>
                <w:szCs w:val="20"/>
              </w:rPr>
              <w:t>Usd</w:t>
            </w:r>
            <w:proofErr w:type="spellEnd"/>
          </w:p>
        </w:tc>
        <w:tc>
          <w:tcPr>
            <w:tcW w:w="1641" w:type="dxa"/>
            <w:shd w:val="clear" w:color="auto" w:fill="auto"/>
            <w:vAlign w:val="bottom"/>
          </w:tcPr>
          <w:p w14:paraId="697015B9" w14:textId="26927EF7" w:rsidR="00224102" w:rsidRPr="00EA3453" w:rsidRDefault="00224102" w:rsidP="00224102">
            <w:pPr>
              <w:jc w:val="right"/>
              <w:rPr>
                <w:sz w:val="18"/>
                <w:szCs w:val="18"/>
              </w:rPr>
            </w:pPr>
            <w:r>
              <w:rPr>
                <w:sz w:val="18"/>
                <w:szCs w:val="18"/>
              </w:rPr>
              <w:t>5,604</w:t>
            </w:r>
          </w:p>
        </w:tc>
        <w:tc>
          <w:tcPr>
            <w:tcW w:w="1130" w:type="dxa"/>
            <w:shd w:val="clear" w:color="auto" w:fill="auto"/>
            <w:vAlign w:val="bottom"/>
          </w:tcPr>
          <w:p w14:paraId="0BFE48A8" w14:textId="504D80EF" w:rsidR="00224102" w:rsidRPr="00EA3453" w:rsidRDefault="00224102" w:rsidP="00224102">
            <w:pPr>
              <w:jc w:val="right"/>
              <w:rPr>
                <w:sz w:val="18"/>
                <w:szCs w:val="18"/>
              </w:rPr>
            </w:pPr>
            <w:r>
              <w:rPr>
                <w:sz w:val="18"/>
                <w:szCs w:val="18"/>
              </w:rPr>
              <w:t>5,604</w:t>
            </w:r>
          </w:p>
        </w:tc>
        <w:tc>
          <w:tcPr>
            <w:tcW w:w="1862" w:type="dxa"/>
            <w:shd w:val="clear" w:color="auto" w:fill="auto"/>
            <w:vAlign w:val="bottom"/>
          </w:tcPr>
          <w:p w14:paraId="3535FE78" w14:textId="7897B6DE" w:rsidR="00224102" w:rsidRPr="00A36623" w:rsidRDefault="00224102" w:rsidP="00224102">
            <w:pPr>
              <w:jc w:val="right"/>
              <w:rPr>
                <w:sz w:val="18"/>
                <w:szCs w:val="18"/>
              </w:rPr>
            </w:pPr>
            <w:r>
              <w:rPr>
                <w:sz w:val="18"/>
                <w:szCs w:val="18"/>
              </w:rPr>
              <w:t>1,602</w:t>
            </w:r>
          </w:p>
        </w:tc>
        <w:tc>
          <w:tcPr>
            <w:tcW w:w="1372" w:type="dxa"/>
            <w:shd w:val="clear" w:color="auto" w:fill="auto"/>
            <w:vAlign w:val="bottom"/>
          </w:tcPr>
          <w:p w14:paraId="7370063A" w14:textId="5296021E" w:rsidR="00224102" w:rsidRPr="00A36623" w:rsidRDefault="00224102" w:rsidP="00224102">
            <w:pPr>
              <w:jc w:val="right"/>
              <w:rPr>
                <w:sz w:val="18"/>
                <w:szCs w:val="18"/>
              </w:rPr>
            </w:pPr>
            <w:r>
              <w:rPr>
                <w:sz w:val="18"/>
                <w:szCs w:val="18"/>
              </w:rPr>
              <w:t>1,602</w:t>
            </w:r>
          </w:p>
        </w:tc>
      </w:tr>
      <w:tr w:rsidR="00224102" w:rsidRPr="00604C75" w14:paraId="3DC46896" w14:textId="77777777" w:rsidTr="00701A84">
        <w:trPr>
          <w:trHeight w:val="106"/>
        </w:trPr>
        <w:tc>
          <w:tcPr>
            <w:tcW w:w="3377" w:type="dxa"/>
            <w:shd w:val="clear" w:color="auto" w:fill="FFFFFF" w:themeFill="background1"/>
            <w:vAlign w:val="bottom"/>
          </w:tcPr>
          <w:p w14:paraId="7814FB0A" w14:textId="77777777" w:rsidR="00224102" w:rsidRPr="00604C75" w:rsidRDefault="00224102" w:rsidP="00224102">
            <w:pPr>
              <w:tabs>
                <w:tab w:val="left" w:pos="0"/>
              </w:tabs>
              <w:rPr>
                <w:sz w:val="20"/>
                <w:szCs w:val="20"/>
              </w:rPr>
            </w:pPr>
            <w:r w:rsidRPr="00604C75">
              <w:rPr>
                <w:sz w:val="20"/>
                <w:szCs w:val="20"/>
              </w:rPr>
              <w:t>Euro</w:t>
            </w:r>
          </w:p>
        </w:tc>
        <w:tc>
          <w:tcPr>
            <w:tcW w:w="1641" w:type="dxa"/>
            <w:shd w:val="clear" w:color="auto" w:fill="auto"/>
            <w:vAlign w:val="bottom"/>
          </w:tcPr>
          <w:p w14:paraId="57EFB341" w14:textId="1AB61817" w:rsidR="00224102" w:rsidRPr="00EA3453" w:rsidRDefault="00224102" w:rsidP="00224102">
            <w:pPr>
              <w:jc w:val="right"/>
              <w:rPr>
                <w:sz w:val="18"/>
                <w:szCs w:val="18"/>
              </w:rPr>
            </w:pPr>
            <w:r>
              <w:rPr>
                <w:sz w:val="18"/>
                <w:szCs w:val="18"/>
              </w:rPr>
              <w:t>(153)</w:t>
            </w:r>
          </w:p>
        </w:tc>
        <w:tc>
          <w:tcPr>
            <w:tcW w:w="1130" w:type="dxa"/>
            <w:shd w:val="clear" w:color="auto" w:fill="auto"/>
            <w:vAlign w:val="bottom"/>
          </w:tcPr>
          <w:p w14:paraId="21BCB1F0" w14:textId="292A242B" w:rsidR="00224102" w:rsidRPr="00EA3453" w:rsidRDefault="00224102" w:rsidP="00224102">
            <w:pPr>
              <w:jc w:val="right"/>
              <w:rPr>
                <w:sz w:val="18"/>
                <w:szCs w:val="18"/>
              </w:rPr>
            </w:pPr>
            <w:r>
              <w:rPr>
                <w:sz w:val="18"/>
                <w:szCs w:val="18"/>
              </w:rPr>
              <w:t>(153)</w:t>
            </w:r>
          </w:p>
        </w:tc>
        <w:tc>
          <w:tcPr>
            <w:tcW w:w="1862" w:type="dxa"/>
            <w:shd w:val="clear" w:color="auto" w:fill="auto"/>
            <w:vAlign w:val="bottom"/>
          </w:tcPr>
          <w:p w14:paraId="5F02F830" w14:textId="18070DE3" w:rsidR="00224102" w:rsidRPr="00A36623" w:rsidRDefault="00224102" w:rsidP="00224102">
            <w:pPr>
              <w:jc w:val="right"/>
              <w:rPr>
                <w:sz w:val="18"/>
                <w:szCs w:val="18"/>
              </w:rPr>
            </w:pPr>
            <w:r>
              <w:rPr>
                <w:sz w:val="18"/>
                <w:szCs w:val="18"/>
              </w:rPr>
              <w:t>(186)</w:t>
            </w:r>
          </w:p>
        </w:tc>
        <w:tc>
          <w:tcPr>
            <w:tcW w:w="1372" w:type="dxa"/>
            <w:shd w:val="clear" w:color="auto" w:fill="auto"/>
            <w:vAlign w:val="bottom"/>
          </w:tcPr>
          <w:p w14:paraId="0FF82587" w14:textId="32CE38AF" w:rsidR="00224102" w:rsidRPr="00A36623" w:rsidRDefault="00224102" w:rsidP="00224102">
            <w:pPr>
              <w:jc w:val="right"/>
              <w:rPr>
                <w:sz w:val="18"/>
                <w:szCs w:val="18"/>
              </w:rPr>
            </w:pPr>
            <w:r>
              <w:rPr>
                <w:sz w:val="18"/>
                <w:szCs w:val="18"/>
              </w:rPr>
              <w:t>(186)</w:t>
            </w:r>
          </w:p>
        </w:tc>
      </w:tr>
      <w:tr w:rsidR="00224102" w:rsidRPr="00604C75" w14:paraId="0A843EED" w14:textId="77777777" w:rsidTr="00701A84">
        <w:trPr>
          <w:trHeight w:val="106"/>
        </w:trPr>
        <w:tc>
          <w:tcPr>
            <w:tcW w:w="3377" w:type="dxa"/>
            <w:shd w:val="clear" w:color="auto" w:fill="FFFFFF" w:themeFill="background1"/>
            <w:vAlign w:val="bottom"/>
          </w:tcPr>
          <w:p w14:paraId="32ED1357" w14:textId="77777777" w:rsidR="00224102" w:rsidRPr="00604C75" w:rsidRDefault="00224102" w:rsidP="00224102">
            <w:pPr>
              <w:tabs>
                <w:tab w:val="left" w:pos="0"/>
              </w:tabs>
              <w:rPr>
                <w:sz w:val="20"/>
                <w:szCs w:val="20"/>
              </w:rPr>
            </w:pPr>
            <w:r w:rsidRPr="00604C75">
              <w:rPr>
                <w:sz w:val="20"/>
                <w:szCs w:val="20"/>
              </w:rPr>
              <w:t>Other FC</w:t>
            </w:r>
          </w:p>
        </w:tc>
        <w:tc>
          <w:tcPr>
            <w:tcW w:w="1641" w:type="dxa"/>
            <w:shd w:val="clear" w:color="auto" w:fill="auto"/>
            <w:vAlign w:val="bottom"/>
          </w:tcPr>
          <w:p w14:paraId="4C0BCA12" w14:textId="304014BC" w:rsidR="00224102" w:rsidRPr="00EA3453" w:rsidRDefault="00224102" w:rsidP="00224102">
            <w:pPr>
              <w:jc w:val="right"/>
              <w:rPr>
                <w:sz w:val="18"/>
                <w:szCs w:val="18"/>
              </w:rPr>
            </w:pPr>
            <w:r>
              <w:rPr>
                <w:sz w:val="18"/>
                <w:szCs w:val="18"/>
              </w:rPr>
              <w:t>(77)</w:t>
            </w:r>
          </w:p>
        </w:tc>
        <w:tc>
          <w:tcPr>
            <w:tcW w:w="1130" w:type="dxa"/>
            <w:shd w:val="clear" w:color="auto" w:fill="auto"/>
            <w:vAlign w:val="bottom"/>
          </w:tcPr>
          <w:p w14:paraId="7B53E9BB" w14:textId="28C9623D" w:rsidR="00224102" w:rsidRPr="00EA3453" w:rsidRDefault="00224102" w:rsidP="00224102">
            <w:pPr>
              <w:jc w:val="right"/>
              <w:rPr>
                <w:sz w:val="18"/>
                <w:szCs w:val="18"/>
              </w:rPr>
            </w:pPr>
            <w:r>
              <w:rPr>
                <w:sz w:val="18"/>
                <w:szCs w:val="18"/>
              </w:rPr>
              <w:t>(77)</w:t>
            </w:r>
          </w:p>
        </w:tc>
        <w:tc>
          <w:tcPr>
            <w:tcW w:w="1862" w:type="dxa"/>
            <w:shd w:val="clear" w:color="auto" w:fill="auto"/>
            <w:vAlign w:val="bottom"/>
          </w:tcPr>
          <w:p w14:paraId="5D3A98ED" w14:textId="05AF1B44" w:rsidR="00224102" w:rsidRPr="00A36623" w:rsidRDefault="00224102" w:rsidP="00224102">
            <w:pPr>
              <w:jc w:val="right"/>
              <w:rPr>
                <w:sz w:val="18"/>
                <w:szCs w:val="18"/>
              </w:rPr>
            </w:pPr>
            <w:r>
              <w:rPr>
                <w:sz w:val="18"/>
                <w:szCs w:val="18"/>
              </w:rPr>
              <w:t>32</w:t>
            </w:r>
          </w:p>
        </w:tc>
        <w:tc>
          <w:tcPr>
            <w:tcW w:w="1372" w:type="dxa"/>
            <w:shd w:val="clear" w:color="auto" w:fill="auto"/>
            <w:vAlign w:val="bottom"/>
          </w:tcPr>
          <w:p w14:paraId="2C09AED0" w14:textId="38579806" w:rsidR="00224102" w:rsidRPr="00A36623" w:rsidRDefault="00224102" w:rsidP="00224102">
            <w:pPr>
              <w:jc w:val="right"/>
              <w:rPr>
                <w:sz w:val="18"/>
                <w:szCs w:val="18"/>
              </w:rPr>
            </w:pPr>
            <w:r>
              <w:rPr>
                <w:sz w:val="18"/>
                <w:szCs w:val="18"/>
              </w:rPr>
              <w:t>32</w:t>
            </w:r>
          </w:p>
        </w:tc>
      </w:tr>
      <w:tr w:rsidR="00224102" w:rsidRPr="00604C75" w14:paraId="2C52CC91" w14:textId="77777777" w:rsidTr="00701A84">
        <w:trPr>
          <w:trHeight w:val="106"/>
        </w:trPr>
        <w:tc>
          <w:tcPr>
            <w:tcW w:w="3377" w:type="dxa"/>
            <w:shd w:val="clear" w:color="auto" w:fill="FFFFFF" w:themeFill="background1"/>
            <w:vAlign w:val="bottom"/>
          </w:tcPr>
          <w:p w14:paraId="0E6ECA04" w14:textId="77777777" w:rsidR="00224102" w:rsidRPr="00604C75" w:rsidRDefault="00224102" w:rsidP="00224102">
            <w:pPr>
              <w:tabs>
                <w:tab w:val="left" w:pos="0"/>
              </w:tabs>
              <w:rPr>
                <w:b/>
                <w:sz w:val="20"/>
                <w:szCs w:val="20"/>
              </w:rPr>
            </w:pPr>
            <w:r w:rsidRPr="00604C75">
              <w:rPr>
                <w:b/>
                <w:sz w:val="20"/>
                <w:szCs w:val="20"/>
              </w:rPr>
              <w:t>Total, net</w:t>
            </w:r>
          </w:p>
        </w:tc>
        <w:tc>
          <w:tcPr>
            <w:tcW w:w="1641" w:type="dxa"/>
            <w:shd w:val="clear" w:color="auto" w:fill="auto"/>
            <w:vAlign w:val="bottom"/>
          </w:tcPr>
          <w:p w14:paraId="4B48AC9B" w14:textId="4A3721BA" w:rsidR="00224102" w:rsidRPr="00EA3453" w:rsidRDefault="00224102" w:rsidP="00224102">
            <w:pPr>
              <w:jc w:val="right"/>
              <w:rPr>
                <w:b/>
                <w:bCs/>
                <w:sz w:val="18"/>
                <w:szCs w:val="18"/>
              </w:rPr>
            </w:pPr>
            <w:r>
              <w:rPr>
                <w:b/>
                <w:bCs/>
                <w:sz w:val="18"/>
                <w:szCs w:val="18"/>
              </w:rPr>
              <w:t>5,374</w:t>
            </w:r>
          </w:p>
        </w:tc>
        <w:tc>
          <w:tcPr>
            <w:tcW w:w="1130" w:type="dxa"/>
            <w:shd w:val="clear" w:color="auto" w:fill="auto"/>
            <w:vAlign w:val="bottom"/>
          </w:tcPr>
          <w:p w14:paraId="3E129624" w14:textId="1F22C7DE" w:rsidR="00224102" w:rsidRPr="00EA3453" w:rsidRDefault="00224102" w:rsidP="00224102">
            <w:pPr>
              <w:jc w:val="right"/>
              <w:rPr>
                <w:b/>
                <w:bCs/>
                <w:sz w:val="18"/>
                <w:szCs w:val="18"/>
              </w:rPr>
            </w:pPr>
            <w:r>
              <w:rPr>
                <w:b/>
                <w:bCs/>
                <w:sz w:val="18"/>
                <w:szCs w:val="18"/>
              </w:rPr>
              <w:t>5,374</w:t>
            </w:r>
          </w:p>
        </w:tc>
        <w:tc>
          <w:tcPr>
            <w:tcW w:w="1862" w:type="dxa"/>
            <w:shd w:val="clear" w:color="auto" w:fill="auto"/>
            <w:vAlign w:val="bottom"/>
          </w:tcPr>
          <w:p w14:paraId="6A16C921" w14:textId="6685EC05" w:rsidR="00224102" w:rsidRPr="00A36623" w:rsidRDefault="00224102" w:rsidP="00224102">
            <w:pPr>
              <w:jc w:val="right"/>
              <w:rPr>
                <w:b/>
                <w:sz w:val="18"/>
                <w:szCs w:val="18"/>
              </w:rPr>
            </w:pPr>
            <w:r>
              <w:rPr>
                <w:b/>
                <w:sz w:val="18"/>
                <w:szCs w:val="18"/>
              </w:rPr>
              <w:t>1,448</w:t>
            </w:r>
          </w:p>
        </w:tc>
        <w:tc>
          <w:tcPr>
            <w:tcW w:w="1372" w:type="dxa"/>
            <w:shd w:val="clear" w:color="auto" w:fill="auto"/>
            <w:vAlign w:val="bottom"/>
          </w:tcPr>
          <w:p w14:paraId="072EDFF7" w14:textId="66D59833" w:rsidR="00224102" w:rsidRPr="00A36623" w:rsidRDefault="00224102" w:rsidP="00224102">
            <w:pPr>
              <w:jc w:val="right"/>
              <w:rPr>
                <w:b/>
                <w:sz w:val="18"/>
                <w:szCs w:val="18"/>
              </w:rPr>
            </w:pPr>
            <w:r>
              <w:rPr>
                <w:b/>
                <w:sz w:val="18"/>
                <w:szCs w:val="18"/>
              </w:rPr>
              <w:t>1,448</w:t>
            </w:r>
          </w:p>
        </w:tc>
      </w:tr>
    </w:tbl>
    <w:p w14:paraId="7F7E953D" w14:textId="77777777" w:rsidR="00977D2A" w:rsidRPr="00604C75" w:rsidRDefault="00977D2A" w:rsidP="0074162A">
      <w:pPr>
        <w:pStyle w:val="NormalIndent"/>
        <w:tabs>
          <w:tab w:val="left" w:pos="0"/>
        </w:tabs>
        <w:ind w:left="0"/>
        <w:jc w:val="both"/>
      </w:pPr>
    </w:p>
    <w:p w14:paraId="72FC0876" w14:textId="2FF4E280" w:rsidR="005D53D2" w:rsidRPr="00EB2A5F" w:rsidRDefault="005D53D2" w:rsidP="00EB2A5F">
      <w:pPr>
        <w:pStyle w:val="NormalIndent"/>
        <w:ind w:left="0" w:right="-158"/>
        <w:jc w:val="both"/>
        <w:rPr>
          <w:color w:val="FF0000"/>
        </w:rPr>
      </w:pPr>
      <w:r w:rsidRPr="00604C75">
        <w:t xml:space="preserve">The table below represent the sensitivity </w:t>
      </w:r>
      <w:r w:rsidR="003E226F" w:rsidRPr="00604C75">
        <w:t xml:space="preserve">of the </w:t>
      </w:r>
      <w:r w:rsidR="00A26322" w:rsidRPr="00604C75">
        <w:t>Group</w:t>
      </w:r>
      <w:r w:rsidRPr="00604C75">
        <w:t xml:space="preserve"> to 10% </w:t>
      </w:r>
      <w:proofErr w:type="spellStart"/>
      <w:r w:rsidRPr="00604C75">
        <w:t>strenghtening</w:t>
      </w:r>
      <w:proofErr w:type="spellEnd"/>
      <w:r w:rsidRPr="00604C75">
        <w:t xml:space="preserve"> of TL against </w:t>
      </w:r>
      <w:r w:rsidR="00B85547">
        <w:t xml:space="preserve">below mentioned </w:t>
      </w:r>
      <w:r w:rsidRPr="00604C75">
        <w:t xml:space="preserve">currencies and the effects on equity and income statement (without tax effect) </w:t>
      </w:r>
      <w:r w:rsidR="006B3805" w:rsidRPr="00604C75">
        <w:t xml:space="preserve">for the </w:t>
      </w:r>
      <w:r w:rsidR="00B85547">
        <w:t>year</w:t>
      </w:r>
      <w:r w:rsidR="002133E1">
        <w:t xml:space="preserve"> then ended 31</w:t>
      </w:r>
      <w:r w:rsidR="00F51CB2">
        <w:t xml:space="preserve"> </w:t>
      </w:r>
      <w:r w:rsidR="002133E1">
        <w:t>December</w:t>
      </w:r>
      <w:r w:rsidR="006B3805" w:rsidRPr="00604C75">
        <w:t xml:space="preserve"> 2015 and 2014.</w:t>
      </w:r>
      <w:r w:rsidR="00EB2A5F">
        <w:t xml:space="preserve"> </w:t>
      </w:r>
    </w:p>
    <w:p w14:paraId="49DD841D" w14:textId="77777777" w:rsidR="0074162A" w:rsidRPr="00604C75" w:rsidRDefault="0074162A" w:rsidP="006B3805">
      <w:pPr>
        <w:pStyle w:val="NormalIndent"/>
        <w:tabs>
          <w:tab w:val="left" w:pos="0"/>
        </w:tabs>
        <w:ind w:left="0"/>
        <w:jc w:val="both"/>
      </w:pPr>
    </w:p>
    <w:tbl>
      <w:tblPr>
        <w:tblW w:w="9410" w:type="dxa"/>
        <w:tblInd w:w="1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3391"/>
        <w:gridCol w:w="1638"/>
        <w:gridCol w:w="1133"/>
        <w:gridCol w:w="1862"/>
        <w:gridCol w:w="1386"/>
      </w:tblGrid>
      <w:tr w:rsidR="00F74DBA" w:rsidRPr="00604C75" w14:paraId="2AE8AA72" w14:textId="77777777" w:rsidTr="00701A84">
        <w:trPr>
          <w:trHeight w:val="255"/>
        </w:trPr>
        <w:tc>
          <w:tcPr>
            <w:tcW w:w="3391" w:type="dxa"/>
            <w:vMerge w:val="restart"/>
            <w:shd w:val="clear" w:color="auto" w:fill="FFFFFF" w:themeFill="background1"/>
            <w:vAlign w:val="bottom"/>
          </w:tcPr>
          <w:p w14:paraId="52222014" w14:textId="77777777" w:rsidR="00F74DBA" w:rsidRPr="00604C75" w:rsidRDefault="00F74DBA" w:rsidP="0074162A">
            <w:pPr>
              <w:pStyle w:val="Footer"/>
              <w:tabs>
                <w:tab w:val="left" w:pos="0"/>
              </w:tabs>
              <w:rPr>
                <w:b/>
                <w:sz w:val="20"/>
              </w:rPr>
            </w:pPr>
          </w:p>
        </w:tc>
        <w:tc>
          <w:tcPr>
            <w:tcW w:w="2771" w:type="dxa"/>
            <w:gridSpan w:val="2"/>
            <w:shd w:val="clear" w:color="auto" w:fill="auto"/>
            <w:vAlign w:val="bottom"/>
          </w:tcPr>
          <w:p w14:paraId="02358D6A" w14:textId="77777777" w:rsidR="00F74DBA" w:rsidRPr="00604C75" w:rsidRDefault="00F74DBA" w:rsidP="00400883">
            <w:pPr>
              <w:tabs>
                <w:tab w:val="left" w:pos="0"/>
              </w:tabs>
              <w:jc w:val="center"/>
              <w:rPr>
                <w:b/>
                <w:bCs/>
                <w:sz w:val="18"/>
                <w:szCs w:val="18"/>
              </w:rPr>
            </w:pPr>
            <w:r>
              <w:rPr>
                <w:b/>
                <w:bCs/>
                <w:sz w:val="18"/>
                <w:szCs w:val="18"/>
              </w:rPr>
              <w:t>31 December</w:t>
            </w:r>
            <w:r w:rsidRPr="00604C75">
              <w:rPr>
                <w:b/>
                <w:bCs/>
                <w:sz w:val="18"/>
                <w:szCs w:val="18"/>
              </w:rPr>
              <w:t xml:space="preserve"> 2015</w:t>
            </w:r>
          </w:p>
        </w:tc>
        <w:tc>
          <w:tcPr>
            <w:tcW w:w="3248" w:type="dxa"/>
            <w:gridSpan w:val="2"/>
            <w:shd w:val="clear" w:color="auto" w:fill="auto"/>
            <w:vAlign w:val="bottom"/>
          </w:tcPr>
          <w:p w14:paraId="5B7ECF6F" w14:textId="77777777" w:rsidR="00F74DBA" w:rsidRPr="00604C75" w:rsidRDefault="00F74DBA" w:rsidP="00400883">
            <w:pPr>
              <w:tabs>
                <w:tab w:val="left" w:pos="0"/>
              </w:tabs>
              <w:ind w:right="-128"/>
              <w:jc w:val="center"/>
              <w:rPr>
                <w:b/>
                <w:bCs/>
                <w:sz w:val="18"/>
                <w:szCs w:val="18"/>
              </w:rPr>
            </w:pPr>
            <w:r>
              <w:rPr>
                <w:b/>
                <w:bCs/>
                <w:sz w:val="18"/>
                <w:szCs w:val="18"/>
              </w:rPr>
              <w:t>31 December</w:t>
            </w:r>
            <w:r w:rsidRPr="00604C75">
              <w:rPr>
                <w:b/>
                <w:bCs/>
                <w:sz w:val="18"/>
                <w:szCs w:val="18"/>
              </w:rPr>
              <w:t xml:space="preserve"> 2014</w:t>
            </w:r>
          </w:p>
        </w:tc>
      </w:tr>
      <w:tr w:rsidR="00D6453B" w:rsidRPr="00604C75" w14:paraId="6C3735E4" w14:textId="77777777" w:rsidTr="00701A84">
        <w:trPr>
          <w:trHeight w:val="290"/>
        </w:trPr>
        <w:tc>
          <w:tcPr>
            <w:tcW w:w="3391" w:type="dxa"/>
            <w:vMerge/>
            <w:shd w:val="clear" w:color="auto" w:fill="FFFFFF" w:themeFill="background1"/>
            <w:vAlign w:val="bottom"/>
          </w:tcPr>
          <w:p w14:paraId="3ADFAF15" w14:textId="77777777" w:rsidR="00D6453B" w:rsidRPr="00604C75" w:rsidRDefault="00D6453B" w:rsidP="0074162A">
            <w:pPr>
              <w:pStyle w:val="Footer"/>
              <w:tabs>
                <w:tab w:val="left" w:pos="0"/>
              </w:tabs>
              <w:rPr>
                <w:b/>
                <w:sz w:val="20"/>
              </w:rPr>
            </w:pPr>
          </w:p>
        </w:tc>
        <w:tc>
          <w:tcPr>
            <w:tcW w:w="1638" w:type="dxa"/>
            <w:shd w:val="clear" w:color="auto" w:fill="FFFFFF" w:themeFill="background1"/>
            <w:vAlign w:val="bottom"/>
          </w:tcPr>
          <w:p w14:paraId="324C8009" w14:textId="77777777" w:rsidR="00D6453B" w:rsidRPr="00604C75" w:rsidRDefault="00D6453B" w:rsidP="0074162A">
            <w:pPr>
              <w:tabs>
                <w:tab w:val="left" w:pos="0"/>
              </w:tabs>
              <w:jc w:val="right"/>
              <w:rPr>
                <w:b/>
                <w:bCs/>
                <w:sz w:val="20"/>
                <w:szCs w:val="20"/>
              </w:rPr>
            </w:pPr>
            <w:r w:rsidRPr="00604C75">
              <w:rPr>
                <w:b/>
                <w:bCs/>
                <w:sz w:val="18"/>
                <w:szCs w:val="18"/>
              </w:rPr>
              <w:t xml:space="preserve">Income statement </w:t>
            </w:r>
          </w:p>
        </w:tc>
        <w:tc>
          <w:tcPr>
            <w:tcW w:w="1133" w:type="dxa"/>
            <w:shd w:val="clear" w:color="auto" w:fill="FFFFFF" w:themeFill="background1"/>
            <w:vAlign w:val="bottom"/>
          </w:tcPr>
          <w:p w14:paraId="3BD8B715" w14:textId="77777777" w:rsidR="00D6453B" w:rsidRPr="00604C75" w:rsidRDefault="00D6453B" w:rsidP="0074162A">
            <w:pPr>
              <w:tabs>
                <w:tab w:val="left" w:pos="0"/>
              </w:tabs>
              <w:jc w:val="right"/>
              <w:rPr>
                <w:b/>
                <w:bCs/>
                <w:sz w:val="20"/>
                <w:szCs w:val="20"/>
              </w:rPr>
            </w:pPr>
            <w:r w:rsidRPr="00604C75">
              <w:rPr>
                <w:b/>
                <w:bCs/>
                <w:sz w:val="18"/>
                <w:szCs w:val="18"/>
              </w:rPr>
              <w:t>Equity</w:t>
            </w:r>
          </w:p>
        </w:tc>
        <w:tc>
          <w:tcPr>
            <w:tcW w:w="1862" w:type="dxa"/>
            <w:shd w:val="clear" w:color="auto" w:fill="FFFFFF" w:themeFill="background1"/>
            <w:vAlign w:val="bottom"/>
          </w:tcPr>
          <w:p w14:paraId="03F463FE" w14:textId="77777777" w:rsidR="00D6453B" w:rsidRPr="00604C75" w:rsidRDefault="00D6453B" w:rsidP="0074162A">
            <w:pPr>
              <w:tabs>
                <w:tab w:val="left" w:pos="0"/>
              </w:tabs>
              <w:jc w:val="right"/>
              <w:rPr>
                <w:b/>
                <w:bCs/>
                <w:sz w:val="20"/>
                <w:szCs w:val="20"/>
              </w:rPr>
            </w:pPr>
            <w:r w:rsidRPr="00604C75">
              <w:rPr>
                <w:b/>
                <w:bCs/>
                <w:sz w:val="18"/>
                <w:szCs w:val="18"/>
              </w:rPr>
              <w:t xml:space="preserve">Income statement </w:t>
            </w:r>
          </w:p>
        </w:tc>
        <w:tc>
          <w:tcPr>
            <w:tcW w:w="1386" w:type="dxa"/>
            <w:shd w:val="clear" w:color="auto" w:fill="FFFFFF" w:themeFill="background1"/>
            <w:vAlign w:val="bottom"/>
          </w:tcPr>
          <w:p w14:paraId="51ACC610" w14:textId="77777777" w:rsidR="00D6453B" w:rsidRPr="00604C75" w:rsidRDefault="00D6453B" w:rsidP="0074162A">
            <w:pPr>
              <w:tabs>
                <w:tab w:val="left" w:pos="0"/>
              </w:tabs>
              <w:jc w:val="right"/>
              <w:rPr>
                <w:b/>
                <w:bCs/>
                <w:sz w:val="20"/>
                <w:szCs w:val="20"/>
              </w:rPr>
            </w:pPr>
            <w:r w:rsidRPr="00604C75">
              <w:rPr>
                <w:b/>
                <w:bCs/>
                <w:sz w:val="18"/>
                <w:szCs w:val="18"/>
              </w:rPr>
              <w:t>Equity</w:t>
            </w:r>
          </w:p>
        </w:tc>
      </w:tr>
      <w:tr w:rsidR="00224102" w:rsidRPr="00604C75" w14:paraId="40FE9E6A" w14:textId="77777777" w:rsidTr="00701A84">
        <w:trPr>
          <w:trHeight w:val="20"/>
        </w:trPr>
        <w:tc>
          <w:tcPr>
            <w:tcW w:w="3391" w:type="dxa"/>
            <w:shd w:val="clear" w:color="auto" w:fill="FFFFFF" w:themeFill="background1"/>
            <w:vAlign w:val="bottom"/>
          </w:tcPr>
          <w:p w14:paraId="1D1B631E" w14:textId="77777777" w:rsidR="00224102" w:rsidRPr="00604C75" w:rsidRDefault="00224102" w:rsidP="00224102">
            <w:pPr>
              <w:tabs>
                <w:tab w:val="left" w:pos="0"/>
                <w:tab w:val="left" w:pos="2100"/>
              </w:tabs>
              <w:rPr>
                <w:sz w:val="20"/>
                <w:szCs w:val="20"/>
              </w:rPr>
            </w:pPr>
            <w:proofErr w:type="spellStart"/>
            <w:r w:rsidRPr="00604C75">
              <w:rPr>
                <w:sz w:val="20"/>
                <w:szCs w:val="20"/>
              </w:rPr>
              <w:t>Usd</w:t>
            </w:r>
            <w:proofErr w:type="spellEnd"/>
          </w:p>
        </w:tc>
        <w:tc>
          <w:tcPr>
            <w:tcW w:w="1638" w:type="dxa"/>
            <w:shd w:val="clear" w:color="auto" w:fill="auto"/>
            <w:vAlign w:val="bottom"/>
          </w:tcPr>
          <w:p w14:paraId="3EB62FF8" w14:textId="7AE3DE9F" w:rsidR="00224102" w:rsidRPr="00EA3453" w:rsidRDefault="00224102" w:rsidP="00224102">
            <w:pPr>
              <w:jc w:val="right"/>
              <w:rPr>
                <w:sz w:val="18"/>
                <w:szCs w:val="18"/>
              </w:rPr>
            </w:pPr>
            <w:r>
              <w:rPr>
                <w:sz w:val="18"/>
                <w:szCs w:val="18"/>
              </w:rPr>
              <w:t>(5,604)</w:t>
            </w:r>
          </w:p>
        </w:tc>
        <w:tc>
          <w:tcPr>
            <w:tcW w:w="1133" w:type="dxa"/>
            <w:shd w:val="clear" w:color="auto" w:fill="auto"/>
            <w:vAlign w:val="bottom"/>
          </w:tcPr>
          <w:p w14:paraId="6E5B0E2A" w14:textId="45D6CB61" w:rsidR="00224102" w:rsidRPr="00EA3453" w:rsidRDefault="00224102" w:rsidP="00224102">
            <w:pPr>
              <w:jc w:val="right"/>
              <w:rPr>
                <w:sz w:val="18"/>
                <w:szCs w:val="18"/>
              </w:rPr>
            </w:pPr>
            <w:r>
              <w:rPr>
                <w:sz w:val="18"/>
                <w:szCs w:val="18"/>
              </w:rPr>
              <w:t>(5,604)</w:t>
            </w:r>
          </w:p>
        </w:tc>
        <w:tc>
          <w:tcPr>
            <w:tcW w:w="1862" w:type="dxa"/>
            <w:shd w:val="clear" w:color="auto" w:fill="auto"/>
            <w:vAlign w:val="bottom"/>
          </w:tcPr>
          <w:p w14:paraId="363B4FA1" w14:textId="6569B1B8" w:rsidR="00224102" w:rsidRPr="00A36623" w:rsidRDefault="00224102" w:rsidP="00224102">
            <w:pPr>
              <w:jc w:val="right"/>
              <w:rPr>
                <w:sz w:val="18"/>
                <w:szCs w:val="18"/>
              </w:rPr>
            </w:pPr>
            <w:r>
              <w:rPr>
                <w:sz w:val="18"/>
                <w:szCs w:val="18"/>
              </w:rPr>
              <w:t>(1,602)</w:t>
            </w:r>
          </w:p>
        </w:tc>
        <w:tc>
          <w:tcPr>
            <w:tcW w:w="1386" w:type="dxa"/>
            <w:shd w:val="clear" w:color="auto" w:fill="auto"/>
            <w:vAlign w:val="bottom"/>
          </w:tcPr>
          <w:p w14:paraId="1C6A9C65" w14:textId="2FC39D88" w:rsidR="00224102" w:rsidRPr="00A36623" w:rsidRDefault="00224102" w:rsidP="00224102">
            <w:pPr>
              <w:jc w:val="right"/>
              <w:rPr>
                <w:sz w:val="18"/>
                <w:szCs w:val="18"/>
              </w:rPr>
            </w:pPr>
            <w:r>
              <w:rPr>
                <w:sz w:val="18"/>
                <w:szCs w:val="18"/>
              </w:rPr>
              <w:t>(1,602)</w:t>
            </w:r>
          </w:p>
        </w:tc>
      </w:tr>
      <w:tr w:rsidR="00224102" w:rsidRPr="00604C75" w14:paraId="32C7A51C" w14:textId="77777777" w:rsidTr="00701A84">
        <w:trPr>
          <w:trHeight w:val="20"/>
        </w:trPr>
        <w:tc>
          <w:tcPr>
            <w:tcW w:w="3391" w:type="dxa"/>
            <w:shd w:val="clear" w:color="auto" w:fill="FFFFFF" w:themeFill="background1"/>
            <w:vAlign w:val="bottom"/>
          </w:tcPr>
          <w:p w14:paraId="03102C8B" w14:textId="77777777" w:rsidR="00224102" w:rsidRPr="00604C75" w:rsidRDefault="00224102" w:rsidP="00224102">
            <w:pPr>
              <w:tabs>
                <w:tab w:val="left" w:pos="0"/>
              </w:tabs>
              <w:rPr>
                <w:sz w:val="20"/>
                <w:szCs w:val="20"/>
              </w:rPr>
            </w:pPr>
            <w:r w:rsidRPr="00604C75">
              <w:rPr>
                <w:sz w:val="20"/>
                <w:szCs w:val="20"/>
              </w:rPr>
              <w:t>Euro</w:t>
            </w:r>
          </w:p>
        </w:tc>
        <w:tc>
          <w:tcPr>
            <w:tcW w:w="1638" w:type="dxa"/>
            <w:shd w:val="clear" w:color="auto" w:fill="auto"/>
            <w:vAlign w:val="bottom"/>
          </w:tcPr>
          <w:p w14:paraId="1E89706B" w14:textId="71E02846" w:rsidR="00224102" w:rsidRPr="00EA3453" w:rsidRDefault="00224102" w:rsidP="00224102">
            <w:pPr>
              <w:jc w:val="right"/>
              <w:rPr>
                <w:sz w:val="18"/>
                <w:szCs w:val="18"/>
              </w:rPr>
            </w:pPr>
            <w:r>
              <w:rPr>
                <w:sz w:val="18"/>
                <w:szCs w:val="18"/>
              </w:rPr>
              <w:t>153</w:t>
            </w:r>
          </w:p>
        </w:tc>
        <w:tc>
          <w:tcPr>
            <w:tcW w:w="1133" w:type="dxa"/>
            <w:shd w:val="clear" w:color="auto" w:fill="auto"/>
            <w:vAlign w:val="bottom"/>
          </w:tcPr>
          <w:p w14:paraId="19AA7AE3" w14:textId="2C13BD00" w:rsidR="00224102" w:rsidRPr="00EA3453" w:rsidRDefault="00224102" w:rsidP="00224102">
            <w:pPr>
              <w:jc w:val="right"/>
              <w:rPr>
                <w:sz w:val="18"/>
                <w:szCs w:val="18"/>
              </w:rPr>
            </w:pPr>
            <w:r>
              <w:rPr>
                <w:sz w:val="18"/>
                <w:szCs w:val="18"/>
              </w:rPr>
              <w:t>153</w:t>
            </w:r>
          </w:p>
        </w:tc>
        <w:tc>
          <w:tcPr>
            <w:tcW w:w="1862" w:type="dxa"/>
            <w:shd w:val="clear" w:color="auto" w:fill="auto"/>
            <w:vAlign w:val="bottom"/>
          </w:tcPr>
          <w:p w14:paraId="3C3921EB" w14:textId="03F7533E" w:rsidR="00224102" w:rsidRPr="00A36623" w:rsidRDefault="00224102" w:rsidP="00224102">
            <w:pPr>
              <w:jc w:val="right"/>
              <w:rPr>
                <w:sz w:val="18"/>
                <w:szCs w:val="18"/>
              </w:rPr>
            </w:pPr>
            <w:r>
              <w:rPr>
                <w:sz w:val="18"/>
                <w:szCs w:val="18"/>
              </w:rPr>
              <w:t>186</w:t>
            </w:r>
          </w:p>
        </w:tc>
        <w:tc>
          <w:tcPr>
            <w:tcW w:w="1386" w:type="dxa"/>
            <w:shd w:val="clear" w:color="auto" w:fill="auto"/>
            <w:vAlign w:val="bottom"/>
          </w:tcPr>
          <w:p w14:paraId="76D70AD6" w14:textId="5A93C762" w:rsidR="00224102" w:rsidRPr="00A36623" w:rsidRDefault="00224102" w:rsidP="00224102">
            <w:pPr>
              <w:jc w:val="right"/>
              <w:rPr>
                <w:sz w:val="18"/>
                <w:szCs w:val="18"/>
              </w:rPr>
            </w:pPr>
            <w:r>
              <w:rPr>
                <w:sz w:val="18"/>
                <w:szCs w:val="18"/>
              </w:rPr>
              <w:t>186</w:t>
            </w:r>
          </w:p>
        </w:tc>
      </w:tr>
      <w:tr w:rsidR="00224102" w:rsidRPr="00604C75" w14:paraId="4E9BDF47" w14:textId="77777777" w:rsidTr="00701A84">
        <w:trPr>
          <w:trHeight w:val="20"/>
        </w:trPr>
        <w:tc>
          <w:tcPr>
            <w:tcW w:w="3391" w:type="dxa"/>
            <w:shd w:val="clear" w:color="auto" w:fill="FFFFFF" w:themeFill="background1"/>
            <w:vAlign w:val="bottom"/>
          </w:tcPr>
          <w:p w14:paraId="3015F645" w14:textId="77777777" w:rsidR="00224102" w:rsidRPr="00604C75" w:rsidRDefault="00224102" w:rsidP="00224102">
            <w:pPr>
              <w:tabs>
                <w:tab w:val="left" w:pos="0"/>
              </w:tabs>
              <w:rPr>
                <w:sz w:val="20"/>
                <w:szCs w:val="20"/>
              </w:rPr>
            </w:pPr>
            <w:r w:rsidRPr="00604C75">
              <w:rPr>
                <w:sz w:val="20"/>
                <w:szCs w:val="20"/>
              </w:rPr>
              <w:t>Other FC</w:t>
            </w:r>
          </w:p>
        </w:tc>
        <w:tc>
          <w:tcPr>
            <w:tcW w:w="1638" w:type="dxa"/>
            <w:shd w:val="clear" w:color="auto" w:fill="auto"/>
            <w:vAlign w:val="bottom"/>
          </w:tcPr>
          <w:p w14:paraId="55957966" w14:textId="3D410F62" w:rsidR="00224102" w:rsidRPr="00EA3453" w:rsidRDefault="00224102" w:rsidP="00224102">
            <w:pPr>
              <w:jc w:val="right"/>
              <w:rPr>
                <w:sz w:val="18"/>
                <w:szCs w:val="18"/>
              </w:rPr>
            </w:pPr>
            <w:r>
              <w:rPr>
                <w:sz w:val="18"/>
                <w:szCs w:val="18"/>
              </w:rPr>
              <w:t>77</w:t>
            </w:r>
          </w:p>
        </w:tc>
        <w:tc>
          <w:tcPr>
            <w:tcW w:w="1133" w:type="dxa"/>
            <w:shd w:val="clear" w:color="auto" w:fill="auto"/>
            <w:vAlign w:val="bottom"/>
          </w:tcPr>
          <w:p w14:paraId="625F3111" w14:textId="5D233B22" w:rsidR="00224102" w:rsidRPr="00EA3453" w:rsidRDefault="00224102" w:rsidP="00224102">
            <w:pPr>
              <w:jc w:val="right"/>
              <w:rPr>
                <w:sz w:val="18"/>
                <w:szCs w:val="18"/>
              </w:rPr>
            </w:pPr>
            <w:r>
              <w:rPr>
                <w:sz w:val="18"/>
                <w:szCs w:val="18"/>
              </w:rPr>
              <w:t>77</w:t>
            </w:r>
          </w:p>
        </w:tc>
        <w:tc>
          <w:tcPr>
            <w:tcW w:w="1862" w:type="dxa"/>
            <w:shd w:val="clear" w:color="auto" w:fill="auto"/>
            <w:vAlign w:val="bottom"/>
          </w:tcPr>
          <w:p w14:paraId="78EA5268" w14:textId="44EB0D62" w:rsidR="00224102" w:rsidRPr="00A36623" w:rsidRDefault="00224102" w:rsidP="00224102">
            <w:pPr>
              <w:jc w:val="right"/>
              <w:rPr>
                <w:sz w:val="18"/>
                <w:szCs w:val="18"/>
              </w:rPr>
            </w:pPr>
            <w:r>
              <w:rPr>
                <w:sz w:val="18"/>
                <w:szCs w:val="18"/>
              </w:rPr>
              <w:t>(32)</w:t>
            </w:r>
          </w:p>
        </w:tc>
        <w:tc>
          <w:tcPr>
            <w:tcW w:w="1386" w:type="dxa"/>
            <w:shd w:val="clear" w:color="auto" w:fill="auto"/>
            <w:vAlign w:val="bottom"/>
          </w:tcPr>
          <w:p w14:paraId="50685BF0" w14:textId="637530E4" w:rsidR="00224102" w:rsidRPr="00A36623" w:rsidRDefault="00224102" w:rsidP="00224102">
            <w:pPr>
              <w:tabs>
                <w:tab w:val="center" w:pos="566"/>
                <w:tab w:val="right" w:pos="1132"/>
              </w:tabs>
              <w:ind w:left="61"/>
              <w:jc w:val="right"/>
              <w:rPr>
                <w:sz w:val="18"/>
                <w:szCs w:val="18"/>
              </w:rPr>
            </w:pPr>
            <w:r>
              <w:rPr>
                <w:sz w:val="18"/>
                <w:szCs w:val="18"/>
              </w:rPr>
              <w:t>(32)</w:t>
            </w:r>
          </w:p>
        </w:tc>
      </w:tr>
      <w:tr w:rsidR="00224102" w:rsidRPr="00604C75" w14:paraId="27E7F755" w14:textId="77777777" w:rsidTr="00701A84">
        <w:trPr>
          <w:trHeight w:val="102"/>
        </w:trPr>
        <w:tc>
          <w:tcPr>
            <w:tcW w:w="3391" w:type="dxa"/>
            <w:shd w:val="clear" w:color="auto" w:fill="FFFFFF" w:themeFill="background1"/>
            <w:vAlign w:val="bottom"/>
          </w:tcPr>
          <w:p w14:paraId="4CD17F82" w14:textId="77777777" w:rsidR="00224102" w:rsidRPr="00604C75" w:rsidRDefault="00224102" w:rsidP="00224102">
            <w:pPr>
              <w:tabs>
                <w:tab w:val="left" w:pos="0"/>
              </w:tabs>
              <w:rPr>
                <w:b/>
                <w:sz w:val="20"/>
                <w:szCs w:val="20"/>
              </w:rPr>
            </w:pPr>
            <w:r w:rsidRPr="00604C75">
              <w:rPr>
                <w:b/>
                <w:sz w:val="20"/>
                <w:szCs w:val="20"/>
              </w:rPr>
              <w:t>Total, net</w:t>
            </w:r>
          </w:p>
        </w:tc>
        <w:tc>
          <w:tcPr>
            <w:tcW w:w="1638" w:type="dxa"/>
            <w:shd w:val="clear" w:color="auto" w:fill="auto"/>
            <w:vAlign w:val="bottom"/>
          </w:tcPr>
          <w:p w14:paraId="1C157A77" w14:textId="66029F37" w:rsidR="00224102" w:rsidRPr="00EA3453" w:rsidRDefault="00224102" w:rsidP="00224102">
            <w:pPr>
              <w:jc w:val="right"/>
              <w:rPr>
                <w:b/>
                <w:bCs/>
                <w:sz w:val="18"/>
                <w:szCs w:val="18"/>
              </w:rPr>
            </w:pPr>
            <w:r>
              <w:rPr>
                <w:b/>
                <w:bCs/>
                <w:sz w:val="18"/>
                <w:szCs w:val="18"/>
              </w:rPr>
              <w:t>(5,374)</w:t>
            </w:r>
          </w:p>
        </w:tc>
        <w:tc>
          <w:tcPr>
            <w:tcW w:w="1133" w:type="dxa"/>
            <w:shd w:val="clear" w:color="auto" w:fill="auto"/>
            <w:vAlign w:val="bottom"/>
          </w:tcPr>
          <w:p w14:paraId="7F07F1B5" w14:textId="3F775082" w:rsidR="00224102" w:rsidRPr="00EA3453" w:rsidRDefault="00224102" w:rsidP="00224102">
            <w:pPr>
              <w:jc w:val="right"/>
              <w:rPr>
                <w:b/>
                <w:bCs/>
                <w:sz w:val="18"/>
                <w:szCs w:val="18"/>
              </w:rPr>
            </w:pPr>
            <w:r>
              <w:rPr>
                <w:b/>
                <w:bCs/>
                <w:sz w:val="18"/>
                <w:szCs w:val="18"/>
              </w:rPr>
              <w:t>(5,374)</w:t>
            </w:r>
          </w:p>
        </w:tc>
        <w:tc>
          <w:tcPr>
            <w:tcW w:w="1862" w:type="dxa"/>
            <w:shd w:val="clear" w:color="auto" w:fill="auto"/>
            <w:vAlign w:val="bottom"/>
          </w:tcPr>
          <w:p w14:paraId="6ED09BB8" w14:textId="5C8ED5D4" w:rsidR="00224102" w:rsidRPr="00A36623" w:rsidRDefault="00224102" w:rsidP="00224102">
            <w:pPr>
              <w:jc w:val="right"/>
              <w:rPr>
                <w:b/>
                <w:sz w:val="18"/>
                <w:szCs w:val="18"/>
              </w:rPr>
            </w:pPr>
            <w:r>
              <w:rPr>
                <w:b/>
                <w:sz w:val="18"/>
                <w:szCs w:val="18"/>
              </w:rPr>
              <w:t>(1,448)</w:t>
            </w:r>
          </w:p>
        </w:tc>
        <w:tc>
          <w:tcPr>
            <w:tcW w:w="1386" w:type="dxa"/>
            <w:shd w:val="clear" w:color="auto" w:fill="auto"/>
            <w:vAlign w:val="bottom"/>
          </w:tcPr>
          <w:p w14:paraId="53F2E27F" w14:textId="28C691FC" w:rsidR="00224102" w:rsidRPr="00A36623" w:rsidRDefault="00224102" w:rsidP="00224102">
            <w:pPr>
              <w:tabs>
                <w:tab w:val="center" w:pos="566"/>
                <w:tab w:val="right" w:pos="1132"/>
              </w:tabs>
              <w:ind w:left="61"/>
              <w:jc w:val="right"/>
              <w:rPr>
                <w:b/>
                <w:sz w:val="18"/>
                <w:szCs w:val="18"/>
              </w:rPr>
            </w:pPr>
            <w:r>
              <w:rPr>
                <w:b/>
                <w:sz w:val="18"/>
                <w:szCs w:val="18"/>
              </w:rPr>
              <w:t>(1,448)</w:t>
            </w:r>
          </w:p>
        </w:tc>
      </w:tr>
    </w:tbl>
    <w:p w14:paraId="09083F84" w14:textId="77777777" w:rsidR="00977D2A" w:rsidRPr="00604C75" w:rsidRDefault="00977D2A" w:rsidP="0074162A">
      <w:pPr>
        <w:pStyle w:val="NormalIndent"/>
        <w:tabs>
          <w:tab w:val="left" w:pos="0"/>
        </w:tabs>
        <w:ind w:left="891" w:hanging="1276"/>
        <w:jc w:val="both"/>
      </w:pPr>
    </w:p>
    <w:p w14:paraId="0B6466A5" w14:textId="77777777" w:rsidR="005E33B0" w:rsidRPr="00604C75" w:rsidRDefault="005E33B0" w:rsidP="00C22AF8">
      <w:pPr>
        <w:pStyle w:val="Heading2"/>
        <w:spacing w:before="0"/>
        <w:rPr>
          <w:rFonts w:ascii="Times New Roman" w:hAnsi="Times New Roman"/>
          <w:caps/>
          <w:sz w:val="20"/>
        </w:rPr>
      </w:pPr>
      <w:r w:rsidRPr="00604C75">
        <w:rPr>
          <w:rFonts w:ascii="Times New Roman" w:hAnsi="Times New Roman"/>
          <w:caps/>
          <w:sz w:val="20"/>
        </w:rPr>
        <w:t>V</w:t>
      </w:r>
      <w:r w:rsidR="00D742B6">
        <w:rPr>
          <w:rFonts w:ascii="Times New Roman" w:hAnsi="Times New Roman"/>
          <w:caps/>
          <w:sz w:val="20"/>
        </w:rPr>
        <w:t>I</w:t>
      </w:r>
      <w:r w:rsidR="00FB0A23" w:rsidRPr="00604C75">
        <w:rPr>
          <w:rFonts w:ascii="Times New Roman" w:hAnsi="Times New Roman"/>
          <w:caps/>
          <w:sz w:val="20"/>
        </w:rPr>
        <w:t xml:space="preserve">.    </w:t>
      </w:r>
      <w:r w:rsidR="002814FB" w:rsidRPr="00604C75">
        <w:rPr>
          <w:rFonts w:ascii="Times New Roman" w:hAnsi="Times New Roman"/>
          <w:noProof/>
          <w:sz w:val="20"/>
        </w:rPr>
        <w:t>Explanations</w:t>
      </w:r>
      <w:r w:rsidR="002814FB" w:rsidRPr="00604C75" w:rsidDel="002814FB">
        <w:rPr>
          <w:rFonts w:ascii="Times New Roman" w:hAnsi="Times New Roman"/>
          <w:caps/>
          <w:sz w:val="20"/>
        </w:rPr>
        <w:t xml:space="preserve"> </w:t>
      </w:r>
      <w:r w:rsidR="002814FB" w:rsidRPr="00604C75">
        <w:rPr>
          <w:rFonts w:ascii="Times New Roman" w:hAnsi="Times New Roman"/>
          <w:sz w:val="20"/>
        </w:rPr>
        <w:t>on</w:t>
      </w:r>
      <w:r w:rsidR="002814FB" w:rsidRPr="00604C75">
        <w:rPr>
          <w:rFonts w:ascii="Times New Roman" w:hAnsi="Times New Roman"/>
          <w:caps/>
          <w:sz w:val="20"/>
        </w:rPr>
        <w:t xml:space="preserve"> </w:t>
      </w:r>
      <w:r w:rsidR="002814FB" w:rsidRPr="00604C75">
        <w:rPr>
          <w:rFonts w:ascii="Times New Roman" w:hAnsi="Times New Roman"/>
          <w:sz w:val="20"/>
        </w:rPr>
        <w:t>Interest Rate Risk</w:t>
      </w:r>
      <w:r w:rsidR="002814FB" w:rsidRPr="00604C75" w:rsidDel="002814FB">
        <w:rPr>
          <w:rFonts w:ascii="Times New Roman" w:hAnsi="Times New Roman"/>
          <w:caps/>
          <w:sz w:val="20"/>
        </w:rPr>
        <w:t xml:space="preserve"> </w:t>
      </w:r>
    </w:p>
    <w:p w14:paraId="25C28EC0" w14:textId="77777777" w:rsidR="005E33B0" w:rsidRPr="00604C75" w:rsidRDefault="005E33B0" w:rsidP="00C22AF8">
      <w:pPr>
        <w:rPr>
          <w:sz w:val="16"/>
          <w:szCs w:val="16"/>
        </w:rPr>
      </w:pPr>
    </w:p>
    <w:p w14:paraId="33EB282E" w14:textId="77777777" w:rsidR="005E33B0" w:rsidRPr="00604C75" w:rsidRDefault="005E33B0" w:rsidP="00FB0A23">
      <w:pPr>
        <w:jc w:val="both"/>
        <w:rPr>
          <w:sz w:val="20"/>
          <w:szCs w:val="20"/>
        </w:rPr>
      </w:pPr>
      <w:r w:rsidRPr="00604C75">
        <w:rPr>
          <w:sz w:val="20"/>
          <w:szCs w:val="20"/>
        </w:rPr>
        <w:t>Assets, liabilities and off-balance sheet items’ interest rate sensitivity are measured</w:t>
      </w:r>
      <w:r w:rsidR="002814FB" w:rsidRPr="00604C75">
        <w:rPr>
          <w:sz w:val="20"/>
          <w:szCs w:val="20"/>
        </w:rPr>
        <w:t>.</w:t>
      </w:r>
    </w:p>
    <w:p w14:paraId="5F712AAD" w14:textId="77777777" w:rsidR="005E33B0" w:rsidRPr="00604C75" w:rsidRDefault="005E33B0" w:rsidP="00FB0A23">
      <w:pPr>
        <w:jc w:val="both"/>
        <w:rPr>
          <w:sz w:val="16"/>
          <w:szCs w:val="16"/>
        </w:rPr>
      </w:pPr>
    </w:p>
    <w:p w14:paraId="137F1102" w14:textId="7C118B05" w:rsidR="005E33B0" w:rsidRPr="00604C75" w:rsidRDefault="005E33B0" w:rsidP="00FB0A23">
      <w:pPr>
        <w:jc w:val="both"/>
        <w:rPr>
          <w:sz w:val="20"/>
          <w:szCs w:val="20"/>
        </w:rPr>
      </w:pPr>
      <w:r w:rsidRPr="00604C75">
        <w:rPr>
          <w:sz w:val="20"/>
          <w:szCs w:val="20"/>
        </w:rPr>
        <w:t xml:space="preserve">The expected impact on the financial position and on the cash flow of the </w:t>
      </w:r>
      <w:r w:rsidR="003E226F" w:rsidRPr="00604C75">
        <w:rPr>
          <w:sz w:val="20"/>
          <w:szCs w:val="20"/>
        </w:rPr>
        <w:t xml:space="preserve">Group </w:t>
      </w:r>
      <w:r w:rsidR="00B85547">
        <w:rPr>
          <w:sz w:val="20"/>
          <w:szCs w:val="20"/>
        </w:rPr>
        <w:t>due to</w:t>
      </w:r>
      <w:r w:rsidRPr="00604C75">
        <w:rPr>
          <w:sz w:val="20"/>
          <w:szCs w:val="20"/>
        </w:rPr>
        <w:t xml:space="preserve"> the fluctuation</w:t>
      </w:r>
      <w:r w:rsidR="00B85547">
        <w:rPr>
          <w:sz w:val="20"/>
          <w:szCs w:val="20"/>
        </w:rPr>
        <w:t>s</w:t>
      </w:r>
      <w:r w:rsidRPr="00604C75">
        <w:rPr>
          <w:sz w:val="20"/>
          <w:szCs w:val="20"/>
        </w:rPr>
        <w:t xml:space="preserve"> in the market interest rates are being followed within the framework of Asset-Liability management principles and also interest rate risk limits restricted on balance sheet by the Board of Directors. These limits also impose restriction to indirect profit centers can carry on maturity mismatches. </w:t>
      </w:r>
    </w:p>
    <w:p w14:paraId="0CBC2B42" w14:textId="77777777" w:rsidR="005E33B0" w:rsidRPr="00604C75" w:rsidRDefault="005E33B0" w:rsidP="00FB0A23">
      <w:pPr>
        <w:jc w:val="both"/>
        <w:rPr>
          <w:sz w:val="16"/>
          <w:szCs w:val="16"/>
        </w:rPr>
      </w:pPr>
    </w:p>
    <w:p w14:paraId="29D438ED" w14:textId="77777777" w:rsidR="00F00C2F" w:rsidRPr="00604C75" w:rsidRDefault="00F00C2F" w:rsidP="00FB0A23">
      <w:pPr>
        <w:jc w:val="both"/>
        <w:rPr>
          <w:sz w:val="20"/>
          <w:szCs w:val="20"/>
        </w:rPr>
      </w:pPr>
      <w:r w:rsidRPr="00604C75">
        <w:rPr>
          <w:sz w:val="20"/>
          <w:szCs w:val="20"/>
        </w:rPr>
        <w:t xml:space="preserve">The </w:t>
      </w:r>
      <w:r w:rsidR="003B39AA" w:rsidRPr="00604C75">
        <w:rPr>
          <w:sz w:val="20"/>
          <w:szCs w:val="20"/>
        </w:rPr>
        <w:t>Group</w:t>
      </w:r>
      <w:r w:rsidRPr="00604C75">
        <w:rPr>
          <w:sz w:val="20"/>
          <w:szCs w:val="20"/>
        </w:rPr>
        <w:t xml:space="preserve"> has not encountered to any significant interest rate risk in last </w:t>
      </w:r>
      <w:r w:rsidR="00236FB9">
        <w:rPr>
          <w:sz w:val="20"/>
          <w:szCs w:val="20"/>
        </w:rPr>
        <w:t>period</w:t>
      </w:r>
      <w:r w:rsidRPr="00604C75">
        <w:rPr>
          <w:sz w:val="20"/>
          <w:szCs w:val="20"/>
        </w:rPr>
        <w:t>.</w:t>
      </w:r>
    </w:p>
    <w:p w14:paraId="4D98AD8B" w14:textId="77777777" w:rsidR="005E33B0" w:rsidRPr="00604C75" w:rsidRDefault="005E33B0" w:rsidP="00FB0A23">
      <w:pPr>
        <w:jc w:val="both"/>
        <w:rPr>
          <w:sz w:val="16"/>
          <w:szCs w:val="16"/>
        </w:rPr>
      </w:pPr>
    </w:p>
    <w:p w14:paraId="75469857" w14:textId="77777777" w:rsidR="005E33B0" w:rsidRPr="00604C75" w:rsidRDefault="005E33B0" w:rsidP="00FB0A23">
      <w:pPr>
        <w:jc w:val="both"/>
        <w:rPr>
          <w:sz w:val="20"/>
          <w:szCs w:val="20"/>
        </w:rPr>
      </w:pPr>
      <w:r w:rsidRPr="00604C75">
        <w:rPr>
          <w:sz w:val="20"/>
          <w:szCs w:val="20"/>
        </w:rPr>
        <w:t>Average interest rates applied to monetary financial instruments reflect market rates.</w:t>
      </w:r>
    </w:p>
    <w:p w14:paraId="304F428F" w14:textId="77777777" w:rsidR="005E33B0" w:rsidRPr="00604C75" w:rsidRDefault="005E33B0" w:rsidP="00FB0A23">
      <w:pPr>
        <w:jc w:val="both"/>
        <w:rPr>
          <w:bCs/>
          <w:sz w:val="16"/>
          <w:szCs w:val="16"/>
        </w:rPr>
      </w:pPr>
    </w:p>
    <w:p w14:paraId="662ADD5B" w14:textId="77777777" w:rsidR="00224102" w:rsidRDefault="00224102">
      <w:pPr>
        <w:spacing w:after="200" w:line="276" w:lineRule="auto"/>
        <w:rPr>
          <w:b/>
          <w:sz w:val="20"/>
          <w:szCs w:val="20"/>
        </w:rPr>
      </w:pPr>
      <w:r>
        <w:rPr>
          <w:b/>
          <w:sz w:val="20"/>
          <w:szCs w:val="20"/>
        </w:rPr>
        <w:br w:type="page"/>
      </w:r>
    </w:p>
    <w:p w14:paraId="70A85EBC" w14:textId="29931B6B" w:rsidR="00224102" w:rsidRPr="00B85547" w:rsidRDefault="00A041CD" w:rsidP="00490153">
      <w:pPr>
        <w:spacing w:before="120"/>
        <w:rPr>
          <w:b/>
          <w:sz w:val="20"/>
          <w:szCs w:val="20"/>
        </w:rPr>
      </w:pPr>
      <w:r w:rsidRPr="00A041CD">
        <w:rPr>
          <w:b/>
          <w:sz w:val="20"/>
          <w:szCs w:val="20"/>
        </w:rPr>
        <w:lastRenderedPageBreak/>
        <w:t>INFORMATION ON THE FINANCIAL POSITION OF THE GROUP (Continued)</w:t>
      </w:r>
    </w:p>
    <w:p w14:paraId="78407550" w14:textId="00D3A121" w:rsidR="00224102" w:rsidRPr="00224102" w:rsidRDefault="00224102" w:rsidP="00490153">
      <w:pPr>
        <w:pStyle w:val="Heading2"/>
        <w:rPr>
          <w:rFonts w:ascii="Times New Roman" w:hAnsi="Times New Roman"/>
          <w:sz w:val="20"/>
        </w:rPr>
      </w:pPr>
      <w:r w:rsidRPr="00604C75">
        <w:rPr>
          <w:rFonts w:ascii="Times New Roman" w:hAnsi="Times New Roman"/>
          <w:caps/>
          <w:sz w:val="20"/>
        </w:rPr>
        <w:t>V</w:t>
      </w:r>
      <w:r>
        <w:rPr>
          <w:rFonts w:ascii="Times New Roman" w:hAnsi="Times New Roman"/>
          <w:caps/>
          <w:sz w:val="20"/>
        </w:rPr>
        <w:t>I</w:t>
      </w:r>
      <w:r w:rsidRPr="00604C75">
        <w:rPr>
          <w:rFonts w:ascii="Times New Roman" w:hAnsi="Times New Roman"/>
          <w:caps/>
          <w:sz w:val="20"/>
        </w:rPr>
        <w:t xml:space="preserve">.    </w:t>
      </w:r>
      <w:r w:rsidRPr="00604C75">
        <w:rPr>
          <w:rFonts w:ascii="Times New Roman" w:hAnsi="Times New Roman"/>
          <w:noProof/>
          <w:sz w:val="20"/>
        </w:rPr>
        <w:t>Explanations</w:t>
      </w:r>
      <w:r w:rsidRPr="00604C75" w:rsidDel="002814FB">
        <w:rPr>
          <w:rFonts w:ascii="Times New Roman" w:hAnsi="Times New Roman"/>
          <w:caps/>
          <w:sz w:val="20"/>
        </w:rPr>
        <w:t xml:space="preserve"> </w:t>
      </w:r>
      <w:r w:rsidRPr="00604C75">
        <w:rPr>
          <w:rFonts w:ascii="Times New Roman" w:hAnsi="Times New Roman"/>
          <w:sz w:val="20"/>
        </w:rPr>
        <w:t>on</w:t>
      </w:r>
      <w:r w:rsidRPr="00604C75">
        <w:rPr>
          <w:rFonts w:ascii="Times New Roman" w:hAnsi="Times New Roman"/>
          <w:caps/>
          <w:sz w:val="20"/>
        </w:rPr>
        <w:t xml:space="preserve"> </w:t>
      </w:r>
      <w:r w:rsidRPr="00604C75">
        <w:rPr>
          <w:rFonts w:ascii="Times New Roman" w:hAnsi="Times New Roman"/>
          <w:sz w:val="20"/>
        </w:rPr>
        <w:t>Interest Rate Risk</w:t>
      </w:r>
      <w:r w:rsidRPr="00604C75" w:rsidDel="002814FB">
        <w:rPr>
          <w:rFonts w:ascii="Times New Roman" w:hAnsi="Times New Roman"/>
          <w:caps/>
          <w:sz w:val="20"/>
        </w:rPr>
        <w:t xml:space="preserve"> </w:t>
      </w:r>
      <w:r w:rsidRPr="00224102">
        <w:rPr>
          <w:rFonts w:ascii="Times New Roman" w:hAnsi="Times New Roman"/>
          <w:sz w:val="20"/>
        </w:rPr>
        <w:t>(Continued)</w:t>
      </w:r>
    </w:p>
    <w:p w14:paraId="6BB932A6" w14:textId="41940259" w:rsidR="005E33B0" w:rsidRPr="00604C75" w:rsidRDefault="005E33B0" w:rsidP="00490153">
      <w:pPr>
        <w:pStyle w:val="BodyTextIndent"/>
        <w:tabs>
          <w:tab w:val="left" w:pos="426"/>
        </w:tabs>
        <w:spacing w:before="120" w:after="0"/>
        <w:ind w:left="0"/>
        <w:rPr>
          <w:b/>
          <w:sz w:val="20"/>
          <w:szCs w:val="20"/>
        </w:rPr>
      </w:pPr>
      <w:r w:rsidRPr="00604C75">
        <w:rPr>
          <w:b/>
          <w:sz w:val="20"/>
          <w:szCs w:val="20"/>
        </w:rPr>
        <w:t>a.</w:t>
      </w:r>
      <w:r w:rsidRPr="00604C75">
        <w:rPr>
          <w:b/>
          <w:sz w:val="20"/>
          <w:szCs w:val="20"/>
        </w:rPr>
        <w:tab/>
        <w:t xml:space="preserve">Interest rate sensitivity of assets, liabilities and off-balance sheet items </w:t>
      </w:r>
      <w:r w:rsidR="001A7587" w:rsidRPr="00604C75">
        <w:rPr>
          <w:b/>
          <w:sz w:val="20"/>
          <w:szCs w:val="20"/>
        </w:rPr>
        <w:t>(</w:t>
      </w:r>
      <w:r w:rsidRPr="00604C75">
        <w:rPr>
          <w:b/>
          <w:sz w:val="20"/>
          <w:szCs w:val="20"/>
        </w:rPr>
        <w:t>based on re-</w:t>
      </w:r>
      <w:r w:rsidR="00A17D40" w:rsidRPr="00604C75">
        <w:rPr>
          <w:b/>
          <w:sz w:val="20"/>
          <w:szCs w:val="20"/>
        </w:rPr>
        <w:t>pricing dates</w:t>
      </w:r>
      <w:r w:rsidR="001A7587" w:rsidRPr="00604C75">
        <w:rPr>
          <w:b/>
          <w:sz w:val="20"/>
          <w:szCs w:val="20"/>
        </w:rPr>
        <w:t>)</w:t>
      </w:r>
    </w:p>
    <w:p w14:paraId="3AD90E2E" w14:textId="77777777" w:rsidR="005E33B0" w:rsidRPr="00604C75" w:rsidRDefault="005E33B0" w:rsidP="00FB0A23">
      <w:pPr>
        <w:pStyle w:val="BodyTextIndent"/>
        <w:tabs>
          <w:tab w:val="left" w:pos="1276"/>
        </w:tabs>
        <w:spacing w:after="0"/>
        <w:ind w:left="0"/>
        <w:rPr>
          <w:bCs/>
          <w:sz w:val="16"/>
          <w:szCs w:val="16"/>
        </w:rPr>
      </w:pPr>
    </w:p>
    <w:tbl>
      <w:tblPr>
        <w:tblW w:w="935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746"/>
        <w:gridCol w:w="913"/>
        <w:gridCol w:w="921"/>
        <w:gridCol w:w="961"/>
        <w:gridCol w:w="961"/>
        <w:gridCol w:w="961"/>
        <w:gridCol w:w="1047"/>
        <w:gridCol w:w="840"/>
      </w:tblGrid>
      <w:tr w:rsidR="005E33B0" w:rsidRPr="00604C75" w14:paraId="30A60976" w14:textId="77777777" w:rsidTr="00B85547">
        <w:trPr>
          <w:trHeight w:val="571"/>
        </w:trPr>
        <w:tc>
          <w:tcPr>
            <w:tcW w:w="2746" w:type="dxa"/>
            <w:shd w:val="clear" w:color="auto" w:fill="auto"/>
            <w:vAlign w:val="bottom"/>
          </w:tcPr>
          <w:p w14:paraId="3401C890" w14:textId="77777777" w:rsidR="005E33B0" w:rsidRPr="00604C75" w:rsidRDefault="00D742B6" w:rsidP="00D742B6">
            <w:pPr>
              <w:rPr>
                <w:b/>
                <w:snapToGrid w:val="0"/>
                <w:sz w:val="18"/>
                <w:szCs w:val="18"/>
              </w:rPr>
            </w:pPr>
            <w:r>
              <w:rPr>
                <w:b/>
                <w:sz w:val="18"/>
                <w:szCs w:val="18"/>
              </w:rPr>
              <w:t>31</w:t>
            </w:r>
            <w:r w:rsidR="00F51CB2">
              <w:rPr>
                <w:b/>
                <w:sz w:val="18"/>
                <w:szCs w:val="18"/>
              </w:rPr>
              <w:t xml:space="preserve"> </w:t>
            </w:r>
            <w:r>
              <w:rPr>
                <w:b/>
                <w:sz w:val="18"/>
                <w:szCs w:val="18"/>
              </w:rPr>
              <w:t>December</w:t>
            </w:r>
            <w:r w:rsidR="00345FEB" w:rsidRPr="00604C75">
              <w:rPr>
                <w:b/>
                <w:sz w:val="18"/>
                <w:szCs w:val="18"/>
              </w:rPr>
              <w:t xml:space="preserve"> 2015</w:t>
            </w:r>
          </w:p>
        </w:tc>
        <w:tc>
          <w:tcPr>
            <w:tcW w:w="913" w:type="dxa"/>
            <w:shd w:val="clear" w:color="auto" w:fill="auto"/>
            <w:vAlign w:val="bottom"/>
          </w:tcPr>
          <w:p w14:paraId="43780B96" w14:textId="77777777" w:rsidR="005E33B0" w:rsidRPr="00604C75" w:rsidRDefault="005E33B0" w:rsidP="00FB0A23">
            <w:pPr>
              <w:jc w:val="right"/>
              <w:rPr>
                <w:b/>
                <w:snapToGrid w:val="0"/>
                <w:sz w:val="18"/>
                <w:szCs w:val="18"/>
              </w:rPr>
            </w:pPr>
            <w:r w:rsidRPr="00604C75">
              <w:rPr>
                <w:b/>
                <w:snapToGrid w:val="0"/>
                <w:sz w:val="18"/>
                <w:szCs w:val="18"/>
              </w:rPr>
              <w:t>Up to 1 Month</w:t>
            </w:r>
          </w:p>
        </w:tc>
        <w:tc>
          <w:tcPr>
            <w:tcW w:w="921" w:type="dxa"/>
            <w:shd w:val="clear" w:color="auto" w:fill="auto"/>
            <w:vAlign w:val="bottom"/>
          </w:tcPr>
          <w:p w14:paraId="6F615A12" w14:textId="77777777" w:rsidR="005E33B0" w:rsidRPr="00604C75" w:rsidRDefault="005E33B0" w:rsidP="00FB0A23">
            <w:pPr>
              <w:jc w:val="right"/>
              <w:rPr>
                <w:b/>
                <w:snapToGrid w:val="0"/>
                <w:sz w:val="18"/>
                <w:szCs w:val="18"/>
              </w:rPr>
            </w:pPr>
            <w:r w:rsidRPr="00604C75">
              <w:rPr>
                <w:b/>
                <w:snapToGrid w:val="0"/>
                <w:sz w:val="18"/>
                <w:szCs w:val="18"/>
              </w:rPr>
              <w:t>1-3 Months</w:t>
            </w:r>
          </w:p>
        </w:tc>
        <w:tc>
          <w:tcPr>
            <w:tcW w:w="961" w:type="dxa"/>
            <w:shd w:val="clear" w:color="auto" w:fill="auto"/>
            <w:vAlign w:val="bottom"/>
          </w:tcPr>
          <w:p w14:paraId="04C969EA" w14:textId="77777777" w:rsidR="005E33B0" w:rsidRPr="00604C75" w:rsidRDefault="005E33B0" w:rsidP="00FB0A23">
            <w:pPr>
              <w:jc w:val="right"/>
              <w:rPr>
                <w:b/>
                <w:snapToGrid w:val="0"/>
                <w:sz w:val="18"/>
                <w:szCs w:val="18"/>
              </w:rPr>
            </w:pPr>
            <w:r w:rsidRPr="00604C75">
              <w:rPr>
                <w:b/>
                <w:snapToGrid w:val="0"/>
                <w:sz w:val="18"/>
                <w:szCs w:val="18"/>
              </w:rPr>
              <w:t>3-12 Months</w:t>
            </w:r>
          </w:p>
        </w:tc>
        <w:tc>
          <w:tcPr>
            <w:tcW w:w="961" w:type="dxa"/>
            <w:shd w:val="clear" w:color="auto" w:fill="auto"/>
            <w:vAlign w:val="bottom"/>
          </w:tcPr>
          <w:p w14:paraId="3DF0F5C6" w14:textId="77777777" w:rsidR="005E33B0" w:rsidRPr="00604C75" w:rsidRDefault="005E33B0" w:rsidP="00FB0A23">
            <w:pPr>
              <w:jc w:val="right"/>
              <w:rPr>
                <w:b/>
                <w:snapToGrid w:val="0"/>
                <w:sz w:val="18"/>
                <w:szCs w:val="18"/>
              </w:rPr>
            </w:pPr>
            <w:r w:rsidRPr="00604C75">
              <w:rPr>
                <w:b/>
                <w:snapToGrid w:val="0"/>
                <w:sz w:val="18"/>
                <w:szCs w:val="18"/>
              </w:rPr>
              <w:t>1-5</w:t>
            </w:r>
          </w:p>
          <w:p w14:paraId="60117682" w14:textId="77777777" w:rsidR="005E33B0" w:rsidRPr="00604C75" w:rsidRDefault="005E33B0" w:rsidP="00FB0A23">
            <w:pPr>
              <w:jc w:val="right"/>
              <w:rPr>
                <w:b/>
                <w:snapToGrid w:val="0"/>
                <w:sz w:val="18"/>
                <w:szCs w:val="18"/>
              </w:rPr>
            </w:pPr>
            <w:r w:rsidRPr="00604C75">
              <w:rPr>
                <w:b/>
                <w:snapToGrid w:val="0"/>
                <w:sz w:val="18"/>
                <w:szCs w:val="18"/>
              </w:rPr>
              <w:t>Years</w:t>
            </w:r>
          </w:p>
        </w:tc>
        <w:tc>
          <w:tcPr>
            <w:tcW w:w="961" w:type="dxa"/>
            <w:shd w:val="clear" w:color="auto" w:fill="auto"/>
            <w:vAlign w:val="bottom"/>
          </w:tcPr>
          <w:p w14:paraId="18FC414E" w14:textId="77777777" w:rsidR="005E33B0" w:rsidRPr="00604C75" w:rsidRDefault="005E33B0" w:rsidP="00FB0A23">
            <w:pPr>
              <w:jc w:val="right"/>
              <w:rPr>
                <w:b/>
                <w:snapToGrid w:val="0"/>
                <w:sz w:val="18"/>
                <w:szCs w:val="18"/>
              </w:rPr>
            </w:pPr>
            <w:r w:rsidRPr="00604C75">
              <w:rPr>
                <w:b/>
                <w:bCs/>
                <w:snapToGrid w:val="0"/>
                <w:sz w:val="18"/>
                <w:szCs w:val="18"/>
              </w:rPr>
              <w:t>5 Years and Over</w:t>
            </w:r>
          </w:p>
        </w:tc>
        <w:tc>
          <w:tcPr>
            <w:tcW w:w="1047" w:type="dxa"/>
            <w:shd w:val="clear" w:color="auto" w:fill="auto"/>
            <w:vAlign w:val="bottom"/>
          </w:tcPr>
          <w:p w14:paraId="20620C47" w14:textId="77777777" w:rsidR="005E33B0" w:rsidRPr="00604C75" w:rsidRDefault="005E33B0" w:rsidP="00B85547">
            <w:pPr>
              <w:jc w:val="right"/>
              <w:rPr>
                <w:b/>
                <w:snapToGrid w:val="0"/>
                <w:sz w:val="18"/>
                <w:szCs w:val="18"/>
              </w:rPr>
            </w:pPr>
            <w:r w:rsidRPr="00604C75">
              <w:rPr>
                <w:b/>
                <w:snapToGrid w:val="0"/>
                <w:sz w:val="18"/>
                <w:szCs w:val="18"/>
              </w:rPr>
              <w:t>Non-Interest Bearing</w:t>
            </w:r>
          </w:p>
        </w:tc>
        <w:tc>
          <w:tcPr>
            <w:tcW w:w="840" w:type="dxa"/>
            <w:shd w:val="clear" w:color="auto" w:fill="auto"/>
            <w:vAlign w:val="bottom"/>
          </w:tcPr>
          <w:p w14:paraId="6C7DC972" w14:textId="77777777" w:rsidR="005E33B0" w:rsidRPr="00604C75" w:rsidRDefault="005E33B0" w:rsidP="00FB0A23">
            <w:pPr>
              <w:jc w:val="right"/>
              <w:rPr>
                <w:b/>
                <w:snapToGrid w:val="0"/>
                <w:sz w:val="18"/>
                <w:szCs w:val="18"/>
              </w:rPr>
            </w:pPr>
            <w:r w:rsidRPr="00604C75">
              <w:rPr>
                <w:b/>
                <w:snapToGrid w:val="0"/>
                <w:sz w:val="18"/>
                <w:szCs w:val="18"/>
              </w:rPr>
              <w:t>Total</w:t>
            </w:r>
          </w:p>
        </w:tc>
      </w:tr>
      <w:tr w:rsidR="005E33B0" w:rsidRPr="00604C75" w14:paraId="33FCC9C4" w14:textId="77777777" w:rsidTr="00B85547">
        <w:trPr>
          <w:trHeight w:val="184"/>
        </w:trPr>
        <w:tc>
          <w:tcPr>
            <w:tcW w:w="2746" w:type="dxa"/>
            <w:shd w:val="clear" w:color="auto" w:fill="auto"/>
            <w:vAlign w:val="bottom"/>
          </w:tcPr>
          <w:p w14:paraId="6CC5AED5" w14:textId="77777777" w:rsidR="005E33B0" w:rsidRPr="00604C75" w:rsidRDefault="005E33B0" w:rsidP="00FB0A23">
            <w:pPr>
              <w:jc w:val="both"/>
              <w:rPr>
                <w:snapToGrid w:val="0"/>
                <w:sz w:val="18"/>
                <w:szCs w:val="18"/>
              </w:rPr>
            </w:pPr>
          </w:p>
        </w:tc>
        <w:tc>
          <w:tcPr>
            <w:tcW w:w="913" w:type="dxa"/>
            <w:shd w:val="clear" w:color="auto" w:fill="auto"/>
            <w:vAlign w:val="bottom"/>
          </w:tcPr>
          <w:p w14:paraId="76D11FB4" w14:textId="77777777" w:rsidR="005E33B0" w:rsidRPr="00604C75" w:rsidRDefault="005E33B0" w:rsidP="00FB0A23">
            <w:pPr>
              <w:jc w:val="right"/>
              <w:rPr>
                <w:snapToGrid w:val="0"/>
                <w:sz w:val="18"/>
                <w:szCs w:val="18"/>
              </w:rPr>
            </w:pPr>
          </w:p>
        </w:tc>
        <w:tc>
          <w:tcPr>
            <w:tcW w:w="921" w:type="dxa"/>
            <w:shd w:val="clear" w:color="auto" w:fill="auto"/>
            <w:vAlign w:val="bottom"/>
          </w:tcPr>
          <w:p w14:paraId="4FBA462F" w14:textId="77777777" w:rsidR="005E33B0" w:rsidRPr="00604C75" w:rsidRDefault="005E33B0" w:rsidP="00FB0A23">
            <w:pPr>
              <w:jc w:val="right"/>
              <w:rPr>
                <w:snapToGrid w:val="0"/>
                <w:sz w:val="18"/>
                <w:szCs w:val="18"/>
              </w:rPr>
            </w:pPr>
          </w:p>
        </w:tc>
        <w:tc>
          <w:tcPr>
            <w:tcW w:w="961" w:type="dxa"/>
            <w:shd w:val="clear" w:color="auto" w:fill="auto"/>
            <w:vAlign w:val="bottom"/>
          </w:tcPr>
          <w:p w14:paraId="3823546A" w14:textId="77777777" w:rsidR="005E33B0" w:rsidRPr="00604C75" w:rsidRDefault="005E33B0" w:rsidP="00FB0A23">
            <w:pPr>
              <w:jc w:val="right"/>
              <w:rPr>
                <w:snapToGrid w:val="0"/>
                <w:sz w:val="18"/>
                <w:szCs w:val="18"/>
              </w:rPr>
            </w:pPr>
          </w:p>
        </w:tc>
        <w:tc>
          <w:tcPr>
            <w:tcW w:w="961" w:type="dxa"/>
            <w:shd w:val="clear" w:color="auto" w:fill="auto"/>
            <w:vAlign w:val="bottom"/>
          </w:tcPr>
          <w:p w14:paraId="3E6A2A18" w14:textId="77777777" w:rsidR="005E33B0" w:rsidRPr="00604C75" w:rsidRDefault="005E33B0" w:rsidP="00FB0A23">
            <w:pPr>
              <w:jc w:val="right"/>
              <w:rPr>
                <w:snapToGrid w:val="0"/>
                <w:sz w:val="18"/>
                <w:szCs w:val="18"/>
              </w:rPr>
            </w:pPr>
          </w:p>
        </w:tc>
        <w:tc>
          <w:tcPr>
            <w:tcW w:w="961" w:type="dxa"/>
            <w:shd w:val="clear" w:color="auto" w:fill="auto"/>
            <w:vAlign w:val="bottom"/>
          </w:tcPr>
          <w:p w14:paraId="09DDAE6B" w14:textId="77777777" w:rsidR="005E33B0" w:rsidRPr="00604C75" w:rsidRDefault="005E33B0" w:rsidP="00FB0A23">
            <w:pPr>
              <w:jc w:val="right"/>
              <w:rPr>
                <w:snapToGrid w:val="0"/>
                <w:sz w:val="18"/>
                <w:szCs w:val="18"/>
              </w:rPr>
            </w:pPr>
          </w:p>
        </w:tc>
        <w:tc>
          <w:tcPr>
            <w:tcW w:w="1047" w:type="dxa"/>
            <w:shd w:val="clear" w:color="auto" w:fill="auto"/>
            <w:vAlign w:val="bottom"/>
          </w:tcPr>
          <w:p w14:paraId="1878EE3B" w14:textId="77777777" w:rsidR="005E33B0" w:rsidRPr="00604C75" w:rsidRDefault="005E33B0" w:rsidP="00FB0A23">
            <w:pPr>
              <w:jc w:val="right"/>
              <w:rPr>
                <w:snapToGrid w:val="0"/>
                <w:sz w:val="18"/>
                <w:szCs w:val="18"/>
              </w:rPr>
            </w:pPr>
          </w:p>
        </w:tc>
        <w:tc>
          <w:tcPr>
            <w:tcW w:w="840" w:type="dxa"/>
            <w:shd w:val="clear" w:color="auto" w:fill="auto"/>
            <w:vAlign w:val="bottom"/>
          </w:tcPr>
          <w:p w14:paraId="7257F91D" w14:textId="77777777" w:rsidR="005E33B0" w:rsidRPr="00604C75" w:rsidRDefault="005E33B0" w:rsidP="00FB0A23">
            <w:pPr>
              <w:jc w:val="right"/>
              <w:rPr>
                <w:snapToGrid w:val="0"/>
                <w:sz w:val="18"/>
                <w:szCs w:val="18"/>
              </w:rPr>
            </w:pPr>
          </w:p>
        </w:tc>
      </w:tr>
      <w:tr w:rsidR="005E33B0" w:rsidRPr="00604C75" w14:paraId="28CE785D" w14:textId="77777777" w:rsidTr="00B85547">
        <w:trPr>
          <w:trHeight w:val="295"/>
        </w:trPr>
        <w:tc>
          <w:tcPr>
            <w:tcW w:w="2746" w:type="dxa"/>
            <w:shd w:val="clear" w:color="auto" w:fill="auto"/>
            <w:vAlign w:val="bottom"/>
          </w:tcPr>
          <w:p w14:paraId="03D54457" w14:textId="77777777" w:rsidR="005E33B0" w:rsidRPr="00604C75" w:rsidRDefault="005E33B0" w:rsidP="00FB0A23">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lang w:val="en-US"/>
              </w:rPr>
            </w:pPr>
            <w:r w:rsidRPr="00604C75">
              <w:rPr>
                <w:rFonts w:eastAsia="Times New Roman"/>
                <w:b/>
                <w:snapToGrid w:val="0"/>
                <w:lang w:val="en-US"/>
              </w:rPr>
              <w:t>Assets</w:t>
            </w:r>
          </w:p>
        </w:tc>
        <w:tc>
          <w:tcPr>
            <w:tcW w:w="913" w:type="dxa"/>
            <w:shd w:val="clear" w:color="auto" w:fill="auto"/>
            <w:vAlign w:val="bottom"/>
          </w:tcPr>
          <w:p w14:paraId="27AB72CE" w14:textId="77777777" w:rsidR="005E33B0" w:rsidRPr="00604C75" w:rsidRDefault="005E33B0" w:rsidP="00FB0A23">
            <w:pPr>
              <w:jc w:val="right"/>
              <w:rPr>
                <w:sz w:val="18"/>
                <w:szCs w:val="18"/>
              </w:rPr>
            </w:pPr>
          </w:p>
        </w:tc>
        <w:tc>
          <w:tcPr>
            <w:tcW w:w="921" w:type="dxa"/>
            <w:shd w:val="clear" w:color="auto" w:fill="auto"/>
            <w:vAlign w:val="bottom"/>
          </w:tcPr>
          <w:p w14:paraId="77602153" w14:textId="77777777" w:rsidR="005E33B0" w:rsidRPr="00604C75" w:rsidRDefault="005E33B0" w:rsidP="00FB0A23">
            <w:pPr>
              <w:jc w:val="right"/>
              <w:rPr>
                <w:sz w:val="18"/>
                <w:szCs w:val="18"/>
              </w:rPr>
            </w:pPr>
          </w:p>
        </w:tc>
        <w:tc>
          <w:tcPr>
            <w:tcW w:w="961" w:type="dxa"/>
            <w:shd w:val="clear" w:color="auto" w:fill="auto"/>
            <w:vAlign w:val="bottom"/>
          </w:tcPr>
          <w:p w14:paraId="3DEB5AD9" w14:textId="77777777" w:rsidR="005E33B0" w:rsidRPr="00604C75" w:rsidRDefault="005E33B0" w:rsidP="00FB0A23">
            <w:pPr>
              <w:jc w:val="right"/>
              <w:rPr>
                <w:sz w:val="18"/>
                <w:szCs w:val="18"/>
              </w:rPr>
            </w:pPr>
          </w:p>
        </w:tc>
        <w:tc>
          <w:tcPr>
            <w:tcW w:w="961" w:type="dxa"/>
            <w:shd w:val="clear" w:color="auto" w:fill="auto"/>
            <w:vAlign w:val="bottom"/>
          </w:tcPr>
          <w:p w14:paraId="09090DAD" w14:textId="77777777" w:rsidR="005E33B0" w:rsidRPr="00604C75" w:rsidRDefault="005E33B0" w:rsidP="00FB0A23">
            <w:pPr>
              <w:jc w:val="right"/>
              <w:rPr>
                <w:sz w:val="18"/>
                <w:szCs w:val="18"/>
              </w:rPr>
            </w:pPr>
          </w:p>
        </w:tc>
        <w:tc>
          <w:tcPr>
            <w:tcW w:w="961" w:type="dxa"/>
            <w:shd w:val="clear" w:color="auto" w:fill="auto"/>
            <w:vAlign w:val="bottom"/>
          </w:tcPr>
          <w:p w14:paraId="3B5E6D54" w14:textId="77777777" w:rsidR="005E33B0" w:rsidRPr="00604C75" w:rsidRDefault="005E33B0" w:rsidP="00FB0A23">
            <w:pPr>
              <w:jc w:val="right"/>
              <w:rPr>
                <w:sz w:val="18"/>
                <w:szCs w:val="18"/>
              </w:rPr>
            </w:pPr>
          </w:p>
        </w:tc>
        <w:tc>
          <w:tcPr>
            <w:tcW w:w="1047" w:type="dxa"/>
            <w:shd w:val="clear" w:color="auto" w:fill="auto"/>
            <w:vAlign w:val="bottom"/>
          </w:tcPr>
          <w:p w14:paraId="3095144C" w14:textId="77777777" w:rsidR="005E33B0" w:rsidRPr="00604C75" w:rsidRDefault="005E33B0" w:rsidP="00FB0A23">
            <w:pPr>
              <w:jc w:val="right"/>
              <w:rPr>
                <w:sz w:val="18"/>
                <w:szCs w:val="18"/>
              </w:rPr>
            </w:pPr>
          </w:p>
        </w:tc>
        <w:tc>
          <w:tcPr>
            <w:tcW w:w="840" w:type="dxa"/>
            <w:shd w:val="clear" w:color="auto" w:fill="auto"/>
            <w:vAlign w:val="bottom"/>
          </w:tcPr>
          <w:p w14:paraId="623866D9" w14:textId="77777777" w:rsidR="005E33B0" w:rsidRPr="00604C75" w:rsidRDefault="005E33B0" w:rsidP="00FB0A23">
            <w:pPr>
              <w:jc w:val="right"/>
              <w:rPr>
                <w:sz w:val="18"/>
                <w:szCs w:val="18"/>
              </w:rPr>
            </w:pPr>
          </w:p>
        </w:tc>
      </w:tr>
      <w:tr w:rsidR="00224102" w:rsidRPr="00604C75" w14:paraId="7DC41ED2" w14:textId="77777777" w:rsidTr="00B85547">
        <w:trPr>
          <w:trHeight w:val="793"/>
        </w:trPr>
        <w:tc>
          <w:tcPr>
            <w:tcW w:w="2746" w:type="dxa"/>
            <w:shd w:val="clear" w:color="auto" w:fill="auto"/>
            <w:vAlign w:val="bottom"/>
          </w:tcPr>
          <w:p w14:paraId="13EC3FFC" w14:textId="77777777" w:rsidR="00224102" w:rsidRPr="00604C75" w:rsidRDefault="00224102" w:rsidP="00224102">
            <w:pPr>
              <w:rPr>
                <w:snapToGrid w:val="0"/>
                <w:sz w:val="18"/>
                <w:szCs w:val="18"/>
              </w:rPr>
            </w:pPr>
            <w:r w:rsidRPr="00604C75">
              <w:rPr>
                <w:snapToGrid w:val="0"/>
                <w:sz w:val="18"/>
                <w:szCs w:val="18"/>
              </w:rPr>
              <w:t xml:space="preserve">Cash (Cash in Vault, Effectives, Cash in Transit, </w:t>
            </w:r>
            <w:proofErr w:type="spellStart"/>
            <w:r w:rsidRPr="00604C75">
              <w:rPr>
                <w:snapToGrid w:val="0"/>
                <w:sz w:val="18"/>
                <w:szCs w:val="18"/>
              </w:rPr>
              <w:t>Cheques</w:t>
            </w:r>
            <w:proofErr w:type="spellEnd"/>
            <w:r w:rsidRPr="00604C75">
              <w:rPr>
                <w:snapToGrid w:val="0"/>
                <w:sz w:val="18"/>
                <w:szCs w:val="18"/>
              </w:rPr>
              <w:t xml:space="preserve"> Purchased) and Balances with the Central Bank of the Republic Turkey</w:t>
            </w:r>
          </w:p>
        </w:tc>
        <w:tc>
          <w:tcPr>
            <w:tcW w:w="913" w:type="dxa"/>
            <w:shd w:val="clear" w:color="auto" w:fill="auto"/>
            <w:vAlign w:val="bottom"/>
          </w:tcPr>
          <w:p w14:paraId="695F62DD" w14:textId="731C4BFE" w:rsidR="00224102" w:rsidRPr="00EE0075" w:rsidRDefault="00224102" w:rsidP="00224102">
            <w:pPr>
              <w:jc w:val="right"/>
              <w:rPr>
                <w:sz w:val="16"/>
                <w:szCs w:val="16"/>
              </w:rPr>
            </w:pPr>
            <w:r w:rsidRPr="00825FC9">
              <w:rPr>
                <w:sz w:val="16"/>
                <w:szCs w:val="16"/>
              </w:rPr>
              <w:t>1,442,488</w:t>
            </w:r>
          </w:p>
        </w:tc>
        <w:tc>
          <w:tcPr>
            <w:tcW w:w="921" w:type="dxa"/>
            <w:shd w:val="clear" w:color="auto" w:fill="auto"/>
            <w:vAlign w:val="bottom"/>
          </w:tcPr>
          <w:p w14:paraId="0B609A98" w14:textId="4A684FA7"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141778B0" w14:textId="78303ED1"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637DA5A4" w14:textId="48FEBE31"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66487D23" w14:textId="132775FB"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05F58B86" w14:textId="6AE28F7A" w:rsidR="00224102" w:rsidRPr="00EE0075" w:rsidRDefault="00224102" w:rsidP="00224102">
            <w:pPr>
              <w:jc w:val="right"/>
              <w:rPr>
                <w:sz w:val="16"/>
                <w:szCs w:val="16"/>
              </w:rPr>
            </w:pPr>
            <w:r w:rsidRPr="00825FC9">
              <w:rPr>
                <w:sz w:val="16"/>
                <w:szCs w:val="16"/>
              </w:rPr>
              <w:t>103,010</w:t>
            </w:r>
          </w:p>
        </w:tc>
        <w:tc>
          <w:tcPr>
            <w:tcW w:w="840" w:type="dxa"/>
            <w:shd w:val="clear" w:color="auto" w:fill="auto"/>
            <w:vAlign w:val="bottom"/>
          </w:tcPr>
          <w:p w14:paraId="37F6450F" w14:textId="79BD5FC5" w:rsidR="00224102" w:rsidRPr="00EE0075" w:rsidRDefault="00224102" w:rsidP="00224102">
            <w:pPr>
              <w:jc w:val="right"/>
              <w:rPr>
                <w:sz w:val="16"/>
                <w:szCs w:val="16"/>
              </w:rPr>
            </w:pPr>
            <w:r w:rsidRPr="00825FC9">
              <w:rPr>
                <w:sz w:val="16"/>
                <w:szCs w:val="16"/>
              </w:rPr>
              <w:t>1,545,498</w:t>
            </w:r>
          </w:p>
        </w:tc>
      </w:tr>
      <w:tr w:rsidR="00224102" w:rsidRPr="00604C75" w14:paraId="6F6362FE" w14:textId="77777777" w:rsidTr="00B85547">
        <w:trPr>
          <w:trHeight w:val="184"/>
        </w:trPr>
        <w:tc>
          <w:tcPr>
            <w:tcW w:w="2746" w:type="dxa"/>
            <w:shd w:val="clear" w:color="auto" w:fill="auto"/>
            <w:vAlign w:val="bottom"/>
          </w:tcPr>
          <w:p w14:paraId="67DF5E57" w14:textId="77777777" w:rsidR="00224102" w:rsidRPr="00604C75" w:rsidRDefault="00224102" w:rsidP="00224102">
            <w:pPr>
              <w:rPr>
                <w:i/>
                <w:snapToGrid w:val="0"/>
                <w:sz w:val="18"/>
                <w:szCs w:val="18"/>
              </w:rPr>
            </w:pPr>
            <w:r w:rsidRPr="00604C75">
              <w:rPr>
                <w:snapToGrid w:val="0"/>
                <w:sz w:val="18"/>
                <w:szCs w:val="18"/>
              </w:rPr>
              <w:t>Banks</w:t>
            </w:r>
          </w:p>
        </w:tc>
        <w:tc>
          <w:tcPr>
            <w:tcW w:w="913" w:type="dxa"/>
            <w:shd w:val="clear" w:color="auto" w:fill="auto"/>
            <w:vAlign w:val="bottom"/>
          </w:tcPr>
          <w:p w14:paraId="7F3319C6" w14:textId="0DD16F0A" w:rsidR="00224102" w:rsidRPr="00EE0075" w:rsidRDefault="00224102" w:rsidP="00224102">
            <w:pPr>
              <w:jc w:val="right"/>
              <w:rPr>
                <w:sz w:val="16"/>
                <w:szCs w:val="16"/>
              </w:rPr>
            </w:pPr>
            <w:r w:rsidRPr="00825FC9">
              <w:rPr>
                <w:sz w:val="16"/>
                <w:szCs w:val="16"/>
              </w:rPr>
              <w:t>583,836</w:t>
            </w:r>
          </w:p>
        </w:tc>
        <w:tc>
          <w:tcPr>
            <w:tcW w:w="921" w:type="dxa"/>
            <w:shd w:val="clear" w:color="auto" w:fill="auto"/>
            <w:vAlign w:val="bottom"/>
          </w:tcPr>
          <w:p w14:paraId="6670CFE4" w14:textId="56341A90"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10E44D8D" w14:textId="22C31EA6"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217FC708" w14:textId="469CB816"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3E034936" w14:textId="424467DD"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1F1C6526" w14:textId="2B6935EC" w:rsidR="00224102" w:rsidRPr="00EE0075" w:rsidRDefault="00224102" w:rsidP="00224102">
            <w:pPr>
              <w:jc w:val="right"/>
              <w:rPr>
                <w:sz w:val="16"/>
                <w:szCs w:val="16"/>
              </w:rPr>
            </w:pPr>
            <w:r w:rsidRPr="00825FC9">
              <w:rPr>
                <w:sz w:val="16"/>
                <w:szCs w:val="16"/>
              </w:rPr>
              <w:t>28,160</w:t>
            </w:r>
          </w:p>
        </w:tc>
        <w:tc>
          <w:tcPr>
            <w:tcW w:w="840" w:type="dxa"/>
            <w:shd w:val="clear" w:color="auto" w:fill="auto"/>
            <w:vAlign w:val="bottom"/>
          </w:tcPr>
          <w:p w14:paraId="1F61360D" w14:textId="7013B681" w:rsidR="00224102" w:rsidRPr="00EE0075" w:rsidRDefault="00224102" w:rsidP="00224102">
            <w:pPr>
              <w:jc w:val="right"/>
              <w:rPr>
                <w:sz w:val="16"/>
                <w:szCs w:val="16"/>
              </w:rPr>
            </w:pPr>
            <w:r w:rsidRPr="00825FC9">
              <w:rPr>
                <w:sz w:val="16"/>
                <w:szCs w:val="16"/>
              </w:rPr>
              <w:t>611,996</w:t>
            </w:r>
          </w:p>
        </w:tc>
      </w:tr>
      <w:tr w:rsidR="00224102" w:rsidRPr="00604C75" w14:paraId="3F4BF634" w14:textId="77777777" w:rsidTr="00B85547">
        <w:trPr>
          <w:trHeight w:val="387"/>
        </w:trPr>
        <w:tc>
          <w:tcPr>
            <w:tcW w:w="2746" w:type="dxa"/>
            <w:shd w:val="clear" w:color="auto" w:fill="auto"/>
            <w:vAlign w:val="bottom"/>
          </w:tcPr>
          <w:p w14:paraId="52D9950C" w14:textId="77777777" w:rsidR="00224102" w:rsidRPr="00604C75" w:rsidRDefault="00224102" w:rsidP="00224102">
            <w:pPr>
              <w:rPr>
                <w:snapToGrid w:val="0"/>
                <w:sz w:val="18"/>
                <w:szCs w:val="18"/>
              </w:rPr>
            </w:pPr>
            <w:r w:rsidRPr="00604C75">
              <w:rPr>
                <w:snapToGrid w:val="0"/>
                <w:sz w:val="18"/>
                <w:szCs w:val="18"/>
              </w:rPr>
              <w:t>Financial Assets at Fair Value Through Profit and Loss</w:t>
            </w:r>
          </w:p>
        </w:tc>
        <w:tc>
          <w:tcPr>
            <w:tcW w:w="913" w:type="dxa"/>
            <w:shd w:val="clear" w:color="auto" w:fill="auto"/>
            <w:vAlign w:val="bottom"/>
          </w:tcPr>
          <w:p w14:paraId="0037C10F" w14:textId="16644608" w:rsidR="00224102" w:rsidRPr="00EE0075" w:rsidRDefault="00224102" w:rsidP="00224102">
            <w:pPr>
              <w:jc w:val="right"/>
              <w:rPr>
                <w:sz w:val="16"/>
                <w:szCs w:val="16"/>
              </w:rPr>
            </w:pPr>
            <w:r w:rsidRPr="00825FC9">
              <w:rPr>
                <w:sz w:val="16"/>
                <w:szCs w:val="16"/>
              </w:rPr>
              <w:t>4,295</w:t>
            </w:r>
          </w:p>
        </w:tc>
        <w:tc>
          <w:tcPr>
            <w:tcW w:w="921" w:type="dxa"/>
            <w:shd w:val="clear" w:color="auto" w:fill="auto"/>
            <w:vAlign w:val="bottom"/>
          </w:tcPr>
          <w:p w14:paraId="75F60BCD" w14:textId="598EF8EA" w:rsidR="00224102" w:rsidRPr="00EE0075" w:rsidRDefault="00224102" w:rsidP="00224102">
            <w:pPr>
              <w:jc w:val="right"/>
              <w:rPr>
                <w:sz w:val="16"/>
                <w:szCs w:val="16"/>
              </w:rPr>
            </w:pPr>
            <w:r w:rsidRPr="00825FC9">
              <w:rPr>
                <w:sz w:val="16"/>
                <w:szCs w:val="16"/>
              </w:rPr>
              <w:t>3,507</w:t>
            </w:r>
          </w:p>
        </w:tc>
        <w:tc>
          <w:tcPr>
            <w:tcW w:w="961" w:type="dxa"/>
            <w:shd w:val="clear" w:color="auto" w:fill="auto"/>
            <w:vAlign w:val="bottom"/>
          </w:tcPr>
          <w:p w14:paraId="7B2FAFE1" w14:textId="7F7BE70F" w:rsidR="00224102" w:rsidRPr="00EE0075" w:rsidRDefault="00224102" w:rsidP="00224102">
            <w:pPr>
              <w:jc w:val="right"/>
              <w:rPr>
                <w:sz w:val="16"/>
                <w:szCs w:val="16"/>
              </w:rPr>
            </w:pPr>
            <w:r w:rsidRPr="00825FC9">
              <w:rPr>
                <w:sz w:val="16"/>
                <w:szCs w:val="16"/>
              </w:rPr>
              <w:t>19,860</w:t>
            </w:r>
          </w:p>
        </w:tc>
        <w:tc>
          <w:tcPr>
            <w:tcW w:w="961" w:type="dxa"/>
            <w:shd w:val="clear" w:color="auto" w:fill="auto"/>
            <w:vAlign w:val="bottom"/>
          </w:tcPr>
          <w:p w14:paraId="6F7B556E" w14:textId="1EB4B0CB"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69893F31" w14:textId="33D9DBDA"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514A19BC" w14:textId="2CBB5E55" w:rsidR="00224102" w:rsidRPr="00EE0075" w:rsidRDefault="00224102" w:rsidP="00224102">
            <w:pPr>
              <w:jc w:val="right"/>
              <w:rPr>
                <w:sz w:val="16"/>
                <w:szCs w:val="16"/>
              </w:rPr>
            </w:pPr>
            <w:r w:rsidRPr="00825FC9">
              <w:rPr>
                <w:sz w:val="16"/>
                <w:szCs w:val="16"/>
              </w:rPr>
              <w:t>-</w:t>
            </w:r>
          </w:p>
        </w:tc>
        <w:tc>
          <w:tcPr>
            <w:tcW w:w="840" w:type="dxa"/>
            <w:shd w:val="clear" w:color="auto" w:fill="auto"/>
            <w:vAlign w:val="bottom"/>
          </w:tcPr>
          <w:p w14:paraId="22CA2075" w14:textId="53EA5FA5" w:rsidR="00224102" w:rsidRPr="00EE0075" w:rsidRDefault="00224102" w:rsidP="00224102">
            <w:pPr>
              <w:jc w:val="right"/>
              <w:rPr>
                <w:sz w:val="16"/>
                <w:szCs w:val="16"/>
              </w:rPr>
            </w:pPr>
            <w:r w:rsidRPr="00825FC9">
              <w:rPr>
                <w:sz w:val="16"/>
                <w:szCs w:val="16"/>
              </w:rPr>
              <w:t>27,662</w:t>
            </w:r>
          </w:p>
        </w:tc>
      </w:tr>
      <w:tr w:rsidR="00224102" w:rsidRPr="00604C75" w14:paraId="00F12C00" w14:textId="77777777" w:rsidTr="00B85547">
        <w:trPr>
          <w:trHeight w:val="184"/>
        </w:trPr>
        <w:tc>
          <w:tcPr>
            <w:tcW w:w="2746" w:type="dxa"/>
            <w:shd w:val="clear" w:color="auto" w:fill="auto"/>
            <w:vAlign w:val="bottom"/>
          </w:tcPr>
          <w:p w14:paraId="60311097" w14:textId="77777777" w:rsidR="00224102" w:rsidRPr="00604C75" w:rsidRDefault="00224102" w:rsidP="00224102">
            <w:pPr>
              <w:rPr>
                <w:snapToGrid w:val="0"/>
                <w:sz w:val="18"/>
                <w:szCs w:val="18"/>
              </w:rPr>
            </w:pPr>
            <w:r w:rsidRPr="00604C75">
              <w:rPr>
                <w:snapToGrid w:val="0"/>
                <w:sz w:val="18"/>
                <w:szCs w:val="18"/>
              </w:rPr>
              <w:t>Money Market Placements</w:t>
            </w:r>
          </w:p>
        </w:tc>
        <w:tc>
          <w:tcPr>
            <w:tcW w:w="913" w:type="dxa"/>
            <w:shd w:val="clear" w:color="auto" w:fill="auto"/>
            <w:vAlign w:val="bottom"/>
          </w:tcPr>
          <w:p w14:paraId="555659AE" w14:textId="5AFE0378" w:rsidR="00224102" w:rsidRPr="00EE0075" w:rsidRDefault="00224102" w:rsidP="00224102">
            <w:pPr>
              <w:jc w:val="right"/>
              <w:rPr>
                <w:sz w:val="16"/>
                <w:szCs w:val="16"/>
              </w:rPr>
            </w:pPr>
            <w:r w:rsidRPr="00825FC9">
              <w:rPr>
                <w:sz w:val="16"/>
                <w:szCs w:val="16"/>
              </w:rPr>
              <w:t>350,105</w:t>
            </w:r>
          </w:p>
        </w:tc>
        <w:tc>
          <w:tcPr>
            <w:tcW w:w="921" w:type="dxa"/>
            <w:shd w:val="clear" w:color="auto" w:fill="auto"/>
            <w:vAlign w:val="bottom"/>
          </w:tcPr>
          <w:p w14:paraId="6CBB4678" w14:textId="41BB374C"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678B56C3" w14:textId="6588687F"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678C69B4" w14:textId="36A146E6"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10C009B1" w14:textId="2DCED7D3"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324082F9" w14:textId="28F13DAE" w:rsidR="00224102" w:rsidRPr="00EE0075" w:rsidRDefault="00224102" w:rsidP="00224102">
            <w:pPr>
              <w:jc w:val="right"/>
              <w:rPr>
                <w:sz w:val="16"/>
                <w:szCs w:val="16"/>
              </w:rPr>
            </w:pPr>
            <w:r w:rsidRPr="00825FC9">
              <w:rPr>
                <w:sz w:val="16"/>
                <w:szCs w:val="16"/>
              </w:rPr>
              <w:t>-</w:t>
            </w:r>
          </w:p>
        </w:tc>
        <w:tc>
          <w:tcPr>
            <w:tcW w:w="840" w:type="dxa"/>
            <w:shd w:val="clear" w:color="auto" w:fill="auto"/>
            <w:vAlign w:val="bottom"/>
          </w:tcPr>
          <w:p w14:paraId="6FED62B8" w14:textId="7FF597DC" w:rsidR="00224102" w:rsidRPr="00EE0075" w:rsidRDefault="00224102" w:rsidP="00224102">
            <w:pPr>
              <w:jc w:val="right"/>
              <w:rPr>
                <w:sz w:val="16"/>
                <w:szCs w:val="16"/>
              </w:rPr>
            </w:pPr>
            <w:r w:rsidRPr="00825FC9">
              <w:rPr>
                <w:sz w:val="16"/>
                <w:szCs w:val="16"/>
              </w:rPr>
              <w:t>350,105</w:t>
            </w:r>
          </w:p>
        </w:tc>
      </w:tr>
      <w:tr w:rsidR="00224102" w:rsidRPr="00604C75" w14:paraId="5B296C33" w14:textId="77777777" w:rsidTr="00B85547">
        <w:trPr>
          <w:trHeight w:val="203"/>
        </w:trPr>
        <w:tc>
          <w:tcPr>
            <w:tcW w:w="2746" w:type="dxa"/>
            <w:shd w:val="clear" w:color="auto" w:fill="auto"/>
            <w:vAlign w:val="bottom"/>
          </w:tcPr>
          <w:p w14:paraId="3F31B8EB" w14:textId="77777777" w:rsidR="00224102" w:rsidRPr="00604C75" w:rsidRDefault="00224102" w:rsidP="00224102">
            <w:pPr>
              <w:rPr>
                <w:snapToGrid w:val="0"/>
                <w:sz w:val="18"/>
                <w:szCs w:val="18"/>
              </w:rPr>
            </w:pPr>
            <w:r w:rsidRPr="00604C75">
              <w:rPr>
                <w:snapToGrid w:val="0"/>
                <w:sz w:val="18"/>
                <w:szCs w:val="18"/>
              </w:rPr>
              <w:t>Financial Assets Available-for-Sale</w:t>
            </w:r>
          </w:p>
        </w:tc>
        <w:tc>
          <w:tcPr>
            <w:tcW w:w="913" w:type="dxa"/>
            <w:shd w:val="clear" w:color="auto" w:fill="auto"/>
            <w:vAlign w:val="bottom"/>
          </w:tcPr>
          <w:p w14:paraId="718FDCB2" w14:textId="3DDAD045" w:rsidR="00224102" w:rsidRPr="00EE0075" w:rsidRDefault="00224102" w:rsidP="00224102">
            <w:pPr>
              <w:jc w:val="right"/>
              <w:rPr>
                <w:sz w:val="16"/>
                <w:szCs w:val="16"/>
              </w:rPr>
            </w:pPr>
            <w:r w:rsidRPr="00825FC9">
              <w:rPr>
                <w:sz w:val="16"/>
                <w:szCs w:val="16"/>
              </w:rPr>
              <w:t>36,578</w:t>
            </w:r>
          </w:p>
        </w:tc>
        <w:tc>
          <w:tcPr>
            <w:tcW w:w="921" w:type="dxa"/>
            <w:shd w:val="clear" w:color="auto" w:fill="auto"/>
            <w:vAlign w:val="bottom"/>
          </w:tcPr>
          <w:p w14:paraId="37128F5A" w14:textId="3066F276" w:rsidR="00224102" w:rsidRPr="00EE0075" w:rsidRDefault="00224102" w:rsidP="00224102">
            <w:pPr>
              <w:jc w:val="right"/>
              <w:rPr>
                <w:sz w:val="16"/>
                <w:szCs w:val="16"/>
              </w:rPr>
            </w:pPr>
            <w:r w:rsidRPr="00825FC9">
              <w:rPr>
                <w:sz w:val="16"/>
                <w:szCs w:val="16"/>
              </w:rPr>
              <w:t>471,265</w:t>
            </w:r>
          </w:p>
        </w:tc>
        <w:tc>
          <w:tcPr>
            <w:tcW w:w="961" w:type="dxa"/>
            <w:shd w:val="clear" w:color="auto" w:fill="auto"/>
            <w:vAlign w:val="bottom"/>
          </w:tcPr>
          <w:p w14:paraId="5E123EBE" w14:textId="0D6EB59C" w:rsidR="00224102" w:rsidRPr="00EE0075" w:rsidRDefault="00224102" w:rsidP="00224102">
            <w:pPr>
              <w:jc w:val="right"/>
              <w:rPr>
                <w:sz w:val="16"/>
                <w:szCs w:val="16"/>
              </w:rPr>
            </w:pPr>
            <w:r w:rsidRPr="00825FC9">
              <w:rPr>
                <w:sz w:val="16"/>
                <w:szCs w:val="16"/>
              </w:rPr>
              <w:t>225,045</w:t>
            </w:r>
          </w:p>
        </w:tc>
        <w:tc>
          <w:tcPr>
            <w:tcW w:w="961" w:type="dxa"/>
            <w:shd w:val="clear" w:color="auto" w:fill="auto"/>
            <w:vAlign w:val="bottom"/>
          </w:tcPr>
          <w:p w14:paraId="7CFDF110" w14:textId="2598DA22" w:rsidR="00224102" w:rsidRPr="00EE0075" w:rsidRDefault="00224102" w:rsidP="00224102">
            <w:pPr>
              <w:jc w:val="right"/>
              <w:rPr>
                <w:sz w:val="16"/>
                <w:szCs w:val="16"/>
              </w:rPr>
            </w:pPr>
            <w:r w:rsidRPr="00825FC9">
              <w:rPr>
                <w:sz w:val="16"/>
                <w:szCs w:val="16"/>
              </w:rPr>
              <w:t>49,992</w:t>
            </w:r>
          </w:p>
        </w:tc>
        <w:tc>
          <w:tcPr>
            <w:tcW w:w="961" w:type="dxa"/>
            <w:shd w:val="clear" w:color="auto" w:fill="auto"/>
            <w:vAlign w:val="bottom"/>
          </w:tcPr>
          <w:p w14:paraId="3515DE30" w14:textId="1B04E54F" w:rsidR="00224102" w:rsidRPr="00EE0075" w:rsidRDefault="00224102" w:rsidP="00224102">
            <w:pPr>
              <w:jc w:val="right"/>
              <w:rPr>
                <w:sz w:val="16"/>
                <w:szCs w:val="16"/>
              </w:rPr>
            </w:pPr>
            <w:r w:rsidRPr="00825FC9">
              <w:rPr>
                <w:sz w:val="16"/>
                <w:szCs w:val="16"/>
              </w:rPr>
              <w:t>28,341</w:t>
            </w:r>
          </w:p>
        </w:tc>
        <w:tc>
          <w:tcPr>
            <w:tcW w:w="1047" w:type="dxa"/>
            <w:shd w:val="clear" w:color="auto" w:fill="auto"/>
            <w:vAlign w:val="bottom"/>
          </w:tcPr>
          <w:p w14:paraId="22F99628" w14:textId="46D579D9" w:rsidR="00224102" w:rsidRPr="00EE0075" w:rsidRDefault="00224102" w:rsidP="00224102">
            <w:pPr>
              <w:jc w:val="right"/>
              <w:rPr>
                <w:sz w:val="16"/>
                <w:szCs w:val="16"/>
              </w:rPr>
            </w:pPr>
            <w:r w:rsidRPr="00825FC9">
              <w:rPr>
                <w:sz w:val="16"/>
                <w:szCs w:val="16"/>
              </w:rPr>
              <w:t>5,882</w:t>
            </w:r>
          </w:p>
        </w:tc>
        <w:tc>
          <w:tcPr>
            <w:tcW w:w="840" w:type="dxa"/>
            <w:shd w:val="clear" w:color="auto" w:fill="auto"/>
            <w:vAlign w:val="bottom"/>
          </w:tcPr>
          <w:p w14:paraId="5C023148" w14:textId="33C09397" w:rsidR="00224102" w:rsidRPr="00EE0075" w:rsidRDefault="00224102" w:rsidP="00224102">
            <w:pPr>
              <w:jc w:val="right"/>
              <w:rPr>
                <w:sz w:val="16"/>
                <w:szCs w:val="16"/>
              </w:rPr>
            </w:pPr>
            <w:r w:rsidRPr="00825FC9">
              <w:rPr>
                <w:sz w:val="16"/>
                <w:szCs w:val="16"/>
              </w:rPr>
              <w:t>817,103</w:t>
            </w:r>
          </w:p>
        </w:tc>
      </w:tr>
      <w:tr w:rsidR="00224102" w:rsidRPr="00604C75" w14:paraId="36B3CAC3" w14:textId="77777777" w:rsidTr="00B85547">
        <w:trPr>
          <w:trHeight w:val="184"/>
        </w:trPr>
        <w:tc>
          <w:tcPr>
            <w:tcW w:w="2746" w:type="dxa"/>
            <w:shd w:val="clear" w:color="auto" w:fill="auto"/>
            <w:vAlign w:val="bottom"/>
          </w:tcPr>
          <w:p w14:paraId="5F28C095" w14:textId="77777777" w:rsidR="00224102" w:rsidRPr="00604C75" w:rsidRDefault="00224102" w:rsidP="00224102">
            <w:pPr>
              <w:rPr>
                <w:snapToGrid w:val="0"/>
                <w:sz w:val="18"/>
                <w:szCs w:val="18"/>
              </w:rPr>
            </w:pPr>
            <w:r w:rsidRPr="00604C75">
              <w:rPr>
                <w:snapToGrid w:val="0"/>
                <w:sz w:val="18"/>
                <w:szCs w:val="18"/>
              </w:rPr>
              <w:t>Loans</w:t>
            </w:r>
          </w:p>
        </w:tc>
        <w:tc>
          <w:tcPr>
            <w:tcW w:w="913" w:type="dxa"/>
            <w:shd w:val="clear" w:color="auto" w:fill="auto"/>
            <w:vAlign w:val="bottom"/>
          </w:tcPr>
          <w:p w14:paraId="39710F16" w14:textId="36A7BDEC" w:rsidR="00224102" w:rsidRPr="00EE0075" w:rsidRDefault="00224102" w:rsidP="00224102">
            <w:pPr>
              <w:jc w:val="right"/>
              <w:rPr>
                <w:sz w:val="16"/>
                <w:szCs w:val="16"/>
              </w:rPr>
            </w:pPr>
            <w:r w:rsidRPr="00825FC9">
              <w:rPr>
                <w:sz w:val="16"/>
                <w:szCs w:val="16"/>
              </w:rPr>
              <w:t>4,347,911</w:t>
            </w:r>
          </w:p>
        </w:tc>
        <w:tc>
          <w:tcPr>
            <w:tcW w:w="921" w:type="dxa"/>
            <w:shd w:val="clear" w:color="auto" w:fill="auto"/>
            <w:vAlign w:val="bottom"/>
          </w:tcPr>
          <w:p w14:paraId="415C9B9B" w14:textId="67DC2FC3" w:rsidR="00224102" w:rsidRPr="00EE0075" w:rsidRDefault="00224102" w:rsidP="00224102">
            <w:pPr>
              <w:jc w:val="right"/>
              <w:rPr>
                <w:sz w:val="16"/>
                <w:szCs w:val="16"/>
              </w:rPr>
            </w:pPr>
            <w:r w:rsidRPr="00825FC9">
              <w:rPr>
                <w:sz w:val="16"/>
                <w:szCs w:val="16"/>
              </w:rPr>
              <w:t>461,705</w:t>
            </w:r>
          </w:p>
        </w:tc>
        <w:tc>
          <w:tcPr>
            <w:tcW w:w="961" w:type="dxa"/>
            <w:shd w:val="clear" w:color="auto" w:fill="auto"/>
            <w:vAlign w:val="bottom"/>
          </w:tcPr>
          <w:p w14:paraId="18CA5045" w14:textId="65250512" w:rsidR="00224102" w:rsidRPr="00EE0075" w:rsidRDefault="00224102" w:rsidP="00224102">
            <w:pPr>
              <w:jc w:val="right"/>
              <w:rPr>
                <w:sz w:val="16"/>
                <w:szCs w:val="16"/>
              </w:rPr>
            </w:pPr>
            <w:r w:rsidRPr="00825FC9">
              <w:rPr>
                <w:sz w:val="16"/>
                <w:szCs w:val="16"/>
              </w:rPr>
              <w:t>1,599,401</w:t>
            </w:r>
          </w:p>
        </w:tc>
        <w:tc>
          <w:tcPr>
            <w:tcW w:w="961" w:type="dxa"/>
            <w:shd w:val="clear" w:color="auto" w:fill="auto"/>
            <w:vAlign w:val="bottom"/>
          </w:tcPr>
          <w:p w14:paraId="24761B12" w14:textId="386DA25C" w:rsidR="00224102" w:rsidRPr="00EE0075" w:rsidRDefault="00224102" w:rsidP="00224102">
            <w:pPr>
              <w:jc w:val="right"/>
              <w:rPr>
                <w:sz w:val="16"/>
                <w:szCs w:val="16"/>
              </w:rPr>
            </w:pPr>
            <w:r w:rsidRPr="00825FC9">
              <w:rPr>
                <w:sz w:val="16"/>
                <w:szCs w:val="16"/>
              </w:rPr>
              <w:t>2,026,163</w:t>
            </w:r>
          </w:p>
        </w:tc>
        <w:tc>
          <w:tcPr>
            <w:tcW w:w="961" w:type="dxa"/>
            <w:shd w:val="clear" w:color="auto" w:fill="auto"/>
            <w:vAlign w:val="bottom"/>
          </w:tcPr>
          <w:p w14:paraId="61F93743" w14:textId="02E998EF" w:rsidR="00224102" w:rsidRPr="00EE0075" w:rsidRDefault="00224102" w:rsidP="00224102">
            <w:pPr>
              <w:jc w:val="right"/>
              <w:rPr>
                <w:sz w:val="16"/>
                <w:szCs w:val="16"/>
              </w:rPr>
            </w:pPr>
            <w:r w:rsidRPr="00825FC9">
              <w:rPr>
                <w:sz w:val="16"/>
                <w:szCs w:val="16"/>
              </w:rPr>
              <w:t>634,641</w:t>
            </w:r>
          </w:p>
        </w:tc>
        <w:tc>
          <w:tcPr>
            <w:tcW w:w="1047" w:type="dxa"/>
            <w:shd w:val="clear" w:color="auto" w:fill="auto"/>
            <w:vAlign w:val="bottom"/>
          </w:tcPr>
          <w:p w14:paraId="30C9E83F" w14:textId="533EC6AF" w:rsidR="00224102" w:rsidRPr="00EE0075" w:rsidRDefault="00224102" w:rsidP="00224102">
            <w:pPr>
              <w:jc w:val="right"/>
              <w:rPr>
                <w:sz w:val="16"/>
                <w:szCs w:val="16"/>
              </w:rPr>
            </w:pPr>
            <w:r w:rsidRPr="00825FC9">
              <w:rPr>
                <w:sz w:val="16"/>
                <w:szCs w:val="16"/>
              </w:rPr>
              <w:t>235,841</w:t>
            </w:r>
          </w:p>
        </w:tc>
        <w:tc>
          <w:tcPr>
            <w:tcW w:w="840" w:type="dxa"/>
            <w:shd w:val="clear" w:color="auto" w:fill="auto"/>
            <w:vAlign w:val="bottom"/>
          </w:tcPr>
          <w:p w14:paraId="4CDF89BC" w14:textId="35B758BD" w:rsidR="00224102" w:rsidRPr="00EE0075" w:rsidRDefault="00224102" w:rsidP="00224102">
            <w:pPr>
              <w:jc w:val="right"/>
              <w:rPr>
                <w:sz w:val="16"/>
                <w:szCs w:val="16"/>
              </w:rPr>
            </w:pPr>
            <w:r w:rsidRPr="00825FC9">
              <w:rPr>
                <w:sz w:val="16"/>
                <w:szCs w:val="16"/>
              </w:rPr>
              <w:t>9,305,662</w:t>
            </w:r>
          </w:p>
        </w:tc>
      </w:tr>
      <w:tr w:rsidR="00224102" w:rsidRPr="00604C75" w14:paraId="50FB4E63" w14:textId="77777777" w:rsidTr="00B85547">
        <w:trPr>
          <w:trHeight w:val="184"/>
        </w:trPr>
        <w:tc>
          <w:tcPr>
            <w:tcW w:w="2746" w:type="dxa"/>
            <w:shd w:val="clear" w:color="auto" w:fill="auto"/>
            <w:vAlign w:val="bottom"/>
          </w:tcPr>
          <w:p w14:paraId="2A767009" w14:textId="15F3725E" w:rsidR="00224102" w:rsidRPr="00604C75" w:rsidRDefault="00B85547" w:rsidP="00224102">
            <w:pPr>
              <w:rPr>
                <w:snapToGrid w:val="0"/>
                <w:sz w:val="18"/>
                <w:szCs w:val="18"/>
              </w:rPr>
            </w:pPr>
            <w:r>
              <w:rPr>
                <w:snapToGrid w:val="0"/>
                <w:sz w:val="18"/>
                <w:szCs w:val="18"/>
              </w:rPr>
              <w:t>Held-to-m</w:t>
            </w:r>
            <w:r w:rsidR="00224102" w:rsidRPr="00604C75">
              <w:rPr>
                <w:snapToGrid w:val="0"/>
                <w:sz w:val="18"/>
                <w:szCs w:val="18"/>
              </w:rPr>
              <w:t>aturity Investments</w:t>
            </w:r>
          </w:p>
        </w:tc>
        <w:tc>
          <w:tcPr>
            <w:tcW w:w="913" w:type="dxa"/>
            <w:shd w:val="clear" w:color="auto" w:fill="auto"/>
            <w:vAlign w:val="bottom"/>
          </w:tcPr>
          <w:p w14:paraId="1CB4D0E7" w14:textId="44BA48FE" w:rsidR="00224102" w:rsidRPr="00EE0075" w:rsidRDefault="00224102" w:rsidP="00224102">
            <w:pPr>
              <w:jc w:val="right"/>
              <w:rPr>
                <w:sz w:val="16"/>
                <w:szCs w:val="16"/>
              </w:rPr>
            </w:pPr>
            <w:r w:rsidRPr="00825FC9">
              <w:rPr>
                <w:sz w:val="16"/>
                <w:szCs w:val="16"/>
              </w:rPr>
              <w:t>-</w:t>
            </w:r>
          </w:p>
        </w:tc>
        <w:tc>
          <w:tcPr>
            <w:tcW w:w="921" w:type="dxa"/>
            <w:shd w:val="clear" w:color="auto" w:fill="auto"/>
            <w:vAlign w:val="bottom"/>
          </w:tcPr>
          <w:p w14:paraId="5FBEFA45" w14:textId="42578174"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3C94066D" w14:textId="643FAB91"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15C769E1" w14:textId="66BEEB49"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1E358DE5" w14:textId="70A76E81"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079143AA" w14:textId="6085860C" w:rsidR="00224102" w:rsidRPr="00EE0075" w:rsidRDefault="00224102" w:rsidP="00224102">
            <w:pPr>
              <w:jc w:val="right"/>
              <w:rPr>
                <w:sz w:val="16"/>
                <w:szCs w:val="16"/>
              </w:rPr>
            </w:pPr>
            <w:r w:rsidRPr="00825FC9">
              <w:rPr>
                <w:sz w:val="16"/>
                <w:szCs w:val="16"/>
              </w:rPr>
              <w:t>-</w:t>
            </w:r>
          </w:p>
        </w:tc>
        <w:tc>
          <w:tcPr>
            <w:tcW w:w="840" w:type="dxa"/>
            <w:shd w:val="clear" w:color="auto" w:fill="auto"/>
            <w:vAlign w:val="bottom"/>
          </w:tcPr>
          <w:p w14:paraId="6ADD9072" w14:textId="74B4C457" w:rsidR="00224102" w:rsidRPr="00EE0075" w:rsidRDefault="00224102" w:rsidP="00224102">
            <w:pPr>
              <w:jc w:val="right"/>
              <w:rPr>
                <w:sz w:val="16"/>
                <w:szCs w:val="16"/>
              </w:rPr>
            </w:pPr>
            <w:r w:rsidRPr="00825FC9">
              <w:rPr>
                <w:sz w:val="16"/>
                <w:szCs w:val="16"/>
              </w:rPr>
              <w:t>-</w:t>
            </w:r>
          </w:p>
        </w:tc>
      </w:tr>
      <w:tr w:rsidR="00224102" w:rsidRPr="00604C75" w14:paraId="55808FC3" w14:textId="77777777" w:rsidTr="00B85547">
        <w:trPr>
          <w:trHeight w:val="203"/>
        </w:trPr>
        <w:tc>
          <w:tcPr>
            <w:tcW w:w="2746" w:type="dxa"/>
            <w:shd w:val="clear" w:color="auto" w:fill="auto"/>
            <w:vAlign w:val="bottom"/>
          </w:tcPr>
          <w:p w14:paraId="53FB183C" w14:textId="22E821AE" w:rsidR="00224102" w:rsidRPr="00604C75" w:rsidRDefault="00224102" w:rsidP="00FC4811">
            <w:pPr>
              <w:rPr>
                <w:snapToGrid w:val="0"/>
                <w:sz w:val="18"/>
                <w:szCs w:val="18"/>
              </w:rPr>
            </w:pPr>
            <w:r w:rsidRPr="00604C75">
              <w:rPr>
                <w:snapToGrid w:val="0"/>
                <w:sz w:val="18"/>
                <w:szCs w:val="18"/>
              </w:rPr>
              <w:t xml:space="preserve">Other Assets </w:t>
            </w:r>
            <w:r w:rsidRPr="00604C75">
              <w:rPr>
                <w:snapToGrid w:val="0"/>
                <w:sz w:val="16"/>
                <w:szCs w:val="16"/>
              </w:rPr>
              <w:t>(*) (**)</w:t>
            </w:r>
          </w:p>
        </w:tc>
        <w:tc>
          <w:tcPr>
            <w:tcW w:w="913" w:type="dxa"/>
            <w:shd w:val="clear" w:color="auto" w:fill="auto"/>
            <w:vAlign w:val="bottom"/>
          </w:tcPr>
          <w:p w14:paraId="62DDA1B1" w14:textId="22A78AD0" w:rsidR="00224102" w:rsidRPr="00EE0075" w:rsidRDefault="00224102" w:rsidP="00224102">
            <w:pPr>
              <w:jc w:val="right"/>
              <w:rPr>
                <w:sz w:val="16"/>
                <w:szCs w:val="16"/>
              </w:rPr>
            </w:pPr>
            <w:r w:rsidRPr="00825FC9">
              <w:rPr>
                <w:sz w:val="16"/>
                <w:szCs w:val="16"/>
              </w:rPr>
              <w:t>40,798</w:t>
            </w:r>
          </w:p>
        </w:tc>
        <w:tc>
          <w:tcPr>
            <w:tcW w:w="921" w:type="dxa"/>
            <w:shd w:val="clear" w:color="auto" w:fill="auto"/>
            <w:vAlign w:val="bottom"/>
          </w:tcPr>
          <w:p w14:paraId="6B90F2B8" w14:textId="5AA24180" w:rsidR="00224102" w:rsidRPr="00EE0075" w:rsidRDefault="00224102" w:rsidP="00224102">
            <w:pPr>
              <w:jc w:val="right"/>
              <w:rPr>
                <w:sz w:val="16"/>
                <w:szCs w:val="16"/>
              </w:rPr>
            </w:pPr>
            <w:r w:rsidRPr="00825FC9">
              <w:rPr>
                <w:sz w:val="16"/>
                <w:szCs w:val="16"/>
              </w:rPr>
              <w:t>62,280</w:t>
            </w:r>
          </w:p>
        </w:tc>
        <w:tc>
          <w:tcPr>
            <w:tcW w:w="961" w:type="dxa"/>
            <w:shd w:val="clear" w:color="auto" w:fill="auto"/>
            <w:vAlign w:val="bottom"/>
          </w:tcPr>
          <w:p w14:paraId="32BC5A81" w14:textId="2B5714DF" w:rsidR="00224102" w:rsidRPr="00EE0075" w:rsidRDefault="00224102" w:rsidP="00224102">
            <w:pPr>
              <w:jc w:val="right"/>
              <w:rPr>
                <w:sz w:val="16"/>
                <w:szCs w:val="16"/>
              </w:rPr>
            </w:pPr>
            <w:r w:rsidRPr="00825FC9">
              <w:rPr>
                <w:sz w:val="16"/>
                <w:szCs w:val="16"/>
              </w:rPr>
              <w:t>242,033</w:t>
            </w:r>
          </w:p>
        </w:tc>
        <w:tc>
          <w:tcPr>
            <w:tcW w:w="961" w:type="dxa"/>
            <w:shd w:val="clear" w:color="auto" w:fill="auto"/>
            <w:vAlign w:val="bottom"/>
          </w:tcPr>
          <w:p w14:paraId="7EE8E2CC" w14:textId="13992301" w:rsidR="00224102" w:rsidRPr="00EE0075" w:rsidRDefault="00224102" w:rsidP="00224102">
            <w:pPr>
              <w:jc w:val="right"/>
              <w:rPr>
                <w:sz w:val="16"/>
                <w:szCs w:val="16"/>
              </w:rPr>
            </w:pPr>
            <w:r w:rsidRPr="00825FC9">
              <w:rPr>
                <w:sz w:val="16"/>
                <w:szCs w:val="16"/>
              </w:rPr>
              <w:t>600,875</w:t>
            </w:r>
          </w:p>
        </w:tc>
        <w:tc>
          <w:tcPr>
            <w:tcW w:w="961" w:type="dxa"/>
            <w:shd w:val="clear" w:color="auto" w:fill="auto"/>
            <w:vAlign w:val="bottom"/>
          </w:tcPr>
          <w:p w14:paraId="4751A771" w14:textId="663B389D" w:rsidR="00224102" w:rsidRPr="00EE0075" w:rsidRDefault="00224102" w:rsidP="00224102">
            <w:pPr>
              <w:jc w:val="right"/>
              <w:rPr>
                <w:sz w:val="16"/>
                <w:szCs w:val="16"/>
              </w:rPr>
            </w:pPr>
            <w:r w:rsidRPr="00825FC9">
              <w:rPr>
                <w:sz w:val="16"/>
                <w:szCs w:val="16"/>
              </w:rPr>
              <w:t>66,297</w:t>
            </w:r>
          </w:p>
        </w:tc>
        <w:tc>
          <w:tcPr>
            <w:tcW w:w="1047" w:type="dxa"/>
            <w:shd w:val="clear" w:color="auto" w:fill="auto"/>
            <w:vAlign w:val="bottom"/>
          </w:tcPr>
          <w:p w14:paraId="2291734B" w14:textId="229EB97F" w:rsidR="00224102" w:rsidRPr="00EE0075" w:rsidRDefault="00224102" w:rsidP="00224102">
            <w:pPr>
              <w:jc w:val="right"/>
              <w:rPr>
                <w:sz w:val="16"/>
                <w:szCs w:val="16"/>
              </w:rPr>
            </w:pPr>
            <w:r w:rsidRPr="00825FC9">
              <w:rPr>
                <w:sz w:val="16"/>
                <w:szCs w:val="16"/>
              </w:rPr>
              <w:t>394,514</w:t>
            </w:r>
          </w:p>
        </w:tc>
        <w:tc>
          <w:tcPr>
            <w:tcW w:w="840" w:type="dxa"/>
            <w:shd w:val="clear" w:color="auto" w:fill="auto"/>
            <w:vAlign w:val="bottom"/>
          </w:tcPr>
          <w:p w14:paraId="4100C489" w14:textId="13A69A69" w:rsidR="00224102" w:rsidRPr="00EE0075" w:rsidRDefault="00224102" w:rsidP="00224102">
            <w:pPr>
              <w:jc w:val="right"/>
              <w:rPr>
                <w:sz w:val="16"/>
                <w:szCs w:val="16"/>
              </w:rPr>
            </w:pPr>
            <w:r w:rsidRPr="00825FC9">
              <w:rPr>
                <w:sz w:val="16"/>
                <w:szCs w:val="16"/>
              </w:rPr>
              <w:t>1,406,797</w:t>
            </w:r>
          </w:p>
        </w:tc>
      </w:tr>
      <w:tr w:rsidR="00224102" w:rsidRPr="00604C75" w14:paraId="49443AA7" w14:textId="77777777" w:rsidTr="00B85547">
        <w:trPr>
          <w:trHeight w:val="184"/>
        </w:trPr>
        <w:tc>
          <w:tcPr>
            <w:tcW w:w="2746" w:type="dxa"/>
            <w:shd w:val="clear" w:color="auto" w:fill="auto"/>
            <w:vAlign w:val="bottom"/>
          </w:tcPr>
          <w:p w14:paraId="40181D6E" w14:textId="77777777" w:rsidR="00224102" w:rsidRPr="00604C75" w:rsidRDefault="00224102" w:rsidP="00224102">
            <w:pPr>
              <w:pStyle w:val="Heading9"/>
              <w:rPr>
                <w:snapToGrid w:val="0"/>
                <w:szCs w:val="18"/>
              </w:rPr>
            </w:pPr>
            <w:r w:rsidRPr="00604C75">
              <w:rPr>
                <w:snapToGrid w:val="0"/>
                <w:szCs w:val="18"/>
              </w:rPr>
              <w:t>Total Assets</w:t>
            </w:r>
          </w:p>
        </w:tc>
        <w:tc>
          <w:tcPr>
            <w:tcW w:w="913" w:type="dxa"/>
            <w:shd w:val="clear" w:color="auto" w:fill="auto"/>
            <w:vAlign w:val="bottom"/>
          </w:tcPr>
          <w:p w14:paraId="782DECE2" w14:textId="0381BF43" w:rsidR="00224102" w:rsidRPr="00EE0075" w:rsidRDefault="00224102" w:rsidP="00224102">
            <w:pPr>
              <w:jc w:val="right"/>
              <w:rPr>
                <w:b/>
                <w:sz w:val="16"/>
                <w:szCs w:val="16"/>
              </w:rPr>
            </w:pPr>
            <w:r w:rsidRPr="00825FC9">
              <w:rPr>
                <w:b/>
                <w:sz w:val="16"/>
                <w:szCs w:val="16"/>
              </w:rPr>
              <w:t>6,806,011</w:t>
            </w:r>
          </w:p>
        </w:tc>
        <w:tc>
          <w:tcPr>
            <w:tcW w:w="921" w:type="dxa"/>
            <w:shd w:val="clear" w:color="auto" w:fill="auto"/>
            <w:vAlign w:val="bottom"/>
          </w:tcPr>
          <w:p w14:paraId="14E597D6" w14:textId="5D115299" w:rsidR="00224102" w:rsidRPr="00EE0075" w:rsidRDefault="00224102" w:rsidP="00224102">
            <w:pPr>
              <w:jc w:val="right"/>
              <w:rPr>
                <w:b/>
                <w:sz w:val="16"/>
                <w:szCs w:val="16"/>
              </w:rPr>
            </w:pPr>
            <w:r w:rsidRPr="00825FC9">
              <w:rPr>
                <w:b/>
                <w:sz w:val="16"/>
                <w:szCs w:val="16"/>
              </w:rPr>
              <w:t>998,757</w:t>
            </w:r>
          </w:p>
        </w:tc>
        <w:tc>
          <w:tcPr>
            <w:tcW w:w="961" w:type="dxa"/>
            <w:shd w:val="clear" w:color="auto" w:fill="auto"/>
            <w:vAlign w:val="bottom"/>
          </w:tcPr>
          <w:p w14:paraId="46FE986D" w14:textId="535ED029" w:rsidR="00224102" w:rsidRPr="00EE0075" w:rsidRDefault="00224102" w:rsidP="00224102">
            <w:pPr>
              <w:jc w:val="right"/>
              <w:rPr>
                <w:b/>
                <w:sz w:val="16"/>
                <w:szCs w:val="16"/>
              </w:rPr>
            </w:pPr>
            <w:r w:rsidRPr="00825FC9">
              <w:rPr>
                <w:b/>
                <w:sz w:val="16"/>
                <w:szCs w:val="16"/>
              </w:rPr>
              <w:t>2,086,339</w:t>
            </w:r>
          </w:p>
        </w:tc>
        <w:tc>
          <w:tcPr>
            <w:tcW w:w="961" w:type="dxa"/>
            <w:shd w:val="clear" w:color="auto" w:fill="auto"/>
            <w:vAlign w:val="bottom"/>
          </w:tcPr>
          <w:p w14:paraId="302A6377" w14:textId="69628158" w:rsidR="00224102" w:rsidRPr="00EE0075" w:rsidRDefault="00224102" w:rsidP="00224102">
            <w:pPr>
              <w:jc w:val="right"/>
              <w:rPr>
                <w:b/>
                <w:sz w:val="16"/>
                <w:szCs w:val="16"/>
              </w:rPr>
            </w:pPr>
            <w:r w:rsidRPr="00825FC9">
              <w:rPr>
                <w:b/>
                <w:sz w:val="16"/>
                <w:szCs w:val="16"/>
              </w:rPr>
              <w:t>2,677,030</w:t>
            </w:r>
          </w:p>
        </w:tc>
        <w:tc>
          <w:tcPr>
            <w:tcW w:w="961" w:type="dxa"/>
            <w:shd w:val="clear" w:color="auto" w:fill="auto"/>
            <w:vAlign w:val="bottom"/>
          </w:tcPr>
          <w:p w14:paraId="6536AC36" w14:textId="0A8DC237" w:rsidR="00224102" w:rsidRPr="00EE0075" w:rsidRDefault="00224102" w:rsidP="00224102">
            <w:pPr>
              <w:jc w:val="right"/>
              <w:rPr>
                <w:b/>
                <w:sz w:val="16"/>
                <w:szCs w:val="16"/>
              </w:rPr>
            </w:pPr>
            <w:r w:rsidRPr="00825FC9">
              <w:rPr>
                <w:b/>
                <w:sz w:val="16"/>
                <w:szCs w:val="16"/>
              </w:rPr>
              <w:t>729,279</w:t>
            </w:r>
          </w:p>
        </w:tc>
        <w:tc>
          <w:tcPr>
            <w:tcW w:w="1047" w:type="dxa"/>
            <w:shd w:val="clear" w:color="auto" w:fill="auto"/>
            <w:vAlign w:val="bottom"/>
          </w:tcPr>
          <w:p w14:paraId="7D79879A" w14:textId="3E2C82FB" w:rsidR="00224102" w:rsidRPr="00EE0075" w:rsidRDefault="00224102" w:rsidP="00224102">
            <w:pPr>
              <w:jc w:val="right"/>
              <w:rPr>
                <w:b/>
                <w:sz w:val="16"/>
                <w:szCs w:val="16"/>
              </w:rPr>
            </w:pPr>
            <w:r w:rsidRPr="00825FC9">
              <w:rPr>
                <w:b/>
                <w:sz w:val="16"/>
                <w:szCs w:val="16"/>
              </w:rPr>
              <w:t>767,407</w:t>
            </w:r>
          </w:p>
        </w:tc>
        <w:tc>
          <w:tcPr>
            <w:tcW w:w="840" w:type="dxa"/>
            <w:shd w:val="clear" w:color="auto" w:fill="auto"/>
            <w:vAlign w:val="bottom"/>
          </w:tcPr>
          <w:p w14:paraId="3A54260B" w14:textId="2183ACB0" w:rsidR="00224102" w:rsidRPr="00EE0075" w:rsidRDefault="00224102" w:rsidP="00224102">
            <w:pPr>
              <w:jc w:val="right"/>
              <w:rPr>
                <w:b/>
                <w:sz w:val="16"/>
                <w:szCs w:val="16"/>
              </w:rPr>
            </w:pPr>
            <w:r w:rsidRPr="00825FC9">
              <w:rPr>
                <w:b/>
                <w:sz w:val="16"/>
                <w:szCs w:val="16"/>
              </w:rPr>
              <w:t>14,064,823</w:t>
            </w:r>
          </w:p>
        </w:tc>
      </w:tr>
      <w:tr w:rsidR="00224102" w:rsidRPr="00604C75" w14:paraId="24CBFABF" w14:textId="77777777" w:rsidTr="00B85547">
        <w:trPr>
          <w:trHeight w:val="222"/>
        </w:trPr>
        <w:tc>
          <w:tcPr>
            <w:tcW w:w="2746" w:type="dxa"/>
            <w:shd w:val="clear" w:color="auto" w:fill="auto"/>
            <w:vAlign w:val="bottom"/>
          </w:tcPr>
          <w:p w14:paraId="598AFD85" w14:textId="77777777" w:rsidR="00224102" w:rsidRPr="00604C75" w:rsidRDefault="00224102" w:rsidP="00224102">
            <w:pPr>
              <w:jc w:val="both"/>
              <w:rPr>
                <w:snapToGrid w:val="0"/>
                <w:sz w:val="18"/>
                <w:szCs w:val="18"/>
              </w:rPr>
            </w:pPr>
          </w:p>
        </w:tc>
        <w:tc>
          <w:tcPr>
            <w:tcW w:w="913" w:type="dxa"/>
            <w:shd w:val="clear" w:color="auto" w:fill="auto"/>
            <w:vAlign w:val="bottom"/>
          </w:tcPr>
          <w:p w14:paraId="442CC3E3" w14:textId="77777777" w:rsidR="00224102" w:rsidRPr="00EE0075" w:rsidRDefault="00224102" w:rsidP="00224102">
            <w:pPr>
              <w:jc w:val="right"/>
              <w:rPr>
                <w:sz w:val="16"/>
                <w:szCs w:val="16"/>
              </w:rPr>
            </w:pPr>
          </w:p>
        </w:tc>
        <w:tc>
          <w:tcPr>
            <w:tcW w:w="921" w:type="dxa"/>
            <w:shd w:val="clear" w:color="auto" w:fill="auto"/>
            <w:vAlign w:val="bottom"/>
          </w:tcPr>
          <w:p w14:paraId="0463BCE0" w14:textId="77777777" w:rsidR="00224102" w:rsidRPr="00EE0075" w:rsidRDefault="00224102" w:rsidP="00224102">
            <w:pPr>
              <w:jc w:val="right"/>
              <w:rPr>
                <w:sz w:val="16"/>
                <w:szCs w:val="16"/>
              </w:rPr>
            </w:pPr>
          </w:p>
        </w:tc>
        <w:tc>
          <w:tcPr>
            <w:tcW w:w="961" w:type="dxa"/>
            <w:shd w:val="clear" w:color="auto" w:fill="auto"/>
            <w:vAlign w:val="bottom"/>
          </w:tcPr>
          <w:p w14:paraId="015195F3" w14:textId="77777777" w:rsidR="00224102" w:rsidRPr="00EE0075" w:rsidRDefault="00224102" w:rsidP="00224102">
            <w:pPr>
              <w:jc w:val="right"/>
              <w:rPr>
                <w:sz w:val="16"/>
                <w:szCs w:val="16"/>
              </w:rPr>
            </w:pPr>
          </w:p>
        </w:tc>
        <w:tc>
          <w:tcPr>
            <w:tcW w:w="961" w:type="dxa"/>
            <w:shd w:val="clear" w:color="auto" w:fill="auto"/>
            <w:vAlign w:val="bottom"/>
          </w:tcPr>
          <w:p w14:paraId="31F24413" w14:textId="77777777" w:rsidR="00224102" w:rsidRPr="00EE0075" w:rsidRDefault="00224102" w:rsidP="00224102">
            <w:pPr>
              <w:jc w:val="right"/>
              <w:rPr>
                <w:sz w:val="16"/>
                <w:szCs w:val="16"/>
              </w:rPr>
            </w:pPr>
          </w:p>
        </w:tc>
        <w:tc>
          <w:tcPr>
            <w:tcW w:w="961" w:type="dxa"/>
            <w:shd w:val="clear" w:color="auto" w:fill="auto"/>
            <w:vAlign w:val="bottom"/>
          </w:tcPr>
          <w:p w14:paraId="362A5A9B" w14:textId="77777777" w:rsidR="00224102" w:rsidRPr="00EE0075" w:rsidRDefault="00224102" w:rsidP="00224102">
            <w:pPr>
              <w:jc w:val="right"/>
              <w:rPr>
                <w:sz w:val="16"/>
                <w:szCs w:val="16"/>
              </w:rPr>
            </w:pPr>
          </w:p>
        </w:tc>
        <w:tc>
          <w:tcPr>
            <w:tcW w:w="1047" w:type="dxa"/>
            <w:shd w:val="clear" w:color="auto" w:fill="auto"/>
            <w:vAlign w:val="bottom"/>
          </w:tcPr>
          <w:p w14:paraId="11E2B927" w14:textId="77777777" w:rsidR="00224102" w:rsidRPr="00EE0075" w:rsidRDefault="00224102" w:rsidP="00224102">
            <w:pPr>
              <w:jc w:val="right"/>
              <w:rPr>
                <w:sz w:val="16"/>
                <w:szCs w:val="16"/>
              </w:rPr>
            </w:pPr>
          </w:p>
        </w:tc>
        <w:tc>
          <w:tcPr>
            <w:tcW w:w="840" w:type="dxa"/>
            <w:shd w:val="clear" w:color="auto" w:fill="auto"/>
            <w:vAlign w:val="bottom"/>
          </w:tcPr>
          <w:p w14:paraId="41E5B7E1" w14:textId="77777777" w:rsidR="00224102" w:rsidRPr="00EE0075" w:rsidRDefault="00224102" w:rsidP="00224102">
            <w:pPr>
              <w:jc w:val="right"/>
              <w:rPr>
                <w:b/>
                <w:sz w:val="16"/>
                <w:szCs w:val="16"/>
              </w:rPr>
            </w:pPr>
          </w:p>
        </w:tc>
      </w:tr>
      <w:tr w:rsidR="00224102" w:rsidRPr="00604C75" w14:paraId="643C3FCB" w14:textId="77777777" w:rsidTr="00B85547">
        <w:trPr>
          <w:trHeight w:val="203"/>
        </w:trPr>
        <w:tc>
          <w:tcPr>
            <w:tcW w:w="2746" w:type="dxa"/>
            <w:shd w:val="clear" w:color="auto" w:fill="auto"/>
            <w:vAlign w:val="bottom"/>
          </w:tcPr>
          <w:p w14:paraId="405F3A38" w14:textId="77777777" w:rsidR="00224102" w:rsidRPr="00604C75" w:rsidRDefault="00224102" w:rsidP="00224102">
            <w:pPr>
              <w:pStyle w:val="Heading9"/>
              <w:rPr>
                <w:snapToGrid w:val="0"/>
                <w:szCs w:val="18"/>
              </w:rPr>
            </w:pPr>
            <w:r w:rsidRPr="00604C75">
              <w:rPr>
                <w:szCs w:val="18"/>
              </w:rPr>
              <w:t>Liabilities</w:t>
            </w:r>
          </w:p>
        </w:tc>
        <w:tc>
          <w:tcPr>
            <w:tcW w:w="913" w:type="dxa"/>
            <w:shd w:val="clear" w:color="auto" w:fill="auto"/>
            <w:vAlign w:val="bottom"/>
          </w:tcPr>
          <w:p w14:paraId="20493F1A" w14:textId="77777777" w:rsidR="00224102" w:rsidRPr="00EE0075" w:rsidRDefault="00224102" w:rsidP="00224102">
            <w:pPr>
              <w:jc w:val="right"/>
              <w:rPr>
                <w:sz w:val="16"/>
                <w:szCs w:val="16"/>
              </w:rPr>
            </w:pPr>
          </w:p>
        </w:tc>
        <w:tc>
          <w:tcPr>
            <w:tcW w:w="921" w:type="dxa"/>
            <w:shd w:val="clear" w:color="auto" w:fill="auto"/>
            <w:vAlign w:val="bottom"/>
          </w:tcPr>
          <w:p w14:paraId="35068A3C" w14:textId="77777777" w:rsidR="00224102" w:rsidRPr="00EE0075" w:rsidRDefault="00224102" w:rsidP="00224102">
            <w:pPr>
              <w:jc w:val="right"/>
              <w:rPr>
                <w:sz w:val="16"/>
                <w:szCs w:val="16"/>
              </w:rPr>
            </w:pPr>
          </w:p>
        </w:tc>
        <w:tc>
          <w:tcPr>
            <w:tcW w:w="961" w:type="dxa"/>
            <w:shd w:val="clear" w:color="auto" w:fill="auto"/>
            <w:vAlign w:val="bottom"/>
          </w:tcPr>
          <w:p w14:paraId="56F1E5B4" w14:textId="77777777" w:rsidR="00224102" w:rsidRPr="00EE0075" w:rsidRDefault="00224102" w:rsidP="00224102">
            <w:pPr>
              <w:jc w:val="right"/>
              <w:rPr>
                <w:sz w:val="16"/>
                <w:szCs w:val="16"/>
              </w:rPr>
            </w:pPr>
          </w:p>
        </w:tc>
        <w:tc>
          <w:tcPr>
            <w:tcW w:w="961" w:type="dxa"/>
            <w:shd w:val="clear" w:color="auto" w:fill="auto"/>
            <w:vAlign w:val="bottom"/>
          </w:tcPr>
          <w:p w14:paraId="1906164A" w14:textId="77777777" w:rsidR="00224102" w:rsidRPr="00EE0075" w:rsidRDefault="00224102" w:rsidP="00224102">
            <w:pPr>
              <w:jc w:val="right"/>
              <w:rPr>
                <w:sz w:val="16"/>
                <w:szCs w:val="16"/>
              </w:rPr>
            </w:pPr>
          </w:p>
        </w:tc>
        <w:tc>
          <w:tcPr>
            <w:tcW w:w="961" w:type="dxa"/>
            <w:shd w:val="clear" w:color="auto" w:fill="auto"/>
            <w:vAlign w:val="bottom"/>
          </w:tcPr>
          <w:p w14:paraId="1991DDF1" w14:textId="77777777" w:rsidR="00224102" w:rsidRPr="00EE0075" w:rsidRDefault="00224102" w:rsidP="00224102">
            <w:pPr>
              <w:jc w:val="right"/>
              <w:rPr>
                <w:sz w:val="16"/>
                <w:szCs w:val="16"/>
              </w:rPr>
            </w:pPr>
          </w:p>
        </w:tc>
        <w:tc>
          <w:tcPr>
            <w:tcW w:w="1047" w:type="dxa"/>
            <w:shd w:val="clear" w:color="auto" w:fill="auto"/>
            <w:vAlign w:val="bottom"/>
          </w:tcPr>
          <w:p w14:paraId="0BFC1DDA" w14:textId="77777777" w:rsidR="00224102" w:rsidRPr="00EE0075" w:rsidRDefault="00224102" w:rsidP="00224102">
            <w:pPr>
              <w:jc w:val="right"/>
              <w:rPr>
                <w:sz w:val="16"/>
                <w:szCs w:val="16"/>
              </w:rPr>
            </w:pPr>
          </w:p>
        </w:tc>
        <w:tc>
          <w:tcPr>
            <w:tcW w:w="840" w:type="dxa"/>
            <w:shd w:val="clear" w:color="auto" w:fill="auto"/>
            <w:vAlign w:val="bottom"/>
          </w:tcPr>
          <w:p w14:paraId="6211E99E" w14:textId="77777777" w:rsidR="00224102" w:rsidRPr="00EE0075" w:rsidRDefault="00224102" w:rsidP="00224102">
            <w:pPr>
              <w:jc w:val="right"/>
              <w:rPr>
                <w:b/>
                <w:sz w:val="16"/>
                <w:szCs w:val="16"/>
              </w:rPr>
            </w:pPr>
          </w:p>
        </w:tc>
      </w:tr>
      <w:tr w:rsidR="00224102" w:rsidRPr="00604C75" w14:paraId="15A8AD8A" w14:textId="77777777" w:rsidTr="00B85547">
        <w:trPr>
          <w:trHeight w:val="155"/>
        </w:trPr>
        <w:tc>
          <w:tcPr>
            <w:tcW w:w="2746" w:type="dxa"/>
            <w:shd w:val="clear" w:color="auto" w:fill="auto"/>
            <w:vAlign w:val="bottom"/>
          </w:tcPr>
          <w:p w14:paraId="76683013" w14:textId="2145C85A" w:rsidR="00224102" w:rsidRPr="00604C75" w:rsidRDefault="00224102" w:rsidP="00FC4811">
            <w:pPr>
              <w:rPr>
                <w:snapToGrid w:val="0"/>
                <w:sz w:val="18"/>
                <w:szCs w:val="18"/>
              </w:rPr>
            </w:pPr>
            <w:r w:rsidRPr="00604C75">
              <w:rPr>
                <w:snapToGrid w:val="0"/>
                <w:sz w:val="18"/>
                <w:szCs w:val="18"/>
              </w:rPr>
              <w:t>Bank Deposits</w:t>
            </w:r>
            <w:r>
              <w:rPr>
                <w:snapToGrid w:val="0"/>
                <w:sz w:val="18"/>
                <w:szCs w:val="18"/>
              </w:rPr>
              <w:t xml:space="preserve"> </w:t>
            </w:r>
            <w:r w:rsidRPr="00835FE3">
              <w:rPr>
                <w:snapToGrid w:val="0"/>
                <w:sz w:val="16"/>
                <w:szCs w:val="16"/>
              </w:rPr>
              <w:t>(***)</w:t>
            </w:r>
          </w:p>
        </w:tc>
        <w:tc>
          <w:tcPr>
            <w:tcW w:w="913" w:type="dxa"/>
            <w:shd w:val="clear" w:color="auto" w:fill="auto"/>
            <w:vAlign w:val="bottom"/>
          </w:tcPr>
          <w:p w14:paraId="1609473C" w14:textId="1FEBE244" w:rsidR="00224102" w:rsidRPr="00EE0075" w:rsidRDefault="00224102" w:rsidP="00224102">
            <w:pPr>
              <w:jc w:val="right"/>
              <w:rPr>
                <w:sz w:val="16"/>
                <w:szCs w:val="16"/>
              </w:rPr>
            </w:pPr>
            <w:r w:rsidRPr="00825FC9">
              <w:rPr>
                <w:sz w:val="16"/>
                <w:szCs w:val="16"/>
              </w:rPr>
              <w:t>554,792</w:t>
            </w:r>
          </w:p>
        </w:tc>
        <w:tc>
          <w:tcPr>
            <w:tcW w:w="921" w:type="dxa"/>
            <w:shd w:val="clear" w:color="auto" w:fill="auto"/>
            <w:vAlign w:val="bottom"/>
          </w:tcPr>
          <w:p w14:paraId="7CFE85DC" w14:textId="3180C060"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4B624A8C" w14:textId="2BA08095"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14D2BFFE" w14:textId="6F65522D"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741C32A9" w14:textId="50ADA593"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78D070DB" w14:textId="4A2FC79E" w:rsidR="00224102" w:rsidRPr="00EE0075" w:rsidRDefault="00224102" w:rsidP="00224102">
            <w:pPr>
              <w:jc w:val="right"/>
              <w:rPr>
                <w:sz w:val="16"/>
                <w:szCs w:val="16"/>
              </w:rPr>
            </w:pPr>
            <w:r w:rsidRPr="00825FC9">
              <w:rPr>
                <w:sz w:val="16"/>
                <w:szCs w:val="16"/>
              </w:rPr>
              <w:t>485</w:t>
            </w:r>
          </w:p>
        </w:tc>
        <w:tc>
          <w:tcPr>
            <w:tcW w:w="840" w:type="dxa"/>
            <w:shd w:val="clear" w:color="auto" w:fill="auto"/>
            <w:vAlign w:val="bottom"/>
          </w:tcPr>
          <w:p w14:paraId="6F867E50" w14:textId="62CD5494" w:rsidR="00224102" w:rsidRPr="00EE0075" w:rsidRDefault="00224102" w:rsidP="00224102">
            <w:pPr>
              <w:jc w:val="right"/>
              <w:rPr>
                <w:sz w:val="16"/>
                <w:szCs w:val="16"/>
              </w:rPr>
            </w:pPr>
            <w:r w:rsidRPr="00825FC9">
              <w:rPr>
                <w:sz w:val="16"/>
                <w:szCs w:val="16"/>
              </w:rPr>
              <w:t>555,277</w:t>
            </w:r>
          </w:p>
        </w:tc>
      </w:tr>
      <w:tr w:rsidR="00224102" w:rsidRPr="00604C75" w14:paraId="777B4B53" w14:textId="77777777" w:rsidTr="00B85547">
        <w:trPr>
          <w:trHeight w:val="184"/>
        </w:trPr>
        <w:tc>
          <w:tcPr>
            <w:tcW w:w="2746" w:type="dxa"/>
            <w:shd w:val="clear" w:color="auto" w:fill="auto"/>
            <w:vAlign w:val="bottom"/>
          </w:tcPr>
          <w:p w14:paraId="03163EF5" w14:textId="77777777" w:rsidR="00224102" w:rsidRPr="00604C75" w:rsidRDefault="00224102" w:rsidP="00224102">
            <w:pPr>
              <w:rPr>
                <w:snapToGrid w:val="0"/>
                <w:sz w:val="18"/>
                <w:szCs w:val="18"/>
              </w:rPr>
            </w:pPr>
            <w:r w:rsidRPr="00604C75">
              <w:rPr>
                <w:snapToGrid w:val="0"/>
                <w:sz w:val="18"/>
                <w:szCs w:val="18"/>
              </w:rPr>
              <w:t>Other Deposits</w:t>
            </w:r>
          </w:p>
        </w:tc>
        <w:tc>
          <w:tcPr>
            <w:tcW w:w="913" w:type="dxa"/>
            <w:shd w:val="clear" w:color="auto" w:fill="auto"/>
            <w:vAlign w:val="bottom"/>
          </w:tcPr>
          <w:p w14:paraId="0779FCD9" w14:textId="03D44070" w:rsidR="00224102" w:rsidRPr="00EE0075" w:rsidRDefault="00224102" w:rsidP="00224102">
            <w:pPr>
              <w:jc w:val="right"/>
              <w:rPr>
                <w:sz w:val="16"/>
                <w:szCs w:val="16"/>
              </w:rPr>
            </w:pPr>
            <w:r w:rsidRPr="00825FC9">
              <w:rPr>
                <w:sz w:val="16"/>
                <w:szCs w:val="16"/>
              </w:rPr>
              <w:t>3,690,259</w:t>
            </w:r>
          </w:p>
        </w:tc>
        <w:tc>
          <w:tcPr>
            <w:tcW w:w="921" w:type="dxa"/>
            <w:shd w:val="clear" w:color="auto" w:fill="auto"/>
            <w:vAlign w:val="bottom"/>
          </w:tcPr>
          <w:p w14:paraId="6DE5BB04" w14:textId="48120035" w:rsidR="00224102" w:rsidRPr="00EE0075" w:rsidRDefault="00224102" w:rsidP="00224102">
            <w:pPr>
              <w:jc w:val="right"/>
              <w:rPr>
                <w:sz w:val="16"/>
                <w:szCs w:val="16"/>
              </w:rPr>
            </w:pPr>
            <w:r w:rsidRPr="00825FC9">
              <w:rPr>
                <w:sz w:val="16"/>
                <w:szCs w:val="16"/>
              </w:rPr>
              <w:t>1,494,977</w:t>
            </w:r>
          </w:p>
        </w:tc>
        <w:tc>
          <w:tcPr>
            <w:tcW w:w="961" w:type="dxa"/>
            <w:shd w:val="clear" w:color="auto" w:fill="auto"/>
            <w:vAlign w:val="bottom"/>
          </w:tcPr>
          <w:p w14:paraId="21448367" w14:textId="69BF5F62" w:rsidR="00224102" w:rsidRPr="00EE0075" w:rsidRDefault="00224102" w:rsidP="00224102">
            <w:pPr>
              <w:jc w:val="right"/>
              <w:rPr>
                <w:sz w:val="16"/>
                <w:szCs w:val="16"/>
              </w:rPr>
            </w:pPr>
            <w:r w:rsidRPr="00825FC9">
              <w:rPr>
                <w:sz w:val="16"/>
                <w:szCs w:val="16"/>
              </w:rPr>
              <w:t>122,878</w:t>
            </w:r>
          </w:p>
        </w:tc>
        <w:tc>
          <w:tcPr>
            <w:tcW w:w="961" w:type="dxa"/>
            <w:shd w:val="clear" w:color="auto" w:fill="auto"/>
            <w:vAlign w:val="bottom"/>
          </w:tcPr>
          <w:p w14:paraId="5C71D3D1" w14:textId="414E1DDF" w:rsidR="00224102" w:rsidRPr="00EE0075" w:rsidRDefault="00224102" w:rsidP="00224102">
            <w:pPr>
              <w:jc w:val="right"/>
              <w:rPr>
                <w:sz w:val="16"/>
                <w:szCs w:val="16"/>
              </w:rPr>
            </w:pPr>
            <w:r w:rsidRPr="00825FC9">
              <w:rPr>
                <w:sz w:val="16"/>
                <w:szCs w:val="16"/>
              </w:rPr>
              <w:t>7,801</w:t>
            </w:r>
          </w:p>
        </w:tc>
        <w:tc>
          <w:tcPr>
            <w:tcW w:w="961" w:type="dxa"/>
            <w:shd w:val="clear" w:color="auto" w:fill="auto"/>
            <w:vAlign w:val="bottom"/>
          </w:tcPr>
          <w:p w14:paraId="15D7EB1F" w14:textId="6C900459"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1763B0D9" w14:textId="68A039F6" w:rsidR="00224102" w:rsidRPr="00EE0075" w:rsidRDefault="00224102" w:rsidP="00224102">
            <w:pPr>
              <w:jc w:val="right"/>
              <w:rPr>
                <w:sz w:val="16"/>
                <w:szCs w:val="16"/>
              </w:rPr>
            </w:pPr>
            <w:r w:rsidRPr="00825FC9">
              <w:rPr>
                <w:sz w:val="16"/>
                <w:szCs w:val="16"/>
              </w:rPr>
              <w:t>367,291</w:t>
            </w:r>
          </w:p>
        </w:tc>
        <w:tc>
          <w:tcPr>
            <w:tcW w:w="840" w:type="dxa"/>
            <w:shd w:val="clear" w:color="auto" w:fill="auto"/>
            <w:vAlign w:val="bottom"/>
          </w:tcPr>
          <w:p w14:paraId="66842B3A" w14:textId="59434478" w:rsidR="00224102" w:rsidRPr="00EE0075" w:rsidRDefault="00224102" w:rsidP="00224102">
            <w:pPr>
              <w:jc w:val="right"/>
              <w:rPr>
                <w:sz w:val="16"/>
                <w:szCs w:val="16"/>
              </w:rPr>
            </w:pPr>
            <w:r w:rsidRPr="00825FC9">
              <w:rPr>
                <w:sz w:val="16"/>
                <w:szCs w:val="16"/>
              </w:rPr>
              <w:t>5,683,206</w:t>
            </w:r>
          </w:p>
        </w:tc>
      </w:tr>
      <w:tr w:rsidR="00224102" w:rsidRPr="00604C75" w14:paraId="3BD55F7B" w14:textId="77777777" w:rsidTr="00B85547">
        <w:trPr>
          <w:trHeight w:val="212"/>
        </w:trPr>
        <w:tc>
          <w:tcPr>
            <w:tcW w:w="2746" w:type="dxa"/>
            <w:shd w:val="clear" w:color="auto" w:fill="auto"/>
            <w:vAlign w:val="bottom"/>
          </w:tcPr>
          <w:p w14:paraId="5005A7A3" w14:textId="77777777" w:rsidR="00224102" w:rsidRPr="00604C75" w:rsidRDefault="00224102" w:rsidP="00224102">
            <w:pPr>
              <w:rPr>
                <w:snapToGrid w:val="0"/>
                <w:sz w:val="18"/>
                <w:szCs w:val="18"/>
              </w:rPr>
            </w:pPr>
            <w:r w:rsidRPr="00604C75">
              <w:rPr>
                <w:snapToGrid w:val="0"/>
                <w:sz w:val="18"/>
                <w:szCs w:val="18"/>
              </w:rPr>
              <w:t>Money Market Funds</w:t>
            </w:r>
          </w:p>
        </w:tc>
        <w:tc>
          <w:tcPr>
            <w:tcW w:w="913" w:type="dxa"/>
            <w:shd w:val="clear" w:color="auto" w:fill="auto"/>
            <w:vAlign w:val="bottom"/>
          </w:tcPr>
          <w:p w14:paraId="03FCF50E" w14:textId="06715C4A" w:rsidR="00224102" w:rsidRPr="00EE0075" w:rsidRDefault="00224102" w:rsidP="00224102">
            <w:pPr>
              <w:jc w:val="right"/>
              <w:rPr>
                <w:sz w:val="16"/>
                <w:szCs w:val="16"/>
              </w:rPr>
            </w:pPr>
            <w:r w:rsidRPr="00825FC9">
              <w:rPr>
                <w:sz w:val="16"/>
                <w:szCs w:val="16"/>
              </w:rPr>
              <w:t>265,766</w:t>
            </w:r>
          </w:p>
        </w:tc>
        <w:tc>
          <w:tcPr>
            <w:tcW w:w="921" w:type="dxa"/>
            <w:shd w:val="clear" w:color="auto" w:fill="auto"/>
            <w:vAlign w:val="bottom"/>
          </w:tcPr>
          <w:p w14:paraId="1A51CF96" w14:textId="5F772FC8" w:rsidR="00224102" w:rsidRPr="00EE0075" w:rsidRDefault="00224102" w:rsidP="00224102">
            <w:pPr>
              <w:jc w:val="right"/>
              <w:rPr>
                <w:sz w:val="16"/>
                <w:szCs w:val="16"/>
              </w:rPr>
            </w:pPr>
            <w:r w:rsidRPr="00825FC9">
              <w:rPr>
                <w:sz w:val="16"/>
                <w:szCs w:val="16"/>
              </w:rPr>
              <w:t>93,057</w:t>
            </w:r>
          </w:p>
        </w:tc>
        <w:tc>
          <w:tcPr>
            <w:tcW w:w="961" w:type="dxa"/>
            <w:shd w:val="clear" w:color="auto" w:fill="auto"/>
            <w:vAlign w:val="bottom"/>
          </w:tcPr>
          <w:p w14:paraId="4F957B7E" w14:textId="5996B9FF"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34AF6DFC" w14:textId="361AA971"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491B34E3" w14:textId="1FA9A96B"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33C8C839" w14:textId="707B01D3" w:rsidR="00224102" w:rsidRPr="00EE0075" w:rsidRDefault="00224102" w:rsidP="00224102">
            <w:pPr>
              <w:jc w:val="right"/>
              <w:rPr>
                <w:sz w:val="16"/>
                <w:szCs w:val="16"/>
              </w:rPr>
            </w:pPr>
            <w:r w:rsidRPr="00825FC9">
              <w:rPr>
                <w:sz w:val="16"/>
                <w:szCs w:val="16"/>
              </w:rPr>
              <w:t>-</w:t>
            </w:r>
          </w:p>
        </w:tc>
        <w:tc>
          <w:tcPr>
            <w:tcW w:w="840" w:type="dxa"/>
            <w:shd w:val="clear" w:color="auto" w:fill="auto"/>
            <w:vAlign w:val="bottom"/>
          </w:tcPr>
          <w:p w14:paraId="38B611CB" w14:textId="77D4A190" w:rsidR="00224102" w:rsidRPr="00EE0075" w:rsidRDefault="00224102" w:rsidP="00224102">
            <w:pPr>
              <w:jc w:val="right"/>
              <w:rPr>
                <w:sz w:val="16"/>
                <w:szCs w:val="16"/>
              </w:rPr>
            </w:pPr>
            <w:r w:rsidRPr="00825FC9">
              <w:rPr>
                <w:sz w:val="16"/>
                <w:szCs w:val="16"/>
              </w:rPr>
              <w:t>358,823</w:t>
            </w:r>
          </w:p>
        </w:tc>
      </w:tr>
      <w:tr w:rsidR="00224102" w:rsidRPr="00604C75" w14:paraId="7EB5152A" w14:textId="77777777" w:rsidTr="00B85547">
        <w:trPr>
          <w:trHeight w:val="184"/>
        </w:trPr>
        <w:tc>
          <w:tcPr>
            <w:tcW w:w="2746" w:type="dxa"/>
            <w:shd w:val="clear" w:color="auto" w:fill="auto"/>
            <w:vAlign w:val="bottom"/>
          </w:tcPr>
          <w:p w14:paraId="03BCB725" w14:textId="77777777" w:rsidR="00224102" w:rsidRPr="00604C75" w:rsidRDefault="00224102" w:rsidP="00224102">
            <w:pPr>
              <w:rPr>
                <w:snapToGrid w:val="0"/>
                <w:sz w:val="18"/>
                <w:szCs w:val="18"/>
              </w:rPr>
            </w:pPr>
            <w:r w:rsidRPr="00604C75">
              <w:rPr>
                <w:snapToGrid w:val="0"/>
                <w:sz w:val="18"/>
                <w:szCs w:val="18"/>
              </w:rPr>
              <w:t>Miscellaneous Payables</w:t>
            </w:r>
          </w:p>
        </w:tc>
        <w:tc>
          <w:tcPr>
            <w:tcW w:w="913" w:type="dxa"/>
            <w:shd w:val="clear" w:color="auto" w:fill="auto"/>
            <w:vAlign w:val="bottom"/>
          </w:tcPr>
          <w:p w14:paraId="79CAC886" w14:textId="4794B0D7" w:rsidR="00224102" w:rsidRPr="00EE0075" w:rsidRDefault="00224102" w:rsidP="00224102">
            <w:pPr>
              <w:jc w:val="right"/>
              <w:rPr>
                <w:sz w:val="16"/>
                <w:szCs w:val="16"/>
              </w:rPr>
            </w:pPr>
            <w:r w:rsidRPr="00825FC9">
              <w:rPr>
                <w:sz w:val="16"/>
                <w:szCs w:val="16"/>
              </w:rPr>
              <w:t>-</w:t>
            </w:r>
          </w:p>
        </w:tc>
        <w:tc>
          <w:tcPr>
            <w:tcW w:w="921" w:type="dxa"/>
            <w:shd w:val="clear" w:color="auto" w:fill="auto"/>
            <w:vAlign w:val="bottom"/>
          </w:tcPr>
          <w:p w14:paraId="737BC4D2" w14:textId="777EF328"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6E3AAE23" w14:textId="1B2D769A"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5C376CAC" w14:textId="3955FC4F"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5550FB58" w14:textId="21102893"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1EC73849" w14:textId="5B5D0F5D" w:rsidR="00224102" w:rsidRPr="00EE0075" w:rsidRDefault="00224102" w:rsidP="00224102">
            <w:pPr>
              <w:jc w:val="right"/>
              <w:rPr>
                <w:sz w:val="16"/>
                <w:szCs w:val="16"/>
              </w:rPr>
            </w:pPr>
            <w:r w:rsidRPr="00825FC9">
              <w:rPr>
                <w:sz w:val="16"/>
                <w:szCs w:val="16"/>
              </w:rPr>
              <w:t>219,448</w:t>
            </w:r>
          </w:p>
        </w:tc>
        <w:tc>
          <w:tcPr>
            <w:tcW w:w="840" w:type="dxa"/>
            <w:shd w:val="clear" w:color="auto" w:fill="auto"/>
            <w:vAlign w:val="bottom"/>
          </w:tcPr>
          <w:p w14:paraId="5BC70FC6" w14:textId="10CAE16D" w:rsidR="00224102" w:rsidRPr="00EE0075" w:rsidRDefault="00224102" w:rsidP="00224102">
            <w:pPr>
              <w:jc w:val="right"/>
              <w:rPr>
                <w:sz w:val="16"/>
                <w:szCs w:val="16"/>
              </w:rPr>
            </w:pPr>
            <w:r w:rsidRPr="00825FC9">
              <w:rPr>
                <w:sz w:val="16"/>
                <w:szCs w:val="16"/>
              </w:rPr>
              <w:t>219,448</w:t>
            </w:r>
          </w:p>
        </w:tc>
      </w:tr>
      <w:tr w:rsidR="00224102" w:rsidRPr="00604C75" w14:paraId="02DF2A0D" w14:textId="77777777" w:rsidTr="00B85547">
        <w:trPr>
          <w:trHeight w:val="184"/>
        </w:trPr>
        <w:tc>
          <w:tcPr>
            <w:tcW w:w="2746" w:type="dxa"/>
            <w:shd w:val="clear" w:color="auto" w:fill="auto"/>
            <w:vAlign w:val="bottom"/>
          </w:tcPr>
          <w:p w14:paraId="03F9DE3A" w14:textId="3B111959" w:rsidR="00224102" w:rsidRPr="00604C75" w:rsidRDefault="00224102" w:rsidP="00224102">
            <w:pPr>
              <w:rPr>
                <w:snapToGrid w:val="0"/>
                <w:sz w:val="18"/>
                <w:szCs w:val="18"/>
              </w:rPr>
            </w:pPr>
            <w:r w:rsidRPr="00604C75">
              <w:rPr>
                <w:snapToGrid w:val="0"/>
                <w:sz w:val="18"/>
                <w:szCs w:val="18"/>
              </w:rPr>
              <w:t>Marketable Securities Issued</w:t>
            </w:r>
          </w:p>
        </w:tc>
        <w:tc>
          <w:tcPr>
            <w:tcW w:w="913" w:type="dxa"/>
            <w:shd w:val="clear" w:color="auto" w:fill="auto"/>
            <w:vAlign w:val="bottom"/>
          </w:tcPr>
          <w:p w14:paraId="23CF1530" w14:textId="1CAC9DCE" w:rsidR="00224102" w:rsidRPr="00EE0075" w:rsidRDefault="00224102" w:rsidP="00224102">
            <w:pPr>
              <w:jc w:val="right"/>
              <w:rPr>
                <w:sz w:val="16"/>
                <w:szCs w:val="16"/>
              </w:rPr>
            </w:pPr>
            <w:r w:rsidRPr="00825FC9">
              <w:rPr>
                <w:sz w:val="16"/>
                <w:szCs w:val="16"/>
              </w:rPr>
              <w:t>-</w:t>
            </w:r>
          </w:p>
        </w:tc>
        <w:tc>
          <w:tcPr>
            <w:tcW w:w="921" w:type="dxa"/>
            <w:shd w:val="clear" w:color="auto" w:fill="auto"/>
            <w:vAlign w:val="bottom"/>
          </w:tcPr>
          <w:p w14:paraId="5A6C9C2A" w14:textId="0C5BCBF3"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13AFED46" w14:textId="3221623B" w:rsidR="00224102" w:rsidRPr="00EE0075" w:rsidRDefault="00224102" w:rsidP="00224102">
            <w:pPr>
              <w:jc w:val="right"/>
              <w:rPr>
                <w:sz w:val="16"/>
                <w:szCs w:val="16"/>
              </w:rPr>
            </w:pPr>
            <w:r w:rsidRPr="00825FC9">
              <w:rPr>
                <w:sz w:val="16"/>
                <w:szCs w:val="16"/>
              </w:rPr>
              <w:t>142,088</w:t>
            </w:r>
          </w:p>
        </w:tc>
        <w:tc>
          <w:tcPr>
            <w:tcW w:w="961" w:type="dxa"/>
            <w:shd w:val="clear" w:color="auto" w:fill="auto"/>
            <w:vAlign w:val="bottom"/>
          </w:tcPr>
          <w:p w14:paraId="5F2E4D20" w14:textId="45BB1D0C" w:rsidR="00224102" w:rsidRPr="00EE0075" w:rsidRDefault="00224102" w:rsidP="00224102">
            <w:pPr>
              <w:jc w:val="right"/>
              <w:rPr>
                <w:sz w:val="16"/>
                <w:szCs w:val="16"/>
              </w:rPr>
            </w:pPr>
            <w:r w:rsidRPr="00825FC9">
              <w:rPr>
                <w:sz w:val="16"/>
                <w:szCs w:val="16"/>
              </w:rPr>
              <w:t>735,736</w:t>
            </w:r>
          </w:p>
        </w:tc>
        <w:tc>
          <w:tcPr>
            <w:tcW w:w="961" w:type="dxa"/>
            <w:shd w:val="clear" w:color="auto" w:fill="auto"/>
            <w:vAlign w:val="bottom"/>
          </w:tcPr>
          <w:p w14:paraId="0E51B565" w14:textId="2343AA5D"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6FA8A553" w14:textId="68162DC5" w:rsidR="00224102" w:rsidRPr="00EE0075" w:rsidRDefault="00224102" w:rsidP="00224102">
            <w:pPr>
              <w:jc w:val="right"/>
              <w:rPr>
                <w:sz w:val="16"/>
                <w:szCs w:val="16"/>
              </w:rPr>
            </w:pPr>
            <w:r w:rsidRPr="00825FC9">
              <w:rPr>
                <w:sz w:val="16"/>
                <w:szCs w:val="16"/>
              </w:rPr>
              <w:t>-</w:t>
            </w:r>
          </w:p>
        </w:tc>
        <w:tc>
          <w:tcPr>
            <w:tcW w:w="840" w:type="dxa"/>
            <w:shd w:val="clear" w:color="auto" w:fill="auto"/>
            <w:vAlign w:val="bottom"/>
          </w:tcPr>
          <w:p w14:paraId="33DB65DA" w14:textId="71E3A0EE" w:rsidR="00224102" w:rsidRPr="00EE0075" w:rsidRDefault="00224102" w:rsidP="00224102">
            <w:pPr>
              <w:jc w:val="right"/>
              <w:rPr>
                <w:sz w:val="16"/>
                <w:szCs w:val="16"/>
              </w:rPr>
            </w:pPr>
            <w:r w:rsidRPr="00825FC9">
              <w:rPr>
                <w:sz w:val="16"/>
                <w:szCs w:val="16"/>
              </w:rPr>
              <w:t>877,824</w:t>
            </w:r>
          </w:p>
        </w:tc>
      </w:tr>
      <w:tr w:rsidR="00224102" w:rsidRPr="00604C75" w14:paraId="5E835F38" w14:textId="77777777" w:rsidTr="00B85547">
        <w:trPr>
          <w:trHeight w:val="260"/>
        </w:trPr>
        <w:tc>
          <w:tcPr>
            <w:tcW w:w="2746" w:type="dxa"/>
            <w:shd w:val="clear" w:color="auto" w:fill="auto"/>
            <w:vAlign w:val="bottom"/>
          </w:tcPr>
          <w:p w14:paraId="465CDDA2" w14:textId="77777777" w:rsidR="00224102" w:rsidRPr="00604C75" w:rsidRDefault="00224102" w:rsidP="00224102">
            <w:pPr>
              <w:rPr>
                <w:snapToGrid w:val="0"/>
                <w:sz w:val="18"/>
                <w:szCs w:val="18"/>
              </w:rPr>
            </w:pPr>
            <w:r w:rsidRPr="00604C75">
              <w:rPr>
                <w:snapToGrid w:val="0"/>
                <w:sz w:val="18"/>
                <w:szCs w:val="18"/>
              </w:rPr>
              <w:t>Funds Borrowed From Other Financial Institutions</w:t>
            </w:r>
          </w:p>
        </w:tc>
        <w:tc>
          <w:tcPr>
            <w:tcW w:w="913" w:type="dxa"/>
            <w:shd w:val="clear" w:color="auto" w:fill="auto"/>
            <w:vAlign w:val="bottom"/>
          </w:tcPr>
          <w:p w14:paraId="73AF706F" w14:textId="0BD20590" w:rsidR="00224102" w:rsidRPr="00EE0075" w:rsidRDefault="00224102" w:rsidP="00224102">
            <w:pPr>
              <w:jc w:val="right"/>
              <w:rPr>
                <w:sz w:val="16"/>
                <w:szCs w:val="16"/>
              </w:rPr>
            </w:pPr>
            <w:r w:rsidRPr="00825FC9">
              <w:rPr>
                <w:sz w:val="16"/>
                <w:szCs w:val="16"/>
              </w:rPr>
              <w:t>1,287,641</w:t>
            </w:r>
          </w:p>
        </w:tc>
        <w:tc>
          <w:tcPr>
            <w:tcW w:w="921" w:type="dxa"/>
            <w:shd w:val="clear" w:color="auto" w:fill="auto"/>
            <w:vAlign w:val="bottom"/>
          </w:tcPr>
          <w:p w14:paraId="2C794856" w14:textId="1E9D2519" w:rsidR="00224102" w:rsidRPr="00EE0075" w:rsidRDefault="00224102" w:rsidP="00224102">
            <w:pPr>
              <w:jc w:val="right"/>
              <w:rPr>
                <w:sz w:val="16"/>
                <w:szCs w:val="16"/>
              </w:rPr>
            </w:pPr>
            <w:r w:rsidRPr="00825FC9">
              <w:rPr>
                <w:sz w:val="16"/>
                <w:szCs w:val="16"/>
              </w:rPr>
              <w:t>1,219,339</w:t>
            </w:r>
          </w:p>
        </w:tc>
        <w:tc>
          <w:tcPr>
            <w:tcW w:w="961" w:type="dxa"/>
            <w:shd w:val="clear" w:color="auto" w:fill="auto"/>
            <w:vAlign w:val="bottom"/>
          </w:tcPr>
          <w:p w14:paraId="43D8E861" w14:textId="0DD9A729" w:rsidR="00224102" w:rsidRPr="00EE0075" w:rsidRDefault="00224102" w:rsidP="00224102">
            <w:pPr>
              <w:jc w:val="right"/>
              <w:rPr>
                <w:sz w:val="16"/>
                <w:szCs w:val="16"/>
              </w:rPr>
            </w:pPr>
            <w:r w:rsidRPr="00825FC9">
              <w:rPr>
                <w:sz w:val="16"/>
                <w:szCs w:val="16"/>
              </w:rPr>
              <w:t>2,515,176</w:t>
            </w:r>
          </w:p>
        </w:tc>
        <w:tc>
          <w:tcPr>
            <w:tcW w:w="961" w:type="dxa"/>
            <w:shd w:val="clear" w:color="auto" w:fill="auto"/>
            <w:vAlign w:val="bottom"/>
          </w:tcPr>
          <w:p w14:paraId="7357A29C" w14:textId="69715FCE" w:rsidR="00224102" w:rsidRPr="00EE0075" w:rsidRDefault="00224102" w:rsidP="00224102">
            <w:pPr>
              <w:jc w:val="right"/>
              <w:rPr>
                <w:sz w:val="16"/>
                <w:szCs w:val="16"/>
              </w:rPr>
            </w:pPr>
            <w:r w:rsidRPr="00825FC9">
              <w:rPr>
                <w:sz w:val="16"/>
                <w:szCs w:val="16"/>
              </w:rPr>
              <w:t>7,539</w:t>
            </w:r>
          </w:p>
        </w:tc>
        <w:tc>
          <w:tcPr>
            <w:tcW w:w="961" w:type="dxa"/>
            <w:shd w:val="clear" w:color="auto" w:fill="auto"/>
            <w:vAlign w:val="bottom"/>
          </w:tcPr>
          <w:p w14:paraId="04061E8E" w14:textId="5AEE6EED"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79CEE601" w14:textId="27F5301F" w:rsidR="00224102" w:rsidRPr="00EE0075" w:rsidRDefault="00224102" w:rsidP="00224102">
            <w:pPr>
              <w:jc w:val="right"/>
              <w:rPr>
                <w:sz w:val="16"/>
                <w:szCs w:val="16"/>
              </w:rPr>
            </w:pPr>
            <w:r w:rsidRPr="00825FC9">
              <w:rPr>
                <w:sz w:val="16"/>
                <w:szCs w:val="16"/>
              </w:rPr>
              <w:t>-</w:t>
            </w:r>
          </w:p>
        </w:tc>
        <w:tc>
          <w:tcPr>
            <w:tcW w:w="840" w:type="dxa"/>
            <w:shd w:val="clear" w:color="auto" w:fill="auto"/>
            <w:vAlign w:val="bottom"/>
          </w:tcPr>
          <w:p w14:paraId="115AABF4" w14:textId="38A3BEE2" w:rsidR="00224102" w:rsidRPr="00EE0075" w:rsidRDefault="00224102" w:rsidP="00224102">
            <w:pPr>
              <w:jc w:val="right"/>
              <w:rPr>
                <w:sz w:val="16"/>
                <w:szCs w:val="16"/>
              </w:rPr>
            </w:pPr>
            <w:r w:rsidRPr="00825FC9">
              <w:rPr>
                <w:sz w:val="16"/>
                <w:szCs w:val="16"/>
              </w:rPr>
              <w:t>5,029,695</w:t>
            </w:r>
          </w:p>
        </w:tc>
      </w:tr>
      <w:tr w:rsidR="00224102" w:rsidRPr="00604C75" w14:paraId="5058C1C2" w14:textId="77777777" w:rsidTr="00B85547">
        <w:trPr>
          <w:trHeight w:val="387"/>
        </w:trPr>
        <w:tc>
          <w:tcPr>
            <w:tcW w:w="2746" w:type="dxa"/>
            <w:shd w:val="clear" w:color="auto" w:fill="auto"/>
            <w:vAlign w:val="bottom"/>
          </w:tcPr>
          <w:p w14:paraId="70E8CE4B" w14:textId="730AF992" w:rsidR="00224102" w:rsidRPr="00604C75" w:rsidRDefault="00224102" w:rsidP="00224102">
            <w:pPr>
              <w:rPr>
                <w:snapToGrid w:val="0"/>
                <w:sz w:val="18"/>
                <w:szCs w:val="18"/>
              </w:rPr>
            </w:pPr>
            <w:r w:rsidRPr="00604C75">
              <w:rPr>
                <w:snapToGrid w:val="0"/>
                <w:sz w:val="18"/>
                <w:szCs w:val="18"/>
              </w:rPr>
              <w:t xml:space="preserve">Other Liabilities and Shareholders’ Equity </w:t>
            </w:r>
            <w:r w:rsidRPr="00604C75">
              <w:rPr>
                <w:snapToGrid w:val="0"/>
                <w:sz w:val="16"/>
                <w:szCs w:val="16"/>
              </w:rPr>
              <w:t>(**</w:t>
            </w:r>
            <w:r w:rsidR="00FC4811">
              <w:rPr>
                <w:snapToGrid w:val="0"/>
                <w:sz w:val="16"/>
                <w:szCs w:val="16"/>
              </w:rPr>
              <w:t>**</w:t>
            </w:r>
            <w:r w:rsidRPr="00604C75">
              <w:rPr>
                <w:snapToGrid w:val="0"/>
                <w:sz w:val="16"/>
                <w:szCs w:val="16"/>
              </w:rPr>
              <w:t>)</w:t>
            </w:r>
          </w:p>
        </w:tc>
        <w:tc>
          <w:tcPr>
            <w:tcW w:w="913" w:type="dxa"/>
            <w:shd w:val="clear" w:color="auto" w:fill="auto"/>
            <w:vAlign w:val="bottom"/>
          </w:tcPr>
          <w:p w14:paraId="2E3F031E" w14:textId="071B6462" w:rsidR="00224102" w:rsidRPr="00EE0075" w:rsidRDefault="00224102" w:rsidP="00224102">
            <w:pPr>
              <w:jc w:val="right"/>
              <w:rPr>
                <w:sz w:val="16"/>
                <w:szCs w:val="16"/>
              </w:rPr>
            </w:pPr>
            <w:r w:rsidRPr="00825FC9">
              <w:rPr>
                <w:sz w:val="16"/>
                <w:szCs w:val="16"/>
              </w:rPr>
              <w:t>8,088</w:t>
            </w:r>
          </w:p>
        </w:tc>
        <w:tc>
          <w:tcPr>
            <w:tcW w:w="921" w:type="dxa"/>
            <w:shd w:val="clear" w:color="auto" w:fill="auto"/>
            <w:vAlign w:val="bottom"/>
          </w:tcPr>
          <w:p w14:paraId="426750B8" w14:textId="6E88C63F" w:rsidR="00224102" w:rsidRPr="00EE0075" w:rsidRDefault="00224102" w:rsidP="00224102">
            <w:pPr>
              <w:jc w:val="right"/>
              <w:rPr>
                <w:sz w:val="16"/>
                <w:szCs w:val="16"/>
              </w:rPr>
            </w:pPr>
            <w:r w:rsidRPr="00825FC9">
              <w:rPr>
                <w:sz w:val="16"/>
                <w:szCs w:val="16"/>
              </w:rPr>
              <w:t>2,270</w:t>
            </w:r>
          </w:p>
        </w:tc>
        <w:tc>
          <w:tcPr>
            <w:tcW w:w="961" w:type="dxa"/>
            <w:shd w:val="clear" w:color="auto" w:fill="auto"/>
            <w:vAlign w:val="bottom"/>
          </w:tcPr>
          <w:p w14:paraId="10906CE0" w14:textId="405037FD" w:rsidR="00224102" w:rsidRPr="00EE0075" w:rsidRDefault="00224102" w:rsidP="00224102">
            <w:pPr>
              <w:jc w:val="right"/>
              <w:rPr>
                <w:sz w:val="16"/>
                <w:szCs w:val="16"/>
              </w:rPr>
            </w:pPr>
            <w:r w:rsidRPr="00825FC9">
              <w:rPr>
                <w:sz w:val="16"/>
                <w:szCs w:val="16"/>
              </w:rPr>
              <w:t>3,593</w:t>
            </w:r>
          </w:p>
        </w:tc>
        <w:tc>
          <w:tcPr>
            <w:tcW w:w="961" w:type="dxa"/>
            <w:shd w:val="clear" w:color="auto" w:fill="auto"/>
            <w:vAlign w:val="bottom"/>
          </w:tcPr>
          <w:p w14:paraId="0FAD9289" w14:textId="44D80C4B" w:rsidR="00224102" w:rsidRPr="00EE0075" w:rsidRDefault="00224102" w:rsidP="00224102">
            <w:pPr>
              <w:jc w:val="right"/>
              <w:rPr>
                <w:sz w:val="16"/>
                <w:szCs w:val="16"/>
              </w:rPr>
            </w:pPr>
            <w:r w:rsidRPr="00825FC9">
              <w:rPr>
                <w:sz w:val="16"/>
                <w:szCs w:val="16"/>
              </w:rPr>
              <w:t>-</w:t>
            </w:r>
          </w:p>
        </w:tc>
        <w:tc>
          <w:tcPr>
            <w:tcW w:w="961" w:type="dxa"/>
            <w:shd w:val="clear" w:color="auto" w:fill="auto"/>
            <w:vAlign w:val="bottom"/>
          </w:tcPr>
          <w:p w14:paraId="10DB5E59" w14:textId="0AAEEE09" w:rsidR="00224102" w:rsidRPr="00EE0075" w:rsidRDefault="00224102" w:rsidP="00224102">
            <w:pPr>
              <w:jc w:val="right"/>
              <w:rPr>
                <w:sz w:val="16"/>
                <w:szCs w:val="16"/>
              </w:rPr>
            </w:pPr>
            <w:r w:rsidRPr="00825FC9">
              <w:rPr>
                <w:sz w:val="16"/>
                <w:szCs w:val="16"/>
              </w:rPr>
              <w:t>-</w:t>
            </w:r>
          </w:p>
        </w:tc>
        <w:tc>
          <w:tcPr>
            <w:tcW w:w="1047" w:type="dxa"/>
            <w:shd w:val="clear" w:color="auto" w:fill="auto"/>
            <w:vAlign w:val="bottom"/>
          </w:tcPr>
          <w:p w14:paraId="4ABF483C" w14:textId="21317E84" w:rsidR="00224102" w:rsidRPr="00EE0075" w:rsidRDefault="00224102" w:rsidP="00224102">
            <w:pPr>
              <w:jc w:val="right"/>
              <w:rPr>
                <w:sz w:val="16"/>
                <w:szCs w:val="16"/>
              </w:rPr>
            </w:pPr>
            <w:r w:rsidRPr="00825FC9">
              <w:rPr>
                <w:sz w:val="16"/>
                <w:szCs w:val="16"/>
              </w:rPr>
              <w:t>1,326,599</w:t>
            </w:r>
          </w:p>
        </w:tc>
        <w:tc>
          <w:tcPr>
            <w:tcW w:w="840" w:type="dxa"/>
            <w:shd w:val="clear" w:color="auto" w:fill="auto"/>
            <w:vAlign w:val="bottom"/>
          </w:tcPr>
          <w:p w14:paraId="2742FFB6" w14:textId="675544DE" w:rsidR="00224102" w:rsidRPr="00EE0075" w:rsidRDefault="00224102" w:rsidP="00224102">
            <w:pPr>
              <w:jc w:val="right"/>
              <w:rPr>
                <w:sz w:val="16"/>
                <w:szCs w:val="16"/>
              </w:rPr>
            </w:pPr>
            <w:r w:rsidRPr="00825FC9">
              <w:rPr>
                <w:sz w:val="16"/>
                <w:szCs w:val="16"/>
              </w:rPr>
              <w:t>1,340,550</w:t>
            </w:r>
          </w:p>
        </w:tc>
      </w:tr>
      <w:tr w:rsidR="00224102" w:rsidRPr="00604C75" w14:paraId="7FD8D6B8" w14:textId="77777777" w:rsidTr="00B85547">
        <w:trPr>
          <w:trHeight w:val="203"/>
        </w:trPr>
        <w:tc>
          <w:tcPr>
            <w:tcW w:w="2746" w:type="dxa"/>
            <w:shd w:val="clear" w:color="auto" w:fill="auto"/>
            <w:vAlign w:val="bottom"/>
          </w:tcPr>
          <w:p w14:paraId="780E04BE" w14:textId="77777777" w:rsidR="00224102" w:rsidRPr="00604C75" w:rsidRDefault="00224102" w:rsidP="00224102">
            <w:pPr>
              <w:pStyle w:val="Heading9"/>
              <w:rPr>
                <w:snapToGrid w:val="0"/>
                <w:szCs w:val="18"/>
              </w:rPr>
            </w:pPr>
            <w:r w:rsidRPr="00604C75">
              <w:rPr>
                <w:snapToGrid w:val="0"/>
                <w:szCs w:val="18"/>
              </w:rPr>
              <w:t>Total Liabilities</w:t>
            </w:r>
          </w:p>
        </w:tc>
        <w:tc>
          <w:tcPr>
            <w:tcW w:w="913" w:type="dxa"/>
            <w:shd w:val="clear" w:color="auto" w:fill="auto"/>
            <w:vAlign w:val="bottom"/>
          </w:tcPr>
          <w:p w14:paraId="4CD8E1FC" w14:textId="280D04F6" w:rsidR="00224102" w:rsidRPr="00EE0075" w:rsidRDefault="00224102" w:rsidP="00224102">
            <w:pPr>
              <w:jc w:val="right"/>
              <w:rPr>
                <w:b/>
                <w:sz w:val="16"/>
                <w:szCs w:val="16"/>
              </w:rPr>
            </w:pPr>
            <w:r w:rsidRPr="00825FC9">
              <w:rPr>
                <w:b/>
                <w:sz w:val="16"/>
                <w:szCs w:val="16"/>
              </w:rPr>
              <w:t>5,806,546</w:t>
            </w:r>
          </w:p>
        </w:tc>
        <w:tc>
          <w:tcPr>
            <w:tcW w:w="921" w:type="dxa"/>
            <w:shd w:val="clear" w:color="auto" w:fill="auto"/>
            <w:vAlign w:val="bottom"/>
          </w:tcPr>
          <w:p w14:paraId="37626F38" w14:textId="65219CF4" w:rsidR="00224102" w:rsidRPr="00EE0075" w:rsidRDefault="00224102" w:rsidP="00224102">
            <w:pPr>
              <w:jc w:val="right"/>
              <w:rPr>
                <w:b/>
                <w:sz w:val="16"/>
                <w:szCs w:val="16"/>
              </w:rPr>
            </w:pPr>
            <w:r w:rsidRPr="00825FC9">
              <w:rPr>
                <w:b/>
                <w:sz w:val="16"/>
                <w:szCs w:val="16"/>
              </w:rPr>
              <w:t>2,809,643</w:t>
            </w:r>
          </w:p>
        </w:tc>
        <w:tc>
          <w:tcPr>
            <w:tcW w:w="961" w:type="dxa"/>
            <w:shd w:val="clear" w:color="auto" w:fill="auto"/>
            <w:vAlign w:val="bottom"/>
          </w:tcPr>
          <w:p w14:paraId="565175AF" w14:textId="6FE50141" w:rsidR="00224102" w:rsidRPr="00EE0075" w:rsidRDefault="00224102" w:rsidP="00224102">
            <w:pPr>
              <w:jc w:val="right"/>
              <w:rPr>
                <w:b/>
                <w:sz w:val="16"/>
                <w:szCs w:val="16"/>
              </w:rPr>
            </w:pPr>
            <w:r w:rsidRPr="00825FC9">
              <w:rPr>
                <w:b/>
                <w:sz w:val="16"/>
                <w:szCs w:val="16"/>
              </w:rPr>
              <w:t>2,783,735</w:t>
            </w:r>
          </w:p>
        </w:tc>
        <w:tc>
          <w:tcPr>
            <w:tcW w:w="961" w:type="dxa"/>
            <w:shd w:val="clear" w:color="auto" w:fill="auto"/>
            <w:vAlign w:val="bottom"/>
          </w:tcPr>
          <w:p w14:paraId="0E1C9936" w14:textId="7CFC41C5" w:rsidR="00224102" w:rsidRPr="00EE0075" w:rsidRDefault="00224102" w:rsidP="00224102">
            <w:pPr>
              <w:jc w:val="right"/>
              <w:rPr>
                <w:b/>
                <w:sz w:val="16"/>
                <w:szCs w:val="16"/>
              </w:rPr>
            </w:pPr>
            <w:r w:rsidRPr="00825FC9">
              <w:rPr>
                <w:b/>
                <w:sz w:val="16"/>
                <w:szCs w:val="16"/>
              </w:rPr>
              <w:t>751,076</w:t>
            </w:r>
          </w:p>
        </w:tc>
        <w:tc>
          <w:tcPr>
            <w:tcW w:w="961" w:type="dxa"/>
            <w:shd w:val="clear" w:color="auto" w:fill="auto"/>
            <w:vAlign w:val="bottom"/>
          </w:tcPr>
          <w:p w14:paraId="7A2E6FE6" w14:textId="285DBAC2" w:rsidR="00224102" w:rsidRPr="00EE0075" w:rsidRDefault="00224102" w:rsidP="00224102">
            <w:pPr>
              <w:jc w:val="right"/>
              <w:rPr>
                <w:b/>
                <w:sz w:val="16"/>
                <w:szCs w:val="16"/>
              </w:rPr>
            </w:pPr>
            <w:r w:rsidRPr="00825FC9">
              <w:rPr>
                <w:b/>
                <w:sz w:val="16"/>
                <w:szCs w:val="16"/>
              </w:rPr>
              <w:t>-</w:t>
            </w:r>
          </w:p>
        </w:tc>
        <w:tc>
          <w:tcPr>
            <w:tcW w:w="1047" w:type="dxa"/>
            <w:shd w:val="clear" w:color="auto" w:fill="auto"/>
            <w:vAlign w:val="bottom"/>
          </w:tcPr>
          <w:p w14:paraId="6287CF1A" w14:textId="59B55895" w:rsidR="00224102" w:rsidRPr="00EE0075" w:rsidRDefault="00224102" w:rsidP="00224102">
            <w:pPr>
              <w:jc w:val="right"/>
              <w:rPr>
                <w:b/>
                <w:sz w:val="16"/>
                <w:szCs w:val="16"/>
              </w:rPr>
            </w:pPr>
            <w:r w:rsidRPr="00825FC9">
              <w:rPr>
                <w:b/>
                <w:sz w:val="16"/>
                <w:szCs w:val="16"/>
              </w:rPr>
              <w:t>1,913,823</w:t>
            </w:r>
          </w:p>
        </w:tc>
        <w:tc>
          <w:tcPr>
            <w:tcW w:w="840" w:type="dxa"/>
            <w:shd w:val="clear" w:color="auto" w:fill="auto"/>
            <w:vAlign w:val="bottom"/>
          </w:tcPr>
          <w:p w14:paraId="0F20FEBA" w14:textId="2BC48CF4" w:rsidR="00224102" w:rsidRPr="00EE0075" w:rsidRDefault="00224102" w:rsidP="00224102">
            <w:pPr>
              <w:jc w:val="right"/>
              <w:rPr>
                <w:b/>
                <w:sz w:val="16"/>
                <w:szCs w:val="16"/>
              </w:rPr>
            </w:pPr>
            <w:r w:rsidRPr="00825FC9">
              <w:rPr>
                <w:b/>
                <w:sz w:val="16"/>
                <w:szCs w:val="16"/>
              </w:rPr>
              <w:t>14,064,823</w:t>
            </w:r>
          </w:p>
        </w:tc>
      </w:tr>
      <w:tr w:rsidR="00224102" w:rsidRPr="00604C75" w14:paraId="17D559B9" w14:textId="77777777" w:rsidTr="00B85547">
        <w:trPr>
          <w:trHeight w:val="184"/>
        </w:trPr>
        <w:tc>
          <w:tcPr>
            <w:tcW w:w="2746" w:type="dxa"/>
            <w:shd w:val="clear" w:color="auto" w:fill="auto"/>
            <w:vAlign w:val="bottom"/>
          </w:tcPr>
          <w:p w14:paraId="3CB2570A" w14:textId="77777777" w:rsidR="00224102" w:rsidRPr="00604C75" w:rsidRDefault="00224102" w:rsidP="00224102">
            <w:pPr>
              <w:pStyle w:val="Heading9"/>
              <w:rPr>
                <w:snapToGrid w:val="0"/>
                <w:szCs w:val="18"/>
              </w:rPr>
            </w:pPr>
          </w:p>
        </w:tc>
        <w:tc>
          <w:tcPr>
            <w:tcW w:w="913" w:type="dxa"/>
            <w:shd w:val="clear" w:color="auto" w:fill="auto"/>
            <w:vAlign w:val="bottom"/>
          </w:tcPr>
          <w:p w14:paraId="20C200C3" w14:textId="77777777" w:rsidR="00224102" w:rsidRPr="00EE0075" w:rsidRDefault="00224102" w:rsidP="00224102">
            <w:pPr>
              <w:jc w:val="right"/>
              <w:rPr>
                <w:sz w:val="16"/>
                <w:szCs w:val="16"/>
              </w:rPr>
            </w:pPr>
          </w:p>
        </w:tc>
        <w:tc>
          <w:tcPr>
            <w:tcW w:w="921" w:type="dxa"/>
            <w:shd w:val="clear" w:color="auto" w:fill="auto"/>
            <w:vAlign w:val="bottom"/>
          </w:tcPr>
          <w:p w14:paraId="4DA4026B" w14:textId="77777777" w:rsidR="00224102" w:rsidRPr="00EE0075" w:rsidRDefault="00224102" w:rsidP="00224102">
            <w:pPr>
              <w:jc w:val="right"/>
              <w:rPr>
                <w:sz w:val="16"/>
                <w:szCs w:val="16"/>
              </w:rPr>
            </w:pPr>
          </w:p>
        </w:tc>
        <w:tc>
          <w:tcPr>
            <w:tcW w:w="961" w:type="dxa"/>
            <w:shd w:val="clear" w:color="auto" w:fill="auto"/>
            <w:vAlign w:val="bottom"/>
          </w:tcPr>
          <w:p w14:paraId="27FDAAF3" w14:textId="77777777" w:rsidR="00224102" w:rsidRPr="00EE0075" w:rsidRDefault="00224102" w:rsidP="00224102">
            <w:pPr>
              <w:jc w:val="right"/>
              <w:rPr>
                <w:sz w:val="16"/>
                <w:szCs w:val="16"/>
              </w:rPr>
            </w:pPr>
          </w:p>
        </w:tc>
        <w:tc>
          <w:tcPr>
            <w:tcW w:w="961" w:type="dxa"/>
            <w:shd w:val="clear" w:color="auto" w:fill="auto"/>
            <w:vAlign w:val="bottom"/>
          </w:tcPr>
          <w:p w14:paraId="4993EB38" w14:textId="77777777" w:rsidR="00224102" w:rsidRPr="00EE0075" w:rsidRDefault="00224102" w:rsidP="00224102">
            <w:pPr>
              <w:jc w:val="right"/>
              <w:rPr>
                <w:sz w:val="16"/>
                <w:szCs w:val="16"/>
              </w:rPr>
            </w:pPr>
          </w:p>
        </w:tc>
        <w:tc>
          <w:tcPr>
            <w:tcW w:w="961" w:type="dxa"/>
            <w:shd w:val="clear" w:color="auto" w:fill="auto"/>
            <w:vAlign w:val="bottom"/>
          </w:tcPr>
          <w:p w14:paraId="4AB38CFF" w14:textId="77777777" w:rsidR="00224102" w:rsidRPr="00EE0075" w:rsidRDefault="00224102" w:rsidP="00224102">
            <w:pPr>
              <w:jc w:val="right"/>
              <w:rPr>
                <w:sz w:val="16"/>
                <w:szCs w:val="16"/>
              </w:rPr>
            </w:pPr>
          </w:p>
        </w:tc>
        <w:tc>
          <w:tcPr>
            <w:tcW w:w="1047" w:type="dxa"/>
            <w:shd w:val="clear" w:color="auto" w:fill="auto"/>
            <w:vAlign w:val="bottom"/>
          </w:tcPr>
          <w:p w14:paraId="653501AE" w14:textId="77777777" w:rsidR="00224102" w:rsidRPr="00EE0075" w:rsidRDefault="00224102" w:rsidP="00224102">
            <w:pPr>
              <w:jc w:val="right"/>
              <w:rPr>
                <w:sz w:val="16"/>
                <w:szCs w:val="16"/>
              </w:rPr>
            </w:pPr>
          </w:p>
        </w:tc>
        <w:tc>
          <w:tcPr>
            <w:tcW w:w="840" w:type="dxa"/>
            <w:shd w:val="clear" w:color="auto" w:fill="auto"/>
            <w:vAlign w:val="bottom"/>
          </w:tcPr>
          <w:p w14:paraId="3D8E5165" w14:textId="77777777" w:rsidR="00224102" w:rsidRPr="00EE0075" w:rsidRDefault="00224102" w:rsidP="00224102">
            <w:pPr>
              <w:jc w:val="right"/>
              <w:rPr>
                <w:b/>
                <w:sz w:val="16"/>
                <w:szCs w:val="16"/>
              </w:rPr>
            </w:pPr>
          </w:p>
        </w:tc>
      </w:tr>
      <w:tr w:rsidR="00224102" w:rsidRPr="00604C75" w14:paraId="66D39414" w14:textId="77777777" w:rsidTr="00B85547">
        <w:trPr>
          <w:trHeight w:val="184"/>
        </w:trPr>
        <w:tc>
          <w:tcPr>
            <w:tcW w:w="2746" w:type="dxa"/>
            <w:shd w:val="clear" w:color="auto" w:fill="auto"/>
            <w:vAlign w:val="bottom"/>
          </w:tcPr>
          <w:p w14:paraId="6EDFD35D" w14:textId="77777777" w:rsidR="00224102" w:rsidRPr="00604C75" w:rsidRDefault="00224102" w:rsidP="00224102">
            <w:pPr>
              <w:pStyle w:val="Heading9"/>
              <w:rPr>
                <w:b w:val="0"/>
                <w:snapToGrid w:val="0"/>
                <w:szCs w:val="18"/>
              </w:rPr>
            </w:pPr>
            <w:r w:rsidRPr="00604C75">
              <w:rPr>
                <w:rFonts w:eastAsia="Arial Unicode MS"/>
                <w:szCs w:val="18"/>
              </w:rPr>
              <w:t>Balance Sheet Long Position</w:t>
            </w:r>
          </w:p>
        </w:tc>
        <w:tc>
          <w:tcPr>
            <w:tcW w:w="913" w:type="dxa"/>
            <w:shd w:val="clear" w:color="auto" w:fill="auto"/>
            <w:vAlign w:val="bottom"/>
          </w:tcPr>
          <w:p w14:paraId="1BBC89BA" w14:textId="3BF8CB53" w:rsidR="00224102" w:rsidRPr="00EE0075" w:rsidRDefault="00224102" w:rsidP="00224102">
            <w:pPr>
              <w:jc w:val="right"/>
              <w:rPr>
                <w:b/>
                <w:bCs/>
                <w:color w:val="000000"/>
                <w:sz w:val="16"/>
                <w:szCs w:val="16"/>
              </w:rPr>
            </w:pPr>
            <w:r w:rsidRPr="00825FC9">
              <w:rPr>
                <w:b/>
                <w:bCs/>
                <w:color w:val="000000"/>
                <w:sz w:val="16"/>
                <w:szCs w:val="16"/>
              </w:rPr>
              <w:t>999,465</w:t>
            </w:r>
          </w:p>
        </w:tc>
        <w:tc>
          <w:tcPr>
            <w:tcW w:w="921" w:type="dxa"/>
            <w:shd w:val="clear" w:color="auto" w:fill="auto"/>
            <w:vAlign w:val="bottom"/>
          </w:tcPr>
          <w:p w14:paraId="2AFC70A0" w14:textId="6DB98695" w:rsidR="00224102" w:rsidRPr="00EE0075" w:rsidRDefault="00224102" w:rsidP="00224102">
            <w:pPr>
              <w:jc w:val="right"/>
              <w:rPr>
                <w:b/>
                <w:bCs/>
                <w:color w:val="000000"/>
                <w:sz w:val="16"/>
                <w:szCs w:val="16"/>
              </w:rPr>
            </w:pPr>
            <w:r w:rsidRPr="00825FC9">
              <w:rPr>
                <w:b/>
                <w:bCs/>
                <w:color w:val="000000"/>
                <w:sz w:val="16"/>
                <w:szCs w:val="16"/>
              </w:rPr>
              <w:t>-</w:t>
            </w:r>
          </w:p>
        </w:tc>
        <w:tc>
          <w:tcPr>
            <w:tcW w:w="961" w:type="dxa"/>
            <w:shd w:val="clear" w:color="auto" w:fill="auto"/>
            <w:vAlign w:val="bottom"/>
          </w:tcPr>
          <w:p w14:paraId="31796B9D" w14:textId="495EFDE8" w:rsidR="00224102" w:rsidRPr="00EE0075" w:rsidRDefault="00224102" w:rsidP="00224102">
            <w:pPr>
              <w:jc w:val="right"/>
              <w:rPr>
                <w:b/>
                <w:bCs/>
                <w:color w:val="000000"/>
                <w:sz w:val="16"/>
                <w:szCs w:val="16"/>
              </w:rPr>
            </w:pPr>
            <w:r>
              <w:rPr>
                <w:b/>
                <w:bCs/>
                <w:color w:val="000000"/>
                <w:sz w:val="16"/>
                <w:szCs w:val="16"/>
              </w:rPr>
              <w:t>-</w:t>
            </w:r>
            <w:r w:rsidRPr="00825FC9">
              <w:rPr>
                <w:b/>
                <w:bCs/>
                <w:color w:val="000000"/>
                <w:sz w:val="16"/>
                <w:szCs w:val="16"/>
              </w:rPr>
              <w:t> </w:t>
            </w:r>
          </w:p>
        </w:tc>
        <w:tc>
          <w:tcPr>
            <w:tcW w:w="961" w:type="dxa"/>
            <w:shd w:val="clear" w:color="auto" w:fill="auto"/>
            <w:vAlign w:val="bottom"/>
          </w:tcPr>
          <w:p w14:paraId="1A223670" w14:textId="0EA51114" w:rsidR="00224102" w:rsidRPr="00EE0075" w:rsidRDefault="00224102" w:rsidP="00224102">
            <w:pPr>
              <w:jc w:val="right"/>
              <w:rPr>
                <w:b/>
                <w:bCs/>
                <w:color w:val="000000"/>
                <w:sz w:val="16"/>
                <w:szCs w:val="16"/>
              </w:rPr>
            </w:pPr>
            <w:r w:rsidRPr="00825FC9">
              <w:rPr>
                <w:b/>
                <w:bCs/>
                <w:color w:val="000000"/>
                <w:sz w:val="16"/>
                <w:szCs w:val="16"/>
              </w:rPr>
              <w:t>1,925,954</w:t>
            </w:r>
          </w:p>
        </w:tc>
        <w:tc>
          <w:tcPr>
            <w:tcW w:w="961" w:type="dxa"/>
            <w:shd w:val="clear" w:color="auto" w:fill="auto"/>
            <w:vAlign w:val="bottom"/>
          </w:tcPr>
          <w:p w14:paraId="2D8F1658" w14:textId="51E5FCE2" w:rsidR="00224102" w:rsidRPr="00EE0075" w:rsidRDefault="00224102" w:rsidP="00224102">
            <w:pPr>
              <w:jc w:val="right"/>
              <w:rPr>
                <w:b/>
                <w:bCs/>
                <w:color w:val="000000"/>
                <w:sz w:val="16"/>
                <w:szCs w:val="16"/>
              </w:rPr>
            </w:pPr>
            <w:r w:rsidRPr="00825FC9">
              <w:rPr>
                <w:b/>
                <w:bCs/>
                <w:color w:val="000000"/>
                <w:sz w:val="16"/>
                <w:szCs w:val="16"/>
              </w:rPr>
              <w:t>729,279</w:t>
            </w:r>
          </w:p>
        </w:tc>
        <w:tc>
          <w:tcPr>
            <w:tcW w:w="1047" w:type="dxa"/>
            <w:shd w:val="clear" w:color="auto" w:fill="auto"/>
            <w:vAlign w:val="bottom"/>
          </w:tcPr>
          <w:p w14:paraId="6558F586" w14:textId="0714C4AD" w:rsidR="00224102" w:rsidRPr="00EE0075" w:rsidRDefault="00224102" w:rsidP="00224102">
            <w:pPr>
              <w:jc w:val="right"/>
              <w:rPr>
                <w:b/>
                <w:bCs/>
                <w:color w:val="000000"/>
                <w:sz w:val="16"/>
                <w:szCs w:val="16"/>
              </w:rPr>
            </w:pPr>
            <w:r>
              <w:rPr>
                <w:b/>
                <w:bCs/>
                <w:color w:val="000000"/>
                <w:sz w:val="16"/>
                <w:szCs w:val="16"/>
              </w:rPr>
              <w:t>-</w:t>
            </w:r>
            <w:r w:rsidRPr="00825FC9">
              <w:rPr>
                <w:b/>
                <w:bCs/>
                <w:color w:val="000000"/>
                <w:sz w:val="16"/>
                <w:szCs w:val="16"/>
              </w:rPr>
              <w:t> </w:t>
            </w:r>
          </w:p>
        </w:tc>
        <w:tc>
          <w:tcPr>
            <w:tcW w:w="840" w:type="dxa"/>
            <w:shd w:val="clear" w:color="auto" w:fill="auto"/>
            <w:vAlign w:val="bottom"/>
          </w:tcPr>
          <w:p w14:paraId="20D0016E" w14:textId="522E597B" w:rsidR="00224102" w:rsidRPr="00EE0075" w:rsidRDefault="00224102" w:rsidP="00224102">
            <w:pPr>
              <w:jc w:val="right"/>
              <w:rPr>
                <w:b/>
                <w:bCs/>
                <w:color w:val="000000"/>
                <w:sz w:val="16"/>
                <w:szCs w:val="16"/>
              </w:rPr>
            </w:pPr>
            <w:r w:rsidRPr="00825FC9">
              <w:rPr>
                <w:b/>
                <w:bCs/>
                <w:color w:val="000000"/>
                <w:sz w:val="16"/>
                <w:szCs w:val="16"/>
              </w:rPr>
              <w:t>3,654,698</w:t>
            </w:r>
          </w:p>
        </w:tc>
      </w:tr>
      <w:tr w:rsidR="00224102" w:rsidRPr="00604C75" w14:paraId="1BD0B73A" w14:textId="77777777" w:rsidTr="00B85547">
        <w:trPr>
          <w:trHeight w:val="203"/>
        </w:trPr>
        <w:tc>
          <w:tcPr>
            <w:tcW w:w="2746" w:type="dxa"/>
            <w:shd w:val="clear" w:color="auto" w:fill="auto"/>
            <w:vAlign w:val="bottom"/>
          </w:tcPr>
          <w:p w14:paraId="5DE4A92B" w14:textId="77777777" w:rsidR="00224102" w:rsidRPr="00604C75" w:rsidRDefault="00224102" w:rsidP="00224102">
            <w:pPr>
              <w:pStyle w:val="Heading9"/>
              <w:rPr>
                <w:b w:val="0"/>
                <w:snapToGrid w:val="0"/>
                <w:szCs w:val="18"/>
              </w:rPr>
            </w:pPr>
            <w:r w:rsidRPr="00604C75">
              <w:rPr>
                <w:rFonts w:eastAsia="Arial Unicode MS"/>
                <w:szCs w:val="18"/>
              </w:rPr>
              <w:t>Balance Sheet Short Position</w:t>
            </w:r>
          </w:p>
        </w:tc>
        <w:tc>
          <w:tcPr>
            <w:tcW w:w="913" w:type="dxa"/>
            <w:shd w:val="clear" w:color="auto" w:fill="auto"/>
            <w:vAlign w:val="bottom"/>
          </w:tcPr>
          <w:p w14:paraId="283AB1A9" w14:textId="41189A67" w:rsidR="00224102" w:rsidRPr="00EE0075" w:rsidRDefault="00224102" w:rsidP="00224102">
            <w:pPr>
              <w:jc w:val="right"/>
              <w:rPr>
                <w:b/>
                <w:bCs/>
                <w:color w:val="000000"/>
                <w:sz w:val="16"/>
                <w:szCs w:val="16"/>
              </w:rPr>
            </w:pPr>
            <w:r w:rsidRPr="00825FC9">
              <w:rPr>
                <w:b/>
                <w:bCs/>
                <w:color w:val="000000"/>
                <w:sz w:val="16"/>
                <w:szCs w:val="16"/>
              </w:rPr>
              <w:t>-</w:t>
            </w:r>
          </w:p>
        </w:tc>
        <w:tc>
          <w:tcPr>
            <w:tcW w:w="921" w:type="dxa"/>
            <w:shd w:val="clear" w:color="auto" w:fill="auto"/>
            <w:vAlign w:val="bottom"/>
          </w:tcPr>
          <w:p w14:paraId="6EBE6E78" w14:textId="50D4C011" w:rsidR="00224102" w:rsidRPr="00EE0075" w:rsidRDefault="00224102" w:rsidP="00224102">
            <w:pPr>
              <w:jc w:val="right"/>
              <w:rPr>
                <w:b/>
                <w:bCs/>
                <w:color w:val="000000"/>
                <w:sz w:val="16"/>
                <w:szCs w:val="16"/>
              </w:rPr>
            </w:pPr>
            <w:r w:rsidRPr="00825FC9">
              <w:rPr>
                <w:b/>
                <w:bCs/>
                <w:color w:val="000000"/>
                <w:sz w:val="16"/>
                <w:szCs w:val="16"/>
              </w:rPr>
              <w:t>(1,810,886)</w:t>
            </w:r>
          </w:p>
        </w:tc>
        <w:tc>
          <w:tcPr>
            <w:tcW w:w="961" w:type="dxa"/>
            <w:shd w:val="clear" w:color="auto" w:fill="auto"/>
            <w:vAlign w:val="bottom"/>
          </w:tcPr>
          <w:p w14:paraId="1AA0D5C7" w14:textId="003588E8" w:rsidR="00224102" w:rsidRPr="00EE0075" w:rsidRDefault="00224102" w:rsidP="00224102">
            <w:pPr>
              <w:jc w:val="right"/>
              <w:rPr>
                <w:b/>
                <w:bCs/>
                <w:color w:val="000000"/>
                <w:sz w:val="16"/>
                <w:szCs w:val="16"/>
              </w:rPr>
            </w:pPr>
            <w:r w:rsidRPr="00825FC9">
              <w:rPr>
                <w:b/>
                <w:bCs/>
                <w:color w:val="000000"/>
                <w:sz w:val="16"/>
                <w:szCs w:val="16"/>
              </w:rPr>
              <w:t>(697,396)</w:t>
            </w:r>
          </w:p>
        </w:tc>
        <w:tc>
          <w:tcPr>
            <w:tcW w:w="961" w:type="dxa"/>
            <w:shd w:val="clear" w:color="auto" w:fill="auto"/>
            <w:vAlign w:val="bottom"/>
          </w:tcPr>
          <w:p w14:paraId="2735E13A" w14:textId="2F0BE0F2" w:rsidR="00224102" w:rsidRPr="00EE0075" w:rsidRDefault="00224102" w:rsidP="00224102">
            <w:pPr>
              <w:jc w:val="right"/>
              <w:rPr>
                <w:b/>
                <w:bCs/>
                <w:color w:val="000000"/>
                <w:sz w:val="16"/>
                <w:szCs w:val="16"/>
              </w:rPr>
            </w:pPr>
            <w:r w:rsidRPr="00825FC9">
              <w:rPr>
                <w:b/>
                <w:bCs/>
                <w:color w:val="000000"/>
                <w:sz w:val="16"/>
                <w:szCs w:val="16"/>
              </w:rPr>
              <w:t>-</w:t>
            </w:r>
          </w:p>
        </w:tc>
        <w:tc>
          <w:tcPr>
            <w:tcW w:w="961" w:type="dxa"/>
            <w:shd w:val="clear" w:color="auto" w:fill="auto"/>
            <w:vAlign w:val="bottom"/>
          </w:tcPr>
          <w:p w14:paraId="590E2ECF" w14:textId="16731B4B" w:rsidR="00224102" w:rsidRPr="00EE0075" w:rsidRDefault="00224102" w:rsidP="00224102">
            <w:pPr>
              <w:jc w:val="right"/>
              <w:rPr>
                <w:b/>
                <w:bCs/>
                <w:color w:val="000000"/>
                <w:sz w:val="16"/>
                <w:szCs w:val="16"/>
              </w:rPr>
            </w:pPr>
            <w:r w:rsidRPr="00825FC9">
              <w:rPr>
                <w:b/>
                <w:bCs/>
                <w:color w:val="000000"/>
                <w:sz w:val="16"/>
                <w:szCs w:val="16"/>
              </w:rPr>
              <w:t>- </w:t>
            </w:r>
          </w:p>
        </w:tc>
        <w:tc>
          <w:tcPr>
            <w:tcW w:w="1047" w:type="dxa"/>
            <w:shd w:val="clear" w:color="auto" w:fill="auto"/>
            <w:vAlign w:val="bottom"/>
          </w:tcPr>
          <w:p w14:paraId="102692A5" w14:textId="443F460C" w:rsidR="00224102" w:rsidRPr="00EE0075" w:rsidRDefault="00224102" w:rsidP="00224102">
            <w:pPr>
              <w:jc w:val="right"/>
              <w:rPr>
                <w:b/>
                <w:bCs/>
                <w:color w:val="000000"/>
                <w:sz w:val="16"/>
                <w:szCs w:val="16"/>
              </w:rPr>
            </w:pPr>
            <w:r w:rsidRPr="00825FC9">
              <w:rPr>
                <w:b/>
                <w:bCs/>
                <w:color w:val="000000"/>
                <w:sz w:val="16"/>
                <w:szCs w:val="16"/>
              </w:rPr>
              <w:t>(1,146,416)</w:t>
            </w:r>
          </w:p>
        </w:tc>
        <w:tc>
          <w:tcPr>
            <w:tcW w:w="840" w:type="dxa"/>
            <w:shd w:val="clear" w:color="auto" w:fill="auto"/>
            <w:vAlign w:val="bottom"/>
          </w:tcPr>
          <w:p w14:paraId="32D47672" w14:textId="21D700AB" w:rsidR="00224102" w:rsidRPr="00EE0075" w:rsidRDefault="00224102" w:rsidP="00224102">
            <w:pPr>
              <w:jc w:val="right"/>
              <w:rPr>
                <w:b/>
                <w:bCs/>
                <w:color w:val="000000"/>
                <w:sz w:val="16"/>
                <w:szCs w:val="16"/>
              </w:rPr>
            </w:pPr>
            <w:r w:rsidRPr="00825FC9">
              <w:rPr>
                <w:b/>
                <w:bCs/>
                <w:color w:val="000000"/>
                <w:sz w:val="16"/>
                <w:szCs w:val="16"/>
              </w:rPr>
              <w:t>(3,654,698)</w:t>
            </w:r>
          </w:p>
        </w:tc>
      </w:tr>
      <w:tr w:rsidR="00224102" w:rsidRPr="00604C75" w14:paraId="50B02903" w14:textId="77777777" w:rsidTr="00B85547">
        <w:trPr>
          <w:trHeight w:val="184"/>
        </w:trPr>
        <w:tc>
          <w:tcPr>
            <w:tcW w:w="2746" w:type="dxa"/>
            <w:shd w:val="clear" w:color="auto" w:fill="auto"/>
            <w:vAlign w:val="bottom"/>
          </w:tcPr>
          <w:p w14:paraId="3111EE4F" w14:textId="5158A5D9" w:rsidR="00224102" w:rsidRPr="00604C75" w:rsidRDefault="006E08D1" w:rsidP="00224102">
            <w:pPr>
              <w:outlineLvl w:val="6"/>
              <w:rPr>
                <w:rFonts w:eastAsia="Arial Unicode MS"/>
                <w:sz w:val="18"/>
                <w:szCs w:val="18"/>
              </w:rPr>
            </w:pPr>
            <w:r>
              <w:rPr>
                <w:rFonts w:eastAsia="Arial Unicode MS"/>
                <w:sz w:val="18"/>
                <w:szCs w:val="18"/>
              </w:rPr>
              <w:t>Off-B</w:t>
            </w:r>
            <w:r w:rsidR="00224102" w:rsidRPr="00604C75">
              <w:rPr>
                <w:rFonts w:eastAsia="Arial Unicode MS"/>
                <w:sz w:val="18"/>
                <w:szCs w:val="18"/>
              </w:rPr>
              <w:t>alance Sheet Long Position</w:t>
            </w:r>
          </w:p>
        </w:tc>
        <w:tc>
          <w:tcPr>
            <w:tcW w:w="913" w:type="dxa"/>
            <w:shd w:val="clear" w:color="auto" w:fill="auto"/>
            <w:vAlign w:val="bottom"/>
          </w:tcPr>
          <w:p w14:paraId="17F0160F" w14:textId="7741CE74" w:rsidR="00224102" w:rsidRPr="00EE0075" w:rsidRDefault="00224102" w:rsidP="00224102">
            <w:pPr>
              <w:jc w:val="right"/>
              <w:rPr>
                <w:color w:val="000000"/>
                <w:sz w:val="16"/>
                <w:szCs w:val="16"/>
              </w:rPr>
            </w:pPr>
            <w:r w:rsidRPr="00825FC9">
              <w:rPr>
                <w:sz w:val="16"/>
                <w:szCs w:val="16"/>
              </w:rPr>
              <w:t>-</w:t>
            </w:r>
          </w:p>
        </w:tc>
        <w:tc>
          <w:tcPr>
            <w:tcW w:w="921" w:type="dxa"/>
            <w:shd w:val="clear" w:color="auto" w:fill="auto"/>
            <w:vAlign w:val="bottom"/>
          </w:tcPr>
          <w:p w14:paraId="708AEA41" w14:textId="62B80AF8" w:rsidR="00224102" w:rsidRPr="00EE0075" w:rsidRDefault="00224102" w:rsidP="00224102">
            <w:pPr>
              <w:jc w:val="right"/>
              <w:rPr>
                <w:color w:val="000000"/>
                <w:sz w:val="16"/>
                <w:szCs w:val="16"/>
              </w:rPr>
            </w:pPr>
            <w:r w:rsidRPr="00825FC9">
              <w:rPr>
                <w:sz w:val="16"/>
                <w:szCs w:val="16"/>
              </w:rPr>
              <w:t>-</w:t>
            </w:r>
          </w:p>
        </w:tc>
        <w:tc>
          <w:tcPr>
            <w:tcW w:w="961" w:type="dxa"/>
            <w:shd w:val="clear" w:color="auto" w:fill="auto"/>
            <w:vAlign w:val="bottom"/>
          </w:tcPr>
          <w:p w14:paraId="1C49B148" w14:textId="45FF3653" w:rsidR="00224102" w:rsidRPr="00EE0075" w:rsidRDefault="00224102" w:rsidP="00224102">
            <w:pPr>
              <w:jc w:val="right"/>
              <w:rPr>
                <w:color w:val="000000"/>
                <w:sz w:val="16"/>
                <w:szCs w:val="16"/>
              </w:rPr>
            </w:pPr>
            <w:r w:rsidRPr="00825FC9">
              <w:rPr>
                <w:sz w:val="16"/>
                <w:szCs w:val="16"/>
              </w:rPr>
              <w:t>12,519</w:t>
            </w:r>
          </w:p>
        </w:tc>
        <w:tc>
          <w:tcPr>
            <w:tcW w:w="961" w:type="dxa"/>
            <w:shd w:val="clear" w:color="auto" w:fill="auto"/>
            <w:vAlign w:val="bottom"/>
          </w:tcPr>
          <w:p w14:paraId="5222DFC3" w14:textId="5F7D612D" w:rsidR="00224102" w:rsidRPr="00EE0075" w:rsidRDefault="00224102" w:rsidP="00224102">
            <w:pPr>
              <w:jc w:val="right"/>
              <w:rPr>
                <w:color w:val="000000"/>
                <w:sz w:val="16"/>
                <w:szCs w:val="16"/>
              </w:rPr>
            </w:pPr>
            <w:r w:rsidRPr="00825FC9">
              <w:rPr>
                <w:sz w:val="16"/>
                <w:szCs w:val="16"/>
              </w:rPr>
              <w:t>27,023</w:t>
            </w:r>
          </w:p>
        </w:tc>
        <w:tc>
          <w:tcPr>
            <w:tcW w:w="961" w:type="dxa"/>
            <w:shd w:val="clear" w:color="auto" w:fill="auto"/>
            <w:vAlign w:val="bottom"/>
          </w:tcPr>
          <w:p w14:paraId="1EEF160E" w14:textId="440C95E2" w:rsidR="00224102" w:rsidRPr="00EE0075" w:rsidRDefault="00224102" w:rsidP="00224102">
            <w:pPr>
              <w:jc w:val="right"/>
              <w:rPr>
                <w:color w:val="000000"/>
                <w:sz w:val="16"/>
                <w:szCs w:val="16"/>
              </w:rPr>
            </w:pPr>
            <w:r w:rsidRPr="00825FC9">
              <w:rPr>
                <w:sz w:val="16"/>
                <w:szCs w:val="16"/>
              </w:rPr>
              <w:t>-</w:t>
            </w:r>
          </w:p>
        </w:tc>
        <w:tc>
          <w:tcPr>
            <w:tcW w:w="1047" w:type="dxa"/>
            <w:shd w:val="clear" w:color="auto" w:fill="auto"/>
            <w:vAlign w:val="bottom"/>
          </w:tcPr>
          <w:p w14:paraId="552DE53C" w14:textId="4E325BD7" w:rsidR="00224102" w:rsidRPr="00EE0075" w:rsidRDefault="00224102" w:rsidP="00224102">
            <w:pPr>
              <w:jc w:val="right"/>
              <w:rPr>
                <w:color w:val="000000"/>
                <w:sz w:val="16"/>
                <w:szCs w:val="16"/>
              </w:rPr>
            </w:pPr>
            <w:r w:rsidRPr="00825FC9">
              <w:rPr>
                <w:sz w:val="16"/>
                <w:szCs w:val="16"/>
              </w:rPr>
              <w:t>-</w:t>
            </w:r>
          </w:p>
        </w:tc>
        <w:tc>
          <w:tcPr>
            <w:tcW w:w="840" w:type="dxa"/>
            <w:shd w:val="clear" w:color="auto" w:fill="auto"/>
            <w:vAlign w:val="bottom"/>
          </w:tcPr>
          <w:p w14:paraId="5CC019F1" w14:textId="25E25227" w:rsidR="00224102" w:rsidRPr="00EE0075" w:rsidRDefault="00224102" w:rsidP="00224102">
            <w:pPr>
              <w:jc w:val="right"/>
              <w:rPr>
                <w:color w:val="000000"/>
                <w:sz w:val="16"/>
                <w:szCs w:val="16"/>
              </w:rPr>
            </w:pPr>
            <w:r w:rsidRPr="00825FC9">
              <w:rPr>
                <w:sz w:val="16"/>
                <w:szCs w:val="16"/>
              </w:rPr>
              <w:t>39,542</w:t>
            </w:r>
          </w:p>
        </w:tc>
      </w:tr>
      <w:tr w:rsidR="00224102" w:rsidRPr="00604C75" w14:paraId="34B6DF1D" w14:textId="77777777" w:rsidTr="00B85547">
        <w:trPr>
          <w:trHeight w:val="184"/>
        </w:trPr>
        <w:tc>
          <w:tcPr>
            <w:tcW w:w="2746" w:type="dxa"/>
            <w:shd w:val="clear" w:color="auto" w:fill="auto"/>
            <w:vAlign w:val="bottom"/>
          </w:tcPr>
          <w:p w14:paraId="1122389A" w14:textId="203CFF76" w:rsidR="00224102" w:rsidRPr="00604C75" w:rsidRDefault="006E08D1" w:rsidP="00224102">
            <w:pPr>
              <w:autoSpaceDE w:val="0"/>
              <w:autoSpaceDN w:val="0"/>
              <w:adjustRightInd w:val="0"/>
              <w:rPr>
                <w:rFonts w:eastAsia="Arial Unicode MS"/>
                <w:sz w:val="18"/>
                <w:szCs w:val="18"/>
              </w:rPr>
            </w:pPr>
            <w:r>
              <w:rPr>
                <w:rFonts w:eastAsia="Arial Unicode MS"/>
                <w:sz w:val="18"/>
                <w:szCs w:val="18"/>
              </w:rPr>
              <w:t>Off-B</w:t>
            </w:r>
            <w:r w:rsidR="00224102" w:rsidRPr="00604C75">
              <w:rPr>
                <w:rFonts w:eastAsia="Arial Unicode MS"/>
                <w:sz w:val="18"/>
                <w:szCs w:val="18"/>
              </w:rPr>
              <w:t>alance Sheet Short Position</w:t>
            </w:r>
          </w:p>
        </w:tc>
        <w:tc>
          <w:tcPr>
            <w:tcW w:w="913" w:type="dxa"/>
            <w:shd w:val="clear" w:color="auto" w:fill="auto"/>
            <w:vAlign w:val="bottom"/>
          </w:tcPr>
          <w:p w14:paraId="68E21D9F" w14:textId="37F0C7E3" w:rsidR="00224102" w:rsidRPr="00EE0075" w:rsidRDefault="00224102" w:rsidP="00224102">
            <w:pPr>
              <w:jc w:val="right"/>
              <w:rPr>
                <w:color w:val="000000"/>
                <w:sz w:val="16"/>
                <w:szCs w:val="16"/>
              </w:rPr>
            </w:pPr>
            <w:r w:rsidRPr="00825FC9">
              <w:rPr>
                <w:sz w:val="16"/>
                <w:szCs w:val="16"/>
              </w:rPr>
              <w:t>(11,262)</w:t>
            </w:r>
          </w:p>
        </w:tc>
        <w:tc>
          <w:tcPr>
            <w:tcW w:w="921" w:type="dxa"/>
            <w:shd w:val="clear" w:color="auto" w:fill="auto"/>
            <w:vAlign w:val="bottom"/>
          </w:tcPr>
          <w:p w14:paraId="45974703" w14:textId="15138927" w:rsidR="00224102" w:rsidRPr="00EE0075" w:rsidRDefault="00224102" w:rsidP="00224102">
            <w:pPr>
              <w:jc w:val="right"/>
              <w:rPr>
                <w:color w:val="000000"/>
                <w:sz w:val="16"/>
                <w:szCs w:val="16"/>
              </w:rPr>
            </w:pPr>
            <w:r w:rsidRPr="00825FC9">
              <w:rPr>
                <w:sz w:val="16"/>
                <w:szCs w:val="16"/>
              </w:rPr>
              <w:t>(25,203)</w:t>
            </w:r>
          </w:p>
        </w:tc>
        <w:tc>
          <w:tcPr>
            <w:tcW w:w="961" w:type="dxa"/>
            <w:shd w:val="clear" w:color="auto" w:fill="auto"/>
            <w:vAlign w:val="bottom"/>
          </w:tcPr>
          <w:p w14:paraId="578C074B" w14:textId="62FF4497" w:rsidR="00224102" w:rsidRPr="00EE0075" w:rsidRDefault="00224102" w:rsidP="00224102">
            <w:pPr>
              <w:jc w:val="right"/>
              <w:rPr>
                <w:color w:val="000000"/>
                <w:sz w:val="16"/>
                <w:szCs w:val="16"/>
              </w:rPr>
            </w:pPr>
            <w:r w:rsidRPr="00825FC9">
              <w:rPr>
                <w:sz w:val="16"/>
                <w:szCs w:val="16"/>
              </w:rPr>
              <w:t>-</w:t>
            </w:r>
          </w:p>
        </w:tc>
        <w:tc>
          <w:tcPr>
            <w:tcW w:w="961" w:type="dxa"/>
            <w:shd w:val="clear" w:color="auto" w:fill="auto"/>
            <w:vAlign w:val="bottom"/>
          </w:tcPr>
          <w:p w14:paraId="3200B3D8" w14:textId="2BC37AEB" w:rsidR="00224102" w:rsidRPr="00EE0075" w:rsidRDefault="00224102" w:rsidP="00224102">
            <w:pPr>
              <w:jc w:val="right"/>
              <w:rPr>
                <w:color w:val="000000"/>
                <w:sz w:val="16"/>
                <w:szCs w:val="16"/>
              </w:rPr>
            </w:pPr>
            <w:r w:rsidRPr="00825FC9">
              <w:rPr>
                <w:sz w:val="16"/>
                <w:szCs w:val="16"/>
              </w:rPr>
              <w:t>-</w:t>
            </w:r>
          </w:p>
        </w:tc>
        <w:tc>
          <w:tcPr>
            <w:tcW w:w="961" w:type="dxa"/>
            <w:shd w:val="clear" w:color="auto" w:fill="auto"/>
            <w:vAlign w:val="bottom"/>
          </w:tcPr>
          <w:p w14:paraId="60003903" w14:textId="4D930ED9" w:rsidR="00224102" w:rsidRPr="00EE0075" w:rsidRDefault="00224102" w:rsidP="00224102">
            <w:pPr>
              <w:jc w:val="right"/>
              <w:rPr>
                <w:color w:val="000000"/>
                <w:sz w:val="16"/>
                <w:szCs w:val="16"/>
              </w:rPr>
            </w:pPr>
            <w:r w:rsidRPr="00825FC9">
              <w:rPr>
                <w:sz w:val="16"/>
                <w:szCs w:val="16"/>
              </w:rPr>
              <w:t>-</w:t>
            </w:r>
          </w:p>
        </w:tc>
        <w:tc>
          <w:tcPr>
            <w:tcW w:w="1047" w:type="dxa"/>
            <w:shd w:val="clear" w:color="auto" w:fill="auto"/>
            <w:vAlign w:val="bottom"/>
          </w:tcPr>
          <w:p w14:paraId="0398163D" w14:textId="206D92A9" w:rsidR="00224102" w:rsidRPr="00EE0075" w:rsidRDefault="00224102" w:rsidP="00224102">
            <w:pPr>
              <w:jc w:val="right"/>
              <w:rPr>
                <w:color w:val="000000"/>
                <w:sz w:val="16"/>
                <w:szCs w:val="16"/>
              </w:rPr>
            </w:pPr>
            <w:r w:rsidRPr="00825FC9">
              <w:rPr>
                <w:sz w:val="16"/>
                <w:szCs w:val="16"/>
              </w:rPr>
              <w:t>-</w:t>
            </w:r>
          </w:p>
        </w:tc>
        <w:tc>
          <w:tcPr>
            <w:tcW w:w="840" w:type="dxa"/>
            <w:shd w:val="clear" w:color="auto" w:fill="auto"/>
            <w:vAlign w:val="bottom"/>
          </w:tcPr>
          <w:p w14:paraId="7C99D615" w14:textId="699C5FAD" w:rsidR="00224102" w:rsidRPr="00EE0075" w:rsidRDefault="00224102" w:rsidP="00224102">
            <w:pPr>
              <w:jc w:val="right"/>
              <w:rPr>
                <w:color w:val="000000"/>
                <w:sz w:val="16"/>
                <w:szCs w:val="16"/>
              </w:rPr>
            </w:pPr>
            <w:r w:rsidRPr="00825FC9">
              <w:rPr>
                <w:sz w:val="16"/>
                <w:szCs w:val="16"/>
              </w:rPr>
              <w:t>(36,465)</w:t>
            </w:r>
          </w:p>
        </w:tc>
      </w:tr>
      <w:tr w:rsidR="00224102" w:rsidRPr="00604C75" w14:paraId="49CE09EE" w14:textId="77777777" w:rsidTr="00B85547">
        <w:trPr>
          <w:trHeight w:val="203"/>
        </w:trPr>
        <w:tc>
          <w:tcPr>
            <w:tcW w:w="2746" w:type="dxa"/>
            <w:shd w:val="clear" w:color="auto" w:fill="auto"/>
            <w:vAlign w:val="bottom"/>
          </w:tcPr>
          <w:p w14:paraId="669A1C32" w14:textId="77777777" w:rsidR="00224102" w:rsidRPr="00604C75" w:rsidRDefault="00224102" w:rsidP="00224102">
            <w:pPr>
              <w:pStyle w:val="Heading9"/>
              <w:rPr>
                <w:snapToGrid w:val="0"/>
                <w:szCs w:val="18"/>
              </w:rPr>
            </w:pPr>
            <w:r w:rsidRPr="00604C75">
              <w:rPr>
                <w:snapToGrid w:val="0"/>
                <w:szCs w:val="18"/>
              </w:rPr>
              <w:t>Total Position</w:t>
            </w:r>
          </w:p>
        </w:tc>
        <w:tc>
          <w:tcPr>
            <w:tcW w:w="913" w:type="dxa"/>
            <w:shd w:val="clear" w:color="auto" w:fill="auto"/>
            <w:vAlign w:val="bottom"/>
          </w:tcPr>
          <w:p w14:paraId="4138A100" w14:textId="7C05CE84" w:rsidR="00224102" w:rsidRPr="00EE0075" w:rsidRDefault="00224102" w:rsidP="00224102">
            <w:pPr>
              <w:jc w:val="right"/>
              <w:rPr>
                <w:b/>
                <w:bCs/>
                <w:color w:val="000000"/>
                <w:sz w:val="16"/>
                <w:szCs w:val="16"/>
              </w:rPr>
            </w:pPr>
            <w:r w:rsidRPr="00825FC9">
              <w:rPr>
                <w:b/>
                <w:sz w:val="16"/>
                <w:szCs w:val="16"/>
              </w:rPr>
              <w:t>988,203</w:t>
            </w:r>
          </w:p>
        </w:tc>
        <w:tc>
          <w:tcPr>
            <w:tcW w:w="921" w:type="dxa"/>
            <w:shd w:val="clear" w:color="auto" w:fill="auto"/>
            <w:vAlign w:val="bottom"/>
          </w:tcPr>
          <w:p w14:paraId="348559FD" w14:textId="2D844AF9" w:rsidR="00224102" w:rsidRPr="00EE0075" w:rsidRDefault="00224102" w:rsidP="00224102">
            <w:pPr>
              <w:jc w:val="right"/>
              <w:rPr>
                <w:b/>
                <w:bCs/>
                <w:color w:val="000000"/>
                <w:sz w:val="16"/>
                <w:szCs w:val="16"/>
              </w:rPr>
            </w:pPr>
            <w:r w:rsidRPr="00825FC9">
              <w:rPr>
                <w:b/>
                <w:sz w:val="16"/>
                <w:szCs w:val="16"/>
              </w:rPr>
              <w:t>(1,836,089)</w:t>
            </w:r>
          </w:p>
        </w:tc>
        <w:tc>
          <w:tcPr>
            <w:tcW w:w="961" w:type="dxa"/>
            <w:shd w:val="clear" w:color="auto" w:fill="auto"/>
            <w:vAlign w:val="bottom"/>
          </w:tcPr>
          <w:p w14:paraId="7ADA0258" w14:textId="085BDBD5" w:rsidR="00224102" w:rsidRPr="00EE0075" w:rsidRDefault="00224102" w:rsidP="00224102">
            <w:pPr>
              <w:jc w:val="right"/>
              <w:rPr>
                <w:b/>
                <w:bCs/>
                <w:color w:val="000000"/>
                <w:sz w:val="16"/>
                <w:szCs w:val="16"/>
              </w:rPr>
            </w:pPr>
            <w:r w:rsidRPr="00825FC9">
              <w:rPr>
                <w:b/>
                <w:sz w:val="16"/>
                <w:szCs w:val="16"/>
              </w:rPr>
              <w:t>(684,877)</w:t>
            </w:r>
          </w:p>
        </w:tc>
        <w:tc>
          <w:tcPr>
            <w:tcW w:w="961" w:type="dxa"/>
            <w:shd w:val="clear" w:color="auto" w:fill="auto"/>
            <w:vAlign w:val="bottom"/>
          </w:tcPr>
          <w:p w14:paraId="1898D618" w14:textId="618AC65F" w:rsidR="00224102" w:rsidRPr="00EE0075" w:rsidRDefault="00224102" w:rsidP="00224102">
            <w:pPr>
              <w:jc w:val="right"/>
              <w:rPr>
                <w:b/>
                <w:bCs/>
                <w:color w:val="000000"/>
                <w:sz w:val="16"/>
                <w:szCs w:val="16"/>
              </w:rPr>
            </w:pPr>
            <w:r w:rsidRPr="00825FC9">
              <w:rPr>
                <w:b/>
                <w:sz w:val="16"/>
                <w:szCs w:val="16"/>
              </w:rPr>
              <w:t>1,952,977</w:t>
            </w:r>
          </w:p>
        </w:tc>
        <w:tc>
          <w:tcPr>
            <w:tcW w:w="961" w:type="dxa"/>
            <w:shd w:val="clear" w:color="auto" w:fill="auto"/>
            <w:vAlign w:val="bottom"/>
          </w:tcPr>
          <w:p w14:paraId="3A5A0E64" w14:textId="42242B25" w:rsidR="00224102" w:rsidRPr="00EE0075" w:rsidRDefault="00224102" w:rsidP="00224102">
            <w:pPr>
              <w:jc w:val="right"/>
              <w:rPr>
                <w:b/>
                <w:bCs/>
                <w:color w:val="000000"/>
                <w:sz w:val="16"/>
                <w:szCs w:val="16"/>
              </w:rPr>
            </w:pPr>
            <w:r w:rsidRPr="00825FC9">
              <w:rPr>
                <w:b/>
                <w:sz w:val="16"/>
                <w:szCs w:val="16"/>
              </w:rPr>
              <w:t>729,279</w:t>
            </w:r>
          </w:p>
        </w:tc>
        <w:tc>
          <w:tcPr>
            <w:tcW w:w="1047" w:type="dxa"/>
            <w:shd w:val="clear" w:color="auto" w:fill="auto"/>
            <w:vAlign w:val="bottom"/>
          </w:tcPr>
          <w:p w14:paraId="2BE6EA98" w14:textId="639867F0" w:rsidR="00224102" w:rsidRPr="00EE0075" w:rsidRDefault="00224102" w:rsidP="00224102">
            <w:pPr>
              <w:jc w:val="right"/>
              <w:rPr>
                <w:b/>
                <w:bCs/>
                <w:color w:val="000000"/>
                <w:sz w:val="16"/>
                <w:szCs w:val="16"/>
              </w:rPr>
            </w:pPr>
            <w:r w:rsidRPr="00825FC9">
              <w:rPr>
                <w:b/>
                <w:sz w:val="16"/>
                <w:szCs w:val="16"/>
              </w:rPr>
              <w:t>(1,146,416)</w:t>
            </w:r>
          </w:p>
        </w:tc>
        <w:tc>
          <w:tcPr>
            <w:tcW w:w="840" w:type="dxa"/>
            <w:shd w:val="clear" w:color="auto" w:fill="auto"/>
            <w:vAlign w:val="bottom"/>
          </w:tcPr>
          <w:p w14:paraId="54C2A202" w14:textId="4D04B8D7" w:rsidR="00224102" w:rsidRPr="00EE0075" w:rsidRDefault="00224102" w:rsidP="00224102">
            <w:pPr>
              <w:jc w:val="right"/>
              <w:rPr>
                <w:b/>
                <w:bCs/>
                <w:color w:val="000000"/>
                <w:sz w:val="16"/>
                <w:szCs w:val="16"/>
              </w:rPr>
            </w:pPr>
            <w:r w:rsidRPr="00825FC9">
              <w:rPr>
                <w:b/>
                <w:sz w:val="16"/>
                <w:szCs w:val="16"/>
              </w:rPr>
              <w:t>3,077</w:t>
            </w:r>
          </w:p>
        </w:tc>
      </w:tr>
    </w:tbl>
    <w:p w14:paraId="005FDC30" w14:textId="77777777" w:rsidR="00671C27" w:rsidRPr="00604C75" w:rsidRDefault="00312222" w:rsidP="00B85547">
      <w:pPr>
        <w:tabs>
          <w:tab w:val="left" w:pos="142"/>
        </w:tabs>
        <w:spacing w:before="60" w:line="233" w:lineRule="auto"/>
        <w:ind w:left="616" w:hanging="616"/>
        <w:jc w:val="both"/>
        <w:rPr>
          <w:sz w:val="18"/>
          <w:szCs w:val="18"/>
        </w:rPr>
      </w:pPr>
      <w:r w:rsidRPr="00604C75">
        <w:rPr>
          <w:snapToGrid w:val="0"/>
          <w:sz w:val="16"/>
          <w:szCs w:val="16"/>
        </w:rPr>
        <w:t>(*)</w:t>
      </w:r>
      <w:r w:rsidR="009B56DF">
        <w:rPr>
          <w:snapToGrid w:val="0"/>
          <w:sz w:val="16"/>
          <w:szCs w:val="16"/>
        </w:rPr>
        <w:t xml:space="preserve"> </w:t>
      </w:r>
      <w:r w:rsidR="00DE239E">
        <w:rPr>
          <w:snapToGrid w:val="0"/>
          <w:sz w:val="16"/>
          <w:szCs w:val="16"/>
        </w:rPr>
        <w:t xml:space="preserve">      </w:t>
      </w:r>
      <w:r w:rsidR="003147DE">
        <w:rPr>
          <w:snapToGrid w:val="0"/>
          <w:sz w:val="16"/>
          <w:szCs w:val="16"/>
        </w:rPr>
        <w:t xml:space="preserve"> </w:t>
      </w:r>
      <w:r w:rsidR="00671C27" w:rsidRPr="00604C75">
        <w:rPr>
          <w:sz w:val="18"/>
          <w:szCs w:val="18"/>
        </w:rPr>
        <w:t>Investments in associates and subsidiaries, tangible and intangible fixed assets, miscellaneous receivables, deferred tax assets and other assets are classified as non-interest bearing assets.</w:t>
      </w:r>
    </w:p>
    <w:p w14:paraId="788EC00D" w14:textId="3E60C3D6" w:rsidR="00671C27" w:rsidRPr="00604C75" w:rsidRDefault="00312222" w:rsidP="00B85547">
      <w:pPr>
        <w:tabs>
          <w:tab w:val="left" w:pos="567"/>
        </w:tabs>
        <w:spacing w:before="60" w:line="233" w:lineRule="auto"/>
        <w:ind w:left="602" w:hanging="602"/>
        <w:jc w:val="both"/>
        <w:rPr>
          <w:sz w:val="18"/>
          <w:szCs w:val="18"/>
        </w:rPr>
      </w:pPr>
      <w:r w:rsidRPr="00604C75">
        <w:rPr>
          <w:snapToGrid w:val="0"/>
          <w:sz w:val="16"/>
          <w:szCs w:val="16"/>
        </w:rPr>
        <w:t>(**)</w:t>
      </w:r>
      <w:r w:rsidRPr="00604C75">
        <w:rPr>
          <w:sz w:val="18"/>
          <w:szCs w:val="18"/>
          <w:vertAlign w:val="superscript"/>
        </w:rPr>
        <w:t xml:space="preserve"> </w:t>
      </w:r>
      <w:r w:rsidR="00DE239E">
        <w:rPr>
          <w:sz w:val="18"/>
          <w:szCs w:val="18"/>
          <w:vertAlign w:val="superscript"/>
        </w:rPr>
        <w:t xml:space="preserve">   </w:t>
      </w:r>
      <w:r w:rsidR="003147DE">
        <w:rPr>
          <w:sz w:val="18"/>
          <w:szCs w:val="18"/>
          <w:vertAlign w:val="superscript"/>
        </w:rPr>
        <w:t xml:space="preserve">    </w:t>
      </w:r>
      <w:r w:rsidR="00256D64">
        <w:rPr>
          <w:sz w:val="18"/>
          <w:szCs w:val="18"/>
          <w:vertAlign w:val="superscript"/>
        </w:rPr>
        <w:tab/>
      </w:r>
      <w:r w:rsidR="00256D64">
        <w:rPr>
          <w:sz w:val="18"/>
          <w:szCs w:val="18"/>
          <w:vertAlign w:val="superscript"/>
        </w:rPr>
        <w:tab/>
      </w:r>
      <w:r w:rsidR="00256D64" w:rsidRPr="00604C75">
        <w:rPr>
          <w:sz w:val="18"/>
          <w:szCs w:val="18"/>
        </w:rPr>
        <w:t>Leasing receivables are classified to other assets.</w:t>
      </w:r>
    </w:p>
    <w:p w14:paraId="176AAFC8" w14:textId="56EF0194" w:rsidR="00116679" w:rsidRDefault="00312222" w:rsidP="00256D64">
      <w:pPr>
        <w:tabs>
          <w:tab w:val="left" w:pos="284"/>
        </w:tabs>
        <w:spacing w:before="60" w:after="60" w:line="223" w:lineRule="auto"/>
        <w:ind w:left="602" w:hanging="616"/>
        <w:jc w:val="both"/>
        <w:rPr>
          <w:sz w:val="18"/>
          <w:szCs w:val="18"/>
        </w:rPr>
      </w:pPr>
      <w:r w:rsidRPr="00604C75">
        <w:rPr>
          <w:snapToGrid w:val="0"/>
          <w:sz w:val="16"/>
          <w:szCs w:val="16"/>
        </w:rPr>
        <w:t>(***)</w:t>
      </w:r>
      <w:r w:rsidR="009B56DF">
        <w:rPr>
          <w:snapToGrid w:val="0"/>
          <w:sz w:val="16"/>
          <w:szCs w:val="16"/>
        </w:rPr>
        <w:t xml:space="preserve"> </w:t>
      </w:r>
      <w:r w:rsidRPr="00604C75">
        <w:rPr>
          <w:sz w:val="18"/>
          <w:szCs w:val="18"/>
          <w:vertAlign w:val="superscript"/>
        </w:rPr>
        <w:t xml:space="preserve"> </w:t>
      </w:r>
      <w:r w:rsidR="00DE239E">
        <w:rPr>
          <w:sz w:val="18"/>
          <w:szCs w:val="18"/>
          <w:vertAlign w:val="superscript"/>
        </w:rPr>
        <w:t xml:space="preserve">  </w:t>
      </w:r>
      <w:r w:rsidR="00256D64">
        <w:rPr>
          <w:sz w:val="18"/>
          <w:szCs w:val="18"/>
          <w:vertAlign w:val="superscript"/>
        </w:rPr>
        <w:tab/>
      </w:r>
      <w:r w:rsidR="00FC4811" w:rsidRPr="00E83EAC">
        <w:rPr>
          <w:snapToGrid w:val="0"/>
          <w:sz w:val="18"/>
          <w:szCs w:val="18"/>
        </w:rPr>
        <w:t xml:space="preserve">Precious </w:t>
      </w:r>
      <w:r w:rsidR="00FC4811">
        <w:rPr>
          <w:snapToGrid w:val="0"/>
          <w:sz w:val="18"/>
          <w:szCs w:val="18"/>
        </w:rPr>
        <w:t>m</w:t>
      </w:r>
      <w:r w:rsidR="00FC4811" w:rsidRPr="00E83EAC">
        <w:rPr>
          <w:snapToGrid w:val="0"/>
          <w:sz w:val="18"/>
          <w:szCs w:val="18"/>
        </w:rPr>
        <w:t>etal bank account is presented under Bank Deposits.</w:t>
      </w:r>
    </w:p>
    <w:p w14:paraId="09246997" w14:textId="1E4C5FFC" w:rsidR="00B623B1" w:rsidRPr="00604C75" w:rsidRDefault="00B623B1" w:rsidP="00FB0A23">
      <w:pPr>
        <w:tabs>
          <w:tab w:val="left" w:pos="284"/>
        </w:tabs>
        <w:spacing w:line="223" w:lineRule="auto"/>
        <w:jc w:val="both"/>
        <w:rPr>
          <w:sz w:val="18"/>
          <w:szCs w:val="18"/>
        </w:rPr>
      </w:pPr>
      <w:r w:rsidRPr="00E83EAC">
        <w:rPr>
          <w:snapToGrid w:val="0"/>
          <w:sz w:val="16"/>
          <w:szCs w:val="16"/>
        </w:rPr>
        <w:t>(***</w:t>
      </w:r>
      <w:r>
        <w:rPr>
          <w:snapToGrid w:val="0"/>
          <w:sz w:val="16"/>
          <w:szCs w:val="16"/>
        </w:rPr>
        <w:t>*</w:t>
      </w:r>
      <w:r w:rsidRPr="00E83EAC">
        <w:rPr>
          <w:snapToGrid w:val="0"/>
          <w:sz w:val="16"/>
          <w:szCs w:val="16"/>
        </w:rPr>
        <w:t>)</w:t>
      </w:r>
      <w:r w:rsidR="009B56DF">
        <w:rPr>
          <w:snapToGrid w:val="0"/>
          <w:sz w:val="16"/>
          <w:szCs w:val="16"/>
        </w:rPr>
        <w:t xml:space="preserve"> </w:t>
      </w:r>
      <w:r w:rsidR="003147DE">
        <w:rPr>
          <w:snapToGrid w:val="0"/>
          <w:sz w:val="16"/>
          <w:szCs w:val="16"/>
        </w:rPr>
        <w:t xml:space="preserve">  </w:t>
      </w:r>
      <w:r w:rsidR="00FC4811" w:rsidRPr="00604C75">
        <w:rPr>
          <w:sz w:val="18"/>
          <w:szCs w:val="18"/>
        </w:rPr>
        <w:t xml:space="preserve">Taxes payable, charges, duties and premiums, provisions </w:t>
      </w:r>
      <w:proofErr w:type="spellStart"/>
      <w:r w:rsidR="00FC4811" w:rsidRPr="00604C75">
        <w:rPr>
          <w:sz w:val="18"/>
          <w:szCs w:val="18"/>
        </w:rPr>
        <w:t>ve</w:t>
      </w:r>
      <w:proofErr w:type="spellEnd"/>
      <w:r w:rsidR="00FC4811" w:rsidRPr="00604C75">
        <w:rPr>
          <w:sz w:val="18"/>
          <w:szCs w:val="18"/>
        </w:rPr>
        <w:t xml:space="preserve"> shareholders’ equity are classified as non-interest bearing liabilities</w:t>
      </w:r>
      <w:r w:rsidR="00FC4811">
        <w:rPr>
          <w:sz w:val="18"/>
          <w:szCs w:val="18"/>
        </w:rPr>
        <w:t>.</w:t>
      </w:r>
    </w:p>
    <w:p w14:paraId="54F38E9C" w14:textId="1F0C6E0C" w:rsidR="005E33B0" w:rsidRPr="00604C75" w:rsidRDefault="00A041CD" w:rsidP="00490153">
      <w:pPr>
        <w:pageBreakBefore/>
        <w:tabs>
          <w:tab w:val="left" w:pos="1418"/>
        </w:tabs>
        <w:spacing w:before="120" w:line="223" w:lineRule="auto"/>
        <w:ind w:left="1469" w:hanging="1469"/>
        <w:jc w:val="both"/>
        <w:rPr>
          <w:b/>
          <w:sz w:val="20"/>
        </w:rPr>
      </w:pPr>
      <w:r w:rsidRPr="00A041CD">
        <w:rPr>
          <w:b/>
          <w:sz w:val="20"/>
          <w:szCs w:val="20"/>
        </w:rPr>
        <w:lastRenderedPageBreak/>
        <w:t>INFORMATION ON THE FINANCIAL POSITION OF THE GROUP (Continued)</w:t>
      </w:r>
    </w:p>
    <w:p w14:paraId="4F1B0A8F" w14:textId="77777777" w:rsidR="00855FB2" w:rsidRPr="00604C75" w:rsidRDefault="00855FB2" w:rsidP="00490153">
      <w:pPr>
        <w:pStyle w:val="Heading2"/>
        <w:tabs>
          <w:tab w:val="left" w:pos="284"/>
        </w:tabs>
        <w:rPr>
          <w:rFonts w:ascii="Times New Roman" w:hAnsi="Times New Roman"/>
          <w:caps/>
          <w:sz w:val="20"/>
        </w:rPr>
      </w:pPr>
      <w:r w:rsidRPr="00604C75">
        <w:rPr>
          <w:rFonts w:ascii="Times New Roman" w:hAnsi="Times New Roman"/>
          <w:caps/>
          <w:sz w:val="20"/>
        </w:rPr>
        <w:t>V</w:t>
      </w:r>
      <w:r w:rsidR="00D742B6">
        <w:rPr>
          <w:rFonts w:ascii="Times New Roman" w:hAnsi="Times New Roman"/>
          <w:caps/>
          <w:sz w:val="20"/>
        </w:rPr>
        <w:t>I</w:t>
      </w:r>
      <w:r w:rsidRPr="00604C75">
        <w:rPr>
          <w:rFonts w:ascii="Times New Roman" w:hAnsi="Times New Roman"/>
          <w:caps/>
          <w:sz w:val="20"/>
        </w:rPr>
        <w:t>.</w:t>
      </w:r>
      <w:r w:rsidRPr="00604C75">
        <w:rPr>
          <w:rFonts w:ascii="Times New Roman" w:hAnsi="Times New Roman"/>
          <w:caps/>
          <w:sz w:val="20"/>
        </w:rPr>
        <w:tab/>
      </w:r>
      <w:r w:rsidR="00345FEB" w:rsidRPr="00604C75">
        <w:rPr>
          <w:rFonts w:ascii="Times New Roman" w:hAnsi="Times New Roman"/>
          <w:caps/>
          <w:sz w:val="20"/>
        </w:rPr>
        <w:t xml:space="preserve">  </w:t>
      </w:r>
      <w:r w:rsidRPr="00604C75">
        <w:rPr>
          <w:rFonts w:ascii="Times New Roman" w:hAnsi="Times New Roman"/>
          <w:caps/>
          <w:sz w:val="20"/>
        </w:rPr>
        <w:t xml:space="preserve"> </w:t>
      </w:r>
      <w:r w:rsidR="00C6153F" w:rsidRPr="00604C75">
        <w:rPr>
          <w:rFonts w:ascii="Times New Roman" w:hAnsi="Times New Roman"/>
          <w:noProof/>
          <w:sz w:val="20"/>
        </w:rPr>
        <w:t>Explanations</w:t>
      </w:r>
      <w:r w:rsidR="00C6153F" w:rsidRPr="00604C75">
        <w:rPr>
          <w:rFonts w:ascii="Times New Roman" w:hAnsi="Times New Roman"/>
          <w:sz w:val="20"/>
        </w:rPr>
        <w:t xml:space="preserve"> on</w:t>
      </w:r>
      <w:r w:rsidR="00C6153F" w:rsidRPr="00604C75">
        <w:rPr>
          <w:rFonts w:ascii="Times New Roman" w:hAnsi="Times New Roman"/>
          <w:caps/>
          <w:sz w:val="20"/>
        </w:rPr>
        <w:t xml:space="preserve"> </w:t>
      </w:r>
      <w:r w:rsidR="00C6153F" w:rsidRPr="00604C75">
        <w:rPr>
          <w:rFonts w:ascii="Times New Roman" w:hAnsi="Times New Roman"/>
          <w:sz w:val="20"/>
        </w:rPr>
        <w:t>Interest Rate Risk</w:t>
      </w:r>
      <w:r w:rsidR="00C6153F" w:rsidRPr="00604C75">
        <w:rPr>
          <w:rFonts w:ascii="Times New Roman" w:hAnsi="Times New Roman"/>
          <w:caps/>
          <w:sz w:val="20"/>
        </w:rPr>
        <w:t xml:space="preserve"> </w:t>
      </w:r>
      <w:r w:rsidRPr="00604C75">
        <w:rPr>
          <w:sz w:val="20"/>
        </w:rPr>
        <w:t>(</w:t>
      </w:r>
      <w:r w:rsidRPr="00604C75">
        <w:rPr>
          <w:rFonts w:ascii="Times New Roman" w:hAnsi="Times New Roman"/>
          <w:sz w:val="20"/>
        </w:rPr>
        <w:t>Continued)</w:t>
      </w:r>
    </w:p>
    <w:p w14:paraId="187A7CE4" w14:textId="77777777" w:rsidR="00C52702" w:rsidRPr="00604C75" w:rsidRDefault="00C52702" w:rsidP="004F65A5">
      <w:pPr>
        <w:pStyle w:val="BodyTextIndent"/>
        <w:numPr>
          <w:ilvl w:val="0"/>
          <w:numId w:val="54"/>
        </w:numPr>
        <w:tabs>
          <w:tab w:val="left" w:pos="426"/>
        </w:tabs>
        <w:spacing w:before="120"/>
        <w:ind w:left="0" w:firstLine="0"/>
        <w:jc w:val="both"/>
        <w:rPr>
          <w:b/>
          <w:sz w:val="20"/>
          <w:szCs w:val="20"/>
        </w:rPr>
      </w:pPr>
      <w:r w:rsidRPr="00604C75">
        <w:rPr>
          <w:b/>
          <w:sz w:val="20"/>
          <w:szCs w:val="20"/>
        </w:rPr>
        <w:t xml:space="preserve">Interest rate sensitivity of assets, liabilities and off-balance sheet items </w:t>
      </w:r>
      <w:r w:rsidR="001A7587" w:rsidRPr="00604C75">
        <w:rPr>
          <w:b/>
          <w:sz w:val="20"/>
          <w:szCs w:val="20"/>
        </w:rPr>
        <w:t>(</w:t>
      </w:r>
      <w:r w:rsidRPr="00604C75">
        <w:rPr>
          <w:b/>
          <w:sz w:val="20"/>
          <w:szCs w:val="20"/>
        </w:rPr>
        <w:t>based on re-pricing dates</w:t>
      </w:r>
      <w:r w:rsidR="001A7587" w:rsidRPr="00604C75">
        <w:rPr>
          <w:b/>
          <w:sz w:val="20"/>
          <w:szCs w:val="20"/>
        </w:rPr>
        <w:t xml:space="preserve">) </w:t>
      </w:r>
      <w:r w:rsidRPr="00604C75">
        <w:rPr>
          <w:b/>
          <w:sz w:val="20"/>
          <w:szCs w:val="20"/>
        </w:rPr>
        <w:t>(Continued)</w:t>
      </w:r>
    </w:p>
    <w:tbl>
      <w:tblPr>
        <w:tblW w:w="953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801"/>
        <w:gridCol w:w="931"/>
        <w:gridCol w:w="932"/>
        <w:gridCol w:w="981"/>
        <w:gridCol w:w="981"/>
        <w:gridCol w:w="981"/>
        <w:gridCol w:w="1025"/>
        <w:gridCol w:w="903"/>
      </w:tblGrid>
      <w:tr w:rsidR="00345FEB" w:rsidRPr="00604C75" w14:paraId="05B126D5" w14:textId="77777777" w:rsidTr="00B85547">
        <w:trPr>
          <w:trHeight w:val="566"/>
        </w:trPr>
        <w:tc>
          <w:tcPr>
            <w:tcW w:w="2801" w:type="dxa"/>
            <w:shd w:val="clear" w:color="auto" w:fill="auto"/>
            <w:vAlign w:val="bottom"/>
          </w:tcPr>
          <w:p w14:paraId="1A5D1D6A" w14:textId="77777777" w:rsidR="00345FEB" w:rsidRPr="00604C75" w:rsidRDefault="00345FEB" w:rsidP="00CB699F">
            <w:pPr>
              <w:rPr>
                <w:b/>
                <w:snapToGrid w:val="0"/>
                <w:sz w:val="18"/>
                <w:szCs w:val="18"/>
              </w:rPr>
            </w:pPr>
            <w:r w:rsidRPr="00604C75">
              <w:rPr>
                <w:b/>
                <w:sz w:val="18"/>
                <w:szCs w:val="18"/>
              </w:rPr>
              <w:t>31 December 2014</w:t>
            </w:r>
          </w:p>
        </w:tc>
        <w:tc>
          <w:tcPr>
            <w:tcW w:w="931" w:type="dxa"/>
            <w:shd w:val="clear" w:color="auto" w:fill="auto"/>
            <w:vAlign w:val="bottom"/>
          </w:tcPr>
          <w:p w14:paraId="013E328B" w14:textId="77777777" w:rsidR="00345FEB" w:rsidRPr="00604C75" w:rsidRDefault="00345FEB" w:rsidP="00CB699F">
            <w:pPr>
              <w:jc w:val="right"/>
              <w:rPr>
                <w:b/>
                <w:snapToGrid w:val="0"/>
                <w:sz w:val="18"/>
                <w:szCs w:val="18"/>
              </w:rPr>
            </w:pPr>
            <w:r w:rsidRPr="00604C75">
              <w:rPr>
                <w:b/>
                <w:snapToGrid w:val="0"/>
                <w:sz w:val="18"/>
                <w:szCs w:val="18"/>
              </w:rPr>
              <w:t>Up to 1 Month</w:t>
            </w:r>
          </w:p>
        </w:tc>
        <w:tc>
          <w:tcPr>
            <w:tcW w:w="932" w:type="dxa"/>
            <w:shd w:val="clear" w:color="auto" w:fill="auto"/>
            <w:vAlign w:val="bottom"/>
          </w:tcPr>
          <w:p w14:paraId="4A25B977" w14:textId="77777777" w:rsidR="00345FEB" w:rsidRPr="00604C75" w:rsidRDefault="00345FEB" w:rsidP="00CB699F">
            <w:pPr>
              <w:jc w:val="right"/>
              <w:rPr>
                <w:b/>
                <w:snapToGrid w:val="0"/>
                <w:sz w:val="18"/>
                <w:szCs w:val="18"/>
              </w:rPr>
            </w:pPr>
            <w:r w:rsidRPr="00604C75">
              <w:rPr>
                <w:b/>
                <w:snapToGrid w:val="0"/>
                <w:sz w:val="18"/>
                <w:szCs w:val="18"/>
              </w:rPr>
              <w:t>1-3 Months</w:t>
            </w:r>
          </w:p>
        </w:tc>
        <w:tc>
          <w:tcPr>
            <w:tcW w:w="981" w:type="dxa"/>
            <w:shd w:val="clear" w:color="auto" w:fill="auto"/>
            <w:vAlign w:val="bottom"/>
          </w:tcPr>
          <w:p w14:paraId="2448E233" w14:textId="77777777" w:rsidR="00345FEB" w:rsidRPr="00604C75" w:rsidRDefault="00345FEB" w:rsidP="00CB699F">
            <w:pPr>
              <w:jc w:val="right"/>
              <w:rPr>
                <w:b/>
                <w:snapToGrid w:val="0"/>
                <w:sz w:val="18"/>
                <w:szCs w:val="18"/>
              </w:rPr>
            </w:pPr>
            <w:r w:rsidRPr="00604C75">
              <w:rPr>
                <w:b/>
                <w:snapToGrid w:val="0"/>
                <w:sz w:val="18"/>
                <w:szCs w:val="18"/>
              </w:rPr>
              <w:t>3-12 Months</w:t>
            </w:r>
          </w:p>
        </w:tc>
        <w:tc>
          <w:tcPr>
            <w:tcW w:w="981" w:type="dxa"/>
            <w:shd w:val="clear" w:color="auto" w:fill="auto"/>
            <w:vAlign w:val="bottom"/>
          </w:tcPr>
          <w:p w14:paraId="1B1A86E9" w14:textId="77777777" w:rsidR="00345FEB" w:rsidRPr="00604C75" w:rsidRDefault="00345FEB" w:rsidP="00CB699F">
            <w:pPr>
              <w:jc w:val="right"/>
              <w:rPr>
                <w:b/>
                <w:snapToGrid w:val="0"/>
                <w:sz w:val="18"/>
                <w:szCs w:val="18"/>
              </w:rPr>
            </w:pPr>
            <w:r w:rsidRPr="00604C75">
              <w:rPr>
                <w:b/>
                <w:snapToGrid w:val="0"/>
                <w:sz w:val="18"/>
                <w:szCs w:val="18"/>
              </w:rPr>
              <w:t>1-5</w:t>
            </w:r>
          </w:p>
          <w:p w14:paraId="63B65DF4" w14:textId="77777777" w:rsidR="00345FEB" w:rsidRPr="00604C75" w:rsidRDefault="00345FEB" w:rsidP="00CB699F">
            <w:pPr>
              <w:jc w:val="right"/>
              <w:rPr>
                <w:b/>
                <w:snapToGrid w:val="0"/>
                <w:sz w:val="18"/>
                <w:szCs w:val="18"/>
              </w:rPr>
            </w:pPr>
            <w:r w:rsidRPr="00604C75">
              <w:rPr>
                <w:b/>
                <w:snapToGrid w:val="0"/>
                <w:sz w:val="18"/>
                <w:szCs w:val="18"/>
              </w:rPr>
              <w:t>Years</w:t>
            </w:r>
          </w:p>
        </w:tc>
        <w:tc>
          <w:tcPr>
            <w:tcW w:w="981" w:type="dxa"/>
            <w:shd w:val="clear" w:color="auto" w:fill="auto"/>
            <w:vAlign w:val="bottom"/>
          </w:tcPr>
          <w:p w14:paraId="783D2B5F" w14:textId="77777777" w:rsidR="004F65A5" w:rsidRDefault="00345FEB" w:rsidP="00CB699F">
            <w:pPr>
              <w:jc w:val="right"/>
              <w:rPr>
                <w:b/>
                <w:bCs/>
                <w:snapToGrid w:val="0"/>
                <w:sz w:val="18"/>
                <w:szCs w:val="18"/>
              </w:rPr>
            </w:pPr>
            <w:r w:rsidRPr="00604C75">
              <w:rPr>
                <w:b/>
                <w:bCs/>
                <w:snapToGrid w:val="0"/>
                <w:sz w:val="18"/>
                <w:szCs w:val="18"/>
              </w:rPr>
              <w:t xml:space="preserve">5 Years </w:t>
            </w:r>
          </w:p>
          <w:p w14:paraId="663F3427" w14:textId="5DB5DC9D" w:rsidR="00345FEB" w:rsidRPr="00604C75" w:rsidRDefault="00345FEB" w:rsidP="00CB699F">
            <w:pPr>
              <w:jc w:val="right"/>
              <w:rPr>
                <w:b/>
                <w:snapToGrid w:val="0"/>
                <w:sz w:val="18"/>
                <w:szCs w:val="18"/>
              </w:rPr>
            </w:pPr>
            <w:r w:rsidRPr="00604C75">
              <w:rPr>
                <w:b/>
                <w:bCs/>
                <w:snapToGrid w:val="0"/>
                <w:sz w:val="18"/>
                <w:szCs w:val="18"/>
              </w:rPr>
              <w:t>and Over</w:t>
            </w:r>
          </w:p>
        </w:tc>
        <w:tc>
          <w:tcPr>
            <w:tcW w:w="1025" w:type="dxa"/>
            <w:shd w:val="clear" w:color="auto" w:fill="auto"/>
            <w:vAlign w:val="bottom"/>
          </w:tcPr>
          <w:p w14:paraId="21C0A632" w14:textId="77777777" w:rsidR="00345FEB" w:rsidRPr="00604C75" w:rsidRDefault="00345FEB" w:rsidP="00B85547">
            <w:pPr>
              <w:ind w:right="-20"/>
              <w:jc w:val="right"/>
              <w:rPr>
                <w:b/>
                <w:snapToGrid w:val="0"/>
                <w:sz w:val="18"/>
                <w:szCs w:val="18"/>
              </w:rPr>
            </w:pPr>
            <w:r w:rsidRPr="00604C75">
              <w:rPr>
                <w:b/>
                <w:snapToGrid w:val="0"/>
                <w:sz w:val="18"/>
                <w:szCs w:val="18"/>
              </w:rPr>
              <w:t>Non-Interest Bearing</w:t>
            </w:r>
          </w:p>
        </w:tc>
        <w:tc>
          <w:tcPr>
            <w:tcW w:w="903" w:type="dxa"/>
            <w:shd w:val="clear" w:color="auto" w:fill="auto"/>
            <w:vAlign w:val="bottom"/>
          </w:tcPr>
          <w:p w14:paraId="76B48076" w14:textId="77777777" w:rsidR="00345FEB" w:rsidRPr="00604C75" w:rsidRDefault="00345FEB" w:rsidP="00CB699F">
            <w:pPr>
              <w:jc w:val="right"/>
              <w:rPr>
                <w:b/>
                <w:snapToGrid w:val="0"/>
                <w:sz w:val="18"/>
                <w:szCs w:val="18"/>
              </w:rPr>
            </w:pPr>
            <w:r w:rsidRPr="00604C75">
              <w:rPr>
                <w:b/>
                <w:snapToGrid w:val="0"/>
                <w:sz w:val="18"/>
                <w:szCs w:val="18"/>
              </w:rPr>
              <w:t>Total</w:t>
            </w:r>
          </w:p>
        </w:tc>
      </w:tr>
      <w:tr w:rsidR="00345FEB" w:rsidRPr="00604C75" w14:paraId="2EC609F8" w14:textId="77777777" w:rsidTr="00B85547">
        <w:trPr>
          <w:trHeight w:val="182"/>
        </w:trPr>
        <w:tc>
          <w:tcPr>
            <w:tcW w:w="2801" w:type="dxa"/>
            <w:shd w:val="clear" w:color="auto" w:fill="auto"/>
            <w:vAlign w:val="bottom"/>
          </w:tcPr>
          <w:p w14:paraId="782B6582" w14:textId="77777777" w:rsidR="00345FEB" w:rsidRPr="00604C75" w:rsidRDefault="00345FEB" w:rsidP="00CB699F">
            <w:pPr>
              <w:jc w:val="both"/>
              <w:rPr>
                <w:snapToGrid w:val="0"/>
                <w:sz w:val="18"/>
                <w:szCs w:val="18"/>
              </w:rPr>
            </w:pPr>
          </w:p>
        </w:tc>
        <w:tc>
          <w:tcPr>
            <w:tcW w:w="931" w:type="dxa"/>
            <w:shd w:val="clear" w:color="auto" w:fill="auto"/>
            <w:vAlign w:val="bottom"/>
          </w:tcPr>
          <w:p w14:paraId="33E22BE8" w14:textId="77777777" w:rsidR="00345FEB" w:rsidRPr="00604C75" w:rsidRDefault="00345FEB" w:rsidP="00CB699F">
            <w:pPr>
              <w:jc w:val="right"/>
              <w:rPr>
                <w:snapToGrid w:val="0"/>
                <w:sz w:val="18"/>
                <w:szCs w:val="18"/>
              </w:rPr>
            </w:pPr>
          </w:p>
        </w:tc>
        <w:tc>
          <w:tcPr>
            <w:tcW w:w="932" w:type="dxa"/>
            <w:shd w:val="clear" w:color="auto" w:fill="auto"/>
            <w:vAlign w:val="bottom"/>
          </w:tcPr>
          <w:p w14:paraId="06BB2A8B" w14:textId="77777777" w:rsidR="00345FEB" w:rsidRPr="00604C75" w:rsidRDefault="00345FEB" w:rsidP="00CB699F">
            <w:pPr>
              <w:jc w:val="right"/>
              <w:rPr>
                <w:snapToGrid w:val="0"/>
                <w:sz w:val="18"/>
                <w:szCs w:val="18"/>
              </w:rPr>
            </w:pPr>
          </w:p>
        </w:tc>
        <w:tc>
          <w:tcPr>
            <w:tcW w:w="981" w:type="dxa"/>
            <w:shd w:val="clear" w:color="auto" w:fill="auto"/>
            <w:vAlign w:val="bottom"/>
          </w:tcPr>
          <w:p w14:paraId="555BC001" w14:textId="77777777" w:rsidR="00345FEB" w:rsidRPr="00604C75" w:rsidRDefault="00345FEB" w:rsidP="00CB699F">
            <w:pPr>
              <w:jc w:val="right"/>
              <w:rPr>
                <w:snapToGrid w:val="0"/>
                <w:sz w:val="18"/>
                <w:szCs w:val="18"/>
              </w:rPr>
            </w:pPr>
          </w:p>
        </w:tc>
        <w:tc>
          <w:tcPr>
            <w:tcW w:w="981" w:type="dxa"/>
            <w:shd w:val="clear" w:color="auto" w:fill="auto"/>
            <w:vAlign w:val="bottom"/>
          </w:tcPr>
          <w:p w14:paraId="3BE1D854" w14:textId="77777777" w:rsidR="00345FEB" w:rsidRPr="00604C75" w:rsidRDefault="00345FEB" w:rsidP="00CB699F">
            <w:pPr>
              <w:jc w:val="right"/>
              <w:rPr>
                <w:snapToGrid w:val="0"/>
                <w:sz w:val="18"/>
                <w:szCs w:val="18"/>
              </w:rPr>
            </w:pPr>
          </w:p>
        </w:tc>
        <w:tc>
          <w:tcPr>
            <w:tcW w:w="981" w:type="dxa"/>
            <w:shd w:val="clear" w:color="auto" w:fill="auto"/>
            <w:vAlign w:val="bottom"/>
          </w:tcPr>
          <w:p w14:paraId="6234F2EB" w14:textId="77777777" w:rsidR="00345FEB" w:rsidRPr="00604C75" w:rsidRDefault="00345FEB" w:rsidP="00CB699F">
            <w:pPr>
              <w:jc w:val="right"/>
              <w:rPr>
                <w:snapToGrid w:val="0"/>
                <w:sz w:val="18"/>
                <w:szCs w:val="18"/>
              </w:rPr>
            </w:pPr>
          </w:p>
        </w:tc>
        <w:tc>
          <w:tcPr>
            <w:tcW w:w="1025" w:type="dxa"/>
            <w:shd w:val="clear" w:color="auto" w:fill="auto"/>
            <w:vAlign w:val="bottom"/>
          </w:tcPr>
          <w:p w14:paraId="24580A7F" w14:textId="77777777" w:rsidR="00345FEB" w:rsidRPr="00604C75" w:rsidRDefault="00345FEB" w:rsidP="00CB699F">
            <w:pPr>
              <w:jc w:val="right"/>
              <w:rPr>
                <w:snapToGrid w:val="0"/>
                <w:sz w:val="18"/>
                <w:szCs w:val="18"/>
              </w:rPr>
            </w:pPr>
          </w:p>
        </w:tc>
        <w:tc>
          <w:tcPr>
            <w:tcW w:w="903" w:type="dxa"/>
            <w:shd w:val="clear" w:color="auto" w:fill="auto"/>
            <w:vAlign w:val="bottom"/>
          </w:tcPr>
          <w:p w14:paraId="60977DE8" w14:textId="77777777" w:rsidR="00345FEB" w:rsidRPr="00604C75" w:rsidRDefault="00345FEB" w:rsidP="00CB699F">
            <w:pPr>
              <w:jc w:val="right"/>
              <w:rPr>
                <w:snapToGrid w:val="0"/>
                <w:sz w:val="18"/>
                <w:szCs w:val="18"/>
              </w:rPr>
            </w:pPr>
          </w:p>
        </w:tc>
      </w:tr>
      <w:tr w:rsidR="00345FEB" w:rsidRPr="00604C75" w14:paraId="7354512E" w14:textId="77777777" w:rsidTr="00B85547">
        <w:trPr>
          <w:trHeight w:val="292"/>
        </w:trPr>
        <w:tc>
          <w:tcPr>
            <w:tcW w:w="2801" w:type="dxa"/>
            <w:shd w:val="clear" w:color="auto" w:fill="auto"/>
            <w:vAlign w:val="bottom"/>
          </w:tcPr>
          <w:p w14:paraId="7E793D04" w14:textId="77777777" w:rsidR="00345FEB" w:rsidRPr="00604C75" w:rsidRDefault="00345FEB" w:rsidP="00CB699F">
            <w:pPr>
              <w:pStyle w:val="xl79"/>
              <w:pBdr>
                <w:left w:val="none" w:sz="0" w:space="0" w:color="auto"/>
                <w:bottom w:val="none" w:sz="0" w:space="0" w:color="auto"/>
                <w:right w:val="none" w:sz="0" w:space="0" w:color="auto"/>
              </w:pBdr>
              <w:spacing w:before="0" w:beforeAutospacing="0" w:after="0" w:afterAutospacing="0"/>
              <w:rPr>
                <w:rFonts w:eastAsia="Times New Roman"/>
                <w:b/>
                <w:snapToGrid w:val="0"/>
                <w:lang w:val="en-US"/>
              </w:rPr>
            </w:pPr>
            <w:r w:rsidRPr="00604C75">
              <w:rPr>
                <w:rFonts w:eastAsia="Times New Roman"/>
                <w:b/>
                <w:snapToGrid w:val="0"/>
                <w:lang w:val="en-US"/>
              </w:rPr>
              <w:t>Assets</w:t>
            </w:r>
          </w:p>
        </w:tc>
        <w:tc>
          <w:tcPr>
            <w:tcW w:w="931" w:type="dxa"/>
            <w:shd w:val="clear" w:color="auto" w:fill="auto"/>
            <w:vAlign w:val="bottom"/>
          </w:tcPr>
          <w:p w14:paraId="0C26BF10" w14:textId="77777777" w:rsidR="00345FEB" w:rsidRPr="00604C75" w:rsidRDefault="00345FEB" w:rsidP="00CB699F">
            <w:pPr>
              <w:jc w:val="right"/>
              <w:rPr>
                <w:sz w:val="18"/>
                <w:szCs w:val="18"/>
              </w:rPr>
            </w:pPr>
          </w:p>
        </w:tc>
        <w:tc>
          <w:tcPr>
            <w:tcW w:w="932" w:type="dxa"/>
            <w:shd w:val="clear" w:color="auto" w:fill="auto"/>
            <w:vAlign w:val="bottom"/>
          </w:tcPr>
          <w:p w14:paraId="457C7EFC" w14:textId="77777777" w:rsidR="00345FEB" w:rsidRPr="00604C75" w:rsidRDefault="00345FEB" w:rsidP="00CB699F">
            <w:pPr>
              <w:jc w:val="right"/>
              <w:rPr>
                <w:sz w:val="18"/>
                <w:szCs w:val="18"/>
              </w:rPr>
            </w:pPr>
          </w:p>
        </w:tc>
        <w:tc>
          <w:tcPr>
            <w:tcW w:w="981" w:type="dxa"/>
            <w:shd w:val="clear" w:color="auto" w:fill="auto"/>
            <w:vAlign w:val="bottom"/>
          </w:tcPr>
          <w:p w14:paraId="54206FE6" w14:textId="77777777" w:rsidR="00345FEB" w:rsidRPr="00604C75" w:rsidRDefault="00345FEB" w:rsidP="00CB699F">
            <w:pPr>
              <w:jc w:val="right"/>
              <w:rPr>
                <w:sz w:val="18"/>
                <w:szCs w:val="18"/>
              </w:rPr>
            </w:pPr>
          </w:p>
        </w:tc>
        <w:tc>
          <w:tcPr>
            <w:tcW w:w="981" w:type="dxa"/>
            <w:shd w:val="clear" w:color="auto" w:fill="auto"/>
            <w:vAlign w:val="bottom"/>
          </w:tcPr>
          <w:p w14:paraId="7B71A909" w14:textId="77777777" w:rsidR="00345FEB" w:rsidRPr="00604C75" w:rsidRDefault="00345FEB" w:rsidP="00CB699F">
            <w:pPr>
              <w:jc w:val="right"/>
              <w:rPr>
                <w:sz w:val="18"/>
                <w:szCs w:val="18"/>
              </w:rPr>
            </w:pPr>
          </w:p>
        </w:tc>
        <w:tc>
          <w:tcPr>
            <w:tcW w:w="981" w:type="dxa"/>
            <w:shd w:val="clear" w:color="auto" w:fill="auto"/>
            <w:vAlign w:val="bottom"/>
          </w:tcPr>
          <w:p w14:paraId="526EC058" w14:textId="77777777" w:rsidR="00345FEB" w:rsidRPr="00604C75" w:rsidRDefault="00345FEB" w:rsidP="00CB699F">
            <w:pPr>
              <w:jc w:val="right"/>
              <w:rPr>
                <w:sz w:val="18"/>
                <w:szCs w:val="18"/>
              </w:rPr>
            </w:pPr>
          </w:p>
        </w:tc>
        <w:tc>
          <w:tcPr>
            <w:tcW w:w="1025" w:type="dxa"/>
            <w:shd w:val="clear" w:color="auto" w:fill="auto"/>
            <w:vAlign w:val="bottom"/>
          </w:tcPr>
          <w:p w14:paraId="7DD5D664" w14:textId="77777777" w:rsidR="00345FEB" w:rsidRPr="00604C75" w:rsidRDefault="00345FEB" w:rsidP="00CB699F">
            <w:pPr>
              <w:jc w:val="right"/>
              <w:rPr>
                <w:sz w:val="18"/>
                <w:szCs w:val="18"/>
              </w:rPr>
            </w:pPr>
          </w:p>
        </w:tc>
        <w:tc>
          <w:tcPr>
            <w:tcW w:w="903" w:type="dxa"/>
            <w:shd w:val="clear" w:color="auto" w:fill="auto"/>
            <w:vAlign w:val="bottom"/>
          </w:tcPr>
          <w:p w14:paraId="0F8EC626" w14:textId="77777777" w:rsidR="00345FEB" w:rsidRPr="00604C75" w:rsidRDefault="00345FEB" w:rsidP="00CB699F">
            <w:pPr>
              <w:jc w:val="right"/>
              <w:rPr>
                <w:sz w:val="18"/>
                <w:szCs w:val="18"/>
              </w:rPr>
            </w:pPr>
          </w:p>
        </w:tc>
      </w:tr>
      <w:tr w:rsidR="00224102" w:rsidRPr="00604C75" w14:paraId="4BEABB5E" w14:textId="77777777" w:rsidTr="00B85547">
        <w:trPr>
          <w:trHeight w:val="786"/>
        </w:trPr>
        <w:tc>
          <w:tcPr>
            <w:tcW w:w="2801" w:type="dxa"/>
            <w:shd w:val="clear" w:color="auto" w:fill="auto"/>
            <w:vAlign w:val="bottom"/>
          </w:tcPr>
          <w:p w14:paraId="04BB4674" w14:textId="77777777" w:rsidR="00224102" w:rsidRPr="00604C75" w:rsidRDefault="00224102" w:rsidP="00224102">
            <w:pPr>
              <w:rPr>
                <w:snapToGrid w:val="0"/>
                <w:sz w:val="18"/>
                <w:szCs w:val="18"/>
              </w:rPr>
            </w:pPr>
            <w:r w:rsidRPr="00604C75">
              <w:rPr>
                <w:snapToGrid w:val="0"/>
                <w:sz w:val="18"/>
                <w:szCs w:val="18"/>
              </w:rPr>
              <w:t xml:space="preserve">Cash (Cash in Vault, Effectives, Cash in Transit, </w:t>
            </w:r>
            <w:proofErr w:type="spellStart"/>
            <w:r w:rsidRPr="00604C75">
              <w:rPr>
                <w:snapToGrid w:val="0"/>
                <w:sz w:val="18"/>
                <w:szCs w:val="18"/>
              </w:rPr>
              <w:t>Cheques</w:t>
            </w:r>
            <w:proofErr w:type="spellEnd"/>
            <w:r w:rsidRPr="00604C75">
              <w:rPr>
                <w:snapToGrid w:val="0"/>
                <w:sz w:val="18"/>
                <w:szCs w:val="18"/>
              </w:rPr>
              <w:t xml:space="preserve"> Purchased) and Balances with the Central Bank of the Republic Turkey</w:t>
            </w:r>
          </w:p>
        </w:tc>
        <w:tc>
          <w:tcPr>
            <w:tcW w:w="931" w:type="dxa"/>
            <w:shd w:val="clear" w:color="auto" w:fill="auto"/>
            <w:vAlign w:val="bottom"/>
          </w:tcPr>
          <w:p w14:paraId="1F8A839E" w14:textId="2CE1BF7A" w:rsidR="00224102" w:rsidRPr="00604C75" w:rsidRDefault="00224102" w:rsidP="00224102">
            <w:pPr>
              <w:jc w:val="right"/>
              <w:rPr>
                <w:sz w:val="18"/>
                <w:szCs w:val="18"/>
              </w:rPr>
            </w:pPr>
            <w:r w:rsidRPr="00433591">
              <w:rPr>
                <w:sz w:val="16"/>
                <w:szCs w:val="16"/>
              </w:rPr>
              <w:t>1,134,326</w:t>
            </w:r>
          </w:p>
        </w:tc>
        <w:tc>
          <w:tcPr>
            <w:tcW w:w="932" w:type="dxa"/>
            <w:shd w:val="clear" w:color="auto" w:fill="auto"/>
            <w:vAlign w:val="bottom"/>
          </w:tcPr>
          <w:p w14:paraId="1FE81613" w14:textId="7BAABED5"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25A389EE" w14:textId="0F86290D"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0DEF3DB1" w14:textId="6FAE94CF"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2E1E54B1" w14:textId="0042BC35"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5CA3D647" w14:textId="41400FF1" w:rsidR="00224102" w:rsidRPr="00604C75" w:rsidRDefault="00224102" w:rsidP="00224102">
            <w:pPr>
              <w:jc w:val="right"/>
              <w:rPr>
                <w:sz w:val="18"/>
                <w:szCs w:val="18"/>
              </w:rPr>
            </w:pPr>
            <w:r w:rsidRPr="00433591">
              <w:rPr>
                <w:sz w:val="16"/>
                <w:szCs w:val="16"/>
              </w:rPr>
              <w:t>223,918</w:t>
            </w:r>
          </w:p>
        </w:tc>
        <w:tc>
          <w:tcPr>
            <w:tcW w:w="903" w:type="dxa"/>
            <w:shd w:val="clear" w:color="auto" w:fill="auto"/>
            <w:vAlign w:val="bottom"/>
          </w:tcPr>
          <w:p w14:paraId="146042AE" w14:textId="763C4386" w:rsidR="00224102" w:rsidRPr="00604C75" w:rsidRDefault="00224102" w:rsidP="00224102">
            <w:pPr>
              <w:jc w:val="right"/>
              <w:rPr>
                <w:b/>
                <w:sz w:val="18"/>
                <w:szCs w:val="18"/>
              </w:rPr>
            </w:pPr>
            <w:r w:rsidRPr="00433591">
              <w:rPr>
                <w:sz w:val="16"/>
                <w:szCs w:val="16"/>
              </w:rPr>
              <w:t>1,358,244</w:t>
            </w:r>
          </w:p>
        </w:tc>
      </w:tr>
      <w:tr w:rsidR="00224102" w:rsidRPr="00604C75" w14:paraId="2BC134DC" w14:textId="77777777" w:rsidTr="00B85547">
        <w:trPr>
          <w:trHeight w:val="182"/>
        </w:trPr>
        <w:tc>
          <w:tcPr>
            <w:tcW w:w="2801" w:type="dxa"/>
            <w:shd w:val="clear" w:color="auto" w:fill="auto"/>
            <w:vAlign w:val="bottom"/>
          </w:tcPr>
          <w:p w14:paraId="0722DACC" w14:textId="77777777" w:rsidR="00224102" w:rsidRPr="00604C75" w:rsidRDefault="00224102" w:rsidP="00224102">
            <w:pPr>
              <w:rPr>
                <w:i/>
                <w:snapToGrid w:val="0"/>
                <w:sz w:val="18"/>
                <w:szCs w:val="18"/>
              </w:rPr>
            </w:pPr>
            <w:r w:rsidRPr="00604C75">
              <w:rPr>
                <w:snapToGrid w:val="0"/>
                <w:sz w:val="18"/>
                <w:szCs w:val="18"/>
              </w:rPr>
              <w:t>Banks</w:t>
            </w:r>
          </w:p>
        </w:tc>
        <w:tc>
          <w:tcPr>
            <w:tcW w:w="931" w:type="dxa"/>
            <w:shd w:val="clear" w:color="auto" w:fill="auto"/>
            <w:vAlign w:val="bottom"/>
          </w:tcPr>
          <w:p w14:paraId="5F3068D3" w14:textId="30262116" w:rsidR="00224102" w:rsidRPr="00604C75" w:rsidRDefault="00224102" w:rsidP="00224102">
            <w:pPr>
              <w:jc w:val="right"/>
              <w:rPr>
                <w:sz w:val="18"/>
                <w:szCs w:val="18"/>
              </w:rPr>
            </w:pPr>
            <w:r w:rsidRPr="00433591">
              <w:rPr>
                <w:sz w:val="16"/>
                <w:szCs w:val="16"/>
              </w:rPr>
              <w:t>94,136</w:t>
            </w:r>
          </w:p>
        </w:tc>
        <w:tc>
          <w:tcPr>
            <w:tcW w:w="932" w:type="dxa"/>
            <w:shd w:val="clear" w:color="auto" w:fill="auto"/>
            <w:vAlign w:val="bottom"/>
          </w:tcPr>
          <w:p w14:paraId="5F3240A4" w14:textId="68034BFE"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25E6B330" w14:textId="1A7A611D"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1E750996" w14:textId="7C54D744"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0AFD8E78" w14:textId="0BEECDA8"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3C4F564E" w14:textId="38E32067" w:rsidR="00224102" w:rsidRPr="00604C75" w:rsidRDefault="00224102" w:rsidP="00224102">
            <w:pPr>
              <w:jc w:val="right"/>
              <w:rPr>
                <w:sz w:val="18"/>
                <w:szCs w:val="18"/>
              </w:rPr>
            </w:pPr>
            <w:r w:rsidRPr="00433591">
              <w:rPr>
                <w:sz w:val="16"/>
                <w:szCs w:val="16"/>
              </w:rPr>
              <w:t>11,079</w:t>
            </w:r>
          </w:p>
        </w:tc>
        <w:tc>
          <w:tcPr>
            <w:tcW w:w="903" w:type="dxa"/>
            <w:shd w:val="clear" w:color="auto" w:fill="auto"/>
            <w:vAlign w:val="bottom"/>
          </w:tcPr>
          <w:p w14:paraId="4AAEB777" w14:textId="611BAFA7" w:rsidR="00224102" w:rsidRPr="00604C75" w:rsidRDefault="00224102" w:rsidP="00224102">
            <w:pPr>
              <w:jc w:val="right"/>
              <w:rPr>
                <w:b/>
                <w:sz w:val="18"/>
                <w:szCs w:val="18"/>
              </w:rPr>
            </w:pPr>
            <w:r w:rsidRPr="00433591">
              <w:rPr>
                <w:sz w:val="16"/>
                <w:szCs w:val="16"/>
              </w:rPr>
              <w:t>105,215</w:t>
            </w:r>
          </w:p>
        </w:tc>
      </w:tr>
      <w:tr w:rsidR="00224102" w:rsidRPr="00604C75" w14:paraId="4CF46B4B" w14:textId="77777777" w:rsidTr="00B85547">
        <w:trPr>
          <w:trHeight w:val="384"/>
        </w:trPr>
        <w:tc>
          <w:tcPr>
            <w:tcW w:w="2801" w:type="dxa"/>
            <w:shd w:val="clear" w:color="auto" w:fill="auto"/>
            <w:vAlign w:val="bottom"/>
          </w:tcPr>
          <w:p w14:paraId="2E15B397" w14:textId="77777777" w:rsidR="00224102" w:rsidRPr="00604C75" w:rsidRDefault="00224102" w:rsidP="00224102">
            <w:pPr>
              <w:rPr>
                <w:snapToGrid w:val="0"/>
                <w:sz w:val="18"/>
                <w:szCs w:val="18"/>
              </w:rPr>
            </w:pPr>
            <w:r w:rsidRPr="00604C75">
              <w:rPr>
                <w:snapToGrid w:val="0"/>
                <w:sz w:val="18"/>
                <w:szCs w:val="18"/>
              </w:rPr>
              <w:t>Financial Assets at Fair Value Through Profit and Loss</w:t>
            </w:r>
          </w:p>
        </w:tc>
        <w:tc>
          <w:tcPr>
            <w:tcW w:w="931" w:type="dxa"/>
            <w:shd w:val="clear" w:color="auto" w:fill="auto"/>
            <w:vAlign w:val="bottom"/>
          </w:tcPr>
          <w:p w14:paraId="11976F44" w14:textId="5C02DAFE" w:rsidR="00224102" w:rsidRPr="00604C75" w:rsidRDefault="00224102" w:rsidP="00224102">
            <w:pPr>
              <w:jc w:val="right"/>
              <w:rPr>
                <w:sz w:val="18"/>
                <w:szCs w:val="18"/>
              </w:rPr>
            </w:pPr>
            <w:r w:rsidRPr="00433591">
              <w:rPr>
                <w:sz w:val="16"/>
                <w:szCs w:val="16"/>
              </w:rPr>
              <w:t>18,124</w:t>
            </w:r>
          </w:p>
        </w:tc>
        <w:tc>
          <w:tcPr>
            <w:tcW w:w="932" w:type="dxa"/>
            <w:shd w:val="clear" w:color="auto" w:fill="auto"/>
            <w:vAlign w:val="bottom"/>
          </w:tcPr>
          <w:p w14:paraId="79943B26" w14:textId="0EA8A61A" w:rsidR="00224102" w:rsidRPr="00604C75" w:rsidRDefault="00224102" w:rsidP="00224102">
            <w:pPr>
              <w:jc w:val="right"/>
              <w:rPr>
                <w:sz w:val="18"/>
                <w:szCs w:val="18"/>
              </w:rPr>
            </w:pPr>
            <w:r w:rsidRPr="00433591">
              <w:rPr>
                <w:sz w:val="16"/>
                <w:szCs w:val="16"/>
              </w:rPr>
              <w:t>11,226</w:t>
            </w:r>
          </w:p>
        </w:tc>
        <w:tc>
          <w:tcPr>
            <w:tcW w:w="981" w:type="dxa"/>
            <w:shd w:val="clear" w:color="auto" w:fill="auto"/>
            <w:vAlign w:val="bottom"/>
          </w:tcPr>
          <w:p w14:paraId="46AE0A87" w14:textId="45EDBB56" w:rsidR="00224102" w:rsidRPr="00604C75" w:rsidRDefault="00224102" w:rsidP="00224102">
            <w:pPr>
              <w:jc w:val="right"/>
              <w:rPr>
                <w:sz w:val="18"/>
                <w:szCs w:val="18"/>
              </w:rPr>
            </w:pPr>
            <w:r w:rsidRPr="00433591">
              <w:rPr>
                <w:sz w:val="16"/>
                <w:szCs w:val="16"/>
              </w:rPr>
              <w:t>30,781</w:t>
            </w:r>
          </w:p>
        </w:tc>
        <w:tc>
          <w:tcPr>
            <w:tcW w:w="981" w:type="dxa"/>
            <w:shd w:val="clear" w:color="auto" w:fill="auto"/>
            <w:vAlign w:val="bottom"/>
          </w:tcPr>
          <w:p w14:paraId="1DD6C246" w14:textId="36C0E132" w:rsidR="00224102" w:rsidRPr="00604C75" w:rsidRDefault="00224102" w:rsidP="00224102">
            <w:pPr>
              <w:jc w:val="right"/>
              <w:rPr>
                <w:sz w:val="18"/>
                <w:szCs w:val="18"/>
              </w:rPr>
            </w:pPr>
            <w:r w:rsidRPr="00433591">
              <w:rPr>
                <w:sz w:val="16"/>
                <w:szCs w:val="16"/>
              </w:rPr>
              <w:t>11,884</w:t>
            </w:r>
          </w:p>
        </w:tc>
        <w:tc>
          <w:tcPr>
            <w:tcW w:w="981" w:type="dxa"/>
            <w:shd w:val="clear" w:color="auto" w:fill="auto"/>
            <w:vAlign w:val="bottom"/>
          </w:tcPr>
          <w:p w14:paraId="52E7BA1D" w14:textId="38C3DC66" w:rsidR="00224102" w:rsidRPr="00604C75" w:rsidRDefault="00224102" w:rsidP="00224102">
            <w:pPr>
              <w:jc w:val="right"/>
              <w:rPr>
                <w:sz w:val="18"/>
                <w:szCs w:val="18"/>
              </w:rPr>
            </w:pPr>
            <w:r w:rsidRPr="00433591">
              <w:rPr>
                <w:sz w:val="16"/>
                <w:szCs w:val="16"/>
              </w:rPr>
              <w:t>636</w:t>
            </w:r>
          </w:p>
        </w:tc>
        <w:tc>
          <w:tcPr>
            <w:tcW w:w="1025" w:type="dxa"/>
            <w:shd w:val="clear" w:color="auto" w:fill="auto"/>
            <w:vAlign w:val="bottom"/>
          </w:tcPr>
          <w:p w14:paraId="1EDBDDB4" w14:textId="6F654758" w:rsidR="00224102" w:rsidRPr="00604C75" w:rsidRDefault="00224102" w:rsidP="00224102">
            <w:pPr>
              <w:jc w:val="right"/>
              <w:rPr>
                <w:sz w:val="18"/>
                <w:szCs w:val="18"/>
              </w:rPr>
            </w:pPr>
            <w:r w:rsidRPr="00433591">
              <w:rPr>
                <w:sz w:val="16"/>
                <w:szCs w:val="16"/>
              </w:rPr>
              <w:t>1,546</w:t>
            </w:r>
          </w:p>
        </w:tc>
        <w:tc>
          <w:tcPr>
            <w:tcW w:w="903" w:type="dxa"/>
            <w:shd w:val="clear" w:color="auto" w:fill="auto"/>
            <w:vAlign w:val="bottom"/>
          </w:tcPr>
          <w:p w14:paraId="73D4FCD5" w14:textId="0BC35771" w:rsidR="00224102" w:rsidRPr="00604C75" w:rsidRDefault="00224102" w:rsidP="00224102">
            <w:pPr>
              <w:jc w:val="right"/>
              <w:rPr>
                <w:b/>
                <w:sz w:val="18"/>
                <w:szCs w:val="18"/>
              </w:rPr>
            </w:pPr>
            <w:r w:rsidRPr="00433591">
              <w:rPr>
                <w:sz w:val="16"/>
                <w:szCs w:val="16"/>
              </w:rPr>
              <w:t>74,197</w:t>
            </w:r>
          </w:p>
        </w:tc>
      </w:tr>
      <w:tr w:rsidR="00224102" w:rsidRPr="00604C75" w14:paraId="08321844" w14:textId="77777777" w:rsidTr="00B85547">
        <w:trPr>
          <w:trHeight w:val="182"/>
        </w:trPr>
        <w:tc>
          <w:tcPr>
            <w:tcW w:w="2801" w:type="dxa"/>
            <w:shd w:val="clear" w:color="auto" w:fill="auto"/>
            <w:vAlign w:val="bottom"/>
          </w:tcPr>
          <w:p w14:paraId="57C4F616" w14:textId="77777777" w:rsidR="00224102" w:rsidRPr="00604C75" w:rsidRDefault="00224102" w:rsidP="00224102">
            <w:pPr>
              <w:rPr>
                <w:snapToGrid w:val="0"/>
                <w:sz w:val="18"/>
                <w:szCs w:val="18"/>
              </w:rPr>
            </w:pPr>
            <w:r w:rsidRPr="00604C75">
              <w:rPr>
                <w:snapToGrid w:val="0"/>
                <w:sz w:val="18"/>
                <w:szCs w:val="18"/>
              </w:rPr>
              <w:t>Money Market Placements</w:t>
            </w:r>
          </w:p>
        </w:tc>
        <w:tc>
          <w:tcPr>
            <w:tcW w:w="931" w:type="dxa"/>
            <w:shd w:val="clear" w:color="auto" w:fill="auto"/>
            <w:vAlign w:val="bottom"/>
          </w:tcPr>
          <w:p w14:paraId="3A217BAA" w14:textId="38180F61" w:rsidR="00224102" w:rsidRPr="00604C75" w:rsidRDefault="00224102" w:rsidP="00224102">
            <w:pPr>
              <w:jc w:val="right"/>
              <w:rPr>
                <w:sz w:val="18"/>
                <w:szCs w:val="18"/>
              </w:rPr>
            </w:pPr>
            <w:r w:rsidRPr="00433591">
              <w:rPr>
                <w:sz w:val="16"/>
                <w:szCs w:val="16"/>
              </w:rPr>
              <w:t>6,774</w:t>
            </w:r>
          </w:p>
        </w:tc>
        <w:tc>
          <w:tcPr>
            <w:tcW w:w="932" w:type="dxa"/>
            <w:shd w:val="clear" w:color="auto" w:fill="auto"/>
            <w:vAlign w:val="bottom"/>
          </w:tcPr>
          <w:p w14:paraId="31920226" w14:textId="0216412D"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49693A08" w14:textId="653EDD67"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64E410A8" w14:textId="72BA7402"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1C5FEF60" w14:textId="2C6DD937"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276EF065" w14:textId="7324A372" w:rsidR="00224102" w:rsidRPr="00604C75" w:rsidRDefault="00224102" w:rsidP="00224102">
            <w:pPr>
              <w:jc w:val="right"/>
              <w:rPr>
                <w:sz w:val="18"/>
                <w:szCs w:val="18"/>
              </w:rPr>
            </w:pPr>
            <w:r w:rsidRPr="00433591">
              <w:rPr>
                <w:sz w:val="16"/>
                <w:szCs w:val="16"/>
              </w:rPr>
              <w:t>-</w:t>
            </w:r>
          </w:p>
        </w:tc>
        <w:tc>
          <w:tcPr>
            <w:tcW w:w="903" w:type="dxa"/>
            <w:shd w:val="clear" w:color="auto" w:fill="auto"/>
            <w:vAlign w:val="bottom"/>
          </w:tcPr>
          <w:p w14:paraId="66092735" w14:textId="7A4E7D8B" w:rsidR="00224102" w:rsidRPr="00604C75" w:rsidRDefault="00224102" w:rsidP="00224102">
            <w:pPr>
              <w:jc w:val="right"/>
              <w:rPr>
                <w:b/>
                <w:sz w:val="18"/>
                <w:szCs w:val="18"/>
              </w:rPr>
            </w:pPr>
            <w:r w:rsidRPr="00433591">
              <w:rPr>
                <w:sz w:val="16"/>
                <w:szCs w:val="16"/>
              </w:rPr>
              <w:t>6,774</w:t>
            </w:r>
          </w:p>
        </w:tc>
      </w:tr>
      <w:tr w:rsidR="00224102" w:rsidRPr="00604C75" w14:paraId="23746113" w14:textId="77777777" w:rsidTr="00B85547">
        <w:trPr>
          <w:trHeight w:val="201"/>
        </w:trPr>
        <w:tc>
          <w:tcPr>
            <w:tcW w:w="2801" w:type="dxa"/>
            <w:shd w:val="clear" w:color="auto" w:fill="auto"/>
            <w:vAlign w:val="bottom"/>
          </w:tcPr>
          <w:p w14:paraId="04D98D6C" w14:textId="77777777" w:rsidR="00224102" w:rsidRPr="00604C75" w:rsidRDefault="00224102" w:rsidP="00224102">
            <w:pPr>
              <w:rPr>
                <w:snapToGrid w:val="0"/>
                <w:sz w:val="18"/>
                <w:szCs w:val="18"/>
              </w:rPr>
            </w:pPr>
            <w:r w:rsidRPr="00604C75">
              <w:rPr>
                <w:snapToGrid w:val="0"/>
                <w:sz w:val="18"/>
                <w:szCs w:val="18"/>
              </w:rPr>
              <w:t>Financial Assets Available-for-Sale</w:t>
            </w:r>
          </w:p>
        </w:tc>
        <w:tc>
          <w:tcPr>
            <w:tcW w:w="931" w:type="dxa"/>
            <w:shd w:val="clear" w:color="auto" w:fill="auto"/>
            <w:vAlign w:val="bottom"/>
          </w:tcPr>
          <w:p w14:paraId="29131BDD" w14:textId="375A3EA4" w:rsidR="00224102" w:rsidRPr="00604C75" w:rsidRDefault="00224102" w:rsidP="00224102">
            <w:pPr>
              <w:jc w:val="right"/>
              <w:rPr>
                <w:sz w:val="18"/>
                <w:szCs w:val="18"/>
              </w:rPr>
            </w:pPr>
            <w:r w:rsidRPr="00433591">
              <w:rPr>
                <w:sz w:val="16"/>
                <w:szCs w:val="16"/>
              </w:rPr>
              <w:t>103</w:t>
            </w:r>
          </w:p>
        </w:tc>
        <w:tc>
          <w:tcPr>
            <w:tcW w:w="932" w:type="dxa"/>
            <w:shd w:val="clear" w:color="auto" w:fill="auto"/>
            <w:vAlign w:val="bottom"/>
          </w:tcPr>
          <w:p w14:paraId="5D20A687" w14:textId="5DDD3D88" w:rsidR="00224102" w:rsidRPr="00604C75" w:rsidRDefault="00224102" w:rsidP="00224102">
            <w:pPr>
              <w:jc w:val="right"/>
              <w:rPr>
                <w:sz w:val="18"/>
                <w:szCs w:val="18"/>
              </w:rPr>
            </w:pPr>
            <w:r w:rsidRPr="00433591">
              <w:rPr>
                <w:sz w:val="16"/>
                <w:szCs w:val="16"/>
              </w:rPr>
              <w:t>337,367</w:t>
            </w:r>
          </w:p>
        </w:tc>
        <w:tc>
          <w:tcPr>
            <w:tcW w:w="981" w:type="dxa"/>
            <w:shd w:val="clear" w:color="auto" w:fill="auto"/>
            <w:vAlign w:val="bottom"/>
          </w:tcPr>
          <w:p w14:paraId="48A1808E" w14:textId="74714AF9" w:rsidR="00224102" w:rsidRPr="00604C75" w:rsidRDefault="00224102" w:rsidP="00224102">
            <w:pPr>
              <w:jc w:val="right"/>
              <w:rPr>
                <w:sz w:val="18"/>
                <w:szCs w:val="18"/>
              </w:rPr>
            </w:pPr>
            <w:r w:rsidRPr="00433591">
              <w:rPr>
                <w:sz w:val="16"/>
                <w:szCs w:val="16"/>
              </w:rPr>
              <w:t>534,779</w:t>
            </w:r>
          </w:p>
        </w:tc>
        <w:tc>
          <w:tcPr>
            <w:tcW w:w="981" w:type="dxa"/>
            <w:shd w:val="clear" w:color="auto" w:fill="auto"/>
            <w:vAlign w:val="bottom"/>
          </w:tcPr>
          <w:p w14:paraId="76CD968F" w14:textId="39A8FD50"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4815D706" w14:textId="6EC9EE94" w:rsidR="00224102" w:rsidRPr="00604C75" w:rsidRDefault="00224102" w:rsidP="00224102">
            <w:pPr>
              <w:jc w:val="right"/>
              <w:rPr>
                <w:sz w:val="18"/>
                <w:szCs w:val="18"/>
              </w:rPr>
            </w:pPr>
            <w:r w:rsidRPr="00433591">
              <w:rPr>
                <w:sz w:val="16"/>
                <w:szCs w:val="16"/>
              </w:rPr>
              <w:t>23,696</w:t>
            </w:r>
          </w:p>
        </w:tc>
        <w:tc>
          <w:tcPr>
            <w:tcW w:w="1025" w:type="dxa"/>
            <w:shd w:val="clear" w:color="auto" w:fill="auto"/>
            <w:vAlign w:val="bottom"/>
          </w:tcPr>
          <w:p w14:paraId="08E6CA63" w14:textId="50F22966" w:rsidR="00224102" w:rsidRPr="00604C75" w:rsidRDefault="00224102" w:rsidP="00224102">
            <w:pPr>
              <w:jc w:val="right"/>
              <w:rPr>
                <w:sz w:val="18"/>
                <w:szCs w:val="18"/>
              </w:rPr>
            </w:pPr>
            <w:r w:rsidRPr="00433591">
              <w:rPr>
                <w:sz w:val="16"/>
                <w:szCs w:val="16"/>
              </w:rPr>
              <w:t>163</w:t>
            </w:r>
          </w:p>
        </w:tc>
        <w:tc>
          <w:tcPr>
            <w:tcW w:w="903" w:type="dxa"/>
            <w:shd w:val="clear" w:color="auto" w:fill="auto"/>
            <w:vAlign w:val="bottom"/>
          </w:tcPr>
          <w:p w14:paraId="18EEFD34" w14:textId="0DA15BF7" w:rsidR="00224102" w:rsidRPr="00604C75" w:rsidRDefault="00224102" w:rsidP="00224102">
            <w:pPr>
              <w:jc w:val="right"/>
              <w:rPr>
                <w:b/>
                <w:sz w:val="18"/>
                <w:szCs w:val="18"/>
              </w:rPr>
            </w:pPr>
            <w:r w:rsidRPr="00433591">
              <w:rPr>
                <w:sz w:val="16"/>
                <w:szCs w:val="16"/>
              </w:rPr>
              <w:t>896,108</w:t>
            </w:r>
          </w:p>
        </w:tc>
      </w:tr>
      <w:tr w:rsidR="00224102" w:rsidRPr="00604C75" w14:paraId="43633CE1" w14:textId="77777777" w:rsidTr="00B85547">
        <w:trPr>
          <w:trHeight w:val="182"/>
        </w:trPr>
        <w:tc>
          <w:tcPr>
            <w:tcW w:w="2801" w:type="dxa"/>
            <w:shd w:val="clear" w:color="auto" w:fill="auto"/>
            <w:vAlign w:val="bottom"/>
          </w:tcPr>
          <w:p w14:paraId="42BCDDAF" w14:textId="77777777" w:rsidR="00224102" w:rsidRPr="00604C75" w:rsidRDefault="00224102" w:rsidP="00224102">
            <w:pPr>
              <w:rPr>
                <w:snapToGrid w:val="0"/>
                <w:sz w:val="18"/>
                <w:szCs w:val="18"/>
              </w:rPr>
            </w:pPr>
            <w:r w:rsidRPr="00604C75">
              <w:rPr>
                <w:snapToGrid w:val="0"/>
                <w:sz w:val="18"/>
                <w:szCs w:val="18"/>
              </w:rPr>
              <w:t>Loans</w:t>
            </w:r>
          </w:p>
        </w:tc>
        <w:tc>
          <w:tcPr>
            <w:tcW w:w="931" w:type="dxa"/>
            <w:shd w:val="clear" w:color="auto" w:fill="auto"/>
            <w:vAlign w:val="bottom"/>
          </w:tcPr>
          <w:p w14:paraId="62915CDC" w14:textId="147304D8" w:rsidR="00224102" w:rsidRPr="00604C75" w:rsidRDefault="00224102" w:rsidP="00224102">
            <w:pPr>
              <w:jc w:val="right"/>
              <w:rPr>
                <w:sz w:val="18"/>
                <w:szCs w:val="18"/>
              </w:rPr>
            </w:pPr>
            <w:r w:rsidRPr="00433591">
              <w:rPr>
                <w:sz w:val="16"/>
                <w:szCs w:val="16"/>
              </w:rPr>
              <w:t>3,287,696</w:t>
            </w:r>
          </w:p>
        </w:tc>
        <w:tc>
          <w:tcPr>
            <w:tcW w:w="932" w:type="dxa"/>
            <w:shd w:val="clear" w:color="auto" w:fill="auto"/>
            <w:vAlign w:val="bottom"/>
          </w:tcPr>
          <w:p w14:paraId="7DA45F66" w14:textId="22665A6A" w:rsidR="00224102" w:rsidRPr="00604C75" w:rsidRDefault="00224102" w:rsidP="00224102">
            <w:pPr>
              <w:jc w:val="right"/>
              <w:rPr>
                <w:sz w:val="18"/>
                <w:szCs w:val="18"/>
              </w:rPr>
            </w:pPr>
            <w:r w:rsidRPr="00433591">
              <w:rPr>
                <w:sz w:val="16"/>
                <w:szCs w:val="16"/>
              </w:rPr>
              <w:t>474,914</w:t>
            </w:r>
          </w:p>
        </w:tc>
        <w:tc>
          <w:tcPr>
            <w:tcW w:w="981" w:type="dxa"/>
            <w:shd w:val="clear" w:color="auto" w:fill="auto"/>
            <w:vAlign w:val="bottom"/>
          </w:tcPr>
          <w:p w14:paraId="25ECD972" w14:textId="6E921CE9" w:rsidR="00224102" w:rsidRPr="00604C75" w:rsidRDefault="00224102" w:rsidP="00224102">
            <w:pPr>
              <w:jc w:val="right"/>
              <w:rPr>
                <w:sz w:val="18"/>
                <w:szCs w:val="18"/>
              </w:rPr>
            </w:pPr>
            <w:r w:rsidRPr="00433591">
              <w:rPr>
                <w:sz w:val="16"/>
                <w:szCs w:val="16"/>
              </w:rPr>
              <w:t>1,722,187</w:t>
            </w:r>
          </w:p>
        </w:tc>
        <w:tc>
          <w:tcPr>
            <w:tcW w:w="981" w:type="dxa"/>
            <w:shd w:val="clear" w:color="auto" w:fill="auto"/>
            <w:vAlign w:val="bottom"/>
          </w:tcPr>
          <w:p w14:paraId="0A5EBAF7" w14:textId="29C40B07" w:rsidR="00224102" w:rsidRPr="00604C75" w:rsidRDefault="00224102" w:rsidP="00224102">
            <w:pPr>
              <w:jc w:val="right"/>
              <w:rPr>
                <w:sz w:val="18"/>
                <w:szCs w:val="18"/>
              </w:rPr>
            </w:pPr>
            <w:r w:rsidRPr="00433591">
              <w:rPr>
                <w:sz w:val="16"/>
                <w:szCs w:val="16"/>
              </w:rPr>
              <w:t>1,837,668</w:t>
            </w:r>
          </w:p>
        </w:tc>
        <w:tc>
          <w:tcPr>
            <w:tcW w:w="981" w:type="dxa"/>
            <w:shd w:val="clear" w:color="auto" w:fill="auto"/>
            <w:vAlign w:val="bottom"/>
          </w:tcPr>
          <w:p w14:paraId="6F375352" w14:textId="3AFBB66A" w:rsidR="00224102" w:rsidRPr="00604C75" w:rsidRDefault="00224102" w:rsidP="00224102">
            <w:pPr>
              <w:jc w:val="right"/>
              <w:rPr>
                <w:sz w:val="18"/>
                <w:szCs w:val="18"/>
              </w:rPr>
            </w:pPr>
            <w:r w:rsidRPr="00433591">
              <w:rPr>
                <w:sz w:val="16"/>
                <w:szCs w:val="16"/>
              </w:rPr>
              <w:t>405,445</w:t>
            </w:r>
          </w:p>
        </w:tc>
        <w:tc>
          <w:tcPr>
            <w:tcW w:w="1025" w:type="dxa"/>
            <w:shd w:val="clear" w:color="auto" w:fill="auto"/>
            <w:vAlign w:val="bottom"/>
          </w:tcPr>
          <w:p w14:paraId="38845678" w14:textId="24254007" w:rsidR="00224102" w:rsidRPr="00604C75" w:rsidRDefault="00224102" w:rsidP="00224102">
            <w:pPr>
              <w:jc w:val="right"/>
              <w:rPr>
                <w:sz w:val="18"/>
                <w:szCs w:val="18"/>
              </w:rPr>
            </w:pPr>
            <w:r w:rsidRPr="00433591">
              <w:rPr>
                <w:sz w:val="16"/>
                <w:szCs w:val="16"/>
              </w:rPr>
              <w:t>171,630</w:t>
            </w:r>
          </w:p>
        </w:tc>
        <w:tc>
          <w:tcPr>
            <w:tcW w:w="903" w:type="dxa"/>
            <w:shd w:val="clear" w:color="auto" w:fill="auto"/>
            <w:vAlign w:val="bottom"/>
          </w:tcPr>
          <w:p w14:paraId="47F5FFCD" w14:textId="1E52EBBA" w:rsidR="00224102" w:rsidRPr="00604C75" w:rsidRDefault="00224102" w:rsidP="00224102">
            <w:pPr>
              <w:jc w:val="right"/>
              <w:rPr>
                <w:b/>
                <w:sz w:val="18"/>
                <w:szCs w:val="18"/>
              </w:rPr>
            </w:pPr>
            <w:r w:rsidRPr="00433591">
              <w:rPr>
                <w:sz w:val="16"/>
                <w:szCs w:val="16"/>
              </w:rPr>
              <w:t>7,899,540</w:t>
            </w:r>
          </w:p>
        </w:tc>
      </w:tr>
      <w:tr w:rsidR="00224102" w:rsidRPr="00604C75" w14:paraId="3CAAD8F5" w14:textId="77777777" w:rsidTr="00B85547">
        <w:trPr>
          <w:trHeight w:val="182"/>
        </w:trPr>
        <w:tc>
          <w:tcPr>
            <w:tcW w:w="2801" w:type="dxa"/>
            <w:shd w:val="clear" w:color="auto" w:fill="auto"/>
            <w:vAlign w:val="bottom"/>
          </w:tcPr>
          <w:p w14:paraId="512362AC" w14:textId="08C61B5F" w:rsidR="00224102" w:rsidRPr="00604C75" w:rsidRDefault="00B85547" w:rsidP="00224102">
            <w:pPr>
              <w:rPr>
                <w:snapToGrid w:val="0"/>
                <w:sz w:val="18"/>
                <w:szCs w:val="18"/>
              </w:rPr>
            </w:pPr>
            <w:r>
              <w:rPr>
                <w:snapToGrid w:val="0"/>
                <w:sz w:val="18"/>
                <w:szCs w:val="18"/>
              </w:rPr>
              <w:t>Held-to-</w:t>
            </w:r>
            <w:r w:rsidR="006E08D1">
              <w:rPr>
                <w:snapToGrid w:val="0"/>
                <w:sz w:val="18"/>
                <w:szCs w:val="18"/>
              </w:rPr>
              <w:t>M</w:t>
            </w:r>
            <w:r w:rsidR="00224102" w:rsidRPr="00604C75">
              <w:rPr>
                <w:snapToGrid w:val="0"/>
                <w:sz w:val="18"/>
                <w:szCs w:val="18"/>
              </w:rPr>
              <w:t>aturity Investments</w:t>
            </w:r>
          </w:p>
        </w:tc>
        <w:tc>
          <w:tcPr>
            <w:tcW w:w="931" w:type="dxa"/>
            <w:shd w:val="clear" w:color="auto" w:fill="auto"/>
            <w:vAlign w:val="bottom"/>
          </w:tcPr>
          <w:p w14:paraId="558D3FA4" w14:textId="5DC99EE7" w:rsidR="00224102" w:rsidRPr="00604C75" w:rsidRDefault="00224102" w:rsidP="00224102">
            <w:pPr>
              <w:jc w:val="right"/>
              <w:rPr>
                <w:sz w:val="18"/>
                <w:szCs w:val="18"/>
              </w:rPr>
            </w:pPr>
            <w:r w:rsidRPr="00433591">
              <w:rPr>
                <w:sz w:val="16"/>
                <w:szCs w:val="16"/>
              </w:rPr>
              <w:t>-</w:t>
            </w:r>
          </w:p>
        </w:tc>
        <w:tc>
          <w:tcPr>
            <w:tcW w:w="932" w:type="dxa"/>
            <w:shd w:val="clear" w:color="auto" w:fill="auto"/>
            <w:vAlign w:val="bottom"/>
          </w:tcPr>
          <w:p w14:paraId="26CF6AA5" w14:textId="6AC7F650"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7E3AFD47" w14:textId="2720F670"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3813759E" w14:textId="72D1F3D3"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5D940CBB" w14:textId="0D7D7B3D"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13B95613" w14:textId="3097E9C9" w:rsidR="00224102" w:rsidRPr="00604C75" w:rsidRDefault="00224102" w:rsidP="00224102">
            <w:pPr>
              <w:jc w:val="right"/>
              <w:rPr>
                <w:sz w:val="18"/>
                <w:szCs w:val="18"/>
              </w:rPr>
            </w:pPr>
            <w:r w:rsidRPr="00433591">
              <w:rPr>
                <w:sz w:val="16"/>
                <w:szCs w:val="16"/>
              </w:rPr>
              <w:t>-</w:t>
            </w:r>
          </w:p>
        </w:tc>
        <w:tc>
          <w:tcPr>
            <w:tcW w:w="903" w:type="dxa"/>
            <w:shd w:val="clear" w:color="auto" w:fill="auto"/>
            <w:vAlign w:val="bottom"/>
          </w:tcPr>
          <w:p w14:paraId="4827DF35" w14:textId="7C80B9A6" w:rsidR="00224102" w:rsidRPr="00604C75" w:rsidRDefault="00224102" w:rsidP="00224102">
            <w:pPr>
              <w:jc w:val="right"/>
              <w:rPr>
                <w:b/>
                <w:sz w:val="18"/>
                <w:szCs w:val="18"/>
              </w:rPr>
            </w:pPr>
            <w:r w:rsidRPr="00433591">
              <w:rPr>
                <w:sz w:val="16"/>
                <w:szCs w:val="16"/>
              </w:rPr>
              <w:t>-</w:t>
            </w:r>
          </w:p>
        </w:tc>
      </w:tr>
      <w:tr w:rsidR="00224102" w:rsidRPr="00604C75" w14:paraId="11880405" w14:textId="77777777" w:rsidTr="00B85547">
        <w:trPr>
          <w:trHeight w:val="201"/>
        </w:trPr>
        <w:tc>
          <w:tcPr>
            <w:tcW w:w="2801" w:type="dxa"/>
            <w:shd w:val="clear" w:color="auto" w:fill="auto"/>
            <w:vAlign w:val="bottom"/>
          </w:tcPr>
          <w:p w14:paraId="01520DA4" w14:textId="1376DB76" w:rsidR="00224102" w:rsidRPr="00604C75" w:rsidRDefault="00224102" w:rsidP="00224102">
            <w:pPr>
              <w:rPr>
                <w:snapToGrid w:val="0"/>
                <w:sz w:val="18"/>
                <w:szCs w:val="18"/>
              </w:rPr>
            </w:pPr>
            <w:r w:rsidRPr="00604C75">
              <w:rPr>
                <w:snapToGrid w:val="0"/>
                <w:sz w:val="18"/>
                <w:szCs w:val="18"/>
              </w:rPr>
              <w:t xml:space="preserve">Other Assets </w:t>
            </w:r>
            <w:r w:rsidR="005411E1">
              <w:rPr>
                <w:snapToGrid w:val="0"/>
                <w:sz w:val="16"/>
                <w:szCs w:val="16"/>
              </w:rPr>
              <w:t>(*) (**</w:t>
            </w:r>
            <w:r w:rsidRPr="00604C75">
              <w:rPr>
                <w:snapToGrid w:val="0"/>
                <w:sz w:val="16"/>
                <w:szCs w:val="16"/>
              </w:rPr>
              <w:t>)</w:t>
            </w:r>
          </w:p>
        </w:tc>
        <w:tc>
          <w:tcPr>
            <w:tcW w:w="931" w:type="dxa"/>
            <w:shd w:val="clear" w:color="auto" w:fill="auto"/>
            <w:vAlign w:val="bottom"/>
          </w:tcPr>
          <w:p w14:paraId="43E20FDD" w14:textId="648193BC" w:rsidR="00224102" w:rsidRPr="00604C75" w:rsidRDefault="00224102" w:rsidP="00224102">
            <w:pPr>
              <w:jc w:val="right"/>
              <w:rPr>
                <w:sz w:val="18"/>
                <w:szCs w:val="18"/>
              </w:rPr>
            </w:pPr>
            <w:r w:rsidRPr="00433591">
              <w:rPr>
                <w:sz w:val="16"/>
                <w:szCs w:val="16"/>
              </w:rPr>
              <w:t>52,815</w:t>
            </w:r>
          </w:p>
        </w:tc>
        <w:tc>
          <w:tcPr>
            <w:tcW w:w="932" w:type="dxa"/>
            <w:shd w:val="clear" w:color="auto" w:fill="auto"/>
            <w:vAlign w:val="bottom"/>
          </w:tcPr>
          <w:p w14:paraId="52876F78" w14:textId="533A05B1" w:rsidR="00224102" w:rsidRPr="00604C75" w:rsidRDefault="00224102" w:rsidP="00224102">
            <w:pPr>
              <w:jc w:val="right"/>
              <w:rPr>
                <w:sz w:val="18"/>
                <w:szCs w:val="18"/>
              </w:rPr>
            </w:pPr>
            <w:r w:rsidRPr="00433591">
              <w:rPr>
                <w:sz w:val="16"/>
                <w:szCs w:val="16"/>
              </w:rPr>
              <w:t>43,245</w:t>
            </w:r>
          </w:p>
        </w:tc>
        <w:tc>
          <w:tcPr>
            <w:tcW w:w="981" w:type="dxa"/>
            <w:shd w:val="clear" w:color="auto" w:fill="auto"/>
            <w:vAlign w:val="bottom"/>
          </w:tcPr>
          <w:p w14:paraId="30CC4043" w14:textId="3BD32D3F" w:rsidR="00224102" w:rsidRPr="00604C75" w:rsidRDefault="00224102" w:rsidP="00224102">
            <w:pPr>
              <w:jc w:val="right"/>
              <w:rPr>
                <w:sz w:val="18"/>
                <w:szCs w:val="18"/>
              </w:rPr>
            </w:pPr>
            <w:r w:rsidRPr="00433591">
              <w:rPr>
                <w:sz w:val="16"/>
                <w:szCs w:val="16"/>
              </w:rPr>
              <w:t>176,715</w:t>
            </w:r>
          </w:p>
        </w:tc>
        <w:tc>
          <w:tcPr>
            <w:tcW w:w="981" w:type="dxa"/>
            <w:shd w:val="clear" w:color="auto" w:fill="auto"/>
            <w:vAlign w:val="bottom"/>
          </w:tcPr>
          <w:p w14:paraId="26CA12DF" w14:textId="36F9D496" w:rsidR="00224102" w:rsidRPr="00604C75" w:rsidRDefault="00224102" w:rsidP="00224102">
            <w:pPr>
              <w:jc w:val="right"/>
              <w:rPr>
                <w:sz w:val="18"/>
                <w:szCs w:val="18"/>
              </w:rPr>
            </w:pPr>
            <w:r w:rsidRPr="00433591">
              <w:rPr>
                <w:sz w:val="16"/>
                <w:szCs w:val="16"/>
              </w:rPr>
              <w:t>344,539</w:t>
            </w:r>
          </w:p>
        </w:tc>
        <w:tc>
          <w:tcPr>
            <w:tcW w:w="981" w:type="dxa"/>
            <w:shd w:val="clear" w:color="auto" w:fill="auto"/>
            <w:vAlign w:val="bottom"/>
          </w:tcPr>
          <w:p w14:paraId="3142C842" w14:textId="7B1E5D0D" w:rsidR="00224102" w:rsidRPr="00604C75" w:rsidRDefault="00224102" w:rsidP="00224102">
            <w:pPr>
              <w:jc w:val="right"/>
              <w:rPr>
                <w:sz w:val="18"/>
                <w:szCs w:val="18"/>
              </w:rPr>
            </w:pPr>
            <w:r w:rsidRPr="00433591">
              <w:rPr>
                <w:sz w:val="16"/>
                <w:szCs w:val="16"/>
              </w:rPr>
              <w:t>42,341</w:t>
            </w:r>
          </w:p>
        </w:tc>
        <w:tc>
          <w:tcPr>
            <w:tcW w:w="1025" w:type="dxa"/>
            <w:shd w:val="clear" w:color="auto" w:fill="auto"/>
            <w:vAlign w:val="bottom"/>
          </w:tcPr>
          <w:p w14:paraId="6A095E3F" w14:textId="1E32DA0E" w:rsidR="00224102" w:rsidRPr="00604C75" w:rsidRDefault="00224102" w:rsidP="00224102">
            <w:pPr>
              <w:jc w:val="right"/>
              <w:rPr>
                <w:sz w:val="18"/>
                <w:szCs w:val="18"/>
              </w:rPr>
            </w:pPr>
            <w:r w:rsidRPr="00433591">
              <w:rPr>
                <w:sz w:val="16"/>
                <w:szCs w:val="16"/>
              </w:rPr>
              <w:t>347,934</w:t>
            </w:r>
          </w:p>
        </w:tc>
        <w:tc>
          <w:tcPr>
            <w:tcW w:w="903" w:type="dxa"/>
            <w:shd w:val="clear" w:color="auto" w:fill="auto"/>
            <w:vAlign w:val="bottom"/>
          </w:tcPr>
          <w:p w14:paraId="047181AA" w14:textId="0D3017DF" w:rsidR="00224102" w:rsidRPr="00604C75" w:rsidRDefault="00224102" w:rsidP="00224102">
            <w:pPr>
              <w:jc w:val="right"/>
              <w:rPr>
                <w:b/>
                <w:sz w:val="18"/>
                <w:szCs w:val="18"/>
              </w:rPr>
            </w:pPr>
            <w:r w:rsidRPr="00433591">
              <w:rPr>
                <w:sz w:val="16"/>
                <w:szCs w:val="16"/>
              </w:rPr>
              <w:t>1,007,589</w:t>
            </w:r>
          </w:p>
        </w:tc>
      </w:tr>
      <w:tr w:rsidR="00224102" w:rsidRPr="00604C75" w14:paraId="5CEFA883" w14:textId="77777777" w:rsidTr="00B85547">
        <w:trPr>
          <w:trHeight w:val="182"/>
        </w:trPr>
        <w:tc>
          <w:tcPr>
            <w:tcW w:w="2801" w:type="dxa"/>
            <w:shd w:val="clear" w:color="auto" w:fill="auto"/>
            <w:vAlign w:val="bottom"/>
          </w:tcPr>
          <w:p w14:paraId="2A0EDC34" w14:textId="77777777" w:rsidR="00224102" w:rsidRPr="00604C75" w:rsidRDefault="00224102" w:rsidP="00224102">
            <w:pPr>
              <w:pStyle w:val="Heading9"/>
              <w:rPr>
                <w:snapToGrid w:val="0"/>
                <w:szCs w:val="18"/>
              </w:rPr>
            </w:pPr>
            <w:r w:rsidRPr="00604C75">
              <w:rPr>
                <w:snapToGrid w:val="0"/>
                <w:szCs w:val="18"/>
              </w:rPr>
              <w:t>Total Assets</w:t>
            </w:r>
          </w:p>
        </w:tc>
        <w:tc>
          <w:tcPr>
            <w:tcW w:w="931" w:type="dxa"/>
            <w:shd w:val="clear" w:color="auto" w:fill="auto"/>
            <w:vAlign w:val="bottom"/>
          </w:tcPr>
          <w:p w14:paraId="17228D10" w14:textId="5653F620" w:rsidR="00224102" w:rsidRPr="00604C75" w:rsidRDefault="00224102" w:rsidP="00224102">
            <w:pPr>
              <w:jc w:val="right"/>
              <w:rPr>
                <w:b/>
                <w:sz w:val="18"/>
                <w:szCs w:val="18"/>
              </w:rPr>
            </w:pPr>
            <w:r w:rsidRPr="00433591">
              <w:rPr>
                <w:b/>
                <w:sz w:val="16"/>
                <w:szCs w:val="16"/>
              </w:rPr>
              <w:t>4,593,974</w:t>
            </w:r>
          </w:p>
        </w:tc>
        <w:tc>
          <w:tcPr>
            <w:tcW w:w="932" w:type="dxa"/>
            <w:shd w:val="clear" w:color="auto" w:fill="auto"/>
            <w:vAlign w:val="bottom"/>
          </w:tcPr>
          <w:p w14:paraId="238A4DF2" w14:textId="613BB39C" w:rsidR="00224102" w:rsidRPr="00604C75" w:rsidRDefault="00224102" w:rsidP="00224102">
            <w:pPr>
              <w:jc w:val="right"/>
              <w:rPr>
                <w:b/>
                <w:sz w:val="18"/>
                <w:szCs w:val="18"/>
              </w:rPr>
            </w:pPr>
            <w:r w:rsidRPr="00433591">
              <w:rPr>
                <w:b/>
                <w:sz w:val="16"/>
                <w:szCs w:val="16"/>
              </w:rPr>
              <w:t>866,752</w:t>
            </w:r>
          </w:p>
        </w:tc>
        <w:tc>
          <w:tcPr>
            <w:tcW w:w="981" w:type="dxa"/>
            <w:shd w:val="clear" w:color="auto" w:fill="auto"/>
            <w:vAlign w:val="bottom"/>
          </w:tcPr>
          <w:p w14:paraId="0BDCFA0F" w14:textId="54E29719" w:rsidR="00224102" w:rsidRPr="00604C75" w:rsidRDefault="00224102" w:rsidP="00224102">
            <w:pPr>
              <w:jc w:val="right"/>
              <w:rPr>
                <w:b/>
                <w:sz w:val="18"/>
                <w:szCs w:val="18"/>
              </w:rPr>
            </w:pPr>
            <w:r w:rsidRPr="00433591">
              <w:rPr>
                <w:b/>
                <w:sz w:val="16"/>
                <w:szCs w:val="16"/>
              </w:rPr>
              <w:t>2,464,462</w:t>
            </w:r>
          </w:p>
        </w:tc>
        <w:tc>
          <w:tcPr>
            <w:tcW w:w="981" w:type="dxa"/>
            <w:shd w:val="clear" w:color="auto" w:fill="auto"/>
            <w:vAlign w:val="bottom"/>
          </w:tcPr>
          <w:p w14:paraId="3771CD51" w14:textId="021654C9" w:rsidR="00224102" w:rsidRPr="00604C75" w:rsidRDefault="00224102" w:rsidP="00224102">
            <w:pPr>
              <w:jc w:val="right"/>
              <w:rPr>
                <w:b/>
                <w:sz w:val="18"/>
                <w:szCs w:val="18"/>
              </w:rPr>
            </w:pPr>
            <w:r w:rsidRPr="00433591">
              <w:rPr>
                <w:b/>
                <w:sz w:val="16"/>
                <w:szCs w:val="16"/>
              </w:rPr>
              <w:t>2,194,091</w:t>
            </w:r>
          </w:p>
        </w:tc>
        <w:tc>
          <w:tcPr>
            <w:tcW w:w="981" w:type="dxa"/>
            <w:shd w:val="clear" w:color="auto" w:fill="auto"/>
            <w:vAlign w:val="bottom"/>
          </w:tcPr>
          <w:p w14:paraId="23DE7B49" w14:textId="20BC53EF" w:rsidR="00224102" w:rsidRPr="00604C75" w:rsidRDefault="00224102" w:rsidP="00224102">
            <w:pPr>
              <w:jc w:val="right"/>
              <w:rPr>
                <w:b/>
                <w:sz w:val="18"/>
                <w:szCs w:val="18"/>
              </w:rPr>
            </w:pPr>
            <w:r w:rsidRPr="00433591">
              <w:rPr>
                <w:b/>
                <w:sz w:val="16"/>
                <w:szCs w:val="16"/>
              </w:rPr>
              <w:t>472,118</w:t>
            </w:r>
          </w:p>
        </w:tc>
        <w:tc>
          <w:tcPr>
            <w:tcW w:w="1025" w:type="dxa"/>
            <w:shd w:val="clear" w:color="auto" w:fill="auto"/>
            <w:vAlign w:val="bottom"/>
          </w:tcPr>
          <w:p w14:paraId="292C77B6" w14:textId="5B8E0276" w:rsidR="00224102" w:rsidRPr="00604C75" w:rsidRDefault="00224102" w:rsidP="00224102">
            <w:pPr>
              <w:jc w:val="right"/>
              <w:rPr>
                <w:b/>
                <w:sz w:val="18"/>
                <w:szCs w:val="18"/>
              </w:rPr>
            </w:pPr>
            <w:r w:rsidRPr="00433591">
              <w:rPr>
                <w:b/>
                <w:sz w:val="16"/>
                <w:szCs w:val="16"/>
              </w:rPr>
              <w:t>756,270</w:t>
            </w:r>
          </w:p>
        </w:tc>
        <w:tc>
          <w:tcPr>
            <w:tcW w:w="903" w:type="dxa"/>
            <w:shd w:val="clear" w:color="auto" w:fill="auto"/>
            <w:vAlign w:val="bottom"/>
          </w:tcPr>
          <w:p w14:paraId="29F952F1" w14:textId="34D931E5" w:rsidR="00224102" w:rsidRPr="00604C75" w:rsidRDefault="00224102" w:rsidP="00224102">
            <w:pPr>
              <w:jc w:val="right"/>
              <w:rPr>
                <w:b/>
                <w:sz w:val="18"/>
                <w:szCs w:val="18"/>
              </w:rPr>
            </w:pPr>
            <w:r w:rsidRPr="00433591">
              <w:rPr>
                <w:b/>
                <w:sz w:val="16"/>
                <w:szCs w:val="16"/>
              </w:rPr>
              <w:t>11,347,667</w:t>
            </w:r>
          </w:p>
        </w:tc>
      </w:tr>
      <w:tr w:rsidR="00224102" w:rsidRPr="00604C75" w14:paraId="0256B4D4" w14:textId="77777777" w:rsidTr="00B85547">
        <w:trPr>
          <w:trHeight w:val="220"/>
        </w:trPr>
        <w:tc>
          <w:tcPr>
            <w:tcW w:w="2801" w:type="dxa"/>
            <w:shd w:val="clear" w:color="auto" w:fill="auto"/>
            <w:vAlign w:val="bottom"/>
          </w:tcPr>
          <w:p w14:paraId="712095EF" w14:textId="77777777" w:rsidR="00224102" w:rsidRPr="00604C75" w:rsidRDefault="00224102" w:rsidP="00224102">
            <w:pPr>
              <w:jc w:val="both"/>
              <w:rPr>
                <w:snapToGrid w:val="0"/>
                <w:sz w:val="18"/>
                <w:szCs w:val="18"/>
              </w:rPr>
            </w:pPr>
          </w:p>
        </w:tc>
        <w:tc>
          <w:tcPr>
            <w:tcW w:w="931" w:type="dxa"/>
            <w:shd w:val="clear" w:color="auto" w:fill="auto"/>
            <w:vAlign w:val="bottom"/>
          </w:tcPr>
          <w:p w14:paraId="0A24E4B1" w14:textId="77777777" w:rsidR="00224102" w:rsidRPr="00604C75" w:rsidRDefault="00224102" w:rsidP="00224102">
            <w:pPr>
              <w:tabs>
                <w:tab w:val="left" w:pos="507"/>
              </w:tabs>
              <w:jc w:val="right"/>
              <w:rPr>
                <w:sz w:val="18"/>
                <w:szCs w:val="18"/>
              </w:rPr>
            </w:pPr>
          </w:p>
        </w:tc>
        <w:tc>
          <w:tcPr>
            <w:tcW w:w="932" w:type="dxa"/>
            <w:shd w:val="clear" w:color="auto" w:fill="auto"/>
            <w:vAlign w:val="bottom"/>
          </w:tcPr>
          <w:p w14:paraId="44661F4F" w14:textId="77777777" w:rsidR="00224102" w:rsidRPr="00604C75" w:rsidRDefault="00224102" w:rsidP="00224102">
            <w:pPr>
              <w:jc w:val="right"/>
              <w:rPr>
                <w:sz w:val="18"/>
                <w:szCs w:val="18"/>
              </w:rPr>
            </w:pPr>
          </w:p>
        </w:tc>
        <w:tc>
          <w:tcPr>
            <w:tcW w:w="981" w:type="dxa"/>
            <w:shd w:val="clear" w:color="auto" w:fill="auto"/>
            <w:vAlign w:val="bottom"/>
          </w:tcPr>
          <w:p w14:paraId="1CCBFEB4" w14:textId="77777777" w:rsidR="00224102" w:rsidRPr="00604C75" w:rsidRDefault="00224102" w:rsidP="00224102">
            <w:pPr>
              <w:jc w:val="right"/>
              <w:rPr>
                <w:sz w:val="18"/>
                <w:szCs w:val="18"/>
              </w:rPr>
            </w:pPr>
          </w:p>
        </w:tc>
        <w:tc>
          <w:tcPr>
            <w:tcW w:w="981" w:type="dxa"/>
            <w:shd w:val="clear" w:color="auto" w:fill="auto"/>
            <w:vAlign w:val="bottom"/>
          </w:tcPr>
          <w:p w14:paraId="58F71389" w14:textId="77777777" w:rsidR="00224102" w:rsidRPr="00604C75" w:rsidRDefault="00224102" w:rsidP="00224102">
            <w:pPr>
              <w:jc w:val="right"/>
              <w:rPr>
                <w:sz w:val="18"/>
                <w:szCs w:val="18"/>
              </w:rPr>
            </w:pPr>
          </w:p>
        </w:tc>
        <w:tc>
          <w:tcPr>
            <w:tcW w:w="981" w:type="dxa"/>
            <w:shd w:val="clear" w:color="auto" w:fill="auto"/>
            <w:vAlign w:val="bottom"/>
          </w:tcPr>
          <w:p w14:paraId="19B547F0" w14:textId="77777777" w:rsidR="00224102" w:rsidRPr="00604C75" w:rsidRDefault="00224102" w:rsidP="00224102">
            <w:pPr>
              <w:jc w:val="right"/>
              <w:rPr>
                <w:sz w:val="18"/>
                <w:szCs w:val="18"/>
              </w:rPr>
            </w:pPr>
          </w:p>
        </w:tc>
        <w:tc>
          <w:tcPr>
            <w:tcW w:w="1025" w:type="dxa"/>
            <w:shd w:val="clear" w:color="auto" w:fill="auto"/>
            <w:vAlign w:val="bottom"/>
          </w:tcPr>
          <w:p w14:paraId="5A957B82" w14:textId="77777777" w:rsidR="00224102" w:rsidRPr="00604C75" w:rsidRDefault="00224102" w:rsidP="00224102">
            <w:pPr>
              <w:jc w:val="right"/>
              <w:rPr>
                <w:sz w:val="18"/>
                <w:szCs w:val="18"/>
              </w:rPr>
            </w:pPr>
          </w:p>
        </w:tc>
        <w:tc>
          <w:tcPr>
            <w:tcW w:w="903" w:type="dxa"/>
            <w:shd w:val="clear" w:color="auto" w:fill="auto"/>
            <w:vAlign w:val="bottom"/>
          </w:tcPr>
          <w:p w14:paraId="33B00258" w14:textId="77777777" w:rsidR="00224102" w:rsidRPr="00604C75" w:rsidRDefault="00224102" w:rsidP="00224102">
            <w:pPr>
              <w:jc w:val="right"/>
              <w:rPr>
                <w:b/>
                <w:sz w:val="18"/>
                <w:szCs w:val="18"/>
              </w:rPr>
            </w:pPr>
          </w:p>
        </w:tc>
      </w:tr>
      <w:tr w:rsidR="00224102" w:rsidRPr="00604C75" w14:paraId="490E8916" w14:textId="77777777" w:rsidTr="00B85547">
        <w:trPr>
          <w:trHeight w:val="201"/>
        </w:trPr>
        <w:tc>
          <w:tcPr>
            <w:tcW w:w="2801" w:type="dxa"/>
            <w:shd w:val="clear" w:color="auto" w:fill="auto"/>
            <w:vAlign w:val="bottom"/>
          </w:tcPr>
          <w:p w14:paraId="5363C7BC" w14:textId="77777777" w:rsidR="00224102" w:rsidRPr="00604C75" w:rsidRDefault="00224102" w:rsidP="00224102">
            <w:pPr>
              <w:pStyle w:val="Heading9"/>
              <w:rPr>
                <w:snapToGrid w:val="0"/>
                <w:szCs w:val="18"/>
              </w:rPr>
            </w:pPr>
            <w:r w:rsidRPr="00604C75">
              <w:rPr>
                <w:szCs w:val="18"/>
              </w:rPr>
              <w:t>Liabilities</w:t>
            </w:r>
          </w:p>
        </w:tc>
        <w:tc>
          <w:tcPr>
            <w:tcW w:w="931" w:type="dxa"/>
            <w:shd w:val="clear" w:color="auto" w:fill="auto"/>
            <w:vAlign w:val="bottom"/>
          </w:tcPr>
          <w:p w14:paraId="35F26346" w14:textId="77777777" w:rsidR="00224102" w:rsidRPr="00604C75" w:rsidRDefault="00224102" w:rsidP="00224102">
            <w:pPr>
              <w:tabs>
                <w:tab w:val="left" w:pos="507"/>
              </w:tabs>
              <w:jc w:val="right"/>
              <w:rPr>
                <w:sz w:val="18"/>
                <w:szCs w:val="18"/>
              </w:rPr>
            </w:pPr>
          </w:p>
        </w:tc>
        <w:tc>
          <w:tcPr>
            <w:tcW w:w="932" w:type="dxa"/>
            <w:shd w:val="clear" w:color="auto" w:fill="auto"/>
            <w:vAlign w:val="bottom"/>
          </w:tcPr>
          <w:p w14:paraId="2ED73518" w14:textId="77777777" w:rsidR="00224102" w:rsidRPr="00604C75" w:rsidRDefault="00224102" w:rsidP="00224102">
            <w:pPr>
              <w:jc w:val="right"/>
              <w:rPr>
                <w:sz w:val="18"/>
                <w:szCs w:val="18"/>
              </w:rPr>
            </w:pPr>
          </w:p>
        </w:tc>
        <w:tc>
          <w:tcPr>
            <w:tcW w:w="981" w:type="dxa"/>
            <w:shd w:val="clear" w:color="auto" w:fill="auto"/>
            <w:vAlign w:val="bottom"/>
          </w:tcPr>
          <w:p w14:paraId="111CAA32" w14:textId="77777777" w:rsidR="00224102" w:rsidRPr="00604C75" w:rsidRDefault="00224102" w:rsidP="00224102">
            <w:pPr>
              <w:jc w:val="right"/>
              <w:rPr>
                <w:sz w:val="18"/>
                <w:szCs w:val="18"/>
              </w:rPr>
            </w:pPr>
          </w:p>
        </w:tc>
        <w:tc>
          <w:tcPr>
            <w:tcW w:w="981" w:type="dxa"/>
            <w:shd w:val="clear" w:color="auto" w:fill="auto"/>
            <w:vAlign w:val="bottom"/>
          </w:tcPr>
          <w:p w14:paraId="13B9F6CA" w14:textId="77777777" w:rsidR="00224102" w:rsidRPr="00604C75" w:rsidRDefault="00224102" w:rsidP="00224102">
            <w:pPr>
              <w:jc w:val="right"/>
              <w:rPr>
                <w:sz w:val="18"/>
                <w:szCs w:val="18"/>
              </w:rPr>
            </w:pPr>
          </w:p>
        </w:tc>
        <w:tc>
          <w:tcPr>
            <w:tcW w:w="981" w:type="dxa"/>
            <w:shd w:val="clear" w:color="auto" w:fill="auto"/>
            <w:vAlign w:val="bottom"/>
          </w:tcPr>
          <w:p w14:paraId="603D66D1" w14:textId="77777777" w:rsidR="00224102" w:rsidRPr="00604C75" w:rsidRDefault="00224102" w:rsidP="00224102">
            <w:pPr>
              <w:jc w:val="right"/>
              <w:rPr>
                <w:sz w:val="18"/>
                <w:szCs w:val="18"/>
              </w:rPr>
            </w:pPr>
          </w:p>
        </w:tc>
        <w:tc>
          <w:tcPr>
            <w:tcW w:w="1025" w:type="dxa"/>
            <w:shd w:val="clear" w:color="auto" w:fill="auto"/>
            <w:vAlign w:val="bottom"/>
          </w:tcPr>
          <w:p w14:paraId="2E9E4C0C" w14:textId="77777777" w:rsidR="00224102" w:rsidRPr="00604C75" w:rsidRDefault="00224102" w:rsidP="00224102">
            <w:pPr>
              <w:jc w:val="right"/>
              <w:rPr>
                <w:sz w:val="18"/>
                <w:szCs w:val="18"/>
              </w:rPr>
            </w:pPr>
          </w:p>
        </w:tc>
        <w:tc>
          <w:tcPr>
            <w:tcW w:w="903" w:type="dxa"/>
            <w:shd w:val="clear" w:color="auto" w:fill="auto"/>
            <w:vAlign w:val="bottom"/>
          </w:tcPr>
          <w:p w14:paraId="09D84653" w14:textId="77777777" w:rsidR="00224102" w:rsidRPr="00604C75" w:rsidRDefault="00224102" w:rsidP="00224102">
            <w:pPr>
              <w:jc w:val="right"/>
              <w:rPr>
                <w:b/>
                <w:sz w:val="18"/>
                <w:szCs w:val="18"/>
              </w:rPr>
            </w:pPr>
          </w:p>
        </w:tc>
      </w:tr>
      <w:tr w:rsidR="00224102" w:rsidRPr="00604C75" w14:paraId="5C7CFA17" w14:textId="77777777" w:rsidTr="00B85547">
        <w:trPr>
          <w:trHeight w:val="154"/>
        </w:trPr>
        <w:tc>
          <w:tcPr>
            <w:tcW w:w="2801" w:type="dxa"/>
            <w:shd w:val="clear" w:color="auto" w:fill="auto"/>
            <w:vAlign w:val="bottom"/>
          </w:tcPr>
          <w:p w14:paraId="4DADEDE7" w14:textId="77777777" w:rsidR="00224102" w:rsidRPr="00604C75" w:rsidRDefault="00224102" w:rsidP="00224102">
            <w:pPr>
              <w:rPr>
                <w:snapToGrid w:val="0"/>
                <w:sz w:val="18"/>
                <w:szCs w:val="18"/>
              </w:rPr>
            </w:pPr>
            <w:r w:rsidRPr="00604C75">
              <w:rPr>
                <w:snapToGrid w:val="0"/>
                <w:sz w:val="18"/>
                <w:szCs w:val="18"/>
              </w:rPr>
              <w:t>Bank Deposits</w:t>
            </w:r>
          </w:p>
        </w:tc>
        <w:tc>
          <w:tcPr>
            <w:tcW w:w="931" w:type="dxa"/>
            <w:shd w:val="clear" w:color="auto" w:fill="auto"/>
            <w:vAlign w:val="bottom"/>
          </w:tcPr>
          <w:p w14:paraId="248C99C0" w14:textId="5E9846FF" w:rsidR="00224102" w:rsidRPr="00604C75" w:rsidRDefault="00224102" w:rsidP="00224102">
            <w:pPr>
              <w:jc w:val="right"/>
              <w:rPr>
                <w:sz w:val="18"/>
                <w:szCs w:val="18"/>
              </w:rPr>
            </w:pPr>
            <w:r w:rsidRPr="00433591">
              <w:rPr>
                <w:sz w:val="16"/>
                <w:szCs w:val="16"/>
              </w:rPr>
              <w:t>-</w:t>
            </w:r>
          </w:p>
        </w:tc>
        <w:tc>
          <w:tcPr>
            <w:tcW w:w="932" w:type="dxa"/>
            <w:shd w:val="clear" w:color="auto" w:fill="auto"/>
            <w:vAlign w:val="bottom"/>
          </w:tcPr>
          <w:p w14:paraId="40F324A1" w14:textId="7D90913F" w:rsidR="00224102" w:rsidRPr="00604C75" w:rsidRDefault="00224102" w:rsidP="00224102">
            <w:pPr>
              <w:jc w:val="right"/>
              <w:rPr>
                <w:sz w:val="18"/>
                <w:szCs w:val="18"/>
              </w:rPr>
            </w:pPr>
            <w:r w:rsidRPr="00433591">
              <w:rPr>
                <w:sz w:val="16"/>
                <w:szCs w:val="16"/>
              </w:rPr>
              <w:t>189,076</w:t>
            </w:r>
          </w:p>
        </w:tc>
        <w:tc>
          <w:tcPr>
            <w:tcW w:w="981" w:type="dxa"/>
            <w:shd w:val="clear" w:color="auto" w:fill="auto"/>
            <w:vAlign w:val="bottom"/>
          </w:tcPr>
          <w:p w14:paraId="4AD11213" w14:textId="4610BB2C"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51AF37B8" w14:textId="3836D92D"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49F97F5C" w14:textId="60A60C04"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0397CD62" w14:textId="5C705499" w:rsidR="00224102" w:rsidRPr="00604C75" w:rsidRDefault="00224102" w:rsidP="00224102">
            <w:pPr>
              <w:jc w:val="right"/>
              <w:rPr>
                <w:sz w:val="18"/>
                <w:szCs w:val="18"/>
              </w:rPr>
            </w:pPr>
            <w:r w:rsidRPr="00433591">
              <w:rPr>
                <w:sz w:val="16"/>
                <w:szCs w:val="16"/>
              </w:rPr>
              <w:t>601</w:t>
            </w:r>
          </w:p>
        </w:tc>
        <w:tc>
          <w:tcPr>
            <w:tcW w:w="903" w:type="dxa"/>
            <w:shd w:val="clear" w:color="auto" w:fill="auto"/>
            <w:vAlign w:val="bottom"/>
          </w:tcPr>
          <w:p w14:paraId="71AEDDB9" w14:textId="746C24F2" w:rsidR="00224102" w:rsidRPr="00604C75" w:rsidRDefault="00224102" w:rsidP="00224102">
            <w:pPr>
              <w:jc w:val="right"/>
              <w:rPr>
                <w:b/>
                <w:sz w:val="18"/>
                <w:szCs w:val="18"/>
              </w:rPr>
            </w:pPr>
            <w:r w:rsidRPr="00433591">
              <w:rPr>
                <w:sz w:val="16"/>
                <w:szCs w:val="16"/>
              </w:rPr>
              <w:t>189,677</w:t>
            </w:r>
          </w:p>
        </w:tc>
      </w:tr>
      <w:tr w:rsidR="00224102" w:rsidRPr="00604C75" w14:paraId="4E8C312D" w14:textId="77777777" w:rsidTr="00B85547">
        <w:trPr>
          <w:trHeight w:val="182"/>
        </w:trPr>
        <w:tc>
          <w:tcPr>
            <w:tcW w:w="2801" w:type="dxa"/>
            <w:shd w:val="clear" w:color="auto" w:fill="auto"/>
            <w:vAlign w:val="bottom"/>
          </w:tcPr>
          <w:p w14:paraId="4193362C" w14:textId="77777777" w:rsidR="00224102" w:rsidRPr="00604C75" w:rsidRDefault="00224102" w:rsidP="00224102">
            <w:pPr>
              <w:rPr>
                <w:snapToGrid w:val="0"/>
                <w:sz w:val="18"/>
                <w:szCs w:val="18"/>
              </w:rPr>
            </w:pPr>
            <w:r w:rsidRPr="00604C75">
              <w:rPr>
                <w:snapToGrid w:val="0"/>
                <w:sz w:val="18"/>
                <w:szCs w:val="18"/>
              </w:rPr>
              <w:t>Other Deposits</w:t>
            </w:r>
          </w:p>
        </w:tc>
        <w:tc>
          <w:tcPr>
            <w:tcW w:w="931" w:type="dxa"/>
            <w:shd w:val="clear" w:color="auto" w:fill="auto"/>
            <w:vAlign w:val="bottom"/>
          </w:tcPr>
          <w:p w14:paraId="47920C74" w14:textId="6890DCF3" w:rsidR="00224102" w:rsidRPr="00604C75" w:rsidRDefault="00224102" w:rsidP="00224102">
            <w:pPr>
              <w:jc w:val="right"/>
              <w:rPr>
                <w:sz w:val="18"/>
                <w:szCs w:val="18"/>
              </w:rPr>
            </w:pPr>
            <w:r w:rsidRPr="00433591">
              <w:rPr>
                <w:sz w:val="16"/>
                <w:szCs w:val="16"/>
              </w:rPr>
              <w:t>3,560,213</w:t>
            </w:r>
          </w:p>
        </w:tc>
        <w:tc>
          <w:tcPr>
            <w:tcW w:w="932" w:type="dxa"/>
            <w:shd w:val="clear" w:color="auto" w:fill="auto"/>
            <w:vAlign w:val="bottom"/>
          </w:tcPr>
          <w:p w14:paraId="48F48925" w14:textId="7F8A9A49" w:rsidR="00224102" w:rsidRPr="00604C75" w:rsidRDefault="00224102" w:rsidP="00224102">
            <w:pPr>
              <w:jc w:val="right"/>
              <w:rPr>
                <w:sz w:val="18"/>
                <w:szCs w:val="18"/>
              </w:rPr>
            </w:pPr>
            <w:r w:rsidRPr="00433591">
              <w:rPr>
                <w:sz w:val="16"/>
                <w:szCs w:val="16"/>
              </w:rPr>
              <w:t>1,400,834</w:t>
            </w:r>
          </w:p>
        </w:tc>
        <w:tc>
          <w:tcPr>
            <w:tcW w:w="981" w:type="dxa"/>
            <w:shd w:val="clear" w:color="auto" w:fill="auto"/>
            <w:vAlign w:val="bottom"/>
          </w:tcPr>
          <w:p w14:paraId="683E2376" w14:textId="5F195847" w:rsidR="00224102" w:rsidRPr="00604C75" w:rsidRDefault="00224102" w:rsidP="00224102">
            <w:pPr>
              <w:jc w:val="right"/>
              <w:rPr>
                <w:sz w:val="18"/>
                <w:szCs w:val="18"/>
              </w:rPr>
            </w:pPr>
            <w:r w:rsidRPr="00433591">
              <w:rPr>
                <w:sz w:val="16"/>
                <w:szCs w:val="16"/>
              </w:rPr>
              <w:t>76,828</w:t>
            </w:r>
          </w:p>
        </w:tc>
        <w:tc>
          <w:tcPr>
            <w:tcW w:w="981" w:type="dxa"/>
            <w:shd w:val="clear" w:color="auto" w:fill="auto"/>
            <w:vAlign w:val="bottom"/>
          </w:tcPr>
          <w:p w14:paraId="32E34999" w14:textId="7BCB65FA" w:rsidR="00224102" w:rsidRPr="00604C75" w:rsidRDefault="00224102" w:rsidP="00224102">
            <w:pPr>
              <w:jc w:val="right"/>
              <w:rPr>
                <w:sz w:val="18"/>
                <w:szCs w:val="18"/>
              </w:rPr>
            </w:pPr>
            <w:r w:rsidRPr="00433591">
              <w:rPr>
                <w:sz w:val="16"/>
                <w:szCs w:val="16"/>
              </w:rPr>
              <w:t>1,417</w:t>
            </w:r>
          </w:p>
        </w:tc>
        <w:tc>
          <w:tcPr>
            <w:tcW w:w="981" w:type="dxa"/>
            <w:shd w:val="clear" w:color="auto" w:fill="auto"/>
            <w:vAlign w:val="bottom"/>
          </w:tcPr>
          <w:p w14:paraId="548B435B" w14:textId="2DEC26FC"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7DA3CC8D" w14:textId="3E08805F" w:rsidR="00224102" w:rsidRPr="00604C75" w:rsidRDefault="00224102" w:rsidP="00224102">
            <w:pPr>
              <w:jc w:val="right"/>
              <w:rPr>
                <w:sz w:val="18"/>
                <w:szCs w:val="18"/>
              </w:rPr>
            </w:pPr>
            <w:r w:rsidRPr="00433591">
              <w:rPr>
                <w:sz w:val="16"/>
                <w:szCs w:val="16"/>
              </w:rPr>
              <w:t>423,602</w:t>
            </w:r>
          </w:p>
        </w:tc>
        <w:tc>
          <w:tcPr>
            <w:tcW w:w="903" w:type="dxa"/>
            <w:shd w:val="clear" w:color="auto" w:fill="auto"/>
            <w:vAlign w:val="bottom"/>
          </w:tcPr>
          <w:p w14:paraId="0FEB3CE7" w14:textId="767B542E" w:rsidR="00224102" w:rsidRPr="00604C75" w:rsidRDefault="00224102" w:rsidP="00224102">
            <w:pPr>
              <w:jc w:val="right"/>
              <w:rPr>
                <w:b/>
                <w:sz w:val="18"/>
                <w:szCs w:val="18"/>
              </w:rPr>
            </w:pPr>
            <w:r w:rsidRPr="00433591">
              <w:rPr>
                <w:sz w:val="16"/>
                <w:szCs w:val="16"/>
              </w:rPr>
              <w:t>5,462,894</w:t>
            </w:r>
          </w:p>
        </w:tc>
      </w:tr>
      <w:tr w:rsidR="00224102" w:rsidRPr="00604C75" w14:paraId="7BD344A7" w14:textId="77777777" w:rsidTr="00B85547">
        <w:trPr>
          <w:trHeight w:val="258"/>
        </w:trPr>
        <w:tc>
          <w:tcPr>
            <w:tcW w:w="2801" w:type="dxa"/>
            <w:shd w:val="clear" w:color="auto" w:fill="auto"/>
            <w:vAlign w:val="bottom"/>
          </w:tcPr>
          <w:p w14:paraId="73475B38" w14:textId="77777777" w:rsidR="00224102" w:rsidRPr="00604C75" w:rsidRDefault="00224102" w:rsidP="00224102">
            <w:pPr>
              <w:rPr>
                <w:snapToGrid w:val="0"/>
                <w:sz w:val="18"/>
                <w:szCs w:val="18"/>
              </w:rPr>
            </w:pPr>
            <w:r w:rsidRPr="00604C75">
              <w:rPr>
                <w:snapToGrid w:val="0"/>
                <w:sz w:val="18"/>
                <w:szCs w:val="18"/>
              </w:rPr>
              <w:t>Money Market Funds</w:t>
            </w:r>
          </w:p>
        </w:tc>
        <w:tc>
          <w:tcPr>
            <w:tcW w:w="931" w:type="dxa"/>
            <w:shd w:val="clear" w:color="auto" w:fill="auto"/>
            <w:vAlign w:val="bottom"/>
          </w:tcPr>
          <w:p w14:paraId="13836550" w14:textId="24881147" w:rsidR="00224102" w:rsidRPr="00604C75" w:rsidRDefault="00224102" w:rsidP="00224102">
            <w:pPr>
              <w:jc w:val="right"/>
              <w:rPr>
                <w:sz w:val="18"/>
                <w:szCs w:val="18"/>
              </w:rPr>
            </w:pPr>
            <w:r w:rsidRPr="00433591">
              <w:rPr>
                <w:sz w:val="16"/>
                <w:szCs w:val="16"/>
              </w:rPr>
              <w:t>445,487</w:t>
            </w:r>
          </w:p>
        </w:tc>
        <w:tc>
          <w:tcPr>
            <w:tcW w:w="932" w:type="dxa"/>
            <w:shd w:val="clear" w:color="auto" w:fill="auto"/>
            <w:vAlign w:val="bottom"/>
          </w:tcPr>
          <w:p w14:paraId="32D26C2E" w14:textId="3E8FFDB3"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4D8CEA71" w14:textId="0D26E99D"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320AC0B3" w14:textId="3FECCE6E"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618F7016" w14:textId="05E56F9D"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56CBECC2" w14:textId="2F0D9478" w:rsidR="00224102" w:rsidRPr="00604C75" w:rsidRDefault="00224102" w:rsidP="00224102">
            <w:pPr>
              <w:jc w:val="right"/>
              <w:rPr>
                <w:sz w:val="18"/>
                <w:szCs w:val="18"/>
              </w:rPr>
            </w:pPr>
            <w:r w:rsidRPr="00433591">
              <w:rPr>
                <w:sz w:val="16"/>
                <w:szCs w:val="16"/>
              </w:rPr>
              <w:t>-</w:t>
            </w:r>
          </w:p>
        </w:tc>
        <w:tc>
          <w:tcPr>
            <w:tcW w:w="903" w:type="dxa"/>
            <w:shd w:val="clear" w:color="auto" w:fill="auto"/>
            <w:vAlign w:val="bottom"/>
          </w:tcPr>
          <w:p w14:paraId="6846B67A" w14:textId="6863FC77" w:rsidR="00224102" w:rsidRPr="00604C75" w:rsidRDefault="00224102" w:rsidP="00224102">
            <w:pPr>
              <w:jc w:val="right"/>
              <w:rPr>
                <w:b/>
                <w:sz w:val="18"/>
                <w:szCs w:val="18"/>
              </w:rPr>
            </w:pPr>
            <w:r w:rsidRPr="00433591">
              <w:rPr>
                <w:sz w:val="16"/>
                <w:szCs w:val="16"/>
              </w:rPr>
              <w:t>445,487</w:t>
            </w:r>
          </w:p>
        </w:tc>
      </w:tr>
      <w:tr w:rsidR="00224102" w:rsidRPr="00604C75" w14:paraId="0C980739" w14:textId="77777777" w:rsidTr="00B85547">
        <w:trPr>
          <w:trHeight w:val="182"/>
        </w:trPr>
        <w:tc>
          <w:tcPr>
            <w:tcW w:w="2801" w:type="dxa"/>
            <w:shd w:val="clear" w:color="auto" w:fill="auto"/>
            <w:vAlign w:val="bottom"/>
          </w:tcPr>
          <w:p w14:paraId="72FDAECE" w14:textId="77777777" w:rsidR="00224102" w:rsidRPr="00604C75" w:rsidRDefault="00224102" w:rsidP="00224102">
            <w:pPr>
              <w:rPr>
                <w:snapToGrid w:val="0"/>
                <w:sz w:val="18"/>
                <w:szCs w:val="18"/>
              </w:rPr>
            </w:pPr>
            <w:r w:rsidRPr="00604C75">
              <w:rPr>
                <w:snapToGrid w:val="0"/>
                <w:sz w:val="18"/>
                <w:szCs w:val="18"/>
              </w:rPr>
              <w:t>Miscellaneous Payables</w:t>
            </w:r>
          </w:p>
        </w:tc>
        <w:tc>
          <w:tcPr>
            <w:tcW w:w="931" w:type="dxa"/>
            <w:shd w:val="clear" w:color="auto" w:fill="auto"/>
            <w:vAlign w:val="bottom"/>
          </w:tcPr>
          <w:p w14:paraId="092803A9" w14:textId="53004211" w:rsidR="00224102" w:rsidRPr="00604C75" w:rsidRDefault="00224102" w:rsidP="00224102">
            <w:pPr>
              <w:jc w:val="right"/>
              <w:rPr>
                <w:sz w:val="18"/>
                <w:szCs w:val="18"/>
              </w:rPr>
            </w:pPr>
            <w:r w:rsidRPr="00433591">
              <w:rPr>
                <w:sz w:val="16"/>
                <w:szCs w:val="16"/>
              </w:rPr>
              <w:t>-</w:t>
            </w:r>
          </w:p>
        </w:tc>
        <w:tc>
          <w:tcPr>
            <w:tcW w:w="932" w:type="dxa"/>
            <w:shd w:val="clear" w:color="auto" w:fill="auto"/>
            <w:vAlign w:val="bottom"/>
          </w:tcPr>
          <w:p w14:paraId="5F211062" w14:textId="53AE8001"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127E5CF7" w14:textId="63E02D1D"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14C12FA6" w14:textId="014142AA"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524DA475" w14:textId="0CCC6120"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07AAFC57" w14:textId="59B113BA" w:rsidR="00224102" w:rsidRPr="00604C75" w:rsidRDefault="00224102" w:rsidP="00224102">
            <w:pPr>
              <w:jc w:val="right"/>
              <w:rPr>
                <w:sz w:val="18"/>
                <w:szCs w:val="18"/>
              </w:rPr>
            </w:pPr>
            <w:r w:rsidRPr="00433591">
              <w:rPr>
                <w:sz w:val="16"/>
                <w:szCs w:val="16"/>
              </w:rPr>
              <w:t>231,198</w:t>
            </w:r>
          </w:p>
        </w:tc>
        <w:tc>
          <w:tcPr>
            <w:tcW w:w="903" w:type="dxa"/>
            <w:shd w:val="clear" w:color="auto" w:fill="auto"/>
            <w:vAlign w:val="bottom"/>
          </w:tcPr>
          <w:p w14:paraId="459F554B" w14:textId="599A803C" w:rsidR="00224102" w:rsidRPr="00604C75" w:rsidRDefault="00224102" w:rsidP="00224102">
            <w:pPr>
              <w:jc w:val="right"/>
              <w:rPr>
                <w:b/>
                <w:sz w:val="18"/>
                <w:szCs w:val="18"/>
              </w:rPr>
            </w:pPr>
            <w:r w:rsidRPr="00433591">
              <w:rPr>
                <w:sz w:val="16"/>
                <w:szCs w:val="16"/>
              </w:rPr>
              <w:t>231,198</w:t>
            </w:r>
          </w:p>
        </w:tc>
      </w:tr>
      <w:tr w:rsidR="00224102" w:rsidRPr="00604C75" w14:paraId="6E7B1069" w14:textId="77777777" w:rsidTr="00B85547">
        <w:trPr>
          <w:trHeight w:val="182"/>
        </w:trPr>
        <w:tc>
          <w:tcPr>
            <w:tcW w:w="2801" w:type="dxa"/>
            <w:shd w:val="clear" w:color="auto" w:fill="auto"/>
            <w:vAlign w:val="bottom"/>
          </w:tcPr>
          <w:p w14:paraId="3F59DB8A" w14:textId="7F3C27C5" w:rsidR="00224102" w:rsidRPr="00604C75" w:rsidRDefault="00224102" w:rsidP="00224102">
            <w:pPr>
              <w:rPr>
                <w:snapToGrid w:val="0"/>
                <w:sz w:val="18"/>
                <w:szCs w:val="18"/>
              </w:rPr>
            </w:pPr>
            <w:r w:rsidRPr="00604C75">
              <w:rPr>
                <w:snapToGrid w:val="0"/>
                <w:sz w:val="18"/>
                <w:szCs w:val="18"/>
              </w:rPr>
              <w:t>Marketable Securities Issued</w:t>
            </w:r>
          </w:p>
        </w:tc>
        <w:tc>
          <w:tcPr>
            <w:tcW w:w="931" w:type="dxa"/>
            <w:shd w:val="clear" w:color="auto" w:fill="auto"/>
            <w:vAlign w:val="bottom"/>
          </w:tcPr>
          <w:p w14:paraId="7548220F" w14:textId="1EE32AD0" w:rsidR="00224102" w:rsidRPr="00604C75" w:rsidRDefault="00224102" w:rsidP="00224102">
            <w:pPr>
              <w:jc w:val="right"/>
              <w:rPr>
                <w:sz w:val="18"/>
                <w:szCs w:val="18"/>
              </w:rPr>
            </w:pPr>
            <w:r w:rsidRPr="00433591">
              <w:rPr>
                <w:sz w:val="16"/>
                <w:szCs w:val="16"/>
              </w:rPr>
              <w:t>42,203</w:t>
            </w:r>
          </w:p>
        </w:tc>
        <w:tc>
          <w:tcPr>
            <w:tcW w:w="932" w:type="dxa"/>
            <w:shd w:val="clear" w:color="auto" w:fill="auto"/>
            <w:vAlign w:val="bottom"/>
          </w:tcPr>
          <w:p w14:paraId="6B4F8CFD" w14:textId="4E8F5397" w:rsidR="00224102" w:rsidRPr="00604C75" w:rsidRDefault="00224102" w:rsidP="00224102">
            <w:pPr>
              <w:jc w:val="right"/>
              <w:rPr>
                <w:sz w:val="18"/>
                <w:szCs w:val="18"/>
              </w:rPr>
            </w:pPr>
            <w:r w:rsidRPr="00433591">
              <w:rPr>
                <w:sz w:val="16"/>
                <w:szCs w:val="16"/>
              </w:rPr>
              <w:t>145,194</w:t>
            </w:r>
          </w:p>
        </w:tc>
        <w:tc>
          <w:tcPr>
            <w:tcW w:w="981" w:type="dxa"/>
            <w:shd w:val="clear" w:color="auto" w:fill="auto"/>
            <w:vAlign w:val="bottom"/>
          </w:tcPr>
          <w:p w14:paraId="65E0A358" w14:textId="2837ECDA" w:rsidR="00224102" w:rsidRPr="00604C75" w:rsidRDefault="00224102" w:rsidP="00224102">
            <w:pPr>
              <w:jc w:val="right"/>
              <w:rPr>
                <w:sz w:val="18"/>
                <w:szCs w:val="18"/>
              </w:rPr>
            </w:pPr>
            <w:r w:rsidRPr="00433591">
              <w:rPr>
                <w:sz w:val="16"/>
                <w:szCs w:val="16"/>
              </w:rPr>
              <w:t>93,959</w:t>
            </w:r>
          </w:p>
        </w:tc>
        <w:tc>
          <w:tcPr>
            <w:tcW w:w="981" w:type="dxa"/>
            <w:shd w:val="clear" w:color="auto" w:fill="auto"/>
            <w:vAlign w:val="bottom"/>
          </w:tcPr>
          <w:p w14:paraId="75E75449" w14:textId="2D404A88" w:rsidR="00224102" w:rsidRPr="00604C75" w:rsidRDefault="00224102" w:rsidP="00224102">
            <w:pPr>
              <w:jc w:val="right"/>
              <w:rPr>
                <w:sz w:val="18"/>
                <w:szCs w:val="18"/>
              </w:rPr>
            </w:pPr>
            <w:r w:rsidRPr="00433591">
              <w:rPr>
                <w:sz w:val="16"/>
                <w:szCs w:val="16"/>
              </w:rPr>
              <w:t>586,742</w:t>
            </w:r>
          </w:p>
        </w:tc>
        <w:tc>
          <w:tcPr>
            <w:tcW w:w="981" w:type="dxa"/>
            <w:shd w:val="clear" w:color="auto" w:fill="auto"/>
            <w:vAlign w:val="bottom"/>
          </w:tcPr>
          <w:p w14:paraId="4699753F" w14:textId="141044B9"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0833CE21" w14:textId="7A898C34" w:rsidR="00224102" w:rsidRPr="00604C75" w:rsidRDefault="00224102" w:rsidP="00224102">
            <w:pPr>
              <w:jc w:val="right"/>
              <w:rPr>
                <w:sz w:val="18"/>
                <w:szCs w:val="18"/>
              </w:rPr>
            </w:pPr>
            <w:r w:rsidRPr="00433591">
              <w:rPr>
                <w:sz w:val="16"/>
                <w:szCs w:val="16"/>
              </w:rPr>
              <w:t>-</w:t>
            </w:r>
          </w:p>
        </w:tc>
        <w:tc>
          <w:tcPr>
            <w:tcW w:w="903" w:type="dxa"/>
            <w:shd w:val="clear" w:color="auto" w:fill="auto"/>
            <w:vAlign w:val="bottom"/>
          </w:tcPr>
          <w:p w14:paraId="46776C1B" w14:textId="3F4BC7C2" w:rsidR="00224102" w:rsidRPr="00604C75" w:rsidRDefault="00224102" w:rsidP="00224102">
            <w:pPr>
              <w:jc w:val="right"/>
              <w:rPr>
                <w:b/>
                <w:sz w:val="18"/>
                <w:szCs w:val="18"/>
              </w:rPr>
            </w:pPr>
            <w:r w:rsidRPr="00433591">
              <w:rPr>
                <w:sz w:val="16"/>
                <w:szCs w:val="16"/>
              </w:rPr>
              <w:t>868,098</w:t>
            </w:r>
          </w:p>
        </w:tc>
      </w:tr>
      <w:tr w:rsidR="00224102" w:rsidRPr="00604C75" w14:paraId="1B3FA7B0" w14:textId="77777777" w:rsidTr="00B85547">
        <w:trPr>
          <w:trHeight w:val="258"/>
        </w:trPr>
        <w:tc>
          <w:tcPr>
            <w:tcW w:w="2801" w:type="dxa"/>
            <w:shd w:val="clear" w:color="auto" w:fill="auto"/>
            <w:vAlign w:val="bottom"/>
          </w:tcPr>
          <w:p w14:paraId="02318CBA" w14:textId="77777777" w:rsidR="00224102" w:rsidRPr="00604C75" w:rsidRDefault="00224102" w:rsidP="00224102">
            <w:pPr>
              <w:rPr>
                <w:snapToGrid w:val="0"/>
                <w:sz w:val="18"/>
                <w:szCs w:val="18"/>
              </w:rPr>
            </w:pPr>
            <w:r w:rsidRPr="00604C75">
              <w:rPr>
                <w:snapToGrid w:val="0"/>
                <w:sz w:val="18"/>
                <w:szCs w:val="18"/>
              </w:rPr>
              <w:t>Funds Borrowed From Other Financial Institutions</w:t>
            </w:r>
          </w:p>
        </w:tc>
        <w:tc>
          <w:tcPr>
            <w:tcW w:w="931" w:type="dxa"/>
            <w:shd w:val="clear" w:color="auto" w:fill="auto"/>
            <w:vAlign w:val="bottom"/>
          </w:tcPr>
          <w:p w14:paraId="41F0635C" w14:textId="4E86DE74" w:rsidR="00224102" w:rsidRPr="00604C75" w:rsidRDefault="00224102" w:rsidP="00224102">
            <w:pPr>
              <w:jc w:val="right"/>
              <w:rPr>
                <w:sz w:val="18"/>
                <w:szCs w:val="18"/>
              </w:rPr>
            </w:pPr>
            <w:r w:rsidRPr="00433591">
              <w:rPr>
                <w:sz w:val="16"/>
                <w:szCs w:val="16"/>
              </w:rPr>
              <w:t>319,352</w:t>
            </w:r>
          </w:p>
        </w:tc>
        <w:tc>
          <w:tcPr>
            <w:tcW w:w="932" w:type="dxa"/>
            <w:shd w:val="clear" w:color="auto" w:fill="auto"/>
            <w:vAlign w:val="bottom"/>
          </w:tcPr>
          <w:p w14:paraId="3E208535" w14:textId="4D38D1AD" w:rsidR="00224102" w:rsidRPr="00604C75" w:rsidRDefault="00224102" w:rsidP="00224102">
            <w:pPr>
              <w:jc w:val="right"/>
              <w:rPr>
                <w:sz w:val="18"/>
                <w:szCs w:val="18"/>
              </w:rPr>
            </w:pPr>
            <w:r w:rsidRPr="00433591">
              <w:rPr>
                <w:sz w:val="16"/>
                <w:szCs w:val="16"/>
              </w:rPr>
              <w:t>417,215</w:t>
            </w:r>
          </w:p>
        </w:tc>
        <w:tc>
          <w:tcPr>
            <w:tcW w:w="981" w:type="dxa"/>
            <w:shd w:val="clear" w:color="auto" w:fill="auto"/>
            <w:vAlign w:val="bottom"/>
          </w:tcPr>
          <w:p w14:paraId="00A3295C" w14:textId="3B84A461" w:rsidR="00224102" w:rsidRPr="00604C75" w:rsidRDefault="00224102" w:rsidP="00224102">
            <w:pPr>
              <w:jc w:val="right"/>
              <w:rPr>
                <w:sz w:val="18"/>
                <w:szCs w:val="18"/>
              </w:rPr>
            </w:pPr>
            <w:r w:rsidRPr="00433591">
              <w:rPr>
                <w:sz w:val="16"/>
                <w:szCs w:val="16"/>
              </w:rPr>
              <w:t>1,686,378</w:t>
            </w:r>
          </w:p>
        </w:tc>
        <w:tc>
          <w:tcPr>
            <w:tcW w:w="981" w:type="dxa"/>
            <w:shd w:val="clear" w:color="auto" w:fill="auto"/>
            <w:vAlign w:val="bottom"/>
          </w:tcPr>
          <w:p w14:paraId="0E765F81" w14:textId="0791BB97" w:rsidR="00224102" w:rsidRPr="00604C75" w:rsidRDefault="00224102" w:rsidP="00224102">
            <w:pPr>
              <w:jc w:val="right"/>
              <w:rPr>
                <w:sz w:val="18"/>
                <w:szCs w:val="18"/>
              </w:rPr>
            </w:pPr>
            <w:r w:rsidRPr="00433591">
              <w:rPr>
                <w:sz w:val="16"/>
                <w:szCs w:val="16"/>
              </w:rPr>
              <w:t>112,628</w:t>
            </w:r>
          </w:p>
        </w:tc>
        <w:tc>
          <w:tcPr>
            <w:tcW w:w="981" w:type="dxa"/>
            <w:shd w:val="clear" w:color="auto" w:fill="auto"/>
            <w:vAlign w:val="bottom"/>
          </w:tcPr>
          <w:p w14:paraId="6E3A8A5D" w14:textId="42CDC675" w:rsidR="00224102" w:rsidRPr="00604C75" w:rsidRDefault="00224102" w:rsidP="00224102">
            <w:pPr>
              <w:jc w:val="right"/>
              <w:rPr>
                <w:sz w:val="18"/>
                <w:szCs w:val="18"/>
              </w:rPr>
            </w:pPr>
            <w:r w:rsidRPr="00433591">
              <w:rPr>
                <w:sz w:val="16"/>
                <w:szCs w:val="16"/>
              </w:rPr>
              <w:t>329,826</w:t>
            </w:r>
          </w:p>
        </w:tc>
        <w:tc>
          <w:tcPr>
            <w:tcW w:w="1025" w:type="dxa"/>
            <w:shd w:val="clear" w:color="auto" w:fill="auto"/>
            <w:vAlign w:val="bottom"/>
          </w:tcPr>
          <w:p w14:paraId="56DB0775" w14:textId="0EF2A2B7" w:rsidR="00224102" w:rsidRPr="00604C75" w:rsidRDefault="00224102" w:rsidP="00224102">
            <w:pPr>
              <w:jc w:val="right"/>
              <w:rPr>
                <w:sz w:val="18"/>
                <w:szCs w:val="18"/>
              </w:rPr>
            </w:pPr>
            <w:r w:rsidRPr="00433591">
              <w:rPr>
                <w:sz w:val="16"/>
                <w:szCs w:val="16"/>
              </w:rPr>
              <w:t>-</w:t>
            </w:r>
          </w:p>
        </w:tc>
        <w:tc>
          <w:tcPr>
            <w:tcW w:w="903" w:type="dxa"/>
            <w:shd w:val="clear" w:color="auto" w:fill="auto"/>
            <w:vAlign w:val="bottom"/>
          </w:tcPr>
          <w:p w14:paraId="2BBA0ADE" w14:textId="2A76F24C" w:rsidR="00224102" w:rsidRPr="00604C75" w:rsidRDefault="00224102" w:rsidP="00224102">
            <w:pPr>
              <w:jc w:val="right"/>
              <w:rPr>
                <w:b/>
                <w:sz w:val="18"/>
                <w:szCs w:val="18"/>
              </w:rPr>
            </w:pPr>
            <w:r w:rsidRPr="00433591">
              <w:rPr>
                <w:sz w:val="16"/>
                <w:szCs w:val="16"/>
              </w:rPr>
              <w:t>2,865,399</w:t>
            </w:r>
          </w:p>
        </w:tc>
      </w:tr>
      <w:tr w:rsidR="00224102" w:rsidRPr="00604C75" w14:paraId="782EA799" w14:textId="77777777" w:rsidTr="00B85547">
        <w:trPr>
          <w:trHeight w:val="384"/>
        </w:trPr>
        <w:tc>
          <w:tcPr>
            <w:tcW w:w="2801" w:type="dxa"/>
            <w:shd w:val="clear" w:color="auto" w:fill="auto"/>
            <w:vAlign w:val="bottom"/>
          </w:tcPr>
          <w:p w14:paraId="7410D7E3" w14:textId="03C42CD9" w:rsidR="00224102" w:rsidRPr="00604C75" w:rsidRDefault="00224102" w:rsidP="005411E1">
            <w:pPr>
              <w:rPr>
                <w:snapToGrid w:val="0"/>
                <w:sz w:val="18"/>
                <w:szCs w:val="18"/>
              </w:rPr>
            </w:pPr>
            <w:r w:rsidRPr="00604C75">
              <w:rPr>
                <w:snapToGrid w:val="0"/>
                <w:sz w:val="18"/>
                <w:szCs w:val="18"/>
              </w:rPr>
              <w:t xml:space="preserve">Other Liabilities and Shareholders’ Equity </w:t>
            </w:r>
            <w:r w:rsidRPr="00604C75">
              <w:rPr>
                <w:snapToGrid w:val="0"/>
                <w:sz w:val="16"/>
                <w:szCs w:val="16"/>
              </w:rPr>
              <w:t>(</w:t>
            </w:r>
            <w:r w:rsidR="005411E1">
              <w:rPr>
                <w:snapToGrid w:val="0"/>
                <w:sz w:val="16"/>
                <w:szCs w:val="16"/>
              </w:rPr>
              <w:t>*</w:t>
            </w:r>
            <w:r w:rsidRPr="00604C75">
              <w:rPr>
                <w:snapToGrid w:val="0"/>
                <w:sz w:val="16"/>
                <w:szCs w:val="16"/>
              </w:rPr>
              <w:t>*</w:t>
            </w:r>
            <w:r w:rsidR="005411E1">
              <w:rPr>
                <w:snapToGrid w:val="0"/>
                <w:sz w:val="16"/>
                <w:szCs w:val="16"/>
              </w:rPr>
              <w:t>*</w:t>
            </w:r>
            <w:r w:rsidRPr="00604C75">
              <w:rPr>
                <w:snapToGrid w:val="0"/>
                <w:sz w:val="16"/>
                <w:szCs w:val="16"/>
              </w:rPr>
              <w:t>)</w:t>
            </w:r>
          </w:p>
        </w:tc>
        <w:tc>
          <w:tcPr>
            <w:tcW w:w="931" w:type="dxa"/>
            <w:shd w:val="clear" w:color="auto" w:fill="auto"/>
            <w:vAlign w:val="bottom"/>
          </w:tcPr>
          <w:p w14:paraId="45370E35" w14:textId="3F5C173B" w:rsidR="00224102" w:rsidRPr="00604C75" w:rsidRDefault="00224102" w:rsidP="00224102">
            <w:pPr>
              <w:jc w:val="right"/>
              <w:rPr>
                <w:sz w:val="18"/>
                <w:szCs w:val="18"/>
              </w:rPr>
            </w:pPr>
            <w:r w:rsidRPr="00433591">
              <w:rPr>
                <w:sz w:val="16"/>
                <w:szCs w:val="16"/>
              </w:rPr>
              <w:t>866</w:t>
            </w:r>
          </w:p>
        </w:tc>
        <w:tc>
          <w:tcPr>
            <w:tcW w:w="932" w:type="dxa"/>
            <w:shd w:val="clear" w:color="auto" w:fill="auto"/>
            <w:vAlign w:val="bottom"/>
          </w:tcPr>
          <w:p w14:paraId="6C28F313" w14:textId="0CF84897" w:rsidR="00224102" w:rsidRPr="00604C75" w:rsidRDefault="00224102" w:rsidP="00224102">
            <w:pPr>
              <w:jc w:val="right"/>
              <w:rPr>
                <w:sz w:val="18"/>
                <w:szCs w:val="18"/>
              </w:rPr>
            </w:pPr>
            <w:r w:rsidRPr="00433591">
              <w:rPr>
                <w:sz w:val="16"/>
                <w:szCs w:val="16"/>
              </w:rPr>
              <w:t>7,133</w:t>
            </w:r>
          </w:p>
        </w:tc>
        <w:tc>
          <w:tcPr>
            <w:tcW w:w="981" w:type="dxa"/>
            <w:shd w:val="clear" w:color="auto" w:fill="auto"/>
            <w:vAlign w:val="bottom"/>
          </w:tcPr>
          <w:p w14:paraId="7A020859" w14:textId="6C42BABC" w:rsidR="00224102" w:rsidRPr="00604C75" w:rsidRDefault="00224102" w:rsidP="00224102">
            <w:pPr>
              <w:jc w:val="right"/>
              <w:rPr>
                <w:sz w:val="18"/>
                <w:szCs w:val="18"/>
              </w:rPr>
            </w:pPr>
            <w:r w:rsidRPr="00433591">
              <w:rPr>
                <w:sz w:val="16"/>
                <w:szCs w:val="16"/>
              </w:rPr>
              <w:t>4,806</w:t>
            </w:r>
          </w:p>
        </w:tc>
        <w:tc>
          <w:tcPr>
            <w:tcW w:w="981" w:type="dxa"/>
            <w:shd w:val="clear" w:color="auto" w:fill="auto"/>
            <w:vAlign w:val="bottom"/>
          </w:tcPr>
          <w:p w14:paraId="3B0746A1" w14:textId="1CCF2338" w:rsidR="00224102" w:rsidRPr="00604C75" w:rsidRDefault="00224102" w:rsidP="00224102">
            <w:pPr>
              <w:jc w:val="right"/>
              <w:rPr>
                <w:sz w:val="18"/>
                <w:szCs w:val="18"/>
              </w:rPr>
            </w:pPr>
            <w:r w:rsidRPr="00433591">
              <w:rPr>
                <w:sz w:val="16"/>
                <w:szCs w:val="16"/>
              </w:rPr>
              <w:t>8,578</w:t>
            </w:r>
          </w:p>
        </w:tc>
        <w:tc>
          <w:tcPr>
            <w:tcW w:w="981" w:type="dxa"/>
            <w:shd w:val="clear" w:color="auto" w:fill="auto"/>
            <w:vAlign w:val="bottom"/>
          </w:tcPr>
          <w:p w14:paraId="212D518D" w14:textId="3D0F3092"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629E5780" w14:textId="16F29DD5" w:rsidR="00224102" w:rsidRPr="00604C75" w:rsidRDefault="00224102" w:rsidP="00224102">
            <w:pPr>
              <w:jc w:val="right"/>
              <w:rPr>
                <w:sz w:val="18"/>
                <w:szCs w:val="18"/>
              </w:rPr>
            </w:pPr>
            <w:r w:rsidRPr="00433591">
              <w:rPr>
                <w:sz w:val="16"/>
                <w:szCs w:val="16"/>
              </w:rPr>
              <w:t>1,263,531</w:t>
            </w:r>
          </w:p>
        </w:tc>
        <w:tc>
          <w:tcPr>
            <w:tcW w:w="903" w:type="dxa"/>
            <w:shd w:val="clear" w:color="auto" w:fill="auto"/>
            <w:vAlign w:val="bottom"/>
          </w:tcPr>
          <w:p w14:paraId="6F8FBC10" w14:textId="6350BF49" w:rsidR="00224102" w:rsidRPr="00604C75" w:rsidRDefault="00224102" w:rsidP="00224102">
            <w:pPr>
              <w:jc w:val="right"/>
              <w:rPr>
                <w:b/>
                <w:sz w:val="18"/>
                <w:szCs w:val="18"/>
              </w:rPr>
            </w:pPr>
            <w:r w:rsidRPr="00433591">
              <w:rPr>
                <w:sz w:val="16"/>
                <w:szCs w:val="16"/>
              </w:rPr>
              <w:t>1,284,914</w:t>
            </w:r>
          </w:p>
        </w:tc>
      </w:tr>
      <w:tr w:rsidR="00224102" w:rsidRPr="00604C75" w14:paraId="76814778" w14:textId="77777777" w:rsidTr="00B85547">
        <w:trPr>
          <w:trHeight w:val="201"/>
        </w:trPr>
        <w:tc>
          <w:tcPr>
            <w:tcW w:w="2801" w:type="dxa"/>
            <w:shd w:val="clear" w:color="auto" w:fill="auto"/>
            <w:vAlign w:val="bottom"/>
          </w:tcPr>
          <w:p w14:paraId="30E0871A" w14:textId="77777777" w:rsidR="00224102" w:rsidRPr="00604C75" w:rsidRDefault="00224102" w:rsidP="00224102">
            <w:pPr>
              <w:pStyle w:val="Heading9"/>
              <w:rPr>
                <w:snapToGrid w:val="0"/>
                <w:szCs w:val="18"/>
              </w:rPr>
            </w:pPr>
            <w:r w:rsidRPr="00604C75">
              <w:rPr>
                <w:snapToGrid w:val="0"/>
                <w:szCs w:val="18"/>
              </w:rPr>
              <w:t>Total Liabilities</w:t>
            </w:r>
          </w:p>
        </w:tc>
        <w:tc>
          <w:tcPr>
            <w:tcW w:w="931" w:type="dxa"/>
            <w:shd w:val="clear" w:color="auto" w:fill="auto"/>
            <w:vAlign w:val="bottom"/>
          </w:tcPr>
          <w:p w14:paraId="30ABC74A" w14:textId="131E345B" w:rsidR="00224102" w:rsidRPr="00604C75" w:rsidRDefault="00224102" w:rsidP="00224102">
            <w:pPr>
              <w:jc w:val="right"/>
              <w:rPr>
                <w:b/>
                <w:sz w:val="18"/>
                <w:szCs w:val="18"/>
              </w:rPr>
            </w:pPr>
            <w:r w:rsidRPr="00433591">
              <w:rPr>
                <w:b/>
                <w:sz w:val="16"/>
                <w:szCs w:val="16"/>
              </w:rPr>
              <w:t>4,368,121</w:t>
            </w:r>
          </w:p>
        </w:tc>
        <w:tc>
          <w:tcPr>
            <w:tcW w:w="932" w:type="dxa"/>
            <w:shd w:val="clear" w:color="auto" w:fill="auto"/>
            <w:vAlign w:val="bottom"/>
          </w:tcPr>
          <w:p w14:paraId="4909295D" w14:textId="78BC5DFD" w:rsidR="00224102" w:rsidRPr="00604C75" w:rsidRDefault="00224102" w:rsidP="00224102">
            <w:pPr>
              <w:jc w:val="right"/>
              <w:rPr>
                <w:b/>
                <w:sz w:val="18"/>
                <w:szCs w:val="18"/>
              </w:rPr>
            </w:pPr>
            <w:r w:rsidRPr="00433591">
              <w:rPr>
                <w:b/>
                <w:sz w:val="16"/>
                <w:szCs w:val="16"/>
              </w:rPr>
              <w:t>2,159,452</w:t>
            </w:r>
          </w:p>
        </w:tc>
        <w:tc>
          <w:tcPr>
            <w:tcW w:w="981" w:type="dxa"/>
            <w:shd w:val="clear" w:color="auto" w:fill="auto"/>
            <w:vAlign w:val="bottom"/>
          </w:tcPr>
          <w:p w14:paraId="7F84B98F" w14:textId="49CBFD70" w:rsidR="00224102" w:rsidRPr="00604C75" w:rsidRDefault="00224102" w:rsidP="00224102">
            <w:pPr>
              <w:jc w:val="right"/>
              <w:rPr>
                <w:b/>
                <w:sz w:val="18"/>
                <w:szCs w:val="18"/>
              </w:rPr>
            </w:pPr>
            <w:r w:rsidRPr="00433591">
              <w:rPr>
                <w:b/>
                <w:sz w:val="16"/>
                <w:szCs w:val="16"/>
              </w:rPr>
              <w:t>1,861,971</w:t>
            </w:r>
          </w:p>
        </w:tc>
        <w:tc>
          <w:tcPr>
            <w:tcW w:w="981" w:type="dxa"/>
            <w:shd w:val="clear" w:color="auto" w:fill="auto"/>
            <w:vAlign w:val="bottom"/>
          </w:tcPr>
          <w:p w14:paraId="21CFAEEB" w14:textId="2A7039DF" w:rsidR="00224102" w:rsidRPr="00604C75" w:rsidRDefault="00224102" w:rsidP="00224102">
            <w:pPr>
              <w:jc w:val="right"/>
              <w:rPr>
                <w:b/>
                <w:sz w:val="18"/>
                <w:szCs w:val="18"/>
              </w:rPr>
            </w:pPr>
            <w:r w:rsidRPr="00433591">
              <w:rPr>
                <w:b/>
                <w:sz w:val="16"/>
                <w:szCs w:val="16"/>
              </w:rPr>
              <w:t>709,365</w:t>
            </w:r>
          </w:p>
        </w:tc>
        <w:tc>
          <w:tcPr>
            <w:tcW w:w="981" w:type="dxa"/>
            <w:shd w:val="clear" w:color="auto" w:fill="auto"/>
            <w:vAlign w:val="bottom"/>
          </w:tcPr>
          <w:p w14:paraId="37762C89" w14:textId="0777A939" w:rsidR="00224102" w:rsidRPr="00604C75" w:rsidRDefault="00224102" w:rsidP="00224102">
            <w:pPr>
              <w:jc w:val="right"/>
              <w:rPr>
                <w:b/>
                <w:sz w:val="18"/>
                <w:szCs w:val="18"/>
              </w:rPr>
            </w:pPr>
            <w:r w:rsidRPr="00433591">
              <w:rPr>
                <w:b/>
                <w:sz w:val="16"/>
                <w:szCs w:val="16"/>
              </w:rPr>
              <w:t>329,826</w:t>
            </w:r>
          </w:p>
        </w:tc>
        <w:tc>
          <w:tcPr>
            <w:tcW w:w="1025" w:type="dxa"/>
            <w:shd w:val="clear" w:color="auto" w:fill="auto"/>
            <w:vAlign w:val="bottom"/>
          </w:tcPr>
          <w:p w14:paraId="4B976254" w14:textId="64845612" w:rsidR="00224102" w:rsidRPr="00604C75" w:rsidRDefault="00224102" w:rsidP="00224102">
            <w:pPr>
              <w:jc w:val="right"/>
              <w:rPr>
                <w:b/>
                <w:sz w:val="18"/>
                <w:szCs w:val="18"/>
              </w:rPr>
            </w:pPr>
            <w:r w:rsidRPr="00433591">
              <w:rPr>
                <w:b/>
                <w:sz w:val="16"/>
                <w:szCs w:val="16"/>
              </w:rPr>
              <w:t>1,918,932</w:t>
            </w:r>
          </w:p>
        </w:tc>
        <w:tc>
          <w:tcPr>
            <w:tcW w:w="903" w:type="dxa"/>
            <w:shd w:val="clear" w:color="auto" w:fill="auto"/>
            <w:vAlign w:val="bottom"/>
          </w:tcPr>
          <w:p w14:paraId="09A41333" w14:textId="0D3B7FDF" w:rsidR="00224102" w:rsidRPr="00604C75" w:rsidRDefault="00224102" w:rsidP="00224102">
            <w:pPr>
              <w:jc w:val="right"/>
              <w:rPr>
                <w:b/>
                <w:sz w:val="18"/>
                <w:szCs w:val="18"/>
              </w:rPr>
            </w:pPr>
            <w:r w:rsidRPr="00433591">
              <w:rPr>
                <w:b/>
                <w:sz w:val="16"/>
                <w:szCs w:val="16"/>
              </w:rPr>
              <w:t>11,347,667</w:t>
            </w:r>
          </w:p>
        </w:tc>
      </w:tr>
      <w:tr w:rsidR="00224102" w:rsidRPr="00604C75" w14:paraId="0FF3C1F4" w14:textId="77777777" w:rsidTr="00B85547">
        <w:trPr>
          <w:trHeight w:val="182"/>
        </w:trPr>
        <w:tc>
          <w:tcPr>
            <w:tcW w:w="2801" w:type="dxa"/>
            <w:shd w:val="clear" w:color="auto" w:fill="auto"/>
            <w:vAlign w:val="bottom"/>
          </w:tcPr>
          <w:p w14:paraId="589FAC6C" w14:textId="77777777" w:rsidR="00224102" w:rsidRPr="00604C75" w:rsidRDefault="00224102" w:rsidP="00224102">
            <w:pPr>
              <w:pStyle w:val="Heading9"/>
              <w:rPr>
                <w:snapToGrid w:val="0"/>
                <w:szCs w:val="18"/>
              </w:rPr>
            </w:pPr>
          </w:p>
        </w:tc>
        <w:tc>
          <w:tcPr>
            <w:tcW w:w="931" w:type="dxa"/>
            <w:shd w:val="clear" w:color="auto" w:fill="auto"/>
            <w:vAlign w:val="bottom"/>
          </w:tcPr>
          <w:p w14:paraId="00A67F62" w14:textId="77777777" w:rsidR="00224102" w:rsidRPr="00604C75" w:rsidRDefault="00224102" w:rsidP="00224102">
            <w:pPr>
              <w:jc w:val="right"/>
              <w:rPr>
                <w:b/>
                <w:sz w:val="18"/>
                <w:szCs w:val="18"/>
              </w:rPr>
            </w:pPr>
          </w:p>
        </w:tc>
        <w:tc>
          <w:tcPr>
            <w:tcW w:w="932" w:type="dxa"/>
            <w:shd w:val="clear" w:color="auto" w:fill="auto"/>
            <w:vAlign w:val="bottom"/>
          </w:tcPr>
          <w:p w14:paraId="0E718568" w14:textId="77777777" w:rsidR="00224102" w:rsidRPr="00604C75" w:rsidRDefault="00224102" w:rsidP="00224102">
            <w:pPr>
              <w:jc w:val="right"/>
              <w:rPr>
                <w:b/>
                <w:sz w:val="18"/>
                <w:szCs w:val="18"/>
              </w:rPr>
            </w:pPr>
          </w:p>
        </w:tc>
        <w:tc>
          <w:tcPr>
            <w:tcW w:w="981" w:type="dxa"/>
            <w:shd w:val="clear" w:color="auto" w:fill="auto"/>
            <w:vAlign w:val="bottom"/>
          </w:tcPr>
          <w:p w14:paraId="3417A01B" w14:textId="77777777" w:rsidR="00224102" w:rsidRPr="00604C75" w:rsidRDefault="00224102" w:rsidP="00224102">
            <w:pPr>
              <w:jc w:val="right"/>
              <w:rPr>
                <w:b/>
                <w:sz w:val="18"/>
                <w:szCs w:val="18"/>
              </w:rPr>
            </w:pPr>
          </w:p>
        </w:tc>
        <w:tc>
          <w:tcPr>
            <w:tcW w:w="981" w:type="dxa"/>
            <w:shd w:val="clear" w:color="auto" w:fill="auto"/>
            <w:vAlign w:val="bottom"/>
          </w:tcPr>
          <w:p w14:paraId="0965E911" w14:textId="77777777" w:rsidR="00224102" w:rsidRPr="00604C75" w:rsidRDefault="00224102" w:rsidP="00224102">
            <w:pPr>
              <w:jc w:val="right"/>
              <w:rPr>
                <w:b/>
                <w:sz w:val="18"/>
                <w:szCs w:val="18"/>
              </w:rPr>
            </w:pPr>
          </w:p>
        </w:tc>
        <w:tc>
          <w:tcPr>
            <w:tcW w:w="981" w:type="dxa"/>
            <w:shd w:val="clear" w:color="auto" w:fill="auto"/>
            <w:vAlign w:val="bottom"/>
          </w:tcPr>
          <w:p w14:paraId="25AAE451" w14:textId="77777777" w:rsidR="00224102" w:rsidRPr="00604C75" w:rsidRDefault="00224102" w:rsidP="00224102">
            <w:pPr>
              <w:jc w:val="right"/>
              <w:rPr>
                <w:b/>
                <w:sz w:val="18"/>
                <w:szCs w:val="18"/>
              </w:rPr>
            </w:pPr>
          </w:p>
        </w:tc>
        <w:tc>
          <w:tcPr>
            <w:tcW w:w="1025" w:type="dxa"/>
            <w:shd w:val="clear" w:color="auto" w:fill="auto"/>
            <w:vAlign w:val="bottom"/>
          </w:tcPr>
          <w:p w14:paraId="2805BCEC" w14:textId="77777777" w:rsidR="00224102" w:rsidRPr="00604C75" w:rsidRDefault="00224102" w:rsidP="00224102">
            <w:pPr>
              <w:jc w:val="right"/>
              <w:rPr>
                <w:b/>
                <w:sz w:val="18"/>
                <w:szCs w:val="18"/>
              </w:rPr>
            </w:pPr>
          </w:p>
        </w:tc>
        <w:tc>
          <w:tcPr>
            <w:tcW w:w="903" w:type="dxa"/>
            <w:shd w:val="clear" w:color="auto" w:fill="auto"/>
            <w:vAlign w:val="bottom"/>
          </w:tcPr>
          <w:p w14:paraId="7F2D827C" w14:textId="77777777" w:rsidR="00224102" w:rsidRPr="00604C75" w:rsidRDefault="00224102" w:rsidP="00224102">
            <w:pPr>
              <w:jc w:val="right"/>
              <w:rPr>
                <w:b/>
                <w:sz w:val="18"/>
                <w:szCs w:val="18"/>
              </w:rPr>
            </w:pPr>
          </w:p>
        </w:tc>
      </w:tr>
      <w:tr w:rsidR="00224102" w:rsidRPr="00604C75" w14:paraId="458D03A4" w14:textId="77777777" w:rsidTr="00B85547">
        <w:trPr>
          <w:trHeight w:val="182"/>
        </w:trPr>
        <w:tc>
          <w:tcPr>
            <w:tcW w:w="2801" w:type="dxa"/>
            <w:shd w:val="clear" w:color="auto" w:fill="auto"/>
            <w:vAlign w:val="bottom"/>
          </w:tcPr>
          <w:p w14:paraId="156462EB" w14:textId="77777777" w:rsidR="00224102" w:rsidRPr="00604C75" w:rsidRDefault="00224102" w:rsidP="00224102">
            <w:pPr>
              <w:pStyle w:val="Heading9"/>
              <w:rPr>
                <w:b w:val="0"/>
                <w:snapToGrid w:val="0"/>
                <w:szCs w:val="18"/>
              </w:rPr>
            </w:pPr>
            <w:r w:rsidRPr="00604C75">
              <w:rPr>
                <w:rFonts w:eastAsia="Arial Unicode MS"/>
                <w:szCs w:val="18"/>
              </w:rPr>
              <w:t>Balance Sheet Long Position</w:t>
            </w:r>
          </w:p>
        </w:tc>
        <w:tc>
          <w:tcPr>
            <w:tcW w:w="931" w:type="dxa"/>
            <w:shd w:val="clear" w:color="auto" w:fill="auto"/>
            <w:vAlign w:val="bottom"/>
          </w:tcPr>
          <w:p w14:paraId="47338A77" w14:textId="6671D733" w:rsidR="00224102" w:rsidRPr="00604C75" w:rsidRDefault="00224102" w:rsidP="00224102">
            <w:pPr>
              <w:jc w:val="right"/>
              <w:rPr>
                <w:b/>
                <w:sz w:val="18"/>
                <w:szCs w:val="18"/>
              </w:rPr>
            </w:pPr>
            <w:r w:rsidRPr="00433591">
              <w:rPr>
                <w:b/>
                <w:sz w:val="16"/>
                <w:szCs w:val="16"/>
              </w:rPr>
              <w:t>225,853</w:t>
            </w:r>
          </w:p>
        </w:tc>
        <w:tc>
          <w:tcPr>
            <w:tcW w:w="932" w:type="dxa"/>
            <w:shd w:val="clear" w:color="auto" w:fill="auto"/>
            <w:vAlign w:val="bottom"/>
          </w:tcPr>
          <w:p w14:paraId="1F53E0CF" w14:textId="621DE8A5" w:rsidR="00224102" w:rsidRPr="00604C75" w:rsidRDefault="00224102" w:rsidP="00224102">
            <w:pPr>
              <w:jc w:val="right"/>
              <w:rPr>
                <w:b/>
                <w:sz w:val="18"/>
                <w:szCs w:val="18"/>
              </w:rPr>
            </w:pPr>
            <w:r w:rsidRPr="00433591">
              <w:rPr>
                <w:b/>
                <w:sz w:val="16"/>
                <w:szCs w:val="16"/>
              </w:rPr>
              <w:t>-</w:t>
            </w:r>
          </w:p>
        </w:tc>
        <w:tc>
          <w:tcPr>
            <w:tcW w:w="981" w:type="dxa"/>
            <w:shd w:val="clear" w:color="auto" w:fill="auto"/>
            <w:vAlign w:val="bottom"/>
          </w:tcPr>
          <w:p w14:paraId="6FE4160D" w14:textId="42B98A11" w:rsidR="00224102" w:rsidRPr="00604C75" w:rsidRDefault="00224102" w:rsidP="00224102">
            <w:pPr>
              <w:jc w:val="right"/>
              <w:rPr>
                <w:b/>
                <w:sz w:val="18"/>
                <w:szCs w:val="18"/>
              </w:rPr>
            </w:pPr>
            <w:r w:rsidRPr="00433591">
              <w:rPr>
                <w:b/>
                <w:sz w:val="16"/>
                <w:szCs w:val="16"/>
              </w:rPr>
              <w:t>602,491</w:t>
            </w:r>
          </w:p>
        </w:tc>
        <w:tc>
          <w:tcPr>
            <w:tcW w:w="981" w:type="dxa"/>
            <w:shd w:val="clear" w:color="auto" w:fill="auto"/>
            <w:vAlign w:val="bottom"/>
          </w:tcPr>
          <w:p w14:paraId="1C2EDB0C" w14:textId="0F24BE70" w:rsidR="00224102" w:rsidRPr="00604C75" w:rsidRDefault="00224102" w:rsidP="00224102">
            <w:pPr>
              <w:jc w:val="right"/>
              <w:rPr>
                <w:b/>
                <w:sz w:val="18"/>
                <w:szCs w:val="18"/>
              </w:rPr>
            </w:pPr>
            <w:r w:rsidRPr="00433591">
              <w:rPr>
                <w:b/>
                <w:sz w:val="16"/>
                <w:szCs w:val="16"/>
              </w:rPr>
              <w:t>1,484,726</w:t>
            </w:r>
          </w:p>
        </w:tc>
        <w:tc>
          <w:tcPr>
            <w:tcW w:w="981" w:type="dxa"/>
            <w:shd w:val="clear" w:color="auto" w:fill="auto"/>
            <w:vAlign w:val="bottom"/>
          </w:tcPr>
          <w:p w14:paraId="4C962B9B" w14:textId="1A2B2420" w:rsidR="00224102" w:rsidRPr="00604C75" w:rsidRDefault="00224102" w:rsidP="00224102">
            <w:pPr>
              <w:jc w:val="right"/>
              <w:rPr>
                <w:b/>
                <w:sz w:val="18"/>
                <w:szCs w:val="18"/>
              </w:rPr>
            </w:pPr>
            <w:r w:rsidRPr="00433591">
              <w:rPr>
                <w:b/>
                <w:sz w:val="16"/>
                <w:szCs w:val="16"/>
              </w:rPr>
              <w:t>142,292</w:t>
            </w:r>
          </w:p>
        </w:tc>
        <w:tc>
          <w:tcPr>
            <w:tcW w:w="1025" w:type="dxa"/>
            <w:shd w:val="clear" w:color="auto" w:fill="auto"/>
            <w:vAlign w:val="bottom"/>
          </w:tcPr>
          <w:p w14:paraId="3813C7C1" w14:textId="4A68A1BD" w:rsidR="00224102" w:rsidRPr="00604C75" w:rsidRDefault="00224102" w:rsidP="00224102">
            <w:pPr>
              <w:jc w:val="right"/>
              <w:rPr>
                <w:b/>
                <w:sz w:val="18"/>
                <w:szCs w:val="18"/>
              </w:rPr>
            </w:pPr>
            <w:r w:rsidRPr="00433591">
              <w:rPr>
                <w:b/>
                <w:sz w:val="16"/>
                <w:szCs w:val="16"/>
              </w:rPr>
              <w:t>-</w:t>
            </w:r>
          </w:p>
        </w:tc>
        <w:tc>
          <w:tcPr>
            <w:tcW w:w="903" w:type="dxa"/>
            <w:shd w:val="clear" w:color="auto" w:fill="auto"/>
            <w:vAlign w:val="bottom"/>
          </w:tcPr>
          <w:p w14:paraId="69E306E9" w14:textId="5F9AA56E" w:rsidR="00224102" w:rsidRPr="00604C75" w:rsidRDefault="00224102" w:rsidP="00224102">
            <w:pPr>
              <w:jc w:val="right"/>
              <w:rPr>
                <w:b/>
                <w:sz w:val="18"/>
                <w:szCs w:val="18"/>
              </w:rPr>
            </w:pPr>
            <w:r w:rsidRPr="00433591">
              <w:rPr>
                <w:b/>
                <w:sz w:val="16"/>
                <w:szCs w:val="16"/>
              </w:rPr>
              <w:t>2,455,362</w:t>
            </w:r>
          </w:p>
        </w:tc>
      </w:tr>
      <w:tr w:rsidR="00224102" w:rsidRPr="00604C75" w14:paraId="1AE35E5F" w14:textId="77777777" w:rsidTr="00B85547">
        <w:trPr>
          <w:trHeight w:val="201"/>
        </w:trPr>
        <w:tc>
          <w:tcPr>
            <w:tcW w:w="2801" w:type="dxa"/>
            <w:shd w:val="clear" w:color="auto" w:fill="auto"/>
            <w:vAlign w:val="bottom"/>
          </w:tcPr>
          <w:p w14:paraId="4DD1931A" w14:textId="77777777" w:rsidR="00224102" w:rsidRPr="00604C75" w:rsidRDefault="00224102" w:rsidP="00224102">
            <w:pPr>
              <w:pStyle w:val="Heading9"/>
              <w:rPr>
                <w:b w:val="0"/>
                <w:snapToGrid w:val="0"/>
                <w:szCs w:val="18"/>
              </w:rPr>
            </w:pPr>
            <w:r w:rsidRPr="00604C75">
              <w:rPr>
                <w:rFonts w:eastAsia="Arial Unicode MS"/>
                <w:szCs w:val="18"/>
              </w:rPr>
              <w:t>Balance Sheet Short Position</w:t>
            </w:r>
          </w:p>
        </w:tc>
        <w:tc>
          <w:tcPr>
            <w:tcW w:w="931" w:type="dxa"/>
            <w:shd w:val="clear" w:color="auto" w:fill="auto"/>
            <w:vAlign w:val="bottom"/>
          </w:tcPr>
          <w:p w14:paraId="7C053531" w14:textId="27D8EAB2" w:rsidR="00224102" w:rsidRPr="00604C75" w:rsidRDefault="00224102" w:rsidP="00224102">
            <w:pPr>
              <w:jc w:val="right"/>
              <w:rPr>
                <w:b/>
                <w:sz w:val="18"/>
                <w:szCs w:val="18"/>
              </w:rPr>
            </w:pPr>
            <w:r w:rsidRPr="00433591">
              <w:rPr>
                <w:b/>
                <w:sz w:val="16"/>
                <w:szCs w:val="16"/>
              </w:rPr>
              <w:t>-</w:t>
            </w:r>
          </w:p>
        </w:tc>
        <w:tc>
          <w:tcPr>
            <w:tcW w:w="932" w:type="dxa"/>
            <w:shd w:val="clear" w:color="auto" w:fill="auto"/>
            <w:vAlign w:val="bottom"/>
          </w:tcPr>
          <w:p w14:paraId="6ED69674" w14:textId="59635AB1" w:rsidR="00224102" w:rsidRPr="00604C75" w:rsidRDefault="00224102" w:rsidP="00224102">
            <w:pPr>
              <w:jc w:val="right"/>
              <w:rPr>
                <w:b/>
                <w:sz w:val="18"/>
                <w:szCs w:val="18"/>
              </w:rPr>
            </w:pPr>
            <w:r w:rsidRPr="00433591">
              <w:rPr>
                <w:b/>
                <w:sz w:val="16"/>
                <w:szCs w:val="16"/>
              </w:rPr>
              <w:t>(1,292,700)</w:t>
            </w:r>
          </w:p>
        </w:tc>
        <w:tc>
          <w:tcPr>
            <w:tcW w:w="981" w:type="dxa"/>
            <w:shd w:val="clear" w:color="auto" w:fill="auto"/>
            <w:vAlign w:val="bottom"/>
          </w:tcPr>
          <w:p w14:paraId="3956D182" w14:textId="7F923B0E" w:rsidR="00224102" w:rsidRPr="00604C75" w:rsidRDefault="00224102" w:rsidP="00224102">
            <w:pPr>
              <w:jc w:val="right"/>
              <w:rPr>
                <w:b/>
                <w:sz w:val="18"/>
                <w:szCs w:val="18"/>
              </w:rPr>
            </w:pPr>
            <w:r w:rsidRPr="00433591">
              <w:rPr>
                <w:b/>
                <w:sz w:val="16"/>
                <w:szCs w:val="16"/>
              </w:rPr>
              <w:t>-</w:t>
            </w:r>
          </w:p>
        </w:tc>
        <w:tc>
          <w:tcPr>
            <w:tcW w:w="981" w:type="dxa"/>
            <w:shd w:val="clear" w:color="auto" w:fill="auto"/>
            <w:vAlign w:val="bottom"/>
          </w:tcPr>
          <w:p w14:paraId="52B03B52" w14:textId="532A7F4D" w:rsidR="00224102" w:rsidRPr="00604C75" w:rsidRDefault="00224102" w:rsidP="00224102">
            <w:pPr>
              <w:jc w:val="right"/>
              <w:rPr>
                <w:b/>
                <w:sz w:val="18"/>
                <w:szCs w:val="18"/>
              </w:rPr>
            </w:pPr>
            <w:r w:rsidRPr="00433591">
              <w:rPr>
                <w:b/>
                <w:sz w:val="16"/>
                <w:szCs w:val="16"/>
              </w:rPr>
              <w:t>-</w:t>
            </w:r>
          </w:p>
        </w:tc>
        <w:tc>
          <w:tcPr>
            <w:tcW w:w="981" w:type="dxa"/>
            <w:shd w:val="clear" w:color="auto" w:fill="auto"/>
            <w:vAlign w:val="bottom"/>
          </w:tcPr>
          <w:p w14:paraId="4DE0A37D" w14:textId="7D901A1A" w:rsidR="00224102" w:rsidRPr="00604C75" w:rsidRDefault="00224102" w:rsidP="00224102">
            <w:pPr>
              <w:jc w:val="right"/>
              <w:rPr>
                <w:b/>
                <w:sz w:val="18"/>
                <w:szCs w:val="18"/>
              </w:rPr>
            </w:pPr>
            <w:r w:rsidRPr="00433591">
              <w:rPr>
                <w:b/>
                <w:sz w:val="16"/>
                <w:szCs w:val="16"/>
              </w:rPr>
              <w:t>-</w:t>
            </w:r>
          </w:p>
        </w:tc>
        <w:tc>
          <w:tcPr>
            <w:tcW w:w="1025" w:type="dxa"/>
            <w:shd w:val="clear" w:color="auto" w:fill="auto"/>
            <w:vAlign w:val="bottom"/>
          </w:tcPr>
          <w:p w14:paraId="3DECBF10" w14:textId="5394567E" w:rsidR="00224102" w:rsidRPr="00604C75" w:rsidRDefault="00224102" w:rsidP="00224102">
            <w:pPr>
              <w:jc w:val="right"/>
              <w:rPr>
                <w:b/>
                <w:sz w:val="18"/>
                <w:szCs w:val="18"/>
              </w:rPr>
            </w:pPr>
            <w:r w:rsidRPr="00433591">
              <w:rPr>
                <w:b/>
                <w:sz w:val="16"/>
                <w:szCs w:val="16"/>
              </w:rPr>
              <w:t>(1,162,662)</w:t>
            </w:r>
          </w:p>
        </w:tc>
        <w:tc>
          <w:tcPr>
            <w:tcW w:w="903" w:type="dxa"/>
            <w:shd w:val="clear" w:color="auto" w:fill="auto"/>
            <w:vAlign w:val="bottom"/>
          </w:tcPr>
          <w:p w14:paraId="3E6A9BAF" w14:textId="7B90491B" w:rsidR="00224102" w:rsidRPr="00604C75" w:rsidRDefault="00224102" w:rsidP="00224102">
            <w:pPr>
              <w:jc w:val="right"/>
              <w:rPr>
                <w:b/>
                <w:sz w:val="18"/>
                <w:szCs w:val="18"/>
              </w:rPr>
            </w:pPr>
            <w:r w:rsidRPr="00433591">
              <w:rPr>
                <w:b/>
                <w:sz w:val="16"/>
                <w:szCs w:val="16"/>
              </w:rPr>
              <w:t>(2,455,362)</w:t>
            </w:r>
          </w:p>
        </w:tc>
      </w:tr>
      <w:tr w:rsidR="00224102" w:rsidRPr="00604C75" w14:paraId="654530C2" w14:textId="77777777" w:rsidTr="00B85547">
        <w:trPr>
          <w:trHeight w:val="182"/>
        </w:trPr>
        <w:tc>
          <w:tcPr>
            <w:tcW w:w="2801" w:type="dxa"/>
            <w:shd w:val="clear" w:color="auto" w:fill="auto"/>
            <w:vAlign w:val="bottom"/>
          </w:tcPr>
          <w:p w14:paraId="1FA8152A" w14:textId="7244AA22" w:rsidR="00224102" w:rsidRPr="00604C75" w:rsidRDefault="00B85547" w:rsidP="00224102">
            <w:pPr>
              <w:outlineLvl w:val="6"/>
              <w:rPr>
                <w:rFonts w:eastAsia="Arial Unicode MS"/>
                <w:sz w:val="18"/>
                <w:szCs w:val="18"/>
              </w:rPr>
            </w:pPr>
            <w:r>
              <w:rPr>
                <w:rFonts w:eastAsia="Arial Unicode MS"/>
                <w:sz w:val="18"/>
                <w:szCs w:val="18"/>
              </w:rPr>
              <w:t>Off-b</w:t>
            </w:r>
            <w:r w:rsidR="00224102" w:rsidRPr="00604C75">
              <w:rPr>
                <w:rFonts w:eastAsia="Arial Unicode MS"/>
                <w:sz w:val="18"/>
                <w:szCs w:val="18"/>
              </w:rPr>
              <w:t>alance Sheet Long Position</w:t>
            </w:r>
          </w:p>
        </w:tc>
        <w:tc>
          <w:tcPr>
            <w:tcW w:w="931" w:type="dxa"/>
            <w:shd w:val="clear" w:color="auto" w:fill="auto"/>
            <w:vAlign w:val="bottom"/>
          </w:tcPr>
          <w:p w14:paraId="0E40BE02" w14:textId="76D94CFE" w:rsidR="00224102" w:rsidRPr="00604C75" w:rsidRDefault="00224102" w:rsidP="00224102">
            <w:pPr>
              <w:jc w:val="right"/>
              <w:rPr>
                <w:sz w:val="18"/>
                <w:szCs w:val="18"/>
              </w:rPr>
            </w:pPr>
            <w:r w:rsidRPr="00433591">
              <w:rPr>
                <w:sz w:val="16"/>
                <w:szCs w:val="16"/>
              </w:rPr>
              <w:t>125,914</w:t>
            </w:r>
          </w:p>
        </w:tc>
        <w:tc>
          <w:tcPr>
            <w:tcW w:w="932" w:type="dxa"/>
            <w:shd w:val="clear" w:color="auto" w:fill="auto"/>
            <w:vAlign w:val="bottom"/>
          </w:tcPr>
          <w:p w14:paraId="64C60CB8" w14:textId="013507F9" w:rsidR="00224102" w:rsidRPr="00604C75" w:rsidRDefault="00224102" w:rsidP="00224102">
            <w:pPr>
              <w:jc w:val="right"/>
              <w:rPr>
                <w:sz w:val="18"/>
                <w:szCs w:val="18"/>
              </w:rPr>
            </w:pPr>
            <w:r w:rsidRPr="00433591">
              <w:rPr>
                <w:sz w:val="16"/>
                <w:szCs w:val="16"/>
              </w:rPr>
              <w:t>106,942</w:t>
            </w:r>
          </w:p>
        </w:tc>
        <w:tc>
          <w:tcPr>
            <w:tcW w:w="981" w:type="dxa"/>
            <w:shd w:val="clear" w:color="auto" w:fill="auto"/>
            <w:vAlign w:val="bottom"/>
          </w:tcPr>
          <w:p w14:paraId="1CE2DF50" w14:textId="3A255DCD"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469DCC31" w14:textId="0FD1B22C" w:rsidR="00224102" w:rsidRPr="00604C75" w:rsidRDefault="00224102" w:rsidP="00224102">
            <w:pPr>
              <w:jc w:val="right"/>
              <w:rPr>
                <w:sz w:val="18"/>
                <w:szCs w:val="18"/>
              </w:rPr>
            </w:pPr>
            <w:r w:rsidRPr="00433591">
              <w:rPr>
                <w:sz w:val="16"/>
                <w:szCs w:val="16"/>
              </w:rPr>
              <w:t>7,874</w:t>
            </w:r>
          </w:p>
        </w:tc>
        <w:tc>
          <w:tcPr>
            <w:tcW w:w="981" w:type="dxa"/>
            <w:shd w:val="clear" w:color="auto" w:fill="auto"/>
            <w:vAlign w:val="bottom"/>
          </w:tcPr>
          <w:p w14:paraId="2EAF3C42" w14:textId="58180420"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13A77C42" w14:textId="71A3B297" w:rsidR="00224102" w:rsidRPr="00604C75" w:rsidRDefault="00224102" w:rsidP="00224102">
            <w:pPr>
              <w:jc w:val="right"/>
              <w:rPr>
                <w:sz w:val="18"/>
                <w:szCs w:val="18"/>
              </w:rPr>
            </w:pPr>
            <w:r w:rsidRPr="00433591">
              <w:rPr>
                <w:sz w:val="16"/>
                <w:szCs w:val="16"/>
              </w:rPr>
              <w:t>-</w:t>
            </w:r>
          </w:p>
        </w:tc>
        <w:tc>
          <w:tcPr>
            <w:tcW w:w="903" w:type="dxa"/>
            <w:shd w:val="clear" w:color="auto" w:fill="auto"/>
            <w:vAlign w:val="bottom"/>
          </w:tcPr>
          <w:p w14:paraId="1B56A002" w14:textId="1E8D419A" w:rsidR="00224102" w:rsidRPr="00604C75" w:rsidRDefault="00224102" w:rsidP="00224102">
            <w:pPr>
              <w:jc w:val="right"/>
              <w:rPr>
                <w:b/>
                <w:sz w:val="18"/>
                <w:szCs w:val="18"/>
              </w:rPr>
            </w:pPr>
            <w:r w:rsidRPr="00433591">
              <w:rPr>
                <w:sz w:val="16"/>
                <w:szCs w:val="16"/>
              </w:rPr>
              <w:t>240,730</w:t>
            </w:r>
          </w:p>
        </w:tc>
      </w:tr>
      <w:tr w:rsidR="00224102" w:rsidRPr="00604C75" w14:paraId="1A8646EB" w14:textId="77777777" w:rsidTr="00B85547">
        <w:trPr>
          <w:trHeight w:val="182"/>
        </w:trPr>
        <w:tc>
          <w:tcPr>
            <w:tcW w:w="2801" w:type="dxa"/>
            <w:shd w:val="clear" w:color="auto" w:fill="auto"/>
            <w:vAlign w:val="bottom"/>
          </w:tcPr>
          <w:p w14:paraId="2A6C7FFC" w14:textId="5B8B9B21" w:rsidR="00224102" w:rsidRPr="00604C75" w:rsidRDefault="00B85547" w:rsidP="00224102">
            <w:pPr>
              <w:autoSpaceDE w:val="0"/>
              <w:autoSpaceDN w:val="0"/>
              <w:adjustRightInd w:val="0"/>
              <w:rPr>
                <w:rFonts w:eastAsia="Arial Unicode MS"/>
                <w:sz w:val="18"/>
                <w:szCs w:val="18"/>
              </w:rPr>
            </w:pPr>
            <w:r>
              <w:rPr>
                <w:rFonts w:eastAsia="Arial Unicode MS"/>
                <w:sz w:val="18"/>
                <w:szCs w:val="18"/>
              </w:rPr>
              <w:t>Off-b</w:t>
            </w:r>
            <w:r w:rsidR="00224102" w:rsidRPr="00604C75">
              <w:rPr>
                <w:rFonts w:eastAsia="Arial Unicode MS"/>
                <w:sz w:val="18"/>
                <w:szCs w:val="18"/>
              </w:rPr>
              <w:t>alance Sheet Short Position</w:t>
            </w:r>
          </w:p>
        </w:tc>
        <w:tc>
          <w:tcPr>
            <w:tcW w:w="931" w:type="dxa"/>
            <w:shd w:val="clear" w:color="auto" w:fill="auto"/>
            <w:vAlign w:val="bottom"/>
          </w:tcPr>
          <w:p w14:paraId="1F76A38A" w14:textId="0CB92755" w:rsidR="00224102" w:rsidRPr="00604C75" w:rsidRDefault="00224102" w:rsidP="00224102">
            <w:pPr>
              <w:jc w:val="right"/>
              <w:rPr>
                <w:sz w:val="18"/>
                <w:szCs w:val="18"/>
              </w:rPr>
            </w:pPr>
            <w:r w:rsidRPr="00433591">
              <w:rPr>
                <w:sz w:val="16"/>
                <w:szCs w:val="16"/>
              </w:rPr>
              <w:t>-</w:t>
            </w:r>
          </w:p>
        </w:tc>
        <w:tc>
          <w:tcPr>
            <w:tcW w:w="932" w:type="dxa"/>
            <w:shd w:val="clear" w:color="auto" w:fill="auto"/>
            <w:vAlign w:val="bottom"/>
          </w:tcPr>
          <w:p w14:paraId="256CB96E" w14:textId="00767701"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571271B3" w14:textId="72E3AE2A" w:rsidR="00224102" w:rsidRPr="00604C75" w:rsidRDefault="00224102" w:rsidP="00224102">
            <w:pPr>
              <w:jc w:val="right"/>
              <w:rPr>
                <w:sz w:val="18"/>
                <w:szCs w:val="18"/>
              </w:rPr>
            </w:pPr>
            <w:r w:rsidRPr="00433591">
              <w:rPr>
                <w:sz w:val="16"/>
                <w:szCs w:val="16"/>
              </w:rPr>
              <w:t>(2,532)</w:t>
            </w:r>
          </w:p>
        </w:tc>
        <w:tc>
          <w:tcPr>
            <w:tcW w:w="981" w:type="dxa"/>
            <w:shd w:val="clear" w:color="auto" w:fill="auto"/>
            <w:vAlign w:val="bottom"/>
          </w:tcPr>
          <w:p w14:paraId="79A0B777" w14:textId="6A3D777A" w:rsidR="00224102" w:rsidRPr="00604C75" w:rsidRDefault="00224102" w:rsidP="00224102">
            <w:pPr>
              <w:jc w:val="right"/>
              <w:rPr>
                <w:sz w:val="18"/>
                <w:szCs w:val="18"/>
              </w:rPr>
            </w:pPr>
            <w:r w:rsidRPr="00433591">
              <w:rPr>
                <w:sz w:val="16"/>
                <w:szCs w:val="16"/>
              </w:rPr>
              <w:t>-</w:t>
            </w:r>
          </w:p>
        </w:tc>
        <w:tc>
          <w:tcPr>
            <w:tcW w:w="981" w:type="dxa"/>
            <w:shd w:val="clear" w:color="auto" w:fill="auto"/>
            <w:vAlign w:val="bottom"/>
          </w:tcPr>
          <w:p w14:paraId="25AB4F76" w14:textId="2C4EB43E" w:rsidR="00224102" w:rsidRPr="00604C75" w:rsidRDefault="00224102" w:rsidP="00224102">
            <w:pPr>
              <w:jc w:val="right"/>
              <w:rPr>
                <w:sz w:val="18"/>
                <w:szCs w:val="18"/>
              </w:rPr>
            </w:pPr>
            <w:r w:rsidRPr="00433591">
              <w:rPr>
                <w:sz w:val="16"/>
                <w:szCs w:val="16"/>
              </w:rPr>
              <w:t>-</w:t>
            </w:r>
          </w:p>
        </w:tc>
        <w:tc>
          <w:tcPr>
            <w:tcW w:w="1025" w:type="dxa"/>
            <w:shd w:val="clear" w:color="auto" w:fill="auto"/>
            <w:vAlign w:val="bottom"/>
          </w:tcPr>
          <w:p w14:paraId="381425D4" w14:textId="6C300953" w:rsidR="00224102" w:rsidRPr="00604C75" w:rsidRDefault="00224102" w:rsidP="00224102">
            <w:pPr>
              <w:jc w:val="right"/>
              <w:rPr>
                <w:sz w:val="18"/>
                <w:szCs w:val="18"/>
              </w:rPr>
            </w:pPr>
            <w:r w:rsidRPr="00433591">
              <w:rPr>
                <w:sz w:val="16"/>
                <w:szCs w:val="16"/>
              </w:rPr>
              <w:t>-</w:t>
            </w:r>
          </w:p>
        </w:tc>
        <w:tc>
          <w:tcPr>
            <w:tcW w:w="903" w:type="dxa"/>
            <w:shd w:val="clear" w:color="auto" w:fill="auto"/>
            <w:vAlign w:val="bottom"/>
          </w:tcPr>
          <w:p w14:paraId="77FC0630" w14:textId="58A4DDC5" w:rsidR="00224102" w:rsidRPr="00604C75" w:rsidRDefault="00224102" w:rsidP="00224102">
            <w:pPr>
              <w:jc w:val="right"/>
              <w:rPr>
                <w:b/>
                <w:sz w:val="18"/>
                <w:szCs w:val="18"/>
              </w:rPr>
            </w:pPr>
            <w:r w:rsidRPr="00433591">
              <w:rPr>
                <w:sz w:val="16"/>
                <w:szCs w:val="16"/>
              </w:rPr>
              <w:t>(2,532)</w:t>
            </w:r>
          </w:p>
        </w:tc>
      </w:tr>
      <w:tr w:rsidR="00224102" w:rsidRPr="00604C75" w14:paraId="162D52A2" w14:textId="77777777" w:rsidTr="00B85547">
        <w:trPr>
          <w:trHeight w:val="201"/>
        </w:trPr>
        <w:tc>
          <w:tcPr>
            <w:tcW w:w="2801" w:type="dxa"/>
            <w:shd w:val="clear" w:color="auto" w:fill="auto"/>
            <w:vAlign w:val="bottom"/>
          </w:tcPr>
          <w:p w14:paraId="2C5B5301" w14:textId="77777777" w:rsidR="00224102" w:rsidRPr="00604C75" w:rsidRDefault="00224102" w:rsidP="00224102">
            <w:pPr>
              <w:pStyle w:val="Heading9"/>
              <w:rPr>
                <w:snapToGrid w:val="0"/>
                <w:szCs w:val="18"/>
              </w:rPr>
            </w:pPr>
            <w:r w:rsidRPr="00604C75">
              <w:rPr>
                <w:snapToGrid w:val="0"/>
                <w:szCs w:val="18"/>
              </w:rPr>
              <w:t>Total Position</w:t>
            </w:r>
          </w:p>
        </w:tc>
        <w:tc>
          <w:tcPr>
            <w:tcW w:w="931" w:type="dxa"/>
            <w:shd w:val="clear" w:color="auto" w:fill="auto"/>
            <w:vAlign w:val="bottom"/>
          </w:tcPr>
          <w:p w14:paraId="468C1897" w14:textId="76A895C9" w:rsidR="00224102" w:rsidRPr="00604C75" w:rsidRDefault="00224102" w:rsidP="00224102">
            <w:pPr>
              <w:jc w:val="right"/>
              <w:rPr>
                <w:b/>
                <w:sz w:val="18"/>
                <w:szCs w:val="18"/>
              </w:rPr>
            </w:pPr>
            <w:r w:rsidRPr="00433591">
              <w:rPr>
                <w:b/>
                <w:sz w:val="16"/>
                <w:szCs w:val="16"/>
              </w:rPr>
              <w:t>351,767</w:t>
            </w:r>
          </w:p>
        </w:tc>
        <w:tc>
          <w:tcPr>
            <w:tcW w:w="932" w:type="dxa"/>
            <w:shd w:val="clear" w:color="auto" w:fill="auto"/>
            <w:vAlign w:val="bottom"/>
          </w:tcPr>
          <w:p w14:paraId="079840C9" w14:textId="2D2A6BB3" w:rsidR="00224102" w:rsidRPr="00604C75" w:rsidRDefault="00224102" w:rsidP="00224102">
            <w:pPr>
              <w:jc w:val="right"/>
              <w:rPr>
                <w:b/>
                <w:sz w:val="18"/>
                <w:szCs w:val="18"/>
              </w:rPr>
            </w:pPr>
            <w:r w:rsidRPr="00433591">
              <w:rPr>
                <w:b/>
                <w:sz w:val="16"/>
                <w:szCs w:val="16"/>
              </w:rPr>
              <w:t>(1,185,758)</w:t>
            </w:r>
          </w:p>
        </w:tc>
        <w:tc>
          <w:tcPr>
            <w:tcW w:w="981" w:type="dxa"/>
            <w:shd w:val="clear" w:color="auto" w:fill="auto"/>
            <w:vAlign w:val="bottom"/>
          </w:tcPr>
          <w:p w14:paraId="76FA1005" w14:textId="736D6EDE" w:rsidR="00224102" w:rsidRPr="00604C75" w:rsidRDefault="00224102" w:rsidP="00224102">
            <w:pPr>
              <w:jc w:val="right"/>
              <w:rPr>
                <w:b/>
                <w:sz w:val="18"/>
                <w:szCs w:val="18"/>
              </w:rPr>
            </w:pPr>
            <w:r w:rsidRPr="00433591">
              <w:rPr>
                <w:b/>
                <w:sz w:val="16"/>
                <w:szCs w:val="16"/>
              </w:rPr>
              <w:t>599,959</w:t>
            </w:r>
          </w:p>
        </w:tc>
        <w:tc>
          <w:tcPr>
            <w:tcW w:w="981" w:type="dxa"/>
            <w:shd w:val="clear" w:color="auto" w:fill="auto"/>
            <w:vAlign w:val="bottom"/>
          </w:tcPr>
          <w:p w14:paraId="72458813" w14:textId="5501FCB4" w:rsidR="00224102" w:rsidRPr="00604C75" w:rsidRDefault="00224102" w:rsidP="00224102">
            <w:pPr>
              <w:jc w:val="right"/>
              <w:rPr>
                <w:b/>
                <w:sz w:val="18"/>
                <w:szCs w:val="18"/>
              </w:rPr>
            </w:pPr>
            <w:r w:rsidRPr="00433591">
              <w:rPr>
                <w:b/>
                <w:sz w:val="16"/>
                <w:szCs w:val="16"/>
              </w:rPr>
              <w:t>1,492,600</w:t>
            </w:r>
          </w:p>
        </w:tc>
        <w:tc>
          <w:tcPr>
            <w:tcW w:w="981" w:type="dxa"/>
            <w:shd w:val="clear" w:color="auto" w:fill="auto"/>
            <w:vAlign w:val="bottom"/>
          </w:tcPr>
          <w:p w14:paraId="70822F45" w14:textId="1E402C2A" w:rsidR="00224102" w:rsidRPr="00604C75" w:rsidRDefault="00224102" w:rsidP="00224102">
            <w:pPr>
              <w:jc w:val="right"/>
              <w:rPr>
                <w:b/>
                <w:sz w:val="18"/>
                <w:szCs w:val="18"/>
              </w:rPr>
            </w:pPr>
            <w:r w:rsidRPr="00433591">
              <w:rPr>
                <w:b/>
                <w:sz w:val="16"/>
                <w:szCs w:val="16"/>
              </w:rPr>
              <w:t>142,292</w:t>
            </w:r>
          </w:p>
        </w:tc>
        <w:tc>
          <w:tcPr>
            <w:tcW w:w="1025" w:type="dxa"/>
            <w:shd w:val="clear" w:color="auto" w:fill="auto"/>
            <w:vAlign w:val="bottom"/>
          </w:tcPr>
          <w:p w14:paraId="4D5C5956" w14:textId="3A3F91D6" w:rsidR="00224102" w:rsidRPr="00604C75" w:rsidRDefault="00224102" w:rsidP="00224102">
            <w:pPr>
              <w:jc w:val="right"/>
              <w:rPr>
                <w:b/>
                <w:sz w:val="18"/>
                <w:szCs w:val="18"/>
              </w:rPr>
            </w:pPr>
            <w:r w:rsidRPr="00433591">
              <w:rPr>
                <w:b/>
                <w:sz w:val="16"/>
                <w:szCs w:val="16"/>
              </w:rPr>
              <w:t>(1,162,662)</w:t>
            </w:r>
          </w:p>
        </w:tc>
        <w:tc>
          <w:tcPr>
            <w:tcW w:w="903" w:type="dxa"/>
            <w:shd w:val="clear" w:color="auto" w:fill="auto"/>
            <w:vAlign w:val="bottom"/>
          </w:tcPr>
          <w:p w14:paraId="6ADC080A" w14:textId="7E100083" w:rsidR="00224102" w:rsidRPr="00604C75" w:rsidRDefault="00224102" w:rsidP="00224102">
            <w:pPr>
              <w:jc w:val="right"/>
              <w:rPr>
                <w:b/>
                <w:sz w:val="18"/>
                <w:szCs w:val="18"/>
              </w:rPr>
            </w:pPr>
            <w:r w:rsidRPr="00433591">
              <w:rPr>
                <w:b/>
                <w:sz w:val="16"/>
                <w:szCs w:val="16"/>
              </w:rPr>
              <w:t>238,198</w:t>
            </w:r>
          </w:p>
        </w:tc>
      </w:tr>
    </w:tbl>
    <w:p w14:paraId="63C7D303" w14:textId="5A054C03" w:rsidR="00345FEB" w:rsidRPr="00604C75" w:rsidRDefault="00345FEB" w:rsidP="005411E1">
      <w:pPr>
        <w:tabs>
          <w:tab w:val="left" w:pos="142"/>
        </w:tabs>
        <w:spacing w:before="60" w:after="60" w:line="233" w:lineRule="auto"/>
        <w:ind w:left="434" w:hanging="420"/>
        <w:jc w:val="both"/>
        <w:rPr>
          <w:sz w:val="18"/>
          <w:szCs w:val="18"/>
        </w:rPr>
      </w:pPr>
      <w:r w:rsidRPr="00604C75">
        <w:rPr>
          <w:snapToGrid w:val="0"/>
          <w:sz w:val="16"/>
          <w:szCs w:val="16"/>
        </w:rPr>
        <w:t>(*)</w:t>
      </w:r>
      <w:r w:rsidR="00B623B1">
        <w:rPr>
          <w:snapToGrid w:val="0"/>
          <w:sz w:val="16"/>
          <w:szCs w:val="16"/>
        </w:rPr>
        <w:t xml:space="preserve">  </w:t>
      </w:r>
      <w:r w:rsidR="005411E1">
        <w:rPr>
          <w:snapToGrid w:val="0"/>
          <w:sz w:val="16"/>
          <w:szCs w:val="16"/>
        </w:rPr>
        <w:tab/>
      </w:r>
      <w:r w:rsidRPr="00604C75">
        <w:rPr>
          <w:sz w:val="18"/>
          <w:szCs w:val="18"/>
        </w:rPr>
        <w:t>Investments in associates and subsidiaries, tangible and intangible fixed assets, miscellaneous receivables, deferred tax assets and other assets are classified as non-interest bearing assets.</w:t>
      </w:r>
    </w:p>
    <w:p w14:paraId="3634C966" w14:textId="25D75E6A" w:rsidR="00345FEB" w:rsidRPr="00604C75" w:rsidRDefault="005411E1" w:rsidP="005411E1">
      <w:pPr>
        <w:tabs>
          <w:tab w:val="left" w:pos="426"/>
        </w:tabs>
        <w:spacing w:before="60" w:line="223" w:lineRule="auto"/>
        <w:ind w:left="434" w:hanging="434"/>
        <w:jc w:val="both"/>
        <w:rPr>
          <w:sz w:val="18"/>
          <w:szCs w:val="18"/>
        </w:rPr>
      </w:pPr>
      <w:r>
        <w:rPr>
          <w:snapToGrid w:val="0"/>
          <w:sz w:val="16"/>
          <w:szCs w:val="16"/>
        </w:rPr>
        <w:t>(**</w:t>
      </w:r>
      <w:r w:rsidR="00345FEB" w:rsidRPr="00604C75">
        <w:rPr>
          <w:snapToGrid w:val="0"/>
          <w:sz w:val="16"/>
          <w:szCs w:val="16"/>
        </w:rPr>
        <w:t>)</w:t>
      </w:r>
      <w:r w:rsidR="00345FEB" w:rsidRPr="00604C75">
        <w:rPr>
          <w:sz w:val="18"/>
          <w:szCs w:val="18"/>
          <w:vertAlign w:val="superscript"/>
        </w:rPr>
        <w:t xml:space="preserve"> </w:t>
      </w:r>
      <w:r>
        <w:rPr>
          <w:sz w:val="18"/>
          <w:szCs w:val="18"/>
          <w:vertAlign w:val="superscript"/>
        </w:rPr>
        <w:tab/>
      </w:r>
      <w:r w:rsidR="00345FEB" w:rsidRPr="00604C75">
        <w:rPr>
          <w:sz w:val="18"/>
          <w:szCs w:val="18"/>
        </w:rPr>
        <w:t>Leasing receivables are classified to other assets.</w:t>
      </w:r>
    </w:p>
    <w:p w14:paraId="6C49227D" w14:textId="4CBCF551" w:rsidR="005411E1" w:rsidRPr="00604C75" w:rsidRDefault="005411E1" w:rsidP="005411E1">
      <w:pPr>
        <w:tabs>
          <w:tab w:val="left" w:pos="567"/>
        </w:tabs>
        <w:spacing w:before="60" w:after="60" w:line="233" w:lineRule="auto"/>
        <w:jc w:val="both"/>
        <w:rPr>
          <w:sz w:val="18"/>
          <w:szCs w:val="18"/>
        </w:rPr>
      </w:pPr>
      <w:r w:rsidRPr="00604C75">
        <w:rPr>
          <w:snapToGrid w:val="0"/>
          <w:sz w:val="16"/>
          <w:szCs w:val="16"/>
        </w:rPr>
        <w:t>(**</w:t>
      </w:r>
      <w:r>
        <w:rPr>
          <w:snapToGrid w:val="0"/>
          <w:sz w:val="16"/>
          <w:szCs w:val="16"/>
        </w:rPr>
        <w:t>*</w:t>
      </w:r>
      <w:r w:rsidRPr="00604C75">
        <w:rPr>
          <w:snapToGrid w:val="0"/>
          <w:sz w:val="16"/>
          <w:szCs w:val="16"/>
        </w:rPr>
        <w:t>)</w:t>
      </w:r>
      <w:r w:rsidRPr="00604C75">
        <w:rPr>
          <w:sz w:val="18"/>
          <w:szCs w:val="18"/>
          <w:vertAlign w:val="superscript"/>
        </w:rPr>
        <w:t xml:space="preserve"> </w:t>
      </w:r>
      <w:r w:rsidRPr="00604C75">
        <w:rPr>
          <w:sz w:val="18"/>
          <w:szCs w:val="18"/>
        </w:rPr>
        <w:t xml:space="preserve">Taxes payable, charges, duties and premiums, provisions </w:t>
      </w:r>
      <w:proofErr w:type="spellStart"/>
      <w:r w:rsidRPr="00604C75">
        <w:rPr>
          <w:sz w:val="18"/>
          <w:szCs w:val="18"/>
        </w:rPr>
        <w:t>ve</w:t>
      </w:r>
      <w:proofErr w:type="spellEnd"/>
      <w:r w:rsidRPr="00604C75">
        <w:rPr>
          <w:sz w:val="18"/>
          <w:szCs w:val="18"/>
        </w:rPr>
        <w:t xml:space="preserve"> shareholders’ equity are classified as non-interest bearing liabilities.</w:t>
      </w:r>
    </w:p>
    <w:p w14:paraId="221F18FC" w14:textId="77777777" w:rsidR="005E33B0" w:rsidRPr="00604C75" w:rsidRDefault="005E33B0" w:rsidP="00345FEB">
      <w:pPr>
        <w:pStyle w:val="BodyTextIndent2"/>
        <w:ind w:left="1276" w:hanging="1276"/>
        <w:rPr>
          <w:sz w:val="22"/>
          <w:szCs w:val="22"/>
        </w:rPr>
      </w:pPr>
    </w:p>
    <w:p w14:paraId="1E0E479A" w14:textId="37BBF379" w:rsidR="005E33B0" w:rsidRPr="00604C75" w:rsidRDefault="00A041CD" w:rsidP="00490153">
      <w:pPr>
        <w:pStyle w:val="BodyTextIndent2"/>
        <w:pageBreakBefore/>
        <w:spacing w:before="120"/>
        <w:ind w:left="0" w:firstLine="0"/>
        <w:rPr>
          <w:b/>
          <w:sz w:val="20"/>
        </w:rPr>
      </w:pPr>
      <w:r w:rsidRPr="00A041CD">
        <w:rPr>
          <w:b/>
          <w:sz w:val="20"/>
        </w:rPr>
        <w:lastRenderedPageBreak/>
        <w:t>INFORMATION ON THE FINANCIAL POSITION OF THE GROUP (Continued)</w:t>
      </w:r>
    </w:p>
    <w:p w14:paraId="656092B8" w14:textId="77777777" w:rsidR="00A17D40" w:rsidRPr="00604C75" w:rsidRDefault="00A17D40" w:rsidP="00490153">
      <w:pPr>
        <w:pStyle w:val="Heading2"/>
        <w:tabs>
          <w:tab w:val="left" w:pos="284"/>
        </w:tabs>
        <w:rPr>
          <w:rFonts w:ascii="Times New Roman" w:hAnsi="Times New Roman"/>
          <w:caps/>
          <w:sz w:val="20"/>
        </w:rPr>
      </w:pPr>
      <w:r w:rsidRPr="00604C75">
        <w:rPr>
          <w:rFonts w:ascii="Times New Roman" w:hAnsi="Times New Roman"/>
          <w:caps/>
          <w:sz w:val="20"/>
        </w:rPr>
        <w:t>V</w:t>
      </w:r>
      <w:r w:rsidR="00D742B6">
        <w:rPr>
          <w:rFonts w:ascii="Times New Roman" w:hAnsi="Times New Roman"/>
          <w:caps/>
          <w:sz w:val="20"/>
        </w:rPr>
        <w:t>I</w:t>
      </w:r>
      <w:r w:rsidRPr="00604C75">
        <w:rPr>
          <w:rFonts w:ascii="Times New Roman" w:hAnsi="Times New Roman"/>
          <w:caps/>
          <w:sz w:val="20"/>
        </w:rPr>
        <w:t>.</w:t>
      </w:r>
      <w:r w:rsidRPr="00604C75">
        <w:rPr>
          <w:rFonts w:ascii="Times New Roman" w:hAnsi="Times New Roman"/>
          <w:caps/>
          <w:sz w:val="20"/>
        </w:rPr>
        <w:tab/>
        <w:t xml:space="preserve">  </w:t>
      </w:r>
      <w:r w:rsidR="00C6153F" w:rsidRPr="00604C75">
        <w:rPr>
          <w:rFonts w:ascii="Times New Roman" w:hAnsi="Times New Roman"/>
          <w:noProof/>
          <w:sz w:val="20"/>
        </w:rPr>
        <w:t>Explanations</w:t>
      </w:r>
      <w:r w:rsidR="00C6153F" w:rsidRPr="00604C75" w:rsidDel="00C6153F">
        <w:rPr>
          <w:rFonts w:ascii="Times New Roman" w:hAnsi="Times New Roman"/>
          <w:caps/>
          <w:sz w:val="20"/>
        </w:rPr>
        <w:t xml:space="preserve"> </w:t>
      </w:r>
      <w:r w:rsidR="00C6153F" w:rsidRPr="00604C75">
        <w:rPr>
          <w:rFonts w:ascii="Times New Roman" w:hAnsi="Times New Roman"/>
          <w:sz w:val="20"/>
        </w:rPr>
        <w:t>on</w:t>
      </w:r>
      <w:r w:rsidR="00C6153F" w:rsidRPr="00604C75">
        <w:rPr>
          <w:rFonts w:ascii="Times New Roman" w:hAnsi="Times New Roman"/>
          <w:caps/>
          <w:sz w:val="20"/>
        </w:rPr>
        <w:t xml:space="preserve"> </w:t>
      </w:r>
      <w:r w:rsidR="00C6153F" w:rsidRPr="00604C75">
        <w:rPr>
          <w:rFonts w:ascii="Times New Roman" w:hAnsi="Times New Roman"/>
          <w:sz w:val="20"/>
        </w:rPr>
        <w:t>Interest Rate Risk</w:t>
      </w:r>
      <w:r w:rsidR="00C6153F" w:rsidRPr="00604C75" w:rsidDel="00C6153F">
        <w:rPr>
          <w:rFonts w:ascii="Times New Roman" w:hAnsi="Times New Roman"/>
          <w:caps/>
          <w:sz w:val="20"/>
        </w:rPr>
        <w:t xml:space="preserve"> </w:t>
      </w:r>
      <w:r w:rsidRPr="00604C75">
        <w:rPr>
          <w:sz w:val="20"/>
        </w:rPr>
        <w:t>(</w:t>
      </w:r>
      <w:r w:rsidRPr="00604C75">
        <w:rPr>
          <w:rFonts w:ascii="Times New Roman" w:hAnsi="Times New Roman"/>
          <w:sz w:val="20"/>
        </w:rPr>
        <w:t>Continued)</w:t>
      </w:r>
    </w:p>
    <w:p w14:paraId="50A80DA0" w14:textId="77777777" w:rsidR="005E33B0" w:rsidRPr="00604C75" w:rsidRDefault="005E33B0" w:rsidP="00490153">
      <w:pPr>
        <w:pStyle w:val="BodyTextIndent"/>
        <w:tabs>
          <w:tab w:val="left" w:pos="0"/>
          <w:tab w:val="left" w:pos="142"/>
          <w:tab w:val="left" w:pos="284"/>
        </w:tabs>
        <w:spacing w:before="120" w:after="0"/>
        <w:ind w:left="0"/>
        <w:rPr>
          <w:b/>
          <w:sz w:val="20"/>
          <w:szCs w:val="20"/>
        </w:rPr>
      </w:pPr>
      <w:r w:rsidRPr="00604C75">
        <w:rPr>
          <w:b/>
          <w:sz w:val="20"/>
          <w:szCs w:val="20"/>
        </w:rPr>
        <w:t>b.</w:t>
      </w:r>
      <w:r w:rsidRPr="00604C75">
        <w:rPr>
          <w:b/>
          <w:sz w:val="20"/>
          <w:szCs w:val="20"/>
        </w:rPr>
        <w:tab/>
        <w:t>Average interest rates for</w:t>
      </w:r>
      <w:r w:rsidR="00A17D40" w:rsidRPr="00604C75">
        <w:rPr>
          <w:b/>
          <w:sz w:val="20"/>
          <w:szCs w:val="20"/>
        </w:rPr>
        <w:t xml:space="preserve"> monetary financial instruments</w:t>
      </w:r>
    </w:p>
    <w:p w14:paraId="5A1F9EDF" w14:textId="77777777" w:rsidR="005E33B0" w:rsidRPr="00604C75" w:rsidRDefault="005E33B0" w:rsidP="006D4C17">
      <w:pPr>
        <w:pStyle w:val="BodyTextIndent2"/>
        <w:tabs>
          <w:tab w:val="left" w:pos="0"/>
        </w:tabs>
        <w:ind w:left="0" w:firstLine="0"/>
        <w:rPr>
          <w:bCs/>
          <w:sz w:val="20"/>
        </w:rPr>
      </w:pPr>
    </w:p>
    <w:p w14:paraId="0A1EB27F" w14:textId="77777777" w:rsidR="005E33B0" w:rsidRPr="00604C75" w:rsidRDefault="005E33B0" w:rsidP="006D4C17">
      <w:pPr>
        <w:pStyle w:val="BodyTextIndent2"/>
        <w:tabs>
          <w:tab w:val="left" w:pos="0"/>
        </w:tabs>
        <w:ind w:left="0" w:firstLine="0"/>
        <w:rPr>
          <w:sz w:val="20"/>
        </w:rPr>
      </w:pPr>
      <w:r w:rsidRPr="00604C75">
        <w:rPr>
          <w:sz w:val="20"/>
        </w:rPr>
        <w:t>The following average interest rates have been calculated by weighting the rates with their principal amounts as of the balance sheet date.</w:t>
      </w:r>
    </w:p>
    <w:p w14:paraId="56B271AD" w14:textId="77777777" w:rsidR="005E33B0" w:rsidRPr="00604C75" w:rsidRDefault="005E33B0" w:rsidP="006D4C17">
      <w:pPr>
        <w:pStyle w:val="BodyTextIndent2"/>
        <w:tabs>
          <w:tab w:val="left" w:pos="0"/>
        </w:tabs>
        <w:ind w:left="0" w:firstLine="0"/>
        <w:rPr>
          <w:sz w:val="16"/>
          <w:szCs w:val="16"/>
        </w:rPr>
      </w:pPr>
    </w:p>
    <w:tbl>
      <w:tblPr>
        <w:tblW w:w="9336"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110"/>
        <w:gridCol w:w="1119"/>
        <w:gridCol w:w="1092"/>
        <w:gridCol w:w="1019"/>
        <w:gridCol w:w="996"/>
      </w:tblGrid>
      <w:tr w:rsidR="001D7ACA" w:rsidRPr="00604C75" w14:paraId="646C5D71" w14:textId="77777777" w:rsidTr="00AD726D">
        <w:tc>
          <w:tcPr>
            <w:tcW w:w="5110" w:type="dxa"/>
            <w:vAlign w:val="bottom"/>
          </w:tcPr>
          <w:p w14:paraId="16BFD4E3" w14:textId="77777777" w:rsidR="005E33B0" w:rsidRPr="00604C75" w:rsidRDefault="00F51CB2" w:rsidP="00D742B6">
            <w:pPr>
              <w:tabs>
                <w:tab w:val="left" w:pos="0"/>
              </w:tabs>
              <w:jc w:val="both"/>
              <w:rPr>
                <w:b/>
                <w:sz w:val="18"/>
                <w:szCs w:val="18"/>
              </w:rPr>
            </w:pPr>
            <w:r>
              <w:rPr>
                <w:b/>
                <w:sz w:val="18"/>
                <w:szCs w:val="18"/>
              </w:rPr>
              <w:t>3</w:t>
            </w:r>
            <w:r w:rsidR="00D742B6">
              <w:rPr>
                <w:b/>
                <w:sz w:val="18"/>
                <w:szCs w:val="18"/>
              </w:rPr>
              <w:t>1</w:t>
            </w:r>
            <w:r>
              <w:rPr>
                <w:b/>
                <w:sz w:val="18"/>
                <w:szCs w:val="18"/>
              </w:rPr>
              <w:t xml:space="preserve"> </w:t>
            </w:r>
            <w:r w:rsidR="00D742B6">
              <w:rPr>
                <w:b/>
                <w:sz w:val="18"/>
                <w:szCs w:val="18"/>
              </w:rPr>
              <w:t>December</w:t>
            </w:r>
            <w:r w:rsidR="006D4C17" w:rsidRPr="00604C75">
              <w:rPr>
                <w:b/>
                <w:sz w:val="18"/>
                <w:szCs w:val="18"/>
              </w:rPr>
              <w:t xml:space="preserve"> 2015</w:t>
            </w:r>
          </w:p>
        </w:tc>
        <w:tc>
          <w:tcPr>
            <w:tcW w:w="1119" w:type="dxa"/>
            <w:vAlign w:val="bottom"/>
          </w:tcPr>
          <w:p w14:paraId="5856D68A" w14:textId="77777777" w:rsidR="005E33B0" w:rsidRPr="00604C75" w:rsidRDefault="003D769C" w:rsidP="006D4C17">
            <w:pPr>
              <w:tabs>
                <w:tab w:val="left" w:pos="0"/>
              </w:tabs>
              <w:ind w:right="45"/>
              <w:jc w:val="right"/>
              <w:rPr>
                <w:rFonts w:eastAsia="Arial Unicode MS"/>
                <w:b/>
                <w:sz w:val="18"/>
                <w:szCs w:val="18"/>
              </w:rPr>
            </w:pPr>
            <w:r w:rsidRPr="00604C75">
              <w:rPr>
                <w:b/>
                <w:sz w:val="18"/>
                <w:szCs w:val="18"/>
              </w:rPr>
              <w:t>Euro</w:t>
            </w:r>
          </w:p>
        </w:tc>
        <w:tc>
          <w:tcPr>
            <w:tcW w:w="1092" w:type="dxa"/>
            <w:vAlign w:val="bottom"/>
          </w:tcPr>
          <w:p w14:paraId="16715051" w14:textId="77777777" w:rsidR="005E33B0" w:rsidRPr="00604C75" w:rsidRDefault="003D769C" w:rsidP="006D4C17">
            <w:pPr>
              <w:tabs>
                <w:tab w:val="left" w:pos="0"/>
              </w:tabs>
              <w:ind w:right="45"/>
              <w:jc w:val="right"/>
              <w:rPr>
                <w:rFonts w:eastAsia="Arial Unicode MS"/>
                <w:b/>
                <w:sz w:val="18"/>
                <w:szCs w:val="18"/>
              </w:rPr>
            </w:pPr>
            <w:proofErr w:type="spellStart"/>
            <w:r w:rsidRPr="00604C75">
              <w:rPr>
                <w:b/>
                <w:sz w:val="18"/>
                <w:szCs w:val="18"/>
              </w:rPr>
              <w:t>Usd</w:t>
            </w:r>
            <w:proofErr w:type="spellEnd"/>
          </w:p>
        </w:tc>
        <w:tc>
          <w:tcPr>
            <w:tcW w:w="1019" w:type="dxa"/>
            <w:vAlign w:val="bottom"/>
          </w:tcPr>
          <w:p w14:paraId="1422E149" w14:textId="3BA7BB50" w:rsidR="005E33B0" w:rsidRPr="00604C75" w:rsidRDefault="00216E0E" w:rsidP="006D4C17">
            <w:pPr>
              <w:tabs>
                <w:tab w:val="left" w:pos="0"/>
              </w:tabs>
              <w:ind w:right="4"/>
              <w:jc w:val="right"/>
              <w:rPr>
                <w:rFonts w:eastAsia="Arial Unicode MS"/>
                <w:b/>
                <w:sz w:val="18"/>
                <w:szCs w:val="18"/>
              </w:rPr>
            </w:pPr>
            <w:r>
              <w:rPr>
                <w:rFonts w:eastAsia="Arial Unicode MS"/>
                <w:b/>
                <w:sz w:val="18"/>
                <w:szCs w:val="18"/>
              </w:rPr>
              <w:t>Other FC</w:t>
            </w:r>
          </w:p>
        </w:tc>
        <w:tc>
          <w:tcPr>
            <w:tcW w:w="996" w:type="dxa"/>
            <w:vAlign w:val="bottom"/>
          </w:tcPr>
          <w:p w14:paraId="1929674B" w14:textId="77777777" w:rsidR="005E33B0" w:rsidRPr="00604C75" w:rsidRDefault="005E33B0" w:rsidP="006D4C17">
            <w:pPr>
              <w:tabs>
                <w:tab w:val="left" w:pos="0"/>
              </w:tabs>
              <w:ind w:right="45"/>
              <w:jc w:val="right"/>
              <w:rPr>
                <w:rFonts w:eastAsia="Arial Unicode MS"/>
                <w:b/>
                <w:sz w:val="18"/>
                <w:szCs w:val="18"/>
              </w:rPr>
            </w:pPr>
            <w:r w:rsidRPr="00604C75">
              <w:rPr>
                <w:rFonts w:eastAsia="Arial Unicode MS"/>
                <w:b/>
                <w:sz w:val="18"/>
                <w:szCs w:val="18"/>
              </w:rPr>
              <w:t>TL</w:t>
            </w:r>
          </w:p>
        </w:tc>
      </w:tr>
      <w:tr w:rsidR="001D7ACA" w:rsidRPr="00604C75" w14:paraId="26E890F1" w14:textId="77777777" w:rsidTr="00AD726D">
        <w:tc>
          <w:tcPr>
            <w:tcW w:w="5110" w:type="dxa"/>
            <w:vAlign w:val="bottom"/>
          </w:tcPr>
          <w:p w14:paraId="2C49B6E8" w14:textId="77777777" w:rsidR="005E33B0" w:rsidRPr="00604C75" w:rsidRDefault="005E33B0" w:rsidP="006D4C17">
            <w:pPr>
              <w:tabs>
                <w:tab w:val="left" w:pos="0"/>
              </w:tabs>
              <w:jc w:val="both"/>
              <w:rPr>
                <w:b/>
                <w:sz w:val="18"/>
                <w:szCs w:val="18"/>
              </w:rPr>
            </w:pPr>
            <w:r w:rsidRPr="00604C75">
              <w:rPr>
                <w:b/>
                <w:sz w:val="18"/>
                <w:szCs w:val="18"/>
              </w:rPr>
              <w:t>Assets</w:t>
            </w:r>
          </w:p>
        </w:tc>
        <w:tc>
          <w:tcPr>
            <w:tcW w:w="1119" w:type="dxa"/>
            <w:vAlign w:val="bottom"/>
          </w:tcPr>
          <w:p w14:paraId="22FAA99D" w14:textId="77777777"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1092" w:type="dxa"/>
            <w:vAlign w:val="bottom"/>
          </w:tcPr>
          <w:p w14:paraId="0549C2E2" w14:textId="77777777"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1019" w:type="dxa"/>
            <w:vAlign w:val="bottom"/>
          </w:tcPr>
          <w:p w14:paraId="79C5F937" w14:textId="77777777" w:rsidR="005E33B0" w:rsidRPr="00604C75" w:rsidRDefault="005E33B0" w:rsidP="006D4C17">
            <w:pPr>
              <w:tabs>
                <w:tab w:val="left" w:pos="0"/>
              </w:tabs>
              <w:ind w:right="4"/>
              <w:jc w:val="right"/>
              <w:rPr>
                <w:rFonts w:eastAsia="Arial Unicode MS"/>
                <w:b/>
                <w:sz w:val="18"/>
                <w:szCs w:val="18"/>
              </w:rPr>
            </w:pPr>
            <w:r w:rsidRPr="00604C75">
              <w:rPr>
                <w:b/>
                <w:sz w:val="18"/>
                <w:szCs w:val="18"/>
              </w:rPr>
              <w:t>%</w:t>
            </w:r>
          </w:p>
        </w:tc>
        <w:tc>
          <w:tcPr>
            <w:tcW w:w="996" w:type="dxa"/>
            <w:vAlign w:val="bottom"/>
          </w:tcPr>
          <w:p w14:paraId="3AF6BE1F" w14:textId="77777777"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r>
      <w:tr w:rsidR="00980409" w:rsidRPr="00604C75" w14:paraId="168A93F9" w14:textId="77777777" w:rsidTr="00AD726D">
        <w:tc>
          <w:tcPr>
            <w:tcW w:w="5110" w:type="dxa"/>
            <w:vAlign w:val="bottom"/>
          </w:tcPr>
          <w:p w14:paraId="430D33AF" w14:textId="77777777" w:rsidR="00980409" w:rsidRPr="00604C75" w:rsidRDefault="00980409" w:rsidP="00980409">
            <w:pPr>
              <w:tabs>
                <w:tab w:val="left" w:pos="0"/>
              </w:tabs>
              <w:rPr>
                <w:snapToGrid w:val="0"/>
                <w:sz w:val="18"/>
                <w:szCs w:val="18"/>
              </w:rPr>
            </w:pPr>
            <w:r w:rsidRPr="00604C75">
              <w:rPr>
                <w:snapToGrid w:val="0"/>
                <w:sz w:val="18"/>
                <w:szCs w:val="18"/>
              </w:rPr>
              <w:t xml:space="preserve">Cash (Cash in Vault, Effectives, Cash in Transit, </w:t>
            </w:r>
            <w:proofErr w:type="spellStart"/>
            <w:r w:rsidRPr="00604C75">
              <w:rPr>
                <w:snapToGrid w:val="0"/>
                <w:sz w:val="18"/>
                <w:szCs w:val="18"/>
              </w:rPr>
              <w:t>Cheques</w:t>
            </w:r>
            <w:proofErr w:type="spellEnd"/>
            <w:r w:rsidRPr="00604C75">
              <w:rPr>
                <w:snapToGrid w:val="0"/>
                <w:sz w:val="18"/>
                <w:szCs w:val="18"/>
              </w:rPr>
              <w:t xml:space="preserve"> Purchased) and Balances with the Central Bank of the Republic of Turkey</w:t>
            </w:r>
          </w:p>
        </w:tc>
        <w:tc>
          <w:tcPr>
            <w:tcW w:w="1119" w:type="dxa"/>
            <w:vAlign w:val="bottom"/>
          </w:tcPr>
          <w:p w14:paraId="6C849B03" w14:textId="426B6B2B" w:rsidR="00980409" w:rsidRPr="002A0748" w:rsidRDefault="00980409" w:rsidP="00980409">
            <w:pPr>
              <w:jc w:val="right"/>
              <w:rPr>
                <w:sz w:val="18"/>
                <w:szCs w:val="18"/>
              </w:rPr>
            </w:pPr>
            <w:r w:rsidRPr="002A0748">
              <w:rPr>
                <w:sz w:val="18"/>
                <w:szCs w:val="18"/>
              </w:rPr>
              <w:t xml:space="preserve">           -   </w:t>
            </w:r>
          </w:p>
        </w:tc>
        <w:tc>
          <w:tcPr>
            <w:tcW w:w="1092" w:type="dxa"/>
            <w:vAlign w:val="bottom"/>
          </w:tcPr>
          <w:p w14:paraId="363BA525" w14:textId="16B5ACC2" w:rsidR="00980409" w:rsidRPr="002A0748" w:rsidRDefault="00980409" w:rsidP="00980409">
            <w:pPr>
              <w:jc w:val="right"/>
              <w:rPr>
                <w:sz w:val="18"/>
                <w:szCs w:val="18"/>
              </w:rPr>
            </w:pPr>
            <w:r w:rsidRPr="002A0748">
              <w:rPr>
                <w:sz w:val="18"/>
                <w:szCs w:val="18"/>
              </w:rPr>
              <w:t xml:space="preserve">       </w:t>
            </w:r>
            <w:r>
              <w:rPr>
                <w:sz w:val="18"/>
                <w:szCs w:val="18"/>
              </w:rPr>
              <w:t>0.28</w:t>
            </w:r>
            <w:r w:rsidRPr="002A0748">
              <w:rPr>
                <w:sz w:val="18"/>
                <w:szCs w:val="18"/>
              </w:rPr>
              <w:t xml:space="preserve">   </w:t>
            </w:r>
          </w:p>
        </w:tc>
        <w:tc>
          <w:tcPr>
            <w:tcW w:w="1019" w:type="dxa"/>
            <w:vAlign w:val="bottom"/>
          </w:tcPr>
          <w:p w14:paraId="293B5B61" w14:textId="77F67FE2"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652D5108" w14:textId="5CB646A3" w:rsidR="00980409" w:rsidRPr="002A0748" w:rsidRDefault="00980409" w:rsidP="00980409">
            <w:pPr>
              <w:jc w:val="right"/>
              <w:rPr>
                <w:sz w:val="18"/>
                <w:szCs w:val="18"/>
              </w:rPr>
            </w:pPr>
            <w:r w:rsidRPr="002A0748">
              <w:rPr>
                <w:sz w:val="18"/>
                <w:szCs w:val="18"/>
              </w:rPr>
              <w:t xml:space="preserve">           </w:t>
            </w:r>
            <w:r>
              <w:rPr>
                <w:sz w:val="18"/>
                <w:szCs w:val="18"/>
              </w:rPr>
              <w:t>2.78</w:t>
            </w:r>
            <w:r w:rsidRPr="002A0748">
              <w:rPr>
                <w:sz w:val="18"/>
                <w:szCs w:val="18"/>
              </w:rPr>
              <w:t xml:space="preserve">   </w:t>
            </w:r>
          </w:p>
        </w:tc>
      </w:tr>
      <w:tr w:rsidR="00980409" w:rsidRPr="00604C75" w14:paraId="1CDDD1F6" w14:textId="77777777" w:rsidTr="00AD726D">
        <w:tc>
          <w:tcPr>
            <w:tcW w:w="5110" w:type="dxa"/>
            <w:vAlign w:val="bottom"/>
          </w:tcPr>
          <w:p w14:paraId="5D5B78CB" w14:textId="77777777" w:rsidR="00980409" w:rsidRPr="00604C75" w:rsidRDefault="00980409" w:rsidP="00980409">
            <w:pPr>
              <w:tabs>
                <w:tab w:val="left" w:pos="0"/>
              </w:tabs>
              <w:rPr>
                <w:i/>
                <w:snapToGrid w:val="0"/>
                <w:sz w:val="18"/>
                <w:szCs w:val="18"/>
              </w:rPr>
            </w:pPr>
            <w:r w:rsidRPr="00604C75">
              <w:rPr>
                <w:snapToGrid w:val="0"/>
                <w:sz w:val="18"/>
                <w:szCs w:val="18"/>
              </w:rPr>
              <w:t>Banks</w:t>
            </w:r>
          </w:p>
        </w:tc>
        <w:tc>
          <w:tcPr>
            <w:tcW w:w="1119" w:type="dxa"/>
            <w:vAlign w:val="bottom"/>
          </w:tcPr>
          <w:p w14:paraId="1935EC93" w14:textId="18CEB62A" w:rsidR="00980409" w:rsidRPr="002A0748" w:rsidRDefault="00980409" w:rsidP="00980409">
            <w:pPr>
              <w:jc w:val="right"/>
              <w:rPr>
                <w:sz w:val="18"/>
                <w:szCs w:val="18"/>
              </w:rPr>
            </w:pPr>
            <w:r w:rsidRPr="002A0748">
              <w:rPr>
                <w:sz w:val="18"/>
                <w:szCs w:val="18"/>
              </w:rPr>
              <w:t xml:space="preserve">           -   </w:t>
            </w:r>
          </w:p>
        </w:tc>
        <w:tc>
          <w:tcPr>
            <w:tcW w:w="1092" w:type="dxa"/>
            <w:vAlign w:val="bottom"/>
          </w:tcPr>
          <w:p w14:paraId="44C17B4D" w14:textId="23B606BD" w:rsidR="00980409" w:rsidRPr="002A0748" w:rsidRDefault="00980409" w:rsidP="00980409">
            <w:pPr>
              <w:jc w:val="right"/>
              <w:rPr>
                <w:sz w:val="18"/>
                <w:szCs w:val="18"/>
              </w:rPr>
            </w:pPr>
            <w:r w:rsidRPr="002A0748">
              <w:rPr>
                <w:sz w:val="18"/>
                <w:szCs w:val="18"/>
              </w:rPr>
              <w:t xml:space="preserve">        3.00 </w:t>
            </w:r>
          </w:p>
        </w:tc>
        <w:tc>
          <w:tcPr>
            <w:tcW w:w="1019" w:type="dxa"/>
            <w:vAlign w:val="bottom"/>
          </w:tcPr>
          <w:p w14:paraId="4DA3FFC8" w14:textId="77F38057"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27986816" w14:textId="40D827B6" w:rsidR="00980409" w:rsidRPr="002A0748" w:rsidRDefault="00980409" w:rsidP="00980409">
            <w:pPr>
              <w:jc w:val="right"/>
              <w:rPr>
                <w:sz w:val="18"/>
                <w:szCs w:val="18"/>
              </w:rPr>
            </w:pPr>
            <w:r w:rsidRPr="002A0748">
              <w:rPr>
                <w:sz w:val="18"/>
                <w:szCs w:val="18"/>
              </w:rPr>
              <w:t xml:space="preserve">      13.59 </w:t>
            </w:r>
          </w:p>
        </w:tc>
      </w:tr>
      <w:tr w:rsidR="00980409" w:rsidRPr="00604C75" w14:paraId="4040F889" w14:textId="77777777" w:rsidTr="00AD726D">
        <w:tc>
          <w:tcPr>
            <w:tcW w:w="5110" w:type="dxa"/>
            <w:vAlign w:val="bottom"/>
          </w:tcPr>
          <w:p w14:paraId="04CC862A" w14:textId="77777777" w:rsidR="00980409" w:rsidRPr="00604C75" w:rsidRDefault="00980409" w:rsidP="00980409">
            <w:pPr>
              <w:tabs>
                <w:tab w:val="left" w:pos="0"/>
              </w:tabs>
              <w:rPr>
                <w:snapToGrid w:val="0"/>
                <w:sz w:val="18"/>
                <w:szCs w:val="18"/>
              </w:rPr>
            </w:pPr>
            <w:r w:rsidRPr="00604C75">
              <w:rPr>
                <w:snapToGrid w:val="0"/>
                <w:sz w:val="18"/>
                <w:szCs w:val="18"/>
              </w:rPr>
              <w:t>Financial Assets at Fair Value Through Profit and Loss</w:t>
            </w:r>
          </w:p>
        </w:tc>
        <w:tc>
          <w:tcPr>
            <w:tcW w:w="1119" w:type="dxa"/>
            <w:vAlign w:val="bottom"/>
          </w:tcPr>
          <w:p w14:paraId="3543AAC9" w14:textId="07336FE9" w:rsidR="00980409" w:rsidRPr="002A0748" w:rsidRDefault="00980409" w:rsidP="00980409">
            <w:pPr>
              <w:jc w:val="right"/>
              <w:rPr>
                <w:sz w:val="18"/>
                <w:szCs w:val="18"/>
              </w:rPr>
            </w:pPr>
            <w:r w:rsidRPr="002A0748">
              <w:rPr>
                <w:sz w:val="18"/>
                <w:szCs w:val="18"/>
              </w:rPr>
              <w:t xml:space="preserve">        3.74 </w:t>
            </w:r>
          </w:p>
        </w:tc>
        <w:tc>
          <w:tcPr>
            <w:tcW w:w="1092" w:type="dxa"/>
            <w:vAlign w:val="bottom"/>
          </w:tcPr>
          <w:p w14:paraId="7FFBBD54" w14:textId="7CB9F45B" w:rsidR="00980409" w:rsidRPr="002A0748" w:rsidRDefault="00980409" w:rsidP="00980409">
            <w:pPr>
              <w:jc w:val="right"/>
              <w:rPr>
                <w:sz w:val="18"/>
                <w:szCs w:val="18"/>
              </w:rPr>
            </w:pPr>
            <w:r w:rsidRPr="002A0748">
              <w:rPr>
                <w:sz w:val="18"/>
                <w:szCs w:val="18"/>
              </w:rPr>
              <w:t xml:space="preserve">        4.63 </w:t>
            </w:r>
          </w:p>
        </w:tc>
        <w:tc>
          <w:tcPr>
            <w:tcW w:w="1019" w:type="dxa"/>
            <w:vAlign w:val="bottom"/>
          </w:tcPr>
          <w:p w14:paraId="779B3753" w14:textId="28FB5F9B"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18A65614" w14:textId="73A9955D" w:rsidR="00980409" w:rsidRPr="002A0748" w:rsidRDefault="00980409" w:rsidP="00980409">
            <w:pPr>
              <w:jc w:val="right"/>
              <w:rPr>
                <w:sz w:val="18"/>
                <w:szCs w:val="18"/>
              </w:rPr>
            </w:pPr>
            <w:r w:rsidRPr="002A0748">
              <w:rPr>
                <w:sz w:val="18"/>
                <w:szCs w:val="18"/>
              </w:rPr>
              <w:t xml:space="preserve">        9.49 </w:t>
            </w:r>
          </w:p>
        </w:tc>
      </w:tr>
      <w:tr w:rsidR="00980409" w:rsidRPr="00604C75" w14:paraId="30EBDABC" w14:textId="77777777" w:rsidTr="00AD726D">
        <w:tc>
          <w:tcPr>
            <w:tcW w:w="5110" w:type="dxa"/>
            <w:vAlign w:val="bottom"/>
          </w:tcPr>
          <w:p w14:paraId="178B6D40" w14:textId="77777777" w:rsidR="00980409" w:rsidRPr="00604C75" w:rsidRDefault="00980409" w:rsidP="00980409">
            <w:pPr>
              <w:tabs>
                <w:tab w:val="left" w:pos="0"/>
              </w:tabs>
              <w:rPr>
                <w:snapToGrid w:val="0"/>
                <w:sz w:val="18"/>
                <w:szCs w:val="18"/>
              </w:rPr>
            </w:pPr>
            <w:r w:rsidRPr="00604C75">
              <w:rPr>
                <w:snapToGrid w:val="0"/>
                <w:sz w:val="18"/>
                <w:szCs w:val="18"/>
              </w:rPr>
              <w:t>Money Market Placements</w:t>
            </w:r>
          </w:p>
        </w:tc>
        <w:tc>
          <w:tcPr>
            <w:tcW w:w="1119" w:type="dxa"/>
            <w:vAlign w:val="bottom"/>
          </w:tcPr>
          <w:p w14:paraId="5AEADCAE" w14:textId="219F6B74" w:rsidR="00980409" w:rsidRPr="002A0748" w:rsidRDefault="00980409" w:rsidP="00980409">
            <w:pPr>
              <w:jc w:val="right"/>
              <w:rPr>
                <w:sz w:val="18"/>
                <w:szCs w:val="18"/>
              </w:rPr>
            </w:pPr>
            <w:r w:rsidRPr="002A0748">
              <w:rPr>
                <w:sz w:val="18"/>
                <w:szCs w:val="18"/>
              </w:rPr>
              <w:t xml:space="preserve">           -   </w:t>
            </w:r>
          </w:p>
        </w:tc>
        <w:tc>
          <w:tcPr>
            <w:tcW w:w="1092" w:type="dxa"/>
            <w:vAlign w:val="bottom"/>
          </w:tcPr>
          <w:p w14:paraId="7F20F465" w14:textId="5E6A88BE" w:rsidR="00980409" w:rsidRPr="002A0748" w:rsidRDefault="00980409" w:rsidP="00980409">
            <w:pPr>
              <w:jc w:val="right"/>
              <w:rPr>
                <w:sz w:val="18"/>
                <w:szCs w:val="18"/>
              </w:rPr>
            </w:pPr>
            <w:r w:rsidRPr="002A0748">
              <w:rPr>
                <w:sz w:val="18"/>
                <w:szCs w:val="18"/>
              </w:rPr>
              <w:t xml:space="preserve">           -   </w:t>
            </w:r>
          </w:p>
        </w:tc>
        <w:tc>
          <w:tcPr>
            <w:tcW w:w="1019" w:type="dxa"/>
            <w:vAlign w:val="bottom"/>
          </w:tcPr>
          <w:p w14:paraId="2E4CCA31" w14:textId="5E889E01"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52F58B3F" w14:textId="556FA249" w:rsidR="00980409" w:rsidRPr="002A0748" w:rsidRDefault="00980409" w:rsidP="00980409">
            <w:pPr>
              <w:jc w:val="right"/>
              <w:rPr>
                <w:sz w:val="18"/>
                <w:szCs w:val="18"/>
              </w:rPr>
            </w:pPr>
            <w:r w:rsidRPr="002A0748">
              <w:rPr>
                <w:sz w:val="18"/>
                <w:szCs w:val="18"/>
              </w:rPr>
              <w:t xml:space="preserve">      12.50 </w:t>
            </w:r>
          </w:p>
        </w:tc>
      </w:tr>
      <w:tr w:rsidR="00980409" w:rsidRPr="00604C75" w14:paraId="2FC93E79" w14:textId="77777777" w:rsidTr="00AD726D">
        <w:tc>
          <w:tcPr>
            <w:tcW w:w="5110" w:type="dxa"/>
            <w:vAlign w:val="bottom"/>
          </w:tcPr>
          <w:p w14:paraId="633338E2" w14:textId="77777777" w:rsidR="00980409" w:rsidRPr="00604C75" w:rsidRDefault="00980409" w:rsidP="00980409">
            <w:pPr>
              <w:tabs>
                <w:tab w:val="left" w:pos="0"/>
              </w:tabs>
              <w:rPr>
                <w:snapToGrid w:val="0"/>
                <w:sz w:val="18"/>
                <w:szCs w:val="18"/>
              </w:rPr>
            </w:pPr>
            <w:r w:rsidRPr="00604C75">
              <w:rPr>
                <w:snapToGrid w:val="0"/>
                <w:sz w:val="18"/>
                <w:szCs w:val="18"/>
              </w:rPr>
              <w:t>Financial Assets Available-for-Sale</w:t>
            </w:r>
          </w:p>
        </w:tc>
        <w:tc>
          <w:tcPr>
            <w:tcW w:w="1119" w:type="dxa"/>
            <w:vAlign w:val="bottom"/>
          </w:tcPr>
          <w:p w14:paraId="3F1A2718" w14:textId="58A1E797" w:rsidR="00980409" w:rsidRPr="002A0748" w:rsidRDefault="00980409" w:rsidP="00980409">
            <w:pPr>
              <w:jc w:val="right"/>
              <w:rPr>
                <w:sz w:val="18"/>
                <w:szCs w:val="18"/>
              </w:rPr>
            </w:pPr>
            <w:r w:rsidRPr="002A0748">
              <w:rPr>
                <w:sz w:val="18"/>
                <w:szCs w:val="18"/>
              </w:rPr>
              <w:t xml:space="preserve">           -   </w:t>
            </w:r>
          </w:p>
        </w:tc>
        <w:tc>
          <w:tcPr>
            <w:tcW w:w="1092" w:type="dxa"/>
            <w:vAlign w:val="bottom"/>
          </w:tcPr>
          <w:p w14:paraId="695A9A42" w14:textId="372B7D29" w:rsidR="00980409" w:rsidRPr="002A0748" w:rsidRDefault="00980409" w:rsidP="00980409">
            <w:pPr>
              <w:jc w:val="right"/>
              <w:rPr>
                <w:sz w:val="18"/>
                <w:szCs w:val="18"/>
              </w:rPr>
            </w:pPr>
            <w:r w:rsidRPr="002A0748">
              <w:rPr>
                <w:sz w:val="18"/>
                <w:szCs w:val="18"/>
              </w:rPr>
              <w:t xml:space="preserve">        4.12 </w:t>
            </w:r>
          </w:p>
        </w:tc>
        <w:tc>
          <w:tcPr>
            <w:tcW w:w="1019" w:type="dxa"/>
            <w:vAlign w:val="bottom"/>
          </w:tcPr>
          <w:p w14:paraId="53DCCE4F" w14:textId="6E37D6BF"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58E3A1F6" w14:textId="13C83A92" w:rsidR="00980409" w:rsidRPr="002A0748" w:rsidRDefault="00980409" w:rsidP="00980409">
            <w:pPr>
              <w:jc w:val="right"/>
              <w:rPr>
                <w:sz w:val="18"/>
                <w:szCs w:val="18"/>
              </w:rPr>
            </w:pPr>
            <w:r w:rsidRPr="002A0748">
              <w:rPr>
                <w:sz w:val="18"/>
                <w:szCs w:val="18"/>
              </w:rPr>
              <w:t xml:space="preserve">        9.38 </w:t>
            </w:r>
          </w:p>
        </w:tc>
      </w:tr>
      <w:tr w:rsidR="00980409" w:rsidRPr="00604C75" w14:paraId="0A880696" w14:textId="77777777" w:rsidTr="00AD726D">
        <w:tc>
          <w:tcPr>
            <w:tcW w:w="5110" w:type="dxa"/>
            <w:vAlign w:val="bottom"/>
          </w:tcPr>
          <w:p w14:paraId="566E7535" w14:textId="77777777" w:rsidR="00980409" w:rsidRPr="00604C75" w:rsidRDefault="00980409" w:rsidP="00980409">
            <w:pPr>
              <w:tabs>
                <w:tab w:val="left" w:pos="0"/>
              </w:tabs>
              <w:rPr>
                <w:snapToGrid w:val="0"/>
                <w:sz w:val="18"/>
                <w:szCs w:val="18"/>
              </w:rPr>
            </w:pPr>
            <w:r w:rsidRPr="00604C75">
              <w:rPr>
                <w:snapToGrid w:val="0"/>
                <w:sz w:val="18"/>
                <w:szCs w:val="18"/>
              </w:rPr>
              <w:t xml:space="preserve">Loans </w:t>
            </w:r>
          </w:p>
        </w:tc>
        <w:tc>
          <w:tcPr>
            <w:tcW w:w="1119" w:type="dxa"/>
            <w:vAlign w:val="bottom"/>
          </w:tcPr>
          <w:p w14:paraId="66935682" w14:textId="3B7BD2EF" w:rsidR="00980409" w:rsidRPr="002A0748" w:rsidRDefault="00980409" w:rsidP="00980409">
            <w:pPr>
              <w:jc w:val="right"/>
              <w:rPr>
                <w:sz w:val="18"/>
                <w:szCs w:val="18"/>
              </w:rPr>
            </w:pPr>
            <w:r w:rsidRPr="002A0748">
              <w:rPr>
                <w:sz w:val="18"/>
                <w:szCs w:val="18"/>
              </w:rPr>
              <w:t xml:space="preserve">        4.43 </w:t>
            </w:r>
          </w:p>
        </w:tc>
        <w:tc>
          <w:tcPr>
            <w:tcW w:w="1092" w:type="dxa"/>
            <w:vAlign w:val="bottom"/>
          </w:tcPr>
          <w:p w14:paraId="3D6A946A" w14:textId="002CBCA0" w:rsidR="00980409" w:rsidRPr="002A0748" w:rsidRDefault="00980409" w:rsidP="00980409">
            <w:pPr>
              <w:jc w:val="right"/>
              <w:rPr>
                <w:sz w:val="18"/>
                <w:szCs w:val="18"/>
              </w:rPr>
            </w:pPr>
            <w:r w:rsidRPr="002A0748">
              <w:rPr>
                <w:sz w:val="18"/>
                <w:szCs w:val="18"/>
              </w:rPr>
              <w:t xml:space="preserve">        5.32 </w:t>
            </w:r>
          </w:p>
        </w:tc>
        <w:tc>
          <w:tcPr>
            <w:tcW w:w="1019" w:type="dxa"/>
            <w:vAlign w:val="bottom"/>
          </w:tcPr>
          <w:p w14:paraId="3CCC8285" w14:textId="56BFDE3D"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0CB80442" w14:textId="1D6B8D1A" w:rsidR="00980409" w:rsidRPr="002A0748" w:rsidRDefault="00980409" w:rsidP="00980409">
            <w:pPr>
              <w:jc w:val="right"/>
              <w:rPr>
                <w:sz w:val="18"/>
                <w:szCs w:val="18"/>
              </w:rPr>
            </w:pPr>
            <w:r w:rsidRPr="002A0748">
              <w:rPr>
                <w:sz w:val="18"/>
                <w:szCs w:val="18"/>
              </w:rPr>
              <w:t xml:space="preserve">      16.20 </w:t>
            </w:r>
          </w:p>
        </w:tc>
      </w:tr>
      <w:tr w:rsidR="00980409" w:rsidRPr="00604C75" w14:paraId="5F699C88" w14:textId="77777777" w:rsidTr="00AD726D">
        <w:tc>
          <w:tcPr>
            <w:tcW w:w="5110" w:type="dxa"/>
            <w:vAlign w:val="bottom"/>
          </w:tcPr>
          <w:p w14:paraId="1F715B39" w14:textId="1F26369D" w:rsidR="00980409" w:rsidRPr="00604C75" w:rsidRDefault="006E08D1" w:rsidP="00980409">
            <w:pPr>
              <w:tabs>
                <w:tab w:val="left" w:pos="0"/>
              </w:tabs>
              <w:rPr>
                <w:snapToGrid w:val="0"/>
                <w:sz w:val="18"/>
                <w:szCs w:val="18"/>
              </w:rPr>
            </w:pPr>
            <w:r>
              <w:rPr>
                <w:snapToGrid w:val="0"/>
                <w:sz w:val="18"/>
                <w:szCs w:val="18"/>
              </w:rPr>
              <w:t>Held-to-M</w:t>
            </w:r>
            <w:r w:rsidR="00980409" w:rsidRPr="00604C75">
              <w:rPr>
                <w:snapToGrid w:val="0"/>
                <w:sz w:val="18"/>
                <w:szCs w:val="18"/>
              </w:rPr>
              <w:t>aturity Investments</w:t>
            </w:r>
          </w:p>
        </w:tc>
        <w:tc>
          <w:tcPr>
            <w:tcW w:w="1119" w:type="dxa"/>
            <w:vAlign w:val="bottom"/>
          </w:tcPr>
          <w:p w14:paraId="5AC54C0F" w14:textId="1DA4F621" w:rsidR="00980409" w:rsidRPr="002A0748" w:rsidRDefault="00980409" w:rsidP="00980409">
            <w:pPr>
              <w:jc w:val="right"/>
              <w:rPr>
                <w:sz w:val="18"/>
                <w:szCs w:val="18"/>
              </w:rPr>
            </w:pPr>
            <w:r w:rsidRPr="002A0748">
              <w:rPr>
                <w:sz w:val="18"/>
                <w:szCs w:val="18"/>
              </w:rPr>
              <w:t xml:space="preserve">           -   </w:t>
            </w:r>
          </w:p>
        </w:tc>
        <w:tc>
          <w:tcPr>
            <w:tcW w:w="1092" w:type="dxa"/>
            <w:vAlign w:val="bottom"/>
          </w:tcPr>
          <w:p w14:paraId="5E03B7AF" w14:textId="2A42713B" w:rsidR="00980409" w:rsidRPr="002A0748" w:rsidRDefault="00980409" w:rsidP="00980409">
            <w:pPr>
              <w:jc w:val="right"/>
              <w:rPr>
                <w:sz w:val="18"/>
                <w:szCs w:val="18"/>
              </w:rPr>
            </w:pPr>
            <w:r w:rsidRPr="002A0748">
              <w:rPr>
                <w:sz w:val="18"/>
                <w:szCs w:val="18"/>
              </w:rPr>
              <w:t xml:space="preserve">           -   </w:t>
            </w:r>
          </w:p>
        </w:tc>
        <w:tc>
          <w:tcPr>
            <w:tcW w:w="1019" w:type="dxa"/>
            <w:vAlign w:val="bottom"/>
          </w:tcPr>
          <w:p w14:paraId="4FAAA56A" w14:textId="31BCF8CC"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6098C27A" w14:textId="02392B02" w:rsidR="00980409" w:rsidRPr="002A0748" w:rsidRDefault="00980409" w:rsidP="00980409">
            <w:pPr>
              <w:jc w:val="right"/>
              <w:rPr>
                <w:sz w:val="18"/>
                <w:szCs w:val="18"/>
              </w:rPr>
            </w:pPr>
            <w:r w:rsidRPr="002A0748">
              <w:rPr>
                <w:sz w:val="18"/>
                <w:szCs w:val="18"/>
              </w:rPr>
              <w:t xml:space="preserve">           -   </w:t>
            </w:r>
          </w:p>
        </w:tc>
      </w:tr>
      <w:tr w:rsidR="00980409" w:rsidRPr="00604C75" w14:paraId="0751F96E" w14:textId="77777777" w:rsidTr="00AD726D">
        <w:tc>
          <w:tcPr>
            <w:tcW w:w="5110" w:type="dxa"/>
            <w:vAlign w:val="bottom"/>
          </w:tcPr>
          <w:p w14:paraId="71A701EB" w14:textId="77777777" w:rsidR="00980409" w:rsidRPr="00604C75" w:rsidRDefault="00980409" w:rsidP="00980409">
            <w:pPr>
              <w:pStyle w:val="Heading9"/>
              <w:tabs>
                <w:tab w:val="left" w:pos="0"/>
              </w:tabs>
              <w:rPr>
                <w:b w:val="0"/>
                <w:szCs w:val="18"/>
              </w:rPr>
            </w:pPr>
          </w:p>
        </w:tc>
        <w:tc>
          <w:tcPr>
            <w:tcW w:w="1119" w:type="dxa"/>
            <w:vAlign w:val="bottom"/>
          </w:tcPr>
          <w:p w14:paraId="2F017F85" w14:textId="77777777" w:rsidR="00980409" w:rsidRPr="00EA3453" w:rsidRDefault="00980409" w:rsidP="00980409">
            <w:pPr>
              <w:jc w:val="right"/>
              <w:rPr>
                <w:sz w:val="18"/>
                <w:szCs w:val="18"/>
              </w:rPr>
            </w:pPr>
          </w:p>
        </w:tc>
        <w:tc>
          <w:tcPr>
            <w:tcW w:w="1092" w:type="dxa"/>
            <w:vAlign w:val="bottom"/>
          </w:tcPr>
          <w:p w14:paraId="6785E190" w14:textId="77777777" w:rsidR="00980409" w:rsidRPr="00EA3453" w:rsidRDefault="00980409" w:rsidP="00980409">
            <w:pPr>
              <w:jc w:val="right"/>
              <w:rPr>
                <w:sz w:val="18"/>
                <w:szCs w:val="18"/>
              </w:rPr>
            </w:pPr>
          </w:p>
        </w:tc>
        <w:tc>
          <w:tcPr>
            <w:tcW w:w="1019" w:type="dxa"/>
            <w:vAlign w:val="bottom"/>
          </w:tcPr>
          <w:p w14:paraId="162B3FC2" w14:textId="77777777" w:rsidR="00980409" w:rsidRPr="00EA3453" w:rsidRDefault="00980409" w:rsidP="00980409">
            <w:pPr>
              <w:jc w:val="right"/>
              <w:rPr>
                <w:sz w:val="18"/>
                <w:szCs w:val="18"/>
              </w:rPr>
            </w:pPr>
          </w:p>
        </w:tc>
        <w:tc>
          <w:tcPr>
            <w:tcW w:w="996" w:type="dxa"/>
            <w:vAlign w:val="bottom"/>
          </w:tcPr>
          <w:p w14:paraId="1439C547" w14:textId="77777777" w:rsidR="00980409" w:rsidRPr="00EA3453" w:rsidRDefault="00980409" w:rsidP="00980409">
            <w:pPr>
              <w:jc w:val="right"/>
              <w:rPr>
                <w:sz w:val="18"/>
                <w:szCs w:val="18"/>
              </w:rPr>
            </w:pPr>
          </w:p>
        </w:tc>
      </w:tr>
      <w:tr w:rsidR="00980409" w:rsidRPr="00604C75" w14:paraId="378C4AC3" w14:textId="77777777" w:rsidTr="00AD726D">
        <w:tc>
          <w:tcPr>
            <w:tcW w:w="5110" w:type="dxa"/>
            <w:vAlign w:val="bottom"/>
          </w:tcPr>
          <w:p w14:paraId="6EDAB31F" w14:textId="77777777" w:rsidR="00980409" w:rsidRPr="00604C75" w:rsidRDefault="00980409" w:rsidP="00980409">
            <w:pPr>
              <w:pStyle w:val="Heading9"/>
              <w:tabs>
                <w:tab w:val="left" w:pos="0"/>
              </w:tabs>
              <w:rPr>
                <w:rFonts w:eastAsia="Arial Unicode MS"/>
                <w:szCs w:val="18"/>
              </w:rPr>
            </w:pPr>
            <w:r w:rsidRPr="00604C75">
              <w:rPr>
                <w:szCs w:val="18"/>
              </w:rPr>
              <w:t>Liabilities</w:t>
            </w:r>
          </w:p>
        </w:tc>
        <w:tc>
          <w:tcPr>
            <w:tcW w:w="1119" w:type="dxa"/>
            <w:vAlign w:val="bottom"/>
          </w:tcPr>
          <w:p w14:paraId="57169503" w14:textId="77777777" w:rsidR="00980409" w:rsidRPr="00EA3453" w:rsidRDefault="00980409" w:rsidP="00980409">
            <w:pPr>
              <w:jc w:val="right"/>
              <w:rPr>
                <w:sz w:val="18"/>
                <w:szCs w:val="18"/>
              </w:rPr>
            </w:pPr>
          </w:p>
        </w:tc>
        <w:tc>
          <w:tcPr>
            <w:tcW w:w="1092" w:type="dxa"/>
            <w:vAlign w:val="bottom"/>
          </w:tcPr>
          <w:p w14:paraId="185F6B89" w14:textId="77777777" w:rsidR="00980409" w:rsidRPr="00EA3453" w:rsidRDefault="00980409" w:rsidP="00980409">
            <w:pPr>
              <w:jc w:val="right"/>
              <w:rPr>
                <w:sz w:val="18"/>
                <w:szCs w:val="18"/>
              </w:rPr>
            </w:pPr>
          </w:p>
        </w:tc>
        <w:tc>
          <w:tcPr>
            <w:tcW w:w="1019" w:type="dxa"/>
            <w:vAlign w:val="bottom"/>
          </w:tcPr>
          <w:p w14:paraId="1FAD1946" w14:textId="77777777" w:rsidR="00980409" w:rsidRPr="00EA3453" w:rsidRDefault="00980409" w:rsidP="00980409">
            <w:pPr>
              <w:jc w:val="right"/>
              <w:rPr>
                <w:sz w:val="18"/>
                <w:szCs w:val="18"/>
              </w:rPr>
            </w:pPr>
          </w:p>
        </w:tc>
        <w:tc>
          <w:tcPr>
            <w:tcW w:w="996" w:type="dxa"/>
            <w:vAlign w:val="bottom"/>
          </w:tcPr>
          <w:p w14:paraId="4EAF563D" w14:textId="77777777" w:rsidR="00980409" w:rsidRPr="00EA3453" w:rsidRDefault="00980409" w:rsidP="00980409">
            <w:pPr>
              <w:jc w:val="right"/>
              <w:rPr>
                <w:sz w:val="18"/>
                <w:szCs w:val="18"/>
              </w:rPr>
            </w:pPr>
          </w:p>
        </w:tc>
      </w:tr>
      <w:tr w:rsidR="00980409" w:rsidRPr="00604C75" w14:paraId="6C3CC2BF" w14:textId="77777777" w:rsidTr="00AD726D">
        <w:tc>
          <w:tcPr>
            <w:tcW w:w="5110" w:type="dxa"/>
            <w:vAlign w:val="bottom"/>
          </w:tcPr>
          <w:p w14:paraId="1C1CE432" w14:textId="77777777" w:rsidR="00980409" w:rsidRPr="00604C75" w:rsidRDefault="00980409" w:rsidP="00980409">
            <w:pPr>
              <w:tabs>
                <w:tab w:val="left" w:pos="0"/>
              </w:tabs>
              <w:rPr>
                <w:snapToGrid w:val="0"/>
                <w:sz w:val="18"/>
                <w:szCs w:val="18"/>
              </w:rPr>
            </w:pPr>
            <w:r w:rsidRPr="00604C75">
              <w:rPr>
                <w:snapToGrid w:val="0"/>
                <w:sz w:val="18"/>
                <w:szCs w:val="18"/>
              </w:rPr>
              <w:t>Bank Deposits</w:t>
            </w:r>
          </w:p>
        </w:tc>
        <w:tc>
          <w:tcPr>
            <w:tcW w:w="1119" w:type="dxa"/>
            <w:vAlign w:val="bottom"/>
          </w:tcPr>
          <w:p w14:paraId="1B6B2556" w14:textId="654161A2" w:rsidR="00980409" w:rsidRPr="002A0748" w:rsidRDefault="00980409" w:rsidP="00980409">
            <w:pPr>
              <w:jc w:val="right"/>
              <w:rPr>
                <w:sz w:val="18"/>
                <w:szCs w:val="18"/>
              </w:rPr>
            </w:pPr>
            <w:r w:rsidRPr="002A0748">
              <w:rPr>
                <w:sz w:val="18"/>
                <w:szCs w:val="18"/>
              </w:rPr>
              <w:t xml:space="preserve">        1.08 </w:t>
            </w:r>
          </w:p>
        </w:tc>
        <w:tc>
          <w:tcPr>
            <w:tcW w:w="1092" w:type="dxa"/>
            <w:vAlign w:val="bottom"/>
          </w:tcPr>
          <w:p w14:paraId="78841F8B" w14:textId="20196CAC" w:rsidR="00980409" w:rsidRPr="002A0748" w:rsidRDefault="00980409" w:rsidP="00980409">
            <w:pPr>
              <w:jc w:val="right"/>
              <w:rPr>
                <w:sz w:val="18"/>
                <w:szCs w:val="18"/>
              </w:rPr>
            </w:pPr>
            <w:r w:rsidRPr="002A0748">
              <w:rPr>
                <w:sz w:val="18"/>
                <w:szCs w:val="18"/>
              </w:rPr>
              <w:t xml:space="preserve">        1.00 </w:t>
            </w:r>
          </w:p>
        </w:tc>
        <w:tc>
          <w:tcPr>
            <w:tcW w:w="1019" w:type="dxa"/>
            <w:vAlign w:val="bottom"/>
          </w:tcPr>
          <w:p w14:paraId="7FBB0663" w14:textId="3B8887E4" w:rsidR="00980409" w:rsidRPr="002A0748" w:rsidRDefault="00980409" w:rsidP="00980409">
            <w:pPr>
              <w:jc w:val="right"/>
              <w:rPr>
                <w:sz w:val="18"/>
                <w:szCs w:val="18"/>
              </w:rPr>
            </w:pPr>
            <w:r w:rsidRPr="002A0748">
              <w:rPr>
                <w:sz w:val="18"/>
                <w:szCs w:val="18"/>
              </w:rPr>
              <w:t xml:space="preserve">          </w:t>
            </w:r>
            <w:r>
              <w:rPr>
                <w:sz w:val="18"/>
                <w:szCs w:val="18"/>
              </w:rPr>
              <w:t>1.75</w:t>
            </w:r>
            <w:r w:rsidRPr="002A0748">
              <w:rPr>
                <w:sz w:val="18"/>
                <w:szCs w:val="18"/>
              </w:rPr>
              <w:t xml:space="preserve">   </w:t>
            </w:r>
          </w:p>
        </w:tc>
        <w:tc>
          <w:tcPr>
            <w:tcW w:w="996" w:type="dxa"/>
            <w:vAlign w:val="bottom"/>
          </w:tcPr>
          <w:p w14:paraId="44F0FD93" w14:textId="39F4B62E" w:rsidR="00980409" w:rsidRPr="002A0748" w:rsidRDefault="00980409" w:rsidP="00980409">
            <w:pPr>
              <w:jc w:val="right"/>
              <w:rPr>
                <w:sz w:val="18"/>
                <w:szCs w:val="18"/>
              </w:rPr>
            </w:pPr>
            <w:r w:rsidRPr="002A0748">
              <w:rPr>
                <w:sz w:val="18"/>
                <w:szCs w:val="18"/>
              </w:rPr>
              <w:t xml:space="preserve">           -   </w:t>
            </w:r>
          </w:p>
        </w:tc>
      </w:tr>
      <w:tr w:rsidR="00980409" w:rsidRPr="00604C75" w14:paraId="18BE17DF" w14:textId="77777777" w:rsidTr="00AD726D">
        <w:tc>
          <w:tcPr>
            <w:tcW w:w="5110" w:type="dxa"/>
            <w:vAlign w:val="bottom"/>
          </w:tcPr>
          <w:p w14:paraId="72080B20" w14:textId="77777777" w:rsidR="00980409" w:rsidRPr="00604C75" w:rsidRDefault="00980409" w:rsidP="00980409">
            <w:pPr>
              <w:tabs>
                <w:tab w:val="left" w:pos="0"/>
              </w:tabs>
              <w:rPr>
                <w:snapToGrid w:val="0"/>
                <w:sz w:val="18"/>
                <w:szCs w:val="18"/>
              </w:rPr>
            </w:pPr>
            <w:r w:rsidRPr="00604C75">
              <w:rPr>
                <w:snapToGrid w:val="0"/>
                <w:sz w:val="18"/>
                <w:szCs w:val="18"/>
              </w:rPr>
              <w:t>Other Deposits</w:t>
            </w:r>
          </w:p>
        </w:tc>
        <w:tc>
          <w:tcPr>
            <w:tcW w:w="1119" w:type="dxa"/>
            <w:vAlign w:val="bottom"/>
          </w:tcPr>
          <w:p w14:paraId="399FC0A3" w14:textId="542868B9" w:rsidR="00980409" w:rsidRPr="002A0748" w:rsidRDefault="00980409" w:rsidP="00980409">
            <w:pPr>
              <w:jc w:val="right"/>
              <w:rPr>
                <w:sz w:val="18"/>
                <w:szCs w:val="18"/>
              </w:rPr>
            </w:pPr>
            <w:r w:rsidRPr="002A0748">
              <w:rPr>
                <w:sz w:val="18"/>
                <w:szCs w:val="18"/>
              </w:rPr>
              <w:t xml:space="preserve">        1.40 </w:t>
            </w:r>
          </w:p>
        </w:tc>
        <w:tc>
          <w:tcPr>
            <w:tcW w:w="1092" w:type="dxa"/>
            <w:vAlign w:val="bottom"/>
          </w:tcPr>
          <w:p w14:paraId="40AE0A5A" w14:textId="0005A2B0" w:rsidR="00980409" w:rsidRPr="002A0748" w:rsidRDefault="00980409" w:rsidP="00980409">
            <w:pPr>
              <w:jc w:val="right"/>
              <w:rPr>
                <w:sz w:val="18"/>
                <w:szCs w:val="18"/>
              </w:rPr>
            </w:pPr>
            <w:r w:rsidRPr="002A0748">
              <w:rPr>
                <w:sz w:val="18"/>
                <w:szCs w:val="18"/>
              </w:rPr>
              <w:t xml:space="preserve">        2.27 </w:t>
            </w:r>
          </w:p>
        </w:tc>
        <w:tc>
          <w:tcPr>
            <w:tcW w:w="1019" w:type="dxa"/>
            <w:vAlign w:val="bottom"/>
          </w:tcPr>
          <w:p w14:paraId="6FCFF011" w14:textId="526B730E"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1739A00F" w14:textId="028E9F94" w:rsidR="00980409" w:rsidRPr="002A0748" w:rsidRDefault="00980409" w:rsidP="00980409">
            <w:pPr>
              <w:jc w:val="right"/>
              <w:rPr>
                <w:sz w:val="18"/>
                <w:szCs w:val="18"/>
              </w:rPr>
            </w:pPr>
            <w:r w:rsidRPr="002A0748">
              <w:rPr>
                <w:sz w:val="18"/>
                <w:szCs w:val="18"/>
              </w:rPr>
              <w:t xml:space="preserve">      12.36 </w:t>
            </w:r>
          </w:p>
        </w:tc>
      </w:tr>
      <w:tr w:rsidR="00980409" w:rsidRPr="00604C75" w14:paraId="723DFB95" w14:textId="77777777" w:rsidTr="00AD726D">
        <w:tc>
          <w:tcPr>
            <w:tcW w:w="5110" w:type="dxa"/>
            <w:vAlign w:val="bottom"/>
          </w:tcPr>
          <w:p w14:paraId="4FA6973C" w14:textId="77777777" w:rsidR="00980409" w:rsidRPr="00604C75" w:rsidRDefault="00980409" w:rsidP="00980409">
            <w:pPr>
              <w:tabs>
                <w:tab w:val="left" w:pos="0"/>
              </w:tabs>
              <w:rPr>
                <w:snapToGrid w:val="0"/>
                <w:sz w:val="18"/>
                <w:szCs w:val="18"/>
              </w:rPr>
            </w:pPr>
            <w:r w:rsidRPr="00604C75">
              <w:rPr>
                <w:snapToGrid w:val="0"/>
                <w:sz w:val="18"/>
                <w:szCs w:val="18"/>
              </w:rPr>
              <w:t>Money Market Funds</w:t>
            </w:r>
          </w:p>
        </w:tc>
        <w:tc>
          <w:tcPr>
            <w:tcW w:w="1119" w:type="dxa"/>
            <w:vAlign w:val="bottom"/>
          </w:tcPr>
          <w:p w14:paraId="4504AEBD" w14:textId="1326A8F5" w:rsidR="00980409" w:rsidRPr="002A0748" w:rsidRDefault="00980409" w:rsidP="00980409">
            <w:pPr>
              <w:jc w:val="right"/>
              <w:rPr>
                <w:sz w:val="18"/>
                <w:szCs w:val="18"/>
              </w:rPr>
            </w:pPr>
            <w:r w:rsidRPr="002A0748">
              <w:rPr>
                <w:sz w:val="18"/>
                <w:szCs w:val="18"/>
              </w:rPr>
              <w:t xml:space="preserve">           -   </w:t>
            </w:r>
          </w:p>
        </w:tc>
        <w:tc>
          <w:tcPr>
            <w:tcW w:w="1092" w:type="dxa"/>
            <w:vAlign w:val="bottom"/>
          </w:tcPr>
          <w:p w14:paraId="5FB06F9C" w14:textId="407AE477" w:rsidR="00980409" w:rsidRPr="002A0748" w:rsidRDefault="00980409" w:rsidP="00980409">
            <w:pPr>
              <w:jc w:val="right"/>
              <w:rPr>
                <w:sz w:val="18"/>
                <w:szCs w:val="18"/>
              </w:rPr>
            </w:pPr>
            <w:r w:rsidRPr="002A0748">
              <w:rPr>
                <w:sz w:val="18"/>
                <w:szCs w:val="18"/>
              </w:rPr>
              <w:t xml:space="preserve">        0.38 </w:t>
            </w:r>
          </w:p>
        </w:tc>
        <w:tc>
          <w:tcPr>
            <w:tcW w:w="1019" w:type="dxa"/>
            <w:vAlign w:val="bottom"/>
          </w:tcPr>
          <w:p w14:paraId="0EB6A38B" w14:textId="77345B69"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0FACC63E" w14:textId="5B38D876" w:rsidR="00980409" w:rsidRPr="002A0748" w:rsidRDefault="00980409" w:rsidP="00980409">
            <w:pPr>
              <w:jc w:val="right"/>
              <w:rPr>
                <w:sz w:val="18"/>
                <w:szCs w:val="18"/>
              </w:rPr>
            </w:pPr>
            <w:r w:rsidRPr="002A0748">
              <w:rPr>
                <w:sz w:val="18"/>
                <w:szCs w:val="18"/>
              </w:rPr>
              <w:t xml:space="preserve">        6.37 </w:t>
            </w:r>
          </w:p>
        </w:tc>
      </w:tr>
      <w:tr w:rsidR="00980409" w:rsidRPr="00604C75" w14:paraId="2A49B6E5" w14:textId="77777777" w:rsidTr="00AD726D">
        <w:tc>
          <w:tcPr>
            <w:tcW w:w="5110" w:type="dxa"/>
            <w:vAlign w:val="bottom"/>
          </w:tcPr>
          <w:p w14:paraId="4EE972C6" w14:textId="77777777" w:rsidR="00980409" w:rsidRPr="00604C75" w:rsidRDefault="00980409" w:rsidP="00980409">
            <w:pPr>
              <w:tabs>
                <w:tab w:val="left" w:pos="0"/>
              </w:tabs>
              <w:rPr>
                <w:snapToGrid w:val="0"/>
                <w:sz w:val="18"/>
                <w:szCs w:val="18"/>
              </w:rPr>
            </w:pPr>
            <w:r w:rsidRPr="00604C75">
              <w:rPr>
                <w:snapToGrid w:val="0"/>
                <w:sz w:val="18"/>
                <w:szCs w:val="18"/>
              </w:rPr>
              <w:t>Miscellaneous Payables</w:t>
            </w:r>
          </w:p>
        </w:tc>
        <w:tc>
          <w:tcPr>
            <w:tcW w:w="1119" w:type="dxa"/>
            <w:vAlign w:val="bottom"/>
          </w:tcPr>
          <w:p w14:paraId="6CE4E247" w14:textId="3F5A70F7" w:rsidR="00980409" w:rsidRPr="002A0748" w:rsidRDefault="00980409" w:rsidP="00980409">
            <w:pPr>
              <w:jc w:val="right"/>
              <w:rPr>
                <w:sz w:val="18"/>
                <w:szCs w:val="18"/>
              </w:rPr>
            </w:pPr>
            <w:r w:rsidRPr="002A0748">
              <w:rPr>
                <w:sz w:val="18"/>
                <w:szCs w:val="18"/>
              </w:rPr>
              <w:t xml:space="preserve">        4.46 </w:t>
            </w:r>
          </w:p>
        </w:tc>
        <w:tc>
          <w:tcPr>
            <w:tcW w:w="1092" w:type="dxa"/>
            <w:vAlign w:val="bottom"/>
          </w:tcPr>
          <w:p w14:paraId="23C9C185" w14:textId="75E54A07" w:rsidR="00980409" w:rsidRPr="002A0748" w:rsidRDefault="00980409" w:rsidP="00980409">
            <w:pPr>
              <w:jc w:val="right"/>
              <w:rPr>
                <w:sz w:val="18"/>
                <w:szCs w:val="18"/>
              </w:rPr>
            </w:pPr>
            <w:r w:rsidRPr="002A0748">
              <w:rPr>
                <w:sz w:val="18"/>
                <w:szCs w:val="18"/>
              </w:rPr>
              <w:t xml:space="preserve">           -   </w:t>
            </w:r>
          </w:p>
        </w:tc>
        <w:tc>
          <w:tcPr>
            <w:tcW w:w="1019" w:type="dxa"/>
            <w:vAlign w:val="bottom"/>
          </w:tcPr>
          <w:p w14:paraId="0E11CB62" w14:textId="115C223E"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5BB42DB1" w14:textId="390F569B" w:rsidR="00980409" w:rsidRPr="002A0748" w:rsidRDefault="00980409" w:rsidP="00980409">
            <w:pPr>
              <w:jc w:val="right"/>
              <w:rPr>
                <w:sz w:val="18"/>
                <w:szCs w:val="18"/>
              </w:rPr>
            </w:pPr>
            <w:r w:rsidRPr="002A0748">
              <w:rPr>
                <w:sz w:val="18"/>
                <w:szCs w:val="18"/>
              </w:rPr>
              <w:t xml:space="preserve">           -   </w:t>
            </w:r>
          </w:p>
        </w:tc>
      </w:tr>
      <w:tr w:rsidR="00980409" w:rsidRPr="00604C75" w14:paraId="26B8D821" w14:textId="77777777" w:rsidTr="00AD726D">
        <w:tc>
          <w:tcPr>
            <w:tcW w:w="5110" w:type="dxa"/>
            <w:vAlign w:val="bottom"/>
          </w:tcPr>
          <w:p w14:paraId="68FA2FA1" w14:textId="41CEBC75" w:rsidR="00980409" w:rsidRPr="00604C75" w:rsidRDefault="00980409" w:rsidP="00980409">
            <w:pPr>
              <w:tabs>
                <w:tab w:val="left" w:pos="0"/>
              </w:tabs>
              <w:rPr>
                <w:snapToGrid w:val="0"/>
                <w:sz w:val="18"/>
                <w:szCs w:val="18"/>
              </w:rPr>
            </w:pPr>
            <w:r w:rsidRPr="00604C75">
              <w:rPr>
                <w:snapToGrid w:val="0"/>
                <w:sz w:val="18"/>
                <w:szCs w:val="18"/>
              </w:rPr>
              <w:t>Marketable Securities Issued</w:t>
            </w:r>
          </w:p>
        </w:tc>
        <w:tc>
          <w:tcPr>
            <w:tcW w:w="1119" w:type="dxa"/>
            <w:vAlign w:val="bottom"/>
          </w:tcPr>
          <w:p w14:paraId="6102156B" w14:textId="1A219F53" w:rsidR="00980409" w:rsidRPr="002A0748" w:rsidRDefault="00980409" w:rsidP="00980409">
            <w:pPr>
              <w:jc w:val="right"/>
              <w:rPr>
                <w:sz w:val="18"/>
                <w:szCs w:val="18"/>
              </w:rPr>
            </w:pPr>
            <w:r w:rsidRPr="002A0748">
              <w:rPr>
                <w:sz w:val="18"/>
                <w:szCs w:val="18"/>
              </w:rPr>
              <w:t xml:space="preserve">           -   </w:t>
            </w:r>
          </w:p>
        </w:tc>
        <w:tc>
          <w:tcPr>
            <w:tcW w:w="1092" w:type="dxa"/>
            <w:vAlign w:val="bottom"/>
          </w:tcPr>
          <w:p w14:paraId="27FC9339" w14:textId="2AED4A5D" w:rsidR="00980409" w:rsidRPr="002A0748" w:rsidRDefault="00980409" w:rsidP="00980409">
            <w:pPr>
              <w:jc w:val="right"/>
              <w:rPr>
                <w:sz w:val="18"/>
                <w:szCs w:val="18"/>
              </w:rPr>
            </w:pPr>
            <w:r w:rsidRPr="002A0748">
              <w:rPr>
                <w:sz w:val="18"/>
                <w:szCs w:val="18"/>
              </w:rPr>
              <w:t xml:space="preserve">        3.12 </w:t>
            </w:r>
          </w:p>
        </w:tc>
        <w:tc>
          <w:tcPr>
            <w:tcW w:w="1019" w:type="dxa"/>
            <w:vAlign w:val="bottom"/>
          </w:tcPr>
          <w:p w14:paraId="1FA8B405" w14:textId="03A1D919" w:rsidR="00980409" w:rsidRPr="002A0748" w:rsidRDefault="00980409" w:rsidP="00980409">
            <w:pPr>
              <w:jc w:val="right"/>
              <w:rPr>
                <w:sz w:val="18"/>
                <w:szCs w:val="18"/>
              </w:rPr>
            </w:pPr>
            <w:r w:rsidRPr="002A0748">
              <w:rPr>
                <w:sz w:val="18"/>
                <w:szCs w:val="18"/>
              </w:rPr>
              <w:t xml:space="preserve">           -   </w:t>
            </w:r>
          </w:p>
        </w:tc>
        <w:tc>
          <w:tcPr>
            <w:tcW w:w="996" w:type="dxa"/>
            <w:vAlign w:val="bottom"/>
          </w:tcPr>
          <w:p w14:paraId="260EF424" w14:textId="21DF6D23" w:rsidR="00980409" w:rsidRPr="002A0748" w:rsidRDefault="00980409" w:rsidP="00980409">
            <w:pPr>
              <w:jc w:val="right"/>
              <w:rPr>
                <w:sz w:val="18"/>
                <w:szCs w:val="18"/>
              </w:rPr>
            </w:pPr>
            <w:r w:rsidRPr="002A0748">
              <w:rPr>
                <w:sz w:val="18"/>
                <w:szCs w:val="18"/>
              </w:rPr>
              <w:t xml:space="preserve">           -   </w:t>
            </w:r>
          </w:p>
        </w:tc>
      </w:tr>
      <w:tr w:rsidR="00980409" w:rsidRPr="00604C75" w14:paraId="18AB0AF5" w14:textId="77777777" w:rsidTr="00AD726D">
        <w:tc>
          <w:tcPr>
            <w:tcW w:w="5110" w:type="dxa"/>
            <w:vAlign w:val="bottom"/>
          </w:tcPr>
          <w:p w14:paraId="1C4835AB" w14:textId="77777777" w:rsidR="00980409" w:rsidRPr="00604C75" w:rsidRDefault="00980409" w:rsidP="00980409">
            <w:pPr>
              <w:tabs>
                <w:tab w:val="left" w:pos="0"/>
              </w:tabs>
              <w:rPr>
                <w:snapToGrid w:val="0"/>
                <w:sz w:val="18"/>
                <w:szCs w:val="18"/>
              </w:rPr>
            </w:pPr>
            <w:r w:rsidRPr="00604C75">
              <w:rPr>
                <w:snapToGrid w:val="0"/>
                <w:sz w:val="18"/>
                <w:szCs w:val="18"/>
              </w:rPr>
              <w:t>Funds Borrowed From Other Financial Institutions</w:t>
            </w:r>
          </w:p>
        </w:tc>
        <w:tc>
          <w:tcPr>
            <w:tcW w:w="1119" w:type="dxa"/>
            <w:vAlign w:val="bottom"/>
          </w:tcPr>
          <w:p w14:paraId="193FA622" w14:textId="7C4A875D" w:rsidR="00980409" w:rsidRPr="002A0748" w:rsidRDefault="00980409" w:rsidP="00980409">
            <w:pPr>
              <w:jc w:val="right"/>
              <w:rPr>
                <w:sz w:val="18"/>
                <w:szCs w:val="18"/>
              </w:rPr>
            </w:pPr>
            <w:r w:rsidRPr="002A0748">
              <w:rPr>
                <w:sz w:val="18"/>
                <w:szCs w:val="18"/>
              </w:rPr>
              <w:t>1.77</w:t>
            </w:r>
          </w:p>
        </w:tc>
        <w:tc>
          <w:tcPr>
            <w:tcW w:w="1092" w:type="dxa"/>
            <w:vAlign w:val="bottom"/>
          </w:tcPr>
          <w:p w14:paraId="39D524FE" w14:textId="45B36F8A" w:rsidR="00980409" w:rsidRPr="002A0748" w:rsidRDefault="00980409" w:rsidP="00980409">
            <w:pPr>
              <w:jc w:val="right"/>
              <w:rPr>
                <w:sz w:val="18"/>
                <w:szCs w:val="18"/>
              </w:rPr>
            </w:pPr>
            <w:r w:rsidRPr="002A0748">
              <w:rPr>
                <w:sz w:val="18"/>
                <w:szCs w:val="18"/>
              </w:rPr>
              <w:t>2.54</w:t>
            </w:r>
          </w:p>
        </w:tc>
        <w:tc>
          <w:tcPr>
            <w:tcW w:w="1019" w:type="dxa"/>
            <w:vAlign w:val="bottom"/>
          </w:tcPr>
          <w:p w14:paraId="40F8F86B" w14:textId="760E1F4E" w:rsidR="00980409" w:rsidRPr="002A0748" w:rsidRDefault="00980409" w:rsidP="00980409">
            <w:pPr>
              <w:rPr>
                <w:sz w:val="18"/>
                <w:szCs w:val="18"/>
              </w:rPr>
            </w:pPr>
            <w:r w:rsidRPr="002A0748">
              <w:rPr>
                <w:sz w:val="18"/>
                <w:szCs w:val="18"/>
              </w:rPr>
              <w:t xml:space="preserve">           -   </w:t>
            </w:r>
          </w:p>
        </w:tc>
        <w:tc>
          <w:tcPr>
            <w:tcW w:w="996" w:type="dxa"/>
            <w:vAlign w:val="bottom"/>
          </w:tcPr>
          <w:p w14:paraId="2A5EFA0A" w14:textId="5A6F7B42" w:rsidR="00980409" w:rsidRPr="002A0748" w:rsidRDefault="00980409" w:rsidP="00980409">
            <w:pPr>
              <w:jc w:val="right"/>
              <w:rPr>
                <w:sz w:val="18"/>
                <w:szCs w:val="18"/>
              </w:rPr>
            </w:pPr>
            <w:r w:rsidRPr="002A0748">
              <w:rPr>
                <w:sz w:val="18"/>
                <w:szCs w:val="18"/>
              </w:rPr>
              <w:t>7.66</w:t>
            </w:r>
          </w:p>
        </w:tc>
      </w:tr>
    </w:tbl>
    <w:p w14:paraId="74D00AC1" w14:textId="77777777" w:rsidR="005E33B0" w:rsidRPr="00604C75" w:rsidRDefault="005E33B0" w:rsidP="006D4C17">
      <w:pPr>
        <w:pStyle w:val="BodyTextIndent2"/>
        <w:tabs>
          <w:tab w:val="left" w:pos="0"/>
        </w:tabs>
        <w:ind w:left="0" w:firstLine="0"/>
        <w:rPr>
          <w:bCs/>
          <w:sz w:val="22"/>
          <w:szCs w:val="22"/>
        </w:rPr>
      </w:pPr>
    </w:p>
    <w:tbl>
      <w:tblPr>
        <w:tblW w:w="9338"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110"/>
        <w:gridCol w:w="1119"/>
        <w:gridCol w:w="1092"/>
        <w:gridCol w:w="1022"/>
        <w:gridCol w:w="995"/>
      </w:tblGrid>
      <w:tr w:rsidR="001D7ACA" w:rsidRPr="00604C75" w14:paraId="07857E2C" w14:textId="77777777" w:rsidTr="00AD726D">
        <w:tc>
          <w:tcPr>
            <w:tcW w:w="5110" w:type="dxa"/>
            <w:vAlign w:val="bottom"/>
          </w:tcPr>
          <w:p w14:paraId="6C397F54" w14:textId="77777777" w:rsidR="005E33B0" w:rsidRPr="00604C75" w:rsidRDefault="006D4C17" w:rsidP="006D4C17">
            <w:pPr>
              <w:tabs>
                <w:tab w:val="left" w:pos="0"/>
              </w:tabs>
              <w:jc w:val="both"/>
              <w:rPr>
                <w:b/>
                <w:sz w:val="18"/>
                <w:szCs w:val="18"/>
              </w:rPr>
            </w:pPr>
            <w:r w:rsidRPr="00604C75">
              <w:rPr>
                <w:b/>
                <w:sz w:val="18"/>
                <w:szCs w:val="18"/>
              </w:rPr>
              <w:t>31 December 2014</w:t>
            </w:r>
          </w:p>
        </w:tc>
        <w:tc>
          <w:tcPr>
            <w:tcW w:w="1119" w:type="dxa"/>
            <w:vAlign w:val="bottom"/>
          </w:tcPr>
          <w:p w14:paraId="74D6A509" w14:textId="77777777" w:rsidR="005E33B0" w:rsidRPr="00604C75" w:rsidRDefault="003D769C" w:rsidP="006D4C17">
            <w:pPr>
              <w:tabs>
                <w:tab w:val="left" w:pos="0"/>
              </w:tabs>
              <w:ind w:right="45"/>
              <w:jc w:val="right"/>
              <w:rPr>
                <w:rFonts w:eastAsia="Arial Unicode MS"/>
                <w:b/>
                <w:sz w:val="18"/>
                <w:szCs w:val="18"/>
              </w:rPr>
            </w:pPr>
            <w:r w:rsidRPr="00604C75">
              <w:rPr>
                <w:b/>
                <w:sz w:val="18"/>
                <w:szCs w:val="18"/>
              </w:rPr>
              <w:t>Euro</w:t>
            </w:r>
          </w:p>
        </w:tc>
        <w:tc>
          <w:tcPr>
            <w:tcW w:w="1092" w:type="dxa"/>
            <w:vAlign w:val="bottom"/>
          </w:tcPr>
          <w:p w14:paraId="69863D48" w14:textId="77777777" w:rsidR="005E33B0" w:rsidRPr="00604C75" w:rsidRDefault="003D769C" w:rsidP="006D4C17">
            <w:pPr>
              <w:tabs>
                <w:tab w:val="left" w:pos="0"/>
              </w:tabs>
              <w:ind w:right="45"/>
              <w:jc w:val="right"/>
              <w:rPr>
                <w:rFonts w:eastAsia="Arial Unicode MS"/>
                <w:b/>
                <w:sz w:val="18"/>
                <w:szCs w:val="18"/>
              </w:rPr>
            </w:pPr>
            <w:proofErr w:type="spellStart"/>
            <w:r w:rsidRPr="00604C75">
              <w:rPr>
                <w:b/>
                <w:sz w:val="18"/>
                <w:szCs w:val="18"/>
              </w:rPr>
              <w:t>Usd</w:t>
            </w:r>
            <w:proofErr w:type="spellEnd"/>
          </w:p>
        </w:tc>
        <w:tc>
          <w:tcPr>
            <w:tcW w:w="1022" w:type="dxa"/>
            <w:vAlign w:val="bottom"/>
          </w:tcPr>
          <w:p w14:paraId="5DE9EC77" w14:textId="28AF6FD7" w:rsidR="005E33B0" w:rsidRPr="00604C75" w:rsidRDefault="00216E0E" w:rsidP="00216E0E">
            <w:pPr>
              <w:tabs>
                <w:tab w:val="left" w:pos="0"/>
              </w:tabs>
              <w:ind w:right="45"/>
              <w:jc w:val="right"/>
              <w:rPr>
                <w:rFonts w:eastAsia="Arial Unicode MS"/>
                <w:b/>
                <w:sz w:val="18"/>
                <w:szCs w:val="18"/>
              </w:rPr>
            </w:pPr>
            <w:r>
              <w:rPr>
                <w:rFonts w:eastAsia="Arial Unicode MS"/>
                <w:b/>
                <w:sz w:val="18"/>
                <w:szCs w:val="18"/>
              </w:rPr>
              <w:t>Other FC</w:t>
            </w:r>
          </w:p>
        </w:tc>
        <w:tc>
          <w:tcPr>
            <w:tcW w:w="995" w:type="dxa"/>
            <w:vAlign w:val="bottom"/>
          </w:tcPr>
          <w:p w14:paraId="72216DFD" w14:textId="77777777" w:rsidR="005E33B0" w:rsidRPr="00604C75" w:rsidRDefault="005E33B0" w:rsidP="006D4C17">
            <w:pPr>
              <w:tabs>
                <w:tab w:val="left" w:pos="0"/>
              </w:tabs>
              <w:ind w:right="45"/>
              <w:jc w:val="right"/>
              <w:rPr>
                <w:rFonts w:eastAsia="Arial Unicode MS"/>
                <w:b/>
                <w:sz w:val="18"/>
                <w:szCs w:val="18"/>
              </w:rPr>
            </w:pPr>
            <w:r w:rsidRPr="00604C75">
              <w:rPr>
                <w:rFonts w:eastAsia="Arial Unicode MS"/>
                <w:b/>
                <w:sz w:val="18"/>
                <w:szCs w:val="18"/>
              </w:rPr>
              <w:t>TL</w:t>
            </w:r>
          </w:p>
        </w:tc>
      </w:tr>
      <w:tr w:rsidR="001D7ACA" w:rsidRPr="00604C75" w14:paraId="29821EDE" w14:textId="77777777" w:rsidTr="00AD726D">
        <w:tc>
          <w:tcPr>
            <w:tcW w:w="5110" w:type="dxa"/>
            <w:vAlign w:val="bottom"/>
          </w:tcPr>
          <w:p w14:paraId="274609D2" w14:textId="77777777" w:rsidR="005E33B0" w:rsidRPr="00604C75" w:rsidRDefault="005E33B0" w:rsidP="006D4C17">
            <w:pPr>
              <w:tabs>
                <w:tab w:val="left" w:pos="0"/>
              </w:tabs>
              <w:jc w:val="both"/>
              <w:rPr>
                <w:b/>
                <w:sz w:val="18"/>
                <w:szCs w:val="18"/>
              </w:rPr>
            </w:pPr>
            <w:r w:rsidRPr="00604C75">
              <w:rPr>
                <w:b/>
                <w:sz w:val="18"/>
                <w:szCs w:val="18"/>
              </w:rPr>
              <w:t>Assets</w:t>
            </w:r>
          </w:p>
        </w:tc>
        <w:tc>
          <w:tcPr>
            <w:tcW w:w="1119" w:type="dxa"/>
            <w:vAlign w:val="bottom"/>
          </w:tcPr>
          <w:p w14:paraId="44F37ABB" w14:textId="77777777"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1092" w:type="dxa"/>
            <w:vAlign w:val="bottom"/>
          </w:tcPr>
          <w:p w14:paraId="4BB82FAD" w14:textId="77777777"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1022" w:type="dxa"/>
            <w:vAlign w:val="bottom"/>
          </w:tcPr>
          <w:p w14:paraId="7409CE38" w14:textId="77777777"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c>
          <w:tcPr>
            <w:tcW w:w="995" w:type="dxa"/>
            <w:vAlign w:val="bottom"/>
          </w:tcPr>
          <w:p w14:paraId="37393A66" w14:textId="77777777" w:rsidR="005E33B0" w:rsidRPr="00604C75" w:rsidRDefault="005E33B0" w:rsidP="006D4C17">
            <w:pPr>
              <w:tabs>
                <w:tab w:val="left" w:pos="0"/>
              </w:tabs>
              <w:ind w:right="17"/>
              <w:jc w:val="right"/>
              <w:rPr>
                <w:rFonts w:eastAsia="Arial Unicode MS"/>
                <w:b/>
                <w:sz w:val="18"/>
                <w:szCs w:val="18"/>
              </w:rPr>
            </w:pPr>
            <w:r w:rsidRPr="00604C75">
              <w:rPr>
                <w:b/>
                <w:sz w:val="18"/>
                <w:szCs w:val="18"/>
              </w:rPr>
              <w:t>%</w:t>
            </w:r>
          </w:p>
        </w:tc>
      </w:tr>
      <w:tr w:rsidR="00980409" w:rsidRPr="00604C75" w14:paraId="24F4E567" w14:textId="77777777" w:rsidTr="00AD726D">
        <w:tc>
          <w:tcPr>
            <w:tcW w:w="5110" w:type="dxa"/>
            <w:vAlign w:val="bottom"/>
          </w:tcPr>
          <w:p w14:paraId="7FE6ECE2" w14:textId="77777777" w:rsidR="00980409" w:rsidRPr="00604C75" w:rsidRDefault="00980409" w:rsidP="00980409">
            <w:pPr>
              <w:tabs>
                <w:tab w:val="left" w:pos="0"/>
              </w:tabs>
              <w:rPr>
                <w:snapToGrid w:val="0"/>
                <w:sz w:val="18"/>
                <w:szCs w:val="18"/>
              </w:rPr>
            </w:pPr>
            <w:r w:rsidRPr="00604C75">
              <w:rPr>
                <w:snapToGrid w:val="0"/>
                <w:sz w:val="18"/>
                <w:szCs w:val="18"/>
              </w:rPr>
              <w:t xml:space="preserve">Cash (Cash in Vault, Effectives, Cash in Transit, </w:t>
            </w:r>
            <w:proofErr w:type="spellStart"/>
            <w:r w:rsidRPr="00604C75">
              <w:rPr>
                <w:snapToGrid w:val="0"/>
                <w:sz w:val="18"/>
                <w:szCs w:val="18"/>
              </w:rPr>
              <w:t>Cheques</w:t>
            </w:r>
            <w:proofErr w:type="spellEnd"/>
            <w:r w:rsidRPr="00604C75">
              <w:rPr>
                <w:snapToGrid w:val="0"/>
                <w:sz w:val="18"/>
                <w:szCs w:val="18"/>
              </w:rPr>
              <w:t xml:space="preserve"> Purchased) and Balances with the Central Bank of the Republic of Turkey</w:t>
            </w:r>
          </w:p>
        </w:tc>
        <w:tc>
          <w:tcPr>
            <w:tcW w:w="1119" w:type="dxa"/>
            <w:vAlign w:val="bottom"/>
          </w:tcPr>
          <w:p w14:paraId="591A89D2" w14:textId="7C17C05C" w:rsidR="00980409" w:rsidRPr="00692926" w:rsidRDefault="00980409" w:rsidP="00980409">
            <w:pPr>
              <w:tabs>
                <w:tab w:val="left" w:pos="0"/>
              </w:tabs>
              <w:jc w:val="right"/>
              <w:rPr>
                <w:sz w:val="18"/>
                <w:szCs w:val="18"/>
              </w:rPr>
            </w:pPr>
            <w:r w:rsidRPr="00F15456">
              <w:rPr>
                <w:color w:val="000000"/>
                <w:sz w:val="18"/>
                <w:szCs w:val="18"/>
              </w:rPr>
              <w:t>-</w:t>
            </w:r>
          </w:p>
        </w:tc>
        <w:tc>
          <w:tcPr>
            <w:tcW w:w="1092" w:type="dxa"/>
            <w:vAlign w:val="bottom"/>
          </w:tcPr>
          <w:p w14:paraId="6A261088" w14:textId="2521509D" w:rsidR="00980409" w:rsidRPr="00692926" w:rsidRDefault="00980409" w:rsidP="00980409">
            <w:pPr>
              <w:tabs>
                <w:tab w:val="left" w:pos="0"/>
              </w:tabs>
              <w:jc w:val="right"/>
              <w:rPr>
                <w:sz w:val="18"/>
                <w:szCs w:val="18"/>
              </w:rPr>
            </w:pPr>
            <w:r w:rsidRPr="00F15456">
              <w:rPr>
                <w:color w:val="000000"/>
                <w:sz w:val="18"/>
                <w:szCs w:val="18"/>
              </w:rPr>
              <w:t>-</w:t>
            </w:r>
          </w:p>
        </w:tc>
        <w:tc>
          <w:tcPr>
            <w:tcW w:w="1022" w:type="dxa"/>
            <w:vAlign w:val="bottom"/>
          </w:tcPr>
          <w:p w14:paraId="51552A0A" w14:textId="4C9AF605" w:rsidR="00980409" w:rsidRPr="00692926" w:rsidRDefault="00980409" w:rsidP="00980409">
            <w:pPr>
              <w:tabs>
                <w:tab w:val="left" w:pos="0"/>
              </w:tabs>
              <w:jc w:val="right"/>
              <w:rPr>
                <w:sz w:val="18"/>
                <w:szCs w:val="18"/>
              </w:rPr>
            </w:pPr>
            <w:r w:rsidRPr="00F15456">
              <w:rPr>
                <w:color w:val="000000"/>
                <w:sz w:val="18"/>
                <w:szCs w:val="18"/>
              </w:rPr>
              <w:t>-</w:t>
            </w:r>
          </w:p>
        </w:tc>
        <w:tc>
          <w:tcPr>
            <w:tcW w:w="995" w:type="dxa"/>
            <w:vAlign w:val="bottom"/>
          </w:tcPr>
          <w:p w14:paraId="4B3AAC68" w14:textId="0DB93B51" w:rsidR="00980409" w:rsidRPr="00692926" w:rsidRDefault="00980409" w:rsidP="00980409">
            <w:pPr>
              <w:tabs>
                <w:tab w:val="left" w:pos="0"/>
              </w:tabs>
              <w:jc w:val="right"/>
              <w:rPr>
                <w:sz w:val="18"/>
                <w:szCs w:val="18"/>
              </w:rPr>
            </w:pPr>
            <w:r w:rsidRPr="00F15456">
              <w:rPr>
                <w:color w:val="000000"/>
                <w:sz w:val="18"/>
                <w:szCs w:val="18"/>
              </w:rPr>
              <w:t>-</w:t>
            </w:r>
          </w:p>
        </w:tc>
      </w:tr>
      <w:tr w:rsidR="00980409" w:rsidRPr="00604C75" w14:paraId="7D0FEDF3" w14:textId="77777777" w:rsidTr="00AD726D">
        <w:tc>
          <w:tcPr>
            <w:tcW w:w="5110" w:type="dxa"/>
            <w:vAlign w:val="bottom"/>
          </w:tcPr>
          <w:p w14:paraId="62116F2A" w14:textId="77777777" w:rsidR="00980409" w:rsidRPr="00604C75" w:rsidRDefault="00980409" w:rsidP="00980409">
            <w:pPr>
              <w:tabs>
                <w:tab w:val="left" w:pos="0"/>
              </w:tabs>
              <w:rPr>
                <w:i/>
                <w:snapToGrid w:val="0"/>
                <w:sz w:val="18"/>
                <w:szCs w:val="18"/>
              </w:rPr>
            </w:pPr>
            <w:r w:rsidRPr="00604C75">
              <w:rPr>
                <w:snapToGrid w:val="0"/>
                <w:sz w:val="18"/>
                <w:szCs w:val="18"/>
              </w:rPr>
              <w:t>Banks</w:t>
            </w:r>
          </w:p>
        </w:tc>
        <w:tc>
          <w:tcPr>
            <w:tcW w:w="1119" w:type="dxa"/>
            <w:vAlign w:val="bottom"/>
          </w:tcPr>
          <w:p w14:paraId="51E29ACA" w14:textId="2D81D167" w:rsidR="00980409" w:rsidRPr="00692926" w:rsidRDefault="00980409" w:rsidP="00980409">
            <w:pPr>
              <w:tabs>
                <w:tab w:val="left" w:pos="0"/>
              </w:tabs>
              <w:jc w:val="right"/>
              <w:rPr>
                <w:sz w:val="18"/>
                <w:szCs w:val="18"/>
              </w:rPr>
            </w:pPr>
            <w:r w:rsidRPr="00F15456">
              <w:rPr>
                <w:color w:val="000000"/>
                <w:sz w:val="18"/>
                <w:szCs w:val="18"/>
              </w:rPr>
              <w:t>0</w:t>
            </w:r>
            <w:r>
              <w:rPr>
                <w:color w:val="000000"/>
                <w:sz w:val="18"/>
                <w:szCs w:val="18"/>
              </w:rPr>
              <w:t>.</w:t>
            </w:r>
            <w:r w:rsidRPr="00F15456">
              <w:rPr>
                <w:color w:val="000000"/>
                <w:sz w:val="18"/>
                <w:szCs w:val="18"/>
              </w:rPr>
              <w:t>50</w:t>
            </w:r>
          </w:p>
        </w:tc>
        <w:tc>
          <w:tcPr>
            <w:tcW w:w="1092" w:type="dxa"/>
            <w:vAlign w:val="bottom"/>
          </w:tcPr>
          <w:p w14:paraId="7D590CDF" w14:textId="282856C1" w:rsidR="00980409" w:rsidRPr="00692926" w:rsidRDefault="00980409" w:rsidP="00980409">
            <w:pPr>
              <w:tabs>
                <w:tab w:val="left" w:pos="0"/>
              </w:tabs>
              <w:jc w:val="right"/>
              <w:rPr>
                <w:sz w:val="18"/>
                <w:szCs w:val="18"/>
              </w:rPr>
            </w:pPr>
            <w:r w:rsidRPr="00F15456">
              <w:rPr>
                <w:color w:val="000000"/>
                <w:sz w:val="18"/>
                <w:szCs w:val="18"/>
              </w:rPr>
              <w:t>0</w:t>
            </w:r>
            <w:r>
              <w:rPr>
                <w:color w:val="000000"/>
                <w:sz w:val="18"/>
                <w:szCs w:val="18"/>
              </w:rPr>
              <w:t>.</w:t>
            </w:r>
            <w:r w:rsidRPr="00F15456">
              <w:rPr>
                <w:color w:val="000000"/>
                <w:sz w:val="18"/>
                <w:szCs w:val="18"/>
              </w:rPr>
              <w:t>15</w:t>
            </w:r>
          </w:p>
        </w:tc>
        <w:tc>
          <w:tcPr>
            <w:tcW w:w="1022" w:type="dxa"/>
            <w:vAlign w:val="bottom"/>
          </w:tcPr>
          <w:p w14:paraId="5C4FD0E1" w14:textId="23475606" w:rsidR="00980409" w:rsidRPr="00692926" w:rsidRDefault="00980409" w:rsidP="00980409">
            <w:pPr>
              <w:tabs>
                <w:tab w:val="left" w:pos="0"/>
              </w:tabs>
              <w:jc w:val="right"/>
              <w:rPr>
                <w:sz w:val="18"/>
                <w:szCs w:val="18"/>
              </w:rPr>
            </w:pPr>
            <w:r w:rsidRPr="00F15456">
              <w:rPr>
                <w:color w:val="000000"/>
                <w:sz w:val="18"/>
                <w:szCs w:val="18"/>
              </w:rPr>
              <w:t>-</w:t>
            </w:r>
          </w:p>
        </w:tc>
        <w:tc>
          <w:tcPr>
            <w:tcW w:w="995" w:type="dxa"/>
            <w:vAlign w:val="bottom"/>
          </w:tcPr>
          <w:p w14:paraId="7D0D29F7" w14:textId="001B625B" w:rsidR="00980409" w:rsidRPr="00692926" w:rsidRDefault="00980409" w:rsidP="00980409">
            <w:pPr>
              <w:tabs>
                <w:tab w:val="left" w:pos="0"/>
              </w:tabs>
              <w:jc w:val="right"/>
              <w:rPr>
                <w:sz w:val="18"/>
                <w:szCs w:val="18"/>
              </w:rPr>
            </w:pPr>
            <w:r w:rsidRPr="00F15456">
              <w:rPr>
                <w:color w:val="000000"/>
                <w:sz w:val="18"/>
                <w:szCs w:val="18"/>
              </w:rPr>
              <w:t>11</w:t>
            </w:r>
            <w:r>
              <w:rPr>
                <w:color w:val="000000"/>
                <w:sz w:val="18"/>
                <w:szCs w:val="18"/>
              </w:rPr>
              <w:t>.</w:t>
            </w:r>
            <w:r w:rsidRPr="00F15456">
              <w:rPr>
                <w:color w:val="000000"/>
                <w:sz w:val="18"/>
                <w:szCs w:val="18"/>
              </w:rPr>
              <w:t>03</w:t>
            </w:r>
          </w:p>
        </w:tc>
      </w:tr>
      <w:tr w:rsidR="00980409" w:rsidRPr="00604C75" w14:paraId="15A99F1E" w14:textId="77777777" w:rsidTr="00AD726D">
        <w:tc>
          <w:tcPr>
            <w:tcW w:w="5110" w:type="dxa"/>
            <w:vAlign w:val="bottom"/>
          </w:tcPr>
          <w:p w14:paraId="672881FB" w14:textId="77777777" w:rsidR="00980409" w:rsidRPr="00604C75" w:rsidRDefault="00980409" w:rsidP="00980409">
            <w:pPr>
              <w:tabs>
                <w:tab w:val="left" w:pos="0"/>
              </w:tabs>
              <w:rPr>
                <w:snapToGrid w:val="0"/>
                <w:sz w:val="18"/>
                <w:szCs w:val="18"/>
              </w:rPr>
            </w:pPr>
            <w:r w:rsidRPr="00604C75">
              <w:rPr>
                <w:snapToGrid w:val="0"/>
                <w:sz w:val="18"/>
                <w:szCs w:val="18"/>
              </w:rPr>
              <w:t>Financial Assets at Fair Value Through Profit and Loss</w:t>
            </w:r>
          </w:p>
        </w:tc>
        <w:tc>
          <w:tcPr>
            <w:tcW w:w="1119" w:type="dxa"/>
            <w:vAlign w:val="bottom"/>
          </w:tcPr>
          <w:p w14:paraId="180F5A05" w14:textId="4761DFAA" w:rsidR="00980409" w:rsidRPr="00692926" w:rsidRDefault="00980409" w:rsidP="00980409">
            <w:pPr>
              <w:tabs>
                <w:tab w:val="left" w:pos="0"/>
              </w:tabs>
              <w:jc w:val="right"/>
              <w:rPr>
                <w:sz w:val="18"/>
                <w:szCs w:val="18"/>
              </w:rPr>
            </w:pPr>
            <w:r w:rsidRPr="00F15456">
              <w:rPr>
                <w:color w:val="000000"/>
                <w:sz w:val="18"/>
                <w:szCs w:val="18"/>
              </w:rPr>
              <w:t>5</w:t>
            </w:r>
            <w:r>
              <w:rPr>
                <w:color w:val="000000"/>
                <w:sz w:val="18"/>
                <w:szCs w:val="18"/>
              </w:rPr>
              <w:t>.</w:t>
            </w:r>
            <w:r w:rsidRPr="00F15456">
              <w:rPr>
                <w:color w:val="000000"/>
                <w:sz w:val="18"/>
                <w:szCs w:val="18"/>
              </w:rPr>
              <w:t>24</w:t>
            </w:r>
          </w:p>
        </w:tc>
        <w:tc>
          <w:tcPr>
            <w:tcW w:w="1092" w:type="dxa"/>
            <w:vAlign w:val="bottom"/>
          </w:tcPr>
          <w:p w14:paraId="1FFD3182" w14:textId="550B5234" w:rsidR="00980409" w:rsidRPr="00692926" w:rsidRDefault="00980409" w:rsidP="00980409">
            <w:pPr>
              <w:tabs>
                <w:tab w:val="left" w:pos="0"/>
              </w:tabs>
              <w:jc w:val="right"/>
              <w:rPr>
                <w:sz w:val="18"/>
                <w:szCs w:val="18"/>
              </w:rPr>
            </w:pPr>
            <w:r w:rsidRPr="00F15456">
              <w:rPr>
                <w:color w:val="000000"/>
                <w:sz w:val="18"/>
                <w:szCs w:val="18"/>
              </w:rPr>
              <w:t>3</w:t>
            </w:r>
            <w:r>
              <w:rPr>
                <w:color w:val="000000"/>
                <w:sz w:val="18"/>
                <w:szCs w:val="18"/>
              </w:rPr>
              <w:t>.</w:t>
            </w:r>
            <w:r w:rsidRPr="00F15456">
              <w:rPr>
                <w:color w:val="000000"/>
                <w:sz w:val="18"/>
                <w:szCs w:val="18"/>
              </w:rPr>
              <w:t>61</w:t>
            </w:r>
          </w:p>
        </w:tc>
        <w:tc>
          <w:tcPr>
            <w:tcW w:w="1022" w:type="dxa"/>
            <w:vAlign w:val="bottom"/>
          </w:tcPr>
          <w:p w14:paraId="4F610AD6" w14:textId="53ACB3BD" w:rsidR="00980409" w:rsidRPr="00692926" w:rsidRDefault="00980409" w:rsidP="00980409">
            <w:pPr>
              <w:tabs>
                <w:tab w:val="left" w:pos="0"/>
              </w:tabs>
              <w:jc w:val="right"/>
              <w:rPr>
                <w:sz w:val="18"/>
                <w:szCs w:val="18"/>
              </w:rPr>
            </w:pPr>
            <w:r w:rsidRPr="00F15456">
              <w:rPr>
                <w:color w:val="000000"/>
                <w:sz w:val="18"/>
                <w:szCs w:val="18"/>
              </w:rPr>
              <w:t>-</w:t>
            </w:r>
          </w:p>
        </w:tc>
        <w:tc>
          <w:tcPr>
            <w:tcW w:w="995" w:type="dxa"/>
            <w:vAlign w:val="bottom"/>
          </w:tcPr>
          <w:p w14:paraId="58E99FF0" w14:textId="584225CE" w:rsidR="00980409" w:rsidRPr="00692926" w:rsidRDefault="00980409" w:rsidP="00980409">
            <w:pPr>
              <w:tabs>
                <w:tab w:val="left" w:pos="0"/>
              </w:tabs>
              <w:jc w:val="right"/>
              <w:rPr>
                <w:sz w:val="18"/>
                <w:szCs w:val="18"/>
              </w:rPr>
            </w:pPr>
            <w:r w:rsidRPr="00F15456">
              <w:rPr>
                <w:color w:val="000000"/>
                <w:sz w:val="18"/>
                <w:szCs w:val="18"/>
              </w:rPr>
              <w:t>6</w:t>
            </w:r>
            <w:r>
              <w:rPr>
                <w:color w:val="000000"/>
                <w:sz w:val="18"/>
                <w:szCs w:val="18"/>
              </w:rPr>
              <w:t>.</w:t>
            </w:r>
            <w:r w:rsidRPr="00F15456">
              <w:rPr>
                <w:color w:val="000000"/>
                <w:sz w:val="18"/>
                <w:szCs w:val="18"/>
              </w:rPr>
              <w:t>55</w:t>
            </w:r>
          </w:p>
        </w:tc>
      </w:tr>
      <w:tr w:rsidR="00980409" w:rsidRPr="00604C75" w14:paraId="354D23A9" w14:textId="77777777" w:rsidTr="00AD726D">
        <w:tc>
          <w:tcPr>
            <w:tcW w:w="5110" w:type="dxa"/>
            <w:vAlign w:val="bottom"/>
          </w:tcPr>
          <w:p w14:paraId="274A0F14" w14:textId="77777777" w:rsidR="00980409" w:rsidRPr="00604C75" w:rsidRDefault="00980409" w:rsidP="00980409">
            <w:pPr>
              <w:tabs>
                <w:tab w:val="left" w:pos="0"/>
              </w:tabs>
              <w:rPr>
                <w:snapToGrid w:val="0"/>
                <w:sz w:val="18"/>
                <w:szCs w:val="18"/>
              </w:rPr>
            </w:pPr>
            <w:r w:rsidRPr="00604C75">
              <w:rPr>
                <w:snapToGrid w:val="0"/>
                <w:sz w:val="18"/>
                <w:szCs w:val="18"/>
              </w:rPr>
              <w:t>Money Market Placements</w:t>
            </w:r>
          </w:p>
        </w:tc>
        <w:tc>
          <w:tcPr>
            <w:tcW w:w="1119" w:type="dxa"/>
            <w:vAlign w:val="bottom"/>
          </w:tcPr>
          <w:p w14:paraId="5F312930" w14:textId="352B116A" w:rsidR="00980409" w:rsidRPr="00692926" w:rsidRDefault="00980409" w:rsidP="00980409">
            <w:pPr>
              <w:tabs>
                <w:tab w:val="left" w:pos="0"/>
              </w:tabs>
              <w:jc w:val="right"/>
              <w:rPr>
                <w:sz w:val="18"/>
                <w:szCs w:val="18"/>
              </w:rPr>
            </w:pPr>
            <w:r w:rsidRPr="00F15456">
              <w:rPr>
                <w:color w:val="000000"/>
                <w:sz w:val="18"/>
                <w:szCs w:val="18"/>
              </w:rPr>
              <w:t>-</w:t>
            </w:r>
          </w:p>
        </w:tc>
        <w:tc>
          <w:tcPr>
            <w:tcW w:w="1092" w:type="dxa"/>
            <w:vAlign w:val="bottom"/>
          </w:tcPr>
          <w:p w14:paraId="7C05F5BE" w14:textId="718AD01B" w:rsidR="00980409" w:rsidRPr="00692926" w:rsidRDefault="00980409" w:rsidP="00980409">
            <w:pPr>
              <w:tabs>
                <w:tab w:val="left" w:pos="0"/>
              </w:tabs>
              <w:jc w:val="right"/>
              <w:rPr>
                <w:sz w:val="18"/>
                <w:szCs w:val="18"/>
              </w:rPr>
            </w:pPr>
            <w:r w:rsidRPr="00F15456">
              <w:rPr>
                <w:color w:val="000000"/>
                <w:sz w:val="18"/>
                <w:szCs w:val="18"/>
              </w:rPr>
              <w:t>-</w:t>
            </w:r>
          </w:p>
        </w:tc>
        <w:tc>
          <w:tcPr>
            <w:tcW w:w="1022" w:type="dxa"/>
            <w:vAlign w:val="bottom"/>
          </w:tcPr>
          <w:p w14:paraId="0BB17C07" w14:textId="4715CD8C" w:rsidR="00980409" w:rsidRPr="00692926" w:rsidRDefault="00980409" w:rsidP="00980409">
            <w:pPr>
              <w:tabs>
                <w:tab w:val="left" w:pos="0"/>
              </w:tabs>
              <w:jc w:val="right"/>
              <w:rPr>
                <w:sz w:val="18"/>
                <w:szCs w:val="18"/>
              </w:rPr>
            </w:pPr>
            <w:r w:rsidRPr="00F15456">
              <w:rPr>
                <w:color w:val="000000"/>
                <w:sz w:val="18"/>
                <w:szCs w:val="18"/>
              </w:rPr>
              <w:t>-</w:t>
            </w:r>
          </w:p>
        </w:tc>
        <w:tc>
          <w:tcPr>
            <w:tcW w:w="995" w:type="dxa"/>
            <w:vAlign w:val="bottom"/>
          </w:tcPr>
          <w:p w14:paraId="32EFD1B7" w14:textId="577D5C68" w:rsidR="00980409" w:rsidRPr="00692926" w:rsidRDefault="00980409" w:rsidP="00980409">
            <w:pPr>
              <w:tabs>
                <w:tab w:val="left" w:pos="0"/>
              </w:tabs>
              <w:jc w:val="right"/>
              <w:rPr>
                <w:sz w:val="18"/>
                <w:szCs w:val="18"/>
              </w:rPr>
            </w:pPr>
            <w:r w:rsidRPr="00F15456">
              <w:rPr>
                <w:color w:val="000000"/>
                <w:sz w:val="18"/>
                <w:szCs w:val="18"/>
              </w:rPr>
              <w:t>-</w:t>
            </w:r>
          </w:p>
        </w:tc>
      </w:tr>
      <w:tr w:rsidR="00980409" w:rsidRPr="00604C75" w14:paraId="1FB8CAF9" w14:textId="77777777" w:rsidTr="00F77D55">
        <w:tc>
          <w:tcPr>
            <w:tcW w:w="5110" w:type="dxa"/>
            <w:vAlign w:val="bottom"/>
          </w:tcPr>
          <w:p w14:paraId="6B5DDD7D" w14:textId="77777777" w:rsidR="00980409" w:rsidRPr="00604C75" w:rsidRDefault="00980409" w:rsidP="00980409">
            <w:pPr>
              <w:tabs>
                <w:tab w:val="left" w:pos="0"/>
              </w:tabs>
              <w:rPr>
                <w:snapToGrid w:val="0"/>
                <w:sz w:val="18"/>
                <w:szCs w:val="18"/>
              </w:rPr>
            </w:pPr>
            <w:r w:rsidRPr="00604C75">
              <w:rPr>
                <w:snapToGrid w:val="0"/>
                <w:sz w:val="18"/>
                <w:szCs w:val="18"/>
              </w:rPr>
              <w:t>Financial Assets Available-for-Sale</w:t>
            </w:r>
          </w:p>
        </w:tc>
        <w:tc>
          <w:tcPr>
            <w:tcW w:w="1119" w:type="dxa"/>
            <w:vAlign w:val="bottom"/>
          </w:tcPr>
          <w:p w14:paraId="0B06EF1D" w14:textId="0ECDBA21" w:rsidR="00980409" w:rsidRPr="00692926" w:rsidRDefault="00980409" w:rsidP="00980409">
            <w:pPr>
              <w:tabs>
                <w:tab w:val="left" w:pos="0"/>
              </w:tabs>
              <w:jc w:val="right"/>
              <w:rPr>
                <w:sz w:val="18"/>
                <w:szCs w:val="18"/>
              </w:rPr>
            </w:pPr>
            <w:r w:rsidRPr="00F15456">
              <w:rPr>
                <w:color w:val="000000"/>
                <w:sz w:val="18"/>
                <w:szCs w:val="18"/>
              </w:rPr>
              <w:t>-</w:t>
            </w:r>
          </w:p>
        </w:tc>
        <w:tc>
          <w:tcPr>
            <w:tcW w:w="1092" w:type="dxa"/>
            <w:vAlign w:val="bottom"/>
          </w:tcPr>
          <w:p w14:paraId="240FD1D3" w14:textId="5540B486" w:rsidR="00980409" w:rsidRPr="00692926" w:rsidRDefault="00980409" w:rsidP="00980409">
            <w:pPr>
              <w:tabs>
                <w:tab w:val="left" w:pos="0"/>
              </w:tabs>
              <w:jc w:val="right"/>
              <w:rPr>
                <w:sz w:val="18"/>
                <w:szCs w:val="18"/>
              </w:rPr>
            </w:pPr>
            <w:r w:rsidRPr="00F15456">
              <w:rPr>
                <w:color w:val="000000"/>
                <w:sz w:val="18"/>
                <w:szCs w:val="18"/>
              </w:rPr>
              <w:t>4</w:t>
            </w:r>
            <w:r>
              <w:rPr>
                <w:color w:val="000000"/>
                <w:sz w:val="18"/>
                <w:szCs w:val="18"/>
              </w:rPr>
              <w:t>.</w:t>
            </w:r>
            <w:r w:rsidRPr="00F15456">
              <w:rPr>
                <w:color w:val="000000"/>
                <w:sz w:val="18"/>
                <w:szCs w:val="18"/>
              </w:rPr>
              <w:t>13</w:t>
            </w:r>
          </w:p>
        </w:tc>
        <w:tc>
          <w:tcPr>
            <w:tcW w:w="1022" w:type="dxa"/>
            <w:vAlign w:val="bottom"/>
          </w:tcPr>
          <w:p w14:paraId="0DF15E87" w14:textId="5CBD2BB9" w:rsidR="00980409" w:rsidRPr="00692926" w:rsidRDefault="00980409" w:rsidP="00980409">
            <w:pPr>
              <w:jc w:val="right"/>
            </w:pPr>
            <w:r w:rsidRPr="00F15456">
              <w:rPr>
                <w:color w:val="000000"/>
                <w:sz w:val="18"/>
                <w:szCs w:val="18"/>
              </w:rPr>
              <w:t>-</w:t>
            </w:r>
          </w:p>
        </w:tc>
        <w:tc>
          <w:tcPr>
            <w:tcW w:w="995" w:type="dxa"/>
            <w:vAlign w:val="bottom"/>
          </w:tcPr>
          <w:p w14:paraId="7FC41078" w14:textId="11C90FA6" w:rsidR="00980409" w:rsidRPr="00692926" w:rsidRDefault="00980409" w:rsidP="00980409">
            <w:pPr>
              <w:tabs>
                <w:tab w:val="left" w:pos="0"/>
              </w:tabs>
              <w:jc w:val="right"/>
              <w:rPr>
                <w:sz w:val="18"/>
                <w:szCs w:val="18"/>
              </w:rPr>
            </w:pPr>
            <w:r w:rsidRPr="00F15456">
              <w:rPr>
                <w:color w:val="000000"/>
                <w:sz w:val="18"/>
                <w:szCs w:val="18"/>
              </w:rPr>
              <w:t>8</w:t>
            </w:r>
            <w:r>
              <w:rPr>
                <w:color w:val="000000"/>
                <w:sz w:val="18"/>
                <w:szCs w:val="18"/>
              </w:rPr>
              <w:t>.</w:t>
            </w:r>
            <w:r w:rsidRPr="00F15456">
              <w:rPr>
                <w:color w:val="000000"/>
                <w:sz w:val="18"/>
                <w:szCs w:val="18"/>
              </w:rPr>
              <w:t>81</w:t>
            </w:r>
          </w:p>
        </w:tc>
      </w:tr>
      <w:tr w:rsidR="00980409" w:rsidRPr="00604C75" w14:paraId="7FD2D75B" w14:textId="77777777" w:rsidTr="00F77D55">
        <w:tc>
          <w:tcPr>
            <w:tcW w:w="5110" w:type="dxa"/>
            <w:vAlign w:val="bottom"/>
          </w:tcPr>
          <w:p w14:paraId="0F4F8435" w14:textId="77777777" w:rsidR="00980409" w:rsidRPr="00604C75" w:rsidRDefault="00980409" w:rsidP="00980409">
            <w:pPr>
              <w:tabs>
                <w:tab w:val="left" w:pos="0"/>
              </w:tabs>
              <w:rPr>
                <w:snapToGrid w:val="0"/>
                <w:sz w:val="18"/>
                <w:szCs w:val="18"/>
              </w:rPr>
            </w:pPr>
            <w:r w:rsidRPr="00604C75">
              <w:rPr>
                <w:snapToGrid w:val="0"/>
                <w:sz w:val="18"/>
                <w:szCs w:val="18"/>
              </w:rPr>
              <w:t>Loans</w:t>
            </w:r>
          </w:p>
        </w:tc>
        <w:tc>
          <w:tcPr>
            <w:tcW w:w="1119" w:type="dxa"/>
            <w:vAlign w:val="bottom"/>
          </w:tcPr>
          <w:p w14:paraId="788F9F3F" w14:textId="24732E3E" w:rsidR="00980409" w:rsidRPr="00692926" w:rsidRDefault="00980409" w:rsidP="00980409">
            <w:pPr>
              <w:tabs>
                <w:tab w:val="left" w:pos="0"/>
              </w:tabs>
              <w:jc w:val="right"/>
              <w:rPr>
                <w:sz w:val="18"/>
                <w:szCs w:val="18"/>
              </w:rPr>
            </w:pPr>
            <w:r w:rsidRPr="00F15456">
              <w:rPr>
                <w:color w:val="000000"/>
                <w:sz w:val="18"/>
                <w:szCs w:val="18"/>
              </w:rPr>
              <w:t>4</w:t>
            </w:r>
            <w:r>
              <w:rPr>
                <w:color w:val="000000"/>
                <w:sz w:val="18"/>
                <w:szCs w:val="18"/>
              </w:rPr>
              <w:t>.</w:t>
            </w:r>
            <w:r w:rsidRPr="00F15456">
              <w:rPr>
                <w:color w:val="000000"/>
                <w:sz w:val="18"/>
                <w:szCs w:val="18"/>
              </w:rPr>
              <w:t>54</w:t>
            </w:r>
          </w:p>
        </w:tc>
        <w:tc>
          <w:tcPr>
            <w:tcW w:w="1092" w:type="dxa"/>
            <w:vAlign w:val="bottom"/>
          </w:tcPr>
          <w:p w14:paraId="38DD245B" w14:textId="32A40D53" w:rsidR="00980409" w:rsidRPr="00692926" w:rsidRDefault="00980409" w:rsidP="00980409">
            <w:pPr>
              <w:tabs>
                <w:tab w:val="left" w:pos="0"/>
              </w:tabs>
              <w:jc w:val="right"/>
              <w:rPr>
                <w:sz w:val="18"/>
                <w:szCs w:val="18"/>
              </w:rPr>
            </w:pPr>
            <w:r w:rsidRPr="00F15456">
              <w:rPr>
                <w:color w:val="000000"/>
                <w:sz w:val="18"/>
                <w:szCs w:val="18"/>
              </w:rPr>
              <w:t>4</w:t>
            </w:r>
            <w:r>
              <w:rPr>
                <w:color w:val="000000"/>
                <w:sz w:val="18"/>
                <w:szCs w:val="18"/>
              </w:rPr>
              <w:t>.</w:t>
            </w:r>
            <w:r w:rsidRPr="00F15456">
              <w:rPr>
                <w:color w:val="000000"/>
                <w:sz w:val="18"/>
                <w:szCs w:val="18"/>
              </w:rPr>
              <w:t>95</w:t>
            </w:r>
          </w:p>
        </w:tc>
        <w:tc>
          <w:tcPr>
            <w:tcW w:w="1022" w:type="dxa"/>
            <w:vAlign w:val="bottom"/>
          </w:tcPr>
          <w:p w14:paraId="16C88343" w14:textId="449D3E9B" w:rsidR="00980409" w:rsidRPr="00692926" w:rsidRDefault="00980409" w:rsidP="00980409">
            <w:pPr>
              <w:jc w:val="right"/>
            </w:pPr>
            <w:r w:rsidRPr="00F15456">
              <w:rPr>
                <w:color w:val="000000"/>
                <w:sz w:val="18"/>
                <w:szCs w:val="18"/>
              </w:rPr>
              <w:t>-</w:t>
            </w:r>
          </w:p>
        </w:tc>
        <w:tc>
          <w:tcPr>
            <w:tcW w:w="995" w:type="dxa"/>
            <w:vAlign w:val="bottom"/>
          </w:tcPr>
          <w:p w14:paraId="256070C4" w14:textId="0919C439" w:rsidR="00980409" w:rsidRPr="00692926" w:rsidRDefault="00980409" w:rsidP="00980409">
            <w:pPr>
              <w:tabs>
                <w:tab w:val="left" w:pos="0"/>
              </w:tabs>
              <w:jc w:val="right"/>
              <w:rPr>
                <w:sz w:val="18"/>
                <w:szCs w:val="18"/>
              </w:rPr>
            </w:pPr>
            <w:r w:rsidRPr="00F15456">
              <w:rPr>
                <w:color w:val="000000"/>
                <w:sz w:val="18"/>
                <w:szCs w:val="18"/>
              </w:rPr>
              <w:t>14</w:t>
            </w:r>
            <w:r>
              <w:rPr>
                <w:color w:val="000000"/>
                <w:sz w:val="18"/>
                <w:szCs w:val="18"/>
              </w:rPr>
              <w:t>.</w:t>
            </w:r>
            <w:r w:rsidRPr="00F15456">
              <w:rPr>
                <w:color w:val="000000"/>
                <w:sz w:val="18"/>
                <w:szCs w:val="18"/>
              </w:rPr>
              <w:t>37</w:t>
            </w:r>
          </w:p>
        </w:tc>
      </w:tr>
      <w:tr w:rsidR="00980409" w:rsidRPr="00604C75" w14:paraId="719C449A" w14:textId="77777777" w:rsidTr="00F77D55">
        <w:tc>
          <w:tcPr>
            <w:tcW w:w="5110" w:type="dxa"/>
            <w:vAlign w:val="bottom"/>
          </w:tcPr>
          <w:p w14:paraId="569CBB30" w14:textId="4F33BAB3" w:rsidR="00980409" w:rsidRPr="00604C75" w:rsidRDefault="006E08D1" w:rsidP="00980409">
            <w:pPr>
              <w:tabs>
                <w:tab w:val="left" w:pos="0"/>
              </w:tabs>
              <w:rPr>
                <w:snapToGrid w:val="0"/>
                <w:sz w:val="18"/>
                <w:szCs w:val="18"/>
              </w:rPr>
            </w:pPr>
            <w:r>
              <w:rPr>
                <w:snapToGrid w:val="0"/>
                <w:sz w:val="18"/>
                <w:szCs w:val="18"/>
              </w:rPr>
              <w:t>Held-to-M</w:t>
            </w:r>
            <w:r w:rsidR="00980409" w:rsidRPr="00604C75">
              <w:rPr>
                <w:snapToGrid w:val="0"/>
                <w:sz w:val="18"/>
                <w:szCs w:val="18"/>
              </w:rPr>
              <w:t>aturity Investments</w:t>
            </w:r>
          </w:p>
        </w:tc>
        <w:tc>
          <w:tcPr>
            <w:tcW w:w="1119" w:type="dxa"/>
            <w:vAlign w:val="bottom"/>
          </w:tcPr>
          <w:p w14:paraId="55C60777" w14:textId="0147373B" w:rsidR="00980409" w:rsidRPr="00692926" w:rsidRDefault="00980409" w:rsidP="00980409">
            <w:pPr>
              <w:tabs>
                <w:tab w:val="left" w:pos="0"/>
              </w:tabs>
              <w:jc w:val="right"/>
              <w:rPr>
                <w:sz w:val="18"/>
                <w:szCs w:val="18"/>
              </w:rPr>
            </w:pPr>
            <w:r w:rsidRPr="00F15456">
              <w:rPr>
                <w:color w:val="000000"/>
                <w:sz w:val="18"/>
                <w:szCs w:val="18"/>
              </w:rPr>
              <w:t>-</w:t>
            </w:r>
          </w:p>
        </w:tc>
        <w:tc>
          <w:tcPr>
            <w:tcW w:w="1092" w:type="dxa"/>
            <w:vAlign w:val="bottom"/>
          </w:tcPr>
          <w:p w14:paraId="291930B5" w14:textId="4293C6DA" w:rsidR="00980409" w:rsidRPr="00692926" w:rsidRDefault="00980409" w:rsidP="00980409">
            <w:pPr>
              <w:tabs>
                <w:tab w:val="left" w:pos="0"/>
              </w:tabs>
              <w:jc w:val="right"/>
              <w:rPr>
                <w:sz w:val="18"/>
                <w:szCs w:val="18"/>
              </w:rPr>
            </w:pPr>
            <w:r w:rsidRPr="00F15456">
              <w:rPr>
                <w:color w:val="000000"/>
                <w:sz w:val="18"/>
                <w:szCs w:val="18"/>
              </w:rPr>
              <w:t>-</w:t>
            </w:r>
          </w:p>
        </w:tc>
        <w:tc>
          <w:tcPr>
            <w:tcW w:w="1022" w:type="dxa"/>
            <w:vAlign w:val="bottom"/>
          </w:tcPr>
          <w:p w14:paraId="466E4660" w14:textId="550FC779" w:rsidR="00980409" w:rsidRPr="00692926" w:rsidRDefault="00980409" w:rsidP="00980409">
            <w:pPr>
              <w:jc w:val="right"/>
            </w:pPr>
            <w:r w:rsidRPr="00F15456">
              <w:rPr>
                <w:color w:val="000000"/>
                <w:sz w:val="18"/>
                <w:szCs w:val="18"/>
              </w:rPr>
              <w:t>-</w:t>
            </w:r>
          </w:p>
        </w:tc>
        <w:tc>
          <w:tcPr>
            <w:tcW w:w="995" w:type="dxa"/>
            <w:vAlign w:val="bottom"/>
          </w:tcPr>
          <w:p w14:paraId="0F8EBAAD" w14:textId="7AB1671A" w:rsidR="00980409" w:rsidRPr="00692926" w:rsidRDefault="00980409" w:rsidP="00980409">
            <w:pPr>
              <w:tabs>
                <w:tab w:val="left" w:pos="0"/>
              </w:tabs>
              <w:jc w:val="right"/>
              <w:rPr>
                <w:sz w:val="18"/>
                <w:szCs w:val="18"/>
              </w:rPr>
            </w:pPr>
            <w:r w:rsidRPr="00F15456">
              <w:rPr>
                <w:color w:val="000000"/>
                <w:sz w:val="18"/>
                <w:szCs w:val="18"/>
              </w:rPr>
              <w:t>-</w:t>
            </w:r>
          </w:p>
        </w:tc>
      </w:tr>
      <w:tr w:rsidR="00980409" w:rsidRPr="00604C75" w14:paraId="531F36C7" w14:textId="77777777" w:rsidTr="00F77D55">
        <w:tc>
          <w:tcPr>
            <w:tcW w:w="5110" w:type="dxa"/>
            <w:vAlign w:val="bottom"/>
          </w:tcPr>
          <w:p w14:paraId="1300CC46" w14:textId="77777777" w:rsidR="00980409" w:rsidRPr="00604C75" w:rsidRDefault="00980409" w:rsidP="00980409">
            <w:pPr>
              <w:pStyle w:val="Heading9"/>
              <w:tabs>
                <w:tab w:val="left" w:pos="0"/>
              </w:tabs>
              <w:rPr>
                <w:b w:val="0"/>
                <w:szCs w:val="18"/>
              </w:rPr>
            </w:pPr>
          </w:p>
        </w:tc>
        <w:tc>
          <w:tcPr>
            <w:tcW w:w="1119" w:type="dxa"/>
            <w:vAlign w:val="bottom"/>
          </w:tcPr>
          <w:p w14:paraId="20A94484" w14:textId="02CD3EF8" w:rsidR="00980409" w:rsidRPr="00692926" w:rsidRDefault="00980409" w:rsidP="00980409">
            <w:pPr>
              <w:tabs>
                <w:tab w:val="left" w:pos="0"/>
              </w:tabs>
              <w:jc w:val="right"/>
              <w:rPr>
                <w:sz w:val="18"/>
                <w:szCs w:val="18"/>
              </w:rPr>
            </w:pPr>
          </w:p>
        </w:tc>
        <w:tc>
          <w:tcPr>
            <w:tcW w:w="1092" w:type="dxa"/>
            <w:vAlign w:val="bottom"/>
          </w:tcPr>
          <w:p w14:paraId="18B64071" w14:textId="16F56093" w:rsidR="00980409" w:rsidRPr="00692926" w:rsidRDefault="00980409" w:rsidP="00980409">
            <w:pPr>
              <w:tabs>
                <w:tab w:val="left" w:pos="0"/>
              </w:tabs>
              <w:jc w:val="right"/>
              <w:rPr>
                <w:sz w:val="18"/>
                <w:szCs w:val="18"/>
              </w:rPr>
            </w:pPr>
          </w:p>
        </w:tc>
        <w:tc>
          <w:tcPr>
            <w:tcW w:w="1022" w:type="dxa"/>
            <w:vAlign w:val="bottom"/>
          </w:tcPr>
          <w:p w14:paraId="22D2E347" w14:textId="77777777" w:rsidR="00980409" w:rsidRPr="00692926" w:rsidRDefault="00980409" w:rsidP="00980409">
            <w:pPr>
              <w:jc w:val="right"/>
            </w:pPr>
          </w:p>
        </w:tc>
        <w:tc>
          <w:tcPr>
            <w:tcW w:w="995" w:type="dxa"/>
            <w:vAlign w:val="bottom"/>
          </w:tcPr>
          <w:p w14:paraId="0F65E56D" w14:textId="5E86AEE2" w:rsidR="00980409" w:rsidRPr="00692926" w:rsidRDefault="00980409" w:rsidP="00980409">
            <w:pPr>
              <w:tabs>
                <w:tab w:val="left" w:pos="0"/>
              </w:tabs>
              <w:jc w:val="right"/>
              <w:rPr>
                <w:sz w:val="18"/>
                <w:szCs w:val="18"/>
              </w:rPr>
            </w:pPr>
          </w:p>
        </w:tc>
      </w:tr>
      <w:tr w:rsidR="00980409" w:rsidRPr="00604C75" w14:paraId="54A96D95" w14:textId="77777777" w:rsidTr="00F77D55">
        <w:tc>
          <w:tcPr>
            <w:tcW w:w="5110" w:type="dxa"/>
            <w:vAlign w:val="bottom"/>
          </w:tcPr>
          <w:p w14:paraId="6F854243" w14:textId="77777777" w:rsidR="00980409" w:rsidRPr="00604C75" w:rsidRDefault="00980409" w:rsidP="00980409">
            <w:pPr>
              <w:pStyle w:val="Heading9"/>
              <w:tabs>
                <w:tab w:val="left" w:pos="0"/>
              </w:tabs>
              <w:rPr>
                <w:rFonts w:eastAsia="Arial Unicode MS"/>
                <w:szCs w:val="18"/>
              </w:rPr>
            </w:pPr>
            <w:r w:rsidRPr="00604C75">
              <w:rPr>
                <w:szCs w:val="18"/>
              </w:rPr>
              <w:t>Liabilities</w:t>
            </w:r>
          </w:p>
        </w:tc>
        <w:tc>
          <w:tcPr>
            <w:tcW w:w="1119" w:type="dxa"/>
            <w:vAlign w:val="bottom"/>
          </w:tcPr>
          <w:p w14:paraId="664BF99A" w14:textId="77777777" w:rsidR="00980409" w:rsidRPr="00692926" w:rsidRDefault="00980409" w:rsidP="00980409">
            <w:pPr>
              <w:tabs>
                <w:tab w:val="left" w:pos="0"/>
              </w:tabs>
              <w:jc w:val="right"/>
              <w:rPr>
                <w:sz w:val="18"/>
                <w:szCs w:val="18"/>
              </w:rPr>
            </w:pPr>
          </w:p>
        </w:tc>
        <w:tc>
          <w:tcPr>
            <w:tcW w:w="1092" w:type="dxa"/>
            <w:vAlign w:val="bottom"/>
          </w:tcPr>
          <w:p w14:paraId="0BB36D21" w14:textId="77777777" w:rsidR="00980409" w:rsidRPr="00692926" w:rsidRDefault="00980409" w:rsidP="00980409">
            <w:pPr>
              <w:tabs>
                <w:tab w:val="left" w:pos="0"/>
              </w:tabs>
              <w:jc w:val="right"/>
              <w:rPr>
                <w:sz w:val="18"/>
                <w:szCs w:val="18"/>
              </w:rPr>
            </w:pPr>
          </w:p>
        </w:tc>
        <w:tc>
          <w:tcPr>
            <w:tcW w:w="1022" w:type="dxa"/>
            <w:vAlign w:val="bottom"/>
          </w:tcPr>
          <w:p w14:paraId="7D6E38D7" w14:textId="77777777" w:rsidR="00980409" w:rsidRPr="00692926" w:rsidRDefault="00980409" w:rsidP="00980409">
            <w:pPr>
              <w:jc w:val="right"/>
            </w:pPr>
          </w:p>
        </w:tc>
        <w:tc>
          <w:tcPr>
            <w:tcW w:w="995" w:type="dxa"/>
            <w:vAlign w:val="bottom"/>
          </w:tcPr>
          <w:p w14:paraId="0887969B" w14:textId="77777777" w:rsidR="00980409" w:rsidRPr="00692926" w:rsidRDefault="00980409" w:rsidP="00980409">
            <w:pPr>
              <w:tabs>
                <w:tab w:val="left" w:pos="0"/>
              </w:tabs>
              <w:jc w:val="right"/>
              <w:rPr>
                <w:sz w:val="18"/>
                <w:szCs w:val="18"/>
              </w:rPr>
            </w:pPr>
          </w:p>
        </w:tc>
      </w:tr>
      <w:tr w:rsidR="00980409" w:rsidRPr="00604C75" w14:paraId="0BC79EC3" w14:textId="77777777" w:rsidTr="00AD726D">
        <w:tc>
          <w:tcPr>
            <w:tcW w:w="5110" w:type="dxa"/>
            <w:vAlign w:val="bottom"/>
          </w:tcPr>
          <w:p w14:paraId="02DDCC97" w14:textId="77777777" w:rsidR="00980409" w:rsidRPr="00604C75" w:rsidRDefault="00980409" w:rsidP="00980409">
            <w:pPr>
              <w:tabs>
                <w:tab w:val="left" w:pos="0"/>
              </w:tabs>
              <w:rPr>
                <w:snapToGrid w:val="0"/>
                <w:sz w:val="18"/>
                <w:szCs w:val="18"/>
              </w:rPr>
            </w:pPr>
            <w:r w:rsidRPr="00604C75">
              <w:rPr>
                <w:snapToGrid w:val="0"/>
                <w:sz w:val="18"/>
                <w:szCs w:val="18"/>
              </w:rPr>
              <w:t>Bank Deposits</w:t>
            </w:r>
          </w:p>
        </w:tc>
        <w:tc>
          <w:tcPr>
            <w:tcW w:w="1119" w:type="dxa"/>
            <w:vAlign w:val="bottom"/>
          </w:tcPr>
          <w:p w14:paraId="11FE8012" w14:textId="679E2DA3" w:rsidR="00980409" w:rsidRPr="00692926" w:rsidRDefault="00980409" w:rsidP="00980409">
            <w:pPr>
              <w:tabs>
                <w:tab w:val="left" w:pos="0"/>
              </w:tabs>
              <w:jc w:val="right"/>
              <w:rPr>
                <w:sz w:val="18"/>
                <w:szCs w:val="18"/>
              </w:rPr>
            </w:pPr>
            <w:r w:rsidRPr="00F15456">
              <w:rPr>
                <w:color w:val="000000"/>
                <w:sz w:val="18"/>
                <w:szCs w:val="18"/>
              </w:rPr>
              <w:t>-</w:t>
            </w:r>
          </w:p>
        </w:tc>
        <w:tc>
          <w:tcPr>
            <w:tcW w:w="1092" w:type="dxa"/>
            <w:vAlign w:val="bottom"/>
          </w:tcPr>
          <w:p w14:paraId="6B83E364" w14:textId="3770F508" w:rsidR="00980409" w:rsidRPr="00692926" w:rsidRDefault="00980409" w:rsidP="00980409">
            <w:pPr>
              <w:tabs>
                <w:tab w:val="left" w:pos="0"/>
              </w:tabs>
              <w:jc w:val="right"/>
              <w:rPr>
                <w:sz w:val="18"/>
                <w:szCs w:val="18"/>
              </w:rPr>
            </w:pPr>
            <w:r w:rsidRPr="00F15456">
              <w:rPr>
                <w:color w:val="000000"/>
                <w:sz w:val="18"/>
                <w:szCs w:val="18"/>
              </w:rPr>
              <w:t>1</w:t>
            </w:r>
            <w:r>
              <w:rPr>
                <w:color w:val="000000"/>
                <w:sz w:val="18"/>
                <w:szCs w:val="18"/>
              </w:rPr>
              <w:t>.</w:t>
            </w:r>
            <w:r w:rsidRPr="00F15456">
              <w:rPr>
                <w:color w:val="000000"/>
                <w:sz w:val="18"/>
                <w:szCs w:val="18"/>
              </w:rPr>
              <w:t>82</w:t>
            </w:r>
          </w:p>
        </w:tc>
        <w:tc>
          <w:tcPr>
            <w:tcW w:w="1022" w:type="dxa"/>
            <w:vAlign w:val="bottom"/>
          </w:tcPr>
          <w:p w14:paraId="3DB774A8" w14:textId="3C46EDF0" w:rsidR="00980409" w:rsidRPr="00692926" w:rsidRDefault="00980409" w:rsidP="00980409">
            <w:pPr>
              <w:jc w:val="right"/>
            </w:pPr>
            <w:r w:rsidRPr="00F15456">
              <w:rPr>
                <w:color w:val="000000"/>
                <w:sz w:val="18"/>
                <w:szCs w:val="18"/>
              </w:rPr>
              <w:t>-</w:t>
            </w:r>
          </w:p>
        </w:tc>
        <w:tc>
          <w:tcPr>
            <w:tcW w:w="995" w:type="dxa"/>
            <w:vAlign w:val="bottom"/>
          </w:tcPr>
          <w:p w14:paraId="4203184A" w14:textId="3FAF523F" w:rsidR="00980409" w:rsidRPr="00692926" w:rsidRDefault="00980409" w:rsidP="00980409">
            <w:pPr>
              <w:tabs>
                <w:tab w:val="left" w:pos="0"/>
              </w:tabs>
              <w:jc w:val="right"/>
              <w:rPr>
                <w:sz w:val="18"/>
                <w:szCs w:val="18"/>
              </w:rPr>
            </w:pPr>
            <w:r w:rsidRPr="00F15456">
              <w:rPr>
                <w:color w:val="000000"/>
                <w:sz w:val="18"/>
                <w:szCs w:val="18"/>
              </w:rPr>
              <w:t>-</w:t>
            </w:r>
          </w:p>
        </w:tc>
      </w:tr>
      <w:tr w:rsidR="00980409" w:rsidRPr="00604C75" w14:paraId="2DBDFDD8" w14:textId="77777777" w:rsidTr="00AD726D">
        <w:tc>
          <w:tcPr>
            <w:tcW w:w="5110" w:type="dxa"/>
            <w:vAlign w:val="bottom"/>
          </w:tcPr>
          <w:p w14:paraId="04224415" w14:textId="77777777" w:rsidR="00980409" w:rsidRPr="00604C75" w:rsidRDefault="00980409" w:rsidP="00980409">
            <w:pPr>
              <w:tabs>
                <w:tab w:val="left" w:pos="0"/>
              </w:tabs>
              <w:rPr>
                <w:snapToGrid w:val="0"/>
                <w:sz w:val="18"/>
                <w:szCs w:val="18"/>
              </w:rPr>
            </w:pPr>
            <w:r w:rsidRPr="00604C75">
              <w:rPr>
                <w:snapToGrid w:val="0"/>
                <w:sz w:val="18"/>
                <w:szCs w:val="18"/>
              </w:rPr>
              <w:t>Other Deposits</w:t>
            </w:r>
          </w:p>
        </w:tc>
        <w:tc>
          <w:tcPr>
            <w:tcW w:w="1119" w:type="dxa"/>
            <w:vAlign w:val="bottom"/>
          </w:tcPr>
          <w:p w14:paraId="319A97AC" w14:textId="61A81BA2" w:rsidR="00980409" w:rsidRPr="00692926" w:rsidRDefault="00980409" w:rsidP="00980409">
            <w:pPr>
              <w:tabs>
                <w:tab w:val="left" w:pos="0"/>
              </w:tabs>
              <w:jc w:val="right"/>
              <w:rPr>
                <w:sz w:val="18"/>
                <w:szCs w:val="18"/>
              </w:rPr>
            </w:pPr>
            <w:r w:rsidRPr="00F15456">
              <w:rPr>
                <w:color w:val="000000"/>
                <w:sz w:val="18"/>
                <w:szCs w:val="18"/>
              </w:rPr>
              <w:t>2</w:t>
            </w:r>
            <w:r>
              <w:rPr>
                <w:color w:val="000000"/>
                <w:sz w:val="18"/>
                <w:szCs w:val="18"/>
              </w:rPr>
              <w:t>.</w:t>
            </w:r>
            <w:r w:rsidRPr="00F15456">
              <w:rPr>
                <w:color w:val="000000"/>
                <w:sz w:val="18"/>
                <w:szCs w:val="18"/>
              </w:rPr>
              <w:t>04</w:t>
            </w:r>
          </w:p>
        </w:tc>
        <w:tc>
          <w:tcPr>
            <w:tcW w:w="1092" w:type="dxa"/>
            <w:vAlign w:val="bottom"/>
          </w:tcPr>
          <w:p w14:paraId="12B96440" w14:textId="6C71FB61" w:rsidR="00980409" w:rsidRPr="00692926" w:rsidRDefault="00980409" w:rsidP="00980409">
            <w:pPr>
              <w:tabs>
                <w:tab w:val="left" w:pos="0"/>
              </w:tabs>
              <w:jc w:val="right"/>
              <w:rPr>
                <w:sz w:val="18"/>
                <w:szCs w:val="18"/>
              </w:rPr>
            </w:pPr>
            <w:r w:rsidRPr="00F15456">
              <w:rPr>
                <w:color w:val="000000"/>
                <w:sz w:val="18"/>
                <w:szCs w:val="18"/>
              </w:rPr>
              <w:t>2</w:t>
            </w:r>
            <w:r>
              <w:rPr>
                <w:color w:val="000000"/>
                <w:sz w:val="18"/>
                <w:szCs w:val="18"/>
              </w:rPr>
              <w:t>.</w:t>
            </w:r>
            <w:r w:rsidRPr="00F15456">
              <w:rPr>
                <w:color w:val="000000"/>
                <w:sz w:val="18"/>
                <w:szCs w:val="18"/>
              </w:rPr>
              <w:t>37</w:t>
            </w:r>
          </w:p>
        </w:tc>
        <w:tc>
          <w:tcPr>
            <w:tcW w:w="1022" w:type="dxa"/>
            <w:vAlign w:val="bottom"/>
          </w:tcPr>
          <w:p w14:paraId="6D4798A7" w14:textId="18227CC1" w:rsidR="00980409" w:rsidRPr="00692926" w:rsidRDefault="00980409" w:rsidP="00980409">
            <w:pPr>
              <w:jc w:val="right"/>
            </w:pPr>
            <w:r w:rsidRPr="00F15456">
              <w:rPr>
                <w:color w:val="000000"/>
                <w:sz w:val="18"/>
                <w:szCs w:val="18"/>
              </w:rPr>
              <w:t>-</w:t>
            </w:r>
          </w:p>
        </w:tc>
        <w:tc>
          <w:tcPr>
            <w:tcW w:w="995" w:type="dxa"/>
            <w:vAlign w:val="bottom"/>
          </w:tcPr>
          <w:p w14:paraId="6EB841B7" w14:textId="13AF4F34" w:rsidR="00980409" w:rsidRPr="00692926" w:rsidRDefault="00980409" w:rsidP="00980409">
            <w:pPr>
              <w:tabs>
                <w:tab w:val="left" w:pos="0"/>
              </w:tabs>
              <w:jc w:val="right"/>
              <w:rPr>
                <w:sz w:val="18"/>
                <w:szCs w:val="18"/>
              </w:rPr>
            </w:pPr>
            <w:r w:rsidRPr="00F15456">
              <w:rPr>
                <w:color w:val="000000"/>
                <w:sz w:val="18"/>
                <w:szCs w:val="18"/>
              </w:rPr>
              <w:t>10</w:t>
            </w:r>
            <w:r>
              <w:rPr>
                <w:color w:val="000000"/>
                <w:sz w:val="18"/>
                <w:szCs w:val="18"/>
              </w:rPr>
              <w:t>.</w:t>
            </w:r>
            <w:r w:rsidRPr="00F15456">
              <w:rPr>
                <w:color w:val="000000"/>
                <w:sz w:val="18"/>
                <w:szCs w:val="18"/>
              </w:rPr>
              <w:t>40</w:t>
            </w:r>
          </w:p>
        </w:tc>
      </w:tr>
      <w:tr w:rsidR="00980409" w:rsidRPr="00604C75" w14:paraId="58C2D4D6" w14:textId="77777777" w:rsidTr="00AD726D">
        <w:tc>
          <w:tcPr>
            <w:tcW w:w="5110" w:type="dxa"/>
            <w:vAlign w:val="bottom"/>
          </w:tcPr>
          <w:p w14:paraId="6CC024C1" w14:textId="77777777" w:rsidR="00980409" w:rsidRPr="00604C75" w:rsidRDefault="00980409" w:rsidP="00980409">
            <w:pPr>
              <w:tabs>
                <w:tab w:val="left" w:pos="0"/>
              </w:tabs>
              <w:rPr>
                <w:snapToGrid w:val="0"/>
                <w:sz w:val="18"/>
                <w:szCs w:val="18"/>
              </w:rPr>
            </w:pPr>
            <w:r w:rsidRPr="00604C75">
              <w:rPr>
                <w:snapToGrid w:val="0"/>
                <w:sz w:val="18"/>
                <w:szCs w:val="18"/>
              </w:rPr>
              <w:t>Money Market Funds</w:t>
            </w:r>
          </w:p>
        </w:tc>
        <w:tc>
          <w:tcPr>
            <w:tcW w:w="1119" w:type="dxa"/>
            <w:vAlign w:val="bottom"/>
          </w:tcPr>
          <w:p w14:paraId="224EDF6D" w14:textId="4F893133" w:rsidR="00980409" w:rsidRPr="00692926" w:rsidRDefault="00980409" w:rsidP="00980409">
            <w:pPr>
              <w:tabs>
                <w:tab w:val="left" w:pos="0"/>
              </w:tabs>
              <w:jc w:val="right"/>
              <w:rPr>
                <w:sz w:val="18"/>
                <w:szCs w:val="18"/>
              </w:rPr>
            </w:pPr>
            <w:r w:rsidRPr="00F15456">
              <w:rPr>
                <w:color w:val="000000"/>
                <w:sz w:val="18"/>
                <w:szCs w:val="18"/>
              </w:rPr>
              <w:t>-</w:t>
            </w:r>
          </w:p>
        </w:tc>
        <w:tc>
          <w:tcPr>
            <w:tcW w:w="1092" w:type="dxa"/>
            <w:vAlign w:val="bottom"/>
          </w:tcPr>
          <w:p w14:paraId="46DE0DDF" w14:textId="4708681D" w:rsidR="00980409" w:rsidRPr="00692926" w:rsidRDefault="00980409" w:rsidP="00980409">
            <w:pPr>
              <w:tabs>
                <w:tab w:val="left" w:pos="0"/>
              </w:tabs>
              <w:jc w:val="right"/>
              <w:rPr>
                <w:sz w:val="18"/>
                <w:szCs w:val="18"/>
              </w:rPr>
            </w:pPr>
            <w:r w:rsidRPr="00F15456">
              <w:rPr>
                <w:color w:val="000000"/>
                <w:sz w:val="18"/>
                <w:szCs w:val="18"/>
              </w:rPr>
              <w:t>0</w:t>
            </w:r>
            <w:r>
              <w:rPr>
                <w:color w:val="000000"/>
                <w:sz w:val="18"/>
                <w:szCs w:val="18"/>
              </w:rPr>
              <w:t>.</w:t>
            </w:r>
            <w:r w:rsidRPr="00F15456">
              <w:rPr>
                <w:color w:val="000000"/>
                <w:sz w:val="18"/>
                <w:szCs w:val="18"/>
              </w:rPr>
              <w:t>79</w:t>
            </w:r>
          </w:p>
        </w:tc>
        <w:tc>
          <w:tcPr>
            <w:tcW w:w="1022" w:type="dxa"/>
            <w:vAlign w:val="bottom"/>
          </w:tcPr>
          <w:p w14:paraId="4FC70378" w14:textId="10840269" w:rsidR="00980409" w:rsidRPr="00692926" w:rsidRDefault="00980409" w:rsidP="00980409">
            <w:pPr>
              <w:jc w:val="right"/>
            </w:pPr>
            <w:r w:rsidRPr="00F15456">
              <w:rPr>
                <w:color w:val="000000"/>
                <w:sz w:val="18"/>
                <w:szCs w:val="18"/>
              </w:rPr>
              <w:t>-</w:t>
            </w:r>
          </w:p>
        </w:tc>
        <w:tc>
          <w:tcPr>
            <w:tcW w:w="995" w:type="dxa"/>
            <w:vAlign w:val="bottom"/>
          </w:tcPr>
          <w:p w14:paraId="20DCFC2C" w14:textId="1B3D25F7" w:rsidR="00980409" w:rsidRPr="00692926" w:rsidRDefault="00980409" w:rsidP="00980409">
            <w:pPr>
              <w:tabs>
                <w:tab w:val="left" w:pos="0"/>
              </w:tabs>
              <w:jc w:val="right"/>
              <w:rPr>
                <w:sz w:val="18"/>
                <w:szCs w:val="18"/>
              </w:rPr>
            </w:pPr>
            <w:r w:rsidRPr="00F15456">
              <w:rPr>
                <w:color w:val="000000"/>
                <w:sz w:val="18"/>
                <w:szCs w:val="18"/>
              </w:rPr>
              <w:t>7</w:t>
            </w:r>
            <w:r>
              <w:rPr>
                <w:color w:val="000000"/>
                <w:sz w:val="18"/>
                <w:szCs w:val="18"/>
              </w:rPr>
              <w:t>.</w:t>
            </w:r>
            <w:r w:rsidRPr="00F15456">
              <w:rPr>
                <w:color w:val="000000"/>
                <w:sz w:val="18"/>
                <w:szCs w:val="18"/>
              </w:rPr>
              <w:t>45</w:t>
            </w:r>
          </w:p>
        </w:tc>
      </w:tr>
      <w:tr w:rsidR="00980409" w:rsidRPr="00604C75" w14:paraId="4A61AD5D" w14:textId="77777777" w:rsidTr="00AD726D">
        <w:tc>
          <w:tcPr>
            <w:tcW w:w="5110" w:type="dxa"/>
            <w:vAlign w:val="bottom"/>
          </w:tcPr>
          <w:p w14:paraId="456C0011" w14:textId="77777777" w:rsidR="00980409" w:rsidRPr="00604C75" w:rsidRDefault="00980409" w:rsidP="00980409">
            <w:pPr>
              <w:tabs>
                <w:tab w:val="left" w:pos="0"/>
              </w:tabs>
              <w:rPr>
                <w:snapToGrid w:val="0"/>
                <w:sz w:val="18"/>
                <w:szCs w:val="18"/>
              </w:rPr>
            </w:pPr>
            <w:r w:rsidRPr="00604C75">
              <w:rPr>
                <w:snapToGrid w:val="0"/>
                <w:sz w:val="18"/>
                <w:szCs w:val="18"/>
              </w:rPr>
              <w:t>Miscellaneous Payables</w:t>
            </w:r>
          </w:p>
        </w:tc>
        <w:tc>
          <w:tcPr>
            <w:tcW w:w="1119" w:type="dxa"/>
            <w:vAlign w:val="bottom"/>
          </w:tcPr>
          <w:p w14:paraId="5B4B5C59" w14:textId="03A09CE4" w:rsidR="00980409" w:rsidRPr="00692926" w:rsidRDefault="00980409" w:rsidP="00980409">
            <w:pPr>
              <w:tabs>
                <w:tab w:val="left" w:pos="0"/>
              </w:tabs>
              <w:jc w:val="right"/>
              <w:rPr>
                <w:sz w:val="18"/>
                <w:szCs w:val="18"/>
              </w:rPr>
            </w:pPr>
            <w:r w:rsidRPr="00F15456">
              <w:rPr>
                <w:color w:val="000000"/>
                <w:sz w:val="18"/>
                <w:szCs w:val="18"/>
              </w:rPr>
              <w:t>-</w:t>
            </w:r>
          </w:p>
        </w:tc>
        <w:tc>
          <w:tcPr>
            <w:tcW w:w="1092" w:type="dxa"/>
            <w:vAlign w:val="bottom"/>
          </w:tcPr>
          <w:p w14:paraId="7522A9CE" w14:textId="3EE3F4D2" w:rsidR="00980409" w:rsidRPr="00692926" w:rsidRDefault="00980409" w:rsidP="00980409">
            <w:pPr>
              <w:tabs>
                <w:tab w:val="left" w:pos="0"/>
              </w:tabs>
              <w:jc w:val="right"/>
              <w:rPr>
                <w:sz w:val="18"/>
                <w:szCs w:val="18"/>
              </w:rPr>
            </w:pPr>
            <w:r w:rsidRPr="00F15456">
              <w:rPr>
                <w:color w:val="000000"/>
                <w:sz w:val="18"/>
                <w:szCs w:val="18"/>
              </w:rPr>
              <w:t>-</w:t>
            </w:r>
          </w:p>
        </w:tc>
        <w:tc>
          <w:tcPr>
            <w:tcW w:w="1022" w:type="dxa"/>
            <w:vAlign w:val="bottom"/>
          </w:tcPr>
          <w:p w14:paraId="4DD93E1E" w14:textId="463124C4" w:rsidR="00980409" w:rsidRPr="00692926" w:rsidRDefault="00980409" w:rsidP="00980409">
            <w:pPr>
              <w:jc w:val="right"/>
            </w:pPr>
            <w:r w:rsidRPr="00F15456">
              <w:rPr>
                <w:color w:val="000000"/>
                <w:sz w:val="18"/>
                <w:szCs w:val="18"/>
              </w:rPr>
              <w:t>-</w:t>
            </w:r>
          </w:p>
        </w:tc>
        <w:tc>
          <w:tcPr>
            <w:tcW w:w="995" w:type="dxa"/>
            <w:vAlign w:val="bottom"/>
          </w:tcPr>
          <w:p w14:paraId="2230EF86" w14:textId="7B864D60" w:rsidR="00980409" w:rsidRPr="00692926" w:rsidRDefault="00980409" w:rsidP="00980409">
            <w:pPr>
              <w:tabs>
                <w:tab w:val="left" w:pos="0"/>
              </w:tabs>
              <w:jc w:val="right"/>
              <w:rPr>
                <w:sz w:val="18"/>
                <w:szCs w:val="18"/>
              </w:rPr>
            </w:pPr>
            <w:r w:rsidRPr="00F15456">
              <w:rPr>
                <w:color w:val="000000"/>
                <w:sz w:val="18"/>
                <w:szCs w:val="18"/>
              </w:rPr>
              <w:t>-</w:t>
            </w:r>
          </w:p>
        </w:tc>
      </w:tr>
      <w:tr w:rsidR="00980409" w:rsidRPr="00604C75" w14:paraId="0DEBD46E" w14:textId="77777777" w:rsidTr="00AD726D">
        <w:tc>
          <w:tcPr>
            <w:tcW w:w="5110" w:type="dxa"/>
            <w:vAlign w:val="bottom"/>
          </w:tcPr>
          <w:p w14:paraId="20449FC7" w14:textId="3320B324" w:rsidR="00980409" w:rsidRPr="00604C75" w:rsidRDefault="00980409" w:rsidP="00980409">
            <w:pPr>
              <w:tabs>
                <w:tab w:val="left" w:pos="0"/>
              </w:tabs>
              <w:rPr>
                <w:snapToGrid w:val="0"/>
                <w:sz w:val="18"/>
                <w:szCs w:val="18"/>
              </w:rPr>
            </w:pPr>
            <w:r w:rsidRPr="00604C75">
              <w:rPr>
                <w:snapToGrid w:val="0"/>
                <w:sz w:val="18"/>
                <w:szCs w:val="18"/>
              </w:rPr>
              <w:t>Marketable Securities Issued</w:t>
            </w:r>
          </w:p>
        </w:tc>
        <w:tc>
          <w:tcPr>
            <w:tcW w:w="1119" w:type="dxa"/>
            <w:vAlign w:val="bottom"/>
          </w:tcPr>
          <w:p w14:paraId="03B26AB7" w14:textId="1A0EC7E1" w:rsidR="00980409" w:rsidRPr="00692926" w:rsidRDefault="00980409" w:rsidP="00980409">
            <w:pPr>
              <w:tabs>
                <w:tab w:val="left" w:pos="0"/>
              </w:tabs>
              <w:jc w:val="right"/>
              <w:rPr>
                <w:sz w:val="18"/>
                <w:szCs w:val="18"/>
              </w:rPr>
            </w:pPr>
            <w:r w:rsidRPr="00F15456">
              <w:rPr>
                <w:color w:val="000000"/>
                <w:sz w:val="18"/>
                <w:szCs w:val="18"/>
              </w:rPr>
              <w:t>-</w:t>
            </w:r>
          </w:p>
        </w:tc>
        <w:tc>
          <w:tcPr>
            <w:tcW w:w="1092" w:type="dxa"/>
            <w:vAlign w:val="bottom"/>
          </w:tcPr>
          <w:p w14:paraId="6EB4A4A7" w14:textId="3775C0DA" w:rsidR="00980409" w:rsidRPr="00692926" w:rsidRDefault="00980409" w:rsidP="00980409">
            <w:pPr>
              <w:tabs>
                <w:tab w:val="left" w:pos="0"/>
              </w:tabs>
              <w:jc w:val="right"/>
              <w:rPr>
                <w:sz w:val="18"/>
                <w:szCs w:val="18"/>
              </w:rPr>
            </w:pPr>
            <w:r w:rsidRPr="00F15456">
              <w:rPr>
                <w:color w:val="000000"/>
                <w:sz w:val="18"/>
                <w:szCs w:val="18"/>
              </w:rPr>
              <w:t>3</w:t>
            </w:r>
            <w:r>
              <w:rPr>
                <w:color w:val="000000"/>
                <w:sz w:val="18"/>
                <w:szCs w:val="18"/>
              </w:rPr>
              <w:t>.</w:t>
            </w:r>
            <w:r w:rsidRPr="00F15456">
              <w:rPr>
                <w:color w:val="000000"/>
                <w:sz w:val="18"/>
                <w:szCs w:val="18"/>
              </w:rPr>
              <w:t>13</w:t>
            </w:r>
          </w:p>
        </w:tc>
        <w:tc>
          <w:tcPr>
            <w:tcW w:w="1022" w:type="dxa"/>
            <w:vAlign w:val="bottom"/>
          </w:tcPr>
          <w:p w14:paraId="231D8106" w14:textId="72D1C6BF" w:rsidR="00980409" w:rsidRPr="00692926" w:rsidRDefault="00980409" w:rsidP="00980409">
            <w:pPr>
              <w:jc w:val="right"/>
            </w:pPr>
            <w:r w:rsidRPr="00F15456">
              <w:rPr>
                <w:color w:val="000000"/>
                <w:sz w:val="18"/>
                <w:szCs w:val="18"/>
              </w:rPr>
              <w:t>-</w:t>
            </w:r>
          </w:p>
        </w:tc>
        <w:tc>
          <w:tcPr>
            <w:tcW w:w="995" w:type="dxa"/>
            <w:vAlign w:val="bottom"/>
          </w:tcPr>
          <w:p w14:paraId="3DEB7B74" w14:textId="6420E9CF" w:rsidR="00980409" w:rsidRPr="00692926" w:rsidRDefault="00980409" w:rsidP="00980409">
            <w:pPr>
              <w:tabs>
                <w:tab w:val="left" w:pos="0"/>
              </w:tabs>
              <w:jc w:val="right"/>
              <w:rPr>
                <w:sz w:val="18"/>
                <w:szCs w:val="18"/>
              </w:rPr>
            </w:pPr>
            <w:r w:rsidRPr="00F15456">
              <w:rPr>
                <w:color w:val="000000"/>
                <w:sz w:val="18"/>
                <w:szCs w:val="18"/>
              </w:rPr>
              <w:t>9</w:t>
            </w:r>
            <w:r>
              <w:rPr>
                <w:color w:val="000000"/>
                <w:sz w:val="18"/>
                <w:szCs w:val="18"/>
              </w:rPr>
              <w:t>.</w:t>
            </w:r>
            <w:r w:rsidRPr="00F15456">
              <w:rPr>
                <w:color w:val="000000"/>
                <w:sz w:val="18"/>
                <w:szCs w:val="18"/>
              </w:rPr>
              <w:t>48</w:t>
            </w:r>
          </w:p>
        </w:tc>
      </w:tr>
      <w:tr w:rsidR="00980409" w:rsidRPr="00604C75" w14:paraId="19E0A437" w14:textId="77777777" w:rsidTr="00AD726D">
        <w:tc>
          <w:tcPr>
            <w:tcW w:w="5110" w:type="dxa"/>
            <w:vAlign w:val="bottom"/>
          </w:tcPr>
          <w:p w14:paraId="2B4137C9" w14:textId="77777777" w:rsidR="00980409" w:rsidRPr="00604C75" w:rsidRDefault="00980409" w:rsidP="00980409">
            <w:pPr>
              <w:tabs>
                <w:tab w:val="left" w:pos="0"/>
              </w:tabs>
              <w:rPr>
                <w:snapToGrid w:val="0"/>
                <w:sz w:val="18"/>
                <w:szCs w:val="18"/>
              </w:rPr>
            </w:pPr>
            <w:r w:rsidRPr="00604C75">
              <w:rPr>
                <w:snapToGrid w:val="0"/>
                <w:sz w:val="18"/>
                <w:szCs w:val="18"/>
              </w:rPr>
              <w:t>Funds Borrowed From Other Financial Institutions</w:t>
            </w:r>
          </w:p>
        </w:tc>
        <w:tc>
          <w:tcPr>
            <w:tcW w:w="1119" w:type="dxa"/>
            <w:vAlign w:val="bottom"/>
          </w:tcPr>
          <w:p w14:paraId="0005D9DD" w14:textId="4027ABF5" w:rsidR="00980409" w:rsidRPr="00692926" w:rsidRDefault="00980409" w:rsidP="00980409">
            <w:pPr>
              <w:tabs>
                <w:tab w:val="left" w:pos="0"/>
              </w:tabs>
              <w:jc w:val="right"/>
              <w:rPr>
                <w:sz w:val="18"/>
                <w:szCs w:val="18"/>
              </w:rPr>
            </w:pPr>
            <w:r w:rsidRPr="00F15456">
              <w:rPr>
                <w:color w:val="000000"/>
                <w:sz w:val="18"/>
                <w:szCs w:val="18"/>
              </w:rPr>
              <w:t>2</w:t>
            </w:r>
            <w:r>
              <w:rPr>
                <w:color w:val="000000"/>
                <w:sz w:val="18"/>
                <w:szCs w:val="18"/>
              </w:rPr>
              <w:t>.</w:t>
            </w:r>
            <w:r w:rsidRPr="00F15456">
              <w:rPr>
                <w:color w:val="000000"/>
                <w:sz w:val="18"/>
                <w:szCs w:val="18"/>
              </w:rPr>
              <w:t>59</w:t>
            </w:r>
          </w:p>
        </w:tc>
        <w:tc>
          <w:tcPr>
            <w:tcW w:w="1092" w:type="dxa"/>
            <w:vAlign w:val="bottom"/>
          </w:tcPr>
          <w:p w14:paraId="7B839D77" w14:textId="1491078A" w:rsidR="00980409" w:rsidRPr="00692926" w:rsidRDefault="00980409" w:rsidP="00980409">
            <w:pPr>
              <w:tabs>
                <w:tab w:val="left" w:pos="0"/>
              </w:tabs>
              <w:jc w:val="right"/>
              <w:rPr>
                <w:sz w:val="18"/>
                <w:szCs w:val="18"/>
              </w:rPr>
            </w:pPr>
            <w:r w:rsidRPr="00F15456">
              <w:rPr>
                <w:color w:val="000000"/>
                <w:sz w:val="18"/>
                <w:szCs w:val="18"/>
              </w:rPr>
              <w:t>2</w:t>
            </w:r>
            <w:r>
              <w:rPr>
                <w:color w:val="000000"/>
                <w:sz w:val="18"/>
                <w:szCs w:val="18"/>
              </w:rPr>
              <w:t>.</w:t>
            </w:r>
            <w:r w:rsidRPr="00F15456">
              <w:rPr>
                <w:color w:val="000000"/>
                <w:sz w:val="18"/>
                <w:szCs w:val="18"/>
              </w:rPr>
              <w:t>87</w:t>
            </w:r>
          </w:p>
        </w:tc>
        <w:tc>
          <w:tcPr>
            <w:tcW w:w="1022" w:type="dxa"/>
            <w:vAlign w:val="bottom"/>
          </w:tcPr>
          <w:p w14:paraId="033CE88E" w14:textId="5F62C3EC" w:rsidR="00980409" w:rsidRPr="00692926" w:rsidRDefault="00980409" w:rsidP="00980409">
            <w:pPr>
              <w:jc w:val="right"/>
            </w:pPr>
            <w:r w:rsidRPr="00F15456">
              <w:rPr>
                <w:color w:val="000000"/>
                <w:sz w:val="18"/>
                <w:szCs w:val="18"/>
              </w:rPr>
              <w:t>-</w:t>
            </w:r>
          </w:p>
        </w:tc>
        <w:tc>
          <w:tcPr>
            <w:tcW w:w="995" w:type="dxa"/>
            <w:vAlign w:val="bottom"/>
          </w:tcPr>
          <w:p w14:paraId="52B23679" w14:textId="73A87D27" w:rsidR="00980409" w:rsidRPr="00692926" w:rsidRDefault="00980409" w:rsidP="00980409">
            <w:pPr>
              <w:tabs>
                <w:tab w:val="left" w:pos="0"/>
              </w:tabs>
              <w:jc w:val="right"/>
              <w:rPr>
                <w:sz w:val="18"/>
                <w:szCs w:val="18"/>
              </w:rPr>
            </w:pPr>
            <w:r w:rsidRPr="00F15456">
              <w:rPr>
                <w:color w:val="000000"/>
                <w:sz w:val="18"/>
                <w:szCs w:val="18"/>
              </w:rPr>
              <w:t>6</w:t>
            </w:r>
            <w:r>
              <w:rPr>
                <w:color w:val="000000"/>
                <w:sz w:val="18"/>
                <w:szCs w:val="18"/>
              </w:rPr>
              <w:t>.</w:t>
            </w:r>
            <w:r w:rsidRPr="00F15456">
              <w:rPr>
                <w:color w:val="000000"/>
                <w:sz w:val="18"/>
                <w:szCs w:val="18"/>
              </w:rPr>
              <w:t>97</w:t>
            </w:r>
          </w:p>
        </w:tc>
      </w:tr>
    </w:tbl>
    <w:p w14:paraId="5A089DCE" w14:textId="602BC357" w:rsidR="005E33B0" w:rsidRPr="00604C75" w:rsidRDefault="00A041CD" w:rsidP="00490153">
      <w:pPr>
        <w:pStyle w:val="NormalIndent"/>
        <w:pageBreakBefore/>
        <w:spacing w:before="120"/>
        <w:ind w:left="0"/>
        <w:rPr>
          <w:b/>
        </w:rPr>
      </w:pPr>
      <w:r w:rsidRPr="00A041CD">
        <w:rPr>
          <w:b/>
        </w:rPr>
        <w:lastRenderedPageBreak/>
        <w:t>INFORMATION ON THE FINANCIAL POSITION OF THE GROUP (Continued)</w:t>
      </w:r>
    </w:p>
    <w:p w14:paraId="2BBC2534" w14:textId="77777777" w:rsidR="00024367" w:rsidRPr="00604C75" w:rsidRDefault="00024367" w:rsidP="00490153">
      <w:pPr>
        <w:pStyle w:val="Heading2"/>
        <w:tabs>
          <w:tab w:val="left" w:pos="284"/>
        </w:tabs>
        <w:rPr>
          <w:rFonts w:ascii="Times New Roman" w:hAnsi="Times New Roman"/>
          <w:sz w:val="20"/>
        </w:rPr>
      </w:pPr>
      <w:r w:rsidRPr="00604C75">
        <w:rPr>
          <w:rFonts w:ascii="Times New Roman" w:hAnsi="Times New Roman"/>
          <w:caps/>
          <w:sz w:val="20"/>
        </w:rPr>
        <w:t>V</w:t>
      </w:r>
      <w:r w:rsidR="002678A5">
        <w:rPr>
          <w:rFonts w:ascii="Times New Roman" w:hAnsi="Times New Roman"/>
          <w:caps/>
          <w:sz w:val="20"/>
        </w:rPr>
        <w:t>ı</w:t>
      </w:r>
      <w:r w:rsidRPr="00604C75">
        <w:rPr>
          <w:rFonts w:ascii="Times New Roman" w:hAnsi="Times New Roman"/>
          <w:caps/>
          <w:sz w:val="20"/>
        </w:rPr>
        <w:t>.</w:t>
      </w:r>
      <w:r w:rsidRPr="00604C75">
        <w:rPr>
          <w:rFonts w:ascii="Times New Roman" w:hAnsi="Times New Roman"/>
          <w:caps/>
          <w:sz w:val="20"/>
        </w:rPr>
        <w:tab/>
        <w:t xml:space="preserve">  </w:t>
      </w:r>
      <w:r w:rsidR="00C6153F" w:rsidRPr="00604C75">
        <w:rPr>
          <w:rFonts w:ascii="Times New Roman" w:hAnsi="Times New Roman"/>
          <w:noProof/>
          <w:sz w:val="20"/>
        </w:rPr>
        <w:t>Explanations</w:t>
      </w:r>
      <w:r w:rsidR="00C6153F" w:rsidRPr="00604C75" w:rsidDel="00C6153F">
        <w:rPr>
          <w:rFonts w:ascii="Times New Roman" w:hAnsi="Times New Roman"/>
          <w:caps/>
          <w:sz w:val="20"/>
        </w:rPr>
        <w:t xml:space="preserve"> </w:t>
      </w:r>
      <w:r w:rsidR="00C6153F" w:rsidRPr="00604C75">
        <w:rPr>
          <w:rFonts w:ascii="Times New Roman" w:hAnsi="Times New Roman"/>
          <w:sz w:val="20"/>
        </w:rPr>
        <w:t>on</w:t>
      </w:r>
      <w:r w:rsidR="00C6153F" w:rsidRPr="00604C75">
        <w:rPr>
          <w:rFonts w:ascii="Times New Roman" w:hAnsi="Times New Roman"/>
          <w:caps/>
          <w:sz w:val="20"/>
        </w:rPr>
        <w:t xml:space="preserve"> </w:t>
      </w:r>
      <w:r w:rsidR="00C6153F" w:rsidRPr="00604C75">
        <w:rPr>
          <w:rFonts w:ascii="Times New Roman" w:hAnsi="Times New Roman"/>
          <w:sz w:val="20"/>
        </w:rPr>
        <w:t>Interest Rate Risk</w:t>
      </w:r>
      <w:r w:rsidR="00C6153F" w:rsidRPr="00604C75" w:rsidDel="00C6153F">
        <w:rPr>
          <w:rFonts w:ascii="Times New Roman" w:hAnsi="Times New Roman"/>
          <w:caps/>
          <w:sz w:val="20"/>
        </w:rPr>
        <w:t xml:space="preserve"> </w:t>
      </w:r>
      <w:r w:rsidRPr="00604C75">
        <w:rPr>
          <w:sz w:val="20"/>
        </w:rPr>
        <w:t>(</w:t>
      </w:r>
      <w:r w:rsidRPr="00604C75">
        <w:rPr>
          <w:rFonts w:ascii="Times New Roman" w:hAnsi="Times New Roman"/>
          <w:sz w:val="20"/>
        </w:rPr>
        <w:t>Continued)</w:t>
      </w:r>
    </w:p>
    <w:p w14:paraId="5A4CC124" w14:textId="77777777" w:rsidR="005E33B0" w:rsidRPr="00604C75" w:rsidRDefault="00F659EC" w:rsidP="008477F3">
      <w:pPr>
        <w:pStyle w:val="BodyTextIndent"/>
        <w:numPr>
          <w:ilvl w:val="0"/>
          <w:numId w:val="20"/>
        </w:numPr>
        <w:tabs>
          <w:tab w:val="left" w:pos="142"/>
        </w:tabs>
        <w:spacing w:before="120" w:after="0"/>
        <w:ind w:left="0" w:firstLine="0"/>
        <w:jc w:val="both"/>
        <w:rPr>
          <w:b/>
          <w:sz w:val="20"/>
          <w:szCs w:val="20"/>
        </w:rPr>
      </w:pPr>
      <w:r>
        <w:rPr>
          <w:b/>
          <w:sz w:val="20"/>
          <w:szCs w:val="20"/>
        </w:rPr>
        <w:t xml:space="preserve">     </w:t>
      </w:r>
      <w:r w:rsidR="005E33B0" w:rsidRPr="00604C75">
        <w:rPr>
          <w:b/>
          <w:sz w:val="20"/>
          <w:szCs w:val="20"/>
        </w:rPr>
        <w:t xml:space="preserve">Interest rate risk </w:t>
      </w:r>
      <w:r w:rsidR="00E35411" w:rsidRPr="00604C75">
        <w:rPr>
          <w:b/>
          <w:sz w:val="20"/>
          <w:szCs w:val="20"/>
        </w:rPr>
        <w:t>arising</w:t>
      </w:r>
      <w:r w:rsidR="005E33B0" w:rsidRPr="00604C75">
        <w:rPr>
          <w:b/>
          <w:sz w:val="20"/>
          <w:szCs w:val="20"/>
        </w:rPr>
        <w:t xml:space="preserve"> from banking accounts</w:t>
      </w:r>
    </w:p>
    <w:p w14:paraId="4D9A5EEA" w14:textId="77777777" w:rsidR="005E33B0" w:rsidRPr="00604C75" w:rsidRDefault="005E33B0" w:rsidP="00024367">
      <w:pPr>
        <w:pStyle w:val="BodyTextIndent"/>
        <w:tabs>
          <w:tab w:val="left" w:pos="1276"/>
        </w:tabs>
        <w:spacing w:after="0"/>
        <w:ind w:left="0"/>
        <w:rPr>
          <w:b/>
          <w:sz w:val="20"/>
          <w:szCs w:val="20"/>
        </w:rPr>
      </w:pPr>
    </w:p>
    <w:p w14:paraId="1958B676" w14:textId="77777777" w:rsidR="00DF5C49" w:rsidRDefault="005E33B0" w:rsidP="00024367">
      <w:pPr>
        <w:pStyle w:val="BodyTextIndent"/>
        <w:tabs>
          <w:tab w:val="left" w:pos="1276"/>
        </w:tabs>
        <w:spacing w:after="0"/>
        <w:ind w:left="0"/>
        <w:jc w:val="both"/>
        <w:rPr>
          <w:sz w:val="20"/>
          <w:szCs w:val="20"/>
        </w:rPr>
      </w:pPr>
      <w:r w:rsidRPr="00604C75">
        <w:rPr>
          <w:sz w:val="20"/>
          <w:szCs w:val="20"/>
        </w:rPr>
        <w:t xml:space="preserve">Interest rate risk resulting from banking accounts are evaluated in the framework of re-pricing risk, yield curve risk, base risk and option risk and interest rate risk resulting from banking accounts being managed with the international standards and with hedging transactions and limits the risk reduction. </w:t>
      </w:r>
    </w:p>
    <w:p w14:paraId="28A8AB24" w14:textId="77777777" w:rsidR="00DF5C49" w:rsidRDefault="00DF5C49" w:rsidP="00024367">
      <w:pPr>
        <w:pStyle w:val="BodyTextIndent"/>
        <w:tabs>
          <w:tab w:val="left" w:pos="1276"/>
        </w:tabs>
        <w:spacing w:after="0"/>
        <w:ind w:left="0"/>
        <w:jc w:val="both"/>
        <w:rPr>
          <w:sz w:val="20"/>
          <w:szCs w:val="20"/>
        </w:rPr>
      </w:pPr>
    </w:p>
    <w:p w14:paraId="3C9E274D" w14:textId="06CEE0C0" w:rsidR="005E33B0" w:rsidRPr="00604C75" w:rsidRDefault="005E33B0" w:rsidP="00024367">
      <w:pPr>
        <w:pStyle w:val="BodyTextIndent"/>
        <w:tabs>
          <w:tab w:val="left" w:pos="1276"/>
        </w:tabs>
        <w:spacing w:after="0"/>
        <w:ind w:left="0"/>
        <w:jc w:val="both"/>
        <w:rPr>
          <w:sz w:val="20"/>
          <w:szCs w:val="20"/>
        </w:rPr>
      </w:pPr>
      <w:r w:rsidRPr="00604C75">
        <w:rPr>
          <w:sz w:val="20"/>
          <w:szCs w:val="20"/>
        </w:rPr>
        <w:t>The sensi</w:t>
      </w:r>
      <w:r w:rsidR="00E35411" w:rsidRPr="00604C75">
        <w:rPr>
          <w:sz w:val="20"/>
          <w:szCs w:val="20"/>
        </w:rPr>
        <w:t>tivi</w:t>
      </w:r>
      <w:r w:rsidRPr="00604C75">
        <w:rPr>
          <w:sz w:val="20"/>
          <w:szCs w:val="20"/>
        </w:rPr>
        <w:t>ty of assets, liabilities and off-balance sheet items are evaluated in the Assets-Liabilities committee meetings with the developments in the market.</w:t>
      </w:r>
      <w:r w:rsidR="00DF5C49">
        <w:rPr>
          <w:sz w:val="20"/>
          <w:szCs w:val="20"/>
        </w:rPr>
        <w:t xml:space="preserve"> </w:t>
      </w:r>
      <w:r w:rsidRPr="00604C75">
        <w:rPr>
          <w:sz w:val="20"/>
          <w:szCs w:val="20"/>
        </w:rPr>
        <w:t xml:space="preserve">Interest rate risk assessment process arising from banking accounts will be included interest rate position that determined as banking account by the Bank. Besides this process has been created and conducted in </w:t>
      </w:r>
      <w:r w:rsidR="004B6E5C">
        <w:rPr>
          <w:sz w:val="20"/>
          <w:szCs w:val="20"/>
        </w:rPr>
        <w:t>r</w:t>
      </w:r>
      <w:r w:rsidRPr="00604C75">
        <w:rPr>
          <w:sz w:val="20"/>
          <w:szCs w:val="20"/>
        </w:rPr>
        <w:t>eference to related re-pricing and maturity data.</w:t>
      </w:r>
    </w:p>
    <w:p w14:paraId="1A568D51" w14:textId="77777777" w:rsidR="005E33B0" w:rsidRPr="00604C75" w:rsidRDefault="005E33B0" w:rsidP="00024367">
      <w:pPr>
        <w:pStyle w:val="BodyTextIndent"/>
        <w:tabs>
          <w:tab w:val="left" w:pos="1276"/>
        </w:tabs>
        <w:spacing w:after="0"/>
        <w:ind w:left="0"/>
        <w:jc w:val="both"/>
        <w:rPr>
          <w:sz w:val="20"/>
          <w:szCs w:val="20"/>
        </w:rPr>
      </w:pPr>
    </w:p>
    <w:p w14:paraId="057815D3" w14:textId="77777777" w:rsidR="005E33B0" w:rsidRPr="00604C75" w:rsidRDefault="005E33B0" w:rsidP="00024367">
      <w:pPr>
        <w:jc w:val="both"/>
        <w:rPr>
          <w:sz w:val="20"/>
          <w:szCs w:val="20"/>
        </w:rPr>
      </w:pPr>
      <w:r w:rsidRPr="00604C75">
        <w:rPr>
          <w:sz w:val="20"/>
          <w:szCs w:val="20"/>
        </w:rPr>
        <w:t>Due to the maturity mismatch in the balance sheet, monitoring interest rate risk exposure within the scope of duration gap, maturity gap and sensitivity analysis are used. Duration gap, maturity gap and sensitivity analysis are calculated on a two week periods to the Assets-Liabilities Committee.</w:t>
      </w:r>
    </w:p>
    <w:p w14:paraId="6AE9F85F" w14:textId="77777777" w:rsidR="005E33B0" w:rsidRPr="00604C75" w:rsidRDefault="005E33B0" w:rsidP="00024367">
      <w:pPr>
        <w:jc w:val="both"/>
        <w:rPr>
          <w:sz w:val="20"/>
          <w:szCs w:val="20"/>
        </w:rPr>
      </w:pPr>
    </w:p>
    <w:p w14:paraId="2CEA419C" w14:textId="77777777" w:rsidR="005E33B0" w:rsidRPr="00604C75" w:rsidRDefault="005E33B0" w:rsidP="00024367">
      <w:pPr>
        <w:jc w:val="both"/>
        <w:rPr>
          <w:sz w:val="20"/>
          <w:szCs w:val="20"/>
        </w:rPr>
      </w:pPr>
      <w:r w:rsidRPr="00604C75">
        <w:rPr>
          <w:sz w:val="20"/>
          <w:szCs w:val="20"/>
        </w:rPr>
        <w:t>In the analysis, the fair values are calculated from interest sensitive assets and liabilities at fixed interest rates through cash flow, in the variable interest rates based on the re-pricing term market interest rates, using yield curves. The term</w:t>
      </w:r>
      <w:r w:rsidR="00E87AAA" w:rsidRPr="00604C75">
        <w:rPr>
          <w:sz w:val="20"/>
          <w:szCs w:val="20"/>
        </w:rPr>
        <w:t>s</w:t>
      </w:r>
      <w:r w:rsidRPr="00604C75">
        <w:rPr>
          <w:sz w:val="20"/>
          <w:szCs w:val="20"/>
        </w:rPr>
        <w:t xml:space="preserve"> </w:t>
      </w:r>
      <w:r w:rsidR="00F87352" w:rsidRPr="00604C75">
        <w:rPr>
          <w:sz w:val="20"/>
          <w:szCs w:val="20"/>
        </w:rPr>
        <w:t>of the</w:t>
      </w:r>
      <w:r w:rsidR="00CF3987" w:rsidRPr="00604C75">
        <w:rPr>
          <w:sz w:val="20"/>
          <w:szCs w:val="20"/>
        </w:rPr>
        <w:t xml:space="preserve"> demand</w:t>
      </w:r>
      <w:r w:rsidR="00F87352" w:rsidRPr="00604C75">
        <w:rPr>
          <w:sz w:val="20"/>
          <w:szCs w:val="20"/>
        </w:rPr>
        <w:t xml:space="preserve"> </w:t>
      </w:r>
      <w:r w:rsidR="00CF3987" w:rsidRPr="00604C75">
        <w:rPr>
          <w:sz w:val="20"/>
          <w:szCs w:val="20"/>
        </w:rPr>
        <w:t xml:space="preserve">products </w:t>
      </w:r>
      <w:r w:rsidR="0036417E" w:rsidRPr="00604C75">
        <w:rPr>
          <w:sz w:val="20"/>
          <w:szCs w:val="20"/>
        </w:rPr>
        <w:t>is settled on basing of</w:t>
      </w:r>
      <w:r w:rsidRPr="00604C75">
        <w:rPr>
          <w:sz w:val="20"/>
          <w:szCs w:val="20"/>
        </w:rPr>
        <w:t xml:space="preserve"> the frequency of interest rate</w:t>
      </w:r>
      <w:r w:rsidR="00CF3987" w:rsidRPr="00604C75">
        <w:rPr>
          <w:sz w:val="20"/>
          <w:szCs w:val="20"/>
        </w:rPr>
        <w:t xml:space="preserve"> determination</w:t>
      </w:r>
      <w:r w:rsidRPr="00604C75">
        <w:rPr>
          <w:sz w:val="20"/>
          <w:szCs w:val="20"/>
        </w:rPr>
        <w:t xml:space="preserve"> </w:t>
      </w:r>
      <w:r w:rsidR="00CF3987" w:rsidRPr="00604C75">
        <w:rPr>
          <w:sz w:val="20"/>
          <w:szCs w:val="20"/>
        </w:rPr>
        <w:t xml:space="preserve">and customer behavior. </w:t>
      </w:r>
      <w:r w:rsidRPr="00604C75">
        <w:rPr>
          <w:sz w:val="20"/>
          <w:szCs w:val="20"/>
        </w:rPr>
        <w:t>These results ar</w:t>
      </w:r>
      <w:r w:rsidR="0036417E" w:rsidRPr="00604C75">
        <w:rPr>
          <w:sz w:val="20"/>
          <w:szCs w:val="20"/>
        </w:rPr>
        <w:t>e supported</w:t>
      </w:r>
      <w:r w:rsidRPr="00604C75">
        <w:rPr>
          <w:sz w:val="20"/>
          <w:szCs w:val="20"/>
        </w:rPr>
        <w:t xml:space="preserve"> periodically </w:t>
      </w:r>
      <w:r w:rsidR="0036417E" w:rsidRPr="00604C75">
        <w:rPr>
          <w:sz w:val="20"/>
          <w:szCs w:val="20"/>
        </w:rPr>
        <w:t xml:space="preserve">by the sensitivity and scenario analysis performed to assess the effect of the </w:t>
      </w:r>
      <w:r w:rsidR="003546F7" w:rsidRPr="00604C75">
        <w:rPr>
          <w:sz w:val="20"/>
          <w:szCs w:val="20"/>
        </w:rPr>
        <w:t>market fluctuations may occur</w:t>
      </w:r>
      <w:r w:rsidRPr="00604C75">
        <w:rPr>
          <w:sz w:val="20"/>
          <w:szCs w:val="20"/>
        </w:rPr>
        <w:t>.</w:t>
      </w:r>
    </w:p>
    <w:p w14:paraId="31E3C322" w14:textId="77777777" w:rsidR="005E33B0" w:rsidRPr="00604C75" w:rsidRDefault="005E33B0" w:rsidP="00024367">
      <w:pPr>
        <w:jc w:val="both"/>
        <w:rPr>
          <w:sz w:val="20"/>
          <w:szCs w:val="20"/>
        </w:rPr>
      </w:pPr>
    </w:p>
    <w:p w14:paraId="09C1B171" w14:textId="1E9BC6E0" w:rsidR="005E33B0" w:rsidRPr="00604C75" w:rsidRDefault="005E33B0" w:rsidP="00024367">
      <w:pPr>
        <w:jc w:val="both"/>
        <w:rPr>
          <w:sz w:val="20"/>
          <w:szCs w:val="20"/>
        </w:rPr>
      </w:pPr>
      <w:r w:rsidRPr="00604C75">
        <w:rPr>
          <w:sz w:val="20"/>
          <w:szCs w:val="20"/>
        </w:rPr>
        <w:t>Interes</w:t>
      </w:r>
      <w:r w:rsidR="004B6E5C">
        <w:rPr>
          <w:sz w:val="20"/>
          <w:szCs w:val="20"/>
        </w:rPr>
        <w:t xml:space="preserve">t rate risk resulting from the </w:t>
      </w:r>
      <w:r w:rsidR="00DF5C49">
        <w:rPr>
          <w:sz w:val="20"/>
          <w:szCs w:val="20"/>
        </w:rPr>
        <w:t>b</w:t>
      </w:r>
      <w:r w:rsidRPr="00604C75">
        <w:rPr>
          <w:sz w:val="20"/>
          <w:szCs w:val="20"/>
        </w:rPr>
        <w:t>anking accounts is measured in accordance with "Regulation No. 28034 on Measurement and Evaluation of Interest Rate Risk resulting from Banking Accounts with Standard Shock Method", dated 23 August 2011 and legal limits based on these measurements are monitored and reported on a monthly basis.</w:t>
      </w:r>
    </w:p>
    <w:p w14:paraId="66C0F778" w14:textId="77777777" w:rsidR="005E33B0" w:rsidRPr="00604C75" w:rsidRDefault="005E33B0" w:rsidP="00024367">
      <w:pPr>
        <w:jc w:val="both"/>
        <w:rPr>
          <w:sz w:val="20"/>
          <w:szCs w:val="20"/>
        </w:rPr>
      </w:pPr>
    </w:p>
    <w:p w14:paraId="13E29202" w14:textId="77777777" w:rsidR="005E33B0" w:rsidRPr="00604C75" w:rsidRDefault="00004EA2" w:rsidP="00024367">
      <w:pPr>
        <w:jc w:val="both"/>
        <w:rPr>
          <w:sz w:val="20"/>
          <w:szCs w:val="20"/>
        </w:rPr>
      </w:pPr>
      <w:r w:rsidRPr="00604C75">
        <w:rPr>
          <w:rStyle w:val="hps"/>
          <w:sz w:val="20"/>
        </w:rPr>
        <w:t xml:space="preserve">Interest rate risk </w:t>
      </w:r>
      <w:r w:rsidR="005E33B0" w:rsidRPr="00604C75">
        <w:rPr>
          <w:rStyle w:val="hps"/>
          <w:sz w:val="20"/>
        </w:rPr>
        <w:t>related to</w:t>
      </w:r>
      <w:r w:rsidR="005E33B0" w:rsidRPr="00604C75">
        <w:rPr>
          <w:sz w:val="20"/>
          <w:szCs w:val="20"/>
        </w:rPr>
        <w:t xml:space="preserve"> </w:t>
      </w:r>
      <w:r w:rsidR="005E33B0" w:rsidRPr="00604C75">
        <w:rPr>
          <w:rStyle w:val="hps"/>
          <w:sz w:val="20"/>
        </w:rPr>
        <w:t>interest-sensitive</w:t>
      </w:r>
      <w:r w:rsidR="005E33B0" w:rsidRPr="00604C75">
        <w:rPr>
          <w:sz w:val="20"/>
          <w:szCs w:val="20"/>
        </w:rPr>
        <w:t xml:space="preserve"> </w:t>
      </w:r>
      <w:r w:rsidR="005E33B0" w:rsidRPr="00604C75">
        <w:rPr>
          <w:rStyle w:val="hps"/>
          <w:sz w:val="20"/>
        </w:rPr>
        <w:t>financial instruments</w:t>
      </w:r>
      <w:r w:rsidR="005E33B0" w:rsidRPr="00604C75">
        <w:rPr>
          <w:sz w:val="20"/>
          <w:szCs w:val="20"/>
        </w:rPr>
        <w:t xml:space="preserve"> </w:t>
      </w:r>
      <w:r w:rsidRPr="00604C75">
        <w:rPr>
          <w:sz w:val="20"/>
          <w:szCs w:val="20"/>
        </w:rPr>
        <w:t xml:space="preserve">classified in trading portfolio is assessed </w:t>
      </w:r>
      <w:r w:rsidR="005E33B0" w:rsidRPr="00604C75">
        <w:rPr>
          <w:rStyle w:val="hps"/>
          <w:sz w:val="20"/>
        </w:rPr>
        <w:t>within the scope of</w:t>
      </w:r>
      <w:r w:rsidR="005E33B0" w:rsidRPr="00604C75">
        <w:rPr>
          <w:sz w:val="20"/>
          <w:szCs w:val="20"/>
        </w:rPr>
        <w:t xml:space="preserve"> </w:t>
      </w:r>
      <w:r w:rsidR="005E33B0" w:rsidRPr="00604C75">
        <w:rPr>
          <w:rStyle w:val="hps"/>
          <w:sz w:val="20"/>
        </w:rPr>
        <w:t>the</w:t>
      </w:r>
      <w:r w:rsidR="005E33B0" w:rsidRPr="00604C75">
        <w:rPr>
          <w:sz w:val="20"/>
          <w:szCs w:val="20"/>
        </w:rPr>
        <w:t xml:space="preserve"> </w:t>
      </w:r>
      <w:r w:rsidR="005E33B0" w:rsidRPr="00604C75">
        <w:rPr>
          <w:rStyle w:val="hps"/>
          <w:sz w:val="20"/>
        </w:rPr>
        <w:t>market risk</w:t>
      </w:r>
      <w:r w:rsidR="005E33B0" w:rsidRPr="00604C75">
        <w:rPr>
          <w:sz w:val="20"/>
          <w:szCs w:val="20"/>
        </w:rPr>
        <w:t>.</w:t>
      </w:r>
    </w:p>
    <w:p w14:paraId="76082147" w14:textId="77777777" w:rsidR="005E33B0" w:rsidRPr="00604C75" w:rsidRDefault="005E33B0" w:rsidP="00024367">
      <w:pPr>
        <w:jc w:val="both"/>
        <w:rPr>
          <w:sz w:val="20"/>
          <w:szCs w:val="20"/>
        </w:rPr>
      </w:pPr>
    </w:p>
    <w:p w14:paraId="30F196BB" w14:textId="4F278205" w:rsidR="005E33B0" w:rsidRPr="00604C75" w:rsidRDefault="005E33B0" w:rsidP="00024367">
      <w:pPr>
        <w:jc w:val="both"/>
        <w:rPr>
          <w:rStyle w:val="hps"/>
          <w:sz w:val="20"/>
        </w:rPr>
      </w:pPr>
      <w:r w:rsidRPr="00604C75">
        <w:rPr>
          <w:rStyle w:val="hps"/>
          <w:sz w:val="20"/>
        </w:rPr>
        <w:t xml:space="preserve">Branches and </w:t>
      </w:r>
      <w:r w:rsidR="004B6E5C">
        <w:rPr>
          <w:rStyle w:val="hps"/>
          <w:sz w:val="20"/>
        </w:rPr>
        <w:t>line of</w:t>
      </w:r>
      <w:r w:rsidR="00E35411" w:rsidRPr="00604C75">
        <w:rPr>
          <w:rStyle w:val="hps"/>
          <w:sz w:val="20"/>
        </w:rPr>
        <w:t xml:space="preserve"> businesses</w:t>
      </w:r>
      <w:r w:rsidRPr="00604C75">
        <w:rPr>
          <w:rStyle w:val="hps"/>
          <w:sz w:val="20"/>
        </w:rPr>
        <w:t>, being free from the market risk, the management of market risk depends on Fund Management Group Asset and Liability Management Department (ALM) is transferred by transfer pricing system and market risk management are realized by this section centrically. ALM, in the market risk management; uses balance sheet (long-term debt) and off-balance sheet (derivatives) instruments.</w:t>
      </w:r>
    </w:p>
    <w:p w14:paraId="3F305A2D" w14:textId="77777777" w:rsidR="005E33B0" w:rsidRPr="00604C75" w:rsidRDefault="005E33B0" w:rsidP="00024367">
      <w:pPr>
        <w:pStyle w:val="BodyTextIndent"/>
        <w:tabs>
          <w:tab w:val="left" w:pos="1276"/>
        </w:tabs>
        <w:spacing w:after="0"/>
        <w:ind w:left="0"/>
        <w:rPr>
          <w:b/>
          <w:sz w:val="20"/>
          <w:szCs w:val="20"/>
        </w:rPr>
      </w:pPr>
    </w:p>
    <w:tbl>
      <w:tblPr>
        <w:tblW w:w="935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404"/>
        <w:gridCol w:w="1511"/>
        <w:gridCol w:w="1106"/>
        <w:gridCol w:w="1330"/>
      </w:tblGrid>
      <w:tr w:rsidR="00817887" w:rsidRPr="00604C75" w14:paraId="7935579C" w14:textId="77777777" w:rsidTr="00AD726D">
        <w:trPr>
          <w:trHeight w:val="225"/>
        </w:trPr>
        <w:tc>
          <w:tcPr>
            <w:tcW w:w="5404" w:type="dxa"/>
            <w:vAlign w:val="bottom"/>
          </w:tcPr>
          <w:p w14:paraId="3D004CCF" w14:textId="77777777" w:rsidR="00817887" w:rsidRPr="00604C75" w:rsidRDefault="002678A5" w:rsidP="002678A5">
            <w:pPr>
              <w:jc w:val="both"/>
              <w:rPr>
                <w:b/>
                <w:sz w:val="18"/>
                <w:szCs w:val="18"/>
              </w:rPr>
            </w:pPr>
            <w:r>
              <w:rPr>
                <w:b/>
                <w:sz w:val="18"/>
                <w:szCs w:val="18"/>
              </w:rPr>
              <w:t>31</w:t>
            </w:r>
            <w:r w:rsidR="00F51CB2">
              <w:rPr>
                <w:b/>
                <w:sz w:val="18"/>
                <w:szCs w:val="18"/>
              </w:rPr>
              <w:t xml:space="preserve"> </w:t>
            </w:r>
            <w:r>
              <w:rPr>
                <w:b/>
                <w:sz w:val="18"/>
                <w:szCs w:val="18"/>
              </w:rPr>
              <w:t>December</w:t>
            </w:r>
            <w:r w:rsidR="00024367" w:rsidRPr="00604C75">
              <w:rPr>
                <w:b/>
                <w:sz w:val="18"/>
                <w:szCs w:val="18"/>
              </w:rPr>
              <w:t xml:space="preserve"> 2015</w:t>
            </w:r>
          </w:p>
        </w:tc>
        <w:tc>
          <w:tcPr>
            <w:tcW w:w="1511" w:type="dxa"/>
            <w:vAlign w:val="bottom"/>
          </w:tcPr>
          <w:p w14:paraId="4F8F8095" w14:textId="77777777" w:rsidR="00817887" w:rsidRPr="00604C75" w:rsidRDefault="00817887" w:rsidP="00024367">
            <w:pPr>
              <w:ind w:right="16"/>
              <w:jc w:val="right"/>
              <w:rPr>
                <w:rFonts w:eastAsia="Arial Unicode MS"/>
                <w:b/>
                <w:sz w:val="18"/>
                <w:szCs w:val="18"/>
              </w:rPr>
            </w:pPr>
            <w:r w:rsidRPr="00604C75">
              <w:rPr>
                <w:rFonts w:eastAsia="Arial Unicode MS"/>
                <w:b/>
                <w:sz w:val="18"/>
                <w:szCs w:val="18"/>
              </w:rPr>
              <w:t xml:space="preserve">Applied Shock </w:t>
            </w:r>
          </w:p>
          <w:p w14:paraId="4F44B6BC" w14:textId="77777777" w:rsidR="00817887" w:rsidRPr="00604C75" w:rsidRDefault="00817887" w:rsidP="00024367">
            <w:pPr>
              <w:ind w:right="16"/>
              <w:jc w:val="right"/>
              <w:rPr>
                <w:rFonts w:eastAsia="Arial Unicode MS"/>
                <w:b/>
                <w:sz w:val="18"/>
                <w:szCs w:val="18"/>
              </w:rPr>
            </w:pPr>
            <w:r w:rsidRPr="00604C75">
              <w:rPr>
                <w:rFonts w:eastAsia="Arial Unicode MS"/>
                <w:b/>
                <w:sz w:val="18"/>
                <w:szCs w:val="18"/>
              </w:rPr>
              <w:t>(+/- x basis point)</w:t>
            </w:r>
          </w:p>
        </w:tc>
        <w:tc>
          <w:tcPr>
            <w:tcW w:w="1106" w:type="dxa"/>
            <w:vAlign w:val="bottom"/>
          </w:tcPr>
          <w:p w14:paraId="1A2325A3" w14:textId="64162BF2" w:rsidR="00817887" w:rsidRPr="00604C75" w:rsidRDefault="004B6E5C" w:rsidP="00024367">
            <w:pPr>
              <w:ind w:right="46"/>
              <w:jc w:val="right"/>
              <w:rPr>
                <w:rFonts w:eastAsia="Arial Unicode MS"/>
                <w:b/>
                <w:sz w:val="18"/>
                <w:szCs w:val="18"/>
              </w:rPr>
            </w:pPr>
            <w:r>
              <w:rPr>
                <w:rFonts w:eastAsia="Arial Unicode MS"/>
                <w:b/>
                <w:sz w:val="18"/>
                <w:szCs w:val="18"/>
              </w:rPr>
              <w:t>Gains</w:t>
            </w:r>
            <w:r w:rsidR="00817887" w:rsidRPr="00604C75">
              <w:rPr>
                <w:rFonts w:eastAsia="Arial Unicode MS"/>
                <w:b/>
                <w:sz w:val="18"/>
                <w:szCs w:val="18"/>
              </w:rPr>
              <w:t>/</w:t>
            </w:r>
          </w:p>
          <w:p w14:paraId="5167A1CD" w14:textId="77777777" w:rsidR="00817887" w:rsidRPr="00604C75" w:rsidRDefault="00817887" w:rsidP="00024367">
            <w:pPr>
              <w:ind w:right="46"/>
              <w:jc w:val="right"/>
              <w:rPr>
                <w:rFonts w:eastAsia="Arial Unicode MS"/>
                <w:b/>
                <w:sz w:val="18"/>
                <w:szCs w:val="18"/>
              </w:rPr>
            </w:pPr>
            <w:r w:rsidRPr="00604C75">
              <w:rPr>
                <w:rFonts w:eastAsia="Arial Unicode MS"/>
                <w:b/>
                <w:sz w:val="18"/>
                <w:szCs w:val="18"/>
              </w:rPr>
              <w:t>Losses</w:t>
            </w:r>
          </w:p>
        </w:tc>
        <w:tc>
          <w:tcPr>
            <w:tcW w:w="1330" w:type="dxa"/>
            <w:vAlign w:val="bottom"/>
          </w:tcPr>
          <w:p w14:paraId="0FB7092C" w14:textId="77777777" w:rsidR="00817887" w:rsidRPr="00604C75" w:rsidRDefault="00817887" w:rsidP="00024367">
            <w:pPr>
              <w:ind w:right="40"/>
              <w:jc w:val="right"/>
              <w:rPr>
                <w:rFonts w:eastAsia="Arial Unicode MS"/>
                <w:b/>
                <w:sz w:val="18"/>
                <w:szCs w:val="18"/>
              </w:rPr>
            </w:pPr>
            <w:r w:rsidRPr="00604C75">
              <w:rPr>
                <w:rFonts w:eastAsia="Arial Unicode MS"/>
                <w:b/>
                <w:sz w:val="18"/>
                <w:szCs w:val="18"/>
              </w:rPr>
              <w:t>Gains/</w:t>
            </w:r>
          </w:p>
          <w:p w14:paraId="7BE78C56" w14:textId="77777777" w:rsidR="00817887" w:rsidRPr="00604C75" w:rsidRDefault="00817887" w:rsidP="00024367">
            <w:pPr>
              <w:ind w:right="40"/>
              <w:jc w:val="right"/>
              <w:rPr>
                <w:rFonts w:eastAsia="Arial Unicode MS"/>
                <w:b/>
                <w:sz w:val="18"/>
                <w:szCs w:val="18"/>
              </w:rPr>
            </w:pPr>
            <w:r w:rsidRPr="00604C75">
              <w:rPr>
                <w:rFonts w:eastAsia="Arial Unicode MS"/>
                <w:b/>
                <w:sz w:val="18"/>
                <w:szCs w:val="18"/>
              </w:rPr>
              <w:t>Equity-Losses/</w:t>
            </w:r>
          </w:p>
          <w:p w14:paraId="7CFFB7A6" w14:textId="77777777" w:rsidR="00817887" w:rsidRPr="00604C75" w:rsidRDefault="00817887" w:rsidP="00024367">
            <w:pPr>
              <w:ind w:right="40"/>
              <w:jc w:val="right"/>
              <w:rPr>
                <w:rFonts w:eastAsia="Arial Unicode MS"/>
                <w:b/>
                <w:sz w:val="18"/>
                <w:szCs w:val="18"/>
              </w:rPr>
            </w:pPr>
            <w:r w:rsidRPr="00604C75">
              <w:rPr>
                <w:rFonts w:eastAsia="Arial Unicode MS"/>
                <w:b/>
                <w:sz w:val="18"/>
                <w:szCs w:val="18"/>
              </w:rPr>
              <w:t>Equity</w:t>
            </w:r>
          </w:p>
        </w:tc>
      </w:tr>
      <w:tr w:rsidR="005E33B0" w:rsidRPr="00604C75" w14:paraId="4C78B4CB" w14:textId="77777777" w:rsidTr="00AD726D">
        <w:trPr>
          <w:trHeight w:val="225"/>
        </w:trPr>
        <w:tc>
          <w:tcPr>
            <w:tcW w:w="5404" w:type="dxa"/>
            <w:vAlign w:val="center"/>
          </w:tcPr>
          <w:p w14:paraId="0E6EE2B4" w14:textId="77777777" w:rsidR="005E33B0" w:rsidRPr="00604C75" w:rsidRDefault="005E33B0" w:rsidP="00024367">
            <w:pPr>
              <w:jc w:val="both"/>
              <w:rPr>
                <w:snapToGrid w:val="0"/>
                <w:sz w:val="18"/>
                <w:szCs w:val="18"/>
              </w:rPr>
            </w:pPr>
            <w:r w:rsidRPr="00604C75">
              <w:rPr>
                <w:snapToGrid w:val="0"/>
                <w:sz w:val="18"/>
                <w:szCs w:val="18"/>
              </w:rPr>
              <w:t>Currency</w:t>
            </w:r>
          </w:p>
        </w:tc>
        <w:tc>
          <w:tcPr>
            <w:tcW w:w="1511" w:type="dxa"/>
            <w:vAlign w:val="bottom"/>
          </w:tcPr>
          <w:p w14:paraId="4EFBBD93" w14:textId="77777777" w:rsidR="005E33B0" w:rsidRPr="00604C75" w:rsidRDefault="005E33B0" w:rsidP="00024367">
            <w:pPr>
              <w:ind w:right="44"/>
              <w:jc w:val="right"/>
              <w:rPr>
                <w:sz w:val="18"/>
                <w:szCs w:val="18"/>
              </w:rPr>
            </w:pPr>
          </w:p>
        </w:tc>
        <w:tc>
          <w:tcPr>
            <w:tcW w:w="1106" w:type="dxa"/>
            <w:vAlign w:val="bottom"/>
          </w:tcPr>
          <w:p w14:paraId="2AA4945C" w14:textId="77777777" w:rsidR="005E33B0" w:rsidRPr="00604C75" w:rsidRDefault="005E33B0" w:rsidP="00024367">
            <w:pPr>
              <w:ind w:right="46"/>
              <w:jc w:val="right"/>
              <w:rPr>
                <w:sz w:val="18"/>
                <w:szCs w:val="18"/>
              </w:rPr>
            </w:pPr>
          </w:p>
        </w:tc>
        <w:tc>
          <w:tcPr>
            <w:tcW w:w="1330" w:type="dxa"/>
            <w:vAlign w:val="bottom"/>
          </w:tcPr>
          <w:p w14:paraId="06DC4CBD" w14:textId="77777777" w:rsidR="005E33B0" w:rsidRPr="00604C75" w:rsidRDefault="005E33B0" w:rsidP="00024367">
            <w:pPr>
              <w:ind w:right="40"/>
              <w:jc w:val="right"/>
              <w:rPr>
                <w:sz w:val="18"/>
                <w:szCs w:val="18"/>
              </w:rPr>
            </w:pPr>
          </w:p>
        </w:tc>
      </w:tr>
      <w:tr w:rsidR="00980409" w:rsidRPr="00604C75" w14:paraId="425CD71C" w14:textId="77777777" w:rsidTr="009653DE">
        <w:trPr>
          <w:trHeight w:val="225"/>
        </w:trPr>
        <w:tc>
          <w:tcPr>
            <w:tcW w:w="5404" w:type="dxa"/>
            <w:vAlign w:val="center"/>
          </w:tcPr>
          <w:p w14:paraId="4DBCAA2F" w14:textId="77777777" w:rsidR="00980409" w:rsidRPr="00604C75" w:rsidRDefault="00980409" w:rsidP="00980409">
            <w:pPr>
              <w:jc w:val="both"/>
              <w:rPr>
                <w:snapToGrid w:val="0"/>
                <w:sz w:val="18"/>
                <w:szCs w:val="18"/>
              </w:rPr>
            </w:pPr>
            <w:r w:rsidRPr="00604C75">
              <w:rPr>
                <w:snapToGrid w:val="0"/>
                <w:sz w:val="18"/>
                <w:szCs w:val="18"/>
              </w:rPr>
              <w:t>1. TL</w:t>
            </w:r>
          </w:p>
        </w:tc>
        <w:tc>
          <w:tcPr>
            <w:tcW w:w="1511" w:type="dxa"/>
            <w:vAlign w:val="bottom"/>
          </w:tcPr>
          <w:p w14:paraId="59D9B021" w14:textId="3F171D53" w:rsidR="00980409" w:rsidRPr="00692926" w:rsidRDefault="00980409" w:rsidP="00980409">
            <w:pPr>
              <w:tabs>
                <w:tab w:val="left" w:pos="0"/>
              </w:tabs>
              <w:jc w:val="right"/>
              <w:rPr>
                <w:sz w:val="18"/>
                <w:szCs w:val="18"/>
              </w:rPr>
            </w:pPr>
            <w:r w:rsidRPr="00692926">
              <w:rPr>
                <w:sz w:val="18"/>
                <w:szCs w:val="18"/>
              </w:rPr>
              <w:t>(+)500bps</w:t>
            </w:r>
          </w:p>
        </w:tc>
        <w:tc>
          <w:tcPr>
            <w:tcW w:w="1106" w:type="dxa"/>
            <w:vAlign w:val="center"/>
          </w:tcPr>
          <w:p w14:paraId="0F46C0C7" w14:textId="6E1B0AB9" w:rsidR="00980409" w:rsidRPr="00B4062D" w:rsidRDefault="00980409" w:rsidP="00980409">
            <w:pPr>
              <w:tabs>
                <w:tab w:val="left" w:pos="0"/>
              </w:tabs>
              <w:jc w:val="right"/>
              <w:rPr>
                <w:sz w:val="18"/>
                <w:szCs w:val="18"/>
              </w:rPr>
            </w:pPr>
            <w:r>
              <w:rPr>
                <w:sz w:val="18"/>
                <w:szCs w:val="18"/>
              </w:rPr>
              <w:t>(</w:t>
            </w:r>
            <w:r w:rsidRPr="00B4062D">
              <w:rPr>
                <w:sz w:val="18"/>
                <w:szCs w:val="18"/>
              </w:rPr>
              <w:t>89,877</w:t>
            </w:r>
            <w:r>
              <w:rPr>
                <w:sz w:val="18"/>
                <w:szCs w:val="18"/>
              </w:rPr>
              <w:t>)</w:t>
            </w:r>
          </w:p>
        </w:tc>
        <w:tc>
          <w:tcPr>
            <w:tcW w:w="1330" w:type="dxa"/>
            <w:vAlign w:val="center"/>
          </w:tcPr>
          <w:p w14:paraId="285E3D27" w14:textId="21802485" w:rsidR="00980409" w:rsidRPr="00B4062D" w:rsidRDefault="00980409" w:rsidP="00980409">
            <w:pPr>
              <w:tabs>
                <w:tab w:val="left" w:pos="0"/>
              </w:tabs>
              <w:jc w:val="right"/>
              <w:rPr>
                <w:sz w:val="18"/>
                <w:szCs w:val="18"/>
              </w:rPr>
            </w:pPr>
            <w:r>
              <w:rPr>
                <w:sz w:val="18"/>
                <w:szCs w:val="18"/>
              </w:rPr>
              <w:t>(</w:t>
            </w:r>
            <w:r w:rsidRPr="00B4062D">
              <w:rPr>
                <w:sz w:val="18"/>
                <w:szCs w:val="18"/>
              </w:rPr>
              <w:t>5.29</w:t>
            </w:r>
            <w:r w:rsidR="00FD0C7A">
              <w:rPr>
                <w:sz w:val="18"/>
                <w:szCs w:val="18"/>
              </w:rPr>
              <w:t>%</w:t>
            </w:r>
            <w:r>
              <w:rPr>
                <w:sz w:val="18"/>
                <w:szCs w:val="18"/>
              </w:rPr>
              <w:t>)</w:t>
            </w:r>
          </w:p>
        </w:tc>
      </w:tr>
      <w:tr w:rsidR="00980409" w:rsidRPr="00604C75" w14:paraId="1505009D" w14:textId="77777777" w:rsidTr="009653DE">
        <w:trPr>
          <w:trHeight w:val="225"/>
        </w:trPr>
        <w:tc>
          <w:tcPr>
            <w:tcW w:w="5404" w:type="dxa"/>
            <w:vAlign w:val="center"/>
          </w:tcPr>
          <w:p w14:paraId="7EB5341F" w14:textId="77777777" w:rsidR="00980409" w:rsidRPr="00604C75" w:rsidRDefault="00980409" w:rsidP="00980409">
            <w:pPr>
              <w:jc w:val="both"/>
              <w:rPr>
                <w:snapToGrid w:val="0"/>
                <w:sz w:val="18"/>
                <w:szCs w:val="18"/>
              </w:rPr>
            </w:pPr>
            <w:r w:rsidRPr="00604C75">
              <w:rPr>
                <w:snapToGrid w:val="0"/>
                <w:sz w:val="18"/>
                <w:szCs w:val="18"/>
              </w:rPr>
              <w:t>2. TL</w:t>
            </w:r>
          </w:p>
        </w:tc>
        <w:tc>
          <w:tcPr>
            <w:tcW w:w="1511" w:type="dxa"/>
            <w:vAlign w:val="bottom"/>
          </w:tcPr>
          <w:p w14:paraId="089D7922" w14:textId="6FC6084F" w:rsidR="00980409" w:rsidRPr="00692926" w:rsidRDefault="00980409" w:rsidP="00980409">
            <w:pPr>
              <w:tabs>
                <w:tab w:val="left" w:pos="0"/>
              </w:tabs>
              <w:jc w:val="right"/>
              <w:rPr>
                <w:sz w:val="18"/>
                <w:szCs w:val="18"/>
              </w:rPr>
            </w:pPr>
            <w:r w:rsidRPr="00692926">
              <w:rPr>
                <w:sz w:val="18"/>
                <w:szCs w:val="18"/>
              </w:rPr>
              <w:t>(-)400bps</w:t>
            </w:r>
          </w:p>
        </w:tc>
        <w:tc>
          <w:tcPr>
            <w:tcW w:w="1106" w:type="dxa"/>
            <w:vAlign w:val="center"/>
          </w:tcPr>
          <w:p w14:paraId="1C3CC82C" w14:textId="0EE7F1EA" w:rsidR="00980409" w:rsidRPr="00B4062D" w:rsidRDefault="00980409" w:rsidP="00980409">
            <w:pPr>
              <w:tabs>
                <w:tab w:val="left" w:pos="0"/>
              </w:tabs>
              <w:jc w:val="right"/>
              <w:rPr>
                <w:sz w:val="18"/>
                <w:szCs w:val="18"/>
              </w:rPr>
            </w:pPr>
            <w:r w:rsidRPr="00B4062D">
              <w:rPr>
                <w:sz w:val="18"/>
                <w:szCs w:val="18"/>
              </w:rPr>
              <w:t>83,776</w:t>
            </w:r>
          </w:p>
        </w:tc>
        <w:tc>
          <w:tcPr>
            <w:tcW w:w="1330" w:type="dxa"/>
            <w:vAlign w:val="center"/>
          </w:tcPr>
          <w:p w14:paraId="62D80A03" w14:textId="14A88110" w:rsidR="00980409" w:rsidRPr="00B4062D" w:rsidRDefault="00980409" w:rsidP="00980409">
            <w:pPr>
              <w:tabs>
                <w:tab w:val="left" w:pos="0"/>
              </w:tabs>
              <w:jc w:val="right"/>
              <w:rPr>
                <w:sz w:val="18"/>
                <w:szCs w:val="18"/>
              </w:rPr>
            </w:pPr>
            <w:r w:rsidRPr="00B4062D">
              <w:rPr>
                <w:sz w:val="18"/>
                <w:szCs w:val="18"/>
              </w:rPr>
              <w:t>4.93</w:t>
            </w:r>
            <w:r w:rsidR="00FD0C7A">
              <w:rPr>
                <w:sz w:val="18"/>
                <w:szCs w:val="18"/>
              </w:rPr>
              <w:t>%</w:t>
            </w:r>
          </w:p>
        </w:tc>
      </w:tr>
      <w:tr w:rsidR="00980409" w:rsidRPr="00604C75" w14:paraId="72B40726" w14:textId="77777777" w:rsidTr="009653DE">
        <w:trPr>
          <w:trHeight w:val="225"/>
        </w:trPr>
        <w:tc>
          <w:tcPr>
            <w:tcW w:w="5404" w:type="dxa"/>
            <w:vAlign w:val="center"/>
          </w:tcPr>
          <w:p w14:paraId="7BF5539C" w14:textId="77777777" w:rsidR="00980409" w:rsidRPr="00604C75" w:rsidRDefault="00980409" w:rsidP="00980409">
            <w:pPr>
              <w:jc w:val="both"/>
              <w:rPr>
                <w:snapToGrid w:val="0"/>
                <w:sz w:val="18"/>
                <w:szCs w:val="18"/>
              </w:rPr>
            </w:pPr>
            <w:r>
              <w:rPr>
                <w:snapToGrid w:val="0"/>
                <w:sz w:val="18"/>
                <w:szCs w:val="18"/>
              </w:rPr>
              <w:t xml:space="preserve">3. </w:t>
            </w:r>
            <w:proofErr w:type="spellStart"/>
            <w:r>
              <w:rPr>
                <w:snapToGrid w:val="0"/>
                <w:sz w:val="18"/>
                <w:szCs w:val="18"/>
              </w:rPr>
              <w:t>Usd</w:t>
            </w:r>
            <w:proofErr w:type="spellEnd"/>
          </w:p>
        </w:tc>
        <w:tc>
          <w:tcPr>
            <w:tcW w:w="1511" w:type="dxa"/>
            <w:vAlign w:val="bottom"/>
          </w:tcPr>
          <w:p w14:paraId="0D9579F1" w14:textId="728CF838" w:rsidR="00980409" w:rsidRPr="00692926" w:rsidRDefault="00980409" w:rsidP="00980409">
            <w:pPr>
              <w:tabs>
                <w:tab w:val="left" w:pos="0"/>
              </w:tabs>
              <w:jc w:val="right"/>
              <w:rPr>
                <w:sz w:val="18"/>
                <w:szCs w:val="18"/>
              </w:rPr>
            </w:pPr>
            <w:r w:rsidRPr="00692926">
              <w:rPr>
                <w:sz w:val="18"/>
                <w:szCs w:val="18"/>
              </w:rPr>
              <w:t>(+)200bps</w:t>
            </w:r>
          </w:p>
        </w:tc>
        <w:tc>
          <w:tcPr>
            <w:tcW w:w="1106" w:type="dxa"/>
            <w:vAlign w:val="center"/>
          </w:tcPr>
          <w:p w14:paraId="3A73C62D" w14:textId="26F9817A" w:rsidR="00980409" w:rsidRPr="00B4062D" w:rsidRDefault="00980409" w:rsidP="00980409">
            <w:pPr>
              <w:tabs>
                <w:tab w:val="left" w:pos="0"/>
              </w:tabs>
              <w:jc w:val="right"/>
              <w:rPr>
                <w:sz w:val="18"/>
                <w:szCs w:val="18"/>
              </w:rPr>
            </w:pPr>
            <w:r>
              <w:rPr>
                <w:sz w:val="18"/>
                <w:szCs w:val="18"/>
              </w:rPr>
              <w:t>(</w:t>
            </w:r>
            <w:r w:rsidRPr="00B4062D">
              <w:rPr>
                <w:sz w:val="18"/>
                <w:szCs w:val="18"/>
              </w:rPr>
              <w:t>24,403</w:t>
            </w:r>
            <w:r>
              <w:rPr>
                <w:sz w:val="18"/>
                <w:szCs w:val="18"/>
              </w:rPr>
              <w:t>)</w:t>
            </w:r>
          </w:p>
        </w:tc>
        <w:tc>
          <w:tcPr>
            <w:tcW w:w="1330" w:type="dxa"/>
            <w:vAlign w:val="center"/>
          </w:tcPr>
          <w:p w14:paraId="06868BF6" w14:textId="65F573D3" w:rsidR="00980409" w:rsidRPr="00B4062D" w:rsidRDefault="00980409" w:rsidP="00980409">
            <w:pPr>
              <w:tabs>
                <w:tab w:val="left" w:pos="0"/>
              </w:tabs>
              <w:jc w:val="right"/>
              <w:rPr>
                <w:sz w:val="18"/>
                <w:szCs w:val="18"/>
              </w:rPr>
            </w:pPr>
            <w:r>
              <w:rPr>
                <w:sz w:val="18"/>
                <w:szCs w:val="18"/>
              </w:rPr>
              <w:t>(</w:t>
            </w:r>
            <w:r w:rsidRPr="00B4062D">
              <w:rPr>
                <w:sz w:val="18"/>
                <w:szCs w:val="18"/>
              </w:rPr>
              <w:t>1.44</w:t>
            </w:r>
            <w:r w:rsidR="00FD0C7A">
              <w:rPr>
                <w:sz w:val="18"/>
                <w:szCs w:val="18"/>
              </w:rPr>
              <w:t>%</w:t>
            </w:r>
            <w:r>
              <w:rPr>
                <w:sz w:val="18"/>
                <w:szCs w:val="18"/>
              </w:rPr>
              <w:t>)</w:t>
            </w:r>
          </w:p>
        </w:tc>
      </w:tr>
      <w:tr w:rsidR="00980409" w:rsidRPr="00604C75" w14:paraId="0D09F947" w14:textId="77777777" w:rsidTr="009653DE">
        <w:trPr>
          <w:trHeight w:val="225"/>
        </w:trPr>
        <w:tc>
          <w:tcPr>
            <w:tcW w:w="5404" w:type="dxa"/>
            <w:vAlign w:val="center"/>
          </w:tcPr>
          <w:p w14:paraId="7F833224" w14:textId="77777777" w:rsidR="00980409" w:rsidRPr="00604C75" w:rsidRDefault="00980409" w:rsidP="00980409">
            <w:pPr>
              <w:jc w:val="both"/>
              <w:rPr>
                <w:i/>
                <w:snapToGrid w:val="0"/>
                <w:sz w:val="18"/>
                <w:szCs w:val="18"/>
              </w:rPr>
            </w:pPr>
            <w:r>
              <w:rPr>
                <w:snapToGrid w:val="0"/>
                <w:sz w:val="18"/>
                <w:szCs w:val="18"/>
              </w:rPr>
              <w:t xml:space="preserve">4. </w:t>
            </w:r>
            <w:proofErr w:type="spellStart"/>
            <w:r>
              <w:rPr>
                <w:snapToGrid w:val="0"/>
                <w:sz w:val="18"/>
                <w:szCs w:val="18"/>
              </w:rPr>
              <w:t>Usd</w:t>
            </w:r>
            <w:proofErr w:type="spellEnd"/>
          </w:p>
        </w:tc>
        <w:tc>
          <w:tcPr>
            <w:tcW w:w="1511" w:type="dxa"/>
            <w:vAlign w:val="bottom"/>
          </w:tcPr>
          <w:p w14:paraId="67277A4C" w14:textId="42D3538C" w:rsidR="00980409" w:rsidRPr="00692926" w:rsidRDefault="00980409" w:rsidP="00980409">
            <w:pPr>
              <w:tabs>
                <w:tab w:val="left" w:pos="0"/>
              </w:tabs>
              <w:jc w:val="right"/>
              <w:rPr>
                <w:sz w:val="18"/>
                <w:szCs w:val="18"/>
              </w:rPr>
            </w:pPr>
            <w:r w:rsidRPr="00692926">
              <w:rPr>
                <w:sz w:val="18"/>
                <w:szCs w:val="18"/>
              </w:rPr>
              <w:t>(-)200bps</w:t>
            </w:r>
          </w:p>
        </w:tc>
        <w:tc>
          <w:tcPr>
            <w:tcW w:w="1106" w:type="dxa"/>
            <w:vAlign w:val="center"/>
          </w:tcPr>
          <w:p w14:paraId="708BB31D" w14:textId="665BE558" w:rsidR="00980409" w:rsidRPr="00B4062D" w:rsidRDefault="00980409" w:rsidP="00980409">
            <w:pPr>
              <w:tabs>
                <w:tab w:val="left" w:pos="0"/>
              </w:tabs>
              <w:jc w:val="right"/>
              <w:rPr>
                <w:sz w:val="18"/>
                <w:szCs w:val="18"/>
              </w:rPr>
            </w:pPr>
            <w:r w:rsidRPr="00B4062D">
              <w:rPr>
                <w:sz w:val="18"/>
                <w:szCs w:val="18"/>
              </w:rPr>
              <w:t>19,839</w:t>
            </w:r>
          </w:p>
        </w:tc>
        <w:tc>
          <w:tcPr>
            <w:tcW w:w="1330" w:type="dxa"/>
            <w:vAlign w:val="center"/>
          </w:tcPr>
          <w:p w14:paraId="3A6342E4" w14:textId="4E13BAE3" w:rsidR="00980409" w:rsidRPr="00B4062D" w:rsidRDefault="00980409" w:rsidP="00980409">
            <w:pPr>
              <w:tabs>
                <w:tab w:val="left" w:pos="0"/>
              </w:tabs>
              <w:jc w:val="right"/>
              <w:rPr>
                <w:sz w:val="18"/>
                <w:szCs w:val="18"/>
              </w:rPr>
            </w:pPr>
            <w:r w:rsidRPr="00B4062D">
              <w:rPr>
                <w:sz w:val="18"/>
                <w:szCs w:val="18"/>
              </w:rPr>
              <w:t>1.17</w:t>
            </w:r>
            <w:r w:rsidR="00FD0C7A">
              <w:rPr>
                <w:sz w:val="18"/>
                <w:szCs w:val="18"/>
              </w:rPr>
              <w:t>%</w:t>
            </w:r>
          </w:p>
        </w:tc>
      </w:tr>
      <w:tr w:rsidR="00980409" w:rsidRPr="00604C75" w14:paraId="6D197C0C" w14:textId="77777777" w:rsidTr="009653DE">
        <w:trPr>
          <w:trHeight w:val="225"/>
        </w:trPr>
        <w:tc>
          <w:tcPr>
            <w:tcW w:w="5404" w:type="dxa"/>
            <w:vAlign w:val="center"/>
          </w:tcPr>
          <w:p w14:paraId="52ACC11B" w14:textId="77777777" w:rsidR="00980409" w:rsidRPr="00604C75" w:rsidRDefault="00980409" w:rsidP="00980409">
            <w:pPr>
              <w:rPr>
                <w:snapToGrid w:val="0"/>
                <w:sz w:val="18"/>
                <w:szCs w:val="18"/>
              </w:rPr>
            </w:pPr>
            <w:r>
              <w:rPr>
                <w:snapToGrid w:val="0"/>
                <w:sz w:val="18"/>
                <w:szCs w:val="18"/>
              </w:rPr>
              <w:t>5. Euro</w:t>
            </w:r>
          </w:p>
        </w:tc>
        <w:tc>
          <w:tcPr>
            <w:tcW w:w="1511" w:type="dxa"/>
            <w:vAlign w:val="bottom"/>
          </w:tcPr>
          <w:p w14:paraId="4878F802" w14:textId="15F85035" w:rsidR="00980409" w:rsidRPr="00692926" w:rsidRDefault="00980409" w:rsidP="00980409">
            <w:pPr>
              <w:tabs>
                <w:tab w:val="left" w:pos="0"/>
              </w:tabs>
              <w:jc w:val="right"/>
              <w:rPr>
                <w:sz w:val="18"/>
                <w:szCs w:val="18"/>
              </w:rPr>
            </w:pPr>
            <w:r w:rsidRPr="00692926">
              <w:rPr>
                <w:sz w:val="18"/>
                <w:szCs w:val="18"/>
              </w:rPr>
              <w:t>(+)200bps</w:t>
            </w:r>
          </w:p>
        </w:tc>
        <w:tc>
          <w:tcPr>
            <w:tcW w:w="1106" w:type="dxa"/>
            <w:vAlign w:val="center"/>
          </w:tcPr>
          <w:p w14:paraId="63CF3E57" w14:textId="47E71A7F" w:rsidR="00980409" w:rsidRPr="00B4062D" w:rsidRDefault="00980409" w:rsidP="00980409">
            <w:pPr>
              <w:tabs>
                <w:tab w:val="left" w:pos="0"/>
              </w:tabs>
              <w:jc w:val="right"/>
              <w:rPr>
                <w:sz w:val="18"/>
                <w:szCs w:val="18"/>
              </w:rPr>
            </w:pPr>
            <w:r w:rsidRPr="00B4062D">
              <w:rPr>
                <w:sz w:val="18"/>
                <w:szCs w:val="18"/>
              </w:rPr>
              <w:t>23,165</w:t>
            </w:r>
          </w:p>
        </w:tc>
        <w:tc>
          <w:tcPr>
            <w:tcW w:w="1330" w:type="dxa"/>
            <w:vAlign w:val="center"/>
          </w:tcPr>
          <w:p w14:paraId="209772BD" w14:textId="62F78E1C" w:rsidR="00980409" w:rsidRPr="00B4062D" w:rsidRDefault="00980409" w:rsidP="00FD0C7A">
            <w:pPr>
              <w:tabs>
                <w:tab w:val="left" w:pos="0"/>
              </w:tabs>
              <w:jc w:val="right"/>
              <w:rPr>
                <w:sz w:val="18"/>
                <w:szCs w:val="18"/>
              </w:rPr>
            </w:pPr>
            <w:r w:rsidRPr="00B4062D">
              <w:rPr>
                <w:sz w:val="18"/>
                <w:szCs w:val="18"/>
              </w:rPr>
              <w:t>1.36</w:t>
            </w:r>
            <w:r w:rsidR="00FD0C7A">
              <w:rPr>
                <w:sz w:val="18"/>
                <w:szCs w:val="18"/>
              </w:rPr>
              <w:t>%</w:t>
            </w:r>
          </w:p>
        </w:tc>
      </w:tr>
      <w:tr w:rsidR="00980409" w:rsidRPr="00604C75" w14:paraId="21DC57D0" w14:textId="77777777" w:rsidTr="009653DE">
        <w:trPr>
          <w:trHeight w:val="225"/>
        </w:trPr>
        <w:tc>
          <w:tcPr>
            <w:tcW w:w="5404" w:type="dxa"/>
            <w:vAlign w:val="center"/>
          </w:tcPr>
          <w:p w14:paraId="05B8CBD4" w14:textId="77777777" w:rsidR="00980409" w:rsidRPr="00604C75" w:rsidRDefault="00980409" w:rsidP="00980409">
            <w:pPr>
              <w:jc w:val="both"/>
              <w:rPr>
                <w:snapToGrid w:val="0"/>
                <w:sz w:val="18"/>
                <w:szCs w:val="18"/>
              </w:rPr>
            </w:pPr>
            <w:r>
              <w:rPr>
                <w:snapToGrid w:val="0"/>
                <w:sz w:val="18"/>
                <w:szCs w:val="18"/>
              </w:rPr>
              <w:t>6. Euro</w:t>
            </w:r>
          </w:p>
        </w:tc>
        <w:tc>
          <w:tcPr>
            <w:tcW w:w="1511" w:type="dxa"/>
            <w:vAlign w:val="bottom"/>
          </w:tcPr>
          <w:p w14:paraId="1D70340C" w14:textId="6DA72294" w:rsidR="00980409" w:rsidRPr="00692926" w:rsidRDefault="00980409" w:rsidP="00980409">
            <w:pPr>
              <w:tabs>
                <w:tab w:val="left" w:pos="0"/>
              </w:tabs>
              <w:jc w:val="right"/>
              <w:rPr>
                <w:sz w:val="18"/>
                <w:szCs w:val="18"/>
              </w:rPr>
            </w:pPr>
            <w:r w:rsidRPr="00692926">
              <w:rPr>
                <w:sz w:val="18"/>
                <w:szCs w:val="18"/>
              </w:rPr>
              <w:t>(-)200bps</w:t>
            </w:r>
          </w:p>
        </w:tc>
        <w:tc>
          <w:tcPr>
            <w:tcW w:w="1106" w:type="dxa"/>
            <w:vAlign w:val="center"/>
          </w:tcPr>
          <w:p w14:paraId="74897464" w14:textId="071B27F4" w:rsidR="00980409" w:rsidRPr="00B4062D" w:rsidRDefault="00980409" w:rsidP="00980409">
            <w:pPr>
              <w:tabs>
                <w:tab w:val="left" w:pos="0"/>
              </w:tabs>
              <w:jc w:val="right"/>
              <w:rPr>
                <w:sz w:val="18"/>
                <w:szCs w:val="18"/>
              </w:rPr>
            </w:pPr>
            <w:r>
              <w:rPr>
                <w:sz w:val="18"/>
                <w:szCs w:val="18"/>
              </w:rPr>
              <w:t>(</w:t>
            </w:r>
            <w:r w:rsidRPr="00B4062D">
              <w:rPr>
                <w:sz w:val="18"/>
                <w:szCs w:val="18"/>
              </w:rPr>
              <w:t>24,107</w:t>
            </w:r>
            <w:r>
              <w:rPr>
                <w:sz w:val="18"/>
                <w:szCs w:val="18"/>
              </w:rPr>
              <w:t>)</w:t>
            </w:r>
          </w:p>
        </w:tc>
        <w:tc>
          <w:tcPr>
            <w:tcW w:w="1330" w:type="dxa"/>
            <w:vAlign w:val="center"/>
          </w:tcPr>
          <w:p w14:paraId="58431DD5" w14:textId="2F103595" w:rsidR="00980409" w:rsidRPr="00B4062D" w:rsidRDefault="00980409" w:rsidP="00980409">
            <w:pPr>
              <w:tabs>
                <w:tab w:val="left" w:pos="0"/>
              </w:tabs>
              <w:jc w:val="right"/>
              <w:rPr>
                <w:sz w:val="18"/>
                <w:szCs w:val="18"/>
              </w:rPr>
            </w:pPr>
            <w:r>
              <w:rPr>
                <w:sz w:val="18"/>
                <w:szCs w:val="18"/>
              </w:rPr>
              <w:t>(</w:t>
            </w:r>
            <w:r w:rsidRPr="00B4062D">
              <w:rPr>
                <w:sz w:val="18"/>
                <w:szCs w:val="18"/>
              </w:rPr>
              <w:t>1.42</w:t>
            </w:r>
            <w:r w:rsidR="00FD0C7A">
              <w:rPr>
                <w:sz w:val="18"/>
                <w:szCs w:val="18"/>
              </w:rPr>
              <w:t>%</w:t>
            </w:r>
            <w:r>
              <w:rPr>
                <w:sz w:val="18"/>
                <w:szCs w:val="18"/>
              </w:rPr>
              <w:t>)</w:t>
            </w:r>
          </w:p>
        </w:tc>
      </w:tr>
      <w:tr w:rsidR="00980409" w:rsidRPr="00604C75" w14:paraId="14F2F2E0" w14:textId="77777777" w:rsidTr="009653DE">
        <w:trPr>
          <w:trHeight w:val="225"/>
        </w:trPr>
        <w:tc>
          <w:tcPr>
            <w:tcW w:w="5404" w:type="dxa"/>
            <w:vAlign w:val="center"/>
          </w:tcPr>
          <w:p w14:paraId="1D217B77" w14:textId="77777777" w:rsidR="00980409" w:rsidRPr="00604C75" w:rsidRDefault="00980409" w:rsidP="00980409">
            <w:pPr>
              <w:jc w:val="both"/>
              <w:rPr>
                <w:b/>
                <w:snapToGrid w:val="0"/>
                <w:sz w:val="18"/>
                <w:szCs w:val="18"/>
              </w:rPr>
            </w:pPr>
            <w:r w:rsidRPr="00604C75">
              <w:rPr>
                <w:b/>
                <w:snapToGrid w:val="0"/>
                <w:sz w:val="18"/>
                <w:szCs w:val="18"/>
              </w:rPr>
              <w:t>Total (For Negative Shocks)</w:t>
            </w:r>
          </w:p>
        </w:tc>
        <w:tc>
          <w:tcPr>
            <w:tcW w:w="1511" w:type="dxa"/>
            <w:vAlign w:val="bottom"/>
          </w:tcPr>
          <w:p w14:paraId="288A40D9" w14:textId="77777777" w:rsidR="00980409" w:rsidRPr="00692926" w:rsidRDefault="00980409" w:rsidP="00980409">
            <w:pPr>
              <w:tabs>
                <w:tab w:val="left" w:pos="0"/>
              </w:tabs>
              <w:jc w:val="right"/>
              <w:rPr>
                <w:sz w:val="18"/>
                <w:szCs w:val="18"/>
              </w:rPr>
            </w:pPr>
          </w:p>
        </w:tc>
        <w:tc>
          <w:tcPr>
            <w:tcW w:w="1106" w:type="dxa"/>
            <w:vAlign w:val="center"/>
          </w:tcPr>
          <w:p w14:paraId="5AE69CA6" w14:textId="548FE4EC" w:rsidR="00980409" w:rsidRPr="003E5C94" w:rsidRDefault="00980409" w:rsidP="00980409">
            <w:pPr>
              <w:tabs>
                <w:tab w:val="left" w:pos="0"/>
              </w:tabs>
              <w:jc w:val="right"/>
              <w:rPr>
                <w:b/>
                <w:sz w:val="18"/>
                <w:szCs w:val="18"/>
              </w:rPr>
            </w:pPr>
            <w:r w:rsidRPr="003E5C94">
              <w:rPr>
                <w:b/>
                <w:sz w:val="18"/>
                <w:szCs w:val="18"/>
              </w:rPr>
              <w:t xml:space="preserve">79,508 </w:t>
            </w:r>
          </w:p>
        </w:tc>
        <w:tc>
          <w:tcPr>
            <w:tcW w:w="1330" w:type="dxa"/>
            <w:vAlign w:val="center"/>
          </w:tcPr>
          <w:p w14:paraId="5C1461A6" w14:textId="469A7891" w:rsidR="00980409" w:rsidRPr="003E5C94" w:rsidRDefault="00980409" w:rsidP="00980409">
            <w:pPr>
              <w:tabs>
                <w:tab w:val="left" w:pos="0"/>
              </w:tabs>
              <w:jc w:val="right"/>
              <w:rPr>
                <w:b/>
                <w:sz w:val="18"/>
                <w:szCs w:val="18"/>
              </w:rPr>
            </w:pPr>
            <w:r w:rsidRPr="003E5C94">
              <w:rPr>
                <w:b/>
                <w:sz w:val="18"/>
                <w:szCs w:val="18"/>
              </w:rPr>
              <w:t>4.68</w:t>
            </w:r>
            <w:r w:rsidR="00FD0C7A">
              <w:rPr>
                <w:b/>
                <w:sz w:val="18"/>
                <w:szCs w:val="18"/>
              </w:rPr>
              <w:t>%</w:t>
            </w:r>
            <w:r w:rsidRPr="003E5C94">
              <w:rPr>
                <w:b/>
                <w:sz w:val="18"/>
                <w:szCs w:val="18"/>
              </w:rPr>
              <w:t xml:space="preserve"> </w:t>
            </w:r>
          </w:p>
        </w:tc>
      </w:tr>
      <w:tr w:rsidR="00980409" w:rsidRPr="00604C75" w14:paraId="712B0897" w14:textId="77777777" w:rsidTr="009653DE">
        <w:trPr>
          <w:trHeight w:val="225"/>
        </w:trPr>
        <w:tc>
          <w:tcPr>
            <w:tcW w:w="5404" w:type="dxa"/>
            <w:vAlign w:val="center"/>
          </w:tcPr>
          <w:p w14:paraId="475C3F7C" w14:textId="77777777" w:rsidR="00980409" w:rsidRPr="00604C75" w:rsidRDefault="00980409" w:rsidP="00980409">
            <w:pPr>
              <w:jc w:val="both"/>
              <w:rPr>
                <w:b/>
                <w:snapToGrid w:val="0"/>
                <w:sz w:val="18"/>
                <w:szCs w:val="18"/>
              </w:rPr>
            </w:pPr>
            <w:r w:rsidRPr="00604C75">
              <w:rPr>
                <w:b/>
                <w:snapToGrid w:val="0"/>
                <w:sz w:val="18"/>
                <w:szCs w:val="18"/>
              </w:rPr>
              <w:t>Total (For Positive Shocks)</w:t>
            </w:r>
          </w:p>
        </w:tc>
        <w:tc>
          <w:tcPr>
            <w:tcW w:w="1511" w:type="dxa"/>
            <w:vAlign w:val="bottom"/>
          </w:tcPr>
          <w:p w14:paraId="38FC5628" w14:textId="77777777" w:rsidR="00980409" w:rsidRPr="00692926" w:rsidRDefault="00980409" w:rsidP="00980409">
            <w:pPr>
              <w:tabs>
                <w:tab w:val="left" w:pos="0"/>
              </w:tabs>
              <w:jc w:val="right"/>
              <w:rPr>
                <w:sz w:val="18"/>
                <w:szCs w:val="18"/>
              </w:rPr>
            </w:pPr>
          </w:p>
        </w:tc>
        <w:tc>
          <w:tcPr>
            <w:tcW w:w="1106" w:type="dxa"/>
            <w:vAlign w:val="center"/>
          </w:tcPr>
          <w:p w14:paraId="43821BC4" w14:textId="7D26931C" w:rsidR="00980409" w:rsidRPr="003E5C94" w:rsidRDefault="00980409" w:rsidP="00980409">
            <w:pPr>
              <w:tabs>
                <w:tab w:val="left" w:pos="0"/>
              </w:tabs>
              <w:jc w:val="right"/>
              <w:rPr>
                <w:b/>
                <w:sz w:val="18"/>
                <w:szCs w:val="18"/>
              </w:rPr>
            </w:pPr>
            <w:r w:rsidRPr="003E5C94">
              <w:rPr>
                <w:b/>
                <w:sz w:val="18"/>
                <w:szCs w:val="18"/>
              </w:rPr>
              <w:t>(91,115)</w:t>
            </w:r>
          </w:p>
        </w:tc>
        <w:tc>
          <w:tcPr>
            <w:tcW w:w="1330" w:type="dxa"/>
            <w:vAlign w:val="center"/>
          </w:tcPr>
          <w:p w14:paraId="717002DF" w14:textId="57B7F0B7" w:rsidR="00980409" w:rsidRPr="003E5C94" w:rsidRDefault="00FD0C7A" w:rsidP="00980409">
            <w:pPr>
              <w:tabs>
                <w:tab w:val="left" w:pos="0"/>
              </w:tabs>
              <w:jc w:val="right"/>
              <w:rPr>
                <w:b/>
                <w:sz w:val="18"/>
                <w:szCs w:val="18"/>
              </w:rPr>
            </w:pPr>
            <w:r>
              <w:rPr>
                <w:b/>
                <w:sz w:val="18"/>
                <w:szCs w:val="18"/>
              </w:rPr>
              <w:t>(</w:t>
            </w:r>
            <w:r w:rsidR="00980409">
              <w:rPr>
                <w:b/>
                <w:sz w:val="18"/>
                <w:szCs w:val="18"/>
              </w:rPr>
              <w:t>5.37</w:t>
            </w:r>
            <w:r>
              <w:rPr>
                <w:b/>
                <w:sz w:val="18"/>
                <w:szCs w:val="18"/>
              </w:rPr>
              <w:t>%</w:t>
            </w:r>
            <w:r w:rsidR="00980409" w:rsidRPr="003E5C94">
              <w:rPr>
                <w:b/>
                <w:sz w:val="18"/>
                <w:szCs w:val="18"/>
              </w:rPr>
              <w:t>)</w:t>
            </w:r>
          </w:p>
        </w:tc>
      </w:tr>
    </w:tbl>
    <w:p w14:paraId="1AF57222" w14:textId="1D0870DE" w:rsidR="0096196D" w:rsidRPr="00604C75" w:rsidRDefault="00A041CD" w:rsidP="00490153">
      <w:pPr>
        <w:pStyle w:val="NormalIndent"/>
        <w:pageBreakBefore/>
        <w:spacing w:before="120"/>
        <w:ind w:left="0"/>
        <w:rPr>
          <w:b/>
        </w:rPr>
      </w:pPr>
      <w:r w:rsidRPr="00A041CD">
        <w:rPr>
          <w:b/>
        </w:rPr>
        <w:lastRenderedPageBreak/>
        <w:t>INFORMATION ON THE FINANCIAL POSITION OF THE GROUP (Continued)</w:t>
      </w:r>
    </w:p>
    <w:p w14:paraId="03D689FC" w14:textId="77777777" w:rsidR="00110417" w:rsidRPr="00604C75" w:rsidRDefault="00110417" w:rsidP="00490153">
      <w:pPr>
        <w:pStyle w:val="Heading2"/>
        <w:tabs>
          <w:tab w:val="left" w:pos="284"/>
        </w:tabs>
        <w:rPr>
          <w:rFonts w:ascii="Times New Roman" w:hAnsi="Times New Roman"/>
          <w:sz w:val="20"/>
        </w:rPr>
      </w:pPr>
      <w:r w:rsidRPr="00604C75">
        <w:rPr>
          <w:rFonts w:ascii="Times New Roman" w:hAnsi="Times New Roman"/>
          <w:caps/>
          <w:sz w:val="20"/>
        </w:rPr>
        <w:t>V</w:t>
      </w:r>
      <w:r w:rsidR="002678A5">
        <w:rPr>
          <w:rFonts w:ascii="Times New Roman" w:hAnsi="Times New Roman"/>
          <w:caps/>
          <w:sz w:val="20"/>
        </w:rPr>
        <w:t>ı</w:t>
      </w:r>
      <w:r w:rsidRPr="00604C75">
        <w:rPr>
          <w:rFonts w:ascii="Times New Roman" w:hAnsi="Times New Roman"/>
          <w:caps/>
          <w:sz w:val="20"/>
        </w:rPr>
        <w:t>.</w:t>
      </w:r>
      <w:r w:rsidRPr="00604C75">
        <w:rPr>
          <w:rFonts w:ascii="Times New Roman" w:hAnsi="Times New Roman"/>
          <w:caps/>
          <w:sz w:val="20"/>
        </w:rPr>
        <w:tab/>
        <w:t xml:space="preserve">  </w:t>
      </w:r>
      <w:r w:rsidRPr="00604C75">
        <w:rPr>
          <w:rFonts w:ascii="Times New Roman" w:hAnsi="Times New Roman"/>
          <w:noProof/>
          <w:sz w:val="20"/>
        </w:rPr>
        <w:t>Explanations</w:t>
      </w:r>
      <w:r w:rsidRPr="00604C75" w:rsidDel="00C6153F">
        <w:rPr>
          <w:rFonts w:ascii="Times New Roman" w:hAnsi="Times New Roman"/>
          <w:caps/>
          <w:sz w:val="20"/>
        </w:rPr>
        <w:t xml:space="preserve"> </w:t>
      </w:r>
      <w:r w:rsidRPr="00604C75">
        <w:rPr>
          <w:rFonts w:ascii="Times New Roman" w:hAnsi="Times New Roman"/>
          <w:sz w:val="20"/>
        </w:rPr>
        <w:t>on</w:t>
      </w:r>
      <w:r w:rsidRPr="00604C75">
        <w:rPr>
          <w:rFonts w:ascii="Times New Roman" w:hAnsi="Times New Roman"/>
          <w:caps/>
          <w:sz w:val="20"/>
        </w:rPr>
        <w:t xml:space="preserve"> </w:t>
      </w:r>
      <w:r w:rsidRPr="00604C75">
        <w:rPr>
          <w:rFonts w:ascii="Times New Roman" w:hAnsi="Times New Roman"/>
          <w:sz w:val="20"/>
        </w:rPr>
        <w:t>Interest Rate Risk</w:t>
      </w:r>
      <w:r w:rsidRPr="00604C75" w:rsidDel="00C6153F">
        <w:rPr>
          <w:rFonts w:ascii="Times New Roman" w:hAnsi="Times New Roman"/>
          <w:caps/>
          <w:sz w:val="20"/>
        </w:rPr>
        <w:t xml:space="preserve"> </w:t>
      </w:r>
      <w:r w:rsidRPr="00604C75">
        <w:rPr>
          <w:sz w:val="20"/>
        </w:rPr>
        <w:t>(</w:t>
      </w:r>
      <w:r w:rsidRPr="00604C75">
        <w:rPr>
          <w:rFonts w:ascii="Times New Roman" w:hAnsi="Times New Roman"/>
          <w:sz w:val="20"/>
        </w:rPr>
        <w:t>Continued)</w:t>
      </w:r>
    </w:p>
    <w:p w14:paraId="15591E3D" w14:textId="77777777" w:rsidR="00E37342" w:rsidRPr="00604C75" w:rsidRDefault="00FD672C" w:rsidP="008477F3">
      <w:pPr>
        <w:pStyle w:val="BodyTextIndent"/>
        <w:numPr>
          <w:ilvl w:val="0"/>
          <w:numId w:val="46"/>
        </w:numPr>
        <w:tabs>
          <w:tab w:val="left" w:pos="406"/>
        </w:tabs>
        <w:spacing w:before="120" w:after="0"/>
        <w:ind w:left="0" w:firstLine="0"/>
        <w:jc w:val="both"/>
        <w:rPr>
          <w:b/>
          <w:sz w:val="20"/>
          <w:szCs w:val="20"/>
        </w:rPr>
      </w:pPr>
      <w:r w:rsidRPr="00604C75">
        <w:rPr>
          <w:b/>
          <w:sz w:val="20"/>
          <w:szCs w:val="20"/>
        </w:rPr>
        <w:t>Interest rate risk arisi</w:t>
      </w:r>
      <w:r w:rsidR="00E37342" w:rsidRPr="00604C75">
        <w:rPr>
          <w:b/>
          <w:sz w:val="20"/>
          <w:szCs w:val="20"/>
        </w:rPr>
        <w:t>ng from banking accounts(Continued)</w:t>
      </w:r>
    </w:p>
    <w:p w14:paraId="16E9B9E4" w14:textId="77777777" w:rsidR="00E37342" w:rsidRPr="00604C75" w:rsidRDefault="00E37342" w:rsidP="006B4B93">
      <w:pPr>
        <w:pStyle w:val="NormalIndent"/>
        <w:ind w:left="0"/>
        <w:rPr>
          <w:b/>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400"/>
        <w:gridCol w:w="1515"/>
        <w:gridCol w:w="1106"/>
        <w:gridCol w:w="1316"/>
      </w:tblGrid>
      <w:tr w:rsidR="00FD672C" w:rsidRPr="00604C75" w14:paraId="512BC57F" w14:textId="77777777" w:rsidTr="00AD726D">
        <w:trPr>
          <w:trHeight w:val="225"/>
        </w:trPr>
        <w:tc>
          <w:tcPr>
            <w:tcW w:w="5400" w:type="dxa"/>
            <w:vAlign w:val="bottom"/>
          </w:tcPr>
          <w:p w14:paraId="1F8D2E5B" w14:textId="77777777" w:rsidR="00FD672C" w:rsidRPr="00604C75" w:rsidRDefault="00697A49" w:rsidP="006B4B93">
            <w:pPr>
              <w:jc w:val="both"/>
              <w:rPr>
                <w:b/>
                <w:sz w:val="18"/>
                <w:szCs w:val="18"/>
              </w:rPr>
            </w:pPr>
            <w:r w:rsidRPr="00604C75">
              <w:rPr>
                <w:b/>
                <w:sz w:val="18"/>
                <w:szCs w:val="18"/>
              </w:rPr>
              <w:t>31 December 2014</w:t>
            </w:r>
          </w:p>
        </w:tc>
        <w:tc>
          <w:tcPr>
            <w:tcW w:w="1515" w:type="dxa"/>
            <w:vAlign w:val="bottom"/>
          </w:tcPr>
          <w:p w14:paraId="06381A53" w14:textId="77777777" w:rsidR="00FD672C" w:rsidRPr="00604C75" w:rsidRDefault="00FD672C" w:rsidP="006B4B93">
            <w:pPr>
              <w:ind w:right="16"/>
              <w:jc w:val="right"/>
              <w:rPr>
                <w:rFonts w:eastAsia="Arial Unicode MS"/>
                <w:b/>
                <w:sz w:val="18"/>
                <w:szCs w:val="18"/>
              </w:rPr>
            </w:pPr>
            <w:r w:rsidRPr="00604C75">
              <w:rPr>
                <w:rFonts w:eastAsia="Arial Unicode MS"/>
                <w:b/>
                <w:sz w:val="18"/>
                <w:szCs w:val="18"/>
              </w:rPr>
              <w:t xml:space="preserve">Applied Shock </w:t>
            </w:r>
          </w:p>
          <w:p w14:paraId="31569DA6" w14:textId="77777777" w:rsidR="00FD672C" w:rsidRPr="00604C75" w:rsidRDefault="00FD672C" w:rsidP="006B4B93">
            <w:pPr>
              <w:ind w:right="16"/>
              <w:jc w:val="right"/>
              <w:rPr>
                <w:rFonts w:eastAsia="Arial Unicode MS"/>
                <w:b/>
                <w:sz w:val="18"/>
                <w:szCs w:val="18"/>
              </w:rPr>
            </w:pPr>
            <w:r w:rsidRPr="00604C75">
              <w:rPr>
                <w:rFonts w:eastAsia="Arial Unicode MS"/>
                <w:b/>
                <w:sz w:val="18"/>
                <w:szCs w:val="18"/>
              </w:rPr>
              <w:t>(+/- x basis point)</w:t>
            </w:r>
          </w:p>
        </w:tc>
        <w:tc>
          <w:tcPr>
            <w:tcW w:w="1106" w:type="dxa"/>
            <w:vAlign w:val="bottom"/>
          </w:tcPr>
          <w:p w14:paraId="62EAA552" w14:textId="1C359280" w:rsidR="00FD672C" w:rsidRPr="00604C75" w:rsidRDefault="004B6E5C" w:rsidP="006B4B93">
            <w:pPr>
              <w:ind w:right="46"/>
              <w:jc w:val="right"/>
              <w:rPr>
                <w:rFonts w:eastAsia="Arial Unicode MS"/>
                <w:b/>
                <w:sz w:val="18"/>
                <w:szCs w:val="18"/>
              </w:rPr>
            </w:pPr>
            <w:r>
              <w:rPr>
                <w:rFonts w:eastAsia="Arial Unicode MS"/>
                <w:b/>
                <w:sz w:val="18"/>
                <w:szCs w:val="18"/>
              </w:rPr>
              <w:t>Gains</w:t>
            </w:r>
            <w:r w:rsidR="00FD672C" w:rsidRPr="00604C75">
              <w:rPr>
                <w:rFonts w:eastAsia="Arial Unicode MS"/>
                <w:b/>
                <w:sz w:val="18"/>
                <w:szCs w:val="18"/>
              </w:rPr>
              <w:t>/</w:t>
            </w:r>
          </w:p>
          <w:p w14:paraId="5ED52795" w14:textId="77777777" w:rsidR="00FD672C" w:rsidRPr="00604C75" w:rsidRDefault="00FD672C" w:rsidP="006B4B93">
            <w:pPr>
              <w:ind w:right="46"/>
              <w:jc w:val="right"/>
              <w:rPr>
                <w:rFonts w:eastAsia="Arial Unicode MS"/>
                <w:b/>
                <w:sz w:val="18"/>
                <w:szCs w:val="18"/>
              </w:rPr>
            </w:pPr>
            <w:r w:rsidRPr="00604C75">
              <w:rPr>
                <w:rFonts w:eastAsia="Arial Unicode MS"/>
                <w:b/>
                <w:sz w:val="18"/>
                <w:szCs w:val="18"/>
              </w:rPr>
              <w:t>Losses</w:t>
            </w:r>
          </w:p>
        </w:tc>
        <w:tc>
          <w:tcPr>
            <w:tcW w:w="1316" w:type="dxa"/>
            <w:vAlign w:val="bottom"/>
          </w:tcPr>
          <w:p w14:paraId="325C7571" w14:textId="77777777" w:rsidR="00FD672C" w:rsidRPr="00604C75" w:rsidRDefault="00FD672C" w:rsidP="006B4B93">
            <w:pPr>
              <w:ind w:right="40"/>
              <w:jc w:val="right"/>
              <w:rPr>
                <w:rFonts w:eastAsia="Arial Unicode MS"/>
                <w:b/>
                <w:sz w:val="18"/>
                <w:szCs w:val="18"/>
              </w:rPr>
            </w:pPr>
            <w:r w:rsidRPr="00604C75">
              <w:rPr>
                <w:rFonts w:eastAsia="Arial Unicode MS"/>
                <w:b/>
                <w:sz w:val="18"/>
                <w:szCs w:val="18"/>
              </w:rPr>
              <w:t>Gains/</w:t>
            </w:r>
          </w:p>
          <w:p w14:paraId="201242A0" w14:textId="77777777" w:rsidR="00FD672C" w:rsidRPr="00604C75" w:rsidRDefault="00FD672C" w:rsidP="006B4B93">
            <w:pPr>
              <w:ind w:right="40"/>
              <w:jc w:val="right"/>
              <w:rPr>
                <w:rFonts w:eastAsia="Arial Unicode MS"/>
                <w:b/>
                <w:sz w:val="18"/>
                <w:szCs w:val="18"/>
              </w:rPr>
            </w:pPr>
            <w:r w:rsidRPr="00604C75">
              <w:rPr>
                <w:rFonts w:eastAsia="Arial Unicode MS"/>
                <w:b/>
                <w:sz w:val="18"/>
                <w:szCs w:val="18"/>
              </w:rPr>
              <w:t>Equity-Losses/</w:t>
            </w:r>
          </w:p>
          <w:p w14:paraId="7792AE0B" w14:textId="77777777" w:rsidR="00FD672C" w:rsidRPr="00604C75" w:rsidRDefault="00FD672C" w:rsidP="006B4B93">
            <w:pPr>
              <w:ind w:right="40"/>
              <w:jc w:val="right"/>
              <w:rPr>
                <w:rFonts w:eastAsia="Arial Unicode MS"/>
                <w:b/>
                <w:sz w:val="18"/>
                <w:szCs w:val="18"/>
              </w:rPr>
            </w:pPr>
            <w:r w:rsidRPr="00604C75">
              <w:rPr>
                <w:rFonts w:eastAsia="Arial Unicode MS"/>
                <w:b/>
                <w:sz w:val="18"/>
                <w:szCs w:val="18"/>
              </w:rPr>
              <w:t>Equity</w:t>
            </w:r>
          </w:p>
        </w:tc>
      </w:tr>
      <w:tr w:rsidR="00A0459A" w:rsidRPr="00604C75" w14:paraId="254D1392" w14:textId="77777777" w:rsidTr="00AD726D">
        <w:trPr>
          <w:trHeight w:val="225"/>
        </w:trPr>
        <w:tc>
          <w:tcPr>
            <w:tcW w:w="5400" w:type="dxa"/>
            <w:vAlign w:val="center"/>
          </w:tcPr>
          <w:p w14:paraId="17446963" w14:textId="77777777" w:rsidR="00A0459A" w:rsidRPr="00604C75" w:rsidRDefault="00A0459A" w:rsidP="006B4B93">
            <w:pPr>
              <w:jc w:val="both"/>
              <w:rPr>
                <w:snapToGrid w:val="0"/>
                <w:sz w:val="18"/>
                <w:szCs w:val="18"/>
              </w:rPr>
            </w:pPr>
            <w:r w:rsidRPr="00604C75">
              <w:rPr>
                <w:snapToGrid w:val="0"/>
                <w:sz w:val="18"/>
                <w:szCs w:val="18"/>
              </w:rPr>
              <w:t>Currency</w:t>
            </w:r>
          </w:p>
        </w:tc>
        <w:tc>
          <w:tcPr>
            <w:tcW w:w="1515" w:type="dxa"/>
            <w:vAlign w:val="bottom"/>
          </w:tcPr>
          <w:p w14:paraId="368BC30C" w14:textId="77777777" w:rsidR="00A0459A" w:rsidRPr="00604C75" w:rsidRDefault="00A0459A" w:rsidP="006B4B93">
            <w:pPr>
              <w:ind w:right="44"/>
              <w:jc w:val="right"/>
              <w:rPr>
                <w:sz w:val="18"/>
                <w:szCs w:val="18"/>
              </w:rPr>
            </w:pPr>
          </w:p>
        </w:tc>
        <w:tc>
          <w:tcPr>
            <w:tcW w:w="1106" w:type="dxa"/>
            <w:vAlign w:val="bottom"/>
          </w:tcPr>
          <w:p w14:paraId="2AC67329" w14:textId="77777777" w:rsidR="00A0459A" w:rsidRPr="00604C75" w:rsidRDefault="00A0459A" w:rsidP="006B4B93">
            <w:pPr>
              <w:ind w:right="46"/>
              <w:jc w:val="right"/>
              <w:rPr>
                <w:sz w:val="18"/>
                <w:szCs w:val="18"/>
              </w:rPr>
            </w:pPr>
          </w:p>
        </w:tc>
        <w:tc>
          <w:tcPr>
            <w:tcW w:w="1316" w:type="dxa"/>
            <w:vAlign w:val="bottom"/>
          </w:tcPr>
          <w:p w14:paraId="1A3CB088" w14:textId="77777777" w:rsidR="00A0459A" w:rsidRPr="00604C75" w:rsidRDefault="00A0459A" w:rsidP="006B4B93">
            <w:pPr>
              <w:ind w:right="40"/>
              <w:jc w:val="right"/>
              <w:rPr>
                <w:sz w:val="18"/>
                <w:szCs w:val="18"/>
              </w:rPr>
            </w:pPr>
          </w:p>
        </w:tc>
      </w:tr>
      <w:tr w:rsidR="00980409" w:rsidRPr="00604C75" w14:paraId="1726ABE5" w14:textId="77777777" w:rsidTr="00F77D55">
        <w:trPr>
          <w:trHeight w:val="225"/>
        </w:trPr>
        <w:tc>
          <w:tcPr>
            <w:tcW w:w="5400" w:type="dxa"/>
            <w:vAlign w:val="center"/>
          </w:tcPr>
          <w:p w14:paraId="18F48A6E" w14:textId="77777777" w:rsidR="00980409" w:rsidRPr="00604C75" w:rsidRDefault="00980409" w:rsidP="00980409">
            <w:pPr>
              <w:jc w:val="both"/>
              <w:rPr>
                <w:snapToGrid w:val="0"/>
                <w:sz w:val="18"/>
                <w:szCs w:val="18"/>
              </w:rPr>
            </w:pPr>
            <w:r w:rsidRPr="00604C75">
              <w:rPr>
                <w:snapToGrid w:val="0"/>
                <w:sz w:val="18"/>
                <w:szCs w:val="18"/>
              </w:rPr>
              <w:t>1. TL</w:t>
            </w:r>
          </w:p>
        </w:tc>
        <w:tc>
          <w:tcPr>
            <w:tcW w:w="1515" w:type="dxa"/>
            <w:vAlign w:val="center"/>
          </w:tcPr>
          <w:p w14:paraId="786F4EE3" w14:textId="0779FCC9" w:rsidR="00980409" w:rsidRPr="00604C75" w:rsidRDefault="00980409" w:rsidP="00980409">
            <w:pPr>
              <w:ind w:right="44"/>
              <w:jc w:val="right"/>
              <w:rPr>
                <w:sz w:val="18"/>
                <w:szCs w:val="18"/>
              </w:rPr>
            </w:pPr>
            <w:r w:rsidRPr="00692926">
              <w:rPr>
                <w:sz w:val="18"/>
                <w:szCs w:val="18"/>
              </w:rPr>
              <w:t>(+) 500 bps</w:t>
            </w:r>
          </w:p>
        </w:tc>
        <w:tc>
          <w:tcPr>
            <w:tcW w:w="1106" w:type="dxa"/>
            <w:vAlign w:val="center"/>
          </w:tcPr>
          <w:p w14:paraId="61324BC1" w14:textId="46D81DDE" w:rsidR="00980409" w:rsidRPr="00692926" w:rsidRDefault="00980409" w:rsidP="00980409">
            <w:pPr>
              <w:ind w:right="44"/>
              <w:jc w:val="right"/>
              <w:rPr>
                <w:sz w:val="18"/>
                <w:szCs w:val="18"/>
              </w:rPr>
            </w:pPr>
            <w:r w:rsidRPr="00692926">
              <w:rPr>
                <w:sz w:val="18"/>
                <w:szCs w:val="18"/>
              </w:rPr>
              <w:t>(99,626)</w:t>
            </w:r>
          </w:p>
        </w:tc>
        <w:tc>
          <w:tcPr>
            <w:tcW w:w="1316" w:type="dxa"/>
            <w:vAlign w:val="center"/>
          </w:tcPr>
          <w:p w14:paraId="61911D87" w14:textId="3FB7B53B" w:rsidR="00980409" w:rsidRPr="00692926" w:rsidRDefault="00980409" w:rsidP="00980409">
            <w:pPr>
              <w:ind w:right="44"/>
              <w:jc w:val="right"/>
              <w:rPr>
                <w:sz w:val="18"/>
                <w:szCs w:val="18"/>
              </w:rPr>
            </w:pPr>
            <w:r w:rsidRPr="00692926">
              <w:rPr>
                <w:sz w:val="18"/>
                <w:szCs w:val="18"/>
              </w:rPr>
              <w:t>(7.58</w:t>
            </w:r>
            <w:r w:rsidR="00FD0C7A">
              <w:rPr>
                <w:sz w:val="18"/>
                <w:szCs w:val="18"/>
              </w:rPr>
              <w:t>%</w:t>
            </w:r>
            <w:r w:rsidRPr="00692926">
              <w:rPr>
                <w:sz w:val="18"/>
                <w:szCs w:val="18"/>
              </w:rPr>
              <w:t>)</w:t>
            </w:r>
          </w:p>
        </w:tc>
      </w:tr>
      <w:tr w:rsidR="00980409" w:rsidRPr="00604C75" w14:paraId="3C5CF6BC" w14:textId="77777777" w:rsidTr="00F77D55">
        <w:trPr>
          <w:trHeight w:val="225"/>
        </w:trPr>
        <w:tc>
          <w:tcPr>
            <w:tcW w:w="5400" w:type="dxa"/>
            <w:vAlign w:val="center"/>
          </w:tcPr>
          <w:p w14:paraId="419D4097" w14:textId="77777777" w:rsidR="00980409" w:rsidRPr="00604C75" w:rsidRDefault="00980409" w:rsidP="00980409">
            <w:pPr>
              <w:jc w:val="both"/>
              <w:rPr>
                <w:snapToGrid w:val="0"/>
                <w:sz w:val="18"/>
                <w:szCs w:val="18"/>
              </w:rPr>
            </w:pPr>
            <w:r w:rsidRPr="00604C75">
              <w:rPr>
                <w:snapToGrid w:val="0"/>
                <w:sz w:val="18"/>
                <w:szCs w:val="18"/>
              </w:rPr>
              <w:t>2. TL</w:t>
            </w:r>
          </w:p>
        </w:tc>
        <w:tc>
          <w:tcPr>
            <w:tcW w:w="1515" w:type="dxa"/>
            <w:vAlign w:val="center"/>
          </w:tcPr>
          <w:p w14:paraId="48C3B6DF" w14:textId="4CDBF061" w:rsidR="00980409" w:rsidRPr="00604C75" w:rsidRDefault="00980409" w:rsidP="00980409">
            <w:pPr>
              <w:ind w:right="44"/>
              <w:jc w:val="right"/>
              <w:rPr>
                <w:sz w:val="18"/>
                <w:szCs w:val="18"/>
              </w:rPr>
            </w:pPr>
            <w:r w:rsidRPr="00692926">
              <w:rPr>
                <w:sz w:val="18"/>
                <w:szCs w:val="18"/>
              </w:rPr>
              <w:t>(-) 400 bps</w:t>
            </w:r>
          </w:p>
        </w:tc>
        <w:tc>
          <w:tcPr>
            <w:tcW w:w="1106" w:type="dxa"/>
            <w:vAlign w:val="center"/>
          </w:tcPr>
          <w:p w14:paraId="174B76EF" w14:textId="4C918394" w:rsidR="00980409" w:rsidRPr="00692926" w:rsidRDefault="00980409" w:rsidP="00980409">
            <w:pPr>
              <w:ind w:right="44"/>
              <w:jc w:val="right"/>
              <w:rPr>
                <w:sz w:val="18"/>
                <w:szCs w:val="18"/>
              </w:rPr>
            </w:pPr>
            <w:r w:rsidRPr="00692926">
              <w:rPr>
                <w:sz w:val="18"/>
                <w:szCs w:val="18"/>
              </w:rPr>
              <w:t>96,927</w:t>
            </w:r>
          </w:p>
        </w:tc>
        <w:tc>
          <w:tcPr>
            <w:tcW w:w="1316" w:type="dxa"/>
            <w:vAlign w:val="center"/>
          </w:tcPr>
          <w:p w14:paraId="451E7435" w14:textId="05B05BA6" w:rsidR="00980409" w:rsidRPr="00692926" w:rsidRDefault="00980409" w:rsidP="00980409">
            <w:pPr>
              <w:ind w:right="44"/>
              <w:jc w:val="right"/>
              <w:rPr>
                <w:sz w:val="18"/>
                <w:szCs w:val="18"/>
              </w:rPr>
            </w:pPr>
            <w:r w:rsidRPr="00692926">
              <w:rPr>
                <w:sz w:val="18"/>
                <w:szCs w:val="18"/>
              </w:rPr>
              <w:t>7.39</w:t>
            </w:r>
            <w:r w:rsidR="00FD0C7A">
              <w:rPr>
                <w:sz w:val="18"/>
                <w:szCs w:val="18"/>
              </w:rPr>
              <w:t>%</w:t>
            </w:r>
          </w:p>
        </w:tc>
      </w:tr>
      <w:tr w:rsidR="00980409" w:rsidRPr="00604C75" w14:paraId="720996AD" w14:textId="77777777" w:rsidTr="00F77D55">
        <w:trPr>
          <w:trHeight w:val="225"/>
        </w:trPr>
        <w:tc>
          <w:tcPr>
            <w:tcW w:w="5400" w:type="dxa"/>
            <w:vAlign w:val="center"/>
          </w:tcPr>
          <w:p w14:paraId="55727033" w14:textId="77777777" w:rsidR="00980409" w:rsidRPr="00604C75" w:rsidRDefault="00980409" w:rsidP="00980409">
            <w:pPr>
              <w:jc w:val="both"/>
              <w:rPr>
                <w:snapToGrid w:val="0"/>
                <w:sz w:val="18"/>
                <w:szCs w:val="18"/>
              </w:rPr>
            </w:pPr>
            <w:r>
              <w:rPr>
                <w:snapToGrid w:val="0"/>
                <w:sz w:val="18"/>
                <w:szCs w:val="18"/>
              </w:rPr>
              <w:t xml:space="preserve">3. </w:t>
            </w:r>
            <w:proofErr w:type="spellStart"/>
            <w:r>
              <w:rPr>
                <w:snapToGrid w:val="0"/>
                <w:sz w:val="18"/>
                <w:szCs w:val="18"/>
              </w:rPr>
              <w:t>Usd</w:t>
            </w:r>
            <w:proofErr w:type="spellEnd"/>
          </w:p>
        </w:tc>
        <w:tc>
          <w:tcPr>
            <w:tcW w:w="1515" w:type="dxa"/>
            <w:vAlign w:val="center"/>
          </w:tcPr>
          <w:p w14:paraId="22472F91" w14:textId="6E984903" w:rsidR="00980409" w:rsidRPr="00604C75" w:rsidRDefault="00980409" w:rsidP="00980409">
            <w:pPr>
              <w:ind w:right="44"/>
              <w:jc w:val="right"/>
              <w:rPr>
                <w:sz w:val="18"/>
                <w:szCs w:val="18"/>
              </w:rPr>
            </w:pPr>
            <w:r w:rsidRPr="00692926">
              <w:rPr>
                <w:sz w:val="18"/>
                <w:szCs w:val="18"/>
              </w:rPr>
              <w:t>(+) 200 bps</w:t>
            </w:r>
          </w:p>
        </w:tc>
        <w:tc>
          <w:tcPr>
            <w:tcW w:w="1106" w:type="dxa"/>
            <w:vAlign w:val="center"/>
          </w:tcPr>
          <w:p w14:paraId="1FF89BC1" w14:textId="285808DC" w:rsidR="00980409" w:rsidRPr="00692926" w:rsidRDefault="00980409" w:rsidP="00980409">
            <w:pPr>
              <w:ind w:right="44"/>
              <w:jc w:val="right"/>
              <w:rPr>
                <w:sz w:val="18"/>
                <w:szCs w:val="18"/>
              </w:rPr>
            </w:pPr>
            <w:r w:rsidRPr="00692926">
              <w:rPr>
                <w:sz w:val="18"/>
                <w:szCs w:val="18"/>
              </w:rPr>
              <w:t>3,600</w:t>
            </w:r>
          </w:p>
        </w:tc>
        <w:tc>
          <w:tcPr>
            <w:tcW w:w="1316" w:type="dxa"/>
            <w:vAlign w:val="center"/>
          </w:tcPr>
          <w:p w14:paraId="1F7BF8EE" w14:textId="59B8A028" w:rsidR="00980409" w:rsidRPr="00692926" w:rsidRDefault="00980409" w:rsidP="00980409">
            <w:pPr>
              <w:ind w:right="44"/>
              <w:jc w:val="right"/>
              <w:rPr>
                <w:sz w:val="18"/>
                <w:szCs w:val="18"/>
              </w:rPr>
            </w:pPr>
            <w:r w:rsidRPr="00692926">
              <w:rPr>
                <w:sz w:val="18"/>
                <w:szCs w:val="18"/>
              </w:rPr>
              <w:t>0.27</w:t>
            </w:r>
            <w:r w:rsidR="00FD0C7A">
              <w:rPr>
                <w:sz w:val="18"/>
                <w:szCs w:val="18"/>
              </w:rPr>
              <w:t>%</w:t>
            </w:r>
          </w:p>
        </w:tc>
      </w:tr>
      <w:tr w:rsidR="00980409" w:rsidRPr="00604C75" w14:paraId="03FD5467" w14:textId="77777777" w:rsidTr="00F77D55">
        <w:trPr>
          <w:trHeight w:val="225"/>
        </w:trPr>
        <w:tc>
          <w:tcPr>
            <w:tcW w:w="5400" w:type="dxa"/>
            <w:vAlign w:val="center"/>
          </w:tcPr>
          <w:p w14:paraId="74E67157" w14:textId="77777777" w:rsidR="00980409" w:rsidRPr="00604C75" w:rsidRDefault="00980409" w:rsidP="00980409">
            <w:pPr>
              <w:jc w:val="both"/>
              <w:rPr>
                <w:i/>
                <w:snapToGrid w:val="0"/>
                <w:sz w:val="18"/>
                <w:szCs w:val="18"/>
              </w:rPr>
            </w:pPr>
            <w:r>
              <w:rPr>
                <w:snapToGrid w:val="0"/>
                <w:sz w:val="18"/>
                <w:szCs w:val="18"/>
              </w:rPr>
              <w:t xml:space="preserve">4. </w:t>
            </w:r>
            <w:proofErr w:type="spellStart"/>
            <w:r>
              <w:rPr>
                <w:snapToGrid w:val="0"/>
                <w:sz w:val="18"/>
                <w:szCs w:val="18"/>
              </w:rPr>
              <w:t>Usd</w:t>
            </w:r>
            <w:proofErr w:type="spellEnd"/>
          </w:p>
        </w:tc>
        <w:tc>
          <w:tcPr>
            <w:tcW w:w="1515" w:type="dxa"/>
            <w:vAlign w:val="center"/>
          </w:tcPr>
          <w:p w14:paraId="4797189B" w14:textId="68A5FAD7" w:rsidR="00980409" w:rsidRPr="00604C75" w:rsidRDefault="00980409" w:rsidP="00980409">
            <w:pPr>
              <w:ind w:right="44"/>
              <w:jc w:val="right"/>
              <w:rPr>
                <w:sz w:val="18"/>
                <w:szCs w:val="18"/>
              </w:rPr>
            </w:pPr>
            <w:r w:rsidRPr="00692926">
              <w:rPr>
                <w:sz w:val="18"/>
                <w:szCs w:val="18"/>
              </w:rPr>
              <w:t>(-) 200 bps</w:t>
            </w:r>
          </w:p>
        </w:tc>
        <w:tc>
          <w:tcPr>
            <w:tcW w:w="1106" w:type="dxa"/>
            <w:vAlign w:val="center"/>
          </w:tcPr>
          <w:p w14:paraId="0A97D1D9" w14:textId="67918EB6" w:rsidR="00980409" w:rsidRPr="00692926" w:rsidRDefault="00980409" w:rsidP="00980409">
            <w:pPr>
              <w:ind w:right="44"/>
              <w:jc w:val="right"/>
              <w:rPr>
                <w:sz w:val="18"/>
                <w:szCs w:val="18"/>
              </w:rPr>
            </w:pPr>
            <w:r w:rsidRPr="00692926">
              <w:rPr>
                <w:sz w:val="18"/>
                <w:szCs w:val="18"/>
              </w:rPr>
              <w:t>(2,038)</w:t>
            </w:r>
          </w:p>
        </w:tc>
        <w:tc>
          <w:tcPr>
            <w:tcW w:w="1316" w:type="dxa"/>
            <w:vAlign w:val="center"/>
          </w:tcPr>
          <w:p w14:paraId="7D5A15A5" w14:textId="1AE508DB" w:rsidR="00980409" w:rsidRPr="00692926" w:rsidRDefault="00980409" w:rsidP="00980409">
            <w:pPr>
              <w:ind w:right="44"/>
              <w:jc w:val="right"/>
              <w:rPr>
                <w:sz w:val="18"/>
                <w:szCs w:val="18"/>
              </w:rPr>
            </w:pPr>
            <w:r w:rsidRPr="00692926">
              <w:rPr>
                <w:sz w:val="18"/>
                <w:szCs w:val="18"/>
              </w:rPr>
              <w:t>(0.16</w:t>
            </w:r>
            <w:r w:rsidR="00FD0C7A">
              <w:rPr>
                <w:sz w:val="18"/>
                <w:szCs w:val="18"/>
              </w:rPr>
              <w:t>%</w:t>
            </w:r>
            <w:r w:rsidRPr="00692926">
              <w:rPr>
                <w:sz w:val="18"/>
                <w:szCs w:val="18"/>
              </w:rPr>
              <w:t>)</w:t>
            </w:r>
          </w:p>
        </w:tc>
      </w:tr>
      <w:tr w:rsidR="00980409" w:rsidRPr="00604C75" w14:paraId="08AEB3FF" w14:textId="77777777" w:rsidTr="00F77D55">
        <w:trPr>
          <w:trHeight w:val="225"/>
        </w:trPr>
        <w:tc>
          <w:tcPr>
            <w:tcW w:w="5400" w:type="dxa"/>
            <w:vAlign w:val="center"/>
          </w:tcPr>
          <w:p w14:paraId="289BB7D4" w14:textId="77777777" w:rsidR="00980409" w:rsidRPr="00604C75" w:rsidRDefault="00980409" w:rsidP="00980409">
            <w:pPr>
              <w:rPr>
                <w:snapToGrid w:val="0"/>
                <w:sz w:val="18"/>
                <w:szCs w:val="18"/>
              </w:rPr>
            </w:pPr>
            <w:r>
              <w:rPr>
                <w:snapToGrid w:val="0"/>
                <w:sz w:val="18"/>
                <w:szCs w:val="18"/>
              </w:rPr>
              <w:t>5. Euro</w:t>
            </w:r>
          </w:p>
        </w:tc>
        <w:tc>
          <w:tcPr>
            <w:tcW w:w="1515" w:type="dxa"/>
            <w:vAlign w:val="center"/>
          </w:tcPr>
          <w:p w14:paraId="78E813A2" w14:textId="0D5B136F" w:rsidR="00980409" w:rsidRPr="00604C75" w:rsidRDefault="00980409" w:rsidP="00980409">
            <w:pPr>
              <w:ind w:right="44"/>
              <w:jc w:val="right"/>
              <w:rPr>
                <w:sz w:val="18"/>
                <w:szCs w:val="18"/>
              </w:rPr>
            </w:pPr>
            <w:r w:rsidRPr="00692926">
              <w:rPr>
                <w:sz w:val="18"/>
                <w:szCs w:val="18"/>
              </w:rPr>
              <w:t>(+) 200 bps</w:t>
            </w:r>
          </w:p>
        </w:tc>
        <w:tc>
          <w:tcPr>
            <w:tcW w:w="1106" w:type="dxa"/>
            <w:vAlign w:val="center"/>
          </w:tcPr>
          <w:p w14:paraId="7A4622F6" w14:textId="38A3977F" w:rsidR="00980409" w:rsidRPr="00692926" w:rsidRDefault="00980409" w:rsidP="00980409">
            <w:pPr>
              <w:ind w:right="44"/>
              <w:jc w:val="right"/>
              <w:rPr>
                <w:sz w:val="18"/>
                <w:szCs w:val="18"/>
              </w:rPr>
            </w:pPr>
            <w:r w:rsidRPr="00692926">
              <w:rPr>
                <w:sz w:val="18"/>
                <w:szCs w:val="18"/>
              </w:rPr>
              <w:t>(3,398)</w:t>
            </w:r>
          </w:p>
        </w:tc>
        <w:tc>
          <w:tcPr>
            <w:tcW w:w="1316" w:type="dxa"/>
            <w:vAlign w:val="center"/>
          </w:tcPr>
          <w:p w14:paraId="6FB833F8" w14:textId="5F9189BB" w:rsidR="00980409" w:rsidRPr="00692926" w:rsidRDefault="00980409" w:rsidP="00FD0C7A">
            <w:pPr>
              <w:ind w:right="44"/>
              <w:jc w:val="right"/>
              <w:rPr>
                <w:sz w:val="18"/>
                <w:szCs w:val="18"/>
              </w:rPr>
            </w:pPr>
            <w:r w:rsidRPr="00692926">
              <w:rPr>
                <w:sz w:val="18"/>
                <w:szCs w:val="18"/>
              </w:rPr>
              <w:t>(0.26</w:t>
            </w:r>
            <w:r w:rsidR="00FD0C7A">
              <w:rPr>
                <w:sz w:val="18"/>
                <w:szCs w:val="18"/>
              </w:rPr>
              <w:t>%</w:t>
            </w:r>
            <w:r w:rsidRPr="00692926">
              <w:rPr>
                <w:sz w:val="18"/>
                <w:szCs w:val="18"/>
              </w:rPr>
              <w:t>)</w:t>
            </w:r>
          </w:p>
        </w:tc>
      </w:tr>
      <w:tr w:rsidR="00980409" w:rsidRPr="00604C75" w14:paraId="33F4285E" w14:textId="77777777" w:rsidTr="00F77D55">
        <w:trPr>
          <w:trHeight w:val="225"/>
        </w:trPr>
        <w:tc>
          <w:tcPr>
            <w:tcW w:w="5400" w:type="dxa"/>
            <w:vAlign w:val="center"/>
          </w:tcPr>
          <w:p w14:paraId="313BFDB4" w14:textId="77777777" w:rsidR="00980409" w:rsidRPr="00604C75" w:rsidRDefault="00980409" w:rsidP="00980409">
            <w:pPr>
              <w:jc w:val="both"/>
              <w:rPr>
                <w:snapToGrid w:val="0"/>
                <w:sz w:val="18"/>
                <w:szCs w:val="18"/>
              </w:rPr>
            </w:pPr>
            <w:r>
              <w:rPr>
                <w:snapToGrid w:val="0"/>
                <w:sz w:val="18"/>
                <w:szCs w:val="18"/>
              </w:rPr>
              <w:t>6. Euro</w:t>
            </w:r>
          </w:p>
        </w:tc>
        <w:tc>
          <w:tcPr>
            <w:tcW w:w="1515" w:type="dxa"/>
            <w:vAlign w:val="center"/>
          </w:tcPr>
          <w:p w14:paraId="6580A17A" w14:textId="172FCB90" w:rsidR="00980409" w:rsidRPr="00604C75" w:rsidRDefault="00980409" w:rsidP="00980409">
            <w:pPr>
              <w:ind w:right="44"/>
              <w:jc w:val="right"/>
              <w:rPr>
                <w:sz w:val="18"/>
                <w:szCs w:val="18"/>
              </w:rPr>
            </w:pPr>
            <w:r w:rsidRPr="00692926">
              <w:rPr>
                <w:sz w:val="18"/>
                <w:szCs w:val="18"/>
              </w:rPr>
              <w:t>(-) 200 bps</w:t>
            </w:r>
          </w:p>
        </w:tc>
        <w:tc>
          <w:tcPr>
            <w:tcW w:w="1106" w:type="dxa"/>
            <w:vAlign w:val="center"/>
          </w:tcPr>
          <w:p w14:paraId="12BFC347" w14:textId="02236750" w:rsidR="00980409" w:rsidRPr="00692926" w:rsidRDefault="00980409" w:rsidP="00980409">
            <w:pPr>
              <w:ind w:right="44"/>
              <w:jc w:val="right"/>
              <w:rPr>
                <w:sz w:val="18"/>
                <w:szCs w:val="18"/>
              </w:rPr>
            </w:pPr>
            <w:r w:rsidRPr="00692926">
              <w:rPr>
                <w:sz w:val="18"/>
                <w:szCs w:val="18"/>
              </w:rPr>
              <w:t>556</w:t>
            </w:r>
          </w:p>
        </w:tc>
        <w:tc>
          <w:tcPr>
            <w:tcW w:w="1316" w:type="dxa"/>
            <w:vAlign w:val="center"/>
          </w:tcPr>
          <w:p w14:paraId="61B33B3B" w14:textId="6D5DB268" w:rsidR="00980409" w:rsidRPr="00692926" w:rsidRDefault="00980409" w:rsidP="00980409">
            <w:pPr>
              <w:ind w:right="44"/>
              <w:jc w:val="right"/>
              <w:rPr>
                <w:sz w:val="18"/>
                <w:szCs w:val="18"/>
              </w:rPr>
            </w:pPr>
            <w:r w:rsidRPr="00692926">
              <w:rPr>
                <w:sz w:val="18"/>
                <w:szCs w:val="18"/>
              </w:rPr>
              <w:t>0.04</w:t>
            </w:r>
            <w:r w:rsidR="00FD0C7A">
              <w:rPr>
                <w:sz w:val="18"/>
                <w:szCs w:val="18"/>
              </w:rPr>
              <w:t>%</w:t>
            </w:r>
          </w:p>
        </w:tc>
      </w:tr>
      <w:tr w:rsidR="00980409" w:rsidRPr="00604C75" w14:paraId="7EC977B4" w14:textId="77777777" w:rsidTr="00AD726D">
        <w:trPr>
          <w:trHeight w:val="225"/>
        </w:trPr>
        <w:tc>
          <w:tcPr>
            <w:tcW w:w="5400" w:type="dxa"/>
            <w:vAlign w:val="center"/>
          </w:tcPr>
          <w:p w14:paraId="38BD6123" w14:textId="77777777" w:rsidR="00980409" w:rsidRPr="00604C75" w:rsidRDefault="00980409" w:rsidP="00980409">
            <w:pPr>
              <w:jc w:val="both"/>
              <w:rPr>
                <w:b/>
                <w:snapToGrid w:val="0"/>
                <w:sz w:val="18"/>
                <w:szCs w:val="18"/>
              </w:rPr>
            </w:pPr>
            <w:r w:rsidRPr="00604C75">
              <w:rPr>
                <w:b/>
                <w:snapToGrid w:val="0"/>
                <w:sz w:val="18"/>
                <w:szCs w:val="18"/>
              </w:rPr>
              <w:t>Total (For Negative Shocks)</w:t>
            </w:r>
          </w:p>
        </w:tc>
        <w:tc>
          <w:tcPr>
            <w:tcW w:w="1515" w:type="dxa"/>
            <w:vAlign w:val="bottom"/>
          </w:tcPr>
          <w:p w14:paraId="54443E07" w14:textId="77777777" w:rsidR="00980409" w:rsidRPr="00604C75" w:rsidRDefault="00980409" w:rsidP="00980409">
            <w:pPr>
              <w:ind w:right="44"/>
              <w:jc w:val="right"/>
              <w:rPr>
                <w:sz w:val="18"/>
                <w:szCs w:val="18"/>
              </w:rPr>
            </w:pPr>
          </w:p>
        </w:tc>
        <w:tc>
          <w:tcPr>
            <w:tcW w:w="1106" w:type="dxa"/>
            <w:vAlign w:val="center"/>
          </w:tcPr>
          <w:p w14:paraId="590C62DD" w14:textId="5D0A2ACA" w:rsidR="00980409" w:rsidRPr="00692926" w:rsidRDefault="00980409" w:rsidP="00980409">
            <w:pPr>
              <w:ind w:right="46"/>
              <w:jc w:val="right"/>
              <w:rPr>
                <w:b/>
                <w:sz w:val="18"/>
                <w:szCs w:val="18"/>
              </w:rPr>
            </w:pPr>
            <w:r w:rsidRPr="00692926">
              <w:rPr>
                <w:b/>
                <w:sz w:val="18"/>
                <w:szCs w:val="18"/>
              </w:rPr>
              <w:t>95,445</w:t>
            </w:r>
          </w:p>
        </w:tc>
        <w:tc>
          <w:tcPr>
            <w:tcW w:w="1316" w:type="dxa"/>
            <w:vAlign w:val="center"/>
          </w:tcPr>
          <w:p w14:paraId="4B39ADB3" w14:textId="3E923A11" w:rsidR="00980409" w:rsidRPr="00692926" w:rsidRDefault="00980409" w:rsidP="00980409">
            <w:pPr>
              <w:ind w:right="46"/>
              <w:jc w:val="right"/>
              <w:rPr>
                <w:b/>
                <w:sz w:val="18"/>
                <w:szCs w:val="18"/>
              </w:rPr>
            </w:pPr>
            <w:r w:rsidRPr="00692926">
              <w:rPr>
                <w:b/>
                <w:sz w:val="18"/>
                <w:szCs w:val="18"/>
              </w:rPr>
              <w:t>7.2</w:t>
            </w:r>
            <w:r>
              <w:rPr>
                <w:b/>
                <w:sz w:val="18"/>
                <w:szCs w:val="18"/>
              </w:rPr>
              <w:t>7</w:t>
            </w:r>
            <w:r w:rsidR="00FD0C7A">
              <w:rPr>
                <w:b/>
                <w:sz w:val="18"/>
                <w:szCs w:val="18"/>
              </w:rPr>
              <w:t>%</w:t>
            </w:r>
          </w:p>
        </w:tc>
      </w:tr>
      <w:tr w:rsidR="00980409" w:rsidRPr="00604C75" w14:paraId="26ECD66A" w14:textId="77777777" w:rsidTr="00AD726D">
        <w:trPr>
          <w:trHeight w:val="225"/>
        </w:trPr>
        <w:tc>
          <w:tcPr>
            <w:tcW w:w="5400" w:type="dxa"/>
            <w:vAlign w:val="center"/>
          </w:tcPr>
          <w:p w14:paraId="12021FC4" w14:textId="77777777" w:rsidR="00980409" w:rsidRPr="00604C75" w:rsidRDefault="00980409" w:rsidP="00490153">
            <w:pPr>
              <w:jc w:val="both"/>
              <w:rPr>
                <w:b/>
                <w:snapToGrid w:val="0"/>
                <w:sz w:val="18"/>
                <w:szCs w:val="18"/>
              </w:rPr>
            </w:pPr>
            <w:r w:rsidRPr="00604C75">
              <w:rPr>
                <w:b/>
                <w:snapToGrid w:val="0"/>
                <w:sz w:val="18"/>
                <w:szCs w:val="18"/>
              </w:rPr>
              <w:t>Total (For Positive Shocks)</w:t>
            </w:r>
          </w:p>
        </w:tc>
        <w:tc>
          <w:tcPr>
            <w:tcW w:w="1515" w:type="dxa"/>
            <w:vAlign w:val="bottom"/>
          </w:tcPr>
          <w:p w14:paraId="768960EA" w14:textId="77777777" w:rsidR="00980409" w:rsidRPr="00604C75" w:rsidRDefault="00980409" w:rsidP="00490153">
            <w:pPr>
              <w:ind w:right="44"/>
              <w:jc w:val="right"/>
              <w:rPr>
                <w:sz w:val="18"/>
                <w:szCs w:val="18"/>
              </w:rPr>
            </w:pPr>
          </w:p>
        </w:tc>
        <w:tc>
          <w:tcPr>
            <w:tcW w:w="1106" w:type="dxa"/>
            <w:vAlign w:val="center"/>
          </w:tcPr>
          <w:p w14:paraId="0F57F27D" w14:textId="221086EF" w:rsidR="00980409" w:rsidRPr="00692926" w:rsidRDefault="00980409" w:rsidP="00490153">
            <w:pPr>
              <w:ind w:right="46"/>
              <w:jc w:val="right"/>
              <w:rPr>
                <w:b/>
                <w:sz w:val="18"/>
                <w:szCs w:val="18"/>
              </w:rPr>
            </w:pPr>
            <w:r w:rsidRPr="00692926">
              <w:rPr>
                <w:b/>
                <w:sz w:val="18"/>
                <w:szCs w:val="18"/>
              </w:rPr>
              <w:t>(99,424)</w:t>
            </w:r>
          </w:p>
        </w:tc>
        <w:tc>
          <w:tcPr>
            <w:tcW w:w="1316" w:type="dxa"/>
            <w:vAlign w:val="center"/>
          </w:tcPr>
          <w:p w14:paraId="3BFE5417" w14:textId="0ACA6270" w:rsidR="00980409" w:rsidRPr="00692926" w:rsidRDefault="00980409" w:rsidP="00490153">
            <w:pPr>
              <w:ind w:right="46"/>
              <w:jc w:val="right"/>
              <w:rPr>
                <w:b/>
                <w:sz w:val="18"/>
                <w:szCs w:val="18"/>
              </w:rPr>
            </w:pPr>
            <w:r w:rsidRPr="00692926">
              <w:rPr>
                <w:b/>
                <w:sz w:val="18"/>
                <w:szCs w:val="18"/>
              </w:rPr>
              <w:t>(7.57</w:t>
            </w:r>
            <w:r w:rsidR="00FD0C7A">
              <w:rPr>
                <w:b/>
                <w:sz w:val="18"/>
                <w:szCs w:val="18"/>
              </w:rPr>
              <w:t>%</w:t>
            </w:r>
            <w:r w:rsidRPr="00692926">
              <w:rPr>
                <w:b/>
                <w:sz w:val="18"/>
                <w:szCs w:val="18"/>
              </w:rPr>
              <w:t>)</w:t>
            </w:r>
          </w:p>
        </w:tc>
      </w:tr>
    </w:tbl>
    <w:p w14:paraId="4B9B430E" w14:textId="77777777" w:rsidR="00FD672C" w:rsidRPr="00604C75" w:rsidRDefault="00F4021E" w:rsidP="002C3B01">
      <w:pPr>
        <w:pStyle w:val="BodyTextIndent"/>
        <w:tabs>
          <w:tab w:val="left" w:pos="420"/>
        </w:tabs>
        <w:spacing w:before="120" w:after="0"/>
        <w:ind w:left="0"/>
        <w:rPr>
          <w:b/>
          <w:sz w:val="20"/>
          <w:szCs w:val="20"/>
        </w:rPr>
      </w:pPr>
      <w:r w:rsidRPr="00604C75">
        <w:rPr>
          <w:b/>
          <w:sz w:val="20"/>
          <w:szCs w:val="20"/>
        </w:rPr>
        <w:t>d.</w:t>
      </w:r>
      <w:r w:rsidRPr="00604C75">
        <w:rPr>
          <w:b/>
          <w:sz w:val="20"/>
          <w:szCs w:val="20"/>
        </w:rPr>
        <w:tab/>
      </w:r>
      <w:r w:rsidR="00FD672C" w:rsidRPr="00604C75">
        <w:rPr>
          <w:b/>
          <w:sz w:val="20"/>
          <w:szCs w:val="20"/>
        </w:rPr>
        <w:t>Explanation on share certificates</w:t>
      </w:r>
    </w:p>
    <w:p w14:paraId="24D43926" w14:textId="77777777" w:rsidR="005E33B0" w:rsidRPr="00604C75" w:rsidRDefault="005E33B0" w:rsidP="002C3B01">
      <w:pPr>
        <w:tabs>
          <w:tab w:val="left" w:pos="1260"/>
        </w:tabs>
        <w:spacing w:before="120"/>
        <w:jc w:val="both"/>
        <w:rPr>
          <w:sz w:val="20"/>
          <w:szCs w:val="20"/>
        </w:rPr>
      </w:pPr>
      <w:r w:rsidRPr="00604C75">
        <w:rPr>
          <w:sz w:val="20"/>
          <w:szCs w:val="20"/>
        </w:rPr>
        <w:t>None.</w:t>
      </w:r>
    </w:p>
    <w:p w14:paraId="4BD049F3" w14:textId="77777777" w:rsidR="005E33B0" w:rsidRPr="00604C75" w:rsidRDefault="005E33B0" w:rsidP="002C3B01">
      <w:pPr>
        <w:pStyle w:val="BodyTextIndent"/>
        <w:tabs>
          <w:tab w:val="left" w:pos="378"/>
        </w:tabs>
        <w:spacing w:before="120" w:after="0"/>
        <w:ind w:left="406" w:hanging="406"/>
        <w:jc w:val="both"/>
        <w:rPr>
          <w:b/>
          <w:sz w:val="20"/>
          <w:szCs w:val="20"/>
        </w:rPr>
      </w:pPr>
      <w:r w:rsidRPr="00604C75">
        <w:rPr>
          <w:b/>
          <w:sz w:val="20"/>
          <w:szCs w:val="20"/>
        </w:rPr>
        <w:t>e.</w:t>
      </w:r>
      <w:r w:rsidRPr="00604C75">
        <w:rPr>
          <w:b/>
          <w:sz w:val="20"/>
          <w:szCs w:val="20"/>
        </w:rPr>
        <w:tab/>
        <w:t xml:space="preserve">Total Unrealized Gains </w:t>
      </w:r>
      <w:r w:rsidR="004B59FE" w:rsidRPr="00604C75">
        <w:rPr>
          <w:b/>
          <w:sz w:val="20"/>
          <w:szCs w:val="20"/>
        </w:rPr>
        <w:t>or</w:t>
      </w:r>
      <w:r w:rsidRPr="00604C75">
        <w:rPr>
          <w:b/>
          <w:sz w:val="20"/>
          <w:szCs w:val="20"/>
        </w:rPr>
        <w:t xml:space="preserve"> Losses, Total Revaluation Increase </w:t>
      </w:r>
      <w:r w:rsidR="004B59FE" w:rsidRPr="00604C75">
        <w:rPr>
          <w:b/>
          <w:sz w:val="20"/>
          <w:szCs w:val="20"/>
        </w:rPr>
        <w:t>and</w:t>
      </w:r>
      <w:r w:rsidRPr="00604C75">
        <w:rPr>
          <w:b/>
          <w:sz w:val="20"/>
          <w:szCs w:val="20"/>
        </w:rPr>
        <w:t xml:space="preserve"> </w:t>
      </w:r>
      <w:r w:rsidR="00FD672C" w:rsidRPr="00604C75">
        <w:rPr>
          <w:b/>
          <w:sz w:val="20"/>
          <w:szCs w:val="20"/>
        </w:rPr>
        <w:t>the</w:t>
      </w:r>
      <w:r w:rsidRPr="00604C75">
        <w:rPr>
          <w:b/>
          <w:sz w:val="20"/>
          <w:szCs w:val="20"/>
        </w:rPr>
        <w:t xml:space="preserve"> Amounts Included In Main </w:t>
      </w:r>
      <w:r w:rsidR="00FD672C" w:rsidRPr="00604C75">
        <w:rPr>
          <w:b/>
          <w:sz w:val="20"/>
          <w:szCs w:val="20"/>
        </w:rPr>
        <w:t>and</w:t>
      </w:r>
      <w:r w:rsidRPr="00604C75">
        <w:rPr>
          <w:b/>
          <w:sz w:val="20"/>
          <w:szCs w:val="20"/>
        </w:rPr>
        <w:t xml:space="preserve"> Supplementary Capital </w:t>
      </w:r>
      <w:r w:rsidR="00FD672C" w:rsidRPr="00604C75">
        <w:rPr>
          <w:b/>
          <w:sz w:val="20"/>
          <w:szCs w:val="20"/>
        </w:rPr>
        <w:t>of</w:t>
      </w:r>
      <w:r w:rsidRPr="00604C75">
        <w:rPr>
          <w:b/>
          <w:sz w:val="20"/>
          <w:szCs w:val="20"/>
        </w:rPr>
        <w:t xml:space="preserve"> These</w:t>
      </w:r>
    </w:p>
    <w:p w14:paraId="0E246518" w14:textId="77777777" w:rsidR="005E33B0" w:rsidRPr="00604C75" w:rsidRDefault="005E33B0" w:rsidP="002C3B01">
      <w:pPr>
        <w:spacing w:before="120"/>
        <w:jc w:val="both"/>
        <w:rPr>
          <w:sz w:val="20"/>
          <w:szCs w:val="20"/>
        </w:rPr>
      </w:pPr>
      <w:r w:rsidRPr="00604C75">
        <w:rPr>
          <w:sz w:val="20"/>
          <w:szCs w:val="20"/>
        </w:rPr>
        <w:t>None.</w:t>
      </w:r>
    </w:p>
    <w:p w14:paraId="30BF9DE9" w14:textId="77777777" w:rsidR="005E33B0" w:rsidRPr="00604C75" w:rsidRDefault="00697A49" w:rsidP="002C3B01">
      <w:pPr>
        <w:pStyle w:val="Heading2"/>
        <w:tabs>
          <w:tab w:val="left" w:pos="434"/>
        </w:tabs>
        <w:jc w:val="both"/>
        <w:rPr>
          <w:rFonts w:ascii="Times New Roman" w:hAnsi="Times New Roman"/>
          <w:caps/>
          <w:sz w:val="20"/>
        </w:rPr>
      </w:pPr>
      <w:r w:rsidRPr="00604C75">
        <w:rPr>
          <w:rFonts w:ascii="Times New Roman" w:hAnsi="Times New Roman"/>
          <w:caps/>
          <w:sz w:val="20"/>
        </w:rPr>
        <w:t>V</w:t>
      </w:r>
      <w:r w:rsidR="005E33B0" w:rsidRPr="00604C75">
        <w:rPr>
          <w:rFonts w:ascii="Times New Roman" w:hAnsi="Times New Roman"/>
          <w:caps/>
          <w:sz w:val="20"/>
        </w:rPr>
        <w:t>I</w:t>
      </w:r>
      <w:r w:rsidR="002678A5">
        <w:rPr>
          <w:rFonts w:ascii="Times New Roman" w:hAnsi="Times New Roman"/>
          <w:caps/>
          <w:sz w:val="20"/>
        </w:rPr>
        <w:t>ı</w:t>
      </w:r>
      <w:r w:rsidR="005E33B0" w:rsidRPr="00604C75">
        <w:rPr>
          <w:rFonts w:ascii="Times New Roman" w:hAnsi="Times New Roman"/>
          <w:caps/>
          <w:sz w:val="20"/>
        </w:rPr>
        <w:t>.</w:t>
      </w:r>
      <w:r w:rsidRPr="00604C75">
        <w:rPr>
          <w:rFonts w:ascii="Times New Roman" w:hAnsi="Times New Roman"/>
          <w:caps/>
          <w:sz w:val="20"/>
        </w:rPr>
        <w:tab/>
      </w:r>
      <w:r w:rsidR="00110417" w:rsidRPr="00604C75">
        <w:rPr>
          <w:rFonts w:ascii="Times New Roman" w:hAnsi="Times New Roman"/>
          <w:noProof/>
          <w:sz w:val="20"/>
        </w:rPr>
        <w:t>Explanations</w:t>
      </w:r>
      <w:r w:rsidR="00110417" w:rsidRPr="00604C75" w:rsidDel="00110417">
        <w:rPr>
          <w:rFonts w:ascii="Times New Roman" w:hAnsi="Times New Roman"/>
          <w:caps/>
          <w:sz w:val="20"/>
        </w:rPr>
        <w:t xml:space="preserve"> </w:t>
      </w:r>
      <w:r w:rsidR="00110417" w:rsidRPr="00604C75">
        <w:rPr>
          <w:rFonts w:ascii="Times New Roman" w:hAnsi="Times New Roman"/>
          <w:sz w:val="20"/>
        </w:rPr>
        <w:t>on Liquidity Risk</w:t>
      </w:r>
      <w:r w:rsidR="00110417" w:rsidRPr="00604C75" w:rsidDel="00110417">
        <w:rPr>
          <w:rFonts w:ascii="Times New Roman" w:hAnsi="Times New Roman"/>
          <w:caps/>
          <w:sz w:val="20"/>
        </w:rPr>
        <w:t xml:space="preserve"> </w:t>
      </w:r>
    </w:p>
    <w:p w14:paraId="7373F9A3" w14:textId="5F1EEBF2" w:rsidR="00804B50" w:rsidRPr="00604C75" w:rsidRDefault="00804B50" w:rsidP="002C3B01">
      <w:pPr>
        <w:spacing w:before="120"/>
        <w:jc w:val="both"/>
        <w:rPr>
          <w:sz w:val="20"/>
          <w:szCs w:val="20"/>
        </w:rPr>
      </w:pPr>
      <w:r w:rsidRPr="00604C75">
        <w:rPr>
          <w:sz w:val="20"/>
          <w:szCs w:val="20"/>
        </w:rPr>
        <w:t xml:space="preserve">There is a liquidity limit approved and monitored on a weekly basis by the </w:t>
      </w:r>
      <w:r w:rsidR="002C3B01">
        <w:rPr>
          <w:sz w:val="20"/>
          <w:szCs w:val="20"/>
        </w:rPr>
        <w:t xml:space="preserve">Parent </w:t>
      </w:r>
      <w:r w:rsidRPr="00604C75">
        <w:rPr>
          <w:sz w:val="20"/>
          <w:szCs w:val="20"/>
        </w:rPr>
        <w:t>Bank Risk Committee. This limit is used by the Assets-Liability Management Committee for deciding to funding sources composition and pricing policy.</w:t>
      </w:r>
    </w:p>
    <w:p w14:paraId="116DD88E" w14:textId="77777777" w:rsidR="00804B50" w:rsidRPr="00604C75" w:rsidRDefault="00804B50" w:rsidP="002C3B01">
      <w:pPr>
        <w:spacing w:before="120"/>
        <w:jc w:val="both"/>
        <w:rPr>
          <w:sz w:val="20"/>
          <w:szCs w:val="20"/>
        </w:rPr>
      </w:pPr>
      <w:r w:rsidRPr="00604C75">
        <w:rPr>
          <w:sz w:val="20"/>
          <w:szCs w:val="20"/>
        </w:rPr>
        <w:t>Maturity and interest rate mismatches impact on profitability and capital is measured using scenario analysis.</w:t>
      </w:r>
    </w:p>
    <w:p w14:paraId="73348967" w14:textId="221E6112" w:rsidR="00804B50" w:rsidRPr="00604C75" w:rsidRDefault="00804B50" w:rsidP="002C3B01">
      <w:pPr>
        <w:spacing w:before="120"/>
        <w:jc w:val="both"/>
        <w:rPr>
          <w:sz w:val="20"/>
          <w:szCs w:val="20"/>
        </w:rPr>
      </w:pPr>
      <w:r w:rsidRPr="00604C75">
        <w:rPr>
          <w:sz w:val="20"/>
          <w:szCs w:val="20"/>
        </w:rPr>
        <w:t xml:space="preserve">The </w:t>
      </w:r>
      <w:r w:rsidR="00900D58" w:rsidRPr="00604C75">
        <w:rPr>
          <w:sz w:val="20"/>
          <w:szCs w:val="20"/>
        </w:rPr>
        <w:t xml:space="preserve">Parent </w:t>
      </w:r>
      <w:r w:rsidRPr="00604C75">
        <w:rPr>
          <w:sz w:val="20"/>
          <w:szCs w:val="20"/>
        </w:rPr>
        <w:t xml:space="preserve">Bank’s most important source of liquidity is deposits denominated in TL and foreign exchange deposit accounts. In addition, there are also borrowing opportunities available from </w:t>
      </w:r>
      <w:proofErr w:type="spellStart"/>
      <w:r w:rsidRPr="00604C75">
        <w:rPr>
          <w:sz w:val="20"/>
          <w:szCs w:val="20"/>
        </w:rPr>
        <w:t>Borsa</w:t>
      </w:r>
      <w:proofErr w:type="spellEnd"/>
      <w:r w:rsidRPr="00604C75">
        <w:rPr>
          <w:sz w:val="20"/>
          <w:szCs w:val="20"/>
        </w:rPr>
        <w:t xml:space="preserve"> İstanbul repo market, </w:t>
      </w:r>
      <w:proofErr w:type="spellStart"/>
      <w:r w:rsidR="00334424" w:rsidRPr="00604C75">
        <w:rPr>
          <w:sz w:val="20"/>
          <w:szCs w:val="20"/>
        </w:rPr>
        <w:t>Takasbank</w:t>
      </w:r>
      <w:proofErr w:type="spellEnd"/>
      <w:r w:rsidR="00581957">
        <w:rPr>
          <w:sz w:val="20"/>
          <w:szCs w:val="20"/>
        </w:rPr>
        <w:t xml:space="preserve"> and I</w:t>
      </w:r>
      <w:r w:rsidRPr="00604C75">
        <w:rPr>
          <w:sz w:val="20"/>
          <w:szCs w:val="20"/>
        </w:rPr>
        <w:t xml:space="preserve">nter-bank market. </w:t>
      </w:r>
    </w:p>
    <w:p w14:paraId="1E580BF7" w14:textId="77777777" w:rsidR="00804B50" w:rsidRPr="00604C75" w:rsidRDefault="00804B50" w:rsidP="002C3B01">
      <w:pPr>
        <w:spacing w:before="120"/>
        <w:jc w:val="both"/>
        <w:rPr>
          <w:sz w:val="20"/>
          <w:szCs w:val="20"/>
        </w:rPr>
      </w:pPr>
      <w:r w:rsidRPr="00604C75">
        <w:rPr>
          <w:sz w:val="20"/>
          <w:szCs w:val="20"/>
        </w:rPr>
        <w:t xml:space="preserve">In accordance with the “Regulation on Measurement and Assessment of Liquidity Adequacy of the Banks", which came into effect after its publication in the Official Gazette numbered 26333 on 1 November 2006 by BRSA, weekly simple arithmetic average of total liquidity adequacy ratio related to the first maturity period, and total liquidity adequacy ratio related to the second maturity period cannot be less than a hundred percent; weekly simple arithmetic average of the foreign currency liquidity adequacy ratio related to first maturity period, and foreign currency liquidity adequacy ratio related to second maturity period cannot be less than eighty percent as of 1 June 2007. With the regulation published on 5 April 2008 with stock values calculated at the rate of one hundred percent not taken into account the ratio of assets to liabilities weekly simple arithmetic average shall not be less than seven percent. </w:t>
      </w:r>
      <w:r w:rsidR="003E74FF" w:rsidRPr="00604C75">
        <w:rPr>
          <w:sz w:val="20"/>
          <w:szCs w:val="20"/>
        </w:rPr>
        <w:t xml:space="preserve">In accordance </w:t>
      </w:r>
      <w:r w:rsidRPr="00604C75">
        <w:rPr>
          <w:sz w:val="20"/>
          <w:szCs w:val="20"/>
        </w:rPr>
        <w:t>with the regulation pu</w:t>
      </w:r>
      <w:r w:rsidR="00F96D43" w:rsidRPr="00604C75">
        <w:rPr>
          <w:sz w:val="20"/>
          <w:szCs w:val="20"/>
        </w:rPr>
        <w:t xml:space="preserve">blished on 11 </w:t>
      </w:r>
      <w:r w:rsidRPr="00604C75">
        <w:rPr>
          <w:sz w:val="20"/>
          <w:szCs w:val="20"/>
        </w:rPr>
        <w:t>December 2009, for the</w:t>
      </w:r>
      <w:r w:rsidR="003E74FF" w:rsidRPr="00604C75">
        <w:rPr>
          <w:sz w:val="20"/>
          <w:szCs w:val="20"/>
        </w:rPr>
        <w:t xml:space="preserve"> </w:t>
      </w:r>
      <w:r w:rsidRPr="00604C75">
        <w:rPr>
          <w:sz w:val="20"/>
          <w:szCs w:val="20"/>
        </w:rPr>
        <w:t xml:space="preserve">14 day period subject to the reserve requirement calculation the simple arithmetic average of the ratio of assets which are calculated with hundred percent weight with stock values to liabilities cannot be less than seven percent. </w:t>
      </w:r>
    </w:p>
    <w:p w14:paraId="32CFCFE8" w14:textId="673A5EE3" w:rsidR="006873F3" w:rsidRPr="00604C75" w:rsidRDefault="00A041CD" w:rsidP="00490153">
      <w:pPr>
        <w:pageBreakBefore/>
        <w:spacing w:before="120"/>
        <w:jc w:val="both"/>
        <w:rPr>
          <w:b/>
          <w:sz w:val="20"/>
          <w:szCs w:val="20"/>
        </w:rPr>
      </w:pPr>
      <w:r w:rsidRPr="00A041CD">
        <w:rPr>
          <w:b/>
          <w:sz w:val="20"/>
          <w:szCs w:val="20"/>
        </w:rPr>
        <w:lastRenderedPageBreak/>
        <w:t>INFORMATION ON THE FINANCIAL POSITION OF THE GROUP (Continued)</w:t>
      </w:r>
    </w:p>
    <w:p w14:paraId="4A9D164C" w14:textId="2E466C2F" w:rsidR="00FA020F" w:rsidRDefault="00110417" w:rsidP="008477F3">
      <w:pPr>
        <w:pStyle w:val="Heading2"/>
        <w:numPr>
          <w:ilvl w:val="0"/>
          <w:numId w:val="67"/>
        </w:numPr>
        <w:tabs>
          <w:tab w:val="left" w:pos="0"/>
        </w:tabs>
        <w:ind w:left="0" w:firstLine="0"/>
        <w:jc w:val="both"/>
        <w:rPr>
          <w:rFonts w:ascii="Times New Roman" w:hAnsi="Times New Roman"/>
          <w:sz w:val="20"/>
        </w:rPr>
      </w:pPr>
      <w:r w:rsidRPr="00604C75">
        <w:rPr>
          <w:rFonts w:ascii="Times New Roman" w:hAnsi="Times New Roman"/>
          <w:noProof/>
          <w:sz w:val="20"/>
        </w:rPr>
        <w:t>Explanations</w:t>
      </w:r>
      <w:r w:rsidRPr="00604C75" w:rsidDel="00110417">
        <w:rPr>
          <w:rFonts w:ascii="Times New Roman" w:hAnsi="Times New Roman"/>
          <w:caps/>
          <w:sz w:val="20"/>
        </w:rPr>
        <w:t xml:space="preserve"> </w:t>
      </w:r>
      <w:r w:rsidRPr="00604C75">
        <w:rPr>
          <w:rFonts w:ascii="Times New Roman" w:hAnsi="Times New Roman"/>
          <w:sz w:val="20"/>
        </w:rPr>
        <w:t>on Liquidity Risk</w:t>
      </w:r>
      <w:r w:rsidRPr="00604C75" w:rsidDel="00110417">
        <w:rPr>
          <w:rFonts w:ascii="Times New Roman" w:hAnsi="Times New Roman"/>
          <w:caps/>
          <w:sz w:val="20"/>
        </w:rPr>
        <w:t xml:space="preserve"> </w:t>
      </w:r>
      <w:r w:rsidR="00340907" w:rsidRPr="00604C75">
        <w:rPr>
          <w:rFonts w:ascii="Times New Roman" w:hAnsi="Times New Roman"/>
          <w:sz w:val="20"/>
        </w:rPr>
        <w:t>(Continued)</w:t>
      </w:r>
    </w:p>
    <w:p w14:paraId="3FC7E291" w14:textId="77777777" w:rsidR="00603922" w:rsidRPr="00743D4C" w:rsidRDefault="00603922" w:rsidP="00A13D1D">
      <w:pPr>
        <w:spacing w:before="120"/>
        <w:ind w:firstLine="720"/>
        <w:jc w:val="both"/>
        <w:rPr>
          <w:b/>
          <w:sz w:val="20"/>
          <w:szCs w:val="20"/>
        </w:rPr>
      </w:pPr>
      <w:r w:rsidRPr="00743D4C">
        <w:rPr>
          <w:b/>
          <w:sz w:val="20"/>
          <w:szCs w:val="20"/>
        </w:rPr>
        <w:t xml:space="preserve">Liquidity risk management and liquidity coverage ratio </w:t>
      </w:r>
    </w:p>
    <w:p w14:paraId="15D361A4" w14:textId="3022D631" w:rsidR="00195EDC" w:rsidRPr="00C60E8A" w:rsidRDefault="00195EDC" w:rsidP="00490153">
      <w:pPr>
        <w:spacing w:before="120"/>
        <w:jc w:val="both"/>
        <w:rPr>
          <w:b/>
          <w:sz w:val="20"/>
          <w:szCs w:val="20"/>
        </w:rPr>
      </w:pPr>
      <w:r w:rsidRPr="00C60E8A">
        <w:rPr>
          <w:b/>
          <w:sz w:val="20"/>
          <w:szCs w:val="20"/>
        </w:rPr>
        <w:t>I.</w:t>
      </w:r>
      <w:r w:rsidRPr="00C60E8A">
        <w:rPr>
          <w:b/>
          <w:sz w:val="20"/>
          <w:szCs w:val="20"/>
        </w:rPr>
        <w:tab/>
      </w:r>
      <w:r w:rsidR="00743D4C">
        <w:rPr>
          <w:b/>
          <w:sz w:val="20"/>
          <w:szCs w:val="20"/>
        </w:rPr>
        <w:t xml:space="preserve">The Matters to be </w:t>
      </w:r>
      <w:proofErr w:type="gramStart"/>
      <w:r w:rsidR="00743D4C">
        <w:rPr>
          <w:b/>
          <w:sz w:val="20"/>
          <w:szCs w:val="20"/>
        </w:rPr>
        <w:t>Considered</w:t>
      </w:r>
      <w:proofErr w:type="gramEnd"/>
      <w:r w:rsidR="00743D4C">
        <w:rPr>
          <w:b/>
          <w:sz w:val="20"/>
          <w:szCs w:val="20"/>
        </w:rPr>
        <w:t xml:space="preserve"> by Bank on Liquidity Risk</w:t>
      </w:r>
    </w:p>
    <w:p w14:paraId="584BFB9F" w14:textId="1B6EA4B8" w:rsidR="00603922" w:rsidRPr="00C60E8A" w:rsidRDefault="00195EDC" w:rsidP="00490153">
      <w:pPr>
        <w:spacing w:before="120"/>
        <w:jc w:val="both"/>
        <w:rPr>
          <w:b/>
          <w:sz w:val="20"/>
          <w:szCs w:val="20"/>
        </w:rPr>
      </w:pPr>
      <w:r w:rsidRPr="00C60E8A">
        <w:rPr>
          <w:b/>
          <w:sz w:val="20"/>
          <w:szCs w:val="20"/>
        </w:rPr>
        <w:t xml:space="preserve">1. </w:t>
      </w:r>
      <w:proofErr w:type="spellStart"/>
      <w:r w:rsidRPr="00C60E8A">
        <w:rPr>
          <w:b/>
          <w:sz w:val="20"/>
          <w:szCs w:val="20"/>
        </w:rPr>
        <w:t>a</w:t>
      </w:r>
      <w:proofErr w:type="spellEnd"/>
      <w:r w:rsidRPr="00C60E8A">
        <w:rPr>
          <w:b/>
          <w:sz w:val="20"/>
          <w:szCs w:val="20"/>
        </w:rPr>
        <w:tab/>
      </w:r>
      <w:r w:rsidR="00743D4C">
        <w:rPr>
          <w:b/>
          <w:sz w:val="20"/>
          <w:szCs w:val="20"/>
        </w:rPr>
        <w:t>Information</w:t>
      </w:r>
      <w:r w:rsidR="00CD7EA9">
        <w:rPr>
          <w:b/>
          <w:sz w:val="20"/>
          <w:szCs w:val="20"/>
        </w:rPr>
        <w:t xml:space="preserve"> on</w:t>
      </w:r>
      <w:r w:rsidR="00743D4C">
        <w:rPr>
          <w:b/>
          <w:sz w:val="20"/>
          <w:szCs w:val="20"/>
        </w:rPr>
        <w:t xml:space="preserve"> l</w:t>
      </w:r>
      <w:r w:rsidR="00603922" w:rsidRPr="00C60E8A">
        <w:rPr>
          <w:b/>
          <w:sz w:val="20"/>
          <w:szCs w:val="20"/>
        </w:rPr>
        <w:t xml:space="preserve">iquidity risk management </w:t>
      </w:r>
      <w:r w:rsidR="00743D4C">
        <w:rPr>
          <w:b/>
          <w:sz w:val="20"/>
          <w:szCs w:val="20"/>
        </w:rPr>
        <w:t>regarding</w:t>
      </w:r>
      <w:r w:rsidR="00603922" w:rsidRPr="00C60E8A">
        <w:rPr>
          <w:b/>
          <w:sz w:val="20"/>
          <w:szCs w:val="20"/>
        </w:rPr>
        <w:t xml:space="preserve"> how to provide communication with the </w:t>
      </w:r>
      <w:r w:rsidR="00743D4C">
        <w:rPr>
          <w:b/>
          <w:sz w:val="20"/>
          <w:szCs w:val="20"/>
        </w:rPr>
        <w:t>B</w:t>
      </w:r>
      <w:r w:rsidR="00603922" w:rsidRPr="00C60E8A">
        <w:rPr>
          <w:b/>
          <w:sz w:val="20"/>
          <w:szCs w:val="20"/>
        </w:rPr>
        <w:t xml:space="preserve">oard of </w:t>
      </w:r>
      <w:r w:rsidR="00743D4C">
        <w:rPr>
          <w:b/>
          <w:sz w:val="20"/>
          <w:szCs w:val="20"/>
        </w:rPr>
        <w:t>D</w:t>
      </w:r>
      <w:r w:rsidR="00603922" w:rsidRPr="00C60E8A">
        <w:rPr>
          <w:b/>
          <w:sz w:val="20"/>
          <w:szCs w:val="20"/>
        </w:rPr>
        <w:t xml:space="preserve">irectors and </w:t>
      </w:r>
      <w:r w:rsidR="00CD7EA9">
        <w:rPr>
          <w:b/>
          <w:sz w:val="20"/>
          <w:szCs w:val="20"/>
        </w:rPr>
        <w:t>line of businesses</w:t>
      </w:r>
      <w:r w:rsidR="00603922" w:rsidRPr="00C60E8A">
        <w:rPr>
          <w:b/>
          <w:sz w:val="20"/>
          <w:szCs w:val="20"/>
        </w:rPr>
        <w:t xml:space="preserve"> for risk capacity of the </w:t>
      </w:r>
      <w:r w:rsidR="00F64868">
        <w:rPr>
          <w:b/>
          <w:sz w:val="20"/>
          <w:szCs w:val="20"/>
        </w:rPr>
        <w:t xml:space="preserve">Parent </w:t>
      </w:r>
      <w:r w:rsidR="00603922" w:rsidRPr="00C60E8A">
        <w:rPr>
          <w:b/>
          <w:sz w:val="20"/>
          <w:szCs w:val="20"/>
        </w:rPr>
        <w:t xml:space="preserve">Bank, liquidity risk, responsibility and structure of management, reporting of </w:t>
      </w:r>
      <w:r w:rsidR="00867BBF">
        <w:rPr>
          <w:b/>
          <w:sz w:val="20"/>
          <w:szCs w:val="20"/>
        </w:rPr>
        <w:t xml:space="preserve">Parent </w:t>
      </w:r>
      <w:r w:rsidR="00743D4C">
        <w:rPr>
          <w:b/>
          <w:sz w:val="20"/>
          <w:szCs w:val="20"/>
        </w:rPr>
        <w:t>B</w:t>
      </w:r>
      <w:r w:rsidR="00603922" w:rsidRPr="00C60E8A">
        <w:rPr>
          <w:b/>
          <w:sz w:val="20"/>
          <w:szCs w:val="20"/>
        </w:rPr>
        <w:t>ank’s liquidity risk, liquidity risk strategy, policies and practices.</w:t>
      </w:r>
    </w:p>
    <w:p w14:paraId="3ACC9965" w14:textId="7EB1E362" w:rsidR="00C56E05" w:rsidRDefault="00603922" w:rsidP="00490153">
      <w:pPr>
        <w:pStyle w:val="Default"/>
        <w:spacing w:before="120" w:after="60"/>
        <w:jc w:val="both"/>
        <w:rPr>
          <w:color w:val="auto"/>
          <w:sz w:val="20"/>
          <w:szCs w:val="20"/>
          <w:lang w:val="en-US" w:eastAsia="en-US"/>
        </w:rPr>
      </w:pPr>
      <w:r w:rsidRPr="00C60E8A">
        <w:rPr>
          <w:color w:val="auto"/>
          <w:sz w:val="20"/>
          <w:szCs w:val="20"/>
          <w:lang w:val="en-US" w:eastAsia="en-US"/>
        </w:rPr>
        <w:t xml:space="preserve">Liquidity risk management aims to take necessary measures </w:t>
      </w:r>
      <w:r w:rsidR="00DD6C39">
        <w:rPr>
          <w:color w:val="auto"/>
          <w:sz w:val="20"/>
          <w:szCs w:val="20"/>
          <w:lang w:val="en-US" w:eastAsia="en-US"/>
        </w:rPr>
        <w:t xml:space="preserve">in a </w:t>
      </w:r>
      <w:r w:rsidRPr="00C60E8A">
        <w:rPr>
          <w:color w:val="auto"/>
          <w:sz w:val="20"/>
          <w:szCs w:val="20"/>
          <w:lang w:val="en-US" w:eastAsia="en-US"/>
        </w:rPr>
        <w:t>timely</w:t>
      </w:r>
      <w:r w:rsidR="00DD6C39">
        <w:rPr>
          <w:color w:val="auto"/>
          <w:sz w:val="20"/>
          <w:szCs w:val="20"/>
          <w:lang w:val="en-US" w:eastAsia="en-US"/>
        </w:rPr>
        <w:t xml:space="preserve"> manner</w:t>
      </w:r>
      <w:r w:rsidRPr="00C60E8A">
        <w:rPr>
          <w:color w:val="auto"/>
          <w:sz w:val="20"/>
          <w:szCs w:val="20"/>
          <w:lang w:val="en-US" w:eastAsia="en-US"/>
        </w:rPr>
        <w:t xml:space="preserve"> and correct</w:t>
      </w:r>
      <w:r w:rsidR="00DD6C39">
        <w:rPr>
          <w:color w:val="auto"/>
          <w:sz w:val="20"/>
          <w:szCs w:val="20"/>
          <w:lang w:val="en-US" w:eastAsia="en-US"/>
        </w:rPr>
        <w:t xml:space="preserve"> way</w:t>
      </w:r>
      <w:r w:rsidRPr="00C60E8A">
        <w:rPr>
          <w:color w:val="auto"/>
          <w:sz w:val="20"/>
          <w:szCs w:val="20"/>
          <w:lang w:val="en-US" w:eastAsia="en-US"/>
        </w:rPr>
        <w:t xml:space="preserve"> </w:t>
      </w:r>
      <w:r w:rsidR="00DD6C39">
        <w:rPr>
          <w:color w:val="auto"/>
          <w:sz w:val="20"/>
          <w:szCs w:val="20"/>
          <w:lang w:val="en-US" w:eastAsia="en-US"/>
        </w:rPr>
        <w:t xml:space="preserve">with respect to </w:t>
      </w:r>
      <w:r w:rsidRPr="00C60E8A">
        <w:rPr>
          <w:color w:val="auto"/>
          <w:sz w:val="20"/>
          <w:szCs w:val="20"/>
          <w:lang w:val="en-US" w:eastAsia="en-US"/>
        </w:rPr>
        <w:t xml:space="preserve">potential liquidity </w:t>
      </w:r>
      <w:r w:rsidR="00DD6C39">
        <w:rPr>
          <w:color w:val="auto"/>
          <w:sz w:val="20"/>
          <w:szCs w:val="20"/>
          <w:lang w:val="en-US" w:eastAsia="en-US"/>
        </w:rPr>
        <w:t xml:space="preserve">shortage </w:t>
      </w:r>
      <w:r w:rsidRPr="00C60E8A">
        <w:rPr>
          <w:color w:val="auto"/>
          <w:sz w:val="20"/>
          <w:szCs w:val="20"/>
          <w:lang w:val="en-US" w:eastAsia="en-US"/>
        </w:rPr>
        <w:t xml:space="preserve">caused by </w:t>
      </w:r>
      <w:r w:rsidR="00DD6C39">
        <w:rPr>
          <w:color w:val="auto"/>
          <w:sz w:val="20"/>
          <w:szCs w:val="20"/>
          <w:lang w:val="en-US" w:eastAsia="en-US"/>
        </w:rPr>
        <w:t>cash flow</w:t>
      </w:r>
      <w:r w:rsidRPr="00C60E8A">
        <w:rPr>
          <w:color w:val="auto"/>
          <w:sz w:val="20"/>
          <w:szCs w:val="20"/>
          <w:lang w:val="en-US" w:eastAsia="en-US"/>
        </w:rPr>
        <w:t xml:space="preserve"> </w:t>
      </w:r>
      <w:r w:rsidR="00DD6C39" w:rsidRPr="00C60E8A">
        <w:rPr>
          <w:color w:val="auto"/>
          <w:sz w:val="20"/>
          <w:szCs w:val="20"/>
          <w:lang w:val="en-US" w:eastAsia="en-US"/>
        </w:rPr>
        <w:t xml:space="preserve">mismatches </w:t>
      </w:r>
      <w:r w:rsidRPr="00C60E8A">
        <w:rPr>
          <w:color w:val="auto"/>
          <w:sz w:val="20"/>
          <w:szCs w:val="20"/>
          <w:lang w:val="en-US" w:eastAsia="en-US"/>
        </w:rPr>
        <w:t xml:space="preserve">of </w:t>
      </w:r>
      <w:proofErr w:type="spellStart"/>
      <w:r w:rsidR="00867BBF">
        <w:rPr>
          <w:color w:val="auto"/>
          <w:sz w:val="20"/>
          <w:szCs w:val="20"/>
          <w:lang w:val="en-US" w:eastAsia="en-US"/>
        </w:rPr>
        <w:t>PArent</w:t>
      </w:r>
      <w:proofErr w:type="spellEnd"/>
      <w:r w:rsidR="00867BBF">
        <w:rPr>
          <w:color w:val="auto"/>
          <w:sz w:val="20"/>
          <w:szCs w:val="20"/>
          <w:lang w:val="en-US" w:eastAsia="en-US"/>
        </w:rPr>
        <w:t xml:space="preserve"> </w:t>
      </w:r>
      <w:r w:rsidRPr="00C60E8A">
        <w:rPr>
          <w:color w:val="auto"/>
          <w:sz w:val="20"/>
          <w:szCs w:val="20"/>
          <w:lang w:val="en-US" w:eastAsia="en-US"/>
        </w:rPr>
        <w:t>Bank's balance sheet structure and/or market conditions. It is on</w:t>
      </w:r>
      <w:r w:rsidR="00DD6C39">
        <w:rPr>
          <w:color w:val="auto"/>
          <w:sz w:val="20"/>
          <w:szCs w:val="20"/>
          <w:lang w:val="en-US" w:eastAsia="en-US"/>
        </w:rPr>
        <w:t xml:space="preserve"> </w:t>
      </w:r>
      <w:r w:rsidR="00C56E05">
        <w:rPr>
          <w:color w:val="auto"/>
          <w:sz w:val="20"/>
          <w:szCs w:val="20"/>
          <w:lang w:val="en-US" w:eastAsia="en-US"/>
        </w:rPr>
        <w:t>g</w:t>
      </w:r>
      <w:r w:rsidR="00DD6C39">
        <w:rPr>
          <w:color w:val="auto"/>
          <w:sz w:val="20"/>
          <w:szCs w:val="20"/>
          <w:lang w:val="en-US" w:eastAsia="en-US"/>
        </w:rPr>
        <w:t>round of</w:t>
      </w:r>
      <w:r w:rsidRPr="00C60E8A">
        <w:rPr>
          <w:color w:val="auto"/>
          <w:sz w:val="20"/>
          <w:szCs w:val="20"/>
          <w:lang w:val="en-US" w:eastAsia="en-US"/>
        </w:rPr>
        <w:t xml:space="preserve"> the meeting the </w:t>
      </w:r>
      <w:r w:rsidR="00DD6C39">
        <w:rPr>
          <w:color w:val="auto"/>
          <w:sz w:val="20"/>
          <w:szCs w:val="20"/>
          <w:lang w:val="en-US" w:eastAsia="en-US"/>
        </w:rPr>
        <w:t xml:space="preserve">liquidity needs cash and disposable borrowing resources at </w:t>
      </w:r>
      <w:r w:rsidRPr="00C60E8A">
        <w:rPr>
          <w:color w:val="auto"/>
          <w:sz w:val="20"/>
          <w:szCs w:val="20"/>
          <w:lang w:val="en-US" w:eastAsia="en-US"/>
        </w:rPr>
        <w:t xml:space="preserve">specified level and time of </w:t>
      </w:r>
      <w:r w:rsidR="00DD6C39">
        <w:rPr>
          <w:color w:val="auto"/>
          <w:sz w:val="20"/>
          <w:szCs w:val="20"/>
          <w:lang w:val="en-US" w:eastAsia="en-US"/>
        </w:rPr>
        <w:t>held</w:t>
      </w:r>
      <w:r w:rsidRPr="00C60E8A">
        <w:rPr>
          <w:color w:val="auto"/>
          <w:sz w:val="20"/>
          <w:szCs w:val="20"/>
          <w:lang w:val="en-US" w:eastAsia="en-US"/>
        </w:rPr>
        <w:t xml:space="preserve"> deposits and other liabilities creating liquidity. Bank </w:t>
      </w:r>
      <w:r w:rsidR="00DD6C39">
        <w:rPr>
          <w:color w:val="auto"/>
          <w:sz w:val="20"/>
          <w:szCs w:val="20"/>
          <w:lang w:val="en-US" w:eastAsia="en-US"/>
        </w:rPr>
        <w:t>monitors</w:t>
      </w:r>
      <w:r w:rsidRPr="00C60E8A">
        <w:rPr>
          <w:color w:val="auto"/>
          <w:sz w:val="20"/>
          <w:szCs w:val="20"/>
          <w:lang w:val="en-US" w:eastAsia="en-US"/>
        </w:rPr>
        <w:t xml:space="preserve"> liquidity position both in terms of foreign currency and total liquidity basis. </w:t>
      </w:r>
    </w:p>
    <w:p w14:paraId="4E3AEE02" w14:textId="589AD4C1" w:rsidR="00195EDC" w:rsidRPr="00C60E8A" w:rsidRDefault="00603922" w:rsidP="00C56E05">
      <w:pPr>
        <w:pStyle w:val="Default"/>
        <w:spacing w:before="120" w:after="60"/>
        <w:jc w:val="both"/>
        <w:rPr>
          <w:sz w:val="20"/>
          <w:szCs w:val="20"/>
        </w:rPr>
      </w:pPr>
      <w:r w:rsidRPr="00C60E8A">
        <w:rPr>
          <w:color w:val="auto"/>
          <w:sz w:val="20"/>
          <w:szCs w:val="20"/>
          <w:lang w:val="en-US" w:eastAsia="en-US"/>
        </w:rPr>
        <w:t xml:space="preserve">According to the liquidity risk management about the liquidity position, necessary guidance to the </w:t>
      </w:r>
      <w:r w:rsidR="00DD6C39">
        <w:rPr>
          <w:color w:val="auto"/>
          <w:sz w:val="20"/>
          <w:szCs w:val="20"/>
          <w:lang w:val="en-US" w:eastAsia="en-US"/>
        </w:rPr>
        <w:t>line</w:t>
      </w:r>
      <w:r w:rsidR="00C56E05">
        <w:rPr>
          <w:color w:val="auto"/>
          <w:sz w:val="20"/>
          <w:szCs w:val="20"/>
          <w:lang w:val="en-US" w:eastAsia="en-US"/>
        </w:rPr>
        <w:t>s</w:t>
      </w:r>
      <w:r w:rsidR="00DD6C39">
        <w:rPr>
          <w:color w:val="auto"/>
          <w:sz w:val="20"/>
          <w:szCs w:val="20"/>
          <w:lang w:val="en-US" w:eastAsia="en-US"/>
        </w:rPr>
        <w:t xml:space="preserve"> of </w:t>
      </w:r>
      <w:r w:rsidRPr="00C60E8A">
        <w:rPr>
          <w:color w:val="auto"/>
          <w:sz w:val="20"/>
          <w:szCs w:val="20"/>
          <w:lang w:val="en-US" w:eastAsia="en-US"/>
        </w:rPr>
        <w:t xml:space="preserve">business and pricing </w:t>
      </w:r>
      <w:r w:rsidR="00DD6C39">
        <w:rPr>
          <w:color w:val="auto"/>
          <w:sz w:val="20"/>
          <w:szCs w:val="20"/>
          <w:lang w:val="en-US" w:eastAsia="en-US"/>
        </w:rPr>
        <w:t>performed</w:t>
      </w:r>
      <w:r w:rsidRPr="00C60E8A">
        <w:rPr>
          <w:color w:val="auto"/>
          <w:sz w:val="20"/>
          <w:szCs w:val="20"/>
          <w:lang w:val="en-US" w:eastAsia="en-US"/>
        </w:rPr>
        <w:t xml:space="preserve"> by the Asset and Liability Management Department by taking into account the cash flow of the Bank with maturities.</w:t>
      </w:r>
      <w:r w:rsidR="001D7713">
        <w:rPr>
          <w:color w:val="auto"/>
          <w:sz w:val="20"/>
          <w:szCs w:val="20"/>
          <w:lang w:val="en-US" w:eastAsia="en-US"/>
        </w:rPr>
        <w:t xml:space="preserve"> </w:t>
      </w:r>
      <w:r w:rsidRPr="001D7713">
        <w:rPr>
          <w:sz w:val="20"/>
          <w:szCs w:val="20"/>
        </w:rPr>
        <w:t xml:space="preserve">Liquidity risk informations are reported regularly to the </w:t>
      </w:r>
      <w:r w:rsidR="00DD6C39" w:rsidRPr="001D7713">
        <w:rPr>
          <w:sz w:val="20"/>
          <w:szCs w:val="20"/>
        </w:rPr>
        <w:t xml:space="preserve">such </w:t>
      </w:r>
      <w:r w:rsidRPr="001D7713">
        <w:rPr>
          <w:sz w:val="20"/>
          <w:szCs w:val="20"/>
        </w:rPr>
        <w:t xml:space="preserve">Asset and Liability Committee and </w:t>
      </w:r>
      <w:r w:rsidR="00DD6C39" w:rsidRPr="001D7713">
        <w:rPr>
          <w:sz w:val="20"/>
          <w:szCs w:val="20"/>
        </w:rPr>
        <w:t>M</w:t>
      </w:r>
      <w:r w:rsidRPr="001D7713">
        <w:rPr>
          <w:sz w:val="20"/>
          <w:szCs w:val="20"/>
        </w:rPr>
        <w:t xml:space="preserve">anagement </w:t>
      </w:r>
      <w:r w:rsidR="00DD6C39" w:rsidRPr="001D7713">
        <w:rPr>
          <w:sz w:val="20"/>
          <w:szCs w:val="20"/>
        </w:rPr>
        <w:t>R</w:t>
      </w:r>
      <w:r w:rsidRPr="001D7713">
        <w:rPr>
          <w:sz w:val="20"/>
          <w:szCs w:val="20"/>
        </w:rPr>
        <w:t xml:space="preserve">isk </w:t>
      </w:r>
      <w:r w:rsidR="00DD6C39" w:rsidRPr="001D7713">
        <w:rPr>
          <w:sz w:val="20"/>
          <w:szCs w:val="20"/>
        </w:rPr>
        <w:t>C</w:t>
      </w:r>
      <w:r w:rsidRPr="001D7713">
        <w:rPr>
          <w:sz w:val="20"/>
          <w:szCs w:val="20"/>
        </w:rPr>
        <w:t>ommittees</w:t>
      </w:r>
      <w:r w:rsidR="00DD6C39" w:rsidRPr="001D7713">
        <w:rPr>
          <w:sz w:val="20"/>
          <w:szCs w:val="20"/>
        </w:rPr>
        <w:t>.</w:t>
      </w:r>
      <w:r w:rsidR="00C56E05">
        <w:rPr>
          <w:sz w:val="20"/>
          <w:szCs w:val="20"/>
        </w:rPr>
        <w:t xml:space="preserve"> </w:t>
      </w:r>
      <w:r w:rsidR="001D7713" w:rsidRPr="001D7713">
        <w:rPr>
          <w:sz w:val="20"/>
          <w:szCs w:val="20"/>
        </w:rPr>
        <w:t xml:space="preserve">The liquidity risk parameters determined within the frame of liquidity risk parameters are monitored </w:t>
      </w:r>
      <w:r w:rsidR="00C56E05" w:rsidRPr="001D7713">
        <w:rPr>
          <w:sz w:val="20"/>
          <w:szCs w:val="20"/>
        </w:rPr>
        <w:t xml:space="preserve">and reported to the business units </w:t>
      </w:r>
      <w:r w:rsidR="001D7713" w:rsidRPr="001D7713">
        <w:rPr>
          <w:sz w:val="20"/>
          <w:szCs w:val="20"/>
        </w:rPr>
        <w:t>by Risk Management consistently. The actions need to be taken in conditions such as convergence and excess of limits are decided by Asset-Liability Committee.</w:t>
      </w:r>
    </w:p>
    <w:p w14:paraId="45C9961F" w14:textId="26A6117F" w:rsidR="00195EDC" w:rsidRPr="00C60E8A" w:rsidRDefault="00195EDC" w:rsidP="00490153">
      <w:pPr>
        <w:adjustRightInd w:val="0"/>
        <w:spacing w:before="120" w:line="240" w:lineRule="exact"/>
        <w:ind w:left="709" w:hanging="709"/>
        <w:jc w:val="both"/>
        <w:rPr>
          <w:b/>
          <w:sz w:val="20"/>
          <w:szCs w:val="20"/>
        </w:rPr>
      </w:pPr>
      <w:proofErr w:type="gramStart"/>
      <w:r w:rsidRPr="00C60E8A">
        <w:rPr>
          <w:b/>
          <w:sz w:val="20"/>
          <w:szCs w:val="20"/>
        </w:rPr>
        <w:t>1.b</w:t>
      </w:r>
      <w:proofErr w:type="gramEnd"/>
      <w:r w:rsidRPr="00C60E8A">
        <w:rPr>
          <w:b/>
          <w:i/>
          <w:sz w:val="22"/>
          <w:szCs w:val="22"/>
        </w:rPr>
        <w:tab/>
      </w:r>
      <w:r w:rsidR="00603922" w:rsidRPr="00C60E8A">
        <w:rPr>
          <w:b/>
          <w:sz w:val="20"/>
          <w:szCs w:val="20"/>
        </w:rPr>
        <w:t xml:space="preserve">Information </w:t>
      </w:r>
      <w:r w:rsidR="00DC1F4D">
        <w:rPr>
          <w:b/>
          <w:sz w:val="20"/>
          <w:szCs w:val="20"/>
        </w:rPr>
        <w:t>on</w:t>
      </w:r>
      <w:r w:rsidR="00603922" w:rsidRPr="00C60E8A">
        <w:rPr>
          <w:b/>
          <w:sz w:val="20"/>
          <w:szCs w:val="20"/>
        </w:rPr>
        <w:t xml:space="preserve"> the centralization </w:t>
      </w:r>
      <w:r w:rsidR="00DC1F4D" w:rsidRPr="00C60E8A">
        <w:rPr>
          <w:b/>
          <w:sz w:val="20"/>
          <w:szCs w:val="20"/>
        </w:rPr>
        <w:t>degree</w:t>
      </w:r>
      <w:r w:rsidR="00DC1F4D">
        <w:rPr>
          <w:b/>
          <w:sz w:val="20"/>
          <w:szCs w:val="20"/>
        </w:rPr>
        <w:t xml:space="preserve"> </w:t>
      </w:r>
      <w:r w:rsidR="00603922" w:rsidRPr="00C60E8A">
        <w:rPr>
          <w:b/>
          <w:sz w:val="20"/>
          <w:szCs w:val="20"/>
        </w:rPr>
        <w:t xml:space="preserve">of liquidity management and funding strategy and the </w:t>
      </w:r>
      <w:r w:rsidR="00DC1F4D">
        <w:rPr>
          <w:b/>
          <w:sz w:val="20"/>
          <w:szCs w:val="20"/>
        </w:rPr>
        <w:t xml:space="preserve">operation between the </w:t>
      </w:r>
      <w:r w:rsidR="00867BBF">
        <w:rPr>
          <w:b/>
          <w:sz w:val="20"/>
          <w:szCs w:val="20"/>
        </w:rPr>
        <w:t xml:space="preserve">Parent </w:t>
      </w:r>
      <w:r w:rsidR="00DC1F4D">
        <w:rPr>
          <w:b/>
          <w:sz w:val="20"/>
          <w:szCs w:val="20"/>
        </w:rPr>
        <w:t xml:space="preserve">Bank and the </w:t>
      </w:r>
      <w:r w:rsidR="00867BBF">
        <w:rPr>
          <w:b/>
          <w:sz w:val="20"/>
          <w:szCs w:val="20"/>
        </w:rPr>
        <w:t xml:space="preserve">Parent </w:t>
      </w:r>
      <w:r w:rsidR="00DC1F4D">
        <w:rPr>
          <w:b/>
          <w:sz w:val="20"/>
          <w:szCs w:val="20"/>
        </w:rPr>
        <w:t>B</w:t>
      </w:r>
      <w:r w:rsidR="00603922" w:rsidRPr="00C60E8A">
        <w:rPr>
          <w:b/>
          <w:sz w:val="20"/>
          <w:szCs w:val="20"/>
        </w:rPr>
        <w:t xml:space="preserve">ank's </w:t>
      </w:r>
      <w:r w:rsidR="00DC1F4D">
        <w:rPr>
          <w:b/>
          <w:sz w:val="20"/>
          <w:szCs w:val="20"/>
        </w:rPr>
        <w:t>shareholders</w:t>
      </w:r>
      <w:r w:rsidR="00603922" w:rsidRPr="00C60E8A">
        <w:rPr>
          <w:b/>
          <w:sz w:val="20"/>
          <w:szCs w:val="20"/>
        </w:rPr>
        <w:t>:</w:t>
      </w:r>
    </w:p>
    <w:p w14:paraId="02F369AA" w14:textId="589357F8" w:rsidR="00603922" w:rsidRPr="00C60E8A" w:rsidRDefault="00603922" w:rsidP="00490153">
      <w:pPr>
        <w:adjustRightInd w:val="0"/>
        <w:spacing w:before="120" w:line="240" w:lineRule="exact"/>
        <w:jc w:val="both"/>
        <w:rPr>
          <w:sz w:val="20"/>
          <w:szCs w:val="20"/>
          <w:lang w:val="tr-TR" w:eastAsia="zh-CN"/>
        </w:rPr>
      </w:pPr>
      <w:r w:rsidRPr="00C60E8A">
        <w:rPr>
          <w:sz w:val="20"/>
          <w:szCs w:val="20"/>
          <w:lang w:val="tr-TR" w:eastAsia="zh-CN"/>
        </w:rPr>
        <w:t xml:space="preserve">The responsibility of liquidity risk management in accordance with the risk appetite determined by the Board of Directors belongs to the Treasury Asset-Liability Management Department. Risk Management </w:t>
      </w:r>
      <w:r w:rsidR="007A14D6">
        <w:rPr>
          <w:sz w:val="20"/>
          <w:szCs w:val="20"/>
          <w:lang w:val="tr-TR" w:eastAsia="zh-CN"/>
        </w:rPr>
        <w:t xml:space="preserve">Department </w:t>
      </w:r>
      <w:r w:rsidRPr="00C60E8A">
        <w:rPr>
          <w:sz w:val="20"/>
          <w:szCs w:val="20"/>
          <w:lang w:val="tr-TR" w:eastAsia="zh-CN"/>
        </w:rPr>
        <w:t xml:space="preserve">is </w:t>
      </w:r>
      <w:r w:rsidR="00DC1F4D">
        <w:rPr>
          <w:sz w:val="20"/>
          <w:szCs w:val="20"/>
          <w:lang w:val="tr-TR" w:eastAsia="zh-CN"/>
        </w:rPr>
        <w:t xml:space="preserve">responsible for determining the </w:t>
      </w:r>
      <w:r w:rsidRPr="00C60E8A">
        <w:rPr>
          <w:sz w:val="20"/>
          <w:szCs w:val="20"/>
          <w:lang w:val="tr-TR" w:eastAsia="zh-CN"/>
        </w:rPr>
        <w:t>level of bank</w:t>
      </w:r>
      <w:r w:rsidR="00DC1F4D">
        <w:rPr>
          <w:sz w:val="20"/>
          <w:szCs w:val="20"/>
          <w:lang w:val="tr-TR" w:eastAsia="zh-CN"/>
        </w:rPr>
        <w:t>-wide</w:t>
      </w:r>
      <w:r w:rsidRPr="00C60E8A">
        <w:rPr>
          <w:sz w:val="20"/>
          <w:szCs w:val="20"/>
          <w:lang w:val="tr-TR" w:eastAsia="zh-CN"/>
        </w:rPr>
        <w:t xml:space="preserve"> liquidity risk, </w:t>
      </w:r>
      <w:r w:rsidR="00DC1F4D">
        <w:rPr>
          <w:sz w:val="20"/>
          <w:szCs w:val="20"/>
          <w:lang w:val="tr-TR" w:eastAsia="zh-CN"/>
        </w:rPr>
        <w:t>and its measurement</w:t>
      </w:r>
      <w:r w:rsidRPr="00C60E8A">
        <w:rPr>
          <w:sz w:val="20"/>
          <w:szCs w:val="20"/>
          <w:lang w:val="tr-TR" w:eastAsia="zh-CN"/>
        </w:rPr>
        <w:t xml:space="preserve">, monitoring and reporting. Liquidity management and funding strategies of </w:t>
      </w:r>
      <w:r w:rsidR="00867BBF">
        <w:rPr>
          <w:sz w:val="20"/>
          <w:szCs w:val="20"/>
          <w:lang w:val="tr-TR" w:eastAsia="zh-CN"/>
        </w:rPr>
        <w:t xml:space="preserve">Parent </w:t>
      </w:r>
      <w:r w:rsidRPr="00C60E8A">
        <w:rPr>
          <w:sz w:val="20"/>
          <w:szCs w:val="20"/>
          <w:lang w:val="tr-TR" w:eastAsia="zh-CN"/>
        </w:rPr>
        <w:t xml:space="preserve">Bank and </w:t>
      </w:r>
      <w:r w:rsidR="00DC1F4D">
        <w:rPr>
          <w:sz w:val="20"/>
          <w:szCs w:val="20"/>
          <w:lang w:val="tr-TR" w:eastAsia="zh-CN"/>
        </w:rPr>
        <w:t>its shareholders</w:t>
      </w:r>
      <w:r w:rsidRPr="00C60E8A">
        <w:rPr>
          <w:sz w:val="20"/>
          <w:szCs w:val="20"/>
          <w:lang w:val="tr-TR" w:eastAsia="zh-CN"/>
        </w:rPr>
        <w:t xml:space="preserve"> are determined by </w:t>
      </w:r>
      <w:r w:rsidR="00867BBF">
        <w:rPr>
          <w:sz w:val="20"/>
          <w:szCs w:val="20"/>
          <w:lang w:val="tr-TR" w:eastAsia="zh-CN"/>
        </w:rPr>
        <w:t xml:space="preserve">Parent </w:t>
      </w:r>
      <w:r w:rsidRPr="00C60E8A">
        <w:rPr>
          <w:sz w:val="20"/>
          <w:szCs w:val="20"/>
          <w:lang w:val="tr-TR" w:eastAsia="zh-CN"/>
        </w:rPr>
        <w:t>Bank</w:t>
      </w:r>
      <w:r w:rsidR="00DC1F4D">
        <w:rPr>
          <w:sz w:val="20"/>
          <w:szCs w:val="20"/>
          <w:lang w:val="tr-TR" w:eastAsia="zh-CN"/>
        </w:rPr>
        <w:t>’s</w:t>
      </w:r>
      <w:r w:rsidRPr="00C60E8A">
        <w:rPr>
          <w:sz w:val="20"/>
          <w:szCs w:val="20"/>
          <w:lang w:val="tr-TR" w:eastAsia="zh-CN"/>
        </w:rPr>
        <w:t xml:space="preserve"> Asset and Liability Management Committees and monitored by the Treasury</w:t>
      </w:r>
      <w:r w:rsidR="00DC1F4D">
        <w:rPr>
          <w:sz w:val="20"/>
          <w:szCs w:val="20"/>
          <w:lang w:val="tr-TR" w:eastAsia="zh-CN"/>
        </w:rPr>
        <w:t xml:space="preserve"> Department</w:t>
      </w:r>
      <w:r w:rsidRPr="00C60E8A">
        <w:rPr>
          <w:sz w:val="20"/>
          <w:szCs w:val="20"/>
          <w:lang w:val="tr-TR" w:eastAsia="zh-CN"/>
        </w:rPr>
        <w:t>.</w:t>
      </w:r>
    </w:p>
    <w:p w14:paraId="133EF521" w14:textId="27A29ABD" w:rsidR="00195EDC" w:rsidRPr="00C60E8A" w:rsidRDefault="00195EDC" w:rsidP="00490153">
      <w:pPr>
        <w:adjustRightInd w:val="0"/>
        <w:spacing w:before="120" w:line="240" w:lineRule="exact"/>
        <w:jc w:val="both"/>
        <w:rPr>
          <w:b/>
          <w:sz w:val="20"/>
          <w:szCs w:val="20"/>
        </w:rPr>
      </w:pPr>
      <w:proofErr w:type="gramStart"/>
      <w:r w:rsidRPr="00C60E8A">
        <w:rPr>
          <w:b/>
          <w:sz w:val="20"/>
          <w:szCs w:val="20"/>
        </w:rPr>
        <w:t>1.c</w:t>
      </w:r>
      <w:proofErr w:type="gramEnd"/>
      <w:r w:rsidRPr="00C60E8A">
        <w:rPr>
          <w:b/>
          <w:sz w:val="20"/>
          <w:szCs w:val="20"/>
        </w:rPr>
        <w:tab/>
      </w:r>
      <w:r w:rsidR="00603922" w:rsidRPr="00C60E8A">
        <w:rPr>
          <w:b/>
          <w:sz w:val="20"/>
          <w:szCs w:val="20"/>
        </w:rPr>
        <w:t xml:space="preserve">Information </w:t>
      </w:r>
      <w:r w:rsidR="00DC1F4D">
        <w:rPr>
          <w:b/>
          <w:sz w:val="20"/>
          <w:szCs w:val="20"/>
        </w:rPr>
        <w:t xml:space="preserve">on the </w:t>
      </w:r>
      <w:r w:rsidR="00867BBF">
        <w:rPr>
          <w:b/>
          <w:sz w:val="20"/>
          <w:szCs w:val="20"/>
        </w:rPr>
        <w:t xml:space="preserve">Parent </w:t>
      </w:r>
      <w:r w:rsidR="00DC1F4D">
        <w:rPr>
          <w:b/>
          <w:sz w:val="20"/>
          <w:szCs w:val="20"/>
        </w:rPr>
        <w:t>B</w:t>
      </w:r>
      <w:r w:rsidR="00603922" w:rsidRPr="00C60E8A">
        <w:rPr>
          <w:b/>
          <w:sz w:val="20"/>
          <w:szCs w:val="20"/>
        </w:rPr>
        <w:t xml:space="preserve">ank's funding strategy including policies on diversity of </w:t>
      </w:r>
      <w:r w:rsidR="00DC1F4D">
        <w:rPr>
          <w:b/>
          <w:sz w:val="20"/>
          <w:szCs w:val="20"/>
        </w:rPr>
        <w:t>fund terms and resources</w:t>
      </w:r>
    </w:p>
    <w:p w14:paraId="579C6808" w14:textId="4D2F9F69" w:rsidR="00603922" w:rsidRPr="00C60E8A" w:rsidRDefault="00603922" w:rsidP="00490153">
      <w:pPr>
        <w:tabs>
          <w:tab w:val="left" w:pos="284"/>
          <w:tab w:val="left" w:pos="426"/>
        </w:tabs>
        <w:adjustRightInd w:val="0"/>
        <w:spacing w:before="120" w:line="240" w:lineRule="exact"/>
        <w:jc w:val="both"/>
        <w:rPr>
          <w:sz w:val="20"/>
          <w:szCs w:val="20"/>
          <w:lang w:val="tr-TR" w:eastAsia="zh-CN"/>
        </w:rPr>
      </w:pPr>
      <w:r w:rsidRPr="00C60E8A">
        <w:rPr>
          <w:sz w:val="20"/>
          <w:szCs w:val="20"/>
          <w:lang w:val="tr-TR" w:eastAsia="zh-CN"/>
        </w:rPr>
        <w:t xml:space="preserve">For the </w:t>
      </w:r>
      <w:r w:rsidR="00867BBF">
        <w:rPr>
          <w:sz w:val="20"/>
          <w:szCs w:val="20"/>
          <w:lang w:val="tr-TR" w:eastAsia="zh-CN"/>
        </w:rPr>
        <w:t xml:space="preserve">Parent </w:t>
      </w:r>
      <w:r w:rsidRPr="00C60E8A">
        <w:rPr>
          <w:sz w:val="20"/>
          <w:szCs w:val="20"/>
          <w:lang w:val="tr-TR" w:eastAsia="zh-CN"/>
        </w:rPr>
        <w:t xml:space="preserve">Bank's effective, correct and sustainable liquidity risk management, it is provided to be followed by the relevant committees with the approval of Liquidity Management Policy Board. The </w:t>
      </w:r>
      <w:r w:rsidR="00867BBF">
        <w:rPr>
          <w:sz w:val="20"/>
          <w:szCs w:val="20"/>
          <w:lang w:val="tr-TR" w:eastAsia="zh-CN"/>
        </w:rPr>
        <w:t xml:space="preserve">Parent </w:t>
      </w:r>
      <w:r w:rsidRPr="00C60E8A">
        <w:rPr>
          <w:sz w:val="20"/>
          <w:szCs w:val="20"/>
          <w:lang w:val="tr-TR" w:eastAsia="zh-CN"/>
        </w:rPr>
        <w:t xml:space="preserve">Bank's </w:t>
      </w:r>
      <w:r w:rsidR="00605479">
        <w:rPr>
          <w:sz w:val="20"/>
          <w:szCs w:val="20"/>
          <w:lang w:val="tr-TR" w:eastAsia="zh-CN"/>
        </w:rPr>
        <w:t>core</w:t>
      </w:r>
      <w:r w:rsidRPr="00C60E8A">
        <w:rPr>
          <w:sz w:val="20"/>
          <w:szCs w:val="20"/>
          <w:lang w:val="tr-TR" w:eastAsia="zh-CN"/>
        </w:rPr>
        <w:t xml:space="preserve"> funding source has been targeted as a deposit. Non-deposit funding sources are used to provide a variety of </w:t>
      </w:r>
      <w:r w:rsidR="00DC1F4D">
        <w:rPr>
          <w:sz w:val="20"/>
          <w:szCs w:val="20"/>
          <w:lang w:val="tr-TR" w:eastAsia="zh-CN"/>
        </w:rPr>
        <w:t xml:space="preserve">core </w:t>
      </w:r>
      <w:r w:rsidRPr="00C60E8A">
        <w:rPr>
          <w:sz w:val="20"/>
          <w:szCs w:val="20"/>
          <w:lang w:val="tr-TR" w:eastAsia="zh-CN"/>
        </w:rPr>
        <w:t xml:space="preserve">sources and maturities. These resources are mainly syndicated loans, subordinated loans and bond issuances. </w:t>
      </w:r>
      <w:r w:rsidR="00DC1F4D">
        <w:rPr>
          <w:sz w:val="20"/>
          <w:szCs w:val="20"/>
          <w:lang w:val="tr-TR" w:eastAsia="zh-CN"/>
        </w:rPr>
        <w:t>Despite term of deposits</w:t>
      </w:r>
      <w:r w:rsidRPr="00C60E8A">
        <w:rPr>
          <w:sz w:val="20"/>
          <w:szCs w:val="20"/>
          <w:lang w:val="tr-TR" w:eastAsia="zh-CN"/>
        </w:rPr>
        <w:t xml:space="preserve"> are determined by market conditions and </w:t>
      </w:r>
      <w:r w:rsidR="00DC1F4D">
        <w:rPr>
          <w:sz w:val="20"/>
          <w:szCs w:val="20"/>
          <w:lang w:val="tr-TR" w:eastAsia="zh-CN"/>
        </w:rPr>
        <w:t xml:space="preserve">generally on </w:t>
      </w:r>
      <w:r w:rsidRPr="00C60E8A">
        <w:rPr>
          <w:sz w:val="20"/>
          <w:szCs w:val="20"/>
          <w:lang w:val="tr-TR" w:eastAsia="zh-CN"/>
        </w:rPr>
        <w:t>short term</w:t>
      </w:r>
      <w:r w:rsidR="00DC1F4D">
        <w:rPr>
          <w:sz w:val="20"/>
          <w:szCs w:val="20"/>
          <w:lang w:val="tr-TR" w:eastAsia="zh-CN"/>
        </w:rPr>
        <w:t xml:space="preserve"> basis</w:t>
      </w:r>
      <w:r w:rsidRPr="00C60E8A">
        <w:rPr>
          <w:sz w:val="20"/>
          <w:szCs w:val="20"/>
          <w:lang w:val="tr-TR" w:eastAsia="zh-CN"/>
        </w:rPr>
        <w:t xml:space="preserve">, it </w:t>
      </w:r>
      <w:r w:rsidR="00605479">
        <w:rPr>
          <w:sz w:val="20"/>
          <w:szCs w:val="20"/>
          <w:lang w:val="tr-TR" w:eastAsia="zh-CN"/>
        </w:rPr>
        <w:t xml:space="preserve">is </w:t>
      </w:r>
      <w:r w:rsidRPr="00C60E8A">
        <w:rPr>
          <w:sz w:val="20"/>
          <w:szCs w:val="20"/>
          <w:lang w:val="tr-TR" w:eastAsia="zh-CN"/>
        </w:rPr>
        <w:t>aim</w:t>
      </w:r>
      <w:r w:rsidR="00DC1F4D">
        <w:rPr>
          <w:sz w:val="20"/>
          <w:szCs w:val="20"/>
          <w:lang w:val="tr-TR" w:eastAsia="zh-CN"/>
        </w:rPr>
        <w:t>ed to collect</w:t>
      </w:r>
      <w:r w:rsidRPr="00C60E8A">
        <w:rPr>
          <w:sz w:val="20"/>
          <w:szCs w:val="20"/>
          <w:lang w:val="tr-TR" w:eastAsia="zh-CN"/>
        </w:rPr>
        <w:t xml:space="preserve"> the deposits of customers who have high stickiness to the </w:t>
      </w:r>
      <w:r w:rsidR="00605479">
        <w:rPr>
          <w:sz w:val="20"/>
          <w:szCs w:val="20"/>
          <w:lang w:val="tr-TR" w:eastAsia="zh-CN"/>
        </w:rPr>
        <w:t>B</w:t>
      </w:r>
      <w:r w:rsidRPr="00C60E8A">
        <w:rPr>
          <w:sz w:val="20"/>
          <w:szCs w:val="20"/>
          <w:lang w:val="tr-TR" w:eastAsia="zh-CN"/>
        </w:rPr>
        <w:t>ank. Non-deposit sources also preferred because they are more long-term resources.</w:t>
      </w:r>
    </w:p>
    <w:p w14:paraId="70831E57" w14:textId="64700E34" w:rsidR="00195EDC" w:rsidRPr="00C60E8A" w:rsidRDefault="00634087" w:rsidP="00490153">
      <w:pPr>
        <w:tabs>
          <w:tab w:val="left" w:pos="284"/>
          <w:tab w:val="left" w:pos="426"/>
        </w:tabs>
        <w:adjustRightInd w:val="0"/>
        <w:spacing w:before="120" w:line="240" w:lineRule="exact"/>
        <w:jc w:val="both"/>
        <w:rPr>
          <w:b/>
          <w:sz w:val="20"/>
          <w:szCs w:val="20"/>
        </w:rPr>
      </w:pPr>
      <w:r>
        <w:rPr>
          <w:b/>
          <w:sz w:val="20"/>
          <w:szCs w:val="20"/>
        </w:rPr>
        <w:t>1.ç</w:t>
      </w:r>
      <w:r w:rsidR="00195EDC" w:rsidRPr="00C60E8A">
        <w:rPr>
          <w:b/>
          <w:sz w:val="20"/>
          <w:szCs w:val="20"/>
        </w:rPr>
        <w:tab/>
      </w:r>
      <w:r w:rsidR="00195EDC" w:rsidRPr="00C60E8A">
        <w:rPr>
          <w:b/>
          <w:sz w:val="20"/>
          <w:szCs w:val="20"/>
        </w:rPr>
        <w:tab/>
      </w:r>
      <w:r w:rsidR="00195EDC" w:rsidRPr="00C60E8A">
        <w:rPr>
          <w:b/>
          <w:sz w:val="20"/>
          <w:szCs w:val="20"/>
        </w:rPr>
        <w:tab/>
      </w:r>
      <w:r w:rsidR="00603922" w:rsidRPr="001D7713">
        <w:rPr>
          <w:b/>
          <w:sz w:val="20"/>
          <w:szCs w:val="20"/>
        </w:rPr>
        <w:t>Information on</w:t>
      </w:r>
      <w:r w:rsidR="00603922" w:rsidRPr="00C60E8A">
        <w:rPr>
          <w:b/>
          <w:sz w:val="20"/>
          <w:szCs w:val="20"/>
        </w:rPr>
        <w:t xml:space="preserve"> liquidity management on the basis of currencies constitute the minimum five percentage of the Bank's total liabilities</w:t>
      </w:r>
    </w:p>
    <w:p w14:paraId="33EF5508" w14:textId="38BE1AF2" w:rsidR="00603922" w:rsidRPr="00C60E8A" w:rsidRDefault="00603922" w:rsidP="00490153">
      <w:pPr>
        <w:adjustRightInd w:val="0"/>
        <w:spacing w:before="120" w:line="240" w:lineRule="exact"/>
        <w:jc w:val="both"/>
        <w:rPr>
          <w:sz w:val="20"/>
          <w:szCs w:val="20"/>
          <w:lang w:val="tr-TR" w:eastAsia="zh-CN"/>
        </w:rPr>
      </w:pPr>
      <w:r w:rsidRPr="00C60E8A">
        <w:rPr>
          <w:sz w:val="20"/>
          <w:szCs w:val="20"/>
          <w:lang w:val="tr-TR" w:eastAsia="zh-CN"/>
        </w:rPr>
        <w:t>Turkish Lira, US Dollars and Euros are the currencies that constitute the minimum five per cent of the Bank's liabilities.</w:t>
      </w:r>
      <w:r w:rsidR="003E2FCE">
        <w:rPr>
          <w:sz w:val="20"/>
          <w:szCs w:val="20"/>
          <w:lang w:val="tr-TR" w:eastAsia="zh-CN"/>
        </w:rPr>
        <w:t xml:space="preserve"> </w:t>
      </w:r>
      <w:r w:rsidR="001D7713">
        <w:rPr>
          <w:sz w:val="20"/>
          <w:szCs w:val="20"/>
          <w:lang w:val="tr-TR" w:eastAsia="zh-CN"/>
        </w:rPr>
        <w:t>It is intended to have effective foreign currency and liquidity risk management analysing these currencies on foreign exchange and total liquidity management basis.</w:t>
      </w:r>
      <w:r w:rsidRPr="00C60E8A">
        <w:rPr>
          <w:sz w:val="20"/>
          <w:szCs w:val="20"/>
          <w:lang w:val="tr-TR" w:eastAsia="zh-CN"/>
        </w:rPr>
        <w:t xml:space="preserve">  Liquidity gap analysis are measured and managed with the same way. Deposits and other long term sources should be </w:t>
      </w:r>
      <w:r w:rsidR="001D7713">
        <w:rPr>
          <w:sz w:val="20"/>
          <w:szCs w:val="20"/>
          <w:lang w:val="tr-TR" w:eastAsia="zh-CN"/>
        </w:rPr>
        <w:t>preffered</w:t>
      </w:r>
      <w:r w:rsidRPr="00C60E8A">
        <w:rPr>
          <w:sz w:val="20"/>
          <w:szCs w:val="20"/>
          <w:lang w:val="tr-TR" w:eastAsia="zh-CN"/>
        </w:rPr>
        <w:t xml:space="preserve">, </w:t>
      </w:r>
      <w:r w:rsidR="001D7713">
        <w:rPr>
          <w:sz w:val="20"/>
          <w:szCs w:val="20"/>
          <w:lang w:val="tr-TR" w:eastAsia="zh-CN"/>
        </w:rPr>
        <w:t>performing liquidity management on currency basis</w:t>
      </w:r>
      <w:r w:rsidRPr="00C60E8A">
        <w:rPr>
          <w:sz w:val="20"/>
          <w:szCs w:val="20"/>
          <w:lang w:val="tr-TR" w:eastAsia="zh-CN"/>
        </w:rPr>
        <w:t>, in order to avoid the increase of market risk fluctuations on foreign currency positions.</w:t>
      </w:r>
    </w:p>
    <w:p w14:paraId="653B7226" w14:textId="77777777" w:rsidR="00603922" w:rsidRPr="00C60E8A" w:rsidRDefault="00603922" w:rsidP="00195EDC">
      <w:pPr>
        <w:adjustRightInd w:val="0"/>
        <w:spacing w:before="120" w:line="240" w:lineRule="exact"/>
        <w:jc w:val="both"/>
        <w:rPr>
          <w:sz w:val="20"/>
          <w:szCs w:val="20"/>
          <w:lang w:val="tr-TR" w:eastAsia="zh-CN"/>
        </w:rPr>
      </w:pPr>
    </w:p>
    <w:p w14:paraId="79B6AE7E" w14:textId="36C89073" w:rsidR="00603922" w:rsidRPr="00C60E8A" w:rsidRDefault="00A041CD" w:rsidP="00490153">
      <w:pPr>
        <w:pageBreakBefore/>
        <w:spacing w:before="120"/>
        <w:jc w:val="both"/>
        <w:rPr>
          <w:b/>
          <w:sz w:val="20"/>
          <w:szCs w:val="20"/>
        </w:rPr>
      </w:pPr>
      <w:r w:rsidRPr="00A041CD">
        <w:rPr>
          <w:b/>
          <w:sz w:val="20"/>
          <w:szCs w:val="20"/>
        </w:rPr>
        <w:lastRenderedPageBreak/>
        <w:t>INFORMATION ON THE FINANCIAL POSITION OF THE GROUP (Continued)</w:t>
      </w:r>
    </w:p>
    <w:p w14:paraId="06F87E39" w14:textId="419BD609" w:rsidR="00603922" w:rsidRPr="00C60E8A" w:rsidRDefault="00603922" w:rsidP="008477F3">
      <w:pPr>
        <w:pStyle w:val="Heading2"/>
        <w:numPr>
          <w:ilvl w:val="0"/>
          <w:numId w:val="69"/>
        </w:numPr>
        <w:tabs>
          <w:tab w:val="left" w:pos="0"/>
        </w:tabs>
        <w:ind w:left="0" w:firstLine="0"/>
        <w:jc w:val="both"/>
        <w:rPr>
          <w:rFonts w:ascii="Times New Roman" w:hAnsi="Times New Roman"/>
          <w:sz w:val="20"/>
        </w:rPr>
      </w:pPr>
      <w:r w:rsidRPr="00C60E8A">
        <w:rPr>
          <w:rFonts w:ascii="Times New Roman" w:hAnsi="Times New Roman"/>
          <w:noProof/>
          <w:sz w:val="20"/>
        </w:rPr>
        <w:t>Explanations</w:t>
      </w:r>
      <w:r w:rsidRPr="00C60E8A" w:rsidDel="00110417">
        <w:rPr>
          <w:rFonts w:ascii="Times New Roman" w:hAnsi="Times New Roman"/>
          <w:caps/>
          <w:sz w:val="20"/>
        </w:rPr>
        <w:t xml:space="preserve"> </w:t>
      </w:r>
      <w:r w:rsidRPr="00C60E8A">
        <w:rPr>
          <w:rFonts w:ascii="Times New Roman" w:hAnsi="Times New Roman"/>
          <w:sz w:val="20"/>
        </w:rPr>
        <w:t>on Liquidity Risk</w:t>
      </w:r>
      <w:r w:rsidRPr="00C60E8A" w:rsidDel="00110417">
        <w:rPr>
          <w:rFonts w:ascii="Times New Roman" w:hAnsi="Times New Roman"/>
          <w:caps/>
          <w:sz w:val="20"/>
        </w:rPr>
        <w:t xml:space="preserve"> </w:t>
      </w:r>
      <w:r w:rsidRPr="00C60E8A">
        <w:rPr>
          <w:rFonts w:ascii="Times New Roman" w:hAnsi="Times New Roman"/>
          <w:sz w:val="20"/>
        </w:rPr>
        <w:t>(Continued)</w:t>
      </w:r>
    </w:p>
    <w:p w14:paraId="384489A0" w14:textId="39261D37" w:rsidR="00603922" w:rsidRDefault="00603922" w:rsidP="00A13D1D">
      <w:pPr>
        <w:spacing w:before="120"/>
        <w:ind w:firstLine="720"/>
        <w:jc w:val="both"/>
        <w:rPr>
          <w:b/>
          <w:sz w:val="20"/>
          <w:szCs w:val="20"/>
        </w:rPr>
      </w:pPr>
      <w:r w:rsidRPr="001D7713">
        <w:rPr>
          <w:b/>
          <w:sz w:val="20"/>
          <w:szCs w:val="20"/>
        </w:rPr>
        <w:t xml:space="preserve">Liquidity risk management and liquidity coverage ratio </w:t>
      </w:r>
      <w:r w:rsidR="00A13D1D">
        <w:rPr>
          <w:b/>
          <w:sz w:val="20"/>
          <w:szCs w:val="20"/>
        </w:rPr>
        <w:t>(Continued)</w:t>
      </w:r>
    </w:p>
    <w:p w14:paraId="5527F7B1" w14:textId="79562866" w:rsidR="00A13D1D" w:rsidRPr="00C60E8A" w:rsidRDefault="00A13D1D" w:rsidP="00A13D1D">
      <w:pPr>
        <w:spacing w:before="120"/>
        <w:jc w:val="both"/>
        <w:rPr>
          <w:b/>
          <w:sz w:val="20"/>
          <w:szCs w:val="20"/>
        </w:rPr>
      </w:pPr>
      <w:r w:rsidRPr="00C60E8A">
        <w:rPr>
          <w:b/>
          <w:sz w:val="20"/>
          <w:szCs w:val="20"/>
        </w:rPr>
        <w:t>I.</w:t>
      </w:r>
      <w:r w:rsidRPr="00C60E8A">
        <w:rPr>
          <w:b/>
          <w:sz w:val="20"/>
          <w:szCs w:val="20"/>
        </w:rPr>
        <w:tab/>
      </w:r>
      <w:r>
        <w:rPr>
          <w:b/>
          <w:sz w:val="20"/>
          <w:szCs w:val="20"/>
        </w:rPr>
        <w:t xml:space="preserve">The Matters to be </w:t>
      </w:r>
      <w:proofErr w:type="gramStart"/>
      <w:r>
        <w:rPr>
          <w:b/>
          <w:sz w:val="20"/>
          <w:szCs w:val="20"/>
        </w:rPr>
        <w:t>Considered</w:t>
      </w:r>
      <w:proofErr w:type="gramEnd"/>
      <w:r>
        <w:rPr>
          <w:b/>
          <w:sz w:val="20"/>
          <w:szCs w:val="20"/>
        </w:rPr>
        <w:t xml:space="preserve"> by Bank on Liquidity Risk (Continued)</w:t>
      </w:r>
    </w:p>
    <w:p w14:paraId="56187511" w14:textId="0CF20B59" w:rsidR="00195EDC" w:rsidRPr="00C60E8A" w:rsidRDefault="00195EDC" w:rsidP="00490153">
      <w:pPr>
        <w:adjustRightInd w:val="0"/>
        <w:spacing w:before="120" w:line="240" w:lineRule="exact"/>
        <w:jc w:val="both"/>
        <w:rPr>
          <w:b/>
          <w:sz w:val="20"/>
          <w:szCs w:val="20"/>
        </w:rPr>
      </w:pPr>
      <w:proofErr w:type="gramStart"/>
      <w:r w:rsidRPr="00C60E8A">
        <w:rPr>
          <w:b/>
          <w:sz w:val="20"/>
          <w:szCs w:val="20"/>
        </w:rPr>
        <w:t>1.</w:t>
      </w:r>
      <w:r w:rsidR="00634087">
        <w:rPr>
          <w:b/>
          <w:sz w:val="20"/>
          <w:szCs w:val="20"/>
        </w:rPr>
        <w:t>d</w:t>
      </w:r>
      <w:proofErr w:type="gramEnd"/>
      <w:r w:rsidRPr="00C60E8A">
        <w:rPr>
          <w:b/>
          <w:sz w:val="20"/>
          <w:szCs w:val="20"/>
        </w:rPr>
        <w:tab/>
      </w:r>
      <w:r w:rsidR="00603922" w:rsidRPr="00C60E8A">
        <w:rPr>
          <w:b/>
          <w:sz w:val="20"/>
          <w:szCs w:val="20"/>
        </w:rPr>
        <w:t xml:space="preserve">Information </w:t>
      </w:r>
      <w:r w:rsidR="001D7713">
        <w:rPr>
          <w:b/>
          <w:sz w:val="20"/>
          <w:szCs w:val="20"/>
        </w:rPr>
        <w:t>on</w:t>
      </w:r>
      <w:r w:rsidR="00603922" w:rsidRPr="00C60E8A">
        <w:rPr>
          <w:b/>
          <w:sz w:val="20"/>
          <w:szCs w:val="20"/>
        </w:rPr>
        <w:t xml:space="preserve"> </w:t>
      </w:r>
      <w:r w:rsidR="001D7713">
        <w:rPr>
          <w:b/>
          <w:sz w:val="20"/>
          <w:szCs w:val="20"/>
        </w:rPr>
        <w:t>current</w:t>
      </w:r>
      <w:r w:rsidR="00603922" w:rsidRPr="00C60E8A">
        <w:rPr>
          <w:b/>
          <w:sz w:val="20"/>
          <w:szCs w:val="20"/>
        </w:rPr>
        <w:t xml:space="preserve"> liquidity risk </w:t>
      </w:r>
      <w:r w:rsidR="001D7713">
        <w:rPr>
          <w:b/>
          <w:sz w:val="20"/>
          <w:szCs w:val="20"/>
        </w:rPr>
        <w:t>mitigation</w:t>
      </w:r>
      <w:r w:rsidR="00603922" w:rsidRPr="00C60E8A">
        <w:rPr>
          <w:b/>
          <w:sz w:val="20"/>
          <w:szCs w:val="20"/>
        </w:rPr>
        <w:t xml:space="preserve"> techniques</w:t>
      </w:r>
    </w:p>
    <w:p w14:paraId="52DDC00E" w14:textId="702C0FA7" w:rsidR="00195EDC" w:rsidRPr="00C60E8A" w:rsidRDefault="001D7713" w:rsidP="00490153">
      <w:pPr>
        <w:spacing w:before="120"/>
        <w:jc w:val="both"/>
        <w:rPr>
          <w:sz w:val="20"/>
          <w:szCs w:val="20"/>
          <w:lang w:eastAsia="zh-CN"/>
        </w:rPr>
      </w:pPr>
      <w:r>
        <w:rPr>
          <w:sz w:val="20"/>
          <w:szCs w:val="20"/>
          <w:lang w:eastAsia="zh-CN"/>
        </w:rPr>
        <w:t xml:space="preserve">Liquid assets as defined under Basel III are held with the intention of liquidity risk management managing the </w:t>
      </w:r>
      <w:r w:rsidR="00330F4F">
        <w:rPr>
          <w:sz w:val="20"/>
          <w:szCs w:val="20"/>
          <w:lang w:eastAsia="zh-CN"/>
        </w:rPr>
        <w:t xml:space="preserve">Parent </w:t>
      </w:r>
      <w:r>
        <w:rPr>
          <w:sz w:val="20"/>
          <w:szCs w:val="20"/>
          <w:lang w:eastAsia="zh-CN"/>
        </w:rPr>
        <w:t>Bank’s liquidity risk</w:t>
      </w:r>
      <w:r w:rsidR="00603922" w:rsidRPr="00C60E8A">
        <w:rPr>
          <w:sz w:val="20"/>
          <w:szCs w:val="20"/>
          <w:lang w:eastAsia="zh-CN"/>
        </w:rPr>
        <w:t xml:space="preserve">. Market liquidity and maturity of liquid assets are considered as risk reduction for liquidity management. In this context, the range of liquid assets is important in the management of liquidity risk. Potential risk are minimized by avoiding concentration of liquid assets during the potential liquidity needs and the </w:t>
      </w:r>
      <w:r w:rsidR="00330F4F">
        <w:rPr>
          <w:sz w:val="20"/>
          <w:szCs w:val="20"/>
          <w:lang w:eastAsia="zh-CN"/>
        </w:rPr>
        <w:t xml:space="preserve">Parent </w:t>
      </w:r>
      <w:r>
        <w:rPr>
          <w:sz w:val="20"/>
          <w:szCs w:val="20"/>
          <w:lang w:eastAsia="zh-CN"/>
        </w:rPr>
        <w:t>B</w:t>
      </w:r>
      <w:r w:rsidR="00603922" w:rsidRPr="00C60E8A">
        <w:rPr>
          <w:sz w:val="20"/>
          <w:szCs w:val="20"/>
          <w:lang w:eastAsia="zh-CN"/>
        </w:rPr>
        <w:t>ank’s ability to fulfill its obligations.</w:t>
      </w:r>
    </w:p>
    <w:p w14:paraId="55A8ACE2" w14:textId="614648B3" w:rsidR="00195EDC" w:rsidRPr="00C60E8A" w:rsidRDefault="00195EDC" w:rsidP="00490153">
      <w:pPr>
        <w:adjustRightInd w:val="0"/>
        <w:spacing w:before="120" w:line="240" w:lineRule="exact"/>
        <w:jc w:val="both"/>
        <w:rPr>
          <w:b/>
          <w:sz w:val="20"/>
          <w:szCs w:val="20"/>
        </w:rPr>
      </w:pPr>
      <w:proofErr w:type="gramStart"/>
      <w:r w:rsidRPr="00C60E8A">
        <w:rPr>
          <w:b/>
          <w:sz w:val="20"/>
          <w:szCs w:val="20"/>
        </w:rPr>
        <w:t>1.</w:t>
      </w:r>
      <w:r w:rsidR="00634087">
        <w:rPr>
          <w:b/>
          <w:sz w:val="20"/>
          <w:szCs w:val="20"/>
        </w:rPr>
        <w:t>e</w:t>
      </w:r>
      <w:proofErr w:type="gramEnd"/>
      <w:r w:rsidRPr="00C60E8A">
        <w:rPr>
          <w:b/>
          <w:sz w:val="20"/>
          <w:szCs w:val="20"/>
        </w:rPr>
        <w:tab/>
      </w:r>
      <w:r w:rsidR="00603922" w:rsidRPr="00C60E8A">
        <w:rPr>
          <w:b/>
          <w:sz w:val="20"/>
          <w:szCs w:val="20"/>
        </w:rPr>
        <w:t xml:space="preserve">Information </w:t>
      </w:r>
      <w:r w:rsidR="00196A0E">
        <w:rPr>
          <w:b/>
          <w:sz w:val="20"/>
          <w:szCs w:val="20"/>
        </w:rPr>
        <w:t>on</w:t>
      </w:r>
      <w:r w:rsidR="00603922" w:rsidRPr="00C60E8A">
        <w:rPr>
          <w:b/>
          <w:sz w:val="20"/>
          <w:szCs w:val="20"/>
        </w:rPr>
        <w:t xml:space="preserve"> the use of stress testing</w:t>
      </w:r>
    </w:p>
    <w:p w14:paraId="31BF1A49" w14:textId="428AE779" w:rsidR="00603922" w:rsidRPr="00C60E8A" w:rsidRDefault="00603922" w:rsidP="00490153">
      <w:pPr>
        <w:adjustRightInd w:val="0"/>
        <w:spacing w:before="120" w:line="240" w:lineRule="exact"/>
        <w:jc w:val="both"/>
        <w:rPr>
          <w:color w:val="000000"/>
          <w:sz w:val="20"/>
          <w:szCs w:val="20"/>
          <w:lang w:val="tr-TR" w:eastAsia="zh-CN"/>
        </w:rPr>
      </w:pPr>
      <w:r w:rsidRPr="00C60E8A">
        <w:rPr>
          <w:color w:val="000000"/>
          <w:sz w:val="20"/>
          <w:szCs w:val="20"/>
          <w:lang w:val="tr-TR" w:eastAsia="zh-CN"/>
        </w:rPr>
        <w:t xml:space="preserve">Stress tests on the basis of the liquidity risk are performed at </w:t>
      </w:r>
      <w:r w:rsidR="001D7713">
        <w:rPr>
          <w:color w:val="000000"/>
          <w:sz w:val="20"/>
          <w:szCs w:val="20"/>
          <w:lang w:val="tr-TR" w:eastAsia="zh-CN"/>
        </w:rPr>
        <w:t xml:space="preserve">the </w:t>
      </w:r>
      <w:r w:rsidRPr="00C60E8A">
        <w:rPr>
          <w:color w:val="000000"/>
          <w:sz w:val="20"/>
          <w:szCs w:val="20"/>
          <w:lang w:val="tr-TR" w:eastAsia="zh-CN"/>
        </w:rPr>
        <w:t xml:space="preserve">beginning of the </w:t>
      </w:r>
      <w:r w:rsidR="001D7713">
        <w:rPr>
          <w:color w:val="000000"/>
          <w:sz w:val="20"/>
          <w:szCs w:val="20"/>
          <w:lang w:val="tr-TR" w:eastAsia="zh-CN"/>
        </w:rPr>
        <w:t>each</w:t>
      </w:r>
      <w:r w:rsidRPr="00C60E8A">
        <w:rPr>
          <w:color w:val="000000"/>
          <w:sz w:val="20"/>
          <w:szCs w:val="20"/>
          <w:lang w:val="tr-TR" w:eastAsia="zh-CN"/>
        </w:rPr>
        <w:t xml:space="preserve"> year. The test results are presented with the details of the stress test and ISEDES report annually. The Board of Directors approve the stress test results and they are shared with the BRSA during the process. In addition to these stress tests</w:t>
      </w:r>
      <w:r w:rsidR="001D7713" w:rsidRPr="00C60E8A">
        <w:rPr>
          <w:color w:val="000000"/>
          <w:sz w:val="20"/>
          <w:szCs w:val="20"/>
          <w:lang w:val="tr-TR" w:eastAsia="zh-CN"/>
        </w:rPr>
        <w:t>, cash flow and liquidity position analyzes are maintained</w:t>
      </w:r>
      <w:r w:rsidR="001D7713">
        <w:rPr>
          <w:color w:val="000000"/>
          <w:sz w:val="20"/>
          <w:szCs w:val="20"/>
          <w:lang w:val="tr-TR" w:eastAsia="zh-CN"/>
        </w:rPr>
        <w:t xml:space="preserve"> according to the </w:t>
      </w:r>
      <w:r w:rsidR="002821CF">
        <w:rPr>
          <w:color w:val="000000"/>
          <w:sz w:val="20"/>
          <w:szCs w:val="20"/>
          <w:lang w:val="tr-TR" w:eastAsia="zh-CN"/>
        </w:rPr>
        <w:t>P</w:t>
      </w:r>
      <w:r w:rsidR="00973E31">
        <w:rPr>
          <w:color w:val="000000"/>
          <w:sz w:val="20"/>
          <w:szCs w:val="20"/>
          <w:lang w:val="tr-TR" w:eastAsia="zh-CN"/>
        </w:rPr>
        <w:t>a</w:t>
      </w:r>
      <w:r w:rsidR="002821CF">
        <w:rPr>
          <w:color w:val="000000"/>
          <w:sz w:val="20"/>
          <w:szCs w:val="20"/>
          <w:lang w:val="tr-TR" w:eastAsia="zh-CN"/>
        </w:rPr>
        <w:t xml:space="preserve">rent </w:t>
      </w:r>
      <w:r w:rsidR="001D7713">
        <w:rPr>
          <w:color w:val="000000"/>
          <w:sz w:val="20"/>
          <w:szCs w:val="20"/>
          <w:lang w:val="tr-TR" w:eastAsia="zh-CN"/>
        </w:rPr>
        <w:t>B</w:t>
      </w:r>
      <w:r w:rsidRPr="00C60E8A">
        <w:rPr>
          <w:color w:val="000000"/>
          <w:sz w:val="20"/>
          <w:szCs w:val="20"/>
          <w:lang w:val="tr-TR" w:eastAsia="zh-CN"/>
        </w:rPr>
        <w:t>ank's internal needs.</w:t>
      </w:r>
    </w:p>
    <w:p w14:paraId="07AD0B7E" w14:textId="5856503B" w:rsidR="00195EDC" w:rsidRPr="00E46F2D" w:rsidRDefault="00634087" w:rsidP="00490153">
      <w:pPr>
        <w:adjustRightInd w:val="0"/>
        <w:spacing w:before="120" w:line="240" w:lineRule="exact"/>
        <w:jc w:val="both"/>
        <w:rPr>
          <w:b/>
          <w:sz w:val="20"/>
          <w:szCs w:val="20"/>
          <w:highlight w:val="cyan"/>
        </w:rPr>
      </w:pPr>
      <w:proofErr w:type="gramStart"/>
      <w:r>
        <w:rPr>
          <w:b/>
          <w:sz w:val="20"/>
          <w:szCs w:val="20"/>
        </w:rPr>
        <w:t>1.f</w:t>
      </w:r>
      <w:proofErr w:type="gramEnd"/>
      <w:r w:rsidR="00195EDC" w:rsidRPr="00C60E8A">
        <w:rPr>
          <w:b/>
          <w:sz w:val="20"/>
          <w:szCs w:val="20"/>
        </w:rPr>
        <w:tab/>
      </w:r>
      <w:r w:rsidR="00603922" w:rsidRPr="00C60E8A">
        <w:rPr>
          <w:b/>
          <w:sz w:val="20"/>
          <w:szCs w:val="20"/>
        </w:rPr>
        <w:t>General</w:t>
      </w:r>
      <w:r w:rsidR="00603922" w:rsidRPr="00603922">
        <w:rPr>
          <w:b/>
          <w:sz w:val="20"/>
          <w:szCs w:val="20"/>
        </w:rPr>
        <w:t xml:space="preserve"> information </w:t>
      </w:r>
      <w:r w:rsidR="00196A0E">
        <w:rPr>
          <w:b/>
          <w:sz w:val="20"/>
          <w:szCs w:val="20"/>
        </w:rPr>
        <w:t xml:space="preserve">on </w:t>
      </w:r>
      <w:r w:rsidR="00603922" w:rsidRPr="00603922">
        <w:rPr>
          <w:b/>
          <w:sz w:val="20"/>
          <w:szCs w:val="20"/>
        </w:rPr>
        <w:t>the emergency and contingency liquidity plan</w:t>
      </w:r>
    </w:p>
    <w:p w14:paraId="1E0EA4C4" w14:textId="4FCA4226" w:rsidR="00603922" w:rsidRPr="00603922" w:rsidRDefault="00603922" w:rsidP="00490153">
      <w:pPr>
        <w:spacing w:before="120" w:after="200" w:line="276" w:lineRule="auto"/>
        <w:jc w:val="both"/>
        <w:rPr>
          <w:color w:val="000000"/>
          <w:sz w:val="20"/>
          <w:szCs w:val="20"/>
          <w:lang w:val="tr-TR" w:eastAsia="zh-CN"/>
        </w:rPr>
      </w:pPr>
      <w:r w:rsidRPr="00603922">
        <w:rPr>
          <w:color w:val="000000"/>
          <w:sz w:val="20"/>
          <w:szCs w:val="20"/>
          <w:lang w:val="tr-TR" w:eastAsia="zh-CN"/>
        </w:rPr>
        <w:t xml:space="preserve">Information on emergency and contingency liquidity plan is detailed in the Bank "Emergency </w:t>
      </w:r>
      <w:r w:rsidR="001D7713" w:rsidRPr="00603922">
        <w:rPr>
          <w:color w:val="000000"/>
          <w:sz w:val="20"/>
          <w:szCs w:val="20"/>
          <w:lang w:val="tr-TR" w:eastAsia="zh-CN"/>
        </w:rPr>
        <w:t xml:space="preserve">Funding </w:t>
      </w:r>
      <w:r w:rsidRPr="00603922">
        <w:rPr>
          <w:color w:val="000000"/>
          <w:sz w:val="20"/>
          <w:szCs w:val="20"/>
          <w:lang w:val="tr-TR" w:eastAsia="zh-CN"/>
        </w:rPr>
        <w:t>Plan Policy".  Definitions regarding the liquidity crisis and actions that</w:t>
      </w:r>
      <w:r w:rsidR="001D7713">
        <w:rPr>
          <w:color w:val="000000"/>
          <w:sz w:val="20"/>
          <w:szCs w:val="20"/>
          <w:lang w:val="tr-TR" w:eastAsia="zh-CN"/>
        </w:rPr>
        <w:t xml:space="preserve"> the B</w:t>
      </w:r>
      <w:r w:rsidRPr="00603922">
        <w:rPr>
          <w:color w:val="000000"/>
          <w:sz w:val="20"/>
          <w:szCs w:val="20"/>
          <w:lang w:val="tr-TR" w:eastAsia="zh-CN"/>
        </w:rPr>
        <w:t xml:space="preserve">ank may take against a liquidity crisis that may occur in the market are implemented the action plan outlined. The Bank's special liquidity crisis levels set out in alarm conditions and the parameters to be monitored as an indicator are </w:t>
      </w:r>
      <w:r w:rsidR="001D7713">
        <w:rPr>
          <w:color w:val="000000"/>
          <w:sz w:val="20"/>
          <w:szCs w:val="20"/>
          <w:lang w:val="tr-TR" w:eastAsia="zh-CN"/>
        </w:rPr>
        <w:t>detailed</w:t>
      </w:r>
      <w:r w:rsidRPr="00603922">
        <w:rPr>
          <w:color w:val="000000"/>
          <w:sz w:val="20"/>
          <w:szCs w:val="20"/>
          <w:lang w:val="tr-TR" w:eastAsia="zh-CN"/>
        </w:rPr>
        <w:t>. Crisis Committee members and the Committee's duties and responsib</w:t>
      </w:r>
      <w:r w:rsidR="003F09E5">
        <w:rPr>
          <w:color w:val="000000"/>
          <w:sz w:val="20"/>
          <w:szCs w:val="20"/>
          <w:lang w:val="tr-TR" w:eastAsia="zh-CN"/>
        </w:rPr>
        <w:t>ilities are determined for the Parent B</w:t>
      </w:r>
      <w:r w:rsidRPr="00603922">
        <w:rPr>
          <w:color w:val="000000"/>
          <w:sz w:val="20"/>
          <w:szCs w:val="20"/>
          <w:lang w:val="tr-TR" w:eastAsia="zh-CN"/>
        </w:rPr>
        <w:t xml:space="preserve">ank’s stress scenarios </w:t>
      </w:r>
      <w:r w:rsidR="001D7713">
        <w:rPr>
          <w:color w:val="000000"/>
          <w:sz w:val="20"/>
          <w:szCs w:val="20"/>
          <w:lang w:val="tr-TR" w:eastAsia="zh-CN"/>
        </w:rPr>
        <w:t>specific to</w:t>
      </w:r>
      <w:r w:rsidRPr="00603922">
        <w:rPr>
          <w:color w:val="000000"/>
          <w:sz w:val="20"/>
          <w:szCs w:val="20"/>
          <w:lang w:val="tr-TR" w:eastAsia="zh-CN"/>
        </w:rPr>
        <w:t xml:space="preserve"> the market and </w:t>
      </w:r>
      <w:r w:rsidR="001D7713">
        <w:rPr>
          <w:color w:val="000000"/>
          <w:sz w:val="20"/>
          <w:szCs w:val="20"/>
          <w:lang w:val="tr-TR" w:eastAsia="zh-CN"/>
        </w:rPr>
        <w:t>the B</w:t>
      </w:r>
      <w:r w:rsidRPr="00603922">
        <w:rPr>
          <w:color w:val="000000"/>
          <w:sz w:val="20"/>
          <w:szCs w:val="20"/>
          <w:lang w:val="tr-TR" w:eastAsia="zh-CN"/>
        </w:rPr>
        <w:t>ank.</w:t>
      </w:r>
    </w:p>
    <w:p w14:paraId="4BDFB85A" w14:textId="77777777" w:rsidR="00195EDC" w:rsidRPr="00E46F2D" w:rsidRDefault="00195EDC" w:rsidP="00195EDC">
      <w:pPr>
        <w:rPr>
          <w:b/>
          <w:sz w:val="20"/>
          <w:szCs w:val="20"/>
          <w:highlight w:val="cyan"/>
        </w:rPr>
      </w:pPr>
    </w:p>
    <w:p w14:paraId="60B03799" w14:textId="77777777" w:rsidR="00195EDC" w:rsidRPr="00E46F2D" w:rsidRDefault="00195EDC" w:rsidP="00195EDC">
      <w:pPr>
        <w:rPr>
          <w:b/>
          <w:sz w:val="20"/>
          <w:szCs w:val="20"/>
          <w:highlight w:val="cyan"/>
        </w:rPr>
      </w:pPr>
    </w:p>
    <w:p w14:paraId="6351DFCB" w14:textId="77777777" w:rsidR="00195EDC" w:rsidRPr="00E46F2D" w:rsidRDefault="00195EDC" w:rsidP="00195EDC">
      <w:pPr>
        <w:rPr>
          <w:b/>
          <w:sz w:val="20"/>
          <w:szCs w:val="20"/>
          <w:highlight w:val="cyan"/>
        </w:rPr>
      </w:pPr>
    </w:p>
    <w:p w14:paraId="57034836" w14:textId="77777777" w:rsidR="00195EDC" w:rsidRPr="00E46F2D" w:rsidRDefault="00195EDC" w:rsidP="00195EDC">
      <w:pPr>
        <w:rPr>
          <w:b/>
          <w:sz w:val="20"/>
          <w:szCs w:val="20"/>
          <w:highlight w:val="cyan"/>
        </w:rPr>
      </w:pPr>
    </w:p>
    <w:p w14:paraId="33F614D0" w14:textId="77777777" w:rsidR="00195EDC" w:rsidRPr="00E46F2D" w:rsidRDefault="00195EDC" w:rsidP="00195EDC">
      <w:pPr>
        <w:rPr>
          <w:b/>
          <w:sz w:val="20"/>
          <w:szCs w:val="20"/>
          <w:highlight w:val="cyan"/>
        </w:rPr>
      </w:pPr>
    </w:p>
    <w:p w14:paraId="02893733" w14:textId="77777777" w:rsidR="00195EDC" w:rsidRPr="00E46F2D" w:rsidRDefault="00195EDC" w:rsidP="00195EDC">
      <w:pPr>
        <w:rPr>
          <w:b/>
          <w:sz w:val="20"/>
          <w:szCs w:val="20"/>
          <w:highlight w:val="cyan"/>
        </w:rPr>
      </w:pPr>
    </w:p>
    <w:p w14:paraId="65174584" w14:textId="77777777" w:rsidR="00195EDC" w:rsidRPr="00E46F2D" w:rsidRDefault="00195EDC" w:rsidP="00195EDC">
      <w:pPr>
        <w:rPr>
          <w:b/>
          <w:sz w:val="20"/>
          <w:szCs w:val="20"/>
          <w:highlight w:val="cyan"/>
        </w:rPr>
      </w:pPr>
    </w:p>
    <w:p w14:paraId="48D2B651" w14:textId="77777777" w:rsidR="00195EDC" w:rsidRPr="00E46F2D" w:rsidRDefault="00195EDC" w:rsidP="00195EDC">
      <w:pPr>
        <w:rPr>
          <w:b/>
          <w:sz w:val="20"/>
          <w:szCs w:val="20"/>
          <w:highlight w:val="cyan"/>
        </w:rPr>
      </w:pPr>
    </w:p>
    <w:p w14:paraId="56A91857" w14:textId="77777777" w:rsidR="00195EDC" w:rsidRPr="00E46F2D" w:rsidRDefault="00195EDC" w:rsidP="00195EDC">
      <w:pPr>
        <w:rPr>
          <w:b/>
          <w:sz w:val="20"/>
          <w:szCs w:val="20"/>
          <w:highlight w:val="cyan"/>
        </w:rPr>
      </w:pPr>
    </w:p>
    <w:p w14:paraId="3017B66C" w14:textId="77777777" w:rsidR="00195EDC" w:rsidRPr="00E46F2D" w:rsidRDefault="00195EDC" w:rsidP="00195EDC">
      <w:pPr>
        <w:rPr>
          <w:b/>
          <w:sz w:val="20"/>
          <w:szCs w:val="20"/>
          <w:highlight w:val="cyan"/>
        </w:rPr>
      </w:pPr>
    </w:p>
    <w:p w14:paraId="18BE0788" w14:textId="77777777" w:rsidR="00195EDC" w:rsidRPr="00E46F2D" w:rsidRDefault="00195EDC" w:rsidP="00195EDC">
      <w:pPr>
        <w:rPr>
          <w:b/>
          <w:sz w:val="20"/>
          <w:szCs w:val="20"/>
          <w:highlight w:val="cyan"/>
        </w:rPr>
      </w:pPr>
    </w:p>
    <w:p w14:paraId="4D33AC05" w14:textId="77777777" w:rsidR="00195EDC" w:rsidRPr="00E46F2D" w:rsidRDefault="00195EDC" w:rsidP="00195EDC">
      <w:pPr>
        <w:rPr>
          <w:b/>
          <w:sz w:val="20"/>
          <w:szCs w:val="20"/>
          <w:highlight w:val="cyan"/>
        </w:rPr>
      </w:pPr>
    </w:p>
    <w:p w14:paraId="525B1DD2" w14:textId="77777777" w:rsidR="00195EDC" w:rsidRPr="00E46F2D" w:rsidRDefault="00195EDC" w:rsidP="00195EDC">
      <w:pPr>
        <w:rPr>
          <w:b/>
          <w:sz w:val="20"/>
          <w:szCs w:val="20"/>
          <w:highlight w:val="cyan"/>
        </w:rPr>
      </w:pPr>
    </w:p>
    <w:p w14:paraId="0C93F19C" w14:textId="77777777" w:rsidR="00195EDC" w:rsidRPr="00E46F2D" w:rsidRDefault="00195EDC" w:rsidP="00195EDC">
      <w:pPr>
        <w:rPr>
          <w:b/>
          <w:sz w:val="20"/>
          <w:szCs w:val="20"/>
          <w:highlight w:val="cyan"/>
        </w:rPr>
      </w:pPr>
    </w:p>
    <w:p w14:paraId="22A8ABDD" w14:textId="77777777" w:rsidR="00195EDC" w:rsidRPr="00E46F2D" w:rsidRDefault="00195EDC" w:rsidP="00195EDC">
      <w:pPr>
        <w:rPr>
          <w:b/>
          <w:sz w:val="20"/>
          <w:szCs w:val="20"/>
          <w:highlight w:val="cyan"/>
        </w:rPr>
      </w:pPr>
    </w:p>
    <w:p w14:paraId="3BD60DFC" w14:textId="77777777" w:rsidR="00195EDC" w:rsidRPr="00E46F2D" w:rsidRDefault="00195EDC" w:rsidP="00195EDC">
      <w:pPr>
        <w:rPr>
          <w:b/>
          <w:sz w:val="20"/>
          <w:szCs w:val="20"/>
          <w:highlight w:val="cyan"/>
        </w:rPr>
      </w:pPr>
    </w:p>
    <w:p w14:paraId="1DE34814" w14:textId="77777777" w:rsidR="00195EDC" w:rsidRPr="00E46F2D" w:rsidRDefault="00195EDC" w:rsidP="00195EDC">
      <w:pPr>
        <w:rPr>
          <w:b/>
          <w:sz w:val="20"/>
          <w:szCs w:val="20"/>
          <w:highlight w:val="cyan"/>
        </w:rPr>
      </w:pPr>
    </w:p>
    <w:p w14:paraId="3350DE57" w14:textId="77777777" w:rsidR="00195EDC" w:rsidRPr="00E46F2D" w:rsidRDefault="00195EDC" w:rsidP="00195EDC">
      <w:pPr>
        <w:rPr>
          <w:b/>
          <w:sz w:val="20"/>
          <w:szCs w:val="20"/>
          <w:highlight w:val="cyan"/>
        </w:rPr>
      </w:pPr>
    </w:p>
    <w:p w14:paraId="406E767D" w14:textId="77777777" w:rsidR="00195EDC" w:rsidRPr="00E46F2D" w:rsidRDefault="00195EDC" w:rsidP="00195EDC">
      <w:pPr>
        <w:rPr>
          <w:b/>
          <w:sz w:val="20"/>
          <w:szCs w:val="20"/>
          <w:highlight w:val="cyan"/>
        </w:rPr>
      </w:pPr>
    </w:p>
    <w:p w14:paraId="68C46CCE" w14:textId="77777777" w:rsidR="00195EDC" w:rsidRPr="00E46F2D" w:rsidRDefault="00195EDC" w:rsidP="00195EDC">
      <w:pPr>
        <w:rPr>
          <w:b/>
          <w:sz w:val="20"/>
          <w:szCs w:val="20"/>
          <w:highlight w:val="cyan"/>
        </w:rPr>
      </w:pPr>
    </w:p>
    <w:p w14:paraId="528EFB0B" w14:textId="77777777" w:rsidR="00195EDC" w:rsidRPr="00E46F2D" w:rsidRDefault="00195EDC" w:rsidP="00195EDC">
      <w:pPr>
        <w:rPr>
          <w:b/>
          <w:sz w:val="20"/>
          <w:szCs w:val="20"/>
          <w:highlight w:val="cyan"/>
        </w:rPr>
      </w:pPr>
    </w:p>
    <w:p w14:paraId="5241B787" w14:textId="77777777" w:rsidR="00195EDC" w:rsidRPr="00E46F2D" w:rsidRDefault="00195EDC" w:rsidP="00195EDC">
      <w:pPr>
        <w:rPr>
          <w:b/>
          <w:sz w:val="20"/>
          <w:szCs w:val="20"/>
          <w:highlight w:val="cyan"/>
        </w:rPr>
      </w:pPr>
    </w:p>
    <w:p w14:paraId="3E2A8A6A" w14:textId="77777777" w:rsidR="00195EDC" w:rsidRPr="00E46F2D" w:rsidRDefault="00195EDC" w:rsidP="00195EDC">
      <w:pPr>
        <w:rPr>
          <w:b/>
          <w:sz w:val="20"/>
          <w:szCs w:val="20"/>
          <w:highlight w:val="cyan"/>
        </w:rPr>
      </w:pPr>
    </w:p>
    <w:p w14:paraId="010CCC38" w14:textId="77777777" w:rsidR="00195EDC" w:rsidRPr="00E46F2D" w:rsidRDefault="00195EDC" w:rsidP="00195EDC">
      <w:pPr>
        <w:rPr>
          <w:b/>
          <w:sz w:val="20"/>
          <w:szCs w:val="20"/>
          <w:highlight w:val="cyan"/>
        </w:rPr>
      </w:pPr>
    </w:p>
    <w:p w14:paraId="7A77334F" w14:textId="77777777" w:rsidR="00195EDC" w:rsidRPr="00E46F2D" w:rsidRDefault="00195EDC" w:rsidP="00195EDC">
      <w:pPr>
        <w:rPr>
          <w:b/>
          <w:sz w:val="20"/>
          <w:szCs w:val="20"/>
          <w:highlight w:val="cyan"/>
        </w:rPr>
      </w:pPr>
    </w:p>
    <w:p w14:paraId="4D4A6919" w14:textId="77777777" w:rsidR="00195EDC" w:rsidRPr="00E46F2D" w:rsidRDefault="00195EDC" w:rsidP="00195EDC">
      <w:pPr>
        <w:rPr>
          <w:b/>
          <w:sz w:val="20"/>
          <w:szCs w:val="20"/>
          <w:highlight w:val="cyan"/>
        </w:rPr>
      </w:pPr>
    </w:p>
    <w:p w14:paraId="1EFAA08C" w14:textId="6E58B9D7" w:rsidR="00603922" w:rsidRPr="00603922" w:rsidRDefault="00A041CD" w:rsidP="00603922">
      <w:pPr>
        <w:pageBreakBefore/>
        <w:jc w:val="both"/>
        <w:rPr>
          <w:b/>
          <w:sz w:val="20"/>
          <w:szCs w:val="20"/>
        </w:rPr>
      </w:pPr>
      <w:r w:rsidRPr="00A041CD">
        <w:rPr>
          <w:b/>
          <w:sz w:val="20"/>
          <w:szCs w:val="20"/>
        </w:rPr>
        <w:lastRenderedPageBreak/>
        <w:t>INFORMATION ON THE FINANCIAL POSITION OF THE GROUP (Continued)</w:t>
      </w:r>
    </w:p>
    <w:p w14:paraId="0FEDCE1D" w14:textId="77777777" w:rsidR="00603922" w:rsidRPr="00603922" w:rsidRDefault="00603922" w:rsidP="008477F3">
      <w:pPr>
        <w:pStyle w:val="Heading2"/>
        <w:numPr>
          <w:ilvl w:val="0"/>
          <w:numId w:val="70"/>
        </w:numPr>
        <w:tabs>
          <w:tab w:val="left" w:pos="0"/>
        </w:tabs>
        <w:ind w:left="0" w:firstLine="0"/>
        <w:jc w:val="both"/>
        <w:rPr>
          <w:rFonts w:ascii="Times New Roman" w:hAnsi="Times New Roman"/>
          <w:sz w:val="20"/>
        </w:rPr>
      </w:pPr>
      <w:r w:rsidRPr="00604C75">
        <w:rPr>
          <w:rFonts w:ascii="Times New Roman" w:hAnsi="Times New Roman"/>
          <w:noProof/>
          <w:sz w:val="20"/>
        </w:rPr>
        <w:t>Explanations</w:t>
      </w:r>
      <w:r w:rsidRPr="00604C75" w:rsidDel="00110417">
        <w:rPr>
          <w:rFonts w:ascii="Times New Roman" w:hAnsi="Times New Roman"/>
          <w:caps/>
          <w:sz w:val="20"/>
        </w:rPr>
        <w:t xml:space="preserve"> </w:t>
      </w:r>
      <w:r w:rsidRPr="00604C75">
        <w:rPr>
          <w:rFonts w:ascii="Times New Roman" w:hAnsi="Times New Roman"/>
          <w:sz w:val="20"/>
        </w:rPr>
        <w:t>on Liquidity Risk</w:t>
      </w:r>
      <w:r w:rsidRPr="00604C75" w:rsidDel="00110417">
        <w:rPr>
          <w:rFonts w:ascii="Times New Roman" w:hAnsi="Times New Roman"/>
          <w:caps/>
          <w:sz w:val="20"/>
        </w:rPr>
        <w:t xml:space="preserve"> </w:t>
      </w:r>
      <w:r w:rsidRPr="00604C75">
        <w:rPr>
          <w:rFonts w:ascii="Times New Roman" w:hAnsi="Times New Roman"/>
          <w:sz w:val="20"/>
        </w:rPr>
        <w:t>(Continued)</w:t>
      </w:r>
    </w:p>
    <w:p w14:paraId="3108EB4E" w14:textId="5F04A6DC" w:rsidR="00603922" w:rsidRPr="001D7713" w:rsidRDefault="00603922" w:rsidP="00A13D1D">
      <w:pPr>
        <w:spacing w:before="120"/>
        <w:ind w:firstLine="720"/>
        <w:jc w:val="both"/>
        <w:rPr>
          <w:b/>
          <w:sz w:val="20"/>
          <w:szCs w:val="20"/>
          <w:highlight w:val="cyan"/>
        </w:rPr>
      </w:pPr>
      <w:r w:rsidRPr="001D7713">
        <w:rPr>
          <w:b/>
          <w:sz w:val="20"/>
          <w:szCs w:val="20"/>
        </w:rPr>
        <w:t>Liquidity risk management and liquidity coverage rati</w:t>
      </w:r>
      <w:r w:rsidRPr="00A13D1D">
        <w:rPr>
          <w:b/>
          <w:sz w:val="20"/>
          <w:szCs w:val="20"/>
        </w:rPr>
        <w:t xml:space="preserve">o </w:t>
      </w:r>
      <w:r w:rsidR="00A13D1D" w:rsidRPr="00A13D1D">
        <w:rPr>
          <w:b/>
          <w:sz w:val="20"/>
          <w:szCs w:val="20"/>
        </w:rPr>
        <w:t>(Continued)</w:t>
      </w:r>
    </w:p>
    <w:p w14:paraId="51B7DD52" w14:textId="77777777" w:rsidR="00195EDC" w:rsidRPr="00E46F2D" w:rsidRDefault="00195EDC" w:rsidP="00195EDC">
      <w:pPr>
        <w:spacing w:line="120" w:lineRule="auto"/>
        <w:rPr>
          <w:b/>
          <w:sz w:val="20"/>
          <w:szCs w:val="20"/>
          <w:highlight w:val="cyan"/>
        </w:rPr>
      </w:pPr>
    </w:p>
    <w:p w14:paraId="15B26823" w14:textId="3170322C" w:rsidR="00195EDC" w:rsidRPr="00603922" w:rsidRDefault="00603922" w:rsidP="00603922">
      <w:pPr>
        <w:pStyle w:val="ListParagraph"/>
        <w:numPr>
          <w:ilvl w:val="0"/>
          <w:numId w:val="10"/>
        </w:numPr>
        <w:tabs>
          <w:tab w:val="clear" w:pos="1260"/>
        </w:tabs>
        <w:ind w:left="0" w:firstLine="0"/>
        <w:rPr>
          <w:b/>
          <w:bCs/>
          <w:sz w:val="20"/>
          <w:szCs w:val="20"/>
        </w:rPr>
      </w:pPr>
      <w:r w:rsidRPr="00603922">
        <w:rPr>
          <w:b/>
          <w:bCs/>
          <w:sz w:val="20"/>
          <w:szCs w:val="20"/>
        </w:rPr>
        <w:t>Liquidity Coverage Ratio</w:t>
      </w:r>
    </w:p>
    <w:p w14:paraId="14A8F949" w14:textId="77777777" w:rsidR="00603922" w:rsidRPr="00603922" w:rsidRDefault="00603922" w:rsidP="00603922">
      <w:pPr>
        <w:rPr>
          <w:sz w:val="20"/>
          <w:szCs w:val="20"/>
          <w:highlight w:val="cyan"/>
        </w:rPr>
      </w:pPr>
    </w:p>
    <w:p w14:paraId="066A6AB6" w14:textId="54E0BF3F" w:rsidR="00603922" w:rsidRDefault="00F506D8" w:rsidP="00196A0E">
      <w:pPr>
        <w:jc w:val="both"/>
        <w:rPr>
          <w:color w:val="000000"/>
          <w:sz w:val="20"/>
          <w:szCs w:val="20"/>
          <w:lang w:val="tr-TR" w:eastAsia="zh-CN"/>
        </w:rPr>
      </w:pPr>
      <w:r>
        <w:rPr>
          <w:color w:val="000000"/>
          <w:sz w:val="20"/>
          <w:szCs w:val="20"/>
          <w:lang w:val="tr-TR" w:eastAsia="zh-CN"/>
        </w:rPr>
        <w:t xml:space="preserve">The Bank’s calculated liquidity coverage ratios are presented as below pursuant to “Measurement and Assesment of the Liquidity Coverage Ratios of Banks” published </w:t>
      </w:r>
      <w:r w:rsidR="00243E1E">
        <w:rPr>
          <w:color w:val="000000"/>
          <w:sz w:val="20"/>
          <w:szCs w:val="20"/>
          <w:lang w:val="tr-TR" w:eastAsia="zh-CN"/>
        </w:rPr>
        <w:t xml:space="preserve">in the Official Gazette </w:t>
      </w:r>
      <w:r>
        <w:rPr>
          <w:color w:val="000000"/>
          <w:sz w:val="20"/>
          <w:szCs w:val="20"/>
          <w:lang w:val="tr-TR" w:eastAsia="zh-CN"/>
        </w:rPr>
        <w:t>on 21 March 2014 and numbered 28948.</w:t>
      </w:r>
    </w:p>
    <w:p w14:paraId="2497BD67" w14:textId="3EE4C88B" w:rsidR="00603922" w:rsidRDefault="00F506D8" w:rsidP="00C855D3">
      <w:pPr>
        <w:spacing w:before="120"/>
        <w:rPr>
          <w:color w:val="000000"/>
          <w:sz w:val="20"/>
          <w:szCs w:val="20"/>
          <w:lang w:val="tr-TR" w:eastAsia="zh-CN"/>
        </w:rPr>
      </w:pPr>
      <w:r>
        <w:rPr>
          <w:color w:val="000000"/>
          <w:sz w:val="20"/>
          <w:szCs w:val="20"/>
          <w:lang w:val="tr-TR" w:eastAsia="zh-CN"/>
        </w:rPr>
        <w:t>The highest and lowest values of the average of last three months unconsolidated foreign currency and total liquidity coverage ratios are as follows:</w:t>
      </w:r>
    </w:p>
    <w:p w14:paraId="71BCE2D7" w14:textId="77777777" w:rsidR="00195EDC" w:rsidRPr="00E46F2D" w:rsidRDefault="00195EDC" w:rsidP="00195EDC">
      <w:pPr>
        <w:spacing w:line="120" w:lineRule="auto"/>
        <w:jc w:val="both"/>
        <w:rPr>
          <w:sz w:val="20"/>
          <w:szCs w:val="20"/>
          <w:highlight w:val="cyan"/>
        </w:rPr>
      </w:pPr>
    </w:p>
    <w:tbl>
      <w:tblPr>
        <w:tblW w:w="973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90"/>
        <w:gridCol w:w="4525"/>
        <w:gridCol w:w="1171"/>
        <w:gridCol w:w="1190"/>
        <w:gridCol w:w="1286"/>
        <w:gridCol w:w="1275"/>
      </w:tblGrid>
      <w:tr w:rsidR="00603922" w:rsidRPr="00603922" w14:paraId="2B1FCFB1" w14:textId="77777777" w:rsidTr="002C2CE8">
        <w:trPr>
          <w:trHeight w:val="385"/>
        </w:trPr>
        <w:tc>
          <w:tcPr>
            <w:tcW w:w="4815" w:type="dxa"/>
            <w:gridSpan w:val="2"/>
            <w:vMerge w:val="restart"/>
            <w:shd w:val="clear" w:color="auto" w:fill="auto"/>
            <w:vAlign w:val="bottom"/>
            <w:hideMark/>
          </w:tcPr>
          <w:p w14:paraId="765756A7" w14:textId="7E2AD0C2" w:rsidR="00603922" w:rsidRPr="00603922" w:rsidRDefault="00603922" w:rsidP="00603922">
            <w:pPr>
              <w:rPr>
                <w:b/>
                <w:bCs/>
                <w:color w:val="000000"/>
                <w:sz w:val="18"/>
                <w:szCs w:val="18"/>
              </w:rPr>
            </w:pPr>
            <w:r w:rsidRPr="00603922">
              <w:rPr>
                <w:b/>
                <w:bCs/>
                <w:color w:val="000000"/>
                <w:sz w:val="18"/>
                <w:szCs w:val="18"/>
                <w:lang w:val="tr-TR"/>
              </w:rPr>
              <w:t>Current Period</w:t>
            </w:r>
          </w:p>
        </w:tc>
        <w:tc>
          <w:tcPr>
            <w:tcW w:w="2361" w:type="dxa"/>
            <w:gridSpan w:val="2"/>
            <w:shd w:val="clear" w:color="auto" w:fill="auto"/>
            <w:hideMark/>
          </w:tcPr>
          <w:p w14:paraId="0FA42AF3" w14:textId="6CE78ED2" w:rsidR="00603922" w:rsidRPr="00603922" w:rsidRDefault="00603922" w:rsidP="00603922">
            <w:pPr>
              <w:jc w:val="center"/>
              <w:rPr>
                <w:b/>
                <w:color w:val="000000"/>
                <w:sz w:val="18"/>
                <w:szCs w:val="18"/>
              </w:rPr>
            </w:pPr>
            <w:r w:rsidRPr="00603922">
              <w:rPr>
                <w:b/>
                <w:color w:val="000000"/>
                <w:sz w:val="18"/>
                <w:szCs w:val="18"/>
              </w:rPr>
              <w:t>Consideration Ratio Unapplied to Total Value (*)</w:t>
            </w:r>
          </w:p>
        </w:tc>
        <w:tc>
          <w:tcPr>
            <w:tcW w:w="2561" w:type="dxa"/>
            <w:gridSpan w:val="2"/>
            <w:shd w:val="clear" w:color="auto" w:fill="auto"/>
            <w:hideMark/>
          </w:tcPr>
          <w:p w14:paraId="2730D8BD" w14:textId="77777777" w:rsidR="004D09B3" w:rsidRDefault="00603922" w:rsidP="00603922">
            <w:pPr>
              <w:jc w:val="center"/>
              <w:rPr>
                <w:b/>
                <w:color w:val="000000"/>
                <w:sz w:val="18"/>
                <w:szCs w:val="18"/>
              </w:rPr>
            </w:pPr>
            <w:r w:rsidRPr="00603922">
              <w:rPr>
                <w:b/>
                <w:color w:val="000000"/>
                <w:sz w:val="18"/>
                <w:szCs w:val="18"/>
              </w:rPr>
              <w:t xml:space="preserve"> Consideration Ratio </w:t>
            </w:r>
          </w:p>
          <w:p w14:paraId="16E004AB" w14:textId="17F7907F" w:rsidR="00603922" w:rsidRPr="00603922" w:rsidRDefault="00603922" w:rsidP="00603922">
            <w:pPr>
              <w:jc w:val="center"/>
              <w:rPr>
                <w:b/>
                <w:color w:val="000000"/>
                <w:sz w:val="18"/>
                <w:szCs w:val="18"/>
              </w:rPr>
            </w:pPr>
            <w:r w:rsidRPr="00603922">
              <w:rPr>
                <w:b/>
                <w:color w:val="000000"/>
                <w:sz w:val="18"/>
                <w:szCs w:val="18"/>
              </w:rPr>
              <w:t>Applied to Total Value (*)</w:t>
            </w:r>
          </w:p>
        </w:tc>
      </w:tr>
      <w:tr w:rsidR="00603922" w:rsidRPr="00603922" w14:paraId="42A43713" w14:textId="77777777" w:rsidTr="002C2CE8">
        <w:trPr>
          <w:trHeight w:val="135"/>
        </w:trPr>
        <w:tc>
          <w:tcPr>
            <w:tcW w:w="4815" w:type="dxa"/>
            <w:gridSpan w:val="2"/>
            <w:vMerge/>
            <w:vAlign w:val="center"/>
            <w:hideMark/>
          </w:tcPr>
          <w:p w14:paraId="7E6F7C48" w14:textId="77777777" w:rsidR="00603922" w:rsidRPr="00603922" w:rsidRDefault="00603922" w:rsidP="00603922">
            <w:pPr>
              <w:rPr>
                <w:b/>
                <w:bCs/>
                <w:color w:val="000000"/>
                <w:sz w:val="18"/>
                <w:szCs w:val="18"/>
              </w:rPr>
            </w:pPr>
          </w:p>
        </w:tc>
        <w:tc>
          <w:tcPr>
            <w:tcW w:w="1171" w:type="dxa"/>
            <w:shd w:val="clear" w:color="auto" w:fill="auto"/>
            <w:noWrap/>
            <w:vAlign w:val="bottom"/>
            <w:hideMark/>
          </w:tcPr>
          <w:p w14:paraId="15FFE532" w14:textId="3C161CEF" w:rsidR="00603922" w:rsidRPr="00603922" w:rsidRDefault="00F506D8" w:rsidP="00196A0E">
            <w:pPr>
              <w:jc w:val="center"/>
              <w:rPr>
                <w:color w:val="000000"/>
                <w:sz w:val="18"/>
                <w:szCs w:val="18"/>
              </w:rPr>
            </w:pPr>
            <w:r>
              <w:rPr>
                <w:color w:val="000000"/>
                <w:sz w:val="18"/>
                <w:szCs w:val="18"/>
              </w:rPr>
              <w:t>TL</w:t>
            </w:r>
            <w:r w:rsidR="00603922" w:rsidRPr="00603922">
              <w:rPr>
                <w:color w:val="000000"/>
                <w:sz w:val="18"/>
                <w:szCs w:val="18"/>
              </w:rPr>
              <w:t>+FC</w:t>
            </w:r>
          </w:p>
        </w:tc>
        <w:tc>
          <w:tcPr>
            <w:tcW w:w="1190" w:type="dxa"/>
            <w:shd w:val="clear" w:color="auto" w:fill="auto"/>
            <w:noWrap/>
            <w:vAlign w:val="bottom"/>
            <w:hideMark/>
          </w:tcPr>
          <w:p w14:paraId="15087F91" w14:textId="3773C472" w:rsidR="00603922" w:rsidRPr="00603922" w:rsidRDefault="00603922" w:rsidP="00603922">
            <w:pPr>
              <w:jc w:val="center"/>
              <w:rPr>
                <w:color w:val="000000"/>
                <w:sz w:val="18"/>
                <w:szCs w:val="18"/>
              </w:rPr>
            </w:pPr>
            <w:r w:rsidRPr="00603922">
              <w:rPr>
                <w:color w:val="000000"/>
                <w:sz w:val="18"/>
                <w:szCs w:val="18"/>
              </w:rPr>
              <w:t>FC</w:t>
            </w:r>
          </w:p>
        </w:tc>
        <w:tc>
          <w:tcPr>
            <w:tcW w:w="1286" w:type="dxa"/>
            <w:shd w:val="clear" w:color="auto" w:fill="auto"/>
            <w:noWrap/>
            <w:vAlign w:val="bottom"/>
            <w:hideMark/>
          </w:tcPr>
          <w:p w14:paraId="02128D56" w14:textId="5C961472" w:rsidR="00603922" w:rsidRPr="00603922" w:rsidRDefault="00F506D8" w:rsidP="00603922">
            <w:pPr>
              <w:jc w:val="center"/>
              <w:rPr>
                <w:color w:val="000000"/>
                <w:sz w:val="18"/>
                <w:szCs w:val="18"/>
              </w:rPr>
            </w:pPr>
            <w:r>
              <w:rPr>
                <w:color w:val="000000"/>
                <w:sz w:val="18"/>
                <w:szCs w:val="18"/>
              </w:rPr>
              <w:t>TL</w:t>
            </w:r>
            <w:r w:rsidR="00603922" w:rsidRPr="00603922">
              <w:rPr>
                <w:color w:val="000000"/>
                <w:sz w:val="18"/>
                <w:szCs w:val="18"/>
              </w:rPr>
              <w:t>+FC</w:t>
            </w:r>
          </w:p>
        </w:tc>
        <w:tc>
          <w:tcPr>
            <w:tcW w:w="1275" w:type="dxa"/>
            <w:shd w:val="clear" w:color="auto" w:fill="auto"/>
            <w:noWrap/>
            <w:vAlign w:val="bottom"/>
            <w:hideMark/>
          </w:tcPr>
          <w:p w14:paraId="1CC4BD70" w14:textId="37A491D8" w:rsidR="00603922" w:rsidRPr="00603922" w:rsidRDefault="00603922" w:rsidP="00603922">
            <w:pPr>
              <w:jc w:val="center"/>
              <w:rPr>
                <w:color w:val="000000"/>
                <w:sz w:val="18"/>
                <w:szCs w:val="18"/>
              </w:rPr>
            </w:pPr>
            <w:r w:rsidRPr="00603922">
              <w:rPr>
                <w:color w:val="000000"/>
                <w:sz w:val="18"/>
                <w:szCs w:val="18"/>
              </w:rPr>
              <w:t>FC</w:t>
            </w:r>
          </w:p>
        </w:tc>
      </w:tr>
      <w:tr w:rsidR="00195EDC" w:rsidRPr="00603922" w14:paraId="5BAB1104" w14:textId="77777777" w:rsidTr="002C2CE8">
        <w:trPr>
          <w:trHeight w:val="224"/>
        </w:trPr>
        <w:tc>
          <w:tcPr>
            <w:tcW w:w="9737" w:type="dxa"/>
            <w:gridSpan w:val="6"/>
            <w:shd w:val="clear" w:color="auto" w:fill="auto"/>
            <w:vAlign w:val="center"/>
            <w:hideMark/>
          </w:tcPr>
          <w:p w14:paraId="30E1A606" w14:textId="5FD9B3B2" w:rsidR="00195EDC" w:rsidRPr="00603922" w:rsidRDefault="00603922" w:rsidP="00F77D55">
            <w:pPr>
              <w:rPr>
                <w:b/>
                <w:bCs/>
                <w:color w:val="000000"/>
                <w:sz w:val="18"/>
                <w:szCs w:val="18"/>
              </w:rPr>
            </w:pPr>
            <w:r w:rsidRPr="00603922">
              <w:rPr>
                <w:b/>
                <w:bCs/>
                <w:color w:val="000000"/>
                <w:sz w:val="18"/>
                <w:szCs w:val="18"/>
                <w:lang w:val="tr-TR"/>
              </w:rPr>
              <w:t>HIGH QUALITY LIQUID ASSETS</w:t>
            </w:r>
          </w:p>
        </w:tc>
      </w:tr>
      <w:tr w:rsidR="00224102" w:rsidRPr="00603922" w14:paraId="323EE3D1" w14:textId="77777777" w:rsidTr="002C2CE8">
        <w:trPr>
          <w:trHeight w:val="227"/>
        </w:trPr>
        <w:tc>
          <w:tcPr>
            <w:tcW w:w="290" w:type="dxa"/>
            <w:shd w:val="clear" w:color="auto" w:fill="auto"/>
            <w:noWrap/>
            <w:vAlign w:val="bottom"/>
            <w:hideMark/>
          </w:tcPr>
          <w:p w14:paraId="4CB8A251" w14:textId="77777777" w:rsidR="00224102" w:rsidRPr="00603922" w:rsidRDefault="00224102" w:rsidP="002C2CE8">
            <w:pPr>
              <w:jc w:val="center"/>
              <w:rPr>
                <w:color w:val="000000"/>
                <w:sz w:val="18"/>
                <w:szCs w:val="18"/>
              </w:rPr>
            </w:pPr>
            <w:r w:rsidRPr="00603922">
              <w:rPr>
                <w:color w:val="000000"/>
                <w:sz w:val="18"/>
                <w:szCs w:val="18"/>
              </w:rPr>
              <w:t>1</w:t>
            </w:r>
          </w:p>
        </w:tc>
        <w:tc>
          <w:tcPr>
            <w:tcW w:w="4525" w:type="dxa"/>
            <w:shd w:val="clear" w:color="auto" w:fill="auto"/>
            <w:noWrap/>
            <w:vAlign w:val="bottom"/>
            <w:hideMark/>
          </w:tcPr>
          <w:p w14:paraId="6237CB6D" w14:textId="4B556EA1" w:rsidR="00224102" w:rsidRPr="00603922" w:rsidRDefault="00F506D8" w:rsidP="00F506D8">
            <w:pPr>
              <w:rPr>
                <w:color w:val="000000"/>
                <w:sz w:val="18"/>
                <w:szCs w:val="18"/>
              </w:rPr>
            </w:pPr>
            <w:r>
              <w:rPr>
                <w:color w:val="000000"/>
                <w:sz w:val="18"/>
                <w:szCs w:val="18"/>
                <w:lang w:val="tr-TR"/>
              </w:rPr>
              <w:t>High Quality Liquid A</w:t>
            </w:r>
            <w:r w:rsidR="00224102" w:rsidRPr="00603922">
              <w:rPr>
                <w:color w:val="000000"/>
                <w:sz w:val="18"/>
                <w:szCs w:val="18"/>
                <w:lang w:val="tr-TR"/>
              </w:rPr>
              <w:t>ssets</w:t>
            </w:r>
          </w:p>
        </w:tc>
        <w:tc>
          <w:tcPr>
            <w:tcW w:w="1171" w:type="dxa"/>
            <w:shd w:val="clear" w:color="auto" w:fill="A6A6A6" w:themeFill="background1" w:themeFillShade="A6"/>
            <w:noWrap/>
            <w:vAlign w:val="bottom"/>
          </w:tcPr>
          <w:p w14:paraId="1183F1D0" w14:textId="77777777" w:rsidR="00224102" w:rsidRPr="002C2CE8" w:rsidRDefault="00224102" w:rsidP="00224102">
            <w:pPr>
              <w:jc w:val="right"/>
              <w:rPr>
                <w:color w:val="000000"/>
                <w:sz w:val="18"/>
                <w:szCs w:val="18"/>
              </w:rPr>
            </w:pPr>
          </w:p>
        </w:tc>
        <w:tc>
          <w:tcPr>
            <w:tcW w:w="1190" w:type="dxa"/>
            <w:shd w:val="clear" w:color="auto" w:fill="A6A6A6" w:themeFill="background1" w:themeFillShade="A6"/>
            <w:noWrap/>
            <w:vAlign w:val="bottom"/>
          </w:tcPr>
          <w:p w14:paraId="0DE06A8B" w14:textId="77777777" w:rsidR="00224102" w:rsidRPr="002C2CE8" w:rsidRDefault="00224102" w:rsidP="00224102">
            <w:pPr>
              <w:jc w:val="right"/>
              <w:rPr>
                <w:color w:val="000000"/>
                <w:sz w:val="18"/>
                <w:szCs w:val="18"/>
              </w:rPr>
            </w:pPr>
          </w:p>
        </w:tc>
        <w:tc>
          <w:tcPr>
            <w:tcW w:w="1286" w:type="dxa"/>
            <w:shd w:val="clear" w:color="auto" w:fill="auto"/>
            <w:noWrap/>
            <w:vAlign w:val="bottom"/>
          </w:tcPr>
          <w:p w14:paraId="75640FE3" w14:textId="2DC73AA8" w:rsidR="00224102" w:rsidRPr="002C2CE8" w:rsidRDefault="00224102" w:rsidP="00224102">
            <w:pPr>
              <w:jc w:val="right"/>
              <w:rPr>
                <w:color w:val="000000"/>
                <w:sz w:val="18"/>
                <w:szCs w:val="18"/>
              </w:rPr>
            </w:pPr>
            <w:r w:rsidRPr="002C2CE8">
              <w:rPr>
                <w:color w:val="000000"/>
                <w:sz w:val="18"/>
                <w:szCs w:val="18"/>
              </w:rPr>
              <w:t xml:space="preserve">      1,996,311 </w:t>
            </w:r>
          </w:p>
        </w:tc>
        <w:tc>
          <w:tcPr>
            <w:tcW w:w="1275" w:type="dxa"/>
            <w:shd w:val="clear" w:color="auto" w:fill="auto"/>
            <w:noWrap/>
            <w:vAlign w:val="bottom"/>
          </w:tcPr>
          <w:p w14:paraId="1AC27CEA" w14:textId="664CC0C8" w:rsidR="00224102" w:rsidRPr="002C2CE8" w:rsidRDefault="00224102" w:rsidP="00224102">
            <w:pPr>
              <w:jc w:val="right"/>
              <w:rPr>
                <w:color w:val="000000"/>
                <w:sz w:val="18"/>
                <w:szCs w:val="18"/>
              </w:rPr>
            </w:pPr>
            <w:r w:rsidRPr="002C2CE8">
              <w:rPr>
                <w:color w:val="000000"/>
                <w:sz w:val="18"/>
                <w:szCs w:val="18"/>
              </w:rPr>
              <w:t xml:space="preserve">      1,424,983 </w:t>
            </w:r>
          </w:p>
        </w:tc>
      </w:tr>
      <w:tr w:rsidR="00195EDC" w:rsidRPr="00603922" w14:paraId="5D650256" w14:textId="77777777" w:rsidTr="002C2CE8">
        <w:trPr>
          <w:trHeight w:val="227"/>
        </w:trPr>
        <w:tc>
          <w:tcPr>
            <w:tcW w:w="9737" w:type="dxa"/>
            <w:gridSpan w:val="6"/>
            <w:shd w:val="clear" w:color="auto" w:fill="auto"/>
            <w:noWrap/>
            <w:vAlign w:val="bottom"/>
          </w:tcPr>
          <w:p w14:paraId="448C8206" w14:textId="5FDB459E" w:rsidR="00195EDC" w:rsidRPr="002C2CE8" w:rsidRDefault="00603922" w:rsidP="00F77D55">
            <w:pPr>
              <w:rPr>
                <w:b/>
                <w:bCs/>
                <w:color w:val="000000"/>
                <w:sz w:val="18"/>
                <w:szCs w:val="18"/>
              </w:rPr>
            </w:pPr>
            <w:r w:rsidRPr="002C2CE8">
              <w:rPr>
                <w:b/>
                <w:bCs/>
                <w:color w:val="000000"/>
                <w:sz w:val="18"/>
                <w:szCs w:val="18"/>
                <w:lang w:val="tr-TR"/>
              </w:rPr>
              <w:t>CASH OUTFLOWS</w:t>
            </w:r>
            <w:r w:rsidRPr="002C2CE8">
              <w:rPr>
                <w:b/>
                <w:bCs/>
                <w:color w:val="000000"/>
                <w:sz w:val="18"/>
                <w:szCs w:val="18"/>
              </w:rPr>
              <w:t xml:space="preserve"> </w:t>
            </w:r>
          </w:p>
        </w:tc>
      </w:tr>
      <w:tr w:rsidR="00224102" w:rsidRPr="00603922" w14:paraId="07AC3549" w14:textId="77777777" w:rsidTr="002C2CE8">
        <w:trPr>
          <w:trHeight w:val="227"/>
        </w:trPr>
        <w:tc>
          <w:tcPr>
            <w:tcW w:w="290" w:type="dxa"/>
            <w:shd w:val="clear" w:color="auto" w:fill="auto"/>
            <w:noWrap/>
            <w:vAlign w:val="center"/>
            <w:hideMark/>
          </w:tcPr>
          <w:p w14:paraId="07177523" w14:textId="77777777" w:rsidR="00224102" w:rsidRPr="00603922" w:rsidRDefault="00224102" w:rsidP="002C2CE8">
            <w:pPr>
              <w:jc w:val="center"/>
              <w:rPr>
                <w:color w:val="000000"/>
                <w:sz w:val="18"/>
                <w:szCs w:val="18"/>
              </w:rPr>
            </w:pPr>
            <w:r w:rsidRPr="00603922">
              <w:rPr>
                <w:color w:val="000000"/>
                <w:sz w:val="18"/>
                <w:szCs w:val="18"/>
              </w:rPr>
              <w:t>2</w:t>
            </w:r>
          </w:p>
        </w:tc>
        <w:tc>
          <w:tcPr>
            <w:tcW w:w="4525" w:type="dxa"/>
            <w:shd w:val="clear" w:color="auto" w:fill="auto"/>
            <w:noWrap/>
            <w:vAlign w:val="bottom"/>
            <w:hideMark/>
          </w:tcPr>
          <w:p w14:paraId="29F575AA" w14:textId="2A3AACB8" w:rsidR="00224102" w:rsidRPr="00603922" w:rsidRDefault="00F506D8" w:rsidP="00224102">
            <w:pPr>
              <w:rPr>
                <w:color w:val="000000"/>
                <w:sz w:val="18"/>
                <w:szCs w:val="18"/>
              </w:rPr>
            </w:pPr>
            <w:r>
              <w:rPr>
                <w:color w:val="000000"/>
                <w:sz w:val="18"/>
                <w:szCs w:val="18"/>
              </w:rPr>
              <w:t>Retail and Small Business Customers</w:t>
            </w:r>
          </w:p>
        </w:tc>
        <w:tc>
          <w:tcPr>
            <w:tcW w:w="1171" w:type="dxa"/>
            <w:shd w:val="clear" w:color="auto" w:fill="auto"/>
            <w:noWrap/>
            <w:vAlign w:val="bottom"/>
          </w:tcPr>
          <w:p w14:paraId="48AFCC34" w14:textId="1F583B90" w:rsidR="00224102" w:rsidRPr="002C2CE8" w:rsidRDefault="00224102" w:rsidP="004D09B3">
            <w:pPr>
              <w:ind w:right="49"/>
              <w:jc w:val="right"/>
              <w:rPr>
                <w:color w:val="000000"/>
                <w:sz w:val="18"/>
                <w:szCs w:val="18"/>
              </w:rPr>
            </w:pPr>
            <w:r w:rsidRPr="002C2CE8">
              <w:rPr>
                <w:color w:val="000000"/>
                <w:sz w:val="18"/>
                <w:szCs w:val="18"/>
              </w:rPr>
              <w:t xml:space="preserve">      3,322,497 </w:t>
            </w:r>
          </w:p>
        </w:tc>
        <w:tc>
          <w:tcPr>
            <w:tcW w:w="1190" w:type="dxa"/>
            <w:shd w:val="clear" w:color="auto" w:fill="auto"/>
            <w:noWrap/>
            <w:vAlign w:val="bottom"/>
          </w:tcPr>
          <w:p w14:paraId="1B39D1BE" w14:textId="54F2330A" w:rsidR="00224102" w:rsidRPr="002C2CE8" w:rsidRDefault="00224102" w:rsidP="004D09B3">
            <w:pPr>
              <w:ind w:right="49"/>
              <w:jc w:val="right"/>
              <w:rPr>
                <w:color w:val="000000"/>
                <w:sz w:val="18"/>
                <w:szCs w:val="18"/>
              </w:rPr>
            </w:pPr>
            <w:r w:rsidRPr="002C2CE8">
              <w:rPr>
                <w:color w:val="000000"/>
                <w:sz w:val="18"/>
                <w:szCs w:val="18"/>
              </w:rPr>
              <w:t xml:space="preserve">      1,580,197 </w:t>
            </w:r>
          </w:p>
        </w:tc>
        <w:tc>
          <w:tcPr>
            <w:tcW w:w="1286" w:type="dxa"/>
            <w:shd w:val="clear" w:color="auto" w:fill="auto"/>
            <w:noWrap/>
            <w:vAlign w:val="bottom"/>
          </w:tcPr>
          <w:p w14:paraId="14301A40" w14:textId="239802E0" w:rsidR="00224102" w:rsidRPr="002C2CE8" w:rsidRDefault="00224102" w:rsidP="004D09B3">
            <w:pPr>
              <w:ind w:right="49"/>
              <w:jc w:val="right"/>
              <w:rPr>
                <w:color w:val="000000"/>
                <w:sz w:val="18"/>
                <w:szCs w:val="18"/>
              </w:rPr>
            </w:pPr>
            <w:r w:rsidRPr="002C2CE8">
              <w:rPr>
                <w:color w:val="000000"/>
                <w:sz w:val="18"/>
                <w:szCs w:val="18"/>
              </w:rPr>
              <w:t xml:space="preserve">         296,272 </w:t>
            </w:r>
          </w:p>
        </w:tc>
        <w:tc>
          <w:tcPr>
            <w:tcW w:w="1275" w:type="dxa"/>
            <w:shd w:val="clear" w:color="auto" w:fill="auto"/>
            <w:noWrap/>
            <w:vAlign w:val="bottom"/>
          </w:tcPr>
          <w:p w14:paraId="146BD3E2" w14:textId="05B94269" w:rsidR="00224102" w:rsidRPr="002C2CE8" w:rsidRDefault="00224102" w:rsidP="004D09B3">
            <w:pPr>
              <w:ind w:right="49"/>
              <w:jc w:val="right"/>
              <w:rPr>
                <w:color w:val="000000"/>
                <w:sz w:val="18"/>
                <w:szCs w:val="18"/>
              </w:rPr>
            </w:pPr>
            <w:r w:rsidRPr="002C2CE8">
              <w:rPr>
                <w:color w:val="000000"/>
                <w:sz w:val="18"/>
                <w:szCs w:val="18"/>
              </w:rPr>
              <w:t xml:space="preserve">         158,020 </w:t>
            </w:r>
          </w:p>
        </w:tc>
      </w:tr>
      <w:tr w:rsidR="00224102" w:rsidRPr="00603922" w14:paraId="3E759C73" w14:textId="77777777" w:rsidTr="002C2CE8">
        <w:trPr>
          <w:trHeight w:val="227"/>
        </w:trPr>
        <w:tc>
          <w:tcPr>
            <w:tcW w:w="290" w:type="dxa"/>
            <w:shd w:val="clear" w:color="auto" w:fill="auto"/>
            <w:noWrap/>
            <w:vAlign w:val="center"/>
            <w:hideMark/>
          </w:tcPr>
          <w:p w14:paraId="7484DD20" w14:textId="77777777" w:rsidR="00224102" w:rsidRPr="00603922" w:rsidRDefault="00224102" w:rsidP="002C2CE8">
            <w:pPr>
              <w:jc w:val="center"/>
              <w:rPr>
                <w:color w:val="000000"/>
                <w:sz w:val="18"/>
                <w:szCs w:val="18"/>
              </w:rPr>
            </w:pPr>
            <w:r w:rsidRPr="00603922">
              <w:rPr>
                <w:color w:val="000000"/>
                <w:sz w:val="18"/>
                <w:szCs w:val="18"/>
              </w:rPr>
              <w:t>3</w:t>
            </w:r>
          </w:p>
        </w:tc>
        <w:tc>
          <w:tcPr>
            <w:tcW w:w="4525" w:type="dxa"/>
            <w:shd w:val="clear" w:color="auto" w:fill="auto"/>
            <w:noWrap/>
            <w:tcMar>
              <w:top w:w="0" w:type="dxa"/>
              <w:left w:w="270" w:type="dxa"/>
              <w:bottom w:w="0" w:type="dxa"/>
              <w:right w:w="0" w:type="dxa"/>
            </w:tcMar>
            <w:vAlign w:val="bottom"/>
            <w:hideMark/>
          </w:tcPr>
          <w:p w14:paraId="282409E4" w14:textId="52A365AD" w:rsidR="00224102" w:rsidRPr="00603922" w:rsidRDefault="00F506D8" w:rsidP="00224102">
            <w:pPr>
              <w:ind w:leftChars="-112" w:left="1" w:hangingChars="150" w:hanging="270"/>
              <w:jc w:val="both"/>
              <w:rPr>
                <w:color w:val="000000"/>
                <w:sz w:val="18"/>
                <w:szCs w:val="18"/>
              </w:rPr>
            </w:pPr>
            <w:r>
              <w:rPr>
                <w:color w:val="000000"/>
                <w:sz w:val="18"/>
                <w:szCs w:val="18"/>
              </w:rPr>
              <w:t>Stable Deposits</w:t>
            </w:r>
          </w:p>
        </w:tc>
        <w:tc>
          <w:tcPr>
            <w:tcW w:w="1171" w:type="dxa"/>
            <w:shd w:val="clear" w:color="auto" w:fill="auto"/>
            <w:noWrap/>
            <w:vAlign w:val="bottom"/>
          </w:tcPr>
          <w:p w14:paraId="099C2DA6" w14:textId="2F4728C1" w:rsidR="00224102" w:rsidRPr="002C2CE8" w:rsidRDefault="00224102" w:rsidP="004D09B3">
            <w:pPr>
              <w:ind w:right="49"/>
              <w:jc w:val="right"/>
              <w:rPr>
                <w:color w:val="000000"/>
                <w:sz w:val="18"/>
                <w:szCs w:val="18"/>
              </w:rPr>
            </w:pPr>
            <w:r w:rsidRPr="002C2CE8">
              <w:rPr>
                <w:color w:val="000000"/>
                <w:sz w:val="18"/>
                <w:szCs w:val="18"/>
              </w:rPr>
              <w:t xml:space="preserve">         719,547 </w:t>
            </w:r>
          </w:p>
        </w:tc>
        <w:tc>
          <w:tcPr>
            <w:tcW w:w="1190" w:type="dxa"/>
            <w:shd w:val="clear" w:color="auto" w:fill="auto"/>
            <w:noWrap/>
            <w:vAlign w:val="bottom"/>
          </w:tcPr>
          <w:p w14:paraId="478FE729" w14:textId="29A99658"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286" w:type="dxa"/>
            <w:shd w:val="clear" w:color="auto" w:fill="auto"/>
            <w:noWrap/>
            <w:vAlign w:val="bottom"/>
          </w:tcPr>
          <w:p w14:paraId="76A3F006" w14:textId="21A2E6FD" w:rsidR="00224102" w:rsidRPr="002C2CE8" w:rsidRDefault="00224102" w:rsidP="004D09B3">
            <w:pPr>
              <w:ind w:right="49"/>
              <w:jc w:val="right"/>
              <w:rPr>
                <w:color w:val="000000"/>
                <w:sz w:val="18"/>
                <w:szCs w:val="18"/>
              </w:rPr>
            </w:pPr>
            <w:r w:rsidRPr="002C2CE8">
              <w:rPr>
                <w:color w:val="000000"/>
                <w:sz w:val="18"/>
                <w:szCs w:val="18"/>
              </w:rPr>
              <w:t xml:space="preserve">           35,977 </w:t>
            </w:r>
          </w:p>
        </w:tc>
        <w:tc>
          <w:tcPr>
            <w:tcW w:w="1275" w:type="dxa"/>
            <w:shd w:val="clear" w:color="auto" w:fill="auto"/>
            <w:noWrap/>
            <w:vAlign w:val="bottom"/>
          </w:tcPr>
          <w:p w14:paraId="0A3C181C" w14:textId="4B35B073" w:rsidR="00224102" w:rsidRPr="002C2CE8" w:rsidRDefault="00224102" w:rsidP="004D09B3">
            <w:pPr>
              <w:ind w:right="49"/>
              <w:jc w:val="right"/>
              <w:rPr>
                <w:color w:val="000000"/>
                <w:sz w:val="18"/>
                <w:szCs w:val="18"/>
              </w:rPr>
            </w:pPr>
            <w:r w:rsidRPr="002C2CE8">
              <w:rPr>
                <w:color w:val="000000"/>
                <w:sz w:val="18"/>
                <w:szCs w:val="18"/>
              </w:rPr>
              <w:t xml:space="preserve">                   -   </w:t>
            </w:r>
          </w:p>
        </w:tc>
      </w:tr>
      <w:tr w:rsidR="00224102" w:rsidRPr="00603922" w14:paraId="6B87F124" w14:textId="77777777" w:rsidTr="002C2CE8">
        <w:trPr>
          <w:trHeight w:val="227"/>
        </w:trPr>
        <w:tc>
          <w:tcPr>
            <w:tcW w:w="290" w:type="dxa"/>
            <w:shd w:val="clear" w:color="auto" w:fill="auto"/>
            <w:noWrap/>
            <w:vAlign w:val="center"/>
            <w:hideMark/>
          </w:tcPr>
          <w:p w14:paraId="40FFBD0C" w14:textId="77777777" w:rsidR="00224102" w:rsidRPr="00603922" w:rsidRDefault="00224102" w:rsidP="002C2CE8">
            <w:pPr>
              <w:jc w:val="center"/>
              <w:rPr>
                <w:color w:val="000000"/>
                <w:sz w:val="18"/>
                <w:szCs w:val="18"/>
              </w:rPr>
            </w:pPr>
            <w:r w:rsidRPr="00603922">
              <w:rPr>
                <w:color w:val="000000"/>
                <w:sz w:val="18"/>
                <w:szCs w:val="18"/>
              </w:rPr>
              <w:t>4</w:t>
            </w:r>
          </w:p>
        </w:tc>
        <w:tc>
          <w:tcPr>
            <w:tcW w:w="4525" w:type="dxa"/>
            <w:shd w:val="clear" w:color="auto" w:fill="auto"/>
            <w:noWrap/>
            <w:tcMar>
              <w:top w:w="0" w:type="dxa"/>
              <w:left w:w="270" w:type="dxa"/>
              <w:bottom w:w="0" w:type="dxa"/>
              <w:right w:w="0" w:type="dxa"/>
            </w:tcMar>
            <w:vAlign w:val="bottom"/>
            <w:hideMark/>
          </w:tcPr>
          <w:p w14:paraId="2E0443F6" w14:textId="37B30AD0" w:rsidR="00224102" w:rsidRPr="00603922" w:rsidRDefault="00224102" w:rsidP="00F506D8">
            <w:pPr>
              <w:ind w:leftChars="-112" w:left="1" w:hangingChars="150" w:hanging="270"/>
              <w:jc w:val="both"/>
              <w:rPr>
                <w:color w:val="000000"/>
                <w:sz w:val="18"/>
                <w:szCs w:val="18"/>
              </w:rPr>
            </w:pPr>
            <w:r w:rsidRPr="00603922">
              <w:rPr>
                <w:color w:val="000000"/>
                <w:sz w:val="18"/>
                <w:szCs w:val="18"/>
              </w:rPr>
              <w:t>L</w:t>
            </w:r>
            <w:r w:rsidR="00F506D8">
              <w:rPr>
                <w:color w:val="000000"/>
                <w:sz w:val="18"/>
                <w:szCs w:val="18"/>
              </w:rPr>
              <w:t>ess Stable D</w:t>
            </w:r>
            <w:r w:rsidRPr="00603922">
              <w:rPr>
                <w:color w:val="000000"/>
                <w:sz w:val="18"/>
                <w:szCs w:val="18"/>
              </w:rPr>
              <w:t>eposit</w:t>
            </w:r>
          </w:p>
        </w:tc>
        <w:tc>
          <w:tcPr>
            <w:tcW w:w="1171" w:type="dxa"/>
            <w:shd w:val="clear" w:color="auto" w:fill="auto"/>
            <w:noWrap/>
            <w:vAlign w:val="bottom"/>
          </w:tcPr>
          <w:p w14:paraId="74AFFC98" w14:textId="6C27BCF4" w:rsidR="00224102" w:rsidRPr="002C2CE8" w:rsidRDefault="00224102" w:rsidP="004D09B3">
            <w:pPr>
              <w:ind w:right="49"/>
              <w:jc w:val="right"/>
              <w:rPr>
                <w:color w:val="000000"/>
                <w:sz w:val="18"/>
                <w:szCs w:val="18"/>
              </w:rPr>
            </w:pPr>
            <w:r w:rsidRPr="002C2CE8">
              <w:rPr>
                <w:color w:val="000000"/>
                <w:sz w:val="18"/>
                <w:szCs w:val="18"/>
              </w:rPr>
              <w:t xml:space="preserve">      2,602,950 </w:t>
            </w:r>
          </w:p>
        </w:tc>
        <w:tc>
          <w:tcPr>
            <w:tcW w:w="1190" w:type="dxa"/>
            <w:shd w:val="clear" w:color="auto" w:fill="auto"/>
            <w:noWrap/>
            <w:vAlign w:val="bottom"/>
          </w:tcPr>
          <w:p w14:paraId="1E7A5752" w14:textId="5C539ECD" w:rsidR="00224102" w:rsidRPr="002C2CE8" w:rsidRDefault="00224102" w:rsidP="004D09B3">
            <w:pPr>
              <w:ind w:right="49"/>
              <w:jc w:val="right"/>
              <w:rPr>
                <w:color w:val="000000"/>
                <w:sz w:val="18"/>
                <w:szCs w:val="18"/>
              </w:rPr>
            </w:pPr>
            <w:r w:rsidRPr="002C2CE8">
              <w:rPr>
                <w:color w:val="000000"/>
                <w:sz w:val="18"/>
                <w:szCs w:val="18"/>
              </w:rPr>
              <w:t xml:space="preserve">      1,580,197 </w:t>
            </w:r>
          </w:p>
        </w:tc>
        <w:tc>
          <w:tcPr>
            <w:tcW w:w="1286" w:type="dxa"/>
            <w:shd w:val="clear" w:color="auto" w:fill="auto"/>
            <w:noWrap/>
            <w:vAlign w:val="bottom"/>
          </w:tcPr>
          <w:p w14:paraId="5674A141" w14:textId="0EBA71A8" w:rsidR="00224102" w:rsidRPr="002C2CE8" w:rsidRDefault="00224102" w:rsidP="004D09B3">
            <w:pPr>
              <w:ind w:right="49"/>
              <w:jc w:val="right"/>
              <w:rPr>
                <w:color w:val="000000"/>
                <w:sz w:val="18"/>
                <w:szCs w:val="18"/>
              </w:rPr>
            </w:pPr>
            <w:r w:rsidRPr="002C2CE8">
              <w:rPr>
                <w:color w:val="000000"/>
                <w:sz w:val="18"/>
                <w:szCs w:val="18"/>
              </w:rPr>
              <w:t xml:space="preserve">         260,295 </w:t>
            </w:r>
          </w:p>
        </w:tc>
        <w:tc>
          <w:tcPr>
            <w:tcW w:w="1275" w:type="dxa"/>
            <w:shd w:val="clear" w:color="auto" w:fill="auto"/>
            <w:noWrap/>
            <w:vAlign w:val="bottom"/>
          </w:tcPr>
          <w:p w14:paraId="535B2ADB" w14:textId="1EB2A637" w:rsidR="00224102" w:rsidRPr="002C2CE8" w:rsidRDefault="00224102" w:rsidP="004D09B3">
            <w:pPr>
              <w:ind w:right="49"/>
              <w:jc w:val="right"/>
              <w:rPr>
                <w:color w:val="000000"/>
                <w:sz w:val="18"/>
                <w:szCs w:val="18"/>
              </w:rPr>
            </w:pPr>
            <w:r w:rsidRPr="002C2CE8">
              <w:rPr>
                <w:color w:val="000000"/>
                <w:sz w:val="18"/>
                <w:szCs w:val="18"/>
              </w:rPr>
              <w:t xml:space="preserve">         158,020 </w:t>
            </w:r>
          </w:p>
        </w:tc>
      </w:tr>
      <w:tr w:rsidR="00224102" w:rsidRPr="00603922" w14:paraId="5068E6ED" w14:textId="77777777" w:rsidTr="002C2CE8">
        <w:trPr>
          <w:trHeight w:val="227"/>
        </w:trPr>
        <w:tc>
          <w:tcPr>
            <w:tcW w:w="290" w:type="dxa"/>
            <w:shd w:val="clear" w:color="auto" w:fill="auto"/>
            <w:noWrap/>
            <w:vAlign w:val="center"/>
            <w:hideMark/>
          </w:tcPr>
          <w:p w14:paraId="593AED42" w14:textId="77777777" w:rsidR="00224102" w:rsidRPr="00603922" w:rsidRDefault="00224102" w:rsidP="002C2CE8">
            <w:pPr>
              <w:jc w:val="center"/>
              <w:rPr>
                <w:color w:val="000000"/>
                <w:sz w:val="18"/>
                <w:szCs w:val="18"/>
              </w:rPr>
            </w:pPr>
            <w:r w:rsidRPr="00603922">
              <w:rPr>
                <w:color w:val="000000"/>
                <w:sz w:val="18"/>
                <w:szCs w:val="18"/>
              </w:rPr>
              <w:t>5</w:t>
            </w:r>
          </w:p>
        </w:tc>
        <w:tc>
          <w:tcPr>
            <w:tcW w:w="4525" w:type="dxa"/>
            <w:shd w:val="clear" w:color="auto" w:fill="auto"/>
            <w:vAlign w:val="center"/>
            <w:hideMark/>
          </w:tcPr>
          <w:p w14:paraId="44ACEE7E" w14:textId="64315C0D" w:rsidR="00224102" w:rsidRPr="00603922" w:rsidRDefault="00224102" w:rsidP="00F506D8">
            <w:pPr>
              <w:rPr>
                <w:color w:val="000000"/>
                <w:sz w:val="18"/>
                <w:szCs w:val="18"/>
              </w:rPr>
            </w:pPr>
            <w:r w:rsidRPr="00603922">
              <w:rPr>
                <w:color w:val="000000"/>
                <w:sz w:val="18"/>
                <w:szCs w:val="18"/>
              </w:rPr>
              <w:t xml:space="preserve">Unsecured </w:t>
            </w:r>
            <w:r w:rsidR="00F506D8">
              <w:rPr>
                <w:color w:val="000000"/>
                <w:sz w:val="18"/>
                <w:szCs w:val="18"/>
              </w:rPr>
              <w:t>Wholesale Funding</w:t>
            </w:r>
          </w:p>
        </w:tc>
        <w:tc>
          <w:tcPr>
            <w:tcW w:w="1171" w:type="dxa"/>
            <w:shd w:val="clear" w:color="auto" w:fill="auto"/>
            <w:noWrap/>
            <w:vAlign w:val="bottom"/>
          </w:tcPr>
          <w:p w14:paraId="394638BB" w14:textId="6A2C30D1" w:rsidR="00224102" w:rsidRPr="002C2CE8" w:rsidRDefault="00224102" w:rsidP="004D09B3">
            <w:pPr>
              <w:ind w:right="49"/>
              <w:jc w:val="right"/>
              <w:rPr>
                <w:color w:val="000000"/>
                <w:sz w:val="18"/>
                <w:szCs w:val="18"/>
              </w:rPr>
            </w:pPr>
            <w:r w:rsidRPr="002C2CE8">
              <w:rPr>
                <w:color w:val="000000"/>
                <w:sz w:val="18"/>
                <w:szCs w:val="18"/>
              </w:rPr>
              <w:t xml:space="preserve">      3,170,862 </w:t>
            </w:r>
          </w:p>
        </w:tc>
        <w:tc>
          <w:tcPr>
            <w:tcW w:w="1190" w:type="dxa"/>
            <w:shd w:val="clear" w:color="auto" w:fill="auto"/>
            <w:noWrap/>
            <w:vAlign w:val="bottom"/>
          </w:tcPr>
          <w:p w14:paraId="55FB396C" w14:textId="558B566F" w:rsidR="00224102" w:rsidRPr="002C2CE8" w:rsidRDefault="00224102" w:rsidP="004D09B3">
            <w:pPr>
              <w:ind w:right="49"/>
              <w:jc w:val="right"/>
              <w:rPr>
                <w:color w:val="000000"/>
                <w:sz w:val="18"/>
                <w:szCs w:val="18"/>
              </w:rPr>
            </w:pPr>
            <w:r w:rsidRPr="002C2CE8">
              <w:rPr>
                <w:color w:val="000000"/>
                <w:sz w:val="18"/>
                <w:szCs w:val="18"/>
              </w:rPr>
              <w:t xml:space="preserve">      1,635,496 </w:t>
            </w:r>
          </w:p>
        </w:tc>
        <w:tc>
          <w:tcPr>
            <w:tcW w:w="1286" w:type="dxa"/>
            <w:shd w:val="clear" w:color="auto" w:fill="auto"/>
            <w:noWrap/>
            <w:vAlign w:val="bottom"/>
          </w:tcPr>
          <w:p w14:paraId="21D6B5C2" w14:textId="08ED453C" w:rsidR="00224102" w:rsidRPr="002C2CE8" w:rsidRDefault="00224102" w:rsidP="004D09B3">
            <w:pPr>
              <w:ind w:right="49"/>
              <w:jc w:val="right"/>
              <w:rPr>
                <w:color w:val="000000"/>
                <w:sz w:val="18"/>
                <w:szCs w:val="18"/>
              </w:rPr>
            </w:pPr>
            <w:r w:rsidRPr="002C2CE8">
              <w:rPr>
                <w:color w:val="000000"/>
                <w:sz w:val="18"/>
                <w:szCs w:val="18"/>
              </w:rPr>
              <w:t xml:space="preserve">      2,079,596 </w:t>
            </w:r>
          </w:p>
        </w:tc>
        <w:tc>
          <w:tcPr>
            <w:tcW w:w="1275" w:type="dxa"/>
            <w:shd w:val="clear" w:color="auto" w:fill="auto"/>
            <w:noWrap/>
            <w:vAlign w:val="bottom"/>
          </w:tcPr>
          <w:p w14:paraId="45079EEE" w14:textId="53162DA1" w:rsidR="00224102" w:rsidRPr="002C2CE8" w:rsidRDefault="00224102" w:rsidP="004D09B3">
            <w:pPr>
              <w:ind w:right="49"/>
              <w:jc w:val="right"/>
              <w:rPr>
                <w:color w:val="000000"/>
                <w:sz w:val="18"/>
                <w:szCs w:val="18"/>
              </w:rPr>
            </w:pPr>
            <w:r w:rsidRPr="002C2CE8">
              <w:rPr>
                <w:color w:val="000000"/>
                <w:sz w:val="18"/>
                <w:szCs w:val="18"/>
              </w:rPr>
              <w:t xml:space="preserve">      1,125,649 </w:t>
            </w:r>
          </w:p>
        </w:tc>
      </w:tr>
      <w:tr w:rsidR="00224102" w:rsidRPr="00603922" w14:paraId="1C9AA321" w14:textId="77777777" w:rsidTr="002C2CE8">
        <w:trPr>
          <w:trHeight w:val="227"/>
        </w:trPr>
        <w:tc>
          <w:tcPr>
            <w:tcW w:w="290" w:type="dxa"/>
            <w:shd w:val="clear" w:color="auto" w:fill="auto"/>
            <w:noWrap/>
            <w:vAlign w:val="center"/>
            <w:hideMark/>
          </w:tcPr>
          <w:p w14:paraId="63700376" w14:textId="77777777" w:rsidR="00224102" w:rsidRPr="00603922" w:rsidRDefault="00224102" w:rsidP="002C2CE8">
            <w:pPr>
              <w:jc w:val="center"/>
              <w:rPr>
                <w:color w:val="000000"/>
                <w:sz w:val="18"/>
                <w:szCs w:val="18"/>
              </w:rPr>
            </w:pPr>
            <w:r w:rsidRPr="00603922">
              <w:rPr>
                <w:color w:val="000000"/>
                <w:sz w:val="18"/>
                <w:szCs w:val="18"/>
              </w:rPr>
              <w:t>6</w:t>
            </w:r>
          </w:p>
        </w:tc>
        <w:tc>
          <w:tcPr>
            <w:tcW w:w="4525" w:type="dxa"/>
            <w:shd w:val="clear" w:color="auto" w:fill="auto"/>
            <w:noWrap/>
            <w:tcMar>
              <w:top w:w="0" w:type="dxa"/>
              <w:left w:w="270" w:type="dxa"/>
              <w:bottom w:w="0" w:type="dxa"/>
              <w:right w:w="0" w:type="dxa"/>
            </w:tcMar>
            <w:vAlign w:val="bottom"/>
            <w:hideMark/>
          </w:tcPr>
          <w:p w14:paraId="5B41BF40" w14:textId="583AFBC2" w:rsidR="00224102" w:rsidRPr="00603922" w:rsidRDefault="00F506D8" w:rsidP="00224102">
            <w:pPr>
              <w:tabs>
                <w:tab w:val="left" w:pos="0"/>
              </w:tabs>
              <w:ind w:left="-271"/>
              <w:rPr>
                <w:color w:val="000000"/>
                <w:sz w:val="18"/>
                <w:szCs w:val="18"/>
              </w:rPr>
            </w:pPr>
            <w:r>
              <w:rPr>
                <w:color w:val="000000"/>
                <w:sz w:val="18"/>
                <w:szCs w:val="18"/>
              </w:rPr>
              <w:t>Operational D</w:t>
            </w:r>
            <w:r w:rsidR="00224102" w:rsidRPr="00603922">
              <w:rPr>
                <w:color w:val="000000"/>
                <w:sz w:val="18"/>
                <w:szCs w:val="18"/>
              </w:rPr>
              <w:t>eposits</w:t>
            </w:r>
          </w:p>
        </w:tc>
        <w:tc>
          <w:tcPr>
            <w:tcW w:w="1171" w:type="dxa"/>
            <w:shd w:val="clear" w:color="auto" w:fill="auto"/>
            <w:noWrap/>
            <w:vAlign w:val="bottom"/>
          </w:tcPr>
          <w:p w14:paraId="0452DDFC" w14:textId="21D3BFDF"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190" w:type="dxa"/>
            <w:shd w:val="clear" w:color="auto" w:fill="auto"/>
            <w:noWrap/>
            <w:vAlign w:val="bottom"/>
          </w:tcPr>
          <w:p w14:paraId="7A1AB6F4" w14:textId="3C751216"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286" w:type="dxa"/>
            <w:shd w:val="clear" w:color="auto" w:fill="auto"/>
            <w:noWrap/>
            <w:vAlign w:val="bottom"/>
          </w:tcPr>
          <w:p w14:paraId="6DE9A77F" w14:textId="26B812D7"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275" w:type="dxa"/>
            <w:shd w:val="clear" w:color="auto" w:fill="auto"/>
            <w:noWrap/>
            <w:vAlign w:val="bottom"/>
          </w:tcPr>
          <w:p w14:paraId="37CBB2E4" w14:textId="643FAC16" w:rsidR="00224102" w:rsidRPr="002C2CE8" w:rsidRDefault="00224102" w:rsidP="004D09B3">
            <w:pPr>
              <w:ind w:right="49"/>
              <w:jc w:val="right"/>
              <w:rPr>
                <w:color w:val="000000"/>
                <w:sz w:val="18"/>
                <w:szCs w:val="18"/>
              </w:rPr>
            </w:pPr>
            <w:r w:rsidRPr="002C2CE8">
              <w:rPr>
                <w:color w:val="000000"/>
                <w:sz w:val="18"/>
                <w:szCs w:val="18"/>
              </w:rPr>
              <w:t xml:space="preserve">                   -   </w:t>
            </w:r>
          </w:p>
        </w:tc>
      </w:tr>
      <w:tr w:rsidR="00224102" w:rsidRPr="00603922" w14:paraId="063CF798" w14:textId="77777777" w:rsidTr="002C2CE8">
        <w:trPr>
          <w:trHeight w:val="227"/>
        </w:trPr>
        <w:tc>
          <w:tcPr>
            <w:tcW w:w="290" w:type="dxa"/>
            <w:shd w:val="clear" w:color="auto" w:fill="auto"/>
            <w:noWrap/>
            <w:vAlign w:val="center"/>
            <w:hideMark/>
          </w:tcPr>
          <w:p w14:paraId="7370FBB5" w14:textId="77777777" w:rsidR="00224102" w:rsidRPr="00603922" w:rsidRDefault="00224102" w:rsidP="002C2CE8">
            <w:pPr>
              <w:jc w:val="center"/>
              <w:rPr>
                <w:color w:val="000000"/>
                <w:sz w:val="18"/>
                <w:szCs w:val="18"/>
              </w:rPr>
            </w:pPr>
            <w:r w:rsidRPr="00603922">
              <w:rPr>
                <w:color w:val="000000"/>
                <w:sz w:val="18"/>
                <w:szCs w:val="18"/>
              </w:rPr>
              <w:t>7</w:t>
            </w:r>
          </w:p>
        </w:tc>
        <w:tc>
          <w:tcPr>
            <w:tcW w:w="4525" w:type="dxa"/>
            <w:shd w:val="clear" w:color="auto" w:fill="auto"/>
            <w:noWrap/>
            <w:tcMar>
              <w:top w:w="0" w:type="dxa"/>
              <w:left w:w="270" w:type="dxa"/>
              <w:bottom w:w="0" w:type="dxa"/>
              <w:right w:w="0" w:type="dxa"/>
            </w:tcMar>
            <w:vAlign w:val="bottom"/>
            <w:hideMark/>
          </w:tcPr>
          <w:p w14:paraId="50753CF9" w14:textId="4A587452" w:rsidR="00224102" w:rsidRPr="00603922" w:rsidRDefault="00F506D8" w:rsidP="00224102">
            <w:pPr>
              <w:tabs>
                <w:tab w:val="left" w:pos="0"/>
              </w:tabs>
              <w:ind w:left="-271"/>
              <w:rPr>
                <w:color w:val="000000"/>
                <w:sz w:val="18"/>
                <w:szCs w:val="18"/>
              </w:rPr>
            </w:pPr>
            <w:r>
              <w:rPr>
                <w:color w:val="000000"/>
                <w:sz w:val="18"/>
                <w:szCs w:val="18"/>
              </w:rPr>
              <w:t>Non-operational D</w:t>
            </w:r>
            <w:r w:rsidR="00224102" w:rsidRPr="00603922">
              <w:rPr>
                <w:color w:val="000000"/>
                <w:sz w:val="18"/>
                <w:szCs w:val="18"/>
              </w:rPr>
              <w:t>eposits</w:t>
            </w:r>
          </w:p>
        </w:tc>
        <w:tc>
          <w:tcPr>
            <w:tcW w:w="1171" w:type="dxa"/>
            <w:shd w:val="clear" w:color="auto" w:fill="auto"/>
            <w:noWrap/>
            <w:vAlign w:val="bottom"/>
          </w:tcPr>
          <w:p w14:paraId="3CB0FDCA" w14:textId="62C42B91" w:rsidR="00224102" w:rsidRPr="002C2CE8" w:rsidRDefault="00224102" w:rsidP="004D09B3">
            <w:pPr>
              <w:ind w:right="49"/>
              <w:jc w:val="right"/>
              <w:rPr>
                <w:color w:val="000000"/>
                <w:sz w:val="18"/>
                <w:szCs w:val="18"/>
              </w:rPr>
            </w:pPr>
            <w:r w:rsidRPr="002C2CE8">
              <w:rPr>
                <w:color w:val="000000"/>
                <w:sz w:val="18"/>
                <w:szCs w:val="18"/>
              </w:rPr>
              <w:t xml:space="preserve">      2,481,521 </w:t>
            </w:r>
          </w:p>
        </w:tc>
        <w:tc>
          <w:tcPr>
            <w:tcW w:w="1190" w:type="dxa"/>
            <w:shd w:val="clear" w:color="auto" w:fill="auto"/>
            <w:noWrap/>
            <w:vAlign w:val="bottom"/>
          </w:tcPr>
          <w:p w14:paraId="6D050659" w14:textId="0D33A337" w:rsidR="00224102" w:rsidRPr="002C2CE8" w:rsidRDefault="00224102" w:rsidP="004D09B3">
            <w:pPr>
              <w:ind w:right="49"/>
              <w:jc w:val="right"/>
              <w:rPr>
                <w:color w:val="000000"/>
                <w:sz w:val="18"/>
                <w:szCs w:val="18"/>
              </w:rPr>
            </w:pPr>
            <w:r w:rsidRPr="002C2CE8">
              <w:rPr>
                <w:color w:val="000000"/>
                <w:sz w:val="18"/>
                <w:szCs w:val="18"/>
              </w:rPr>
              <w:t xml:space="preserve">      1,304,709 </w:t>
            </w:r>
          </w:p>
        </w:tc>
        <w:tc>
          <w:tcPr>
            <w:tcW w:w="1286" w:type="dxa"/>
            <w:shd w:val="clear" w:color="auto" w:fill="auto"/>
            <w:noWrap/>
            <w:vAlign w:val="bottom"/>
          </w:tcPr>
          <w:p w14:paraId="74D1679C" w14:textId="282B1920" w:rsidR="00224102" w:rsidRPr="002C2CE8" w:rsidRDefault="00224102" w:rsidP="004D09B3">
            <w:pPr>
              <w:ind w:right="49"/>
              <w:jc w:val="right"/>
              <w:rPr>
                <w:color w:val="000000"/>
                <w:sz w:val="18"/>
                <w:szCs w:val="18"/>
              </w:rPr>
            </w:pPr>
            <w:r w:rsidRPr="002C2CE8">
              <w:rPr>
                <w:color w:val="000000"/>
                <w:sz w:val="18"/>
                <w:szCs w:val="18"/>
              </w:rPr>
              <w:t xml:space="preserve">      1,390,355 </w:t>
            </w:r>
          </w:p>
        </w:tc>
        <w:tc>
          <w:tcPr>
            <w:tcW w:w="1275" w:type="dxa"/>
            <w:shd w:val="clear" w:color="auto" w:fill="auto"/>
            <w:noWrap/>
            <w:vAlign w:val="bottom"/>
          </w:tcPr>
          <w:p w14:paraId="2080BF70" w14:textId="0E435C15" w:rsidR="00224102" w:rsidRPr="002C2CE8" w:rsidRDefault="00224102" w:rsidP="004D09B3">
            <w:pPr>
              <w:ind w:right="49"/>
              <w:jc w:val="right"/>
              <w:rPr>
                <w:color w:val="000000"/>
                <w:sz w:val="18"/>
                <w:szCs w:val="18"/>
              </w:rPr>
            </w:pPr>
            <w:r w:rsidRPr="002C2CE8">
              <w:rPr>
                <w:color w:val="000000"/>
                <w:sz w:val="18"/>
                <w:szCs w:val="18"/>
              </w:rPr>
              <w:t xml:space="preserve">         794,861 </w:t>
            </w:r>
          </w:p>
        </w:tc>
      </w:tr>
      <w:tr w:rsidR="00224102" w:rsidRPr="00603922" w14:paraId="14AFCE5C" w14:textId="77777777" w:rsidTr="002C2CE8">
        <w:trPr>
          <w:trHeight w:val="227"/>
        </w:trPr>
        <w:tc>
          <w:tcPr>
            <w:tcW w:w="290" w:type="dxa"/>
            <w:shd w:val="clear" w:color="auto" w:fill="auto"/>
            <w:noWrap/>
            <w:vAlign w:val="center"/>
            <w:hideMark/>
          </w:tcPr>
          <w:p w14:paraId="6BF335C4" w14:textId="77777777" w:rsidR="00224102" w:rsidRPr="00603922" w:rsidRDefault="00224102" w:rsidP="002C2CE8">
            <w:pPr>
              <w:jc w:val="center"/>
              <w:rPr>
                <w:color w:val="000000"/>
                <w:sz w:val="18"/>
                <w:szCs w:val="18"/>
              </w:rPr>
            </w:pPr>
            <w:r w:rsidRPr="00603922">
              <w:rPr>
                <w:color w:val="000000"/>
                <w:sz w:val="18"/>
                <w:szCs w:val="18"/>
              </w:rPr>
              <w:t>8</w:t>
            </w:r>
          </w:p>
        </w:tc>
        <w:tc>
          <w:tcPr>
            <w:tcW w:w="4525" w:type="dxa"/>
            <w:shd w:val="clear" w:color="auto" w:fill="auto"/>
            <w:noWrap/>
            <w:tcMar>
              <w:top w:w="0" w:type="dxa"/>
              <w:left w:w="270" w:type="dxa"/>
              <w:bottom w:w="0" w:type="dxa"/>
              <w:right w:w="0" w:type="dxa"/>
            </w:tcMar>
            <w:vAlign w:val="bottom"/>
            <w:hideMark/>
          </w:tcPr>
          <w:p w14:paraId="6C629F34" w14:textId="1912AD93" w:rsidR="00224102" w:rsidRPr="00603922" w:rsidRDefault="00F506D8" w:rsidP="00F506D8">
            <w:pPr>
              <w:tabs>
                <w:tab w:val="left" w:pos="0"/>
              </w:tabs>
              <w:ind w:left="-271"/>
              <w:rPr>
                <w:color w:val="000000"/>
                <w:sz w:val="18"/>
                <w:szCs w:val="18"/>
              </w:rPr>
            </w:pPr>
            <w:r>
              <w:rPr>
                <w:color w:val="000000"/>
                <w:sz w:val="18"/>
                <w:szCs w:val="18"/>
              </w:rPr>
              <w:t>Other U</w:t>
            </w:r>
            <w:r w:rsidR="00224102" w:rsidRPr="00603922">
              <w:rPr>
                <w:color w:val="000000"/>
                <w:sz w:val="18"/>
                <w:szCs w:val="18"/>
              </w:rPr>
              <w:t xml:space="preserve">nsecured </w:t>
            </w:r>
            <w:proofErr w:type="spellStart"/>
            <w:r>
              <w:rPr>
                <w:color w:val="000000"/>
                <w:sz w:val="18"/>
                <w:szCs w:val="18"/>
              </w:rPr>
              <w:t>Fundings</w:t>
            </w:r>
            <w:proofErr w:type="spellEnd"/>
          </w:p>
        </w:tc>
        <w:tc>
          <w:tcPr>
            <w:tcW w:w="1171" w:type="dxa"/>
            <w:shd w:val="clear" w:color="auto" w:fill="auto"/>
            <w:noWrap/>
            <w:vAlign w:val="bottom"/>
          </w:tcPr>
          <w:p w14:paraId="1E828999" w14:textId="5D08A0C5" w:rsidR="00224102" w:rsidRPr="002C2CE8" w:rsidRDefault="00224102" w:rsidP="004D09B3">
            <w:pPr>
              <w:ind w:right="49"/>
              <w:jc w:val="right"/>
              <w:rPr>
                <w:color w:val="000000"/>
                <w:sz w:val="18"/>
                <w:szCs w:val="18"/>
              </w:rPr>
            </w:pPr>
            <w:r w:rsidRPr="002C2CE8">
              <w:rPr>
                <w:color w:val="000000"/>
                <w:sz w:val="18"/>
                <w:szCs w:val="18"/>
              </w:rPr>
              <w:t xml:space="preserve">         689,174 </w:t>
            </w:r>
          </w:p>
        </w:tc>
        <w:tc>
          <w:tcPr>
            <w:tcW w:w="1190" w:type="dxa"/>
            <w:shd w:val="clear" w:color="auto" w:fill="auto"/>
            <w:noWrap/>
            <w:vAlign w:val="bottom"/>
          </w:tcPr>
          <w:p w14:paraId="10E5883A" w14:textId="10F5E2A0" w:rsidR="00224102" w:rsidRPr="002C2CE8" w:rsidRDefault="00224102" w:rsidP="004D09B3">
            <w:pPr>
              <w:ind w:right="49"/>
              <w:jc w:val="right"/>
              <w:rPr>
                <w:color w:val="000000"/>
                <w:sz w:val="18"/>
                <w:szCs w:val="18"/>
              </w:rPr>
            </w:pPr>
            <w:r w:rsidRPr="002C2CE8">
              <w:rPr>
                <w:color w:val="000000"/>
                <w:sz w:val="18"/>
                <w:szCs w:val="18"/>
              </w:rPr>
              <w:t xml:space="preserve">         330,788 </w:t>
            </w:r>
          </w:p>
        </w:tc>
        <w:tc>
          <w:tcPr>
            <w:tcW w:w="1286" w:type="dxa"/>
            <w:shd w:val="clear" w:color="auto" w:fill="auto"/>
            <w:noWrap/>
            <w:vAlign w:val="bottom"/>
          </w:tcPr>
          <w:p w14:paraId="50A7E426" w14:textId="5F7D7715" w:rsidR="00224102" w:rsidRPr="002C2CE8" w:rsidRDefault="00224102" w:rsidP="004D09B3">
            <w:pPr>
              <w:ind w:right="49"/>
              <w:jc w:val="right"/>
              <w:rPr>
                <w:color w:val="000000"/>
                <w:sz w:val="18"/>
                <w:szCs w:val="18"/>
              </w:rPr>
            </w:pPr>
            <w:r w:rsidRPr="002C2CE8">
              <w:rPr>
                <w:color w:val="000000"/>
                <w:sz w:val="18"/>
                <w:szCs w:val="18"/>
              </w:rPr>
              <w:t xml:space="preserve">         689,174 </w:t>
            </w:r>
          </w:p>
        </w:tc>
        <w:tc>
          <w:tcPr>
            <w:tcW w:w="1275" w:type="dxa"/>
            <w:shd w:val="clear" w:color="auto" w:fill="auto"/>
            <w:noWrap/>
            <w:vAlign w:val="bottom"/>
          </w:tcPr>
          <w:p w14:paraId="53E85FCB" w14:textId="3536C778" w:rsidR="00224102" w:rsidRPr="002C2CE8" w:rsidRDefault="00224102" w:rsidP="004D09B3">
            <w:pPr>
              <w:ind w:right="49"/>
              <w:jc w:val="right"/>
              <w:rPr>
                <w:color w:val="000000"/>
                <w:sz w:val="18"/>
                <w:szCs w:val="18"/>
              </w:rPr>
            </w:pPr>
            <w:r w:rsidRPr="002C2CE8">
              <w:rPr>
                <w:color w:val="000000"/>
                <w:sz w:val="18"/>
                <w:szCs w:val="18"/>
              </w:rPr>
              <w:t xml:space="preserve">         330,788 </w:t>
            </w:r>
          </w:p>
        </w:tc>
      </w:tr>
      <w:tr w:rsidR="00224102" w:rsidRPr="00603922" w14:paraId="2FF8EECA" w14:textId="77777777" w:rsidTr="002C2CE8">
        <w:trPr>
          <w:trHeight w:val="227"/>
        </w:trPr>
        <w:tc>
          <w:tcPr>
            <w:tcW w:w="290" w:type="dxa"/>
            <w:shd w:val="clear" w:color="auto" w:fill="auto"/>
            <w:noWrap/>
            <w:vAlign w:val="center"/>
            <w:hideMark/>
          </w:tcPr>
          <w:p w14:paraId="378C4A35" w14:textId="77777777" w:rsidR="00224102" w:rsidRPr="00603922" w:rsidRDefault="00224102" w:rsidP="002C2CE8">
            <w:pPr>
              <w:jc w:val="center"/>
              <w:rPr>
                <w:color w:val="000000"/>
                <w:sz w:val="18"/>
                <w:szCs w:val="18"/>
              </w:rPr>
            </w:pPr>
            <w:r w:rsidRPr="00603922">
              <w:rPr>
                <w:color w:val="000000"/>
                <w:sz w:val="18"/>
                <w:szCs w:val="18"/>
              </w:rPr>
              <w:t>9</w:t>
            </w:r>
          </w:p>
        </w:tc>
        <w:tc>
          <w:tcPr>
            <w:tcW w:w="4525" w:type="dxa"/>
            <w:shd w:val="clear" w:color="auto" w:fill="auto"/>
            <w:noWrap/>
            <w:vAlign w:val="bottom"/>
            <w:hideMark/>
          </w:tcPr>
          <w:p w14:paraId="1C07A23B" w14:textId="4044A511" w:rsidR="00224102" w:rsidRPr="00603922" w:rsidRDefault="00224102" w:rsidP="00F506D8">
            <w:pPr>
              <w:rPr>
                <w:color w:val="000000"/>
                <w:sz w:val="18"/>
                <w:szCs w:val="18"/>
              </w:rPr>
            </w:pPr>
            <w:r w:rsidRPr="00603922">
              <w:rPr>
                <w:color w:val="000000"/>
                <w:sz w:val="18"/>
                <w:szCs w:val="18"/>
              </w:rPr>
              <w:t xml:space="preserve">Secured </w:t>
            </w:r>
            <w:r w:rsidR="00F506D8">
              <w:rPr>
                <w:color w:val="000000"/>
                <w:sz w:val="18"/>
                <w:szCs w:val="18"/>
              </w:rPr>
              <w:t>Funding</w:t>
            </w:r>
          </w:p>
        </w:tc>
        <w:tc>
          <w:tcPr>
            <w:tcW w:w="1171" w:type="dxa"/>
            <w:shd w:val="clear" w:color="auto" w:fill="A6A6A6" w:themeFill="background1" w:themeFillShade="A6"/>
            <w:noWrap/>
            <w:vAlign w:val="bottom"/>
          </w:tcPr>
          <w:p w14:paraId="6BE77624" w14:textId="3C2984FF" w:rsidR="00224102" w:rsidRPr="002C2CE8" w:rsidRDefault="00224102" w:rsidP="004D09B3">
            <w:pPr>
              <w:ind w:right="49"/>
              <w:jc w:val="right"/>
              <w:rPr>
                <w:color w:val="000000"/>
                <w:sz w:val="18"/>
                <w:szCs w:val="18"/>
              </w:rPr>
            </w:pPr>
            <w:r w:rsidRPr="002C2CE8">
              <w:rPr>
                <w:color w:val="000000"/>
                <w:sz w:val="18"/>
                <w:szCs w:val="18"/>
              </w:rPr>
              <w:t> </w:t>
            </w:r>
          </w:p>
        </w:tc>
        <w:tc>
          <w:tcPr>
            <w:tcW w:w="1190" w:type="dxa"/>
            <w:shd w:val="clear" w:color="auto" w:fill="A6A6A6" w:themeFill="background1" w:themeFillShade="A6"/>
            <w:noWrap/>
            <w:vAlign w:val="bottom"/>
          </w:tcPr>
          <w:p w14:paraId="29AC3293" w14:textId="6D60ED49" w:rsidR="00224102" w:rsidRPr="002C2CE8" w:rsidRDefault="00224102" w:rsidP="004D09B3">
            <w:pPr>
              <w:ind w:right="49"/>
              <w:jc w:val="right"/>
              <w:rPr>
                <w:color w:val="000000"/>
                <w:sz w:val="18"/>
                <w:szCs w:val="18"/>
              </w:rPr>
            </w:pPr>
            <w:r w:rsidRPr="002C2CE8">
              <w:rPr>
                <w:color w:val="000000"/>
                <w:sz w:val="18"/>
                <w:szCs w:val="18"/>
              </w:rPr>
              <w:t> </w:t>
            </w:r>
          </w:p>
        </w:tc>
        <w:tc>
          <w:tcPr>
            <w:tcW w:w="1286" w:type="dxa"/>
            <w:shd w:val="clear" w:color="auto" w:fill="auto"/>
            <w:noWrap/>
            <w:vAlign w:val="bottom"/>
          </w:tcPr>
          <w:p w14:paraId="4E1CEFAB" w14:textId="4376D0FD" w:rsidR="00224102" w:rsidRPr="002C2CE8" w:rsidRDefault="00224102" w:rsidP="004D09B3">
            <w:pPr>
              <w:ind w:right="49"/>
              <w:jc w:val="right"/>
              <w:rPr>
                <w:color w:val="000000"/>
                <w:sz w:val="18"/>
                <w:szCs w:val="18"/>
              </w:rPr>
            </w:pPr>
            <w:r w:rsidRPr="002C2CE8">
              <w:rPr>
                <w:color w:val="000000"/>
                <w:sz w:val="18"/>
                <w:szCs w:val="18"/>
              </w:rPr>
              <w:t xml:space="preserve">           45,967 </w:t>
            </w:r>
          </w:p>
        </w:tc>
        <w:tc>
          <w:tcPr>
            <w:tcW w:w="1275" w:type="dxa"/>
            <w:shd w:val="clear" w:color="auto" w:fill="auto"/>
            <w:noWrap/>
            <w:vAlign w:val="bottom"/>
          </w:tcPr>
          <w:p w14:paraId="47234AC9" w14:textId="6590DC7B" w:rsidR="00224102" w:rsidRPr="002C2CE8" w:rsidRDefault="00224102" w:rsidP="004D09B3">
            <w:pPr>
              <w:ind w:right="49"/>
              <w:jc w:val="right"/>
              <w:rPr>
                <w:color w:val="000000"/>
                <w:sz w:val="18"/>
                <w:szCs w:val="18"/>
              </w:rPr>
            </w:pPr>
            <w:r w:rsidRPr="002C2CE8">
              <w:rPr>
                <w:color w:val="000000"/>
                <w:sz w:val="18"/>
                <w:szCs w:val="18"/>
              </w:rPr>
              <w:t xml:space="preserve">           45,967 </w:t>
            </w:r>
          </w:p>
        </w:tc>
      </w:tr>
      <w:tr w:rsidR="00224102" w:rsidRPr="00603922" w14:paraId="43CE8A5E" w14:textId="77777777" w:rsidTr="002C2CE8">
        <w:trPr>
          <w:trHeight w:val="227"/>
        </w:trPr>
        <w:tc>
          <w:tcPr>
            <w:tcW w:w="290" w:type="dxa"/>
            <w:shd w:val="clear" w:color="auto" w:fill="auto"/>
            <w:noWrap/>
            <w:vAlign w:val="center"/>
            <w:hideMark/>
          </w:tcPr>
          <w:p w14:paraId="7BED9931" w14:textId="77777777" w:rsidR="00224102" w:rsidRPr="00603922" w:rsidRDefault="00224102" w:rsidP="002C2CE8">
            <w:pPr>
              <w:jc w:val="center"/>
              <w:rPr>
                <w:color w:val="000000"/>
                <w:sz w:val="18"/>
                <w:szCs w:val="18"/>
              </w:rPr>
            </w:pPr>
            <w:r w:rsidRPr="00603922">
              <w:rPr>
                <w:color w:val="000000"/>
                <w:sz w:val="18"/>
                <w:szCs w:val="18"/>
              </w:rPr>
              <w:t>10</w:t>
            </w:r>
          </w:p>
        </w:tc>
        <w:tc>
          <w:tcPr>
            <w:tcW w:w="4525" w:type="dxa"/>
            <w:shd w:val="clear" w:color="auto" w:fill="auto"/>
            <w:noWrap/>
            <w:vAlign w:val="bottom"/>
            <w:hideMark/>
          </w:tcPr>
          <w:p w14:paraId="651AD686" w14:textId="60720F6F" w:rsidR="00224102" w:rsidRPr="00603922" w:rsidRDefault="00F506D8" w:rsidP="00224102">
            <w:pPr>
              <w:rPr>
                <w:color w:val="000000"/>
                <w:sz w:val="18"/>
                <w:szCs w:val="18"/>
              </w:rPr>
            </w:pPr>
            <w:r>
              <w:rPr>
                <w:color w:val="000000"/>
                <w:sz w:val="18"/>
                <w:szCs w:val="18"/>
              </w:rPr>
              <w:t>Other Cash O</w:t>
            </w:r>
            <w:r w:rsidR="00224102" w:rsidRPr="00603922">
              <w:rPr>
                <w:color w:val="000000"/>
                <w:sz w:val="18"/>
                <w:szCs w:val="18"/>
              </w:rPr>
              <w:t>utflows</w:t>
            </w:r>
          </w:p>
        </w:tc>
        <w:tc>
          <w:tcPr>
            <w:tcW w:w="1171" w:type="dxa"/>
            <w:shd w:val="clear" w:color="auto" w:fill="auto"/>
            <w:noWrap/>
            <w:vAlign w:val="bottom"/>
          </w:tcPr>
          <w:p w14:paraId="51A4B7E8" w14:textId="20F0368F"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190" w:type="dxa"/>
            <w:shd w:val="clear" w:color="auto" w:fill="auto"/>
            <w:noWrap/>
            <w:vAlign w:val="bottom"/>
          </w:tcPr>
          <w:p w14:paraId="37302855" w14:textId="0D3474E5"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286" w:type="dxa"/>
            <w:shd w:val="clear" w:color="auto" w:fill="auto"/>
            <w:noWrap/>
            <w:vAlign w:val="bottom"/>
          </w:tcPr>
          <w:p w14:paraId="4D8811AE" w14:textId="1902212B"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275" w:type="dxa"/>
            <w:shd w:val="clear" w:color="auto" w:fill="auto"/>
            <w:noWrap/>
            <w:vAlign w:val="bottom"/>
          </w:tcPr>
          <w:p w14:paraId="781B2104" w14:textId="1D2FC362" w:rsidR="00224102" w:rsidRPr="002C2CE8" w:rsidRDefault="00224102" w:rsidP="004D09B3">
            <w:pPr>
              <w:ind w:right="49"/>
              <w:jc w:val="right"/>
              <w:rPr>
                <w:color w:val="000000"/>
                <w:sz w:val="18"/>
                <w:szCs w:val="18"/>
              </w:rPr>
            </w:pPr>
            <w:r w:rsidRPr="002C2CE8">
              <w:rPr>
                <w:color w:val="000000"/>
                <w:sz w:val="18"/>
                <w:szCs w:val="18"/>
              </w:rPr>
              <w:t xml:space="preserve">                   -   </w:t>
            </w:r>
          </w:p>
        </w:tc>
      </w:tr>
      <w:tr w:rsidR="00224102" w:rsidRPr="00603922" w14:paraId="4B6A59F4" w14:textId="77777777" w:rsidTr="002C2CE8">
        <w:trPr>
          <w:trHeight w:val="227"/>
        </w:trPr>
        <w:tc>
          <w:tcPr>
            <w:tcW w:w="290" w:type="dxa"/>
            <w:shd w:val="clear" w:color="auto" w:fill="auto"/>
            <w:noWrap/>
            <w:vAlign w:val="center"/>
            <w:hideMark/>
          </w:tcPr>
          <w:p w14:paraId="659F11FC" w14:textId="77777777" w:rsidR="00224102" w:rsidRPr="00603922" w:rsidRDefault="00224102" w:rsidP="002C2CE8">
            <w:pPr>
              <w:jc w:val="center"/>
              <w:rPr>
                <w:color w:val="000000"/>
                <w:sz w:val="18"/>
                <w:szCs w:val="18"/>
              </w:rPr>
            </w:pPr>
            <w:r w:rsidRPr="00603922">
              <w:rPr>
                <w:color w:val="000000"/>
                <w:sz w:val="18"/>
                <w:szCs w:val="18"/>
              </w:rPr>
              <w:t>11</w:t>
            </w:r>
          </w:p>
        </w:tc>
        <w:tc>
          <w:tcPr>
            <w:tcW w:w="4525" w:type="dxa"/>
            <w:shd w:val="clear" w:color="auto" w:fill="auto"/>
            <w:tcMar>
              <w:top w:w="0" w:type="dxa"/>
              <w:left w:w="270" w:type="dxa"/>
              <w:bottom w:w="0" w:type="dxa"/>
              <w:right w:w="0" w:type="dxa"/>
            </w:tcMar>
            <w:vAlign w:val="bottom"/>
            <w:hideMark/>
          </w:tcPr>
          <w:p w14:paraId="2281E896" w14:textId="2C1DF6BB" w:rsidR="00224102" w:rsidRPr="00603922" w:rsidRDefault="00224102" w:rsidP="00F506D8">
            <w:pPr>
              <w:ind w:left="-271"/>
              <w:rPr>
                <w:color w:val="000000"/>
                <w:sz w:val="18"/>
                <w:szCs w:val="18"/>
              </w:rPr>
            </w:pPr>
            <w:r w:rsidRPr="00603922">
              <w:rPr>
                <w:color w:val="000000"/>
                <w:sz w:val="18"/>
                <w:szCs w:val="18"/>
              </w:rPr>
              <w:t xml:space="preserve">Derivative </w:t>
            </w:r>
            <w:r w:rsidR="00F506D8">
              <w:rPr>
                <w:color w:val="000000"/>
                <w:sz w:val="18"/>
                <w:szCs w:val="18"/>
              </w:rPr>
              <w:t>cash outflow and liquidity needs related to market valuation changes on derivatives or other transactions</w:t>
            </w:r>
          </w:p>
        </w:tc>
        <w:tc>
          <w:tcPr>
            <w:tcW w:w="1171" w:type="dxa"/>
            <w:shd w:val="clear" w:color="auto" w:fill="auto"/>
            <w:noWrap/>
            <w:vAlign w:val="bottom"/>
          </w:tcPr>
          <w:p w14:paraId="6CC47584" w14:textId="342560A6" w:rsidR="00224102" w:rsidRPr="002C2CE8" w:rsidRDefault="00224102" w:rsidP="004D09B3">
            <w:pPr>
              <w:ind w:right="49"/>
              <w:jc w:val="right"/>
              <w:rPr>
                <w:color w:val="000000"/>
                <w:sz w:val="18"/>
                <w:szCs w:val="18"/>
              </w:rPr>
            </w:pPr>
            <w:r w:rsidRPr="002C2CE8">
              <w:rPr>
                <w:color w:val="000000"/>
                <w:sz w:val="18"/>
                <w:szCs w:val="18"/>
              </w:rPr>
              <w:t xml:space="preserve">           49,370 </w:t>
            </w:r>
          </w:p>
        </w:tc>
        <w:tc>
          <w:tcPr>
            <w:tcW w:w="1190" w:type="dxa"/>
            <w:shd w:val="clear" w:color="auto" w:fill="auto"/>
            <w:noWrap/>
            <w:vAlign w:val="bottom"/>
          </w:tcPr>
          <w:p w14:paraId="47DD3D8B" w14:textId="3B8CC440" w:rsidR="00224102" w:rsidRPr="002C2CE8" w:rsidRDefault="00224102" w:rsidP="004D09B3">
            <w:pPr>
              <w:ind w:right="49"/>
              <w:jc w:val="right"/>
              <w:rPr>
                <w:color w:val="000000"/>
                <w:sz w:val="18"/>
                <w:szCs w:val="18"/>
              </w:rPr>
            </w:pPr>
            <w:r w:rsidRPr="002C2CE8">
              <w:rPr>
                <w:color w:val="000000"/>
                <w:sz w:val="18"/>
                <w:szCs w:val="18"/>
              </w:rPr>
              <w:t xml:space="preserve">             2,254 </w:t>
            </w:r>
          </w:p>
        </w:tc>
        <w:tc>
          <w:tcPr>
            <w:tcW w:w="1286" w:type="dxa"/>
            <w:shd w:val="clear" w:color="auto" w:fill="auto"/>
            <w:noWrap/>
            <w:vAlign w:val="bottom"/>
          </w:tcPr>
          <w:p w14:paraId="0D8EC941" w14:textId="3103775B" w:rsidR="00224102" w:rsidRPr="002C2CE8" w:rsidRDefault="00224102" w:rsidP="004D09B3">
            <w:pPr>
              <w:ind w:right="49"/>
              <w:jc w:val="right"/>
              <w:rPr>
                <w:color w:val="000000"/>
                <w:sz w:val="18"/>
                <w:szCs w:val="18"/>
              </w:rPr>
            </w:pPr>
            <w:r w:rsidRPr="002C2CE8">
              <w:rPr>
                <w:color w:val="000000"/>
                <w:sz w:val="18"/>
                <w:szCs w:val="18"/>
              </w:rPr>
              <w:t xml:space="preserve">           49,370 </w:t>
            </w:r>
          </w:p>
        </w:tc>
        <w:tc>
          <w:tcPr>
            <w:tcW w:w="1275" w:type="dxa"/>
            <w:shd w:val="clear" w:color="auto" w:fill="auto"/>
            <w:noWrap/>
            <w:vAlign w:val="bottom"/>
          </w:tcPr>
          <w:p w14:paraId="39CB683A" w14:textId="3556C967" w:rsidR="00224102" w:rsidRPr="002C2CE8" w:rsidRDefault="00224102" w:rsidP="004D09B3">
            <w:pPr>
              <w:ind w:right="49"/>
              <w:jc w:val="right"/>
              <w:rPr>
                <w:color w:val="000000"/>
                <w:sz w:val="18"/>
                <w:szCs w:val="18"/>
              </w:rPr>
            </w:pPr>
            <w:r w:rsidRPr="002C2CE8">
              <w:rPr>
                <w:color w:val="000000"/>
                <w:sz w:val="18"/>
                <w:szCs w:val="18"/>
              </w:rPr>
              <w:t xml:space="preserve">             2,254 </w:t>
            </w:r>
          </w:p>
        </w:tc>
      </w:tr>
      <w:tr w:rsidR="00224102" w:rsidRPr="00603922" w14:paraId="351900B3" w14:textId="77777777" w:rsidTr="002C2CE8">
        <w:trPr>
          <w:trHeight w:val="227"/>
        </w:trPr>
        <w:tc>
          <w:tcPr>
            <w:tcW w:w="290" w:type="dxa"/>
            <w:shd w:val="clear" w:color="auto" w:fill="auto"/>
            <w:noWrap/>
            <w:vAlign w:val="center"/>
            <w:hideMark/>
          </w:tcPr>
          <w:p w14:paraId="4A09BA29" w14:textId="77777777" w:rsidR="00224102" w:rsidRPr="00603922" w:rsidRDefault="00224102" w:rsidP="002C2CE8">
            <w:pPr>
              <w:jc w:val="center"/>
              <w:rPr>
                <w:color w:val="000000"/>
                <w:sz w:val="18"/>
                <w:szCs w:val="18"/>
              </w:rPr>
            </w:pPr>
            <w:r w:rsidRPr="00603922">
              <w:rPr>
                <w:color w:val="000000"/>
                <w:sz w:val="18"/>
                <w:szCs w:val="18"/>
              </w:rPr>
              <w:t>12</w:t>
            </w:r>
          </w:p>
        </w:tc>
        <w:tc>
          <w:tcPr>
            <w:tcW w:w="4525" w:type="dxa"/>
            <w:shd w:val="clear" w:color="auto" w:fill="auto"/>
            <w:noWrap/>
            <w:tcMar>
              <w:top w:w="0" w:type="dxa"/>
              <w:left w:w="270" w:type="dxa"/>
              <w:bottom w:w="0" w:type="dxa"/>
              <w:right w:w="0" w:type="dxa"/>
            </w:tcMar>
            <w:vAlign w:val="bottom"/>
            <w:hideMark/>
          </w:tcPr>
          <w:p w14:paraId="72378C89" w14:textId="2F21C16E" w:rsidR="00224102" w:rsidRPr="00603922" w:rsidRDefault="00F506D8" w:rsidP="00224102">
            <w:pPr>
              <w:ind w:left="-129" w:hanging="142"/>
              <w:rPr>
                <w:color w:val="000000"/>
                <w:sz w:val="18"/>
                <w:szCs w:val="18"/>
              </w:rPr>
            </w:pPr>
            <w:r>
              <w:rPr>
                <w:color w:val="000000"/>
                <w:sz w:val="18"/>
                <w:szCs w:val="18"/>
              </w:rPr>
              <w:t>Obligations related to structured financial products</w:t>
            </w:r>
          </w:p>
        </w:tc>
        <w:tc>
          <w:tcPr>
            <w:tcW w:w="1171" w:type="dxa"/>
            <w:shd w:val="clear" w:color="auto" w:fill="auto"/>
            <w:noWrap/>
            <w:vAlign w:val="bottom"/>
          </w:tcPr>
          <w:p w14:paraId="58175536" w14:textId="0DA5BABA"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190" w:type="dxa"/>
            <w:shd w:val="clear" w:color="auto" w:fill="auto"/>
            <w:noWrap/>
            <w:vAlign w:val="bottom"/>
          </w:tcPr>
          <w:p w14:paraId="122CD2C2" w14:textId="56934915"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286" w:type="dxa"/>
            <w:shd w:val="clear" w:color="auto" w:fill="auto"/>
            <w:noWrap/>
            <w:vAlign w:val="bottom"/>
          </w:tcPr>
          <w:p w14:paraId="5C9E23A8" w14:textId="7D96BE29"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275" w:type="dxa"/>
            <w:shd w:val="clear" w:color="auto" w:fill="auto"/>
            <w:noWrap/>
            <w:vAlign w:val="bottom"/>
          </w:tcPr>
          <w:p w14:paraId="39CAD34D" w14:textId="6CC5D6A0" w:rsidR="00224102" w:rsidRPr="002C2CE8" w:rsidRDefault="00224102" w:rsidP="004D09B3">
            <w:pPr>
              <w:ind w:right="49"/>
              <w:jc w:val="right"/>
              <w:rPr>
                <w:color w:val="000000"/>
                <w:sz w:val="18"/>
                <w:szCs w:val="18"/>
              </w:rPr>
            </w:pPr>
            <w:r w:rsidRPr="002C2CE8">
              <w:rPr>
                <w:color w:val="000000"/>
                <w:sz w:val="18"/>
                <w:szCs w:val="18"/>
              </w:rPr>
              <w:t xml:space="preserve">                   -   </w:t>
            </w:r>
          </w:p>
        </w:tc>
      </w:tr>
      <w:tr w:rsidR="00224102" w:rsidRPr="00603922" w14:paraId="155C600E" w14:textId="77777777" w:rsidTr="002C2CE8">
        <w:trPr>
          <w:trHeight w:val="227"/>
        </w:trPr>
        <w:tc>
          <w:tcPr>
            <w:tcW w:w="290" w:type="dxa"/>
            <w:shd w:val="clear" w:color="auto" w:fill="auto"/>
            <w:noWrap/>
            <w:vAlign w:val="center"/>
            <w:hideMark/>
          </w:tcPr>
          <w:p w14:paraId="1B3C90B2" w14:textId="77777777" w:rsidR="00224102" w:rsidRPr="00603922" w:rsidRDefault="00224102" w:rsidP="002C2CE8">
            <w:pPr>
              <w:jc w:val="center"/>
              <w:rPr>
                <w:color w:val="000000"/>
                <w:sz w:val="18"/>
                <w:szCs w:val="18"/>
              </w:rPr>
            </w:pPr>
            <w:r w:rsidRPr="00603922">
              <w:rPr>
                <w:color w:val="000000"/>
                <w:sz w:val="18"/>
                <w:szCs w:val="18"/>
              </w:rPr>
              <w:t>13</w:t>
            </w:r>
          </w:p>
        </w:tc>
        <w:tc>
          <w:tcPr>
            <w:tcW w:w="4525" w:type="dxa"/>
            <w:shd w:val="clear" w:color="auto" w:fill="auto"/>
            <w:tcMar>
              <w:top w:w="0" w:type="dxa"/>
              <w:left w:w="270" w:type="dxa"/>
              <w:bottom w:w="0" w:type="dxa"/>
              <w:right w:w="0" w:type="dxa"/>
            </w:tcMar>
            <w:vAlign w:val="bottom"/>
            <w:hideMark/>
          </w:tcPr>
          <w:p w14:paraId="7D87C2F2" w14:textId="723A0FE8" w:rsidR="00224102" w:rsidRPr="00603922" w:rsidRDefault="00F506D8" w:rsidP="00224102">
            <w:pPr>
              <w:ind w:left="-271"/>
              <w:rPr>
                <w:color w:val="000000"/>
                <w:sz w:val="18"/>
                <w:szCs w:val="18"/>
              </w:rPr>
            </w:pPr>
            <w:r>
              <w:rPr>
                <w:color w:val="000000"/>
                <w:sz w:val="18"/>
                <w:szCs w:val="18"/>
              </w:rPr>
              <w:t>Commitments related to debts to financial markets and other off-balance sheet obligations</w:t>
            </w:r>
          </w:p>
        </w:tc>
        <w:tc>
          <w:tcPr>
            <w:tcW w:w="1171" w:type="dxa"/>
            <w:shd w:val="clear" w:color="auto" w:fill="auto"/>
            <w:noWrap/>
            <w:vAlign w:val="bottom"/>
          </w:tcPr>
          <w:p w14:paraId="5C4EA64A" w14:textId="117F084D"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190" w:type="dxa"/>
            <w:shd w:val="clear" w:color="auto" w:fill="auto"/>
            <w:noWrap/>
            <w:vAlign w:val="bottom"/>
          </w:tcPr>
          <w:p w14:paraId="504E3FC5" w14:textId="0CC45A3E"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286" w:type="dxa"/>
            <w:shd w:val="clear" w:color="auto" w:fill="auto"/>
            <w:noWrap/>
            <w:vAlign w:val="bottom"/>
          </w:tcPr>
          <w:p w14:paraId="64F14F11" w14:textId="57D6879F" w:rsidR="00224102" w:rsidRPr="002C2CE8" w:rsidRDefault="00224102" w:rsidP="004D09B3">
            <w:pPr>
              <w:ind w:right="49"/>
              <w:jc w:val="right"/>
              <w:rPr>
                <w:color w:val="000000"/>
                <w:sz w:val="18"/>
                <w:szCs w:val="18"/>
              </w:rPr>
            </w:pPr>
            <w:r w:rsidRPr="002C2CE8">
              <w:rPr>
                <w:color w:val="000000"/>
                <w:sz w:val="18"/>
                <w:szCs w:val="18"/>
              </w:rPr>
              <w:t xml:space="preserve">                   -   </w:t>
            </w:r>
          </w:p>
        </w:tc>
        <w:tc>
          <w:tcPr>
            <w:tcW w:w="1275" w:type="dxa"/>
            <w:shd w:val="clear" w:color="auto" w:fill="auto"/>
            <w:noWrap/>
            <w:vAlign w:val="bottom"/>
          </w:tcPr>
          <w:p w14:paraId="18732B9A" w14:textId="7AD84245" w:rsidR="00224102" w:rsidRPr="002C2CE8" w:rsidRDefault="00224102" w:rsidP="004D09B3">
            <w:pPr>
              <w:ind w:right="49"/>
              <w:jc w:val="right"/>
              <w:rPr>
                <w:color w:val="000000"/>
                <w:sz w:val="18"/>
                <w:szCs w:val="18"/>
              </w:rPr>
            </w:pPr>
            <w:r w:rsidRPr="002C2CE8">
              <w:rPr>
                <w:color w:val="000000"/>
                <w:sz w:val="18"/>
                <w:szCs w:val="18"/>
              </w:rPr>
              <w:t xml:space="preserve">                   -   </w:t>
            </w:r>
          </w:p>
        </w:tc>
      </w:tr>
      <w:tr w:rsidR="00224102" w:rsidRPr="00603922" w14:paraId="33EB7DCD" w14:textId="77777777" w:rsidTr="002C2CE8">
        <w:trPr>
          <w:trHeight w:val="227"/>
        </w:trPr>
        <w:tc>
          <w:tcPr>
            <w:tcW w:w="290" w:type="dxa"/>
            <w:shd w:val="clear" w:color="auto" w:fill="auto"/>
            <w:noWrap/>
            <w:vAlign w:val="center"/>
            <w:hideMark/>
          </w:tcPr>
          <w:p w14:paraId="13DDB9E7" w14:textId="77777777" w:rsidR="00224102" w:rsidRPr="00603922" w:rsidRDefault="00224102" w:rsidP="002C2CE8">
            <w:pPr>
              <w:jc w:val="center"/>
              <w:rPr>
                <w:color w:val="000000"/>
                <w:sz w:val="18"/>
                <w:szCs w:val="18"/>
              </w:rPr>
            </w:pPr>
            <w:r w:rsidRPr="00603922">
              <w:rPr>
                <w:color w:val="000000"/>
                <w:sz w:val="18"/>
                <w:szCs w:val="18"/>
              </w:rPr>
              <w:t>14</w:t>
            </w:r>
          </w:p>
        </w:tc>
        <w:tc>
          <w:tcPr>
            <w:tcW w:w="4525" w:type="dxa"/>
            <w:shd w:val="clear" w:color="auto" w:fill="auto"/>
            <w:vAlign w:val="bottom"/>
            <w:hideMark/>
          </w:tcPr>
          <w:p w14:paraId="3C318AF7" w14:textId="4433942D" w:rsidR="00224102" w:rsidRPr="00603922" w:rsidRDefault="00F506D8" w:rsidP="00224102">
            <w:pPr>
              <w:rPr>
                <w:color w:val="000000"/>
                <w:sz w:val="18"/>
                <w:szCs w:val="18"/>
              </w:rPr>
            </w:pPr>
            <w:r>
              <w:rPr>
                <w:color w:val="000000"/>
                <w:sz w:val="18"/>
                <w:szCs w:val="18"/>
              </w:rPr>
              <w:t>Other revocable off-balance sheet commitments and contractual obligations</w:t>
            </w:r>
          </w:p>
        </w:tc>
        <w:tc>
          <w:tcPr>
            <w:tcW w:w="1171" w:type="dxa"/>
            <w:shd w:val="clear" w:color="auto" w:fill="auto"/>
            <w:noWrap/>
            <w:vAlign w:val="bottom"/>
          </w:tcPr>
          <w:p w14:paraId="53ACFA79" w14:textId="432CDF62" w:rsidR="00224102" w:rsidRPr="002C2CE8" w:rsidRDefault="00224102" w:rsidP="004D09B3">
            <w:pPr>
              <w:ind w:right="49"/>
              <w:jc w:val="right"/>
              <w:rPr>
                <w:color w:val="000000"/>
                <w:sz w:val="18"/>
                <w:szCs w:val="18"/>
              </w:rPr>
            </w:pPr>
            <w:r w:rsidRPr="002C2CE8">
              <w:rPr>
                <w:color w:val="000000"/>
                <w:sz w:val="18"/>
                <w:szCs w:val="18"/>
              </w:rPr>
              <w:t xml:space="preserve">      3,322,436 </w:t>
            </w:r>
          </w:p>
        </w:tc>
        <w:tc>
          <w:tcPr>
            <w:tcW w:w="1190" w:type="dxa"/>
            <w:shd w:val="clear" w:color="auto" w:fill="auto"/>
            <w:noWrap/>
            <w:vAlign w:val="bottom"/>
          </w:tcPr>
          <w:p w14:paraId="2E11DE82" w14:textId="4B01F4D5" w:rsidR="00224102" w:rsidRPr="002C2CE8" w:rsidRDefault="00224102" w:rsidP="004D09B3">
            <w:pPr>
              <w:ind w:right="49"/>
              <w:jc w:val="right"/>
              <w:rPr>
                <w:color w:val="000000"/>
                <w:sz w:val="18"/>
                <w:szCs w:val="18"/>
              </w:rPr>
            </w:pPr>
            <w:r w:rsidRPr="002C2CE8">
              <w:rPr>
                <w:color w:val="000000"/>
                <w:sz w:val="18"/>
                <w:szCs w:val="18"/>
              </w:rPr>
              <w:t xml:space="preserve">      2,153,795 </w:t>
            </w:r>
          </w:p>
        </w:tc>
        <w:tc>
          <w:tcPr>
            <w:tcW w:w="1286" w:type="dxa"/>
            <w:shd w:val="clear" w:color="auto" w:fill="auto"/>
            <w:noWrap/>
            <w:vAlign w:val="bottom"/>
          </w:tcPr>
          <w:p w14:paraId="7E91DFF0" w14:textId="03C45E2E" w:rsidR="00224102" w:rsidRPr="002C2CE8" w:rsidRDefault="00224102" w:rsidP="004D09B3">
            <w:pPr>
              <w:ind w:right="49"/>
              <w:jc w:val="right"/>
              <w:rPr>
                <w:color w:val="000000"/>
                <w:sz w:val="18"/>
                <w:szCs w:val="18"/>
              </w:rPr>
            </w:pPr>
            <w:r w:rsidRPr="002C2CE8">
              <w:rPr>
                <w:color w:val="000000"/>
                <w:sz w:val="18"/>
                <w:szCs w:val="18"/>
              </w:rPr>
              <w:t xml:space="preserve">         547,804 </w:t>
            </w:r>
          </w:p>
        </w:tc>
        <w:tc>
          <w:tcPr>
            <w:tcW w:w="1275" w:type="dxa"/>
            <w:shd w:val="clear" w:color="auto" w:fill="auto"/>
            <w:noWrap/>
            <w:vAlign w:val="bottom"/>
          </w:tcPr>
          <w:p w14:paraId="3D48FBAA" w14:textId="6A86E6E9" w:rsidR="00224102" w:rsidRPr="002C2CE8" w:rsidRDefault="00224102" w:rsidP="004D09B3">
            <w:pPr>
              <w:ind w:right="49"/>
              <w:jc w:val="right"/>
              <w:rPr>
                <w:color w:val="000000"/>
                <w:sz w:val="18"/>
                <w:szCs w:val="18"/>
              </w:rPr>
            </w:pPr>
            <w:r w:rsidRPr="002C2CE8">
              <w:rPr>
                <w:color w:val="000000"/>
                <w:sz w:val="18"/>
                <w:szCs w:val="18"/>
              </w:rPr>
              <w:t xml:space="preserve">         286,173 </w:t>
            </w:r>
          </w:p>
        </w:tc>
      </w:tr>
      <w:tr w:rsidR="00224102" w:rsidRPr="00603922" w14:paraId="59C4B73F" w14:textId="77777777" w:rsidTr="002C2CE8">
        <w:trPr>
          <w:trHeight w:val="227"/>
        </w:trPr>
        <w:tc>
          <w:tcPr>
            <w:tcW w:w="290" w:type="dxa"/>
            <w:shd w:val="clear" w:color="auto" w:fill="auto"/>
            <w:noWrap/>
            <w:vAlign w:val="center"/>
            <w:hideMark/>
          </w:tcPr>
          <w:p w14:paraId="6C460187" w14:textId="77777777" w:rsidR="00224102" w:rsidRPr="00603922" w:rsidRDefault="00224102" w:rsidP="002C2CE8">
            <w:pPr>
              <w:jc w:val="center"/>
              <w:rPr>
                <w:color w:val="000000"/>
                <w:sz w:val="18"/>
                <w:szCs w:val="18"/>
              </w:rPr>
            </w:pPr>
            <w:r w:rsidRPr="00603922">
              <w:rPr>
                <w:color w:val="000000"/>
                <w:sz w:val="18"/>
                <w:szCs w:val="18"/>
              </w:rPr>
              <w:t>15</w:t>
            </w:r>
          </w:p>
        </w:tc>
        <w:tc>
          <w:tcPr>
            <w:tcW w:w="4525" w:type="dxa"/>
            <w:shd w:val="clear" w:color="auto" w:fill="auto"/>
            <w:vAlign w:val="bottom"/>
            <w:hideMark/>
          </w:tcPr>
          <w:p w14:paraId="54B59300" w14:textId="5C80ED46" w:rsidR="00224102" w:rsidRPr="00603922" w:rsidRDefault="00224102" w:rsidP="00F506D8">
            <w:pPr>
              <w:rPr>
                <w:color w:val="000000"/>
                <w:sz w:val="18"/>
                <w:szCs w:val="18"/>
              </w:rPr>
            </w:pPr>
            <w:r w:rsidRPr="00603922">
              <w:rPr>
                <w:color w:val="000000"/>
                <w:sz w:val="18"/>
                <w:szCs w:val="18"/>
              </w:rPr>
              <w:t xml:space="preserve">Other irrevocable or </w:t>
            </w:r>
            <w:r w:rsidR="00F506D8">
              <w:rPr>
                <w:color w:val="000000"/>
                <w:sz w:val="18"/>
                <w:szCs w:val="18"/>
              </w:rPr>
              <w:t>conditionally revocable off-balance sheet obligations</w:t>
            </w:r>
          </w:p>
        </w:tc>
        <w:tc>
          <w:tcPr>
            <w:tcW w:w="1171" w:type="dxa"/>
            <w:shd w:val="clear" w:color="auto" w:fill="auto"/>
            <w:noWrap/>
            <w:vAlign w:val="bottom"/>
          </w:tcPr>
          <w:p w14:paraId="54D543AF" w14:textId="6938C5FC" w:rsidR="00224102" w:rsidRPr="002C2CE8" w:rsidRDefault="00224102" w:rsidP="004D09B3">
            <w:pPr>
              <w:ind w:right="49"/>
              <w:jc w:val="right"/>
              <w:rPr>
                <w:color w:val="000000"/>
                <w:sz w:val="18"/>
                <w:szCs w:val="18"/>
              </w:rPr>
            </w:pPr>
            <w:r w:rsidRPr="002C2CE8">
              <w:rPr>
                <w:color w:val="000000"/>
                <w:sz w:val="18"/>
                <w:szCs w:val="18"/>
              </w:rPr>
              <w:t xml:space="preserve">           34,467 </w:t>
            </w:r>
          </w:p>
        </w:tc>
        <w:tc>
          <w:tcPr>
            <w:tcW w:w="1190" w:type="dxa"/>
            <w:shd w:val="clear" w:color="auto" w:fill="auto"/>
            <w:noWrap/>
            <w:vAlign w:val="bottom"/>
          </w:tcPr>
          <w:p w14:paraId="149284DE" w14:textId="023AB8DB" w:rsidR="00224102" w:rsidRPr="002C2CE8" w:rsidRDefault="00224102" w:rsidP="004D09B3">
            <w:pPr>
              <w:ind w:right="49"/>
              <w:jc w:val="right"/>
              <w:rPr>
                <w:color w:val="000000"/>
                <w:sz w:val="18"/>
                <w:szCs w:val="18"/>
              </w:rPr>
            </w:pPr>
            <w:r w:rsidRPr="002C2CE8">
              <w:rPr>
                <w:color w:val="000000"/>
                <w:sz w:val="18"/>
                <w:szCs w:val="18"/>
              </w:rPr>
              <w:t xml:space="preserve">           34,467 </w:t>
            </w:r>
          </w:p>
        </w:tc>
        <w:tc>
          <w:tcPr>
            <w:tcW w:w="1286" w:type="dxa"/>
            <w:shd w:val="clear" w:color="auto" w:fill="auto"/>
            <w:noWrap/>
            <w:vAlign w:val="bottom"/>
          </w:tcPr>
          <w:p w14:paraId="53FFE887" w14:textId="1E5C130A" w:rsidR="00224102" w:rsidRPr="002C2CE8" w:rsidRDefault="00224102" w:rsidP="004D09B3">
            <w:pPr>
              <w:ind w:right="49"/>
              <w:jc w:val="right"/>
              <w:rPr>
                <w:color w:val="000000"/>
                <w:sz w:val="18"/>
                <w:szCs w:val="18"/>
              </w:rPr>
            </w:pPr>
            <w:r w:rsidRPr="002C2CE8">
              <w:rPr>
                <w:color w:val="000000"/>
                <w:sz w:val="18"/>
                <w:szCs w:val="18"/>
              </w:rPr>
              <w:t xml:space="preserve">             1,723 </w:t>
            </w:r>
          </w:p>
        </w:tc>
        <w:tc>
          <w:tcPr>
            <w:tcW w:w="1275" w:type="dxa"/>
            <w:shd w:val="clear" w:color="auto" w:fill="auto"/>
            <w:noWrap/>
            <w:vAlign w:val="bottom"/>
          </w:tcPr>
          <w:p w14:paraId="1B885F82" w14:textId="0CEBBE7F" w:rsidR="00224102" w:rsidRPr="002C2CE8" w:rsidRDefault="00224102" w:rsidP="004D09B3">
            <w:pPr>
              <w:ind w:right="49"/>
              <w:jc w:val="right"/>
              <w:rPr>
                <w:color w:val="000000"/>
                <w:sz w:val="18"/>
                <w:szCs w:val="18"/>
              </w:rPr>
            </w:pPr>
            <w:r w:rsidRPr="002C2CE8">
              <w:rPr>
                <w:color w:val="000000"/>
                <w:sz w:val="18"/>
                <w:szCs w:val="18"/>
              </w:rPr>
              <w:t xml:space="preserve">             1,723 </w:t>
            </w:r>
          </w:p>
        </w:tc>
      </w:tr>
      <w:tr w:rsidR="00224102" w:rsidRPr="00603922" w14:paraId="08E245EB" w14:textId="77777777" w:rsidTr="002C2CE8">
        <w:trPr>
          <w:trHeight w:val="227"/>
        </w:trPr>
        <w:tc>
          <w:tcPr>
            <w:tcW w:w="290" w:type="dxa"/>
            <w:shd w:val="clear" w:color="auto" w:fill="auto"/>
            <w:noWrap/>
            <w:vAlign w:val="center"/>
            <w:hideMark/>
          </w:tcPr>
          <w:p w14:paraId="6AB6CE7D" w14:textId="5A3EA0CE" w:rsidR="00224102" w:rsidRPr="00603922" w:rsidRDefault="00224102" w:rsidP="002C2CE8">
            <w:pPr>
              <w:jc w:val="center"/>
              <w:rPr>
                <w:bCs/>
                <w:color w:val="000000"/>
                <w:sz w:val="18"/>
                <w:szCs w:val="18"/>
              </w:rPr>
            </w:pPr>
            <w:r w:rsidRPr="00603922">
              <w:rPr>
                <w:bCs/>
                <w:color w:val="000000"/>
                <w:sz w:val="18"/>
                <w:szCs w:val="18"/>
              </w:rPr>
              <w:t>16</w:t>
            </w:r>
          </w:p>
        </w:tc>
        <w:tc>
          <w:tcPr>
            <w:tcW w:w="4525" w:type="dxa"/>
            <w:shd w:val="clear" w:color="auto" w:fill="auto"/>
            <w:noWrap/>
            <w:vAlign w:val="center"/>
            <w:hideMark/>
          </w:tcPr>
          <w:p w14:paraId="021C931D" w14:textId="7313A36F" w:rsidR="00224102" w:rsidRPr="00603922" w:rsidRDefault="00224102" w:rsidP="00224102">
            <w:pPr>
              <w:rPr>
                <w:b/>
                <w:bCs/>
                <w:color w:val="000000"/>
                <w:sz w:val="18"/>
                <w:szCs w:val="18"/>
              </w:rPr>
            </w:pPr>
            <w:r w:rsidRPr="00603922">
              <w:rPr>
                <w:b/>
                <w:bCs/>
                <w:color w:val="000000"/>
                <w:sz w:val="18"/>
                <w:szCs w:val="18"/>
              </w:rPr>
              <w:t>TOTAL CASH OUTFLOWS</w:t>
            </w:r>
          </w:p>
        </w:tc>
        <w:tc>
          <w:tcPr>
            <w:tcW w:w="1171" w:type="dxa"/>
            <w:shd w:val="clear" w:color="auto" w:fill="auto"/>
            <w:noWrap/>
            <w:vAlign w:val="bottom"/>
          </w:tcPr>
          <w:p w14:paraId="1D44831F" w14:textId="0ED32B9C" w:rsidR="00224102" w:rsidRPr="002C2CE8" w:rsidRDefault="003E3C32" w:rsidP="004D09B3">
            <w:pPr>
              <w:ind w:right="49"/>
              <w:jc w:val="right"/>
              <w:rPr>
                <w:color w:val="000000"/>
                <w:sz w:val="18"/>
                <w:szCs w:val="18"/>
              </w:rPr>
            </w:pPr>
            <w:r>
              <w:rPr>
                <w:color w:val="000000"/>
                <w:sz w:val="18"/>
                <w:szCs w:val="18"/>
              </w:rPr>
              <w:t>-</w:t>
            </w:r>
            <w:r w:rsidR="00224102" w:rsidRPr="002C2CE8">
              <w:rPr>
                <w:color w:val="000000"/>
                <w:sz w:val="18"/>
                <w:szCs w:val="18"/>
              </w:rPr>
              <w:t> </w:t>
            </w:r>
          </w:p>
        </w:tc>
        <w:tc>
          <w:tcPr>
            <w:tcW w:w="1190" w:type="dxa"/>
            <w:shd w:val="clear" w:color="auto" w:fill="auto"/>
            <w:noWrap/>
            <w:vAlign w:val="bottom"/>
          </w:tcPr>
          <w:p w14:paraId="68670FF5" w14:textId="563CA85B" w:rsidR="00224102" w:rsidRPr="002C2CE8" w:rsidRDefault="003E3C32" w:rsidP="004D09B3">
            <w:pPr>
              <w:ind w:right="49"/>
              <w:jc w:val="right"/>
              <w:rPr>
                <w:color w:val="000000"/>
                <w:sz w:val="18"/>
                <w:szCs w:val="18"/>
              </w:rPr>
            </w:pPr>
            <w:r>
              <w:rPr>
                <w:color w:val="000000"/>
                <w:sz w:val="18"/>
                <w:szCs w:val="18"/>
              </w:rPr>
              <w:t>-</w:t>
            </w:r>
            <w:r w:rsidR="00224102" w:rsidRPr="002C2CE8">
              <w:rPr>
                <w:color w:val="000000"/>
                <w:sz w:val="18"/>
                <w:szCs w:val="18"/>
              </w:rPr>
              <w:t> </w:t>
            </w:r>
          </w:p>
        </w:tc>
        <w:tc>
          <w:tcPr>
            <w:tcW w:w="1286" w:type="dxa"/>
            <w:shd w:val="clear" w:color="auto" w:fill="auto"/>
            <w:noWrap/>
            <w:vAlign w:val="bottom"/>
          </w:tcPr>
          <w:p w14:paraId="54DC16B9" w14:textId="5F0510CA" w:rsidR="00224102" w:rsidRPr="002C2CE8" w:rsidRDefault="00224102" w:rsidP="004D09B3">
            <w:pPr>
              <w:ind w:right="49"/>
              <w:jc w:val="right"/>
              <w:rPr>
                <w:b/>
                <w:color w:val="000000"/>
                <w:sz w:val="18"/>
                <w:szCs w:val="18"/>
              </w:rPr>
            </w:pPr>
            <w:r w:rsidRPr="002C2CE8">
              <w:rPr>
                <w:color w:val="000000"/>
                <w:sz w:val="18"/>
                <w:szCs w:val="18"/>
              </w:rPr>
              <w:t xml:space="preserve">      3,020,733 </w:t>
            </w:r>
          </w:p>
        </w:tc>
        <w:tc>
          <w:tcPr>
            <w:tcW w:w="1275" w:type="dxa"/>
            <w:shd w:val="clear" w:color="auto" w:fill="auto"/>
            <w:noWrap/>
            <w:vAlign w:val="bottom"/>
          </w:tcPr>
          <w:p w14:paraId="1A60A68E" w14:textId="2AE08FD3" w:rsidR="00224102" w:rsidRPr="002C2CE8" w:rsidRDefault="00224102" w:rsidP="004D09B3">
            <w:pPr>
              <w:ind w:right="49"/>
              <w:jc w:val="right"/>
              <w:rPr>
                <w:b/>
                <w:color w:val="000000"/>
                <w:sz w:val="18"/>
                <w:szCs w:val="18"/>
              </w:rPr>
            </w:pPr>
            <w:r w:rsidRPr="002C2CE8">
              <w:rPr>
                <w:color w:val="000000"/>
                <w:sz w:val="18"/>
                <w:szCs w:val="18"/>
              </w:rPr>
              <w:t xml:space="preserve">      1,619,785 </w:t>
            </w:r>
          </w:p>
        </w:tc>
      </w:tr>
      <w:tr w:rsidR="00195EDC" w:rsidRPr="00603922" w14:paraId="1AD35B08" w14:textId="77777777" w:rsidTr="002C2CE8">
        <w:trPr>
          <w:trHeight w:val="227"/>
        </w:trPr>
        <w:tc>
          <w:tcPr>
            <w:tcW w:w="9737" w:type="dxa"/>
            <w:gridSpan w:val="6"/>
            <w:shd w:val="clear" w:color="auto" w:fill="auto"/>
            <w:noWrap/>
            <w:vAlign w:val="bottom"/>
          </w:tcPr>
          <w:p w14:paraId="6BA101EA" w14:textId="44E4B728" w:rsidR="00195EDC" w:rsidRPr="002C2CE8" w:rsidRDefault="00603922" w:rsidP="004D09B3">
            <w:pPr>
              <w:ind w:right="49"/>
              <w:rPr>
                <w:b/>
                <w:bCs/>
                <w:color w:val="000000"/>
                <w:sz w:val="18"/>
                <w:szCs w:val="18"/>
              </w:rPr>
            </w:pPr>
            <w:r w:rsidRPr="002C2CE8">
              <w:rPr>
                <w:b/>
                <w:bCs/>
                <w:color w:val="000000"/>
                <w:sz w:val="18"/>
                <w:szCs w:val="18"/>
                <w:lang w:val="tr-TR"/>
              </w:rPr>
              <w:t>CASH INFLOWS</w:t>
            </w:r>
          </w:p>
        </w:tc>
      </w:tr>
      <w:tr w:rsidR="00224102" w:rsidRPr="00603922" w14:paraId="7A58A005" w14:textId="77777777" w:rsidTr="002C2CE8">
        <w:trPr>
          <w:trHeight w:val="227"/>
        </w:trPr>
        <w:tc>
          <w:tcPr>
            <w:tcW w:w="290" w:type="dxa"/>
            <w:shd w:val="clear" w:color="auto" w:fill="auto"/>
            <w:noWrap/>
            <w:vAlign w:val="center"/>
            <w:hideMark/>
          </w:tcPr>
          <w:p w14:paraId="39580079" w14:textId="77777777" w:rsidR="00224102" w:rsidRPr="00603922" w:rsidRDefault="00224102" w:rsidP="00224102">
            <w:pPr>
              <w:jc w:val="center"/>
              <w:rPr>
                <w:color w:val="000000"/>
                <w:sz w:val="18"/>
                <w:szCs w:val="18"/>
              </w:rPr>
            </w:pPr>
            <w:r w:rsidRPr="00603922">
              <w:rPr>
                <w:color w:val="000000"/>
                <w:sz w:val="18"/>
                <w:szCs w:val="18"/>
              </w:rPr>
              <w:t>17</w:t>
            </w:r>
          </w:p>
        </w:tc>
        <w:tc>
          <w:tcPr>
            <w:tcW w:w="4525" w:type="dxa"/>
            <w:shd w:val="clear" w:color="auto" w:fill="auto"/>
            <w:noWrap/>
            <w:vAlign w:val="bottom"/>
            <w:hideMark/>
          </w:tcPr>
          <w:p w14:paraId="0016EF23" w14:textId="06C572FD" w:rsidR="00224102" w:rsidRPr="00603922" w:rsidRDefault="00224102" w:rsidP="00F506D8">
            <w:pPr>
              <w:rPr>
                <w:color w:val="000000"/>
                <w:sz w:val="18"/>
                <w:szCs w:val="18"/>
              </w:rPr>
            </w:pPr>
            <w:r w:rsidRPr="00603922">
              <w:rPr>
                <w:color w:val="000000"/>
                <w:sz w:val="18"/>
                <w:szCs w:val="18"/>
              </w:rPr>
              <w:t xml:space="preserve">Secured </w:t>
            </w:r>
            <w:r w:rsidR="00F506D8">
              <w:rPr>
                <w:color w:val="000000"/>
                <w:sz w:val="18"/>
                <w:szCs w:val="18"/>
              </w:rPr>
              <w:t>lending</w:t>
            </w:r>
          </w:p>
        </w:tc>
        <w:tc>
          <w:tcPr>
            <w:tcW w:w="1171" w:type="dxa"/>
            <w:shd w:val="clear" w:color="auto" w:fill="auto"/>
            <w:noWrap/>
            <w:vAlign w:val="center"/>
          </w:tcPr>
          <w:p w14:paraId="0AE0C8A4" w14:textId="35BBB1B6" w:rsidR="00224102" w:rsidRPr="002C2CE8" w:rsidRDefault="00224102" w:rsidP="002C2CE8">
            <w:pPr>
              <w:ind w:right="35"/>
              <w:jc w:val="right"/>
              <w:rPr>
                <w:color w:val="000000"/>
                <w:sz w:val="18"/>
                <w:szCs w:val="18"/>
              </w:rPr>
            </w:pPr>
            <w:r w:rsidRPr="002C2CE8">
              <w:rPr>
                <w:color w:val="000000"/>
                <w:sz w:val="18"/>
                <w:szCs w:val="18"/>
              </w:rPr>
              <w:t xml:space="preserve">         345,334 </w:t>
            </w:r>
          </w:p>
        </w:tc>
        <w:tc>
          <w:tcPr>
            <w:tcW w:w="1190" w:type="dxa"/>
            <w:shd w:val="clear" w:color="auto" w:fill="auto"/>
            <w:noWrap/>
            <w:vAlign w:val="center"/>
          </w:tcPr>
          <w:p w14:paraId="6C7DF486" w14:textId="3A3C74C9" w:rsidR="00224102" w:rsidRPr="002C2CE8" w:rsidRDefault="00224102" w:rsidP="002C2CE8">
            <w:pPr>
              <w:ind w:right="35"/>
              <w:jc w:val="right"/>
              <w:rPr>
                <w:color w:val="000000"/>
                <w:sz w:val="18"/>
                <w:szCs w:val="18"/>
              </w:rPr>
            </w:pPr>
            <w:r w:rsidRPr="002C2CE8">
              <w:rPr>
                <w:color w:val="000000"/>
                <w:sz w:val="18"/>
                <w:szCs w:val="18"/>
              </w:rPr>
              <w:t xml:space="preserve">                   -   </w:t>
            </w:r>
          </w:p>
        </w:tc>
        <w:tc>
          <w:tcPr>
            <w:tcW w:w="1286" w:type="dxa"/>
            <w:shd w:val="clear" w:color="auto" w:fill="auto"/>
            <w:noWrap/>
            <w:vAlign w:val="center"/>
          </w:tcPr>
          <w:p w14:paraId="371AA1F9" w14:textId="416FF8B3" w:rsidR="00224102" w:rsidRPr="002C2CE8" w:rsidRDefault="00224102" w:rsidP="002C2CE8">
            <w:pPr>
              <w:ind w:right="35"/>
              <w:jc w:val="right"/>
              <w:rPr>
                <w:color w:val="000000"/>
                <w:sz w:val="18"/>
                <w:szCs w:val="18"/>
              </w:rPr>
            </w:pPr>
            <w:r w:rsidRPr="002C2CE8">
              <w:rPr>
                <w:color w:val="000000"/>
                <w:sz w:val="18"/>
                <w:szCs w:val="18"/>
              </w:rPr>
              <w:t xml:space="preserve">                   -   </w:t>
            </w:r>
          </w:p>
        </w:tc>
        <w:tc>
          <w:tcPr>
            <w:tcW w:w="1275" w:type="dxa"/>
            <w:shd w:val="clear" w:color="auto" w:fill="auto"/>
            <w:noWrap/>
            <w:vAlign w:val="center"/>
          </w:tcPr>
          <w:p w14:paraId="13C4A773" w14:textId="6CA32707" w:rsidR="00224102" w:rsidRPr="002C2CE8" w:rsidRDefault="00224102" w:rsidP="002C2CE8">
            <w:pPr>
              <w:ind w:right="35"/>
              <w:jc w:val="right"/>
              <w:rPr>
                <w:color w:val="000000"/>
                <w:sz w:val="18"/>
                <w:szCs w:val="18"/>
              </w:rPr>
            </w:pPr>
            <w:r w:rsidRPr="002C2CE8">
              <w:rPr>
                <w:color w:val="000000"/>
                <w:sz w:val="18"/>
                <w:szCs w:val="18"/>
              </w:rPr>
              <w:t xml:space="preserve">                   -   </w:t>
            </w:r>
          </w:p>
        </w:tc>
      </w:tr>
      <w:tr w:rsidR="00224102" w:rsidRPr="00603922" w14:paraId="206C29BA" w14:textId="77777777" w:rsidTr="002C2CE8">
        <w:trPr>
          <w:trHeight w:val="227"/>
        </w:trPr>
        <w:tc>
          <w:tcPr>
            <w:tcW w:w="290" w:type="dxa"/>
            <w:shd w:val="clear" w:color="auto" w:fill="auto"/>
            <w:noWrap/>
            <w:vAlign w:val="center"/>
            <w:hideMark/>
          </w:tcPr>
          <w:p w14:paraId="34FFD754" w14:textId="77777777" w:rsidR="00224102" w:rsidRPr="00603922" w:rsidRDefault="00224102" w:rsidP="00224102">
            <w:pPr>
              <w:jc w:val="center"/>
              <w:rPr>
                <w:color w:val="000000"/>
                <w:sz w:val="18"/>
                <w:szCs w:val="18"/>
              </w:rPr>
            </w:pPr>
            <w:r w:rsidRPr="00603922">
              <w:rPr>
                <w:color w:val="000000"/>
                <w:sz w:val="18"/>
                <w:szCs w:val="18"/>
              </w:rPr>
              <w:t>18</w:t>
            </w:r>
          </w:p>
        </w:tc>
        <w:tc>
          <w:tcPr>
            <w:tcW w:w="4525" w:type="dxa"/>
            <w:shd w:val="clear" w:color="auto" w:fill="auto"/>
            <w:noWrap/>
            <w:vAlign w:val="bottom"/>
            <w:hideMark/>
          </w:tcPr>
          <w:p w14:paraId="55F48090" w14:textId="673DD709" w:rsidR="00224102" w:rsidRPr="00603922" w:rsidRDefault="00224102" w:rsidP="00F506D8">
            <w:pPr>
              <w:rPr>
                <w:color w:val="000000"/>
                <w:sz w:val="18"/>
                <w:szCs w:val="18"/>
              </w:rPr>
            </w:pPr>
            <w:r w:rsidRPr="00603922">
              <w:rPr>
                <w:color w:val="000000"/>
                <w:sz w:val="18"/>
                <w:szCs w:val="18"/>
              </w:rPr>
              <w:t xml:space="preserve">Unsecured </w:t>
            </w:r>
            <w:r w:rsidR="00F506D8">
              <w:rPr>
                <w:color w:val="000000"/>
                <w:sz w:val="18"/>
                <w:szCs w:val="18"/>
              </w:rPr>
              <w:t>lending</w:t>
            </w:r>
          </w:p>
        </w:tc>
        <w:tc>
          <w:tcPr>
            <w:tcW w:w="1171" w:type="dxa"/>
            <w:shd w:val="clear" w:color="auto" w:fill="auto"/>
            <w:noWrap/>
            <w:vAlign w:val="center"/>
          </w:tcPr>
          <w:p w14:paraId="1FF5065B" w14:textId="5CFEF6FF" w:rsidR="00224102" w:rsidRPr="002C2CE8" w:rsidRDefault="00224102" w:rsidP="002C2CE8">
            <w:pPr>
              <w:ind w:right="35"/>
              <w:jc w:val="right"/>
              <w:rPr>
                <w:color w:val="000000"/>
                <w:sz w:val="18"/>
                <w:szCs w:val="18"/>
              </w:rPr>
            </w:pPr>
            <w:r w:rsidRPr="002C2CE8">
              <w:rPr>
                <w:color w:val="000000"/>
                <w:sz w:val="18"/>
                <w:szCs w:val="18"/>
              </w:rPr>
              <w:t xml:space="preserve">      1,533,634 </w:t>
            </w:r>
          </w:p>
        </w:tc>
        <w:tc>
          <w:tcPr>
            <w:tcW w:w="1190" w:type="dxa"/>
            <w:shd w:val="clear" w:color="auto" w:fill="auto"/>
            <w:noWrap/>
            <w:vAlign w:val="center"/>
          </w:tcPr>
          <w:p w14:paraId="16019612" w14:textId="5BF5A330" w:rsidR="00224102" w:rsidRPr="002C2CE8" w:rsidRDefault="00224102" w:rsidP="002C2CE8">
            <w:pPr>
              <w:ind w:right="35"/>
              <w:jc w:val="right"/>
              <w:rPr>
                <w:color w:val="000000"/>
                <w:sz w:val="18"/>
                <w:szCs w:val="18"/>
              </w:rPr>
            </w:pPr>
            <w:r w:rsidRPr="002C2CE8">
              <w:rPr>
                <w:color w:val="000000"/>
                <w:sz w:val="18"/>
                <w:szCs w:val="18"/>
              </w:rPr>
              <w:t xml:space="preserve">390,164 </w:t>
            </w:r>
          </w:p>
        </w:tc>
        <w:tc>
          <w:tcPr>
            <w:tcW w:w="1286" w:type="dxa"/>
            <w:shd w:val="clear" w:color="auto" w:fill="auto"/>
            <w:noWrap/>
            <w:vAlign w:val="center"/>
          </w:tcPr>
          <w:p w14:paraId="55E6EF2E" w14:textId="173DB80F" w:rsidR="00224102" w:rsidRPr="002C2CE8" w:rsidRDefault="00224102" w:rsidP="002C2CE8">
            <w:pPr>
              <w:ind w:right="35"/>
              <w:jc w:val="right"/>
              <w:rPr>
                <w:color w:val="000000"/>
                <w:sz w:val="18"/>
                <w:szCs w:val="18"/>
              </w:rPr>
            </w:pPr>
            <w:r w:rsidRPr="002C2CE8">
              <w:rPr>
                <w:color w:val="000000"/>
                <w:sz w:val="18"/>
                <w:szCs w:val="18"/>
              </w:rPr>
              <w:t xml:space="preserve">      1,062,944 </w:t>
            </w:r>
          </w:p>
        </w:tc>
        <w:tc>
          <w:tcPr>
            <w:tcW w:w="1275" w:type="dxa"/>
            <w:shd w:val="clear" w:color="auto" w:fill="auto"/>
            <w:noWrap/>
            <w:vAlign w:val="center"/>
          </w:tcPr>
          <w:p w14:paraId="17728BDC" w14:textId="42FC938F" w:rsidR="00224102" w:rsidRPr="002C2CE8" w:rsidRDefault="00224102" w:rsidP="002C2CE8">
            <w:pPr>
              <w:ind w:right="35"/>
              <w:jc w:val="right"/>
              <w:rPr>
                <w:color w:val="000000"/>
                <w:sz w:val="18"/>
                <w:szCs w:val="18"/>
              </w:rPr>
            </w:pPr>
            <w:r w:rsidRPr="002C2CE8">
              <w:rPr>
                <w:color w:val="000000"/>
                <w:sz w:val="18"/>
                <w:szCs w:val="18"/>
              </w:rPr>
              <w:t xml:space="preserve">         293,113 </w:t>
            </w:r>
          </w:p>
        </w:tc>
      </w:tr>
      <w:tr w:rsidR="00224102" w:rsidRPr="00603922" w14:paraId="495AED69" w14:textId="77777777" w:rsidTr="002C2CE8">
        <w:trPr>
          <w:trHeight w:val="227"/>
        </w:trPr>
        <w:tc>
          <w:tcPr>
            <w:tcW w:w="290" w:type="dxa"/>
            <w:shd w:val="clear" w:color="auto" w:fill="auto"/>
            <w:noWrap/>
            <w:vAlign w:val="center"/>
            <w:hideMark/>
          </w:tcPr>
          <w:p w14:paraId="70897DE3" w14:textId="77777777" w:rsidR="00224102" w:rsidRPr="00603922" w:rsidRDefault="00224102" w:rsidP="00224102">
            <w:pPr>
              <w:jc w:val="center"/>
              <w:rPr>
                <w:color w:val="000000"/>
                <w:sz w:val="18"/>
                <w:szCs w:val="18"/>
              </w:rPr>
            </w:pPr>
            <w:r w:rsidRPr="00603922">
              <w:rPr>
                <w:color w:val="000000"/>
                <w:sz w:val="18"/>
                <w:szCs w:val="18"/>
              </w:rPr>
              <w:t>19</w:t>
            </w:r>
          </w:p>
        </w:tc>
        <w:tc>
          <w:tcPr>
            <w:tcW w:w="4525" w:type="dxa"/>
            <w:shd w:val="clear" w:color="auto" w:fill="auto"/>
            <w:noWrap/>
            <w:vAlign w:val="bottom"/>
            <w:hideMark/>
          </w:tcPr>
          <w:p w14:paraId="65AF6BF1" w14:textId="25450171" w:rsidR="00224102" w:rsidRPr="00603922" w:rsidRDefault="00224102" w:rsidP="00224102">
            <w:pPr>
              <w:rPr>
                <w:color w:val="000000"/>
                <w:sz w:val="18"/>
                <w:szCs w:val="18"/>
              </w:rPr>
            </w:pPr>
            <w:r w:rsidRPr="00603922">
              <w:rPr>
                <w:color w:val="000000"/>
                <w:sz w:val="18"/>
                <w:szCs w:val="18"/>
              </w:rPr>
              <w:t>Other cash inflows</w:t>
            </w:r>
          </w:p>
        </w:tc>
        <w:tc>
          <w:tcPr>
            <w:tcW w:w="1171" w:type="dxa"/>
            <w:shd w:val="clear" w:color="auto" w:fill="auto"/>
            <w:noWrap/>
            <w:vAlign w:val="center"/>
          </w:tcPr>
          <w:p w14:paraId="15CCEDC5" w14:textId="4A7B1301" w:rsidR="00224102" w:rsidRPr="002C2CE8" w:rsidRDefault="00224102" w:rsidP="002C2CE8">
            <w:pPr>
              <w:ind w:right="35"/>
              <w:jc w:val="right"/>
              <w:rPr>
                <w:color w:val="000000"/>
                <w:sz w:val="18"/>
                <w:szCs w:val="18"/>
              </w:rPr>
            </w:pPr>
            <w:r w:rsidRPr="002C2CE8">
              <w:rPr>
                <w:color w:val="000000"/>
                <w:sz w:val="18"/>
                <w:szCs w:val="18"/>
              </w:rPr>
              <w:t xml:space="preserve">                150 </w:t>
            </w:r>
          </w:p>
        </w:tc>
        <w:tc>
          <w:tcPr>
            <w:tcW w:w="1190" w:type="dxa"/>
            <w:shd w:val="clear" w:color="auto" w:fill="auto"/>
            <w:noWrap/>
            <w:vAlign w:val="center"/>
          </w:tcPr>
          <w:p w14:paraId="71CA63A6" w14:textId="610F0C37" w:rsidR="00224102" w:rsidRPr="002C2CE8" w:rsidRDefault="00224102" w:rsidP="002C2CE8">
            <w:pPr>
              <w:ind w:right="35"/>
              <w:jc w:val="right"/>
              <w:rPr>
                <w:color w:val="000000"/>
                <w:sz w:val="18"/>
                <w:szCs w:val="18"/>
              </w:rPr>
            </w:pPr>
            <w:r w:rsidRPr="002C2CE8">
              <w:rPr>
                <w:color w:val="000000"/>
                <w:sz w:val="18"/>
                <w:szCs w:val="18"/>
              </w:rPr>
              <w:t xml:space="preserve">574,985 </w:t>
            </w:r>
          </w:p>
        </w:tc>
        <w:tc>
          <w:tcPr>
            <w:tcW w:w="1286" w:type="dxa"/>
            <w:shd w:val="clear" w:color="auto" w:fill="auto"/>
            <w:noWrap/>
            <w:vAlign w:val="center"/>
          </w:tcPr>
          <w:p w14:paraId="7C5DC346" w14:textId="5CDCD80E" w:rsidR="00224102" w:rsidRPr="002C2CE8" w:rsidRDefault="00224102" w:rsidP="002C2CE8">
            <w:pPr>
              <w:ind w:right="35"/>
              <w:jc w:val="right"/>
              <w:rPr>
                <w:color w:val="000000"/>
                <w:sz w:val="18"/>
                <w:szCs w:val="18"/>
              </w:rPr>
            </w:pPr>
            <w:r w:rsidRPr="002C2CE8">
              <w:rPr>
                <w:color w:val="000000"/>
                <w:sz w:val="18"/>
                <w:szCs w:val="18"/>
              </w:rPr>
              <w:t xml:space="preserve">                150 </w:t>
            </w:r>
          </w:p>
        </w:tc>
        <w:tc>
          <w:tcPr>
            <w:tcW w:w="1275" w:type="dxa"/>
            <w:shd w:val="clear" w:color="auto" w:fill="auto"/>
            <w:noWrap/>
            <w:vAlign w:val="center"/>
          </w:tcPr>
          <w:p w14:paraId="34194AE4" w14:textId="488F67EB" w:rsidR="00224102" w:rsidRPr="002C2CE8" w:rsidRDefault="00224102" w:rsidP="002C2CE8">
            <w:pPr>
              <w:ind w:right="35"/>
              <w:jc w:val="right"/>
              <w:rPr>
                <w:color w:val="000000"/>
                <w:sz w:val="18"/>
                <w:szCs w:val="18"/>
              </w:rPr>
            </w:pPr>
            <w:r w:rsidRPr="002C2CE8">
              <w:rPr>
                <w:color w:val="000000"/>
                <w:sz w:val="18"/>
                <w:szCs w:val="18"/>
              </w:rPr>
              <w:t xml:space="preserve">         574,985 </w:t>
            </w:r>
          </w:p>
        </w:tc>
      </w:tr>
      <w:tr w:rsidR="00224102" w:rsidRPr="00603922" w14:paraId="0796A984" w14:textId="77777777" w:rsidTr="002C2CE8">
        <w:trPr>
          <w:trHeight w:val="227"/>
        </w:trPr>
        <w:tc>
          <w:tcPr>
            <w:tcW w:w="290" w:type="dxa"/>
            <w:shd w:val="clear" w:color="auto" w:fill="auto"/>
            <w:noWrap/>
            <w:vAlign w:val="center"/>
            <w:hideMark/>
          </w:tcPr>
          <w:p w14:paraId="4052B427" w14:textId="77777777" w:rsidR="00224102" w:rsidRPr="00603922" w:rsidRDefault="00224102" w:rsidP="00224102">
            <w:pPr>
              <w:jc w:val="center"/>
              <w:rPr>
                <w:bCs/>
                <w:color w:val="000000"/>
                <w:sz w:val="18"/>
                <w:szCs w:val="18"/>
              </w:rPr>
            </w:pPr>
            <w:r w:rsidRPr="00603922">
              <w:rPr>
                <w:bCs/>
                <w:color w:val="000000"/>
                <w:sz w:val="18"/>
                <w:szCs w:val="18"/>
              </w:rPr>
              <w:t>20</w:t>
            </w:r>
          </w:p>
        </w:tc>
        <w:tc>
          <w:tcPr>
            <w:tcW w:w="4525" w:type="dxa"/>
            <w:shd w:val="clear" w:color="auto" w:fill="auto"/>
            <w:noWrap/>
            <w:vAlign w:val="center"/>
            <w:hideMark/>
          </w:tcPr>
          <w:p w14:paraId="3FD6224C" w14:textId="50CA1978" w:rsidR="00224102" w:rsidRPr="00603922" w:rsidRDefault="00224102" w:rsidP="00224102">
            <w:pPr>
              <w:rPr>
                <w:b/>
                <w:bCs/>
                <w:color w:val="000000"/>
                <w:sz w:val="18"/>
                <w:szCs w:val="18"/>
              </w:rPr>
            </w:pPr>
            <w:r w:rsidRPr="00603922">
              <w:rPr>
                <w:b/>
                <w:bCs/>
                <w:color w:val="000000"/>
                <w:sz w:val="18"/>
                <w:szCs w:val="18"/>
              </w:rPr>
              <w:t>TOTAL CASH INFLOWS</w:t>
            </w:r>
          </w:p>
        </w:tc>
        <w:tc>
          <w:tcPr>
            <w:tcW w:w="1171" w:type="dxa"/>
            <w:shd w:val="clear" w:color="auto" w:fill="auto"/>
            <w:noWrap/>
            <w:vAlign w:val="center"/>
          </w:tcPr>
          <w:p w14:paraId="14EE8731" w14:textId="50186541" w:rsidR="00224102" w:rsidRPr="002C2CE8" w:rsidRDefault="00224102" w:rsidP="002C2CE8">
            <w:pPr>
              <w:ind w:right="35"/>
              <w:jc w:val="right"/>
              <w:rPr>
                <w:color w:val="000000"/>
                <w:sz w:val="18"/>
                <w:szCs w:val="18"/>
              </w:rPr>
            </w:pPr>
            <w:r w:rsidRPr="002C2CE8">
              <w:rPr>
                <w:color w:val="000000"/>
                <w:sz w:val="18"/>
                <w:szCs w:val="18"/>
              </w:rPr>
              <w:t xml:space="preserve">      1,879,118 </w:t>
            </w:r>
          </w:p>
        </w:tc>
        <w:tc>
          <w:tcPr>
            <w:tcW w:w="1190" w:type="dxa"/>
            <w:shd w:val="clear" w:color="auto" w:fill="auto"/>
            <w:noWrap/>
            <w:vAlign w:val="center"/>
          </w:tcPr>
          <w:p w14:paraId="1DC52484" w14:textId="0B8CB1CD" w:rsidR="00224102" w:rsidRPr="002C2CE8" w:rsidRDefault="00224102" w:rsidP="002C2CE8">
            <w:pPr>
              <w:ind w:right="35"/>
              <w:jc w:val="right"/>
              <w:rPr>
                <w:color w:val="000000"/>
                <w:sz w:val="18"/>
                <w:szCs w:val="18"/>
              </w:rPr>
            </w:pPr>
            <w:r w:rsidRPr="002C2CE8">
              <w:rPr>
                <w:color w:val="000000"/>
                <w:sz w:val="18"/>
                <w:szCs w:val="18"/>
              </w:rPr>
              <w:t xml:space="preserve">965,149 </w:t>
            </w:r>
          </w:p>
        </w:tc>
        <w:tc>
          <w:tcPr>
            <w:tcW w:w="1286" w:type="dxa"/>
            <w:shd w:val="clear" w:color="auto" w:fill="auto"/>
            <w:noWrap/>
            <w:vAlign w:val="center"/>
          </w:tcPr>
          <w:p w14:paraId="2F169AE5" w14:textId="6C6D0365" w:rsidR="00224102" w:rsidRPr="002C2CE8" w:rsidRDefault="00224102" w:rsidP="002C2CE8">
            <w:pPr>
              <w:ind w:right="35"/>
              <w:jc w:val="right"/>
              <w:rPr>
                <w:color w:val="000000"/>
                <w:sz w:val="18"/>
                <w:szCs w:val="18"/>
              </w:rPr>
            </w:pPr>
            <w:r w:rsidRPr="002C2CE8">
              <w:rPr>
                <w:color w:val="000000"/>
                <w:sz w:val="18"/>
                <w:szCs w:val="18"/>
              </w:rPr>
              <w:t xml:space="preserve">      1,063,094 </w:t>
            </w:r>
          </w:p>
        </w:tc>
        <w:tc>
          <w:tcPr>
            <w:tcW w:w="1275" w:type="dxa"/>
            <w:shd w:val="clear" w:color="auto" w:fill="auto"/>
            <w:noWrap/>
            <w:vAlign w:val="center"/>
          </w:tcPr>
          <w:p w14:paraId="11410CD9" w14:textId="76E0CA5F" w:rsidR="00224102" w:rsidRPr="002C2CE8" w:rsidRDefault="00224102" w:rsidP="002C2CE8">
            <w:pPr>
              <w:ind w:right="35"/>
              <w:jc w:val="right"/>
              <w:rPr>
                <w:color w:val="000000"/>
                <w:sz w:val="18"/>
                <w:szCs w:val="18"/>
              </w:rPr>
            </w:pPr>
            <w:r w:rsidRPr="002C2CE8">
              <w:rPr>
                <w:color w:val="000000"/>
                <w:sz w:val="18"/>
                <w:szCs w:val="18"/>
              </w:rPr>
              <w:t xml:space="preserve">         868,098 </w:t>
            </w:r>
          </w:p>
        </w:tc>
      </w:tr>
      <w:tr w:rsidR="00195EDC" w:rsidRPr="00603922" w14:paraId="53031FAC" w14:textId="77777777" w:rsidTr="002C2CE8">
        <w:trPr>
          <w:trHeight w:val="227"/>
        </w:trPr>
        <w:tc>
          <w:tcPr>
            <w:tcW w:w="290" w:type="dxa"/>
            <w:shd w:val="clear" w:color="000000" w:fill="FFFFFF"/>
            <w:noWrap/>
            <w:vAlign w:val="center"/>
            <w:hideMark/>
          </w:tcPr>
          <w:p w14:paraId="39F1E7C6" w14:textId="77777777" w:rsidR="00195EDC" w:rsidRPr="00603922" w:rsidRDefault="00195EDC" w:rsidP="00F77D55">
            <w:pPr>
              <w:rPr>
                <w:color w:val="000000"/>
                <w:sz w:val="18"/>
                <w:szCs w:val="18"/>
              </w:rPr>
            </w:pPr>
            <w:r w:rsidRPr="00603922">
              <w:rPr>
                <w:color w:val="000000"/>
                <w:sz w:val="18"/>
                <w:szCs w:val="18"/>
              </w:rPr>
              <w:t> </w:t>
            </w:r>
          </w:p>
        </w:tc>
        <w:tc>
          <w:tcPr>
            <w:tcW w:w="4525" w:type="dxa"/>
            <w:shd w:val="clear" w:color="000000" w:fill="FFFFFF"/>
            <w:noWrap/>
            <w:vAlign w:val="bottom"/>
            <w:hideMark/>
          </w:tcPr>
          <w:p w14:paraId="105560F6" w14:textId="77777777" w:rsidR="00195EDC" w:rsidRPr="00603922" w:rsidRDefault="00195EDC" w:rsidP="00F77D55">
            <w:pPr>
              <w:rPr>
                <w:color w:val="000000"/>
                <w:sz w:val="18"/>
                <w:szCs w:val="18"/>
              </w:rPr>
            </w:pPr>
            <w:r w:rsidRPr="00603922">
              <w:rPr>
                <w:color w:val="000000"/>
                <w:sz w:val="18"/>
                <w:szCs w:val="18"/>
              </w:rPr>
              <w:t> </w:t>
            </w:r>
          </w:p>
        </w:tc>
        <w:tc>
          <w:tcPr>
            <w:tcW w:w="1171" w:type="dxa"/>
            <w:shd w:val="clear" w:color="auto" w:fill="auto"/>
            <w:noWrap/>
            <w:vAlign w:val="bottom"/>
            <w:hideMark/>
          </w:tcPr>
          <w:p w14:paraId="36758287" w14:textId="77777777" w:rsidR="00195EDC" w:rsidRPr="002C2CE8" w:rsidRDefault="00195EDC" w:rsidP="002C2CE8">
            <w:pPr>
              <w:ind w:right="35"/>
              <w:jc w:val="right"/>
              <w:rPr>
                <w:color w:val="000000"/>
                <w:sz w:val="18"/>
                <w:szCs w:val="18"/>
              </w:rPr>
            </w:pPr>
          </w:p>
        </w:tc>
        <w:tc>
          <w:tcPr>
            <w:tcW w:w="1190" w:type="dxa"/>
            <w:shd w:val="clear" w:color="auto" w:fill="auto"/>
            <w:noWrap/>
            <w:vAlign w:val="bottom"/>
            <w:hideMark/>
          </w:tcPr>
          <w:p w14:paraId="551D419E" w14:textId="77777777" w:rsidR="00195EDC" w:rsidRPr="002C2CE8" w:rsidRDefault="00195EDC" w:rsidP="002C2CE8">
            <w:pPr>
              <w:ind w:right="35"/>
              <w:jc w:val="right"/>
              <w:rPr>
                <w:color w:val="000000"/>
                <w:sz w:val="18"/>
                <w:szCs w:val="18"/>
              </w:rPr>
            </w:pPr>
          </w:p>
        </w:tc>
        <w:tc>
          <w:tcPr>
            <w:tcW w:w="2561" w:type="dxa"/>
            <w:gridSpan w:val="2"/>
            <w:shd w:val="clear" w:color="auto" w:fill="auto"/>
            <w:vAlign w:val="bottom"/>
            <w:hideMark/>
          </w:tcPr>
          <w:p w14:paraId="5E6B3CAA" w14:textId="43DFFCCF" w:rsidR="00195EDC" w:rsidRPr="002C2CE8" w:rsidRDefault="00F506D8" w:rsidP="002C2CE8">
            <w:pPr>
              <w:ind w:right="35"/>
              <w:jc w:val="center"/>
              <w:rPr>
                <w:b/>
                <w:color w:val="000000"/>
                <w:sz w:val="18"/>
                <w:szCs w:val="18"/>
              </w:rPr>
            </w:pPr>
            <w:r w:rsidRPr="002C2CE8">
              <w:rPr>
                <w:b/>
                <w:color w:val="000000"/>
                <w:sz w:val="18"/>
                <w:szCs w:val="18"/>
                <w:lang w:val="tr-TR"/>
              </w:rPr>
              <w:t>Total Adjusted Values</w:t>
            </w:r>
          </w:p>
        </w:tc>
      </w:tr>
      <w:tr w:rsidR="00224102" w:rsidRPr="00603922" w14:paraId="3881A8E1" w14:textId="77777777" w:rsidTr="003E3C32">
        <w:trPr>
          <w:trHeight w:val="227"/>
        </w:trPr>
        <w:tc>
          <w:tcPr>
            <w:tcW w:w="290" w:type="dxa"/>
            <w:shd w:val="clear" w:color="auto" w:fill="auto"/>
            <w:noWrap/>
            <w:vAlign w:val="center"/>
            <w:hideMark/>
          </w:tcPr>
          <w:p w14:paraId="39E2E220" w14:textId="77777777" w:rsidR="00224102" w:rsidRPr="00603922" w:rsidRDefault="00224102" w:rsidP="00224102">
            <w:pPr>
              <w:jc w:val="center"/>
              <w:rPr>
                <w:bCs/>
                <w:color w:val="000000"/>
                <w:sz w:val="18"/>
                <w:szCs w:val="18"/>
              </w:rPr>
            </w:pPr>
            <w:r w:rsidRPr="00603922">
              <w:rPr>
                <w:bCs/>
                <w:color w:val="000000"/>
                <w:sz w:val="18"/>
                <w:szCs w:val="18"/>
              </w:rPr>
              <w:t>21</w:t>
            </w:r>
          </w:p>
        </w:tc>
        <w:tc>
          <w:tcPr>
            <w:tcW w:w="4525" w:type="dxa"/>
            <w:shd w:val="clear" w:color="auto" w:fill="auto"/>
            <w:noWrap/>
            <w:vAlign w:val="center"/>
            <w:hideMark/>
          </w:tcPr>
          <w:p w14:paraId="5009BAE5" w14:textId="47CF3003" w:rsidR="00224102" w:rsidRPr="00603922" w:rsidRDefault="00224102" w:rsidP="00224102">
            <w:pPr>
              <w:rPr>
                <w:b/>
                <w:bCs/>
                <w:color w:val="000000"/>
                <w:sz w:val="18"/>
                <w:szCs w:val="18"/>
              </w:rPr>
            </w:pPr>
            <w:r w:rsidRPr="00603922">
              <w:rPr>
                <w:b/>
                <w:bCs/>
                <w:color w:val="000000"/>
                <w:sz w:val="18"/>
                <w:szCs w:val="18"/>
              </w:rPr>
              <w:t>TOTAL HIGH QUALITY ASSETS STOCKS</w:t>
            </w:r>
          </w:p>
        </w:tc>
        <w:tc>
          <w:tcPr>
            <w:tcW w:w="1171" w:type="dxa"/>
            <w:shd w:val="clear" w:color="auto" w:fill="A6A6A6" w:themeFill="background1" w:themeFillShade="A6"/>
            <w:noWrap/>
            <w:vAlign w:val="bottom"/>
            <w:hideMark/>
          </w:tcPr>
          <w:p w14:paraId="2053B1CB" w14:textId="77777777" w:rsidR="00224102" w:rsidRPr="002C2CE8" w:rsidRDefault="00224102" w:rsidP="002C2CE8">
            <w:pPr>
              <w:ind w:right="35"/>
              <w:jc w:val="right"/>
              <w:rPr>
                <w:color w:val="000000"/>
                <w:sz w:val="18"/>
                <w:szCs w:val="18"/>
              </w:rPr>
            </w:pPr>
          </w:p>
        </w:tc>
        <w:tc>
          <w:tcPr>
            <w:tcW w:w="1190" w:type="dxa"/>
            <w:shd w:val="clear" w:color="auto" w:fill="A6A6A6" w:themeFill="background1" w:themeFillShade="A6"/>
            <w:noWrap/>
            <w:vAlign w:val="bottom"/>
            <w:hideMark/>
          </w:tcPr>
          <w:p w14:paraId="45D880FA" w14:textId="77777777" w:rsidR="00224102" w:rsidRPr="002C2CE8" w:rsidRDefault="00224102" w:rsidP="002C2CE8">
            <w:pPr>
              <w:ind w:right="35"/>
              <w:jc w:val="right"/>
              <w:rPr>
                <w:color w:val="000000"/>
                <w:sz w:val="18"/>
                <w:szCs w:val="18"/>
              </w:rPr>
            </w:pPr>
          </w:p>
        </w:tc>
        <w:tc>
          <w:tcPr>
            <w:tcW w:w="1286" w:type="dxa"/>
            <w:shd w:val="clear" w:color="auto" w:fill="auto"/>
            <w:noWrap/>
            <w:vAlign w:val="center"/>
          </w:tcPr>
          <w:p w14:paraId="1DD8D48F" w14:textId="467140BD" w:rsidR="00224102" w:rsidRPr="002C2CE8" w:rsidRDefault="00224102" w:rsidP="002C2CE8">
            <w:pPr>
              <w:ind w:right="35"/>
              <w:jc w:val="right"/>
              <w:rPr>
                <w:color w:val="000000"/>
                <w:sz w:val="18"/>
                <w:szCs w:val="18"/>
              </w:rPr>
            </w:pPr>
            <w:r w:rsidRPr="002C2CE8">
              <w:rPr>
                <w:color w:val="000000"/>
                <w:sz w:val="18"/>
                <w:szCs w:val="18"/>
              </w:rPr>
              <w:t xml:space="preserve">      1,996,311 </w:t>
            </w:r>
          </w:p>
        </w:tc>
        <w:tc>
          <w:tcPr>
            <w:tcW w:w="1275" w:type="dxa"/>
            <w:shd w:val="clear" w:color="auto" w:fill="auto"/>
            <w:noWrap/>
            <w:vAlign w:val="center"/>
          </w:tcPr>
          <w:p w14:paraId="225F2E58" w14:textId="40BF9C8F" w:rsidR="00224102" w:rsidRPr="002C2CE8" w:rsidRDefault="00224102" w:rsidP="002C2CE8">
            <w:pPr>
              <w:ind w:right="35"/>
              <w:jc w:val="right"/>
              <w:rPr>
                <w:color w:val="000000"/>
                <w:sz w:val="18"/>
                <w:szCs w:val="18"/>
              </w:rPr>
            </w:pPr>
            <w:r w:rsidRPr="002C2CE8">
              <w:rPr>
                <w:color w:val="000000"/>
                <w:sz w:val="18"/>
                <w:szCs w:val="18"/>
              </w:rPr>
              <w:t xml:space="preserve">      1,424,983 </w:t>
            </w:r>
          </w:p>
        </w:tc>
      </w:tr>
      <w:tr w:rsidR="00224102" w:rsidRPr="00603922" w14:paraId="5C8917EA" w14:textId="77777777" w:rsidTr="002C2CE8">
        <w:trPr>
          <w:trHeight w:val="227"/>
        </w:trPr>
        <w:tc>
          <w:tcPr>
            <w:tcW w:w="290" w:type="dxa"/>
            <w:shd w:val="clear" w:color="auto" w:fill="auto"/>
            <w:noWrap/>
            <w:vAlign w:val="center"/>
            <w:hideMark/>
          </w:tcPr>
          <w:p w14:paraId="6138A171" w14:textId="77777777" w:rsidR="00224102" w:rsidRPr="00603922" w:rsidRDefault="00224102" w:rsidP="00224102">
            <w:pPr>
              <w:jc w:val="center"/>
              <w:rPr>
                <w:bCs/>
                <w:color w:val="000000"/>
                <w:sz w:val="18"/>
                <w:szCs w:val="18"/>
              </w:rPr>
            </w:pPr>
            <w:r w:rsidRPr="00603922">
              <w:rPr>
                <w:bCs/>
                <w:color w:val="000000"/>
                <w:sz w:val="18"/>
                <w:szCs w:val="18"/>
              </w:rPr>
              <w:t>22</w:t>
            </w:r>
          </w:p>
        </w:tc>
        <w:tc>
          <w:tcPr>
            <w:tcW w:w="4525" w:type="dxa"/>
            <w:shd w:val="clear" w:color="auto" w:fill="auto"/>
            <w:noWrap/>
            <w:vAlign w:val="center"/>
            <w:hideMark/>
          </w:tcPr>
          <w:p w14:paraId="549666DB" w14:textId="11AE9986" w:rsidR="00224102" w:rsidRPr="00603922" w:rsidRDefault="00224102" w:rsidP="00224102">
            <w:pPr>
              <w:rPr>
                <w:b/>
                <w:bCs/>
                <w:color w:val="000000"/>
                <w:sz w:val="18"/>
                <w:szCs w:val="18"/>
              </w:rPr>
            </w:pPr>
            <w:r w:rsidRPr="00603922">
              <w:rPr>
                <w:b/>
                <w:bCs/>
                <w:color w:val="000000"/>
                <w:sz w:val="18"/>
                <w:szCs w:val="18"/>
              </w:rPr>
              <w:t>TOTAL CAH OUTFLOWS</w:t>
            </w:r>
          </w:p>
        </w:tc>
        <w:tc>
          <w:tcPr>
            <w:tcW w:w="1171" w:type="dxa"/>
            <w:shd w:val="clear" w:color="auto" w:fill="A6A6A6" w:themeFill="background1" w:themeFillShade="A6"/>
            <w:noWrap/>
            <w:vAlign w:val="bottom"/>
            <w:hideMark/>
          </w:tcPr>
          <w:p w14:paraId="28F4D499" w14:textId="77777777" w:rsidR="00224102" w:rsidRPr="002C2CE8" w:rsidRDefault="00224102" w:rsidP="002C2CE8">
            <w:pPr>
              <w:ind w:right="35"/>
              <w:jc w:val="right"/>
              <w:rPr>
                <w:color w:val="000000"/>
                <w:sz w:val="18"/>
                <w:szCs w:val="18"/>
              </w:rPr>
            </w:pPr>
          </w:p>
        </w:tc>
        <w:tc>
          <w:tcPr>
            <w:tcW w:w="1190" w:type="dxa"/>
            <w:shd w:val="clear" w:color="auto" w:fill="A6A6A6" w:themeFill="background1" w:themeFillShade="A6"/>
            <w:noWrap/>
            <w:vAlign w:val="bottom"/>
            <w:hideMark/>
          </w:tcPr>
          <w:p w14:paraId="538CC0C8" w14:textId="77777777" w:rsidR="00224102" w:rsidRPr="002C2CE8" w:rsidRDefault="00224102" w:rsidP="002C2CE8">
            <w:pPr>
              <w:ind w:right="35"/>
              <w:jc w:val="right"/>
              <w:rPr>
                <w:color w:val="000000"/>
                <w:sz w:val="18"/>
                <w:szCs w:val="18"/>
              </w:rPr>
            </w:pPr>
          </w:p>
        </w:tc>
        <w:tc>
          <w:tcPr>
            <w:tcW w:w="1286" w:type="dxa"/>
            <w:shd w:val="clear" w:color="auto" w:fill="auto"/>
            <w:noWrap/>
            <w:vAlign w:val="center"/>
          </w:tcPr>
          <w:p w14:paraId="59CC9245" w14:textId="3F8F807F" w:rsidR="00224102" w:rsidRPr="002C2CE8" w:rsidRDefault="00224102" w:rsidP="002C2CE8">
            <w:pPr>
              <w:ind w:right="35"/>
              <w:jc w:val="right"/>
              <w:rPr>
                <w:color w:val="000000"/>
                <w:sz w:val="18"/>
                <w:szCs w:val="18"/>
              </w:rPr>
            </w:pPr>
            <w:r w:rsidRPr="002C2CE8">
              <w:rPr>
                <w:color w:val="000000"/>
                <w:sz w:val="18"/>
                <w:szCs w:val="18"/>
              </w:rPr>
              <w:t xml:space="preserve">      1,957,638 </w:t>
            </w:r>
          </w:p>
        </w:tc>
        <w:tc>
          <w:tcPr>
            <w:tcW w:w="1275" w:type="dxa"/>
            <w:shd w:val="clear" w:color="auto" w:fill="auto"/>
            <w:noWrap/>
            <w:vAlign w:val="center"/>
          </w:tcPr>
          <w:p w14:paraId="18144433" w14:textId="08759B39" w:rsidR="00224102" w:rsidRPr="002C2CE8" w:rsidRDefault="00224102" w:rsidP="002C2CE8">
            <w:pPr>
              <w:ind w:right="35"/>
              <w:jc w:val="right"/>
              <w:rPr>
                <w:color w:val="000000"/>
                <w:sz w:val="18"/>
                <w:szCs w:val="18"/>
              </w:rPr>
            </w:pPr>
            <w:r w:rsidRPr="002C2CE8">
              <w:rPr>
                <w:color w:val="000000"/>
                <w:sz w:val="18"/>
                <w:szCs w:val="18"/>
              </w:rPr>
              <w:t xml:space="preserve">         806,779 </w:t>
            </w:r>
          </w:p>
        </w:tc>
      </w:tr>
      <w:tr w:rsidR="00603922" w:rsidRPr="007B1295" w14:paraId="041EDF44" w14:textId="77777777" w:rsidTr="002C2CE8">
        <w:trPr>
          <w:trHeight w:val="227"/>
        </w:trPr>
        <w:tc>
          <w:tcPr>
            <w:tcW w:w="290" w:type="dxa"/>
            <w:shd w:val="clear" w:color="auto" w:fill="auto"/>
            <w:noWrap/>
            <w:vAlign w:val="center"/>
            <w:hideMark/>
          </w:tcPr>
          <w:p w14:paraId="12675F7A" w14:textId="77777777" w:rsidR="00603922" w:rsidRPr="00603922" w:rsidRDefault="00603922" w:rsidP="00603922">
            <w:pPr>
              <w:jc w:val="center"/>
              <w:rPr>
                <w:bCs/>
                <w:color w:val="000000"/>
                <w:sz w:val="18"/>
                <w:szCs w:val="18"/>
              </w:rPr>
            </w:pPr>
            <w:r w:rsidRPr="00603922">
              <w:rPr>
                <w:bCs/>
                <w:color w:val="000000"/>
                <w:sz w:val="18"/>
                <w:szCs w:val="18"/>
              </w:rPr>
              <w:t>23</w:t>
            </w:r>
          </w:p>
        </w:tc>
        <w:tc>
          <w:tcPr>
            <w:tcW w:w="4525" w:type="dxa"/>
            <w:shd w:val="clear" w:color="auto" w:fill="auto"/>
            <w:noWrap/>
            <w:vAlign w:val="center"/>
            <w:hideMark/>
          </w:tcPr>
          <w:p w14:paraId="22C67B47" w14:textId="664F4FCF" w:rsidR="00603922" w:rsidRPr="00603922" w:rsidRDefault="00F506D8" w:rsidP="00F506D8">
            <w:pPr>
              <w:rPr>
                <w:b/>
                <w:bCs/>
                <w:color w:val="000000"/>
                <w:sz w:val="18"/>
                <w:szCs w:val="18"/>
              </w:rPr>
            </w:pPr>
            <w:r>
              <w:rPr>
                <w:b/>
                <w:bCs/>
                <w:color w:val="000000"/>
                <w:sz w:val="18"/>
                <w:szCs w:val="18"/>
              </w:rPr>
              <w:t>LIQUIDI</w:t>
            </w:r>
            <w:r w:rsidR="00603922" w:rsidRPr="00603922">
              <w:rPr>
                <w:b/>
                <w:bCs/>
                <w:color w:val="000000"/>
                <w:sz w:val="18"/>
                <w:szCs w:val="18"/>
              </w:rPr>
              <w:t>TY COVERAGE RAT</w:t>
            </w:r>
            <w:r>
              <w:rPr>
                <w:b/>
                <w:bCs/>
                <w:color w:val="000000"/>
                <w:sz w:val="18"/>
                <w:szCs w:val="18"/>
              </w:rPr>
              <w:t>I</w:t>
            </w:r>
            <w:r w:rsidR="00603922" w:rsidRPr="00603922">
              <w:rPr>
                <w:b/>
                <w:bCs/>
                <w:color w:val="000000"/>
                <w:sz w:val="18"/>
                <w:szCs w:val="18"/>
              </w:rPr>
              <w:t>O (%)</w:t>
            </w:r>
          </w:p>
        </w:tc>
        <w:tc>
          <w:tcPr>
            <w:tcW w:w="1171" w:type="dxa"/>
            <w:shd w:val="clear" w:color="auto" w:fill="A6A6A6" w:themeFill="background1" w:themeFillShade="A6"/>
            <w:noWrap/>
            <w:vAlign w:val="bottom"/>
            <w:hideMark/>
          </w:tcPr>
          <w:p w14:paraId="33740FDC" w14:textId="77777777" w:rsidR="00603922" w:rsidRPr="002C2CE8" w:rsidRDefault="00603922" w:rsidP="002C2CE8">
            <w:pPr>
              <w:ind w:right="35"/>
              <w:jc w:val="right"/>
              <w:rPr>
                <w:color w:val="000000"/>
                <w:sz w:val="18"/>
                <w:szCs w:val="18"/>
              </w:rPr>
            </w:pPr>
          </w:p>
        </w:tc>
        <w:tc>
          <w:tcPr>
            <w:tcW w:w="1190" w:type="dxa"/>
            <w:shd w:val="clear" w:color="auto" w:fill="A6A6A6" w:themeFill="background1" w:themeFillShade="A6"/>
            <w:noWrap/>
            <w:vAlign w:val="bottom"/>
            <w:hideMark/>
          </w:tcPr>
          <w:p w14:paraId="06914630" w14:textId="77777777" w:rsidR="00603922" w:rsidRPr="002C2CE8" w:rsidRDefault="00603922" w:rsidP="002C2CE8">
            <w:pPr>
              <w:ind w:right="35"/>
              <w:jc w:val="right"/>
              <w:rPr>
                <w:color w:val="000000"/>
                <w:sz w:val="18"/>
                <w:szCs w:val="18"/>
              </w:rPr>
            </w:pPr>
          </w:p>
        </w:tc>
        <w:tc>
          <w:tcPr>
            <w:tcW w:w="1286" w:type="dxa"/>
            <w:shd w:val="clear" w:color="auto" w:fill="auto"/>
            <w:noWrap/>
            <w:vAlign w:val="center"/>
          </w:tcPr>
          <w:p w14:paraId="0E3E5C0F" w14:textId="77777777" w:rsidR="00603922" w:rsidRPr="002C2CE8" w:rsidRDefault="00603922" w:rsidP="002C2CE8">
            <w:pPr>
              <w:ind w:right="35"/>
              <w:jc w:val="right"/>
              <w:rPr>
                <w:color w:val="000000"/>
                <w:sz w:val="18"/>
                <w:szCs w:val="18"/>
              </w:rPr>
            </w:pPr>
            <w:r w:rsidRPr="002C2CE8">
              <w:rPr>
                <w:color w:val="000000"/>
                <w:sz w:val="18"/>
                <w:szCs w:val="18"/>
              </w:rPr>
              <w:t>102%</w:t>
            </w:r>
          </w:p>
        </w:tc>
        <w:tc>
          <w:tcPr>
            <w:tcW w:w="1275" w:type="dxa"/>
            <w:shd w:val="clear" w:color="auto" w:fill="auto"/>
            <w:noWrap/>
            <w:vAlign w:val="center"/>
          </w:tcPr>
          <w:p w14:paraId="095E5CE8" w14:textId="77777777" w:rsidR="00603922" w:rsidRPr="002C2CE8" w:rsidRDefault="00603922" w:rsidP="002C2CE8">
            <w:pPr>
              <w:ind w:right="35"/>
              <w:jc w:val="right"/>
              <w:rPr>
                <w:color w:val="000000"/>
                <w:sz w:val="18"/>
                <w:szCs w:val="18"/>
              </w:rPr>
            </w:pPr>
            <w:r w:rsidRPr="002C2CE8">
              <w:rPr>
                <w:color w:val="000000"/>
                <w:sz w:val="18"/>
                <w:szCs w:val="18"/>
              </w:rPr>
              <w:t>216%</w:t>
            </w:r>
          </w:p>
        </w:tc>
      </w:tr>
    </w:tbl>
    <w:p w14:paraId="40F65671" w14:textId="0FE879B4" w:rsidR="00603922" w:rsidRPr="00603922" w:rsidRDefault="00603922" w:rsidP="00603922">
      <w:pPr>
        <w:spacing w:before="60" w:after="120" w:line="260" w:lineRule="exact"/>
        <w:jc w:val="both"/>
        <w:rPr>
          <w:sz w:val="20"/>
          <w:szCs w:val="20"/>
          <w:lang w:val="en"/>
        </w:rPr>
      </w:pPr>
      <w:r w:rsidRPr="00603922">
        <w:rPr>
          <w:sz w:val="20"/>
          <w:szCs w:val="20"/>
          <w:lang w:val="en"/>
        </w:rPr>
        <w:t>(*)</w:t>
      </w:r>
      <w:r>
        <w:rPr>
          <w:sz w:val="20"/>
          <w:szCs w:val="20"/>
          <w:lang w:val="en"/>
        </w:rPr>
        <w:t xml:space="preserve"> </w:t>
      </w:r>
      <w:r w:rsidR="00F506D8">
        <w:rPr>
          <w:sz w:val="20"/>
          <w:szCs w:val="20"/>
          <w:lang w:val="en"/>
        </w:rPr>
        <w:t>The average of the last three months liquidity coverage ratio calculated by monthly and weekly simple averages.</w:t>
      </w:r>
    </w:p>
    <w:p w14:paraId="3F78C8C1" w14:textId="77777777" w:rsidR="00195EDC" w:rsidRPr="00E46F2D" w:rsidRDefault="00195EDC" w:rsidP="00195EDC">
      <w:pPr>
        <w:spacing w:after="120" w:line="260" w:lineRule="exact"/>
        <w:jc w:val="both"/>
        <w:rPr>
          <w:rFonts w:eastAsia="TrebuchetMS-Identity-H" w:cs="TrebuchetMS-Identity-H"/>
          <w:sz w:val="20"/>
          <w:szCs w:val="20"/>
          <w:highlight w:val="cyan"/>
        </w:rPr>
      </w:pPr>
      <w:r w:rsidRPr="00E46F2D">
        <w:rPr>
          <w:rFonts w:eastAsia="TrebuchetMS-Identity-H" w:cs="TrebuchetMS-Identity-H"/>
          <w:sz w:val="20"/>
          <w:szCs w:val="20"/>
          <w:highlight w:val="cyan"/>
        </w:rPr>
        <w:br w:type="page"/>
      </w:r>
    </w:p>
    <w:p w14:paraId="54823084" w14:textId="5A457657" w:rsidR="00C60E8A" w:rsidRPr="00603922" w:rsidRDefault="00A041CD" w:rsidP="00C60E8A">
      <w:pPr>
        <w:pageBreakBefore/>
        <w:jc w:val="both"/>
        <w:rPr>
          <w:b/>
          <w:sz w:val="20"/>
          <w:szCs w:val="20"/>
        </w:rPr>
      </w:pPr>
      <w:r w:rsidRPr="00A041CD">
        <w:rPr>
          <w:b/>
          <w:sz w:val="20"/>
          <w:szCs w:val="20"/>
        </w:rPr>
        <w:lastRenderedPageBreak/>
        <w:t>INFORMATION ON THE FINANCIAL POSITION OF THE GROUP (Continued)</w:t>
      </w:r>
    </w:p>
    <w:p w14:paraId="218C0BF3" w14:textId="77777777" w:rsidR="00C60E8A" w:rsidRPr="00603922" w:rsidRDefault="00C60E8A" w:rsidP="008477F3">
      <w:pPr>
        <w:pStyle w:val="Heading2"/>
        <w:numPr>
          <w:ilvl w:val="0"/>
          <w:numId w:val="71"/>
        </w:numPr>
        <w:tabs>
          <w:tab w:val="left" w:pos="0"/>
        </w:tabs>
        <w:ind w:left="0" w:firstLine="0"/>
        <w:jc w:val="both"/>
        <w:rPr>
          <w:rFonts w:ascii="Times New Roman" w:hAnsi="Times New Roman"/>
          <w:sz w:val="20"/>
        </w:rPr>
      </w:pPr>
      <w:r w:rsidRPr="00604C75">
        <w:rPr>
          <w:rFonts w:ascii="Times New Roman" w:hAnsi="Times New Roman"/>
          <w:noProof/>
          <w:sz w:val="20"/>
        </w:rPr>
        <w:t>Explanations</w:t>
      </w:r>
      <w:r w:rsidRPr="00604C75" w:rsidDel="00110417">
        <w:rPr>
          <w:rFonts w:ascii="Times New Roman" w:hAnsi="Times New Roman"/>
          <w:caps/>
          <w:sz w:val="20"/>
        </w:rPr>
        <w:t xml:space="preserve"> </w:t>
      </w:r>
      <w:r w:rsidRPr="00604C75">
        <w:rPr>
          <w:rFonts w:ascii="Times New Roman" w:hAnsi="Times New Roman"/>
          <w:sz w:val="20"/>
        </w:rPr>
        <w:t>on Liquidity Risk</w:t>
      </w:r>
      <w:r w:rsidRPr="00604C75" w:rsidDel="00110417">
        <w:rPr>
          <w:rFonts w:ascii="Times New Roman" w:hAnsi="Times New Roman"/>
          <w:caps/>
          <w:sz w:val="20"/>
        </w:rPr>
        <w:t xml:space="preserve"> </w:t>
      </w:r>
      <w:r w:rsidRPr="00604C75">
        <w:rPr>
          <w:rFonts w:ascii="Times New Roman" w:hAnsi="Times New Roman"/>
          <w:sz w:val="20"/>
        </w:rPr>
        <w:t>(Continued)</w:t>
      </w:r>
    </w:p>
    <w:p w14:paraId="0984C4FA" w14:textId="50823723" w:rsidR="00C60E8A" w:rsidRPr="00DD6C39" w:rsidRDefault="00C60E8A" w:rsidP="00A13D1D">
      <w:pPr>
        <w:spacing w:before="120"/>
        <w:ind w:firstLine="720"/>
        <w:jc w:val="both"/>
        <w:rPr>
          <w:b/>
          <w:sz w:val="20"/>
          <w:szCs w:val="20"/>
        </w:rPr>
      </w:pPr>
      <w:r w:rsidRPr="00DD6C39">
        <w:rPr>
          <w:b/>
          <w:sz w:val="20"/>
          <w:szCs w:val="20"/>
        </w:rPr>
        <w:t xml:space="preserve">Liquidity risk management and liquidity coverage ratio </w:t>
      </w:r>
      <w:r w:rsidR="00A13D1D">
        <w:rPr>
          <w:b/>
          <w:sz w:val="20"/>
          <w:szCs w:val="20"/>
        </w:rPr>
        <w:t>(Continued)</w:t>
      </w:r>
    </w:p>
    <w:p w14:paraId="6135640F" w14:textId="29EC6ADC" w:rsidR="00C60E8A" w:rsidRPr="00C60E8A" w:rsidRDefault="00C60E8A" w:rsidP="008477F3">
      <w:pPr>
        <w:pStyle w:val="ListParagraph"/>
        <w:numPr>
          <w:ilvl w:val="0"/>
          <w:numId w:val="68"/>
        </w:numPr>
        <w:tabs>
          <w:tab w:val="clear" w:pos="1260"/>
        </w:tabs>
        <w:spacing w:before="120"/>
        <w:ind w:left="0" w:firstLine="0"/>
        <w:rPr>
          <w:b/>
          <w:bCs/>
          <w:sz w:val="20"/>
          <w:szCs w:val="20"/>
        </w:rPr>
      </w:pPr>
      <w:r w:rsidRPr="00C60E8A">
        <w:rPr>
          <w:b/>
          <w:bCs/>
          <w:sz w:val="20"/>
          <w:szCs w:val="20"/>
        </w:rPr>
        <w:t>Liquidity Coverage Ratio (Continued)</w:t>
      </w:r>
    </w:p>
    <w:p w14:paraId="0C52B570" w14:textId="77777777" w:rsidR="00195EDC" w:rsidRPr="00C60E8A" w:rsidRDefault="00195EDC" w:rsidP="00195EDC">
      <w:pPr>
        <w:rPr>
          <w:sz w:val="20"/>
          <w:szCs w:val="20"/>
        </w:rPr>
      </w:pPr>
    </w:p>
    <w:tbl>
      <w:tblPr>
        <w:tblW w:w="964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90"/>
        <w:gridCol w:w="4251"/>
        <w:gridCol w:w="1129"/>
        <w:gridCol w:w="1299"/>
        <w:gridCol w:w="1400"/>
        <w:gridCol w:w="1275"/>
      </w:tblGrid>
      <w:tr w:rsidR="00C60E8A" w:rsidRPr="00C60E8A" w14:paraId="78DC916B" w14:textId="77777777" w:rsidTr="00F77D55">
        <w:trPr>
          <w:trHeight w:val="385"/>
        </w:trPr>
        <w:tc>
          <w:tcPr>
            <w:tcW w:w="4541" w:type="dxa"/>
            <w:gridSpan w:val="2"/>
            <w:vMerge w:val="restart"/>
            <w:shd w:val="clear" w:color="auto" w:fill="auto"/>
            <w:vAlign w:val="bottom"/>
            <w:hideMark/>
          </w:tcPr>
          <w:p w14:paraId="5C0737C4" w14:textId="0441264E" w:rsidR="00C60E8A" w:rsidRPr="00C60E8A" w:rsidRDefault="00C60E8A" w:rsidP="00C60E8A">
            <w:pPr>
              <w:rPr>
                <w:b/>
                <w:bCs/>
                <w:color w:val="000000"/>
                <w:sz w:val="18"/>
                <w:szCs w:val="18"/>
              </w:rPr>
            </w:pPr>
            <w:r w:rsidRPr="00C60E8A">
              <w:rPr>
                <w:b/>
                <w:bCs/>
                <w:color w:val="000000"/>
                <w:sz w:val="18"/>
                <w:szCs w:val="18"/>
                <w:lang w:val="tr-TR"/>
              </w:rPr>
              <w:t>Previous Period</w:t>
            </w:r>
          </w:p>
        </w:tc>
        <w:tc>
          <w:tcPr>
            <w:tcW w:w="2428" w:type="dxa"/>
            <w:gridSpan w:val="2"/>
            <w:shd w:val="clear" w:color="auto" w:fill="auto"/>
            <w:hideMark/>
          </w:tcPr>
          <w:p w14:paraId="1BF34F3E" w14:textId="32061FCD" w:rsidR="00C60E8A" w:rsidRPr="00C60E8A" w:rsidRDefault="00C60E8A" w:rsidP="00C60E8A">
            <w:pPr>
              <w:jc w:val="center"/>
              <w:rPr>
                <w:b/>
                <w:color w:val="000000"/>
                <w:sz w:val="18"/>
                <w:szCs w:val="18"/>
              </w:rPr>
            </w:pPr>
            <w:r w:rsidRPr="00C60E8A">
              <w:rPr>
                <w:b/>
                <w:color w:val="000000"/>
                <w:sz w:val="18"/>
                <w:szCs w:val="18"/>
              </w:rPr>
              <w:t>Consideration Ratio Unapplied to Total Value (*)</w:t>
            </w:r>
          </w:p>
        </w:tc>
        <w:tc>
          <w:tcPr>
            <w:tcW w:w="2675" w:type="dxa"/>
            <w:gridSpan w:val="2"/>
            <w:shd w:val="clear" w:color="auto" w:fill="auto"/>
            <w:hideMark/>
          </w:tcPr>
          <w:p w14:paraId="3E41AED2" w14:textId="59C6A3B9" w:rsidR="00C60E8A" w:rsidRPr="00C60E8A" w:rsidRDefault="00C60E8A" w:rsidP="00C60E8A">
            <w:pPr>
              <w:jc w:val="center"/>
              <w:rPr>
                <w:b/>
                <w:color w:val="000000"/>
                <w:sz w:val="18"/>
                <w:szCs w:val="18"/>
              </w:rPr>
            </w:pPr>
            <w:r w:rsidRPr="00C60E8A">
              <w:rPr>
                <w:b/>
                <w:color w:val="000000"/>
                <w:sz w:val="18"/>
                <w:szCs w:val="18"/>
              </w:rPr>
              <w:t xml:space="preserve"> Consideration Ratio Applied to Total Value (*)</w:t>
            </w:r>
          </w:p>
        </w:tc>
      </w:tr>
      <w:tr w:rsidR="00C60E8A" w:rsidRPr="00C60E8A" w14:paraId="586AE55C" w14:textId="77777777" w:rsidTr="00F77D55">
        <w:trPr>
          <w:trHeight w:val="135"/>
        </w:trPr>
        <w:tc>
          <w:tcPr>
            <w:tcW w:w="4541" w:type="dxa"/>
            <w:gridSpan w:val="2"/>
            <w:vMerge/>
            <w:vAlign w:val="center"/>
            <w:hideMark/>
          </w:tcPr>
          <w:p w14:paraId="40C39BA0" w14:textId="77777777" w:rsidR="00C60E8A" w:rsidRPr="00C60E8A" w:rsidRDefault="00C60E8A" w:rsidP="00C60E8A">
            <w:pPr>
              <w:rPr>
                <w:b/>
                <w:bCs/>
                <w:color w:val="000000"/>
                <w:sz w:val="18"/>
                <w:szCs w:val="18"/>
              </w:rPr>
            </w:pPr>
          </w:p>
        </w:tc>
        <w:tc>
          <w:tcPr>
            <w:tcW w:w="0" w:type="auto"/>
            <w:shd w:val="clear" w:color="auto" w:fill="auto"/>
            <w:noWrap/>
            <w:vAlign w:val="bottom"/>
            <w:hideMark/>
          </w:tcPr>
          <w:p w14:paraId="2B361661" w14:textId="2E860835" w:rsidR="00C60E8A" w:rsidRPr="00C60E8A" w:rsidRDefault="00F506D8" w:rsidP="00C60E8A">
            <w:pPr>
              <w:jc w:val="center"/>
              <w:rPr>
                <w:color w:val="000000"/>
                <w:sz w:val="18"/>
                <w:szCs w:val="18"/>
              </w:rPr>
            </w:pPr>
            <w:r>
              <w:rPr>
                <w:color w:val="000000"/>
                <w:sz w:val="18"/>
                <w:szCs w:val="18"/>
              </w:rPr>
              <w:t>TL</w:t>
            </w:r>
            <w:r w:rsidR="00C60E8A" w:rsidRPr="00C60E8A">
              <w:rPr>
                <w:color w:val="000000"/>
                <w:sz w:val="18"/>
                <w:szCs w:val="18"/>
              </w:rPr>
              <w:t>+FC</w:t>
            </w:r>
          </w:p>
        </w:tc>
        <w:tc>
          <w:tcPr>
            <w:tcW w:w="0" w:type="auto"/>
            <w:shd w:val="clear" w:color="auto" w:fill="auto"/>
            <w:noWrap/>
            <w:vAlign w:val="bottom"/>
            <w:hideMark/>
          </w:tcPr>
          <w:p w14:paraId="55054521" w14:textId="0CB91FAE" w:rsidR="00C60E8A" w:rsidRPr="00C60E8A" w:rsidRDefault="00C60E8A" w:rsidP="00C60E8A">
            <w:pPr>
              <w:jc w:val="center"/>
              <w:rPr>
                <w:color w:val="000000"/>
                <w:sz w:val="18"/>
                <w:szCs w:val="18"/>
              </w:rPr>
            </w:pPr>
            <w:r w:rsidRPr="00C60E8A">
              <w:rPr>
                <w:color w:val="000000"/>
                <w:sz w:val="18"/>
                <w:szCs w:val="18"/>
              </w:rPr>
              <w:t>FC</w:t>
            </w:r>
          </w:p>
        </w:tc>
        <w:tc>
          <w:tcPr>
            <w:tcW w:w="1400" w:type="dxa"/>
            <w:shd w:val="clear" w:color="auto" w:fill="auto"/>
            <w:noWrap/>
            <w:vAlign w:val="bottom"/>
            <w:hideMark/>
          </w:tcPr>
          <w:p w14:paraId="4639DE2D" w14:textId="1EA8DAC7" w:rsidR="00C60E8A" w:rsidRPr="00C60E8A" w:rsidRDefault="00F506D8" w:rsidP="00F506D8">
            <w:pPr>
              <w:jc w:val="center"/>
              <w:rPr>
                <w:color w:val="000000"/>
                <w:sz w:val="18"/>
                <w:szCs w:val="18"/>
              </w:rPr>
            </w:pPr>
            <w:r>
              <w:rPr>
                <w:color w:val="000000"/>
                <w:sz w:val="18"/>
                <w:szCs w:val="18"/>
              </w:rPr>
              <w:t>TL</w:t>
            </w:r>
            <w:r w:rsidR="00C60E8A" w:rsidRPr="00C60E8A">
              <w:rPr>
                <w:color w:val="000000"/>
                <w:sz w:val="18"/>
                <w:szCs w:val="18"/>
              </w:rPr>
              <w:t>+FC</w:t>
            </w:r>
          </w:p>
        </w:tc>
        <w:tc>
          <w:tcPr>
            <w:tcW w:w="1275" w:type="dxa"/>
            <w:shd w:val="clear" w:color="auto" w:fill="auto"/>
            <w:noWrap/>
            <w:vAlign w:val="bottom"/>
            <w:hideMark/>
          </w:tcPr>
          <w:p w14:paraId="350D405C" w14:textId="137CE5A0" w:rsidR="00C60E8A" w:rsidRPr="00C60E8A" w:rsidRDefault="00C60E8A" w:rsidP="00C60E8A">
            <w:pPr>
              <w:jc w:val="center"/>
              <w:rPr>
                <w:color w:val="000000"/>
                <w:sz w:val="18"/>
                <w:szCs w:val="18"/>
              </w:rPr>
            </w:pPr>
            <w:r w:rsidRPr="00C60E8A">
              <w:rPr>
                <w:color w:val="000000"/>
                <w:sz w:val="18"/>
                <w:szCs w:val="18"/>
              </w:rPr>
              <w:t>FC</w:t>
            </w:r>
          </w:p>
        </w:tc>
      </w:tr>
      <w:tr w:rsidR="00195EDC" w:rsidRPr="00C60E8A" w14:paraId="193A086C" w14:textId="77777777" w:rsidTr="00F77D55">
        <w:trPr>
          <w:trHeight w:val="224"/>
        </w:trPr>
        <w:tc>
          <w:tcPr>
            <w:tcW w:w="9644" w:type="dxa"/>
            <w:gridSpan w:val="6"/>
            <w:shd w:val="clear" w:color="auto" w:fill="auto"/>
            <w:vAlign w:val="center"/>
            <w:hideMark/>
          </w:tcPr>
          <w:p w14:paraId="17EDCF65" w14:textId="0DEB7FE5" w:rsidR="00195EDC" w:rsidRPr="00C60E8A" w:rsidRDefault="00C60E8A" w:rsidP="00F77D55">
            <w:pPr>
              <w:rPr>
                <w:b/>
                <w:bCs/>
                <w:color w:val="000000"/>
                <w:sz w:val="18"/>
                <w:szCs w:val="18"/>
              </w:rPr>
            </w:pPr>
            <w:r w:rsidRPr="00C60E8A">
              <w:rPr>
                <w:b/>
                <w:bCs/>
                <w:color w:val="000000"/>
                <w:sz w:val="18"/>
                <w:szCs w:val="18"/>
                <w:lang w:val="tr-TR"/>
              </w:rPr>
              <w:t>HIGH QUALITY LIQUID ASSETS</w:t>
            </w:r>
          </w:p>
        </w:tc>
      </w:tr>
      <w:tr w:rsidR="00F506D8" w:rsidRPr="00C60E8A" w14:paraId="5E6A71B3" w14:textId="77777777" w:rsidTr="00F506D8">
        <w:trPr>
          <w:trHeight w:val="291"/>
        </w:trPr>
        <w:tc>
          <w:tcPr>
            <w:tcW w:w="290" w:type="dxa"/>
            <w:shd w:val="clear" w:color="auto" w:fill="auto"/>
            <w:noWrap/>
            <w:vAlign w:val="bottom"/>
            <w:hideMark/>
          </w:tcPr>
          <w:p w14:paraId="6261C996" w14:textId="14B2085C" w:rsidR="00F506D8" w:rsidRPr="00C60E8A" w:rsidRDefault="00F506D8" w:rsidP="00F506D8">
            <w:pPr>
              <w:jc w:val="center"/>
              <w:rPr>
                <w:color w:val="000000"/>
                <w:sz w:val="18"/>
                <w:szCs w:val="18"/>
              </w:rPr>
            </w:pPr>
            <w:r w:rsidRPr="00603922">
              <w:rPr>
                <w:color w:val="000000"/>
                <w:sz w:val="18"/>
                <w:szCs w:val="18"/>
              </w:rPr>
              <w:t>1</w:t>
            </w:r>
          </w:p>
        </w:tc>
        <w:tc>
          <w:tcPr>
            <w:tcW w:w="4251" w:type="dxa"/>
            <w:shd w:val="clear" w:color="auto" w:fill="auto"/>
            <w:noWrap/>
            <w:vAlign w:val="bottom"/>
            <w:hideMark/>
          </w:tcPr>
          <w:p w14:paraId="5C7F5BBA" w14:textId="0BF7856F" w:rsidR="00F506D8" w:rsidRPr="00C60E8A" w:rsidRDefault="00F506D8" w:rsidP="00F506D8">
            <w:pPr>
              <w:rPr>
                <w:color w:val="000000"/>
                <w:sz w:val="18"/>
                <w:szCs w:val="18"/>
              </w:rPr>
            </w:pPr>
            <w:r>
              <w:rPr>
                <w:color w:val="000000"/>
                <w:sz w:val="18"/>
                <w:szCs w:val="18"/>
                <w:lang w:val="tr-TR"/>
              </w:rPr>
              <w:t>High Quality Liquid A</w:t>
            </w:r>
            <w:r w:rsidRPr="00603922">
              <w:rPr>
                <w:color w:val="000000"/>
                <w:sz w:val="18"/>
                <w:szCs w:val="18"/>
                <w:lang w:val="tr-TR"/>
              </w:rPr>
              <w:t>ssets</w:t>
            </w:r>
          </w:p>
        </w:tc>
        <w:tc>
          <w:tcPr>
            <w:tcW w:w="0" w:type="auto"/>
            <w:shd w:val="clear" w:color="auto" w:fill="A6A6A6" w:themeFill="background1" w:themeFillShade="A6"/>
            <w:noWrap/>
            <w:vAlign w:val="bottom"/>
          </w:tcPr>
          <w:p w14:paraId="1CEEDF6A" w14:textId="77777777" w:rsidR="00F506D8" w:rsidRPr="003E3C32" w:rsidRDefault="00F506D8" w:rsidP="00F506D8">
            <w:pPr>
              <w:jc w:val="right"/>
              <w:rPr>
                <w:color w:val="000000"/>
                <w:sz w:val="18"/>
                <w:szCs w:val="18"/>
              </w:rPr>
            </w:pPr>
          </w:p>
        </w:tc>
        <w:tc>
          <w:tcPr>
            <w:tcW w:w="0" w:type="auto"/>
            <w:shd w:val="clear" w:color="auto" w:fill="A6A6A6" w:themeFill="background1" w:themeFillShade="A6"/>
            <w:noWrap/>
            <w:vAlign w:val="bottom"/>
          </w:tcPr>
          <w:p w14:paraId="12FDAE1E" w14:textId="77777777" w:rsidR="00F506D8" w:rsidRPr="003E3C32" w:rsidRDefault="00F506D8" w:rsidP="00F506D8">
            <w:pPr>
              <w:jc w:val="right"/>
              <w:rPr>
                <w:color w:val="000000"/>
                <w:sz w:val="18"/>
                <w:szCs w:val="18"/>
              </w:rPr>
            </w:pPr>
          </w:p>
        </w:tc>
        <w:tc>
          <w:tcPr>
            <w:tcW w:w="1400" w:type="dxa"/>
            <w:shd w:val="clear" w:color="auto" w:fill="auto"/>
            <w:noWrap/>
            <w:vAlign w:val="bottom"/>
          </w:tcPr>
          <w:p w14:paraId="290D68C0" w14:textId="3C78A1DA" w:rsidR="00F506D8" w:rsidRPr="003E3C32" w:rsidRDefault="00F506D8" w:rsidP="00F506D8">
            <w:pPr>
              <w:jc w:val="right"/>
              <w:rPr>
                <w:color w:val="000000"/>
                <w:sz w:val="18"/>
                <w:szCs w:val="18"/>
              </w:rPr>
            </w:pPr>
            <w:r w:rsidRPr="003E3C32">
              <w:rPr>
                <w:color w:val="000000"/>
                <w:sz w:val="18"/>
                <w:szCs w:val="18"/>
              </w:rPr>
              <w:t xml:space="preserve">      2,085,567 </w:t>
            </w:r>
          </w:p>
        </w:tc>
        <w:tc>
          <w:tcPr>
            <w:tcW w:w="1275" w:type="dxa"/>
            <w:shd w:val="clear" w:color="auto" w:fill="auto"/>
            <w:noWrap/>
            <w:vAlign w:val="bottom"/>
          </w:tcPr>
          <w:p w14:paraId="02785BE7" w14:textId="64C0A6C0" w:rsidR="00F506D8" w:rsidRPr="003E3C32" w:rsidRDefault="00F506D8" w:rsidP="00F506D8">
            <w:pPr>
              <w:jc w:val="right"/>
              <w:rPr>
                <w:color w:val="000000"/>
                <w:sz w:val="18"/>
                <w:szCs w:val="18"/>
              </w:rPr>
            </w:pPr>
            <w:r w:rsidRPr="003E3C32">
              <w:rPr>
                <w:color w:val="000000"/>
                <w:sz w:val="18"/>
                <w:szCs w:val="18"/>
              </w:rPr>
              <w:t xml:space="preserve">      1,420,923 </w:t>
            </w:r>
          </w:p>
        </w:tc>
      </w:tr>
      <w:tr w:rsidR="00195EDC" w:rsidRPr="00C60E8A" w14:paraId="666970EB" w14:textId="77777777" w:rsidTr="00F77D55">
        <w:trPr>
          <w:trHeight w:hRule="exact" w:val="290"/>
        </w:trPr>
        <w:tc>
          <w:tcPr>
            <w:tcW w:w="9644" w:type="dxa"/>
            <w:gridSpan w:val="6"/>
            <w:shd w:val="clear" w:color="auto" w:fill="auto"/>
            <w:noWrap/>
            <w:vAlign w:val="bottom"/>
          </w:tcPr>
          <w:p w14:paraId="3498D67E" w14:textId="2910A2B0" w:rsidR="00195EDC" w:rsidRPr="00C60E8A" w:rsidRDefault="00C60E8A" w:rsidP="00F77D55">
            <w:pPr>
              <w:rPr>
                <w:b/>
                <w:bCs/>
                <w:color w:val="000000"/>
                <w:sz w:val="18"/>
                <w:szCs w:val="18"/>
              </w:rPr>
            </w:pPr>
            <w:r w:rsidRPr="00C60E8A">
              <w:rPr>
                <w:b/>
                <w:bCs/>
                <w:color w:val="000000"/>
                <w:sz w:val="18"/>
                <w:szCs w:val="18"/>
                <w:lang w:val="tr-TR"/>
              </w:rPr>
              <w:t>CASH OUTFLOWS</w:t>
            </w:r>
          </w:p>
        </w:tc>
      </w:tr>
      <w:tr w:rsidR="00F506D8" w:rsidRPr="00C60E8A" w14:paraId="477166C7" w14:textId="77777777" w:rsidTr="00F77D55">
        <w:trPr>
          <w:trHeight w:val="291"/>
        </w:trPr>
        <w:tc>
          <w:tcPr>
            <w:tcW w:w="0" w:type="auto"/>
            <w:shd w:val="clear" w:color="auto" w:fill="auto"/>
            <w:noWrap/>
            <w:vAlign w:val="center"/>
            <w:hideMark/>
          </w:tcPr>
          <w:p w14:paraId="761DDCB5" w14:textId="36C27FA5" w:rsidR="00F506D8" w:rsidRPr="00C60E8A" w:rsidRDefault="00F506D8" w:rsidP="00F506D8">
            <w:pPr>
              <w:jc w:val="center"/>
              <w:rPr>
                <w:color w:val="000000"/>
                <w:sz w:val="18"/>
                <w:szCs w:val="18"/>
              </w:rPr>
            </w:pPr>
            <w:r w:rsidRPr="00603922">
              <w:rPr>
                <w:color w:val="000000"/>
                <w:sz w:val="18"/>
                <w:szCs w:val="18"/>
              </w:rPr>
              <w:t>2</w:t>
            </w:r>
          </w:p>
        </w:tc>
        <w:tc>
          <w:tcPr>
            <w:tcW w:w="4251" w:type="dxa"/>
            <w:shd w:val="clear" w:color="auto" w:fill="auto"/>
            <w:noWrap/>
            <w:vAlign w:val="bottom"/>
            <w:hideMark/>
          </w:tcPr>
          <w:p w14:paraId="72A8F6D3" w14:textId="61C017FA" w:rsidR="00F506D8" w:rsidRPr="00C60E8A" w:rsidRDefault="00F506D8" w:rsidP="00F506D8">
            <w:pPr>
              <w:rPr>
                <w:color w:val="000000"/>
                <w:sz w:val="18"/>
                <w:szCs w:val="18"/>
              </w:rPr>
            </w:pPr>
            <w:r>
              <w:rPr>
                <w:color w:val="000000"/>
                <w:sz w:val="18"/>
                <w:szCs w:val="18"/>
              </w:rPr>
              <w:t>Retail and Small Business Customers</w:t>
            </w:r>
          </w:p>
        </w:tc>
        <w:tc>
          <w:tcPr>
            <w:tcW w:w="0" w:type="auto"/>
            <w:shd w:val="clear" w:color="auto" w:fill="auto"/>
            <w:noWrap/>
            <w:vAlign w:val="bottom"/>
          </w:tcPr>
          <w:p w14:paraId="5711EC38" w14:textId="528D129B" w:rsidR="00F506D8" w:rsidRPr="003E3C32" w:rsidRDefault="00F506D8" w:rsidP="00F506D8">
            <w:pPr>
              <w:jc w:val="right"/>
              <w:rPr>
                <w:color w:val="000000"/>
                <w:sz w:val="18"/>
                <w:szCs w:val="18"/>
              </w:rPr>
            </w:pPr>
            <w:r w:rsidRPr="003E3C32">
              <w:rPr>
                <w:color w:val="000000"/>
                <w:sz w:val="18"/>
                <w:szCs w:val="18"/>
              </w:rPr>
              <w:t xml:space="preserve">      4,014,193 </w:t>
            </w:r>
          </w:p>
        </w:tc>
        <w:tc>
          <w:tcPr>
            <w:tcW w:w="0" w:type="auto"/>
            <w:shd w:val="clear" w:color="auto" w:fill="auto"/>
            <w:noWrap/>
            <w:vAlign w:val="bottom"/>
          </w:tcPr>
          <w:p w14:paraId="65A00C04" w14:textId="39916E31" w:rsidR="00F506D8" w:rsidRPr="003E3C32" w:rsidRDefault="00F506D8" w:rsidP="00F506D8">
            <w:pPr>
              <w:jc w:val="right"/>
              <w:rPr>
                <w:color w:val="000000"/>
                <w:sz w:val="18"/>
                <w:szCs w:val="18"/>
              </w:rPr>
            </w:pPr>
            <w:r w:rsidRPr="003E3C32">
              <w:rPr>
                <w:color w:val="000000"/>
                <w:sz w:val="18"/>
                <w:szCs w:val="18"/>
              </w:rPr>
              <w:t xml:space="preserve">      1,947,730 </w:t>
            </w:r>
          </w:p>
        </w:tc>
        <w:tc>
          <w:tcPr>
            <w:tcW w:w="1400" w:type="dxa"/>
            <w:shd w:val="clear" w:color="auto" w:fill="auto"/>
            <w:noWrap/>
            <w:vAlign w:val="bottom"/>
          </w:tcPr>
          <w:p w14:paraId="47F9CFF7" w14:textId="10411D21" w:rsidR="00F506D8" w:rsidRPr="003E3C32" w:rsidRDefault="00F506D8" w:rsidP="00F506D8">
            <w:pPr>
              <w:jc w:val="right"/>
              <w:rPr>
                <w:color w:val="000000"/>
                <w:sz w:val="18"/>
                <w:szCs w:val="18"/>
              </w:rPr>
            </w:pPr>
            <w:r w:rsidRPr="003E3C32">
              <w:rPr>
                <w:color w:val="000000"/>
                <w:sz w:val="18"/>
                <w:szCs w:val="18"/>
              </w:rPr>
              <w:t xml:space="preserve">         364,759 </w:t>
            </w:r>
          </w:p>
        </w:tc>
        <w:tc>
          <w:tcPr>
            <w:tcW w:w="1275" w:type="dxa"/>
            <w:shd w:val="clear" w:color="auto" w:fill="auto"/>
            <w:noWrap/>
            <w:vAlign w:val="bottom"/>
          </w:tcPr>
          <w:p w14:paraId="55AC20C1" w14:textId="09126B72" w:rsidR="00F506D8" w:rsidRPr="003E3C32" w:rsidRDefault="00F506D8" w:rsidP="00F506D8">
            <w:pPr>
              <w:jc w:val="right"/>
              <w:rPr>
                <w:color w:val="000000"/>
                <w:sz w:val="18"/>
                <w:szCs w:val="18"/>
              </w:rPr>
            </w:pPr>
            <w:r w:rsidRPr="003E3C32">
              <w:rPr>
                <w:color w:val="000000"/>
                <w:sz w:val="18"/>
                <w:szCs w:val="18"/>
              </w:rPr>
              <w:t xml:space="preserve">         194,773 </w:t>
            </w:r>
          </w:p>
        </w:tc>
      </w:tr>
      <w:tr w:rsidR="00F506D8" w:rsidRPr="00C60E8A" w14:paraId="58EFF83A" w14:textId="77777777" w:rsidTr="00F77D55">
        <w:trPr>
          <w:trHeight w:val="70"/>
        </w:trPr>
        <w:tc>
          <w:tcPr>
            <w:tcW w:w="0" w:type="auto"/>
            <w:shd w:val="clear" w:color="auto" w:fill="auto"/>
            <w:noWrap/>
            <w:vAlign w:val="center"/>
            <w:hideMark/>
          </w:tcPr>
          <w:p w14:paraId="6480B1E3" w14:textId="2E0624F9" w:rsidR="00F506D8" w:rsidRPr="00C60E8A" w:rsidRDefault="00F506D8" w:rsidP="00F506D8">
            <w:pPr>
              <w:jc w:val="center"/>
              <w:rPr>
                <w:color w:val="000000"/>
                <w:sz w:val="18"/>
                <w:szCs w:val="18"/>
              </w:rPr>
            </w:pPr>
            <w:r w:rsidRPr="00603922">
              <w:rPr>
                <w:color w:val="000000"/>
                <w:sz w:val="18"/>
                <w:szCs w:val="18"/>
              </w:rPr>
              <w:t>3</w:t>
            </w:r>
          </w:p>
        </w:tc>
        <w:tc>
          <w:tcPr>
            <w:tcW w:w="4251" w:type="dxa"/>
            <w:shd w:val="clear" w:color="auto" w:fill="auto"/>
            <w:noWrap/>
            <w:tcMar>
              <w:top w:w="0" w:type="dxa"/>
              <w:left w:w="270" w:type="dxa"/>
              <w:bottom w:w="0" w:type="dxa"/>
              <w:right w:w="0" w:type="dxa"/>
            </w:tcMar>
            <w:vAlign w:val="bottom"/>
            <w:hideMark/>
          </w:tcPr>
          <w:p w14:paraId="38354A40" w14:textId="74756C7B" w:rsidR="00F506D8" w:rsidRPr="00C60E8A" w:rsidRDefault="00F506D8" w:rsidP="00F506D8">
            <w:pPr>
              <w:ind w:leftChars="-112" w:left="1" w:hangingChars="150" w:hanging="270"/>
              <w:jc w:val="both"/>
              <w:rPr>
                <w:color w:val="000000"/>
                <w:sz w:val="18"/>
                <w:szCs w:val="18"/>
              </w:rPr>
            </w:pPr>
            <w:r>
              <w:rPr>
                <w:color w:val="000000"/>
                <w:sz w:val="18"/>
                <w:szCs w:val="18"/>
              </w:rPr>
              <w:t>Stable Deposits</w:t>
            </w:r>
          </w:p>
        </w:tc>
        <w:tc>
          <w:tcPr>
            <w:tcW w:w="0" w:type="auto"/>
            <w:shd w:val="clear" w:color="auto" w:fill="auto"/>
            <w:noWrap/>
            <w:vAlign w:val="bottom"/>
          </w:tcPr>
          <w:p w14:paraId="6F6E4B98" w14:textId="70F1674C" w:rsidR="00F506D8" w:rsidRPr="003E3C32" w:rsidRDefault="00F506D8" w:rsidP="00F506D8">
            <w:pPr>
              <w:jc w:val="right"/>
              <w:rPr>
                <w:color w:val="000000"/>
                <w:sz w:val="18"/>
                <w:szCs w:val="18"/>
              </w:rPr>
            </w:pPr>
            <w:r w:rsidRPr="003E3C32">
              <w:rPr>
                <w:color w:val="000000"/>
                <w:sz w:val="18"/>
                <w:szCs w:val="18"/>
              </w:rPr>
              <w:t xml:space="preserve">         733,200 </w:t>
            </w:r>
          </w:p>
        </w:tc>
        <w:tc>
          <w:tcPr>
            <w:tcW w:w="0" w:type="auto"/>
            <w:shd w:val="clear" w:color="auto" w:fill="auto"/>
            <w:noWrap/>
            <w:vAlign w:val="bottom"/>
          </w:tcPr>
          <w:p w14:paraId="7556F7F5" w14:textId="4CF0A5B1" w:rsidR="00F506D8" w:rsidRPr="003E3C32" w:rsidRDefault="00F506D8" w:rsidP="00F506D8">
            <w:pPr>
              <w:jc w:val="right"/>
              <w:rPr>
                <w:color w:val="000000"/>
                <w:sz w:val="18"/>
                <w:szCs w:val="18"/>
              </w:rPr>
            </w:pPr>
            <w:r w:rsidRPr="003E3C32">
              <w:rPr>
                <w:color w:val="000000"/>
                <w:sz w:val="18"/>
                <w:szCs w:val="18"/>
              </w:rPr>
              <w:t xml:space="preserve">                   -   </w:t>
            </w:r>
          </w:p>
        </w:tc>
        <w:tc>
          <w:tcPr>
            <w:tcW w:w="1400" w:type="dxa"/>
            <w:shd w:val="clear" w:color="auto" w:fill="auto"/>
            <w:noWrap/>
            <w:vAlign w:val="bottom"/>
          </w:tcPr>
          <w:p w14:paraId="24736805" w14:textId="7F319A6F" w:rsidR="00F506D8" w:rsidRPr="003E3C32" w:rsidRDefault="00F506D8" w:rsidP="00F506D8">
            <w:pPr>
              <w:jc w:val="right"/>
              <w:rPr>
                <w:color w:val="000000"/>
                <w:sz w:val="18"/>
                <w:szCs w:val="18"/>
              </w:rPr>
            </w:pPr>
            <w:r w:rsidRPr="003E3C32">
              <w:rPr>
                <w:color w:val="000000"/>
                <w:sz w:val="18"/>
                <w:szCs w:val="18"/>
              </w:rPr>
              <w:t xml:space="preserve">           36,660 </w:t>
            </w:r>
          </w:p>
        </w:tc>
        <w:tc>
          <w:tcPr>
            <w:tcW w:w="1275" w:type="dxa"/>
            <w:shd w:val="clear" w:color="auto" w:fill="auto"/>
            <w:noWrap/>
            <w:vAlign w:val="bottom"/>
          </w:tcPr>
          <w:p w14:paraId="7A6A3E96" w14:textId="3F0A7FFA" w:rsidR="00F506D8" w:rsidRPr="003E3C32" w:rsidRDefault="00F506D8" w:rsidP="00F506D8">
            <w:pPr>
              <w:jc w:val="right"/>
              <w:rPr>
                <w:color w:val="000000"/>
                <w:sz w:val="18"/>
                <w:szCs w:val="18"/>
              </w:rPr>
            </w:pPr>
            <w:r w:rsidRPr="003E3C32">
              <w:rPr>
                <w:color w:val="000000"/>
                <w:sz w:val="18"/>
                <w:szCs w:val="18"/>
              </w:rPr>
              <w:t xml:space="preserve">                   -   </w:t>
            </w:r>
          </w:p>
        </w:tc>
      </w:tr>
      <w:tr w:rsidR="00F506D8" w:rsidRPr="00C60E8A" w14:paraId="65155601" w14:textId="77777777" w:rsidTr="00F77D55">
        <w:trPr>
          <w:trHeight w:val="141"/>
        </w:trPr>
        <w:tc>
          <w:tcPr>
            <w:tcW w:w="0" w:type="auto"/>
            <w:shd w:val="clear" w:color="auto" w:fill="auto"/>
            <w:noWrap/>
            <w:vAlign w:val="center"/>
            <w:hideMark/>
          </w:tcPr>
          <w:p w14:paraId="0912AD1A" w14:textId="50B1281E" w:rsidR="00F506D8" w:rsidRPr="00C60E8A" w:rsidRDefault="00F506D8" w:rsidP="00F506D8">
            <w:pPr>
              <w:jc w:val="center"/>
              <w:rPr>
                <w:color w:val="000000"/>
                <w:sz w:val="18"/>
                <w:szCs w:val="18"/>
              </w:rPr>
            </w:pPr>
            <w:r w:rsidRPr="00603922">
              <w:rPr>
                <w:color w:val="000000"/>
                <w:sz w:val="18"/>
                <w:szCs w:val="18"/>
              </w:rPr>
              <w:t>4</w:t>
            </w:r>
          </w:p>
        </w:tc>
        <w:tc>
          <w:tcPr>
            <w:tcW w:w="4251" w:type="dxa"/>
            <w:shd w:val="clear" w:color="auto" w:fill="auto"/>
            <w:noWrap/>
            <w:tcMar>
              <w:top w:w="0" w:type="dxa"/>
              <w:left w:w="270" w:type="dxa"/>
              <w:bottom w:w="0" w:type="dxa"/>
              <w:right w:w="0" w:type="dxa"/>
            </w:tcMar>
            <w:vAlign w:val="bottom"/>
            <w:hideMark/>
          </w:tcPr>
          <w:p w14:paraId="2C8784BB" w14:textId="003DAED0" w:rsidR="00F506D8" w:rsidRPr="00C60E8A" w:rsidRDefault="00F506D8" w:rsidP="00F506D8">
            <w:pPr>
              <w:ind w:leftChars="-112" w:left="1" w:hangingChars="150" w:hanging="270"/>
              <w:jc w:val="both"/>
              <w:rPr>
                <w:color w:val="000000"/>
                <w:sz w:val="18"/>
                <w:szCs w:val="18"/>
              </w:rPr>
            </w:pPr>
            <w:r w:rsidRPr="00603922">
              <w:rPr>
                <w:color w:val="000000"/>
                <w:sz w:val="18"/>
                <w:szCs w:val="18"/>
              </w:rPr>
              <w:t>L</w:t>
            </w:r>
            <w:r>
              <w:rPr>
                <w:color w:val="000000"/>
                <w:sz w:val="18"/>
                <w:szCs w:val="18"/>
              </w:rPr>
              <w:t>ess Stable D</w:t>
            </w:r>
            <w:r w:rsidRPr="00603922">
              <w:rPr>
                <w:color w:val="000000"/>
                <w:sz w:val="18"/>
                <w:szCs w:val="18"/>
              </w:rPr>
              <w:t>eposit</w:t>
            </w:r>
          </w:p>
        </w:tc>
        <w:tc>
          <w:tcPr>
            <w:tcW w:w="0" w:type="auto"/>
            <w:shd w:val="clear" w:color="auto" w:fill="auto"/>
            <w:noWrap/>
            <w:vAlign w:val="bottom"/>
          </w:tcPr>
          <w:p w14:paraId="65FBBBF2" w14:textId="757BBE7C" w:rsidR="00F506D8" w:rsidRPr="003E3C32" w:rsidRDefault="00F506D8" w:rsidP="00F506D8">
            <w:pPr>
              <w:jc w:val="right"/>
              <w:rPr>
                <w:color w:val="000000"/>
                <w:sz w:val="18"/>
                <w:szCs w:val="18"/>
              </w:rPr>
            </w:pPr>
            <w:r w:rsidRPr="003E3C32">
              <w:rPr>
                <w:color w:val="000000"/>
                <w:sz w:val="18"/>
                <w:szCs w:val="18"/>
              </w:rPr>
              <w:t xml:space="preserve">      3,280,993 </w:t>
            </w:r>
          </w:p>
        </w:tc>
        <w:tc>
          <w:tcPr>
            <w:tcW w:w="0" w:type="auto"/>
            <w:shd w:val="clear" w:color="auto" w:fill="auto"/>
            <w:noWrap/>
            <w:vAlign w:val="bottom"/>
          </w:tcPr>
          <w:p w14:paraId="05660DBB" w14:textId="7F6F6B56" w:rsidR="00F506D8" w:rsidRPr="003E3C32" w:rsidRDefault="00F506D8" w:rsidP="00F506D8">
            <w:pPr>
              <w:jc w:val="right"/>
              <w:rPr>
                <w:color w:val="000000"/>
                <w:sz w:val="18"/>
                <w:szCs w:val="18"/>
              </w:rPr>
            </w:pPr>
            <w:r w:rsidRPr="003E3C32">
              <w:rPr>
                <w:color w:val="000000"/>
                <w:sz w:val="18"/>
                <w:szCs w:val="18"/>
              </w:rPr>
              <w:t xml:space="preserve">      1,947,730 </w:t>
            </w:r>
          </w:p>
        </w:tc>
        <w:tc>
          <w:tcPr>
            <w:tcW w:w="1400" w:type="dxa"/>
            <w:shd w:val="clear" w:color="auto" w:fill="auto"/>
            <w:noWrap/>
            <w:vAlign w:val="bottom"/>
          </w:tcPr>
          <w:p w14:paraId="3729781B" w14:textId="72BF6991" w:rsidR="00F506D8" w:rsidRPr="003E3C32" w:rsidRDefault="00F506D8" w:rsidP="00F506D8">
            <w:pPr>
              <w:jc w:val="right"/>
              <w:rPr>
                <w:color w:val="000000"/>
                <w:sz w:val="18"/>
                <w:szCs w:val="18"/>
              </w:rPr>
            </w:pPr>
            <w:r w:rsidRPr="003E3C32">
              <w:rPr>
                <w:color w:val="000000"/>
                <w:sz w:val="18"/>
                <w:szCs w:val="18"/>
              </w:rPr>
              <w:t xml:space="preserve">         328,099 </w:t>
            </w:r>
          </w:p>
        </w:tc>
        <w:tc>
          <w:tcPr>
            <w:tcW w:w="1275" w:type="dxa"/>
            <w:shd w:val="clear" w:color="auto" w:fill="auto"/>
            <w:noWrap/>
            <w:vAlign w:val="bottom"/>
          </w:tcPr>
          <w:p w14:paraId="4CF16DFD" w14:textId="5C7620A9" w:rsidR="00F506D8" w:rsidRPr="003E3C32" w:rsidRDefault="00F506D8" w:rsidP="00F506D8">
            <w:pPr>
              <w:jc w:val="right"/>
              <w:rPr>
                <w:color w:val="000000"/>
                <w:sz w:val="18"/>
                <w:szCs w:val="18"/>
              </w:rPr>
            </w:pPr>
            <w:r w:rsidRPr="003E3C32">
              <w:rPr>
                <w:color w:val="000000"/>
                <w:sz w:val="18"/>
                <w:szCs w:val="18"/>
              </w:rPr>
              <w:t xml:space="preserve">         194,773 </w:t>
            </w:r>
          </w:p>
        </w:tc>
      </w:tr>
      <w:tr w:rsidR="00F506D8" w:rsidRPr="00C60E8A" w14:paraId="7F6E1571" w14:textId="77777777" w:rsidTr="00F77D55">
        <w:trPr>
          <w:trHeight w:val="371"/>
        </w:trPr>
        <w:tc>
          <w:tcPr>
            <w:tcW w:w="0" w:type="auto"/>
            <w:shd w:val="clear" w:color="auto" w:fill="auto"/>
            <w:noWrap/>
            <w:vAlign w:val="center"/>
            <w:hideMark/>
          </w:tcPr>
          <w:p w14:paraId="7E914F0F" w14:textId="0732E6DF" w:rsidR="00F506D8" w:rsidRPr="00C60E8A" w:rsidRDefault="00F506D8" w:rsidP="00F506D8">
            <w:pPr>
              <w:jc w:val="center"/>
              <w:rPr>
                <w:color w:val="000000"/>
                <w:sz w:val="18"/>
                <w:szCs w:val="18"/>
              </w:rPr>
            </w:pPr>
            <w:r w:rsidRPr="00603922">
              <w:rPr>
                <w:color w:val="000000"/>
                <w:sz w:val="18"/>
                <w:szCs w:val="18"/>
              </w:rPr>
              <w:t>5</w:t>
            </w:r>
          </w:p>
        </w:tc>
        <w:tc>
          <w:tcPr>
            <w:tcW w:w="4251" w:type="dxa"/>
            <w:shd w:val="clear" w:color="auto" w:fill="auto"/>
            <w:vAlign w:val="center"/>
            <w:hideMark/>
          </w:tcPr>
          <w:p w14:paraId="2792E577" w14:textId="2AA58BBA" w:rsidR="00F506D8" w:rsidRPr="00C60E8A" w:rsidRDefault="00F506D8" w:rsidP="00F506D8">
            <w:pPr>
              <w:rPr>
                <w:color w:val="000000"/>
                <w:sz w:val="18"/>
                <w:szCs w:val="18"/>
              </w:rPr>
            </w:pPr>
            <w:r w:rsidRPr="00603922">
              <w:rPr>
                <w:color w:val="000000"/>
                <w:sz w:val="18"/>
                <w:szCs w:val="18"/>
              </w:rPr>
              <w:t xml:space="preserve">Unsecured </w:t>
            </w:r>
            <w:r>
              <w:rPr>
                <w:color w:val="000000"/>
                <w:sz w:val="18"/>
                <w:szCs w:val="18"/>
              </w:rPr>
              <w:t>Wholesale Funding</w:t>
            </w:r>
          </w:p>
        </w:tc>
        <w:tc>
          <w:tcPr>
            <w:tcW w:w="0" w:type="auto"/>
            <w:shd w:val="clear" w:color="auto" w:fill="auto"/>
            <w:noWrap/>
            <w:vAlign w:val="bottom"/>
          </w:tcPr>
          <w:p w14:paraId="4979D92D" w14:textId="5096ED41" w:rsidR="00F506D8" w:rsidRPr="003E3C32" w:rsidRDefault="00F506D8" w:rsidP="00F506D8">
            <w:pPr>
              <w:jc w:val="right"/>
              <w:rPr>
                <w:color w:val="000000"/>
                <w:sz w:val="18"/>
                <w:szCs w:val="18"/>
              </w:rPr>
            </w:pPr>
            <w:r w:rsidRPr="003E3C32">
              <w:rPr>
                <w:color w:val="000000"/>
                <w:sz w:val="18"/>
                <w:szCs w:val="18"/>
              </w:rPr>
              <w:t xml:space="preserve">      3,318,940 </w:t>
            </w:r>
          </w:p>
        </w:tc>
        <w:tc>
          <w:tcPr>
            <w:tcW w:w="0" w:type="auto"/>
            <w:shd w:val="clear" w:color="auto" w:fill="auto"/>
            <w:noWrap/>
            <w:vAlign w:val="bottom"/>
          </w:tcPr>
          <w:p w14:paraId="628D701B" w14:textId="52FF8645" w:rsidR="00F506D8" w:rsidRPr="003E3C32" w:rsidRDefault="00F506D8" w:rsidP="00F506D8">
            <w:pPr>
              <w:jc w:val="right"/>
              <w:rPr>
                <w:color w:val="000000"/>
                <w:sz w:val="18"/>
                <w:szCs w:val="18"/>
              </w:rPr>
            </w:pPr>
            <w:r w:rsidRPr="003E3C32">
              <w:rPr>
                <w:color w:val="000000"/>
                <w:sz w:val="18"/>
                <w:szCs w:val="18"/>
              </w:rPr>
              <w:t xml:space="preserve">      1,700,288 </w:t>
            </w:r>
          </w:p>
        </w:tc>
        <w:tc>
          <w:tcPr>
            <w:tcW w:w="1400" w:type="dxa"/>
            <w:shd w:val="clear" w:color="auto" w:fill="auto"/>
            <w:noWrap/>
            <w:vAlign w:val="bottom"/>
          </w:tcPr>
          <w:p w14:paraId="6712B710" w14:textId="2E755A04" w:rsidR="00F506D8" w:rsidRPr="003E3C32" w:rsidRDefault="00F506D8" w:rsidP="00F506D8">
            <w:pPr>
              <w:jc w:val="right"/>
              <w:rPr>
                <w:color w:val="000000"/>
                <w:sz w:val="18"/>
                <w:szCs w:val="18"/>
              </w:rPr>
            </w:pPr>
            <w:r w:rsidRPr="003E3C32">
              <w:rPr>
                <w:color w:val="000000"/>
                <w:sz w:val="18"/>
                <w:szCs w:val="18"/>
              </w:rPr>
              <w:t xml:space="preserve">      2,204,457 </w:t>
            </w:r>
          </w:p>
        </w:tc>
        <w:tc>
          <w:tcPr>
            <w:tcW w:w="1275" w:type="dxa"/>
            <w:shd w:val="clear" w:color="auto" w:fill="auto"/>
            <w:noWrap/>
            <w:vAlign w:val="bottom"/>
          </w:tcPr>
          <w:p w14:paraId="5405D94C" w14:textId="2E0D892D" w:rsidR="00F506D8" w:rsidRPr="003E3C32" w:rsidRDefault="00F506D8" w:rsidP="00F506D8">
            <w:pPr>
              <w:jc w:val="right"/>
              <w:rPr>
                <w:color w:val="000000"/>
                <w:sz w:val="18"/>
                <w:szCs w:val="18"/>
              </w:rPr>
            </w:pPr>
            <w:r w:rsidRPr="003E3C32">
              <w:rPr>
                <w:color w:val="000000"/>
                <w:sz w:val="18"/>
                <w:szCs w:val="18"/>
              </w:rPr>
              <w:t xml:space="preserve">      1,194,878 </w:t>
            </w:r>
          </w:p>
        </w:tc>
      </w:tr>
      <w:tr w:rsidR="00F506D8" w:rsidRPr="00C60E8A" w14:paraId="23AF2278" w14:textId="77777777" w:rsidTr="00F77D55">
        <w:trPr>
          <w:trHeight w:val="121"/>
        </w:trPr>
        <w:tc>
          <w:tcPr>
            <w:tcW w:w="0" w:type="auto"/>
            <w:shd w:val="clear" w:color="auto" w:fill="auto"/>
            <w:noWrap/>
            <w:vAlign w:val="center"/>
            <w:hideMark/>
          </w:tcPr>
          <w:p w14:paraId="3D399247" w14:textId="6AAF6011" w:rsidR="00F506D8" w:rsidRPr="00C60E8A" w:rsidRDefault="00F506D8" w:rsidP="00F506D8">
            <w:pPr>
              <w:jc w:val="center"/>
              <w:rPr>
                <w:color w:val="000000"/>
                <w:sz w:val="18"/>
                <w:szCs w:val="18"/>
              </w:rPr>
            </w:pPr>
            <w:r w:rsidRPr="00603922">
              <w:rPr>
                <w:color w:val="000000"/>
                <w:sz w:val="18"/>
                <w:szCs w:val="18"/>
              </w:rPr>
              <w:t>6</w:t>
            </w:r>
          </w:p>
        </w:tc>
        <w:tc>
          <w:tcPr>
            <w:tcW w:w="4251" w:type="dxa"/>
            <w:shd w:val="clear" w:color="auto" w:fill="auto"/>
            <w:noWrap/>
            <w:tcMar>
              <w:top w:w="0" w:type="dxa"/>
              <w:left w:w="270" w:type="dxa"/>
              <w:bottom w:w="0" w:type="dxa"/>
              <w:right w:w="0" w:type="dxa"/>
            </w:tcMar>
            <w:vAlign w:val="bottom"/>
            <w:hideMark/>
          </w:tcPr>
          <w:p w14:paraId="64AD7BF1" w14:textId="1AEDC47E" w:rsidR="00F506D8" w:rsidRPr="00C60E8A" w:rsidRDefault="00F506D8" w:rsidP="00F506D8">
            <w:pPr>
              <w:tabs>
                <w:tab w:val="left" w:pos="0"/>
              </w:tabs>
              <w:ind w:left="-271"/>
              <w:rPr>
                <w:color w:val="000000"/>
                <w:sz w:val="18"/>
                <w:szCs w:val="18"/>
              </w:rPr>
            </w:pPr>
            <w:r>
              <w:rPr>
                <w:color w:val="000000"/>
                <w:sz w:val="18"/>
                <w:szCs w:val="18"/>
              </w:rPr>
              <w:t>Operational D</w:t>
            </w:r>
            <w:r w:rsidRPr="00603922">
              <w:rPr>
                <w:color w:val="000000"/>
                <w:sz w:val="18"/>
                <w:szCs w:val="18"/>
              </w:rPr>
              <w:t>eposits</w:t>
            </w:r>
          </w:p>
        </w:tc>
        <w:tc>
          <w:tcPr>
            <w:tcW w:w="0" w:type="auto"/>
            <w:shd w:val="clear" w:color="auto" w:fill="auto"/>
            <w:noWrap/>
            <w:vAlign w:val="bottom"/>
          </w:tcPr>
          <w:p w14:paraId="6E78B7B2" w14:textId="33409D62" w:rsidR="00F506D8" w:rsidRPr="003E3C32" w:rsidRDefault="00F506D8" w:rsidP="00F506D8">
            <w:pPr>
              <w:jc w:val="right"/>
              <w:rPr>
                <w:color w:val="000000"/>
                <w:sz w:val="18"/>
                <w:szCs w:val="18"/>
              </w:rPr>
            </w:pPr>
            <w:r w:rsidRPr="003E3C32">
              <w:rPr>
                <w:color w:val="000000"/>
                <w:sz w:val="18"/>
                <w:szCs w:val="18"/>
              </w:rPr>
              <w:t xml:space="preserve">                   -   </w:t>
            </w:r>
          </w:p>
        </w:tc>
        <w:tc>
          <w:tcPr>
            <w:tcW w:w="0" w:type="auto"/>
            <w:shd w:val="clear" w:color="auto" w:fill="auto"/>
            <w:noWrap/>
            <w:vAlign w:val="bottom"/>
          </w:tcPr>
          <w:p w14:paraId="282C1E21" w14:textId="1E9D3049" w:rsidR="00F506D8" w:rsidRPr="003E3C32" w:rsidRDefault="00F506D8" w:rsidP="00F506D8">
            <w:pPr>
              <w:jc w:val="right"/>
              <w:rPr>
                <w:color w:val="000000"/>
                <w:sz w:val="18"/>
                <w:szCs w:val="18"/>
              </w:rPr>
            </w:pPr>
            <w:r w:rsidRPr="003E3C32">
              <w:rPr>
                <w:color w:val="000000"/>
                <w:sz w:val="18"/>
                <w:szCs w:val="18"/>
              </w:rPr>
              <w:t xml:space="preserve">                   -   </w:t>
            </w:r>
          </w:p>
        </w:tc>
        <w:tc>
          <w:tcPr>
            <w:tcW w:w="1400" w:type="dxa"/>
            <w:shd w:val="clear" w:color="auto" w:fill="auto"/>
            <w:noWrap/>
            <w:vAlign w:val="bottom"/>
          </w:tcPr>
          <w:p w14:paraId="3F8C9235" w14:textId="5E53E716" w:rsidR="00F506D8" w:rsidRPr="003E3C32" w:rsidRDefault="00F506D8" w:rsidP="00F506D8">
            <w:pPr>
              <w:jc w:val="right"/>
              <w:rPr>
                <w:color w:val="000000"/>
                <w:sz w:val="18"/>
                <w:szCs w:val="18"/>
              </w:rPr>
            </w:pPr>
            <w:r w:rsidRPr="003E3C32">
              <w:rPr>
                <w:color w:val="000000"/>
                <w:sz w:val="18"/>
                <w:szCs w:val="18"/>
              </w:rPr>
              <w:t xml:space="preserve">                   -   </w:t>
            </w:r>
          </w:p>
        </w:tc>
        <w:tc>
          <w:tcPr>
            <w:tcW w:w="1275" w:type="dxa"/>
            <w:shd w:val="clear" w:color="auto" w:fill="auto"/>
            <w:noWrap/>
            <w:vAlign w:val="bottom"/>
          </w:tcPr>
          <w:p w14:paraId="0ED1DA44" w14:textId="334946A4" w:rsidR="00F506D8" w:rsidRPr="003E3C32" w:rsidRDefault="00F506D8" w:rsidP="00F506D8">
            <w:pPr>
              <w:jc w:val="right"/>
              <w:rPr>
                <w:color w:val="000000"/>
                <w:sz w:val="18"/>
                <w:szCs w:val="18"/>
              </w:rPr>
            </w:pPr>
            <w:r w:rsidRPr="003E3C32">
              <w:rPr>
                <w:color w:val="000000"/>
                <w:sz w:val="18"/>
                <w:szCs w:val="18"/>
              </w:rPr>
              <w:t xml:space="preserve">                   -   </w:t>
            </w:r>
          </w:p>
        </w:tc>
      </w:tr>
      <w:tr w:rsidR="00F506D8" w:rsidRPr="00C60E8A" w14:paraId="5A2FF891" w14:textId="77777777" w:rsidTr="00F77D55">
        <w:trPr>
          <w:trHeight w:val="81"/>
        </w:trPr>
        <w:tc>
          <w:tcPr>
            <w:tcW w:w="0" w:type="auto"/>
            <w:shd w:val="clear" w:color="auto" w:fill="auto"/>
            <w:noWrap/>
            <w:vAlign w:val="center"/>
            <w:hideMark/>
          </w:tcPr>
          <w:p w14:paraId="10CA1F2D" w14:textId="119A3C35" w:rsidR="00F506D8" w:rsidRPr="00C60E8A" w:rsidRDefault="00F506D8" w:rsidP="00F506D8">
            <w:pPr>
              <w:jc w:val="center"/>
              <w:rPr>
                <w:color w:val="000000"/>
                <w:sz w:val="18"/>
                <w:szCs w:val="18"/>
              </w:rPr>
            </w:pPr>
            <w:r w:rsidRPr="00603922">
              <w:rPr>
                <w:color w:val="000000"/>
                <w:sz w:val="18"/>
                <w:szCs w:val="18"/>
              </w:rPr>
              <w:t>7</w:t>
            </w:r>
          </w:p>
        </w:tc>
        <w:tc>
          <w:tcPr>
            <w:tcW w:w="4251" w:type="dxa"/>
            <w:shd w:val="clear" w:color="auto" w:fill="auto"/>
            <w:noWrap/>
            <w:tcMar>
              <w:top w:w="0" w:type="dxa"/>
              <w:left w:w="270" w:type="dxa"/>
              <w:bottom w:w="0" w:type="dxa"/>
              <w:right w:w="0" w:type="dxa"/>
            </w:tcMar>
            <w:vAlign w:val="bottom"/>
            <w:hideMark/>
          </w:tcPr>
          <w:p w14:paraId="351AC310" w14:textId="77F515A0" w:rsidR="00F506D8" w:rsidRPr="00C60E8A" w:rsidRDefault="00F506D8" w:rsidP="00F506D8">
            <w:pPr>
              <w:tabs>
                <w:tab w:val="left" w:pos="0"/>
              </w:tabs>
              <w:ind w:left="-271"/>
              <w:rPr>
                <w:color w:val="000000"/>
                <w:sz w:val="18"/>
                <w:szCs w:val="18"/>
              </w:rPr>
            </w:pPr>
            <w:r>
              <w:rPr>
                <w:color w:val="000000"/>
                <w:sz w:val="18"/>
                <w:szCs w:val="18"/>
              </w:rPr>
              <w:t>Non-operational D</w:t>
            </w:r>
            <w:r w:rsidRPr="00603922">
              <w:rPr>
                <w:color w:val="000000"/>
                <w:sz w:val="18"/>
                <w:szCs w:val="18"/>
              </w:rPr>
              <w:t>eposits</w:t>
            </w:r>
          </w:p>
        </w:tc>
        <w:tc>
          <w:tcPr>
            <w:tcW w:w="0" w:type="auto"/>
            <w:shd w:val="clear" w:color="auto" w:fill="auto"/>
            <w:noWrap/>
            <w:vAlign w:val="bottom"/>
          </w:tcPr>
          <w:p w14:paraId="5EB9FBC0" w14:textId="1D9503FC" w:rsidR="00F506D8" w:rsidRPr="003E3C32" w:rsidRDefault="00F506D8" w:rsidP="00F506D8">
            <w:pPr>
              <w:jc w:val="right"/>
              <w:rPr>
                <w:color w:val="000000"/>
                <w:sz w:val="18"/>
                <w:szCs w:val="18"/>
              </w:rPr>
            </w:pPr>
            <w:r w:rsidRPr="003E3C32">
              <w:rPr>
                <w:color w:val="000000"/>
                <w:sz w:val="18"/>
                <w:szCs w:val="18"/>
              </w:rPr>
              <w:t xml:space="preserve">      1,587,937 </w:t>
            </w:r>
          </w:p>
        </w:tc>
        <w:tc>
          <w:tcPr>
            <w:tcW w:w="0" w:type="auto"/>
            <w:shd w:val="clear" w:color="auto" w:fill="auto"/>
            <w:noWrap/>
            <w:vAlign w:val="bottom"/>
          </w:tcPr>
          <w:p w14:paraId="1FFBE4C5" w14:textId="76629568" w:rsidR="00F506D8" w:rsidRPr="003E3C32" w:rsidRDefault="00F506D8" w:rsidP="00F506D8">
            <w:pPr>
              <w:jc w:val="right"/>
              <w:rPr>
                <w:color w:val="000000"/>
                <w:sz w:val="18"/>
                <w:szCs w:val="18"/>
              </w:rPr>
            </w:pPr>
            <w:r w:rsidRPr="003E3C32">
              <w:rPr>
                <w:color w:val="000000"/>
                <w:sz w:val="18"/>
                <w:szCs w:val="18"/>
              </w:rPr>
              <w:t xml:space="preserve">         826,206 </w:t>
            </w:r>
          </w:p>
        </w:tc>
        <w:tc>
          <w:tcPr>
            <w:tcW w:w="1400" w:type="dxa"/>
            <w:shd w:val="clear" w:color="auto" w:fill="auto"/>
            <w:noWrap/>
            <w:vAlign w:val="bottom"/>
          </w:tcPr>
          <w:p w14:paraId="1D842240" w14:textId="174EC7FD" w:rsidR="00F506D8" w:rsidRPr="003E3C32" w:rsidRDefault="00F506D8" w:rsidP="00F506D8">
            <w:pPr>
              <w:jc w:val="right"/>
              <w:rPr>
                <w:color w:val="000000"/>
                <w:sz w:val="18"/>
                <w:szCs w:val="18"/>
              </w:rPr>
            </w:pPr>
            <w:r w:rsidRPr="003E3C32">
              <w:rPr>
                <w:color w:val="000000"/>
                <w:sz w:val="18"/>
                <w:szCs w:val="18"/>
              </w:rPr>
              <w:t xml:space="preserve">         926,768 </w:t>
            </w:r>
          </w:p>
        </w:tc>
        <w:tc>
          <w:tcPr>
            <w:tcW w:w="1275" w:type="dxa"/>
            <w:shd w:val="clear" w:color="auto" w:fill="auto"/>
            <w:noWrap/>
            <w:vAlign w:val="bottom"/>
          </w:tcPr>
          <w:p w14:paraId="7122AC11" w14:textId="709FF7F8" w:rsidR="00F506D8" w:rsidRPr="003E3C32" w:rsidRDefault="00F506D8" w:rsidP="00F506D8">
            <w:pPr>
              <w:jc w:val="right"/>
              <w:rPr>
                <w:color w:val="000000"/>
                <w:sz w:val="18"/>
                <w:szCs w:val="18"/>
              </w:rPr>
            </w:pPr>
            <w:r w:rsidRPr="003E3C32">
              <w:rPr>
                <w:color w:val="000000"/>
                <w:sz w:val="18"/>
                <w:szCs w:val="18"/>
              </w:rPr>
              <w:t xml:space="preserve">         508,328 </w:t>
            </w:r>
          </w:p>
        </w:tc>
      </w:tr>
      <w:tr w:rsidR="00F506D8" w:rsidRPr="00C60E8A" w14:paraId="7B4FD432" w14:textId="77777777" w:rsidTr="00F77D55">
        <w:trPr>
          <w:trHeight w:val="170"/>
        </w:trPr>
        <w:tc>
          <w:tcPr>
            <w:tcW w:w="0" w:type="auto"/>
            <w:shd w:val="clear" w:color="auto" w:fill="auto"/>
            <w:noWrap/>
            <w:vAlign w:val="center"/>
            <w:hideMark/>
          </w:tcPr>
          <w:p w14:paraId="7D5FBE32" w14:textId="3FE61370" w:rsidR="00F506D8" w:rsidRPr="00C60E8A" w:rsidRDefault="00F506D8" w:rsidP="00F506D8">
            <w:pPr>
              <w:jc w:val="center"/>
              <w:rPr>
                <w:color w:val="000000"/>
                <w:sz w:val="18"/>
                <w:szCs w:val="18"/>
              </w:rPr>
            </w:pPr>
            <w:r w:rsidRPr="00603922">
              <w:rPr>
                <w:color w:val="000000"/>
                <w:sz w:val="18"/>
                <w:szCs w:val="18"/>
              </w:rPr>
              <w:t>8</w:t>
            </w:r>
          </w:p>
        </w:tc>
        <w:tc>
          <w:tcPr>
            <w:tcW w:w="4251" w:type="dxa"/>
            <w:shd w:val="clear" w:color="auto" w:fill="auto"/>
            <w:noWrap/>
            <w:tcMar>
              <w:top w:w="0" w:type="dxa"/>
              <w:left w:w="270" w:type="dxa"/>
              <w:bottom w:w="0" w:type="dxa"/>
              <w:right w:w="0" w:type="dxa"/>
            </w:tcMar>
            <w:vAlign w:val="bottom"/>
            <w:hideMark/>
          </w:tcPr>
          <w:p w14:paraId="5D10771A" w14:textId="0EE1FA20" w:rsidR="00F506D8" w:rsidRPr="00C60E8A" w:rsidRDefault="00F506D8" w:rsidP="00F506D8">
            <w:pPr>
              <w:tabs>
                <w:tab w:val="left" w:pos="0"/>
              </w:tabs>
              <w:ind w:left="-271"/>
              <w:rPr>
                <w:color w:val="000000"/>
                <w:sz w:val="18"/>
                <w:szCs w:val="18"/>
              </w:rPr>
            </w:pPr>
            <w:r>
              <w:rPr>
                <w:color w:val="000000"/>
                <w:sz w:val="18"/>
                <w:szCs w:val="18"/>
              </w:rPr>
              <w:t>Other U</w:t>
            </w:r>
            <w:r w:rsidRPr="00603922">
              <w:rPr>
                <w:color w:val="000000"/>
                <w:sz w:val="18"/>
                <w:szCs w:val="18"/>
              </w:rPr>
              <w:t xml:space="preserve">nsecured </w:t>
            </w:r>
            <w:proofErr w:type="spellStart"/>
            <w:r>
              <w:rPr>
                <w:color w:val="000000"/>
                <w:sz w:val="18"/>
                <w:szCs w:val="18"/>
              </w:rPr>
              <w:t>Fundings</w:t>
            </w:r>
            <w:proofErr w:type="spellEnd"/>
          </w:p>
        </w:tc>
        <w:tc>
          <w:tcPr>
            <w:tcW w:w="0" w:type="auto"/>
            <w:shd w:val="clear" w:color="auto" w:fill="auto"/>
            <w:noWrap/>
            <w:vAlign w:val="bottom"/>
          </w:tcPr>
          <w:p w14:paraId="5BB612DC" w14:textId="3AA772A4" w:rsidR="00F506D8" w:rsidRPr="003E3C32" w:rsidRDefault="00F506D8" w:rsidP="00F506D8">
            <w:pPr>
              <w:jc w:val="right"/>
              <w:rPr>
                <w:color w:val="000000"/>
                <w:sz w:val="18"/>
                <w:szCs w:val="18"/>
              </w:rPr>
            </w:pPr>
            <w:r w:rsidRPr="003E3C32">
              <w:rPr>
                <w:color w:val="000000"/>
                <w:sz w:val="18"/>
                <w:szCs w:val="18"/>
              </w:rPr>
              <w:t xml:space="preserve">         975,480 </w:t>
            </w:r>
          </w:p>
        </w:tc>
        <w:tc>
          <w:tcPr>
            <w:tcW w:w="0" w:type="auto"/>
            <w:shd w:val="clear" w:color="auto" w:fill="auto"/>
            <w:noWrap/>
            <w:vAlign w:val="bottom"/>
          </w:tcPr>
          <w:p w14:paraId="72FE69C5" w14:textId="3F91A089" w:rsidR="00F506D8" w:rsidRPr="003E3C32" w:rsidRDefault="00F506D8" w:rsidP="00F506D8">
            <w:pPr>
              <w:jc w:val="right"/>
              <w:rPr>
                <w:color w:val="000000"/>
                <w:sz w:val="18"/>
                <w:szCs w:val="18"/>
              </w:rPr>
            </w:pPr>
            <w:r w:rsidRPr="003E3C32">
              <w:rPr>
                <w:color w:val="000000"/>
                <w:sz w:val="18"/>
                <w:szCs w:val="18"/>
              </w:rPr>
              <w:t xml:space="preserve">         561,529 </w:t>
            </w:r>
          </w:p>
        </w:tc>
        <w:tc>
          <w:tcPr>
            <w:tcW w:w="1400" w:type="dxa"/>
            <w:shd w:val="clear" w:color="auto" w:fill="auto"/>
            <w:noWrap/>
            <w:vAlign w:val="bottom"/>
          </w:tcPr>
          <w:p w14:paraId="252CA154" w14:textId="37D06775" w:rsidR="00F506D8" w:rsidRPr="003E3C32" w:rsidRDefault="00F506D8" w:rsidP="00F506D8">
            <w:pPr>
              <w:jc w:val="right"/>
              <w:rPr>
                <w:color w:val="000000"/>
                <w:sz w:val="18"/>
                <w:szCs w:val="18"/>
              </w:rPr>
            </w:pPr>
            <w:r w:rsidRPr="003E3C32">
              <w:rPr>
                <w:color w:val="000000"/>
                <w:sz w:val="18"/>
                <w:szCs w:val="18"/>
              </w:rPr>
              <w:t xml:space="preserve">      1,277,661 </w:t>
            </w:r>
          </w:p>
        </w:tc>
        <w:tc>
          <w:tcPr>
            <w:tcW w:w="1275" w:type="dxa"/>
            <w:shd w:val="clear" w:color="auto" w:fill="auto"/>
            <w:noWrap/>
            <w:vAlign w:val="bottom"/>
          </w:tcPr>
          <w:p w14:paraId="3C35E99C" w14:textId="7C1CC003" w:rsidR="00F506D8" w:rsidRPr="003E3C32" w:rsidRDefault="00F506D8" w:rsidP="00F506D8">
            <w:pPr>
              <w:jc w:val="right"/>
              <w:rPr>
                <w:color w:val="000000"/>
                <w:sz w:val="18"/>
                <w:szCs w:val="18"/>
              </w:rPr>
            </w:pPr>
            <w:r w:rsidRPr="003E3C32">
              <w:rPr>
                <w:color w:val="000000"/>
                <w:sz w:val="18"/>
                <w:szCs w:val="18"/>
              </w:rPr>
              <w:t xml:space="preserve">         686,550 </w:t>
            </w:r>
          </w:p>
        </w:tc>
      </w:tr>
      <w:tr w:rsidR="00F506D8" w:rsidRPr="00C60E8A" w14:paraId="5C1E33AB" w14:textId="77777777" w:rsidTr="00F506D8">
        <w:trPr>
          <w:trHeight w:val="115"/>
        </w:trPr>
        <w:tc>
          <w:tcPr>
            <w:tcW w:w="0" w:type="auto"/>
            <w:shd w:val="clear" w:color="auto" w:fill="auto"/>
            <w:noWrap/>
            <w:vAlign w:val="center"/>
            <w:hideMark/>
          </w:tcPr>
          <w:p w14:paraId="408C69CA" w14:textId="141CE5EE" w:rsidR="00F506D8" w:rsidRPr="00C60E8A" w:rsidRDefault="00F506D8" w:rsidP="00F506D8">
            <w:pPr>
              <w:jc w:val="center"/>
              <w:rPr>
                <w:color w:val="000000"/>
                <w:sz w:val="18"/>
                <w:szCs w:val="18"/>
              </w:rPr>
            </w:pPr>
            <w:r w:rsidRPr="00603922">
              <w:rPr>
                <w:color w:val="000000"/>
                <w:sz w:val="18"/>
                <w:szCs w:val="18"/>
              </w:rPr>
              <w:t>9</w:t>
            </w:r>
          </w:p>
        </w:tc>
        <w:tc>
          <w:tcPr>
            <w:tcW w:w="4251" w:type="dxa"/>
            <w:shd w:val="clear" w:color="auto" w:fill="auto"/>
            <w:noWrap/>
            <w:vAlign w:val="bottom"/>
            <w:hideMark/>
          </w:tcPr>
          <w:p w14:paraId="65C34C50" w14:textId="2725BE45" w:rsidR="00F506D8" w:rsidRPr="00C60E8A" w:rsidRDefault="00F506D8" w:rsidP="00F506D8">
            <w:pPr>
              <w:rPr>
                <w:color w:val="000000"/>
                <w:sz w:val="18"/>
                <w:szCs w:val="18"/>
              </w:rPr>
            </w:pPr>
            <w:r w:rsidRPr="00603922">
              <w:rPr>
                <w:color w:val="000000"/>
                <w:sz w:val="18"/>
                <w:szCs w:val="18"/>
              </w:rPr>
              <w:t xml:space="preserve">Secured </w:t>
            </w:r>
            <w:r>
              <w:rPr>
                <w:color w:val="000000"/>
                <w:sz w:val="18"/>
                <w:szCs w:val="18"/>
              </w:rPr>
              <w:t>Funding</w:t>
            </w:r>
          </w:p>
        </w:tc>
        <w:tc>
          <w:tcPr>
            <w:tcW w:w="0" w:type="auto"/>
            <w:shd w:val="clear" w:color="auto" w:fill="A6A6A6" w:themeFill="background1" w:themeFillShade="A6"/>
            <w:noWrap/>
            <w:vAlign w:val="bottom"/>
          </w:tcPr>
          <w:p w14:paraId="1053826A" w14:textId="77777777" w:rsidR="00F506D8" w:rsidRPr="003E3C32" w:rsidRDefault="00F506D8" w:rsidP="00F506D8">
            <w:pPr>
              <w:jc w:val="right"/>
              <w:rPr>
                <w:color w:val="000000"/>
                <w:sz w:val="18"/>
                <w:szCs w:val="18"/>
              </w:rPr>
            </w:pPr>
          </w:p>
        </w:tc>
        <w:tc>
          <w:tcPr>
            <w:tcW w:w="0" w:type="auto"/>
            <w:shd w:val="clear" w:color="auto" w:fill="A6A6A6" w:themeFill="background1" w:themeFillShade="A6"/>
            <w:noWrap/>
            <w:vAlign w:val="bottom"/>
          </w:tcPr>
          <w:p w14:paraId="6EBEDED1" w14:textId="77777777" w:rsidR="00F506D8" w:rsidRPr="003E3C32" w:rsidRDefault="00F506D8" w:rsidP="00F506D8">
            <w:pPr>
              <w:jc w:val="right"/>
              <w:rPr>
                <w:color w:val="000000"/>
                <w:sz w:val="18"/>
                <w:szCs w:val="18"/>
              </w:rPr>
            </w:pPr>
          </w:p>
        </w:tc>
        <w:tc>
          <w:tcPr>
            <w:tcW w:w="1400" w:type="dxa"/>
            <w:shd w:val="clear" w:color="auto" w:fill="auto"/>
            <w:noWrap/>
            <w:vAlign w:val="bottom"/>
          </w:tcPr>
          <w:p w14:paraId="2B76EE9D" w14:textId="5A9073B8" w:rsidR="00F506D8" w:rsidRPr="003E3C32" w:rsidRDefault="00F506D8" w:rsidP="00F506D8">
            <w:pPr>
              <w:jc w:val="right"/>
              <w:rPr>
                <w:color w:val="000000"/>
                <w:sz w:val="18"/>
                <w:szCs w:val="18"/>
              </w:rPr>
            </w:pPr>
            <w:r w:rsidRPr="003E3C32">
              <w:rPr>
                <w:color w:val="000000"/>
                <w:sz w:val="18"/>
                <w:szCs w:val="18"/>
              </w:rPr>
              <w:t xml:space="preserve">           48,024 </w:t>
            </w:r>
          </w:p>
        </w:tc>
        <w:tc>
          <w:tcPr>
            <w:tcW w:w="1275" w:type="dxa"/>
            <w:shd w:val="clear" w:color="auto" w:fill="auto"/>
            <w:noWrap/>
            <w:vAlign w:val="bottom"/>
          </w:tcPr>
          <w:p w14:paraId="0CACCC17" w14:textId="07210763" w:rsidR="00F506D8" w:rsidRPr="003E3C32" w:rsidRDefault="00F506D8" w:rsidP="00F506D8">
            <w:pPr>
              <w:jc w:val="right"/>
              <w:rPr>
                <w:color w:val="000000"/>
                <w:sz w:val="18"/>
                <w:szCs w:val="18"/>
              </w:rPr>
            </w:pPr>
            <w:r w:rsidRPr="003E3C32">
              <w:rPr>
                <w:color w:val="000000"/>
                <w:sz w:val="18"/>
                <w:szCs w:val="18"/>
              </w:rPr>
              <w:t xml:space="preserve">           48,024 </w:t>
            </w:r>
          </w:p>
        </w:tc>
      </w:tr>
      <w:tr w:rsidR="00F506D8" w:rsidRPr="00C60E8A" w14:paraId="5BA9A469" w14:textId="77777777" w:rsidTr="00F77D55">
        <w:trPr>
          <w:trHeight w:val="203"/>
        </w:trPr>
        <w:tc>
          <w:tcPr>
            <w:tcW w:w="0" w:type="auto"/>
            <w:shd w:val="clear" w:color="auto" w:fill="auto"/>
            <w:noWrap/>
            <w:vAlign w:val="center"/>
            <w:hideMark/>
          </w:tcPr>
          <w:p w14:paraId="0DB1127F" w14:textId="3F2B7963" w:rsidR="00F506D8" w:rsidRPr="00C60E8A" w:rsidRDefault="00F506D8" w:rsidP="00F506D8">
            <w:pPr>
              <w:jc w:val="center"/>
              <w:rPr>
                <w:color w:val="000000"/>
                <w:sz w:val="18"/>
                <w:szCs w:val="18"/>
              </w:rPr>
            </w:pPr>
            <w:r w:rsidRPr="00603922">
              <w:rPr>
                <w:color w:val="000000"/>
                <w:sz w:val="18"/>
                <w:szCs w:val="18"/>
              </w:rPr>
              <w:t>10</w:t>
            </w:r>
          </w:p>
        </w:tc>
        <w:tc>
          <w:tcPr>
            <w:tcW w:w="4251" w:type="dxa"/>
            <w:shd w:val="clear" w:color="auto" w:fill="auto"/>
            <w:noWrap/>
            <w:vAlign w:val="bottom"/>
            <w:hideMark/>
          </w:tcPr>
          <w:p w14:paraId="5D1F50C6" w14:textId="05CB659E" w:rsidR="00F506D8" w:rsidRPr="00C60E8A" w:rsidRDefault="00F506D8" w:rsidP="00F506D8">
            <w:pPr>
              <w:rPr>
                <w:color w:val="000000"/>
                <w:sz w:val="18"/>
                <w:szCs w:val="18"/>
              </w:rPr>
            </w:pPr>
            <w:r>
              <w:rPr>
                <w:color w:val="000000"/>
                <w:sz w:val="18"/>
                <w:szCs w:val="18"/>
              </w:rPr>
              <w:t>Other Cash O</w:t>
            </w:r>
            <w:r w:rsidRPr="00603922">
              <w:rPr>
                <w:color w:val="000000"/>
                <w:sz w:val="18"/>
                <w:szCs w:val="18"/>
              </w:rPr>
              <w:t>utflows</w:t>
            </w:r>
          </w:p>
        </w:tc>
        <w:tc>
          <w:tcPr>
            <w:tcW w:w="0" w:type="auto"/>
            <w:shd w:val="clear" w:color="auto" w:fill="auto"/>
            <w:noWrap/>
            <w:vAlign w:val="bottom"/>
          </w:tcPr>
          <w:p w14:paraId="156AB671" w14:textId="3E6006CB" w:rsidR="00F506D8" w:rsidRPr="003E3C32" w:rsidRDefault="00F506D8" w:rsidP="00F506D8">
            <w:pPr>
              <w:jc w:val="right"/>
              <w:rPr>
                <w:color w:val="000000"/>
                <w:sz w:val="18"/>
                <w:szCs w:val="18"/>
              </w:rPr>
            </w:pPr>
            <w:r w:rsidRPr="003E3C32">
              <w:rPr>
                <w:color w:val="000000"/>
                <w:sz w:val="18"/>
                <w:szCs w:val="18"/>
              </w:rPr>
              <w:t xml:space="preserve">                   -   </w:t>
            </w:r>
          </w:p>
        </w:tc>
        <w:tc>
          <w:tcPr>
            <w:tcW w:w="0" w:type="auto"/>
            <w:shd w:val="clear" w:color="auto" w:fill="auto"/>
            <w:noWrap/>
            <w:vAlign w:val="bottom"/>
          </w:tcPr>
          <w:p w14:paraId="39E5BFDA" w14:textId="3C3CE690" w:rsidR="00F506D8" w:rsidRPr="003E3C32" w:rsidRDefault="00F506D8" w:rsidP="00F506D8">
            <w:pPr>
              <w:jc w:val="right"/>
              <w:rPr>
                <w:color w:val="000000"/>
                <w:sz w:val="18"/>
                <w:szCs w:val="18"/>
              </w:rPr>
            </w:pPr>
            <w:r w:rsidRPr="003E3C32">
              <w:rPr>
                <w:color w:val="000000"/>
                <w:sz w:val="18"/>
                <w:szCs w:val="18"/>
              </w:rPr>
              <w:t xml:space="preserve">                   -   </w:t>
            </w:r>
          </w:p>
        </w:tc>
        <w:tc>
          <w:tcPr>
            <w:tcW w:w="1400" w:type="dxa"/>
            <w:shd w:val="clear" w:color="auto" w:fill="auto"/>
            <w:noWrap/>
            <w:vAlign w:val="bottom"/>
          </w:tcPr>
          <w:p w14:paraId="3DFDEDE1" w14:textId="6F1CAF1D" w:rsidR="00F506D8" w:rsidRPr="003E3C32" w:rsidRDefault="00F506D8" w:rsidP="00F506D8">
            <w:pPr>
              <w:jc w:val="right"/>
              <w:rPr>
                <w:color w:val="000000"/>
                <w:sz w:val="18"/>
                <w:szCs w:val="18"/>
              </w:rPr>
            </w:pPr>
            <w:r w:rsidRPr="003E3C32">
              <w:rPr>
                <w:color w:val="000000"/>
                <w:sz w:val="18"/>
                <w:szCs w:val="18"/>
              </w:rPr>
              <w:t>- </w:t>
            </w:r>
          </w:p>
        </w:tc>
        <w:tc>
          <w:tcPr>
            <w:tcW w:w="1275" w:type="dxa"/>
            <w:shd w:val="clear" w:color="auto" w:fill="auto"/>
            <w:noWrap/>
            <w:vAlign w:val="bottom"/>
          </w:tcPr>
          <w:p w14:paraId="519BA8DA" w14:textId="7BCEEAFA" w:rsidR="00F506D8" w:rsidRPr="003E3C32" w:rsidRDefault="00F506D8" w:rsidP="00F506D8">
            <w:pPr>
              <w:jc w:val="right"/>
              <w:rPr>
                <w:color w:val="000000"/>
                <w:sz w:val="18"/>
                <w:szCs w:val="18"/>
              </w:rPr>
            </w:pPr>
            <w:r w:rsidRPr="003E3C32">
              <w:rPr>
                <w:color w:val="000000"/>
                <w:sz w:val="18"/>
                <w:szCs w:val="18"/>
              </w:rPr>
              <w:t>- </w:t>
            </w:r>
          </w:p>
        </w:tc>
      </w:tr>
      <w:tr w:rsidR="00F506D8" w:rsidRPr="00C60E8A" w14:paraId="21F94628" w14:textId="77777777" w:rsidTr="00F77D55">
        <w:trPr>
          <w:trHeight w:val="136"/>
        </w:trPr>
        <w:tc>
          <w:tcPr>
            <w:tcW w:w="0" w:type="auto"/>
            <w:shd w:val="clear" w:color="auto" w:fill="auto"/>
            <w:noWrap/>
            <w:vAlign w:val="center"/>
            <w:hideMark/>
          </w:tcPr>
          <w:p w14:paraId="16153B98" w14:textId="71B746B5" w:rsidR="00F506D8" w:rsidRPr="00C60E8A" w:rsidRDefault="00F506D8" w:rsidP="00F506D8">
            <w:pPr>
              <w:jc w:val="center"/>
              <w:rPr>
                <w:color w:val="000000"/>
                <w:sz w:val="18"/>
                <w:szCs w:val="18"/>
              </w:rPr>
            </w:pPr>
            <w:r w:rsidRPr="00603922">
              <w:rPr>
                <w:color w:val="000000"/>
                <w:sz w:val="18"/>
                <w:szCs w:val="18"/>
              </w:rPr>
              <w:t>11</w:t>
            </w:r>
          </w:p>
        </w:tc>
        <w:tc>
          <w:tcPr>
            <w:tcW w:w="4251" w:type="dxa"/>
            <w:shd w:val="clear" w:color="auto" w:fill="auto"/>
            <w:tcMar>
              <w:top w:w="0" w:type="dxa"/>
              <w:left w:w="270" w:type="dxa"/>
              <w:bottom w:w="0" w:type="dxa"/>
              <w:right w:w="0" w:type="dxa"/>
            </w:tcMar>
            <w:vAlign w:val="bottom"/>
            <w:hideMark/>
          </w:tcPr>
          <w:p w14:paraId="479BFBD4" w14:textId="3C100310" w:rsidR="00F506D8" w:rsidRPr="00C60E8A" w:rsidRDefault="00F506D8" w:rsidP="00F506D8">
            <w:pPr>
              <w:ind w:left="-271"/>
              <w:rPr>
                <w:color w:val="000000"/>
                <w:sz w:val="18"/>
                <w:szCs w:val="18"/>
              </w:rPr>
            </w:pPr>
            <w:r w:rsidRPr="00603922">
              <w:rPr>
                <w:color w:val="000000"/>
                <w:sz w:val="18"/>
                <w:szCs w:val="18"/>
              </w:rPr>
              <w:t xml:space="preserve">Derivative </w:t>
            </w:r>
            <w:r>
              <w:rPr>
                <w:color w:val="000000"/>
                <w:sz w:val="18"/>
                <w:szCs w:val="18"/>
              </w:rPr>
              <w:t>cash outflow and liquidity needs related to market valuation changes on derivatives or other transactions</w:t>
            </w:r>
          </w:p>
        </w:tc>
        <w:tc>
          <w:tcPr>
            <w:tcW w:w="0" w:type="auto"/>
            <w:shd w:val="clear" w:color="auto" w:fill="auto"/>
            <w:noWrap/>
            <w:vAlign w:val="bottom"/>
          </w:tcPr>
          <w:p w14:paraId="4618C40A" w14:textId="08810A24" w:rsidR="00F506D8" w:rsidRPr="003E3C32" w:rsidRDefault="00F506D8" w:rsidP="00F506D8">
            <w:pPr>
              <w:jc w:val="right"/>
              <w:rPr>
                <w:color w:val="000000"/>
                <w:sz w:val="18"/>
                <w:szCs w:val="18"/>
              </w:rPr>
            </w:pPr>
            <w:r w:rsidRPr="003E3C32">
              <w:rPr>
                <w:color w:val="000000"/>
                <w:sz w:val="18"/>
                <w:szCs w:val="18"/>
              </w:rPr>
              <w:t xml:space="preserve">           17,670 </w:t>
            </w:r>
          </w:p>
        </w:tc>
        <w:tc>
          <w:tcPr>
            <w:tcW w:w="0" w:type="auto"/>
            <w:shd w:val="clear" w:color="auto" w:fill="auto"/>
            <w:noWrap/>
            <w:vAlign w:val="bottom"/>
          </w:tcPr>
          <w:p w14:paraId="3F258D2C" w14:textId="066DDCFB" w:rsidR="00F506D8" w:rsidRPr="003E3C32" w:rsidRDefault="00F506D8" w:rsidP="00F506D8">
            <w:pPr>
              <w:jc w:val="right"/>
              <w:rPr>
                <w:color w:val="000000"/>
                <w:sz w:val="18"/>
                <w:szCs w:val="18"/>
              </w:rPr>
            </w:pPr>
            <w:r w:rsidRPr="003E3C32">
              <w:rPr>
                <w:color w:val="000000"/>
                <w:sz w:val="18"/>
                <w:szCs w:val="18"/>
              </w:rPr>
              <w:t xml:space="preserve">                   -   </w:t>
            </w:r>
          </w:p>
        </w:tc>
        <w:tc>
          <w:tcPr>
            <w:tcW w:w="1400" w:type="dxa"/>
            <w:shd w:val="clear" w:color="auto" w:fill="auto"/>
            <w:noWrap/>
            <w:vAlign w:val="bottom"/>
          </w:tcPr>
          <w:p w14:paraId="1EA5AD26" w14:textId="3E48E498" w:rsidR="00F506D8" w:rsidRPr="003E3C32" w:rsidRDefault="00F506D8" w:rsidP="00F506D8">
            <w:pPr>
              <w:jc w:val="right"/>
              <w:rPr>
                <w:color w:val="000000"/>
                <w:sz w:val="18"/>
                <w:szCs w:val="18"/>
              </w:rPr>
            </w:pPr>
            <w:r w:rsidRPr="003E3C32">
              <w:rPr>
                <w:color w:val="000000"/>
                <w:sz w:val="18"/>
                <w:szCs w:val="18"/>
              </w:rPr>
              <w:t xml:space="preserve">         600,172 </w:t>
            </w:r>
          </w:p>
        </w:tc>
        <w:tc>
          <w:tcPr>
            <w:tcW w:w="1275" w:type="dxa"/>
            <w:shd w:val="clear" w:color="auto" w:fill="auto"/>
            <w:noWrap/>
            <w:vAlign w:val="bottom"/>
          </w:tcPr>
          <w:p w14:paraId="54F04E50" w14:textId="15A92449" w:rsidR="00F506D8" w:rsidRPr="003E3C32" w:rsidRDefault="00F506D8" w:rsidP="00F506D8">
            <w:pPr>
              <w:jc w:val="right"/>
              <w:rPr>
                <w:color w:val="000000"/>
                <w:sz w:val="18"/>
                <w:szCs w:val="18"/>
              </w:rPr>
            </w:pPr>
            <w:r w:rsidRPr="003E3C32">
              <w:rPr>
                <w:color w:val="000000"/>
                <w:sz w:val="18"/>
                <w:szCs w:val="18"/>
              </w:rPr>
              <w:t xml:space="preserve">         319,265 </w:t>
            </w:r>
          </w:p>
        </w:tc>
      </w:tr>
      <w:tr w:rsidR="00F506D8" w:rsidRPr="00C60E8A" w14:paraId="57A0772E" w14:textId="77777777" w:rsidTr="00F77D55">
        <w:trPr>
          <w:trHeight w:val="169"/>
        </w:trPr>
        <w:tc>
          <w:tcPr>
            <w:tcW w:w="0" w:type="auto"/>
            <w:shd w:val="clear" w:color="auto" w:fill="auto"/>
            <w:noWrap/>
            <w:vAlign w:val="center"/>
            <w:hideMark/>
          </w:tcPr>
          <w:p w14:paraId="73052001" w14:textId="6A96B90E" w:rsidR="00F506D8" w:rsidRPr="00C60E8A" w:rsidRDefault="00F506D8" w:rsidP="00F506D8">
            <w:pPr>
              <w:jc w:val="center"/>
              <w:rPr>
                <w:color w:val="000000"/>
                <w:sz w:val="18"/>
                <w:szCs w:val="18"/>
              </w:rPr>
            </w:pPr>
            <w:r w:rsidRPr="00603922">
              <w:rPr>
                <w:color w:val="000000"/>
                <w:sz w:val="18"/>
                <w:szCs w:val="18"/>
              </w:rPr>
              <w:t>12</w:t>
            </w:r>
          </w:p>
        </w:tc>
        <w:tc>
          <w:tcPr>
            <w:tcW w:w="4251" w:type="dxa"/>
            <w:shd w:val="clear" w:color="auto" w:fill="auto"/>
            <w:noWrap/>
            <w:tcMar>
              <w:top w:w="0" w:type="dxa"/>
              <w:left w:w="270" w:type="dxa"/>
              <w:bottom w:w="0" w:type="dxa"/>
              <w:right w:w="0" w:type="dxa"/>
            </w:tcMar>
            <w:vAlign w:val="bottom"/>
            <w:hideMark/>
          </w:tcPr>
          <w:p w14:paraId="26A9BE66" w14:textId="26DDD09B" w:rsidR="00F506D8" w:rsidRPr="00C60E8A" w:rsidRDefault="00F506D8" w:rsidP="00F506D8">
            <w:pPr>
              <w:ind w:left="-129" w:hanging="142"/>
              <w:rPr>
                <w:color w:val="000000"/>
                <w:sz w:val="18"/>
                <w:szCs w:val="18"/>
              </w:rPr>
            </w:pPr>
            <w:r>
              <w:rPr>
                <w:color w:val="000000"/>
                <w:sz w:val="18"/>
                <w:szCs w:val="18"/>
              </w:rPr>
              <w:t>Obligations related to structured financial products</w:t>
            </w:r>
          </w:p>
        </w:tc>
        <w:tc>
          <w:tcPr>
            <w:tcW w:w="0" w:type="auto"/>
            <w:shd w:val="clear" w:color="auto" w:fill="auto"/>
            <w:noWrap/>
            <w:vAlign w:val="bottom"/>
          </w:tcPr>
          <w:p w14:paraId="58FA2898" w14:textId="3533C297" w:rsidR="00F506D8" w:rsidRPr="003E3C32" w:rsidRDefault="00F506D8" w:rsidP="00F506D8">
            <w:pPr>
              <w:jc w:val="right"/>
              <w:rPr>
                <w:color w:val="000000"/>
                <w:sz w:val="18"/>
                <w:szCs w:val="18"/>
              </w:rPr>
            </w:pPr>
            <w:r w:rsidRPr="003E3C32">
              <w:rPr>
                <w:color w:val="000000"/>
                <w:sz w:val="18"/>
                <w:szCs w:val="18"/>
              </w:rPr>
              <w:t xml:space="preserve">                   -   </w:t>
            </w:r>
          </w:p>
        </w:tc>
        <w:tc>
          <w:tcPr>
            <w:tcW w:w="0" w:type="auto"/>
            <w:shd w:val="clear" w:color="auto" w:fill="auto"/>
            <w:noWrap/>
            <w:vAlign w:val="bottom"/>
          </w:tcPr>
          <w:p w14:paraId="0FF42B62" w14:textId="73ED4EE1" w:rsidR="00F506D8" w:rsidRPr="003E3C32" w:rsidRDefault="00F506D8" w:rsidP="00F506D8">
            <w:pPr>
              <w:jc w:val="right"/>
              <w:rPr>
                <w:color w:val="000000"/>
                <w:sz w:val="18"/>
                <w:szCs w:val="18"/>
              </w:rPr>
            </w:pPr>
            <w:r w:rsidRPr="003E3C32">
              <w:rPr>
                <w:color w:val="000000"/>
                <w:sz w:val="18"/>
                <w:szCs w:val="18"/>
              </w:rPr>
              <w:t xml:space="preserve">                   -   </w:t>
            </w:r>
          </w:p>
        </w:tc>
        <w:tc>
          <w:tcPr>
            <w:tcW w:w="1400" w:type="dxa"/>
            <w:shd w:val="clear" w:color="auto" w:fill="auto"/>
            <w:noWrap/>
            <w:vAlign w:val="bottom"/>
          </w:tcPr>
          <w:p w14:paraId="2531121D" w14:textId="50D4AF68" w:rsidR="00F506D8" w:rsidRPr="003E3C32" w:rsidRDefault="00F506D8" w:rsidP="00F506D8">
            <w:pPr>
              <w:jc w:val="right"/>
              <w:rPr>
                <w:color w:val="000000"/>
                <w:sz w:val="18"/>
                <w:szCs w:val="18"/>
              </w:rPr>
            </w:pPr>
            <w:r w:rsidRPr="003E3C32">
              <w:rPr>
                <w:color w:val="000000"/>
                <w:sz w:val="18"/>
                <w:szCs w:val="18"/>
              </w:rPr>
              <w:t xml:space="preserve">                   -   </w:t>
            </w:r>
          </w:p>
        </w:tc>
        <w:tc>
          <w:tcPr>
            <w:tcW w:w="1275" w:type="dxa"/>
            <w:shd w:val="clear" w:color="auto" w:fill="auto"/>
            <w:noWrap/>
            <w:vAlign w:val="bottom"/>
          </w:tcPr>
          <w:p w14:paraId="6690AF42" w14:textId="3D3CBBBD" w:rsidR="00F506D8" w:rsidRPr="003E3C32" w:rsidRDefault="00F506D8" w:rsidP="00F506D8">
            <w:pPr>
              <w:jc w:val="right"/>
              <w:rPr>
                <w:color w:val="000000"/>
                <w:sz w:val="18"/>
                <w:szCs w:val="18"/>
              </w:rPr>
            </w:pPr>
            <w:r w:rsidRPr="003E3C32">
              <w:rPr>
                <w:color w:val="000000"/>
                <w:sz w:val="18"/>
                <w:szCs w:val="18"/>
              </w:rPr>
              <w:t xml:space="preserve">                   -   </w:t>
            </w:r>
          </w:p>
        </w:tc>
      </w:tr>
      <w:tr w:rsidR="00F506D8" w:rsidRPr="00C60E8A" w14:paraId="03E1262F" w14:textId="77777777" w:rsidTr="00F77D55">
        <w:trPr>
          <w:trHeight w:val="257"/>
        </w:trPr>
        <w:tc>
          <w:tcPr>
            <w:tcW w:w="0" w:type="auto"/>
            <w:shd w:val="clear" w:color="auto" w:fill="auto"/>
            <w:noWrap/>
            <w:vAlign w:val="center"/>
            <w:hideMark/>
          </w:tcPr>
          <w:p w14:paraId="4208F162" w14:textId="46575493" w:rsidR="00F506D8" w:rsidRPr="00C60E8A" w:rsidRDefault="00F506D8" w:rsidP="00F506D8">
            <w:pPr>
              <w:jc w:val="center"/>
              <w:rPr>
                <w:color w:val="000000"/>
                <w:sz w:val="18"/>
                <w:szCs w:val="18"/>
              </w:rPr>
            </w:pPr>
            <w:r w:rsidRPr="00603922">
              <w:rPr>
                <w:color w:val="000000"/>
                <w:sz w:val="18"/>
                <w:szCs w:val="18"/>
              </w:rPr>
              <w:t>13</w:t>
            </w:r>
          </w:p>
        </w:tc>
        <w:tc>
          <w:tcPr>
            <w:tcW w:w="4251" w:type="dxa"/>
            <w:shd w:val="clear" w:color="auto" w:fill="auto"/>
            <w:tcMar>
              <w:top w:w="0" w:type="dxa"/>
              <w:left w:w="270" w:type="dxa"/>
              <w:bottom w:w="0" w:type="dxa"/>
              <w:right w:w="0" w:type="dxa"/>
            </w:tcMar>
            <w:vAlign w:val="bottom"/>
            <w:hideMark/>
          </w:tcPr>
          <w:p w14:paraId="6C2115FD" w14:textId="04A5A2B9" w:rsidR="00F506D8" w:rsidRPr="00C60E8A" w:rsidRDefault="00F506D8" w:rsidP="00F506D8">
            <w:pPr>
              <w:ind w:left="-271"/>
              <w:rPr>
                <w:color w:val="000000"/>
                <w:sz w:val="18"/>
                <w:szCs w:val="18"/>
              </w:rPr>
            </w:pPr>
            <w:r>
              <w:rPr>
                <w:color w:val="000000"/>
                <w:sz w:val="18"/>
                <w:szCs w:val="18"/>
              </w:rPr>
              <w:t>Commitments related to debts to financial markets and other off-balance sheet obligations</w:t>
            </w:r>
          </w:p>
        </w:tc>
        <w:tc>
          <w:tcPr>
            <w:tcW w:w="0" w:type="auto"/>
            <w:shd w:val="clear" w:color="auto" w:fill="auto"/>
            <w:noWrap/>
            <w:vAlign w:val="bottom"/>
          </w:tcPr>
          <w:p w14:paraId="4C557F80" w14:textId="074EF8AC" w:rsidR="00F506D8" w:rsidRPr="003E3C32" w:rsidRDefault="00F506D8" w:rsidP="00F506D8">
            <w:pPr>
              <w:jc w:val="right"/>
              <w:rPr>
                <w:color w:val="000000"/>
                <w:sz w:val="18"/>
                <w:szCs w:val="18"/>
              </w:rPr>
            </w:pPr>
            <w:r w:rsidRPr="003E3C32">
              <w:rPr>
                <w:color w:val="000000"/>
                <w:sz w:val="18"/>
                <w:szCs w:val="18"/>
              </w:rPr>
              <w:t xml:space="preserve">                   -   </w:t>
            </w:r>
          </w:p>
        </w:tc>
        <w:tc>
          <w:tcPr>
            <w:tcW w:w="0" w:type="auto"/>
            <w:shd w:val="clear" w:color="auto" w:fill="auto"/>
            <w:noWrap/>
            <w:vAlign w:val="bottom"/>
          </w:tcPr>
          <w:p w14:paraId="07091D42" w14:textId="41EF4862" w:rsidR="00F506D8" w:rsidRPr="003E3C32" w:rsidRDefault="00F506D8" w:rsidP="00F506D8">
            <w:pPr>
              <w:jc w:val="right"/>
              <w:rPr>
                <w:color w:val="000000"/>
                <w:sz w:val="18"/>
                <w:szCs w:val="18"/>
              </w:rPr>
            </w:pPr>
            <w:r w:rsidRPr="003E3C32">
              <w:rPr>
                <w:color w:val="000000"/>
                <w:sz w:val="18"/>
                <w:szCs w:val="18"/>
              </w:rPr>
              <w:t xml:space="preserve">                   -   </w:t>
            </w:r>
          </w:p>
        </w:tc>
        <w:tc>
          <w:tcPr>
            <w:tcW w:w="1400" w:type="dxa"/>
            <w:shd w:val="clear" w:color="auto" w:fill="auto"/>
            <w:noWrap/>
            <w:vAlign w:val="bottom"/>
          </w:tcPr>
          <w:p w14:paraId="03B41298" w14:textId="2D8DA3F8" w:rsidR="00F506D8" w:rsidRPr="003E3C32" w:rsidRDefault="00F506D8" w:rsidP="00F506D8">
            <w:pPr>
              <w:jc w:val="right"/>
              <w:rPr>
                <w:color w:val="000000"/>
                <w:sz w:val="18"/>
                <w:szCs w:val="18"/>
              </w:rPr>
            </w:pPr>
            <w:r w:rsidRPr="003E3C32">
              <w:rPr>
                <w:color w:val="000000"/>
                <w:sz w:val="18"/>
                <w:szCs w:val="18"/>
              </w:rPr>
              <w:t xml:space="preserve">                   -   </w:t>
            </w:r>
          </w:p>
        </w:tc>
        <w:tc>
          <w:tcPr>
            <w:tcW w:w="1275" w:type="dxa"/>
            <w:shd w:val="clear" w:color="auto" w:fill="auto"/>
            <w:noWrap/>
            <w:vAlign w:val="bottom"/>
          </w:tcPr>
          <w:p w14:paraId="2E3A0BBD" w14:textId="584617EE" w:rsidR="00F506D8" w:rsidRPr="003E3C32" w:rsidRDefault="00F506D8" w:rsidP="00F506D8">
            <w:pPr>
              <w:jc w:val="right"/>
              <w:rPr>
                <w:color w:val="000000"/>
                <w:sz w:val="18"/>
                <w:szCs w:val="18"/>
              </w:rPr>
            </w:pPr>
            <w:r w:rsidRPr="003E3C32">
              <w:rPr>
                <w:color w:val="000000"/>
                <w:sz w:val="18"/>
                <w:szCs w:val="18"/>
              </w:rPr>
              <w:t xml:space="preserve">                   -   </w:t>
            </w:r>
          </w:p>
        </w:tc>
      </w:tr>
      <w:tr w:rsidR="00F506D8" w:rsidRPr="00C60E8A" w14:paraId="270A484F" w14:textId="77777777" w:rsidTr="00F77D55">
        <w:trPr>
          <w:trHeight w:val="447"/>
        </w:trPr>
        <w:tc>
          <w:tcPr>
            <w:tcW w:w="0" w:type="auto"/>
            <w:shd w:val="clear" w:color="auto" w:fill="auto"/>
            <w:noWrap/>
            <w:vAlign w:val="center"/>
            <w:hideMark/>
          </w:tcPr>
          <w:p w14:paraId="6F82885A" w14:textId="472B063C" w:rsidR="00F506D8" w:rsidRPr="00C60E8A" w:rsidRDefault="00F506D8" w:rsidP="00F506D8">
            <w:pPr>
              <w:jc w:val="center"/>
              <w:rPr>
                <w:color w:val="000000"/>
                <w:sz w:val="18"/>
                <w:szCs w:val="18"/>
              </w:rPr>
            </w:pPr>
            <w:r w:rsidRPr="00603922">
              <w:rPr>
                <w:color w:val="000000"/>
                <w:sz w:val="18"/>
                <w:szCs w:val="18"/>
              </w:rPr>
              <w:t>14</w:t>
            </w:r>
          </w:p>
        </w:tc>
        <w:tc>
          <w:tcPr>
            <w:tcW w:w="4251" w:type="dxa"/>
            <w:shd w:val="clear" w:color="auto" w:fill="auto"/>
            <w:vAlign w:val="bottom"/>
            <w:hideMark/>
          </w:tcPr>
          <w:p w14:paraId="7DB5D622" w14:textId="4F5662D3" w:rsidR="00F506D8" w:rsidRPr="00C60E8A" w:rsidRDefault="00F506D8" w:rsidP="00F506D8">
            <w:pPr>
              <w:rPr>
                <w:color w:val="000000"/>
                <w:sz w:val="18"/>
                <w:szCs w:val="18"/>
              </w:rPr>
            </w:pPr>
            <w:r>
              <w:rPr>
                <w:color w:val="000000"/>
                <w:sz w:val="18"/>
                <w:szCs w:val="18"/>
              </w:rPr>
              <w:t>Other revocable off-balance sheet commitments and contractual obligations</w:t>
            </w:r>
          </w:p>
        </w:tc>
        <w:tc>
          <w:tcPr>
            <w:tcW w:w="0" w:type="auto"/>
            <w:shd w:val="clear" w:color="auto" w:fill="auto"/>
            <w:noWrap/>
            <w:vAlign w:val="bottom"/>
          </w:tcPr>
          <w:p w14:paraId="43E4D6DB" w14:textId="68C042B5" w:rsidR="00F506D8" w:rsidRPr="003E3C32" w:rsidRDefault="00F506D8" w:rsidP="00F506D8">
            <w:pPr>
              <w:jc w:val="right"/>
              <w:rPr>
                <w:color w:val="000000"/>
                <w:sz w:val="18"/>
                <w:szCs w:val="18"/>
              </w:rPr>
            </w:pPr>
            <w:r w:rsidRPr="003E3C32">
              <w:rPr>
                <w:color w:val="000000"/>
                <w:sz w:val="18"/>
                <w:szCs w:val="18"/>
              </w:rPr>
              <w:t xml:space="preserve">      1,814,138 </w:t>
            </w:r>
          </w:p>
        </w:tc>
        <w:tc>
          <w:tcPr>
            <w:tcW w:w="0" w:type="auto"/>
            <w:shd w:val="clear" w:color="auto" w:fill="auto"/>
            <w:noWrap/>
            <w:vAlign w:val="bottom"/>
          </w:tcPr>
          <w:p w14:paraId="3D1356D1" w14:textId="59D06BE6" w:rsidR="00F506D8" w:rsidRPr="003E3C32" w:rsidRDefault="00F506D8" w:rsidP="00F506D8">
            <w:pPr>
              <w:jc w:val="right"/>
              <w:rPr>
                <w:color w:val="000000"/>
                <w:sz w:val="18"/>
                <w:szCs w:val="18"/>
              </w:rPr>
            </w:pPr>
            <w:r w:rsidRPr="003E3C32">
              <w:rPr>
                <w:color w:val="000000"/>
                <w:sz w:val="18"/>
                <w:szCs w:val="18"/>
              </w:rPr>
              <w:t xml:space="preserve">         845,763 </w:t>
            </w:r>
          </w:p>
        </w:tc>
        <w:tc>
          <w:tcPr>
            <w:tcW w:w="1400" w:type="dxa"/>
            <w:shd w:val="clear" w:color="auto" w:fill="auto"/>
            <w:noWrap/>
            <w:vAlign w:val="bottom"/>
          </w:tcPr>
          <w:p w14:paraId="29F65FCD" w14:textId="3E95AF15" w:rsidR="00F506D8" w:rsidRPr="003E3C32" w:rsidRDefault="00F506D8" w:rsidP="00F506D8">
            <w:pPr>
              <w:jc w:val="right"/>
              <w:rPr>
                <w:color w:val="000000"/>
                <w:sz w:val="18"/>
                <w:szCs w:val="18"/>
              </w:rPr>
            </w:pPr>
            <w:r w:rsidRPr="003E3C32">
              <w:rPr>
                <w:color w:val="000000"/>
                <w:sz w:val="18"/>
                <w:szCs w:val="18"/>
              </w:rPr>
              <w:t xml:space="preserve">         238,629 </w:t>
            </w:r>
          </w:p>
        </w:tc>
        <w:tc>
          <w:tcPr>
            <w:tcW w:w="1275" w:type="dxa"/>
            <w:shd w:val="clear" w:color="auto" w:fill="auto"/>
            <w:noWrap/>
            <w:vAlign w:val="bottom"/>
          </w:tcPr>
          <w:p w14:paraId="6BC60713" w14:textId="04F5291E" w:rsidR="00F506D8" w:rsidRPr="003E3C32" w:rsidRDefault="00F506D8" w:rsidP="00F506D8">
            <w:pPr>
              <w:jc w:val="right"/>
              <w:rPr>
                <w:color w:val="000000"/>
                <w:sz w:val="18"/>
                <w:szCs w:val="18"/>
              </w:rPr>
            </w:pPr>
            <w:r w:rsidRPr="003E3C32">
              <w:rPr>
                <w:color w:val="000000"/>
                <w:sz w:val="18"/>
                <w:szCs w:val="18"/>
              </w:rPr>
              <w:t xml:space="preserve">         111,009 </w:t>
            </w:r>
          </w:p>
        </w:tc>
      </w:tr>
      <w:tr w:rsidR="00F506D8" w:rsidRPr="00C60E8A" w14:paraId="5B771E26" w14:textId="77777777" w:rsidTr="00F77D55">
        <w:trPr>
          <w:trHeight w:val="185"/>
        </w:trPr>
        <w:tc>
          <w:tcPr>
            <w:tcW w:w="0" w:type="auto"/>
            <w:shd w:val="clear" w:color="auto" w:fill="auto"/>
            <w:noWrap/>
            <w:vAlign w:val="center"/>
            <w:hideMark/>
          </w:tcPr>
          <w:p w14:paraId="5084C176" w14:textId="44105443" w:rsidR="00F506D8" w:rsidRPr="00C60E8A" w:rsidRDefault="00F506D8" w:rsidP="00F506D8">
            <w:pPr>
              <w:jc w:val="center"/>
              <w:rPr>
                <w:color w:val="000000"/>
                <w:sz w:val="18"/>
                <w:szCs w:val="18"/>
              </w:rPr>
            </w:pPr>
            <w:r w:rsidRPr="00603922">
              <w:rPr>
                <w:color w:val="000000"/>
                <w:sz w:val="18"/>
                <w:szCs w:val="18"/>
              </w:rPr>
              <w:t>15</w:t>
            </w:r>
          </w:p>
        </w:tc>
        <w:tc>
          <w:tcPr>
            <w:tcW w:w="4251" w:type="dxa"/>
            <w:shd w:val="clear" w:color="auto" w:fill="auto"/>
            <w:vAlign w:val="bottom"/>
            <w:hideMark/>
          </w:tcPr>
          <w:p w14:paraId="0FFE9FA4" w14:textId="05264676" w:rsidR="00F506D8" w:rsidRPr="00C60E8A" w:rsidRDefault="00F506D8" w:rsidP="00F506D8">
            <w:pPr>
              <w:rPr>
                <w:color w:val="000000"/>
                <w:sz w:val="18"/>
                <w:szCs w:val="18"/>
              </w:rPr>
            </w:pPr>
            <w:r w:rsidRPr="00603922">
              <w:rPr>
                <w:color w:val="000000"/>
                <w:sz w:val="18"/>
                <w:szCs w:val="18"/>
              </w:rPr>
              <w:t xml:space="preserve">Other irrevocable or </w:t>
            </w:r>
            <w:r>
              <w:rPr>
                <w:color w:val="000000"/>
                <w:sz w:val="18"/>
                <w:szCs w:val="18"/>
              </w:rPr>
              <w:t>conditionally revocable off-balance sheet obligations</w:t>
            </w:r>
          </w:p>
        </w:tc>
        <w:tc>
          <w:tcPr>
            <w:tcW w:w="0" w:type="auto"/>
            <w:shd w:val="clear" w:color="auto" w:fill="auto"/>
            <w:noWrap/>
            <w:vAlign w:val="bottom"/>
          </w:tcPr>
          <w:p w14:paraId="363F0CE7" w14:textId="77749BF6" w:rsidR="00F506D8" w:rsidRPr="003E3C32" w:rsidRDefault="00F506D8" w:rsidP="00F506D8">
            <w:pPr>
              <w:jc w:val="right"/>
              <w:rPr>
                <w:color w:val="000000"/>
                <w:sz w:val="18"/>
                <w:szCs w:val="18"/>
              </w:rPr>
            </w:pPr>
            <w:r w:rsidRPr="003E3C32">
              <w:rPr>
                <w:color w:val="000000"/>
                <w:sz w:val="18"/>
                <w:szCs w:val="18"/>
              </w:rPr>
              <w:t xml:space="preserve">      1,014,587 </w:t>
            </w:r>
          </w:p>
        </w:tc>
        <w:tc>
          <w:tcPr>
            <w:tcW w:w="0" w:type="auto"/>
            <w:shd w:val="clear" w:color="auto" w:fill="auto"/>
            <w:noWrap/>
            <w:vAlign w:val="bottom"/>
          </w:tcPr>
          <w:p w14:paraId="2BDEC7D8" w14:textId="65059D15" w:rsidR="00F506D8" w:rsidRPr="003E3C32" w:rsidRDefault="00F506D8" w:rsidP="00F506D8">
            <w:pPr>
              <w:jc w:val="right"/>
              <w:rPr>
                <w:color w:val="000000"/>
                <w:sz w:val="18"/>
                <w:szCs w:val="18"/>
              </w:rPr>
            </w:pPr>
            <w:r w:rsidRPr="003E3C32">
              <w:rPr>
                <w:color w:val="000000"/>
                <w:sz w:val="18"/>
                <w:szCs w:val="18"/>
              </w:rPr>
              <w:t xml:space="preserve">         451,147 </w:t>
            </w:r>
          </w:p>
        </w:tc>
        <w:tc>
          <w:tcPr>
            <w:tcW w:w="1400" w:type="dxa"/>
            <w:shd w:val="clear" w:color="auto" w:fill="auto"/>
            <w:noWrap/>
            <w:vAlign w:val="bottom"/>
          </w:tcPr>
          <w:p w14:paraId="1CA57FB7" w14:textId="6CB46BC0" w:rsidR="00F506D8" w:rsidRPr="003E3C32" w:rsidRDefault="00F506D8" w:rsidP="00F506D8">
            <w:pPr>
              <w:jc w:val="right"/>
              <w:rPr>
                <w:color w:val="000000"/>
                <w:sz w:val="18"/>
                <w:szCs w:val="18"/>
              </w:rPr>
            </w:pPr>
            <w:r w:rsidRPr="003E3C32">
              <w:rPr>
                <w:color w:val="000000"/>
                <w:sz w:val="18"/>
                <w:szCs w:val="18"/>
              </w:rPr>
              <w:t xml:space="preserve">           50,729 </w:t>
            </w:r>
          </w:p>
        </w:tc>
        <w:tc>
          <w:tcPr>
            <w:tcW w:w="1275" w:type="dxa"/>
            <w:shd w:val="clear" w:color="auto" w:fill="auto"/>
            <w:noWrap/>
            <w:vAlign w:val="bottom"/>
          </w:tcPr>
          <w:p w14:paraId="14214595" w14:textId="0B6BB72F" w:rsidR="00F506D8" w:rsidRPr="003E3C32" w:rsidRDefault="00F506D8" w:rsidP="00F506D8">
            <w:pPr>
              <w:jc w:val="right"/>
              <w:rPr>
                <w:color w:val="000000"/>
                <w:sz w:val="18"/>
                <w:szCs w:val="18"/>
              </w:rPr>
            </w:pPr>
            <w:r w:rsidRPr="003E3C32">
              <w:rPr>
                <w:color w:val="000000"/>
                <w:sz w:val="18"/>
                <w:szCs w:val="18"/>
              </w:rPr>
              <w:t xml:space="preserve">           22,557 </w:t>
            </w:r>
          </w:p>
        </w:tc>
      </w:tr>
      <w:tr w:rsidR="00224102" w:rsidRPr="00C60E8A" w14:paraId="6E55036E" w14:textId="77777777" w:rsidTr="00F77D55">
        <w:trPr>
          <w:trHeight w:val="233"/>
        </w:trPr>
        <w:tc>
          <w:tcPr>
            <w:tcW w:w="0" w:type="auto"/>
            <w:shd w:val="clear" w:color="auto" w:fill="auto"/>
            <w:noWrap/>
            <w:vAlign w:val="center"/>
            <w:hideMark/>
          </w:tcPr>
          <w:p w14:paraId="03CC7A6A" w14:textId="77777777" w:rsidR="00224102" w:rsidRPr="00C60E8A" w:rsidRDefault="00224102" w:rsidP="00224102">
            <w:pPr>
              <w:jc w:val="center"/>
              <w:rPr>
                <w:bCs/>
                <w:color w:val="000000"/>
                <w:sz w:val="18"/>
                <w:szCs w:val="18"/>
              </w:rPr>
            </w:pPr>
            <w:r w:rsidRPr="00C60E8A">
              <w:rPr>
                <w:bCs/>
                <w:color w:val="000000"/>
                <w:sz w:val="18"/>
                <w:szCs w:val="18"/>
              </w:rPr>
              <w:t>16</w:t>
            </w:r>
          </w:p>
        </w:tc>
        <w:tc>
          <w:tcPr>
            <w:tcW w:w="4251" w:type="dxa"/>
            <w:shd w:val="clear" w:color="auto" w:fill="auto"/>
            <w:noWrap/>
            <w:vAlign w:val="center"/>
            <w:hideMark/>
          </w:tcPr>
          <w:p w14:paraId="5680E97B" w14:textId="6C8454D1" w:rsidR="00224102" w:rsidRPr="00C60E8A" w:rsidRDefault="00224102" w:rsidP="00224102">
            <w:pPr>
              <w:rPr>
                <w:b/>
                <w:bCs/>
                <w:color w:val="000000"/>
                <w:sz w:val="18"/>
                <w:szCs w:val="18"/>
              </w:rPr>
            </w:pPr>
            <w:r w:rsidRPr="00C60E8A">
              <w:rPr>
                <w:b/>
                <w:bCs/>
                <w:color w:val="000000"/>
                <w:sz w:val="18"/>
                <w:szCs w:val="18"/>
              </w:rPr>
              <w:t>TOTAL CASH OUTFLOWS</w:t>
            </w:r>
          </w:p>
        </w:tc>
        <w:tc>
          <w:tcPr>
            <w:tcW w:w="0" w:type="auto"/>
            <w:shd w:val="clear" w:color="auto" w:fill="auto"/>
            <w:noWrap/>
            <w:vAlign w:val="bottom"/>
          </w:tcPr>
          <w:p w14:paraId="2A89FDA2" w14:textId="77650011" w:rsidR="00224102" w:rsidRPr="003E3C32" w:rsidRDefault="003E3C32" w:rsidP="00224102">
            <w:pPr>
              <w:jc w:val="right"/>
              <w:rPr>
                <w:color w:val="000000"/>
                <w:sz w:val="18"/>
                <w:szCs w:val="18"/>
              </w:rPr>
            </w:pPr>
            <w:r>
              <w:rPr>
                <w:color w:val="000000"/>
                <w:sz w:val="18"/>
                <w:szCs w:val="18"/>
              </w:rPr>
              <w:t>-</w:t>
            </w:r>
            <w:r w:rsidR="00224102" w:rsidRPr="003E3C32">
              <w:rPr>
                <w:color w:val="000000"/>
                <w:sz w:val="18"/>
                <w:szCs w:val="18"/>
              </w:rPr>
              <w:t> </w:t>
            </w:r>
          </w:p>
        </w:tc>
        <w:tc>
          <w:tcPr>
            <w:tcW w:w="0" w:type="auto"/>
            <w:shd w:val="clear" w:color="auto" w:fill="auto"/>
            <w:noWrap/>
            <w:vAlign w:val="bottom"/>
          </w:tcPr>
          <w:p w14:paraId="0AD4038D" w14:textId="78C092F8" w:rsidR="00224102" w:rsidRPr="003E3C32" w:rsidRDefault="003E3C32" w:rsidP="00224102">
            <w:pPr>
              <w:jc w:val="right"/>
              <w:rPr>
                <w:color w:val="000000"/>
                <w:sz w:val="18"/>
                <w:szCs w:val="18"/>
              </w:rPr>
            </w:pPr>
            <w:r>
              <w:rPr>
                <w:color w:val="000000"/>
                <w:sz w:val="18"/>
                <w:szCs w:val="18"/>
              </w:rPr>
              <w:t>-</w:t>
            </w:r>
            <w:r w:rsidR="00224102" w:rsidRPr="003E3C32">
              <w:rPr>
                <w:color w:val="000000"/>
                <w:sz w:val="18"/>
                <w:szCs w:val="18"/>
              </w:rPr>
              <w:t> </w:t>
            </w:r>
          </w:p>
        </w:tc>
        <w:tc>
          <w:tcPr>
            <w:tcW w:w="1400" w:type="dxa"/>
            <w:shd w:val="clear" w:color="auto" w:fill="auto"/>
            <w:noWrap/>
            <w:vAlign w:val="bottom"/>
          </w:tcPr>
          <w:p w14:paraId="0298E795" w14:textId="18DE9C56" w:rsidR="00224102" w:rsidRPr="003E3C32" w:rsidRDefault="00224102" w:rsidP="00224102">
            <w:pPr>
              <w:jc w:val="right"/>
              <w:rPr>
                <w:color w:val="000000"/>
                <w:sz w:val="18"/>
                <w:szCs w:val="18"/>
              </w:rPr>
            </w:pPr>
            <w:r w:rsidRPr="003E3C32">
              <w:rPr>
                <w:color w:val="000000"/>
                <w:sz w:val="18"/>
                <w:szCs w:val="18"/>
              </w:rPr>
              <w:t xml:space="preserve">      3,506,771 </w:t>
            </w:r>
          </w:p>
        </w:tc>
        <w:tc>
          <w:tcPr>
            <w:tcW w:w="1275" w:type="dxa"/>
            <w:shd w:val="clear" w:color="auto" w:fill="auto"/>
            <w:noWrap/>
            <w:vAlign w:val="bottom"/>
          </w:tcPr>
          <w:p w14:paraId="3EF8EAD0" w14:textId="08274AEB" w:rsidR="00224102" w:rsidRPr="003E3C32" w:rsidRDefault="00224102" w:rsidP="00224102">
            <w:pPr>
              <w:jc w:val="right"/>
              <w:rPr>
                <w:color w:val="000000"/>
                <w:sz w:val="18"/>
                <w:szCs w:val="18"/>
              </w:rPr>
            </w:pPr>
            <w:r w:rsidRPr="003E3C32">
              <w:rPr>
                <w:color w:val="000000"/>
                <w:sz w:val="18"/>
                <w:szCs w:val="18"/>
              </w:rPr>
              <w:t xml:space="preserve">      1,890,507 </w:t>
            </w:r>
          </w:p>
        </w:tc>
      </w:tr>
      <w:tr w:rsidR="00195EDC" w:rsidRPr="00C60E8A" w14:paraId="74C5F3D5" w14:textId="77777777" w:rsidTr="00F77D55">
        <w:trPr>
          <w:trHeight w:val="291"/>
        </w:trPr>
        <w:tc>
          <w:tcPr>
            <w:tcW w:w="9644" w:type="dxa"/>
            <w:gridSpan w:val="6"/>
            <w:shd w:val="clear" w:color="auto" w:fill="auto"/>
            <w:noWrap/>
            <w:vAlign w:val="bottom"/>
          </w:tcPr>
          <w:p w14:paraId="4E7189F2" w14:textId="76C4AFFE" w:rsidR="00195EDC" w:rsidRPr="00C60E8A" w:rsidRDefault="00C60E8A" w:rsidP="00F77D55">
            <w:pPr>
              <w:rPr>
                <w:b/>
                <w:bCs/>
                <w:color w:val="000000"/>
                <w:sz w:val="18"/>
                <w:szCs w:val="18"/>
              </w:rPr>
            </w:pPr>
            <w:r w:rsidRPr="00C60E8A">
              <w:rPr>
                <w:b/>
                <w:bCs/>
                <w:color w:val="000000"/>
                <w:sz w:val="18"/>
                <w:szCs w:val="18"/>
                <w:lang w:val="tr-TR"/>
              </w:rPr>
              <w:t>CASH INFLOWS</w:t>
            </w:r>
          </w:p>
        </w:tc>
      </w:tr>
      <w:tr w:rsidR="00F506D8" w:rsidRPr="00C60E8A" w14:paraId="3367DE98" w14:textId="77777777" w:rsidTr="00F77D55">
        <w:trPr>
          <w:trHeight w:val="241"/>
        </w:trPr>
        <w:tc>
          <w:tcPr>
            <w:tcW w:w="0" w:type="auto"/>
            <w:shd w:val="clear" w:color="auto" w:fill="auto"/>
            <w:noWrap/>
            <w:vAlign w:val="center"/>
            <w:hideMark/>
          </w:tcPr>
          <w:p w14:paraId="69283A4C" w14:textId="01997484" w:rsidR="00F506D8" w:rsidRPr="00C60E8A" w:rsidRDefault="00F506D8" w:rsidP="00F506D8">
            <w:pPr>
              <w:jc w:val="center"/>
              <w:rPr>
                <w:color w:val="000000"/>
                <w:sz w:val="18"/>
                <w:szCs w:val="18"/>
              </w:rPr>
            </w:pPr>
            <w:r w:rsidRPr="00603922">
              <w:rPr>
                <w:color w:val="000000"/>
                <w:sz w:val="18"/>
                <w:szCs w:val="18"/>
              </w:rPr>
              <w:t>17</w:t>
            </w:r>
          </w:p>
        </w:tc>
        <w:tc>
          <w:tcPr>
            <w:tcW w:w="4251" w:type="dxa"/>
            <w:shd w:val="clear" w:color="auto" w:fill="auto"/>
            <w:noWrap/>
            <w:vAlign w:val="bottom"/>
            <w:hideMark/>
          </w:tcPr>
          <w:p w14:paraId="475162A1" w14:textId="5EA86384" w:rsidR="00F506D8" w:rsidRPr="00C60E8A" w:rsidRDefault="00F506D8" w:rsidP="00F506D8">
            <w:pPr>
              <w:rPr>
                <w:color w:val="000000"/>
                <w:sz w:val="18"/>
                <w:szCs w:val="18"/>
              </w:rPr>
            </w:pPr>
            <w:r w:rsidRPr="00603922">
              <w:rPr>
                <w:color w:val="000000"/>
                <w:sz w:val="18"/>
                <w:szCs w:val="18"/>
              </w:rPr>
              <w:t xml:space="preserve">Secured </w:t>
            </w:r>
            <w:r>
              <w:rPr>
                <w:color w:val="000000"/>
                <w:sz w:val="18"/>
                <w:szCs w:val="18"/>
              </w:rPr>
              <w:t>lending</w:t>
            </w:r>
          </w:p>
        </w:tc>
        <w:tc>
          <w:tcPr>
            <w:tcW w:w="0" w:type="auto"/>
            <w:shd w:val="clear" w:color="auto" w:fill="auto"/>
            <w:noWrap/>
            <w:vAlign w:val="bottom"/>
          </w:tcPr>
          <w:p w14:paraId="18419F58" w14:textId="1BAC4A1C" w:rsidR="00F506D8" w:rsidRPr="003E3C32" w:rsidRDefault="00F506D8" w:rsidP="00F506D8">
            <w:pPr>
              <w:jc w:val="right"/>
              <w:rPr>
                <w:color w:val="000000"/>
                <w:sz w:val="18"/>
                <w:szCs w:val="18"/>
              </w:rPr>
            </w:pPr>
            <w:r w:rsidRPr="003E3C32">
              <w:rPr>
                <w:color w:val="000000"/>
                <w:sz w:val="18"/>
                <w:szCs w:val="18"/>
              </w:rPr>
              <w:t xml:space="preserve">         271,747 </w:t>
            </w:r>
          </w:p>
        </w:tc>
        <w:tc>
          <w:tcPr>
            <w:tcW w:w="0" w:type="auto"/>
            <w:shd w:val="clear" w:color="auto" w:fill="auto"/>
            <w:noWrap/>
            <w:vAlign w:val="bottom"/>
          </w:tcPr>
          <w:p w14:paraId="288AB92E" w14:textId="1603B369" w:rsidR="00F506D8" w:rsidRPr="003E3C32" w:rsidRDefault="00F506D8" w:rsidP="00F506D8">
            <w:pPr>
              <w:jc w:val="right"/>
              <w:rPr>
                <w:color w:val="000000"/>
                <w:sz w:val="18"/>
                <w:szCs w:val="18"/>
              </w:rPr>
            </w:pPr>
            <w:r w:rsidRPr="003E3C32">
              <w:rPr>
                <w:color w:val="000000"/>
                <w:sz w:val="18"/>
                <w:szCs w:val="18"/>
              </w:rPr>
              <w:t xml:space="preserve">                        -  </w:t>
            </w:r>
          </w:p>
        </w:tc>
        <w:tc>
          <w:tcPr>
            <w:tcW w:w="1400" w:type="dxa"/>
            <w:shd w:val="clear" w:color="auto" w:fill="auto"/>
            <w:noWrap/>
            <w:vAlign w:val="bottom"/>
          </w:tcPr>
          <w:p w14:paraId="6CEED4C1" w14:textId="3E3B00D9" w:rsidR="00F506D8" w:rsidRPr="003E3C32" w:rsidRDefault="00F506D8" w:rsidP="00F506D8">
            <w:pPr>
              <w:jc w:val="right"/>
              <w:rPr>
                <w:color w:val="000000"/>
                <w:sz w:val="18"/>
                <w:szCs w:val="18"/>
              </w:rPr>
            </w:pPr>
            <w:r w:rsidRPr="003E3C32">
              <w:rPr>
                <w:color w:val="000000"/>
                <w:sz w:val="18"/>
                <w:szCs w:val="18"/>
              </w:rPr>
              <w:t xml:space="preserve">      1,034,769 </w:t>
            </w:r>
          </w:p>
        </w:tc>
        <w:tc>
          <w:tcPr>
            <w:tcW w:w="1275" w:type="dxa"/>
            <w:shd w:val="clear" w:color="auto" w:fill="auto"/>
            <w:noWrap/>
            <w:vAlign w:val="bottom"/>
          </w:tcPr>
          <w:p w14:paraId="2164CF0D" w14:textId="20FD08C3" w:rsidR="00F506D8" w:rsidRPr="003E3C32" w:rsidRDefault="00F506D8" w:rsidP="00F506D8">
            <w:pPr>
              <w:jc w:val="right"/>
              <w:rPr>
                <w:color w:val="000000"/>
                <w:sz w:val="18"/>
                <w:szCs w:val="18"/>
              </w:rPr>
            </w:pPr>
            <w:r w:rsidRPr="003E3C32">
              <w:rPr>
                <w:color w:val="000000"/>
                <w:sz w:val="18"/>
                <w:szCs w:val="18"/>
              </w:rPr>
              <w:t xml:space="preserve">         398,149 </w:t>
            </w:r>
          </w:p>
        </w:tc>
      </w:tr>
      <w:tr w:rsidR="00F506D8" w:rsidRPr="00C60E8A" w14:paraId="7E645E0D" w14:textId="77777777" w:rsidTr="00F77D55">
        <w:trPr>
          <w:trHeight w:val="145"/>
        </w:trPr>
        <w:tc>
          <w:tcPr>
            <w:tcW w:w="0" w:type="auto"/>
            <w:shd w:val="clear" w:color="auto" w:fill="auto"/>
            <w:noWrap/>
            <w:vAlign w:val="center"/>
            <w:hideMark/>
          </w:tcPr>
          <w:p w14:paraId="32D341E4" w14:textId="4E10373A" w:rsidR="00F506D8" w:rsidRPr="00C60E8A" w:rsidRDefault="00F506D8" w:rsidP="00F506D8">
            <w:pPr>
              <w:jc w:val="center"/>
              <w:rPr>
                <w:color w:val="000000"/>
                <w:sz w:val="18"/>
                <w:szCs w:val="18"/>
              </w:rPr>
            </w:pPr>
            <w:r w:rsidRPr="00603922">
              <w:rPr>
                <w:color w:val="000000"/>
                <w:sz w:val="18"/>
                <w:szCs w:val="18"/>
              </w:rPr>
              <w:t>18</w:t>
            </w:r>
          </w:p>
        </w:tc>
        <w:tc>
          <w:tcPr>
            <w:tcW w:w="4251" w:type="dxa"/>
            <w:shd w:val="clear" w:color="auto" w:fill="auto"/>
            <w:noWrap/>
            <w:vAlign w:val="bottom"/>
            <w:hideMark/>
          </w:tcPr>
          <w:p w14:paraId="6D93850B" w14:textId="73A96CB9" w:rsidR="00F506D8" w:rsidRPr="00C60E8A" w:rsidRDefault="00F506D8" w:rsidP="00F506D8">
            <w:pPr>
              <w:rPr>
                <w:color w:val="000000"/>
                <w:sz w:val="18"/>
                <w:szCs w:val="18"/>
              </w:rPr>
            </w:pPr>
            <w:r w:rsidRPr="00603922">
              <w:rPr>
                <w:color w:val="000000"/>
                <w:sz w:val="18"/>
                <w:szCs w:val="18"/>
              </w:rPr>
              <w:t xml:space="preserve">Unsecured </w:t>
            </w:r>
            <w:r>
              <w:rPr>
                <w:color w:val="000000"/>
                <w:sz w:val="18"/>
                <w:szCs w:val="18"/>
              </w:rPr>
              <w:t>lending</w:t>
            </w:r>
          </w:p>
        </w:tc>
        <w:tc>
          <w:tcPr>
            <w:tcW w:w="0" w:type="auto"/>
            <w:shd w:val="clear" w:color="auto" w:fill="auto"/>
            <w:noWrap/>
            <w:vAlign w:val="bottom"/>
          </w:tcPr>
          <w:p w14:paraId="4F63E032" w14:textId="6483C455" w:rsidR="00F506D8" w:rsidRPr="003E3C32" w:rsidRDefault="00F506D8" w:rsidP="00F506D8">
            <w:pPr>
              <w:jc w:val="right"/>
              <w:rPr>
                <w:color w:val="000000"/>
                <w:sz w:val="18"/>
                <w:szCs w:val="18"/>
              </w:rPr>
            </w:pPr>
            <w:r w:rsidRPr="003E3C32">
              <w:rPr>
                <w:color w:val="000000"/>
                <w:sz w:val="18"/>
                <w:szCs w:val="18"/>
              </w:rPr>
              <w:t xml:space="preserve">      1,536,650 </w:t>
            </w:r>
          </w:p>
        </w:tc>
        <w:tc>
          <w:tcPr>
            <w:tcW w:w="0" w:type="auto"/>
            <w:shd w:val="clear" w:color="auto" w:fill="auto"/>
            <w:noWrap/>
            <w:vAlign w:val="bottom"/>
          </w:tcPr>
          <w:p w14:paraId="459CB8E7" w14:textId="2FCC7BEA" w:rsidR="00F506D8" w:rsidRPr="003E3C32" w:rsidRDefault="00F506D8" w:rsidP="00F506D8">
            <w:pPr>
              <w:jc w:val="right"/>
              <w:rPr>
                <w:color w:val="000000"/>
                <w:sz w:val="18"/>
                <w:szCs w:val="18"/>
              </w:rPr>
            </w:pPr>
            <w:r w:rsidRPr="003E3C32">
              <w:rPr>
                <w:color w:val="000000"/>
                <w:sz w:val="18"/>
                <w:szCs w:val="18"/>
              </w:rPr>
              <w:t xml:space="preserve">         569,775 </w:t>
            </w:r>
          </w:p>
        </w:tc>
        <w:tc>
          <w:tcPr>
            <w:tcW w:w="1400" w:type="dxa"/>
            <w:shd w:val="clear" w:color="auto" w:fill="auto"/>
            <w:noWrap/>
            <w:vAlign w:val="bottom"/>
          </w:tcPr>
          <w:p w14:paraId="286E4E7C" w14:textId="56F5A1D2" w:rsidR="00F506D8" w:rsidRPr="003E3C32" w:rsidRDefault="00F506D8" w:rsidP="00F506D8">
            <w:pPr>
              <w:jc w:val="right"/>
              <w:rPr>
                <w:color w:val="000000"/>
                <w:sz w:val="18"/>
                <w:szCs w:val="18"/>
              </w:rPr>
            </w:pPr>
            <w:r w:rsidRPr="003E3C32">
              <w:rPr>
                <w:color w:val="000000"/>
                <w:sz w:val="18"/>
                <w:szCs w:val="18"/>
              </w:rPr>
              <w:t xml:space="preserve">         598,354 </w:t>
            </w:r>
          </w:p>
        </w:tc>
        <w:tc>
          <w:tcPr>
            <w:tcW w:w="1275" w:type="dxa"/>
            <w:shd w:val="clear" w:color="auto" w:fill="auto"/>
            <w:noWrap/>
            <w:vAlign w:val="bottom"/>
          </w:tcPr>
          <w:p w14:paraId="2AC5B959" w14:textId="4CAB2FAD" w:rsidR="00F506D8" w:rsidRPr="003E3C32" w:rsidRDefault="00F506D8" w:rsidP="00F506D8">
            <w:pPr>
              <w:jc w:val="right"/>
              <w:rPr>
                <w:color w:val="000000"/>
                <w:sz w:val="18"/>
                <w:szCs w:val="18"/>
              </w:rPr>
            </w:pPr>
            <w:r w:rsidRPr="003E3C32">
              <w:rPr>
                <w:color w:val="000000"/>
                <w:sz w:val="18"/>
                <w:szCs w:val="18"/>
              </w:rPr>
              <w:t xml:space="preserve">      1,093,662 </w:t>
            </w:r>
          </w:p>
        </w:tc>
      </w:tr>
      <w:tr w:rsidR="00F506D8" w:rsidRPr="00C60E8A" w14:paraId="2627D061" w14:textId="77777777" w:rsidTr="00F77D55">
        <w:trPr>
          <w:trHeight w:val="92"/>
        </w:trPr>
        <w:tc>
          <w:tcPr>
            <w:tcW w:w="0" w:type="auto"/>
            <w:shd w:val="clear" w:color="auto" w:fill="auto"/>
            <w:noWrap/>
            <w:vAlign w:val="center"/>
            <w:hideMark/>
          </w:tcPr>
          <w:p w14:paraId="6B7906F1" w14:textId="7CA6D452" w:rsidR="00F506D8" w:rsidRPr="00C60E8A" w:rsidRDefault="00F506D8" w:rsidP="00F506D8">
            <w:pPr>
              <w:jc w:val="center"/>
              <w:rPr>
                <w:color w:val="000000"/>
                <w:sz w:val="18"/>
                <w:szCs w:val="18"/>
              </w:rPr>
            </w:pPr>
            <w:r w:rsidRPr="00603922">
              <w:rPr>
                <w:color w:val="000000"/>
                <w:sz w:val="18"/>
                <w:szCs w:val="18"/>
              </w:rPr>
              <w:t>19</w:t>
            </w:r>
          </w:p>
        </w:tc>
        <w:tc>
          <w:tcPr>
            <w:tcW w:w="4251" w:type="dxa"/>
            <w:shd w:val="clear" w:color="auto" w:fill="auto"/>
            <w:noWrap/>
            <w:vAlign w:val="bottom"/>
            <w:hideMark/>
          </w:tcPr>
          <w:p w14:paraId="1D0C2CE3" w14:textId="67E45006" w:rsidR="00F506D8" w:rsidRPr="00C60E8A" w:rsidRDefault="00F506D8" w:rsidP="00F506D8">
            <w:pPr>
              <w:rPr>
                <w:color w:val="000000"/>
                <w:sz w:val="18"/>
                <w:szCs w:val="18"/>
              </w:rPr>
            </w:pPr>
            <w:r w:rsidRPr="00603922">
              <w:rPr>
                <w:color w:val="000000"/>
                <w:sz w:val="18"/>
                <w:szCs w:val="18"/>
              </w:rPr>
              <w:t>Other cash inflows</w:t>
            </w:r>
          </w:p>
        </w:tc>
        <w:tc>
          <w:tcPr>
            <w:tcW w:w="0" w:type="auto"/>
            <w:shd w:val="clear" w:color="auto" w:fill="auto"/>
            <w:noWrap/>
            <w:vAlign w:val="bottom"/>
          </w:tcPr>
          <w:p w14:paraId="7722B224" w14:textId="5FCFFA31" w:rsidR="00F506D8" w:rsidRPr="003E3C32" w:rsidRDefault="00F506D8" w:rsidP="00F506D8">
            <w:pPr>
              <w:jc w:val="right"/>
              <w:rPr>
                <w:color w:val="000000"/>
                <w:sz w:val="18"/>
                <w:szCs w:val="18"/>
              </w:rPr>
            </w:pPr>
            <w:r w:rsidRPr="003E3C32">
              <w:rPr>
                <w:color w:val="000000"/>
                <w:sz w:val="18"/>
                <w:szCs w:val="18"/>
              </w:rPr>
              <w:t xml:space="preserve">         598,354 </w:t>
            </w:r>
          </w:p>
        </w:tc>
        <w:tc>
          <w:tcPr>
            <w:tcW w:w="0" w:type="auto"/>
            <w:shd w:val="clear" w:color="auto" w:fill="auto"/>
            <w:noWrap/>
            <w:vAlign w:val="bottom"/>
          </w:tcPr>
          <w:p w14:paraId="0918F955" w14:textId="40810F81" w:rsidR="00F506D8" w:rsidRPr="003E3C32" w:rsidRDefault="00F506D8" w:rsidP="00F506D8">
            <w:pPr>
              <w:jc w:val="right"/>
              <w:rPr>
                <w:color w:val="000000"/>
                <w:sz w:val="18"/>
                <w:szCs w:val="18"/>
              </w:rPr>
            </w:pPr>
            <w:r w:rsidRPr="003E3C32">
              <w:rPr>
                <w:color w:val="000000"/>
                <w:sz w:val="18"/>
                <w:szCs w:val="18"/>
              </w:rPr>
              <w:t xml:space="preserve">      1,093,662 </w:t>
            </w:r>
          </w:p>
        </w:tc>
        <w:tc>
          <w:tcPr>
            <w:tcW w:w="1400" w:type="dxa"/>
            <w:shd w:val="clear" w:color="auto" w:fill="auto"/>
            <w:noWrap/>
            <w:vAlign w:val="bottom"/>
          </w:tcPr>
          <w:p w14:paraId="1E21D4DF" w14:textId="5A0BD3F6" w:rsidR="00F506D8" w:rsidRPr="003E3C32" w:rsidRDefault="00F506D8" w:rsidP="00F506D8">
            <w:pPr>
              <w:jc w:val="right"/>
              <w:rPr>
                <w:color w:val="000000"/>
                <w:sz w:val="18"/>
                <w:szCs w:val="18"/>
              </w:rPr>
            </w:pPr>
            <w:r w:rsidRPr="003E3C32">
              <w:rPr>
                <w:color w:val="000000"/>
                <w:sz w:val="18"/>
                <w:szCs w:val="18"/>
              </w:rPr>
              <w:t xml:space="preserve">      1,633,123 </w:t>
            </w:r>
          </w:p>
        </w:tc>
        <w:tc>
          <w:tcPr>
            <w:tcW w:w="1275" w:type="dxa"/>
            <w:shd w:val="clear" w:color="auto" w:fill="auto"/>
            <w:noWrap/>
            <w:vAlign w:val="bottom"/>
          </w:tcPr>
          <w:p w14:paraId="12F0422F" w14:textId="37A03176" w:rsidR="00F506D8" w:rsidRPr="003E3C32" w:rsidRDefault="00F506D8" w:rsidP="00F506D8">
            <w:pPr>
              <w:jc w:val="right"/>
              <w:rPr>
                <w:color w:val="000000"/>
                <w:sz w:val="18"/>
                <w:szCs w:val="18"/>
              </w:rPr>
            </w:pPr>
            <w:r w:rsidRPr="003E3C32">
              <w:rPr>
                <w:color w:val="000000"/>
                <w:sz w:val="18"/>
                <w:szCs w:val="18"/>
              </w:rPr>
              <w:t xml:space="preserve">      1,491,811 </w:t>
            </w:r>
          </w:p>
        </w:tc>
      </w:tr>
      <w:tr w:rsidR="00224102" w:rsidRPr="00C60E8A" w14:paraId="44650B69" w14:textId="77777777" w:rsidTr="00F77D55">
        <w:trPr>
          <w:trHeight w:val="179"/>
        </w:trPr>
        <w:tc>
          <w:tcPr>
            <w:tcW w:w="0" w:type="auto"/>
            <w:shd w:val="clear" w:color="auto" w:fill="auto"/>
            <w:noWrap/>
            <w:vAlign w:val="center"/>
            <w:hideMark/>
          </w:tcPr>
          <w:p w14:paraId="6071E1C4" w14:textId="77777777" w:rsidR="00224102" w:rsidRPr="00C60E8A" w:rsidRDefault="00224102" w:rsidP="00224102">
            <w:pPr>
              <w:jc w:val="center"/>
              <w:rPr>
                <w:bCs/>
                <w:color w:val="000000"/>
                <w:sz w:val="18"/>
                <w:szCs w:val="18"/>
              </w:rPr>
            </w:pPr>
            <w:r w:rsidRPr="00C60E8A">
              <w:rPr>
                <w:bCs/>
                <w:color w:val="000000"/>
                <w:sz w:val="18"/>
                <w:szCs w:val="18"/>
              </w:rPr>
              <w:t>20</w:t>
            </w:r>
          </w:p>
        </w:tc>
        <w:tc>
          <w:tcPr>
            <w:tcW w:w="4251" w:type="dxa"/>
            <w:shd w:val="clear" w:color="auto" w:fill="auto"/>
            <w:noWrap/>
            <w:vAlign w:val="center"/>
            <w:hideMark/>
          </w:tcPr>
          <w:p w14:paraId="0BEF15D1" w14:textId="08F0339A" w:rsidR="00224102" w:rsidRPr="00C60E8A" w:rsidRDefault="00224102" w:rsidP="00224102">
            <w:pPr>
              <w:rPr>
                <w:b/>
                <w:bCs/>
                <w:color w:val="000000"/>
                <w:sz w:val="18"/>
                <w:szCs w:val="18"/>
              </w:rPr>
            </w:pPr>
            <w:r w:rsidRPr="00C60E8A">
              <w:rPr>
                <w:b/>
                <w:bCs/>
                <w:color w:val="000000"/>
                <w:sz w:val="18"/>
                <w:szCs w:val="18"/>
                <w:lang w:val="tr-TR"/>
              </w:rPr>
              <w:t>TOTAL CASH INFLOWS</w:t>
            </w:r>
          </w:p>
        </w:tc>
        <w:tc>
          <w:tcPr>
            <w:tcW w:w="0" w:type="auto"/>
            <w:shd w:val="clear" w:color="auto" w:fill="auto"/>
            <w:noWrap/>
            <w:vAlign w:val="bottom"/>
          </w:tcPr>
          <w:p w14:paraId="6E249ED5" w14:textId="7DD5CD40" w:rsidR="00224102" w:rsidRPr="003E3C32" w:rsidRDefault="00224102" w:rsidP="00224102">
            <w:pPr>
              <w:jc w:val="right"/>
              <w:rPr>
                <w:color w:val="000000"/>
                <w:sz w:val="18"/>
                <w:szCs w:val="18"/>
              </w:rPr>
            </w:pPr>
            <w:r w:rsidRPr="003E3C32">
              <w:rPr>
                <w:color w:val="000000"/>
                <w:sz w:val="18"/>
                <w:szCs w:val="18"/>
              </w:rPr>
              <w:t xml:space="preserve">      2,406,751 </w:t>
            </w:r>
          </w:p>
        </w:tc>
        <w:tc>
          <w:tcPr>
            <w:tcW w:w="0" w:type="auto"/>
            <w:shd w:val="clear" w:color="auto" w:fill="auto"/>
            <w:noWrap/>
            <w:vAlign w:val="bottom"/>
          </w:tcPr>
          <w:p w14:paraId="0DEE3C28" w14:textId="632DD852" w:rsidR="00224102" w:rsidRPr="003E3C32" w:rsidRDefault="00224102" w:rsidP="00224102">
            <w:pPr>
              <w:jc w:val="right"/>
              <w:rPr>
                <w:color w:val="000000"/>
                <w:sz w:val="18"/>
                <w:szCs w:val="18"/>
              </w:rPr>
            </w:pPr>
            <w:r w:rsidRPr="003E3C32">
              <w:rPr>
                <w:color w:val="000000"/>
                <w:sz w:val="18"/>
                <w:szCs w:val="18"/>
              </w:rPr>
              <w:t xml:space="preserve">      1,663,437 </w:t>
            </w:r>
          </w:p>
        </w:tc>
        <w:tc>
          <w:tcPr>
            <w:tcW w:w="1400" w:type="dxa"/>
            <w:shd w:val="clear" w:color="auto" w:fill="auto"/>
            <w:noWrap/>
            <w:vAlign w:val="bottom"/>
          </w:tcPr>
          <w:p w14:paraId="078677DE" w14:textId="0EC117B9" w:rsidR="00224102" w:rsidRPr="003E3C32" w:rsidRDefault="00224102" w:rsidP="00224102">
            <w:pPr>
              <w:jc w:val="right"/>
              <w:rPr>
                <w:color w:val="000000"/>
                <w:sz w:val="18"/>
                <w:szCs w:val="18"/>
              </w:rPr>
            </w:pPr>
            <w:r w:rsidRPr="003E3C32">
              <w:rPr>
                <w:color w:val="000000"/>
                <w:sz w:val="18"/>
                <w:szCs w:val="18"/>
              </w:rPr>
              <w:t>- </w:t>
            </w:r>
          </w:p>
        </w:tc>
        <w:tc>
          <w:tcPr>
            <w:tcW w:w="1275" w:type="dxa"/>
            <w:shd w:val="clear" w:color="auto" w:fill="auto"/>
            <w:noWrap/>
            <w:vAlign w:val="bottom"/>
          </w:tcPr>
          <w:p w14:paraId="4CB12F01" w14:textId="464ECC6B" w:rsidR="00224102" w:rsidRPr="003E3C32" w:rsidRDefault="00224102" w:rsidP="00224102">
            <w:pPr>
              <w:jc w:val="right"/>
              <w:rPr>
                <w:color w:val="000000"/>
                <w:sz w:val="18"/>
                <w:szCs w:val="18"/>
              </w:rPr>
            </w:pPr>
            <w:r w:rsidRPr="003E3C32">
              <w:rPr>
                <w:color w:val="000000"/>
                <w:sz w:val="18"/>
                <w:szCs w:val="18"/>
              </w:rPr>
              <w:t>- </w:t>
            </w:r>
          </w:p>
        </w:tc>
      </w:tr>
      <w:tr w:rsidR="00195EDC" w:rsidRPr="00C60E8A" w14:paraId="662E6876" w14:textId="77777777" w:rsidTr="00F77D55">
        <w:trPr>
          <w:trHeight w:val="267"/>
        </w:trPr>
        <w:tc>
          <w:tcPr>
            <w:tcW w:w="0" w:type="auto"/>
            <w:shd w:val="clear" w:color="000000" w:fill="FFFFFF"/>
            <w:noWrap/>
            <w:vAlign w:val="center"/>
            <w:hideMark/>
          </w:tcPr>
          <w:p w14:paraId="73739102" w14:textId="77777777" w:rsidR="00195EDC" w:rsidRPr="00C60E8A" w:rsidRDefault="00195EDC" w:rsidP="00F77D55">
            <w:pPr>
              <w:rPr>
                <w:color w:val="000000"/>
                <w:sz w:val="18"/>
                <w:szCs w:val="18"/>
              </w:rPr>
            </w:pPr>
            <w:r w:rsidRPr="00C60E8A">
              <w:rPr>
                <w:color w:val="000000"/>
                <w:sz w:val="18"/>
                <w:szCs w:val="18"/>
              </w:rPr>
              <w:t> </w:t>
            </w:r>
          </w:p>
        </w:tc>
        <w:tc>
          <w:tcPr>
            <w:tcW w:w="4251" w:type="dxa"/>
            <w:shd w:val="clear" w:color="000000" w:fill="FFFFFF"/>
            <w:noWrap/>
            <w:vAlign w:val="bottom"/>
            <w:hideMark/>
          </w:tcPr>
          <w:p w14:paraId="338F0013" w14:textId="77777777" w:rsidR="00195EDC" w:rsidRPr="00C60E8A" w:rsidRDefault="00195EDC" w:rsidP="00F77D55">
            <w:pPr>
              <w:rPr>
                <w:color w:val="000000"/>
                <w:sz w:val="18"/>
                <w:szCs w:val="18"/>
              </w:rPr>
            </w:pPr>
            <w:r w:rsidRPr="00C60E8A">
              <w:rPr>
                <w:color w:val="000000"/>
                <w:sz w:val="18"/>
                <w:szCs w:val="18"/>
              </w:rPr>
              <w:t> </w:t>
            </w:r>
          </w:p>
        </w:tc>
        <w:tc>
          <w:tcPr>
            <w:tcW w:w="0" w:type="auto"/>
            <w:shd w:val="clear" w:color="auto" w:fill="auto"/>
            <w:noWrap/>
            <w:vAlign w:val="bottom"/>
            <w:hideMark/>
          </w:tcPr>
          <w:p w14:paraId="1002A69B" w14:textId="77777777" w:rsidR="00195EDC" w:rsidRPr="003E3C32" w:rsidRDefault="00195EDC" w:rsidP="00F77D55">
            <w:pPr>
              <w:jc w:val="right"/>
              <w:rPr>
                <w:color w:val="000000"/>
                <w:sz w:val="18"/>
                <w:szCs w:val="18"/>
              </w:rPr>
            </w:pPr>
          </w:p>
        </w:tc>
        <w:tc>
          <w:tcPr>
            <w:tcW w:w="0" w:type="auto"/>
            <w:shd w:val="clear" w:color="auto" w:fill="auto"/>
            <w:noWrap/>
            <w:vAlign w:val="bottom"/>
            <w:hideMark/>
          </w:tcPr>
          <w:p w14:paraId="50BE49A5" w14:textId="77777777" w:rsidR="00195EDC" w:rsidRPr="003E3C32" w:rsidRDefault="00195EDC" w:rsidP="00F77D55">
            <w:pPr>
              <w:jc w:val="right"/>
              <w:rPr>
                <w:color w:val="000000"/>
                <w:sz w:val="18"/>
                <w:szCs w:val="18"/>
              </w:rPr>
            </w:pPr>
          </w:p>
        </w:tc>
        <w:tc>
          <w:tcPr>
            <w:tcW w:w="2675" w:type="dxa"/>
            <w:gridSpan w:val="2"/>
            <w:shd w:val="clear" w:color="auto" w:fill="auto"/>
            <w:vAlign w:val="bottom"/>
            <w:hideMark/>
          </w:tcPr>
          <w:p w14:paraId="2F1C27C4" w14:textId="13988669" w:rsidR="00195EDC" w:rsidRPr="003E3C32" w:rsidRDefault="002C2CE8" w:rsidP="00F77D55">
            <w:pPr>
              <w:jc w:val="center"/>
              <w:rPr>
                <w:b/>
                <w:color w:val="000000"/>
                <w:sz w:val="18"/>
                <w:szCs w:val="18"/>
              </w:rPr>
            </w:pPr>
            <w:r w:rsidRPr="003E3C32">
              <w:rPr>
                <w:b/>
                <w:color w:val="000000"/>
                <w:sz w:val="18"/>
                <w:szCs w:val="18"/>
                <w:lang w:val="tr-TR"/>
              </w:rPr>
              <w:t>Total Adjusted</w:t>
            </w:r>
            <w:r w:rsidR="00224102" w:rsidRPr="003E3C32">
              <w:rPr>
                <w:b/>
                <w:color w:val="000000"/>
                <w:sz w:val="18"/>
                <w:szCs w:val="18"/>
                <w:lang w:val="tr-TR"/>
              </w:rPr>
              <w:t xml:space="preserve"> Values</w:t>
            </w:r>
          </w:p>
        </w:tc>
      </w:tr>
      <w:tr w:rsidR="00224102" w:rsidRPr="00C60E8A" w14:paraId="21BAA1C7" w14:textId="77777777" w:rsidTr="003E3C32">
        <w:trPr>
          <w:trHeight w:val="129"/>
        </w:trPr>
        <w:tc>
          <w:tcPr>
            <w:tcW w:w="0" w:type="auto"/>
            <w:shd w:val="clear" w:color="auto" w:fill="auto"/>
            <w:noWrap/>
            <w:vAlign w:val="center"/>
            <w:hideMark/>
          </w:tcPr>
          <w:p w14:paraId="1D6A640A" w14:textId="77777777" w:rsidR="00224102" w:rsidRPr="00C60E8A" w:rsidRDefault="00224102" w:rsidP="00224102">
            <w:pPr>
              <w:jc w:val="center"/>
              <w:rPr>
                <w:bCs/>
                <w:color w:val="000000"/>
                <w:sz w:val="18"/>
                <w:szCs w:val="18"/>
              </w:rPr>
            </w:pPr>
            <w:r w:rsidRPr="00C60E8A">
              <w:rPr>
                <w:bCs/>
                <w:color w:val="000000"/>
                <w:sz w:val="18"/>
                <w:szCs w:val="18"/>
              </w:rPr>
              <w:t>21</w:t>
            </w:r>
          </w:p>
        </w:tc>
        <w:tc>
          <w:tcPr>
            <w:tcW w:w="4251" w:type="dxa"/>
            <w:shd w:val="clear" w:color="auto" w:fill="auto"/>
            <w:noWrap/>
            <w:vAlign w:val="center"/>
            <w:hideMark/>
          </w:tcPr>
          <w:p w14:paraId="158CA010" w14:textId="6145A929" w:rsidR="00224102" w:rsidRPr="00C60E8A" w:rsidRDefault="00224102" w:rsidP="00224102">
            <w:pPr>
              <w:rPr>
                <w:b/>
                <w:bCs/>
                <w:color w:val="000000"/>
                <w:sz w:val="18"/>
                <w:szCs w:val="18"/>
              </w:rPr>
            </w:pPr>
            <w:r w:rsidRPr="00C60E8A">
              <w:rPr>
                <w:b/>
                <w:bCs/>
                <w:color w:val="000000"/>
                <w:sz w:val="18"/>
                <w:szCs w:val="18"/>
              </w:rPr>
              <w:t>TOTAL HIGH QUALITY ASSETS STOCKS</w:t>
            </w:r>
          </w:p>
        </w:tc>
        <w:tc>
          <w:tcPr>
            <w:tcW w:w="0" w:type="auto"/>
            <w:shd w:val="clear" w:color="auto" w:fill="A6A6A6" w:themeFill="background1" w:themeFillShade="A6"/>
            <w:noWrap/>
            <w:vAlign w:val="bottom"/>
            <w:hideMark/>
          </w:tcPr>
          <w:p w14:paraId="4EE543C7" w14:textId="77777777" w:rsidR="00224102" w:rsidRPr="003E3C32" w:rsidRDefault="00224102" w:rsidP="00224102">
            <w:pPr>
              <w:jc w:val="right"/>
              <w:rPr>
                <w:color w:val="000000"/>
                <w:sz w:val="18"/>
                <w:szCs w:val="18"/>
              </w:rPr>
            </w:pPr>
          </w:p>
        </w:tc>
        <w:tc>
          <w:tcPr>
            <w:tcW w:w="0" w:type="auto"/>
            <w:shd w:val="clear" w:color="auto" w:fill="A6A6A6" w:themeFill="background1" w:themeFillShade="A6"/>
            <w:noWrap/>
            <w:vAlign w:val="bottom"/>
            <w:hideMark/>
          </w:tcPr>
          <w:p w14:paraId="4C660B73" w14:textId="77777777" w:rsidR="00224102" w:rsidRPr="003E3C32" w:rsidRDefault="00224102" w:rsidP="00224102">
            <w:pPr>
              <w:jc w:val="right"/>
              <w:rPr>
                <w:color w:val="000000"/>
                <w:sz w:val="18"/>
                <w:szCs w:val="18"/>
              </w:rPr>
            </w:pPr>
          </w:p>
        </w:tc>
        <w:tc>
          <w:tcPr>
            <w:tcW w:w="1400" w:type="dxa"/>
            <w:shd w:val="clear" w:color="auto" w:fill="auto"/>
            <w:noWrap/>
            <w:vAlign w:val="bottom"/>
          </w:tcPr>
          <w:p w14:paraId="01D212AC" w14:textId="799C44EF" w:rsidR="00224102" w:rsidRPr="003E3C32" w:rsidRDefault="00224102" w:rsidP="00224102">
            <w:pPr>
              <w:jc w:val="right"/>
              <w:rPr>
                <w:color w:val="000000"/>
                <w:sz w:val="18"/>
                <w:szCs w:val="18"/>
              </w:rPr>
            </w:pPr>
            <w:r w:rsidRPr="003E3C32">
              <w:rPr>
                <w:color w:val="000000"/>
                <w:sz w:val="18"/>
                <w:szCs w:val="18"/>
              </w:rPr>
              <w:t xml:space="preserve">      2,085,567 </w:t>
            </w:r>
          </w:p>
        </w:tc>
        <w:tc>
          <w:tcPr>
            <w:tcW w:w="1275" w:type="dxa"/>
            <w:shd w:val="clear" w:color="auto" w:fill="auto"/>
            <w:noWrap/>
            <w:vAlign w:val="bottom"/>
          </w:tcPr>
          <w:p w14:paraId="7323066E" w14:textId="5087315C" w:rsidR="00224102" w:rsidRPr="003E3C32" w:rsidRDefault="00224102" w:rsidP="00224102">
            <w:pPr>
              <w:jc w:val="right"/>
              <w:rPr>
                <w:color w:val="000000"/>
                <w:sz w:val="18"/>
                <w:szCs w:val="18"/>
              </w:rPr>
            </w:pPr>
            <w:r w:rsidRPr="003E3C32">
              <w:rPr>
                <w:color w:val="000000"/>
                <w:sz w:val="18"/>
                <w:szCs w:val="18"/>
              </w:rPr>
              <w:t xml:space="preserve">      1,420,923 </w:t>
            </w:r>
          </w:p>
        </w:tc>
      </w:tr>
      <w:tr w:rsidR="00224102" w:rsidRPr="00C60E8A" w14:paraId="4AC9E0E2" w14:textId="77777777" w:rsidTr="00F506D8">
        <w:trPr>
          <w:trHeight w:val="133"/>
        </w:trPr>
        <w:tc>
          <w:tcPr>
            <w:tcW w:w="0" w:type="auto"/>
            <w:shd w:val="clear" w:color="auto" w:fill="auto"/>
            <w:noWrap/>
            <w:vAlign w:val="center"/>
            <w:hideMark/>
          </w:tcPr>
          <w:p w14:paraId="0FDD046C" w14:textId="77777777" w:rsidR="00224102" w:rsidRPr="00C60E8A" w:rsidRDefault="00224102" w:rsidP="00224102">
            <w:pPr>
              <w:jc w:val="center"/>
              <w:rPr>
                <w:bCs/>
                <w:color w:val="000000"/>
                <w:sz w:val="18"/>
                <w:szCs w:val="18"/>
              </w:rPr>
            </w:pPr>
            <w:r w:rsidRPr="00C60E8A">
              <w:rPr>
                <w:bCs/>
                <w:color w:val="000000"/>
                <w:sz w:val="18"/>
                <w:szCs w:val="18"/>
              </w:rPr>
              <w:t>22</w:t>
            </w:r>
          </w:p>
        </w:tc>
        <w:tc>
          <w:tcPr>
            <w:tcW w:w="4251" w:type="dxa"/>
            <w:shd w:val="clear" w:color="auto" w:fill="auto"/>
            <w:noWrap/>
            <w:vAlign w:val="center"/>
            <w:hideMark/>
          </w:tcPr>
          <w:p w14:paraId="2CFF4E65" w14:textId="27DAEDBA" w:rsidR="00224102" w:rsidRPr="00C60E8A" w:rsidRDefault="00224102" w:rsidP="00224102">
            <w:pPr>
              <w:rPr>
                <w:b/>
                <w:bCs/>
                <w:color w:val="000000"/>
                <w:sz w:val="18"/>
                <w:szCs w:val="18"/>
              </w:rPr>
            </w:pPr>
            <w:r w:rsidRPr="00C60E8A">
              <w:rPr>
                <w:b/>
                <w:bCs/>
                <w:color w:val="000000"/>
                <w:sz w:val="18"/>
                <w:szCs w:val="18"/>
              </w:rPr>
              <w:t>TOTAL CAH OUTFLOWS</w:t>
            </w:r>
          </w:p>
        </w:tc>
        <w:tc>
          <w:tcPr>
            <w:tcW w:w="0" w:type="auto"/>
            <w:shd w:val="clear" w:color="auto" w:fill="A6A6A6" w:themeFill="background1" w:themeFillShade="A6"/>
            <w:noWrap/>
            <w:vAlign w:val="bottom"/>
            <w:hideMark/>
          </w:tcPr>
          <w:p w14:paraId="596F4425" w14:textId="77777777" w:rsidR="00224102" w:rsidRPr="003E3C32" w:rsidRDefault="00224102" w:rsidP="00224102">
            <w:pPr>
              <w:jc w:val="right"/>
              <w:rPr>
                <w:color w:val="000000"/>
                <w:sz w:val="18"/>
                <w:szCs w:val="18"/>
              </w:rPr>
            </w:pPr>
          </w:p>
        </w:tc>
        <w:tc>
          <w:tcPr>
            <w:tcW w:w="0" w:type="auto"/>
            <w:shd w:val="clear" w:color="auto" w:fill="A6A6A6" w:themeFill="background1" w:themeFillShade="A6"/>
            <w:noWrap/>
            <w:vAlign w:val="bottom"/>
            <w:hideMark/>
          </w:tcPr>
          <w:p w14:paraId="1C9615E9" w14:textId="77777777" w:rsidR="00224102" w:rsidRPr="003E3C32" w:rsidRDefault="00224102" w:rsidP="00224102">
            <w:pPr>
              <w:jc w:val="right"/>
              <w:rPr>
                <w:color w:val="000000"/>
                <w:sz w:val="18"/>
                <w:szCs w:val="18"/>
              </w:rPr>
            </w:pPr>
          </w:p>
        </w:tc>
        <w:tc>
          <w:tcPr>
            <w:tcW w:w="1400" w:type="dxa"/>
            <w:shd w:val="clear" w:color="auto" w:fill="auto"/>
            <w:noWrap/>
            <w:vAlign w:val="bottom"/>
          </w:tcPr>
          <w:p w14:paraId="44D356A6" w14:textId="7FA79340" w:rsidR="00224102" w:rsidRPr="003E3C32" w:rsidRDefault="00224102" w:rsidP="00224102">
            <w:pPr>
              <w:jc w:val="right"/>
              <w:rPr>
                <w:color w:val="000000"/>
                <w:sz w:val="18"/>
                <w:szCs w:val="18"/>
              </w:rPr>
            </w:pPr>
            <w:r w:rsidRPr="003E3C32">
              <w:rPr>
                <w:color w:val="000000"/>
                <w:sz w:val="18"/>
                <w:szCs w:val="18"/>
              </w:rPr>
              <w:t xml:space="preserve">      1,873,648 </w:t>
            </w:r>
          </w:p>
        </w:tc>
        <w:tc>
          <w:tcPr>
            <w:tcW w:w="1275" w:type="dxa"/>
            <w:shd w:val="clear" w:color="auto" w:fill="auto"/>
            <w:noWrap/>
            <w:vAlign w:val="bottom"/>
          </w:tcPr>
          <w:p w14:paraId="7AAFF152" w14:textId="6BE1F95E" w:rsidR="00224102" w:rsidRPr="003E3C32" w:rsidRDefault="00224102" w:rsidP="00224102">
            <w:pPr>
              <w:jc w:val="right"/>
              <w:rPr>
                <w:color w:val="000000"/>
                <w:sz w:val="18"/>
                <w:szCs w:val="18"/>
              </w:rPr>
            </w:pPr>
            <w:r w:rsidRPr="003E3C32">
              <w:rPr>
                <w:color w:val="000000"/>
                <w:sz w:val="18"/>
                <w:szCs w:val="18"/>
              </w:rPr>
              <w:t xml:space="preserve">         518,031 </w:t>
            </w:r>
          </w:p>
        </w:tc>
      </w:tr>
      <w:tr w:rsidR="00C60E8A" w:rsidRPr="00C60E8A" w14:paraId="220127B6" w14:textId="77777777" w:rsidTr="00F506D8">
        <w:trPr>
          <w:trHeight w:val="123"/>
        </w:trPr>
        <w:tc>
          <w:tcPr>
            <w:tcW w:w="0" w:type="auto"/>
            <w:shd w:val="clear" w:color="auto" w:fill="auto"/>
            <w:noWrap/>
            <w:vAlign w:val="center"/>
            <w:hideMark/>
          </w:tcPr>
          <w:p w14:paraId="3DC50EF3" w14:textId="77777777" w:rsidR="00C60E8A" w:rsidRPr="00C60E8A" w:rsidRDefault="00C60E8A" w:rsidP="00C60E8A">
            <w:pPr>
              <w:jc w:val="center"/>
              <w:rPr>
                <w:bCs/>
                <w:color w:val="000000"/>
                <w:sz w:val="18"/>
                <w:szCs w:val="18"/>
              </w:rPr>
            </w:pPr>
            <w:r w:rsidRPr="00C60E8A">
              <w:rPr>
                <w:bCs/>
                <w:color w:val="000000"/>
                <w:sz w:val="18"/>
                <w:szCs w:val="18"/>
              </w:rPr>
              <w:t>23</w:t>
            </w:r>
          </w:p>
        </w:tc>
        <w:tc>
          <w:tcPr>
            <w:tcW w:w="4251" w:type="dxa"/>
            <w:shd w:val="clear" w:color="auto" w:fill="auto"/>
            <w:noWrap/>
            <w:vAlign w:val="center"/>
            <w:hideMark/>
          </w:tcPr>
          <w:p w14:paraId="4BDB59BE" w14:textId="283165F5" w:rsidR="00C60E8A" w:rsidRPr="00C60E8A" w:rsidRDefault="00F506D8" w:rsidP="00F506D8">
            <w:pPr>
              <w:rPr>
                <w:b/>
                <w:bCs/>
                <w:color w:val="000000"/>
                <w:sz w:val="18"/>
                <w:szCs w:val="18"/>
              </w:rPr>
            </w:pPr>
            <w:r>
              <w:rPr>
                <w:b/>
                <w:bCs/>
                <w:color w:val="000000"/>
                <w:sz w:val="18"/>
                <w:szCs w:val="18"/>
              </w:rPr>
              <w:t>LIQUIDITY COVERAGE RATI</w:t>
            </w:r>
            <w:r w:rsidR="00C60E8A" w:rsidRPr="00C60E8A">
              <w:rPr>
                <w:b/>
                <w:bCs/>
                <w:color w:val="000000"/>
                <w:sz w:val="18"/>
                <w:szCs w:val="18"/>
              </w:rPr>
              <w:t>O (%)</w:t>
            </w:r>
          </w:p>
        </w:tc>
        <w:tc>
          <w:tcPr>
            <w:tcW w:w="0" w:type="auto"/>
            <w:shd w:val="clear" w:color="auto" w:fill="A6A6A6" w:themeFill="background1" w:themeFillShade="A6"/>
            <w:noWrap/>
            <w:vAlign w:val="bottom"/>
            <w:hideMark/>
          </w:tcPr>
          <w:p w14:paraId="390EA338" w14:textId="77777777" w:rsidR="00C60E8A" w:rsidRPr="003E3C32" w:rsidRDefault="00C60E8A" w:rsidP="00C60E8A">
            <w:pPr>
              <w:jc w:val="right"/>
              <w:rPr>
                <w:color w:val="000000"/>
                <w:sz w:val="18"/>
                <w:szCs w:val="18"/>
              </w:rPr>
            </w:pPr>
          </w:p>
        </w:tc>
        <w:tc>
          <w:tcPr>
            <w:tcW w:w="0" w:type="auto"/>
            <w:shd w:val="clear" w:color="auto" w:fill="A6A6A6" w:themeFill="background1" w:themeFillShade="A6"/>
            <w:noWrap/>
            <w:vAlign w:val="bottom"/>
            <w:hideMark/>
          </w:tcPr>
          <w:p w14:paraId="019862FB" w14:textId="77777777" w:rsidR="00C60E8A" w:rsidRPr="003E3C32" w:rsidRDefault="00C60E8A" w:rsidP="00C60E8A">
            <w:pPr>
              <w:jc w:val="right"/>
              <w:rPr>
                <w:color w:val="000000"/>
                <w:sz w:val="18"/>
                <w:szCs w:val="18"/>
              </w:rPr>
            </w:pPr>
          </w:p>
        </w:tc>
        <w:tc>
          <w:tcPr>
            <w:tcW w:w="1400" w:type="dxa"/>
            <w:shd w:val="clear" w:color="auto" w:fill="auto"/>
            <w:noWrap/>
            <w:vAlign w:val="center"/>
          </w:tcPr>
          <w:p w14:paraId="4E19DD2C" w14:textId="77777777" w:rsidR="00C60E8A" w:rsidRPr="003E3C32" w:rsidRDefault="00C60E8A" w:rsidP="00C60E8A">
            <w:pPr>
              <w:jc w:val="right"/>
              <w:rPr>
                <w:color w:val="000000"/>
                <w:sz w:val="18"/>
                <w:szCs w:val="18"/>
              </w:rPr>
            </w:pPr>
            <w:r w:rsidRPr="003E3C32">
              <w:rPr>
                <w:color w:val="000000"/>
                <w:sz w:val="18"/>
                <w:szCs w:val="18"/>
              </w:rPr>
              <w:t>117%</w:t>
            </w:r>
          </w:p>
        </w:tc>
        <w:tc>
          <w:tcPr>
            <w:tcW w:w="1275" w:type="dxa"/>
            <w:shd w:val="clear" w:color="auto" w:fill="auto"/>
            <w:noWrap/>
            <w:vAlign w:val="center"/>
          </w:tcPr>
          <w:p w14:paraId="5146BE58" w14:textId="77777777" w:rsidR="00C60E8A" w:rsidRPr="003E3C32" w:rsidRDefault="00C60E8A" w:rsidP="00C60E8A">
            <w:pPr>
              <w:jc w:val="right"/>
              <w:rPr>
                <w:color w:val="000000"/>
                <w:sz w:val="18"/>
                <w:szCs w:val="18"/>
              </w:rPr>
            </w:pPr>
            <w:r w:rsidRPr="003E3C32">
              <w:rPr>
                <w:color w:val="000000"/>
                <w:sz w:val="18"/>
                <w:szCs w:val="18"/>
              </w:rPr>
              <w:t>283%</w:t>
            </w:r>
          </w:p>
        </w:tc>
      </w:tr>
    </w:tbl>
    <w:p w14:paraId="12232006" w14:textId="75990473" w:rsidR="00C60E8A" w:rsidRPr="00C60E8A" w:rsidRDefault="00F506D8" w:rsidP="00C60E8A">
      <w:pPr>
        <w:spacing w:before="120"/>
        <w:jc w:val="both"/>
        <w:rPr>
          <w:sz w:val="20"/>
          <w:szCs w:val="20"/>
          <w:lang w:val="en"/>
        </w:rPr>
      </w:pPr>
      <w:r w:rsidRPr="00603922">
        <w:rPr>
          <w:sz w:val="20"/>
          <w:szCs w:val="20"/>
          <w:lang w:val="en"/>
        </w:rPr>
        <w:t>(*)</w:t>
      </w:r>
      <w:r>
        <w:rPr>
          <w:sz w:val="20"/>
          <w:szCs w:val="20"/>
          <w:lang w:val="en"/>
        </w:rPr>
        <w:t xml:space="preserve"> The average of the last three months liquidity coverage ratio calculated by monthly and weekly simple averages</w:t>
      </w:r>
      <w:r w:rsidR="00C60E8A" w:rsidRPr="00C60E8A">
        <w:rPr>
          <w:sz w:val="20"/>
          <w:szCs w:val="20"/>
          <w:lang w:val="en"/>
        </w:rPr>
        <w:t>.</w:t>
      </w:r>
    </w:p>
    <w:p w14:paraId="1184BC87" w14:textId="76B829A9" w:rsidR="00195EDC" w:rsidRPr="00C60E8A" w:rsidRDefault="00195EDC" w:rsidP="00C60E8A">
      <w:pPr>
        <w:spacing w:before="120"/>
        <w:jc w:val="both"/>
        <w:rPr>
          <w:rFonts w:eastAsia="TrebuchetMS-Identity-H" w:cs="TrebuchetMS-Identity-H"/>
          <w:sz w:val="20"/>
          <w:szCs w:val="20"/>
        </w:rPr>
      </w:pPr>
    </w:p>
    <w:p w14:paraId="3A444EC3" w14:textId="77777777" w:rsidR="00224102" w:rsidRDefault="00224102">
      <w:pPr>
        <w:spacing w:after="200" w:line="276" w:lineRule="auto"/>
        <w:rPr>
          <w:b/>
          <w:sz w:val="20"/>
          <w:szCs w:val="20"/>
          <w:lang w:val="en"/>
        </w:rPr>
      </w:pPr>
      <w:r>
        <w:rPr>
          <w:b/>
          <w:sz w:val="20"/>
          <w:szCs w:val="20"/>
          <w:lang w:val="en"/>
        </w:rPr>
        <w:br w:type="page"/>
      </w:r>
    </w:p>
    <w:p w14:paraId="20E59546" w14:textId="01967948" w:rsidR="00224102" w:rsidRPr="00603922" w:rsidRDefault="00A041CD" w:rsidP="00490153">
      <w:pPr>
        <w:pageBreakBefore/>
        <w:spacing w:before="120"/>
        <w:jc w:val="both"/>
        <w:rPr>
          <w:b/>
          <w:sz w:val="20"/>
          <w:szCs w:val="20"/>
        </w:rPr>
      </w:pPr>
      <w:r w:rsidRPr="00A041CD">
        <w:rPr>
          <w:b/>
          <w:sz w:val="20"/>
          <w:szCs w:val="20"/>
        </w:rPr>
        <w:lastRenderedPageBreak/>
        <w:t>INFORMATION ON THE FINANCIAL POSITION OF THE GROUP (Continued)</w:t>
      </w:r>
    </w:p>
    <w:p w14:paraId="7DC38FD5" w14:textId="35EB2BA8" w:rsidR="00224102" w:rsidRPr="00DD6C39" w:rsidRDefault="00224102" w:rsidP="0070023B">
      <w:pPr>
        <w:pStyle w:val="Heading2"/>
        <w:numPr>
          <w:ilvl w:val="0"/>
          <w:numId w:val="79"/>
        </w:numPr>
        <w:tabs>
          <w:tab w:val="left" w:pos="0"/>
        </w:tabs>
        <w:ind w:left="0" w:firstLine="0"/>
        <w:jc w:val="both"/>
        <w:rPr>
          <w:rFonts w:ascii="Times New Roman" w:hAnsi="Times New Roman"/>
          <w:noProof/>
          <w:sz w:val="20"/>
        </w:rPr>
      </w:pPr>
      <w:r w:rsidRPr="00DD6C39">
        <w:rPr>
          <w:rFonts w:ascii="Times New Roman" w:hAnsi="Times New Roman"/>
          <w:noProof/>
          <w:sz w:val="20"/>
        </w:rPr>
        <w:t>Explanations</w:t>
      </w:r>
      <w:r w:rsidRPr="00DD6C39" w:rsidDel="00110417">
        <w:rPr>
          <w:rFonts w:ascii="Times New Roman" w:hAnsi="Times New Roman"/>
          <w:noProof/>
          <w:sz w:val="20"/>
        </w:rPr>
        <w:t xml:space="preserve"> </w:t>
      </w:r>
      <w:r w:rsidRPr="00DD6C39">
        <w:rPr>
          <w:rFonts w:ascii="Times New Roman" w:hAnsi="Times New Roman"/>
          <w:noProof/>
          <w:sz w:val="20"/>
        </w:rPr>
        <w:t>on Liquidity Risk</w:t>
      </w:r>
      <w:r w:rsidRPr="00DD6C39" w:rsidDel="00110417">
        <w:rPr>
          <w:rFonts w:ascii="Times New Roman" w:hAnsi="Times New Roman"/>
          <w:noProof/>
          <w:sz w:val="20"/>
        </w:rPr>
        <w:t xml:space="preserve"> </w:t>
      </w:r>
      <w:r w:rsidRPr="00DD6C39">
        <w:rPr>
          <w:rFonts w:ascii="Times New Roman" w:hAnsi="Times New Roman"/>
          <w:noProof/>
          <w:sz w:val="20"/>
        </w:rPr>
        <w:t>(Continued)</w:t>
      </w:r>
      <w:r w:rsidR="00DD6C39" w:rsidRPr="00DD6C39">
        <w:rPr>
          <w:rFonts w:ascii="Times New Roman" w:hAnsi="Times New Roman"/>
          <w:noProof/>
          <w:sz w:val="20"/>
        </w:rPr>
        <w:t xml:space="preserve"> </w:t>
      </w:r>
    </w:p>
    <w:p w14:paraId="054F89B6" w14:textId="39ED25F8" w:rsidR="00224102" w:rsidRPr="00DD6C39" w:rsidRDefault="00DD6C39" w:rsidP="00DD6C39">
      <w:pPr>
        <w:pStyle w:val="Heading2"/>
        <w:tabs>
          <w:tab w:val="left" w:pos="0"/>
        </w:tabs>
        <w:jc w:val="both"/>
        <w:rPr>
          <w:rFonts w:ascii="Times New Roman" w:hAnsi="Times New Roman"/>
          <w:noProof/>
          <w:sz w:val="20"/>
        </w:rPr>
      </w:pPr>
      <w:r>
        <w:rPr>
          <w:rFonts w:ascii="Times New Roman" w:hAnsi="Times New Roman"/>
          <w:noProof/>
          <w:sz w:val="20"/>
        </w:rPr>
        <w:tab/>
      </w:r>
      <w:r w:rsidR="00224102" w:rsidRPr="00DD6C39">
        <w:rPr>
          <w:rFonts w:ascii="Times New Roman" w:hAnsi="Times New Roman"/>
          <w:noProof/>
          <w:sz w:val="20"/>
        </w:rPr>
        <w:t>Liquidity risk management and liquidity coverage ratio</w:t>
      </w:r>
    </w:p>
    <w:p w14:paraId="08DD3AA9" w14:textId="11490B54" w:rsidR="00C60E8A" w:rsidRPr="00DD6C39" w:rsidRDefault="00C60E8A" w:rsidP="0070023B">
      <w:pPr>
        <w:pStyle w:val="Heading2"/>
        <w:numPr>
          <w:ilvl w:val="0"/>
          <w:numId w:val="81"/>
        </w:numPr>
        <w:tabs>
          <w:tab w:val="left" w:pos="0"/>
        </w:tabs>
        <w:ind w:left="709" w:hanging="723"/>
        <w:jc w:val="both"/>
        <w:rPr>
          <w:rFonts w:ascii="Times New Roman" w:hAnsi="Times New Roman"/>
          <w:noProof/>
          <w:sz w:val="20"/>
        </w:rPr>
      </w:pPr>
      <w:r w:rsidRPr="00DD6C39">
        <w:rPr>
          <w:rFonts w:ascii="Times New Roman" w:hAnsi="Times New Roman"/>
          <w:noProof/>
          <w:sz w:val="20"/>
        </w:rPr>
        <w:t>Banks explanations as a minimum regarding the liquidity ratio:</w:t>
      </w:r>
    </w:p>
    <w:p w14:paraId="2BBA7C72" w14:textId="77777777" w:rsidR="00C60E8A" w:rsidRPr="00C71E21" w:rsidRDefault="00C60E8A" w:rsidP="00DD6C39">
      <w:pPr>
        <w:pStyle w:val="Heading2"/>
        <w:tabs>
          <w:tab w:val="left" w:pos="0"/>
        </w:tabs>
        <w:jc w:val="both"/>
        <w:rPr>
          <w:b w:val="0"/>
          <w:i/>
          <w:sz w:val="20"/>
        </w:rPr>
      </w:pPr>
      <w:r w:rsidRPr="00C71E21">
        <w:rPr>
          <w:rFonts w:ascii="Times New Roman" w:hAnsi="Times New Roman"/>
          <w:noProof/>
          <w:sz w:val="20"/>
        </w:rPr>
        <w:t>3.a</w:t>
      </w:r>
      <w:r w:rsidRPr="00C71E21">
        <w:rPr>
          <w:rFonts w:ascii="Times New Roman" w:hAnsi="Times New Roman"/>
          <w:noProof/>
          <w:sz w:val="20"/>
        </w:rPr>
        <w:tab/>
        <w:t>Important factors affected by the results of Liquidity Coverage Ratio and the change of the items taken into account in</w:t>
      </w:r>
      <w:r w:rsidRPr="00C71E21">
        <w:rPr>
          <w:rFonts w:ascii="Times New Roman" w:hAnsi="Times New Roman"/>
          <w:sz w:val="20"/>
        </w:rPr>
        <w:t xml:space="preserve"> the ratio calculation over time.</w:t>
      </w:r>
    </w:p>
    <w:p w14:paraId="2C44E587" w14:textId="720E4FB4" w:rsidR="00C60E8A" w:rsidRPr="00C71E21" w:rsidRDefault="00122B24" w:rsidP="00122B24">
      <w:pPr>
        <w:spacing w:before="120" w:after="120"/>
        <w:jc w:val="both"/>
        <w:rPr>
          <w:sz w:val="20"/>
          <w:szCs w:val="20"/>
          <w:lang w:val="en"/>
        </w:rPr>
      </w:pPr>
      <w:r w:rsidRPr="00F34A6B">
        <w:rPr>
          <w:sz w:val="20"/>
          <w:szCs w:val="20"/>
          <w:lang w:val="en"/>
        </w:rPr>
        <w:t>De</w:t>
      </w:r>
      <w:r w:rsidR="009A14A1">
        <w:rPr>
          <w:sz w:val="20"/>
          <w:szCs w:val="20"/>
          <w:lang w:val="en"/>
        </w:rPr>
        <w:t>s</w:t>
      </w:r>
      <w:r w:rsidRPr="00F34A6B">
        <w:rPr>
          <w:sz w:val="20"/>
          <w:szCs w:val="20"/>
          <w:lang w:val="en"/>
        </w:rPr>
        <w:t xml:space="preserve">pite all components have significant role, bond and reverse repurchase amounts cash outflows/unsecured debts of due to </w:t>
      </w:r>
      <w:r>
        <w:rPr>
          <w:sz w:val="20"/>
          <w:szCs w:val="20"/>
          <w:lang w:val="en"/>
        </w:rPr>
        <w:t>banks line, cash outflows/</w:t>
      </w:r>
      <w:r w:rsidRPr="00F34A6B">
        <w:rPr>
          <w:sz w:val="20"/>
          <w:szCs w:val="20"/>
          <w:lang w:val="en"/>
        </w:rPr>
        <w:t>irrevocable commitments or re</w:t>
      </w:r>
      <w:r>
        <w:rPr>
          <w:sz w:val="20"/>
          <w:szCs w:val="20"/>
          <w:lang w:val="en"/>
        </w:rPr>
        <w:t xml:space="preserve">vocable contingent commitments of </w:t>
      </w:r>
      <w:r w:rsidRPr="00F34A6B">
        <w:rPr>
          <w:sz w:val="20"/>
          <w:szCs w:val="20"/>
          <w:lang w:val="en"/>
        </w:rPr>
        <w:t xml:space="preserve">off balance sheet liabilities, cash inflows/unsecured receivables </w:t>
      </w:r>
      <w:r>
        <w:rPr>
          <w:sz w:val="20"/>
          <w:szCs w:val="20"/>
          <w:lang w:val="en"/>
        </w:rPr>
        <w:t xml:space="preserve">of </w:t>
      </w:r>
      <w:r w:rsidRPr="00F34A6B">
        <w:rPr>
          <w:sz w:val="20"/>
          <w:szCs w:val="20"/>
          <w:lang w:val="en"/>
        </w:rPr>
        <w:t>due from financial institutions are high volatile assets. Related items have an effective role on variability of ratio</w:t>
      </w:r>
      <w:r w:rsidR="00F506D8" w:rsidRPr="00C71E21">
        <w:rPr>
          <w:sz w:val="20"/>
          <w:szCs w:val="20"/>
          <w:lang w:val="en"/>
        </w:rPr>
        <w:t>.</w:t>
      </w:r>
    </w:p>
    <w:p w14:paraId="473DDA08" w14:textId="17EF663A" w:rsidR="00C60E8A" w:rsidRPr="00C71E21" w:rsidRDefault="00195EDC" w:rsidP="009A14A1">
      <w:pPr>
        <w:tabs>
          <w:tab w:val="left" w:pos="728"/>
          <w:tab w:val="left" w:pos="8535"/>
        </w:tabs>
        <w:adjustRightInd w:val="0"/>
        <w:spacing w:before="120"/>
        <w:ind w:firstLine="14"/>
        <w:jc w:val="both"/>
        <w:rPr>
          <w:b/>
          <w:sz w:val="20"/>
          <w:szCs w:val="20"/>
        </w:rPr>
      </w:pPr>
      <w:proofErr w:type="gramStart"/>
      <w:r w:rsidRPr="00C71E21">
        <w:rPr>
          <w:b/>
          <w:sz w:val="20"/>
          <w:szCs w:val="20"/>
        </w:rPr>
        <w:t>3.b</w:t>
      </w:r>
      <w:proofErr w:type="gramEnd"/>
      <w:r w:rsidRPr="00C71E21">
        <w:rPr>
          <w:b/>
          <w:sz w:val="20"/>
          <w:szCs w:val="20"/>
        </w:rPr>
        <w:t xml:space="preserve">    </w:t>
      </w:r>
      <w:r w:rsidR="009A14A1">
        <w:rPr>
          <w:b/>
          <w:sz w:val="20"/>
          <w:szCs w:val="20"/>
        </w:rPr>
        <w:tab/>
        <w:t>Explanations on</w:t>
      </w:r>
      <w:r w:rsidR="00C60E8A" w:rsidRPr="00C71E21">
        <w:rPr>
          <w:b/>
          <w:sz w:val="20"/>
          <w:szCs w:val="20"/>
        </w:rPr>
        <w:t xml:space="preserve"> the components of high-quality liquid assets:</w:t>
      </w:r>
    </w:p>
    <w:p w14:paraId="306EDD4E" w14:textId="7B817056" w:rsidR="00195EDC" w:rsidRPr="00C71E21" w:rsidRDefault="002764DD" w:rsidP="00490153">
      <w:pPr>
        <w:tabs>
          <w:tab w:val="left" w:pos="8535"/>
        </w:tabs>
        <w:adjustRightInd w:val="0"/>
        <w:spacing w:before="120"/>
        <w:jc w:val="both"/>
        <w:rPr>
          <w:sz w:val="20"/>
          <w:szCs w:val="20"/>
          <w:lang w:val="en"/>
        </w:rPr>
      </w:pPr>
      <w:r w:rsidRPr="00F34A6B">
        <w:rPr>
          <w:sz w:val="20"/>
          <w:szCs w:val="20"/>
        </w:rPr>
        <w:t>High-quality as</w:t>
      </w:r>
      <w:r>
        <w:rPr>
          <w:sz w:val="20"/>
          <w:szCs w:val="20"/>
        </w:rPr>
        <w:t>sets is generated by cash balances</w:t>
      </w:r>
      <w:r w:rsidRPr="00F34A6B">
        <w:rPr>
          <w:sz w:val="20"/>
          <w:szCs w:val="20"/>
        </w:rPr>
        <w:t xml:space="preserve"> and Central Bank</w:t>
      </w:r>
      <w:r>
        <w:rPr>
          <w:sz w:val="20"/>
          <w:szCs w:val="20"/>
        </w:rPr>
        <w:t xml:space="preserve"> and</w:t>
      </w:r>
      <w:r w:rsidRPr="00F34A6B">
        <w:rPr>
          <w:sz w:val="20"/>
          <w:szCs w:val="20"/>
        </w:rPr>
        <w:t xml:space="preserve"> </w:t>
      </w:r>
      <w:r>
        <w:rPr>
          <w:sz w:val="20"/>
          <w:szCs w:val="20"/>
        </w:rPr>
        <w:t xml:space="preserve">issued </w:t>
      </w:r>
      <w:r w:rsidRPr="00F34A6B">
        <w:rPr>
          <w:sz w:val="20"/>
          <w:szCs w:val="20"/>
        </w:rPr>
        <w:t xml:space="preserve">debt </w:t>
      </w:r>
      <w:r>
        <w:rPr>
          <w:sz w:val="20"/>
          <w:szCs w:val="20"/>
        </w:rPr>
        <w:t>securities by</w:t>
      </w:r>
      <w:r w:rsidRPr="00F34A6B">
        <w:rPr>
          <w:sz w:val="20"/>
          <w:szCs w:val="20"/>
        </w:rPr>
        <w:t xml:space="preserve"> those with 0% </w:t>
      </w:r>
      <w:r>
        <w:rPr>
          <w:sz w:val="20"/>
          <w:szCs w:val="20"/>
        </w:rPr>
        <w:t xml:space="preserve">risk weightings of </w:t>
      </w:r>
      <w:r w:rsidRPr="00F34A6B">
        <w:rPr>
          <w:sz w:val="20"/>
          <w:szCs w:val="20"/>
        </w:rPr>
        <w:t>credit quality level risk. The changes in the</w:t>
      </w:r>
      <w:r w:rsidRPr="00F34A6B">
        <w:rPr>
          <w:sz w:val="20"/>
          <w:szCs w:val="20"/>
          <w:lang w:val="en"/>
        </w:rPr>
        <w:t xml:space="preserve"> </w:t>
      </w:r>
      <w:r w:rsidRPr="00F34A6B">
        <w:rPr>
          <w:sz w:val="20"/>
          <w:szCs w:val="20"/>
        </w:rPr>
        <w:t>reverse repo balance at the period</w:t>
      </w:r>
      <w:r w:rsidRPr="00F34A6B">
        <w:rPr>
          <w:sz w:val="20"/>
          <w:szCs w:val="20"/>
          <w:lang w:val="en"/>
        </w:rPr>
        <w:t xml:space="preserve"> </w:t>
      </w:r>
      <w:r w:rsidR="009A14A1">
        <w:rPr>
          <w:sz w:val="20"/>
          <w:szCs w:val="20"/>
        </w:rPr>
        <w:t>e</w:t>
      </w:r>
      <w:r w:rsidRPr="00F34A6B">
        <w:rPr>
          <w:sz w:val="20"/>
          <w:szCs w:val="20"/>
        </w:rPr>
        <w:t>ffects high-quality</w:t>
      </w:r>
      <w:r w:rsidRPr="00F34A6B">
        <w:rPr>
          <w:sz w:val="20"/>
          <w:szCs w:val="20"/>
          <w:lang w:val="en"/>
        </w:rPr>
        <w:t xml:space="preserve"> </w:t>
      </w:r>
      <w:r w:rsidRPr="00F34A6B">
        <w:rPr>
          <w:sz w:val="20"/>
          <w:szCs w:val="20"/>
        </w:rPr>
        <w:t>asset</w:t>
      </w:r>
      <w:r w:rsidRPr="00F34A6B">
        <w:rPr>
          <w:sz w:val="20"/>
          <w:szCs w:val="20"/>
          <w:lang w:val="en"/>
        </w:rPr>
        <w:t xml:space="preserve"> </w:t>
      </w:r>
      <w:r w:rsidRPr="00F34A6B">
        <w:rPr>
          <w:sz w:val="20"/>
          <w:szCs w:val="20"/>
        </w:rPr>
        <w:t>stock value</w:t>
      </w:r>
      <w:r w:rsidR="00C60E8A" w:rsidRPr="00C71E21">
        <w:rPr>
          <w:sz w:val="20"/>
          <w:szCs w:val="20"/>
        </w:rPr>
        <w:t>.</w:t>
      </w:r>
    </w:p>
    <w:p w14:paraId="282CD6C6" w14:textId="44FAAB8F" w:rsidR="00195EDC" w:rsidRPr="00C71E21" w:rsidRDefault="00195EDC" w:rsidP="009A14A1">
      <w:pPr>
        <w:pStyle w:val="ListParagraph"/>
        <w:tabs>
          <w:tab w:val="left" w:pos="742"/>
        </w:tabs>
        <w:adjustRightInd w:val="0"/>
        <w:spacing w:before="120"/>
        <w:ind w:left="0"/>
        <w:jc w:val="both"/>
        <w:rPr>
          <w:b/>
          <w:sz w:val="20"/>
          <w:szCs w:val="20"/>
        </w:rPr>
      </w:pPr>
      <w:proofErr w:type="gramStart"/>
      <w:r w:rsidRPr="00C71E21">
        <w:rPr>
          <w:b/>
          <w:sz w:val="20"/>
          <w:szCs w:val="20"/>
        </w:rPr>
        <w:t>3.c</w:t>
      </w:r>
      <w:proofErr w:type="gramEnd"/>
      <w:r w:rsidRPr="00C71E21">
        <w:rPr>
          <w:b/>
          <w:sz w:val="20"/>
          <w:szCs w:val="20"/>
        </w:rPr>
        <w:tab/>
      </w:r>
      <w:r w:rsidR="00C60E8A" w:rsidRPr="00C71E21">
        <w:rPr>
          <w:b/>
          <w:sz w:val="20"/>
          <w:szCs w:val="20"/>
        </w:rPr>
        <w:t>Funding source components and the intensity of them in all funds</w:t>
      </w:r>
    </w:p>
    <w:p w14:paraId="1F2BEC99" w14:textId="33CA57CF" w:rsidR="00C60E8A" w:rsidRPr="00C71E21" w:rsidRDefault="00C60E8A" w:rsidP="00490153">
      <w:pPr>
        <w:tabs>
          <w:tab w:val="left" w:pos="567"/>
        </w:tabs>
        <w:adjustRightInd w:val="0"/>
        <w:spacing w:before="120" w:after="120"/>
        <w:jc w:val="both"/>
        <w:rPr>
          <w:sz w:val="20"/>
          <w:szCs w:val="20"/>
        </w:rPr>
      </w:pPr>
      <w:r w:rsidRPr="00C71E21">
        <w:rPr>
          <w:sz w:val="20"/>
          <w:szCs w:val="20"/>
        </w:rPr>
        <w:t xml:space="preserve">Basically deposits, loans and subordinated loans as unsecured debt items </w:t>
      </w:r>
      <w:r w:rsidR="00F506D8" w:rsidRPr="00C71E21">
        <w:rPr>
          <w:sz w:val="20"/>
          <w:szCs w:val="20"/>
        </w:rPr>
        <w:t>have</w:t>
      </w:r>
      <w:r w:rsidR="00AB4550">
        <w:rPr>
          <w:sz w:val="20"/>
          <w:szCs w:val="20"/>
        </w:rPr>
        <w:t xml:space="preserve"> the most significant portion</w:t>
      </w:r>
      <w:r w:rsidRPr="00C71E21">
        <w:rPr>
          <w:sz w:val="20"/>
          <w:szCs w:val="20"/>
        </w:rPr>
        <w:t xml:space="preserve"> in </w:t>
      </w:r>
      <w:r w:rsidR="00C90A86">
        <w:rPr>
          <w:sz w:val="20"/>
          <w:szCs w:val="20"/>
        </w:rPr>
        <w:t>B</w:t>
      </w:r>
      <w:r w:rsidRPr="00C71E21">
        <w:rPr>
          <w:sz w:val="20"/>
          <w:szCs w:val="20"/>
        </w:rPr>
        <w:t>ank</w:t>
      </w:r>
      <w:r w:rsidR="00C90A86">
        <w:rPr>
          <w:sz w:val="20"/>
          <w:szCs w:val="20"/>
        </w:rPr>
        <w:t>’s</w:t>
      </w:r>
      <w:r w:rsidRPr="00C71E21">
        <w:rPr>
          <w:sz w:val="20"/>
          <w:szCs w:val="20"/>
        </w:rPr>
        <w:t xml:space="preserve"> </w:t>
      </w:r>
      <w:r w:rsidR="00336BD5">
        <w:rPr>
          <w:sz w:val="20"/>
          <w:szCs w:val="20"/>
        </w:rPr>
        <w:t xml:space="preserve">funding balances. As of 31 December </w:t>
      </w:r>
      <w:r w:rsidRPr="00C71E21">
        <w:rPr>
          <w:sz w:val="20"/>
          <w:szCs w:val="20"/>
        </w:rPr>
        <w:t>2015</w:t>
      </w:r>
      <w:r w:rsidR="00C90A86">
        <w:rPr>
          <w:sz w:val="20"/>
          <w:szCs w:val="20"/>
        </w:rPr>
        <w:t>,</w:t>
      </w:r>
      <w:r w:rsidRPr="00C71E21">
        <w:rPr>
          <w:sz w:val="20"/>
          <w:szCs w:val="20"/>
        </w:rPr>
        <w:t xml:space="preserve"> the </w:t>
      </w:r>
      <w:r w:rsidR="00F506D8" w:rsidRPr="00C71E21">
        <w:rPr>
          <w:sz w:val="20"/>
          <w:szCs w:val="20"/>
        </w:rPr>
        <w:t>proportion</w:t>
      </w:r>
      <w:r w:rsidRPr="00C71E21">
        <w:rPr>
          <w:sz w:val="20"/>
          <w:szCs w:val="20"/>
        </w:rPr>
        <w:t xml:space="preserve"> of total liabilities to </w:t>
      </w:r>
      <w:r w:rsidR="00F506D8" w:rsidRPr="00C71E21">
        <w:rPr>
          <w:sz w:val="20"/>
          <w:szCs w:val="20"/>
        </w:rPr>
        <w:t xml:space="preserve">all deposits of the bank is 48% and borrowings constitutes </w:t>
      </w:r>
      <w:r w:rsidRPr="00C71E21">
        <w:rPr>
          <w:sz w:val="20"/>
          <w:szCs w:val="20"/>
        </w:rPr>
        <w:t xml:space="preserve">27% </w:t>
      </w:r>
      <w:r w:rsidR="00F506D8" w:rsidRPr="00C71E21">
        <w:rPr>
          <w:sz w:val="20"/>
          <w:szCs w:val="20"/>
        </w:rPr>
        <w:t>portion whereas</w:t>
      </w:r>
      <w:r w:rsidRPr="00C71E21">
        <w:rPr>
          <w:sz w:val="20"/>
          <w:szCs w:val="20"/>
        </w:rPr>
        <w:t xml:space="preserve"> subordinate debt is 6%. </w:t>
      </w:r>
      <w:r w:rsidR="00F506D8" w:rsidRPr="00C71E21">
        <w:rPr>
          <w:sz w:val="20"/>
          <w:szCs w:val="20"/>
        </w:rPr>
        <w:t>Se</w:t>
      </w:r>
      <w:r w:rsidRPr="00C71E21">
        <w:rPr>
          <w:sz w:val="20"/>
          <w:szCs w:val="20"/>
        </w:rPr>
        <w:t>cured borrowings</w:t>
      </w:r>
      <w:r w:rsidR="00F506D8" w:rsidRPr="00C71E21">
        <w:rPr>
          <w:sz w:val="20"/>
          <w:szCs w:val="20"/>
        </w:rPr>
        <w:t xml:space="preserve"> such as repo transactions has</w:t>
      </w:r>
      <w:r w:rsidRPr="00C71E21">
        <w:rPr>
          <w:sz w:val="20"/>
          <w:szCs w:val="20"/>
        </w:rPr>
        <w:t xml:space="preserve"> lower </w:t>
      </w:r>
      <w:r w:rsidR="00F506D8" w:rsidRPr="00C71E21">
        <w:rPr>
          <w:sz w:val="20"/>
          <w:szCs w:val="20"/>
        </w:rPr>
        <w:t>portion</w:t>
      </w:r>
      <w:r w:rsidRPr="00C71E21">
        <w:rPr>
          <w:sz w:val="20"/>
          <w:szCs w:val="20"/>
        </w:rPr>
        <w:t xml:space="preserve"> (3%). In addition, as a funding i</w:t>
      </w:r>
      <w:r w:rsidR="00F506D8" w:rsidRPr="00C71E21">
        <w:rPr>
          <w:sz w:val="20"/>
          <w:szCs w:val="20"/>
        </w:rPr>
        <w:t xml:space="preserve">tem, the </w:t>
      </w:r>
      <w:r w:rsidR="00336BD5">
        <w:rPr>
          <w:sz w:val="20"/>
          <w:szCs w:val="20"/>
        </w:rPr>
        <w:t xml:space="preserve">Parent </w:t>
      </w:r>
      <w:r w:rsidR="00F506D8" w:rsidRPr="00C71E21">
        <w:rPr>
          <w:sz w:val="20"/>
          <w:szCs w:val="20"/>
        </w:rPr>
        <w:t>Bank has USD 250,000</w:t>
      </w:r>
      <w:r w:rsidRPr="00C71E21">
        <w:rPr>
          <w:sz w:val="20"/>
          <w:szCs w:val="20"/>
        </w:rPr>
        <w:t xml:space="preserve"> issued securities.</w:t>
      </w:r>
    </w:p>
    <w:p w14:paraId="46077135" w14:textId="5AC549A1" w:rsidR="00C60E8A" w:rsidRPr="00C71E21" w:rsidRDefault="00224102" w:rsidP="009A14A1">
      <w:pPr>
        <w:tabs>
          <w:tab w:val="left" w:pos="756"/>
        </w:tabs>
        <w:adjustRightInd w:val="0"/>
        <w:spacing w:before="120" w:after="120"/>
        <w:jc w:val="both"/>
        <w:rPr>
          <w:b/>
          <w:sz w:val="20"/>
          <w:szCs w:val="20"/>
        </w:rPr>
      </w:pPr>
      <w:proofErr w:type="gramStart"/>
      <w:r w:rsidRPr="00C71E21">
        <w:rPr>
          <w:b/>
          <w:sz w:val="20"/>
          <w:szCs w:val="20"/>
        </w:rPr>
        <w:t>3.d</w:t>
      </w:r>
      <w:proofErr w:type="gramEnd"/>
      <w:r w:rsidR="00195EDC" w:rsidRPr="00C71E21">
        <w:rPr>
          <w:b/>
          <w:sz w:val="20"/>
          <w:szCs w:val="20"/>
        </w:rPr>
        <w:tab/>
      </w:r>
      <w:r w:rsidR="00C60E8A" w:rsidRPr="00C71E21">
        <w:rPr>
          <w:b/>
          <w:sz w:val="20"/>
          <w:szCs w:val="20"/>
        </w:rPr>
        <w:t>Information about the outflows arising from derivative transactions and the possible completing collateral transactions</w:t>
      </w:r>
    </w:p>
    <w:p w14:paraId="6C6E8D36" w14:textId="3E3D6B77" w:rsidR="00195EDC" w:rsidRPr="00C71E21" w:rsidRDefault="00C60E8A" w:rsidP="00490153">
      <w:pPr>
        <w:tabs>
          <w:tab w:val="left" w:pos="567"/>
        </w:tabs>
        <w:adjustRightInd w:val="0"/>
        <w:spacing w:before="120" w:after="120"/>
        <w:jc w:val="both"/>
        <w:rPr>
          <w:sz w:val="20"/>
          <w:szCs w:val="20"/>
        </w:rPr>
      </w:pPr>
      <w:r w:rsidRPr="00C71E21">
        <w:rPr>
          <w:sz w:val="20"/>
          <w:szCs w:val="20"/>
        </w:rPr>
        <w:t xml:space="preserve"> Cash outflows arising from derivative product balances are occurred when the derivative products liabilities are higher than the receivables. </w:t>
      </w:r>
      <w:r w:rsidR="00F506D8" w:rsidRPr="00C71E21">
        <w:rPr>
          <w:sz w:val="20"/>
          <w:szCs w:val="20"/>
        </w:rPr>
        <w:t>As of 31 December 2015</w:t>
      </w:r>
      <w:r w:rsidR="00C90A86">
        <w:rPr>
          <w:sz w:val="20"/>
          <w:szCs w:val="20"/>
        </w:rPr>
        <w:t>,</w:t>
      </w:r>
      <w:r w:rsidR="00F506D8" w:rsidRPr="00C71E21">
        <w:rPr>
          <w:sz w:val="20"/>
          <w:szCs w:val="20"/>
        </w:rPr>
        <w:t xml:space="preserve"> </w:t>
      </w:r>
      <w:r w:rsidR="00C90A86">
        <w:rPr>
          <w:sz w:val="20"/>
          <w:szCs w:val="20"/>
        </w:rPr>
        <w:t>n</w:t>
      </w:r>
      <w:r w:rsidRPr="00C71E21">
        <w:rPr>
          <w:sz w:val="20"/>
          <w:szCs w:val="20"/>
        </w:rPr>
        <w:t xml:space="preserve">et of derivative assets and liabilities </w:t>
      </w:r>
      <w:r w:rsidR="00F506D8" w:rsidRPr="00C71E21">
        <w:rPr>
          <w:sz w:val="20"/>
          <w:szCs w:val="20"/>
        </w:rPr>
        <w:t>amounts to</w:t>
      </w:r>
      <w:r w:rsidRPr="00C71E21">
        <w:rPr>
          <w:sz w:val="20"/>
          <w:szCs w:val="20"/>
        </w:rPr>
        <w:t xml:space="preserve"> </w:t>
      </w:r>
      <w:r w:rsidR="00F506D8" w:rsidRPr="00C71E21">
        <w:rPr>
          <w:sz w:val="20"/>
          <w:szCs w:val="20"/>
        </w:rPr>
        <w:t xml:space="preserve">TL </w:t>
      </w:r>
      <w:r w:rsidRPr="00C71E21">
        <w:rPr>
          <w:sz w:val="20"/>
          <w:szCs w:val="20"/>
        </w:rPr>
        <w:t>7</w:t>
      </w:r>
      <w:r w:rsidR="00F506D8" w:rsidRPr="00C71E21">
        <w:rPr>
          <w:sz w:val="20"/>
          <w:szCs w:val="20"/>
        </w:rPr>
        <w:t>,000</w:t>
      </w:r>
      <w:r w:rsidRPr="00C71E21">
        <w:rPr>
          <w:sz w:val="20"/>
          <w:szCs w:val="20"/>
        </w:rPr>
        <w:t xml:space="preserve">. In addition, cash outflows balances are reported with calculation against the change of derivatives fair value. This calculation is </w:t>
      </w:r>
      <w:r w:rsidR="00F506D8" w:rsidRPr="00C71E21">
        <w:rPr>
          <w:sz w:val="20"/>
          <w:szCs w:val="20"/>
        </w:rPr>
        <w:t>performed by</w:t>
      </w:r>
      <w:r w:rsidRPr="00C71E21">
        <w:rPr>
          <w:sz w:val="20"/>
          <w:szCs w:val="20"/>
        </w:rPr>
        <w:t xml:space="preserve"> checking the output margin within last 24 months of the counterparty balance. The maximum value in the past 24 months is considered as cash </w:t>
      </w:r>
      <w:r w:rsidR="00F506D8" w:rsidRPr="00C71E21">
        <w:rPr>
          <w:sz w:val="20"/>
          <w:szCs w:val="20"/>
        </w:rPr>
        <w:t>out</w:t>
      </w:r>
      <w:r w:rsidRPr="00C71E21">
        <w:rPr>
          <w:sz w:val="20"/>
          <w:szCs w:val="20"/>
        </w:rPr>
        <w:t xml:space="preserve">flow as of reporting date. In this context, </w:t>
      </w:r>
      <w:r w:rsidR="005B3FBC">
        <w:rPr>
          <w:sz w:val="20"/>
          <w:szCs w:val="20"/>
        </w:rPr>
        <w:t>a</w:t>
      </w:r>
      <w:r w:rsidR="00F506D8" w:rsidRPr="00C71E21">
        <w:rPr>
          <w:sz w:val="20"/>
          <w:szCs w:val="20"/>
        </w:rPr>
        <w:t>ccording to calculations as of 31 December 2015</w:t>
      </w:r>
      <w:r w:rsidRPr="00C71E21">
        <w:rPr>
          <w:sz w:val="20"/>
          <w:szCs w:val="20"/>
        </w:rPr>
        <w:t>,</w:t>
      </w:r>
      <w:r w:rsidR="005B3FBC">
        <w:rPr>
          <w:sz w:val="20"/>
          <w:szCs w:val="20"/>
        </w:rPr>
        <w:t xml:space="preserve"> the</w:t>
      </w:r>
      <w:r w:rsidRPr="00C71E21">
        <w:rPr>
          <w:sz w:val="20"/>
          <w:szCs w:val="20"/>
        </w:rPr>
        <w:t xml:space="preserve"> liability balance is </w:t>
      </w:r>
      <w:r w:rsidR="00F506D8" w:rsidRPr="00C71E21">
        <w:rPr>
          <w:sz w:val="20"/>
          <w:szCs w:val="20"/>
        </w:rPr>
        <w:t xml:space="preserve">computed </w:t>
      </w:r>
      <w:r w:rsidR="005B3FBC">
        <w:rPr>
          <w:sz w:val="20"/>
          <w:szCs w:val="20"/>
        </w:rPr>
        <w:t xml:space="preserve">as </w:t>
      </w:r>
      <w:r w:rsidR="00F506D8" w:rsidRPr="00C71E21">
        <w:rPr>
          <w:sz w:val="20"/>
          <w:szCs w:val="20"/>
        </w:rPr>
        <w:t xml:space="preserve">TL </w:t>
      </w:r>
      <w:r w:rsidRPr="00C71E21">
        <w:rPr>
          <w:sz w:val="20"/>
          <w:szCs w:val="20"/>
        </w:rPr>
        <w:t>30</w:t>
      </w:r>
      <w:r w:rsidR="00F506D8" w:rsidRPr="00C71E21">
        <w:rPr>
          <w:sz w:val="20"/>
          <w:szCs w:val="20"/>
        </w:rPr>
        <w:t>,000</w:t>
      </w:r>
      <w:r w:rsidRPr="00C71E21">
        <w:rPr>
          <w:sz w:val="20"/>
          <w:szCs w:val="20"/>
        </w:rPr>
        <w:t xml:space="preserve"> in case of a change in fair value of derivatives products.</w:t>
      </w:r>
    </w:p>
    <w:p w14:paraId="0F54556D" w14:textId="5B7D47F7" w:rsidR="00C60E8A" w:rsidRPr="00C71E21" w:rsidRDefault="00195EDC" w:rsidP="00490153">
      <w:pPr>
        <w:tabs>
          <w:tab w:val="left" w:pos="567"/>
        </w:tabs>
        <w:adjustRightInd w:val="0"/>
        <w:spacing w:before="120"/>
        <w:jc w:val="both"/>
        <w:rPr>
          <w:b/>
          <w:sz w:val="20"/>
          <w:szCs w:val="20"/>
        </w:rPr>
      </w:pPr>
      <w:proofErr w:type="gramStart"/>
      <w:r w:rsidRPr="00C71E21">
        <w:rPr>
          <w:b/>
          <w:sz w:val="20"/>
          <w:szCs w:val="20"/>
        </w:rPr>
        <w:t>3</w:t>
      </w:r>
      <w:r w:rsidRPr="00C71E21">
        <w:rPr>
          <w:sz w:val="20"/>
          <w:szCs w:val="20"/>
        </w:rPr>
        <w:t>.</w:t>
      </w:r>
      <w:r w:rsidR="00224102" w:rsidRPr="00C71E21">
        <w:rPr>
          <w:b/>
          <w:sz w:val="20"/>
          <w:szCs w:val="20"/>
        </w:rPr>
        <w:t>e</w:t>
      </w:r>
      <w:proofErr w:type="gramEnd"/>
      <w:r w:rsidRPr="00C71E21">
        <w:rPr>
          <w:b/>
          <w:i/>
          <w:sz w:val="20"/>
          <w:szCs w:val="20"/>
        </w:rPr>
        <w:tab/>
      </w:r>
      <w:r w:rsidR="00C60E8A" w:rsidRPr="00C71E21">
        <w:rPr>
          <w:b/>
          <w:sz w:val="20"/>
          <w:szCs w:val="20"/>
        </w:rPr>
        <w:t>Counterparty and fund resources on the basis of products and concentration limits on collaterals</w:t>
      </w:r>
    </w:p>
    <w:p w14:paraId="79A5FF2A" w14:textId="2E9CC89C" w:rsidR="00C60E8A" w:rsidRPr="00C71E21" w:rsidRDefault="002B0ED0" w:rsidP="00490153">
      <w:pPr>
        <w:tabs>
          <w:tab w:val="left" w:pos="567"/>
        </w:tabs>
        <w:adjustRightInd w:val="0"/>
        <w:spacing w:before="120" w:after="120"/>
        <w:jc w:val="both"/>
        <w:rPr>
          <w:sz w:val="20"/>
          <w:szCs w:val="20"/>
        </w:rPr>
      </w:pPr>
      <w:r w:rsidRPr="00F34A6B">
        <w:rPr>
          <w:sz w:val="20"/>
          <w:szCs w:val="20"/>
        </w:rPr>
        <w:t xml:space="preserve">As of 31 December 2015, the </w:t>
      </w:r>
      <w:r>
        <w:rPr>
          <w:sz w:val="20"/>
          <w:szCs w:val="20"/>
        </w:rPr>
        <w:t xml:space="preserve">Parent </w:t>
      </w:r>
      <w:r w:rsidRPr="00F34A6B">
        <w:rPr>
          <w:sz w:val="20"/>
          <w:szCs w:val="20"/>
        </w:rPr>
        <w:t xml:space="preserve">Bank’s more than 45% of time deposit cap </w:t>
      </w:r>
      <w:proofErr w:type="spellStart"/>
      <w:r w:rsidRPr="00F34A6B">
        <w:rPr>
          <w:sz w:val="20"/>
          <w:szCs w:val="20"/>
        </w:rPr>
        <w:t>arised</w:t>
      </w:r>
      <w:proofErr w:type="spellEnd"/>
      <w:r w:rsidRPr="00F34A6B">
        <w:rPr>
          <w:sz w:val="20"/>
          <w:szCs w:val="20"/>
        </w:rPr>
        <w:t xml:space="preserve"> from retail banking. </w:t>
      </w:r>
      <w:r>
        <w:rPr>
          <w:sz w:val="20"/>
          <w:szCs w:val="20"/>
        </w:rPr>
        <w:t xml:space="preserve">The remaining time deposits are constituted from legal entities. </w:t>
      </w:r>
      <w:r w:rsidRPr="00F34A6B">
        <w:rPr>
          <w:sz w:val="20"/>
          <w:szCs w:val="20"/>
        </w:rPr>
        <w:t>Another significant funding resource of borrowings generated from foreign banks</w:t>
      </w:r>
      <w:r>
        <w:rPr>
          <w:sz w:val="20"/>
          <w:szCs w:val="20"/>
        </w:rPr>
        <w:t xml:space="preserve"> (95%)</w:t>
      </w:r>
      <w:r w:rsidRPr="00F34A6B">
        <w:rPr>
          <w:sz w:val="20"/>
          <w:szCs w:val="20"/>
        </w:rPr>
        <w:t xml:space="preserve">. As of 31 December 2015, 48% of the subordinated loans which are subject to capital adequacy calculations provided from Commercial Bank of Qatar and rest of the part is provided from development agencies. In addition, </w:t>
      </w:r>
      <w:r>
        <w:rPr>
          <w:sz w:val="20"/>
          <w:szCs w:val="20"/>
        </w:rPr>
        <w:t xml:space="preserve">Parent </w:t>
      </w:r>
      <w:r w:rsidRPr="00F34A6B">
        <w:rPr>
          <w:sz w:val="20"/>
          <w:szCs w:val="20"/>
        </w:rPr>
        <w:t xml:space="preserve">Bank has issued </w:t>
      </w:r>
      <w:r>
        <w:rPr>
          <w:sz w:val="20"/>
          <w:szCs w:val="20"/>
        </w:rPr>
        <w:t xml:space="preserve">securities </w:t>
      </w:r>
      <w:r w:rsidRPr="00F34A6B">
        <w:rPr>
          <w:sz w:val="20"/>
          <w:szCs w:val="20"/>
        </w:rPr>
        <w:t>amount to USD 250,000</w:t>
      </w:r>
      <w:r w:rsidR="00F506D8" w:rsidRPr="00C71E21">
        <w:rPr>
          <w:sz w:val="20"/>
          <w:szCs w:val="20"/>
        </w:rPr>
        <w:t>.</w:t>
      </w:r>
    </w:p>
    <w:p w14:paraId="477F394D" w14:textId="2ED5BAB6" w:rsidR="00195EDC" w:rsidRPr="00C71E21" w:rsidRDefault="00224102" w:rsidP="00490153">
      <w:pPr>
        <w:tabs>
          <w:tab w:val="left" w:pos="567"/>
        </w:tabs>
        <w:adjustRightInd w:val="0"/>
        <w:spacing w:before="120" w:after="120"/>
        <w:jc w:val="both"/>
        <w:rPr>
          <w:b/>
          <w:sz w:val="20"/>
          <w:szCs w:val="20"/>
        </w:rPr>
      </w:pPr>
      <w:r w:rsidRPr="00C71E21">
        <w:rPr>
          <w:b/>
          <w:sz w:val="20"/>
          <w:szCs w:val="20"/>
        </w:rPr>
        <w:t>3.f</w:t>
      </w:r>
      <w:r w:rsidR="00195EDC" w:rsidRPr="00C71E21">
        <w:rPr>
          <w:b/>
          <w:i/>
          <w:sz w:val="20"/>
          <w:szCs w:val="20"/>
        </w:rPr>
        <w:tab/>
      </w:r>
      <w:r w:rsidR="00C60E8A" w:rsidRPr="00C71E21">
        <w:rPr>
          <w:b/>
          <w:sz w:val="20"/>
          <w:szCs w:val="20"/>
        </w:rPr>
        <w:t>The liquidity risk for the potential funding needs for  the bank itself , the branches in foreign countries and its consolidated partnerships with considering the operational and legal factors inhibiting the liquidity transfer</w:t>
      </w:r>
    </w:p>
    <w:p w14:paraId="0C7D0359" w14:textId="60DA7377" w:rsidR="00C60E8A" w:rsidRPr="00C60E8A" w:rsidRDefault="00F506D8" w:rsidP="00490153">
      <w:pPr>
        <w:spacing w:before="120"/>
        <w:rPr>
          <w:sz w:val="20"/>
          <w:szCs w:val="20"/>
        </w:rPr>
      </w:pPr>
      <w:r w:rsidRPr="00C71E21">
        <w:rPr>
          <w:sz w:val="20"/>
          <w:szCs w:val="20"/>
        </w:rPr>
        <w:t>In</w:t>
      </w:r>
      <w:r w:rsidR="00C60E8A" w:rsidRPr="00C71E21">
        <w:rPr>
          <w:sz w:val="20"/>
          <w:szCs w:val="20"/>
        </w:rPr>
        <w:t xml:space="preserve"> the current </w:t>
      </w:r>
      <w:proofErr w:type="spellStart"/>
      <w:r w:rsidRPr="00C71E21">
        <w:rPr>
          <w:sz w:val="20"/>
          <w:szCs w:val="20"/>
        </w:rPr>
        <w:t>poisiton</w:t>
      </w:r>
      <w:proofErr w:type="spellEnd"/>
      <w:r w:rsidR="00C60E8A" w:rsidRPr="00C71E21">
        <w:rPr>
          <w:sz w:val="20"/>
          <w:szCs w:val="20"/>
        </w:rPr>
        <w:t xml:space="preserve"> of the </w:t>
      </w:r>
      <w:r w:rsidR="00C10798">
        <w:rPr>
          <w:sz w:val="20"/>
          <w:szCs w:val="20"/>
        </w:rPr>
        <w:t xml:space="preserve">Parent </w:t>
      </w:r>
      <w:r w:rsidR="00C60E8A" w:rsidRPr="00C71E21">
        <w:rPr>
          <w:sz w:val="20"/>
          <w:szCs w:val="20"/>
        </w:rPr>
        <w:t>Bank and its consolidated</w:t>
      </w:r>
      <w:r w:rsidR="00C60E8A" w:rsidRPr="00C60E8A">
        <w:rPr>
          <w:sz w:val="20"/>
          <w:szCs w:val="20"/>
        </w:rPr>
        <w:t xml:space="preserve"> subsidiaries, </w:t>
      </w:r>
      <w:r>
        <w:rPr>
          <w:sz w:val="20"/>
          <w:szCs w:val="20"/>
        </w:rPr>
        <w:t>there is no such risk</w:t>
      </w:r>
      <w:r w:rsidR="00C10798">
        <w:rPr>
          <w:sz w:val="20"/>
          <w:szCs w:val="20"/>
        </w:rPr>
        <w:t>s</w:t>
      </w:r>
      <w:r>
        <w:rPr>
          <w:sz w:val="20"/>
          <w:szCs w:val="20"/>
        </w:rPr>
        <w:t xml:space="preserve"> draw</w:t>
      </w:r>
      <w:r w:rsidR="00C10798">
        <w:rPr>
          <w:sz w:val="20"/>
          <w:szCs w:val="20"/>
        </w:rPr>
        <w:t>ing</w:t>
      </w:r>
      <w:r>
        <w:rPr>
          <w:sz w:val="20"/>
          <w:szCs w:val="20"/>
        </w:rPr>
        <w:t xml:space="preserve"> </w:t>
      </w:r>
      <w:r w:rsidR="00C60E8A" w:rsidRPr="00C60E8A">
        <w:rPr>
          <w:sz w:val="20"/>
          <w:szCs w:val="20"/>
        </w:rPr>
        <w:t>attention.</w:t>
      </w:r>
    </w:p>
    <w:p w14:paraId="265CD023" w14:textId="77777777" w:rsidR="00195EDC" w:rsidRPr="00C60E8A" w:rsidRDefault="00195EDC" w:rsidP="00490153">
      <w:pPr>
        <w:spacing w:before="120"/>
        <w:rPr>
          <w:sz w:val="20"/>
          <w:szCs w:val="20"/>
        </w:rPr>
      </w:pPr>
    </w:p>
    <w:p w14:paraId="100B0765" w14:textId="77777777" w:rsidR="00224102" w:rsidRDefault="00224102" w:rsidP="00490153">
      <w:pPr>
        <w:spacing w:before="120" w:after="200" w:line="276" w:lineRule="auto"/>
        <w:rPr>
          <w:b/>
          <w:sz w:val="22"/>
          <w:szCs w:val="22"/>
        </w:rPr>
      </w:pPr>
      <w:r>
        <w:rPr>
          <w:b/>
          <w:sz w:val="22"/>
          <w:szCs w:val="22"/>
        </w:rPr>
        <w:br w:type="page"/>
      </w:r>
    </w:p>
    <w:p w14:paraId="341BCDFD" w14:textId="0F30C5F2" w:rsidR="00224102" w:rsidRPr="00603922" w:rsidRDefault="00A041CD" w:rsidP="00224102">
      <w:pPr>
        <w:pageBreakBefore/>
        <w:spacing w:before="120"/>
        <w:jc w:val="both"/>
        <w:rPr>
          <w:b/>
          <w:sz w:val="20"/>
          <w:szCs w:val="20"/>
        </w:rPr>
      </w:pPr>
      <w:r w:rsidRPr="00A041CD">
        <w:rPr>
          <w:b/>
          <w:sz w:val="20"/>
          <w:szCs w:val="20"/>
        </w:rPr>
        <w:lastRenderedPageBreak/>
        <w:t>INFORMATION ON THE FINANCIAL POSITION OF THE GROUP (Continued)</w:t>
      </w:r>
    </w:p>
    <w:p w14:paraId="29BA2E37" w14:textId="77777777" w:rsidR="00224102" w:rsidRPr="00C71E21" w:rsidRDefault="00224102" w:rsidP="0097598E">
      <w:pPr>
        <w:pStyle w:val="ListParagraph"/>
        <w:numPr>
          <w:ilvl w:val="0"/>
          <w:numId w:val="74"/>
        </w:numPr>
        <w:tabs>
          <w:tab w:val="clear" w:pos="1260"/>
        </w:tabs>
        <w:autoSpaceDE w:val="0"/>
        <w:adjustRightInd w:val="0"/>
        <w:spacing w:before="120" w:after="100" w:afterAutospacing="1"/>
        <w:ind w:left="567" w:hanging="567"/>
        <w:jc w:val="both"/>
        <w:rPr>
          <w:b/>
          <w:sz w:val="20"/>
          <w:szCs w:val="20"/>
        </w:rPr>
      </w:pPr>
      <w:r w:rsidRPr="00C71E21">
        <w:rPr>
          <w:b/>
          <w:noProof/>
          <w:sz w:val="20"/>
          <w:szCs w:val="20"/>
        </w:rPr>
        <w:t>Explanations</w:t>
      </w:r>
      <w:r w:rsidRPr="00C71E21" w:rsidDel="00110417">
        <w:rPr>
          <w:b/>
          <w:caps/>
          <w:sz w:val="20"/>
          <w:szCs w:val="20"/>
        </w:rPr>
        <w:t xml:space="preserve"> </w:t>
      </w:r>
      <w:r w:rsidRPr="00C71E21">
        <w:rPr>
          <w:b/>
          <w:sz w:val="20"/>
          <w:szCs w:val="20"/>
        </w:rPr>
        <w:t>on Liquidity Risk</w:t>
      </w:r>
      <w:r w:rsidRPr="00C71E21" w:rsidDel="00110417">
        <w:rPr>
          <w:b/>
          <w:caps/>
          <w:sz w:val="20"/>
          <w:szCs w:val="20"/>
        </w:rPr>
        <w:t xml:space="preserve"> </w:t>
      </w:r>
      <w:r w:rsidRPr="00C71E21">
        <w:rPr>
          <w:b/>
          <w:sz w:val="20"/>
          <w:szCs w:val="20"/>
        </w:rPr>
        <w:t>(Continued)</w:t>
      </w:r>
    </w:p>
    <w:p w14:paraId="668BBC82" w14:textId="77777777" w:rsidR="00224102" w:rsidRPr="00C71E21" w:rsidRDefault="00224102" w:rsidP="00224102">
      <w:pPr>
        <w:pStyle w:val="ListParagraph"/>
        <w:autoSpaceDE w:val="0"/>
        <w:adjustRightInd w:val="0"/>
        <w:spacing w:before="120" w:after="120"/>
        <w:ind w:left="567"/>
        <w:jc w:val="both"/>
        <w:rPr>
          <w:b/>
          <w:sz w:val="20"/>
          <w:szCs w:val="20"/>
        </w:rPr>
      </w:pPr>
    </w:p>
    <w:p w14:paraId="19CBC0D6" w14:textId="70647EE7" w:rsidR="00224102" w:rsidRPr="00C71E21" w:rsidRDefault="00224102" w:rsidP="00224102">
      <w:pPr>
        <w:pStyle w:val="ListParagraph"/>
        <w:autoSpaceDE w:val="0"/>
        <w:adjustRightInd w:val="0"/>
        <w:spacing w:before="120" w:after="120"/>
        <w:ind w:left="567"/>
        <w:jc w:val="both"/>
        <w:rPr>
          <w:b/>
          <w:sz w:val="20"/>
          <w:szCs w:val="20"/>
        </w:rPr>
      </w:pPr>
      <w:r w:rsidRPr="00C71E21">
        <w:rPr>
          <w:b/>
          <w:sz w:val="20"/>
          <w:szCs w:val="20"/>
        </w:rPr>
        <w:t>Liquidity risk management and liquidity coverage ratio (Continue)</w:t>
      </w:r>
    </w:p>
    <w:p w14:paraId="38B1A404" w14:textId="77777777" w:rsidR="00224102" w:rsidRPr="00C71E21" w:rsidRDefault="00224102" w:rsidP="00224102">
      <w:pPr>
        <w:pStyle w:val="ListParagraph"/>
        <w:autoSpaceDE w:val="0"/>
        <w:adjustRightInd w:val="0"/>
        <w:spacing w:before="120" w:after="120"/>
        <w:ind w:left="567"/>
        <w:jc w:val="both"/>
        <w:rPr>
          <w:b/>
          <w:sz w:val="20"/>
          <w:szCs w:val="20"/>
        </w:rPr>
      </w:pPr>
    </w:p>
    <w:p w14:paraId="11EDF1DE" w14:textId="402DCBBA" w:rsidR="00224102" w:rsidRPr="00C71E21" w:rsidRDefault="00224102" w:rsidP="008477F3">
      <w:pPr>
        <w:pStyle w:val="ListParagraph"/>
        <w:numPr>
          <w:ilvl w:val="0"/>
          <w:numId w:val="75"/>
        </w:numPr>
        <w:tabs>
          <w:tab w:val="clear" w:pos="1260"/>
          <w:tab w:val="num" w:pos="567"/>
        </w:tabs>
        <w:autoSpaceDE w:val="0"/>
        <w:adjustRightInd w:val="0"/>
        <w:spacing w:before="120" w:after="120"/>
        <w:ind w:hanging="1260"/>
        <w:jc w:val="both"/>
        <w:rPr>
          <w:b/>
          <w:sz w:val="20"/>
          <w:szCs w:val="20"/>
        </w:rPr>
      </w:pPr>
      <w:r w:rsidRPr="00C71E21">
        <w:rPr>
          <w:b/>
          <w:sz w:val="20"/>
          <w:szCs w:val="20"/>
          <w:lang w:val="en"/>
        </w:rPr>
        <w:t>Banks explanations as a minimum regarding the liquidity ratio (continue)</w:t>
      </w:r>
    </w:p>
    <w:p w14:paraId="43DAF9CD" w14:textId="435431E5" w:rsidR="00195EDC" w:rsidRPr="00C71E21" w:rsidRDefault="00224102" w:rsidP="005D17D6">
      <w:pPr>
        <w:tabs>
          <w:tab w:val="left" w:pos="567"/>
        </w:tabs>
        <w:adjustRightInd w:val="0"/>
        <w:spacing w:before="100" w:beforeAutospacing="1" w:after="120"/>
        <w:jc w:val="both"/>
        <w:rPr>
          <w:b/>
          <w:i/>
          <w:sz w:val="20"/>
          <w:szCs w:val="20"/>
        </w:rPr>
      </w:pPr>
      <w:proofErr w:type="gramStart"/>
      <w:r w:rsidRPr="00C71E21">
        <w:rPr>
          <w:b/>
          <w:sz w:val="20"/>
          <w:szCs w:val="20"/>
        </w:rPr>
        <w:t>3.g</w:t>
      </w:r>
      <w:proofErr w:type="gramEnd"/>
      <w:r w:rsidR="00195EDC" w:rsidRPr="00C71E21">
        <w:rPr>
          <w:b/>
          <w:i/>
          <w:sz w:val="20"/>
          <w:szCs w:val="20"/>
        </w:rPr>
        <w:tab/>
      </w:r>
      <w:r w:rsidR="00C60E8A" w:rsidRPr="00C71E21">
        <w:rPr>
          <w:b/>
          <w:sz w:val="20"/>
          <w:szCs w:val="20"/>
        </w:rPr>
        <w:t>The information about the other cash inflows and outflows located in the liquidity leverage ratio calculation but not located in the second paragraph of disclosure template and considered as related with liquidity profile</w:t>
      </w:r>
    </w:p>
    <w:p w14:paraId="0E6E0870" w14:textId="7F2CC565" w:rsidR="00195EDC" w:rsidRPr="00C60E8A" w:rsidRDefault="00C60E8A" w:rsidP="00195EDC">
      <w:pPr>
        <w:rPr>
          <w:sz w:val="20"/>
          <w:szCs w:val="20"/>
        </w:rPr>
      </w:pPr>
      <w:r w:rsidRPr="00C71E21">
        <w:rPr>
          <w:sz w:val="20"/>
          <w:szCs w:val="20"/>
        </w:rPr>
        <w:t xml:space="preserve">In this context, there is no </w:t>
      </w:r>
      <w:r w:rsidR="00F506D8" w:rsidRPr="00C71E21">
        <w:rPr>
          <w:sz w:val="20"/>
          <w:szCs w:val="20"/>
        </w:rPr>
        <w:t xml:space="preserve">excluded </w:t>
      </w:r>
      <w:r w:rsidRPr="00C71E21">
        <w:rPr>
          <w:sz w:val="20"/>
          <w:szCs w:val="20"/>
        </w:rPr>
        <w:t>cash inflow</w:t>
      </w:r>
      <w:r w:rsidRPr="00C60E8A">
        <w:rPr>
          <w:sz w:val="20"/>
          <w:szCs w:val="20"/>
        </w:rPr>
        <w:t xml:space="preserve"> and outflow in statements </w:t>
      </w:r>
      <w:r w:rsidR="00F506D8">
        <w:rPr>
          <w:sz w:val="20"/>
          <w:szCs w:val="20"/>
        </w:rPr>
        <w:t>on</w:t>
      </w:r>
      <w:r w:rsidRPr="00C60E8A">
        <w:rPr>
          <w:sz w:val="20"/>
          <w:szCs w:val="20"/>
        </w:rPr>
        <w:t xml:space="preserve"> the current situation.</w:t>
      </w:r>
    </w:p>
    <w:p w14:paraId="076D4172" w14:textId="2D7153BD" w:rsidR="00FA020F" w:rsidRPr="00FA020F" w:rsidRDefault="00A041CD" w:rsidP="00FA020F">
      <w:pPr>
        <w:pageBreakBefore/>
        <w:jc w:val="both"/>
        <w:rPr>
          <w:b/>
          <w:sz w:val="20"/>
          <w:szCs w:val="20"/>
        </w:rPr>
      </w:pPr>
      <w:r w:rsidRPr="00A041CD">
        <w:rPr>
          <w:b/>
          <w:sz w:val="20"/>
          <w:szCs w:val="20"/>
        </w:rPr>
        <w:lastRenderedPageBreak/>
        <w:t>INFORMATION ON THE FINANCIAL POSITION OF THE GROUP (Continued)</w:t>
      </w:r>
    </w:p>
    <w:p w14:paraId="5F4A386B" w14:textId="77777777" w:rsidR="00A8184E" w:rsidRPr="00FA020F" w:rsidRDefault="00FA020F" w:rsidP="007A4AE1">
      <w:pPr>
        <w:pStyle w:val="Heading2"/>
        <w:tabs>
          <w:tab w:val="left" w:pos="567"/>
        </w:tabs>
        <w:spacing w:after="120"/>
        <w:ind w:left="851" w:hanging="851"/>
        <w:jc w:val="both"/>
        <w:rPr>
          <w:rFonts w:ascii="Times New Roman" w:hAnsi="Times New Roman"/>
          <w:caps/>
          <w:sz w:val="20"/>
        </w:rPr>
      </w:pPr>
      <w:r w:rsidRPr="00FA020F">
        <w:rPr>
          <w:rFonts w:ascii="Times New Roman" w:hAnsi="Times New Roman"/>
          <w:caps/>
          <w:sz w:val="20"/>
        </w:rPr>
        <w:t>VIı.</w:t>
      </w:r>
      <w:r w:rsidRPr="00FA020F">
        <w:rPr>
          <w:rFonts w:ascii="Times New Roman" w:hAnsi="Times New Roman"/>
          <w:caps/>
          <w:sz w:val="20"/>
        </w:rPr>
        <w:tab/>
      </w:r>
      <w:r w:rsidRPr="00FA020F">
        <w:rPr>
          <w:rFonts w:ascii="Times New Roman" w:hAnsi="Times New Roman"/>
          <w:noProof/>
          <w:sz w:val="20"/>
        </w:rPr>
        <w:t>Explanations</w:t>
      </w:r>
      <w:r w:rsidRPr="00FA020F" w:rsidDel="00110417">
        <w:rPr>
          <w:rFonts w:ascii="Times New Roman" w:hAnsi="Times New Roman"/>
          <w:caps/>
          <w:sz w:val="20"/>
        </w:rPr>
        <w:t xml:space="preserve"> </w:t>
      </w:r>
      <w:r w:rsidRPr="00FA020F">
        <w:rPr>
          <w:rFonts w:ascii="Times New Roman" w:hAnsi="Times New Roman"/>
          <w:sz w:val="20"/>
        </w:rPr>
        <w:t>on Liquidity Risk</w:t>
      </w:r>
      <w:r w:rsidRPr="00FA020F" w:rsidDel="00110417">
        <w:rPr>
          <w:rFonts w:ascii="Times New Roman" w:hAnsi="Times New Roman"/>
          <w:caps/>
          <w:sz w:val="20"/>
        </w:rPr>
        <w:t xml:space="preserve"> </w:t>
      </w:r>
      <w:r w:rsidRPr="00FA020F">
        <w:rPr>
          <w:rFonts w:ascii="Times New Roman" w:hAnsi="Times New Roman"/>
          <w:sz w:val="20"/>
        </w:rPr>
        <w:t>(Continued)</w:t>
      </w:r>
    </w:p>
    <w:p w14:paraId="30435AFC" w14:textId="21327FCD" w:rsidR="005E33B0" w:rsidRPr="007A4AE1" w:rsidRDefault="005E33B0" w:rsidP="007A4AE1">
      <w:pPr>
        <w:spacing w:before="120" w:after="120"/>
        <w:jc w:val="both"/>
        <w:rPr>
          <w:b/>
          <w:sz w:val="20"/>
          <w:szCs w:val="20"/>
        </w:rPr>
      </w:pPr>
      <w:r w:rsidRPr="00604C75">
        <w:rPr>
          <w:b/>
          <w:sz w:val="20"/>
          <w:szCs w:val="20"/>
        </w:rPr>
        <w:t xml:space="preserve">Breakdown of assets and liabilities according </w:t>
      </w:r>
      <w:r w:rsidR="00340907" w:rsidRPr="00604C75">
        <w:rPr>
          <w:b/>
          <w:sz w:val="20"/>
          <w:szCs w:val="20"/>
        </w:rPr>
        <w:t>to their outstanding maturities</w:t>
      </w:r>
    </w:p>
    <w:tbl>
      <w:tblPr>
        <w:tblW w:w="9726"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199"/>
        <w:gridCol w:w="804"/>
        <w:gridCol w:w="1052"/>
        <w:gridCol w:w="902"/>
        <w:gridCol w:w="901"/>
        <w:gridCol w:w="939"/>
        <w:gridCol w:w="1098"/>
        <w:gridCol w:w="912"/>
        <w:gridCol w:w="919"/>
      </w:tblGrid>
      <w:tr w:rsidR="005E33B0" w:rsidRPr="00604C75" w14:paraId="68A13DDE" w14:textId="77777777" w:rsidTr="005D17D6">
        <w:trPr>
          <w:trHeight w:val="106"/>
        </w:trPr>
        <w:tc>
          <w:tcPr>
            <w:tcW w:w="2199" w:type="dxa"/>
            <w:vAlign w:val="bottom"/>
          </w:tcPr>
          <w:p w14:paraId="230652D6" w14:textId="77777777" w:rsidR="005E33B0" w:rsidRPr="00604C75" w:rsidRDefault="005E33B0" w:rsidP="00C22AF8">
            <w:pPr>
              <w:ind w:left="-2"/>
              <w:jc w:val="center"/>
              <w:rPr>
                <w:snapToGrid w:val="0"/>
                <w:sz w:val="16"/>
                <w:szCs w:val="16"/>
              </w:rPr>
            </w:pPr>
          </w:p>
        </w:tc>
        <w:tc>
          <w:tcPr>
            <w:tcW w:w="804" w:type="dxa"/>
            <w:vAlign w:val="bottom"/>
          </w:tcPr>
          <w:p w14:paraId="44A494B0" w14:textId="77777777" w:rsidR="005E33B0" w:rsidRPr="00604C75" w:rsidRDefault="005E33B0" w:rsidP="00C22AF8">
            <w:pPr>
              <w:ind w:left="-30" w:right="34"/>
              <w:jc w:val="right"/>
              <w:rPr>
                <w:b/>
                <w:bCs/>
                <w:snapToGrid w:val="0"/>
                <w:sz w:val="16"/>
                <w:szCs w:val="16"/>
              </w:rPr>
            </w:pPr>
            <w:r w:rsidRPr="00604C75">
              <w:rPr>
                <w:b/>
                <w:bCs/>
                <w:snapToGrid w:val="0"/>
                <w:sz w:val="16"/>
                <w:szCs w:val="16"/>
              </w:rPr>
              <w:t>Demand</w:t>
            </w:r>
          </w:p>
        </w:tc>
        <w:tc>
          <w:tcPr>
            <w:tcW w:w="1052" w:type="dxa"/>
            <w:vAlign w:val="bottom"/>
          </w:tcPr>
          <w:p w14:paraId="78E8FF92" w14:textId="77777777" w:rsidR="005E33B0" w:rsidRPr="00604C75" w:rsidRDefault="005E33B0" w:rsidP="00C22AF8">
            <w:pPr>
              <w:ind w:left="-30" w:right="34"/>
              <w:jc w:val="right"/>
              <w:rPr>
                <w:b/>
                <w:bCs/>
                <w:snapToGrid w:val="0"/>
                <w:sz w:val="16"/>
                <w:szCs w:val="16"/>
              </w:rPr>
            </w:pPr>
            <w:r w:rsidRPr="00604C75">
              <w:rPr>
                <w:b/>
                <w:bCs/>
                <w:snapToGrid w:val="0"/>
                <w:sz w:val="16"/>
                <w:szCs w:val="16"/>
              </w:rPr>
              <w:t>Up to 1</w:t>
            </w:r>
          </w:p>
          <w:p w14:paraId="1DA189DD" w14:textId="77777777" w:rsidR="005E33B0" w:rsidRPr="00604C75" w:rsidRDefault="005E33B0" w:rsidP="00C22AF8">
            <w:pPr>
              <w:ind w:left="-30" w:right="34"/>
              <w:jc w:val="right"/>
              <w:rPr>
                <w:b/>
                <w:bCs/>
                <w:snapToGrid w:val="0"/>
                <w:sz w:val="16"/>
                <w:szCs w:val="16"/>
              </w:rPr>
            </w:pPr>
            <w:r w:rsidRPr="00604C75">
              <w:rPr>
                <w:b/>
                <w:bCs/>
                <w:snapToGrid w:val="0"/>
                <w:sz w:val="16"/>
                <w:szCs w:val="16"/>
              </w:rPr>
              <w:t>Month</w:t>
            </w:r>
          </w:p>
        </w:tc>
        <w:tc>
          <w:tcPr>
            <w:tcW w:w="902" w:type="dxa"/>
            <w:vAlign w:val="bottom"/>
          </w:tcPr>
          <w:p w14:paraId="5932A6A5" w14:textId="77777777" w:rsidR="005E33B0" w:rsidRPr="00604C75" w:rsidRDefault="005E33B0" w:rsidP="00C22AF8">
            <w:pPr>
              <w:ind w:left="-30" w:right="34"/>
              <w:jc w:val="right"/>
              <w:rPr>
                <w:b/>
                <w:bCs/>
                <w:snapToGrid w:val="0"/>
                <w:sz w:val="16"/>
                <w:szCs w:val="16"/>
              </w:rPr>
            </w:pPr>
            <w:r w:rsidRPr="00604C75">
              <w:rPr>
                <w:b/>
                <w:bCs/>
                <w:snapToGrid w:val="0"/>
                <w:sz w:val="16"/>
                <w:szCs w:val="16"/>
              </w:rPr>
              <w:t>1-3</w:t>
            </w:r>
          </w:p>
          <w:p w14:paraId="072FED19" w14:textId="77777777" w:rsidR="005E33B0" w:rsidRPr="00604C75" w:rsidRDefault="005E33B0" w:rsidP="00C22AF8">
            <w:pPr>
              <w:ind w:left="-30" w:right="34"/>
              <w:jc w:val="right"/>
              <w:rPr>
                <w:b/>
                <w:bCs/>
                <w:snapToGrid w:val="0"/>
                <w:sz w:val="16"/>
                <w:szCs w:val="16"/>
              </w:rPr>
            </w:pPr>
            <w:r w:rsidRPr="00604C75">
              <w:rPr>
                <w:b/>
                <w:bCs/>
                <w:snapToGrid w:val="0"/>
                <w:sz w:val="16"/>
                <w:szCs w:val="16"/>
              </w:rPr>
              <w:t>Months</w:t>
            </w:r>
          </w:p>
        </w:tc>
        <w:tc>
          <w:tcPr>
            <w:tcW w:w="901" w:type="dxa"/>
            <w:vAlign w:val="bottom"/>
          </w:tcPr>
          <w:p w14:paraId="54A793CD" w14:textId="77777777" w:rsidR="005E33B0" w:rsidRPr="00604C75" w:rsidRDefault="005E33B0" w:rsidP="00C22AF8">
            <w:pPr>
              <w:ind w:left="-30" w:right="34"/>
              <w:jc w:val="right"/>
              <w:rPr>
                <w:b/>
                <w:bCs/>
                <w:snapToGrid w:val="0"/>
                <w:sz w:val="16"/>
                <w:szCs w:val="16"/>
              </w:rPr>
            </w:pPr>
            <w:r w:rsidRPr="00604C75">
              <w:rPr>
                <w:b/>
                <w:bCs/>
                <w:snapToGrid w:val="0"/>
                <w:sz w:val="16"/>
                <w:szCs w:val="16"/>
              </w:rPr>
              <w:t>3-12</w:t>
            </w:r>
          </w:p>
          <w:p w14:paraId="3BDDF065" w14:textId="77777777" w:rsidR="005E33B0" w:rsidRPr="00604C75" w:rsidRDefault="005E33B0" w:rsidP="00C22AF8">
            <w:pPr>
              <w:ind w:left="-30" w:right="34"/>
              <w:jc w:val="right"/>
              <w:rPr>
                <w:b/>
                <w:bCs/>
                <w:snapToGrid w:val="0"/>
                <w:sz w:val="16"/>
                <w:szCs w:val="16"/>
              </w:rPr>
            </w:pPr>
            <w:r w:rsidRPr="00604C75">
              <w:rPr>
                <w:b/>
                <w:bCs/>
                <w:snapToGrid w:val="0"/>
                <w:sz w:val="16"/>
                <w:szCs w:val="16"/>
              </w:rPr>
              <w:t>Months</w:t>
            </w:r>
          </w:p>
        </w:tc>
        <w:tc>
          <w:tcPr>
            <w:tcW w:w="939" w:type="dxa"/>
            <w:vAlign w:val="bottom"/>
          </w:tcPr>
          <w:p w14:paraId="4C5C3320" w14:textId="77777777" w:rsidR="005E33B0" w:rsidRPr="00604C75" w:rsidRDefault="005E33B0" w:rsidP="00C22AF8">
            <w:pPr>
              <w:ind w:left="-30" w:right="34"/>
              <w:jc w:val="right"/>
              <w:rPr>
                <w:b/>
                <w:bCs/>
                <w:snapToGrid w:val="0"/>
                <w:sz w:val="16"/>
                <w:szCs w:val="16"/>
              </w:rPr>
            </w:pPr>
            <w:r w:rsidRPr="00604C75">
              <w:rPr>
                <w:b/>
                <w:bCs/>
                <w:snapToGrid w:val="0"/>
                <w:sz w:val="16"/>
                <w:szCs w:val="16"/>
              </w:rPr>
              <w:t>1-5</w:t>
            </w:r>
          </w:p>
          <w:p w14:paraId="082223B3" w14:textId="77777777" w:rsidR="005E33B0" w:rsidRPr="00604C75" w:rsidRDefault="005E33B0" w:rsidP="00C22AF8">
            <w:pPr>
              <w:ind w:left="-30" w:right="34"/>
              <w:jc w:val="right"/>
              <w:rPr>
                <w:b/>
                <w:bCs/>
                <w:snapToGrid w:val="0"/>
                <w:sz w:val="16"/>
                <w:szCs w:val="16"/>
              </w:rPr>
            </w:pPr>
            <w:r w:rsidRPr="00604C75">
              <w:rPr>
                <w:b/>
                <w:bCs/>
                <w:snapToGrid w:val="0"/>
                <w:sz w:val="16"/>
                <w:szCs w:val="16"/>
              </w:rPr>
              <w:t>Year</w:t>
            </w:r>
          </w:p>
        </w:tc>
        <w:tc>
          <w:tcPr>
            <w:tcW w:w="1098" w:type="dxa"/>
            <w:vAlign w:val="bottom"/>
          </w:tcPr>
          <w:p w14:paraId="20C05209" w14:textId="77777777" w:rsidR="005E33B0" w:rsidRPr="00604C75" w:rsidRDefault="005E33B0" w:rsidP="00C22AF8">
            <w:pPr>
              <w:ind w:left="-30" w:right="34"/>
              <w:jc w:val="right"/>
              <w:rPr>
                <w:b/>
                <w:bCs/>
                <w:snapToGrid w:val="0"/>
                <w:sz w:val="16"/>
                <w:szCs w:val="16"/>
              </w:rPr>
            </w:pPr>
            <w:r w:rsidRPr="00604C75">
              <w:rPr>
                <w:b/>
                <w:bCs/>
                <w:snapToGrid w:val="0"/>
                <w:sz w:val="16"/>
                <w:szCs w:val="16"/>
              </w:rPr>
              <w:t xml:space="preserve">5 Year </w:t>
            </w:r>
          </w:p>
          <w:p w14:paraId="0D17EC1A" w14:textId="77777777" w:rsidR="005E33B0" w:rsidRPr="00604C75" w:rsidRDefault="005E33B0" w:rsidP="00C22AF8">
            <w:pPr>
              <w:ind w:left="-30" w:right="34"/>
              <w:jc w:val="right"/>
              <w:rPr>
                <w:b/>
                <w:bCs/>
                <w:snapToGrid w:val="0"/>
                <w:sz w:val="16"/>
                <w:szCs w:val="16"/>
              </w:rPr>
            </w:pPr>
            <w:r w:rsidRPr="00604C75">
              <w:rPr>
                <w:b/>
                <w:bCs/>
                <w:snapToGrid w:val="0"/>
                <w:sz w:val="16"/>
                <w:szCs w:val="16"/>
              </w:rPr>
              <w:t>and Over</w:t>
            </w:r>
          </w:p>
        </w:tc>
        <w:tc>
          <w:tcPr>
            <w:tcW w:w="912" w:type="dxa"/>
            <w:vAlign w:val="bottom"/>
          </w:tcPr>
          <w:p w14:paraId="69C96A33" w14:textId="77777777" w:rsidR="004037E2" w:rsidRPr="00604C75" w:rsidRDefault="005E33B0" w:rsidP="005D17D6">
            <w:pPr>
              <w:ind w:left="-30" w:right="33"/>
              <w:jc w:val="right"/>
              <w:rPr>
                <w:b/>
                <w:bCs/>
                <w:snapToGrid w:val="0"/>
                <w:sz w:val="16"/>
                <w:szCs w:val="16"/>
              </w:rPr>
            </w:pPr>
            <w:r w:rsidRPr="00604C75">
              <w:rPr>
                <w:b/>
                <w:bCs/>
                <w:snapToGrid w:val="0"/>
                <w:sz w:val="16"/>
                <w:szCs w:val="16"/>
              </w:rPr>
              <w:t>Unclassified</w:t>
            </w:r>
          </w:p>
          <w:p w14:paraId="6EFC0EAD" w14:textId="77777777" w:rsidR="005E33B0" w:rsidRPr="00576E0A" w:rsidRDefault="005E33B0" w:rsidP="005D17D6">
            <w:pPr>
              <w:ind w:left="-30" w:right="33"/>
              <w:jc w:val="right"/>
              <w:rPr>
                <w:b/>
                <w:bCs/>
                <w:snapToGrid w:val="0"/>
                <w:sz w:val="20"/>
                <w:szCs w:val="20"/>
              </w:rPr>
            </w:pPr>
            <w:r w:rsidRPr="00576E0A">
              <w:rPr>
                <w:b/>
                <w:bCs/>
                <w:snapToGrid w:val="0"/>
                <w:sz w:val="20"/>
                <w:szCs w:val="20"/>
                <w:vertAlign w:val="superscript"/>
              </w:rPr>
              <w:t>(</w:t>
            </w:r>
            <w:r w:rsidR="004037E2" w:rsidRPr="00576E0A">
              <w:rPr>
                <w:b/>
                <w:bCs/>
                <w:snapToGrid w:val="0"/>
                <w:sz w:val="20"/>
                <w:szCs w:val="20"/>
                <w:vertAlign w:val="superscript"/>
              </w:rPr>
              <w:t>*</w:t>
            </w:r>
            <w:r w:rsidRPr="00576E0A">
              <w:rPr>
                <w:b/>
                <w:bCs/>
                <w:snapToGrid w:val="0"/>
                <w:sz w:val="20"/>
                <w:szCs w:val="20"/>
                <w:vertAlign w:val="superscript"/>
              </w:rPr>
              <w:t>)</w:t>
            </w:r>
            <w:r w:rsidR="004037E2" w:rsidRPr="00576E0A">
              <w:rPr>
                <w:b/>
                <w:bCs/>
                <w:snapToGrid w:val="0"/>
                <w:sz w:val="20"/>
                <w:szCs w:val="20"/>
                <w:vertAlign w:val="superscript"/>
              </w:rPr>
              <w:t xml:space="preserve"> </w:t>
            </w:r>
            <w:r w:rsidRPr="00576E0A">
              <w:rPr>
                <w:b/>
                <w:bCs/>
                <w:snapToGrid w:val="0"/>
                <w:sz w:val="20"/>
                <w:szCs w:val="20"/>
                <w:vertAlign w:val="superscript"/>
              </w:rPr>
              <w:t>(</w:t>
            </w:r>
            <w:r w:rsidR="004037E2" w:rsidRPr="00576E0A">
              <w:rPr>
                <w:b/>
                <w:bCs/>
                <w:snapToGrid w:val="0"/>
                <w:sz w:val="20"/>
                <w:szCs w:val="20"/>
                <w:vertAlign w:val="superscript"/>
              </w:rPr>
              <w:t>**</w:t>
            </w:r>
            <w:r w:rsidRPr="00576E0A">
              <w:rPr>
                <w:b/>
                <w:bCs/>
                <w:snapToGrid w:val="0"/>
                <w:sz w:val="20"/>
                <w:szCs w:val="20"/>
                <w:vertAlign w:val="superscript"/>
              </w:rPr>
              <w:t>)</w:t>
            </w:r>
          </w:p>
        </w:tc>
        <w:tc>
          <w:tcPr>
            <w:tcW w:w="919" w:type="dxa"/>
            <w:vAlign w:val="bottom"/>
          </w:tcPr>
          <w:p w14:paraId="56CBEF1E" w14:textId="77777777" w:rsidR="005E33B0" w:rsidRPr="00604C75" w:rsidRDefault="005E33B0" w:rsidP="005D17D6">
            <w:pPr>
              <w:ind w:left="-30" w:right="34"/>
              <w:jc w:val="right"/>
              <w:rPr>
                <w:b/>
                <w:bCs/>
                <w:snapToGrid w:val="0"/>
                <w:sz w:val="16"/>
                <w:szCs w:val="16"/>
              </w:rPr>
            </w:pPr>
            <w:r w:rsidRPr="00604C75">
              <w:rPr>
                <w:b/>
                <w:bCs/>
                <w:snapToGrid w:val="0"/>
                <w:sz w:val="16"/>
                <w:szCs w:val="16"/>
              </w:rPr>
              <w:t>Total</w:t>
            </w:r>
          </w:p>
        </w:tc>
      </w:tr>
      <w:tr w:rsidR="005E33B0" w:rsidRPr="00604C75" w14:paraId="6504C5D7" w14:textId="77777777" w:rsidTr="006145A7">
        <w:trPr>
          <w:trHeight w:val="106"/>
        </w:trPr>
        <w:tc>
          <w:tcPr>
            <w:tcW w:w="2199" w:type="dxa"/>
            <w:vAlign w:val="bottom"/>
          </w:tcPr>
          <w:p w14:paraId="0CCF640A" w14:textId="77777777" w:rsidR="005E33B0" w:rsidRPr="00604C75" w:rsidRDefault="002678A5" w:rsidP="002678A5">
            <w:pPr>
              <w:ind w:left="-2"/>
              <w:rPr>
                <w:b/>
                <w:snapToGrid w:val="0"/>
                <w:sz w:val="16"/>
                <w:szCs w:val="16"/>
              </w:rPr>
            </w:pPr>
            <w:r>
              <w:rPr>
                <w:b/>
                <w:sz w:val="16"/>
                <w:szCs w:val="16"/>
              </w:rPr>
              <w:t>31</w:t>
            </w:r>
            <w:r w:rsidR="00F51CB2">
              <w:rPr>
                <w:b/>
                <w:sz w:val="16"/>
                <w:szCs w:val="16"/>
              </w:rPr>
              <w:t xml:space="preserve"> </w:t>
            </w:r>
            <w:r>
              <w:rPr>
                <w:b/>
                <w:sz w:val="16"/>
                <w:szCs w:val="16"/>
              </w:rPr>
              <w:t>December</w:t>
            </w:r>
            <w:r w:rsidR="00CB699F" w:rsidRPr="00604C75">
              <w:rPr>
                <w:b/>
                <w:sz w:val="16"/>
                <w:szCs w:val="16"/>
              </w:rPr>
              <w:t xml:space="preserve"> 2015</w:t>
            </w:r>
          </w:p>
        </w:tc>
        <w:tc>
          <w:tcPr>
            <w:tcW w:w="804" w:type="dxa"/>
            <w:vAlign w:val="bottom"/>
          </w:tcPr>
          <w:p w14:paraId="0B3D86D0" w14:textId="77777777" w:rsidR="005E33B0" w:rsidRPr="00604C75" w:rsidRDefault="005E33B0" w:rsidP="00C22AF8">
            <w:pPr>
              <w:ind w:left="-30" w:right="34"/>
              <w:jc w:val="right"/>
              <w:rPr>
                <w:snapToGrid w:val="0"/>
                <w:sz w:val="16"/>
                <w:szCs w:val="16"/>
              </w:rPr>
            </w:pPr>
          </w:p>
        </w:tc>
        <w:tc>
          <w:tcPr>
            <w:tcW w:w="1052" w:type="dxa"/>
            <w:vAlign w:val="bottom"/>
          </w:tcPr>
          <w:p w14:paraId="52698F5C" w14:textId="77777777" w:rsidR="005E33B0" w:rsidRPr="00604C75" w:rsidRDefault="005E33B0" w:rsidP="00C22AF8">
            <w:pPr>
              <w:ind w:left="-30" w:right="34"/>
              <w:jc w:val="right"/>
              <w:rPr>
                <w:snapToGrid w:val="0"/>
                <w:sz w:val="16"/>
                <w:szCs w:val="16"/>
              </w:rPr>
            </w:pPr>
          </w:p>
        </w:tc>
        <w:tc>
          <w:tcPr>
            <w:tcW w:w="902" w:type="dxa"/>
            <w:vAlign w:val="bottom"/>
          </w:tcPr>
          <w:p w14:paraId="36ADA64C" w14:textId="77777777" w:rsidR="005E33B0" w:rsidRPr="00604C75" w:rsidRDefault="005E33B0" w:rsidP="00C22AF8">
            <w:pPr>
              <w:ind w:left="-30" w:right="34"/>
              <w:jc w:val="right"/>
              <w:rPr>
                <w:snapToGrid w:val="0"/>
                <w:sz w:val="16"/>
                <w:szCs w:val="16"/>
              </w:rPr>
            </w:pPr>
          </w:p>
        </w:tc>
        <w:tc>
          <w:tcPr>
            <w:tcW w:w="901" w:type="dxa"/>
            <w:vAlign w:val="bottom"/>
          </w:tcPr>
          <w:p w14:paraId="3ED17E56" w14:textId="77777777" w:rsidR="005E33B0" w:rsidRPr="00604C75" w:rsidRDefault="005E33B0" w:rsidP="00C22AF8">
            <w:pPr>
              <w:ind w:left="-30" w:right="34"/>
              <w:jc w:val="right"/>
              <w:rPr>
                <w:snapToGrid w:val="0"/>
                <w:sz w:val="16"/>
                <w:szCs w:val="16"/>
              </w:rPr>
            </w:pPr>
          </w:p>
        </w:tc>
        <w:tc>
          <w:tcPr>
            <w:tcW w:w="939" w:type="dxa"/>
            <w:vAlign w:val="bottom"/>
          </w:tcPr>
          <w:p w14:paraId="05E88316" w14:textId="77777777" w:rsidR="005E33B0" w:rsidRPr="00604C75" w:rsidRDefault="005E33B0" w:rsidP="00C22AF8">
            <w:pPr>
              <w:ind w:left="-30" w:right="34"/>
              <w:jc w:val="right"/>
              <w:rPr>
                <w:snapToGrid w:val="0"/>
                <w:sz w:val="16"/>
                <w:szCs w:val="16"/>
              </w:rPr>
            </w:pPr>
          </w:p>
        </w:tc>
        <w:tc>
          <w:tcPr>
            <w:tcW w:w="1098" w:type="dxa"/>
            <w:vAlign w:val="bottom"/>
          </w:tcPr>
          <w:p w14:paraId="43F98E4D" w14:textId="77777777" w:rsidR="005E33B0" w:rsidRPr="00604C75" w:rsidRDefault="005E33B0" w:rsidP="00C22AF8">
            <w:pPr>
              <w:ind w:left="-30" w:right="34"/>
              <w:jc w:val="right"/>
              <w:rPr>
                <w:snapToGrid w:val="0"/>
                <w:sz w:val="16"/>
                <w:szCs w:val="16"/>
              </w:rPr>
            </w:pPr>
          </w:p>
        </w:tc>
        <w:tc>
          <w:tcPr>
            <w:tcW w:w="912" w:type="dxa"/>
            <w:vAlign w:val="bottom"/>
          </w:tcPr>
          <w:p w14:paraId="57D4F95C" w14:textId="77777777" w:rsidR="005E33B0" w:rsidRPr="00604C75" w:rsidRDefault="005E33B0" w:rsidP="00C22AF8">
            <w:pPr>
              <w:ind w:left="-30" w:right="33"/>
              <w:jc w:val="right"/>
              <w:rPr>
                <w:snapToGrid w:val="0"/>
                <w:sz w:val="16"/>
                <w:szCs w:val="16"/>
              </w:rPr>
            </w:pPr>
          </w:p>
        </w:tc>
        <w:tc>
          <w:tcPr>
            <w:tcW w:w="919" w:type="dxa"/>
            <w:vAlign w:val="bottom"/>
          </w:tcPr>
          <w:p w14:paraId="206F3303" w14:textId="77777777" w:rsidR="005E33B0" w:rsidRPr="00604C75" w:rsidRDefault="005E33B0" w:rsidP="00C22AF8">
            <w:pPr>
              <w:ind w:left="-30" w:right="34"/>
              <w:jc w:val="right"/>
              <w:rPr>
                <w:b/>
                <w:bCs/>
                <w:snapToGrid w:val="0"/>
                <w:sz w:val="16"/>
                <w:szCs w:val="16"/>
              </w:rPr>
            </w:pPr>
          </w:p>
        </w:tc>
      </w:tr>
      <w:tr w:rsidR="005E33B0" w:rsidRPr="00604C75" w14:paraId="741F9A19" w14:textId="77777777" w:rsidTr="006145A7">
        <w:trPr>
          <w:trHeight w:val="106"/>
        </w:trPr>
        <w:tc>
          <w:tcPr>
            <w:tcW w:w="2199" w:type="dxa"/>
            <w:vAlign w:val="bottom"/>
          </w:tcPr>
          <w:p w14:paraId="0326BB73" w14:textId="77777777" w:rsidR="005E33B0" w:rsidRPr="00604C75" w:rsidRDefault="005E33B0" w:rsidP="00C22AF8">
            <w:pPr>
              <w:ind w:left="-2"/>
              <w:rPr>
                <w:b/>
                <w:snapToGrid w:val="0"/>
                <w:sz w:val="16"/>
                <w:szCs w:val="16"/>
              </w:rPr>
            </w:pPr>
            <w:r w:rsidRPr="00604C75">
              <w:rPr>
                <w:b/>
                <w:snapToGrid w:val="0"/>
                <w:sz w:val="16"/>
                <w:szCs w:val="16"/>
              </w:rPr>
              <w:t>Assets</w:t>
            </w:r>
          </w:p>
        </w:tc>
        <w:tc>
          <w:tcPr>
            <w:tcW w:w="804" w:type="dxa"/>
            <w:vAlign w:val="bottom"/>
          </w:tcPr>
          <w:p w14:paraId="7FF1E54B" w14:textId="77777777" w:rsidR="005E33B0" w:rsidRPr="00604C75" w:rsidRDefault="005E33B0" w:rsidP="00C22AF8">
            <w:pPr>
              <w:ind w:right="34"/>
              <w:jc w:val="right"/>
              <w:rPr>
                <w:sz w:val="16"/>
                <w:szCs w:val="16"/>
              </w:rPr>
            </w:pPr>
          </w:p>
        </w:tc>
        <w:tc>
          <w:tcPr>
            <w:tcW w:w="1052" w:type="dxa"/>
            <w:vAlign w:val="bottom"/>
          </w:tcPr>
          <w:p w14:paraId="7DF66921" w14:textId="77777777" w:rsidR="005E33B0" w:rsidRPr="00604C75" w:rsidRDefault="005E33B0" w:rsidP="00C22AF8">
            <w:pPr>
              <w:ind w:right="34"/>
              <w:jc w:val="right"/>
              <w:rPr>
                <w:sz w:val="16"/>
                <w:szCs w:val="16"/>
              </w:rPr>
            </w:pPr>
          </w:p>
        </w:tc>
        <w:tc>
          <w:tcPr>
            <w:tcW w:w="902" w:type="dxa"/>
            <w:vAlign w:val="bottom"/>
          </w:tcPr>
          <w:p w14:paraId="712C03B5" w14:textId="77777777" w:rsidR="005E33B0" w:rsidRPr="00604C75" w:rsidRDefault="005E33B0" w:rsidP="00C22AF8">
            <w:pPr>
              <w:ind w:right="34"/>
              <w:jc w:val="right"/>
              <w:rPr>
                <w:sz w:val="16"/>
                <w:szCs w:val="16"/>
              </w:rPr>
            </w:pPr>
          </w:p>
        </w:tc>
        <w:tc>
          <w:tcPr>
            <w:tcW w:w="901" w:type="dxa"/>
            <w:vAlign w:val="bottom"/>
          </w:tcPr>
          <w:p w14:paraId="4097262C" w14:textId="77777777" w:rsidR="005E33B0" w:rsidRPr="00604C75" w:rsidRDefault="005E33B0" w:rsidP="00C22AF8">
            <w:pPr>
              <w:ind w:right="34"/>
              <w:jc w:val="right"/>
              <w:rPr>
                <w:sz w:val="16"/>
                <w:szCs w:val="16"/>
              </w:rPr>
            </w:pPr>
          </w:p>
        </w:tc>
        <w:tc>
          <w:tcPr>
            <w:tcW w:w="939" w:type="dxa"/>
            <w:vAlign w:val="bottom"/>
          </w:tcPr>
          <w:p w14:paraId="01A043B9" w14:textId="77777777" w:rsidR="005E33B0" w:rsidRPr="00604C75" w:rsidRDefault="005E33B0" w:rsidP="00C22AF8">
            <w:pPr>
              <w:ind w:right="34"/>
              <w:jc w:val="right"/>
              <w:rPr>
                <w:sz w:val="16"/>
                <w:szCs w:val="16"/>
              </w:rPr>
            </w:pPr>
          </w:p>
        </w:tc>
        <w:tc>
          <w:tcPr>
            <w:tcW w:w="1098" w:type="dxa"/>
            <w:vAlign w:val="bottom"/>
          </w:tcPr>
          <w:p w14:paraId="7C52CC99" w14:textId="77777777" w:rsidR="005E33B0" w:rsidRPr="00604C75" w:rsidRDefault="005E33B0" w:rsidP="00C22AF8">
            <w:pPr>
              <w:ind w:right="34"/>
              <w:jc w:val="right"/>
              <w:rPr>
                <w:sz w:val="16"/>
                <w:szCs w:val="16"/>
              </w:rPr>
            </w:pPr>
          </w:p>
        </w:tc>
        <w:tc>
          <w:tcPr>
            <w:tcW w:w="912" w:type="dxa"/>
            <w:vAlign w:val="bottom"/>
          </w:tcPr>
          <w:p w14:paraId="0F7FF2DC" w14:textId="77777777" w:rsidR="005E33B0" w:rsidRPr="00604C75" w:rsidRDefault="005E33B0" w:rsidP="00C22AF8">
            <w:pPr>
              <w:ind w:right="33"/>
              <w:jc w:val="right"/>
              <w:rPr>
                <w:sz w:val="16"/>
                <w:szCs w:val="16"/>
              </w:rPr>
            </w:pPr>
          </w:p>
        </w:tc>
        <w:tc>
          <w:tcPr>
            <w:tcW w:w="919" w:type="dxa"/>
            <w:vAlign w:val="bottom"/>
          </w:tcPr>
          <w:p w14:paraId="3A94A8E1" w14:textId="77777777" w:rsidR="005E33B0" w:rsidRPr="00604C75" w:rsidRDefault="005E33B0" w:rsidP="00C22AF8">
            <w:pPr>
              <w:ind w:right="34"/>
              <w:jc w:val="right"/>
              <w:rPr>
                <w:sz w:val="16"/>
                <w:szCs w:val="16"/>
              </w:rPr>
            </w:pPr>
          </w:p>
        </w:tc>
      </w:tr>
      <w:tr w:rsidR="00224102" w:rsidRPr="00604C75" w14:paraId="74B32673" w14:textId="77777777" w:rsidTr="006145A7">
        <w:trPr>
          <w:trHeight w:val="106"/>
        </w:trPr>
        <w:tc>
          <w:tcPr>
            <w:tcW w:w="2199" w:type="dxa"/>
            <w:vAlign w:val="bottom"/>
          </w:tcPr>
          <w:p w14:paraId="7B67B387" w14:textId="77777777" w:rsidR="00224102" w:rsidRPr="007A4AE1" w:rsidRDefault="00224102" w:rsidP="00224102">
            <w:pPr>
              <w:tabs>
                <w:tab w:val="left" w:pos="226"/>
              </w:tabs>
              <w:ind w:left="226"/>
              <w:rPr>
                <w:snapToGrid w:val="0"/>
                <w:sz w:val="16"/>
                <w:szCs w:val="16"/>
              </w:rPr>
            </w:pPr>
            <w:r w:rsidRPr="007A4AE1">
              <w:rPr>
                <w:snapToGrid w:val="0"/>
                <w:sz w:val="16"/>
                <w:szCs w:val="16"/>
              </w:rPr>
              <w:t xml:space="preserve">Cash (Cash in Vault, Effectives, Cash in Transit, </w:t>
            </w:r>
            <w:proofErr w:type="spellStart"/>
            <w:r w:rsidRPr="007A4AE1">
              <w:rPr>
                <w:snapToGrid w:val="0"/>
                <w:sz w:val="16"/>
                <w:szCs w:val="16"/>
              </w:rPr>
              <w:t>Cheques</w:t>
            </w:r>
            <w:proofErr w:type="spellEnd"/>
            <w:r w:rsidRPr="007A4AE1">
              <w:rPr>
                <w:snapToGrid w:val="0"/>
                <w:sz w:val="16"/>
                <w:szCs w:val="16"/>
              </w:rPr>
              <w:t xml:space="preserve"> Purchased) and Balances with the Central Bank of the Republic of Turkey</w:t>
            </w:r>
          </w:p>
        </w:tc>
        <w:tc>
          <w:tcPr>
            <w:tcW w:w="804" w:type="dxa"/>
            <w:vAlign w:val="bottom"/>
          </w:tcPr>
          <w:p w14:paraId="545F4B63" w14:textId="3A201121" w:rsidR="00224102" w:rsidRPr="007A4AE1" w:rsidRDefault="00224102" w:rsidP="00224102">
            <w:pPr>
              <w:jc w:val="right"/>
              <w:rPr>
                <w:sz w:val="16"/>
                <w:szCs w:val="16"/>
              </w:rPr>
            </w:pPr>
            <w:r w:rsidRPr="007A4AE1">
              <w:rPr>
                <w:sz w:val="16"/>
                <w:szCs w:val="16"/>
              </w:rPr>
              <w:t>103,010</w:t>
            </w:r>
          </w:p>
        </w:tc>
        <w:tc>
          <w:tcPr>
            <w:tcW w:w="1052" w:type="dxa"/>
            <w:vAlign w:val="bottom"/>
          </w:tcPr>
          <w:p w14:paraId="66DBECDB" w14:textId="1548BA21" w:rsidR="00224102" w:rsidRPr="007A4AE1" w:rsidRDefault="00224102" w:rsidP="00224102">
            <w:pPr>
              <w:jc w:val="right"/>
              <w:rPr>
                <w:sz w:val="16"/>
                <w:szCs w:val="16"/>
              </w:rPr>
            </w:pPr>
            <w:r w:rsidRPr="007A4AE1">
              <w:rPr>
                <w:sz w:val="16"/>
                <w:szCs w:val="16"/>
              </w:rPr>
              <w:t>1,442,488</w:t>
            </w:r>
          </w:p>
        </w:tc>
        <w:tc>
          <w:tcPr>
            <w:tcW w:w="902" w:type="dxa"/>
            <w:vAlign w:val="bottom"/>
          </w:tcPr>
          <w:p w14:paraId="1E1A69DF" w14:textId="3BED67DA" w:rsidR="00224102" w:rsidRPr="007A4AE1" w:rsidRDefault="00224102" w:rsidP="00224102">
            <w:pPr>
              <w:jc w:val="right"/>
              <w:rPr>
                <w:sz w:val="16"/>
                <w:szCs w:val="16"/>
              </w:rPr>
            </w:pPr>
            <w:r w:rsidRPr="007A4AE1">
              <w:rPr>
                <w:sz w:val="16"/>
                <w:szCs w:val="16"/>
              </w:rPr>
              <w:t>-</w:t>
            </w:r>
          </w:p>
        </w:tc>
        <w:tc>
          <w:tcPr>
            <w:tcW w:w="901" w:type="dxa"/>
            <w:vAlign w:val="bottom"/>
          </w:tcPr>
          <w:p w14:paraId="765C6175" w14:textId="675EDF98" w:rsidR="00224102" w:rsidRPr="007A4AE1" w:rsidRDefault="00224102" w:rsidP="00224102">
            <w:pPr>
              <w:jc w:val="right"/>
              <w:rPr>
                <w:sz w:val="16"/>
                <w:szCs w:val="16"/>
              </w:rPr>
            </w:pPr>
            <w:r w:rsidRPr="007A4AE1">
              <w:rPr>
                <w:sz w:val="16"/>
                <w:szCs w:val="16"/>
              </w:rPr>
              <w:t>-</w:t>
            </w:r>
          </w:p>
        </w:tc>
        <w:tc>
          <w:tcPr>
            <w:tcW w:w="939" w:type="dxa"/>
            <w:vAlign w:val="bottom"/>
          </w:tcPr>
          <w:p w14:paraId="5113B05A" w14:textId="5AF1AC7A" w:rsidR="00224102" w:rsidRPr="007A4AE1" w:rsidRDefault="00224102" w:rsidP="00224102">
            <w:pPr>
              <w:jc w:val="right"/>
              <w:rPr>
                <w:sz w:val="16"/>
                <w:szCs w:val="16"/>
              </w:rPr>
            </w:pPr>
            <w:r w:rsidRPr="007A4AE1">
              <w:rPr>
                <w:sz w:val="16"/>
                <w:szCs w:val="16"/>
              </w:rPr>
              <w:t>-</w:t>
            </w:r>
          </w:p>
        </w:tc>
        <w:tc>
          <w:tcPr>
            <w:tcW w:w="1098" w:type="dxa"/>
            <w:vAlign w:val="bottom"/>
          </w:tcPr>
          <w:p w14:paraId="7B61476E" w14:textId="3BCE60B5" w:rsidR="00224102" w:rsidRPr="007A4AE1" w:rsidRDefault="00224102" w:rsidP="00224102">
            <w:pPr>
              <w:jc w:val="right"/>
              <w:rPr>
                <w:sz w:val="16"/>
                <w:szCs w:val="16"/>
              </w:rPr>
            </w:pPr>
            <w:r w:rsidRPr="007A4AE1">
              <w:rPr>
                <w:sz w:val="16"/>
                <w:szCs w:val="16"/>
              </w:rPr>
              <w:t>-</w:t>
            </w:r>
          </w:p>
        </w:tc>
        <w:tc>
          <w:tcPr>
            <w:tcW w:w="912" w:type="dxa"/>
            <w:vAlign w:val="bottom"/>
          </w:tcPr>
          <w:p w14:paraId="5DFE45E3" w14:textId="563B53E9" w:rsidR="00224102" w:rsidRPr="007A4AE1" w:rsidRDefault="00224102" w:rsidP="00224102">
            <w:pPr>
              <w:jc w:val="right"/>
              <w:rPr>
                <w:sz w:val="16"/>
                <w:szCs w:val="16"/>
              </w:rPr>
            </w:pPr>
            <w:r w:rsidRPr="007A4AE1">
              <w:rPr>
                <w:sz w:val="16"/>
                <w:szCs w:val="16"/>
              </w:rPr>
              <w:t>-</w:t>
            </w:r>
          </w:p>
        </w:tc>
        <w:tc>
          <w:tcPr>
            <w:tcW w:w="919" w:type="dxa"/>
            <w:vAlign w:val="bottom"/>
          </w:tcPr>
          <w:p w14:paraId="7ECC0A46" w14:textId="03B41FF6" w:rsidR="00224102" w:rsidRPr="007A4AE1" w:rsidRDefault="00224102" w:rsidP="00224102">
            <w:pPr>
              <w:jc w:val="right"/>
              <w:rPr>
                <w:sz w:val="16"/>
                <w:szCs w:val="16"/>
              </w:rPr>
            </w:pPr>
            <w:r w:rsidRPr="007A4AE1">
              <w:rPr>
                <w:sz w:val="16"/>
                <w:szCs w:val="16"/>
              </w:rPr>
              <w:t>1,545,498</w:t>
            </w:r>
          </w:p>
        </w:tc>
      </w:tr>
      <w:tr w:rsidR="00224102" w:rsidRPr="00604C75" w14:paraId="03340060" w14:textId="77777777" w:rsidTr="006145A7">
        <w:trPr>
          <w:trHeight w:val="106"/>
        </w:trPr>
        <w:tc>
          <w:tcPr>
            <w:tcW w:w="2199" w:type="dxa"/>
            <w:vAlign w:val="bottom"/>
          </w:tcPr>
          <w:p w14:paraId="17D6EFE8" w14:textId="77777777" w:rsidR="00224102" w:rsidRPr="007A4AE1" w:rsidRDefault="00224102" w:rsidP="00224102">
            <w:pPr>
              <w:tabs>
                <w:tab w:val="left" w:pos="226"/>
              </w:tabs>
              <w:ind w:left="226"/>
              <w:rPr>
                <w:snapToGrid w:val="0"/>
                <w:sz w:val="16"/>
                <w:szCs w:val="16"/>
              </w:rPr>
            </w:pPr>
            <w:r w:rsidRPr="007A4AE1">
              <w:rPr>
                <w:snapToGrid w:val="0"/>
                <w:sz w:val="16"/>
                <w:szCs w:val="16"/>
              </w:rPr>
              <w:t>Due From Banks</w:t>
            </w:r>
          </w:p>
        </w:tc>
        <w:tc>
          <w:tcPr>
            <w:tcW w:w="804" w:type="dxa"/>
            <w:vAlign w:val="bottom"/>
          </w:tcPr>
          <w:p w14:paraId="2BBE60F0" w14:textId="59B0303B" w:rsidR="00224102" w:rsidRPr="007A4AE1" w:rsidRDefault="00224102" w:rsidP="00224102">
            <w:pPr>
              <w:jc w:val="right"/>
              <w:rPr>
                <w:sz w:val="16"/>
                <w:szCs w:val="16"/>
              </w:rPr>
            </w:pPr>
            <w:r w:rsidRPr="007A4AE1">
              <w:rPr>
                <w:sz w:val="16"/>
                <w:szCs w:val="16"/>
              </w:rPr>
              <w:t>28,160</w:t>
            </w:r>
          </w:p>
        </w:tc>
        <w:tc>
          <w:tcPr>
            <w:tcW w:w="1052" w:type="dxa"/>
            <w:vAlign w:val="bottom"/>
          </w:tcPr>
          <w:p w14:paraId="41999FDE" w14:textId="7807577B" w:rsidR="00224102" w:rsidRPr="007A4AE1" w:rsidRDefault="00224102" w:rsidP="00224102">
            <w:pPr>
              <w:jc w:val="right"/>
              <w:rPr>
                <w:sz w:val="16"/>
                <w:szCs w:val="16"/>
              </w:rPr>
            </w:pPr>
            <w:r w:rsidRPr="007A4AE1">
              <w:rPr>
                <w:sz w:val="16"/>
                <w:szCs w:val="16"/>
              </w:rPr>
              <w:t>583,836</w:t>
            </w:r>
          </w:p>
        </w:tc>
        <w:tc>
          <w:tcPr>
            <w:tcW w:w="902" w:type="dxa"/>
            <w:vAlign w:val="bottom"/>
          </w:tcPr>
          <w:p w14:paraId="3D96E8D5" w14:textId="2EB60033" w:rsidR="00224102" w:rsidRPr="007A4AE1" w:rsidRDefault="00224102" w:rsidP="00224102">
            <w:pPr>
              <w:jc w:val="right"/>
              <w:rPr>
                <w:sz w:val="16"/>
                <w:szCs w:val="16"/>
              </w:rPr>
            </w:pPr>
            <w:r w:rsidRPr="007A4AE1">
              <w:rPr>
                <w:sz w:val="16"/>
                <w:szCs w:val="16"/>
              </w:rPr>
              <w:t>-</w:t>
            </w:r>
          </w:p>
        </w:tc>
        <w:tc>
          <w:tcPr>
            <w:tcW w:w="901" w:type="dxa"/>
            <w:vAlign w:val="bottom"/>
          </w:tcPr>
          <w:p w14:paraId="616EFD68" w14:textId="068894F0" w:rsidR="00224102" w:rsidRPr="007A4AE1" w:rsidRDefault="00224102" w:rsidP="00224102">
            <w:pPr>
              <w:jc w:val="right"/>
              <w:rPr>
                <w:sz w:val="16"/>
                <w:szCs w:val="16"/>
              </w:rPr>
            </w:pPr>
            <w:r w:rsidRPr="007A4AE1">
              <w:rPr>
                <w:sz w:val="16"/>
                <w:szCs w:val="16"/>
              </w:rPr>
              <w:t>-</w:t>
            </w:r>
          </w:p>
        </w:tc>
        <w:tc>
          <w:tcPr>
            <w:tcW w:w="939" w:type="dxa"/>
            <w:vAlign w:val="bottom"/>
          </w:tcPr>
          <w:p w14:paraId="79FC6A4D" w14:textId="16F7E849" w:rsidR="00224102" w:rsidRPr="007A4AE1" w:rsidRDefault="00224102" w:rsidP="00224102">
            <w:pPr>
              <w:jc w:val="right"/>
              <w:rPr>
                <w:sz w:val="16"/>
                <w:szCs w:val="16"/>
              </w:rPr>
            </w:pPr>
            <w:r w:rsidRPr="007A4AE1">
              <w:rPr>
                <w:sz w:val="16"/>
                <w:szCs w:val="16"/>
              </w:rPr>
              <w:t>-</w:t>
            </w:r>
          </w:p>
        </w:tc>
        <w:tc>
          <w:tcPr>
            <w:tcW w:w="1098" w:type="dxa"/>
            <w:vAlign w:val="bottom"/>
          </w:tcPr>
          <w:p w14:paraId="6386FEE9" w14:textId="1FD39A2D" w:rsidR="00224102" w:rsidRPr="007A4AE1" w:rsidRDefault="00224102" w:rsidP="00224102">
            <w:pPr>
              <w:jc w:val="right"/>
              <w:rPr>
                <w:sz w:val="16"/>
                <w:szCs w:val="16"/>
              </w:rPr>
            </w:pPr>
            <w:r w:rsidRPr="007A4AE1">
              <w:rPr>
                <w:sz w:val="16"/>
                <w:szCs w:val="16"/>
              </w:rPr>
              <w:t>-</w:t>
            </w:r>
          </w:p>
        </w:tc>
        <w:tc>
          <w:tcPr>
            <w:tcW w:w="912" w:type="dxa"/>
            <w:vAlign w:val="bottom"/>
          </w:tcPr>
          <w:p w14:paraId="4CEE230F" w14:textId="72B56658" w:rsidR="00224102" w:rsidRPr="007A4AE1" w:rsidRDefault="00224102" w:rsidP="00224102">
            <w:pPr>
              <w:jc w:val="right"/>
              <w:rPr>
                <w:sz w:val="16"/>
                <w:szCs w:val="16"/>
              </w:rPr>
            </w:pPr>
            <w:r w:rsidRPr="007A4AE1">
              <w:rPr>
                <w:sz w:val="16"/>
                <w:szCs w:val="16"/>
              </w:rPr>
              <w:t>-</w:t>
            </w:r>
          </w:p>
        </w:tc>
        <w:tc>
          <w:tcPr>
            <w:tcW w:w="919" w:type="dxa"/>
            <w:vAlign w:val="bottom"/>
          </w:tcPr>
          <w:p w14:paraId="66C3DE4C" w14:textId="6B1EEA6D" w:rsidR="00224102" w:rsidRPr="007A4AE1" w:rsidRDefault="00224102" w:rsidP="00224102">
            <w:pPr>
              <w:jc w:val="right"/>
              <w:rPr>
                <w:sz w:val="16"/>
                <w:szCs w:val="16"/>
              </w:rPr>
            </w:pPr>
            <w:r w:rsidRPr="007A4AE1">
              <w:rPr>
                <w:sz w:val="16"/>
                <w:szCs w:val="16"/>
              </w:rPr>
              <w:t>611,996</w:t>
            </w:r>
          </w:p>
        </w:tc>
      </w:tr>
      <w:tr w:rsidR="00224102" w:rsidRPr="00604C75" w14:paraId="3C98BBA9" w14:textId="77777777" w:rsidTr="006145A7">
        <w:trPr>
          <w:trHeight w:val="106"/>
        </w:trPr>
        <w:tc>
          <w:tcPr>
            <w:tcW w:w="2199" w:type="dxa"/>
            <w:vAlign w:val="bottom"/>
          </w:tcPr>
          <w:p w14:paraId="7CFF1287" w14:textId="77777777" w:rsidR="00224102" w:rsidRPr="007A4AE1" w:rsidRDefault="00224102" w:rsidP="00224102">
            <w:pPr>
              <w:tabs>
                <w:tab w:val="left" w:pos="226"/>
              </w:tabs>
              <w:ind w:left="226"/>
              <w:rPr>
                <w:snapToGrid w:val="0"/>
                <w:sz w:val="16"/>
                <w:szCs w:val="16"/>
              </w:rPr>
            </w:pPr>
            <w:r w:rsidRPr="007A4AE1">
              <w:rPr>
                <w:snapToGrid w:val="0"/>
                <w:sz w:val="16"/>
                <w:szCs w:val="16"/>
              </w:rPr>
              <w:t>Financial Assets at Fair Value Through Profit and Loss</w:t>
            </w:r>
          </w:p>
        </w:tc>
        <w:tc>
          <w:tcPr>
            <w:tcW w:w="804" w:type="dxa"/>
            <w:shd w:val="clear" w:color="auto" w:fill="auto"/>
            <w:vAlign w:val="bottom"/>
          </w:tcPr>
          <w:p w14:paraId="6076B2F7" w14:textId="4F03F8A3" w:rsidR="00224102" w:rsidRPr="007A4AE1" w:rsidRDefault="00224102" w:rsidP="00224102">
            <w:pPr>
              <w:jc w:val="right"/>
              <w:rPr>
                <w:sz w:val="16"/>
                <w:szCs w:val="16"/>
              </w:rPr>
            </w:pPr>
            <w:r w:rsidRPr="007A4AE1">
              <w:rPr>
                <w:sz w:val="16"/>
                <w:szCs w:val="16"/>
              </w:rPr>
              <w:t>-</w:t>
            </w:r>
          </w:p>
        </w:tc>
        <w:tc>
          <w:tcPr>
            <w:tcW w:w="1052" w:type="dxa"/>
            <w:shd w:val="clear" w:color="auto" w:fill="auto"/>
            <w:vAlign w:val="bottom"/>
          </w:tcPr>
          <w:p w14:paraId="44BC8A1E" w14:textId="00568DE4" w:rsidR="00224102" w:rsidRPr="007A4AE1" w:rsidRDefault="00224102" w:rsidP="00224102">
            <w:pPr>
              <w:jc w:val="right"/>
              <w:rPr>
                <w:sz w:val="16"/>
                <w:szCs w:val="16"/>
              </w:rPr>
            </w:pPr>
            <w:r w:rsidRPr="007A4AE1">
              <w:rPr>
                <w:sz w:val="16"/>
                <w:szCs w:val="16"/>
              </w:rPr>
              <w:t>4,295</w:t>
            </w:r>
          </w:p>
        </w:tc>
        <w:tc>
          <w:tcPr>
            <w:tcW w:w="902" w:type="dxa"/>
            <w:shd w:val="clear" w:color="auto" w:fill="auto"/>
            <w:vAlign w:val="bottom"/>
          </w:tcPr>
          <w:p w14:paraId="100B7951" w14:textId="4DADB6AC" w:rsidR="00224102" w:rsidRPr="007A4AE1" w:rsidRDefault="00224102" w:rsidP="00224102">
            <w:pPr>
              <w:jc w:val="right"/>
              <w:rPr>
                <w:sz w:val="16"/>
                <w:szCs w:val="16"/>
              </w:rPr>
            </w:pPr>
            <w:r w:rsidRPr="007A4AE1">
              <w:rPr>
                <w:sz w:val="16"/>
                <w:szCs w:val="16"/>
              </w:rPr>
              <w:t>3,189</w:t>
            </w:r>
          </w:p>
        </w:tc>
        <w:tc>
          <w:tcPr>
            <w:tcW w:w="901" w:type="dxa"/>
            <w:shd w:val="clear" w:color="auto" w:fill="auto"/>
            <w:vAlign w:val="bottom"/>
          </w:tcPr>
          <w:p w14:paraId="2339D8CB" w14:textId="3B352948" w:rsidR="00224102" w:rsidRPr="007A4AE1" w:rsidRDefault="00224102" w:rsidP="00224102">
            <w:pPr>
              <w:jc w:val="right"/>
              <w:rPr>
                <w:sz w:val="16"/>
                <w:szCs w:val="16"/>
              </w:rPr>
            </w:pPr>
            <w:r w:rsidRPr="007A4AE1">
              <w:rPr>
                <w:sz w:val="16"/>
                <w:szCs w:val="16"/>
              </w:rPr>
              <w:t>1,369</w:t>
            </w:r>
          </w:p>
        </w:tc>
        <w:tc>
          <w:tcPr>
            <w:tcW w:w="939" w:type="dxa"/>
            <w:shd w:val="clear" w:color="auto" w:fill="auto"/>
            <w:vAlign w:val="bottom"/>
          </w:tcPr>
          <w:p w14:paraId="7D3E9858" w14:textId="45964BFC" w:rsidR="00224102" w:rsidRPr="007A4AE1" w:rsidRDefault="00224102" w:rsidP="00224102">
            <w:pPr>
              <w:jc w:val="right"/>
              <w:rPr>
                <w:sz w:val="16"/>
                <w:szCs w:val="16"/>
              </w:rPr>
            </w:pPr>
            <w:r w:rsidRPr="007A4AE1">
              <w:rPr>
                <w:sz w:val="16"/>
                <w:szCs w:val="16"/>
              </w:rPr>
              <w:t>18,478</w:t>
            </w:r>
          </w:p>
        </w:tc>
        <w:tc>
          <w:tcPr>
            <w:tcW w:w="1098" w:type="dxa"/>
            <w:shd w:val="clear" w:color="auto" w:fill="auto"/>
            <w:vAlign w:val="bottom"/>
          </w:tcPr>
          <w:p w14:paraId="65675570" w14:textId="0D0A20A8" w:rsidR="00224102" w:rsidRPr="007A4AE1" w:rsidRDefault="00224102" w:rsidP="00224102">
            <w:pPr>
              <w:jc w:val="right"/>
              <w:rPr>
                <w:sz w:val="16"/>
                <w:szCs w:val="16"/>
              </w:rPr>
            </w:pPr>
            <w:r w:rsidRPr="007A4AE1">
              <w:rPr>
                <w:sz w:val="16"/>
                <w:szCs w:val="16"/>
              </w:rPr>
              <w:t>331</w:t>
            </w:r>
          </w:p>
        </w:tc>
        <w:tc>
          <w:tcPr>
            <w:tcW w:w="912" w:type="dxa"/>
            <w:shd w:val="clear" w:color="auto" w:fill="auto"/>
            <w:vAlign w:val="bottom"/>
          </w:tcPr>
          <w:p w14:paraId="48459210" w14:textId="2E1A6860" w:rsidR="00224102" w:rsidRPr="007A4AE1" w:rsidRDefault="00224102" w:rsidP="00224102">
            <w:pPr>
              <w:jc w:val="right"/>
              <w:rPr>
                <w:sz w:val="16"/>
                <w:szCs w:val="16"/>
              </w:rPr>
            </w:pPr>
            <w:r w:rsidRPr="007A4AE1">
              <w:rPr>
                <w:sz w:val="16"/>
                <w:szCs w:val="16"/>
              </w:rPr>
              <w:t>-</w:t>
            </w:r>
          </w:p>
        </w:tc>
        <w:tc>
          <w:tcPr>
            <w:tcW w:w="919" w:type="dxa"/>
            <w:shd w:val="clear" w:color="auto" w:fill="auto"/>
            <w:vAlign w:val="bottom"/>
          </w:tcPr>
          <w:p w14:paraId="30014AA0" w14:textId="4409453C" w:rsidR="00224102" w:rsidRPr="007A4AE1" w:rsidRDefault="00224102" w:rsidP="00224102">
            <w:pPr>
              <w:jc w:val="right"/>
              <w:rPr>
                <w:sz w:val="16"/>
                <w:szCs w:val="16"/>
              </w:rPr>
            </w:pPr>
            <w:r w:rsidRPr="007A4AE1">
              <w:rPr>
                <w:sz w:val="16"/>
                <w:szCs w:val="16"/>
              </w:rPr>
              <w:t>27,662</w:t>
            </w:r>
          </w:p>
        </w:tc>
      </w:tr>
      <w:tr w:rsidR="00224102" w:rsidRPr="00604C75" w14:paraId="6E321ED0" w14:textId="77777777" w:rsidTr="006145A7">
        <w:trPr>
          <w:trHeight w:val="106"/>
        </w:trPr>
        <w:tc>
          <w:tcPr>
            <w:tcW w:w="2199" w:type="dxa"/>
            <w:vAlign w:val="bottom"/>
          </w:tcPr>
          <w:p w14:paraId="4A640C93" w14:textId="77777777" w:rsidR="00224102" w:rsidRPr="007A4AE1" w:rsidRDefault="00224102" w:rsidP="00224102">
            <w:pPr>
              <w:pStyle w:val="xl79"/>
              <w:pBdr>
                <w:left w:val="none" w:sz="0" w:space="0" w:color="auto"/>
                <w:bottom w:val="none" w:sz="0" w:space="0" w:color="auto"/>
                <w:right w:val="none" w:sz="0" w:space="0" w:color="auto"/>
              </w:pBdr>
              <w:tabs>
                <w:tab w:val="left" w:pos="226"/>
              </w:tabs>
              <w:spacing w:before="0" w:beforeAutospacing="0" w:after="0" w:afterAutospacing="0"/>
              <w:ind w:left="226"/>
              <w:rPr>
                <w:rFonts w:eastAsia="Times New Roman"/>
                <w:snapToGrid w:val="0"/>
                <w:sz w:val="16"/>
                <w:szCs w:val="16"/>
                <w:lang w:val="en-US"/>
              </w:rPr>
            </w:pPr>
            <w:r w:rsidRPr="007A4AE1">
              <w:rPr>
                <w:rFonts w:eastAsia="Times New Roman"/>
                <w:snapToGrid w:val="0"/>
                <w:sz w:val="16"/>
                <w:szCs w:val="16"/>
                <w:lang w:val="en-US"/>
              </w:rPr>
              <w:t>Money Market Placements</w:t>
            </w:r>
          </w:p>
        </w:tc>
        <w:tc>
          <w:tcPr>
            <w:tcW w:w="804" w:type="dxa"/>
            <w:shd w:val="clear" w:color="auto" w:fill="auto"/>
            <w:vAlign w:val="bottom"/>
          </w:tcPr>
          <w:p w14:paraId="7B43367F" w14:textId="70A08B14" w:rsidR="00224102" w:rsidRPr="007A4AE1" w:rsidRDefault="00224102" w:rsidP="00224102">
            <w:pPr>
              <w:jc w:val="right"/>
              <w:rPr>
                <w:sz w:val="16"/>
                <w:szCs w:val="16"/>
              </w:rPr>
            </w:pPr>
            <w:r w:rsidRPr="007A4AE1">
              <w:rPr>
                <w:sz w:val="16"/>
                <w:szCs w:val="16"/>
              </w:rPr>
              <w:t>-</w:t>
            </w:r>
          </w:p>
        </w:tc>
        <w:tc>
          <w:tcPr>
            <w:tcW w:w="1052" w:type="dxa"/>
            <w:shd w:val="clear" w:color="auto" w:fill="auto"/>
            <w:vAlign w:val="bottom"/>
          </w:tcPr>
          <w:p w14:paraId="5C8E90D5" w14:textId="78D67A60" w:rsidR="00224102" w:rsidRPr="007A4AE1" w:rsidRDefault="00224102" w:rsidP="00224102">
            <w:pPr>
              <w:jc w:val="right"/>
              <w:rPr>
                <w:sz w:val="16"/>
                <w:szCs w:val="16"/>
              </w:rPr>
            </w:pPr>
            <w:r w:rsidRPr="007A4AE1">
              <w:rPr>
                <w:sz w:val="16"/>
                <w:szCs w:val="16"/>
              </w:rPr>
              <w:t>350,105</w:t>
            </w:r>
          </w:p>
        </w:tc>
        <w:tc>
          <w:tcPr>
            <w:tcW w:w="902" w:type="dxa"/>
            <w:shd w:val="clear" w:color="auto" w:fill="auto"/>
            <w:vAlign w:val="bottom"/>
          </w:tcPr>
          <w:p w14:paraId="64572E64" w14:textId="429438F1" w:rsidR="00224102" w:rsidRPr="007A4AE1" w:rsidRDefault="00224102" w:rsidP="00224102">
            <w:pPr>
              <w:jc w:val="right"/>
              <w:rPr>
                <w:sz w:val="16"/>
                <w:szCs w:val="16"/>
              </w:rPr>
            </w:pPr>
            <w:r w:rsidRPr="007A4AE1">
              <w:rPr>
                <w:sz w:val="16"/>
                <w:szCs w:val="16"/>
              </w:rPr>
              <w:t>-</w:t>
            </w:r>
          </w:p>
        </w:tc>
        <w:tc>
          <w:tcPr>
            <w:tcW w:w="901" w:type="dxa"/>
            <w:shd w:val="clear" w:color="auto" w:fill="auto"/>
            <w:vAlign w:val="bottom"/>
          </w:tcPr>
          <w:p w14:paraId="7F9BAB8F" w14:textId="3C899E07" w:rsidR="00224102" w:rsidRPr="007A4AE1" w:rsidRDefault="00224102" w:rsidP="00224102">
            <w:pPr>
              <w:jc w:val="right"/>
              <w:rPr>
                <w:sz w:val="16"/>
                <w:szCs w:val="16"/>
              </w:rPr>
            </w:pPr>
            <w:r w:rsidRPr="007A4AE1">
              <w:rPr>
                <w:sz w:val="16"/>
                <w:szCs w:val="16"/>
              </w:rPr>
              <w:t>-</w:t>
            </w:r>
          </w:p>
        </w:tc>
        <w:tc>
          <w:tcPr>
            <w:tcW w:w="939" w:type="dxa"/>
            <w:shd w:val="clear" w:color="auto" w:fill="auto"/>
            <w:vAlign w:val="bottom"/>
          </w:tcPr>
          <w:p w14:paraId="1211891C" w14:textId="00391D39" w:rsidR="00224102" w:rsidRPr="007A4AE1" w:rsidRDefault="00224102" w:rsidP="00224102">
            <w:pPr>
              <w:jc w:val="right"/>
              <w:rPr>
                <w:sz w:val="16"/>
                <w:szCs w:val="16"/>
              </w:rPr>
            </w:pPr>
            <w:r w:rsidRPr="007A4AE1">
              <w:rPr>
                <w:sz w:val="16"/>
                <w:szCs w:val="16"/>
              </w:rPr>
              <w:t>-</w:t>
            </w:r>
          </w:p>
        </w:tc>
        <w:tc>
          <w:tcPr>
            <w:tcW w:w="1098" w:type="dxa"/>
            <w:shd w:val="clear" w:color="auto" w:fill="auto"/>
            <w:vAlign w:val="bottom"/>
          </w:tcPr>
          <w:p w14:paraId="45C5A9E6" w14:textId="107FE770" w:rsidR="00224102" w:rsidRPr="007A4AE1" w:rsidRDefault="00224102" w:rsidP="00224102">
            <w:pPr>
              <w:jc w:val="right"/>
              <w:rPr>
                <w:sz w:val="16"/>
                <w:szCs w:val="16"/>
              </w:rPr>
            </w:pPr>
            <w:r w:rsidRPr="007A4AE1">
              <w:rPr>
                <w:sz w:val="16"/>
                <w:szCs w:val="16"/>
              </w:rPr>
              <w:t>-</w:t>
            </w:r>
          </w:p>
        </w:tc>
        <w:tc>
          <w:tcPr>
            <w:tcW w:w="912" w:type="dxa"/>
            <w:shd w:val="clear" w:color="auto" w:fill="auto"/>
            <w:vAlign w:val="bottom"/>
          </w:tcPr>
          <w:p w14:paraId="4B13B545" w14:textId="0E53FD03" w:rsidR="00224102" w:rsidRPr="007A4AE1" w:rsidRDefault="00224102" w:rsidP="00224102">
            <w:pPr>
              <w:jc w:val="right"/>
              <w:rPr>
                <w:sz w:val="16"/>
                <w:szCs w:val="16"/>
              </w:rPr>
            </w:pPr>
            <w:r w:rsidRPr="007A4AE1">
              <w:rPr>
                <w:sz w:val="16"/>
                <w:szCs w:val="16"/>
              </w:rPr>
              <w:t>-</w:t>
            </w:r>
          </w:p>
        </w:tc>
        <w:tc>
          <w:tcPr>
            <w:tcW w:w="919" w:type="dxa"/>
            <w:shd w:val="clear" w:color="auto" w:fill="auto"/>
            <w:vAlign w:val="bottom"/>
          </w:tcPr>
          <w:p w14:paraId="4E1DF44D" w14:textId="6A24FE5E" w:rsidR="00224102" w:rsidRPr="007A4AE1" w:rsidRDefault="00224102" w:rsidP="00224102">
            <w:pPr>
              <w:jc w:val="right"/>
              <w:rPr>
                <w:sz w:val="16"/>
                <w:szCs w:val="16"/>
              </w:rPr>
            </w:pPr>
            <w:r w:rsidRPr="007A4AE1">
              <w:rPr>
                <w:sz w:val="16"/>
                <w:szCs w:val="16"/>
              </w:rPr>
              <w:t>350,105</w:t>
            </w:r>
          </w:p>
        </w:tc>
      </w:tr>
      <w:tr w:rsidR="00224102" w:rsidRPr="00604C75" w14:paraId="08454093" w14:textId="77777777" w:rsidTr="006145A7">
        <w:trPr>
          <w:trHeight w:val="106"/>
        </w:trPr>
        <w:tc>
          <w:tcPr>
            <w:tcW w:w="2199" w:type="dxa"/>
            <w:vAlign w:val="bottom"/>
          </w:tcPr>
          <w:p w14:paraId="13D50089" w14:textId="77777777" w:rsidR="00224102" w:rsidRPr="007A4AE1" w:rsidRDefault="00224102" w:rsidP="00224102">
            <w:pPr>
              <w:tabs>
                <w:tab w:val="left" w:pos="226"/>
              </w:tabs>
              <w:ind w:left="226"/>
              <w:rPr>
                <w:snapToGrid w:val="0"/>
                <w:sz w:val="16"/>
                <w:szCs w:val="16"/>
              </w:rPr>
            </w:pPr>
            <w:r w:rsidRPr="007A4AE1">
              <w:rPr>
                <w:snapToGrid w:val="0"/>
                <w:sz w:val="16"/>
                <w:szCs w:val="16"/>
              </w:rPr>
              <w:t>Financial Assets Available-for-Sale</w:t>
            </w:r>
          </w:p>
        </w:tc>
        <w:tc>
          <w:tcPr>
            <w:tcW w:w="804" w:type="dxa"/>
            <w:shd w:val="clear" w:color="auto" w:fill="auto"/>
            <w:vAlign w:val="bottom"/>
          </w:tcPr>
          <w:p w14:paraId="6D823BB1" w14:textId="1F73B524" w:rsidR="00224102" w:rsidRPr="007A4AE1" w:rsidRDefault="00224102" w:rsidP="00224102">
            <w:pPr>
              <w:jc w:val="right"/>
              <w:rPr>
                <w:sz w:val="16"/>
                <w:szCs w:val="16"/>
              </w:rPr>
            </w:pPr>
            <w:r w:rsidRPr="007A4AE1">
              <w:rPr>
                <w:sz w:val="16"/>
                <w:szCs w:val="16"/>
              </w:rPr>
              <w:t>-</w:t>
            </w:r>
          </w:p>
        </w:tc>
        <w:tc>
          <w:tcPr>
            <w:tcW w:w="1052" w:type="dxa"/>
            <w:shd w:val="clear" w:color="auto" w:fill="auto"/>
            <w:vAlign w:val="bottom"/>
          </w:tcPr>
          <w:p w14:paraId="3838F0C9" w14:textId="4B097F63" w:rsidR="00224102" w:rsidRPr="007A4AE1" w:rsidRDefault="00224102" w:rsidP="00224102">
            <w:pPr>
              <w:jc w:val="right"/>
              <w:rPr>
                <w:sz w:val="16"/>
                <w:szCs w:val="16"/>
              </w:rPr>
            </w:pPr>
            <w:r w:rsidRPr="007A4AE1">
              <w:rPr>
                <w:sz w:val="16"/>
                <w:szCs w:val="16"/>
              </w:rPr>
              <w:t>-</w:t>
            </w:r>
          </w:p>
        </w:tc>
        <w:tc>
          <w:tcPr>
            <w:tcW w:w="902" w:type="dxa"/>
            <w:shd w:val="clear" w:color="auto" w:fill="auto"/>
            <w:vAlign w:val="bottom"/>
          </w:tcPr>
          <w:p w14:paraId="7B7A0FAE" w14:textId="3C5272B1" w:rsidR="00224102" w:rsidRPr="007A4AE1" w:rsidRDefault="00224102" w:rsidP="00224102">
            <w:pPr>
              <w:jc w:val="right"/>
              <w:rPr>
                <w:sz w:val="16"/>
                <w:szCs w:val="16"/>
              </w:rPr>
            </w:pPr>
            <w:r w:rsidRPr="007A4AE1">
              <w:rPr>
                <w:sz w:val="16"/>
                <w:szCs w:val="16"/>
              </w:rPr>
              <w:t>-</w:t>
            </w:r>
          </w:p>
        </w:tc>
        <w:tc>
          <w:tcPr>
            <w:tcW w:w="901" w:type="dxa"/>
            <w:shd w:val="clear" w:color="auto" w:fill="auto"/>
            <w:vAlign w:val="bottom"/>
          </w:tcPr>
          <w:p w14:paraId="14B87D0D" w14:textId="19F5B3B5" w:rsidR="00224102" w:rsidRPr="007A4AE1" w:rsidRDefault="00224102" w:rsidP="00224102">
            <w:pPr>
              <w:jc w:val="right"/>
              <w:rPr>
                <w:sz w:val="16"/>
                <w:szCs w:val="16"/>
              </w:rPr>
            </w:pPr>
            <w:r w:rsidRPr="007A4AE1">
              <w:rPr>
                <w:sz w:val="16"/>
                <w:szCs w:val="16"/>
              </w:rPr>
              <w:t>-</w:t>
            </w:r>
          </w:p>
        </w:tc>
        <w:tc>
          <w:tcPr>
            <w:tcW w:w="939" w:type="dxa"/>
            <w:shd w:val="clear" w:color="auto" w:fill="auto"/>
            <w:vAlign w:val="bottom"/>
          </w:tcPr>
          <w:p w14:paraId="04A21280" w14:textId="3A878636" w:rsidR="00224102" w:rsidRPr="007A4AE1" w:rsidRDefault="00224102" w:rsidP="00224102">
            <w:pPr>
              <w:jc w:val="right"/>
              <w:rPr>
                <w:sz w:val="16"/>
                <w:szCs w:val="16"/>
              </w:rPr>
            </w:pPr>
            <w:r w:rsidRPr="007A4AE1">
              <w:rPr>
                <w:sz w:val="16"/>
                <w:szCs w:val="16"/>
              </w:rPr>
              <w:t>442,651</w:t>
            </w:r>
          </w:p>
        </w:tc>
        <w:tc>
          <w:tcPr>
            <w:tcW w:w="1098" w:type="dxa"/>
            <w:shd w:val="clear" w:color="auto" w:fill="auto"/>
            <w:vAlign w:val="bottom"/>
          </w:tcPr>
          <w:p w14:paraId="58AC6382" w14:textId="0A23D0B1" w:rsidR="00224102" w:rsidRPr="007A4AE1" w:rsidRDefault="00224102" w:rsidP="00224102">
            <w:pPr>
              <w:jc w:val="right"/>
              <w:rPr>
                <w:sz w:val="16"/>
                <w:szCs w:val="16"/>
              </w:rPr>
            </w:pPr>
            <w:r w:rsidRPr="007A4AE1">
              <w:rPr>
                <w:sz w:val="16"/>
                <w:szCs w:val="16"/>
              </w:rPr>
              <w:t>368,570</w:t>
            </w:r>
          </w:p>
        </w:tc>
        <w:tc>
          <w:tcPr>
            <w:tcW w:w="912" w:type="dxa"/>
            <w:shd w:val="clear" w:color="auto" w:fill="auto"/>
            <w:vAlign w:val="bottom"/>
          </w:tcPr>
          <w:p w14:paraId="6872561B" w14:textId="60B432CB" w:rsidR="00224102" w:rsidRPr="007A4AE1" w:rsidRDefault="00224102" w:rsidP="00224102">
            <w:pPr>
              <w:jc w:val="right"/>
              <w:rPr>
                <w:sz w:val="16"/>
                <w:szCs w:val="16"/>
              </w:rPr>
            </w:pPr>
            <w:r w:rsidRPr="007A4AE1">
              <w:rPr>
                <w:sz w:val="16"/>
                <w:szCs w:val="16"/>
              </w:rPr>
              <w:t>5,882</w:t>
            </w:r>
          </w:p>
        </w:tc>
        <w:tc>
          <w:tcPr>
            <w:tcW w:w="919" w:type="dxa"/>
            <w:shd w:val="clear" w:color="auto" w:fill="auto"/>
            <w:vAlign w:val="bottom"/>
          </w:tcPr>
          <w:p w14:paraId="055E2886" w14:textId="2B5ED514" w:rsidR="00224102" w:rsidRPr="007A4AE1" w:rsidRDefault="00224102" w:rsidP="00224102">
            <w:pPr>
              <w:jc w:val="right"/>
              <w:rPr>
                <w:sz w:val="16"/>
                <w:szCs w:val="16"/>
              </w:rPr>
            </w:pPr>
            <w:r w:rsidRPr="007A4AE1">
              <w:rPr>
                <w:sz w:val="16"/>
                <w:szCs w:val="16"/>
              </w:rPr>
              <w:t>817,103</w:t>
            </w:r>
          </w:p>
        </w:tc>
      </w:tr>
      <w:tr w:rsidR="00224102" w:rsidRPr="00604C75" w14:paraId="622ED1F7" w14:textId="77777777" w:rsidTr="006145A7">
        <w:trPr>
          <w:trHeight w:val="106"/>
        </w:trPr>
        <w:tc>
          <w:tcPr>
            <w:tcW w:w="2199" w:type="dxa"/>
            <w:vAlign w:val="bottom"/>
          </w:tcPr>
          <w:p w14:paraId="63CAFB1A" w14:textId="77777777" w:rsidR="00224102" w:rsidRPr="007A4AE1" w:rsidRDefault="00224102" w:rsidP="00224102">
            <w:pPr>
              <w:tabs>
                <w:tab w:val="left" w:pos="226"/>
              </w:tabs>
              <w:ind w:left="226"/>
              <w:rPr>
                <w:snapToGrid w:val="0"/>
                <w:sz w:val="16"/>
                <w:szCs w:val="16"/>
              </w:rPr>
            </w:pPr>
            <w:r w:rsidRPr="007A4AE1">
              <w:rPr>
                <w:snapToGrid w:val="0"/>
                <w:sz w:val="16"/>
                <w:szCs w:val="16"/>
              </w:rPr>
              <w:t>Loans</w:t>
            </w:r>
          </w:p>
        </w:tc>
        <w:tc>
          <w:tcPr>
            <w:tcW w:w="804" w:type="dxa"/>
            <w:shd w:val="clear" w:color="auto" w:fill="auto"/>
            <w:vAlign w:val="bottom"/>
          </w:tcPr>
          <w:p w14:paraId="7D0FFB05" w14:textId="43800959" w:rsidR="00224102" w:rsidRPr="007A4AE1" w:rsidRDefault="00224102" w:rsidP="00224102">
            <w:pPr>
              <w:jc w:val="right"/>
              <w:rPr>
                <w:sz w:val="16"/>
                <w:szCs w:val="16"/>
              </w:rPr>
            </w:pPr>
            <w:r w:rsidRPr="007A4AE1">
              <w:rPr>
                <w:sz w:val="16"/>
                <w:szCs w:val="16"/>
              </w:rPr>
              <w:t>-</w:t>
            </w:r>
          </w:p>
        </w:tc>
        <w:tc>
          <w:tcPr>
            <w:tcW w:w="1052" w:type="dxa"/>
            <w:shd w:val="clear" w:color="auto" w:fill="auto"/>
            <w:vAlign w:val="bottom"/>
          </w:tcPr>
          <w:p w14:paraId="691DE234" w14:textId="10E08D52" w:rsidR="00224102" w:rsidRPr="007A4AE1" w:rsidRDefault="00224102" w:rsidP="00224102">
            <w:pPr>
              <w:jc w:val="right"/>
              <w:rPr>
                <w:sz w:val="16"/>
                <w:szCs w:val="16"/>
              </w:rPr>
            </w:pPr>
            <w:r w:rsidRPr="007A4AE1">
              <w:rPr>
                <w:sz w:val="16"/>
                <w:szCs w:val="16"/>
              </w:rPr>
              <w:t>1,044,019</w:t>
            </w:r>
          </w:p>
        </w:tc>
        <w:tc>
          <w:tcPr>
            <w:tcW w:w="902" w:type="dxa"/>
            <w:shd w:val="clear" w:color="auto" w:fill="auto"/>
            <w:vAlign w:val="bottom"/>
          </w:tcPr>
          <w:p w14:paraId="3A7BDA9B" w14:textId="62D8EF1E" w:rsidR="00224102" w:rsidRPr="007A4AE1" w:rsidRDefault="00224102" w:rsidP="00224102">
            <w:pPr>
              <w:jc w:val="right"/>
              <w:rPr>
                <w:sz w:val="16"/>
                <w:szCs w:val="16"/>
              </w:rPr>
            </w:pPr>
            <w:r w:rsidRPr="007A4AE1">
              <w:rPr>
                <w:sz w:val="16"/>
                <w:szCs w:val="16"/>
              </w:rPr>
              <w:t>750,254</w:t>
            </w:r>
          </w:p>
        </w:tc>
        <w:tc>
          <w:tcPr>
            <w:tcW w:w="901" w:type="dxa"/>
            <w:shd w:val="clear" w:color="auto" w:fill="auto"/>
            <w:vAlign w:val="bottom"/>
          </w:tcPr>
          <w:p w14:paraId="3C7E2D7F" w14:textId="1AA5B3D1" w:rsidR="00224102" w:rsidRPr="007A4AE1" w:rsidRDefault="00224102" w:rsidP="00224102">
            <w:pPr>
              <w:jc w:val="right"/>
              <w:rPr>
                <w:sz w:val="16"/>
                <w:szCs w:val="16"/>
              </w:rPr>
            </w:pPr>
            <w:r w:rsidRPr="007A4AE1">
              <w:rPr>
                <w:sz w:val="16"/>
                <w:szCs w:val="16"/>
              </w:rPr>
              <w:t>2,797,434</w:t>
            </w:r>
          </w:p>
        </w:tc>
        <w:tc>
          <w:tcPr>
            <w:tcW w:w="939" w:type="dxa"/>
            <w:shd w:val="clear" w:color="auto" w:fill="auto"/>
            <w:vAlign w:val="bottom"/>
          </w:tcPr>
          <w:p w14:paraId="4FA43C06" w14:textId="51A8569F" w:rsidR="00224102" w:rsidRPr="007A4AE1" w:rsidRDefault="00224102" w:rsidP="00224102">
            <w:pPr>
              <w:jc w:val="right"/>
              <w:rPr>
                <w:sz w:val="16"/>
                <w:szCs w:val="16"/>
              </w:rPr>
            </w:pPr>
            <w:r w:rsidRPr="007A4AE1">
              <w:rPr>
                <w:sz w:val="16"/>
                <w:szCs w:val="16"/>
              </w:rPr>
              <w:t>3,127,877</w:t>
            </w:r>
          </w:p>
        </w:tc>
        <w:tc>
          <w:tcPr>
            <w:tcW w:w="1098" w:type="dxa"/>
            <w:shd w:val="clear" w:color="auto" w:fill="auto"/>
            <w:vAlign w:val="bottom"/>
          </w:tcPr>
          <w:p w14:paraId="6A9F98AE" w14:textId="7B5A9BBF" w:rsidR="00224102" w:rsidRPr="007A4AE1" w:rsidRDefault="00224102" w:rsidP="00224102">
            <w:pPr>
              <w:jc w:val="right"/>
              <w:rPr>
                <w:sz w:val="16"/>
                <w:szCs w:val="16"/>
              </w:rPr>
            </w:pPr>
            <w:r w:rsidRPr="007A4AE1">
              <w:rPr>
                <w:sz w:val="16"/>
                <w:szCs w:val="16"/>
              </w:rPr>
              <w:t>1,350,237</w:t>
            </w:r>
          </w:p>
        </w:tc>
        <w:tc>
          <w:tcPr>
            <w:tcW w:w="912" w:type="dxa"/>
            <w:shd w:val="clear" w:color="auto" w:fill="auto"/>
            <w:vAlign w:val="bottom"/>
          </w:tcPr>
          <w:p w14:paraId="07B137A3" w14:textId="0AAE25C3" w:rsidR="00224102" w:rsidRPr="007A4AE1" w:rsidRDefault="00224102" w:rsidP="00224102">
            <w:pPr>
              <w:jc w:val="right"/>
              <w:rPr>
                <w:sz w:val="16"/>
                <w:szCs w:val="16"/>
              </w:rPr>
            </w:pPr>
            <w:r w:rsidRPr="007A4AE1">
              <w:rPr>
                <w:sz w:val="16"/>
                <w:szCs w:val="16"/>
              </w:rPr>
              <w:t>235,841</w:t>
            </w:r>
          </w:p>
        </w:tc>
        <w:tc>
          <w:tcPr>
            <w:tcW w:w="919" w:type="dxa"/>
            <w:shd w:val="clear" w:color="auto" w:fill="auto"/>
            <w:vAlign w:val="bottom"/>
          </w:tcPr>
          <w:p w14:paraId="34B01553" w14:textId="404B2AE7" w:rsidR="00224102" w:rsidRPr="007A4AE1" w:rsidRDefault="00224102" w:rsidP="00224102">
            <w:pPr>
              <w:jc w:val="right"/>
              <w:rPr>
                <w:sz w:val="16"/>
                <w:szCs w:val="16"/>
              </w:rPr>
            </w:pPr>
            <w:r w:rsidRPr="007A4AE1">
              <w:rPr>
                <w:sz w:val="16"/>
                <w:szCs w:val="16"/>
              </w:rPr>
              <w:t>9,305,662</w:t>
            </w:r>
          </w:p>
        </w:tc>
      </w:tr>
      <w:tr w:rsidR="00224102" w:rsidRPr="00604C75" w14:paraId="1838778E" w14:textId="77777777" w:rsidTr="006145A7">
        <w:trPr>
          <w:trHeight w:val="106"/>
        </w:trPr>
        <w:tc>
          <w:tcPr>
            <w:tcW w:w="2199" w:type="dxa"/>
            <w:vAlign w:val="bottom"/>
          </w:tcPr>
          <w:p w14:paraId="3939CF24" w14:textId="77777777" w:rsidR="00224102" w:rsidRPr="007A4AE1" w:rsidRDefault="00224102" w:rsidP="00224102">
            <w:pPr>
              <w:tabs>
                <w:tab w:val="left" w:pos="226"/>
              </w:tabs>
              <w:ind w:left="226"/>
              <w:rPr>
                <w:snapToGrid w:val="0"/>
                <w:sz w:val="16"/>
                <w:szCs w:val="16"/>
              </w:rPr>
            </w:pPr>
            <w:r w:rsidRPr="007A4AE1">
              <w:rPr>
                <w:snapToGrid w:val="0"/>
                <w:sz w:val="16"/>
                <w:szCs w:val="16"/>
              </w:rPr>
              <w:t>Held-to-Maturity Investments</w:t>
            </w:r>
          </w:p>
        </w:tc>
        <w:tc>
          <w:tcPr>
            <w:tcW w:w="804" w:type="dxa"/>
            <w:shd w:val="clear" w:color="auto" w:fill="auto"/>
            <w:vAlign w:val="bottom"/>
          </w:tcPr>
          <w:p w14:paraId="79CC6CD2" w14:textId="53ED521B" w:rsidR="00224102" w:rsidRPr="007A4AE1" w:rsidRDefault="00224102" w:rsidP="00224102">
            <w:pPr>
              <w:jc w:val="right"/>
              <w:rPr>
                <w:sz w:val="16"/>
                <w:szCs w:val="16"/>
              </w:rPr>
            </w:pPr>
            <w:r w:rsidRPr="007A4AE1">
              <w:rPr>
                <w:sz w:val="16"/>
                <w:szCs w:val="16"/>
              </w:rPr>
              <w:t>-</w:t>
            </w:r>
          </w:p>
        </w:tc>
        <w:tc>
          <w:tcPr>
            <w:tcW w:w="1052" w:type="dxa"/>
            <w:shd w:val="clear" w:color="auto" w:fill="auto"/>
            <w:vAlign w:val="bottom"/>
          </w:tcPr>
          <w:p w14:paraId="32779ED7" w14:textId="3F4AF541" w:rsidR="00224102" w:rsidRPr="007A4AE1" w:rsidRDefault="00224102" w:rsidP="00224102">
            <w:pPr>
              <w:jc w:val="right"/>
              <w:rPr>
                <w:sz w:val="16"/>
                <w:szCs w:val="16"/>
              </w:rPr>
            </w:pPr>
            <w:r w:rsidRPr="007A4AE1">
              <w:rPr>
                <w:sz w:val="16"/>
                <w:szCs w:val="16"/>
              </w:rPr>
              <w:t>-</w:t>
            </w:r>
          </w:p>
        </w:tc>
        <w:tc>
          <w:tcPr>
            <w:tcW w:w="902" w:type="dxa"/>
            <w:shd w:val="clear" w:color="auto" w:fill="auto"/>
            <w:vAlign w:val="bottom"/>
          </w:tcPr>
          <w:p w14:paraId="32155CF9" w14:textId="227AF4AA" w:rsidR="00224102" w:rsidRPr="007A4AE1" w:rsidRDefault="00224102" w:rsidP="00224102">
            <w:pPr>
              <w:jc w:val="right"/>
              <w:rPr>
                <w:sz w:val="16"/>
                <w:szCs w:val="16"/>
              </w:rPr>
            </w:pPr>
            <w:r w:rsidRPr="007A4AE1">
              <w:rPr>
                <w:sz w:val="16"/>
                <w:szCs w:val="16"/>
              </w:rPr>
              <w:t>-</w:t>
            </w:r>
          </w:p>
        </w:tc>
        <w:tc>
          <w:tcPr>
            <w:tcW w:w="901" w:type="dxa"/>
            <w:shd w:val="clear" w:color="auto" w:fill="auto"/>
            <w:vAlign w:val="bottom"/>
          </w:tcPr>
          <w:p w14:paraId="789C7F24" w14:textId="0BADEA2A" w:rsidR="00224102" w:rsidRPr="007A4AE1" w:rsidRDefault="00224102" w:rsidP="00224102">
            <w:pPr>
              <w:jc w:val="right"/>
              <w:rPr>
                <w:sz w:val="16"/>
                <w:szCs w:val="16"/>
              </w:rPr>
            </w:pPr>
            <w:r w:rsidRPr="007A4AE1">
              <w:rPr>
                <w:sz w:val="16"/>
                <w:szCs w:val="16"/>
              </w:rPr>
              <w:t>-</w:t>
            </w:r>
          </w:p>
        </w:tc>
        <w:tc>
          <w:tcPr>
            <w:tcW w:w="939" w:type="dxa"/>
            <w:shd w:val="clear" w:color="auto" w:fill="auto"/>
            <w:vAlign w:val="bottom"/>
          </w:tcPr>
          <w:p w14:paraId="26C67B3F" w14:textId="6B3A10A5" w:rsidR="00224102" w:rsidRPr="007A4AE1" w:rsidRDefault="00224102" w:rsidP="00224102">
            <w:pPr>
              <w:jc w:val="right"/>
              <w:rPr>
                <w:sz w:val="16"/>
                <w:szCs w:val="16"/>
              </w:rPr>
            </w:pPr>
            <w:r w:rsidRPr="007A4AE1">
              <w:rPr>
                <w:sz w:val="16"/>
                <w:szCs w:val="16"/>
              </w:rPr>
              <w:t>-</w:t>
            </w:r>
          </w:p>
        </w:tc>
        <w:tc>
          <w:tcPr>
            <w:tcW w:w="1098" w:type="dxa"/>
            <w:shd w:val="clear" w:color="auto" w:fill="auto"/>
            <w:vAlign w:val="bottom"/>
          </w:tcPr>
          <w:p w14:paraId="2772DA68" w14:textId="0F596429" w:rsidR="00224102" w:rsidRPr="007A4AE1" w:rsidRDefault="00224102" w:rsidP="00224102">
            <w:pPr>
              <w:jc w:val="right"/>
              <w:rPr>
                <w:sz w:val="16"/>
                <w:szCs w:val="16"/>
              </w:rPr>
            </w:pPr>
            <w:r w:rsidRPr="007A4AE1">
              <w:rPr>
                <w:sz w:val="16"/>
                <w:szCs w:val="16"/>
              </w:rPr>
              <w:t>-</w:t>
            </w:r>
          </w:p>
        </w:tc>
        <w:tc>
          <w:tcPr>
            <w:tcW w:w="912" w:type="dxa"/>
            <w:shd w:val="clear" w:color="auto" w:fill="auto"/>
            <w:vAlign w:val="bottom"/>
          </w:tcPr>
          <w:p w14:paraId="7C319C4C" w14:textId="660C9E6A" w:rsidR="00224102" w:rsidRPr="007A4AE1" w:rsidRDefault="00224102" w:rsidP="00224102">
            <w:pPr>
              <w:jc w:val="right"/>
              <w:rPr>
                <w:sz w:val="16"/>
                <w:szCs w:val="16"/>
              </w:rPr>
            </w:pPr>
            <w:r w:rsidRPr="007A4AE1">
              <w:rPr>
                <w:sz w:val="16"/>
                <w:szCs w:val="16"/>
              </w:rPr>
              <w:t>-</w:t>
            </w:r>
          </w:p>
        </w:tc>
        <w:tc>
          <w:tcPr>
            <w:tcW w:w="919" w:type="dxa"/>
            <w:shd w:val="clear" w:color="auto" w:fill="auto"/>
            <w:vAlign w:val="bottom"/>
          </w:tcPr>
          <w:p w14:paraId="16460B9E" w14:textId="0C3CB3C8" w:rsidR="00224102" w:rsidRPr="007A4AE1" w:rsidRDefault="00224102" w:rsidP="00224102">
            <w:pPr>
              <w:jc w:val="right"/>
              <w:rPr>
                <w:sz w:val="16"/>
                <w:szCs w:val="16"/>
              </w:rPr>
            </w:pPr>
            <w:r w:rsidRPr="007A4AE1">
              <w:rPr>
                <w:sz w:val="16"/>
                <w:szCs w:val="16"/>
              </w:rPr>
              <w:t>-</w:t>
            </w:r>
          </w:p>
        </w:tc>
      </w:tr>
      <w:tr w:rsidR="00224102" w:rsidRPr="00604C75" w14:paraId="078C5E90" w14:textId="77777777" w:rsidTr="006145A7">
        <w:trPr>
          <w:trHeight w:val="106"/>
        </w:trPr>
        <w:tc>
          <w:tcPr>
            <w:tcW w:w="2199" w:type="dxa"/>
            <w:vAlign w:val="bottom"/>
          </w:tcPr>
          <w:p w14:paraId="494F3D2E" w14:textId="5E003C7A" w:rsidR="00224102" w:rsidRPr="007A4AE1" w:rsidRDefault="00224102" w:rsidP="00224102">
            <w:pPr>
              <w:tabs>
                <w:tab w:val="left" w:pos="226"/>
              </w:tabs>
              <w:ind w:left="226"/>
              <w:rPr>
                <w:snapToGrid w:val="0"/>
                <w:sz w:val="16"/>
                <w:szCs w:val="16"/>
              </w:rPr>
            </w:pPr>
            <w:r w:rsidRPr="007A4AE1">
              <w:rPr>
                <w:snapToGrid w:val="0"/>
                <w:sz w:val="16"/>
                <w:szCs w:val="16"/>
              </w:rPr>
              <w:t xml:space="preserve">Other Assets </w:t>
            </w:r>
            <w:r w:rsidR="00306B8C">
              <w:rPr>
                <w:snapToGrid w:val="0"/>
                <w:sz w:val="16"/>
                <w:szCs w:val="16"/>
              </w:rPr>
              <w:t>(*) (*</w:t>
            </w:r>
            <w:r w:rsidRPr="007A4AE1">
              <w:rPr>
                <w:snapToGrid w:val="0"/>
                <w:sz w:val="16"/>
                <w:szCs w:val="16"/>
              </w:rPr>
              <w:t>*)</w:t>
            </w:r>
          </w:p>
        </w:tc>
        <w:tc>
          <w:tcPr>
            <w:tcW w:w="804" w:type="dxa"/>
            <w:shd w:val="clear" w:color="auto" w:fill="auto"/>
            <w:vAlign w:val="bottom"/>
          </w:tcPr>
          <w:p w14:paraId="7FEAE932" w14:textId="48E6E5A4" w:rsidR="00224102" w:rsidRPr="007A4AE1" w:rsidRDefault="00224102" w:rsidP="00224102">
            <w:pPr>
              <w:jc w:val="right"/>
              <w:rPr>
                <w:sz w:val="16"/>
                <w:szCs w:val="16"/>
              </w:rPr>
            </w:pPr>
            <w:r w:rsidRPr="007A4AE1">
              <w:rPr>
                <w:sz w:val="16"/>
                <w:szCs w:val="16"/>
              </w:rPr>
              <w:t>255</w:t>
            </w:r>
          </w:p>
        </w:tc>
        <w:tc>
          <w:tcPr>
            <w:tcW w:w="1052" w:type="dxa"/>
            <w:shd w:val="clear" w:color="auto" w:fill="auto"/>
            <w:vAlign w:val="bottom"/>
          </w:tcPr>
          <w:p w14:paraId="72011B0C" w14:textId="1851DD1C" w:rsidR="00224102" w:rsidRPr="007A4AE1" w:rsidRDefault="00224102" w:rsidP="00224102">
            <w:pPr>
              <w:jc w:val="right"/>
              <w:rPr>
                <w:sz w:val="16"/>
                <w:szCs w:val="16"/>
              </w:rPr>
            </w:pPr>
            <w:r w:rsidRPr="007A4AE1">
              <w:rPr>
                <w:sz w:val="16"/>
                <w:szCs w:val="16"/>
              </w:rPr>
              <w:t>98,217</w:t>
            </w:r>
          </w:p>
        </w:tc>
        <w:tc>
          <w:tcPr>
            <w:tcW w:w="902" w:type="dxa"/>
            <w:shd w:val="clear" w:color="auto" w:fill="auto"/>
            <w:vAlign w:val="bottom"/>
          </w:tcPr>
          <w:p w14:paraId="2F778D2D" w14:textId="60E6C33F" w:rsidR="00224102" w:rsidRPr="007A4AE1" w:rsidRDefault="00224102" w:rsidP="00224102">
            <w:pPr>
              <w:jc w:val="right"/>
              <w:rPr>
                <w:sz w:val="16"/>
                <w:szCs w:val="16"/>
              </w:rPr>
            </w:pPr>
            <w:r w:rsidRPr="007A4AE1">
              <w:rPr>
                <w:sz w:val="16"/>
                <w:szCs w:val="16"/>
              </w:rPr>
              <w:t>82,342</w:t>
            </w:r>
          </w:p>
        </w:tc>
        <w:tc>
          <w:tcPr>
            <w:tcW w:w="901" w:type="dxa"/>
            <w:shd w:val="clear" w:color="auto" w:fill="auto"/>
            <w:vAlign w:val="bottom"/>
          </w:tcPr>
          <w:p w14:paraId="186FCDE4" w14:textId="3426CE6E" w:rsidR="00224102" w:rsidRPr="007A4AE1" w:rsidRDefault="00224102" w:rsidP="00224102">
            <w:pPr>
              <w:jc w:val="right"/>
              <w:rPr>
                <w:sz w:val="16"/>
                <w:szCs w:val="16"/>
              </w:rPr>
            </w:pPr>
            <w:r w:rsidRPr="007A4AE1">
              <w:rPr>
                <w:sz w:val="16"/>
                <w:szCs w:val="16"/>
              </w:rPr>
              <w:t>246,234</w:t>
            </w:r>
          </w:p>
        </w:tc>
        <w:tc>
          <w:tcPr>
            <w:tcW w:w="939" w:type="dxa"/>
            <w:shd w:val="clear" w:color="auto" w:fill="auto"/>
            <w:vAlign w:val="bottom"/>
          </w:tcPr>
          <w:p w14:paraId="143A75CD" w14:textId="177B461E" w:rsidR="00224102" w:rsidRPr="007A4AE1" w:rsidRDefault="00224102" w:rsidP="00224102">
            <w:pPr>
              <w:jc w:val="right"/>
              <w:rPr>
                <w:sz w:val="16"/>
                <w:szCs w:val="16"/>
              </w:rPr>
            </w:pPr>
            <w:r w:rsidRPr="007A4AE1">
              <w:rPr>
                <w:sz w:val="16"/>
                <w:szCs w:val="16"/>
              </w:rPr>
              <w:t>618,006</w:t>
            </w:r>
          </w:p>
        </w:tc>
        <w:tc>
          <w:tcPr>
            <w:tcW w:w="1098" w:type="dxa"/>
            <w:shd w:val="clear" w:color="auto" w:fill="auto"/>
            <w:vAlign w:val="bottom"/>
          </w:tcPr>
          <w:p w14:paraId="21C60860" w14:textId="2A891130" w:rsidR="00224102" w:rsidRPr="007A4AE1" w:rsidRDefault="00224102" w:rsidP="00224102">
            <w:pPr>
              <w:jc w:val="right"/>
              <w:rPr>
                <w:sz w:val="16"/>
                <w:szCs w:val="16"/>
              </w:rPr>
            </w:pPr>
            <w:r w:rsidRPr="007A4AE1">
              <w:rPr>
                <w:sz w:val="16"/>
                <w:szCs w:val="16"/>
              </w:rPr>
              <w:t>72,026</w:t>
            </w:r>
          </w:p>
        </w:tc>
        <w:tc>
          <w:tcPr>
            <w:tcW w:w="912" w:type="dxa"/>
            <w:shd w:val="clear" w:color="auto" w:fill="auto"/>
            <w:vAlign w:val="bottom"/>
          </w:tcPr>
          <w:p w14:paraId="453C089E" w14:textId="2C8C82C0" w:rsidR="00224102" w:rsidRPr="007A4AE1" w:rsidRDefault="00224102" w:rsidP="00224102">
            <w:pPr>
              <w:jc w:val="right"/>
              <w:rPr>
                <w:sz w:val="16"/>
                <w:szCs w:val="16"/>
              </w:rPr>
            </w:pPr>
            <w:r w:rsidRPr="007A4AE1">
              <w:rPr>
                <w:sz w:val="16"/>
                <w:szCs w:val="16"/>
              </w:rPr>
              <w:t>289,717</w:t>
            </w:r>
          </w:p>
        </w:tc>
        <w:tc>
          <w:tcPr>
            <w:tcW w:w="919" w:type="dxa"/>
            <w:shd w:val="clear" w:color="auto" w:fill="auto"/>
            <w:vAlign w:val="bottom"/>
          </w:tcPr>
          <w:p w14:paraId="2B2362A7" w14:textId="56D2B972" w:rsidR="00224102" w:rsidRPr="007A4AE1" w:rsidRDefault="00224102" w:rsidP="00224102">
            <w:pPr>
              <w:jc w:val="right"/>
              <w:rPr>
                <w:sz w:val="16"/>
                <w:szCs w:val="16"/>
              </w:rPr>
            </w:pPr>
            <w:r w:rsidRPr="007A4AE1">
              <w:rPr>
                <w:sz w:val="16"/>
                <w:szCs w:val="16"/>
              </w:rPr>
              <w:t>1,406,797</w:t>
            </w:r>
          </w:p>
        </w:tc>
      </w:tr>
      <w:tr w:rsidR="00224102" w:rsidRPr="00604C75" w14:paraId="59FD3091" w14:textId="77777777" w:rsidTr="006145A7">
        <w:trPr>
          <w:trHeight w:val="106"/>
        </w:trPr>
        <w:tc>
          <w:tcPr>
            <w:tcW w:w="2199" w:type="dxa"/>
            <w:vAlign w:val="bottom"/>
          </w:tcPr>
          <w:p w14:paraId="2F146F23" w14:textId="77777777" w:rsidR="00224102" w:rsidRPr="007A4AE1" w:rsidRDefault="00224102" w:rsidP="00224102">
            <w:pPr>
              <w:ind w:left="-2"/>
              <w:rPr>
                <w:b/>
                <w:snapToGrid w:val="0"/>
                <w:sz w:val="16"/>
                <w:szCs w:val="16"/>
              </w:rPr>
            </w:pPr>
            <w:r w:rsidRPr="007A4AE1">
              <w:rPr>
                <w:b/>
                <w:snapToGrid w:val="0"/>
                <w:sz w:val="16"/>
                <w:szCs w:val="16"/>
              </w:rPr>
              <w:t>Total Assets</w:t>
            </w:r>
          </w:p>
        </w:tc>
        <w:tc>
          <w:tcPr>
            <w:tcW w:w="804" w:type="dxa"/>
            <w:shd w:val="clear" w:color="auto" w:fill="auto"/>
            <w:vAlign w:val="bottom"/>
          </w:tcPr>
          <w:p w14:paraId="3DF86DBA" w14:textId="2E138548" w:rsidR="00224102" w:rsidRPr="007A4AE1" w:rsidRDefault="00224102" w:rsidP="00224102">
            <w:pPr>
              <w:jc w:val="right"/>
              <w:rPr>
                <w:b/>
                <w:sz w:val="16"/>
                <w:szCs w:val="16"/>
              </w:rPr>
            </w:pPr>
            <w:r w:rsidRPr="007A4AE1">
              <w:rPr>
                <w:b/>
                <w:sz w:val="16"/>
                <w:szCs w:val="16"/>
              </w:rPr>
              <w:t>131,425</w:t>
            </w:r>
          </w:p>
        </w:tc>
        <w:tc>
          <w:tcPr>
            <w:tcW w:w="1052" w:type="dxa"/>
            <w:shd w:val="clear" w:color="auto" w:fill="auto"/>
            <w:vAlign w:val="bottom"/>
          </w:tcPr>
          <w:p w14:paraId="7E965481" w14:textId="46E727A7" w:rsidR="00224102" w:rsidRPr="007A4AE1" w:rsidRDefault="00224102" w:rsidP="00224102">
            <w:pPr>
              <w:jc w:val="right"/>
              <w:rPr>
                <w:b/>
                <w:sz w:val="16"/>
                <w:szCs w:val="16"/>
              </w:rPr>
            </w:pPr>
            <w:r w:rsidRPr="007A4AE1">
              <w:rPr>
                <w:b/>
                <w:sz w:val="16"/>
                <w:szCs w:val="16"/>
              </w:rPr>
              <w:t>3,522,960</w:t>
            </w:r>
          </w:p>
        </w:tc>
        <w:tc>
          <w:tcPr>
            <w:tcW w:w="902" w:type="dxa"/>
            <w:shd w:val="clear" w:color="auto" w:fill="auto"/>
            <w:vAlign w:val="bottom"/>
          </w:tcPr>
          <w:p w14:paraId="6834D431" w14:textId="041D83E2" w:rsidR="00224102" w:rsidRPr="007A4AE1" w:rsidRDefault="00224102" w:rsidP="00224102">
            <w:pPr>
              <w:jc w:val="right"/>
              <w:rPr>
                <w:b/>
                <w:sz w:val="16"/>
                <w:szCs w:val="16"/>
              </w:rPr>
            </w:pPr>
            <w:r w:rsidRPr="007A4AE1">
              <w:rPr>
                <w:b/>
                <w:sz w:val="16"/>
                <w:szCs w:val="16"/>
              </w:rPr>
              <w:t>835,785</w:t>
            </w:r>
          </w:p>
        </w:tc>
        <w:tc>
          <w:tcPr>
            <w:tcW w:w="901" w:type="dxa"/>
            <w:shd w:val="clear" w:color="auto" w:fill="auto"/>
            <w:vAlign w:val="bottom"/>
          </w:tcPr>
          <w:p w14:paraId="4DBD5B67" w14:textId="285971B6" w:rsidR="00224102" w:rsidRPr="007A4AE1" w:rsidRDefault="00224102" w:rsidP="00224102">
            <w:pPr>
              <w:jc w:val="right"/>
              <w:rPr>
                <w:b/>
                <w:sz w:val="16"/>
                <w:szCs w:val="16"/>
              </w:rPr>
            </w:pPr>
            <w:r w:rsidRPr="007A4AE1">
              <w:rPr>
                <w:b/>
                <w:sz w:val="16"/>
                <w:szCs w:val="16"/>
              </w:rPr>
              <w:t>3,045,037</w:t>
            </w:r>
          </w:p>
        </w:tc>
        <w:tc>
          <w:tcPr>
            <w:tcW w:w="939" w:type="dxa"/>
            <w:shd w:val="clear" w:color="auto" w:fill="auto"/>
            <w:vAlign w:val="bottom"/>
          </w:tcPr>
          <w:p w14:paraId="74686511" w14:textId="72B5084B" w:rsidR="00224102" w:rsidRPr="007A4AE1" w:rsidRDefault="00224102" w:rsidP="00224102">
            <w:pPr>
              <w:jc w:val="right"/>
              <w:rPr>
                <w:b/>
                <w:sz w:val="16"/>
                <w:szCs w:val="16"/>
              </w:rPr>
            </w:pPr>
            <w:r w:rsidRPr="007A4AE1">
              <w:rPr>
                <w:b/>
                <w:sz w:val="16"/>
                <w:szCs w:val="16"/>
              </w:rPr>
              <w:t>4,207,012</w:t>
            </w:r>
          </w:p>
        </w:tc>
        <w:tc>
          <w:tcPr>
            <w:tcW w:w="1098" w:type="dxa"/>
            <w:shd w:val="clear" w:color="auto" w:fill="auto"/>
            <w:vAlign w:val="bottom"/>
          </w:tcPr>
          <w:p w14:paraId="63FA3788" w14:textId="3AFFBEC9" w:rsidR="00224102" w:rsidRPr="007A4AE1" w:rsidRDefault="00224102" w:rsidP="00224102">
            <w:pPr>
              <w:jc w:val="right"/>
              <w:rPr>
                <w:b/>
                <w:sz w:val="16"/>
                <w:szCs w:val="16"/>
              </w:rPr>
            </w:pPr>
            <w:r w:rsidRPr="007A4AE1">
              <w:rPr>
                <w:b/>
                <w:sz w:val="16"/>
                <w:szCs w:val="16"/>
              </w:rPr>
              <w:t>1,791,164</w:t>
            </w:r>
          </w:p>
        </w:tc>
        <w:tc>
          <w:tcPr>
            <w:tcW w:w="912" w:type="dxa"/>
            <w:shd w:val="clear" w:color="auto" w:fill="auto"/>
            <w:vAlign w:val="bottom"/>
          </w:tcPr>
          <w:p w14:paraId="11314E13" w14:textId="3B229855" w:rsidR="00224102" w:rsidRPr="007A4AE1" w:rsidRDefault="00224102" w:rsidP="00224102">
            <w:pPr>
              <w:jc w:val="right"/>
              <w:rPr>
                <w:b/>
                <w:sz w:val="16"/>
                <w:szCs w:val="16"/>
              </w:rPr>
            </w:pPr>
            <w:r w:rsidRPr="007A4AE1">
              <w:rPr>
                <w:b/>
                <w:sz w:val="16"/>
                <w:szCs w:val="16"/>
              </w:rPr>
              <w:t>531,440</w:t>
            </w:r>
          </w:p>
        </w:tc>
        <w:tc>
          <w:tcPr>
            <w:tcW w:w="919" w:type="dxa"/>
            <w:shd w:val="clear" w:color="auto" w:fill="auto"/>
            <w:vAlign w:val="bottom"/>
          </w:tcPr>
          <w:p w14:paraId="2B8CF76F" w14:textId="1F19746A" w:rsidR="00224102" w:rsidRPr="007A4AE1" w:rsidRDefault="00224102" w:rsidP="00224102">
            <w:pPr>
              <w:jc w:val="right"/>
              <w:rPr>
                <w:b/>
                <w:sz w:val="16"/>
                <w:szCs w:val="16"/>
              </w:rPr>
            </w:pPr>
            <w:r w:rsidRPr="007A4AE1">
              <w:rPr>
                <w:b/>
                <w:sz w:val="16"/>
                <w:szCs w:val="16"/>
              </w:rPr>
              <w:t>14,064,823</w:t>
            </w:r>
          </w:p>
        </w:tc>
      </w:tr>
      <w:tr w:rsidR="00224102" w:rsidRPr="00604C75" w14:paraId="33432D36" w14:textId="77777777" w:rsidTr="006145A7">
        <w:trPr>
          <w:trHeight w:val="106"/>
        </w:trPr>
        <w:tc>
          <w:tcPr>
            <w:tcW w:w="2199" w:type="dxa"/>
            <w:vAlign w:val="bottom"/>
          </w:tcPr>
          <w:p w14:paraId="613D234F" w14:textId="77777777" w:rsidR="00224102" w:rsidRPr="007A4AE1" w:rsidRDefault="00224102" w:rsidP="00224102">
            <w:pPr>
              <w:ind w:left="-2"/>
              <w:rPr>
                <w:snapToGrid w:val="0"/>
                <w:sz w:val="16"/>
                <w:szCs w:val="16"/>
              </w:rPr>
            </w:pPr>
          </w:p>
        </w:tc>
        <w:tc>
          <w:tcPr>
            <w:tcW w:w="804" w:type="dxa"/>
            <w:shd w:val="clear" w:color="auto" w:fill="auto"/>
            <w:vAlign w:val="bottom"/>
          </w:tcPr>
          <w:p w14:paraId="0180787A" w14:textId="77777777" w:rsidR="00224102" w:rsidRPr="007A4AE1" w:rsidRDefault="00224102" w:rsidP="00224102">
            <w:pPr>
              <w:ind w:right="34"/>
              <w:jc w:val="right"/>
              <w:rPr>
                <w:sz w:val="16"/>
                <w:szCs w:val="16"/>
              </w:rPr>
            </w:pPr>
          </w:p>
        </w:tc>
        <w:tc>
          <w:tcPr>
            <w:tcW w:w="1052" w:type="dxa"/>
            <w:shd w:val="clear" w:color="auto" w:fill="auto"/>
            <w:vAlign w:val="bottom"/>
          </w:tcPr>
          <w:p w14:paraId="389A8D94" w14:textId="77777777" w:rsidR="00224102" w:rsidRPr="007A4AE1" w:rsidRDefault="00224102" w:rsidP="00224102">
            <w:pPr>
              <w:ind w:right="34"/>
              <w:jc w:val="right"/>
              <w:rPr>
                <w:sz w:val="16"/>
                <w:szCs w:val="16"/>
              </w:rPr>
            </w:pPr>
          </w:p>
        </w:tc>
        <w:tc>
          <w:tcPr>
            <w:tcW w:w="902" w:type="dxa"/>
            <w:shd w:val="clear" w:color="auto" w:fill="auto"/>
            <w:vAlign w:val="bottom"/>
          </w:tcPr>
          <w:p w14:paraId="1C363585" w14:textId="77777777" w:rsidR="00224102" w:rsidRPr="007A4AE1" w:rsidRDefault="00224102" w:rsidP="00224102">
            <w:pPr>
              <w:ind w:right="34"/>
              <w:jc w:val="right"/>
              <w:rPr>
                <w:sz w:val="16"/>
                <w:szCs w:val="16"/>
              </w:rPr>
            </w:pPr>
          </w:p>
        </w:tc>
        <w:tc>
          <w:tcPr>
            <w:tcW w:w="901" w:type="dxa"/>
            <w:shd w:val="clear" w:color="auto" w:fill="auto"/>
            <w:vAlign w:val="bottom"/>
          </w:tcPr>
          <w:p w14:paraId="66AFEA95" w14:textId="77777777" w:rsidR="00224102" w:rsidRPr="007A4AE1" w:rsidRDefault="00224102" w:rsidP="00224102">
            <w:pPr>
              <w:ind w:right="34"/>
              <w:jc w:val="right"/>
              <w:rPr>
                <w:sz w:val="16"/>
                <w:szCs w:val="16"/>
              </w:rPr>
            </w:pPr>
          </w:p>
        </w:tc>
        <w:tc>
          <w:tcPr>
            <w:tcW w:w="939" w:type="dxa"/>
            <w:shd w:val="clear" w:color="auto" w:fill="auto"/>
            <w:vAlign w:val="bottom"/>
          </w:tcPr>
          <w:p w14:paraId="05C749F9" w14:textId="77777777" w:rsidR="00224102" w:rsidRPr="007A4AE1" w:rsidRDefault="00224102" w:rsidP="00224102">
            <w:pPr>
              <w:ind w:right="34"/>
              <w:jc w:val="right"/>
              <w:rPr>
                <w:sz w:val="16"/>
                <w:szCs w:val="16"/>
              </w:rPr>
            </w:pPr>
          </w:p>
        </w:tc>
        <w:tc>
          <w:tcPr>
            <w:tcW w:w="1098" w:type="dxa"/>
            <w:shd w:val="clear" w:color="auto" w:fill="auto"/>
            <w:vAlign w:val="bottom"/>
          </w:tcPr>
          <w:p w14:paraId="496D81E4" w14:textId="77777777" w:rsidR="00224102" w:rsidRPr="007A4AE1" w:rsidRDefault="00224102" w:rsidP="00224102">
            <w:pPr>
              <w:ind w:right="34"/>
              <w:jc w:val="right"/>
              <w:rPr>
                <w:sz w:val="16"/>
                <w:szCs w:val="16"/>
              </w:rPr>
            </w:pPr>
          </w:p>
        </w:tc>
        <w:tc>
          <w:tcPr>
            <w:tcW w:w="912" w:type="dxa"/>
            <w:shd w:val="clear" w:color="auto" w:fill="auto"/>
            <w:vAlign w:val="bottom"/>
          </w:tcPr>
          <w:p w14:paraId="091CD6A8" w14:textId="77777777" w:rsidR="00224102" w:rsidRPr="007A4AE1" w:rsidRDefault="00224102" w:rsidP="00224102">
            <w:pPr>
              <w:ind w:right="33"/>
              <w:jc w:val="right"/>
              <w:rPr>
                <w:sz w:val="16"/>
                <w:szCs w:val="16"/>
              </w:rPr>
            </w:pPr>
          </w:p>
        </w:tc>
        <w:tc>
          <w:tcPr>
            <w:tcW w:w="919" w:type="dxa"/>
            <w:shd w:val="clear" w:color="auto" w:fill="auto"/>
            <w:vAlign w:val="bottom"/>
          </w:tcPr>
          <w:p w14:paraId="3263A1CE" w14:textId="77777777" w:rsidR="00224102" w:rsidRPr="007A4AE1" w:rsidRDefault="00224102" w:rsidP="00224102">
            <w:pPr>
              <w:ind w:right="34"/>
              <w:jc w:val="right"/>
              <w:rPr>
                <w:b/>
                <w:sz w:val="16"/>
                <w:szCs w:val="16"/>
              </w:rPr>
            </w:pPr>
          </w:p>
        </w:tc>
      </w:tr>
      <w:tr w:rsidR="00224102" w:rsidRPr="00604C75" w14:paraId="6649FC41" w14:textId="77777777" w:rsidTr="006145A7">
        <w:trPr>
          <w:trHeight w:val="106"/>
        </w:trPr>
        <w:tc>
          <w:tcPr>
            <w:tcW w:w="2199" w:type="dxa"/>
            <w:vAlign w:val="bottom"/>
          </w:tcPr>
          <w:p w14:paraId="332A2E22" w14:textId="77777777" w:rsidR="00224102" w:rsidRPr="007A4AE1" w:rsidRDefault="00224102" w:rsidP="00224102">
            <w:pPr>
              <w:ind w:left="-2"/>
              <w:rPr>
                <w:b/>
                <w:i/>
                <w:snapToGrid w:val="0"/>
                <w:sz w:val="16"/>
                <w:szCs w:val="16"/>
              </w:rPr>
            </w:pPr>
            <w:r w:rsidRPr="007A4AE1">
              <w:rPr>
                <w:b/>
                <w:snapToGrid w:val="0"/>
                <w:sz w:val="16"/>
                <w:szCs w:val="16"/>
              </w:rPr>
              <w:t>Liabilities</w:t>
            </w:r>
          </w:p>
        </w:tc>
        <w:tc>
          <w:tcPr>
            <w:tcW w:w="804" w:type="dxa"/>
            <w:shd w:val="clear" w:color="auto" w:fill="auto"/>
            <w:vAlign w:val="bottom"/>
          </w:tcPr>
          <w:p w14:paraId="7438AD0F" w14:textId="77777777" w:rsidR="00224102" w:rsidRPr="007A4AE1" w:rsidRDefault="00224102" w:rsidP="00224102">
            <w:pPr>
              <w:ind w:right="34"/>
              <w:jc w:val="right"/>
              <w:rPr>
                <w:sz w:val="16"/>
                <w:szCs w:val="16"/>
              </w:rPr>
            </w:pPr>
          </w:p>
        </w:tc>
        <w:tc>
          <w:tcPr>
            <w:tcW w:w="1052" w:type="dxa"/>
            <w:shd w:val="clear" w:color="auto" w:fill="auto"/>
            <w:vAlign w:val="bottom"/>
          </w:tcPr>
          <w:p w14:paraId="3D540911" w14:textId="77777777" w:rsidR="00224102" w:rsidRPr="007A4AE1" w:rsidRDefault="00224102" w:rsidP="00224102">
            <w:pPr>
              <w:ind w:right="34"/>
              <w:jc w:val="right"/>
              <w:rPr>
                <w:sz w:val="16"/>
                <w:szCs w:val="16"/>
              </w:rPr>
            </w:pPr>
          </w:p>
        </w:tc>
        <w:tc>
          <w:tcPr>
            <w:tcW w:w="902" w:type="dxa"/>
            <w:shd w:val="clear" w:color="auto" w:fill="auto"/>
            <w:vAlign w:val="bottom"/>
          </w:tcPr>
          <w:p w14:paraId="5BECAB50" w14:textId="77777777" w:rsidR="00224102" w:rsidRPr="007A4AE1" w:rsidRDefault="00224102" w:rsidP="00224102">
            <w:pPr>
              <w:ind w:right="34"/>
              <w:jc w:val="right"/>
              <w:rPr>
                <w:sz w:val="16"/>
                <w:szCs w:val="16"/>
              </w:rPr>
            </w:pPr>
          </w:p>
        </w:tc>
        <w:tc>
          <w:tcPr>
            <w:tcW w:w="901" w:type="dxa"/>
            <w:shd w:val="clear" w:color="auto" w:fill="auto"/>
            <w:vAlign w:val="bottom"/>
          </w:tcPr>
          <w:p w14:paraId="2175099C" w14:textId="77777777" w:rsidR="00224102" w:rsidRPr="007A4AE1" w:rsidRDefault="00224102" w:rsidP="00224102">
            <w:pPr>
              <w:ind w:right="34"/>
              <w:jc w:val="right"/>
              <w:rPr>
                <w:sz w:val="16"/>
                <w:szCs w:val="16"/>
              </w:rPr>
            </w:pPr>
          </w:p>
        </w:tc>
        <w:tc>
          <w:tcPr>
            <w:tcW w:w="939" w:type="dxa"/>
            <w:shd w:val="clear" w:color="auto" w:fill="auto"/>
            <w:vAlign w:val="bottom"/>
          </w:tcPr>
          <w:p w14:paraId="21FE6E94" w14:textId="77777777" w:rsidR="00224102" w:rsidRPr="007A4AE1" w:rsidRDefault="00224102" w:rsidP="00224102">
            <w:pPr>
              <w:ind w:right="34"/>
              <w:jc w:val="right"/>
              <w:rPr>
                <w:sz w:val="16"/>
                <w:szCs w:val="16"/>
              </w:rPr>
            </w:pPr>
          </w:p>
        </w:tc>
        <w:tc>
          <w:tcPr>
            <w:tcW w:w="1098" w:type="dxa"/>
            <w:shd w:val="clear" w:color="auto" w:fill="auto"/>
            <w:vAlign w:val="bottom"/>
          </w:tcPr>
          <w:p w14:paraId="38E4F37D" w14:textId="77777777" w:rsidR="00224102" w:rsidRPr="007A4AE1" w:rsidRDefault="00224102" w:rsidP="00224102">
            <w:pPr>
              <w:ind w:right="34"/>
              <w:jc w:val="right"/>
              <w:rPr>
                <w:sz w:val="16"/>
                <w:szCs w:val="16"/>
              </w:rPr>
            </w:pPr>
          </w:p>
        </w:tc>
        <w:tc>
          <w:tcPr>
            <w:tcW w:w="912" w:type="dxa"/>
            <w:shd w:val="clear" w:color="auto" w:fill="auto"/>
            <w:vAlign w:val="bottom"/>
          </w:tcPr>
          <w:p w14:paraId="425DE671" w14:textId="77777777" w:rsidR="00224102" w:rsidRPr="007A4AE1" w:rsidRDefault="00224102" w:rsidP="00224102">
            <w:pPr>
              <w:ind w:right="33"/>
              <w:jc w:val="right"/>
              <w:rPr>
                <w:sz w:val="16"/>
                <w:szCs w:val="16"/>
              </w:rPr>
            </w:pPr>
          </w:p>
        </w:tc>
        <w:tc>
          <w:tcPr>
            <w:tcW w:w="919" w:type="dxa"/>
            <w:shd w:val="clear" w:color="auto" w:fill="auto"/>
            <w:vAlign w:val="bottom"/>
          </w:tcPr>
          <w:p w14:paraId="275E4356" w14:textId="77777777" w:rsidR="00224102" w:rsidRPr="007A4AE1" w:rsidRDefault="00224102" w:rsidP="00224102">
            <w:pPr>
              <w:ind w:right="34"/>
              <w:jc w:val="right"/>
              <w:rPr>
                <w:b/>
                <w:sz w:val="16"/>
                <w:szCs w:val="16"/>
              </w:rPr>
            </w:pPr>
          </w:p>
        </w:tc>
      </w:tr>
      <w:tr w:rsidR="00224102" w:rsidRPr="00604C75" w14:paraId="1E35E2EF" w14:textId="77777777" w:rsidTr="006145A7">
        <w:trPr>
          <w:trHeight w:val="106"/>
        </w:trPr>
        <w:tc>
          <w:tcPr>
            <w:tcW w:w="2199" w:type="dxa"/>
            <w:vAlign w:val="bottom"/>
          </w:tcPr>
          <w:p w14:paraId="3F5F246D" w14:textId="55958DC9" w:rsidR="00224102" w:rsidRPr="007A4AE1" w:rsidRDefault="00224102" w:rsidP="00224102">
            <w:pPr>
              <w:ind w:left="226"/>
              <w:rPr>
                <w:snapToGrid w:val="0"/>
                <w:sz w:val="16"/>
                <w:szCs w:val="16"/>
              </w:rPr>
            </w:pPr>
            <w:r w:rsidRPr="007A4AE1">
              <w:rPr>
                <w:snapToGrid w:val="0"/>
                <w:sz w:val="16"/>
                <w:szCs w:val="16"/>
              </w:rPr>
              <w:t xml:space="preserve">Bank Deposits </w:t>
            </w:r>
            <w:r w:rsidR="00306B8C">
              <w:rPr>
                <w:snapToGrid w:val="0"/>
                <w:sz w:val="16"/>
                <w:szCs w:val="16"/>
              </w:rPr>
              <w:t>(**</w:t>
            </w:r>
            <w:r w:rsidRPr="007A4AE1">
              <w:rPr>
                <w:snapToGrid w:val="0"/>
                <w:sz w:val="16"/>
                <w:szCs w:val="16"/>
              </w:rPr>
              <w:t>*)</w:t>
            </w:r>
          </w:p>
        </w:tc>
        <w:tc>
          <w:tcPr>
            <w:tcW w:w="804" w:type="dxa"/>
            <w:shd w:val="clear" w:color="auto" w:fill="auto"/>
            <w:vAlign w:val="bottom"/>
          </w:tcPr>
          <w:p w14:paraId="40054922" w14:textId="76C28E27" w:rsidR="00224102" w:rsidRPr="007A4AE1" w:rsidRDefault="00224102" w:rsidP="00224102">
            <w:pPr>
              <w:jc w:val="right"/>
              <w:rPr>
                <w:sz w:val="16"/>
                <w:szCs w:val="16"/>
              </w:rPr>
            </w:pPr>
            <w:r w:rsidRPr="007A4AE1">
              <w:rPr>
                <w:sz w:val="16"/>
                <w:szCs w:val="16"/>
              </w:rPr>
              <w:t>485</w:t>
            </w:r>
          </w:p>
        </w:tc>
        <w:tc>
          <w:tcPr>
            <w:tcW w:w="1052" w:type="dxa"/>
            <w:shd w:val="clear" w:color="auto" w:fill="auto"/>
            <w:vAlign w:val="bottom"/>
          </w:tcPr>
          <w:p w14:paraId="25D36788" w14:textId="0EC0B9AD" w:rsidR="00224102" w:rsidRPr="007A4AE1" w:rsidRDefault="00224102" w:rsidP="00224102">
            <w:pPr>
              <w:jc w:val="right"/>
              <w:rPr>
                <w:sz w:val="16"/>
                <w:szCs w:val="16"/>
              </w:rPr>
            </w:pPr>
            <w:r w:rsidRPr="007A4AE1">
              <w:rPr>
                <w:sz w:val="16"/>
                <w:szCs w:val="16"/>
              </w:rPr>
              <w:t>554,792</w:t>
            </w:r>
          </w:p>
        </w:tc>
        <w:tc>
          <w:tcPr>
            <w:tcW w:w="902" w:type="dxa"/>
            <w:shd w:val="clear" w:color="auto" w:fill="auto"/>
            <w:vAlign w:val="bottom"/>
          </w:tcPr>
          <w:p w14:paraId="3A379F81" w14:textId="77777777" w:rsidR="00224102" w:rsidRPr="007A4AE1" w:rsidRDefault="00224102" w:rsidP="00224102">
            <w:pPr>
              <w:jc w:val="right"/>
              <w:rPr>
                <w:sz w:val="16"/>
                <w:szCs w:val="16"/>
              </w:rPr>
            </w:pPr>
          </w:p>
        </w:tc>
        <w:tc>
          <w:tcPr>
            <w:tcW w:w="901" w:type="dxa"/>
            <w:shd w:val="clear" w:color="auto" w:fill="auto"/>
            <w:vAlign w:val="bottom"/>
          </w:tcPr>
          <w:p w14:paraId="02EEDC34" w14:textId="1937BDC8" w:rsidR="00224102" w:rsidRPr="007A4AE1" w:rsidRDefault="00224102" w:rsidP="00224102">
            <w:pPr>
              <w:jc w:val="right"/>
              <w:rPr>
                <w:sz w:val="16"/>
                <w:szCs w:val="16"/>
              </w:rPr>
            </w:pPr>
            <w:r w:rsidRPr="007A4AE1">
              <w:rPr>
                <w:sz w:val="16"/>
                <w:szCs w:val="16"/>
              </w:rPr>
              <w:t>-</w:t>
            </w:r>
          </w:p>
        </w:tc>
        <w:tc>
          <w:tcPr>
            <w:tcW w:w="939" w:type="dxa"/>
            <w:shd w:val="clear" w:color="auto" w:fill="auto"/>
            <w:vAlign w:val="bottom"/>
          </w:tcPr>
          <w:p w14:paraId="20825D2E" w14:textId="49FE7621" w:rsidR="00224102" w:rsidRPr="007A4AE1" w:rsidRDefault="00224102" w:rsidP="00224102">
            <w:pPr>
              <w:jc w:val="right"/>
              <w:rPr>
                <w:sz w:val="16"/>
                <w:szCs w:val="16"/>
              </w:rPr>
            </w:pPr>
            <w:r w:rsidRPr="007A4AE1">
              <w:rPr>
                <w:sz w:val="16"/>
                <w:szCs w:val="16"/>
              </w:rPr>
              <w:t>-</w:t>
            </w:r>
          </w:p>
        </w:tc>
        <w:tc>
          <w:tcPr>
            <w:tcW w:w="1098" w:type="dxa"/>
            <w:shd w:val="clear" w:color="auto" w:fill="auto"/>
            <w:vAlign w:val="bottom"/>
          </w:tcPr>
          <w:p w14:paraId="443D8096" w14:textId="14FB9833" w:rsidR="00224102" w:rsidRPr="007A4AE1" w:rsidRDefault="00224102" w:rsidP="00224102">
            <w:pPr>
              <w:jc w:val="right"/>
              <w:rPr>
                <w:sz w:val="16"/>
                <w:szCs w:val="16"/>
              </w:rPr>
            </w:pPr>
            <w:r w:rsidRPr="007A4AE1">
              <w:rPr>
                <w:sz w:val="16"/>
                <w:szCs w:val="16"/>
              </w:rPr>
              <w:t>-</w:t>
            </w:r>
          </w:p>
        </w:tc>
        <w:tc>
          <w:tcPr>
            <w:tcW w:w="912" w:type="dxa"/>
            <w:shd w:val="clear" w:color="auto" w:fill="auto"/>
            <w:vAlign w:val="bottom"/>
          </w:tcPr>
          <w:p w14:paraId="067AC0EE" w14:textId="17C4A238" w:rsidR="00224102" w:rsidRPr="007A4AE1" w:rsidRDefault="00224102" w:rsidP="00224102">
            <w:pPr>
              <w:jc w:val="right"/>
              <w:rPr>
                <w:sz w:val="16"/>
                <w:szCs w:val="16"/>
              </w:rPr>
            </w:pPr>
            <w:r w:rsidRPr="007A4AE1">
              <w:rPr>
                <w:sz w:val="16"/>
                <w:szCs w:val="16"/>
              </w:rPr>
              <w:t>-</w:t>
            </w:r>
          </w:p>
        </w:tc>
        <w:tc>
          <w:tcPr>
            <w:tcW w:w="919" w:type="dxa"/>
            <w:shd w:val="clear" w:color="auto" w:fill="auto"/>
            <w:vAlign w:val="bottom"/>
          </w:tcPr>
          <w:p w14:paraId="2E48140C" w14:textId="471FECBE" w:rsidR="00224102" w:rsidRPr="007A4AE1" w:rsidRDefault="00224102" w:rsidP="00224102">
            <w:pPr>
              <w:jc w:val="right"/>
              <w:rPr>
                <w:sz w:val="16"/>
                <w:szCs w:val="16"/>
              </w:rPr>
            </w:pPr>
            <w:r w:rsidRPr="007A4AE1">
              <w:rPr>
                <w:sz w:val="16"/>
                <w:szCs w:val="16"/>
              </w:rPr>
              <w:t>555,277</w:t>
            </w:r>
          </w:p>
        </w:tc>
      </w:tr>
      <w:tr w:rsidR="00224102" w:rsidRPr="00604C75" w14:paraId="16E20929" w14:textId="77777777" w:rsidTr="006145A7">
        <w:trPr>
          <w:trHeight w:val="106"/>
        </w:trPr>
        <w:tc>
          <w:tcPr>
            <w:tcW w:w="2199" w:type="dxa"/>
            <w:vAlign w:val="bottom"/>
          </w:tcPr>
          <w:p w14:paraId="144FA4BF" w14:textId="77777777" w:rsidR="00224102" w:rsidRPr="007A4AE1" w:rsidRDefault="00224102" w:rsidP="00224102">
            <w:pPr>
              <w:ind w:left="226"/>
              <w:rPr>
                <w:snapToGrid w:val="0"/>
                <w:sz w:val="16"/>
                <w:szCs w:val="16"/>
              </w:rPr>
            </w:pPr>
            <w:r w:rsidRPr="007A4AE1">
              <w:rPr>
                <w:snapToGrid w:val="0"/>
                <w:sz w:val="16"/>
                <w:szCs w:val="16"/>
              </w:rPr>
              <w:t>Other Deposits</w:t>
            </w:r>
          </w:p>
        </w:tc>
        <w:tc>
          <w:tcPr>
            <w:tcW w:w="804" w:type="dxa"/>
            <w:shd w:val="clear" w:color="auto" w:fill="auto"/>
            <w:vAlign w:val="bottom"/>
          </w:tcPr>
          <w:p w14:paraId="4E6FF686" w14:textId="1B8EA498" w:rsidR="00224102" w:rsidRPr="007A4AE1" w:rsidRDefault="00224102" w:rsidP="00224102">
            <w:pPr>
              <w:jc w:val="right"/>
              <w:rPr>
                <w:sz w:val="16"/>
                <w:szCs w:val="16"/>
              </w:rPr>
            </w:pPr>
            <w:r w:rsidRPr="007A4AE1">
              <w:rPr>
                <w:sz w:val="16"/>
                <w:szCs w:val="16"/>
              </w:rPr>
              <w:t>367,291</w:t>
            </w:r>
          </w:p>
        </w:tc>
        <w:tc>
          <w:tcPr>
            <w:tcW w:w="1052" w:type="dxa"/>
            <w:shd w:val="clear" w:color="auto" w:fill="auto"/>
            <w:vAlign w:val="bottom"/>
          </w:tcPr>
          <w:p w14:paraId="385142EE" w14:textId="0ACC023C" w:rsidR="00224102" w:rsidRPr="007A4AE1" w:rsidRDefault="00224102" w:rsidP="00224102">
            <w:pPr>
              <w:jc w:val="right"/>
              <w:rPr>
                <w:sz w:val="16"/>
                <w:szCs w:val="16"/>
              </w:rPr>
            </w:pPr>
            <w:r w:rsidRPr="007A4AE1">
              <w:rPr>
                <w:sz w:val="16"/>
                <w:szCs w:val="16"/>
              </w:rPr>
              <w:t>3,690,259</w:t>
            </w:r>
          </w:p>
        </w:tc>
        <w:tc>
          <w:tcPr>
            <w:tcW w:w="902" w:type="dxa"/>
            <w:shd w:val="clear" w:color="auto" w:fill="auto"/>
            <w:vAlign w:val="bottom"/>
          </w:tcPr>
          <w:p w14:paraId="20816C8B" w14:textId="3F9B7177" w:rsidR="00224102" w:rsidRPr="007A4AE1" w:rsidRDefault="00224102" w:rsidP="00224102">
            <w:pPr>
              <w:jc w:val="right"/>
              <w:rPr>
                <w:sz w:val="16"/>
                <w:szCs w:val="16"/>
              </w:rPr>
            </w:pPr>
            <w:r w:rsidRPr="007A4AE1">
              <w:rPr>
                <w:sz w:val="16"/>
                <w:szCs w:val="16"/>
              </w:rPr>
              <w:t>1,494,977</w:t>
            </w:r>
          </w:p>
        </w:tc>
        <w:tc>
          <w:tcPr>
            <w:tcW w:w="901" w:type="dxa"/>
            <w:shd w:val="clear" w:color="auto" w:fill="auto"/>
            <w:vAlign w:val="bottom"/>
          </w:tcPr>
          <w:p w14:paraId="202DE04C" w14:textId="0465DEB3" w:rsidR="00224102" w:rsidRPr="007A4AE1" w:rsidRDefault="00224102" w:rsidP="00224102">
            <w:pPr>
              <w:jc w:val="right"/>
              <w:rPr>
                <w:sz w:val="16"/>
                <w:szCs w:val="16"/>
              </w:rPr>
            </w:pPr>
            <w:r w:rsidRPr="007A4AE1">
              <w:rPr>
                <w:sz w:val="16"/>
                <w:szCs w:val="16"/>
              </w:rPr>
              <w:t>122,878</w:t>
            </w:r>
          </w:p>
        </w:tc>
        <w:tc>
          <w:tcPr>
            <w:tcW w:w="939" w:type="dxa"/>
            <w:shd w:val="clear" w:color="auto" w:fill="auto"/>
            <w:vAlign w:val="bottom"/>
          </w:tcPr>
          <w:p w14:paraId="1B02883F" w14:textId="215DE13E" w:rsidR="00224102" w:rsidRPr="007A4AE1" w:rsidRDefault="00224102" w:rsidP="00224102">
            <w:pPr>
              <w:jc w:val="right"/>
              <w:rPr>
                <w:sz w:val="16"/>
                <w:szCs w:val="16"/>
              </w:rPr>
            </w:pPr>
            <w:r w:rsidRPr="007A4AE1">
              <w:rPr>
                <w:sz w:val="16"/>
                <w:szCs w:val="16"/>
              </w:rPr>
              <w:t>7,801</w:t>
            </w:r>
          </w:p>
        </w:tc>
        <w:tc>
          <w:tcPr>
            <w:tcW w:w="1098" w:type="dxa"/>
            <w:shd w:val="clear" w:color="auto" w:fill="auto"/>
            <w:vAlign w:val="bottom"/>
          </w:tcPr>
          <w:p w14:paraId="4B319B0C" w14:textId="1BD20426" w:rsidR="00224102" w:rsidRPr="007A4AE1" w:rsidRDefault="00224102" w:rsidP="00224102">
            <w:pPr>
              <w:jc w:val="right"/>
              <w:rPr>
                <w:sz w:val="16"/>
                <w:szCs w:val="16"/>
              </w:rPr>
            </w:pPr>
            <w:r w:rsidRPr="007A4AE1">
              <w:rPr>
                <w:sz w:val="16"/>
                <w:szCs w:val="16"/>
              </w:rPr>
              <w:t>-</w:t>
            </w:r>
          </w:p>
        </w:tc>
        <w:tc>
          <w:tcPr>
            <w:tcW w:w="912" w:type="dxa"/>
            <w:shd w:val="clear" w:color="auto" w:fill="auto"/>
            <w:vAlign w:val="bottom"/>
          </w:tcPr>
          <w:p w14:paraId="4916041C" w14:textId="10B9817F" w:rsidR="00224102" w:rsidRPr="007A4AE1" w:rsidRDefault="00224102" w:rsidP="00224102">
            <w:pPr>
              <w:jc w:val="right"/>
              <w:rPr>
                <w:sz w:val="16"/>
                <w:szCs w:val="16"/>
              </w:rPr>
            </w:pPr>
            <w:r w:rsidRPr="007A4AE1">
              <w:rPr>
                <w:sz w:val="16"/>
                <w:szCs w:val="16"/>
              </w:rPr>
              <w:t>-</w:t>
            </w:r>
          </w:p>
        </w:tc>
        <w:tc>
          <w:tcPr>
            <w:tcW w:w="919" w:type="dxa"/>
            <w:shd w:val="clear" w:color="auto" w:fill="auto"/>
            <w:vAlign w:val="bottom"/>
          </w:tcPr>
          <w:p w14:paraId="6CA87D76" w14:textId="042D6439" w:rsidR="00224102" w:rsidRPr="007A4AE1" w:rsidRDefault="00224102" w:rsidP="00224102">
            <w:pPr>
              <w:jc w:val="right"/>
              <w:rPr>
                <w:sz w:val="16"/>
                <w:szCs w:val="16"/>
              </w:rPr>
            </w:pPr>
            <w:r w:rsidRPr="007A4AE1">
              <w:rPr>
                <w:sz w:val="16"/>
                <w:szCs w:val="16"/>
              </w:rPr>
              <w:t>5,683,206</w:t>
            </w:r>
          </w:p>
        </w:tc>
      </w:tr>
      <w:tr w:rsidR="00224102" w:rsidRPr="00604C75" w14:paraId="221D69D8" w14:textId="77777777" w:rsidTr="006145A7">
        <w:trPr>
          <w:trHeight w:val="106"/>
        </w:trPr>
        <w:tc>
          <w:tcPr>
            <w:tcW w:w="2199" w:type="dxa"/>
            <w:vAlign w:val="bottom"/>
          </w:tcPr>
          <w:p w14:paraId="788635F2" w14:textId="77777777" w:rsidR="00224102" w:rsidRPr="007A4AE1" w:rsidRDefault="00224102" w:rsidP="00224102">
            <w:pPr>
              <w:pStyle w:val="xl79"/>
              <w:pBdr>
                <w:left w:val="none" w:sz="0" w:space="0" w:color="auto"/>
                <w:bottom w:val="none" w:sz="0" w:space="0" w:color="auto"/>
                <w:right w:val="none" w:sz="0" w:space="0" w:color="auto"/>
              </w:pBdr>
              <w:spacing w:before="0" w:beforeAutospacing="0" w:after="0" w:afterAutospacing="0"/>
              <w:ind w:left="226"/>
              <w:rPr>
                <w:rFonts w:eastAsia="Times New Roman"/>
                <w:snapToGrid w:val="0"/>
                <w:sz w:val="16"/>
                <w:szCs w:val="16"/>
                <w:lang w:val="en-US"/>
              </w:rPr>
            </w:pPr>
            <w:r w:rsidRPr="007A4AE1">
              <w:rPr>
                <w:rFonts w:eastAsia="Times New Roman"/>
                <w:snapToGrid w:val="0"/>
                <w:sz w:val="16"/>
                <w:szCs w:val="16"/>
                <w:lang w:val="en-US"/>
              </w:rPr>
              <w:t>Funds Borrowed From Other Financial Institutions</w:t>
            </w:r>
          </w:p>
        </w:tc>
        <w:tc>
          <w:tcPr>
            <w:tcW w:w="804" w:type="dxa"/>
            <w:shd w:val="clear" w:color="auto" w:fill="auto"/>
            <w:vAlign w:val="bottom"/>
          </w:tcPr>
          <w:p w14:paraId="4FD06CC4" w14:textId="7FAAA46A" w:rsidR="00224102" w:rsidRPr="007A4AE1" w:rsidRDefault="00224102" w:rsidP="00224102">
            <w:pPr>
              <w:jc w:val="right"/>
              <w:rPr>
                <w:sz w:val="16"/>
                <w:szCs w:val="16"/>
              </w:rPr>
            </w:pPr>
            <w:r w:rsidRPr="007A4AE1">
              <w:rPr>
                <w:sz w:val="16"/>
                <w:szCs w:val="16"/>
              </w:rPr>
              <w:t>-</w:t>
            </w:r>
          </w:p>
        </w:tc>
        <w:tc>
          <w:tcPr>
            <w:tcW w:w="1052" w:type="dxa"/>
            <w:shd w:val="clear" w:color="auto" w:fill="auto"/>
            <w:vAlign w:val="bottom"/>
          </w:tcPr>
          <w:p w14:paraId="09E96BC1" w14:textId="5291723E" w:rsidR="00224102" w:rsidRPr="007A4AE1" w:rsidRDefault="00224102" w:rsidP="00224102">
            <w:pPr>
              <w:jc w:val="right"/>
              <w:rPr>
                <w:sz w:val="16"/>
                <w:szCs w:val="16"/>
              </w:rPr>
            </w:pPr>
            <w:r w:rsidRPr="007A4AE1">
              <w:rPr>
                <w:sz w:val="16"/>
                <w:szCs w:val="16"/>
              </w:rPr>
              <w:t>140,340</w:t>
            </w:r>
          </w:p>
        </w:tc>
        <w:tc>
          <w:tcPr>
            <w:tcW w:w="902" w:type="dxa"/>
            <w:shd w:val="clear" w:color="auto" w:fill="auto"/>
            <w:vAlign w:val="bottom"/>
          </w:tcPr>
          <w:p w14:paraId="5AD788B4" w14:textId="7FC8ECB8" w:rsidR="00224102" w:rsidRPr="007A4AE1" w:rsidRDefault="00224102" w:rsidP="00224102">
            <w:pPr>
              <w:jc w:val="right"/>
              <w:rPr>
                <w:sz w:val="16"/>
                <w:szCs w:val="16"/>
              </w:rPr>
            </w:pPr>
            <w:r w:rsidRPr="007A4AE1">
              <w:rPr>
                <w:sz w:val="16"/>
                <w:szCs w:val="16"/>
              </w:rPr>
              <w:t>502,928</w:t>
            </w:r>
          </w:p>
        </w:tc>
        <w:tc>
          <w:tcPr>
            <w:tcW w:w="901" w:type="dxa"/>
            <w:shd w:val="clear" w:color="auto" w:fill="auto"/>
            <w:vAlign w:val="bottom"/>
          </w:tcPr>
          <w:p w14:paraId="19A44712" w14:textId="3E05AC3F" w:rsidR="00224102" w:rsidRPr="007A4AE1" w:rsidRDefault="00224102" w:rsidP="00224102">
            <w:pPr>
              <w:jc w:val="right"/>
              <w:rPr>
                <w:sz w:val="16"/>
                <w:szCs w:val="16"/>
              </w:rPr>
            </w:pPr>
            <w:r w:rsidRPr="007A4AE1">
              <w:rPr>
                <w:sz w:val="16"/>
                <w:szCs w:val="16"/>
              </w:rPr>
              <w:t>2,388,326</w:t>
            </w:r>
          </w:p>
        </w:tc>
        <w:tc>
          <w:tcPr>
            <w:tcW w:w="939" w:type="dxa"/>
            <w:shd w:val="clear" w:color="auto" w:fill="auto"/>
            <w:vAlign w:val="bottom"/>
          </w:tcPr>
          <w:p w14:paraId="4E4743AC" w14:textId="77C1BE55" w:rsidR="00224102" w:rsidRPr="007A4AE1" w:rsidRDefault="00224102" w:rsidP="00224102">
            <w:pPr>
              <w:jc w:val="right"/>
              <w:rPr>
                <w:sz w:val="16"/>
                <w:szCs w:val="16"/>
              </w:rPr>
            </w:pPr>
            <w:r w:rsidRPr="007A4AE1">
              <w:rPr>
                <w:sz w:val="16"/>
                <w:szCs w:val="16"/>
              </w:rPr>
              <w:t>744,467</w:t>
            </w:r>
          </w:p>
        </w:tc>
        <w:tc>
          <w:tcPr>
            <w:tcW w:w="1098" w:type="dxa"/>
            <w:shd w:val="clear" w:color="auto" w:fill="auto"/>
            <w:vAlign w:val="bottom"/>
          </w:tcPr>
          <w:p w14:paraId="1EFBF7ED" w14:textId="193A7E9A" w:rsidR="00224102" w:rsidRPr="007A4AE1" w:rsidRDefault="00224102" w:rsidP="00224102">
            <w:pPr>
              <w:jc w:val="right"/>
              <w:rPr>
                <w:sz w:val="16"/>
                <w:szCs w:val="16"/>
              </w:rPr>
            </w:pPr>
            <w:r w:rsidRPr="007A4AE1">
              <w:rPr>
                <w:sz w:val="16"/>
                <w:szCs w:val="16"/>
              </w:rPr>
              <w:t>1,253,634</w:t>
            </w:r>
          </w:p>
        </w:tc>
        <w:tc>
          <w:tcPr>
            <w:tcW w:w="912" w:type="dxa"/>
            <w:shd w:val="clear" w:color="auto" w:fill="auto"/>
            <w:vAlign w:val="bottom"/>
          </w:tcPr>
          <w:p w14:paraId="4362FBCA" w14:textId="46F815A3" w:rsidR="00224102" w:rsidRPr="007A4AE1" w:rsidRDefault="00224102" w:rsidP="00224102">
            <w:pPr>
              <w:jc w:val="right"/>
              <w:rPr>
                <w:sz w:val="16"/>
                <w:szCs w:val="16"/>
              </w:rPr>
            </w:pPr>
            <w:r w:rsidRPr="007A4AE1">
              <w:rPr>
                <w:sz w:val="16"/>
                <w:szCs w:val="16"/>
              </w:rPr>
              <w:t>-</w:t>
            </w:r>
          </w:p>
        </w:tc>
        <w:tc>
          <w:tcPr>
            <w:tcW w:w="919" w:type="dxa"/>
            <w:shd w:val="clear" w:color="auto" w:fill="auto"/>
            <w:vAlign w:val="bottom"/>
          </w:tcPr>
          <w:p w14:paraId="4762532B" w14:textId="0DFC9546" w:rsidR="00224102" w:rsidRPr="007A4AE1" w:rsidRDefault="00224102" w:rsidP="00224102">
            <w:pPr>
              <w:jc w:val="right"/>
              <w:rPr>
                <w:sz w:val="16"/>
                <w:szCs w:val="16"/>
              </w:rPr>
            </w:pPr>
            <w:r w:rsidRPr="007A4AE1">
              <w:rPr>
                <w:sz w:val="16"/>
                <w:szCs w:val="16"/>
              </w:rPr>
              <w:t>5,029,695</w:t>
            </w:r>
          </w:p>
        </w:tc>
      </w:tr>
      <w:tr w:rsidR="00224102" w:rsidRPr="00604C75" w14:paraId="08FD1AE7" w14:textId="77777777" w:rsidTr="006145A7">
        <w:trPr>
          <w:trHeight w:val="106"/>
        </w:trPr>
        <w:tc>
          <w:tcPr>
            <w:tcW w:w="2199" w:type="dxa"/>
            <w:vAlign w:val="bottom"/>
          </w:tcPr>
          <w:p w14:paraId="5D725969" w14:textId="77777777" w:rsidR="00224102" w:rsidRPr="007A4AE1" w:rsidRDefault="00224102" w:rsidP="00224102">
            <w:pPr>
              <w:pStyle w:val="xl79"/>
              <w:pBdr>
                <w:left w:val="none" w:sz="0" w:space="0" w:color="auto"/>
                <w:bottom w:val="none" w:sz="0" w:space="0" w:color="auto"/>
                <w:right w:val="none" w:sz="0" w:space="0" w:color="auto"/>
              </w:pBdr>
              <w:spacing w:before="0" w:beforeAutospacing="0" w:after="0" w:afterAutospacing="0"/>
              <w:ind w:left="226"/>
              <w:rPr>
                <w:rFonts w:eastAsia="Times New Roman"/>
                <w:snapToGrid w:val="0"/>
                <w:sz w:val="16"/>
                <w:szCs w:val="16"/>
                <w:lang w:val="en-US"/>
              </w:rPr>
            </w:pPr>
            <w:r w:rsidRPr="007A4AE1">
              <w:rPr>
                <w:rFonts w:eastAsia="Times New Roman"/>
                <w:snapToGrid w:val="0"/>
                <w:sz w:val="16"/>
                <w:szCs w:val="16"/>
                <w:lang w:val="en-US"/>
              </w:rPr>
              <w:t>Money Market Funds</w:t>
            </w:r>
          </w:p>
        </w:tc>
        <w:tc>
          <w:tcPr>
            <w:tcW w:w="804" w:type="dxa"/>
            <w:shd w:val="clear" w:color="auto" w:fill="auto"/>
            <w:vAlign w:val="bottom"/>
          </w:tcPr>
          <w:p w14:paraId="06DCF81A" w14:textId="06E8221C" w:rsidR="00224102" w:rsidRPr="007A4AE1" w:rsidRDefault="00224102" w:rsidP="00224102">
            <w:pPr>
              <w:jc w:val="right"/>
              <w:rPr>
                <w:sz w:val="16"/>
                <w:szCs w:val="16"/>
              </w:rPr>
            </w:pPr>
            <w:r w:rsidRPr="007A4AE1">
              <w:rPr>
                <w:sz w:val="16"/>
                <w:szCs w:val="16"/>
              </w:rPr>
              <w:t>-</w:t>
            </w:r>
          </w:p>
        </w:tc>
        <w:tc>
          <w:tcPr>
            <w:tcW w:w="1052" w:type="dxa"/>
            <w:shd w:val="clear" w:color="auto" w:fill="auto"/>
            <w:vAlign w:val="bottom"/>
          </w:tcPr>
          <w:p w14:paraId="6626A096" w14:textId="1BEEA8A3" w:rsidR="00224102" w:rsidRPr="007A4AE1" w:rsidRDefault="00224102" w:rsidP="00224102">
            <w:pPr>
              <w:jc w:val="right"/>
              <w:rPr>
                <w:sz w:val="16"/>
                <w:szCs w:val="16"/>
              </w:rPr>
            </w:pPr>
            <w:r w:rsidRPr="007A4AE1">
              <w:rPr>
                <w:sz w:val="16"/>
                <w:szCs w:val="16"/>
              </w:rPr>
              <w:t>265,766</w:t>
            </w:r>
          </w:p>
        </w:tc>
        <w:tc>
          <w:tcPr>
            <w:tcW w:w="902" w:type="dxa"/>
            <w:shd w:val="clear" w:color="auto" w:fill="auto"/>
            <w:vAlign w:val="bottom"/>
          </w:tcPr>
          <w:p w14:paraId="72EB7B99" w14:textId="749F8B05" w:rsidR="00224102" w:rsidRPr="007A4AE1" w:rsidRDefault="00224102" w:rsidP="00224102">
            <w:pPr>
              <w:jc w:val="right"/>
              <w:rPr>
                <w:sz w:val="16"/>
                <w:szCs w:val="16"/>
              </w:rPr>
            </w:pPr>
            <w:r w:rsidRPr="007A4AE1">
              <w:rPr>
                <w:sz w:val="16"/>
                <w:szCs w:val="16"/>
              </w:rPr>
              <w:t>93,057</w:t>
            </w:r>
          </w:p>
        </w:tc>
        <w:tc>
          <w:tcPr>
            <w:tcW w:w="901" w:type="dxa"/>
            <w:shd w:val="clear" w:color="auto" w:fill="auto"/>
            <w:vAlign w:val="bottom"/>
          </w:tcPr>
          <w:p w14:paraId="4EF18601" w14:textId="070E0FFC" w:rsidR="00224102" w:rsidRPr="007A4AE1" w:rsidRDefault="00224102" w:rsidP="00224102">
            <w:pPr>
              <w:jc w:val="right"/>
              <w:rPr>
                <w:sz w:val="16"/>
                <w:szCs w:val="16"/>
              </w:rPr>
            </w:pPr>
            <w:r w:rsidRPr="007A4AE1">
              <w:rPr>
                <w:sz w:val="16"/>
                <w:szCs w:val="16"/>
              </w:rPr>
              <w:t>-</w:t>
            </w:r>
          </w:p>
        </w:tc>
        <w:tc>
          <w:tcPr>
            <w:tcW w:w="939" w:type="dxa"/>
            <w:shd w:val="clear" w:color="auto" w:fill="auto"/>
            <w:vAlign w:val="bottom"/>
          </w:tcPr>
          <w:p w14:paraId="22AEC415" w14:textId="15D65D9B" w:rsidR="00224102" w:rsidRPr="007A4AE1" w:rsidRDefault="00224102" w:rsidP="00224102">
            <w:pPr>
              <w:jc w:val="right"/>
              <w:rPr>
                <w:sz w:val="16"/>
                <w:szCs w:val="16"/>
              </w:rPr>
            </w:pPr>
            <w:r w:rsidRPr="007A4AE1">
              <w:rPr>
                <w:sz w:val="16"/>
                <w:szCs w:val="16"/>
              </w:rPr>
              <w:t>-</w:t>
            </w:r>
          </w:p>
        </w:tc>
        <w:tc>
          <w:tcPr>
            <w:tcW w:w="1098" w:type="dxa"/>
            <w:shd w:val="clear" w:color="auto" w:fill="auto"/>
            <w:vAlign w:val="bottom"/>
          </w:tcPr>
          <w:p w14:paraId="25A52CCD" w14:textId="17F667D7" w:rsidR="00224102" w:rsidRPr="007A4AE1" w:rsidRDefault="00224102" w:rsidP="00224102">
            <w:pPr>
              <w:jc w:val="right"/>
              <w:rPr>
                <w:sz w:val="16"/>
                <w:szCs w:val="16"/>
              </w:rPr>
            </w:pPr>
            <w:r w:rsidRPr="007A4AE1">
              <w:rPr>
                <w:sz w:val="16"/>
                <w:szCs w:val="16"/>
              </w:rPr>
              <w:t>-</w:t>
            </w:r>
          </w:p>
        </w:tc>
        <w:tc>
          <w:tcPr>
            <w:tcW w:w="912" w:type="dxa"/>
            <w:shd w:val="clear" w:color="auto" w:fill="auto"/>
            <w:vAlign w:val="bottom"/>
          </w:tcPr>
          <w:p w14:paraId="4CB47FC6" w14:textId="3A8A7046" w:rsidR="00224102" w:rsidRPr="007A4AE1" w:rsidRDefault="00224102" w:rsidP="00224102">
            <w:pPr>
              <w:jc w:val="right"/>
              <w:rPr>
                <w:sz w:val="16"/>
                <w:szCs w:val="16"/>
              </w:rPr>
            </w:pPr>
            <w:r w:rsidRPr="007A4AE1">
              <w:rPr>
                <w:sz w:val="16"/>
                <w:szCs w:val="16"/>
              </w:rPr>
              <w:t>-</w:t>
            </w:r>
          </w:p>
        </w:tc>
        <w:tc>
          <w:tcPr>
            <w:tcW w:w="919" w:type="dxa"/>
            <w:shd w:val="clear" w:color="auto" w:fill="auto"/>
            <w:vAlign w:val="bottom"/>
          </w:tcPr>
          <w:p w14:paraId="4396BDD3" w14:textId="2387A321" w:rsidR="00224102" w:rsidRPr="007A4AE1" w:rsidRDefault="00224102" w:rsidP="00224102">
            <w:pPr>
              <w:jc w:val="right"/>
              <w:rPr>
                <w:sz w:val="16"/>
                <w:szCs w:val="16"/>
              </w:rPr>
            </w:pPr>
            <w:r w:rsidRPr="007A4AE1">
              <w:rPr>
                <w:sz w:val="16"/>
                <w:szCs w:val="16"/>
              </w:rPr>
              <w:t>358,823</w:t>
            </w:r>
          </w:p>
        </w:tc>
      </w:tr>
      <w:tr w:rsidR="00224102" w:rsidRPr="00604C75" w14:paraId="1979B5FA" w14:textId="77777777" w:rsidTr="006145A7">
        <w:trPr>
          <w:trHeight w:val="106"/>
        </w:trPr>
        <w:tc>
          <w:tcPr>
            <w:tcW w:w="2199" w:type="dxa"/>
            <w:vAlign w:val="bottom"/>
          </w:tcPr>
          <w:p w14:paraId="70FDBBD3" w14:textId="77777777" w:rsidR="00224102" w:rsidRPr="007A4AE1" w:rsidRDefault="00224102" w:rsidP="00224102">
            <w:pPr>
              <w:ind w:left="226"/>
              <w:rPr>
                <w:snapToGrid w:val="0"/>
                <w:sz w:val="16"/>
                <w:szCs w:val="16"/>
              </w:rPr>
            </w:pPr>
            <w:r w:rsidRPr="007A4AE1">
              <w:rPr>
                <w:snapToGrid w:val="0"/>
                <w:sz w:val="16"/>
                <w:szCs w:val="16"/>
              </w:rPr>
              <w:t>Marketable Securities Issued</w:t>
            </w:r>
          </w:p>
        </w:tc>
        <w:tc>
          <w:tcPr>
            <w:tcW w:w="804" w:type="dxa"/>
            <w:shd w:val="clear" w:color="auto" w:fill="auto"/>
            <w:vAlign w:val="bottom"/>
          </w:tcPr>
          <w:p w14:paraId="511B786D" w14:textId="394DDFB1" w:rsidR="00224102" w:rsidRPr="007A4AE1" w:rsidRDefault="00224102" w:rsidP="00224102">
            <w:pPr>
              <w:jc w:val="right"/>
              <w:rPr>
                <w:sz w:val="16"/>
                <w:szCs w:val="16"/>
              </w:rPr>
            </w:pPr>
            <w:r w:rsidRPr="007A4AE1">
              <w:rPr>
                <w:sz w:val="16"/>
                <w:szCs w:val="16"/>
              </w:rPr>
              <w:t>-</w:t>
            </w:r>
          </w:p>
        </w:tc>
        <w:tc>
          <w:tcPr>
            <w:tcW w:w="1052" w:type="dxa"/>
            <w:shd w:val="clear" w:color="auto" w:fill="auto"/>
            <w:vAlign w:val="bottom"/>
          </w:tcPr>
          <w:p w14:paraId="25E7C14B" w14:textId="2A3C9239" w:rsidR="00224102" w:rsidRPr="007A4AE1" w:rsidRDefault="00224102" w:rsidP="00224102">
            <w:pPr>
              <w:jc w:val="right"/>
              <w:rPr>
                <w:sz w:val="16"/>
                <w:szCs w:val="16"/>
              </w:rPr>
            </w:pPr>
            <w:r w:rsidRPr="007A4AE1">
              <w:rPr>
                <w:sz w:val="16"/>
                <w:szCs w:val="16"/>
              </w:rPr>
              <w:t>-</w:t>
            </w:r>
          </w:p>
        </w:tc>
        <w:tc>
          <w:tcPr>
            <w:tcW w:w="902" w:type="dxa"/>
            <w:shd w:val="clear" w:color="auto" w:fill="auto"/>
            <w:vAlign w:val="bottom"/>
          </w:tcPr>
          <w:p w14:paraId="46EF2FF7" w14:textId="69F5F21F" w:rsidR="00224102" w:rsidRPr="007A4AE1" w:rsidRDefault="00224102" w:rsidP="00224102">
            <w:pPr>
              <w:jc w:val="right"/>
              <w:rPr>
                <w:sz w:val="16"/>
                <w:szCs w:val="16"/>
              </w:rPr>
            </w:pPr>
            <w:r w:rsidRPr="007A4AE1">
              <w:rPr>
                <w:sz w:val="16"/>
                <w:szCs w:val="16"/>
              </w:rPr>
              <w:t>-</w:t>
            </w:r>
          </w:p>
        </w:tc>
        <w:tc>
          <w:tcPr>
            <w:tcW w:w="901" w:type="dxa"/>
            <w:shd w:val="clear" w:color="auto" w:fill="auto"/>
            <w:vAlign w:val="bottom"/>
          </w:tcPr>
          <w:p w14:paraId="610FE8C6" w14:textId="600D3975" w:rsidR="00224102" w:rsidRPr="007A4AE1" w:rsidRDefault="00224102" w:rsidP="00224102">
            <w:pPr>
              <w:jc w:val="right"/>
              <w:rPr>
                <w:sz w:val="16"/>
                <w:szCs w:val="16"/>
              </w:rPr>
            </w:pPr>
            <w:r w:rsidRPr="007A4AE1">
              <w:rPr>
                <w:sz w:val="16"/>
                <w:szCs w:val="16"/>
              </w:rPr>
              <w:t>142,088</w:t>
            </w:r>
          </w:p>
        </w:tc>
        <w:tc>
          <w:tcPr>
            <w:tcW w:w="939" w:type="dxa"/>
            <w:shd w:val="clear" w:color="auto" w:fill="auto"/>
            <w:vAlign w:val="bottom"/>
          </w:tcPr>
          <w:p w14:paraId="3A61F029" w14:textId="2D4B8F73" w:rsidR="00224102" w:rsidRPr="007A4AE1" w:rsidRDefault="00224102" w:rsidP="00224102">
            <w:pPr>
              <w:jc w:val="right"/>
              <w:rPr>
                <w:sz w:val="16"/>
                <w:szCs w:val="16"/>
              </w:rPr>
            </w:pPr>
            <w:r w:rsidRPr="007A4AE1">
              <w:rPr>
                <w:sz w:val="16"/>
                <w:szCs w:val="16"/>
              </w:rPr>
              <w:t>735,736</w:t>
            </w:r>
          </w:p>
        </w:tc>
        <w:tc>
          <w:tcPr>
            <w:tcW w:w="1098" w:type="dxa"/>
            <w:shd w:val="clear" w:color="auto" w:fill="auto"/>
            <w:vAlign w:val="bottom"/>
          </w:tcPr>
          <w:p w14:paraId="5A4734E0" w14:textId="76446500" w:rsidR="00224102" w:rsidRPr="007A4AE1" w:rsidRDefault="00224102" w:rsidP="00224102">
            <w:pPr>
              <w:jc w:val="right"/>
              <w:rPr>
                <w:sz w:val="16"/>
                <w:szCs w:val="16"/>
              </w:rPr>
            </w:pPr>
            <w:r w:rsidRPr="007A4AE1">
              <w:rPr>
                <w:sz w:val="16"/>
                <w:szCs w:val="16"/>
              </w:rPr>
              <w:t>-</w:t>
            </w:r>
          </w:p>
        </w:tc>
        <w:tc>
          <w:tcPr>
            <w:tcW w:w="912" w:type="dxa"/>
            <w:shd w:val="clear" w:color="auto" w:fill="auto"/>
            <w:vAlign w:val="bottom"/>
          </w:tcPr>
          <w:p w14:paraId="78C4695C" w14:textId="0DDEDA02" w:rsidR="00224102" w:rsidRPr="007A4AE1" w:rsidRDefault="00224102" w:rsidP="00224102">
            <w:pPr>
              <w:jc w:val="right"/>
              <w:rPr>
                <w:sz w:val="16"/>
                <w:szCs w:val="16"/>
              </w:rPr>
            </w:pPr>
            <w:r w:rsidRPr="007A4AE1">
              <w:rPr>
                <w:sz w:val="16"/>
                <w:szCs w:val="16"/>
              </w:rPr>
              <w:t>-</w:t>
            </w:r>
          </w:p>
        </w:tc>
        <w:tc>
          <w:tcPr>
            <w:tcW w:w="919" w:type="dxa"/>
            <w:shd w:val="clear" w:color="auto" w:fill="auto"/>
            <w:vAlign w:val="bottom"/>
          </w:tcPr>
          <w:p w14:paraId="220AF585" w14:textId="6FB58FAB" w:rsidR="00224102" w:rsidRPr="007A4AE1" w:rsidRDefault="00224102" w:rsidP="00224102">
            <w:pPr>
              <w:jc w:val="right"/>
              <w:rPr>
                <w:sz w:val="16"/>
                <w:szCs w:val="16"/>
              </w:rPr>
            </w:pPr>
            <w:r w:rsidRPr="007A4AE1">
              <w:rPr>
                <w:sz w:val="16"/>
                <w:szCs w:val="16"/>
              </w:rPr>
              <w:t>877,824</w:t>
            </w:r>
          </w:p>
        </w:tc>
      </w:tr>
      <w:tr w:rsidR="00224102" w:rsidRPr="00604C75" w14:paraId="7747B95A" w14:textId="77777777" w:rsidTr="006145A7">
        <w:trPr>
          <w:trHeight w:val="106"/>
        </w:trPr>
        <w:tc>
          <w:tcPr>
            <w:tcW w:w="2199" w:type="dxa"/>
            <w:vAlign w:val="bottom"/>
          </w:tcPr>
          <w:p w14:paraId="6D46F64F" w14:textId="77777777" w:rsidR="00224102" w:rsidRPr="007A4AE1" w:rsidRDefault="00224102" w:rsidP="00224102">
            <w:pPr>
              <w:ind w:left="226"/>
              <w:rPr>
                <w:snapToGrid w:val="0"/>
                <w:sz w:val="16"/>
                <w:szCs w:val="16"/>
              </w:rPr>
            </w:pPr>
            <w:r w:rsidRPr="007A4AE1">
              <w:rPr>
                <w:snapToGrid w:val="0"/>
                <w:sz w:val="16"/>
                <w:szCs w:val="16"/>
              </w:rPr>
              <w:t>Miscellaneous Payables</w:t>
            </w:r>
          </w:p>
        </w:tc>
        <w:tc>
          <w:tcPr>
            <w:tcW w:w="804" w:type="dxa"/>
            <w:shd w:val="clear" w:color="auto" w:fill="auto"/>
            <w:vAlign w:val="bottom"/>
          </w:tcPr>
          <w:p w14:paraId="56642145" w14:textId="24DC4AA8" w:rsidR="00224102" w:rsidRPr="007A4AE1" w:rsidRDefault="00224102" w:rsidP="00224102">
            <w:pPr>
              <w:jc w:val="right"/>
              <w:rPr>
                <w:sz w:val="16"/>
                <w:szCs w:val="16"/>
              </w:rPr>
            </w:pPr>
            <w:r w:rsidRPr="007A4AE1">
              <w:rPr>
                <w:sz w:val="16"/>
                <w:szCs w:val="16"/>
              </w:rPr>
              <w:t>-</w:t>
            </w:r>
          </w:p>
        </w:tc>
        <w:tc>
          <w:tcPr>
            <w:tcW w:w="1052" w:type="dxa"/>
            <w:shd w:val="clear" w:color="auto" w:fill="auto"/>
            <w:vAlign w:val="bottom"/>
          </w:tcPr>
          <w:p w14:paraId="5A5D358C" w14:textId="6507B55D" w:rsidR="00224102" w:rsidRPr="007A4AE1" w:rsidRDefault="00224102" w:rsidP="00224102">
            <w:pPr>
              <w:jc w:val="right"/>
              <w:rPr>
                <w:sz w:val="16"/>
                <w:szCs w:val="16"/>
              </w:rPr>
            </w:pPr>
            <w:r w:rsidRPr="007A4AE1">
              <w:rPr>
                <w:sz w:val="16"/>
                <w:szCs w:val="16"/>
              </w:rPr>
              <w:t>13,860</w:t>
            </w:r>
          </w:p>
        </w:tc>
        <w:tc>
          <w:tcPr>
            <w:tcW w:w="902" w:type="dxa"/>
            <w:shd w:val="clear" w:color="auto" w:fill="auto"/>
            <w:vAlign w:val="bottom"/>
          </w:tcPr>
          <w:p w14:paraId="44DC21C3" w14:textId="014095CE" w:rsidR="00224102" w:rsidRPr="007A4AE1" w:rsidRDefault="00224102" w:rsidP="00224102">
            <w:pPr>
              <w:jc w:val="right"/>
              <w:rPr>
                <w:sz w:val="16"/>
                <w:szCs w:val="16"/>
              </w:rPr>
            </w:pPr>
            <w:r w:rsidRPr="007A4AE1">
              <w:rPr>
                <w:sz w:val="16"/>
                <w:szCs w:val="16"/>
              </w:rPr>
              <w:t>-</w:t>
            </w:r>
          </w:p>
        </w:tc>
        <w:tc>
          <w:tcPr>
            <w:tcW w:w="901" w:type="dxa"/>
            <w:shd w:val="clear" w:color="auto" w:fill="auto"/>
            <w:vAlign w:val="bottom"/>
          </w:tcPr>
          <w:p w14:paraId="4C0810E1" w14:textId="434C7865" w:rsidR="00224102" w:rsidRPr="007A4AE1" w:rsidRDefault="00224102" w:rsidP="00224102">
            <w:pPr>
              <w:jc w:val="right"/>
              <w:rPr>
                <w:sz w:val="16"/>
                <w:szCs w:val="16"/>
              </w:rPr>
            </w:pPr>
            <w:r w:rsidRPr="007A4AE1">
              <w:rPr>
                <w:sz w:val="16"/>
                <w:szCs w:val="16"/>
              </w:rPr>
              <w:t>-</w:t>
            </w:r>
          </w:p>
        </w:tc>
        <w:tc>
          <w:tcPr>
            <w:tcW w:w="939" w:type="dxa"/>
            <w:shd w:val="clear" w:color="auto" w:fill="auto"/>
            <w:vAlign w:val="bottom"/>
          </w:tcPr>
          <w:p w14:paraId="6C7C55D0" w14:textId="6FC78201" w:rsidR="00224102" w:rsidRPr="007A4AE1" w:rsidRDefault="00224102" w:rsidP="00224102">
            <w:pPr>
              <w:jc w:val="right"/>
              <w:rPr>
                <w:sz w:val="16"/>
                <w:szCs w:val="16"/>
              </w:rPr>
            </w:pPr>
            <w:r w:rsidRPr="007A4AE1">
              <w:rPr>
                <w:sz w:val="16"/>
                <w:szCs w:val="16"/>
              </w:rPr>
              <w:t>-</w:t>
            </w:r>
          </w:p>
        </w:tc>
        <w:tc>
          <w:tcPr>
            <w:tcW w:w="1098" w:type="dxa"/>
            <w:shd w:val="clear" w:color="auto" w:fill="auto"/>
            <w:vAlign w:val="bottom"/>
          </w:tcPr>
          <w:p w14:paraId="78F4F0BD" w14:textId="6E3AF749" w:rsidR="00224102" w:rsidRPr="007A4AE1" w:rsidRDefault="00224102" w:rsidP="00224102">
            <w:pPr>
              <w:jc w:val="right"/>
              <w:rPr>
                <w:sz w:val="16"/>
                <w:szCs w:val="16"/>
              </w:rPr>
            </w:pPr>
            <w:r w:rsidRPr="007A4AE1">
              <w:rPr>
                <w:sz w:val="16"/>
                <w:szCs w:val="16"/>
              </w:rPr>
              <w:t>-</w:t>
            </w:r>
          </w:p>
        </w:tc>
        <w:tc>
          <w:tcPr>
            <w:tcW w:w="912" w:type="dxa"/>
            <w:shd w:val="clear" w:color="auto" w:fill="auto"/>
            <w:vAlign w:val="bottom"/>
          </w:tcPr>
          <w:p w14:paraId="67C47D51" w14:textId="597E7F70" w:rsidR="00224102" w:rsidRPr="007A4AE1" w:rsidRDefault="00224102" w:rsidP="00224102">
            <w:pPr>
              <w:jc w:val="right"/>
              <w:rPr>
                <w:sz w:val="16"/>
                <w:szCs w:val="16"/>
              </w:rPr>
            </w:pPr>
            <w:r w:rsidRPr="007A4AE1">
              <w:rPr>
                <w:sz w:val="16"/>
                <w:szCs w:val="16"/>
              </w:rPr>
              <w:t>205,588</w:t>
            </w:r>
          </w:p>
        </w:tc>
        <w:tc>
          <w:tcPr>
            <w:tcW w:w="919" w:type="dxa"/>
            <w:shd w:val="clear" w:color="auto" w:fill="auto"/>
            <w:vAlign w:val="bottom"/>
          </w:tcPr>
          <w:p w14:paraId="78087399" w14:textId="48248E41" w:rsidR="00224102" w:rsidRPr="007A4AE1" w:rsidRDefault="00224102" w:rsidP="00224102">
            <w:pPr>
              <w:jc w:val="right"/>
              <w:rPr>
                <w:sz w:val="16"/>
                <w:szCs w:val="16"/>
              </w:rPr>
            </w:pPr>
            <w:r w:rsidRPr="007A4AE1">
              <w:rPr>
                <w:sz w:val="16"/>
                <w:szCs w:val="16"/>
              </w:rPr>
              <w:t>219,448</w:t>
            </w:r>
          </w:p>
        </w:tc>
      </w:tr>
      <w:tr w:rsidR="00224102" w:rsidRPr="00604C75" w14:paraId="4F985773" w14:textId="77777777" w:rsidTr="006145A7">
        <w:trPr>
          <w:trHeight w:val="106"/>
        </w:trPr>
        <w:tc>
          <w:tcPr>
            <w:tcW w:w="2199" w:type="dxa"/>
            <w:vAlign w:val="bottom"/>
          </w:tcPr>
          <w:p w14:paraId="159EACCE" w14:textId="656D420B" w:rsidR="00224102" w:rsidRPr="007A4AE1" w:rsidRDefault="00224102" w:rsidP="00224102">
            <w:pPr>
              <w:ind w:left="226"/>
              <w:rPr>
                <w:snapToGrid w:val="0"/>
                <w:sz w:val="16"/>
                <w:szCs w:val="16"/>
              </w:rPr>
            </w:pPr>
            <w:r w:rsidRPr="007A4AE1">
              <w:rPr>
                <w:snapToGrid w:val="0"/>
                <w:sz w:val="16"/>
                <w:szCs w:val="16"/>
              </w:rPr>
              <w:t>Other Liabilities (*</w:t>
            </w:r>
            <w:r w:rsidR="00306B8C">
              <w:rPr>
                <w:snapToGrid w:val="0"/>
                <w:sz w:val="16"/>
                <w:szCs w:val="16"/>
              </w:rPr>
              <w:t>**</w:t>
            </w:r>
            <w:r w:rsidRPr="007A4AE1">
              <w:rPr>
                <w:snapToGrid w:val="0"/>
                <w:sz w:val="16"/>
                <w:szCs w:val="16"/>
              </w:rPr>
              <w:t>*)</w:t>
            </w:r>
          </w:p>
        </w:tc>
        <w:tc>
          <w:tcPr>
            <w:tcW w:w="804" w:type="dxa"/>
            <w:shd w:val="clear" w:color="auto" w:fill="auto"/>
            <w:vAlign w:val="bottom"/>
          </w:tcPr>
          <w:p w14:paraId="03581F1A" w14:textId="5DC589A7" w:rsidR="00224102" w:rsidRPr="007A4AE1" w:rsidRDefault="00224102" w:rsidP="00224102">
            <w:pPr>
              <w:jc w:val="right"/>
              <w:rPr>
                <w:sz w:val="16"/>
                <w:szCs w:val="16"/>
              </w:rPr>
            </w:pPr>
            <w:r w:rsidRPr="007A4AE1">
              <w:rPr>
                <w:sz w:val="16"/>
                <w:szCs w:val="16"/>
              </w:rPr>
              <w:t>2,296</w:t>
            </w:r>
          </w:p>
        </w:tc>
        <w:tc>
          <w:tcPr>
            <w:tcW w:w="1052" w:type="dxa"/>
            <w:shd w:val="clear" w:color="auto" w:fill="auto"/>
            <w:vAlign w:val="bottom"/>
          </w:tcPr>
          <w:p w14:paraId="66ADC7C3" w14:textId="440CE1A6" w:rsidR="00224102" w:rsidRPr="007A4AE1" w:rsidRDefault="00224102" w:rsidP="00224102">
            <w:pPr>
              <w:jc w:val="right"/>
              <w:rPr>
                <w:sz w:val="16"/>
                <w:szCs w:val="16"/>
              </w:rPr>
            </w:pPr>
            <w:r w:rsidRPr="007A4AE1">
              <w:rPr>
                <w:sz w:val="16"/>
                <w:szCs w:val="16"/>
              </w:rPr>
              <w:t>144,766</w:t>
            </w:r>
          </w:p>
        </w:tc>
        <w:tc>
          <w:tcPr>
            <w:tcW w:w="902" w:type="dxa"/>
            <w:shd w:val="clear" w:color="auto" w:fill="auto"/>
            <w:vAlign w:val="bottom"/>
          </w:tcPr>
          <w:p w14:paraId="33D58132" w14:textId="6137D121" w:rsidR="00224102" w:rsidRPr="007A4AE1" w:rsidRDefault="00224102" w:rsidP="00224102">
            <w:pPr>
              <w:jc w:val="right"/>
              <w:rPr>
                <w:sz w:val="16"/>
                <w:szCs w:val="16"/>
              </w:rPr>
            </w:pPr>
            <w:r w:rsidRPr="007A4AE1">
              <w:rPr>
                <w:sz w:val="16"/>
                <w:szCs w:val="16"/>
              </w:rPr>
              <w:t>2,155</w:t>
            </w:r>
          </w:p>
        </w:tc>
        <w:tc>
          <w:tcPr>
            <w:tcW w:w="901" w:type="dxa"/>
            <w:shd w:val="clear" w:color="auto" w:fill="auto"/>
            <w:vAlign w:val="bottom"/>
          </w:tcPr>
          <w:p w14:paraId="20CA3096" w14:textId="0EF96247" w:rsidR="00224102" w:rsidRPr="007A4AE1" w:rsidRDefault="00224102" w:rsidP="00224102">
            <w:pPr>
              <w:jc w:val="right"/>
              <w:rPr>
                <w:sz w:val="16"/>
                <w:szCs w:val="16"/>
              </w:rPr>
            </w:pPr>
            <w:r w:rsidRPr="007A4AE1">
              <w:rPr>
                <w:sz w:val="16"/>
                <w:szCs w:val="16"/>
              </w:rPr>
              <w:t>3,593</w:t>
            </w:r>
          </w:p>
        </w:tc>
        <w:tc>
          <w:tcPr>
            <w:tcW w:w="939" w:type="dxa"/>
            <w:shd w:val="clear" w:color="auto" w:fill="auto"/>
            <w:vAlign w:val="bottom"/>
          </w:tcPr>
          <w:p w14:paraId="07B6A0AB" w14:textId="64C68B34" w:rsidR="00224102" w:rsidRPr="007A4AE1" w:rsidRDefault="00224102" w:rsidP="00224102">
            <w:pPr>
              <w:jc w:val="right"/>
              <w:rPr>
                <w:sz w:val="16"/>
                <w:szCs w:val="16"/>
              </w:rPr>
            </w:pPr>
            <w:r w:rsidRPr="007A4AE1">
              <w:rPr>
                <w:sz w:val="16"/>
                <w:szCs w:val="16"/>
              </w:rPr>
              <w:t>115</w:t>
            </w:r>
          </w:p>
        </w:tc>
        <w:tc>
          <w:tcPr>
            <w:tcW w:w="1098" w:type="dxa"/>
            <w:shd w:val="clear" w:color="auto" w:fill="auto"/>
            <w:vAlign w:val="bottom"/>
          </w:tcPr>
          <w:p w14:paraId="043E801D" w14:textId="7039D849" w:rsidR="00224102" w:rsidRPr="007A4AE1" w:rsidRDefault="00224102" w:rsidP="00224102">
            <w:pPr>
              <w:jc w:val="right"/>
              <w:rPr>
                <w:sz w:val="16"/>
                <w:szCs w:val="16"/>
              </w:rPr>
            </w:pPr>
            <w:r w:rsidRPr="007A4AE1">
              <w:rPr>
                <w:sz w:val="16"/>
                <w:szCs w:val="16"/>
              </w:rPr>
              <w:t>-</w:t>
            </w:r>
          </w:p>
        </w:tc>
        <w:tc>
          <w:tcPr>
            <w:tcW w:w="912" w:type="dxa"/>
            <w:shd w:val="clear" w:color="auto" w:fill="auto"/>
            <w:vAlign w:val="bottom"/>
          </w:tcPr>
          <w:p w14:paraId="6CC590A7" w14:textId="799F9B7C" w:rsidR="00224102" w:rsidRPr="007A4AE1" w:rsidRDefault="00224102" w:rsidP="00224102">
            <w:pPr>
              <w:jc w:val="right"/>
              <w:rPr>
                <w:sz w:val="16"/>
                <w:szCs w:val="16"/>
              </w:rPr>
            </w:pPr>
            <w:r w:rsidRPr="007A4AE1">
              <w:rPr>
                <w:sz w:val="16"/>
                <w:szCs w:val="16"/>
              </w:rPr>
              <w:t>1,187,625</w:t>
            </w:r>
          </w:p>
        </w:tc>
        <w:tc>
          <w:tcPr>
            <w:tcW w:w="919" w:type="dxa"/>
            <w:shd w:val="clear" w:color="auto" w:fill="auto"/>
            <w:vAlign w:val="bottom"/>
          </w:tcPr>
          <w:p w14:paraId="724B58BE" w14:textId="1FEE6BAB" w:rsidR="00224102" w:rsidRPr="007A4AE1" w:rsidRDefault="00224102" w:rsidP="00224102">
            <w:pPr>
              <w:jc w:val="right"/>
              <w:rPr>
                <w:sz w:val="16"/>
                <w:szCs w:val="16"/>
              </w:rPr>
            </w:pPr>
            <w:r w:rsidRPr="007A4AE1">
              <w:rPr>
                <w:sz w:val="16"/>
                <w:szCs w:val="16"/>
              </w:rPr>
              <w:t>1,340,550</w:t>
            </w:r>
          </w:p>
        </w:tc>
      </w:tr>
      <w:tr w:rsidR="00224102" w:rsidRPr="00604C75" w14:paraId="638E5C22" w14:textId="77777777" w:rsidTr="006145A7">
        <w:trPr>
          <w:trHeight w:val="106"/>
        </w:trPr>
        <w:tc>
          <w:tcPr>
            <w:tcW w:w="2199" w:type="dxa"/>
            <w:vAlign w:val="bottom"/>
          </w:tcPr>
          <w:p w14:paraId="225FBC4F" w14:textId="77777777" w:rsidR="00224102" w:rsidRPr="007A4AE1" w:rsidRDefault="00224102" w:rsidP="00224102">
            <w:pPr>
              <w:ind w:left="-2"/>
              <w:rPr>
                <w:b/>
                <w:snapToGrid w:val="0"/>
                <w:sz w:val="16"/>
                <w:szCs w:val="16"/>
              </w:rPr>
            </w:pPr>
            <w:r w:rsidRPr="007A4AE1">
              <w:rPr>
                <w:b/>
                <w:snapToGrid w:val="0"/>
                <w:sz w:val="16"/>
                <w:szCs w:val="16"/>
              </w:rPr>
              <w:t>Total Liabilities</w:t>
            </w:r>
          </w:p>
        </w:tc>
        <w:tc>
          <w:tcPr>
            <w:tcW w:w="804" w:type="dxa"/>
            <w:vAlign w:val="bottom"/>
          </w:tcPr>
          <w:p w14:paraId="4DC7DAE5" w14:textId="190AF5C9" w:rsidR="00224102" w:rsidRPr="007A4AE1" w:rsidRDefault="00224102" w:rsidP="00224102">
            <w:pPr>
              <w:jc w:val="right"/>
              <w:rPr>
                <w:b/>
                <w:sz w:val="16"/>
                <w:szCs w:val="16"/>
              </w:rPr>
            </w:pPr>
            <w:r w:rsidRPr="007A4AE1">
              <w:rPr>
                <w:b/>
                <w:sz w:val="16"/>
                <w:szCs w:val="16"/>
              </w:rPr>
              <w:t>370,072</w:t>
            </w:r>
          </w:p>
        </w:tc>
        <w:tc>
          <w:tcPr>
            <w:tcW w:w="1052" w:type="dxa"/>
            <w:vAlign w:val="bottom"/>
          </w:tcPr>
          <w:p w14:paraId="072565E0" w14:textId="61AE714A" w:rsidR="00224102" w:rsidRPr="007A4AE1" w:rsidRDefault="00224102" w:rsidP="00224102">
            <w:pPr>
              <w:jc w:val="right"/>
              <w:rPr>
                <w:b/>
                <w:sz w:val="16"/>
                <w:szCs w:val="16"/>
              </w:rPr>
            </w:pPr>
            <w:r w:rsidRPr="007A4AE1">
              <w:rPr>
                <w:b/>
                <w:sz w:val="16"/>
                <w:szCs w:val="16"/>
              </w:rPr>
              <w:t>4,809,783</w:t>
            </w:r>
          </w:p>
        </w:tc>
        <w:tc>
          <w:tcPr>
            <w:tcW w:w="902" w:type="dxa"/>
            <w:vAlign w:val="bottom"/>
          </w:tcPr>
          <w:p w14:paraId="40C1FE51" w14:textId="4B6E2D6A" w:rsidR="00224102" w:rsidRPr="007A4AE1" w:rsidRDefault="00224102" w:rsidP="00224102">
            <w:pPr>
              <w:jc w:val="right"/>
              <w:rPr>
                <w:b/>
                <w:sz w:val="16"/>
                <w:szCs w:val="16"/>
              </w:rPr>
            </w:pPr>
            <w:r w:rsidRPr="007A4AE1">
              <w:rPr>
                <w:b/>
                <w:sz w:val="16"/>
                <w:szCs w:val="16"/>
              </w:rPr>
              <w:t>2,093,117</w:t>
            </w:r>
          </w:p>
        </w:tc>
        <w:tc>
          <w:tcPr>
            <w:tcW w:w="901" w:type="dxa"/>
            <w:vAlign w:val="bottom"/>
          </w:tcPr>
          <w:p w14:paraId="6D464F40" w14:textId="59F9625A" w:rsidR="00224102" w:rsidRPr="007A4AE1" w:rsidRDefault="00224102" w:rsidP="00224102">
            <w:pPr>
              <w:jc w:val="right"/>
              <w:rPr>
                <w:b/>
                <w:sz w:val="16"/>
                <w:szCs w:val="16"/>
              </w:rPr>
            </w:pPr>
            <w:r w:rsidRPr="007A4AE1">
              <w:rPr>
                <w:b/>
                <w:sz w:val="16"/>
                <w:szCs w:val="16"/>
              </w:rPr>
              <w:t>2,656,885</w:t>
            </w:r>
          </w:p>
        </w:tc>
        <w:tc>
          <w:tcPr>
            <w:tcW w:w="939" w:type="dxa"/>
            <w:vAlign w:val="bottom"/>
          </w:tcPr>
          <w:p w14:paraId="3D5B44AF" w14:textId="3CDDC699" w:rsidR="00224102" w:rsidRPr="007A4AE1" w:rsidRDefault="00224102" w:rsidP="00224102">
            <w:pPr>
              <w:jc w:val="right"/>
              <w:rPr>
                <w:b/>
                <w:sz w:val="16"/>
                <w:szCs w:val="16"/>
              </w:rPr>
            </w:pPr>
            <w:r w:rsidRPr="007A4AE1">
              <w:rPr>
                <w:b/>
                <w:sz w:val="16"/>
                <w:szCs w:val="16"/>
              </w:rPr>
              <w:t>1,488,119</w:t>
            </w:r>
          </w:p>
        </w:tc>
        <w:tc>
          <w:tcPr>
            <w:tcW w:w="1098" w:type="dxa"/>
            <w:vAlign w:val="bottom"/>
          </w:tcPr>
          <w:p w14:paraId="7166BFEB" w14:textId="03CCDABE" w:rsidR="00224102" w:rsidRPr="007A4AE1" w:rsidRDefault="00224102" w:rsidP="00224102">
            <w:pPr>
              <w:jc w:val="right"/>
              <w:rPr>
                <w:b/>
                <w:sz w:val="16"/>
                <w:szCs w:val="16"/>
              </w:rPr>
            </w:pPr>
            <w:r w:rsidRPr="007A4AE1">
              <w:rPr>
                <w:b/>
                <w:sz w:val="16"/>
                <w:szCs w:val="16"/>
              </w:rPr>
              <w:t>1,253,634</w:t>
            </w:r>
          </w:p>
        </w:tc>
        <w:tc>
          <w:tcPr>
            <w:tcW w:w="912" w:type="dxa"/>
            <w:vAlign w:val="bottom"/>
          </w:tcPr>
          <w:p w14:paraId="0DDD8C1E" w14:textId="722CFFC7" w:rsidR="00224102" w:rsidRPr="007A4AE1" w:rsidRDefault="00224102" w:rsidP="00224102">
            <w:pPr>
              <w:jc w:val="right"/>
              <w:rPr>
                <w:b/>
                <w:sz w:val="16"/>
                <w:szCs w:val="16"/>
              </w:rPr>
            </w:pPr>
            <w:r w:rsidRPr="007A4AE1">
              <w:rPr>
                <w:b/>
                <w:sz w:val="16"/>
                <w:szCs w:val="16"/>
              </w:rPr>
              <w:t>1,393,213</w:t>
            </w:r>
          </w:p>
        </w:tc>
        <w:tc>
          <w:tcPr>
            <w:tcW w:w="919" w:type="dxa"/>
            <w:vAlign w:val="bottom"/>
          </w:tcPr>
          <w:p w14:paraId="07550430" w14:textId="6F2D0C06" w:rsidR="00224102" w:rsidRPr="007A4AE1" w:rsidRDefault="00224102" w:rsidP="00224102">
            <w:pPr>
              <w:jc w:val="right"/>
              <w:rPr>
                <w:b/>
                <w:sz w:val="16"/>
                <w:szCs w:val="16"/>
              </w:rPr>
            </w:pPr>
            <w:r w:rsidRPr="007A4AE1">
              <w:rPr>
                <w:b/>
                <w:sz w:val="16"/>
                <w:szCs w:val="16"/>
              </w:rPr>
              <w:t>14,064,823</w:t>
            </w:r>
          </w:p>
        </w:tc>
      </w:tr>
      <w:tr w:rsidR="00224102" w:rsidRPr="00604C75" w14:paraId="770193E4" w14:textId="77777777" w:rsidTr="006145A7">
        <w:trPr>
          <w:trHeight w:val="106"/>
        </w:trPr>
        <w:tc>
          <w:tcPr>
            <w:tcW w:w="2199" w:type="dxa"/>
            <w:vAlign w:val="bottom"/>
          </w:tcPr>
          <w:p w14:paraId="6771751E" w14:textId="77777777" w:rsidR="00224102" w:rsidRPr="007A4AE1" w:rsidRDefault="00224102" w:rsidP="00224102">
            <w:pPr>
              <w:ind w:left="-2"/>
              <w:rPr>
                <w:snapToGrid w:val="0"/>
                <w:sz w:val="16"/>
                <w:szCs w:val="16"/>
              </w:rPr>
            </w:pPr>
          </w:p>
        </w:tc>
        <w:tc>
          <w:tcPr>
            <w:tcW w:w="804" w:type="dxa"/>
            <w:vAlign w:val="bottom"/>
          </w:tcPr>
          <w:p w14:paraId="06A6E7E7" w14:textId="77777777" w:rsidR="00224102" w:rsidRPr="007A4AE1" w:rsidRDefault="00224102" w:rsidP="00224102">
            <w:pPr>
              <w:ind w:right="34"/>
              <w:jc w:val="right"/>
              <w:rPr>
                <w:b/>
                <w:sz w:val="16"/>
                <w:szCs w:val="16"/>
              </w:rPr>
            </w:pPr>
          </w:p>
        </w:tc>
        <w:tc>
          <w:tcPr>
            <w:tcW w:w="1052" w:type="dxa"/>
            <w:vAlign w:val="bottom"/>
          </w:tcPr>
          <w:p w14:paraId="4C1B40E4" w14:textId="77777777" w:rsidR="00224102" w:rsidRPr="007A4AE1" w:rsidRDefault="00224102" w:rsidP="00224102">
            <w:pPr>
              <w:ind w:right="34"/>
              <w:jc w:val="right"/>
              <w:rPr>
                <w:b/>
                <w:sz w:val="16"/>
                <w:szCs w:val="16"/>
              </w:rPr>
            </w:pPr>
          </w:p>
        </w:tc>
        <w:tc>
          <w:tcPr>
            <w:tcW w:w="902" w:type="dxa"/>
            <w:vAlign w:val="bottom"/>
          </w:tcPr>
          <w:p w14:paraId="4C95389A" w14:textId="77777777" w:rsidR="00224102" w:rsidRPr="007A4AE1" w:rsidRDefault="00224102" w:rsidP="00224102">
            <w:pPr>
              <w:ind w:right="34"/>
              <w:jc w:val="right"/>
              <w:rPr>
                <w:b/>
                <w:sz w:val="16"/>
                <w:szCs w:val="16"/>
              </w:rPr>
            </w:pPr>
          </w:p>
        </w:tc>
        <w:tc>
          <w:tcPr>
            <w:tcW w:w="901" w:type="dxa"/>
            <w:vAlign w:val="bottom"/>
          </w:tcPr>
          <w:p w14:paraId="13A95A9E" w14:textId="77777777" w:rsidR="00224102" w:rsidRPr="007A4AE1" w:rsidRDefault="00224102" w:rsidP="00224102">
            <w:pPr>
              <w:ind w:right="34"/>
              <w:jc w:val="right"/>
              <w:rPr>
                <w:b/>
                <w:sz w:val="16"/>
                <w:szCs w:val="16"/>
              </w:rPr>
            </w:pPr>
          </w:p>
        </w:tc>
        <w:tc>
          <w:tcPr>
            <w:tcW w:w="939" w:type="dxa"/>
            <w:vAlign w:val="bottom"/>
          </w:tcPr>
          <w:p w14:paraId="63061DBD" w14:textId="77777777" w:rsidR="00224102" w:rsidRPr="007A4AE1" w:rsidRDefault="00224102" w:rsidP="00224102">
            <w:pPr>
              <w:ind w:right="34"/>
              <w:jc w:val="right"/>
              <w:rPr>
                <w:b/>
                <w:sz w:val="16"/>
                <w:szCs w:val="16"/>
              </w:rPr>
            </w:pPr>
          </w:p>
        </w:tc>
        <w:tc>
          <w:tcPr>
            <w:tcW w:w="1098" w:type="dxa"/>
            <w:vAlign w:val="bottom"/>
          </w:tcPr>
          <w:p w14:paraId="7CAFBA4B" w14:textId="77777777" w:rsidR="00224102" w:rsidRPr="007A4AE1" w:rsidRDefault="00224102" w:rsidP="00224102">
            <w:pPr>
              <w:ind w:right="34"/>
              <w:jc w:val="right"/>
              <w:rPr>
                <w:b/>
                <w:sz w:val="16"/>
                <w:szCs w:val="16"/>
              </w:rPr>
            </w:pPr>
          </w:p>
        </w:tc>
        <w:tc>
          <w:tcPr>
            <w:tcW w:w="912" w:type="dxa"/>
            <w:vAlign w:val="bottom"/>
          </w:tcPr>
          <w:p w14:paraId="7C8AB8E4" w14:textId="77777777" w:rsidR="00224102" w:rsidRPr="007A4AE1" w:rsidRDefault="00224102" w:rsidP="00224102">
            <w:pPr>
              <w:ind w:right="33"/>
              <w:jc w:val="right"/>
              <w:rPr>
                <w:b/>
                <w:sz w:val="16"/>
                <w:szCs w:val="16"/>
              </w:rPr>
            </w:pPr>
          </w:p>
        </w:tc>
        <w:tc>
          <w:tcPr>
            <w:tcW w:w="919" w:type="dxa"/>
            <w:vAlign w:val="bottom"/>
          </w:tcPr>
          <w:p w14:paraId="70E40786" w14:textId="77777777" w:rsidR="00224102" w:rsidRPr="007A4AE1" w:rsidRDefault="00224102" w:rsidP="00224102">
            <w:pPr>
              <w:ind w:right="34"/>
              <w:jc w:val="right"/>
              <w:rPr>
                <w:b/>
                <w:sz w:val="16"/>
                <w:szCs w:val="16"/>
              </w:rPr>
            </w:pPr>
          </w:p>
        </w:tc>
      </w:tr>
      <w:tr w:rsidR="00224102" w:rsidRPr="00604C75" w14:paraId="6F6275D2" w14:textId="77777777" w:rsidTr="006145A7">
        <w:trPr>
          <w:trHeight w:val="106"/>
        </w:trPr>
        <w:tc>
          <w:tcPr>
            <w:tcW w:w="2199" w:type="dxa"/>
            <w:vAlign w:val="bottom"/>
          </w:tcPr>
          <w:p w14:paraId="1293878B" w14:textId="77777777" w:rsidR="00224102" w:rsidRPr="007A4AE1" w:rsidRDefault="00224102" w:rsidP="00224102">
            <w:pPr>
              <w:ind w:left="-2"/>
              <w:rPr>
                <w:b/>
                <w:bCs/>
                <w:snapToGrid w:val="0"/>
                <w:sz w:val="16"/>
                <w:szCs w:val="16"/>
              </w:rPr>
            </w:pPr>
            <w:r w:rsidRPr="007A4AE1">
              <w:rPr>
                <w:b/>
                <w:bCs/>
                <w:snapToGrid w:val="0"/>
                <w:sz w:val="16"/>
                <w:szCs w:val="16"/>
              </w:rPr>
              <w:t>Liquidity Gap</w:t>
            </w:r>
          </w:p>
        </w:tc>
        <w:tc>
          <w:tcPr>
            <w:tcW w:w="804" w:type="dxa"/>
            <w:vAlign w:val="bottom"/>
          </w:tcPr>
          <w:p w14:paraId="40C3A0C2" w14:textId="7F781C11" w:rsidR="00224102" w:rsidRPr="007A4AE1" w:rsidRDefault="00224102" w:rsidP="00224102">
            <w:pPr>
              <w:jc w:val="right"/>
              <w:rPr>
                <w:b/>
                <w:sz w:val="16"/>
                <w:szCs w:val="16"/>
              </w:rPr>
            </w:pPr>
            <w:r w:rsidRPr="007A4AE1">
              <w:rPr>
                <w:b/>
                <w:sz w:val="16"/>
                <w:szCs w:val="16"/>
              </w:rPr>
              <w:t>(238,647)</w:t>
            </w:r>
          </w:p>
        </w:tc>
        <w:tc>
          <w:tcPr>
            <w:tcW w:w="1052" w:type="dxa"/>
            <w:vAlign w:val="bottom"/>
          </w:tcPr>
          <w:p w14:paraId="2BFB1456" w14:textId="63DF5A6E" w:rsidR="00224102" w:rsidRPr="007A4AE1" w:rsidRDefault="00224102" w:rsidP="00224102">
            <w:pPr>
              <w:jc w:val="right"/>
              <w:rPr>
                <w:b/>
                <w:sz w:val="16"/>
                <w:szCs w:val="16"/>
              </w:rPr>
            </w:pPr>
            <w:r w:rsidRPr="007A4AE1">
              <w:rPr>
                <w:b/>
                <w:sz w:val="16"/>
                <w:szCs w:val="16"/>
              </w:rPr>
              <w:t>(1,286,823)</w:t>
            </w:r>
          </w:p>
        </w:tc>
        <w:tc>
          <w:tcPr>
            <w:tcW w:w="902" w:type="dxa"/>
            <w:vAlign w:val="bottom"/>
          </w:tcPr>
          <w:p w14:paraId="5A47E342" w14:textId="47FB95B8" w:rsidR="00224102" w:rsidRPr="007A4AE1" w:rsidRDefault="00224102" w:rsidP="00224102">
            <w:pPr>
              <w:jc w:val="right"/>
              <w:rPr>
                <w:b/>
                <w:sz w:val="16"/>
                <w:szCs w:val="16"/>
              </w:rPr>
            </w:pPr>
            <w:r w:rsidRPr="007A4AE1">
              <w:rPr>
                <w:b/>
                <w:sz w:val="16"/>
                <w:szCs w:val="16"/>
              </w:rPr>
              <w:t>(1,257,332)</w:t>
            </w:r>
          </w:p>
        </w:tc>
        <w:tc>
          <w:tcPr>
            <w:tcW w:w="901" w:type="dxa"/>
            <w:vAlign w:val="bottom"/>
          </w:tcPr>
          <w:p w14:paraId="12E647C7" w14:textId="64BDABE0" w:rsidR="00224102" w:rsidRPr="007A4AE1" w:rsidRDefault="00224102" w:rsidP="00224102">
            <w:pPr>
              <w:jc w:val="right"/>
              <w:rPr>
                <w:b/>
                <w:sz w:val="16"/>
                <w:szCs w:val="16"/>
              </w:rPr>
            </w:pPr>
            <w:r w:rsidRPr="007A4AE1">
              <w:rPr>
                <w:b/>
                <w:sz w:val="16"/>
                <w:szCs w:val="16"/>
              </w:rPr>
              <w:t>388,152</w:t>
            </w:r>
          </w:p>
        </w:tc>
        <w:tc>
          <w:tcPr>
            <w:tcW w:w="939" w:type="dxa"/>
            <w:vAlign w:val="bottom"/>
          </w:tcPr>
          <w:p w14:paraId="275C46E1" w14:textId="15DE3C0F" w:rsidR="00224102" w:rsidRPr="007A4AE1" w:rsidRDefault="00224102" w:rsidP="00224102">
            <w:pPr>
              <w:jc w:val="right"/>
              <w:rPr>
                <w:b/>
                <w:sz w:val="16"/>
                <w:szCs w:val="16"/>
              </w:rPr>
            </w:pPr>
            <w:r w:rsidRPr="007A4AE1">
              <w:rPr>
                <w:b/>
                <w:sz w:val="16"/>
                <w:szCs w:val="16"/>
              </w:rPr>
              <w:t>2,718,893</w:t>
            </w:r>
          </w:p>
        </w:tc>
        <w:tc>
          <w:tcPr>
            <w:tcW w:w="1098" w:type="dxa"/>
            <w:vAlign w:val="bottom"/>
          </w:tcPr>
          <w:p w14:paraId="1A17F850" w14:textId="299B388A" w:rsidR="00224102" w:rsidRPr="007A4AE1" w:rsidRDefault="00224102" w:rsidP="00224102">
            <w:pPr>
              <w:jc w:val="right"/>
              <w:rPr>
                <w:b/>
                <w:sz w:val="16"/>
                <w:szCs w:val="16"/>
              </w:rPr>
            </w:pPr>
            <w:r w:rsidRPr="007A4AE1">
              <w:rPr>
                <w:b/>
                <w:sz w:val="16"/>
                <w:szCs w:val="16"/>
              </w:rPr>
              <w:t>537,530</w:t>
            </w:r>
          </w:p>
        </w:tc>
        <w:tc>
          <w:tcPr>
            <w:tcW w:w="912" w:type="dxa"/>
            <w:vAlign w:val="bottom"/>
          </w:tcPr>
          <w:p w14:paraId="249DCEFC" w14:textId="779EF34C" w:rsidR="00224102" w:rsidRPr="007A4AE1" w:rsidRDefault="00224102" w:rsidP="00224102">
            <w:pPr>
              <w:jc w:val="right"/>
              <w:rPr>
                <w:b/>
                <w:sz w:val="16"/>
                <w:szCs w:val="16"/>
              </w:rPr>
            </w:pPr>
            <w:r w:rsidRPr="007A4AE1">
              <w:rPr>
                <w:b/>
                <w:sz w:val="16"/>
                <w:szCs w:val="16"/>
              </w:rPr>
              <w:t>(861,773)</w:t>
            </w:r>
          </w:p>
        </w:tc>
        <w:tc>
          <w:tcPr>
            <w:tcW w:w="919" w:type="dxa"/>
            <w:vAlign w:val="bottom"/>
          </w:tcPr>
          <w:p w14:paraId="551A5CAF" w14:textId="201F4B14" w:rsidR="00224102" w:rsidRPr="007A4AE1" w:rsidRDefault="00224102" w:rsidP="00224102">
            <w:pPr>
              <w:jc w:val="right"/>
              <w:rPr>
                <w:b/>
                <w:sz w:val="16"/>
                <w:szCs w:val="16"/>
              </w:rPr>
            </w:pPr>
            <w:r w:rsidRPr="007A4AE1">
              <w:rPr>
                <w:b/>
                <w:sz w:val="16"/>
                <w:szCs w:val="16"/>
              </w:rPr>
              <w:t>-</w:t>
            </w:r>
          </w:p>
        </w:tc>
      </w:tr>
      <w:tr w:rsidR="00224102" w:rsidRPr="00604C75" w14:paraId="541689CF" w14:textId="77777777" w:rsidTr="006145A7">
        <w:trPr>
          <w:trHeight w:val="106"/>
        </w:trPr>
        <w:tc>
          <w:tcPr>
            <w:tcW w:w="2199" w:type="dxa"/>
            <w:vAlign w:val="bottom"/>
          </w:tcPr>
          <w:p w14:paraId="2F4EE7BC" w14:textId="77777777" w:rsidR="00224102" w:rsidRPr="007A4AE1" w:rsidRDefault="00224102" w:rsidP="00224102">
            <w:pPr>
              <w:ind w:left="-2"/>
              <w:rPr>
                <w:snapToGrid w:val="0"/>
                <w:sz w:val="16"/>
                <w:szCs w:val="16"/>
              </w:rPr>
            </w:pPr>
          </w:p>
        </w:tc>
        <w:tc>
          <w:tcPr>
            <w:tcW w:w="804" w:type="dxa"/>
            <w:vAlign w:val="bottom"/>
          </w:tcPr>
          <w:p w14:paraId="011CE740" w14:textId="77777777" w:rsidR="00224102" w:rsidRPr="007A4AE1" w:rsidRDefault="00224102" w:rsidP="00224102">
            <w:pPr>
              <w:ind w:right="34"/>
              <w:jc w:val="right"/>
              <w:rPr>
                <w:sz w:val="16"/>
                <w:szCs w:val="16"/>
              </w:rPr>
            </w:pPr>
          </w:p>
        </w:tc>
        <w:tc>
          <w:tcPr>
            <w:tcW w:w="1052" w:type="dxa"/>
            <w:vAlign w:val="bottom"/>
          </w:tcPr>
          <w:p w14:paraId="4CE02E75" w14:textId="77777777" w:rsidR="00224102" w:rsidRPr="007A4AE1" w:rsidRDefault="00224102" w:rsidP="00224102">
            <w:pPr>
              <w:ind w:right="34"/>
              <w:jc w:val="right"/>
              <w:rPr>
                <w:sz w:val="16"/>
                <w:szCs w:val="16"/>
              </w:rPr>
            </w:pPr>
          </w:p>
        </w:tc>
        <w:tc>
          <w:tcPr>
            <w:tcW w:w="902" w:type="dxa"/>
            <w:vAlign w:val="bottom"/>
          </w:tcPr>
          <w:p w14:paraId="4F631ECA" w14:textId="77777777" w:rsidR="00224102" w:rsidRPr="007A4AE1" w:rsidRDefault="00224102" w:rsidP="00224102">
            <w:pPr>
              <w:ind w:right="34"/>
              <w:jc w:val="right"/>
              <w:rPr>
                <w:sz w:val="16"/>
                <w:szCs w:val="16"/>
              </w:rPr>
            </w:pPr>
          </w:p>
        </w:tc>
        <w:tc>
          <w:tcPr>
            <w:tcW w:w="901" w:type="dxa"/>
            <w:vAlign w:val="bottom"/>
          </w:tcPr>
          <w:p w14:paraId="28A0F9FC" w14:textId="77777777" w:rsidR="00224102" w:rsidRPr="007A4AE1" w:rsidRDefault="00224102" w:rsidP="00224102">
            <w:pPr>
              <w:ind w:right="34"/>
              <w:jc w:val="right"/>
              <w:rPr>
                <w:sz w:val="16"/>
                <w:szCs w:val="16"/>
              </w:rPr>
            </w:pPr>
          </w:p>
        </w:tc>
        <w:tc>
          <w:tcPr>
            <w:tcW w:w="939" w:type="dxa"/>
            <w:vAlign w:val="bottom"/>
          </w:tcPr>
          <w:p w14:paraId="42A300C7" w14:textId="77777777" w:rsidR="00224102" w:rsidRPr="007A4AE1" w:rsidRDefault="00224102" w:rsidP="00224102">
            <w:pPr>
              <w:ind w:right="34"/>
              <w:jc w:val="right"/>
              <w:rPr>
                <w:sz w:val="16"/>
                <w:szCs w:val="16"/>
              </w:rPr>
            </w:pPr>
          </w:p>
        </w:tc>
        <w:tc>
          <w:tcPr>
            <w:tcW w:w="1098" w:type="dxa"/>
            <w:vAlign w:val="bottom"/>
          </w:tcPr>
          <w:p w14:paraId="0261B008" w14:textId="77777777" w:rsidR="00224102" w:rsidRPr="007A4AE1" w:rsidRDefault="00224102" w:rsidP="00224102">
            <w:pPr>
              <w:ind w:right="34"/>
              <w:jc w:val="right"/>
              <w:rPr>
                <w:sz w:val="16"/>
                <w:szCs w:val="16"/>
              </w:rPr>
            </w:pPr>
          </w:p>
        </w:tc>
        <w:tc>
          <w:tcPr>
            <w:tcW w:w="912" w:type="dxa"/>
            <w:vAlign w:val="bottom"/>
          </w:tcPr>
          <w:p w14:paraId="78AADF4C" w14:textId="77777777" w:rsidR="00224102" w:rsidRPr="007A4AE1" w:rsidRDefault="00224102" w:rsidP="00224102">
            <w:pPr>
              <w:ind w:right="33"/>
              <w:jc w:val="right"/>
              <w:rPr>
                <w:sz w:val="16"/>
                <w:szCs w:val="16"/>
              </w:rPr>
            </w:pPr>
          </w:p>
        </w:tc>
        <w:tc>
          <w:tcPr>
            <w:tcW w:w="919" w:type="dxa"/>
            <w:vAlign w:val="bottom"/>
          </w:tcPr>
          <w:p w14:paraId="4E454FE3" w14:textId="77777777" w:rsidR="00224102" w:rsidRPr="007A4AE1" w:rsidRDefault="00224102" w:rsidP="00224102">
            <w:pPr>
              <w:ind w:right="34"/>
              <w:jc w:val="right"/>
              <w:rPr>
                <w:b/>
                <w:sz w:val="16"/>
                <w:szCs w:val="16"/>
              </w:rPr>
            </w:pPr>
          </w:p>
        </w:tc>
      </w:tr>
      <w:tr w:rsidR="00224102" w:rsidRPr="00604C75" w14:paraId="7DF24124" w14:textId="77777777" w:rsidTr="006145A7">
        <w:trPr>
          <w:trHeight w:val="106"/>
        </w:trPr>
        <w:tc>
          <w:tcPr>
            <w:tcW w:w="2199" w:type="dxa"/>
            <w:vAlign w:val="bottom"/>
          </w:tcPr>
          <w:p w14:paraId="7FB1BBF0" w14:textId="77777777" w:rsidR="00224102" w:rsidRPr="007A4AE1" w:rsidRDefault="00224102" w:rsidP="00224102">
            <w:pPr>
              <w:pStyle w:val="Heading5"/>
              <w:ind w:left="-2"/>
              <w:rPr>
                <w:rFonts w:ascii="Times New Roman" w:hAnsi="Times New Roman"/>
                <w:sz w:val="16"/>
                <w:szCs w:val="16"/>
              </w:rPr>
            </w:pPr>
            <w:r w:rsidRPr="007A4AE1">
              <w:rPr>
                <w:rFonts w:ascii="Times New Roman" w:hAnsi="Times New Roman"/>
                <w:sz w:val="16"/>
                <w:szCs w:val="16"/>
              </w:rPr>
              <w:t>31 December 2014</w:t>
            </w:r>
          </w:p>
        </w:tc>
        <w:tc>
          <w:tcPr>
            <w:tcW w:w="804" w:type="dxa"/>
            <w:vAlign w:val="bottom"/>
          </w:tcPr>
          <w:p w14:paraId="6083DC0C" w14:textId="77777777" w:rsidR="00224102" w:rsidRPr="007A4AE1" w:rsidRDefault="00224102" w:rsidP="00224102">
            <w:pPr>
              <w:ind w:right="34"/>
              <w:jc w:val="right"/>
              <w:rPr>
                <w:sz w:val="16"/>
                <w:szCs w:val="16"/>
              </w:rPr>
            </w:pPr>
          </w:p>
        </w:tc>
        <w:tc>
          <w:tcPr>
            <w:tcW w:w="1052" w:type="dxa"/>
            <w:vAlign w:val="bottom"/>
          </w:tcPr>
          <w:p w14:paraId="3D9DADEC" w14:textId="77777777" w:rsidR="00224102" w:rsidRPr="007A4AE1" w:rsidRDefault="00224102" w:rsidP="00224102">
            <w:pPr>
              <w:ind w:right="34"/>
              <w:jc w:val="right"/>
              <w:rPr>
                <w:sz w:val="16"/>
                <w:szCs w:val="16"/>
              </w:rPr>
            </w:pPr>
          </w:p>
        </w:tc>
        <w:tc>
          <w:tcPr>
            <w:tcW w:w="902" w:type="dxa"/>
            <w:vAlign w:val="bottom"/>
          </w:tcPr>
          <w:p w14:paraId="65261059" w14:textId="77777777" w:rsidR="00224102" w:rsidRPr="007A4AE1" w:rsidRDefault="00224102" w:rsidP="00224102">
            <w:pPr>
              <w:ind w:right="34"/>
              <w:jc w:val="right"/>
              <w:rPr>
                <w:sz w:val="16"/>
                <w:szCs w:val="16"/>
              </w:rPr>
            </w:pPr>
          </w:p>
        </w:tc>
        <w:tc>
          <w:tcPr>
            <w:tcW w:w="901" w:type="dxa"/>
            <w:vAlign w:val="bottom"/>
          </w:tcPr>
          <w:p w14:paraId="004E0977" w14:textId="77777777" w:rsidR="00224102" w:rsidRPr="007A4AE1" w:rsidRDefault="00224102" w:rsidP="00224102">
            <w:pPr>
              <w:ind w:right="34"/>
              <w:jc w:val="right"/>
              <w:rPr>
                <w:sz w:val="16"/>
                <w:szCs w:val="16"/>
              </w:rPr>
            </w:pPr>
          </w:p>
        </w:tc>
        <w:tc>
          <w:tcPr>
            <w:tcW w:w="939" w:type="dxa"/>
            <w:vAlign w:val="bottom"/>
          </w:tcPr>
          <w:p w14:paraId="4CCDD99F" w14:textId="77777777" w:rsidR="00224102" w:rsidRPr="007A4AE1" w:rsidRDefault="00224102" w:rsidP="00224102">
            <w:pPr>
              <w:ind w:right="34"/>
              <w:jc w:val="right"/>
              <w:rPr>
                <w:sz w:val="16"/>
                <w:szCs w:val="16"/>
              </w:rPr>
            </w:pPr>
          </w:p>
        </w:tc>
        <w:tc>
          <w:tcPr>
            <w:tcW w:w="1098" w:type="dxa"/>
            <w:vAlign w:val="bottom"/>
          </w:tcPr>
          <w:p w14:paraId="102275DE" w14:textId="77777777" w:rsidR="00224102" w:rsidRPr="007A4AE1" w:rsidRDefault="00224102" w:rsidP="00224102">
            <w:pPr>
              <w:ind w:right="34"/>
              <w:jc w:val="right"/>
              <w:rPr>
                <w:sz w:val="16"/>
                <w:szCs w:val="16"/>
              </w:rPr>
            </w:pPr>
          </w:p>
        </w:tc>
        <w:tc>
          <w:tcPr>
            <w:tcW w:w="912" w:type="dxa"/>
            <w:vAlign w:val="bottom"/>
          </w:tcPr>
          <w:p w14:paraId="151083FE" w14:textId="77777777" w:rsidR="00224102" w:rsidRPr="007A4AE1" w:rsidRDefault="00224102" w:rsidP="00224102">
            <w:pPr>
              <w:ind w:right="33"/>
              <w:jc w:val="right"/>
              <w:rPr>
                <w:sz w:val="16"/>
                <w:szCs w:val="16"/>
              </w:rPr>
            </w:pPr>
          </w:p>
        </w:tc>
        <w:tc>
          <w:tcPr>
            <w:tcW w:w="919" w:type="dxa"/>
            <w:vAlign w:val="bottom"/>
          </w:tcPr>
          <w:p w14:paraId="35A45F8C" w14:textId="77777777" w:rsidR="00224102" w:rsidRPr="007A4AE1" w:rsidRDefault="00224102" w:rsidP="00224102">
            <w:pPr>
              <w:ind w:right="34"/>
              <w:jc w:val="right"/>
              <w:rPr>
                <w:b/>
                <w:sz w:val="16"/>
                <w:szCs w:val="16"/>
              </w:rPr>
            </w:pPr>
          </w:p>
        </w:tc>
      </w:tr>
      <w:tr w:rsidR="00224102" w:rsidRPr="00604C75" w14:paraId="5EF3AE1C" w14:textId="77777777" w:rsidTr="006145A7">
        <w:trPr>
          <w:trHeight w:val="106"/>
        </w:trPr>
        <w:tc>
          <w:tcPr>
            <w:tcW w:w="2199" w:type="dxa"/>
            <w:vAlign w:val="bottom"/>
          </w:tcPr>
          <w:p w14:paraId="51BA06A0" w14:textId="77777777" w:rsidR="00224102" w:rsidRPr="007A4AE1" w:rsidRDefault="00224102" w:rsidP="00224102">
            <w:pPr>
              <w:ind w:left="178"/>
              <w:rPr>
                <w:snapToGrid w:val="0"/>
                <w:sz w:val="16"/>
                <w:szCs w:val="16"/>
              </w:rPr>
            </w:pPr>
            <w:r w:rsidRPr="007A4AE1">
              <w:rPr>
                <w:snapToGrid w:val="0"/>
                <w:sz w:val="16"/>
                <w:szCs w:val="16"/>
              </w:rPr>
              <w:t>Total Assets</w:t>
            </w:r>
          </w:p>
        </w:tc>
        <w:tc>
          <w:tcPr>
            <w:tcW w:w="804" w:type="dxa"/>
            <w:vAlign w:val="bottom"/>
          </w:tcPr>
          <w:p w14:paraId="689D0E66" w14:textId="0E8CDCEE" w:rsidR="00224102" w:rsidRPr="007A4AE1" w:rsidRDefault="00224102" w:rsidP="00224102">
            <w:pPr>
              <w:ind w:right="34"/>
              <w:jc w:val="right"/>
              <w:rPr>
                <w:sz w:val="16"/>
                <w:szCs w:val="16"/>
              </w:rPr>
            </w:pPr>
            <w:r w:rsidRPr="007A4AE1">
              <w:rPr>
                <w:sz w:val="16"/>
                <w:szCs w:val="16"/>
              </w:rPr>
              <w:t>236,952</w:t>
            </w:r>
          </w:p>
        </w:tc>
        <w:tc>
          <w:tcPr>
            <w:tcW w:w="1052" w:type="dxa"/>
            <w:vAlign w:val="bottom"/>
          </w:tcPr>
          <w:p w14:paraId="6C3E5CEF" w14:textId="372B1E28" w:rsidR="00224102" w:rsidRPr="007A4AE1" w:rsidRDefault="00224102" w:rsidP="00224102">
            <w:pPr>
              <w:ind w:right="34"/>
              <w:jc w:val="right"/>
              <w:rPr>
                <w:sz w:val="16"/>
                <w:szCs w:val="16"/>
              </w:rPr>
            </w:pPr>
            <w:r w:rsidRPr="007A4AE1">
              <w:rPr>
                <w:sz w:val="16"/>
                <w:szCs w:val="16"/>
              </w:rPr>
              <w:t>2,435,926</w:t>
            </w:r>
          </w:p>
        </w:tc>
        <w:tc>
          <w:tcPr>
            <w:tcW w:w="902" w:type="dxa"/>
            <w:vAlign w:val="bottom"/>
          </w:tcPr>
          <w:p w14:paraId="2F801CA9" w14:textId="4246B3BD" w:rsidR="00224102" w:rsidRPr="007A4AE1" w:rsidRDefault="00224102" w:rsidP="00224102">
            <w:pPr>
              <w:ind w:right="34"/>
              <w:jc w:val="right"/>
              <w:rPr>
                <w:sz w:val="16"/>
                <w:szCs w:val="16"/>
              </w:rPr>
            </w:pPr>
            <w:r w:rsidRPr="007A4AE1">
              <w:rPr>
                <w:sz w:val="16"/>
                <w:szCs w:val="16"/>
              </w:rPr>
              <w:t>1,016,692</w:t>
            </w:r>
          </w:p>
        </w:tc>
        <w:tc>
          <w:tcPr>
            <w:tcW w:w="901" w:type="dxa"/>
            <w:vAlign w:val="bottom"/>
          </w:tcPr>
          <w:p w14:paraId="60D83F28" w14:textId="5F6BB9FB" w:rsidR="00224102" w:rsidRPr="007A4AE1" w:rsidRDefault="00224102" w:rsidP="00224102">
            <w:pPr>
              <w:ind w:right="34"/>
              <w:jc w:val="right"/>
              <w:rPr>
                <w:sz w:val="16"/>
                <w:szCs w:val="16"/>
              </w:rPr>
            </w:pPr>
            <w:r w:rsidRPr="007A4AE1">
              <w:rPr>
                <w:sz w:val="16"/>
                <w:szCs w:val="16"/>
              </w:rPr>
              <w:t>4,085,207</w:t>
            </w:r>
          </w:p>
        </w:tc>
        <w:tc>
          <w:tcPr>
            <w:tcW w:w="939" w:type="dxa"/>
            <w:vAlign w:val="bottom"/>
          </w:tcPr>
          <w:p w14:paraId="62FBD179" w14:textId="746431C8" w:rsidR="00224102" w:rsidRPr="007A4AE1" w:rsidRDefault="00224102" w:rsidP="00224102">
            <w:pPr>
              <w:ind w:right="34"/>
              <w:jc w:val="right"/>
              <w:rPr>
                <w:sz w:val="16"/>
                <w:szCs w:val="16"/>
              </w:rPr>
            </w:pPr>
            <w:r w:rsidRPr="007A4AE1">
              <w:rPr>
                <w:sz w:val="16"/>
                <w:szCs w:val="16"/>
              </w:rPr>
              <w:t>2,263,830</w:t>
            </w:r>
          </w:p>
        </w:tc>
        <w:tc>
          <w:tcPr>
            <w:tcW w:w="1098" w:type="dxa"/>
            <w:vAlign w:val="bottom"/>
          </w:tcPr>
          <w:p w14:paraId="719FF708" w14:textId="403E4B09" w:rsidR="00224102" w:rsidRPr="007A4AE1" w:rsidRDefault="00224102" w:rsidP="00224102">
            <w:pPr>
              <w:ind w:right="34"/>
              <w:jc w:val="right"/>
              <w:rPr>
                <w:sz w:val="16"/>
                <w:szCs w:val="16"/>
              </w:rPr>
            </w:pPr>
            <w:r w:rsidRPr="007A4AE1">
              <w:rPr>
                <w:sz w:val="16"/>
                <w:szCs w:val="16"/>
              </w:rPr>
              <w:t>877,339</w:t>
            </w:r>
          </w:p>
        </w:tc>
        <w:tc>
          <w:tcPr>
            <w:tcW w:w="912" w:type="dxa"/>
            <w:vAlign w:val="bottom"/>
          </w:tcPr>
          <w:p w14:paraId="20D4D336" w14:textId="701036F3" w:rsidR="00224102" w:rsidRPr="007A4AE1" w:rsidRDefault="00224102" w:rsidP="00224102">
            <w:pPr>
              <w:ind w:right="34"/>
              <w:jc w:val="right"/>
              <w:rPr>
                <w:sz w:val="16"/>
                <w:szCs w:val="16"/>
              </w:rPr>
            </w:pPr>
            <w:r w:rsidRPr="007A4AE1">
              <w:rPr>
                <w:sz w:val="16"/>
                <w:szCs w:val="16"/>
              </w:rPr>
              <w:t>431,721</w:t>
            </w:r>
          </w:p>
        </w:tc>
        <w:tc>
          <w:tcPr>
            <w:tcW w:w="919" w:type="dxa"/>
            <w:vAlign w:val="bottom"/>
          </w:tcPr>
          <w:p w14:paraId="1FB78846" w14:textId="1041CA31" w:rsidR="00224102" w:rsidRPr="007A4AE1" w:rsidRDefault="00224102" w:rsidP="00224102">
            <w:pPr>
              <w:ind w:right="34"/>
              <w:jc w:val="right"/>
              <w:rPr>
                <w:sz w:val="16"/>
                <w:szCs w:val="16"/>
              </w:rPr>
            </w:pPr>
            <w:r w:rsidRPr="007A4AE1">
              <w:rPr>
                <w:sz w:val="16"/>
                <w:szCs w:val="16"/>
              </w:rPr>
              <w:t>11,347,667</w:t>
            </w:r>
          </w:p>
        </w:tc>
      </w:tr>
      <w:tr w:rsidR="00224102" w:rsidRPr="00604C75" w14:paraId="00349EBC" w14:textId="77777777" w:rsidTr="006145A7">
        <w:trPr>
          <w:trHeight w:val="106"/>
        </w:trPr>
        <w:tc>
          <w:tcPr>
            <w:tcW w:w="2199" w:type="dxa"/>
            <w:vAlign w:val="bottom"/>
          </w:tcPr>
          <w:p w14:paraId="456B495B" w14:textId="77777777" w:rsidR="00224102" w:rsidRPr="007A4AE1" w:rsidRDefault="00224102" w:rsidP="00224102">
            <w:pPr>
              <w:ind w:left="178"/>
              <w:rPr>
                <w:snapToGrid w:val="0"/>
                <w:sz w:val="16"/>
                <w:szCs w:val="16"/>
              </w:rPr>
            </w:pPr>
            <w:r w:rsidRPr="007A4AE1">
              <w:rPr>
                <w:snapToGrid w:val="0"/>
                <w:sz w:val="16"/>
                <w:szCs w:val="16"/>
              </w:rPr>
              <w:t>Total Liabilities</w:t>
            </w:r>
          </w:p>
        </w:tc>
        <w:tc>
          <w:tcPr>
            <w:tcW w:w="804" w:type="dxa"/>
            <w:vAlign w:val="bottom"/>
          </w:tcPr>
          <w:p w14:paraId="3FE9F217" w14:textId="75583F25" w:rsidR="00224102" w:rsidRPr="007A4AE1" w:rsidRDefault="00224102" w:rsidP="00224102">
            <w:pPr>
              <w:ind w:right="34"/>
              <w:jc w:val="right"/>
              <w:rPr>
                <w:sz w:val="16"/>
                <w:szCs w:val="16"/>
              </w:rPr>
            </w:pPr>
            <w:r w:rsidRPr="007A4AE1">
              <w:rPr>
                <w:sz w:val="16"/>
                <w:szCs w:val="16"/>
              </w:rPr>
              <w:t>425,920</w:t>
            </w:r>
          </w:p>
        </w:tc>
        <w:tc>
          <w:tcPr>
            <w:tcW w:w="1052" w:type="dxa"/>
            <w:vAlign w:val="bottom"/>
          </w:tcPr>
          <w:p w14:paraId="0CF92185" w14:textId="7A6D6BD4" w:rsidR="00224102" w:rsidRPr="007A4AE1" w:rsidRDefault="00224102" w:rsidP="00224102">
            <w:pPr>
              <w:ind w:right="34"/>
              <w:jc w:val="right"/>
              <w:rPr>
                <w:sz w:val="16"/>
                <w:szCs w:val="16"/>
              </w:rPr>
            </w:pPr>
            <w:r w:rsidRPr="007A4AE1">
              <w:rPr>
                <w:sz w:val="16"/>
                <w:szCs w:val="16"/>
              </w:rPr>
              <w:t>4,363,594</w:t>
            </w:r>
          </w:p>
        </w:tc>
        <w:tc>
          <w:tcPr>
            <w:tcW w:w="902" w:type="dxa"/>
            <w:vAlign w:val="bottom"/>
          </w:tcPr>
          <w:p w14:paraId="4C879188" w14:textId="59798CF4" w:rsidR="00224102" w:rsidRPr="007A4AE1" w:rsidRDefault="00224102" w:rsidP="00224102">
            <w:pPr>
              <w:ind w:right="34"/>
              <w:jc w:val="right"/>
              <w:rPr>
                <w:sz w:val="16"/>
                <w:szCs w:val="16"/>
              </w:rPr>
            </w:pPr>
            <w:r w:rsidRPr="007A4AE1">
              <w:rPr>
                <w:sz w:val="16"/>
                <w:szCs w:val="16"/>
              </w:rPr>
              <w:t>1,999,056</w:t>
            </w:r>
          </w:p>
        </w:tc>
        <w:tc>
          <w:tcPr>
            <w:tcW w:w="901" w:type="dxa"/>
            <w:vAlign w:val="bottom"/>
          </w:tcPr>
          <w:p w14:paraId="07E6DA50" w14:textId="4406BDEE" w:rsidR="00224102" w:rsidRPr="007A4AE1" w:rsidRDefault="00224102" w:rsidP="00224102">
            <w:pPr>
              <w:ind w:right="34"/>
              <w:jc w:val="right"/>
              <w:rPr>
                <w:sz w:val="16"/>
                <w:szCs w:val="16"/>
              </w:rPr>
            </w:pPr>
            <w:r w:rsidRPr="007A4AE1">
              <w:rPr>
                <w:sz w:val="16"/>
                <w:szCs w:val="16"/>
              </w:rPr>
              <w:t>1,870,298</w:t>
            </w:r>
          </w:p>
        </w:tc>
        <w:tc>
          <w:tcPr>
            <w:tcW w:w="939" w:type="dxa"/>
            <w:vAlign w:val="bottom"/>
          </w:tcPr>
          <w:p w14:paraId="3E51E29D" w14:textId="17207DC2" w:rsidR="00224102" w:rsidRPr="007A4AE1" w:rsidRDefault="00224102" w:rsidP="00224102">
            <w:pPr>
              <w:ind w:right="34"/>
              <w:jc w:val="right"/>
              <w:rPr>
                <w:sz w:val="16"/>
                <w:szCs w:val="16"/>
              </w:rPr>
            </w:pPr>
            <w:r w:rsidRPr="007A4AE1">
              <w:rPr>
                <w:sz w:val="16"/>
                <w:szCs w:val="16"/>
              </w:rPr>
              <w:t>1,038,178</w:t>
            </w:r>
          </w:p>
        </w:tc>
        <w:tc>
          <w:tcPr>
            <w:tcW w:w="1098" w:type="dxa"/>
            <w:vAlign w:val="bottom"/>
          </w:tcPr>
          <w:p w14:paraId="666F79AC" w14:textId="1441B9FF" w:rsidR="00224102" w:rsidRPr="007A4AE1" w:rsidRDefault="00224102" w:rsidP="00224102">
            <w:pPr>
              <w:ind w:right="34"/>
              <w:jc w:val="right"/>
              <w:rPr>
                <w:sz w:val="16"/>
                <w:szCs w:val="16"/>
              </w:rPr>
            </w:pPr>
            <w:r w:rsidRPr="007A4AE1">
              <w:rPr>
                <w:sz w:val="16"/>
                <w:szCs w:val="16"/>
              </w:rPr>
              <w:t>329,825</w:t>
            </w:r>
          </w:p>
        </w:tc>
        <w:tc>
          <w:tcPr>
            <w:tcW w:w="912" w:type="dxa"/>
            <w:vAlign w:val="bottom"/>
          </w:tcPr>
          <w:p w14:paraId="5D9BB71D" w14:textId="01B1B3BC" w:rsidR="00224102" w:rsidRPr="007A4AE1" w:rsidRDefault="00224102" w:rsidP="00224102">
            <w:pPr>
              <w:ind w:right="34"/>
              <w:jc w:val="right"/>
              <w:rPr>
                <w:sz w:val="16"/>
                <w:szCs w:val="16"/>
              </w:rPr>
            </w:pPr>
            <w:r w:rsidRPr="007A4AE1">
              <w:rPr>
                <w:sz w:val="16"/>
                <w:szCs w:val="16"/>
              </w:rPr>
              <w:t>1,320,796</w:t>
            </w:r>
          </w:p>
        </w:tc>
        <w:tc>
          <w:tcPr>
            <w:tcW w:w="919" w:type="dxa"/>
            <w:vAlign w:val="bottom"/>
          </w:tcPr>
          <w:p w14:paraId="39CCC880" w14:textId="1BCA371E" w:rsidR="00224102" w:rsidRPr="007A4AE1" w:rsidRDefault="00224102" w:rsidP="00224102">
            <w:pPr>
              <w:ind w:right="34"/>
              <w:jc w:val="right"/>
              <w:rPr>
                <w:sz w:val="16"/>
                <w:szCs w:val="16"/>
              </w:rPr>
            </w:pPr>
            <w:r w:rsidRPr="007A4AE1">
              <w:rPr>
                <w:sz w:val="16"/>
                <w:szCs w:val="16"/>
              </w:rPr>
              <w:t>11,347,667</w:t>
            </w:r>
          </w:p>
        </w:tc>
      </w:tr>
      <w:tr w:rsidR="00224102" w:rsidRPr="00604C75" w14:paraId="284A40AC" w14:textId="77777777" w:rsidTr="006145A7">
        <w:trPr>
          <w:trHeight w:val="106"/>
        </w:trPr>
        <w:tc>
          <w:tcPr>
            <w:tcW w:w="2199" w:type="dxa"/>
            <w:vAlign w:val="bottom"/>
          </w:tcPr>
          <w:p w14:paraId="7DBA49AA" w14:textId="77777777" w:rsidR="00224102" w:rsidRPr="007A4AE1" w:rsidRDefault="00224102" w:rsidP="00224102">
            <w:pPr>
              <w:ind w:left="-2"/>
              <w:rPr>
                <w:snapToGrid w:val="0"/>
                <w:sz w:val="16"/>
                <w:szCs w:val="16"/>
              </w:rPr>
            </w:pPr>
          </w:p>
        </w:tc>
        <w:tc>
          <w:tcPr>
            <w:tcW w:w="804" w:type="dxa"/>
            <w:vAlign w:val="bottom"/>
          </w:tcPr>
          <w:p w14:paraId="6EA907E0" w14:textId="77777777" w:rsidR="00224102" w:rsidRPr="007A4AE1" w:rsidRDefault="00224102" w:rsidP="00224102">
            <w:pPr>
              <w:ind w:right="34"/>
              <w:jc w:val="right"/>
              <w:rPr>
                <w:sz w:val="16"/>
                <w:szCs w:val="16"/>
              </w:rPr>
            </w:pPr>
          </w:p>
        </w:tc>
        <w:tc>
          <w:tcPr>
            <w:tcW w:w="1052" w:type="dxa"/>
            <w:vAlign w:val="bottom"/>
          </w:tcPr>
          <w:p w14:paraId="65A01409" w14:textId="77777777" w:rsidR="00224102" w:rsidRPr="007A4AE1" w:rsidRDefault="00224102" w:rsidP="00224102">
            <w:pPr>
              <w:ind w:right="34"/>
              <w:jc w:val="right"/>
              <w:rPr>
                <w:sz w:val="16"/>
                <w:szCs w:val="16"/>
              </w:rPr>
            </w:pPr>
          </w:p>
        </w:tc>
        <w:tc>
          <w:tcPr>
            <w:tcW w:w="902" w:type="dxa"/>
            <w:vAlign w:val="bottom"/>
          </w:tcPr>
          <w:p w14:paraId="492D7A41" w14:textId="77777777" w:rsidR="00224102" w:rsidRPr="007A4AE1" w:rsidRDefault="00224102" w:rsidP="00224102">
            <w:pPr>
              <w:ind w:right="34"/>
              <w:jc w:val="right"/>
              <w:rPr>
                <w:sz w:val="16"/>
                <w:szCs w:val="16"/>
              </w:rPr>
            </w:pPr>
          </w:p>
        </w:tc>
        <w:tc>
          <w:tcPr>
            <w:tcW w:w="901" w:type="dxa"/>
            <w:vAlign w:val="bottom"/>
          </w:tcPr>
          <w:p w14:paraId="70B7F969" w14:textId="77777777" w:rsidR="00224102" w:rsidRPr="007A4AE1" w:rsidRDefault="00224102" w:rsidP="00224102">
            <w:pPr>
              <w:ind w:right="34"/>
              <w:jc w:val="right"/>
              <w:rPr>
                <w:sz w:val="16"/>
                <w:szCs w:val="16"/>
              </w:rPr>
            </w:pPr>
          </w:p>
        </w:tc>
        <w:tc>
          <w:tcPr>
            <w:tcW w:w="939" w:type="dxa"/>
            <w:vAlign w:val="bottom"/>
          </w:tcPr>
          <w:p w14:paraId="5CE81D44" w14:textId="77777777" w:rsidR="00224102" w:rsidRPr="007A4AE1" w:rsidRDefault="00224102" w:rsidP="00224102">
            <w:pPr>
              <w:ind w:right="34"/>
              <w:jc w:val="right"/>
              <w:rPr>
                <w:sz w:val="16"/>
                <w:szCs w:val="16"/>
              </w:rPr>
            </w:pPr>
          </w:p>
        </w:tc>
        <w:tc>
          <w:tcPr>
            <w:tcW w:w="1098" w:type="dxa"/>
            <w:vAlign w:val="bottom"/>
          </w:tcPr>
          <w:p w14:paraId="4FB797BD" w14:textId="77777777" w:rsidR="00224102" w:rsidRPr="007A4AE1" w:rsidRDefault="00224102" w:rsidP="00224102">
            <w:pPr>
              <w:ind w:right="34"/>
              <w:jc w:val="right"/>
              <w:rPr>
                <w:sz w:val="16"/>
                <w:szCs w:val="16"/>
              </w:rPr>
            </w:pPr>
          </w:p>
        </w:tc>
        <w:tc>
          <w:tcPr>
            <w:tcW w:w="912" w:type="dxa"/>
            <w:vAlign w:val="bottom"/>
          </w:tcPr>
          <w:p w14:paraId="514505ED" w14:textId="77777777" w:rsidR="00224102" w:rsidRPr="007A4AE1" w:rsidRDefault="00224102" w:rsidP="00224102">
            <w:pPr>
              <w:ind w:right="33"/>
              <w:jc w:val="right"/>
              <w:rPr>
                <w:sz w:val="16"/>
                <w:szCs w:val="16"/>
              </w:rPr>
            </w:pPr>
          </w:p>
        </w:tc>
        <w:tc>
          <w:tcPr>
            <w:tcW w:w="919" w:type="dxa"/>
            <w:vAlign w:val="bottom"/>
          </w:tcPr>
          <w:p w14:paraId="60012DE3" w14:textId="77777777" w:rsidR="00224102" w:rsidRPr="007A4AE1" w:rsidRDefault="00224102" w:rsidP="00224102">
            <w:pPr>
              <w:ind w:right="34"/>
              <w:jc w:val="right"/>
              <w:rPr>
                <w:b/>
                <w:sz w:val="16"/>
                <w:szCs w:val="16"/>
              </w:rPr>
            </w:pPr>
          </w:p>
        </w:tc>
      </w:tr>
      <w:tr w:rsidR="00224102" w:rsidRPr="00604C75" w14:paraId="189650F8" w14:textId="77777777" w:rsidTr="006145A7">
        <w:trPr>
          <w:trHeight w:val="106"/>
        </w:trPr>
        <w:tc>
          <w:tcPr>
            <w:tcW w:w="2199" w:type="dxa"/>
            <w:vAlign w:val="bottom"/>
          </w:tcPr>
          <w:p w14:paraId="439FCCD8" w14:textId="77777777" w:rsidR="00224102" w:rsidRPr="007A4AE1" w:rsidRDefault="00224102" w:rsidP="00224102">
            <w:pPr>
              <w:ind w:left="-2"/>
              <w:rPr>
                <w:b/>
                <w:snapToGrid w:val="0"/>
                <w:sz w:val="16"/>
                <w:szCs w:val="16"/>
              </w:rPr>
            </w:pPr>
            <w:r w:rsidRPr="007A4AE1">
              <w:rPr>
                <w:b/>
                <w:snapToGrid w:val="0"/>
                <w:sz w:val="16"/>
                <w:szCs w:val="16"/>
              </w:rPr>
              <w:t>Liquidity Gap</w:t>
            </w:r>
          </w:p>
        </w:tc>
        <w:tc>
          <w:tcPr>
            <w:tcW w:w="804" w:type="dxa"/>
            <w:vAlign w:val="bottom"/>
          </w:tcPr>
          <w:p w14:paraId="64824372" w14:textId="240103B8" w:rsidR="00224102" w:rsidRPr="007A4AE1" w:rsidRDefault="00224102" w:rsidP="00224102">
            <w:pPr>
              <w:ind w:right="34"/>
              <w:jc w:val="right"/>
              <w:rPr>
                <w:b/>
                <w:sz w:val="16"/>
                <w:szCs w:val="16"/>
              </w:rPr>
            </w:pPr>
            <w:r w:rsidRPr="007A4AE1">
              <w:rPr>
                <w:b/>
                <w:sz w:val="16"/>
                <w:szCs w:val="16"/>
              </w:rPr>
              <w:t>(188,968)</w:t>
            </w:r>
          </w:p>
        </w:tc>
        <w:tc>
          <w:tcPr>
            <w:tcW w:w="1052" w:type="dxa"/>
            <w:vAlign w:val="bottom"/>
          </w:tcPr>
          <w:p w14:paraId="74626977" w14:textId="38DDEDE3" w:rsidR="00224102" w:rsidRPr="007A4AE1" w:rsidRDefault="00224102" w:rsidP="00224102">
            <w:pPr>
              <w:ind w:right="34"/>
              <w:jc w:val="right"/>
              <w:rPr>
                <w:b/>
                <w:sz w:val="16"/>
                <w:szCs w:val="16"/>
              </w:rPr>
            </w:pPr>
            <w:r w:rsidRPr="007A4AE1">
              <w:rPr>
                <w:b/>
                <w:sz w:val="16"/>
                <w:szCs w:val="16"/>
              </w:rPr>
              <w:t>(1,927,668)</w:t>
            </w:r>
          </w:p>
        </w:tc>
        <w:tc>
          <w:tcPr>
            <w:tcW w:w="902" w:type="dxa"/>
            <w:vAlign w:val="bottom"/>
          </w:tcPr>
          <w:p w14:paraId="7E750080" w14:textId="3F5153C5" w:rsidR="00224102" w:rsidRPr="007A4AE1" w:rsidRDefault="00224102" w:rsidP="00224102">
            <w:pPr>
              <w:ind w:right="34"/>
              <w:jc w:val="right"/>
              <w:rPr>
                <w:b/>
                <w:sz w:val="16"/>
                <w:szCs w:val="16"/>
              </w:rPr>
            </w:pPr>
            <w:r w:rsidRPr="007A4AE1">
              <w:rPr>
                <w:b/>
                <w:sz w:val="16"/>
                <w:szCs w:val="16"/>
              </w:rPr>
              <w:t>(982,364)</w:t>
            </w:r>
          </w:p>
        </w:tc>
        <w:tc>
          <w:tcPr>
            <w:tcW w:w="901" w:type="dxa"/>
            <w:vAlign w:val="bottom"/>
          </w:tcPr>
          <w:p w14:paraId="69A11B85" w14:textId="7120DC6F" w:rsidR="00224102" w:rsidRPr="007A4AE1" w:rsidRDefault="00224102" w:rsidP="00224102">
            <w:pPr>
              <w:ind w:right="34"/>
              <w:jc w:val="right"/>
              <w:rPr>
                <w:b/>
                <w:sz w:val="16"/>
                <w:szCs w:val="16"/>
              </w:rPr>
            </w:pPr>
            <w:r w:rsidRPr="007A4AE1">
              <w:rPr>
                <w:b/>
                <w:sz w:val="16"/>
                <w:szCs w:val="16"/>
              </w:rPr>
              <w:t>2,214,909</w:t>
            </w:r>
          </w:p>
        </w:tc>
        <w:tc>
          <w:tcPr>
            <w:tcW w:w="939" w:type="dxa"/>
            <w:vAlign w:val="bottom"/>
          </w:tcPr>
          <w:p w14:paraId="64A9A23E" w14:textId="12F330C3" w:rsidR="00224102" w:rsidRPr="007A4AE1" w:rsidRDefault="00224102" w:rsidP="00224102">
            <w:pPr>
              <w:ind w:right="34"/>
              <w:jc w:val="right"/>
              <w:rPr>
                <w:b/>
                <w:sz w:val="16"/>
                <w:szCs w:val="16"/>
              </w:rPr>
            </w:pPr>
            <w:r w:rsidRPr="007A4AE1">
              <w:rPr>
                <w:b/>
                <w:sz w:val="16"/>
                <w:szCs w:val="16"/>
              </w:rPr>
              <w:t>1,225,652</w:t>
            </w:r>
          </w:p>
        </w:tc>
        <w:tc>
          <w:tcPr>
            <w:tcW w:w="1098" w:type="dxa"/>
            <w:vAlign w:val="bottom"/>
          </w:tcPr>
          <w:p w14:paraId="5AC21810" w14:textId="6C6C103A" w:rsidR="00224102" w:rsidRPr="007A4AE1" w:rsidRDefault="00224102" w:rsidP="00224102">
            <w:pPr>
              <w:ind w:right="34"/>
              <w:jc w:val="right"/>
              <w:rPr>
                <w:b/>
                <w:sz w:val="16"/>
                <w:szCs w:val="16"/>
              </w:rPr>
            </w:pPr>
            <w:r w:rsidRPr="007A4AE1">
              <w:rPr>
                <w:b/>
                <w:sz w:val="16"/>
                <w:szCs w:val="16"/>
              </w:rPr>
              <w:t>547,514</w:t>
            </w:r>
          </w:p>
        </w:tc>
        <w:tc>
          <w:tcPr>
            <w:tcW w:w="912" w:type="dxa"/>
            <w:vAlign w:val="bottom"/>
          </w:tcPr>
          <w:p w14:paraId="6321FB19" w14:textId="005AA976" w:rsidR="00224102" w:rsidRPr="007A4AE1" w:rsidRDefault="00224102" w:rsidP="00224102">
            <w:pPr>
              <w:ind w:right="34"/>
              <w:jc w:val="right"/>
              <w:rPr>
                <w:b/>
                <w:sz w:val="16"/>
                <w:szCs w:val="16"/>
              </w:rPr>
            </w:pPr>
            <w:r w:rsidRPr="007A4AE1">
              <w:rPr>
                <w:b/>
                <w:sz w:val="16"/>
                <w:szCs w:val="16"/>
              </w:rPr>
              <w:t>(889,075)</w:t>
            </w:r>
          </w:p>
        </w:tc>
        <w:tc>
          <w:tcPr>
            <w:tcW w:w="919" w:type="dxa"/>
            <w:vAlign w:val="bottom"/>
          </w:tcPr>
          <w:p w14:paraId="29AACD64" w14:textId="46C853F1" w:rsidR="00224102" w:rsidRPr="007A4AE1" w:rsidRDefault="00224102" w:rsidP="00224102">
            <w:pPr>
              <w:ind w:right="34"/>
              <w:jc w:val="right"/>
              <w:rPr>
                <w:b/>
                <w:sz w:val="16"/>
                <w:szCs w:val="16"/>
              </w:rPr>
            </w:pPr>
            <w:r w:rsidRPr="007A4AE1">
              <w:rPr>
                <w:b/>
                <w:sz w:val="16"/>
                <w:szCs w:val="16"/>
              </w:rPr>
              <w:t>-</w:t>
            </w:r>
          </w:p>
        </w:tc>
      </w:tr>
    </w:tbl>
    <w:p w14:paraId="59ACF330" w14:textId="1FAA9B4B" w:rsidR="005E33B0" w:rsidRPr="008C7417" w:rsidRDefault="000F2A37" w:rsidP="009E467E">
      <w:pPr>
        <w:tabs>
          <w:tab w:val="left" w:pos="142"/>
        </w:tabs>
        <w:spacing w:before="60" w:after="60"/>
        <w:jc w:val="both"/>
        <w:rPr>
          <w:sz w:val="16"/>
          <w:szCs w:val="16"/>
        </w:rPr>
      </w:pPr>
      <w:r w:rsidRPr="008C7417">
        <w:rPr>
          <w:sz w:val="16"/>
          <w:szCs w:val="16"/>
        </w:rPr>
        <w:t>(*)</w:t>
      </w:r>
      <w:r w:rsidR="008935A1" w:rsidRPr="008C7417">
        <w:rPr>
          <w:sz w:val="16"/>
          <w:szCs w:val="16"/>
        </w:rPr>
        <w:t xml:space="preserve"> </w:t>
      </w:r>
      <w:r w:rsidR="00D410C8" w:rsidRPr="008C7417">
        <w:rPr>
          <w:sz w:val="16"/>
          <w:szCs w:val="16"/>
        </w:rPr>
        <w:t xml:space="preserve">      </w:t>
      </w:r>
      <w:r w:rsidR="005E33B0" w:rsidRPr="008C7417">
        <w:rPr>
          <w:sz w:val="16"/>
          <w:szCs w:val="16"/>
        </w:rPr>
        <w:t>Assets that are necessary for banking activities and that cannot b</w:t>
      </w:r>
      <w:r w:rsidRPr="008C7417">
        <w:rPr>
          <w:sz w:val="16"/>
          <w:szCs w:val="16"/>
        </w:rPr>
        <w:t xml:space="preserve">e liquidated in the </w:t>
      </w:r>
      <w:r w:rsidR="00D410C8" w:rsidRPr="008C7417">
        <w:rPr>
          <w:sz w:val="16"/>
          <w:szCs w:val="16"/>
        </w:rPr>
        <w:t xml:space="preserve">short-term </w:t>
      </w:r>
      <w:r w:rsidR="005E33B0" w:rsidRPr="008C7417">
        <w:rPr>
          <w:sz w:val="16"/>
          <w:szCs w:val="16"/>
        </w:rPr>
        <w:t>such as fixed and intangible assets, stationary stocks, prepaid expenses and loans under follow-up, are classified in this column.</w:t>
      </w:r>
    </w:p>
    <w:p w14:paraId="5AFA6203" w14:textId="43E768C1" w:rsidR="005E33B0" w:rsidRPr="008C7417" w:rsidRDefault="000F2A37" w:rsidP="009E467E">
      <w:pPr>
        <w:tabs>
          <w:tab w:val="left" w:pos="142"/>
        </w:tabs>
        <w:spacing w:before="60" w:after="60"/>
        <w:ind w:left="1276" w:hanging="1276"/>
        <w:jc w:val="both"/>
        <w:rPr>
          <w:sz w:val="16"/>
          <w:szCs w:val="16"/>
        </w:rPr>
      </w:pPr>
      <w:r w:rsidRPr="008C7417">
        <w:rPr>
          <w:sz w:val="16"/>
          <w:szCs w:val="16"/>
        </w:rPr>
        <w:t>(**)</w:t>
      </w:r>
      <w:r w:rsidR="008935A1" w:rsidRPr="008C7417">
        <w:rPr>
          <w:sz w:val="16"/>
          <w:szCs w:val="16"/>
        </w:rPr>
        <w:t xml:space="preserve"> </w:t>
      </w:r>
      <w:r w:rsidR="00D410C8" w:rsidRPr="008C7417">
        <w:rPr>
          <w:sz w:val="16"/>
          <w:szCs w:val="16"/>
        </w:rPr>
        <w:t xml:space="preserve">    </w:t>
      </w:r>
      <w:r w:rsidR="005E33B0" w:rsidRPr="008C7417">
        <w:rPr>
          <w:sz w:val="16"/>
          <w:szCs w:val="16"/>
        </w:rPr>
        <w:t>Shareholders’ equity is presented under “Other liabilities” item in the “Unclassified” column.</w:t>
      </w:r>
    </w:p>
    <w:p w14:paraId="528EE44E" w14:textId="2C39E3DD" w:rsidR="00D73CC5" w:rsidRPr="008C7417" w:rsidRDefault="00D07C98" w:rsidP="00CD0767">
      <w:pPr>
        <w:spacing w:before="60" w:after="60"/>
        <w:ind w:hanging="1276"/>
        <w:jc w:val="both"/>
        <w:rPr>
          <w:sz w:val="16"/>
          <w:szCs w:val="16"/>
        </w:rPr>
      </w:pPr>
      <w:r w:rsidRPr="008C7417">
        <w:rPr>
          <w:sz w:val="16"/>
          <w:szCs w:val="16"/>
          <w:vertAlign w:val="subscript"/>
        </w:rPr>
        <w:t xml:space="preserve">                            </w:t>
      </w:r>
      <w:r w:rsidR="009E0D4D" w:rsidRPr="008C7417">
        <w:rPr>
          <w:sz w:val="16"/>
          <w:szCs w:val="16"/>
          <w:vertAlign w:val="subscript"/>
        </w:rPr>
        <w:t xml:space="preserve"> </w:t>
      </w:r>
      <w:r w:rsidR="009339D0" w:rsidRPr="008C7417">
        <w:rPr>
          <w:sz w:val="16"/>
          <w:szCs w:val="16"/>
          <w:vertAlign w:val="subscript"/>
        </w:rPr>
        <w:t xml:space="preserve"> </w:t>
      </w:r>
      <w:r w:rsidR="006145A7" w:rsidRPr="008C7417">
        <w:rPr>
          <w:sz w:val="16"/>
          <w:szCs w:val="16"/>
          <w:vertAlign w:val="subscript"/>
        </w:rPr>
        <w:t xml:space="preserve"> </w:t>
      </w:r>
      <w:r w:rsidR="000F2A37" w:rsidRPr="008C7417">
        <w:rPr>
          <w:sz w:val="16"/>
          <w:szCs w:val="16"/>
        </w:rPr>
        <w:t xml:space="preserve">    </w:t>
      </w:r>
      <w:r w:rsidR="009969C3" w:rsidRPr="008C7417">
        <w:rPr>
          <w:sz w:val="16"/>
          <w:szCs w:val="16"/>
        </w:rPr>
        <w:tab/>
      </w:r>
      <w:r w:rsidR="000F2A37" w:rsidRPr="008C7417">
        <w:rPr>
          <w:sz w:val="16"/>
          <w:szCs w:val="16"/>
        </w:rPr>
        <w:t>(***)</w:t>
      </w:r>
      <w:r w:rsidR="008935A1" w:rsidRPr="008C7417">
        <w:rPr>
          <w:sz w:val="16"/>
          <w:szCs w:val="16"/>
        </w:rPr>
        <w:t xml:space="preserve"> </w:t>
      </w:r>
      <w:r w:rsidR="00D410C8" w:rsidRPr="008C7417">
        <w:rPr>
          <w:sz w:val="16"/>
          <w:szCs w:val="16"/>
        </w:rPr>
        <w:t xml:space="preserve">  </w:t>
      </w:r>
      <w:r w:rsidR="009E0D4D" w:rsidRPr="008C7417">
        <w:rPr>
          <w:sz w:val="16"/>
          <w:szCs w:val="16"/>
        </w:rPr>
        <w:t>Leasing rece</w:t>
      </w:r>
      <w:r w:rsidR="0053741D" w:rsidRPr="008C7417">
        <w:rPr>
          <w:sz w:val="16"/>
          <w:szCs w:val="16"/>
        </w:rPr>
        <w:t>i</w:t>
      </w:r>
      <w:r w:rsidR="009E0D4D" w:rsidRPr="008C7417">
        <w:rPr>
          <w:sz w:val="16"/>
          <w:szCs w:val="16"/>
        </w:rPr>
        <w:t xml:space="preserve">vables are classified to other </w:t>
      </w:r>
      <w:r w:rsidR="0053741D" w:rsidRPr="008C7417">
        <w:rPr>
          <w:sz w:val="16"/>
          <w:szCs w:val="16"/>
        </w:rPr>
        <w:t>assets.</w:t>
      </w:r>
    </w:p>
    <w:p w14:paraId="221CB727" w14:textId="6F14444A" w:rsidR="00CB699F" w:rsidRPr="00D410C8" w:rsidRDefault="00B623B1" w:rsidP="00D410C8">
      <w:pPr>
        <w:tabs>
          <w:tab w:val="left" w:pos="284"/>
        </w:tabs>
        <w:spacing w:before="60" w:after="60" w:line="223" w:lineRule="auto"/>
        <w:jc w:val="both"/>
        <w:rPr>
          <w:sz w:val="18"/>
          <w:szCs w:val="18"/>
        </w:rPr>
      </w:pPr>
      <w:r w:rsidRPr="008C7417">
        <w:rPr>
          <w:snapToGrid w:val="0"/>
          <w:sz w:val="16"/>
          <w:szCs w:val="16"/>
        </w:rPr>
        <w:t>(</w:t>
      </w:r>
      <w:r w:rsidRPr="008C7417">
        <w:rPr>
          <w:sz w:val="16"/>
          <w:szCs w:val="16"/>
        </w:rPr>
        <w:t>****</w:t>
      </w:r>
      <w:r w:rsidRPr="008C7417">
        <w:rPr>
          <w:snapToGrid w:val="0"/>
          <w:sz w:val="16"/>
          <w:szCs w:val="16"/>
        </w:rPr>
        <w:t>)</w:t>
      </w:r>
      <w:r w:rsidR="008935A1" w:rsidRPr="008C7417">
        <w:rPr>
          <w:snapToGrid w:val="0"/>
          <w:sz w:val="16"/>
          <w:szCs w:val="16"/>
        </w:rPr>
        <w:t xml:space="preserve"> </w:t>
      </w:r>
      <w:r w:rsidRPr="008C7417">
        <w:rPr>
          <w:snapToGrid w:val="0"/>
          <w:sz w:val="16"/>
          <w:szCs w:val="16"/>
        </w:rPr>
        <w:t>Precious Metal bank account is presented under Bank Deposits.</w:t>
      </w:r>
      <w:r w:rsidR="00CB699F" w:rsidRPr="00604C75">
        <w:rPr>
          <w:b/>
          <w:sz w:val="20"/>
          <w:szCs w:val="20"/>
        </w:rPr>
        <w:br w:type="page"/>
      </w:r>
    </w:p>
    <w:p w14:paraId="42AB2716" w14:textId="58B64000" w:rsidR="005E33B0" w:rsidRPr="00604C75" w:rsidRDefault="00A041CD">
      <w:pPr>
        <w:pStyle w:val="BodyTextIndent"/>
        <w:pageBreakBefore/>
        <w:tabs>
          <w:tab w:val="left" w:pos="1276"/>
        </w:tabs>
        <w:spacing w:after="0"/>
        <w:ind w:left="0"/>
        <w:rPr>
          <w:sz w:val="20"/>
          <w:szCs w:val="20"/>
        </w:rPr>
      </w:pPr>
      <w:r w:rsidRPr="00A041CD">
        <w:rPr>
          <w:b/>
          <w:sz w:val="20"/>
          <w:szCs w:val="20"/>
        </w:rPr>
        <w:lastRenderedPageBreak/>
        <w:t>INFORMATION ON THE FINANCIAL POSITION OF THE GROUP (Continued)</w:t>
      </w:r>
    </w:p>
    <w:p w14:paraId="3B07619E" w14:textId="77777777" w:rsidR="009E15A2" w:rsidRPr="00604C75" w:rsidRDefault="00340907">
      <w:pPr>
        <w:pStyle w:val="Heading2"/>
        <w:spacing w:after="120"/>
        <w:jc w:val="both"/>
        <w:rPr>
          <w:rFonts w:ascii="Times New Roman" w:hAnsi="Times New Roman"/>
          <w:caps/>
          <w:sz w:val="20"/>
        </w:rPr>
      </w:pPr>
      <w:r w:rsidRPr="00604C75">
        <w:rPr>
          <w:rFonts w:ascii="Times New Roman" w:hAnsi="Times New Roman"/>
          <w:caps/>
          <w:sz w:val="20"/>
        </w:rPr>
        <w:t>V</w:t>
      </w:r>
      <w:r w:rsidR="00FA020F">
        <w:rPr>
          <w:rFonts w:ascii="Times New Roman" w:hAnsi="Times New Roman"/>
          <w:caps/>
          <w:sz w:val="20"/>
        </w:rPr>
        <w:t>ı</w:t>
      </w:r>
      <w:r w:rsidRPr="00604C75">
        <w:rPr>
          <w:rFonts w:ascii="Times New Roman" w:hAnsi="Times New Roman"/>
          <w:caps/>
          <w:sz w:val="20"/>
        </w:rPr>
        <w:t>I.</w:t>
      </w:r>
      <w:r w:rsidRPr="00604C75">
        <w:rPr>
          <w:rFonts w:ascii="Times New Roman" w:hAnsi="Times New Roman"/>
          <w:caps/>
          <w:sz w:val="20"/>
        </w:rPr>
        <w:tab/>
      </w:r>
      <w:r w:rsidR="00110417" w:rsidRPr="00604C75">
        <w:rPr>
          <w:rFonts w:ascii="Times New Roman" w:hAnsi="Times New Roman"/>
          <w:sz w:val="20"/>
        </w:rPr>
        <w:t>Explanations</w:t>
      </w:r>
      <w:r w:rsidR="00110417" w:rsidRPr="00604C75" w:rsidDel="00110417">
        <w:rPr>
          <w:rFonts w:ascii="Times New Roman" w:hAnsi="Times New Roman"/>
          <w:caps/>
          <w:sz w:val="20"/>
        </w:rPr>
        <w:t xml:space="preserve"> </w:t>
      </w:r>
      <w:r w:rsidR="00110417" w:rsidRPr="00604C75">
        <w:rPr>
          <w:rFonts w:ascii="Times New Roman" w:hAnsi="Times New Roman"/>
          <w:sz w:val="20"/>
        </w:rPr>
        <w:t>on Liquidity Risk</w:t>
      </w:r>
      <w:r w:rsidR="00110417" w:rsidRPr="00604C75" w:rsidDel="00110417">
        <w:rPr>
          <w:rFonts w:ascii="Times New Roman" w:hAnsi="Times New Roman"/>
          <w:caps/>
          <w:sz w:val="20"/>
        </w:rPr>
        <w:t xml:space="preserve"> </w:t>
      </w:r>
      <w:r w:rsidRPr="00604C75">
        <w:rPr>
          <w:rFonts w:ascii="Times New Roman" w:hAnsi="Times New Roman"/>
          <w:sz w:val="20"/>
        </w:rPr>
        <w:t>(Continued)</w:t>
      </w:r>
      <w:r w:rsidR="008F3A4B" w:rsidRPr="00604C75">
        <w:rPr>
          <w:b w:val="0"/>
          <w:sz w:val="20"/>
        </w:rPr>
        <w:t xml:space="preserve">           </w:t>
      </w:r>
    </w:p>
    <w:p w14:paraId="2538B015" w14:textId="7FD8DF77" w:rsidR="00FA020F" w:rsidRDefault="00FA020F" w:rsidP="00980409">
      <w:pPr>
        <w:tabs>
          <w:tab w:val="right" w:pos="9348"/>
        </w:tabs>
        <w:spacing w:after="120"/>
        <w:jc w:val="both"/>
        <w:rPr>
          <w:b/>
          <w:sz w:val="20"/>
          <w:szCs w:val="20"/>
        </w:rPr>
      </w:pPr>
      <w:r w:rsidRPr="003E2819">
        <w:rPr>
          <w:b/>
          <w:sz w:val="20"/>
          <w:szCs w:val="20"/>
        </w:rPr>
        <w:t>Financial liabilities according to their remaining maturities:</w:t>
      </w:r>
      <w:r w:rsidR="00980409">
        <w:rPr>
          <w:b/>
          <w:sz w:val="20"/>
          <w:szCs w:val="20"/>
        </w:rPr>
        <w:tab/>
      </w:r>
    </w:p>
    <w:tbl>
      <w:tblPr>
        <w:tblW w:w="9727" w:type="dxa"/>
        <w:tblInd w:w="1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120"/>
        <w:gridCol w:w="1128"/>
        <w:gridCol w:w="951"/>
        <w:gridCol w:w="1099"/>
        <w:gridCol w:w="1187"/>
        <w:gridCol w:w="1099"/>
        <w:gridCol w:w="1143"/>
      </w:tblGrid>
      <w:tr w:rsidR="00FA020F" w:rsidRPr="003E2819" w14:paraId="12C382BA" w14:textId="77777777" w:rsidTr="00336BD5">
        <w:trPr>
          <w:trHeight w:val="226"/>
        </w:trPr>
        <w:tc>
          <w:tcPr>
            <w:tcW w:w="3120" w:type="dxa"/>
            <w:shd w:val="clear" w:color="auto" w:fill="auto"/>
          </w:tcPr>
          <w:p w14:paraId="0AC7ECA0" w14:textId="77777777" w:rsidR="00FA020F" w:rsidRPr="003E2819" w:rsidRDefault="00FA020F" w:rsidP="00400883">
            <w:pPr>
              <w:rPr>
                <w:b/>
                <w:bCs/>
                <w:sz w:val="18"/>
                <w:szCs w:val="18"/>
                <w:lang w:eastAsia="tr-TR"/>
              </w:rPr>
            </w:pPr>
          </w:p>
          <w:p w14:paraId="32CD652E" w14:textId="77777777" w:rsidR="00FA020F" w:rsidRPr="003E2819" w:rsidRDefault="00FA020F" w:rsidP="00400883">
            <w:pPr>
              <w:rPr>
                <w:b/>
                <w:bCs/>
                <w:sz w:val="18"/>
                <w:szCs w:val="18"/>
                <w:lang w:eastAsia="tr-TR"/>
              </w:rPr>
            </w:pPr>
            <w:r>
              <w:rPr>
                <w:b/>
                <w:bCs/>
                <w:sz w:val="18"/>
                <w:szCs w:val="18"/>
                <w:lang w:eastAsia="tr-TR"/>
              </w:rPr>
              <w:t>31 December 2015</w:t>
            </w:r>
          </w:p>
        </w:tc>
        <w:tc>
          <w:tcPr>
            <w:tcW w:w="1128" w:type="dxa"/>
            <w:shd w:val="clear" w:color="auto" w:fill="auto"/>
            <w:vAlign w:val="bottom"/>
          </w:tcPr>
          <w:p w14:paraId="6EF8C312" w14:textId="77777777" w:rsidR="00336BD5" w:rsidRDefault="00FA020F" w:rsidP="00400883">
            <w:pPr>
              <w:ind w:left="-108" w:right="-14"/>
              <w:jc w:val="right"/>
              <w:rPr>
                <w:b/>
                <w:bCs/>
                <w:sz w:val="18"/>
                <w:szCs w:val="18"/>
              </w:rPr>
            </w:pPr>
            <w:r w:rsidRPr="003E2819">
              <w:rPr>
                <w:b/>
                <w:bCs/>
                <w:sz w:val="18"/>
                <w:szCs w:val="18"/>
              </w:rPr>
              <w:t xml:space="preserve">Up to </w:t>
            </w:r>
          </w:p>
          <w:p w14:paraId="0CAF7240" w14:textId="5860841F" w:rsidR="00FA020F" w:rsidRPr="003E2819" w:rsidRDefault="00FA020F" w:rsidP="00400883">
            <w:pPr>
              <w:ind w:left="-108" w:right="-14"/>
              <w:jc w:val="right"/>
              <w:rPr>
                <w:b/>
                <w:bCs/>
                <w:sz w:val="18"/>
                <w:szCs w:val="18"/>
              </w:rPr>
            </w:pPr>
            <w:r w:rsidRPr="003E2819">
              <w:rPr>
                <w:b/>
                <w:bCs/>
                <w:sz w:val="18"/>
                <w:szCs w:val="18"/>
              </w:rPr>
              <w:t>1 month</w:t>
            </w:r>
          </w:p>
        </w:tc>
        <w:tc>
          <w:tcPr>
            <w:tcW w:w="951" w:type="dxa"/>
            <w:shd w:val="clear" w:color="auto" w:fill="auto"/>
            <w:vAlign w:val="bottom"/>
          </w:tcPr>
          <w:p w14:paraId="41BEC13D" w14:textId="77777777" w:rsidR="00FA020F" w:rsidRPr="003E2819" w:rsidRDefault="00FA020F" w:rsidP="00400883">
            <w:pPr>
              <w:ind w:right="-14"/>
              <w:jc w:val="right"/>
              <w:rPr>
                <w:b/>
                <w:bCs/>
                <w:sz w:val="18"/>
                <w:szCs w:val="18"/>
              </w:rPr>
            </w:pPr>
            <w:r w:rsidRPr="003E2819">
              <w:rPr>
                <w:b/>
                <w:bCs/>
                <w:sz w:val="18"/>
                <w:szCs w:val="18"/>
              </w:rPr>
              <w:t>1-3 months</w:t>
            </w:r>
          </w:p>
        </w:tc>
        <w:tc>
          <w:tcPr>
            <w:tcW w:w="1099" w:type="dxa"/>
            <w:shd w:val="clear" w:color="auto" w:fill="auto"/>
            <w:vAlign w:val="bottom"/>
          </w:tcPr>
          <w:p w14:paraId="26A23B39" w14:textId="77777777" w:rsidR="006C5218" w:rsidRDefault="00FA020F" w:rsidP="00400883">
            <w:pPr>
              <w:ind w:right="-14"/>
              <w:jc w:val="right"/>
              <w:rPr>
                <w:b/>
                <w:bCs/>
                <w:sz w:val="18"/>
                <w:szCs w:val="18"/>
              </w:rPr>
            </w:pPr>
            <w:r w:rsidRPr="003E2819">
              <w:rPr>
                <w:b/>
                <w:bCs/>
                <w:sz w:val="18"/>
                <w:szCs w:val="18"/>
              </w:rPr>
              <w:t xml:space="preserve">3-12 </w:t>
            </w:r>
          </w:p>
          <w:p w14:paraId="4E081FA5" w14:textId="38C6C529" w:rsidR="00FA020F" w:rsidRPr="003E2819" w:rsidRDefault="00FA020F" w:rsidP="00400883">
            <w:pPr>
              <w:ind w:right="-14"/>
              <w:jc w:val="right"/>
              <w:rPr>
                <w:b/>
                <w:bCs/>
                <w:sz w:val="18"/>
                <w:szCs w:val="18"/>
              </w:rPr>
            </w:pPr>
            <w:r w:rsidRPr="003E2819">
              <w:rPr>
                <w:b/>
                <w:bCs/>
                <w:sz w:val="18"/>
                <w:szCs w:val="18"/>
              </w:rPr>
              <w:t>months</w:t>
            </w:r>
          </w:p>
        </w:tc>
        <w:tc>
          <w:tcPr>
            <w:tcW w:w="1187" w:type="dxa"/>
            <w:shd w:val="clear" w:color="auto" w:fill="auto"/>
            <w:vAlign w:val="bottom"/>
          </w:tcPr>
          <w:p w14:paraId="3C8697DD" w14:textId="77777777" w:rsidR="006C5218" w:rsidRDefault="00FA020F" w:rsidP="00400883">
            <w:pPr>
              <w:ind w:right="-14"/>
              <w:jc w:val="right"/>
              <w:rPr>
                <w:b/>
                <w:bCs/>
                <w:sz w:val="18"/>
                <w:szCs w:val="18"/>
              </w:rPr>
            </w:pPr>
            <w:r w:rsidRPr="003E2819">
              <w:rPr>
                <w:b/>
                <w:bCs/>
                <w:sz w:val="18"/>
                <w:szCs w:val="18"/>
              </w:rPr>
              <w:t xml:space="preserve">1-5 </w:t>
            </w:r>
          </w:p>
          <w:p w14:paraId="28B2D8A8" w14:textId="127CD2E7" w:rsidR="00FA020F" w:rsidRPr="003E2819" w:rsidRDefault="00FA020F" w:rsidP="00400883">
            <w:pPr>
              <w:ind w:right="-14"/>
              <w:jc w:val="right"/>
              <w:rPr>
                <w:b/>
                <w:bCs/>
                <w:sz w:val="18"/>
                <w:szCs w:val="18"/>
              </w:rPr>
            </w:pPr>
            <w:r w:rsidRPr="003E2819">
              <w:rPr>
                <w:b/>
                <w:bCs/>
                <w:sz w:val="18"/>
                <w:szCs w:val="18"/>
              </w:rPr>
              <w:t>years</w:t>
            </w:r>
          </w:p>
        </w:tc>
        <w:tc>
          <w:tcPr>
            <w:tcW w:w="1099" w:type="dxa"/>
            <w:shd w:val="clear" w:color="auto" w:fill="auto"/>
            <w:vAlign w:val="bottom"/>
          </w:tcPr>
          <w:p w14:paraId="59B3A4AF" w14:textId="77777777" w:rsidR="006C5218" w:rsidRDefault="00FA020F" w:rsidP="00400883">
            <w:pPr>
              <w:tabs>
                <w:tab w:val="left" w:pos="1032"/>
              </w:tabs>
              <w:ind w:left="-144" w:right="-14"/>
              <w:jc w:val="right"/>
              <w:rPr>
                <w:b/>
                <w:bCs/>
                <w:sz w:val="18"/>
                <w:szCs w:val="18"/>
              </w:rPr>
            </w:pPr>
            <w:r w:rsidRPr="003E2819">
              <w:rPr>
                <w:b/>
                <w:bCs/>
                <w:sz w:val="18"/>
                <w:szCs w:val="18"/>
              </w:rPr>
              <w:t xml:space="preserve">5 years </w:t>
            </w:r>
          </w:p>
          <w:p w14:paraId="702E6518" w14:textId="5BC1B353" w:rsidR="00FA020F" w:rsidRPr="003E2819" w:rsidRDefault="00FA020F" w:rsidP="00400883">
            <w:pPr>
              <w:tabs>
                <w:tab w:val="left" w:pos="1032"/>
              </w:tabs>
              <w:ind w:left="-144" w:right="-14"/>
              <w:jc w:val="right"/>
              <w:rPr>
                <w:b/>
                <w:bCs/>
                <w:sz w:val="18"/>
                <w:szCs w:val="18"/>
              </w:rPr>
            </w:pPr>
            <w:r w:rsidRPr="003E2819">
              <w:rPr>
                <w:b/>
                <w:bCs/>
                <w:sz w:val="18"/>
                <w:szCs w:val="18"/>
              </w:rPr>
              <w:t>and over</w:t>
            </w:r>
          </w:p>
        </w:tc>
        <w:tc>
          <w:tcPr>
            <w:tcW w:w="1143" w:type="dxa"/>
            <w:shd w:val="clear" w:color="auto" w:fill="auto"/>
            <w:vAlign w:val="bottom"/>
          </w:tcPr>
          <w:p w14:paraId="3EE92F2C" w14:textId="77777777" w:rsidR="00FA020F" w:rsidRPr="003E2819" w:rsidRDefault="00FA020F" w:rsidP="00400883">
            <w:pPr>
              <w:ind w:left="-108" w:right="-14"/>
              <w:jc w:val="right"/>
              <w:rPr>
                <w:b/>
                <w:bCs/>
                <w:sz w:val="18"/>
                <w:szCs w:val="18"/>
              </w:rPr>
            </w:pPr>
            <w:r w:rsidRPr="003E2819">
              <w:rPr>
                <w:b/>
                <w:bCs/>
                <w:sz w:val="18"/>
                <w:szCs w:val="18"/>
              </w:rPr>
              <w:t>Total</w:t>
            </w:r>
          </w:p>
        </w:tc>
      </w:tr>
      <w:tr w:rsidR="00FA020F" w:rsidRPr="003E2819" w14:paraId="0BAB75B2" w14:textId="77777777" w:rsidTr="00336BD5">
        <w:trPr>
          <w:trHeight w:val="232"/>
        </w:trPr>
        <w:tc>
          <w:tcPr>
            <w:tcW w:w="3120" w:type="dxa"/>
            <w:shd w:val="clear" w:color="auto" w:fill="auto"/>
            <w:vAlign w:val="bottom"/>
          </w:tcPr>
          <w:p w14:paraId="717AE7F1" w14:textId="77777777" w:rsidR="00FA020F" w:rsidRPr="003E2819" w:rsidRDefault="00FA020F" w:rsidP="00400883">
            <w:pPr>
              <w:rPr>
                <w:b/>
                <w:bCs/>
                <w:sz w:val="18"/>
                <w:szCs w:val="18"/>
              </w:rPr>
            </w:pPr>
            <w:r w:rsidRPr="003E2819">
              <w:rPr>
                <w:b/>
                <w:bCs/>
                <w:sz w:val="18"/>
                <w:szCs w:val="18"/>
              </w:rPr>
              <w:t>Liabilities</w:t>
            </w:r>
          </w:p>
        </w:tc>
        <w:tc>
          <w:tcPr>
            <w:tcW w:w="1128" w:type="dxa"/>
            <w:shd w:val="clear" w:color="auto" w:fill="auto"/>
            <w:vAlign w:val="bottom"/>
          </w:tcPr>
          <w:p w14:paraId="1321089B" w14:textId="77777777" w:rsidR="00FA020F" w:rsidRPr="003E2819" w:rsidRDefault="00FA020F" w:rsidP="00400883">
            <w:pPr>
              <w:pStyle w:val="xl30"/>
              <w:pBdr>
                <w:right w:val="none" w:sz="0" w:space="0" w:color="auto"/>
              </w:pBdr>
              <w:spacing w:before="0" w:beforeAutospacing="0" w:after="0" w:afterAutospacing="0"/>
              <w:ind w:right="-28"/>
              <w:rPr>
                <w:rFonts w:eastAsia="Times New Roman"/>
              </w:rPr>
            </w:pPr>
          </w:p>
        </w:tc>
        <w:tc>
          <w:tcPr>
            <w:tcW w:w="951" w:type="dxa"/>
            <w:shd w:val="clear" w:color="auto" w:fill="auto"/>
            <w:vAlign w:val="bottom"/>
          </w:tcPr>
          <w:p w14:paraId="7553E61E" w14:textId="77777777" w:rsidR="00FA020F" w:rsidRPr="003E2819" w:rsidRDefault="00FA020F" w:rsidP="00400883">
            <w:pPr>
              <w:ind w:right="-28"/>
              <w:jc w:val="right"/>
              <w:rPr>
                <w:rFonts w:eastAsia="Arial Unicode MS"/>
                <w:sz w:val="18"/>
                <w:szCs w:val="18"/>
              </w:rPr>
            </w:pPr>
          </w:p>
        </w:tc>
        <w:tc>
          <w:tcPr>
            <w:tcW w:w="1099" w:type="dxa"/>
            <w:shd w:val="clear" w:color="auto" w:fill="auto"/>
            <w:vAlign w:val="bottom"/>
          </w:tcPr>
          <w:p w14:paraId="2EAFF580" w14:textId="77777777" w:rsidR="00FA020F" w:rsidRPr="003E2819" w:rsidRDefault="00FA020F" w:rsidP="00400883">
            <w:pPr>
              <w:ind w:right="-28"/>
              <w:jc w:val="right"/>
              <w:rPr>
                <w:rFonts w:eastAsia="Arial Unicode MS"/>
                <w:sz w:val="18"/>
                <w:szCs w:val="18"/>
              </w:rPr>
            </w:pPr>
          </w:p>
        </w:tc>
        <w:tc>
          <w:tcPr>
            <w:tcW w:w="1187" w:type="dxa"/>
            <w:shd w:val="clear" w:color="auto" w:fill="auto"/>
            <w:vAlign w:val="bottom"/>
          </w:tcPr>
          <w:p w14:paraId="2F69F8DB" w14:textId="77777777" w:rsidR="00FA020F" w:rsidRPr="003E2819" w:rsidRDefault="00FA020F" w:rsidP="00400883">
            <w:pPr>
              <w:ind w:right="-28"/>
              <w:jc w:val="right"/>
              <w:rPr>
                <w:rFonts w:eastAsia="Arial Unicode MS"/>
                <w:sz w:val="18"/>
                <w:szCs w:val="18"/>
              </w:rPr>
            </w:pPr>
          </w:p>
        </w:tc>
        <w:tc>
          <w:tcPr>
            <w:tcW w:w="1099" w:type="dxa"/>
            <w:shd w:val="clear" w:color="auto" w:fill="auto"/>
            <w:vAlign w:val="bottom"/>
          </w:tcPr>
          <w:p w14:paraId="0F7CBCBB" w14:textId="77777777" w:rsidR="00FA020F" w:rsidRPr="003E2819" w:rsidRDefault="00FA020F" w:rsidP="00400883">
            <w:pPr>
              <w:ind w:right="-28"/>
              <w:jc w:val="right"/>
              <w:rPr>
                <w:rFonts w:eastAsia="Arial Unicode MS"/>
                <w:sz w:val="18"/>
                <w:szCs w:val="18"/>
              </w:rPr>
            </w:pPr>
          </w:p>
        </w:tc>
        <w:tc>
          <w:tcPr>
            <w:tcW w:w="1143" w:type="dxa"/>
            <w:shd w:val="clear" w:color="auto" w:fill="auto"/>
            <w:vAlign w:val="bottom"/>
          </w:tcPr>
          <w:p w14:paraId="3F611D3D" w14:textId="77777777" w:rsidR="00FA020F" w:rsidRPr="003E2819" w:rsidRDefault="00FA020F" w:rsidP="00400883">
            <w:pPr>
              <w:ind w:right="-28"/>
              <w:jc w:val="right"/>
              <w:rPr>
                <w:rFonts w:eastAsia="Arial Unicode MS"/>
                <w:b/>
                <w:bCs/>
                <w:sz w:val="18"/>
                <w:szCs w:val="18"/>
              </w:rPr>
            </w:pPr>
          </w:p>
        </w:tc>
      </w:tr>
      <w:tr w:rsidR="00224102" w:rsidRPr="003E2819" w14:paraId="71FF5020" w14:textId="77777777" w:rsidTr="00336BD5">
        <w:trPr>
          <w:trHeight w:val="232"/>
        </w:trPr>
        <w:tc>
          <w:tcPr>
            <w:tcW w:w="3120" w:type="dxa"/>
            <w:shd w:val="clear" w:color="auto" w:fill="auto"/>
            <w:vAlign w:val="bottom"/>
          </w:tcPr>
          <w:p w14:paraId="4BCEDA8C" w14:textId="7876E0F8" w:rsidR="00224102" w:rsidRPr="003E2819" w:rsidRDefault="00224102" w:rsidP="00224102">
            <w:pPr>
              <w:rPr>
                <w:sz w:val="18"/>
                <w:szCs w:val="18"/>
              </w:rPr>
            </w:pPr>
            <w:r w:rsidRPr="003E2819">
              <w:rPr>
                <w:sz w:val="18"/>
                <w:szCs w:val="18"/>
              </w:rPr>
              <w:t xml:space="preserve">Bank </w:t>
            </w:r>
            <w:r>
              <w:rPr>
                <w:sz w:val="18"/>
                <w:szCs w:val="18"/>
              </w:rPr>
              <w:t>D</w:t>
            </w:r>
            <w:r w:rsidRPr="003E2819">
              <w:rPr>
                <w:sz w:val="18"/>
                <w:szCs w:val="18"/>
              </w:rPr>
              <w:t>eposits</w:t>
            </w:r>
          </w:p>
        </w:tc>
        <w:tc>
          <w:tcPr>
            <w:tcW w:w="1128" w:type="dxa"/>
            <w:shd w:val="clear" w:color="auto" w:fill="auto"/>
            <w:vAlign w:val="bottom"/>
          </w:tcPr>
          <w:p w14:paraId="59A2FF21" w14:textId="66CC4048" w:rsidR="00224102" w:rsidRPr="00222C10" w:rsidRDefault="00224102" w:rsidP="00224102">
            <w:pPr>
              <w:jc w:val="right"/>
              <w:rPr>
                <w:color w:val="000000"/>
                <w:sz w:val="18"/>
                <w:szCs w:val="18"/>
              </w:rPr>
            </w:pPr>
            <w:r w:rsidRPr="00222C10">
              <w:rPr>
                <w:color w:val="000000"/>
                <w:sz w:val="18"/>
                <w:szCs w:val="18"/>
              </w:rPr>
              <w:t>441,705</w:t>
            </w:r>
          </w:p>
        </w:tc>
        <w:tc>
          <w:tcPr>
            <w:tcW w:w="951" w:type="dxa"/>
            <w:shd w:val="clear" w:color="auto" w:fill="auto"/>
            <w:vAlign w:val="bottom"/>
          </w:tcPr>
          <w:p w14:paraId="5D227FC2" w14:textId="38E6C4CC" w:rsidR="00224102" w:rsidRPr="00222C10" w:rsidRDefault="00224102" w:rsidP="00224102">
            <w:pPr>
              <w:jc w:val="right"/>
              <w:rPr>
                <w:color w:val="000000"/>
                <w:sz w:val="18"/>
                <w:szCs w:val="18"/>
              </w:rPr>
            </w:pPr>
            <w:r w:rsidRPr="00222C10">
              <w:rPr>
                <w:color w:val="000000"/>
                <w:sz w:val="18"/>
                <w:szCs w:val="18"/>
              </w:rPr>
              <w:t>646,402</w:t>
            </w:r>
          </w:p>
        </w:tc>
        <w:tc>
          <w:tcPr>
            <w:tcW w:w="1099" w:type="dxa"/>
            <w:shd w:val="clear" w:color="auto" w:fill="auto"/>
            <w:vAlign w:val="bottom"/>
          </w:tcPr>
          <w:p w14:paraId="0F8C2F77" w14:textId="338C2126" w:rsidR="00224102" w:rsidRPr="00222C10" w:rsidRDefault="00224102" w:rsidP="00224102">
            <w:pPr>
              <w:jc w:val="right"/>
              <w:rPr>
                <w:color w:val="000000"/>
                <w:sz w:val="18"/>
                <w:szCs w:val="18"/>
              </w:rPr>
            </w:pPr>
            <w:r w:rsidRPr="00222C10">
              <w:rPr>
                <w:color w:val="000000"/>
                <w:sz w:val="18"/>
                <w:szCs w:val="18"/>
              </w:rPr>
              <w:t>31,928</w:t>
            </w:r>
          </w:p>
        </w:tc>
        <w:tc>
          <w:tcPr>
            <w:tcW w:w="1187" w:type="dxa"/>
            <w:shd w:val="clear" w:color="auto" w:fill="auto"/>
            <w:vAlign w:val="bottom"/>
          </w:tcPr>
          <w:p w14:paraId="1005909F" w14:textId="3CD5DFE6" w:rsidR="00224102" w:rsidRPr="00222C10" w:rsidRDefault="00224102" w:rsidP="00224102">
            <w:pPr>
              <w:jc w:val="right"/>
              <w:rPr>
                <w:color w:val="000000"/>
                <w:sz w:val="18"/>
                <w:szCs w:val="18"/>
              </w:rPr>
            </w:pPr>
            <w:r w:rsidRPr="00222C10">
              <w:rPr>
                <w:color w:val="000000"/>
                <w:sz w:val="18"/>
                <w:szCs w:val="18"/>
              </w:rPr>
              <w:t>-</w:t>
            </w:r>
          </w:p>
        </w:tc>
        <w:tc>
          <w:tcPr>
            <w:tcW w:w="1099" w:type="dxa"/>
            <w:shd w:val="clear" w:color="auto" w:fill="auto"/>
            <w:vAlign w:val="bottom"/>
          </w:tcPr>
          <w:p w14:paraId="4089D391" w14:textId="0CFE0B90" w:rsidR="00224102" w:rsidRPr="00222C10" w:rsidRDefault="00224102" w:rsidP="00224102">
            <w:pPr>
              <w:jc w:val="right"/>
              <w:rPr>
                <w:color w:val="000000"/>
                <w:sz w:val="18"/>
                <w:szCs w:val="18"/>
              </w:rPr>
            </w:pPr>
            <w:r w:rsidRPr="00222C10">
              <w:rPr>
                <w:color w:val="000000"/>
                <w:sz w:val="18"/>
                <w:szCs w:val="18"/>
              </w:rPr>
              <w:t>-</w:t>
            </w:r>
          </w:p>
        </w:tc>
        <w:tc>
          <w:tcPr>
            <w:tcW w:w="1143" w:type="dxa"/>
            <w:shd w:val="clear" w:color="auto" w:fill="auto"/>
            <w:vAlign w:val="bottom"/>
          </w:tcPr>
          <w:p w14:paraId="0286372C" w14:textId="05C9AD85" w:rsidR="00224102" w:rsidRPr="00222C10" w:rsidRDefault="00224102" w:rsidP="00224102">
            <w:pPr>
              <w:jc w:val="right"/>
              <w:rPr>
                <w:color w:val="000000"/>
                <w:sz w:val="18"/>
                <w:szCs w:val="18"/>
              </w:rPr>
            </w:pPr>
            <w:r>
              <w:rPr>
                <w:color w:val="000000"/>
                <w:sz w:val="18"/>
                <w:szCs w:val="18"/>
              </w:rPr>
              <w:t>1,120,035</w:t>
            </w:r>
          </w:p>
        </w:tc>
      </w:tr>
      <w:tr w:rsidR="00224102" w:rsidRPr="003E2819" w14:paraId="2CC1DFFA" w14:textId="77777777" w:rsidTr="00336BD5">
        <w:trPr>
          <w:trHeight w:val="232"/>
        </w:trPr>
        <w:tc>
          <w:tcPr>
            <w:tcW w:w="3120" w:type="dxa"/>
            <w:shd w:val="clear" w:color="auto" w:fill="auto"/>
            <w:vAlign w:val="bottom"/>
          </w:tcPr>
          <w:p w14:paraId="6AB1BDDB" w14:textId="03A1704D" w:rsidR="00224102" w:rsidRPr="003E2819" w:rsidRDefault="00224102" w:rsidP="00224102">
            <w:pPr>
              <w:rPr>
                <w:sz w:val="18"/>
                <w:szCs w:val="18"/>
              </w:rPr>
            </w:pPr>
            <w:r w:rsidRPr="001E688C">
              <w:rPr>
                <w:sz w:val="18"/>
                <w:szCs w:val="18"/>
              </w:rPr>
              <w:t xml:space="preserve">Other </w:t>
            </w:r>
            <w:r>
              <w:rPr>
                <w:sz w:val="18"/>
                <w:szCs w:val="18"/>
              </w:rPr>
              <w:t>D</w:t>
            </w:r>
            <w:r w:rsidRPr="001E688C">
              <w:rPr>
                <w:sz w:val="18"/>
                <w:szCs w:val="18"/>
              </w:rPr>
              <w:t>eposits</w:t>
            </w:r>
          </w:p>
        </w:tc>
        <w:tc>
          <w:tcPr>
            <w:tcW w:w="1128" w:type="dxa"/>
            <w:shd w:val="clear" w:color="auto" w:fill="auto"/>
            <w:vAlign w:val="bottom"/>
          </w:tcPr>
          <w:p w14:paraId="3FCD706C" w14:textId="53817273" w:rsidR="00224102" w:rsidRPr="00222C10" w:rsidRDefault="00224102" w:rsidP="00224102">
            <w:pPr>
              <w:jc w:val="right"/>
              <w:rPr>
                <w:color w:val="000000"/>
                <w:sz w:val="18"/>
                <w:szCs w:val="18"/>
              </w:rPr>
            </w:pPr>
            <w:r w:rsidRPr="00222C10">
              <w:rPr>
                <w:color w:val="000000"/>
                <w:sz w:val="18"/>
                <w:szCs w:val="18"/>
              </w:rPr>
              <w:t>1,302,659</w:t>
            </w:r>
          </w:p>
        </w:tc>
        <w:tc>
          <w:tcPr>
            <w:tcW w:w="951" w:type="dxa"/>
            <w:shd w:val="clear" w:color="auto" w:fill="auto"/>
            <w:vAlign w:val="bottom"/>
          </w:tcPr>
          <w:p w14:paraId="475EAE5C" w14:textId="1B8F66FD" w:rsidR="00224102" w:rsidRPr="00222C10" w:rsidRDefault="00224102" w:rsidP="00224102">
            <w:pPr>
              <w:jc w:val="right"/>
              <w:rPr>
                <w:color w:val="000000"/>
                <w:sz w:val="18"/>
                <w:szCs w:val="18"/>
              </w:rPr>
            </w:pPr>
            <w:r w:rsidRPr="00222C10">
              <w:rPr>
                <w:color w:val="000000"/>
                <w:sz w:val="18"/>
                <w:szCs w:val="18"/>
              </w:rPr>
              <w:t>4,277,642</w:t>
            </w:r>
          </w:p>
        </w:tc>
        <w:tc>
          <w:tcPr>
            <w:tcW w:w="1099" w:type="dxa"/>
            <w:shd w:val="clear" w:color="auto" w:fill="auto"/>
            <w:vAlign w:val="bottom"/>
          </w:tcPr>
          <w:p w14:paraId="1653D212" w14:textId="1C1941FC" w:rsidR="00224102" w:rsidRPr="00222C10" w:rsidRDefault="00224102" w:rsidP="00224102">
            <w:pPr>
              <w:jc w:val="right"/>
              <w:rPr>
                <w:color w:val="000000"/>
                <w:sz w:val="18"/>
                <w:szCs w:val="18"/>
              </w:rPr>
            </w:pPr>
            <w:r w:rsidRPr="00222C10">
              <w:rPr>
                <w:color w:val="000000"/>
                <w:sz w:val="18"/>
                <w:szCs w:val="18"/>
              </w:rPr>
              <w:t>339,452</w:t>
            </w:r>
          </w:p>
        </w:tc>
        <w:tc>
          <w:tcPr>
            <w:tcW w:w="1187" w:type="dxa"/>
            <w:shd w:val="clear" w:color="auto" w:fill="auto"/>
            <w:vAlign w:val="bottom"/>
          </w:tcPr>
          <w:p w14:paraId="28AEBD6E" w14:textId="2E9033D6" w:rsidR="00224102" w:rsidRPr="00222C10" w:rsidRDefault="00224102" w:rsidP="00224102">
            <w:pPr>
              <w:jc w:val="right"/>
              <w:rPr>
                <w:color w:val="000000"/>
                <w:sz w:val="18"/>
                <w:szCs w:val="18"/>
              </w:rPr>
            </w:pPr>
            <w:r w:rsidRPr="00222C10">
              <w:rPr>
                <w:color w:val="000000"/>
                <w:sz w:val="18"/>
                <w:szCs w:val="18"/>
              </w:rPr>
              <w:t>51,698</w:t>
            </w:r>
          </w:p>
        </w:tc>
        <w:tc>
          <w:tcPr>
            <w:tcW w:w="1099" w:type="dxa"/>
            <w:shd w:val="clear" w:color="auto" w:fill="auto"/>
            <w:vAlign w:val="bottom"/>
          </w:tcPr>
          <w:p w14:paraId="52A5E3FA" w14:textId="3358BC4A" w:rsidR="00224102" w:rsidRPr="00222C10" w:rsidRDefault="00224102" w:rsidP="00224102">
            <w:pPr>
              <w:jc w:val="right"/>
              <w:rPr>
                <w:color w:val="000000"/>
                <w:sz w:val="18"/>
                <w:szCs w:val="18"/>
              </w:rPr>
            </w:pPr>
            <w:r w:rsidRPr="00222C10">
              <w:rPr>
                <w:color w:val="000000"/>
                <w:sz w:val="18"/>
                <w:szCs w:val="18"/>
              </w:rPr>
              <w:t>5</w:t>
            </w:r>
          </w:p>
        </w:tc>
        <w:tc>
          <w:tcPr>
            <w:tcW w:w="1143" w:type="dxa"/>
            <w:shd w:val="clear" w:color="auto" w:fill="auto"/>
            <w:vAlign w:val="bottom"/>
          </w:tcPr>
          <w:p w14:paraId="4127BE72" w14:textId="17A1DA81" w:rsidR="00224102" w:rsidRPr="00222C10" w:rsidRDefault="00224102" w:rsidP="00224102">
            <w:pPr>
              <w:jc w:val="right"/>
              <w:rPr>
                <w:color w:val="000000"/>
                <w:sz w:val="18"/>
                <w:szCs w:val="18"/>
              </w:rPr>
            </w:pPr>
            <w:r>
              <w:rPr>
                <w:color w:val="000000"/>
                <w:sz w:val="18"/>
                <w:szCs w:val="18"/>
              </w:rPr>
              <w:t>5,971,456</w:t>
            </w:r>
          </w:p>
        </w:tc>
      </w:tr>
      <w:tr w:rsidR="00224102" w:rsidRPr="003E2819" w14:paraId="567EEBB8" w14:textId="77777777" w:rsidTr="00336BD5">
        <w:trPr>
          <w:trHeight w:val="232"/>
        </w:trPr>
        <w:tc>
          <w:tcPr>
            <w:tcW w:w="3120" w:type="dxa"/>
            <w:shd w:val="clear" w:color="auto" w:fill="auto"/>
            <w:vAlign w:val="bottom"/>
          </w:tcPr>
          <w:p w14:paraId="24BA3504" w14:textId="77777777" w:rsidR="00224102" w:rsidRPr="003E2819" w:rsidRDefault="00224102" w:rsidP="00224102">
            <w:pPr>
              <w:rPr>
                <w:sz w:val="18"/>
                <w:szCs w:val="18"/>
                <w:highlight w:val="yellow"/>
              </w:rPr>
            </w:pPr>
            <w:r w:rsidRPr="00D454D8">
              <w:rPr>
                <w:snapToGrid w:val="0"/>
                <w:sz w:val="18"/>
                <w:szCs w:val="18"/>
              </w:rPr>
              <w:t>Funds Borrowed From Other Financial Institutions</w:t>
            </w:r>
          </w:p>
        </w:tc>
        <w:tc>
          <w:tcPr>
            <w:tcW w:w="1128" w:type="dxa"/>
            <w:shd w:val="clear" w:color="auto" w:fill="auto"/>
            <w:vAlign w:val="bottom"/>
          </w:tcPr>
          <w:p w14:paraId="1690A0F7" w14:textId="68F2ED46" w:rsidR="00224102" w:rsidRPr="00222C10" w:rsidRDefault="00224102" w:rsidP="00224102">
            <w:pPr>
              <w:jc w:val="right"/>
              <w:rPr>
                <w:color w:val="000000"/>
                <w:sz w:val="18"/>
                <w:szCs w:val="18"/>
              </w:rPr>
            </w:pPr>
            <w:r w:rsidRPr="00222C10">
              <w:rPr>
                <w:color w:val="000000"/>
                <w:sz w:val="18"/>
                <w:szCs w:val="18"/>
              </w:rPr>
              <w:t>479,842</w:t>
            </w:r>
          </w:p>
        </w:tc>
        <w:tc>
          <w:tcPr>
            <w:tcW w:w="951" w:type="dxa"/>
            <w:shd w:val="clear" w:color="auto" w:fill="auto"/>
            <w:vAlign w:val="bottom"/>
          </w:tcPr>
          <w:p w14:paraId="457BD449" w14:textId="01DF574E" w:rsidR="00224102" w:rsidRPr="00222C10" w:rsidRDefault="00224102" w:rsidP="00224102">
            <w:pPr>
              <w:jc w:val="right"/>
              <w:rPr>
                <w:color w:val="000000"/>
                <w:sz w:val="18"/>
                <w:szCs w:val="18"/>
              </w:rPr>
            </w:pPr>
            <w:r w:rsidRPr="00222C10">
              <w:rPr>
                <w:color w:val="000000"/>
                <w:sz w:val="18"/>
                <w:szCs w:val="18"/>
              </w:rPr>
              <w:t>-</w:t>
            </w:r>
          </w:p>
        </w:tc>
        <w:tc>
          <w:tcPr>
            <w:tcW w:w="1099" w:type="dxa"/>
            <w:shd w:val="clear" w:color="auto" w:fill="auto"/>
            <w:vAlign w:val="bottom"/>
          </w:tcPr>
          <w:p w14:paraId="3A8BC2F8" w14:textId="5433DB8D" w:rsidR="00224102" w:rsidRPr="00222C10" w:rsidRDefault="00224102" w:rsidP="00224102">
            <w:pPr>
              <w:jc w:val="right"/>
              <w:rPr>
                <w:color w:val="000000"/>
                <w:sz w:val="18"/>
                <w:szCs w:val="18"/>
              </w:rPr>
            </w:pPr>
            <w:r w:rsidRPr="00222C10">
              <w:rPr>
                <w:color w:val="000000"/>
                <w:sz w:val="18"/>
                <w:szCs w:val="18"/>
              </w:rPr>
              <w:t>145,760</w:t>
            </w:r>
          </w:p>
        </w:tc>
        <w:tc>
          <w:tcPr>
            <w:tcW w:w="1187" w:type="dxa"/>
            <w:shd w:val="clear" w:color="auto" w:fill="auto"/>
            <w:vAlign w:val="bottom"/>
          </w:tcPr>
          <w:p w14:paraId="1EC384C1" w14:textId="4AD327B6" w:rsidR="00224102" w:rsidRPr="00222C10" w:rsidRDefault="00224102" w:rsidP="00224102">
            <w:pPr>
              <w:jc w:val="right"/>
              <w:rPr>
                <w:color w:val="000000"/>
                <w:sz w:val="18"/>
                <w:szCs w:val="18"/>
              </w:rPr>
            </w:pPr>
            <w:r>
              <w:rPr>
                <w:color w:val="000000"/>
                <w:sz w:val="18"/>
                <w:szCs w:val="18"/>
              </w:rPr>
              <w:t>-</w:t>
            </w:r>
          </w:p>
        </w:tc>
        <w:tc>
          <w:tcPr>
            <w:tcW w:w="1099" w:type="dxa"/>
            <w:shd w:val="clear" w:color="auto" w:fill="auto"/>
            <w:vAlign w:val="bottom"/>
          </w:tcPr>
          <w:p w14:paraId="4DC89FBA" w14:textId="28D3F79C" w:rsidR="00224102" w:rsidRPr="00222C10" w:rsidRDefault="00224102" w:rsidP="00224102">
            <w:pPr>
              <w:jc w:val="right"/>
              <w:rPr>
                <w:color w:val="000000"/>
                <w:sz w:val="18"/>
                <w:szCs w:val="18"/>
              </w:rPr>
            </w:pPr>
            <w:r w:rsidRPr="00222C10">
              <w:rPr>
                <w:color w:val="000000"/>
                <w:sz w:val="18"/>
                <w:szCs w:val="18"/>
              </w:rPr>
              <w:t>894,605</w:t>
            </w:r>
          </w:p>
        </w:tc>
        <w:tc>
          <w:tcPr>
            <w:tcW w:w="1143" w:type="dxa"/>
            <w:shd w:val="clear" w:color="auto" w:fill="auto"/>
            <w:vAlign w:val="bottom"/>
          </w:tcPr>
          <w:p w14:paraId="24A48494" w14:textId="2B20C61C" w:rsidR="00224102" w:rsidRPr="00222C10" w:rsidRDefault="00224102" w:rsidP="00224102">
            <w:pPr>
              <w:jc w:val="right"/>
              <w:rPr>
                <w:color w:val="000000"/>
                <w:sz w:val="18"/>
                <w:szCs w:val="18"/>
              </w:rPr>
            </w:pPr>
            <w:r>
              <w:rPr>
                <w:color w:val="000000"/>
                <w:sz w:val="18"/>
                <w:szCs w:val="18"/>
              </w:rPr>
              <w:t>1,520,207</w:t>
            </w:r>
          </w:p>
        </w:tc>
      </w:tr>
      <w:tr w:rsidR="00224102" w:rsidRPr="003E2819" w14:paraId="09267BC5" w14:textId="77777777" w:rsidTr="00336BD5">
        <w:trPr>
          <w:trHeight w:val="232"/>
        </w:trPr>
        <w:tc>
          <w:tcPr>
            <w:tcW w:w="3120" w:type="dxa"/>
            <w:shd w:val="clear" w:color="auto" w:fill="auto"/>
            <w:vAlign w:val="bottom"/>
          </w:tcPr>
          <w:p w14:paraId="5E25D665" w14:textId="2406B67D" w:rsidR="00224102" w:rsidRPr="003E2819" w:rsidRDefault="00224102" w:rsidP="00224102">
            <w:pPr>
              <w:rPr>
                <w:sz w:val="18"/>
                <w:szCs w:val="18"/>
              </w:rPr>
            </w:pPr>
            <w:r>
              <w:rPr>
                <w:sz w:val="18"/>
                <w:szCs w:val="18"/>
              </w:rPr>
              <w:t>M</w:t>
            </w:r>
            <w:r w:rsidRPr="003E2819">
              <w:rPr>
                <w:sz w:val="18"/>
                <w:szCs w:val="18"/>
              </w:rPr>
              <w:t xml:space="preserve">oney </w:t>
            </w:r>
            <w:r>
              <w:rPr>
                <w:sz w:val="18"/>
                <w:szCs w:val="18"/>
              </w:rPr>
              <w:t>M</w:t>
            </w:r>
            <w:r w:rsidRPr="003E2819">
              <w:rPr>
                <w:sz w:val="18"/>
                <w:szCs w:val="18"/>
              </w:rPr>
              <w:t>arket</w:t>
            </w:r>
            <w:r>
              <w:rPr>
                <w:sz w:val="18"/>
                <w:szCs w:val="18"/>
              </w:rPr>
              <w:t xml:space="preserve"> F</w:t>
            </w:r>
            <w:r w:rsidRPr="003E2819">
              <w:rPr>
                <w:sz w:val="18"/>
                <w:szCs w:val="18"/>
              </w:rPr>
              <w:t>unds</w:t>
            </w:r>
          </w:p>
        </w:tc>
        <w:tc>
          <w:tcPr>
            <w:tcW w:w="1128" w:type="dxa"/>
            <w:shd w:val="clear" w:color="auto" w:fill="auto"/>
            <w:vAlign w:val="bottom"/>
          </w:tcPr>
          <w:p w14:paraId="6C9ED7C0" w14:textId="3FDC232D" w:rsidR="00224102" w:rsidRPr="00222C10" w:rsidRDefault="00224102" w:rsidP="00224102">
            <w:pPr>
              <w:jc w:val="right"/>
              <w:rPr>
                <w:color w:val="000000"/>
                <w:sz w:val="18"/>
                <w:szCs w:val="18"/>
              </w:rPr>
            </w:pPr>
            <w:r w:rsidRPr="00222C10">
              <w:rPr>
                <w:color w:val="000000"/>
                <w:sz w:val="18"/>
                <w:szCs w:val="18"/>
              </w:rPr>
              <w:t>92,227</w:t>
            </w:r>
          </w:p>
        </w:tc>
        <w:tc>
          <w:tcPr>
            <w:tcW w:w="951" w:type="dxa"/>
            <w:shd w:val="clear" w:color="auto" w:fill="auto"/>
            <w:vAlign w:val="bottom"/>
          </w:tcPr>
          <w:p w14:paraId="24C7D2A5" w14:textId="222B6232" w:rsidR="00224102" w:rsidRPr="00222C10" w:rsidRDefault="00224102" w:rsidP="00224102">
            <w:pPr>
              <w:jc w:val="right"/>
              <w:rPr>
                <w:color w:val="000000"/>
                <w:sz w:val="18"/>
                <w:szCs w:val="18"/>
              </w:rPr>
            </w:pPr>
            <w:r w:rsidRPr="00222C10">
              <w:rPr>
                <w:color w:val="000000"/>
                <w:sz w:val="18"/>
                <w:szCs w:val="18"/>
              </w:rPr>
              <w:t>151,227</w:t>
            </w:r>
          </w:p>
        </w:tc>
        <w:tc>
          <w:tcPr>
            <w:tcW w:w="1099" w:type="dxa"/>
            <w:shd w:val="clear" w:color="auto" w:fill="auto"/>
            <w:vAlign w:val="bottom"/>
          </w:tcPr>
          <w:p w14:paraId="20E8BB04" w14:textId="6CBA86C3" w:rsidR="00224102" w:rsidRPr="00222C10" w:rsidRDefault="00224102" w:rsidP="00224102">
            <w:pPr>
              <w:jc w:val="right"/>
              <w:rPr>
                <w:color w:val="000000"/>
                <w:sz w:val="18"/>
                <w:szCs w:val="18"/>
              </w:rPr>
            </w:pPr>
            <w:r w:rsidRPr="00222C10">
              <w:rPr>
                <w:color w:val="000000"/>
                <w:sz w:val="18"/>
                <w:szCs w:val="18"/>
              </w:rPr>
              <w:t>1,301,017</w:t>
            </w:r>
          </w:p>
        </w:tc>
        <w:tc>
          <w:tcPr>
            <w:tcW w:w="1187" w:type="dxa"/>
            <w:shd w:val="clear" w:color="auto" w:fill="auto"/>
            <w:vAlign w:val="bottom"/>
          </w:tcPr>
          <w:p w14:paraId="1B5B4F56" w14:textId="485C83DA" w:rsidR="00224102" w:rsidRPr="00222C10" w:rsidRDefault="00224102" w:rsidP="00224102">
            <w:pPr>
              <w:jc w:val="right"/>
              <w:rPr>
                <w:color w:val="000000"/>
                <w:sz w:val="18"/>
                <w:szCs w:val="18"/>
              </w:rPr>
            </w:pPr>
            <w:r w:rsidRPr="00222C10">
              <w:rPr>
                <w:color w:val="000000"/>
                <w:sz w:val="18"/>
                <w:szCs w:val="18"/>
              </w:rPr>
              <w:t>2,270,945</w:t>
            </w:r>
          </w:p>
        </w:tc>
        <w:tc>
          <w:tcPr>
            <w:tcW w:w="1099" w:type="dxa"/>
            <w:shd w:val="clear" w:color="auto" w:fill="auto"/>
            <w:vAlign w:val="bottom"/>
          </w:tcPr>
          <w:p w14:paraId="18FF69A4" w14:textId="14C98CCD" w:rsidR="00224102" w:rsidRPr="00222C10" w:rsidRDefault="00224102" w:rsidP="00224102">
            <w:pPr>
              <w:jc w:val="right"/>
              <w:rPr>
                <w:color w:val="000000"/>
                <w:sz w:val="18"/>
                <w:szCs w:val="18"/>
              </w:rPr>
            </w:pPr>
            <w:r w:rsidRPr="00222C10">
              <w:rPr>
                <w:color w:val="000000"/>
                <w:sz w:val="18"/>
                <w:szCs w:val="18"/>
              </w:rPr>
              <w:t>569,587</w:t>
            </w:r>
          </w:p>
        </w:tc>
        <w:tc>
          <w:tcPr>
            <w:tcW w:w="1143" w:type="dxa"/>
            <w:shd w:val="clear" w:color="auto" w:fill="auto"/>
            <w:vAlign w:val="bottom"/>
          </w:tcPr>
          <w:p w14:paraId="1984726D" w14:textId="7F45DD81" w:rsidR="00224102" w:rsidRPr="00222C10" w:rsidRDefault="00224102" w:rsidP="00224102">
            <w:pPr>
              <w:jc w:val="right"/>
              <w:rPr>
                <w:color w:val="000000"/>
                <w:sz w:val="18"/>
                <w:szCs w:val="18"/>
              </w:rPr>
            </w:pPr>
            <w:r>
              <w:rPr>
                <w:color w:val="000000"/>
                <w:sz w:val="18"/>
                <w:szCs w:val="18"/>
              </w:rPr>
              <w:t>4,385,003</w:t>
            </w:r>
          </w:p>
        </w:tc>
      </w:tr>
      <w:tr w:rsidR="00224102" w:rsidRPr="003E2819" w14:paraId="79044BEC" w14:textId="77777777" w:rsidTr="00336BD5">
        <w:trPr>
          <w:trHeight w:val="232"/>
        </w:trPr>
        <w:tc>
          <w:tcPr>
            <w:tcW w:w="3120" w:type="dxa"/>
            <w:shd w:val="clear" w:color="auto" w:fill="auto"/>
            <w:vAlign w:val="bottom"/>
          </w:tcPr>
          <w:p w14:paraId="2466E293" w14:textId="77777777" w:rsidR="00224102" w:rsidRPr="003E2819" w:rsidRDefault="00224102" w:rsidP="00224102">
            <w:pPr>
              <w:rPr>
                <w:sz w:val="18"/>
                <w:szCs w:val="18"/>
              </w:rPr>
            </w:pPr>
            <w:r w:rsidRPr="003E2819">
              <w:rPr>
                <w:sz w:val="18"/>
                <w:szCs w:val="18"/>
              </w:rPr>
              <w:t>Marketable Securities Issued</w:t>
            </w:r>
          </w:p>
        </w:tc>
        <w:tc>
          <w:tcPr>
            <w:tcW w:w="1128" w:type="dxa"/>
            <w:shd w:val="clear" w:color="auto" w:fill="auto"/>
            <w:vAlign w:val="bottom"/>
          </w:tcPr>
          <w:p w14:paraId="1A0EE91D" w14:textId="77777777" w:rsidR="00224102" w:rsidRPr="00222C10" w:rsidRDefault="00224102" w:rsidP="00224102">
            <w:pPr>
              <w:jc w:val="right"/>
              <w:rPr>
                <w:color w:val="000000"/>
                <w:sz w:val="18"/>
                <w:szCs w:val="18"/>
              </w:rPr>
            </w:pPr>
          </w:p>
        </w:tc>
        <w:tc>
          <w:tcPr>
            <w:tcW w:w="951" w:type="dxa"/>
            <w:shd w:val="clear" w:color="auto" w:fill="auto"/>
            <w:vAlign w:val="bottom"/>
          </w:tcPr>
          <w:p w14:paraId="4911AA7E" w14:textId="28475A4D" w:rsidR="00224102" w:rsidRPr="00222C10" w:rsidRDefault="00224102" w:rsidP="00224102">
            <w:pPr>
              <w:jc w:val="right"/>
              <w:rPr>
                <w:color w:val="000000"/>
                <w:sz w:val="18"/>
                <w:szCs w:val="18"/>
              </w:rPr>
            </w:pPr>
            <w:r w:rsidRPr="00222C10">
              <w:rPr>
                <w:color w:val="000000"/>
                <w:sz w:val="18"/>
                <w:szCs w:val="18"/>
              </w:rPr>
              <w:t>-</w:t>
            </w:r>
          </w:p>
        </w:tc>
        <w:tc>
          <w:tcPr>
            <w:tcW w:w="1099" w:type="dxa"/>
            <w:shd w:val="clear" w:color="auto" w:fill="auto"/>
            <w:vAlign w:val="bottom"/>
          </w:tcPr>
          <w:p w14:paraId="45C67D03" w14:textId="0123ECED" w:rsidR="00224102" w:rsidRPr="00222C10" w:rsidRDefault="00224102" w:rsidP="00224102">
            <w:pPr>
              <w:jc w:val="right"/>
              <w:rPr>
                <w:color w:val="000000"/>
                <w:sz w:val="18"/>
                <w:szCs w:val="18"/>
              </w:rPr>
            </w:pPr>
            <w:r>
              <w:rPr>
                <w:color w:val="000000"/>
                <w:sz w:val="18"/>
                <w:szCs w:val="18"/>
              </w:rPr>
              <w:t>145,760</w:t>
            </w:r>
          </w:p>
        </w:tc>
        <w:tc>
          <w:tcPr>
            <w:tcW w:w="1187" w:type="dxa"/>
            <w:shd w:val="clear" w:color="auto" w:fill="auto"/>
            <w:vAlign w:val="bottom"/>
          </w:tcPr>
          <w:p w14:paraId="6AB6C2BD" w14:textId="20EB0F78" w:rsidR="00224102" w:rsidRPr="00222C10" w:rsidRDefault="00224102" w:rsidP="00224102">
            <w:pPr>
              <w:jc w:val="right"/>
              <w:rPr>
                <w:color w:val="000000"/>
                <w:sz w:val="18"/>
                <w:szCs w:val="18"/>
              </w:rPr>
            </w:pPr>
            <w:r w:rsidRPr="00222C10">
              <w:rPr>
                <w:color w:val="000000"/>
                <w:sz w:val="18"/>
                <w:szCs w:val="18"/>
              </w:rPr>
              <w:t>725,710</w:t>
            </w:r>
          </w:p>
        </w:tc>
        <w:tc>
          <w:tcPr>
            <w:tcW w:w="1099" w:type="dxa"/>
            <w:shd w:val="clear" w:color="auto" w:fill="auto"/>
            <w:vAlign w:val="bottom"/>
          </w:tcPr>
          <w:p w14:paraId="0059C706" w14:textId="1738598F" w:rsidR="00224102" w:rsidRPr="00222C10" w:rsidRDefault="00224102" w:rsidP="00224102">
            <w:pPr>
              <w:jc w:val="right"/>
              <w:rPr>
                <w:color w:val="000000"/>
                <w:sz w:val="18"/>
                <w:szCs w:val="18"/>
              </w:rPr>
            </w:pPr>
            <w:r w:rsidRPr="00222C10">
              <w:rPr>
                <w:color w:val="000000"/>
                <w:sz w:val="18"/>
                <w:szCs w:val="18"/>
              </w:rPr>
              <w:t>-</w:t>
            </w:r>
          </w:p>
        </w:tc>
        <w:tc>
          <w:tcPr>
            <w:tcW w:w="1143" w:type="dxa"/>
            <w:shd w:val="clear" w:color="auto" w:fill="auto"/>
            <w:vAlign w:val="bottom"/>
          </w:tcPr>
          <w:p w14:paraId="0F34D60C" w14:textId="4413FCFE" w:rsidR="00224102" w:rsidRPr="00222C10" w:rsidRDefault="00224102" w:rsidP="00224102">
            <w:pPr>
              <w:jc w:val="right"/>
              <w:rPr>
                <w:color w:val="000000"/>
                <w:sz w:val="18"/>
                <w:szCs w:val="18"/>
              </w:rPr>
            </w:pPr>
            <w:r>
              <w:rPr>
                <w:color w:val="000000"/>
                <w:sz w:val="18"/>
                <w:szCs w:val="18"/>
              </w:rPr>
              <w:t>871,470</w:t>
            </w:r>
          </w:p>
        </w:tc>
      </w:tr>
      <w:tr w:rsidR="00224102" w:rsidRPr="003E2819" w14:paraId="5E58B033" w14:textId="77777777" w:rsidTr="00336BD5">
        <w:trPr>
          <w:trHeight w:val="232"/>
        </w:trPr>
        <w:tc>
          <w:tcPr>
            <w:tcW w:w="3120" w:type="dxa"/>
            <w:shd w:val="clear" w:color="auto" w:fill="auto"/>
            <w:vAlign w:val="bottom"/>
          </w:tcPr>
          <w:p w14:paraId="34E18278" w14:textId="77777777" w:rsidR="00224102" w:rsidRPr="003E2819" w:rsidRDefault="00224102" w:rsidP="00224102">
            <w:pPr>
              <w:rPr>
                <w:b/>
                <w:bCs/>
                <w:sz w:val="18"/>
                <w:szCs w:val="18"/>
              </w:rPr>
            </w:pPr>
            <w:r>
              <w:rPr>
                <w:b/>
                <w:sz w:val="18"/>
                <w:szCs w:val="18"/>
              </w:rPr>
              <w:t>Total</w:t>
            </w:r>
          </w:p>
        </w:tc>
        <w:tc>
          <w:tcPr>
            <w:tcW w:w="1128" w:type="dxa"/>
            <w:shd w:val="clear" w:color="auto" w:fill="auto"/>
            <w:noWrap/>
            <w:vAlign w:val="center"/>
          </w:tcPr>
          <w:p w14:paraId="4A570AA3" w14:textId="44AFC0B5" w:rsidR="00224102" w:rsidRPr="00222C10" w:rsidRDefault="00224102" w:rsidP="00224102">
            <w:pPr>
              <w:ind w:right="-56"/>
              <w:jc w:val="right"/>
              <w:rPr>
                <w:b/>
                <w:sz w:val="18"/>
                <w:szCs w:val="18"/>
              </w:rPr>
            </w:pPr>
            <w:r w:rsidRPr="00222C10">
              <w:rPr>
                <w:b/>
                <w:sz w:val="18"/>
                <w:szCs w:val="18"/>
              </w:rPr>
              <w:t>2,316,433</w:t>
            </w:r>
          </w:p>
        </w:tc>
        <w:tc>
          <w:tcPr>
            <w:tcW w:w="951" w:type="dxa"/>
            <w:shd w:val="clear" w:color="auto" w:fill="auto"/>
            <w:noWrap/>
            <w:vAlign w:val="center"/>
          </w:tcPr>
          <w:p w14:paraId="083FEF47" w14:textId="54F85DED" w:rsidR="00224102" w:rsidRPr="00222C10" w:rsidRDefault="00224102" w:rsidP="00224102">
            <w:pPr>
              <w:ind w:right="-56"/>
              <w:jc w:val="right"/>
              <w:rPr>
                <w:b/>
                <w:sz w:val="18"/>
                <w:szCs w:val="18"/>
              </w:rPr>
            </w:pPr>
            <w:r w:rsidRPr="00222C10">
              <w:rPr>
                <w:b/>
                <w:sz w:val="18"/>
                <w:szCs w:val="18"/>
              </w:rPr>
              <w:t>5,075,271</w:t>
            </w:r>
          </w:p>
        </w:tc>
        <w:tc>
          <w:tcPr>
            <w:tcW w:w="1099" w:type="dxa"/>
            <w:shd w:val="clear" w:color="auto" w:fill="auto"/>
            <w:noWrap/>
            <w:vAlign w:val="center"/>
          </w:tcPr>
          <w:p w14:paraId="17CB2507" w14:textId="2200C26E" w:rsidR="00224102" w:rsidRPr="00222C10" w:rsidRDefault="00224102" w:rsidP="00224102">
            <w:pPr>
              <w:ind w:right="-56"/>
              <w:jc w:val="right"/>
              <w:rPr>
                <w:b/>
                <w:sz w:val="18"/>
                <w:szCs w:val="18"/>
              </w:rPr>
            </w:pPr>
            <w:r>
              <w:rPr>
                <w:b/>
                <w:sz w:val="18"/>
                <w:szCs w:val="18"/>
              </w:rPr>
              <w:t>1,963,917</w:t>
            </w:r>
          </w:p>
        </w:tc>
        <w:tc>
          <w:tcPr>
            <w:tcW w:w="1187" w:type="dxa"/>
            <w:shd w:val="clear" w:color="auto" w:fill="auto"/>
            <w:noWrap/>
            <w:vAlign w:val="center"/>
          </w:tcPr>
          <w:p w14:paraId="675833CA" w14:textId="499AFE53" w:rsidR="00224102" w:rsidRPr="00222C10" w:rsidRDefault="00224102" w:rsidP="00224102">
            <w:pPr>
              <w:ind w:right="-56"/>
              <w:jc w:val="right"/>
              <w:rPr>
                <w:b/>
                <w:sz w:val="18"/>
                <w:szCs w:val="18"/>
              </w:rPr>
            </w:pPr>
            <w:r w:rsidRPr="00222C10">
              <w:rPr>
                <w:b/>
                <w:sz w:val="18"/>
                <w:szCs w:val="18"/>
              </w:rPr>
              <w:t>3,048,353</w:t>
            </w:r>
          </w:p>
        </w:tc>
        <w:tc>
          <w:tcPr>
            <w:tcW w:w="1099" w:type="dxa"/>
            <w:shd w:val="clear" w:color="auto" w:fill="auto"/>
            <w:vAlign w:val="center"/>
          </w:tcPr>
          <w:p w14:paraId="3DC7B9B4" w14:textId="6F2D8C68" w:rsidR="00224102" w:rsidRPr="00222C10" w:rsidRDefault="00224102" w:rsidP="00224102">
            <w:pPr>
              <w:ind w:right="-56"/>
              <w:jc w:val="right"/>
              <w:rPr>
                <w:b/>
                <w:sz w:val="18"/>
                <w:szCs w:val="18"/>
              </w:rPr>
            </w:pPr>
            <w:r w:rsidRPr="00222C10">
              <w:rPr>
                <w:b/>
                <w:sz w:val="18"/>
                <w:szCs w:val="18"/>
              </w:rPr>
              <w:t>1,464,197</w:t>
            </w:r>
          </w:p>
        </w:tc>
        <w:tc>
          <w:tcPr>
            <w:tcW w:w="1143" w:type="dxa"/>
            <w:shd w:val="clear" w:color="auto" w:fill="auto"/>
            <w:noWrap/>
            <w:vAlign w:val="center"/>
          </w:tcPr>
          <w:p w14:paraId="322C08C1" w14:textId="113C2906" w:rsidR="00224102" w:rsidRPr="00222C10" w:rsidRDefault="00224102" w:rsidP="00224102">
            <w:pPr>
              <w:ind w:right="-56"/>
              <w:jc w:val="right"/>
              <w:rPr>
                <w:b/>
                <w:sz w:val="18"/>
                <w:szCs w:val="18"/>
              </w:rPr>
            </w:pPr>
            <w:r>
              <w:rPr>
                <w:b/>
                <w:sz w:val="18"/>
                <w:szCs w:val="18"/>
              </w:rPr>
              <w:t>13,868,171</w:t>
            </w:r>
          </w:p>
        </w:tc>
      </w:tr>
    </w:tbl>
    <w:p w14:paraId="0B6C7770" w14:textId="77777777" w:rsidR="00FA020F" w:rsidRPr="003E2819" w:rsidRDefault="00FA020F" w:rsidP="00FA020F">
      <w:pPr>
        <w:ind w:left="851"/>
        <w:jc w:val="both"/>
        <w:rPr>
          <w:sz w:val="20"/>
          <w:szCs w:val="20"/>
        </w:rPr>
      </w:pPr>
    </w:p>
    <w:tbl>
      <w:tblPr>
        <w:tblW w:w="9743" w:type="dxa"/>
        <w:tblInd w:w="-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139"/>
        <w:gridCol w:w="1130"/>
        <w:gridCol w:w="953"/>
        <w:gridCol w:w="1101"/>
        <w:gridCol w:w="1189"/>
        <w:gridCol w:w="1101"/>
        <w:gridCol w:w="1130"/>
      </w:tblGrid>
      <w:tr w:rsidR="00FA020F" w:rsidRPr="003E2819" w14:paraId="283F9C41" w14:textId="77777777" w:rsidTr="00336BD5">
        <w:trPr>
          <w:trHeight w:val="226"/>
        </w:trPr>
        <w:tc>
          <w:tcPr>
            <w:tcW w:w="3139" w:type="dxa"/>
          </w:tcPr>
          <w:p w14:paraId="5B2EAE2C" w14:textId="77777777" w:rsidR="00FA020F" w:rsidRPr="003E2819" w:rsidRDefault="00FA020F" w:rsidP="00400883">
            <w:pPr>
              <w:rPr>
                <w:b/>
                <w:bCs/>
                <w:sz w:val="18"/>
                <w:szCs w:val="18"/>
                <w:lang w:eastAsia="tr-TR"/>
              </w:rPr>
            </w:pPr>
          </w:p>
          <w:p w14:paraId="28DCA773" w14:textId="77777777" w:rsidR="00FA020F" w:rsidRPr="003E2819" w:rsidRDefault="00FA020F" w:rsidP="00400883">
            <w:pPr>
              <w:rPr>
                <w:b/>
                <w:bCs/>
                <w:sz w:val="18"/>
                <w:szCs w:val="18"/>
                <w:lang w:eastAsia="tr-TR"/>
              </w:rPr>
            </w:pPr>
            <w:r>
              <w:rPr>
                <w:b/>
                <w:bCs/>
                <w:sz w:val="18"/>
                <w:szCs w:val="18"/>
                <w:lang w:eastAsia="tr-TR"/>
              </w:rPr>
              <w:t>31 December 2014</w:t>
            </w:r>
          </w:p>
        </w:tc>
        <w:tc>
          <w:tcPr>
            <w:tcW w:w="1130" w:type="dxa"/>
            <w:vAlign w:val="bottom"/>
          </w:tcPr>
          <w:p w14:paraId="09B97966" w14:textId="77777777" w:rsidR="00336BD5" w:rsidRDefault="00FA020F" w:rsidP="00400883">
            <w:pPr>
              <w:ind w:left="-108"/>
              <w:jc w:val="right"/>
              <w:rPr>
                <w:b/>
                <w:bCs/>
                <w:sz w:val="18"/>
                <w:szCs w:val="18"/>
              </w:rPr>
            </w:pPr>
            <w:r w:rsidRPr="003E2819">
              <w:rPr>
                <w:b/>
                <w:bCs/>
                <w:sz w:val="18"/>
                <w:szCs w:val="18"/>
              </w:rPr>
              <w:t xml:space="preserve">Up to </w:t>
            </w:r>
          </w:p>
          <w:p w14:paraId="3410BBF9" w14:textId="2B72F341" w:rsidR="00FA020F" w:rsidRPr="003E2819" w:rsidRDefault="00FA020F" w:rsidP="00400883">
            <w:pPr>
              <w:ind w:left="-108"/>
              <w:jc w:val="right"/>
              <w:rPr>
                <w:b/>
                <w:bCs/>
                <w:sz w:val="18"/>
                <w:szCs w:val="18"/>
              </w:rPr>
            </w:pPr>
            <w:r w:rsidRPr="003E2819">
              <w:rPr>
                <w:b/>
                <w:bCs/>
                <w:sz w:val="18"/>
                <w:szCs w:val="18"/>
              </w:rPr>
              <w:t>1 month</w:t>
            </w:r>
          </w:p>
        </w:tc>
        <w:tc>
          <w:tcPr>
            <w:tcW w:w="953" w:type="dxa"/>
            <w:vAlign w:val="bottom"/>
          </w:tcPr>
          <w:p w14:paraId="01080718" w14:textId="77777777" w:rsidR="00FA020F" w:rsidRPr="003E2819" w:rsidRDefault="00FA020F" w:rsidP="00400883">
            <w:pPr>
              <w:jc w:val="right"/>
              <w:rPr>
                <w:b/>
                <w:bCs/>
                <w:sz w:val="18"/>
                <w:szCs w:val="18"/>
              </w:rPr>
            </w:pPr>
            <w:r w:rsidRPr="003E2819">
              <w:rPr>
                <w:b/>
                <w:bCs/>
                <w:sz w:val="18"/>
                <w:szCs w:val="18"/>
              </w:rPr>
              <w:t>1-3 months</w:t>
            </w:r>
          </w:p>
        </w:tc>
        <w:tc>
          <w:tcPr>
            <w:tcW w:w="1101" w:type="dxa"/>
            <w:vAlign w:val="bottom"/>
          </w:tcPr>
          <w:p w14:paraId="2B9801FA" w14:textId="77777777" w:rsidR="006C5218" w:rsidRDefault="00FA020F" w:rsidP="00400883">
            <w:pPr>
              <w:jc w:val="right"/>
              <w:rPr>
                <w:b/>
                <w:bCs/>
                <w:sz w:val="18"/>
                <w:szCs w:val="18"/>
              </w:rPr>
            </w:pPr>
            <w:r w:rsidRPr="003E2819">
              <w:rPr>
                <w:b/>
                <w:bCs/>
                <w:sz w:val="18"/>
                <w:szCs w:val="18"/>
              </w:rPr>
              <w:t>3-12</w:t>
            </w:r>
          </w:p>
          <w:p w14:paraId="2C04C9B5" w14:textId="0190AF50" w:rsidR="00FA020F" w:rsidRPr="003E2819" w:rsidRDefault="00FA020F" w:rsidP="00400883">
            <w:pPr>
              <w:jc w:val="right"/>
              <w:rPr>
                <w:b/>
                <w:bCs/>
                <w:sz w:val="18"/>
                <w:szCs w:val="18"/>
              </w:rPr>
            </w:pPr>
            <w:r w:rsidRPr="003E2819">
              <w:rPr>
                <w:b/>
                <w:bCs/>
                <w:sz w:val="18"/>
                <w:szCs w:val="18"/>
              </w:rPr>
              <w:t xml:space="preserve"> months</w:t>
            </w:r>
          </w:p>
        </w:tc>
        <w:tc>
          <w:tcPr>
            <w:tcW w:w="1189" w:type="dxa"/>
            <w:vAlign w:val="bottom"/>
          </w:tcPr>
          <w:p w14:paraId="30CF200A" w14:textId="77777777" w:rsidR="006C5218" w:rsidRDefault="00FA020F" w:rsidP="00400883">
            <w:pPr>
              <w:jc w:val="right"/>
              <w:rPr>
                <w:b/>
                <w:bCs/>
                <w:sz w:val="18"/>
                <w:szCs w:val="18"/>
              </w:rPr>
            </w:pPr>
            <w:r w:rsidRPr="003E2819">
              <w:rPr>
                <w:b/>
                <w:bCs/>
                <w:sz w:val="18"/>
                <w:szCs w:val="18"/>
              </w:rPr>
              <w:t xml:space="preserve">1-5 </w:t>
            </w:r>
          </w:p>
          <w:p w14:paraId="4EBB021D" w14:textId="150CEACA" w:rsidR="00FA020F" w:rsidRPr="003E2819" w:rsidRDefault="00FA020F" w:rsidP="00400883">
            <w:pPr>
              <w:jc w:val="right"/>
              <w:rPr>
                <w:b/>
                <w:bCs/>
                <w:sz w:val="18"/>
                <w:szCs w:val="18"/>
              </w:rPr>
            </w:pPr>
            <w:r w:rsidRPr="003E2819">
              <w:rPr>
                <w:b/>
                <w:bCs/>
                <w:sz w:val="18"/>
                <w:szCs w:val="18"/>
              </w:rPr>
              <w:t>years</w:t>
            </w:r>
          </w:p>
        </w:tc>
        <w:tc>
          <w:tcPr>
            <w:tcW w:w="1101" w:type="dxa"/>
            <w:vAlign w:val="bottom"/>
          </w:tcPr>
          <w:p w14:paraId="31096A9E" w14:textId="77777777" w:rsidR="006C5218" w:rsidRDefault="00FA020F" w:rsidP="00400883">
            <w:pPr>
              <w:tabs>
                <w:tab w:val="left" w:pos="1032"/>
              </w:tabs>
              <w:ind w:left="-144"/>
              <w:jc w:val="right"/>
              <w:rPr>
                <w:b/>
                <w:bCs/>
                <w:sz w:val="18"/>
                <w:szCs w:val="18"/>
              </w:rPr>
            </w:pPr>
            <w:r w:rsidRPr="003E2819">
              <w:rPr>
                <w:b/>
                <w:bCs/>
                <w:sz w:val="18"/>
                <w:szCs w:val="18"/>
              </w:rPr>
              <w:t>5 years</w:t>
            </w:r>
          </w:p>
          <w:p w14:paraId="774D0450" w14:textId="6C8420E8" w:rsidR="00FA020F" w:rsidRPr="003E2819" w:rsidRDefault="00FA020F" w:rsidP="00400883">
            <w:pPr>
              <w:tabs>
                <w:tab w:val="left" w:pos="1032"/>
              </w:tabs>
              <w:ind w:left="-144"/>
              <w:jc w:val="right"/>
              <w:rPr>
                <w:b/>
                <w:bCs/>
                <w:sz w:val="18"/>
                <w:szCs w:val="18"/>
              </w:rPr>
            </w:pPr>
            <w:r w:rsidRPr="003E2819">
              <w:rPr>
                <w:b/>
                <w:bCs/>
                <w:sz w:val="18"/>
                <w:szCs w:val="18"/>
              </w:rPr>
              <w:t>and over</w:t>
            </w:r>
          </w:p>
        </w:tc>
        <w:tc>
          <w:tcPr>
            <w:tcW w:w="1130" w:type="dxa"/>
            <w:vAlign w:val="bottom"/>
          </w:tcPr>
          <w:p w14:paraId="60AB5743" w14:textId="77777777" w:rsidR="00FA020F" w:rsidRPr="003E2819" w:rsidRDefault="00FA020F" w:rsidP="00400883">
            <w:pPr>
              <w:ind w:left="-108"/>
              <w:jc w:val="right"/>
              <w:rPr>
                <w:b/>
                <w:bCs/>
                <w:sz w:val="18"/>
                <w:szCs w:val="18"/>
              </w:rPr>
            </w:pPr>
            <w:r w:rsidRPr="003E2819">
              <w:rPr>
                <w:b/>
                <w:bCs/>
                <w:sz w:val="18"/>
                <w:szCs w:val="18"/>
              </w:rPr>
              <w:t>Total</w:t>
            </w:r>
          </w:p>
        </w:tc>
      </w:tr>
      <w:tr w:rsidR="00FA020F" w:rsidRPr="003E2819" w14:paraId="0712D9EA" w14:textId="77777777" w:rsidTr="00336BD5">
        <w:trPr>
          <w:trHeight w:val="232"/>
        </w:trPr>
        <w:tc>
          <w:tcPr>
            <w:tcW w:w="3139" w:type="dxa"/>
            <w:vAlign w:val="bottom"/>
          </w:tcPr>
          <w:p w14:paraId="2B5A2735" w14:textId="77777777" w:rsidR="00FA020F" w:rsidRPr="003E2819" w:rsidRDefault="00FA020F" w:rsidP="00400883">
            <w:pPr>
              <w:rPr>
                <w:b/>
                <w:bCs/>
                <w:sz w:val="18"/>
                <w:szCs w:val="18"/>
              </w:rPr>
            </w:pPr>
            <w:r>
              <w:rPr>
                <w:b/>
                <w:bCs/>
                <w:sz w:val="18"/>
                <w:szCs w:val="18"/>
              </w:rPr>
              <w:t>Liabilities</w:t>
            </w:r>
          </w:p>
        </w:tc>
        <w:tc>
          <w:tcPr>
            <w:tcW w:w="1130" w:type="dxa"/>
            <w:vAlign w:val="bottom"/>
          </w:tcPr>
          <w:p w14:paraId="3C9EDB92" w14:textId="77777777" w:rsidR="00FA020F" w:rsidRPr="003E2819" w:rsidRDefault="00FA020F" w:rsidP="00400883">
            <w:pPr>
              <w:pStyle w:val="xl30"/>
              <w:pBdr>
                <w:right w:val="none" w:sz="0" w:space="0" w:color="auto"/>
              </w:pBdr>
              <w:spacing w:before="0" w:beforeAutospacing="0" w:after="0" w:afterAutospacing="0"/>
              <w:ind w:right="-14"/>
              <w:rPr>
                <w:rFonts w:eastAsia="Times New Roman"/>
              </w:rPr>
            </w:pPr>
          </w:p>
        </w:tc>
        <w:tc>
          <w:tcPr>
            <w:tcW w:w="953" w:type="dxa"/>
            <w:vAlign w:val="bottom"/>
          </w:tcPr>
          <w:p w14:paraId="355A362C" w14:textId="77777777" w:rsidR="00FA020F" w:rsidRPr="003E2819" w:rsidRDefault="00FA020F" w:rsidP="00400883">
            <w:pPr>
              <w:ind w:right="-14"/>
              <w:jc w:val="right"/>
              <w:rPr>
                <w:rFonts w:eastAsia="Arial Unicode MS"/>
                <w:sz w:val="18"/>
                <w:szCs w:val="18"/>
              </w:rPr>
            </w:pPr>
          </w:p>
        </w:tc>
        <w:tc>
          <w:tcPr>
            <w:tcW w:w="1101" w:type="dxa"/>
            <w:vAlign w:val="bottom"/>
          </w:tcPr>
          <w:p w14:paraId="60DD106C" w14:textId="77777777" w:rsidR="00FA020F" w:rsidRPr="003E2819" w:rsidRDefault="00FA020F" w:rsidP="00400883">
            <w:pPr>
              <w:ind w:right="-14"/>
              <w:jc w:val="right"/>
              <w:rPr>
                <w:rFonts w:eastAsia="Arial Unicode MS"/>
                <w:sz w:val="18"/>
                <w:szCs w:val="18"/>
              </w:rPr>
            </w:pPr>
          </w:p>
        </w:tc>
        <w:tc>
          <w:tcPr>
            <w:tcW w:w="1189" w:type="dxa"/>
            <w:vAlign w:val="bottom"/>
          </w:tcPr>
          <w:p w14:paraId="1BCBE24B" w14:textId="77777777" w:rsidR="00FA020F" w:rsidRPr="003E2819" w:rsidRDefault="00FA020F" w:rsidP="00400883">
            <w:pPr>
              <w:ind w:right="-14"/>
              <w:jc w:val="right"/>
              <w:rPr>
                <w:rFonts w:eastAsia="Arial Unicode MS"/>
                <w:sz w:val="18"/>
                <w:szCs w:val="18"/>
              </w:rPr>
            </w:pPr>
          </w:p>
        </w:tc>
        <w:tc>
          <w:tcPr>
            <w:tcW w:w="1101" w:type="dxa"/>
            <w:vAlign w:val="bottom"/>
          </w:tcPr>
          <w:p w14:paraId="77B50FAA" w14:textId="77777777" w:rsidR="00FA020F" w:rsidRPr="003E2819" w:rsidRDefault="00FA020F" w:rsidP="00400883">
            <w:pPr>
              <w:ind w:right="-14"/>
              <w:jc w:val="right"/>
              <w:rPr>
                <w:rFonts w:eastAsia="Arial Unicode MS"/>
                <w:sz w:val="18"/>
                <w:szCs w:val="18"/>
              </w:rPr>
            </w:pPr>
          </w:p>
        </w:tc>
        <w:tc>
          <w:tcPr>
            <w:tcW w:w="1130" w:type="dxa"/>
            <w:vAlign w:val="bottom"/>
          </w:tcPr>
          <w:p w14:paraId="7826E457" w14:textId="77777777" w:rsidR="00FA020F" w:rsidRPr="003E2819" w:rsidRDefault="00FA020F" w:rsidP="00400883">
            <w:pPr>
              <w:ind w:right="-14"/>
              <w:jc w:val="right"/>
              <w:rPr>
                <w:rFonts w:eastAsia="Arial Unicode MS"/>
                <w:b/>
                <w:bCs/>
                <w:sz w:val="18"/>
                <w:szCs w:val="18"/>
              </w:rPr>
            </w:pPr>
          </w:p>
        </w:tc>
      </w:tr>
      <w:tr w:rsidR="00224102" w:rsidRPr="003E2819" w14:paraId="6CF0986D" w14:textId="77777777" w:rsidTr="00336BD5">
        <w:trPr>
          <w:trHeight w:val="232"/>
        </w:trPr>
        <w:tc>
          <w:tcPr>
            <w:tcW w:w="3139" w:type="dxa"/>
            <w:vAlign w:val="bottom"/>
          </w:tcPr>
          <w:p w14:paraId="793EA6AB" w14:textId="309398BA" w:rsidR="00224102" w:rsidRPr="003E2819" w:rsidRDefault="00224102" w:rsidP="00224102">
            <w:pPr>
              <w:rPr>
                <w:sz w:val="18"/>
                <w:szCs w:val="18"/>
              </w:rPr>
            </w:pPr>
            <w:r w:rsidRPr="003E2819">
              <w:rPr>
                <w:sz w:val="18"/>
                <w:szCs w:val="18"/>
              </w:rPr>
              <w:t xml:space="preserve">Bank </w:t>
            </w:r>
            <w:r>
              <w:rPr>
                <w:sz w:val="18"/>
                <w:szCs w:val="18"/>
              </w:rPr>
              <w:t>D</w:t>
            </w:r>
            <w:r w:rsidRPr="003E2819">
              <w:rPr>
                <w:sz w:val="18"/>
                <w:szCs w:val="18"/>
              </w:rPr>
              <w:t>eposits</w:t>
            </w:r>
          </w:p>
        </w:tc>
        <w:tc>
          <w:tcPr>
            <w:tcW w:w="1130" w:type="dxa"/>
            <w:vAlign w:val="bottom"/>
          </w:tcPr>
          <w:p w14:paraId="738CE4F4" w14:textId="7DB994EA" w:rsidR="00224102" w:rsidRPr="00A36623" w:rsidRDefault="00224102" w:rsidP="00224102">
            <w:pPr>
              <w:ind w:right="-56"/>
              <w:jc w:val="right"/>
              <w:rPr>
                <w:sz w:val="18"/>
                <w:szCs w:val="18"/>
              </w:rPr>
            </w:pPr>
            <w:r w:rsidRPr="00A36623">
              <w:rPr>
                <w:sz w:val="18"/>
                <w:szCs w:val="18"/>
              </w:rPr>
              <w:t>601</w:t>
            </w:r>
          </w:p>
        </w:tc>
        <w:tc>
          <w:tcPr>
            <w:tcW w:w="953" w:type="dxa"/>
            <w:vAlign w:val="bottom"/>
          </w:tcPr>
          <w:p w14:paraId="7F386823" w14:textId="4364D654" w:rsidR="00224102" w:rsidRPr="00A36623" w:rsidRDefault="00224102" w:rsidP="00224102">
            <w:pPr>
              <w:ind w:right="-56"/>
              <w:jc w:val="right"/>
              <w:rPr>
                <w:sz w:val="18"/>
                <w:szCs w:val="18"/>
              </w:rPr>
            </w:pPr>
            <w:r w:rsidRPr="00A36623">
              <w:rPr>
                <w:sz w:val="18"/>
                <w:szCs w:val="18"/>
              </w:rPr>
              <w:t>-</w:t>
            </w:r>
          </w:p>
        </w:tc>
        <w:tc>
          <w:tcPr>
            <w:tcW w:w="1101" w:type="dxa"/>
            <w:vAlign w:val="bottom"/>
          </w:tcPr>
          <w:p w14:paraId="31FFFE87" w14:textId="3F6D12E1" w:rsidR="00224102" w:rsidRPr="00A36623" w:rsidRDefault="00224102" w:rsidP="00224102">
            <w:pPr>
              <w:ind w:right="-56"/>
              <w:jc w:val="right"/>
              <w:rPr>
                <w:sz w:val="18"/>
                <w:szCs w:val="18"/>
              </w:rPr>
            </w:pPr>
            <w:r w:rsidRPr="00A36623">
              <w:rPr>
                <w:sz w:val="18"/>
                <w:szCs w:val="18"/>
              </w:rPr>
              <w:t>188</w:t>
            </w:r>
            <w:r>
              <w:rPr>
                <w:sz w:val="18"/>
                <w:szCs w:val="18"/>
              </w:rPr>
              <w:t>,</w:t>
            </w:r>
            <w:r w:rsidRPr="00A36623">
              <w:rPr>
                <w:sz w:val="18"/>
                <w:szCs w:val="18"/>
              </w:rPr>
              <w:t>344</w:t>
            </w:r>
          </w:p>
        </w:tc>
        <w:tc>
          <w:tcPr>
            <w:tcW w:w="1189" w:type="dxa"/>
            <w:vAlign w:val="bottom"/>
          </w:tcPr>
          <w:p w14:paraId="44D4459A" w14:textId="24197E9B" w:rsidR="00224102" w:rsidRPr="00A36623" w:rsidRDefault="00224102" w:rsidP="00224102">
            <w:pPr>
              <w:ind w:right="-56"/>
              <w:jc w:val="right"/>
              <w:rPr>
                <w:sz w:val="18"/>
                <w:szCs w:val="18"/>
              </w:rPr>
            </w:pPr>
            <w:r w:rsidRPr="00A36623">
              <w:rPr>
                <w:sz w:val="18"/>
                <w:szCs w:val="18"/>
              </w:rPr>
              <w:t>-</w:t>
            </w:r>
          </w:p>
        </w:tc>
        <w:tc>
          <w:tcPr>
            <w:tcW w:w="1101" w:type="dxa"/>
            <w:vAlign w:val="bottom"/>
          </w:tcPr>
          <w:p w14:paraId="1E7F0681" w14:textId="7AD43C24" w:rsidR="00224102" w:rsidRPr="00A36623" w:rsidRDefault="00224102" w:rsidP="00224102">
            <w:pPr>
              <w:ind w:right="-56"/>
              <w:jc w:val="right"/>
              <w:rPr>
                <w:sz w:val="18"/>
                <w:szCs w:val="18"/>
              </w:rPr>
            </w:pPr>
            <w:r w:rsidRPr="00A36623">
              <w:rPr>
                <w:sz w:val="18"/>
                <w:szCs w:val="18"/>
              </w:rPr>
              <w:t>-</w:t>
            </w:r>
          </w:p>
        </w:tc>
        <w:tc>
          <w:tcPr>
            <w:tcW w:w="1130" w:type="dxa"/>
            <w:vAlign w:val="bottom"/>
          </w:tcPr>
          <w:p w14:paraId="0A294960" w14:textId="11518D42" w:rsidR="00224102" w:rsidRPr="00A36623" w:rsidRDefault="00224102" w:rsidP="00224102">
            <w:pPr>
              <w:ind w:right="-56"/>
              <w:jc w:val="right"/>
              <w:rPr>
                <w:sz w:val="18"/>
                <w:szCs w:val="18"/>
              </w:rPr>
            </w:pPr>
            <w:r w:rsidRPr="00A36623">
              <w:rPr>
                <w:sz w:val="18"/>
                <w:szCs w:val="18"/>
              </w:rPr>
              <w:t>188</w:t>
            </w:r>
            <w:r>
              <w:rPr>
                <w:sz w:val="18"/>
                <w:szCs w:val="18"/>
              </w:rPr>
              <w:t>,</w:t>
            </w:r>
            <w:r w:rsidRPr="00A36623">
              <w:rPr>
                <w:sz w:val="18"/>
                <w:szCs w:val="18"/>
              </w:rPr>
              <w:t>945</w:t>
            </w:r>
          </w:p>
        </w:tc>
      </w:tr>
      <w:tr w:rsidR="00224102" w:rsidRPr="003E2819" w14:paraId="21A82612" w14:textId="77777777" w:rsidTr="00336BD5">
        <w:trPr>
          <w:trHeight w:val="232"/>
        </w:trPr>
        <w:tc>
          <w:tcPr>
            <w:tcW w:w="3139" w:type="dxa"/>
            <w:vAlign w:val="bottom"/>
          </w:tcPr>
          <w:p w14:paraId="65148269" w14:textId="2956DDB4" w:rsidR="00224102" w:rsidRPr="003E2819" w:rsidRDefault="00224102" w:rsidP="00224102">
            <w:pPr>
              <w:rPr>
                <w:sz w:val="18"/>
                <w:szCs w:val="18"/>
              </w:rPr>
            </w:pPr>
            <w:r w:rsidRPr="003E2819">
              <w:rPr>
                <w:sz w:val="18"/>
                <w:szCs w:val="18"/>
              </w:rPr>
              <w:t xml:space="preserve">Other </w:t>
            </w:r>
            <w:r>
              <w:rPr>
                <w:sz w:val="18"/>
                <w:szCs w:val="18"/>
              </w:rPr>
              <w:t>D</w:t>
            </w:r>
            <w:r w:rsidRPr="003E2819">
              <w:rPr>
                <w:sz w:val="18"/>
                <w:szCs w:val="18"/>
              </w:rPr>
              <w:t>eposits</w:t>
            </w:r>
          </w:p>
        </w:tc>
        <w:tc>
          <w:tcPr>
            <w:tcW w:w="1130" w:type="dxa"/>
            <w:vAlign w:val="bottom"/>
          </w:tcPr>
          <w:p w14:paraId="5EDBD6E0" w14:textId="4E2B6052" w:rsidR="00224102" w:rsidRPr="00A36623" w:rsidRDefault="00224102" w:rsidP="00224102">
            <w:pPr>
              <w:ind w:right="-56"/>
              <w:jc w:val="right"/>
              <w:rPr>
                <w:sz w:val="18"/>
                <w:szCs w:val="18"/>
              </w:rPr>
            </w:pPr>
            <w:r w:rsidRPr="00A36623">
              <w:rPr>
                <w:sz w:val="18"/>
                <w:szCs w:val="18"/>
              </w:rPr>
              <w:t>1</w:t>
            </w:r>
            <w:r>
              <w:rPr>
                <w:sz w:val="18"/>
                <w:szCs w:val="18"/>
              </w:rPr>
              <w:t>,</w:t>
            </w:r>
            <w:r w:rsidRPr="00A36623">
              <w:rPr>
                <w:sz w:val="18"/>
                <w:szCs w:val="18"/>
              </w:rPr>
              <w:t>068</w:t>
            </w:r>
            <w:r>
              <w:rPr>
                <w:sz w:val="18"/>
                <w:szCs w:val="18"/>
              </w:rPr>
              <w:t>,</w:t>
            </w:r>
            <w:r w:rsidRPr="00A36623">
              <w:rPr>
                <w:sz w:val="18"/>
                <w:szCs w:val="18"/>
              </w:rPr>
              <w:t>227</w:t>
            </w:r>
          </w:p>
        </w:tc>
        <w:tc>
          <w:tcPr>
            <w:tcW w:w="953" w:type="dxa"/>
            <w:vAlign w:val="bottom"/>
          </w:tcPr>
          <w:p w14:paraId="32CF3C52" w14:textId="34E86ECE" w:rsidR="00224102" w:rsidRPr="00A36623" w:rsidRDefault="00224102" w:rsidP="00224102">
            <w:pPr>
              <w:ind w:right="-56"/>
              <w:jc w:val="right"/>
              <w:rPr>
                <w:sz w:val="18"/>
                <w:szCs w:val="18"/>
              </w:rPr>
            </w:pPr>
            <w:r w:rsidRPr="00A36623">
              <w:rPr>
                <w:sz w:val="18"/>
                <w:szCs w:val="18"/>
              </w:rPr>
              <w:t>4</w:t>
            </w:r>
            <w:r>
              <w:rPr>
                <w:sz w:val="18"/>
                <w:szCs w:val="18"/>
              </w:rPr>
              <w:t>,</w:t>
            </w:r>
            <w:r w:rsidRPr="00A36623">
              <w:rPr>
                <w:sz w:val="18"/>
                <w:szCs w:val="18"/>
              </w:rPr>
              <w:t>184</w:t>
            </w:r>
            <w:r>
              <w:rPr>
                <w:sz w:val="18"/>
                <w:szCs w:val="18"/>
              </w:rPr>
              <w:t>,</w:t>
            </w:r>
            <w:r w:rsidRPr="00A36623">
              <w:rPr>
                <w:sz w:val="18"/>
                <w:szCs w:val="18"/>
              </w:rPr>
              <w:t>951</w:t>
            </w:r>
          </w:p>
        </w:tc>
        <w:tc>
          <w:tcPr>
            <w:tcW w:w="1101" w:type="dxa"/>
            <w:vAlign w:val="bottom"/>
          </w:tcPr>
          <w:p w14:paraId="5349F3AC" w14:textId="2CBC7824" w:rsidR="00224102" w:rsidRPr="00A36623" w:rsidRDefault="00224102" w:rsidP="00224102">
            <w:pPr>
              <w:ind w:right="-56"/>
              <w:jc w:val="right"/>
              <w:rPr>
                <w:sz w:val="18"/>
                <w:szCs w:val="18"/>
              </w:rPr>
            </w:pPr>
            <w:r w:rsidRPr="00A36623">
              <w:rPr>
                <w:sz w:val="18"/>
                <w:szCs w:val="18"/>
              </w:rPr>
              <w:t>230</w:t>
            </w:r>
            <w:r>
              <w:rPr>
                <w:sz w:val="18"/>
                <w:szCs w:val="18"/>
              </w:rPr>
              <w:t>,</w:t>
            </w:r>
            <w:r w:rsidRPr="00A36623">
              <w:rPr>
                <w:sz w:val="18"/>
                <w:szCs w:val="18"/>
              </w:rPr>
              <w:t>612</w:t>
            </w:r>
          </w:p>
        </w:tc>
        <w:tc>
          <w:tcPr>
            <w:tcW w:w="1189" w:type="dxa"/>
            <w:vAlign w:val="bottom"/>
          </w:tcPr>
          <w:p w14:paraId="5715FE2D" w14:textId="7291074C" w:rsidR="00224102" w:rsidRPr="00A36623" w:rsidRDefault="00224102" w:rsidP="00224102">
            <w:pPr>
              <w:ind w:right="-56"/>
              <w:jc w:val="right"/>
              <w:rPr>
                <w:sz w:val="18"/>
                <w:szCs w:val="18"/>
              </w:rPr>
            </w:pPr>
            <w:r w:rsidRPr="00A36623">
              <w:rPr>
                <w:sz w:val="18"/>
                <w:szCs w:val="18"/>
              </w:rPr>
              <w:t>31</w:t>
            </w:r>
            <w:r>
              <w:rPr>
                <w:sz w:val="18"/>
                <w:szCs w:val="18"/>
              </w:rPr>
              <w:t>,</w:t>
            </w:r>
            <w:r w:rsidRPr="00A36623">
              <w:rPr>
                <w:sz w:val="18"/>
                <w:szCs w:val="18"/>
              </w:rPr>
              <w:t>484</w:t>
            </w:r>
          </w:p>
        </w:tc>
        <w:tc>
          <w:tcPr>
            <w:tcW w:w="1101" w:type="dxa"/>
            <w:vAlign w:val="bottom"/>
          </w:tcPr>
          <w:p w14:paraId="01C4E562" w14:textId="51EE65DC" w:rsidR="00224102" w:rsidRPr="00A36623" w:rsidRDefault="00224102" w:rsidP="00224102">
            <w:pPr>
              <w:ind w:right="-56"/>
              <w:jc w:val="right"/>
              <w:rPr>
                <w:sz w:val="18"/>
                <w:szCs w:val="18"/>
              </w:rPr>
            </w:pPr>
            <w:r w:rsidRPr="00A36623">
              <w:rPr>
                <w:sz w:val="18"/>
                <w:szCs w:val="18"/>
              </w:rPr>
              <w:t>-</w:t>
            </w:r>
          </w:p>
        </w:tc>
        <w:tc>
          <w:tcPr>
            <w:tcW w:w="1130" w:type="dxa"/>
            <w:vAlign w:val="bottom"/>
          </w:tcPr>
          <w:p w14:paraId="79A09CB1" w14:textId="779064A3" w:rsidR="00224102" w:rsidRPr="00A36623" w:rsidRDefault="00224102" w:rsidP="00224102">
            <w:pPr>
              <w:ind w:right="-56"/>
              <w:jc w:val="right"/>
              <w:rPr>
                <w:sz w:val="18"/>
                <w:szCs w:val="18"/>
              </w:rPr>
            </w:pPr>
            <w:r w:rsidRPr="00A36623">
              <w:rPr>
                <w:sz w:val="18"/>
                <w:szCs w:val="18"/>
              </w:rPr>
              <w:t>5</w:t>
            </w:r>
            <w:r>
              <w:rPr>
                <w:sz w:val="18"/>
                <w:szCs w:val="18"/>
              </w:rPr>
              <w:t>,</w:t>
            </w:r>
            <w:r w:rsidRPr="00A36623">
              <w:rPr>
                <w:sz w:val="18"/>
                <w:szCs w:val="18"/>
              </w:rPr>
              <w:t>515</w:t>
            </w:r>
            <w:r>
              <w:rPr>
                <w:sz w:val="18"/>
                <w:szCs w:val="18"/>
              </w:rPr>
              <w:t>,</w:t>
            </w:r>
            <w:r w:rsidRPr="00A36623">
              <w:rPr>
                <w:sz w:val="18"/>
                <w:szCs w:val="18"/>
              </w:rPr>
              <w:t>274</w:t>
            </w:r>
          </w:p>
        </w:tc>
      </w:tr>
      <w:tr w:rsidR="00224102" w:rsidRPr="003E2819" w14:paraId="68D7BC81" w14:textId="77777777" w:rsidTr="00336BD5">
        <w:trPr>
          <w:trHeight w:val="232"/>
        </w:trPr>
        <w:tc>
          <w:tcPr>
            <w:tcW w:w="3139" w:type="dxa"/>
            <w:vAlign w:val="bottom"/>
          </w:tcPr>
          <w:p w14:paraId="4AC93D02" w14:textId="77777777" w:rsidR="00224102" w:rsidRPr="003E2819" w:rsidRDefault="00224102" w:rsidP="00224102">
            <w:pPr>
              <w:rPr>
                <w:sz w:val="18"/>
                <w:szCs w:val="18"/>
                <w:highlight w:val="yellow"/>
              </w:rPr>
            </w:pPr>
            <w:r w:rsidRPr="00C93EEE">
              <w:rPr>
                <w:snapToGrid w:val="0"/>
                <w:sz w:val="18"/>
                <w:szCs w:val="18"/>
              </w:rPr>
              <w:t>Funds Borrowed From Other Financial Institutions</w:t>
            </w:r>
          </w:p>
        </w:tc>
        <w:tc>
          <w:tcPr>
            <w:tcW w:w="1130" w:type="dxa"/>
            <w:vAlign w:val="bottom"/>
          </w:tcPr>
          <w:p w14:paraId="25363F9C" w14:textId="1CA2D135" w:rsidR="00224102" w:rsidRPr="00A36623" w:rsidRDefault="00224102" w:rsidP="00224102">
            <w:pPr>
              <w:ind w:right="-56"/>
              <w:jc w:val="right"/>
              <w:rPr>
                <w:sz w:val="18"/>
                <w:szCs w:val="18"/>
              </w:rPr>
            </w:pPr>
            <w:r w:rsidRPr="00A36623">
              <w:rPr>
                <w:sz w:val="18"/>
                <w:szCs w:val="18"/>
              </w:rPr>
              <w:t>31</w:t>
            </w:r>
            <w:r>
              <w:rPr>
                <w:sz w:val="18"/>
                <w:szCs w:val="18"/>
              </w:rPr>
              <w:t>,</w:t>
            </w:r>
            <w:r w:rsidRPr="00A36623">
              <w:rPr>
                <w:sz w:val="18"/>
                <w:szCs w:val="18"/>
              </w:rPr>
              <w:t>689</w:t>
            </w:r>
          </w:p>
        </w:tc>
        <w:tc>
          <w:tcPr>
            <w:tcW w:w="953" w:type="dxa"/>
            <w:vAlign w:val="bottom"/>
          </w:tcPr>
          <w:p w14:paraId="2D32FAE5" w14:textId="2550D480" w:rsidR="00224102" w:rsidRPr="00A36623" w:rsidRDefault="00224102" w:rsidP="00224102">
            <w:pPr>
              <w:ind w:right="-56"/>
              <w:jc w:val="right"/>
              <w:rPr>
                <w:sz w:val="18"/>
                <w:szCs w:val="18"/>
              </w:rPr>
            </w:pPr>
            <w:r w:rsidRPr="00A36623">
              <w:rPr>
                <w:sz w:val="18"/>
                <w:szCs w:val="18"/>
              </w:rPr>
              <w:t>172</w:t>
            </w:r>
            <w:r>
              <w:rPr>
                <w:sz w:val="18"/>
                <w:szCs w:val="18"/>
              </w:rPr>
              <w:t>,</w:t>
            </w:r>
            <w:r w:rsidRPr="00A36623">
              <w:rPr>
                <w:sz w:val="18"/>
                <w:szCs w:val="18"/>
              </w:rPr>
              <w:t>827</w:t>
            </w:r>
          </w:p>
        </w:tc>
        <w:tc>
          <w:tcPr>
            <w:tcW w:w="1101" w:type="dxa"/>
            <w:vAlign w:val="bottom"/>
          </w:tcPr>
          <w:p w14:paraId="17CFF803" w14:textId="564FB7AE" w:rsidR="00224102" w:rsidRPr="00A36623" w:rsidRDefault="00224102" w:rsidP="00224102">
            <w:pPr>
              <w:ind w:right="-56"/>
              <w:jc w:val="right"/>
              <w:rPr>
                <w:sz w:val="18"/>
                <w:szCs w:val="18"/>
              </w:rPr>
            </w:pPr>
            <w:r w:rsidRPr="00A36623">
              <w:rPr>
                <w:sz w:val="18"/>
                <w:szCs w:val="18"/>
              </w:rPr>
              <w:t>1</w:t>
            </w:r>
            <w:r>
              <w:rPr>
                <w:sz w:val="18"/>
                <w:szCs w:val="18"/>
              </w:rPr>
              <w:t>,</w:t>
            </w:r>
            <w:r w:rsidRPr="00A36623">
              <w:rPr>
                <w:sz w:val="18"/>
                <w:szCs w:val="18"/>
              </w:rPr>
              <w:t>879</w:t>
            </w:r>
            <w:r>
              <w:rPr>
                <w:sz w:val="18"/>
                <w:szCs w:val="18"/>
              </w:rPr>
              <w:t>,</w:t>
            </w:r>
            <w:r w:rsidRPr="00A36623">
              <w:rPr>
                <w:sz w:val="18"/>
                <w:szCs w:val="18"/>
              </w:rPr>
              <w:t>686</w:t>
            </w:r>
          </w:p>
        </w:tc>
        <w:tc>
          <w:tcPr>
            <w:tcW w:w="1189" w:type="dxa"/>
            <w:vAlign w:val="bottom"/>
          </w:tcPr>
          <w:p w14:paraId="206A563F" w14:textId="69DB6C52" w:rsidR="00224102" w:rsidRPr="00A36623" w:rsidRDefault="00224102" w:rsidP="00224102">
            <w:pPr>
              <w:ind w:right="-56"/>
              <w:jc w:val="right"/>
              <w:rPr>
                <w:sz w:val="18"/>
                <w:szCs w:val="18"/>
              </w:rPr>
            </w:pPr>
            <w:r w:rsidRPr="00A36623">
              <w:rPr>
                <w:sz w:val="18"/>
                <w:szCs w:val="18"/>
              </w:rPr>
              <w:t>477</w:t>
            </w:r>
            <w:r>
              <w:rPr>
                <w:sz w:val="18"/>
                <w:szCs w:val="18"/>
              </w:rPr>
              <w:t>,</w:t>
            </w:r>
            <w:r w:rsidRPr="00A36623">
              <w:rPr>
                <w:sz w:val="18"/>
                <w:szCs w:val="18"/>
              </w:rPr>
              <w:t>849</w:t>
            </w:r>
          </w:p>
        </w:tc>
        <w:tc>
          <w:tcPr>
            <w:tcW w:w="1101" w:type="dxa"/>
            <w:vAlign w:val="bottom"/>
          </w:tcPr>
          <w:p w14:paraId="2A7B697B" w14:textId="607C1E23" w:rsidR="00224102" w:rsidRPr="00A36623" w:rsidRDefault="00224102" w:rsidP="00224102">
            <w:pPr>
              <w:ind w:right="-56"/>
              <w:jc w:val="right"/>
              <w:rPr>
                <w:sz w:val="18"/>
                <w:szCs w:val="18"/>
              </w:rPr>
            </w:pPr>
            <w:r w:rsidRPr="00A36623">
              <w:rPr>
                <w:sz w:val="18"/>
                <w:szCs w:val="18"/>
              </w:rPr>
              <w:t>397</w:t>
            </w:r>
            <w:r>
              <w:rPr>
                <w:sz w:val="18"/>
                <w:szCs w:val="18"/>
              </w:rPr>
              <w:t>,</w:t>
            </w:r>
            <w:r w:rsidRPr="00A36623">
              <w:rPr>
                <w:sz w:val="18"/>
                <w:szCs w:val="18"/>
              </w:rPr>
              <w:t>022</w:t>
            </w:r>
          </w:p>
        </w:tc>
        <w:tc>
          <w:tcPr>
            <w:tcW w:w="1130" w:type="dxa"/>
            <w:vAlign w:val="bottom"/>
          </w:tcPr>
          <w:p w14:paraId="5B8A6F2B" w14:textId="6ADAA5D6" w:rsidR="00224102" w:rsidRPr="00A36623" w:rsidRDefault="00224102" w:rsidP="00224102">
            <w:pPr>
              <w:ind w:right="-56"/>
              <w:jc w:val="right"/>
              <w:rPr>
                <w:sz w:val="18"/>
                <w:szCs w:val="18"/>
              </w:rPr>
            </w:pPr>
            <w:r w:rsidRPr="00A36623">
              <w:rPr>
                <w:sz w:val="18"/>
                <w:szCs w:val="18"/>
              </w:rPr>
              <w:t>2</w:t>
            </w:r>
            <w:r>
              <w:rPr>
                <w:sz w:val="18"/>
                <w:szCs w:val="18"/>
              </w:rPr>
              <w:t>,</w:t>
            </w:r>
            <w:r w:rsidRPr="00A36623">
              <w:rPr>
                <w:sz w:val="18"/>
                <w:szCs w:val="18"/>
              </w:rPr>
              <w:t>959</w:t>
            </w:r>
            <w:r>
              <w:rPr>
                <w:sz w:val="18"/>
                <w:szCs w:val="18"/>
              </w:rPr>
              <w:t>,</w:t>
            </w:r>
            <w:r w:rsidRPr="00A36623">
              <w:rPr>
                <w:sz w:val="18"/>
                <w:szCs w:val="18"/>
              </w:rPr>
              <w:t>073</w:t>
            </w:r>
          </w:p>
        </w:tc>
      </w:tr>
      <w:tr w:rsidR="00224102" w:rsidRPr="003E2819" w14:paraId="44295B75" w14:textId="77777777" w:rsidTr="00336BD5">
        <w:trPr>
          <w:trHeight w:val="232"/>
        </w:trPr>
        <w:tc>
          <w:tcPr>
            <w:tcW w:w="3139" w:type="dxa"/>
            <w:vAlign w:val="bottom"/>
          </w:tcPr>
          <w:p w14:paraId="376792AE" w14:textId="5B52D412" w:rsidR="00224102" w:rsidRPr="003E2819" w:rsidRDefault="00224102" w:rsidP="00224102">
            <w:pPr>
              <w:rPr>
                <w:sz w:val="18"/>
                <w:szCs w:val="18"/>
              </w:rPr>
            </w:pPr>
            <w:r>
              <w:rPr>
                <w:sz w:val="18"/>
                <w:szCs w:val="18"/>
              </w:rPr>
              <w:t>M</w:t>
            </w:r>
            <w:r w:rsidRPr="003E2819">
              <w:rPr>
                <w:sz w:val="18"/>
                <w:szCs w:val="18"/>
              </w:rPr>
              <w:t xml:space="preserve">oney </w:t>
            </w:r>
            <w:r>
              <w:rPr>
                <w:sz w:val="18"/>
                <w:szCs w:val="18"/>
              </w:rPr>
              <w:t>M</w:t>
            </w:r>
            <w:r w:rsidRPr="003E2819">
              <w:rPr>
                <w:sz w:val="18"/>
                <w:szCs w:val="18"/>
              </w:rPr>
              <w:t>arket</w:t>
            </w:r>
            <w:r>
              <w:rPr>
                <w:sz w:val="18"/>
                <w:szCs w:val="18"/>
              </w:rPr>
              <w:t xml:space="preserve"> Funds</w:t>
            </w:r>
          </w:p>
        </w:tc>
        <w:tc>
          <w:tcPr>
            <w:tcW w:w="1130" w:type="dxa"/>
            <w:vAlign w:val="bottom"/>
          </w:tcPr>
          <w:p w14:paraId="1B72F3AE" w14:textId="13823E7B" w:rsidR="00224102" w:rsidRPr="00A36623" w:rsidRDefault="00224102" w:rsidP="00224102">
            <w:pPr>
              <w:ind w:right="-56"/>
              <w:jc w:val="right"/>
              <w:rPr>
                <w:sz w:val="18"/>
                <w:szCs w:val="18"/>
              </w:rPr>
            </w:pPr>
            <w:r w:rsidRPr="00A36623">
              <w:rPr>
                <w:sz w:val="18"/>
                <w:szCs w:val="18"/>
              </w:rPr>
              <w:t>320</w:t>
            </w:r>
            <w:r>
              <w:rPr>
                <w:sz w:val="18"/>
                <w:szCs w:val="18"/>
              </w:rPr>
              <w:t>,</w:t>
            </w:r>
            <w:r w:rsidRPr="00A36623">
              <w:rPr>
                <w:sz w:val="18"/>
                <w:szCs w:val="18"/>
              </w:rPr>
              <w:t>145</w:t>
            </w:r>
          </w:p>
        </w:tc>
        <w:tc>
          <w:tcPr>
            <w:tcW w:w="953" w:type="dxa"/>
            <w:vAlign w:val="bottom"/>
          </w:tcPr>
          <w:p w14:paraId="23FB2537" w14:textId="4FCA5AD1" w:rsidR="00224102" w:rsidRPr="00A36623" w:rsidRDefault="00224102" w:rsidP="00224102">
            <w:pPr>
              <w:ind w:right="-56"/>
              <w:jc w:val="right"/>
              <w:rPr>
                <w:sz w:val="18"/>
                <w:szCs w:val="18"/>
              </w:rPr>
            </w:pPr>
            <w:r w:rsidRPr="00A36623">
              <w:rPr>
                <w:sz w:val="18"/>
                <w:szCs w:val="18"/>
              </w:rPr>
              <w:t>43</w:t>
            </w:r>
            <w:r>
              <w:rPr>
                <w:sz w:val="18"/>
                <w:szCs w:val="18"/>
              </w:rPr>
              <w:t>,</w:t>
            </w:r>
            <w:r w:rsidRPr="00A36623">
              <w:rPr>
                <w:sz w:val="18"/>
                <w:szCs w:val="18"/>
              </w:rPr>
              <w:t>314</w:t>
            </w:r>
          </w:p>
        </w:tc>
        <w:tc>
          <w:tcPr>
            <w:tcW w:w="1101" w:type="dxa"/>
            <w:vAlign w:val="bottom"/>
          </w:tcPr>
          <w:p w14:paraId="74CF8200" w14:textId="382FA248" w:rsidR="00224102" w:rsidRPr="00A36623" w:rsidRDefault="00224102" w:rsidP="00224102">
            <w:pPr>
              <w:ind w:right="-56"/>
              <w:jc w:val="right"/>
              <w:rPr>
                <w:sz w:val="18"/>
                <w:szCs w:val="18"/>
              </w:rPr>
            </w:pPr>
            <w:r w:rsidRPr="00A36623">
              <w:rPr>
                <w:sz w:val="18"/>
                <w:szCs w:val="18"/>
              </w:rPr>
              <w:t>82</w:t>
            </w:r>
            <w:r>
              <w:rPr>
                <w:sz w:val="18"/>
                <w:szCs w:val="18"/>
              </w:rPr>
              <w:t>,</w:t>
            </w:r>
            <w:r w:rsidRPr="00A36623">
              <w:rPr>
                <w:sz w:val="18"/>
                <w:szCs w:val="18"/>
              </w:rPr>
              <w:t>088</w:t>
            </w:r>
          </w:p>
        </w:tc>
        <w:tc>
          <w:tcPr>
            <w:tcW w:w="1189" w:type="dxa"/>
            <w:vAlign w:val="bottom"/>
          </w:tcPr>
          <w:p w14:paraId="57BB1DBA" w14:textId="1AD05340" w:rsidR="00224102" w:rsidRPr="00A36623" w:rsidRDefault="00224102" w:rsidP="00224102">
            <w:pPr>
              <w:ind w:right="-56"/>
              <w:jc w:val="right"/>
              <w:rPr>
                <w:sz w:val="18"/>
                <w:szCs w:val="18"/>
              </w:rPr>
            </w:pPr>
            <w:r w:rsidRPr="00A36623">
              <w:rPr>
                <w:sz w:val="18"/>
                <w:szCs w:val="18"/>
              </w:rPr>
              <w:t>-</w:t>
            </w:r>
          </w:p>
        </w:tc>
        <w:tc>
          <w:tcPr>
            <w:tcW w:w="1101" w:type="dxa"/>
            <w:vAlign w:val="bottom"/>
          </w:tcPr>
          <w:p w14:paraId="40705FC8" w14:textId="0C88368B" w:rsidR="00224102" w:rsidRPr="00A36623" w:rsidRDefault="00224102" w:rsidP="00224102">
            <w:pPr>
              <w:ind w:right="-56"/>
              <w:jc w:val="right"/>
              <w:rPr>
                <w:sz w:val="18"/>
                <w:szCs w:val="18"/>
              </w:rPr>
            </w:pPr>
            <w:r w:rsidRPr="00A36623">
              <w:rPr>
                <w:sz w:val="18"/>
                <w:szCs w:val="18"/>
              </w:rPr>
              <w:t>-</w:t>
            </w:r>
          </w:p>
        </w:tc>
        <w:tc>
          <w:tcPr>
            <w:tcW w:w="1130" w:type="dxa"/>
            <w:vAlign w:val="bottom"/>
          </w:tcPr>
          <w:p w14:paraId="3217551F" w14:textId="2148F27C" w:rsidR="00224102" w:rsidRPr="00A36623" w:rsidRDefault="00224102" w:rsidP="00224102">
            <w:pPr>
              <w:ind w:right="-56"/>
              <w:jc w:val="right"/>
              <w:rPr>
                <w:sz w:val="18"/>
                <w:szCs w:val="18"/>
              </w:rPr>
            </w:pPr>
            <w:r w:rsidRPr="00A36623">
              <w:rPr>
                <w:sz w:val="18"/>
                <w:szCs w:val="18"/>
              </w:rPr>
              <w:t>445</w:t>
            </w:r>
            <w:r>
              <w:rPr>
                <w:sz w:val="18"/>
                <w:szCs w:val="18"/>
              </w:rPr>
              <w:t>,</w:t>
            </w:r>
            <w:r w:rsidRPr="00A36623">
              <w:rPr>
                <w:sz w:val="18"/>
                <w:szCs w:val="18"/>
              </w:rPr>
              <w:t>547</w:t>
            </w:r>
          </w:p>
        </w:tc>
      </w:tr>
      <w:tr w:rsidR="00224102" w:rsidRPr="003E2819" w14:paraId="53D134C4" w14:textId="77777777" w:rsidTr="00336BD5">
        <w:trPr>
          <w:trHeight w:val="232"/>
        </w:trPr>
        <w:tc>
          <w:tcPr>
            <w:tcW w:w="3139" w:type="dxa"/>
            <w:vAlign w:val="bottom"/>
          </w:tcPr>
          <w:p w14:paraId="01A65F24" w14:textId="77777777" w:rsidR="00224102" w:rsidRPr="003E2819" w:rsidRDefault="00224102" w:rsidP="00224102">
            <w:pPr>
              <w:rPr>
                <w:sz w:val="18"/>
                <w:szCs w:val="18"/>
                <w:highlight w:val="yellow"/>
              </w:rPr>
            </w:pPr>
            <w:r w:rsidRPr="003E2819">
              <w:rPr>
                <w:sz w:val="18"/>
                <w:szCs w:val="18"/>
              </w:rPr>
              <w:t>Marketable Securities Issued</w:t>
            </w:r>
          </w:p>
        </w:tc>
        <w:tc>
          <w:tcPr>
            <w:tcW w:w="1130" w:type="dxa"/>
            <w:vAlign w:val="bottom"/>
          </w:tcPr>
          <w:p w14:paraId="669C8E11" w14:textId="27B6127B" w:rsidR="00224102" w:rsidRPr="00A36623" w:rsidRDefault="00224102" w:rsidP="00224102">
            <w:pPr>
              <w:ind w:right="-56"/>
              <w:jc w:val="right"/>
              <w:rPr>
                <w:sz w:val="18"/>
                <w:szCs w:val="18"/>
              </w:rPr>
            </w:pPr>
            <w:r w:rsidRPr="00A36623">
              <w:rPr>
                <w:sz w:val="18"/>
                <w:szCs w:val="18"/>
              </w:rPr>
              <w:t>-</w:t>
            </w:r>
          </w:p>
        </w:tc>
        <w:tc>
          <w:tcPr>
            <w:tcW w:w="953" w:type="dxa"/>
            <w:vAlign w:val="bottom"/>
          </w:tcPr>
          <w:p w14:paraId="1F02FF8A" w14:textId="1CAC470F" w:rsidR="00224102" w:rsidRPr="00A36623" w:rsidRDefault="00224102" w:rsidP="00224102">
            <w:pPr>
              <w:ind w:right="-56"/>
              <w:jc w:val="right"/>
              <w:rPr>
                <w:sz w:val="18"/>
                <w:szCs w:val="18"/>
              </w:rPr>
            </w:pPr>
            <w:r w:rsidRPr="00A36623">
              <w:rPr>
                <w:sz w:val="18"/>
                <w:szCs w:val="18"/>
              </w:rPr>
              <w:t>-</w:t>
            </w:r>
          </w:p>
        </w:tc>
        <w:tc>
          <w:tcPr>
            <w:tcW w:w="1101" w:type="dxa"/>
            <w:vAlign w:val="bottom"/>
          </w:tcPr>
          <w:p w14:paraId="51121C83" w14:textId="56AE8272" w:rsidR="00224102" w:rsidRPr="00A36623" w:rsidRDefault="00224102" w:rsidP="00224102">
            <w:pPr>
              <w:ind w:right="-56"/>
              <w:jc w:val="right"/>
              <w:rPr>
                <w:sz w:val="18"/>
                <w:szCs w:val="18"/>
              </w:rPr>
            </w:pPr>
            <w:r w:rsidRPr="00A36623">
              <w:rPr>
                <w:sz w:val="18"/>
                <w:szCs w:val="18"/>
              </w:rPr>
              <w:t>298</w:t>
            </w:r>
            <w:r>
              <w:rPr>
                <w:sz w:val="18"/>
                <w:szCs w:val="18"/>
              </w:rPr>
              <w:t>,</w:t>
            </w:r>
            <w:r w:rsidRPr="00A36623">
              <w:rPr>
                <w:sz w:val="18"/>
                <w:szCs w:val="18"/>
              </w:rPr>
              <w:t>959</w:t>
            </w:r>
          </w:p>
        </w:tc>
        <w:tc>
          <w:tcPr>
            <w:tcW w:w="1189" w:type="dxa"/>
            <w:vAlign w:val="bottom"/>
          </w:tcPr>
          <w:p w14:paraId="3EDC9D17" w14:textId="4C17B5A2" w:rsidR="00224102" w:rsidRPr="00A36623" w:rsidRDefault="00224102" w:rsidP="00224102">
            <w:pPr>
              <w:ind w:right="-56"/>
              <w:jc w:val="right"/>
              <w:rPr>
                <w:sz w:val="18"/>
                <w:szCs w:val="18"/>
              </w:rPr>
            </w:pPr>
            <w:r w:rsidRPr="00A36623">
              <w:rPr>
                <w:sz w:val="18"/>
                <w:szCs w:val="18"/>
              </w:rPr>
              <w:t>-</w:t>
            </w:r>
          </w:p>
        </w:tc>
        <w:tc>
          <w:tcPr>
            <w:tcW w:w="1101" w:type="dxa"/>
            <w:vAlign w:val="bottom"/>
          </w:tcPr>
          <w:p w14:paraId="30834A7B" w14:textId="47AFF1CC" w:rsidR="00224102" w:rsidRPr="00A36623" w:rsidRDefault="00224102" w:rsidP="00224102">
            <w:pPr>
              <w:ind w:right="-56"/>
              <w:jc w:val="right"/>
              <w:rPr>
                <w:sz w:val="18"/>
                <w:szCs w:val="18"/>
              </w:rPr>
            </w:pPr>
            <w:r w:rsidRPr="00A36623">
              <w:rPr>
                <w:sz w:val="18"/>
                <w:szCs w:val="18"/>
              </w:rPr>
              <w:t>581</w:t>
            </w:r>
            <w:r>
              <w:rPr>
                <w:sz w:val="18"/>
                <w:szCs w:val="18"/>
              </w:rPr>
              <w:t>,</w:t>
            </w:r>
            <w:r w:rsidRPr="00A36623">
              <w:rPr>
                <w:sz w:val="18"/>
                <w:szCs w:val="18"/>
              </w:rPr>
              <w:t>725</w:t>
            </w:r>
          </w:p>
        </w:tc>
        <w:tc>
          <w:tcPr>
            <w:tcW w:w="1130" w:type="dxa"/>
            <w:vAlign w:val="bottom"/>
          </w:tcPr>
          <w:p w14:paraId="37CD2355" w14:textId="67972335" w:rsidR="00224102" w:rsidRPr="00A36623" w:rsidRDefault="00224102" w:rsidP="00224102">
            <w:pPr>
              <w:ind w:right="-56"/>
              <w:jc w:val="right"/>
              <w:rPr>
                <w:sz w:val="18"/>
                <w:szCs w:val="18"/>
              </w:rPr>
            </w:pPr>
            <w:r w:rsidRPr="00A36623">
              <w:rPr>
                <w:sz w:val="18"/>
                <w:szCs w:val="18"/>
              </w:rPr>
              <w:t>880</w:t>
            </w:r>
            <w:r>
              <w:rPr>
                <w:sz w:val="18"/>
                <w:szCs w:val="18"/>
              </w:rPr>
              <w:t>,</w:t>
            </w:r>
            <w:r w:rsidRPr="00A36623">
              <w:rPr>
                <w:sz w:val="18"/>
                <w:szCs w:val="18"/>
              </w:rPr>
              <w:t>684</w:t>
            </w:r>
          </w:p>
        </w:tc>
      </w:tr>
      <w:tr w:rsidR="00224102" w:rsidRPr="003E2819" w14:paraId="48A7645B" w14:textId="77777777" w:rsidTr="00336BD5">
        <w:trPr>
          <w:trHeight w:val="232"/>
        </w:trPr>
        <w:tc>
          <w:tcPr>
            <w:tcW w:w="3139" w:type="dxa"/>
            <w:vAlign w:val="bottom"/>
          </w:tcPr>
          <w:p w14:paraId="1BE22895" w14:textId="77777777" w:rsidR="00224102" w:rsidRPr="003E2819" w:rsidRDefault="00224102" w:rsidP="00224102">
            <w:pPr>
              <w:rPr>
                <w:b/>
                <w:bCs/>
                <w:sz w:val="18"/>
                <w:szCs w:val="18"/>
              </w:rPr>
            </w:pPr>
            <w:r>
              <w:rPr>
                <w:b/>
                <w:sz w:val="18"/>
                <w:szCs w:val="18"/>
              </w:rPr>
              <w:t>Total</w:t>
            </w:r>
          </w:p>
        </w:tc>
        <w:tc>
          <w:tcPr>
            <w:tcW w:w="1130" w:type="dxa"/>
            <w:noWrap/>
            <w:vAlign w:val="bottom"/>
          </w:tcPr>
          <w:p w14:paraId="4E3BACC0" w14:textId="1312F86C" w:rsidR="00224102" w:rsidRPr="00A36623" w:rsidRDefault="00224102" w:rsidP="00224102">
            <w:pPr>
              <w:ind w:right="-56"/>
              <w:jc w:val="right"/>
              <w:rPr>
                <w:b/>
                <w:sz w:val="18"/>
                <w:szCs w:val="18"/>
              </w:rPr>
            </w:pPr>
            <w:r w:rsidRPr="00A36623">
              <w:rPr>
                <w:b/>
                <w:sz w:val="18"/>
                <w:szCs w:val="18"/>
              </w:rPr>
              <w:t>1</w:t>
            </w:r>
            <w:r>
              <w:rPr>
                <w:b/>
                <w:sz w:val="18"/>
                <w:szCs w:val="18"/>
              </w:rPr>
              <w:t>,</w:t>
            </w:r>
            <w:r w:rsidRPr="00A36623">
              <w:rPr>
                <w:b/>
                <w:sz w:val="18"/>
                <w:szCs w:val="18"/>
              </w:rPr>
              <w:t>420</w:t>
            </w:r>
            <w:r>
              <w:rPr>
                <w:b/>
                <w:sz w:val="18"/>
                <w:szCs w:val="18"/>
              </w:rPr>
              <w:t>,</w:t>
            </w:r>
            <w:r w:rsidRPr="00A36623">
              <w:rPr>
                <w:b/>
                <w:sz w:val="18"/>
                <w:szCs w:val="18"/>
              </w:rPr>
              <w:t>662</w:t>
            </w:r>
          </w:p>
        </w:tc>
        <w:tc>
          <w:tcPr>
            <w:tcW w:w="953" w:type="dxa"/>
            <w:noWrap/>
            <w:vAlign w:val="bottom"/>
          </w:tcPr>
          <w:p w14:paraId="625F2CAC" w14:textId="43DB0B02" w:rsidR="00224102" w:rsidRPr="00A36623" w:rsidRDefault="00224102" w:rsidP="00224102">
            <w:pPr>
              <w:ind w:right="-56"/>
              <w:jc w:val="right"/>
              <w:rPr>
                <w:b/>
                <w:sz w:val="18"/>
                <w:szCs w:val="18"/>
              </w:rPr>
            </w:pPr>
            <w:r w:rsidRPr="00A36623">
              <w:rPr>
                <w:b/>
                <w:sz w:val="18"/>
                <w:szCs w:val="18"/>
              </w:rPr>
              <w:t>4</w:t>
            </w:r>
            <w:r>
              <w:rPr>
                <w:b/>
                <w:sz w:val="18"/>
                <w:szCs w:val="18"/>
              </w:rPr>
              <w:t>,</w:t>
            </w:r>
            <w:r w:rsidRPr="00A36623">
              <w:rPr>
                <w:b/>
                <w:sz w:val="18"/>
                <w:szCs w:val="18"/>
              </w:rPr>
              <w:t>401</w:t>
            </w:r>
            <w:r>
              <w:rPr>
                <w:b/>
                <w:sz w:val="18"/>
                <w:szCs w:val="18"/>
              </w:rPr>
              <w:t>,</w:t>
            </w:r>
            <w:r w:rsidRPr="00A36623">
              <w:rPr>
                <w:b/>
                <w:sz w:val="18"/>
                <w:szCs w:val="18"/>
              </w:rPr>
              <w:t>092</w:t>
            </w:r>
          </w:p>
        </w:tc>
        <w:tc>
          <w:tcPr>
            <w:tcW w:w="1101" w:type="dxa"/>
            <w:noWrap/>
            <w:vAlign w:val="bottom"/>
          </w:tcPr>
          <w:p w14:paraId="7841A40A" w14:textId="1814E16A" w:rsidR="00224102" w:rsidRPr="00A36623" w:rsidRDefault="00224102" w:rsidP="00224102">
            <w:pPr>
              <w:ind w:right="-56"/>
              <w:jc w:val="right"/>
              <w:rPr>
                <w:b/>
                <w:sz w:val="18"/>
                <w:szCs w:val="18"/>
              </w:rPr>
            </w:pPr>
            <w:r w:rsidRPr="00A36623">
              <w:rPr>
                <w:b/>
                <w:sz w:val="18"/>
                <w:szCs w:val="18"/>
              </w:rPr>
              <w:t>2</w:t>
            </w:r>
            <w:r>
              <w:rPr>
                <w:b/>
                <w:sz w:val="18"/>
                <w:szCs w:val="18"/>
              </w:rPr>
              <w:t>,</w:t>
            </w:r>
            <w:r w:rsidRPr="00A36623">
              <w:rPr>
                <w:b/>
                <w:sz w:val="18"/>
                <w:szCs w:val="18"/>
              </w:rPr>
              <w:t>679</w:t>
            </w:r>
            <w:r>
              <w:rPr>
                <w:b/>
                <w:sz w:val="18"/>
                <w:szCs w:val="18"/>
              </w:rPr>
              <w:t>,</w:t>
            </w:r>
            <w:r w:rsidRPr="00A36623">
              <w:rPr>
                <w:b/>
                <w:sz w:val="18"/>
                <w:szCs w:val="18"/>
              </w:rPr>
              <w:t>689</w:t>
            </w:r>
          </w:p>
        </w:tc>
        <w:tc>
          <w:tcPr>
            <w:tcW w:w="1189" w:type="dxa"/>
            <w:noWrap/>
            <w:vAlign w:val="bottom"/>
          </w:tcPr>
          <w:p w14:paraId="093F0082" w14:textId="68B7EB3A" w:rsidR="00224102" w:rsidRPr="00A36623" w:rsidRDefault="00224102" w:rsidP="00224102">
            <w:pPr>
              <w:ind w:right="-56"/>
              <w:jc w:val="right"/>
              <w:rPr>
                <w:b/>
                <w:sz w:val="18"/>
                <w:szCs w:val="18"/>
              </w:rPr>
            </w:pPr>
            <w:r w:rsidRPr="00A36623">
              <w:rPr>
                <w:b/>
                <w:sz w:val="18"/>
                <w:szCs w:val="18"/>
              </w:rPr>
              <w:t>509</w:t>
            </w:r>
            <w:r>
              <w:rPr>
                <w:b/>
                <w:sz w:val="18"/>
                <w:szCs w:val="18"/>
              </w:rPr>
              <w:t>,</w:t>
            </w:r>
            <w:r w:rsidRPr="00A36623">
              <w:rPr>
                <w:b/>
                <w:sz w:val="18"/>
                <w:szCs w:val="18"/>
              </w:rPr>
              <w:t>333</w:t>
            </w:r>
          </w:p>
        </w:tc>
        <w:tc>
          <w:tcPr>
            <w:tcW w:w="1101" w:type="dxa"/>
            <w:vAlign w:val="bottom"/>
          </w:tcPr>
          <w:p w14:paraId="51032BDB" w14:textId="7F05AC08" w:rsidR="00224102" w:rsidRPr="00A36623" w:rsidRDefault="00224102" w:rsidP="00224102">
            <w:pPr>
              <w:ind w:right="-56"/>
              <w:jc w:val="right"/>
              <w:rPr>
                <w:b/>
                <w:sz w:val="18"/>
                <w:szCs w:val="18"/>
              </w:rPr>
            </w:pPr>
            <w:r w:rsidRPr="00A36623">
              <w:rPr>
                <w:b/>
                <w:sz w:val="18"/>
                <w:szCs w:val="18"/>
              </w:rPr>
              <w:t>978</w:t>
            </w:r>
            <w:r>
              <w:rPr>
                <w:b/>
                <w:sz w:val="18"/>
                <w:szCs w:val="18"/>
              </w:rPr>
              <w:t>,</w:t>
            </w:r>
            <w:r w:rsidRPr="00A36623">
              <w:rPr>
                <w:b/>
                <w:sz w:val="18"/>
                <w:szCs w:val="18"/>
              </w:rPr>
              <w:t>747</w:t>
            </w:r>
          </w:p>
        </w:tc>
        <w:tc>
          <w:tcPr>
            <w:tcW w:w="1130" w:type="dxa"/>
            <w:noWrap/>
            <w:vAlign w:val="bottom"/>
          </w:tcPr>
          <w:p w14:paraId="01B645FB" w14:textId="48B4A882" w:rsidR="00224102" w:rsidRPr="00A36623" w:rsidRDefault="00224102" w:rsidP="00224102">
            <w:pPr>
              <w:ind w:right="-56"/>
              <w:jc w:val="right"/>
              <w:rPr>
                <w:b/>
                <w:sz w:val="18"/>
                <w:szCs w:val="18"/>
              </w:rPr>
            </w:pPr>
            <w:r w:rsidRPr="00A36623">
              <w:rPr>
                <w:b/>
                <w:sz w:val="18"/>
                <w:szCs w:val="18"/>
              </w:rPr>
              <w:t>9</w:t>
            </w:r>
            <w:r>
              <w:rPr>
                <w:b/>
                <w:sz w:val="18"/>
                <w:szCs w:val="18"/>
              </w:rPr>
              <w:t>,989,</w:t>
            </w:r>
            <w:r w:rsidRPr="00A36623">
              <w:rPr>
                <w:b/>
                <w:sz w:val="18"/>
                <w:szCs w:val="18"/>
              </w:rPr>
              <w:t>523</w:t>
            </w:r>
          </w:p>
        </w:tc>
      </w:tr>
    </w:tbl>
    <w:p w14:paraId="58C1DD69" w14:textId="77777777" w:rsidR="00FA020F" w:rsidRDefault="00FA020F" w:rsidP="009E467E">
      <w:pPr>
        <w:spacing w:before="120" w:after="120"/>
        <w:jc w:val="both"/>
        <w:rPr>
          <w:b/>
          <w:sz w:val="20"/>
          <w:szCs w:val="20"/>
        </w:rPr>
      </w:pPr>
      <w:r w:rsidRPr="003E2819">
        <w:rPr>
          <w:b/>
          <w:sz w:val="20"/>
          <w:szCs w:val="20"/>
        </w:rPr>
        <w:t xml:space="preserve">Contractual maturity analysis of the Group’s </w:t>
      </w:r>
      <w:r>
        <w:rPr>
          <w:b/>
          <w:sz w:val="20"/>
          <w:szCs w:val="20"/>
        </w:rPr>
        <w:t>derivative instruments:</w:t>
      </w:r>
    </w:p>
    <w:tbl>
      <w:tblPr>
        <w:tblW w:w="9764"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694"/>
        <w:gridCol w:w="1327"/>
        <w:gridCol w:w="1323"/>
        <w:gridCol w:w="1076"/>
        <w:gridCol w:w="1039"/>
        <w:gridCol w:w="1323"/>
        <w:gridCol w:w="982"/>
      </w:tblGrid>
      <w:tr w:rsidR="003147DE" w:rsidRPr="00336BD5" w14:paraId="2A905C93" w14:textId="77777777" w:rsidTr="00336BD5">
        <w:trPr>
          <w:trHeight w:val="279"/>
        </w:trPr>
        <w:tc>
          <w:tcPr>
            <w:tcW w:w="2694" w:type="dxa"/>
            <w:vAlign w:val="bottom"/>
            <w:hideMark/>
          </w:tcPr>
          <w:p w14:paraId="2057FAA2" w14:textId="77777777" w:rsidR="003147DE" w:rsidRPr="00336BD5" w:rsidRDefault="003147DE" w:rsidP="003147DE">
            <w:pPr>
              <w:rPr>
                <w:sz w:val="18"/>
                <w:szCs w:val="18"/>
              </w:rPr>
            </w:pPr>
          </w:p>
        </w:tc>
        <w:tc>
          <w:tcPr>
            <w:tcW w:w="1327" w:type="dxa"/>
            <w:vAlign w:val="bottom"/>
            <w:hideMark/>
          </w:tcPr>
          <w:p w14:paraId="73EADD1A" w14:textId="77777777" w:rsidR="00336BD5" w:rsidRDefault="003147DE" w:rsidP="00336BD5">
            <w:pPr>
              <w:jc w:val="right"/>
              <w:rPr>
                <w:b/>
                <w:bCs/>
                <w:sz w:val="18"/>
                <w:szCs w:val="18"/>
              </w:rPr>
            </w:pPr>
            <w:r w:rsidRPr="00336BD5">
              <w:rPr>
                <w:b/>
                <w:bCs/>
                <w:sz w:val="18"/>
                <w:szCs w:val="18"/>
              </w:rPr>
              <w:t xml:space="preserve">Up to </w:t>
            </w:r>
          </w:p>
          <w:p w14:paraId="6A36EB7F" w14:textId="14311C25" w:rsidR="003147DE" w:rsidRPr="00336BD5" w:rsidRDefault="003147DE" w:rsidP="00336BD5">
            <w:pPr>
              <w:jc w:val="right"/>
              <w:rPr>
                <w:b/>
                <w:bCs/>
                <w:sz w:val="18"/>
                <w:szCs w:val="18"/>
              </w:rPr>
            </w:pPr>
            <w:r w:rsidRPr="00336BD5">
              <w:rPr>
                <w:b/>
                <w:bCs/>
                <w:sz w:val="18"/>
                <w:szCs w:val="18"/>
              </w:rPr>
              <w:t>1 month</w:t>
            </w:r>
          </w:p>
        </w:tc>
        <w:tc>
          <w:tcPr>
            <w:tcW w:w="1323" w:type="dxa"/>
            <w:vAlign w:val="bottom"/>
            <w:hideMark/>
          </w:tcPr>
          <w:p w14:paraId="2EE021D0" w14:textId="77777777" w:rsidR="00D11253" w:rsidRDefault="003147DE" w:rsidP="00336BD5">
            <w:pPr>
              <w:jc w:val="right"/>
              <w:rPr>
                <w:b/>
                <w:bCs/>
                <w:sz w:val="18"/>
                <w:szCs w:val="18"/>
              </w:rPr>
            </w:pPr>
            <w:r w:rsidRPr="00336BD5">
              <w:rPr>
                <w:b/>
                <w:bCs/>
                <w:sz w:val="18"/>
                <w:szCs w:val="18"/>
              </w:rPr>
              <w:t xml:space="preserve">1-3 </w:t>
            </w:r>
          </w:p>
          <w:p w14:paraId="57F54E63" w14:textId="677DE4CE" w:rsidR="003147DE" w:rsidRPr="00336BD5" w:rsidRDefault="003147DE" w:rsidP="00336BD5">
            <w:pPr>
              <w:jc w:val="right"/>
              <w:rPr>
                <w:b/>
                <w:bCs/>
                <w:sz w:val="18"/>
                <w:szCs w:val="18"/>
              </w:rPr>
            </w:pPr>
            <w:r w:rsidRPr="00336BD5">
              <w:rPr>
                <w:b/>
                <w:bCs/>
                <w:sz w:val="18"/>
                <w:szCs w:val="18"/>
              </w:rPr>
              <w:t>months</w:t>
            </w:r>
          </w:p>
        </w:tc>
        <w:tc>
          <w:tcPr>
            <w:tcW w:w="1076" w:type="dxa"/>
            <w:vAlign w:val="bottom"/>
            <w:hideMark/>
          </w:tcPr>
          <w:p w14:paraId="78CD1157" w14:textId="5971D2D1" w:rsidR="003147DE" w:rsidRPr="00336BD5" w:rsidRDefault="003147DE" w:rsidP="00336BD5">
            <w:pPr>
              <w:jc w:val="right"/>
              <w:rPr>
                <w:b/>
                <w:bCs/>
                <w:sz w:val="18"/>
                <w:szCs w:val="18"/>
              </w:rPr>
            </w:pPr>
            <w:r w:rsidRPr="00336BD5">
              <w:rPr>
                <w:b/>
                <w:bCs/>
                <w:sz w:val="18"/>
                <w:szCs w:val="18"/>
              </w:rPr>
              <w:t>3-12 months</w:t>
            </w:r>
          </w:p>
        </w:tc>
        <w:tc>
          <w:tcPr>
            <w:tcW w:w="1039" w:type="dxa"/>
            <w:vAlign w:val="bottom"/>
            <w:hideMark/>
          </w:tcPr>
          <w:p w14:paraId="1B54583B" w14:textId="77777777" w:rsidR="00D11253" w:rsidRDefault="003147DE" w:rsidP="00336BD5">
            <w:pPr>
              <w:jc w:val="right"/>
              <w:rPr>
                <w:b/>
                <w:bCs/>
                <w:sz w:val="18"/>
                <w:szCs w:val="18"/>
              </w:rPr>
            </w:pPr>
            <w:r w:rsidRPr="00336BD5">
              <w:rPr>
                <w:b/>
                <w:bCs/>
                <w:sz w:val="18"/>
                <w:szCs w:val="18"/>
              </w:rPr>
              <w:t xml:space="preserve">1-5 </w:t>
            </w:r>
          </w:p>
          <w:p w14:paraId="6E1F2D97" w14:textId="0DC99D10" w:rsidR="003147DE" w:rsidRPr="00336BD5" w:rsidRDefault="003147DE" w:rsidP="00336BD5">
            <w:pPr>
              <w:jc w:val="right"/>
              <w:rPr>
                <w:b/>
                <w:bCs/>
                <w:sz w:val="18"/>
                <w:szCs w:val="18"/>
              </w:rPr>
            </w:pPr>
            <w:r w:rsidRPr="00336BD5">
              <w:rPr>
                <w:b/>
                <w:bCs/>
                <w:sz w:val="18"/>
                <w:szCs w:val="18"/>
              </w:rPr>
              <w:t>years</w:t>
            </w:r>
          </w:p>
        </w:tc>
        <w:tc>
          <w:tcPr>
            <w:tcW w:w="1323" w:type="dxa"/>
            <w:vAlign w:val="bottom"/>
            <w:hideMark/>
          </w:tcPr>
          <w:p w14:paraId="3D24E4C7" w14:textId="7AF6BB3D" w:rsidR="003147DE" w:rsidRPr="00336BD5" w:rsidRDefault="003147DE" w:rsidP="00336BD5">
            <w:pPr>
              <w:jc w:val="right"/>
              <w:rPr>
                <w:b/>
                <w:bCs/>
                <w:sz w:val="18"/>
                <w:szCs w:val="18"/>
              </w:rPr>
            </w:pPr>
            <w:r w:rsidRPr="00336BD5">
              <w:rPr>
                <w:b/>
                <w:bCs/>
                <w:sz w:val="18"/>
                <w:szCs w:val="18"/>
              </w:rPr>
              <w:t>5 years and over</w:t>
            </w:r>
          </w:p>
        </w:tc>
        <w:tc>
          <w:tcPr>
            <w:tcW w:w="982" w:type="dxa"/>
            <w:vAlign w:val="bottom"/>
            <w:hideMark/>
          </w:tcPr>
          <w:p w14:paraId="4B6987ED" w14:textId="667A1AB4" w:rsidR="003147DE" w:rsidRPr="00336BD5" w:rsidRDefault="003147DE" w:rsidP="00336BD5">
            <w:pPr>
              <w:jc w:val="right"/>
              <w:rPr>
                <w:b/>
                <w:bCs/>
                <w:sz w:val="18"/>
                <w:szCs w:val="18"/>
              </w:rPr>
            </w:pPr>
            <w:r w:rsidRPr="00336BD5">
              <w:rPr>
                <w:b/>
                <w:bCs/>
                <w:sz w:val="18"/>
                <w:szCs w:val="18"/>
              </w:rPr>
              <w:t>Total</w:t>
            </w:r>
          </w:p>
        </w:tc>
      </w:tr>
      <w:tr w:rsidR="009E467E" w:rsidRPr="00336BD5" w14:paraId="62F726B8" w14:textId="77777777" w:rsidTr="00336BD5">
        <w:trPr>
          <w:trHeight w:val="248"/>
        </w:trPr>
        <w:tc>
          <w:tcPr>
            <w:tcW w:w="2694" w:type="dxa"/>
            <w:vAlign w:val="bottom"/>
            <w:hideMark/>
          </w:tcPr>
          <w:p w14:paraId="7F3C4632" w14:textId="755F5BDB" w:rsidR="009E467E" w:rsidRPr="00336BD5" w:rsidRDefault="003147DE" w:rsidP="00677268">
            <w:pPr>
              <w:rPr>
                <w:b/>
                <w:bCs/>
                <w:sz w:val="18"/>
                <w:szCs w:val="18"/>
              </w:rPr>
            </w:pPr>
            <w:r w:rsidRPr="00336BD5">
              <w:rPr>
                <w:b/>
                <w:bCs/>
                <w:sz w:val="18"/>
                <w:szCs w:val="18"/>
              </w:rPr>
              <w:t>31 December 2015</w:t>
            </w:r>
          </w:p>
        </w:tc>
        <w:tc>
          <w:tcPr>
            <w:tcW w:w="1327" w:type="dxa"/>
            <w:vAlign w:val="bottom"/>
            <w:hideMark/>
          </w:tcPr>
          <w:p w14:paraId="465DE15A" w14:textId="77777777" w:rsidR="009E467E" w:rsidRPr="00336BD5" w:rsidRDefault="009E467E" w:rsidP="00336BD5">
            <w:pPr>
              <w:jc w:val="right"/>
              <w:rPr>
                <w:b/>
                <w:bCs/>
                <w:sz w:val="18"/>
                <w:szCs w:val="18"/>
              </w:rPr>
            </w:pPr>
          </w:p>
        </w:tc>
        <w:tc>
          <w:tcPr>
            <w:tcW w:w="1323" w:type="dxa"/>
            <w:vAlign w:val="bottom"/>
            <w:hideMark/>
          </w:tcPr>
          <w:p w14:paraId="1A9B16D5" w14:textId="77777777" w:rsidR="009E467E" w:rsidRPr="00336BD5" w:rsidRDefault="009E467E" w:rsidP="00336BD5">
            <w:pPr>
              <w:jc w:val="right"/>
              <w:rPr>
                <w:sz w:val="18"/>
                <w:szCs w:val="18"/>
              </w:rPr>
            </w:pPr>
          </w:p>
        </w:tc>
        <w:tc>
          <w:tcPr>
            <w:tcW w:w="1076" w:type="dxa"/>
            <w:vAlign w:val="bottom"/>
            <w:hideMark/>
          </w:tcPr>
          <w:p w14:paraId="4AC7BAC0" w14:textId="77777777" w:rsidR="009E467E" w:rsidRPr="00336BD5" w:rsidRDefault="009E467E" w:rsidP="00336BD5">
            <w:pPr>
              <w:jc w:val="right"/>
              <w:rPr>
                <w:sz w:val="18"/>
                <w:szCs w:val="18"/>
              </w:rPr>
            </w:pPr>
          </w:p>
        </w:tc>
        <w:tc>
          <w:tcPr>
            <w:tcW w:w="1039" w:type="dxa"/>
            <w:vAlign w:val="bottom"/>
            <w:hideMark/>
          </w:tcPr>
          <w:p w14:paraId="6B543BA1" w14:textId="77777777" w:rsidR="009E467E" w:rsidRPr="00336BD5" w:rsidRDefault="009E467E" w:rsidP="00336BD5">
            <w:pPr>
              <w:jc w:val="right"/>
              <w:rPr>
                <w:sz w:val="18"/>
                <w:szCs w:val="18"/>
              </w:rPr>
            </w:pPr>
          </w:p>
        </w:tc>
        <w:tc>
          <w:tcPr>
            <w:tcW w:w="1323" w:type="dxa"/>
            <w:vAlign w:val="bottom"/>
            <w:hideMark/>
          </w:tcPr>
          <w:p w14:paraId="19806E33" w14:textId="77777777" w:rsidR="009E467E" w:rsidRPr="00336BD5" w:rsidRDefault="009E467E" w:rsidP="00336BD5">
            <w:pPr>
              <w:jc w:val="right"/>
              <w:rPr>
                <w:sz w:val="18"/>
                <w:szCs w:val="18"/>
              </w:rPr>
            </w:pPr>
          </w:p>
        </w:tc>
        <w:tc>
          <w:tcPr>
            <w:tcW w:w="982" w:type="dxa"/>
            <w:vAlign w:val="bottom"/>
            <w:hideMark/>
          </w:tcPr>
          <w:p w14:paraId="6F1064C7" w14:textId="77777777" w:rsidR="009E467E" w:rsidRPr="00336BD5" w:rsidRDefault="009E467E" w:rsidP="00336BD5">
            <w:pPr>
              <w:jc w:val="right"/>
              <w:rPr>
                <w:sz w:val="18"/>
                <w:szCs w:val="18"/>
              </w:rPr>
            </w:pPr>
          </w:p>
        </w:tc>
      </w:tr>
      <w:tr w:rsidR="009E467E" w:rsidRPr="00336BD5" w14:paraId="4E85BEFF" w14:textId="77777777" w:rsidTr="00336BD5">
        <w:trPr>
          <w:trHeight w:val="252"/>
        </w:trPr>
        <w:tc>
          <w:tcPr>
            <w:tcW w:w="2694" w:type="dxa"/>
            <w:vAlign w:val="bottom"/>
            <w:hideMark/>
          </w:tcPr>
          <w:p w14:paraId="3E954792" w14:textId="6653D30C" w:rsidR="009E467E" w:rsidRPr="00336BD5" w:rsidRDefault="009E467E" w:rsidP="00677268">
            <w:pPr>
              <w:rPr>
                <w:sz w:val="18"/>
                <w:szCs w:val="18"/>
              </w:rPr>
            </w:pPr>
            <w:r w:rsidRPr="00336BD5">
              <w:rPr>
                <w:sz w:val="18"/>
                <w:szCs w:val="18"/>
              </w:rPr>
              <w:t xml:space="preserve">Net </w:t>
            </w:r>
            <w:r w:rsidR="003147DE" w:rsidRPr="00336BD5">
              <w:rPr>
                <w:sz w:val="18"/>
                <w:szCs w:val="18"/>
              </w:rPr>
              <w:t>Paid</w:t>
            </w:r>
          </w:p>
        </w:tc>
        <w:tc>
          <w:tcPr>
            <w:tcW w:w="1327" w:type="dxa"/>
            <w:vAlign w:val="bottom"/>
            <w:hideMark/>
          </w:tcPr>
          <w:p w14:paraId="7FE78700" w14:textId="77777777" w:rsidR="009E467E" w:rsidRPr="00336BD5" w:rsidRDefault="009E467E" w:rsidP="00336BD5">
            <w:pPr>
              <w:jc w:val="right"/>
              <w:rPr>
                <w:sz w:val="18"/>
                <w:szCs w:val="18"/>
              </w:rPr>
            </w:pPr>
          </w:p>
        </w:tc>
        <w:tc>
          <w:tcPr>
            <w:tcW w:w="1323" w:type="dxa"/>
            <w:vAlign w:val="bottom"/>
            <w:hideMark/>
          </w:tcPr>
          <w:p w14:paraId="7032F878" w14:textId="77777777" w:rsidR="009E467E" w:rsidRPr="00336BD5" w:rsidRDefault="009E467E" w:rsidP="00336BD5">
            <w:pPr>
              <w:jc w:val="right"/>
              <w:rPr>
                <w:sz w:val="18"/>
                <w:szCs w:val="18"/>
              </w:rPr>
            </w:pPr>
          </w:p>
        </w:tc>
        <w:tc>
          <w:tcPr>
            <w:tcW w:w="1076" w:type="dxa"/>
            <w:vAlign w:val="bottom"/>
            <w:hideMark/>
          </w:tcPr>
          <w:p w14:paraId="6E72FBF7" w14:textId="77777777" w:rsidR="009E467E" w:rsidRPr="00336BD5" w:rsidRDefault="009E467E" w:rsidP="00336BD5">
            <w:pPr>
              <w:jc w:val="right"/>
              <w:rPr>
                <w:sz w:val="18"/>
                <w:szCs w:val="18"/>
              </w:rPr>
            </w:pPr>
          </w:p>
        </w:tc>
        <w:tc>
          <w:tcPr>
            <w:tcW w:w="1039" w:type="dxa"/>
            <w:vAlign w:val="bottom"/>
            <w:hideMark/>
          </w:tcPr>
          <w:p w14:paraId="4C3933FB" w14:textId="77777777" w:rsidR="009E467E" w:rsidRPr="00336BD5" w:rsidRDefault="009E467E" w:rsidP="00336BD5">
            <w:pPr>
              <w:jc w:val="right"/>
              <w:rPr>
                <w:sz w:val="18"/>
                <w:szCs w:val="18"/>
              </w:rPr>
            </w:pPr>
          </w:p>
        </w:tc>
        <w:tc>
          <w:tcPr>
            <w:tcW w:w="1323" w:type="dxa"/>
            <w:vAlign w:val="bottom"/>
            <w:hideMark/>
          </w:tcPr>
          <w:p w14:paraId="498C0AC3" w14:textId="77777777" w:rsidR="009E467E" w:rsidRPr="00336BD5" w:rsidRDefault="009E467E" w:rsidP="00336BD5">
            <w:pPr>
              <w:jc w:val="right"/>
              <w:rPr>
                <w:sz w:val="18"/>
                <w:szCs w:val="18"/>
              </w:rPr>
            </w:pPr>
          </w:p>
        </w:tc>
        <w:tc>
          <w:tcPr>
            <w:tcW w:w="982" w:type="dxa"/>
            <w:vAlign w:val="bottom"/>
            <w:hideMark/>
          </w:tcPr>
          <w:p w14:paraId="1C85A7DE" w14:textId="77777777" w:rsidR="009E467E" w:rsidRPr="00336BD5" w:rsidRDefault="009E467E" w:rsidP="00336BD5">
            <w:pPr>
              <w:jc w:val="right"/>
              <w:rPr>
                <w:sz w:val="18"/>
                <w:szCs w:val="18"/>
              </w:rPr>
            </w:pPr>
          </w:p>
        </w:tc>
      </w:tr>
      <w:tr w:rsidR="00224102" w:rsidRPr="00336BD5" w14:paraId="573D8B3F" w14:textId="77777777" w:rsidTr="00336BD5">
        <w:trPr>
          <w:trHeight w:val="279"/>
        </w:trPr>
        <w:tc>
          <w:tcPr>
            <w:tcW w:w="2694" w:type="dxa"/>
            <w:vAlign w:val="bottom"/>
          </w:tcPr>
          <w:p w14:paraId="7BFD242F" w14:textId="38D4622E" w:rsidR="00224102" w:rsidRPr="00336BD5" w:rsidRDefault="00224102" w:rsidP="00224102">
            <w:pPr>
              <w:rPr>
                <w:sz w:val="18"/>
                <w:szCs w:val="18"/>
              </w:rPr>
            </w:pPr>
            <w:r w:rsidRPr="00336BD5">
              <w:rPr>
                <w:sz w:val="18"/>
                <w:szCs w:val="18"/>
              </w:rPr>
              <w:t>Hedging Derivative Financial Instruments</w:t>
            </w:r>
          </w:p>
        </w:tc>
        <w:tc>
          <w:tcPr>
            <w:tcW w:w="1327" w:type="dxa"/>
            <w:vAlign w:val="bottom"/>
          </w:tcPr>
          <w:p w14:paraId="39622054" w14:textId="1A4548F2" w:rsidR="00224102" w:rsidRPr="00336BD5" w:rsidRDefault="00224102" w:rsidP="00336BD5">
            <w:pPr>
              <w:jc w:val="right"/>
              <w:rPr>
                <w:sz w:val="18"/>
                <w:szCs w:val="18"/>
              </w:rPr>
            </w:pPr>
            <w:r w:rsidRPr="00336BD5">
              <w:rPr>
                <w:sz w:val="18"/>
                <w:szCs w:val="18"/>
              </w:rPr>
              <w:t>-</w:t>
            </w:r>
          </w:p>
        </w:tc>
        <w:tc>
          <w:tcPr>
            <w:tcW w:w="1323" w:type="dxa"/>
            <w:vAlign w:val="bottom"/>
          </w:tcPr>
          <w:p w14:paraId="047EF6BC" w14:textId="3F762CFE" w:rsidR="00224102" w:rsidRPr="00336BD5" w:rsidRDefault="00224102" w:rsidP="00336BD5">
            <w:pPr>
              <w:jc w:val="right"/>
              <w:rPr>
                <w:sz w:val="18"/>
                <w:szCs w:val="18"/>
              </w:rPr>
            </w:pPr>
            <w:r w:rsidRPr="00336BD5">
              <w:rPr>
                <w:sz w:val="18"/>
                <w:szCs w:val="18"/>
              </w:rPr>
              <w:t>-</w:t>
            </w:r>
          </w:p>
        </w:tc>
        <w:tc>
          <w:tcPr>
            <w:tcW w:w="1076" w:type="dxa"/>
            <w:vAlign w:val="bottom"/>
          </w:tcPr>
          <w:p w14:paraId="15CC30F6" w14:textId="6F9C8EB5" w:rsidR="00224102" w:rsidRPr="00336BD5" w:rsidRDefault="00224102" w:rsidP="00336BD5">
            <w:pPr>
              <w:jc w:val="right"/>
              <w:rPr>
                <w:sz w:val="18"/>
                <w:szCs w:val="18"/>
              </w:rPr>
            </w:pPr>
            <w:r w:rsidRPr="00336BD5">
              <w:rPr>
                <w:sz w:val="18"/>
                <w:szCs w:val="18"/>
              </w:rPr>
              <w:t>-</w:t>
            </w:r>
          </w:p>
        </w:tc>
        <w:tc>
          <w:tcPr>
            <w:tcW w:w="1039" w:type="dxa"/>
            <w:vAlign w:val="bottom"/>
          </w:tcPr>
          <w:p w14:paraId="557F1CB7" w14:textId="1448DEF7" w:rsidR="00224102" w:rsidRPr="00336BD5" w:rsidRDefault="00224102" w:rsidP="00336BD5">
            <w:pPr>
              <w:jc w:val="right"/>
              <w:rPr>
                <w:sz w:val="18"/>
                <w:szCs w:val="18"/>
              </w:rPr>
            </w:pPr>
            <w:r w:rsidRPr="00336BD5">
              <w:rPr>
                <w:sz w:val="18"/>
                <w:szCs w:val="18"/>
              </w:rPr>
              <w:t>220,000</w:t>
            </w:r>
          </w:p>
        </w:tc>
        <w:tc>
          <w:tcPr>
            <w:tcW w:w="1323" w:type="dxa"/>
            <w:vAlign w:val="bottom"/>
          </w:tcPr>
          <w:p w14:paraId="087D8009" w14:textId="37313A06" w:rsidR="00224102" w:rsidRPr="00336BD5" w:rsidRDefault="00224102" w:rsidP="00336BD5">
            <w:pPr>
              <w:jc w:val="right"/>
              <w:rPr>
                <w:sz w:val="18"/>
                <w:szCs w:val="18"/>
              </w:rPr>
            </w:pPr>
            <w:r w:rsidRPr="00336BD5">
              <w:rPr>
                <w:sz w:val="18"/>
                <w:szCs w:val="18"/>
              </w:rPr>
              <w:t>-</w:t>
            </w:r>
          </w:p>
        </w:tc>
        <w:tc>
          <w:tcPr>
            <w:tcW w:w="982" w:type="dxa"/>
            <w:vAlign w:val="bottom"/>
          </w:tcPr>
          <w:p w14:paraId="51A58DCB" w14:textId="6B474F88" w:rsidR="00224102" w:rsidRPr="00336BD5" w:rsidRDefault="00224102" w:rsidP="00336BD5">
            <w:pPr>
              <w:jc w:val="right"/>
              <w:rPr>
                <w:sz w:val="18"/>
                <w:szCs w:val="18"/>
              </w:rPr>
            </w:pPr>
            <w:r w:rsidRPr="00336BD5">
              <w:rPr>
                <w:sz w:val="18"/>
                <w:szCs w:val="18"/>
              </w:rPr>
              <w:t>220,000</w:t>
            </w:r>
          </w:p>
        </w:tc>
      </w:tr>
      <w:tr w:rsidR="00224102" w:rsidRPr="00336BD5" w14:paraId="00CC2A69" w14:textId="77777777" w:rsidTr="00336BD5">
        <w:trPr>
          <w:trHeight w:val="279"/>
        </w:trPr>
        <w:tc>
          <w:tcPr>
            <w:tcW w:w="2694" w:type="dxa"/>
            <w:vAlign w:val="bottom"/>
          </w:tcPr>
          <w:p w14:paraId="6F13DC4E" w14:textId="46C74AFD" w:rsidR="00224102" w:rsidRPr="00336BD5" w:rsidRDefault="00224102" w:rsidP="00224102">
            <w:pPr>
              <w:rPr>
                <w:sz w:val="18"/>
                <w:szCs w:val="18"/>
              </w:rPr>
            </w:pPr>
            <w:r w:rsidRPr="00336BD5">
              <w:rPr>
                <w:sz w:val="18"/>
                <w:szCs w:val="18"/>
              </w:rPr>
              <w:t>Forward Foreign Exchange Transactions</w:t>
            </w:r>
          </w:p>
        </w:tc>
        <w:tc>
          <w:tcPr>
            <w:tcW w:w="1327" w:type="dxa"/>
            <w:vAlign w:val="bottom"/>
          </w:tcPr>
          <w:p w14:paraId="67F7962B" w14:textId="39E98E37" w:rsidR="00224102" w:rsidRPr="00336BD5" w:rsidRDefault="00224102" w:rsidP="00336BD5">
            <w:pPr>
              <w:jc w:val="right"/>
              <w:rPr>
                <w:sz w:val="18"/>
                <w:szCs w:val="18"/>
              </w:rPr>
            </w:pPr>
            <w:r w:rsidRPr="00336BD5">
              <w:rPr>
                <w:sz w:val="18"/>
                <w:szCs w:val="18"/>
              </w:rPr>
              <w:t>128,508</w:t>
            </w:r>
          </w:p>
        </w:tc>
        <w:tc>
          <w:tcPr>
            <w:tcW w:w="1323" w:type="dxa"/>
            <w:vAlign w:val="bottom"/>
          </w:tcPr>
          <w:p w14:paraId="2048D6F3" w14:textId="6B17473A" w:rsidR="00224102" w:rsidRPr="00336BD5" w:rsidRDefault="00224102" w:rsidP="00336BD5">
            <w:pPr>
              <w:jc w:val="right"/>
              <w:rPr>
                <w:sz w:val="18"/>
                <w:szCs w:val="18"/>
              </w:rPr>
            </w:pPr>
            <w:r w:rsidRPr="00336BD5">
              <w:rPr>
                <w:sz w:val="18"/>
                <w:szCs w:val="18"/>
              </w:rPr>
              <w:t>115,369</w:t>
            </w:r>
          </w:p>
        </w:tc>
        <w:tc>
          <w:tcPr>
            <w:tcW w:w="1076" w:type="dxa"/>
            <w:vAlign w:val="bottom"/>
          </w:tcPr>
          <w:p w14:paraId="256AEE43" w14:textId="65415A02" w:rsidR="00224102" w:rsidRPr="00336BD5" w:rsidRDefault="00224102" w:rsidP="00336BD5">
            <w:pPr>
              <w:jc w:val="right"/>
              <w:rPr>
                <w:sz w:val="18"/>
                <w:szCs w:val="18"/>
              </w:rPr>
            </w:pPr>
            <w:r w:rsidRPr="00336BD5">
              <w:rPr>
                <w:sz w:val="18"/>
                <w:szCs w:val="18"/>
              </w:rPr>
              <w:t>91,023</w:t>
            </w:r>
          </w:p>
        </w:tc>
        <w:tc>
          <w:tcPr>
            <w:tcW w:w="1039" w:type="dxa"/>
            <w:vAlign w:val="bottom"/>
          </w:tcPr>
          <w:p w14:paraId="12434CD8" w14:textId="4C205860" w:rsidR="00224102" w:rsidRPr="00336BD5" w:rsidRDefault="00224102" w:rsidP="00336BD5">
            <w:pPr>
              <w:jc w:val="right"/>
              <w:rPr>
                <w:sz w:val="18"/>
                <w:szCs w:val="18"/>
              </w:rPr>
            </w:pPr>
            <w:r w:rsidRPr="00336BD5">
              <w:rPr>
                <w:sz w:val="18"/>
                <w:szCs w:val="18"/>
              </w:rPr>
              <w:t>-</w:t>
            </w:r>
          </w:p>
        </w:tc>
        <w:tc>
          <w:tcPr>
            <w:tcW w:w="1323" w:type="dxa"/>
            <w:vAlign w:val="bottom"/>
          </w:tcPr>
          <w:p w14:paraId="3AE7BF67" w14:textId="4FFE435F" w:rsidR="00224102" w:rsidRPr="00336BD5" w:rsidRDefault="00224102" w:rsidP="00336BD5">
            <w:pPr>
              <w:jc w:val="right"/>
              <w:rPr>
                <w:sz w:val="18"/>
                <w:szCs w:val="18"/>
              </w:rPr>
            </w:pPr>
            <w:r w:rsidRPr="00336BD5">
              <w:rPr>
                <w:sz w:val="18"/>
                <w:szCs w:val="18"/>
              </w:rPr>
              <w:t>-</w:t>
            </w:r>
          </w:p>
        </w:tc>
        <w:tc>
          <w:tcPr>
            <w:tcW w:w="982" w:type="dxa"/>
            <w:vAlign w:val="bottom"/>
          </w:tcPr>
          <w:p w14:paraId="67A6B073" w14:textId="7EBBCB6E" w:rsidR="00224102" w:rsidRPr="00336BD5" w:rsidRDefault="00224102" w:rsidP="00336BD5">
            <w:pPr>
              <w:jc w:val="right"/>
              <w:rPr>
                <w:sz w:val="18"/>
                <w:szCs w:val="18"/>
              </w:rPr>
            </w:pPr>
            <w:r w:rsidRPr="00336BD5">
              <w:rPr>
                <w:sz w:val="18"/>
                <w:szCs w:val="18"/>
              </w:rPr>
              <w:t>334,900</w:t>
            </w:r>
          </w:p>
        </w:tc>
      </w:tr>
      <w:tr w:rsidR="00224102" w:rsidRPr="00336BD5" w14:paraId="4FD3E559" w14:textId="77777777" w:rsidTr="00336BD5">
        <w:trPr>
          <w:trHeight w:val="279"/>
        </w:trPr>
        <w:tc>
          <w:tcPr>
            <w:tcW w:w="2694" w:type="dxa"/>
            <w:vAlign w:val="bottom"/>
          </w:tcPr>
          <w:p w14:paraId="3383B093" w14:textId="6694A24D" w:rsidR="00224102" w:rsidRPr="00336BD5" w:rsidRDefault="00224102" w:rsidP="00224102">
            <w:pPr>
              <w:rPr>
                <w:sz w:val="18"/>
                <w:szCs w:val="18"/>
              </w:rPr>
            </w:pPr>
            <w:r w:rsidRPr="00336BD5">
              <w:rPr>
                <w:sz w:val="18"/>
                <w:szCs w:val="18"/>
              </w:rPr>
              <w:t>Money and Interest Rate Swaps</w:t>
            </w:r>
          </w:p>
        </w:tc>
        <w:tc>
          <w:tcPr>
            <w:tcW w:w="1327" w:type="dxa"/>
            <w:vAlign w:val="bottom"/>
          </w:tcPr>
          <w:p w14:paraId="5E19B43E" w14:textId="6F465A3A" w:rsidR="00224102" w:rsidRPr="00336BD5" w:rsidRDefault="00224102" w:rsidP="00336BD5">
            <w:pPr>
              <w:jc w:val="right"/>
              <w:rPr>
                <w:sz w:val="18"/>
                <w:szCs w:val="18"/>
              </w:rPr>
            </w:pPr>
            <w:r w:rsidRPr="00336BD5">
              <w:rPr>
                <w:sz w:val="18"/>
                <w:szCs w:val="18"/>
              </w:rPr>
              <w:t>3,983,410</w:t>
            </w:r>
          </w:p>
        </w:tc>
        <w:tc>
          <w:tcPr>
            <w:tcW w:w="1323" w:type="dxa"/>
            <w:vAlign w:val="bottom"/>
          </w:tcPr>
          <w:p w14:paraId="1B24A6C0" w14:textId="1ED92702" w:rsidR="00224102" w:rsidRPr="00336BD5" w:rsidRDefault="00224102" w:rsidP="00336BD5">
            <w:pPr>
              <w:jc w:val="right"/>
              <w:rPr>
                <w:sz w:val="18"/>
                <w:szCs w:val="18"/>
              </w:rPr>
            </w:pPr>
            <w:r w:rsidRPr="00336BD5">
              <w:rPr>
                <w:sz w:val="18"/>
                <w:szCs w:val="18"/>
              </w:rPr>
              <w:t>807,606</w:t>
            </w:r>
          </w:p>
        </w:tc>
        <w:tc>
          <w:tcPr>
            <w:tcW w:w="1076" w:type="dxa"/>
            <w:vAlign w:val="bottom"/>
          </w:tcPr>
          <w:p w14:paraId="681DC50D" w14:textId="045C8A6C" w:rsidR="00224102" w:rsidRPr="00336BD5" w:rsidRDefault="00224102" w:rsidP="00336BD5">
            <w:pPr>
              <w:jc w:val="right"/>
              <w:rPr>
                <w:sz w:val="18"/>
                <w:szCs w:val="18"/>
              </w:rPr>
            </w:pPr>
            <w:r w:rsidRPr="00336BD5">
              <w:rPr>
                <w:sz w:val="18"/>
                <w:szCs w:val="18"/>
              </w:rPr>
              <w:t>305,478</w:t>
            </w:r>
          </w:p>
        </w:tc>
        <w:tc>
          <w:tcPr>
            <w:tcW w:w="1039" w:type="dxa"/>
            <w:vAlign w:val="bottom"/>
          </w:tcPr>
          <w:p w14:paraId="591D717E" w14:textId="73B3C0AA" w:rsidR="00224102" w:rsidRPr="00336BD5" w:rsidRDefault="00224102" w:rsidP="00336BD5">
            <w:pPr>
              <w:jc w:val="right"/>
              <w:rPr>
                <w:sz w:val="18"/>
                <w:szCs w:val="18"/>
              </w:rPr>
            </w:pPr>
            <w:r w:rsidRPr="00336BD5">
              <w:rPr>
                <w:sz w:val="18"/>
                <w:szCs w:val="18"/>
              </w:rPr>
              <w:t>2,359,046</w:t>
            </w:r>
          </w:p>
        </w:tc>
        <w:tc>
          <w:tcPr>
            <w:tcW w:w="1323" w:type="dxa"/>
            <w:vAlign w:val="bottom"/>
          </w:tcPr>
          <w:p w14:paraId="5997CC95" w14:textId="799374AA" w:rsidR="00224102" w:rsidRPr="00336BD5" w:rsidRDefault="00224102" w:rsidP="00336BD5">
            <w:pPr>
              <w:jc w:val="right"/>
              <w:rPr>
                <w:sz w:val="18"/>
                <w:szCs w:val="18"/>
              </w:rPr>
            </w:pPr>
            <w:r w:rsidRPr="00336BD5">
              <w:rPr>
                <w:sz w:val="18"/>
                <w:szCs w:val="18"/>
              </w:rPr>
              <w:t>387,348</w:t>
            </w:r>
          </w:p>
        </w:tc>
        <w:tc>
          <w:tcPr>
            <w:tcW w:w="982" w:type="dxa"/>
            <w:vAlign w:val="bottom"/>
          </w:tcPr>
          <w:p w14:paraId="2F9059DB" w14:textId="0B15DD7F" w:rsidR="00224102" w:rsidRPr="00336BD5" w:rsidRDefault="00224102" w:rsidP="00336BD5">
            <w:pPr>
              <w:jc w:val="right"/>
              <w:rPr>
                <w:sz w:val="18"/>
                <w:szCs w:val="18"/>
              </w:rPr>
            </w:pPr>
            <w:r w:rsidRPr="00336BD5">
              <w:rPr>
                <w:sz w:val="18"/>
                <w:szCs w:val="18"/>
              </w:rPr>
              <w:t>7,842,888</w:t>
            </w:r>
          </w:p>
        </w:tc>
      </w:tr>
      <w:tr w:rsidR="00224102" w:rsidRPr="00336BD5" w14:paraId="2BC3A7F7" w14:textId="77777777" w:rsidTr="00336BD5">
        <w:trPr>
          <w:trHeight w:val="279"/>
        </w:trPr>
        <w:tc>
          <w:tcPr>
            <w:tcW w:w="2694" w:type="dxa"/>
            <w:vAlign w:val="bottom"/>
          </w:tcPr>
          <w:p w14:paraId="0F12696B" w14:textId="6F234E5E" w:rsidR="00224102" w:rsidRPr="00336BD5" w:rsidRDefault="00224102" w:rsidP="00224102">
            <w:pPr>
              <w:rPr>
                <w:sz w:val="18"/>
                <w:szCs w:val="18"/>
              </w:rPr>
            </w:pPr>
            <w:r w:rsidRPr="00336BD5">
              <w:rPr>
                <w:sz w:val="18"/>
                <w:szCs w:val="18"/>
              </w:rPr>
              <w:t>Options</w:t>
            </w:r>
          </w:p>
        </w:tc>
        <w:tc>
          <w:tcPr>
            <w:tcW w:w="1327" w:type="dxa"/>
            <w:vAlign w:val="bottom"/>
          </w:tcPr>
          <w:p w14:paraId="5062D86E" w14:textId="65597CDF" w:rsidR="00224102" w:rsidRPr="00336BD5" w:rsidRDefault="00224102" w:rsidP="00336BD5">
            <w:pPr>
              <w:jc w:val="right"/>
              <w:rPr>
                <w:sz w:val="18"/>
                <w:szCs w:val="18"/>
              </w:rPr>
            </w:pPr>
            <w:r w:rsidRPr="00336BD5">
              <w:rPr>
                <w:sz w:val="18"/>
                <w:szCs w:val="18"/>
              </w:rPr>
              <w:t>121,350</w:t>
            </w:r>
          </w:p>
        </w:tc>
        <w:tc>
          <w:tcPr>
            <w:tcW w:w="1323" w:type="dxa"/>
            <w:vAlign w:val="bottom"/>
          </w:tcPr>
          <w:p w14:paraId="7B15D464" w14:textId="0346D153" w:rsidR="00224102" w:rsidRPr="00336BD5" w:rsidRDefault="00224102" w:rsidP="00336BD5">
            <w:pPr>
              <w:jc w:val="right"/>
              <w:rPr>
                <w:sz w:val="18"/>
                <w:szCs w:val="18"/>
              </w:rPr>
            </w:pPr>
            <w:r w:rsidRPr="00336BD5">
              <w:rPr>
                <w:sz w:val="18"/>
                <w:szCs w:val="18"/>
              </w:rPr>
              <w:t>98,995</w:t>
            </w:r>
          </w:p>
        </w:tc>
        <w:tc>
          <w:tcPr>
            <w:tcW w:w="1076" w:type="dxa"/>
            <w:vAlign w:val="bottom"/>
          </w:tcPr>
          <w:p w14:paraId="0F81F7C4" w14:textId="78FDDB0C" w:rsidR="00224102" w:rsidRPr="00336BD5" w:rsidRDefault="00224102" w:rsidP="00336BD5">
            <w:pPr>
              <w:jc w:val="right"/>
              <w:rPr>
                <w:sz w:val="18"/>
                <w:szCs w:val="18"/>
              </w:rPr>
            </w:pPr>
            <w:r w:rsidRPr="00336BD5">
              <w:rPr>
                <w:sz w:val="18"/>
                <w:szCs w:val="18"/>
              </w:rPr>
              <w:t>2,238,857</w:t>
            </w:r>
          </w:p>
        </w:tc>
        <w:tc>
          <w:tcPr>
            <w:tcW w:w="1039" w:type="dxa"/>
            <w:vAlign w:val="bottom"/>
          </w:tcPr>
          <w:p w14:paraId="080AE25D" w14:textId="6EF30A44" w:rsidR="00224102" w:rsidRPr="00336BD5" w:rsidRDefault="00224102" w:rsidP="00336BD5">
            <w:pPr>
              <w:jc w:val="right"/>
              <w:rPr>
                <w:sz w:val="18"/>
                <w:szCs w:val="18"/>
              </w:rPr>
            </w:pPr>
            <w:r w:rsidRPr="00336BD5">
              <w:rPr>
                <w:sz w:val="18"/>
                <w:szCs w:val="18"/>
              </w:rPr>
              <w:t>-</w:t>
            </w:r>
          </w:p>
        </w:tc>
        <w:tc>
          <w:tcPr>
            <w:tcW w:w="1323" w:type="dxa"/>
            <w:vAlign w:val="bottom"/>
          </w:tcPr>
          <w:p w14:paraId="249ABA31" w14:textId="63B78E33" w:rsidR="00224102" w:rsidRPr="00336BD5" w:rsidRDefault="00224102" w:rsidP="00336BD5">
            <w:pPr>
              <w:jc w:val="right"/>
              <w:rPr>
                <w:sz w:val="18"/>
                <w:szCs w:val="18"/>
              </w:rPr>
            </w:pPr>
            <w:r w:rsidRPr="00336BD5">
              <w:rPr>
                <w:sz w:val="18"/>
                <w:szCs w:val="18"/>
              </w:rPr>
              <w:t>-</w:t>
            </w:r>
          </w:p>
        </w:tc>
        <w:tc>
          <w:tcPr>
            <w:tcW w:w="982" w:type="dxa"/>
            <w:vAlign w:val="bottom"/>
          </w:tcPr>
          <w:p w14:paraId="5EE5AA50" w14:textId="3D9127AF" w:rsidR="00224102" w:rsidRPr="00336BD5" w:rsidRDefault="00224102" w:rsidP="00336BD5">
            <w:pPr>
              <w:jc w:val="right"/>
              <w:rPr>
                <w:sz w:val="18"/>
                <w:szCs w:val="18"/>
              </w:rPr>
            </w:pPr>
            <w:r w:rsidRPr="00336BD5">
              <w:rPr>
                <w:sz w:val="18"/>
                <w:szCs w:val="18"/>
              </w:rPr>
              <w:t>2,459,202</w:t>
            </w:r>
          </w:p>
        </w:tc>
      </w:tr>
      <w:tr w:rsidR="00224102" w:rsidRPr="00336BD5" w14:paraId="2D998CD4" w14:textId="77777777" w:rsidTr="00336BD5">
        <w:trPr>
          <w:trHeight w:val="279"/>
        </w:trPr>
        <w:tc>
          <w:tcPr>
            <w:tcW w:w="2694" w:type="dxa"/>
            <w:vAlign w:val="bottom"/>
          </w:tcPr>
          <w:p w14:paraId="0C0F6D99" w14:textId="388269A7" w:rsidR="00224102" w:rsidRPr="00336BD5" w:rsidRDefault="00224102" w:rsidP="00224102">
            <w:pPr>
              <w:rPr>
                <w:sz w:val="18"/>
                <w:szCs w:val="18"/>
              </w:rPr>
            </w:pPr>
            <w:r w:rsidRPr="00336BD5">
              <w:rPr>
                <w:sz w:val="18"/>
                <w:szCs w:val="18"/>
              </w:rPr>
              <w:t>Other</w:t>
            </w:r>
          </w:p>
        </w:tc>
        <w:tc>
          <w:tcPr>
            <w:tcW w:w="1327" w:type="dxa"/>
            <w:vAlign w:val="bottom"/>
          </w:tcPr>
          <w:p w14:paraId="46EC4945" w14:textId="5C4E17EC" w:rsidR="00224102" w:rsidRPr="00336BD5" w:rsidRDefault="00224102" w:rsidP="00336BD5">
            <w:pPr>
              <w:jc w:val="right"/>
              <w:rPr>
                <w:sz w:val="18"/>
                <w:szCs w:val="18"/>
              </w:rPr>
            </w:pPr>
            <w:r w:rsidRPr="00336BD5">
              <w:rPr>
                <w:sz w:val="18"/>
                <w:szCs w:val="18"/>
              </w:rPr>
              <w:t>-</w:t>
            </w:r>
          </w:p>
        </w:tc>
        <w:tc>
          <w:tcPr>
            <w:tcW w:w="1323" w:type="dxa"/>
            <w:vAlign w:val="bottom"/>
          </w:tcPr>
          <w:p w14:paraId="71C3A8DD" w14:textId="711B3508" w:rsidR="00224102" w:rsidRPr="00336BD5" w:rsidRDefault="00224102" w:rsidP="00336BD5">
            <w:pPr>
              <w:jc w:val="right"/>
              <w:rPr>
                <w:sz w:val="18"/>
                <w:szCs w:val="18"/>
              </w:rPr>
            </w:pPr>
            <w:r w:rsidRPr="00336BD5">
              <w:rPr>
                <w:sz w:val="18"/>
                <w:szCs w:val="18"/>
              </w:rPr>
              <w:t>-</w:t>
            </w:r>
          </w:p>
        </w:tc>
        <w:tc>
          <w:tcPr>
            <w:tcW w:w="1076" w:type="dxa"/>
            <w:vAlign w:val="bottom"/>
          </w:tcPr>
          <w:p w14:paraId="7A322D74" w14:textId="78D378BA" w:rsidR="00224102" w:rsidRPr="00336BD5" w:rsidRDefault="00224102" w:rsidP="00336BD5">
            <w:pPr>
              <w:jc w:val="right"/>
              <w:rPr>
                <w:sz w:val="18"/>
                <w:szCs w:val="18"/>
              </w:rPr>
            </w:pPr>
            <w:r w:rsidRPr="00336BD5">
              <w:rPr>
                <w:sz w:val="18"/>
                <w:szCs w:val="18"/>
              </w:rPr>
              <w:t>-</w:t>
            </w:r>
          </w:p>
        </w:tc>
        <w:tc>
          <w:tcPr>
            <w:tcW w:w="1039" w:type="dxa"/>
            <w:vAlign w:val="bottom"/>
          </w:tcPr>
          <w:p w14:paraId="7206AF0D" w14:textId="10850FAE" w:rsidR="00224102" w:rsidRPr="00336BD5" w:rsidRDefault="00224102" w:rsidP="00336BD5">
            <w:pPr>
              <w:jc w:val="right"/>
              <w:rPr>
                <w:sz w:val="18"/>
                <w:szCs w:val="18"/>
              </w:rPr>
            </w:pPr>
            <w:r w:rsidRPr="00336BD5">
              <w:rPr>
                <w:sz w:val="18"/>
                <w:szCs w:val="18"/>
              </w:rPr>
              <w:t>46,690</w:t>
            </w:r>
          </w:p>
        </w:tc>
        <w:tc>
          <w:tcPr>
            <w:tcW w:w="1323" w:type="dxa"/>
            <w:vAlign w:val="bottom"/>
          </w:tcPr>
          <w:p w14:paraId="057685EE" w14:textId="227CE076" w:rsidR="00224102" w:rsidRPr="00336BD5" w:rsidRDefault="00224102" w:rsidP="00336BD5">
            <w:pPr>
              <w:jc w:val="right"/>
              <w:rPr>
                <w:sz w:val="18"/>
                <w:szCs w:val="18"/>
              </w:rPr>
            </w:pPr>
            <w:r w:rsidRPr="00336BD5">
              <w:rPr>
                <w:sz w:val="18"/>
                <w:szCs w:val="18"/>
              </w:rPr>
              <w:t>-</w:t>
            </w:r>
          </w:p>
        </w:tc>
        <w:tc>
          <w:tcPr>
            <w:tcW w:w="982" w:type="dxa"/>
            <w:vAlign w:val="bottom"/>
          </w:tcPr>
          <w:p w14:paraId="2EFCA6D9" w14:textId="5ED347DA" w:rsidR="00224102" w:rsidRPr="00336BD5" w:rsidRDefault="00224102" w:rsidP="00336BD5">
            <w:pPr>
              <w:jc w:val="right"/>
              <w:rPr>
                <w:sz w:val="18"/>
                <w:szCs w:val="18"/>
              </w:rPr>
            </w:pPr>
            <w:r w:rsidRPr="00336BD5">
              <w:rPr>
                <w:sz w:val="18"/>
                <w:szCs w:val="18"/>
              </w:rPr>
              <w:t>46,690</w:t>
            </w:r>
          </w:p>
        </w:tc>
      </w:tr>
      <w:tr w:rsidR="00224102" w:rsidRPr="00336BD5" w14:paraId="2EF3FC98" w14:textId="77777777" w:rsidTr="00336BD5">
        <w:trPr>
          <w:trHeight w:val="279"/>
        </w:trPr>
        <w:tc>
          <w:tcPr>
            <w:tcW w:w="2694" w:type="dxa"/>
            <w:vAlign w:val="bottom"/>
          </w:tcPr>
          <w:p w14:paraId="76BC6B1E" w14:textId="62273C93" w:rsidR="00224102" w:rsidRPr="00336BD5" w:rsidRDefault="00224102" w:rsidP="00224102">
            <w:pPr>
              <w:rPr>
                <w:b/>
                <w:bCs/>
                <w:sz w:val="18"/>
                <w:szCs w:val="18"/>
              </w:rPr>
            </w:pPr>
            <w:r w:rsidRPr="00336BD5">
              <w:rPr>
                <w:b/>
                <w:bCs/>
                <w:sz w:val="18"/>
                <w:szCs w:val="18"/>
              </w:rPr>
              <w:t>Total</w:t>
            </w:r>
          </w:p>
        </w:tc>
        <w:tc>
          <w:tcPr>
            <w:tcW w:w="1327" w:type="dxa"/>
            <w:vAlign w:val="bottom"/>
          </w:tcPr>
          <w:p w14:paraId="35665064" w14:textId="27D0B658" w:rsidR="00224102" w:rsidRPr="00336BD5" w:rsidRDefault="00224102" w:rsidP="00336BD5">
            <w:pPr>
              <w:jc w:val="right"/>
              <w:rPr>
                <w:b/>
                <w:bCs/>
                <w:sz w:val="18"/>
                <w:szCs w:val="18"/>
              </w:rPr>
            </w:pPr>
            <w:r w:rsidRPr="00336BD5">
              <w:rPr>
                <w:b/>
                <w:bCs/>
                <w:sz w:val="18"/>
                <w:szCs w:val="18"/>
              </w:rPr>
              <w:t>4,233,268</w:t>
            </w:r>
          </w:p>
        </w:tc>
        <w:tc>
          <w:tcPr>
            <w:tcW w:w="1323" w:type="dxa"/>
            <w:vAlign w:val="bottom"/>
          </w:tcPr>
          <w:p w14:paraId="3126D4C9" w14:textId="71D57D28" w:rsidR="00224102" w:rsidRPr="00336BD5" w:rsidRDefault="00224102" w:rsidP="00336BD5">
            <w:pPr>
              <w:jc w:val="right"/>
              <w:rPr>
                <w:b/>
                <w:bCs/>
                <w:sz w:val="18"/>
                <w:szCs w:val="18"/>
              </w:rPr>
            </w:pPr>
            <w:r w:rsidRPr="00336BD5">
              <w:rPr>
                <w:b/>
                <w:bCs/>
                <w:sz w:val="18"/>
                <w:szCs w:val="18"/>
              </w:rPr>
              <w:t>1,021,970</w:t>
            </w:r>
          </w:p>
        </w:tc>
        <w:tc>
          <w:tcPr>
            <w:tcW w:w="1076" w:type="dxa"/>
            <w:vAlign w:val="bottom"/>
          </w:tcPr>
          <w:p w14:paraId="39BDEF4C" w14:textId="01AEA003" w:rsidR="00224102" w:rsidRPr="00336BD5" w:rsidRDefault="00224102" w:rsidP="00336BD5">
            <w:pPr>
              <w:jc w:val="right"/>
              <w:rPr>
                <w:b/>
                <w:bCs/>
                <w:sz w:val="18"/>
                <w:szCs w:val="18"/>
              </w:rPr>
            </w:pPr>
            <w:r w:rsidRPr="00336BD5">
              <w:rPr>
                <w:b/>
                <w:bCs/>
                <w:sz w:val="18"/>
                <w:szCs w:val="18"/>
              </w:rPr>
              <w:t>2,635,358</w:t>
            </w:r>
          </w:p>
        </w:tc>
        <w:tc>
          <w:tcPr>
            <w:tcW w:w="1039" w:type="dxa"/>
            <w:vAlign w:val="bottom"/>
          </w:tcPr>
          <w:p w14:paraId="46920D00" w14:textId="02E2822C" w:rsidR="00224102" w:rsidRPr="00336BD5" w:rsidRDefault="00224102" w:rsidP="00336BD5">
            <w:pPr>
              <w:jc w:val="right"/>
              <w:rPr>
                <w:b/>
                <w:bCs/>
                <w:sz w:val="18"/>
                <w:szCs w:val="18"/>
              </w:rPr>
            </w:pPr>
            <w:r w:rsidRPr="00336BD5">
              <w:rPr>
                <w:b/>
                <w:bCs/>
                <w:sz w:val="18"/>
                <w:szCs w:val="18"/>
              </w:rPr>
              <w:t>2,625,736</w:t>
            </w:r>
          </w:p>
        </w:tc>
        <w:tc>
          <w:tcPr>
            <w:tcW w:w="1323" w:type="dxa"/>
            <w:vAlign w:val="bottom"/>
          </w:tcPr>
          <w:p w14:paraId="6C09A365" w14:textId="4734F2A6" w:rsidR="00224102" w:rsidRPr="00336BD5" w:rsidRDefault="00224102" w:rsidP="00336BD5">
            <w:pPr>
              <w:jc w:val="right"/>
              <w:rPr>
                <w:b/>
                <w:bCs/>
                <w:sz w:val="18"/>
                <w:szCs w:val="18"/>
              </w:rPr>
            </w:pPr>
            <w:r w:rsidRPr="00336BD5">
              <w:rPr>
                <w:b/>
                <w:bCs/>
                <w:sz w:val="18"/>
                <w:szCs w:val="18"/>
              </w:rPr>
              <w:t>387,348</w:t>
            </w:r>
          </w:p>
        </w:tc>
        <w:tc>
          <w:tcPr>
            <w:tcW w:w="982" w:type="dxa"/>
            <w:vAlign w:val="bottom"/>
          </w:tcPr>
          <w:p w14:paraId="48CE5732" w14:textId="1F204B4C" w:rsidR="00224102" w:rsidRPr="00336BD5" w:rsidRDefault="00224102" w:rsidP="00336BD5">
            <w:pPr>
              <w:jc w:val="right"/>
              <w:rPr>
                <w:b/>
                <w:bCs/>
                <w:sz w:val="18"/>
                <w:szCs w:val="18"/>
              </w:rPr>
            </w:pPr>
            <w:r w:rsidRPr="00336BD5">
              <w:rPr>
                <w:b/>
                <w:bCs/>
                <w:sz w:val="18"/>
                <w:szCs w:val="18"/>
              </w:rPr>
              <w:t>10,903,680</w:t>
            </w:r>
          </w:p>
        </w:tc>
      </w:tr>
    </w:tbl>
    <w:p w14:paraId="612E2E7B" w14:textId="77777777" w:rsidR="00FA020F" w:rsidRPr="00336BD5" w:rsidRDefault="00FA020F" w:rsidP="00FA020F">
      <w:pPr>
        <w:pStyle w:val="NormalIndent"/>
        <w:tabs>
          <w:tab w:val="left" w:pos="5760"/>
        </w:tabs>
        <w:ind w:left="1620" w:hanging="1620"/>
        <w:rPr>
          <w:b/>
          <w:sz w:val="18"/>
          <w:szCs w:val="18"/>
        </w:rPr>
      </w:pPr>
      <w:r w:rsidRPr="00336BD5">
        <w:rPr>
          <w:b/>
          <w:sz w:val="18"/>
          <w:szCs w:val="18"/>
        </w:rPr>
        <w:tab/>
      </w:r>
      <w:r w:rsidRPr="00336BD5">
        <w:rPr>
          <w:b/>
          <w:sz w:val="18"/>
          <w:szCs w:val="18"/>
        </w:rPr>
        <w:tab/>
      </w:r>
    </w:p>
    <w:tbl>
      <w:tblPr>
        <w:tblW w:w="978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694"/>
        <w:gridCol w:w="1335"/>
        <w:gridCol w:w="1362"/>
        <w:gridCol w:w="1099"/>
        <w:gridCol w:w="1060"/>
        <w:gridCol w:w="1239"/>
        <w:gridCol w:w="992"/>
      </w:tblGrid>
      <w:tr w:rsidR="003147DE" w:rsidRPr="00336BD5" w14:paraId="4C35D104" w14:textId="77777777" w:rsidTr="00336BD5">
        <w:trPr>
          <w:trHeight w:val="279"/>
        </w:trPr>
        <w:tc>
          <w:tcPr>
            <w:tcW w:w="2694" w:type="dxa"/>
            <w:vAlign w:val="bottom"/>
            <w:hideMark/>
          </w:tcPr>
          <w:p w14:paraId="43BA07AA" w14:textId="77777777" w:rsidR="003147DE" w:rsidRPr="00336BD5" w:rsidRDefault="003147DE" w:rsidP="003147DE">
            <w:pPr>
              <w:rPr>
                <w:sz w:val="18"/>
                <w:szCs w:val="18"/>
              </w:rPr>
            </w:pPr>
          </w:p>
        </w:tc>
        <w:tc>
          <w:tcPr>
            <w:tcW w:w="1335" w:type="dxa"/>
            <w:vAlign w:val="bottom"/>
            <w:hideMark/>
          </w:tcPr>
          <w:p w14:paraId="3B1167EC" w14:textId="77777777" w:rsidR="00336BD5" w:rsidRDefault="003147DE" w:rsidP="00336BD5">
            <w:pPr>
              <w:jc w:val="right"/>
              <w:rPr>
                <w:b/>
                <w:bCs/>
                <w:sz w:val="18"/>
                <w:szCs w:val="18"/>
              </w:rPr>
            </w:pPr>
            <w:r w:rsidRPr="00336BD5">
              <w:rPr>
                <w:b/>
                <w:bCs/>
                <w:sz w:val="18"/>
                <w:szCs w:val="18"/>
              </w:rPr>
              <w:t xml:space="preserve">Up to </w:t>
            </w:r>
          </w:p>
          <w:p w14:paraId="52C4DC93" w14:textId="25CC9038" w:rsidR="003147DE" w:rsidRPr="00336BD5" w:rsidRDefault="003147DE" w:rsidP="00336BD5">
            <w:pPr>
              <w:jc w:val="right"/>
              <w:rPr>
                <w:b/>
                <w:bCs/>
                <w:sz w:val="18"/>
                <w:szCs w:val="18"/>
              </w:rPr>
            </w:pPr>
            <w:r w:rsidRPr="00336BD5">
              <w:rPr>
                <w:b/>
                <w:bCs/>
                <w:sz w:val="18"/>
                <w:szCs w:val="18"/>
              </w:rPr>
              <w:t>1 month</w:t>
            </w:r>
          </w:p>
        </w:tc>
        <w:tc>
          <w:tcPr>
            <w:tcW w:w="1362" w:type="dxa"/>
            <w:vAlign w:val="bottom"/>
            <w:hideMark/>
          </w:tcPr>
          <w:p w14:paraId="63BF8E2C" w14:textId="77777777" w:rsidR="00D11253" w:rsidRDefault="003147DE" w:rsidP="00336BD5">
            <w:pPr>
              <w:jc w:val="right"/>
              <w:rPr>
                <w:b/>
                <w:bCs/>
                <w:sz w:val="18"/>
                <w:szCs w:val="18"/>
              </w:rPr>
            </w:pPr>
            <w:r w:rsidRPr="00336BD5">
              <w:rPr>
                <w:b/>
                <w:bCs/>
                <w:sz w:val="18"/>
                <w:szCs w:val="18"/>
              </w:rPr>
              <w:t xml:space="preserve">1-3 </w:t>
            </w:r>
          </w:p>
          <w:p w14:paraId="654EC8BE" w14:textId="46BE17EF" w:rsidR="003147DE" w:rsidRPr="00336BD5" w:rsidRDefault="003147DE" w:rsidP="00336BD5">
            <w:pPr>
              <w:jc w:val="right"/>
              <w:rPr>
                <w:b/>
                <w:bCs/>
                <w:sz w:val="18"/>
                <w:szCs w:val="18"/>
              </w:rPr>
            </w:pPr>
            <w:r w:rsidRPr="00336BD5">
              <w:rPr>
                <w:b/>
                <w:bCs/>
                <w:sz w:val="18"/>
                <w:szCs w:val="18"/>
              </w:rPr>
              <w:t>months</w:t>
            </w:r>
          </w:p>
        </w:tc>
        <w:tc>
          <w:tcPr>
            <w:tcW w:w="1099" w:type="dxa"/>
            <w:vAlign w:val="bottom"/>
            <w:hideMark/>
          </w:tcPr>
          <w:p w14:paraId="05A8FF86" w14:textId="77777777" w:rsidR="00D11253" w:rsidRDefault="003147DE" w:rsidP="00336BD5">
            <w:pPr>
              <w:jc w:val="right"/>
              <w:rPr>
                <w:b/>
                <w:bCs/>
                <w:sz w:val="18"/>
                <w:szCs w:val="18"/>
              </w:rPr>
            </w:pPr>
            <w:r w:rsidRPr="00336BD5">
              <w:rPr>
                <w:b/>
                <w:bCs/>
                <w:sz w:val="18"/>
                <w:szCs w:val="18"/>
              </w:rPr>
              <w:t xml:space="preserve">3-12 </w:t>
            </w:r>
          </w:p>
          <w:p w14:paraId="1A781CF5" w14:textId="3F5F6709" w:rsidR="003147DE" w:rsidRPr="00336BD5" w:rsidRDefault="003147DE" w:rsidP="00336BD5">
            <w:pPr>
              <w:jc w:val="right"/>
              <w:rPr>
                <w:b/>
                <w:bCs/>
                <w:sz w:val="18"/>
                <w:szCs w:val="18"/>
              </w:rPr>
            </w:pPr>
            <w:r w:rsidRPr="00336BD5">
              <w:rPr>
                <w:b/>
                <w:bCs/>
                <w:sz w:val="18"/>
                <w:szCs w:val="18"/>
              </w:rPr>
              <w:t>months</w:t>
            </w:r>
          </w:p>
        </w:tc>
        <w:tc>
          <w:tcPr>
            <w:tcW w:w="1060" w:type="dxa"/>
            <w:vAlign w:val="bottom"/>
            <w:hideMark/>
          </w:tcPr>
          <w:p w14:paraId="4A009651" w14:textId="77777777" w:rsidR="00D11253" w:rsidRDefault="003147DE" w:rsidP="00336BD5">
            <w:pPr>
              <w:jc w:val="right"/>
              <w:rPr>
                <w:b/>
                <w:bCs/>
                <w:sz w:val="18"/>
                <w:szCs w:val="18"/>
              </w:rPr>
            </w:pPr>
            <w:r w:rsidRPr="00336BD5">
              <w:rPr>
                <w:b/>
                <w:bCs/>
                <w:sz w:val="18"/>
                <w:szCs w:val="18"/>
              </w:rPr>
              <w:t xml:space="preserve">1-5 </w:t>
            </w:r>
          </w:p>
          <w:p w14:paraId="0CFBA71E" w14:textId="1393774C" w:rsidR="003147DE" w:rsidRPr="00336BD5" w:rsidRDefault="003147DE" w:rsidP="00336BD5">
            <w:pPr>
              <w:jc w:val="right"/>
              <w:rPr>
                <w:b/>
                <w:bCs/>
                <w:sz w:val="18"/>
                <w:szCs w:val="18"/>
              </w:rPr>
            </w:pPr>
            <w:r w:rsidRPr="00336BD5">
              <w:rPr>
                <w:b/>
                <w:bCs/>
                <w:sz w:val="18"/>
                <w:szCs w:val="18"/>
              </w:rPr>
              <w:t>years</w:t>
            </w:r>
          </w:p>
        </w:tc>
        <w:tc>
          <w:tcPr>
            <w:tcW w:w="1239" w:type="dxa"/>
            <w:vAlign w:val="bottom"/>
            <w:hideMark/>
          </w:tcPr>
          <w:p w14:paraId="2D46E1A6" w14:textId="29A49ED8" w:rsidR="003147DE" w:rsidRPr="00336BD5" w:rsidRDefault="003147DE" w:rsidP="00336BD5">
            <w:pPr>
              <w:jc w:val="right"/>
              <w:rPr>
                <w:b/>
                <w:bCs/>
                <w:sz w:val="18"/>
                <w:szCs w:val="18"/>
              </w:rPr>
            </w:pPr>
            <w:r w:rsidRPr="00336BD5">
              <w:rPr>
                <w:b/>
                <w:bCs/>
                <w:sz w:val="18"/>
                <w:szCs w:val="18"/>
              </w:rPr>
              <w:t>5 years and over</w:t>
            </w:r>
          </w:p>
        </w:tc>
        <w:tc>
          <w:tcPr>
            <w:tcW w:w="992" w:type="dxa"/>
            <w:vAlign w:val="bottom"/>
            <w:hideMark/>
          </w:tcPr>
          <w:p w14:paraId="134B562E" w14:textId="2B6E9ADD" w:rsidR="003147DE" w:rsidRPr="00336BD5" w:rsidRDefault="003147DE" w:rsidP="00336BD5">
            <w:pPr>
              <w:jc w:val="right"/>
              <w:rPr>
                <w:b/>
                <w:bCs/>
                <w:sz w:val="18"/>
                <w:szCs w:val="18"/>
              </w:rPr>
            </w:pPr>
            <w:r w:rsidRPr="00336BD5">
              <w:rPr>
                <w:b/>
                <w:bCs/>
                <w:sz w:val="18"/>
                <w:szCs w:val="18"/>
              </w:rPr>
              <w:t>Total</w:t>
            </w:r>
          </w:p>
        </w:tc>
      </w:tr>
      <w:tr w:rsidR="009E467E" w:rsidRPr="00336BD5" w14:paraId="04E5DFEF" w14:textId="77777777" w:rsidTr="00336BD5">
        <w:trPr>
          <w:trHeight w:val="279"/>
        </w:trPr>
        <w:tc>
          <w:tcPr>
            <w:tcW w:w="2694" w:type="dxa"/>
            <w:vAlign w:val="bottom"/>
            <w:hideMark/>
          </w:tcPr>
          <w:p w14:paraId="47A06A08" w14:textId="4D37D452" w:rsidR="009E467E" w:rsidRPr="00336BD5" w:rsidRDefault="003147DE" w:rsidP="00677268">
            <w:pPr>
              <w:rPr>
                <w:b/>
                <w:bCs/>
                <w:sz w:val="18"/>
                <w:szCs w:val="18"/>
              </w:rPr>
            </w:pPr>
            <w:r w:rsidRPr="00336BD5">
              <w:rPr>
                <w:b/>
                <w:bCs/>
                <w:sz w:val="18"/>
                <w:szCs w:val="18"/>
              </w:rPr>
              <w:t>31 December 2014</w:t>
            </w:r>
          </w:p>
        </w:tc>
        <w:tc>
          <w:tcPr>
            <w:tcW w:w="1335" w:type="dxa"/>
            <w:vAlign w:val="bottom"/>
            <w:hideMark/>
          </w:tcPr>
          <w:p w14:paraId="70109E1A" w14:textId="77777777" w:rsidR="009E467E" w:rsidRPr="00336BD5" w:rsidRDefault="009E467E" w:rsidP="00336BD5">
            <w:pPr>
              <w:jc w:val="right"/>
              <w:rPr>
                <w:b/>
                <w:bCs/>
                <w:sz w:val="18"/>
                <w:szCs w:val="18"/>
              </w:rPr>
            </w:pPr>
          </w:p>
        </w:tc>
        <w:tc>
          <w:tcPr>
            <w:tcW w:w="1362" w:type="dxa"/>
            <w:vAlign w:val="bottom"/>
            <w:hideMark/>
          </w:tcPr>
          <w:p w14:paraId="488E4C8C" w14:textId="77777777" w:rsidR="009E467E" w:rsidRPr="00336BD5" w:rsidRDefault="009E467E" w:rsidP="00336BD5">
            <w:pPr>
              <w:jc w:val="right"/>
              <w:rPr>
                <w:sz w:val="18"/>
                <w:szCs w:val="18"/>
              </w:rPr>
            </w:pPr>
          </w:p>
        </w:tc>
        <w:tc>
          <w:tcPr>
            <w:tcW w:w="1099" w:type="dxa"/>
            <w:vAlign w:val="bottom"/>
            <w:hideMark/>
          </w:tcPr>
          <w:p w14:paraId="161B6F81" w14:textId="77777777" w:rsidR="009E467E" w:rsidRPr="00336BD5" w:rsidRDefault="009E467E" w:rsidP="00336BD5">
            <w:pPr>
              <w:jc w:val="right"/>
              <w:rPr>
                <w:sz w:val="18"/>
                <w:szCs w:val="18"/>
              </w:rPr>
            </w:pPr>
          </w:p>
        </w:tc>
        <w:tc>
          <w:tcPr>
            <w:tcW w:w="1060" w:type="dxa"/>
            <w:vAlign w:val="bottom"/>
            <w:hideMark/>
          </w:tcPr>
          <w:p w14:paraId="359156C5" w14:textId="77777777" w:rsidR="009E467E" w:rsidRPr="00336BD5" w:rsidRDefault="009E467E" w:rsidP="00336BD5">
            <w:pPr>
              <w:jc w:val="right"/>
              <w:rPr>
                <w:sz w:val="18"/>
                <w:szCs w:val="18"/>
              </w:rPr>
            </w:pPr>
          </w:p>
        </w:tc>
        <w:tc>
          <w:tcPr>
            <w:tcW w:w="1239" w:type="dxa"/>
            <w:vAlign w:val="bottom"/>
            <w:hideMark/>
          </w:tcPr>
          <w:p w14:paraId="23BA922B" w14:textId="77777777" w:rsidR="009E467E" w:rsidRPr="00336BD5" w:rsidRDefault="009E467E" w:rsidP="00336BD5">
            <w:pPr>
              <w:jc w:val="right"/>
              <w:rPr>
                <w:sz w:val="18"/>
                <w:szCs w:val="18"/>
              </w:rPr>
            </w:pPr>
          </w:p>
        </w:tc>
        <w:tc>
          <w:tcPr>
            <w:tcW w:w="992" w:type="dxa"/>
            <w:vAlign w:val="bottom"/>
            <w:hideMark/>
          </w:tcPr>
          <w:p w14:paraId="478643DA" w14:textId="77777777" w:rsidR="009E467E" w:rsidRPr="00336BD5" w:rsidRDefault="009E467E" w:rsidP="00336BD5">
            <w:pPr>
              <w:jc w:val="right"/>
              <w:rPr>
                <w:sz w:val="18"/>
                <w:szCs w:val="18"/>
              </w:rPr>
            </w:pPr>
          </w:p>
        </w:tc>
      </w:tr>
      <w:tr w:rsidR="009E467E" w:rsidRPr="00336BD5" w14:paraId="76BC5241" w14:textId="77777777" w:rsidTr="00336BD5">
        <w:trPr>
          <w:trHeight w:val="279"/>
        </w:trPr>
        <w:tc>
          <w:tcPr>
            <w:tcW w:w="2694" w:type="dxa"/>
            <w:vAlign w:val="bottom"/>
            <w:hideMark/>
          </w:tcPr>
          <w:p w14:paraId="01CC9038" w14:textId="71D924EE" w:rsidR="009E467E" w:rsidRPr="00336BD5" w:rsidRDefault="009E467E" w:rsidP="00677268">
            <w:pPr>
              <w:rPr>
                <w:sz w:val="18"/>
                <w:szCs w:val="18"/>
              </w:rPr>
            </w:pPr>
            <w:r w:rsidRPr="00336BD5">
              <w:rPr>
                <w:sz w:val="18"/>
                <w:szCs w:val="18"/>
              </w:rPr>
              <w:t>Ne</w:t>
            </w:r>
            <w:r w:rsidR="003147DE" w:rsidRPr="00336BD5">
              <w:rPr>
                <w:sz w:val="18"/>
                <w:szCs w:val="18"/>
              </w:rPr>
              <w:t>t Paid</w:t>
            </w:r>
          </w:p>
        </w:tc>
        <w:tc>
          <w:tcPr>
            <w:tcW w:w="1335" w:type="dxa"/>
            <w:vAlign w:val="bottom"/>
            <w:hideMark/>
          </w:tcPr>
          <w:p w14:paraId="1FC57742" w14:textId="77777777" w:rsidR="009E467E" w:rsidRPr="00336BD5" w:rsidRDefault="009E467E" w:rsidP="00336BD5">
            <w:pPr>
              <w:jc w:val="right"/>
              <w:rPr>
                <w:sz w:val="18"/>
                <w:szCs w:val="18"/>
              </w:rPr>
            </w:pPr>
          </w:p>
        </w:tc>
        <w:tc>
          <w:tcPr>
            <w:tcW w:w="1362" w:type="dxa"/>
            <w:vAlign w:val="bottom"/>
            <w:hideMark/>
          </w:tcPr>
          <w:p w14:paraId="757CDA52" w14:textId="77777777" w:rsidR="009E467E" w:rsidRPr="00336BD5" w:rsidRDefault="009E467E" w:rsidP="00336BD5">
            <w:pPr>
              <w:jc w:val="right"/>
              <w:rPr>
                <w:sz w:val="18"/>
                <w:szCs w:val="18"/>
              </w:rPr>
            </w:pPr>
          </w:p>
        </w:tc>
        <w:tc>
          <w:tcPr>
            <w:tcW w:w="1099" w:type="dxa"/>
            <w:vAlign w:val="bottom"/>
            <w:hideMark/>
          </w:tcPr>
          <w:p w14:paraId="51D0673C" w14:textId="77777777" w:rsidR="009E467E" w:rsidRPr="00336BD5" w:rsidRDefault="009E467E" w:rsidP="00336BD5">
            <w:pPr>
              <w:jc w:val="right"/>
              <w:rPr>
                <w:sz w:val="18"/>
                <w:szCs w:val="18"/>
              </w:rPr>
            </w:pPr>
          </w:p>
        </w:tc>
        <w:tc>
          <w:tcPr>
            <w:tcW w:w="1060" w:type="dxa"/>
            <w:vAlign w:val="bottom"/>
            <w:hideMark/>
          </w:tcPr>
          <w:p w14:paraId="431554EB" w14:textId="77777777" w:rsidR="009E467E" w:rsidRPr="00336BD5" w:rsidRDefault="009E467E" w:rsidP="00336BD5">
            <w:pPr>
              <w:jc w:val="right"/>
              <w:rPr>
                <w:sz w:val="18"/>
                <w:szCs w:val="18"/>
              </w:rPr>
            </w:pPr>
          </w:p>
        </w:tc>
        <w:tc>
          <w:tcPr>
            <w:tcW w:w="1239" w:type="dxa"/>
            <w:vAlign w:val="bottom"/>
            <w:hideMark/>
          </w:tcPr>
          <w:p w14:paraId="24679955" w14:textId="77777777" w:rsidR="009E467E" w:rsidRPr="00336BD5" w:rsidRDefault="009E467E" w:rsidP="00336BD5">
            <w:pPr>
              <w:jc w:val="right"/>
              <w:rPr>
                <w:sz w:val="18"/>
                <w:szCs w:val="18"/>
              </w:rPr>
            </w:pPr>
          </w:p>
        </w:tc>
        <w:tc>
          <w:tcPr>
            <w:tcW w:w="992" w:type="dxa"/>
            <w:vAlign w:val="bottom"/>
            <w:hideMark/>
          </w:tcPr>
          <w:p w14:paraId="3572232D" w14:textId="77777777" w:rsidR="009E467E" w:rsidRPr="00336BD5" w:rsidRDefault="009E467E" w:rsidP="00336BD5">
            <w:pPr>
              <w:jc w:val="right"/>
              <w:rPr>
                <w:sz w:val="18"/>
                <w:szCs w:val="18"/>
              </w:rPr>
            </w:pPr>
          </w:p>
        </w:tc>
      </w:tr>
      <w:tr w:rsidR="00224102" w:rsidRPr="00336BD5" w14:paraId="36EE9F7A" w14:textId="77777777" w:rsidTr="00336BD5">
        <w:trPr>
          <w:trHeight w:val="279"/>
        </w:trPr>
        <w:tc>
          <w:tcPr>
            <w:tcW w:w="2694" w:type="dxa"/>
            <w:vAlign w:val="bottom"/>
          </w:tcPr>
          <w:p w14:paraId="31AC90CF" w14:textId="326AA1D1" w:rsidR="00224102" w:rsidRPr="00336BD5" w:rsidRDefault="00224102" w:rsidP="00224102">
            <w:pPr>
              <w:rPr>
                <w:sz w:val="18"/>
                <w:szCs w:val="18"/>
              </w:rPr>
            </w:pPr>
            <w:r w:rsidRPr="00336BD5">
              <w:rPr>
                <w:sz w:val="18"/>
                <w:szCs w:val="18"/>
              </w:rPr>
              <w:t>Hedging Derivative Financial Instruments</w:t>
            </w:r>
          </w:p>
        </w:tc>
        <w:tc>
          <w:tcPr>
            <w:tcW w:w="1335" w:type="dxa"/>
            <w:vAlign w:val="bottom"/>
          </w:tcPr>
          <w:p w14:paraId="443C1F27" w14:textId="09326669" w:rsidR="00224102" w:rsidRPr="00336BD5" w:rsidRDefault="00224102" w:rsidP="00336BD5">
            <w:pPr>
              <w:jc w:val="right"/>
              <w:rPr>
                <w:sz w:val="18"/>
                <w:szCs w:val="18"/>
              </w:rPr>
            </w:pPr>
            <w:r w:rsidRPr="00336BD5">
              <w:rPr>
                <w:sz w:val="18"/>
                <w:szCs w:val="18"/>
              </w:rPr>
              <w:t>-</w:t>
            </w:r>
          </w:p>
        </w:tc>
        <w:tc>
          <w:tcPr>
            <w:tcW w:w="1362" w:type="dxa"/>
            <w:vAlign w:val="bottom"/>
          </w:tcPr>
          <w:p w14:paraId="5183FFB9" w14:textId="374B71FC" w:rsidR="00224102" w:rsidRPr="00336BD5" w:rsidRDefault="00224102" w:rsidP="00336BD5">
            <w:pPr>
              <w:jc w:val="right"/>
              <w:rPr>
                <w:sz w:val="18"/>
                <w:szCs w:val="18"/>
              </w:rPr>
            </w:pPr>
            <w:r w:rsidRPr="00336BD5">
              <w:rPr>
                <w:sz w:val="18"/>
                <w:szCs w:val="18"/>
              </w:rPr>
              <w:t>-</w:t>
            </w:r>
          </w:p>
        </w:tc>
        <w:tc>
          <w:tcPr>
            <w:tcW w:w="1099" w:type="dxa"/>
            <w:vAlign w:val="bottom"/>
          </w:tcPr>
          <w:p w14:paraId="4FF62CE7" w14:textId="67C6940E" w:rsidR="00224102" w:rsidRPr="00336BD5" w:rsidRDefault="00224102" w:rsidP="00336BD5">
            <w:pPr>
              <w:jc w:val="right"/>
              <w:rPr>
                <w:sz w:val="18"/>
                <w:szCs w:val="18"/>
              </w:rPr>
            </w:pPr>
            <w:r w:rsidRPr="00336BD5">
              <w:rPr>
                <w:sz w:val="18"/>
                <w:szCs w:val="18"/>
              </w:rPr>
              <w:t>-</w:t>
            </w:r>
          </w:p>
        </w:tc>
        <w:tc>
          <w:tcPr>
            <w:tcW w:w="1060" w:type="dxa"/>
            <w:vAlign w:val="bottom"/>
          </w:tcPr>
          <w:p w14:paraId="32258BCF" w14:textId="2B002507" w:rsidR="00224102" w:rsidRPr="00336BD5" w:rsidRDefault="00224102" w:rsidP="00336BD5">
            <w:pPr>
              <w:jc w:val="right"/>
              <w:rPr>
                <w:sz w:val="18"/>
                <w:szCs w:val="18"/>
              </w:rPr>
            </w:pPr>
            <w:r w:rsidRPr="00336BD5">
              <w:rPr>
                <w:sz w:val="18"/>
                <w:szCs w:val="18"/>
              </w:rPr>
              <w:t>220,000</w:t>
            </w:r>
          </w:p>
        </w:tc>
        <w:tc>
          <w:tcPr>
            <w:tcW w:w="1239" w:type="dxa"/>
            <w:vAlign w:val="bottom"/>
          </w:tcPr>
          <w:p w14:paraId="657161A2" w14:textId="773EAD57" w:rsidR="00224102" w:rsidRPr="00336BD5" w:rsidRDefault="00224102" w:rsidP="00336BD5">
            <w:pPr>
              <w:jc w:val="right"/>
              <w:rPr>
                <w:sz w:val="18"/>
                <w:szCs w:val="18"/>
              </w:rPr>
            </w:pPr>
            <w:r w:rsidRPr="00336BD5">
              <w:rPr>
                <w:sz w:val="18"/>
                <w:szCs w:val="18"/>
              </w:rPr>
              <w:t>-</w:t>
            </w:r>
          </w:p>
        </w:tc>
        <w:tc>
          <w:tcPr>
            <w:tcW w:w="992" w:type="dxa"/>
            <w:vAlign w:val="bottom"/>
          </w:tcPr>
          <w:p w14:paraId="49BB7119" w14:textId="4ADD25D3" w:rsidR="00224102" w:rsidRPr="00336BD5" w:rsidRDefault="00224102" w:rsidP="00336BD5">
            <w:pPr>
              <w:jc w:val="right"/>
              <w:rPr>
                <w:sz w:val="18"/>
                <w:szCs w:val="18"/>
              </w:rPr>
            </w:pPr>
            <w:r w:rsidRPr="00336BD5">
              <w:rPr>
                <w:sz w:val="18"/>
                <w:szCs w:val="18"/>
              </w:rPr>
              <w:t>220,000</w:t>
            </w:r>
          </w:p>
        </w:tc>
      </w:tr>
      <w:tr w:rsidR="00224102" w:rsidRPr="00336BD5" w14:paraId="26E17C64" w14:textId="77777777" w:rsidTr="00336BD5">
        <w:trPr>
          <w:trHeight w:val="279"/>
        </w:trPr>
        <w:tc>
          <w:tcPr>
            <w:tcW w:w="2694" w:type="dxa"/>
            <w:vAlign w:val="bottom"/>
          </w:tcPr>
          <w:p w14:paraId="7B68EB86" w14:textId="3FCEA35F" w:rsidR="00224102" w:rsidRPr="00336BD5" w:rsidRDefault="00224102" w:rsidP="00224102">
            <w:pPr>
              <w:rPr>
                <w:sz w:val="18"/>
                <w:szCs w:val="18"/>
              </w:rPr>
            </w:pPr>
            <w:r w:rsidRPr="00336BD5">
              <w:rPr>
                <w:sz w:val="18"/>
                <w:szCs w:val="18"/>
              </w:rPr>
              <w:t>Forward Foreign Exchange Transactions</w:t>
            </w:r>
          </w:p>
        </w:tc>
        <w:tc>
          <w:tcPr>
            <w:tcW w:w="1335" w:type="dxa"/>
            <w:vAlign w:val="bottom"/>
          </w:tcPr>
          <w:p w14:paraId="03207C94" w14:textId="3AA5BCF9" w:rsidR="00224102" w:rsidRPr="00336BD5" w:rsidRDefault="00224102" w:rsidP="00336BD5">
            <w:pPr>
              <w:jc w:val="right"/>
              <w:rPr>
                <w:sz w:val="18"/>
                <w:szCs w:val="18"/>
              </w:rPr>
            </w:pPr>
            <w:r w:rsidRPr="00336BD5">
              <w:rPr>
                <w:sz w:val="18"/>
                <w:szCs w:val="18"/>
              </w:rPr>
              <w:t>314,122</w:t>
            </w:r>
          </w:p>
        </w:tc>
        <w:tc>
          <w:tcPr>
            <w:tcW w:w="1362" w:type="dxa"/>
            <w:vAlign w:val="bottom"/>
          </w:tcPr>
          <w:p w14:paraId="1057E7DA" w14:textId="190743F8" w:rsidR="00224102" w:rsidRPr="00336BD5" w:rsidRDefault="00224102" w:rsidP="00336BD5">
            <w:pPr>
              <w:jc w:val="right"/>
              <w:rPr>
                <w:sz w:val="18"/>
                <w:szCs w:val="18"/>
              </w:rPr>
            </w:pPr>
            <w:r w:rsidRPr="00336BD5">
              <w:rPr>
                <w:sz w:val="18"/>
                <w:szCs w:val="18"/>
              </w:rPr>
              <w:t>166,921</w:t>
            </w:r>
          </w:p>
        </w:tc>
        <w:tc>
          <w:tcPr>
            <w:tcW w:w="1099" w:type="dxa"/>
            <w:vAlign w:val="bottom"/>
          </w:tcPr>
          <w:p w14:paraId="17663E83" w14:textId="625597EE" w:rsidR="00224102" w:rsidRPr="00336BD5" w:rsidRDefault="00224102" w:rsidP="00336BD5">
            <w:pPr>
              <w:jc w:val="right"/>
              <w:rPr>
                <w:sz w:val="18"/>
                <w:szCs w:val="18"/>
              </w:rPr>
            </w:pPr>
            <w:r w:rsidRPr="00336BD5">
              <w:rPr>
                <w:sz w:val="18"/>
                <w:szCs w:val="18"/>
              </w:rPr>
              <w:t>41,561</w:t>
            </w:r>
          </w:p>
        </w:tc>
        <w:tc>
          <w:tcPr>
            <w:tcW w:w="1060" w:type="dxa"/>
            <w:vAlign w:val="bottom"/>
          </w:tcPr>
          <w:p w14:paraId="4878E76E" w14:textId="3F5D8EDE" w:rsidR="00224102" w:rsidRPr="00336BD5" w:rsidRDefault="00224102" w:rsidP="00336BD5">
            <w:pPr>
              <w:jc w:val="right"/>
              <w:rPr>
                <w:sz w:val="18"/>
                <w:szCs w:val="18"/>
              </w:rPr>
            </w:pPr>
            <w:r w:rsidRPr="00336BD5">
              <w:rPr>
                <w:sz w:val="18"/>
                <w:szCs w:val="18"/>
              </w:rPr>
              <w:t>-</w:t>
            </w:r>
          </w:p>
        </w:tc>
        <w:tc>
          <w:tcPr>
            <w:tcW w:w="1239" w:type="dxa"/>
            <w:vAlign w:val="bottom"/>
          </w:tcPr>
          <w:p w14:paraId="61533782" w14:textId="16F278D8" w:rsidR="00224102" w:rsidRPr="00336BD5" w:rsidRDefault="00224102" w:rsidP="00336BD5">
            <w:pPr>
              <w:jc w:val="right"/>
              <w:rPr>
                <w:sz w:val="18"/>
                <w:szCs w:val="18"/>
              </w:rPr>
            </w:pPr>
            <w:r w:rsidRPr="00336BD5">
              <w:rPr>
                <w:sz w:val="18"/>
                <w:szCs w:val="18"/>
              </w:rPr>
              <w:t>-</w:t>
            </w:r>
          </w:p>
        </w:tc>
        <w:tc>
          <w:tcPr>
            <w:tcW w:w="992" w:type="dxa"/>
            <w:vAlign w:val="bottom"/>
          </w:tcPr>
          <w:p w14:paraId="50855A2E" w14:textId="3C8CB4E1" w:rsidR="00224102" w:rsidRPr="00336BD5" w:rsidRDefault="00224102" w:rsidP="00336BD5">
            <w:pPr>
              <w:jc w:val="right"/>
              <w:rPr>
                <w:sz w:val="18"/>
                <w:szCs w:val="18"/>
              </w:rPr>
            </w:pPr>
            <w:r w:rsidRPr="00336BD5">
              <w:rPr>
                <w:sz w:val="18"/>
                <w:szCs w:val="18"/>
              </w:rPr>
              <w:t>522,604</w:t>
            </w:r>
          </w:p>
        </w:tc>
      </w:tr>
      <w:tr w:rsidR="00224102" w:rsidRPr="00336BD5" w14:paraId="5624594E" w14:textId="77777777" w:rsidTr="00336BD5">
        <w:trPr>
          <w:trHeight w:val="279"/>
        </w:trPr>
        <w:tc>
          <w:tcPr>
            <w:tcW w:w="2694" w:type="dxa"/>
            <w:vAlign w:val="bottom"/>
          </w:tcPr>
          <w:p w14:paraId="336DCE76" w14:textId="3C1DFAA3" w:rsidR="00224102" w:rsidRPr="00336BD5" w:rsidRDefault="00224102" w:rsidP="00224102">
            <w:pPr>
              <w:rPr>
                <w:sz w:val="18"/>
                <w:szCs w:val="18"/>
              </w:rPr>
            </w:pPr>
            <w:r w:rsidRPr="00336BD5">
              <w:rPr>
                <w:sz w:val="18"/>
                <w:szCs w:val="18"/>
              </w:rPr>
              <w:t>Money and Interest Rate Swaps</w:t>
            </w:r>
          </w:p>
        </w:tc>
        <w:tc>
          <w:tcPr>
            <w:tcW w:w="1335" w:type="dxa"/>
            <w:vAlign w:val="bottom"/>
          </w:tcPr>
          <w:p w14:paraId="16965F4F" w14:textId="1B6706A6" w:rsidR="00224102" w:rsidRPr="00336BD5" w:rsidRDefault="00224102" w:rsidP="00336BD5">
            <w:pPr>
              <w:jc w:val="right"/>
              <w:rPr>
                <w:sz w:val="18"/>
                <w:szCs w:val="18"/>
              </w:rPr>
            </w:pPr>
            <w:r w:rsidRPr="00336BD5">
              <w:rPr>
                <w:sz w:val="18"/>
                <w:szCs w:val="18"/>
              </w:rPr>
              <w:t>1,533,272</w:t>
            </w:r>
          </w:p>
        </w:tc>
        <w:tc>
          <w:tcPr>
            <w:tcW w:w="1362" w:type="dxa"/>
            <w:vAlign w:val="bottom"/>
          </w:tcPr>
          <w:p w14:paraId="21D31665" w14:textId="19CF5D81" w:rsidR="00224102" w:rsidRPr="00336BD5" w:rsidRDefault="00224102" w:rsidP="00336BD5">
            <w:pPr>
              <w:jc w:val="right"/>
              <w:rPr>
                <w:sz w:val="18"/>
                <w:szCs w:val="18"/>
              </w:rPr>
            </w:pPr>
            <w:r w:rsidRPr="00336BD5">
              <w:rPr>
                <w:sz w:val="18"/>
                <w:szCs w:val="18"/>
              </w:rPr>
              <w:t>389,884</w:t>
            </w:r>
          </w:p>
        </w:tc>
        <w:tc>
          <w:tcPr>
            <w:tcW w:w="1099" w:type="dxa"/>
            <w:vAlign w:val="bottom"/>
          </w:tcPr>
          <w:p w14:paraId="3A0ED91D" w14:textId="746313EA" w:rsidR="00224102" w:rsidRPr="00336BD5" w:rsidRDefault="00224102" w:rsidP="00336BD5">
            <w:pPr>
              <w:jc w:val="right"/>
              <w:rPr>
                <w:sz w:val="18"/>
                <w:szCs w:val="18"/>
              </w:rPr>
            </w:pPr>
            <w:r w:rsidRPr="00336BD5">
              <w:rPr>
                <w:sz w:val="18"/>
                <w:szCs w:val="18"/>
              </w:rPr>
              <w:t>77,526</w:t>
            </w:r>
          </w:p>
        </w:tc>
        <w:tc>
          <w:tcPr>
            <w:tcW w:w="1060" w:type="dxa"/>
            <w:vAlign w:val="bottom"/>
          </w:tcPr>
          <w:p w14:paraId="66ABFEC1" w14:textId="4FE81820" w:rsidR="00224102" w:rsidRPr="00336BD5" w:rsidRDefault="00224102" w:rsidP="00336BD5">
            <w:pPr>
              <w:jc w:val="right"/>
              <w:rPr>
                <w:sz w:val="18"/>
                <w:szCs w:val="18"/>
              </w:rPr>
            </w:pPr>
            <w:r w:rsidRPr="00336BD5">
              <w:rPr>
                <w:sz w:val="18"/>
                <w:szCs w:val="18"/>
              </w:rPr>
              <w:t>979,337</w:t>
            </w:r>
          </w:p>
        </w:tc>
        <w:tc>
          <w:tcPr>
            <w:tcW w:w="1239" w:type="dxa"/>
            <w:vAlign w:val="bottom"/>
          </w:tcPr>
          <w:p w14:paraId="6F592E6B" w14:textId="0E688ADD" w:rsidR="00224102" w:rsidRPr="00336BD5" w:rsidRDefault="00224102" w:rsidP="00336BD5">
            <w:pPr>
              <w:jc w:val="right"/>
              <w:rPr>
                <w:sz w:val="18"/>
                <w:szCs w:val="18"/>
              </w:rPr>
            </w:pPr>
            <w:r w:rsidRPr="00336BD5">
              <w:rPr>
                <w:sz w:val="18"/>
                <w:szCs w:val="18"/>
              </w:rPr>
              <w:t>-</w:t>
            </w:r>
          </w:p>
        </w:tc>
        <w:tc>
          <w:tcPr>
            <w:tcW w:w="992" w:type="dxa"/>
            <w:vAlign w:val="bottom"/>
          </w:tcPr>
          <w:p w14:paraId="4B56A5D2" w14:textId="3AA33ED5" w:rsidR="00224102" w:rsidRPr="00336BD5" w:rsidRDefault="00224102" w:rsidP="00336BD5">
            <w:pPr>
              <w:jc w:val="right"/>
              <w:rPr>
                <w:sz w:val="18"/>
                <w:szCs w:val="18"/>
              </w:rPr>
            </w:pPr>
            <w:r w:rsidRPr="00336BD5">
              <w:rPr>
                <w:sz w:val="18"/>
                <w:szCs w:val="18"/>
              </w:rPr>
              <w:t>2,980,019</w:t>
            </w:r>
          </w:p>
        </w:tc>
      </w:tr>
      <w:tr w:rsidR="00224102" w:rsidRPr="00336BD5" w14:paraId="34626835" w14:textId="77777777" w:rsidTr="00336BD5">
        <w:trPr>
          <w:trHeight w:val="279"/>
        </w:trPr>
        <w:tc>
          <w:tcPr>
            <w:tcW w:w="2694" w:type="dxa"/>
            <w:vAlign w:val="bottom"/>
          </w:tcPr>
          <w:p w14:paraId="4B82F461" w14:textId="652518E7" w:rsidR="00224102" w:rsidRPr="00336BD5" w:rsidRDefault="00224102" w:rsidP="00224102">
            <w:pPr>
              <w:rPr>
                <w:sz w:val="18"/>
                <w:szCs w:val="18"/>
              </w:rPr>
            </w:pPr>
            <w:r w:rsidRPr="00336BD5">
              <w:rPr>
                <w:sz w:val="18"/>
                <w:szCs w:val="18"/>
              </w:rPr>
              <w:t>Options</w:t>
            </w:r>
          </w:p>
        </w:tc>
        <w:tc>
          <w:tcPr>
            <w:tcW w:w="1335" w:type="dxa"/>
            <w:vAlign w:val="bottom"/>
          </w:tcPr>
          <w:p w14:paraId="79E60E6B" w14:textId="70D61185" w:rsidR="00224102" w:rsidRPr="00336BD5" w:rsidRDefault="00224102" w:rsidP="00336BD5">
            <w:pPr>
              <w:jc w:val="right"/>
              <w:rPr>
                <w:sz w:val="18"/>
                <w:szCs w:val="18"/>
              </w:rPr>
            </w:pPr>
            <w:r w:rsidRPr="00336BD5">
              <w:rPr>
                <w:sz w:val="18"/>
                <w:szCs w:val="18"/>
              </w:rPr>
              <w:t>6,076</w:t>
            </w:r>
          </w:p>
        </w:tc>
        <w:tc>
          <w:tcPr>
            <w:tcW w:w="1362" w:type="dxa"/>
            <w:vAlign w:val="bottom"/>
          </w:tcPr>
          <w:p w14:paraId="09C40F44" w14:textId="2B8CE92C" w:rsidR="00224102" w:rsidRPr="00336BD5" w:rsidRDefault="00224102" w:rsidP="00336BD5">
            <w:pPr>
              <w:jc w:val="right"/>
              <w:rPr>
                <w:sz w:val="18"/>
                <w:szCs w:val="18"/>
              </w:rPr>
            </w:pPr>
            <w:r w:rsidRPr="00336BD5">
              <w:rPr>
                <w:sz w:val="18"/>
                <w:szCs w:val="18"/>
              </w:rPr>
              <w:t>272,461</w:t>
            </w:r>
          </w:p>
        </w:tc>
        <w:tc>
          <w:tcPr>
            <w:tcW w:w="1099" w:type="dxa"/>
            <w:vAlign w:val="bottom"/>
          </w:tcPr>
          <w:p w14:paraId="418A68DD" w14:textId="5FCDC652" w:rsidR="00224102" w:rsidRPr="00336BD5" w:rsidRDefault="00224102" w:rsidP="00336BD5">
            <w:pPr>
              <w:jc w:val="right"/>
              <w:rPr>
                <w:sz w:val="18"/>
                <w:szCs w:val="18"/>
              </w:rPr>
            </w:pPr>
            <w:r w:rsidRPr="00336BD5">
              <w:rPr>
                <w:sz w:val="18"/>
                <w:szCs w:val="18"/>
              </w:rPr>
              <w:t>278,795</w:t>
            </w:r>
          </w:p>
        </w:tc>
        <w:tc>
          <w:tcPr>
            <w:tcW w:w="1060" w:type="dxa"/>
            <w:vAlign w:val="bottom"/>
          </w:tcPr>
          <w:p w14:paraId="75E5B2DC" w14:textId="0F19DDED" w:rsidR="00224102" w:rsidRPr="00336BD5" w:rsidRDefault="00224102" w:rsidP="00336BD5">
            <w:pPr>
              <w:jc w:val="right"/>
              <w:rPr>
                <w:sz w:val="18"/>
                <w:szCs w:val="18"/>
              </w:rPr>
            </w:pPr>
            <w:r w:rsidRPr="00336BD5">
              <w:rPr>
                <w:sz w:val="18"/>
                <w:szCs w:val="18"/>
              </w:rPr>
              <w:t>-</w:t>
            </w:r>
          </w:p>
        </w:tc>
        <w:tc>
          <w:tcPr>
            <w:tcW w:w="1239" w:type="dxa"/>
            <w:vAlign w:val="bottom"/>
          </w:tcPr>
          <w:p w14:paraId="080B9431" w14:textId="7C7BBFB9" w:rsidR="00224102" w:rsidRPr="00336BD5" w:rsidRDefault="00224102" w:rsidP="00336BD5">
            <w:pPr>
              <w:jc w:val="right"/>
              <w:rPr>
                <w:sz w:val="18"/>
                <w:szCs w:val="18"/>
              </w:rPr>
            </w:pPr>
            <w:r w:rsidRPr="00336BD5">
              <w:rPr>
                <w:sz w:val="18"/>
                <w:szCs w:val="18"/>
              </w:rPr>
              <w:t>-</w:t>
            </w:r>
          </w:p>
        </w:tc>
        <w:tc>
          <w:tcPr>
            <w:tcW w:w="992" w:type="dxa"/>
            <w:vAlign w:val="bottom"/>
          </w:tcPr>
          <w:p w14:paraId="3F40CF6D" w14:textId="1E2DBE08" w:rsidR="00224102" w:rsidRPr="00336BD5" w:rsidRDefault="00224102" w:rsidP="00336BD5">
            <w:pPr>
              <w:jc w:val="right"/>
              <w:rPr>
                <w:sz w:val="18"/>
                <w:szCs w:val="18"/>
              </w:rPr>
            </w:pPr>
            <w:r w:rsidRPr="00336BD5">
              <w:rPr>
                <w:sz w:val="18"/>
                <w:szCs w:val="18"/>
              </w:rPr>
              <w:t>557,332</w:t>
            </w:r>
          </w:p>
        </w:tc>
      </w:tr>
      <w:tr w:rsidR="00224102" w:rsidRPr="00336BD5" w14:paraId="6E20B52F" w14:textId="77777777" w:rsidTr="00336BD5">
        <w:trPr>
          <w:trHeight w:val="279"/>
        </w:trPr>
        <w:tc>
          <w:tcPr>
            <w:tcW w:w="2694" w:type="dxa"/>
            <w:vAlign w:val="bottom"/>
          </w:tcPr>
          <w:p w14:paraId="3E448A67" w14:textId="5B394004" w:rsidR="00224102" w:rsidRPr="00336BD5" w:rsidRDefault="00224102" w:rsidP="00224102">
            <w:pPr>
              <w:rPr>
                <w:sz w:val="18"/>
                <w:szCs w:val="18"/>
              </w:rPr>
            </w:pPr>
            <w:r w:rsidRPr="00336BD5">
              <w:rPr>
                <w:sz w:val="18"/>
                <w:szCs w:val="18"/>
              </w:rPr>
              <w:t>Other</w:t>
            </w:r>
          </w:p>
        </w:tc>
        <w:tc>
          <w:tcPr>
            <w:tcW w:w="1335" w:type="dxa"/>
            <w:vAlign w:val="bottom"/>
          </w:tcPr>
          <w:p w14:paraId="667E6064" w14:textId="3BFA350E" w:rsidR="00224102" w:rsidRPr="00336BD5" w:rsidRDefault="00224102" w:rsidP="00336BD5">
            <w:pPr>
              <w:jc w:val="right"/>
              <w:rPr>
                <w:sz w:val="18"/>
                <w:szCs w:val="18"/>
              </w:rPr>
            </w:pPr>
            <w:r w:rsidRPr="00336BD5">
              <w:rPr>
                <w:sz w:val="18"/>
                <w:szCs w:val="18"/>
              </w:rPr>
              <w:t>-</w:t>
            </w:r>
          </w:p>
        </w:tc>
        <w:tc>
          <w:tcPr>
            <w:tcW w:w="1362" w:type="dxa"/>
            <w:vAlign w:val="bottom"/>
          </w:tcPr>
          <w:p w14:paraId="1944C767" w14:textId="00B4D894" w:rsidR="00224102" w:rsidRPr="00336BD5" w:rsidRDefault="00224102" w:rsidP="00336BD5">
            <w:pPr>
              <w:jc w:val="right"/>
              <w:rPr>
                <w:sz w:val="18"/>
                <w:szCs w:val="18"/>
              </w:rPr>
            </w:pPr>
            <w:r w:rsidRPr="00336BD5">
              <w:rPr>
                <w:sz w:val="18"/>
                <w:szCs w:val="18"/>
              </w:rPr>
              <w:t>-</w:t>
            </w:r>
          </w:p>
        </w:tc>
        <w:tc>
          <w:tcPr>
            <w:tcW w:w="1099" w:type="dxa"/>
            <w:vAlign w:val="bottom"/>
          </w:tcPr>
          <w:p w14:paraId="7EA2838B" w14:textId="5E190BA2" w:rsidR="00224102" w:rsidRPr="00336BD5" w:rsidRDefault="00224102" w:rsidP="00336BD5">
            <w:pPr>
              <w:jc w:val="right"/>
              <w:rPr>
                <w:sz w:val="18"/>
                <w:szCs w:val="18"/>
              </w:rPr>
            </w:pPr>
            <w:r w:rsidRPr="00336BD5">
              <w:rPr>
                <w:sz w:val="18"/>
                <w:szCs w:val="18"/>
              </w:rPr>
              <w:t>-</w:t>
            </w:r>
          </w:p>
        </w:tc>
        <w:tc>
          <w:tcPr>
            <w:tcW w:w="1060" w:type="dxa"/>
            <w:vAlign w:val="bottom"/>
          </w:tcPr>
          <w:p w14:paraId="3B9D767D" w14:textId="12051EA5" w:rsidR="00224102" w:rsidRPr="00336BD5" w:rsidRDefault="00224102" w:rsidP="00336BD5">
            <w:pPr>
              <w:jc w:val="right"/>
              <w:rPr>
                <w:sz w:val="18"/>
                <w:szCs w:val="18"/>
              </w:rPr>
            </w:pPr>
            <w:r w:rsidRPr="00336BD5">
              <w:rPr>
                <w:sz w:val="18"/>
                <w:szCs w:val="18"/>
              </w:rPr>
              <w:t>-</w:t>
            </w:r>
          </w:p>
        </w:tc>
        <w:tc>
          <w:tcPr>
            <w:tcW w:w="1239" w:type="dxa"/>
            <w:vAlign w:val="bottom"/>
          </w:tcPr>
          <w:p w14:paraId="22D77127" w14:textId="55A95190" w:rsidR="00224102" w:rsidRPr="00336BD5" w:rsidRDefault="00224102" w:rsidP="00336BD5">
            <w:pPr>
              <w:jc w:val="right"/>
              <w:rPr>
                <w:sz w:val="18"/>
                <w:szCs w:val="18"/>
              </w:rPr>
            </w:pPr>
            <w:r w:rsidRPr="00336BD5">
              <w:rPr>
                <w:sz w:val="18"/>
                <w:szCs w:val="18"/>
              </w:rPr>
              <w:t>-</w:t>
            </w:r>
          </w:p>
        </w:tc>
        <w:tc>
          <w:tcPr>
            <w:tcW w:w="992" w:type="dxa"/>
            <w:vAlign w:val="bottom"/>
          </w:tcPr>
          <w:p w14:paraId="3E1CB38B" w14:textId="445E5C13" w:rsidR="00224102" w:rsidRPr="00336BD5" w:rsidRDefault="00224102" w:rsidP="00336BD5">
            <w:pPr>
              <w:jc w:val="right"/>
              <w:rPr>
                <w:sz w:val="18"/>
                <w:szCs w:val="18"/>
              </w:rPr>
            </w:pPr>
            <w:r w:rsidRPr="00336BD5">
              <w:rPr>
                <w:sz w:val="18"/>
                <w:szCs w:val="18"/>
              </w:rPr>
              <w:t>-</w:t>
            </w:r>
          </w:p>
        </w:tc>
      </w:tr>
      <w:tr w:rsidR="00224102" w:rsidRPr="00336BD5" w14:paraId="06D6F212" w14:textId="77777777" w:rsidTr="00336BD5">
        <w:trPr>
          <w:trHeight w:val="279"/>
        </w:trPr>
        <w:tc>
          <w:tcPr>
            <w:tcW w:w="2694" w:type="dxa"/>
            <w:vAlign w:val="bottom"/>
          </w:tcPr>
          <w:p w14:paraId="77D3B62B" w14:textId="703C3574" w:rsidR="00224102" w:rsidRPr="00336BD5" w:rsidRDefault="00224102" w:rsidP="00224102">
            <w:pPr>
              <w:rPr>
                <w:b/>
                <w:bCs/>
                <w:sz w:val="18"/>
                <w:szCs w:val="18"/>
              </w:rPr>
            </w:pPr>
            <w:r w:rsidRPr="00336BD5">
              <w:rPr>
                <w:b/>
                <w:bCs/>
                <w:sz w:val="18"/>
                <w:szCs w:val="18"/>
              </w:rPr>
              <w:t>Total</w:t>
            </w:r>
          </w:p>
        </w:tc>
        <w:tc>
          <w:tcPr>
            <w:tcW w:w="1335" w:type="dxa"/>
            <w:vAlign w:val="bottom"/>
          </w:tcPr>
          <w:p w14:paraId="1000979F" w14:textId="3E6B264B" w:rsidR="00224102" w:rsidRPr="00336BD5" w:rsidRDefault="00224102" w:rsidP="00336BD5">
            <w:pPr>
              <w:jc w:val="right"/>
              <w:rPr>
                <w:b/>
                <w:bCs/>
                <w:sz w:val="18"/>
                <w:szCs w:val="18"/>
              </w:rPr>
            </w:pPr>
            <w:r w:rsidRPr="00336BD5">
              <w:rPr>
                <w:b/>
                <w:bCs/>
                <w:sz w:val="18"/>
                <w:szCs w:val="18"/>
              </w:rPr>
              <w:t>1,853,470</w:t>
            </w:r>
          </w:p>
        </w:tc>
        <w:tc>
          <w:tcPr>
            <w:tcW w:w="1362" w:type="dxa"/>
            <w:vAlign w:val="bottom"/>
          </w:tcPr>
          <w:p w14:paraId="01C555F4" w14:textId="7D01D351" w:rsidR="00224102" w:rsidRPr="00336BD5" w:rsidRDefault="00224102" w:rsidP="00336BD5">
            <w:pPr>
              <w:jc w:val="right"/>
              <w:rPr>
                <w:b/>
                <w:bCs/>
                <w:sz w:val="18"/>
                <w:szCs w:val="18"/>
              </w:rPr>
            </w:pPr>
            <w:r w:rsidRPr="00336BD5">
              <w:rPr>
                <w:b/>
                <w:bCs/>
                <w:sz w:val="18"/>
                <w:szCs w:val="18"/>
              </w:rPr>
              <w:t>829,266</w:t>
            </w:r>
          </w:p>
        </w:tc>
        <w:tc>
          <w:tcPr>
            <w:tcW w:w="1099" w:type="dxa"/>
            <w:vAlign w:val="bottom"/>
          </w:tcPr>
          <w:p w14:paraId="0A7F250C" w14:textId="19D99DCF" w:rsidR="00224102" w:rsidRPr="00336BD5" w:rsidRDefault="00224102" w:rsidP="00336BD5">
            <w:pPr>
              <w:jc w:val="right"/>
              <w:rPr>
                <w:b/>
                <w:bCs/>
                <w:sz w:val="18"/>
                <w:szCs w:val="18"/>
              </w:rPr>
            </w:pPr>
            <w:r w:rsidRPr="00336BD5">
              <w:rPr>
                <w:b/>
                <w:bCs/>
                <w:sz w:val="18"/>
                <w:szCs w:val="18"/>
              </w:rPr>
              <w:t>397,882</w:t>
            </w:r>
          </w:p>
        </w:tc>
        <w:tc>
          <w:tcPr>
            <w:tcW w:w="1060" w:type="dxa"/>
            <w:vAlign w:val="bottom"/>
          </w:tcPr>
          <w:p w14:paraId="4ABCE1B4" w14:textId="0FCD33A2" w:rsidR="00224102" w:rsidRPr="00336BD5" w:rsidRDefault="00224102" w:rsidP="00336BD5">
            <w:pPr>
              <w:jc w:val="right"/>
              <w:rPr>
                <w:b/>
                <w:bCs/>
                <w:sz w:val="18"/>
                <w:szCs w:val="18"/>
              </w:rPr>
            </w:pPr>
            <w:r w:rsidRPr="00336BD5">
              <w:rPr>
                <w:b/>
                <w:bCs/>
                <w:sz w:val="18"/>
                <w:szCs w:val="18"/>
              </w:rPr>
              <w:t>1,199,337</w:t>
            </w:r>
          </w:p>
        </w:tc>
        <w:tc>
          <w:tcPr>
            <w:tcW w:w="1239" w:type="dxa"/>
            <w:vAlign w:val="bottom"/>
          </w:tcPr>
          <w:p w14:paraId="4B2B8488" w14:textId="6AE94858" w:rsidR="00224102" w:rsidRPr="00336BD5" w:rsidRDefault="00224102" w:rsidP="00336BD5">
            <w:pPr>
              <w:jc w:val="right"/>
              <w:rPr>
                <w:b/>
                <w:bCs/>
                <w:sz w:val="18"/>
                <w:szCs w:val="18"/>
              </w:rPr>
            </w:pPr>
            <w:r w:rsidRPr="00336BD5">
              <w:rPr>
                <w:b/>
                <w:bCs/>
                <w:sz w:val="18"/>
                <w:szCs w:val="18"/>
              </w:rPr>
              <w:t>-</w:t>
            </w:r>
          </w:p>
        </w:tc>
        <w:tc>
          <w:tcPr>
            <w:tcW w:w="992" w:type="dxa"/>
            <w:vAlign w:val="bottom"/>
          </w:tcPr>
          <w:p w14:paraId="5F883144" w14:textId="3A393F75" w:rsidR="00224102" w:rsidRPr="00336BD5" w:rsidRDefault="00224102" w:rsidP="00336BD5">
            <w:pPr>
              <w:jc w:val="right"/>
              <w:rPr>
                <w:b/>
                <w:bCs/>
                <w:sz w:val="18"/>
                <w:szCs w:val="18"/>
              </w:rPr>
            </w:pPr>
            <w:r w:rsidRPr="00336BD5">
              <w:rPr>
                <w:b/>
                <w:bCs/>
                <w:sz w:val="18"/>
                <w:szCs w:val="18"/>
              </w:rPr>
              <w:t>4,279,955</w:t>
            </w:r>
          </w:p>
        </w:tc>
      </w:tr>
    </w:tbl>
    <w:p w14:paraId="7F115362" w14:textId="4EF275E9" w:rsidR="00E258B8" w:rsidRPr="00604C75" w:rsidRDefault="00A041CD" w:rsidP="00991C34">
      <w:pPr>
        <w:pStyle w:val="BodyTextIndent"/>
        <w:pageBreakBefore/>
        <w:tabs>
          <w:tab w:val="left" w:pos="1276"/>
        </w:tabs>
        <w:spacing w:before="120" w:after="0"/>
        <w:ind w:left="0"/>
        <w:rPr>
          <w:sz w:val="20"/>
          <w:szCs w:val="20"/>
        </w:rPr>
      </w:pPr>
      <w:r w:rsidRPr="00A041CD">
        <w:rPr>
          <w:b/>
          <w:sz w:val="20"/>
          <w:szCs w:val="20"/>
        </w:rPr>
        <w:lastRenderedPageBreak/>
        <w:t>INFORMATION ON THE FINANCIAL POSITION OF THE GROUP (Continued)</w:t>
      </w:r>
    </w:p>
    <w:p w14:paraId="0BDBF12C" w14:textId="77777777" w:rsidR="00E258B8" w:rsidRPr="00604C75" w:rsidRDefault="00E258B8" w:rsidP="00991C34">
      <w:pPr>
        <w:pStyle w:val="Heading2"/>
        <w:jc w:val="both"/>
        <w:rPr>
          <w:rFonts w:ascii="Times New Roman" w:hAnsi="Times New Roman"/>
          <w:caps/>
          <w:sz w:val="20"/>
        </w:rPr>
      </w:pPr>
      <w:r w:rsidRPr="00604C75">
        <w:rPr>
          <w:rFonts w:ascii="Times New Roman" w:hAnsi="Times New Roman"/>
          <w:caps/>
          <w:sz w:val="20"/>
        </w:rPr>
        <w:t>V</w:t>
      </w:r>
      <w:r>
        <w:rPr>
          <w:rFonts w:ascii="Times New Roman" w:hAnsi="Times New Roman"/>
          <w:caps/>
          <w:sz w:val="20"/>
        </w:rPr>
        <w:t>ı</w:t>
      </w:r>
      <w:r w:rsidRPr="00604C75">
        <w:rPr>
          <w:rFonts w:ascii="Times New Roman" w:hAnsi="Times New Roman"/>
          <w:caps/>
          <w:sz w:val="20"/>
        </w:rPr>
        <w:t>I.</w:t>
      </w:r>
      <w:r w:rsidRPr="00604C75">
        <w:rPr>
          <w:rFonts w:ascii="Times New Roman" w:hAnsi="Times New Roman"/>
          <w:caps/>
          <w:sz w:val="20"/>
        </w:rPr>
        <w:tab/>
      </w:r>
      <w:r w:rsidRPr="00604C75">
        <w:rPr>
          <w:rFonts w:ascii="Times New Roman" w:hAnsi="Times New Roman"/>
          <w:sz w:val="20"/>
        </w:rPr>
        <w:t>Explanations</w:t>
      </w:r>
      <w:r w:rsidRPr="00604C75" w:rsidDel="00110417">
        <w:rPr>
          <w:rFonts w:ascii="Times New Roman" w:hAnsi="Times New Roman"/>
          <w:caps/>
          <w:sz w:val="20"/>
        </w:rPr>
        <w:t xml:space="preserve"> </w:t>
      </w:r>
      <w:r w:rsidRPr="00604C75">
        <w:rPr>
          <w:rFonts w:ascii="Times New Roman" w:hAnsi="Times New Roman"/>
          <w:sz w:val="20"/>
        </w:rPr>
        <w:t>on Liquidity Risk</w:t>
      </w:r>
      <w:r w:rsidRPr="00604C75" w:rsidDel="00110417">
        <w:rPr>
          <w:rFonts w:ascii="Times New Roman" w:hAnsi="Times New Roman"/>
          <w:caps/>
          <w:sz w:val="20"/>
        </w:rPr>
        <w:t xml:space="preserve"> </w:t>
      </w:r>
      <w:r w:rsidRPr="00604C75">
        <w:rPr>
          <w:rFonts w:ascii="Times New Roman" w:hAnsi="Times New Roman"/>
          <w:sz w:val="20"/>
        </w:rPr>
        <w:t>(Continued)</w:t>
      </w:r>
      <w:r w:rsidRPr="00604C75">
        <w:rPr>
          <w:b w:val="0"/>
          <w:sz w:val="20"/>
        </w:rPr>
        <w:t xml:space="preserve">           </w:t>
      </w:r>
    </w:p>
    <w:p w14:paraId="4FB48375" w14:textId="77777777" w:rsidR="009E15A2" w:rsidRPr="00604C75" w:rsidRDefault="009E15A2" w:rsidP="00991C34">
      <w:pPr>
        <w:spacing w:before="120"/>
        <w:jc w:val="both"/>
        <w:rPr>
          <w:b/>
          <w:sz w:val="20"/>
          <w:szCs w:val="20"/>
        </w:rPr>
      </w:pPr>
      <w:r w:rsidRPr="00604C75">
        <w:rPr>
          <w:b/>
          <w:sz w:val="20"/>
          <w:szCs w:val="20"/>
        </w:rPr>
        <w:t>Explanations o</w:t>
      </w:r>
      <w:r w:rsidR="00201C39" w:rsidRPr="00604C75">
        <w:rPr>
          <w:b/>
          <w:sz w:val="20"/>
          <w:szCs w:val="20"/>
        </w:rPr>
        <w:t xml:space="preserve">n </w:t>
      </w:r>
      <w:r w:rsidRPr="00604C75">
        <w:rPr>
          <w:b/>
          <w:sz w:val="20"/>
          <w:szCs w:val="20"/>
        </w:rPr>
        <w:t>securitization position</w:t>
      </w:r>
    </w:p>
    <w:p w14:paraId="043E9C00" w14:textId="77777777" w:rsidR="005E33B0" w:rsidRPr="00604C75" w:rsidRDefault="005E33B0" w:rsidP="00991C34">
      <w:pPr>
        <w:spacing w:before="120"/>
        <w:jc w:val="both"/>
        <w:rPr>
          <w:sz w:val="20"/>
          <w:szCs w:val="20"/>
        </w:rPr>
      </w:pPr>
      <w:r w:rsidRPr="00604C75">
        <w:rPr>
          <w:sz w:val="20"/>
          <w:szCs w:val="20"/>
        </w:rPr>
        <w:t>None.</w:t>
      </w:r>
    </w:p>
    <w:p w14:paraId="4474738D" w14:textId="77777777" w:rsidR="005E33B0" w:rsidRPr="00604C75" w:rsidRDefault="00201C39" w:rsidP="00991C34">
      <w:pPr>
        <w:pStyle w:val="NormalIndent"/>
        <w:tabs>
          <w:tab w:val="left" w:pos="540"/>
          <w:tab w:val="left" w:pos="1620"/>
        </w:tabs>
        <w:spacing w:before="120"/>
        <w:ind w:left="0"/>
        <w:jc w:val="both"/>
        <w:rPr>
          <w:b/>
        </w:rPr>
      </w:pPr>
      <w:r w:rsidRPr="00604C75">
        <w:rPr>
          <w:b/>
        </w:rPr>
        <w:t>Explanations on Credit Risk Mitigation Techniques</w:t>
      </w:r>
    </w:p>
    <w:p w14:paraId="07D927A9" w14:textId="404E85AB" w:rsidR="00E50616" w:rsidRPr="00604C75" w:rsidRDefault="00E50616" w:rsidP="00991C34">
      <w:pPr>
        <w:pStyle w:val="NormalIndent"/>
        <w:tabs>
          <w:tab w:val="left" w:pos="540"/>
          <w:tab w:val="left" w:pos="1620"/>
        </w:tabs>
        <w:spacing w:before="120"/>
        <w:ind w:left="0"/>
        <w:jc w:val="both"/>
      </w:pPr>
      <w:r w:rsidRPr="00604C75">
        <w:t>The</w:t>
      </w:r>
      <w:r w:rsidR="002C3B01">
        <w:t xml:space="preserve"> Parent</w:t>
      </w:r>
      <w:r w:rsidRPr="00604C75">
        <w:t xml:space="preserve"> Bank applies credit risk mitigation based on the comprehensive method in compliance with the </w:t>
      </w:r>
      <w:r w:rsidR="00B623B1">
        <w:t>A</w:t>
      </w:r>
      <w:r w:rsidRPr="00604C75">
        <w:t xml:space="preserve">rticle 34 of the Communiqué on Credit Risk Mitigation Techniques. </w:t>
      </w:r>
    </w:p>
    <w:p w14:paraId="302A5553" w14:textId="77777777" w:rsidR="00E50616" w:rsidRPr="00604C75" w:rsidRDefault="00E50616" w:rsidP="00991C34">
      <w:pPr>
        <w:pStyle w:val="NormalIndent"/>
        <w:tabs>
          <w:tab w:val="left" w:pos="540"/>
          <w:tab w:val="left" w:pos="1620"/>
        </w:tabs>
        <w:spacing w:before="120"/>
        <w:ind w:left="0"/>
        <w:jc w:val="both"/>
      </w:pPr>
      <w:r w:rsidRPr="00604C75">
        <w:t>In credit risk mitigation, cash and cash equivalent assets and debt instruments with a high level of credit quality are used.</w:t>
      </w:r>
    </w:p>
    <w:p w14:paraId="2F3C3AB5" w14:textId="77777777" w:rsidR="00E50616" w:rsidRPr="00604C75" w:rsidRDefault="00E50616" w:rsidP="00991C34">
      <w:pPr>
        <w:spacing w:before="120"/>
        <w:jc w:val="both"/>
        <w:rPr>
          <w:sz w:val="20"/>
          <w:szCs w:val="20"/>
        </w:rPr>
      </w:pPr>
      <w:r w:rsidRPr="00604C75">
        <w:rPr>
          <w:sz w:val="20"/>
          <w:szCs w:val="20"/>
        </w:rPr>
        <w:t>The volatility adjustments to the receivables, guarantees and currency mismatch of guarantees are done with using the standard as specified in Communiqué Article 37 volatility adjustments approach.</w:t>
      </w:r>
    </w:p>
    <w:p w14:paraId="3A1F5EE0" w14:textId="77777777" w:rsidR="00201C39" w:rsidRPr="00604C75" w:rsidRDefault="003546F7" w:rsidP="00991C34">
      <w:pPr>
        <w:spacing w:before="120"/>
        <w:jc w:val="both"/>
        <w:rPr>
          <w:sz w:val="20"/>
          <w:szCs w:val="20"/>
        </w:rPr>
      </w:pPr>
      <w:r w:rsidRPr="00604C75">
        <w:rPr>
          <w:sz w:val="20"/>
          <w:szCs w:val="20"/>
        </w:rPr>
        <w:t>In cases where there are maturity mismatches resulting from shorter remaining life of collateral than of receivables, the value of collateral is considered as the volatility-adjusted value.</w:t>
      </w:r>
    </w:p>
    <w:p w14:paraId="1BCF7FDE" w14:textId="30C069CD" w:rsidR="005B1789" w:rsidRPr="002E7D29" w:rsidRDefault="00DE2969" w:rsidP="002E7D29">
      <w:pPr>
        <w:pStyle w:val="NormalIndent"/>
        <w:tabs>
          <w:tab w:val="left" w:pos="540"/>
          <w:tab w:val="left" w:pos="1620"/>
        </w:tabs>
        <w:spacing w:before="120"/>
        <w:ind w:left="2160" w:hanging="2160"/>
      </w:pPr>
      <w:r w:rsidRPr="00604C75">
        <w:rPr>
          <w:b/>
        </w:rPr>
        <w:t>Collate</w:t>
      </w:r>
      <w:r w:rsidR="002115A5" w:rsidRPr="00604C75">
        <w:rPr>
          <w:b/>
        </w:rPr>
        <w:t>rals in terms of Risk Groups</w:t>
      </w:r>
    </w:p>
    <w:tbl>
      <w:tblPr>
        <w:tblpPr w:leftFromText="141" w:rightFromText="141" w:vertAnchor="text" w:horzAnchor="margin" w:tblpX="108" w:tblpY="134"/>
        <w:tblW w:w="942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306"/>
        <w:gridCol w:w="4033"/>
        <w:gridCol w:w="1060"/>
        <w:gridCol w:w="1372"/>
        <w:gridCol w:w="1260"/>
        <w:gridCol w:w="1398"/>
      </w:tblGrid>
      <w:tr w:rsidR="00CC0CF0" w:rsidRPr="00604C75" w14:paraId="07EFCF71" w14:textId="77777777" w:rsidTr="00980409">
        <w:trPr>
          <w:trHeight w:val="322"/>
        </w:trPr>
        <w:tc>
          <w:tcPr>
            <w:tcW w:w="306" w:type="dxa"/>
          </w:tcPr>
          <w:p w14:paraId="026933C8" w14:textId="77777777" w:rsidR="00CC0CF0" w:rsidRPr="00604C75" w:rsidRDefault="00CC0CF0" w:rsidP="000E559A">
            <w:pPr>
              <w:pStyle w:val="NormalIndent"/>
              <w:tabs>
                <w:tab w:val="left" w:pos="540"/>
                <w:tab w:val="left" w:pos="1620"/>
              </w:tabs>
              <w:ind w:left="0" w:right="-84"/>
              <w:rPr>
                <w:b/>
                <w:sz w:val="18"/>
                <w:szCs w:val="18"/>
              </w:rPr>
            </w:pPr>
          </w:p>
        </w:tc>
        <w:tc>
          <w:tcPr>
            <w:tcW w:w="4033" w:type="dxa"/>
            <w:vAlign w:val="bottom"/>
          </w:tcPr>
          <w:p w14:paraId="18F421C0" w14:textId="419B4978" w:rsidR="00CC0CF0" w:rsidRPr="00991C34" w:rsidRDefault="00991C34" w:rsidP="009511CE">
            <w:pPr>
              <w:pStyle w:val="NormalIndent"/>
              <w:tabs>
                <w:tab w:val="left" w:pos="540"/>
                <w:tab w:val="left" w:pos="1620"/>
              </w:tabs>
              <w:ind w:left="0" w:right="-84"/>
              <w:rPr>
                <w:b/>
                <w:sz w:val="18"/>
                <w:szCs w:val="18"/>
              </w:rPr>
            </w:pPr>
            <w:r w:rsidRPr="00991C34">
              <w:rPr>
                <w:b/>
              </w:rPr>
              <w:t>31 December 2015</w:t>
            </w:r>
          </w:p>
        </w:tc>
        <w:tc>
          <w:tcPr>
            <w:tcW w:w="1060" w:type="dxa"/>
            <w:vMerge w:val="restart"/>
            <w:vAlign w:val="bottom"/>
          </w:tcPr>
          <w:p w14:paraId="68BF8F07" w14:textId="77777777" w:rsidR="00CC0CF0" w:rsidRPr="00604C75" w:rsidRDefault="00CC0CF0" w:rsidP="004D762C">
            <w:pPr>
              <w:pStyle w:val="NormalIndent"/>
              <w:tabs>
                <w:tab w:val="left" w:pos="540"/>
                <w:tab w:val="left" w:pos="1620"/>
              </w:tabs>
              <w:ind w:left="0" w:right="-84"/>
              <w:jc w:val="right"/>
              <w:rPr>
                <w:b/>
                <w:sz w:val="18"/>
                <w:szCs w:val="18"/>
              </w:rPr>
            </w:pPr>
            <w:r w:rsidRPr="00604C75">
              <w:rPr>
                <w:b/>
                <w:sz w:val="18"/>
                <w:szCs w:val="18"/>
              </w:rPr>
              <w:t>Amount</w:t>
            </w:r>
          </w:p>
        </w:tc>
        <w:tc>
          <w:tcPr>
            <w:tcW w:w="1372" w:type="dxa"/>
            <w:vMerge w:val="restart"/>
            <w:vAlign w:val="bottom"/>
          </w:tcPr>
          <w:p w14:paraId="17DEECF1" w14:textId="77777777" w:rsidR="00CC0CF0" w:rsidRPr="00604C75" w:rsidRDefault="00CC0CF0" w:rsidP="004D762C">
            <w:pPr>
              <w:pStyle w:val="NormalIndent"/>
              <w:tabs>
                <w:tab w:val="left" w:pos="540"/>
                <w:tab w:val="left" w:pos="1620"/>
              </w:tabs>
              <w:ind w:left="0" w:right="-84"/>
              <w:jc w:val="right"/>
              <w:rPr>
                <w:b/>
                <w:sz w:val="18"/>
                <w:szCs w:val="18"/>
              </w:rPr>
            </w:pPr>
            <w:r w:rsidRPr="00604C75">
              <w:rPr>
                <w:b/>
                <w:sz w:val="18"/>
                <w:szCs w:val="18"/>
              </w:rPr>
              <w:t>Financial Guarantees (*)</w:t>
            </w:r>
          </w:p>
        </w:tc>
        <w:tc>
          <w:tcPr>
            <w:tcW w:w="1260" w:type="dxa"/>
            <w:vMerge w:val="restart"/>
            <w:vAlign w:val="bottom"/>
          </w:tcPr>
          <w:p w14:paraId="5E349485" w14:textId="77777777" w:rsidR="00CC0CF0" w:rsidRPr="00604C75" w:rsidRDefault="00CC0CF0" w:rsidP="004D762C">
            <w:pPr>
              <w:pStyle w:val="NormalIndent"/>
              <w:tabs>
                <w:tab w:val="left" w:pos="540"/>
                <w:tab w:val="left" w:pos="1620"/>
              </w:tabs>
              <w:ind w:left="0" w:right="-84"/>
              <w:jc w:val="right"/>
              <w:rPr>
                <w:b/>
                <w:sz w:val="18"/>
                <w:szCs w:val="18"/>
              </w:rPr>
            </w:pPr>
            <w:r w:rsidRPr="00604C75">
              <w:rPr>
                <w:b/>
                <w:sz w:val="18"/>
                <w:szCs w:val="18"/>
              </w:rPr>
              <w:t>Other/ Physical Guarantees</w:t>
            </w:r>
          </w:p>
        </w:tc>
        <w:tc>
          <w:tcPr>
            <w:tcW w:w="1398" w:type="dxa"/>
            <w:vMerge w:val="restart"/>
            <w:vAlign w:val="bottom"/>
          </w:tcPr>
          <w:p w14:paraId="22328A49" w14:textId="77777777" w:rsidR="00CC0CF0" w:rsidRPr="00604C75" w:rsidRDefault="00CC0CF0" w:rsidP="004D762C">
            <w:pPr>
              <w:pStyle w:val="NormalIndent"/>
              <w:tabs>
                <w:tab w:val="left" w:pos="540"/>
                <w:tab w:val="left" w:pos="1620"/>
              </w:tabs>
              <w:ind w:left="0" w:right="-84"/>
              <w:jc w:val="right"/>
              <w:rPr>
                <w:b/>
                <w:sz w:val="18"/>
                <w:szCs w:val="18"/>
              </w:rPr>
            </w:pPr>
            <w:r w:rsidRPr="00604C75">
              <w:rPr>
                <w:b/>
                <w:sz w:val="18"/>
                <w:szCs w:val="18"/>
              </w:rPr>
              <w:t>Guarantees and Credit Derivatives</w:t>
            </w:r>
          </w:p>
        </w:tc>
      </w:tr>
      <w:tr w:rsidR="00CC0CF0" w:rsidRPr="00604C75" w14:paraId="46EC38A2" w14:textId="77777777" w:rsidTr="00980409">
        <w:tc>
          <w:tcPr>
            <w:tcW w:w="306" w:type="dxa"/>
          </w:tcPr>
          <w:p w14:paraId="15F5C904" w14:textId="77777777" w:rsidR="00CC0CF0" w:rsidRPr="00604C75" w:rsidRDefault="00CC0CF0" w:rsidP="000E559A">
            <w:pPr>
              <w:pStyle w:val="NormalIndent"/>
              <w:tabs>
                <w:tab w:val="left" w:pos="540"/>
                <w:tab w:val="left" w:pos="1620"/>
              </w:tabs>
              <w:ind w:left="0" w:right="-84"/>
              <w:rPr>
                <w:b/>
                <w:sz w:val="18"/>
                <w:szCs w:val="18"/>
              </w:rPr>
            </w:pPr>
          </w:p>
        </w:tc>
        <w:tc>
          <w:tcPr>
            <w:tcW w:w="4033" w:type="dxa"/>
            <w:vAlign w:val="bottom"/>
          </w:tcPr>
          <w:p w14:paraId="112D6351" w14:textId="77777777" w:rsidR="00CC0CF0" w:rsidRPr="00604C75" w:rsidRDefault="00CC0CF0" w:rsidP="000E559A">
            <w:pPr>
              <w:pStyle w:val="NormalIndent"/>
              <w:tabs>
                <w:tab w:val="left" w:pos="540"/>
                <w:tab w:val="left" w:pos="1620"/>
              </w:tabs>
              <w:ind w:left="0" w:right="-84"/>
              <w:rPr>
                <w:b/>
                <w:sz w:val="18"/>
                <w:szCs w:val="18"/>
              </w:rPr>
            </w:pPr>
            <w:r w:rsidRPr="00604C75">
              <w:rPr>
                <w:b/>
                <w:sz w:val="18"/>
                <w:szCs w:val="18"/>
              </w:rPr>
              <w:t>Risk Groups</w:t>
            </w:r>
          </w:p>
        </w:tc>
        <w:tc>
          <w:tcPr>
            <w:tcW w:w="1060" w:type="dxa"/>
            <w:vMerge/>
            <w:vAlign w:val="bottom"/>
          </w:tcPr>
          <w:p w14:paraId="1547CB22" w14:textId="77777777" w:rsidR="00CC0CF0" w:rsidRPr="00604C75" w:rsidRDefault="00CC0CF0" w:rsidP="000E559A">
            <w:pPr>
              <w:pStyle w:val="NormalIndent"/>
              <w:tabs>
                <w:tab w:val="left" w:pos="540"/>
                <w:tab w:val="left" w:pos="1620"/>
              </w:tabs>
              <w:ind w:left="0" w:right="-84"/>
              <w:jc w:val="right"/>
              <w:rPr>
                <w:b/>
                <w:sz w:val="18"/>
                <w:szCs w:val="18"/>
              </w:rPr>
            </w:pPr>
          </w:p>
        </w:tc>
        <w:tc>
          <w:tcPr>
            <w:tcW w:w="1372" w:type="dxa"/>
            <w:vMerge/>
            <w:vAlign w:val="bottom"/>
          </w:tcPr>
          <w:p w14:paraId="7E488D5F" w14:textId="77777777" w:rsidR="00CC0CF0" w:rsidRPr="00604C75" w:rsidRDefault="00CC0CF0" w:rsidP="000E559A">
            <w:pPr>
              <w:pStyle w:val="NormalIndent"/>
              <w:tabs>
                <w:tab w:val="left" w:pos="540"/>
                <w:tab w:val="left" w:pos="1620"/>
              </w:tabs>
              <w:ind w:left="0" w:right="-84"/>
              <w:jc w:val="right"/>
              <w:rPr>
                <w:b/>
                <w:sz w:val="18"/>
                <w:szCs w:val="18"/>
              </w:rPr>
            </w:pPr>
          </w:p>
        </w:tc>
        <w:tc>
          <w:tcPr>
            <w:tcW w:w="1260" w:type="dxa"/>
            <w:vMerge/>
            <w:vAlign w:val="bottom"/>
          </w:tcPr>
          <w:p w14:paraId="4064744A" w14:textId="77777777" w:rsidR="00CC0CF0" w:rsidRPr="00604C75" w:rsidRDefault="00CC0CF0" w:rsidP="000E559A">
            <w:pPr>
              <w:pStyle w:val="NormalIndent"/>
              <w:tabs>
                <w:tab w:val="left" w:pos="540"/>
                <w:tab w:val="left" w:pos="1620"/>
              </w:tabs>
              <w:ind w:left="0" w:right="-84"/>
              <w:jc w:val="right"/>
              <w:rPr>
                <w:b/>
                <w:sz w:val="18"/>
                <w:szCs w:val="18"/>
              </w:rPr>
            </w:pPr>
          </w:p>
        </w:tc>
        <w:tc>
          <w:tcPr>
            <w:tcW w:w="1398" w:type="dxa"/>
            <w:vMerge/>
            <w:vAlign w:val="bottom"/>
          </w:tcPr>
          <w:p w14:paraId="68CE219B" w14:textId="77777777" w:rsidR="00CC0CF0" w:rsidRPr="00604C75" w:rsidRDefault="00CC0CF0" w:rsidP="002115A5">
            <w:pPr>
              <w:pStyle w:val="NormalIndent"/>
              <w:tabs>
                <w:tab w:val="left" w:pos="540"/>
                <w:tab w:val="left" w:pos="1620"/>
              </w:tabs>
              <w:ind w:left="0" w:right="-84"/>
              <w:jc w:val="right"/>
              <w:rPr>
                <w:b/>
                <w:sz w:val="18"/>
                <w:szCs w:val="18"/>
              </w:rPr>
            </w:pPr>
          </w:p>
        </w:tc>
      </w:tr>
      <w:tr w:rsidR="00224102" w:rsidRPr="00604C75" w14:paraId="32E029DF" w14:textId="77777777" w:rsidTr="00980409">
        <w:tc>
          <w:tcPr>
            <w:tcW w:w="306" w:type="dxa"/>
          </w:tcPr>
          <w:p w14:paraId="6F458C52" w14:textId="77777777" w:rsidR="00224102" w:rsidRPr="00604C75" w:rsidRDefault="00224102" w:rsidP="00224102">
            <w:pPr>
              <w:pStyle w:val="NormalIndent"/>
              <w:tabs>
                <w:tab w:val="left" w:pos="540"/>
                <w:tab w:val="left" w:pos="1620"/>
              </w:tabs>
              <w:ind w:left="0" w:right="-84"/>
              <w:rPr>
                <w:sz w:val="18"/>
                <w:szCs w:val="18"/>
              </w:rPr>
            </w:pPr>
            <w:r w:rsidRPr="00604C75">
              <w:rPr>
                <w:sz w:val="18"/>
                <w:szCs w:val="18"/>
              </w:rPr>
              <w:t>1</w:t>
            </w:r>
          </w:p>
        </w:tc>
        <w:tc>
          <w:tcPr>
            <w:tcW w:w="4033" w:type="dxa"/>
            <w:vAlign w:val="center"/>
          </w:tcPr>
          <w:p w14:paraId="5A250E17" w14:textId="77777777" w:rsidR="00224102" w:rsidRPr="00604C75" w:rsidRDefault="00224102" w:rsidP="00224102">
            <w:pPr>
              <w:pStyle w:val="NormalIndent"/>
              <w:tabs>
                <w:tab w:val="left" w:pos="540"/>
                <w:tab w:val="left" w:pos="1620"/>
              </w:tabs>
              <w:ind w:left="0"/>
              <w:rPr>
                <w:sz w:val="18"/>
                <w:szCs w:val="18"/>
              </w:rPr>
            </w:pPr>
            <w:r w:rsidRPr="00604C75">
              <w:rPr>
                <w:sz w:val="18"/>
                <w:szCs w:val="18"/>
              </w:rPr>
              <w:t xml:space="preserve">Contingent and Non-Contingent Receivables from Central Governments or Central Banks </w:t>
            </w:r>
          </w:p>
        </w:tc>
        <w:tc>
          <w:tcPr>
            <w:tcW w:w="1060" w:type="dxa"/>
            <w:vAlign w:val="bottom"/>
          </w:tcPr>
          <w:p w14:paraId="5A9A5C33" w14:textId="083404EB" w:rsidR="00224102" w:rsidRPr="00692926" w:rsidRDefault="00224102" w:rsidP="00224102">
            <w:pPr>
              <w:ind w:right="-84"/>
              <w:jc w:val="right"/>
              <w:rPr>
                <w:sz w:val="18"/>
                <w:szCs w:val="18"/>
              </w:rPr>
            </w:pPr>
            <w:r>
              <w:rPr>
                <w:sz w:val="18"/>
                <w:szCs w:val="18"/>
              </w:rPr>
              <w:t>2,144,694</w:t>
            </w:r>
          </w:p>
        </w:tc>
        <w:tc>
          <w:tcPr>
            <w:tcW w:w="1372" w:type="dxa"/>
            <w:vAlign w:val="bottom"/>
          </w:tcPr>
          <w:p w14:paraId="6ECFF42E" w14:textId="6E2EA6A7" w:rsidR="00224102" w:rsidRPr="00692926" w:rsidRDefault="00224102" w:rsidP="00224102">
            <w:pPr>
              <w:ind w:right="-84"/>
              <w:jc w:val="right"/>
              <w:rPr>
                <w:sz w:val="18"/>
                <w:szCs w:val="18"/>
              </w:rPr>
            </w:pPr>
            <w:r>
              <w:rPr>
                <w:sz w:val="18"/>
                <w:szCs w:val="18"/>
              </w:rPr>
              <w:t>-</w:t>
            </w:r>
          </w:p>
        </w:tc>
        <w:tc>
          <w:tcPr>
            <w:tcW w:w="1260" w:type="dxa"/>
            <w:vAlign w:val="bottom"/>
          </w:tcPr>
          <w:p w14:paraId="3AD778E1" w14:textId="77777777" w:rsidR="00224102" w:rsidRPr="00692926" w:rsidRDefault="00224102" w:rsidP="00224102">
            <w:pPr>
              <w:ind w:right="-84"/>
              <w:jc w:val="right"/>
              <w:rPr>
                <w:sz w:val="18"/>
                <w:szCs w:val="18"/>
              </w:rPr>
            </w:pPr>
            <w:r>
              <w:rPr>
                <w:sz w:val="18"/>
                <w:szCs w:val="18"/>
              </w:rPr>
              <w:t>-</w:t>
            </w:r>
          </w:p>
        </w:tc>
        <w:tc>
          <w:tcPr>
            <w:tcW w:w="1398" w:type="dxa"/>
            <w:vAlign w:val="bottom"/>
          </w:tcPr>
          <w:p w14:paraId="7745266D" w14:textId="77777777" w:rsidR="00224102" w:rsidRPr="00692926" w:rsidRDefault="00224102" w:rsidP="00224102">
            <w:pPr>
              <w:ind w:right="-84"/>
              <w:jc w:val="right"/>
              <w:rPr>
                <w:sz w:val="18"/>
                <w:szCs w:val="18"/>
              </w:rPr>
            </w:pPr>
            <w:r>
              <w:rPr>
                <w:sz w:val="18"/>
                <w:szCs w:val="18"/>
              </w:rPr>
              <w:t>-</w:t>
            </w:r>
          </w:p>
        </w:tc>
      </w:tr>
      <w:tr w:rsidR="00224102" w:rsidRPr="00604C75" w14:paraId="2CD516FF" w14:textId="77777777" w:rsidTr="00980409">
        <w:tc>
          <w:tcPr>
            <w:tcW w:w="306" w:type="dxa"/>
          </w:tcPr>
          <w:p w14:paraId="5CB316AB" w14:textId="77777777" w:rsidR="00224102" w:rsidRPr="00604C75" w:rsidRDefault="00224102" w:rsidP="00224102">
            <w:pPr>
              <w:pStyle w:val="NormalIndent"/>
              <w:tabs>
                <w:tab w:val="left" w:pos="540"/>
                <w:tab w:val="left" w:pos="1620"/>
              </w:tabs>
              <w:ind w:left="0" w:right="-84"/>
              <w:rPr>
                <w:sz w:val="18"/>
                <w:szCs w:val="18"/>
              </w:rPr>
            </w:pPr>
            <w:r w:rsidRPr="00604C75">
              <w:rPr>
                <w:sz w:val="18"/>
                <w:szCs w:val="18"/>
              </w:rPr>
              <w:t>2</w:t>
            </w:r>
          </w:p>
        </w:tc>
        <w:tc>
          <w:tcPr>
            <w:tcW w:w="4033" w:type="dxa"/>
            <w:vAlign w:val="center"/>
          </w:tcPr>
          <w:p w14:paraId="5D7982F9" w14:textId="77777777" w:rsidR="00224102" w:rsidRPr="00604C75" w:rsidRDefault="00224102" w:rsidP="00224102">
            <w:pPr>
              <w:pStyle w:val="NormalIndent"/>
              <w:tabs>
                <w:tab w:val="left" w:pos="540"/>
                <w:tab w:val="left" w:pos="1620"/>
              </w:tabs>
              <w:ind w:left="0"/>
              <w:rPr>
                <w:sz w:val="18"/>
                <w:szCs w:val="18"/>
              </w:rPr>
            </w:pPr>
            <w:r w:rsidRPr="00604C75">
              <w:rPr>
                <w:sz w:val="18"/>
                <w:szCs w:val="18"/>
              </w:rPr>
              <w:t>Contingent and Non-Contingent Receivables from Regional Government or Domestic Government</w:t>
            </w:r>
          </w:p>
        </w:tc>
        <w:tc>
          <w:tcPr>
            <w:tcW w:w="1060" w:type="dxa"/>
            <w:vAlign w:val="bottom"/>
          </w:tcPr>
          <w:p w14:paraId="19A27708" w14:textId="69B4C4E5" w:rsidR="00224102" w:rsidRPr="00692926" w:rsidRDefault="00224102" w:rsidP="00224102">
            <w:pPr>
              <w:ind w:right="-84"/>
              <w:jc w:val="right"/>
              <w:rPr>
                <w:sz w:val="18"/>
                <w:szCs w:val="18"/>
              </w:rPr>
            </w:pPr>
            <w:r>
              <w:rPr>
                <w:sz w:val="18"/>
                <w:szCs w:val="18"/>
              </w:rPr>
              <w:t>1,310</w:t>
            </w:r>
          </w:p>
        </w:tc>
        <w:tc>
          <w:tcPr>
            <w:tcW w:w="1372" w:type="dxa"/>
            <w:vAlign w:val="bottom"/>
          </w:tcPr>
          <w:p w14:paraId="08BD28F4" w14:textId="2EB27F5C" w:rsidR="00224102" w:rsidRPr="00692926" w:rsidRDefault="00224102" w:rsidP="00224102">
            <w:pPr>
              <w:ind w:right="-84"/>
              <w:jc w:val="right"/>
              <w:rPr>
                <w:sz w:val="18"/>
                <w:szCs w:val="18"/>
              </w:rPr>
            </w:pPr>
            <w:r>
              <w:rPr>
                <w:sz w:val="18"/>
                <w:szCs w:val="18"/>
              </w:rPr>
              <w:t>-</w:t>
            </w:r>
          </w:p>
        </w:tc>
        <w:tc>
          <w:tcPr>
            <w:tcW w:w="1260" w:type="dxa"/>
            <w:vAlign w:val="bottom"/>
          </w:tcPr>
          <w:p w14:paraId="5BD8D136" w14:textId="77777777" w:rsidR="00224102" w:rsidRPr="00692926" w:rsidRDefault="00224102" w:rsidP="00224102">
            <w:pPr>
              <w:ind w:right="-84"/>
              <w:jc w:val="right"/>
              <w:rPr>
                <w:sz w:val="18"/>
                <w:szCs w:val="18"/>
              </w:rPr>
            </w:pPr>
            <w:r>
              <w:rPr>
                <w:sz w:val="18"/>
                <w:szCs w:val="18"/>
              </w:rPr>
              <w:t>-</w:t>
            </w:r>
          </w:p>
        </w:tc>
        <w:tc>
          <w:tcPr>
            <w:tcW w:w="1398" w:type="dxa"/>
            <w:vAlign w:val="bottom"/>
          </w:tcPr>
          <w:p w14:paraId="27DEE3C7" w14:textId="77777777" w:rsidR="00224102" w:rsidRPr="00692926" w:rsidRDefault="00224102" w:rsidP="00224102">
            <w:pPr>
              <w:ind w:right="-84"/>
              <w:jc w:val="right"/>
              <w:rPr>
                <w:sz w:val="18"/>
                <w:szCs w:val="18"/>
              </w:rPr>
            </w:pPr>
            <w:r>
              <w:rPr>
                <w:sz w:val="18"/>
                <w:szCs w:val="18"/>
              </w:rPr>
              <w:t>-</w:t>
            </w:r>
          </w:p>
        </w:tc>
      </w:tr>
      <w:tr w:rsidR="00224102" w:rsidRPr="00604C75" w14:paraId="56F67FCC" w14:textId="77777777" w:rsidTr="00980409">
        <w:tc>
          <w:tcPr>
            <w:tcW w:w="306" w:type="dxa"/>
          </w:tcPr>
          <w:p w14:paraId="05DFF5FA" w14:textId="77777777" w:rsidR="00224102" w:rsidRPr="00604C75" w:rsidRDefault="00224102" w:rsidP="00224102">
            <w:pPr>
              <w:pStyle w:val="NormalIndent"/>
              <w:tabs>
                <w:tab w:val="left" w:pos="540"/>
                <w:tab w:val="left" w:pos="1620"/>
              </w:tabs>
              <w:ind w:left="0" w:right="-84"/>
              <w:rPr>
                <w:sz w:val="18"/>
                <w:szCs w:val="18"/>
              </w:rPr>
            </w:pPr>
            <w:r w:rsidRPr="00604C75">
              <w:rPr>
                <w:sz w:val="18"/>
                <w:szCs w:val="18"/>
              </w:rPr>
              <w:t>3</w:t>
            </w:r>
          </w:p>
        </w:tc>
        <w:tc>
          <w:tcPr>
            <w:tcW w:w="4033" w:type="dxa"/>
            <w:vAlign w:val="center"/>
          </w:tcPr>
          <w:p w14:paraId="7BEC3A47" w14:textId="77777777" w:rsidR="00224102" w:rsidRPr="00604C75" w:rsidRDefault="00224102" w:rsidP="00224102">
            <w:pPr>
              <w:pStyle w:val="NormalIndent"/>
              <w:tabs>
                <w:tab w:val="left" w:pos="540"/>
                <w:tab w:val="left" w:pos="1620"/>
              </w:tabs>
              <w:ind w:left="0"/>
              <w:rPr>
                <w:sz w:val="18"/>
                <w:szCs w:val="18"/>
              </w:rPr>
            </w:pPr>
            <w:r w:rsidRPr="00604C75">
              <w:rPr>
                <w:sz w:val="18"/>
                <w:szCs w:val="18"/>
              </w:rPr>
              <w:t>Contingent and Non-Contingent Receivables from Banks and Intermediaries</w:t>
            </w:r>
          </w:p>
        </w:tc>
        <w:tc>
          <w:tcPr>
            <w:tcW w:w="1060" w:type="dxa"/>
            <w:vAlign w:val="bottom"/>
          </w:tcPr>
          <w:p w14:paraId="3084BA6B" w14:textId="1874C5D2" w:rsidR="00224102" w:rsidRPr="00692926" w:rsidRDefault="00224102" w:rsidP="00224102">
            <w:pPr>
              <w:ind w:right="-84"/>
              <w:jc w:val="right"/>
              <w:rPr>
                <w:sz w:val="18"/>
                <w:szCs w:val="18"/>
              </w:rPr>
            </w:pPr>
            <w:r w:rsidRPr="009F2274">
              <w:rPr>
                <w:sz w:val="18"/>
                <w:szCs w:val="18"/>
              </w:rPr>
              <w:t>1,887,922</w:t>
            </w:r>
          </w:p>
        </w:tc>
        <w:tc>
          <w:tcPr>
            <w:tcW w:w="1372" w:type="dxa"/>
            <w:vAlign w:val="bottom"/>
          </w:tcPr>
          <w:p w14:paraId="6EF061D3" w14:textId="6D331750" w:rsidR="00224102" w:rsidRPr="00692926" w:rsidRDefault="00224102" w:rsidP="00224102">
            <w:pPr>
              <w:ind w:right="-84"/>
              <w:jc w:val="right"/>
              <w:rPr>
                <w:sz w:val="18"/>
                <w:szCs w:val="18"/>
              </w:rPr>
            </w:pPr>
            <w:r w:rsidRPr="009F2274">
              <w:rPr>
                <w:sz w:val="18"/>
                <w:szCs w:val="18"/>
              </w:rPr>
              <w:t>23,812</w:t>
            </w:r>
          </w:p>
        </w:tc>
        <w:tc>
          <w:tcPr>
            <w:tcW w:w="1260" w:type="dxa"/>
            <w:vAlign w:val="bottom"/>
          </w:tcPr>
          <w:p w14:paraId="16E5DC62" w14:textId="77777777" w:rsidR="00224102" w:rsidRPr="00692926" w:rsidRDefault="00224102" w:rsidP="00224102">
            <w:pPr>
              <w:ind w:right="-84"/>
              <w:jc w:val="right"/>
              <w:rPr>
                <w:sz w:val="18"/>
                <w:szCs w:val="18"/>
              </w:rPr>
            </w:pPr>
            <w:r>
              <w:rPr>
                <w:sz w:val="18"/>
                <w:szCs w:val="18"/>
              </w:rPr>
              <w:t>-</w:t>
            </w:r>
          </w:p>
        </w:tc>
        <w:tc>
          <w:tcPr>
            <w:tcW w:w="1398" w:type="dxa"/>
            <w:vAlign w:val="bottom"/>
          </w:tcPr>
          <w:p w14:paraId="0B44517B" w14:textId="77777777" w:rsidR="00224102" w:rsidRPr="00692926" w:rsidRDefault="00224102" w:rsidP="00224102">
            <w:pPr>
              <w:ind w:right="-84"/>
              <w:jc w:val="right"/>
              <w:rPr>
                <w:sz w:val="18"/>
                <w:szCs w:val="18"/>
              </w:rPr>
            </w:pPr>
            <w:r>
              <w:rPr>
                <w:sz w:val="18"/>
                <w:szCs w:val="18"/>
              </w:rPr>
              <w:t>-</w:t>
            </w:r>
          </w:p>
        </w:tc>
      </w:tr>
      <w:tr w:rsidR="00224102" w:rsidRPr="00604C75" w14:paraId="0DDCD3A1" w14:textId="77777777" w:rsidTr="00980409">
        <w:tc>
          <w:tcPr>
            <w:tcW w:w="306" w:type="dxa"/>
          </w:tcPr>
          <w:p w14:paraId="4991A414" w14:textId="77777777" w:rsidR="00224102" w:rsidRPr="00604C75" w:rsidRDefault="00224102" w:rsidP="00224102">
            <w:pPr>
              <w:pStyle w:val="NormalIndent"/>
              <w:tabs>
                <w:tab w:val="left" w:pos="540"/>
                <w:tab w:val="left" w:pos="1620"/>
              </w:tabs>
              <w:ind w:left="0" w:right="-84"/>
              <w:rPr>
                <w:sz w:val="18"/>
                <w:szCs w:val="18"/>
              </w:rPr>
            </w:pPr>
            <w:r w:rsidRPr="00604C75">
              <w:rPr>
                <w:sz w:val="18"/>
                <w:szCs w:val="18"/>
              </w:rPr>
              <w:t>4</w:t>
            </w:r>
          </w:p>
        </w:tc>
        <w:tc>
          <w:tcPr>
            <w:tcW w:w="4033" w:type="dxa"/>
            <w:vAlign w:val="center"/>
          </w:tcPr>
          <w:p w14:paraId="73506D7A" w14:textId="77777777" w:rsidR="00224102" w:rsidRPr="00604C75" w:rsidRDefault="00224102" w:rsidP="00224102">
            <w:pPr>
              <w:pStyle w:val="NormalIndent"/>
              <w:tabs>
                <w:tab w:val="left" w:pos="540"/>
                <w:tab w:val="left" w:pos="1620"/>
              </w:tabs>
              <w:ind w:left="0"/>
              <w:rPr>
                <w:sz w:val="18"/>
                <w:szCs w:val="18"/>
              </w:rPr>
            </w:pPr>
            <w:r w:rsidRPr="00604C75">
              <w:rPr>
                <w:sz w:val="18"/>
                <w:szCs w:val="18"/>
              </w:rPr>
              <w:t xml:space="preserve">Contingent and Non-Contingent Corporate Receivables </w:t>
            </w:r>
          </w:p>
        </w:tc>
        <w:tc>
          <w:tcPr>
            <w:tcW w:w="1060" w:type="dxa"/>
            <w:vAlign w:val="bottom"/>
          </w:tcPr>
          <w:p w14:paraId="6F84D5D5" w14:textId="43308426" w:rsidR="00224102" w:rsidRPr="00692926" w:rsidRDefault="00224102" w:rsidP="00224102">
            <w:pPr>
              <w:ind w:right="-84"/>
              <w:jc w:val="right"/>
              <w:rPr>
                <w:sz w:val="18"/>
                <w:szCs w:val="18"/>
              </w:rPr>
            </w:pPr>
            <w:r w:rsidRPr="009F2274">
              <w:rPr>
                <w:sz w:val="18"/>
                <w:szCs w:val="18"/>
              </w:rPr>
              <w:t>7,187,446</w:t>
            </w:r>
          </w:p>
        </w:tc>
        <w:tc>
          <w:tcPr>
            <w:tcW w:w="1372" w:type="dxa"/>
            <w:vAlign w:val="bottom"/>
          </w:tcPr>
          <w:p w14:paraId="560C379A" w14:textId="3E40E36F" w:rsidR="00224102" w:rsidRPr="00692926" w:rsidRDefault="00224102" w:rsidP="00224102">
            <w:pPr>
              <w:ind w:right="-84"/>
              <w:jc w:val="right"/>
              <w:rPr>
                <w:sz w:val="18"/>
                <w:szCs w:val="18"/>
              </w:rPr>
            </w:pPr>
            <w:r w:rsidRPr="009F2274">
              <w:rPr>
                <w:sz w:val="18"/>
                <w:szCs w:val="18"/>
              </w:rPr>
              <w:t>390,453</w:t>
            </w:r>
          </w:p>
        </w:tc>
        <w:tc>
          <w:tcPr>
            <w:tcW w:w="1260" w:type="dxa"/>
            <w:vAlign w:val="bottom"/>
          </w:tcPr>
          <w:p w14:paraId="2DBDE617" w14:textId="77777777" w:rsidR="00224102" w:rsidRPr="00692926" w:rsidRDefault="00224102" w:rsidP="00224102">
            <w:pPr>
              <w:ind w:right="-84"/>
              <w:jc w:val="right"/>
              <w:rPr>
                <w:sz w:val="18"/>
                <w:szCs w:val="18"/>
              </w:rPr>
            </w:pPr>
            <w:r>
              <w:rPr>
                <w:sz w:val="18"/>
                <w:szCs w:val="18"/>
              </w:rPr>
              <w:t>-</w:t>
            </w:r>
          </w:p>
        </w:tc>
        <w:tc>
          <w:tcPr>
            <w:tcW w:w="1398" w:type="dxa"/>
            <w:vAlign w:val="bottom"/>
          </w:tcPr>
          <w:p w14:paraId="6930BD58" w14:textId="77777777" w:rsidR="00224102" w:rsidRPr="00692926" w:rsidRDefault="00224102" w:rsidP="00224102">
            <w:pPr>
              <w:ind w:right="-84"/>
              <w:jc w:val="right"/>
              <w:rPr>
                <w:sz w:val="18"/>
                <w:szCs w:val="18"/>
              </w:rPr>
            </w:pPr>
            <w:r>
              <w:rPr>
                <w:sz w:val="18"/>
                <w:szCs w:val="18"/>
              </w:rPr>
              <w:t>-</w:t>
            </w:r>
          </w:p>
        </w:tc>
      </w:tr>
      <w:tr w:rsidR="00224102" w:rsidRPr="00604C75" w14:paraId="1A2B6D14" w14:textId="77777777" w:rsidTr="00980409">
        <w:tc>
          <w:tcPr>
            <w:tcW w:w="306" w:type="dxa"/>
          </w:tcPr>
          <w:p w14:paraId="6BAF8839" w14:textId="77777777" w:rsidR="00224102" w:rsidRPr="00604C75" w:rsidRDefault="00224102" w:rsidP="00224102">
            <w:pPr>
              <w:pStyle w:val="NormalIndent"/>
              <w:tabs>
                <w:tab w:val="left" w:pos="540"/>
                <w:tab w:val="left" w:pos="1620"/>
              </w:tabs>
              <w:ind w:left="0" w:right="-84"/>
              <w:rPr>
                <w:sz w:val="18"/>
                <w:szCs w:val="18"/>
              </w:rPr>
            </w:pPr>
            <w:r w:rsidRPr="00604C75">
              <w:rPr>
                <w:sz w:val="18"/>
                <w:szCs w:val="18"/>
              </w:rPr>
              <w:t>5</w:t>
            </w:r>
          </w:p>
        </w:tc>
        <w:tc>
          <w:tcPr>
            <w:tcW w:w="4033" w:type="dxa"/>
            <w:vAlign w:val="center"/>
          </w:tcPr>
          <w:p w14:paraId="4809F083" w14:textId="77777777" w:rsidR="00224102" w:rsidRPr="00604C75" w:rsidRDefault="00224102" w:rsidP="00224102">
            <w:pPr>
              <w:pStyle w:val="NormalIndent"/>
              <w:tabs>
                <w:tab w:val="left" w:pos="540"/>
                <w:tab w:val="left" w:pos="1620"/>
              </w:tabs>
              <w:ind w:left="0"/>
              <w:rPr>
                <w:sz w:val="18"/>
                <w:szCs w:val="18"/>
              </w:rPr>
            </w:pPr>
            <w:r w:rsidRPr="00604C75">
              <w:rPr>
                <w:sz w:val="18"/>
                <w:szCs w:val="18"/>
              </w:rPr>
              <w:t xml:space="preserve">Contingent and Non-Contingent Retail Receivables </w:t>
            </w:r>
          </w:p>
        </w:tc>
        <w:tc>
          <w:tcPr>
            <w:tcW w:w="1060" w:type="dxa"/>
            <w:vAlign w:val="bottom"/>
          </w:tcPr>
          <w:p w14:paraId="405CAA88" w14:textId="7C5B312D" w:rsidR="00224102" w:rsidRPr="00692926" w:rsidRDefault="00224102" w:rsidP="00224102">
            <w:pPr>
              <w:ind w:right="-84"/>
              <w:jc w:val="right"/>
              <w:rPr>
                <w:sz w:val="18"/>
                <w:szCs w:val="18"/>
              </w:rPr>
            </w:pPr>
            <w:r w:rsidRPr="009F2274">
              <w:rPr>
                <w:sz w:val="18"/>
                <w:szCs w:val="18"/>
              </w:rPr>
              <w:t>1,858,594</w:t>
            </w:r>
          </w:p>
        </w:tc>
        <w:tc>
          <w:tcPr>
            <w:tcW w:w="1372" w:type="dxa"/>
            <w:vAlign w:val="bottom"/>
          </w:tcPr>
          <w:p w14:paraId="3E06EE2F" w14:textId="61E738F8" w:rsidR="00224102" w:rsidRPr="00692926" w:rsidRDefault="00224102" w:rsidP="00224102">
            <w:pPr>
              <w:ind w:right="-84"/>
              <w:jc w:val="right"/>
              <w:rPr>
                <w:sz w:val="18"/>
                <w:szCs w:val="18"/>
              </w:rPr>
            </w:pPr>
            <w:r w:rsidRPr="009F2274">
              <w:rPr>
                <w:sz w:val="18"/>
                <w:szCs w:val="18"/>
              </w:rPr>
              <w:t>50,041</w:t>
            </w:r>
          </w:p>
        </w:tc>
        <w:tc>
          <w:tcPr>
            <w:tcW w:w="1260" w:type="dxa"/>
            <w:vAlign w:val="bottom"/>
          </w:tcPr>
          <w:p w14:paraId="2AEC658E" w14:textId="77777777" w:rsidR="00224102" w:rsidRPr="00692926" w:rsidRDefault="00224102" w:rsidP="00224102">
            <w:pPr>
              <w:ind w:right="-84"/>
              <w:jc w:val="right"/>
              <w:rPr>
                <w:sz w:val="18"/>
                <w:szCs w:val="18"/>
              </w:rPr>
            </w:pPr>
            <w:r>
              <w:rPr>
                <w:sz w:val="18"/>
                <w:szCs w:val="18"/>
              </w:rPr>
              <w:t>-</w:t>
            </w:r>
          </w:p>
        </w:tc>
        <w:tc>
          <w:tcPr>
            <w:tcW w:w="1398" w:type="dxa"/>
            <w:vAlign w:val="bottom"/>
          </w:tcPr>
          <w:p w14:paraId="4A00C251" w14:textId="77777777" w:rsidR="00224102" w:rsidRPr="00692926" w:rsidRDefault="00224102" w:rsidP="00224102">
            <w:pPr>
              <w:ind w:right="-84"/>
              <w:jc w:val="right"/>
              <w:rPr>
                <w:sz w:val="18"/>
                <w:szCs w:val="18"/>
              </w:rPr>
            </w:pPr>
            <w:r>
              <w:rPr>
                <w:sz w:val="18"/>
                <w:szCs w:val="18"/>
              </w:rPr>
              <w:t>-</w:t>
            </w:r>
          </w:p>
        </w:tc>
      </w:tr>
      <w:tr w:rsidR="00224102" w:rsidRPr="00604C75" w14:paraId="0EFB1472" w14:textId="77777777" w:rsidTr="00980409">
        <w:tc>
          <w:tcPr>
            <w:tcW w:w="306" w:type="dxa"/>
          </w:tcPr>
          <w:p w14:paraId="0F044EF7" w14:textId="77777777" w:rsidR="00224102" w:rsidRPr="00604C75" w:rsidRDefault="00224102" w:rsidP="00224102">
            <w:pPr>
              <w:pStyle w:val="NormalIndent"/>
              <w:tabs>
                <w:tab w:val="left" w:pos="540"/>
                <w:tab w:val="left" w:pos="1620"/>
              </w:tabs>
              <w:ind w:left="0" w:right="-84"/>
              <w:rPr>
                <w:sz w:val="18"/>
                <w:szCs w:val="18"/>
              </w:rPr>
            </w:pPr>
            <w:r w:rsidRPr="00604C75">
              <w:rPr>
                <w:sz w:val="18"/>
                <w:szCs w:val="18"/>
              </w:rPr>
              <w:t>6</w:t>
            </w:r>
          </w:p>
        </w:tc>
        <w:tc>
          <w:tcPr>
            <w:tcW w:w="4033" w:type="dxa"/>
            <w:vAlign w:val="center"/>
          </w:tcPr>
          <w:p w14:paraId="33562423" w14:textId="77777777" w:rsidR="00224102" w:rsidRPr="00604C75" w:rsidRDefault="00224102" w:rsidP="00224102">
            <w:pPr>
              <w:pStyle w:val="NormalIndent"/>
              <w:tabs>
                <w:tab w:val="left" w:pos="540"/>
                <w:tab w:val="left" w:pos="1620"/>
              </w:tabs>
              <w:ind w:left="0"/>
              <w:rPr>
                <w:sz w:val="18"/>
                <w:szCs w:val="18"/>
              </w:rPr>
            </w:pPr>
            <w:r w:rsidRPr="00604C75">
              <w:rPr>
                <w:sz w:val="18"/>
                <w:szCs w:val="18"/>
              </w:rPr>
              <w:t xml:space="preserve">Contingent and Non-Contingent Receivables Secured by Residential Property </w:t>
            </w:r>
          </w:p>
        </w:tc>
        <w:tc>
          <w:tcPr>
            <w:tcW w:w="1060" w:type="dxa"/>
            <w:vAlign w:val="bottom"/>
          </w:tcPr>
          <w:p w14:paraId="0AB5145B" w14:textId="47A1A41A" w:rsidR="00224102" w:rsidRPr="00692926" w:rsidRDefault="00224102" w:rsidP="00224102">
            <w:pPr>
              <w:ind w:right="-84"/>
              <w:jc w:val="right"/>
              <w:rPr>
                <w:sz w:val="18"/>
                <w:szCs w:val="18"/>
              </w:rPr>
            </w:pPr>
            <w:r w:rsidRPr="009F2274">
              <w:rPr>
                <w:sz w:val="18"/>
                <w:szCs w:val="18"/>
              </w:rPr>
              <w:t>2,465,374</w:t>
            </w:r>
          </w:p>
        </w:tc>
        <w:tc>
          <w:tcPr>
            <w:tcW w:w="1372" w:type="dxa"/>
            <w:vAlign w:val="bottom"/>
          </w:tcPr>
          <w:p w14:paraId="5FDA9F07" w14:textId="5E28964F" w:rsidR="00224102" w:rsidRPr="00692926" w:rsidRDefault="00224102" w:rsidP="00224102">
            <w:pPr>
              <w:ind w:right="-84"/>
              <w:jc w:val="right"/>
              <w:rPr>
                <w:sz w:val="18"/>
                <w:szCs w:val="18"/>
              </w:rPr>
            </w:pPr>
            <w:r w:rsidRPr="009F2274">
              <w:rPr>
                <w:sz w:val="18"/>
                <w:szCs w:val="18"/>
              </w:rPr>
              <w:t>26,961</w:t>
            </w:r>
          </w:p>
        </w:tc>
        <w:tc>
          <w:tcPr>
            <w:tcW w:w="1260" w:type="dxa"/>
            <w:vAlign w:val="bottom"/>
          </w:tcPr>
          <w:p w14:paraId="6113C3AE" w14:textId="77777777" w:rsidR="00224102" w:rsidRPr="00692926" w:rsidRDefault="00224102" w:rsidP="00224102">
            <w:pPr>
              <w:ind w:right="-84"/>
              <w:jc w:val="right"/>
              <w:rPr>
                <w:sz w:val="18"/>
                <w:szCs w:val="18"/>
              </w:rPr>
            </w:pPr>
            <w:r>
              <w:rPr>
                <w:sz w:val="18"/>
                <w:szCs w:val="18"/>
              </w:rPr>
              <w:t>-</w:t>
            </w:r>
          </w:p>
        </w:tc>
        <w:tc>
          <w:tcPr>
            <w:tcW w:w="1398" w:type="dxa"/>
            <w:vAlign w:val="bottom"/>
          </w:tcPr>
          <w:p w14:paraId="4E46D8E1" w14:textId="77777777" w:rsidR="00224102" w:rsidRPr="00692926" w:rsidRDefault="00224102" w:rsidP="00224102">
            <w:pPr>
              <w:ind w:right="-84"/>
              <w:jc w:val="right"/>
              <w:rPr>
                <w:sz w:val="18"/>
                <w:szCs w:val="18"/>
              </w:rPr>
            </w:pPr>
            <w:r>
              <w:rPr>
                <w:sz w:val="18"/>
                <w:szCs w:val="18"/>
              </w:rPr>
              <w:t>-</w:t>
            </w:r>
          </w:p>
        </w:tc>
      </w:tr>
      <w:tr w:rsidR="00224102" w:rsidRPr="00604C75" w14:paraId="7FF32E5B" w14:textId="77777777" w:rsidTr="00980409">
        <w:tc>
          <w:tcPr>
            <w:tcW w:w="306" w:type="dxa"/>
          </w:tcPr>
          <w:p w14:paraId="514C11AF" w14:textId="77777777" w:rsidR="00224102" w:rsidRPr="00604C75" w:rsidRDefault="00224102" w:rsidP="00224102">
            <w:pPr>
              <w:pStyle w:val="NormalIndent"/>
              <w:tabs>
                <w:tab w:val="left" w:pos="540"/>
                <w:tab w:val="left" w:pos="1620"/>
              </w:tabs>
              <w:ind w:left="0" w:right="-84"/>
              <w:rPr>
                <w:sz w:val="18"/>
                <w:szCs w:val="18"/>
              </w:rPr>
            </w:pPr>
            <w:r w:rsidRPr="00604C75">
              <w:rPr>
                <w:sz w:val="18"/>
                <w:szCs w:val="18"/>
              </w:rPr>
              <w:t>7</w:t>
            </w:r>
          </w:p>
        </w:tc>
        <w:tc>
          <w:tcPr>
            <w:tcW w:w="4033" w:type="dxa"/>
            <w:vAlign w:val="center"/>
          </w:tcPr>
          <w:p w14:paraId="6E4F5038" w14:textId="77777777" w:rsidR="00224102" w:rsidRPr="00604C75" w:rsidRDefault="00224102" w:rsidP="00224102">
            <w:pPr>
              <w:pStyle w:val="NormalIndent"/>
              <w:tabs>
                <w:tab w:val="left" w:pos="540"/>
                <w:tab w:val="left" w:pos="1620"/>
              </w:tabs>
              <w:ind w:left="0"/>
              <w:rPr>
                <w:sz w:val="18"/>
                <w:szCs w:val="18"/>
              </w:rPr>
            </w:pPr>
            <w:r w:rsidRPr="00604C75">
              <w:rPr>
                <w:color w:val="000000"/>
                <w:sz w:val="18"/>
                <w:szCs w:val="18"/>
              </w:rPr>
              <w:t>Non-Performing Receivables</w:t>
            </w:r>
          </w:p>
        </w:tc>
        <w:tc>
          <w:tcPr>
            <w:tcW w:w="1060" w:type="dxa"/>
            <w:vAlign w:val="bottom"/>
          </w:tcPr>
          <w:p w14:paraId="73C578E4" w14:textId="6D95A1A1" w:rsidR="00224102" w:rsidRPr="00692926" w:rsidRDefault="00224102" w:rsidP="00224102">
            <w:pPr>
              <w:ind w:right="-84"/>
              <w:jc w:val="right"/>
              <w:rPr>
                <w:sz w:val="18"/>
                <w:szCs w:val="18"/>
              </w:rPr>
            </w:pPr>
            <w:r w:rsidRPr="009F2274">
              <w:rPr>
                <w:sz w:val="18"/>
                <w:szCs w:val="18"/>
              </w:rPr>
              <w:t>236,253</w:t>
            </w:r>
          </w:p>
        </w:tc>
        <w:tc>
          <w:tcPr>
            <w:tcW w:w="1372" w:type="dxa"/>
            <w:vAlign w:val="bottom"/>
          </w:tcPr>
          <w:p w14:paraId="79BBA91A" w14:textId="174FD401" w:rsidR="00224102" w:rsidRPr="00692926" w:rsidRDefault="00224102" w:rsidP="00224102">
            <w:pPr>
              <w:ind w:right="-84"/>
              <w:jc w:val="right"/>
              <w:rPr>
                <w:sz w:val="18"/>
                <w:szCs w:val="18"/>
              </w:rPr>
            </w:pPr>
            <w:r w:rsidRPr="009F2274">
              <w:rPr>
                <w:sz w:val="18"/>
                <w:szCs w:val="18"/>
              </w:rPr>
              <w:t>86</w:t>
            </w:r>
          </w:p>
        </w:tc>
        <w:tc>
          <w:tcPr>
            <w:tcW w:w="1260" w:type="dxa"/>
            <w:vAlign w:val="bottom"/>
          </w:tcPr>
          <w:p w14:paraId="2F534867" w14:textId="77777777" w:rsidR="00224102" w:rsidRPr="00692926" w:rsidRDefault="00224102" w:rsidP="00224102">
            <w:pPr>
              <w:ind w:right="-84"/>
              <w:jc w:val="right"/>
              <w:rPr>
                <w:sz w:val="18"/>
                <w:szCs w:val="18"/>
              </w:rPr>
            </w:pPr>
            <w:r>
              <w:rPr>
                <w:sz w:val="18"/>
                <w:szCs w:val="18"/>
              </w:rPr>
              <w:t>-</w:t>
            </w:r>
          </w:p>
        </w:tc>
        <w:tc>
          <w:tcPr>
            <w:tcW w:w="1398" w:type="dxa"/>
            <w:vAlign w:val="bottom"/>
          </w:tcPr>
          <w:p w14:paraId="290D57EF" w14:textId="77777777" w:rsidR="00224102" w:rsidRPr="00692926" w:rsidRDefault="00224102" w:rsidP="00224102">
            <w:pPr>
              <w:ind w:right="-84"/>
              <w:jc w:val="right"/>
              <w:rPr>
                <w:sz w:val="18"/>
                <w:szCs w:val="18"/>
              </w:rPr>
            </w:pPr>
            <w:r>
              <w:rPr>
                <w:sz w:val="18"/>
                <w:szCs w:val="18"/>
              </w:rPr>
              <w:t>-</w:t>
            </w:r>
          </w:p>
        </w:tc>
      </w:tr>
      <w:tr w:rsidR="00224102" w:rsidRPr="00604C75" w14:paraId="12BF8A2D" w14:textId="77777777" w:rsidTr="00980409">
        <w:tc>
          <w:tcPr>
            <w:tcW w:w="306" w:type="dxa"/>
          </w:tcPr>
          <w:p w14:paraId="2F4664A7" w14:textId="77777777" w:rsidR="00224102" w:rsidRPr="00604C75" w:rsidRDefault="00224102" w:rsidP="00224102">
            <w:pPr>
              <w:pStyle w:val="NormalIndent"/>
              <w:tabs>
                <w:tab w:val="left" w:pos="540"/>
                <w:tab w:val="left" w:pos="1620"/>
              </w:tabs>
              <w:ind w:left="0" w:right="-84"/>
              <w:rPr>
                <w:sz w:val="18"/>
                <w:szCs w:val="18"/>
              </w:rPr>
            </w:pPr>
            <w:r w:rsidRPr="00604C75">
              <w:rPr>
                <w:sz w:val="18"/>
                <w:szCs w:val="18"/>
              </w:rPr>
              <w:t>8</w:t>
            </w:r>
          </w:p>
        </w:tc>
        <w:tc>
          <w:tcPr>
            <w:tcW w:w="4033" w:type="dxa"/>
            <w:vAlign w:val="center"/>
          </w:tcPr>
          <w:p w14:paraId="3A901D6E" w14:textId="0C30B665" w:rsidR="00224102" w:rsidRPr="00604C75" w:rsidRDefault="00224102" w:rsidP="00224102">
            <w:pPr>
              <w:pStyle w:val="NormalIndent"/>
              <w:tabs>
                <w:tab w:val="left" w:pos="540"/>
                <w:tab w:val="left" w:pos="1620"/>
              </w:tabs>
              <w:ind w:left="0"/>
              <w:rPr>
                <w:sz w:val="18"/>
                <w:szCs w:val="18"/>
              </w:rPr>
            </w:pPr>
            <w:r w:rsidRPr="00604C75">
              <w:rPr>
                <w:color w:val="000000"/>
                <w:sz w:val="18"/>
                <w:szCs w:val="18"/>
              </w:rPr>
              <w:t xml:space="preserve">Receivables </w:t>
            </w:r>
            <w:r>
              <w:rPr>
                <w:color w:val="000000"/>
                <w:sz w:val="18"/>
                <w:szCs w:val="18"/>
              </w:rPr>
              <w:t>I</w:t>
            </w:r>
            <w:r w:rsidRPr="00604C75">
              <w:rPr>
                <w:color w:val="000000"/>
                <w:sz w:val="18"/>
                <w:szCs w:val="18"/>
              </w:rPr>
              <w:t xml:space="preserve">dentified as </w:t>
            </w:r>
            <w:r>
              <w:rPr>
                <w:color w:val="000000"/>
                <w:sz w:val="18"/>
                <w:szCs w:val="18"/>
              </w:rPr>
              <w:t>H</w:t>
            </w:r>
            <w:r w:rsidRPr="00604C75">
              <w:rPr>
                <w:color w:val="000000"/>
                <w:sz w:val="18"/>
                <w:szCs w:val="18"/>
              </w:rPr>
              <w:t xml:space="preserve">igh </w:t>
            </w:r>
            <w:r>
              <w:rPr>
                <w:color w:val="000000"/>
                <w:sz w:val="18"/>
                <w:szCs w:val="18"/>
              </w:rPr>
              <w:t>R</w:t>
            </w:r>
            <w:r w:rsidRPr="00604C75">
              <w:rPr>
                <w:color w:val="000000"/>
                <w:sz w:val="18"/>
                <w:szCs w:val="18"/>
              </w:rPr>
              <w:t>isk by the Board</w:t>
            </w:r>
          </w:p>
        </w:tc>
        <w:tc>
          <w:tcPr>
            <w:tcW w:w="1060" w:type="dxa"/>
            <w:vAlign w:val="bottom"/>
          </w:tcPr>
          <w:p w14:paraId="45C5D8BB" w14:textId="4316920F" w:rsidR="00224102" w:rsidRPr="00692926" w:rsidRDefault="00224102" w:rsidP="00224102">
            <w:pPr>
              <w:ind w:right="-84"/>
              <w:jc w:val="right"/>
              <w:rPr>
                <w:sz w:val="18"/>
                <w:szCs w:val="18"/>
              </w:rPr>
            </w:pPr>
            <w:r w:rsidRPr="009F2274">
              <w:rPr>
                <w:sz w:val="18"/>
                <w:szCs w:val="18"/>
              </w:rPr>
              <w:t>83,365</w:t>
            </w:r>
          </w:p>
        </w:tc>
        <w:tc>
          <w:tcPr>
            <w:tcW w:w="1372" w:type="dxa"/>
            <w:vAlign w:val="bottom"/>
          </w:tcPr>
          <w:p w14:paraId="52185A9E" w14:textId="70B8ABF8" w:rsidR="00224102" w:rsidRPr="00692926" w:rsidRDefault="00224102" w:rsidP="00224102">
            <w:pPr>
              <w:ind w:right="-84"/>
              <w:jc w:val="right"/>
              <w:rPr>
                <w:sz w:val="18"/>
                <w:szCs w:val="18"/>
              </w:rPr>
            </w:pPr>
            <w:r w:rsidRPr="009F2274">
              <w:rPr>
                <w:sz w:val="18"/>
                <w:szCs w:val="18"/>
              </w:rPr>
              <w:t>3,602</w:t>
            </w:r>
          </w:p>
        </w:tc>
        <w:tc>
          <w:tcPr>
            <w:tcW w:w="1260" w:type="dxa"/>
            <w:vAlign w:val="bottom"/>
          </w:tcPr>
          <w:p w14:paraId="0B5953B1" w14:textId="77777777" w:rsidR="00224102" w:rsidRPr="00692926" w:rsidRDefault="00224102" w:rsidP="00224102">
            <w:pPr>
              <w:ind w:right="-84"/>
              <w:jc w:val="right"/>
              <w:rPr>
                <w:sz w:val="18"/>
                <w:szCs w:val="18"/>
              </w:rPr>
            </w:pPr>
            <w:r>
              <w:rPr>
                <w:sz w:val="18"/>
                <w:szCs w:val="18"/>
              </w:rPr>
              <w:t>-</w:t>
            </w:r>
          </w:p>
        </w:tc>
        <w:tc>
          <w:tcPr>
            <w:tcW w:w="1398" w:type="dxa"/>
            <w:vAlign w:val="bottom"/>
          </w:tcPr>
          <w:p w14:paraId="7CEC5D2D" w14:textId="77777777" w:rsidR="00224102" w:rsidRPr="00692926" w:rsidRDefault="00224102" w:rsidP="00224102">
            <w:pPr>
              <w:ind w:right="-84"/>
              <w:jc w:val="right"/>
              <w:rPr>
                <w:sz w:val="18"/>
                <w:szCs w:val="18"/>
              </w:rPr>
            </w:pPr>
            <w:r>
              <w:rPr>
                <w:sz w:val="18"/>
                <w:szCs w:val="18"/>
              </w:rPr>
              <w:t>-</w:t>
            </w:r>
          </w:p>
        </w:tc>
      </w:tr>
      <w:tr w:rsidR="00224102" w:rsidRPr="00604C75" w14:paraId="04DBADB0" w14:textId="77777777" w:rsidTr="00980409">
        <w:tc>
          <w:tcPr>
            <w:tcW w:w="306" w:type="dxa"/>
          </w:tcPr>
          <w:p w14:paraId="59249984" w14:textId="77777777" w:rsidR="00224102" w:rsidRPr="00604C75" w:rsidRDefault="00224102" w:rsidP="00224102">
            <w:pPr>
              <w:pStyle w:val="NormalIndent"/>
              <w:tabs>
                <w:tab w:val="left" w:pos="540"/>
                <w:tab w:val="left" w:pos="1620"/>
              </w:tabs>
              <w:ind w:left="0" w:right="-84"/>
              <w:rPr>
                <w:sz w:val="18"/>
                <w:szCs w:val="18"/>
              </w:rPr>
            </w:pPr>
            <w:r w:rsidRPr="00604C75">
              <w:rPr>
                <w:sz w:val="18"/>
                <w:szCs w:val="18"/>
              </w:rPr>
              <w:t>9</w:t>
            </w:r>
          </w:p>
        </w:tc>
        <w:tc>
          <w:tcPr>
            <w:tcW w:w="4033" w:type="dxa"/>
            <w:vAlign w:val="center"/>
          </w:tcPr>
          <w:p w14:paraId="6C224D7E" w14:textId="77777777" w:rsidR="00224102" w:rsidRPr="00604C75" w:rsidRDefault="00224102" w:rsidP="00224102">
            <w:pPr>
              <w:pStyle w:val="NormalIndent"/>
              <w:tabs>
                <w:tab w:val="left" w:pos="540"/>
                <w:tab w:val="left" w:pos="1620"/>
              </w:tabs>
              <w:ind w:left="0"/>
              <w:rPr>
                <w:sz w:val="18"/>
                <w:szCs w:val="18"/>
              </w:rPr>
            </w:pPr>
            <w:r w:rsidRPr="00604C75">
              <w:rPr>
                <w:sz w:val="18"/>
                <w:szCs w:val="18"/>
              </w:rPr>
              <w:t>Other Receivables</w:t>
            </w:r>
          </w:p>
        </w:tc>
        <w:tc>
          <w:tcPr>
            <w:tcW w:w="1060" w:type="dxa"/>
            <w:vAlign w:val="bottom"/>
          </w:tcPr>
          <w:p w14:paraId="7B03D43B" w14:textId="56C5A8A7" w:rsidR="00224102" w:rsidRPr="00692926" w:rsidRDefault="00224102" w:rsidP="00224102">
            <w:pPr>
              <w:ind w:right="-84"/>
              <w:jc w:val="right"/>
              <w:rPr>
                <w:sz w:val="18"/>
                <w:szCs w:val="18"/>
              </w:rPr>
            </w:pPr>
            <w:r>
              <w:rPr>
                <w:sz w:val="18"/>
                <w:szCs w:val="18"/>
              </w:rPr>
              <w:t>366,957</w:t>
            </w:r>
          </w:p>
        </w:tc>
        <w:tc>
          <w:tcPr>
            <w:tcW w:w="1372" w:type="dxa"/>
            <w:vAlign w:val="bottom"/>
          </w:tcPr>
          <w:p w14:paraId="5CF1C634" w14:textId="77777777" w:rsidR="00224102" w:rsidRPr="00692926" w:rsidRDefault="00224102" w:rsidP="00224102">
            <w:pPr>
              <w:ind w:right="-84"/>
              <w:jc w:val="right"/>
              <w:rPr>
                <w:sz w:val="18"/>
                <w:szCs w:val="18"/>
              </w:rPr>
            </w:pPr>
          </w:p>
        </w:tc>
        <w:tc>
          <w:tcPr>
            <w:tcW w:w="1260" w:type="dxa"/>
            <w:vAlign w:val="bottom"/>
          </w:tcPr>
          <w:p w14:paraId="424DB2F3" w14:textId="77777777" w:rsidR="00224102" w:rsidRPr="00692926" w:rsidRDefault="00224102" w:rsidP="00224102">
            <w:pPr>
              <w:ind w:right="-84"/>
              <w:jc w:val="right"/>
              <w:rPr>
                <w:sz w:val="18"/>
                <w:szCs w:val="18"/>
              </w:rPr>
            </w:pPr>
            <w:r>
              <w:rPr>
                <w:sz w:val="18"/>
                <w:szCs w:val="18"/>
              </w:rPr>
              <w:t>-</w:t>
            </w:r>
          </w:p>
        </w:tc>
        <w:tc>
          <w:tcPr>
            <w:tcW w:w="1398" w:type="dxa"/>
            <w:vAlign w:val="bottom"/>
          </w:tcPr>
          <w:p w14:paraId="39D6E9FF" w14:textId="77777777" w:rsidR="00224102" w:rsidRPr="00692926" w:rsidRDefault="00224102" w:rsidP="00224102">
            <w:pPr>
              <w:ind w:right="-84"/>
              <w:jc w:val="right"/>
              <w:rPr>
                <w:sz w:val="18"/>
                <w:szCs w:val="18"/>
              </w:rPr>
            </w:pPr>
            <w:r>
              <w:rPr>
                <w:sz w:val="18"/>
                <w:szCs w:val="18"/>
              </w:rPr>
              <w:t>-</w:t>
            </w:r>
          </w:p>
        </w:tc>
      </w:tr>
      <w:tr w:rsidR="00224102" w:rsidRPr="00604C75" w14:paraId="5C394DC7" w14:textId="77777777" w:rsidTr="00980409">
        <w:tc>
          <w:tcPr>
            <w:tcW w:w="306" w:type="dxa"/>
          </w:tcPr>
          <w:p w14:paraId="7AA2E870" w14:textId="77777777" w:rsidR="00224102" w:rsidRPr="00604C75" w:rsidRDefault="00224102" w:rsidP="00224102">
            <w:pPr>
              <w:pStyle w:val="NormalIndent"/>
              <w:tabs>
                <w:tab w:val="left" w:pos="540"/>
                <w:tab w:val="left" w:pos="1620"/>
              </w:tabs>
              <w:ind w:left="0" w:right="-84"/>
              <w:rPr>
                <w:b/>
                <w:sz w:val="18"/>
                <w:szCs w:val="18"/>
              </w:rPr>
            </w:pPr>
          </w:p>
        </w:tc>
        <w:tc>
          <w:tcPr>
            <w:tcW w:w="4033" w:type="dxa"/>
            <w:vAlign w:val="bottom"/>
          </w:tcPr>
          <w:p w14:paraId="56BC1708" w14:textId="77777777" w:rsidR="00224102" w:rsidRPr="00604C75" w:rsidRDefault="00224102" w:rsidP="00224102">
            <w:pPr>
              <w:pStyle w:val="NormalIndent"/>
              <w:tabs>
                <w:tab w:val="left" w:pos="540"/>
                <w:tab w:val="left" w:pos="1620"/>
              </w:tabs>
              <w:ind w:left="0" w:right="-84"/>
              <w:rPr>
                <w:b/>
                <w:sz w:val="18"/>
                <w:szCs w:val="18"/>
              </w:rPr>
            </w:pPr>
            <w:r w:rsidRPr="00604C75">
              <w:rPr>
                <w:b/>
                <w:sz w:val="18"/>
                <w:szCs w:val="18"/>
              </w:rPr>
              <w:t>Total</w:t>
            </w:r>
          </w:p>
        </w:tc>
        <w:tc>
          <w:tcPr>
            <w:tcW w:w="1060" w:type="dxa"/>
            <w:vAlign w:val="bottom"/>
          </w:tcPr>
          <w:p w14:paraId="08CC81F9" w14:textId="00F92B42" w:rsidR="00224102" w:rsidRPr="004A46FC" w:rsidRDefault="00224102" w:rsidP="00224102">
            <w:pPr>
              <w:ind w:right="-84"/>
              <w:jc w:val="right"/>
              <w:rPr>
                <w:b/>
                <w:sz w:val="18"/>
                <w:szCs w:val="18"/>
              </w:rPr>
            </w:pPr>
            <w:r w:rsidRPr="009F2274">
              <w:rPr>
                <w:b/>
                <w:sz w:val="18"/>
                <w:szCs w:val="18"/>
              </w:rPr>
              <w:t>16,231,915</w:t>
            </w:r>
          </w:p>
        </w:tc>
        <w:tc>
          <w:tcPr>
            <w:tcW w:w="1372" w:type="dxa"/>
            <w:vAlign w:val="bottom"/>
          </w:tcPr>
          <w:p w14:paraId="28A2EECC" w14:textId="1C69376F" w:rsidR="00224102" w:rsidRPr="004A46FC" w:rsidRDefault="00224102" w:rsidP="00224102">
            <w:pPr>
              <w:ind w:right="-84"/>
              <w:jc w:val="right"/>
              <w:rPr>
                <w:b/>
                <w:sz w:val="18"/>
                <w:szCs w:val="18"/>
              </w:rPr>
            </w:pPr>
            <w:r w:rsidRPr="009F2274">
              <w:rPr>
                <w:b/>
                <w:sz w:val="18"/>
                <w:szCs w:val="18"/>
              </w:rPr>
              <w:t>494,955</w:t>
            </w:r>
          </w:p>
        </w:tc>
        <w:tc>
          <w:tcPr>
            <w:tcW w:w="1260" w:type="dxa"/>
            <w:vAlign w:val="bottom"/>
          </w:tcPr>
          <w:p w14:paraId="0DAFCA93" w14:textId="77777777" w:rsidR="00224102" w:rsidRPr="004A46FC" w:rsidRDefault="00224102" w:rsidP="00224102">
            <w:pPr>
              <w:ind w:right="-84"/>
              <w:jc w:val="right"/>
              <w:rPr>
                <w:b/>
                <w:sz w:val="18"/>
                <w:szCs w:val="18"/>
              </w:rPr>
            </w:pPr>
            <w:r w:rsidRPr="004A46FC">
              <w:rPr>
                <w:b/>
                <w:sz w:val="18"/>
                <w:szCs w:val="18"/>
              </w:rPr>
              <w:t>-</w:t>
            </w:r>
          </w:p>
        </w:tc>
        <w:tc>
          <w:tcPr>
            <w:tcW w:w="1398" w:type="dxa"/>
            <w:vAlign w:val="bottom"/>
          </w:tcPr>
          <w:p w14:paraId="2BFB214D" w14:textId="77777777" w:rsidR="00224102" w:rsidRPr="004A46FC" w:rsidRDefault="00224102" w:rsidP="00224102">
            <w:pPr>
              <w:ind w:right="-84"/>
              <w:jc w:val="right"/>
              <w:rPr>
                <w:b/>
                <w:sz w:val="18"/>
                <w:szCs w:val="18"/>
              </w:rPr>
            </w:pPr>
            <w:r w:rsidRPr="009F2274">
              <w:rPr>
                <w:b/>
                <w:sz w:val="18"/>
                <w:szCs w:val="18"/>
              </w:rPr>
              <w:t>-</w:t>
            </w:r>
          </w:p>
        </w:tc>
      </w:tr>
    </w:tbl>
    <w:p w14:paraId="1D69BE16" w14:textId="77777777" w:rsidR="005B1789" w:rsidRPr="00604C75" w:rsidRDefault="00340907" w:rsidP="00CD0767">
      <w:pPr>
        <w:pStyle w:val="NormalIndent"/>
        <w:tabs>
          <w:tab w:val="left" w:pos="540"/>
          <w:tab w:val="left" w:pos="1620"/>
        </w:tabs>
        <w:spacing w:before="60"/>
        <w:ind w:left="0" w:hanging="1309"/>
        <w:jc w:val="both"/>
        <w:rPr>
          <w:b/>
          <w:sz w:val="18"/>
          <w:szCs w:val="18"/>
        </w:rPr>
      </w:pPr>
      <w:r w:rsidRPr="00604C75">
        <w:rPr>
          <w:b/>
        </w:rPr>
        <w:t xml:space="preserve">                        </w:t>
      </w:r>
      <w:r w:rsidR="00B91109" w:rsidRPr="00604C75">
        <w:rPr>
          <w:b/>
        </w:rPr>
        <w:tab/>
      </w:r>
      <w:r w:rsidRPr="00604C75">
        <w:rPr>
          <w:b/>
          <w:sz w:val="18"/>
          <w:szCs w:val="18"/>
        </w:rPr>
        <w:t xml:space="preserve"> </w:t>
      </w:r>
      <w:r w:rsidRPr="00604C75">
        <w:rPr>
          <w:sz w:val="18"/>
          <w:szCs w:val="18"/>
        </w:rPr>
        <w:t>(*)</w:t>
      </w:r>
      <w:r w:rsidR="008935A1">
        <w:rPr>
          <w:sz w:val="18"/>
          <w:szCs w:val="18"/>
        </w:rPr>
        <w:t xml:space="preserve"> </w:t>
      </w:r>
      <w:r w:rsidR="005B1789" w:rsidRPr="00604C75">
        <w:rPr>
          <w:sz w:val="18"/>
          <w:szCs w:val="18"/>
        </w:rPr>
        <w:t>The financial guarantees are reported</w:t>
      </w:r>
      <w:r w:rsidR="002115A5" w:rsidRPr="00604C75">
        <w:rPr>
          <w:sz w:val="18"/>
          <w:szCs w:val="18"/>
        </w:rPr>
        <w:t xml:space="preserve"> with</w:t>
      </w:r>
      <w:r w:rsidR="005B1789" w:rsidRPr="00604C75">
        <w:rPr>
          <w:sz w:val="18"/>
          <w:szCs w:val="18"/>
        </w:rPr>
        <w:t xml:space="preserve"> deducting</w:t>
      </w:r>
      <w:r w:rsidR="002115A5" w:rsidRPr="00604C75">
        <w:rPr>
          <w:sz w:val="18"/>
          <w:szCs w:val="18"/>
        </w:rPr>
        <w:t xml:space="preserve"> from the risk amounts</w:t>
      </w:r>
      <w:r w:rsidR="005B1789" w:rsidRPr="00604C75">
        <w:rPr>
          <w:sz w:val="18"/>
          <w:szCs w:val="18"/>
        </w:rPr>
        <w:t xml:space="preserve"> before </w:t>
      </w:r>
      <w:r w:rsidR="000F50A9" w:rsidRPr="00604C75">
        <w:rPr>
          <w:sz w:val="18"/>
          <w:szCs w:val="18"/>
        </w:rPr>
        <w:t>credit</w:t>
      </w:r>
      <w:r w:rsidR="005B1789" w:rsidRPr="00604C75">
        <w:rPr>
          <w:sz w:val="18"/>
          <w:szCs w:val="18"/>
        </w:rPr>
        <w:t xml:space="preserve"> risk reduction and </w:t>
      </w:r>
      <w:r w:rsidR="002115A5" w:rsidRPr="00604C75">
        <w:rPr>
          <w:sz w:val="18"/>
          <w:szCs w:val="18"/>
        </w:rPr>
        <w:t>credit conversion</w:t>
      </w:r>
      <w:r w:rsidR="005B1789" w:rsidRPr="00604C75">
        <w:rPr>
          <w:sz w:val="18"/>
          <w:szCs w:val="18"/>
        </w:rPr>
        <w:t xml:space="preserve">. </w:t>
      </w:r>
    </w:p>
    <w:p w14:paraId="7CAE0FF4" w14:textId="5A8FB4DF" w:rsidR="005E33B0" w:rsidRPr="00604C75" w:rsidRDefault="005E33B0" w:rsidP="00224102">
      <w:pPr>
        <w:pStyle w:val="NormalIndent"/>
        <w:tabs>
          <w:tab w:val="left" w:pos="540"/>
          <w:tab w:val="left" w:pos="1620"/>
        </w:tabs>
        <w:spacing w:before="120"/>
        <w:ind w:left="1620" w:hanging="1620"/>
        <w:rPr>
          <w:b/>
        </w:rPr>
      </w:pPr>
      <w:r w:rsidRPr="00604C75">
        <w:rPr>
          <w:b/>
        </w:rPr>
        <w:br w:type="page"/>
      </w:r>
      <w:r w:rsidR="00A041CD" w:rsidRPr="00A041CD">
        <w:rPr>
          <w:b/>
        </w:rPr>
        <w:lastRenderedPageBreak/>
        <w:t>INFORMATION ON THE FINANCIAL POSITION OF THE GROUP (Continued)</w:t>
      </w:r>
    </w:p>
    <w:p w14:paraId="6F8A58EF" w14:textId="4B149D3A" w:rsidR="00141B9C" w:rsidRPr="00604C75" w:rsidRDefault="00141B9C" w:rsidP="00224102">
      <w:pPr>
        <w:pStyle w:val="Heading2"/>
        <w:jc w:val="both"/>
        <w:rPr>
          <w:rFonts w:ascii="Times New Roman" w:hAnsi="Times New Roman"/>
          <w:caps/>
          <w:sz w:val="20"/>
        </w:rPr>
      </w:pPr>
      <w:r w:rsidRPr="00604C75">
        <w:rPr>
          <w:rFonts w:ascii="Times New Roman" w:hAnsi="Times New Roman"/>
          <w:caps/>
          <w:sz w:val="20"/>
        </w:rPr>
        <w:t>VI</w:t>
      </w:r>
      <w:r w:rsidR="00FC2264">
        <w:rPr>
          <w:rFonts w:ascii="Times New Roman" w:hAnsi="Times New Roman"/>
          <w:caps/>
          <w:sz w:val="20"/>
        </w:rPr>
        <w:t>I</w:t>
      </w:r>
      <w:r w:rsidRPr="00604C75">
        <w:rPr>
          <w:rFonts w:ascii="Times New Roman" w:hAnsi="Times New Roman"/>
          <w:caps/>
          <w:sz w:val="20"/>
        </w:rPr>
        <w:t>.</w:t>
      </w:r>
      <w:r w:rsidRPr="00604C75">
        <w:rPr>
          <w:rFonts w:ascii="Times New Roman" w:hAnsi="Times New Roman"/>
          <w:caps/>
          <w:sz w:val="20"/>
        </w:rPr>
        <w:tab/>
      </w:r>
      <w:r w:rsidR="002C403E" w:rsidRPr="00604C75">
        <w:rPr>
          <w:rFonts w:ascii="Times New Roman" w:hAnsi="Times New Roman"/>
          <w:sz w:val="20"/>
        </w:rPr>
        <w:t>Explanations</w:t>
      </w:r>
      <w:r w:rsidR="002C403E" w:rsidRPr="00604C75" w:rsidDel="002C403E">
        <w:rPr>
          <w:rFonts w:ascii="Times New Roman" w:hAnsi="Times New Roman"/>
          <w:caps/>
          <w:sz w:val="20"/>
        </w:rPr>
        <w:t xml:space="preserve"> </w:t>
      </w:r>
      <w:r w:rsidR="002C403E" w:rsidRPr="00604C75">
        <w:rPr>
          <w:rFonts w:ascii="Times New Roman" w:hAnsi="Times New Roman"/>
          <w:sz w:val="20"/>
        </w:rPr>
        <w:t>on Liquidity Risk</w:t>
      </w:r>
      <w:r w:rsidR="002C403E" w:rsidRPr="00604C75" w:rsidDel="002C403E">
        <w:rPr>
          <w:rFonts w:ascii="Times New Roman" w:hAnsi="Times New Roman"/>
          <w:caps/>
          <w:sz w:val="20"/>
        </w:rPr>
        <w:t xml:space="preserve"> </w:t>
      </w:r>
      <w:r w:rsidRPr="00604C75">
        <w:rPr>
          <w:rFonts w:ascii="Times New Roman" w:hAnsi="Times New Roman"/>
          <w:sz w:val="20"/>
        </w:rPr>
        <w:t>(Continued)</w:t>
      </w:r>
      <w:r w:rsidRPr="00604C75">
        <w:rPr>
          <w:b w:val="0"/>
          <w:sz w:val="20"/>
        </w:rPr>
        <w:t xml:space="preserve">           </w:t>
      </w:r>
    </w:p>
    <w:p w14:paraId="161CA943" w14:textId="77777777" w:rsidR="00ED2D71" w:rsidRPr="00604C75" w:rsidRDefault="00DE2969" w:rsidP="00224102">
      <w:pPr>
        <w:pStyle w:val="NormalIndent"/>
        <w:tabs>
          <w:tab w:val="left" w:pos="540"/>
          <w:tab w:val="left" w:pos="1620"/>
        </w:tabs>
        <w:spacing w:before="120" w:after="120"/>
        <w:ind w:left="0"/>
        <w:rPr>
          <w:b/>
        </w:rPr>
      </w:pPr>
      <w:r w:rsidRPr="00604C75">
        <w:rPr>
          <w:b/>
        </w:rPr>
        <w:t>Collat</w:t>
      </w:r>
      <w:r w:rsidR="00DF776C" w:rsidRPr="00604C75">
        <w:rPr>
          <w:b/>
        </w:rPr>
        <w:t>erals in terms of Risk Group</w:t>
      </w:r>
      <w:r w:rsidRPr="00604C75">
        <w:rPr>
          <w:b/>
        </w:rPr>
        <w:t xml:space="preserve">s </w:t>
      </w:r>
      <w:r w:rsidR="00ED2D71" w:rsidRPr="00604C75">
        <w:rPr>
          <w:b/>
        </w:rPr>
        <w:t>(Continued)</w:t>
      </w:r>
    </w:p>
    <w:tbl>
      <w:tblPr>
        <w:tblW w:w="9351"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4576"/>
        <w:gridCol w:w="1026"/>
        <w:gridCol w:w="1106"/>
        <w:gridCol w:w="1199"/>
        <w:gridCol w:w="1444"/>
      </w:tblGrid>
      <w:tr w:rsidR="00C81DC9" w:rsidRPr="00604C75" w14:paraId="532A30A6" w14:textId="77777777" w:rsidTr="00980409">
        <w:trPr>
          <w:trHeight w:val="320"/>
        </w:trPr>
        <w:tc>
          <w:tcPr>
            <w:tcW w:w="4576" w:type="dxa"/>
            <w:vAlign w:val="bottom"/>
          </w:tcPr>
          <w:p w14:paraId="6DC2A91B" w14:textId="77777777" w:rsidR="00C81DC9" w:rsidRPr="00604C75" w:rsidRDefault="00C81DC9" w:rsidP="00C81DC9">
            <w:pPr>
              <w:pStyle w:val="NormalIndent"/>
              <w:tabs>
                <w:tab w:val="left" w:pos="0"/>
                <w:tab w:val="left" w:pos="1620"/>
              </w:tabs>
              <w:ind w:left="0" w:right="-84"/>
              <w:rPr>
                <w:b/>
                <w:sz w:val="18"/>
                <w:szCs w:val="18"/>
              </w:rPr>
            </w:pPr>
            <w:r w:rsidRPr="00604C75">
              <w:rPr>
                <w:b/>
                <w:sz w:val="18"/>
                <w:szCs w:val="18"/>
              </w:rPr>
              <w:t>31 D</w:t>
            </w:r>
            <w:r w:rsidR="00911FB4" w:rsidRPr="00604C75">
              <w:rPr>
                <w:b/>
                <w:sz w:val="18"/>
                <w:szCs w:val="18"/>
              </w:rPr>
              <w:t>e</w:t>
            </w:r>
            <w:r w:rsidRPr="00604C75">
              <w:rPr>
                <w:b/>
                <w:sz w:val="18"/>
                <w:szCs w:val="18"/>
              </w:rPr>
              <w:t>cember 2014</w:t>
            </w:r>
          </w:p>
        </w:tc>
        <w:tc>
          <w:tcPr>
            <w:tcW w:w="1026" w:type="dxa"/>
            <w:vMerge w:val="restart"/>
            <w:vAlign w:val="bottom"/>
          </w:tcPr>
          <w:p w14:paraId="5FDE5FB3" w14:textId="77777777" w:rsidR="00C81DC9" w:rsidRPr="00604C75" w:rsidRDefault="00C81DC9" w:rsidP="00C81DC9">
            <w:pPr>
              <w:pStyle w:val="NormalIndent"/>
              <w:tabs>
                <w:tab w:val="left" w:pos="0"/>
                <w:tab w:val="left" w:pos="1620"/>
              </w:tabs>
              <w:ind w:left="0" w:right="-84"/>
              <w:jc w:val="right"/>
              <w:rPr>
                <w:b/>
                <w:sz w:val="18"/>
                <w:szCs w:val="18"/>
              </w:rPr>
            </w:pPr>
            <w:r w:rsidRPr="00604C75">
              <w:rPr>
                <w:b/>
                <w:sz w:val="18"/>
                <w:szCs w:val="18"/>
              </w:rPr>
              <w:t>Amount</w:t>
            </w:r>
          </w:p>
        </w:tc>
        <w:tc>
          <w:tcPr>
            <w:tcW w:w="1106" w:type="dxa"/>
            <w:vMerge w:val="restart"/>
            <w:vAlign w:val="bottom"/>
          </w:tcPr>
          <w:p w14:paraId="710A4FA2" w14:textId="77777777" w:rsidR="00C81DC9" w:rsidRPr="00604C75" w:rsidRDefault="00C81DC9">
            <w:pPr>
              <w:pStyle w:val="NormalIndent"/>
              <w:tabs>
                <w:tab w:val="left" w:pos="0"/>
                <w:tab w:val="left" w:pos="1620"/>
              </w:tabs>
              <w:ind w:left="0" w:right="-84"/>
              <w:jc w:val="right"/>
              <w:rPr>
                <w:b/>
                <w:sz w:val="18"/>
                <w:szCs w:val="18"/>
              </w:rPr>
            </w:pPr>
            <w:r w:rsidRPr="00604C75">
              <w:rPr>
                <w:b/>
                <w:sz w:val="18"/>
                <w:szCs w:val="18"/>
              </w:rPr>
              <w:t xml:space="preserve">Financial Guarantees </w:t>
            </w:r>
          </w:p>
        </w:tc>
        <w:tc>
          <w:tcPr>
            <w:tcW w:w="1199" w:type="dxa"/>
            <w:vMerge w:val="restart"/>
            <w:vAlign w:val="bottom"/>
          </w:tcPr>
          <w:p w14:paraId="339DF27D" w14:textId="77777777" w:rsidR="00C81DC9" w:rsidRPr="00604C75" w:rsidRDefault="00C81DC9" w:rsidP="00C81DC9">
            <w:pPr>
              <w:pStyle w:val="NormalIndent"/>
              <w:tabs>
                <w:tab w:val="left" w:pos="0"/>
                <w:tab w:val="left" w:pos="1620"/>
              </w:tabs>
              <w:ind w:left="0" w:right="-84"/>
              <w:jc w:val="right"/>
              <w:rPr>
                <w:b/>
                <w:sz w:val="18"/>
                <w:szCs w:val="18"/>
              </w:rPr>
            </w:pPr>
            <w:r w:rsidRPr="00604C75">
              <w:rPr>
                <w:b/>
                <w:sz w:val="18"/>
                <w:szCs w:val="18"/>
              </w:rPr>
              <w:t>Other</w:t>
            </w:r>
            <w:r w:rsidR="00DF776C" w:rsidRPr="00604C75">
              <w:rPr>
                <w:b/>
                <w:sz w:val="18"/>
                <w:szCs w:val="18"/>
              </w:rPr>
              <w:t>/ Physical</w:t>
            </w:r>
            <w:r w:rsidRPr="00604C75">
              <w:rPr>
                <w:b/>
                <w:sz w:val="18"/>
                <w:szCs w:val="18"/>
              </w:rPr>
              <w:t xml:space="preserve"> Guarantees</w:t>
            </w:r>
          </w:p>
        </w:tc>
        <w:tc>
          <w:tcPr>
            <w:tcW w:w="1444" w:type="dxa"/>
            <w:vMerge w:val="restart"/>
            <w:vAlign w:val="bottom"/>
          </w:tcPr>
          <w:p w14:paraId="4D6C69F8" w14:textId="77777777" w:rsidR="00C81DC9" w:rsidRPr="00604C75" w:rsidRDefault="00DF776C" w:rsidP="00C81DC9">
            <w:pPr>
              <w:pStyle w:val="NormalIndent"/>
              <w:tabs>
                <w:tab w:val="left" w:pos="0"/>
                <w:tab w:val="left" w:pos="1620"/>
              </w:tabs>
              <w:ind w:left="0" w:right="-84"/>
              <w:jc w:val="right"/>
              <w:rPr>
                <w:b/>
                <w:sz w:val="18"/>
                <w:szCs w:val="18"/>
              </w:rPr>
            </w:pPr>
            <w:r w:rsidRPr="00604C75">
              <w:rPr>
                <w:b/>
                <w:sz w:val="18"/>
                <w:szCs w:val="18"/>
              </w:rPr>
              <w:t>Guarantees and Credit</w:t>
            </w:r>
            <w:r w:rsidR="00C81DC9" w:rsidRPr="00604C75">
              <w:rPr>
                <w:b/>
                <w:sz w:val="18"/>
                <w:szCs w:val="18"/>
              </w:rPr>
              <w:t xml:space="preserve"> Derivatives</w:t>
            </w:r>
          </w:p>
        </w:tc>
      </w:tr>
      <w:tr w:rsidR="00C81DC9" w:rsidRPr="00604C75" w14:paraId="49B7877F" w14:textId="77777777" w:rsidTr="00980409">
        <w:trPr>
          <w:trHeight w:val="320"/>
        </w:trPr>
        <w:tc>
          <w:tcPr>
            <w:tcW w:w="4576" w:type="dxa"/>
            <w:vAlign w:val="bottom"/>
          </w:tcPr>
          <w:p w14:paraId="14993D2E" w14:textId="77777777" w:rsidR="00C81DC9" w:rsidRPr="00604C75" w:rsidRDefault="001762D4" w:rsidP="000E559A">
            <w:pPr>
              <w:pStyle w:val="NormalIndent"/>
              <w:tabs>
                <w:tab w:val="left" w:pos="0"/>
                <w:tab w:val="left" w:pos="1620"/>
              </w:tabs>
              <w:ind w:left="0" w:right="-84"/>
              <w:rPr>
                <w:b/>
                <w:sz w:val="18"/>
                <w:szCs w:val="18"/>
              </w:rPr>
            </w:pPr>
            <w:r w:rsidRPr="00604C75">
              <w:rPr>
                <w:b/>
                <w:sz w:val="18"/>
                <w:szCs w:val="18"/>
              </w:rPr>
              <w:t>Risk Group</w:t>
            </w:r>
            <w:r w:rsidR="00DF776C" w:rsidRPr="00604C75">
              <w:rPr>
                <w:b/>
                <w:sz w:val="18"/>
                <w:szCs w:val="18"/>
              </w:rPr>
              <w:t>s</w:t>
            </w:r>
          </w:p>
        </w:tc>
        <w:tc>
          <w:tcPr>
            <w:tcW w:w="1026" w:type="dxa"/>
            <w:vMerge/>
            <w:vAlign w:val="bottom"/>
          </w:tcPr>
          <w:p w14:paraId="55CCBE43" w14:textId="77777777" w:rsidR="00C81DC9" w:rsidRPr="00604C75" w:rsidRDefault="00C81DC9" w:rsidP="000E559A">
            <w:pPr>
              <w:pStyle w:val="NormalIndent"/>
              <w:tabs>
                <w:tab w:val="left" w:pos="0"/>
                <w:tab w:val="left" w:pos="1620"/>
              </w:tabs>
              <w:ind w:left="0" w:right="-84"/>
              <w:jc w:val="right"/>
              <w:rPr>
                <w:b/>
                <w:sz w:val="18"/>
                <w:szCs w:val="18"/>
              </w:rPr>
            </w:pPr>
          </w:p>
        </w:tc>
        <w:tc>
          <w:tcPr>
            <w:tcW w:w="1106" w:type="dxa"/>
            <w:vMerge/>
            <w:vAlign w:val="bottom"/>
          </w:tcPr>
          <w:p w14:paraId="2AAC0528" w14:textId="77777777" w:rsidR="00C81DC9" w:rsidRPr="00604C75" w:rsidRDefault="00C81DC9" w:rsidP="000E559A">
            <w:pPr>
              <w:pStyle w:val="NormalIndent"/>
              <w:tabs>
                <w:tab w:val="left" w:pos="0"/>
                <w:tab w:val="left" w:pos="1620"/>
              </w:tabs>
              <w:ind w:left="0" w:right="-84"/>
              <w:jc w:val="right"/>
              <w:rPr>
                <w:b/>
                <w:sz w:val="18"/>
                <w:szCs w:val="18"/>
              </w:rPr>
            </w:pPr>
          </w:p>
        </w:tc>
        <w:tc>
          <w:tcPr>
            <w:tcW w:w="1199" w:type="dxa"/>
            <w:vMerge/>
            <w:vAlign w:val="bottom"/>
          </w:tcPr>
          <w:p w14:paraId="244E89D4" w14:textId="77777777" w:rsidR="00C81DC9" w:rsidRPr="00604C75" w:rsidRDefault="00C81DC9" w:rsidP="000E559A">
            <w:pPr>
              <w:pStyle w:val="NormalIndent"/>
              <w:tabs>
                <w:tab w:val="left" w:pos="0"/>
                <w:tab w:val="left" w:pos="1620"/>
              </w:tabs>
              <w:ind w:left="0" w:right="-84"/>
              <w:jc w:val="right"/>
              <w:rPr>
                <w:b/>
                <w:sz w:val="18"/>
                <w:szCs w:val="18"/>
              </w:rPr>
            </w:pPr>
          </w:p>
        </w:tc>
        <w:tc>
          <w:tcPr>
            <w:tcW w:w="1444" w:type="dxa"/>
            <w:vMerge/>
            <w:vAlign w:val="bottom"/>
          </w:tcPr>
          <w:p w14:paraId="740A49A0" w14:textId="77777777" w:rsidR="00C81DC9" w:rsidRPr="00604C75" w:rsidRDefault="00C81DC9" w:rsidP="000E559A">
            <w:pPr>
              <w:pStyle w:val="NormalIndent"/>
              <w:tabs>
                <w:tab w:val="left" w:pos="0"/>
                <w:tab w:val="left" w:pos="1620"/>
              </w:tabs>
              <w:ind w:left="0" w:right="-84"/>
              <w:jc w:val="right"/>
              <w:rPr>
                <w:b/>
                <w:sz w:val="18"/>
                <w:szCs w:val="18"/>
              </w:rPr>
            </w:pPr>
          </w:p>
        </w:tc>
      </w:tr>
      <w:tr w:rsidR="00224102" w:rsidRPr="00604C75" w14:paraId="74AC8848" w14:textId="77777777" w:rsidTr="00980409">
        <w:trPr>
          <w:trHeight w:val="64"/>
        </w:trPr>
        <w:tc>
          <w:tcPr>
            <w:tcW w:w="4576" w:type="dxa"/>
            <w:vAlign w:val="center"/>
          </w:tcPr>
          <w:p w14:paraId="20D5DD18" w14:textId="77777777" w:rsidR="00224102" w:rsidRPr="00604C75" w:rsidRDefault="00224102" w:rsidP="00224102">
            <w:pPr>
              <w:pStyle w:val="NormalIndent"/>
              <w:tabs>
                <w:tab w:val="left" w:pos="0"/>
                <w:tab w:val="left" w:pos="1620"/>
              </w:tabs>
              <w:ind w:left="0" w:right="-84"/>
              <w:rPr>
                <w:sz w:val="18"/>
                <w:szCs w:val="18"/>
              </w:rPr>
            </w:pPr>
            <w:r w:rsidRPr="00604C75">
              <w:rPr>
                <w:sz w:val="18"/>
                <w:szCs w:val="18"/>
              </w:rPr>
              <w:t xml:space="preserve">Contingent and Non-Contingent Receivables from Central Governments or Central Banks </w:t>
            </w:r>
          </w:p>
        </w:tc>
        <w:tc>
          <w:tcPr>
            <w:tcW w:w="1026" w:type="dxa"/>
            <w:vAlign w:val="bottom"/>
          </w:tcPr>
          <w:p w14:paraId="478F9FE9" w14:textId="192BBAF0"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2,158,320</w:t>
            </w:r>
          </w:p>
        </w:tc>
        <w:tc>
          <w:tcPr>
            <w:tcW w:w="1106" w:type="dxa"/>
            <w:vAlign w:val="bottom"/>
          </w:tcPr>
          <w:p w14:paraId="6BF67E57" w14:textId="0A51CDEB"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199" w:type="dxa"/>
            <w:vAlign w:val="bottom"/>
          </w:tcPr>
          <w:p w14:paraId="6A59C17F"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444" w:type="dxa"/>
            <w:vAlign w:val="bottom"/>
          </w:tcPr>
          <w:p w14:paraId="10610293"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r>
      <w:tr w:rsidR="00224102" w:rsidRPr="00604C75" w14:paraId="41258198" w14:textId="77777777" w:rsidTr="00980409">
        <w:trPr>
          <w:trHeight w:val="432"/>
        </w:trPr>
        <w:tc>
          <w:tcPr>
            <w:tcW w:w="4576" w:type="dxa"/>
            <w:vAlign w:val="center"/>
          </w:tcPr>
          <w:p w14:paraId="19F52BEB" w14:textId="77777777" w:rsidR="00224102" w:rsidRPr="00604C75" w:rsidRDefault="00224102" w:rsidP="00224102">
            <w:pPr>
              <w:pStyle w:val="NormalIndent"/>
              <w:tabs>
                <w:tab w:val="left" w:pos="0"/>
                <w:tab w:val="left" w:pos="1620"/>
              </w:tabs>
              <w:ind w:left="0" w:right="-84"/>
              <w:rPr>
                <w:sz w:val="18"/>
                <w:szCs w:val="18"/>
              </w:rPr>
            </w:pPr>
            <w:r w:rsidRPr="00604C75">
              <w:rPr>
                <w:sz w:val="18"/>
                <w:szCs w:val="18"/>
              </w:rPr>
              <w:t>Contingent and Non-Contingent Receivables from Regional Government or Domestic Government</w:t>
            </w:r>
          </w:p>
        </w:tc>
        <w:tc>
          <w:tcPr>
            <w:tcW w:w="1026" w:type="dxa"/>
            <w:vAlign w:val="bottom"/>
          </w:tcPr>
          <w:p w14:paraId="6DA2904A" w14:textId="0CCCCC03"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1,476</w:t>
            </w:r>
          </w:p>
        </w:tc>
        <w:tc>
          <w:tcPr>
            <w:tcW w:w="1106" w:type="dxa"/>
            <w:vAlign w:val="bottom"/>
          </w:tcPr>
          <w:p w14:paraId="10865063" w14:textId="56ECBB39"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199" w:type="dxa"/>
            <w:vAlign w:val="bottom"/>
          </w:tcPr>
          <w:p w14:paraId="0BC68FDA"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444" w:type="dxa"/>
            <w:vAlign w:val="bottom"/>
          </w:tcPr>
          <w:p w14:paraId="5B896646"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r>
      <w:tr w:rsidR="00224102" w:rsidRPr="00604C75" w14:paraId="403EB65E" w14:textId="77777777" w:rsidTr="00980409">
        <w:trPr>
          <w:trHeight w:val="344"/>
        </w:trPr>
        <w:tc>
          <w:tcPr>
            <w:tcW w:w="4576" w:type="dxa"/>
            <w:vAlign w:val="center"/>
          </w:tcPr>
          <w:p w14:paraId="56E968DA" w14:textId="77777777" w:rsidR="00224102" w:rsidRPr="00604C75" w:rsidRDefault="00224102" w:rsidP="00224102">
            <w:pPr>
              <w:pStyle w:val="NormalIndent"/>
              <w:tabs>
                <w:tab w:val="left" w:pos="0"/>
                <w:tab w:val="left" w:pos="1620"/>
              </w:tabs>
              <w:ind w:left="0" w:right="-84"/>
              <w:rPr>
                <w:sz w:val="18"/>
                <w:szCs w:val="18"/>
              </w:rPr>
            </w:pPr>
            <w:r w:rsidRPr="00604C75">
              <w:rPr>
                <w:sz w:val="18"/>
                <w:szCs w:val="18"/>
              </w:rPr>
              <w:t>Contingent and Non-Contingent Receivables from Banks and Intermediaries</w:t>
            </w:r>
          </w:p>
        </w:tc>
        <w:tc>
          <w:tcPr>
            <w:tcW w:w="1026" w:type="dxa"/>
            <w:vAlign w:val="bottom"/>
          </w:tcPr>
          <w:p w14:paraId="53685BB8" w14:textId="2DFCC1DF"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408,103</w:t>
            </w:r>
          </w:p>
        </w:tc>
        <w:tc>
          <w:tcPr>
            <w:tcW w:w="1106" w:type="dxa"/>
            <w:vAlign w:val="bottom"/>
          </w:tcPr>
          <w:p w14:paraId="65938A97" w14:textId="0C838B33"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9,896</w:t>
            </w:r>
          </w:p>
        </w:tc>
        <w:tc>
          <w:tcPr>
            <w:tcW w:w="1199" w:type="dxa"/>
            <w:vAlign w:val="bottom"/>
          </w:tcPr>
          <w:p w14:paraId="6838C082"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444" w:type="dxa"/>
            <w:vAlign w:val="bottom"/>
          </w:tcPr>
          <w:p w14:paraId="643E2C84"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r>
      <w:tr w:rsidR="00224102" w:rsidRPr="00604C75" w14:paraId="433293BB" w14:textId="77777777" w:rsidTr="00980409">
        <w:trPr>
          <w:trHeight w:val="207"/>
        </w:trPr>
        <w:tc>
          <w:tcPr>
            <w:tcW w:w="4576" w:type="dxa"/>
            <w:vAlign w:val="center"/>
          </w:tcPr>
          <w:p w14:paraId="40E71C00" w14:textId="77777777" w:rsidR="00224102" w:rsidRPr="00604C75" w:rsidRDefault="00224102" w:rsidP="00224102">
            <w:pPr>
              <w:pStyle w:val="NormalIndent"/>
              <w:tabs>
                <w:tab w:val="left" w:pos="0"/>
                <w:tab w:val="left" w:pos="1620"/>
              </w:tabs>
              <w:ind w:left="0" w:right="-84"/>
              <w:rPr>
                <w:sz w:val="18"/>
                <w:szCs w:val="18"/>
              </w:rPr>
            </w:pPr>
            <w:r w:rsidRPr="00604C75">
              <w:rPr>
                <w:sz w:val="18"/>
                <w:szCs w:val="18"/>
              </w:rPr>
              <w:t xml:space="preserve">Contingent and Non-Contingent Corporate Receivables </w:t>
            </w:r>
          </w:p>
        </w:tc>
        <w:tc>
          <w:tcPr>
            <w:tcW w:w="1026" w:type="dxa"/>
            <w:vAlign w:val="bottom"/>
          </w:tcPr>
          <w:p w14:paraId="7D29FC65" w14:textId="1E9B79B1"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4,794,956</w:t>
            </w:r>
          </w:p>
        </w:tc>
        <w:tc>
          <w:tcPr>
            <w:tcW w:w="1106" w:type="dxa"/>
            <w:vAlign w:val="bottom"/>
          </w:tcPr>
          <w:p w14:paraId="4EC4AB12" w14:textId="61E59E5C"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322,330</w:t>
            </w:r>
          </w:p>
        </w:tc>
        <w:tc>
          <w:tcPr>
            <w:tcW w:w="1199" w:type="dxa"/>
            <w:vAlign w:val="bottom"/>
          </w:tcPr>
          <w:p w14:paraId="69E3BF75"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444" w:type="dxa"/>
            <w:vAlign w:val="bottom"/>
          </w:tcPr>
          <w:p w14:paraId="6134D740"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r>
      <w:tr w:rsidR="00224102" w:rsidRPr="00604C75" w14:paraId="73CFD61D" w14:textId="77777777" w:rsidTr="00980409">
        <w:trPr>
          <w:trHeight w:val="189"/>
        </w:trPr>
        <w:tc>
          <w:tcPr>
            <w:tcW w:w="4576" w:type="dxa"/>
            <w:vAlign w:val="center"/>
          </w:tcPr>
          <w:p w14:paraId="065A52D7" w14:textId="77777777" w:rsidR="00224102" w:rsidRPr="00604C75" w:rsidRDefault="00224102" w:rsidP="00224102">
            <w:pPr>
              <w:pStyle w:val="NormalIndent"/>
              <w:tabs>
                <w:tab w:val="left" w:pos="0"/>
                <w:tab w:val="left" w:pos="1620"/>
              </w:tabs>
              <w:ind w:left="0" w:right="-84"/>
              <w:rPr>
                <w:sz w:val="18"/>
                <w:szCs w:val="18"/>
              </w:rPr>
            </w:pPr>
            <w:r w:rsidRPr="00604C75">
              <w:rPr>
                <w:sz w:val="18"/>
                <w:szCs w:val="18"/>
              </w:rPr>
              <w:t xml:space="preserve">Contingent and Non-Contingent Retail Receivables </w:t>
            </w:r>
          </w:p>
        </w:tc>
        <w:tc>
          <w:tcPr>
            <w:tcW w:w="1026" w:type="dxa"/>
            <w:vAlign w:val="bottom"/>
          </w:tcPr>
          <w:p w14:paraId="5228B6C7" w14:textId="3093F698"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3,504,106</w:t>
            </w:r>
          </w:p>
        </w:tc>
        <w:tc>
          <w:tcPr>
            <w:tcW w:w="1106" w:type="dxa"/>
            <w:vAlign w:val="bottom"/>
          </w:tcPr>
          <w:p w14:paraId="7EF8E4BA" w14:textId="2A46846B"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55,709</w:t>
            </w:r>
          </w:p>
        </w:tc>
        <w:tc>
          <w:tcPr>
            <w:tcW w:w="1199" w:type="dxa"/>
            <w:vAlign w:val="bottom"/>
          </w:tcPr>
          <w:p w14:paraId="2D6BBE1D"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444" w:type="dxa"/>
            <w:vAlign w:val="bottom"/>
          </w:tcPr>
          <w:p w14:paraId="196932D5"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r>
      <w:tr w:rsidR="00224102" w:rsidRPr="00604C75" w14:paraId="4C104857" w14:textId="77777777" w:rsidTr="00980409">
        <w:trPr>
          <w:trHeight w:val="344"/>
        </w:trPr>
        <w:tc>
          <w:tcPr>
            <w:tcW w:w="4576" w:type="dxa"/>
            <w:vAlign w:val="center"/>
          </w:tcPr>
          <w:p w14:paraId="07561458" w14:textId="77777777" w:rsidR="00224102" w:rsidRPr="00604C75" w:rsidRDefault="00224102" w:rsidP="00224102">
            <w:pPr>
              <w:pStyle w:val="NormalIndent"/>
              <w:tabs>
                <w:tab w:val="left" w:pos="0"/>
                <w:tab w:val="left" w:pos="1620"/>
              </w:tabs>
              <w:ind w:left="0" w:right="-84"/>
              <w:rPr>
                <w:sz w:val="18"/>
                <w:szCs w:val="18"/>
              </w:rPr>
            </w:pPr>
            <w:r w:rsidRPr="00604C75">
              <w:rPr>
                <w:sz w:val="18"/>
                <w:szCs w:val="18"/>
              </w:rPr>
              <w:t xml:space="preserve">Contingent and Non-Contingent Receivables Secured by Residential Property </w:t>
            </w:r>
          </w:p>
        </w:tc>
        <w:tc>
          <w:tcPr>
            <w:tcW w:w="1026" w:type="dxa"/>
            <w:vAlign w:val="bottom"/>
          </w:tcPr>
          <w:p w14:paraId="0C57268D" w14:textId="7846755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1,300,595</w:t>
            </w:r>
          </w:p>
        </w:tc>
        <w:tc>
          <w:tcPr>
            <w:tcW w:w="1106" w:type="dxa"/>
            <w:vAlign w:val="bottom"/>
          </w:tcPr>
          <w:p w14:paraId="066E93A4" w14:textId="10D4EB80"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11,138</w:t>
            </w:r>
          </w:p>
        </w:tc>
        <w:tc>
          <w:tcPr>
            <w:tcW w:w="1199" w:type="dxa"/>
            <w:vAlign w:val="bottom"/>
          </w:tcPr>
          <w:p w14:paraId="5B22B8B1"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444" w:type="dxa"/>
            <w:vAlign w:val="bottom"/>
          </w:tcPr>
          <w:p w14:paraId="5E144E64"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r>
      <w:tr w:rsidR="00224102" w:rsidRPr="00604C75" w14:paraId="3A1B8285" w14:textId="77777777" w:rsidTr="00980409">
        <w:trPr>
          <w:trHeight w:val="189"/>
        </w:trPr>
        <w:tc>
          <w:tcPr>
            <w:tcW w:w="4576" w:type="dxa"/>
            <w:vAlign w:val="center"/>
          </w:tcPr>
          <w:p w14:paraId="27B40EAB" w14:textId="77777777" w:rsidR="00224102" w:rsidRPr="00604C75" w:rsidRDefault="00224102" w:rsidP="00224102">
            <w:pPr>
              <w:pStyle w:val="NormalIndent"/>
              <w:tabs>
                <w:tab w:val="left" w:pos="0"/>
                <w:tab w:val="left" w:pos="1620"/>
              </w:tabs>
              <w:ind w:left="0" w:right="-84"/>
              <w:rPr>
                <w:sz w:val="18"/>
                <w:szCs w:val="18"/>
              </w:rPr>
            </w:pPr>
            <w:r w:rsidRPr="00604C75">
              <w:rPr>
                <w:color w:val="000000"/>
                <w:sz w:val="18"/>
                <w:szCs w:val="18"/>
              </w:rPr>
              <w:t>Non-Performing Receivables</w:t>
            </w:r>
          </w:p>
        </w:tc>
        <w:tc>
          <w:tcPr>
            <w:tcW w:w="1026" w:type="dxa"/>
            <w:vAlign w:val="bottom"/>
          </w:tcPr>
          <w:p w14:paraId="41A38086" w14:textId="6ED5A89E"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171,800</w:t>
            </w:r>
          </w:p>
        </w:tc>
        <w:tc>
          <w:tcPr>
            <w:tcW w:w="1106" w:type="dxa"/>
            <w:vAlign w:val="bottom"/>
          </w:tcPr>
          <w:p w14:paraId="38867CAE" w14:textId="047A8049"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1,182</w:t>
            </w:r>
          </w:p>
        </w:tc>
        <w:tc>
          <w:tcPr>
            <w:tcW w:w="1199" w:type="dxa"/>
            <w:vAlign w:val="bottom"/>
          </w:tcPr>
          <w:p w14:paraId="1A69FD8C"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444" w:type="dxa"/>
            <w:vAlign w:val="bottom"/>
          </w:tcPr>
          <w:p w14:paraId="6F30B1A2"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r>
      <w:tr w:rsidR="00224102" w:rsidRPr="00604C75" w14:paraId="1B847C74" w14:textId="77777777" w:rsidTr="00980409">
        <w:trPr>
          <w:trHeight w:val="252"/>
        </w:trPr>
        <w:tc>
          <w:tcPr>
            <w:tcW w:w="4576" w:type="dxa"/>
            <w:vAlign w:val="center"/>
          </w:tcPr>
          <w:p w14:paraId="4C6B0D18" w14:textId="479733B5" w:rsidR="00224102" w:rsidRPr="00604C75" w:rsidRDefault="00224102" w:rsidP="00224102">
            <w:pPr>
              <w:pStyle w:val="NormalIndent"/>
              <w:tabs>
                <w:tab w:val="left" w:pos="0"/>
                <w:tab w:val="left" w:pos="1620"/>
              </w:tabs>
              <w:ind w:left="0" w:right="-84"/>
              <w:rPr>
                <w:sz w:val="18"/>
                <w:szCs w:val="18"/>
              </w:rPr>
            </w:pPr>
            <w:r w:rsidRPr="00604C75">
              <w:rPr>
                <w:color w:val="000000"/>
                <w:sz w:val="18"/>
                <w:szCs w:val="18"/>
              </w:rPr>
              <w:t xml:space="preserve">Receivables </w:t>
            </w:r>
            <w:r>
              <w:rPr>
                <w:color w:val="000000"/>
                <w:sz w:val="18"/>
                <w:szCs w:val="18"/>
              </w:rPr>
              <w:t>I</w:t>
            </w:r>
            <w:r w:rsidRPr="00604C75">
              <w:rPr>
                <w:color w:val="000000"/>
                <w:sz w:val="18"/>
                <w:szCs w:val="18"/>
              </w:rPr>
              <w:t xml:space="preserve">dentified as </w:t>
            </w:r>
            <w:r>
              <w:rPr>
                <w:color w:val="000000"/>
                <w:sz w:val="18"/>
                <w:szCs w:val="18"/>
              </w:rPr>
              <w:t>H</w:t>
            </w:r>
            <w:r w:rsidRPr="00604C75">
              <w:rPr>
                <w:color w:val="000000"/>
                <w:sz w:val="18"/>
                <w:szCs w:val="18"/>
              </w:rPr>
              <w:t xml:space="preserve">igh </w:t>
            </w:r>
            <w:r>
              <w:rPr>
                <w:color w:val="000000"/>
                <w:sz w:val="18"/>
                <w:szCs w:val="18"/>
              </w:rPr>
              <w:t>R</w:t>
            </w:r>
            <w:r w:rsidRPr="00604C75">
              <w:rPr>
                <w:color w:val="000000"/>
                <w:sz w:val="18"/>
                <w:szCs w:val="18"/>
              </w:rPr>
              <w:t>isk by the Board</w:t>
            </w:r>
          </w:p>
        </w:tc>
        <w:tc>
          <w:tcPr>
            <w:tcW w:w="1026" w:type="dxa"/>
            <w:vAlign w:val="bottom"/>
          </w:tcPr>
          <w:p w14:paraId="41E23752" w14:textId="6814718B"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160,439</w:t>
            </w:r>
          </w:p>
        </w:tc>
        <w:tc>
          <w:tcPr>
            <w:tcW w:w="1106" w:type="dxa"/>
            <w:vAlign w:val="bottom"/>
          </w:tcPr>
          <w:p w14:paraId="1E712A52" w14:textId="1569FAFE"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3,766</w:t>
            </w:r>
          </w:p>
        </w:tc>
        <w:tc>
          <w:tcPr>
            <w:tcW w:w="1199" w:type="dxa"/>
            <w:vAlign w:val="bottom"/>
          </w:tcPr>
          <w:p w14:paraId="767143FB"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444" w:type="dxa"/>
            <w:vAlign w:val="bottom"/>
          </w:tcPr>
          <w:p w14:paraId="7249FD3A"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r>
      <w:tr w:rsidR="00224102" w:rsidRPr="00604C75" w14:paraId="75A07E83" w14:textId="77777777" w:rsidTr="00980409">
        <w:trPr>
          <w:trHeight w:val="279"/>
        </w:trPr>
        <w:tc>
          <w:tcPr>
            <w:tcW w:w="4576" w:type="dxa"/>
            <w:vAlign w:val="center"/>
          </w:tcPr>
          <w:p w14:paraId="44A734A6" w14:textId="77777777" w:rsidR="00224102" w:rsidRPr="00604C75" w:rsidRDefault="00224102" w:rsidP="00224102">
            <w:pPr>
              <w:pStyle w:val="NormalIndent"/>
              <w:tabs>
                <w:tab w:val="left" w:pos="0"/>
                <w:tab w:val="left" w:pos="1620"/>
              </w:tabs>
              <w:ind w:left="0" w:right="-84"/>
              <w:rPr>
                <w:sz w:val="18"/>
                <w:szCs w:val="18"/>
              </w:rPr>
            </w:pPr>
            <w:r w:rsidRPr="00604C75">
              <w:rPr>
                <w:sz w:val="18"/>
                <w:szCs w:val="18"/>
              </w:rPr>
              <w:t>Other Receivables</w:t>
            </w:r>
          </w:p>
        </w:tc>
        <w:tc>
          <w:tcPr>
            <w:tcW w:w="1026" w:type="dxa"/>
            <w:vAlign w:val="bottom"/>
          </w:tcPr>
          <w:p w14:paraId="5D9B9B38" w14:textId="1CA69225"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357,892</w:t>
            </w:r>
          </w:p>
        </w:tc>
        <w:tc>
          <w:tcPr>
            <w:tcW w:w="1106" w:type="dxa"/>
            <w:vAlign w:val="bottom"/>
          </w:tcPr>
          <w:p w14:paraId="359EA828" w14:textId="0DB0E45F"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 </w:t>
            </w:r>
          </w:p>
        </w:tc>
        <w:tc>
          <w:tcPr>
            <w:tcW w:w="1199" w:type="dxa"/>
            <w:vAlign w:val="bottom"/>
          </w:tcPr>
          <w:p w14:paraId="22A5E731"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c>
          <w:tcPr>
            <w:tcW w:w="1444" w:type="dxa"/>
            <w:vAlign w:val="bottom"/>
          </w:tcPr>
          <w:p w14:paraId="51A3026A" w14:textId="77777777" w:rsidR="00224102" w:rsidRPr="00692926" w:rsidRDefault="00224102" w:rsidP="00224102">
            <w:pPr>
              <w:pStyle w:val="NormalIndent"/>
              <w:tabs>
                <w:tab w:val="left" w:pos="0"/>
                <w:tab w:val="left" w:pos="1620"/>
              </w:tabs>
              <w:ind w:left="0" w:right="-84"/>
              <w:jc w:val="right"/>
              <w:rPr>
                <w:sz w:val="18"/>
                <w:szCs w:val="18"/>
              </w:rPr>
            </w:pPr>
            <w:r w:rsidRPr="00692926">
              <w:rPr>
                <w:sz w:val="18"/>
                <w:szCs w:val="18"/>
              </w:rPr>
              <w:t>-</w:t>
            </w:r>
          </w:p>
        </w:tc>
      </w:tr>
      <w:tr w:rsidR="00224102" w:rsidRPr="00604C75" w14:paraId="5F5A8F24" w14:textId="77777777" w:rsidTr="00980409">
        <w:trPr>
          <w:trHeight w:val="260"/>
        </w:trPr>
        <w:tc>
          <w:tcPr>
            <w:tcW w:w="4576" w:type="dxa"/>
            <w:vAlign w:val="bottom"/>
          </w:tcPr>
          <w:p w14:paraId="292257E9" w14:textId="77777777" w:rsidR="00224102" w:rsidRPr="00604C75" w:rsidRDefault="00224102" w:rsidP="00224102">
            <w:pPr>
              <w:pStyle w:val="NormalIndent"/>
              <w:tabs>
                <w:tab w:val="left" w:pos="0"/>
                <w:tab w:val="left" w:pos="1620"/>
              </w:tabs>
              <w:ind w:left="0" w:right="-84"/>
              <w:rPr>
                <w:b/>
                <w:sz w:val="18"/>
                <w:szCs w:val="18"/>
              </w:rPr>
            </w:pPr>
            <w:r w:rsidRPr="00604C75">
              <w:rPr>
                <w:b/>
                <w:sz w:val="18"/>
                <w:szCs w:val="18"/>
              </w:rPr>
              <w:t>Total</w:t>
            </w:r>
          </w:p>
        </w:tc>
        <w:tc>
          <w:tcPr>
            <w:tcW w:w="1026" w:type="dxa"/>
            <w:vAlign w:val="bottom"/>
          </w:tcPr>
          <w:p w14:paraId="259343E9" w14:textId="6A52F40F" w:rsidR="00224102" w:rsidRPr="00692926" w:rsidRDefault="00224102" w:rsidP="00224102">
            <w:pPr>
              <w:pStyle w:val="NormalIndent"/>
              <w:tabs>
                <w:tab w:val="left" w:pos="0"/>
                <w:tab w:val="left" w:pos="1620"/>
              </w:tabs>
              <w:ind w:left="0" w:right="-84"/>
              <w:jc w:val="right"/>
              <w:rPr>
                <w:b/>
                <w:sz w:val="18"/>
                <w:szCs w:val="18"/>
              </w:rPr>
            </w:pPr>
            <w:r w:rsidRPr="00692926">
              <w:rPr>
                <w:b/>
                <w:sz w:val="18"/>
                <w:szCs w:val="18"/>
              </w:rPr>
              <w:t>12,857,687</w:t>
            </w:r>
          </w:p>
        </w:tc>
        <w:tc>
          <w:tcPr>
            <w:tcW w:w="1106" w:type="dxa"/>
            <w:vAlign w:val="bottom"/>
          </w:tcPr>
          <w:p w14:paraId="1DA11950" w14:textId="7638A764" w:rsidR="00224102" w:rsidRPr="00692926" w:rsidRDefault="00224102" w:rsidP="00224102">
            <w:pPr>
              <w:pStyle w:val="NormalIndent"/>
              <w:tabs>
                <w:tab w:val="left" w:pos="0"/>
                <w:tab w:val="left" w:pos="1620"/>
              </w:tabs>
              <w:ind w:left="0" w:right="-84"/>
              <w:jc w:val="right"/>
              <w:rPr>
                <w:b/>
                <w:sz w:val="18"/>
                <w:szCs w:val="18"/>
              </w:rPr>
            </w:pPr>
            <w:r w:rsidRPr="00692926">
              <w:rPr>
                <w:b/>
                <w:sz w:val="18"/>
                <w:szCs w:val="18"/>
              </w:rPr>
              <w:t>404,021</w:t>
            </w:r>
          </w:p>
        </w:tc>
        <w:tc>
          <w:tcPr>
            <w:tcW w:w="1199" w:type="dxa"/>
            <w:vAlign w:val="bottom"/>
          </w:tcPr>
          <w:p w14:paraId="4854D978" w14:textId="77777777" w:rsidR="00224102" w:rsidRPr="00692926" w:rsidRDefault="00224102" w:rsidP="00224102">
            <w:pPr>
              <w:pStyle w:val="NormalIndent"/>
              <w:tabs>
                <w:tab w:val="left" w:pos="0"/>
                <w:tab w:val="left" w:pos="1620"/>
              </w:tabs>
              <w:ind w:left="0" w:right="-84"/>
              <w:jc w:val="right"/>
              <w:rPr>
                <w:b/>
                <w:sz w:val="18"/>
                <w:szCs w:val="18"/>
              </w:rPr>
            </w:pPr>
            <w:r w:rsidRPr="00692926">
              <w:rPr>
                <w:b/>
                <w:sz w:val="18"/>
                <w:szCs w:val="18"/>
              </w:rPr>
              <w:t>-</w:t>
            </w:r>
          </w:p>
        </w:tc>
        <w:tc>
          <w:tcPr>
            <w:tcW w:w="1444" w:type="dxa"/>
            <w:vAlign w:val="bottom"/>
          </w:tcPr>
          <w:p w14:paraId="7A27AE67" w14:textId="77777777" w:rsidR="00224102" w:rsidRPr="00692926" w:rsidRDefault="00224102" w:rsidP="00224102">
            <w:pPr>
              <w:pStyle w:val="NormalIndent"/>
              <w:tabs>
                <w:tab w:val="left" w:pos="0"/>
                <w:tab w:val="left" w:pos="1620"/>
              </w:tabs>
              <w:ind w:left="0" w:right="-84"/>
              <w:jc w:val="right"/>
              <w:rPr>
                <w:b/>
                <w:sz w:val="18"/>
                <w:szCs w:val="18"/>
              </w:rPr>
            </w:pPr>
            <w:r w:rsidRPr="00692926">
              <w:rPr>
                <w:b/>
                <w:sz w:val="18"/>
                <w:szCs w:val="18"/>
              </w:rPr>
              <w:t>-</w:t>
            </w:r>
          </w:p>
        </w:tc>
      </w:tr>
    </w:tbl>
    <w:p w14:paraId="5CFFC15F" w14:textId="287EF6E5" w:rsidR="00EB2A5F" w:rsidRDefault="00577400" w:rsidP="00EB2A5F">
      <w:pPr>
        <w:spacing w:before="60" w:after="60"/>
        <w:rPr>
          <w:color w:val="FF0000"/>
          <w:sz w:val="16"/>
          <w:szCs w:val="16"/>
        </w:rPr>
      </w:pPr>
      <w:r w:rsidRPr="00604C75">
        <w:rPr>
          <w:sz w:val="18"/>
          <w:szCs w:val="18"/>
        </w:rPr>
        <w:t>(*)</w:t>
      </w:r>
      <w:r>
        <w:rPr>
          <w:sz w:val="18"/>
          <w:szCs w:val="18"/>
        </w:rPr>
        <w:t xml:space="preserve"> </w:t>
      </w:r>
      <w:r w:rsidRPr="00604C75">
        <w:rPr>
          <w:sz w:val="18"/>
          <w:szCs w:val="18"/>
        </w:rPr>
        <w:t>The financial guarantees are reported with deducting from the risk amounts before credit risk reduction and credit conversion</w:t>
      </w:r>
      <w:r>
        <w:rPr>
          <w:sz w:val="18"/>
          <w:szCs w:val="18"/>
        </w:rPr>
        <w:t>.</w:t>
      </w:r>
    </w:p>
    <w:p w14:paraId="0311059B" w14:textId="082E82D0" w:rsidR="00EB2A5F" w:rsidRPr="00EB2A5F" w:rsidRDefault="00EB2A5F" w:rsidP="00EB2A5F">
      <w:pPr>
        <w:autoSpaceDE w:val="0"/>
        <w:autoSpaceDN w:val="0"/>
        <w:adjustRightInd w:val="0"/>
        <w:spacing w:before="120" w:after="120"/>
        <w:jc w:val="both"/>
        <w:rPr>
          <w:b/>
          <w:caps/>
          <w:color w:val="FF0000"/>
          <w:sz w:val="20"/>
          <w:szCs w:val="20"/>
        </w:rPr>
      </w:pPr>
      <w:r w:rsidRPr="00224102">
        <w:rPr>
          <w:b/>
          <w:caps/>
          <w:sz w:val="20"/>
          <w:szCs w:val="20"/>
        </w:rPr>
        <w:t xml:space="preserve">VIII. </w:t>
      </w:r>
      <w:r w:rsidR="00224102" w:rsidRPr="00224102">
        <w:rPr>
          <w:b/>
          <w:caps/>
          <w:sz w:val="20"/>
          <w:szCs w:val="20"/>
        </w:rPr>
        <w:t xml:space="preserve">     </w:t>
      </w:r>
      <w:r w:rsidR="00224102" w:rsidRPr="00224102">
        <w:rPr>
          <w:b/>
          <w:sz w:val="20"/>
          <w:szCs w:val="20"/>
        </w:rPr>
        <w:t>Explanations on Leverage Ratio</w:t>
      </w:r>
    </w:p>
    <w:p w14:paraId="4D2DC427" w14:textId="354B6D2A" w:rsidR="00224102" w:rsidRDefault="00224102" w:rsidP="005D17D6">
      <w:pPr>
        <w:pStyle w:val="Default"/>
        <w:spacing w:before="120" w:after="120"/>
        <w:ind w:right="-199"/>
        <w:rPr>
          <w:b/>
          <w:color w:val="auto"/>
          <w:sz w:val="20"/>
          <w:szCs w:val="20"/>
          <w:lang w:val="en-US" w:eastAsia="en-US"/>
        </w:rPr>
      </w:pPr>
      <w:r w:rsidRPr="00224102">
        <w:rPr>
          <w:b/>
          <w:color w:val="auto"/>
          <w:sz w:val="20"/>
          <w:szCs w:val="20"/>
          <w:lang w:val="en-US" w:eastAsia="en-US"/>
        </w:rPr>
        <w:t>Comparison Summary Table of Total Risk and Total Assets Amounts in the Consolidated Financial Statements prepared in accordance with Turkish Accounting Standards.</w:t>
      </w:r>
    </w:p>
    <w:tbl>
      <w:tblPr>
        <w:tblW w:w="5073" w:type="pct"/>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82"/>
        <w:gridCol w:w="6234"/>
        <w:gridCol w:w="1627"/>
        <w:gridCol w:w="1484"/>
      </w:tblGrid>
      <w:tr w:rsidR="00224102" w14:paraId="7A7E2975" w14:textId="77777777" w:rsidTr="00F77D55">
        <w:trPr>
          <w:trHeight w:val="285"/>
        </w:trPr>
        <w:tc>
          <w:tcPr>
            <w:tcW w:w="146" w:type="pct"/>
            <w:shd w:val="clear" w:color="auto" w:fill="auto"/>
            <w:noWrap/>
            <w:vAlign w:val="center"/>
            <w:hideMark/>
          </w:tcPr>
          <w:p w14:paraId="1390E112" w14:textId="77777777" w:rsidR="00224102" w:rsidRDefault="00224102" w:rsidP="00F77D55">
            <w:pPr>
              <w:rPr>
                <w:rFonts w:ascii="Arial" w:hAnsi="Arial" w:cs="Arial"/>
                <w:color w:val="000000"/>
                <w:sz w:val="20"/>
                <w:szCs w:val="20"/>
              </w:rPr>
            </w:pPr>
          </w:p>
        </w:tc>
        <w:tc>
          <w:tcPr>
            <w:tcW w:w="3238" w:type="pct"/>
            <w:shd w:val="clear" w:color="auto" w:fill="auto"/>
            <w:noWrap/>
            <w:vAlign w:val="center"/>
            <w:hideMark/>
          </w:tcPr>
          <w:p w14:paraId="38172291" w14:textId="77777777" w:rsidR="00224102" w:rsidRDefault="00224102" w:rsidP="00F77D55">
            <w:pPr>
              <w:rPr>
                <w:rFonts w:ascii="Arial" w:hAnsi="Arial" w:cs="Arial"/>
                <w:color w:val="000000"/>
                <w:sz w:val="20"/>
                <w:szCs w:val="20"/>
              </w:rPr>
            </w:pPr>
          </w:p>
        </w:tc>
        <w:tc>
          <w:tcPr>
            <w:tcW w:w="845" w:type="pct"/>
            <w:vAlign w:val="bottom"/>
          </w:tcPr>
          <w:p w14:paraId="6A95E2E6" w14:textId="77777777" w:rsidR="00224102" w:rsidRDefault="00224102" w:rsidP="00F77D55">
            <w:pPr>
              <w:ind w:right="-26"/>
              <w:jc w:val="right"/>
              <w:rPr>
                <w:b/>
                <w:bCs/>
                <w:color w:val="000000"/>
                <w:sz w:val="18"/>
                <w:szCs w:val="18"/>
              </w:rPr>
            </w:pPr>
            <w:r>
              <w:rPr>
                <w:b/>
                <w:bCs/>
                <w:color w:val="000000"/>
                <w:sz w:val="18"/>
                <w:szCs w:val="18"/>
              </w:rPr>
              <w:t>Current Period (*)</w:t>
            </w:r>
          </w:p>
        </w:tc>
        <w:tc>
          <w:tcPr>
            <w:tcW w:w="771" w:type="pct"/>
            <w:shd w:val="clear" w:color="auto" w:fill="auto"/>
            <w:noWrap/>
            <w:vAlign w:val="bottom"/>
            <w:hideMark/>
          </w:tcPr>
          <w:p w14:paraId="132E83AC" w14:textId="77777777" w:rsidR="00224102" w:rsidRDefault="00224102" w:rsidP="00F77D55">
            <w:pPr>
              <w:ind w:right="-26"/>
              <w:jc w:val="right"/>
              <w:rPr>
                <w:b/>
                <w:bCs/>
                <w:color w:val="000000"/>
                <w:sz w:val="18"/>
                <w:szCs w:val="18"/>
              </w:rPr>
            </w:pPr>
            <w:r>
              <w:rPr>
                <w:b/>
                <w:bCs/>
                <w:color w:val="000000"/>
                <w:sz w:val="18"/>
                <w:szCs w:val="18"/>
              </w:rPr>
              <w:t>Prior Period (*)</w:t>
            </w:r>
          </w:p>
        </w:tc>
      </w:tr>
      <w:tr w:rsidR="00224102" w14:paraId="53A6176E" w14:textId="77777777" w:rsidTr="00F77D55">
        <w:trPr>
          <w:trHeight w:val="480"/>
        </w:trPr>
        <w:tc>
          <w:tcPr>
            <w:tcW w:w="146" w:type="pct"/>
            <w:shd w:val="clear" w:color="auto" w:fill="auto"/>
            <w:noWrap/>
            <w:vAlign w:val="center"/>
            <w:hideMark/>
          </w:tcPr>
          <w:p w14:paraId="550974C0" w14:textId="77777777" w:rsidR="00224102" w:rsidRDefault="00224102" w:rsidP="00224102">
            <w:pPr>
              <w:jc w:val="right"/>
              <w:rPr>
                <w:b/>
                <w:bCs/>
                <w:color w:val="000000"/>
                <w:sz w:val="18"/>
                <w:szCs w:val="18"/>
              </w:rPr>
            </w:pPr>
            <w:r>
              <w:rPr>
                <w:b/>
                <w:bCs/>
                <w:color w:val="000000"/>
                <w:sz w:val="18"/>
                <w:szCs w:val="18"/>
              </w:rPr>
              <w:t>1</w:t>
            </w:r>
          </w:p>
        </w:tc>
        <w:tc>
          <w:tcPr>
            <w:tcW w:w="3238" w:type="pct"/>
            <w:shd w:val="clear" w:color="auto" w:fill="auto"/>
            <w:vAlign w:val="bottom"/>
          </w:tcPr>
          <w:p w14:paraId="66D0BE58" w14:textId="77777777" w:rsidR="00224102" w:rsidRDefault="00224102" w:rsidP="00224102">
            <w:pPr>
              <w:rPr>
                <w:color w:val="000000"/>
                <w:sz w:val="18"/>
                <w:szCs w:val="18"/>
              </w:rPr>
            </w:pPr>
            <w:r w:rsidRPr="007F56D4">
              <w:rPr>
                <w:color w:val="000000"/>
                <w:sz w:val="18"/>
                <w:szCs w:val="18"/>
              </w:rPr>
              <w:t>Total assets in consolidated financial statements prepared in accordance with T</w:t>
            </w:r>
            <w:r>
              <w:rPr>
                <w:color w:val="000000"/>
                <w:sz w:val="18"/>
                <w:szCs w:val="18"/>
              </w:rPr>
              <w:t xml:space="preserve">urkish Accounting Standards </w:t>
            </w:r>
            <w:r w:rsidRPr="007F56D4">
              <w:rPr>
                <w:color w:val="000000"/>
                <w:sz w:val="18"/>
                <w:szCs w:val="18"/>
              </w:rPr>
              <w:t>(**)</w:t>
            </w:r>
          </w:p>
        </w:tc>
        <w:tc>
          <w:tcPr>
            <w:tcW w:w="845" w:type="pct"/>
            <w:vAlign w:val="bottom"/>
          </w:tcPr>
          <w:p w14:paraId="71231294" w14:textId="64F845C0" w:rsidR="00224102" w:rsidRDefault="00224102" w:rsidP="00224102">
            <w:pPr>
              <w:ind w:right="-26"/>
              <w:jc w:val="right"/>
              <w:rPr>
                <w:color w:val="000000"/>
                <w:sz w:val="18"/>
                <w:szCs w:val="18"/>
              </w:rPr>
            </w:pPr>
            <w:r>
              <w:rPr>
                <w:color w:val="000000"/>
                <w:sz w:val="18"/>
                <w:szCs w:val="18"/>
              </w:rPr>
              <w:t>14,292,716</w:t>
            </w:r>
          </w:p>
        </w:tc>
        <w:tc>
          <w:tcPr>
            <w:tcW w:w="771" w:type="pct"/>
            <w:shd w:val="clear" w:color="auto" w:fill="auto"/>
            <w:noWrap/>
            <w:vAlign w:val="bottom"/>
            <w:hideMark/>
          </w:tcPr>
          <w:p w14:paraId="698CA515" w14:textId="3673033B" w:rsidR="00224102" w:rsidRDefault="00224102" w:rsidP="00224102">
            <w:pPr>
              <w:ind w:right="-26"/>
              <w:jc w:val="right"/>
              <w:rPr>
                <w:color w:val="000000"/>
                <w:sz w:val="18"/>
                <w:szCs w:val="18"/>
              </w:rPr>
            </w:pPr>
            <w:r>
              <w:rPr>
                <w:color w:val="000000"/>
                <w:sz w:val="18"/>
                <w:szCs w:val="18"/>
              </w:rPr>
              <w:t>11,385,769</w:t>
            </w:r>
          </w:p>
        </w:tc>
      </w:tr>
      <w:tr w:rsidR="00224102" w14:paraId="23DB9B73" w14:textId="77777777" w:rsidTr="00F77D55">
        <w:trPr>
          <w:trHeight w:val="960"/>
        </w:trPr>
        <w:tc>
          <w:tcPr>
            <w:tcW w:w="146" w:type="pct"/>
            <w:shd w:val="clear" w:color="auto" w:fill="auto"/>
            <w:noWrap/>
            <w:vAlign w:val="center"/>
            <w:hideMark/>
          </w:tcPr>
          <w:p w14:paraId="25DDBA05" w14:textId="77777777" w:rsidR="00224102" w:rsidRDefault="00224102" w:rsidP="00224102">
            <w:pPr>
              <w:jc w:val="right"/>
              <w:rPr>
                <w:b/>
                <w:bCs/>
                <w:color w:val="000000"/>
                <w:sz w:val="18"/>
                <w:szCs w:val="18"/>
              </w:rPr>
            </w:pPr>
            <w:r>
              <w:rPr>
                <w:b/>
                <w:bCs/>
                <w:color w:val="000000"/>
                <w:sz w:val="18"/>
                <w:szCs w:val="18"/>
              </w:rPr>
              <w:t>2</w:t>
            </w:r>
          </w:p>
        </w:tc>
        <w:tc>
          <w:tcPr>
            <w:tcW w:w="3238" w:type="pct"/>
            <w:shd w:val="clear" w:color="auto" w:fill="auto"/>
            <w:vAlign w:val="bottom"/>
          </w:tcPr>
          <w:p w14:paraId="46360A3D" w14:textId="77777777" w:rsidR="00224102" w:rsidRDefault="00224102" w:rsidP="00224102">
            <w:pPr>
              <w:rPr>
                <w:color w:val="000000"/>
                <w:sz w:val="18"/>
                <w:szCs w:val="18"/>
              </w:rPr>
            </w:pPr>
            <w:r w:rsidRPr="007F56D4">
              <w:rPr>
                <w:color w:val="000000"/>
                <w:sz w:val="18"/>
                <w:szCs w:val="18"/>
              </w:rPr>
              <w:t>The difference between total assets prepared in accordance with Turkish Accounting Standards (*) and total assets in consolidated financial statements prepared in accordance with the communiqué “Preparation of Consolidated Financial Statements”</w:t>
            </w:r>
          </w:p>
        </w:tc>
        <w:tc>
          <w:tcPr>
            <w:tcW w:w="845" w:type="pct"/>
            <w:vAlign w:val="bottom"/>
          </w:tcPr>
          <w:p w14:paraId="22339762" w14:textId="10B7779F" w:rsidR="00224102" w:rsidRDefault="00224102" w:rsidP="00224102">
            <w:pPr>
              <w:ind w:right="-26"/>
              <w:jc w:val="right"/>
              <w:rPr>
                <w:color w:val="000000"/>
                <w:sz w:val="18"/>
                <w:szCs w:val="18"/>
              </w:rPr>
            </w:pPr>
            <w:r>
              <w:rPr>
                <w:color w:val="000000"/>
                <w:sz w:val="18"/>
                <w:szCs w:val="18"/>
              </w:rPr>
              <w:t>-</w:t>
            </w:r>
          </w:p>
        </w:tc>
        <w:tc>
          <w:tcPr>
            <w:tcW w:w="771" w:type="pct"/>
            <w:shd w:val="clear" w:color="auto" w:fill="auto"/>
            <w:noWrap/>
            <w:vAlign w:val="bottom"/>
            <w:hideMark/>
          </w:tcPr>
          <w:p w14:paraId="3043608C" w14:textId="41B953E6" w:rsidR="00224102" w:rsidRDefault="00224102" w:rsidP="00224102">
            <w:pPr>
              <w:ind w:right="-26"/>
              <w:jc w:val="right"/>
              <w:rPr>
                <w:color w:val="000000"/>
                <w:sz w:val="18"/>
                <w:szCs w:val="18"/>
              </w:rPr>
            </w:pPr>
            <w:r>
              <w:rPr>
                <w:color w:val="000000"/>
                <w:sz w:val="18"/>
                <w:szCs w:val="18"/>
              </w:rPr>
              <w:t>-</w:t>
            </w:r>
          </w:p>
        </w:tc>
      </w:tr>
      <w:tr w:rsidR="00224102" w14:paraId="5E819F3F" w14:textId="77777777" w:rsidTr="00F77D55">
        <w:trPr>
          <w:trHeight w:val="720"/>
        </w:trPr>
        <w:tc>
          <w:tcPr>
            <w:tcW w:w="146" w:type="pct"/>
            <w:shd w:val="clear" w:color="auto" w:fill="auto"/>
            <w:noWrap/>
            <w:vAlign w:val="center"/>
            <w:hideMark/>
          </w:tcPr>
          <w:p w14:paraId="3AE75448" w14:textId="77777777" w:rsidR="00224102" w:rsidRDefault="00224102" w:rsidP="00224102">
            <w:pPr>
              <w:jc w:val="right"/>
              <w:rPr>
                <w:b/>
                <w:bCs/>
                <w:color w:val="000000"/>
                <w:sz w:val="18"/>
                <w:szCs w:val="18"/>
              </w:rPr>
            </w:pPr>
            <w:r>
              <w:rPr>
                <w:b/>
                <w:bCs/>
                <w:color w:val="000000"/>
                <w:sz w:val="18"/>
                <w:szCs w:val="18"/>
              </w:rPr>
              <w:t>3</w:t>
            </w:r>
          </w:p>
        </w:tc>
        <w:tc>
          <w:tcPr>
            <w:tcW w:w="3238" w:type="pct"/>
            <w:shd w:val="clear" w:color="auto" w:fill="auto"/>
            <w:vAlign w:val="bottom"/>
          </w:tcPr>
          <w:p w14:paraId="57992F43" w14:textId="77777777" w:rsidR="00224102" w:rsidRDefault="00224102" w:rsidP="00224102">
            <w:pPr>
              <w:rPr>
                <w:color w:val="000000"/>
                <w:sz w:val="18"/>
                <w:szCs w:val="18"/>
              </w:rPr>
            </w:pPr>
            <w:r w:rsidRPr="007F56D4">
              <w:rPr>
                <w:color w:val="000000"/>
                <w:sz w:val="18"/>
                <w:szCs w:val="18"/>
              </w:rPr>
              <w:t>The difference between the amounts of derivative financial instruments and credit derivatives in consolidated financial statements prepared in accordance with the communiqué “Preparation of Consolidated Financial Statements” and risk amounts of such instruments</w:t>
            </w:r>
          </w:p>
        </w:tc>
        <w:tc>
          <w:tcPr>
            <w:tcW w:w="845" w:type="pct"/>
            <w:vAlign w:val="bottom"/>
          </w:tcPr>
          <w:p w14:paraId="2AB706C4" w14:textId="59DF5A96" w:rsidR="00224102" w:rsidRDefault="00224102" w:rsidP="00224102">
            <w:pPr>
              <w:ind w:right="-26"/>
              <w:jc w:val="right"/>
              <w:rPr>
                <w:color w:val="000000"/>
                <w:sz w:val="18"/>
                <w:szCs w:val="18"/>
              </w:rPr>
            </w:pPr>
            <w:r>
              <w:rPr>
                <w:color w:val="000000"/>
                <w:sz w:val="18"/>
                <w:szCs w:val="18"/>
              </w:rPr>
              <w:t>14,735</w:t>
            </w:r>
          </w:p>
        </w:tc>
        <w:tc>
          <w:tcPr>
            <w:tcW w:w="771" w:type="pct"/>
            <w:shd w:val="clear" w:color="auto" w:fill="auto"/>
            <w:noWrap/>
            <w:vAlign w:val="bottom"/>
            <w:hideMark/>
          </w:tcPr>
          <w:p w14:paraId="4A8B567C" w14:textId="55D70744" w:rsidR="00224102" w:rsidRDefault="00224102" w:rsidP="00224102">
            <w:pPr>
              <w:ind w:right="-26"/>
              <w:jc w:val="right"/>
              <w:rPr>
                <w:color w:val="000000"/>
                <w:sz w:val="18"/>
                <w:szCs w:val="18"/>
              </w:rPr>
            </w:pPr>
            <w:r>
              <w:rPr>
                <w:color w:val="000000"/>
                <w:sz w:val="18"/>
                <w:szCs w:val="18"/>
              </w:rPr>
              <w:t>7,959</w:t>
            </w:r>
          </w:p>
        </w:tc>
      </w:tr>
      <w:tr w:rsidR="00224102" w14:paraId="42F6262F" w14:textId="77777777" w:rsidTr="00F77D55">
        <w:trPr>
          <w:trHeight w:val="720"/>
        </w:trPr>
        <w:tc>
          <w:tcPr>
            <w:tcW w:w="146" w:type="pct"/>
            <w:shd w:val="clear" w:color="auto" w:fill="auto"/>
            <w:noWrap/>
            <w:vAlign w:val="center"/>
            <w:hideMark/>
          </w:tcPr>
          <w:p w14:paraId="2DC729AD" w14:textId="77777777" w:rsidR="00224102" w:rsidRDefault="00224102" w:rsidP="00224102">
            <w:pPr>
              <w:jc w:val="right"/>
              <w:rPr>
                <w:b/>
                <w:bCs/>
                <w:color w:val="000000"/>
                <w:sz w:val="18"/>
                <w:szCs w:val="18"/>
              </w:rPr>
            </w:pPr>
            <w:r>
              <w:rPr>
                <w:b/>
                <w:bCs/>
                <w:color w:val="000000"/>
                <w:sz w:val="18"/>
                <w:szCs w:val="18"/>
              </w:rPr>
              <w:t>4</w:t>
            </w:r>
          </w:p>
        </w:tc>
        <w:tc>
          <w:tcPr>
            <w:tcW w:w="3238" w:type="pct"/>
            <w:shd w:val="clear" w:color="auto" w:fill="auto"/>
            <w:vAlign w:val="bottom"/>
          </w:tcPr>
          <w:p w14:paraId="4C969A01" w14:textId="77777777" w:rsidR="00224102" w:rsidRDefault="00224102" w:rsidP="00224102">
            <w:pPr>
              <w:rPr>
                <w:color w:val="000000"/>
                <w:sz w:val="18"/>
                <w:szCs w:val="18"/>
              </w:rPr>
            </w:pPr>
            <w:r w:rsidRPr="007F56D4">
              <w:rPr>
                <w:color w:val="000000"/>
                <w:sz w:val="18"/>
                <w:szCs w:val="18"/>
              </w:rPr>
              <w:t xml:space="preserve">The difference between the amounts of securities or commodity financing transactions in consolidated financial statements prepared in accordance with the communiqué “Preparation of Consolidated Financial Statements” and risk amounts of such </w:t>
            </w:r>
            <w:proofErr w:type="spellStart"/>
            <w:r w:rsidRPr="007F56D4">
              <w:rPr>
                <w:color w:val="000000"/>
                <w:sz w:val="18"/>
                <w:szCs w:val="18"/>
              </w:rPr>
              <w:t>intruments</w:t>
            </w:r>
            <w:proofErr w:type="spellEnd"/>
          </w:p>
        </w:tc>
        <w:tc>
          <w:tcPr>
            <w:tcW w:w="845" w:type="pct"/>
            <w:vAlign w:val="bottom"/>
          </w:tcPr>
          <w:p w14:paraId="489EEF21" w14:textId="412ED6CD" w:rsidR="00224102" w:rsidRDefault="00224102" w:rsidP="00224102">
            <w:pPr>
              <w:ind w:right="-26"/>
              <w:jc w:val="right"/>
              <w:rPr>
                <w:color w:val="000000"/>
                <w:sz w:val="18"/>
                <w:szCs w:val="18"/>
              </w:rPr>
            </w:pPr>
            <w:r>
              <w:rPr>
                <w:color w:val="000000"/>
                <w:sz w:val="18"/>
                <w:szCs w:val="18"/>
              </w:rPr>
              <w:t>-</w:t>
            </w:r>
          </w:p>
        </w:tc>
        <w:tc>
          <w:tcPr>
            <w:tcW w:w="771" w:type="pct"/>
            <w:shd w:val="clear" w:color="auto" w:fill="auto"/>
            <w:noWrap/>
            <w:vAlign w:val="bottom"/>
            <w:hideMark/>
          </w:tcPr>
          <w:p w14:paraId="1448ABDE" w14:textId="5C48EB26" w:rsidR="00224102" w:rsidRDefault="00224102" w:rsidP="00224102">
            <w:pPr>
              <w:ind w:right="-26"/>
              <w:jc w:val="right"/>
              <w:rPr>
                <w:color w:val="000000"/>
                <w:sz w:val="18"/>
                <w:szCs w:val="18"/>
              </w:rPr>
            </w:pPr>
            <w:r>
              <w:rPr>
                <w:color w:val="000000"/>
                <w:sz w:val="18"/>
                <w:szCs w:val="18"/>
              </w:rPr>
              <w:t>-</w:t>
            </w:r>
          </w:p>
        </w:tc>
      </w:tr>
      <w:tr w:rsidR="00224102" w14:paraId="20C2399C" w14:textId="77777777" w:rsidTr="00F77D55">
        <w:trPr>
          <w:trHeight w:val="720"/>
        </w:trPr>
        <w:tc>
          <w:tcPr>
            <w:tcW w:w="146" w:type="pct"/>
            <w:shd w:val="clear" w:color="auto" w:fill="auto"/>
            <w:noWrap/>
            <w:vAlign w:val="center"/>
            <w:hideMark/>
          </w:tcPr>
          <w:p w14:paraId="7823BE4D" w14:textId="77777777" w:rsidR="00224102" w:rsidRDefault="00224102" w:rsidP="00224102">
            <w:pPr>
              <w:jc w:val="right"/>
              <w:rPr>
                <w:b/>
                <w:bCs/>
                <w:color w:val="000000"/>
                <w:sz w:val="18"/>
                <w:szCs w:val="18"/>
              </w:rPr>
            </w:pPr>
            <w:r>
              <w:rPr>
                <w:b/>
                <w:bCs/>
                <w:color w:val="000000"/>
                <w:sz w:val="18"/>
                <w:szCs w:val="18"/>
              </w:rPr>
              <w:t>5</w:t>
            </w:r>
          </w:p>
        </w:tc>
        <w:tc>
          <w:tcPr>
            <w:tcW w:w="3238" w:type="pct"/>
            <w:shd w:val="clear" w:color="auto" w:fill="auto"/>
            <w:vAlign w:val="bottom"/>
          </w:tcPr>
          <w:p w14:paraId="0E487907" w14:textId="77777777" w:rsidR="00224102" w:rsidRDefault="00224102" w:rsidP="00224102">
            <w:pPr>
              <w:rPr>
                <w:color w:val="000000"/>
                <w:sz w:val="18"/>
                <w:szCs w:val="18"/>
              </w:rPr>
            </w:pPr>
            <w:r w:rsidRPr="007F56D4">
              <w:rPr>
                <w:color w:val="000000"/>
                <w:sz w:val="18"/>
                <w:szCs w:val="18"/>
              </w:rPr>
              <w:t>The difference between the amounts of off-balance items in consolidated financial statements prepared in accordance with the communiqué “Preparation of Consolidated Financial Statements” and risk amounts of such items</w:t>
            </w:r>
          </w:p>
        </w:tc>
        <w:tc>
          <w:tcPr>
            <w:tcW w:w="845" w:type="pct"/>
            <w:vAlign w:val="bottom"/>
          </w:tcPr>
          <w:p w14:paraId="0D57A822" w14:textId="52FE39B2" w:rsidR="00224102" w:rsidRDefault="00224102" w:rsidP="00224102">
            <w:pPr>
              <w:ind w:right="-26"/>
              <w:jc w:val="right"/>
              <w:rPr>
                <w:color w:val="000000"/>
                <w:sz w:val="18"/>
                <w:szCs w:val="18"/>
              </w:rPr>
            </w:pPr>
            <w:r>
              <w:rPr>
                <w:color w:val="000000"/>
                <w:sz w:val="18"/>
                <w:szCs w:val="18"/>
              </w:rPr>
              <w:t>(539,871)</w:t>
            </w:r>
          </w:p>
        </w:tc>
        <w:tc>
          <w:tcPr>
            <w:tcW w:w="771" w:type="pct"/>
            <w:shd w:val="clear" w:color="auto" w:fill="auto"/>
            <w:noWrap/>
            <w:vAlign w:val="bottom"/>
            <w:hideMark/>
          </w:tcPr>
          <w:p w14:paraId="76D9E8BB" w14:textId="399EF80D" w:rsidR="00224102" w:rsidRDefault="00224102" w:rsidP="00224102">
            <w:pPr>
              <w:ind w:right="-26"/>
              <w:jc w:val="right"/>
              <w:rPr>
                <w:color w:val="000000"/>
                <w:sz w:val="18"/>
                <w:szCs w:val="18"/>
              </w:rPr>
            </w:pPr>
            <w:r>
              <w:rPr>
                <w:color w:val="000000"/>
                <w:sz w:val="18"/>
                <w:szCs w:val="18"/>
              </w:rPr>
              <w:t>(489,538)</w:t>
            </w:r>
          </w:p>
        </w:tc>
      </w:tr>
      <w:tr w:rsidR="00224102" w14:paraId="6A9A1A48" w14:textId="77777777" w:rsidTr="00F77D55">
        <w:trPr>
          <w:trHeight w:val="720"/>
        </w:trPr>
        <w:tc>
          <w:tcPr>
            <w:tcW w:w="146" w:type="pct"/>
            <w:shd w:val="clear" w:color="auto" w:fill="auto"/>
            <w:noWrap/>
            <w:vAlign w:val="center"/>
            <w:hideMark/>
          </w:tcPr>
          <w:p w14:paraId="5628C9E5" w14:textId="77777777" w:rsidR="00224102" w:rsidRDefault="00224102" w:rsidP="00224102">
            <w:pPr>
              <w:jc w:val="right"/>
              <w:rPr>
                <w:b/>
                <w:bCs/>
                <w:color w:val="000000"/>
                <w:sz w:val="18"/>
                <w:szCs w:val="18"/>
              </w:rPr>
            </w:pPr>
            <w:r>
              <w:rPr>
                <w:b/>
                <w:bCs/>
                <w:color w:val="000000"/>
                <w:sz w:val="18"/>
                <w:szCs w:val="18"/>
              </w:rPr>
              <w:t>6</w:t>
            </w:r>
          </w:p>
        </w:tc>
        <w:tc>
          <w:tcPr>
            <w:tcW w:w="3238" w:type="pct"/>
            <w:shd w:val="clear" w:color="auto" w:fill="auto"/>
            <w:vAlign w:val="bottom"/>
          </w:tcPr>
          <w:p w14:paraId="75D6472E" w14:textId="77777777" w:rsidR="00224102" w:rsidRDefault="00224102" w:rsidP="00224102">
            <w:pPr>
              <w:rPr>
                <w:color w:val="000000"/>
                <w:sz w:val="18"/>
                <w:szCs w:val="18"/>
              </w:rPr>
            </w:pPr>
            <w:r w:rsidRPr="007F56D4">
              <w:rPr>
                <w:color w:val="000000"/>
                <w:sz w:val="18"/>
                <w:szCs w:val="18"/>
              </w:rPr>
              <w:t>Other differences between the amounts in consolidated financial statements prepared in accordance with the communiqué “Preparation of Consolidated Financial Statements” and risk amounts of such items</w:t>
            </w:r>
          </w:p>
        </w:tc>
        <w:tc>
          <w:tcPr>
            <w:tcW w:w="845" w:type="pct"/>
            <w:vAlign w:val="bottom"/>
          </w:tcPr>
          <w:p w14:paraId="3875AC9E" w14:textId="41D35B18" w:rsidR="00224102" w:rsidRDefault="00224102" w:rsidP="00224102">
            <w:pPr>
              <w:ind w:right="-26"/>
              <w:jc w:val="right"/>
              <w:rPr>
                <w:color w:val="000000"/>
                <w:sz w:val="18"/>
                <w:szCs w:val="18"/>
              </w:rPr>
            </w:pPr>
            <w:r>
              <w:rPr>
                <w:color w:val="000000"/>
                <w:sz w:val="18"/>
                <w:szCs w:val="18"/>
              </w:rPr>
              <w:t>5,163,932</w:t>
            </w:r>
          </w:p>
        </w:tc>
        <w:tc>
          <w:tcPr>
            <w:tcW w:w="771" w:type="pct"/>
            <w:shd w:val="clear" w:color="auto" w:fill="auto"/>
            <w:noWrap/>
            <w:vAlign w:val="bottom"/>
            <w:hideMark/>
          </w:tcPr>
          <w:p w14:paraId="156BFB73" w14:textId="7C37FE80" w:rsidR="00224102" w:rsidRDefault="00224102" w:rsidP="00224102">
            <w:pPr>
              <w:ind w:right="-26"/>
              <w:jc w:val="right"/>
              <w:rPr>
                <w:color w:val="000000"/>
                <w:sz w:val="18"/>
                <w:szCs w:val="18"/>
              </w:rPr>
            </w:pPr>
            <w:r>
              <w:rPr>
                <w:color w:val="000000"/>
                <w:sz w:val="18"/>
                <w:szCs w:val="18"/>
              </w:rPr>
              <w:t>3,808,239</w:t>
            </w:r>
          </w:p>
        </w:tc>
      </w:tr>
      <w:tr w:rsidR="00224102" w14:paraId="5043D923" w14:textId="77777777" w:rsidTr="00F77D55">
        <w:trPr>
          <w:trHeight w:val="300"/>
        </w:trPr>
        <w:tc>
          <w:tcPr>
            <w:tcW w:w="146" w:type="pct"/>
            <w:shd w:val="clear" w:color="auto" w:fill="auto"/>
            <w:noWrap/>
            <w:vAlign w:val="center"/>
            <w:hideMark/>
          </w:tcPr>
          <w:p w14:paraId="34EF1C24" w14:textId="77777777" w:rsidR="00224102" w:rsidRDefault="00224102" w:rsidP="00224102">
            <w:pPr>
              <w:jc w:val="right"/>
              <w:rPr>
                <w:b/>
                <w:bCs/>
                <w:color w:val="000000"/>
                <w:sz w:val="18"/>
                <w:szCs w:val="18"/>
              </w:rPr>
            </w:pPr>
            <w:r>
              <w:rPr>
                <w:b/>
                <w:bCs/>
                <w:color w:val="000000"/>
                <w:sz w:val="18"/>
                <w:szCs w:val="18"/>
              </w:rPr>
              <w:t>7</w:t>
            </w:r>
          </w:p>
        </w:tc>
        <w:tc>
          <w:tcPr>
            <w:tcW w:w="3238" w:type="pct"/>
            <w:shd w:val="clear" w:color="auto" w:fill="auto"/>
            <w:vAlign w:val="bottom"/>
          </w:tcPr>
          <w:p w14:paraId="54175EB4" w14:textId="77777777" w:rsidR="00224102" w:rsidRDefault="00224102" w:rsidP="00224102">
            <w:pPr>
              <w:rPr>
                <w:color w:val="000000"/>
                <w:sz w:val="18"/>
                <w:szCs w:val="18"/>
              </w:rPr>
            </w:pPr>
            <w:r w:rsidRPr="007F56D4">
              <w:rPr>
                <w:color w:val="000000"/>
                <w:sz w:val="18"/>
                <w:szCs w:val="18"/>
              </w:rPr>
              <w:t>Total risk amount</w:t>
            </w:r>
          </w:p>
        </w:tc>
        <w:tc>
          <w:tcPr>
            <w:tcW w:w="845" w:type="pct"/>
            <w:vAlign w:val="bottom"/>
          </w:tcPr>
          <w:p w14:paraId="1F990020" w14:textId="1DEC6658" w:rsidR="00224102" w:rsidRDefault="00224102" w:rsidP="00224102">
            <w:pPr>
              <w:ind w:right="-26"/>
              <w:jc w:val="right"/>
              <w:rPr>
                <w:color w:val="000000"/>
                <w:sz w:val="18"/>
                <w:szCs w:val="18"/>
              </w:rPr>
            </w:pPr>
            <w:r>
              <w:rPr>
                <w:color w:val="000000"/>
                <w:sz w:val="18"/>
                <w:szCs w:val="18"/>
              </w:rPr>
              <w:t>18,931,512</w:t>
            </w:r>
          </w:p>
        </w:tc>
        <w:tc>
          <w:tcPr>
            <w:tcW w:w="771" w:type="pct"/>
            <w:shd w:val="clear" w:color="auto" w:fill="auto"/>
            <w:noWrap/>
            <w:vAlign w:val="bottom"/>
            <w:hideMark/>
          </w:tcPr>
          <w:p w14:paraId="4BA69235" w14:textId="701ADACB" w:rsidR="00224102" w:rsidRDefault="00224102" w:rsidP="00224102">
            <w:pPr>
              <w:ind w:right="-26"/>
              <w:jc w:val="right"/>
              <w:rPr>
                <w:color w:val="000000"/>
                <w:sz w:val="18"/>
                <w:szCs w:val="18"/>
              </w:rPr>
            </w:pPr>
            <w:r>
              <w:rPr>
                <w:color w:val="000000"/>
                <w:sz w:val="18"/>
                <w:szCs w:val="18"/>
              </w:rPr>
              <w:t>14,712,429</w:t>
            </w:r>
          </w:p>
        </w:tc>
      </w:tr>
    </w:tbl>
    <w:p w14:paraId="5ADC1004" w14:textId="249B168B" w:rsidR="00224102" w:rsidRDefault="00224102" w:rsidP="00A37964">
      <w:pPr>
        <w:pStyle w:val="Default"/>
        <w:spacing w:before="60"/>
        <w:ind w:left="112" w:right="-9"/>
        <w:jc w:val="both"/>
        <w:rPr>
          <w:color w:val="auto"/>
          <w:sz w:val="16"/>
          <w:szCs w:val="16"/>
        </w:rPr>
      </w:pPr>
      <w:r w:rsidRPr="00C51D3A">
        <w:rPr>
          <w:color w:val="auto"/>
          <w:sz w:val="16"/>
          <w:szCs w:val="16"/>
        </w:rPr>
        <w:t>(*)</w:t>
      </w:r>
      <w:r w:rsidR="00C60874">
        <w:rPr>
          <w:color w:val="auto"/>
          <w:sz w:val="16"/>
          <w:szCs w:val="16"/>
        </w:rPr>
        <w:t xml:space="preserve"> </w:t>
      </w:r>
      <w:r w:rsidRPr="007F56D4">
        <w:rPr>
          <w:color w:val="auto"/>
          <w:sz w:val="16"/>
          <w:szCs w:val="16"/>
        </w:rPr>
        <w:t>Amounts in the table are three-month average amounts.</w:t>
      </w:r>
    </w:p>
    <w:p w14:paraId="7B47FBB9" w14:textId="1EF47E39" w:rsidR="00224102" w:rsidRPr="00224102" w:rsidRDefault="00224102" w:rsidP="00A37964">
      <w:pPr>
        <w:pStyle w:val="Default"/>
        <w:spacing w:before="60" w:after="60"/>
        <w:ind w:left="112"/>
        <w:rPr>
          <w:b/>
          <w:color w:val="auto"/>
          <w:sz w:val="20"/>
          <w:szCs w:val="20"/>
          <w:lang w:val="en-US" w:eastAsia="en-US"/>
        </w:rPr>
      </w:pPr>
      <w:r w:rsidRPr="00C51D3A">
        <w:rPr>
          <w:color w:val="auto"/>
          <w:sz w:val="16"/>
          <w:szCs w:val="16"/>
        </w:rPr>
        <w:t>(**)</w:t>
      </w:r>
      <w:r w:rsidR="00C60874">
        <w:rPr>
          <w:color w:val="auto"/>
          <w:sz w:val="16"/>
          <w:szCs w:val="16"/>
        </w:rPr>
        <w:t xml:space="preserve"> </w:t>
      </w:r>
      <w:r w:rsidRPr="007F56D4">
        <w:rPr>
          <w:color w:val="auto"/>
          <w:sz w:val="16"/>
          <w:szCs w:val="16"/>
        </w:rPr>
        <w:t>Consolidated financial statements prepared in compliance with the Article 6 of the communiqué 5 “Preparation of Consolid</w:t>
      </w:r>
      <w:r>
        <w:rPr>
          <w:color w:val="auto"/>
          <w:sz w:val="16"/>
          <w:szCs w:val="16"/>
        </w:rPr>
        <w:t xml:space="preserve">ated Financial Statements.” </w:t>
      </w:r>
      <w:r w:rsidRPr="007F56D4">
        <w:rPr>
          <w:color w:val="auto"/>
          <w:sz w:val="16"/>
          <w:szCs w:val="16"/>
        </w:rPr>
        <w:t xml:space="preserve"> Consolidates financial statements prepared in accordance with Turkish Account</w:t>
      </w:r>
      <w:r>
        <w:rPr>
          <w:color w:val="auto"/>
          <w:sz w:val="16"/>
          <w:szCs w:val="16"/>
        </w:rPr>
        <w:t>ing Standards as of 30 June</w:t>
      </w:r>
      <w:r w:rsidRPr="007F56D4">
        <w:rPr>
          <w:color w:val="auto"/>
          <w:sz w:val="16"/>
          <w:szCs w:val="16"/>
        </w:rPr>
        <w:t xml:space="preserve"> 2015 is used.</w:t>
      </w:r>
    </w:p>
    <w:p w14:paraId="3AEB6FEC" w14:textId="77777777" w:rsidR="00224102" w:rsidRDefault="00224102">
      <w:pPr>
        <w:spacing w:after="200" w:line="276" w:lineRule="auto"/>
        <w:rPr>
          <w:b/>
          <w:sz w:val="20"/>
          <w:szCs w:val="20"/>
        </w:rPr>
      </w:pPr>
      <w:r>
        <w:rPr>
          <w:b/>
          <w:sz w:val="20"/>
          <w:szCs w:val="20"/>
        </w:rPr>
        <w:br w:type="page"/>
      </w:r>
    </w:p>
    <w:p w14:paraId="2645208E" w14:textId="5B645B7B" w:rsidR="00FC2264" w:rsidRPr="00120D0B" w:rsidRDefault="00A041CD" w:rsidP="00FC2264">
      <w:pPr>
        <w:autoSpaceDE w:val="0"/>
        <w:autoSpaceDN w:val="0"/>
        <w:adjustRightInd w:val="0"/>
        <w:spacing w:before="120" w:after="120"/>
        <w:jc w:val="both"/>
        <w:rPr>
          <w:b/>
          <w:sz w:val="20"/>
          <w:szCs w:val="20"/>
        </w:rPr>
      </w:pPr>
      <w:r w:rsidRPr="00A041CD">
        <w:rPr>
          <w:b/>
          <w:sz w:val="20"/>
          <w:szCs w:val="20"/>
        </w:rPr>
        <w:lastRenderedPageBreak/>
        <w:t>INFORMATION ON THE FINANCIAL POSITION OF THE GROUP (Continued)</w:t>
      </w:r>
    </w:p>
    <w:p w14:paraId="42C2BB9E" w14:textId="46C2FB19" w:rsidR="00FC2264" w:rsidRPr="00120D0B" w:rsidRDefault="00224102" w:rsidP="008477F3">
      <w:pPr>
        <w:pStyle w:val="ListParagraph"/>
        <w:numPr>
          <w:ilvl w:val="0"/>
          <w:numId w:val="74"/>
        </w:numPr>
        <w:tabs>
          <w:tab w:val="clear" w:pos="1260"/>
          <w:tab w:val="num" w:pos="851"/>
        </w:tabs>
        <w:autoSpaceDE w:val="0"/>
        <w:autoSpaceDN w:val="0"/>
        <w:adjustRightInd w:val="0"/>
        <w:spacing w:before="120" w:after="120"/>
        <w:ind w:hanging="1260"/>
        <w:jc w:val="both"/>
        <w:rPr>
          <w:b/>
          <w:sz w:val="20"/>
          <w:szCs w:val="20"/>
        </w:rPr>
      </w:pPr>
      <w:r w:rsidRPr="00120D0B">
        <w:rPr>
          <w:b/>
          <w:sz w:val="20"/>
          <w:szCs w:val="20"/>
        </w:rPr>
        <w:t>Explanations on Leverage Ratio</w:t>
      </w:r>
      <w:r w:rsidR="00FC2264" w:rsidRPr="00120D0B">
        <w:rPr>
          <w:b/>
          <w:sz w:val="20"/>
          <w:szCs w:val="20"/>
        </w:rPr>
        <w:t xml:space="preserve"> (</w:t>
      </w:r>
      <w:r w:rsidRPr="00120D0B">
        <w:rPr>
          <w:b/>
          <w:sz w:val="20"/>
          <w:szCs w:val="20"/>
        </w:rPr>
        <w:t>Continued)</w:t>
      </w:r>
    </w:p>
    <w:p w14:paraId="6E009C41" w14:textId="77777777" w:rsidR="00224102" w:rsidRPr="00120D0B" w:rsidRDefault="00224102" w:rsidP="00224102">
      <w:pPr>
        <w:autoSpaceDE w:val="0"/>
        <w:autoSpaceDN w:val="0"/>
        <w:adjustRightInd w:val="0"/>
        <w:spacing w:before="120" w:after="120"/>
        <w:jc w:val="both"/>
        <w:rPr>
          <w:b/>
          <w:sz w:val="20"/>
          <w:szCs w:val="20"/>
        </w:rPr>
      </w:pPr>
      <w:r w:rsidRPr="00120D0B">
        <w:rPr>
          <w:b/>
          <w:sz w:val="20"/>
          <w:szCs w:val="20"/>
        </w:rPr>
        <w:t>Explanations about the aspects that cause the difference between the leverage ratios of current and prior years.</w:t>
      </w:r>
    </w:p>
    <w:p w14:paraId="28776685" w14:textId="5DE754B0" w:rsidR="00224102" w:rsidRPr="00120D0B" w:rsidRDefault="00224102" w:rsidP="00224102">
      <w:pPr>
        <w:jc w:val="both"/>
        <w:rPr>
          <w:sz w:val="20"/>
          <w:szCs w:val="20"/>
          <w:lang w:val="en"/>
        </w:rPr>
      </w:pPr>
      <w:r w:rsidRPr="00120D0B">
        <w:rPr>
          <w:rStyle w:val="hps"/>
          <w:sz w:val="20"/>
          <w:szCs w:val="20"/>
          <w:lang w:val="en"/>
        </w:rPr>
        <w:t xml:space="preserve">The </w:t>
      </w:r>
      <w:r w:rsidR="002C3B01" w:rsidRPr="00120D0B">
        <w:rPr>
          <w:rStyle w:val="hps"/>
          <w:sz w:val="20"/>
          <w:szCs w:val="20"/>
          <w:lang w:val="en"/>
        </w:rPr>
        <w:t xml:space="preserve">Parent </w:t>
      </w:r>
      <w:r w:rsidRPr="00120D0B">
        <w:rPr>
          <w:rStyle w:val="hps"/>
          <w:sz w:val="20"/>
          <w:szCs w:val="20"/>
          <w:lang w:val="en"/>
        </w:rPr>
        <w:t>Bank's</w:t>
      </w:r>
      <w:r w:rsidRPr="00120D0B">
        <w:rPr>
          <w:sz w:val="20"/>
          <w:szCs w:val="20"/>
          <w:lang w:val="en"/>
        </w:rPr>
        <w:t xml:space="preserve"> </w:t>
      </w:r>
      <w:r w:rsidRPr="00120D0B">
        <w:rPr>
          <w:rStyle w:val="hps"/>
          <w:sz w:val="20"/>
          <w:szCs w:val="20"/>
          <w:lang w:val="en"/>
        </w:rPr>
        <w:t>leverage ratio</w:t>
      </w:r>
      <w:r w:rsidRPr="00120D0B">
        <w:rPr>
          <w:sz w:val="20"/>
          <w:szCs w:val="20"/>
          <w:lang w:val="en"/>
        </w:rPr>
        <w:t xml:space="preserve"> is 4.90% calculated in compliance</w:t>
      </w:r>
      <w:r w:rsidRPr="00120D0B">
        <w:rPr>
          <w:sz w:val="20"/>
          <w:szCs w:val="20"/>
        </w:rPr>
        <w:t xml:space="preserve"> </w:t>
      </w:r>
      <w:r w:rsidRPr="00120D0B">
        <w:rPr>
          <w:sz w:val="20"/>
          <w:szCs w:val="20"/>
          <w:lang w:val="en"/>
        </w:rPr>
        <w:t xml:space="preserve">with </w:t>
      </w:r>
      <w:r w:rsidRPr="00120D0B">
        <w:rPr>
          <w:rStyle w:val="hps"/>
          <w:sz w:val="20"/>
          <w:szCs w:val="20"/>
          <w:lang w:val="en"/>
        </w:rPr>
        <w:t>"</w:t>
      </w:r>
      <w:r w:rsidRPr="00120D0B">
        <w:rPr>
          <w:sz w:val="20"/>
          <w:szCs w:val="20"/>
          <w:lang w:val="en"/>
        </w:rPr>
        <w:t xml:space="preserve">Regulation on Measurement </w:t>
      </w:r>
      <w:r w:rsidRPr="00120D0B">
        <w:rPr>
          <w:rStyle w:val="hps"/>
          <w:sz w:val="20"/>
          <w:szCs w:val="20"/>
          <w:lang w:val="en"/>
        </w:rPr>
        <w:t>and Evaluation</w:t>
      </w:r>
      <w:r w:rsidRPr="00120D0B">
        <w:rPr>
          <w:sz w:val="20"/>
          <w:szCs w:val="20"/>
          <w:lang w:val="en"/>
        </w:rPr>
        <w:t xml:space="preserve"> </w:t>
      </w:r>
      <w:r w:rsidRPr="00120D0B">
        <w:rPr>
          <w:rStyle w:val="hps"/>
          <w:sz w:val="20"/>
          <w:szCs w:val="20"/>
          <w:lang w:val="en"/>
        </w:rPr>
        <w:t>of</w:t>
      </w:r>
      <w:r w:rsidRPr="00120D0B">
        <w:rPr>
          <w:sz w:val="20"/>
          <w:szCs w:val="20"/>
          <w:lang w:val="en"/>
        </w:rPr>
        <w:t xml:space="preserve"> </w:t>
      </w:r>
      <w:r w:rsidRPr="00120D0B">
        <w:rPr>
          <w:rStyle w:val="hps"/>
          <w:sz w:val="20"/>
          <w:szCs w:val="20"/>
          <w:lang w:val="en"/>
        </w:rPr>
        <w:t>Leverage</w:t>
      </w:r>
      <w:r w:rsidRPr="00120D0B">
        <w:rPr>
          <w:sz w:val="20"/>
          <w:szCs w:val="20"/>
          <w:lang w:val="en"/>
        </w:rPr>
        <w:t xml:space="preserve"> </w:t>
      </w:r>
      <w:r w:rsidRPr="00120D0B">
        <w:rPr>
          <w:rStyle w:val="hps"/>
          <w:sz w:val="20"/>
          <w:szCs w:val="20"/>
          <w:lang w:val="en"/>
        </w:rPr>
        <w:t>Levels of Banks'</w:t>
      </w:r>
      <w:r w:rsidRPr="00120D0B">
        <w:rPr>
          <w:sz w:val="20"/>
          <w:szCs w:val="20"/>
          <w:lang w:val="en"/>
        </w:rPr>
        <w:t xml:space="preserve"> </w:t>
      </w:r>
      <w:r w:rsidRPr="00120D0B">
        <w:rPr>
          <w:rStyle w:val="hps"/>
          <w:sz w:val="20"/>
          <w:szCs w:val="20"/>
          <w:lang w:val="en"/>
        </w:rPr>
        <w:t>which was</w:t>
      </w:r>
      <w:r w:rsidRPr="00120D0B">
        <w:rPr>
          <w:sz w:val="20"/>
          <w:szCs w:val="20"/>
          <w:lang w:val="en"/>
        </w:rPr>
        <w:t xml:space="preserve"> </w:t>
      </w:r>
      <w:r w:rsidRPr="00120D0B">
        <w:rPr>
          <w:rStyle w:val="hps"/>
          <w:sz w:val="20"/>
          <w:szCs w:val="20"/>
          <w:lang w:val="en"/>
        </w:rPr>
        <w:t>not</w:t>
      </w:r>
      <w:r w:rsidRPr="00120D0B">
        <w:rPr>
          <w:sz w:val="20"/>
          <w:szCs w:val="20"/>
          <w:lang w:val="en"/>
        </w:rPr>
        <w:t xml:space="preserve"> </w:t>
      </w:r>
      <w:r w:rsidRPr="00120D0B">
        <w:rPr>
          <w:rStyle w:val="hps"/>
          <w:sz w:val="20"/>
          <w:szCs w:val="20"/>
          <w:lang w:val="en"/>
        </w:rPr>
        <w:t>consolidated</w:t>
      </w:r>
      <w:r w:rsidRPr="00120D0B">
        <w:rPr>
          <w:sz w:val="20"/>
          <w:szCs w:val="20"/>
          <w:lang w:val="en"/>
        </w:rPr>
        <w:t xml:space="preserve">. </w:t>
      </w:r>
      <w:r w:rsidRPr="00120D0B">
        <w:rPr>
          <w:rStyle w:val="hps"/>
          <w:sz w:val="20"/>
          <w:szCs w:val="20"/>
          <w:lang w:val="en"/>
        </w:rPr>
        <w:t>(</w:t>
      </w:r>
      <w:r w:rsidR="00FC691B">
        <w:rPr>
          <w:rStyle w:val="hps"/>
          <w:sz w:val="20"/>
          <w:szCs w:val="20"/>
          <w:lang w:val="en"/>
        </w:rPr>
        <w:t xml:space="preserve">31 December </w:t>
      </w:r>
      <w:r w:rsidRPr="00120D0B">
        <w:rPr>
          <w:sz w:val="20"/>
          <w:szCs w:val="20"/>
          <w:lang w:val="en"/>
        </w:rPr>
        <w:t xml:space="preserve">2014: </w:t>
      </w:r>
      <w:r w:rsidRPr="00120D0B">
        <w:rPr>
          <w:rStyle w:val="hps"/>
          <w:sz w:val="20"/>
          <w:szCs w:val="20"/>
          <w:lang w:val="en"/>
        </w:rPr>
        <w:t>5.87</w:t>
      </w:r>
      <w:r w:rsidRPr="00120D0B">
        <w:rPr>
          <w:sz w:val="20"/>
          <w:szCs w:val="20"/>
          <w:lang w:val="en"/>
        </w:rPr>
        <w:t xml:space="preserve">%). </w:t>
      </w:r>
      <w:r w:rsidRPr="00120D0B">
        <w:rPr>
          <w:rStyle w:val="hps"/>
          <w:sz w:val="20"/>
          <w:szCs w:val="20"/>
          <w:lang w:val="en"/>
        </w:rPr>
        <w:t>Changes in the</w:t>
      </w:r>
      <w:r w:rsidRPr="00120D0B">
        <w:rPr>
          <w:sz w:val="20"/>
          <w:szCs w:val="20"/>
          <w:lang w:val="en"/>
        </w:rPr>
        <w:t xml:space="preserve"> </w:t>
      </w:r>
      <w:r w:rsidRPr="00120D0B">
        <w:rPr>
          <w:rStyle w:val="hps"/>
          <w:sz w:val="20"/>
          <w:szCs w:val="20"/>
          <w:lang w:val="en"/>
        </w:rPr>
        <w:t>leverage ratio</w:t>
      </w:r>
      <w:r w:rsidRPr="00120D0B">
        <w:rPr>
          <w:sz w:val="20"/>
          <w:szCs w:val="20"/>
          <w:lang w:val="en"/>
        </w:rPr>
        <w:t xml:space="preserve"> </w:t>
      </w:r>
      <w:r w:rsidRPr="00120D0B">
        <w:rPr>
          <w:rStyle w:val="hps"/>
          <w:sz w:val="20"/>
          <w:szCs w:val="20"/>
          <w:lang w:val="en"/>
        </w:rPr>
        <w:t>are</w:t>
      </w:r>
      <w:r w:rsidRPr="00120D0B">
        <w:rPr>
          <w:sz w:val="20"/>
          <w:szCs w:val="20"/>
          <w:lang w:val="en"/>
        </w:rPr>
        <w:t xml:space="preserve"> </w:t>
      </w:r>
      <w:r w:rsidRPr="00120D0B">
        <w:rPr>
          <w:rStyle w:val="hps"/>
          <w:sz w:val="20"/>
          <w:szCs w:val="20"/>
          <w:lang w:val="en"/>
        </w:rPr>
        <w:t>mainly</w:t>
      </w:r>
      <w:r w:rsidRPr="00120D0B">
        <w:rPr>
          <w:sz w:val="20"/>
          <w:szCs w:val="20"/>
          <w:lang w:val="en"/>
        </w:rPr>
        <w:t xml:space="preserve"> </w:t>
      </w:r>
      <w:r w:rsidRPr="00120D0B">
        <w:rPr>
          <w:rStyle w:val="hps"/>
          <w:sz w:val="20"/>
          <w:szCs w:val="20"/>
          <w:lang w:val="en"/>
        </w:rPr>
        <w:t>due to the increase</w:t>
      </w:r>
      <w:r w:rsidRPr="00120D0B">
        <w:rPr>
          <w:sz w:val="20"/>
          <w:szCs w:val="20"/>
          <w:lang w:val="en"/>
        </w:rPr>
        <w:t xml:space="preserve"> </w:t>
      </w:r>
      <w:r w:rsidRPr="00120D0B">
        <w:rPr>
          <w:rStyle w:val="hps"/>
          <w:sz w:val="20"/>
          <w:szCs w:val="20"/>
          <w:lang w:val="en"/>
        </w:rPr>
        <w:t>in the</w:t>
      </w:r>
      <w:r w:rsidRPr="00120D0B">
        <w:rPr>
          <w:sz w:val="20"/>
          <w:szCs w:val="20"/>
          <w:lang w:val="en"/>
        </w:rPr>
        <w:t xml:space="preserve"> </w:t>
      </w:r>
      <w:r w:rsidRPr="00120D0B">
        <w:rPr>
          <w:rStyle w:val="hps"/>
          <w:sz w:val="20"/>
          <w:szCs w:val="20"/>
          <w:lang w:val="en"/>
        </w:rPr>
        <w:t>amount</w:t>
      </w:r>
      <w:r w:rsidRPr="00120D0B">
        <w:rPr>
          <w:sz w:val="20"/>
          <w:szCs w:val="20"/>
          <w:lang w:val="en"/>
        </w:rPr>
        <w:t xml:space="preserve"> </w:t>
      </w:r>
      <w:r w:rsidRPr="00120D0B">
        <w:rPr>
          <w:rStyle w:val="hps"/>
          <w:sz w:val="20"/>
          <w:szCs w:val="20"/>
          <w:lang w:val="en"/>
        </w:rPr>
        <w:t>of assets’ risk on</w:t>
      </w:r>
      <w:r w:rsidRPr="00120D0B">
        <w:rPr>
          <w:sz w:val="20"/>
          <w:szCs w:val="20"/>
          <w:lang w:val="en"/>
        </w:rPr>
        <w:t xml:space="preserve">-balance sheet. </w:t>
      </w:r>
      <w:r w:rsidRPr="00120D0B">
        <w:rPr>
          <w:rStyle w:val="hps"/>
          <w:sz w:val="20"/>
          <w:szCs w:val="20"/>
          <w:lang w:val="en"/>
        </w:rPr>
        <w:t>Regulation</w:t>
      </w:r>
      <w:r w:rsidRPr="00120D0B">
        <w:rPr>
          <w:sz w:val="20"/>
          <w:szCs w:val="20"/>
          <w:lang w:val="en"/>
        </w:rPr>
        <w:t xml:space="preserve"> </w:t>
      </w:r>
      <w:r w:rsidRPr="00120D0B">
        <w:rPr>
          <w:rStyle w:val="hps"/>
          <w:sz w:val="20"/>
          <w:szCs w:val="20"/>
          <w:lang w:val="en"/>
        </w:rPr>
        <w:t>has been arrived at a decision of</w:t>
      </w:r>
      <w:r w:rsidRPr="00120D0B">
        <w:rPr>
          <w:sz w:val="20"/>
          <w:szCs w:val="20"/>
          <w:lang w:val="en"/>
        </w:rPr>
        <w:t xml:space="preserve"> </w:t>
      </w:r>
      <w:r w:rsidRPr="00120D0B">
        <w:rPr>
          <w:rStyle w:val="hps"/>
          <w:sz w:val="20"/>
          <w:szCs w:val="20"/>
          <w:lang w:val="en"/>
        </w:rPr>
        <w:t>the</w:t>
      </w:r>
      <w:r w:rsidRPr="00120D0B">
        <w:rPr>
          <w:sz w:val="20"/>
          <w:szCs w:val="20"/>
          <w:lang w:val="en"/>
        </w:rPr>
        <w:t xml:space="preserve"> </w:t>
      </w:r>
      <w:r w:rsidRPr="00120D0B">
        <w:rPr>
          <w:rStyle w:val="hps"/>
          <w:sz w:val="20"/>
          <w:szCs w:val="20"/>
          <w:lang w:val="en"/>
        </w:rPr>
        <w:t>minimum</w:t>
      </w:r>
      <w:r w:rsidRPr="00120D0B">
        <w:rPr>
          <w:sz w:val="20"/>
          <w:szCs w:val="20"/>
          <w:lang w:val="en"/>
        </w:rPr>
        <w:t xml:space="preserve"> </w:t>
      </w:r>
      <w:r w:rsidRPr="00120D0B">
        <w:rPr>
          <w:rStyle w:val="hps"/>
          <w:sz w:val="20"/>
          <w:szCs w:val="20"/>
          <w:lang w:val="en"/>
        </w:rPr>
        <w:t>leverage ratio</w:t>
      </w:r>
      <w:r w:rsidRPr="00120D0B">
        <w:rPr>
          <w:sz w:val="20"/>
          <w:szCs w:val="20"/>
          <w:lang w:val="en"/>
        </w:rPr>
        <w:t xml:space="preserve"> </w:t>
      </w:r>
      <w:r w:rsidRPr="00120D0B">
        <w:rPr>
          <w:rStyle w:val="hps"/>
          <w:sz w:val="20"/>
          <w:szCs w:val="20"/>
          <w:lang w:val="en"/>
        </w:rPr>
        <w:t>of 3%</w:t>
      </w:r>
      <w:r w:rsidRPr="00120D0B">
        <w:rPr>
          <w:sz w:val="20"/>
          <w:szCs w:val="20"/>
          <w:lang w:val="en"/>
        </w:rPr>
        <w:t>.</w:t>
      </w:r>
    </w:p>
    <w:p w14:paraId="255231E7" w14:textId="41D8384B" w:rsidR="00224102" w:rsidRPr="00120D0B" w:rsidRDefault="00224102" w:rsidP="00224102">
      <w:pPr>
        <w:pStyle w:val="Default"/>
        <w:spacing w:before="120" w:after="120"/>
        <w:rPr>
          <w:b/>
          <w:color w:val="auto"/>
          <w:sz w:val="20"/>
          <w:szCs w:val="20"/>
          <w:lang w:val="en-US" w:eastAsia="en-US"/>
        </w:rPr>
      </w:pPr>
      <w:r w:rsidRPr="00120D0B">
        <w:rPr>
          <w:b/>
          <w:color w:val="auto"/>
          <w:sz w:val="20"/>
          <w:szCs w:val="20"/>
          <w:lang w:val="en-US" w:eastAsia="en-US"/>
        </w:rPr>
        <w:t>Comparison Summary Table of Total Risk and Total Assets Amounts in the Consolidated Financial Statements prepared in accordance with Turkish Accounting Standards (Continued)</w:t>
      </w:r>
    </w:p>
    <w:tbl>
      <w:tblPr>
        <w:tblW w:w="5113" w:type="pct"/>
        <w:tblInd w:w="4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98"/>
        <w:gridCol w:w="6192"/>
        <w:gridCol w:w="1624"/>
        <w:gridCol w:w="1488"/>
      </w:tblGrid>
      <w:tr w:rsidR="00224102" w14:paraId="06B111BD" w14:textId="77777777" w:rsidTr="003B70FA">
        <w:trPr>
          <w:trHeight w:val="20"/>
        </w:trPr>
        <w:tc>
          <w:tcPr>
            <w:tcW w:w="205" w:type="pct"/>
            <w:shd w:val="clear" w:color="auto" w:fill="auto"/>
            <w:noWrap/>
            <w:vAlign w:val="center"/>
            <w:hideMark/>
          </w:tcPr>
          <w:p w14:paraId="0E6F00DD" w14:textId="77777777" w:rsidR="00224102" w:rsidRDefault="00224102" w:rsidP="00F77D55">
            <w:pPr>
              <w:rPr>
                <w:b/>
                <w:bCs/>
                <w:color w:val="000000"/>
                <w:sz w:val="18"/>
                <w:szCs w:val="18"/>
              </w:rPr>
            </w:pPr>
          </w:p>
        </w:tc>
        <w:tc>
          <w:tcPr>
            <w:tcW w:w="3191" w:type="pct"/>
            <w:shd w:val="clear" w:color="auto" w:fill="auto"/>
            <w:noWrap/>
            <w:vAlign w:val="center"/>
            <w:hideMark/>
          </w:tcPr>
          <w:p w14:paraId="5380E577" w14:textId="77777777" w:rsidR="00224102" w:rsidRDefault="00224102" w:rsidP="00F77D55">
            <w:pPr>
              <w:jc w:val="center"/>
              <w:rPr>
                <w:b/>
                <w:bCs/>
                <w:color w:val="000000"/>
                <w:sz w:val="18"/>
                <w:szCs w:val="18"/>
              </w:rPr>
            </w:pPr>
          </w:p>
        </w:tc>
        <w:tc>
          <w:tcPr>
            <w:tcW w:w="837" w:type="pct"/>
            <w:vAlign w:val="center"/>
          </w:tcPr>
          <w:p w14:paraId="12EFF581" w14:textId="40FCFEEB" w:rsidR="00224102" w:rsidRDefault="00224102" w:rsidP="00F77D55">
            <w:pPr>
              <w:jc w:val="center"/>
              <w:rPr>
                <w:b/>
                <w:bCs/>
                <w:color w:val="000000"/>
                <w:sz w:val="18"/>
                <w:szCs w:val="18"/>
              </w:rPr>
            </w:pPr>
            <w:r>
              <w:rPr>
                <w:b/>
                <w:bCs/>
                <w:color w:val="000000"/>
                <w:sz w:val="18"/>
                <w:szCs w:val="18"/>
              </w:rPr>
              <w:t>Current Period (*)</w:t>
            </w:r>
          </w:p>
        </w:tc>
        <w:tc>
          <w:tcPr>
            <w:tcW w:w="767" w:type="pct"/>
            <w:shd w:val="clear" w:color="auto" w:fill="auto"/>
            <w:vAlign w:val="center"/>
            <w:hideMark/>
          </w:tcPr>
          <w:p w14:paraId="1AA9FF3A" w14:textId="281252C8" w:rsidR="00224102" w:rsidRDefault="00224102" w:rsidP="00F77D55">
            <w:pPr>
              <w:jc w:val="center"/>
              <w:rPr>
                <w:b/>
                <w:bCs/>
                <w:color w:val="000000"/>
                <w:sz w:val="18"/>
                <w:szCs w:val="18"/>
              </w:rPr>
            </w:pPr>
            <w:r>
              <w:rPr>
                <w:b/>
                <w:bCs/>
                <w:color w:val="000000"/>
                <w:sz w:val="18"/>
                <w:szCs w:val="18"/>
              </w:rPr>
              <w:t>Prior Period (*)</w:t>
            </w:r>
          </w:p>
        </w:tc>
      </w:tr>
      <w:tr w:rsidR="00224102" w14:paraId="34464CE4" w14:textId="77777777" w:rsidTr="003B70FA">
        <w:trPr>
          <w:trHeight w:val="20"/>
        </w:trPr>
        <w:tc>
          <w:tcPr>
            <w:tcW w:w="205" w:type="pct"/>
            <w:shd w:val="clear" w:color="auto" w:fill="auto"/>
            <w:noWrap/>
            <w:vAlign w:val="center"/>
            <w:hideMark/>
          </w:tcPr>
          <w:p w14:paraId="520245F1" w14:textId="77777777" w:rsidR="00224102" w:rsidRDefault="00224102" w:rsidP="00F77D55">
            <w:pPr>
              <w:jc w:val="center"/>
              <w:rPr>
                <w:b/>
                <w:bCs/>
                <w:color w:val="000000"/>
                <w:sz w:val="18"/>
                <w:szCs w:val="18"/>
              </w:rPr>
            </w:pPr>
          </w:p>
        </w:tc>
        <w:tc>
          <w:tcPr>
            <w:tcW w:w="3191" w:type="pct"/>
            <w:shd w:val="clear" w:color="auto" w:fill="auto"/>
            <w:noWrap/>
            <w:vAlign w:val="center"/>
            <w:hideMark/>
          </w:tcPr>
          <w:p w14:paraId="3C4216ED" w14:textId="77777777" w:rsidR="00224102" w:rsidRDefault="00224102" w:rsidP="00F77D55">
            <w:pPr>
              <w:jc w:val="center"/>
              <w:rPr>
                <w:b/>
                <w:bCs/>
                <w:color w:val="000000"/>
                <w:sz w:val="18"/>
                <w:szCs w:val="18"/>
              </w:rPr>
            </w:pPr>
            <w:r>
              <w:rPr>
                <w:b/>
                <w:bCs/>
                <w:color w:val="000000"/>
                <w:sz w:val="18"/>
                <w:szCs w:val="18"/>
              </w:rPr>
              <w:t>Assets in Balance Sheet</w:t>
            </w:r>
          </w:p>
        </w:tc>
        <w:tc>
          <w:tcPr>
            <w:tcW w:w="837" w:type="pct"/>
            <w:vAlign w:val="bottom"/>
          </w:tcPr>
          <w:p w14:paraId="4E765CE9" w14:textId="77777777" w:rsidR="00224102" w:rsidRDefault="00224102" w:rsidP="00F77D55">
            <w:pPr>
              <w:jc w:val="right"/>
              <w:rPr>
                <w:b/>
                <w:bCs/>
                <w:color w:val="000000"/>
                <w:sz w:val="18"/>
                <w:szCs w:val="18"/>
              </w:rPr>
            </w:pPr>
            <w:r>
              <w:rPr>
                <w:b/>
                <w:bCs/>
                <w:color w:val="000000"/>
                <w:sz w:val="18"/>
                <w:szCs w:val="18"/>
              </w:rPr>
              <w:t> </w:t>
            </w:r>
          </w:p>
        </w:tc>
        <w:tc>
          <w:tcPr>
            <w:tcW w:w="767" w:type="pct"/>
            <w:shd w:val="clear" w:color="auto" w:fill="auto"/>
            <w:vAlign w:val="bottom"/>
            <w:hideMark/>
          </w:tcPr>
          <w:p w14:paraId="2DD7362E" w14:textId="77777777" w:rsidR="00224102" w:rsidRDefault="00224102" w:rsidP="00F77D55">
            <w:pPr>
              <w:jc w:val="right"/>
              <w:rPr>
                <w:b/>
                <w:bCs/>
                <w:color w:val="000000"/>
                <w:sz w:val="18"/>
                <w:szCs w:val="18"/>
              </w:rPr>
            </w:pPr>
          </w:p>
        </w:tc>
      </w:tr>
      <w:tr w:rsidR="00224102" w14:paraId="07D09019" w14:textId="77777777" w:rsidTr="003B70FA">
        <w:trPr>
          <w:trHeight w:val="20"/>
        </w:trPr>
        <w:tc>
          <w:tcPr>
            <w:tcW w:w="205" w:type="pct"/>
            <w:shd w:val="clear" w:color="auto" w:fill="auto"/>
            <w:noWrap/>
            <w:vAlign w:val="center"/>
            <w:hideMark/>
          </w:tcPr>
          <w:p w14:paraId="080099ED" w14:textId="77777777" w:rsidR="00224102" w:rsidRDefault="00224102" w:rsidP="00224102">
            <w:pPr>
              <w:jc w:val="center"/>
              <w:rPr>
                <w:b/>
                <w:bCs/>
                <w:color w:val="000000"/>
                <w:sz w:val="18"/>
                <w:szCs w:val="18"/>
              </w:rPr>
            </w:pPr>
            <w:r>
              <w:rPr>
                <w:b/>
                <w:bCs/>
                <w:color w:val="000000"/>
                <w:sz w:val="18"/>
                <w:szCs w:val="18"/>
              </w:rPr>
              <w:t>1</w:t>
            </w:r>
          </w:p>
        </w:tc>
        <w:tc>
          <w:tcPr>
            <w:tcW w:w="3191" w:type="pct"/>
            <w:shd w:val="clear" w:color="auto" w:fill="auto"/>
            <w:noWrap/>
            <w:vAlign w:val="center"/>
            <w:hideMark/>
          </w:tcPr>
          <w:p w14:paraId="1A1DDD6F" w14:textId="77777777" w:rsidR="00224102" w:rsidRDefault="00224102" w:rsidP="00224102">
            <w:pPr>
              <w:rPr>
                <w:color w:val="000000"/>
                <w:sz w:val="18"/>
                <w:szCs w:val="18"/>
              </w:rPr>
            </w:pPr>
            <w:r w:rsidRPr="006C2CC2">
              <w:rPr>
                <w:color w:val="000000"/>
                <w:sz w:val="18"/>
                <w:szCs w:val="18"/>
              </w:rPr>
              <w:t>On-balance sheet items (excluding derivative financial instruments and credit derivatives but including collateral)</w:t>
            </w:r>
          </w:p>
        </w:tc>
        <w:tc>
          <w:tcPr>
            <w:tcW w:w="837" w:type="pct"/>
            <w:vAlign w:val="bottom"/>
          </w:tcPr>
          <w:p w14:paraId="06C4B7FB" w14:textId="6262C3E3" w:rsidR="00224102" w:rsidRDefault="00224102" w:rsidP="00224102">
            <w:pPr>
              <w:jc w:val="right"/>
              <w:rPr>
                <w:color w:val="000000"/>
                <w:sz w:val="18"/>
                <w:szCs w:val="18"/>
              </w:rPr>
            </w:pPr>
            <w:r>
              <w:rPr>
                <w:color w:val="000000"/>
                <w:sz w:val="18"/>
                <w:szCs w:val="18"/>
              </w:rPr>
              <w:t>14,292,716</w:t>
            </w:r>
          </w:p>
        </w:tc>
        <w:tc>
          <w:tcPr>
            <w:tcW w:w="767" w:type="pct"/>
            <w:shd w:val="clear" w:color="auto" w:fill="auto"/>
            <w:vAlign w:val="bottom"/>
          </w:tcPr>
          <w:p w14:paraId="43D2C4B1" w14:textId="1B6F0B24" w:rsidR="00224102" w:rsidRDefault="00224102" w:rsidP="00224102">
            <w:pPr>
              <w:jc w:val="right"/>
              <w:rPr>
                <w:color w:val="000000"/>
                <w:sz w:val="18"/>
                <w:szCs w:val="18"/>
              </w:rPr>
            </w:pPr>
            <w:r>
              <w:rPr>
                <w:color w:val="000000"/>
                <w:sz w:val="18"/>
                <w:szCs w:val="18"/>
              </w:rPr>
              <w:t>11,385,768</w:t>
            </w:r>
          </w:p>
        </w:tc>
      </w:tr>
      <w:tr w:rsidR="00224102" w14:paraId="552B2D20" w14:textId="77777777" w:rsidTr="003B70FA">
        <w:trPr>
          <w:trHeight w:val="20"/>
        </w:trPr>
        <w:tc>
          <w:tcPr>
            <w:tcW w:w="205" w:type="pct"/>
            <w:shd w:val="clear" w:color="auto" w:fill="auto"/>
            <w:noWrap/>
            <w:vAlign w:val="center"/>
            <w:hideMark/>
          </w:tcPr>
          <w:p w14:paraId="6734C1BB" w14:textId="77777777" w:rsidR="00224102" w:rsidRDefault="00224102" w:rsidP="00224102">
            <w:pPr>
              <w:jc w:val="center"/>
              <w:rPr>
                <w:b/>
                <w:bCs/>
                <w:color w:val="000000"/>
                <w:sz w:val="18"/>
                <w:szCs w:val="18"/>
              </w:rPr>
            </w:pPr>
            <w:r>
              <w:rPr>
                <w:b/>
                <w:bCs/>
                <w:color w:val="000000"/>
                <w:sz w:val="18"/>
                <w:szCs w:val="18"/>
              </w:rPr>
              <w:t>2</w:t>
            </w:r>
          </w:p>
        </w:tc>
        <w:tc>
          <w:tcPr>
            <w:tcW w:w="3191" w:type="pct"/>
            <w:shd w:val="clear" w:color="auto" w:fill="auto"/>
            <w:noWrap/>
            <w:vAlign w:val="center"/>
            <w:hideMark/>
          </w:tcPr>
          <w:p w14:paraId="6DF91B0B" w14:textId="5B3415C0" w:rsidR="00224102" w:rsidRDefault="00224102" w:rsidP="00224102">
            <w:pPr>
              <w:rPr>
                <w:color w:val="000000"/>
                <w:sz w:val="18"/>
                <w:szCs w:val="18"/>
              </w:rPr>
            </w:pPr>
            <w:r w:rsidRPr="006C2CC2">
              <w:rPr>
                <w:color w:val="000000"/>
                <w:sz w:val="18"/>
                <w:szCs w:val="18"/>
              </w:rPr>
              <w:t>Assets deducted in determining Tier 1 capital</w:t>
            </w:r>
          </w:p>
        </w:tc>
        <w:tc>
          <w:tcPr>
            <w:tcW w:w="837" w:type="pct"/>
            <w:vAlign w:val="bottom"/>
          </w:tcPr>
          <w:p w14:paraId="088F555C" w14:textId="5DEC24B8" w:rsidR="00224102" w:rsidRDefault="00224102" w:rsidP="00224102">
            <w:pPr>
              <w:jc w:val="right"/>
              <w:rPr>
                <w:color w:val="000000"/>
                <w:sz w:val="18"/>
                <w:szCs w:val="18"/>
              </w:rPr>
            </w:pPr>
            <w:r>
              <w:rPr>
                <w:color w:val="000000"/>
                <w:sz w:val="18"/>
                <w:szCs w:val="18"/>
              </w:rPr>
              <w:t>(96,271)</w:t>
            </w:r>
          </w:p>
        </w:tc>
        <w:tc>
          <w:tcPr>
            <w:tcW w:w="767" w:type="pct"/>
            <w:shd w:val="clear" w:color="auto" w:fill="auto"/>
            <w:vAlign w:val="bottom"/>
          </w:tcPr>
          <w:p w14:paraId="7DCA4E4F" w14:textId="6E1BFA3B" w:rsidR="00224102" w:rsidRDefault="00224102" w:rsidP="00224102">
            <w:pPr>
              <w:jc w:val="right"/>
              <w:rPr>
                <w:color w:val="000000"/>
                <w:sz w:val="18"/>
                <w:szCs w:val="18"/>
              </w:rPr>
            </w:pPr>
            <w:r>
              <w:rPr>
                <w:color w:val="000000"/>
                <w:sz w:val="18"/>
                <w:szCs w:val="18"/>
              </w:rPr>
              <w:t>(86,286)</w:t>
            </w:r>
          </w:p>
        </w:tc>
      </w:tr>
      <w:tr w:rsidR="00224102" w14:paraId="5A51763F" w14:textId="77777777" w:rsidTr="003B70FA">
        <w:trPr>
          <w:trHeight w:val="20"/>
        </w:trPr>
        <w:tc>
          <w:tcPr>
            <w:tcW w:w="205" w:type="pct"/>
            <w:shd w:val="clear" w:color="auto" w:fill="auto"/>
            <w:noWrap/>
            <w:vAlign w:val="center"/>
            <w:hideMark/>
          </w:tcPr>
          <w:p w14:paraId="746F0B59" w14:textId="77777777" w:rsidR="00224102" w:rsidRDefault="00224102" w:rsidP="00224102">
            <w:pPr>
              <w:jc w:val="center"/>
              <w:rPr>
                <w:b/>
                <w:bCs/>
                <w:color w:val="000000"/>
                <w:sz w:val="18"/>
                <w:szCs w:val="18"/>
              </w:rPr>
            </w:pPr>
            <w:r>
              <w:rPr>
                <w:b/>
                <w:bCs/>
                <w:color w:val="000000"/>
                <w:sz w:val="18"/>
                <w:szCs w:val="18"/>
              </w:rPr>
              <w:t>3</w:t>
            </w:r>
          </w:p>
        </w:tc>
        <w:tc>
          <w:tcPr>
            <w:tcW w:w="3191" w:type="pct"/>
            <w:shd w:val="clear" w:color="auto" w:fill="auto"/>
            <w:noWrap/>
            <w:vAlign w:val="center"/>
            <w:hideMark/>
          </w:tcPr>
          <w:p w14:paraId="631356A8" w14:textId="77777777" w:rsidR="00224102" w:rsidRDefault="00224102" w:rsidP="00224102">
            <w:pPr>
              <w:rPr>
                <w:color w:val="000000"/>
                <w:sz w:val="18"/>
                <w:szCs w:val="18"/>
              </w:rPr>
            </w:pPr>
            <w:r w:rsidRPr="006C2CC2">
              <w:rPr>
                <w:color w:val="000000"/>
                <w:sz w:val="18"/>
                <w:szCs w:val="18"/>
              </w:rPr>
              <w:t>Total on-balance sheet risks (sum of lines 1 and 2) Derivative financial instruments and credit derivatives</w:t>
            </w:r>
          </w:p>
        </w:tc>
        <w:tc>
          <w:tcPr>
            <w:tcW w:w="837" w:type="pct"/>
            <w:vAlign w:val="bottom"/>
          </w:tcPr>
          <w:p w14:paraId="77F058A6" w14:textId="4D5D33DE" w:rsidR="00224102" w:rsidRDefault="00224102" w:rsidP="00224102">
            <w:pPr>
              <w:jc w:val="right"/>
              <w:rPr>
                <w:b/>
                <w:bCs/>
                <w:color w:val="000000"/>
                <w:sz w:val="18"/>
                <w:szCs w:val="18"/>
              </w:rPr>
            </w:pPr>
            <w:r>
              <w:rPr>
                <w:b/>
                <w:bCs/>
                <w:color w:val="000000"/>
                <w:sz w:val="18"/>
                <w:szCs w:val="18"/>
              </w:rPr>
              <w:t>14,196,445</w:t>
            </w:r>
          </w:p>
        </w:tc>
        <w:tc>
          <w:tcPr>
            <w:tcW w:w="767" w:type="pct"/>
            <w:shd w:val="clear" w:color="auto" w:fill="auto"/>
            <w:vAlign w:val="bottom"/>
          </w:tcPr>
          <w:p w14:paraId="5A85CE8A" w14:textId="6C3FA88E" w:rsidR="00224102" w:rsidRDefault="00224102" w:rsidP="00224102">
            <w:pPr>
              <w:jc w:val="right"/>
              <w:rPr>
                <w:b/>
                <w:bCs/>
                <w:color w:val="000000"/>
                <w:sz w:val="18"/>
                <w:szCs w:val="18"/>
              </w:rPr>
            </w:pPr>
            <w:r>
              <w:rPr>
                <w:b/>
                <w:bCs/>
                <w:color w:val="000000"/>
                <w:sz w:val="18"/>
                <w:szCs w:val="18"/>
              </w:rPr>
              <w:t>11,299,482</w:t>
            </w:r>
          </w:p>
        </w:tc>
      </w:tr>
      <w:tr w:rsidR="00224102" w14:paraId="78CFF6A8" w14:textId="77777777" w:rsidTr="003B70FA">
        <w:trPr>
          <w:trHeight w:val="20"/>
        </w:trPr>
        <w:tc>
          <w:tcPr>
            <w:tcW w:w="205" w:type="pct"/>
            <w:shd w:val="clear" w:color="auto" w:fill="auto"/>
            <w:noWrap/>
            <w:vAlign w:val="center"/>
            <w:hideMark/>
          </w:tcPr>
          <w:p w14:paraId="0232413B" w14:textId="77777777" w:rsidR="00224102" w:rsidRDefault="00224102" w:rsidP="00224102">
            <w:pPr>
              <w:jc w:val="center"/>
              <w:rPr>
                <w:b/>
                <w:bCs/>
                <w:color w:val="000000"/>
                <w:sz w:val="18"/>
                <w:szCs w:val="18"/>
              </w:rPr>
            </w:pPr>
          </w:p>
        </w:tc>
        <w:tc>
          <w:tcPr>
            <w:tcW w:w="3191" w:type="pct"/>
            <w:shd w:val="clear" w:color="auto" w:fill="auto"/>
            <w:noWrap/>
            <w:vAlign w:val="center"/>
            <w:hideMark/>
          </w:tcPr>
          <w:p w14:paraId="5CFD2EF3" w14:textId="77777777" w:rsidR="00224102" w:rsidRDefault="00224102" w:rsidP="00224102">
            <w:pPr>
              <w:jc w:val="center"/>
              <w:rPr>
                <w:b/>
                <w:bCs/>
                <w:color w:val="000000"/>
                <w:sz w:val="18"/>
                <w:szCs w:val="18"/>
              </w:rPr>
            </w:pPr>
            <w:r>
              <w:rPr>
                <w:b/>
                <w:bCs/>
                <w:color w:val="000000"/>
                <w:sz w:val="18"/>
                <w:szCs w:val="18"/>
              </w:rPr>
              <w:t>D</w:t>
            </w:r>
            <w:r w:rsidRPr="00445B78">
              <w:rPr>
                <w:b/>
                <w:bCs/>
                <w:color w:val="000000"/>
                <w:sz w:val="18"/>
                <w:szCs w:val="18"/>
              </w:rPr>
              <w:t>erivative financial instruments and credit derivatives</w:t>
            </w:r>
          </w:p>
        </w:tc>
        <w:tc>
          <w:tcPr>
            <w:tcW w:w="837" w:type="pct"/>
            <w:vAlign w:val="bottom"/>
          </w:tcPr>
          <w:p w14:paraId="77FF1B29" w14:textId="77777777" w:rsidR="00224102" w:rsidRDefault="00224102" w:rsidP="00224102">
            <w:pPr>
              <w:jc w:val="right"/>
              <w:rPr>
                <w:b/>
                <w:bCs/>
                <w:color w:val="000000"/>
                <w:sz w:val="18"/>
                <w:szCs w:val="18"/>
              </w:rPr>
            </w:pPr>
          </w:p>
        </w:tc>
        <w:tc>
          <w:tcPr>
            <w:tcW w:w="767" w:type="pct"/>
            <w:shd w:val="clear" w:color="auto" w:fill="auto"/>
            <w:vAlign w:val="bottom"/>
          </w:tcPr>
          <w:p w14:paraId="10C1E08B" w14:textId="77777777" w:rsidR="00224102" w:rsidRDefault="00224102" w:rsidP="00224102">
            <w:pPr>
              <w:jc w:val="right"/>
              <w:rPr>
                <w:b/>
                <w:bCs/>
                <w:color w:val="000000"/>
                <w:sz w:val="18"/>
                <w:szCs w:val="18"/>
              </w:rPr>
            </w:pPr>
          </w:p>
        </w:tc>
      </w:tr>
      <w:tr w:rsidR="00224102" w14:paraId="3D526C98" w14:textId="77777777" w:rsidTr="003B70FA">
        <w:trPr>
          <w:trHeight w:val="20"/>
        </w:trPr>
        <w:tc>
          <w:tcPr>
            <w:tcW w:w="205" w:type="pct"/>
            <w:shd w:val="clear" w:color="auto" w:fill="auto"/>
            <w:noWrap/>
            <w:vAlign w:val="center"/>
            <w:hideMark/>
          </w:tcPr>
          <w:p w14:paraId="5D3673C8" w14:textId="77777777" w:rsidR="00224102" w:rsidRDefault="00224102" w:rsidP="00224102">
            <w:pPr>
              <w:jc w:val="center"/>
              <w:rPr>
                <w:b/>
                <w:bCs/>
                <w:color w:val="000000"/>
                <w:sz w:val="18"/>
                <w:szCs w:val="18"/>
              </w:rPr>
            </w:pPr>
            <w:r>
              <w:rPr>
                <w:b/>
                <w:bCs/>
                <w:color w:val="000000"/>
                <w:sz w:val="18"/>
                <w:szCs w:val="18"/>
              </w:rPr>
              <w:t>4</w:t>
            </w:r>
          </w:p>
        </w:tc>
        <w:tc>
          <w:tcPr>
            <w:tcW w:w="3191" w:type="pct"/>
            <w:shd w:val="clear" w:color="auto" w:fill="auto"/>
            <w:noWrap/>
            <w:vAlign w:val="center"/>
            <w:hideMark/>
          </w:tcPr>
          <w:p w14:paraId="0D04971A" w14:textId="77777777" w:rsidR="00224102" w:rsidRDefault="00224102" w:rsidP="00224102">
            <w:pPr>
              <w:rPr>
                <w:color w:val="000000"/>
                <w:sz w:val="18"/>
                <w:szCs w:val="18"/>
              </w:rPr>
            </w:pPr>
            <w:r w:rsidRPr="006C2CC2">
              <w:rPr>
                <w:color w:val="000000"/>
                <w:sz w:val="18"/>
                <w:szCs w:val="18"/>
              </w:rPr>
              <w:t>Replacement cost associated with all derivative financial instruments and credit derivatives</w:t>
            </w:r>
          </w:p>
        </w:tc>
        <w:tc>
          <w:tcPr>
            <w:tcW w:w="837" w:type="pct"/>
            <w:vAlign w:val="bottom"/>
          </w:tcPr>
          <w:p w14:paraId="042572F3" w14:textId="6062BE9E" w:rsidR="00224102" w:rsidRDefault="00224102" w:rsidP="00224102">
            <w:pPr>
              <w:jc w:val="right"/>
              <w:rPr>
                <w:color w:val="000000"/>
                <w:sz w:val="18"/>
                <w:szCs w:val="18"/>
              </w:rPr>
            </w:pPr>
            <w:r>
              <w:rPr>
                <w:color w:val="000000"/>
                <w:sz w:val="18"/>
                <w:szCs w:val="18"/>
              </w:rPr>
              <w:t>40,727</w:t>
            </w:r>
          </w:p>
        </w:tc>
        <w:tc>
          <w:tcPr>
            <w:tcW w:w="767" w:type="pct"/>
            <w:shd w:val="clear" w:color="auto" w:fill="auto"/>
            <w:vAlign w:val="bottom"/>
          </w:tcPr>
          <w:p w14:paraId="2BB79817" w14:textId="3996CA4E" w:rsidR="00224102" w:rsidRDefault="00224102" w:rsidP="00224102">
            <w:pPr>
              <w:jc w:val="right"/>
              <w:rPr>
                <w:color w:val="000000"/>
                <w:sz w:val="18"/>
                <w:szCs w:val="18"/>
              </w:rPr>
            </w:pPr>
            <w:r>
              <w:rPr>
                <w:color w:val="000000"/>
                <w:sz w:val="18"/>
                <w:szCs w:val="18"/>
              </w:rPr>
              <w:t>25,723</w:t>
            </w:r>
          </w:p>
        </w:tc>
      </w:tr>
      <w:tr w:rsidR="00224102" w14:paraId="31FCBBC4" w14:textId="77777777" w:rsidTr="003B70FA">
        <w:trPr>
          <w:trHeight w:val="20"/>
        </w:trPr>
        <w:tc>
          <w:tcPr>
            <w:tcW w:w="205" w:type="pct"/>
            <w:shd w:val="clear" w:color="auto" w:fill="auto"/>
            <w:noWrap/>
            <w:vAlign w:val="center"/>
            <w:hideMark/>
          </w:tcPr>
          <w:p w14:paraId="1E1CCC93" w14:textId="77777777" w:rsidR="00224102" w:rsidRDefault="00224102" w:rsidP="00224102">
            <w:pPr>
              <w:jc w:val="center"/>
              <w:rPr>
                <w:b/>
                <w:bCs/>
                <w:color w:val="000000"/>
                <w:sz w:val="18"/>
                <w:szCs w:val="18"/>
              </w:rPr>
            </w:pPr>
            <w:r>
              <w:rPr>
                <w:b/>
                <w:bCs/>
                <w:color w:val="000000"/>
                <w:sz w:val="18"/>
                <w:szCs w:val="18"/>
              </w:rPr>
              <w:t>5</w:t>
            </w:r>
          </w:p>
        </w:tc>
        <w:tc>
          <w:tcPr>
            <w:tcW w:w="3191" w:type="pct"/>
            <w:shd w:val="clear" w:color="auto" w:fill="auto"/>
            <w:noWrap/>
            <w:vAlign w:val="center"/>
            <w:hideMark/>
          </w:tcPr>
          <w:p w14:paraId="51E0F692" w14:textId="77777777" w:rsidR="00224102" w:rsidRDefault="00224102" w:rsidP="00224102">
            <w:pPr>
              <w:rPr>
                <w:color w:val="000000"/>
                <w:sz w:val="18"/>
                <w:szCs w:val="18"/>
              </w:rPr>
            </w:pPr>
            <w:r w:rsidRPr="006C2CC2">
              <w:rPr>
                <w:color w:val="000000"/>
                <w:sz w:val="18"/>
                <w:szCs w:val="18"/>
              </w:rPr>
              <w:t>Add-on amounts for PFE associated with all derivative financial instruments and credit derivatives</w:t>
            </w:r>
          </w:p>
        </w:tc>
        <w:tc>
          <w:tcPr>
            <w:tcW w:w="837" w:type="pct"/>
            <w:vAlign w:val="bottom"/>
          </w:tcPr>
          <w:p w14:paraId="3E6030B5" w14:textId="59509CE3" w:rsidR="00224102" w:rsidRDefault="00224102" w:rsidP="00224102">
            <w:pPr>
              <w:jc w:val="right"/>
              <w:rPr>
                <w:color w:val="000000"/>
                <w:sz w:val="18"/>
                <w:szCs w:val="18"/>
              </w:rPr>
            </w:pPr>
            <w:r>
              <w:rPr>
                <w:color w:val="000000"/>
                <w:sz w:val="18"/>
                <w:szCs w:val="18"/>
              </w:rPr>
              <w:t>14,735</w:t>
            </w:r>
          </w:p>
        </w:tc>
        <w:tc>
          <w:tcPr>
            <w:tcW w:w="767" w:type="pct"/>
            <w:shd w:val="clear" w:color="auto" w:fill="auto"/>
            <w:vAlign w:val="bottom"/>
          </w:tcPr>
          <w:p w14:paraId="0B39584A" w14:textId="79F3A833" w:rsidR="00224102" w:rsidRDefault="00224102" w:rsidP="00224102">
            <w:pPr>
              <w:jc w:val="right"/>
              <w:rPr>
                <w:color w:val="000000"/>
                <w:sz w:val="18"/>
                <w:szCs w:val="18"/>
              </w:rPr>
            </w:pPr>
            <w:r>
              <w:rPr>
                <w:color w:val="000000"/>
                <w:sz w:val="18"/>
                <w:szCs w:val="18"/>
              </w:rPr>
              <w:t>7,959</w:t>
            </w:r>
          </w:p>
        </w:tc>
      </w:tr>
      <w:tr w:rsidR="00224102" w14:paraId="56787469" w14:textId="77777777" w:rsidTr="003B70FA">
        <w:trPr>
          <w:trHeight w:val="20"/>
        </w:trPr>
        <w:tc>
          <w:tcPr>
            <w:tcW w:w="205" w:type="pct"/>
            <w:shd w:val="clear" w:color="auto" w:fill="auto"/>
            <w:noWrap/>
            <w:vAlign w:val="center"/>
            <w:hideMark/>
          </w:tcPr>
          <w:p w14:paraId="47BC2079" w14:textId="77777777" w:rsidR="00224102" w:rsidRDefault="00224102" w:rsidP="00224102">
            <w:pPr>
              <w:jc w:val="center"/>
              <w:rPr>
                <w:b/>
                <w:bCs/>
                <w:color w:val="000000"/>
                <w:sz w:val="18"/>
                <w:szCs w:val="18"/>
              </w:rPr>
            </w:pPr>
            <w:r>
              <w:rPr>
                <w:b/>
                <w:bCs/>
                <w:color w:val="000000"/>
                <w:sz w:val="18"/>
                <w:szCs w:val="18"/>
              </w:rPr>
              <w:t>6</w:t>
            </w:r>
          </w:p>
        </w:tc>
        <w:tc>
          <w:tcPr>
            <w:tcW w:w="3191" w:type="pct"/>
            <w:shd w:val="clear" w:color="auto" w:fill="auto"/>
            <w:noWrap/>
            <w:vAlign w:val="center"/>
            <w:hideMark/>
          </w:tcPr>
          <w:p w14:paraId="1736ACBC" w14:textId="77777777" w:rsidR="00224102" w:rsidRDefault="00224102" w:rsidP="00224102">
            <w:pPr>
              <w:rPr>
                <w:color w:val="000000"/>
                <w:sz w:val="18"/>
                <w:szCs w:val="18"/>
              </w:rPr>
            </w:pPr>
            <w:r w:rsidRPr="006C2CC2">
              <w:rPr>
                <w:color w:val="000000"/>
                <w:sz w:val="18"/>
                <w:szCs w:val="18"/>
              </w:rPr>
              <w:t>Total risks of derivative financial instruments and credit derivatives (sum of lines 4 to 5Securities or commodity financing transactions (SCFT)</w:t>
            </w:r>
          </w:p>
        </w:tc>
        <w:tc>
          <w:tcPr>
            <w:tcW w:w="837" w:type="pct"/>
            <w:vAlign w:val="bottom"/>
          </w:tcPr>
          <w:p w14:paraId="278D558E" w14:textId="7CB93AB7" w:rsidR="00224102" w:rsidRDefault="00224102" w:rsidP="00224102">
            <w:pPr>
              <w:jc w:val="right"/>
              <w:rPr>
                <w:b/>
                <w:bCs/>
                <w:color w:val="000000"/>
                <w:sz w:val="18"/>
                <w:szCs w:val="18"/>
              </w:rPr>
            </w:pPr>
            <w:r>
              <w:rPr>
                <w:b/>
                <w:bCs/>
                <w:color w:val="000000"/>
                <w:sz w:val="18"/>
                <w:szCs w:val="18"/>
              </w:rPr>
              <w:t>55,462</w:t>
            </w:r>
          </w:p>
        </w:tc>
        <w:tc>
          <w:tcPr>
            <w:tcW w:w="767" w:type="pct"/>
            <w:shd w:val="clear" w:color="auto" w:fill="auto"/>
            <w:vAlign w:val="bottom"/>
          </w:tcPr>
          <w:p w14:paraId="7417F755" w14:textId="6B86783F" w:rsidR="00224102" w:rsidRDefault="00224102" w:rsidP="00224102">
            <w:pPr>
              <w:jc w:val="right"/>
              <w:rPr>
                <w:b/>
                <w:bCs/>
                <w:color w:val="000000"/>
                <w:sz w:val="18"/>
                <w:szCs w:val="18"/>
              </w:rPr>
            </w:pPr>
            <w:r>
              <w:rPr>
                <w:b/>
                <w:bCs/>
                <w:color w:val="000000"/>
                <w:sz w:val="18"/>
                <w:szCs w:val="18"/>
              </w:rPr>
              <w:t>33,683</w:t>
            </w:r>
          </w:p>
        </w:tc>
      </w:tr>
      <w:tr w:rsidR="00224102" w14:paraId="08076CC6" w14:textId="77777777" w:rsidTr="003B70FA">
        <w:trPr>
          <w:trHeight w:val="20"/>
        </w:trPr>
        <w:tc>
          <w:tcPr>
            <w:tcW w:w="205" w:type="pct"/>
            <w:shd w:val="clear" w:color="auto" w:fill="auto"/>
            <w:noWrap/>
            <w:vAlign w:val="center"/>
            <w:hideMark/>
          </w:tcPr>
          <w:p w14:paraId="6616B5C9" w14:textId="77777777" w:rsidR="00224102" w:rsidRDefault="00224102" w:rsidP="00224102">
            <w:pPr>
              <w:jc w:val="center"/>
              <w:rPr>
                <w:b/>
                <w:bCs/>
                <w:color w:val="000000"/>
                <w:sz w:val="18"/>
                <w:szCs w:val="18"/>
              </w:rPr>
            </w:pPr>
          </w:p>
        </w:tc>
        <w:tc>
          <w:tcPr>
            <w:tcW w:w="3191" w:type="pct"/>
            <w:shd w:val="clear" w:color="auto" w:fill="auto"/>
            <w:noWrap/>
            <w:vAlign w:val="center"/>
            <w:hideMark/>
          </w:tcPr>
          <w:p w14:paraId="1048D177" w14:textId="77777777" w:rsidR="00224102" w:rsidRDefault="00224102" w:rsidP="00224102">
            <w:pPr>
              <w:jc w:val="center"/>
              <w:rPr>
                <w:b/>
                <w:bCs/>
                <w:color w:val="000000"/>
                <w:sz w:val="18"/>
                <w:szCs w:val="18"/>
              </w:rPr>
            </w:pPr>
            <w:r>
              <w:rPr>
                <w:b/>
                <w:bCs/>
                <w:color w:val="000000"/>
                <w:sz w:val="18"/>
                <w:szCs w:val="18"/>
              </w:rPr>
              <w:t>S</w:t>
            </w:r>
            <w:r w:rsidRPr="00445B78">
              <w:rPr>
                <w:b/>
                <w:bCs/>
                <w:color w:val="000000"/>
                <w:sz w:val="18"/>
                <w:szCs w:val="18"/>
              </w:rPr>
              <w:t>ecurities or commodity financing transactions</w:t>
            </w:r>
          </w:p>
        </w:tc>
        <w:tc>
          <w:tcPr>
            <w:tcW w:w="837" w:type="pct"/>
            <w:vAlign w:val="bottom"/>
          </w:tcPr>
          <w:p w14:paraId="549875DB" w14:textId="77777777" w:rsidR="00224102" w:rsidRDefault="00224102" w:rsidP="00224102">
            <w:pPr>
              <w:jc w:val="right"/>
              <w:rPr>
                <w:b/>
                <w:bCs/>
                <w:color w:val="000000"/>
                <w:sz w:val="18"/>
                <w:szCs w:val="18"/>
              </w:rPr>
            </w:pPr>
          </w:p>
        </w:tc>
        <w:tc>
          <w:tcPr>
            <w:tcW w:w="767" w:type="pct"/>
            <w:shd w:val="clear" w:color="auto" w:fill="auto"/>
            <w:vAlign w:val="bottom"/>
          </w:tcPr>
          <w:p w14:paraId="77EE322A" w14:textId="77777777" w:rsidR="00224102" w:rsidRDefault="00224102" w:rsidP="00224102">
            <w:pPr>
              <w:jc w:val="right"/>
              <w:rPr>
                <w:b/>
                <w:bCs/>
                <w:color w:val="000000"/>
                <w:sz w:val="18"/>
                <w:szCs w:val="18"/>
              </w:rPr>
            </w:pPr>
          </w:p>
        </w:tc>
      </w:tr>
      <w:tr w:rsidR="00224102" w14:paraId="4B04E178" w14:textId="77777777" w:rsidTr="003B70FA">
        <w:trPr>
          <w:trHeight w:val="20"/>
        </w:trPr>
        <w:tc>
          <w:tcPr>
            <w:tcW w:w="205" w:type="pct"/>
            <w:shd w:val="clear" w:color="auto" w:fill="auto"/>
            <w:noWrap/>
            <w:vAlign w:val="center"/>
            <w:hideMark/>
          </w:tcPr>
          <w:p w14:paraId="1FE4909E" w14:textId="77777777" w:rsidR="00224102" w:rsidRDefault="00224102" w:rsidP="00224102">
            <w:pPr>
              <w:jc w:val="center"/>
              <w:rPr>
                <w:b/>
                <w:bCs/>
                <w:color w:val="000000"/>
                <w:sz w:val="18"/>
                <w:szCs w:val="18"/>
              </w:rPr>
            </w:pPr>
            <w:r>
              <w:rPr>
                <w:b/>
                <w:bCs/>
                <w:color w:val="000000"/>
                <w:sz w:val="18"/>
                <w:szCs w:val="18"/>
              </w:rPr>
              <w:t>7</w:t>
            </w:r>
          </w:p>
        </w:tc>
        <w:tc>
          <w:tcPr>
            <w:tcW w:w="3191" w:type="pct"/>
            <w:shd w:val="clear" w:color="auto" w:fill="auto"/>
            <w:vAlign w:val="center"/>
            <w:hideMark/>
          </w:tcPr>
          <w:p w14:paraId="1E8CC914" w14:textId="77777777" w:rsidR="00224102" w:rsidRDefault="00224102" w:rsidP="00224102">
            <w:pPr>
              <w:rPr>
                <w:color w:val="000000"/>
                <w:sz w:val="18"/>
                <w:szCs w:val="18"/>
              </w:rPr>
            </w:pPr>
            <w:r w:rsidRPr="006C2CC2">
              <w:rPr>
                <w:color w:val="000000"/>
                <w:sz w:val="18"/>
                <w:szCs w:val="18"/>
              </w:rPr>
              <w:t>Risks from SCFT assets</w:t>
            </w:r>
            <w:r>
              <w:rPr>
                <w:color w:val="000000"/>
                <w:sz w:val="18"/>
                <w:szCs w:val="18"/>
              </w:rPr>
              <w:t xml:space="preserve"> of off-</w:t>
            </w:r>
            <w:proofErr w:type="spellStart"/>
            <w:r>
              <w:rPr>
                <w:color w:val="000000"/>
                <w:sz w:val="18"/>
                <w:szCs w:val="18"/>
              </w:rPr>
              <w:t>balancesheet</w:t>
            </w:r>
            <w:proofErr w:type="spellEnd"/>
          </w:p>
        </w:tc>
        <w:tc>
          <w:tcPr>
            <w:tcW w:w="837" w:type="pct"/>
            <w:vAlign w:val="bottom"/>
          </w:tcPr>
          <w:p w14:paraId="1A0AC947" w14:textId="026BA635" w:rsidR="00224102" w:rsidRDefault="00224102" w:rsidP="00224102">
            <w:pPr>
              <w:jc w:val="right"/>
              <w:rPr>
                <w:color w:val="000000"/>
                <w:sz w:val="18"/>
                <w:szCs w:val="18"/>
              </w:rPr>
            </w:pPr>
            <w:r>
              <w:rPr>
                <w:color w:val="000000"/>
                <w:sz w:val="18"/>
                <w:szCs w:val="18"/>
              </w:rPr>
              <w:t>-</w:t>
            </w:r>
          </w:p>
        </w:tc>
        <w:tc>
          <w:tcPr>
            <w:tcW w:w="767" w:type="pct"/>
            <w:shd w:val="clear" w:color="auto" w:fill="auto"/>
            <w:vAlign w:val="bottom"/>
          </w:tcPr>
          <w:p w14:paraId="2AD8676F" w14:textId="3B64697F" w:rsidR="00224102" w:rsidRDefault="00224102" w:rsidP="00224102">
            <w:pPr>
              <w:jc w:val="right"/>
              <w:rPr>
                <w:color w:val="000000"/>
                <w:sz w:val="18"/>
                <w:szCs w:val="18"/>
              </w:rPr>
            </w:pPr>
            <w:r>
              <w:rPr>
                <w:color w:val="000000"/>
                <w:sz w:val="18"/>
                <w:szCs w:val="18"/>
              </w:rPr>
              <w:t>-</w:t>
            </w:r>
          </w:p>
        </w:tc>
      </w:tr>
      <w:tr w:rsidR="00224102" w14:paraId="34D8F200" w14:textId="77777777" w:rsidTr="003B70FA">
        <w:trPr>
          <w:trHeight w:val="20"/>
        </w:trPr>
        <w:tc>
          <w:tcPr>
            <w:tcW w:w="205" w:type="pct"/>
            <w:shd w:val="clear" w:color="auto" w:fill="auto"/>
            <w:noWrap/>
            <w:vAlign w:val="center"/>
            <w:hideMark/>
          </w:tcPr>
          <w:p w14:paraId="154A91C3" w14:textId="77777777" w:rsidR="00224102" w:rsidRDefault="00224102" w:rsidP="00224102">
            <w:pPr>
              <w:jc w:val="center"/>
              <w:rPr>
                <w:b/>
                <w:bCs/>
                <w:color w:val="000000"/>
                <w:sz w:val="18"/>
                <w:szCs w:val="18"/>
              </w:rPr>
            </w:pPr>
            <w:r>
              <w:rPr>
                <w:b/>
                <w:bCs/>
                <w:color w:val="000000"/>
                <w:sz w:val="18"/>
                <w:szCs w:val="18"/>
              </w:rPr>
              <w:t>8</w:t>
            </w:r>
          </w:p>
        </w:tc>
        <w:tc>
          <w:tcPr>
            <w:tcW w:w="3191" w:type="pct"/>
            <w:shd w:val="clear" w:color="auto" w:fill="auto"/>
            <w:noWrap/>
            <w:vAlign w:val="center"/>
            <w:hideMark/>
          </w:tcPr>
          <w:p w14:paraId="68C69F28" w14:textId="77777777" w:rsidR="00224102" w:rsidRDefault="00224102" w:rsidP="00224102">
            <w:pPr>
              <w:rPr>
                <w:color w:val="000000"/>
                <w:sz w:val="18"/>
                <w:szCs w:val="18"/>
              </w:rPr>
            </w:pPr>
            <w:r w:rsidRPr="006C2CC2">
              <w:rPr>
                <w:color w:val="000000"/>
                <w:sz w:val="18"/>
                <w:szCs w:val="18"/>
              </w:rPr>
              <w:t>Risks from brokerage activities related exposures</w:t>
            </w:r>
          </w:p>
        </w:tc>
        <w:tc>
          <w:tcPr>
            <w:tcW w:w="837" w:type="pct"/>
            <w:vAlign w:val="bottom"/>
          </w:tcPr>
          <w:p w14:paraId="26D4C003" w14:textId="4C576D2E" w:rsidR="00224102" w:rsidRDefault="00224102" w:rsidP="00224102">
            <w:pPr>
              <w:jc w:val="right"/>
              <w:rPr>
                <w:color w:val="000000"/>
                <w:sz w:val="18"/>
                <w:szCs w:val="18"/>
              </w:rPr>
            </w:pPr>
            <w:r>
              <w:rPr>
                <w:color w:val="000000"/>
                <w:sz w:val="18"/>
                <w:szCs w:val="18"/>
              </w:rPr>
              <w:t>-</w:t>
            </w:r>
          </w:p>
        </w:tc>
        <w:tc>
          <w:tcPr>
            <w:tcW w:w="767" w:type="pct"/>
            <w:shd w:val="clear" w:color="auto" w:fill="auto"/>
            <w:vAlign w:val="bottom"/>
          </w:tcPr>
          <w:p w14:paraId="4AD6FDF1" w14:textId="30153D15" w:rsidR="00224102" w:rsidRDefault="00224102" w:rsidP="00224102">
            <w:pPr>
              <w:jc w:val="right"/>
              <w:rPr>
                <w:color w:val="000000"/>
                <w:sz w:val="18"/>
                <w:szCs w:val="18"/>
              </w:rPr>
            </w:pPr>
            <w:r>
              <w:rPr>
                <w:color w:val="000000"/>
                <w:sz w:val="18"/>
                <w:szCs w:val="18"/>
              </w:rPr>
              <w:t>-</w:t>
            </w:r>
          </w:p>
        </w:tc>
      </w:tr>
      <w:tr w:rsidR="00224102" w14:paraId="7036A8F4" w14:textId="77777777" w:rsidTr="003B70FA">
        <w:trPr>
          <w:trHeight w:val="20"/>
        </w:trPr>
        <w:tc>
          <w:tcPr>
            <w:tcW w:w="205" w:type="pct"/>
            <w:shd w:val="clear" w:color="auto" w:fill="auto"/>
            <w:noWrap/>
            <w:vAlign w:val="center"/>
            <w:hideMark/>
          </w:tcPr>
          <w:p w14:paraId="01C8AF9D" w14:textId="77777777" w:rsidR="00224102" w:rsidRDefault="00224102" w:rsidP="00224102">
            <w:pPr>
              <w:jc w:val="center"/>
              <w:rPr>
                <w:b/>
                <w:bCs/>
                <w:color w:val="000000"/>
                <w:sz w:val="18"/>
                <w:szCs w:val="18"/>
              </w:rPr>
            </w:pPr>
            <w:r>
              <w:rPr>
                <w:b/>
                <w:bCs/>
                <w:color w:val="000000"/>
                <w:sz w:val="18"/>
                <w:szCs w:val="18"/>
              </w:rPr>
              <w:t>9</w:t>
            </w:r>
          </w:p>
        </w:tc>
        <w:tc>
          <w:tcPr>
            <w:tcW w:w="3191" w:type="pct"/>
            <w:shd w:val="clear" w:color="auto" w:fill="auto"/>
            <w:vAlign w:val="center"/>
            <w:hideMark/>
          </w:tcPr>
          <w:p w14:paraId="0B05C3B3" w14:textId="77777777" w:rsidR="00224102" w:rsidRDefault="00224102" w:rsidP="00224102">
            <w:pPr>
              <w:rPr>
                <w:color w:val="000000"/>
                <w:sz w:val="18"/>
                <w:szCs w:val="18"/>
              </w:rPr>
            </w:pPr>
            <w:r w:rsidRPr="006C2CC2">
              <w:rPr>
                <w:color w:val="000000"/>
                <w:sz w:val="18"/>
                <w:szCs w:val="18"/>
              </w:rPr>
              <w:t>Total risks related with securities or commodity financing transactions (sum of lines 7 to 8) Other off-balance sheet transactions</w:t>
            </w:r>
          </w:p>
        </w:tc>
        <w:tc>
          <w:tcPr>
            <w:tcW w:w="837" w:type="pct"/>
            <w:vAlign w:val="bottom"/>
          </w:tcPr>
          <w:p w14:paraId="77315D34" w14:textId="41A0D3B7" w:rsidR="00224102" w:rsidRDefault="00224102" w:rsidP="00224102">
            <w:pPr>
              <w:jc w:val="right"/>
              <w:rPr>
                <w:b/>
                <w:bCs/>
                <w:color w:val="000000"/>
                <w:sz w:val="18"/>
                <w:szCs w:val="18"/>
              </w:rPr>
            </w:pPr>
            <w:r>
              <w:rPr>
                <w:b/>
                <w:bCs/>
                <w:color w:val="000000"/>
                <w:sz w:val="18"/>
                <w:szCs w:val="18"/>
              </w:rPr>
              <w:t>-</w:t>
            </w:r>
          </w:p>
        </w:tc>
        <w:tc>
          <w:tcPr>
            <w:tcW w:w="767" w:type="pct"/>
            <w:shd w:val="clear" w:color="auto" w:fill="auto"/>
            <w:vAlign w:val="bottom"/>
          </w:tcPr>
          <w:p w14:paraId="3BD1870C" w14:textId="21708861" w:rsidR="00224102" w:rsidRDefault="00224102" w:rsidP="00224102">
            <w:pPr>
              <w:jc w:val="right"/>
              <w:rPr>
                <w:b/>
                <w:bCs/>
                <w:color w:val="000000"/>
                <w:sz w:val="18"/>
                <w:szCs w:val="18"/>
              </w:rPr>
            </w:pPr>
            <w:r>
              <w:rPr>
                <w:b/>
                <w:bCs/>
                <w:color w:val="000000"/>
                <w:sz w:val="18"/>
                <w:szCs w:val="18"/>
              </w:rPr>
              <w:t>-</w:t>
            </w:r>
          </w:p>
        </w:tc>
      </w:tr>
      <w:tr w:rsidR="00224102" w14:paraId="201F1F67" w14:textId="77777777" w:rsidTr="003B70FA">
        <w:trPr>
          <w:trHeight w:val="20"/>
        </w:trPr>
        <w:tc>
          <w:tcPr>
            <w:tcW w:w="205" w:type="pct"/>
            <w:shd w:val="clear" w:color="auto" w:fill="auto"/>
            <w:noWrap/>
            <w:vAlign w:val="center"/>
            <w:hideMark/>
          </w:tcPr>
          <w:p w14:paraId="7BFC916C" w14:textId="77777777" w:rsidR="00224102" w:rsidRDefault="00224102" w:rsidP="00224102">
            <w:pPr>
              <w:jc w:val="center"/>
              <w:rPr>
                <w:b/>
                <w:bCs/>
                <w:color w:val="000000"/>
                <w:sz w:val="18"/>
                <w:szCs w:val="18"/>
              </w:rPr>
            </w:pPr>
          </w:p>
        </w:tc>
        <w:tc>
          <w:tcPr>
            <w:tcW w:w="3191" w:type="pct"/>
            <w:shd w:val="clear" w:color="auto" w:fill="auto"/>
            <w:noWrap/>
            <w:vAlign w:val="center"/>
            <w:hideMark/>
          </w:tcPr>
          <w:p w14:paraId="2363D4F2" w14:textId="77777777" w:rsidR="00224102" w:rsidRDefault="00224102" w:rsidP="00224102">
            <w:pPr>
              <w:jc w:val="center"/>
              <w:rPr>
                <w:b/>
                <w:bCs/>
                <w:color w:val="000000"/>
                <w:sz w:val="18"/>
                <w:szCs w:val="18"/>
              </w:rPr>
            </w:pPr>
            <w:r w:rsidRPr="00445B78">
              <w:rPr>
                <w:b/>
                <w:bCs/>
                <w:color w:val="000000"/>
                <w:sz w:val="18"/>
                <w:szCs w:val="18"/>
              </w:rPr>
              <w:t>off-balance sheet transactions</w:t>
            </w:r>
          </w:p>
        </w:tc>
        <w:tc>
          <w:tcPr>
            <w:tcW w:w="837" w:type="pct"/>
            <w:vAlign w:val="bottom"/>
          </w:tcPr>
          <w:p w14:paraId="47ED135E" w14:textId="77777777" w:rsidR="00224102" w:rsidRDefault="00224102" w:rsidP="00224102">
            <w:pPr>
              <w:jc w:val="right"/>
              <w:rPr>
                <w:b/>
                <w:bCs/>
                <w:color w:val="000000"/>
                <w:sz w:val="18"/>
                <w:szCs w:val="18"/>
              </w:rPr>
            </w:pPr>
          </w:p>
        </w:tc>
        <w:tc>
          <w:tcPr>
            <w:tcW w:w="767" w:type="pct"/>
            <w:shd w:val="clear" w:color="auto" w:fill="auto"/>
            <w:vAlign w:val="bottom"/>
          </w:tcPr>
          <w:p w14:paraId="6D0CD39D" w14:textId="77777777" w:rsidR="00224102" w:rsidRDefault="00224102" w:rsidP="00224102">
            <w:pPr>
              <w:jc w:val="right"/>
              <w:rPr>
                <w:b/>
                <w:bCs/>
                <w:color w:val="000000"/>
                <w:sz w:val="18"/>
                <w:szCs w:val="18"/>
              </w:rPr>
            </w:pPr>
          </w:p>
        </w:tc>
      </w:tr>
      <w:tr w:rsidR="00224102" w14:paraId="7230873D" w14:textId="77777777" w:rsidTr="003B70FA">
        <w:trPr>
          <w:trHeight w:val="20"/>
        </w:trPr>
        <w:tc>
          <w:tcPr>
            <w:tcW w:w="205" w:type="pct"/>
            <w:shd w:val="clear" w:color="auto" w:fill="auto"/>
            <w:noWrap/>
            <w:vAlign w:val="center"/>
            <w:hideMark/>
          </w:tcPr>
          <w:p w14:paraId="65048583" w14:textId="77777777" w:rsidR="00224102" w:rsidRDefault="00224102" w:rsidP="00224102">
            <w:pPr>
              <w:jc w:val="center"/>
              <w:rPr>
                <w:b/>
                <w:bCs/>
                <w:color w:val="000000"/>
                <w:sz w:val="18"/>
                <w:szCs w:val="18"/>
              </w:rPr>
            </w:pPr>
            <w:r>
              <w:rPr>
                <w:b/>
                <w:bCs/>
                <w:color w:val="000000"/>
                <w:sz w:val="18"/>
                <w:szCs w:val="18"/>
              </w:rPr>
              <w:t>10</w:t>
            </w:r>
          </w:p>
        </w:tc>
        <w:tc>
          <w:tcPr>
            <w:tcW w:w="3191" w:type="pct"/>
            <w:shd w:val="clear" w:color="auto" w:fill="auto"/>
            <w:noWrap/>
            <w:vAlign w:val="center"/>
            <w:hideMark/>
          </w:tcPr>
          <w:p w14:paraId="7982DD49" w14:textId="77777777" w:rsidR="00224102" w:rsidRDefault="00224102" w:rsidP="00224102">
            <w:pPr>
              <w:rPr>
                <w:color w:val="000000"/>
                <w:sz w:val="18"/>
                <w:szCs w:val="18"/>
              </w:rPr>
            </w:pPr>
            <w:r w:rsidRPr="006C2CC2">
              <w:rPr>
                <w:color w:val="000000"/>
                <w:sz w:val="18"/>
                <w:szCs w:val="18"/>
              </w:rPr>
              <w:t>Gross notional amounts of off-balance sheet transactions</w:t>
            </w:r>
          </w:p>
        </w:tc>
        <w:tc>
          <w:tcPr>
            <w:tcW w:w="837" w:type="pct"/>
            <w:vAlign w:val="bottom"/>
          </w:tcPr>
          <w:p w14:paraId="2C702C89" w14:textId="4FC5AEFA" w:rsidR="00224102" w:rsidRDefault="00224102" w:rsidP="00224102">
            <w:pPr>
              <w:jc w:val="right"/>
              <w:rPr>
                <w:color w:val="000000"/>
                <w:sz w:val="18"/>
                <w:szCs w:val="18"/>
              </w:rPr>
            </w:pPr>
            <w:r>
              <w:rPr>
                <w:color w:val="000000"/>
                <w:sz w:val="18"/>
                <w:szCs w:val="18"/>
              </w:rPr>
              <w:t>5,219,475</w:t>
            </w:r>
          </w:p>
        </w:tc>
        <w:tc>
          <w:tcPr>
            <w:tcW w:w="767" w:type="pct"/>
            <w:shd w:val="clear" w:color="auto" w:fill="auto"/>
            <w:vAlign w:val="bottom"/>
          </w:tcPr>
          <w:p w14:paraId="666956B7" w14:textId="58AB6211" w:rsidR="00224102" w:rsidRDefault="00224102" w:rsidP="00224102">
            <w:pPr>
              <w:jc w:val="right"/>
              <w:rPr>
                <w:color w:val="000000"/>
                <w:sz w:val="18"/>
                <w:szCs w:val="18"/>
              </w:rPr>
            </w:pPr>
            <w:r>
              <w:rPr>
                <w:color w:val="000000"/>
                <w:sz w:val="18"/>
                <w:szCs w:val="18"/>
              </w:rPr>
              <w:t>3,868,802</w:t>
            </w:r>
          </w:p>
        </w:tc>
      </w:tr>
      <w:tr w:rsidR="00224102" w14:paraId="020F2E7A" w14:textId="77777777" w:rsidTr="003B70FA">
        <w:trPr>
          <w:trHeight w:val="20"/>
        </w:trPr>
        <w:tc>
          <w:tcPr>
            <w:tcW w:w="205" w:type="pct"/>
            <w:shd w:val="clear" w:color="auto" w:fill="auto"/>
            <w:noWrap/>
            <w:vAlign w:val="center"/>
            <w:hideMark/>
          </w:tcPr>
          <w:p w14:paraId="4AC12A6B" w14:textId="77777777" w:rsidR="00224102" w:rsidRDefault="00224102" w:rsidP="00224102">
            <w:pPr>
              <w:jc w:val="center"/>
              <w:rPr>
                <w:b/>
                <w:bCs/>
                <w:color w:val="000000"/>
                <w:sz w:val="18"/>
                <w:szCs w:val="18"/>
              </w:rPr>
            </w:pPr>
            <w:r>
              <w:rPr>
                <w:b/>
                <w:bCs/>
                <w:color w:val="000000"/>
                <w:sz w:val="18"/>
                <w:szCs w:val="18"/>
              </w:rPr>
              <w:t>11</w:t>
            </w:r>
          </w:p>
        </w:tc>
        <w:tc>
          <w:tcPr>
            <w:tcW w:w="3191" w:type="pct"/>
            <w:shd w:val="clear" w:color="auto" w:fill="auto"/>
            <w:noWrap/>
            <w:vAlign w:val="center"/>
            <w:hideMark/>
          </w:tcPr>
          <w:p w14:paraId="6F851D11" w14:textId="77777777" w:rsidR="00224102" w:rsidRDefault="00224102" w:rsidP="00224102">
            <w:pPr>
              <w:rPr>
                <w:color w:val="000000"/>
                <w:sz w:val="18"/>
                <w:szCs w:val="18"/>
              </w:rPr>
            </w:pPr>
            <w:r w:rsidRPr="006C2CC2">
              <w:rPr>
                <w:color w:val="000000"/>
                <w:sz w:val="18"/>
                <w:szCs w:val="18"/>
              </w:rPr>
              <w:t>(Adjustments for conversion to credit equivalent amounts)</w:t>
            </w:r>
          </w:p>
        </w:tc>
        <w:tc>
          <w:tcPr>
            <w:tcW w:w="837" w:type="pct"/>
            <w:vAlign w:val="bottom"/>
          </w:tcPr>
          <w:p w14:paraId="60B8F8FB" w14:textId="7F4E4D1E" w:rsidR="00224102" w:rsidRDefault="00224102" w:rsidP="00224102">
            <w:pPr>
              <w:jc w:val="right"/>
              <w:rPr>
                <w:color w:val="000000"/>
                <w:sz w:val="18"/>
                <w:szCs w:val="18"/>
              </w:rPr>
            </w:pPr>
            <w:r>
              <w:rPr>
                <w:color w:val="000000"/>
                <w:sz w:val="18"/>
                <w:szCs w:val="18"/>
              </w:rPr>
              <w:t>(539,871)</w:t>
            </w:r>
          </w:p>
        </w:tc>
        <w:tc>
          <w:tcPr>
            <w:tcW w:w="767" w:type="pct"/>
            <w:shd w:val="clear" w:color="auto" w:fill="auto"/>
            <w:vAlign w:val="bottom"/>
          </w:tcPr>
          <w:p w14:paraId="33348CED" w14:textId="3FFB0ACC" w:rsidR="00224102" w:rsidRDefault="00224102" w:rsidP="00224102">
            <w:pPr>
              <w:jc w:val="right"/>
              <w:rPr>
                <w:color w:val="000000"/>
                <w:sz w:val="18"/>
                <w:szCs w:val="18"/>
              </w:rPr>
            </w:pPr>
            <w:r>
              <w:rPr>
                <w:color w:val="000000"/>
                <w:sz w:val="18"/>
                <w:szCs w:val="18"/>
              </w:rPr>
              <w:t>(489,538)</w:t>
            </w:r>
          </w:p>
        </w:tc>
      </w:tr>
      <w:tr w:rsidR="00224102" w14:paraId="3E73D7F1" w14:textId="77777777" w:rsidTr="003B70FA">
        <w:trPr>
          <w:trHeight w:val="20"/>
        </w:trPr>
        <w:tc>
          <w:tcPr>
            <w:tcW w:w="205" w:type="pct"/>
            <w:shd w:val="clear" w:color="auto" w:fill="auto"/>
            <w:noWrap/>
            <w:vAlign w:val="center"/>
            <w:hideMark/>
          </w:tcPr>
          <w:p w14:paraId="1B76B1A6" w14:textId="77777777" w:rsidR="00224102" w:rsidRDefault="00224102" w:rsidP="00224102">
            <w:pPr>
              <w:jc w:val="center"/>
              <w:rPr>
                <w:b/>
                <w:bCs/>
                <w:color w:val="000000"/>
                <w:sz w:val="18"/>
                <w:szCs w:val="18"/>
              </w:rPr>
            </w:pPr>
            <w:r>
              <w:rPr>
                <w:b/>
                <w:bCs/>
                <w:color w:val="000000"/>
                <w:sz w:val="18"/>
                <w:szCs w:val="18"/>
              </w:rPr>
              <w:t>12</w:t>
            </w:r>
          </w:p>
        </w:tc>
        <w:tc>
          <w:tcPr>
            <w:tcW w:w="3191" w:type="pct"/>
            <w:shd w:val="clear" w:color="auto" w:fill="auto"/>
            <w:noWrap/>
            <w:vAlign w:val="center"/>
            <w:hideMark/>
          </w:tcPr>
          <w:p w14:paraId="3389F10B" w14:textId="77777777" w:rsidR="00224102" w:rsidRDefault="00224102" w:rsidP="00224102">
            <w:pPr>
              <w:rPr>
                <w:color w:val="000000"/>
                <w:sz w:val="18"/>
                <w:szCs w:val="18"/>
              </w:rPr>
            </w:pPr>
            <w:r w:rsidRPr="008460D6">
              <w:rPr>
                <w:color w:val="000000"/>
                <w:sz w:val="18"/>
                <w:szCs w:val="18"/>
              </w:rPr>
              <w:t>Total risks of off-balance sheet items (sum of lines 10 and 11) Capital and total risks</w:t>
            </w:r>
          </w:p>
        </w:tc>
        <w:tc>
          <w:tcPr>
            <w:tcW w:w="837" w:type="pct"/>
            <w:vAlign w:val="bottom"/>
          </w:tcPr>
          <w:p w14:paraId="4DF10544" w14:textId="7192D4C3" w:rsidR="00224102" w:rsidRDefault="00224102" w:rsidP="00224102">
            <w:pPr>
              <w:jc w:val="right"/>
              <w:rPr>
                <w:b/>
                <w:bCs/>
                <w:color w:val="000000"/>
                <w:sz w:val="18"/>
                <w:szCs w:val="18"/>
              </w:rPr>
            </w:pPr>
            <w:r>
              <w:rPr>
                <w:b/>
                <w:bCs/>
                <w:color w:val="000000"/>
                <w:sz w:val="18"/>
                <w:szCs w:val="18"/>
              </w:rPr>
              <w:t>4,679,604</w:t>
            </w:r>
          </w:p>
        </w:tc>
        <w:tc>
          <w:tcPr>
            <w:tcW w:w="767" w:type="pct"/>
            <w:shd w:val="clear" w:color="auto" w:fill="auto"/>
            <w:vAlign w:val="bottom"/>
          </w:tcPr>
          <w:p w14:paraId="3263EC7A" w14:textId="7949478A" w:rsidR="00224102" w:rsidRDefault="00224102" w:rsidP="00224102">
            <w:pPr>
              <w:jc w:val="right"/>
              <w:rPr>
                <w:b/>
                <w:bCs/>
                <w:color w:val="000000"/>
                <w:sz w:val="18"/>
                <w:szCs w:val="18"/>
              </w:rPr>
            </w:pPr>
            <w:r>
              <w:rPr>
                <w:b/>
                <w:bCs/>
                <w:color w:val="000000"/>
                <w:sz w:val="18"/>
                <w:szCs w:val="18"/>
              </w:rPr>
              <w:t>3,379,264</w:t>
            </w:r>
          </w:p>
        </w:tc>
      </w:tr>
      <w:tr w:rsidR="00224102" w14:paraId="1209DF83" w14:textId="77777777" w:rsidTr="003B70FA">
        <w:trPr>
          <w:trHeight w:val="20"/>
        </w:trPr>
        <w:tc>
          <w:tcPr>
            <w:tcW w:w="205" w:type="pct"/>
            <w:shd w:val="clear" w:color="auto" w:fill="auto"/>
            <w:noWrap/>
            <w:vAlign w:val="center"/>
            <w:hideMark/>
          </w:tcPr>
          <w:p w14:paraId="7D30074C" w14:textId="77777777" w:rsidR="00224102" w:rsidRDefault="00224102" w:rsidP="00224102">
            <w:pPr>
              <w:jc w:val="center"/>
              <w:rPr>
                <w:b/>
                <w:bCs/>
                <w:color w:val="000000"/>
                <w:sz w:val="18"/>
                <w:szCs w:val="18"/>
              </w:rPr>
            </w:pPr>
          </w:p>
        </w:tc>
        <w:tc>
          <w:tcPr>
            <w:tcW w:w="3191" w:type="pct"/>
            <w:shd w:val="clear" w:color="auto" w:fill="auto"/>
            <w:noWrap/>
            <w:vAlign w:val="center"/>
            <w:hideMark/>
          </w:tcPr>
          <w:p w14:paraId="3694EB24" w14:textId="77777777" w:rsidR="00224102" w:rsidRDefault="00224102" w:rsidP="00224102">
            <w:pPr>
              <w:jc w:val="center"/>
              <w:rPr>
                <w:b/>
                <w:bCs/>
                <w:color w:val="000000"/>
                <w:sz w:val="18"/>
                <w:szCs w:val="18"/>
              </w:rPr>
            </w:pPr>
            <w:r>
              <w:rPr>
                <w:b/>
                <w:bCs/>
                <w:color w:val="000000"/>
                <w:sz w:val="18"/>
                <w:szCs w:val="18"/>
              </w:rPr>
              <w:t>Capital and Total Risk</w:t>
            </w:r>
          </w:p>
        </w:tc>
        <w:tc>
          <w:tcPr>
            <w:tcW w:w="837" w:type="pct"/>
            <w:vAlign w:val="bottom"/>
          </w:tcPr>
          <w:p w14:paraId="0A0D99BA" w14:textId="77777777" w:rsidR="00224102" w:rsidRDefault="00224102" w:rsidP="00224102">
            <w:pPr>
              <w:jc w:val="right"/>
              <w:rPr>
                <w:b/>
                <w:bCs/>
                <w:color w:val="000000"/>
                <w:sz w:val="18"/>
                <w:szCs w:val="18"/>
              </w:rPr>
            </w:pPr>
          </w:p>
        </w:tc>
        <w:tc>
          <w:tcPr>
            <w:tcW w:w="767" w:type="pct"/>
            <w:shd w:val="clear" w:color="auto" w:fill="auto"/>
            <w:vAlign w:val="bottom"/>
          </w:tcPr>
          <w:p w14:paraId="46CF1949" w14:textId="77777777" w:rsidR="00224102" w:rsidRDefault="00224102" w:rsidP="00224102">
            <w:pPr>
              <w:jc w:val="right"/>
              <w:rPr>
                <w:b/>
                <w:bCs/>
                <w:color w:val="000000"/>
                <w:sz w:val="18"/>
                <w:szCs w:val="18"/>
              </w:rPr>
            </w:pPr>
          </w:p>
        </w:tc>
      </w:tr>
      <w:tr w:rsidR="00224102" w14:paraId="0DDBD2FE" w14:textId="77777777" w:rsidTr="003B70FA">
        <w:trPr>
          <w:trHeight w:val="20"/>
        </w:trPr>
        <w:tc>
          <w:tcPr>
            <w:tcW w:w="205" w:type="pct"/>
            <w:shd w:val="clear" w:color="auto" w:fill="auto"/>
            <w:noWrap/>
            <w:vAlign w:val="center"/>
            <w:hideMark/>
          </w:tcPr>
          <w:p w14:paraId="1FD05DD6" w14:textId="77777777" w:rsidR="00224102" w:rsidRDefault="00224102" w:rsidP="00224102">
            <w:pPr>
              <w:jc w:val="center"/>
              <w:rPr>
                <w:b/>
                <w:bCs/>
                <w:color w:val="000000"/>
                <w:sz w:val="18"/>
                <w:szCs w:val="18"/>
              </w:rPr>
            </w:pPr>
            <w:r>
              <w:rPr>
                <w:b/>
                <w:bCs/>
                <w:color w:val="000000"/>
                <w:sz w:val="18"/>
                <w:szCs w:val="18"/>
              </w:rPr>
              <w:t>13</w:t>
            </w:r>
          </w:p>
        </w:tc>
        <w:tc>
          <w:tcPr>
            <w:tcW w:w="3191" w:type="pct"/>
            <w:shd w:val="clear" w:color="auto" w:fill="auto"/>
            <w:noWrap/>
            <w:vAlign w:val="center"/>
            <w:hideMark/>
          </w:tcPr>
          <w:p w14:paraId="17ACABE4" w14:textId="77777777" w:rsidR="00224102" w:rsidRDefault="00224102" w:rsidP="00224102">
            <w:pPr>
              <w:rPr>
                <w:color w:val="000000"/>
                <w:sz w:val="18"/>
                <w:szCs w:val="18"/>
              </w:rPr>
            </w:pPr>
            <w:r w:rsidRPr="008460D6">
              <w:rPr>
                <w:color w:val="000000"/>
                <w:sz w:val="18"/>
                <w:szCs w:val="18"/>
              </w:rPr>
              <w:t>Tier 1 capital</w:t>
            </w:r>
          </w:p>
        </w:tc>
        <w:tc>
          <w:tcPr>
            <w:tcW w:w="837" w:type="pct"/>
            <w:vAlign w:val="bottom"/>
          </w:tcPr>
          <w:p w14:paraId="564B18CD" w14:textId="3FA57207" w:rsidR="00224102" w:rsidRDefault="00224102" w:rsidP="00224102">
            <w:pPr>
              <w:jc w:val="right"/>
              <w:rPr>
                <w:color w:val="000000"/>
                <w:sz w:val="18"/>
                <w:szCs w:val="18"/>
              </w:rPr>
            </w:pPr>
            <w:r>
              <w:rPr>
                <w:color w:val="000000"/>
                <w:sz w:val="18"/>
                <w:szCs w:val="18"/>
              </w:rPr>
              <w:t>928,466</w:t>
            </w:r>
          </w:p>
        </w:tc>
        <w:tc>
          <w:tcPr>
            <w:tcW w:w="767" w:type="pct"/>
            <w:shd w:val="clear" w:color="auto" w:fill="auto"/>
            <w:vAlign w:val="bottom"/>
          </w:tcPr>
          <w:p w14:paraId="1A035B8C" w14:textId="28BECF68" w:rsidR="00224102" w:rsidRDefault="00224102" w:rsidP="00224102">
            <w:pPr>
              <w:jc w:val="right"/>
              <w:rPr>
                <w:color w:val="000000"/>
                <w:sz w:val="18"/>
                <w:szCs w:val="18"/>
              </w:rPr>
            </w:pPr>
            <w:r>
              <w:rPr>
                <w:color w:val="000000"/>
                <w:sz w:val="18"/>
                <w:szCs w:val="18"/>
              </w:rPr>
              <w:t>864,174</w:t>
            </w:r>
          </w:p>
        </w:tc>
      </w:tr>
      <w:tr w:rsidR="00224102" w14:paraId="52BAED95" w14:textId="77777777" w:rsidTr="003B70FA">
        <w:trPr>
          <w:trHeight w:val="20"/>
        </w:trPr>
        <w:tc>
          <w:tcPr>
            <w:tcW w:w="205" w:type="pct"/>
            <w:shd w:val="clear" w:color="auto" w:fill="auto"/>
            <w:noWrap/>
            <w:vAlign w:val="center"/>
            <w:hideMark/>
          </w:tcPr>
          <w:p w14:paraId="453A188A" w14:textId="77777777" w:rsidR="00224102" w:rsidRDefault="00224102" w:rsidP="00224102">
            <w:pPr>
              <w:jc w:val="center"/>
              <w:rPr>
                <w:b/>
                <w:bCs/>
                <w:color w:val="000000"/>
                <w:sz w:val="18"/>
                <w:szCs w:val="18"/>
              </w:rPr>
            </w:pPr>
            <w:r>
              <w:rPr>
                <w:b/>
                <w:bCs/>
                <w:color w:val="000000"/>
                <w:sz w:val="18"/>
                <w:szCs w:val="18"/>
              </w:rPr>
              <w:t>14</w:t>
            </w:r>
          </w:p>
        </w:tc>
        <w:tc>
          <w:tcPr>
            <w:tcW w:w="3191" w:type="pct"/>
            <w:shd w:val="clear" w:color="auto" w:fill="auto"/>
            <w:noWrap/>
            <w:vAlign w:val="center"/>
            <w:hideMark/>
          </w:tcPr>
          <w:p w14:paraId="60CC3DCC" w14:textId="77777777" w:rsidR="00224102" w:rsidRDefault="00224102" w:rsidP="00224102">
            <w:pPr>
              <w:rPr>
                <w:color w:val="000000"/>
                <w:sz w:val="18"/>
                <w:szCs w:val="18"/>
              </w:rPr>
            </w:pPr>
            <w:r w:rsidRPr="008460D6">
              <w:rPr>
                <w:color w:val="000000"/>
                <w:sz w:val="18"/>
                <w:szCs w:val="18"/>
              </w:rPr>
              <w:t>Total risks (sum of lines 3, 6, 9 and 12) Leverage ratio</w:t>
            </w:r>
          </w:p>
        </w:tc>
        <w:tc>
          <w:tcPr>
            <w:tcW w:w="837" w:type="pct"/>
            <w:vAlign w:val="bottom"/>
          </w:tcPr>
          <w:p w14:paraId="166BA8E2" w14:textId="7AB05E44" w:rsidR="00224102" w:rsidRDefault="00224102" w:rsidP="00224102">
            <w:pPr>
              <w:jc w:val="right"/>
              <w:rPr>
                <w:color w:val="000000"/>
                <w:sz w:val="18"/>
                <w:szCs w:val="18"/>
              </w:rPr>
            </w:pPr>
            <w:r>
              <w:rPr>
                <w:color w:val="000000"/>
                <w:sz w:val="18"/>
                <w:szCs w:val="18"/>
              </w:rPr>
              <w:t>18,931,512</w:t>
            </w:r>
          </w:p>
        </w:tc>
        <w:tc>
          <w:tcPr>
            <w:tcW w:w="767" w:type="pct"/>
            <w:shd w:val="clear" w:color="auto" w:fill="auto"/>
            <w:vAlign w:val="bottom"/>
          </w:tcPr>
          <w:p w14:paraId="3B3A9D8D" w14:textId="0FBB72AF" w:rsidR="00224102" w:rsidRDefault="00224102" w:rsidP="00224102">
            <w:pPr>
              <w:jc w:val="right"/>
              <w:rPr>
                <w:color w:val="000000"/>
                <w:sz w:val="18"/>
                <w:szCs w:val="18"/>
              </w:rPr>
            </w:pPr>
            <w:r>
              <w:rPr>
                <w:color w:val="000000"/>
                <w:sz w:val="18"/>
                <w:szCs w:val="18"/>
              </w:rPr>
              <w:t>14,712,429</w:t>
            </w:r>
          </w:p>
        </w:tc>
      </w:tr>
      <w:tr w:rsidR="00224102" w14:paraId="46840FE3" w14:textId="77777777" w:rsidTr="003B70FA">
        <w:trPr>
          <w:trHeight w:val="20"/>
        </w:trPr>
        <w:tc>
          <w:tcPr>
            <w:tcW w:w="205" w:type="pct"/>
            <w:shd w:val="clear" w:color="auto" w:fill="auto"/>
            <w:noWrap/>
            <w:vAlign w:val="center"/>
            <w:hideMark/>
          </w:tcPr>
          <w:p w14:paraId="68395248" w14:textId="77777777" w:rsidR="00224102" w:rsidRDefault="00224102" w:rsidP="00224102">
            <w:pPr>
              <w:jc w:val="center"/>
              <w:rPr>
                <w:b/>
                <w:bCs/>
                <w:color w:val="000000"/>
                <w:sz w:val="18"/>
                <w:szCs w:val="18"/>
              </w:rPr>
            </w:pPr>
          </w:p>
        </w:tc>
        <w:tc>
          <w:tcPr>
            <w:tcW w:w="3191" w:type="pct"/>
            <w:shd w:val="clear" w:color="auto" w:fill="auto"/>
            <w:noWrap/>
            <w:vAlign w:val="center"/>
            <w:hideMark/>
          </w:tcPr>
          <w:p w14:paraId="7A16763C" w14:textId="77777777" w:rsidR="00224102" w:rsidRDefault="00224102" w:rsidP="00224102">
            <w:pPr>
              <w:jc w:val="center"/>
              <w:rPr>
                <w:b/>
                <w:bCs/>
                <w:color w:val="000000"/>
                <w:sz w:val="18"/>
                <w:szCs w:val="18"/>
              </w:rPr>
            </w:pPr>
            <w:r w:rsidRPr="00445B78">
              <w:rPr>
                <w:b/>
                <w:bCs/>
                <w:color w:val="000000"/>
                <w:sz w:val="18"/>
                <w:szCs w:val="18"/>
              </w:rPr>
              <w:t>Leverage ratio</w:t>
            </w:r>
          </w:p>
        </w:tc>
        <w:tc>
          <w:tcPr>
            <w:tcW w:w="837" w:type="pct"/>
            <w:vAlign w:val="bottom"/>
          </w:tcPr>
          <w:p w14:paraId="4AC2D315" w14:textId="77777777" w:rsidR="00224102" w:rsidRDefault="00224102" w:rsidP="00224102">
            <w:pPr>
              <w:jc w:val="right"/>
              <w:rPr>
                <w:b/>
                <w:bCs/>
                <w:color w:val="000000"/>
                <w:sz w:val="18"/>
                <w:szCs w:val="18"/>
              </w:rPr>
            </w:pPr>
          </w:p>
        </w:tc>
        <w:tc>
          <w:tcPr>
            <w:tcW w:w="767" w:type="pct"/>
            <w:shd w:val="clear" w:color="auto" w:fill="auto"/>
            <w:vAlign w:val="bottom"/>
          </w:tcPr>
          <w:p w14:paraId="2F28AD10" w14:textId="77777777" w:rsidR="00224102" w:rsidRDefault="00224102" w:rsidP="00224102">
            <w:pPr>
              <w:jc w:val="right"/>
              <w:rPr>
                <w:b/>
                <w:bCs/>
                <w:color w:val="000000"/>
                <w:sz w:val="18"/>
                <w:szCs w:val="18"/>
              </w:rPr>
            </w:pPr>
          </w:p>
        </w:tc>
      </w:tr>
      <w:tr w:rsidR="00224102" w14:paraId="3989B76E" w14:textId="77777777" w:rsidTr="003B70FA">
        <w:trPr>
          <w:trHeight w:val="20"/>
        </w:trPr>
        <w:tc>
          <w:tcPr>
            <w:tcW w:w="205" w:type="pct"/>
            <w:shd w:val="clear" w:color="auto" w:fill="auto"/>
            <w:noWrap/>
            <w:vAlign w:val="center"/>
            <w:hideMark/>
          </w:tcPr>
          <w:p w14:paraId="53623F78" w14:textId="77777777" w:rsidR="00224102" w:rsidRDefault="00224102" w:rsidP="00F77D55">
            <w:pPr>
              <w:jc w:val="center"/>
              <w:rPr>
                <w:b/>
                <w:bCs/>
                <w:color w:val="000000"/>
                <w:sz w:val="18"/>
                <w:szCs w:val="18"/>
              </w:rPr>
            </w:pPr>
            <w:r>
              <w:rPr>
                <w:b/>
                <w:bCs/>
                <w:color w:val="000000"/>
                <w:sz w:val="18"/>
                <w:szCs w:val="18"/>
              </w:rPr>
              <w:t>15</w:t>
            </w:r>
          </w:p>
        </w:tc>
        <w:tc>
          <w:tcPr>
            <w:tcW w:w="3191" w:type="pct"/>
            <w:shd w:val="clear" w:color="auto" w:fill="auto"/>
            <w:noWrap/>
            <w:vAlign w:val="center"/>
            <w:hideMark/>
          </w:tcPr>
          <w:p w14:paraId="7B29CDC9" w14:textId="77777777" w:rsidR="00224102" w:rsidRDefault="00224102" w:rsidP="00F77D55">
            <w:pPr>
              <w:rPr>
                <w:b/>
                <w:bCs/>
                <w:color w:val="000000"/>
                <w:sz w:val="18"/>
                <w:szCs w:val="18"/>
              </w:rPr>
            </w:pPr>
            <w:r w:rsidRPr="008460D6">
              <w:rPr>
                <w:b/>
                <w:bCs/>
                <w:color w:val="000000"/>
                <w:sz w:val="18"/>
                <w:szCs w:val="18"/>
              </w:rPr>
              <w:t>Leverage ratio</w:t>
            </w:r>
          </w:p>
        </w:tc>
        <w:tc>
          <w:tcPr>
            <w:tcW w:w="837" w:type="pct"/>
            <w:vAlign w:val="bottom"/>
          </w:tcPr>
          <w:p w14:paraId="0DC88724" w14:textId="08071857" w:rsidR="00224102" w:rsidRDefault="00224102" w:rsidP="00F77D55">
            <w:pPr>
              <w:jc w:val="right"/>
              <w:rPr>
                <w:b/>
                <w:bCs/>
                <w:color w:val="000000"/>
                <w:sz w:val="18"/>
                <w:szCs w:val="18"/>
              </w:rPr>
            </w:pPr>
            <w:r>
              <w:rPr>
                <w:b/>
                <w:bCs/>
                <w:color w:val="000000"/>
                <w:sz w:val="18"/>
                <w:szCs w:val="18"/>
              </w:rPr>
              <w:t>4.90%</w:t>
            </w:r>
          </w:p>
        </w:tc>
        <w:tc>
          <w:tcPr>
            <w:tcW w:w="767" w:type="pct"/>
            <w:shd w:val="clear" w:color="auto" w:fill="auto"/>
            <w:vAlign w:val="bottom"/>
          </w:tcPr>
          <w:p w14:paraId="60F531F0" w14:textId="2BA2C47F" w:rsidR="00224102" w:rsidRDefault="00224102" w:rsidP="00F77D55">
            <w:pPr>
              <w:jc w:val="right"/>
              <w:rPr>
                <w:b/>
                <w:bCs/>
                <w:color w:val="000000"/>
                <w:sz w:val="18"/>
                <w:szCs w:val="18"/>
              </w:rPr>
            </w:pPr>
            <w:r>
              <w:rPr>
                <w:b/>
                <w:bCs/>
                <w:color w:val="000000"/>
                <w:sz w:val="18"/>
                <w:szCs w:val="18"/>
              </w:rPr>
              <w:t>5.87%</w:t>
            </w:r>
          </w:p>
        </w:tc>
      </w:tr>
    </w:tbl>
    <w:p w14:paraId="6FB76A80" w14:textId="603B3351" w:rsidR="00224102" w:rsidRDefault="00224102" w:rsidP="00224102">
      <w:pPr>
        <w:pStyle w:val="Default"/>
        <w:spacing w:before="60" w:after="120"/>
        <w:ind w:right="-9"/>
        <w:jc w:val="both"/>
        <w:rPr>
          <w:color w:val="auto"/>
          <w:sz w:val="16"/>
          <w:szCs w:val="16"/>
        </w:rPr>
      </w:pPr>
      <w:r w:rsidRPr="00C51D3A">
        <w:rPr>
          <w:color w:val="auto"/>
          <w:sz w:val="16"/>
          <w:szCs w:val="16"/>
        </w:rPr>
        <w:t xml:space="preserve"> (*)</w:t>
      </w:r>
      <w:r w:rsidR="0097598E">
        <w:rPr>
          <w:color w:val="auto"/>
          <w:sz w:val="16"/>
          <w:szCs w:val="16"/>
        </w:rPr>
        <w:t xml:space="preserve"> </w:t>
      </w:r>
      <w:r w:rsidRPr="007F56D4">
        <w:rPr>
          <w:color w:val="auto"/>
          <w:sz w:val="16"/>
          <w:szCs w:val="16"/>
        </w:rPr>
        <w:t>Amounts in the table are three-month average amounts.</w:t>
      </w:r>
    </w:p>
    <w:p w14:paraId="1266C263" w14:textId="62913237" w:rsidR="005E33B0" w:rsidRPr="00604C75" w:rsidRDefault="00141B9C" w:rsidP="00224102">
      <w:pPr>
        <w:pStyle w:val="Heading2"/>
        <w:tabs>
          <w:tab w:val="left" w:pos="709"/>
        </w:tabs>
        <w:rPr>
          <w:rFonts w:ascii="Times New Roman" w:hAnsi="Times New Roman"/>
          <w:caps/>
          <w:sz w:val="20"/>
        </w:rPr>
      </w:pPr>
      <w:r w:rsidRPr="00604C75">
        <w:rPr>
          <w:rFonts w:ascii="Times New Roman" w:hAnsi="Times New Roman"/>
          <w:caps/>
          <w:sz w:val="20"/>
        </w:rPr>
        <w:t>I</w:t>
      </w:r>
      <w:r w:rsidR="00FC2264">
        <w:rPr>
          <w:rFonts w:ascii="Times New Roman" w:hAnsi="Times New Roman"/>
          <w:caps/>
          <w:sz w:val="20"/>
        </w:rPr>
        <w:t>X</w:t>
      </w:r>
      <w:r w:rsidR="005E33B0" w:rsidRPr="00604C75">
        <w:rPr>
          <w:rFonts w:ascii="Times New Roman" w:hAnsi="Times New Roman"/>
          <w:caps/>
          <w:sz w:val="20"/>
        </w:rPr>
        <w:t>.</w:t>
      </w:r>
      <w:r w:rsidR="005E33B0" w:rsidRPr="00604C75">
        <w:rPr>
          <w:rFonts w:ascii="Times New Roman" w:hAnsi="Times New Roman"/>
          <w:caps/>
          <w:sz w:val="20"/>
        </w:rPr>
        <w:tab/>
      </w:r>
      <w:r w:rsidR="00213A29" w:rsidRPr="00604C75">
        <w:rPr>
          <w:rFonts w:ascii="Times New Roman" w:hAnsi="Times New Roman"/>
          <w:sz w:val="20"/>
        </w:rPr>
        <w:t>Explanations</w:t>
      </w:r>
      <w:r w:rsidR="00213A29" w:rsidRPr="00604C75" w:rsidDel="00213A29">
        <w:rPr>
          <w:rFonts w:ascii="Times New Roman" w:hAnsi="Times New Roman"/>
          <w:caps/>
          <w:sz w:val="20"/>
        </w:rPr>
        <w:t xml:space="preserve"> </w:t>
      </w:r>
      <w:r w:rsidR="00213A29" w:rsidRPr="00604C75">
        <w:rPr>
          <w:rFonts w:ascii="Times New Roman" w:hAnsi="Times New Roman"/>
          <w:sz w:val="20"/>
        </w:rPr>
        <w:t>on the Risk Management Objectives and Policies</w:t>
      </w:r>
      <w:r w:rsidR="00213A29" w:rsidRPr="00604C75" w:rsidDel="00213A29">
        <w:rPr>
          <w:rFonts w:ascii="Times New Roman" w:hAnsi="Times New Roman"/>
          <w:caps/>
          <w:sz w:val="20"/>
        </w:rPr>
        <w:t xml:space="preserve"> </w:t>
      </w:r>
    </w:p>
    <w:p w14:paraId="1C286C03" w14:textId="75D48B63" w:rsidR="00BB5983" w:rsidRPr="00604C75" w:rsidRDefault="00224102" w:rsidP="00224102">
      <w:pPr>
        <w:tabs>
          <w:tab w:val="left" w:pos="3047"/>
        </w:tabs>
        <w:spacing w:before="120"/>
        <w:ind w:hanging="2160"/>
        <w:jc w:val="both"/>
      </w:pPr>
      <w:r>
        <w:tab/>
      </w:r>
      <w:r w:rsidR="00BB5983" w:rsidRPr="00224102">
        <w:rPr>
          <w:sz w:val="20"/>
          <w:szCs w:val="20"/>
        </w:rPr>
        <w:t>Risk management mission is defined as “overall business strategy in line with best practice proper and legal requirements in accordance with the Banks risk-return relationship in the context of increasing the effectiveness shareholders, customers and emplo</w:t>
      </w:r>
      <w:r w:rsidR="00C94CC7">
        <w:rPr>
          <w:sz w:val="20"/>
          <w:szCs w:val="20"/>
        </w:rPr>
        <w:t>yees to create added value” in t</w:t>
      </w:r>
      <w:r w:rsidR="00BB5983" w:rsidRPr="00224102">
        <w:rPr>
          <w:sz w:val="20"/>
          <w:szCs w:val="20"/>
        </w:rPr>
        <w:t>he</w:t>
      </w:r>
      <w:r w:rsidR="00911FB4" w:rsidRPr="00224102">
        <w:rPr>
          <w:sz w:val="20"/>
          <w:szCs w:val="20"/>
        </w:rPr>
        <w:t xml:space="preserve"> Parent</w:t>
      </w:r>
      <w:r w:rsidR="00BB5983" w:rsidRPr="00224102">
        <w:rPr>
          <w:sz w:val="20"/>
          <w:szCs w:val="20"/>
        </w:rPr>
        <w:t xml:space="preserve"> Bank’s Risk Management Strategy. Effective risk management of the Bank’s competitiveness constitutes one of the most important competencies. Risk management system is considered a critical process that takes place within starting from the Board of Directors of all the units.</w:t>
      </w:r>
    </w:p>
    <w:p w14:paraId="5784917D" w14:textId="77777777" w:rsidR="00BF5A54" w:rsidRDefault="00BB5983" w:rsidP="00224102">
      <w:pPr>
        <w:pStyle w:val="NormalIndent"/>
        <w:tabs>
          <w:tab w:val="left" w:pos="0"/>
          <w:tab w:val="left" w:pos="540"/>
        </w:tabs>
        <w:spacing w:before="120"/>
        <w:ind w:left="0"/>
        <w:jc w:val="both"/>
      </w:pPr>
      <w:r w:rsidRPr="00604C75">
        <w:t xml:space="preserve">Risk management activities are structured under the responsibility of the Board of Directors. Based on these Board of Directors are responsible for the effectiveness of risk management systems and for monitoring them. Board of Directors practices his supervision role via Audit Committee and Risk Committee and other relevant committees by early diagnosis and through regular risk, control and audit reporting system. The senior management is responsible to the Board of Directors for monitoring and managing risks. In addition, beside the Risk Management, Internal </w:t>
      </w:r>
    </w:p>
    <w:p w14:paraId="6E963777" w14:textId="77777777" w:rsidR="00BF5A54" w:rsidRDefault="00BF5A54" w:rsidP="00224102">
      <w:pPr>
        <w:pStyle w:val="NormalIndent"/>
        <w:tabs>
          <w:tab w:val="left" w:pos="0"/>
          <w:tab w:val="left" w:pos="540"/>
        </w:tabs>
        <w:spacing w:before="120"/>
        <w:ind w:left="0"/>
        <w:jc w:val="both"/>
      </w:pPr>
    </w:p>
    <w:p w14:paraId="297D4279" w14:textId="77777777" w:rsidR="00BF5A54" w:rsidRPr="00604C75" w:rsidRDefault="00BF5A54" w:rsidP="00BF5A54">
      <w:pPr>
        <w:pStyle w:val="NormalIndent"/>
        <w:tabs>
          <w:tab w:val="left" w:pos="540"/>
          <w:tab w:val="left" w:pos="1620"/>
        </w:tabs>
        <w:spacing w:after="60"/>
        <w:ind w:left="0"/>
        <w:jc w:val="both"/>
        <w:rPr>
          <w:b/>
        </w:rPr>
      </w:pPr>
      <w:r w:rsidRPr="00A041CD">
        <w:rPr>
          <w:b/>
        </w:rPr>
        <w:lastRenderedPageBreak/>
        <w:t>INFORMATION ON THE FINANCIAL POSITION OF THE GROUP (Continued)</w:t>
      </w:r>
    </w:p>
    <w:p w14:paraId="4F19E3A5" w14:textId="1FA776AD" w:rsidR="00BF5A54" w:rsidRPr="00604C75" w:rsidRDefault="00BF5A54" w:rsidP="00BF5A54">
      <w:pPr>
        <w:pStyle w:val="Heading2"/>
        <w:tabs>
          <w:tab w:val="left" w:pos="709"/>
        </w:tabs>
        <w:rPr>
          <w:rFonts w:ascii="Times New Roman" w:hAnsi="Times New Roman"/>
          <w:caps/>
          <w:sz w:val="20"/>
        </w:rPr>
      </w:pPr>
      <w:r w:rsidRPr="00604C75">
        <w:rPr>
          <w:rFonts w:ascii="Times New Roman" w:hAnsi="Times New Roman"/>
          <w:caps/>
          <w:sz w:val="20"/>
        </w:rPr>
        <w:t>I</w:t>
      </w:r>
      <w:r>
        <w:rPr>
          <w:rFonts w:ascii="Times New Roman" w:hAnsi="Times New Roman"/>
          <w:caps/>
          <w:sz w:val="20"/>
        </w:rPr>
        <w:t>X</w:t>
      </w:r>
      <w:r w:rsidRPr="00604C75">
        <w:rPr>
          <w:rFonts w:ascii="Times New Roman" w:hAnsi="Times New Roman"/>
          <w:caps/>
          <w:sz w:val="20"/>
        </w:rPr>
        <w:t>.</w:t>
      </w:r>
      <w:r w:rsidRPr="00604C75">
        <w:rPr>
          <w:rFonts w:ascii="Times New Roman" w:hAnsi="Times New Roman"/>
          <w:caps/>
          <w:sz w:val="20"/>
        </w:rPr>
        <w:tab/>
      </w:r>
      <w:r w:rsidRPr="00604C75">
        <w:rPr>
          <w:rFonts w:ascii="Times New Roman" w:hAnsi="Times New Roman"/>
          <w:sz w:val="20"/>
        </w:rPr>
        <w:t>Explanations</w:t>
      </w:r>
      <w:r w:rsidRPr="00604C75" w:rsidDel="00213A29">
        <w:rPr>
          <w:rFonts w:ascii="Times New Roman" w:hAnsi="Times New Roman"/>
          <w:caps/>
          <w:sz w:val="20"/>
        </w:rPr>
        <w:t xml:space="preserve"> </w:t>
      </w:r>
      <w:r w:rsidRPr="00604C75">
        <w:rPr>
          <w:rFonts w:ascii="Times New Roman" w:hAnsi="Times New Roman"/>
          <w:sz w:val="20"/>
        </w:rPr>
        <w:t>on the Risk Management Objectives and Policies</w:t>
      </w:r>
      <w:r w:rsidRPr="00604C75" w:rsidDel="00213A29">
        <w:rPr>
          <w:rFonts w:ascii="Times New Roman" w:hAnsi="Times New Roman"/>
          <w:caps/>
          <w:sz w:val="20"/>
        </w:rPr>
        <w:t xml:space="preserve"> </w:t>
      </w:r>
      <w:r w:rsidRPr="00BF5A54">
        <w:rPr>
          <w:rFonts w:ascii="Times New Roman" w:hAnsi="Times New Roman"/>
          <w:sz w:val="20"/>
        </w:rPr>
        <w:t>(Continued)</w:t>
      </w:r>
    </w:p>
    <w:p w14:paraId="6DEE7957" w14:textId="13CE5B6E" w:rsidR="00BB5983" w:rsidRPr="00604C75" w:rsidRDefault="00BB5983" w:rsidP="00224102">
      <w:pPr>
        <w:pStyle w:val="NormalIndent"/>
        <w:tabs>
          <w:tab w:val="left" w:pos="0"/>
          <w:tab w:val="left" w:pos="540"/>
        </w:tabs>
        <w:spacing w:before="120"/>
        <w:ind w:left="0"/>
        <w:jc w:val="both"/>
      </w:pPr>
      <w:r w:rsidRPr="00604C75">
        <w:t>Control and Compliance and Regulatory Departments, the Board of Inspectors is monitoring the risks that is independent from the executive operations, but works in coordination with them.</w:t>
      </w:r>
    </w:p>
    <w:p w14:paraId="5E98C26E" w14:textId="08B44BEC" w:rsidR="00141B9C" w:rsidRPr="00604C75" w:rsidRDefault="00995D94" w:rsidP="00991C34">
      <w:pPr>
        <w:pStyle w:val="NormalIndent"/>
        <w:tabs>
          <w:tab w:val="left" w:pos="540"/>
          <w:tab w:val="left" w:pos="1620"/>
        </w:tabs>
        <w:spacing w:before="80" w:after="80"/>
        <w:ind w:left="0"/>
        <w:jc w:val="both"/>
      </w:pPr>
      <w:r w:rsidRPr="00604C75">
        <w:t>Within the contex</w:t>
      </w:r>
      <w:r w:rsidR="007C4688">
        <w:t>t</w:t>
      </w:r>
      <w:r w:rsidRPr="00604C75">
        <w:t xml:space="preserve"> of Risk Management to</w:t>
      </w:r>
      <w:r w:rsidR="00BB5983" w:rsidRPr="00604C75">
        <w:t xml:space="preserve"> identify, measure and monitoring risks nationally and internationally accepted models and parameters are used. Continuously work is exercised to develop and improve methods and models. The developments in the market are monitored regularly and closely; risk reports are prepared accordingly and these are presented to the senior management and the Board.</w:t>
      </w:r>
    </w:p>
    <w:p w14:paraId="2567EE86" w14:textId="61493665" w:rsidR="00BB5983" w:rsidRPr="00604C75" w:rsidRDefault="00BB5983" w:rsidP="00141B9C">
      <w:pPr>
        <w:pStyle w:val="NormalIndent"/>
        <w:tabs>
          <w:tab w:val="left" w:pos="540"/>
          <w:tab w:val="left" w:pos="1620"/>
        </w:tabs>
        <w:ind w:left="0"/>
        <w:jc w:val="both"/>
        <w:rPr>
          <w:b/>
        </w:rPr>
      </w:pPr>
      <w:r w:rsidRPr="00604C75">
        <w:t xml:space="preserve">Risks are managed based on a framework for measuring, limiting and allocating capital accordingly, as well as risk reduction with hedging transactions. </w:t>
      </w:r>
      <w:r w:rsidR="002C3B01">
        <w:t xml:space="preserve">The Parent </w:t>
      </w:r>
      <w:r w:rsidRPr="00604C75">
        <w:t>Bank and market data is monitored regularly in order to monitor and manage the risks. For limiting the risks besides the legal limits bank risk limits are set. Potential changes in economic conditions and the potential risks at difficult circumstances are taken into consideration.</w:t>
      </w:r>
    </w:p>
    <w:p w14:paraId="4F44B7F7" w14:textId="50B8BB80" w:rsidR="00BB5983" w:rsidRPr="00FC2264" w:rsidRDefault="00BB5983" w:rsidP="00FC2264">
      <w:pPr>
        <w:autoSpaceDE w:val="0"/>
        <w:autoSpaceDN w:val="0"/>
        <w:adjustRightInd w:val="0"/>
        <w:spacing w:before="120" w:after="80"/>
        <w:jc w:val="both"/>
        <w:rPr>
          <w:sz w:val="20"/>
          <w:szCs w:val="20"/>
        </w:rPr>
      </w:pPr>
      <w:r w:rsidRPr="00604C75">
        <w:rPr>
          <w:sz w:val="20"/>
          <w:szCs w:val="20"/>
        </w:rPr>
        <w:t>Different scenario analys</w:t>
      </w:r>
      <w:r w:rsidR="00B623B1">
        <w:rPr>
          <w:sz w:val="20"/>
          <w:szCs w:val="20"/>
        </w:rPr>
        <w:t>i</w:t>
      </w:r>
      <w:r w:rsidRPr="00604C75">
        <w:rPr>
          <w:sz w:val="20"/>
          <w:szCs w:val="20"/>
        </w:rPr>
        <w:t xml:space="preserve">s are performed to evaluate the effects of unexpected market conditions and emergency plans are prepared. The </w:t>
      </w:r>
      <w:r w:rsidR="002C3B01">
        <w:rPr>
          <w:sz w:val="20"/>
          <w:szCs w:val="20"/>
        </w:rPr>
        <w:t xml:space="preserve">Parent </w:t>
      </w:r>
      <w:r w:rsidRPr="00604C75">
        <w:rPr>
          <w:sz w:val="20"/>
          <w:szCs w:val="20"/>
        </w:rPr>
        <w:t>Bank develops “Internal Capital Adequacy Evaluation Process” (</w:t>
      </w:r>
      <w:r w:rsidR="00ED7396" w:rsidRPr="00604C75">
        <w:rPr>
          <w:sz w:val="20"/>
          <w:szCs w:val="20"/>
        </w:rPr>
        <w:t>ICAAP</w:t>
      </w:r>
      <w:r w:rsidRPr="00604C75">
        <w:rPr>
          <w:sz w:val="20"/>
          <w:szCs w:val="20"/>
        </w:rPr>
        <w:t>) and evaluates   Internal Capital Adequacy while preparing the budget.</w:t>
      </w:r>
    </w:p>
    <w:p w14:paraId="3889A61F" w14:textId="6E213E06" w:rsidR="00400883" w:rsidRPr="00EC7DB0" w:rsidRDefault="00BB5983" w:rsidP="00EC7DB0">
      <w:pPr>
        <w:pStyle w:val="NormalIndent"/>
        <w:tabs>
          <w:tab w:val="left" w:pos="540"/>
          <w:tab w:val="left" w:pos="1620"/>
        </w:tabs>
        <w:ind w:left="0"/>
        <w:jc w:val="both"/>
      </w:pPr>
      <w:r w:rsidRPr="00604C75">
        <w:t>Risks are evaluated within a consistently developing structure by using methods which are accepted by international methods applicable to the</w:t>
      </w:r>
      <w:r w:rsidR="002C3B01">
        <w:t xml:space="preserve"> Parent</w:t>
      </w:r>
      <w:r w:rsidRPr="00604C75">
        <w:t xml:space="preserve"> Bank’s structure in accordance with the international and local regulatio</w:t>
      </w:r>
      <w:r w:rsidR="00EC7DB0">
        <w:t>ns, bank policy and procedures.</w:t>
      </w:r>
    </w:p>
    <w:p w14:paraId="68571F90" w14:textId="2584C022" w:rsidR="00400883" w:rsidRPr="00EC7DB0" w:rsidRDefault="00400883" w:rsidP="00EC7DB0">
      <w:pPr>
        <w:pStyle w:val="Heading2"/>
        <w:tabs>
          <w:tab w:val="left" w:pos="426"/>
          <w:tab w:val="left" w:pos="851"/>
        </w:tabs>
        <w:jc w:val="both"/>
        <w:rPr>
          <w:rFonts w:ascii="Times New Roman" w:hAnsi="Times New Roman"/>
          <w:sz w:val="20"/>
        </w:rPr>
      </w:pPr>
      <w:r w:rsidRPr="003E2819">
        <w:rPr>
          <w:rFonts w:ascii="Times New Roman" w:hAnsi="Times New Roman"/>
          <w:caps/>
          <w:sz w:val="20"/>
        </w:rPr>
        <w:t>x.</w:t>
      </w:r>
      <w:r w:rsidRPr="003E2819">
        <w:rPr>
          <w:rFonts w:ascii="Times New Roman" w:hAnsi="Times New Roman"/>
          <w:caps/>
          <w:sz w:val="20"/>
        </w:rPr>
        <w:tab/>
      </w:r>
      <w:r>
        <w:rPr>
          <w:rFonts w:ascii="Times New Roman" w:hAnsi="Times New Roman"/>
          <w:caps/>
          <w:sz w:val="20"/>
        </w:rPr>
        <w:t xml:space="preserve">     </w:t>
      </w:r>
      <w:r w:rsidR="003D6DF2">
        <w:rPr>
          <w:rFonts w:ascii="Times New Roman" w:hAnsi="Times New Roman"/>
          <w:sz w:val="20"/>
        </w:rPr>
        <w:t>Explanation R</w:t>
      </w:r>
      <w:r>
        <w:rPr>
          <w:rFonts w:ascii="Times New Roman" w:hAnsi="Times New Roman"/>
          <w:sz w:val="20"/>
        </w:rPr>
        <w:t>egarding</w:t>
      </w:r>
      <w:r w:rsidRPr="00400883">
        <w:rPr>
          <w:rFonts w:ascii="Times New Roman" w:hAnsi="Times New Roman"/>
          <w:sz w:val="20"/>
        </w:rPr>
        <w:t xml:space="preserve"> </w:t>
      </w:r>
      <w:r w:rsidR="00332388">
        <w:rPr>
          <w:rFonts w:ascii="Times New Roman" w:hAnsi="Times New Roman"/>
          <w:sz w:val="20"/>
        </w:rPr>
        <w:t>t</w:t>
      </w:r>
      <w:r w:rsidR="003D6DF2">
        <w:rPr>
          <w:rFonts w:ascii="Times New Roman" w:hAnsi="Times New Roman"/>
          <w:sz w:val="20"/>
        </w:rPr>
        <w:t>he</w:t>
      </w:r>
      <w:r w:rsidRPr="00400883">
        <w:rPr>
          <w:rFonts w:ascii="Times New Roman" w:hAnsi="Times New Roman"/>
          <w:sz w:val="20"/>
        </w:rPr>
        <w:t xml:space="preserve"> P</w:t>
      </w:r>
      <w:r w:rsidR="00980409">
        <w:rPr>
          <w:rFonts w:ascii="Times New Roman" w:hAnsi="Times New Roman"/>
          <w:sz w:val="20"/>
        </w:rPr>
        <w:t>resentation o</w:t>
      </w:r>
      <w:r w:rsidR="003D6DF2">
        <w:rPr>
          <w:rFonts w:ascii="Times New Roman" w:hAnsi="Times New Roman"/>
          <w:sz w:val="20"/>
        </w:rPr>
        <w:t>f</w:t>
      </w:r>
      <w:r w:rsidRPr="00400883">
        <w:rPr>
          <w:rFonts w:ascii="Times New Roman" w:hAnsi="Times New Roman"/>
          <w:sz w:val="20"/>
        </w:rPr>
        <w:t xml:space="preserve"> F</w:t>
      </w:r>
      <w:r w:rsidR="003D6DF2">
        <w:rPr>
          <w:rFonts w:ascii="Times New Roman" w:hAnsi="Times New Roman"/>
          <w:sz w:val="20"/>
        </w:rPr>
        <w:t>inancial</w:t>
      </w:r>
      <w:r w:rsidRPr="00400883">
        <w:rPr>
          <w:rFonts w:ascii="Times New Roman" w:hAnsi="Times New Roman"/>
          <w:sz w:val="20"/>
        </w:rPr>
        <w:t xml:space="preserve"> A</w:t>
      </w:r>
      <w:r w:rsidR="00D410C8">
        <w:rPr>
          <w:rFonts w:ascii="Times New Roman" w:hAnsi="Times New Roman"/>
          <w:sz w:val="20"/>
        </w:rPr>
        <w:t>ssets a</w:t>
      </w:r>
      <w:r w:rsidR="003D6DF2">
        <w:rPr>
          <w:rFonts w:ascii="Times New Roman" w:hAnsi="Times New Roman"/>
          <w:sz w:val="20"/>
        </w:rPr>
        <w:t>nd</w:t>
      </w:r>
      <w:r w:rsidRPr="00400883">
        <w:rPr>
          <w:rFonts w:ascii="Times New Roman" w:hAnsi="Times New Roman"/>
          <w:sz w:val="20"/>
        </w:rPr>
        <w:t xml:space="preserve"> </w:t>
      </w:r>
      <w:r w:rsidR="00FC2264">
        <w:rPr>
          <w:rFonts w:ascii="Times New Roman" w:hAnsi="Times New Roman"/>
          <w:sz w:val="20"/>
        </w:rPr>
        <w:t>Liabilities a</w:t>
      </w:r>
      <w:r w:rsidR="003D6DF2">
        <w:rPr>
          <w:rFonts w:ascii="Times New Roman" w:hAnsi="Times New Roman"/>
          <w:sz w:val="20"/>
        </w:rPr>
        <w:t>t</w:t>
      </w:r>
      <w:r w:rsidRPr="00400883">
        <w:rPr>
          <w:rFonts w:ascii="Times New Roman" w:hAnsi="Times New Roman"/>
          <w:sz w:val="20"/>
        </w:rPr>
        <w:t xml:space="preserve"> T</w:t>
      </w:r>
      <w:r w:rsidR="003D6DF2">
        <w:rPr>
          <w:rFonts w:ascii="Times New Roman" w:hAnsi="Times New Roman"/>
          <w:sz w:val="20"/>
        </w:rPr>
        <w:t>heir</w:t>
      </w:r>
      <w:r w:rsidRPr="00400883">
        <w:rPr>
          <w:rFonts w:ascii="Times New Roman" w:hAnsi="Times New Roman"/>
          <w:sz w:val="20"/>
        </w:rPr>
        <w:t xml:space="preserve"> F</w:t>
      </w:r>
      <w:r w:rsidR="003D6DF2">
        <w:rPr>
          <w:rFonts w:ascii="Times New Roman" w:hAnsi="Times New Roman"/>
          <w:sz w:val="20"/>
        </w:rPr>
        <w:t>air</w:t>
      </w:r>
      <w:r w:rsidRPr="00400883">
        <w:rPr>
          <w:rFonts w:ascii="Times New Roman" w:hAnsi="Times New Roman"/>
          <w:sz w:val="20"/>
        </w:rPr>
        <w:t xml:space="preserve"> V</w:t>
      </w:r>
      <w:r w:rsidR="003D6DF2">
        <w:rPr>
          <w:rFonts w:ascii="Times New Roman" w:hAnsi="Times New Roman"/>
          <w:sz w:val="20"/>
        </w:rPr>
        <w:t>alues</w:t>
      </w:r>
      <w:r w:rsidRPr="00400883">
        <w:rPr>
          <w:rFonts w:ascii="Times New Roman" w:hAnsi="Times New Roman"/>
          <w:sz w:val="20"/>
        </w:rPr>
        <w:t>:</w:t>
      </w:r>
    </w:p>
    <w:p w14:paraId="7162BA4A" w14:textId="77777777" w:rsidR="00400883" w:rsidRPr="003E2819" w:rsidRDefault="003D6DF2" w:rsidP="0029258F">
      <w:pPr>
        <w:pStyle w:val="ListParagraph"/>
        <w:numPr>
          <w:ilvl w:val="0"/>
          <w:numId w:val="18"/>
        </w:numPr>
        <w:tabs>
          <w:tab w:val="left" w:pos="567"/>
        </w:tabs>
        <w:spacing w:before="60" w:after="60"/>
        <w:ind w:left="0" w:firstLine="0"/>
        <w:contextualSpacing w:val="0"/>
        <w:jc w:val="both"/>
        <w:rPr>
          <w:b/>
          <w:sz w:val="20"/>
          <w:szCs w:val="20"/>
        </w:rPr>
      </w:pPr>
      <w:r>
        <w:rPr>
          <w:b/>
          <w:sz w:val="20"/>
          <w:szCs w:val="20"/>
        </w:rPr>
        <w:t xml:space="preserve">  </w:t>
      </w:r>
      <w:r w:rsidR="00400883" w:rsidRPr="003E2819">
        <w:rPr>
          <w:b/>
          <w:sz w:val="20"/>
          <w:szCs w:val="20"/>
        </w:rPr>
        <w:t>Financial Assets and Liabilities at their fair values:</w:t>
      </w:r>
    </w:p>
    <w:p w14:paraId="7391A70F" w14:textId="77777777" w:rsidR="00400883" w:rsidRPr="003E2819" w:rsidRDefault="00400883" w:rsidP="00400883">
      <w:pPr>
        <w:pStyle w:val="BodyTextIndent"/>
        <w:tabs>
          <w:tab w:val="left" w:pos="1276"/>
        </w:tabs>
        <w:spacing w:after="0" w:line="48" w:lineRule="auto"/>
        <w:ind w:left="0"/>
        <w:jc w:val="both"/>
        <w:rPr>
          <w:b/>
          <w:sz w:val="20"/>
          <w:szCs w:val="20"/>
        </w:rPr>
      </w:pPr>
    </w:p>
    <w:p w14:paraId="1104622D" w14:textId="3107F1A8" w:rsidR="00400883" w:rsidRPr="003E2819" w:rsidRDefault="00400883" w:rsidP="00FC2264">
      <w:pPr>
        <w:pStyle w:val="BodyTextIndent"/>
        <w:tabs>
          <w:tab w:val="left" w:pos="1276"/>
        </w:tabs>
        <w:spacing w:after="80"/>
        <w:ind w:left="0"/>
        <w:jc w:val="both"/>
        <w:rPr>
          <w:sz w:val="20"/>
          <w:szCs w:val="20"/>
        </w:rPr>
      </w:pPr>
      <w:r w:rsidRPr="003E2819">
        <w:rPr>
          <w:sz w:val="20"/>
          <w:szCs w:val="20"/>
        </w:rPr>
        <w:t>The fair values of held-to-maturity assets are determined based on market prices or when this price is not available, based on market prices quoted for other securities subject to the same redemption qualifications in terms of interest, maturity and other similar conditions.</w:t>
      </w:r>
    </w:p>
    <w:p w14:paraId="0E56E697" w14:textId="7D5A498B" w:rsidR="00400883" w:rsidRPr="003E2819" w:rsidRDefault="00400883" w:rsidP="00FC2264">
      <w:pPr>
        <w:pStyle w:val="BodyTextIndent"/>
        <w:tabs>
          <w:tab w:val="left" w:pos="1276"/>
        </w:tabs>
        <w:spacing w:after="80"/>
        <w:ind w:left="0"/>
        <w:jc w:val="both"/>
        <w:rPr>
          <w:sz w:val="20"/>
          <w:szCs w:val="20"/>
        </w:rPr>
      </w:pPr>
      <w:r w:rsidRPr="003E2819">
        <w:rPr>
          <w:sz w:val="20"/>
          <w:szCs w:val="20"/>
        </w:rPr>
        <w:t xml:space="preserve">The expected fair value of the demand placements and deposits represents the amount to be paid upon request. The expected fair value of the fixed rate deposits is determined by calculating the discounted cash flow using the </w:t>
      </w:r>
      <w:r w:rsidR="002C3B01">
        <w:rPr>
          <w:sz w:val="20"/>
          <w:szCs w:val="20"/>
        </w:rPr>
        <w:t xml:space="preserve">Parent </w:t>
      </w:r>
      <w:r w:rsidRPr="003E2819">
        <w:rPr>
          <w:sz w:val="20"/>
          <w:szCs w:val="20"/>
        </w:rPr>
        <w:t>Bank’s current interest rates as of balance sheet date.</w:t>
      </w:r>
    </w:p>
    <w:p w14:paraId="644A4C66" w14:textId="14CE12B5" w:rsidR="00400883" w:rsidRPr="003E2819" w:rsidRDefault="00400883" w:rsidP="0029258F">
      <w:pPr>
        <w:pStyle w:val="BodyTextIndent"/>
        <w:tabs>
          <w:tab w:val="left" w:pos="1276"/>
        </w:tabs>
        <w:spacing w:after="80"/>
        <w:ind w:left="0"/>
        <w:jc w:val="both"/>
        <w:rPr>
          <w:sz w:val="20"/>
          <w:szCs w:val="20"/>
        </w:rPr>
      </w:pPr>
      <w:r w:rsidRPr="003E2819">
        <w:rPr>
          <w:sz w:val="20"/>
          <w:szCs w:val="20"/>
        </w:rPr>
        <w:t xml:space="preserve">The expected fair value of loans and receivables are determined by calculating the discounted cash flows using the Bank’s current interest rates for fixed interest loans. For the loans with floating interest rates, it is assumed that the book value reflects the fair </w:t>
      </w:r>
      <w:proofErr w:type="spellStart"/>
      <w:r w:rsidRPr="003E2819">
        <w:rPr>
          <w:sz w:val="20"/>
          <w:szCs w:val="20"/>
        </w:rPr>
        <w:t>value.The</w:t>
      </w:r>
      <w:proofErr w:type="spellEnd"/>
      <w:r w:rsidRPr="003E2819">
        <w:rPr>
          <w:sz w:val="20"/>
          <w:szCs w:val="20"/>
        </w:rPr>
        <w:t xml:space="preserve"> expected fair value of bank placements, money market placements and bank deposits are determined by calculating the discounted cash flows using the current market interest rates of similar assets and </w:t>
      </w:r>
      <w:proofErr w:type="spellStart"/>
      <w:r w:rsidRPr="003E2819">
        <w:rPr>
          <w:sz w:val="20"/>
          <w:szCs w:val="20"/>
        </w:rPr>
        <w:t>liabilities.The</w:t>
      </w:r>
      <w:proofErr w:type="spellEnd"/>
      <w:r w:rsidRPr="003E2819">
        <w:rPr>
          <w:sz w:val="20"/>
          <w:szCs w:val="20"/>
        </w:rPr>
        <w:t xml:space="preserve"> following table summarizes the </w:t>
      </w:r>
      <w:r>
        <w:rPr>
          <w:sz w:val="20"/>
          <w:szCs w:val="20"/>
        </w:rPr>
        <w:t>carrying</w:t>
      </w:r>
      <w:r w:rsidRPr="003E2819">
        <w:rPr>
          <w:sz w:val="20"/>
          <w:szCs w:val="20"/>
        </w:rPr>
        <w:t xml:space="preserve"> values and fair values of some financi</w:t>
      </w:r>
      <w:r>
        <w:rPr>
          <w:sz w:val="20"/>
          <w:szCs w:val="20"/>
        </w:rPr>
        <w:t>al assets and liabilities of the group</w:t>
      </w:r>
      <w:r w:rsidRPr="003E2819">
        <w:rPr>
          <w:sz w:val="20"/>
          <w:szCs w:val="20"/>
        </w:rPr>
        <w:t>.</w:t>
      </w:r>
    </w:p>
    <w:tbl>
      <w:tblPr>
        <w:tblW w:w="932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3095"/>
        <w:gridCol w:w="1592"/>
        <w:gridCol w:w="1546"/>
        <w:gridCol w:w="1547"/>
        <w:gridCol w:w="1548"/>
      </w:tblGrid>
      <w:tr w:rsidR="00400883" w:rsidRPr="003E2819" w14:paraId="0FC69D57" w14:textId="77777777" w:rsidTr="00CE39AA">
        <w:trPr>
          <w:trHeight w:val="283"/>
        </w:trPr>
        <w:tc>
          <w:tcPr>
            <w:tcW w:w="3095" w:type="dxa"/>
            <w:vMerge w:val="restart"/>
            <w:vAlign w:val="bottom"/>
          </w:tcPr>
          <w:p w14:paraId="1161BE99" w14:textId="77777777" w:rsidR="00400883" w:rsidRPr="003E2819" w:rsidRDefault="00400883" w:rsidP="00400883">
            <w:pPr>
              <w:jc w:val="both"/>
              <w:rPr>
                <w:rFonts w:eastAsia="Arial Unicode MS"/>
                <w:sz w:val="18"/>
                <w:szCs w:val="18"/>
                <w:lang w:eastAsia="tr-TR"/>
              </w:rPr>
            </w:pPr>
          </w:p>
        </w:tc>
        <w:tc>
          <w:tcPr>
            <w:tcW w:w="3138" w:type="dxa"/>
            <w:gridSpan w:val="2"/>
            <w:vAlign w:val="bottom"/>
          </w:tcPr>
          <w:p w14:paraId="6DD9A961" w14:textId="77777777" w:rsidR="00400883" w:rsidRPr="003E2819" w:rsidRDefault="00400883" w:rsidP="00400883">
            <w:pPr>
              <w:jc w:val="center"/>
              <w:rPr>
                <w:rFonts w:eastAsia="Arial Unicode MS"/>
                <w:b/>
                <w:bCs/>
                <w:sz w:val="18"/>
                <w:szCs w:val="18"/>
                <w:lang w:eastAsia="tr-TR"/>
              </w:rPr>
            </w:pPr>
            <w:r>
              <w:rPr>
                <w:b/>
                <w:bCs/>
                <w:sz w:val="18"/>
                <w:szCs w:val="18"/>
                <w:lang w:eastAsia="tr-TR"/>
              </w:rPr>
              <w:t>Carrying</w:t>
            </w:r>
            <w:r w:rsidRPr="003E2819" w:rsidDel="008A6DDE">
              <w:rPr>
                <w:b/>
                <w:bCs/>
                <w:sz w:val="18"/>
                <w:szCs w:val="18"/>
                <w:lang w:eastAsia="tr-TR"/>
              </w:rPr>
              <w:t xml:space="preserve"> </w:t>
            </w:r>
            <w:r w:rsidRPr="003E2819">
              <w:rPr>
                <w:b/>
                <w:bCs/>
                <w:sz w:val="18"/>
                <w:szCs w:val="18"/>
                <w:lang w:eastAsia="tr-TR"/>
              </w:rPr>
              <w:t>Value</w:t>
            </w:r>
          </w:p>
        </w:tc>
        <w:tc>
          <w:tcPr>
            <w:tcW w:w="3095" w:type="dxa"/>
            <w:gridSpan w:val="2"/>
            <w:vAlign w:val="bottom"/>
          </w:tcPr>
          <w:p w14:paraId="5243D81C" w14:textId="77777777" w:rsidR="00400883" w:rsidRPr="003E2819" w:rsidRDefault="00400883" w:rsidP="00400883">
            <w:pPr>
              <w:jc w:val="center"/>
              <w:rPr>
                <w:rFonts w:eastAsia="Arial Unicode MS"/>
                <w:b/>
                <w:bCs/>
                <w:sz w:val="18"/>
                <w:szCs w:val="18"/>
                <w:lang w:eastAsia="tr-TR"/>
              </w:rPr>
            </w:pPr>
            <w:r w:rsidRPr="003E2819">
              <w:rPr>
                <w:b/>
                <w:bCs/>
                <w:sz w:val="18"/>
                <w:szCs w:val="18"/>
                <w:lang w:eastAsia="tr-TR"/>
              </w:rPr>
              <w:t>Fair Value</w:t>
            </w:r>
          </w:p>
        </w:tc>
      </w:tr>
      <w:tr w:rsidR="00400883" w:rsidRPr="003E2819" w14:paraId="58F9E486" w14:textId="77777777" w:rsidTr="00CE39AA">
        <w:trPr>
          <w:trHeight w:val="283"/>
        </w:trPr>
        <w:tc>
          <w:tcPr>
            <w:tcW w:w="3095" w:type="dxa"/>
            <w:vMerge/>
            <w:vAlign w:val="center"/>
          </w:tcPr>
          <w:p w14:paraId="518ECD0C" w14:textId="77777777" w:rsidR="00400883" w:rsidRPr="003E2819" w:rsidRDefault="00400883" w:rsidP="00400883">
            <w:pPr>
              <w:rPr>
                <w:rFonts w:eastAsia="Arial Unicode MS"/>
                <w:sz w:val="18"/>
                <w:szCs w:val="18"/>
                <w:lang w:eastAsia="tr-TR"/>
              </w:rPr>
            </w:pPr>
          </w:p>
        </w:tc>
        <w:tc>
          <w:tcPr>
            <w:tcW w:w="1592" w:type="dxa"/>
            <w:vAlign w:val="bottom"/>
          </w:tcPr>
          <w:p w14:paraId="6E5D3945" w14:textId="77777777" w:rsidR="00400883" w:rsidRPr="003E2819" w:rsidRDefault="00400883" w:rsidP="00906AE1">
            <w:pPr>
              <w:ind w:right="26"/>
              <w:jc w:val="right"/>
              <w:rPr>
                <w:rFonts w:eastAsia="Arial Unicode MS"/>
                <w:b/>
                <w:bCs/>
                <w:sz w:val="18"/>
                <w:szCs w:val="18"/>
                <w:lang w:eastAsia="tr-TR"/>
              </w:rPr>
            </w:pPr>
            <w:r>
              <w:rPr>
                <w:b/>
                <w:bCs/>
                <w:sz w:val="18"/>
                <w:szCs w:val="18"/>
                <w:lang w:eastAsia="tr-TR"/>
              </w:rPr>
              <w:t>31 December 201</w:t>
            </w:r>
            <w:r w:rsidR="00906AE1">
              <w:rPr>
                <w:b/>
                <w:bCs/>
                <w:sz w:val="18"/>
                <w:szCs w:val="18"/>
                <w:lang w:eastAsia="tr-TR"/>
              </w:rPr>
              <w:t>5</w:t>
            </w:r>
          </w:p>
        </w:tc>
        <w:tc>
          <w:tcPr>
            <w:tcW w:w="1546" w:type="dxa"/>
            <w:vAlign w:val="bottom"/>
          </w:tcPr>
          <w:p w14:paraId="096B0C33" w14:textId="77777777" w:rsidR="00400883" w:rsidRPr="003E2819" w:rsidRDefault="00400883" w:rsidP="00906AE1">
            <w:pPr>
              <w:ind w:right="26"/>
              <w:jc w:val="right"/>
              <w:rPr>
                <w:rFonts w:eastAsia="Arial Unicode MS"/>
                <w:b/>
                <w:bCs/>
                <w:sz w:val="18"/>
                <w:szCs w:val="18"/>
                <w:lang w:eastAsia="tr-TR"/>
              </w:rPr>
            </w:pPr>
            <w:r w:rsidRPr="003E2819">
              <w:rPr>
                <w:rFonts w:eastAsia="Arial Unicode MS"/>
                <w:b/>
                <w:bCs/>
                <w:sz w:val="18"/>
                <w:szCs w:val="18"/>
                <w:lang w:eastAsia="tr-TR"/>
              </w:rPr>
              <w:t>31 December 20</w:t>
            </w:r>
            <w:r>
              <w:rPr>
                <w:rFonts w:eastAsia="Arial Unicode MS"/>
                <w:b/>
                <w:bCs/>
                <w:sz w:val="18"/>
                <w:szCs w:val="18"/>
                <w:lang w:eastAsia="tr-TR"/>
              </w:rPr>
              <w:t>1</w:t>
            </w:r>
            <w:r w:rsidR="00906AE1">
              <w:rPr>
                <w:rFonts w:eastAsia="Arial Unicode MS"/>
                <w:b/>
                <w:bCs/>
                <w:sz w:val="18"/>
                <w:szCs w:val="18"/>
                <w:lang w:eastAsia="tr-TR"/>
              </w:rPr>
              <w:t>4</w:t>
            </w:r>
          </w:p>
        </w:tc>
        <w:tc>
          <w:tcPr>
            <w:tcW w:w="1547" w:type="dxa"/>
            <w:vAlign w:val="bottom"/>
          </w:tcPr>
          <w:p w14:paraId="6ABFA504" w14:textId="77777777" w:rsidR="00400883" w:rsidRPr="003E2819" w:rsidRDefault="00400883" w:rsidP="00906AE1">
            <w:pPr>
              <w:ind w:right="26"/>
              <w:jc w:val="right"/>
              <w:rPr>
                <w:rFonts w:eastAsia="Arial Unicode MS"/>
                <w:b/>
                <w:bCs/>
                <w:sz w:val="18"/>
                <w:szCs w:val="18"/>
                <w:lang w:eastAsia="tr-TR"/>
              </w:rPr>
            </w:pPr>
            <w:r w:rsidRPr="003E2819">
              <w:rPr>
                <w:b/>
                <w:bCs/>
                <w:sz w:val="18"/>
                <w:szCs w:val="18"/>
                <w:lang w:eastAsia="tr-TR"/>
              </w:rPr>
              <w:t>31 December 201</w:t>
            </w:r>
            <w:r w:rsidR="00906AE1">
              <w:rPr>
                <w:b/>
                <w:bCs/>
                <w:sz w:val="18"/>
                <w:szCs w:val="18"/>
                <w:lang w:eastAsia="tr-TR"/>
              </w:rPr>
              <w:t>5</w:t>
            </w:r>
          </w:p>
        </w:tc>
        <w:tc>
          <w:tcPr>
            <w:tcW w:w="1547" w:type="dxa"/>
            <w:vAlign w:val="bottom"/>
          </w:tcPr>
          <w:p w14:paraId="552A75E6" w14:textId="77777777" w:rsidR="00400883" w:rsidRPr="003E2819" w:rsidRDefault="00400883" w:rsidP="00906AE1">
            <w:pPr>
              <w:ind w:right="26"/>
              <w:jc w:val="right"/>
              <w:rPr>
                <w:rFonts w:eastAsia="Arial Unicode MS"/>
                <w:b/>
                <w:bCs/>
                <w:sz w:val="18"/>
                <w:szCs w:val="18"/>
                <w:lang w:eastAsia="tr-TR"/>
              </w:rPr>
            </w:pPr>
            <w:r w:rsidRPr="003E2819">
              <w:rPr>
                <w:rFonts w:eastAsia="Arial Unicode MS"/>
                <w:b/>
                <w:bCs/>
                <w:sz w:val="18"/>
                <w:szCs w:val="18"/>
                <w:lang w:eastAsia="tr-TR"/>
              </w:rPr>
              <w:t>31 December 201</w:t>
            </w:r>
            <w:r w:rsidR="00906AE1">
              <w:rPr>
                <w:rFonts w:eastAsia="Arial Unicode MS"/>
                <w:b/>
                <w:bCs/>
                <w:sz w:val="18"/>
                <w:szCs w:val="18"/>
                <w:lang w:eastAsia="tr-TR"/>
              </w:rPr>
              <w:t>4</w:t>
            </w:r>
          </w:p>
        </w:tc>
      </w:tr>
      <w:tr w:rsidR="00224102" w:rsidRPr="003E2819" w14:paraId="7B41607C" w14:textId="77777777" w:rsidTr="00CE39AA">
        <w:trPr>
          <w:trHeight w:val="226"/>
        </w:trPr>
        <w:tc>
          <w:tcPr>
            <w:tcW w:w="3095" w:type="dxa"/>
            <w:vAlign w:val="bottom"/>
          </w:tcPr>
          <w:p w14:paraId="05C0DF12" w14:textId="77777777" w:rsidR="00224102" w:rsidRPr="003E2819" w:rsidRDefault="00224102" w:rsidP="00224102">
            <w:pPr>
              <w:rPr>
                <w:rFonts w:eastAsia="Arial Unicode MS"/>
                <w:b/>
                <w:sz w:val="18"/>
                <w:szCs w:val="18"/>
                <w:lang w:eastAsia="tr-TR"/>
              </w:rPr>
            </w:pPr>
            <w:r w:rsidRPr="003E2819">
              <w:rPr>
                <w:b/>
                <w:sz w:val="18"/>
                <w:szCs w:val="18"/>
                <w:lang w:eastAsia="tr-TR"/>
              </w:rPr>
              <w:t>Financial Assets</w:t>
            </w:r>
          </w:p>
        </w:tc>
        <w:tc>
          <w:tcPr>
            <w:tcW w:w="1592" w:type="dxa"/>
            <w:vAlign w:val="bottom"/>
          </w:tcPr>
          <w:p w14:paraId="533A68B7" w14:textId="180A3387" w:rsidR="00224102" w:rsidRPr="00195EDC" w:rsidRDefault="00224102" w:rsidP="00224102">
            <w:pPr>
              <w:jc w:val="right"/>
              <w:rPr>
                <w:b/>
                <w:bCs/>
                <w:sz w:val="18"/>
                <w:szCs w:val="18"/>
              </w:rPr>
            </w:pPr>
            <w:r w:rsidRPr="00E46F2D">
              <w:rPr>
                <w:b/>
                <w:bCs/>
                <w:sz w:val="18"/>
                <w:szCs w:val="18"/>
              </w:rPr>
              <w:t>11,084,866</w:t>
            </w:r>
          </w:p>
        </w:tc>
        <w:tc>
          <w:tcPr>
            <w:tcW w:w="1546" w:type="dxa"/>
            <w:vAlign w:val="bottom"/>
          </w:tcPr>
          <w:p w14:paraId="02D010A5" w14:textId="4D67C8BF" w:rsidR="00224102" w:rsidRPr="00195EDC" w:rsidRDefault="00224102" w:rsidP="00224102">
            <w:pPr>
              <w:jc w:val="right"/>
              <w:rPr>
                <w:b/>
                <w:bCs/>
                <w:sz w:val="18"/>
                <w:szCs w:val="18"/>
              </w:rPr>
            </w:pPr>
            <w:r w:rsidRPr="00E46F2D">
              <w:rPr>
                <w:b/>
                <w:bCs/>
                <w:sz w:val="18"/>
                <w:szCs w:val="18"/>
              </w:rPr>
              <w:t>8,907,637</w:t>
            </w:r>
          </w:p>
        </w:tc>
        <w:tc>
          <w:tcPr>
            <w:tcW w:w="1547" w:type="dxa"/>
            <w:vAlign w:val="bottom"/>
          </w:tcPr>
          <w:p w14:paraId="031B4D75" w14:textId="40BEA308" w:rsidR="00224102" w:rsidRPr="00195EDC" w:rsidRDefault="00224102" w:rsidP="00224102">
            <w:pPr>
              <w:jc w:val="right"/>
              <w:rPr>
                <w:b/>
                <w:bCs/>
                <w:sz w:val="18"/>
                <w:szCs w:val="18"/>
              </w:rPr>
            </w:pPr>
            <w:r w:rsidRPr="00E46F2D">
              <w:rPr>
                <w:b/>
                <w:bCs/>
                <w:sz w:val="18"/>
                <w:szCs w:val="18"/>
              </w:rPr>
              <w:t>11,927,672</w:t>
            </w:r>
          </w:p>
        </w:tc>
        <w:tc>
          <w:tcPr>
            <w:tcW w:w="1547" w:type="dxa"/>
            <w:vAlign w:val="bottom"/>
          </w:tcPr>
          <w:p w14:paraId="497727DF" w14:textId="36DFBEBF" w:rsidR="00224102" w:rsidRPr="00195EDC" w:rsidRDefault="00224102" w:rsidP="00224102">
            <w:pPr>
              <w:jc w:val="right"/>
              <w:rPr>
                <w:b/>
                <w:bCs/>
                <w:sz w:val="18"/>
                <w:szCs w:val="18"/>
              </w:rPr>
            </w:pPr>
            <w:r w:rsidRPr="00E46F2D">
              <w:rPr>
                <w:b/>
                <w:bCs/>
                <w:sz w:val="18"/>
                <w:szCs w:val="18"/>
              </w:rPr>
              <w:t>9,361,735</w:t>
            </w:r>
          </w:p>
        </w:tc>
      </w:tr>
      <w:tr w:rsidR="00224102" w:rsidRPr="003E2819" w14:paraId="061893B0" w14:textId="77777777" w:rsidTr="00CE39AA">
        <w:trPr>
          <w:trHeight w:val="226"/>
        </w:trPr>
        <w:tc>
          <w:tcPr>
            <w:tcW w:w="3095" w:type="dxa"/>
            <w:vAlign w:val="bottom"/>
          </w:tcPr>
          <w:p w14:paraId="161F5C60" w14:textId="77777777" w:rsidR="00224102" w:rsidRPr="003E2819" w:rsidRDefault="00224102" w:rsidP="00224102">
            <w:pPr>
              <w:rPr>
                <w:snapToGrid w:val="0"/>
                <w:sz w:val="18"/>
                <w:szCs w:val="18"/>
                <w:lang w:eastAsia="tr-TR"/>
              </w:rPr>
            </w:pPr>
            <w:r w:rsidRPr="003E2819">
              <w:rPr>
                <w:snapToGrid w:val="0"/>
                <w:sz w:val="18"/>
                <w:szCs w:val="18"/>
                <w:lang w:eastAsia="tr-TR"/>
              </w:rPr>
              <w:t>Money Market</w:t>
            </w:r>
            <w:r>
              <w:rPr>
                <w:snapToGrid w:val="0"/>
                <w:sz w:val="18"/>
                <w:szCs w:val="18"/>
                <w:lang w:eastAsia="tr-TR"/>
              </w:rPr>
              <w:t xml:space="preserve"> Placements</w:t>
            </w:r>
          </w:p>
        </w:tc>
        <w:tc>
          <w:tcPr>
            <w:tcW w:w="1592" w:type="dxa"/>
            <w:vAlign w:val="bottom"/>
          </w:tcPr>
          <w:p w14:paraId="4C2794EF" w14:textId="298A14AC" w:rsidR="00224102" w:rsidRPr="00195EDC" w:rsidRDefault="00224102" w:rsidP="00224102">
            <w:pPr>
              <w:jc w:val="right"/>
              <w:rPr>
                <w:sz w:val="18"/>
                <w:szCs w:val="18"/>
              </w:rPr>
            </w:pPr>
            <w:r w:rsidRPr="00E46F2D">
              <w:rPr>
                <w:sz w:val="18"/>
                <w:szCs w:val="18"/>
              </w:rPr>
              <w:t>350,105</w:t>
            </w:r>
          </w:p>
        </w:tc>
        <w:tc>
          <w:tcPr>
            <w:tcW w:w="1546" w:type="dxa"/>
            <w:vAlign w:val="bottom"/>
          </w:tcPr>
          <w:p w14:paraId="2589684C" w14:textId="2CF56280" w:rsidR="00224102" w:rsidRPr="00195EDC" w:rsidRDefault="00224102" w:rsidP="00224102">
            <w:pPr>
              <w:jc w:val="right"/>
              <w:rPr>
                <w:sz w:val="18"/>
                <w:szCs w:val="18"/>
              </w:rPr>
            </w:pPr>
            <w:r w:rsidRPr="00E46F2D">
              <w:rPr>
                <w:sz w:val="18"/>
                <w:szCs w:val="18"/>
              </w:rPr>
              <w:t>6,774</w:t>
            </w:r>
          </w:p>
        </w:tc>
        <w:tc>
          <w:tcPr>
            <w:tcW w:w="1547" w:type="dxa"/>
            <w:vAlign w:val="bottom"/>
          </w:tcPr>
          <w:p w14:paraId="2372EC6D" w14:textId="4827D55A" w:rsidR="00224102" w:rsidRPr="00195EDC" w:rsidRDefault="00224102" w:rsidP="00224102">
            <w:pPr>
              <w:jc w:val="right"/>
              <w:rPr>
                <w:sz w:val="18"/>
                <w:szCs w:val="18"/>
              </w:rPr>
            </w:pPr>
            <w:r w:rsidRPr="00E46F2D">
              <w:rPr>
                <w:sz w:val="18"/>
                <w:szCs w:val="18"/>
              </w:rPr>
              <w:t>350,105</w:t>
            </w:r>
          </w:p>
        </w:tc>
        <w:tc>
          <w:tcPr>
            <w:tcW w:w="1547" w:type="dxa"/>
            <w:vAlign w:val="bottom"/>
          </w:tcPr>
          <w:p w14:paraId="0AE4C9A6" w14:textId="54DBAD03" w:rsidR="00224102" w:rsidRPr="00195EDC" w:rsidRDefault="00224102" w:rsidP="00224102">
            <w:pPr>
              <w:jc w:val="right"/>
              <w:rPr>
                <w:sz w:val="18"/>
                <w:szCs w:val="18"/>
              </w:rPr>
            </w:pPr>
            <w:r w:rsidRPr="00E46F2D">
              <w:rPr>
                <w:sz w:val="18"/>
                <w:szCs w:val="18"/>
              </w:rPr>
              <w:t>6,774</w:t>
            </w:r>
          </w:p>
        </w:tc>
      </w:tr>
      <w:tr w:rsidR="00224102" w:rsidRPr="003E2819" w14:paraId="520DB98D" w14:textId="77777777" w:rsidTr="00CE39AA">
        <w:trPr>
          <w:trHeight w:val="226"/>
        </w:trPr>
        <w:tc>
          <w:tcPr>
            <w:tcW w:w="3095" w:type="dxa"/>
            <w:vAlign w:val="bottom"/>
          </w:tcPr>
          <w:p w14:paraId="77E68B1F" w14:textId="77777777" w:rsidR="00224102" w:rsidRPr="003E2819" w:rsidRDefault="00224102" w:rsidP="00224102">
            <w:pPr>
              <w:rPr>
                <w:rFonts w:eastAsia="Arial Unicode MS"/>
                <w:sz w:val="18"/>
                <w:szCs w:val="18"/>
                <w:lang w:eastAsia="tr-TR"/>
              </w:rPr>
            </w:pPr>
            <w:r w:rsidRPr="003E2819">
              <w:rPr>
                <w:snapToGrid w:val="0"/>
                <w:sz w:val="18"/>
                <w:szCs w:val="18"/>
                <w:lang w:eastAsia="tr-TR"/>
              </w:rPr>
              <w:t>Banks</w:t>
            </w:r>
          </w:p>
        </w:tc>
        <w:tc>
          <w:tcPr>
            <w:tcW w:w="1592" w:type="dxa"/>
            <w:vAlign w:val="bottom"/>
          </w:tcPr>
          <w:p w14:paraId="62740957" w14:textId="4CCB52C0" w:rsidR="00224102" w:rsidRPr="00195EDC" w:rsidRDefault="00224102" w:rsidP="00224102">
            <w:pPr>
              <w:jc w:val="right"/>
              <w:rPr>
                <w:sz w:val="18"/>
                <w:szCs w:val="18"/>
              </w:rPr>
            </w:pPr>
            <w:r w:rsidRPr="00E46F2D">
              <w:rPr>
                <w:sz w:val="18"/>
                <w:szCs w:val="18"/>
              </w:rPr>
              <w:t>611,996</w:t>
            </w:r>
          </w:p>
        </w:tc>
        <w:tc>
          <w:tcPr>
            <w:tcW w:w="1546" w:type="dxa"/>
            <w:vAlign w:val="bottom"/>
          </w:tcPr>
          <w:p w14:paraId="189729CC" w14:textId="3C76D29D" w:rsidR="00224102" w:rsidRPr="00195EDC" w:rsidRDefault="00224102" w:rsidP="00224102">
            <w:pPr>
              <w:jc w:val="right"/>
              <w:rPr>
                <w:sz w:val="18"/>
                <w:szCs w:val="18"/>
              </w:rPr>
            </w:pPr>
            <w:r w:rsidRPr="00E46F2D">
              <w:rPr>
                <w:sz w:val="18"/>
                <w:szCs w:val="18"/>
              </w:rPr>
              <w:t>105,215</w:t>
            </w:r>
          </w:p>
        </w:tc>
        <w:tc>
          <w:tcPr>
            <w:tcW w:w="1547" w:type="dxa"/>
            <w:vAlign w:val="bottom"/>
          </w:tcPr>
          <w:p w14:paraId="7A2B2CC1" w14:textId="3D702B41" w:rsidR="00224102" w:rsidRPr="00195EDC" w:rsidRDefault="00224102" w:rsidP="00224102">
            <w:pPr>
              <w:jc w:val="right"/>
              <w:rPr>
                <w:sz w:val="18"/>
                <w:szCs w:val="18"/>
              </w:rPr>
            </w:pPr>
            <w:r w:rsidRPr="00E46F2D">
              <w:rPr>
                <w:sz w:val="18"/>
                <w:szCs w:val="18"/>
              </w:rPr>
              <w:t>612,300</w:t>
            </w:r>
          </w:p>
        </w:tc>
        <w:tc>
          <w:tcPr>
            <w:tcW w:w="1547" w:type="dxa"/>
            <w:vAlign w:val="bottom"/>
          </w:tcPr>
          <w:p w14:paraId="6560EA69" w14:textId="6F62883D" w:rsidR="00224102" w:rsidRPr="00195EDC" w:rsidRDefault="00224102" w:rsidP="00224102">
            <w:pPr>
              <w:jc w:val="right"/>
              <w:rPr>
                <w:sz w:val="18"/>
                <w:szCs w:val="18"/>
              </w:rPr>
            </w:pPr>
            <w:r w:rsidRPr="00E46F2D">
              <w:rPr>
                <w:sz w:val="18"/>
                <w:szCs w:val="18"/>
              </w:rPr>
              <w:t>105,215</w:t>
            </w:r>
          </w:p>
        </w:tc>
      </w:tr>
      <w:tr w:rsidR="00224102" w:rsidRPr="003E2819" w14:paraId="682C3541" w14:textId="77777777" w:rsidTr="00CE39AA">
        <w:trPr>
          <w:trHeight w:val="226"/>
        </w:trPr>
        <w:tc>
          <w:tcPr>
            <w:tcW w:w="3095" w:type="dxa"/>
            <w:vAlign w:val="bottom"/>
          </w:tcPr>
          <w:p w14:paraId="73943647" w14:textId="77777777" w:rsidR="00224102" w:rsidRPr="003E2819" w:rsidRDefault="00224102" w:rsidP="00224102">
            <w:pPr>
              <w:rPr>
                <w:rFonts w:eastAsia="Arial Unicode MS"/>
                <w:sz w:val="18"/>
                <w:szCs w:val="18"/>
                <w:lang w:eastAsia="tr-TR"/>
              </w:rPr>
            </w:pPr>
            <w:r w:rsidRPr="003E2819">
              <w:rPr>
                <w:snapToGrid w:val="0"/>
                <w:sz w:val="18"/>
                <w:szCs w:val="18"/>
                <w:lang w:eastAsia="tr-TR"/>
              </w:rPr>
              <w:t>Financial Assets</w:t>
            </w:r>
            <w:r>
              <w:rPr>
                <w:snapToGrid w:val="0"/>
                <w:sz w:val="18"/>
                <w:szCs w:val="18"/>
                <w:lang w:eastAsia="tr-TR"/>
              </w:rPr>
              <w:t xml:space="preserve"> </w:t>
            </w:r>
            <w:r w:rsidRPr="003E2819">
              <w:rPr>
                <w:snapToGrid w:val="0"/>
                <w:sz w:val="18"/>
                <w:szCs w:val="18"/>
                <w:lang w:eastAsia="tr-TR"/>
              </w:rPr>
              <w:t>Available-for-Sale</w:t>
            </w:r>
          </w:p>
        </w:tc>
        <w:tc>
          <w:tcPr>
            <w:tcW w:w="1592" w:type="dxa"/>
            <w:vAlign w:val="bottom"/>
          </w:tcPr>
          <w:p w14:paraId="17F33CC1" w14:textId="667C1AF2" w:rsidR="00224102" w:rsidRPr="00195EDC" w:rsidRDefault="00224102" w:rsidP="00224102">
            <w:pPr>
              <w:jc w:val="right"/>
              <w:rPr>
                <w:sz w:val="18"/>
                <w:szCs w:val="18"/>
              </w:rPr>
            </w:pPr>
            <w:r w:rsidRPr="00E46F2D">
              <w:rPr>
                <w:sz w:val="18"/>
                <w:szCs w:val="18"/>
              </w:rPr>
              <w:t>817,103</w:t>
            </w:r>
          </w:p>
        </w:tc>
        <w:tc>
          <w:tcPr>
            <w:tcW w:w="1546" w:type="dxa"/>
            <w:vAlign w:val="bottom"/>
          </w:tcPr>
          <w:p w14:paraId="696E6E6F" w14:textId="43114F5D" w:rsidR="00224102" w:rsidRPr="00195EDC" w:rsidRDefault="00224102" w:rsidP="00224102">
            <w:pPr>
              <w:jc w:val="right"/>
              <w:rPr>
                <w:sz w:val="18"/>
                <w:szCs w:val="18"/>
              </w:rPr>
            </w:pPr>
            <w:r w:rsidRPr="00E46F2D">
              <w:rPr>
                <w:sz w:val="18"/>
                <w:szCs w:val="18"/>
              </w:rPr>
              <w:t>896,108</w:t>
            </w:r>
          </w:p>
        </w:tc>
        <w:tc>
          <w:tcPr>
            <w:tcW w:w="1547" w:type="dxa"/>
            <w:vAlign w:val="bottom"/>
          </w:tcPr>
          <w:p w14:paraId="4C8F8C9D" w14:textId="4D834499" w:rsidR="00224102" w:rsidRPr="00195EDC" w:rsidRDefault="00224102" w:rsidP="00224102">
            <w:pPr>
              <w:jc w:val="right"/>
              <w:rPr>
                <w:sz w:val="18"/>
                <w:szCs w:val="18"/>
              </w:rPr>
            </w:pPr>
            <w:r w:rsidRPr="00E46F2D">
              <w:rPr>
                <w:sz w:val="18"/>
                <w:szCs w:val="18"/>
              </w:rPr>
              <w:t>815,942</w:t>
            </w:r>
          </w:p>
        </w:tc>
        <w:tc>
          <w:tcPr>
            <w:tcW w:w="1547" w:type="dxa"/>
            <w:vAlign w:val="bottom"/>
          </w:tcPr>
          <w:p w14:paraId="3A123947" w14:textId="4B7FA6A7" w:rsidR="00224102" w:rsidRPr="00195EDC" w:rsidRDefault="00224102" w:rsidP="00224102">
            <w:pPr>
              <w:jc w:val="right"/>
              <w:rPr>
                <w:sz w:val="18"/>
                <w:szCs w:val="18"/>
              </w:rPr>
            </w:pPr>
            <w:r w:rsidRPr="00E46F2D">
              <w:rPr>
                <w:sz w:val="18"/>
                <w:szCs w:val="18"/>
              </w:rPr>
              <w:t>896,108</w:t>
            </w:r>
          </w:p>
        </w:tc>
      </w:tr>
      <w:tr w:rsidR="00224102" w:rsidRPr="003E2819" w14:paraId="39B8DBE8" w14:textId="77777777" w:rsidTr="00CE39AA">
        <w:trPr>
          <w:trHeight w:val="226"/>
        </w:trPr>
        <w:tc>
          <w:tcPr>
            <w:tcW w:w="3095" w:type="dxa"/>
            <w:vAlign w:val="bottom"/>
          </w:tcPr>
          <w:p w14:paraId="0303DE00" w14:textId="77777777" w:rsidR="00224102" w:rsidRPr="003E2819" w:rsidRDefault="00224102" w:rsidP="00224102">
            <w:pPr>
              <w:rPr>
                <w:rFonts w:eastAsia="Arial Unicode MS"/>
                <w:sz w:val="18"/>
                <w:szCs w:val="18"/>
                <w:lang w:eastAsia="tr-TR"/>
              </w:rPr>
            </w:pPr>
            <w:r w:rsidRPr="003E2819">
              <w:rPr>
                <w:snapToGrid w:val="0"/>
                <w:sz w:val="18"/>
                <w:szCs w:val="18"/>
                <w:lang w:eastAsia="tr-TR"/>
              </w:rPr>
              <w:t>Held-to-maturity Investments</w:t>
            </w:r>
          </w:p>
        </w:tc>
        <w:tc>
          <w:tcPr>
            <w:tcW w:w="1592" w:type="dxa"/>
            <w:vAlign w:val="bottom"/>
          </w:tcPr>
          <w:p w14:paraId="4668623E" w14:textId="744EF564" w:rsidR="00224102" w:rsidRPr="00195EDC" w:rsidRDefault="00224102" w:rsidP="00224102">
            <w:pPr>
              <w:jc w:val="right"/>
              <w:rPr>
                <w:sz w:val="18"/>
                <w:szCs w:val="18"/>
              </w:rPr>
            </w:pPr>
            <w:r w:rsidRPr="00E46F2D">
              <w:rPr>
                <w:sz w:val="18"/>
                <w:szCs w:val="18"/>
              </w:rPr>
              <w:t>-</w:t>
            </w:r>
          </w:p>
        </w:tc>
        <w:tc>
          <w:tcPr>
            <w:tcW w:w="1546" w:type="dxa"/>
            <w:vAlign w:val="bottom"/>
          </w:tcPr>
          <w:p w14:paraId="2D8DBFDD" w14:textId="7FD8C716" w:rsidR="00224102" w:rsidRPr="00195EDC" w:rsidRDefault="00224102" w:rsidP="00224102">
            <w:pPr>
              <w:jc w:val="right"/>
              <w:rPr>
                <w:sz w:val="18"/>
                <w:szCs w:val="18"/>
              </w:rPr>
            </w:pPr>
            <w:r w:rsidRPr="00E46F2D">
              <w:rPr>
                <w:sz w:val="18"/>
                <w:szCs w:val="18"/>
              </w:rPr>
              <w:t>-</w:t>
            </w:r>
          </w:p>
        </w:tc>
        <w:tc>
          <w:tcPr>
            <w:tcW w:w="1547" w:type="dxa"/>
            <w:vAlign w:val="bottom"/>
          </w:tcPr>
          <w:p w14:paraId="32065BE0" w14:textId="3F72D5FB" w:rsidR="00224102" w:rsidRPr="00195EDC" w:rsidRDefault="00224102" w:rsidP="00224102">
            <w:pPr>
              <w:jc w:val="right"/>
              <w:rPr>
                <w:sz w:val="18"/>
                <w:szCs w:val="18"/>
              </w:rPr>
            </w:pPr>
            <w:r w:rsidRPr="00E46F2D">
              <w:rPr>
                <w:sz w:val="18"/>
                <w:szCs w:val="18"/>
              </w:rPr>
              <w:t>-</w:t>
            </w:r>
          </w:p>
        </w:tc>
        <w:tc>
          <w:tcPr>
            <w:tcW w:w="1547" w:type="dxa"/>
            <w:vAlign w:val="bottom"/>
          </w:tcPr>
          <w:p w14:paraId="38FF6B01" w14:textId="7A7D721F" w:rsidR="00224102" w:rsidRPr="00195EDC" w:rsidRDefault="00224102" w:rsidP="00224102">
            <w:pPr>
              <w:jc w:val="right"/>
              <w:rPr>
                <w:sz w:val="18"/>
                <w:szCs w:val="18"/>
              </w:rPr>
            </w:pPr>
            <w:r w:rsidRPr="00E46F2D">
              <w:rPr>
                <w:sz w:val="18"/>
                <w:szCs w:val="18"/>
              </w:rPr>
              <w:t>-</w:t>
            </w:r>
          </w:p>
        </w:tc>
      </w:tr>
      <w:tr w:rsidR="00224102" w:rsidRPr="003E2819" w14:paraId="42AE0D87" w14:textId="77777777" w:rsidTr="00CE39AA">
        <w:trPr>
          <w:trHeight w:val="226"/>
        </w:trPr>
        <w:tc>
          <w:tcPr>
            <w:tcW w:w="3095" w:type="dxa"/>
            <w:vAlign w:val="bottom"/>
          </w:tcPr>
          <w:p w14:paraId="03D92542" w14:textId="77777777" w:rsidR="00224102" w:rsidRPr="003E2819" w:rsidRDefault="00224102" w:rsidP="00224102">
            <w:pPr>
              <w:outlineLvl w:val="7"/>
              <w:rPr>
                <w:rFonts w:eastAsia="Arial Unicode MS"/>
                <w:iCs/>
                <w:sz w:val="18"/>
                <w:szCs w:val="18"/>
              </w:rPr>
            </w:pPr>
            <w:r w:rsidRPr="003E2819">
              <w:rPr>
                <w:iCs/>
                <w:sz w:val="18"/>
                <w:szCs w:val="18"/>
              </w:rPr>
              <w:t>Loans</w:t>
            </w:r>
          </w:p>
        </w:tc>
        <w:tc>
          <w:tcPr>
            <w:tcW w:w="1592" w:type="dxa"/>
            <w:vAlign w:val="bottom"/>
          </w:tcPr>
          <w:p w14:paraId="3C76FD83" w14:textId="638C1DFB" w:rsidR="00224102" w:rsidRPr="00195EDC" w:rsidRDefault="00224102" w:rsidP="00224102">
            <w:pPr>
              <w:ind w:right="47"/>
              <w:jc w:val="right"/>
              <w:rPr>
                <w:sz w:val="18"/>
                <w:szCs w:val="18"/>
              </w:rPr>
            </w:pPr>
            <w:r w:rsidRPr="00E46F2D">
              <w:rPr>
                <w:sz w:val="18"/>
                <w:szCs w:val="18"/>
              </w:rPr>
              <w:t>9,305,662</w:t>
            </w:r>
          </w:p>
        </w:tc>
        <w:tc>
          <w:tcPr>
            <w:tcW w:w="1546" w:type="dxa"/>
            <w:vAlign w:val="bottom"/>
          </w:tcPr>
          <w:p w14:paraId="3BE86EB2" w14:textId="3CFC185A" w:rsidR="00224102" w:rsidRPr="00195EDC" w:rsidRDefault="00224102" w:rsidP="00224102">
            <w:pPr>
              <w:ind w:right="47"/>
              <w:jc w:val="right"/>
              <w:rPr>
                <w:sz w:val="18"/>
                <w:szCs w:val="18"/>
              </w:rPr>
            </w:pPr>
            <w:r w:rsidRPr="00E46F2D">
              <w:rPr>
                <w:sz w:val="18"/>
                <w:szCs w:val="18"/>
              </w:rPr>
              <w:t>8,550,949</w:t>
            </w:r>
          </w:p>
        </w:tc>
        <w:tc>
          <w:tcPr>
            <w:tcW w:w="1547" w:type="dxa"/>
            <w:vAlign w:val="bottom"/>
          </w:tcPr>
          <w:p w14:paraId="5EEB6FEA" w14:textId="4584BF47" w:rsidR="00224102" w:rsidRPr="00195EDC" w:rsidRDefault="00224102" w:rsidP="00224102">
            <w:pPr>
              <w:ind w:right="47"/>
              <w:jc w:val="right"/>
              <w:rPr>
                <w:sz w:val="18"/>
                <w:szCs w:val="18"/>
              </w:rPr>
            </w:pPr>
            <w:r w:rsidRPr="00E46F2D">
              <w:rPr>
                <w:sz w:val="18"/>
                <w:szCs w:val="18"/>
              </w:rPr>
              <w:t>10,149,324</w:t>
            </w:r>
          </w:p>
        </w:tc>
        <w:tc>
          <w:tcPr>
            <w:tcW w:w="1547" w:type="dxa"/>
            <w:vAlign w:val="bottom"/>
          </w:tcPr>
          <w:p w14:paraId="09314844" w14:textId="03F1B5A0" w:rsidR="00224102" w:rsidRPr="00195EDC" w:rsidRDefault="00224102" w:rsidP="00224102">
            <w:pPr>
              <w:ind w:right="47"/>
              <w:jc w:val="right"/>
              <w:rPr>
                <w:sz w:val="18"/>
                <w:szCs w:val="18"/>
              </w:rPr>
            </w:pPr>
            <w:r w:rsidRPr="00E46F2D">
              <w:rPr>
                <w:sz w:val="18"/>
                <w:szCs w:val="18"/>
              </w:rPr>
              <w:t>9,005,047</w:t>
            </w:r>
          </w:p>
        </w:tc>
      </w:tr>
      <w:tr w:rsidR="00224102" w:rsidRPr="003E2819" w14:paraId="178D7761" w14:textId="77777777" w:rsidTr="00CE39AA">
        <w:trPr>
          <w:trHeight w:val="226"/>
        </w:trPr>
        <w:tc>
          <w:tcPr>
            <w:tcW w:w="3095" w:type="dxa"/>
            <w:vAlign w:val="bottom"/>
          </w:tcPr>
          <w:p w14:paraId="66BCF378" w14:textId="77777777" w:rsidR="00224102" w:rsidRPr="003E2819" w:rsidRDefault="00224102" w:rsidP="00224102">
            <w:pPr>
              <w:outlineLvl w:val="7"/>
              <w:rPr>
                <w:iCs/>
                <w:sz w:val="18"/>
                <w:szCs w:val="18"/>
              </w:rPr>
            </w:pPr>
          </w:p>
        </w:tc>
        <w:tc>
          <w:tcPr>
            <w:tcW w:w="1592" w:type="dxa"/>
            <w:vAlign w:val="bottom"/>
          </w:tcPr>
          <w:p w14:paraId="79D522A6" w14:textId="77777777" w:rsidR="00224102" w:rsidRPr="00195EDC" w:rsidRDefault="00224102" w:rsidP="00224102">
            <w:pPr>
              <w:ind w:right="47"/>
              <w:jc w:val="right"/>
              <w:rPr>
                <w:sz w:val="18"/>
                <w:szCs w:val="18"/>
              </w:rPr>
            </w:pPr>
          </w:p>
        </w:tc>
        <w:tc>
          <w:tcPr>
            <w:tcW w:w="1546" w:type="dxa"/>
            <w:vAlign w:val="bottom"/>
          </w:tcPr>
          <w:p w14:paraId="009F3544" w14:textId="77777777" w:rsidR="00224102" w:rsidRPr="00195EDC" w:rsidRDefault="00224102" w:rsidP="00224102">
            <w:pPr>
              <w:ind w:right="47"/>
              <w:jc w:val="right"/>
              <w:rPr>
                <w:sz w:val="18"/>
                <w:szCs w:val="18"/>
              </w:rPr>
            </w:pPr>
          </w:p>
        </w:tc>
        <w:tc>
          <w:tcPr>
            <w:tcW w:w="1547" w:type="dxa"/>
            <w:vAlign w:val="bottom"/>
          </w:tcPr>
          <w:p w14:paraId="76CB2806" w14:textId="77777777" w:rsidR="00224102" w:rsidRPr="00195EDC" w:rsidRDefault="00224102" w:rsidP="00224102">
            <w:pPr>
              <w:ind w:right="47"/>
              <w:jc w:val="right"/>
              <w:rPr>
                <w:sz w:val="18"/>
                <w:szCs w:val="18"/>
              </w:rPr>
            </w:pPr>
          </w:p>
        </w:tc>
        <w:tc>
          <w:tcPr>
            <w:tcW w:w="1547" w:type="dxa"/>
            <w:vAlign w:val="bottom"/>
          </w:tcPr>
          <w:p w14:paraId="6ACB6278" w14:textId="77777777" w:rsidR="00224102" w:rsidRPr="00195EDC" w:rsidRDefault="00224102" w:rsidP="00224102">
            <w:pPr>
              <w:ind w:right="47"/>
              <w:jc w:val="right"/>
              <w:rPr>
                <w:sz w:val="18"/>
                <w:szCs w:val="18"/>
              </w:rPr>
            </w:pPr>
          </w:p>
        </w:tc>
      </w:tr>
      <w:tr w:rsidR="00224102" w:rsidRPr="003E2819" w14:paraId="189FEF74" w14:textId="77777777" w:rsidTr="00CE39AA">
        <w:trPr>
          <w:trHeight w:val="226"/>
        </w:trPr>
        <w:tc>
          <w:tcPr>
            <w:tcW w:w="3095" w:type="dxa"/>
            <w:vAlign w:val="bottom"/>
          </w:tcPr>
          <w:p w14:paraId="2A49D00E" w14:textId="77777777" w:rsidR="00224102" w:rsidRPr="003E2819" w:rsidRDefault="00224102" w:rsidP="00224102">
            <w:pPr>
              <w:outlineLvl w:val="7"/>
              <w:rPr>
                <w:b/>
                <w:iCs/>
                <w:sz w:val="18"/>
                <w:szCs w:val="18"/>
              </w:rPr>
            </w:pPr>
            <w:r w:rsidRPr="003E2819">
              <w:rPr>
                <w:b/>
                <w:iCs/>
                <w:sz w:val="18"/>
                <w:szCs w:val="18"/>
              </w:rPr>
              <w:t>Financial Liabilities</w:t>
            </w:r>
          </w:p>
        </w:tc>
        <w:tc>
          <w:tcPr>
            <w:tcW w:w="1592" w:type="dxa"/>
            <w:vAlign w:val="bottom"/>
          </w:tcPr>
          <w:p w14:paraId="6CBF8505" w14:textId="0075B125" w:rsidR="00224102" w:rsidRPr="00195EDC" w:rsidRDefault="00224102" w:rsidP="00224102">
            <w:pPr>
              <w:ind w:right="47"/>
              <w:jc w:val="right"/>
              <w:rPr>
                <w:b/>
                <w:bCs/>
                <w:sz w:val="18"/>
                <w:szCs w:val="18"/>
              </w:rPr>
            </w:pPr>
            <w:r w:rsidRPr="00E46F2D">
              <w:rPr>
                <w:b/>
                <w:bCs/>
                <w:sz w:val="18"/>
                <w:szCs w:val="18"/>
              </w:rPr>
              <w:t>12,723,473</w:t>
            </w:r>
          </w:p>
        </w:tc>
        <w:tc>
          <w:tcPr>
            <w:tcW w:w="1546" w:type="dxa"/>
            <w:vAlign w:val="bottom"/>
          </w:tcPr>
          <w:p w14:paraId="0A5F0C27" w14:textId="76C2F4E7" w:rsidR="00224102" w:rsidRPr="00195EDC" w:rsidRDefault="00224102" w:rsidP="00224102">
            <w:pPr>
              <w:ind w:right="47"/>
              <w:jc w:val="right"/>
              <w:rPr>
                <w:b/>
                <w:bCs/>
                <w:sz w:val="18"/>
                <w:szCs w:val="18"/>
              </w:rPr>
            </w:pPr>
            <w:r w:rsidRPr="00E46F2D">
              <w:rPr>
                <w:b/>
                <w:bCs/>
                <w:sz w:val="18"/>
                <w:szCs w:val="18"/>
              </w:rPr>
              <w:t>10,019,521</w:t>
            </w:r>
          </w:p>
        </w:tc>
        <w:tc>
          <w:tcPr>
            <w:tcW w:w="1547" w:type="dxa"/>
            <w:vAlign w:val="bottom"/>
          </w:tcPr>
          <w:p w14:paraId="7B61E70A" w14:textId="4283B990" w:rsidR="00224102" w:rsidRPr="00195EDC" w:rsidRDefault="00224102" w:rsidP="00224102">
            <w:pPr>
              <w:ind w:right="47"/>
              <w:jc w:val="right"/>
              <w:rPr>
                <w:b/>
                <w:bCs/>
                <w:sz w:val="18"/>
                <w:szCs w:val="18"/>
              </w:rPr>
            </w:pPr>
            <w:r w:rsidRPr="00E46F2D">
              <w:rPr>
                <w:b/>
                <w:bCs/>
                <w:sz w:val="18"/>
                <w:szCs w:val="18"/>
              </w:rPr>
              <w:t>13,176,295</w:t>
            </w:r>
          </w:p>
        </w:tc>
        <w:tc>
          <w:tcPr>
            <w:tcW w:w="1547" w:type="dxa"/>
            <w:vAlign w:val="bottom"/>
          </w:tcPr>
          <w:p w14:paraId="75E977A5" w14:textId="12C48286" w:rsidR="00224102" w:rsidRPr="00195EDC" w:rsidRDefault="00224102" w:rsidP="00224102">
            <w:pPr>
              <w:ind w:right="47"/>
              <w:jc w:val="right"/>
              <w:rPr>
                <w:b/>
                <w:bCs/>
                <w:sz w:val="18"/>
                <w:szCs w:val="18"/>
              </w:rPr>
            </w:pPr>
            <w:r w:rsidRPr="00E46F2D">
              <w:rPr>
                <w:b/>
                <w:bCs/>
                <w:sz w:val="18"/>
                <w:szCs w:val="18"/>
              </w:rPr>
              <w:t>10,181,451</w:t>
            </w:r>
          </w:p>
        </w:tc>
      </w:tr>
      <w:tr w:rsidR="00224102" w:rsidRPr="003E2819" w14:paraId="21164007" w14:textId="77777777" w:rsidTr="00CE39AA">
        <w:trPr>
          <w:trHeight w:val="226"/>
        </w:trPr>
        <w:tc>
          <w:tcPr>
            <w:tcW w:w="3095" w:type="dxa"/>
            <w:vAlign w:val="bottom"/>
          </w:tcPr>
          <w:p w14:paraId="4AB1E804" w14:textId="77777777" w:rsidR="00224102" w:rsidRPr="003E2819" w:rsidRDefault="00224102" w:rsidP="00224102">
            <w:pPr>
              <w:rPr>
                <w:rFonts w:eastAsia="Arial Unicode MS"/>
                <w:sz w:val="18"/>
                <w:szCs w:val="18"/>
                <w:lang w:eastAsia="tr-TR"/>
              </w:rPr>
            </w:pPr>
            <w:bookmarkStart w:id="16" w:name="_Hlk224103025"/>
            <w:r w:rsidRPr="003E2819">
              <w:rPr>
                <w:snapToGrid w:val="0"/>
                <w:sz w:val="18"/>
                <w:szCs w:val="18"/>
                <w:lang w:eastAsia="tr-TR"/>
              </w:rPr>
              <w:t>Bank Deposits</w:t>
            </w:r>
          </w:p>
        </w:tc>
        <w:tc>
          <w:tcPr>
            <w:tcW w:w="1592" w:type="dxa"/>
            <w:vAlign w:val="bottom"/>
          </w:tcPr>
          <w:p w14:paraId="261EC81B" w14:textId="2425D0BA" w:rsidR="00224102" w:rsidRPr="00195EDC" w:rsidRDefault="00224102" w:rsidP="00224102">
            <w:pPr>
              <w:jc w:val="right"/>
              <w:rPr>
                <w:sz w:val="18"/>
                <w:szCs w:val="18"/>
              </w:rPr>
            </w:pPr>
            <w:r w:rsidRPr="00E46F2D">
              <w:rPr>
                <w:sz w:val="18"/>
                <w:szCs w:val="18"/>
              </w:rPr>
              <w:t>555,277</w:t>
            </w:r>
          </w:p>
        </w:tc>
        <w:tc>
          <w:tcPr>
            <w:tcW w:w="1546" w:type="dxa"/>
            <w:vAlign w:val="bottom"/>
          </w:tcPr>
          <w:p w14:paraId="05EF87CF" w14:textId="7F9E3E53" w:rsidR="00224102" w:rsidRPr="00195EDC" w:rsidRDefault="00224102" w:rsidP="00224102">
            <w:pPr>
              <w:jc w:val="right"/>
              <w:rPr>
                <w:sz w:val="18"/>
                <w:szCs w:val="18"/>
              </w:rPr>
            </w:pPr>
            <w:r w:rsidRPr="00E46F2D">
              <w:rPr>
                <w:sz w:val="18"/>
                <w:szCs w:val="18"/>
              </w:rPr>
              <w:t>189,677</w:t>
            </w:r>
          </w:p>
        </w:tc>
        <w:tc>
          <w:tcPr>
            <w:tcW w:w="1547" w:type="dxa"/>
            <w:vAlign w:val="bottom"/>
          </w:tcPr>
          <w:p w14:paraId="5139B510" w14:textId="0064D09C" w:rsidR="00224102" w:rsidRPr="00195EDC" w:rsidRDefault="00224102" w:rsidP="00224102">
            <w:pPr>
              <w:jc w:val="right"/>
              <w:rPr>
                <w:sz w:val="18"/>
                <w:szCs w:val="18"/>
              </w:rPr>
            </w:pPr>
            <w:r w:rsidRPr="00E46F2D">
              <w:rPr>
                <w:sz w:val="18"/>
                <w:szCs w:val="18"/>
              </w:rPr>
              <w:t>555,277</w:t>
            </w:r>
          </w:p>
        </w:tc>
        <w:tc>
          <w:tcPr>
            <w:tcW w:w="1547" w:type="dxa"/>
            <w:vAlign w:val="bottom"/>
          </w:tcPr>
          <w:p w14:paraId="2DE40EBD" w14:textId="3DBDA469" w:rsidR="00224102" w:rsidRPr="00195EDC" w:rsidRDefault="00224102" w:rsidP="00224102">
            <w:pPr>
              <w:jc w:val="right"/>
              <w:rPr>
                <w:sz w:val="18"/>
                <w:szCs w:val="18"/>
              </w:rPr>
            </w:pPr>
            <w:r w:rsidRPr="00E46F2D">
              <w:rPr>
                <w:sz w:val="18"/>
                <w:szCs w:val="18"/>
              </w:rPr>
              <w:t>189,677</w:t>
            </w:r>
          </w:p>
        </w:tc>
      </w:tr>
      <w:tr w:rsidR="00224102" w:rsidRPr="003E2819" w14:paraId="2BDAC1A6" w14:textId="77777777" w:rsidTr="00CE39AA">
        <w:trPr>
          <w:trHeight w:val="226"/>
        </w:trPr>
        <w:tc>
          <w:tcPr>
            <w:tcW w:w="3095" w:type="dxa"/>
            <w:vAlign w:val="bottom"/>
          </w:tcPr>
          <w:p w14:paraId="6DA31E70" w14:textId="77777777" w:rsidR="00224102" w:rsidRPr="003E2819" w:rsidRDefault="00224102" w:rsidP="00224102">
            <w:pPr>
              <w:rPr>
                <w:rFonts w:eastAsia="Arial Unicode MS"/>
                <w:sz w:val="18"/>
                <w:szCs w:val="18"/>
                <w:lang w:eastAsia="tr-TR"/>
              </w:rPr>
            </w:pPr>
            <w:r w:rsidRPr="003E2819">
              <w:rPr>
                <w:sz w:val="18"/>
                <w:szCs w:val="18"/>
                <w:lang w:eastAsia="tr-TR"/>
              </w:rPr>
              <w:t>Other Deposits</w:t>
            </w:r>
          </w:p>
        </w:tc>
        <w:tc>
          <w:tcPr>
            <w:tcW w:w="1592" w:type="dxa"/>
            <w:vAlign w:val="bottom"/>
          </w:tcPr>
          <w:p w14:paraId="25D39CFC" w14:textId="0B47B33D" w:rsidR="00224102" w:rsidRPr="00195EDC" w:rsidRDefault="00224102" w:rsidP="00224102">
            <w:pPr>
              <w:jc w:val="right"/>
              <w:rPr>
                <w:sz w:val="18"/>
                <w:szCs w:val="18"/>
              </w:rPr>
            </w:pPr>
            <w:r w:rsidRPr="00E46F2D">
              <w:rPr>
                <w:sz w:val="18"/>
                <w:szCs w:val="18"/>
              </w:rPr>
              <w:t>5,683,206</w:t>
            </w:r>
          </w:p>
        </w:tc>
        <w:tc>
          <w:tcPr>
            <w:tcW w:w="1546" w:type="dxa"/>
            <w:vAlign w:val="bottom"/>
          </w:tcPr>
          <w:p w14:paraId="423A3169" w14:textId="0884D87A" w:rsidR="00224102" w:rsidRPr="00195EDC" w:rsidRDefault="00224102" w:rsidP="00224102">
            <w:pPr>
              <w:jc w:val="right"/>
              <w:rPr>
                <w:sz w:val="18"/>
                <w:szCs w:val="18"/>
              </w:rPr>
            </w:pPr>
            <w:r w:rsidRPr="00E46F2D">
              <w:rPr>
                <w:sz w:val="18"/>
                <w:szCs w:val="18"/>
              </w:rPr>
              <w:t>5,462,894</w:t>
            </w:r>
          </w:p>
        </w:tc>
        <w:tc>
          <w:tcPr>
            <w:tcW w:w="1547" w:type="dxa"/>
            <w:vAlign w:val="bottom"/>
          </w:tcPr>
          <w:p w14:paraId="4D865605" w14:textId="7897003F" w:rsidR="00224102" w:rsidRPr="00195EDC" w:rsidRDefault="00224102" w:rsidP="00224102">
            <w:pPr>
              <w:jc w:val="right"/>
              <w:rPr>
                <w:sz w:val="18"/>
                <w:szCs w:val="18"/>
              </w:rPr>
            </w:pPr>
            <w:r w:rsidRPr="00E46F2D">
              <w:rPr>
                <w:sz w:val="18"/>
                <w:szCs w:val="18"/>
              </w:rPr>
              <w:t>6,127,509</w:t>
            </w:r>
          </w:p>
        </w:tc>
        <w:tc>
          <w:tcPr>
            <w:tcW w:w="1547" w:type="dxa"/>
            <w:vAlign w:val="bottom"/>
          </w:tcPr>
          <w:p w14:paraId="359EE598" w14:textId="6F83DCFF" w:rsidR="00224102" w:rsidRPr="00195EDC" w:rsidRDefault="00224102" w:rsidP="00224102">
            <w:pPr>
              <w:jc w:val="right"/>
              <w:rPr>
                <w:sz w:val="18"/>
                <w:szCs w:val="18"/>
              </w:rPr>
            </w:pPr>
            <w:r w:rsidRPr="00E46F2D">
              <w:rPr>
                <w:sz w:val="18"/>
                <w:szCs w:val="18"/>
              </w:rPr>
              <w:t>5,438,266</w:t>
            </w:r>
          </w:p>
        </w:tc>
      </w:tr>
      <w:bookmarkEnd w:id="16"/>
      <w:tr w:rsidR="00224102" w:rsidRPr="003E2819" w14:paraId="48595678" w14:textId="77777777" w:rsidTr="00CE39AA">
        <w:trPr>
          <w:trHeight w:val="226"/>
        </w:trPr>
        <w:tc>
          <w:tcPr>
            <w:tcW w:w="3095" w:type="dxa"/>
            <w:vAlign w:val="bottom"/>
          </w:tcPr>
          <w:p w14:paraId="0243D773" w14:textId="77777777" w:rsidR="00224102" w:rsidRPr="003E2819" w:rsidRDefault="00224102" w:rsidP="00224102">
            <w:pPr>
              <w:rPr>
                <w:rFonts w:eastAsia="Arial Unicode MS"/>
                <w:sz w:val="18"/>
                <w:szCs w:val="18"/>
                <w:lang w:eastAsia="tr-TR"/>
              </w:rPr>
            </w:pPr>
            <w:r w:rsidRPr="00D454D8">
              <w:rPr>
                <w:snapToGrid w:val="0"/>
                <w:sz w:val="18"/>
                <w:szCs w:val="18"/>
              </w:rPr>
              <w:t>Funds Borrowed From Other Financial Institutions</w:t>
            </w:r>
            <w:r w:rsidRPr="001E688C" w:rsidDel="001E688C">
              <w:rPr>
                <w:snapToGrid w:val="0"/>
                <w:sz w:val="18"/>
                <w:szCs w:val="18"/>
                <w:lang w:eastAsia="tr-TR"/>
              </w:rPr>
              <w:t xml:space="preserve"> </w:t>
            </w:r>
          </w:p>
        </w:tc>
        <w:tc>
          <w:tcPr>
            <w:tcW w:w="1592" w:type="dxa"/>
            <w:vAlign w:val="bottom"/>
          </w:tcPr>
          <w:p w14:paraId="7FACF798" w14:textId="230D0070" w:rsidR="00224102" w:rsidRPr="00195EDC" w:rsidRDefault="00224102" w:rsidP="00224102">
            <w:pPr>
              <w:jc w:val="right"/>
              <w:rPr>
                <w:sz w:val="18"/>
                <w:szCs w:val="18"/>
              </w:rPr>
            </w:pPr>
            <w:r w:rsidRPr="00E46F2D">
              <w:rPr>
                <w:sz w:val="18"/>
                <w:szCs w:val="18"/>
              </w:rPr>
              <w:t>5,029,695</w:t>
            </w:r>
          </w:p>
        </w:tc>
        <w:tc>
          <w:tcPr>
            <w:tcW w:w="1546" w:type="dxa"/>
            <w:vAlign w:val="bottom"/>
          </w:tcPr>
          <w:p w14:paraId="29A3717E" w14:textId="75FE2B0D" w:rsidR="00224102" w:rsidRPr="00195EDC" w:rsidRDefault="00224102" w:rsidP="00224102">
            <w:pPr>
              <w:jc w:val="right"/>
              <w:rPr>
                <w:sz w:val="18"/>
                <w:szCs w:val="18"/>
              </w:rPr>
            </w:pPr>
            <w:r w:rsidRPr="00E46F2D">
              <w:rPr>
                <w:sz w:val="18"/>
                <w:szCs w:val="18"/>
              </w:rPr>
              <w:t>2,865,399</w:t>
            </w:r>
          </w:p>
        </w:tc>
        <w:tc>
          <w:tcPr>
            <w:tcW w:w="1547" w:type="dxa"/>
            <w:vAlign w:val="bottom"/>
          </w:tcPr>
          <w:p w14:paraId="7E45AF22" w14:textId="07D8D743" w:rsidR="00224102" w:rsidRPr="00195EDC" w:rsidRDefault="00224102" w:rsidP="00224102">
            <w:pPr>
              <w:jc w:val="right"/>
              <w:rPr>
                <w:sz w:val="18"/>
                <w:szCs w:val="18"/>
              </w:rPr>
            </w:pPr>
            <w:r>
              <w:rPr>
                <w:sz w:val="18"/>
                <w:szCs w:val="18"/>
              </w:rPr>
              <w:t>5,586,061</w:t>
            </w:r>
          </w:p>
        </w:tc>
        <w:tc>
          <w:tcPr>
            <w:tcW w:w="1547" w:type="dxa"/>
            <w:vAlign w:val="bottom"/>
          </w:tcPr>
          <w:p w14:paraId="525CACAD" w14:textId="7DEE1F46" w:rsidR="00224102" w:rsidRPr="00195EDC" w:rsidRDefault="00224102" w:rsidP="00224102">
            <w:pPr>
              <w:jc w:val="right"/>
              <w:rPr>
                <w:sz w:val="18"/>
                <w:szCs w:val="18"/>
              </w:rPr>
            </w:pPr>
            <w:r w:rsidRPr="00E46F2D">
              <w:rPr>
                <w:sz w:val="18"/>
                <w:szCs w:val="18"/>
              </w:rPr>
              <w:t>3,047,552</w:t>
            </w:r>
          </w:p>
        </w:tc>
      </w:tr>
      <w:tr w:rsidR="00224102" w:rsidRPr="003E2819" w14:paraId="158FB436" w14:textId="77777777" w:rsidTr="00CE39AA">
        <w:trPr>
          <w:trHeight w:val="226"/>
        </w:trPr>
        <w:tc>
          <w:tcPr>
            <w:tcW w:w="3095" w:type="dxa"/>
            <w:vAlign w:val="bottom"/>
          </w:tcPr>
          <w:p w14:paraId="26570978" w14:textId="77777777" w:rsidR="00224102" w:rsidRPr="003E2819" w:rsidRDefault="00224102" w:rsidP="00224102">
            <w:pPr>
              <w:rPr>
                <w:rFonts w:eastAsia="Arial Unicode MS"/>
                <w:sz w:val="18"/>
                <w:szCs w:val="18"/>
                <w:lang w:eastAsia="tr-TR"/>
              </w:rPr>
            </w:pPr>
            <w:r w:rsidRPr="003E2819">
              <w:rPr>
                <w:snapToGrid w:val="0"/>
                <w:sz w:val="18"/>
                <w:szCs w:val="18"/>
                <w:lang w:eastAsia="tr-TR"/>
              </w:rPr>
              <w:t>Marketable Securities Issued</w:t>
            </w:r>
          </w:p>
        </w:tc>
        <w:tc>
          <w:tcPr>
            <w:tcW w:w="1592" w:type="dxa"/>
            <w:vAlign w:val="bottom"/>
          </w:tcPr>
          <w:p w14:paraId="74130C32" w14:textId="39FE5C17" w:rsidR="00224102" w:rsidRPr="00195EDC" w:rsidRDefault="00224102" w:rsidP="00224102">
            <w:pPr>
              <w:jc w:val="right"/>
              <w:rPr>
                <w:sz w:val="18"/>
                <w:szCs w:val="18"/>
              </w:rPr>
            </w:pPr>
            <w:r w:rsidRPr="00E46F2D">
              <w:rPr>
                <w:sz w:val="18"/>
                <w:szCs w:val="18"/>
              </w:rPr>
              <w:t>877,824</w:t>
            </w:r>
          </w:p>
        </w:tc>
        <w:tc>
          <w:tcPr>
            <w:tcW w:w="1546" w:type="dxa"/>
            <w:vAlign w:val="bottom"/>
          </w:tcPr>
          <w:p w14:paraId="19C7BE92" w14:textId="4F356701" w:rsidR="00224102" w:rsidRPr="00195EDC" w:rsidRDefault="00224102" w:rsidP="00224102">
            <w:pPr>
              <w:jc w:val="right"/>
              <w:rPr>
                <w:sz w:val="18"/>
                <w:szCs w:val="18"/>
              </w:rPr>
            </w:pPr>
            <w:r w:rsidRPr="00E46F2D">
              <w:rPr>
                <w:sz w:val="18"/>
                <w:szCs w:val="18"/>
              </w:rPr>
              <w:t>868,098</w:t>
            </w:r>
          </w:p>
        </w:tc>
        <w:tc>
          <w:tcPr>
            <w:tcW w:w="1547" w:type="dxa"/>
            <w:vAlign w:val="bottom"/>
          </w:tcPr>
          <w:p w14:paraId="1EE6A9CD" w14:textId="53144394" w:rsidR="00224102" w:rsidRPr="00195EDC" w:rsidRDefault="00224102" w:rsidP="00224102">
            <w:pPr>
              <w:jc w:val="right"/>
              <w:rPr>
                <w:sz w:val="18"/>
                <w:szCs w:val="18"/>
              </w:rPr>
            </w:pPr>
            <w:r w:rsidRPr="00E46F2D">
              <w:rPr>
                <w:sz w:val="18"/>
                <w:szCs w:val="18"/>
              </w:rPr>
              <w:t>881,639</w:t>
            </w:r>
          </w:p>
        </w:tc>
        <w:tc>
          <w:tcPr>
            <w:tcW w:w="1547" w:type="dxa"/>
            <w:vAlign w:val="bottom"/>
          </w:tcPr>
          <w:p w14:paraId="120CF13F" w14:textId="5B01870B" w:rsidR="00224102" w:rsidRPr="00195EDC" w:rsidRDefault="00224102" w:rsidP="00224102">
            <w:pPr>
              <w:jc w:val="right"/>
              <w:rPr>
                <w:sz w:val="18"/>
                <w:szCs w:val="18"/>
              </w:rPr>
            </w:pPr>
            <w:r w:rsidRPr="00E46F2D">
              <w:rPr>
                <w:sz w:val="18"/>
                <w:szCs w:val="18"/>
              </w:rPr>
              <w:t>910,614</w:t>
            </w:r>
          </w:p>
        </w:tc>
      </w:tr>
      <w:tr w:rsidR="00224102" w:rsidRPr="003E2819" w14:paraId="0D5C7033" w14:textId="77777777" w:rsidTr="00CE39AA">
        <w:trPr>
          <w:trHeight w:val="226"/>
        </w:trPr>
        <w:tc>
          <w:tcPr>
            <w:tcW w:w="3095" w:type="dxa"/>
            <w:vAlign w:val="bottom"/>
          </w:tcPr>
          <w:p w14:paraId="4501498B" w14:textId="77777777" w:rsidR="00224102" w:rsidRPr="003E2819" w:rsidRDefault="00224102" w:rsidP="00224102">
            <w:pPr>
              <w:rPr>
                <w:snapToGrid w:val="0"/>
                <w:sz w:val="18"/>
                <w:szCs w:val="18"/>
                <w:lang w:eastAsia="tr-TR"/>
              </w:rPr>
            </w:pPr>
            <w:r>
              <w:rPr>
                <w:snapToGrid w:val="0"/>
                <w:sz w:val="18"/>
                <w:szCs w:val="18"/>
                <w:lang w:eastAsia="tr-TR"/>
              </w:rPr>
              <w:t>Funds Provided Under Repurchase Agreements</w:t>
            </w:r>
          </w:p>
        </w:tc>
        <w:tc>
          <w:tcPr>
            <w:tcW w:w="1592" w:type="dxa"/>
            <w:vAlign w:val="bottom"/>
          </w:tcPr>
          <w:p w14:paraId="5D6F2FBD" w14:textId="66062FF2" w:rsidR="00224102" w:rsidRPr="00195EDC" w:rsidRDefault="00224102" w:rsidP="00224102">
            <w:pPr>
              <w:jc w:val="right"/>
              <w:rPr>
                <w:sz w:val="18"/>
                <w:szCs w:val="18"/>
              </w:rPr>
            </w:pPr>
            <w:r w:rsidRPr="00E46F2D">
              <w:rPr>
                <w:sz w:val="18"/>
                <w:szCs w:val="18"/>
              </w:rPr>
              <w:t>358,023</w:t>
            </w:r>
          </w:p>
        </w:tc>
        <w:tc>
          <w:tcPr>
            <w:tcW w:w="1546" w:type="dxa"/>
            <w:vAlign w:val="bottom"/>
          </w:tcPr>
          <w:p w14:paraId="0D874220" w14:textId="03C32371" w:rsidR="00224102" w:rsidRPr="00195EDC" w:rsidRDefault="00224102" w:rsidP="00224102">
            <w:pPr>
              <w:jc w:val="right"/>
              <w:rPr>
                <w:sz w:val="18"/>
                <w:szCs w:val="18"/>
              </w:rPr>
            </w:pPr>
            <w:r w:rsidRPr="00E46F2D">
              <w:rPr>
                <w:sz w:val="18"/>
                <w:szCs w:val="18"/>
              </w:rPr>
              <w:t>402,255</w:t>
            </w:r>
          </w:p>
        </w:tc>
        <w:tc>
          <w:tcPr>
            <w:tcW w:w="1547" w:type="dxa"/>
            <w:vAlign w:val="bottom"/>
          </w:tcPr>
          <w:p w14:paraId="19007EA6" w14:textId="7F430796" w:rsidR="00224102" w:rsidRPr="00195EDC" w:rsidRDefault="00224102" w:rsidP="00224102">
            <w:pPr>
              <w:jc w:val="right"/>
              <w:rPr>
                <w:sz w:val="18"/>
                <w:szCs w:val="18"/>
              </w:rPr>
            </w:pPr>
            <w:r w:rsidRPr="00E46F2D">
              <w:rPr>
                <w:sz w:val="18"/>
                <w:szCs w:val="18"/>
              </w:rPr>
              <w:t>373,714</w:t>
            </w:r>
          </w:p>
        </w:tc>
        <w:tc>
          <w:tcPr>
            <w:tcW w:w="1547" w:type="dxa"/>
            <w:vAlign w:val="bottom"/>
          </w:tcPr>
          <w:p w14:paraId="4307628C" w14:textId="5D9BBC45" w:rsidR="00224102" w:rsidRPr="00195EDC" w:rsidRDefault="00224102" w:rsidP="00224102">
            <w:pPr>
              <w:jc w:val="right"/>
              <w:rPr>
                <w:sz w:val="18"/>
                <w:szCs w:val="18"/>
              </w:rPr>
            </w:pPr>
            <w:r w:rsidRPr="00E46F2D">
              <w:rPr>
                <w:sz w:val="18"/>
                <w:szCs w:val="18"/>
              </w:rPr>
              <w:t>364,144</w:t>
            </w:r>
          </w:p>
        </w:tc>
      </w:tr>
      <w:tr w:rsidR="00224102" w:rsidRPr="003E2819" w14:paraId="58694AD0" w14:textId="77777777" w:rsidTr="00CE39AA">
        <w:trPr>
          <w:trHeight w:val="226"/>
        </w:trPr>
        <w:tc>
          <w:tcPr>
            <w:tcW w:w="3095" w:type="dxa"/>
            <w:vAlign w:val="bottom"/>
          </w:tcPr>
          <w:p w14:paraId="2E49181D" w14:textId="77777777" w:rsidR="00224102" w:rsidRPr="003E2819" w:rsidRDefault="00224102" w:rsidP="00224102">
            <w:pPr>
              <w:rPr>
                <w:rFonts w:eastAsia="Arial Unicode MS"/>
                <w:sz w:val="18"/>
                <w:szCs w:val="18"/>
                <w:lang w:eastAsia="tr-TR"/>
              </w:rPr>
            </w:pPr>
            <w:r w:rsidRPr="003E2819">
              <w:rPr>
                <w:snapToGrid w:val="0"/>
                <w:sz w:val="18"/>
                <w:szCs w:val="18"/>
                <w:lang w:eastAsia="tr-TR"/>
              </w:rPr>
              <w:t>Miscellaneous Payables</w:t>
            </w:r>
          </w:p>
        </w:tc>
        <w:tc>
          <w:tcPr>
            <w:tcW w:w="1592" w:type="dxa"/>
            <w:vAlign w:val="bottom"/>
          </w:tcPr>
          <w:p w14:paraId="452EE43B" w14:textId="225E2FFB" w:rsidR="00224102" w:rsidRPr="00195EDC" w:rsidRDefault="00224102" w:rsidP="00224102">
            <w:pPr>
              <w:jc w:val="right"/>
              <w:rPr>
                <w:sz w:val="18"/>
                <w:szCs w:val="18"/>
              </w:rPr>
            </w:pPr>
            <w:r w:rsidRPr="00E46F2D">
              <w:rPr>
                <w:sz w:val="18"/>
                <w:szCs w:val="18"/>
              </w:rPr>
              <w:t>219,448</w:t>
            </w:r>
          </w:p>
        </w:tc>
        <w:tc>
          <w:tcPr>
            <w:tcW w:w="1546" w:type="dxa"/>
            <w:vAlign w:val="bottom"/>
          </w:tcPr>
          <w:p w14:paraId="32F68127" w14:textId="0A467852" w:rsidR="00224102" w:rsidRPr="00195EDC" w:rsidRDefault="00224102" w:rsidP="00224102">
            <w:pPr>
              <w:jc w:val="right"/>
              <w:rPr>
                <w:sz w:val="18"/>
                <w:szCs w:val="18"/>
              </w:rPr>
            </w:pPr>
            <w:r w:rsidRPr="00E46F2D">
              <w:rPr>
                <w:sz w:val="18"/>
                <w:szCs w:val="18"/>
              </w:rPr>
              <w:t>231,198</w:t>
            </w:r>
          </w:p>
        </w:tc>
        <w:tc>
          <w:tcPr>
            <w:tcW w:w="1547" w:type="dxa"/>
            <w:vAlign w:val="bottom"/>
          </w:tcPr>
          <w:p w14:paraId="35C58737" w14:textId="47EA4BC8" w:rsidR="00224102" w:rsidRPr="00195EDC" w:rsidRDefault="00224102" w:rsidP="00224102">
            <w:pPr>
              <w:jc w:val="right"/>
              <w:rPr>
                <w:sz w:val="18"/>
                <w:szCs w:val="18"/>
              </w:rPr>
            </w:pPr>
            <w:r w:rsidRPr="00E46F2D">
              <w:rPr>
                <w:sz w:val="18"/>
                <w:szCs w:val="18"/>
              </w:rPr>
              <w:t>203,762</w:t>
            </w:r>
          </w:p>
        </w:tc>
        <w:tc>
          <w:tcPr>
            <w:tcW w:w="1547" w:type="dxa"/>
            <w:vAlign w:val="bottom"/>
          </w:tcPr>
          <w:p w14:paraId="75E11ED8" w14:textId="3A02E8C0" w:rsidR="00224102" w:rsidRPr="00195EDC" w:rsidRDefault="00224102" w:rsidP="00224102">
            <w:pPr>
              <w:jc w:val="right"/>
              <w:rPr>
                <w:sz w:val="18"/>
                <w:szCs w:val="18"/>
              </w:rPr>
            </w:pPr>
            <w:r w:rsidRPr="00E46F2D">
              <w:rPr>
                <w:sz w:val="18"/>
                <w:szCs w:val="18"/>
              </w:rPr>
              <w:t>231,198</w:t>
            </w:r>
          </w:p>
        </w:tc>
      </w:tr>
    </w:tbl>
    <w:p w14:paraId="0925EF0C" w14:textId="460A00E3" w:rsidR="00FC2264" w:rsidRPr="00E75730" w:rsidRDefault="00A041CD" w:rsidP="00FC2264">
      <w:pPr>
        <w:pStyle w:val="NormalIndent"/>
        <w:tabs>
          <w:tab w:val="left" w:pos="540"/>
          <w:tab w:val="left" w:pos="1620"/>
        </w:tabs>
        <w:ind w:left="0"/>
        <w:rPr>
          <w:b/>
        </w:rPr>
      </w:pPr>
      <w:r w:rsidRPr="00A041CD">
        <w:rPr>
          <w:b/>
        </w:rPr>
        <w:lastRenderedPageBreak/>
        <w:t>INFORMATION ON THE FINANCIAL POSITION OF THE GROUP (Continued)</w:t>
      </w:r>
    </w:p>
    <w:p w14:paraId="0F50529D" w14:textId="77777777" w:rsidR="00FC2264" w:rsidRDefault="00FC2264" w:rsidP="00FC2264">
      <w:pPr>
        <w:pStyle w:val="Heading2"/>
        <w:tabs>
          <w:tab w:val="left" w:pos="851"/>
        </w:tabs>
        <w:spacing w:before="0" w:line="120" w:lineRule="auto"/>
        <w:ind w:left="851" w:hanging="851"/>
        <w:rPr>
          <w:caps/>
          <w:sz w:val="20"/>
        </w:rPr>
      </w:pPr>
    </w:p>
    <w:p w14:paraId="1360F1B9" w14:textId="78EC915E" w:rsidR="00FC2264" w:rsidRPr="00FC2264" w:rsidRDefault="00FC2264" w:rsidP="00FC2264">
      <w:pPr>
        <w:pStyle w:val="Heading2"/>
        <w:tabs>
          <w:tab w:val="left" w:pos="284"/>
          <w:tab w:val="left" w:pos="426"/>
          <w:tab w:val="left" w:pos="709"/>
        </w:tabs>
        <w:spacing w:before="0" w:after="120"/>
        <w:rPr>
          <w:rFonts w:ascii="Times New Roman" w:hAnsi="Times New Roman"/>
          <w:sz w:val="20"/>
        </w:rPr>
      </w:pPr>
      <w:r w:rsidRPr="003E2819">
        <w:rPr>
          <w:rFonts w:ascii="Times New Roman" w:hAnsi="Times New Roman"/>
          <w:caps/>
          <w:sz w:val="20"/>
        </w:rPr>
        <w:t>x.</w:t>
      </w:r>
      <w:r w:rsidRPr="003E2819">
        <w:rPr>
          <w:rFonts w:ascii="Times New Roman" w:hAnsi="Times New Roman"/>
          <w:caps/>
          <w:sz w:val="20"/>
        </w:rPr>
        <w:tab/>
      </w:r>
      <w:r>
        <w:rPr>
          <w:rFonts w:ascii="Times New Roman" w:hAnsi="Times New Roman"/>
          <w:caps/>
          <w:sz w:val="20"/>
        </w:rPr>
        <w:t xml:space="preserve">     </w:t>
      </w:r>
      <w:r>
        <w:rPr>
          <w:rFonts w:ascii="Times New Roman" w:hAnsi="Times New Roman"/>
          <w:sz w:val="20"/>
        </w:rPr>
        <w:t>Explanation Regarding</w:t>
      </w:r>
      <w:r w:rsidRPr="00400883">
        <w:rPr>
          <w:rFonts w:ascii="Times New Roman" w:hAnsi="Times New Roman"/>
          <w:sz w:val="20"/>
        </w:rPr>
        <w:t xml:space="preserve"> </w:t>
      </w:r>
      <w:r>
        <w:rPr>
          <w:rFonts w:ascii="Times New Roman" w:hAnsi="Times New Roman"/>
          <w:sz w:val="20"/>
        </w:rPr>
        <w:t>the</w:t>
      </w:r>
      <w:r w:rsidRPr="00400883">
        <w:rPr>
          <w:rFonts w:ascii="Times New Roman" w:hAnsi="Times New Roman"/>
          <w:sz w:val="20"/>
        </w:rPr>
        <w:t xml:space="preserve"> P</w:t>
      </w:r>
      <w:r>
        <w:rPr>
          <w:rFonts w:ascii="Times New Roman" w:hAnsi="Times New Roman"/>
          <w:sz w:val="20"/>
        </w:rPr>
        <w:t>resentation of</w:t>
      </w:r>
      <w:r w:rsidRPr="00400883">
        <w:rPr>
          <w:rFonts w:ascii="Times New Roman" w:hAnsi="Times New Roman"/>
          <w:sz w:val="20"/>
        </w:rPr>
        <w:t xml:space="preserve"> F</w:t>
      </w:r>
      <w:r>
        <w:rPr>
          <w:rFonts w:ascii="Times New Roman" w:hAnsi="Times New Roman"/>
          <w:sz w:val="20"/>
        </w:rPr>
        <w:t>inancial</w:t>
      </w:r>
      <w:r w:rsidRPr="00400883">
        <w:rPr>
          <w:rFonts w:ascii="Times New Roman" w:hAnsi="Times New Roman"/>
          <w:sz w:val="20"/>
        </w:rPr>
        <w:t xml:space="preserve"> A</w:t>
      </w:r>
      <w:r w:rsidR="00D91373">
        <w:rPr>
          <w:rFonts w:ascii="Times New Roman" w:hAnsi="Times New Roman"/>
          <w:sz w:val="20"/>
        </w:rPr>
        <w:t>ssets a</w:t>
      </w:r>
      <w:r>
        <w:rPr>
          <w:rFonts w:ascii="Times New Roman" w:hAnsi="Times New Roman"/>
          <w:sz w:val="20"/>
        </w:rPr>
        <w:t>nd</w:t>
      </w:r>
      <w:r w:rsidRPr="00400883">
        <w:rPr>
          <w:rFonts w:ascii="Times New Roman" w:hAnsi="Times New Roman"/>
          <w:sz w:val="20"/>
        </w:rPr>
        <w:t xml:space="preserve"> </w:t>
      </w:r>
      <w:r>
        <w:rPr>
          <w:rFonts w:ascii="Times New Roman" w:hAnsi="Times New Roman"/>
          <w:sz w:val="20"/>
        </w:rPr>
        <w:t xml:space="preserve">Liabilities </w:t>
      </w:r>
      <w:proofErr w:type="gramStart"/>
      <w:r>
        <w:rPr>
          <w:rFonts w:ascii="Times New Roman" w:hAnsi="Times New Roman"/>
          <w:sz w:val="20"/>
        </w:rPr>
        <w:t>At</w:t>
      </w:r>
      <w:proofErr w:type="gramEnd"/>
      <w:r w:rsidRPr="00400883">
        <w:rPr>
          <w:rFonts w:ascii="Times New Roman" w:hAnsi="Times New Roman"/>
          <w:sz w:val="20"/>
        </w:rPr>
        <w:t xml:space="preserve"> T</w:t>
      </w:r>
      <w:r>
        <w:rPr>
          <w:rFonts w:ascii="Times New Roman" w:hAnsi="Times New Roman"/>
          <w:sz w:val="20"/>
        </w:rPr>
        <w:t>heir</w:t>
      </w:r>
      <w:r w:rsidRPr="00400883">
        <w:rPr>
          <w:rFonts w:ascii="Times New Roman" w:hAnsi="Times New Roman"/>
          <w:sz w:val="20"/>
        </w:rPr>
        <w:t xml:space="preserve"> F</w:t>
      </w:r>
      <w:r>
        <w:rPr>
          <w:rFonts w:ascii="Times New Roman" w:hAnsi="Times New Roman"/>
          <w:sz w:val="20"/>
        </w:rPr>
        <w:t>air</w:t>
      </w:r>
      <w:r w:rsidRPr="00400883">
        <w:rPr>
          <w:rFonts w:ascii="Times New Roman" w:hAnsi="Times New Roman"/>
          <w:sz w:val="20"/>
        </w:rPr>
        <w:t xml:space="preserve"> V</w:t>
      </w:r>
      <w:r>
        <w:rPr>
          <w:rFonts w:ascii="Times New Roman" w:hAnsi="Times New Roman"/>
          <w:sz w:val="20"/>
        </w:rPr>
        <w:t xml:space="preserve">alues </w:t>
      </w:r>
      <w:r w:rsidRPr="00604C75">
        <w:rPr>
          <w:rFonts w:ascii="Times New Roman" w:hAnsi="Times New Roman"/>
          <w:sz w:val="20"/>
        </w:rPr>
        <w:t>(Continued)</w:t>
      </w:r>
    </w:p>
    <w:p w14:paraId="093A8E2E" w14:textId="77777777" w:rsidR="00400883" w:rsidRPr="003E2819" w:rsidRDefault="00400883" w:rsidP="008477F3">
      <w:pPr>
        <w:pStyle w:val="BodyTextIndent"/>
        <w:numPr>
          <w:ilvl w:val="0"/>
          <w:numId w:val="18"/>
        </w:numPr>
        <w:tabs>
          <w:tab w:val="left" w:pos="0"/>
          <w:tab w:val="left" w:pos="284"/>
          <w:tab w:val="left" w:pos="426"/>
        </w:tabs>
        <w:spacing w:after="0"/>
        <w:ind w:left="0" w:firstLine="0"/>
        <w:jc w:val="both"/>
        <w:rPr>
          <w:b/>
          <w:sz w:val="20"/>
          <w:szCs w:val="20"/>
        </w:rPr>
      </w:pPr>
      <w:r w:rsidRPr="003E2819">
        <w:rPr>
          <w:b/>
          <w:sz w:val="20"/>
          <w:szCs w:val="20"/>
        </w:rPr>
        <w:tab/>
        <w:t>Fair value hierarchy:</w:t>
      </w:r>
    </w:p>
    <w:p w14:paraId="266D298B" w14:textId="77777777" w:rsidR="00400883" w:rsidRPr="003E2819" w:rsidRDefault="00400883" w:rsidP="00400883">
      <w:pPr>
        <w:pStyle w:val="BodyTextIndent"/>
        <w:tabs>
          <w:tab w:val="left" w:pos="0"/>
        </w:tabs>
        <w:spacing w:after="0" w:line="120" w:lineRule="auto"/>
        <w:ind w:left="0"/>
        <w:rPr>
          <w:b/>
          <w:sz w:val="20"/>
          <w:szCs w:val="20"/>
        </w:rPr>
      </w:pPr>
    </w:p>
    <w:p w14:paraId="44DF8121" w14:textId="77777777" w:rsidR="00400883" w:rsidRPr="003E2819" w:rsidRDefault="00400883" w:rsidP="00400883">
      <w:pPr>
        <w:pStyle w:val="BodyTextIndent"/>
        <w:tabs>
          <w:tab w:val="left" w:pos="0"/>
        </w:tabs>
        <w:spacing w:after="0"/>
        <w:ind w:left="0"/>
        <w:jc w:val="both"/>
        <w:rPr>
          <w:sz w:val="20"/>
          <w:szCs w:val="20"/>
        </w:rPr>
      </w:pPr>
      <w:r w:rsidRPr="003E2819">
        <w:rPr>
          <w:sz w:val="20"/>
          <w:szCs w:val="20"/>
        </w:rPr>
        <w:t xml:space="preserve">TFRS 7 sets a hierarchy of valuation techniques according to the </w:t>
      </w:r>
      <w:proofErr w:type="spellStart"/>
      <w:r w:rsidRPr="003E2819">
        <w:rPr>
          <w:sz w:val="20"/>
          <w:szCs w:val="20"/>
        </w:rPr>
        <w:t>observability</w:t>
      </w:r>
      <w:proofErr w:type="spellEnd"/>
      <w:r w:rsidRPr="003E2819">
        <w:rPr>
          <w:sz w:val="20"/>
          <w:szCs w:val="20"/>
        </w:rPr>
        <w:t xml:space="preserve"> of data used in valuation techniques, which establish basis for fair value calculations.</w:t>
      </w:r>
    </w:p>
    <w:p w14:paraId="4D699B57" w14:textId="77777777" w:rsidR="00400883" w:rsidRPr="003E2819" w:rsidRDefault="00400883" w:rsidP="00400883">
      <w:pPr>
        <w:pStyle w:val="BodyTextIndent"/>
        <w:tabs>
          <w:tab w:val="left" w:pos="0"/>
        </w:tabs>
        <w:spacing w:after="0"/>
        <w:ind w:left="0"/>
        <w:rPr>
          <w:sz w:val="20"/>
          <w:szCs w:val="20"/>
        </w:rPr>
      </w:pPr>
      <w:r w:rsidRPr="003E2819">
        <w:rPr>
          <w:sz w:val="20"/>
          <w:szCs w:val="20"/>
        </w:rPr>
        <w:t>Aforesaid fair value hierarchy is determined as follows</w:t>
      </w:r>
    </w:p>
    <w:p w14:paraId="677935F7" w14:textId="77777777" w:rsidR="00400883" w:rsidRPr="003E2819" w:rsidRDefault="00400883" w:rsidP="00400883">
      <w:pPr>
        <w:pStyle w:val="BodyTextIndent"/>
        <w:tabs>
          <w:tab w:val="left" w:pos="0"/>
        </w:tabs>
        <w:spacing w:after="0" w:line="120" w:lineRule="auto"/>
        <w:ind w:left="0"/>
        <w:rPr>
          <w:sz w:val="20"/>
          <w:szCs w:val="20"/>
        </w:rPr>
      </w:pPr>
    </w:p>
    <w:p w14:paraId="30182B02" w14:textId="77777777" w:rsidR="00400883" w:rsidRPr="003E2819" w:rsidRDefault="00400883" w:rsidP="00400883">
      <w:pPr>
        <w:pStyle w:val="BodyTextIndent"/>
        <w:tabs>
          <w:tab w:val="left" w:pos="0"/>
          <w:tab w:val="left" w:pos="284"/>
          <w:tab w:val="left" w:pos="426"/>
          <w:tab w:val="left" w:pos="1701"/>
        </w:tabs>
        <w:spacing w:after="0"/>
        <w:ind w:left="0"/>
        <w:rPr>
          <w:sz w:val="20"/>
          <w:szCs w:val="20"/>
        </w:rPr>
      </w:pPr>
      <w:r w:rsidRPr="003E2819">
        <w:rPr>
          <w:sz w:val="20"/>
          <w:szCs w:val="20"/>
        </w:rPr>
        <w:t>a)</w:t>
      </w:r>
      <w:r w:rsidRPr="003E2819">
        <w:rPr>
          <w:sz w:val="20"/>
          <w:szCs w:val="20"/>
        </w:rPr>
        <w:tab/>
        <w:t>Quoted market prices (non-adjusted) (1st level);</w:t>
      </w:r>
    </w:p>
    <w:p w14:paraId="2A36C33F" w14:textId="0B5900C6" w:rsidR="00400883" w:rsidRPr="003E2819" w:rsidRDefault="00400883" w:rsidP="00400883">
      <w:pPr>
        <w:pStyle w:val="BodyTextIndent"/>
        <w:tabs>
          <w:tab w:val="left" w:pos="0"/>
          <w:tab w:val="left" w:pos="284"/>
          <w:tab w:val="left" w:pos="1701"/>
        </w:tabs>
        <w:spacing w:after="0"/>
        <w:ind w:left="0"/>
        <w:rPr>
          <w:sz w:val="20"/>
          <w:szCs w:val="20"/>
        </w:rPr>
      </w:pPr>
      <w:r w:rsidRPr="003E2819">
        <w:rPr>
          <w:sz w:val="20"/>
          <w:szCs w:val="20"/>
        </w:rPr>
        <w:t>b)</w:t>
      </w:r>
      <w:r w:rsidRPr="003E2819">
        <w:rPr>
          <w:sz w:val="20"/>
          <w:szCs w:val="20"/>
        </w:rPr>
        <w:tab/>
        <w:t>Directly (by way of prices) or indirectly (derived from prices) data for the assets or liabilities, other than quoted prices in the 1st level (2nd level)</w:t>
      </w:r>
      <w:r w:rsidR="00634087">
        <w:rPr>
          <w:sz w:val="20"/>
          <w:szCs w:val="20"/>
        </w:rPr>
        <w:t>;</w:t>
      </w:r>
    </w:p>
    <w:p w14:paraId="11ED015C" w14:textId="707F6F4A" w:rsidR="00400883" w:rsidRPr="003E2819" w:rsidRDefault="00400883" w:rsidP="00400883">
      <w:pPr>
        <w:pStyle w:val="BodyTextIndent"/>
        <w:tabs>
          <w:tab w:val="left" w:pos="0"/>
          <w:tab w:val="left" w:pos="284"/>
          <w:tab w:val="left" w:pos="426"/>
          <w:tab w:val="left" w:pos="1701"/>
        </w:tabs>
        <w:spacing w:after="0"/>
        <w:ind w:left="0"/>
        <w:rPr>
          <w:sz w:val="20"/>
          <w:szCs w:val="20"/>
        </w:rPr>
      </w:pPr>
      <w:r w:rsidRPr="003E2819">
        <w:rPr>
          <w:sz w:val="20"/>
          <w:szCs w:val="20"/>
        </w:rPr>
        <w:t>c)</w:t>
      </w:r>
      <w:r w:rsidRPr="003E2819">
        <w:rPr>
          <w:sz w:val="20"/>
          <w:szCs w:val="20"/>
        </w:rPr>
        <w:tab/>
        <w:t>Data not based on observable data regarding assets or liabilities (3rd level)</w:t>
      </w:r>
      <w:r w:rsidR="00634087">
        <w:rPr>
          <w:sz w:val="20"/>
          <w:szCs w:val="20"/>
        </w:rPr>
        <w:t>.</w:t>
      </w:r>
    </w:p>
    <w:p w14:paraId="4C59E61C" w14:textId="77777777" w:rsidR="00400883" w:rsidRPr="003E2819" w:rsidRDefault="00400883" w:rsidP="00400883">
      <w:pPr>
        <w:pStyle w:val="BodyTextIndent"/>
        <w:tabs>
          <w:tab w:val="left" w:pos="0"/>
          <w:tab w:val="left" w:pos="1701"/>
        </w:tabs>
        <w:spacing w:after="0"/>
        <w:ind w:left="0"/>
        <w:rPr>
          <w:sz w:val="20"/>
          <w:szCs w:val="20"/>
        </w:rPr>
      </w:pPr>
    </w:p>
    <w:p w14:paraId="2FDDA926" w14:textId="77777777" w:rsidR="00400883" w:rsidRPr="003E2819" w:rsidRDefault="00400883" w:rsidP="00400883">
      <w:pPr>
        <w:pStyle w:val="BodyTextIndent"/>
        <w:tabs>
          <w:tab w:val="left" w:pos="0"/>
        </w:tabs>
        <w:spacing w:after="0"/>
        <w:ind w:left="0"/>
        <w:jc w:val="both"/>
        <w:rPr>
          <w:sz w:val="20"/>
          <w:szCs w:val="20"/>
        </w:rPr>
      </w:pPr>
      <w:r w:rsidRPr="003E2819">
        <w:rPr>
          <w:sz w:val="20"/>
          <w:szCs w:val="20"/>
        </w:rPr>
        <w:t xml:space="preserve">Fair value hierarchy of the financial assets and liabilities of the </w:t>
      </w:r>
      <w:r>
        <w:rPr>
          <w:sz w:val="20"/>
          <w:szCs w:val="20"/>
        </w:rPr>
        <w:t>Group</w:t>
      </w:r>
      <w:r w:rsidRPr="003E2819">
        <w:rPr>
          <w:sz w:val="20"/>
          <w:szCs w:val="20"/>
        </w:rPr>
        <w:t xml:space="preserve"> carried at fair value according to the foregoing principles is given in the table below:</w:t>
      </w:r>
    </w:p>
    <w:p w14:paraId="65AEDCA3" w14:textId="77777777" w:rsidR="00400883" w:rsidRPr="003E2819" w:rsidRDefault="00400883" w:rsidP="00400883">
      <w:pPr>
        <w:pStyle w:val="BodyTextIndent"/>
        <w:tabs>
          <w:tab w:val="left" w:pos="0"/>
        </w:tabs>
        <w:spacing w:after="0"/>
        <w:ind w:left="0"/>
        <w:rPr>
          <w:sz w:val="20"/>
          <w:szCs w:val="20"/>
        </w:rPr>
      </w:pPr>
    </w:p>
    <w:tbl>
      <w:tblPr>
        <w:tblW w:w="902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45"/>
        <w:gridCol w:w="928"/>
        <w:gridCol w:w="916"/>
        <w:gridCol w:w="12"/>
        <w:gridCol w:w="829"/>
        <w:gridCol w:w="791"/>
      </w:tblGrid>
      <w:tr w:rsidR="00400883" w:rsidRPr="003E2819" w14:paraId="79C1B79E" w14:textId="77777777" w:rsidTr="00F659EC">
        <w:trPr>
          <w:trHeight w:val="268"/>
        </w:trPr>
        <w:tc>
          <w:tcPr>
            <w:tcW w:w="5545" w:type="dxa"/>
            <w:vAlign w:val="bottom"/>
          </w:tcPr>
          <w:p w14:paraId="00533E26" w14:textId="77777777" w:rsidR="00400883" w:rsidRPr="003E2819" w:rsidRDefault="00D47759" w:rsidP="00400883">
            <w:pPr>
              <w:tabs>
                <w:tab w:val="left" w:pos="0"/>
              </w:tabs>
              <w:rPr>
                <w:b/>
                <w:sz w:val="18"/>
                <w:szCs w:val="18"/>
              </w:rPr>
            </w:pPr>
            <w:r>
              <w:rPr>
                <w:b/>
                <w:sz w:val="18"/>
                <w:szCs w:val="18"/>
              </w:rPr>
              <w:t>31 December 2015</w:t>
            </w:r>
          </w:p>
        </w:tc>
        <w:tc>
          <w:tcPr>
            <w:tcW w:w="928" w:type="dxa"/>
            <w:vAlign w:val="bottom"/>
          </w:tcPr>
          <w:p w14:paraId="1483DE9F" w14:textId="77777777" w:rsidR="00400883" w:rsidRPr="003E2819" w:rsidRDefault="00400883" w:rsidP="00B01C0D">
            <w:pPr>
              <w:tabs>
                <w:tab w:val="left" w:pos="0"/>
              </w:tabs>
              <w:ind w:right="21"/>
              <w:jc w:val="right"/>
              <w:rPr>
                <w:b/>
                <w:snapToGrid w:val="0"/>
                <w:sz w:val="18"/>
                <w:szCs w:val="18"/>
              </w:rPr>
            </w:pPr>
            <w:r w:rsidRPr="003E2819">
              <w:rPr>
                <w:b/>
                <w:snapToGrid w:val="0"/>
                <w:sz w:val="18"/>
                <w:szCs w:val="18"/>
              </w:rPr>
              <w:t>1st Level</w:t>
            </w:r>
          </w:p>
        </w:tc>
        <w:tc>
          <w:tcPr>
            <w:tcW w:w="928" w:type="dxa"/>
            <w:gridSpan w:val="2"/>
            <w:vAlign w:val="bottom"/>
          </w:tcPr>
          <w:p w14:paraId="220030B0" w14:textId="77777777" w:rsidR="00400883" w:rsidRPr="003E2819" w:rsidRDefault="00400883" w:rsidP="00B01C0D">
            <w:pPr>
              <w:tabs>
                <w:tab w:val="left" w:pos="0"/>
              </w:tabs>
              <w:ind w:right="21"/>
              <w:jc w:val="right"/>
              <w:rPr>
                <w:b/>
                <w:snapToGrid w:val="0"/>
                <w:sz w:val="18"/>
                <w:szCs w:val="18"/>
              </w:rPr>
            </w:pPr>
            <w:r w:rsidRPr="003E2819">
              <w:rPr>
                <w:b/>
                <w:snapToGrid w:val="0"/>
                <w:sz w:val="18"/>
                <w:szCs w:val="18"/>
              </w:rPr>
              <w:t>2nd Level</w:t>
            </w:r>
          </w:p>
        </w:tc>
        <w:tc>
          <w:tcPr>
            <w:tcW w:w="829" w:type="dxa"/>
            <w:vAlign w:val="bottom"/>
          </w:tcPr>
          <w:p w14:paraId="7C58973F" w14:textId="77777777" w:rsidR="00400883" w:rsidRPr="003E2819" w:rsidRDefault="00400883" w:rsidP="00B01C0D">
            <w:pPr>
              <w:tabs>
                <w:tab w:val="left" w:pos="0"/>
              </w:tabs>
              <w:ind w:right="21"/>
              <w:jc w:val="right"/>
              <w:rPr>
                <w:b/>
                <w:snapToGrid w:val="0"/>
                <w:sz w:val="18"/>
                <w:szCs w:val="18"/>
              </w:rPr>
            </w:pPr>
            <w:r w:rsidRPr="003E2819">
              <w:rPr>
                <w:b/>
                <w:snapToGrid w:val="0"/>
                <w:sz w:val="18"/>
                <w:szCs w:val="18"/>
              </w:rPr>
              <w:t>3rd Level</w:t>
            </w:r>
          </w:p>
        </w:tc>
        <w:tc>
          <w:tcPr>
            <w:tcW w:w="791" w:type="dxa"/>
            <w:vAlign w:val="bottom"/>
          </w:tcPr>
          <w:p w14:paraId="6DAF50F5" w14:textId="77777777" w:rsidR="00400883" w:rsidRPr="003E2819" w:rsidRDefault="00400883" w:rsidP="00B01C0D">
            <w:pPr>
              <w:tabs>
                <w:tab w:val="left" w:pos="0"/>
              </w:tabs>
              <w:ind w:right="21"/>
              <w:jc w:val="right"/>
              <w:rPr>
                <w:b/>
                <w:snapToGrid w:val="0"/>
                <w:sz w:val="18"/>
                <w:szCs w:val="18"/>
              </w:rPr>
            </w:pPr>
            <w:r w:rsidRPr="003E2819">
              <w:rPr>
                <w:b/>
                <w:snapToGrid w:val="0"/>
                <w:sz w:val="18"/>
                <w:szCs w:val="18"/>
              </w:rPr>
              <w:t>Total</w:t>
            </w:r>
          </w:p>
        </w:tc>
      </w:tr>
      <w:tr w:rsidR="00400883" w:rsidRPr="003E2819" w14:paraId="0A4E8693" w14:textId="77777777" w:rsidTr="00F659EC">
        <w:trPr>
          <w:trHeight w:val="247"/>
        </w:trPr>
        <w:tc>
          <w:tcPr>
            <w:tcW w:w="5545" w:type="dxa"/>
            <w:vAlign w:val="bottom"/>
          </w:tcPr>
          <w:p w14:paraId="17AE28E7" w14:textId="77777777" w:rsidR="00400883" w:rsidRPr="003E2819" w:rsidRDefault="00400883" w:rsidP="00400883">
            <w:pPr>
              <w:tabs>
                <w:tab w:val="left" w:pos="0"/>
              </w:tabs>
              <w:rPr>
                <w:b/>
                <w:sz w:val="18"/>
                <w:szCs w:val="18"/>
              </w:rPr>
            </w:pPr>
          </w:p>
        </w:tc>
        <w:tc>
          <w:tcPr>
            <w:tcW w:w="928" w:type="dxa"/>
            <w:vAlign w:val="bottom"/>
          </w:tcPr>
          <w:p w14:paraId="0F63ED2E" w14:textId="77777777" w:rsidR="00400883" w:rsidRPr="003E2819" w:rsidRDefault="00400883" w:rsidP="00B01C0D">
            <w:pPr>
              <w:tabs>
                <w:tab w:val="left" w:pos="0"/>
              </w:tabs>
              <w:ind w:right="21"/>
              <w:jc w:val="right"/>
              <w:rPr>
                <w:b/>
                <w:sz w:val="18"/>
                <w:szCs w:val="18"/>
              </w:rPr>
            </w:pPr>
          </w:p>
        </w:tc>
        <w:tc>
          <w:tcPr>
            <w:tcW w:w="928" w:type="dxa"/>
            <w:gridSpan w:val="2"/>
            <w:vAlign w:val="bottom"/>
          </w:tcPr>
          <w:p w14:paraId="078EA73A" w14:textId="77777777" w:rsidR="00400883" w:rsidRPr="003E2819" w:rsidRDefault="00400883" w:rsidP="00B01C0D">
            <w:pPr>
              <w:tabs>
                <w:tab w:val="left" w:pos="0"/>
              </w:tabs>
              <w:ind w:right="21"/>
              <w:jc w:val="right"/>
              <w:rPr>
                <w:b/>
                <w:sz w:val="18"/>
                <w:szCs w:val="18"/>
              </w:rPr>
            </w:pPr>
          </w:p>
        </w:tc>
        <w:tc>
          <w:tcPr>
            <w:tcW w:w="829" w:type="dxa"/>
            <w:vAlign w:val="bottom"/>
          </w:tcPr>
          <w:p w14:paraId="06B20150" w14:textId="77777777" w:rsidR="00400883" w:rsidRPr="003E2819" w:rsidRDefault="00400883" w:rsidP="00B01C0D">
            <w:pPr>
              <w:tabs>
                <w:tab w:val="left" w:pos="0"/>
              </w:tabs>
              <w:ind w:right="21"/>
              <w:jc w:val="right"/>
              <w:rPr>
                <w:b/>
                <w:sz w:val="18"/>
                <w:szCs w:val="18"/>
              </w:rPr>
            </w:pPr>
          </w:p>
        </w:tc>
        <w:tc>
          <w:tcPr>
            <w:tcW w:w="791" w:type="dxa"/>
            <w:vAlign w:val="bottom"/>
          </w:tcPr>
          <w:p w14:paraId="75E9181A" w14:textId="77777777" w:rsidR="00400883" w:rsidRPr="003E2819" w:rsidRDefault="00400883" w:rsidP="00B01C0D">
            <w:pPr>
              <w:tabs>
                <w:tab w:val="left" w:pos="0"/>
              </w:tabs>
              <w:ind w:right="21"/>
              <w:jc w:val="right"/>
              <w:rPr>
                <w:b/>
                <w:sz w:val="18"/>
                <w:szCs w:val="18"/>
              </w:rPr>
            </w:pPr>
          </w:p>
        </w:tc>
      </w:tr>
      <w:tr w:rsidR="00224102" w:rsidRPr="003E2819" w14:paraId="0F7CDF0C" w14:textId="77777777" w:rsidTr="00FD0C7A">
        <w:trPr>
          <w:trHeight w:val="247"/>
        </w:trPr>
        <w:tc>
          <w:tcPr>
            <w:tcW w:w="5545" w:type="dxa"/>
            <w:vAlign w:val="bottom"/>
          </w:tcPr>
          <w:p w14:paraId="018D62E3" w14:textId="77777777" w:rsidR="00224102" w:rsidRPr="00FD0C7A" w:rsidRDefault="00224102" w:rsidP="00224102">
            <w:pPr>
              <w:tabs>
                <w:tab w:val="left" w:pos="0"/>
              </w:tabs>
              <w:rPr>
                <w:b/>
                <w:snapToGrid w:val="0"/>
                <w:sz w:val="18"/>
                <w:szCs w:val="18"/>
              </w:rPr>
            </w:pPr>
            <w:r w:rsidRPr="00FD0C7A">
              <w:rPr>
                <w:b/>
                <w:snapToGrid w:val="0"/>
                <w:sz w:val="18"/>
                <w:szCs w:val="18"/>
              </w:rPr>
              <w:t>Financial Assets at Fair Value Through Profit or Loss</w:t>
            </w:r>
          </w:p>
        </w:tc>
        <w:tc>
          <w:tcPr>
            <w:tcW w:w="928" w:type="dxa"/>
            <w:vAlign w:val="bottom"/>
          </w:tcPr>
          <w:p w14:paraId="28175BC2" w14:textId="552A2248" w:rsidR="00224102" w:rsidRPr="004845D8" w:rsidRDefault="00224102" w:rsidP="00B01C0D">
            <w:pPr>
              <w:ind w:right="21"/>
              <w:jc w:val="right"/>
              <w:rPr>
                <w:color w:val="000000"/>
                <w:sz w:val="16"/>
                <w:szCs w:val="16"/>
              </w:rPr>
            </w:pPr>
            <w:r w:rsidRPr="00E46F2D">
              <w:rPr>
                <w:b/>
                <w:color w:val="000000"/>
                <w:sz w:val="18"/>
                <w:szCs w:val="18"/>
              </w:rPr>
              <w:t xml:space="preserve">             422   </w:t>
            </w:r>
          </w:p>
        </w:tc>
        <w:tc>
          <w:tcPr>
            <w:tcW w:w="928" w:type="dxa"/>
            <w:gridSpan w:val="2"/>
            <w:vAlign w:val="bottom"/>
          </w:tcPr>
          <w:p w14:paraId="2327EB49" w14:textId="4DA2805E" w:rsidR="00224102" w:rsidRPr="004845D8" w:rsidRDefault="00224102" w:rsidP="00B01C0D">
            <w:pPr>
              <w:ind w:right="21"/>
              <w:jc w:val="right"/>
              <w:rPr>
                <w:color w:val="000000"/>
                <w:sz w:val="16"/>
                <w:szCs w:val="16"/>
              </w:rPr>
            </w:pPr>
            <w:r w:rsidRPr="00E46F2D">
              <w:rPr>
                <w:b/>
                <w:color w:val="000000"/>
                <w:sz w:val="18"/>
                <w:szCs w:val="18"/>
              </w:rPr>
              <w:t xml:space="preserve">      27,240   </w:t>
            </w:r>
          </w:p>
        </w:tc>
        <w:tc>
          <w:tcPr>
            <w:tcW w:w="829" w:type="dxa"/>
            <w:vAlign w:val="bottom"/>
          </w:tcPr>
          <w:p w14:paraId="4D7A0B46" w14:textId="60107424" w:rsidR="00224102" w:rsidRPr="004845D8" w:rsidRDefault="00224102" w:rsidP="00B01C0D">
            <w:pPr>
              <w:ind w:right="21"/>
              <w:jc w:val="right"/>
              <w:rPr>
                <w:bCs/>
                <w:color w:val="000000"/>
                <w:sz w:val="16"/>
                <w:szCs w:val="16"/>
              </w:rPr>
            </w:pPr>
            <w:r w:rsidRPr="00E46F2D">
              <w:rPr>
                <w:b/>
                <w:bCs/>
                <w:color w:val="000000"/>
                <w:sz w:val="18"/>
                <w:szCs w:val="18"/>
              </w:rPr>
              <w:t xml:space="preserve">             -     </w:t>
            </w:r>
          </w:p>
        </w:tc>
        <w:tc>
          <w:tcPr>
            <w:tcW w:w="791" w:type="dxa"/>
            <w:vAlign w:val="bottom"/>
          </w:tcPr>
          <w:p w14:paraId="5E0F6404" w14:textId="48147AB1" w:rsidR="00224102" w:rsidRPr="004845D8" w:rsidRDefault="00224102" w:rsidP="00B01C0D">
            <w:pPr>
              <w:ind w:right="21"/>
              <w:jc w:val="right"/>
              <w:rPr>
                <w:color w:val="000000"/>
                <w:sz w:val="16"/>
                <w:szCs w:val="16"/>
              </w:rPr>
            </w:pPr>
            <w:r w:rsidRPr="00E46F2D">
              <w:rPr>
                <w:b/>
                <w:color w:val="000000"/>
                <w:sz w:val="18"/>
                <w:szCs w:val="18"/>
              </w:rPr>
              <w:t>27,662</w:t>
            </w:r>
          </w:p>
        </w:tc>
      </w:tr>
      <w:tr w:rsidR="00224102" w:rsidRPr="003E2819" w14:paraId="47985F88" w14:textId="77777777" w:rsidTr="00FD0C7A">
        <w:trPr>
          <w:trHeight w:val="268"/>
        </w:trPr>
        <w:tc>
          <w:tcPr>
            <w:tcW w:w="5545" w:type="dxa"/>
            <w:vAlign w:val="bottom"/>
          </w:tcPr>
          <w:p w14:paraId="448590EC" w14:textId="77777777" w:rsidR="00224102" w:rsidRPr="003E2819" w:rsidRDefault="00224102" w:rsidP="00224102">
            <w:pPr>
              <w:tabs>
                <w:tab w:val="left" w:pos="0"/>
              </w:tabs>
              <w:rPr>
                <w:snapToGrid w:val="0"/>
                <w:sz w:val="18"/>
                <w:szCs w:val="18"/>
              </w:rPr>
            </w:pPr>
            <w:r w:rsidRPr="003E2819">
              <w:rPr>
                <w:snapToGrid w:val="0"/>
                <w:sz w:val="18"/>
                <w:szCs w:val="18"/>
              </w:rPr>
              <w:t>Government Debt Securities</w:t>
            </w:r>
          </w:p>
        </w:tc>
        <w:tc>
          <w:tcPr>
            <w:tcW w:w="928" w:type="dxa"/>
            <w:vAlign w:val="center"/>
          </w:tcPr>
          <w:p w14:paraId="5315851A" w14:textId="0F834133" w:rsidR="00224102" w:rsidRPr="004845D8" w:rsidRDefault="00224102" w:rsidP="00B01C0D">
            <w:pPr>
              <w:ind w:right="21"/>
              <w:jc w:val="right"/>
              <w:rPr>
                <w:color w:val="000000"/>
                <w:sz w:val="16"/>
                <w:szCs w:val="16"/>
              </w:rPr>
            </w:pPr>
            <w:r>
              <w:rPr>
                <w:color w:val="000000"/>
                <w:sz w:val="18"/>
                <w:szCs w:val="18"/>
              </w:rPr>
              <w:t xml:space="preserve">             422   </w:t>
            </w:r>
          </w:p>
        </w:tc>
        <w:tc>
          <w:tcPr>
            <w:tcW w:w="928" w:type="dxa"/>
            <w:gridSpan w:val="2"/>
            <w:vAlign w:val="center"/>
          </w:tcPr>
          <w:p w14:paraId="7BA00857" w14:textId="094447C8" w:rsidR="00224102" w:rsidRPr="004845D8" w:rsidRDefault="00224102" w:rsidP="00B01C0D">
            <w:pPr>
              <w:ind w:right="21"/>
              <w:jc w:val="right"/>
              <w:rPr>
                <w:color w:val="000000"/>
                <w:sz w:val="16"/>
                <w:szCs w:val="16"/>
              </w:rPr>
            </w:pPr>
            <w:r>
              <w:rPr>
                <w:color w:val="000000"/>
                <w:sz w:val="18"/>
                <w:szCs w:val="18"/>
              </w:rPr>
              <w:t xml:space="preserve">              -     </w:t>
            </w:r>
          </w:p>
        </w:tc>
        <w:tc>
          <w:tcPr>
            <w:tcW w:w="829" w:type="dxa"/>
            <w:vAlign w:val="center"/>
          </w:tcPr>
          <w:p w14:paraId="456CDFE6" w14:textId="787A1580" w:rsidR="00224102" w:rsidRPr="004845D8" w:rsidRDefault="00224102" w:rsidP="00B01C0D">
            <w:pPr>
              <w:ind w:right="21"/>
              <w:jc w:val="right"/>
              <w:rPr>
                <w:bCs/>
                <w:color w:val="000000"/>
                <w:sz w:val="16"/>
                <w:szCs w:val="16"/>
              </w:rPr>
            </w:pPr>
            <w:r w:rsidRPr="00B235C3">
              <w:rPr>
                <w:bCs/>
                <w:color w:val="000000"/>
                <w:sz w:val="18"/>
                <w:szCs w:val="18"/>
              </w:rPr>
              <w:t xml:space="preserve">             -     </w:t>
            </w:r>
          </w:p>
        </w:tc>
        <w:tc>
          <w:tcPr>
            <w:tcW w:w="791" w:type="dxa"/>
            <w:vAlign w:val="center"/>
          </w:tcPr>
          <w:p w14:paraId="7CD662C7" w14:textId="2197B7AC" w:rsidR="00224102" w:rsidRPr="004845D8" w:rsidRDefault="00224102" w:rsidP="00B01C0D">
            <w:pPr>
              <w:ind w:right="21"/>
              <w:jc w:val="right"/>
              <w:rPr>
                <w:color w:val="000000"/>
                <w:sz w:val="16"/>
                <w:szCs w:val="16"/>
              </w:rPr>
            </w:pPr>
            <w:r>
              <w:rPr>
                <w:color w:val="000000"/>
                <w:sz w:val="18"/>
                <w:szCs w:val="18"/>
              </w:rPr>
              <w:t>422</w:t>
            </w:r>
          </w:p>
        </w:tc>
      </w:tr>
      <w:tr w:rsidR="00224102" w:rsidRPr="003E2819" w14:paraId="65E4E5A1" w14:textId="77777777" w:rsidTr="00FD0C7A">
        <w:trPr>
          <w:trHeight w:val="247"/>
        </w:trPr>
        <w:tc>
          <w:tcPr>
            <w:tcW w:w="5545" w:type="dxa"/>
            <w:vAlign w:val="bottom"/>
          </w:tcPr>
          <w:p w14:paraId="3B95CC55" w14:textId="77777777" w:rsidR="00224102" w:rsidRPr="003E2819" w:rsidRDefault="00224102" w:rsidP="00224102">
            <w:pPr>
              <w:tabs>
                <w:tab w:val="left" w:pos="0"/>
              </w:tabs>
              <w:rPr>
                <w:snapToGrid w:val="0"/>
                <w:sz w:val="18"/>
                <w:szCs w:val="18"/>
              </w:rPr>
            </w:pPr>
            <w:r w:rsidRPr="003E2819">
              <w:rPr>
                <w:snapToGrid w:val="0"/>
                <w:sz w:val="18"/>
                <w:szCs w:val="18"/>
              </w:rPr>
              <w:t>Share Certificates</w:t>
            </w:r>
          </w:p>
        </w:tc>
        <w:tc>
          <w:tcPr>
            <w:tcW w:w="928" w:type="dxa"/>
            <w:vAlign w:val="center"/>
          </w:tcPr>
          <w:p w14:paraId="7CCCB03E" w14:textId="1DF5DE05" w:rsidR="00224102" w:rsidRPr="004845D8" w:rsidRDefault="00224102" w:rsidP="00B01C0D">
            <w:pPr>
              <w:ind w:right="21"/>
              <w:jc w:val="right"/>
              <w:rPr>
                <w:color w:val="000000"/>
                <w:sz w:val="16"/>
                <w:szCs w:val="16"/>
              </w:rPr>
            </w:pPr>
            <w:r>
              <w:rPr>
                <w:color w:val="000000"/>
                <w:sz w:val="18"/>
                <w:szCs w:val="18"/>
              </w:rPr>
              <w:t xml:space="preserve">                -     </w:t>
            </w:r>
          </w:p>
        </w:tc>
        <w:tc>
          <w:tcPr>
            <w:tcW w:w="928" w:type="dxa"/>
            <w:gridSpan w:val="2"/>
            <w:vAlign w:val="center"/>
          </w:tcPr>
          <w:p w14:paraId="539232C8" w14:textId="1AADA78B" w:rsidR="00224102" w:rsidRPr="004845D8" w:rsidRDefault="00224102" w:rsidP="00B01C0D">
            <w:pPr>
              <w:ind w:right="21"/>
              <w:jc w:val="right"/>
              <w:rPr>
                <w:color w:val="000000"/>
                <w:sz w:val="16"/>
                <w:szCs w:val="16"/>
              </w:rPr>
            </w:pPr>
            <w:r>
              <w:rPr>
                <w:color w:val="000000"/>
                <w:sz w:val="18"/>
                <w:szCs w:val="18"/>
              </w:rPr>
              <w:t xml:space="preserve">              -     </w:t>
            </w:r>
          </w:p>
        </w:tc>
        <w:tc>
          <w:tcPr>
            <w:tcW w:w="829" w:type="dxa"/>
            <w:vAlign w:val="center"/>
          </w:tcPr>
          <w:p w14:paraId="2AB31107" w14:textId="300D4C21" w:rsidR="00224102" w:rsidRPr="004845D8" w:rsidRDefault="00224102" w:rsidP="00B01C0D">
            <w:pPr>
              <w:ind w:right="21"/>
              <w:jc w:val="right"/>
              <w:rPr>
                <w:bCs/>
                <w:color w:val="000000"/>
                <w:sz w:val="16"/>
                <w:szCs w:val="16"/>
              </w:rPr>
            </w:pPr>
            <w:r w:rsidRPr="00B235C3">
              <w:rPr>
                <w:bCs/>
                <w:color w:val="000000"/>
                <w:sz w:val="18"/>
                <w:szCs w:val="18"/>
              </w:rPr>
              <w:t xml:space="preserve">             -     </w:t>
            </w:r>
          </w:p>
        </w:tc>
        <w:tc>
          <w:tcPr>
            <w:tcW w:w="791" w:type="dxa"/>
            <w:vAlign w:val="center"/>
          </w:tcPr>
          <w:p w14:paraId="32A10260" w14:textId="5440C276" w:rsidR="00224102" w:rsidRPr="004845D8" w:rsidRDefault="00224102" w:rsidP="00B01C0D">
            <w:pPr>
              <w:ind w:right="21"/>
              <w:jc w:val="right"/>
              <w:rPr>
                <w:color w:val="000000"/>
                <w:sz w:val="16"/>
                <w:szCs w:val="16"/>
              </w:rPr>
            </w:pPr>
            <w:r>
              <w:rPr>
                <w:color w:val="000000"/>
                <w:sz w:val="18"/>
                <w:szCs w:val="18"/>
              </w:rPr>
              <w:t>-</w:t>
            </w:r>
          </w:p>
        </w:tc>
      </w:tr>
      <w:tr w:rsidR="00224102" w:rsidRPr="003E2819" w14:paraId="0A3BACE7" w14:textId="77777777" w:rsidTr="00FD0C7A">
        <w:trPr>
          <w:trHeight w:val="247"/>
        </w:trPr>
        <w:tc>
          <w:tcPr>
            <w:tcW w:w="5545" w:type="dxa"/>
            <w:vAlign w:val="bottom"/>
          </w:tcPr>
          <w:p w14:paraId="194A39A4" w14:textId="77777777" w:rsidR="00224102" w:rsidRPr="003E2819" w:rsidRDefault="00224102" w:rsidP="00224102">
            <w:pPr>
              <w:tabs>
                <w:tab w:val="left" w:pos="0"/>
              </w:tabs>
              <w:rPr>
                <w:snapToGrid w:val="0"/>
                <w:sz w:val="18"/>
                <w:szCs w:val="18"/>
              </w:rPr>
            </w:pPr>
            <w:r w:rsidRPr="003E2819">
              <w:rPr>
                <w:snapToGrid w:val="0"/>
                <w:sz w:val="18"/>
                <w:szCs w:val="18"/>
              </w:rPr>
              <w:t>Trading Derivative Financial Assets</w:t>
            </w:r>
          </w:p>
        </w:tc>
        <w:tc>
          <w:tcPr>
            <w:tcW w:w="928" w:type="dxa"/>
            <w:vAlign w:val="center"/>
          </w:tcPr>
          <w:p w14:paraId="4F920E7C" w14:textId="35250186" w:rsidR="00224102" w:rsidRPr="004845D8" w:rsidRDefault="00224102" w:rsidP="00B01C0D">
            <w:pPr>
              <w:ind w:right="21"/>
              <w:jc w:val="right"/>
              <w:rPr>
                <w:color w:val="000000"/>
                <w:sz w:val="16"/>
                <w:szCs w:val="16"/>
              </w:rPr>
            </w:pPr>
            <w:r>
              <w:rPr>
                <w:color w:val="000000"/>
                <w:sz w:val="18"/>
                <w:szCs w:val="18"/>
              </w:rPr>
              <w:t xml:space="preserve">                -     </w:t>
            </w:r>
          </w:p>
        </w:tc>
        <w:tc>
          <w:tcPr>
            <w:tcW w:w="928" w:type="dxa"/>
            <w:gridSpan w:val="2"/>
            <w:vAlign w:val="center"/>
          </w:tcPr>
          <w:p w14:paraId="314296F2" w14:textId="254432D5" w:rsidR="00224102" w:rsidRPr="004845D8" w:rsidRDefault="00224102" w:rsidP="00B01C0D">
            <w:pPr>
              <w:ind w:right="21"/>
              <w:jc w:val="right"/>
              <w:rPr>
                <w:color w:val="000000"/>
                <w:sz w:val="16"/>
                <w:szCs w:val="16"/>
              </w:rPr>
            </w:pPr>
            <w:r>
              <w:rPr>
                <w:color w:val="000000"/>
                <w:sz w:val="18"/>
                <w:szCs w:val="18"/>
              </w:rPr>
              <w:t xml:space="preserve">      27,240   </w:t>
            </w:r>
          </w:p>
        </w:tc>
        <w:tc>
          <w:tcPr>
            <w:tcW w:w="829" w:type="dxa"/>
            <w:vAlign w:val="center"/>
          </w:tcPr>
          <w:p w14:paraId="62A58AF8" w14:textId="086B1043" w:rsidR="00224102" w:rsidRPr="004845D8" w:rsidRDefault="00224102" w:rsidP="00B01C0D">
            <w:pPr>
              <w:ind w:right="21"/>
              <w:jc w:val="right"/>
              <w:rPr>
                <w:bCs/>
                <w:color w:val="000000"/>
                <w:sz w:val="16"/>
                <w:szCs w:val="16"/>
              </w:rPr>
            </w:pPr>
            <w:r w:rsidRPr="00B235C3">
              <w:rPr>
                <w:bCs/>
                <w:color w:val="000000"/>
                <w:sz w:val="18"/>
                <w:szCs w:val="18"/>
              </w:rPr>
              <w:t xml:space="preserve">             -     </w:t>
            </w:r>
          </w:p>
        </w:tc>
        <w:tc>
          <w:tcPr>
            <w:tcW w:w="791" w:type="dxa"/>
            <w:vAlign w:val="center"/>
          </w:tcPr>
          <w:p w14:paraId="03D129C2" w14:textId="69621C56" w:rsidR="00224102" w:rsidRPr="004845D8" w:rsidRDefault="00224102" w:rsidP="00B01C0D">
            <w:pPr>
              <w:ind w:right="21"/>
              <w:jc w:val="right"/>
              <w:rPr>
                <w:color w:val="000000"/>
                <w:sz w:val="16"/>
                <w:szCs w:val="16"/>
              </w:rPr>
            </w:pPr>
            <w:r>
              <w:rPr>
                <w:color w:val="000000"/>
                <w:sz w:val="18"/>
                <w:szCs w:val="18"/>
              </w:rPr>
              <w:t>27,240</w:t>
            </w:r>
          </w:p>
        </w:tc>
      </w:tr>
      <w:tr w:rsidR="00224102" w:rsidRPr="003E2819" w14:paraId="43F951DF" w14:textId="77777777" w:rsidTr="00FD0C7A">
        <w:trPr>
          <w:trHeight w:val="268"/>
        </w:trPr>
        <w:tc>
          <w:tcPr>
            <w:tcW w:w="5545" w:type="dxa"/>
            <w:vAlign w:val="bottom"/>
          </w:tcPr>
          <w:p w14:paraId="2E64E0F4" w14:textId="77777777" w:rsidR="00224102" w:rsidRPr="00FD0C7A" w:rsidRDefault="00224102" w:rsidP="00224102">
            <w:pPr>
              <w:tabs>
                <w:tab w:val="left" w:pos="0"/>
              </w:tabs>
              <w:rPr>
                <w:b/>
                <w:snapToGrid w:val="0"/>
                <w:sz w:val="18"/>
                <w:szCs w:val="18"/>
              </w:rPr>
            </w:pPr>
            <w:r w:rsidRPr="00FD0C7A">
              <w:rPr>
                <w:b/>
                <w:snapToGrid w:val="0"/>
                <w:sz w:val="18"/>
                <w:szCs w:val="18"/>
              </w:rPr>
              <w:t>Available for Sale Assets</w:t>
            </w:r>
          </w:p>
        </w:tc>
        <w:tc>
          <w:tcPr>
            <w:tcW w:w="928" w:type="dxa"/>
            <w:vAlign w:val="center"/>
          </w:tcPr>
          <w:p w14:paraId="6F16AB9B" w14:textId="5A9DE916" w:rsidR="00224102" w:rsidRPr="004845D8" w:rsidRDefault="00224102" w:rsidP="00B01C0D">
            <w:pPr>
              <w:ind w:right="21"/>
              <w:jc w:val="right"/>
              <w:rPr>
                <w:color w:val="000000"/>
                <w:sz w:val="16"/>
                <w:szCs w:val="16"/>
              </w:rPr>
            </w:pPr>
            <w:r w:rsidRPr="00E46F2D">
              <w:rPr>
                <w:b/>
                <w:color w:val="000000"/>
                <w:sz w:val="18"/>
                <w:szCs w:val="18"/>
              </w:rPr>
              <w:t xml:space="preserve">      </w:t>
            </w:r>
            <w:r>
              <w:rPr>
                <w:b/>
                <w:color w:val="000000"/>
                <w:sz w:val="18"/>
                <w:szCs w:val="18"/>
              </w:rPr>
              <w:t>779,905</w:t>
            </w:r>
            <w:r w:rsidRPr="00E46F2D">
              <w:rPr>
                <w:b/>
                <w:color w:val="000000"/>
                <w:sz w:val="18"/>
                <w:szCs w:val="18"/>
              </w:rPr>
              <w:t xml:space="preserve">   </w:t>
            </w:r>
          </w:p>
        </w:tc>
        <w:tc>
          <w:tcPr>
            <w:tcW w:w="928" w:type="dxa"/>
            <w:gridSpan w:val="2"/>
            <w:vAlign w:val="center"/>
          </w:tcPr>
          <w:p w14:paraId="53C257A3" w14:textId="6A24010B" w:rsidR="00224102" w:rsidRPr="004845D8" w:rsidRDefault="00224102" w:rsidP="00B01C0D">
            <w:pPr>
              <w:ind w:right="21"/>
              <w:jc w:val="right"/>
              <w:rPr>
                <w:color w:val="000000"/>
                <w:sz w:val="16"/>
                <w:szCs w:val="16"/>
              </w:rPr>
            </w:pPr>
            <w:r w:rsidRPr="00E46F2D">
              <w:rPr>
                <w:b/>
                <w:color w:val="000000"/>
                <w:sz w:val="18"/>
                <w:szCs w:val="18"/>
              </w:rPr>
              <w:t xml:space="preserve">    </w:t>
            </w:r>
            <w:r>
              <w:rPr>
                <w:b/>
                <w:color w:val="000000"/>
                <w:sz w:val="18"/>
                <w:szCs w:val="18"/>
              </w:rPr>
              <w:t>31,316</w:t>
            </w:r>
            <w:r w:rsidRPr="00E46F2D">
              <w:rPr>
                <w:b/>
                <w:color w:val="000000"/>
                <w:sz w:val="18"/>
                <w:szCs w:val="18"/>
              </w:rPr>
              <w:t xml:space="preserve">   </w:t>
            </w:r>
          </w:p>
        </w:tc>
        <w:tc>
          <w:tcPr>
            <w:tcW w:w="829" w:type="dxa"/>
            <w:vAlign w:val="center"/>
          </w:tcPr>
          <w:p w14:paraId="61A8EBA5" w14:textId="4674088B" w:rsidR="00224102" w:rsidRPr="004845D8" w:rsidRDefault="00224102" w:rsidP="00B01C0D">
            <w:pPr>
              <w:ind w:right="21"/>
              <w:jc w:val="right"/>
              <w:rPr>
                <w:bCs/>
                <w:color w:val="000000"/>
                <w:sz w:val="16"/>
                <w:szCs w:val="16"/>
              </w:rPr>
            </w:pPr>
            <w:r w:rsidRPr="00E46F2D">
              <w:rPr>
                <w:b/>
                <w:bCs/>
                <w:color w:val="000000"/>
                <w:sz w:val="18"/>
                <w:szCs w:val="18"/>
              </w:rPr>
              <w:t xml:space="preserve">             -     </w:t>
            </w:r>
          </w:p>
        </w:tc>
        <w:tc>
          <w:tcPr>
            <w:tcW w:w="791" w:type="dxa"/>
            <w:vAlign w:val="center"/>
          </w:tcPr>
          <w:p w14:paraId="2864F435" w14:textId="69DE81E6" w:rsidR="00224102" w:rsidRPr="004845D8" w:rsidRDefault="00224102" w:rsidP="00B01C0D">
            <w:pPr>
              <w:ind w:right="21"/>
              <w:jc w:val="right"/>
              <w:rPr>
                <w:color w:val="000000"/>
                <w:sz w:val="16"/>
                <w:szCs w:val="16"/>
              </w:rPr>
            </w:pPr>
            <w:r>
              <w:rPr>
                <w:b/>
                <w:color w:val="000000"/>
                <w:sz w:val="18"/>
                <w:szCs w:val="18"/>
              </w:rPr>
              <w:t>811,221</w:t>
            </w:r>
          </w:p>
        </w:tc>
      </w:tr>
      <w:tr w:rsidR="00224102" w:rsidRPr="003E2819" w14:paraId="4F4DA55A" w14:textId="77777777" w:rsidTr="00FD0C7A">
        <w:trPr>
          <w:trHeight w:val="247"/>
        </w:trPr>
        <w:tc>
          <w:tcPr>
            <w:tcW w:w="5545" w:type="dxa"/>
            <w:vAlign w:val="bottom"/>
          </w:tcPr>
          <w:p w14:paraId="4EC6AFD4" w14:textId="77777777" w:rsidR="00224102" w:rsidRPr="003E2819" w:rsidRDefault="00224102" w:rsidP="00224102">
            <w:pPr>
              <w:tabs>
                <w:tab w:val="left" w:pos="0"/>
              </w:tabs>
              <w:rPr>
                <w:snapToGrid w:val="0"/>
                <w:sz w:val="18"/>
                <w:szCs w:val="18"/>
              </w:rPr>
            </w:pPr>
            <w:r w:rsidRPr="003E2819">
              <w:rPr>
                <w:snapToGrid w:val="0"/>
                <w:sz w:val="18"/>
                <w:szCs w:val="18"/>
              </w:rPr>
              <w:t>Government Debt Securities</w:t>
            </w:r>
          </w:p>
        </w:tc>
        <w:tc>
          <w:tcPr>
            <w:tcW w:w="928" w:type="dxa"/>
            <w:vAlign w:val="center"/>
          </w:tcPr>
          <w:p w14:paraId="37542D5C" w14:textId="25CCA428" w:rsidR="00224102" w:rsidRPr="004845D8" w:rsidRDefault="00224102" w:rsidP="00B01C0D">
            <w:pPr>
              <w:ind w:right="21"/>
              <w:jc w:val="right"/>
              <w:rPr>
                <w:color w:val="000000"/>
                <w:sz w:val="16"/>
                <w:szCs w:val="16"/>
              </w:rPr>
            </w:pPr>
            <w:r>
              <w:rPr>
                <w:color w:val="000000"/>
                <w:sz w:val="18"/>
                <w:szCs w:val="18"/>
              </w:rPr>
              <w:t xml:space="preserve">      643,794   </w:t>
            </w:r>
          </w:p>
        </w:tc>
        <w:tc>
          <w:tcPr>
            <w:tcW w:w="928" w:type="dxa"/>
            <w:gridSpan w:val="2"/>
            <w:vAlign w:val="center"/>
          </w:tcPr>
          <w:p w14:paraId="335CF7FE" w14:textId="5ACD154E" w:rsidR="00224102" w:rsidRPr="004845D8" w:rsidRDefault="00224102" w:rsidP="00B01C0D">
            <w:pPr>
              <w:ind w:right="21"/>
              <w:jc w:val="right"/>
              <w:rPr>
                <w:color w:val="000000"/>
                <w:sz w:val="16"/>
                <w:szCs w:val="16"/>
              </w:rPr>
            </w:pPr>
            <w:r>
              <w:rPr>
                <w:color w:val="000000"/>
                <w:sz w:val="18"/>
                <w:szCs w:val="18"/>
              </w:rPr>
              <w:t xml:space="preserve">      23,278   </w:t>
            </w:r>
          </w:p>
        </w:tc>
        <w:tc>
          <w:tcPr>
            <w:tcW w:w="829" w:type="dxa"/>
            <w:vAlign w:val="center"/>
          </w:tcPr>
          <w:p w14:paraId="10A28F63" w14:textId="774DA004" w:rsidR="00224102" w:rsidRPr="004845D8" w:rsidRDefault="00224102" w:rsidP="00B01C0D">
            <w:pPr>
              <w:ind w:right="21"/>
              <w:jc w:val="right"/>
              <w:rPr>
                <w:bCs/>
                <w:color w:val="000000"/>
                <w:sz w:val="16"/>
                <w:szCs w:val="16"/>
              </w:rPr>
            </w:pPr>
            <w:r w:rsidRPr="00B235C3">
              <w:rPr>
                <w:bCs/>
                <w:color w:val="000000"/>
                <w:sz w:val="18"/>
                <w:szCs w:val="18"/>
              </w:rPr>
              <w:t xml:space="preserve">             -     </w:t>
            </w:r>
          </w:p>
        </w:tc>
        <w:tc>
          <w:tcPr>
            <w:tcW w:w="791" w:type="dxa"/>
            <w:vAlign w:val="center"/>
          </w:tcPr>
          <w:p w14:paraId="476380B6" w14:textId="4C279313" w:rsidR="00224102" w:rsidRPr="004845D8" w:rsidRDefault="00224102" w:rsidP="00B01C0D">
            <w:pPr>
              <w:ind w:right="21"/>
              <w:jc w:val="right"/>
              <w:rPr>
                <w:color w:val="000000"/>
                <w:sz w:val="16"/>
                <w:szCs w:val="16"/>
              </w:rPr>
            </w:pPr>
            <w:r>
              <w:rPr>
                <w:color w:val="000000"/>
                <w:sz w:val="18"/>
                <w:szCs w:val="18"/>
              </w:rPr>
              <w:t>667,072</w:t>
            </w:r>
          </w:p>
        </w:tc>
      </w:tr>
      <w:tr w:rsidR="00224102" w:rsidRPr="003E2819" w14:paraId="73CA127E" w14:textId="77777777" w:rsidTr="00FD0C7A">
        <w:trPr>
          <w:trHeight w:val="268"/>
        </w:trPr>
        <w:tc>
          <w:tcPr>
            <w:tcW w:w="5545" w:type="dxa"/>
            <w:vAlign w:val="bottom"/>
          </w:tcPr>
          <w:p w14:paraId="70CD425D" w14:textId="77777777" w:rsidR="00224102" w:rsidRPr="003E2819" w:rsidRDefault="00224102" w:rsidP="00224102">
            <w:pPr>
              <w:tabs>
                <w:tab w:val="left" w:pos="0"/>
              </w:tabs>
              <w:rPr>
                <w:snapToGrid w:val="0"/>
                <w:sz w:val="18"/>
                <w:szCs w:val="18"/>
              </w:rPr>
            </w:pPr>
            <w:r w:rsidRPr="003E2819">
              <w:rPr>
                <w:snapToGrid w:val="0"/>
                <w:sz w:val="18"/>
                <w:szCs w:val="18"/>
              </w:rPr>
              <w:t>Other Marketable Securities</w:t>
            </w:r>
          </w:p>
        </w:tc>
        <w:tc>
          <w:tcPr>
            <w:tcW w:w="928" w:type="dxa"/>
            <w:vAlign w:val="bottom"/>
          </w:tcPr>
          <w:p w14:paraId="0D77CD5E" w14:textId="74D99492" w:rsidR="00224102" w:rsidRPr="004845D8" w:rsidRDefault="00224102" w:rsidP="00B01C0D">
            <w:pPr>
              <w:ind w:right="21"/>
              <w:jc w:val="right"/>
              <w:rPr>
                <w:b/>
                <w:bCs/>
                <w:color w:val="000000"/>
                <w:sz w:val="16"/>
                <w:szCs w:val="16"/>
              </w:rPr>
            </w:pPr>
            <w:r w:rsidRPr="0000379E">
              <w:rPr>
                <w:bCs/>
                <w:color w:val="000000"/>
                <w:sz w:val="18"/>
                <w:szCs w:val="18"/>
              </w:rPr>
              <w:t xml:space="preserve">     136,111     </w:t>
            </w:r>
          </w:p>
        </w:tc>
        <w:tc>
          <w:tcPr>
            <w:tcW w:w="916" w:type="dxa"/>
            <w:vAlign w:val="bottom"/>
          </w:tcPr>
          <w:p w14:paraId="480E520F" w14:textId="6FD11DD2" w:rsidR="00224102" w:rsidRPr="004845D8" w:rsidRDefault="00224102" w:rsidP="00B01C0D">
            <w:pPr>
              <w:ind w:right="21"/>
              <w:jc w:val="right"/>
              <w:rPr>
                <w:color w:val="000000"/>
                <w:sz w:val="16"/>
                <w:szCs w:val="16"/>
              </w:rPr>
            </w:pPr>
            <w:r w:rsidRPr="0000379E">
              <w:rPr>
                <w:color w:val="000000"/>
                <w:sz w:val="18"/>
                <w:szCs w:val="18"/>
              </w:rPr>
              <w:t xml:space="preserve">8,038   </w:t>
            </w:r>
          </w:p>
        </w:tc>
        <w:tc>
          <w:tcPr>
            <w:tcW w:w="841" w:type="dxa"/>
            <w:gridSpan w:val="2"/>
            <w:vAlign w:val="center"/>
          </w:tcPr>
          <w:p w14:paraId="686EEB27" w14:textId="643A35E5" w:rsidR="00224102" w:rsidRPr="004845D8" w:rsidRDefault="00224102" w:rsidP="00B01C0D">
            <w:pPr>
              <w:ind w:right="21"/>
              <w:jc w:val="right"/>
              <w:rPr>
                <w:bCs/>
                <w:color w:val="000000"/>
                <w:sz w:val="16"/>
                <w:szCs w:val="16"/>
              </w:rPr>
            </w:pPr>
            <w:r w:rsidRPr="00B235C3">
              <w:rPr>
                <w:bCs/>
                <w:color w:val="000000"/>
                <w:sz w:val="18"/>
                <w:szCs w:val="18"/>
              </w:rPr>
              <w:t xml:space="preserve">             -     </w:t>
            </w:r>
          </w:p>
        </w:tc>
        <w:tc>
          <w:tcPr>
            <w:tcW w:w="791" w:type="dxa"/>
            <w:vAlign w:val="center"/>
          </w:tcPr>
          <w:p w14:paraId="024031FB" w14:textId="35BFAE88" w:rsidR="00224102" w:rsidRPr="004845D8" w:rsidRDefault="00224102" w:rsidP="00B01C0D">
            <w:pPr>
              <w:ind w:right="21"/>
              <w:jc w:val="right"/>
              <w:rPr>
                <w:color w:val="000000"/>
                <w:sz w:val="16"/>
                <w:szCs w:val="16"/>
              </w:rPr>
            </w:pPr>
            <w:r>
              <w:rPr>
                <w:color w:val="000000"/>
                <w:sz w:val="18"/>
                <w:szCs w:val="18"/>
              </w:rPr>
              <w:t>144,149</w:t>
            </w:r>
          </w:p>
        </w:tc>
      </w:tr>
      <w:tr w:rsidR="00224102" w:rsidRPr="003E2819" w14:paraId="17478CE4" w14:textId="77777777" w:rsidTr="00FD0C7A">
        <w:trPr>
          <w:trHeight w:val="247"/>
        </w:trPr>
        <w:tc>
          <w:tcPr>
            <w:tcW w:w="5545" w:type="dxa"/>
            <w:vAlign w:val="bottom"/>
          </w:tcPr>
          <w:p w14:paraId="2A346157" w14:textId="54335AFF" w:rsidR="00224102" w:rsidRPr="00544B06" w:rsidRDefault="00243F22" w:rsidP="00224102">
            <w:pPr>
              <w:tabs>
                <w:tab w:val="left" w:pos="0"/>
              </w:tabs>
              <w:rPr>
                <w:b/>
                <w:snapToGrid w:val="0"/>
                <w:sz w:val="18"/>
                <w:szCs w:val="18"/>
              </w:rPr>
            </w:pPr>
            <w:r>
              <w:rPr>
                <w:b/>
                <w:snapToGrid w:val="0"/>
                <w:sz w:val="18"/>
                <w:szCs w:val="18"/>
              </w:rPr>
              <w:t>Hedging</w:t>
            </w:r>
            <w:r w:rsidR="00877CBD" w:rsidRPr="00544B06">
              <w:rPr>
                <w:b/>
                <w:snapToGrid w:val="0"/>
                <w:sz w:val="18"/>
                <w:szCs w:val="18"/>
              </w:rPr>
              <w:t xml:space="preserve"> Derivative Financial Assets</w:t>
            </w:r>
          </w:p>
        </w:tc>
        <w:tc>
          <w:tcPr>
            <w:tcW w:w="928" w:type="dxa"/>
            <w:vAlign w:val="bottom"/>
          </w:tcPr>
          <w:p w14:paraId="368710DC" w14:textId="6A84D63A" w:rsidR="00224102" w:rsidRPr="004845D8" w:rsidRDefault="00224102" w:rsidP="00B01C0D">
            <w:pPr>
              <w:ind w:right="21"/>
              <w:jc w:val="right"/>
              <w:rPr>
                <w:b/>
                <w:bCs/>
                <w:color w:val="000000"/>
                <w:sz w:val="16"/>
                <w:szCs w:val="16"/>
              </w:rPr>
            </w:pPr>
            <w:r w:rsidRPr="00E94317">
              <w:rPr>
                <w:b/>
                <w:bCs/>
                <w:color w:val="000000"/>
                <w:sz w:val="18"/>
                <w:szCs w:val="18"/>
              </w:rPr>
              <w:t xml:space="preserve">                -     </w:t>
            </w:r>
          </w:p>
        </w:tc>
        <w:tc>
          <w:tcPr>
            <w:tcW w:w="916" w:type="dxa"/>
            <w:vAlign w:val="bottom"/>
          </w:tcPr>
          <w:p w14:paraId="769EA1FC" w14:textId="7B720218" w:rsidR="00224102" w:rsidRPr="004845D8" w:rsidRDefault="00196A0E" w:rsidP="00B01C0D">
            <w:pPr>
              <w:ind w:right="21"/>
              <w:jc w:val="right"/>
              <w:rPr>
                <w:b/>
                <w:bCs/>
                <w:color w:val="000000"/>
                <w:sz w:val="16"/>
                <w:szCs w:val="16"/>
              </w:rPr>
            </w:pPr>
            <w:r>
              <w:rPr>
                <w:b/>
                <w:bCs/>
                <w:color w:val="000000"/>
                <w:sz w:val="18"/>
                <w:szCs w:val="18"/>
              </w:rPr>
              <w:t xml:space="preserve">        </w:t>
            </w:r>
            <w:r w:rsidR="00224102" w:rsidRPr="00E94317">
              <w:rPr>
                <w:b/>
                <w:bCs/>
                <w:color w:val="000000"/>
                <w:sz w:val="18"/>
                <w:szCs w:val="18"/>
              </w:rPr>
              <w:t xml:space="preserve">97,427    </w:t>
            </w:r>
          </w:p>
        </w:tc>
        <w:tc>
          <w:tcPr>
            <w:tcW w:w="841" w:type="dxa"/>
            <w:gridSpan w:val="2"/>
            <w:vAlign w:val="bottom"/>
          </w:tcPr>
          <w:p w14:paraId="3EB92720" w14:textId="7A1BEB4D" w:rsidR="00224102" w:rsidRPr="004845D8" w:rsidRDefault="00224102" w:rsidP="00B01C0D">
            <w:pPr>
              <w:ind w:right="21"/>
              <w:jc w:val="right"/>
              <w:rPr>
                <w:bCs/>
                <w:color w:val="000000"/>
                <w:sz w:val="16"/>
                <w:szCs w:val="16"/>
              </w:rPr>
            </w:pPr>
            <w:r w:rsidRPr="00E94317">
              <w:rPr>
                <w:b/>
                <w:bCs/>
                <w:color w:val="000000"/>
                <w:sz w:val="18"/>
                <w:szCs w:val="18"/>
              </w:rPr>
              <w:t xml:space="preserve">             -     </w:t>
            </w:r>
          </w:p>
        </w:tc>
        <w:tc>
          <w:tcPr>
            <w:tcW w:w="791" w:type="dxa"/>
            <w:vAlign w:val="bottom"/>
          </w:tcPr>
          <w:p w14:paraId="601EC3B9" w14:textId="667FF0B7" w:rsidR="00224102" w:rsidRPr="004845D8" w:rsidRDefault="00224102" w:rsidP="00B01C0D">
            <w:pPr>
              <w:ind w:right="21"/>
              <w:jc w:val="right"/>
              <w:rPr>
                <w:color w:val="000000"/>
                <w:sz w:val="16"/>
                <w:szCs w:val="16"/>
              </w:rPr>
            </w:pPr>
            <w:r w:rsidRPr="00E94317">
              <w:rPr>
                <w:b/>
                <w:color w:val="000000"/>
                <w:sz w:val="18"/>
                <w:szCs w:val="18"/>
              </w:rPr>
              <w:t>97,427</w:t>
            </w:r>
          </w:p>
        </w:tc>
      </w:tr>
      <w:tr w:rsidR="00224102" w:rsidRPr="003E2819" w14:paraId="1F299522" w14:textId="77777777" w:rsidTr="00FD0C7A">
        <w:trPr>
          <w:trHeight w:val="247"/>
        </w:trPr>
        <w:tc>
          <w:tcPr>
            <w:tcW w:w="5545" w:type="dxa"/>
            <w:vAlign w:val="bottom"/>
          </w:tcPr>
          <w:p w14:paraId="2EF4C3E5" w14:textId="77777777" w:rsidR="00224102" w:rsidRPr="003E2819" w:rsidRDefault="00224102" w:rsidP="00224102">
            <w:pPr>
              <w:tabs>
                <w:tab w:val="left" w:pos="0"/>
              </w:tabs>
              <w:rPr>
                <w:b/>
                <w:snapToGrid w:val="0"/>
                <w:sz w:val="18"/>
                <w:szCs w:val="18"/>
              </w:rPr>
            </w:pPr>
            <w:r w:rsidRPr="003E2819">
              <w:rPr>
                <w:b/>
                <w:snapToGrid w:val="0"/>
                <w:sz w:val="18"/>
                <w:szCs w:val="18"/>
              </w:rPr>
              <w:t>Total Assets</w:t>
            </w:r>
          </w:p>
        </w:tc>
        <w:tc>
          <w:tcPr>
            <w:tcW w:w="928" w:type="dxa"/>
            <w:vAlign w:val="center"/>
          </w:tcPr>
          <w:p w14:paraId="7F0C0373" w14:textId="73180A11" w:rsidR="00224102" w:rsidRPr="004845D8" w:rsidRDefault="00224102" w:rsidP="00B01C0D">
            <w:pPr>
              <w:ind w:right="21"/>
              <w:jc w:val="right"/>
              <w:rPr>
                <w:b/>
                <w:bCs/>
                <w:color w:val="000000"/>
                <w:sz w:val="16"/>
                <w:szCs w:val="16"/>
              </w:rPr>
            </w:pPr>
            <w:r>
              <w:rPr>
                <w:b/>
                <w:bCs/>
                <w:color w:val="000000"/>
                <w:sz w:val="18"/>
                <w:szCs w:val="18"/>
              </w:rPr>
              <w:t>780,327</w:t>
            </w:r>
          </w:p>
        </w:tc>
        <w:tc>
          <w:tcPr>
            <w:tcW w:w="928" w:type="dxa"/>
            <w:gridSpan w:val="2"/>
            <w:vAlign w:val="center"/>
          </w:tcPr>
          <w:p w14:paraId="0AED5C20" w14:textId="52F8E355" w:rsidR="00224102" w:rsidRPr="004845D8" w:rsidRDefault="00224102" w:rsidP="00B01C0D">
            <w:pPr>
              <w:ind w:right="21"/>
              <w:jc w:val="right"/>
              <w:rPr>
                <w:b/>
                <w:bCs/>
                <w:color w:val="000000"/>
                <w:sz w:val="16"/>
                <w:szCs w:val="16"/>
              </w:rPr>
            </w:pPr>
            <w:r>
              <w:rPr>
                <w:b/>
                <w:bCs/>
                <w:color w:val="000000"/>
                <w:sz w:val="18"/>
                <w:szCs w:val="18"/>
              </w:rPr>
              <w:t>155,983</w:t>
            </w:r>
          </w:p>
        </w:tc>
        <w:tc>
          <w:tcPr>
            <w:tcW w:w="829" w:type="dxa"/>
            <w:vAlign w:val="center"/>
          </w:tcPr>
          <w:p w14:paraId="4EF3E927" w14:textId="000FB0A9" w:rsidR="00224102" w:rsidRPr="004845D8" w:rsidRDefault="00224102" w:rsidP="00B01C0D">
            <w:pPr>
              <w:ind w:right="21"/>
              <w:jc w:val="right"/>
              <w:rPr>
                <w:bCs/>
                <w:color w:val="000000"/>
                <w:sz w:val="16"/>
                <w:szCs w:val="16"/>
              </w:rPr>
            </w:pPr>
            <w:r w:rsidRPr="00B235C3">
              <w:rPr>
                <w:bCs/>
                <w:color w:val="000000"/>
                <w:sz w:val="18"/>
                <w:szCs w:val="18"/>
              </w:rPr>
              <w:t xml:space="preserve">             -     </w:t>
            </w:r>
          </w:p>
        </w:tc>
        <w:tc>
          <w:tcPr>
            <w:tcW w:w="791" w:type="dxa"/>
            <w:vAlign w:val="center"/>
          </w:tcPr>
          <w:p w14:paraId="7E44597A" w14:textId="0D7CE230" w:rsidR="00224102" w:rsidRPr="004845D8" w:rsidRDefault="00224102" w:rsidP="00B01C0D">
            <w:pPr>
              <w:ind w:right="21"/>
              <w:jc w:val="right"/>
              <w:rPr>
                <w:b/>
                <w:bCs/>
                <w:color w:val="000000"/>
                <w:sz w:val="16"/>
                <w:szCs w:val="16"/>
              </w:rPr>
            </w:pPr>
            <w:r>
              <w:rPr>
                <w:b/>
                <w:bCs/>
                <w:color w:val="000000"/>
                <w:sz w:val="18"/>
                <w:szCs w:val="18"/>
              </w:rPr>
              <w:t>936,310</w:t>
            </w:r>
          </w:p>
        </w:tc>
      </w:tr>
      <w:tr w:rsidR="00224102" w:rsidRPr="003E2819" w14:paraId="0316E5D5" w14:textId="77777777" w:rsidTr="00FD0C7A">
        <w:trPr>
          <w:trHeight w:val="247"/>
        </w:trPr>
        <w:tc>
          <w:tcPr>
            <w:tcW w:w="5545" w:type="dxa"/>
            <w:vAlign w:val="bottom"/>
          </w:tcPr>
          <w:p w14:paraId="194AFDEA" w14:textId="77777777" w:rsidR="00224102" w:rsidRPr="003E2819" w:rsidRDefault="00224102" w:rsidP="00224102">
            <w:pPr>
              <w:tabs>
                <w:tab w:val="left" w:pos="0"/>
              </w:tabs>
              <w:rPr>
                <w:snapToGrid w:val="0"/>
                <w:sz w:val="18"/>
                <w:szCs w:val="18"/>
              </w:rPr>
            </w:pPr>
          </w:p>
        </w:tc>
        <w:tc>
          <w:tcPr>
            <w:tcW w:w="928" w:type="dxa"/>
            <w:vAlign w:val="bottom"/>
          </w:tcPr>
          <w:p w14:paraId="6CFBB533" w14:textId="77777777" w:rsidR="00224102" w:rsidRPr="004845D8" w:rsidRDefault="00224102" w:rsidP="00B01C0D">
            <w:pPr>
              <w:tabs>
                <w:tab w:val="left" w:pos="0"/>
              </w:tabs>
              <w:ind w:right="21"/>
              <w:jc w:val="right"/>
              <w:rPr>
                <w:sz w:val="16"/>
                <w:szCs w:val="16"/>
              </w:rPr>
            </w:pPr>
          </w:p>
        </w:tc>
        <w:tc>
          <w:tcPr>
            <w:tcW w:w="928" w:type="dxa"/>
            <w:gridSpan w:val="2"/>
            <w:vAlign w:val="bottom"/>
          </w:tcPr>
          <w:p w14:paraId="0F635267" w14:textId="77777777" w:rsidR="00224102" w:rsidRPr="004845D8" w:rsidRDefault="00224102" w:rsidP="00B01C0D">
            <w:pPr>
              <w:tabs>
                <w:tab w:val="left" w:pos="0"/>
              </w:tabs>
              <w:ind w:right="21"/>
              <w:jc w:val="right"/>
              <w:rPr>
                <w:sz w:val="16"/>
                <w:szCs w:val="16"/>
              </w:rPr>
            </w:pPr>
          </w:p>
        </w:tc>
        <w:tc>
          <w:tcPr>
            <w:tcW w:w="829" w:type="dxa"/>
            <w:vAlign w:val="bottom"/>
          </w:tcPr>
          <w:p w14:paraId="705CEA0B" w14:textId="77777777" w:rsidR="00224102" w:rsidRPr="004845D8" w:rsidRDefault="00224102" w:rsidP="00B01C0D">
            <w:pPr>
              <w:tabs>
                <w:tab w:val="left" w:pos="0"/>
              </w:tabs>
              <w:ind w:right="21"/>
              <w:jc w:val="right"/>
              <w:rPr>
                <w:sz w:val="16"/>
                <w:szCs w:val="16"/>
              </w:rPr>
            </w:pPr>
          </w:p>
        </w:tc>
        <w:tc>
          <w:tcPr>
            <w:tcW w:w="791" w:type="dxa"/>
            <w:vAlign w:val="bottom"/>
          </w:tcPr>
          <w:p w14:paraId="378BA3C7" w14:textId="77777777" w:rsidR="00224102" w:rsidRPr="004845D8" w:rsidRDefault="00224102" w:rsidP="00B01C0D">
            <w:pPr>
              <w:tabs>
                <w:tab w:val="left" w:pos="0"/>
              </w:tabs>
              <w:ind w:right="21"/>
              <w:jc w:val="right"/>
              <w:rPr>
                <w:sz w:val="16"/>
                <w:szCs w:val="16"/>
              </w:rPr>
            </w:pPr>
          </w:p>
        </w:tc>
      </w:tr>
      <w:tr w:rsidR="00224102" w:rsidRPr="003E2819" w14:paraId="2F01C4A8" w14:textId="77777777" w:rsidTr="00FD0C7A">
        <w:trPr>
          <w:trHeight w:val="220"/>
        </w:trPr>
        <w:tc>
          <w:tcPr>
            <w:tcW w:w="5545" w:type="dxa"/>
            <w:vAlign w:val="bottom"/>
          </w:tcPr>
          <w:p w14:paraId="4AC1E0A3" w14:textId="58F17B2F" w:rsidR="00224102" w:rsidRPr="003E2819" w:rsidRDefault="00224102" w:rsidP="00224102">
            <w:pPr>
              <w:tabs>
                <w:tab w:val="left" w:pos="0"/>
              </w:tabs>
              <w:rPr>
                <w:snapToGrid w:val="0"/>
                <w:sz w:val="18"/>
                <w:szCs w:val="18"/>
              </w:rPr>
            </w:pPr>
            <w:r w:rsidRPr="003E2819">
              <w:rPr>
                <w:snapToGrid w:val="0"/>
                <w:sz w:val="18"/>
                <w:szCs w:val="18"/>
              </w:rPr>
              <w:t>Trading Derivative Financial Liabilities</w:t>
            </w:r>
          </w:p>
        </w:tc>
        <w:tc>
          <w:tcPr>
            <w:tcW w:w="928" w:type="dxa"/>
            <w:vAlign w:val="center"/>
          </w:tcPr>
          <w:p w14:paraId="0AD39992" w14:textId="507C0266" w:rsidR="00224102" w:rsidRPr="004845D8" w:rsidRDefault="00224102" w:rsidP="00B01C0D">
            <w:pPr>
              <w:ind w:right="21"/>
              <w:jc w:val="right"/>
              <w:rPr>
                <w:color w:val="000000"/>
                <w:sz w:val="16"/>
                <w:szCs w:val="16"/>
              </w:rPr>
            </w:pPr>
            <w:r>
              <w:rPr>
                <w:color w:val="000000"/>
                <w:sz w:val="18"/>
                <w:szCs w:val="18"/>
              </w:rPr>
              <w:t>-</w:t>
            </w:r>
          </w:p>
        </w:tc>
        <w:tc>
          <w:tcPr>
            <w:tcW w:w="928" w:type="dxa"/>
            <w:gridSpan w:val="2"/>
            <w:vAlign w:val="center"/>
          </w:tcPr>
          <w:p w14:paraId="72B72D09" w14:textId="5F64C230" w:rsidR="00224102" w:rsidRPr="004845D8" w:rsidRDefault="00224102" w:rsidP="00B01C0D">
            <w:pPr>
              <w:ind w:right="21"/>
              <w:jc w:val="right"/>
              <w:rPr>
                <w:color w:val="000000"/>
                <w:sz w:val="16"/>
                <w:szCs w:val="16"/>
              </w:rPr>
            </w:pPr>
            <w:r w:rsidRPr="00605CDE">
              <w:rPr>
                <w:color w:val="000000"/>
                <w:sz w:val="18"/>
                <w:szCs w:val="18"/>
              </w:rPr>
              <w:t>14,859</w:t>
            </w:r>
          </w:p>
        </w:tc>
        <w:tc>
          <w:tcPr>
            <w:tcW w:w="829" w:type="dxa"/>
            <w:vAlign w:val="center"/>
          </w:tcPr>
          <w:p w14:paraId="7847988B" w14:textId="74FE27F1" w:rsidR="00224102" w:rsidRPr="004845D8" w:rsidRDefault="00224102" w:rsidP="00B01C0D">
            <w:pPr>
              <w:ind w:right="21"/>
              <w:jc w:val="right"/>
              <w:rPr>
                <w:color w:val="000000"/>
                <w:sz w:val="16"/>
                <w:szCs w:val="16"/>
              </w:rPr>
            </w:pPr>
            <w:r w:rsidRPr="00B235C3">
              <w:rPr>
                <w:color w:val="000000"/>
                <w:sz w:val="18"/>
                <w:szCs w:val="18"/>
              </w:rPr>
              <w:t xml:space="preserve"> - </w:t>
            </w:r>
          </w:p>
        </w:tc>
        <w:tc>
          <w:tcPr>
            <w:tcW w:w="791" w:type="dxa"/>
            <w:vAlign w:val="center"/>
          </w:tcPr>
          <w:p w14:paraId="6DB40A73" w14:textId="5B903DEA" w:rsidR="00224102" w:rsidRPr="004845D8" w:rsidRDefault="00224102" w:rsidP="00B01C0D">
            <w:pPr>
              <w:ind w:right="21"/>
              <w:jc w:val="right"/>
              <w:rPr>
                <w:bCs/>
                <w:color w:val="000000"/>
                <w:sz w:val="16"/>
                <w:szCs w:val="16"/>
              </w:rPr>
            </w:pPr>
            <w:r w:rsidRPr="00605CDE">
              <w:rPr>
                <w:bCs/>
                <w:color w:val="000000"/>
                <w:sz w:val="18"/>
                <w:szCs w:val="18"/>
              </w:rPr>
              <w:t>14,859</w:t>
            </w:r>
          </w:p>
        </w:tc>
      </w:tr>
      <w:tr w:rsidR="00224102" w:rsidRPr="003E2819" w14:paraId="65C53475" w14:textId="77777777" w:rsidTr="00FD0C7A">
        <w:trPr>
          <w:trHeight w:val="268"/>
        </w:trPr>
        <w:tc>
          <w:tcPr>
            <w:tcW w:w="5545" w:type="dxa"/>
            <w:vAlign w:val="bottom"/>
          </w:tcPr>
          <w:p w14:paraId="71E223A4" w14:textId="094C8E08" w:rsidR="00224102" w:rsidRPr="00FD0C7A" w:rsidRDefault="00224102" w:rsidP="00224102">
            <w:pPr>
              <w:pStyle w:val="Heading9"/>
              <w:tabs>
                <w:tab w:val="left" w:pos="0"/>
              </w:tabs>
              <w:rPr>
                <w:rFonts w:eastAsia="Arial Unicode MS"/>
                <w:b w:val="0"/>
                <w:szCs w:val="18"/>
              </w:rPr>
            </w:pPr>
            <w:r w:rsidRPr="00FD0C7A">
              <w:rPr>
                <w:b w:val="0"/>
                <w:snapToGrid w:val="0"/>
                <w:szCs w:val="18"/>
              </w:rPr>
              <w:t>Hedging Derivative Financial Liabilities</w:t>
            </w:r>
          </w:p>
        </w:tc>
        <w:tc>
          <w:tcPr>
            <w:tcW w:w="928" w:type="dxa"/>
            <w:vAlign w:val="center"/>
          </w:tcPr>
          <w:p w14:paraId="0B7E36C7" w14:textId="7D77938B" w:rsidR="00224102" w:rsidRPr="004845D8" w:rsidRDefault="00224102" w:rsidP="00B01C0D">
            <w:pPr>
              <w:tabs>
                <w:tab w:val="left" w:pos="0"/>
              </w:tabs>
              <w:ind w:right="21"/>
              <w:jc w:val="right"/>
              <w:rPr>
                <w:color w:val="000000"/>
                <w:sz w:val="16"/>
                <w:szCs w:val="16"/>
              </w:rPr>
            </w:pPr>
            <w:r>
              <w:rPr>
                <w:color w:val="000000"/>
                <w:sz w:val="18"/>
                <w:szCs w:val="18"/>
              </w:rPr>
              <w:t>-</w:t>
            </w:r>
          </w:p>
        </w:tc>
        <w:tc>
          <w:tcPr>
            <w:tcW w:w="928" w:type="dxa"/>
            <w:gridSpan w:val="2"/>
            <w:vAlign w:val="center"/>
          </w:tcPr>
          <w:p w14:paraId="04082EDD" w14:textId="71B24699" w:rsidR="00224102" w:rsidRPr="004845D8" w:rsidRDefault="00224102" w:rsidP="00B01C0D">
            <w:pPr>
              <w:tabs>
                <w:tab w:val="left" w:pos="0"/>
              </w:tabs>
              <w:ind w:right="21"/>
              <w:jc w:val="right"/>
              <w:rPr>
                <w:color w:val="000000"/>
                <w:sz w:val="16"/>
                <w:szCs w:val="16"/>
              </w:rPr>
            </w:pPr>
            <w:r>
              <w:rPr>
                <w:color w:val="000000"/>
                <w:sz w:val="18"/>
                <w:szCs w:val="18"/>
              </w:rPr>
              <w:t>113</w:t>
            </w:r>
          </w:p>
        </w:tc>
        <w:tc>
          <w:tcPr>
            <w:tcW w:w="829" w:type="dxa"/>
            <w:vAlign w:val="center"/>
          </w:tcPr>
          <w:p w14:paraId="48FA7B19" w14:textId="68A5846B" w:rsidR="00224102" w:rsidRPr="004845D8" w:rsidRDefault="00224102" w:rsidP="00B01C0D">
            <w:pPr>
              <w:tabs>
                <w:tab w:val="left" w:pos="0"/>
              </w:tabs>
              <w:ind w:right="21"/>
              <w:jc w:val="right"/>
              <w:rPr>
                <w:color w:val="000000"/>
                <w:sz w:val="16"/>
                <w:szCs w:val="16"/>
              </w:rPr>
            </w:pPr>
            <w:r w:rsidRPr="00B235C3">
              <w:rPr>
                <w:color w:val="000000"/>
                <w:sz w:val="18"/>
                <w:szCs w:val="18"/>
              </w:rPr>
              <w:t>-</w:t>
            </w:r>
          </w:p>
        </w:tc>
        <w:tc>
          <w:tcPr>
            <w:tcW w:w="791" w:type="dxa"/>
            <w:vAlign w:val="center"/>
          </w:tcPr>
          <w:p w14:paraId="4C514B5E" w14:textId="1C91311F" w:rsidR="00224102" w:rsidRPr="004845D8" w:rsidRDefault="00224102" w:rsidP="00B01C0D">
            <w:pPr>
              <w:tabs>
                <w:tab w:val="left" w:pos="0"/>
              </w:tabs>
              <w:ind w:right="21"/>
              <w:jc w:val="right"/>
              <w:rPr>
                <w:bCs/>
                <w:color w:val="000000"/>
                <w:sz w:val="16"/>
                <w:szCs w:val="16"/>
              </w:rPr>
            </w:pPr>
            <w:r>
              <w:rPr>
                <w:bCs/>
                <w:color w:val="000000"/>
                <w:sz w:val="18"/>
                <w:szCs w:val="18"/>
              </w:rPr>
              <w:t>113</w:t>
            </w:r>
          </w:p>
        </w:tc>
      </w:tr>
      <w:tr w:rsidR="00224102" w:rsidRPr="003E2819" w14:paraId="709DFA3A" w14:textId="77777777" w:rsidTr="00FD0C7A">
        <w:trPr>
          <w:trHeight w:val="268"/>
        </w:trPr>
        <w:tc>
          <w:tcPr>
            <w:tcW w:w="5545" w:type="dxa"/>
            <w:vAlign w:val="bottom"/>
          </w:tcPr>
          <w:p w14:paraId="597A4824" w14:textId="3DFBBDEA" w:rsidR="00224102" w:rsidRPr="003E2819" w:rsidRDefault="00224102" w:rsidP="00224102">
            <w:pPr>
              <w:pStyle w:val="Heading9"/>
              <w:tabs>
                <w:tab w:val="left" w:pos="0"/>
              </w:tabs>
              <w:rPr>
                <w:szCs w:val="18"/>
              </w:rPr>
            </w:pPr>
            <w:r w:rsidRPr="003E2819">
              <w:rPr>
                <w:szCs w:val="18"/>
              </w:rPr>
              <w:t>Total Liabilities</w:t>
            </w:r>
          </w:p>
        </w:tc>
        <w:tc>
          <w:tcPr>
            <w:tcW w:w="928" w:type="dxa"/>
            <w:vAlign w:val="center"/>
          </w:tcPr>
          <w:p w14:paraId="432E6C89" w14:textId="3164F8D3" w:rsidR="00224102" w:rsidRPr="004845D8" w:rsidRDefault="00224102" w:rsidP="00B01C0D">
            <w:pPr>
              <w:ind w:right="21"/>
              <w:jc w:val="right"/>
              <w:rPr>
                <w:b/>
                <w:bCs/>
                <w:color w:val="000000"/>
                <w:sz w:val="16"/>
                <w:szCs w:val="16"/>
              </w:rPr>
            </w:pPr>
            <w:r w:rsidRPr="00605CDE">
              <w:rPr>
                <w:b/>
                <w:bCs/>
                <w:color w:val="000000"/>
                <w:sz w:val="18"/>
                <w:szCs w:val="18"/>
              </w:rPr>
              <w:t>-</w:t>
            </w:r>
          </w:p>
        </w:tc>
        <w:tc>
          <w:tcPr>
            <w:tcW w:w="928" w:type="dxa"/>
            <w:gridSpan w:val="2"/>
            <w:vAlign w:val="center"/>
          </w:tcPr>
          <w:p w14:paraId="6706AD57" w14:textId="6ED22AD0" w:rsidR="00224102" w:rsidRPr="004845D8" w:rsidRDefault="00224102" w:rsidP="00B01C0D">
            <w:pPr>
              <w:ind w:right="21"/>
              <w:jc w:val="right"/>
              <w:rPr>
                <w:b/>
                <w:bCs/>
                <w:color w:val="000000"/>
                <w:sz w:val="16"/>
                <w:szCs w:val="16"/>
              </w:rPr>
            </w:pPr>
            <w:r>
              <w:rPr>
                <w:b/>
                <w:bCs/>
                <w:color w:val="000000"/>
                <w:sz w:val="18"/>
                <w:szCs w:val="18"/>
              </w:rPr>
              <w:t>14,972</w:t>
            </w:r>
          </w:p>
        </w:tc>
        <w:tc>
          <w:tcPr>
            <w:tcW w:w="829" w:type="dxa"/>
            <w:vAlign w:val="center"/>
          </w:tcPr>
          <w:p w14:paraId="0634E030" w14:textId="0B40A282" w:rsidR="00224102" w:rsidRPr="004845D8" w:rsidRDefault="00224102" w:rsidP="00B01C0D">
            <w:pPr>
              <w:ind w:right="21"/>
              <w:jc w:val="right"/>
              <w:rPr>
                <w:bCs/>
                <w:color w:val="000000"/>
                <w:sz w:val="16"/>
                <w:szCs w:val="16"/>
              </w:rPr>
            </w:pPr>
            <w:r w:rsidRPr="00B235C3">
              <w:rPr>
                <w:bCs/>
                <w:color w:val="000000"/>
                <w:sz w:val="18"/>
                <w:szCs w:val="18"/>
              </w:rPr>
              <w:t xml:space="preserve"> - </w:t>
            </w:r>
          </w:p>
        </w:tc>
        <w:tc>
          <w:tcPr>
            <w:tcW w:w="791" w:type="dxa"/>
            <w:vAlign w:val="center"/>
          </w:tcPr>
          <w:p w14:paraId="35895566" w14:textId="273F5BFD" w:rsidR="00224102" w:rsidRPr="004845D8" w:rsidRDefault="00224102" w:rsidP="00B01C0D">
            <w:pPr>
              <w:ind w:right="21"/>
              <w:jc w:val="right"/>
              <w:rPr>
                <w:b/>
                <w:bCs/>
                <w:color w:val="000000"/>
                <w:sz w:val="16"/>
                <w:szCs w:val="16"/>
              </w:rPr>
            </w:pPr>
            <w:r>
              <w:rPr>
                <w:b/>
                <w:bCs/>
                <w:color w:val="000000"/>
                <w:sz w:val="18"/>
                <w:szCs w:val="18"/>
              </w:rPr>
              <w:t>14,972</w:t>
            </w:r>
          </w:p>
        </w:tc>
      </w:tr>
    </w:tbl>
    <w:p w14:paraId="77956A8B" w14:textId="77777777" w:rsidR="00400883" w:rsidRPr="003E2819" w:rsidRDefault="00400883" w:rsidP="00400883">
      <w:pPr>
        <w:pStyle w:val="BodyTextIndent"/>
        <w:tabs>
          <w:tab w:val="left" w:pos="0"/>
        </w:tabs>
        <w:spacing w:after="0"/>
        <w:ind w:left="0"/>
        <w:rPr>
          <w:sz w:val="20"/>
          <w:szCs w:val="20"/>
        </w:rPr>
      </w:pPr>
    </w:p>
    <w:tbl>
      <w:tblPr>
        <w:tblW w:w="901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34"/>
        <w:gridCol w:w="925"/>
        <w:gridCol w:w="925"/>
        <w:gridCol w:w="827"/>
        <w:gridCol w:w="803"/>
      </w:tblGrid>
      <w:tr w:rsidR="00400883" w:rsidRPr="003E2819" w14:paraId="75BB2188" w14:textId="77777777" w:rsidTr="00F659EC">
        <w:trPr>
          <w:trHeight w:val="142"/>
        </w:trPr>
        <w:tc>
          <w:tcPr>
            <w:tcW w:w="5534" w:type="dxa"/>
            <w:vAlign w:val="bottom"/>
          </w:tcPr>
          <w:p w14:paraId="3A2550DB" w14:textId="77777777" w:rsidR="00400883" w:rsidRPr="003E2819" w:rsidRDefault="00D47759" w:rsidP="00400883">
            <w:pPr>
              <w:tabs>
                <w:tab w:val="left" w:pos="0"/>
              </w:tabs>
              <w:rPr>
                <w:b/>
                <w:sz w:val="18"/>
                <w:szCs w:val="18"/>
              </w:rPr>
            </w:pPr>
            <w:r>
              <w:rPr>
                <w:b/>
                <w:sz w:val="18"/>
                <w:szCs w:val="18"/>
              </w:rPr>
              <w:t>31 December 2014</w:t>
            </w:r>
          </w:p>
        </w:tc>
        <w:tc>
          <w:tcPr>
            <w:tcW w:w="925" w:type="dxa"/>
            <w:vAlign w:val="bottom"/>
          </w:tcPr>
          <w:p w14:paraId="449BACDD" w14:textId="77777777" w:rsidR="00400883" w:rsidRPr="003E2819" w:rsidRDefault="00400883" w:rsidP="00B01C0D">
            <w:pPr>
              <w:tabs>
                <w:tab w:val="left" w:pos="0"/>
              </w:tabs>
              <w:ind w:right="35"/>
              <w:jc w:val="right"/>
              <w:rPr>
                <w:b/>
                <w:snapToGrid w:val="0"/>
                <w:sz w:val="18"/>
                <w:szCs w:val="18"/>
              </w:rPr>
            </w:pPr>
            <w:r w:rsidRPr="003E2819">
              <w:rPr>
                <w:b/>
                <w:snapToGrid w:val="0"/>
                <w:sz w:val="18"/>
                <w:szCs w:val="18"/>
              </w:rPr>
              <w:t>1st Level</w:t>
            </w:r>
          </w:p>
        </w:tc>
        <w:tc>
          <w:tcPr>
            <w:tcW w:w="925" w:type="dxa"/>
            <w:vAlign w:val="bottom"/>
          </w:tcPr>
          <w:p w14:paraId="234362D1" w14:textId="77777777" w:rsidR="00400883" w:rsidRPr="003E2819" w:rsidRDefault="00400883" w:rsidP="00B01C0D">
            <w:pPr>
              <w:tabs>
                <w:tab w:val="left" w:pos="0"/>
              </w:tabs>
              <w:ind w:right="35"/>
              <w:jc w:val="right"/>
              <w:rPr>
                <w:b/>
                <w:snapToGrid w:val="0"/>
                <w:sz w:val="18"/>
                <w:szCs w:val="18"/>
              </w:rPr>
            </w:pPr>
            <w:r w:rsidRPr="003E2819">
              <w:rPr>
                <w:b/>
                <w:snapToGrid w:val="0"/>
                <w:sz w:val="18"/>
                <w:szCs w:val="18"/>
              </w:rPr>
              <w:t>2nd Level</w:t>
            </w:r>
          </w:p>
        </w:tc>
        <w:tc>
          <w:tcPr>
            <w:tcW w:w="827" w:type="dxa"/>
            <w:vAlign w:val="bottom"/>
          </w:tcPr>
          <w:p w14:paraId="6B32BF2B" w14:textId="77777777" w:rsidR="00400883" w:rsidRPr="003E2819" w:rsidRDefault="00400883" w:rsidP="00B01C0D">
            <w:pPr>
              <w:tabs>
                <w:tab w:val="left" w:pos="0"/>
              </w:tabs>
              <w:ind w:right="35"/>
              <w:jc w:val="right"/>
              <w:rPr>
                <w:b/>
                <w:snapToGrid w:val="0"/>
                <w:sz w:val="18"/>
                <w:szCs w:val="18"/>
              </w:rPr>
            </w:pPr>
            <w:r w:rsidRPr="003E2819">
              <w:rPr>
                <w:b/>
                <w:snapToGrid w:val="0"/>
                <w:sz w:val="18"/>
                <w:szCs w:val="18"/>
              </w:rPr>
              <w:t>3rd Level</w:t>
            </w:r>
          </w:p>
        </w:tc>
        <w:tc>
          <w:tcPr>
            <w:tcW w:w="803" w:type="dxa"/>
            <w:vAlign w:val="bottom"/>
          </w:tcPr>
          <w:p w14:paraId="14DCCD42" w14:textId="77777777" w:rsidR="00400883" w:rsidRPr="003E2819" w:rsidRDefault="00400883" w:rsidP="00B01C0D">
            <w:pPr>
              <w:tabs>
                <w:tab w:val="left" w:pos="0"/>
              </w:tabs>
              <w:ind w:right="35"/>
              <w:jc w:val="right"/>
              <w:rPr>
                <w:b/>
                <w:snapToGrid w:val="0"/>
                <w:sz w:val="18"/>
                <w:szCs w:val="18"/>
              </w:rPr>
            </w:pPr>
            <w:r w:rsidRPr="003E2819">
              <w:rPr>
                <w:b/>
                <w:snapToGrid w:val="0"/>
                <w:sz w:val="18"/>
                <w:szCs w:val="18"/>
              </w:rPr>
              <w:t>Total</w:t>
            </w:r>
          </w:p>
        </w:tc>
      </w:tr>
      <w:tr w:rsidR="00400883" w:rsidRPr="003E2819" w14:paraId="5076B587" w14:textId="77777777" w:rsidTr="00F659EC">
        <w:trPr>
          <w:trHeight w:val="142"/>
        </w:trPr>
        <w:tc>
          <w:tcPr>
            <w:tcW w:w="5534" w:type="dxa"/>
            <w:vAlign w:val="bottom"/>
          </w:tcPr>
          <w:p w14:paraId="27026654" w14:textId="77777777" w:rsidR="00400883" w:rsidRPr="003E2819" w:rsidRDefault="00400883" w:rsidP="00400883">
            <w:pPr>
              <w:tabs>
                <w:tab w:val="left" w:pos="0"/>
              </w:tabs>
              <w:rPr>
                <w:b/>
                <w:sz w:val="18"/>
                <w:szCs w:val="18"/>
              </w:rPr>
            </w:pPr>
          </w:p>
        </w:tc>
        <w:tc>
          <w:tcPr>
            <w:tcW w:w="925" w:type="dxa"/>
            <w:vAlign w:val="bottom"/>
          </w:tcPr>
          <w:p w14:paraId="221C6B2D" w14:textId="77777777" w:rsidR="00400883" w:rsidRPr="003E2819" w:rsidRDefault="00400883" w:rsidP="00B01C0D">
            <w:pPr>
              <w:tabs>
                <w:tab w:val="left" w:pos="0"/>
              </w:tabs>
              <w:ind w:right="35"/>
              <w:jc w:val="right"/>
              <w:rPr>
                <w:b/>
                <w:sz w:val="18"/>
                <w:szCs w:val="18"/>
              </w:rPr>
            </w:pPr>
          </w:p>
        </w:tc>
        <w:tc>
          <w:tcPr>
            <w:tcW w:w="925" w:type="dxa"/>
            <w:vAlign w:val="bottom"/>
          </w:tcPr>
          <w:p w14:paraId="37485BD7" w14:textId="77777777" w:rsidR="00400883" w:rsidRPr="003E2819" w:rsidRDefault="00400883" w:rsidP="00B01C0D">
            <w:pPr>
              <w:tabs>
                <w:tab w:val="left" w:pos="0"/>
              </w:tabs>
              <w:ind w:right="35"/>
              <w:jc w:val="right"/>
              <w:rPr>
                <w:b/>
                <w:sz w:val="18"/>
                <w:szCs w:val="18"/>
              </w:rPr>
            </w:pPr>
          </w:p>
        </w:tc>
        <w:tc>
          <w:tcPr>
            <w:tcW w:w="827" w:type="dxa"/>
            <w:vAlign w:val="bottom"/>
          </w:tcPr>
          <w:p w14:paraId="6DF80D50" w14:textId="77777777" w:rsidR="00400883" w:rsidRPr="003E2819" w:rsidRDefault="00400883" w:rsidP="00B01C0D">
            <w:pPr>
              <w:tabs>
                <w:tab w:val="left" w:pos="0"/>
              </w:tabs>
              <w:ind w:right="35"/>
              <w:jc w:val="right"/>
              <w:rPr>
                <w:b/>
                <w:sz w:val="18"/>
                <w:szCs w:val="18"/>
              </w:rPr>
            </w:pPr>
          </w:p>
        </w:tc>
        <w:tc>
          <w:tcPr>
            <w:tcW w:w="803" w:type="dxa"/>
            <w:vAlign w:val="bottom"/>
          </w:tcPr>
          <w:p w14:paraId="60239778" w14:textId="77777777" w:rsidR="00400883" w:rsidRPr="003E2819" w:rsidRDefault="00400883" w:rsidP="00B01C0D">
            <w:pPr>
              <w:tabs>
                <w:tab w:val="left" w:pos="0"/>
              </w:tabs>
              <w:ind w:right="35"/>
              <w:jc w:val="right"/>
              <w:rPr>
                <w:b/>
                <w:sz w:val="18"/>
                <w:szCs w:val="18"/>
              </w:rPr>
            </w:pPr>
          </w:p>
        </w:tc>
      </w:tr>
      <w:tr w:rsidR="00224102" w:rsidRPr="003E2819" w14:paraId="493ECDCB" w14:textId="77777777" w:rsidTr="00FD0C7A">
        <w:trPr>
          <w:trHeight w:val="142"/>
        </w:trPr>
        <w:tc>
          <w:tcPr>
            <w:tcW w:w="5534" w:type="dxa"/>
            <w:vAlign w:val="bottom"/>
          </w:tcPr>
          <w:p w14:paraId="751EDB33" w14:textId="77777777" w:rsidR="00224102" w:rsidRPr="00FD0C7A" w:rsidRDefault="00224102" w:rsidP="00224102">
            <w:pPr>
              <w:tabs>
                <w:tab w:val="left" w:pos="0"/>
              </w:tabs>
              <w:rPr>
                <w:b/>
                <w:snapToGrid w:val="0"/>
                <w:sz w:val="18"/>
                <w:szCs w:val="18"/>
              </w:rPr>
            </w:pPr>
            <w:r w:rsidRPr="00FD0C7A">
              <w:rPr>
                <w:b/>
                <w:snapToGrid w:val="0"/>
                <w:sz w:val="18"/>
                <w:szCs w:val="18"/>
              </w:rPr>
              <w:t>Financial Assets at Fair Value Through Profit or Loss</w:t>
            </w:r>
          </w:p>
        </w:tc>
        <w:tc>
          <w:tcPr>
            <w:tcW w:w="925" w:type="dxa"/>
            <w:vAlign w:val="bottom"/>
          </w:tcPr>
          <w:p w14:paraId="3BCC2798" w14:textId="6B0414EE" w:rsidR="00224102" w:rsidRPr="00FD0C7A" w:rsidRDefault="00224102" w:rsidP="00B01C0D">
            <w:pPr>
              <w:tabs>
                <w:tab w:val="left" w:pos="0"/>
              </w:tabs>
              <w:ind w:right="35"/>
              <w:jc w:val="right"/>
              <w:rPr>
                <w:b/>
                <w:color w:val="000000"/>
                <w:sz w:val="18"/>
                <w:szCs w:val="18"/>
              </w:rPr>
            </w:pPr>
            <w:r w:rsidRPr="00E46F2D">
              <w:rPr>
                <w:b/>
                <w:color w:val="000000"/>
                <w:sz w:val="18"/>
                <w:szCs w:val="18"/>
              </w:rPr>
              <w:t xml:space="preserve">          1,755   </w:t>
            </w:r>
          </w:p>
        </w:tc>
        <w:tc>
          <w:tcPr>
            <w:tcW w:w="925" w:type="dxa"/>
            <w:vAlign w:val="bottom"/>
          </w:tcPr>
          <w:p w14:paraId="2217B3A2" w14:textId="24E05CCB" w:rsidR="00224102" w:rsidRPr="00FD0C7A" w:rsidRDefault="00224102" w:rsidP="00B01C0D">
            <w:pPr>
              <w:tabs>
                <w:tab w:val="left" w:pos="0"/>
              </w:tabs>
              <w:ind w:right="35"/>
              <w:jc w:val="right"/>
              <w:rPr>
                <w:b/>
                <w:color w:val="000000"/>
                <w:sz w:val="18"/>
                <w:szCs w:val="18"/>
              </w:rPr>
            </w:pPr>
            <w:r w:rsidRPr="00E46F2D">
              <w:rPr>
                <w:b/>
                <w:color w:val="000000"/>
                <w:sz w:val="18"/>
                <w:szCs w:val="18"/>
              </w:rPr>
              <w:t xml:space="preserve">      36,373   </w:t>
            </w:r>
          </w:p>
        </w:tc>
        <w:tc>
          <w:tcPr>
            <w:tcW w:w="827" w:type="dxa"/>
            <w:vAlign w:val="bottom"/>
          </w:tcPr>
          <w:p w14:paraId="02531749" w14:textId="1E1FE7DA" w:rsidR="00224102" w:rsidRPr="00FD0C7A" w:rsidRDefault="00224102" w:rsidP="00B01C0D">
            <w:pPr>
              <w:tabs>
                <w:tab w:val="left" w:pos="0"/>
              </w:tabs>
              <w:ind w:right="35"/>
              <w:jc w:val="right"/>
              <w:rPr>
                <w:rFonts w:eastAsia="Arial Unicode MS"/>
                <w:b/>
                <w:sz w:val="18"/>
                <w:szCs w:val="18"/>
              </w:rPr>
            </w:pPr>
            <w:r w:rsidRPr="00B16E16">
              <w:rPr>
                <w:b/>
                <w:sz w:val="18"/>
                <w:szCs w:val="18"/>
              </w:rPr>
              <w:t>-</w:t>
            </w:r>
          </w:p>
        </w:tc>
        <w:tc>
          <w:tcPr>
            <w:tcW w:w="803" w:type="dxa"/>
            <w:vAlign w:val="bottom"/>
          </w:tcPr>
          <w:p w14:paraId="48B0FF4B" w14:textId="4896CA55" w:rsidR="00224102" w:rsidRPr="00FD0C7A" w:rsidRDefault="00224102" w:rsidP="00B01C0D">
            <w:pPr>
              <w:tabs>
                <w:tab w:val="left" w:pos="0"/>
              </w:tabs>
              <w:ind w:right="35"/>
              <w:jc w:val="right"/>
              <w:rPr>
                <w:b/>
                <w:color w:val="000000"/>
                <w:sz w:val="18"/>
                <w:szCs w:val="18"/>
              </w:rPr>
            </w:pPr>
            <w:r w:rsidRPr="00E46F2D">
              <w:rPr>
                <w:b/>
                <w:color w:val="000000"/>
                <w:sz w:val="18"/>
                <w:szCs w:val="18"/>
              </w:rPr>
              <w:t>38,128</w:t>
            </w:r>
          </w:p>
        </w:tc>
      </w:tr>
      <w:tr w:rsidR="00224102" w:rsidRPr="003E2819" w14:paraId="4486B94B" w14:textId="77777777" w:rsidTr="00F77D55">
        <w:trPr>
          <w:trHeight w:val="142"/>
        </w:trPr>
        <w:tc>
          <w:tcPr>
            <w:tcW w:w="5534" w:type="dxa"/>
            <w:vAlign w:val="bottom"/>
          </w:tcPr>
          <w:p w14:paraId="0969C4A8" w14:textId="77777777" w:rsidR="00224102" w:rsidRPr="003E2819" w:rsidRDefault="00224102" w:rsidP="00224102">
            <w:pPr>
              <w:tabs>
                <w:tab w:val="left" w:pos="0"/>
              </w:tabs>
              <w:rPr>
                <w:snapToGrid w:val="0"/>
                <w:sz w:val="18"/>
                <w:szCs w:val="18"/>
              </w:rPr>
            </w:pPr>
            <w:r w:rsidRPr="003E2819">
              <w:rPr>
                <w:snapToGrid w:val="0"/>
                <w:sz w:val="18"/>
                <w:szCs w:val="18"/>
              </w:rPr>
              <w:t>Government Debt Securities</w:t>
            </w:r>
          </w:p>
        </w:tc>
        <w:tc>
          <w:tcPr>
            <w:tcW w:w="925" w:type="dxa"/>
            <w:vAlign w:val="center"/>
          </w:tcPr>
          <w:p w14:paraId="39AA27B0" w14:textId="45EE2BA6" w:rsidR="00224102" w:rsidRPr="00A36623" w:rsidRDefault="00224102" w:rsidP="00B01C0D">
            <w:pPr>
              <w:tabs>
                <w:tab w:val="left" w:pos="0"/>
              </w:tabs>
              <w:ind w:right="35"/>
              <w:jc w:val="right"/>
              <w:rPr>
                <w:color w:val="000000"/>
                <w:sz w:val="18"/>
                <w:szCs w:val="18"/>
              </w:rPr>
            </w:pPr>
            <w:r w:rsidRPr="00A36623">
              <w:rPr>
                <w:color w:val="000000"/>
                <w:sz w:val="18"/>
                <w:szCs w:val="18"/>
              </w:rPr>
              <w:t xml:space="preserve">          1</w:t>
            </w:r>
            <w:r>
              <w:rPr>
                <w:color w:val="000000"/>
                <w:sz w:val="18"/>
                <w:szCs w:val="18"/>
              </w:rPr>
              <w:t>,</w:t>
            </w:r>
            <w:r w:rsidRPr="00A36623">
              <w:rPr>
                <w:color w:val="000000"/>
                <w:sz w:val="18"/>
                <w:szCs w:val="18"/>
              </w:rPr>
              <w:t xml:space="preserve">755   </w:t>
            </w:r>
          </w:p>
        </w:tc>
        <w:tc>
          <w:tcPr>
            <w:tcW w:w="925" w:type="dxa"/>
            <w:vAlign w:val="center"/>
          </w:tcPr>
          <w:p w14:paraId="4FC16FCA" w14:textId="61952F78" w:rsidR="00224102" w:rsidRPr="00A36623" w:rsidRDefault="00224102" w:rsidP="00B01C0D">
            <w:pPr>
              <w:tabs>
                <w:tab w:val="left" w:pos="0"/>
              </w:tabs>
              <w:ind w:right="35"/>
              <w:jc w:val="right"/>
              <w:rPr>
                <w:color w:val="000000"/>
                <w:sz w:val="18"/>
                <w:szCs w:val="18"/>
              </w:rPr>
            </w:pPr>
            <w:r w:rsidRPr="00B235C3">
              <w:rPr>
                <w:b/>
                <w:color w:val="000000"/>
                <w:sz w:val="18"/>
                <w:szCs w:val="18"/>
              </w:rPr>
              <w:t xml:space="preserve">              -     </w:t>
            </w:r>
          </w:p>
        </w:tc>
        <w:tc>
          <w:tcPr>
            <w:tcW w:w="827" w:type="dxa"/>
            <w:vAlign w:val="bottom"/>
          </w:tcPr>
          <w:p w14:paraId="4AEA84F4" w14:textId="5DE8C34B" w:rsidR="00224102" w:rsidRPr="00A36623" w:rsidRDefault="00224102" w:rsidP="00B01C0D">
            <w:pPr>
              <w:tabs>
                <w:tab w:val="left" w:pos="0"/>
              </w:tabs>
              <w:ind w:right="35"/>
              <w:jc w:val="right"/>
              <w:rPr>
                <w:rFonts w:eastAsia="Arial Unicode MS"/>
                <w:sz w:val="18"/>
                <w:szCs w:val="18"/>
              </w:rPr>
            </w:pPr>
            <w:r w:rsidRPr="00B235C3">
              <w:rPr>
                <w:b/>
                <w:sz w:val="18"/>
                <w:szCs w:val="18"/>
              </w:rPr>
              <w:t>-</w:t>
            </w:r>
          </w:p>
        </w:tc>
        <w:tc>
          <w:tcPr>
            <w:tcW w:w="803" w:type="dxa"/>
            <w:vAlign w:val="center"/>
          </w:tcPr>
          <w:p w14:paraId="21FB660D" w14:textId="19A75480" w:rsidR="00224102" w:rsidRPr="00A36623" w:rsidRDefault="00224102" w:rsidP="00B01C0D">
            <w:pPr>
              <w:tabs>
                <w:tab w:val="left" w:pos="0"/>
              </w:tabs>
              <w:ind w:right="35"/>
              <w:jc w:val="right"/>
              <w:rPr>
                <w:color w:val="000000"/>
                <w:sz w:val="18"/>
                <w:szCs w:val="18"/>
              </w:rPr>
            </w:pPr>
            <w:r w:rsidRPr="00A36623">
              <w:rPr>
                <w:color w:val="000000"/>
                <w:sz w:val="18"/>
                <w:szCs w:val="18"/>
              </w:rPr>
              <w:t>1</w:t>
            </w:r>
            <w:r>
              <w:rPr>
                <w:color w:val="000000"/>
                <w:sz w:val="18"/>
                <w:szCs w:val="18"/>
              </w:rPr>
              <w:t>,</w:t>
            </w:r>
            <w:r w:rsidRPr="00A36623">
              <w:rPr>
                <w:color w:val="000000"/>
                <w:sz w:val="18"/>
                <w:szCs w:val="18"/>
              </w:rPr>
              <w:t>755</w:t>
            </w:r>
          </w:p>
        </w:tc>
      </w:tr>
      <w:tr w:rsidR="00224102" w:rsidRPr="003E2819" w14:paraId="46B26C02" w14:textId="77777777" w:rsidTr="00F77D55">
        <w:trPr>
          <w:trHeight w:val="142"/>
        </w:trPr>
        <w:tc>
          <w:tcPr>
            <w:tcW w:w="5534" w:type="dxa"/>
            <w:vAlign w:val="bottom"/>
          </w:tcPr>
          <w:p w14:paraId="7F7F5167" w14:textId="77777777" w:rsidR="00224102" w:rsidRPr="003E2819" w:rsidRDefault="00224102" w:rsidP="00224102">
            <w:pPr>
              <w:tabs>
                <w:tab w:val="left" w:pos="0"/>
              </w:tabs>
              <w:rPr>
                <w:snapToGrid w:val="0"/>
                <w:sz w:val="18"/>
                <w:szCs w:val="18"/>
              </w:rPr>
            </w:pPr>
            <w:r w:rsidRPr="003E2819">
              <w:rPr>
                <w:snapToGrid w:val="0"/>
                <w:sz w:val="18"/>
                <w:szCs w:val="18"/>
              </w:rPr>
              <w:t>Share Certificates</w:t>
            </w:r>
          </w:p>
        </w:tc>
        <w:tc>
          <w:tcPr>
            <w:tcW w:w="925" w:type="dxa"/>
            <w:vAlign w:val="center"/>
          </w:tcPr>
          <w:p w14:paraId="5262D07B" w14:textId="477D7EA9" w:rsidR="00224102" w:rsidRPr="00A36623" w:rsidRDefault="00224102" w:rsidP="00B01C0D">
            <w:pPr>
              <w:tabs>
                <w:tab w:val="left" w:pos="0"/>
              </w:tabs>
              <w:ind w:right="35"/>
              <w:jc w:val="right"/>
              <w:rPr>
                <w:color w:val="000000"/>
                <w:sz w:val="18"/>
                <w:szCs w:val="18"/>
              </w:rPr>
            </w:pPr>
            <w:r w:rsidRPr="00B235C3">
              <w:rPr>
                <w:b/>
                <w:color w:val="000000"/>
                <w:sz w:val="18"/>
                <w:szCs w:val="18"/>
              </w:rPr>
              <w:t xml:space="preserve">        -     </w:t>
            </w:r>
          </w:p>
        </w:tc>
        <w:tc>
          <w:tcPr>
            <w:tcW w:w="925" w:type="dxa"/>
            <w:vAlign w:val="center"/>
          </w:tcPr>
          <w:p w14:paraId="33E4E676" w14:textId="2C0183D3" w:rsidR="00224102" w:rsidRPr="00A36623" w:rsidRDefault="00224102" w:rsidP="00B01C0D">
            <w:pPr>
              <w:tabs>
                <w:tab w:val="left" w:pos="0"/>
              </w:tabs>
              <w:ind w:right="35"/>
              <w:jc w:val="right"/>
              <w:rPr>
                <w:color w:val="000000"/>
                <w:sz w:val="18"/>
                <w:szCs w:val="18"/>
              </w:rPr>
            </w:pPr>
            <w:r w:rsidRPr="00A36623">
              <w:rPr>
                <w:color w:val="000000"/>
                <w:sz w:val="18"/>
                <w:szCs w:val="18"/>
              </w:rPr>
              <w:t xml:space="preserve">             96   </w:t>
            </w:r>
          </w:p>
        </w:tc>
        <w:tc>
          <w:tcPr>
            <w:tcW w:w="827" w:type="dxa"/>
            <w:vAlign w:val="bottom"/>
          </w:tcPr>
          <w:p w14:paraId="6F6A064B" w14:textId="7BB649AD" w:rsidR="00224102" w:rsidRPr="00A36623" w:rsidRDefault="00224102" w:rsidP="00B01C0D">
            <w:pPr>
              <w:tabs>
                <w:tab w:val="left" w:pos="0"/>
              </w:tabs>
              <w:ind w:right="35"/>
              <w:jc w:val="right"/>
              <w:rPr>
                <w:rFonts w:eastAsia="Arial Unicode MS"/>
                <w:sz w:val="18"/>
                <w:szCs w:val="18"/>
              </w:rPr>
            </w:pPr>
            <w:r w:rsidRPr="00A36623">
              <w:rPr>
                <w:b/>
                <w:sz w:val="18"/>
                <w:szCs w:val="18"/>
              </w:rPr>
              <w:t>-</w:t>
            </w:r>
          </w:p>
        </w:tc>
        <w:tc>
          <w:tcPr>
            <w:tcW w:w="803" w:type="dxa"/>
            <w:vAlign w:val="center"/>
          </w:tcPr>
          <w:p w14:paraId="51806BBF" w14:textId="6A8523FD" w:rsidR="00224102" w:rsidRPr="00A36623" w:rsidRDefault="00224102" w:rsidP="00B01C0D">
            <w:pPr>
              <w:tabs>
                <w:tab w:val="left" w:pos="0"/>
              </w:tabs>
              <w:ind w:right="35"/>
              <w:jc w:val="right"/>
              <w:rPr>
                <w:color w:val="000000"/>
                <w:sz w:val="18"/>
                <w:szCs w:val="18"/>
              </w:rPr>
            </w:pPr>
            <w:r w:rsidRPr="00A36623">
              <w:rPr>
                <w:color w:val="000000"/>
                <w:sz w:val="18"/>
                <w:szCs w:val="18"/>
              </w:rPr>
              <w:t>96</w:t>
            </w:r>
          </w:p>
        </w:tc>
      </w:tr>
      <w:tr w:rsidR="00224102" w:rsidRPr="003E2819" w14:paraId="7674EEAF" w14:textId="77777777" w:rsidTr="00F77D55">
        <w:trPr>
          <w:trHeight w:val="142"/>
        </w:trPr>
        <w:tc>
          <w:tcPr>
            <w:tcW w:w="5534" w:type="dxa"/>
            <w:vAlign w:val="bottom"/>
          </w:tcPr>
          <w:p w14:paraId="45E6589A" w14:textId="77777777" w:rsidR="00224102" w:rsidRPr="003E2819" w:rsidRDefault="00224102" w:rsidP="00224102">
            <w:pPr>
              <w:tabs>
                <w:tab w:val="left" w:pos="0"/>
              </w:tabs>
              <w:rPr>
                <w:snapToGrid w:val="0"/>
                <w:sz w:val="18"/>
                <w:szCs w:val="18"/>
              </w:rPr>
            </w:pPr>
            <w:r w:rsidRPr="003E2819">
              <w:rPr>
                <w:snapToGrid w:val="0"/>
                <w:sz w:val="18"/>
                <w:szCs w:val="18"/>
              </w:rPr>
              <w:t>Trading Derivative Financial Assets</w:t>
            </w:r>
          </w:p>
        </w:tc>
        <w:tc>
          <w:tcPr>
            <w:tcW w:w="925" w:type="dxa"/>
            <w:vAlign w:val="center"/>
          </w:tcPr>
          <w:p w14:paraId="30E1D78D" w14:textId="15414BFF" w:rsidR="00224102" w:rsidRPr="00A36623" w:rsidRDefault="00224102" w:rsidP="00B01C0D">
            <w:pPr>
              <w:tabs>
                <w:tab w:val="left" w:pos="0"/>
              </w:tabs>
              <w:ind w:right="35"/>
              <w:jc w:val="right"/>
              <w:rPr>
                <w:color w:val="000000"/>
                <w:sz w:val="18"/>
                <w:szCs w:val="18"/>
              </w:rPr>
            </w:pPr>
            <w:r w:rsidRPr="00B235C3">
              <w:rPr>
                <w:b/>
                <w:color w:val="000000"/>
                <w:sz w:val="18"/>
                <w:szCs w:val="18"/>
              </w:rPr>
              <w:t xml:space="preserve">                -     </w:t>
            </w:r>
          </w:p>
        </w:tc>
        <w:tc>
          <w:tcPr>
            <w:tcW w:w="925" w:type="dxa"/>
            <w:vAlign w:val="center"/>
          </w:tcPr>
          <w:p w14:paraId="6316FA43" w14:textId="64B871AA" w:rsidR="00224102" w:rsidRPr="00A36623" w:rsidRDefault="00224102" w:rsidP="00B01C0D">
            <w:pPr>
              <w:tabs>
                <w:tab w:val="left" w:pos="0"/>
              </w:tabs>
              <w:ind w:right="35"/>
              <w:jc w:val="right"/>
              <w:rPr>
                <w:color w:val="000000"/>
                <w:sz w:val="18"/>
                <w:szCs w:val="18"/>
              </w:rPr>
            </w:pPr>
            <w:r w:rsidRPr="00A36623">
              <w:rPr>
                <w:color w:val="000000"/>
                <w:sz w:val="18"/>
                <w:szCs w:val="18"/>
              </w:rPr>
              <w:t xml:space="preserve">      36</w:t>
            </w:r>
            <w:r>
              <w:rPr>
                <w:color w:val="000000"/>
                <w:sz w:val="18"/>
                <w:szCs w:val="18"/>
              </w:rPr>
              <w:t>,</w:t>
            </w:r>
            <w:r w:rsidRPr="00A36623">
              <w:rPr>
                <w:color w:val="000000"/>
                <w:sz w:val="18"/>
                <w:szCs w:val="18"/>
              </w:rPr>
              <w:t xml:space="preserve">277   </w:t>
            </w:r>
          </w:p>
        </w:tc>
        <w:tc>
          <w:tcPr>
            <w:tcW w:w="827" w:type="dxa"/>
            <w:vAlign w:val="bottom"/>
          </w:tcPr>
          <w:p w14:paraId="038BC578" w14:textId="37CABD51" w:rsidR="00224102" w:rsidRPr="00A36623" w:rsidRDefault="00224102" w:rsidP="00B01C0D">
            <w:pPr>
              <w:tabs>
                <w:tab w:val="left" w:pos="0"/>
              </w:tabs>
              <w:ind w:right="35"/>
              <w:jc w:val="right"/>
              <w:rPr>
                <w:rFonts w:eastAsia="Arial Unicode MS"/>
                <w:sz w:val="18"/>
                <w:szCs w:val="18"/>
              </w:rPr>
            </w:pPr>
            <w:r w:rsidRPr="00A36623">
              <w:rPr>
                <w:b/>
                <w:sz w:val="18"/>
                <w:szCs w:val="18"/>
              </w:rPr>
              <w:t>-</w:t>
            </w:r>
          </w:p>
        </w:tc>
        <w:tc>
          <w:tcPr>
            <w:tcW w:w="803" w:type="dxa"/>
            <w:vAlign w:val="center"/>
          </w:tcPr>
          <w:p w14:paraId="24233A01" w14:textId="23DB59A2" w:rsidR="00224102" w:rsidRPr="00A36623" w:rsidRDefault="00224102" w:rsidP="00B01C0D">
            <w:pPr>
              <w:tabs>
                <w:tab w:val="left" w:pos="0"/>
              </w:tabs>
              <w:ind w:right="35"/>
              <w:jc w:val="right"/>
              <w:rPr>
                <w:color w:val="000000"/>
                <w:sz w:val="18"/>
                <w:szCs w:val="18"/>
              </w:rPr>
            </w:pPr>
            <w:r w:rsidRPr="00A36623">
              <w:rPr>
                <w:color w:val="000000"/>
                <w:sz w:val="18"/>
                <w:szCs w:val="18"/>
              </w:rPr>
              <w:t>36</w:t>
            </w:r>
            <w:r>
              <w:rPr>
                <w:color w:val="000000"/>
                <w:sz w:val="18"/>
                <w:szCs w:val="18"/>
              </w:rPr>
              <w:t>,</w:t>
            </w:r>
            <w:r w:rsidRPr="00A36623">
              <w:rPr>
                <w:color w:val="000000"/>
                <w:sz w:val="18"/>
                <w:szCs w:val="18"/>
              </w:rPr>
              <w:t>277</w:t>
            </w:r>
          </w:p>
        </w:tc>
      </w:tr>
      <w:tr w:rsidR="00224102" w:rsidRPr="003E2819" w14:paraId="5FF65621" w14:textId="77777777" w:rsidTr="00F77D55">
        <w:trPr>
          <w:trHeight w:val="142"/>
        </w:trPr>
        <w:tc>
          <w:tcPr>
            <w:tcW w:w="5534" w:type="dxa"/>
            <w:vAlign w:val="bottom"/>
          </w:tcPr>
          <w:p w14:paraId="7EF5A3DC" w14:textId="0FEEADB8" w:rsidR="00224102" w:rsidRPr="00FD0C7A" w:rsidRDefault="00224102" w:rsidP="00224102">
            <w:pPr>
              <w:tabs>
                <w:tab w:val="left" w:pos="0"/>
              </w:tabs>
              <w:rPr>
                <w:b/>
                <w:snapToGrid w:val="0"/>
                <w:sz w:val="18"/>
                <w:szCs w:val="18"/>
              </w:rPr>
            </w:pPr>
            <w:r w:rsidRPr="00FD0C7A">
              <w:rPr>
                <w:b/>
                <w:snapToGrid w:val="0"/>
                <w:sz w:val="18"/>
                <w:szCs w:val="18"/>
              </w:rPr>
              <w:t xml:space="preserve">Available for Sale </w:t>
            </w:r>
            <w:r>
              <w:rPr>
                <w:b/>
                <w:snapToGrid w:val="0"/>
                <w:sz w:val="18"/>
                <w:szCs w:val="18"/>
              </w:rPr>
              <w:t xml:space="preserve">Financial </w:t>
            </w:r>
            <w:r w:rsidRPr="00FD0C7A">
              <w:rPr>
                <w:b/>
                <w:snapToGrid w:val="0"/>
                <w:sz w:val="18"/>
                <w:szCs w:val="18"/>
              </w:rPr>
              <w:t xml:space="preserve">Assets </w:t>
            </w:r>
          </w:p>
        </w:tc>
        <w:tc>
          <w:tcPr>
            <w:tcW w:w="925" w:type="dxa"/>
            <w:vAlign w:val="center"/>
          </w:tcPr>
          <w:p w14:paraId="309C2B87" w14:textId="750D8A1D" w:rsidR="00224102" w:rsidRPr="00FD0C7A" w:rsidRDefault="00224102" w:rsidP="00B01C0D">
            <w:pPr>
              <w:tabs>
                <w:tab w:val="left" w:pos="0"/>
              </w:tabs>
              <w:ind w:right="35"/>
              <w:jc w:val="right"/>
              <w:rPr>
                <w:b/>
                <w:color w:val="000000"/>
                <w:sz w:val="18"/>
                <w:szCs w:val="18"/>
              </w:rPr>
            </w:pPr>
            <w:r w:rsidRPr="00E46F2D">
              <w:rPr>
                <w:b/>
                <w:color w:val="000000"/>
                <w:sz w:val="18"/>
                <w:szCs w:val="18"/>
              </w:rPr>
              <w:t xml:space="preserve">      895,945   </w:t>
            </w:r>
          </w:p>
        </w:tc>
        <w:tc>
          <w:tcPr>
            <w:tcW w:w="925" w:type="dxa"/>
            <w:vAlign w:val="center"/>
          </w:tcPr>
          <w:p w14:paraId="723EB694" w14:textId="5EEFC314" w:rsidR="00224102" w:rsidRPr="00FD0C7A" w:rsidRDefault="00224102" w:rsidP="00B01C0D">
            <w:pPr>
              <w:tabs>
                <w:tab w:val="left" w:pos="0"/>
              </w:tabs>
              <w:ind w:right="35"/>
              <w:jc w:val="right"/>
              <w:rPr>
                <w:b/>
                <w:color w:val="000000"/>
                <w:sz w:val="18"/>
                <w:szCs w:val="18"/>
              </w:rPr>
            </w:pPr>
            <w:r w:rsidRPr="00E46F2D">
              <w:rPr>
                <w:b/>
                <w:color w:val="000000"/>
                <w:sz w:val="18"/>
                <w:szCs w:val="18"/>
              </w:rPr>
              <w:t xml:space="preserve">               2   </w:t>
            </w:r>
          </w:p>
        </w:tc>
        <w:tc>
          <w:tcPr>
            <w:tcW w:w="827" w:type="dxa"/>
            <w:vAlign w:val="bottom"/>
          </w:tcPr>
          <w:p w14:paraId="6AEF321E" w14:textId="5841FF4F" w:rsidR="00224102" w:rsidRPr="00FD0C7A" w:rsidRDefault="00224102" w:rsidP="00B01C0D">
            <w:pPr>
              <w:tabs>
                <w:tab w:val="left" w:pos="0"/>
              </w:tabs>
              <w:ind w:right="35"/>
              <w:jc w:val="right"/>
              <w:rPr>
                <w:rFonts w:eastAsia="Arial Unicode MS"/>
                <w:b/>
                <w:sz w:val="18"/>
                <w:szCs w:val="18"/>
              </w:rPr>
            </w:pPr>
            <w:r w:rsidRPr="00B16E16">
              <w:rPr>
                <w:rFonts w:eastAsia="Arial Unicode MS"/>
                <w:b/>
                <w:sz w:val="18"/>
                <w:szCs w:val="18"/>
              </w:rPr>
              <w:t>-</w:t>
            </w:r>
          </w:p>
        </w:tc>
        <w:tc>
          <w:tcPr>
            <w:tcW w:w="803" w:type="dxa"/>
            <w:vAlign w:val="center"/>
          </w:tcPr>
          <w:p w14:paraId="75628788" w14:textId="66F99C83" w:rsidR="00224102" w:rsidRPr="00FD0C7A" w:rsidRDefault="00224102" w:rsidP="00B01C0D">
            <w:pPr>
              <w:tabs>
                <w:tab w:val="left" w:pos="0"/>
              </w:tabs>
              <w:ind w:right="35"/>
              <w:jc w:val="right"/>
              <w:rPr>
                <w:b/>
                <w:color w:val="000000"/>
                <w:sz w:val="18"/>
                <w:szCs w:val="18"/>
              </w:rPr>
            </w:pPr>
            <w:r w:rsidRPr="00E46F2D">
              <w:rPr>
                <w:b/>
                <w:color w:val="000000"/>
                <w:sz w:val="18"/>
                <w:szCs w:val="18"/>
              </w:rPr>
              <w:t>895,947</w:t>
            </w:r>
          </w:p>
        </w:tc>
      </w:tr>
      <w:tr w:rsidR="00224102" w:rsidRPr="003E2819" w14:paraId="7A89E1F0" w14:textId="77777777" w:rsidTr="00F77D55">
        <w:trPr>
          <w:trHeight w:val="142"/>
        </w:trPr>
        <w:tc>
          <w:tcPr>
            <w:tcW w:w="5534" w:type="dxa"/>
            <w:vAlign w:val="bottom"/>
          </w:tcPr>
          <w:p w14:paraId="08531538" w14:textId="77777777" w:rsidR="00224102" w:rsidRPr="003E2819" w:rsidRDefault="00224102" w:rsidP="00224102">
            <w:pPr>
              <w:tabs>
                <w:tab w:val="left" w:pos="0"/>
              </w:tabs>
              <w:rPr>
                <w:snapToGrid w:val="0"/>
                <w:sz w:val="18"/>
                <w:szCs w:val="18"/>
              </w:rPr>
            </w:pPr>
            <w:r w:rsidRPr="003E2819">
              <w:rPr>
                <w:snapToGrid w:val="0"/>
                <w:sz w:val="18"/>
                <w:szCs w:val="18"/>
              </w:rPr>
              <w:t>Government Debt Securities</w:t>
            </w:r>
          </w:p>
        </w:tc>
        <w:tc>
          <w:tcPr>
            <w:tcW w:w="925" w:type="dxa"/>
            <w:vAlign w:val="center"/>
          </w:tcPr>
          <w:p w14:paraId="7661C807" w14:textId="5349FF78" w:rsidR="00224102" w:rsidRPr="00A36623" w:rsidRDefault="00224102" w:rsidP="00B01C0D">
            <w:pPr>
              <w:tabs>
                <w:tab w:val="left" w:pos="0"/>
              </w:tabs>
              <w:ind w:right="35"/>
              <w:jc w:val="right"/>
              <w:rPr>
                <w:color w:val="000000"/>
                <w:sz w:val="18"/>
                <w:szCs w:val="18"/>
              </w:rPr>
            </w:pPr>
            <w:r w:rsidRPr="00A36623">
              <w:rPr>
                <w:color w:val="000000"/>
                <w:sz w:val="18"/>
                <w:szCs w:val="18"/>
              </w:rPr>
              <w:t xml:space="preserve">      895</w:t>
            </w:r>
            <w:r>
              <w:rPr>
                <w:color w:val="000000"/>
                <w:sz w:val="18"/>
                <w:szCs w:val="18"/>
              </w:rPr>
              <w:t>,</w:t>
            </w:r>
            <w:r w:rsidRPr="00A36623">
              <w:rPr>
                <w:color w:val="000000"/>
                <w:sz w:val="18"/>
                <w:szCs w:val="18"/>
              </w:rPr>
              <w:t xml:space="preserve">945   </w:t>
            </w:r>
          </w:p>
        </w:tc>
        <w:tc>
          <w:tcPr>
            <w:tcW w:w="925" w:type="dxa"/>
            <w:vAlign w:val="center"/>
          </w:tcPr>
          <w:p w14:paraId="2043A7B6" w14:textId="53366A5F" w:rsidR="00224102" w:rsidRPr="00A36623" w:rsidRDefault="00224102" w:rsidP="00B01C0D">
            <w:pPr>
              <w:tabs>
                <w:tab w:val="left" w:pos="0"/>
              </w:tabs>
              <w:ind w:right="35"/>
              <w:jc w:val="right"/>
              <w:rPr>
                <w:color w:val="000000"/>
                <w:sz w:val="18"/>
                <w:szCs w:val="18"/>
              </w:rPr>
            </w:pPr>
            <w:r w:rsidRPr="00B235C3">
              <w:rPr>
                <w:b/>
                <w:color w:val="000000"/>
                <w:sz w:val="18"/>
                <w:szCs w:val="18"/>
              </w:rPr>
              <w:t xml:space="preserve">              -     </w:t>
            </w:r>
          </w:p>
        </w:tc>
        <w:tc>
          <w:tcPr>
            <w:tcW w:w="827" w:type="dxa"/>
            <w:vAlign w:val="bottom"/>
          </w:tcPr>
          <w:p w14:paraId="5E85ABA2" w14:textId="1186C27E" w:rsidR="00224102" w:rsidRPr="00A36623" w:rsidRDefault="00224102" w:rsidP="00B01C0D">
            <w:pPr>
              <w:tabs>
                <w:tab w:val="left" w:pos="0"/>
              </w:tabs>
              <w:ind w:right="35"/>
              <w:jc w:val="right"/>
              <w:rPr>
                <w:rFonts w:eastAsia="Arial Unicode MS"/>
                <w:sz w:val="18"/>
                <w:szCs w:val="18"/>
              </w:rPr>
            </w:pPr>
            <w:r w:rsidRPr="00B235C3">
              <w:rPr>
                <w:b/>
                <w:sz w:val="18"/>
                <w:szCs w:val="18"/>
              </w:rPr>
              <w:t>-</w:t>
            </w:r>
          </w:p>
        </w:tc>
        <w:tc>
          <w:tcPr>
            <w:tcW w:w="803" w:type="dxa"/>
            <w:vAlign w:val="center"/>
          </w:tcPr>
          <w:p w14:paraId="491660BC" w14:textId="225CEB71" w:rsidR="00224102" w:rsidRPr="00A36623" w:rsidRDefault="00224102" w:rsidP="00B01C0D">
            <w:pPr>
              <w:tabs>
                <w:tab w:val="left" w:pos="0"/>
              </w:tabs>
              <w:ind w:right="35"/>
              <w:jc w:val="right"/>
              <w:rPr>
                <w:color w:val="000000"/>
                <w:sz w:val="18"/>
                <w:szCs w:val="18"/>
              </w:rPr>
            </w:pPr>
            <w:r w:rsidRPr="00A36623">
              <w:rPr>
                <w:color w:val="000000"/>
                <w:sz w:val="18"/>
                <w:szCs w:val="18"/>
              </w:rPr>
              <w:t>895</w:t>
            </w:r>
            <w:r>
              <w:rPr>
                <w:color w:val="000000"/>
                <w:sz w:val="18"/>
                <w:szCs w:val="18"/>
              </w:rPr>
              <w:t>,</w:t>
            </w:r>
            <w:r w:rsidRPr="00A36623">
              <w:rPr>
                <w:color w:val="000000"/>
                <w:sz w:val="18"/>
                <w:szCs w:val="18"/>
              </w:rPr>
              <w:t>945</w:t>
            </w:r>
          </w:p>
        </w:tc>
      </w:tr>
      <w:tr w:rsidR="00224102" w:rsidRPr="003E2819" w14:paraId="432D97C1" w14:textId="77777777" w:rsidTr="00F77D55">
        <w:trPr>
          <w:trHeight w:val="142"/>
        </w:trPr>
        <w:tc>
          <w:tcPr>
            <w:tcW w:w="5534" w:type="dxa"/>
            <w:vAlign w:val="bottom"/>
          </w:tcPr>
          <w:p w14:paraId="16ADA5A2" w14:textId="77777777" w:rsidR="00224102" w:rsidRPr="003E2819" w:rsidRDefault="00224102" w:rsidP="00224102">
            <w:pPr>
              <w:tabs>
                <w:tab w:val="left" w:pos="0"/>
              </w:tabs>
              <w:rPr>
                <w:snapToGrid w:val="0"/>
                <w:sz w:val="18"/>
                <w:szCs w:val="18"/>
              </w:rPr>
            </w:pPr>
            <w:r w:rsidRPr="003E2819">
              <w:rPr>
                <w:snapToGrid w:val="0"/>
                <w:sz w:val="18"/>
                <w:szCs w:val="18"/>
              </w:rPr>
              <w:t>Other Marketable Securities</w:t>
            </w:r>
          </w:p>
        </w:tc>
        <w:tc>
          <w:tcPr>
            <w:tcW w:w="925" w:type="dxa"/>
            <w:vAlign w:val="center"/>
          </w:tcPr>
          <w:p w14:paraId="1EB7EBA1" w14:textId="4977AF42" w:rsidR="00224102" w:rsidRPr="00F15456" w:rsidRDefault="00224102" w:rsidP="00B01C0D">
            <w:pPr>
              <w:tabs>
                <w:tab w:val="left" w:pos="0"/>
              </w:tabs>
              <w:ind w:right="35"/>
              <w:jc w:val="right"/>
              <w:rPr>
                <w:sz w:val="18"/>
                <w:szCs w:val="18"/>
              </w:rPr>
            </w:pPr>
            <w:r w:rsidRPr="00A36623">
              <w:rPr>
                <w:b/>
                <w:bCs/>
                <w:color w:val="000000"/>
                <w:sz w:val="18"/>
                <w:szCs w:val="18"/>
              </w:rPr>
              <w:t xml:space="preserve">                -     </w:t>
            </w:r>
          </w:p>
        </w:tc>
        <w:tc>
          <w:tcPr>
            <w:tcW w:w="925" w:type="dxa"/>
            <w:vAlign w:val="center"/>
          </w:tcPr>
          <w:p w14:paraId="10D746AC" w14:textId="712656E2" w:rsidR="00224102" w:rsidRPr="00F15456" w:rsidRDefault="00224102" w:rsidP="00B01C0D">
            <w:pPr>
              <w:tabs>
                <w:tab w:val="left" w:pos="0"/>
              </w:tabs>
              <w:ind w:right="35"/>
              <w:jc w:val="right"/>
              <w:rPr>
                <w:sz w:val="18"/>
                <w:szCs w:val="18"/>
              </w:rPr>
            </w:pPr>
            <w:r w:rsidRPr="00A36623">
              <w:rPr>
                <w:color w:val="000000"/>
                <w:sz w:val="18"/>
                <w:szCs w:val="18"/>
              </w:rPr>
              <w:t xml:space="preserve">               2   </w:t>
            </w:r>
          </w:p>
        </w:tc>
        <w:tc>
          <w:tcPr>
            <w:tcW w:w="827" w:type="dxa"/>
            <w:vAlign w:val="bottom"/>
          </w:tcPr>
          <w:p w14:paraId="2DBEFD64" w14:textId="3F79A4C6" w:rsidR="00224102" w:rsidRPr="00F15456" w:rsidRDefault="00224102" w:rsidP="00B01C0D">
            <w:pPr>
              <w:tabs>
                <w:tab w:val="left" w:pos="0"/>
              </w:tabs>
              <w:ind w:right="35"/>
              <w:jc w:val="right"/>
              <w:rPr>
                <w:sz w:val="18"/>
                <w:szCs w:val="18"/>
              </w:rPr>
            </w:pPr>
            <w:r w:rsidRPr="00A36623">
              <w:rPr>
                <w:b/>
                <w:sz w:val="18"/>
                <w:szCs w:val="18"/>
              </w:rPr>
              <w:t>-</w:t>
            </w:r>
          </w:p>
        </w:tc>
        <w:tc>
          <w:tcPr>
            <w:tcW w:w="803" w:type="dxa"/>
            <w:vAlign w:val="center"/>
          </w:tcPr>
          <w:p w14:paraId="130BB50E" w14:textId="46B1B19D" w:rsidR="00224102" w:rsidRPr="00F15456" w:rsidRDefault="00224102" w:rsidP="00B01C0D">
            <w:pPr>
              <w:tabs>
                <w:tab w:val="left" w:pos="0"/>
              </w:tabs>
              <w:ind w:right="35"/>
              <w:jc w:val="right"/>
              <w:rPr>
                <w:sz w:val="18"/>
                <w:szCs w:val="18"/>
              </w:rPr>
            </w:pPr>
            <w:r w:rsidRPr="00A36623">
              <w:rPr>
                <w:color w:val="000000"/>
                <w:sz w:val="18"/>
                <w:szCs w:val="18"/>
              </w:rPr>
              <w:t>2</w:t>
            </w:r>
          </w:p>
        </w:tc>
      </w:tr>
      <w:tr w:rsidR="00224102" w:rsidRPr="003E2819" w14:paraId="6D23D02F" w14:textId="77777777" w:rsidTr="00EC7BA7">
        <w:trPr>
          <w:trHeight w:val="70"/>
        </w:trPr>
        <w:tc>
          <w:tcPr>
            <w:tcW w:w="5534" w:type="dxa"/>
            <w:vAlign w:val="bottom"/>
          </w:tcPr>
          <w:p w14:paraId="47238D65" w14:textId="408FA8CC" w:rsidR="00224102" w:rsidRPr="00544B06" w:rsidRDefault="00243F22" w:rsidP="00224102">
            <w:pPr>
              <w:tabs>
                <w:tab w:val="left" w:pos="0"/>
              </w:tabs>
              <w:rPr>
                <w:b/>
                <w:snapToGrid w:val="0"/>
                <w:sz w:val="18"/>
                <w:szCs w:val="18"/>
              </w:rPr>
            </w:pPr>
            <w:r>
              <w:rPr>
                <w:b/>
                <w:snapToGrid w:val="0"/>
                <w:sz w:val="18"/>
                <w:szCs w:val="18"/>
              </w:rPr>
              <w:t>Hedging</w:t>
            </w:r>
            <w:r w:rsidR="00EC7BA7" w:rsidRPr="00544B06">
              <w:rPr>
                <w:b/>
                <w:snapToGrid w:val="0"/>
                <w:sz w:val="18"/>
                <w:szCs w:val="18"/>
              </w:rPr>
              <w:t xml:space="preserve"> Derivative Financial Assets</w:t>
            </w:r>
          </w:p>
        </w:tc>
        <w:tc>
          <w:tcPr>
            <w:tcW w:w="925" w:type="dxa"/>
            <w:vAlign w:val="center"/>
          </w:tcPr>
          <w:p w14:paraId="39F44411" w14:textId="19A9390F" w:rsidR="00224102" w:rsidRPr="00F15456" w:rsidRDefault="00224102" w:rsidP="00B01C0D">
            <w:pPr>
              <w:tabs>
                <w:tab w:val="left" w:pos="0"/>
              </w:tabs>
              <w:ind w:right="35"/>
              <w:jc w:val="right"/>
              <w:rPr>
                <w:sz w:val="18"/>
                <w:szCs w:val="18"/>
              </w:rPr>
            </w:pPr>
            <w:r w:rsidRPr="009D1354">
              <w:rPr>
                <w:b/>
                <w:bCs/>
                <w:color w:val="000000"/>
                <w:sz w:val="18"/>
                <w:szCs w:val="18"/>
              </w:rPr>
              <w:t xml:space="preserve">-     </w:t>
            </w:r>
          </w:p>
        </w:tc>
        <w:tc>
          <w:tcPr>
            <w:tcW w:w="925" w:type="dxa"/>
            <w:vAlign w:val="center"/>
          </w:tcPr>
          <w:p w14:paraId="6AE41AFD" w14:textId="220F7EBB" w:rsidR="00224102" w:rsidRPr="00F15456" w:rsidRDefault="00224102" w:rsidP="00B01C0D">
            <w:pPr>
              <w:tabs>
                <w:tab w:val="left" w:pos="0"/>
              </w:tabs>
              <w:ind w:right="35"/>
              <w:jc w:val="right"/>
              <w:rPr>
                <w:sz w:val="18"/>
                <w:szCs w:val="18"/>
              </w:rPr>
            </w:pPr>
            <w:r w:rsidRPr="009D1354">
              <w:rPr>
                <w:b/>
                <w:bCs/>
                <w:color w:val="000000"/>
                <w:sz w:val="18"/>
                <w:szCs w:val="18"/>
              </w:rPr>
              <w:t xml:space="preserve">156,614          </w:t>
            </w:r>
          </w:p>
        </w:tc>
        <w:tc>
          <w:tcPr>
            <w:tcW w:w="827" w:type="dxa"/>
            <w:vAlign w:val="bottom"/>
          </w:tcPr>
          <w:p w14:paraId="4BEC3B71" w14:textId="7862DEC9" w:rsidR="00224102" w:rsidRPr="00F15456" w:rsidRDefault="00224102" w:rsidP="00B01C0D">
            <w:pPr>
              <w:tabs>
                <w:tab w:val="left" w:pos="0"/>
              </w:tabs>
              <w:ind w:right="35"/>
              <w:jc w:val="right"/>
              <w:rPr>
                <w:sz w:val="18"/>
                <w:szCs w:val="18"/>
              </w:rPr>
            </w:pPr>
            <w:r w:rsidRPr="009D1354">
              <w:rPr>
                <w:b/>
                <w:sz w:val="18"/>
                <w:szCs w:val="18"/>
              </w:rPr>
              <w:t>-</w:t>
            </w:r>
          </w:p>
        </w:tc>
        <w:tc>
          <w:tcPr>
            <w:tcW w:w="803" w:type="dxa"/>
            <w:vAlign w:val="bottom"/>
          </w:tcPr>
          <w:p w14:paraId="40B14EAB" w14:textId="05F40CA1" w:rsidR="00224102" w:rsidRPr="00F15456" w:rsidRDefault="00224102" w:rsidP="00B01C0D">
            <w:pPr>
              <w:tabs>
                <w:tab w:val="left" w:pos="0"/>
              </w:tabs>
              <w:ind w:right="35"/>
              <w:jc w:val="right"/>
              <w:rPr>
                <w:sz w:val="18"/>
                <w:szCs w:val="18"/>
              </w:rPr>
            </w:pPr>
            <w:r w:rsidRPr="009D1354">
              <w:rPr>
                <w:b/>
                <w:color w:val="000000"/>
                <w:sz w:val="18"/>
                <w:szCs w:val="18"/>
              </w:rPr>
              <w:t>156,614</w:t>
            </w:r>
          </w:p>
        </w:tc>
      </w:tr>
      <w:tr w:rsidR="00224102" w:rsidRPr="003E2819" w14:paraId="77FA2EF8" w14:textId="77777777" w:rsidTr="00F77D55">
        <w:trPr>
          <w:trHeight w:val="142"/>
        </w:trPr>
        <w:tc>
          <w:tcPr>
            <w:tcW w:w="5534" w:type="dxa"/>
            <w:vAlign w:val="bottom"/>
          </w:tcPr>
          <w:p w14:paraId="11F681A7" w14:textId="77777777" w:rsidR="00224102" w:rsidRPr="003E2819" w:rsidRDefault="00224102" w:rsidP="00224102">
            <w:pPr>
              <w:tabs>
                <w:tab w:val="left" w:pos="0"/>
              </w:tabs>
              <w:rPr>
                <w:b/>
                <w:snapToGrid w:val="0"/>
                <w:sz w:val="18"/>
                <w:szCs w:val="18"/>
              </w:rPr>
            </w:pPr>
            <w:r w:rsidRPr="003E2819">
              <w:rPr>
                <w:b/>
                <w:snapToGrid w:val="0"/>
                <w:sz w:val="18"/>
                <w:szCs w:val="18"/>
              </w:rPr>
              <w:t>Total Assets</w:t>
            </w:r>
          </w:p>
        </w:tc>
        <w:tc>
          <w:tcPr>
            <w:tcW w:w="925" w:type="dxa"/>
            <w:vAlign w:val="center"/>
          </w:tcPr>
          <w:p w14:paraId="38D8B0C5" w14:textId="3A10A2EA" w:rsidR="00224102" w:rsidRPr="00A36623" w:rsidRDefault="00224102" w:rsidP="00B01C0D">
            <w:pPr>
              <w:tabs>
                <w:tab w:val="left" w:pos="0"/>
              </w:tabs>
              <w:ind w:right="35"/>
              <w:jc w:val="right"/>
              <w:rPr>
                <w:b/>
                <w:color w:val="000000"/>
                <w:sz w:val="18"/>
                <w:szCs w:val="18"/>
              </w:rPr>
            </w:pPr>
            <w:r w:rsidRPr="00A36623">
              <w:rPr>
                <w:b/>
                <w:color w:val="000000"/>
                <w:sz w:val="18"/>
                <w:szCs w:val="18"/>
              </w:rPr>
              <w:t>897</w:t>
            </w:r>
            <w:r>
              <w:rPr>
                <w:b/>
                <w:color w:val="000000"/>
                <w:sz w:val="18"/>
                <w:szCs w:val="18"/>
              </w:rPr>
              <w:t>,</w:t>
            </w:r>
            <w:r w:rsidRPr="00A36623">
              <w:rPr>
                <w:b/>
                <w:color w:val="000000"/>
                <w:sz w:val="18"/>
                <w:szCs w:val="18"/>
              </w:rPr>
              <w:t>700</w:t>
            </w:r>
          </w:p>
        </w:tc>
        <w:tc>
          <w:tcPr>
            <w:tcW w:w="925" w:type="dxa"/>
            <w:vAlign w:val="center"/>
          </w:tcPr>
          <w:p w14:paraId="6C024BE2" w14:textId="550BC9BA" w:rsidR="00224102" w:rsidRPr="00A36623" w:rsidRDefault="00224102" w:rsidP="00B01C0D">
            <w:pPr>
              <w:tabs>
                <w:tab w:val="left" w:pos="0"/>
              </w:tabs>
              <w:ind w:right="35"/>
              <w:jc w:val="right"/>
              <w:rPr>
                <w:b/>
                <w:color w:val="000000"/>
                <w:sz w:val="18"/>
                <w:szCs w:val="18"/>
              </w:rPr>
            </w:pPr>
            <w:r w:rsidRPr="00A36623">
              <w:rPr>
                <w:b/>
                <w:color w:val="000000"/>
                <w:sz w:val="18"/>
                <w:szCs w:val="18"/>
              </w:rPr>
              <w:t>192</w:t>
            </w:r>
            <w:r>
              <w:rPr>
                <w:b/>
                <w:color w:val="000000"/>
                <w:sz w:val="18"/>
                <w:szCs w:val="18"/>
              </w:rPr>
              <w:t>,</w:t>
            </w:r>
            <w:r w:rsidRPr="00A36623">
              <w:rPr>
                <w:b/>
                <w:color w:val="000000"/>
                <w:sz w:val="18"/>
                <w:szCs w:val="18"/>
              </w:rPr>
              <w:t>989</w:t>
            </w:r>
          </w:p>
        </w:tc>
        <w:tc>
          <w:tcPr>
            <w:tcW w:w="827" w:type="dxa"/>
            <w:vAlign w:val="center"/>
          </w:tcPr>
          <w:p w14:paraId="2F260088" w14:textId="76FD7D0D" w:rsidR="00224102" w:rsidRPr="00A36623" w:rsidRDefault="00224102" w:rsidP="00B01C0D">
            <w:pPr>
              <w:tabs>
                <w:tab w:val="left" w:pos="0"/>
              </w:tabs>
              <w:ind w:right="35"/>
              <w:jc w:val="right"/>
              <w:rPr>
                <w:b/>
                <w:color w:val="000000"/>
                <w:sz w:val="18"/>
                <w:szCs w:val="18"/>
              </w:rPr>
            </w:pPr>
            <w:r w:rsidRPr="00B235C3">
              <w:rPr>
                <w:color w:val="000000"/>
                <w:sz w:val="18"/>
                <w:szCs w:val="18"/>
              </w:rPr>
              <w:t>-</w:t>
            </w:r>
          </w:p>
        </w:tc>
        <w:tc>
          <w:tcPr>
            <w:tcW w:w="803" w:type="dxa"/>
            <w:vAlign w:val="center"/>
          </w:tcPr>
          <w:p w14:paraId="5FEF3CBE" w14:textId="7D531F69" w:rsidR="00224102" w:rsidRPr="00A36623" w:rsidRDefault="00224102" w:rsidP="00B01C0D">
            <w:pPr>
              <w:tabs>
                <w:tab w:val="left" w:pos="0"/>
              </w:tabs>
              <w:ind w:right="35"/>
              <w:jc w:val="right"/>
              <w:rPr>
                <w:b/>
                <w:color w:val="000000"/>
                <w:sz w:val="18"/>
                <w:szCs w:val="18"/>
              </w:rPr>
            </w:pPr>
            <w:r w:rsidRPr="00A36623">
              <w:rPr>
                <w:b/>
                <w:color w:val="000000"/>
                <w:sz w:val="18"/>
                <w:szCs w:val="18"/>
              </w:rPr>
              <w:t>1</w:t>
            </w:r>
            <w:r>
              <w:rPr>
                <w:b/>
                <w:color w:val="000000"/>
                <w:sz w:val="18"/>
                <w:szCs w:val="18"/>
              </w:rPr>
              <w:t>,</w:t>
            </w:r>
            <w:r w:rsidRPr="00A36623">
              <w:rPr>
                <w:b/>
                <w:color w:val="000000"/>
                <w:sz w:val="18"/>
                <w:szCs w:val="18"/>
              </w:rPr>
              <w:t>090</w:t>
            </w:r>
            <w:r>
              <w:rPr>
                <w:b/>
                <w:color w:val="000000"/>
                <w:sz w:val="18"/>
                <w:szCs w:val="18"/>
              </w:rPr>
              <w:t>,</w:t>
            </w:r>
            <w:r w:rsidRPr="00A36623">
              <w:rPr>
                <w:b/>
                <w:color w:val="000000"/>
                <w:sz w:val="18"/>
                <w:szCs w:val="18"/>
              </w:rPr>
              <w:t>689</w:t>
            </w:r>
          </w:p>
        </w:tc>
      </w:tr>
      <w:tr w:rsidR="00224102" w:rsidRPr="003E2819" w14:paraId="2632D468" w14:textId="77777777" w:rsidTr="00FD0C7A">
        <w:trPr>
          <w:trHeight w:val="142"/>
        </w:trPr>
        <w:tc>
          <w:tcPr>
            <w:tcW w:w="5534" w:type="dxa"/>
            <w:vAlign w:val="bottom"/>
          </w:tcPr>
          <w:p w14:paraId="53E8DA27" w14:textId="77777777" w:rsidR="00224102" w:rsidRPr="003E2819" w:rsidRDefault="00224102" w:rsidP="00224102">
            <w:pPr>
              <w:tabs>
                <w:tab w:val="left" w:pos="0"/>
              </w:tabs>
              <w:rPr>
                <w:snapToGrid w:val="0"/>
                <w:sz w:val="18"/>
                <w:szCs w:val="18"/>
              </w:rPr>
            </w:pPr>
          </w:p>
        </w:tc>
        <w:tc>
          <w:tcPr>
            <w:tcW w:w="925" w:type="dxa"/>
            <w:vAlign w:val="bottom"/>
          </w:tcPr>
          <w:p w14:paraId="2705DFF6" w14:textId="75A8C4E7" w:rsidR="00224102" w:rsidRPr="00F15456" w:rsidRDefault="00224102" w:rsidP="00B01C0D">
            <w:pPr>
              <w:tabs>
                <w:tab w:val="left" w:pos="0"/>
              </w:tabs>
              <w:ind w:right="35"/>
              <w:jc w:val="right"/>
              <w:rPr>
                <w:sz w:val="18"/>
                <w:szCs w:val="18"/>
              </w:rPr>
            </w:pPr>
          </w:p>
        </w:tc>
        <w:tc>
          <w:tcPr>
            <w:tcW w:w="925" w:type="dxa"/>
            <w:vAlign w:val="bottom"/>
          </w:tcPr>
          <w:p w14:paraId="276DB962" w14:textId="6696D9C3" w:rsidR="00224102" w:rsidRPr="00F15456" w:rsidRDefault="00224102" w:rsidP="00B01C0D">
            <w:pPr>
              <w:tabs>
                <w:tab w:val="left" w:pos="0"/>
              </w:tabs>
              <w:ind w:right="35"/>
              <w:jc w:val="right"/>
              <w:rPr>
                <w:sz w:val="18"/>
                <w:szCs w:val="18"/>
              </w:rPr>
            </w:pPr>
          </w:p>
        </w:tc>
        <w:tc>
          <w:tcPr>
            <w:tcW w:w="827" w:type="dxa"/>
            <w:vAlign w:val="bottom"/>
          </w:tcPr>
          <w:p w14:paraId="376DB659" w14:textId="442CF3D1" w:rsidR="00224102" w:rsidRPr="00F15456" w:rsidRDefault="00224102" w:rsidP="00B01C0D">
            <w:pPr>
              <w:tabs>
                <w:tab w:val="left" w:pos="0"/>
              </w:tabs>
              <w:ind w:right="35"/>
              <w:jc w:val="right"/>
              <w:rPr>
                <w:sz w:val="18"/>
                <w:szCs w:val="18"/>
              </w:rPr>
            </w:pPr>
          </w:p>
        </w:tc>
        <w:tc>
          <w:tcPr>
            <w:tcW w:w="803" w:type="dxa"/>
            <w:vAlign w:val="bottom"/>
          </w:tcPr>
          <w:p w14:paraId="06F954B2" w14:textId="0B927AEF" w:rsidR="00224102" w:rsidRPr="00F15456" w:rsidRDefault="00224102" w:rsidP="00B01C0D">
            <w:pPr>
              <w:tabs>
                <w:tab w:val="left" w:pos="0"/>
              </w:tabs>
              <w:ind w:right="35"/>
              <w:jc w:val="right"/>
              <w:rPr>
                <w:sz w:val="18"/>
                <w:szCs w:val="18"/>
              </w:rPr>
            </w:pPr>
          </w:p>
        </w:tc>
      </w:tr>
      <w:tr w:rsidR="00224102" w:rsidRPr="003E2819" w14:paraId="7FD6EF52" w14:textId="77777777" w:rsidTr="00F77D55">
        <w:trPr>
          <w:trHeight w:val="142"/>
        </w:trPr>
        <w:tc>
          <w:tcPr>
            <w:tcW w:w="5534" w:type="dxa"/>
            <w:vAlign w:val="bottom"/>
          </w:tcPr>
          <w:p w14:paraId="070B65EA" w14:textId="77777777" w:rsidR="00224102" w:rsidRPr="003E2819" w:rsidRDefault="00224102" w:rsidP="00224102">
            <w:pPr>
              <w:tabs>
                <w:tab w:val="left" w:pos="0"/>
              </w:tabs>
              <w:rPr>
                <w:snapToGrid w:val="0"/>
                <w:sz w:val="18"/>
                <w:szCs w:val="18"/>
              </w:rPr>
            </w:pPr>
            <w:r w:rsidRPr="003E2819">
              <w:rPr>
                <w:snapToGrid w:val="0"/>
                <w:sz w:val="18"/>
                <w:szCs w:val="18"/>
              </w:rPr>
              <w:t>Trading Derivative Financial Liabilities</w:t>
            </w:r>
          </w:p>
        </w:tc>
        <w:tc>
          <w:tcPr>
            <w:tcW w:w="925" w:type="dxa"/>
            <w:vAlign w:val="center"/>
          </w:tcPr>
          <w:p w14:paraId="5B516419" w14:textId="1BA4A196" w:rsidR="00224102" w:rsidRPr="00685823" w:rsidRDefault="00224102" w:rsidP="00B01C0D">
            <w:pPr>
              <w:tabs>
                <w:tab w:val="left" w:pos="0"/>
              </w:tabs>
              <w:ind w:right="35"/>
              <w:jc w:val="right"/>
              <w:rPr>
                <w:snapToGrid w:val="0"/>
                <w:sz w:val="18"/>
                <w:szCs w:val="18"/>
              </w:rPr>
            </w:pPr>
            <w:r w:rsidRPr="00B235C3">
              <w:rPr>
                <w:b/>
                <w:color w:val="000000"/>
                <w:sz w:val="18"/>
                <w:szCs w:val="18"/>
              </w:rPr>
              <w:t>-</w:t>
            </w:r>
          </w:p>
        </w:tc>
        <w:tc>
          <w:tcPr>
            <w:tcW w:w="925" w:type="dxa"/>
            <w:vAlign w:val="center"/>
          </w:tcPr>
          <w:p w14:paraId="5C7A05B9" w14:textId="0CFD86D2" w:rsidR="00224102" w:rsidRPr="00685823" w:rsidRDefault="00224102" w:rsidP="00B01C0D">
            <w:pPr>
              <w:tabs>
                <w:tab w:val="left" w:pos="0"/>
              </w:tabs>
              <w:ind w:right="35"/>
              <w:jc w:val="right"/>
              <w:rPr>
                <w:snapToGrid w:val="0"/>
                <w:sz w:val="18"/>
                <w:szCs w:val="18"/>
              </w:rPr>
            </w:pPr>
            <w:r w:rsidRPr="00A36623">
              <w:rPr>
                <w:color w:val="000000"/>
                <w:sz w:val="18"/>
                <w:szCs w:val="18"/>
              </w:rPr>
              <w:t>12</w:t>
            </w:r>
            <w:r>
              <w:rPr>
                <w:color w:val="000000"/>
                <w:sz w:val="18"/>
                <w:szCs w:val="18"/>
              </w:rPr>
              <w:t>,</w:t>
            </w:r>
            <w:r w:rsidRPr="00A36623">
              <w:rPr>
                <w:color w:val="000000"/>
                <w:sz w:val="18"/>
                <w:szCs w:val="18"/>
              </w:rPr>
              <w:t>429</w:t>
            </w:r>
          </w:p>
        </w:tc>
        <w:tc>
          <w:tcPr>
            <w:tcW w:w="827" w:type="dxa"/>
            <w:vAlign w:val="center"/>
          </w:tcPr>
          <w:p w14:paraId="503A6099" w14:textId="647F6440" w:rsidR="00224102" w:rsidRPr="00685823" w:rsidRDefault="00224102" w:rsidP="00B01C0D">
            <w:pPr>
              <w:tabs>
                <w:tab w:val="left" w:pos="0"/>
              </w:tabs>
              <w:ind w:right="35"/>
              <w:jc w:val="right"/>
              <w:rPr>
                <w:snapToGrid w:val="0"/>
                <w:sz w:val="18"/>
                <w:szCs w:val="18"/>
              </w:rPr>
            </w:pPr>
            <w:r w:rsidRPr="00B235C3">
              <w:rPr>
                <w:b/>
                <w:color w:val="000000"/>
                <w:sz w:val="18"/>
                <w:szCs w:val="18"/>
              </w:rPr>
              <w:t>-</w:t>
            </w:r>
          </w:p>
        </w:tc>
        <w:tc>
          <w:tcPr>
            <w:tcW w:w="803" w:type="dxa"/>
            <w:vAlign w:val="center"/>
          </w:tcPr>
          <w:p w14:paraId="6A98B7FA" w14:textId="5832D0E3" w:rsidR="00224102" w:rsidRPr="00685823" w:rsidRDefault="00224102" w:rsidP="00B01C0D">
            <w:pPr>
              <w:tabs>
                <w:tab w:val="left" w:pos="0"/>
              </w:tabs>
              <w:ind w:right="35"/>
              <w:jc w:val="right"/>
              <w:rPr>
                <w:snapToGrid w:val="0"/>
                <w:sz w:val="18"/>
                <w:szCs w:val="18"/>
              </w:rPr>
            </w:pPr>
            <w:r w:rsidRPr="006F4520">
              <w:rPr>
                <w:bCs/>
                <w:color w:val="000000"/>
                <w:sz w:val="18"/>
                <w:szCs w:val="18"/>
              </w:rPr>
              <w:t>12,429</w:t>
            </w:r>
          </w:p>
        </w:tc>
      </w:tr>
      <w:tr w:rsidR="00224102" w:rsidRPr="003E2819" w14:paraId="1F0B4F52" w14:textId="77777777" w:rsidTr="00F77D55">
        <w:trPr>
          <w:trHeight w:val="142"/>
        </w:trPr>
        <w:tc>
          <w:tcPr>
            <w:tcW w:w="5534" w:type="dxa"/>
            <w:vAlign w:val="bottom"/>
          </w:tcPr>
          <w:p w14:paraId="344BDD2E" w14:textId="0CDEFC83" w:rsidR="00224102" w:rsidRPr="00FD0C7A" w:rsidRDefault="00224102" w:rsidP="00224102">
            <w:pPr>
              <w:tabs>
                <w:tab w:val="left" w:pos="0"/>
              </w:tabs>
              <w:rPr>
                <w:snapToGrid w:val="0"/>
                <w:sz w:val="18"/>
                <w:szCs w:val="18"/>
              </w:rPr>
            </w:pPr>
            <w:r w:rsidRPr="00FD0C7A">
              <w:rPr>
                <w:snapToGrid w:val="0"/>
                <w:sz w:val="18"/>
                <w:szCs w:val="18"/>
              </w:rPr>
              <w:t>Hedging Derivative Financial Liabilities</w:t>
            </w:r>
          </w:p>
        </w:tc>
        <w:tc>
          <w:tcPr>
            <w:tcW w:w="925" w:type="dxa"/>
            <w:vAlign w:val="center"/>
          </w:tcPr>
          <w:p w14:paraId="5D70F424" w14:textId="66B31389" w:rsidR="00224102" w:rsidRDefault="00224102" w:rsidP="00B01C0D">
            <w:pPr>
              <w:tabs>
                <w:tab w:val="left" w:pos="0"/>
              </w:tabs>
              <w:ind w:right="35"/>
              <w:jc w:val="right"/>
              <w:rPr>
                <w:snapToGrid w:val="0"/>
                <w:sz w:val="18"/>
                <w:szCs w:val="18"/>
              </w:rPr>
            </w:pPr>
            <w:r w:rsidRPr="00B235C3">
              <w:rPr>
                <w:b/>
                <w:color w:val="000000"/>
                <w:sz w:val="18"/>
                <w:szCs w:val="18"/>
              </w:rPr>
              <w:t>-</w:t>
            </w:r>
          </w:p>
        </w:tc>
        <w:tc>
          <w:tcPr>
            <w:tcW w:w="925" w:type="dxa"/>
            <w:vAlign w:val="center"/>
          </w:tcPr>
          <w:p w14:paraId="5152FF64" w14:textId="734AAC4D" w:rsidR="00224102" w:rsidRDefault="00224102" w:rsidP="00B01C0D">
            <w:pPr>
              <w:tabs>
                <w:tab w:val="left" w:pos="0"/>
              </w:tabs>
              <w:ind w:right="35"/>
              <w:jc w:val="right"/>
              <w:rPr>
                <w:snapToGrid w:val="0"/>
                <w:sz w:val="18"/>
                <w:szCs w:val="18"/>
              </w:rPr>
            </w:pPr>
            <w:r w:rsidRPr="006F4520">
              <w:rPr>
                <w:color w:val="000000"/>
                <w:sz w:val="18"/>
                <w:szCs w:val="18"/>
              </w:rPr>
              <w:t>8,578</w:t>
            </w:r>
          </w:p>
        </w:tc>
        <w:tc>
          <w:tcPr>
            <w:tcW w:w="827" w:type="dxa"/>
            <w:vAlign w:val="center"/>
          </w:tcPr>
          <w:p w14:paraId="781C71E5" w14:textId="77777777" w:rsidR="00224102" w:rsidRDefault="00224102" w:rsidP="00B01C0D">
            <w:pPr>
              <w:tabs>
                <w:tab w:val="left" w:pos="0"/>
              </w:tabs>
              <w:ind w:right="35"/>
              <w:jc w:val="right"/>
              <w:rPr>
                <w:snapToGrid w:val="0"/>
                <w:sz w:val="18"/>
                <w:szCs w:val="18"/>
              </w:rPr>
            </w:pPr>
          </w:p>
        </w:tc>
        <w:tc>
          <w:tcPr>
            <w:tcW w:w="803" w:type="dxa"/>
            <w:vAlign w:val="center"/>
          </w:tcPr>
          <w:p w14:paraId="764A64D6" w14:textId="10A6CEA7" w:rsidR="00224102" w:rsidRDefault="00224102" w:rsidP="00B01C0D">
            <w:pPr>
              <w:tabs>
                <w:tab w:val="left" w:pos="0"/>
              </w:tabs>
              <w:ind w:right="35"/>
              <w:jc w:val="right"/>
              <w:rPr>
                <w:snapToGrid w:val="0"/>
                <w:sz w:val="18"/>
                <w:szCs w:val="18"/>
              </w:rPr>
            </w:pPr>
            <w:r w:rsidRPr="006F4520">
              <w:rPr>
                <w:bCs/>
                <w:color w:val="000000"/>
                <w:sz w:val="18"/>
                <w:szCs w:val="18"/>
              </w:rPr>
              <w:t>8,578</w:t>
            </w:r>
          </w:p>
        </w:tc>
      </w:tr>
      <w:tr w:rsidR="00224102" w:rsidRPr="003E2819" w14:paraId="13368437" w14:textId="77777777" w:rsidTr="00F77D55">
        <w:trPr>
          <w:trHeight w:val="142"/>
        </w:trPr>
        <w:tc>
          <w:tcPr>
            <w:tcW w:w="5534" w:type="dxa"/>
            <w:vAlign w:val="bottom"/>
          </w:tcPr>
          <w:p w14:paraId="73A82681" w14:textId="77777777" w:rsidR="00224102" w:rsidRPr="003E2819" w:rsidRDefault="00224102" w:rsidP="00224102">
            <w:pPr>
              <w:pStyle w:val="Heading9"/>
              <w:tabs>
                <w:tab w:val="left" w:pos="0"/>
              </w:tabs>
              <w:rPr>
                <w:rFonts w:eastAsia="Arial Unicode MS"/>
                <w:szCs w:val="18"/>
              </w:rPr>
            </w:pPr>
            <w:r w:rsidRPr="003E2819">
              <w:rPr>
                <w:szCs w:val="18"/>
              </w:rPr>
              <w:t>Total Liabilities</w:t>
            </w:r>
          </w:p>
        </w:tc>
        <w:tc>
          <w:tcPr>
            <w:tcW w:w="925" w:type="dxa"/>
            <w:vAlign w:val="center"/>
          </w:tcPr>
          <w:p w14:paraId="14DA1DAC" w14:textId="7BFAD26A" w:rsidR="00224102" w:rsidRPr="00F15456" w:rsidRDefault="00224102" w:rsidP="00B01C0D">
            <w:pPr>
              <w:tabs>
                <w:tab w:val="left" w:pos="0"/>
              </w:tabs>
              <w:ind w:right="35"/>
              <w:jc w:val="right"/>
              <w:rPr>
                <w:b/>
                <w:sz w:val="18"/>
                <w:szCs w:val="18"/>
              </w:rPr>
            </w:pPr>
            <w:r w:rsidRPr="006F4520">
              <w:rPr>
                <w:b/>
                <w:color w:val="000000"/>
                <w:sz w:val="18"/>
                <w:szCs w:val="18"/>
              </w:rPr>
              <w:t xml:space="preserve">          -   </w:t>
            </w:r>
          </w:p>
        </w:tc>
        <w:tc>
          <w:tcPr>
            <w:tcW w:w="925" w:type="dxa"/>
            <w:vAlign w:val="center"/>
          </w:tcPr>
          <w:p w14:paraId="0EB11E3D" w14:textId="6DAD1C02" w:rsidR="00224102" w:rsidRPr="00F15456" w:rsidRDefault="00224102" w:rsidP="00B01C0D">
            <w:pPr>
              <w:tabs>
                <w:tab w:val="left" w:pos="0"/>
              </w:tabs>
              <w:ind w:right="35"/>
              <w:jc w:val="right"/>
              <w:rPr>
                <w:b/>
                <w:sz w:val="18"/>
                <w:szCs w:val="18"/>
              </w:rPr>
            </w:pPr>
            <w:r w:rsidRPr="006F4520">
              <w:rPr>
                <w:b/>
                <w:color w:val="000000"/>
                <w:sz w:val="18"/>
                <w:szCs w:val="18"/>
              </w:rPr>
              <w:t xml:space="preserve">      21,007   </w:t>
            </w:r>
          </w:p>
        </w:tc>
        <w:tc>
          <w:tcPr>
            <w:tcW w:w="827" w:type="dxa"/>
            <w:vAlign w:val="bottom"/>
          </w:tcPr>
          <w:p w14:paraId="3BE1B9F7" w14:textId="336BDC3F" w:rsidR="00224102" w:rsidRPr="00F15456" w:rsidRDefault="00224102" w:rsidP="00B01C0D">
            <w:pPr>
              <w:tabs>
                <w:tab w:val="left" w:pos="0"/>
              </w:tabs>
              <w:ind w:right="35"/>
              <w:jc w:val="right"/>
              <w:rPr>
                <w:b/>
                <w:sz w:val="18"/>
                <w:szCs w:val="18"/>
              </w:rPr>
            </w:pPr>
            <w:r w:rsidRPr="006F4520">
              <w:rPr>
                <w:b/>
                <w:sz w:val="18"/>
                <w:szCs w:val="18"/>
              </w:rPr>
              <w:t>-</w:t>
            </w:r>
          </w:p>
        </w:tc>
        <w:tc>
          <w:tcPr>
            <w:tcW w:w="803" w:type="dxa"/>
            <w:vAlign w:val="center"/>
          </w:tcPr>
          <w:p w14:paraId="5DA80E39" w14:textId="63BB8D60" w:rsidR="00224102" w:rsidRPr="00F15456" w:rsidRDefault="00224102" w:rsidP="00B01C0D">
            <w:pPr>
              <w:tabs>
                <w:tab w:val="left" w:pos="0"/>
              </w:tabs>
              <w:ind w:right="35"/>
              <w:jc w:val="right"/>
              <w:rPr>
                <w:b/>
                <w:sz w:val="18"/>
                <w:szCs w:val="18"/>
              </w:rPr>
            </w:pPr>
            <w:r w:rsidRPr="006F4520">
              <w:rPr>
                <w:b/>
                <w:color w:val="000000"/>
                <w:sz w:val="18"/>
                <w:szCs w:val="18"/>
              </w:rPr>
              <w:t>21,007</w:t>
            </w:r>
          </w:p>
        </w:tc>
      </w:tr>
    </w:tbl>
    <w:p w14:paraId="2D7AEDDA" w14:textId="77777777" w:rsidR="00400883" w:rsidRDefault="00400883" w:rsidP="00400883">
      <w:pPr>
        <w:tabs>
          <w:tab w:val="left" w:pos="0"/>
        </w:tabs>
        <w:spacing w:line="120" w:lineRule="auto"/>
        <w:rPr>
          <w:b/>
        </w:rPr>
      </w:pPr>
    </w:p>
    <w:p w14:paraId="49A93598" w14:textId="77777777" w:rsidR="00400883" w:rsidRDefault="00400883" w:rsidP="00400883">
      <w:pPr>
        <w:pStyle w:val="Heading2"/>
        <w:tabs>
          <w:tab w:val="left" w:pos="0"/>
        </w:tabs>
        <w:spacing w:before="0"/>
        <w:jc w:val="both"/>
        <w:rPr>
          <w:rFonts w:ascii="Times New Roman" w:hAnsi="Times New Roman"/>
          <w:b w:val="0"/>
          <w:sz w:val="20"/>
        </w:rPr>
      </w:pPr>
      <w:r w:rsidRPr="003E2819">
        <w:rPr>
          <w:rFonts w:ascii="Times New Roman" w:hAnsi="Times New Roman"/>
          <w:b w:val="0"/>
          <w:sz w:val="20"/>
        </w:rPr>
        <w:t>There are no transfers between the 1st and the 2nd levels in the current year.</w:t>
      </w:r>
    </w:p>
    <w:p w14:paraId="7B79EF8B" w14:textId="4ED374AE" w:rsidR="00D47759" w:rsidRPr="00E75730" w:rsidRDefault="00A041CD" w:rsidP="00D47759">
      <w:pPr>
        <w:pStyle w:val="NormalIndent"/>
        <w:pageBreakBefore/>
        <w:tabs>
          <w:tab w:val="left" w:pos="540"/>
          <w:tab w:val="left" w:pos="1620"/>
        </w:tabs>
        <w:ind w:left="1622" w:hanging="1622"/>
        <w:rPr>
          <w:b/>
        </w:rPr>
      </w:pPr>
      <w:r w:rsidRPr="00A041CD">
        <w:rPr>
          <w:b/>
        </w:rPr>
        <w:lastRenderedPageBreak/>
        <w:t>INFORMATION ON THE FINANCIAL POSITION OF THE GROUP (Continued)</w:t>
      </w:r>
    </w:p>
    <w:p w14:paraId="43D75E42" w14:textId="24A3F120" w:rsidR="005E33B0" w:rsidRPr="00604C75" w:rsidRDefault="007F53E9" w:rsidP="00A041CD">
      <w:pPr>
        <w:pStyle w:val="Heading2"/>
        <w:ind w:left="709" w:hanging="709"/>
        <w:rPr>
          <w:rFonts w:ascii="Times New Roman" w:hAnsi="Times New Roman"/>
          <w:caps/>
          <w:sz w:val="20"/>
        </w:rPr>
      </w:pPr>
      <w:r>
        <w:rPr>
          <w:rFonts w:ascii="Times New Roman" w:hAnsi="Times New Roman"/>
          <w:caps/>
          <w:sz w:val="20"/>
        </w:rPr>
        <w:t>X</w:t>
      </w:r>
      <w:r w:rsidR="00FC2264">
        <w:rPr>
          <w:rFonts w:ascii="Times New Roman" w:hAnsi="Times New Roman"/>
          <w:caps/>
          <w:sz w:val="20"/>
        </w:rPr>
        <w:t>I</w:t>
      </w:r>
      <w:r w:rsidR="003103D4" w:rsidRPr="00604C75">
        <w:rPr>
          <w:rFonts w:ascii="Times New Roman" w:hAnsi="Times New Roman"/>
          <w:caps/>
          <w:sz w:val="20"/>
        </w:rPr>
        <w:t>.</w:t>
      </w:r>
      <w:r w:rsidR="005E33B0" w:rsidRPr="00604C75">
        <w:rPr>
          <w:rFonts w:ascii="Times New Roman" w:hAnsi="Times New Roman"/>
          <w:caps/>
          <w:sz w:val="20"/>
        </w:rPr>
        <w:tab/>
      </w:r>
      <w:r w:rsidR="000E6179" w:rsidRPr="00604C75">
        <w:rPr>
          <w:rFonts w:ascii="Times New Roman" w:hAnsi="Times New Roman"/>
          <w:caps/>
          <w:sz w:val="20"/>
        </w:rPr>
        <w:t xml:space="preserve">  </w:t>
      </w:r>
      <w:r w:rsidR="00213A29" w:rsidRPr="00604C75">
        <w:rPr>
          <w:rFonts w:ascii="Times New Roman" w:hAnsi="Times New Roman"/>
          <w:sz w:val="20"/>
        </w:rPr>
        <w:t>Explanation</w:t>
      </w:r>
      <w:r w:rsidR="00213A29" w:rsidRPr="00604C75" w:rsidDel="00213A29">
        <w:rPr>
          <w:rFonts w:ascii="Times New Roman" w:hAnsi="Times New Roman"/>
          <w:caps/>
          <w:sz w:val="20"/>
        </w:rPr>
        <w:t xml:space="preserve"> </w:t>
      </w:r>
      <w:r w:rsidR="00213A29" w:rsidRPr="00604C75">
        <w:rPr>
          <w:rFonts w:ascii="Times New Roman" w:hAnsi="Times New Roman"/>
          <w:sz w:val="20"/>
        </w:rPr>
        <w:t>on Hedge Accounting</w:t>
      </w:r>
      <w:r w:rsidR="00213A29" w:rsidRPr="00604C75" w:rsidDel="00213A29">
        <w:rPr>
          <w:rFonts w:ascii="Times New Roman" w:hAnsi="Times New Roman"/>
          <w:caps/>
          <w:sz w:val="20"/>
        </w:rPr>
        <w:t xml:space="preserve"> </w:t>
      </w:r>
    </w:p>
    <w:p w14:paraId="3A23AD47" w14:textId="77777777" w:rsidR="007C31A6" w:rsidRPr="00604C75" w:rsidRDefault="007C31A6" w:rsidP="00DE3579">
      <w:pPr>
        <w:autoSpaceDE w:val="0"/>
        <w:autoSpaceDN w:val="0"/>
        <w:adjustRightInd w:val="0"/>
        <w:spacing w:before="120" w:after="120"/>
        <w:jc w:val="both"/>
        <w:rPr>
          <w:sz w:val="20"/>
          <w:szCs w:val="20"/>
          <w:lang w:val="tr-TR"/>
        </w:rPr>
      </w:pPr>
      <w:r w:rsidRPr="00604C75">
        <w:rPr>
          <w:sz w:val="20"/>
          <w:szCs w:val="20"/>
          <w:lang w:val="tr-TR"/>
        </w:rPr>
        <w:t xml:space="preserve">The </w:t>
      </w:r>
      <w:r w:rsidR="007E634B" w:rsidRPr="00604C75">
        <w:rPr>
          <w:sz w:val="20"/>
          <w:szCs w:val="20"/>
          <w:lang w:val="tr-TR"/>
        </w:rPr>
        <w:t xml:space="preserve">Parent </w:t>
      </w:r>
      <w:r w:rsidRPr="00604C75">
        <w:rPr>
          <w:sz w:val="20"/>
          <w:szCs w:val="20"/>
          <w:lang w:val="tr-TR"/>
        </w:rPr>
        <w:t xml:space="preserve">Bank uses Fair Value Hedge Accounting from the beginning </w:t>
      </w:r>
      <w:r w:rsidRPr="00F71DBC">
        <w:rPr>
          <w:sz w:val="20"/>
          <w:szCs w:val="20"/>
          <w:lang w:val="tr-TR"/>
        </w:rPr>
        <w:t>of 24 March 2014</w:t>
      </w:r>
      <w:r w:rsidRPr="00604C75">
        <w:rPr>
          <w:sz w:val="20"/>
          <w:szCs w:val="20"/>
          <w:lang w:val="tr-TR"/>
        </w:rPr>
        <w:t xml:space="preserve"> as of balance </w:t>
      </w:r>
      <w:r w:rsidR="00C50DD6" w:rsidRPr="00604C75">
        <w:rPr>
          <w:sz w:val="20"/>
          <w:szCs w:val="20"/>
          <w:lang w:val="tr-TR"/>
        </w:rPr>
        <w:t xml:space="preserve">sheet </w:t>
      </w:r>
      <w:r w:rsidRPr="00604C75">
        <w:rPr>
          <w:sz w:val="20"/>
          <w:szCs w:val="20"/>
          <w:lang w:val="tr-TR"/>
        </w:rPr>
        <w:t>date.</w:t>
      </w:r>
    </w:p>
    <w:p w14:paraId="05BB53B7" w14:textId="77777777" w:rsidR="007C31A6" w:rsidRPr="00604C75" w:rsidRDefault="007C31A6" w:rsidP="00931E2C">
      <w:pPr>
        <w:widowControl w:val="0"/>
        <w:spacing w:before="120" w:after="120"/>
        <w:jc w:val="both"/>
        <w:rPr>
          <w:sz w:val="20"/>
          <w:szCs w:val="20"/>
          <w:lang w:val="tr-TR"/>
        </w:rPr>
      </w:pPr>
      <w:r w:rsidRPr="00604C75">
        <w:rPr>
          <w:sz w:val="20"/>
          <w:szCs w:val="20"/>
          <w:lang w:val="tr-TR"/>
        </w:rPr>
        <w:t>Derivative financial instruments is used as</w:t>
      </w:r>
      <w:r w:rsidR="00F9692A" w:rsidRPr="00604C75">
        <w:rPr>
          <w:sz w:val="20"/>
          <w:szCs w:val="20"/>
          <w:lang w:val="tr-TR"/>
        </w:rPr>
        <w:t xml:space="preserve"> hedging instruments are</w:t>
      </w:r>
      <w:r w:rsidRPr="00604C75">
        <w:rPr>
          <w:sz w:val="20"/>
          <w:szCs w:val="20"/>
          <w:lang w:val="tr-TR"/>
        </w:rPr>
        <w:t xml:space="preserve"> interest</w:t>
      </w:r>
      <w:r w:rsidR="00F9692A" w:rsidRPr="00604C75">
        <w:rPr>
          <w:sz w:val="20"/>
          <w:szCs w:val="20"/>
          <w:lang w:val="tr-TR"/>
        </w:rPr>
        <w:t xml:space="preserve"> swap</w:t>
      </w:r>
      <w:r w:rsidRPr="00604C75">
        <w:rPr>
          <w:sz w:val="20"/>
          <w:szCs w:val="20"/>
          <w:lang w:val="tr-TR"/>
        </w:rPr>
        <w:t xml:space="preserve"> transactions. </w:t>
      </w: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5921"/>
        <w:gridCol w:w="1210"/>
        <w:gridCol w:w="1016"/>
        <w:gridCol w:w="1190"/>
      </w:tblGrid>
      <w:tr w:rsidR="007C31A6" w:rsidRPr="00604C75" w14:paraId="4D6A4501" w14:textId="77777777" w:rsidTr="00877CBD">
        <w:trPr>
          <w:trHeight w:val="57"/>
        </w:trPr>
        <w:tc>
          <w:tcPr>
            <w:tcW w:w="5921" w:type="dxa"/>
          </w:tcPr>
          <w:p w14:paraId="7E873B90" w14:textId="77777777" w:rsidR="007C31A6" w:rsidRPr="00604C75" w:rsidRDefault="007C31A6" w:rsidP="00931E2C">
            <w:pPr>
              <w:rPr>
                <w:sz w:val="18"/>
                <w:szCs w:val="18"/>
                <w:lang w:val="tr-TR"/>
              </w:rPr>
            </w:pPr>
          </w:p>
        </w:tc>
        <w:tc>
          <w:tcPr>
            <w:tcW w:w="3416" w:type="dxa"/>
            <w:gridSpan w:val="3"/>
            <w:shd w:val="clear" w:color="auto" w:fill="auto"/>
          </w:tcPr>
          <w:p w14:paraId="25050A56" w14:textId="77777777" w:rsidR="007C31A6" w:rsidRPr="00604C75" w:rsidRDefault="00D47759" w:rsidP="00D47759">
            <w:pPr>
              <w:ind w:right="601"/>
              <w:jc w:val="right"/>
              <w:rPr>
                <w:b/>
                <w:sz w:val="18"/>
                <w:szCs w:val="18"/>
                <w:lang w:val="tr-TR"/>
              </w:rPr>
            </w:pPr>
            <w:r>
              <w:rPr>
                <w:b/>
                <w:sz w:val="18"/>
                <w:szCs w:val="18"/>
                <w:lang w:val="tr-TR"/>
              </w:rPr>
              <w:t>31</w:t>
            </w:r>
            <w:r w:rsidR="00F51CB2">
              <w:rPr>
                <w:b/>
                <w:sz w:val="18"/>
                <w:szCs w:val="18"/>
                <w:lang w:val="tr-TR"/>
              </w:rPr>
              <w:t xml:space="preserve"> </w:t>
            </w:r>
            <w:r>
              <w:rPr>
                <w:b/>
                <w:sz w:val="18"/>
                <w:szCs w:val="18"/>
                <w:lang w:val="tr-TR"/>
              </w:rPr>
              <w:t>December</w:t>
            </w:r>
            <w:r w:rsidR="00931E2C" w:rsidRPr="00604C75">
              <w:rPr>
                <w:b/>
                <w:sz w:val="18"/>
                <w:szCs w:val="18"/>
                <w:lang w:val="tr-TR"/>
              </w:rPr>
              <w:t xml:space="preserve"> 2015</w:t>
            </w:r>
          </w:p>
        </w:tc>
      </w:tr>
      <w:tr w:rsidR="007C31A6" w:rsidRPr="00604C75" w14:paraId="32A5B031" w14:textId="77777777" w:rsidTr="00877CBD">
        <w:trPr>
          <w:trHeight w:val="57"/>
        </w:trPr>
        <w:tc>
          <w:tcPr>
            <w:tcW w:w="5921" w:type="dxa"/>
            <w:vAlign w:val="center"/>
          </w:tcPr>
          <w:p w14:paraId="00E6274F" w14:textId="77777777" w:rsidR="007C31A6" w:rsidRPr="00604C75" w:rsidRDefault="007C31A6" w:rsidP="00931E2C">
            <w:pPr>
              <w:rPr>
                <w:sz w:val="18"/>
                <w:szCs w:val="18"/>
                <w:lang w:val="tr-TR"/>
              </w:rPr>
            </w:pPr>
          </w:p>
        </w:tc>
        <w:tc>
          <w:tcPr>
            <w:tcW w:w="1210" w:type="dxa"/>
            <w:vAlign w:val="center"/>
          </w:tcPr>
          <w:p w14:paraId="187EC36A" w14:textId="77777777" w:rsidR="007C31A6" w:rsidRPr="00156AF9" w:rsidRDefault="007C31A6" w:rsidP="00931E2C">
            <w:pPr>
              <w:jc w:val="right"/>
              <w:rPr>
                <w:b/>
                <w:sz w:val="18"/>
                <w:szCs w:val="18"/>
                <w:lang w:val="tr-TR"/>
              </w:rPr>
            </w:pPr>
            <w:r w:rsidRPr="00156AF9">
              <w:rPr>
                <w:b/>
                <w:sz w:val="18"/>
                <w:szCs w:val="18"/>
                <w:lang w:val="tr-TR"/>
              </w:rPr>
              <w:t xml:space="preserve">Principal </w:t>
            </w:r>
            <w:r w:rsidR="00931E2C" w:rsidRPr="00156AF9">
              <w:rPr>
                <w:b/>
                <w:sz w:val="18"/>
                <w:szCs w:val="18"/>
                <w:lang w:val="tr-TR"/>
              </w:rPr>
              <w:t>(*)</w:t>
            </w:r>
          </w:p>
        </w:tc>
        <w:tc>
          <w:tcPr>
            <w:tcW w:w="1016" w:type="dxa"/>
            <w:shd w:val="clear" w:color="auto" w:fill="auto"/>
            <w:vAlign w:val="center"/>
          </w:tcPr>
          <w:p w14:paraId="521B7873" w14:textId="77777777" w:rsidR="007C31A6" w:rsidRPr="00156AF9" w:rsidRDefault="007C31A6" w:rsidP="00931E2C">
            <w:pPr>
              <w:jc w:val="right"/>
              <w:rPr>
                <w:b/>
                <w:sz w:val="18"/>
                <w:szCs w:val="18"/>
                <w:lang w:val="tr-TR"/>
              </w:rPr>
            </w:pPr>
            <w:r w:rsidRPr="00156AF9">
              <w:rPr>
                <w:b/>
                <w:sz w:val="18"/>
                <w:szCs w:val="18"/>
                <w:lang w:val="tr-TR"/>
              </w:rPr>
              <w:t>Asset</w:t>
            </w:r>
          </w:p>
        </w:tc>
        <w:tc>
          <w:tcPr>
            <w:tcW w:w="1190" w:type="dxa"/>
            <w:shd w:val="clear" w:color="auto" w:fill="auto"/>
            <w:vAlign w:val="center"/>
          </w:tcPr>
          <w:p w14:paraId="02E8A8F0" w14:textId="77777777" w:rsidR="007C31A6" w:rsidRPr="00576E0A" w:rsidRDefault="007C31A6" w:rsidP="00931E2C">
            <w:pPr>
              <w:jc w:val="right"/>
              <w:rPr>
                <w:b/>
                <w:sz w:val="18"/>
                <w:szCs w:val="18"/>
                <w:lang w:val="tr-TR"/>
              </w:rPr>
            </w:pPr>
            <w:r w:rsidRPr="00156AF9">
              <w:rPr>
                <w:b/>
                <w:sz w:val="18"/>
                <w:szCs w:val="18"/>
                <w:lang w:val="tr-TR"/>
              </w:rPr>
              <w:t>Liability</w:t>
            </w:r>
          </w:p>
        </w:tc>
      </w:tr>
      <w:tr w:rsidR="00311F4E" w:rsidRPr="00604C75" w14:paraId="28D8C2BA" w14:textId="77777777" w:rsidTr="00877CBD">
        <w:trPr>
          <w:trHeight w:val="57"/>
        </w:trPr>
        <w:tc>
          <w:tcPr>
            <w:tcW w:w="5921" w:type="dxa"/>
          </w:tcPr>
          <w:p w14:paraId="196519B4" w14:textId="77777777" w:rsidR="00311F4E" w:rsidRPr="00604C75" w:rsidRDefault="00311F4E" w:rsidP="00931E2C">
            <w:pPr>
              <w:rPr>
                <w:b/>
                <w:sz w:val="18"/>
                <w:szCs w:val="18"/>
                <w:lang w:val="tr-TR"/>
              </w:rPr>
            </w:pPr>
            <w:r w:rsidRPr="00604C75">
              <w:rPr>
                <w:b/>
                <w:sz w:val="18"/>
                <w:szCs w:val="18"/>
                <w:lang w:val="tr-TR"/>
              </w:rPr>
              <w:t xml:space="preserve">Derivative financial instruments </w:t>
            </w:r>
          </w:p>
        </w:tc>
        <w:tc>
          <w:tcPr>
            <w:tcW w:w="1210" w:type="dxa"/>
          </w:tcPr>
          <w:p w14:paraId="5697C6F6" w14:textId="77777777" w:rsidR="00311F4E" w:rsidRPr="00692926" w:rsidRDefault="00311F4E" w:rsidP="001921C0">
            <w:pPr>
              <w:tabs>
                <w:tab w:val="left" w:pos="0"/>
              </w:tabs>
              <w:jc w:val="right"/>
              <w:rPr>
                <w:sz w:val="18"/>
                <w:szCs w:val="18"/>
              </w:rPr>
            </w:pPr>
          </w:p>
        </w:tc>
        <w:tc>
          <w:tcPr>
            <w:tcW w:w="1016" w:type="dxa"/>
            <w:shd w:val="clear" w:color="auto" w:fill="auto"/>
          </w:tcPr>
          <w:p w14:paraId="17B8AA87" w14:textId="77777777" w:rsidR="00311F4E" w:rsidRPr="00692926" w:rsidRDefault="00311F4E" w:rsidP="001921C0">
            <w:pPr>
              <w:tabs>
                <w:tab w:val="left" w:pos="0"/>
              </w:tabs>
              <w:jc w:val="right"/>
              <w:rPr>
                <w:sz w:val="18"/>
                <w:szCs w:val="18"/>
              </w:rPr>
            </w:pPr>
          </w:p>
        </w:tc>
        <w:tc>
          <w:tcPr>
            <w:tcW w:w="1190" w:type="dxa"/>
            <w:shd w:val="clear" w:color="auto" w:fill="auto"/>
          </w:tcPr>
          <w:p w14:paraId="2272CABF" w14:textId="77777777" w:rsidR="00311F4E" w:rsidRPr="00692926" w:rsidRDefault="00311F4E" w:rsidP="001921C0">
            <w:pPr>
              <w:tabs>
                <w:tab w:val="left" w:pos="0"/>
              </w:tabs>
              <w:jc w:val="right"/>
              <w:rPr>
                <w:sz w:val="18"/>
                <w:szCs w:val="18"/>
              </w:rPr>
            </w:pPr>
          </w:p>
        </w:tc>
      </w:tr>
      <w:tr w:rsidR="004845D8" w:rsidRPr="00604C75" w14:paraId="2FEA0B4C" w14:textId="77777777" w:rsidTr="00877CBD">
        <w:trPr>
          <w:trHeight w:val="57"/>
        </w:trPr>
        <w:tc>
          <w:tcPr>
            <w:tcW w:w="5921" w:type="dxa"/>
            <w:vAlign w:val="center"/>
          </w:tcPr>
          <w:p w14:paraId="1EB31C09" w14:textId="77777777" w:rsidR="004845D8" w:rsidRPr="00604C75" w:rsidRDefault="004845D8" w:rsidP="004845D8">
            <w:pPr>
              <w:rPr>
                <w:sz w:val="18"/>
                <w:szCs w:val="18"/>
                <w:lang w:val="tr-TR"/>
              </w:rPr>
            </w:pPr>
            <w:r w:rsidRPr="00604C75">
              <w:rPr>
                <w:sz w:val="18"/>
                <w:szCs w:val="18"/>
                <w:lang w:val="tr-TR"/>
              </w:rPr>
              <w:t xml:space="preserve">Interest swap transactions </w:t>
            </w:r>
          </w:p>
        </w:tc>
        <w:tc>
          <w:tcPr>
            <w:tcW w:w="1210" w:type="dxa"/>
            <w:vAlign w:val="bottom"/>
          </w:tcPr>
          <w:p w14:paraId="58473D2A" w14:textId="77777777" w:rsidR="004845D8" w:rsidRPr="00BD35F7" w:rsidRDefault="004845D8" w:rsidP="004845D8">
            <w:pPr>
              <w:jc w:val="right"/>
              <w:rPr>
                <w:sz w:val="18"/>
                <w:szCs w:val="18"/>
              </w:rPr>
            </w:pPr>
            <w:r w:rsidRPr="00BD35F7">
              <w:rPr>
                <w:sz w:val="18"/>
                <w:szCs w:val="18"/>
              </w:rPr>
              <w:t>220,000</w:t>
            </w:r>
          </w:p>
        </w:tc>
        <w:tc>
          <w:tcPr>
            <w:tcW w:w="1016" w:type="dxa"/>
            <w:shd w:val="clear" w:color="auto" w:fill="auto"/>
            <w:vAlign w:val="bottom"/>
          </w:tcPr>
          <w:p w14:paraId="4002616E" w14:textId="77777777" w:rsidR="004845D8" w:rsidRPr="00BD35F7" w:rsidRDefault="004845D8" w:rsidP="004845D8">
            <w:pPr>
              <w:jc w:val="right"/>
              <w:rPr>
                <w:sz w:val="18"/>
                <w:szCs w:val="18"/>
              </w:rPr>
            </w:pPr>
            <w:r>
              <w:rPr>
                <w:sz w:val="18"/>
                <w:szCs w:val="18"/>
              </w:rPr>
              <w:t>-</w:t>
            </w:r>
          </w:p>
        </w:tc>
        <w:tc>
          <w:tcPr>
            <w:tcW w:w="1190" w:type="dxa"/>
            <w:shd w:val="clear" w:color="auto" w:fill="auto"/>
            <w:vAlign w:val="bottom"/>
          </w:tcPr>
          <w:p w14:paraId="36608564" w14:textId="77777777" w:rsidR="004845D8" w:rsidRPr="00BD35F7" w:rsidRDefault="004845D8" w:rsidP="004845D8">
            <w:pPr>
              <w:jc w:val="right"/>
              <w:rPr>
                <w:sz w:val="18"/>
                <w:szCs w:val="18"/>
              </w:rPr>
            </w:pPr>
            <w:r>
              <w:rPr>
                <w:sz w:val="18"/>
                <w:szCs w:val="18"/>
              </w:rPr>
              <w:t>113</w:t>
            </w:r>
          </w:p>
        </w:tc>
      </w:tr>
      <w:tr w:rsidR="004845D8" w:rsidRPr="00604C75" w14:paraId="0386929F" w14:textId="77777777" w:rsidTr="00877CBD">
        <w:trPr>
          <w:trHeight w:val="57"/>
        </w:trPr>
        <w:tc>
          <w:tcPr>
            <w:tcW w:w="5921" w:type="dxa"/>
            <w:vAlign w:val="center"/>
          </w:tcPr>
          <w:p w14:paraId="40C01E67" w14:textId="77777777" w:rsidR="004845D8" w:rsidRPr="00604C75" w:rsidRDefault="004845D8" w:rsidP="004845D8">
            <w:pPr>
              <w:rPr>
                <w:b/>
                <w:sz w:val="18"/>
                <w:szCs w:val="18"/>
                <w:lang w:val="tr-TR"/>
              </w:rPr>
            </w:pPr>
            <w:r w:rsidRPr="00604C75">
              <w:rPr>
                <w:b/>
                <w:sz w:val="18"/>
                <w:szCs w:val="18"/>
                <w:lang w:val="tr-TR"/>
              </w:rPr>
              <w:t xml:space="preserve">Total </w:t>
            </w:r>
          </w:p>
        </w:tc>
        <w:tc>
          <w:tcPr>
            <w:tcW w:w="1210" w:type="dxa"/>
            <w:vAlign w:val="bottom"/>
          </w:tcPr>
          <w:p w14:paraId="255B2D50" w14:textId="77777777" w:rsidR="004845D8" w:rsidRPr="00BD35F7" w:rsidRDefault="004845D8" w:rsidP="004845D8">
            <w:pPr>
              <w:jc w:val="right"/>
              <w:rPr>
                <w:b/>
                <w:sz w:val="18"/>
                <w:szCs w:val="18"/>
              </w:rPr>
            </w:pPr>
            <w:r w:rsidRPr="00BD35F7">
              <w:rPr>
                <w:b/>
                <w:sz w:val="18"/>
                <w:szCs w:val="18"/>
              </w:rPr>
              <w:t>220,000</w:t>
            </w:r>
          </w:p>
        </w:tc>
        <w:tc>
          <w:tcPr>
            <w:tcW w:w="1016" w:type="dxa"/>
            <w:shd w:val="clear" w:color="auto" w:fill="auto"/>
            <w:vAlign w:val="bottom"/>
          </w:tcPr>
          <w:p w14:paraId="35E60C03" w14:textId="77777777" w:rsidR="004845D8" w:rsidRPr="00E7308F" w:rsidRDefault="004845D8" w:rsidP="004845D8">
            <w:pPr>
              <w:jc w:val="right"/>
              <w:rPr>
                <w:b/>
                <w:sz w:val="18"/>
                <w:szCs w:val="18"/>
              </w:rPr>
            </w:pPr>
            <w:r w:rsidRPr="00E7308F">
              <w:rPr>
                <w:b/>
                <w:sz w:val="18"/>
                <w:szCs w:val="18"/>
              </w:rPr>
              <w:t>-</w:t>
            </w:r>
          </w:p>
        </w:tc>
        <w:tc>
          <w:tcPr>
            <w:tcW w:w="1190" w:type="dxa"/>
            <w:shd w:val="clear" w:color="auto" w:fill="auto"/>
            <w:vAlign w:val="bottom"/>
          </w:tcPr>
          <w:p w14:paraId="5567A089" w14:textId="77777777" w:rsidR="004845D8" w:rsidRPr="00E7308F" w:rsidRDefault="004845D8" w:rsidP="004845D8">
            <w:pPr>
              <w:jc w:val="right"/>
              <w:rPr>
                <w:b/>
                <w:sz w:val="18"/>
                <w:szCs w:val="18"/>
              </w:rPr>
            </w:pPr>
            <w:r>
              <w:rPr>
                <w:b/>
                <w:sz w:val="18"/>
                <w:szCs w:val="18"/>
              </w:rPr>
              <w:t>113</w:t>
            </w:r>
          </w:p>
        </w:tc>
      </w:tr>
    </w:tbl>
    <w:p w14:paraId="5CB391FC" w14:textId="12A13BC3" w:rsidR="007C31A6" w:rsidRPr="006D0448" w:rsidRDefault="00931E2C" w:rsidP="006D0448">
      <w:pPr>
        <w:spacing w:before="60"/>
        <w:rPr>
          <w:sz w:val="16"/>
          <w:szCs w:val="20"/>
          <w:lang w:val="tr-TR"/>
        </w:rPr>
      </w:pPr>
      <w:r w:rsidRPr="006D0448">
        <w:rPr>
          <w:sz w:val="16"/>
          <w:szCs w:val="20"/>
          <w:lang w:val="tr-TR"/>
        </w:rPr>
        <w:t>(*)</w:t>
      </w:r>
      <w:r w:rsidR="008935A1" w:rsidRPr="006D0448">
        <w:rPr>
          <w:sz w:val="16"/>
          <w:szCs w:val="20"/>
          <w:lang w:val="tr-TR"/>
        </w:rPr>
        <w:t xml:space="preserve"> </w:t>
      </w:r>
      <w:r w:rsidR="00F92748" w:rsidRPr="006D0448">
        <w:rPr>
          <w:sz w:val="16"/>
          <w:szCs w:val="20"/>
          <w:lang w:val="tr-TR"/>
        </w:rPr>
        <w:t>Total of</w:t>
      </w:r>
      <w:r w:rsidR="007C31A6" w:rsidRPr="006D0448">
        <w:rPr>
          <w:sz w:val="16"/>
          <w:szCs w:val="20"/>
          <w:lang w:val="tr-TR"/>
        </w:rPr>
        <w:t xml:space="preserve"> purchase and sale</w:t>
      </w:r>
      <w:r w:rsidR="00877CBD" w:rsidRPr="006D0448">
        <w:rPr>
          <w:sz w:val="16"/>
          <w:szCs w:val="20"/>
          <w:lang w:val="tr-TR"/>
        </w:rPr>
        <w:t xml:space="preserve"> notional amounts</w:t>
      </w:r>
      <w:r w:rsidR="007C31A6" w:rsidRPr="006D0448">
        <w:rPr>
          <w:sz w:val="16"/>
          <w:szCs w:val="20"/>
          <w:lang w:val="tr-TR"/>
        </w:rPr>
        <w:t>.</w:t>
      </w:r>
    </w:p>
    <w:p w14:paraId="6FF46189" w14:textId="77777777" w:rsidR="007C31A6" w:rsidRPr="00604C75" w:rsidRDefault="007C31A6" w:rsidP="00931E2C">
      <w:pPr>
        <w:widowControl w:val="0"/>
        <w:spacing w:before="120" w:after="120"/>
        <w:jc w:val="both"/>
        <w:rPr>
          <w:sz w:val="20"/>
          <w:szCs w:val="20"/>
          <w:lang w:val="tr-TR"/>
        </w:rPr>
      </w:pPr>
      <w:r w:rsidRPr="00604C75">
        <w:rPr>
          <w:sz w:val="20"/>
          <w:szCs w:val="20"/>
          <w:lang w:val="tr-TR"/>
        </w:rPr>
        <w:t>The fair valuation methodology of the derivatives presented in the above table is disclosed in the accounting principles section of these financial statements in Section III. Note IV.</w:t>
      </w:r>
    </w:p>
    <w:p w14:paraId="4A9AFC8D" w14:textId="6A00BC06" w:rsidR="00195EDC" w:rsidRPr="00AF1C1D" w:rsidRDefault="00195EDC" w:rsidP="00195EDC">
      <w:pPr>
        <w:spacing w:before="120" w:after="120"/>
        <w:jc w:val="both"/>
        <w:rPr>
          <w:sz w:val="20"/>
          <w:szCs w:val="20"/>
          <w:lang w:val="en-GB"/>
        </w:rPr>
      </w:pPr>
      <w:r w:rsidRPr="009E3E34">
        <w:rPr>
          <w:sz w:val="20"/>
          <w:szCs w:val="20"/>
          <w:lang w:val="en-GB"/>
        </w:rPr>
        <w:t xml:space="preserve">Starting from 24 March 2014, the </w:t>
      </w:r>
      <w:r w:rsidR="002C3B01">
        <w:rPr>
          <w:sz w:val="20"/>
          <w:szCs w:val="20"/>
          <w:lang w:val="en-GB"/>
        </w:rPr>
        <w:t xml:space="preserve">Parent </w:t>
      </w:r>
      <w:r w:rsidRPr="009E3E34">
        <w:rPr>
          <w:sz w:val="20"/>
          <w:szCs w:val="20"/>
          <w:lang w:val="en-GB"/>
        </w:rPr>
        <w:t xml:space="preserve">Bank has hedged the fair value effects of changes in </w:t>
      </w:r>
      <w:proofErr w:type="spellStart"/>
      <w:r w:rsidRPr="009E3E34">
        <w:rPr>
          <w:sz w:val="20"/>
          <w:szCs w:val="20"/>
          <w:lang w:val="en-GB"/>
        </w:rPr>
        <w:t>libor</w:t>
      </w:r>
      <w:proofErr w:type="spellEnd"/>
      <w:r w:rsidRPr="009E3E34">
        <w:rPr>
          <w:sz w:val="20"/>
          <w:szCs w:val="20"/>
          <w:lang w:val="en-GB"/>
        </w:rPr>
        <w:t xml:space="preserve"> interest rates, fixed interest rate loans amounting TL </w:t>
      </w:r>
      <w:r w:rsidRPr="002E0729">
        <w:rPr>
          <w:sz w:val="20"/>
          <w:szCs w:val="20"/>
          <w:lang w:val="en-GB"/>
        </w:rPr>
        <w:t>38,204</w:t>
      </w:r>
      <w:r w:rsidRPr="009E3E34">
        <w:rPr>
          <w:sz w:val="20"/>
          <w:szCs w:val="20"/>
          <w:lang w:val="en-GB"/>
        </w:rPr>
        <w:t xml:space="preserve"> with maturity 3 years and TL </w:t>
      </w:r>
      <w:r w:rsidRPr="002E0729">
        <w:rPr>
          <w:sz w:val="20"/>
          <w:szCs w:val="20"/>
          <w:lang w:val="en-GB"/>
        </w:rPr>
        <w:t>56,723</w:t>
      </w:r>
      <w:r w:rsidRPr="009E3E34">
        <w:rPr>
          <w:sz w:val="20"/>
          <w:szCs w:val="20"/>
          <w:lang w:val="en-GB"/>
        </w:rPr>
        <w:t xml:space="preserve"> with maturity 5 years funding by using interest rate swaps. </w:t>
      </w:r>
      <w:r w:rsidR="00585017" w:rsidRPr="0000500D">
        <w:rPr>
          <w:sz w:val="20"/>
          <w:szCs w:val="20"/>
          <w:lang w:val="en-GB"/>
        </w:rPr>
        <w:t>The both nominal value of interest rate swaps is TL 55,000 with maturity 3 years and 5 years respectively.</w:t>
      </w:r>
    </w:p>
    <w:p w14:paraId="2168DBE5" w14:textId="77777777" w:rsidR="00213A29" w:rsidRPr="00604C75" w:rsidRDefault="00213A29" w:rsidP="00213A29">
      <w:pPr>
        <w:widowControl w:val="0"/>
        <w:spacing w:before="120" w:after="120"/>
        <w:jc w:val="both"/>
        <w:rPr>
          <w:sz w:val="20"/>
          <w:szCs w:val="20"/>
          <w:lang w:val="tr-TR"/>
        </w:rPr>
      </w:pPr>
      <w:r w:rsidRPr="00604C75">
        <w:rPr>
          <w:sz w:val="20"/>
          <w:szCs w:val="20"/>
          <w:lang w:val="tr-TR"/>
        </w:rPr>
        <w:t>The following table summarizes the effects of Fair Value Hedge Accounting.</w:t>
      </w:r>
    </w:p>
    <w:tbl>
      <w:tblPr>
        <w:tblW w:w="5000"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678"/>
        <w:gridCol w:w="2745"/>
        <w:gridCol w:w="1215"/>
        <w:gridCol w:w="1961"/>
        <w:gridCol w:w="1064"/>
        <w:gridCol w:w="901"/>
      </w:tblGrid>
      <w:tr w:rsidR="003A0C76" w:rsidRPr="004620F1" w14:paraId="32124B60" w14:textId="77777777" w:rsidTr="003A0C76">
        <w:trPr>
          <w:trHeight w:val="169"/>
        </w:trPr>
        <w:tc>
          <w:tcPr>
            <w:tcW w:w="878" w:type="pct"/>
            <w:vAlign w:val="bottom"/>
          </w:tcPr>
          <w:p w14:paraId="4EC8B60F" w14:textId="77777777" w:rsidR="00213A29" w:rsidRPr="004620F1" w:rsidRDefault="0081013F" w:rsidP="0081013F">
            <w:pPr>
              <w:rPr>
                <w:b/>
                <w:sz w:val="18"/>
                <w:szCs w:val="18"/>
                <w:lang w:val="tr-TR"/>
              </w:rPr>
            </w:pPr>
            <w:r>
              <w:rPr>
                <w:b/>
                <w:sz w:val="18"/>
                <w:szCs w:val="18"/>
                <w:lang w:val="tr-TR"/>
              </w:rPr>
              <w:t>31</w:t>
            </w:r>
            <w:r w:rsidR="00F51CB2" w:rsidRPr="004620F1">
              <w:rPr>
                <w:b/>
                <w:sz w:val="18"/>
                <w:szCs w:val="18"/>
                <w:lang w:val="tr-TR"/>
              </w:rPr>
              <w:t xml:space="preserve"> </w:t>
            </w:r>
            <w:r>
              <w:rPr>
                <w:b/>
                <w:sz w:val="18"/>
                <w:szCs w:val="18"/>
                <w:lang w:val="tr-TR"/>
              </w:rPr>
              <w:t>December</w:t>
            </w:r>
            <w:r w:rsidR="00E51C94" w:rsidRPr="004620F1">
              <w:rPr>
                <w:b/>
                <w:sz w:val="18"/>
                <w:szCs w:val="18"/>
                <w:lang w:val="tr-TR"/>
              </w:rPr>
              <w:t xml:space="preserve"> </w:t>
            </w:r>
            <w:r w:rsidR="00213A29" w:rsidRPr="004620F1">
              <w:rPr>
                <w:b/>
                <w:sz w:val="18"/>
                <w:szCs w:val="18"/>
                <w:lang w:val="tr-TR"/>
              </w:rPr>
              <w:t>2015</w:t>
            </w:r>
          </w:p>
        </w:tc>
        <w:tc>
          <w:tcPr>
            <w:tcW w:w="1435" w:type="pct"/>
            <w:vAlign w:val="bottom"/>
          </w:tcPr>
          <w:p w14:paraId="04FD3D70" w14:textId="77777777" w:rsidR="00213A29" w:rsidRPr="004620F1" w:rsidRDefault="00213A29" w:rsidP="00306CC4">
            <w:pPr>
              <w:rPr>
                <w:b/>
                <w:sz w:val="18"/>
                <w:szCs w:val="18"/>
                <w:lang w:val="tr-TR"/>
              </w:rPr>
            </w:pPr>
          </w:p>
        </w:tc>
        <w:tc>
          <w:tcPr>
            <w:tcW w:w="635" w:type="pct"/>
            <w:vAlign w:val="bottom"/>
          </w:tcPr>
          <w:p w14:paraId="022A98F4" w14:textId="77777777" w:rsidR="00213A29" w:rsidRPr="004620F1" w:rsidRDefault="00213A29" w:rsidP="00306CC4">
            <w:pPr>
              <w:rPr>
                <w:b/>
                <w:sz w:val="18"/>
                <w:szCs w:val="18"/>
                <w:lang w:val="tr-TR"/>
              </w:rPr>
            </w:pPr>
          </w:p>
        </w:tc>
        <w:tc>
          <w:tcPr>
            <w:tcW w:w="1025" w:type="pct"/>
            <w:vAlign w:val="bottom"/>
          </w:tcPr>
          <w:p w14:paraId="373A8303" w14:textId="77777777" w:rsidR="00213A29" w:rsidRPr="004620F1" w:rsidRDefault="00213A29" w:rsidP="00306CC4">
            <w:pPr>
              <w:jc w:val="right"/>
              <w:rPr>
                <w:b/>
                <w:sz w:val="18"/>
                <w:szCs w:val="18"/>
                <w:lang w:val="tr-TR"/>
              </w:rPr>
            </w:pPr>
          </w:p>
        </w:tc>
        <w:tc>
          <w:tcPr>
            <w:tcW w:w="1027" w:type="pct"/>
            <w:gridSpan w:val="2"/>
            <w:vAlign w:val="bottom"/>
          </w:tcPr>
          <w:p w14:paraId="5AC0D0AC" w14:textId="77777777" w:rsidR="00213A29" w:rsidRPr="004620F1" w:rsidRDefault="00213A29" w:rsidP="00306CC4">
            <w:pPr>
              <w:jc w:val="right"/>
              <w:rPr>
                <w:b/>
                <w:sz w:val="18"/>
                <w:szCs w:val="18"/>
                <w:lang w:val="tr-TR"/>
              </w:rPr>
            </w:pPr>
          </w:p>
        </w:tc>
      </w:tr>
      <w:tr w:rsidR="003A0C76" w:rsidRPr="004620F1" w14:paraId="1E17C91B" w14:textId="77777777" w:rsidTr="003A0C76">
        <w:trPr>
          <w:trHeight w:val="554"/>
        </w:trPr>
        <w:tc>
          <w:tcPr>
            <w:tcW w:w="878" w:type="pct"/>
          </w:tcPr>
          <w:p w14:paraId="02E26324" w14:textId="77777777" w:rsidR="00213A29" w:rsidRPr="004620F1" w:rsidRDefault="00213A29" w:rsidP="00306CC4">
            <w:pPr>
              <w:jc w:val="center"/>
              <w:rPr>
                <w:b/>
                <w:sz w:val="18"/>
                <w:szCs w:val="18"/>
                <w:lang w:val="tr-TR"/>
              </w:rPr>
            </w:pPr>
            <w:r w:rsidRPr="004620F1">
              <w:rPr>
                <w:b/>
                <w:sz w:val="18"/>
                <w:szCs w:val="18"/>
                <w:lang w:val="tr-TR"/>
              </w:rPr>
              <w:t xml:space="preserve">Hedging </w:t>
            </w:r>
          </w:p>
          <w:p w14:paraId="42021792" w14:textId="77777777" w:rsidR="00213A29" w:rsidRPr="004620F1" w:rsidRDefault="00213A29" w:rsidP="00306CC4">
            <w:pPr>
              <w:jc w:val="center"/>
              <w:rPr>
                <w:b/>
                <w:sz w:val="18"/>
                <w:szCs w:val="18"/>
                <w:lang w:val="tr-TR"/>
              </w:rPr>
            </w:pPr>
            <w:r w:rsidRPr="004620F1">
              <w:rPr>
                <w:b/>
                <w:sz w:val="18"/>
                <w:szCs w:val="18"/>
                <w:lang w:val="tr-TR"/>
              </w:rPr>
              <w:t xml:space="preserve">    Instrument</w:t>
            </w:r>
          </w:p>
        </w:tc>
        <w:tc>
          <w:tcPr>
            <w:tcW w:w="1435" w:type="pct"/>
          </w:tcPr>
          <w:p w14:paraId="21C29C60" w14:textId="77777777" w:rsidR="006D1D20" w:rsidRDefault="00213A29" w:rsidP="00306CC4">
            <w:pPr>
              <w:jc w:val="center"/>
              <w:rPr>
                <w:b/>
                <w:sz w:val="18"/>
                <w:szCs w:val="18"/>
                <w:lang w:val="tr-TR"/>
              </w:rPr>
            </w:pPr>
            <w:r w:rsidRPr="004620F1">
              <w:rPr>
                <w:b/>
                <w:sz w:val="18"/>
                <w:szCs w:val="18"/>
                <w:lang w:val="tr-TR"/>
              </w:rPr>
              <w:t>Hedged item</w:t>
            </w:r>
            <w:r w:rsidR="00AA1AA6">
              <w:rPr>
                <w:b/>
                <w:sz w:val="18"/>
                <w:szCs w:val="18"/>
                <w:lang w:val="tr-TR"/>
              </w:rPr>
              <w:t xml:space="preserve"> </w:t>
            </w:r>
          </w:p>
          <w:p w14:paraId="654F1E6C" w14:textId="41F5C8A5" w:rsidR="00213A29" w:rsidRPr="004620F1" w:rsidRDefault="00213A29" w:rsidP="00306CC4">
            <w:pPr>
              <w:jc w:val="center"/>
              <w:rPr>
                <w:b/>
                <w:sz w:val="18"/>
                <w:szCs w:val="18"/>
                <w:lang w:val="tr-TR"/>
              </w:rPr>
            </w:pPr>
            <w:r w:rsidRPr="004620F1">
              <w:rPr>
                <w:b/>
                <w:sz w:val="18"/>
                <w:szCs w:val="18"/>
                <w:lang w:val="tr-TR"/>
              </w:rPr>
              <w:t>(assets and liabilities)</w:t>
            </w:r>
          </w:p>
        </w:tc>
        <w:tc>
          <w:tcPr>
            <w:tcW w:w="635" w:type="pct"/>
          </w:tcPr>
          <w:p w14:paraId="67AB3D90" w14:textId="77777777" w:rsidR="006A696B" w:rsidRDefault="00213A29" w:rsidP="00306CC4">
            <w:pPr>
              <w:jc w:val="center"/>
              <w:rPr>
                <w:b/>
                <w:sz w:val="18"/>
                <w:szCs w:val="18"/>
                <w:lang w:val="tr-TR"/>
              </w:rPr>
            </w:pPr>
            <w:r w:rsidRPr="004620F1">
              <w:rPr>
                <w:b/>
                <w:sz w:val="18"/>
                <w:szCs w:val="18"/>
                <w:lang w:val="tr-TR"/>
              </w:rPr>
              <w:t xml:space="preserve">Hedged </w:t>
            </w:r>
          </w:p>
          <w:p w14:paraId="274EF2AC" w14:textId="2F65BEB7" w:rsidR="00213A29" w:rsidRPr="004620F1" w:rsidRDefault="00213A29" w:rsidP="00306CC4">
            <w:pPr>
              <w:jc w:val="center"/>
              <w:rPr>
                <w:b/>
                <w:sz w:val="18"/>
                <w:szCs w:val="18"/>
                <w:lang w:val="tr-TR"/>
              </w:rPr>
            </w:pPr>
            <w:r w:rsidRPr="004620F1">
              <w:rPr>
                <w:b/>
                <w:sz w:val="18"/>
                <w:szCs w:val="18"/>
                <w:lang w:val="tr-TR"/>
              </w:rPr>
              <w:t>risks</w:t>
            </w:r>
          </w:p>
        </w:tc>
        <w:tc>
          <w:tcPr>
            <w:tcW w:w="1025" w:type="pct"/>
          </w:tcPr>
          <w:p w14:paraId="1AC0775E" w14:textId="7034C5A9" w:rsidR="00213A29" w:rsidRPr="004620F1" w:rsidRDefault="00213A29" w:rsidP="00306CC4">
            <w:pPr>
              <w:jc w:val="center"/>
              <w:rPr>
                <w:b/>
                <w:sz w:val="18"/>
                <w:szCs w:val="18"/>
                <w:lang w:val="tr-TR"/>
              </w:rPr>
            </w:pPr>
            <w:r w:rsidRPr="004620F1">
              <w:rPr>
                <w:b/>
                <w:sz w:val="18"/>
                <w:szCs w:val="18"/>
                <w:lang w:val="tr-TR"/>
              </w:rPr>
              <w:t>Fair value</w:t>
            </w:r>
            <w:r w:rsidR="006A696B">
              <w:rPr>
                <w:b/>
                <w:sz w:val="18"/>
                <w:szCs w:val="18"/>
                <w:lang w:val="tr-TR"/>
              </w:rPr>
              <w:t xml:space="preserve"> </w:t>
            </w:r>
            <w:r w:rsidRPr="004620F1">
              <w:rPr>
                <w:b/>
                <w:sz w:val="18"/>
                <w:szCs w:val="18"/>
                <w:lang w:val="tr-TR"/>
              </w:rPr>
              <w:t>difference/</w:t>
            </w:r>
          </w:p>
          <w:p w14:paraId="64B0248B" w14:textId="77777777" w:rsidR="00213A29" w:rsidRPr="004620F1" w:rsidRDefault="00213A29" w:rsidP="00306CC4">
            <w:pPr>
              <w:jc w:val="center"/>
              <w:rPr>
                <w:b/>
                <w:sz w:val="18"/>
                <w:szCs w:val="18"/>
                <w:lang w:val="tr-TR"/>
              </w:rPr>
            </w:pPr>
            <w:r w:rsidRPr="004620F1">
              <w:rPr>
                <w:b/>
                <w:sz w:val="18"/>
                <w:szCs w:val="18"/>
                <w:lang w:val="tr-TR"/>
              </w:rPr>
              <w:t xml:space="preserve">adjustment of </w:t>
            </w:r>
          </w:p>
          <w:p w14:paraId="5476C8B4" w14:textId="77777777" w:rsidR="00213A29" w:rsidRPr="004620F1" w:rsidRDefault="00213A29" w:rsidP="00306CC4">
            <w:pPr>
              <w:jc w:val="center"/>
              <w:rPr>
                <w:b/>
                <w:sz w:val="18"/>
                <w:szCs w:val="18"/>
                <w:lang w:val="tr-TR"/>
              </w:rPr>
            </w:pPr>
            <w:r w:rsidRPr="004620F1">
              <w:rPr>
                <w:b/>
                <w:sz w:val="18"/>
                <w:szCs w:val="18"/>
                <w:lang w:val="tr-TR"/>
              </w:rPr>
              <w:t>the hedged item</w:t>
            </w:r>
          </w:p>
        </w:tc>
        <w:tc>
          <w:tcPr>
            <w:tcW w:w="1027" w:type="pct"/>
            <w:gridSpan w:val="2"/>
          </w:tcPr>
          <w:p w14:paraId="6BFE83EB" w14:textId="77777777" w:rsidR="00213A29" w:rsidRPr="004620F1" w:rsidRDefault="00213A29" w:rsidP="00306CC4">
            <w:pPr>
              <w:jc w:val="center"/>
              <w:rPr>
                <w:b/>
                <w:sz w:val="18"/>
                <w:szCs w:val="18"/>
                <w:lang w:val="tr-TR"/>
              </w:rPr>
            </w:pPr>
            <w:r w:rsidRPr="004620F1">
              <w:rPr>
                <w:b/>
                <w:sz w:val="18"/>
                <w:szCs w:val="18"/>
                <w:lang w:val="tr-TR"/>
              </w:rPr>
              <w:t>Net fair value of hedging instrument</w:t>
            </w:r>
          </w:p>
        </w:tc>
      </w:tr>
      <w:tr w:rsidR="003A0C76" w:rsidRPr="004620F1" w14:paraId="0DD4AD64" w14:textId="77777777" w:rsidTr="003A0C76">
        <w:trPr>
          <w:trHeight w:val="169"/>
        </w:trPr>
        <w:tc>
          <w:tcPr>
            <w:tcW w:w="878" w:type="pct"/>
            <w:vAlign w:val="bottom"/>
          </w:tcPr>
          <w:p w14:paraId="118AD8AB" w14:textId="77777777" w:rsidR="00213A29" w:rsidRPr="004620F1" w:rsidRDefault="00213A29" w:rsidP="00306CC4">
            <w:pPr>
              <w:rPr>
                <w:sz w:val="18"/>
                <w:szCs w:val="18"/>
                <w:lang w:val="tr-TR"/>
              </w:rPr>
            </w:pPr>
          </w:p>
        </w:tc>
        <w:tc>
          <w:tcPr>
            <w:tcW w:w="1435" w:type="pct"/>
            <w:vAlign w:val="bottom"/>
          </w:tcPr>
          <w:p w14:paraId="16A6D305" w14:textId="77777777" w:rsidR="00213A29" w:rsidRPr="004620F1" w:rsidRDefault="00213A29" w:rsidP="00306CC4">
            <w:pPr>
              <w:rPr>
                <w:sz w:val="18"/>
                <w:szCs w:val="18"/>
                <w:lang w:val="tr-TR"/>
              </w:rPr>
            </w:pPr>
          </w:p>
        </w:tc>
        <w:tc>
          <w:tcPr>
            <w:tcW w:w="635" w:type="pct"/>
            <w:vAlign w:val="bottom"/>
          </w:tcPr>
          <w:p w14:paraId="18FA1174" w14:textId="77777777" w:rsidR="00213A29" w:rsidRPr="004620F1" w:rsidRDefault="00213A29" w:rsidP="00306CC4">
            <w:pPr>
              <w:rPr>
                <w:sz w:val="18"/>
                <w:szCs w:val="18"/>
                <w:lang w:val="tr-TR"/>
              </w:rPr>
            </w:pPr>
          </w:p>
        </w:tc>
        <w:tc>
          <w:tcPr>
            <w:tcW w:w="1025" w:type="pct"/>
            <w:vAlign w:val="bottom"/>
          </w:tcPr>
          <w:p w14:paraId="4C7C502E" w14:textId="77777777" w:rsidR="00213A29" w:rsidRPr="004620F1" w:rsidRDefault="00213A29" w:rsidP="00306CC4">
            <w:pPr>
              <w:jc w:val="right"/>
              <w:rPr>
                <w:b/>
                <w:sz w:val="18"/>
                <w:szCs w:val="18"/>
                <w:lang w:val="tr-TR"/>
              </w:rPr>
            </w:pPr>
          </w:p>
        </w:tc>
        <w:tc>
          <w:tcPr>
            <w:tcW w:w="556" w:type="pct"/>
          </w:tcPr>
          <w:p w14:paraId="581CC1A9" w14:textId="77777777" w:rsidR="00213A29" w:rsidRPr="004620F1" w:rsidRDefault="00213A29" w:rsidP="006A696B">
            <w:pPr>
              <w:jc w:val="center"/>
              <w:rPr>
                <w:b/>
                <w:sz w:val="18"/>
                <w:szCs w:val="18"/>
                <w:lang w:val="tr-TR"/>
              </w:rPr>
            </w:pPr>
            <w:r w:rsidRPr="004620F1">
              <w:rPr>
                <w:b/>
                <w:sz w:val="18"/>
                <w:szCs w:val="18"/>
                <w:lang w:val="tr-TR"/>
              </w:rPr>
              <w:t>Asset</w:t>
            </w:r>
          </w:p>
        </w:tc>
        <w:tc>
          <w:tcPr>
            <w:tcW w:w="471" w:type="pct"/>
          </w:tcPr>
          <w:p w14:paraId="623E5F23" w14:textId="77777777" w:rsidR="00213A29" w:rsidRPr="004620F1" w:rsidRDefault="00213A29" w:rsidP="006A696B">
            <w:pPr>
              <w:jc w:val="center"/>
              <w:rPr>
                <w:b/>
                <w:sz w:val="18"/>
                <w:szCs w:val="18"/>
                <w:lang w:val="tr-TR"/>
              </w:rPr>
            </w:pPr>
            <w:r w:rsidRPr="004620F1">
              <w:rPr>
                <w:b/>
                <w:sz w:val="18"/>
                <w:szCs w:val="18"/>
                <w:lang w:val="tr-TR"/>
              </w:rPr>
              <w:t>Liability</w:t>
            </w:r>
          </w:p>
        </w:tc>
      </w:tr>
      <w:tr w:rsidR="003A0C76" w:rsidRPr="00604C75" w14:paraId="24658230" w14:textId="77777777" w:rsidTr="003A0C76">
        <w:trPr>
          <w:trHeight w:val="554"/>
        </w:trPr>
        <w:tc>
          <w:tcPr>
            <w:tcW w:w="878" w:type="pct"/>
            <w:vAlign w:val="bottom"/>
          </w:tcPr>
          <w:p w14:paraId="330C897B" w14:textId="77777777" w:rsidR="004845D8" w:rsidRPr="004620F1" w:rsidRDefault="004845D8" w:rsidP="004845D8">
            <w:pPr>
              <w:rPr>
                <w:sz w:val="18"/>
                <w:szCs w:val="18"/>
                <w:lang w:val="tr-TR"/>
              </w:rPr>
            </w:pPr>
            <w:r w:rsidRPr="004620F1">
              <w:rPr>
                <w:sz w:val="18"/>
                <w:szCs w:val="18"/>
                <w:lang w:val="tr-TR"/>
              </w:rPr>
              <w:t>Interest swap transactions</w:t>
            </w:r>
          </w:p>
        </w:tc>
        <w:tc>
          <w:tcPr>
            <w:tcW w:w="1435" w:type="pct"/>
            <w:vAlign w:val="bottom"/>
          </w:tcPr>
          <w:p w14:paraId="0302F759" w14:textId="77777777" w:rsidR="004845D8" w:rsidRPr="004620F1" w:rsidRDefault="004845D8" w:rsidP="004845D8">
            <w:pPr>
              <w:rPr>
                <w:sz w:val="18"/>
                <w:szCs w:val="18"/>
                <w:lang w:val="tr-TR"/>
              </w:rPr>
            </w:pPr>
            <w:r w:rsidRPr="004620F1">
              <w:rPr>
                <w:sz w:val="18"/>
                <w:szCs w:val="18"/>
                <w:lang w:val="tr-TR"/>
              </w:rPr>
              <w:t>Fixed rate equal installments paid commercial installment loans</w:t>
            </w:r>
          </w:p>
        </w:tc>
        <w:tc>
          <w:tcPr>
            <w:tcW w:w="635" w:type="pct"/>
            <w:vAlign w:val="bottom"/>
          </w:tcPr>
          <w:p w14:paraId="2CD62DA4" w14:textId="77777777" w:rsidR="006A696B" w:rsidRDefault="006A696B" w:rsidP="006A696B">
            <w:pPr>
              <w:rPr>
                <w:sz w:val="18"/>
                <w:szCs w:val="18"/>
                <w:lang w:val="tr-TR"/>
              </w:rPr>
            </w:pPr>
            <w:r>
              <w:rPr>
                <w:sz w:val="18"/>
                <w:szCs w:val="18"/>
                <w:lang w:val="tr-TR"/>
              </w:rPr>
              <w:t>Fixed interest</w:t>
            </w:r>
          </w:p>
          <w:p w14:paraId="23D7C5A2" w14:textId="18E1E335" w:rsidR="004845D8" w:rsidRPr="004620F1" w:rsidRDefault="004845D8" w:rsidP="006A696B">
            <w:pPr>
              <w:rPr>
                <w:sz w:val="18"/>
                <w:szCs w:val="18"/>
                <w:lang w:val="tr-TR"/>
              </w:rPr>
            </w:pPr>
            <w:r w:rsidRPr="004620F1">
              <w:rPr>
                <w:sz w:val="18"/>
                <w:szCs w:val="18"/>
                <w:lang w:val="tr-TR"/>
              </w:rPr>
              <w:t xml:space="preserve">rate risk </w:t>
            </w:r>
          </w:p>
        </w:tc>
        <w:tc>
          <w:tcPr>
            <w:tcW w:w="1025" w:type="pct"/>
            <w:shd w:val="clear" w:color="auto" w:fill="auto"/>
            <w:vAlign w:val="bottom"/>
          </w:tcPr>
          <w:p w14:paraId="27C5A974" w14:textId="77777777" w:rsidR="004845D8" w:rsidRPr="00EA3453" w:rsidRDefault="004845D8" w:rsidP="004845D8">
            <w:pPr>
              <w:jc w:val="right"/>
              <w:rPr>
                <w:sz w:val="18"/>
                <w:szCs w:val="18"/>
              </w:rPr>
            </w:pPr>
            <w:r>
              <w:rPr>
                <w:sz w:val="18"/>
                <w:szCs w:val="18"/>
              </w:rPr>
              <w:t>768</w:t>
            </w:r>
          </w:p>
        </w:tc>
        <w:tc>
          <w:tcPr>
            <w:tcW w:w="556" w:type="pct"/>
            <w:vAlign w:val="bottom"/>
          </w:tcPr>
          <w:p w14:paraId="65028A33" w14:textId="77777777" w:rsidR="004845D8" w:rsidRPr="00EA3453" w:rsidRDefault="004845D8" w:rsidP="004845D8">
            <w:pPr>
              <w:jc w:val="right"/>
              <w:rPr>
                <w:sz w:val="18"/>
                <w:szCs w:val="18"/>
              </w:rPr>
            </w:pPr>
            <w:r>
              <w:rPr>
                <w:sz w:val="18"/>
                <w:szCs w:val="18"/>
              </w:rPr>
              <w:t>-</w:t>
            </w:r>
          </w:p>
        </w:tc>
        <w:tc>
          <w:tcPr>
            <w:tcW w:w="471" w:type="pct"/>
            <w:shd w:val="clear" w:color="auto" w:fill="auto"/>
            <w:vAlign w:val="bottom"/>
          </w:tcPr>
          <w:p w14:paraId="2D7CB62C" w14:textId="77777777" w:rsidR="004845D8" w:rsidRPr="00EA3453" w:rsidRDefault="004845D8" w:rsidP="004845D8">
            <w:pPr>
              <w:jc w:val="right"/>
              <w:rPr>
                <w:sz w:val="18"/>
                <w:szCs w:val="18"/>
              </w:rPr>
            </w:pPr>
            <w:r>
              <w:rPr>
                <w:sz w:val="18"/>
                <w:szCs w:val="18"/>
              </w:rPr>
              <w:t>113</w:t>
            </w:r>
          </w:p>
        </w:tc>
      </w:tr>
    </w:tbl>
    <w:p w14:paraId="65403ADC" w14:textId="2FA1A7B3" w:rsidR="007C31A6" w:rsidRPr="00604C75" w:rsidRDefault="007C31A6" w:rsidP="001A4238">
      <w:pPr>
        <w:autoSpaceDE w:val="0"/>
        <w:autoSpaceDN w:val="0"/>
        <w:adjustRightInd w:val="0"/>
        <w:spacing w:before="120"/>
        <w:jc w:val="both"/>
        <w:rPr>
          <w:sz w:val="20"/>
          <w:szCs w:val="20"/>
          <w:lang w:val="en-GB"/>
        </w:rPr>
      </w:pPr>
      <w:r w:rsidRPr="00604C75">
        <w:rPr>
          <w:sz w:val="20"/>
          <w:szCs w:val="20"/>
          <w:lang w:val="en-GB"/>
        </w:rPr>
        <w:t xml:space="preserve">The </w:t>
      </w:r>
      <w:r w:rsidR="002C3B01">
        <w:rPr>
          <w:sz w:val="20"/>
          <w:szCs w:val="20"/>
          <w:lang w:val="en-GB"/>
        </w:rPr>
        <w:t xml:space="preserve">Parent </w:t>
      </w:r>
      <w:r w:rsidRPr="00604C75">
        <w:rPr>
          <w:sz w:val="20"/>
          <w:szCs w:val="20"/>
          <w:lang w:val="en-GB"/>
        </w:rPr>
        <w:t>Bank evaluates the method of hedge whether to be effective on the expected changes in fair values in this process or not or each result of hedge effectiveness whether to be between the range of 80% and 125%.</w:t>
      </w:r>
    </w:p>
    <w:p w14:paraId="6C1EF870" w14:textId="5E91A93E" w:rsidR="00582C5E" w:rsidRPr="00604C75" w:rsidRDefault="007C31A6" w:rsidP="00E83EAC">
      <w:pPr>
        <w:autoSpaceDE w:val="0"/>
        <w:autoSpaceDN w:val="0"/>
        <w:adjustRightInd w:val="0"/>
        <w:spacing w:before="120" w:after="120"/>
        <w:jc w:val="both"/>
        <w:rPr>
          <w:sz w:val="20"/>
          <w:szCs w:val="20"/>
          <w:lang w:val="en-GB"/>
        </w:rPr>
      </w:pPr>
      <w:r w:rsidRPr="00604C75">
        <w:rPr>
          <w:sz w:val="20"/>
          <w:szCs w:val="20"/>
          <w:lang w:val="en-GB"/>
        </w:rPr>
        <w:t>Changes in fair values of derivative transactions determined as hedge for fair value are recorded in profit or loss together with changes in hedging asset or liability. The difference in current values of derivative transactions fair value hedge is shown in “Trading Gains/Losses on derivative financial instruments” account. In the balance sheet, change in fair value of hedge asset or liability during the hedge accounting to be effective is shown with the related asset or liability.</w:t>
      </w:r>
      <w:r w:rsidRPr="00604C75">
        <w:rPr>
          <w:lang w:val="en-GB"/>
        </w:rPr>
        <w:t xml:space="preserve"> </w:t>
      </w:r>
      <w:r w:rsidRPr="00604C75">
        <w:rPr>
          <w:sz w:val="20"/>
          <w:szCs w:val="20"/>
          <w:lang w:val="en-GB"/>
        </w:rPr>
        <w:t xml:space="preserve">If the underlying hedge does not conform to the hedge accounting requirements, according to the adjustments made to the carrying value (amortised cost) of the hedged item, for which the risk is hedged by a portfolio hedge, are amortized with the straight line method within the time to maturity and recognized under the “Trading gains </w:t>
      </w:r>
      <w:r w:rsidR="00196A0E">
        <w:rPr>
          <w:sz w:val="20"/>
          <w:szCs w:val="20"/>
          <w:lang w:val="en-GB"/>
        </w:rPr>
        <w:t>/</w:t>
      </w:r>
      <w:r w:rsidRPr="00604C75">
        <w:rPr>
          <w:sz w:val="20"/>
          <w:szCs w:val="20"/>
          <w:lang w:val="en-GB"/>
        </w:rPr>
        <w:t xml:space="preserve"> losses on derivative financial instruments” account. </w:t>
      </w:r>
    </w:p>
    <w:p w14:paraId="7B2DDDD1" w14:textId="2147D772" w:rsidR="00E40525" w:rsidRPr="00604C75" w:rsidRDefault="001A4238" w:rsidP="00AD726D">
      <w:pPr>
        <w:pStyle w:val="NormalIndent"/>
        <w:tabs>
          <w:tab w:val="left" w:pos="567"/>
        </w:tabs>
        <w:ind w:left="567" w:hanging="567"/>
        <w:jc w:val="both"/>
        <w:rPr>
          <w:b/>
          <w:caps/>
        </w:rPr>
      </w:pPr>
      <w:r w:rsidRPr="00604C75">
        <w:rPr>
          <w:b/>
          <w:caps/>
        </w:rPr>
        <w:t>X</w:t>
      </w:r>
      <w:r w:rsidR="0081013F">
        <w:rPr>
          <w:b/>
          <w:caps/>
        </w:rPr>
        <w:t>I</w:t>
      </w:r>
      <w:r w:rsidR="00FC2264">
        <w:rPr>
          <w:b/>
          <w:caps/>
        </w:rPr>
        <w:t>I</w:t>
      </w:r>
      <w:r w:rsidR="00E40525" w:rsidRPr="00604C75">
        <w:rPr>
          <w:b/>
          <w:caps/>
        </w:rPr>
        <w:t>.</w:t>
      </w:r>
      <w:r w:rsidR="00E40525" w:rsidRPr="00604C75">
        <w:rPr>
          <w:b/>
          <w:caps/>
        </w:rPr>
        <w:tab/>
      </w:r>
      <w:r w:rsidRPr="00604C75">
        <w:rPr>
          <w:b/>
          <w:caps/>
        </w:rPr>
        <w:t xml:space="preserve"> </w:t>
      </w:r>
      <w:r w:rsidR="00213A29" w:rsidRPr="00604C75">
        <w:rPr>
          <w:b/>
        </w:rPr>
        <w:t>Explanations</w:t>
      </w:r>
      <w:r w:rsidR="00213A29" w:rsidRPr="00604C75">
        <w:rPr>
          <w:b/>
          <w:caps/>
        </w:rPr>
        <w:t xml:space="preserve"> </w:t>
      </w:r>
      <w:r w:rsidR="00213A29" w:rsidRPr="00604C75">
        <w:rPr>
          <w:b/>
        </w:rPr>
        <w:t xml:space="preserve">Related to Transactions Made on Behalf of Others and Transaction Based on Trust </w:t>
      </w:r>
    </w:p>
    <w:p w14:paraId="29A381F4" w14:textId="77777777" w:rsidR="00D42798" w:rsidRPr="00604C75" w:rsidRDefault="00D42798" w:rsidP="001A4238">
      <w:pPr>
        <w:pStyle w:val="NormalIndent"/>
        <w:tabs>
          <w:tab w:val="left" w:pos="851"/>
        </w:tabs>
        <w:ind w:left="0"/>
        <w:jc w:val="both"/>
        <w:rPr>
          <w:b/>
          <w:caps/>
        </w:rPr>
      </w:pPr>
    </w:p>
    <w:p w14:paraId="00BD3E31" w14:textId="77777777" w:rsidR="00A55C67" w:rsidRPr="00604C75" w:rsidRDefault="00201171" w:rsidP="001A4238">
      <w:pPr>
        <w:pStyle w:val="BodyTextIndent"/>
        <w:spacing w:line="216" w:lineRule="auto"/>
        <w:ind w:left="0"/>
        <w:jc w:val="both"/>
        <w:rPr>
          <w:sz w:val="20"/>
          <w:szCs w:val="20"/>
          <w:lang w:val="tr-TR"/>
        </w:rPr>
      </w:pPr>
      <w:r w:rsidRPr="00604C75">
        <w:rPr>
          <w:sz w:val="20"/>
          <w:szCs w:val="20"/>
          <w:lang w:val="tr-TR"/>
        </w:rPr>
        <w:t xml:space="preserve">The </w:t>
      </w:r>
      <w:r w:rsidR="00F33373" w:rsidRPr="00604C75">
        <w:rPr>
          <w:sz w:val="20"/>
          <w:szCs w:val="20"/>
          <w:lang w:val="tr-TR"/>
        </w:rPr>
        <w:t xml:space="preserve">Parent </w:t>
      </w:r>
      <w:r w:rsidRPr="00604C75">
        <w:rPr>
          <w:sz w:val="20"/>
          <w:szCs w:val="20"/>
          <w:lang w:val="tr-TR"/>
        </w:rPr>
        <w:t>Bank carries out trading and custody services on behalf of customers and on their account. The details of the items held in custody are summarized in off-balance sheet commitments.</w:t>
      </w:r>
    </w:p>
    <w:p w14:paraId="77079B64" w14:textId="360F032C" w:rsidR="005E33B0" w:rsidRPr="00EB305B" w:rsidRDefault="005E33B0" w:rsidP="00EB305B">
      <w:pPr>
        <w:pageBreakBefore/>
        <w:jc w:val="center"/>
        <w:rPr>
          <w:b/>
          <w:sz w:val="20"/>
          <w:szCs w:val="20"/>
        </w:rPr>
      </w:pPr>
      <w:r w:rsidRPr="00EB305B">
        <w:rPr>
          <w:b/>
          <w:sz w:val="20"/>
          <w:szCs w:val="20"/>
        </w:rPr>
        <w:lastRenderedPageBreak/>
        <w:t>SECTION FIVE</w:t>
      </w:r>
    </w:p>
    <w:p w14:paraId="4F21EB79" w14:textId="646765D4" w:rsidR="005E33B0" w:rsidRPr="00EB305B" w:rsidRDefault="005E33B0" w:rsidP="00EB305B">
      <w:pPr>
        <w:spacing w:before="120"/>
        <w:jc w:val="center"/>
        <w:rPr>
          <w:b/>
          <w:bCs/>
          <w:sz w:val="20"/>
          <w:szCs w:val="20"/>
        </w:rPr>
      </w:pPr>
      <w:r w:rsidRPr="00EB305B">
        <w:rPr>
          <w:b/>
          <w:sz w:val="20"/>
          <w:szCs w:val="20"/>
        </w:rPr>
        <w:t xml:space="preserve">EXPLANATIONS AND </w:t>
      </w:r>
      <w:r w:rsidR="00EB305B" w:rsidRPr="00EB305B">
        <w:rPr>
          <w:b/>
          <w:sz w:val="20"/>
          <w:szCs w:val="20"/>
        </w:rPr>
        <w:t>NOTES</w:t>
      </w:r>
      <w:r w:rsidR="0021769C" w:rsidRPr="00EB305B">
        <w:rPr>
          <w:b/>
          <w:sz w:val="20"/>
          <w:szCs w:val="20"/>
        </w:rPr>
        <w:t xml:space="preserve"> ON</w:t>
      </w:r>
      <w:r w:rsidR="00EB305B" w:rsidRPr="00EB305B">
        <w:rPr>
          <w:b/>
          <w:sz w:val="20"/>
          <w:szCs w:val="20"/>
        </w:rPr>
        <w:t xml:space="preserve"> THE</w:t>
      </w:r>
      <w:r w:rsidR="0021769C" w:rsidRPr="00EB305B" w:rsidDel="0021769C">
        <w:rPr>
          <w:b/>
          <w:sz w:val="20"/>
          <w:szCs w:val="20"/>
        </w:rPr>
        <w:t xml:space="preserve"> </w:t>
      </w:r>
      <w:r w:rsidRPr="00EB305B">
        <w:rPr>
          <w:b/>
          <w:sz w:val="20"/>
          <w:szCs w:val="20"/>
        </w:rPr>
        <w:t>CONSOLIDATED FINANCIAL STATEMENTS</w:t>
      </w:r>
    </w:p>
    <w:p w14:paraId="63536163" w14:textId="77777777" w:rsidR="005E33B0" w:rsidRPr="00604C75" w:rsidRDefault="005E33B0" w:rsidP="00C22AF8">
      <w:pPr>
        <w:ind w:left="851"/>
        <w:jc w:val="both"/>
        <w:rPr>
          <w:bCs/>
          <w:sz w:val="16"/>
          <w:szCs w:val="16"/>
        </w:rPr>
      </w:pPr>
    </w:p>
    <w:p w14:paraId="10CC0A67" w14:textId="14137558" w:rsidR="005E33B0" w:rsidRPr="00604C75" w:rsidRDefault="00F45A18" w:rsidP="00C22AF8">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185948" w:rsidRPr="00604C75">
        <w:rPr>
          <w:rFonts w:ascii="Times New Roman" w:hAnsi="Times New Roman"/>
          <w:caps/>
          <w:sz w:val="20"/>
        </w:rPr>
        <w:t xml:space="preserve">       </w:t>
      </w:r>
      <w:r w:rsidR="002C004A" w:rsidRPr="00604C75">
        <w:rPr>
          <w:rFonts w:ascii="Times New Roman" w:hAnsi="Times New Roman"/>
          <w:sz w:val="20"/>
        </w:rPr>
        <w:t>Explanations</w:t>
      </w:r>
      <w:r w:rsidR="002C004A" w:rsidRPr="00604C75" w:rsidDel="002C004A">
        <w:rPr>
          <w:rFonts w:ascii="Times New Roman" w:hAnsi="Times New Roman"/>
          <w:caps/>
          <w:sz w:val="20"/>
        </w:rPr>
        <w:t xml:space="preserve"> </w:t>
      </w:r>
      <w:r w:rsidR="002C004A" w:rsidRPr="00604C75">
        <w:rPr>
          <w:rFonts w:ascii="Times New Roman" w:hAnsi="Times New Roman"/>
          <w:sz w:val="20"/>
        </w:rPr>
        <w:t xml:space="preserve">and Notes </w:t>
      </w:r>
      <w:r w:rsidR="00647320">
        <w:rPr>
          <w:rFonts w:ascii="Times New Roman" w:hAnsi="Times New Roman"/>
          <w:sz w:val="20"/>
        </w:rPr>
        <w:t xml:space="preserve">on </w:t>
      </w:r>
      <w:r w:rsidR="002C004A" w:rsidRPr="00604C75">
        <w:rPr>
          <w:rFonts w:ascii="Times New Roman" w:hAnsi="Times New Roman"/>
          <w:sz w:val="20"/>
        </w:rPr>
        <w:t>Assets</w:t>
      </w:r>
      <w:r w:rsidR="002C004A" w:rsidRPr="00604C75" w:rsidDel="002C004A">
        <w:rPr>
          <w:rFonts w:ascii="Times New Roman" w:hAnsi="Times New Roman"/>
          <w:caps/>
          <w:sz w:val="20"/>
        </w:rPr>
        <w:t xml:space="preserve"> </w:t>
      </w:r>
    </w:p>
    <w:p w14:paraId="7EB7D96C" w14:textId="77777777" w:rsidR="005E33B0" w:rsidRPr="00604C75" w:rsidRDefault="005E33B0" w:rsidP="00C22AF8">
      <w:pPr>
        <w:ind w:left="1276"/>
        <w:jc w:val="both"/>
        <w:rPr>
          <w:sz w:val="16"/>
          <w:szCs w:val="16"/>
        </w:rPr>
      </w:pPr>
    </w:p>
    <w:p w14:paraId="6E1CF36D" w14:textId="77777777" w:rsidR="00AE5689" w:rsidRPr="00604C75" w:rsidRDefault="00185948" w:rsidP="00185948">
      <w:pPr>
        <w:pStyle w:val="BodyTextIndent"/>
        <w:tabs>
          <w:tab w:val="left" w:pos="0"/>
        </w:tabs>
        <w:spacing w:after="0"/>
        <w:ind w:left="0"/>
        <w:rPr>
          <w:b/>
          <w:sz w:val="20"/>
          <w:szCs w:val="20"/>
        </w:rPr>
      </w:pPr>
      <w:r w:rsidRPr="00604C75">
        <w:rPr>
          <w:b/>
          <w:sz w:val="20"/>
          <w:szCs w:val="20"/>
        </w:rPr>
        <w:t xml:space="preserve">a.        </w:t>
      </w:r>
      <w:r w:rsidR="00AE5689" w:rsidRPr="00604C75">
        <w:rPr>
          <w:b/>
          <w:sz w:val="20"/>
          <w:szCs w:val="20"/>
        </w:rPr>
        <w:t>Information on Cash and Balances with the Central Bank of Republic of Turkey (“CBRT”)</w:t>
      </w:r>
    </w:p>
    <w:p w14:paraId="67B38BB7" w14:textId="77777777" w:rsidR="005E33B0" w:rsidRPr="00604C75" w:rsidRDefault="005E33B0" w:rsidP="00185948">
      <w:pPr>
        <w:pStyle w:val="BodyTextIndent"/>
        <w:tabs>
          <w:tab w:val="left" w:pos="0"/>
        </w:tabs>
        <w:spacing w:after="0"/>
        <w:ind w:left="0"/>
        <w:rPr>
          <w:sz w:val="16"/>
          <w:szCs w:val="16"/>
        </w:rPr>
      </w:pPr>
    </w:p>
    <w:p w14:paraId="6E03D3B4" w14:textId="77777777" w:rsidR="005E33B0" w:rsidRPr="00604C75" w:rsidRDefault="00FE00EE" w:rsidP="008477F3">
      <w:pPr>
        <w:pStyle w:val="BodyTextIndent"/>
        <w:numPr>
          <w:ilvl w:val="0"/>
          <w:numId w:val="15"/>
        </w:numPr>
        <w:tabs>
          <w:tab w:val="clear" w:pos="1440"/>
          <w:tab w:val="left" w:pos="0"/>
          <w:tab w:val="left" w:pos="567"/>
        </w:tabs>
        <w:spacing w:after="0"/>
        <w:ind w:left="0" w:firstLine="0"/>
        <w:jc w:val="both"/>
        <w:rPr>
          <w:sz w:val="20"/>
          <w:szCs w:val="20"/>
        </w:rPr>
      </w:pPr>
      <w:r w:rsidRPr="00604C75">
        <w:rPr>
          <w:sz w:val="20"/>
          <w:szCs w:val="20"/>
        </w:rPr>
        <w:t>Information on cash and the account of the CBRT</w:t>
      </w:r>
    </w:p>
    <w:p w14:paraId="23DD93A2" w14:textId="77777777" w:rsidR="005E33B0" w:rsidRPr="00604C75" w:rsidRDefault="005E33B0" w:rsidP="00185948">
      <w:pPr>
        <w:pStyle w:val="BodyTextIndent"/>
        <w:tabs>
          <w:tab w:val="left" w:pos="0"/>
        </w:tabs>
        <w:spacing w:after="0"/>
        <w:ind w:left="0"/>
        <w:rPr>
          <w:bCs/>
          <w:sz w:val="16"/>
          <w:szCs w:val="16"/>
        </w:rPr>
      </w:pPr>
    </w:p>
    <w:tbl>
      <w:tblPr>
        <w:tblW w:w="9351"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676"/>
        <w:gridCol w:w="1630"/>
        <w:gridCol w:w="1412"/>
        <w:gridCol w:w="1303"/>
        <w:gridCol w:w="1330"/>
      </w:tblGrid>
      <w:tr w:rsidR="005E33B0" w:rsidRPr="00604C75" w14:paraId="3EC8A85C" w14:textId="77777777" w:rsidTr="00FD0C7A">
        <w:trPr>
          <w:cantSplit/>
          <w:trHeight w:val="284"/>
        </w:trPr>
        <w:tc>
          <w:tcPr>
            <w:tcW w:w="3676" w:type="dxa"/>
            <w:vMerge w:val="restart"/>
            <w:vAlign w:val="bottom"/>
          </w:tcPr>
          <w:p w14:paraId="06756F6B" w14:textId="77777777" w:rsidR="005E33B0" w:rsidRPr="00604C75" w:rsidRDefault="005E33B0" w:rsidP="00185948">
            <w:pPr>
              <w:pStyle w:val="xl79"/>
              <w:pBdr>
                <w:left w:val="none" w:sz="0" w:space="0" w:color="auto"/>
                <w:bottom w:val="none" w:sz="0" w:space="0" w:color="auto"/>
                <w:right w:val="none" w:sz="0" w:space="0" w:color="auto"/>
              </w:pBdr>
              <w:tabs>
                <w:tab w:val="left" w:pos="0"/>
              </w:tabs>
              <w:spacing w:before="0" w:beforeAutospacing="0" w:after="0" w:afterAutospacing="0"/>
              <w:rPr>
                <w:rFonts w:eastAsia="Times New Roman"/>
                <w:lang w:val="en-US"/>
              </w:rPr>
            </w:pPr>
          </w:p>
        </w:tc>
        <w:tc>
          <w:tcPr>
            <w:tcW w:w="3042" w:type="dxa"/>
            <w:gridSpan w:val="2"/>
            <w:vAlign w:val="bottom"/>
          </w:tcPr>
          <w:p w14:paraId="62400CDF" w14:textId="77777777" w:rsidR="005E33B0" w:rsidRPr="00604C75" w:rsidRDefault="00F51CB2">
            <w:pPr>
              <w:tabs>
                <w:tab w:val="left" w:pos="0"/>
              </w:tabs>
              <w:jc w:val="center"/>
              <w:rPr>
                <w:b/>
                <w:bCs/>
                <w:sz w:val="18"/>
                <w:szCs w:val="18"/>
              </w:rPr>
            </w:pPr>
            <w:r>
              <w:rPr>
                <w:b/>
                <w:bCs/>
                <w:sz w:val="18"/>
                <w:szCs w:val="18"/>
              </w:rPr>
              <w:t>3</w:t>
            </w:r>
            <w:r w:rsidR="00CE4C96">
              <w:rPr>
                <w:b/>
                <w:bCs/>
                <w:sz w:val="18"/>
                <w:szCs w:val="18"/>
              </w:rPr>
              <w:t>1</w:t>
            </w:r>
            <w:r>
              <w:rPr>
                <w:b/>
                <w:bCs/>
                <w:sz w:val="18"/>
                <w:szCs w:val="18"/>
              </w:rPr>
              <w:t xml:space="preserve"> </w:t>
            </w:r>
            <w:r w:rsidR="00CE4C96">
              <w:rPr>
                <w:b/>
                <w:bCs/>
                <w:sz w:val="18"/>
                <w:szCs w:val="18"/>
              </w:rPr>
              <w:t>December</w:t>
            </w:r>
            <w:r w:rsidR="00CE4C96" w:rsidRPr="00604C75">
              <w:rPr>
                <w:b/>
                <w:bCs/>
                <w:sz w:val="18"/>
                <w:szCs w:val="18"/>
              </w:rPr>
              <w:t xml:space="preserve"> </w:t>
            </w:r>
            <w:r w:rsidR="005E33B0" w:rsidRPr="00604C75">
              <w:rPr>
                <w:b/>
                <w:bCs/>
                <w:sz w:val="18"/>
                <w:szCs w:val="18"/>
              </w:rPr>
              <w:t>201</w:t>
            </w:r>
            <w:r w:rsidR="006F0199" w:rsidRPr="00604C75">
              <w:rPr>
                <w:b/>
                <w:bCs/>
                <w:sz w:val="18"/>
                <w:szCs w:val="18"/>
              </w:rPr>
              <w:t>5</w:t>
            </w:r>
          </w:p>
        </w:tc>
        <w:tc>
          <w:tcPr>
            <w:tcW w:w="2633" w:type="dxa"/>
            <w:gridSpan w:val="2"/>
            <w:vAlign w:val="bottom"/>
          </w:tcPr>
          <w:p w14:paraId="4E3ABF45" w14:textId="77777777" w:rsidR="005E33B0" w:rsidRPr="00604C75" w:rsidRDefault="006F0199" w:rsidP="00185948">
            <w:pPr>
              <w:tabs>
                <w:tab w:val="left" w:pos="0"/>
              </w:tabs>
              <w:jc w:val="center"/>
              <w:rPr>
                <w:b/>
                <w:bCs/>
                <w:sz w:val="18"/>
                <w:szCs w:val="18"/>
              </w:rPr>
            </w:pPr>
            <w:r w:rsidRPr="00604C75">
              <w:rPr>
                <w:b/>
                <w:bCs/>
                <w:sz w:val="18"/>
                <w:szCs w:val="18"/>
              </w:rPr>
              <w:t>31 December 2014</w:t>
            </w:r>
          </w:p>
        </w:tc>
      </w:tr>
      <w:tr w:rsidR="005E33B0" w:rsidRPr="00604C75" w14:paraId="3E3EE412" w14:textId="77777777" w:rsidTr="00FD0C7A">
        <w:trPr>
          <w:cantSplit/>
          <w:trHeight w:val="284"/>
        </w:trPr>
        <w:tc>
          <w:tcPr>
            <w:tcW w:w="3676" w:type="dxa"/>
            <w:vMerge/>
            <w:vAlign w:val="bottom"/>
          </w:tcPr>
          <w:p w14:paraId="32EFB9A6" w14:textId="77777777" w:rsidR="005E33B0" w:rsidRPr="00604C75" w:rsidRDefault="005E33B0" w:rsidP="00185948">
            <w:pPr>
              <w:tabs>
                <w:tab w:val="left" w:pos="0"/>
              </w:tabs>
              <w:rPr>
                <w:sz w:val="18"/>
                <w:szCs w:val="18"/>
              </w:rPr>
            </w:pPr>
          </w:p>
        </w:tc>
        <w:tc>
          <w:tcPr>
            <w:tcW w:w="1630" w:type="dxa"/>
            <w:vAlign w:val="bottom"/>
          </w:tcPr>
          <w:p w14:paraId="31B1E22F" w14:textId="77777777" w:rsidR="005E33B0" w:rsidRPr="00604C75" w:rsidRDefault="005E33B0" w:rsidP="00A15A42">
            <w:pPr>
              <w:tabs>
                <w:tab w:val="left" w:pos="0"/>
              </w:tabs>
              <w:ind w:right="-41"/>
              <w:jc w:val="right"/>
              <w:rPr>
                <w:b/>
                <w:bCs/>
                <w:sz w:val="18"/>
                <w:szCs w:val="18"/>
              </w:rPr>
            </w:pPr>
            <w:r w:rsidRPr="00604C75">
              <w:rPr>
                <w:b/>
                <w:bCs/>
                <w:sz w:val="18"/>
                <w:szCs w:val="18"/>
              </w:rPr>
              <w:t>TL</w:t>
            </w:r>
          </w:p>
        </w:tc>
        <w:tc>
          <w:tcPr>
            <w:tcW w:w="1412" w:type="dxa"/>
            <w:vAlign w:val="bottom"/>
          </w:tcPr>
          <w:p w14:paraId="103EE67D" w14:textId="77777777" w:rsidR="005E33B0" w:rsidRPr="00604C75" w:rsidRDefault="005E33B0" w:rsidP="00A15A42">
            <w:pPr>
              <w:tabs>
                <w:tab w:val="left" w:pos="0"/>
              </w:tabs>
              <w:ind w:right="-41"/>
              <w:jc w:val="right"/>
              <w:rPr>
                <w:b/>
                <w:bCs/>
                <w:sz w:val="18"/>
                <w:szCs w:val="18"/>
              </w:rPr>
            </w:pPr>
            <w:r w:rsidRPr="00604C75">
              <w:rPr>
                <w:b/>
                <w:bCs/>
                <w:sz w:val="18"/>
                <w:szCs w:val="18"/>
              </w:rPr>
              <w:t>FC</w:t>
            </w:r>
          </w:p>
        </w:tc>
        <w:tc>
          <w:tcPr>
            <w:tcW w:w="1303" w:type="dxa"/>
            <w:vAlign w:val="bottom"/>
          </w:tcPr>
          <w:p w14:paraId="581D12D7" w14:textId="77777777" w:rsidR="005E33B0" w:rsidRPr="00604C75" w:rsidRDefault="005E33B0" w:rsidP="00A15A42">
            <w:pPr>
              <w:tabs>
                <w:tab w:val="left" w:pos="0"/>
              </w:tabs>
              <w:ind w:right="-41"/>
              <w:jc w:val="right"/>
              <w:rPr>
                <w:b/>
                <w:bCs/>
                <w:sz w:val="18"/>
                <w:szCs w:val="18"/>
              </w:rPr>
            </w:pPr>
            <w:r w:rsidRPr="00604C75">
              <w:rPr>
                <w:b/>
                <w:bCs/>
                <w:sz w:val="18"/>
                <w:szCs w:val="18"/>
              </w:rPr>
              <w:t>TL</w:t>
            </w:r>
          </w:p>
        </w:tc>
        <w:tc>
          <w:tcPr>
            <w:tcW w:w="1330" w:type="dxa"/>
            <w:vAlign w:val="bottom"/>
          </w:tcPr>
          <w:p w14:paraId="6E689C3E" w14:textId="77777777" w:rsidR="005E33B0" w:rsidRPr="00604C75" w:rsidRDefault="005E33B0" w:rsidP="00A15A42">
            <w:pPr>
              <w:tabs>
                <w:tab w:val="left" w:pos="0"/>
              </w:tabs>
              <w:ind w:right="-41"/>
              <w:jc w:val="right"/>
              <w:rPr>
                <w:b/>
                <w:bCs/>
                <w:sz w:val="18"/>
                <w:szCs w:val="18"/>
              </w:rPr>
            </w:pPr>
            <w:r w:rsidRPr="00604C75">
              <w:rPr>
                <w:b/>
                <w:bCs/>
                <w:sz w:val="18"/>
                <w:szCs w:val="18"/>
              </w:rPr>
              <w:t>FC</w:t>
            </w:r>
          </w:p>
        </w:tc>
      </w:tr>
      <w:tr w:rsidR="00224102" w:rsidRPr="00604C75" w14:paraId="28AFDFD7" w14:textId="77777777" w:rsidTr="00FD0C7A">
        <w:trPr>
          <w:trHeight w:val="284"/>
        </w:trPr>
        <w:tc>
          <w:tcPr>
            <w:tcW w:w="3676" w:type="dxa"/>
            <w:vAlign w:val="bottom"/>
          </w:tcPr>
          <w:p w14:paraId="0DC04F99" w14:textId="238C2992"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 xml:space="preserve">Cash/Foreign </w:t>
            </w:r>
            <w:r>
              <w:rPr>
                <w:lang w:val="en-US"/>
              </w:rPr>
              <w:t>C</w:t>
            </w:r>
            <w:r w:rsidRPr="00604C75">
              <w:rPr>
                <w:lang w:val="en-US"/>
              </w:rPr>
              <w:t>urrency</w:t>
            </w:r>
          </w:p>
        </w:tc>
        <w:tc>
          <w:tcPr>
            <w:tcW w:w="1630" w:type="dxa"/>
            <w:vAlign w:val="bottom"/>
          </w:tcPr>
          <w:p w14:paraId="25BA57E2" w14:textId="6DA4AC6D" w:rsidR="00224102" w:rsidRDefault="00224102" w:rsidP="00A15A42">
            <w:pPr>
              <w:ind w:right="-41"/>
              <w:jc w:val="right"/>
              <w:rPr>
                <w:sz w:val="18"/>
                <w:szCs w:val="18"/>
              </w:rPr>
            </w:pPr>
            <w:r>
              <w:rPr>
                <w:sz w:val="18"/>
                <w:szCs w:val="18"/>
              </w:rPr>
              <w:t>28,459</w:t>
            </w:r>
          </w:p>
        </w:tc>
        <w:tc>
          <w:tcPr>
            <w:tcW w:w="1412" w:type="dxa"/>
            <w:vAlign w:val="bottom"/>
          </w:tcPr>
          <w:p w14:paraId="78CA2E86" w14:textId="4BC14257" w:rsidR="00224102" w:rsidRDefault="00224102" w:rsidP="00A15A42">
            <w:pPr>
              <w:ind w:right="-41"/>
              <w:jc w:val="right"/>
              <w:rPr>
                <w:sz w:val="18"/>
                <w:szCs w:val="18"/>
              </w:rPr>
            </w:pPr>
            <w:r>
              <w:rPr>
                <w:sz w:val="18"/>
                <w:szCs w:val="18"/>
              </w:rPr>
              <w:t>51,946</w:t>
            </w:r>
          </w:p>
        </w:tc>
        <w:tc>
          <w:tcPr>
            <w:tcW w:w="1303" w:type="dxa"/>
            <w:vAlign w:val="bottom"/>
          </w:tcPr>
          <w:p w14:paraId="7F67B812" w14:textId="3406F50F" w:rsidR="00224102" w:rsidRPr="00692926" w:rsidRDefault="00224102" w:rsidP="00A15A42">
            <w:pPr>
              <w:tabs>
                <w:tab w:val="left" w:pos="0"/>
              </w:tabs>
              <w:ind w:right="-41"/>
              <w:jc w:val="right"/>
              <w:rPr>
                <w:sz w:val="18"/>
                <w:szCs w:val="18"/>
              </w:rPr>
            </w:pPr>
            <w:r w:rsidRPr="00692926">
              <w:rPr>
                <w:sz w:val="18"/>
                <w:szCs w:val="18"/>
              </w:rPr>
              <w:t>38,989</w:t>
            </w:r>
          </w:p>
        </w:tc>
        <w:tc>
          <w:tcPr>
            <w:tcW w:w="1330" w:type="dxa"/>
            <w:vAlign w:val="bottom"/>
          </w:tcPr>
          <w:p w14:paraId="490D923C" w14:textId="71F81934" w:rsidR="00224102" w:rsidRPr="00692926" w:rsidRDefault="00224102" w:rsidP="00A15A42">
            <w:pPr>
              <w:tabs>
                <w:tab w:val="left" w:pos="0"/>
              </w:tabs>
              <w:ind w:right="-41"/>
              <w:jc w:val="right"/>
              <w:rPr>
                <w:sz w:val="18"/>
                <w:szCs w:val="18"/>
              </w:rPr>
            </w:pPr>
            <w:r w:rsidRPr="00692926">
              <w:rPr>
                <w:sz w:val="18"/>
                <w:szCs w:val="18"/>
              </w:rPr>
              <w:t>58,552</w:t>
            </w:r>
          </w:p>
        </w:tc>
      </w:tr>
      <w:tr w:rsidR="00224102" w:rsidRPr="00604C75" w14:paraId="235DCDA9" w14:textId="77777777" w:rsidTr="00FD0C7A">
        <w:trPr>
          <w:trHeight w:val="284"/>
        </w:trPr>
        <w:tc>
          <w:tcPr>
            <w:tcW w:w="3676" w:type="dxa"/>
            <w:vAlign w:val="bottom"/>
          </w:tcPr>
          <w:p w14:paraId="7E2AFEFD"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CBRT</w:t>
            </w:r>
          </w:p>
        </w:tc>
        <w:tc>
          <w:tcPr>
            <w:tcW w:w="1630" w:type="dxa"/>
            <w:vAlign w:val="bottom"/>
          </w:tcPr>
          <w:p w14:paraId="52851F7A" w14:textId="51D34EFD" w:rsidR="00224102" w:rsidRDefault="00224102" w:rsidP="00A15A42">
            <w:pPr>
              <w:ind w:right="-41"/>
              <w:jc w:val="right"/>
              <w:rPr>
                <w:sz w:val="18"/>
                <w:szCs w:val="18"/>
              </w:rPr>
            </w:pPr>
            <w:r>
              <w:rPr>
                <w:sz w:val="18"/>
                <w:szCs w:val="18"/>
              </w:rPr>
              <w:t>23,074</w:t>
            </w:r>
          </w:p>
        </w:tc>
        <w:tc>
          <w:tcPr>
            <w:tcW w:w="1412" w:type="dxa"/>
            <w:vAlign w:val="bottom"/>
          </w:tcPr>
          <w:p w14:paraId="581576FE" w14:textId="7946B2AF" w:rsidR="00224102" w:rsidRDefault="00224102" w:rsidP="00A15A42">
            <w:pPr>
              <w:ind w:right="-41"/>
              <w:jc w:val="right"/>
              <w:rPr>
                <w:sz w:val="18"/>
                <w:szCs w:val="18"/>
              </w:rPr>
            </w:pPr>
            <w:r>
              <w:rPr>
                <w:sz w:val="18"/>
                <w:szCs w:val="18"/>
              </w:rPr>
              <w:t>1,441,984</w:t>
            </w:r>
          </w:p>
        </w:tc>
        <w:tc>
          <w:tcPr>
            <w:tcW w:w="1303" w:type="dxa"/>
            <w:vAlign w:val="bottom"/>
          </w:tcPr>
          <w:p w14:paraId="4A82C8C9" w14:textId="009014B4" w:rsidR="00224102" w:rsidRPr="00692926" w:rsidRDefault="00224102" w:rsidP="00A15A42">
            <w:pPr>
              <w:tabs>
                <w:tab w:val="left" w:pos="0"/>
              </w:tabs>
              <w:ind w:right="-41"/>
              <w:jc w:val="right"/>
              <w:rPr>
                <w:sz w:val="18"/>
                <w:szCs w:val="18"/>
              </w:rPr>
            </w:pPr>
            <w:r w:rsidRPr="00692926">
              <w:rPr>
                <w:sz w:val="18"/>
                <w:szCs w:val="18"/>
              </w:rPr>
              <w:t>126,496</w:t>
            </w:r>
          </w:p>
        </w:tc>
        <w:tc>
          <w:tcPr>
            <w:tcW w:w="1330" w:type="dxa"/>
            <w:vAlign w:val="bottom"/>
          </w:tcPr>
          <w:p w14:paraId="165DB10C" w14:textId="1A1CCE24" w:rsidR="00224102" w:rsidRPr="00692926" w:rsidRDefault="00224102" w:rsidP="00A15A42">
            <w:pPr>
              <w:tabs>
                <w:tab w:val="left" w:pos="0"/>
              </w:tabs>
              <w:ind w:right="-41"/>
              <w:jc w:val="right"/>
              <w:rPr>
                <w:sz w:val="18"/>
                <w:szCs w:val="18"/>
              </w:rPr>
            </w:pPr>
            <w:r w:rsidRPr="00692926">
              <w:rPr>
                <w:sz w:val="18"/>
                <w:szCs w:val="18"/>
              </w:rPr>
              <w:t>1,134,207</w:t>
            </w:r>
          </w:p>
        </w:tc>
      </w:tr>
      <w:tr w:rsidR="00224102" w:rsidRPr="00604C75" w14:paraId="137C2AD9" w14:textId="77777777" w:rsidTr="00FD0C7A">
        <w:trPr>
          <w:trHeight w:val="284"/>
        </w:trPr>
        <w:tc>
          <w:tcPr>
            <w:tcW w:w="3676" w:type="dxa"/>
            <w:vAlign w:val="bottom"/>
          </w:tcPr>
          <w:p w14:paraId="60A79DFD"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Other</w:t>
            </w:r>
          </w:p>
        </w:tc>
        <w:tc>
          <w:tcPr>
            <w:tcW w:w="1630" w:type="dxa"/>
            <w:vAlign w:val="bottom"/>
          </w:tcPr>
          <w:p w14:paraId="1964EBB2" w14:textId="181F3201" w:rsidR="00224102" w:rsidRDefault="00224102" w:rsidP="00A15A42">
            <w:pPr>
              <w:ind w:right="-41"/>
              <w:jc w:val="right"/>
              <w:rPr>
                <w:sz w:val="18"/>
                <w:szCs w:val="18"/>
              </w:rPr>
            </w:pPr>
            <w:r>
              <w:rPr>
                <w:sz w:val="18"/>
                <w:szCs w:val="18"/>
              </w:rPr>
              <w:t>35</w:t>
            </w:r>
          </w:p>
        </w:tc>
        <w:tc>
          <w:tcPr>
            <w:tcW w:w="1412" w:type="dxa"/>
            <w:vAlign w:val="bottom"/>
          </w:tcPr>
          <w:p w14:paraId="4FB2DE02" w14:textId="20366118" w:rsidR="00224102" w:rsidRDefault="00224102" w:rsidP="00A15A42">
            <w:pPr>
              <w:ind w:right="-41"/>
              <w:jc w:val="right"/>
              <w:rPr>
                <w:sz w:val="18"/>
                <w:szCs w:val="18"/>
              </w:rPr>
            </w:pPr>
            <w:r>
              <w:rPr>
                <w:sz w:val="18"/>
                <w:szCs w:val="18"/>
              </w:rPr>
              <w:t>-</w:t>
            </w:r>
          </w:p>
        </w:tc>
        <w:tc>
          <w:tcPr>
            <w:tcW w:w="1303" w:type="dxa"/>
            <w:vAlign w:val="bottom"/>
          </w:tcPr>
          <w:p w14:paraId="1BFBE478" w14:textId="2E73E859" w:rsidR="00224102" w:rsidRPr="00692926" w:rsidRDefault="00224102" w:rsidP="00A15A42">
            <w:pPr>
              <w:tabs>
                <w:tab w:val="left" w:pos="0"/>
              </w:tabs>
              <w:ind w:right="-41"/>
              <w:jc w:val="right"/>
              <w:rPr>
                <w:sz w:val="18"/>
                <w:szCs w:val="18"/>
              </w:rPr>
            </w:pPr>
            <w:r w:rsidRPr="00692926">
              <w:rPr>
                <w:sz w:val="18"/>
                <w:szCs w:val="18"/>
              </w:rPr>
              <w:t>-</w:t>
            </w:r>
          </w:p>
        </w:tc>
        <w:tc>
          <w:tcPr>
            <w:tcW w:w="1330" w:type="dxa"/>
            <w:vAlign w:val="bottom"/>
          </w:tcPr>
          <w:p w14:paraId="29789F18" w14:textId="7A33BF53" w:rsidR="00224102" w:rsidRPr="00692926" w:rsidRDefault="00224102" w:rsidP="00A15A42">
            <w:pPr>
              <w:tabs>
                <w:tab w:val="left" w:pos="0"/>
              </w:tabs>
              <w:ind w:right="-41"/>
              <w:jc w:val="right"/>
              <w:rPr>
                <w:sz w:val="18"/>
                <w:szCs w:val="18"/>
              </w:rPr>
            </w:pPr>
            <w:r w:rsidRPr="00692926">
              <w:rPr>
                <w:sz w:val="18"/>
                <w:szCs w:val="18"/>
              </w:rPr>
              <w:t>-</w:t>
            </w:r>
          </w:p>
        </w:tc>
      </w:tr>
      <w:tr w:rsidR="00224102" w:rsidRPr="00604C75" w14:paraId="73728703" w14:textId="77777777" w:rsidTr="00FD0C7A">
        <w:trPr>
          <w:trHeight w:val="284"/>
        </w:trPr>
        <w:tc>
          <w:tcPr>
            <w:tcW w:w="3676" w:type="dxa"/>
            <w:vAlign w:val="bottom"/>
          </w:tcPr>
          <w:p w14:paraId="1D84731E" w14:textId="77777777" w:rsidR="00224102" w:rsidRPr="00604C75" w:rsidRDefault="00224102" w:rsidP="00224102">
            <w:pPr>
              <w:tabs>
                <w:tab w:val="left" w:pos="0"/>
              </w:tabs>
              <w:ind w:right="188"/>
              <w:rPr>
                <w:b/>
                <w:sz w:val="18"/>
                <w:szCs w:val="18"/>
              </w:rPr>
            </w:pPr>
            <w:r w:rsidRPr="00604C75">
              <w:rPr>
                <w:b/>
                <w:sz w:val="18"/>
                <w:szCs w:val="18"/>
              </w:rPr>
              <w:t>Total</w:t>
            </w:r>
          </w:p>
        </w:tc>
        <w:tc>
          <w:tcPr>
            <w:tcW w:w="1630" w:type="dxa"/>
            <w:vAlign w:val="bottom"/>
          </w:tcPr>
          <w:p w14:paraId="7D4106C8" w14:textId="61EC982F" w:rsidR="00224102" w:rsidRDefault="00224102" w:rsidP="00A15A42">
            <w:pPr>
              <w:ind w:right="-41"/>
              <w:jc w:val="right"/>
              <w:rPr>
                <w:b/>
                <w:bCs/>
                <w:sz w:val="18"/>
                <w:szCs w:val="18"/>
              </w:rPr>
            </w:pPr>
            <w:r>
              <w:rPr>
                <w:b/>
                <w:bCs/>
                <w:sz w:val="18"/>
                <w:szCs w:val="18"/>
              </w:rPr>
              <w:t>51,568</w:t>
            </w:r>
          </w:p>
        </w:tc>
        <w:tc>
          <w:tcPr>
            <w:tcW w:w="1412" w:type="dxa"/>
            <w:vAlign w:val="bottom"/>
          </w:tcPr>
          <w:p w14:paraId="42AE3266" w14:textId="5D2BA3F2" w:rsidR="00224102" w:rsidRDefault="00224102" w:rsidP="00A15A42">
            <w:pPr>
              <w:ind w:right="-41"/>
              <w:jc w:val="right"/>
              <w:rPr>
                <w:b/>
                <w:bCs/>
                <w:sz w:val="18"/>
                <w:szCs w:val="18"/>
              </w:rPr>
            </w:pPr>
            <w:r>
              <w:rPr>
                <w:b/>
                <w:bCs/>
                <w:sz w:val="18"/>
                <w:szCs w:val="18"/>
              </w:rPr>
              <w:t>1,493,930</w:t>
            </w:r>
          </w:p>
        </w:tc>
        <w:tc>
          <w:tcPr>
            <w:tcW w:w="1303" w:type="dxa"/>
            <w:vAlign w:val="bottom"/>
          </w:tcPr>
          <w:p w14:paraId="2FD043C1" w14:textId="42539D00" w:rsidR="00224102" w:rsidRPr="00692926" w:rsidRDefault="00224102" w:rsidP="00A15A42">
            <w:pPr>
              <w:tabs>
                <w:tab w:val="left" w:pos="0"/>
              </w:tabs>
              <w:ind w:right="-41"/>
              <w:jc w:val="right"/>
              <w:rPr>
                <w:b/>
                <w:bCs/>
                <w:sz w:val="18"/>
                <w:szCs w:val="18"/>
              </w:rPr>
            </w:pPr>
            <w:r w:rsidRPr="00692926">
              <w:rPr>
                <w:b/>
                <w:bCs/>
                <w:sz w:val="18"/>
                <w:szCs w:val="18"/>
              </w:rPr>
              <w:t>165,485</w:t>
            </w:r>
          </w:p>
        </w:tc>
        <w:tc>
          <w:tcPr>
            <w:tcW w:w="1330" w:type="dxa"/>
            <w:vAlign w:val="bottom"/>
          </w:tcPr>
          <w:p w14:paraId="63C40EA4" w14:textId="48B422BE" w:rsidR="00224102" w:rsidRPr="00692926" w:rsidRDefault="00224102" w:rsidP="00A15A42">
            <w:pPr>
              <w:tabs>
                <w:tab w:val="left" w:pos="0"/>
              </w:tabs>
              <w:ind w:right="-41"/>
              <w:jc w:val="right"/>
              <w:rPr>
                <w:b/>
                <w:bCs/>
                <w:sz w:val="18"/>
                <w:szCs w:val="18"/>
              </w:rPr>
            </w:pPr>
            <w:r w:rsidRPr="00692926">
              <w:rPr>
                <w:b/>
                <w:bCs/>
                <w:sz w:val="18"/>
                <w:szCs w:val="18"/>
              </w:rPr>
              <w:t>1,192,759</w:t>
            </w:r>
          </w:p>
        </w:tc>
      </w:tr>
    </w:tbl>
    <w:p w14:paraId="0BB26B57" w14:textId="77777777" w:rsidR="005E33B0" w:rsidRPr="00604C75" w:rsidRDefault="005E33B0" w:rsidP="00185948">
      <w:pPr>
        <w:pStyle w:val="BodyTextIndent"/>
        <w:tabs>
          <w:tab w:val="left" w:pos="0"/>
          <w:tab w:val="left" w:pos="7563"/>
        </w:tabs>
        <w:spacing w:after="0"/>
        <w:ind w:left="0"/>
        <w:rPr>
          <w:bCs/>
          <w:sz w:val="16"/>
          <w:szCs w:val="16"/>
        </w:rPr>
      </w:pPr>
    </w:p>
    <w:p w14:paraId="56CC95C9" w14:textId="77777777" w:rsidR="005E33B0" w:rsidRPr="00604C75" w:rsidRDefault="00FE00EE" w:rsidP="008477F3">
      <w:pPr>
        <w:pStyle w:val="BodyTextIndent"/>
        <w:numPr>
          <w:ilvl w:val="0"/>
          <w:numId w:val="15"/>
        </w:numPr>
        <w:tabs>
          <w:tab w:val="clear" w:pos="1440"/>
          <w:tab w:val="left" w:pos="0"/>
          <w:tab w:val="left" w:pos="567"/>
        </w:tabs>
        <w:spacing w:after="0"/>
        <w:ind w:left="0" w:firstLine="0"/>
        <w:jc w:val="both"/>
        <w:rPr>
          <w:sz w:val="20"/>
          <w:szCs w:val="20"/>
        </w:rPr>
      </w:pPr>
      <w:r w:rsidRPr="00604C75">
        <w:rPr>
          <w:sz w:val="20"/>
          <w:szCs w:val="20"/>
        </w:rPr>
        <w:t>Information on the account of the CBRT</w:t>
      </w:r>
      <w:r w:rsidRPr="00604C75" w:rsidDel="00FE00EE">
        <w:rPr>
          <w:sz w:val="20"/>
          <w:szCs w:val="20"/>
        </w:rPr>
        <w:t xml:space="preserve"> </w:t>
      </w:r>
    </w:p>
    <w:p w14:paraId="019B2E2B" w14:textId="77777777" w:rsidR="005E33B0" w:rsidRPr="00604C75" w:rsidRDefault="005E33B0" w:rsidP="00185948">
      <w:pPr>
        <w:pStyle w:val="BodyTextIndent"/>
        <w:tabs>
          <w:tab w:val="left" w:pos="0"/>
        </w:tabs>
        <w:spacing w:after="0"/>
        <w:ind w:left="0"/>
        <w:rPr>
          <w:bCs/>
          <w:sz w:val="16"/>
          <w:szCs w:val="16"/>
        </w:rPr>
      </w:pPr>
    </w:p>
    <w:tbl>
      <w:tblPr>
        <w:tblW w:w="933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679"/>
        <w:gridCol w:w="1627"/>
        <w:gridCol w:w="1413"/>
        <w:gridCol w:w="1302"/>
        <w:gridCol w:w="1316"/>
      </w:tblGrid>
      <w:tr w:rsidR="005E33B0" w:rsidRPr="00604C75" w14:paraId="26D7B885" w14:textId="77777777" w:rsidTr="00FD0C7A">
        <w:trPr>
          <w:trHeight w:val="284"/>
        </w:trPr>
        <w:tc>
          <w:tcPr>
            <w:tcW w:w="3679" w:type="dxa"/>
            <w:vMerge w:val="restart"/>
            <w:vAlign w:val="bottom"/>
          </w:tcPr>
          <w:p w14:paraId="3946DB8C" w14:textId="77777777" w:rsidR="005E33B0" w:rsidRPr="00604C75" w:rsidRDefault="005E33B0" w:rsidP="00185948">
            <w:pPr>
              <w:pStyle w:val="xl79"/>
              <w:pBdr>
                <w:left w:val="none" w:sz="0" w:space="0" w:color="auto"/>
                <w:bottom w:val="none" w:sz="0" w:space="0" w:color="auto"/>
                <w:right w:val="none" w:sz="0" w:space="0" w:color="auto"/>
              </w:pBdr>
              <w:tabs>
                <w:tab w:val="left" w:pos="0"/>
              </w:tabs>
              <w:spacing w:before="0" w:beforeAutospacing="0" w:after="0" w:afterAutospacing="0"/>
              <w:rPr>
                <w:rFonts w:eastAsia="Times New Roman"/>
                <w:lang w:val="en-US"/>
              </w:rPr>
            </w:pPr>
          </w:p>
        </w:tc>
        <w:tc>
          <w:tcPr>
            <w:tcW w:w="3040" w:type="dxa"/>
            <w:gridSpan w:val="2"/>
            <w:vAlign w:val="bottom"/>
          </w:tcPr>
          <w:p w14:paraId="6E615EFA" w14:textId="77777777" w:rsidR="005E33B0" w:rsidRPr="00604C75" w:rsidRDefault="00CE4C96" w:rsidP="007B6F89">
            <w:pPr>
              <w:tabs>
                <w:tab w:val="left" w:pos="0"/>
              </w:tabs>
              <w:jc w:val="center"/>
              <w:rPr>
                <w:b/>
                <w:bCs/>
                <w:sz w:val="18"/>
              </w:rPr>
            </w:pPr>
            <w:r>
              <w:rPr>
                <w:b/>
                <w:bCs/>
                <w:sz w:val="18"/>
                <w:szCs w:val="18"/>
              </w:rPr>
              <w:t>31 December</w:t>
            </w:r>
            <w:r w:rsidRPr="00604C75">
              <w:rPr>
                <w:b/>
                <w:bCs/>
                <w:sz w:val="18"/>
                <w:szCs w:val="18"/>
              </w:rPr>
              <w:t xml:space="preserve"> 2015</w:t>
            </w:r>
          </w:p>
        </w:tc>
        <w:tc>
          <w:tcPr>
            <w:tcW w:w="2618" w:type="dxa"/>
            <w:gridSpan w:val="2"/>
            <w:vAlign w:val="bottom"/>
          </w:tcPr>
          <w:p w14:paraId="28858F50" w14:textId="77777777" w:rsidR="005E33B0" w:rsidRPr="00604C75" w:rsidRDefault="006F0199" w:rsidP="00185948">
            <w:pPr>
              <w:tabs>
                <w:tab w:val="left" w:pos="0"/>
              </w:tabs>
              <w:jc w:val="center"/>
              <w:rPr>
                <w:b/>
                <w:bCs/>
                <w:sz w:val="18"/>
              </w:rPr>
            </w:pPr>
            <w:r w:rsidRPr="00604C75">
              <w:rPr>
                <w:b/>
                <w:bCs/>
                <w:sz w:val="18"/>
                <w:szCs w:val="18"/>
              </w:rPr>
              <w:t xml:space="preserve">31 December </w:t>
            </w:r>
            <w:r w:rsidRPr="00604C75">
              <w:rPr>
                <w:b/>
                <w:bCs/>
                <w:sz w:val="18"/>
              </w:rPr>
              <w:t>2014</w:t>
            </w:r>
          </w:p>
        </w:tc>
      </w:tr>
      <w:tr w:rsidR="005E33B0" w:rsidRPr="00604C75" w14:paraId="39292BEB" w14:textId="77777777" w:rsidTr="00FD0C7A">
        <w:trPr>
          <w:trHeight w:val="284"/>
        </w:trPr>
        <w:tc>
          <w:tcPr>
            <w:tcW w:w="3679" w:type="dxa"/>
            <w:vMerge/>
            <w:vAlign w:val="bottom"/>
          </w:tcPr>
          <w:p w14:paraId="3CCE9298" w14:textId="77777777" w:rsidR="005E33B0" w:rsidRPr="00604C75" w:rsidRDefault="005E33B0" w:rsidP="00185948">
            <w:pPr>
              <w:tabs>
                <w:tab w:val="left" w:pos="0"/>
              </w:tabs>
              <w:rPr>
                <w:sz w:val="18"/>
              </w:rPr>
            </w:pPr>
          </w:p>
        </w:tc>
        <w:tc>
          <w:tcPr>
            <w:tcW w:w="1627" w:type="dxa"/>
            <w:vAlign w:val="bottom"/>
          </w:tcPr>
          <w:p w14:paraId="5BDAA79C" w14:textId="77777777" w:rsidR="005E33B0" w:rsidRPr="00604C75" w:rsidRDefault="005E33B0" w:rsidP="00A15A42">
            <w:pPr>
              <w:tabs>
                <w:tab w:val="left" w:pos="0"/>
              </w:tabs>
              <w:ind w:right="-41"/>
              <w:jc w:val="right"/>
              <w:rPr>
                <w:b/>
                <w:bCs/>
                <w:sz w:val="18"/>
                <w:szCs w:val="18"/>
              </w:rPr>
            </w:pPr>
            <w:r w:rsidRPr="00604C75">
              <w:rPr>
                <w:b/>
                <w:bCs/>
                <w:sz w:val="18"/>
                <w:szCs w:val="18"/>
              </w:rPr>
              <w:t>TL</w:t>
            </w:r>
          </w:p>
        </w:tc>
        <w:tc>
          <w:tcPr>
            <w:tcW w:w="1413" w:type="dxa"/>
            <w:vAlign w:val="bottom"/>
          </w:tcPr>
          <w:p w14:paraId="6E5CF611" w14:textId="77777777" w:rsidR="005E33B0" w:rsidRPr="00604C75" w:rsidRDefault="005E33B0" w:rsidP="00A15A42">
            <w:pPr>
              <w:tabs>
                <w:tab w:val="left" w:pos="0"/>
              </w:tabs>
              <w:ind w:right="-41"/>
              <w:jc w:val="right"/>
              <w:rPr>
                <w:b/>
                <w:bCs/>
                <w:sz w:val="18"/>
                <w:szCs w:val="18"/>
              </w:rPr>
            </w:pPr>
            <w:r w:rsidRPr="00604C75">
              <w:rPr>
                <w:b/>
                <w:bCs/>
                <w:sz w:val="18"/>
                <w:szCs w:val="18"/>
              </w:rPr>
              <w:t>FC</w:t>
            </w:r>
          </w:p>
        </w:tc>
        <w:tc>
          <w:tcPr>
            <w:tcW w:w="1302" w:type="dxa"/>
            <w:vAlign w:val="bottom"/>
          </w:tcPr>
          <w:p w14:paraId="7F58E7AD" w14:textId="77777777" w:rsidR="005E33B0" w:rsidRPr="00604C75" w:rsidRDefault="005E33B0" w:rsidP="00A15A42">
            <w:pPr>
              <w:tabs>
                <w:tab w:val="left" w:pos="0"/>
              </w:tabs>
              <w:ind w:right="-41"/>
              <w:jc w:val="right"/>
              <w:rPr>
                <w:b/>
                <w:bCs/>
                <w:sz w:val="18"/>
                <w:szCs w:val="18"/>
              </w:rPr>
            </w:pPr>
            <w:r w:rsidRPr="00604C75">
              <w:rPr>
                <w:b/>
                <w:bCs/>
                <w:sz w:val="18"/>
                <w:szCs w:val="18"/>
              </w:rPr>
              <w:t>TL</w:t>
            </w:r>
          </w:p>
        </w:tc>
        <w:tc>
          <w:tcPr>
            <w:tcW w:w="1316" w:type="dxa"/>
            <w:vAlign w:val="bottom"/>
          </w:tcPr>
          <w:p w14:paraId="10BCE1A5" w14:textId="77777777" w:rsidR="005E33B0" w:rsidRPr="00604C75" w:rsidRDefault="005E33B0" w:rsidP="00A15A42">
            <w:pPr>
              <w:tabs>
                <w:tab w:val="left" w:pos="0"/>
              </w:tabs>
              <w:ind w:right="-41"/>
              <w:jc w:val="right"/>
              <w:rPr>
                <w:b/>
                <w:bCs/>
                <w:sz w:val="18"/>
                <w:szCs w:val="18"/>
              </w:rPr>
            </w:pPr>
            <w:r w:rsidRPr="00604C75">
              <w:rPr>
                <w:b/>
                <w:bCs/>
                <w:sz w:val="18"/>
                <w:szCs w:val="18"/>
              </w:rPr>
              <w:t>FC</w:t>
            </w:r>
          </w:p>
        </w:tc>
      </w:tr>
      <w:tr w:rsidR="00224102" w:rsidRPr="00604C75" w14:paraId="1017D9E1" w14:textId="77777777" w:rsidTr="00FD0C7A">
        <w:trPr>
          <w:trHeight w:val="284"/>
        </w:trPr>
        <w:tc>
          <w:tcPr>
            <w:tcW w:w="3679" w:type="dxa"/>
            <w:vAlign w:val="bottom"/>
          </w:tcPr>
          <w:p w14:paraId="7B8699F4"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Demand Unrestricted Amount (*)</w:t>
            </w:r>
          </w:p>
        </w:tc>
        <w:tc>
          <w:tcPr>
            <w:tcW w:w="1627" w:type="dxa"/>
            <w:vAlign w:val="bottom"/>
          </w:tcPr>
          <w:p w14:paraId="75CD1FB2" w14:textId="5ADC6204" w:rsidR="00224102" w:rsidRDefault="00224102" w:rsidP="00A15A42">
            <w:pPr>
              <w:ind w:right="-41"/>
              <w:jc w:val="right"/>
              <w:rPr>
                <w:sz w:val="18"/>
                <w:szCs w:val="18"/>
              </w:rPr>
            </w:pPr>
            <w:r>
              <w:rPr>
                <w:sz w:val="18"/>
                <w:szCs w:val="18"/>
              </w:rPr>
              <w:t>23,074</w:t>
            </w:r>
          </w:p>
        </w:tc>
        <w:tc>
          <w:tcPr>
            <w:tcW w:w="1413" w:type="dxa"/>
            <w:vAlign w:val="bottom"/>
          </w:tcPr>
          <w:p w14:paraId="5945EBD2" w14:textId="18FF55F2" w:rsidR="00224102" w:rsidRDefault="00224102" w:rsidP="00A15A42">
            <w:pPr>
              <w:ind w:right="-41"/>
              <w:jc w:val="right"/>
              <w:rPr>
                <w:sz w:val="18"/>
                <w:szCs w:val="18"/>
              </w:rPr>
            </w:pPr>
            <w:r>
              <w:rPr>
                <w:sz w:val="18"/>
                <w:szCs w:val="18"/>
              </w:rPr>
              <w:t>221,770</w:t>
            </w:r>
          </w:p>
        </w:tc>
        <w:tc>
          <w:tcPr>
            <w:tcW w:w="1302" w:type="dxa"/>
            <w:vAlign w:val="bottom"/>
          </w:tcPr>
          <w:p w14:paraId="6A74B060" w14:textId="4E1DA240" w:rsidR="00224102" w:rsidRPr="00692926" w:rsidRDefault="00224102" w:rsidP="00A15A42">
            <w:pPr>
              <w:tabs>
                <w:tab w:val="left" w:pos="0"/>
              </w:tabs>
              <w:ind w:right="-41"/>
              <w:jc w:val="right"/>
              <w:rPr>
                <w:sz w:val="18"/>
                <w:szCs w:val="18"/>
              </w:rPr>
            </w:pPr>
            <w:r w:rsidRPr="00692926">
              <w:rPr>
                <w:sz w:val="18"/>
                <w:szCs w:val="18"/>
              </w:rPr>
              <w:t>126,496</w:t>
            </w:r>
          </w:p>
        </w:tc>
        <w:tc>
          <w:tcPr>
            <w:tcW w:w="1316" w:type="dxa"/>
            <w:vAlign w:val="bottom"/>
          </w:tcPr>
          <w:p w14:paraId="199F51F5" w14:textId="5A20AB6F" w:rsidR="00224102" w:rsidRPr="00692926" w:rsidRDefault="00224102" w:rsidP="00A15A42">
            <w:pPr>
              <w:tabs>
                <w:tab w:val="left" w:pos="0"/>
              </w:tabs>
              <w:ind w:right="-41"/>
              <w:jc w:val="right"/>
              <w:rPr>
                <w:sz w:val="18"/>
                <w:szCs w:val="18"/>
              </w:rPr>
            </w:pPr>
            <w:r w:rsidRPr="00692926">
              <w:rPr>
                <w:sz w:val="18"/>
                <w:szCs w:val="18"/>
              </w:rPr>
              <w:t>123,395</w:t>
            </w:r>
          </w:p>
        </w:tc>
      </w:tr>
      <w:tr w:rsidR="00224102" w:rsidRPr="00604C75" w14:paraId="7A065866" w14:textId="77777777" w:rsidTr="00FD0C7A">
        <w:trPr>
          <w:trHeight w:val="284"/>
        </w:trPr>
        <w:tc>
          <w:tcPr>
            <w:tcW w:w="3679" w:type="dxa"/>
            <w:vAlign w:val="bottom"/>
          </w:tcPr>
          <w:p w14:paraId="7E0E5737"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Time Unrestricted Amount</w:t>
            </w:r>
          </w:p>
        </w:tc>
        <w:tc>
          <w:tcPr>
            <w:tcW w:w="1627" w:type="dxa"/>
            <w:vAlign w:val="bottom"/>
          </w:tcPr>
          <w:p w14:paraId="0734C7F4" w14:textId="4BEB4DDE" w:rsidR="00224102" w:rsidRPr="00692926" w:rsidRDefault="00224102" w:rsidP="00A15A42">
            <w:pPr>
              <w:tabs>
                <w:tab w:val="left" w:pos="0"/>
              </w:tabs>
              <w:ind w:right="-41"/>
              <w:jc w:val="right"/>
              <w:rPr>
                <w:sz w:val="18"/>
                <w:szCs w:val="18"/>
              </w:rPr>
            </w:pPr>
            <w:r w:rsidRPr="00692926">
              <w:rPr>
                <w:sz w:val="18"/>
                <w:szCs w:val="18"/>
              </w:rPr>
              <w:t>-</w:t>
            </w:r>
          </w:p>
        </w:tc>
        <w:tc>
          <w:tcPr>
            <w:tcW w:w="1413" w:type="dxa"/>
            <w:vAlign w:val="bottom"/>
          </w:tcPr>
          <w:p w14:paraId="0EE78F92" w14:textId="1D5F6062" w:rsidR="00224102" w:rsidRPr="00692926" w:rsidRDefault="00224102" w:rsidP="00A15A42">
            <w:pPr>
              <w:tabs>
                <w:tab w:val="left" w:pos="0"/>
              </w:tabs>
              <w:ind w:right="-41"/>
              <w:jc w:val="right"/>
              <w:rPr>
                <w:sz w:val="18"/>
                <w:szCs w:val="18"/>
              </w:rPr>
            </w:pPr>
            <w:r w:rsidRPr="00692926">
              <w:rPr>
                <w:sz w:val="18"/>
                <w:szCs w:val="18"/>
              </w:rPr>
              <w:t>-</w:t>
            </w:r>
          </w:p>
        </w:tc>
        <w:tc>
          <w:tcPr>
            <w:tcW w:w="1302" w:type="dxa"/>
            <w:vAlign w:val="bottom"/>
          </w:tcPr>
          <w:p w14:paraId="647B82CB" w14:textId="1E85874B" w:rsidR="00224102" w:rsidRPr="00692926" w:rsidRDefault="00224102" w:rsidP="00A15A42">
            <w:pPr>
              <w:tabs>
                <w:tab w:val="left" w:pos="0"/>
              </w:tabs>
              <w:ind w:right="-41"/>
              <w:jc w:val="right"/>
              <w:rPr>
                <w:sz w:val="18"/>
                <w:szCs w:val="18"/>
              </w:rPr>
            </w:pPr>
            <w:r w:rsidRPr="00692926">
              <w:rPr>
                <w:sz w:val="18"/>
                <w:szCs w:val="18"/>
              </w:rPr>
              <w:t>-</w:t>
            </w:r>
          </w:p>
        </w:tc>
        <w:tc>
          <w:tcPr>
            <w:tcW w:w="1316" w:type="dxa"/>
            <w:vAlign w:val="bottom"/>
          </w:tcPr>
          <w:p w14:paraId="71558CC5" w14:textId="47979BE0" w:rsidR="00224102" w:rsidRPr="00692926" w:rsidRDefault="00224102" w:rsidP="00A15A42">
            <w:pPr>
              <w:tabs>
                <w:tab w:val="left" w:pos="0"/>
              </w:tabs>
              <w:ind w:right="-41"/>
              <w:jc w:val="right"/>
              <w:rPr>
                <w:sz w:val="18"/>
                <w:szCs w:val="18"/>
              </w:rPr>
            </w:pPr>
            <w:r w:rsidRPr="00692926">
              <w:rPr>
                <w:sz w:val="18"/>
                <w:szCs w:val="18"/>
              </w:rPr>
              <w:t>-</w:t>
            </w:r>
          </w:p>
        </w:tc>
      </w:tr>
      <w:tr w:rsidR="00224102" w:rsidRPr="00604C75" w14:paraId="0B872E5D" w14:textId="77777777" w:rsidTr="00FD0C7A">
        <w:trPr>
          <w:trHeight w:val="284"/>
        </w:trPr>
        <w:tc>
          <w:tcPr>
            <w:tcW w:w="3679" w:type="dxa"/>
            <w:vAlign w:val="bottom"/>
          </w:tcPr>
          <w:p w14:paraId="607A448D"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Time Restricted Amount</w:t>
            </w:r>
          </w:p>
        </w:tc>
        <w:tc>
          <w:tcPr>
            <w:tcW w:w="1627" w:type="dxa"/>
            <w:vAlign w:val="bottom"/>
          </w:tcPr>
          <w:p w14:paraId="4DA4CD08" w14:textId="27AD5D42" w:rsidR="00224102" w:rsidRPr="00692926" w:rsidRDefault="00224102" w:rsidP="00A15A42">
            <w:pPr>
              <w:tabs>
                <w:tab w:val="left" w:pos="0"/>
              </w:tabs>
              <w:ind w:right="-41"/>
              <w:jc w:val="right"/>
              <w:rPr>
                <w:sz w:val="18"/>
                <w:szCs w:val="18"/>
              </w:rPr>
            </w:pPr>
            <w:r w:rsidRPr="00692926">
              <w:rPr>
                <w:sz w:val="18"/>
                <w:szCs w:val="18"/>
              </w:rPr>
              <w:t>-</w:t>
            </w:r>
          </w:p>
        </w:tc>
        <w:tc>
          <w:tcPr>
            <w:tcW w:w="1413" w:type="dxa"/>
            <w:vAlign w:val="bottom"/>
          </w:tcPr>
          <w:p w14:paraId="465A96C1" w14:textId="56727D91" w:rsidR="00224102" w:rsidRPr="00692926" w:rsidRDefault="00224102" w:rsidP="00A15A42">
            <w:pPr>
              <w:tabs>
                <w:tab w:val="left" w:pos="0"/>
              </w:tabs>
              <w:ind w:right="-41"/>
              <w:jc w:val="right"/>
              <w:rPr>
                <w:sz w:val="18"/>
                <w:szCs w:val="18"/>
              </w:rPr>
            </w:pPr>
            <w:r w:rsidRPr="00692926">
              <w:rPr>
                <w:sz w:val="18"/>
                <w:szCs w:val="18"/>
              </w:rPr>
              <w:t>-</w:t>
            </w:r>
          </w:p>
        </w:tc>
        <w:tc>
          <w:tcPr>
            <w:tcW w:w="1302" w:type="dxa"/>
            <w:vAlign w:val="bottom"/>
          </w:tcPr>
          <w:p w14:paraId="1C5644B4" w14:textId="44C6A0BE" w:rsidR="00224102" w:rsidRPr="00692926" w:rsidRDefault="00224102" w:rsidP="00A15A42">
            <w:pPr>
              <w:tabs>
                <w:tab w:val="left" w:pos="0"/>
              </w:tabs>
              <w:ind w:right="-41"/>
              <w:jc w:val="right"/>
              <w:rPr>
                <w:sz w:val="18"/>
                <w:szCs w:val="18"/>
              </w:rPr>
            </w:pPr>
            <w:r w:rsidRPr="00692926">
              <w:rPr>
                <w:sz w:val="18"/>
                <w:szCs w:val="18"/>
              </w:rPr>
              <w:t>-</w:t>
            </w:r>
          </w:p>
        </w:tc>
        <w:tc>
          <w:tcPr>
            <w:tcW w:w="1316" w:type="dxa"/>
            <w:vAlign w:val="bottom"/>
          </w:tcPr>
          <w:p w14:paraId="34967805" w14:textId="1E8A6FC5" w:rsidR="00224102" w:rsidRPr="00692926" w:rsidRDefault="00224102" w:rsidP="00A15A42">
            <w:pPr>
              <w:tabs>
                <w:tab w:val="left" w:pos="0"/>
              </w:tabs>
              <w:ind w:right="-41"/>
              <w:jc w:val="right"/>
              <w:rPr>
                <w:sz w:val="18"/>
                <w:szCs w:val="18"/>
              </w:rPr>
            </w:pPr>
            <w:r w:rsidRPr="00692926">
              <w:rPr>
                <w:sz w:val="18"/>
                <w:szCs w:val="18"/>
              </w:rPr>
              <w:t>-</w:t>
            </w:r>
          </w:p>
        </w:tc>
      </w:tr>
      <w:tr w:rsidR="00224102" w:rsidRPr="00604C75" w14:paraId="29193ABA" w14:textId="77777777" w:rsidTr="00FD0C7A">
        <w:trPr>
          <w:trHeight w:val="284"/>
        </w:trPr>
        <w:tc>
          <w:tcPr>
            <w:tcW w:w="3679" w:type="dxa"/>
            <w:vAlign w:val="bottom"/>
          </w:tcPr>
          <w:p w14:paraId="5C0A5164"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rPr>
                <w:lang w:val="en-US"/>
              </w:rPr>
            </w:pPr>
            <w:r w:rsidRPr="00604C75">
              <w:rPr>
                <w:lang w:val="en-US"/>
              </w:rPr>
              <w:t xml:space="preserve">Reserve Requirement </w:t>
            </w:r>
          </w:p>
        </w:tc>
        <w:tc>
          <w:tcPr>
            <w:tcW w:w="1627" w:type="dxa"/>
            <w:vAlign w:val="bottom"/>
          </w:tcPr>
          <w:p w14:paraId="12E15E98" w14:textId="3FA45AF8" w:rsidR="00224102" w:rsidRDefault="00224102" w:rsidP="00A15A42">
            <w:pPr>
              <w:ind w:right="-41"/>
              <w:jc w:val="right"/>
              <w:rPr>
                <w:sz w:val="18"/>
                <w:szCs w:val="18"/>
              </w:rPr>
            </w:pPr>
            <w:r>
              <w:rPr>
                <w:sz w:val="18"/>
                <w:szCs w:val="18"/>
              </w:rPr>
              <w:t>-</w:t>
            </w:r>
          </w:p>
        </w:tc>
        <w:tc>
          <w:tcPr>
            <w:tcW w:w="1413" w:type="dxa"/>
            <w:vAlign w:val="bottom"/>
          </w:tcPr>
          <w:p w14:paraId="6AF6AAF5" w14:textId="5A3F668B" w:rsidR="00224102" w:rsidRDefault="00224102" w:rsidP="00A15A42">
            <w:pPr>
              <w:ind w:right="-41"/>
              <w:jc w:val="right"/>
              <w:rPr>
                <w:sz w:val="18"/>
                <w:szCs w:val="18"/>
              </w:rPr>
            </w:pPr>
            <w:r>
              <w:rPr>
                <w:sz w:val="18"/>
                <w:szCs w:val="18"/>
              </w:rPr>
              <w:t>1,220,214</w:t>
            </w:r>
          </w:p>
        </w:tc>
        <w:tc>
          <w:tcPr>
            <w:tcW w:w="1302" w:type="dxa"/>
            <w:vAlign w:val="bottom"/>
          </w:tcPr>
          <w:p w14:paraId="14096C9F" w14:textId="3AD19A52" w:rsidR="00224102" w:rsidRPr="00692926" w:rsidRDefault="00224102" w:rsidP="00A15A42">
            <w:pPr>
              <w:tabs>
                <w:tab w:val="left" w:pos="0"/>
              </w:tabs>
              <w:ind w:right="-41"/>
              <w:jc w:val="right"/>
              <w:rPr>
                <w:sz w:val="18"/>
                <w:szCs w:val="18"/>
              </w:rPr>
            </w:pPr>
            <w:r w:rsidRPr="00692926">
              <w:rPr>
                <w:sz w:val="18"/>
                <w:szCs w:val="18"/>
              </w:rPr>
              <w:t>-</w:t>
            </w:r>
          </w:p>
        </w:tc>
        <w:tc>
          <w:tcPr>
            <w:tcW w:w="1316" w:type="dxa"/>
            <w:vAlign w:val="bottom"/>
          </w:tcPr>
          <w:p w14:paraId="4898CDBA" w14:textId="7EEB139E" w:rsidR="00224102" w:rsidRPr="00692926" w:rsidRDefault="00224102" w:rsidP="00A15A42">
            <w:pPr>
              <w:tabs>
                <w:tab w:val="left" w:pos="0"/>
              </w:tabs>
              <w:ind w:right="-41"/>
              <w:jc w:val="right"/>
              <w:rPr>
                <w:sz w:val="18"/>
                <w:szCs w:val="18"/>
              </w:rPr>
            </w:pPr>
            <w:r w:rsidRPr="00692926">
              <w:rPr>
                <w:sz w:val="18"/>
                <w:szCs w:val="18"/>
              </w:rPr>
              <w:t>1,010,812</w:t>
            </w:r>
          </w:p>
        </w:tc>
      </w:tr>
      <w:tr w:rsidR="00224102" w:rsidRPr="00604C75" w14:paraId="62CA95A4" w14:textId="77777777" w:rsidTr="00FD0C7A">
        <w:trPr>
          <w:trHeight w:val="284"/>
        </w:trPr>
        <w:tc>
          <w:tcPr>
            <w:tcW w:w="3679" w:type="dxa"/>
            <w:vAlign w:val="bottom"/>
          </w:tcPr>
          <w:p w14:paraId="47EEC976" w14:textId="77777777" w:rsidR="00224102" w:rsidRPr="00604C75" w:rsidRDefault="00224102" w:rsidP="00224102">
            <w:pPr>
              <w:tabs>
                <w:tab w:val="left" w:pos="0"/>
              </w:tabs>
              <w:ind w:right="188"/>
              <w:rPr>
                <w:b/>
                <w:sz w:val="18"/>
              </w:rPr>
            </w:pPr>
            <w:r w:rsidRPr="00604C75">
              <w:rPr>
                <w:b/>
                <w:sz w:val="18"/>
              </w:rPr>
              <w:t>Total</w:t>
            </w:r>
          </w:p>
        </w:tc>
        <w:tc>
          <w:tcPr>
            <w:tcW w:w="1627" w:type="dxa"/>
            <w:vAlign w:val="bottom"/>
          </w:tcPr>
          <w:p w14:paraId="2EB3902E" w14:textId="4975CD00" w:rsidR="00224102" w:rsidRPr="00697825" w:rsidRDefault="00224102" w:rsidP="00A15A42">
            <w:pPr>
              <w:ind w:right="-41"/>
              <w:jc w:val="right"/>
              <w:rPr>
                <w:b/>
                <w:sz w:val="18"/>
                <w:szCs w:val="18"/>
              </w:rPr>
            </w:pPr>
            <w:r w:rsidRPr="00697825">
              <w:rPr>
                <w:b/>
                <w:sz w:val="18"/>
                <w:szCs w:val="18"/>
              </w:rPr>
              <w:t>23,074</w:t>
            </w:r>
          </w:p>
        </w:tc>
        <w:tc>
          <w:tcPr>
            <w:tcW w:w="1413" w:type="dxa"/>
            <w:vAlign w:val="bottom"/>
          </w:tcPr>
          <w:p w14:paraId="39AF0629" w14:textId="701B7151" w:rsidR="00224102" w:rsidRPr="00697825" w:rsidRDefault="00224102" w:rsidP="00A15A42">
            <w:pPr>
              <w:ind w:right="-41"/>
              <w:jc w:val="right"/>
              <w:rPr>
                <w:b/>
                <w:sz w:val="18"/>
                <w:szCs w:val="18"/>
              </w:rPr>
            </w:pPr>
            <w:r w:rsidRPr="00697825">
              <w:rPr>
                <w:b/>
                <w:sz w:val="18"/>
                <w:szCs w:val="18"/>
              </w:rPr>
              <w:t>1,441,984</w:t>
            </w:r>
          </w:p>
        </w:tc>
        <w:tc>
          <w:tcPr>
            <w:tcW w:w="1302" w:type="dxa"/>
            <w:vAlign w:val="bottom"/>
          </w:tcPr>
          <w:p w14:paraId="0A8C1762" w14:textId="4523C5A7" w:rsidR="00224102" w:rsidRPr="00692926" w:rsidRDefault="00224102" w:rsidP="00A15A42">
            <w:pPr>
              <w:tabs>
                <w:tab w:val="left" w:pos="0"/>
              </w:tabs>
              <w:ind w:right="-41"/>
              <w:jc w:val="right"/>
              <w:rPr>
                <w:b/>
                <w:sz w:val="18"/>
                <w:szCs w:val="18"/>
              </w:rPr>
            </w:pPr>
            <w:r w:rsidRPr="00692926">
              <w:rPr>
                <w:b/>
                <w:sz w:val="18"/>
                <w:szCs w:val="18"/>
              </w:rPr>
              <w:t>126,496</w:t>
            </w:r>
          </w:p>
        </w:tc>
        <w:tc>
          <w:tcPr>
            <w:tcW w:w="1316" w:type="dxa"/>
            <w:vAlign w:val="bottom"/>
          </w:tcPr>
          <w:p w14:paraId="3B69BED4" w14:textId="43058145" w:rsidR="00224102" w:rsidRPr="00692926" w:rsidRDefault="00224102" w:rsidP="00A15A42">
            <w:pPr>
              <w:tabs>
                <w:tab w:val="left" w:pos="0"/>
              </w:tabs>
              <w:ind w:right="-41"/>
              <w:jc w:val="right"/>
              <w:rPr>
                <w:b/>
                <w:sz w:val="18"/>
                <w:szCs w:val="18"/>
              </w:rPr>
            </w:pPr>
            <w:r w:rsidRPr="00692926">
              <w:rPr>
                <w:b/>
                <w:sz w:val="18"/>
                <w:szCs w:val="18"/>
              </w:rPr>
              <w:t>1,134,207</w:t>
            </w:r>
          </w:p>
        </w:tc>
      </w:tr>
    </w:tbl>
    <w:p w14:paraId="10DBB17D" w14:textId="0B8297A4" w:rsidR="005E33B0" w:rsidRPr="00D410C8" w:rsidRDefault="00CA373B" w:rsidP="00D410C8">
      <w:pPr>
        <w:pStyle w:val="BodyTextIndent"/>
        <w:spacing w:before="60" w:after="0"/>
        <w:ind w:left="142" w:right="-8"/>
        <w:jc w:val="both"/>
        <w:rPr>
          <w:sz w:val="18"/>
          <w:szCs w:val="18"/>
        </w:rPr>
      </w:pPr>
      <w:r w:rsidRPr="00D410C8">
        <w:rPr>
          <w:sz w:val="18"/>
          <w:szCs w:val="18"/>
          <w:vertAlign w:val="superscript"/>
          <w:lang w:eastAsia="tr-TR"/>
        </w:rPr>
        <w:t>(*)</w:t>
      </w:r>
      <w:r w:rsidR="006044C9" w:rsidRPr="00D410C8">
        <w:rPr>
          <w:sz w:val="18"/>
          <w:szCs w:val="18"/>
          <w:vertAlign w:val="superscript"/>
          <w:lang w:eastAsia="tr-TR"/>
        </w:rPr>
        <w:t xml:space="preserve"> </w:t>
      </w:r>
      <w:r w:rsidR="005E33B0" w:rsidRPr="00D410C8">
        <w:rPr>
          <w:sz w:val="18"/>
          <w:szCs w:val="18"/>
        </w:rPr>
        <w:t xml:space="preserve">The reserve requirement </w:t>
      </w:r>
      <w:r w:rsidR="00877CBD">
        <w:rPr>
          <w:sz w:val="18"/>
          <w:szCs w:val="18"/>
        </w:rPr>
        <w:t>hold</w:t>
      </w:r>
      <w:r w:rsidR="005E33B0" w:rsidRPr="00D410C8">
        <w:rPr>
          <w:sz w:val="18"/>
          <w:szCs w:val="18"/>
        </w:rPr>
        <w:t xml:space="preserve"> as average has been classified </w:t>
      </w:r>
      <w:r w:rsidR="00877CBD">
        <w:rPr>
          <w:sz w:val="18"/>
          <w:szCs w:val="18"/>
        </w:rPr>
        <w:t>under</w:t>
      </w:r>
      <w:r w:rsidR="005E33B0" w:rsidRPr="00D410C8">
        <w:rPr>
          <w:sz w:val="18"/>
          <w:szCs w:val="18"/>
        </w:rPr>
        <w:t xml:space="preserve"> “Central Bank Demand Unrestricted Account” </w:t>
      </w:r>
      <w:r w:rsidR="00877CBD">
        <w:rPr>
          <w:sz w:val="18"/>
          <w:szCs w:val="18"/>
        </w:rPr>
        <w:t xml:space="preserve">pursuant to the </w:t>
      </w:r>
      <w:r w:rsidR="005E33B0" w:rsidRPr="00D410C8">
        <w:rPr>
          <w:sz w:val="18"/>
          <w:szCs w:val="18"/>
        </w:rPr>
        <w:t>correspondence with BRSA as of 3 January 2008.</w:t>
      </w:r>
    </w:p>
    <w:p w14:paraId="5734B404" w14:textId="77777777" w:rsidR="005E33B0" w:rsidRPr="00604C75" w:rsidRDefault="005E33B0" w:rsidP="00185948">
      <w:pPr>
        <w:pStyle w:val="BodyTextIndent"/>
        <w:tabs>
          <w:tab w:val="left" w:pos="0"/>
        </w:tabs>
        <w:spacing w:after="0"/>
        <w:ind w:left="0"/>
        <w:rPr>
          <w:sz w:val="16"/>
          <w:szCs w:val="16"/>
        </w:rPr>
      </w:pPr>
    </w:p>
    <w:p w14:paraId="1BEAF2B8" w14:textId="77777777" w:rsidR="005E33B0" w:rsidRPr="00604C75" w:rsidRDefault="005E33B0" w:rsidP="008477F3">
      <w:pPr>
        <w:pStyle w:val="BodyTextIndent"/>
        <w:numPr>
          <w:ilvl w:val="0"/>
          <w:numId w:val="15"/>
        </w:numPr>
        <w:tabs>
          <w:tab w:val="clear" w:pos="1440"/>
          <w:tab w:val="left" w:pos="0"/>
          <w:tab w:val="num" w:pos="567"/>
          <w:tab w:val="left" w:pos="1701"/>
        </w:tabs>
        <w:spacing w:after="0"/>
        <w:ind w:left="0" w:firstLine="0"/>
        <w:jc w:val="both"/>
        <w:rPr>
          <w:sz w:val="20"/>
          <w:szCs w:val="20"/>
        </w:rPr>
      </w:pPr>
      <w:r w:rsidRPr="00604C75">
        <w:rPr>
          <w:sz w:val="20"/>
          <w:szCs w:val="20"/>
        </w:rPr>
        <w:t>Info</w:t>
      </w:r>
      <w:r w:rsidR="00711BD1" w:rsidRPr="00604C75">
        <w:rPr>
          <w:sz w:val="20"/>
          <w:szCs w:val="20"/>
        </w:rPr>
        <w:t>rmation on reserve requirements</w:t>
      </w:r>
    </w:p>
    <w:p w14:paraId="1F6E3A96" w14:textId="77777777" w:rsidR="005E33B0" w:rsidRPr="00604C75" w:rsidRDefault="005E33B0" w:rsidP="00185948">
      <w:pPr>
        <w:pStyle w:val="BodyTextIndent"/>
        <w:tabs>
          <w:tab w:val="left" w:pos="0"/>
        </w:tabs>
        <w:spacing w:after="0"/>
        <w:ind w:left="0"/>
        <w:rPr>
          <w:sz w:val="16"/>
          <w:szCs w:val="16"/>
        </w:rPr>
      </w:pPr>
    </w:p>
    <w:p w14:paraId="62CA59BE" w14:textId="65CE3F06" w:rsidR="005E33B0" w:rsidRPr="00604C75" w:rsidRDefault="005E33B0" w:rsidP="00185948">
      <w:pPr>
        <w:pStyle w:val="BodyTextIndent"/>
        <w:tabs>
          <w:tab w:val="left" w:pos="0"/>
        </w:tabs>
        <w:spacing w:after="0"/>
        <w:ind w:left="0"/>
        <w:jc w:val="both"/>
        <w:rPr>
          <w:sz w:val="20"/>
          <w:szCs w:val="20"/>
        </w:rPr>
      </w:pPr>
      <w:r w:rsidRPr="00604C75">
        <w:rPr>
          <w:sz w:val="20"/>
          <w:szCs w:val="20"/>
        </w:rPr>
        <w:t>The banks which are established in Turkey or operates in Turkey through opening a branch shall be subjected to T.C. Central Bank’s No. 2005/1 Regulation Required Reserves. The amount includes the amount that is going to found with deducting the items that stated in the Communiqué from the banks total domestic liabilities and branches abroad on behalf of the deposits accepted from Turkey liabilities subject to reserve requirements.</w:t>
      </w:r>
    </w:p>
    <w:p w14:paraId="07E1B248" w14:textId="77777777" w:rsidR="005E33B0" w:rsidRPr="00604C75" w:rsidRDefault="005E33B0" w:rsidP="00185948">
      <w:pPr>
        <w:pStyle w:val="BodyTextIndent"/>
        <w:tabs>
          <w:tab w:val="left" w:pos="0"/>
        </w:tabs>
        <w:spacing w:after="0"/>
        <w:ind w:left="0"/>
        <w:jc w:val="both"/>
        <w:rPr>
          <w:sz w:val="16"/>
          <w:szCs w:val="16"/>
        </w:rPr>
      </w:pPr>
    </w:p>
    <w:p w14:paraId="788128FA" w14:textId="62BA2473" w:rsidR="005E33B0" w:rsidRPr="00195EDC" w:rsidRDefault="005E33B0" w:rsidP="00185948">
      <w:pPr>
        <w:pStyle w:val="BodyTextIndent"/>
        <w:tabs>
          <w:tab w:val="left" w:pos="0"/>
        </w:tabs>
        <w:spacing w:after="0"/>
        <w:ind w:left="0"/>
        <w:jc w:val="both"/>
        <w:rPr>
          <w:sz w:val="20"/>
          <w:szCs w:val="20"/>
          <w:shd w:val="clear" w:color="auto" w:fill="FFFFFF"/>
        </w:rPr>
      </w:pPr>
      <w:r w:rsidRPr="00223BF2">
        <w:rPr>
          <w:sz w:val="20"/>
          <w:szCs w:val="20"/>
          <w:shd w:val="clear" w:color="auto" w:fill="FFFFFF"/>
        </w:rPr>
        <w:t xml:space="preserve">The required </w:t>
      </w:r>
      <w:r w:rsidRPr="00195EDC">
        <w:rPr>
          <w:sz w:val="20"/>
          <w:szCs w:val="20"/>
          <w:shd w:val="clear" w:color="auto" w:fill="FFFFFF"/>
        </w:rPr>
        <w:t xml:space="preserve">reserves may keep in reserve in Central Bank of </w:t>
      </w:r>
      <w:r w:rsidR="000016E5">
        <w:rPr>
          <w:sz w:val="20"/>
          <w:szCs w:val="20"/>
          <w:shd w:val="clear" w:color="auto" w:fill="FFFFFF"/>
        </w:rPr>
        <w:t>Turkey as Turkish Lira, USD and/</w:t>
      </w:r>
      <w:r w:rsidRPr="00195EDC">
        <w:rPr>
          <w:sz w:val="20"/>
          <w:szCs w:val="20"/>
          <w:shd w:val="clear" w:color="auto" w:fill="FFFFFF"/>
        </w:rPr>
        <w:t>or E</w:t>
      </w:r>
      <w:r w:rsidR="00F51CB2" w:rsidRPr="00195EDC">
        <w:rPr>
          <w:sz w:val="20"/>
          <w:szCs w:val="20"/>
          <w:shd w:val="clear" w:color="auto" w:fill="FFFFFF"/>
        </w:rPr>
        <w:t>uro and standard gold. As of 3</w:t>
      </w:r>
      <w:r w:rsidR="00CE4C96" w:rsidRPr="00195EDC">
        <w:rPr>
          <w:sz w:val="20"/>
          <w:szCs w:val="20"/>
          <w:shd w:val="clear" w:color="auto" w:fill="FFFFFF"/>
        </w:rPr>
        <w:t>1</w:t>
      </w:r>
      <w:r w:rsidR="00F51CB2" w:rsidRPr="00195EDC">
        <w:rPr>
          <w:sz w:val="20"/>
          <w:szCs w:val="20"/>
          <w:shd w:val="clear" w:color="auto" w:fill="FFFFFF"/>
        </w:rPr>
        <w:t xml:space="preserve"> </w:t>
      </w:r>
      <w:r w:rsidR="00CE4C96" w:rsidRPr="00195EDC">
        <w:rPr>
          <w:sz w:val="20"/>
          <w:szCs w:val="20"/>
          <w:shd w:val="clear" w:color="auto" w:fill="FFFFFF"/>
        </w:rPr>
        <w:t xml:space="preserve">December </w:t>
      </w:r>
      <w:r w:rsidRPr="00195EDC">
        <w:rPr>
          <w:sz w:val="20"/>
          <w:szCs w:val="20"/>
          <w:shd w:val="clear" w:color="auto" w:fill="FFFFFF"/>
        </w:rPr>
        <w:t>201</w:t>
      </w:r>
      <w:r w:rsidR="00E52A38" w:rsidRPr="00195EDC">
        <w:rPr>
          <w:sz w:val="20"/>
          <w:szCs w:val="20"/>
          <w:shd w:val="clear" w:color="auto" w:fill="FFFFFF"/>
        </w:rPr>
        <w:t>5</w:t>
      </w:r>
      <w:r w:rsidRPr="00195EDC">
        <w:rPr>
          <w:sz w:val="20"/>
          <w:szCs w:val="20"/>
          <w:shd w:val="clear" w:color="auto" w:fill="FFFFFF"/>
        </w:rPr>
        <w:t>, the Turkish lira required reserve ratios are determined to</w:t>
      </w:r>
      <w:r w:rsidR="00E52A38" w:rsidRPr="00195EDC">
        <w:rPr>
          <w:sz w:val="20"/>
          <w:szCs w:val="20"/>
          <w:shd w:val="clear" w:color="auto" w:fill="FFFFFF"/>
        </w:rPr>
        <w:t xml:space="preserve"> be within the range of 5% - 11.</w:t>
      </w:r>
      <w:r w:rsidRPr="00195EDC">
        <w:rPr>
          <w:sz w:val="20"/>
          <w:szCs w:val="20"/>
          <w:shd w:val="clear" w:color="auto" w:fill="FFFFFF"/>
        </w:rPr>
        <w:t>5% depending on the maturity structure of deposits denominated in Turkish Lira (31 December 201</w:t>
      </w:r>
      <w:r w:rsidR="00E52A38" w:rsidRPr="00195EDC">
        <w:rPr>
          <w:sz w:val="20"/>
          <w:szCs w:val="20"/>
          <w:shd w:val="clear" w:color="auto" w:fill="FFFFFF"/>
        </w:rPr>
        <w:t>4</w:t>
      </w:r>
      <w:r w:rsidRPr="00195EDC">
        <w:rPr>
          <w:sz w:val="20"/>
          <w:szCs w:val="20"/>
          <w:shd w:val="clear" w:color="auto" w:fill="FFFFFF"/>
        </w:rPr>
        <w:t>: 5%-11</w:t>
      </w:r>
      <w:r w:rsidR="00E52A38" w:rsidRPr="00195EDC">
        <w:rPr>
          <w:sz w:val="20"/>
          <w:szCs w:val="20"/>
          <w:shd w:val="clear" w:color="auto" w:fill="FFFFFF"/>
        </w:rPr>
        <w:t>.</w:t>
      </w:r>
      <w:r w:rsidR="003A02CA" w:rsidRPr="00195EDC">
        <w:rPr>
          <w:sz w:val="20"/>
          <w:szCs w:val="20"/>
          <w:shd w:val="clear" w:color="auto" w:fill="FFFFFF"/>
        </w:rPr>
        <w:t>5</w:t>
      </w:r>
      <w:r w:rsidRPr="00195EDC">
        <w:rPr>
          <w:sz w:val="20"/>
          <w:szCs w:val="20"/>
          <w:shd w:val="clear" w:color="auto" w:fill="FFFFFF"/>
        </w:rPr>
        <w:t xml:space="preserve">% for all Turkish lira liabilities), and the required reserve ratios for foreign currency deposits within the range of </w:t>
      </w:r>
      <w:r w:rsidR="00EC58CD" w:rsidRPr="00195EDC">
        <w:rPr>
          <w:sz w:val="20"/>
          <w:szCs w:val="20"/>
          <w:shd w:val="clear" w:color="auto" w:fill="FFFFFF"/>
        </w:rPr>
        <w:t>9</w:t>
      </w:r>
      <w:r w:rsidRPr="00195EDC">
        <w:rPr>
          <w:sz w:val="20"/>
          <w:szCs w:val="20"/>
          <w:shd w:val="clear" w:color="auto" w:fill="FFFFFF"/>
        </w:rPr>
        <w:t>% - 13%</w:t>
      </w:r>
      <w:r w:rsidR="00EC58CD" w:rsidRPr="00195EDC">
        <w:rPr>
          <w:sz w:val="20"/>
          <w:szCs w:val="20"/>
          <w:shd w:val="clear" w:color="auto" w:fill="FFFFFF"/>
        </w:rPr>
        <w:t xml:space="preserve"> and other</w:t>
      </w:r>
      <w:r w:rsidR="00E500F4" w:rsidRPr="00195EDC">
        <w:rPr>
          <w:sz w:val="20"/>
          <w:szCs w:val="20"/>
          <w:shd w:val="clear" w:color="auto" w:fill="FFFFFF"/>
        </w:rPr>
        <w:t xml:space="preserve"> foreign currency</w:t>
      </w:r>
      <w:r w:rsidR="00EC58CD" w:rsidRPr="00195EDC">
        <w:rPr>
          <w:sz w:val="20"/>
          <w:szCs w:val="20"/>
          <w:shd w:val="clear" w:color="auto" w:fill="FFFFFF"/>
        </w:rPr>
        <w:t xml:space="preserve"> liabilities</w:t>
      </w:r>
      <w:r w:rsidR="003A02CA" w:rsidRPr="00195EDC">
        <w:rPr>
          <w:sz w:val="20"/>
          <w:szCs w:val="20"/>
          <w:shd w:val="clear" w:color="auto" w:fill="FFFFFF"/>
        </w:rPr>
        <w:t xml:space="preserve"> within the range of </w:t>
      </w:r>
      <w:r w:rsidR="00F00AB4" w:rsidRPr="00195EDC">
        <w:rPr>
          <w:sz w:val="20"/>
          <w:szCs w:val="20"/>
          <w:shd w:val="clear" w:color="auto" w:fill="FFFFFF"/>
        </w:rPr>
        <w:t>5</w:t>
      </w:r>
      <w:r w:rsidR="003A02CA" w:rsidRPr="00195EDC">
        <w:rPr>
          <w:sz w:val="20"/>
          <w:szCs w:val="20"/>
          <w:shd w:val="clear" w:color="auto" w:fill="FFFFFF"/>
        </w:rPr>
        <w:t>%-</w:t>
      </w:r>
      <w:r w:rsidR="00E52A38" w:rsidRPr="00195EDC">
        <w:rPr>
          <w:sz w:val="20"/>
          <w:szCs w:val="20"/>
          <w:shd w:val="clear" w:color="auto" w:fill="FFFFFF"/>
        </w:rPr>
        <w:t>2</w:t>
      </w:r>
      <w:r w:rsidR="00F00AB4" w:rsidRPr="00195EDC">
        <w:rPr>
          <w:sz w:val="20"/>
          <w:szCs w:val="20"/>
          <w:shd w:val="clear" w:color="auto" w:fill="FFFFFF"/>
        </w:rPr>
        <w:t>5</w:t>
      </w:r>
      <w:r w:rsidR="003A02CA" w:rsidRPr="00195EDC">
        <w:rPr>
          <w:sz w:val="20"/>
          <w:szCs w:val="20"/>
          <w:shd w:val="clear" w:color="auto" w:fill="FFFFFF"/>
        </w:rPr>
        <w:t xml:space="preserve">% </w:t>
      </w:r>
      <w:r w:rsidRPr="00195EDC">
        <w:rPr>
          <w:sz w:val="20"/>
          <w:szCs w:val="20"/>
          <w:shd w:val="clear" w:color="auto" w:fill="FFFFFF"/>
        </w:rPr>
        <w:t>(31 December 201</w:t>
      </w:r>
      <w:r w:rsidR="00E52A38" w:rsidRPr="00195EDC">
        <w:rPr>
          <w:sz w:val="20"/>
          <w:szCs w:val="20"/>
          <w:shd w:val="clear" w:color="auto" w:fill="FFFFFF"/>
        </w:rPr>
        <w:t>4</w:t>
      </w:r>
      <w:r w:rsidRPr="00195EDC">
        <w:rPr>
          <w:sz w:val="20"/>
          <w:szCs w:val="20"/>
          <w:shd w:val="clear" w:color="auto" w:fill="FFFFFF"/>
        </w:rPr>
        <w:t>: 6%-</w:t>
      </w:r>
      <w:r w:rsidR="003A02CA" w:rsidRPr="00195EDC">
        <w:rPr>
          <w:sz w:val="20"/>
          <w:szCs w:val="20"/>
          <w:shd w:val="clear" w:color="auto" w:fill="FFFFFF"/>
        </w:rPr>
        <w:t>13</w:t>
      </w:r>
      <w:r w:rsidRPr="00195EDC">
        <w:rPr>
          <w:sz w:val="20"/>
          <w:szCs w:val="20"/>
          <w:shd w:val="clear" w:color="auto" w:fill="FFFFFF"/>
        </w:rPr>
        <w:t>% for all foreign currency liabilities).</w:t>
      </w:r>
    </w:p>
    <w:p w14:paraId="0E0E0133" w14:textId="77777777" w:rsidR="005E33B0" w:rsidRPr="00195EDC" w:rsidRDefault="005E33B0" w:rsidP="00185948">
      <w:pPr>
        <w:pStyle w:val="BodyTextIndent"/>
        <w:tabs>
          <w:tab w:val="left" w:pos="0"/>
        </w:tabs>
        <w:spacing w:after="0"/>
        <w:ind w:left="0"/>
        <w:rPr>
          <w:sz w:val="16"/>
          <w:szCs w:val="16"/>
        </w:rPr>
      </w:pPr>
    </w:p>
    <w:p w14:paraId="4A50B71A" w14:textId="77777777" w:rsidR="005E33B0" w:rsidRPr="00195EDC" w:rsidRDefault="003A02CA" w:rsidP="00E83EAC">
      <w:pPr>
        <w:pStyle w:val="BodyTextIndent"/>
        <w:tabs>
          <w:tab w:val="left" w:pos="0"/>
        </w:tabs>
        <w:spacing w:after="0"/>
        <w:ind w:left="0"/>
        <w:jc w:val="both"/>
        <w:rPr>
          <w:sz w:val="20"/>
          <w:szCs w:val="20"/>
        </w:rPr>
      </w:pPr>
      <w:r w:rsidRPr="00195EDC">
        <w:rPr>
          <w:sz w:val="20"/>
          <w:szCs w:val="20"/>
        </w:rPr>
        <w:t xml:space="preserve">CBRT started to pay </w:t>
      </w:r>
      <w:r w:rsidR="005E33B0" w:rsidRPr="00195EDC">
        <w:rPr>
          <w:sz w:val="20"/>
          <w:szCs w:val="20"/>
        </w:rPr>
        <w:t xml:space="preserve">interest </w:t>
      </w:r>
      <w:r w:rsidRPr="00195EDC">
        <w:rPr>
          <w:sz w:val="20"/>
          <w:szCs w:val="20"/>
        </w:rPr>
        <w:t>for</w:t>
      </w:r>
      <w:r w:rsidR="005E33B0" w:rsidRPr="00195EDC">
        <w:rPr>
          <w:sz w:val="20"/>
          <w:szCs w:val="20"/>
        </w:rPr>
        <w:t xml:space="preserve"> the Turkish Lira</w:t>
      </w:r>
      <w:r w:rsidRPr="00195EDC">
        <w:rPr>
          <w:sz w:val="20"/>
          <w:szCs w:val="20"/>
        </w:rPr>
        <w:t xml:space="preserve"> reserve </w:t>
      </w:r>
      <w:r w:rsidR="00FE00EE" w:rsidRPr="00195EDC">
        <w:rPr>
          <w:sz w:val="20"/>
          <w:szCs w:val="20"/>
        </w:rPr>
        <w:t>since</w:t>
      </w:r>
      <w:r w:rsidRPr="00195EDC">
        <w:rPr>
          <w:sz w:val="20"/>
          <w:szCs w:val="20"/>
        </w:rPr>
        <w:t xml:space="preserve"> 5 November 2014.</w:t>
      </w:r>
      <w:r w:rsidR="00AA1AA6" w:rsidRPr="00195EDC">
        <w:rPr>
          <w:sz w:val="20"/>
          <w:szCs w:val="20"/>
        </w:rPr>
        <w:t xml:space="preserve"> CBRT also started to pay interest for the Foreign Currency reserve since 5 May 2015.</w:t>
      </w:r>
    </w:p>
    <w:p w14:paraId="158D356B" w14:textId="77777777" w:rsidR="00185948" w:rsidRPr="00195EDC" w:rsidRDefault="00185948" w:rsidP="00185948">
      <w:pPr>
        <w:pStyle w:val="BodyTextIndent"/>
        <w:tabs>
          <w:tab w:val="left" w:pos="0"/>
        </w:tabs>
        <w:spacing w:after="0"/>
        <w:ind w:left="0"/>
        <w:rPr>
          <w:sz w:val="20"/>
          <w:szCs w:val="20"/>
        </w:rPr>
      </w:pPr>
    </w:p>
    <w:p w14:paraId="6546FC98" w14:textId="77777777" w:rsidR="003A02CA" w:rsidRPr="00195EDC" w:rsidRDefault="003A02CA" w:rsidP="00185948">
      <w:pPr>
        <w:pStyle w:val="BodyTextIndent"/>
        <w:tabs>
          <w:tab w:val="left" w:pos="0"/>
        </w:tabs>
        <w:spacing w:after="0" w:line="48" w:lineRule="auto"/>
        <w:ind w:left="0"/>
        <w:rPr>
          <w:sz w:val="16"/>
          <w:szCs w:val="16"/>
        </w:rPr>
      </w:pPr>
    </w:p>
    <w:p w14:paraId="6F55524B" w14:textId="77777777" w:rsidR="005E33B0" w:rsidRPr="00195EDC" w:rsidRDefault="005E33B0" w:rsidP="008477F3">
      <w:pPr>
        <w:pStyle w:val="BodyTextIndent"/>
        <w:numPr>
          <w:ilvl w:val="0"/>
          <w:numId w:val="16"/>
        </w:numPr>
        <w:tabs>
          <w:tab w:val="clear" w:pos="1260"/>
          <w:tab w:val="left" w:pos="0"/>
          <w:tab w:val="num" w:pos="567"/>
        </w:tabs>
        <w:spacing w:after="0"/>
        <w:ind w:left="0" w:firstLine="0"/>
        <w:jc w:val="both"/>
        <w:rPr>
          <w:b/>
          <w:sz w:val="20"/>
          <w:szCs w:val="20"/>
        </w:rPr>
      </w:pPr>
      <w:r w:rsidRPr="00195EDC">
        <w:rPr>
          <w:b/>
          <w:sz w:val="20"/>
          <w:szCs w:val="20"/>
        </w:rPr>
        <w:t xml:space="preserve">Information </w:t>
      </w:r>
      <w:r w:rsidR="003C342C" w:rsidRPr="00195EDC">
        <w:rPr>
          <w:b/>
          <w:sz w:val="20"/>
          <w:szCs w:val="20"/>
        </w:rPr>
        <w:t>About Financial Assets at Fa</w:t>
      </w:r>
      <w:r w:rsidR="00711BD1" w:rsidRPr="00195EDC">
        <w:rPr>
          <w:b/>
          <w:sz w:val="20"/>
          <w:szCs w:val="20"/>
        </w:rPr>
        <w:t xml:space="preserve">ir Value Through Profit </w:t>
      </w:r>
      <w:r w:rsidR="007103C6" w:rsidRPr="00195EDC">
        <w:rPr>
          <w:b/>
          <w:sz w:val="20"/>
          <w:szCs w:val="20"/>
        </w:rPr>
        <w:t>o</w:t>
      </w:r>
      <w:r w:rsidR="00711BD1" w:rsidRPr="00195EDC">
        <w:rPr>
          <w:b/>
          <w:sz w:val="20"/>
          <w:szCs w:val="20"/>
        </w:rPr>
        <w:t>r Loss</w:t>
      </w:r>
    </w:p>
    <w:p w14:paraId="374309D9" w14:textId="77777777" w:rsidR="005E33B0" w:rsidRPr="00195EDC" w:rsidRDefault="005E33B0" w:rsidP="00185948">
      <w:pPr>
        <w:pStyle w:val="BodyTextIndent"/>
        <w:tabs>
          <w:tab w:val="left" w:pos="0"/>
        </w:tabs>
        <w:spacing w:after="0"/>
        <w:ind w:left="0"/>
        <w:rPr>
          <w:sz w:val="16"/>
          <w:szCs w:val="16"/>
        </w:rPr>
      </w:pPr>
    </w:p>
    <w:p w14:paraId="21DD9463" w14:textId="63A6909F" w:rsidR="003C342C" w:rsidRPr="00604C75" w:rsidRDefault="008C1382" w:rsidP="008477F3">
      <w:pPr>
        <w:pStyle w:val="BodyTextIndent"/>
        <w:numPr>
          <w:ilvl w:val="1"/>
          <w:numId w:val="16"/>
        </w:numPr>
        <w:tabs>
          <w:tab w:val="clear" w:pos="1980"/>
          <w:tab w:val="left" w:pos="0"/>
          <w:tab w:val="num" w:pos="567"/>
        </w:tabs>
        <w:spacing w:after="0"/>
        <w:ind w:left="0" w:firstLine="0"/>
        <w:jc w:val="both"/>
        <w:rPr>
          <w:sz w:val="20"/>
          <w:szCs w:val="20"/>
        </w:rPr>
      </w:pPr>
      <w:r w:rsidRPr="00195EDC">
        <w:rPr>
          <w:sz w:val="20"/>
          <w:szCs w:val="20"/>
        </w:rPr>
        <w:t xml:space="preserve">As of </w:t>
      </w:r>
      <w:r w:rsidR="00CE4C96" w:rsidRPr="00195EDC">
        <w:rPr>
          <w:sz w:val="20"/>
          <w:szCs w:val="20"/>
        </w:rPr>
        <w:t xml:space="preserve">31 December </w:t>
      </w:r>
      <w:r w:rsidRPr="00195EDC">
        <w:rPr>
          <w:sz w:val="20"/>
          <w:szCs w:val="20"/>
        </w:rPr>
        <w:t>2015 t</w:t>
      </w:r>
      <w:r w:rsidR="005D76B6" w:rsidRPr="00195EDC">
        <w:rPr>
          <w:sz w:val="20"/>
          <w:szCs w:val="20"/>
        </w:rPr>
        <w:t>he Group</w:t>
      </w:r>
      <w:r w:rsidR="00270266">
        <w:rPr>
          <w:sz w:val="20"/>
          <w:szCs w:val="20"/>
        </w:rPr>
        <w:t>,</w:t>
      </w:r>
      <w:r w:rsidR="0099471B" w:rsidRPr="00195EDC">
        <w:rPr>
          <w:sz w:val="20"/>
          <w:szCs w:val="20"/>
        </w:rPr>
        <w:t xml:space="preserve"> </w:t>
      </w:r>
      <w:r w:rsidR="00C23C0D" w:rsidRPr="00195EDC">
        <w:rPr>
          <w:sz w:val="20"/>
          <w:szCs w:val="20"/>
        </w:rPr>
        <w:t xml:space="preserve">does not </w:t>
      </w:r>
      <w:r w:rsidR="008B76A4" w:rsidRPr="00195EDC">
        <w:rPr>
          <w:sz w:val="20"/>
          <w:szCs w:val="20"/>
        </w:rPr>
        <w:t>have financial assets a</w:t>
      </w:r>
      <w:r w:rsidR="00270266">
        <w:rPr>
          <w:sz w:val="20"/>
          <w:szCs w:val="20"/>
        </w:rPr>
        <w:t>t fair value through profit/</w:t>
      </w:r>
      <w:r w:rsidR="008B76A4" w:rsidRPr="00195EDC">
        <w:rPr>
          <w:sz w:val="20"/>
          <w:szCs w:val="20"/>
        </w:rPr>
        <w:t>loss subject to repo transactions (31 December</w:t>
      </w:r>
      <w:r w:rsidR="00FA02C2" w:rsidRPr="00195EDC">
        <w:rPr>
          <w:sz w:val="20"/>
          <w:szCs w:val="20"/>
        </w:rPr>
        <w:t xml:space="preserve"> 2014</w:t>
      </w:r>
      <w:r w:rsidR="008B76A4" w:rsidRPr="00195EDC">
        <w:rPr>
          <w:sz w:val="20"/>
          <w:szCs w:val="20"/>
        </w:rPr>
        <w:t xml:space="preserve">: TL </w:t>
      </w:r>
      <w:r w:rsidR="00FA02C2" w:rsidRPr="00195EDC">
        <w:rPr>
          <w:sz w:val="20"/>
          <w:szCs w:val="20"/>
        </w:rPr>
        <w:t>138</w:t>
      </w:r>
      <w:r w:rsidR="008B76A4" w:rsidRPr="00195EDC">
        <w:rPr>
          <w:sz w:val="20"/>
          <w:szCs w:val="20"/>
        </w:rPr>
        <w:t>)</w:t>
      </w:r>
      <w:r w:rsidR="0057407D" w:rsidRPr="00195EDC">
        <w:rPr>
          <w:sz w:val="20"/>
          <w:szCs w:val="20"/>
        </w:rPr>
        <w:t xml:space="preserve"> </w:t>
      </w:r>
      <w:r w:rsidR="008B76A4" w:rsidRPr="00195EDC">
        <w:rPr>
          <w:sz w:val="20"/>
          <w:szCs w:val="20"/>
        </w:rPr>
        <w:t xml:space="preserve">and have </w:t>
      </w:r>
      <w:r w:rsidR="00F00AB4" w:rsidRPr="00195EDC">
        <w:rPr>
          <w:sz w:val="20"/>
          <w:szCs w:val="20"/>
        </w:rPr>
        <w:t xml:space="preserve">no </w:t>
      </w:r>
      <w:r w:rsidR="008B76A4" w:rsidRPr="00195EDC">
        <w:rPr>
          <w:sz w:val="20"/>
          <w:szCs w:val="20"/>
        </w:rPr>
        <w:t>financial assets</w:t>
      </w:r>
      <w:r w:rsidR="008B76A4" w:rsidRPr="00CE4C96">
        <w:rPr>
          <w:sz w:val="20"/>
          <w:szCs w:val="20"/>
        </w:rPr>
        <w:t xml:space="preserve"> at</w:t>
      </w:r>
      <w:r w:rsidR="008B76A4" w:rsidRPr="00604C75">
        <w:rPr>
          <w:sz w:val="20"/>
          <w:szCs w:val="20"/>
        </w:rPr>
        <w:t xml:space="preserve"> fair value through profit and loss given as collateral/blocked amount.</w:t>
      </w:r>
    </w:p>
    <w:p w14:paraId="4C92698A" w14:textId="5F78034F" w:rsidR="003C342C" w:rsidRPr="00604C75" w:rsidRDefault="003C342C" w:rsidP="00224102">
      <w:pPr>
        <w:pStyle w:val="BodyTextIndent"/>
        <w:pageBreakBefore/>
        <w:tabs>
          <w:tab w:val="left" w:pos="360"/>
        </w:tabs>
        <w:spacing w:before="120"/>
        <w:ind w:left="357" w:right="17" w:hanging="357"/>
        <w:rPr>
          <w:b/>
          <w:bCs/>
          <w:sz w:val="20"/>
          <w:szCs w:val="20"/>
        </w:rPr>
      </w:pPr>
      <w:r w:rsidRPr="00604C75">
        <w:rPr>
          <w:rFonts w:eastAsia="Arial Unicode MS"/>
          <w:b/>
          <w:sz w:val="20"/>
          <w:szCs w:val="20"/>
        </w:rPr>
        <w:lastRenderedPageBreak/>
        <w:t xml:space="preserve">EXPLANATIONS AND </w:t>
      </w:r>
      <w:r w:rsidR="00B27B7B">
        <w:rPr>
          <w:rFonts w:eastAsia="Arial Unicode MS"/>
          <w:b/>
          <w:sz w:val="20"/>
          <w:szCs w:val="20"/>
        </w:rPr>
        <w:t>NOTES</w:t>
      </w:r>
      <w:r w:rsidRPr="00604C75">
        <w:rPr>
          <w:rFonts w:eastAsia="Arial Unicode MS"/>
          <w:b/>
          <w:sz w:val="20"/>
          <w:szCs w:val="20"/>
        </w:rPr>
        <w:t xml:space="preserve"> ON </w:t>
      </w:r>
      <w:r w:rsidR="00B27B7B">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7D53E497" w14:textId="17D9A112" w:rsidR="006A0EEE" w:rsidRPr="00604C75" w:rsidRDefault="006A0EEE" w:rsidP="00224102">
      <w:pPr>
        <w:pStyle w:val="Heading2"/>
        <w:tabs>
          <w:tab w:val="left" w:pos="851"/>
        </w:tabs>
        <w:ind w:left="851" w:hanging="851"/>
        <w:rPr>
          <w:rFonts w:ascii="Times New Roman" w:hAnsi="Times New Roman"/>
          <w:cap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35297A67" w14:textId="6C6B3DF3" w:rsidR="006C1F3B" w:rsidRPr="00604C75" w:rsidRDefault="00196A0E" w:rsidP="008477F3">
      <w:pPr>
        <w:pStyle w:val="BodyTextIndent"/>
        <w:numPr>
          <w:ilvl w:val="0"/>
          <w:numId w:val="58"/>
        </w:numPr>
        <w:tabs>
          <w:tab w:val="clear" w:pos="1260"/>
          <w:tab w:val="left" w:pos="0"/>
          <w:tab w:val="num" w:pos="1050"/>
        </w:tabs>
        <w:spacing w:before="80" w:after="0"/>
        <w:ind w:left="448" w:hanging="434"/>
        <w:jc w:val="both"/>
        <w:rPr>
          <w:b/>
          <w:sz w:val="20"/>
          <w:szCs w:val="20"/>
        </w:rPr>
      </w:pPr>
      <w:r>
        <w:rPr>
          <w:b/>
          <w:sz w:val="20"/>
          <w:szCs w:val="20"/>
        </w:rPr>
        <w:t xml:space="preserve">  </w:t>
      </w:r>
      <w:r w:rsidR="006C1F3B" w:rsidRPr="00604C75">
        <w:rPr>
          <w:b/>
          <w:sz w:val="20"/>
          <w:szCs w:val="20"/>
        </w:rPr>
        <w:t>Information About Financial Assets at Fair Value Through Profit Or Loss</w:t>
      </w:r>
      <w:r w:rsidR="00CC0CF0">
        <w:rPr>
          <w:b/>
          <w:sz w:val="20"/>
          <w:szCs w:val="20"/>
        </w:rPr>
        <w:t xml:space="preserve"> (Continued)</w:t>
      </w:r>
    </w:p>
    <w:p w14:paraId="06694C19" w14:textId="77777777" w:rsidR="005E33B0" w:rsidRPr="00604C75" w:rsidRDefault="00616698" w:rsidP="00224102">
      <w:pPr>
        <w:pStyle w:val="BodyTextIndent"/>
        <w:tabs>
          <w:tab w:val="left" w:pos="0"/>
        </w:tabs>
        <w:spacing w:before="120" w:after="0" w:line="216" w:lineRule="auto"/>
        <w:ind w:left="0" w:right="16"/>
        <w:jc w:val="both"/>
        <w:rPr>
          <w:sz w:val="20"/>
          <w:szCs w:val="20"/>
        </w:rPr>
      </w:pPr>
      <w:r w:rsidRPr="00604C75">
        <w:rPr>
          <w:sz w:val="20"/>
          <w:szCs w:val="20"/>
        </w:rPr>
        <w:t xml:space="preserve">2.   </w:t>
      </w:r>
      <w:r w:rsidR="003C342C" w:rsidRPr="00604C75">
        <w:rPr>
          <w:sz w:val="20"/>
          <w:szCs w:val="20"/>
        </w:rPr>
        <w:t xml:space="preserve">   </w:t>
      </w:r>
      <w:r w:rsidR="005E33B0" w:rsidRPr="00604C75">
        <w:rPr>
          <w:sz w:val="20"/>
          <w:szCs w:val="20"/>
        </w:rPr>
        <w:t>Positive differences related to trad</w:t>
      </w:r>
      <w:r w:rsidR="00711BD1" w:rsidRPr="00604C75">
        <w:rPr>
          <w:sz w:val="20"/>
          <w:szCs w:val="20"/>
        </w:rPr>
        <w:t>ing derivative financial assets</w:t>
      </w:r>
    </w:p>
    <w:p w14:paraId="1099050C" w14:textId="77777777" w:rsidR="005E33B0" w:rsidRPr="00604C75" w:rsidRDefault="005E33B0" w:rsidP="005700FE">
      <w:pPr>
        <w:pStyle w:val="BodyTextIndent"/>
        <w:tabs>
          <w:tab w:val="left" w:pos="0"/>
        </w:tabs>
        <w:spacing w:after="0" w:line="120" w:lineRule="auto"/>
        <w:ind w:left="1701" w:right="17"/>
        <w:rPr>
          <w:bCs/>
          <w:sz w:val="14"/>
          <w:szCs w:val="14"/>
        </w:rPr>
      </w:pPr>
    </w:p>
    <w:tbl>
      <w:tblPr>
        <w:tblW w:w="9365"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390"/>
        <w:gridCol w:w="1790"/>
        <w:gridCol w:w="1592"/>
        <w:gridCol w:w="1338"/>
        <w:gridCol w:w="1255"/>
      </w:tblGrid>
      <w:tr w:rsidR="00B464DF" w:rsidRPr="00604C75" w14:paraId="79B9E294" w14:textId="77777777" w:rsidTr="00FD0C7A">
        <w:trPr>
          <w:trHeight w:val="238"/>
        </w:trPr>
        <w:tc>
          <w:tcPr>
            <w:tcW w:w="3390" w:type="dxa"/>
            <w:vMerge w:val="restart"/>
            <w:vAlign w:val="bottom"/>
          </w:tcPr>
          <w:p w14:paraId="5963460B" w14:textId="77777777" w:rsidR="00B464DF" w:rsidRPr="00604C75" w:rsidRDefault="00B464DF"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rFonts w:eastAsia="Times New Roman"/>
                <w:lang w:val="en-US"/>
              </w:rPr>
            </w:pPr>
          </w:p>
        </w:tc>
        <w:tc>
          <w:tcPr>
            <w:tcW w:w="3382" w:type="dxa"/>
            <w:gridSpan w:val="2"/>
            <w:vAlign w:val="bottom"/>
          </w:tcPr>
          <w:p w14:paraId="50830609" w14:textId="77777777" w:rsidR="00B464DF" w:rsidRPr="00604C75" w:rsidRDefault="00B464DF">
            <w:pPr>
              <w:tabs>
                <w:tab w:val="left" w:pos="0"/>
              </w:tabs>
              <w:spacing w:line="216" w:lineRule="auto"/>
              <w:jc w:val="center"/>
              <w:rPr>
                <w:b/>
                <w:bCs/>
                <w:sz w:val="18"/>
                <w:szCs w:val="18"/>
              </w:rPr>
            </w:pPr>
            <w:r>
              <w:rPr>
                <w:b/>
                <w:bCs/>
                <w:sz w:val="18"/>
                <w:szCs w:val="18"/>
              </w:rPr>
              <w:t>31 December</w:t>
            </w:r>
            <w:r w:rsidRPr="00604C75">
              <w:rPr>
                <w:b/>
                <w:bCs/>
                <w:sz w:val="18"/>
                <w:szCs w:val="18"/>
              </w:rPr>
              <w:t xml:space="preserve"> 2015</w:t>
            </w:r>
          </w:p>
        </w:tc>
        <w:tc>
          <w:tcPr>
            <w:tcW w:w="2593" w:type="dxa"/>
            <w:gridSpan w:val="2"/>
            <w:vAlign w:val="bottom"/>
          </w:tcPr>
          <w:p w14:paraId="4D8B72A4" w14:textId="77777777" w:rsidR="00B464DF" w:rsidRPr="00604C75" w:rsidRDefault="00B464DF">
            <w:pPr>
              <w:tabs>
                <w:tab w:val="left" w:pos="0"/>
              </w:tabs>
              <w:spacing w:line="216" w:lineRule="auto"/>
              <w:jc w:val="center"/>
              <w:rPr>
                <w:b/>
                <w:bCs/>
                <w:sz w:val="18"/>
                <w:szCs w:val="18"/>
              </w:rPr>
            </w:pPr>
            <w:r w:rsidRPr="00604C75">
              <w:rPr>
                <w:b/>
                <w:bCs/>
                <w:sz w:val="18"/>
                <w:szCs w:val="18"/>
              </w:rPr>
              <w:t xml:space="preserve">31 December </w:t>
            </w:r>
            <w:r w:rsidRPr="00604C75">
              <w:rPr>
                <w:b/>
                <w:bCs/>
                <w:sz w:val="18"/>
              </w:rPr>
              <w:t>2014</w:t>
            </w:r>
          </w:p>
        </w:tc>
      </w:tr>
      <w:tr w:rsidR="005E33B0" w:rsidRPr="00604C75" w14:paraId="69980047" w14:textId="77777777" w:rsidTr="00FD0C7A">
        <w:trPr>
          <w:trHeight w:val="238"/>
        </w:trPr>
        <w:tc>
          <w:tcPr>
            <w:tcW w:w="3390" w:type="dxa"/>
            <w:vMerge/>
            <w:vAlign w:val="bottom"/>
          </w:tcPr>
          <w:p w14:paraId="6B364245" w14:textId="77777777" w:rsidR="005E33B0" w:rsidRPr="00604C75" w:rsidRDefault="005E33B0" w:rsidP="00711BD1">
            <w:pPr>
              <w:tabs>
                <w:tab w:val="left" w:pos="0"/>
              </w:tabs>
              <w:spacing w:line="216" w:lineRule="auto"/>
              <w:rPr>
                <w:sz w:val="18"/>
                <w:szCs w:val="18"/>
              </w:rPr>
            </w:pPr>
          </w:p>
        </w:tc>
        <w:tc>
          <w:tcPr>
            <w:tcW w:w="1790" w:type="dxa"/>
            <w:vAlign w:val="bottom"/>
          </w:tcPr>
          <w:p w14:paraId="1B9950AC" w14:textId="77777777" w:rsidR="005E33B0" w:rsidRPr="00604C75" w:rsidRDefault="005E33B0" w:rsidP="00270266">
            <w:pPr>
              <w:tabs>
                <w:tab w:val="left" w:pos="0"/>
              </w:tabs>
              <w:spacing w:line="216" w:lineRule="auto"/>
              <w:ind w:right="-41"/>
              <w:jc w:val="right"/>
              <w:rPr>
                <w:b/>
                <w:bCs/>
                <w:sz w:val="18"/>
                <w:szCs w:val="18"/>
              </w:rPr>
            </w:pPr>
            <w:r w:rsidRPr="00604C75">
              <w:rPr>
                <w:b/>
                <w:bCs/>
                <w:sz w:val="18"/>
                <w:szCs w:val="18"/>
              </w:rPr>
              <w:t>TL</w:t>
            </w:r>
          </w:p>
        </w:tc>
        <w:tc>
          <w:tcPr>
            <w:tcW w:w="1592" w:type="dxa"/>
            <w:vAlign w:val="bottom"/>
          </w:tcPr>
          <w:p w14:paraId="63B896D9" w14:textId="77777777" w:rsidR="005E33B0" w:rsidRPr="00604C75" w:rsidRDefault="005E33B0" w:rsidP="00270266">
            <w:pPr>
              <w:tabs>
                <w:tab w:val="left" w:pos="0"/>
              </w:tabs>
              <w:spacing w:line="216" w:lineRule="auto"/>
              <w:ind w:right="-41"/>
              <w:jc w:val="right"/>
              <w:rPr>
                <w:b/>
                <w:bCs/>
                <w:sz w:val="18"/>
                <w:szCs w:val="18"/>
              </w:rPr>
            </w:pPr>
            <w:r w:rsidRPr="00604C75">
              <w:rPr>
                <w:b/>
                <w:bCs/>
                <w:sz w:val="18"/>
                <w:szCs w:val="18"/>
              </w:rPr>
              <w:t>FC</w:t>
            </w:r>
          </w:p>
        </w:tc>
        <w:tc>
          <w:tcPr>
            <w:tcW w:w="1338" w:type="dxa"/>
            <w:vAlign w:val="bottom"/>
          </w:tcPr>
          <w:p w14:paraId="3B7FDDCC" w14:textId="77777777" w:rsidR="005E33B0" w:rsidRPr="00604C75" w:rsidRDefault="005E33B0" w:rsidP="00270266">
            <w:pPr>
              <w:tabs>
                <w:tab w:val="left" w:pos="0"/>
              </w:tabs>
              <w:spacing w:line="216" w:lineRule="auto"/>
              <w:ind w:right="-41"/>
              <w:jc w:val="right"/>
              <w:rPr>
                <w:b/>
                <w:bCs/>
                <w:sz w:val="18"/>
                <w:szCs w:val="18"/>
              </w:rPr>
            </w:pPr>
            <w:r w:rsidRPr="00604C75">
              <w:rPr>
                <w:b/>
                <w:bCs/>
                <w:sz w:val="18"/>
                <w:szCs w:val="18"/>
              </w:rPr>
              <w:t>TL</w:t>
            </w:r>
          </w:p>
        </w:tc>
        <w:tc>
          <w:tcPr>
            <w:tcW w:w="1255" w:type="dxa"/>
            <w:vAlign w:val="bottom"/>
          </w:tcPr>
          <w:p w14:paraId="336CA238" w14:textId="77777777" w:rsidR="005E33B0" w:rsidRPr="00604C75" w:rsidRDefault="005E33B0" w:rsidP="00270266">
            <w:pPr>
              <w:tabs>
                <w:tab w:val="left" w:pos="0"/>
              </w:tabs>
              <w:spacing w:line="216" w:lineRule="auto"/>
              <w:ind w:right="-41"/>
              <w:jc w:val="right"/>
              <w:rPr>
                <w:b/>
                <w:bCs/>
                <w:sz w:val="18"/>
                <w:szCs w:val="18"/>
              </w:rPr>
            </w:pPr>
            <w:r w:rsidRPr="00604C75">
              <w:rPr>
                <w:b/>
                <w:bCs/>
                <w:sz w:val="18"/>
                <w:szCs w:val="18"/>
              </w:rPr>
              <w:t>FC</w:t>
            </w:r>
          </w:p>
        </w:tc>
      </w:tr>
      <w:tr w:rsidR="00224102" w:rsidRPr="00604C75" w14:paraId="34E32391" w14:textId="77777777" w:rsidTr="00FD0C7A">
        <w:trPr>
          <w:trHeight w:val="238"/>
        </w:trPr>
        <w:tc>
          <w:tcPr>
            <w:tcW w:w="3390" w:type="dxa"/>
            <w:vAlign w:val="bottom"/>
          </w:tcPr>
          <w:p w14:paraId="074F9E01"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Forward Transactions</w:t>
            </w:r>
          </w:p>
        </w:tc>
        <w:tc>
          <w:tcPr>
            <w:tcW w:w="1790" w:type="dxa"/>
            <w:vAlign w:val="bottom"/>
          </w:tcPr>
          <w:p w14:paraId="146D49A8" w14:textId="421D8D1B" w:rsidR="00224102" w:rsidRDefault="00224102" w:rsidP="00270266">
            <w:pPr>
              <w:ind w:right="-41"/>
              <w:jc w:val="right"/>
              <w:rPr>
                <w:sz w:val="18"/>
                <w:szCs w:val="18"/>
              </w:rPr>
            </w:pPr>
            <w:r>
              <w:rPr>
                <w:sz w:val="18"/>
                <w:szCs w:val="18"/>
              </w:rPr>
              <w:t>3,181</w:t>
            </w:r>
          </w:p>
        </w:tc>
        <w:tc>
          <w:tcPr>
            <w:tcW w:w="1592" w:type="dxa"/>
            <w:vAlign w:val="bottom"/>
          </w:tcPr>
          <w:p w14:paraId="3FAF7BD6" w14:textId="5FCD1563" w:rsidR="00224102" w:rsidRDefault="00224102" w:rsidP="00270266">
            <w:pPr>
              <w:ind w:right="-41"/>
              <w:jc w:val="right"/>
              <w:rPr>
                <w:sz w:val="18"/>
                <w:szCs w:val="18"/>
              </w:rPr>
            </w:pPr>
            <w:r>
              <w:rPr>
                <w:sz w:val="18"/>
                <w:szCs w:val="18"/>
              </w:rPr>
              <w:t>420</w:t>
            </w:r>
          </w:p>
        </w:tc>
        <w:tc>
          <w:tcPr>
            <w:tcW w:w="1338" w:type="dxa"/>
            <w:vAlign w:val="bottom"/>
          </w:tcPr>
          <w:p w14:paraId="4A2E975C" w14:textId="608EDFE6" w:rsidR="00224102" w:rsidRPr="00692926" w:rsidRDefault="00224102" w:rsidP="00270266">
            <w:pPr>
              <w:ind w:right="-41"/>
              <w:jc w:val="right"/>
              <w:rPr>
                <w:sz w:val="18"/>
                <w:szCs w:val="18"/>
              </w:rPr>
            </w:pPr>
            <w:r w:rsidRPr="00692926">
              <w:rPr>
                <w:sz w:val="18"/>
                <w:szCs w:val="18"/>
              </w:rPr>
              <w:t>4,631</w:t>
            </w:r>
          </w:p>
        </w:tc>
        <w:tc>
          <w:tcPr>
            <w:tcW w:w="1255" w:type="dxa"/>
            <w:vAlign w:val="bottom"/>
          </w:tcPr>
          <w:p w14:paraId="78717D5C" w14:textId="305B733F" w:rsidR="00224102" w:rsidRPr="00692926" w:rsidRDefault="00224102" w:rsidP="00270266">
            <w:pPr>
              <w:ind w:right="-41"/>
              <w:jc w:val="right"/>
              <w:rPr>
                <w:sz w:val="18"/>
                <w:szCs w:val="18"/>
              </w:rPr>
            </w:pPr>
            <w:r w:rsidRPr="00692926">
              <w:rPr>
                <w:sz w:val="18"/>
                <w:szCs w:val="18"/>
              </w:rPr>
              <w:t>209</w:t>
            </w:r>
          </w:p>
        </w:tc>
      </w:tr>
      <w:tr w:rsidR="00224102" w:rsidRPr="00604C75" w14:paraId="29C6A0A4" w14:textId="77777777" w:rsidTr="00FD0C7A">
        <w:trPr>
          <w:trHeight w:val="238"/>
        </w:trPr>
        <w:tc>
          <w:tcPr>
            <w:tcW w:w="3390" w:type="dxa"/>
            <w:vAlign w:val="bottom"/>
          </w:tcPr>
          <w:p w14:paraId="08D82FF2"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Swap Transactions</w:t>
            </w:r>
          </w:p>
        </w:tc>
        <w:tc>
          <w:tcPr>
            <w:tcW w:w="1790" w:type="dxa"/>
            <w:vAlign w:val="bottom"/>
          </w:tcPr>
          <w:p w14:paraId="68B40837" w14:textId="0ADAB3C5" w:rsidR="00224102" w:rsidRDefault="00224102" w:rsidP="00270266">
            <w:pPr>
              <w:ind w:right="-41"/>
              <w:jc w:val="right"/>
              <w:rPr>
                <w:sz w:val="18"/>
                <w:szCs w:val="18"/>
              </w:rPr>
            </w:pPr>
            <w:r>
              <w:rPr>
                <w:sz w:val="18"/>
                <w:szCs w:val="18"/>
              </w:rPr>
              <w:t>19,421</w:t>
            </w:r>
          </w:p>
        </w:tc>
        <w:tc>
          <w:tcPr>
            <w:tcW w:w="1592" w:type="dxa"/>
            <w:vAlign w:val="bottom"/>
          </w:tcPr>
          <w:p w14:paraId="5DAC13C0" w14:textId="485F44A8" w:rsidR="00224102" w:rsidRDefault="00224102" w:rsidP="00270266">
            <w:pPr>
              <w:ind w:right="-41"/>
              <w:jc w:val="right"/>
              <w:rPr>
                <w:sz w:val="18"/>
                <w:szCs w:val="18"/>
              </w:rPr>
            </w:pPr>
            <w:r>
              <w:rPr>
                <w:sz w:val="18"/>
                <w:szCs w:val="18"/>
              </w:rPr>
              <w:t>3,699</w:t>
            </w:r>
          </w:p>
        </w:tc>
        <w:tc>
          <w:tcPr>
            <w:tcW w:w="1338" w:type="dxa"/>
            <w:vAlign w:val="bottom"/>
          </w:tcPr>
          <w:p w14:paraId="2D7E8A90" w14:textId="020538A1" w:rsidR="00224102" w:rsidRPr="00692926" w:rsidRDefault="00224102" w:rsidP="00270266">
            <w:pPr>
              <w:ind w:right="-41"/>
              <w:jc w:val="right"/>
              <w:rPr>
                <w:sz w:val="18"/>
                <w:szCs w:val="18"/>
              </w:rPr>
            </w:pPr>
            <w:r w:rsidRPr="00692926">
              <w:rPr>
                <w:sz w:val="18"/>
                <w:szCs w:val="18"/>
              </w:rPr>
              <w:t>16,012</w:t>
            </w:r>
          </w:p>
        </w:tc>
        <w:tc>
          <w:tcPr>
            <w:tcW w:w="1255" w:type="dxa"/>
            <w:vAlign w:val="bottom"/>
          </w:tcPr>
          <w:p w14:paraId="6A9679AC" w14:textId="26C5BADF" w:rsidR="00224102" w:rsidRPr="00692926" w:rsidRDefault="00224102" w:rsidP="00270266">
            <w:pPr>
              <w:ind w:right="-41"/>
              <w:jc w:val="right"/>
              <w:rPr>
                <w:sz w:val="18"/>
                <w:szCs w:val="18"/>
              </w:rPr>
            </w:pPr>
            <w:r w:rsidRPr="00692926">
              <w:rPr>
                <w:sz w:val="18"/>
                <w:szCs w:val="18"/>
              </w:rPr>
              <w:t>11,950</w:t>
            </w:r>
          </w:p>
        </w:tc>
      </w:tr>
      <w:tr w:rsidR="00224102" w:rsidRPr="00604C75" w14:paraId="6AE764AC" w14:textId="77777777" w:rsidTr="00FD0C7A">
        <w:trPr>
          <w:trHeight w:val="238"/>
        </w:trPr>
        <w:tc>
          <w:tcPr>
            <w:tcW w:w="3390" w:type="dxa"/>
            <w:vAlign w:val="bottom"/>
          </w:tcPr>
          <w:p w14:paraId="440D6F4C"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Futures Transactions</w:t>
            </w:r>
          </w:p>
        </w:tc>
        <w:tc>
          <w:tcPr>
            <w:tcW w:w="1790" w:type="dxa"/>
            <w:vAlign w:val="bottom"/>
          </w:tcPr>
          <w:p w14:paraId="52738788" w14:textId="0A68DD96" w:rsidR="00224102" w:rsidRDefault="00224102" w:rsidP="00270266">
            <w:pPr>
              <w:ind w:right="-41"/>
              <w:jc w:val="right"/>
              <w:rPr>
                <w:sz w:val="18"/>
                <w:szCs w:val="18"/>
              </w:rPr>
            </w:pPr>
            <w:r>
              <w:rPr>
                <w:sz w:val="18"/>
                <w:szCs w:val="18"/>
              </w:rPr>
              <w:t>-</w:t>
            </w:r>
          </w:p>
        </w:tc>
        <w:tc>
          <w:tcPr>
            <w:tcW w:w="1592" w:type="dxa"/>
            <w:vAlign w:val="bottom"/>
          </w:tcPr>
          <w:p w14:paraId="35234CD7" w14:textId="2B8D299A" w:rsidR="00224102" w:rsidRDefault="00224102" w:rsidP="00270266">
            <w:pPr>
              <w:ind w:right="-41"/>
              <w:jc w:val="right"/>
              <w:rPr>
                <w:sz w:val="18"/>
                <w:szCs w:val="18"/>
              </w:rPr>
            </w:pPr>
            <w:r>
              <w:rPr>
                <w:sz w:val="18"/>
                <w:szCs w:val="18"/>
              </w:rPr>
              <w:t>-</w:t>
            </w:r>
          </w:p>
        </w:tc>
        <w:tc>
          <w:tcPr>
            <w:tcW w:w="1338" w:type="dxa"/>
            <w:vAlign w:val="bottom"/>
          </w:tcPr>
          <w:p w14:paraId="2647A52E" w14:textId="49FC57A9" w:rsidR="00224102" w:rsidRPr="00692926" w:rsidRDefault="00224102" w:rsidP="00270266">
            <w:pPr>
              <w:ind w:right="-41"/>
              <w:jc w:val="right"/>
              <w:rPr>
                <w:sz w:val="18"/>
                <w:szCs w:val="18"/>
              </w:rPr>
            </w:pPr>
            <w:r w:rsidRPr="00692926">
              <w:rPr>
                <w:sz w:val="18"/>
                <w:szCs w:val="18"/>
              </w:rPr>
              <w:t>-</w:t>
            </w:r>
          </w:p>
        </w:tc>
        <w:tc>
          <w:tcPr>
            <w:tcW w:w="1255" w:type="dxa"/>
            <w:vAlign w:val="bottom"/>
          </w:tcPr>
          <w:p w14:paraId="25989DB8" w14:textId="6F48341B" w:rsidR="00224102" w:rsidRPr="00692926" w:rsidRDefault="00224102" w:rsidP="00270266">
            <w:pPr>
              <w:ind w:right="-41"/>
              <w:jc w:val="right"/>
              <w:rPr>
                <w:sz w:val="18"/>
                <w:szCs w:val="18"/>
              </w:rPr>
            </w:pPr>
            <w:r w:rsidRPr="00692926">
              <w:rPr>
                <w:sz w:val="18"/>
                <w:szCs w:val="18"/>
              </w:rPr>
              <w:t>-</w:t>
            </w:r>
          </w:p>
        </w:tc>
      </w:tr>
      <w:tr w:rsidR="00224102" w:rsidRPr="00604C75" w14:paraId="27312AA5" w14:textId="77777777" w:rsidTr="00FD0C7A">
        <w:trPr>
          <w:trHeight w:val="238"/>
        </w:trPr>
        <w:tc>
          <w:tcPr>
            <w:tcW w:w="3390" w:type="dxa"/>
            <w:vAlign w:val="bottom"/>
          </w:tcPr>
          <w:p w14:paraId="4A0E099A"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Options</w:t>
            </w:r>
          </w:p>
        </w:tc>
        <w:tc>
          <w:tcPr>
            <w:tcW w:w="1790" w:type="dxa"/>
            <w:vAlign w:val="bottom"/>
          </w:tcPr>
          <w:p w14:paraId="1793412C" w14:textId="6D7B2A1E" w:rsidR="00224102" w:rsidRDefault="00224102" w:rsidP="00270266">
            <w:pPr>
              <w:ind w:right="-41"/>
              <w:jc w:val="right"/>
              <w:rPr>
                <w:sz w:val="18"/>
                <w:szCs w:val="18"/>
              </w:rPr>
            </w:pPr>
            <w:r>
              <w:rPr>
                <w:sz w:val="18"/>
                <w:szCs w:val="18"/>
              </w:rPr>
              <w:t>22</w:t>
            </w:r>
          </w:p>
        </w:tc>
        <w:tc>
          <w:tcPr>
            <w:tcW w:w="1592" w:type="dxa"/>
            <w:vAlign w:val="bottom"/>
          </w:tcPr>
          <w:p w14:paraId="073801DD" w14:textId="3FB19A29" w:rsidR="00224102" w:rsidRDefault="00224102" w:rsidP="00270266">
            <w:pPr>
              <w:ind w:right="-41"/>
              <w:jc w:val="right"/>
              <w:rPr>
                <w:sz w:val="18"/>
                <w:szCs w:val="18"/>
              </w:rPr>
            </w:pPr>
            <w:r>
              <w:rPr>
                <w:sz w:val="18"/>
                <w:szCs w:val="18"/>
              </w:rPr>
              <w:t>497</w:t>
            </w:r>
          </w:p>
        </w:tc>
        <w:tc>
          <w:tcPr>
            <w:tcW w:w="1338" w:type="dxa"/>
            <w:vAlign w:val="bottom"/>
          </w:tcPr>
          <w:p w14:paraId="0AAC3CB3" w14:textId="48E7597A" w:rsidR="00224102" w:rsidRPr="00692926" w:rsidRDefault="00224102" w:rsidP="00270266">
            <w:pPr>
              <w:ind w:right="-41"/>
              <w:jc w:val="right"/>
              <w:rPr>
                <w:sz w:val="18"/>
                <w:szCs w:val="18"/>
              </w:rPr>
            </w:pPr>
            <w:r w:rsidRPr="00692926">
              <w:rPr>
                <w:sz w:val="18"/>
                <w:szCs w:val="18"/>
              </w:rPr>
              <w:t>18</w:t>
            </w:r>
          </w:p>
        </w:tc>
        <w:tc>
          <w:tcPr>
            <w:tcW w:w="1255" w:type="dxa"/>
            <w:vAlign w:val="bottom"/>
          </w:tcPr>
          <w:p w14:paraId="0CA16876" w14:textId="08EFED3B" w:rsidR="00224102" w:rsidRPr="00692926" w:rsidRDefault="00224102" w:rsidP="00270266">
            <w:pPr>
              <w:ind w:right="-41"/>
              <w:jc w:val="right"/>
              <w:rPr>
                <w:sz w:val="18"/>
                <w:szCs w:val="18"/>
              </w:rPr>
            </w:pPr>
            <w:r w:rsidRPr="00692926">
              <w:rPr>
                <w:sz w:val="18"/>
                <w:szCs w:val="18"/>
              </w:rPr>
              <w:t>3,457</w:t>
            </w:r>
          </w:p>
        </w:tc>
      </w:tr>
      <w:tr w:rsidR="00224102" w:rsidRPr="00604C75" w14:paraId="7E12AB74" w14:textId="77777777" w:rsidTr="00FD0C7A">
        <w:trPr>
          <w:trHeight w:val="238"/>
        </w:trPr>
        <w:tc>
          <w:tcPr>
            <w:tcW w:w="3390" w:type="dxa"/>
            <w:vAlign w:val="bottom"/>
          </w:tcPr>
          <w:p w14:paraId="243DC320"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5"/>
              <w:rPr>
                <w:lang w:val="en-US"/>
              </w:rPr>
            </w:pPr>
            <w:r w:rsidRPr="00604C75">
              <w:rPr>
                <w:lang w:val="en-US"/>
              </w:rPr>
              <w:t>Other</w:t>
            </w:r>
          </w:p>
        </w:tc>
        <w:tc>
          <w:tcPr>
            <w:tcW w:w="1790" w:type="dxa"/>
            <w:vAlign w:val="bottom"/>
          </w:tcPr>
          <w:p w14:paraId="70736B87" w14:textId="1CB98040" w:rsidR="00224102" w:rsidRDefault="00224102" w:rsidP="00270266">
            <w:pPr>
              <w:ind w:right="-41"/>
              <w:jc w:val="right"/>
              <w:rPr>
                <w:sz w:val="18"/>
                <w:szCs w:val="18"/>
              </w:rPr>
            </w:pPr>
            <w:r>
              <w:rPr>
                <w:sz w:val="18"/>
                <w:szCs w:val="18"/>
              </w:rPr>
              <w:t>-</w:t>
            </w:r>
          </w:p>
        </w:tc>
        <w:tc>
          <w:tcPr>
            <w:tcW w:w="1592" w:type="dxa"/>
            <w:vAlign w:val="bottom"/>
          </w:tcPr>
          <w:p w14:paraId="16F11022" w14:textId="469BE29E" w:rsidR="00224102" w:rsidRDefault="00224102" w:rsidP="00270266">
            <w:pPr>
              <w:ind w:right="-41"/>
              <w:jc w:val="right"/>
              <w:rPr>
                <w:sz w:val="18"/>
                <w:szCs w:val="18"/>
              </w:rPr>
            </w:pPr>
            <w:r>
              <w:rPr>
                <w:sz w:val="18"/>
                <w:szCs w:val="18"/>
              </w:rPr>
              <w:t>-</w:t>
            </w:r>
          </w:p>
        </w:tc>
        <w:tc>
          <w:tcPr>
            <w:tcW w:w="1338" w:type="dxa"/>
            <w:vAlign w:val="bottom"/>
          </w:tcPr>
          <w:p w14:paraId="3904A605" w14:textId="05534D7A" w:rsidR="00224102" w:rsidRPr="00692926" w:rsidRDefault="00224102" w:rsidP="00270266">
            <w:pPr>
              <w:ind w:right="-41"/>
              <w:jc w:val="right"/>
              <w:rPr>
                <w:sz w:val="18"/>
                <w:szCs w:val="18"/>
              </w:rPr>
            </w:pPr>
            <w:r w:rsidRPr="00692926">
              <w:rPr>
                <w:sz w:val="18"/>
                <w:szCs w:val="18"/>
              </w:rPr>
              <w:t>-</w:t>
            </w:r>
          </w:p>
        </w:tc>
        <w:tc>
          <w:tcPr>
            <w:tcW w:w="1255" w:type="dxa"/>
            <w:vAlign w:val="bottom"/>
          </w:tcPr>
          <w:p w14:paraId="0261D41A" w14:textId="309B8006" w:rsidR="00224102" w:rsidRPr="00692926" w:rsidRDefault="00224102" w:rsidP="00270266">
            <w:pPr>
              <w:ind w:right="-41"/>
              <w:jc w:val="right"/>
              <w:rPr>
                <w:sz w:val="18"/>
                <w:szCs w:val="18"/>
              </w:rPr>
            </w:pPr>
            <w:r w:rsidRPr="00692926">
              <w:rPr>
                <w:sz w:val="18"/>
                <w:szCs w:val="18"/>
              </w:rPr>
              <w:t>-</w:t>
            </w:r>
          </w:p>
        </w:tc>
      </w:tr>
      <w:tr w:rsidR="00224102" w:rsidRPr="00604C75" w14:paraId="70FCD6E8" w14:textId="77777777" w:rsidTr="00FD0C7A">
        <w:trPr>
          <w:trHeight w:val="238"/>
        </w:trPr>
        <w:tc>
          <w:tcPr>
            <w:tcW w:w="3390" w:type="dxa"/>
            <w:vAlign w:val="bottom"/>
          </w:tcPr>
          <w:p w14:paraId="2D488252" w14:textId="77777777" w:rsidR="00224102" w:rsidRPr="00604C75" w:rsidRDefault="00224102" w:rsidP="00224102">
            <w:pPr>
              <w:tabs>
                <w:tab w:val="left" w:pos="0"/>
              </w:tabs>
              <w:spacing w:line="216" w:lineRule="auto"/>
              <w:ind w:left="-55"/>
              <w:rPr>
                <w:b/>
                <w:sz w:val="18"/>
                <w:szCs w:val="18"/>
              </w:rPr>
            </w:pPr>
            <w:r w:rsidRPr="00604C75">
              <w:rPr>
                <w:b/>
                <w:sz w:val="18"/>
                <w:szCs w:val="18"/>
              </w:rPr>
              <w:t>Total</w:t>
            </w:r>
          </w:p>
        </w:tc>
        <w:tc>
          <w:tcPr>
            <w:tcW w:w="1790" w:type="dxa"/>
            <w:vAlign w:val="bottom"/>
          </w:tcPr>
          <w:p w14:paraId="51BC5409" w14:textId="6E832FBF" w:rsidR="00224102" w:rsidRDefault="00224102" w:rsidP="00270266">
            <w:pPr>
              <w:ind w:right="-41"/>
              <w:jc w:val="right"/>
              <w:rPr>
                <w:b/>
                <w:bCs/>
                <w:sz w:val="18"/>
                <w:szCs w:val="18"/>
              </w:rPr>
            </w:pPr>
            <w:r>
              <w:rPr>
                <w:b/>
                <w:bCs/>
                <w:sz w:val="18"/>
                <w:szCs w:val="18"/>
              </w:rPr>
              <w:t>22,624</w:t>
            </w:r>
          </w:p>
        </w:tc>
        <w:tc>
          <w:tcPr>
            <w:tcW w:w="1592" w:type="dxa"/>
            <w:vAlign w:val="bottom"/>
          </w:tcPr>
          <w:p w14:paraId="40F0CBB7" w14:textId="57471453" w:rsidR="00224102" w:rsidRDefault="00224102" w:rsidP="00270266">
            <w:pPr>
              <w:ind w:right="-41"/>
              <w:jc w:val="right"/>
              <w:rPr>
                <w:b/>
                <w:bCs/>
                <w:sz w:val="18"/>
                <w:szCs w:val="18"/>
              </w:rPr>
            </w:pPr>
            <w:r>
              <w:rPr>
                <w:b/>
                <w:bCs/>
                <w:sz w:val="18"/>
                <w:szCs w:val="18"/>
              </w:rPr>
              <w:t>4,616</w:t>
            </w:r>
          </w:p>
        </w:tc>
        <w:tc>
          <w:tcPr>
            <w:tcW w:w="1338" w:type="dxa"/>
            <w:vAlign w:val="bottom"/>
          </w:tcPr>
          <w:p w14:paraId="70C3FB47" w14:textId="227D276B" w:rsidR="00224102" w:rsidRPr="00692926" w:rsidRDefault="00224102" w:rsidP="00270266">
            <w:pPr>
              <w:ind w:right="-41"/>
              <w:jc w:val="right"/>
              <w:rPr>
                <w:b/>
                <w:bCs/>
                <w:sz w:val="18"/>
                <w:szCs w:val="18"/>
              </w:rPr>
            </w:pPr>
            <w:r w:rsidRPr="00692926">
              <w:rPr>
                <w:b/>
                <w:bCs/>
                <w:sz w:val="18"/>
                <w:szCs w:val="18"/>
              </w:rPr>
              <w:t>20,661</w:t>
            </w:r>
          </w:p>
        </w:tc>
        <w:tc>
          <w:tcPr>
            <w:tcW w:w="1255" w:type="dxa"/>
            <w:vAlign w:val="bottom"/>
          </w:tcPr>
          <w:p w14:paraId="298BBDCB" w14:textId="4FEAC02E" w:rsidR="00224102" w:rsidRPr="00692926" w:rsidRDefault="00224102" w:rsidP="00270266">
            <w:pPr>
              <w:ind w:right="-41"/>
              <w:jc w:val="right"/>
              <w:rPr>
                <w:b/>
                <w:bCs/>
                <w:sz w:val="18"/>
                <w:szCs w:val="18"/>
              </w:rPr>
            </w:pPr>
            <w:r w:rsidRPr="00692926">
              <w:rPr>
                <w:b/>
                <w:bCs/>
                <w:sz w:val="18"/>
                <w:szCs w:val="18"/>
              </w:rPr>
              <w:t>15,616</w:t>
            </w:r>
          </w:p>
        </w:tc>
      </w:tr>
    </w:tbl>
    <w:p w14:paraId="198FE95A" w14:textId="77777777" w:rsidR="005E33B0" w:rsidRPr="00604C75" w:rsidRDefault="005700FE" w:rsidP="008477F3">
      <w:pPr>
        <w:pStyle w:val="BodyTextIndent"/>
        <w:numPr>
          <w:ilvl w:val="0"/>
          <w:numId w:val="58"/>
        </w:numPr>
        <w:tabs>
          <w:tab w:val="left" w:pos="0"/>
        </w:tabs>
        <w:spacing w:before="120" w:after="0" w:line="216" w:lineRule="auto"/>
        <w:ind w:left="426" w:hanging="426"/>
        <w:jc w:val="both"/>
        <w:rPr>
          <w:b/>
          <w:sz w:val="20"/>
          <w:szCs w:val="20"/>
        </w:rPr>
      </w:pPr>
      <w:r w:rsidRPr="00604C75">
        <w:rPr>
          <w:b/>
          <w:sz w:val="20"/>
          <w:szCs w:val="20"/>
        </w:rPr>
        <w:t>Information on banks</w:t>
      </w:r>
    </w:p>
    <w:p w14:paraId="7E946C55" w14:textId="77777777" w:rsidR="005E33B0" w:rsidRPr="00604C75" w:rsidRDefault="005E33B0" w:rsidP="00224102">
      <w:pPr>
        <w:pStyle w:val="BodyTextIndent"/>
        <w:tabs>
          <w:tab w:val="left" w:pos="0"/>
          <w:tab w:val="left" w:pos="426"/>
        </w:tabs>
        <w:spacing w:before="80" w:line="216" w:lineRule="auto"/>
        <w:ind w:left="0"/>
        <w:rPr>
          <w:sz w:val="20"/>
          <w:szCs w:val="20"/>
        </w:rPr>
      </w:pPr>
      <w:r w:rsidRPr="00604C75">
        <w:rPr>
          <w:sz w:val="20"/>
          <w:szCs w:val="20"/>
        </w:rPr>
        <w:t>1</w:t>
      </w:r>
      <w:r w:rsidR="00EC6061" w:rsidRPr="00604C75">
        <w:rPr>
          <w:sz w:val="20"/>
          <w:szCs w:val="20"/>
        </w:rPr>
        <w:t>.</w:t>
      </w:r>
      <w:r w:rsidR="005700FE" w:rsidRPr="00604C75">
        <w:rPr>
          <w:sz w:val="20"/>
          <w:szCs w:val="20"/>
        </w:rPr>
        <w:tab/>
        <w:t>Information on banks</w:t>
      </w:r>
    </w:p>
    <w:tbl>
      <w:tblPr>
        <w:tblW w:w="9365"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388"/>
        <w:gridCol w:w="1792"/>
        <w:gridCol w:w="1595"/>
        <w:gridCol w:w="1344"/>
        <w:gridCol w:w="1246"/>
      </w:tblGrid>
      <w:tr w:rsidR="00B464DF" w:rsidRPr="00604C75" w14:paraId="7108D788" w14:textId="77777777" w:rsidTr="00AD726D">
        <w:trPr>
          <w:trHeight w:val="238"/>
        </w:trPr>
        <w:tc>
          <w:tcPr>
            <w:tcW w:w="3388" w:type="dxa"/>
            <w:vMerge w:val="restart"/>
            <w:vAlign w:val="bottom"/>
          </w:tcPr>
          <w:p w14:paraId="51F2B2D3" w14:textId="77777777" w:rsidR="00B464DF" w:rsidRPr="00604C75" w:rsidRDefault="00B464DF"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rFonts w:eastAsia="Times New Roman"/>
                <w:lang w:val="en-US"/>
              </w:rPr>
            </w:pPr>
          </w:p>
        </w:tc>
        <w:tc>
          <w:tcPr>
            <w:tcW w:w="3387" w:type="dxa"/>
            <w:gridSpan w:val="2"/>
            <w:vAlign w:val="bottom"/>
          </w:tcPr>
          <w:p w14:paraId="66C31BD2" w14:textId="77777777" w:rsidR="00B464DF" w:rsidRPr="00604C75" w:rsidRDefault="00B464DF" w:rsidP="005B0048">
            <w:pPr>
              <w:tabs>
                <w:tab w:val="left" w:pos="0"/>
              </w:tabs>
              <w:spacing w:line="216" w:lineRule="auto"/>
              <w:jc w:val="center"/>
              <w:rPr>
                <w:b/>
                <w:bCs/>
                <w:sz w:val="18"/>
                <w:szCs w:val="18"/>
              </w:rPr>
            </w:pPr>
            <w:r>
              <w:rPr>
                <w:b/>
                <w:bCs/>
                <w:sz w:val="18"/>
                <w:szCs w:val="18"/>
              </w:rPr>
              <w:t>31 December</w:t>
            </w:r>
            <w:r w:rsidRPr="00604C75">
              <w:rPr>
                <w:b/>
                <w:bCs/>
                <w:sz w:val="18"/>
                <w:szCs w:val="18"/>
              </w:rPr>
              <w:t xml:space="preserve"> 2015</w:t>
            </w:r>
          </w:p>
        </w:tc>
        <w:tc>
          <w:tcPr>
            <w:tcW w:w="2590" w:type="dxa"/>
            <w:gridSpan w:val="2"/>
            <w:vAlign w:val="bottom"/>
          </w:tcPr>
          <w:p w14:paraId="660F38F4" w14:textId="77777777" w:rsidR="00B464DF" w:rsidRPr="00604C75" w:rsidRDefault="00B464DF" w:rsidP="00711BD1">
            <w:pPr>
              <w:tabs>
                <w:tab w:val="left" w:pos="0"/>
              </w:tabs>
              <w:spacing w:line="216" w:lineRule="auto"/>
              <w:jc w:val="center"/>
              <w:rPr>
                <w:b/>
                <w:bCs/>
                <w:sz w:val="18"/>
                <w:szCs w:val="18"/>
              </w:rPr>
            </w:pPr>
            <w:r w:rsidRPr="00604C75">
              <w:rPr>
                <w:b/>
                <w:bCs/>
                <w:sz w:val="18"/>
                <w:szCs w:val="18"/>
              </w:rPr>
              <w:t xml:space="preserve">31 December </w:t>
            </w:r>
            <w:r w:rsidRPr="00604C75">
              <w:rPr>
                <w:b/>
                <w:bCs/>
                <w:sz w:val="18"/>
              </w:rPr>
              <w:t>2014</w:t>
            </w:r>
          </w:p>
        </w:tc>
      </w:tr>
      <w:tr w:rsidR="005E33B0" w:rsidRPr="00604C75" w14:paraId="054D093C" w14:textId="77777777" w:rsidTr="003C0C96">
        <w:trPr>
          <w:trHeight w:val="238"/>
        </w:trPr>
        <w:tc>
          <w:tcPr>
            <w:tcW w:w="3388" w:type="dxa"/>
            <w:vMerge/>
            <w:vAlign w:val="bottom"/>
          </w:tcPr>
          <w:p w14:paraId="7B417603" w14:textId="77777777" w:rsidR="005E33B0" w:rsidRPr="00604C75" w:rsidRDefault="005E33B0" w:rsidP="00711BD1">
            <w:pPr>
              <w:tabs>
                <w:tab w:val="left" w:pos="0"/>
              </w:tabs>
              <w:spacing w:line="216" w:lineRule="auto"/>
              <w:rPr>
                <w:sz w:val="18"/>
                <w:szCs w:val="18"/>
              </w:rPr>
            </w:pPr>
          </w:p>
        </w:tc>
        <w:tc>
          <w:tcPr>
            <w:tcW w:w="1792" w:type="dxa"/>
            <w:vAlign w:val="bottom"/>
          </w:tcPr>
          <w:p w14:paraId="195949CD" w14:textId="77777777" w:rsidR="005E33B0" w:rsidRPr="00604C75" w:rsidRDefault="005E33B0" w:rsidP="00BA66B1">
            <w:pPr>
              <w:tabs>
                <w:tab w:val="left" w:pos="0"/>
              </w:tabs>
              <w:spacing w:line="216" w:lineRule="auto"/>
              <w:ind w:right="-55"/>
              <w:jc w:val="right"/>
              <w:rPr>
                <w:b/>
                <w:bCs/>
                <w:sz w:val="18"/>
                <w:szCs w:val="18"/>
              </w:rPr>
            </w:pPr>
            <w:r w:rsidRPr="00604C75">
              <w:rPr>
                <w:b/>
                <w:bCs/>
                <w:sz w:val="18"/>
                <w:szCs w:val="18"/>
              </w:rPr>
              <w:t>T</w:t>
            </w:r>
            <w:r w:rsidR="002569A9" w:rsidRPr="00604C75">
              <w:rPr>
                <w:b/>
                <w:bCs/>
                <w:sz w:val="18"/>
                <w:szCs w:val="18"/>
              </w:rPr>
              <w:t>L</w:t>
            </w:r>
          </w:p>
        </w:tc>
        <w:tc>
          <w:tcPr>
            <w:tcW w:w="1595" w:type="dxa"/>
            <w:vAlign w:val="bottom"/>
          </w:tcPr>
          <w:p w14:paraId="117108EE" w14:textId="77777777" w:rsidR="005E33B0" w:rsidRPr="00604C75" w:rsidRDefault="002569A9" w:rsidP="00BA66B1">
            <w:pPr>
              <w:tabs>
                <w:tab w:val="left" w:pos="0"/>
              </w:tabs>
              <w:spacing w:line="216" w:lineRule="auto"/>
              <w:ind w:right="-55"/>
              <w:jc w:val="right"/>
              <w:rPr>
                <w:b/>
                <w:bCs/>
                <w:sz w:val="18"/>
                <w:szCs w:val="18"/>
              </w:rPr>
            </w:pPr>
            <w:r w:rsidRPr="00604C75">
              <w:rPr>
                <w:b/>
                <w:bCs/>
                <w:sz w:val="18"/>
                <w:szCs w:val="18"/>
              </w:rPr>
              <w:t>FC</w:t>
            </w:r>
          </w:p>
        </w:tc>
        <w:tc>
          <w:tcPr>
            <w:tcW w:w="1344" w:type="dxa"/>
            <w:vAlign w:val="bottom"/>
          </w:tcPr>
          <w:p w14:paraId="38704291" w14:textId="77777777" w:rsidR="005E33B0" w:rsidRPr="00604C75" w:rsidRDefault="002569A9" w:rsidP="00BA66B1">
            <w:pPr>
              <w:tabs>
                <w:tab w:val="left" w:pos="0"/>
              </w:tabs>
              <w:spacing w:line="216" w:lineRule="auto"/>
              <w:ind w:right="-55"/>
              <w:jc w:val="right"/>
              <w:rPr>
                <w:b/>
                <w:bCs/>
                <w:sz w:val="18"/>
                <w:szCs w:val="18"/>
              </w:rPr>
            </w:pPr>
            <w:r w:rsidRPr="00604C75">
              <w:rPr>
                <w:b/>
                <w:bCs/>
                <w:sz w:val="18"/>
                <w:szCs w:val="18"/>
              </w:rPr>
              <w:t>TL</w:t>
            </w:r>
          </w:p>
        </w:tc>
        <w:tc>
          <w:tcPr>
            <w:tcW w:w="1246" w:type="dxa"/>
            <w:vAlign w:val="bottom"/>
          </w:tcPr>
          <w:p w14:paraId="45B67FAE" w14:textId="77777777" w:rsidR="005E33B0" w:rsidRPr="00604C75" w:rsidRDefault="002569A9" w:rsidP="00BA66B1">
            <w:pPr>
              <w:tabs>
                <w:tab w:val="left" w:pos="0"/>
              </w:tabs>
              <w:spacing w:line="216" w:lineRule="auto"/>
              <w:ind w:right="-55"/>
              <w:jc w:val="right"/>
              <w:rPr>
                <w:b/>
                <w:bCs/>
                <w:sz w:val="18"/>
                <w:szCs w:val="18"/>
              </w:rPr>
            </w:pPr>
            <w:r w:rsidRPr="00604C75">
              <w:rPr>
                <w:b/>
                <w:bCs/>
                <w:sz w:val="18"/>
                <w:szCs w:val="18"/>
              </w:rPr>
              <w:t>FC</w:t>
            </w:r>
          </w:p>
        </w:tc>
      </w:tr>
      <w:tr w:rsidR="003C0C96" w:rsidRPr="00604C75" w14:paraId="34A3E5C2" w14:textId="77777777" w:rsidTr="003C0C96">
        <w:trPr>
          <w:trHeight w:val="238"/>
        </w:trPr>
        <w:tc>
          <w:tcPr>
            <w:tcW w:w="3388" w:type="dxa"/>
            <w:vAlign w:val="bottom"/>
          </w:tcPr>
          <w:p w14:paraId="77680029" w14:textId="77777777" w:rsidR="003C0C96" w:rsidRPr="00604C75" w:rsidRDefault="003C0C96" w:rsidP="00711BD1">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2"/>
              <w:rPr>
                <w:lang w:val="en-US"/>
              </w:rPr>
            </w:pPr>
            <w:r w:rsidRPr="00604C75">
              <w:rPr>
                <w:lang w:val="en-US"/>
              </w:rPr>
              <w:t>Banks</w:t>
            </w:r>
          </w:p>
        </w:tc>
        <w:tc>
          <w:tcPr>
            <w:tcW w:w="1792" w:type="dxa"/>
            <w:vAlign w:val="bottom"/>
          </w:tcPr>
          <w:p w14:paraId="6BDB1C07" w14:textId="77777777" w:rsidR="003C0C96" w:rsidRPr="00692926" w:rsidRDefault="003C0C96" w:rsidP="00BA66B1">
            <w:pPr>
              <w:ind w:right="-55"/>
              <w:jc w:val="right"/>
              <w:rPr>
                <w:sz w:val="18"/>
                <w:szCs w:val="18"/>
              </w:rPr>
            </w:pPr>
          </w:p>
        </w:tc>
        <w:tc>
          <w:tcPr>
            <w:tcW w:w="1595" w:type="dxa"/>
            <w:vAlign w:val="bottom"/>
          </w:tcPr>
          <w:p w14:paraId="4FCF318D" w14:textId="77777777" w:rsidR="003C0C96" w:rsidRPr="00692926" w:rsidRDefault="003C0C96" w:rsidP="00BA66B1">
            <w:pPr>
              <w:ind w:right="-55"/>
              <w:jc w:val="right"/>
              <w:rPr>
                <w:sz w:val="18"/>
                <w:szCs w:val="18"/>
              </w:rPr>
            </w:pPr>
          </w:p>
        </w:tc>
        <w:tc>
          <w:tcPr>
            <w:tcW w:w="1344" w:type="dxa"/>
            <w:vAlign w:val="bottom"/>
          </w:tcPr>
          <w:p w14:paraId="5AACD58C" w14:textId="77777777" w:rsidR="003C0C96" w:rsidRPr="00692926" w:rsidRDefault="003C0C96" w:rsidP="00BA66B1">
            <w:pPr>
              <w:spacing w:line="216" w:lineRule="auto"/>
              <w:ind w:right="-55"/>
              <w:jc w:val="right"/>
              <w:rPr>
                <w:sz w:val="18"/>
                <w:szCs w:val="18"/>
              </w:rPr>
            </w:pPr>
          </w:p>
        </w:tc>
        <w:tc>
          <w:tcPr>
            <w:tcW w:w="1246" w:type="dxa"/>
            <w:vAlign w:val="bottom"/>
          </w:tcPr>
          <w:p w14:paraId="33894835" w14:textId="77777777" w:rsidR="003C0C96" w:rsidRPr="00692926" w:rsidRDefault="003C0C96" w:rsidP="00BA66B1">
            <w:pPr>
              <w:spacing w:line="216" w:lineRule="auto"/>
              <w:ind w:right="-55"/>
              <w:jc w:val="right"/>
              <w:rPr>
                <w:sz w:val="18"/>
                <w:szCs w:val="18"/>
              </w:rPr>
            </w:pPr>
          </w:p>
        </w:tc>
      </w:tr>
      <w:tr w:rsidR="00224102" w:rsidRPr="00604C75" w14:paraId="5C63AA18" w14:textId="77777777" w:rsidTr="003C0C96">
        <w:trPr>
          <w:trHeight w:val="238"/>
        </w:trPr>
        <w:tc>
          <w:tcPr>
            <w:tcW w:w="3388" w:type="dxa"/>
            <w:vAlign w:val="bottom"/>
          </w:tcPr>
          <w:p w14:paraId="0EB2086A"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2"/>
              <w:rPr>
                <w:lang w:val="en-US"/>
              </w:rPr>
            </w:pPr>
            <w:r w:rsidRPr="00604C75">
              <w:rPr>
                <w:lang w:val="en-US"/>
              </w:rPr>
              <w:t xml:space="preserve">  Domestic</w:t>
            </w:r>
          </w:p>
        </w:tc>
        <w:tc>
          <w:tcPr>
            <w:tcW w:w="1792" w:type="dxa"/>
            <w:vAlign w:val="bottom"/>
          </w:tcPr>
          <w:p w14:paraId="5EF9822E" w14:textId="020D2A14" w:rsidR="00224102" w:rsidRDefault="00224102" w:rsidP="00BA66B1">
            <w:pPr>
              <w:ind w:right="-55"/>
              <w:jc w:val="right"/>
              <w:rPr>
                <w:sz w:val="18"/>
                <w:szCs w:val="18"/>
              </w:rPr>
            </w:pPr>
            <w:r>
              <w:rPr>
                <w:sz w:val="18"/>
                <w:szCs w:val="18"/>
              </w:rPr>
              <w:t>267,911</w:t>
            </w:r>
          </w:p>
        </w:tc>
        <w:tc>
          <w:tcPr>
            <w:tcW w:w="1595" w:type="dxa"/>
            <w:vAlign w:val="bottom"/>
          </w:tcPr>
          <w:p w14:paraId="2503F6FA" w14:textId="704D3B6D" w:rsidR="00224102" w:rsidRDefault="00224102" w:rsidP="00BA66B1">
            <w:pPr>
              <w:ind w:right="-55"/>
              <w:jc w:val="right"/>
              <w:rPr>
                <w:sz w:val="18"/>
                <w:szCs w:val="18"/>
              </w:rPr>
            </w:pPr>
            <w:r>
              <w:rPr>
                <w:sz w:val="18"/>
                <w:szCs w:val="18"/>
              </w:rPr>
              <w:t>176,552</w:t>
            </w:r>
          </w:p>
        </w:tc>
        <w:tc>
          <w:tcPr>
            <w:tcW w:w="1344" w:type="dxa"/>
            <w:vAlign w:val="bottom"/>
          </w:tcPr>
          <w:p w14:paraId="2426AD9D" w14:textId="033C99E6" w:rsidR="00224102" w:rsidRPr="00692926" w:rsidRDefault="00224102" w:rsidP="00BA66B1">
            <w:pPr>
              <w:ind w:right="-55"/>
              <w:jc w:val="right"/>
              <w:rPr>
                <w:sz w:val="18"/>
                <w:szCs w:val="18"/>
              </w:rPr>
            </w:pPr>
            <w:r w:rsidRPr="00692926">
              <w:rPr>
                <w:sz w:val="18"/>
                <w:szCs w:val="18"/>
              </w:rPr>
              <w:t>71,781</w:t>
            </w:r>
          </w:p>
        </w:tc>
        <w:tc>
          <w:tcPr>
            <w:tcW w:w="1246" w:type="dxa"/>
            <w:vAlign w:val="bottom"/>
          </w:tcPr>
          <w:p w14:paraId="7ADF1CE0" w14:textId="6B049A1A" w:rsidR="00224102" w:rsidRPr="00692926" w:rsidRDefault="00224102" w:rsidP="00BA66B1">
            <w:pPr>
              <w:ind w:right="-55"/>
              <w:jc w:val="right"/>
              <w:rPr>
                <w:sz w:val="18"/>
                <w:szCs w:val="18"/>
              </w:rPr>
            </w:pPr>
            <w:r w:rsidRPr="00692926">
              <w:rPr>
                <w:sz w:val="18"/>
                <w:szCs w:val="18"/>
              </w:rPr>
              <w:t>3,553</w:t>
            </w:r>
          </w:p>
        </w:tc>
      </w:tr>
      <w:tr w:rsidR="00224102" w:rsidRPr="00604C75" w14:paraId="776886D9" w14:textId="77777777" w:rsidTr="003C0C96">
        <w:trPr>
          <w:trHeight w:val="238"/>
        </w:trPr>
        <w:tc>
          <w:tcPr>
            <w:tcW w:w="3388" w:type="dxa"/>
            <w:vAlign w:val="bottom"/>
          </w:tcPr>
          <w:p w14:paraId="76814A22"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2"/>
              <w:rPr>
                <w:lang w:val="en-US"/>
              </w:rPr>
            </w:pPr>
            <w:r w:rsidRPr="00604C75">
              <w:rPr>
                <w:lang w:val="en-US"/>
              </w:rPr>
              <w:t xml:space="preserve">  Foreign</w:t>
            </w:r>
          </w:p>
        </w:tc>
        <w:tc>
          <w:tcPr>
            <w:tcW w:w="1792" w:type="dxa"/>
            <w:vAlign w:val="bottom"/>
          </w:tcPr>
          <w:p w14:paraId="5905FE60" w14:textId="43EF148D" w:rsidR="00224102" w:rsidRDefault="00224102" w:rsidP="00BA66B1">
            <w:pPr>
              <w:ind w:right="-55"/>
              <w:jc w:val="right"/>
              <w:rPr>
                <w:sz w:val="18"/>
                <w:szCs w:val="18"/>
              </w:rPr>
            </w:pPr>
            <w:r>
              <w:rPr>
                <w:sz w:val="18"/>
                <w:szCs w:val="18"/>
              </w:rPr>
              <w:t>22,007</w:t>
            </w:r>
          </w:p>
        </w:tc>
        <w:tc>
          <w:tcPr>
            <w:tcW w:w="1595" w:type="dxa"/>
            <w:vAlign w:val="bottom"/>
          </w:tcPr>
          <w:p w14:paraId="55FC84D0" w14:textId="48715FF9" w:rsidR="00224102" w:rsidRDefault="00224102" w:rsidP="00BA66B1">
            <w:pPr>
              <w:ind w:right="-55"/>
              <w:jc w:val="right"/>
              <w:rPr>
                <w:sz w:val="18"/>
                <w:szCs w:val="18"/>
              </w:rPr>
            </w:pPr>
            <w:r>
              <w:rPr>
                <w:sz w:val="18"/>
                <w:szCs w:val="18"/>
              </w:rPr>
              <w:t>145,526</w:t>
            </w:r>
          </w:p>
        </w:tc>
        <w:tc>
          <w:tcPr>
            <w:tcW w:w="1344" w:type="dxa"/>
            <w:vAlign w:val="bottom"/>
          </w:tcPr>
          <w:p w14:paraId="537FF488" w14:textId="6383307A" w:rsidR="00224102" w:rsidRPr="00692926" w:rsidRDefault="00224102" w:rsidP="00BA66B1">
            <w:pPr>
              <w:ind w:right="-55"/>
              <w:jc w:val="right"/>
              <w:rPr>
                <w:sz w:val="18"/>
                <w:szCs w:val="18"/>
              </w:rPr>
            </w:pPr>
            <w:r w:rsidRPr="00692926">
              <w:rPr>
                <w:sz w:val="18"/>
                <w:szCs w:val="18"/>
              </w:rPr>
              <w:t>-</w:t>
            </w:r>
          </w:p>
        </w:tc>
        <w:tc>
          <w:tcPr>
            <w:tcW w:w="1246" w:type="dxa"/>
            <w:vAlign w:val="bottom"/>
          </w:tcPr>
          <w:p w14:paraId="6ED4DE7E" w14:textId="658DAAA3" w:rsidR="00224102" w:rsidRPr="00692926" w:rsidRDefault="00224102" w:rsidP="00BA66B1">
            <w:pPr>
              <w:ind w:right="-55"/>
              <w:jc w:val="right"/>
              <w:rPr>
                <w:sz w:val="18"/>
                <w:szCs w:val="18"/>
              </w:rPr>
            </w:pPr>
            <w:r w:rsidRPr="00692926">
              <w:rPr>
                <w:sz w:val="18"/>
                <w:szCs w:val="18"/>
              </w:rPr>
              <w:t>29,881</w:t>
            </w:r>
          </w:p>
        </w:tc>
      </w:tr>
      <w:tr w:rsidR="00224102" w:rsidRPr="00604C75" w14:paraId="56E12CAF" w14:textId="77777777" w:rsidTr="003C0C96">
        <w:trPr>
          <w:trHeight w:val="238"/>
        </w:trPr>
        <w:tc>
          <w:tcPr>
            <w:tcW w:w="3388" w:type="dxa"/>
            <w:vAlign w:val="bottom"/>
          </w:tcPr>
          <w:p w14:paraId="000A3570"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left="-52"/>
              <w:rPr>
                <w:lang w:val="en-US"/>
              </w:rPr>
            </w:pPr>
            <w:r w:rsidRPr="00604C75">
              <w:rPr>
                <w:lang w:val="en-US"/>
              </w:rPr>
              <w:t xml:space="preserve">  Headquarters and Branches Abroad</w:t>
            </w:r>
          </w:p>
        </w:tc>
        <w:tc>
          <w:tcPr>
            <w:tcW w:w="1792" w:type="dxa"/>
            <w:vAlign w:val="bottom"/>
          </w:tcPr>
          <w:p w14:paraId="22B0ADE1" w14:textId="29FCC2F5" w:rsidR="00224102" w:rsidRDefault="00224102" w:rsidP="00BA66B1">
            <w:pPr>
              <w:ind w:right="-55"/>
              <w:jc w:val="right"/>
              <w:rPr>
                <w:sz w:val="18"/>
                <w:szCs w:val="18"/>
              </w:rPr>
            </w:pPr>
            <w:r>
              <w:rPr>
                <w:sz w:val="18"/>
                <w:szCs w:val="18"/>
              </w:rPr>
              <w:t>-</w:t>
            </w:r>
          </w:p>
        </w:tc>
        <w:tc>
          <w:tcPr>
            <w:tcW w:w="1595" w:type="dxa"/>
            <w:vAlign w:val="bottom"/>
          </w:tcPr>
          <w:p w14:paraId="6F0B6050" w14:textId="24855CF3" w:rsidR="00224102" w:rsidRDefault="00224102" w:rsidP="00BA66B1">
            <w:pPr>
              <w:ind w:right="-55"/>
              <w:jc w:val="right"/>
              <w:rPr>
                <w:sz w:val="18"/>
                <w:szCs w:val="18"/>
              </w:rPr>
            </w:pPr>
            <w:r>
              <w:rPr>
                <w:sz w:val="18"/>
                <w:szCs w:val="18"/>
              </w:rPr>
              <w:t>-</w:t>
            </w:r>
          </w:p>
        </w:tc>
        <w:tc>
          <w:tcPr>
            <w:tcW w:w="1344" w:type="dxa"/>
            <w:vAlign w:val="bottom"/>
          </w:tcPr>
          <w:p w14:paraId="227AC0CB" w14:textId="0F127EB5" w:rsidR="00224102" w:rsidRPr="00692926" w:rsidRDefault="00224102" w:rsidP="00BA66B1">
            <w:pPr>
              <w:ind w:right="-55"/>
              <w:jc w:val="right"/>
              <w:rPr>
                <w:sz w:val="18"/>
                <w:szCs w:val="18"/>
              </w:rPr>
            </w:pPr>
            <w:r w:rsidRPr="00692926">
              <w:rPr>
                <w:sz w:val="18"/>
                <w:szCs w:val="18"/>
              </w:rPr>
              <w:t>-</w:t>
            </w:r>
          </w:p>
        </w:tc>
        <w:tc>
          <w:tcPr>
            <w:tcW w:w="1246" w:type="dxa"/>
            <w:vAlign w:val="bottom"/>
          </w:tcPr>
          <w:p w14:paraId="5A42FC98" w14:textId="60841CF1" w:rsidR="00224102" w:rsidRPr="00692926" w:rsidRDefault="00224102" w:rsidP="00BA66B1">
            <w:pPr>
              <w:ind w:right="-55"/>
              <w:jc w:val="right"/>
              <w:rPr>
                <w:sz w:val="18"/>
                <w:szCs w:val="18"/>
              </w:rPr>
            </w:pPr>
            <w:r w:rsidRPr="00692926">
              <w:rPr>
                <w:sz w:val="18"/>
                <w:szCs w:val="18"/>
              </w:rPr>
              <w:t>-</w:t>
            </w:r>
          </w:p>
        </w:tc>
      </w:tr>
      <w:tr w:rsidR="00224102" w:rsidRPr="00604C75" w14:paraId="11CFDDF1" w14:textId="77777777" w:rsidTr="003C0C96">
        <w:trPr>
          <w:trHeight w:val="238"/>
        </w:trPr>
        <w:tc>
          <w:tcPr>
            <w:tcW w:w="3388" w:type="dxa"/>
            <w:vAlign w:val="bottom"/>
          </w:tcPr>
          <w:p w14:paraId="177C0AC5" w14:textId="77777777" w:rsidR="00224102" w:rsidRPr="00604C75" w:rsidRDefault="00224102" w:rsidP="00224102">
            <w:pPr>
              <w:tabs>
                <w:tab w:val="left" w:pos="0"/>
              </w:tabs>
              <w:spacing w:line="216" w:lineRule="auto"/>
              <w:ind w:left="-52"/>
              <w:rPr>
                <w:b/>
                <w:sz w:val="18"/>
                <w:szCs w:val="18"/>
              </w:rPr>
            </w:pPr>
            <w:r w:rsidRPr="00604C75">
              <w:rPr>
                <w:b/>
                <w:sz w:val="18"/>
                <w:szCs w:val="18"/>
              </w:rPr>
              <w:t>Total</w:t>
            </w:r>
          </w:p>
        </w:tc>
        <w:tc>
          <w:tcPr>
            <w:tcW w:w="1792" w:type="dxa"/>
            <w:vAlign w:val="bottom"/>
          </w:tcPr>
          <w:p w14:paraId="0CB5EF34" w14:textId="75152393" w:rsidR="00224102" w:rsidRDefault="00224102" w:rsidP="00BA66B1">
            <w:pPr>
              <w:ind w:right="-55"/>
              <w:jc w:val="right"/>
              <w:rPr>
                <w:b/>
                <w:bCs/>
                <w:sz w:val="18"/>
                <w:szCs w:val="18"/>
              </w:rPr>
            </w:pPr>
            <w:r>
              <w:rPr>
                <w:b/>
                <w:bCs/>
                <w:sz w:val="18"/>
                <w:szCs w:val="18"/>
              </w:rPr>
              <w:t>289,918</w:t>
            </w:r>
          </w:p>
        </w:tc>
        <w:tc>
          <w:tcPr>
            <w:tcW w:w="1595" w:type="dxa"/>
            <w:vAlign w:val="bottom"/>
          </w:tcPr>
          <w:p w14:paraId="3AA643E1" w14:textId="4E3A7EC8" w:rsidR="00224102" w:rsidRDefault="00224102" w:rsidP="00BA66B1">
            <w:pPr>
              <w:ind w:right="-55"/>
              <w:jc w:val="right"/>
              <w:rPr>
                <w:b/>
                <w:bCs/>
                <w:sz w:val="18"/>
                <w:szCs w:val="18"/>
              </w:rPr>
            </w:pPr>
            <w:r>
              <w:rPr>
                <w:b/>
                <w:bCs/>
                <w:sz w:val="18"/>
                <w:szCs w:val="18"/>
              </w:rPr>
              <w:t>322,078</w:t>
            </w:r>
          </w:p>
        </w:tc>
        <w:tc>
          <w:tcPr>
            <w:tcW w:w="1344" w:type="dxa"/>
            <w:vAlign w:val="bottom"/>
          </w:tcPr>
          <w:p w14:paraId="1786EC1A" w14:textId="7562088D" w:rsidR="00224102" w:rsidRPr="00692926" w:rsidRDefault="00224102" w:rsidP="00BA66B1">
            <w:pPr>
              <w:ind w:right="-55"/>
              <w:jc w:val="right"/>
              <w:rPr>
                <w:b/>
                <w:bCs/>
                <w:sz w:val="18"/>
                <w:szCs w:val="18"/>
              </w:rPr>
            </w:pPr>
            <w:r w:rsidRPr="00692926">
              <w:rPr>
                <w:b/>
                <w:bCs/>
                <w:sz w:val="18"/>
                <w:szCs w:val="18"/>
              </w:rPr>
              <w:t>71,781</w:t>
            </w:r>
          </w:p>
        </w:tc>
        <w:tc>
          <w:tcPr>
            <w:tcW w:w="1246" w:type="dxa"/>
            <w:vAlign w:val="bottom"/>
          </w:tcPr>
          <w:p w14:paraId="2E1C615C" w14:textId="07AE5EC4" w:rsidR="00224102" w:rsidRPr="00692926" w:rsidRDefault="00224102" w:rsidP="00BA66B1">
            <w:pPr>
              <w:ind w:right="-55"/>
              <w:jc w:val="right"/>
              <w:rPr>
                <w:b/>
                <w:bCs/>
                <w:sz w:val="18"/>
                <w:szCs w:val="18"/>
              </w:rPr>
            </w:pPr>
            <w:r w:rsidRPr="00692926">
              <w:rPr>
                <w:b/>
                <w:bCs/>
                <w:sz w:val="18"/>
                <w:szCs w:val="18"/>
              </w:rPr>
              <w:t>33,434</w:t>
            </w:r>
          </w:p>
        </w:tc>
      </w:tr>
    </w:tbl>
    <w:p w14:paraId="2B6C3EC6" w14:textId="77777777" w:rsidR="008C3301" w:rsidRPr="00EC6061" w:rsidRDefault="008C3301" w:rsidP="00224102">
      <w:pPr>
        <w:pStyle w:val="BodyTextIndent"/>
        <w:tabs>
          <w:tab w:val="left" w:pos="0"/>
        </w:tabs>
        <w:spacing w:before="80" w:line="216" w:lineRule="auto"/>
        <w:ind w:left="0"/>
        <w:rPr>
          <w:sz w:val="20"/>
          <w:szCs w:val="20"/>
        </w:rPr>
      </w:pPr>
      <w:r w:rsidRPr="00EC6061">
        <w:rPr>
          <w:sz w:val="20"/>
          <w:szCs w:val="20"/>
        </w:rPr>
        <w:t>2</w:t>
      </w:r>
      <w:r>
        <w:rPr>
          <w:sz w:val="20"/>
          <w:szCs w:val="20"/>
        </w:rPr>
        <w:t>.</w:t>
      </w:r>
      <w:r w:rsidRPr="00EC6061">
        <w:rPr>
          <w:sz w:val="20"/>
          <w:szCs w:val="20"/>
        </w:rPr>
        <w:tab/>
      </w:r>
      <w:r w:rsidRPr="00EC6061">
        <w:rPr>
          <w:bCs/>
          <w:sz w:val="20"/>
          <w:szCs w:val="20"/>
        </w:rPr>
        <w:t>Information on foreign banks</w:t>
      </w:r>
      <w:r w:rsidRPr="00EC6061">
        <w:rPr>
          <w:sz w:val="20"/>
          <w:szCs w:val="20"/>
        </w:rPr>
        <w:t>:</w:t>
      </w:r>
    </w:p>
    <w:tbl>
      <w:tblPr>
        <w:tblW w:w="5164"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2561"/>
        <w:gridCol w:w="1903"/>
        <w:gridCol w:w="1901"/>
        <w:gridCol w:w="1804"/>
        <w:gridCol w:w="1709"/>
      </w:tblGrid>
      <w:tr w:rsidR="00DB170F" w:rsidRPr="003E2819" w14:paraId="271D7289" w14:textId="77777777" w:rsidTr="00270266">
        <w:trPr>
          <w:cantSplit/>
          <w:trHeight w:val="214"/>
        </w:trPr>
        <w:tc>
          <w:tcPr>
            <w:tcW w:w="1297" w:type="pct"/>
            <w:vMerge w:val="restart"/>
            <w:vAlign w:val="bottom"/>
          </w:tcPr>
          <w:p w14:paraId="0C3480B8" w14:textId="77777777" w:rsidR="008C3301" w:rsidRPr="003E2819" w:rsidRDefault="008C3301" w:rsidP="008C3301">
            <w:pPr>
              <w:pStyle w:val="xl79"/>
              <w:pBdr>
                <w:left w:val="none" w:sz="0" w:space="0" w:color="auto"/>
                <w:bottom w:val="none" w:sz="0" w:space="0" w:color="auto"/>
                <w:right w:val="none" w:sz="0" w:space="0" w:color="auto"/>
              </w:pBdr>
              <w:spacing w:before="0" w:beforeAutospacing="0" w:after="0" w:afterAutospacing="0" w:line="216" w:lineRule="auto"/>
              <w:ind w:left="-59"/>
              <w:rPr>
                <w:rFonts w:eastAsia="Times New Roman"/>
                <w:lang w:val="en-US"/>
              </w:rPr>
            </w:pPr>
          </w:p>
        </w:tc>
        <w:tc>
          <w:tcPr>
            <w:tcW w:w="1925" w:type="pct"/>
            <w:gridSpan w:val="2"/>
            <w:vAlign w:val="bottom"/>
          </w:tcPr>
          <w:p w14:paraId="553ABA7B" w14:textId="77777777" w:rsidR="008C3301" w:rsidRPr="003E2819" w:rsidRDefault="008C3301" w:rsidP="008C3301">
            <w:pPr>
              <w:spacing w:line="216" w:lineRule="auto"/>
              <w:jc w:val="center"/>
              <w:rPr>
                <w:b/>
                <w:bCs/>
                <w:sz w:val="18"/>
                <w:szCs w:val="18"/>
              </w:rPr>
            </w:pPr>
            <w:r>
              <w:rPr>
                <w:b/>
                <w:bCs/>
                <w:sz w:val="18"/>
              </w:rPr>
              <w:t>Unr</w:t>
            </w:r>
            <w:r w:rsidRPr="003E2819">
              <w:rPr>
                <w:b/>
                <w:bCs/>
                <w:sz w:val="18"/>
              </w:rPr>
              <w:t>estricted Amount</w:t>
            </w:r>
          </w:p>
        </w:tc>
        <w:tc>
          <w:tcPr>
            <w:tcW w:w="1778" w:type="pct"/>
            <w:gridSpan w:val="2"/>
            <w:vAlign w:val="bottom"/>
          </w:tcPr>
          <w:p w14:paraId="4910DDE5" w14:textId="77777777" w:rsidR="008C3301" w:rsidRPr="003E2819" w:rsidRDefault="008C3301" w:rsidP="008C3301">
            <w:pPr>
              <w:spacing w:line="216" w:lineRule="auto"/>
              <w:jc w:val="center"/>
              <w:rPr>
                <w:b/>
                <w:bCs/>
                <w:sz w:val="18"/>
                <w:szCs w:val="18"/>
              </w:rPr>
            </w:pPr>
            <w:r>
              <w:rPr>
                <w:b/>
                <w:bCs/>
                <w:sz w:val="18"/>
              </w:rPr>
              <w:t>R</w:t>
            </w:r>
            <w:r w:rsidRPr="003E2819">
              <w:rPr>
                <w:b/>
                <w:bCs/>
                <w:sz w:val="18"/>
              </w:rPr>
              <w:t>estricted Amount</w:t>
            </w:r>
          </w:p>
        </w:tc>
      </w:tr>
      <w:tr w:rsidR="00DB170F" w:rsidRPr="003E2819" w14:paraId="7682D9EF" w14:textId="77777777" w:rsidTr="00270266">
        <w:trPr>
          <w:cantSplit/>
          <w:trHeight w:val="214"/>
        </w:trPr>
        <w:tc>
          <w:tcPr>
            <w:tcW w:w="1297" w:type="pct"/>
            <w:vMerge/>
            <w:vAlign w:val="bottom"/>
          </w:tcPr>
          <w:p w14:paraId="2FBFAB2A" w14:textId="77777777" w:rsidR="008C3301" w:rsidRPr="003E2819" w:rsidRDefault="008C3301" w:rsidP="008C3301">
            <w:pPr>
              <w:spacing w:line="216" w:lineRule="auto"/>
              <w:ind w:left="-59"/>
              <w:rPr>
                <w:sz w:val="18"/>
                <w:szCs w:val="18"/>
              </w:rPr>
            </w:pPr>
          </w:p>
        </w:tc>
        <w:tc>
          <w:tcPr>
            <w:tcW w:w="963" w:type="pct"/>
            <w:vAlign w:val="bottom"/>
          </w:tcPr>
          <w:p w14:paraId="67164957" w14:textId="77777777" w:rsidR="008C3301" w:rsidRPr="003E2819" w:rsidRDefault="008C3301" w:rsidP="00270266">
            <w:pPr>
              <w:spacing w:line="216" w:lineRule="auto"/>
              <w:ind w:right="-33"/>
              <w:jc w:val="right"/>
              <w:rPr>
                <w:b/>
                <w:bCs/>
                <w:sz w:val="18"/>
                <w:szCs w:val="18"/>
              </w:rPr>
            </w:pPr>
            <w:r>
              <w:rPr>
                <w:b/>
                <w:bCs/>
                <w:sz w:val="18"/>
                <w:szCs w:val="18"/>
              </w:rPr>
              <w:t>31 December 2015</w:t>
            </w:r>
          </w:p>
        </w:tc>
        <w:tc>
          <w:tcPr>
            <w:tcW w:w="962" w:type="pct"/>
            <w:vAlign w:val="bottom"/>
          </w:tcPr>
          <w:p w14:paraId="5D087BB3" w14:textId="77777777" w:rsidR="008C3301" w:rsidRPr="003E2819" w:rsidRDefault="008C3301" w:rsidP="00270266">
            <w:pPr>
              <w:spacing w:line="216" w:lineRule="auto"/>
              <w:ind w:right="-33"/>
              <w:jc w:val="right"/>
              <w:rPr>
                <w:b/>
                <w:bCs/>
                <w:sz w:val="18"/>
                <w:szCs w:val="18"/>
              </w:rPr>
            </w:pPr>
            <w:r w:rsidRPr="003E2819">
              <w:rPr>
                <w:b/>
                <w:bCs/>
                <w:sz w:val="18"/>
                <w:szCs w:val="18"/>
              </w:rPr>
              <w:t>31 December 201</w:t>
            </w:r>
            <w:r>
              <w:rPr>
                <w:b/>
                <w:bCs/>
                <w:sz w:val="18"/>
                <w:szCs w:val="18"/>
              </w:rPr>
              <w:t>4</w:t>
            </w:r>
          </w:p>
        </w:tc>
        <w:tc>
          <w:tcPr>
            <w:tcW w:w="913" w:type="pct"/>
            <w:vAlign w:val="bottom"/>
          </w:tcPr>
          <w:p w14:paraId="297E6DDA" w14:textId="77777777" w:rsidR="008C3301" w:rsidRPr="003E2819" w:rsidRDefault="008C3301" w:rsidP="00270266">
            <w:pPr>
              <w:spacing w:line="216" w:lineRule="auto"/>
              <w:ind w:right="-33"/>
              <w:jc w:val="right"/>
              <w:rPr>
                <w:b/>
                <w:bCs/>
                <w:sz w:val="18"/>
                <w:szCs w:val="18"/>
              </w:rPr>
            </w:pPr>
            <w:r>
              <w:rPr>
                <w:b/>
                <w:bCs/>
                <w:sz w:val="18"/>
                <w:szCs w:val="18"/>
              </w:rPr>
              <w:t>31 December 2015</w:t>
            </w:r>
          </w:p>
        </w:tc>
        <w:tc>
          <w:tcPr>
            <w:tcW w:w="866" w:type="pct"/>
            <w:vAlign w:val="bottom"/>
          </w:tcPr>
          <w:p w14:paraId="72490648" w14:textId="77777777" w:rsidR="008C3301" w:rsidRPr="003E2819" w:rsidRDefault="00DB170F" w:rsidP="00270266">
            <w:pPr>
              <w:spacing w:line="216" w:lineRule="auto"/>
              <w:ind w:right="-33"/>
              <w:rPr>
                <w:b/>
                <w:bCs/>
                <w:sz w:val="18"/>
                <w:szCs w:val="18"/>
              </w:rPr>
            </w:pPr>
            <w:r>
              <w:rPr>
                <w:b/>
                <w:bCs/>
                <w:sz w:val="18"/>
                <w:szCs w:val="18"/>
              </w:rPr>
              <w:t>31 December 2014</w:t>
            </w:r>
          </w:p>
        </w:tc>
      </w:tr>
      <w:tr w:rsidR="00224102" w:rsidRPr="003E2819" w14:paraId="1C5264CC" w14:textId="77777777" w:rsidTr="00270266">
        <w:trPr>
          <w:trHeight w:val="214"/>
        </w:trPr>
        <w:tc>
          <w:tcPr>
            <w:tcW w:w="1297" w:type="pct"/>
            <w:vAlign w:val="bottom"/>
          </w:tcPr>
          <w:p w14:paraId="14EFA7AE" w14:textId="77777777" w:rsidR="00224102" w:rsidRPr="003E2819" w:rsidRDefault="00224102" w:rsidP="00224102">
            <w:pPr>
              <w:spacing w:line="216" w:lineRule="auto"/>
              <w:ind w:left="-59"/>
              <w:rPr>
                <w:sz w:val="18"/>
              </w:rPr>
            </w:pPr>
            <w:r w:rsidRPr="003E2819">
              <w:rPr>
                <w:sz w:val="18"/>
              </w:rPr>
              <w:t>EU Countries</w:t>
            </w:r>
          </w:p>
        </w:tc>
        <w:tc>
          <w:tcPr>
            <w:tcW w:w="963" w:type="pct"/>
            <w:vAlign w:val="bottom"/>
          </w:tcPr>
          <w:p w14:paraId="49006972" w14:textId="7ABC0314" w:rsidR="00224102" w:rsidRDefault="00224102" w:rsidP="00270266">
            <w:pPr>
              <w:ind w:right="-33"/>
              <w:jc w:val="right"/>
              <w:rPr>
                <w:sz w:val="18"/>
                <w:szCs w:val="18"/>
              </w:rPr>
            </w:pPr>
            <w:r>
              <w:rPr>
                <w:sz w:val="18"/>
                <w:szCs w:val="18"/>
              </w:rPr>
              <w:t>28,984</w:t>
            </w:r>
          </w:p>
        </w:tc>
        <w:tc>
          <w:tcPr>
            <w:tcW w:w="962" w:type="pct"/>
            <w:vAlign w:val="bottom"/>
          </w:tcPr>
          <w:p w14:paraId="2FDA0CD6" w14:textId="34E65613" w:rsidR="00224102" w:rsidRPr="00A36623" w:rsidRDefault="00224102" w:rsidP="00270266">
            <w:pPr>
              <w:tabs>
                <w:tab w:val="num" w:pos="0"/>
              </w:tabs>
              <w:ind w:right="-33"/>
              <w:jc w:val="right"/>
              <w:rPr>
                <w:sz w:val="18"/>
                <w:szCs w:val="18"/>
              </w:rPr>
            </w:pPr>
            <w:r w:rsidRPr="00A36623">
              <w:rPr>
                <w:sz w:val="18"/>
                <w:szCs w:val="18"/>
              </w:rPr>
              <w:t>5</w:t>
            </w:r>
            <w:r>
              <w:rPr>
                <w:sz w:val="18"/>
                <w:szCs w:val="18"/>
              </w:rPr>
              <w:t>,</w:t>
            </w:r>
            <w:r w:rsidRPr="00A36623">
              <w:rPr>
                <w:sz w:val="18"/>
                <w:szCs w:val="18"/>
              </w:rPr>
              <w:t>237</w:t>
            </w:r>
          </w:p>
        </w:tc>
        <w:tc>
          <w:tcPr>
            <w:tcW w:w="913" w:type="pct"/>
            <w:vAlign w:val="bottom"/>
          </w:tcPr>
          <w:p w14:paraId="5B2B4016"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c>
          <w:tcPr>
            <w:tcW w:w="866" w:type="pct"/>
            <w:vAlign w:val="bottom"/>
          </w:tcPr>
          <w:p w14:paraId="25467DBC"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r>
      <w:tr w:rsidR="00224102" w:rsidRPr="003E2819" w14:paraId="322BBD5A" w14:textId="77777777" w:rsidTr="00270266">
        <w:trPr>
          <w:trHeight w:val="214"/>
        </w:trPr>
        <w:tc>
          <w:tcPr>
            <w:tcW w:w="1297" w:type="pct"/>
            <w:vAlign w:val="bottom"/>
          </w:tcPr>
          <w:p w14:paraId="1FF1B53C" w14:textId="77777777" w:rsidR="00224102" w:rsidRPr="003E2819" w:rsidRDefault="00224102" w:rsidP="00224102">
            <w:pPr>
              <w:spacing w:line="216" w:lineRule="auto"/>
              <w:ind w:left="-59"/>
              <w:rPr>
                <w:sz w:val="18"/>
              </w:rPr>
            </w:pPr>
            <w:r w:rsidRPr="003E2819">
              <w:rPr>
                <w:sz w:val="18"/>
              </w:rPr>
              <w:t>USA and Canada</w:t>
            </w:r>
          </w:p>
        </w:tc>
        <w:tc>
          <w:tcPr>
            <w:tcW w:w="963" w:type="pct"/>
            <w:vAlign w:val="bottom"/>
          </w:tcPr>
          <w:p w14:paraId="16C29172" w14:textId="0202B8D5" w:rsidR="00224102" w:rsidRDefault="00224102" w:rsidP="00270266">
            <w:pPr>
              <w:ind w:right="-33"/>
              <w:jc w:val="right"/>
              <w:rPr>
                <w:sz w:val="18"/>
                <w:szCs w:val="18"/>
              </w:rPr>
            </w:pPr>
            <w:r>
              <w:rPr>
                <w:sz w:val="18"/>
                <w:szCs w:val="18"/>
              </w:rPr>
              <w:t>134,938</w:t>
            </w:r>
          </w:p>
        </w:tc>
        <w:tc>
          <w:tcPr>
            <w:tcW w:w="962" w:type="pct"/>
            <w:vAlign w:val="bottom"/>
          </w:tcPr>
          <w:p w14:paraId="4152834D" w14:textId="77EB6011" w:rsidR="00224102" w:rsidRPr="00A36623" w:rsidRDefault="00224102" w:rsidP="00270266">
            <w:pPr>
              <w:tabs>
                <w:tab w:val="num" w:pos="0"/>
              </w:tabs>
              <w:ind w:right="-33"/>
              <w:jc w:val="right"/>
              <w:rPr>
                <w:sz w:val="18"/>
                <w:szCs w:val="18"/>
              </w:rPr>
            </w:pPr>
            <w:r w:rsidRPr="00A36623">
              <w:rPr>
                <w:sz w:val="18"/>
                <w:szCs w:val="18"/>
              </w:rPr>
              <w:t>23</w:t>
            </w:r>
            <w:r>
              <w:rPr>
                <w:sz w:val="18"/>
                <w:szCs w:val="18"/>
              </w:rPr>
              <w:t>,</w:t>
            </w:r>
            <w:r w:rsidRPr="00A36623">
              <w:rPr>
                <w:sz w:val="18"/>
                <w:szCs w:val="18"/>
              </w:rPr>
              <w:t>867</w:t>
            </w:r>
          </w:p>
        </w:tc>
        <w:tc>
          <w:tcPr>
            <w:tcW w:w="913" w:type="pct"/>
            <w:vAlign w:val="bottom"/>
          </w:tcPr>
          <w:p w14:paraId="1584065B"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c>
          <w:tcPr>
            <w:tcW w:w="866" w:type="pct"/>
            <w:vAlign w:val="bottom"/>
          </w:tcPr>
          <w:p w14:paraId="04F47B52"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r>
      <w:tr w:rsidR="00224102" w:rsidRPr="003E2819" w14:paraId="5BDD3E1A" w14:textId="77777777" w:rsidTr="00270266">
        <w:trPr>
          <w:trHeight w:val="214"/>
        </w:trPr>
        <w:tc>
          <w:tcPr>
            <w:tcW w:w="1297" w:type="pct"/>
            <w:vAlign w:val="bottom"/>
          </w:tcPr>
          <w:p w14:paraId="530BE0E3" w14:textId="77777777" w:rsidR="00224102" w:rsidRPr="003E2819" w:rsidRDefault="00224102" w:rsidP="00224102">
            <w:pPr>
              <w:spacing w:line="216" w:lineRule="auto"/>
              <w:ind w:left="-59"/>
              <w:rPr>
                <w:sz w:val="18"/>
              </w:rPr>
            </w:pPr>
            <w:r w:rsidRPr="003E2819">
              <w:rPr>
                <w:sz w:val="18"/>
              </w:rPr>
              <w:t>OECD Countries (*)</w:t>
            </w:r>
          </w:p>
        </w:tc>
        <w:tc>
          <w:tcPr>
            <w:tcW w:w="963" w:type="pct"/>
            <w:vAlign w:val="bottom"/>
          </w:tcPr>
          <w:p w14:paraId="09BF5157" w14:textId="4A09F013" w:rsidR="00224102" w:rsidRDefault="00224102" w:rsidP="00270266">
            <w:pPr>
              <w:ind w:right="-33"/>
              <w:jc w:val="right"/>
              <w:rPr>
                <w:sz w:val="18"/>
                <w:szCs w:val="18"/>
              </w:rPr>
            </w:pPr>
            <w:r>
              <w:rPr>
                <w:sz w:val="18"/>
                <w:szCs w:val="18"/>
              </w:rPr>
              <w:t>596</w:t>
            </w:r>
          </w:p>
        </w:tc>
        <w:tc>
          <w:tcPr>
            <w:tcW w:w="962" w:type="pct"/>
            <w:vAlign w:val="bottom"/>
          </w:tcPr>
          <w:p w14:paraId="0BA0272A" w14:textId="4C54C40C" w:rsidR="00224102" w:rsidRPr="00A36623" w:rsidRDefault="00224102" w:rsidP="00270266">
            <w:pPr>
              <w:tabs>
                <w:tab w:val="num" w:pos="0"/>
              </w:tabs>
              <w:ind w:right="-33"/>
              <w:jc w:val="right"/>
              <w:rPr>
                <w:sz w:val="18"/>
                <w:szCs w:val="18"/>
              </w:rPr>
            </w:pPr>
            <w:r w:rsidRPr="00A36623">
              <w:rPr>
                <w:sz w:val="18"/>
                <w:szCs w:val="18"/>
              </w:rPr>
              <w:t>717</w:t>
            </w:r>
          </w:p>
        </w:tc>
        <w:tc>
          <w:tcPr>
            <w:tcW w:w="913" w:type="pct"/>
            <w:vAlign w:val="bottom"/>
          </w:tcPr>
          <w:p w14:paraId="1A0B1E59"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c>
          <w:tcPr>
            <w:tcW w:w="866" w:type="pct"/>
            <w:vAlign w:val="bottom"/>
          </w:tcPr>
          <w:p w14:paraId="3797F6A1"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r>
      <w:tr w:rsidR="00224102" w:rsidRPr="003E2819" w14:paraId="097A3264" w14:textId="77777777" w:rsidTr="00270266">
        <w:trPr>
          <w:trHeight w:val="214"/>
        </w:trPr>
        <w:tc>
          <w:tcPr>
            <w:tcW w:w="1297" w:type="pct"/>
            <w:vAlign w:val="bottom"/>
          </w:tcPr>
          <w:p w14:paraId="51A44D73" w14:textId="77777777" w:rsidR="00224102" w:rsidRPr="003E2819" w:rsidRDefault="00224102" w:rsidP="00224102">
            <w:pPr>
              <w:spacing w:line="216" w:lineRule="auto"/>
              <w:ind w:left="-59"/>
              <w:rPr>
                <w:sz w:val="18"/>
              </w:rPr>
            </w:pPr>
            <w:r w:rsidRPr="003E2819">
              <w:rPr>
                <w:sz w:val="18"/>
              </w:rPr>
              <w:t>Off-Shore Banking Regions</w:t>
            </w:r>
          </w:p>
        </w:tc>
        <w:tc>
          <w:tcPr>
            <w:tcW w:w="963" w:type="pct"/>
            <w:vAlign w:val="bottom"/>
          </w:tcPr>
          <w:p w14:paraId="273C2519" w14:textId="5DE78A32" w:rsidR="00224102" w:rsidRDefault="00224102" w:rsidP="00270266">
            <w:pPr>
              <w:ind w:right="-33"/>
              <w:jc w:val="right"/>
              <w:rPr>
                <w:sz w:val="18"/>
                <w:szCs w:val="18"/>
              </w:rPr>
            </w:pPr>
            <w:r>
              <w:rPr>
                <w:sz w:val="18"/>
                <w:szCs w:val="18"/>
              </w:rPr>
              <w:t>-</w:t>
            </w:r>
          </w:p>
        </w:tc>
        <w:tc>
          <w:tcPr>
            <w:tcW w:w="962" w:type="pct"/>
            <w:vAlign w:val="bottom"/>
          </w:tcPr>
          <w:p w14:paraId="4967EE46" w14:textId="1895C562" w:rsidR="00224102" w:rsidRPr="00A36623" w:rsidRDefault="00224102" w:rsidP="00270266">
            <w:pPr>
              <w:tabs>
                <w:tab w:val="num" w:pos="0"/>
              </w:tabs>
              <w:ind w:right="-33"/>
              <w:jc w:val="right"/>
              <w:rPr>
                <w:sz w:val="18"/>
                <w:szCs w:val="18"/>
              </w:rPr>
            </w:pPr>
            <w:r w:rsidRPr="00A36623">
              <w:rPr>
                <w:sz w:val="18"/>
                <w:szCs w:val="18"/>
              </w:rPr>
              <w:t>-</w:t>
            </w:r>
          </w:p>
        </w:tc>
        <w:tc>
          <w:tcPr>
            <w:tcW w:w="913" w:type="pct"/>
            <w:vAlign w:val="bottom"/>
          </w:tcPr>
          <w:p w14:paraId="332CC421"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c>
          <w:tcPr>
            <w:tcW w:w="866" w:type="pct"/>
            <w:vAlign w:val="bottom"/>
          </w:tcPr>
          <w:p w14:paraId="576CF184"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r>
      <w:tr w:rsidR="00224102" w:rsidRPr="003E2819" w14:paraId="0621917D" w14:textId="77777777" w:rsidTr="00270266">
        <w:trPr>
          <w:trHeight w:val="214"/>
        </w:trPr>
        <w:tc>
          <w:tcPr>
            <w:tcW w:w="1297" w:type="pct"/>
            <w:vAlign w:val="bottom"/>
          </w:tcPr>
          <w:p w14:paraId="2FEBED36" w14:textId="77777777" w:rsidR="00224102" w:rsidRPr="003E2819" w:rsidRDefault="00224102" w:rsidP="00224102">
            <w:pPr>
              <w:spacing w:line="216" w:lineRule="auto"/>
              <w:ind w:left="-59"/>
              <w:rPr>
                <w:sz w:val="18"/>
              </w:rPr>
            </w:pPr>
            <w:r w:rsidRPr="003E2819">
              <w:rPr>
                <w:sz w:val="18"/>
              </w:rPr>
              <w:t>Other</w:t>
            </w:r>
          </w:p>
        </w:tc>
        <w:tc>
          <w:tcPr>
            <w:tcW w:w="963" w:type="pct"/>
            <w:vAlign w:val="bottom"/>
          </w:tcPr>
          <w:p w14:paraId="08F80404" w14:textId="606FACEB" w:rsidR="00224102" w:rsidRDefault="00224102" w:rsidP="00270266">
            <w:pPr>
              <w:ind w:right="-33"/>
              <w:jc w:val="right"/>
              <w:rPr>
                <w:sz w:val="18"/>
                <w:szCs w:val="18"/>
              </w:rPr>
            </w:pPr>
            <w:r>
              <w:rPr>
                <w:sz w:val="18"/>
                <w:szCs w:val="18"/>
              </w:rPr>
              <w:t>3,015</w:t>
            </w:r>
          </w:p>
        </w:tc>
        <w:tc>
          <w:tcPr>
            <w:tcW w:w="962" w:type="pct"/>
            <w:vAlign w:val="bottom"/>
          </w:tcPr>
          <w:p w14:paraId="2DBEC74D" w14:textId="1D9E0C91" w:rsidR="00224102" w:rsidRPr="00A36623" w:rsidRDefault="00224102" w:rsidP="00270266">
            <w:pPr>
              <w:tabs>
                <w:tab w:val="num" w:pos="0"/>
              </w:tabs>
              <w:ind w:right="-33"/>
              <w:jc w:val="right"/>
              <w:rPr>
                <w:sz w:val="18"/>
                <w:szCs w:val="18"/>
              </w:rPr>
            </w:pPr>
            <w:r w:rsidRPr="00A36623">
              <w:rPr>
                <w:sz w:val="18"/>
                <w:szCs w:val="18"/>
              </w:rPr>
              <w:t>60</w:t>
            </w:r>
          </w:p>
        </w:tc>
        <w:tc>
          <w:tcPr>
            <w:tcW w:w="913" w:type="pct"/>
            <w:vAlign w:val="bottom"/>
          </w:tcPr>
          <w:p w14:paraId="0AF09125"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c>
          <w:tcPr>
            <w:tcW w:w="866" w:type="pct"/>
            <w:vAlign w:val="bottom"/>
          </w:tcPr>
          <w:p w14:paraId="49FCE672" w14:textId="77777777" w:rsidR="00224102" w:rsidRPr="00A36623" w:rsidRDefault="00224102" w:rsidP="00270266">
            <w:pPr>
              <w:tabs>
                <w:tab w:val="num" w:pos="0"/>
              </w:tabs>
              <w:spacing w:line="211" w:lineRule="auto"/>
              <w:ind w:right="-33"/>
              <w:jc w:val="right"/>
              <w:rPr>
                <w:sz w:val="18"/>
                <w:szCs w:val="18"/>
              </w:rPr>
            </w:pPr>
            <w:r w:rsidRPr="00A36623">
              <w:rPr>
                <w:sz w:val="18"/>
                <w:szCs w:val="18"/>
              </w:rPr>
              <w:t>-</w:t>
            </w:r>
          </w:p>
        </w:tc>
      </w:tr>
      <w:tr w:rsidR="00224102" w:rsidRPr="003E2819" w14:paraId="2984BD4C" w14:textId="77777777" w:rsidTr="00270266">
        <w:trPr>
          <w:trHeight w:val="214"/>
        </w:trPr>
        <w:tc>
          <w:tcPr>
            <w:tcW w:w="1297" w:type="pct"/>
            <w:vAlign w:val="bottom"/>
          </w:tcPr>
          <w:p w14:paraId="50D7155E" w14:textId="77777777" w:rsidR="00224102" w:rsidRPr="003E2819" w:rsidRDefault="00224102" w:rsidP="00224102">
            <w:pPr>
              <w:spacing w:line="216" w:lineRule="auto"/>
              <w:ind w:left="-59"/>
              <w:rPr>
                <w:b/>
                <w:sz w:val="18"/>
                <w:szCs w:val="18"/>
              </w:rPr>
            </w:pPr>
            <w:r w:rsidRPr="003E2819">
              <w:rPr>
                <w:b/>
                <w:sz w:val="18"/>
                <w:szCs w:val="18"/>
              </w:rPr>
              <w:t>Total</w:t>
            </w:r>
          </w:p>
        </w:tc>
        <w:tc>
          <w:tcPr>
            <w:tcW w:w="963" w:type="pct"/>
            <w:vAlign w:val="bottom"/>
          </w:tcPr>
          <w:p w14:paraId="665B9063" w14:textId="7685CFB7" w:rsidR="00224102" w:rsidRPr="00D17ECB" w:rsidRDefault="00224102" w:rsidP="00270266">
            <w:pPr>
              <w:ind w:right="-33"/>
              <w:jc w:val="right"/>
              <w:rPr>
                <w:b/>
                <w:sz w:val="18"/>
                <w:szCs w:val="18"/>
              </w:rPr>
            </w:pPr>
            <w:r w:rsidRPr="00D17ECB">
              <w:rPr>
                <w:b/>
                <w:sz w:val="18"/>
                <w:szCs w:val="18"/>
              </w:rPr>
              <w:t>167,533</w:t>
            </w:r>
          </w:p>
        </w:tc>
        <w:tc>
          <w:tcPr>
            <w:tcW w:w="962" w:type="pct"/>
            <w:vAlign w:val="bottom"/>
          </w:tcPr>
          <w:p w14:paraId="61BF0C9D" w14:textId="43F7405B" w:rsidR="00224102" w:rsidRPr="00A36623" w:rsidRDefault="00224102" w:rsidP="00270266">
            <w:pPr>
              <w:tabs>
                <w:tab w:val="num" w:pos="0"/>
              </w:tabs>
              <w:ind w:right="-33"/>
              <w:jc w:val="right"/>
              <w:rPr>
                <w:b/>
                <w:sz w:val="18"/>
                <w:szCs w:val="18"/>
              </w:rPr>
            </w:pPr>
            <w:r w:rsidRPr="00A36623">
              <w:rPr>
                <w:b/>
                <w:sz w:val="18"/>
                <w:szCs w:val="18"/>
              </w:rPr>
              <w:t>29</w:t>
            </w:r>
            <w:r>
              <w:rPr>
                <w:b/>
                <w:sz w:val="18"/>
                <w:szCs w:val="18"/>
              </w:rPr>
              <w:t>,</w:t>
            </w:r>
            <w:r w:rsidRPr="00A36623">
              <w:rPr>
                <w:b/>
                <w:sz w:val="18"/>
                <w:szCs w:val="18"/>
              </w:rPr>
              <w:t>881</w:t>
            </w:r>
          </w:p>
        </w:tc>
        <w:tc>
          <w:tcPr>
            <w:tcW w:w="913" w:type="pct"/>
            <w:vAlign w:val="bottom"/>
          </w:tcPr>
          <w:p w14:paraId="7953DD64" w14:textId="77777777" w:rsidR="00224102" w:rsidRPr="00A36623" w:rsidRDefault="00224102" w:rsidP="00270266">
            <w:pPr>
              <w:tabs>
                <w:tab w:val="num" w:pos="0"/>
              </w:tabs>
              <w:spacing w:line="211" w:lineRule="auto"/>
              <w:ind w:right="-33"/>
              <w:jc w:val="right"/>
              <w:rPr>
                <w:b/>
                <w:sz w:val="18"/>
                <w:szCs w:val="18"/>
              </w:rPr>
            </w:pPr>
            <w:r w:rsidRPr="00A36623">
              <w:rPr>
                <w:b/>
                <w:sz w:val="18"/>
                <w:szCs w:val="18"/>
              </w:rPr>
              <w:t>-</w:t>
            </w:r>
          </w:p>
        </w:tc>
        <w:tc>
          <w:tcPr>
            <w:tcW w:w="866" w:type="pct"/>
            <w:vAlign w:val="bottom"/>
          </w:tcPr>
          <w:p w14:paraId="216136EC" w14:textId="77777777" w:rsidR="00224102" w:rsidRPr="00A36623" w:rsidRDefault="00224102" w:rsidP="00270266">
            <w:pPr>
              <w:tabs>
                <w:tab w:val="num" w:pos="0"/>
              </w:tabs>
              <w:spacing w:line="211" w:lineRule="auto"/>
              <w:ind w:right="-33"/>
              <w:jc w:val="right"/>
              <w:rPr>
                <w:b/>
                <w:sz w:val="18"/>
                <w:szCs w:val="18"/>
              </w:rPr>
            </w:pPr>
            <w:r w:rsidRPr="00A36623">
              <w:rPr>
                <w:b/>
                <w:sz w:val="18"/>
                <w:szCs w:val="18"/>
              </w:rPr>
              <w:t>-</w:t>
            </w:r>
          </w:p>
        </w:tc>
      </w:tr>
    </w:tbl>
    <w:p w14:paraId="645EE3F9" w14:textId="0F5562CA" w:rsidR="008C3301" w:rsidRPr="00507FD7" w:rsidRDefault="008C3301" w:rsidP="00224102">
      <w:pPr>
        <w:pStyle w:val="BodyTextIndent"/>
        <w:spacing w:before="80" w:after="0" w:line="216" w:lineRule="auto"/>
        <w:ind w:left="0"/>
        <w:rPr>
          <w:sz w:val="18"/>
          <w:szCs w:val="18"/>
        </w:rPr>
      </w:pPr>
      <w:r w:rsidRPr="003E2819" w:rsidDel="00140F3A">
        <w:rPr>
          <w:sz w:val="14"/>
          <w:szCs w:val="14"/>
        </w:rPr>
        <w:t xml:space="preserve"> </w:t>
      </w:r>
      <w:r>
        <w:rPr>
          <w:sz w:val="18"/>
          <w:szCs w:val="18"/>
        </w:rPr>
        <w:t>(*)</w:t>
      </w:r>
      <w:r w:rsidR="00270266">
        <w:rPr>
          <w:sz w:val="18"/>
          <w:szCs w:val="18"/>
        </w:rPr>
        <w:t xml:space="preserve"> </w:t>
      </w:r>
      <w:r w:rsidRPr="003E2819">
        <w:rPr>
          <w:sz w:val="18"/>
          <w:szCs w:val="18"/>
        </w:rPr>
        <w:t>OECD countries other than the EU countries, USA and Canada</w:t>
      </w:r>
      <w:r>
        <w:rPr>
          <w:sz w:val="18"/>
          <w:szCs w:val="18"/>
        </w:rPr>
        <w:t>.</w:t>
      </w:r>
    </w:p>
    <w:p w14:paraId="58043D27" w14:textId="77777777" w:rsidR="005E33B0" w:rsidRPr="00604C75" w:rsidRDefault="005E33B0" w:rsidP="008477F3">
      <w:pPr>
        <w:pStyle w:val="BodyTextIndent"/>
        <w:numPr>
          <w:ilvl w:val="0"/>
          <w:numId w:val="58"/>
        </w:numPr>
        <w:tabs>
          <w:tab w:val="left" w:pos="462"/>
        </w:tabs>
        <w:spacing w:before="120" w:after="0" w:line="216" w:lineRule="auto"/>
        <w:ind w:left="0" w:firstLine="0"/>
        <w:jc w:val="both"/>
        <w:rPr>
          <w:b/>
          <w:sz w:val="20"/>
          <w:szCs w:val="20"/>
        </w:rPr>
      </w:pPr>
      <w:r w:rsidRPr="00604C75">
        <w:rPr>
          <w:b/>
          <w:sz w:val="20"/>
          <w:szCs w:val="20"/>
        </w:rPr>
        <w:t>Information on available-for-sale</w:t>
      </w:r>
      <w:r w:rsidR="00583CE2" w:rsidRPr="00604C75">
        <w:rPr>
          <w:b/>
          <w:sz w:val="20"/>
          <w:szCs w:val="20"/>
        </w:rPr>
        <w:t xml:space="preserve"> financial assets</w:t>
      </w:r>
    </w:p>
    <w:p w14:paraId="7A6F218E" w14:textId="77777777" w:rsidR="005E33B0" w:rsidRPr="00604C75" w:rsidRDefault="005E33B0" w:rsidP="00224102">
      <w:pPr>
        <w:pStyle w:val="BodyTextIndent"/>
        <w:tabs>
          <w:tab w:val="left" w:pos="0"/>
          <w:tab w:val="left" w:pos="426"/>
        </w:tabs>
        <w:spacing w:before="120" w:after="0" w:line="216" w:lineRule="auto"/>
        <w:ind w:left="0"/>
        <w:rPr>
          <w:sz w:val="20"/>
          <w:szCs w:val="20"/>
        </w:rPr>
      </w:pPr>
      <w:r w:rsidRPr="00604C75">
        <w:rPr>
          <w:sz w:val="20"/>
          <w:szCs w:val="20"/>
        </w:rPr>
        <w:t>1.</w:t>
      </w:r>
      <w:r w:rsidRPr="00604C75">
        <w:rPr>
          <w:sz w:val="20"/>
          <w:szCs w:val="20"/>
        </w:rPr>
        <w:tab/>
        <w:t>Characteristics and carrying values of available-for-sale financial assets given as collateral</w:t>
      </w:r>
    </w:p>
    <w:p w14:paraId="56514760" w14:textId="01D86F6E" w:rsidR="005E33B0" w:rsidRPr="00604C75" w:rsidRDefault="005E33B0" w:rsidP="00224102">
      <w:pPr>
        <w:pStyle w:val="BodyTextIndent"/>
        <w:tabs>
          <w:tab w:val="left" w:pos="0"/>
        </w:tabs>
        <w:spacing w:before="120" w:line="216" w:lineRule="auto"/>
        <w:ind w:left="0"/>
        <w:jc w:val="both"/>
        <w:rPr>
          <w:sz w:val="20"/>
          <w:szCs w:val="20"/>
        </w:rPr>
      </w:pPr>
      <w:r w:rsidRPr="001A29DA">
        <w:rPr>
          <w:sz w:val="20"/>
          <w:szCs w:val="20"/>
        </w:rPr>
        <w:t>As of</w:t>
      </w:r>
      <w:r w:rsidR="00F51CB2" w:rsidRPr="001A29DA">
        <w:rPr>
          <w:sz w:val="20"/>
          <w:szCs w:val="20"/>
        </w:rPr>
        <w:t xml:space="preserve"> 3</w:t>
      </w:r>
      <w:r w:rsidR="00DB170F">
        <w:rPr>
          <w:sz w:val="20"/>
          <w:szCs w:val="20"/>
        </w:rPr>
        <w:t>1</w:t>
      </w:r>
      <w:r w:rsidR="00F51CB2" w:rsidRPr="001A29DA">
        <w:rPr>
          <w:sz w:val="20"/>
          <w:szCs w:val="20"/>
        </w:rPr>
        <w:t xml:space="preserve"> </w:t>
      </w:r>
      <w:r w:rsidR="00DB170F">
        <w:rPr>
          <w:sz w:val="20"/>
          <w:szCs w:val="20"/>
        </w:rPr>
        <w:t>December</w:t>
      </w:r>
      <w:r w:rsidR="00DB170F" w:rsidRPr="001A29DA">
        <w:rPr>
          <w:sz w:val="20"/>
          <w:szCs w:val="20"/>
        </w:rPr>
        <w:t xml:space="preserve"> </w:t>
      </w:r>
      <w:r w:rsidR="00BD6D57" w:rsidRPr="001A29DA">
        <w:rPr>
          <w:sz w:val="20"/>
          <w:szCs w:val="20"/>
        </w:rPr>
        <w:t>201</w:t>
      </w:r>
      <w:r w:rsidR="00E5379A" w:rsidRPr="001A29DA">
        <w:rPr>
          <w:sz w:val="20"/>
          <w:szCs w:val="20"/>
        </w:rPr>
        <w:t>5</w:t>
      </w:r>
      <w:r w:rsidR="00BD6D57" w:rsidRPr="001A29DA">
        <w:rPr>
          <w:sz w:val="20"/>
          <w:szCs w:val="20"/>
        </w:rPr>
        <w:t xml:space="preserve">, there are </w:t>
      </w:r>
      <w:r w:rsidRPr="00195EDC">
        <w:rPr>
          <w:sz w:val="20"/>
          <w:szCs w:val="20"/>
        </w:rPr>
        <w:t>available</w:t>
      </w:r>
      <w:r w:rsidRPr="001A29DA">
        <w:rPr>
          <w:sz w:val="20"/>
          <w:szCs w:val="20"/>
        </w:rPr>
        <w:t>-for-sale financial assets</w:t>
      </w:r>
      <w:r w:rsidR="00877CBD">
        <w:rPr>
          <w:sz w:val="20"/>
          <w:szCs w:val="20"/>
        </w:rPr>
        <w:t xml:space="preserve"> </w:t>
      </w:r>
      <w:r w:rsidR="00F84FE0" w:rsidRPr="00195EDC">
        <w:rPr>
          <w:sz w:val="20"/>
          <w:szCs w:val="20"/>
        </w:rPr>
        <w:t xml:space="preserve">TL 347,792 </w:t>
      </w:r>
      <w:r w:rsidR="00877CBD">
        <w:rPr>
          <w:sz w:val="20"/>
          <w:szCs w:val="20"/>
        </w:rPr>
        <w:t>amounting</w:t>
      </w:r>
      <w:r w:rsidRPr="001A29DA">
        <w:rPr>
          <w:sz w:val="20"/>
          <w:szCs w:val="20"/>
        </w:rPr>
        <w:t xml:space="preserve"> given as coll</w:t>
      </w:r>
      <w:r w:rsidR="00C845DF" w:rsidRPr="001A29DA">
        <w:rPr>
          <w:sz w:val="20"/>
          <w:szCs w:val="20"/>
        </w:rPr>
        <w:t>ateral/blocked (31 December 201</w:t>
      </w:r>
      <w:r w:rsidR="00E5379A" w:rsidRPr="001A29DA">
        <w:rPr>
          <w:sz w:val="20"/>
          <w:szCs w:val="20"/>
        </w:rPr>
        <w:t>4</w:t>
      </w:r>
      <w:r w:rsidRPr="001A29DA">
        <w:rPr>
          <w:sz w:val="20"/>
          <w:szCs w:val="20"/>
        </w:rPr>
        <w:t>: TL</w:t>
      </w:r>
      <w:r w:rsidR="00583CE2" w:rsidRPr="001A29DA">
        <w:rPr>
          <w:sz w:val="20"/>
          <w:szCs w:val="20"/>
        </w:rPr>
        <w:t xml:space="preserve"> </w:t>
      </w:r>
      <w:r w:rsidR="00B85AE8" w:rsidRPr="001A29DA">
        <w:rPr>
          <w:sz w:val="20"/>
          <w:szCs w:val="20"/>
        </w:rPr>
        <w:t>25,203</w:t>
      </w:r>
      <w:r w:rsidRPr="001A29DA">
        <w:rPr>
          <w:sz w:val="20"/>
          <w:szCs w:val="20"/>
        </w:rPr>
        <w:t>) and those subject to repurchase agre</w:t>
      </w:r>
      <w:r w:rsidR="00BD6D57" w:rsidRPr="001A29DA">
        <w:rPr>
          <w:sz w:val="20"/>
          <w:szCs w:val="20"/>
        </w:rPr>
        <w:t>ements amounts to TL</w:t>
      </w:r>
      <w:r w:rsidR="00C845DF" w:rsidRPr="001A29DA">
        <w:rPr>
          <w:sz w:val="20"/>
          <w:szCs w:val="20"/>
        </w:rPr>
        <w:t xml:space="preserve"> </w:t>
      </w:r>
      <w:r w:rsidR="004845D8">
        <w:rPr>
          <w:sz w:val="20"/>
          <w:szCs w:val="20"/>
        </w:rPr>
        <w:t>379,683</w:t>
      </w:r>
      <w:r w:rsidR="004845D8" w:rsidRPr="00692926">
        <w:rPr>
          <w:sz w:val="20"/>
          <w:szCs w:val="20"/>
        </w:rPr>
        <w:t xml:space="preserve"> </w:t>
      </w:r>
      <w:r w:rsidRPr="001A29DA">
        <w:rPr>
          <w:sz w:val="20"/>
          <w:szCs w:val="20"/>
        </w:rPr>
        <w:t>(31 December 201</w:t>
      </w:r>
      <w:r w:rsidR="00E5379A" w:rsidRPr="001A29DA">
        <w:rPr>
          <w:sz w:val="20"/>
          <w:szCs w:val="20"/>
        </w:rPr>
        <w:t>4</w:t>
      </w:r>
      <w:r w:rsidR="00C845DF" w:rsidRPr="001A29DA">
        <w:rPr>
          <w:sz w:val="20"/>
          <w:szCs w:val="20"/>
        </w:rPr>
        <w:t xml:space="preserve">: TL </w:t>
      </w:r>
      <w:r w:rsidR="00314A7D" w:rsidRPr="001A29DA">
        <w:rPr>
          <w:sz w:val="20"/>
          <w:szCs w:val="20"/>
        </w:rPr>
        <w:t>367,143</w:t>
      </w:r>
      <w:r w:rsidRPr="001A29DA">
        <w:rPr>
          <w:sz w:val="20"/>
          <w:szCs w:val="20"/>
        </w:rPr>
        <w:t>).</w:t>
      </w:r>
    </w:p>
    <w:p w14:paraId="6D947C84" w14:textId="77777777" w:rsidR="00224102" w:rsidRDefault="00224102" w:rsidP="00224102">
      <w:pPr>
        <w:pStyle w:val="BodyTextIndent"/>
        <w:tabs>
          <w:tab w:val="left" w:pos="0"/>
        </w:tabs>
        <w:spacing w:before="80" w:after="80" w:line="216" w:lineRule="auto"/>
        <w:ind w:left="0"/>
        <w:rPr>
          <w:sz w:val="20"/>
          <w:szCs w:val="20"/>
        </w:rPr>
      </w:pPr>
      <w:r w:rsidRPr="00604C75">
        <w:rPr>
          <w:sz w:val="20"/>
          <w:szCs w:val="20"/>
        </w:rPr>
        <w:t>2.</w:t>
      </w:r>
      <w:r>
        <w:rPr>
          <w:sz w:val="20"/>
          <w:szCs w:val="20"/>
        </w:rPr>
        <w:t xml:space="preserve">       </w:t>
      </w:r>
      <w:r w:rsidRPr="00604C75">
        <w:rPr>
          <w:sz w:val="20"/>
          <w:szCs w:val="20"/>
        </w:rPr>
        <w:t>Information on available-for-sale financial assets</w:t>
      </w:r>
    </w:p>
    <w:tbl>
      <w:tblPr>
        <w:tblW w:w="902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609"/>
        <w:gridCol w:w="1762"/>
        <w:gridCol w:w="1658"/>
      </w:tblGrid>
      <w:tr w:rsidR="00224102" w:rsidRPr="00692926" w14:paraId="123AB674" w14:textId="77777777" w:rsidTr="00F77D55">
        <w:trPr>
          <w:trHeight w:val="240"/>
        </w:trPr>
        <w:tc>
          <w:tcPr>
            <w:tcW w:w="5609" w:type="dxa"/>
            <w:vAlign w:val="bottom"/>
          </w:tcPr>
          <w:p w14:paraId="7E37B205" w14:textId="77777777" w:rsidR="00224102" w:rsidRPr="00692926" w:rsidRDefault="00224102" w:rsidP="00F77D55">
            <w:pPr>
              <w:pStyle w:val="xl79"/>
              <w:pBdr>
                <w:left w:val="none" w:sz="0" w:space="0" w:color="auto"/>
                <w:bottom w:val="none" w:sz="0" w:space="0" w:color="auto"/>
                <w:right w:val="none" w:sz="0" w:space="0" w:color="auto"/>
              </w:pBdr>
              <w:spacing w:before="0" w:beforeAutospacing="0" w:after="0" w:afterAutospacing="0" w:line="216" w:lineRule="auto"/>
              <w:jc w:val="right"/>
              <w:rPr>
                <w:b/>
                <w:bCs/>
              </w:rPr>
            </w:pPr>
          </w:p>
        </w:tc>
        <w:tc>
          <w:tcPr>
            <w:tcW w:w="1762" w:type="dxa"/>
            <w:vAlign w:val="bottom"/>
          </w:tcPr>
          <w:p w14:paraId="39B56560" w14:textId="77777777" w:rsidR="00224102" w:rsidRPr="00604C75" w:rsidRDefault="00224102" w:rsidP="005D6911">
            <w:pPr>
              <w:tabs>
                <w:tab w:val="left" w:pos="0"/>
              </w:tabs>
              <w:spacing w:line="216" w:lineRule="auto"/>
              <w:ind w:right="52"/>
              <w:jc w:val="right"/>
              <w:rPr>
                <w:b/>
                <w:bCs/>
                <w:sz w:val="18"/>
                <w:szCs w:val="18"/>
              </w:rPr>
            </w:pPr>
            <w:r>
              <w:rPr>
                <w:b/>
                <w:bCs/>
                <w:sz w:val="18"/>
                <w:szCs w:val="18"/>
              </w:rPr>
              <w:t>31 December</w:t>
            </w:r>
            <w:r w:rsidRPr="00604C75">
              <w:rPr>
                <w:b/>
                <w:bCs/>
                <w:sz w:val="18"/>
                <w:szCs w:val="18"/>
              </w:rPr>
              <w:t xml:space="preserve"> 2015 </w:t>
            </w:r>
          </w:p>
        </w:tc>
        <w:tc>
          <w:tcPr>
            <w:tcW w:w="1658" w:type="dxa"/>
            <w:vAlign w:val="bottom"/>
          </w:tcPr>
          <w:p w14:paraId="7EFEDB94" w14:textId="77777777" w:rsidR="00224102" w:rsidRPr="00604C75" w:rsidRDefault="00224102" w:rsidP="005D6911">
            <w:pPr>
              <w:tabs>
                <w:tab w:val="left" w:pos="0"/>
              </w:tabs>
              <w:spacing w:line="216" w:lineRule="auto"/>
              <w:ind w:right="52"/>
              <w:jc w:val="right"/>
              <w:rPr>
                <w:rFonts w:eastAsia="Arial Unicode MS"/>
                <w:b/>
                <w:bCs/>
                <w:sz w:val="18"/>
                <w:szCs w:val="18"/>
              </w:rPr>
            </w:pPr>
            <w:r w:rsidRPr="00604C75">
              <w:rPr>
                <w:b/>
                <w:bCs/>
                <w:sz w:val="18"/>
                <w:szCs w:val="18"/>
              </w:rPr>
              <w:t>31 December 2014</w:t>
            </w:r>
          </w:p>
        </w:tc>
      </w:tr>
      <w:tr w:rsidR="00224102" w:rsidRPr="00692926" w14:paraId="3EACEBCE" w14:textId="77777777" w:rsidTr="00F77D55">
        <w:trPr>
          <w:trHeight w:val="240"/>
        </w:trPr>
        <w:tc>
          <w:tcPr>
            <w:tcW w:w="5609" w:type="dxa"/>
            <w:vAlign w:val="bottom"/>
          </w:tcPr>
          <w:p w14:paraId="71763304"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sidRPr="00604C75">
              <w:rPr>
                <w:lang w:val="en-US"/>
              </w:rPr>
              <w:t>Debt Securities</w:t>
            </w:r>
          </w:p>
        </w:tc>
        <w:tc>
          <w:tcPr>
            <w:tcW w:w="1762" w:type="dxa"/>
            <w:vAlign w:val="bottom"/>
          </w:tcPr>
          <w:p w14:paraId="5E90071A" w14:textId="1AB69506" w:rsidR="00224102" w:rsidRDefault="00224102" w:rsidP="005D6911">
            <w:pPr>
              <w:ind w:right="52"/>
              <w:jc w:val="right"/>
              <w:rPr>
                <w:sz w:val="18"/>
                <w:szCs w:val="18"/>
              </w:rPr>
            </w:pPr>
            <w:r>
              <w:rPr>
                <w:sz w:val="18"/>
                <w:szCs w:val="18"/>
              </w:rPr>
              <w:t>840,174</w:t>
            </w:r>
          </w:p>
        </w:tc>
        <w:tc>
          <w:tcPr>
            <w:tcW w:w="1658" w:type="dxa"/>
            <w:vAlign w:val="bottom"/>
          </w:tcPr>
          <w:p w14:paraId="566D6AF4" w14:textId="6633B92A" w:rsidR="00224102" w:rsidRPr="00692926" w:rsidRDefault="00224102" w:rsidP="005D6911">
            <w:pPr>
              <w:ind w:right="52"/>
              <w:jc w:val="right"/>
              <w:rPr>
                <w:sz w:val="18"/>
                <w:szCs w:val="18"/>
              </w:rPr>
            </w:pPr>
            <w:r w:rsidRPr="00692926">
              <w:rPr>
                <w:sz w:val="18"/>
                <w:szCs w:val="18"/>
              </w:rPr>
              <w:t>903,824</w:t>
            </w:r>
          </w:p>
        </w:tc>
      </w:tr>
      <w:tr w:rsidR="00224102" w:rsidRPr="00692926" w14:paraId="77DF49CB" w14:textId="77777777" w:rsidTr="00F77D55">
        <w:trPr>
          <w:trHeight w:val="240"/>
        </w:trPr>
        <w:tc>
          <w:tcPr>
            <w:tcW w:w="5609" w:type="dxa"/>
            <w:vAlign w:val="bottom"/>
          </w:tcPr>
          <w:p w14:paraId="0ADF1D86" w14:textId="77777777" w:rsidR="00224102" w:rsidRPr="00604C75" w:rsidRDefault="00224102" w:rsidP="00224102">
            <w:pPr>
              <w:pStyle w:val="BodyTextIndent2"/>
              <w:tabs>
                <w:tab w:val="left" w:pos="0"/>
              </w:tabs>
              <w:spacing w:line="216" w:lineRule="auto"/>
              <w:ind w:left="0" w:firstLine="0"/>
              <w:rPr>
                <w:sz w:val="18"/>
                <w:szCs w:val="18"/>
              </w:rPr>
            </w:pPr>
            <w:r>
              <w:rPr>
                <w:sz w:val="18"/>
                <w:szCs w:val="18"/>
              </w:rPr>
              <w:t xml:space="preserve">   </w:t>
            </w:r>
            <w:r w:rsidRPr="00604C75">
              <w:rPr>
                <w:sz w:val="18"/>
                <w:szCs w:val="18"/>
              </w:rPr>
              <w:t>Quoted on Stock Exchange</w:t>
            </w:r>
          </w:p>
        </w:tc>
        <w:tc>
          <w:tcPr>
            <w:tcW w:w="1762" w:type="dxa"/>
            <w:vAlign w:val="bottom"/>
          </w:tcPr>
          <w:p w14:paraId="2C7C4F6F" w14:textId="403825C9" w:rsidR="00224102" w:rsidRDefault="00224102" w:rsidP="005D6911">
            <w:pPr>
              <w:ind w:right="52"/>
              <w:jc w:val="right"/>
              <w:rPr>
                <w:sz w:val="18"/>
                <w:szCs w:val="18"/>
              </w:rPr>
            </w:pPr>
            <w:r>
              <w:rPr>
                <w:sz w:val="18"/>
                <w:szCs w:val="18"/>
              </w:rPr>
              <w:t>832,176</w:t>
            </w:r>
          </w:p>
        </w:tc>
        <w:tc>
          <w:tcPr>
            <w:tcW w:w="1658" w:type="dxa"/>
            <w:vAlign w:val="bottom"/>
          </w:tcPr>
          <w:p w14:paraId="3800202E" w14:textId="5492B382" w:rsidR="00224102" w:rsidRPr="00692926" w:rsidRDefault="00224102" w:rsidP="005D6911">
            <w:pPr>
              <w:ind w:right="52"/>
              <w:jc w:val="right"/>
              <w:rPr>
                <w:sz w:val="18"/>
                <w:szCs w:val="18"/>
              </w:rPr>
            </w:pPr>
            <w:r w:rsidRPr="00692926">
              <w:rPr>
                <w:sz w:val="18"/>
                <w:szCs w:val="18"/>
              </w:rPr>
              <w:t>903,824</w:t>
            </w:r>
          </w:p>
        </w:tc>
      </w:tr>
      <w:tr w:rsidR="00224102" w:rsidRPr="00692926" w14:paraId="6F189B7D" w14:textId="77777777" w:rsidTr="00F77D55">
        <w:trPr>
          <w:trHeight w:val="240"/>
        </w:trPr>
        <w:tc>
          <w:tcPr>
            <w:tcW w:w="5609" w:type="dxa"/>
            <w:vAlign w:val="bottom"/>
          </w:tcPr>
          <w:p w14:paraId="4C1EDCB8"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Pr>
                <w:lang w:val="en-US"/>
              </w:rPr>
              <w:t xml:space="preserve">   </w:t>
            </w:r>
            <w:r w:rsidRPr="00604C75">
              <w:rPr>
                <w:lang w:val="en-US"/>
              </w:rPr>
              <w:t>Not Quoted</w:t>
            </w:r>
          </w:p>
        </w:tc>
        <w:tc>
          <w:tcPr>
            <w:tcW w:w="1762" w:type="dxa"/>
            <w:vAlign w:val="bottom"/>
          </w:tcPr>
          <w:p w14:paraId="57064EF1" w14:textId="05294532" w:rsidR="00224102" w:rsidRDefault="00224102" w:rsidP="005D6911">
            <w:pPr>
              <w:ind w:right="52"/>
              <w:jc w:val="right"/>
              <w:rPr>
                <w:sz w:val="18"/>
                <w:szCs w:val="18"/>
              </w:rPr>
            </w:pPr>
            <w:r>
              <w:rPr>
                <w:sz w:val="18"/>
                <w:szCs w:val="18"/>
              </w:rPr>
              <w:t>8,038</w:t>
            </w:r>
          </w:p>
        </w:tc>
        <w:tc>
          <w:tcPr>
            <w:tcW w:w="1658" w:type="dxa"/>
            <w:vAlign w:val="bottom"/>
          </w:tcPr>
          <w:p w14:paraId="280F540F" w14:textId="71CB973B" w:rsidR="00224102" w:rsidRPr="00692926" w:rsidRDefault="00224102" w:rsidP="005D6911">
            <w:pPr>
              <w:ind w:right="52"/>
              <w:jc w:val="right"/>
              <w:rPr>
                <w:sz w:val="18"/>
                <w:szCs w:val="18"/>
              </w:rPr>
            </w:pPr>
            <w:r w:rsidRPr="00692926">
              <w:rPr>
                <w:sz w:val="18"/>
                <w:szCs w:val="18"/>
              </w:rPr>
              <w:t>-</w:t>
            </w:r>
          </w:p>
        </w:tc>
      </w:tr>
      <w:tr w:rsidR="00224102" w:rsidRPr="00692926" w14:paraId="366E210A" w14:textId="77777777" w:rsidTr="00F77D55">
        <w:trPr>
          <w:trHeight w:val="240"/>
        </w:trPr>
        <w:tc>
          <w:tcPr>
            <w:tcW w:w="5609" w:type="dxa"/>
            <w:vAlign w:val="bottom"/>
          </w:tcPr>
          <w:p w14:paraId="1E11F4A9"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sidRPr="00604C75">
              <w:rPr>
                <w:lang w:val="en-US"/>
              </w:rPr>
              <w:t>Share Certificates</w:t>
            </w:r>
          </w:p>
        </w:tc>
        <w:tc>
          <w:tcPr>
            <w:tcW w:w="1762" w:type="dxa"/>
            <w:vAlign w:val="bottom"/>
          </w:tcPr>
          <w:p w14:paraId="31E3C0C0" w14:textId="7C761572" w:rsidR="00224102" w:rsidRDefault="00224102" w:rsidP="005D6911">
            <w:pPr>
              <w:ind w:right="52"/>
              <w:jc w:val="right"/>
              <w:rPr>
                <w:sz w:val="18"/>
                <w:szCs w:val="18"/>
              </w:rPr>
            </w:pPr>
            <w:r>
              <w:rPr>
                <w:sz w:val="18"/>
                <w:szCs w:val="18"/>
              </w:rPr>
              <w:t>5,882</w:t>
            </w:r>
          </w:p>
        </w:tc>
        <w:tc>
          <w:tcPr>
            <w:tcW w:w="1658" w:type="dxa"/>
            <w:vAlign w:val="bottom"/>
          </w:tcPr>
          <w:p w14:paraId="096658ED" w14:textId="7E1CB512" w:rsidR="00224102" w:rsidRPr="00692926" w:rsidRDefault="00224102" w:rsidP="005D6911">
            <w:pPr>
              <w:ind w:right="52"/>
              <w:jc w:val="right"/>
              <w:rPr>
                <w:sz w:val="18"/>
                <w:szCs w:val="18"/>
              </w:rPr>
            </w:pPr>
            <w:r w:rsidRPr="00692926">
              <w:rPr>
                <w:sz w:val="18"/>
                <w:szCs w:val="18"/>
              </w:rPr>
              <w:t>161</w:t>
            </w:r>
          </w:p>
        </w:tc>
      </w:tr>
      <w:tr w:rsidR="00224102" w:rsidRPr="00692926" w14:paraId="636A151F" w14:textId="77777777" w:rsidTr="00F77D55">
        <w:trPr>
          <w:trHeight w:val="240"/>
        </w:trPr>
        <w:tc>
          <w:tcPr>
            <w:tcW w:w="5609" w:type="dxa"/>
            <w:vAlign w:val="bottom"/>
          </w:tcPr>
          <w:p w14:paraId="39F6452A"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Pr>
                <w:lang w:val="en-US"/>
              </w:rPr>
              <w:t xml:space="preserve">   </w:t>
            </w:r>
            <w:r w:rsidRPr="00604C75">
              <w:rPr>
                <w:lang w:val="en-US"/>
              </w:rPr>
              <w:t>Quoted on Stock Exchange</w:t>
            </w:r>
          </w:p>
        </w:tc>
        <w:tc>
          <w:tcPr>
            <w:tcW w:w="1762" w:type="dxa"/>
            <w:vAlign w:val="bottom"/>
          </w:tcPr>
          <w:p w14:paraId="37C82F81" w14:textId="030FCD65" w:rsidR="00224102" w:rsidRDefault="00224102" w:rsidP="005D6911">
            <w:pPr>
              <w:ind w:right="52"/>
              <w:jc w:val="right"/>
              <w:rPr>
                <w:sz w:val="18"/>
                <w:szCs w:val="18"/>
              </w:rPr>
            </w:pPr>
            <w:r>
              <w:rPr>
                <w:sz w:val="18"/>
                <w:szCs w:val="18"/>
              </w:rPr>
              <w:t>1</w:t>
            </w:r>
          </w:p>
        </w:tc>
        <w:tc>
          <w:tcPr>
            <w:tcW w:w="1658" w:type="dxa"/>
            <w:vAlign w:val="bottom"/>
          </w:tcPr>
          <w:p w14:paraId="15D33A23" w14:textId="1C0B06E8" w:rsidR="00224102" w:rsidRPr="00692926" w:rsidRDefault="00224102" w:rsidP="005D6911">
            <w:pPr>
              <w:ind w:right="52"/>
              <w:jc w:val="right"/>
              <w:rPr>
                <w:sz w:val="18"/>
                <w:szCs w:val="18"/>
              </w:rPr>
            </w:pPr>
            <w:r w:rsidRPr="00692926">
              <w:rPr>
                <w:sz w:val="18"/>
                <w:szCs w:val="18"/>
              </w:rPr>
              <w:t>1</w:t>
            </w:r>
          </w:p>
        </w:tc>
      </w:tr>
      <w:tr w:rsidR="00224102" w:rsidRPr="00692926" w14:paraId="023272F8" w14:textId="77777777" w:rsidTr="00F77D55">
        <w:trPr>
          <w:trHeight w:val="240"/>
        </w:trPr>
        <w:tc>
          <w:tcPr>
            <w:tcW w:w="5609" w:type="dxa"/>
            <w:vAlign w:val="bottom"/>
          </w:tcPr>
          <w:p w14:paraId="77B9403E"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Pr>
                <w:lang w:val="en-US"/>
              </w:rPr>
              <w:t xml:space="preserve">   </w:t>
            </w:r>
            <w:r w:rsidRPr="00604C75">
              <w:rPr>
                <w:lang w:val="en-US"/>
              </w:rPr>
              <w:t>Not Quoted</w:t>
            </w:r>
            <w:r>
              <w:rPr>
                <w:lang w:val="en-US"/>
              </w:rPr>
              <w:t xml:space="preserve"> </w:t>
            </w:r>
            <w:r w:rsidRPr="00692926">
              <w:t>(*)</w:t>
            </w:r>
          </w:p>
        </w:tc>
        <w:tc>
          <w:tcPr>
            <w:tcW w:w="1762" w:type="dxa"/>
            <w:vAlign w:val="bottom"/>
          </w:tcPr>
          <w:p w14:paraId="18E27FA4" w14:textId="2DC81FDE" w:rsidR="00224102" w:rsidRDefault="00224102" w:rsidP="005D6911">
            <w:pPr>
              <w:ind w:right="52"/>
              <w:jc w:val="right"/>
              <w:rPr>
                <w:sz w:val="18"/>
                <w:szCs w:val="18"/>
              </w:rPr>
            </w:pPr>
            <w:r>
              <w:rPr>
                <w:sz w:val="18"/>
                <w:szCs w:val="18"/>
              </w:rPr>
              <w:t>5,881</w:t>
            </w:r>
          </w:p>
        </w:tc>
        <w:tc>
          <w:tcPr>
            <w:tcW w:w="1658" w:type="dxa"/>
            <w:vAlign w:val="bottom"/>
          </w:tcPr>
          <w:p w14:paraId="44476675" w14:textId="23D0DBAC" w:rsidR="00224102" w:rsidRPr="00692926" w:rsidRDefault="00224102" w:rsidP="005D6911">
            <w:pPr>
              <w:ind w:right="52"/>
              <w:jc w:val="right"/>
              <w:rPr>
                <w:sz w:val="18"/>
                <w:szCs w:val="18"/>
              </w:rPr>
            </w:pPr>
            <w:r w:rsidRPr="00692926">
              <w:rPr>
                <w:sz w:val="18"/>
                <w:szCs w:val="18"/>
              </w:rPr>
              <w:t>160</w:t>
            </w:r>
          </w:p>
        </w:tc>
      </w:tr>
      <w:tr w:rsidR="00224102" w:rsidRPr="00692926" w14:paraId="192558C2" w14:textId="77777777" w:rsidTr="00F77D55">
        <w:trPr>
          <w:trHeight w:val="240"/>
        </w:trPr>
        <w:tc>
          <w:tcPr>
            <w:tcW w:w="5609" w:type="dxa"/>
            <w:vAlign w:val="bottom"/>
          </w:tcPr>
          <w:p w14:paraId="64714D1D"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lang w:val="en-US"/>
              </w:rPr>
            </w:pPr>
            <w:r w:rsidRPr="00604C75">
              <w:rPr>
                <w:lang w:val="en-US"/>
              </w:rPr>
              <w:t>Impairment Provision (-)</w:t>
            </w:r>
          </w:p>
        </w:tc>
        <w:tc>
          <w:tcPr>
            <w:tcW w:w="1762" w:type="dxa"/>
            <w:vAlign w:val="bottom"/>
          </w:tcPr>
          <w:p w14:paraId="69A83424" w14:textId="6741EF34" w:rsidR="00224102" w:rsidRDefault="00224102" w:rsidP="005D6911">
            <w:pPr>
              <w:ind w:right="52"/>
              <w:jc w:val="right"/>
              <w:rPr>
                <w:sz w:val="18"/>
                <w:szCs w:val="18"/>
              </w:rPr>
            </w:pPr>
            <w:r>
              <w:rPr>
                <w:sz w:val="18"/>
                <w:szCs w:val="18"/>
              </w:rPr>
              <w:t>28,953</w:t>
            </w:r>
          </w:p>
        </w:tc>
        <w:tc>
          <w:tcPr>
            <w:tcW w:w="1658" w:type="dxa"/>
            <w:vAlign w:val="bottom"/>
          </w:tcPr>
          <w:p w14:paraId="74E53B6A" w14:textId="186816DC" w:rsidR="00224102" w:rsidRPr="00692926" w:rsidRDefault="00224102" w:rsidP="005D6911">
            <w:pPr>
              <w:ind w:right="52"/>
              <w:jc w:val="right"/>
              <w:rPr>
                <w:sz w:val="18"/>
                <w:szCs w:val="18"/>
              </w:rPr>
            </w:pPr>
            <w:r w:rsidRPr="00692926">
              <w:rPr>
                <w:sz w:val="18"/>
                <w:szCs w:val="18"/>
              </w:rPr>
              <w:t>7,877</w:t>
            </w:r>
          </w:p>
        </w:tc>
      </w:tr>
      <w:tr w:rsidR="00224102" w:rsidRPr="00692926" w14:paraId="3FC7A32C" w14:textId="77777777" w:rsidTr="00F77D55">
        <w:trPr>
          <w:trHeight w:val="240"/>
        </w:trPr>
        <w:tc>
          <w:tcPr>
            <w:tcW w:w="5609" w:type="dxa"/>
            <w:vAlign w:val="bottom"/>
          </w:tcPr>
          <w:p w14:paraId="48CAB8B5"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rPr>
                <w:b/>
                <w:lang w:val="en-US"/>
              </w:rPr>
            </w:pPr>
            <w:r w:rsidRPr="00604C75">
              <w:rPr>
                <w:b/>
                <w:lang w:val="en-US"/>
              </w:rPr>
              <w:t>Total</w:t>
            </w:r>
          </w:p>
        </w:tc>
        <w:tc>
          <w:tcPr>
            <w:tcW w:w="1762" w:type="dxa"/>
            <w:vAlign w:val="bottom"/>
          </w:tcPr>
          <w:p w14:paraId="241CD45E" w14:textId="301D67EF" w:rsidR="00224102" w:rsidRPr="00122CB8" w:rsidRDefault="00224102" w:rsidP="005D6911">
            <w:pPr>
              <w:ind w:right="52"/>
              <w:jc w:val="right"/>
              <w:rPr>
                <w:b/>
                <w:sz w:val="18"/>
                <w:szCs w:val="18"/>
              </w:rPr>
            </w:pPr>
            <w:r w:rsidRPr="00122CB8">
              <w:rPr>
                <w:b/>
                <w:sz w:val="18"/>
                <w:szCs w:val="18"/>
              </w:rPr>
              <w:t>817,103</w:t>
            </w:r>
          </w:p>
        </w:tc>
        <w:tc>
          <w:tcPr>
            <w:tcW w:w="1658" w:type="dxa"/>
            <w:vAlign w:val="bottom"/>
          </w:tcPr>
          <w:p w14:paraId="010BE11C" w14:textId="05BE9FA6" w:rsidR="00224102" w:rsidRPr="00692926" w:rsidRDefault="00224102" w:rsidP="005D6911">
            <w:pPr>
              <w:ind w:right="52"/>
              <w:jc w:val="right"/>
              <w:rPr>
                <w:b/>
                <w:sz w:val="18"/>
                <w:szCs w:val="18"/>
              </w:rPr>
            </w:pPr>
            <w:r w:rsidRPr="00692926">
              <w:rPr>
                <w:b/>
                <w:sz w:val="18"/>
                <w:szCs w:val="18"/>
              </w:rPr>
              <w:t>896,108</w:t>
            </w:r>
          </w:p>
        </w:tc>
      </w:tr>
    </w:tbl>
    <w:p w14:paraId="68CBAB12" w14:textId="49A57227" w:rsidR="00224102" w:rsidRPr="00604C75" w:rsidRDefault="00224102" w:rsidP="00224102">
      <w:pPr>
        <w:pStyle w:val="BodyTextIndent"/>
        <w:tabs>
          <w:tab w:val="left" w:pos="360"/>
        </w:tabs>
        <w:spacing w:before="60"/>
        <w:ind w:left="357" w:right="17" w:hanging="357"/>
        <w:rPr>
          <w:b/>
          <w:sz w:val="20"/>
          <w:szCs w:val="20"/>
        </w:rPr>
      </w:pPr>
      <w:r w:rsidRPr="00195EDC">
        <w:rPr>
          <w:bCs/>
          <w:sz w:val="16"/>
          <w:szCs w:val="16"/>
        </w:rPr>
        <w:t xml:space="preserve">(*) In 9 April 2015, 1.6949 % of </w:t>
      </w:r>
      <w:proofErr w:type="spellStart"/>
      <w:r w:rsidRPr="00195EDC">
        <w:rPr>
          <w:bCs/>
          <w:sz w:val="16"/>
          <w:szCs w:val="16"/>
        </w:rPr>
        <w:t>Kredi</w:t>
      </w:r>
      <w:proofErr w:type="spellEnd"/>
      <w:r w:rsidRPr="00195EDC">
        <w:rPr>
          <w:bCs/>
          <w:sz w:val="16"/>
          <w:szCs w:val="16"/>
        </w:rPr>
        <w:t xml:space="preserve"> </w:t>
      </w:r>
      <w:proofErr w:type="spellStart"/>
      <w:r w:rsidRPr="00195EDC">
        <w:rPr>
          <w:bCs/>
          <w:sz w:val="16"/>
          <w:szCs w:val="16"/>
        </w:rPr>
        <w:t>Garanti</w:t>
      </w:r>
      <w:proofErr w:type="spellEnd"/>
      <w:r w:rsidRPr="00195EDC">
        <w:rPr>
          <w:bCs/>
          <w:sz w:val="16"/>
          <w:szCs w:val="16"/>
        </w:rPr>
        <w:t xml:space="preserve"> </w:t>
      </w:r>
      <w:proofErr w:type="spellStart"/>
      <w:r w:rsidRPr="00195EDC">
        <w:rPr>
          <w:bCs/>
          <w:sz w:val="16"/>
          <w:szCs w:val="16"/>
        </w:rPr>
        <w:t>Fonu</w:t>
      </w:r>
      <w:proofErr w:type="spellEnd"/>
      <w:r w:rsidRPr="00195EDC">
        <w:rPr>
          <w:bCs/>
          <w:sz w:val="16"/>
          <w:szCs w:val="16"/>
        </w:rPr>
        <w:t xml:space="preserve"> A.Ş. </w:t>
      </w:r>
      <w:r w:rsidR="00F84FE0">
        <w:rPr>
          <w:bCs/>
          <w:sz w:val="16"/>
          <w:szCs w:val="16"/>
        </w:rPr>
        <w:t xml:space="preserve">share </w:t>
      </w:r>
      <w:r w:rsidR="00877CBD" w:rsidRPr="00195EDC">
        <w:rPr>
          <w:bCs/>
          <w:sz w:val="16"/>
          <w:szCs w:val="16"/>
        </w:rPr>
        <w:t>amounting to TL 4,720</w:t>
      </w:r>
      <w:r w:rsidR="00877CBD">
        <w:rPr>
          <w:bCs/>
          <w:sz w:val="16"/>
          <w:szCs w:val="16"/>
        </w:rPr>
        <w:t xml:space="preserve"> </w:t>
      </w:r>
      <w:r w:rsidR="00F84FE0">
        <w:rPr>
          <w:bCs/>
          <w:sz w:val="16"/>
          <w:szCs w:val="16"/>
        </w:rPr>
        <w:t xml:space="preserve">is </w:t>
      </w:r>
      <w:r w:rsidRPr="00195EDC">
        <w:rPr>
          <w:bCs/>
          <w:sz w:val="16"/>
          <w:szCs w:val="16"/>
        </w:rPr>
        <w:t>acquired.</w:t>
      </w:r>
    </w:p>
    <w:p w14:paraId="0E20CACC" w14:textId="6CA43302" w:rsidR="00DB170F" w:rsidRPr="00604C75" w:rsidRDefault="00B27B7B" w:rsidP="00DB170F">
      <w:pPr>
        <w:pStyle w:val="BodyTextIndent"/>
        <w:pageBreakBefore/>
        <w:tabs>
          <w:tab w:val="left" w:pos="360"/>
        </w:tabs>
        <w:ind w:left="357" w:right="17" w:hanging="357"/>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1B10B7B3" w14:textId="77777777" w:rsidR="00DB170F" w:rsidRPr="00604C75" w:rsidRDefault="00DB170F" w:rsidP="00DB170F">
      <w:pPr>
        <w:pStyle w:val="Heading2"/>
        <w:tabs>
          <w:tab w:val="left" w:pos="851"/>
        </w:tabs>
        <w:spacing w:before="0" w:line="48" w:lineRule="auto"/>
        <w:ind w:left="851" w:hanging="851"/>
        <w:rPr>
          <w:rFonts w:ascii="Times New Roman" w:hAnsi="Times New Roman"/>
          <w:caps/>
          <w:sz w:val="20"/>
        </w:rPr>
      </w:pPr>
    </w:p>
    <w:p w14:paraId="6B63FB5B" w14:textId="3D88C1FF" w:rsidR="00DB170F" w:rsidRPr="00604C75" w:rsidRDefault="00DB170F" w:rsidP="00DB170F">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75AECE23" w14:textId="77777777" w:rsidR="00DB170F" w:rsidRDefault="00DB170F" w:rsidP="00507FD7">
      <w:pPr>
        <w:pStyle w:val="BodyTextIndent"/>
        <w:tabs>
          <w:tab w:val="left" w:pos="0"/>
        </w:tabs>
        <w:spacing w:after="0" w:line="120" w:lineRule="auto"/>
        <w:ind w:left="0"/>
        <w:rPr>
          <w:sz w:val="20"/>
          <w:szCs w:val="20"/>
        </w:rPr>
      </w:pPr>
    </w:p>
    <w:p w14:paraId="0C20DCC3" w14:textId="77777777" w:rsidR="005E33B0" w:rsidRPr="00604C75" w:rsidRDefault="005E33B0" w:rsidP="00647320">
      <w:pPr>
        <w:pStyle w:val="BodyTextIndent"/>
        <w:numPr>
          <w:ilvl w:val="0"/>
          <w:numId w:val="58"/>
        </w:numPr>
        <w:tabs>
          <w:tab w:val="clear" w:pos="1260"/>
        </w:tabs>
        <w:spacing w:after="0" w:line="216" w:lineRule="auto"/>
        <w:ind w:left="532" w:hanging="518"/>
        <w:jc w:val="both"/>
        <w:rPr>
          <w:b/>
          <w:sz w:val="20"/>
          <w:szCs w:val="20"/>
        </w:rPr>
      </w:pPr>
      <w:r w:rsidRPr="00604C75">
        <w:rPr>
          <w:b/>
          <w:sz w:val="20"/>
          <w:szCs w:val="20"/>
        </w:rPr>
        <w:t>Explanations on loans</w:t>
      </w:r>
    </w:p>
    <w:p w14:paraId="63C1E38E" w14:textId="77777777" w:rsidR="005E33B0" w:rsidRPr="00604C75" w:rsidRDefault="005E33B0" w:rsidP="0099514C">
      <w:pPr>
        <w:pStyle w:val="BodyTextIndent"/>
        <w:spacing w:after="0" w:line="216" w:lineRule="auto"/>
        <w:rPr>
          <w:bCs/>
          <w:sz w:val="16"/>
          <w:szCs w:val="16"/>
        </w:rPr>
      </w:pPr>
    </w:p>
    <w:p w14:paraId="204399B3" w14:textId="77777777" w:rsidR="005E33B0" w:rsidRPr="00604C75" w:rsidRDefault="008454DE" w:rsidP="008E3C20">
      <w:pPr>
        <w:pStyle w:val="BodyTextIndent"/>
        <w:spacing w:after="0" w:line="216" w:lineRule="auto"/>
        <w:ind w:left="709" w:hanging="709"/>
        <w:rPr>
          <w:sz w:val="20"/>
          <w:szCs w:val="20"/>
        </w:rPr>
      </w:pPr>
      <w:r w:rsidRPr="00604C75">
        <w:rPr>
          <w:sz w:val="20"/>
          <w:szCs w:val="20"/>
        </w:rPr>
        <w:t>1.</w:t>
      </w:r>
      <w:r w:rsidRPr="00604C75">
        <w:rPr>
          <w:sz w:val="20"/>
          <w:szCs w:val="20"/>
        </w:rPr>
        <w:tab/>
      </w:r>
      <w:r w:rsidR="005E33B0" w:rsidRPr="00604C75">
        <w:rPr>
          <w:sz w:val="20"/>
          <w:szCs w:val="20"/>
        </w:rPr>
        <w:t xml:space="preserve">Information on all types of loan or advance balances given to shareholders and employees of the </w:t>
      </w:r>
      <w:r w:rsidR="000D6F2C" w:rsidRPr="00604C75">
        <w:rPr>
          <w:sz w:val="20"/>
          <w:szCs w:val="20"/>
        </w:rPr>
        <w:t xml:space="preserve">Parent </w:t>
      </w:r>
      <w:r w:rsidR="008E3C20" w:rsidRPr="00604C75">
        <w:rPr>
          <w:sz w:val="20"/>
          <w:szCs w:val="20"/>
        </w:rPr>
        <w:t>Bank</w:t>
      </w:r>
    </w:p>
    <w:p w14:paraId="5C6C3D12" w14:textId="77777777" w:rsidR="008E3C20" w:rsidRPr="00604C75" w:rsidRDefault="008E3C20" w:rsidP="00507FD7">
      <w:pPr>
        <w:pStyle w:val="BodyTextIndent"/>
        <w:spacing w:after="0" w:line="120" w:lineRule="auto"/>
        <w:ind w:left="709" w:hanging="709"/>
        <w:rPr>
          <w:sz w:val="20"/>
          <w:szCs w:val="20"/>
        </w:rPr>
      </w:pPr>
    </w:p>
    <w:tbl>
      <w:tblPr>
        <w:tblW w:w="9572"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437"/>
        <w:gridCol w:w="1283"/>
        <w:gridCol w:w="1284"/>
        <w:gridCol w:w="1284"/>
        <w:gridCol w:w="1284"/>
      </w:tblGrid>
      <w:tr w:rsidR="005E33B0" w:rsidRPr="00604C75" w14:paraId="75C08F52" w14:textId="77777777" w:rsidTr="008117B4">
        <w:trPr>
          <w:cantSplit/>
          <w:trHeight w:val="297"/>
        </w:trPr>
        <w:tc>
          <w:tcPr>
            <w:tcW w:w="4437" w:type="dxa"/>
            <w:vMerge w:val="restart"/>
            <w:shd w:val="clear" w:color="auto" w:fill="FFFFFF"/>
            <w:vAlign w:val="bottom"/>
          </w:tcPr>
          <w:p w14:paraId="3F6FBB99" w14:textId="77777777" w:rsidR="005E33B0" w:rsidRPr="00604C75" w:rsidRDefault="005E33B0" w:rsidP="0099514C">
            <w:pPr>
              <w:spacing w:line="216" w:lineRule="auto"/>
              <w:rPr>
                <w:rFonts w:eastAsia="Arial Unicode MS"/>
                <w:b/>
                <w:bCs/>
                <w:sz w:val="18"/>
                <w:szCs w:val="18"/>
              </w:rPr>
            </w:pPr>
            <w:r w:rsidRPr="00604C75">
              <w:rPr>
                <w:b/>
                <w:bCs/>
                <w:sz w:val="18"/>
                <w:szCs w:val="18"/>
              </w:rPr>
              <w:t> </w:t>
            </w:r>
          </w:p>
        </w:tc>
        <w:tc>
          <w:tcPr>
            <w:tcW w:w="2567" w:type="dxa"/>
            <w:gridSpan w:val="2"/>
            <w:shd w:val="clear" w:color="auto" w:fill="FFFFFF"/>
            <w:vAlign w:val="bottom"/>
          </w:tcPr>
          <w:p w14:paraId="3C7CB12D" w14:textId="77777777" w:rsidR="005E33B0" w:rsidRPr="00604C75" w:rsidRDefault="00F51CB2" w:rsidP="00AA443E">
            <w:pPr>
              <w:spacing w:line="216" w:lineRule="auto"/>
              <w:jc w:val="center"/>
              <w:rPr>
                <w:rFonts w:eastAsia="Arial Unicode MS"/>
                <w:b/>
                <w:bCs/>
                <w:sz w:val="18"/>
                <w:szCs w:val="18"/>
              </w:rPr>
            </w:pPr>
            <w:r>
              <w:rPr>
                <w:b/>
                <w:bCs/>
                <w:sz w:val="18"/>
                <w:szCs w:val="18"/>
              </w:rPr>
              <w:t>3</w:t>
            </w:r>
            <w:r w:rsidR="00DB170F">
              <w:rPr>
                <w:b/>
                <w:bCs/>
                <w:sz w:val="18"/>
                <w:szCs w:val="18"/>
              </w:rPr>
              <w:t>1</w:t>
            </w:r>
            <w:r>
              <w:rPr>
                <w:b/>
                <w:bCs/>
                <w:sz w:val="18"/>
                <w:szCs w:val="18"/>
              </w:rPr>
              <w:t xml:space="preserve"> </w:t>
            </w:r>
            <w:r w:rsidR="00DB170F">
              <w:rPr>
                <w:b/>
                <w:bCs/>
                <w:sz w:val="18"/>
                <w:szCs w:val="18"/>
              </w:rPr>
              <w:t>December</w:t>
            </w:r>
            <w:r w:rsidR="005E33B0" w:rsidRPr="00604C75">
              <w:rPr>
                <w:b/>
                <w:bCs/>
                <w:sz w:val="18"/>
                <w:szCs w:val="18"/>
              </w:rPr>
              <w:t xml:space="preserve"> 201</w:t>
            </w:r>
            <w:r w:rsidR="008E3C20" w:rsidRPr="00604C75">
              <w:rPr>
                <w:b/>
                <w:bCs/>
                <w:sz w:val="18"/>
                <w:szCs w:val="18"/>
              </w:rPr>
              <w:t>5</w:t>
            </w:r>
          </w:p>
        </w:tc>
        <w:tc>
          <w:tcPr>
            <w:tcW w:w="2568" w:type="dxa"/>
            <w:gridSpan w:val="2"/>
            <w:shd w:val="clear" w:color="auto" w:fill="FFFFFF"/>
            <w:vAlign w:val="bottom"/>
          </w:tcPr>
          <w:p w14:paraId="16A5E7F6" w14:textId="77777777" w:rsidR="005E33B0" w:rsidRPr="00604C75" w:rsidRDefault="005E33B0" w:rsidP="008E3C20">
            <w:pPr>
              <w:spacing w:line="216" w:lineRule="auto"/>
              <w:jc w:val="center"/>
              <w:rPr>
                <w:rFonts w:eastAsia="Arial Unicode MS"/>
                <w:b/>
                <w:bCs/>
                <w:sz w:val="18"/>
                <w:szCs w:val="18"/>
              </w:rPr>
            </w:pPr>
            <w:r w:rsidRPr="00604C75">
              <w:rPr>
                <w:b/>
                <w:bCs/>
                <w:sz w:val="18"/>
                <w:szCs w:val="18"/>
              </w:rPr>
              <w:t>31 December 201</w:t>
            </w:r>
            <w:r w:rsidR="008E3C20" w:rsidRPr="00604C75">
              <w:rPr>
                <w:b/>
                <w:bCs/>
                <w:sz w:val="18"/>
                <w:szCs w:val="18"/>
              </w:rPr>
              <w:t>4</w:t>
            </w:r>
          </w:p>
        </w:tc>
      </w:tr>
      <w:tr w:rsidR="005E33B0" w:rsidRPr="00604C75" w14:paraId="1C8A3FBD" w14:textId="77777777" w:rsidTr="00877CBD">
        <w:trPr>
          <w:cantSplit/>
          <w:trHeight w:val="279"/>
        </w:trPr>
        <w:tc>
          <w:tcPr>
            <w:tcW w:w="4437" w:type="dxa"/>
            <w:vMerge/>
            <w:vAlign w:val="bottom"/>
          </w:tcPr>
          <w:p w14:paraId="77473D83" w14:textId="77777777" w:rsidR="005E33B0" w:rsidRPr="00604C75" w:rsidRDefault="005E33B0" w:rsidP="0099514C">
            <w:pPr>
              <w:spacing w:line="216" w:lineRule="auto"/>
              <w:rPr>
                <w:rFonts w:eastAsia="Arial Unicode MS"/>
                <w:b/>
                <w:bCs/>
                <w:sz w:val="18"/>
                <w:szCs w:val="18"/>
              </w:rPr>
            </w:pPr>
          </w:p>
        </w:tc>
        <w:tc>
          <w:tcPr>
            <w:tcW w:w="1283" w:type="dxa"/>
            <w:shd w:val="clear" w:color="auto" w:fill="FFFFFF"/>
            <w:vAlign w:val="bottom"/>
          </w:tcPr>
          <w:p w14:paraId="030FCD32" w14:textId="77777777" w:rsidR="005E33B0" w:rsidRPr="00604C75" w:rsidRDefault="005E33B0" w:rsidP="00A15A42">
            <w:pPr>
              <w:spacing w:line="216" w:lineRule="auto"/>
              <w:ind w:right="53"/>
              <w:jc w:val="right"/>
              <w:rPr>
                <w:b/>
                <w:bCs/>
                <w:sz w:val="18"/>
                <w:szCs w:val="18"/>
              </w:rPr>
            </w:pPr>
            <w:r w:rsidRPr="00604C75">
              <w:rPr>
                <w:b/>
                <w:bCs/>
                <w:sz w:val="18"/>
                <w:szCs w:val="18"/>
              </w:rPr>
              <w:t>Cash</w:t>
            </w:r>
          </w:p>
        </w:tc>
        <w:tc>
          <w:tcPr>
            <w:tcW w:w="1284" w:type="dxa"/>
            <w:shd w:val="clear" w:color="auto" w:fill="FFFFFF"/>
            <w:vAlign w:val="bottom"/>
          </w:tcPr>
          <w:p w14:paraId="103F9B5C" w14:textId="77777777" w:rsidR="005E33B0" w:rsidRPr="00604C75" w:rsidRDefault="005E33B0" w:rsidP="00A15A42">
            <w:pPr>
              <w:spacing w:line="216" w:lineRule="auto"/>
              <w:ind w:right="53"/>
              <w:jc w:val="right"/>
              <w:rPr>
                <w:b/>
                <w:bCs/>
                <w:sz w:val="18"/>
                <w:szCs w:val="18"/>
              </w:rPr>
            </w:pPr>
            <w:r w:rsidRPr="00604C75">
              <w:rPr>
                <w:b/>
                <w:bCs/>
                <w:sz w:val="18"/>
                <w:szCs w:val="18"/>
              </w:rPr>
              <w:t>Non-cash</w:t>
            </w:r>
          </w:p>
        </w:tc>
        <w:tc>
          <w:tcPr>
            <w:tcW w:w="1284" w:type="dxa"/>
            <w:shd w:val="clear" w:color="auto" w:fill="FFFFFF"/>
            <w:vAlign w:val="bottom"/>
          </w:tcPr>
          <w:p w14:paraId="7337C1A2" w14:textId="77777777" w:rsidR="005E33B0" w:rsidRPr="00604C75" w:rsidRDefault="005E33B0" w:rsidP="00A15A42">
            <w:pPr>
              <w:tabs>
                <w:tab w:val="left" w:pos="998"/>
              </w:tabs>
              <w:spacing w:line="216" w:lineRule="auto"/>
              <w:ind w:right="53"/>
              <w:jc w:val="right"/>
              <w:rPr>
                <w:b/>
                <w:bCs/>
                <w:sz w:val="18"/>
                <w:szCs w:val="18"/>
              </w:rPr>
            </w:pPr>
            <w:r w:rsidRPr="00604C75">
              <w:rPr>
                <w:b/>
                <w:bCs/>
                <w:sz w:val="18"/>
                <w:szCs w:val="18"/>
              </w:rPr>
              <w:t>Cash</w:t>
            </w:r>
          </w:p>
        </w:tc>
        <w:tc>
          <w:tcPr>
            <w:tcW w:w="1284" w:type="dxa"/>
            <w:shd w:val="clear" w:color="auto" w:fill="FFFFFF"/>
            <w:vAlign w:val="bottom"/>
          </w:tcPr>
          <w:p w14:paraId="3D0C50F3" w14:textId="77777777" w:rsidR="005E33B0" w:rsidRPr="00604C75" w:rsidRDefault="005E33B0" w:rsidP="00A15A42">
            <w:pPr>
              <w:spacing w:line="216" w:lineRule="auto"/>
              <w:ind w:right="53"/>
              <w:jc w:val="right"/>
              <w:rPr>
                <w:b/>
                <w:bCs/>
                <w:sz w:val="18"/>
                <w:szCs w:val="18"/>
              </w:rPr>
            </w:pPr>
            <w:r w:rsidRPr="00604C75">
              <w:rPr>
                <w:b/>
                <w:bCs/>
                <w:sz w:val="18"/>
                <w:szCs w:val="18"/>
              </w:rPr>
              <w:t>Non-cash</w:t>
            </w:r>
          </w:p>
        </w:tc>
      </w:tr>
      <w:tr w:rsidR="00224102" w:rsidRPr="00604C75" w14:paraId="3283C571" w14:textId="77777777" w:rsidTr="008117B4">
        <w:trPr>
          <w:trHeight w:val="210"/>
        </w:trPr>
        <w:tc>
          <w:tcPr>
            <w:tcW w:w="4437" w:type="dxa"/>
            <w:shd w:val="clear" w:color="auto" w:fill="FFFFFF"/>
            <w:vAlign w:val="bottom"/>
          </w:tcPr>
          <w:p w14:paraId="7EBBF7BE" w14:textId="77777777" w:rsidR="00224102" w:rsidRPr="00576E0A" w:rsidRDefault="00224102" w:rsidP="00224102">
            <w:pPr>
              <w:pStyle w:val="xl79"/>
              <w:pBdr>
                <w:left w:val="none" w:sz="0" w:space="0" w:color="auto"/>
                <w:bottom w:val="none" w:sz="0" w:space="0" w:color="auto"/>
                <w:right w:val="none" w:sz="0" w:space="0" w:color="auto"/>
              </w:pBdr>
              <w:spacing w:before="0" w:beforeAutospacing="0" w:after="0" w:afterAutospacing="0" w:line="216" w:lineRule="auto"/>
              <w:rPr>
                <w:rFonts w:eastAsia="Times New Roman"/>
                <w:bCs/>
                <w:lang w:val="en-US"/>
              </w:rPr>
            </w:pPr>
            <w:r w:rsidRPr="00576E0A">
              <w:rPr>
                <w:rFonts w:eastAsia="Times New Roman"/>
                <w:bCs/>
                <w:lang w:val="en-US"/>
              </w:rPr>
              <w:t>Direct Loans Granted To Shareholders</w:t>
            </w:r>
          </w:p>
        </w:tc>
        <w:tc>
          <w:tcPr>
            <w:tcW w:w="1283" w:type="dxa"/>
            <w:shd w:val="clear" w:color="auto" w:fill="FFFFFF"/>
            <w:vAlign w:val="bottom"/>
          </w:tcPr>
          <w:p w14:paraId="0C1C3C2C" w14:textId="656E4961" w:rsidR="00224102" w:rsidRPr="005B3C08" w:rsidRDefault="00224102" w:rsidP="00A15A42">
            <w:pPr>
              <w:ind w:right="53"/>
              <w:jc w:val="right"/>
              <w:rPr>
                <w:bCs/>
                <w:sz w:val="18"/>
                <w:szCs w:val="18"/>
              </w:rPr>
            </w:pPr>
            <w:r>
              <w:rPr>
                <w:bCs/>
                <w:sz w:val="18"/>
                <w:szCs w:val="18"/>
              </w:rPr>
              <w:t>80,470</w:t>
            </w:r>
          </w:p>
        </w:tc>
        <w:tc>
          <w:tcPr>
            <w:tcW w:w="1284" w:type="dxa"/>
            <w:shd w:val="clear" w:color="auto" w:fill="FFFFFF"/>
            <w:vAlign w:val="bottom"/>
          </w:tcPr>
          <w:p w14:paraId="323D191C" w14:textId="0FCE91A6" w:rsidR="00224102" w:rsidRPr="00F01D69" w:rsidRDefault="00224102" w:rsidP="00A15A42">
            <w:pPr>
              <w:ind w:right="53"/>
              <w:jc w:val="right"/>
              <w:rPr>
                <w:bCs/>
                <w:sz w:val="18"/>
                <w:szCs w:val="18"/>
              </w:rPr>
            </w:pPr>
            <w:r w:rsidRPr="00F01D69">
              <w:rPr>
                <w:bCs/>
                <w:sz w:val="18"/>
                <w:szCs w:val="18"/>
              </w:rPr>
              <w:t>53,526</w:t>
            </w:r>
          </w:p>
        </w:tc>
        <w:tc>
          <w:tcPr>
            <w:tcW w:w="1284" w:type="dxa"/>
            <w:shd w:val="clear" w:color="auto" w:fill="FFFFFF"/>
            <w:vAlign w:val="bottom"/>
          </w:tcPr>
          <w:p w14:paraId="6CF918B1" w14:textId="2769AD1A" w:rsidR="00224102" w:rsidRPr="00692926" w:rsidRDefault="00224102" w:rsidP="00A15A42">
            <w:pPr>
              <w:tabs>
                <w:tab w:val="left" w:pos="0"/>
              </w:tabs>
              <w:ind w:right="53"/>
              <w:jc w:val="right"/>
              <w:rPr>
                <w:bCs/>
                <w:sz w:val="18"/>
                <w:szCs w:val="18"/>
              </w:rPr>
            </w:pPr>
            <w:r w:rsidRPr="00692926">
              <w:rPr>
                <w:bCs/>
                <w:sz w:val="18"/>
                <w:szCs w:val="18"/>
              </w:rPr>
              <w:t>28,424</w:t>
            </w:r>
          </w:p>
        </w:tc>
        <w:tc>
          <w:tcPr>
            <w:tcW w:w="1284" w:type="dxa"/>
            <w:shd w:val="clear" w:color="auto" w:fill="FFFFFF"/>
            <w:vAlign w:val="bottom"/>
          </w:tcPr>
          <w:p w14:paraId="2B35301E" w14:textId="748FA455" w:rsidR="00224102" w:rsidRPr="00692926" w:rsidRDefault="00224102" w:rsidP="00A15A42">
            <w:pPr>
              <w:tabs>
                <w:tab w:val="left" w:pos="0"/>
              </w:tabs>
              <w:ind w:right="53"/>
              <w:jc w:val="right"/>
              <w:rPr>
                <w:bCs/>
                <w:sz w:val="18"/>
                <w:szCs w:val="18"/>
              </w:rPr>
            </w:pPr>
            <w:r w:rsidRPr="00692926">
              <w:rPr>
                <w:bCs/>
                <w:sz w:val="18"/>
                <w:szCs w:val="18"/>
              </w:rPr>
              <w:t>74,604</w:t>
            </w:r>
          </w:p>
        </w:tc>
      </w:tr>
      <w:tr w:rsidR="00224102" w:rsidRPr="00604C75" w14:paraId="6C6B2C0E" w14:textId="77777777" w:rsidTr="008117B4">
        <w:trPr>
          <w:trHeight w:val="210"/>
        </w:trPr>
        <w:tc>
          <w:tcPr>
            <w:tcW w:w="4437" w:type="dxa"/>
            <w:shd w:val="clear" w:color="auto" w:fill="FFFFFF"/>
            <w:vAlign w:val="bottom"/>
          </w:tcPr>
          <w:p w14:paraId="043A5207" w14:textId="77777777" w:rsidR="00224102" w:rsidRPr="00067572" w:rsidRDefault="00224102" w:rsidP="00224102">
            <w:pPr>
              <w:spacing w:line="216" w:lineRule="auto"/>
              <w:rPr>
                <w:rFonts w:eastAsia="Arial Unicode MS"/>
                <w:sz w:val="18"/>
                <w:szCs w:val="18"/>
              </w:rPr>
            </w:pPr>
            <w:r w:rsidRPr="00067572">
              <w:rPr>
                <w:sz w:val="18"/>
                <w:szCs w:val="18"/>
              </w:rPr>
              <w:t xml:space="preserve">   Corporate Shareholders</w:t>
            </w:r>
          </w:p>
        </w:tc>
        <w:tc>
          <w:tcPr>
            <w:tcW w:w="1283" w:type="dxa"/>
            <w:vAlign w:val="bottom"/>
          </w:tcPr>
          <w:p w14:paraId="4C697F14" w14:textId="3050DB74" w:rsidR="00224102" w:rsidRPr="005B3C08" w:rsidRDefault="00224102" w:rsidP="00A15A42">
            <w:pPr>
              <w:ind w:right="53"/>
              <w:jc w:val="right"/>
              <w:rPr>
                <w:sz w:val="18"/>
                <w:szCs w:val="18"/>
              </w:rPr>
            </w:pPr>
            <w:r>
              <w:rPr>
                <w:sz w:val="18"/>
                <w:szCs w:val="18"/>
              </w:rPr>
              <w:t>80,348</w:t>
            </w:r>
          </w:p>
        </w:tc>
        <w:tc>
          <w:tcPr>
            <w:tcW w:w="1284" w:type="dxa"/>
            <w:vAlign w:val="bottom"/>
          </w:tcPr>
          <w:p w14:paraId="063D0660" w14:textId="739A24B6" w:rsidR="00224102" w:rsidRDefault="00224102" w:rsidP="00A15A42">
            <w:pPr>
              <w:ind w:right="53"/>
              <w:jc w:val="right"/>
              <w:rPr>
                <w:sz w:val="18"/>
                <w:szCs w:val="18"/>
              </w:rPr>
            </w:pPr>
            <w:r>
              <w:rPr>
                <w:sz w:val="18"/>
                <w:szCs w:val="18"/>
              </w:rPr>
              <w:t>53,047</w:t>
            </w:r>
          </w:p>
        </w:tc>
        <w:tc>
          <w:tcPr>
            <w:tcW w:w="1284" w:type="dxa"/>
            <w:vAlign w:val="bottom"/>
          </w:tcPr>
          <w:p w14:paraId="6E2A37C3" w14:textId="6017A931" w:rsidR="00224102" w:rsidRPr="00692926" w:rsidRDefault="00224102" w:rsidP="00A15A42">
            <w:pPr>
              <w:tabs>
                <w:tab w:val="left" w:pos="0"/>
              </w:tabs>
              <w:ind w:right="53"/>
              <w:jc w:val="right"/>
              <w:rPr>
                <w:sz w:val="18"/>
                <w:szCs w:val="18"/>
              </w:rPr>
            </w:pPr>
            <w:r w:rsidRPr="00692926">
              <w:rPr>
                <w:sz w:val="18"/>
                <w:szCs w:val="18"/>
              </w:rPr>
              <w:t>28,279</w:t>
            </w:r>
          </w:p>
        </w:tc>
        <w:tc>
          <w:tcPr>
            <w:tcW w:w="1284" w:type="dxa"/>
            <w:vAlign w:val="bottom"/>
          </w:tcPr>
          <w:p w14:paraId="64AA1818" w14:textId="74A945C3" w:rsidR="00224102" w:rsidRPr="00692926" w:rsidRDefault="00224102" w:rsidP="00A15A42">
            <w:pPr>
              <w:tabs>
                <w:tab w:val="left" w:pos="0"/>
              </w:tabs>
              <w:ind w:right="53"/>
              <w:jc w:val="right"/>
              <w:rPr>
                <w:sz w:val="18"/>
                <w:szCs w:val="18"/>
              </w:rPr>
            </w:pPr>
            <w:r w:rsidRPr="00692926">
              <w:rPr>
                <w:sz w:val="18"/>
                <w:szCs w:val="18"/>
              </w:rPr>
              <w:t>74,206</w:t>
            </w:r>
          </w:p>
        </w:tc>
      </w:tr>
      <w:tr w:rsidR="00224102" w:rsidRPr="00604C75" w14:paraId="100A120A" w14:textId="77777777" w:rsidTr="008117B4">
        <w:trPr>
          <w:trHeight w:val="210"/>
        </w:trPr>
        <w:tc>
          <w:tcPr>
            <w:tcW w:w="4437" w:type="dxa"/>
            <w:shd w:val="clear" w:color="auto" w:fill="FFFFFF"/>
            <w:vAlign w:val="bottom"/>
          </w:tcPr>
          <w:p w14:paraId="6685FF08" w14:textId="77777777" w:rsidR="00224102" w:rsidRPr="00067572" w:rsidRDefault="00224102" w:rsidP="00224102">
            <w:pPr>
              <w:spacing w:line="216" w:lineRule="auto"/>
              <w:rPr>
                <w:rFonts w:eastAsia="Arial Unicode MS"/>
                <w:sz w:val="18"/>
                <w:szCs w:val="18"/>
              </w:rPr>
            </w:pPr>
            <w:r w:rsidRPr="00067572">
              <w:rPr>
                <w:sz w:val="18"/>
                <w:szCs w:val="18"/>
              </w:rPr>
              <w:t xml:space="preserve">   Real Person Shareholders</w:t>
            </w:r>
          </w:p>
        </w:tc>
        <w:tc>
          <w:tcPr>
            <w:tcW w:w="1283" w:type="dxa"/>
            <w:vAlign w:val="bottom"/>
          </w:tcPr>
          <w:p w14:paraId="3D95D01D" w14:textId="46CDBB1C" w:rsidR="00224102" w:rsidRPr="005B3C08" w:rsidRDefault="00224102" w:rsidP="00A15A42">
            <w:pPr>
              <w:ind w:right="53"/>
              <w:jc w:val="right"/>
              <w:rPr>
                <w:sz w:val="18"/>
                <w:szCs w:val="18"/>
              </w:rPr>
            </w:pPr>
            <w:r w:rsidRPr="005B3C08">
              <w:rPr>
                <w:sz w:val="18"/>
                <w:szCs w:val="18"/>
              </w:rPr>
              <w:t>122</w:t>
            </w:r>
          </w:p>
        </w:tc>
        <w:tc>
          <w:tcPr>
            <w:tcW w:w="1284" w:type="dxa"/>
            <w:vAlign w:val="bottom"/>
          </w:tcPr>
          <w:p w14:paraId="375DCC31" w14:textId="76F3DB64" w:rsidR="00224102" w:rsidRDefault="00224102" w:rsidP="00A15A42">
            <w:pPr>
              <w:ind w:right="53"/>
              <w:jc w:val="right"/>
              <w:rPr>
                <w:sz w:val="18"/>
                <w:szCs w:val="18"/>
              </w:rPr>
            </w:pPr>
            <w:r>
              <w:rPr>
                <w:sz w:val="18"/>
                <w:szCs w:val="18"/>
              </w:rPr>
              <w:t>479</w:t>
            </w:r>
          </w:p>
        </w:tc>
        <w:tc>
          <w:tcPr>
            <w:tcW w:w="1284" w:type="dxa"/>
            <w:vAlign w:val="bottom"/>
          </w:tcPr>
          <w:p w14:paraId="246F3D9B" w14:textId="6AF9FED8" w:rsidR="00224102" w:rsidRPr="00692926" w:rsidRDefault="00224102" w:rsidP="00A15A42">
            <w:pPr>
              <w:tabs>
                <w:tab w:val="left" w:pos="0"/>
              </w:tabs>
              <w:ind w:right="53"/>
              <w:jc w:val="right"/>
              <w:rPr>
                <w:sz w:val="18"/>
                <w:szCs w:val="18"/>
              </w:rPr>
            </w:pPr>
            <w:r w:rsidRPr="00692926">
              <w:rPr>
                <w:sz w:val="18"/>
                <w:szCs w:val="18"/>
              </w:rPr>
              <w:t>145</w:t>
            </w:r>
          </w:p>
        </w:tc>
        <w:tc>
          <w:tcPr>
            <w:tcW w:w="1284" w:type="dxa"/>
            <w:vAlign w:val="bottom"/>
          </w:tcPr>
          <w:p w14:paraId="5A9B39ED" w14:textId="4402F33C" w:rsidR="00224102" w:rsidRPr="00692926" w:rsidRDefault="00224102" w:rsidP="00A15A42">
            <w:pPr>
              <w:tabs>
                <w:tab w:val="left" w:pos="0"/>
              </w:tabs>
              <w:ind w:right="53"/>
              <w:jc w:val="right"/>
              <w:rPr>
                <w:sz w:val="18"/>
                <w:szCs w:val="18"/>
              </w:rPr>
            </w:pPr>
            <w:r w:rsidRPr="00692926">
              <w:rPr>
                <w:sz w:val="18"/>
                <w:szCs w:val="18"/>
              </w:rPr>
              <w:t>398</w:t>
            </w:r>
          </w:p>
        </w:tc>
      </w:tr>
      <w:tr w:rsidR="00224102" w:rsidRPr="00604C75" w14:paraId="41353008" w14:textId="77777777" w:rsidTr="008117B4">
        <w:trPr>
          <w:trHeight w:val="210"/>
        </w:trPr>
        <w:tc>
          <w:tcPr>
            <w:tcW w:w="4437" w:type="dxa"/>
            <w:shd w:val="clear" w:color="auto" w:fill="FFFFFF"/>
            <w:vAlign w:val="bottom"/>
          </w:tcPr>
          <w:p w14:paraId="6D62D469" w14:textId="77777777" w:rsidR="00224102" w:rsidRPr="00576E0A" w:rsidRDefault="00224102" w:rsidP="00224102">
            <w:pPr>
              <w:spacing w:line="216" w:lineRule="auto"/>
              <w:rPr>
                <w:rFonts w:eastAsia="Arial Unicode MS"/>
                <w:bCs/>
                <w:sz w:val="18"/>
                <w:szCs w:val="18"/>
              </w:rPr>
            </w:pPr>
            <w:r w:rsidRPr="00576E0A">
              <w:rPr>
                <w:bCs/>
                <w:sz w:val="18"/>
                <w:szCs w:val="18"/>
              </w:rPr>
              <w:t>Indirect Loans Granted To Shareholders</w:t>
            </w:r>
          </w:p>
        </w:tc>
        <w:tc>
          <w:tcPr>
            <w:tcW w:w="1283" w:type="dxa"/>
            <w:vAlign w:val="bottom"/>
          </w:tcPr>
          <w:p w14:paraId="037BA4A1" w14:textId="0EE759B6" w:rsidR="00224102" w:rsidRPr="005B3C08" w:rsidRDefault="00224102" w:rsidP="00A15A42">
            <w:pPr>
              <w:ind w:right="53"/>
              <w:jc w:val="right"/>
              <w:rPr>
                <w:bCs/>
                <w:sz w:val="18"/>
                <w:szCs w:val="18"/>
              </w:rPr>
            </w:pPr>
            <w:r w:rsidRPr="005B3C08">
              <w:rPr>
                <w:bCs/>
                <w:sz w:val="18"/>
                <w:szCs w:val="18"/>
              </w:rPr>
              <w:t>130,282</w:t>
            </w:r>
          </w:p>
        </w:tc>
        <w:tc>
          <w:tcPr>
            <w:tcW w:w="1284" w:type="dxa"/>
            <w:vAlign w:val="bottom"/>
          </w:tcPr>
          <w:p w14:paraId="396757EE" w14:textId="5099BC23" w:rsidR="00224102" w:rsidRDefault="00224102" w:rsidP="00A15A42">
            <w:pPr>
              <w:ind w:right="53"/>
              <w:jc w:val="right"/>
              <w:rPr>
                <w:sz w:val="18"/>
                <w:szCs w:val="18"/>
              </w:rPr>
            </w:pPr>
            <w:r>
              <w:rPr>
                <w:sz w:val="18"/>
                <w:szCs w:val="18"/>
              </w:rPr>
              <w:t>26,379</w:t>
            </w:r>
          </w:p>
        </w:tc>
        <w:tc>
          <w:tcPr>
            <w:tcW w:w="1284" w:type="dxa"/>
            <w:vAlign w:val="bottom"/>
          </w:tcPr>
          <w:p w14:paraId="4CA51C14" w14:textId="2F23F1F9" w:rsidR="00224102" w:rsidRPr="00692926" w:rsidRDefault="00224102" w:rsidP="00A15A42">
            <w:pPr>
              <w:tabs>
                <w:tab w:val="left" w:pos="0"/>
              </w:tabs>
              <w:ind w:right="53"/>
              <w:jc w:val="right"/>
              <w:rPr>
                <w:bCs/>
                <w:sz w:val="18"/>
                <w:szCs w:val="18"/>
              </w:rPr>
            </w:pPr>
            <w:r w:rsidRPr="00692926">
              <w:rPr>
                <w:bCs/>
                <w:sz w:val="18"/>
                <w:szCs w:val="18"/>
              </w:rPr>
              <w:t>57,545</w:t>
            </w:r>
          </w:p>
        </w:tc>
        <w:tc>
          <w:tcPr>
            <w:tcW w:w="1284" w:type="dxa"/>
            <w:vAlign w:val="bottom"/>
          </w:tcPr>
          <w:p w14:paraId="75330434" w14:textId="45CD3D28" w:rsidR="00224102" w:rsidRPr="00692926" w:rsidRDefault="00224102" w:rsidP="00A15A42">
            <w:pPr>
              <w:tabs>
                <w:tab w:val="left" w:pos="0"/>
              </w:tabs>
              <w:ind w:right="53"/>
              <w:jc w:val="right"/>
              <w:rPr>
                <w:bCs/>
                <w:sz w:val="18"/>
                <w:szCs w:val="18"/>
              </w:rPr>
            </w:pPr>
            <w:r w:rsidRPr="00692926">
              <w:rPr>
                <w:bCs/>
                <w:sz w:val="18"/>
                <w:szCs w:val="18"/>
              </w:rPr>
              <w:t>70,868</w:t>
            </w:r>
          </w:p>
        </w:tc>
      </w:tr>
      <w:tr w:rsidR="00224102" w:rsidRPr="00604C75" w14:paraId="2243585C" w14:textId="77777777" w:rsidTr="008117B4">
        <w:trPr>
          <w:trHeight w:val="210"/>
        </w:trPr>
        <w:tc>
          <w:tcPr>
            <w:tcW w:w="4437" w:type="dxa"/>
            <w:shd w:val="clear" w:color="auto" w:fill="FFFFFF"/>
            <w:vAlign w:val="bottom"/>
          </w:tcPr>
          <w:p w14:paraId="30808789" w14:textId="77777777" w:rsidR="00224102" w:rsidRPr="00576E0A" w:rsidRDefault="00224102" w:rsidP="00224102">
            <w:pPr>
              <w:spacing w:line="216" w:lineRule="auto"/>
              <w:rPr>
                <w:bCs/>
                <w:sz w:val="18"/>
                <w:szCs w:val="18"/>
              </w:rPr>
            </w:pPr>
            <w:r w:rsidRPr="00576E0A">
              <w:rPr>
                <w:bCs/>
                <w:sz w:val="18"/>
                <w:szCs w:val="18"/>
              </w:rPr>
              <w:t>Loans Granted To Employees</w:t>
            </w:r>
          </w:p>
        </w:tc>
        <w:tc>
          <w:tcPr>
            <w:tcW w:w="1283" w:type="dxa"/>
            <w:vAlign w:val="bottom"/>
          </w:tcPr>
          <w:p w14:paraId="4DDC6A6F" w14:textId="15B579BA" w:rsidR="00224102" w:rsidRPr="005B3C08" w:rsidRDefault="00224102" w:rsidP="00A15A42">
            <w:pPr>
              <w:ind w:right="53"/>
              <w:jc w:val="right"/>
              <w:rPr>
                <w:bCs/>
                <w:sz w:val="18"/>
                <w:szCs w:val="18"/>
              </w:rPr>
            </w:pPr>
            <w:r w:rsidRPr="005B3C08">
              <w:rPr>
                <w:bCs/>
                <w:sz w:val="18"/>
                <w:szCs w:val="18"/>
              </w:rPr>
              <w:t>4,397</w:t>
            </w:r>
          </w:p>
        </w:tc>
        <w:tc>
          <w:tcPr>
            <w:tcW w:w="1284" w:type="dxa"/>
            <w:vAlign w:val="bottom"/>
          </w:tcPr>
          <w:p w14:paraId="1BEC1219" w14:textId="4E3DA5B3" w:rsidR="00224102" w:rsidRDefault="00224102" w:rsidP="00A15A42">
            <w:pPr>
              <w:ind w:right="53"/>
              <w:jc w:val="right"/>
              <w:rPr>
                <w:sz w:val="18"/>
                <w:szCs w:val="18"/>
              </w:rPr>
            </w:pPr>
            <w:r>
              <w:rPr>
                <w:sz w:val="18"/>
                <w:szCs w:val="18"/>
              </w:rPr>
              <w:t>-</w:t>
            </w:r>
          </w:p>
        </w:tc>
        <w:tc>
          <w:tcPr>
            <w:tcW w:w="1284" w:type="dxa"/>
            <w:vAlign w:val="bottom"/>
          </w:tcPr>
          <w:p w14:paraId="4A7F0087" w14:textId="691A9686" w:rsidR="00224102" w:rsidRPr="00692926" w:rsidRDefault="00224102" w:rsidP="00A15A42">
            <w:pPr>
              <w:tabs>
                <w:tab w:val="left" w:pos="0"/>
              </w:tabs>
              <w:ind w:right="53"/>
              <w:jc w:val="right"/>
              <w:rPr>
                <w:bCs/>
                <w:sz w:val="18"/>
                <w:szCs w:val="18"/>
              </w:rPr>
            </w:pPr>
            <w:r w:rsidRPr="00692926">
              <w:rPr>
                <w:bCs/>
                <w:sz w:val="18"/>
                <w:szCs w:val="18"/>
              </w:rPr>
              <w:t>4,221</w:t>
            </w:r>
          </w:p>
        </w:tc>
        <w:tc>
          <w:tcPr>
            <w:tcW w:w="1284" w:type="dxa"/>
            <w:vAlign w:val="bottom"/>
          </w:tcPr>
          <w:p w14:paraId="054424C5" w14:textId="6DF70EB9" w:rsidR="00224102" w:rsidRPr="00692926" w:rsidRDefault="00224102" w:rsidP="00A15A42">
            <w:pPr>
              <w:tabs>
                <w:tab w:val="left" w:pos="0"/>
              </w:tabs>
              <w:ind w:right="53"/>
              <w:jc w:val="right"/>
              <w:rPr>
                <w:sz w:val="18"/>
                <w:szCs w:val="18"/>
              </w:rPr>
            </w:pPr>
            <w:r w:rsidRPr="00692926">
              <w:rPr>
                <w:sz w:val="18"/>
                <w:szCs w:val="18"/>
              </w:rPr>
              <w:t>-</w:t>
            </w:r>
          </w:p>
        </w:tc>
      </w:tr>
      <w:tr w:rsidR="00224102" w:rsidRPr="00604C75" w14:paraId="16F2D5A5" w14:textId="77777777" w:rsidTr="008117B4">
        <w:trPr>
          <w:trHeight w:val="210"/>
        </w:trPr>
        <w:tc>
          <w:tcPr>
            <w:tcW w:w="4437" w:type="dxa"/>
            <w:shd w:val="clear" w:color="auto" w:fill="FFFFFF"/>
            <w:vAlign w:val="bottom"/>
          </w:tcPr>
          <w:p w14:paraId="0CA17D25" w14:textId="77777777" w:rsidR="00224102" w:rsidRPr="00604C75" w:rsidRDefault="00224102" w:rsidP="00224102">
            <w:pPr>
              <w:spacing w:line="216" w:lineRule="auto"/>
              <w:rPr>
                <w:b/>
                <w:sz w:val="18"/>
                <w:szCs w:val="18"/>
              </w:rPr>
            </w:pPr>
            <w:r w:rsidRPr="00604C75">
              <w:rPr>
                <w:b/>
                <w:sz w:val="18"/>
                <w:szCs w:val="18"/>
              </w:rPr>
              <w:t>Total</w:t>
            </w:r>
          </w:p>
        </w:tc>
        <w:tc>
          <w:tcPr>
            <w:tcW w:w="1283" w:type="dxa"/>
            <w:vAlign w:val="bottom"/>
          </w:tcPr>
          <w:p w14:paraId="2A4A9F01" w14:textId="2F2CE93E" w:rsidR="00224102" w:rsidRDefault="00224102" w:rsidP="00A15A42">
            <w:pPr>
              <w:ind w:right="53"/>
              <w:jc w:val="right"/>
              <w:rPr>
                <w:b/>
                <w:bCs/>
                <w:sz w:val="18"/>
                <w:szCs w:val="18"/>
              </w:rPr>
            </w:pPr>
            <w:r>
              <w:rPr>
                <w:b/>
                <w:bCs/>
                <w:sz w:val="18"/>
                <w:szCs w:val="18"/>
              </w:rPr>
              <w:t>215,149</w:t>
            </w:r>
          </w:p>
        </w:tc>
        <w:tc>
          <w:tcPr>
            <w:tcW w:w="1284" w:type="dxa"/>
            <w:vAlign w:val="bottom"/>
          </w:tcPr>
          <w:p w14:paraId="0BC2A370" w14:textId="42F6FB47" w:rsidR="00224102" w:rsidRDefault="00224102" w:rsidP="00A15A42">
            <w:pPr>
              <w:ind w:right="53"/>
              <w:jc w:val="right"/>
              <w:rPr>
                <w:b/>
                <w:bCs/>
                <w:sz w:val="18"/>
                <w:szCs w:val="18"/>
              </w:rPr>
            </w:pPr>
            <w:r>
              <w:rPr>
                <w:b/>
                <w:bCs/>
                <w:sz w:val="18"/>
                <w:szCs w:val="18"/>
              </w:rPr>
              <w:t>79,905</w:t>
            </w:r>
          </w:p>
        </w:tc>
        <w:tc>
          <w:tcPr>
            <w:tcW w:w="1284" w:type="dxa"/>
            <w:vAlign w:val="bottom"/>
          </w:tcPr>
          <w:p w14:paraId="4504AA66" w14:textId="211661C6" w:rsidR="00224102" w:rsidRPr="00692926" w:rsidRDefault="00224102" w:rsidP="00A15A42">
            <w:pPr>
              <w:tabs>
                <w:tab w:val="left" w:pos="0"/>
              </w:tabs>
              <w:ind w:right="53"/>
              <w:jc w:val="right"/>
              <w:rPr>
                <w:b/>
                <w:bCs/>
                <w:sz w:val="18"/>
                <w:szCs w:val="18"/>
              </w:rPr>
            </w:pPr>
            <w:r w:rsidRPr="00692926">
              <w:rPr>
                <w:b/>
                <w:bCs/>
                <w:sz w:val="18"/>
                <w:szCs w:val="18"/>
              </w:rPr>
              <w:t>90,190</w:t>
            </w:r>
          </w:p>
        </w:tc>
        <w:tc>
          <w:tcPr>
            <w:tcW w:w="1284" w:type="dxa"/>
            <w:vAlign w:val="bottom"/>
          </w:tcPr>
          <w:p w14:paraId="5F09D30F" w14:textId="2528982B" w:rsidR="00224102" w:rsidRPr="00692926" w:rsidRDefault="00224102" w:rsidP="00A15A42">
            <w:pPr>
              <w:tabs>
                <w:tab w:val="left" w:pos="0"/>
              </w:tabs>
              <w:ind w:right="53"/>
              <w:jc w:val="right"/>
              <w:rPr>
                <w:b/>
                <w:bCs/>
                <w:sz w:val="18"/>
                <w:szCs w:val="18"/>
              </w:rPr>
            </w:pPr>
            <w:r w:rsidRPr="00692926">
              <w:rPr>
                <w:b/>
                <w:bCs/>
                <w:sz w:val="18"/>
                <w:szCs w:val="18"/>
              </w:rPr>
              <w:t>145,472</w:t>
            </w:r>
          </w:p>
        </w:tc>
      </w:tr>
    </w:tbl>
    <w:p w14:paraId="7CFAE3B2" w14:textId="77777777" w:rsidR="005E33B0" w:rsidRPr="00604C75" w:rsidRDefault="005E33B0" w:rsidP="00FD0C7A">
      <w:pPr>
        <w:pStyle w:val="BodyTextIndent"/>
        <w:spacing w:after="0" w:line="216" w:lineRule="auto"/>
        <w:jc w:val="right"/>
        <w:rPr>
          <w:sz w:val="16"/>
          <w:szCs w:val="16"/>
        </w:rPr>
      </w:pPr>
    </w:p>
    <w:p w14:paraId="3FFE0BD1" w14:textId="77777777" w:rsidR="005E33B0" w:rsidRPr="00604C75" w:rsidRDefault="008454DE" w:rsidP="008E3C20">
      <w:pPr>
        <w:pStyle w:val="BodyTextIndent"/>
        <w:spacing w:after="0" w:line="216" w:lineRule="auto"/>
        <w:ind w:left="709" w:hanging="709"/>
        <w:jc w:val="both"/>
        <w:rPr>
          <w:sz w:val="20"/>
          <w:szCs w:val="20"/>
        </w:rPr>
      </w:pPr>
      <w:r w:rsidRPr="00604C75">
        <w:rPr>
          <w:sz w:val="20"/>
          <w:szCs w:val="20"/>
        </w:rPr>
        <w:t>2.</w:t>
      </w:r>
      <w:r w:rsidRPr="00604C75">
        <w:rPr>
          <w:sz w:val="20"/>
          <w:szCs w:val="20"/>
        </w:rPr>
        <w:tab/>
      </w:r>
      <w:r w:rsidR="005E33B0" w:rsidRPr="00604C75">
        <w:rPr>
          <w:sz w:val="20"/>
          <w:szCs w:val="20"/>
        </w:rPr>
        <w:t>Information on the first and second group loans and other receivables including loans that have been restructured or re</w:t>
      </w:r>
      <w:r w:rsidR="008E3C20" w:rsidRPr="00604C75">
        <w:rPr>
          <w:sz w:val="20"/>
          <w:szCs w:val="20"/>
        </w:rPr>
        <w:t>scheduled and other receivables</w:t>
      </w:r>
    </w:p>
    <w:p w14:paraId="101816FD" w14:textId="77777777" w:rsidR="008E3C20" w:rsidRPr="00604C75" w:rsidRDefault="008E3C20" w:rsidP="008E3C20">
      <w:pPr>
        <w:pStyle w:val="BodyTextIndent"/>
        <w:spacing w:after="0" w:line="216" w:lineRule="auto"/>
        <w:ind w:left="709" w:hanging="709"/>
        <w:jc w:val="both"/>
        <w:rPr>
          <w:sz w:val="12"/>
          <w:szCs w:val="12"/>
        </w:rPr>
      </w:pPr>
    </w:p>
    <w:tbl>
      <w:tblPr>
        <w:tblpPr w:leftFromText="141" w:rightFromText="141" w:vertAnchor="text" w:tblpX="24" w:tblpY="1"/>
        <w:tblOverlap w:val="never"/>
        <w:tblW w:w="95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032"/>
        <w:gridCol w:w="1162"/>
        <w:gridCol w:w="1618"/>
        <w:gridCol w:w="962"/>
        <w:gridCol w:w="1181"/>
        <w:gridCol w:w="1577"/>
        <w:gridCol w:w="1043"/>
      </w:tblGrid>
      <w:tr w:rsidR="005E33B0" w:rsidRPr="00604C75" w14:paraId="2EE67D29" w14:textId="77777777" w:rsidTr="00F81873">
        <w:trPr>
          <w:cantSplit/>
          <w:trHeight w:val="259"/>
        </w:trPr>
        <w:tc>
          <w:tcPr>
            <w:tcW w:w="2032" w:type="dxa"/>
            <w:shd w:val="clear" w:color="auto" w:fill="auto"/>
            <w:vAlign w:val="center"/>
          </w:tcPr>
          <w:p w14:paraId="07369505" w14:textId="77777777" w:rsidR="005E33B0" w:rsidRPr="00604C75" w:rsidRDefault="005E33B0" w:rsidP="00F81873">
            <w:pPr>
              <w:spacing w:line="216" w:lineRule="auto"/>
              <w:jc w:val="both"/>
              <w:rPr>
                <w:rFonts w:eastAsia="Arial Unicode MS"/>
                <w:b/>
                <w:sz w:val="18"/>
                <w:szCs w:val="18"/>
              </w:rPr>
            </w:pPr>
          </w:p>
        </w:tc>
        <w:tc>
          <w:tcPr>
            <w:tcW w:w="3742" w:type="dxa"/>
            <w:gridSpan w:val="3"/>
            <w:vAlign w:val="bottom"/>
          </w:tcPr>
          <w:p w14:paraId="53FFA1A1" w14:textId="77777777" w:rsidR="005E33B0" w:rsidRPr="00604C75" w:rsidRDefault="005E33B0" w:rsidP="00F81873">
            <w:pPr>
              <w:spacing w:line="216" w:lineRule="auto"/>
              <w:jc w:val="center"/>
              <w:rPr>
                <w:b/>
                <w:sz w:val="18"/>
                <w:szCs w:val="18"/>
              </w:rPr>
            </w:pPr>
            <w:r w:rsidRPr="00604C75">
              <w:rPr>
                <w:b/>
                <w:sz w:val="18"/>
                <w:szCs w:val="18"/>
              </w:rPr>
              <w:t>Standard Loans and Other</w:t>
            </w:r>
          </w:p>
          <w:p w14:paraId="10E87BE7" w14:textId="77777777" w:rsidR="005E33B0" w:rsidRPr="00604C75" w:rsidRDefault="005E33B0" w:rsidP="00F81873">
            <w:pPr>
              <w:spacing w:line="216" w:lineRule="auto"/>
              <w:jc w:val="center"/>
              <w:rPr>
                <w:b/>
                <w:sz w:val="18"/>
                <w:szCs w:val="18"/>
              </w:rPr>
            </w:pPr>
            <w:r w:rsidRPr="00604C75">
              <w:rPr>
                <w:b/>
                <w:sz w:val="18"/>
                <w:szCs w:val="18"/>
              </w:rPr>
              <w:t>Receivables</w:t>
            </w:r>
          </w:p>
        </w:tc>
        <w:tc>
          <w:tcPr>
            <w:tcW w:w="3801" w:type="dxa"/>
            <w:gridSpan w:val="3"/>
            <w:vAlign w:val="bottom"/>
          </w:tcPr>
          <w:p w14:paraId="05D92907" w14:textId="77777777" w:rsidR="003C3CEC" w:rsidRDefault="005E33B0" w:rsidP="00F81873">
            <w:pPr>
              <w:spacing w:line="216" w:lineRule="auto"/>
              <w:jc w:val="center"/>
              <w:rPr>
                <w:b/>
                <w:sz w:val="18"/>
                <w:szCs w:val="18"/>
              </w:rPr>
            </w:pPr>
            <w:r w:rsidRPr="00604C75">
              <w:rPr>
                <w:b/>
                <w:sz w:val="18"/>
                <w:szCs w:val="18"/>
              </w:rPr>
              <w:t xml:space="preserve">Loans and Other Receivables Under </w:t>
            </w:r>
          </w:p>
          <w:p w14:paraId="41E5FB4C" w14:textId="7707B3A0" w:rsidR="005E33B0" w:rsidRPr="00604C75" w:rsidRDefault="005E33B0" w:rsidP="00F81873">
            <w:pPr>
              <w:spacing w:line="216" w:lineRule="auto"/>
              <w:jc w:val="center"/>
              <w:rPr>
                <w:b/>
                <w:sz w:val="18"/>
                <w:szCs w:val="18"/>
              </w:rPr>
            </w:pPr>
            <w:r w:rsidRPr="00604C75">
              <w:rPr>
                <w:b/>
                <w:sz w:val="18"/>
                <w:szCs w:val="18"/>
              </w:rPr>
              <w:t>Close Monitoring</w:t>
            </w:r>
          </w:p>
        </w:tc>
      </w:tr>
      <w:tr w:rsidR="005E33B0" w:rsidRPr="00604C75" w14:paraId="2E30F614" w14:textId="77777777" w:rsidTr="00F81873">
        <w:trPr>
          <w:cantSplit/>
          <w:trHeight w:hRule="exact" w:val="791"/>
        </w:trPr>
        <w:tc>
          <w:tcPr>
            <w:tcW w:w="2032" w:type="dxa"/>
            <w:shd w:val="clear" w:color="auto" w:fill="auto"/>
            <w:vAlign w:val="bottom"/>
          </w:tcPr>
          <w:p w14:paraId="5B5C4C9C" w14:textId="77777777" w:rsidR="005E33B0" w:rsidRPr="00604C75" w:rsidRDefault="005E33B0" w:rsidP="00F81873">
            <w:pPr>
              <w:spacing w:line="216" w:lineRule="auto"/>
              <w:rPr>
                <w:rFonts w:eastAsia="Arial Unicode MS"/>
                <w:b/>
                <w:sz w:val="18"/>
                <w:szCs w:val="18"/>
              </w:rPr>
            </w:pPr>
          </w:p>
        </w:tc>
        <w:tc>
          <w:tcPr>
            <w:tcW w:w="1162" w:type="dxa"/>
            <w:vAlign w:val="bottom"/>
          </w:tcPr>
          <w:p w14:paraId="7EF3D7C8" w14:textId="77777777" w:rsidR="005E33B0" w:rsidRPr="00604C75" w:rsidRDefault="005E33B0" w:rsidP="00F81873">
            <w:pPr>
              <w:spacing w:line="216" w:lineRule="auto"/>
              <w:ind w:right="35"/>
              <w:jc w:val="center"/>
              <w:rPr>
                <w:b/>
                <w:sz w:val="18"/>
                <w:szCs w:val="18"/>
              </w:rPr>
            </w:pPr>
            <w:r w:rsidRPr="00604C75">
              <w:rPr>
                <w:b/>
                <w:sz w:val="18"/>
                <w:szCs w:val="18"/>
              </w:rPr>
              <w:t>Loans and Other Receivables</w:t>
            </w:r>
          </w:p>
        </w:tc>
        <w:tc>
          <w:tcPr>
            <w:tcW w:w="2580" w:type="dxa"/>
            <w:gridSpan w:val="2"/>
            <w:vAlign w:val="bottom"/>
          </w:tcPr>
          <w:p w14:paraId="6BAA0F10" w14:textId="77777777" w:rsidR="005E33B0" w:rsidRPr="00604C75" w:rsidRDefault="005E33B0" w:rsidP="00F81873">
            <w:pPr>
              <w:spacing w:line="216" w:lineRule="auto"/>
              <w:rPr>
                <w:rFonts w:eastAsia="Arial Unicode MS"/>
                <w:b/>
                <w:sz w:val="18"/>
                <w:szCs w:val="18"/>
              </w:rPr>
            </w:pPr>
          </w:p>
          <w:p w14:paraId="7610B8F1" w14:textId="77777777" w:rsidR="00B029F2" w:rsidRPr="00604C75" w:rsidRDefault="00B029F2" w:rsidP="00F81873">
            <w:pPr>
              <w:spacing w:line="216" w:lineRule="auto"/>
              <w:jc w:val="center"/>
              <w:rPr>
                <w:rFonts w:eastAsia="Arial Unicode MS"/>
                <w:b/>
                <w:sz w:val="18"/>
                <w:szCs w:val="18"/>
              </w:rPr>
            </w:pPr>
            <w:r w:rsidRPr="00604C75">
              <w:rPr>
                <w:rFonts w:eastAsia="Arial Unicode MS"/>
                <w:b/>
                <w:sz w:val="18"/>
                <w:szCs w:val="18"/>
              </w:rPr>
              <w:t xml:space="preserve">Amendments on </w:t>
            </w:r>
          </w:p>
          <w:p w14:paraId="7A93F78C" w14:textId="77777777" w:rsidR="005E33B0" w:rsidRPr="00604C75" w:rsidRDefault="00B029F2" w:rsidP="00F81873">
            <w:pPr>
              <w:spacing w:line="216" w:lineRule="auto"/>
              <w:jc w:val="center"/>
              <w:rPr>
                <w:b/>
                <w:sz w:val="18"/>
                <w:szCs w:val="18"/>
              </w:rPr>
            </w:pPr>
            <w:r w:rsidRPr="00604C75">
              <w:rPr>
                <w:rFonts w:eastAsia="Arial Unicode MS"/>
                <w:b/>
                <w:sz w:val="18"/>
                <w:szCs w:val="18"/>
              </w:rPr>
              <w:t>Conditions of Contract</w:t>
            </w:r>
          </w:p>
        </w:tc>
        <w:tc>
          <w:tcPr>
            <w:tcW w:w="1181" w:type="dxa"/>
            <w:vAlign w:val="bottom"/>
          </w:tcPr>
          <w:p w14:paraId="198CBBC2" w14:textId="77777777" w:rsidR="005E33B0" w:rsidRPr="00604C75" w:rsidRDefault="005E33B0" w:rsidP="00F81873">
            <w:pPr>
              <w:spacing w:line="216" w:lineRule="auto"/>
              <w:jc w:val="right"/>
              <w:rPr>
                <w:b/>
                <w:sz w:val="18"/>
                <w:szCs w:val="18"/>
              </w:rPr>
            </w:pPr>
          </w:p>
          <w:p w14:paraId="470BCBBB" w14:textId="77777777" w:rsidR="005E33B0" w:rsidRPr="00604C75" w:rsidRDefault="005E33B0" w:rsidP="00F81873">
            <w:pPr>
              <w:spacing w:line="216" w:lineRule="auto"/>
              <w:jc w:val="center"/>
              <w:rPr>
                <w:b/>
                <w:sz w:val="18"/>
                <w:szCs w:val="18"/>
              </w:rPr>
            </w:pPr>
            <w:r w:rsidRPr="00604C75">
              <w:rPr>
                <w:b/>
                <w:sz w:val="18"/>
                <w:szCs w:val="18"/>
              </w:rPr>
              <w:t>Loans and Other  Receivables</w:t>
            </w:r>
          </w:p>
        </w:tc>
        <w:tc>
          <w:tcPr>
            <w:tcW w:w="2620" w:type="dxa"/>
            <w:gridSpan w:val="2"/>
            <w:vAlign w:val="bottom"/>
          </w:tcPr>
          <w:p w14:paraId="2A939F00" w14:textId="77777777" w:rsidR="005E33B0" w:rsidRPr="00604C75" w:rsidRDefault="005E33B0" w:rsidP="00F81873">
            <w:pPr>
              <w:spacing w:line="216" w:lineRule="auto"/>
              <w:jc w:val="center"/>
              <w:rPr>
                <w:rFonts w:eastAsia="Arial Unicode MS"/>
                <w:b/>
                <w:sz w:val="18"/>
                <w:szCs w:val="18"/>
              </w:rPr>
            </w:pPr>
          </w:p>
          <w:p w14:paraId="7C478336" w14:textId="77777777" w:rsidR="00B029F2" w:rsidRPr="00604C75" w:rsidRDefault="00B029F2" w:rsidP="00F81873">
            <w:pPr>
              <w:spacing w:line="216" w:lineRule="auto"/>
              <w:jc w:val="center"/>
              <w:rPr>
                <w:rFonts w:eastAsia="Arial Unicode MS"/>
                <w:b/>
                <w:sz w:val="18"/>
                <w:szCs w:val="18"/>
              </w:rPr>
            </w:pPr>
            <w:r w:rsidRPr="00604C75">
              <w:rPr>
                <w:rFonts w:eastAsia="Arial Unicode MS"/>
                <w:b/>
                <w:sz w:val="18"/>
                <w:szCs w:val="18"/>
              </w:rPr>
              <w:t xml:space="preserve">Amendments on </w:t>
            </w:r>
          </w:p>
          <w:p w14:paraId="5E81A201" w14:textId="77777777" w:rsidR="005E33B0" w:rsidRPr="00604C75" w:rsidRDefault="00B029F2" w:rsidP="00F81873">
            <w:pPr>
              <w:spacing w:line="216" w:lineRule="auto"/>
              <w:jc w:val="center"/>
              <w:rPr>
                <w:b/>
                <w:sz w:val="18"/>
                <w:szCs w:val="18"/>
              </w:rPr>
            </w:pPr>
            <w:r w:rsidRPr="00604C75">
              <w:rPr>
                <w:rFonts w:eastAsia="Arial Unicode MS"/>
                <w:b/>
                <w:sz w:val="18"/>
                <w:szCs w:val="18"/>
              </w:rPr>
              <w:t>Conditions of Contract</w:t>
            </w:r>
          </w:p>
        </w:tc>
      </w:tr>
      <w:tr w:rsidR="005E33B0" w:rsidRPr="00604C75" w14:paraId="453E1C1F" w14:textId="77777777" w:rsidTr="00F81873">
        <w:trPr>
          <w:cantSplit/>
          <w:trHeight w:hRule="exact" w:val="791"/>
        </w:trPr>
        <w:tc>
          <w:tcPr>
            <w:tcW w:w="2032" w:type="dxa"/>
            <w:shd w:val="clear" w:color="auto" w:fill="auto"/>
            <w:vAlign w:val="bottom"/>
          </w:tcPr>
          <w:p w14:paraId="275D1E74" w14:textId="77777777" w:rsidR="005E33B0" w:rsidRPr="00604C75" w:rsidRDefault="005E33B0" w:rsidP="00F81873">
            <w:pPr>
              <w:spacing w:line="216" w:lineRule="auto"/>
              <w:rPr>
                <w:rFonts w:eastAsia="Arial Unicode MS"/>
                <w:b/>
                <w:sz w:val="18"/>
                <w:szCs w:val="18"/>
              </w:rPr>
            </w:pPr>
          </w:p>
        </w:tc>
        <w:tc>
          <w:tcPr>
            <w:tcW w:w="1162" w:type="dxa"/>
            <w:vAlign w:val="bottom"/>
          </w:tcPr>
          <w:p w14:paraId="3A662308" w14:textId="77777777" w:rsidR="005E33B0" w:rsidRPr="00604C75" w:rsidRDefault="005E33B0" w:rsidP="00F81873">
            <w:pPr>
              <w:spacing w:line="216" w:lineRule="auto"/>
              <w:jc w:val="right"/>
              <w:rPr>
                <w:b/>
                <w:sz w:val="18"/>
                <w:szCs w:val="18"/>
              </w:rPr>
            </w:pPr>
          </w:p>
        </w:tc>
        <w:tc>
          <w:tcPr>
            <w:tcW w:w="1618" w:type="dxa"/>
            <w:vAlign w:val="bottom"/>
          </w:tcPr>
          <w:p w14:paraId="7B5AAA0B" w14:textId="77777777" w:rsidR="005E33B0" w:rsidRPr="00604C75" w:rsidRDefault="00B029F2" w:rsidP="00F81873">
            <w:pPr>
              <w:spacing w:line="216" w:lineRule="auto"/>
              <w:jc w:val="right"/>
              <w:rPr>
                <w:b/>
                <w:sz w:val="18"/>
                <w:szCs w:val="18"/>
              </w:rPr>
            </w:pPr>
            <w:r w:rsidRPr="00604C75">
              <w:rPr>
                <w:b/>
                <w:sz w:val="18"/>
                <w:szCs w:val="18"/>
              </w:rPr>
              <w:t xml:space="preserve">Amendments Related to the </w:t>
            </w:r>
            <w:proofErr w:type="spellStart"/>
            <w:r w:rsidRPr="00604C75">
              <w:rPr>
                <w:b/>
                <w:sz w:val="18"/>
                <w:szCs w:val="18"/>
              </w:rPr>
              <w:t>Extention</w:t>
            </w:r>
            <w:proofErr w:type="spellEnd"/>
            <w:r w:rsidRPr="00604C75">
              <w:rPr>
                <w:b/>
                <w:sz w:val="18"/>
                <w:szCs w:val="18"/>
              </w:rPr>
              <w:t xml:space="preserve"> of Payment Plan</w:t>
            </w:r>
          </w:p>
        </w:tc>
        <w:tc>
          <w:tcPr>
            <w:tcW w:w="962" w:type="dxa"/>
            <w:vAlign w:val="bottom"/>
          </w:tcPr>
          <w:p w14:paraId="603A546A" w14:textId="77777777" w:rsidR="005E33B0" w:rsidRPr="00604C75" w:rsidRDefault="005E33B0" w:rsidP="00F81873">
            <w:pPr>
              <w:spacing w:line="216" w:lineRule="auto"/>
              <w:jc w:val="right"/>
              <w:rPr>
                <w:b/>
                <w:sz w:val="18"/>
                <w:szCs w:val="18"/>
              </w:rPr>
            </w:pPr>
            <w:r w:rsidRPr="00604C75">
              <w:rPr>
                <w:b/>
                <w:sz w:val="18"/>
                <w:szCs w:val="18"/>
              </w:rPr>
              <w:t>Other</w:t>
            </w:r>
          </w:p>
        </w:tc>
        <w:tc>
          <w:tcPr>
            <w:tcW w:w="1181" w:type="dxa"/>
            <w:vAlign w:val="bottom"/>
          </w:tcPr>
          <w:p w14:paraId="38C5606B" w14:textId="77777777" w:rsidR="005E33B0" w:rsidRPr="00604C75" w:rsidRDefault="005E33B0" w:rsidP="00F81873">
            <w:pPr>
              <w:spacing w:line="216" w:lineRule="auto"/>
              <w:jc w:val="right"/>
              <w:rPr>
                <w:b/>
                <w:sz w:val="18"/>
                <w:szCs w:val="18"/>
              </w:rPr>
            </w:pPr>
          </w:p>
        </w:tc>
        <w:tc>
          <w:tcPr>
            <w:tcW w:w="1577" w:type="dxa"/>
            <w:vAlign w:val="bottom"/>
          </w:tcPr>
          <w:p w14:paraId="0710B0A8" w14:textId="77777777" w:rsidR="005E33B0" w:rsidRPr="00604C75" w:rsidRDefault="00B029F2" w:rsidP="00F81873">
            <w:pPr>
              <w:spacing w:line="216" w:lineRule="auto"/>
              <w:jc w:val="right"/>
              <w:rPr>
                <w:b/>
                <w:sz w:val="18"/>
                <w:szCs w:val="18"/>
              </w:rPr>
            </w:pPr>
            <w:r w:rsidRPr="00604C75">
              <w:rPr>
                <w:b/>
                <w:sz w:val="18"/>
                <w:szCs w:val="18"/>
              </w:rPr>
              <w:t xml:space="preserve">Amendments Related to the </w:t>
            </w:r>
            <w:proofErr w:type="spellStart"/>
            <w:r w:rsidRPr="00604C75">
              <w:rPr>
                <w:b/>
                <w:sz w:val="18"/>
                <w:szCs w:val="18"/>
              </w:rPr>
              <w:t>Extention</w:t>
            </w:r>
            <w:proofErr w:type="spellEnd"/>
            <w:r w:rsidRPr="00604C75">
              <w:rPr>
                <w:b/>
                <w:sz w:val="18"/>
                <w:szCs w:val="18"/>
              </w:rPr>
              <w:t xml:space="preserve"> of Payment Plan</w:t>
            </w:r>
          </w:p>
        </w:tc>
        <w:tc>
          <w:tcPr>
            <w:tcW w:w="1043" w:type="dxa"/>
            <w:vAlign w:val="bottom"/>
          </w:tcPr>
          <w:p w14:paraId="2655D0F5" w14:textId="77777777" w:rsidR="005E33B0" w:rsidRPr="00604C75" w:rsidRDefault="005E33B0" w:rsidP="00F81873">
            <w:pPr>
              <w:spacing w:line="216" w:lineRule="auto"/>
              <w:jc w:val="right"/>
              <w:rPr>
                <w:b/>
                <w:sz w:val="18"/>
                <w:szCs w:val="18"/>
              </w:rPr>
            </w:pPr>
            <w:r w:rsidRPr="00604C75">
              <w:rPr>
                <w:b/>
                <w:sz w:val="18"/>
                <w:szCs w:val="18"/>
              </w:rPr>
              <w:t>Other</w:t>
            </w:r>
          </w:p>
        </w:tc>
      </w:tr>
      <w:tr w:rsidR="00224102" w:rsidRPr="00604C75" w14:paraId="0ADBA4D2" w14:textId="77777777" w:rsidTr="00F81873">
        <w:trPr>
          <w:trHeight w:val="259"/>
        </w:trPr>
        <w:tc>
          <w:tcPr>
            <w:tcW w:w="2032" w:type="dxa"/>
            <w:vAlign w:val="bottom"/>
          </w:tcPr>
          <w:p w14:paraId="7AC9B849" w14:textId="77777777" w:rsidR="00224102" w:rsidRPr="00576E0A" w:rsidRDefault="00224102" w:rsidP="00F81873">
            <w:pPr>
              <w:pStyle w:val="xl79"/>
              <w:pBdr>
                <w:left w:val="none" w:sz="0" w:space="0" w:color="auto"/>
                <w:bottom w:val="none" w:sz="0" w:space="0" w:color="auto"/>
                <w:right w:val="none" w:sz="0" w:space="0" w:color="auto"/>
              </w:pBdr>
              <w:spacing w:before="0" w:beforeAutospacing="0" w:after="0" w:afterAutospacing="0" w:line="216" w:lineRule="auto"/>
              <w:rPr>
                <w:rFonts w:eastAsia="Times New Roman"/>
                <w:lang w:val="en-US"/>
              </w:rPr>
            </w:pPr>
            <w:r w:rsidRPr="00576E0A">
              <w:rPr>
                <w:rFonts w:eastAsia="Times New Roman"/>
                <w:lang w:val="en-US"/>
              </w:rPr>
              <w:t>Non-Specialized Loans</w:t>
            </w:r>
          </w:p>
        </w:tc>
        <w:tc>
          <w:tcPr>
            <w:tcW w:w="1162" w:type="dxa"/>
            <w:vAlign w:val="bottom"/>
          </w:tcPr>
          <w:p w14:paraId="27AFBF5C" w14:textId="6696F741" w:rsidR="00224102" w:rsidRDefault="00224102" w:rsidP="00F81873">
            <w:pPr>
              <w:jc w:val="right"/>
              <w:rPr>
                <w:sz w:val="18"/>
                <w:szCs w:val="18"/>
              </w:rPr>
            </w:pPr>
            <w:r>
              <w:rPr>
                <w:sz w:val="18"/>
                <w:szCs w:val="18"/>
              </w:rPr>
              <w:t>8,531,856</w:t>
            </w:r>
          </w:p>
        </w:tc>
        <w:tc>
          <w:tcPr>
            <w:tcW w:w="1618" w:type="dxa"/>
            <w:vAlign w:val="bottom"/>
          </w:tcPr>
          <w:p w14:paraId="1C4CE332" w14:textId="1C59FBDC" w:rsidR="00224102" w:rsidRDefault="00224102" w:rsidP="00F81873">
            <w:pPr>
              <w:jc w:val="right"/>
              <w:rPr>
                <w:sz w:val="18"/>
                <w:szCs w:val="18"/>
              </w:rPr>
            </w:pPr>
            <w:r>
              <w:rPr>
                <w:sz w:val="18"/>
                <w:szCs w:val="18"/>
              </w:rPr>
              <w:t>28,112</w:t>
            </w:r>
          </w:p>
        </w:tc>
        <w:tc>
          <w:tcPr>
            <w:tcW w:w="962" w:type="dxa"/>
            <w:vAlign w:val="bottom"/>
          </w:tcPr>
          <w:p w14:paraId="4CB4C689" w14:textId="39353F47" w:rsidR="00224102" w:rsidRPr="00692926" w:rsidRDefault="00224102" w:rsidP="00F81873">
            <w:pPr>
              <w:ind w:right="28"/>
              <w:jc w:val="right"/>
              <w:rPr>
                <w:bCs/>
                <w:sz w:val="18"/>
                <w:szCs w:val="18"/>
              </w:rPr>
            </w:pPr>
            <w:r>
              <w:rPr>
                <w:bCs/>
                <w:sz w:val="18"/>
                <w:szCs w:val="18"/>
              </w:rPr>
              <w:t xml:space="preserve"> -</w:t>
            </w:r>
          </w:p>
        </w:tc>
        <w:tc>
          <w:tcPr>
            <w:tcW w:w="1181" w:type="dxa"/>
            <w:vAlign w:val="bottom"/>
          </w:tcPr>
          <w:p w14:paraId="4E3159A6" w14:textId="297EC4AF" w:rsidR="00224102" w:rsidRDefault="00224102" w:rsidP="00F81873">
            <w:pPr>
              <w:jc w:val="right"/>
              <w:rPr>
                <w:sz w:val="18"/>
                <w:szCs w:val="18"/>
              </w:rPr>
            </w:pPr>
            <w:r>
              <w:rPr>
                <w:sz w:val="18"/>
                <w:szCs w:val="18"/>
              </w:rPr>
              <w:t>166,878</w:t>
            </w:r>
          </w:p>
        </w:tc>
        <w:tc>
          <w:tcPr>
            <w:tcW w:w="1577" w:type="dxa"/>
            <w:vAlign w:val="bottom"/>
          </w:tcPr>
          <w:p w14:paraId="56491403" w14:textId="271B3BB5" w:rsidR="00224102" w:rsidRDefault="00224102" w:rsidP="00F81873">
            <w:pPr>
              <w:jc w:val="right"/>
              <w:rPr>
                <w:sz w:val="18"/>
                <w:szCs w:val="18"/>
              </w:rPr>
            </w:pPr>
            <w:r>
              <w:rPr>
                <w:sz w:val="18"/>
                <w:szCs w:val="18"/>
              </w:rPr>
              <w:t>303,581</w:t>
            </w:r>
          </w:p>
        </w:tc>
        <w:tc>
          <w:tcPr>
            <w:tcW w:w="1043" w:type="dxa"/>
            <w:vAlign w:val="bottom"/>
          </w:tcPr>
          <w:p w14:paraId="4C91A7B5" w14:textId="37569185" w:rsidR="00224102" w:rsidRPr="00692926" w:rsidRDefault="00224102" w:rsidP="00F81873">
            <w:pPr>
              <w:ind w:right="28"/>
              <w:jc w:val="right"/>
              <w:rPr>
                <w:bCs/>
                <w:sz w:val="18"/>
                <w:szCs w:val="18"/>
              </w:rPr>
            </w:pPr>
            <w:r>
              <w:rPr>
                <w:bCs/>
                <w:sz w:val="18"/>
                <w:szCs w:val="18"/>
              </w:rPr>
              <w:t>-</w:t>
            </w:r>
          </w:p>
        </w:tc>
      </w:tr>
      <w:tr w:rsidR="00224102" w:rsidRPr="00604C75" w14:paraId="0594D9D2" w14:textId="77777777" w:rsidTr="00F81873">
        <w:trPr>
          <w:trHeight w:val="259"/>
        </w:trPr>
        <w:tc>
          <w:tcPr>
            <w:tcW w:w="2032" w:type="dxa"/>
            <w:vAlign w:val="bottom"/>
          </w:tcPr>
          <w:p w14:paraId="274ECC81" w14:textId="77777777" w:rsidR="00224102" w:rsidRPr="00067572" w:rsidRDefault="00224102" w:rsidP="00F81873">
            <w:pPr>
              <w:spacing w:line="216" w:lineRule="auto"/>
              <w:ind w:left="183"/>
              <w:rPr>
                <w:rFonts w:eastAsia="Arial Unicode MS"/>
                <w:sz w:val="18"/>
                <w:szCs w:val="18"/>
              </w:rPr>
            </w:pPr>
            <w:r w:rsidRPr="00067572">
              <w:rPr>
                <w:sz w:val="18"/>
                <w:szCs w:val="18"/>
              </w:rPr>
              <w:t>Corporate Loans</w:t>
            </w:r>
          </w:p>
        </w:tc>
        <w:tc>
          <w:tcPr>
            <w:tcW w:w="1162" w:type="dxa"/>
            <w:vAlign w:val="bottom"/>
          </w:tcPr>
          <w:p w14:paraId="15083DE4" w14:textId="5B1E3A54" w:rsidR="00224102" w:rsidRDefault="00224102" w:rsidP="00F81873">
            <w:pPr>
              <w:jc w:val="right"/>
              <w:rPr>
                <w:sz w:val="18"/>
                <w:szCs w:val="18"/>
              </w:rPr>
            </w:pPr>
            <w:r>
              <w:rPr>
                <w:sz w:val="18"/>
                <w:szCs w:val="18"/>
              </w:rPr>
              <w:t>175,923</w:t>
            </w:r>
          </w:p>
        </w:tc>
        <w:tc>
          <w:tcPr>
            <w:tcW w:w="1618" w:type="dxa"/>
            <w:vAlign w:val="bottom"/>
          </w:tcPr>
          <w:p w14:paraId="783B232D" w14:textId="5C6024E6" w:rsidR="00224102" w:rsidRDefault="00224102" w:rsidP="00F81873">
            <w:pPr>
              <w:jc w:val="right"/>
              <w:rPr>
                <w:sz w:val="18"/>
                <w:szCs w:val="18"/>
              </w:rPr>
            </w:pPr>
            <w:r>
              <w:rPr>
                <w:sz w:val="18"/>
                <w:szCs w:val="18"/>
              </w:rPr>
              <w:t>-</w:t>
            </w:r>
          </w:p>
        </w:tc>
        <w:tc>
          <w:tcPr>
            <w:tcW w:w="962" w:type="dxa"/>
            <w:vAlign w:val="bottom"/>
          </w:tcPr>
          <w:p w14:paraId="0FC15CE7" w14:textId="641FAEC9" w:rsidR="00224102" w:rsidRDefault="00224102" w:rsidP="00F81873">
            <w:pPr>
              <w:jc w:val="right"/>
              <w:rPr>
                <w:sz w:val="18"/>
                <w:szCs w:val="18"/>
              </w:rPr>
            </w:pPr>
            <w:r>
              <w:rPr>
                <w:sz w:val="18"/>
                <w:szCs w:val="18"/>
              </w:rPr>
              <w:t>-</w:t>
            </w:r>
          </w:p>
        </w:tc>
        <w:tc>
          <w:tcPr>
            <w:tcW w:w="1181" w:type="dxa"/>
            <w:vAlign w:val="bottom"/>
          </w:tcPr>
          <w:p w14:paraId="0815BE99" w14:textId="30B55424" w:rsidR="00224102" w:rsidRDefault="00224102" w:rsidP="00F81873">
            <w:pPr>
              <w:jc w:val="right"/>
              <w:rPr>
                <w:sz w:val="18"/>
                <w:szCs w:val="18"/>
              </w:rPr>
            </w:pPr>
            <w:r>
              <w:rPr>
                <w:sz w:val="18"/>
                <w:szCs w:val="18"/>
              </w:rPr>
              <w:t>4,459</w:t>
            </w:r>
          </w:p>
        </w:tc>
        <w:tc>
          <w:tcPr>
            <w:tcW w:w="1577" w:type="dxa"/>
            <w:vAlign w:val="bottom"/>
          </w:tcPr>
          <w:p w14:paraId="453D9B4B" w14:textId="6ECC4A06" w:rsidR="00224102" w:rsidRDefault="00224102" w:rsidP="00F81873">
            <w:pPr>
              <w:jc w:val="right"/>
              <w:rPr>
                <w:sz w:val="18"/>
                <w:szCs w:val="18"/>
              </w:rPr>
            </w:pPr>
            <w:r>
              <w:rPr>
                <w:sz w:val="18"/>
                <w:szCs w:val="18"/>
              </w:rPr>
              <w:t>-</w:t>
            </w:r>
          </w:p>
        </w:tc>
        <w:tc>
          <w:tcPr>
            <w:tcW w:w="1043" w:type="dxa"/>
            <w:vAlign w:val="bottom"/>
          </w:tcPr>
          <w:p w14:paraId="677B706C" w14:textId="051DB752" w:rsidR="00224102" w:rsidRDefault="00224102" w:rsidP="00F81873">
            <w:pPr>
              <w:jc w:val="right"/>
              <w:rPr>
                <w:sz w:val="18"/>
                <w:szCs w:val="18"/>
              </w:rPr>
            </w:pPr>
            <w:r>
              <w:rPr>
                <w:sz w:val="18"/>
                <w:szCs w:val="18"/>
              </w:rPr>
              <w:t>-</w:t>
            </w:r>
          </w:p>
        </w:tc>
      </w:tr>
      <w:tr w:rsidR="00224102" w:rsidRPr="00604C75" w14:paraId="27F036D8" w14:textId="77777777" w:rsidTr="00F81873">
        <w:trPr>
          <w:trHeight w:val="259"/>
        </w:trPr>
        <w:tc>
          <w:tcPr>
            <w:tcW w:w="2032" w:type="dxa"/>
            <w:vAlign w:val="bottom"/>
          </w:tcPr>
          <w:p w14:paraId="3A75070F" w14:textId="77777777" w:rsidR="00224102" w:rsidRPr="00067572" w:rsidRDefault="00224102" w:rsidP="00F81873">
            <w:pPr>
              <w:spacing w:line="216" w:lineRule="auto"/>
              <w:ind w:left="183"/>
              <w:rPr>
                <w:rFonts w:eastAsia="Arial Unicode MS"/>
                <w:sz w:val="18"/>
                <w:szCs w:val="18"/>
              </w:rPr>
            </w:pPr>
            <w:r w:rsidRPr="00067572">
              <w:rPr>
                <w:sz w:val="18"/>
                <w:szCs w:val="18"/>
              </w:rPr>
              <w:t>Export Loans</w:t>
            </w:r>
          </w:p>
        </w:tc>
        <w:tc>
          <w:tcPr>
            <w:tcW w:w="1162" w:type="dxa"/>
            <w:vAlign w:val="bottom"/>
          </w:tcPr>
          <w:p w14:paraId="369CA603" w14:textId="24D84982" w:rsidR="00224102" w:rsidRDefault="00224102" w:rsidP="00F81873">
            <w:pPr>
              <w:jc w:val="right"/>
              <w:rPr>
                <w:sz w:val="18"/>
                <w:szCs w:val="18"/>
              </w:rPr>
            </w:pPr>
            <w:r>
              <w:rPr>
                <w:sz w:val="18"/>
                <w:szCs w:val="18"/>
              </w:rPr>
              <w:t>712,349</w:t>
            </w:r>
          </w:p>
        </w:tc>
        <w:tc>
          <w:tcPr>
            <w:tcW w:w="1618" w:type="dxa"/>
            <w:vAlign w:val="bottom"/>
          </w:tcPr>
          <w:p w14:paraId="32999995" w14:textId="52960D34" w:rsidR="00224102" w:rsidRDefault="00224102" w:rsidP="00F81873">
            <w:pPr>
              <w:jc w:val="right"/>
              <w:rPr>
                <w:sz w:val="18"/>
                <w:szCs w:val="18"/>
              </w:rPr>
            </w:pPr>
            <w:r>
              <w:rPr>
                <w:sz w:val="18"/>
                <w:szCs w:val="18"/>
              </w:rPr>
              <w:t>-</w:t>
            </w:r>
          </w:p>
        </w:tc>
        <w:tc>
          <w:tcPr>
            <w:tcW w:w="962" w:type="dxa"/>
            <w:vAlign w:val="bottom"/>
          </w:tcPr>
          <w:p w14:paraId="49A5B076" w14:textId="568EA7E7" w:rsidR="00224102" w:rsidRDefault="00224102" w:rsidP="00F81873">
            <w:pPr>
              <w:jc w:val="right"/>
              <w:rPr>
                <w:sz w:val="18"/>
                <w:szCs w:val="18"/>
              </w:rPr>
            </w:pPr>
            <w:r>
              <w:rPr>
                <w:sz w:val="18"/>
                <w:szCs w:val="18"/>
              </w:rPr>
              <w:t>-</w:t>
            </w:r>
          </w:p>
        </w:tc>
        <w:tc>
          <w:tcPr>
            <w:tcW w:w="1181" w:type="dxa"/>
            <w:vAlign w:val="bottom"/>
          </w:tcPr>
          <w:p w14:paraId="746F75B5" w14:textId="6A12FEFB" w:rsidR="00224102" w:rsidRDefault="00224102" w:rsidP="00F81873">
            <w:pPr>
              <w:jc w:val="right"/>
              <w:rPr>
                <w:sz w:val="18"/>
                <w:szCs w:val="18"/>
              </w:rPr>
            </w:pPr>
            <w:r>
              <w:rPr>
                <w:sz w:val="18"/>
                <w:szCs w:val="18"/>
              </w:rPr>
              <w:t>3,626</w:t>
            </w:r>
          </w:p>
        </w:tc>
        <w:tc>
          <w:tcPr>
            <w:tcW w:w="1577" w:type="dxa"/>
            <w:vAlign w:val="bottom"/>
          </w:tcPr>
          <w:p w14:paraId="73038E99" w14:textId="4B0EFA41" w:rsidR="00224102" w:rsidRDefault="00224102" w:rsidP="00F81873">
            <w:pPr>
              <w:jc w:val="right"/>
              <w:rPr>
                <w:sz w:val="18"/>
                <w:szCs w:val="18"/>
              </w:rPr>
            </w:pPr>
            <w:r>
              <w:rPr>
                <w:sz w:val="18"/>
                <w:szCs w:val="18"/>
              </w:rPr>
              <w:t>-</w:t>
            </w:r>
          </w:p>
        </w:tc>
        <w:tc>
          <w:tcPr>
            <w:tcW w:w="1043" w:type="dxa"/>
            <w:vAlign w:val="bottom"/>
          </w:tcPr>
          <w:p w14:paraId="6A826882" w14:textId="530276EE" w:rsidR="00224102" w:rsidRDefault="00224102" w:rsidP="00F81873">
            <w:pPr>
              <w:jc w:val="right"/>
              <w:rPr>
                <w:sz w:val="18"/>
                <w:szCs w:val="18"/>
              </w:rPr>
            </w:pPr>
            <w:r>
              <w:rPr>
                <w:sz w:val="18"/>
                <w:szCs w:val="18"/>
              </w:rPr>
              <w:t>-</w:t>
            </w:r>
          </w:p>
        </w:tc>
      </w:tr>
      <w:tr w:rsidR="00224102" w:rsidRPr="00604C75" w14:paraId="0EC34AE5" w14:textId="77777777" w:rsidTr="00F81873">
        <w:trPr>
          <w:trHeight w:val="259"/>
        </w:trPr>
        <w:tc>
          <w:tcPr>
            <w:tcW w:w="2032" w:type="dxa"/>
            <w:vAlign w:val="bottom"/>
          </w:tcPr>
          <w:p w14:paraId="4574BA5C" w14:textId="77777777" w:rsidR="00224102" w:rsidRPr="00067572" w:rsidRDefault="00224102" w:rsidP="00F81873">
            <w:pPr>
              <w:spacing w:line="216" w:lineRule="auto"/>
              <w:ind w:left="183"/>
              <w:rPr>
                <w:rFonts w:eastAsia="Arial Unicode MS"/>
                <w:sz w:val="18"/>
                <w:szCs w:val="18"/>
              </w:rPr>
            </w:pPr>
            <w:r w:rsidRPr="00067572">
              <w:rPr>
                <w:sz w:val="18"/>
                <w:szCs w:val="18"/>
              </w:rPr>
              <w:t>Import Loans</w:t>
            </w:r>
          </w:p>
        </w:tc>
        <w:tc>
          <w:tcPr>
            <w:tcW w:w="1162" w:type="dxa"/>
            <w:vAlign w:val="bottom"/>
          </w:tcPr>
          <w:p w14:paraId="2A1E369C" w14:textId="3676FFFE" w:rsidR="00224102" w:rsidRDefault="00224102" w:rsidP="00F81873">
            <w:pPr>
              <w:jc w:val="right"/>
              <w:rPr>
                <w:sz w:val="18"/>
                <w:szCs w:val="18"/>
              </w:rPr>
            </w:pPr>
            <w:r>
              <w:rPr>
                <w:sz w:val="18"/>
                <w:szCs w:val="18"/>
              </w:rPr>
              <w:t>-</w:t>
            </w:r>
          </w:p>
        </w:tc>
        <w:tc>
          <w:tcPr>
            <w:tcW w:w="1618" w:type="dxa"/>
            <w:vAlign w:val="bottom"/>
          </w:tcPr>
          <w:p w14:paraId="6421DAAF" w14:textId="67963EE1" w:rsidR="00224102" w:rsidRDefault="00224102" w:rsidP="00F81873">
            <w:pPr>
              <w:jc w:val="right"/>
              <w:rPr>
                <w:sz w:val="18"/>
                <w:szCs w:val="18"/>
              </w:rPr>
            </w:pPr>
            <w:r>
              <w:rPr>
                <w:sz w:val="18"/>
                <w:szCs w:val="18"/>
              </w:rPr>
              <w:t>-</w:t>
            </w:r>
          </w:p>
        </w:tc>
        <w:tc>
          <w:tcPr>
            <w:tcW w:w="962" w:type="dxa"/>
            <w:vAlign w:val="bottom"/>
          </w:tcPr>
          <w:p w14:paraId="01CF4784" w14:textId="6CED99C6" w:rsidR="00224102" w:rsidRDefault="00224102" w:rsidP="00F81873">
            <w:pPr>
              <w:jc w:val="right"/>
              <w:rPr>
                <w:sz w:val="18"/>
                <w:szCs w:val="18"/>
              </w:rPr>
            </w:pPr>
            <w:r>
              <w:rPr>
                <w:sz w:val="18"/>
                <w:szCs w:val="18"/>
              </w:rPr>
              <w:t>-</w:t>
            </w:r>
          </w:p>
        </w:tc>
        <w:tc>
          <w:tcPr>
            <w:tcW w:w="1181" w:type="dxa"/>
            <w:vAlign w:val="bottom"/>
          </w:tcPr>
          <w:p w14:paraId="07F74190" w14:textId="6274F6F2" w:rsidR="00224102" w:rsidRDefault="00224102" w:rsidP="00F81873">
            <w:pPr>
              <w:jc w:val="right"/>
              <w:rPr>
                <w:sz w:val="18"/>
                <w:szCs w:val="18"/>
              </w:rPr>
            </w:pPr>
            <w:r>
              <w:rPr>
                <w:sz w:val="18"/>
                <w:szCs w:val="18"/>
              </w:rPr>
              <w:t>-</w:t>
            </w:r>
          </w:p>
        </w:tc>
        <w:tc>
          <w:tcPr>
            <w:tcW w:w="1577" w:type="dxa"/>
            <w:vAlign w:val="bottom"/>
          </w:tcPr>
          <w:p w14:paraId="339AE40B" w14:textId="7D097000" w:rsidR="00224102" w:rsidRDefault="00224102" w:rsidP="00F81873">
            <w:pPr>
              <w:jc w:val="right"/>
              <w:rPr>
                <w:sz w:val="18"/>
                <w:szCs w:val="18"/>
              </w:rPr>
            </w:pPr>
            <w:r>
              <w:rPr>
                <w:sz w:val="18"/>
                <w:szCs w:val="18"/>
              </w:rPr>
              <w:t>-</w:t>
            </w:r>
          </w:p>
        </w:tc>
        <w:tc>
          <w:tcPr>
            <w:tcW w:w="1043" w:type="dxa"/>
            <w:vAlign w:val="bottom"/>
          </w:tcPr>
          <w:p w14:paraId="582B4357" w14:textId="0E06ADC0" w:rsidR="00224102" w:rsidRDefault="00224102" w:rsidP="00F81873">
            <w:pPr>
              <w:jc w:val="right"/>
              <w:rPr>
                <w:sz w:val="18"/>
                <w:szCs w:val="18"/>
              </w:rPr>
            </w:pPr>
            <w:r>
              <w:rPr>
                <w:sz w:val="18"/>
                <w:szCs w:val="18"/>
              </w:rPr>
              <w:t>-</w:t>
            </w:r>
          </w:p>
        </w:tc>
      </w:tr>
      <w:tr w:rsidR="00224102" w:rsidRPr="00604C75" w14:paraId="2B46FFAF" w14:textId="77777777" w:rsidTr="00F81873">
        <w:trPr>
          <w:trHeight w:val="259"/>
        </w:trPr>
        <w:tc>
          <w:tcPr>
            <w:tcW w:w="2032" w:type="dxa"/>
            <w:vAlign w:val="bottom"/>
          </w:tcPr>
          <w:p w14:paraId="751CECBC" w14:textId="77777777" w:rsidR="00224102" w:rsidRPr="00067572" w:rsidRDefault="00224102" w:rsidP="00F81873">
            <w:pPr>
              <w:spacing w:line="216" w:lineRule="auto"/>
              <w:ind w:left="183"/>
              <w:rPr>
                <w:rFonts w:eastAsia="Arial Unicode MS"/>
                <w:sz w:val="18"/>
                <w:szCs w:val="18"/>
              </w:rPr>
            </w:pPr>
            <w:r w:rsidRPr="00067572">
              <w:rPr>
                <w:sz w:val="18"/>
                <w:szCs w:val="18"/>
              </w:rPr>
              <w:t>Loans Given to Financial Sector</w:t>
            </w:r>
          </w:p>
        </w:tc>
        <w:tc>
          <w:tcPr>
            <w:tcW w:w="1162" w:type="dxa"/>
            <w:vAlign w:val="bottom"/>
          </w:tcPr>
          <w:p w14:paraId="71B2D551" w14:textId="23306279" w:rsidR="00224102" w:rsidRDefault="00224102" w:rsidP="00F81873">
            <w:pPr>
              <w:jc w:val="right"/>
              <w:rPr>
                <w:sz w:val="18"/>
                <w:szCs w:val="18"/>
              </w:rPr>
            </w:pPr>
            <w:r>
              <w:rPr>
                <w:sz w:val="18"/>
                <w:szCs w:val="18"/>
              </w:rPr>
              <w:t>177,361</w:t>
            </w:r>
          </w:p>
        </w:tc>
        <w:tc>
          <w:tcPr>
            <w:tcW w:w="1618" w:type="dxa"/>
            <w:vAlign w:val="bottom"/>
          </w:tcPr>
          <w:p w14:paraId="74AE695A" w14:textId="007984AC" w:rsidR="00224102" w:rsidRDefault="00224102" w:rsidP="00F81873">
            <w:pPr>
              <w:jc w:val="right"/>
              <w:rPr>
                <w:sz w:val="18"/>
                <w:szCs w:val="18"/>
              </w:rPr>
            </w:pPr>
            <w:r>
              <w:rPr>
                <w:sz w:val="18"/>
                <w:szCs w:val="18"/>
              </w:rPr>
              <w:t>-</w:t>
            </w:r>
          </w:p>
        </w:tc>
        <w:tc>
          <w:tcPr>
            <w:tcW w:w="962" w:type="dxa"/>
            <w:vAlign w:val="bottom"/>
          </w:tcPr>
          <w:p w14:paraId="620C954F" w14:textId="404EC46B" w:rsidR="00224102" w:rsidRDefault="00224102" w:rsidP="00F81873">
            <w:pPr>
              <w:jc w:val="right"/>
              <w:rPr>
                <w:sz w:val="18"/>
                <w:szCs w:val="18"/>
              </w:rPr>
            </w:pPr>
            <w:r>
              <w:rPr>
                <w:sz w:val="18"/>
                <w:szCs w:val="18"/>
              </w:rPr>
              <w:t>-</w:t>
            </w:r>
          </w:p>
        </w:tc>
        <w:tc>
          <w:tcPr>
            <w:tcW w:w="1181" w:type="dxa"/>
            <w:vAlign w:val="bottom"/>
          </w:tcPr>
          <w:p w14:paraId="17C8DC08" w14:textId="2059234C" w:rsidR="00224102" w:rsidRDefault="00224102" w:rsidP="00F81873">
            <w:pPr>
              <w:jc w:val="right"/>
              <w:rPr>
                <w:sz w:val="18"/>
                <w:szCs w:val="18"/>
              </w:rPr>
            </w:pPr>
            <w:r>
              <w:rPr>
                <w:sz w:val="18"/>
                <w:szCs w:val="18"/>
              </w:rPr>
              <w:t>190</w:t>
            </w:r>
          </w:p>
        </w:tc>
        <w:tc>
          <w:tcPr>
            <w:tcW w:w="1577" w:type="dxa"/>
            <w:vAlign w:val="bottom"/>
          </w:tcPr>
          <w:p w14:paraId="0FADDAB4" w14:textId="5BA8AA26" w:rsidR="00224102" w:rsidRDefault="00224102" w:rsidP="00F81873">
            <w:pPr>
              <w:jc w:val="right"/>
              <w:rPr>
                <w:sz w:val="18"/>
                <w:szCs w:val="18"/>
              </w:rPr>
            </w:pPr>
            <w:r>
              <w:rPr>
                <w:sz w:val="18"/>
                <w:szCs w:val="18"/>
              </w:rPr>
              <w:t>471</w:t>
            </w:r>
          </w:p>
        </w:tc>
        <w:tc>
          <w:tcPr>
            <w:tcW w:w="1043" w:type="dxa"/>
            <w:vAlign w:val="bottom"/>
          </w:tcPr>
          <w:p w14:paraId="1BABDCEC" w14:textId="075C031F" w:rsidR="00224102" w:rsidRDefault="00224102" w:rsidP="00F81873">
            <w:pPr>
              <w:jc w:val="right"/>
              <w:rPr>
                <w:sz w:val="18"/>
                <w:szCs w:val="18"/>
              </w:rPr>
            </w:pPr>
            <w:r>
              <w:rPr>
                <w:sz w:val="18"/>
                <w:szCs w:val="18"/>
              </w:rPr>
              <w:t>-</w:t>
            </w:r>
          </w:p>
        </w:tc>
      </w:tr>
      <w:tr w:rsidR="00224102" w:rsidRPr="00604C75" w14:paraId="411532B7" w14:textId="77777777" w:rsidTr="00F81873">
        <w:trPr>
          <w:trHeight w:val="259"/>
        </w:trPr>
        <w:tc>
          <w:tcPr>
            <w:tcW w:w="2032" w:type="dxa"/>
            <w:vAlign w:val="bottom"/>
          </w:tcPr>
          <w:p w14:paraId="5DCBAE05" w14:textId="77777777" w:rsidR="00224102" w:rsidRPr="00067572" w:rsidRDefault="00224102" w:rsidP="00F81873">
            <w:pPr>
              <w:spacing w:line="216" w:lineRule="auto"/>
              <w:ind w:left="183"/>
              <w:rPr>
                <w:rFonts w:eastAsia="Arial Unicode MS"/>
                <w:sz w:val="18"/>
                <w:szCs w:val="18"/>
              </w:rPr>
            </w:pPr>
            <w:r w:rsidRPr="00067572">
              <w:rPr>
                <w:rFonts w:eastAsia="Arial Unicode MS"/>
                <w:sz w:val="18"/>
                <w:szCs w:val="18"/>
              </w:rPr>
              <w:t>Consumer Loans</w:t>
            </w:r>
          </w:p>
        </w:tc>
        <w:tc>
          <w:tcPr>
            <w:tcW w:w="1162" w:type="dxa"/>
            <w:vAlign w:val="bottom"/>
          </w:tcPr>
          <w:p w14:paraId="69DFE0A9" w14:textId="76F2AC35" w:rsidR="00224102" w:rsidRDefault="00224102" w:rsidP="00F81873">
            <w:pPr>
              <w:jc w:val="right"/>
              <w:rPr>
                <w:sz w:val="18"/>
                <w:szCs w:val="18"/>
              </w:rPr>
            </w:pPr>
            <w:r>
              <w:rPr>
                <w:sz w:val="18"/>
                <w:szCs w:val="18"/>
              </w:rPr>
              <w:t>217,011</w:t>
            </w:r>
          </w:p>
        </w:tc>
        <w:tc>
          <w:tcPr>
            <w:tcW w:w="1618" w:type="dxa"/>
            <w:vAlign w:val="bottom"/>
          </w:tcPr>
          <w:p w14:paraId="4CBAB458" w14:textId="6D9503CD" w:rsidR="00224102" w:rsidRDefault="00224102" w:rsidP="00F81873">
            <w:pPr>
              <w:jc w:val="right"/>
              <w:rPr>
                <w:sz w:val="18"/>
                <w:szCs w:val="18"/>
              </w:rPr>
            </w:pPr>
            <w:r>
              <w:rPr>
                <w:sz w:val="18"/>
                <w:szCs w:val="18"/>
              </w:rPr>
              <w:t>-</w:t>
            </w:r>
          </w:p>
        </w:tc>
        <w:tc>
          <w:tcPr>
            <w:tcW w:w="962" w:type="dxa"/>
            <w:vAlign w:val="bottom"/>
          </w:tcPr>
          <w:p w14:paraId="31A584F6" w14:textId="411916F9" w:rsidR="00224102" w:rsidRDefault="00224102" w:rsidP="00F81873">
            <w:pPr>
              <w:jc w:val="right"/>
              <w:rPr>
                <w:sz w:val="18"/>
                <w:szCs w:val="18"/>
              </w:rPr>
            </w:pPr>
            <w:r>
              <w:rPr>
                <w:sz w:val="18"/>
                <w:szCs w:val="18"/>
              </w:rPr>
              <w:t>-</w:t>
            </w:r>
          </w:p>
        </w:tc>
        <w:tc>
          <w:tcPr>
            <w:tcW w:w="1181" w:type="dxa"/>
            <w:vAlign w:val="bottom"/>
          </w:tcPr>
          <w:p w14:paraId="35EAA7E9" w14:textId="79166D72" w:rsidR="00224102" w:rsidRDefault="00224102" w:rsidP="00F81873">
            <w:pPr>
              <w:jc w:val="right"/>
              <w:rPr>
                <w:sz w:val="18"/>
                <w:szCs w:val="18"/>
              </w:rPr>
            </w:pPr>
            <w:r>
              <w:rPr>
                <w:sz w:val="18"/>
                <w:szCs w:val="18"/>
              </w:rPr>
              <w:t>30,245</w:t>
            </w:r>
          </w:p>
        </w:tc>
        <w:tc>
          <w:tcPr>
            <w:tcW w:w="1577" w:type="dxa"/>
            <w:vAlign w:val="bottom"/>
          </w:tcPr>
          <w:p w14:paraId="0638679F" w14:textId="5CEC1BAF" w:rsidR="00224102" w:rsidRDefault="00224102" w:rsidP="00F81873">
            <w:pPr>
              <w:jc w:val="right"/>
              <w:rPr>
                <w:sz w:val="18"/>
                <w:szCs w:val="18"/>
              </w:rPr>
            </w:pPr>
            <w:r>
              <w:rPr>
                <w:sz w:val="18"/>
                <w:szCs w:val="18"/>
              </w:rPr>
              <w:t>2,869</w:t>
            </w:r>
          </w:p>
        </w:tc>
        <w:tc>
          <w:tcPr>
            <w:tcW w:w="1043" w:type="dxa"/>
            <w:vAlign w:val="bottom"/>
          </w:tcPr>
          <w:p w14:paraId="3CEBE74C" w14:textId="307F0206" w:rsidR="00224102" w:rsidRDefault="00224102" w:rsidP="00F81873">
            <w:pPr>
              <w:jc w:val="right"/>
              <w:rPr>
                <w:sz w:val="18"/>
                <w:szCs w:val="18"/>
              </w:rPr>
            </w:pPr>
            <w:r>
              <w:rPr>
                <w:sz w:val="18"/>
                <w:szCs w:val="18"/>
              </w:rPr>
              <w:t>-</w:t>
            </w:r>
          </w:p>
        </w:tc>
      </w:tr>
      <w:tr w:rsidR="00224102" w:rsidRPr="00604C75" w14:paraId="43CD0E6C" w14:textId="77777777" w:rsidTr="00F81873">
        <w:trPr>
          <w:trHeight w:val="259"/>
        </w:trPr>
        <w:tc>
          <w:tcPr>
            <w:tcW w:w="2032" w:type="dxa"/>
            <w:vAlign w:val="bottom"/>
          </w:tcPr>
          <w:p w14:paraId="654763BB" w14:textId="77777777" w:rsidR="00224102" w:rsidRPr="00067572" w:rsidRDefault="00224102" w:rsidP="00F81873">
            <w:pPr>
              <w:spacing w:line="216" w:lineRule="auto"/>
              <w:ind w:left="183"/>
              <w:rPr>
                <w:rFonts w:eastAsia="Arial Unicode MS"/>
                <w:sz w:val="18"/>
                <w:szCs w:val="18"/>
              </w:rPr>
            </w:pPr>
            <w:r w:rsidRPr="00067572">
              <w:rPr>
                <w:sz w:val="18"/>
                <w:szCs w:val="18"/>
              </w:rPr>
              <w:t>Credit Cards</w:t>
            </w:r>
          </w:p>
        </w:tc>
        <w:tc>
          <w:tcPr>
            <w:tcW w:w="1162" w:type="dxa"/>
            <w:vAlign w:val="bottom"/>
          </w:tcPr>
          <w:p w14:paraId="7EC9E12F" w14:textId="4F1DEABB" w:rsidR="00224102" w:rsidRDefault="00224102" w:rsidP="00F81873">
            <w:pPr>
              <w:jc w:val="right"/>
              <w:rPr>
                <w:sz w:val="18"/>
                <w:szCs w:val="18"/>
              </w:rPr>
            </w:pPr>
            <w:r>
              <w:rPr>
                <w:sz w:val="18"/>
                <w:szCs w:val="18"/>
              </w:rPr>
              <w:t>67,831</w:t>
            </w:r>
          </w:p>
        </w:tc>
        <w:tc>
          <w:tcPr>
            <w:tcW w:w="1618" w:type="dxa"/>
            <w:vAlign w:val="bottom"/>
          </w:tcPr>
          <w:p w14:paraId="21D0C9A1" w14:textId="5461FA58" w:rsidR="00224102" w:rsidRDefault="00224102" w:rsidP="00F81873">
            <w:pPr>
              <w:jc w:val="right"/>
              <w:rPr>
                <w:sz w:val="18"/>
                <w:szCs w:val="18"/>
              </w:rPr>
            </w:pPr>
            <w:r>
              <w:rPr>
                <w:sz w:val="18"/>
                <w:szCs w:val="18"/>
              </w:rPr>
              <w:t>-</w:t>
            </w:r>
          </w:p>
        </w:tc>
        <w:tc>
          <w:tcPr>
            <w:tcW w:w="962" w:type="dxa"/>
            <w:vAlign w:val="bottom"/>
          </w:tcPr>
          <w:p w14:paraId="61D3DB36" w14:textId="6C28F4DF" w:rsidR="00224102" w:rsidRDefault="00224102" w:rsidP="00F81873">
            <w:pPr>
              <w:jc w:val="right"/>
              <w:rPr>
                <w:sz w:val="18"/>
                <w:szCs w:val="18"/>
              </w:rPr>
            </w:pPr>
            <w:r>
              <w:rPr>
                <w:sz w:val="18"/>
                <w:szCs w:val="18"/>
              </w:rPr>
              <w:t>-</w:t>
            </w:r>
          </w:p>
        </w:tc>
        <w:tc>
          <w:tcPr>
            <w:tcW w:w="1181" w:type="dxa"/>
            <w:vAlign w:val="bottom"/>
          </w:tcPr>
          <w:p w14:paraId="178D8986" w14:textId="0FF4E733" w:rsidR="00224102" w:rsidRDefault="00224102" w:rsidP="00F81873">
            <w:pPr>
              <w:jc w:val="right"/>
              <w:rPr>
                <w:sz w:val="18"/>
                <w:szCs w:val="18"/>
              </w:rPr>
            </w:pPr>
            <w:r>
              <w:rPr>
                <w:sz w:val="18"/>
                <w:szCs w:val="18"/>
              </w:rPr>
              <w:t>1,474</w:t>
            </w:r>
          </w:p>
        </w:tc>
        <w:tc>
          <w:tcPr>
            <w:tcW w:w="1577" w:type="dxa"/>
            <w:vAlign w:val="bottom"/>
          </w:tcPr>
          <w:p w14:paraId="2BE1AA87" w14:textId="28017042" w:rsidR="00224102" w:rsidRDefault="00224102" w:rsidP="00F81873">
            <w:pPr>
              <w:jc w:val="right"/>
              <w:rPr>
                <w:sz w:val="18"/>
                <w:szCs w:val="18"/>
              </w:rPr>
            </w:pPr>
            <w:r>
              <w:rPr>
                <w:sz w:val="18"/>
                <w:szCs w:val="18"/>
              </w:rPr>
              <w:t>-</w:t>
            </w:r>
          </w:p>
        </w:tc>
        <w:tc>
          <w:tcPr>
            <w:tcW w:w="1043" w:type="dxa"/>
            <w:vAlign w:val="bottom"/>
          </w:tcPr>
          <w:p w14:paraId="0B57D683" w14:textId="57FAE2E0" w:rsidR="00224102" w:rsidRDefault="00224102" w:rsidP="00F81873">
            <w:pPr>
              <w:jc w:val="right"/>
              <w:rPr>
                <w:sz w:val="18"/>
                <w:szCs w:val="18"/>
              </w:rPr>
            </w:pPr>
            <w:r>
              <w:rPr>
                <w:sz w:val="18"/>
                <w:szCs w:val="18"/>
              </w:rPr>
              <w:t>-</w:t>
            </w:r>
          </w:p>
        </w:tc>
      </w:tr>
      <w:tr w:rsidR="00224102" w:rsidRPr="00604C75" w14:paraId="63865285" w14:textId="77777777" w:rsidTr="00F81873">
        <w:trPr>
          <w:trHeight w:val="259"/>
        </w:trPr>
        <w:tc>
          <w:tcPr>
            <w:tcW w:w="2032" w:type="dxa"/>
            <w:vAlign w:val="bottom"/>
          </w:tcPr>
          <w:p w14:paraId="2CAF0CDE" w14:textId="77777777" w:rsidR="00224102" w:rsidRPr="00067572" w:rsidRDefault="00224102" w:rsidP="00F81873">
            <w:pPr>
              <w:spacing w:line="216" w:lineRule="auto"/>
              <w:ind w:left="183"/>
              <w:rPr>
                <w:rFonts w:eastAsia="Arial Unicode MS"/>
                <w:sz w:val="18"/>
                <w:szCs w:val="18"/>
              </w:rPr>
            </w:pPr>
            <w:r w:rsidRPr="00067572">
              <w:rPr>
                <w:sz w:val="18"/>
                <w:szCs w:val="18"/>
              </w:rPr>
              <w:t>Other</w:t>
            </w:r>
          </w:p>
        </w:tc>
        <w:tc>
          <w:tcPr>
            <w:tcW w:w="1162" w:type="dxa"/>
            <w:vAlign w:val="bottom"/>
          </w:tcPr>
          <w:p w14:paraId="528D6D00" w14:textId="4E2CECAA" w:rsidR="00224102" w:rsidRDefault="00224102" w:rsidP="00F81873">
            <w:pPr>
              <w:jc w:val="right"/>
              <w:rPr>
                <w:sz w:val="18"/>
                <w:szCs w:val="18"/>
              </w:rPr>
            </w:pPr>
            <w:r>
              <w:rPr>
                <w:sz w:val="18"/>
                <w:szCs w:val="18"/>
              </w:rPr>
              <w:t>7,181,381</w:t>
            </w:r>
          </w:p>
        </w:tc>
        <w:tc>
          <w:tcPr>
            <w:tcW w:w="1618" w:type="dxa"/>
            <w:vAlign w:val="bottom"/>
          </w:tcPr>
          <w:p w14:paraId="169B765D" w14:textId="46C3BF30" w:rsidR="00224102" w:rsidRDefault="00224102" w:rsidP="00F81873">
            <w:pPr>
              <w:jc w:val="right"/>
              <w:rPr>
                <w:sz w:val="18"/>
                <w:szCs w:val="18"/>
              </w:rPr>
            </w:pPr>
            <w:r>
              <w:rPr>
                <w:sz w:val="18"/>
                <w:szCs w:val="18"/>
              </w:rPr>
              <w:t>28,112</w:t>
            </w:r>
          </w:p>
        </w:tc>
        <w:tc>
          <w:tcPr>
            <w:tcW w:w="962" w:type="dxa"/>
          </w:tcPr>
          <w:p w14:paraId="65188DB2" w14:textId="7E28BD4F" w:rsidR="00224102" w:rsidRDefault="00224102" w:rsidP="00F81873">
            <w:pPr>
              <w:jc w:val="right"/>
            </w:pPr>
            <w:r w:rsidRPr="003F6489">
              <w:rPr>
                <w:sz w:val="18"/>
                <w:szCs w:val="18"/>
              </w:rPr>
              <w:t>-</w:t>
            </w:r>
          </w:p>
        </w:tc>
        <w:tc>
          <w:tcPr>
            <w:tcW w:w="1181" w:type="dxa"/>
            <w:vAlign w:val="bottom"/>
          </w:tcPr>
          <w:p w14:paraId="7A00E38A" w14:textId="466A9F14" w:rsidR="00224102" w:rsidRDefault="00224102" w:rsidP="00F81873">
            <w:pPr>
              <w:jc w:val="right"/>
              <w:rPr>
                <w:sz w:val="18"/>
                <w:szCs w:val="18"/>
              </w:rPr>
            </w:pPr>
            <w:r>
              <w:rPr>
                <w:sz w:val="18"/>
                <w:szCs w:val="18"/>
              </w:rPr>
              <w:t>126,884</w:t>
            </w:r>
          </w:p>
        </w:tc>
        <w:tc>
          <w:tcPr>
            <w:tcW w:w="1577" w:type="dxa"/>
            <w:vAlign w:val="bottom"/>
          </w:tcPr>
          <w:p w14:paraId="0F262B55" w14:textId="6EEB6968" w:rsidR="00224102" w:rsidRDefault="00224102" w:rsidP="00F81873">
            <w:pPr>
              <w:jc w:val="right"/>
              <w:rPr>
                <w:sz w:val="18"/>
                <w:szCs w:val="18"/>
              </w:rPr>
            </w:pPr>
            <w:r>
              <w:rPr>
                <w:sz w:val="18"/>
                <w:szCs w:val="18"/>
              </w:rPr>
              <w:t>300,241</w:t>
            </w:r>
          </w:p>
        </w:tc>
        <w:tc>
          <w:tcPr>
            <w:tcW w:w="1043" w:type="dxa"/>
            <w:vAlign w:val="bottom"/>
          </w:tcPr>
          <w:p w14:paraId="46591BA5" w14:textId="694D127C" w:rsidR="00224102" w:rsidRDefault="00224102" w:rsidP="00F81873">
            <w:pPr>
              <w:jc w:val="right"/>
            </w:pPr>
            <w:r w:rsidRPr="003F6489">
              <w:rPr>
                <w:sz w:val="18"/>
                <w:szCs w:val="18"/>
              </w:rPr>
              <w:t>-</w:t>
            </w:r>
          </w:p>
        </w:tc>
      </w:tr>
      <w:tr w:rsidR="00224102" w:rsidRPr="00604C75" w14:paraId="51B0DA27" w14:textId="77777777" w:rsidTr="00F81873">
        <w:trPr>
          <w:trHeight w:val="259"/>
        </w:trPr>
        <w:tc>
          <w:tcPr>
            <w:tcW w:w="2032" w:type="dxa"/>
            <w:vAlign w:val="bottom"/>
          </w:tcPr>
          <w:p w14:paraId="3318A065" w14:textId="77777777" w:rsidR="00224102" w:rsidRPr="00576E0A" w:rsidRDefault="00224102" w:rsidP="00F81873">
            <w:pPr>
              <w:spacing w:line="216" w:lineRule="auto"/>
              <w:rPr>
                <w:rFonts w:eastAsia="Arial Unicode MS"/>
                <w:sz w:val="18"/>
                <w:szCs w:val="18"/>
              </w:rPr>
            </w:pPr>
            <w:r w:rsidRPr="00576E0A">
              <w:rPr>
                <w:sz w:val="18"/>
                <w:szCs w:val="18"/>
              </w:rPr>
              <w:t>Specialized Loans</w:t>
            </w:r>
          </w:p>
        </w:tc>
        <w:tc>
          <w:tcPr>
            <w:tcW w:w="1162" w:type="dxa"/>
            <w:vAlign w:val="bottom"/>
          </w:tcPr>
          <w:p w14:paraId="52CE01A1" w14:textId="27C288B1" w:rsidR="00224102" w:rsidRDefault="00224102" w:rsidP="00F81873">
            <w:pPr>
              <w:jc w:val="right"/>
              <w:rPr>
                <w:i/>
                <w:iCs/>
                <w:sz w:val="18"/>
                <w:szCs w:val="18"/>
              </w:rPr>
            </w:pPr>
            <w:r>
              <w:rPr>
                <w:i/>
                <w:iCs/>
                <w:sz w:val="18"/>
                <w:szCs w:val="18"/>
              </w:rPr>
              <w:t>-</w:t>
            </w:r>
          </w:p>
        </w:tc>
        <w:tc>
          <w:tcPr>
            <w:tcW w:w="1618" w:type="dxa"/>
            <w:vAlign w:val="bottom"/>
          </w:tcPr>
          <w:p w14:paraId="44216D82" w14:textId="1AC2ACEC" w:rsidR="00224102" w:rsidRDefault="00224102" w:rsidP="00F81873">
            <w:pPr>
              <w:jc w:val="right"/>
              <w:rPr>
                <w:i/>
                <w:iCs/>
                <w:sz w:val="18"/>
                <w:szCs w:val="18"/>
              </w:rPr>
            </w:pPr>
            <w:r>
              <w:rPr>
                <w:i/>
                <w:iCs/>
                <w:sz w:val="18"/>
                <w:szCs w:val="18"/>
              </w:rPr>
              <w:t>-</w:t>
            </w:r>
          </w:p>
        </w:tc>
        <w:tc>
          <w:tcPr>
            <w:tcW w:w="962" w:type="dxa"/>
          </w:tcPr>
          <w:p w14:paraId="5172DCE8" w14:textId="2FDA4BCA" w:rsidR="00224102" w:rsidRDefault="00224102" w:rsidP="00F81873">
            <w:pPr>
              <w:jc w:val="right"/>
            </w:pPr>
            <w:r w:rsidRPr="003F6489">
              <w:rPr>
                <w:sz w:val="18"/>
                <w:szCs w:val="18"/>
              </w:rPr>
              <w:t>-</w:t>
            </w:r>
          </w:p>
        </w:tc>
        <w:tc>
          <w:tcPr>
            <w:tcW w:w="1181" w:type="dxa"/>
            <w:vAlign w:val="bottom"/>
          </w:tcPr>
          <w:p w14:paraId="3E919177" w14:textId="0D12B0F1" w:rsidR="00224102" w:rsidRDefault="00224102" w:rsidP="00F81873">
            <w:pPr>
              <w:jc w:val="right"/>
              <w:rPr>
                <w:i/>
                <w:iCs/>
                <w:sz w:val="18"/>
                <w:szCs w:val="18"/>
              </w:rPr>
            </w:pPr>
            <w:r>
              <w:rPr>
                <w:i/>
                <w:iCs/>
                <w:sz w:val="18"/>
                <w:szCs w:val="18"/>
              </w:rPr>
              <w:t>-</w:t>
            </w:r>
          </w:p>
        </w:tc>
        <w:tc>
          <w:tcPr>
            <w:tcW w:w="1577" w:type="dxa"/>
            <w:vAlign w:val="bottom"/>
          </w:tcPr>
          <w:p w14:paraId="71864C42" w14:textId="1877D1B8" w:rsidR="00224102" w:rsidRDefault="00224102" w:rsidP="00F81873">
            <w:pPr>
              <w:jc w:val="right"/>
              <w:rPr>
                <w:i/>
                <w:iCs/>
                <w:sz w:val="18"/>
                <w:szCs w:val="18"/>
              </w:rPr>
            </w:pPr>
            <w:r>
              <w:rPr>
                <w:i/>
                <w:iCs/>
                <w:sz w:val="18"/>
                <w:szCs w:val="18"/>
              </w:rPr>
              <w:t>-</w:t>
            </w:r>
          </w:p>
        </w:tc>
        <w:tc>
          <w:tcPr>
            <w:tcW w:w="1043" w:type="dxa"/>
            <w:vAlign w:val="bottom"/>
          </w:tcPr>
          <w:p w14:paraId="48286B80" w14:textId="1166F575" w:rsidR="00224102" w:rsidRDefault="00224102" w:rsidP="00F81873">
            <w:pPr>
              <w:jc w:val="right"/>
            </w:pPr>
            <w:r w:rsidRPr="003F6489">
              <w:rPr>
                <w:sz w:val="18"/>
                <w:szCs w:val="18"/>
              </w:rPr>
              <w:t>-</w:t>
            </w:r>
          </w:p>
        </w:tc>
      </w:tr>
      <w:tr w:rsidR="00224102" w:rsidRPr="00604C75" w14:paraId="47E18D98" w14:textId="77777777" w:rsidTr="00F81873">
        <w:trPr>
          <w:trHeight w:val="259"/>
        </w:trPr>
        <w:tc>
          <w:tcPr>
            <w:tcW w:w="2032" w:type="dxa"/>
            <w:vAlign w:val="bottom"/>
          </w:tcPr>
          <w:p w14:paraId="08ADDD0B" w14:textId="13022E3D" w:rsidR="00224102" w:rsidRPr="00576E0A" w:rsidRDefault="00224102" w:rsidP="00F81873">
            <w:pPr>
              <w:spacing w:line="216" w:lineRule="auto"/>
              <w:rPr>
                <w:sz w:val="18"/>
                <w:szCs w:val="18"/>
              </w:rPr>
            </w:pPr>
            <w:r w:rsidRPr="00576E0A">
              <w:rPr>
                <w:sz w:val="18"/>
                <w:szCs w:val="18"/>
              </w:rPr>
              <w:t xml:space="preserve">Other </w:t>
            </w:r>
            <w:r>
              <w:rPr>
                <w:sz w:val="18"/>
                <w:szCs w:val="18"/>
              </w:rPr>
              <w:t>R</w:t>
            </w:r>
            <w:r w:rsidRPr="00576E0A">
              <w:rPr>
                <w:sz w:val="18"/>
                <w:szCs w:val="18"/>
              </w:rPr>
              <w:t>eceivables</w:t>
            </w:r>
          </w:p>
        </w:tc>
        <w:tc>
          <w:tcPr>
            <w:tcW w:w="1162" w:type="dxa"/>
            <w:vAlign w:val="bottom"/>
          </w:tcPr>
          <w:p w14:paraId="11059E6E" w14:textId="6D2252C3" w:rsidR="00224102" w:rsidRDefault="00224102" w:rsidP="00F81873">
            <w:pPr>
              <w:jc w:val="right"/>
              <w:rPr>
                <w:sz w:val="18"/>
                <w:szCs w:val="18"/>
              </w:rPr>
            </w:pPr>
            <w:r>
              <w:rPr>
                <w:sz w:val="18"/>
                <w:szCs w:val="18"/>
              </w:rPr>
              <w:t>39,394</w:t>
            </w:r>
          </w:p>
        </w:tc>
        <w:tc>
          <w:tcPr>
            <w:tcW w:w="1618" w:type="dxa"/>
            <w:vAlign w:val="bottom"/>
          </w:tcPr>
          <w:p w14:paraId="1F9B949D" w14:textId="708BA36F" w:rsidR="00224102" w:rsidRDefault="00224102" w:rsidP="00F81873">
            <w:pPr>
              <w:jc w:val="right"/>
              <w:rPr>
                <w:i/>
                <w:iCs/>
                <w:sz w:val="18"/>
                <w:szCs w:val="18"/>
              </w:rPr>
            </w:pPr>
            <w:r>
              <w:rPr>
                <w:i/>
                <w:iCs/>
                <w:sz w:val="18"/>
                <w:szCs w:val="18"/>
              </w:rPr>
              <w:t>-</w:t>
            </w:r>
          </w:p>
        </w:tc>
        <w:tc>
          <w:tcPr>
            <w:tcW w:w="962" w:type="dxa"/>
          </w:tcPr>
          <w:p w14:paraId="2EA11CC9" w14:textId="69392C69" w:rsidR="00224102" w:rsidRDefault="00224102" w:rsidP="00F81873">
            <w:pPr>
              <w:jc w:val="right"/>
            </w:pPr>
            <w:r w:rsidRPr="003F6489">
              <w:rPr>
                <w:sz w:val="18"/>
                <w:szCs w:val="18"/>
              </w:rPr>
              <w:t>-</w:t>
            </w:r>
          </w:p>
        </w:tc>
        <w:tc>
          <w:tcPr>
            <w:tcW w:w="1181" w:type="dxa"/>
            <w:vAlign w:val="bottom"/>
          </w:tcPr>
          <w:p w14:paraId="75DA0503" w14:textId="5E0EB44E" w:rsidR="00224102" w:rsidRDefault="00224102" w:rsidP="00F81873">
            <w:pPr>
              <w:jc w:val="right"/>
              <w:rPr>
                <w:i/>
                <w:iCs/>
                <w:sz w:val="18"/>
                <w:szCs w:val="18"/>
              </w:rPr>
            </w:pPr>
            <w:r>
              <w:rPr>
                <w:i/>
                <w:iCs/>
                <w:sz w:val="18"/>
                <w:szCs w:val="18"/>
              </w:rPr>
              <w:t>-</w:t>
            </w:r>
          </w:p>
        </w:tc>
        <w:tc>
          <w:tcPr>
            <w:tcW w:w="1577" w:type="dxa"/>
            <w:vAlign w:val="bottom"/>
          </w:tcPr>
          <w:p w14:paraId="47FF348F" w14:textId="1CD12D82" w:rsidR="00224102" w:rsidRDefault="00224102" w:rsidP="00F81873">
            <w:pPr>
              <w:jc w:val="right"/>
              <w:rPr>
                <w:sz w:val="18"/>
                <w:szCs w:val="18"/>
              </w:rPr>
            </w:pPr>
            <w:r>
              <w:rPr>
                <w:sz w:val="18"/>
                <w:szCs w:val="18"/>
              </w:rPr>
              <w:t>-</w:t>
            </w:r>
          </w:p>
        </w:tc>
        <w:tc>
          <w:tcPr>
            <w:tcW w:w="1043" w:type="dxa"/>
            <w:vAlign w:val="bottom"/>
          </w:tcPr>
          <w:p w14:paraId="24901E27" w14:textId="5E66D2F5" w:rsidR="00224102" w:rsidRDefault="00224102" w:rsidP="00F81873">
            <w:pPr>
              <w:jc w:val="right"/>
            </w:pPr>
            <w:r w:rsidRPr="003F6489">
              <w:rPr>
                <w:sz w:val="18"/>
                <w:szCs w:val="18"/>
              </w:rPr>
              <w:t>-</w:t>
            </w:r>
          </w:p>
        </w:tc>
      </w:tr>
      <w:tr w:rsidR="00224102" w:rsidRPr="00604C75" w14:paraId="576E47C8" w14:textId="77777777" w:rsidTr="00F81873">
        <w:trPr>
          <w:trHeight w:val="259"/>
        </w:trPr>
        <w:tc>
          <w:tcPr>
            <w:tcW w:w="2032" w:type="dxa"/>
            <w:vAlign w:val="bottom"/>
          </w:tcPr>
          <w:p w14:paraId="3301C860" w14:textId="77777777" w:rsidR="00224102" w:rsidRPr="00604C75" w:rsidRDefault="00224102" w:rsidP="00F81873">
            <w:pPr>
              <w:pStyle w:val="Heading9"/>
              <w:spacing w:line="216" w:lineRule="auto"/>
              <w:rPr>
                <w:szCs w:val="18"/>
              </w:rPr>
            </w:pPr>
            <w:r w:rsidRPr="00604C75">
              <w:rPr>
                <w:szCs w:val="18"/>
              </w:rPr>
              <w:t>Total</w:t>
            </w:r>
          </w:p>
        </w:tc>
        <w:tc>
          <w:tcPr>
            <w:tcW w:w="1162" w:type="dxa"/>
            <w:vAlign w:val="bottom"/>
          </w:tcPr>
          <w:p w14:paraId="6670E1A4" w14:textId="0FAF06FC" w:rsidR="00224102" w:rsidRDefault="00224102" w:rsidP="00F81873">
            <w:pPr>
              <w:jc w:val="right"/>
              <w:rPr>
                <w:b/>
                <w:bCs/>
                <w:sz w:val="18"/>
                <w:szCs w:val="18"/>
              </w:rPr>
            </w:pPr>
            <w:r>
              <w:rPr>
                <w:b/>
                <w:bCs/>
                <w:sz w:val="18"/>
                <w:szCs w:val="18"/>
              </w:rPr>
              <w:t xml:space="preserve">      8,571,250    </w:t>
            </w:r>
          </w:p>
        </w:tc>
        <w:tc>
          <w:tcPr>
            <w:tcW w:w="1618" w:type="dxa"/>
            <w:vAlign w:val="bottom"/>
          </w:tcPr>
          <w:p w14:paraId="138D3775" w14:textId="7E5F0C65" w:rsidR="00224102" w:rsidRDefault="00224102" w:rsidP="00F81873">
            <w:pPr>
              <w:jc w:val="right"/>
              <w:rPr>
                <w:b/>
                <w:bCs/>
                <w:sz w:val="18"/>
                <w:szCs w:val="18"/>
              </w:rPr>
            </w:pPr>
            <w:r>
              <w:rPr>
                <w:b/>
                <w:bCs/>
                <w:sz w:val="18"/>
                <w:szCs w:val="18"/>
              </w:rPr>
              <w:t xml:space="preserve">             28,112    </w:t>
            </w:r>
          </w:p>
        </w:tc>
        <w:tc>
          <w:tcPr>
            <w:tcW w:w="962" w:type="dxa"/>
            <w:vAlign w:val="bottom"/>
          </w:tcPr>
          <w:p w14:paraId="2B95460B" w14:textId="7BFB1166" w:rsidR="00224102" w:rsidRPr="00516795" w:rsidRDefault="00224102" w:rsidP="00F81873">
            <w:pPr>
              <w:jc w:val="right"/>
              <w:rPr>
                <w:b/>
              </w:rPr>
            </w:pPr>
            <w:r w:rsidRPr="00516795">
              <w:rPr>
                <w:b/>
                <w:sz w:val="18"/>
                <w:szCs w:val="18"/>
              </w:rPr>
              <w:t>-</w:t>
            </w:r>
          </w:p>
        </w:tc>
        <w:tc>
          <w:tcPr>
            <w:tcW w:w="1181" w:type="dxa"/>
            <w:vAlign w:val="bottom"/>
          </w:tcPr>
          <w:p w14:paraId="18ACD2DD" w14:textId="07B00CDF" w:rsidR="00224102" w:rsidRPr="00516795" w:rsidRDefault="00224102" w:rsidP="00F81873">
            <w:pPr>
              <w:jc w:val="right"/>
              <w:rPr>
                <w:b/>
                <w:bCs/>
                <w:sz w:val="18"/>
                <w:szCs w:val="18"/>
              </w:rPr>
            </w:pPr>
            <w:r w:rsidRPr="00516795">
              <w:rPr>
                <w:b/>
                <w:bCs/>
                <w:sz w:val="18"/>
                <w:szCs w:val="18"/>
              </w:rPr>
              <w:t>166,878</w:t>
            </w:r>
          </w:p>
        </w:tc>
        <w:tc>
          <w:tcPr>
            <w:tcW w:w="1577" w:type="dxa"/>
            <w:vAlign w:val="bottom"/>
          </w:tcPr>
          <w:p w14:paraId="39222AF9" w14:textId="490B0359" w:rsidR="00224102" w:rsidRPr="00516795" w:rsidRDefault="00224102" w:rsidP="00F81873">
            <w:pPr>
              <w:jc w:val="right"/>
              <w:rPr>
                <w:b/>
                <w:bCs/>
                <w:sz w:val="18"/>
                <w:szCs w:val="18"/>
              </w:rPr>
            </w:pPr>
            <w:r w:rsidRPr="00516795">
              <w:rPr>
                <w:b/>
                <w:bCs/>
                <w:sz w:val="18"/>
                <w:szCs w:val="18"/>
              </w:rPr>
              <w:t>303,581</w:t>
            </w:r>
          </w:p>
        </w:tc>
        <w:tc>
          <w:tcPr>
            <w:tcW w:w="1043" w:type="dxa"/>
            <w:vAlign w:val="bottom"/>
          </w:tcPr>
          <w:p w14:paraId="6ED75F42" w14:textId="11A3F15A" w:rsidR="00224102" w:rsidRPr="00516795" w:rsidRDefault="00224102" w:rsidP="00F81873">
            <w:pPr>
              <w:jc w:val="right"/>
              <w:rPr>
                <w:b/>
              </w:rPr>
            </w:pPr>
            <w:r w:rsidRPr="00516795">
              <w:rPr>
                <w:b/>
                <w:sz w:val="18"/>
                <w:szCs w:val="18"/>
              </w:rPr>
              <w:t>-</w:t>
            </w:r>
          </w:p>
        </w:tc>
      </w:tr>
    </w:tbl>
    <w:p w14:paraId="323BC0CB" w14:textId="77777777" w:rsidR="00DB170F" w:rsidRPr="00604C75" w:rsidRDefault="00DB170F" w:rsidP="00507FD7">
      <w:pPr>
        <w:pStyle w:val="BodyTextIndent"/>
        <w:spacing w:after="0" w:line="216" w:lineRule="auto"/>
        <w:ind w:left="0"/>
        <w:rPr>
          <w:sz w:val="16"/>
          <w:szCs w:val="16"/>
        </w:rPr>
      </w:pPr>
    </w:p>
    <w:p w14:paraId="395FFB05" w14:textId="77777777" w:rsidR="00A64153" w:rsidRPr="00604C75" w:rsidRDefault="00A64153" w:rsidP="00DB54F0">
      <w:pPr>
        <w:pStyle w:val="BodyTextIndent"/>
        <w:tabs>
          <w:tab w:val="left" w:pos="3480"/>
        </w:tabs>
        <w:spacing w:after="0" w:line="216" w:lineRule="auto"/>
        <w:ind w:left="0" w:right="16"/>
        <w:rPr>
          <w:sz w:val="12"/>
          <w:szCs w:val="12"/>
        </w:rPr>
      </w:pPr>
    </w:p>
    <w:tbl>
      <w:tblPr>
        <w:tblW w:w="962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748"/>
        <w:gridCol w:w="2559"/>
        <w:gridCol w:w="2316"/>
      </w:tblGrid>
      <w:tr w:rsidR="00A64153" w:rsidRPr="00604C75" w14:paraId="00FC6F11" w14:textId="77777777" w:rsidTr="00594498">
        <w:trPr>
          <w:trHeight w:val="195"/>
        </w:trPr>
        <w:tc>
          <w:tcPr>
            <w:tcW w:w="4748" w:type="dxa"/>
            <w:vAlign w:val="bottom"/>
          </w:tcPr>
          <w:p w14:paraId="322DCF66" w14:textId="77777777" w:rsidR="00A64153" w:rsidRPr="00604C75" w:rsidRDefault="006770A4" w:rsidP="00F34363">
            <w:pPr>
              <w:pStyle w:val="xl79"/>
              <w:pBdr>
                <w:left w:val="none" w:sz="0" w:space="0" w:color="auto"/>
                <w:bottom w:val="none" w:sz="0" w:space="0" w:color="auto"/>
                <w:right w:val="none" w:sz="0" w:space="0" w:color="auto"/>
              </w:pBdr>
              <w:tabs>
                <w:tab w:val="left" w:pos="0"/>
              </w:tabs>
              <w:spacing w:before="0" w:beforeAutospacing="0" w:after="0" w:afterAutospacing="0" w:line="221" w:lineRule="auto"/>
              <w:rPr>
                <w:b/>
              </w:rPr>
            </w:pPr>
            <w:r w:rsidRPr="00604C75">
              <w:rPr>
                <w:b/>
                <w:lang w:val="en-US"/>
              </w:rPr>
              <w:t xml:space="preserve">Number of Amendments Related to the </w:t>
            </w:r>
            <w:proofErr w:type="spellStart"/>
            <w:r w:rsidRPr="00604C75">
              <w:rPr>
                <w:b/>
                <w:lang w:val="en-US"/>
              </w:rPr>
              <w:t>Extention</w:t>
            </w:r>
            <w:proofErr w:type="spellEnd"/>
            <w:r w:rsidRPr="00604C75">
              <w:rPr>
                <w:b/>
                <w:lang w:val="en-US"/>
              </w:rPr>
              <w:t xml:space="preserve"> of Payment Plan</w:t>
            </w:r>
          </w:p>
        </w:tc>
        <w:tc>
          <w:tcPr>
            <w:tcW w:w="2559" w:type="dxa"/>
            <w:vAlign w:val="bottom"/>
          </w:tcPr>
          <w:p w14:paraId="3F29D3A6" w14:textId="77777777" w:rsidR="00594498" w:rsidRDefault="006770A4" w:rsidP="00594498">
            <w:pPr>
              <w:spacing w:line="216" w:lineRule="auto"/>
              <w:ind w:right="37"/>
              <w:jc w:val="right"/>
              <w:rPr>
                <w:b/>
                <w:sz w:val="18"/>
                <w:szCs w:val="18"/>
              </w:rPr>
            </w:pPr>
            <w:r w:rsidRPr="00604C75">
              <w:rPr>
                <w:b/>
                <w:sz w:val="18"/>
                <w:szCs w:val="18"/>
              </w:rPr>
              <w:t>Standard Loans and</w:t>
            </w:r>
          </w:p>
          <w:p w14:paraId="4B045AF0" w14:textId="2457E76D" w:rsidR="00A64153" w:rsidRPr="00604C75" w:rsidRDefault="006770A4" w:rsidP="00594498">
            <w:pPr>
              <w:spacing w:line="216" w:lineRule="auto"/>
              <w:ind w:right="37"/>
              <w:jc w:val="right"/>
              <w:rPr>
                <w:b/>
                <w:sz w:val="18"/>
                <w:szCs w:val="18"/>
              </w:rPr>
            </w:pPr>
            <w:r w:rsidRPr="00604C75">
              <w:rPr>
                <w:b/>
                <w:sz w:val="18"/>
                <w:szCs w:val="18"/>
              </w:rPr>
              <w:t xml:space="preserve"> Other</w:t>
            </w:r>
            <w:r w:rsidR="00594498">
              <w:rPr>
                <w:b/>
                <w:sz w:val="18"/>
                <w:szCs w:val="18"/>
              </w:rPr>
              <w:t xml:space="preserve"> </w:t>
            </w:r>
            <w:r w:rsidRPr="00604C75">
              <w:rPr>
                <w:b/>
                <w:sz w:val="18"/>
                <w:szCs w:val="18"/>
              </w:rPr>
              <w:t>Receivables</w:t>
            </w:r>
          </w:p>
        </w:tc>
        <w:tc>
          <w:tcPr>
            <w:tcW w:w="2316" w:type="dxa"/>
            <w:vAlign w:val="center"/>
          </w:tcPr>
          <w:p w14:paraId="01219922" w14:textId="77777777" w:rsidR="00A64153" w:rsidRPr="00604C75" w:rsidRDefault="006770A4" w:rsidP="00F34363">
            <w:pPr>
              <w:tabs>
                <w:tab w:val="left" w:pos="0"/>
              </w:tabs>
              <w:ind w:right="28"/>
              <w:jc w:val="right"/>
              <w:rPr>
                <w:rFonts w:eastAsia="Arial Unicode MS"/>
                <w:b/>
                <w:sz w:val="18"/>
                <w:szCs w:val="18"/>
              </w:rPr>
            </w:pPr>
            <w:r w:rsidRPr="00604C75">
              <w:rPr>
                <w:b/>
                <w:sz w:val="18"/>
                <w:szCs w:val="18"/>
              </w:rPr>
              <w:t>Loans and Other Receivables Under Close Monitoring</w:t>
            </w:r>
          </w:p>
        </w:tc>
      </w:tr>
      <w:tr w:rsidR="00E84ECB" w:rsidRPr="00604C75" w14:paraId="64FBF5BD" w14:textId="77777777" w:rsidTr="00104DF7">
        <w:trPr>
          <w:cantSplit/>
          <w:trHeight w:val="195"/>
        </w:trPr>
        <w:tc>
          <w:tcPr>
            <w:tcW w:w="4748" w:type="dxa"/>
            <w:vAlign w:val="bottom"/>
          </w:tcPr>
          <w:p w14:paraId="6F3D9E1D" w14:textId="55B4A72F" w:rsidR="00E84ECB" w:rsidRPr="00604C75" w:rsidRDefault="00E84ECB" w:rsidP="00E84ECB">
            <w:pPr>
              <w:pStyle w:val="xl79"/>
              <w:pBdr>
                <w:left w:val="none" w:sz="0" w:space="0" w:color="auto"/>
                <w:bottom w:val="none" w:sz="0" w:space="0" w:color="auto"/>
                <w:right w:val="none" w:sz="0" w:space="0" w:color="auto"/>
              </w:pBdr>
              <w:tabs>
                <w:tab w:val="left" w:pos="0"/>
              </w:tabs>
              <w:spacing w:before="0" w:beforeAutospacing="0" w:after="0" w:afterAutospacing="0" w:line="221" w:lineRule="auto"/>
            </w:pPr>
            <w:r w:rsidRPr="00604C75">
              <w:rPr>
                <w:lang w:val="en-US"/>
              </w:rPr>
              <w:t xml:space="preserve">1 or 2 </w:t>
            </w:r>
            <w:r w:rsidR="00332388">
              <w:rPr>
                <w:lang w:val="en-US"/>
              </w:rPr>
              <w:t>T</w:t>
            </w:r>
            <w:r w:rsidRPr="00604C75">
              <w:rPr>
                <w:lang w:val="en-US"/>
              </w:rPr>
              <w:t>imes</w:t>
            </w:r>
          </w:p>
        </w:tc>
        <w:tc>
          <w:tcPr>
            <w:tcW w:w="2559" w:type="dxa"/>
            <w:vAlign w:val="bottom"/>
          </w:tcPr>
          <w:p w14:paraId="29E7BA0E" w14:textId="77777777" w:rsidR="00E84ECB" w:rsidRDefault="00E84ECB" w:rsidP="00E84ECB">
            <w:pPr>
              <w:jc w:val="right"/>
              <w:rPr>
                <w:color w:val="000000"/>
                <w:sz w:val="18"/>
                <w:szCs w:val="18"/>
              </w:rPr>
            </w:pPr>
            <w:r>
              <w:rPr>
                <w:color w:val="000000"/>
                <w:sz w:val="18"/>
                <w:szCs w:val="18"/>
              </w:rPr>
              <w:t>28,112</w:t>
            </w:r>
          </w:p>
        </w:tc>
        <w:tc>
          <w:tcPr>
            <w:tcW w:w="2316" w:type="dxa"/>
            <w:vAlign w:val="bottom"/>
          </w:tcPr>
          <w:p w14:paraId="39D96B73" w14:textId="77777777" w:rsidR="00E84ECB" w:rsidRDefault="00E84ECB" w:rsidP="00E84ECB">
            <w:pPr>
              <w:jc w:val="right"/>
              <w:rPr>
                <w:color w:val="000000"/>
                <w:sz w:val="18"/>
                <w:szCs w:val="18"/>
              </w:rPr>
            </w:pPr>
            <w:r>
              <w:rPr>
                <w:color w:val="000000"/>
                <w:sz w:val="18"/>
                <w:szCs w:val="18"/>
              </w:rPr>
              <w:t>303,581</w:t>
            </w:r>
          </w:p>
        </w:tc>
      </w:tr>
      <w:tr w:rsidR="00E84ECB" w:rsidRPr="00604C75" w14:paraId="079F343B" w14:textId="77777777" w:rsidTr="00AD726D">
        <w:trPr>
          <w:cantSplit/>
          <w:trHeight w:val="195"/>
        </w:trPr>
        <w:tc>
          <w:tcPr>
            <w:tcW w:w="4748" w:type="dxa"/>
            <w:vAlign w:val="bottom"/>
          </w:tcPr>
          <w:p w14:paraId="310F4122" w14:textId="0E7EABCA" w:rsidR="00E84ECB" w:rsidRPr="00604C75" w:rsidRDefault="00E84ECB" w:rsidP="00E84ECB">
            <w:pPr>
              <w:pStyle w:val="xl79"/>
              <w:pBdr>
                <w:left w:val="none" w:sz="0" w:space="0" w:color="auto"/>
                <w:bottom w:val="none" w:sz="0" w:space="0" w:color="auto"/>
                <w:right w:val="none" w:sz="0" w:space="0" w:color="auto"/>
              </w:pBdr>
              <w:tabs>
                <w:tab w:val="left" w:pos="0"/>
              </w:tabs>
              <w:spacing w:before="0" w:beforeAutospacing="0" w:after="0" w:afterAutospacing="0" w:line="221" w:lineRule="auto"/>
            </w:pPr>
            <w:r w:rsidRPr="00604C75">
              <w:rPr>
                <w:lang w:val="en-US"/>
              </w:rPr>
              <w:t xml:space="preserve">3, 4 or 5 </w:t>
            </w:r>
            <w:r w:rsidR="00332388">
              <w:rPr>
                <w:lang w:val="en-US"/>
              </w:rPr>
              <w:t>T</w:t>
            </w:r>
            <w:r w:rsidRPr="00604C75">
              <w:rPr>
                <w:lang w:val="en-US"/>
              </w:rPr>
              <w:t>imes</w:t>
            </w:r>
          </w:p>
        </w:tc>
        <w:tc>
          <w:tcPr>
            <w:tcW w:w="2559" w:type="dxa"/>
            <w:vAlign w:val="bottom"/>
          </w:tcPr>
          <w:p w14:paraId="3142774A" w14:textId="77777777" w:rsidR="00E84ECB" w:rsidRDefault="00E84ECB" w:rsidP="00E84ECB">
            <w:pPr>
              <w:jc w:val="right"/>
              <w:rPr>
                <w:color w:val="000000"/>
                <w:sz w:val="18"/>
                <w:szCs w:val="18"/>
              </w:rPr>
            </w:pPr>
            <w:r>
              <w:rPr>
                <w:color w:val="000000"/>
                <w:sz w:val="18"/>
                <w:szCs w:val="18"/>
              </w:rPr>
              <w:t>-</w:t>
            </w:r>
          </w:p>
        </w:tc>
        <w:tc>
          <w:tcPr>
            <w:tcW w:w="2316" w:type="dxa"/>
            <w:vAlign w:val="bottom"/>
          </w:tcPr>
          <w:p w14:paraId="5DE725BA" w14:textId="77777777" w:rsidR="00E84ECB" w:rsidRDefault="00E84ECB" w:rsidP="00E84ECB">
            <w:pPr>
              <w:jc w:val="right"/>
              <w:rPr>
                <w:color w:val="000000"/>
                <w:sz w:val="18"/>
                <w:szCs w:val="18"/>
              </w:rPr>
            </w:pPr>
            <w:r>
              <w:rPr>
                <w:color w:val="000000"/>
                <w:sz w:val="18"/>
                <w:szCs w:val="18"/>
              </w:rPr>
              <w:t>-</w:t>
            </w:r>
          </w:p>
        </w:tc>
      </w:tr>
      <w:tr w:rsidR="00E84ECB" w:rsidRPr="00604C75" w14:paraId="21446E60" w14:textId="77777777" w:rsidTr="00AD726D">
        <w:trPr>
          <w:cantSplit/>
          <w:trHeight w:val="195"/>
        </w:trPr>
        <w:tc>
          <w:tcPr>
            <w:tcW w:w="4748" w:type="dxa"/>
            <w:vAlign w:val="bottom"/>
          </w:tcPr>
          <w:p w14:paraId="01A35EE1" w14:textId="2C912592" w:rsidR="00E84ECB" w:rsidRPr="00604C75" w:rsidRDefault="00E84ECB" w:rsidP="00E84ECB">
            <w:pPr>
              <w:pStyle w:val="xl79"/>
              <w:pBdr>
                <w:left w:val="none" w:sz="0" w:space="0" w:color="auto"/>
                <w:bottom w:val="none" w:sz="0" w:space="0" w:color="auto"/>
                <w:right w:val="none" w:sz="0" w:space="0" w:color="auto"/>
              </w:pBdr>
              <w:tabs>
                <w:tab w:val="left" w:pos="0"/>
              </w:tabs>
              <w:spacing w:before="0" w:beforeAutospacing="0" w:after="0" w:afterAutospacing="0" w:line="221" w:lineRule="auto"/>
            </w:pPr>
            <w:r w:rsidRPr="00604C75">
              <w:rPr>
                <w:lang w:val="en-US"/>
              </w:rPr>
              <w:t xml:space="preserve">Over 5 </w:t>
            </w:r>
            <w:r w:rsidR="00332388">
              <w:rPr>
                <w:lang w:val="en-US"/>
              </w:rPr>
              <w:t>T</w:t>
            </w:r>
            <w:r w:rsidRPr="00604C75">
              <w:rPr>
                <w:lang w:val="en-US"/>
              </w:rPr>
              <w:t>imes</w:t>
            </w:r>
          </w:p>
        </w:tc>
        <w:tc>
          <w:tcPr>
            <w:tcW w:w="2559" w:type="dxa"/>
            <w:vAlign w:val="bottom"/>
          </w:tcPr>
          <w:p w14:paraId="737B8DFD" w14:textId="77777777" w:rsidR="00E84ECB" w:rsidRDefault="00E84ECB" w:rsidP="00E84ECB">
            <w:pPr>
              <w:jc w:val="right"/>
              <w:rPr>
                <w:color w:val="000000"/>
                <w:sz w:val="18"/>
                <w:szCs w:val="18"/>
              </w:rPr>
            </w:pPr>
            <w:r>
              <w:rPr>
                <w:color w:val="000000"/>
                <w:sz w:val="18"/>
                <w:szCs w:val="18"/>
              </w:rPr>
              <w:t>-</w:t>
            </w:r>
          </w:p>
        </w:tc>
        <w:tc>
          <w:tcPr>
            <w:tcW w:w="2316" w:type="dxa"/>
            <w:vAlign w:val="bottom"/>
          </w:tcPr>
          <w:p w14:paraId="66032236" w14:textId="77777777" w:rsidR="00E84ECB" w:rsidRDefault="00E84ECB" w:rsidP="00E84ECB">
            <w:pPr>
              <w:jc w:val="right"/>
              <w:rPr>
                <w:color w:val="000000"/>
                <w:sz w:val="18"/>
                <w:szCs w:val="18"/>
              </w:rPr>
            </w:pPr>
            <w:r>
              <w:rPr>
                <w:color w:val="000000"/>
                <w:sz w:val="18"/>
                <w:szCs w:val="18"/>
              </w:rPr>
              <w:t>-</w:t>
            </w:r>
          </w:p>
        </w:tc>
      </w:tr>
    </w:tbl>
    <w:p w14:paraId="594B1CE9" w14:textId="77777777" w:rsidR="00AA1AA6" w:rsidRDefault="00AA1AA6" w:rsidP="00507FD7">
      <w:pPr>
        <w:pStyle w:val="BodyTextIndent"/>
        <w:spacing w:after="0" w:line="216" w:lineRule="auto"/>
        <w:ind w:left="0"/>
        <w:jc w:val="both"/>
        <w:rPr>
          <w:sz w:val="20"/>
          <w:szCs w:val="20"/>
        </w:rPr>
      </w:pPr>
    </w:p>
    <w:p w14:paraId="0C2A86D1" w14:textId="77777777" w:rsidR="00224102" w:rsidRDefault="00224102">
      <w:pPr>
        <w:spacing w:after="200" w:line="276" w:lineRule="auto"/>
        <w:rPr>
          <w:sz w:val="20"/>
          <w:szCs w:val="20"/>
        </w:rPr>
      </w:pPr>
      <w:r>
        <w:rPr>
          <w:sz w:val="20"/>
          <w:szCs w:val="20"/>
        </w:rPr>
        <w:br w:type="page"/>
      </w:r>
    </w:p>
    <w:p w14:paraId="40B516BB" w14:textId="79CF3B00" w:rsidR="00224102" w:rsidRPr="00604C75" w:rsidRDefault="00B27B7B" w:rsidP="00224102">
      <w:pPr>
        <w:pStyle w:val="BodyTextIndent"/>
        <w:tabs>
          <w:tab w:val="left" w:pos="360"/>
        </w:tabs>
        <w:ind w:left="0" w:right="16"/>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7E35CAF6" w14:textId="56D2EB93" w:rsidR="00224102" w:rsidRPr="00604C75" w:rsidRDefault="00224102" w:rsidP="00224102">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70B8470F" w14:textId="77777777" w:rsidR="00224102" w:rsidRPr="00604C75" w:rsidRDefault="00224102" w:rsidP="00224102">
      <w:pPr>
        <w:pStyle w:val="BodyTextIndent"/>
        <w:spacing w:after="0" w:line="216" w:lineRule="auto"/>
        <w:ind w:left="0"/>
        <w:jc w:val="both"/>
        <w:rPr>
          <w:b/>
          <w:bCs/>
          <w:sz w:val="20"/>
          <w:szCs w:val="20"/>
        </w:rPr>
      </w:pPr>
    </w:p>
    <w:p w14:paraId="688B08DA" w14:textId="77777777" w:rsidR="00224102" w:rsidRPr="00604C75" w:rsidRDefault="00224102" w:rsidP="00224102">
      <w:pPr>
        <w:pStyle w:val="BodyTextIndent"/>
        <w:spacing w:after="0" w:line="216" w:lineRule="auto"/>
        <w:ind w:left="0"/>
        <w:jc w:val="both"/>
        <w:rPr>
          <w:b/>
          <w:bCs/>
          <w:sz w:val="20"/>
          <w:szCs w:val="20"/>
        </w:rPr>
      </w:pPr>
      <w:r w:rsidRPr="00604C75">
        <w:rPr>
          <w:b/>
          <w:bCs/>
          <w:sz w:val="20"/>
          <w:szCs w:val="20"/>
        </w:rPr>
        <w:t>e.        Explanations on loans (Continued)</w:t>
      </w:r>
    </w:p>
    <w:p w14:paraId="35B375A5" w14:textId="77777777" w:rsidR="00224102" w:rsidRDefault="00224102" w:rsidP="00AA1AA6">
      <w:pPr>
        <w:pStyle w:val="BodyTextIndent"/>
        <w:spacing w:after="0" w:line="216" w:lineRule="auto"/>
        <w:ind w:left="567" w:hanging="567"/>
        <w:jc w:val="both"/>
        <w:rPr>
          <w:sz w:val="20"/>
          <w:szCs w:val="20"/>
        </w:rPr>
      </w:pPr>
    </w:p>
    <w:p w14:paraId="31A0EDCA" w14:textId="596ED692" w:rsidR="00AA1AA6" w:rsidRPr="00604C75" w:rsidRDefault="00AA1AA6" w:rsidP="00AA1AA6">
      <w:pPr>
        <w:pStyle w:val="BodyTextIndent"/>
        <w:spacing w:after="0" w:line="216" w:lineRule="auto"/>
        <w:ind w:left="567" w:hanging="567"/>
        <w:jc w:val="both"/>
        <w:rPr>
          <w:sz w:val="20"/>
          <w:szCs w:val="20"/>
        </w:rPr>
      </w:pPr>
      <w:r w:rsidRPr="00604C75">
        <w:rPr>
          <w:sz w:val="20"/>
          <w:szCs w:val="20"/>
        </w:rPr>
        <w:t>2.</w:t>
      </w:r>
      <w:r w:rsidRPr="00604C75">
        <w:rPr>
          <w:sz w:val="20"/>
          <w:szCs w:val="20"/>
        </w:rPr>
        <w:tab/>
        <w:t>Information on the first and second group loans and other receivables including loans that have been restructured or rescheduled and other receivables</w:t>
      </w:r>
      <w:r>
        <w:rPr>
          <w:sz w:val="20"/>
          <w:szCs w:val="20"/>
        </w:rPr>
        <w:t xml:space="preserve"> (Continued)</w:t>
      </w:r>
    </w:p>
    <w:p w14:paraId="05CF1B61" w14:textId="77777777" w:rsidR="00AA1AA6" w:rsidRPr="00604C75" w:rsidRDefault="00AA1AA6" w:rsidP="006A0EEE">
      <w:pPr>
        <w:pStyle w:val="BodyTextIndent"/>
        <w:tabs>
          <w:tab w:val="left" w:pos="360"/>
        </w:tabs>
        <w:spacing w:line="120" w:lineRule="auto"/>
        <w:ind w:left="0" w:right="17"/>
        <w:rPr>
          <w:b/>
          <w:bCs/>
          <w:sz w:val="20"/>
          <w:szCs w:val="20"/>
        </w:rPr>
      </w:pPr>
    </w:p>
    <w:tbl>
      <w:tblPr>
        <w:tblW w:w="9738"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932"/>
        <w:gridCol w:w="2409"/>
        <w:gridCol w:w="2397"/>
      </w:tblGrid>
      <w:tr w:rsidR="00A64153" w:rsidRPr="00604C75" w14:paraId="39703ECC" w14:textId="77777777" w:rsidTr="00594498">
        <w:trPr>
          <w:trHeight w:val="253"/>
        </w:trPr>
        <w:tc>
          <w:tcPr>
            <w:tcW w:w="4932" w:type="dxa"/>
            <w:vAlign w:val="bottom"/>
          </w:tcPr>
          <w:p w14:paraId="755A062B" w14:textId="77777777" w:rsidR="00A64153" w:rsidRPr="00604C75" w:rsidRDefault="00A64153" w:rsidP="00F34363">
            <w:pPr>
              <w:pStyle w:val="xl79"/>
              <w:pBdr>
                <w:left w:val="none" w:sz="0" w:space="0" w:color="auto"/>
                <w:bottom w:val="none" w:sz="0" w:space="0" w:color="auto"/>
                <w:right w:val="none" w:sz="0" w:space="0" w:color="auto"/>
              </w:pBdr>
              <w:spacing w:before="0" w:beforeAutospacing="0" w:after="0" w:afterAutospacing="0" w:line="216" w:lineRule="auto"/>
              <w:rPr>
                <w:b/>
                <w:lang w:val="en-US"/>
              </w:rPr>
            </w:pPr>
            <w:r w:rsidRPr="00604C75">
              <w:rPr>
                <w:b/>
                <w:lang w:val="en-US"/>
              </w:rPr>
              <w:t>Time Extended Via the Amendment on Payment Plan</w:t>
            </w:r>
          </w:p>
        </w:tc>
        <w:tc>
          <w:tcPr>
            <w:tcW w:w="2409" w:type="dxa"/>
            <w:vAlign w:val="bottom"/>
          </w:tcPr>
          <w:p w14:paraId="5095D346" w14:textId="77777777" w:rsidR="00594498" w:rsidRDefault="00A64153" w:rsidP="00594498">
            <w:pPr>
              <w:spacing w:line="216" w:lineRule="auto"/>
              <w:ind w:right="51"/>
              <w:jc w:val="right"/>
              <w:rPr>
                <w:b/>
                <w:sz w:val="18"/>
                <w:szCs w:val="18"/>
              </w:rPr>
            </w:pPr>
            <w:r w:rsidRPr="00604C75">
              <w:rPr>
                <w:b/>
                <w:sz w:val="18"/>
                <w:szCs w:val="18"/>
              </w:rPr>
              <w:t xml:space="preserve">Standard Loans and </w:t>
            </w:r>
          </w:p>
          <w:p w14:paraId="645C3EA5" w14:textId="52EF3DFC" w:rsidR="00A64153" w:rsidRPr="00604C75" w:rsidRDefault="00A64153" w:rsidP="00594498">
            <w:pPr>
              <w:spacing w:line="216" w:lineRule="auto"/>
              <w:ind w:right="51"/>
              <w:jc w:val="right"/>
              <w:rPr>
                <w:b/>
                <w:sz w:val="18"/>
                <w:szCs w:val="18"/>
              </w:rPr>
            </w:pPr>
            <w:r w:rsidRPr="00604C75">
              <w:rPr>
                <w:b/>
                <w:sz w:val="18"/>
                <w:szCs w:val="18"/>
              </w:rPr>
              <w:t>Other</w:t>
            </w:r>
            <w:r w:rsidR="00594498">
              <w:rPr>
                <w:b/>
                <w:sz w:val="18"/>
                <w:szCs w:val="18"/>
              </w:rPr>
              <w:t xml:space="preserve"> </w:t>
            </w:r>
            <w:r w:rsidRPr="00604C75">
              <w:rPr>
                <w:b/>
                <w:sz w:val="18"/>
                <w:szCs w:val="18"/>
              </w:rPr>
              <w:t>Receivables</w:t>
            </w:r>
          </w:p>
        </w:tc>
        <w:tc>
          <w:tcPr>
            <w:tcW w:w="2397" w:type="dxa"/>
            <w:vAlign w:val="bottom"/>
          </w:tcPr>
          <w:p w14:paraId="41DC3F2B" w14:textId="77777777" w:rsidR="00A64153" w:rsidRPr="00604C75" w:rsidRDefault="00A64153" w:rsidP="00594498">
            <w:pPr>
              <w:spacing w:line="216" w:lineRule="auto"/>
              <w:ind w:right="28"/>
              <w:jc w:val="right"/>
              <w:rPr>
                <w:rFonts w:eastAsia="Arial Unicode MS"/>
                <w:b/>
                <w:sz w:val="18"/>
                <w:szCs w:val="18"/>
              </w:rPr>
            </w:pPr>
            <w:r w:rsidRPr="00604C75">
              <w:rPr>
                <w:b/>
                <w:sz w:val="18"/>
                <w:szCs w:val="18"/>
              </w:rPr>
              <w:t>Loans and Other Receivables Under Close Monitoring</w:t>
            </w:r>
          </w:p>
        </w:tc>
      </w:tr>
      <w:tr w:rsidR="00224102" w:rsidRPr="00604C75" w14:paraId="66531D79" w14:textId="77777777" w:rsidTr="00594498">
        <w:trPr>
          <w:cantSplit/>
          <w:trHeight w:val="253"/>
        </w:trPr>
        <w:tc>
          <w:tcPr>
            <w:tcW w:w="4932" w:type="dxa"/>
            <w:vAlign w:val="bottom"/>
          </w:tcPr>
          <w:p w14:paraId="2225DA59"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0 – 6 Month</w:t>
            </w:r>
          </w:p>
        </w:tc>
        <w:tc>
          <w:tcPr>
            <w:tcW w:w="2409" w:type="dxa"/>
            <w:vAlign w:val="bottom"/>
          </w:tcPr>
          <w:p w14:paraId="213651B0" w14:textId="3F10352B" w:rsidR="00224102" w:rsidRDefault="00224102" w:rsidP="00224102">
            <w:pPr>
              <w:jc w:val="right"/>
              <w:rPr>
                <w:sz w:val="18"/>
                <w:szCs w:val="18"/>
              </w:rPr>
            </w:pPr>
            <w:r>
              <w:rPr>
                <w:sz w:val="18"/>
                <w:szCs w:val="18"/>
              </w:rPr>
              <w:t xml:space="preserve">                            -   </w:t>
            </w:r>
          </w:p>
        </w:tc>
        <w:tc>
          <w:tcPr>
            <w:tcW w:w="2397" w:type="dxa"/>
            <w:vAlign w:val="bottom"/>
          </w:tcPr>
          <w:p w14:paraId="3BE8A01C" w14:textId="529F0DBD" w:rsidR="00224102" w:rsidRDefault="00224102" w:rsidP="00224102">
            <w:pPr>
              <w:jc w:val="right"/>
              <w:rPr>
                <w:sz w:val="18"/>
                <w:szCs w:val="18"/>
              </w:rPr>
            </w:pPr>
            <w:r>
              <w:rPr>
                <w:sz w:val="18"/>
                <w:szCs w:val="18"/>
              </w:rPr>
              <w:t xml:space="preserve">                  8,043 </w:t>
            </w:r>
          </w:p>
        </w:tc>
      </w:tr>
      <w:tr w:rsidR="00224102" w:rsidRPr="00604C75" w14:paraId="64ED3C8F" w14:textId="77777777" w:rsidTr="00594498">
        <w:trPr>
          <w:cantSplit/>
          <w:trHeight w:val="253"/>
        </w:trPr>
        <w:tc>
          <w:tcPr>
            <w:tcW w:w="4932" w:type="dxa"/>
            <w:vAlign w:val="bottom"/>
          </w:tcPr>
          <w:p w14:paraId="1D9E99DA"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6 Month – 12 Month</w:t>
            </w:r>
          </w:p>
        </w:tc>
        <w:tc>
          <w:tcPr>
            <w:tcW w:w="2409" w:type="dxa"/>
            <w:vAlign w:val="bottom"/>
          </w:tcPr>
          <w:p w14:paraId="68811370" w14:textId="15AF5ECF" w:rsidR="00224102" w:rsidRDefault="00224102" w:rsidP="00224102">
            <w:pPr>
              <w:jc w:val="right"/>
              <w:rPr>
                <w:sz w:val="18"/>
                <w:szCs w:val="18"/>
              </w:rPr>
            </w:pPr>
            <w:r>
              <w:rPr>
                <w:sz w:val="18"/>
                <w:szCs w:val="18"/>
              </w:rPr>
              <w:t xml:space="preserve">                            -   </w:t>
            </w:r>
          </w:p>
        </w:tc>
        <w:tc>
          <w:tcPr>
            <w:tcW w:w="2397" w:type="dxa"/>
            <w:vAlign w:val="bottom"/>
          </w:tcPr>
          <w:p w14:paraId="3AD3A853" w14:textId="1CA833E5" w:rsidR="00224102" w:rsidRDefault="00224102" w:rsidP="00224102">
            <w:pPr>
              <w:jc w:val="right"/>
              <w:rPr>
                <w:sz w:val="18"/>
                <w:szCs w:val="18"/>
              </w:rPr>
            </w:pPr>
            <w:r>
              <w:rPr>
                <w:sz w:val="18"/>
                <w:szCs w:val="18"/>
              </w:rPr>
              <w:t xml:space="preserve">                  6,302 </w:t>
            </w:r>
          </w:p>
        </w:tc>
      </w:tr>
      <w:tr w:rsidR="00224102" w:rsidRPr="00604C75" w14:paraId="2923B568" w14:textId="77777777" w:rsidTr="00594498">
        <w:trPr>
          <w:cantSplit/>
          <w:trHeight w:val="253"/>
        </w:trPr>
        <w:tc>
          <w:tcPr>
            <w:tcW w:w="4932" w:type="dxa"/>
            <w:vAlign w:val="bottom"/>
          </w:tcPr>
          <w:p w14:paraId="7C3933EE"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1 – 2 Years</w:t>
            </w:r>
          </w:p>
        </w:tc>
        <w:tc>
          <w:tcPr>
            <w:tcW w:w="2409" w:type="dxa"/>
            <w:vAlign w:val="bottom"/>
          </w:tcPr>
          <w:p w14:paraId="398A2693" w14:textId="33F98938" w:rsidR="00224102" w:rsidRDefault="00224102" w:rsidP="00224102">
            <w:pPr>
              <w:jc w:val="right"/>
              <w:rPr>
                <w:sz w:val="18"/>
                <w:szCs w:val="18"/>
              </w:rPr>
            </w:pPr>
            <w:r>
              <w:rPr>
                <w:sz w:val="18"/>
                <w:szCs w:val="18"/>
              </w:rPr>
              <w:t xml:space="preserve">                            47 </w:t>
            </w:r>
          </w:p>
        </w:tc>
        <w:tc>
          <w:tcPr>
            <w:tcW w:w="2397" w:type="dxa"/>
            <w:vAlign w:val="bottom"/>
          </w:tcPr>
          <w:p w14:paraId="03F6ABA6" w14:textId="59BD6BFC" w:rsidR="00224102" w:rsidRDefault="00224102" w:rsidP="00224102">
            <w:pPr>
              <w:jc w:val="right"/>
              <w:rPr>
                <w:sz w:val="18"/>
                <w:szCs w:val="18"/>
              </w:rPr>
            </w:pPr>
            <w:r>
              <w:rPr>
                <w:sz w:val="18"/>
                <w:szCs w:val="18"/>
              </w:rPr>
              <w:t xml:space="preserve">                41,779 </w:t>
            </w:r>
          </w:p>
        </w:tc>
      </w:tr>
      <w:tr w:rsidR="00224102" w:rsidRPr="00604C75" w14:paraId="78652DE4" w14:textId="77777777" w:rsidTr="00594498">
        <w:trPr>
          <w:cantSplit/>
          <w:trHeight w:val="253"/>
        </w:trPr>
        <w:tc>
          <w:tcPr>
            <w:tcW w:w="4932" w:type="dxa"/>
            <w:vAlign w:val="bottom"/>
          </w:tcPr>
          <w:p w14:paraId="59F30FCD"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2 – 5 Years</w:t>
            </w:r>
          </w:p>
        </w:tc>
        <w:tc>
          <w:tcPr>
            <w:tcW w:w="2409" w:type="dxa"/>
            <w:vAlign w:val="bottom"/>
          </w:tcPr>
          <w:p w14:paraId="5CB20E14" w14:textId="25A3CFB0" w:rsidR="00224102" w:rsidRDefault="00224102" w:rsidP="00224102">
            <w:pPr>
              <w:jc w:val="right"/>
              <w:rPr>
                <w:sz w:val="18"/>
                <w:szCs w:val="18"/>
              </w:rPr>
            </w:pPr>
            <w:r>
              <w:rPr>
                <w:sz w:val="18"/>
                <w:szCs w:val="18"/>
              </w:rPr>
              <w:t xml:space="preserve">                          708 </w:t>
            </w:r>
          </w:p>
        </w:tc>
        <w:tc>
          <w:tcPr>
            <w:tcW w:w="2397" w:type="dxa"/>
            <w:vAlign w:val="bottom"/>
          </w:tcPr>
          <w:p w14:paraId="35D2F09B" w14:textId="344919E7" w:rsidR="00224102" w:rsidRDefault="00224102" w:rsidP="00224102">
            <w:pPr>
              <w:jc w:val="right"/>
              <w:rPr>
                <w:color w:val="000000"/>
                <w:sz w:val="18"/>
                <w:szCs w:val="18"/>
              </w:rPr>
            </w:pPr>
            <w:r>
              <w:rPr>
                <w:color w:val="000000"/>
                <w:sz w:val="18"/>
                <w:szCs w:val="18"/>
              </w:rPr>
              <w:t xml:space="preserve">              202,635 </w:t>
            </w:r>
          </w:p>
        </w:tc>
      </w:tr>
      <w:tr w:rsidR="00224102" w:rsidRPr="00604C75" w14:paraId="0ED8C906" w14:textId="77777777" w:rsidTr="00594498">
        <w:trPr>
          <w:cantSplit/>
          <w:trHeight w:val="253"/>
        </w:trPr>
        <w:tc>
          <w:tcPr>
            <w:tcW w:w="4932" w:type="dxa"/>
            <w:vAlign w:val="bottom"/>
          </w:tcPr>
          <w:p w14:paraId="5C9E7DE3"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line="216" w:lineRule="auto"/>
              <w:rPr>
                <w:lang w:val="en-US"/>
              </w:rPr>
            </w:pPr>
            <w:r w:rsidRPr="00604C75">
              <w:rPr>
                <w:lang w:val="en-US"/>
              </w:rPr>
              <w:t>5 Years and Over</w:t>
            </w:r>
          </w:p>
        </w:tc>
        <w:tc>
          <w:tcPr>
            <w:tcW w:w="2409" w:type="dxa"/>
            <w:vAlign w:val="bottom"/>
          </w:tcPr>
          <w:p w14:paraId="47504342" w14:textId="339278A6" w:rsidR="00224102" w:rsidRDefault="00224102" w:rsidP="00224102">
            <w:pPr>
              <w:jc w:val="right"/>
              <w:rPr>
                <w:sz w:val="18"/>
                <w:szCs w:val="18"/>
              </w:rPr>
            </w:pPr>
            <w:r>
              <w:rPr>
                <w:sz w:val="18"/>
                <w:szCs w:val="18"/>
              </w:rPr>
              <w:t xml:space="preserve">                     27,357 </w:t>
            </w:r>
          </w:p>
        </w:tc>
        <w:tc>
          <w:tcPr>
            <w:tcW w:w="2397" w:type="dxa"/>
            <w:vAlign w:val="bottom"/>
          </w:tcPr>
          <w:p w14:paraId="6D3113FD" w14:textId="3896B727" w:rsidR="00224102" w:rsidRDefault="00224102" w:rsidP="00224102">
            <w:pPr>
              <w:jc w:val="right"/>
              <w:rPr>
                <w:sz w:val="18"/>
                <w:szCs w:val="18"/>
              </w:rPr>
            </w:pPr>
            <w:r>
              <w:rPr>
                <w:sz w:val="18"/>
                <w:szCs w:val="18"/>
              </w:rPr>
              <w:t xml:space="preserve">                44,822 </w:t>
            </w:r>
          </w:p>
        </w:tc>
      </w:tr>
    </w:tbl>
    <w:p w14:paraId="2DA4A540" w14:textId="77777777" w:rsidR="0044575F" w:rsidRPr="00604C75" w:rsidRDefault="0044575F" w:rsidP="006A0EEE">
      <w:pPr>
        <w:pStyle w:val="BodyTextIndent"/>
        <w:tabs>
          <w:tab w:val="left" w:pos="1701"/>
        </w:tabs>
        <w:spacing w:after="0"/>
        <w:ind w:left="0"/>
        <w:rPr>
          <w:sz w:val="20"/>
          <w:szCs w:val="20"/>
        </w:rPr>
      </w:pPr>
    </w:p>
    <w:p w14:paraId="20645953" w14:textId="77777777" w:rsidR="0044575F" w:rsidRPr="00604C75" w:rsidRDefault="0044575F" w:rsidP="006A0EEE">
      <w:pPr>
        <w:pStyle w:val="BodyTextIndent"/>
        <w:tabs>
          <w:tab w:val="left" w:pos="567"/>
        </w:tabs>
        <w:spacing w:after="0"/>
        <w:ind w:left="1701" w:hanging="1701"/>
        <w:rPr>
          <w:bCs/>
          <w:sz w:val="20"/>
          <w:szCs w:val="20"/>
        </w:rPr>
      </w:pPr>
      <w:r w:rsidRPr="00604C75">
        <w:rPr>
          <w:sz w:val="20"/>
          <w:szCs w:val="20"/>
        </w:rPr>
        <w:t>3.</w:t>
      </w:r>
      <w:r w:rsidRPr="00604C75">
        <w:rPr>
          <w:sz w:val="20"/>
          <w:szCs w:val="20"/>
        </w:rPr>
        <w:tab/>
      </w:r>
      <w:r w:rsidRPr="00604C75">
        <w:rPr>
          <w:bCs/>
          <w:sz w:val="20"/>
          <w:szCs w:val="20"/>
        </w:rPr>
        <w:t>Loans accord</w:t>
      </w:r>
      <w:r w:rsidR="00492FDF" w:rsidRPr="00604C75">
        <w:rPr>
          <w:bCs/>
          <w:sz w:val="20"/>
          <w:szCs w:val="20"/>
        </w:rPr>
        <w:t>ing to their maturity structure</w:t>
      </w:r>
    </w:p>
    <w:p w14:paraId="44C38D29" w14:textId="77777777" w:rsidR="004F6603" w:rsidRPr="00604C75" w:rsidRDefault="004F6603" w:rsidP="006A0EEE">
      <w:pPr>
        <w:pStyle w:val="BodyTextIndent"/>
        <w:tabs>
          <w:tab w:val="left" w:pos="567"/>
        </w:tabs>
        <w:spacing w:after="0"/>
        <w:ind w:left="1701" w:hanging="1701"/>
        <w:rPr>
          <w:sz w:val="20"/>
          <w:szCs w:val="20"/>
        </w:rPr>
      </w:pPr>
    </w:p>
    <w:tbl>
      <w:tblPr>
        <w:tblW w:w="975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0" w:type="dxa"/>
          <w:right w:w="0" w:type="dxa"/>
        </w:tblCellMar>
        <w:tblLook w:val="0000" w:firstRow="0" w:lastRow="0" w:firstColumn="0" w:lastColumn="0" w:noHBand="0" w:noVBand="0"/>
      </w:tblPr>
      <w:tblGrid>
        <w:gridCol w:w="2463"/>
        <w:gridCol w:w="1845"/>
        <w:gridCol w:w="1782"/>
        <w:gridCol w:w="1782"/>
        <w:gridCol w:w="1885"/>
      </w:tblGrid>
      <w:tr w:rsidR="004F6603" w:rsidRPr="00604C75" w14:paraId="7E39143E" w14:textId="77777777" w:rsidTr="00AD726D">
        <w:trPr>
          <w:trHeight w:val="355"/>
        </w:trPr>
        <w:tc>
          <w:tcPr>
            <w:tcW w:w="2463" w:type="dxa"/>
            <w:shd w:val="clear" w:color="auto" w:fill="FFFFFF"/>
            <w:vAlign w:val="bottom"/>
          </w:tcPr>
          <w:p w14:paraId="1D0B26BA" w14:textId="77777777" w:rsidR="004F6603" w:rsidRPr="00604C75" w:rsidRDefault="004F6603" w:rsidP="002313A1">
            <w:pPr>
              <w:tabs>
                <w:tab w:val="left" w:pos="0"/>
              </w:tabs>
              <w:spacing w:line="228" w:lineRule="auto"/>
              <w:rPr>
                <w:rFonts w:eastAsia="Arial Unicode MS"/>
                <w:sz w:val="18"/>
              </w:rPr>
            </w:pPr>
          </w:p>
        </w:tc>
        <w:tc>
          <w:tcPr>
            <w:tcW w:w="3627" w:type="dxa"/>
            <w:gridSpan w:val="2"/>
            <w:shd w:val="clear" w:color="auto" w:fill="FFFFFF"/>
            <w:vAlign w:val="bottom"/>
          </w:tcPr>
          <w:p w14:paraId="5B5602E8" w14:textId="77777777" w:rsidR="00594498" w:rsidRDefault="004F6603" w:rsidP="002313A1">
            <w:pPr>
              <w:tabs>
                <w:tab w:val="left" w:pos="0"/>
              </w:tabs>
              <w:spacing w:line="228" w:lineRule="auto"/>
              <w:jc w:val="center"/>
              <w:rPr>
                <w:b/>
                <w:sz w:val="18"/>
                <w:lang w:eastAsia="tr-TR"/>
              </w:rPr>
            </w:pPr>
            <w:proofErr w:type="spellStart"/>
            <w:r w:rsidRPr="00604C75">
              <w:rPr>
                <w:b/>
                <w:sz w:val="18"/>
                <w:lang w:eastAsia="tr-TR"/>
              </w:rPr>
              <w:t>Standart</w:t>
            </w:r>
            <w:proofErr w:type="spellEnd"/>
            <w:r w:rsidRPr="00604C75">
              <w:rPr>
                <w:b/>
                <w:sz w:val="18"/>
                <w:lang w:eastAsia="tr-TR"/>
              </w:rPr>
              <w:t xml:space="preserve"> </w:t>
            </w:r>
            <w:r w:rsidR="002313A1" w:rsidRPr="00604C75">
              <w:rPr>
                <w:b/>
                <w:sz w:val="18"/>
                <w:lang w:eastAsia="tr-TR"/>
              </w:rPr>
              <w:t>Loans and Other</w:t>
            </w:r>
          </w:p>
          <w:p w14:paraId="4FD97653" w14:textId="0DBA74F9" w:rsidR="004F6603" w:rsidRPr="00604C75" w:rsidRDefault="002313A1" w:rsidP="002313A1">
            <w:pPr>
              <w:tabs>
                <w:tab w:val="left" w:pos="0"/>
              </w:tabs>
              <w:spacing w:line="228" w:lineRule="auto"/>
              <w:jc w:val="center"/>
              <w:rPr>
                <w:rFonts w:eastAsia="Arial Unicode MS"/>
                <w:b/>
                <w:sz w:val="18"/>
                <w:szCs w:val="18"/>
              </w:rPr>
            </w:pPr>
            <w:r w:rsidRPr="00604C75">
              <w:rPr>
                <w:b/>
                <w:sz w:val="18"/>
                <w:lang w:eastAsia="tr-TR"/>
              </w:rPr>
              <w:t xml:space="preserve"> Receivables</w:t>
            </w:r>
          </w:p>
        </w:tc>
        <w:tc>
          <w:tcPr>
            <w:tcW w:w="3667" w:type="dxa"/>
            <w:gridSpan w:val="2"/>
            <w:shd w:val="clear" w:color="auto" w:fill="FFFFFF"/>
            <w:vAlign w:val="bottom"/>
          </w:tcPr>
          <w:p w14:paraId="45261D25" w14:textId="77777777" w:rsidR="00594498" w:rsidRDefault="001F4B43" w:rsidP="002313A1">
            <w:pPr>
              <w:tabs>
                <w:tab w:val="left" w:pos="0"/>
              </w:tabs>
              <w:spacing w:line="228" w:lineRule="auto"/>
              <w:jc w:val="center"/>
              <w:rPr>
                <w:b/>
                <w:sz w:val="18"/>
                <w:szCs w:val="18"/>
              </w:rPr>
            </w:pPr>
            <w:r w:rsidRPr="00604C75">
              <w:rPr>
                <w:b/>
                <w:sz w:val="18"/>
                <w:szCs w:val="18"/>
              </w:rPr>
              <w:t xml:space="preserve">Loans and Other Receivables Under </w:t>
            </w:r>
          </w:p>
          <w:p w14:paraId="649D364D" w14:textId="6238E01E" w:rsidR="004F6603" w:rsidRPr="00604C75" w:rsidRDefault="001F4B43" w:rsidP="002313A1">
            <w:pPr>
              <w:tabs>
                <w:tab w:val="left" w:pos="0"/>
              </w:tabs>
              <w:spacing w:line="228" w:lineRule="auto"/>
              <w:jc w:val="center"/>
              <w:rPr>
                <w:rFonts w:eastAsia="Arial Unicode MS"/>
                <w:b/>
                <w:sz w:val="18"/>
                <w:szCs w:val="18"/>
              </w:rPr>
            </w:pPr>
            <w:r w:rsidRPr="00604C75">
              <w:rPr>
                <w:b/>
                <w:sz w:val="18"/>
                <w:szCs w:val="18"/>
              </w:rPr>
              <w:t>Close Monitoring</w:t>
            </w:r>
          </w:p>
        </w:tc>
      </w:tr>
      <w:tr w:rsidR="004F6603" w:rsidRPr="00604C75" w14:paraId="4B2A2BC2" w14:textId="77777777" w:rsidTr="00AD726D">
        <w:trPr>
          <w:trHeight w:val="684"/>
        </w:trPr>
        <w:tc>
          <w:tcPr>
            <w:tcW w:w="2463" w:type="dxa"/>
            <w:shd w:val="clear" w:color="auto" w:fill="FFFFFF"/>
            <w:vAlign w:val="bottom"/>
          </w:tcPr>
          <w:p w14:paraId="6ECA7A6B" w14:textId="77777777" w:rsidR="004F6603" w:rsidRPr="00604C75" w:rsidRDefault="004F6603" w:rsidP="002313A1">
            <w:pPr>
              <w:tabs>
                <w:tab w:val="left" w:pos="0"/>
              </w:tabs>
              <w:spacing w:line="228" w:lineRule="auto"/>
              <w:rPr>
                <w:rFonts w:eastAsia="Arial Unicode MS"/>
                <w:sz w:val="18"/>
              </w:rPr>
            </w:pPr>
          </w:p>
        </w:tc>
        <w:tc>
          <w:tcPr>
            <w:tcW w:w="1845" w:type="dxa"/>
            <w:shd w:val="clear" w:color="auto" w:fill="FFFFFF"/>
            <w:vAlign w:val="bottom"/>
          </w:tcPr>
          <w:p w14:paraId="68C74A4A" w14:textId="77777777" w:rsidR="004F6603" w:rsidRPr="00604C75" w:rsidRDefault="002313A1" w:rsidP="002313A1">
            <w:pPr>
              <w:tabs>
                <w:tab w:val="left" w:pos="0"/>
              </w:tabs>
              <w:spacing w:line="228" w:lineRule="auto"/>
              <w:ind w:right="11"/>
              <w:jc w:val="right"/>
              <w:rPr>
                <w:rFonts w:eastAsia="Arial Unicode MS"/>
                <w:b/>
                <w:sz w:val="18"/>
                <w:szCs w:val="18"/>
              </w:rPr>
            </w:pPr>
            <w:r w:rsidRPr="00604C75">
              <w:rPr>
                <w:rFonts w:eastAsia="Arial Unicode MS"/>
                <w:b/>
                <w:sz w:val="18"/>
                <w:szCs w:val="18"/>
              </w:rPr>
              <w:t>Loans and Other Receivables</w:t>
            </w:r>
          </w:p>
        </w:tc>
        <w:tc>
          <w:tcPr>
            <w:tcW w:w="1782" w:type="dxa"/>
            <w:shd w:val="clear" w:color="auto" w:fill="FFFFFF"/>
            <w:vAlign w:val="bottom"/>
          </w:tcPr>
          <w:p w14:paraId="4079D69E" w14:textId="77777777" w:rsidR="004F6603" w:rsidRPr="00604C75" w:rsidRDefault="001F4B43" w:rsidP="002313A1">
            <w:pPr>
              <w:pStyle w:val="BodyTextIndent"/>
              <w:tabs>
                <w:tab w:val="left" w:pos="0"/>
              </w:tabs>
              <w:ind w:right="11"/>
              <w:jc w:val="right"/>
              <w:rPr>
                <w:sz w:val="18"/>
                <w:szCs w:val="18"/>
              </w:rPr>
            </w:pPr>
            <w:r w:rsidRPr="00604C75">
              <w:rPr>
                <w:b/>
                <w:sz w:val="18"/>
                <w:szCs w:val="18"/>
              </w:rPr>
              <w:t>Restructured or Rescheduled</w:t>
            </w:r>
          </w:p>
        </w:tc>
        <w:tc>
          <w:tcPr>
            <w:tcW w:w="1782" w:type="dxa"/>
            <w:shd w:val="clear" w:color="auto" w:fill="FFFFFF"/>
            <w:vAlign w:val="bottom"/>
          </w:tcPr>
          <w:p w14:paraId="1D2B4E28" w14:textId="77777777" w:rsidR="004F6603" w:rsidRPr="00604C75" w:rsidRDefault="001F4B43" w:rsidP="002313A1">
            <w:pPr>
              <w:tabs>
                <w:tab w:val="left" w:pos="0"/>
              </w:tabs>
              <w:spacing w:line="228" w:lineRule="auto"/>
              <w:ind w:right="11"/>
              <w:jc w:val="right"/>
              <w:rPr>
                <w:b/>
                <w:sz w:val="18"/>
                <w:lang w:eastAsia="tr-TR"/>
              </w:rPr>
            </w:pPr>
            <w:r w:rsidRPr="00604C75">
              <w:rPr>
                <w:b/>
                <w:sz w:val="18"/>
                <w:szCs w:val="18"/>
              </w:rPr>
              <w:t>Loans and Other Receivables</w:t>
            </w:r>
          </w:p>
        </w:tc>
        <w:tc>
          <w:tcPr>
            <w:tcW w:w="1885" w:type="dxa"/>
            <w:shd w:val="clear" w:color="auto" w:fill="FFFFFF"/>
            <w:vAlign w:val="bottom"/>
          </w:tcPr>
          <w:p w14:paraId="21621772" w14:textId="77777777" w:rsidR="004F6603" w:rsidRPr="00604C75" w:rsidRDefault="001F4B43" w:rsidP="002313A1">
            <w:pPr>
              <w:pStyle w:val="BodyTextIndent"/>
              <w:tabs>
                <w:tab w:val="left" w:pos="0"/>
              </w:tabs>
              <w:ind w:right="11"/>
              <w:jc w:val="right"/>
              <w:rPr>
                <w:sz w:val="18"/>
                <w:szCs w:val="18"/>
              </w:rPr>
            </w:pPr>
            <w:r w:rsidRPr="00604C75">
              <w:rPr>
                <w:b/>
                <w:sz w:val="18"/>
                <w:szCs w:val="18"/>
              </w:rPr>
              <w:t>Restructured or       Rescheduled</w:t>
            </w:r>
          </w:p>
        </w:tc>
      </w:tr>
      <w:tr w:rsidR="00224102" w:rsidRPr="00604C75" w14:paraId="4832B83D" w14:textId="77777777" w:rsidTr="00AD726D">
        <w:trPr>
          <w:trHeight w:val="200"/>
        </w:trPr>
        <w:tc>
          <w:tcPr>
            <w:tcW w:w="2463" w:type="dxa"/>
            <w:shd w:val="clear" w:color="auto" w:fill="FFFFFF"/>
            <w:vAlign w:val="bottom"/>
          </w:tcPr>
          <w:p w14:paraId="2BDD85EC" w14:textId="77777777" w:rsidR="00224102" w:rsidRPr="00604C75" w:rsidRDefault="00224102" w:rsidP="00224102">
            <w:pPr>
              <w:rPr>
                <w:rFonts w:eastAsia="Arial Unicode MS"/>
                <w:b/>
                <w:bCs/>
                <w:sz w:val="18"/>
                <w:lang w:eastAsia="tr-TR"/>
              </w:rPr>
            </w:pPr>
            <w:r w:rsidRPr="00604C75">
              <w:rPr>
                <w:rFonts w:eastAsia="Arial Unicode MS"/>
                <w:b/>
                <w:bCs/>
                <w:sz w:val="18"/>
                <w:lang w:eastAsia="tr-TR"/>
              </w:rPr>
              <w:t>Short-term Loans and Other</w:t>
            </w:r>
          </w:p>
          <w:p w14:paraId="6C677D68" w14:textId="77777777" w:rsidR="00224102" w:rsidRPr="00604C75" w:rsidRDefault="00224102" w:rsidP="00224102">
            <w:pPr>
              <w:tabs>
                <w:tab w:val="left" w:pos="0"/>
              </w:tabs>
              <w:spacing w:line="228" w:lineRule="auto"/>
              <w:rPr>
                <w:rFonts w:eastAsia="Arial Unicode MS"/>
                <w:b/>
                <w:sz w:val="18"/>
                <w:szCs w:val="18"/>
              </w:rPr>
            </w:pPr>
            <w:r w:rsidRPr="00604C75">
              <w:rPr>
                <w:rFonts w:eastAsia="Arial Unicode MS"/>
                <w:b/>
                <w:bCs/>
                <w:sz w:val="18"/>
                <w:lang w:eastAsia="tr-TR"/>
              </w:rPr>
              <w:t>Receivables</w:t>
            </w:r>
          </w:p>
        </w:tc>
        <w:tc>
          <w:tcPr>
            <w:tcW w:w="1845" w:type="dxa"/>
            <w:shd w:val="clear" w:color="auto" w:fill="FFFFFF"/>
            <w:vAlign w:val="bottom"/>
          </w:tcPr>
          <w:p w14:paraId="5942F458" w14:textId="7FEF6076" w:rsidR="00224102" w:rsidRPr="003E5443" w:rsidRDefault="00224102" w:rsidP="00224102">
            <w:pPr>
              <w:jc w:val="right"/>
              <w:rPr>
                <w:b/>
                <w:sz w:val="18"/>
                <w:szCs w:val="18"/>
              </w:rPr>
            </w:pPr>
            <w:r w:rsidRPr="003E5443">
              <w:rPr>
                <w:b/>
                <w:sz w:val="18"/>
                <w:szCs w:val="18"/>
              </w:rPr>
              <w:t>3,584,068</w:t>
            </w:r>
          </w:p>
        </w:tc>
        <w:tc>
          <w:tcPr>
            <w:tcW w:w="1782" w:type="dxa"/>
            <w:shd w:val="clear" w:color="auto" w:fill="FFFFFF"/>
            <w:vAlign w:val="bottom"/>
          </w:tcPr>
          <w:p w14:paraId="78A4ADA8" w14:textId="4CB73D41" w:rsidR="00224102" w:rsidRPr="003E5443" w:rsidRDefault="00224102" w:rsidP="00224102">
            <w:pPr>
              <w:jc w:val="right"/>
              <w:rPr>
                <w:b/>
                <w:sz w:val="18"/>
                <w:szCs w:val="18"/>
              </w:rPr>
            </w:pPr>
            <w:r w:rsidRPr="003E5443">
              <w:rPr>
                <w:b/>
                <w:sz w:val="18"/>
                <w:szCs w:val="18"/>
              </w:rPr>
              <w:t>28,112</w:t>
            </w:r>
          </w:p>
        </w:tc>
        <w:tc>
          <w:tcPr>
            <w:tcW w:w="1782" w:type="dxa"/>
            <w:shd w:val="clear" w:color="auto" w:fill="FFFFFF"/>
            <w:vAlign w:val="bottom"/>
          </w:tcPr>
          <w:p w14:paraId="60A6F021" w14:textId="52A51F52" w:rsidR="00224102" w:rsidRPr="003E5443" w:rsidRDefault="00224102" w:rsidP="00224102">
            <w:pPr>
              <w:jc w:val="right"/>
              <w:rPr>
                <w:b/>
                <w:sz w:val="18"/>
                <w:szCs w:val="18"/>
              </w:rPr>
            </w:pPr>
            <w:r w:rsidRPr="003E5443">
              <w:rPr>
                <w:b/>
                <w:sz w:val="18"/>
                <w:szCs w:val="18"/>
              </w:rPr>
              <w:t>63,462</w:t>
            </w:r>
          </w:p>
        </w:tc>
        <w:tc>
          <w:tcPr>
            <w:tcW w:w="1885" w:type="dxa"/>
            <w:shd w:val="clear" w:color="auto" w:fill="FFFFFF"/>
            <w:vAlign w:val="bottom"/>
          </w:tcPr>
          <w:p w14:paraId="7F57039E" w14:textId="1E28BBD2" w:rsidR="00224102" w:rsidRPr="003E5443" w:rsidRDefault="00224102" w:rsidP="00224102">
            <w:pPr>
              <w:jc w:val="right"/>
              <w:rPr>
                <w:b/>
                <w:sz w:val="18"/>
                <w:szCs w:val="18"/>
              </w:rPr>
            </w:pPr>
            <w:r w:rsidRPr="003E5443">
              <w:rPr>
                <w:b/>
                <w:sz w:val="18"/>
                <w:szCs w:val="18"/>
              </w:rPr>
              <w:t>-</w:t>
            </w:r>
          </w:p>
        </w:tc>
      </w:tr>
      <w:tr w:rsidR="00224102" w:rsidRPr="00604C75" w14:paraId="10F4079E" w14:textId="77777777" w:rsidTr="00AD726D">
        <w:trPr>
          <w:trHeight w:val="193"/>
        </w:trPr>
        <w:tc>
          <w:tcPr>
            <w:tcW w:w="2463" w:type="dxa"/>
            <w:shd w:val="clear" w:color="auto" w:fill="FFFFFF"/>
            <w:vAlign w:val="bottom"/>
          </w:tcPr>
          <w:p w14:paraId="5CD2CF1B" w14:textId="77777777" w:rsidR="00224102" w:rsidRPr="00604C75" w:rsidRDefault="00224102" w:rsidP="00224102">
            <w:pPr>
              <w:tabs>
                <w:tab w:val="left" w:pos="0"/>
              </w:tabs>
              <w:spacing w:line="228" w:lineRule="auto"/>
              <w:ind w:firstLine="168"/>
              <w:rPr>
                <w:rFonts w:eastAsia="Arial Unicode MS"/>
                <w:sz w:val="18"/>
                <w:szCs w:val="18"/>
              </w:rPr>
            </w:pPr>
            <w:r w:rsidRPr="00604C75">
              <w:rPr>
                <w:sz w:val="18"/>
                <w:szCs w:val="18"/>
              </w:rPr>
              <w:t>Non-</w:t>
            </w:r>
            <w:proofErr w:type="spellStart"/>
            <w:r w:rsidRPr="00604C75">
              <w:rPr>
                <w:sz w:val="18"/>
                <w:szCs w:val="18"/>
              </w:rPr>
              <w:t>specialised</w:t>
            </w:r>
            <w:proofErr w:type="spellEnd"/>
            <w:r w:rsidRPr="00604C75">
              <w:rPr>
                <w:sz w:val="18"/>
                <w:szCs w:val="18"/>
              </w:rPr>
              <w:t xml:space="preserve"> Loans</w:t>
            </w:r>
          </w:p>
        </w:tc>
        <w:tc>
          <w:tcPr>
            <w:tcW w:w="1845" w:type="dxa"/>
            <w:shd w:val="clear" w:color="auto" w:fill="FFFFFF"/>
            <w:vAlign w:val="bottom"/>
          </w:tcPr>
          <w:p w14:paraId="1E601B92" w14:textId="523F0DB9" w:rsidR="00224102" w:rsidRDefault="00224102" w:rsidP="00224102">
            <w:pPr>
              <w:jc w:val="right"/>
              <w:rPr>
                <w:sz w:val="18"/>
                <w:szCs w:val="18"/>
              </w:rPr>
            </w:pPr>
            <w:r>
              <w:rPr>
                <w:sz w:val="18"/>
                <w:szCs w:val="18"/>
              </w:rPr>
              <w:t>3,584,068</w:t>
            </w:r>
          </w:p>
        </w:tc>
        <w:tc>
          <w:tcPr>
            <w:tcW w:w="1782" w:type="dxa"/>
            <w:shd w:val="clear" w:color="auto" w:fill="FFFFFF"/>
            <w:vAlign w:val="bottom"/>
          </w:tcPr>
          <w:p w14:paraId="680E84EE" w14:textId="50C9A4C4" w:rsidR="00224102" w:rsidRDefault="00224102" w:rsidP="00224102">
            <w:pPr>
              <w:jc w:val="right"/>
              <w:rPr>
                <w:sz w:val="18"/>
                <w:szCs w:val="18"/>
              </w:rPr>
            </w:pPr>
            <w:r>
              <w:rPr>
                <w:sz w:val="18"/>
                <w:szCs w:val="18"/>
              </w:rPr>
              <w:t>28,112</w:t>
            </w:r>
          </w:p>
        </w:tc>
        <w:tc>
          <w:tcPr>
            <w:tcW w:w="1782" w:type="dxa"/>
            <w:shd w:val="clear" w:color="auto" w:fill="FFFFFF"/>
            <w:vAlign w:val="bottom"/>
          </w:tcPr>
          <w:p w14:paraId="100E96F3" w14:textId="65B41701" w:rsidR="00224102" w:rsidRDefault="00224102" w:rsidP="00224102">
            <w:pPr>
              <w:jc w:val="right"/>
              <w:rPr>
                <w:sz w:val="18"/>
                <w:szCs w:val="18"/>
              </w:rPr>
            </w:pPr>
            <w:r>
              <w:rPr>
                <w:sz w:val="18"/>
                <w:szCs w:val="18"/>
              </w:rPr>
              <w:t>63,462</w:t>
            </w:r>
          </w:p>
        </w:tc>
        <w:tc>
          <w:tcPr>
            <w:tcW w:w="1885" w:type="dxa"/>
            <w:shd w:val="clear" w:color="auto" w:fill="FFFFFF"/>
            <w:vAlign w:val="bottom"/>
          </w:tcPr>
          <w:p w14:paraId="1AC19EC1" w14:textId="56A17AE1" w:rsidR="00224102" w:rsidRDefault="00224102" w:rsidP="00224102">
            <w:pPr>
              <w:jc w:val="right"/>
              <w:rPr>
                <w:sz w:val="18"/>
                <w:szCs w:val="18"/>
              </w:rPr>
            </w:pPr>
            <w:r>
              <w:rPr>
                <w:sz w:val="18"/>
                <w:szCs w:val="18"/>
              </w:rPr>
              <w:t>-</w:t>
            </w:r>
          </w:p>
        </w:tc>
      </w:tr>
      <w:tr w:rsidR="00224102" w:rsidRPr="00604C75" w14:paraId="4ED5883D" w14:textId="77777777" w:rsidTr="00AD726D">
        <w:trPr>
          <w:trHeight w:val="185"/>
        </w:trPr>
        <w:tc>
          <w:tcPr>
            <w:tcW w:w="2463" w:type="dxa"/>
            <w:shd w:val="clear" w:color="auto" w:fill="FFFFFF"/>
            <w:vAlign w:val="bottom"/>
          </w:tcPr>
          <w:p w14:paraId="7CD4E008" w14:textId="77777777" w:rsidR="00224102" w:rsidRPr="00604C75" w:rsidRDefault="00224102" w:rsidP="00224102">
            <w:pPr>
              <w:tabs>
                <w:tab w:val="left" w:pos="0"/>
              </w:tabs>
              <w:spacing w:line="228" w:lineRule="auto"/>
              <w:ind w:firstLine="168"/>
              <w:rPr>
                <w:rFonts w:eastAsia="Arial Unicode MS"/>
                <w:sz w:val="18"/>
                <w:szCs w:val="18"/>
              </w:rPr>
            </w:pPr>
            <w:proofErr w:type="spellStart"/>
            <w:r w:rsidRPr="00604C75">
              <w:rPr>
                <w:sz w:val="18"/>
                <w:szCs w:val="18"/>
              </w:rPr>
              <w:t>Specialised</w:t>
            </w:r>
            <w:proofErr w:type="spellEnd"/>
            <w:r w:rsidRPr="00604C75">
              <w:rPr>
                <w:sz w:val="18"/>
                <w:szCs w:val="18"/>
              </w:rPr>
              <w:t xml:space="preserve"> Loans</w:t>
            </w:r>
          </w:p>
        </w:tc>
        <w:tc>
          <w:tcPr>
            <w:tcW w:w="1845" w:type="dxa"/>
            <w:shd w:val="clear" w:color="auto" w:fill="FFFFFF"/>
            <w:vAlign w:val="bottom"/>
          </w:tcPr>
          <w:p w14:paraId="0DA3967C" w14:textId="272F0DC6" w:rsidR="00224102" w:rsidRPr="00692926" w:rsidRDefault="00224102" w:rsidP="00224102">
            <w:pPr>
              <w:jc w:val="right"/>
              <w:rPr>
                <w:sz w:val="18"/>
                <w:szCs w:val="18"/>
              </w:rPr>
            </w:pPr>
            <w:r>
              <w:rPr>
                <w:sz w:val="18"/>
                <w:szCs w:val="18"/>
              </w:rPr>
              <w:t>-</w:t>
            </w:r>
          </w:p>
        </w:tc>
        <w:tc>
          <w:tcPr>
            <w:tcW w:w="1782" w:type="dxa"/>
            <w:shd w:val="clear" w:color="auto" w:fill="FFFFFF"/>
            <w:vAlign w:val="bottom"/>
          </w:tcPr>
          <w:p w14:paraId="57D0C506" w14:textId="7BB14B13" w:rsidR="00224102" w:rsidRPr="00692926" w:rsidRDefault="00224102" w:rsidP="00224102">
            <w:pPr>
              <w:jc w:val="right"/>
              <w:rPr>
                <w:sz w:val="18"/>
                <w:szCs w:val="18"/>
              </w:rPr>
            </w:pPr>
            <w:r>
              <w:rPr>
                <w:sz w:val="18"/>
                <w:szCs w:val="18"/>
              </w:rPr>
              <w:t>-</w:t>
            </w:r>
          </w:p>
        </w:tc>
        <w:tc>
          <w:tcPr>
            <w:tcW w:w="1782" w:type="dxa"/>
            <w:shd w:val="clear" w:color="auto" w:fill="FFFFFF"/>
            <w:vAlign w:val="bottom"/>
          </w:tcPr>
          <w:p w14:paraId="7F2356EF" w14:textId="3EA1D7E7" w:rsidR="00224102" w:rsidRPr="00692926" w:rsidRDefault="00224102" w:rsidP="00224102">
            <w:pPr>
              <w:jc w:val="right"/>
              <w:rPr>
                <w:sz w:val="18"/>
                <w:szCs w:val="18"/>
              </w:rPr>
            </w:pPr>
            <w:r>
              <w:rPr>
                <w:sz w:val="18"/>
                <w:szCs w:val="18"/>
              </w:rPr>
              <w:t>-</w:t>
            </w:r>
          </w:p>
        </w:tc>
        <w:tc>
          <w:tcPr>
            <w:tcW w:w="1885" w:type="dxa"/>
            <w:shd w:val="clear" w:color="auto" w:fill="FFFFFF"/>
            <w:vAlign w:val="bottom"/>
          </w:tcPr>
          <w:p w14:paraId="09CB1446" w14:textId="17D39A2E" w:rsidR="00224102" w:rsidRPr="00692926" w:rsidRDefault="00224102" w:rsidP="00224102">
            <w:pPr>
              <w:jc w:val="right"/>
              <w:rPr>
                <w:sz w:val="18"/>
                <w:szCs w:val="18"/>
              </w:rPr>
            </w:pPr>
            <w:r>
              <w:rPr>
                <w:sz w:val="18"/>
                <w:szCs w:val="18"/>
              </w:rPr>
              <w:t>-</w:t>
            </w:r>
          </w:p>
        </w:tc>
      </w:tr>
      <w:tr w:rsidR="00224102" w:rsidRPr="00604C75" w14:paraId="7865EAF4" w14:textId="77777777" w:rsidTr="00AD726D">
        <w:trPr>
          <w:trHeight w:val="210"/>
        </w:trPr>
        <w:tc>
          <w:tcPr>
            <w:tcW w:w="2463" w:type="dxa"/>
            <w:shd w:val="clear" w:color="auto" w:fill="FFFFFF"/>
            <w:vAlign w:val="bottom"/>
          </w:tcPr>
          <w:p w14:paraId="70D85896" w14:textId="77777777" w:rsidR="00224102" w:rsidRPr="00604C75" w:rsidRDefault="00224102" w:rsidP="00224102">
            <w:pPr>
              <w:tabs>
                <w:tab w:val="left" w:pos="0"/>
              </w:tabs>
              <w:spacing w:line="228" w:lineRule="auto"/>
              <w:ind w:firstLine="168"/>
              <w:rPr>
                <w:rFonts w:eastAsia="Arial Unicode MS"/>
                <w:sz w:val="18"/>
                <w:szCs w:val="18"/>
              </w:rPr>
            </w:pPr>
            <w:r w:rsidRPr="00604C75">
              <w:rPr>
                <w:sz w:val="18"/>
                <w:szCs w:val="18"/>
              </w:rPr>
              <w:t>Other Receivables</w:t>
            </w:r>
          </w:p>
        </w:tc>
        <w:tc>
          <w:tcPr>
            <w:tcW w:w="1845" w:type="dxa"/>
            <w:shd w:val="clear" w:color="auto" w:fill="FFFFFF"/>
            <w:vAlign w:val="bottom"/>
          </w:tcPr>
          <w:p w14:paraId="36CB56D2" w14:textId="2D788689" w:rsidR="00224102" w:rsidRPr="00692926" w:rsidRDefault="00224102" w:rsidP="00224102">
            <w:pPr>
              <w:jc w:val="right"/>
              <w:rPr>
                <w:sz w:val="18"/>
                <w:szCs w:val="18"/>
              </w:rPr>
            </w:pPr>
            <w:r>
              <w:rPr>
                <w:sz w:val="18"/>
                <w:szCs w:val="18"/>
              </w:rPr>
              <w:t>-</w:t>
            </w:r>
          </w:p>
        </w:tc>
        <w:tc>
          <w:tcPr>
            <w:tcW w:w="1782" w:type="dxa"/>
            <w:shd w:val="clear" w:color="auto" w:fill="FFFFFF"/>
            <w:vAlign w:val="bottom"/>
          </w:tcPr>
          <w:p w14:paraId="31CE9885" w14:textId="0E73FC50" w:rsidR="00224102" w:rsidRPr="00692926" w:rsidRDefault="00224102" w:rsidP="00224102">
            <w:pPr>
              <w:jc w:val="right"/>
              <w:rPr>
                <w:sz w:val="18"/>
                <w:szCs w:val="18"/>
              </w:rPr>
            </w:pPr>
            <w:r>
              <w:rPr>
                <w:sz w:val="18"/>
                <w:szCs w:val="18"/>
              </w:rPr>
              <w:t>-</w:t>
            </w:r>
          </w:p>
        </w:tc>
        <w:tc>
          <w:tcPr>
            <w:tcW w:w="1782" w:type="dxa"/>
            <w:shd w:val="clear" w:color="auto" w:fill="FFFFFF"/>
            <w:vAlign w:val="bottom"/>
          </w:tcPr>
          <w:p w14:paraId="5DBE052D" w14:textId="19484379" w:rsidR="00224102" w:rsidRPr="00692926" w:rsidRDefault="00224102" w:rsidP="00224102">
            <w:pPr>
              <w:jc w:val="right"/>
              <w:rPr>
                <w:sz w:val="18"/>
                <w:szCs w:val="18"/>
              </w:rPr>
            </w:pPr>
            <w:r>
              <w:rPr>
                <w:sz w:val="18"/>
                <w:szCs w:val="18"/>
              </w:rPr>
              <w:t>-</w:t>
            </w:r>
          </w:p>
        </w:tc>
        <w:tc>
          <w:tcPr>
            <w:tcW w:w="1885" w:type="dxa"/>
            <w:shd w:val="clear" w:color="auto" w:fill="FFFFFF"/>
            <w:vAlign w:val="bottom"/>
          </w:tcPr>
          <w:p w14:paraId="5DD96789" w14:textId="3CD9E531" w:rsidR="00224102" w:rsidRPr="00692926" w:rsidRDefault="00224102" w:rsidP="00224102">
            <w:pPr>
              <w:jc w:val="right"/>
              <w:rPr>
                <w:sz w:val="18"/>
                <w:szCs w:val="18"/>
              </w:rPr>
            </w:pPr>
            <w:r>
              <w:rPr>
                <w:sz w:val="18"/>
                <w:szCs w:val="18"/>
              </w:rPr>
              <w:t>-</w:t>
            </w:r>
          </w:p>
        </w:tc>
      </w:tr>
      <w:tr w:rsidR="00224102" w:rsidRPr="00604C75" w14:paraId="02CFE99C" w14:textId="77777777" w:rsidTr="00AD726D">
        <w:trPr>
          <w:trHeight w:val="205"/>
        </w:trPr>
        <w:tc>
          <w:tcPr>
            <w:tcW w:w="2463" w:type="dxa"/>
            <w:shd w:val="clear" w:color="auto" w:fill="FFFFFF"/>
            <w:vAlign w:val="bottom"/>
          </w:tcPr>
          <w:p w14:paraId="78F379F7" w14:textId="77777777" w:rsidR="00224102" w:rsidRPr="00604C75" w:rsidRDefault="00224102" w:rsidP="00224102">
            <w:pPr>
              <w:tabs>
                <w:tab w:val="left" w:pos="0"/>
              </w:tabs>
              <w:spacing w:line="228" w:lineRule="auto"/>
              <w:rPr>
                <w:rFonts w:eastAsia="Arial Unicode MS"/>
                <w:sz w:val="18"/>
                <w:szCs w:val="18"/>
              </w:rPr>
            </w:pPr>
            <w:r w:rsidRPr="00604C75">
              <w:rPr>
                <w:rFonts w:eastAsia="Arial Unicode MS"/>
                <w:b/>
                <w:bCs/>
                <w:sz w:val="18"/>
                <w:lang w:eastAsia="tr-TR"/>
              </w:rPr>
              <w:t>Medium and Long-Term Loans and Other Receivables</w:t>
            </w:r>
          </w:p>
        </w:tc>
        <w:tc>
          <w:tcPr>
            <w:tcW w:w="1845" w:type="dxa"/>
            <w:shd w:val="clear" w:color="auto" w:fill="FFFFFF"/>
            <w:vAlign w:val="bottom"/>
          </w:tcPr>
          <w:p w14:paraId="2F9AE527" w14:textId="6DA284E2" w:rsidR="00224102" w:rsidRPr="003E5443" w:rsidRDefault="00224102" w:rsidP="00224102">
            <w:pPr>
              <w:jc w:val="right"/>
              <w:rPr>
                <w:b/>
                <w:sz w:val="18"/>
                <w:szCs w:val="18"/>
              </w:rPr>
            </w:pPr>
            <w:r w:rsidRPr="003E5443">
              <w:rPr>
                <w:b/>
                <w:sz w:val="18"/>
                <w:szCs w:val="18"/>
              </w:rPr>
              <w:t>4,987,182</w:t>
            </w:r>
          </w:p>
        </w:tc>
        <w:tc>
          <w:tcPr>
            <w:tcW w:w="1782" w:type="dxa"/>
            <w:shd w:val="clear" w:color="auto" w:fill="FFFFFF"/>
            <w:vAlign w:val="bottom"/>
          </w:tcPr>
          <w:p w14:paraId="6455DCB6" w14:textId="77CE1DF2" w:rsidR="00224102" w:rsidRPr="003E5443" w:rsidRDefault="00224102" w:rsidP="00224102">
            <w:pPr>
              <w:jc w:val="right"/>
              <w:rPr>
                <w:b/>
                <w:sz w:val="18"/>
                <w:szCs w:val="18"/>
              </w:rPr>
            </w:pPr>
            <w:r w:rsidRPr="003E5443">
              <w:rPr>
                <w:b/>
                <w:sz w:val="18"/>
                <w:szCs w:val="18"/>
              </w:rPr>
              <w:t>-</w:t>
            </w:r>
          </w:p>
        </w:tc>
        <w:tc>
          <w:tcPr>
            <w:tcW w:w="1782" w:type="dxa"/>
            <w:shd w:val="clear" w:color="auto" w:fill="FFFFFF"/>
            <w:vAlign w:val="bottom"/>
          </w:tcPr>
          <w:p w14:paraId="4D012043" w14:textId="29A07CFE" w:rsidR="00224102" w:rsidRPr="003E5443" w:rsidRDefault="00224102" w:rsidP="00224102">
            <w:pPr>
              <w:jc w:val="right"/>
              <w:rPr>
                <w:b/>
                <w:sz w:val="18"/>
                <w:szCs w:val="18"/>
              </w:rPr>
            </w:pPr>
            <w:r w:rsidRPr="003E5443">
              <w:rPr>
                <w:b/>
                <w:sz w:val="18"/>
                <w:szCs w:val="18"/>
              </w:rPr>
              <w:t>103,416</w:t>
            </w:r>
          </w:p>
        </w:tc>
        <w:tc>
          <w:tcPr>
            <w:tcW w:w="1885" w:type="dxa"/>
            <w:shd w:val="clear" w:color="auto" w:fill="FFFFFF"/>
            <w:vAlign w:val="bottom"/>
          </w:tcPr>
          <w:p w14:paraId="3F3F84A1" w14:textId="3627D2C2" w:rsidR="00224102" w:rsidRPr="003E5443" w:rsidRDefault="00224102" w:rsidP="00224102">
            <w:pPr>
              <w:jc w:val="right"/>
              <w:rPr>
                <w:b/>
                <w:sz w:val="18"/>
                <w:szCs w:val="18"/>
              </w:rPr>
            </w:pPr>
            <w:r w:rsidRPr="003E5443">
              <w:rPr>
                <w:b/>
                <w:sz w:val="18"/>
                <w:szCs w:val="18"/>
              </w:rPr>
              <w:t>303,581</w:t>
            </w:r>
          </w:p>
        </w:tc>
      </w:tr>
      <w:tr w:rsidR="00224102" w:rsidRPr="00604C75" w14:paraId="531EC32B" w14:textId="77777777" w:rsidTr="00AD726D">
        <w:trPr>
          <w:trHeight w:val="193"/>
        </w:trPr>
        <w:tc>
          <w:tcPr>
            <w:tcW w:w="2463" w:type="dxa"/>
            <w:shd w:val="clear" w:color="auto" w:fill="FFFFFF"/>
            <w:vAlign w:val="bottom"/>
          </w:tcPr>
          <w:p w14:paraId="7D41C655" w14:textId="77777777" w:rsidR="00224102" w:rsidRPr="00604C75" w:rsidRDefault="00224102" w:rsidP="00224102">
            <w:pPr>
              <w:tabs>
                <w:tab w:val="left" w:pos="0"/>
              </w:tabs>
              <w:spacing w:line="228" w:lineRule="auto"/>
              <w:ind w:firstLine="196"/>
              <w:rPr>
                <w:sz w:val="18"/>
                <w:lang w:eastAsia="tr-TR"/>
              </w:rPr>
            </w:pPr>
            <w:r w:rsidRPr="00604C75">
              <w:rPr>
                <w:sz w:val="18"/>
                <w:szCs w:val="18"/>
              </w:rPr>
              <w:t>Non-</w:t>
            </w:r>
            <w:proofErr w:type="spellStart"/>
            <w:r w:rsidRPr="00604C75">
              <w:rPr>
                <w:sz w:val="18"/>
                <w:szCs w:val="18"/>
              </w:rPr>
              <w:t>specialised</w:t>
            </w:r>
            <w:proofErr w:type="spellEnd"/>
            <w:r w:rsidRPr="00604C75">
              <w:rPr>
                <w:sz w:val="18"/>
                <w:szCs w:val="18"/>
              </w:rPr>
              <w:t xml:space="preserve"> Loans</w:t>
            </w:r>
          </w:p>
        </w:tc>
        <w:tc>
          <w:tcPr>
            <w:tcW w:w="1845" w:type="dxa"/>
            <w:shd w:val="clear" w:color="auto" w:fill="FFFFFF"/>
            <w:vAlign w:val="bottom"/>
          </w:tcPr>
          <w:p w14:paraId="5F62A1B7" w14:textId="47CF9F75" w:rsidR="00224102" w:rsidRDefault="00224102" w:rsidP="00224102">
            <w:pPr>
              <w:jc w:val="right"/>
              <w:rPr>
                <w:sz w:val="18"/>
                <w:szCs w:val="18"/>
              </w:rPr>
            </w:pPr>
            <w:r>
              <w:rPr>
                <w:sz w:val="18"/>
                <w:szCs w:val="18"/>
              </w:rPr>
              <w:t>4,987,182</w:t>
            </w:r>
          </w:p>
        </w:tc>
        <w:tc>
          <w:tcPr>
            <w:tcW w:w="1782" w:type="dxa"/>
            <w:shd w:val="clear" w:color="auto" w:fill="FFFFFF"/>
            <w:vAlign w:val="bottom"/>
          </w:tcPr>
          <w:p w14:paraId="65E2DD8B" w14:textId="42221DA2" w:rsidR="00224102" w:rsidRDefault="00224102" w:rsidP="00224102">
            <w:pPr>
              <w:jc w:val="right"/>
              <w:rPr>
                <w:sz w:val="18"/>
                <w:szCs w:val="18"/>
              </w:rPr>
            </w:pPr>
            <w:r>
              <w:rPr>
                <w:sz w:val="18"/>
                <w:szCs w:val="18"/>
              </w:rPr>
              <w:t>-</w:t>
            </w:r>
          </w:p>
        </w:tc>
        <w:tc>
          <w:tcPr>
            <w:tcW w:w="1782" w:type="dxa"/>
            <w:shd w:val="clear" w:color="auto" w:fill="FFFFFF"/>
            <w:vAlign w:val="bottom"/>
          </w:tcPr>
          <w:p w14:paraId="4B5A0532" w14:textId="3A452C16" w:rsidR="00224102" w:rsidRDefault="00224102" w:rsidP="00224102">
            <w:pPr>
              <w:jc w:val="right"/>
              <w:rPr>
                <w:sz w:val="18"/>
                <w:szCs w:val="18"/>
              </w:rPr>
            </w:pPr>
            <w:r>
              <w:rPr>
                <w:sz w:val="18"/>
                <w:szCs w:val="18"/>
              </w:rPr>
              <w:t>103,416</w:t>
            </w:r>
          </w:p>
        </w:tc>
        <w:tc>
          <w:tcPr>
            <w:tcW w:w="1885" w:type="dxa"/>
            <w:shd w:val="clear" w:color="auto" w:fill="FFFFFF"/>
            <w:vAlign w:val="bottom"/>
          </w:tcPr>
          <w:p w14:paraId="578637FD" w14:textId="7C78ECDB" w:rsidR="00224102" w:rsidRDefault="00224102" w:rsidP="00224102">
            <w:pPr>
              <w:jc w:val="right"/>
              <w:rPr>
                <w:sz w:val="18"/>
                <w:szCs w:val="18"/>
              </w:rPr>
            </w:pPr>
            <w:r>
              <w:rPr>
                <w:sz w:val="18"/>
                <w:szCs w:val="18"/>
              </w:rPr>
              <w:t>303,581</w:t>
            </w:r>
          </w:p>
        </w:tc>
      </w:tr>
      <w:tr w:rsidR="00224102" w:rsidRPr="00604C75" w14:paraId="3C5DB1DA" w14:textId="77777777" w:rsidTr="00AD726D">
        <w:trPr>
          <w:trHeight w:val="193"/>
        </w:trPr>
        <w:tc>
          <w:tcPr>
            <w:tcW w:w="2463" w:type="dxa"/>
            <w:shd w:val="clear" w:color="auto" w:fill="FFFFFF"/>
            <w:vAlign w:val="bottom"/>
          </w:tcPr>
          <w:p w14:paraId="5E3235CA" w14:textId="77777777" w:rsidR="00224102" w:rsidRPr="00604C75" w:rsidRDefault="00224102" w:rsidP="00224102">
            <w:pPr>
              <w:tabs>
                <w:tab w:val="left" w:pos="0"/>
              </w:tabs>
              <w:spacing w:line="228" w:lineRule="auto"/>
              <w:ind w:firstLine="196"/>
              <w:rPr>
                <w:sz w:val="18"/>
                <w:lang w:eastAsia="tr-TR"/>
              </w:rPr>
            </w:pPr>
            <w:proofErr w:type="spellStart"/>
            <w:r w:rsidRPr="00604C75">
              <w:rPr>
                <w:sz w:val="18"/>
                <w:szCs w:val="18"/>
              </w:rPr>
              <w:t>Specialised</w:t>
            </w:r>
            <w:proofErr w:type="spellEnd"/>
            <w:r w:rsidRPr="00604C75">
              <w:rPr>
                <w:sz w:val="18"/>
                <w:szCs w:val="18"/>
              </w:rPr>
              <w:t xml:space="preserve"> Loans</w:t>
            </w:r>
          </w:p>
        </w:tc>
        <w:tc>
          <w:tcPr>
            <w:tcW w:w="1845" w:type="dxa"/>
            <w:shd w:val="clear" w:color="auto" w:fill="FFFFFF"/>
            <w:vAlign w:val="bottom"/>
          </w:tcPr>
          <w:p w14:paraId="4746792C" w14:textId="5D304184" w:rsidR="00224102" w:rsidRPr="00692926" w:rsidRDefault="00224102" w:rsidP="00224102">
            <w:pPr>
              <w:jc w:val="right"/>
              <w:rPr>
                <w:sz w:val="18"/>
                <w:szCs w:val="18"/>
              </w:rPr>
            </w:pPr>
            <w:r>
              <w:rPr>
                <w:sz w:val="18"/>
                <w:szCs w:val="18"/>
              </w:rPr>
              <w:t>-</w:t>
            </w:r>
          </w:p>
        </w:tc>
        <w:tc>
          <w:tcPr>
            <w:tcW w:w="1782" w:type="dxa"/>
            <w:shd w:val="clear" w:color="auto" w:fill="FFFFFF"/>
            <w:vAlign w:val="bottom"/>
          </w:tcPr>
          <w:p w14:paraId="75A3714F" w14:textId="1A63C58C" w:rsidR="00224102" w:rsidRPr="00692926" w:rsidRDefault="00224102" w:rsidP="00224102">
            <w:pPr>
              <w:jc w:val="right"/>
              <w:rPr>
                <w:sz w:val="18"/>
                <w:szCs w:val="18"/>
              </w:rPr>
            </w:pPr>
            <w:r>
              <w:rPr>
                <w:sz w:val="18"/>
                <w:szCs w:val="18"/>
              </w:rPr>
              <w:t>-</w:t>
            </w:r>
          </w:p>
        </w:tc>
        <w:tc>
          <w:tcPr>
            <w:tcW w:w="1782" w:type="dxa"/>
            <w:shd w:val="clear" w:color="auto" w:fill="FFFFFF"/>
            <w:vAlign w:val="bottom"/>
          </w:tcPr>
          <w:p w14:paraId="1A3EEC39" w14:textId="52F06C67" w:rsidR="00224102" w:rsidRPr="00692926" w:rsidRDefault="00224102" w:rsidP="00224102">
            <w:pPr>
              <w:jc w:val="right"/>
              <w:rPr>
                <w:sz w:val="18"/>
                <w:szCs w:val="18"/>
              </w:rPr>
            </w:pPr>
            <w:r>
              <w:rPr>
                <w:sz w:val="18"/>
                <w:szCs w:val="18"/>
              </w:rPr>
              <w:t>-</w:t>
            </w:r>
          </w:p>
        </w:tc>
        <w:tc>
          <w:tcPr>
            <w:tcW w:w="1885" w:type="dxa"/>
            <w:shd w:val="clear" w:color="auto" w:fill="FFFFFF"/>
            <w:vAlign w:val="bottom"/>
          </w:tcPr>
          <w:p w14:paraId="7AF8F862" w14:textId="5C2995CA" w:rsidR="00224102" w:rsidRPr="00692926" w:rsidRDefault="00224102" w:rsidP="00224102">
            <w:pPr>
              <w:jc w:val="right"/>
              <w:rPr>
                <w:sz w:val="18"/>
                <w:szCs w:val="18"/>
              </w:rPr>
            </w:pPr>
            <w:r>
              <w:rPr>
                <w:sz w:val="18"/>
                <w:szCs w:val="18"/>
              </w:rPr>
              <w:t>-</w:t>
            </w:r>
          </w:p>
        </w:tc>
      </w:tr>
      <w:tr w:rsidR="00224102" w:rsidRPr="00604C75" w14:paraId="71FE2453" w14:textId="77777777" w:rsidTr="00AD726D">
        <w:trPr>
          <w:trHeight w:val="193"/>
        </w:trPr>
        <w:tc>
          <w:tcPr>
            <w:tcW w:w="2463" w:type="dxa"/>
            <w:shd w:val="clear" w:color="auto" w:fill="FFFFFF"/>
            <w:vAlign w:val="bottom"/>
          </w:tcPr>
          <w:p w14:paraId="717CC18C" w14:textId="77777777" w:rsidR="00224102" w:rsidRPr="00604C75" w:rsidRDefault="00224102" w:rsidP="00224102">
            <w:pPr>
              <w:tabs>
                <w:tab w:val="left" w:pos="0"/>
              </w:tabs>
              <w:spacing w:line="228" w:lineRule="auto"/>
              <w:ind w:firstLine="196"/>
              <w:rPr>
                <w:sz w:val="18"/>
                <w:lang w:eastAsia="tr-TR"/>
              </w:rPr>
            </w:pPr>
            <w:r w:rsidRPr="00604C75">
              <w:rPr>
                <w:sz w:val="18"/>
                <w:szCs w:val="18"/>
              </w:rPr>
              <w:t>Other Receivables</w:t>
            </w:r>
          </w:p>
        </w:tc>
        <w:tc>
          <w:tcPr>
            <w:tcW w:w="1845" w:type="dxa"/>
            <w:shd w:val="clear" w:color="auto" w:fill="FFFFFF"/>
            <w:vAlign w:val="bottom"/>
          </w:tcPr>
          <w:p w14:paraId="5A1A1164" w14:textId="1C7C0B4F" w:rsidR="00224102" w:rsidRPr="00692926" w:rsidRDefault="00224102" w:rsidP="00224102">
            <w:pPr>
              <w:jc w:val="right"/>
              <w:rPr>
                <w:sz w:val="18"/>
                <w:szCs w:val="18"/>
              </w:rPr>
            </w:pPr>
            <w:r>
              <w:rPr>
                <w:sz w:val="18"/>
                <w:szCs w:val="18"/>
              </w:rPr>
              <w:t>-</w:t>
            </w:r>
          </w:p>
        </w:tc>
        <w:tc>
          <w:tcPr>
            <w:tcW w:w="1782" w:type="dxa"/>
            <w:shd w:val="clear" w:color="auto" w:fill="FFFFFF"/>
            <w:vAlign w:val="bottom"/>
          </w:tcPr>
          <w:p w14:paraId="351A1B25" w14:textId="42A35F7B" w:rsidR="00224102" w:rsidRPr="00692926" w:rsidRDefault="00224102" w:rsidP="00224102">
            <w:pPr>
              <w:jc w:val="right"/>
              <w:rPr>
                <w:sz w:val="18"/>
                <w:szCs w:val="18"/>
              </w:rPr>
            </w:pPr>
            <w:r>
              <w:rPr>
                <w:sz w:val="18"/>
                <w:szCs w:val="18"/>
              </w:rPr>
              <w:t>-</w:t>
            </w:r>
          </w:p>
        </w:tc>
        <w:tc>
          <w:tcPr>
            <w:tcW w:w="1782" w:type="dxa"/>
            <w:shd w:val="clear" w:color="auto" w:fill="FFFFFF"/>
            <w:vAlign w:val="bottom"/>
          </w:tcPr>
          <w:p w14:paraId="459030E9" w14:textId="67CDC56C" w:rsidR="00224102" w:rsidRPr="00692926" w:rsidRDefault="00224102" w:rsidP="00224102">
            <w:pPr>
              <w:jc w:val="right"/>
              <w:rPr>
                <w:sz w:val="18"/>
                <w:szCs w:val="18"/>
              </w:rPr>
            </w:pPr>
            <w:r>
              <w:rPr>
                <w:sz w:val="18"/>
                <w:szCs w:val="18"/>
              </w:rPr>
              <w:t>-</w:t>
            </w:r>
          </w:p>
        </w:tc>
        <w:tc>
          <w:tcPr>
            <w:tcW w:w="1885" w:type="dxa"/>
            <w:shd w:val="clear" w:color="auto" w:fill="FFFFFF"/>
            <w:vAlign w:val="bottom"/>
          </w:tcPr>
          <w:p w14:paraId="47B125A6" w14:textId="2D9032EF" w:rsidR="00224102" w:rsidRPr="00692926" w:rsidRDefault="00224102" w:rsidP="00224102">
            <w:pPr>
              <w:jc w:val="right"/>
              <w:rPr>
                <w:sz w:val="18"/>
                <w:szCs w:val="18"/>
              </w:rPr>
            </w:pPr>
            <w:r>
              <w:rPr>
                <w:sz w:val="18"/>
                <w:szCs w:val="18"/>
              </w:rPr>
              <w:t>-</w:t>
            </w:r>
          </w:p>
        </w:tc>
      </w:tr>
      <w:tr w:rsidR="00224102" w:rsidRPr="00604C75" w14:paraId="7D2CD82B" w14:textId="77777777" w:rsidTr="00AD726D">
        <w:trPr>
          <w:trHeight w:val="154"/>
        </w:trPr>
        <w:tc>
          <w:tcPr>
            <w:tcW w:w="2463" w:type="dxa"/>
            <w:shd w:val="clear" w:color="auto" w:fill="FFFFFF"/>
            <w:vAlign w:val="bottom"/>
          </w:tcPr>
          <w:p w14:paraId="3DC467E2" w14:textId="77777777" w:rsidR="00224102" w:rsidRPr="00604C75" w:rsidRDefault="00224102" w:rsidP="00224102">
            <w:pPr>
              <w:tabs>
                <w:tab w:val="left" w:pos="0"/>
              </w:tabs>
              <w:spacing w:line="228" w:lineRule="auto"/>
              <w:rPr>
                <w:b/>
                <w:sz w:val="18"/>
              </w:rPr>
            </w:pPr>
            <w:r w:rsidRPr="00604C75">
              <w:rPr>
                <w:b/>
                <w:sz w:val="18"/>
              </w:rPr>
              <w:t>Total</w:t>
            </w:r>
          </w:p>
        </w:tc>
        <w:tc>
          <w:tcPr>
            <w:tcW w:w="1845" w:type="dxa"/>
            <w:shd w:val="clear" w:color="auto" w:fill="FFFFFF"/>
            <w:vAlign w:val="bottom"/>
          </w:tcPr>
          <w:p w14:paraId="32D219F3" w14:textId="3ABBF743" w:rsidR="00224102" w:rsidRPr="006C0CD0" w:rsidRDefault="00224102" w:rsidP="00224102">
            <w:pPr>
              <w:jc w:val="right"/>
              <w:rPr>
                <w:b/>
                <w:sz w:val="18"/>
                <w:szCs w:val="18"/>
              </w:rPr>
            </w:pPr>
            <w:r w:rsidRPr="006C0CD0">
              <w:rPr>
                <w:b/>
                <w:sz w:val="18"/>
                <w:szCs w:val="18"/>
              </w:rPr>
              <w:t>8,571,250</w:t>
            </w:r>
          </w:p>
        </w:tc>
        <w:tc>
          <w:tcPr>
            <w:tcW w:w="1782" w:type="dxa"/>
            <w:shd w:val="clear" w:color="auto" w:fill="FFFFFF"/>
            <w:vAlign w:val="bottom"/>
          </w:tcPr>
          <w:p w14:paraId="413A58BE" w14:textId="0499B479" w:rsidR="00224102" w:rsidRPr="006C0CD0" w:rsidRDefault="00224102" w:rsidP="00224102">
            <w:pPr>
              <w:jc w:val="right"/>
              <w:rPr>
                <w:b/>
                <w:sz w:val="18"/>
                <w:szCs w:val="18"/>
              </w:rPr>
            </w:pPr>
            <w:r w:rsidRPr="006C0CD0">
              <w:rPr>
                <w:b/>
                <w:sz w:val="18"/>
                <w:szCs w:val="18"/>
              </w:rPr>
              <w:t>28,112</w:t>
            </w:r>
          </w:p>
        </w:tc>
        <w:tc>
          <w:tcPr>
            <w:tcW w:w="1782" w:type="dxa"/>
            <w:shd w:val="clear" w:color="auto" w:fill="FFFFFF"/>
            <w:vAlign w:val="bottom"/>
          </w:tcPr>
          <w:p w14:paraId="766B4637" w14:textId="6AF72F34" w:rsidR="00224102" w:rsidRPr="006C0CD0" w:rsidRDefault="00224102" w:rsidP="00224102">
            <w:pPr>
              <w:jc w:val="right"/>
              <w:rPr>
                <w:b/>
                <w:sz w:val="18"/>
                <w:szCs w:val="18"/>
              </w:rPr>
            </w:pPr>
            <w:r w:rsidRPr="006C0CD0">
              <w:rPr>
                <w:b/>
                <w:sz w:val="18"/>
                <w:szCs w:val="18"/>
              </w:rPr>
              <w:t>166,878</w:t>
            </w:r>
          </w:p>
        </w:tc>
        <w:tc>
          <w:tcPr>
            <w:tcW w:w="1885" w:type="dxa"/>
            <w:shd w:val="clear" w:color="auto" w:fill="FFFFFF"/>
            <w:vAlign w:val="bottom"/>
          </w:tcPr>
          <w:p w14:paraId="0C7199FB" w14:textId="0D9C091D" w:rsidR="00224102" w:rsidRPr="006C0CD0" w:rsidRDefault="00224102" w:rsidP="00224102">
            <w:pPr>
              <w:jc w:val="right"/>
              <w:rPr>
                <w:b/>
                <w:sz w:val="18"/>
                <w:szCs w:val="18"/>
              </w:rPr>
            </w:pPr>
            <w:r w:rsidRPr="006C0CD0">
              <w:rPr>
                <w:b/>
                <w:sz w:val="18"/>
                <w:szCs w:val="18"/>
              </w:rPr>
              <w:t>303,581</w:t>
            </w:r>
          </w:p>
        </w:tc>
      </w:tr>
    </w:tbl>
    <w:p w14:paraId="3C6DED58" w14:textId="77777777" w:rsidR="0044575F" w:rsidRPr="00604C75" w:rsidRDefault="0044575F" w:rsidP="006A0EEE">
      <w:pPr>
        <w:pStyle w:val="BodyTextIndent"/>
        <w:tabs>
          <w:tab w:val="left" w:pos="1701"/>
        </w:tabs>
        <w:spacing w:after="0"/>
        <w:ind w:left="1701" w:hanging="1701"/>
        <w:rPr>
          <w:sz w:val="16"/>
          <w:szCs w:val="16"/>
        </w:rPr>
      </w:pPr>
    </w:p>
    <w:p w14:paraId="60372F65" w14:textId="03B5F3C8" w:rsidR="00823383" w:rsidRPr="00604C75" w:rsidRDefault="00B27B7B" w:rsidP="0032757D">
      <w:pPr>
        <w:pStyle w:val="BodyTextIndent"/>
        <w:pageBreakBefore/>
        <w:tabs>
          <w:tab w:val="left" w:pos="360"/>
        </w:tabs>
        <w:ind w:left="357" w:right="17" w:hanging="357"/>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40221B25" w14:textId="5EA88085" w:rsidR="00FE2440" w:rsidRPr="00604C75" w:rsidRDefault="00FE2440" w:rsidP="00FE2440">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77783208" w14:textId="77777777" w:rsidR="00FE2440" w:rsidRPr="00604C75" w:rsidRDefault="00FE2440" w:rsidP="00FE2440">
      <w:pPr>
        <w:pStyle w:val="BodyTextIndent"/>
        <w:spacing w:after="0" w:line="216" w:lineRule="auto"/>
        <w:ind w:left="0"/>
        <w:jc w:val="both"/>
        <w:rPr>
          <w:b/>
          <w:bCs/>
          <w:sz w:val="20"/>
          <w:szCs w:val="20"/>
        </w:rPr>
      </w:pPr>
    </w:p>
    <w:p w14:paraId="592443B5" w14:textId="77777777" w:rsidR="00FE2440" w:rsidRPr="00604C75" w:rsidRDefault="00FE2440" w:rsidP="00FE2440">
      <w:pPr>
        <w:pStyle w:val="BodyTextIndent"/>
        <w:spacing w:after="0" w:line="216" w:lineRule="auto"/>
        <w:ind w:left="0"/>
        <w:jc w:val="both"/>
        <w:rPr>
          <w:b/>
          <w:bCs/>
          <w:sz w:val="20"/>
          <w:szCs w:val="20"/>
        </w:rPr>
      </w:pPr>
      <w:r w:rsidRPr="00604C75">
        <w:rPr>
          <w:b/>
          <w:bCs/>
          <w:sz w:val="20"/>
          <w:szCs w:val="20"/>
        </w:rPr>
        <w:t>e.        Explanations on loans (Continued)</w:t>
      </w:r>
    </w:p>
    <w:p w14:paraId="5F4658AF" w14:textId="77777777" w:rsidR="00FE2440" w:rsidRPr="00604C75" w:rsidRDefault="00FE2440" w:rsidP="0056582E">
      <w:pPr>
        <w:pStyle w:val="BodyTextIndent"/>
        <w:spacing w:after="0" w:line="120" w:lineRule="auto"/>
        <w:ind w:left="0"/>
        <w:jc w:val="both"/>
        <w:rPr>
          <w:b/>
          <w:sz w:val="20"/>
          <w:szCs w:val="20"/>
        </w:rPr>
      </w:pPr>
    </w:p>
    <w:p w14:paraId="28C51AED" w14:textId="77777777" w:rsidR="00FE2440" w:rsidRPr="00604C75" w:rsidRDefault="00FE2440" w:rsidP="00FE2440">
      <w:pPr>
        <w:pStyle w:val="BodyTextIndent"/>
        <w:tabs>
          <w:tab w:val="left" w:pos="851"/>
        </w:tabs>
        <w:spacing w:after="0" w:line="120" w:lineRule="auto"/>
        <w:ind w:left="0"/>
        <w:jc w:val="both"/>
        <w:rPr>
          <w:b/>
          <w:sz w:val="20"/>
          <w:szCs w:val="20"/>
        </w:rPr>
      </w:pPr>
    </w:p>
    <w:p w14:paraId="2CA6B869" w14:textId="77777777" w:rsidR="0044575F" w:rsidRPr="00604C75" w:rsidRDefault="0044575F" w:rsidP="00FE2440">
      <w:pPr>
        <w:pStyle w:val="BodyTextIndent"/>
        <w:tabs>
          <w:tab w:val="left" w:pos="567"/>
          <w:tab w:val="left" w:pos="851"/>
        </w:tabs>
        <w:spacing w:after="0"/>
        <w:ind w:left="1701" w:right="16" w:hanging="1701"/>
        <w:rPr>
          <w:sz w:val="20"/>
          <w:szCs w:val="20"/>
        </w:rPr>
      </w:pPr>
      <w:r w:rsidRPr="00604C75">
        <w:rPr>
          <w:sz w:val="20"/>
          <w:szCs w:val="20"/>
        </w:rPr>
        <w:t>4.</w:t>
      </w:r>
      <w:r w:rsidRPr="00604C75">
        <w:rPr>
          <w:sz w:val="20"/>
          <w:szCs w:val="20"/>
        </w:rPr>
        <w:tab/>
      </w:r>
      <w:r w:rsidRPr="00604C75">
        <w:rPr>
          <w:bCs/>
          <w:noProof/>
          <w:sz w:val="20"/>
          <w:szCs w:val="20"/>
        </w:rPr>
        <w:t>Information on consumer loans, individual credit cards, personnel loans and personnel cre</w:t>
      </w:r>
      <w:r w:rsidR="00FE2440" w:rsidRPr="00604C75">
        <w:rPr>
          <w:bCs/>
          <w:noProof/>
          <w:sz w:val="20"/>
          <w:szCs w:val="20"/>
        </w:rPr>
        <w:t>dit cards</w:t>
      </w:r>
    </w:p>
    <w:p w14:paraId="12FD6479" w14:textId="77777777" w:rsidR="0044575F" w:rsidRPr="00604C75" w:rsidRDefault="0044575F" w:rsidP="00FE2440">
      <w:pPr>
        <w:pStyle w:val="BodyTextIndent"/>
        <w:tabs>
          <w:tab w:val="left" w:pos="851"/>
        </w:tabs>
        <w:spacing w:after="0" w:line="120" w:lineRule="auto"/>
        <w:ind w:left="1701"/>
        <w:rPr>
          <w:sz w:val="16"/>
          <w:szCs w:val="16"/>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738"/>
        <w:gridCol w:w="1596"/>
        <w:gridCol w:w="2155"/>
        <w:gridCol w:w="1890"/>
      </w:tblGrid>
      <w:tr w:rsidR="0044575F" w:rsidRPr="00604C75" w14:paraId="614CA62F" w14:textId="77777777" w:rsidTr="00576E0A">
        <w:trPr>
          <w:trHeight w:val="234"/>
        </w:trPr>
        <w:tc>
          <w:tcPr>
            <w:tcW w:w="3738" w:type="dxa"/>
            <w:vAlign w:val="bottom"/>
          </w:tcPr>
          <w:p w14:paraId="1E041EA5" w14:textId="77777777" w:rsidR="0044575F" w:rsidRPr="00604C75" w:rsidRDefault="0044575F" w:rsidP="00FE2440">
            <w:pPr>
              <w:pStyle w:val="xl79"/>
              <w:pBdr>
                <w:left w:val="none" w:sz="0" w:space="0" w:color="auto"/>
                <w:bottom w:val="none" w:sz="0" w:space="0" w:color="auto"/>
                <w:right w:val="none" w:sz="0" w:space="0" w:color="auto"/>
              </w:pBdr>
              <w:tabs>
                <w:tab w:val="left" w:pos="851"/>
              </w:tabs>
              <w:spacing w:before="0" w:beforeAutospacing="0" w:after="0" w:afterAutospacing="0"/>
              <w:rPr>
                <w:b/>
              </w:rPr>
            </w:pPr>
          </w:p>
        </w:tc>
        <w:tc>
          <w:tcPr>
            <w:tcW w:w="1596" w:type="dxa"/>
            <w:vAlign w:val="bottom"/>
          </w:tcPr>
          <w:p w14:paraId="1F186B9F" w14:textId="666A313A" w:rsidR="0044575F" w:rsidRPr="00604C75" w:rsidRDefault="00C422FA" w:rsidP="00FE2440">
            <w:pPr>
              <w:tabs>
                <w:tab w:val="left" w:pos="851"/>
              </w:tabs>
              <w:ind w:right="15"/>
              <w:jc w:val="right"/>
              <w:rPr>
                <w:rFonts w:eastAsia="Arial Unicode MS"/>
                <w:b/>
                <w:sz w:val="18"/>
              </w:rPr>
            </w:pPr>
            <w:r>
              <w:rPr>
                <w:b/>
                <w:bCs/>
                <w:noProof/>
                <w:sz w:val="18"/>
                <w:szCs w:val="18"/>
              </w:rPr>
              <w:t>Short-</w:t>
            </w:r>
            <w:r w:rsidR="0044575F" w:rsidRPr="00604C75">
              <w:rPr>
                <w:b/>
                <w:bCs/>
                <w:noProof/>
                <w:sz w:val="18"/>
                <w:szCs w:val="18"/>
              </w:rPr>
              <w:t>term</w:t>
            </w:r>
          </w:p>
        </w:tc>
        <w:tc>
          <w:tcPr>
            <w:tcW w:w="2155" w:type="dxa"/>
            <w:vAlign w:val="bottom"/>
          </w:tcPr>
          <w:p w14:paraId="06E577C6" w14:textId="77777777" w:rsidR="0044575F" w:rsidRPr="00604C75" w:rsidRDefault="0044575F" w:rsidP="00576E0A">
            <w:pPr>
              <w:tabs>
                <w:tab w:val="left" w:pos="851"/>
              </w:tabs>
              <w:ind w:right="25"/>
              <w:jc w:val="right"/>
              <w:rPr>
                <w:b/>
                <w:bCs/>
                <w:sz w:val="18"/>
                <w:szCs w:val="18"/>
              </w:rPr>
            </w:pPr>
            <w:r w:rsidRPr="00604C75">
              <w:rPr>
                <w:b/>
                <w:noProof/>
                <w:sz w:val="18"/>
                <w:szCs w:val="18"/>
              </w:rPr>
              <w:t>Medium</w:t>
            </w:r>
            <w:r w:rsidR="00C31345">
              <w:rPr>
                <w:b/>
                <w:noProof/>
                <w:sz w:val="18"/>
                <w:szCs w:val="18"/>
              </w:rPr>
              <w:t xml:space="preserve"> </w:t>
            </w:r>
            <w:r w:rsidRPr="00604C75">
              <w:rPr>
                <w:b/>
                <w:noProof/>
                <w:sz w:val="18"/>
                <w:szCs w:val="18"/>
              </w:rPr>
              <w:t>and Long-term</w:t>
            </w:r>
          </w:p>
        </w:tc>
        <w:tc>
          <w:tcPr>
            <w:tcW w:w="1890" w:type="dxa"/>
            <w:vAlign w:val="bottom"/>
          </w:tcPr>
          <w:p w14:paraId="2C30A592" w14:textId="77777777" w:rsidR="0044575F" w:rsidRPr="00604C75" w:rsidRDefault="0044575F" w:rsidP="00FE2440">
            <w:pPr>
              <w:tabs>
                <w:tab w:val="left" w:pos="851"/>
              </w:tabs>
              <w:ind w:right="33"/>
              <w:jc w:val="right"/>
              <w:rPr>
                <w:b/>
                <w:bCs/>
                <w:sz w:val="18"/>
                <w:szCs w:val="18"/>
              </w:rPr>
            </w:pPr>
            <w:r w:rsidRPr="00604C75">
              <w:rPr>
                <w:b/>
                <w:bCs/>
                <w:noProof/>
                <w:sz w:val="18"/>
                <w:szCs w:val="18"/>
              </w:rPr>
              <w:t>Total</w:t>
            </w:r>
          </w:p>
        </w:tc>
      </w:tr>
      <w:tr w:rsidR="00224102" w:rsidRPr="00604C75" w14:paraId="3522736B" w14:textId="77777777" w:rsidTr="00AD726D">
        <w:trPr>
          <w:trHeight w:val="204"/>
        </w:trPr>
        <w:tc>
          <w:tcPr>
            <w:tcW w:w="3738" w:type="dxa"/>
            <w:vAlign w:val="bottom"/>
          </w:tcPr>
          <w:p w14:paraId="5490323D"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Consumer Loans-TL</w:t>
            </w:r>
          </w:p>
        </w:tc>
        <w:tc>
          <w:tcPr>
            <w:tcW w:w="1596" w:type="dxa"/>
            <w:vAlign w:val="bottom"/>
          </w:tcPr>
          <w:p w14:paraId="3AE42DD8" w14:textId="4158E4D9" w:rsidR="00224102" w:rsidRDefault="00224102" w:rsidP="00224102">
            <w:pPr>
              <w:jc w:val="right"/>
              <w:rPr>
                <w:b/>
                <w:bCs/>
                <w:sz w:val="18"/>
                <w:szCs w:val="18"/>
              </w:rPr>
            </w:pPr>
            <w:r>
              <w:rPr>
                <w:b/>
                <w:bCs/>
                <w:sz w:val="18"/>
                <w:szCs w:val="18"/>
              </w:rPr>
              <w:t>13,162</w:t>
            </w:r>
          </w:p>
        </w:tc>
        <w:tc>
          <w:tcPr>
            <w:tcW w:w="2155" w:type="dxa"/>
            <w:vAlign w:val="bottom"/>
          </w:tcPr>
          <w:p w14:paraId="5EBF8F95" w14:textId="425E5A87" w:rsidR="00224102" w:rsidRDefault="00224102" w:rsidP="00224102">
            <w:pPr>
              <w:jc w:val="right"/>
              <w:rPr>
                <w:b/>
                <w:bCs/>
                <w:sz w:val="18"/>
                <w:szCs w:val="18"/>
              </w:rPr>
            </w:pPr>
            <w:r>
              <w:rPr>
                <w:b/>
                <w:bCs/>
                <w:sz w:val="18"/>
                <w:szCs w:val="18"/>
              </w:rPr>
              <w:t>225,704</w:t>
            </w:r>
          </w:p>
        </w:tc>
        <w:tc>
          <w:tcPr>
            <w:tcW w:w="1890" w:type="dxa"/>
            <w:vAlign w:val="bottom"/>
          </w:tcPr>
          <w:p w14:paraId="75F43858" w14:textId="47AF14EC" w:rsidR="00224102" w:rsidRDefault="00224102" w:rsidP="00224102">
            <w:pPr>
              <w:jc w:val="right"/>
              <w:rPr>
                <w:b/>
                <w:bCs/>
                <w:sz w:val="18"/>
                <w:szCs w:val="18"/>
              </w:rPr>
            </w:pPr>
            <w:r>
              <w:rPr>
                <w:b/>
                <w:bCs/>
                <w:sz w:val="18"/>
                <w:szCs w:val="18"/>
              </w:rPr>
              <w:t>238,866</w:t>
            </w:r>
          </w:p>
        </w:tc>
      </w:tr>
      <w:tr w:rsidR="00224102" w:rsidRPr="00604C75" w14:paraId="5AD79F64" w14:textId="77777777" w:rsidTr="00AD726D">
        <w:trPr>
          <w:trHeight w:val="187"/>
        </w:trPr>
        <w:tc>
          <w:tcPr>
            <w:tcW w:w="3738" w:type="dxa"/>
            <w:vAlign w:val="bottom"/>
          </w:tcPr>
          <w:p w14:paraId="05B295A2" w14:textId="5FD76699" w:rsidR="00224102" w:rsidRPr="00604C75" w:rsidRDefault="00224102" w:rsidP="00224102">
            <w:pPr>
              <w:tabs>
                <w:tab w:val="left" w:pos="851"/>
              </w:tabs>
              <w:rPr>
                <w:rFonts w:eastAsia="Arial Unicode MS"/>
                <w:noProof/>
                <w:sz w:val="18"/>
                <w:szCs w:val="18"/>
              </w:rPr>
            </w:pPr>
            <w:r w:rsidRPr="00604C75">
              <w:rPr>
                <w:noProof/>
                <w:sz w:val="18"/>
                <w:szCs w:val="18"/>
              </w:rPr>
              <w:t xml:space="preserve">Real </w:t>
            </w:r>
            <w:r>
              <w:rPr>
                <w:noProof/>
                <w:sz w:val="18"/>
                <w:szCs w:val="18"/>
              </w:rPr>
              <w:t>E</w:t>
            </w:r>
            <w:r w:rsidRPr="00604C75">
              <w:rPr>
                <w:noProof/>
                <w:sz w:val="18"/>
                <w:szCs w:val="18"/>
              </w:rPr>
              <w:t xml:space="preserve">state </w:t>
            </w:r>
            <w:r>
              <w:rPr>
                <w:noProof/>
                <w:sz w:val="18"/>
                <w:szCs w:val="18"/>
              </w:rPr>
              <w:t>L</w:t>
            </w:r>
            <w:r w:rsidRPr="00604C75">
              <w:rPr>
                <w:noProof/>
                <w:sz w:val="18"/>
                <w:szCs w:val="18"/>
              </w:rPr>
              <w:t>oans</w:t>
            </w:r>
          </w:p>
        </w:tc>
        <w:tc>
          <w:tcPr>
            <w:tcW w:w="1596" w:type="dxa"/>
            <w:vAlign w:val="bottom"/>
          </w:tcPr>
          <w:p w14:paraId="2F231F73" w14:textId="1B4A99B9" w:rsidR="00224102" w:rsidRDefault="00224102" w:rsidP="00224102">
            <w:pPr>
              <w:jc w:val="right"/>
              <w:rPr>
                <w:sz w:val="18"/>
                <w:szCs w:val="18"/>
              </w:rPr>
            </w:pPr>
            <w:r>
              <w:rPr>
                <w:sz w:val="18"/>
                <w:szCs w:val="18"/>
              </w:rPr>
              <w:t>-</w:t>
            </w:r>
          </w:p>
        </w:tc>
        <w:tc>
          <w:tcPr>
            <w:tcW w:w="2155" w:type="dxa"/>
            <w:vAlign w:val="bottom"/>
          </w:tcPr>
          <w:p w14:paraId="717A5012" w14:textId="20C443FB" w:rsidR="00224102" w:rsidRDefault="00224102" w:rsidP="00224102">
            <w:pPr>
              <w:jc w:val="right"/>
              <w:rPr>
                <w:sz w:val="18"/>
                <w:szCs w:val="18"/>
              </w:rPr>
            </w:pPr>
            <w:r>
              <w:rPr>
                <w:sz w:val="18"/>
                <w:szCs w:val="18"/>
              </w:rPr>
              <w:t>129,318</w:t>
            </w:r>
          </w:p>
        </w:tc>
        <w:tc>
          <w:tcPr>
            <w:tcW w:w="1890" w:type="dxa"/>
            <w:vAlign w:val="bottom"/>
          </w:tcPr>
          <w:p w14:paraId="7C5EC5CF" w14:textId="136952B6" w:rsidR="00224102" w:rsidRPr="0084587E" w:rsidRDefault="00224102" w:rsidP="00224102">
            <w:pPr>
              <w:jc w:val="right"/>
              <w:rPr>
                <w:bCs/>
                <w:sz w:val="18"/>
                <w:szCs w:val="18"/>
              </w:rPr>
            </w:pPr>
            <w:r w:rsidRPr="0084587E">
              <w:rPr>
                <w:bCs/>
                <w:sz w:val="18"/>
                <w:szCs w:val="18"/>
              </w:rPr>
              <w:t>129,318</w:t>
            </w:r>
          </w:p>
        </w:tc>
      </w:tr>
      <w:tr w:rsidR="00224102" w:rsidRPr="00604C75" w14:paraId="20F80A81" w14:textId="77777777" w:rsidTr="00AD726D">
        <w:trPr>
          <w:trHeight w:val="204"/>
        </w:trPr>
        <w:tc>
          <w:tcPr>
            <w:tcW w:w="3738" w:type="dxa"/>
            <w:vAlign w:val="bottom"/>
          </w:tcPr>
          <w:p w14:paraId="1D0AAFA6" w14:textId="6587E800" w:rsidR="00224102" w:rsidRPr="00604C75" w:rsidRDefault="00224102" w:rsidP="00224102">
            <w:pPr>
              <w:tabs>
                <w:tab w:val="left" w:pos="851"/>
              </w:tabs>
              <w:rPr>
                <w:rFonts w:eastAsia="Arial Unicode MS"/>
                <w:noProof/>
                <w:sz w:val="18"/>
                <w:szCs w:val="18"/>
              </w:rPr>
            </w:pPr>
            <w:r w:rsidRPr="00604C75">
              <w:rPr>
                <w:noProof/>
                <w:sz w:val="18"/>
                <w:szCs w:val="18"/>
              </w:rPr>
              <w:t xml:space="preserve">Automotive </w:t>
            </w:r>
            <w:r>
              <w:rPr>
                <w:noProof/>
                <w:sz w:val="18"/>
                <w:szCs w:val="18"/>
              </w:rPr>
              <w:t>L</w:t>
            </w:r>
            <w:r w:rsidRPr="00604C75">
              <w:rPr>
                <w:noProof/>
                <w:sz w:val="18"/>
                <w:szCs w:val="18"/>
              </w:rPr>
              <w:t>oans</w:t>
            </w:r>
          </w:p>
        </w:tc>
        <w:tc>
          <w:tcPr>
            <w:tcW w:w="1596" w:type="dxa"/>
            <w:vAlign w:val="bottom"/>
          </w:tcPr>
          <w:p w14:paraId="3E01317F" w14:textId="1852A7EF" w:rsidR="00224102" w:rsidRDefault="00224102" w:rsidP="00224102">
            <w:pPr>
              <w:jc w:val="right"/>
              <w:rPr>
                <w:sz w:val="18"/>
                <w:szCs w:val="18"/>
              </w:rPr>
            </w:pPr>
            <w:r>
              <w:rPr>
                <w:sz w:val="18"/>
                <w:szCs w:val="18"/>
              </w:rPr>
              <w:t>10</w:t>
            </w:r>
          </w:p>
        </w:tc>
        <w:tc>
          <w:tcPr>
            <w:tcW w:w="2155" w:type="dxa"/>
            <w:vAlign w:val="bottom"/>
          </w:tcPr>
          <w:p w14:paraId="4ED4A5D5" w14:textId="65529C39" w:rsidR="00224102" w:rsidRDefault="00224102" w:rsidP="00224102">
            <w:pPr>
              <w:jc w:val="right"/>
              <w:rPr>
                <w:sz w:val="18"/>
                <w:szCs w:val="18"/>
              </w:rPr>
            </w:pPr>
            <w:r>
              <w:rPr>
                <w:sz w:val="18"/>
                <w:szCs w:val="18"/>
              </w:rPr>
              <w:t>3,238</w:t>
            </w:r>
          </w:p>
        </w:tc>
        <w:tc>
          <w:tcPr>
            <w:tcW w:w="1890" w:type="dxa"/>
            <w:vAlign w:val="bottom"/>
          </w:tcPr>
          <w:p w14:paraId="4EEACE45" w14:textId="0F516AD1" w:rsidR="00224102" w:rsidRPr="0084587E" w:rsidRDefault="00224102" w:rsidP="00224102">
            <w:pPr>
              <w:jc w:val="right"/>
              <w:rPr>
                <w:bCs/>
                <w:sz w:val="18"/>
                <w:szCs w:val="18"/>
              </w:rPr>
            </w:pPr>
            <w:r w:rsidRPr="0084587E">
              <w:rPr>
                <w:bCs/>
                <w:sz w:val="18"/>
                <w:szCs w:val="18"/>
              </w:rPr>
              <w:t>3,248</w:t>
            </w:r>
          </w:p>
        </w:tc>
      </w:tr>
      <w:tr w:rsidR="00224102" w:rsidRPr="00604C75" w14:paraId="34E9455F" w14:textId="77777777" w:rsidTr="00AD726D">
        <w:trPr>
          <w:trHeight w:val="204"/>
        </w:trPr>
        <w:tc>
          <w:tcPr>
            <w:tcW w:w="3738" w:type="dxa"/>
            <w:vAlign w:val="bottom"/>
          </w:tcPr>
          <w:p w14:paraId="66B7BDBE" w14:textId="29DC41D6" w:rsidR="00224102" w:rsidRPr="00604C75" w:rsidRDefault="00224102" w:rsidP="00224102">
            <w:pPr>
              <w:tabs>
                <w:tab w:val="left" w:pos="851"/>
              </w:tabs>
              <w:rPr>
                <w:noProof/>
                <w:sz w:val="18"/>
                <w:szCs w:val="18"/>
              </w:rPr>
            </w:pPr>
            <w:r w:rsidRPr="00604C75">
              <w:rPr>
                <w:noProof/>
                <w:sz w:val="18"/>
                <w:szCs w:val="18"/>
              </w:rPr>
              <w:t xml:space="preserve">Consumer </w:t>
            </w:r>
            <w:r>
              <w:rPr>
                <w:noProof/>
                <w:sz w:val="18"/>
                <w:szCs w:val="18"/>
              </w:rPr>
              <w:t>L</w:t>
            </w:r>
            <w:r w:rsidRPr="00604C75">
              <w:rPr>
                <w:noProof/>
                <w:sz w:val="18"/>
                <w:szCs w:val="18"/>
              </w:rPr>
              <w:t>oans</w:t>
            </w:r>
          </w:p>
        </w:tc>
        <w:tc>
          <w:tcPr>
            <w:tcW w:w="1596" w:type="dxa"/>
            <w:vAlign w:val="bottom"/>
          </w:tcPr>
          <w:p w14:paraId="31F71BC8" w14:textId="3C95DA1D" w:rsidR="00224102" w:rsidRDefault="00224102" w:rsidP="00224102">
            <w:pPr>
              <w:jc w:val="right"/>
              <w:rPr>
                <w:sz w:val="18"/>
                <w:szCs w:val="18"/>
              </w:rPr>
            </w:pPr>
            <w:r>
              <w:rPr>
                <w:sz w:val="18"/>
                <w:szCs w:val="18"/>
              </w:rPr>
              <w:t>13,152</w:t>
            </w:r>
          </w:p>
        </w:tc>
        <w:tc>
          <w:tcPr>
            <w:tcW w:w="2155" w:type="dxa"/>
            <w:vAlign w:val="bottom"/>
          </w:tcPr>
          <w:p w14:paraId="6FF1A7DD" w14:textId="57B3E4CC" w:rsidR="00224102" w:rsidRDefault="00224102" w:rsidP="00224102">
            <w:pPr>
              <w:jc w:val="right"/>
              <w:rPr>
                <w:sz w:val="18"/>
                <w:szCs w:val="18"/>
              </w:rPr>
            </w:pPr>
            <w:r>
              <w:rPr>
                <w:sz w:val="18"/>
                <w:szCs w:val="18"/>
              </w:rPr>
              <w:t>93,148</w:t>
            </w:r>
          </w:p>
        </w:tc>
        <w:tc>
          <w:tcPr>
            <w:tcW w:w="1890" w:type="dxa"/>
            <w:vAlign w:val="bottom"/>
          </w:tcPr>
          <w:p w14:paraId="24C1ABD1" w14:textId="32B0475B" w:rsidR="00224102" w:rsidRPr="0084587E" w:rsidRDefault="00224102" w:rsidP="00224102">
            <w:pPr>
              <w:jc w:val="right"/>
              <w:rPr>
                <w:bCs/>
                <w:sz w:val="18"/>
                <w:szCs w:val="18"/>
              </w:rPr>
            </w:pPr>
            <w:r w:rsidRPr="0084587E">
              <w:rPr>
                <w:bCs/>
                <w:sz w:val="18"/>
                <w:szCs w:val="18"/>
              </w:rPr>
              <w:t>106,300</w:t>
            </w:r>
          </w:p>
        </w:tc>
      </w:tr>
      <w:tr w:rsidR="00224102" w:rsidRPr="00604C75" w14:paraId="52F9B516" w14:textId="77777777" w:rsidTr="00AD726D">
        <w:trPr>
          <w:trHeight w:val="187"/>
        </w:trPr>
        <w:tc>
          <w:tcPr>
            <w:tcW w:w="3738" w:type="dxa"/>
            <w:vAlign w:val="bottom"/>
          </w:tcPr>
          <w:p w14:paraId="74171C2F" w14:textId="77777777" w:rsidR="00224102" w:rsidRPr="00604C75" w:rsidRDefault="00224102" w:rsidP="00224102">
            <w:pPr>
              <w:tabs>
                <w:tab w:val="left" w:pos="851"/>
              </w:tabs>
              <w:rPr>
                <w:rFonts w:eastAsia="Arial Unicode MS"/>
                <w:noProof/>
                <w:sz w:val="18"/>
                <w:szCs w:val="18"/>
              </w:rPr>
            </w:pPr>
            <w:r w:rsidRPr="00604C75">
              <w:rPr>
                <w:noProof/>
                <w:sz w:val="18"/>
                <w:szCs w:val="18"/>
              </w:rPr>
              <w:t>Other</w:t>
            </w:r>
          </w:p>
        </w:tc>
        <w:tc>
          <w:tcPr>
            <w:tcW w:w="1596" w:type="dxa"/>
            <w:vAlign w:val="bottom"/>
          </w:tcPr>
          <w:p w14:paraId="35A12CA3" w14:textId="4BDDF62B" w:rsidR="00224102" w:rsidRDefault="00224102" w:rsidP="00224102">
            <w:pPr>
              <w:jc w:val="right"/>
              <w:rPr>
                <w:sz w:val="18"/>
                <w:szCs w:val="18"/>
              </w:rPr>
            </w:pPr>
            <w:r>
              <w:rPr>
                <w:sz w:val="18"/>
                <w:szCs w:val="18"/>
              </w:rPr>
              <w:t>-</w:t>
            </w:r>
          </w:p>
        </w:tc>
        <w:tc>
          <w:tcPr>
            <w:tcW w:w="2155" w:type="dxa"/>
            <w:vAlign w:val="bottom"/>
          </w:tcPr>
          <w:p w14:paraId="033A42E8" w14:textId="45D9A00D" w:rsidR="00224102" w:rsidRDefault="00224102" w:rsidP="00224102">
            <w:pPr>
              <w:jc w:val="right"/>
              <w:rPr>
                <w:sz w:val="18"/>
                <w:szCs w:val="18"/>
              </w:rPr>
            </w:pPr>
            <w:r>
              <w:rPr>
                <w:sz w:val="18"/>
                <w:szCs w:val="18"/>
              </w:rPr>
              <w:t>-</w:t>
            </w:r>
          </w:p>
        </w:tc>
        <w:tc>
          <w:tcPr>
            <w:tcW w:w="1890" w:type="dxa"/>
            <w:vAlign w:val="bottom"/>
          </w:tcPr>
          <w:p w14:paraId="6D258204" w14:textId="04D78157" w:rsidR="00224102" w:rsidRPr="003E5443" w:rsidRDefault="00224102" w:rsidP="00224102">
            <w:pPr>
              <w:jc w:val="right"/>
              <w:rPr>
                <w:bCs/>
                <w:sz w:val="18"/>
                <w:szCs w:val="18"/>
              </w:rPr>
            </w:pPr>
            <w:r w:rsidRPr="003E5443">
              <w:rPr>
                <w:bCs/>
                <w:sz w:val="18"/>
                <w:szCs w:val="18"/>
              </w:rPr>
              <w:t>-</w:t>
            </w:r>
          </w:p>
        </w:tc>
      </w:tr>
      <w:tr w:rsidR="00224102" w:rsidRPr="00604C75" w14:paraId="3A2BEC24" w14:textId="77777777" w:rsidTr="00AD726D">
        <w:trPr>
          <w:trHeight w:val="204"/>
        </w:trPr>
        <w:tc>
          <w:tcPr>
            <w:tcW w:w="3738" w:type="dxa"/>
            <w:vAlign w:val="bottom"/>
          </w:tcPr>
          <w:p w14:paraId="50A4F178"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Consumer Loans-FC Indexed</w:t>
            </w:r>
          </w:p>
        </w:tc>
        <w:tc>
          <w:tcPr>
            <w:tcW w:w="1596" w:type="dxa"/>
            <w:vAlign w:val="bottom"/>
          </w:tcPr>
          <w:p w14:paraId="62D078AF" w14:textId="6E80EB6D" w:rsidR="00224102" w:rsidRPr="003E5443" w:rsidRDefault="00224102" w:rsidP="00224102">
            <w:pPr>
              <w:jc w:val="right"/>
              <w:rPr>
                <w:bCs/>
                <w:sz w:val="18"/>
                <w:szCs w:val="18"/>
              </w:rPr>
            </w:pPr>
            <w:r w:rsidRPr="003E5443">
              <w:rPr>
                <w:bCs/>
                <w:sz w:val="18"/>
                <w:szCs w:val="18"/>
              </w:rPr>
              <w:t>-</w:t>
            </w:r>
          </w:p>
        </w:tc>
        <w:tc>
          <w:tcPr>
            <w:tcW w:w="2155" w:type="dxa"/>
            <w:vAlign w:val="bottom"/>
          </w:tcPr>
          <w:p w14:paraId="72B2C795" w14:textId="106904DA" w:rsidR="00224102" w:rsidRPr="003E5443" w:rsidRDefault="00224102" w:rsidP="00224102">
            <w:pPr>
              <w:jc w:val="right"/>
              <w:rPr>
                <w:bCs/>
                <w:sz w:val="18"/>
                <w:szCs w:val="18"/>
              </w:rPr>
            </w:pPr>
            <w:r w:rsidRPr="003E5443">
              <w:rPr>
                <w:bCs/>
                <w:sz w:val="18"/>
                <w:szCs w:val="18"/>
              </w:rPr>
              <w:t>-</w:t>
            </w:r>
          </w:p>
        </w:tc>
        <w:tc>
          <w:tcPr>
            <w:tcW w:w="1890" w:type="dxa"/>
            <w:vAlign w:val="bottom"/>
          </w:tcPr>
          <w:p w14:paraId="4F9FA28D" w14:textId="1F7365D6" w:rsidR="00224102" w:rsidRPr="003E5443" w:rsidRDefault="00224102" w:rsidP="00224102">
            <w:pPr>
              <w:jc w:val="right"/>
              <w:rPr>
                <w:bCs/>
                <w:sz w:val="18"/>
                <w:szCs w:val="18"/>
              </w:rPr>
            </w:pPr>
            <w:r w:rsidRPr="003E5443">
              <w:rPr>
                <w:bCs/>
                <w:sz w:val="18"/>
                <w:szCs w:val="18"/>
              </w:rPr>
              <w:t>-</w:t>
            </w:r>
          </w:p>
        </w:tc>
      </w:tr>
      <w:tr w:rsidR="00224102" w:rsidRPr="00604C75" w14:paraId="64507400" w14:textId="77777777" w:rsidTr="00AD726D">
        <w:trPr>
          <w:trHeight w:val="204"/>
        </w:trPr>
        <w:tc>
          <w:tcPr>
            <w:tcW w:w="3738" w:type="dxa"/>
            <w:vAlign w:val="bottom"/>
          </w:tcPr>
          <w:p w14:paraId="420EF0A7" w14:textId="1A827900" w:rsidR="00224102" w:rsidRPr="00604C75" w:rsidRDefault="00224102" w:rsidP="00224102">
            <w:pPr>
              <w:tabs>
                <w:tab w:val="left" w:pos="851"/>
              </w:tabs>
              <w:rPr>
                <w:rFonts w:eastAsia="Arial Unicode MS"/>
                <w:noProof/>
                <w:sz w:val="18"/>
                <w:szCs w:val="18"/>
              </w:rPr>
            </w:pPr>
            <w:r w:rsidRPr="00604C75">
              <w:rPr>
                <w:noProof/>
                <w:sz w:val="18"/>
                <w:szCs w:val="18"/>
              </w:rPr>
              <w:t xml:space="preserve">Real </w:t>
            </w:r>
            <w:r>
              <w:rPr>
                <w:noProof/>
                <w:sz w:val="18"/>
                <w:szCs w:val="18"/>
              </w:rPr>
              <w:t>E</w:t>
            </w:r>
            <w:r w:rsidRPr="00604C75">
              <w:rPr>
                <w:noProof/>
                <w:sz w:val="18"/>
                <w:szCs w:val="18"/>
              </w:rPr>
              <w:t xml:space="preserve">state </w:t>
            </w:r>
            <w:r>
              <w:rPr>
                <w:noProof/>
                <w:sz w:val="18"/>
                <w:szCs w:val="18"/>
              </w:rPr>
              <w:t>L</w:t>
            </w:r>
            <w:r w:rsidRPr="00604C75">
              <w:rPr>
                <w:noProof/>
                <w:sz w:val="18"/>
                <w:szCs w:val="18"/>
              </w:rPr>
              <w:t>oans</w:t>
            </w:r>
          </w:p>
        </w:tc>
        <w:tc>
          <w:tcPr>
            <w:tcW w:w="1596" w:type="dxa"/>
            <w:vAlign w:val="bottom"/>
          </w:tcPr>
          <w:p w14:paraId="52330CC3" w14:textId="606B555D" w:rsidR="00224102" w:rsidRDefault="00224102" w:rsidP="00224102">
            <w:pPr>
              <w:jc w:val="right"/>
              <w:rPr>
                <w:sz w:val="18"/>
                <w:szCs w:val="18"/>
              </w:rPr>
            </w:pPr>
            <w:r>
              <w:rPr>
                <w:sz w:val="18"/>
                <w:szCs w:val="18"/>
              </w:rPr>
              <w:t>-</w:t>
            </w:r>
          </w:p>
        </w:tc>
        <w:tc>
          <w:tcPr>
            <w:tcW w:w="2155" w:type="dxa"/>
            <w:vAlign w:val="bottom"/>
          </w:tcPr>
          <w:p w14:paraId="0B7D635E" w14:textId="4DC78AC0" w:rsidR="00224102" w:rsidRDefault="00224102" w:rsidP="00224102">
            <w:pPr>
              <w:jc w:val="right"/>
              <w:rPr>
                <w:sz w:val="18"/>
                <w:szCs w:val="18"/>
              </w:rPr>
            </w:pPr>
            <w:r>
              <w:rPr>
                <w:sz w:val="18"/>
                <w:szCs w:val="18"/>
              </w:rPr>
              <w:t>-</w:t>
            </w:r>
          </w:p>
        </w:tc>
        <w:tc>
          <w:tcPr>
            <w:tcW w:w="1890" w:type="dxa"/>
            <w:vAlign w:val="bottom"/>
          </w:tcPr>
          <w:p w14:paraId="6459CE69" w14:textId="7EB477AC" w:rsidR="00224102" w:rsidRPr="003E5443" w:rsidRDefault="00224102" w:rsidP="00224102">
            <w:pPr>
              <w:jc w:val="right"/>
              <w:rPr>
                <w:bCs/>
                <w:sz w:val="18"/>
                <w:szCs w:val="18"/>
              </w:rPr>
            </w:pPr>
            <w:r w:rsidRPr="003E5443">
              <w:rPr>
                <w:bCs/>
                <w:sz w:val="18"/>
                <w:szCs w:val="18"/>
              </w:rPr>
              <w:t>-</w:t>
            </w:r>
          </w:p>
        </w:tc>
      </w:tr>
      <w:tr w:rsidR="00224102" w:rsidRPr="00604C75" w14:paraId="6F22F44A" w14:textId="77777777" w:rsidTr="00AD726D">
        <w:trPr>
          <w:trHeight w:val="187"/>
        </w:trPr>
        <w:tc>
          <w:tcPr>
            <w:tcW w:w="3738" w:type="dxa"/>
            <w:vAlign w:val="bottom"/>
          </w:tcPr>
          <w:p w14:paraId="7D7F0661" w14:textId="1A68A363" w:rsidR="00224102" w:rsidRPr="00604C75" w:rsidRDefault="00224102" w:rsidP="00224102">
            <w:pPr>
              <w:tabs>
                <w:tab w:val="left" w:pos="851"/>
              </w:tabs>
              <w:rPr>
                <w:rFonts w:eastAsia="Arial Unicode MS"/>
                <w:noProof/>
                <w:sz w:val="18"/>
                <w:szCs w:val="18"/>
              </w:rPr>
            </w:pPr>
            <w:r w:rsidRPr="00604C75">
              <w:rPr>
                <w:noProof/>
                <w:sz w:val="18"/>
                <w:szCs w:val="18"/>
              </w:rPr>
              <w:t xml:space="preserve">Automotive </w:t>
            </w:r>
            <w:r>
              <w:rPr>
                <w:noProof/>
                <w:sz w:val="18"/>
                <w:szCs w:val="18"/>
              </w:rPr>
              <w:t>L</w:t>
            </w:r>
            <w:r w:rsidRPr="00604C75">
              <w:rPr>
                <w:noProof/>
                <w:sz w:val="18"/>
                <w:szCs w:val="18"/>
              </w:rPr>
              <w:t>oans</w:t>
            </w:r>
          </w:p>
        </w:tc>
        <w:tc>
          <w:tcPr>
            <w:tcW w:w="1596" w:type="dxa"/>
            <w:vAlign w:val="bottom"/>
          </w:tcPr>
          <w:p w14:paraId="0D24A40A" w14:textId="38C91EB9" w:rsidR="00224102" w:rsidRDefault="00224102" w:rsidP="00224102">
            <w:pPr>
              <w:jc w:val="right"/>
              <w:rPr>
                <w:sz w:val="18"/>
                <w:szCs w:val="18"/>
              </w:rPr>
            </w:pPr>
            <w:r>
              <w:rPr>
                <w:sz w:val="18"/>
                <w:szCs w:val="18"/>
              </w:rPr>
              <w:t>-</w:t>
            </w:r>
          </w:p>
        </w:tc>
        <w:tc>
          <w:tcPr>
            <w:tcW w:w="2155" w:type="dxa"/>
            <w:vAlign w:val="bottom"/>
          </w:tcPr>
          <w:p w14:paraId="51B5BD38" w14:textId="6EC134A7" w:rsidR="00224102" w:rsidRDefault="00224102" w:rsidP="00224102">
            <w:pPr>
              <w:jc w:val="right"/>
              <w:rPr>
                <w:sz w:val="18"/>
                <w:szCs w:val="18"/>
              </w:rPr>
            </w:pPr>
            <w:r>
              <w:rPr>
                <w:sz w:val="18"/>
                <w:szCs w:val="18"/>
              </w:rPr>
              <w:t>-</w:t>
            </w:r>
          </w:p>
        </w:tc>
        <w:tc>
          <w:tcPr>
            <w:tcW w:w="1890" w:type="dxa"/>
            <w:vAlign w:val="bottom"/>
          </w:tcPr>
          <w:p w14:paraId="4428DFEA" w14:textId="017F8432" w:rsidR="00224102" w:rsidRPr="003E5443" w:rsidRDefault="00224102" w:rsidP="00224102">
            <w:pPr>
              <w:jc w:val="right"/>
              <w:rPr>
                <w:bCs/>
                <w:sz w:val="18"/>
                <w:szCs w:val="18"/>
              </w:rPr>
            </w:pPr>
            <w:r w:rsidRPr="003E5443">
              <w:rPr>
                <w:bCs/>
                <w:sz w:val="18"/>
                <w:szCs w:val="18"/>
              </w:rPr>
              <w:t>-</w:t>
            </w:r>
          </w:p>
        </w:tc>
      </w:tr>
      <w:tr w:rsidR="00224102" w:rsidRPr="00604C75" w14:paraId="7C35FCDA" w14:textId="77777777" w:rsidTr="00AD726D">
        <w:trPr>
          <w:trHeight w:val="204"/>
        </w:trPr>
        <w:tc>
          <w:tcPr>
            <w:tcW w:w="3738" w:type="dxa"/>
            <w:vAlign w:val="bottom"/>
          </w:tcPr>
          <w:p w14:paraId="2B02A462" w14:textId="3B50C1CA" w:rsidR="00224102" w:rsidRPr="00604C75" w:rsidRDefault="00224102" w:rsidP="00224102">
            <w:pPr>
              <w:tabs>
                <w:tab w:val="left" w:pos="851"/>
              </w:tabs>
              <w:rPr>
                <w:noProof/>
                <w:sz w:val="18"/>
                <w:szCs w:val="18"/>
              </w:rPr>
            </w:pPr>
            <w:r w:rsidRPr="00604C75">
              <w:rPr>
                <w:noProof/>
                <w:sz w:val="18"/>
                <w:szCs w:val="18"/>
              </w:rPr>
              <w:t xml:space="preserve">Consumer </w:t>
            </w:r>
            <w:r>
              <w:rPr>
                <w:noProof/>
                <w:sz w:val="18"/>
                <w:szCs w:val="18"/>
              </w:rPr>
              <w:t>L</w:t>
            </w:r>
            <w:r w:rsidRPr="00604C75">
              <w:rPr>
                <w:noProof/>
                <w:sz w:val="18"/>
                <w:szCs w:val="18"/>
              </w:rPr>
              <w:t>oans</w:t>
            </w:r>
          </w:p>
        </w:tc>
        <w:tc>
          <w:tcPr>
            <w:tcW w:w="1596" w:type="dxa"/>
            <w:vAlign w:val="bottom"/>
          </w:tcPr>
          <w:p w14:paraId="1F6913DA" w14:textId="3C7F4B55" w:rsidR="00224102" w:rsidRDefault="00224102" w:rsidP="00224102">
            <w:pPr>
              <w:jc w:val="right"/>
              <w:rPr>
                <w:sz w:val="18"/>
                <w:szCs w:val="18"/>
              </w:rPr>
            </w:pPr>
            <w:r>
              <w:rPr>
                <w:sz w:val="18"/>
                <w:szCs w:val="18"/>
              </w:rPr>
              <w:t>-</w:t>
            </w:r>
          </w:p>
        </w:tc>
        <w:tc>
          <w:tcPr>
            <w:tcW w:w="2155" w:type="dxa"/>
            <w:vAlign w:val="bottom"/>
          </w:tcPr>
          <w:p w14:paraId="1D2B5A47" w14:textId="2DDF42DD" w:rsidR="00224102" w:rsidRDefault="00224102" w:rsidP="00224102">
            <w:pPr>
              <w:jc w:val="right"/>
              <w:rPr>
                <w:sz w:val="18"/>
                <w:szCs w:val="18"/>
              </w:rPr>
            </w:pPr>
            <w:r>
              <w:rPr>
                <w:sz w:val="18"/>
                <w:szCs w:val="18"/>
              </w:rPr>
              <w:t>-</w:t>
            </w:r>
          </w:p>
        </w:tc>
        <w:tc>
          <w:tcPr>
            <w:tcW w:w="1890" w:type="dxa"/>
            <w:vAlign w:val="bottom"/>
          </w:tcPr>
          <w:p w14:paraId="23332598" w14:textId="63B08643" w:rsidR="00224102" w:rsidRPr="003E5443" w:rsidRDefault="00224102" w:rsidP="00224102">
            <w:pPr>
              <w:jc w:val="right"/>
              <w:rPr>
                <w:bCs/>
                <w:sz w:val="18"/>
                <w:szCs w:val="18"/>
              </w:rPr>
            </w:pPr>
            <w:r w:rsidRPr="003E5443">
              <w:rPr>
                <w:bCs/>
                <w:sz w:val="18"/>
                <w:szCs w:val="18"/>
              </w:rPr>
              <w:t>-</w:t>
            </w:r>
          </w:p>
        </w:tc>
      </w:tr>
      <w:tr w:rsidR="00224102" w:rsidRPr="00604C75" w14:paraId="20200AA6" w14:textId="77777777" w:rsidTr="00AD726D">
        <w:trPr>
          <w:trHeight w:val="187"/>
        </w:trPr>
        <w:tc>
          <w:tcPr>
            <w:tcW w:w="3738" w:type="dxa"/>
            <w:vAlign w:val="bottom"/>
          </w:tcPr>
          <w:p w14:paraId="3E321FB9" w14:textId="77777777" w:rsidR="00224102" w:rsidRPr="00604C75" w:rsidRDefault="00224102" w:rsidP="00224102">
            <w:pPr>
              <w:tabs>
                <w:tab w:val="left" w:pos="851"/>
              </w:tabs>
              <w:rPr>
                <w:rFonts w:eastAsia="Arial Unicode MS"/>
                <w:noProof/>
                <w:sz w:val="18"/>
                <w:szCs w:val="18"/>
              </w:rPr>
            </w:pPr>
            <w:r w:rsidRPr="00604C75">
              <w:rPr>
                <w:noProof/>
                <w:sz w:val="18"/>
                <w:szCs w:val="18"/>
              </w:rPr>
              <w:t>Other</w:t>
            </w:r>
          </w:p>
        </w:tc>
        <w:tc>
          <w:tcPr>
            <w:tcW w:w="1596" w:type="dxa"/>
            <w:vAlign w:val="bottom"/>
          </w:tcPr>
          <w:p w14:paraId="23F7BEAC" w14:textId="6B8177D8" w:rsidR="00224102" w:rsidRDefault="00224102" w:rsidP="00224102">
            <w:pPr>
              <w:jc w:val="right"/>
              <w:rPr>
                <w:sz w:val="18"/>
                <w:szCs w:val="18"/>
              </w:rPr>
            </w:pPr>
            <w:r>
              <w:rPr>
                <w:sz w:val="18"/>
                <w:szCs w:val="18"/>
              </w:rPr>
              <w:t>-</w:t>
            </w:r>
          </w:p>
        </w:tc>
        <w:tc>
          <w:tcPr>
            <w:tcW w:w="2155" w:type="dxa"/>
            <w:vAlign w:val="bottom"/>
          </w:tcPr>
          <w:p w14:paraId="725A8461" w14:textId="7C81B3F4" w:rsidR="00224102" w:rsidRDefault="00224102" w:rsidP="00224102">
            <w:pPr>
              <w:jc w:val="right"/>
              <w:rPr>
                <w:sz w:val="18"/>
                <w:szCs w:val="18"/>
              </w:rPr>
            </w:pPr>
            <w:r>
              <w:rPr>
                <w:sz w:val="18"/>
                <w:szCs w:val="18"/>
              </w:rPr>
              <w:t>-</w:t>
            </w:r>
          </w:p>
        </w:tc>
        <w:tc>
          <w:tcPr>
            <w:tcW w:w="1890" w:type="dxa"/>
            <w:vAlign w:val="bottom"/>
          </w:tcPr>
          <w:p w14:paraId="15956A69" w14:textId="6623BB74" w:rsidR="00224102" w:rsidRPr="003E5443" w:rsidRDefault="00224102" w:rsidP="00224102">
            <w:pPr>
              <w:jc w:val="right"/>
              <w:rPr>
                <w:bCs/>
                <w:sz w:val="18"/>
                <w:szCs w:val="18"/>
              </w:rPr>
            </w:pPr>
            <w:r w:rsidRPr="003E5443">
              <w:rPr>
                <w:bCs/>
                <w:sz w:val="18"/>
                <w:szCs w:val="18"/>
              </w:rPr>
              <w:t>-</w:t>
            </w:r>
          </w:p>
        </w:tc>
      </w:tr>
      <w:tr w:rsidR="00224102" w:rsidRPr="00604C75" w14:paraId="1EDCB3F5" w14:textId="77777777" w:rsidTr="00AD726D">
        <w:trPr>
          <w:trHeight w:val="204"/>
        </w:trPr>
        <w:tc>
          <w:tcPr>
            <w:tcW w:w="3738" w:type="dxa"/>
            <w:vAlign w:val="bottom"/>
          </w:tcPr>
          <w:p w14:paraId="0845473E"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Consumer Loans-FC</w:t>
            </w:r>
          </w:p>
        </w:tc>
        <w:tc>
          <w:tcPr>
            <w:tcW w:w="1596" w:type="dxa"/>
            <w:vAlign w:val="bottom"/>
          </w:tcPr>
          <w:p w14:paraId="64CACD31" w14:textId="0E879D42" w:rsidR="00224102" w:rsidRDefault="00224102" w:rsidP="00224102">
            <w:pPr>
              <w:jc w:val="right"/>
              <w:rPr>
                <w:b/>
                <w:bCs/>
                <w:sz w:val="18"/>
                <w:szCs w:val="18"/>
              </w:rPr>
            </w:pPr>
            <w:r>
              <w:rPr>
                <w:b/>
                <w:bCs/>
                <w:sz w:val="18"/>
                <w:szCs w:val="18"/>
              </w:rPr>
              <w:t>-</w:t>
            </w:r>
          </w:p>
        </w:tc>
        <w:tc>
          <w:tcPr>
            <w:tcW w:w="2155" w:type="dxa"/>
            <w:vAlign w:val="bottom"/>
          </w:tcPr>
          <w:p w14:paraId="532ECF6E" w14:textId="77DB2B67" w:rsidR="00224102" w:rsidRDefault="00224102" w:rsidP="00224102">
            <w:pPr>
              <w:jc w:val="right"/>
              <w:rPr>
                <w:b/>
                <w:bCs/>
                <w:sz w:val="18"/>
                <w:szCs w:val="18"/>
              </w:rPr>
            </w:pPr>
            <w:r>
              <w:rPr>
                <w:b/>
                <w:bCs/>
                <w:sz w:val="18"/>
                <w:szCs w:val="18"/>
              </w:rPr>
              <w:t>-</w:t>
            </w:r>
          </w:p>
        </w:tc>
        <w:tc>
          <w:tcPr>
            <w:tcW w:w="1890" w:type="dxa"/>
            <w:vAlign w:val="bottom"/>
          </w:tcPr>
          <w:p w14:paraId="45D887C0" w14:textId="2BCF5B32" w:rsidR="00224102" w:rsidRPr="003E5443" w:rsidRDefault="00224102" w:rsidP="00224102">
            <w:pPr>
              <w:jc w:val="right"/>
              <w:rPr>
                <w:bCs/>
                <w:sz w:val="18"/>
                <w:szCs w:val="18"/>
              </w:rPr>
            </w:pPr>
            <w:r w:rsidRPr="003E5443">
              <w:rPr>
                <w:bCs/>
                <w:sz w:val="18"/>
                <w:szCs w:val="18"/>
              </w:rPr>
              <w:t>-</w:t>
            </w:r>
          </w:p>
        </w:tc>
      </w:tr>
      <w:tr w:rsidR="00224102" w:rsidRPr="00604C75" w14:paraId="207D721B" w14:textId="77777777" w:rsidTr="00AD726D">
        <w:trPr>
          <w:trHeight w:val="204"/>
        </w:trPr>
        <w:tc>
          <w:tcPr>
            <w:tcW w:w="3738" w:type="dxa"/>
            <w:vAlign w:val="bottom"/>
          </w:tcPr>
          <w:p w14:paraId="13F0845D" w14:textId="109184A2" w:rsidR="00224102" w:rsidRPr="00604C75" w:rsidRDefault="00224102" w:rsidP="00224102">
            <w:pPr>
              <w:tabs>
                <w:tab w:val="left" w:pos="851"/>
              </w:tabs>
              <w:rPr>
                <w:rFonts w:eastAsia="Arial Unicode MS"/>
                <w:noProof/>
                <w:sz w:val="18"/>
                <w:szCs w:val="18"/>
              </w:rPr>
            </w:pPr>
            <w:r w:rsidRPr="00604C75">
              <w:rPr>
                <w:noProof/>
                <w:sz w:val="18"/>
                <w:szCs w:val="18"/>
              </w:rPr>
              <w:t xml:space="preserve">Real </w:t>
            </w:r>
            <w:r>
              <w:rPr>
                <w:noProof/>
                <w:sz w:val="18"/>
                <w:szCs w:val="18"/>
              </w:rPr>
              <w:t>E</w:t>
            </w:r>
            <w:r w:rsidRPr="00604C75">
              <w:rPr>
                <w:noProof/>
                <w:sz w:val="18"/>
                <w:szCs w:val="18"/>
              </w:rPr>
              <w:t xml:space="preserve">state </w:t>
            </w:r>
            <w:r>
              <w:rPr>
                <w:noProof/>
                <w:sz w:val="18"/>
                <w:szCs w:val="18"/>
              </w:rPr>
              <w:t>L</w:t>
            </w:r>
            <w:r w:rsidRPr="00604C75">
              <w:rPr>
                <w:noProof/>
                <w:sz w:val="18"/>
                <w:szCs w:val="18"/>
              </w:rPr>
              <w:t>oans</w:t>
            </w:r>
          </w:p>
        </w:tc>
        <w:tc>
          <w:tcPr>
            <w:tcW w:w="1596" w:type="dxa"/>
            <w:vAlign w:val="bottom"/>
          </w:tcPr>
          <w:p w14:paraId="0D12ACC5" w14:textId="57A98118" w:rsidR="00224102" w:rsidRDefault="00224102" w:rsidP="00224102">
            <w:pPr>
              <w:jc w:val="right"/>
              <w:rPr>
                <w:sz w:val="18"/>
                <w:szCs w:val="18"/>
              </w:rPr>
            </w:pPr>
            <w:r>
              <w:rPr>
                <w:sz w:val="18"/>
                <w:szCs w:val="18"/>
              </w:rPr>
              <w:t>-</w:t>
            </w:r>
          </w:p>
        </w:tc>
        <w:tc>
          <w:tcPr>
            <w:tcW w:w="2155" w:type="dxa"/>
            <w:vAlign w:val="bottom"/>
          </w:tcPr>
          <w:p w14:paraId="207AB1E6" w14:textId="1A85B9AA" w:rsidR="00224102" w:rsidRDefault="00224102" w:rsidP="00224102">
            <w:pPr>
              <w:jc w:val="right"/>
              <w:rPr>
                <w:sz w:val="18"/>
                <w:szCs w:val="18"/>
              </w:rPr>
            </w:pPr>
            <w:r>
              <w:rPr>
                <w:sz w:val="18"/>
                <w:szCs w:val="18"/>
              </w:rPr>
              <w:t>-</w:t>
            </w:r>
          </w:p>
        </w:tc>
        <w:tc>
          <w:tcPr>
            <w:tcW w:w="1890" w:type="dxa"/>
            <w:vAlign w:val="bottom"/>
          </w:tcPr>
          <w:p w14:paraId="1E077E1A" w14:textId="37ADF887" w:rsidR="00224102" w:rsidRPr="003E5443" w:rsidRDefault="00224102" w:rsidP="00224102">
            <w:pPr>
              <w:jc w:val="right"/>
              <w:rPr>
                <w:bCs/>
                <w:sz w:val="18"/>
                <w:szCs w:val="18"/>
              </w:rPr>
            </w:pPr>
            <w:r w:rsidRPr="003E5443">
              <w:rPr>
                <w:bCs/>
                <w:sz w:val="18"/>
                <w:szCs w:val="18"/>
              </w:rPr>
              <w:t>-</w:t>
            </w:r>
          </w:p>
        </w:tc>
      </w:tr>
      <w:tr w:rsidR="00224102" w:rsidRPr="00604C75" w14:paraId="59CD0D89" w14:textId="77777777" w:rsidTr="00AD726D">
        <w:trPr>
          <w:trHeight w:val="187"/>
        </w:trPr>
        <w:tc>
          <w:tcPr>
            <w:tcW w:w="3738" w:type="dxa"/>
            <w:vAlign w:val="bottom"/>
          </w:tcPr>
          <w:p w14:paraId="078F344D" w14:textId="3999E975" w:rsidR="00224102" w:rsidRPr="00604C75" w:rsidRDefault="00224102" w:rsidP="00224102">
            <w:pPr>
              <w:tabs>
                <w:tab w:val="left" w:pos="851"/>
              </w:tabs>
              <w:rPr>
                <w:rFonts w:eastAsia="Arial Unicode MS"/>
                <w:noProof/>
                <w:sz w:val="18"/>
                <w:szCs w:val="18"/>
              </w:rPr>
            </w:pPr>
            <w:r w:rsidRPr="00604C75">
              <w:rPr>
                <w:noProof/>
                <w:sz w:val="18"/>
                <w:szCs w:val="18"/>
              </w:rPr>
              <w:t xml:space="preserve">Automotive </w:t>
            </w:r>
            <w:r>
              <w:rPr>
                <w:noProof/>
                <w:sz w:val="18"/>
                <w:szCs w:val="18"/>
              </w:rPr>
              <w:t>L</w:t>
            </w:r>
            <w:r w:rsidRPr="00604C75">
              <w:rPr>
                <w:noProof/>
                <w:sz w:val="18"/>
                <w:szCs w:val="18"/>
              </w:rPr>
              <w:t>oans</w:t>
            </w:r>
          </w:p>
        </w:tc>
        <w:tc>
          <w:tcPr>
            <w:tcW w:w="1596" w:type="dxa"/>
            <w:vAlign w:val="bottom"/>
          </w:tcPr>
          <w:p w14:paraId="1BD6342F" w14:textId="0E5F1156" w:rsidR="00224102" w:rsidRDefault="00224102" w:rsidP="00224102">
            <w:pPr>
              <w:jc w:val="right"/>
              <w:rPr>
                <w:sz w:val="18"/>
                <w:szCs w:val="18"/>
              </w:rPr>
            </w:pPr>
            <w:r>
              <w:rPr>
                <w:sz w:val="18"/>
                <w:szCs w:val="18"/>
              </w:rPr>
              <w:t>-</w:t>
            </w:r>
          </w:p>
        </w:tc>
        <w:tc>
          <w:tcPr>
            <w:tcW w:w="2155" w:type="dxa"/>
            <w:vAlign w:val="bottom"/>
          </w:tcPr>
          <w:p w14:paraId="039CAA1F" w14:textId="6A67334B" w:rsidR="00224102" w:rsidRDefault="00224102" w:rsidP="00224102">
            <w:pPr>
              <w:jc w:val="right"/>
              <w:rPr>
                <w:sz w:val="18"/>
                <w:szCs w:val="18"/>
              </w:rPr>
            </w:pPr>
            <w:r>
              <w:rPr>
                <w:sz w:val="18"/>
                <w:szCs w:val="18"/>
              </w:rPr>
              <w:t>-</w:t>
            </w:r>
          </w:p>
        </w:tc>
        <w:tc>
          <w:tcPr>
            <w:tcW w:w="1890" w:type="dxa"/>
            <w:vAlign w:val="bottom"/>
          </w:tcPr>
          <w:p w14:paraId="2C371FD6" w14:textId="52411D20" w:rsidR="00224102" w:rsidRPr="003E5443" w:rsidRDefault="00224102" w:rsidP="00224102">
            <w:pPr>
              <w:jc w:val="right"/>
              <w:rPr>
                <w:bCs/>
                <w:sz w:val="18"/>
                <w:szCs w:val="18"/>
              </w:rPr>
            </w:pPr>
            <w:r w:rsidRPr="003E5443">
              <w:rPr>
                <w:bCs/>
                <w:sz w:val="18"/>
                <w:szCs w:val="18"/>
              </w:rPr>
              <w:t>-</w:t>
            </w:r>
          </w:p>
        </w:tc>
      </w:tr>
      <w:tr w:rsidR="00224102" w:rsidRPr="00604C75" w14:paraId="74A23F34" w14:textId="77777777" w:rsidTr="00AD726D">
        <w:trPr>
          <w:trHeight w:val="204"/>
        </w:trPr>
        <w:tc>
          <w:tcPr>
            <w:tcW w:w="3738" w:type="dxa"/>
            <w:vAlign w:val="bottom"/>
          </w:tcPr>
          <w:p w14:paraId="2A8D34D6" w14:textId="609E0698" w:rsidR="00224102" w:rsidRPr="00604C75" w:rsidRDefault="00224102" w:rsidP="00224102">
            <w:pPr>
              <w:tabs>
                <w:tab w:val="left" w:pos="851"/>
              </w:tabs>
              <w:rPr>
                <w:noProof/>
                <w:sz w:val="18"/>
                <w:szCs w:val="18"/>
              </w:rPr>
            </w:pPr>
            <w:r w:rsidRPr="00604C75">
              <w:rPr>
                <w:noProof/>
                <w:sz w:val="18"/>
                <w:szCs w:val="18"/>
              </w:rPr>
              <w:t xml:space="preserve">Consumer </w:t>
            </w:r>
            <w:r>
              <w:rPr>
                <w:noProof/>
                <w:sz w:val="18"/>
                <w:szCs w:val="18"/>
              </w:rPr>
              <w:t>L</w:t>
            </w:r>
            <w:r w:rsidRPr="00604C75">
              <w:rPr>
                <w:noProof/>
                <w:sz w:val="18"/>
                <w:szCs w:val="18"/>
              </w:rPr>
              <w:t>oans</w:t>
            </w:r>
          </w:p>
        </w:tc>
        <w:tc>
          <w:tcPr>
            <w:tcW w:w="1596" w:type="dxa"/>
            <w:vAlign w:val="bottom"/>
          </w:tcPr>
          <w:p w14:paraId="0630B715" w14:textId="596BDE74" w:rsidR="00224102" w:rsidRDefault="00224102" w:rsidP="00224102">
            <w:pPr>
              <w:jc w:val="right"/>
              <w:rPr>
                <w:sz w:val="18"/>
                <w:szCs w:val="18"/>
              </w:rPr>
            </w:pPr>
            <w:r>
              <w:rPr>
                <w:sz w:val="18"/>
                <w:szCs w:val="18"/>
              </w:rPr>
              <w:t>-</w:t>
            </w:r>
          </w:p>
        </w:tc>
        <w:tc>
          <w:tcPr>
            <w:tcW w:w="2155" w:type="dxa"/>
            <w:vAlign w:val="bottom"/>
          </w:tcPr>
          <w:p w14:paraId="15EC6318" w14:textId="6E1F597D" w:rsidR="00224102" w:rsidRDefault="00224102" w:rsidP="00224102">
            <w:pPr>
              <w:jc w:val="right"/>
              <w:rPr>
                <w:sz w:val="18"/>
                <w:szCs w:val="18"/>
              </w:rPr>
            </w:pPr>
            <w:r>
              <w:rPr>
                <w:sz w:val="18"/>
                <w:szCs w:val="18"/>
              </w:rPr>
              <w:t>-</w:t>
            </w:r>
          </w:p>
        </w:tc>
        <w:tc>
          <w:tcPr>
            <w:tcW w:w="1890" w:type="dxa"/>
            <w:vAlign w:val="bottom"/>
          </w:tcPr>
          <w:p w14:paraId="28A2479E" w14:textId="2C383A5F" w:rsidR="00224102" w:rsidRPr="003E5443" w:rsidRDefault="00224102" w:rsidP="00224102">
            <w:pPr>
              <w:jc w:val="right"/>
              <w:rPr>
                <w:bCs/>
                <w:sz w:val="18"/>
                <w:szCs w:val="18"/>
              </w:rPr>
            </w:pPr>
            <w:r w:rsidRPr="003E5443">
              <w:rPr>
                <w:bCs/>
                <w:sz w:val="18"/>
                <w:szCs w:val="18"/>
              </w:rPr>
              <w:t>-</w:t>
            </w:r>
          </w:p>
        </w:tc>
      </w:tr>
      <w:tr w:rsidR="00224102" w:rsidRPr="00604C75" w14:paraId="1906813E" w14:textId="77777777" w:rsidTr="00AD726D">
        <w:trPr>
          <w:trHeight w:val="204"/>
        </w:trPr>
        <w:tc>
          <w:tcPr>
            <w:tcW w:w="3738" w:type="dxa"/>
            <w:vAlign w:val="bottom"/>
          </w:tcPr>
          <w:p w14:paraId="0F5FA0AF" w14:textId="77777777" w:rsidR="00224102" w:rsidRPr="00604C75" w:rsidRDefault="00224102" w:rsidP="00224102">
            <w:pPr>
              <w:tabs>
                <w:tab w:val="left" w:pos="851"/>
              </w:tabs>
              <w:rPr>
                <w:rFonts w:eastAsia="Arial Unicode MS"/>
                <w:noProof/>
                <w:sz w:val="18"/>
                <w:szCs w:val="18"/>
              </w:rPr>
            </w:pPr>
            <w:r w:rsidRPr="00604C75">
              <w:rPr>
                <w:noProof/>
                <w:sz w:val="18"/>
                <w:szCs w:val="18"/>
              </w:rPr>
              <w:t>Other</w:t>
            </w:r>
          </w:p>
        </w:tc>
        <w:tc>
          <w:tcPr>
            <w:tcW w:w="1596" w:type="dxa"/>
            <w:vAlign w:val="bottom"/>
          </w:tcPr>
          <w:p w14:paraId="62A4178A" w14:textId="78E804FA" w:rsidR="00224102" w:rsidRDefault="00224102" w:rsidP="00224102">
            <w:pPr>
              <w:jc w:val="right"/>
              <w:rPr>
                <w:sz w:val="18"/>
                <w:szCs w:val="18"/>
              </w:rPr>
            </w:pPr>
            <w:r>
              <w:rPr>
                <w:sz w:val="18"/>
                <w:szCs w:val="18"/>
              </w:rPr>
              <w:t>-</w:t>
            </w:r>
          </w:p>
        </w:tc>
        <w:tc>
          <w:tcPr>
            <w:tcW w:w="2155" w:type="dxa"/>
            <w:vAlign w:val="bottom"/>
          </w:tcPr>
          <w:p w14:paraId="4C27EB4A" w14:textId="2FE6EE72" w:rsidR="00224102" w:rsidRDefault="00224102" w:rsidP="00224102">
            <w:pPr>
              <w:jc w:val="right"/>
              <w:rPr>
                <w:sz w:val="18"/>
                <w:szCs w:val="18"/>
              </w:rPr>
            </w:pPr>
            <w:r>
              <w:rPr>
                <w:sz w:val="18"/>
                <w:szCs w:val="18"/>
              </w:rPr>
              <w:t>-</w:t>
            </w:r>
          </w:p>
        </w:tc>
        <w:tc>
          <w:tcPr>
            <w:tcW w:w="1890" w:type="dxa"/>
            <w:vAlign w:val="bottom"/>
          </w:tcPr>
          <w:p w14:paraId="327A4DC6" w14:textId="1282BFC5" w:rsidR="00224102" w:rsidRPr="003E5443" w:rsidRDefault="00224102" w:rsidP="00224102">
            <w:pPr>
              <w:jc w:val="right"/>
              <w:rPr>
                <w:bCs/>
                <w:sz w:val="18"/>
                <w:szCs w:val="18"/>
              </w:rPr>
            </w:pPr>
            <w:r w:rsidRPr="003E5443">
              <w:rPr>
                <w:bCs/>
                <w:sz w:val="18"/>
                <w:szCs w:val="18"/>
              </w:rPr>
              <w:t>-</w:t>
            </w:r>
          </w:p>
        </w:tc>
      </w:tr>
      <w:tr w:rsidR="00224102" w:rsidRPr="00604C75" w14:paraId="518F7D2A" w14:textId="77777777" w:rsidTr="00AD726D">
        <w:trPr>
          <w:trHeight w:val="187"/>
        </w:trPr>
        <w:tc>
          <w:tcPr>
            <w:tcW w:w="3738" w:type="dxa"/>
            <w:vAlign w:val="bottom"/>
          </w:tcPr>
          <w:p w14:paraId="2998F8F9"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Individual Credit Cards-TL</w:t>
            </w:r>
          </w:p>
        </w:tc>
        <w:tc>
          <w:tcPr>
            <w:tcW w:w="1596" w:type="dxa"/>
            <w:vAlign w:val="bottom"/>
          </w:tcPr>
          <w:p w14:paraId="6C942CF0" w14:textId="51BC3EAE" w:rsidR="00224102" w:rsidRDefault="00224102" w:rsidP="00224102">
            <w:pPr>
              <w:jc w:val="right"/>
              <w:rPr>
                <w:b/>
                <w:bCs/>
                <w:sz w:val="18"/>
                <w:szCs w:val="18"/>
              </w:rPr>
            </w:pPr>
            <w:r>
              <w:rPr>
                <w:b/>
                <w:bCs/>
                <w:sz w:val="18"/>
                <w:szCs w:val="18"/>
              </w:rPr>
              <w:t>8,928</w:t>
            </w:r>
          </w:p>
        </w:tc>
        <w:tc>
          <w:tcPr>
            <w:tcW w:w="2155" w:type="dxa"/>
            <w:vAlign w:val="bottom"/>
          </w:tcPr>
          <w:p w14:paraId="0B8CF425" w14:textId="297A79CF" w:rsidR="00224102" w:rsidRDefault="00224102" w:rsidP="00224102">
            <w:pPr>
              <w:jc w:val="right"/>
              <w:rPr>
                <w:b/>
                <w:bCs/>
                <w:sz w:val="18"/>
                <w:szCs w:val="18"/>
              </w:rPr>
            </w:pPr>
            <w:r>
              <w:rPr>
                <w:b/>
                <w:bCs/>
                <w:sz w:val="18"/>
                <w:szCs w:val="18"/>
              </w:rPr>
              <w:t>-</w:t>
            </w:r>
          </w:p>
        </w:tc>
        <w:tc>
          <w:tcPr>
            <w:tcW w:w="1890" w:type="dxa"/>
            <w:vAlign w:val="bottom"/>
          </w:tcPr>
          <w:p w14:paraId="397ED3C8" w14:textId="3D043E6E" w:rsidR="00224102" w:rsidRDefault="00224102" w:rsidP="00224102">
            <w:pPr>
              <w:jc w:val="right"/>
              <w:rPr>
                <w:b/>
                <w:bCs/>
                <w:sz w:val="18"/>
                <w:szCs w:val="18"/>
              </w:rPr>
            </w:pPr>
            <w:r>
              <w:rPr>
                <w:b/>
                <w:bCs/>
                <w:sz w:val="18"/>
                <w:szCs w:val="18"/>
              </w:rPr>
              <w:t>8,928</w:t>
            </w:r>
          </w:p>
        </w:tc>
      </w:tr>
      <w:tr w:rsidR="00224102" w:rsidRPr="00604C75" w14:paraId="6B4D81FE" w14:textId="77777777" w:rsidTr="00AD726D">
        <w:trPr>
          <w:trHeight w:val="204"/>
        </w:trPr>
        <w:tc>
          <w:tcPr>
            <w:tcW w:w="3738" w:type="dxa"/>
            <w:vAlign w:val="bottom"/>
          </w:tcPr>
          <w:p w14:paraId="08C1A87A" w14:textId="296FCDF0" w:rsidR="00224102" w:rsidRPr="00604C75" w:rsidRDefault="00224102" w:rsidP="00224102">
            <w:pPr>
              <w:tabs>
                <w:tab w:val="left" w:pos="851"/>
              </w:tabs>
              <w:rPr>
                <w:noProof/>
                <w:sz w:val="18"/>
                <w:szCs w:val="18"/>
              </w:rPr>
            </w:pPr>
            <w:r w:rsidRPr="00604C75">
              <w:rPr>
                <w:noProof/>
                <w:sz w:val="18"/>
                <w:szCs w:val="18"/>
              </w:rPr>
              <w:t xml:space="preserve">With </w:t>
            </w:r>
            <w:r>
              <w:rPr>
                <w:noProof/>
                <w:sz w:val="18"/>
                <w:szCs w:val="18"/>
              </w:rPr>
              <w:t>I</w:t>
            </w:r>
            <w:r w:rsidRPr="00604C75">
              <w:rPr>
                <w:noProof/>
                <w:sz w:val="18"/>
                <w:szCs w:val="18"/>
              </w:rPr>
              <w:t>nstallments</w:t>
            </w:r>
          </w:p>
        </w:tc>
        <w:tc>
          <w:tcPr>
            <w:tcW w:w="1596" w:type="dxa"/>
            <w:vAlign w:val="bottom"/>
          </w:tcPr>
          <w:p w14:paraId="0868F93C" w14:textId="1C668F51" w:rsidR="00224102" w:rsidRDefault="00224102" w:rsidP="00224102">
            <w:pPr>
              <w:jc w:val="right"/>
              <w:rPr>
                <w:sz w:val="18"/>
                <w:szCs w:val="18"/>
              </w:rPr>
            </w:pPr>
            <w:r>
              <w:rPr>
                <w:sz w:val="18"/>
                <w:szCs w:val="18"/>
              </w:rPr>
              <w:t>3,102</w:t>
            </w:r>
          </w:p>
        </w:tc>
        <w:tc>
          <w:tcPr>
            <w:tcW w:w="2155" w:type="dxa"/>
            <w:vAlign w:val="bottom"/>
          </w:tcPr>
          <w:p w14:paraId="3E2E2D04" w14:textId="5CCF7E03" w:rsidR="00224102" w:rsidRDefault="00224102" w:rsidP="00224102">
            <w:pPr>
              <w:jc w:val="right"/>
              <w:rPr>
                <w:sz w:val="18"/>
                <w:szCs w:val="18"/>
              </w:rPr>
            </w:pPr>
            <w:r>
              <w:rPr>
                <w:sz w:val="18"/>
                <w:szCs w:val="18"/>
              </w:rPr>
              <w:t>-</w:t>
            </w:r>
          </w:p>
        </w:tc>
        <w:tc>
          <w:tcPr>
            <w:tcW w:w="1890" w:type="dxa"/>
            <w:vAlign w:val="bottom"/>
          </w:tcPr>
          <w:p w14:paraId="0C81D177" w14:textId="7D02DAAD" w:rsidR="00224102" w:rsidRPr="0084587E" w:rsidRDefault="00224102" w:rsidP="00224102">
            <w:pPr>
              <w:jc w:val="right"/>
              <w:rPr>
                <w:bCs/>
                <w:sz w:val="18"/>
                <w:szCs w:val="18"/>
              </w:rPr>
            </w:pPr>
            <w:r w:rsidRPr="0084587E">
              <w:rPr>
                <w:bCs/>
                <w:sz w:val="18"/>
                <w:szCs w:val="18"/>
              </w:rPr>
              <w:t>3,102</w:t>
            </w:r>
          </w:p>
        </w:tc>
      </w:tr>
      <w:tr w:rsidR="00224102" w:rsidRPr="00604C75" w14:paraId="74A456A1" w14:textId="77777777" w:rsidTr="00AD726D">
        <w:trPr>
          <w:trHeight w:val="204"/>
        </w:trPr>
        <w:tc>
          <w:tcPr>
            <w:tcW w:w="3738" w:type="dxa"/>
            <w:vAlign w:val="bottom"/>
          </w:tcPr>
          <w:p w14:paraId="1780DD38" w14:textId="413C2610" w:rsidR="00224102" w:rsidRPr="00604C75" w:rsidRDefault="00224102" w:rsidP="00224102">
            <w:pPr>
              <w:tabs>
                <w:tab w:val="left" w:pos="851"/>
              </w:tabs>
              <w:rPr>
                <w:rFonts w:eastAsia="Arial Unicode MS"/>
                <w:noProof/>
                <w:sz w:val="18"/>
                <w:szCs w:val="18"/>
              </w:rPr>
            </w:pPr>
            <w:r w:rsidRPr="00604C75">
              <w:rPr>
                <w:noProof/>
                <w:sz w:val="18"/>
                <w:szCs w:val="18"/>
              </w:rPr>
              <w:t xml:space="preserve">Without </w:t>
            </w:r>
            <w:r>
              <w:rPr>
                <w:noProof/>
                <w:sz w:val="18"/>
                <w:szCs w:val="18"/>
              </w:rPr>
              <w:t>I</w:t>
            </w:r>
            <w:r w:rsidRPr="00604C75">
              <w:rPr>
                <w:noProof/>
                <w:sz w:val="18"/>
                <w:szCs w:val="18"/>
              </w:rPr>
              <w:t>nstallments</w:t>
            </w:r>
          </w:p>
        </w:tc>
        <w:tc>
          <w:tcPr>
            <w:tcW w:w="1596" w:type="dxa"/>
            <w:vAlign w:val="bottom"/>
          </w:tcPr>
          <w:p w14:paraId="45B36F35" w14:textId="26F4CE74" w:rsidR="00224102" w:rsidRDefault="00224102" w:rsidP="00224102">
            <w:pPr>
              <w:jc w:val="right"/>
              <w:rPr>
                <w:sz w:val="18"/>
                <w:szCs w:val="18"/>
              </w:rPr>
            </w:pPr>
            <w:r>
              <w:rPr>
                <w:sz w:val="18"/>
                <w:szCs w:val="18"/>
              </w:rPr>
              <w:t>5,826</w:t>
            </w:r>
          </w:p>
        </w:tc>
        <w:tc>
          <w:tcPr>
            <w:tcW w:w="2155" w:type="dxa"/>
            <w:vAlign w:val="bottom"/>
          </w:tcPr>
          <w:p w14:paraId="0FBE1122" w14:textId="76135DAA" w:rsidR="00224102" w:rsidRDefault="00224102" w:rsidP="00224102">
            <w:pPr>
              <w:jc w:val="right"/>
              <w:rPr>
                <w:sz w:val="18"/>
                <w:szCs w:val="18"/>
              </w:rPr>
            </w:pPr>
            <w:r>
              <w:rPr>
                <w:sz w:val="18"/>
                <w:szCs w:val="18"/>
              </w:rPr>
              <w:t>-</w:t>
            </w:r>
          </w:p>
        </w:tc>
        <w:tc>
          <w:tcPr>
            <w:tcW w:w="1890" w:type="dxa"/>
            <w:vAlign w:val="bottom"/>
          </w:tcPr>
          <w:p w14:paraId="09A406C5" w14:textId="0F134ABE" w:rsidR="00224102" w:rsidRPr="0084587E" w:rsidRDefault="00224102" w:rsidP="00224102">
            <w:pPr>
              <w:jc w:val="right"/>
              <w:rPr>
                <w:bCs/>
                <w:sz w:val="18"/>
                <w:szCs w:val="18"/>
              </w:rPr>
            </w:pPr>
            <w:r w:rsidRPr="0084587E">
              <w:rPr>
                <w:bCs/>
                <w:sz w:val="18"/>
                <w:szCs w:val="18"/>
              </w:rPr>
              <w:t>5,826</w:t>
            </w:r>
          </w:p>
        </w:tc>
      </w:tr>
      <w:tr w:rsidR="00224102" w:rsidRPr="00604C75" w14:paraId="7D8681E1" w14:textId="77777777" w:rsidTr="00AD726D">
        <w:trPr>
          <w:trHeight w:val="187"/>
        </w:trPr>
        <w:tc>
          <w:tcPr>
            <w:tcW w:w="3738" w:type="dxa"/>
            <w:vAlign w:val="bottom"/>
          </w:tcPr>
          <w:p w14:paraId="5F9C5EFD"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Individual Credit Cards- FC</w:t>
            </w:r>
          </w:p>
        </w:tc>
        <w:tc>
          <w:tcPr>
            <w:tcW w:w="1596" w:type="dxa"/>
            <w:vAlign w:val="bottom"/>
          </w:tcPr>
          <w:p w14:paraId="0CF4FD89" w14:textId="5FF6AF93" w:rsidR="00224102" w:rsidRDefault="00224102" w:rsidP="00224102">
            <w:pPr>
              <w:jc w:val="right"/>
              <w:rPr>
                <w:b/>
                <w:bCs/>
                <w:sz w:val="18"/>
                <w:szCs w:val="18"/>
              </w:rPr>
            </w:pPr>
            <w:r>
              <w:rPr>
                <w:b/>
                <w:bCs/>
                <w:sz w:val="18"/>
                <w:szCs w:val="18"/>
              </w:rPr>
              <w:t>12</w:t>
            </w:r>
          </w:p>
        </w:tc>
        <w:tc>
          <w:tcPr>
            <w:tcW w:w="2155" w:type="dxa"/>
            <w:vAlign w:val="bottom"/>
          </w:tcPr>
          <w:p w14:paraId="2DAF1A48" w14:textId="2FFB5E50" w:rsidR="00224102" w:rsidRDefault="00224102" w:rsidP="00224102">
            <w:pPr>
              <w:jc w:val="right"/>
              <w:rPr>
                <w:b/>
                <w:bCs/>
                <w:sz w:val="18"/>
                <w:szCs w:val="18"/>
              </w:rPr>
            </w:pPr>
            <w:r>
              <w:rPr>
                <w:b/>
                <w:bCs/>
                <w:sz w:val="18"/>
                <w:szCs w:val="18"/>
              </w:rPr>
              <w:t>-</w:t>
            </w:r>
          </w:p>
        </w:tc>
        <w:tc>
          <w:tcPr>
            <w:tcW w:w="1890" w:type="dxa"/>
            <w:vAlign w:val="bottom"/>
          </w:tcPr>
          <w:p w14:paraId="319007C3" w14:textId="04D605F1" w:rsidR="00224102" w:rsidRPr="0084587E" w:rsidRDefault="00224102" w:rsidP="00224102">
            <w:pPr>
              <w:jc w:val="right"/>
              <w:rPr>
                <w:bCs/>
                <w:sz w:val="18"/>
                <w:szCs w:val="18"/>
              </w:rPr>
            </w:pPr>
            <w:r w:rsidRPr="0084587E">
              <w:rPr>
                <w:bCs/>
                <w:sz w:val="18"/>
                <w:szCs w:val="18"/>
              </w:rPr>
              <w:t>12</w:t>
            </w:r>
          </w:p>
        </w:tc>
      </w:tr>
      <w:tr w:rsidR="00224102" w:rsidRPr="00604C75" w14:paraId="60252801" w14:textId="77777777" w:rsidTr="00AD726D">
        <w:trPr>
          <w:trHeight w:val="204"/>
        </w:trPr>
        <w:tc>
          <w:tcPr>
            <w:tcW w:w="3738" w:type="dxa"/>
            <w:vAlign w:val="bottom"/>
          </w:tcPr>
          <w:p w14:paraId="2C317DDD" w14:textId="3B8CFE4B" w:rsidR="00224102" w:rsidRPr="00604C75" w:rsidRDefault="00224102" w:rsidP="00224102">
            <w:pPr>
              <w:tabs>
                <w:tab w:val="left" w:pos="851"/>
              </w:tabs>
              <w:rPr>
                <w:noProof/>
                <w:sz w:val="18"/>
                <w:szCs w:val="18"/>
              </w:rPr>
            </w:pPr>
            <w:r w:rsidRPr="00604C75">
              <w:rPr>
                <w:noProof/>
                <w:sz w:val="18"/>
                <w:szCs w:val="18"/>
              </w:rPr>
              <w:t xml:space="preserve">With </w:t>
            </w:r>
            <w:r>
              <w:rPr>
                <w:noProof/>
                <w:sz w:val="18"/>
                <w:szCs w:val="18"/>
              </w:rPr>
              <w:t>I</w:t>
            </w:r>
            <w:r w:rsidRPr="00604C75">
              <w:rPr>
                <w:noProof/>
                <w:sz w:val="18"/>
                <w:szCs w:val="18"/>
              </w:rPr>
              <w:t>nstallments</w:t>
            </w:r>
          </w:p>
        </w:tc>
        <w:tc>
          <w:tcPr>
            <w:tcW w:w="1596" w:type="dxa"/>
            <w:vAlign w:val="bottom"/>
          </w:tcPr>
          <w:p w14:paraId="01B65B22" w14:textId="412393E4" w:rsidR="00224102" w:rsidRDefault="00224102" w:rsidP="00224102">
            <w:pPr>
              <w:jc w:val="right"/>
              <w:rPr>
                <w:sz w:val="18"/>
                <w:szCs w:val="18"/>
              </w:rPr>
            </w:pPr>
            <w:r>
              <w:rPr>
                <w:sz w:val="18"/>
                <w:szCs w:val="18"/>
              </w:rPr>
              <w:t>-</w:t>
            </w:r>
          </w:p>
        </w:tc>
        <w:tc>
          <w:tcPr>
            <w:tcW w:w="2155" w:type="dxa"/>
            <w:vAlign w:val="bottom"/>
          </w:tcPr>
          <w:p w14:paraId="4BD2E4A4" w14:textId="0B25D259" w:rsidR="00224102" w:rsidRDefault="00224102" w:rsidP="00224102">
            <w:pPr>
              <w:jc w:val="right"/>
              <w:rPr>
                <w:sz w:val="18"/>
                <w:szCs w:val="18"/>
              </w:rPr>
            </w:pPr>
            <w:r>
              <w:rPr>
                <w:sz w:val="18"/>
                <w:szCs w:val="18"/>
              </w:rPr>
              <w:t>-</w:t>
            </w:r>
          </w:p>
        </w:tc>
        <w:tc>
          <w:tcPr>
            <w:tcW w:w="1890" w:type="dxa"/>
            <w:vAlign w:val="bottom"/>
          </w:tcPr>
          <w:p w14:paraId="749A57BF" w14:textId="2D4B2B82" w:rsidR="00224102" w:rsidRDefault="00224102" w:rsidP="00224102">
            <w:pPr>
              <w:jc w:val="right"/>
              <w:rPr>
                <w:b/>
                <w:bCs/>
                <w:sz w:val="18"/>
                <w:szCs w:val="18"/>
              </w:rPr>
            </w:pPr>
            <w:r>
              <w:rPr>
                <w:b/>
                <w:bCs/>
                <w:sz w:val="18"/>
                <w:szCs w:val="18"/>
              </w:rPr>
              <w:t>-</w:t>
            </w:r>
          </w:p>
        </w:tc>
      </w:tr>
      <w:tr w:rsidR="00224102" w:rsidRPr="00604C75" w14:paraId="440C1D5F" w14:textId="77777777" w:rsidTr="00AD726D">
        <w:trPr>
          <w:trHeight w:val="204"/>
        </w:trPr>
        <w:tc>
          <w:tcPr>
            <w:tcW w:w="3738" w:type="dxa"/>
            <w:vAlign w:val="bottom"/>
          </w:tcPr>
          <w:p w14:paraId="0C7CA4AE" w14:textId="2B044BDA" w:rsidR="00224102" w:rsidRPr="00604C75" w:rsidRDefault="00224102" w:rsidP="00224102">
            <w:pPr>
              <w:tabs>
                <w:tab w:val="left" w:pos="851"/>
              </w:tabs>
              <w:rPr>
                <w:rFonts w:eastAsia="Arial Unicode MS"/>
                <w:noProof/>
                <w:sz w:val="18"/>
                <w:szCs w:val="18"/>
              </w:rPr>
            </w:pPr>
            <w:r w:rsidRPr="00604C75">
              <w:rPr>
                <w:noProof/>
                <w:sz w:val="18"/>
                <w:szCs w:val="18"/>
              </w:rPr>
              <w:t xml:space="preserve">Without </w:t>
            </w:r>
            <w:r>
              <w:rPr>
                <w:noProof/>
                <w:sz w:val="18"/>
                <w:szCs w:val="18"/>
              </w:rPr>
              <w:t>I</w:t>
            </w:r>
            <w:r w:rsidRPr="00604C75">
              <w:rPr>
                <w:noProof/>
                <w:sz w:val="18"/>
                <w:szCs w:val="18"/>
              </w:rPr>
              <w:t>nstallments</w:t>
            </w:r>
          </w:p>
        </w:tc>
        <w:tc>
          <w:tcPr>
            <w:tcW w:w="1596" w:type="dxa"/>
            <w:vAlign w:val="bottom"/>
          </w:tcPr>
          <w:p w14:paraId="24C6536C" w14:textId="64A9136F" w:rsidR="00224102" w:rsidRDefault="00224102" w:rsidP="00224102">
            <w:pPr>
              <w:jc w:val="right"/>
              <w:rPr>
                <w:sz w:val="18"/>
                <w:szCs w:val="18"/>
              </w:rPr>
            </w:pPr>
            <w:r>
              <w:rPr>
                <w:sz w:val="18"/>
                <w:szCs w:val="18"/>
              </w:rPr>
              <w:t>12</w:t>
            </w:r>
          </w:p>
        </w:tc>
        <w:tc>
          <w:tcPr>
            <w:tcW w:w="2155" w:type="dxa"/>
            <w:vAlign w:val="bottom"/>
          </w:tcPr>
          <w:p w14:paraId="677B1027" w14:textId="6167AC5B" w:rsidR="00224102" w:rsidRDefault="00224102" w:rsidP="00224102">
            <w:pPr>
              <w:jc w:val="right"/>
              <w:rPr>
                <w:sz w:val="18"/>
                <w:szCs w:val="18"/>
              </w:rPr>
            </w:pPr>
            <w:r>
              <w:rPr>
                <w:sz w:val="18"/>
                <w:szCs w:val="18"/>
              </w:rPr>
              <w:t>-</w:t>
            </w:r>
          </w:p>
        </w:tc>
        <w:tc>
          <w:tcPr>
            <w:tcW w:w="1890" w:type="dxa"/>
            <w:vAlign w:val="bottom"/>
          </w:tcPr>
          <w:p w14:paraId="772791AA" w14:textId="3B44D978" w:rsidR="00224102" w:rsidRPr="0084587E" w:rsidRDefault="00224102" w:rsidP="00224102">
            <w:pPr>
              <w:jc w:val="right"/>
              <w:rPr>
                <w:bCs/>
                <w:sz w:val="18"/>
                <w:szCs w:val="18"/>
              </w:rPr>
            </w:pPr>
            <w:r w:rsidRPr="0084587E">
              <w:rPr>
                <w:bCs/>
                <w:sz w:val="18"/>
                <w:szCs w:val="18"/>
              </w:rPr>
              <w:t>12</w:t>
            </w:r>
          </w:p>
        </w:tc>
      </w:tr>
      <w:tr w:rsidR="00224102" w:rsidRPr="00604C75" w14:paraId="0DEEF1F7" w14:textId="77777777" w:rsidTr="00AD726D">
        <w:trPr>
          <w:trHeight w:val="187"/>
        </w:trPr>
        <w:tc>
          <w:tcPr>
            <w:tcW w:w="3738" w:type="dxa"/>
            <w:vAlign w:val="bottom"/>
          </w:tcPr>
          <w:p w14:paraId="1FCF8DAC"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Personnel Loans-TL</w:t>
            </w:r>
          </w:p>
        </w:tc>
        <w:tc>
          <w:tcPr>
            <w:tcW w:w="1596" w:type="dxa"/>
            <w:vAlign w:val="bottom"/>
          </w:tcPr>
          <w:p w14:paraId="787AAFE3" w14:textId="4A919442" w:rsidR="00224102" w:rsidRDefault="00224102" w:rsidP="00224102">
            <w:pPr>
              <w:jc w:val="right"/>
              <w:rPr>
                <w:b/>
                <w:bCs/>
                <w:sz w:val="18"/>
                <w:szCs w:val="18"/>
              </w:rPr>
            </w:pPr>
            <w:r>
              <w:rPr>
                <w:b/>
                <w:bCs/>
                <w:sz w:val="18"/>
                <w:szCs w:val="18"/>
              </w:rPr>
              <w:t>-</w:t>
            </w:r>
          </w:p>
        </w:tc>
        <w:tc>
          <w:tcPr>
            <w:tcW w:w="2155" w:type="dxa"/>
            <w:vAlign w:val="bottom"/>
          </w:tcPr>
          <w:p w14:paraId="15BA7E58" w14:textId="45C5F852" w:rsidR="00224102" w:rsidRDefault="00224102" w:rsidP="00224102">
            <w:pPr>
              <w:jc w:val="right"/>
              <w:rPr>
                <w:b/>
                <w:bCs/>
                <w:sz w:val="18"/>
                <w:szCs w:val="18"/>
              </w:rPr>
            </w:pPr>
            <w:r>
              <w:rPr>
                <w:b/>
                <w:bCs/>
                <w:sz w:val="18"/>
                <w:szCs w:val="18"/>
              </w:rPr>
              <w:t>4,221</w:t>
            </w:r>
          </w:p>
        </w:tc>
        <w:tc>
          <w:tcPr>
            <w:tcW w:w="1890" w:type="dxa"/>
            <w:vAlign w:val="bottom"/>
          </w:tcPr>
          <w:p w14:paraId="2E8DB895" w14:textId="27A719A9" w:rsidR="00224102" w:rsidRDefault="00224102" w:rsidP="00224102">
            <w:pPr>
              <w:jc w:val="right"/>
              <w:rPr>
                <w:b/>
                <w:bCs/>
                <w:sz w:val="18"/>
                <w:szCs w:val="18"/>
              </w:rPr>
            </w:pPr>
            <w:r>
              <w:rPr>
                <w:b/>
                <w:bCs/>
                <w:sz w:val="18"/>
                <w:szCs w:val="18"/>
              </w:rPr>
              <w:t>4,221</w:t>
            </w:r>
          </w:p>
        </w:tc>
      </w:tr>
      <w:tr w:rsidR="00224102" w:rsidRPr="00604C75" w14:paraId="4FEED394" w14:textId="77777777" w:rsidTr="00AD726D">
        <w:trPr>
          <w:trHeight w:val="204"/>
        </w:trPr>
        <w:tc>
          <w:tcPr>
            <w:tcW w:w="3738" w:type="dxa"/>
            <w:vAlign w:val="bottom"/>
          </w:tcPr>
          <w:p w14:paraId="22C54F4C" w14:textId="2321BE4C" w:rsidR="00224102" w:rsidRPr="00604C75" w:rsidRDefault="00224102" w:rsidP="00224102">
            <w:pPr>
              <w:tabs>
                <w:tab w:val="left" w:pos="851"/>
              </w:tabs>
              <w:rPr>
                <w:rFonts w:eastAsia="Arial Unicode MS"/>
                <w:noProof/>
                <w:sz w:val="18"/>
                <w:szCs w:val="18"/>
              </w:rPr>
            </w:pPr>
            <w:r w:rsidRPr="00604C75">
              <w:rPr>
                <w:noProof/>
                <w:sz w:val="18"/>
                <w:szCs w:val="18"/>
              </w:rPr>
              <w:t xml:space="preserve">Real </w:t>
            </w:r>
            <w:r>
              <w:rPr>
                <w:noProof/>
                <w:sz w:val="18"/>
                <w:szCs w:val="18"/>
              </w:rPr>
              <w:t>E</w:t>
            </w:r>
            <w:r w:rsidRPr="00604C75">
              <w:rPr>
                <w:noProof/>
                <w:sz w:val="18"/>
                <w:szCs w:val="18"/>
              </w:rPr>
              <w:t xml:space="preserve">state </w:t>
            </w:r>
            <w:r>
              <w:rPr>
                <w:noProof/>
                <w:sz w:val="18"/>
                <w:szCs w:val="18"/>
              </w:rPr>
              <w:t>L</w:t>
            </w:r>
            <w:r w:rsidRPr="00604C75">
              <w:rPr>
                <w:noProof/>
                <w:sz w:val="18"/>
                <w:szCs w:val="18"/>
              </w:rPr>
              <w:t>oans</w:t>
            </w:r>
          </w:p>
        </w:tc>
        <w:tc>
          <w:tcPr>
            <w:tcW w:w="1596" w:type="dxa"/>
            <w:vAlign w:val="bottom"/>
          </w:tcPr>
          <w:p w14:paraId="067FE3CA" w14:textId="47E55981" w:rsidR="00224102" w:rsidRDefault="00224102" w:rsidP="00224102">
            <w:pPr>
              <w:jc w:val="right"/>
              <w:rPr>
                <w:sz w:val="18"/>
                <w:szCs w:val="18"/>
              </w:rPr>
            </w:pPr>
            <w:r>
              <w:rPr>
                <w:sz w:val="18"/>
                <w:szCs w:val="18"/>
              </w:rPr>
              <w:t>-</w:t>
            </w:r>
          </w:p>
        </w:tc>
        <w:tc>
          <w:tcPr>
            <w:tcW w:w="2155" w:type="dxa"/>
            <w:vAlign w:val="bottom"/>
          </w:tcPr>
          <w:p w14:paraId="7352734D" w14:textId="6B3A8DA0" w:rsidR="00224102" w:rsidRDefault="00224102" w:rsidP="00224102">
            <w:pPr>
              <w:jc w:val="right"/>
              <w:rPr>
                <w:sz w:val="18"/>
                <w:szCs w:val="18"/>
              </w:rPr>
            </w:pPr>
            <w:r>
              <w:rPr>
                <w:sz w:val="18"/>
                <w:szCs w:val="18"/>
              </w:rPr>
              <w:t>-</w:t>
            </w:r>
          </w:p>
        </w:tc>
        <w:tc>
          <w:tcPr>
            <w:tcW w:w="1890" w:type="dxa"/>
            <w:vAlign w:val="bottom"/>
          </w:tcPr>
          <w:p w14:paraId="3D1E56A5" w14:textId="12CCEE3B" w:rsidR="00224102" w:rsidRDefault="00224102" w:rsidP="00224102">
            <w:pPr>
              <w:jc w:val="right"/>
              <w:rPr>
                <w:b/>
                <w:bCs/>
                <w:sz w:val="18"/>
                <w:szCs w:val="18"/>
              </w:rPr>
            </w:pPr>
            <w:r>
              <w:rPr>
                <w:b/>
                <w:bCs/>
                <w:sz w:val="18"/>
                <w:szCs w:val="18"/>
              </w:rPr>
              <w:t>-</w:t>
            </w:r>
          </w:p>
        </w:tc>
      </w:tr>
      <w:tr w:rsidR="00224102" w:rsidRPr="00604C75" w14:paraId="670950EA" w14:textId="77777777" w:rsidTr="00AD726D">
        <w:trPr>
          <w:trHeight w:val="204"/>
        </w:trPr>
        <w:tc>
          <w:tcPr>
            <w:tcW w:w="3738" w:type="dxa"/>
            <w:vAlign w:val="bottom"/>
          </w:tcPr>
          <w:p w14:paraId="1837B43A" w14:textId="608E2E64" w:rsidR="00224102" w:rsidRPr="00604C75" w:rsidRDefault="00224102" w:rsidP="00224102">
            <w:pPr>
              <w:tabs>
                <w:tab w:val="left" w:pos="851"/>
              </w:tabs>
              <w:rPr>
                <w:rFonts w:eastAsia="Arial Unicode MS"/>
                <w:noProof/>
                <w:sz w:val="18"/>
                <w:szCs w:val="18"/>
              </w:rPr>
            </w:pPr>
            <w:r w:rsidRPr="00604C75">
              <w:rPr>
                <w:noProof/>
                <w:sz w:val="18"/>
                <w:szCs w:val="18"/>
              </w:rPr>
              <w:t xml:space="preserve">Automotive </w:t>
            </w:r>
            <w:r>
              <w:rPr>
                <w:noProof/>
                <w:sz w:val="18"/>
                <w:szCs w:val="18"/>
              </w:rPr>
              <w:t>L</w:t>
            </w:r>
            <w:r w:rsidRPr="00604C75">
              <w:rPr>
                <w:noProof/>
                <w:sz w:val="18"/>
                <w:szCs w:val="18"/>
              </w:rPr>
              <w:t>oans</w:t>
            </w:r>
          </w:p>
        </w:tc>
        <w:tc>
          <w:tcPr>
            <w:tcW w:w="1596" w:type="dxa"/>
            <w:vAlign w:val="bottom"/>
          </w:tcPr>
          <w:p w14:paraId="2C09D848" w14:textId="46E4C7C1" w:rsidR="00224102" w:rsidRDefault="00224102" w:rsidP="00224102">
            <w:pPr>
              <w:jc w:val="right"/>
              <w:rPr>
                <w:sz w:val="18"/>
                <w:szCs w:val="18"/>
              </w:rPr>
            </w:pPr>
            <w:r>
              <w:rPr>
                <w:sz w:val="18"/>
                <w:szCs w:val="18"/>
              </w:rPr>
              <w:t>-</w:t>
            </w:r>
          </w:p>
        </w:tc>
        <w:tc>
          <w:tcPr>
            <w:tcW w:w="2155" w:type="dxa"/>
            <w:vAlign w:val="bottom"/>
          </w:tcPr>
          <w:p w14:paraId="10BB1960" w14:textId="35A01864" w:rsidR="00224102" w:rsidRDefault="00224102" w:rsidP="00224102">
            <w:pPr>
              <w:jc w:val="right"/>
              <w:rPr>
                <w:sz w:val="18"/>
                <w:szCs w:val="18"/>
              </w:rPr>
            </w:pPr>
            <w:r>
              <w:rPr>
                <w:sz w:val="18"/>
                <w:szCs w:val="18"/>
              </w:rPr>
              <w:t>-</w:t>
            </w:r>
          </w:p>
        </w:tc>
        <w:tc>
          <w:tcPr>
            <w:tcW w:w="1890" w:type="dxa"/>
            <w:vAlign w:val="bottom"/>
          </w:tcPr>
          <w:p w14:paraId="74C93BD5" w14:textId="4A9576D6" w:rsidR="00224102" w:rsidRDefault="00224102" w:rsidP="00224102">
            <w:pPr>
              <w:jc w:val="right"/>
              <w:rPr>
                <w:b/>
                <w:bCs/>
                <w:sz w:val="18"/>
                <w:szCs w:val="18"/>
              </w:rPr>
            </w:pPr>
            <w:r>
              <w:rPr>
                <w:b/>
                <w:bCs/>
                <w:sz w:val="18"/>
                <w:szCs w:val="18"/>
              </w:rPr>
              <w:t>-</w:t>
            </w:r>
          </w:p>
        </w:tc>
      </w:tr>
      <w:tr w:rsidR="00224102" w:rsidRPr="00604C75" w14:paraId="74170888" w14:textId="77777777" w:rsidTr="00AD726D">
        <w:trPr>
          <w:trHeight w:val="187"/>
        </w:trPr>
        <w:tc>
          <w:tcPr>
            <w:tcW w:w="3738" w:type="dxa"/>
            <w:vAlign w:val="bottom"/>
          </w:tcPr>
          <w:p w14:paraId="6B7208A2" w14:textId="4996A8CA" w:rsidR="00224102" w:rsidRPr="00604C75" w:rsidRDefault="00224102" w:rsidP="00224102">
            <w:pPr>
              <w:tabs>
                <w:tab w:val="left" w:pos="851"/>
              </w:tabs>
              <w:rPr>
                <w:noProof/>
                <w:sz w:val="18"/>
                <w:szCs w:val="18"/>
              </w:rPr>
            </w:pPr>
            <w:r w:rsidRPr="00604C75">
              <w:rPr>
                <w:noProof/>
                <w:sz w:val="18"/>
                <w:szCs w:val="18"/>
              </w:rPr>
              <w:t xml:space="preserve">Consumer </w:t>
            </w:r>
            <w:r>
              <w:rPr>
                <w:noProof/>
                <w:sz w:val="18"/>
                <w:szCs w:val="18"/>
              </w:rPr>
              <w:t>L</w:t>
            </w:r>
            <w:r w:rsidRPr="00604C75">
              <w:rPr>
                <w:noProof/>
                <w:sz w:val="18"/>
                <w:szCs w:val="18"/>
              </w:rPr>
              <w:t>oans</w:t>
            </w:r>
          </w:p>
        </w:tc>
        <w:tc>
          <w:tcPr>
            <w:tcW w:w="1596" w:type="dxa"/>
            <w:vAlign w:val="bottom"/>
          </w:tcPr>
          <w:p w14:paraId="10C210B6" w14:textId="16808E4C" w:rsidR="00224102" w:rsidRDefault="00224102" w:rsidP="00224102">
            <w:pPr>
              <w:jc w:val="right"/>
              <w:rPr>
                <w:sz w:val="18"/>
                <w:szCs w:val="18"/>
              </w:rPr>
            </w:pPr>
            <w:r>
              <w:rPr>
                <w:sz w:val="18"/>
                <w:szCs w:val="18"/>
              </w:rPr>
              <w:t>-</w:t>
            </w:r>
          </w:p>
        </w:tc>
        <w:tc>
          <w:tcPr>
            <w:tcW w:w="2155" w:type="dxa"/>
            <w:vAlign w:val="bottom"/>
          </w:tcPr>
          <w:p w14:paraId="0007D24A" w14:textId="0B5C1E0A" w:rsidR="00224102" w:rsidRDefault="00224102" w:rsidP="00224102">
            <w:pPr>
              <w:jc w:val="right"/>
              <w:rPr>
                <w:sz w:val="18"/>
                <w:szCs w:val="18"/>
              </w:rPr>
            </w:pPr>
            <w:r>
              <w:rPr>
                <w:sz w:val="18"/>
                <w:szCs w:val="18"/>
              </w:rPr>
              <w:t>4,221</w:t>
            </w:r>
          </w:p>
        </w:tc>
        <w:tc>
          <w:tcPr>
            <w:tcW w:w="1890" w:type="dxa"/>
            <w:vAlign w:val="bottom"/>
          </w:tcPr>
          <w:p w14:paraId="471B0EE4" w14:textId="5AE8F179" w:rsidR="00224102" w:rsidRPr="0084587E" w:rsidRDefault="00224102" w:rsidP="00224102">
            <w:pPr>
              <w:jc w:val="right"/>
              <w:rPr>
                <w:bCs/>
                <w:sz w:val="18"/>
                <w:szCs w:val="18"/>
              </w:rPr>
            </w:pPr>
            <w:r w:rsidRPr="0084587E">
              <w:rPr>
                <w:bCs/>
                <w:sz w:val="18"/>
                <w:szCs w:val="18"/>
              </w:rPr>
              <w:t>4,221</w:t>
            </w:r>
          </w:p>
        </w:tc>
      </w:tr>
      <w:tr w:rsidR="00224102" w:rsidRPr="00604C75" w14:paraId="25D5B798" w14:textId="77777777" w:rsidTr="00AD726D">
        <w:trPr>
          <w:trHeight w:val="204"/>
        </w:trPr>
        <w:tc>
          <w:tcPr>
            <w:tcW w:w="3738" w:type="dxa"/>
            <w:vAlign w:val="bottom"/>
          </w:tcPr>
          <w:p w14:paraId="32AF50BA" w14:textId="77777777" w:rsidR="00224102" w:rsidRPr="00604C75" w:rsidRDefault="00224102" w:rsidP="00224102">
            <w:pPr>
              <w:tabs>
                <w:tab w:val="left" w:pos="851"/>
              </w:tabs>
              <w:rPr>
                <w:rFonts w:eastAsia="Arial Unicode MS"/>
                <w:noProof/>
                <w:sz w:val="18"/>
                <w:szCs w:val="18"/>
              </w:rPr>
            </w:pPr>
            <w:r w:rsidRPr="00604C75">
              <w:rPr>
                <w:noProof/>
                <w:sz w:val="18"/>
                <w:szCs w:val="18"/>
              </w:rPr>
              <w:t>Other</w:t>
            </w:r>
          </w:p>
        </w:tc>
        <w:tc>
          <w:tcPr>
            <w:tcW w:w="1596" w:type="dxa"/>
            <w:vAlign w:val="bottom"/>
          </w:tcPr>
          <w:p w14:paraId="0AB8CB36" w14:textId="37BA74B5" w:rsidR="00224102" w:rsidRDefault="00224102" w:rsidP="00224102">
            <w:pPr>
              <w:jc w:val="right"/>
              <w:rPr>
                <w:sz w:val="18"/>
                <w:szCs w:val="18"/>
              </w:rPr>
            </w:pPr>
            <w:r>
              <w:rPr>
                <w:sz w:val="18"/>
                <w:szCs w:val="18"/>
              </w:rPr>
              <w:t>-</w:t>
            </w:r>
          </w:p>
        </w:tc>
        <w:tc>
          <w:tcPr>
            <w:tcW w:w="2155" w:type="dxa"/>
            <w:vAlign w:val="bottom"/>
          </w:tcPr>
          <w:p w14:paraId="6E588FB6" w14:textId="5935A998" w:rsidR="00224102" w:rsidRDefault="00224102" w:rsidP="00224102">
            <w:pPr>
              <w:jc w:val="right"/>
              <w:rPr>
                <w:sz w:val="18"/>
                <w:szCs w:val="18"/>
              </w:rPr>
            </w:pPr>
            <w:r>
              <w:rPr>
                <w:sz w:val="18"/>
                <w:szCs w:val="18"/>
              </w:rPr>
              <w:t>-</w:t>
            </w:r>
          </w:p>
        </w:tc>
        <w:tc>
          <w:tcPr>
            <w:tcW w:w="1890" w:type="dxa"/>
            <w:vAlign w:val="bottom"/>
          </w:tcPr>
          <w:p w14:paraId="568E22B1" w14:textId="009C6153" w:rsidR="00224102" w:rsidRDefault="00224102" w:rsidP="00224102">
            <w:pPr>
              <w:jc w:val="right"/>
              <w:rPr>
                <w:b/>
                <w:bCs/>
                <w:sz w:val="18"/>
                <w:szCs w:val="18"/>
              </w:rPr>
            </w:pPr>
            <w:r>
              <w:rPr>
                <w:b/>
                <w:bCs/>
                <w:sz w:val="18"/>
                <w:szCs w:val="18"/>
              </w:rPr>
              <w:t>-</w:t>
            </w:r>
          </w:p>
        </w:tc>
      </w:tr>
      <w:tr w:rsidR="00224102" w:rsidRPr="00604C75" w14:paraId="63CED583" w14:textId="77777777" w:rsidTr="00AD726D">
        <w:trPr>
          <w:trHeight w:val="204"/>
        </w:trPr>
        <w:tc>
          <w:tcPr>
            <w:tcW w:w="3738" w:type="dxa"/>
            <w:vAlign w:val="bottom"/>
          </w:tcPr>
          <w:p w14:paraId="12F10D26"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Personnel Loans-FC Indexed</w:t>
            </w:r>
          </w:p>
        </w:tc>
        <w:tc>
          <w:tcPr>
            <w:tcW w:w="1596" w:type="dxa"/>
            <w:vAlign w:val="bottom"/>
          </w:tcPr>
          <w:p w14:paraId="449236DB" w14:textId="7ACF9E51" w:rsidR="00224102" w:rsidRDefault="00224102" w:rsidP="00224102">
            <w:pPr>
              <w:jc w:val="right"/>
              <w:rPr>
                <w:b/>
                <w:bCs/>
                <w:sz w:val="18"/>
                <w:szCs w:val="18"/>
              </w:rPr>
            </w:pPr>
            <w:r>
              <w:rPr>
                <w:b/>
                <w:bCs/>
                <w:sz w:val="18"/>
                <w:szCs w:val="18"/>
              </w:rPr>
              <w:t>-</w:t>
            </w:r>
          </w:p>
        </w:tc>
        <w:tc>
          <w:tcPr>
            <w:tcW w:w="2155" w:type="dxa"/>
            <w:vAlign w:val="bottom"/>
          </w:tcPr>
          <w:p w14:paraId="384F5769" w14:textId="4199AFF2" w:rsidR="00224102" w:rsidRDefault="00224102" w:rsidP="00224102">
            <w:pPr>
              <w:jc w:val="right"/>
              <w:rPr>
                <w:b/>
                <w:bCs/>
                <w:sz w:val="18"/>
                <w:szCs w:val="18"/>
              </w:rPr>
            </w:pPr>
            <w:r>
              <w:rPr>
                <w:b/>
                <w:bCs/>
                <w:sz w:val="18"/>
                <w:szCs w:val="18"/>
              </w:rPr>
              <w:t>-</w:t>
            </w:r>
          </w:p>
        </w:tc>
        <w:tc>
          <w:tcPr>
            <w:tcW w:w="1890" w:type="dxa"/>
            <w:vAlign w:val="bottom"/>
          </w:tcPr>
          <w:p w14:paraId="56D9278B" w14:textId="4F6ECACF" w:rsidR="00224102" w:rsidRDefault="00224102" w:rsidP="00224102">
            <w:pPr>
              <w:jc w:val="right"/>
              <w:rPr>
                <w:b/>
                <w:bCs/>
                <w:sz w:val="18"/>
                <w:szCs w:val="18"/>
              </w:rPr>
            </w:pPr>
            <w:r>
              <w:rPr>
                <w:b/>
                <w:bCs/>
                <w:sz w:val="18"/>
                <w:szCs w:val="18"/>
              </w:rPr>
              <w:t>-</w:t>
            </w:r>
          </w:p>
        </w:tc>
      </w:tr>
      <w:tr w:rsidR="00224102" w:rsidRPr="00604C75" w14:paraId="4D8AFD65" w14:textId="77777777" w:rsidTr="00AD726D">
        <w:trPr>
          <w:trHeight w:val="187"/>
        </w:trPr>
        <w:tc>
          <w:tcPr>
            <w:tcW w:w="3738" w:type="dxa"/>
            <w:vAlign w:val="bottom"/>
          </w:tcPr>
          <w:p w14:paraId="10E1F083" w14:textId="3AAB5BDF" w:rsidR="00224102" w:rsidRPr="00604C75" w:rsidRDefault="00224102" w:rsidP="00224102">
            <w:pPr>
              <w:tabs>
                <w:tab w:val="left" w:pos="851"/>
              </w:tabs>
              <w:rPr>
                <w:rFonts w:eastAsia="Arial Unicode MS"/>
                <w:noProof/>
                <w:sz w:val="18"/>
                <w:szCs w:val="18"/>
              </w:rPr>
            </w:pPr>
            <w:r w:rsidRPr="00604C75">
              <w:rPr>
                <w:noProof/>
                <w:sz w:val="18"/>
                <w:szCs w:val="18"/>
              </w:rPr>
              <w:t xml:space="preserve">Real </w:t>
            </w:r>
            <w:r>
              <w:rPr>
                <w:noProof/>
                <w:sz w:val="18"/>
                <w:szCs w:val="18"/>
              </w:rPr>
              <w:t>E</w:t>
            </w:r>
            <w:r w:rsidRPr="00604C75">
              <w:rPr>
                <w:noProof/>
                <w:sz w:val="18"/>
                <w:szCs w:val="18"/>
              </w:rPr>
              <w:t xml:space="preserve">state </w:t>
            </w:r>
            <w:r>
              <w:rPr>
                <w:noProof/>
                <w:sz w:val="18"/>
                <w:szCs w:val="18"/>
              </w:rPr>
              <w:t>L</w:t>
            </w:r>
            <w:r w:rsidRPr="00604C75">
              <w:rPr>
                <w:noProof/>
                <w:sz w:val="18"/>
                <w:szCs w:val="18"/>
              </w:rPr>
              <w:t>oans</w:t>
            </w:r>
          </w:p>
        </w:tc>
        <w:tc>
          <w:tcPr>
            <w:tcW w:w="1596" w:type="dxa"/>
            <w:vAlign w:val="bottom"/>
          </w:tcPr>
          <w:p w14:paraId="46D496F9" w14:textId="5F30AC08" w:rsidR="00224102" w:rsidRDefault="00224102" w:rsidP="00224102">
            <w:pPr>
              <w:jc w:val="right"/>
              <w:rPr>
                <w:sz w:val="18"/>
                <w:szCs w:val="18"/>
              </w:rPr>
            </w:pPr>
            <w:r>
              <w:rPr>
                <w:sz w:val="18"/>
                <w:szCs w:val="18"/>
              </w:rPr>
              <w:t>-</w:t>
            </w:r>
          </w:p>
        </w:tc>
        <w:tc>
          <w:tcPr>
            <w:tcW w:w="2155" w:type="dxa"/>
            <w:vAlign w:val="bottom"/>
          </w:tcPr>
          <w:p w14:paraId="64B0AFF0" w14:textId="083E5688" w:rsidR="00224102" w:rsidRDefault="00224102" w:rsidP="00224102">
            <w:pPr>
              <w:jc w:val="right"/>
              <w:rPr>
                <w:sz w:val="18"/>
                <w:szCs w:val="18"/>
              </w:rPr>
            </w:pPr>
            <w:r>
              <w:rPr>
                <w:sz w:val="18"/>
                <w:szCs w:val="18"/>
              </w:rPr>
              <w:t>-</w:t>
            </w:r>
          </w:p>
        </w:tc>
        <w:tc>
          <w:tcPr>
            <w:tcW w:w="1890" w:type="dxa"/>
            <w:vAlign w:val="bottom"/>
          </w:tcPr>
          <w:p w14:paraId="695A7016" w14:textId="095DC579" w:rsidR="00224102" w:rsidRPr="003E5443" w:rsidRDefault="00224102" w:rsidP="00224102">
            <w:pPr>
              <w:jc w:val="right"/>
              <w:rPr>
                <w:bCs/>
                <w:sz w:val="18"/>
                <w:szCs w:val="18"/>
              </w:rPr>
            </w:pPr>
            <w:r w:rsidRPr="003E5443">
              <w:rPr>
                <w:bCs/>
                <w:sz w:val="18"/>
                <w:szCs w:val="18"/>
              </w:rPr>
              <w:t>-</w:t>
            </w:r>
          </w:p>
        </w:tc>
      </w:tr>
      <w:tr w:rsidR="00224102" w:rsidRPr="00604C75" w14:paraId="5A9C55CC" w14:textId="77777777" w:rsidTr="00AD726D">
        <w:trPr>
          <w:trHeight w:val="204"/>
        </w:trPr>
        <w:tc>
          <w:tcPr>
            <w:tcW w:w="3738" w:type="dxa"/>
            <w:vAlign w:val="bottom"/>
          </w:tcPr>
          <w:p w14:paraId="6827D9C4" w14:textId="5AF03DE5" w:rsidR="00224102" w:rsidRPr="00604C75" w:rsidRDefault="00224102" w:rsidP="00224102">
            <w:pPr>
              <w:tabs>
                <w:tab w:val="left" w:pos="851"/>
              </w:tabs>
              <w:rPr>
                <w:rFonts w:eastAsia="Arial Unicode MS"/>
                <w:noProof/>
                <w:sz w:val="18"/>
                <w:szCs w:val="18"/>
              </w:rPr>
            </w:pPr>
            <w:r w:rsidRPr="00604C75">
              <w:rPr>
                <w:noProof/>
                <w:sz w:val="18"/>
                <w:szCs w:val="18"/>
              </w:rPr>
              <w:t xml:space="preserve">Automotive </w:t>
            </w:r>
            <w:r>
              <w:rPr>
                <w:noProof/>
                <w:sz w:val="18"/>
                <w:szCs w:val="18"/>
              </w:rPr>
              <w:t>L</w:t>
            </w:r>
            <w:r w:rsidRPr="00604C75">
              <w:rPr>
                <w:noProof/>
                <w:sz w:val="18"/>
                <w:szCs w:val="18"/>
              </w:rPr>
              <w:t>oans</w:t>
            </w:r>
          </w:p>
        </w:tc>
        <w:tc>
          <w:tcPr>
            <w:tcW w:w="1596" w:type="dxa"/>
            <w:vAlign w:val="bottom"/>
          </w:tcPr>
          <w:p w14:paraId="5BDA1862" w14:textId="19B499DA" w:rsidR="00224102" w:rsidRDefault="00224102" w:rsidP="00224102">
            <w:pPr>
              <w:jc w:val="right"/>
              <w:rPr>
                <w:sz w:val="18"/>
                <w:szCs w:val="18"/>
              </w:rPr>
            </w:pPr>
            <w:r>
              <w:rPr>
                <w:sz w:val="18"/>
                <w:szCs w:val="18"/>
              </w:rPr>
              <w:t>-</w:t>
            </w:r>
          </w:p>
        </w:tc>
        <w:tc>
          <w:tcPr>
            <w:tcW w:w="2155" w:type="dxa"/>
            <w:vAlign w:val="bottom"/>
          </w:tcPr>
          <w:p w14:paraId="58E63BD2" w14:textId="629E9069" w:rsidR="00224102" w:rsidRDefault="00224102" w:rsidP="00224102">
            <w:pPr>
              <w:jc w:val="right"/>
              <w:rPr>
                <w:sz w:val="18"/>
                <w:szCs w:val="18"/>
              </w:rPr>
            </w:pPr>
            <w:r>
              <w:rPr>
                <w:sz w:val="18"/>
                <w:szCs w:val="18"/>
              </w:rPr>
              <w:t>-</w:t>
            </w:r>
          </w:p>
        </w:tc>
        <w:tc>
          <w:tcPr>
            <w:tcW w:w="1890" w:type="dxa"/>
            <w:vAlign w:val="bottom"/>
          </w:tcPr>
          <w:p w14:paraId="1391C76D" w14:textId="25C61514" w:rsidR="00224102" w:rsidRPr="003E5443" w:rsidRDefault="00224102" w:rsidP="00224102">
            <w:pPr>
              <w:jc w:val="right"/>
              <w:rPr>
                <w:bCs/>
                <w:sz w:val="18"/>
                <w:szCs w:val="18"/>
              </w:rPr>
            </w:pPr>
            <w:r w:rsidRPr="003E5443">
              <w:rPr>
                <w:bCs/>
                <w:sz w:val="18"/>
                <w:szCs w:val="18"/>
              </w:rPr>
              <w:t>-</w:t>
            </w:r>
          </w:p>
        </w:tc>
      </w:tr>
      <w:tr w:rsidR="00224102" w:rsidRPr="00604C75" w14:paraId="06EDC172" w14:textId="77777777" w:rsidTr="00AD726D">
        <w:trPr>
          <w:trHeight w:val="204"/>
        </w:trPr>
        <w:tc>
          <w:tcPr>
            <w:tcW w:w="3738" w:type="dxa"/>
            <w:vAlign w:val="bottom"/>
          </w:tcPr>
          <w:p w14:paraId="3A944B9A" w14:textId="4D8369C2" w:rsidR="00224102" w:rsidRPr="00604C75" w:rsidRDefault="00224102" w:rsidP="00224102">
            <w:pPr>
              <w:tabs>
                <w:tab w:val="left" w:pos="851"/>
              </w:tabs>
              <w:rPr>
                <w:noProof/>
                <w:sz w:val="18"/>
                <w:szCs w:val="18"/>
              </w:rPr>
            </w:pPr>
            <w:r w:rsidRPr="00604C75">
              <w:rPr>
                <w:noProof/>
                <w:sz w:val="18"/>
                <w:szCs w:val="18"/>
              </w:rPr>
              <w:t xml:space="preserve">Consumer </w:t>
            </w:r>
            <w:r>
              <w:rPr>
                <w:noProof/>
                <w:sz w:val="18"/>
                <w:szCs w:val="18"/>
              </w:rPr>
              <w:t>L</w:t>
            </w:r>
            <w:r w:rsidRPr="00604C75">
              <w:rPr>
                <w:noProof/>
                <w:sz w:val="18"/>
                <w:szCs w:val="18"/>
              </w:rPr>
              <w:t>oans</w:t>
            </w:r>
          </w:p>
        </w:tc>
        <w:tc>
          <w:tcPr>
            <w:tcW w:w="1596" w:type="dxa"/>
            <w:vAlign w:val="bottom"/>
          </w:tcPr>
          <w:p w14:paraId="66251A46" w14:textId="564D6650" w:rsidR="00224102" w:rsidRDefault="00224102" w:rsidP="00224102">
            <w:pPr>
              <w:jc w:val="right"/>
              <w:rPr>
                <w:sz w:val="18"/>
                <w:szCs w:val="18"/>
              </w:rPr>
            </w:pPr>
            <w:r>
              <w:rPr>
                <w:sz w:val="18"/>
                <w:szCs w:val="18"/>
              </w:rPr>
              <w:t>-</w:t>
            </w:r>
          </w:p>
        </w:tc>
        <w:tc>
          <w:tcPr>
            <w:tcW w:w="2155" w:type="dxa"/>
            <w:vAlign w:val="bottom"/>
          </w:tcPr>
          <w:p w14:paraId="386DECA3" w14:textId="271FE028" w:rsidR="00224102" w:rsidRDefault="00224102" w:rsidP="00224102">
            <w:pPr>
              <w:jc w:val="right"/>
              <w:rPr>
                <w:sz w:val="18"/>
                <w:szCs w:val="18"/>
              </w:rPr>
            </w:pPr>
            <w:r>
              <w:rPr>
                <w:sz w:val="18"/>
                <w:szCs w:val="18"/>
              </w:rPr>
              <w:t>-</w:t>
            </w:r>
          </w:p>
        </w:tc>
        <w:tc>
          <w:tcPr>
            <w:tcW w:w="1890" w:type="dxa"/>
            <w:vAlign w:val="bottom"/>
          </w:tcPr>
          <w:p w14:paraId="6C1BF0B2" w14:textId="1ADB03AC" w:rsidR="00224102" w:rsidRPr="003E5443" w:rsidRDefault="00224102" w:rsidP="00224102">
            <w:pPr>
              <w:jc w:val="right"/>
              <w:rPr>
                <w:bCs/>
                <w:sz w:val="18"/>
                <w:szCs w:val="18"/>
              </w:rPr>
            </w:pPr>
            <w:r w:rsidRPr="003E5443">
              <w:rPr>
                <w:bCs/>
                <w:sz w:val="18"/>
                <w:szCs w:val="18"/>
              </w:rPr>
              <w:t>-</w:t>
            </w:r>
          </w:p>
        </w:tc>
      </w:tr>
      <w:tr w:rsidR="00224102" w:rsidRPr="00604C75" w14:paraId="7715A649" w14:textId="77777777" w:rsidTr="00AD726D">
        <w:trPr>
          <w:trHeight w:val="187"/>
        </w:trPr>
        <w:tc>
          <w:tcPr>
            <w:tcW w:w="3738" w:type="dxa"/>
            <w:vAlign w:val="bottom"/>
          </w:tcPr>
          <w:p w14:paraId="6A22F1BA" w14:textId="77777777" w:rsidR="00224102" w:rsidRPr="00604C75" w:rsidRDefault="00224102" w:rsidP="00224102">
            <w:pPr>
              <w:tabs>
                <w:tab w:val="left" w:pos="851"/>
              </w:tabs>
              <w:rPr>
                <w:rFonts w:eastAsia="Arial Unicode MS"/>
                <w:noProof/>
                <w:sz w:val="18"/>
                <w:szCs w:val="18"/>
              </w:rPr>
            </w:pPr>
            <w:r w:rsidRPr="00604C75">
              <w:rPr>
                <w:noProof/>
                <w:sz w:val="18"/>
                <w:szCs w:val="18"/>
              </w:rPr>
              <w:t>Other</w:t>
            </w:r>
          </w:p>
        </w:tc>
        <w:tc>
          <w:tcPr>
            <w:tcW w:w="1596" w:type="dxa"/>
            <w:vAlign w:val="bottom"/>
          </w:tcPr>
          <w:p w14:paraId="59A05911" w14:textId="35111F3A" w:rsidR="00224102" w:rsidRDefault="00224102" w:rsidP="00224102">
            <w:pPr>
              <w:jc w:val="right"/>
              <w:rPr>
                <w:sz w:val="18"/>
                <w:szCs w:val="18"/>
              </w:rPr>
            </w:pPr>
            <w:r>
              <w:rPr>
                <w:sz w:val="18"/>
                <w:szCs w:val="18"/>
              </w:rPr>
              <w:t>-</w:t>
            </w:r>
          </w:p>
        </w:tc>
        <w:tc>
          <w:tcPr>
            <w:tcW w:w="2155" w:type="dxa"/>
            <w:vAlign w:val="bottom"/>
          </w:tcPr>
          <w:p w14:paraId="7785BB9C" w14:textId="114F524A" w:rsidR="00224102" w:rsidRDefault="00224102" w:rsidP="00224102">
            <w:pPr>
              <w:jc w:val="right"/>
              <w:rPr>
                <w:sz w:val="18"/>
                <w:szCs w:val="18"/>
              </w:rPr>
            </w:pPr>
            <w:r>
              <w:rPr>
                <w:sz w:val="18"/>
                <w:szCs w:val="18"/>
              </w:rPr>
              <w:t>-</w:t>
            </w:r>
          </w:p>
        </w:tc>
        <w:tc>
          <w:tcPr>
            <w:tcW w:w="1890" w:type="dxa"/>
            <w:vAlign w:val="bottom"/>
          </w:tcPr>
          <w:p w14:paraId="607B5917" w14:textId="4FDCDB79" w:rsidR="00224102" w:rsidRPr="003E5443" w:rsidRDefault="00224102" w:rsidP="00224102">
            <w:pPr>
              <w:jc w:val="right"/>
              <w:rPr>
                <w:bCs/>
                <w:sz w:val="18"/>
                <w:szCs w:val="18"/>
              </w:rPr>
            </w:pPr>
            <w:r w:rsidRPr="003E5443">
              <w:rPr>
                <w:bCs/>
                <w:sz w:val="18"/>
                <w:szCs w:val="18"/>
              </w:rPr>
              <w:t>-</w:t>
            </w:r>
          </w:p>
        </w:tc>
      </w:tr>
      <w:tr w:rsidR="00224102" w:rsidRPr="00604C75" w14:paraId="02814E57" w14:textId="77777777" w:rsidTr="00AD726D">
        <w:trPr>
          <w:trHeight w:val="204"/>
        </w:trPr>
        <w:tc>
          <w:tcPr>
            <w:tcW w:w="3738" w:type="dxa"/>
            <w:vAlign w:val="bottom"/>
          </w:tcPr>
          <w:p w14:paraId="1499440B"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Personnel Loans-FC</w:t>
            </w:r>
          </w:p>
        </w:tc>
        <w:tc>
          <w:tcPr>
            <w:tcW w:w="1596" w:type="dxa"/>
            <w:vAlign w:val="bottom"/>
          </w:tcPr>
          <w:p w14:paraId="56D427D8" w14:textId="35A8C713" w:rsidR="00224102" w:rsidRDefault="00224102" w:rsidP="00224102">
            <w:pPr>
              <w:jc w:val="right"/>
              <w:rPr>
                <w:b/>
                <w:bCs/>
                <w:sz w:val="18"/>
                <w:szCs w:val="18"/>
              </w:rPr>
            </w:pPr>
            <w:r>
              <w:rPr>
                <w:b/>
                <w:bCs/>
                <w:sz w:val="18"/>
                <w:szCs w:val="18"/>
              </w:rPr>
              <w:t>-</w:t>
            </w:r>
          </w:p>
        </w:tc>
        <w:tc>
          <w:tcPr>
            <w:tcW w:w="2155" w:type="dxa"/>
            <w:vAlign w:val="bottom"/>
          </w:tcPr>
          <w:p w14:paraId="24097F1C" w14:textId="7A142F8E" w:rsidR="00224102" w:rsidRDefault="00224102" w:rsidP="00224102">
            <w:pPr>
              <w:jc w:val="right"/>
              <w:rPr>
                <w:b/>
                <w:bCs/>
                <w:sz w:val="18"/>
                <w:szCs w:val="18"/>
              </w:rPr>
            </w:pPr>
            <w:r>
              <w:rPr>
                <w:b/>
                <w:bCs/>
                <w:sz w:val="18"/>
                <w:szCs w:val="18"/>
              </w:rPr>
              <w:t>-</w:t>
            </w:r>
          </w:p>
        </w:tc>
        <w:tc>
          <w:tcPr>
            <w:tcW w:w="1890" w:type="dxa"/>
            <w:vAlign w:val="bottom"/>
          </w:tcPr>
          <w:p w14:paraId="1B5E0F65" w14:textId="5C1FA6E0" w:rsidR="00224102" w:rsidRDefault="00224102" w:rsidP="00224102">
            <w:pPr>
              <w:jc w:val="right"/>
              <w:rPr>
                <w:b/>
                <w:bCs/>
                <w:sz w:val="18"/>
                <w:szCs w:val="18"/>
              </w:rPr>
            </w:pPr>
            <w:r>
              <w:rPr>
                <w:b/>
                <w:bCs/>
                <w:sz w:val="18"/>
                <w:szCs w:val="18"/>
              </w:rPr>
              <w:t>-</w:t>
            </w:r>
          </w:p>
        </w:tc>
      </w:tr>
      <w:tr w:rsidR="00224102" w:rsidRPr="00604C75" w14:paraId="09034ACB" w14:textId="77777777" w:rsidTr="00AD726D">
        <w:trPr>
          <w:trHeight w:val="204"/>
        </w:trPr>
        <w:tc>
          <w:tcPr>
            <w:tcW w:w="3738" w:type="dxa"/>
            <w:vAlign w:val="bottom"/>
          </w:tcPr>
          <w:p w14:paraId="35A71F5F" w14:textId="6CB76372" w:rsidR="00224102" w:rsidRPr="00604C75" w:rsidRDefault="00224102" w:rsidP="00224102">
            <w:pPr>
              <w:tabs>
                <w:tab w:val="left" w:pos="851"/>
              </w:tabs>
              <w:rPr>
                <w:rFonts w:eastAsia="Arial Unicode MS"/>
                <w:noProof/>
                <w:sz w:val="18"/>
                <w:szCs w:val="18"/>
              </w:rPr>
            </w:pPr>
            <w:r w:rsidRPr="00604C75">
              <w:rPr>
                <w:noProof/>
                <w:sz w:val="18"/>
                <w:szCs w:val="18"/>
              </w:rPr>
              <w:t xml:space="preserve">Real </w:t>
            </w:r>
            <w:r>
              <w:rPr>
                <w:noProof/>
                <w:sz w:val="18"/>
                <w:szCs w:val="18"/>
              </w:rPr>
              <w:t>E</w:t>
            </w:r>
            <w:r w:rsidRPr="00604C75">
              <w:rPr>
                <w:noProof/>
                <w:sz w:val="18"/>
                <w:szCs w:val="18"/>
              </w:rPr>
              <w:t xml:space="preserve">state </w:t>
            </w:r>
            <w:r>
              <w:rPr>
                <w:noProof/>
                <w:sz w:val="18"/>
                <w:szCs w:val="18"/>
              </w:rPr>
              <w:t>L</w:t>
            </w:r>
            <w:r w:rsidRPr="00604C75">
              <w:rPr>
                <w:noProof/>
                <w:sz w:val="18"/>
                <w:szCs w:val="18"/>
              </w:rPr>
              <w:t>oans</w:t>
            </w:r>
          </w:p>
        </w:tc>
        <w:tc>
          <w:tcPr>
            <w:tcW w:w="1596" w:type="dxa"/>
            <w:vAlign w:val="bottom"/>
          </w:tcPr>
          <w:p w14:paraId="676B4917" w14:textId="6A890CAB" w:rsidR="00224102" w:rsidRDefault="00224102" w:rsidP="00224102">
            <w:pPr>
              <w:jc w:val="right"/>
              <w:rPr>
                <w:sz w:val="18"/>
                <w:szCs w:val="18"/>
              </w:rPr>
            </w:pPr>
            <w:r>
              <w:rPr>
                <w:sz w:val="18"/>
                <w:szCs w:val="18"/>
              </w:rPr>
              <w:t>-</w:t>
            </w:r>
          </w:p>
        </w:tc>
        <w:tc>
          <w:tcPr>
            <w:tcW w:w="2155" w:type="dxa"/>
            <w:vAlign w:val="bottom"/>
          </w:tcPr>
          <w:p w14:paraId="19DFF670" w14:textId="7952651A" w:rsidR="00224102" w:rsidRDefault="00224102" w:rsidP="00224102">
            <w:pPr>
              <w:jc w:val="right"/>
              <w:rPr>
                <w:sz w:val="18"/>
                <w:szCs w:val="18"/>
              </w:rPr>
            </w:pPr>
            <w:r>
              <w:rPr>
                <w:sz w:val="18"/>
                <w:szCs w:val="18"/>
              </w:rPr>
              <w:t>-</w:t>
            </w:r>
          </w:p>
        </w:tc>
        <w:tc>
          <w:tcPr>
            <w:tcW w:w="1890" w:type="dxa"/>
            <w:vAlign w:val="bottom"/>
          </w:tcPr>
          <w:p w14:paraId="3FFDDC90" w14:textId="5FA69CCC" w:rsidR="00224102" w:rsidRPr="003E5443" w:rsidRDefault="00224102" w:rsidP="00224102">
            <w:pPr>
              <w:jc w:val="right"/>
              <w:rPr>
                <w:bCs/>
                <w:sz w:val="18"/>
                <w:szCs w:val="18"/>
              </w:rPr>
            </w:pPr>
            <w:r w:rsidRPr="003E5443">
              <w:rPr>
                <w:bCs/>
                <w:sz w:val="18"/>
                <w:szCs w:val="18"/>
              </w:rPr>
              <w:t>-</w:t>
            </w:r>
          </w:p>
        </w:tc>
      </w:tr>
      <w:tr w:rsidR="00224102" w:rsidRPr="00604C75" w14:paraId="5F497B4A" w14:textId="77777777" w:rsidTr="00AD726D">
        <w:trPr>
          <w:trHeight w:val="187"/>
        </w:trPr>
        <w:tc>
          <w:tcPr>
            <w:tcW w:w="3738" w:type="dxa"/>
            <w:vAlign w:val="bottom"/>
          </w:tcPr>
          <w:p w14:paraId="5E59165A" w14:textId="526EFA8F" w:rsidR="00224102" w:rsidRPr="00604C75" w:rsidRDefault="00224102" w:rsidP="00224102">
            <w:pPr>
              <w:tabs>
                <w:tab w:val="left" w:pos="851"/>
              </w:tabs>
              <w:rPr>
                <w:rFonts w:eastAsia="Arial Unicode MS"/>
                <w:noProof/>
                <w:sz w:val="18"/>
                <w:szCs w:val="18"/>
              </w:rPr>
            </w:pPr>
            <w:r w:rsidRPr="00604C75">
              <w:rPr>
                <w:noProof/>
                <w:sz w:val="18"/>
                <w:szCs w:val="18"/>
              </w:rPr>
              <w:t xml:space="preserve">Automotive </w:t>
            </w:r>
            <w:r>
              <w:rPr>
                <w:noProof/>
                <w:sz w:val="18"/>
                <w:szCs w:val="18"/>
              </w:rPr>
              <w:t>L</w:t>
            </w:r>
            <w:r w:rsidRPr="00604C75">
              <w:rPr>
                <w:noProof/>
                <w:sz w:val="18"/>
                <w:szCs w:val="18"/>
              </w:rPr>
              <w:t>oans</w:t>
            </w:r>
          </w:p>
        </w:tc>
        <w:tc>
          <w:tcPr>
            <w:tcW w:w="1596" w:type="dxa"/>
            <w:vAlign w:val="bottom"/>
          </w:tcPr>
          <w:p w14:paraId="1ABB54E9" w14:textId="6CC6E093" w:rsidR="00224102" w:rsidRDefault="00224102" w:rsidP="00224102">
            <w:pPr>
              <w:jc w:val="right"/>
              <w:rPr>
                <w:sz w:val="18"/>
                <w:szCs w:val="18"/>
              </w:rPr>
            </w:pPr>
            <w:r>
              <w:rPr>
                <w:sz w:val="18"/>
                <w:szCs w:val="18"/>
              </w:rPr>
              <w:t>-</w:t>
            </w:r>
          </w:p>
        </w:tc>
        <w:tc>
          <w:tcPr>
            <w:tcW w:w="2155" w:type="dxa"/>
            <w:vAlign w:val="bottom"/>
          </w:tcPr>
          <w:p w14:paraId="1FB53CCC" w14:textId="0200BE94" w:rsidR="00224102" w:rsidRDefault="00224102" w:rsidP="00224102">
            <w:pPr>
              <w:jc w:val="right"/>
              <w:rPr>
                <w:sz w:val="18"/>
                <w:szCs w:val="18"/>
              </w:rPr>
            </w:pPr>
            <w:r>
              <w:rPr>
                <w:sz w:val="18"/>
                <w:szCs w:val="18"/>
              </w:rPr>
              <w:t>-</w:t>
            </w:r>
          </w:p>
        </w:tc>
        <w:tc>
          <w:tcPr>
            <w:tcW w:w="1890" w:type="dxa"/>
            <w:vAlign w:val="bottom"/>
          </w:tcPr>
          <w:p w14:paraId="06EA22E6" w14:textId="05AC9F92" w:rsidR="00224102" w:rsidRPr="003E5443" w:rsidRDefault="00224102" w:rsidP="00224102">
            <w:pPr>
              <w:jc w:val="right"/>
              <w:rPr>
                <w:bCs/>
                <w:sz w:val="18"/>
                <w:szCs w:val="18"/>
              </w:rPr>
            </w:pPr>
            <w:r w:rsidRPr="003E5443">
              <w:rPr>
                <w:bCs/>
                <w:sz w:val="18"/>
                <w:szCs w:val="18"/>
              </w:rPr>
              <w:t>-</w:t>
            </w:r>
          </w:p>
        </w:tc>
      </w:tr>
      <w:tr w:rsidR="00224102" w:rsidRPr="00604C75" w14:paraId="41A003A6" w14:textId="77777777" w:rsidTr="00AD726D">
        <w:trPr>
          <w:trHeight w:val="204"/>
        </w:trPr>
        <w:tc>
          <w:tcPr>
            <w:tcW w:w="3738" w:type="dxa"/>
            <w:vAlign w:val="bottom"/>
          </w:tcPr>
          <w:p w14:paraId="210BA665" w14:textId="068F1A64" w:rsidR="00224102" w:rsidRPr="00604C75" w:rsidRDefault="00224102" w:rsidP="00224102">
            <w:pPr>
              <w:tabs>
                <w:tab w:val="left" w:pos="851"/>
              </w:tabs>
              <w:rPr>
                <w:noProof/>
                <w:sz w:val="18"/>
                <w:szCs w:val="18"/>
              </w:rPr>
            </w:pPr>
            <w:r w:rsidRPr="00604C75">
              <w:rPr>
                <w:noProof/>
                <w:sz w:val="18"/>
                <w:szCs w:val="18"/>
              </w:rPr>
              <w:t xml:space="preserve">Consumer </w:t>
            </w:r>
            <w:r>
              <w:rPr>
                <w:noProof/>
                <w:sz w:val="18"/>
                <w:szCs w:val="18"/>
              </w:rPr>
              <w:t>L</w:t>
            </w:r>
            <w:r w:rsidRPr="00604C75">
              <w:rPr>
                <w:noProof/>
                <w:sz w:val="18"/>
                <w:szCs w:val="18"/>
              </w:rPr>
              <w:t>oans</w:t>
            </w:r>
          </w:p>
        </w:tc>
        <w:tc>
          <w:tcPr>
            <w:tcW w:w="1596" w:type="dxa"/>
            <w:vAlign w:val="bottom"/>
          </w:tcPr>
          <w:p w14:paraId="56FB225E" w14:textId="21042413" w:rsidR="00224102" w:rsidRDefault="00224102" w:rsidP="00224102">
            <w:pPr>
              <w:jc w:val="right"/>
              <w:rPr>
                <w:sz w:val="18"/>
                <w:szCs w:val="18"/>
              </w:rPr>
            </w:pPr>
            <w:r>
              <w:rPr>
                <w:sz w:val="18"/>
                <w:szCs w:val="18"/>
              </w:rPr>
              <w:t>-</w:t>
            </w:r>
          </w:p>
        </w:tc>
        <w:tc>
          <w:tcPr>
            <w:tcW w:w="2155" w:type="dxa"/>
            <w:vAlign w:val="bottom"/>
          </w:tcPr>
          <w:p w14:paraId="7B625A65" w14:textId="16BC2B23" w:rsidR="00224102" w:rsidRDefault="00224102" w:rsidP="00224102">
            <w:pPr>
              <w:jc w:val="right"/>
              <w:rPr>
                <w:sz w:val="18"/>
                <w:szCs w:val="18"/>
              </w:rPr>
            </w:pPr>
            <w:r>
              <w:rPr>
                <w:sz w:val="18"/>
                <w:szCs w:val="18"/>
              </w:rPr>
              <w:t>-</w:t>
            </w:r>
          </w:p>
        </w:tc>
        <w:tc>
          <w:tcPr>
            <w:tcW w:w="1890" w:type="dxa"/>
            <w:vAlign w:val="bottom"/>
          </w:tcPr>
          <w:p w14:paraId="0732C443" w14:textId="74555E3B" w:rsidR="00224102" w:rsidRPr="003E5443" w:rsidRDefault="00224102" w:rsidP="00224102">
            <w:pPr>
              <w:jc w:val="right"/>
              <w:rPr>
                <w:bCs/>
                <w:sz w:val="18"/>
                <w:szCs w:val="18"/>
              </w:rPr>
            </w:pPr>
            <w:r w:rsidRPr="003E5443">
              <w:rPr>
                <w:bCs/>
                <w:sz w:val="18"/>
                <w:szCs w:val="18"/>
              </w:rPr>
              <w:t>-</w:t>
            </w:r>
          </w:p>
        </w:tc>
      </w:tr>
      <w:tr w:rsidR="00224102" w:rsidRPr="00604C75" w14:paraId="502A42F7" w14:textId="77777777" w:rsidTr="00AD726D">
        <w:trPr>
          <w:trHeight w:val="204"/>
        </w:trPr>
        <w:tc>
          <w:tcPr>
            <w:tcW w:w="3738" w:type="dxa"/>
            <w:vAlign w:val="bottom"/>
          </w:tcPr>
          <w:p w14:paraId="32B8D1D2" w14:textId="77777777" w:rsidR="00224102" w:rsidRPr="00604C75" w:rsidRDefault="00224102" w:rsidP="00224102">
            <w:pPr>
              <w:tabs>
                <w:tab w:val="left" w:pos="851"/>
              </w:tabs>
              <w:rPr>
                <w:rFonts w:eastAsia="Arial Unicode MS"/>
                <w:noProof/>
                <w:sz w:val="18"/>
                <w:szCs w:val="18"/>
              </w:rPr>
            </w:pPr>
            <w:r w:rsidRPr="00604C75">
              <w:rPr>
                <w:noProof/>
                <w:sz w:val="18"/>
                <w:szCs w:val="18"/>
              </w:rPr>
              <w:t>Other</w:t>
            </w:r>
          </w:p>
        </w:tc>
        <w:tc>
          <w:tcPr>
            <w:tcW w:w="1596" w:type="dxa"/>
            <w:vAlign w:val="bottom"/>
          </w:tcPr>
          <w:p w14:paraId="775628F2" w14:textId="2C298D78" w:rsidR="00224102" w:rsidRDefault="00224102" w:rsidP="00224102">
            <w:pPr>
              <w:jc w:val="right"/>
              <w:rPr>
                <w:sz w:val="18"/>
                <w:szCs w:val="18"/>
              </w:rPr>
            </w:pPr>
            <w:r>
              <w:rPr>
                <w:sz w:val="18"/>
                <w:szCs w:val="18"/>
              </w:rPr>
              <w:t>-</w:t>
            </w:r>
          </w:p>
        </w:tc>
        <w:tc>
          <w:tcPr>
            <w:tcW w:w="2155" w:type="dxa"/>
            <w:vAlign w:val="bottom"/>
          </w:tcPr>
          <w:p w14:paraId="3F6DCCF1" w14:textId="11C216E0" w:rsidR="00224102" w:rsidRDefault="00224102" w:rsidP="00224102">
            <w:pPr>
              <w:jc w:val="right"/>
              <w:rPr>
                <w:sz w:val="18"/>
                <w:szCs w:val="18"/>
              </w:rPr>
            </w:pPr>
            <w:r>
              <w:rPr>
                <w:sz w:val="18"/>
                <w:szCs w:val="18"/>
              </w:rPr>
              <w:t>-</w:t>
            </w:r>
          </w:p>
        </w:tc>
        <w:tc>
          <w:tcPr>
            <w:tcW w:w="1890" w:type="dxa"/>
            <w:vAlign w:val="bottom"/>
          </w:tcPr>
          <w:p w14:paraId="725C0B4B" w14:textId="0039856A" w:rsidR="00224102" w:rsidRPr="003E5443" w:rsidRDefault="00224102" w:rsidP="00224102">
            <w:pPr>
              <w:jc w:val="right"/>
              <w:rPr>
                <w:bCs/>
                <w:sz w:val="18"/>
                <w:szCs w:val="18"/>
              </w:rPr>
            </w:pPr>
            <w:r w:rsidRPr="003E5443">
              <w:rPr>
                <w:bCs/>
                <w:sz w:val="18"/>
                <w:szCs w:val="18"/>
              </w:rPr>
              <w:t>-</w:t>
            </w:r>
          </w:p>
        </w:tc>
      </w:tr>
      <w:tr w:rsidR="00224102" w:rsidRPr="00604C75" w14:paraId="0C2EB23E" w14:textId="77777777" w:rsidTr="00AD726D">
        <w:trPr>
          <w:trHeight w:val="187"/>
        </w:trPr>
        <w:tc>
          <w:tcPr>
            <w:tcW w:w="3738" w:type="dxa"/>
            <w:vAlign w:val="bottom"/>
          </w:tcPr>
          <w:p w14:paraId="0057EE5A"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Personnel Credit Cards-TL</w:t>
            </w:r>
          </w:p>
        </w:tc>
        <w:tc>
          <w:tcPr>
            <w:tcW w:w="1596" w:type="dxa"/>
            <w:vAlign w:val="bottom"/>
          </w:tcPr>
          <w:p w14:paraId="485FA665" w14:textId="0F19253C" w:rsidR="00224102" w:rsidRDefault="00224102" w:rsidP="00224102">
            <w:pPr>
              <w:jc w:val="right"/>
              <w:rPr>
                <w:b/>
                <w:bCs/>
                <w:sz w:val="18"/>
                <w:szCs w:val="18"/>
              </w:rPr>
            </w:pPr>
            <w:r>
              <w:rPr>
                <w:b/>
                <w:bCs/>
                <w:sz w:val="18"/>
                <w:szCs w:val="18"/>
              </w:rPr>
              <w:t>2,211</w:t>
            </w:r>
          </w:p>
        </w:tc>
        <w:tc>
          <w:tcPr>
            <w:tcW w:w="2155" w:type="dxa"/>
            <w:vAlign w:val="bottom"/>
          </w:tcPr>
          <w:p w14:paraId="187F5746" w14:textId="33D7205D" w:rsidR="00224102" w:rsidRDefault="00224102" w:rsidP="00224102">
            <w:pPr>
              <w:jc w:val="right"/>
              <w:rPr>
                <w:b/>
                <w:bCs/>
                <w:sz w:val="18"/>
                <w:szCs w:val="18"/>
              </w:rPr>
            </w:pPr>
            <w:r>
              <w:rPr>
                <w:b/>
                <w:bCs/>
                <w:sz w:val="18"/>
                <w:szCs w:val="18"/>
              </w:rPr>
              <w:t>-</w:t>
            </w:r>
          </w:p>
        </w:tc>
        <w:tc>
          <w:tcPr>
            <w:tcW w:w="1890" w:type="dxa"/>
            <w:vAlign w:val="bottom"/>
          </w:tcPr>
          <w:p w14:paraId="6843CD7A" w14:textId="551B46D6" w:rsidR="00224102" w:rsidRDefault="00224102" w:rsidP="00224102">
            <w:pPr>
              <w:jc w:val="right"/>
              <w:rPr>
                <w:b/>
                <w:bCs/>
                <w:sz w:val="18"/>
                <w:szCs w:val="18"/>
              </w:rPr>
            </w:pPr>
            <w:r>
              <w:rPr>
                <w:b/>
                <w:bCs/>
                <w:sz w:val="18"/>
                <w:szCs w:val="18"/>
              </w:rPr>
              <w:t>2,211</w:t>
            </w:r>
          </w:p>
        </w:tc>
      </w:tr>
      <w:tr w:rsidR="00224102" w:rsidRPr="00604C75" w14:paraId="46A09F09" w14:textId="77777777" w:rsidTr="00AD726D">
        <w:trPr>
          <w:trHeight w:val="204"/>
        </w:trPr>
        <w:tc>
          <w:tcPr>
            <w:tcW w:w="3738" w:type="dxa"/>
            <w:vAlign w:val="bottom"/>
          </w:tcPr>
          <w:p w14:paraId="76789DBB" w14:textId="3AF42B05" w:rsidR="00224102" w:rsidRPr="00604C75" w:rsidRDefault="00224102" w:rsidP="00224102">
            <w:pPr>
              <w:tabs>
                <w:tab w:val="left" w:pos="851"/>
              </w:tabs>
              <w:rPr>
                <w:noProof/>
                <w:sz w:val="18"/>
                <w:szCs w:val="18"/>
              </w:rPr>
            </w:pPr>
            <w:r w:rsidRPr="00604C75">
              <w:rPr>
                <w:noProof/>
                <w:sz w:val="18"/>
                <w:szCs w:val="18"/>
              </w:rPr>
              <w:t xml:space="preserve">With </w:t>
            </w:r>
            <w:r>
              <w:rPr>
                <w:noProof/>
                <w:sz w:val="18"/>
                <w:szCs w:val="18"/>
              </w:rPr>
              <w:t>I</w:t>
            </w:r>
            <w:r w:rsidRPr="00604C75">
              <w:rPr>
                <w:noProof/>
                <w:sz w:val="18"/>
                <w:szCs w:val="18"/>
              </w:rPr>
              <w:t>nstallments</w:t>
            </w:r>
          </w:p>
        </w:tc>
        <w:tc>
          <w:tcPr>
            <w:tcW w:w="1596" w:type="dxa"/>
            <w:vAlign w:val="bottom"/>
          </w:tcPr>
          <w:p w14:paraId="0C480B65" w14:textId="588D6B56" w:rsidR="00224102" w:rsidRDefault="00224102" w:rsidP="00224102">
            <w:pPr>
              <w:jc w:val="right"/>
              <w:rPr>
                <w:sz w:val="18"/>
                <w:szCs w:val="18"/>
              </w:rPr>
            </w:pPr>
            <w:r>
              <w:rPr>
                <w:sz w:val="18"/>
                <w:szCs w:val="18"/>
              </w:rPr>
              <w:t>952</w:t>
            </w:r>
          </w:p>
        </w:tc>
        <w:tc>
          <w:tcPr>
            <w:tcW w:w="2155" w:type="dxa"/>
            <w:vAlign w:val="bottom"/>
          </w:tcPr>
          <w:p w14:paraId="42E9C9EE" w14:textId="0CBE5DEE" w:rsidR="00224102" w:rsidRDefault="00224102" w:rsidP="00224102">
            <w:pPr>
              <w:jc w:val="right"/>
              <w:rPr>
                <w:sz w:val="18"/>
                <w:szCs w:val="18"/>
              </w:rPr>
            </w:pPr>
            <w:r>
              <w:rPr>
                <w:sz w:val="18"/>
                <w:szCs w:val="18"/>
              </w:rPr>
              <w:t>-</w:t>
            </w:r>
          </w:p>
        </w:tc>
        <w:tc>
          <w:tcPr>
            <w:tcW w:w="1890" w:type="dxa"/>
            <w:vAlign w:val="bottom"/>
          </w:tcPr>
          <w:p w14:paraId="1DF477B2" w14:textId="185D3A9D" w:rsidR="00224102" w:rsidRPr="0084587E" w:rsidRDefault="00224102" w:rsidP="00224102">
            <w:pPr>
              <w:jc w:val="right"/>
              <w:rPr>
                <w:bCs/>
                <w:sz w:val="18"/>
                <w:szCs w:val="18"/>
              </w:rPr>
            </w:pPr>
            <w:r w:rsidRPr="0084587E">
              <w:rPr>
                <w:bCs/>
                <w:sz w:val="18"/>
                <w:szCs w:val="18"/>
              </w:rPr>
              <w:t>952</w:t>
            </w:r>
          </w:p>
        </w:tc>
      </w:tr>
      <w:tr w:rsidR="00224102" w:rsidRPr="00604C75" w14:paraId="7D379C77" w14:textId="77777777" w:rsidTr="00AD726D">
        <w:trPr>
          <w:trHeight w:val="204"/>
        </w:trPr>
        <w:tc>
          <w:tcPr>
            <w:tcW w:w="3738" w:type="dxa"/>
            <w:vAlign w:val="bottom"/>
          </w:tcPr>
          <w:p w14:paraId="1B01FF07" w14:textId="44233D9A" w:rsidR="00224102" w:rsidRPr="00604C75" w:rsidRDefault="00224102" w:rsidP="00224102">
            <w:pPr>
              <w:tabs>
                <w:tab w:val="left" w:pos="851"/>
              </w:tabs>
              <w:rPr>
                <w:rFonts w:eastAsia="Arial Unicode MS"/>
                <w:noProof/>
                <w:sz w:val="18"/>
                <w:szCs w:val="18"/>
              </w:rPr>
            </w:pPr>
            <w:r w:rsidRPr="00604C75">
              <w:rPr>
                <w:noProof/>
                <w:sz w:val="18"/>
                <w:szCs w:val="18"/>
              </w:rPr>
              <w:t xml:space="preserve">Without </w:t>
            </w:r>
            <w:r>
              <w:rPr>
                <w:noProof/>
                <w:sz w:val="18"/>
                <w:szCs w:val="18"/>
              </w:rPr>
              <w:t>I</w:t>
            </w:r>
            <w:r w:rsidRPr="00604C75">
              <w:rPr>
                <w:noProof/>
                <w:sz w:val="18"/>
                <w:szCs w:val="18"/>
              </w:rPr>
              <w:t>nstallments</w:t>
            </w:r>
          </w:p>
        </w:tc>
        <w:tc>
          <w:tcPr>
            <w:tcW w:w="1596" w:type="dxa"/>
            <w:vAlign w:val="bottom"/>
          </w:tcPr>
          <w:p w14:paraId="36A17274" w14:textId="13854848" w:rsidR="00224102" w:rsidRDefault="00224102" w:rsidP="00224102">
            <w:pPr>
              <w:jc w:val="right"/>
              <w:rPr>
                <w:sz w:val="18"/>
                <w:szCs w:val="18"/>
              </w:rPr>
            </w:pPr>
            <w:r>
              <w:rPr>
                <w:sz w:val="18"/>
                <w:szCs w:val="18"/>
              </w:rPr>
              <w:t>1,259</w:t>
            </w:r>
          </w:p>
        </w:tc>
        <w:tc>
          <w:tcPr>
            <w:tcW w:w="2155" w:type="dxa"/>
            <w:vAlign w:val="bottom"/>
          </w:tcPr>
          <w:p w14:paraId="6AB0ADD8" w14:textId="621CFD1B" w:rsidR="00224102" w:rsidRDefault="00224102" w:rsidP="00224102">
            <w:pPr>
              <w:jc w:val="right"/>
              <w:rPr>
                <w:sz w:val="18"/>
                <w:szCs w:val="18"/>
              </w:rPr>
            </w:pPr>
            <w:r>
              <w:rPr>
                <w:sz w:val="18"/>
                <w:szCs w:val="18"/>
              </w:rPr>
              <w:t>-</w:t>
            </w:r>
          </w:p>
        </w:tc>
        <w:tc>
          <w:tcPr>
            <w:tcW w:w="1890" w:type="dxa"/>
            <w:vAlign w:val="bottom"/>
          </w:tcPr>
          <w:p w14:paraId="170A3247" w14:textId="28BADAF9" w:rsidR="00224102" w:rsidRPr="0084587E" w:rsidRDefault="00224102" w:rsidP="00224102">
            <w:pPr>
              <w:jc w:val="right"/>
              <w:rPr>
                <w:bCs/>
                <w:sz w:val="18"/>
                <w:szCs w:val="18"/>
              </w:rPr>
            </w:pPr>
            <w:r w:rsidRPr="0084587E">
              <w:rPr>
                <w:bCs/>
                <w:sz w:val="18"/>
                <w:szCs w:val="18"/>
              </w:rPr>
              <w:t>1,259</w:t>
            </w:r>
          </w:p>
        </w:tc>
      </w:tr>
      <w:tr w:rsidR="00224102" w:rsidRPr="00604C75" w14:paraId="1AE07D20" w14:textId="77777777" w:rsidTr="00AD726D">
        <w:trPr>
          <w:trHeight w:val="187"/>
        </w:trPr>
        <w:tc>
          <w:tcPr>
            <w:tcW w:w="3738" w:type="dxa"/>
            <w:vAlign w:val="bottom"/>
          </w:tcPr>
          <w:p w14:paraId="597A76CB" w14:textId="77777777" w:rsidR="00224102" w:rsidRPr="00604C75" w:rsidRDefault="00224102" w:rsidP="00224102">
            <w:pPr>
              <w:tabs>
                <w:tab w:val="left" w:pos="851"/>
              </w:tabs>
              <w:rPr>
                <w:rFonts w:eastAsia="Arial Unicode MS"/>
                <w:b/>
                <w:noProof/>
                <w:sz w:val="18"/>
                <w:szCs w:val="18"/>
              </w:rPr>
            </w:pPr>
            <w:r w:rsidRPr="00604C75">
              <w:rPr>
                <w:b/>
                <w:noProof/>
                <w:sz w:val="18"/>
                <w:szCs w:val="18"/>
              </w:rPr>
              <w:t>Personnel Credit Cards-FC</w:t>
            </w:r>
          </w:p>
        </w:tc>
        <w:tc>
          <w:tcPr>
            <w:tcW w:w="1596" w:type="dxa"/>
            <w:vAlign w:val="bottom"/>
          </w:tcPr>
          <w:p w14:paraId="4A2C236F" w14:textId="7FEFFB67" w:rsidR="00224102" w:rsidRDefault="00224102" w:rsidP="00224102">
            <w:pPr>
              <w:jc w:val="right"/>
              <w:rPr>
                <w:b/>
                <w:bCs/>
                <w:sz w:val="18"/>
                <w:szCs w:val="18"/>
              </w:rPr>
            </w:pPr>
            <w:r>
              <w:rPr>
                <w:b/>
                <w:bCs/>
                <w:sz w:val="18"/>
                <w:szCs w:val="18"/>
              </w:rPr>
              <w:t>4</w:t>
            </w:r>
          </w:p>
        </w:tc>
        <w:tc>
          <w:tcPr>
            <w:tcW w:w="2155" w:type="dxa"/>
            <w:vAlign w:val="bottom"/>
          </w:tcPr>
          <w:p w14:paraId="1A58436D" w14:textId="0FE22034" w:rsidR="00224102" w:rsidRDefault="00224102" w:rsidP="00224102">
            <w:pPr>
              <w:jc w:val="right"/>
              <w:rPr>
                <w:b/>
                <w:bCs/>
                <w:sz w:val="18"/>
                <w:szCs w:val="18"/>
              </w:rPr>
            </w:pPr>
            <w:r>
              <w:rPr>
                <w:b/>
                <w:bCs/>
                <w:sz w:val="18"/>
                <w:szCs w:val="18"/>
              </w:rPr>
              <w:t>-</w:t>
            </w:r>
          </w:p>
        </w:tc>
        <w:tc>
          <w:tcPr>
            <w:tcW w:w="1890" w:type="dxa"/>
            <w:vAlign w:val="bottom"/>
          </w:tcPr>
          <w:p w14:paraId="471F67DE" w14:textId="4879D627" w:rsidR="00224102" w:rsidRDefault="00224102" w:rsidP="00224102">
            <w:pPr>
              <w:jc w:val="right"/>
              <w:rPr>
                <w:b/>
                <w:bCs/>
                <w:sz w:val="18"/>
                <w:szCs w:val="18"/>
              </w:rPr>
            </w:pPr>
            <w:r>
              <w:rPr>
                <w:b/>
                <w:bCs/>
                <w:sz w:val="18"/>
                <w:szCs w:val="18"/>
              </w:rPr>
              <w:t>4</w:t>
            </w:r>
          </w:p>
        </w:tc>
      </w:tr>
      <w:tr w:rsidR="00224102" w:rsidRPr="00604C75" w14:paraId="2A3FEA2B" w14:textId="77777777" w:rsidTr="00AD726D">
        <w:trPr>
          <w:trHeight w:val="204"/>
        </w:trPr>
        <w:tc>
          <w:tcPr>
            <w:tcW w:w="3738" w:type="dxa"/>
            <w:vAlign w:val="bottom"/>
          </w:tcPr>
          <w:p w14:paraId="312D076C" w14:textId="16FF0E2C" w:rsidR="00224102" w:rsidRPr="00604C75" w:rsidRDefault="00224102" w:rsidP="00224102">
            <w:pPr>
              <w:tabs>
                <w:tab w:val="left" w:pos="851"/>
              </w:tabs>
              <w:rPr>
                <w:noProof/>
                <w:sz w:val="18"/>
                <w:szCs w:val="18"/>
              </w:rPr>
            </w:pPr>
            <w:r w:rsidRPr="00604C75">
              <w:rPr>
                <w:noProof/>
                <w:sz w:val="18"/>
                <w:szCs w:val="18"/>
              </w:rPr>
              <w:t xml:space="preserve">With </w:t>
            </w:r>
            <w:r>
              <w:rPr>
                <w:noProof/>
                <w:sz w:val="18"/>
                <w:szCs w:val="18"/>
              </w:rPr>
              <w:t>I</w:t>
            </w:r>
            <w:r w:rsidRPr="00604C75">
              <w:rPr>
                <w:noProof/>
                <w:sz w:val="18"/>
                <w:szCs w:val="18"/>
              </w:rPr>
              <w:t>nstallments</w:t>
            </w:r>
          </w:p>
        </w:tc>
        <w:tc>
          <w:tcPr>
            <w:tcW w:w="1596" w:type="dxa"/>
            <w:vAlign w:val="bottom"/>
          </w:tcPr>
          <w:p w14:paraId="27828910" w14:textId="3DD3786A" w:rsidR="00224102" w:rsidRDefault="00224102" w:rsidP="00224102">
            <w:pPr>
              <w:jc w:val="right"/>
              <w:rPr>
                <w:sz w:val="18"/>
                <w:szCs w:val="18"/>
              </w:rPr>
            </w:pPr>
            <w:r>
              <w:rPr>
                <w:sz w:val="18"/>
                <w:szCs w:val="18"/>
              </w:rPr>
              <w:t>-</w:t>
            </w:r>
          </w:p>
        </w:tc>
        <w:tc>
          <w:tcPr>
            <w:tcW w:w="2155" w:type="dxa"/>
            <w:vAlign w:val="bottom"/>
          </w:tcPr>
          <w:p w14:paraId="55D0E196" w14:textId="69813E1B" w:rsidR="00224102" w:rsidRDefault="00224102" w:rsidP="00224102">
            <w:pPr>
              <w:jc w:val="right"/>
              <w:rPr>
                <w:sz w:val="18"/>
                <w:szCs w:val="18"/>
              </w:rPr>
            </w:pPr>
            <w:r>
              <w:rPr>
                <w:sz w:val="18"/>
                <w:szCs w:val="18"/>
              </w:rPr>
              <w:t>-</w:t>
            </w:r>
          </w:p>
        </w:tc>
        <w:tc>
          <w:tcPr>
            <w:tcW w:w="1890" w:type="dxa"/>
            <w:vAlign w:val="bottom"/>
          </w:tcPr>
          <w:p w14:paraId="496B08DD" w14:textId="7B744CB0" w:rsidR="00224102" w:rsidRPr="003E5443" w:rsidRDefault="00224102" w:rsidP="00224102">
            <w:pPr>
              <w:jc w:val="right"/>
              <w:rPr>
                <w:bCs/>
                <w:sz w:val="18"/>
                <w:szCs w:val="18"/>
              </w:rPr>
            </w:pPr>
            <w:r w:rsidRPr="003E5443">
              <w:rPr>
                <w:bCs/>
                <w:sz w:val="18"/>
                <w:szCs w:val="18"/>
              </w:rPr>
              <w:t>-</w:t>
            </w:r>
          </w:p>
        </w:tc>
      </w:tr>
      <w:tr w:rsidR="00224102" w:rsidRPr="00604C75" w14:paraId="2CA361FC" w14:textId="77777777" w:rsidTr="00AD726D">
        <w:trPr>
          <w:trHeight w:val="204"/>
        </w:trPr>
        <w:tc>
          <w:tcPr>
            <w:tcW w:w="3738" w:type="dxa"/>
            <w:vAlign w:val="bottom"/>
          </w:tcPr>
          <w:p w14:paraId="71072BF7" w14:textId="51CF5D90" w:rsidR="00224102" w:rsidRPr="00604C75" w:rsidRDefault="00224102" w:rsidP="00224102">
            <w:pPr>
              <w:tabs>
                <w:tab w:val="left" w:pos="851"/>
              </w:tabs>
              <w:rPr>
                <w:rFonts w:eastAsia="Arial Unicode MS"/>
                <w:noProof/>
                <w:sz w:val="18"/>
                <w:szCs w:val="18"/>
              </w:rPr>
            </w:pPr>
            <w:r w:rsidRPr="00604C75">
              <w:rPr>
                <w:noProof/>
                <w:sz w:val="18"/>
                <w:szCs w:val="18"/>
              </w:rPr>
              <w:t xml:space="preserve">Without </w:t>
            </w:r>
            <w:r>
              <w:rPr>
                <w:noProof/>
                <w:sz w:val="18"/>
                <w:szCs w:val="18"/>
              </w:rPr>
              <w:t>I</w:t>
            </w:r>
            <w:r w:rsidRPr="00604C75">
              <w:rPr>
                <w:noProof/>
                <w:sz w:val="18"/>
                <w:szCs w:val="18"/>
              </w:rPr>
              <w:t>nstallments</w:t>
            </w:r>
          </w:p>
        </w:tc>
        <w:tc>
          <w:tcPr>
            <w:tcW w:w="1596" w:type="dxa"/>
            <w:vAlign w:val="bottom"/>
          </w:tcPr>
          <w:p w14:paraId="3B2E9359" w14:textId="509870FA" w:rsidR="00224102" w:rsidRDefault="00224102" w:rsidP="00224102">
            <w:pPr>
              <w:jc w:val="right"/>
              <w:rPr>
                <w:sz w:val="18"/>
                <w:szCs w:val="18"/>
              </w:rPr>
            </w:pPr>
            <w:r>
              <w:rPr>
                <w:sz w:val="18"/>
                <w:szCs w:val="18"/>
              </w:rPr>
              <w:t>4</w:t>
            </w:r>
          </w:p>
        </w:tc>
        <w:tc>
          <w:tcPr>
            <w:tcW w:w="2155" w:type="dxa"/>
            <w:vAlign w:val="bottom"/>
          </w:tcPr>
          <w:p w14:paraId="04D7977A" w14:textId="58A9EE2D" w:rsidR="00224102" w:rsidRDefault="00224102" w:rsidP="00224102">
            <w:pPr>
              <w:jc w:val="right"/>
              <w:rPr>
                <w:sz w:val="18"/>
                <w:szCs w:val="18"/>
              </w:rPr>
            </w:pPr>
            <w:r>
              <w:rPr>
                <w:sz w:val="18"/>
                <w:szCs w:val="18"/>
              </w:rPr>
              <w:t>-</w:t>
            </w:r>
          </w:p>
        </w:tc>
        <w:tc>
          <w:tcPr>
            <w:tcW w:w="1890" w:type="dxa"/>
            <w:vAlign w:val="bottom"/>
          </w:tcPr>
          <w:p w14:paraId="5DDAC423" w14:textId="7DBED1CA" w:rsidR="00224102" w:rsidRPr="0084587E" w:rsidRDefault="00224102" w:rsidP="00224102">
            <w:pPr>
              <w:jc w:val="right"/>
              <w:rPr>
                <w:bCs/>
                <w:sz w:val="18"/>
                <w:szCs w:val="18"/>
              </w:rPr>
            </w:pPr>
            <w:r w:rsidRPr="0084587E">
              <w:rPr>
                <w:bCs/>
                <w:sz w:val="18"/>
                <w:szCs w:val="18"/>
              </w:rPr>
              <w:t>4</w:t>
            </w:r>
          </w:p>
        </w:tc>
      </w:tr>
      <w:tr w:rsidR="00224102" w:rsidRPr="00604C75" w14:paraId="1584DBB6" w14:textId="77777777" w:rsidTr="00AD726D">
        <w:trPr>
          <w:trHeight w:val="254"/>
        </w:trPr>
        <w:tc>
          <w:tcPr>
            <w:tcW w:w="3738" w:type="dxa"/>
            <w:vAlign w:val="bottom"/>
          </w:tcPr>
          <w:p w14:paraId="12F2D046" w14:textId="34B4B2AF" w:rsidR="00224102" w:rsidRPr="00604C75" w:rsidRDefault="00224102" w:rsidP="00877CBD">
            <w:pPr>
              <w:tabs>
                <w:tab w:val="left" w:pos="851"/>
              </w:tabs>
              <w:ind w:left="180" w:hanging="180"/>
              <w:rPr>
                <w:b/>
                <w:sz w:val="18"/>
              </w:rPr>
            </w:pPr>
            <w:r w:rsidRPr="00604C75">
              <w:rPr>
                <w:b/>
                <w:noProof/>
                <w:sz w:val="18"/>
                <w:szCs w:val="18"/>
              </w:rPr>
              <w:t>Credit Deposit Account-TL (</w:t>
            </w:r>
            <w:r w:rsidR="00877CBD">
              <w:rPr>
                <w:b/>
                <w:noProof/>
                <w:sz w:val="18"/>
                <w:szCs w:val="18"/>
              </w:rPr>
              <w:t>Individuals</w:t>
            </w:r>
            <w:r w:rsidRPr="00604C75">
              <w:rPr>
                <w:b/>
                <w:noProof/>
                <w:sz w:val="18"/>
                <w:szCs w:val="18"/>
              </w:rPr>
              <w:t>)</w:t>
            </w:r>
            <w:r>
              <w:rPr>
                <w:b/>
                <w:noProof/>
                <w:sz w:val="18"/>
                <w:szCs w:val="18"/>
              </w:rPr>
              <w:t xml:space="preserve"> </w:t>
            </w:r>
            <w:r w:rsidRPr="00604C75">
              <w:rPr>
                <w:b/>
                <w:noProof/>
                <w:sz w:val="18"/>
                <w:szCs w:val="18"/>
              </w:rPr>
              <w:t>(*)</w:t>
            </w:r>
            <w:r w:rsidRPr="00604C75">
              <w:rPr>
                <w:b/>
                <w:sz w:val="18"/>
                <w:szCs w:val="18"/>
                <w:vertAlign w:val="superscript"/>
                <w:lang w:eastAsia="tr-TR"/>
              </w:rPr>
              <w:t xml:space="preserve"> </w:t>
            </w:r>
          </w:p>
        </w:tc>
        <w:tc>
          <w:tcPr>
            <w:tcW w:w="1596" w:type="dxa"/>
            <w:vAlign w:val="bottom"/>
          </w:tcPr>
          <w:p w14:paraId="082CCB19" w14:textId="7112EC68" w:rsidR="00224102" w:rsidRPr="003E5443" w:rsidRDefault="00224102" w:rsidP="00224102">
            <w:pPr>
              <w:jc w:val="right"/>
              <w:rPr>
                <w:b/>
                <w:sz w:val="18"/>
                <w:szCs w:val="18"/>
              </w:rPr>
            </w:pPr>
            <w:r w:rsidRPr="003E5443">
              <w:rPr>
                <w:b/>
                <w:sz w:val="18"/>
                <w:szCs w:val="18"/>
              </w:rPr>
              <w:t>7,038</w:t>
            </w:r>
          </w:p>
        </w:tc>
        <w:tc>
          <w:tcPr>
            <w:tcW w:w="2155" w:type="dxa"/>
            <w:vAlign w:val="bottom"/>
          </w:tcPr>
          <w:p w14:paraId="3978445E" w14:textId="06D2A1FC" w:rsidR="00224102" w:rsidRPr="003E5443" w:rsidRDefault="00224102" w:rsidP="00224102">
            <w:pPr>
              <w:jc w:val="right"/>
              <w:rPr>
                <w:b/>
                <w:sz w:val="18"/>
                <w:szCs w:val="18"/>
              </w:rPr>
            </w:pPr>
            <w:r w:rsidRPr="003E5443">
              <w:rPr>
                <w:b/>
                <w:sz w:val="18"/>
                <w:szCs w:val="18"/>
              </w:rPr>
              <w:t>-</w:t>
            </w:r>
          </w:p>
        </w:tc>
        <w:tc>
          <w:tcPr>
            <w:tcW w:w="1890" w:type="dxa"/>
            <w:vAlign w:val="bottom"/>
          </w:tcPr>
          <w:p w14:paraId="55E38C29" w14:textId="757859C8" w:rsidR="00224102" w:rsidRPr="003E5443" w:rsidRDefault="00224102" w:rsidP="00224102">
            <w:pPr>
              <w:jc w:val="right"/>
              <w:rPr>
                <w:b/>
                <w:bCs/>
                <w:sz w:val="18"/>
                <w:szCs w:val="18"/>
              </w:rPr>
            </w:pPr>
            <w:r w:rsidRPr="003E5443">
              <w:rPr>
                <w:b/>
                <w:bCs/>
                <w:sz w:val="18"/>
                <w:szCs w:val="18"/>
              </w:rPr>
              <w:t>7,038</w:t>
            </w:r>
          </w:p>
        </w:tc>
      </w:tr>
      <w:tr w:rsidR="00224102" w:rsidRPr="00604C75" w14:paraId="6EF5EAD5" w14:textId="77777777" w:rsidTr="00AD726D">
        <w:trPr>
          <w:trHeight w:val="212"/>
        </w:trPr>
        <w:tc>
          <w:tcPr>
            <w:tcW w:w="3738" w:type="dxa"/>
            <w:vAlign w:val="bottom"/>
          </w:tcPr>
          <w:p w14:paraId="24ED8E4A" w14:textId="0513B274" w:rsidR="00224102" w:rsidRPr="00604C75" w:rsidRDefault="00224102" w:rsidP="00877CBD">
            <w:pPr>
              <w:tabs>
                <w:tab w:val="left" w:pos="851"/>
              </w:tabs>
              <w:ind w:left="180" w:hanging="180"/>
              <w:rPr>
                <w:b/>
                <w:sz w:val="18"/>
              </w:rPr>
            </w:pPr>
            <w:r w:rsidRPr="00604C75">
              <w:rPr>
                <w:b/>
                <w:noProof/>
                <w:sz w:val="18"/>
                <w:szCs w:val="18"/>
              </w:rPr>
              <w:t>Credit Deposit Account-FC (</w:t>
            </w:r>
            <w:r w:rsidR="00877CBD">
              <w:rPr>
                <w:b/>
                <w:noProof/>
                <w:sz w:val="18"/>
                <w:szCs w:val="18"/>
              </w:rPr>
              <w:t>Individuals</w:t>
            </w:r>
            <w:r w:rsidRPr="00604C75">
              <w:rPr>
                <w:b/>
                <w:noProof/>
                <w:sz w:val="18"/>
                <w:szCs w:val="18"/>
              </w:rPr>
              <w:t>)</w:t>
            </w:r>
          </w:p>
        </w:tc>
        <w:tc>
          <w:tcPr>
            <w:tcW w:w="1596" w:type="dxa"/>
            <w:vAlign w:val="bottom"/>
          </w:tcPr>
          <w:p w14:paraId="48787710" w14:textId="5299B309" w:rsidR="00224102" w:rsidRPr="003E5443" w:rsidRDefault="00224102" w:rsidP="00224102">
            <w:pPr>
              <w:jc w:val="right"/>
              <w:rPr>
                <w:b/>
                <w:sz w:val="18"/>
                <w:szCs w:val="18"/>
              </w:rPr>
            </w:pPr>
            <w:r w:rsidRPr="003E5443">
              <w:rPr>
                <w:b/>
                <w:sz w:val="18"/>
                <w:szCs w:val="18"/>
              </w:rPr>
              <w:t>-</w:t>
            </w:r>
          </w:p>
        </w:tc>
        <w:tc>
          <w:tcPr>
            <w:tcW w:w="2155" w:type="dxa"/>
            <w:vAlign w:val="bottom"/>
          </w:tcPr>
          <w:p w14:paraId="507C73E8" w14:textId="6D9CDEF3" w:rsidR="00224102" w:rsidRPr="003E5443" w:rsidRDefault="00224102" w:rsidP="00224102">
            <w:pPr>
              <w:jc w:val="right"/>
              <w:rPr>
                <w:b/>
                <w:sz w:val="18"/>
                <w:szCs w:val="18"/>
              </w:rPr>
            </w:pPr>
            <w:r w:rsidRPr="003E5443">
              <w:rPr>
                <w:b/>
                <w:sz w:val="18"/>
                <w:szCs w:val="18"/>
              </w:rPr>
              <w:t>-</w:t>
            </w:r>
          </w:p>
        </w:tc>
        <w:tc>
          <w:tcPr>
            <w:tcW w:w="1890" w:type="dxa"/>
            <w:vAlign w:val="bottom"/>
          </w:tcPr>
          <w:p w14:paraId="517775FA" w14:textId="53BC91FB" w:rsidR="00224102" w:rsidRPr="003E5443" w:rsidRDefault="00224102" w:rsidP="00224102">
            <w:pPr>
              <w:jc w:val="right"/>
              <w:rPr>
                <w:b/>
                <w:bCs/>
                <w:sz w:val="18"/>
                <w:szCs w:val="18"/>
              </w:rPr>
            </w:pPr>
            <w:r w:rsidRPr="003E5443">
              <w:rPr>
                <w:b/>
                <w:bCs/>
                <w:sz w:val="18"/>
                <w:szCs w:val="18"/>
              </w:rPr>
              <w:t>-</w:t>
            </w:r>
          </w:p>
        </w:tc>
      </w:tr>
      <w:tr w:rsidR="00224102" w:rsidRPr="00604C75" w14:paraId="01DC0553" w14:textId="77777777" w:rsidTr="00AD726D">
        <w:trPr>
          <w:trHeight w:val="204"/>
        </w:trPr>
        <w:tc>
          <w:tcPr>
            <w:tcW w:w="3738" w:type="dxa"/>
            <w:vAlign w:val="bottom"/>
          </w:tcPr>
          <w:p w14:paraId="6B3EE69C" w14:textId="77777777" w:rsidR="00224102" w:rsidRPr="00604C75" w:rsidRDefault="00224102" w:rsidP="00224102">
            <w:pPr>
              <w:pStyle w:val="Heading9"/>
              <w:rPr>
                <w:rFonts w:eastAsia="Arial Unicode MS"/>
                <w:szCs w:val="24"/>
              </w:rPr>
            </w:pPr>
            <w:r w:rsidRPr="00604C75">
              <w:rPr>
                <w:szCs w:val="24"/>
              </w:rPr>
              <w:t>Total</w:t>
            </w:r>
          </w:p>
        </w:tc>
        <w:tc>
          <w:tcPr>
            <w:tcW w:w="1596" w:type="dxa"/>
            <w:vAlign w:val="bottom"/>
          </w:tcPr>
          <w:p w14:paraId="6721EAFA" w14:textId="21CB4D76" w:rsidR="00224102" w:rsidRDefault="00224102" w:rsidP="00224102">
            <w:pPr>
              <w:jc w:val="right"/>
              <w:rPr>
                <w:b/>
                <w:bCs/>
                <w:sz w:val="18"/>
                <w:szCs w:val="18"/>
              </w:rPr>
            </w:pPr>
            <w:r>
              <w:rPr>
                <w:b/>
                <w:bCs/>
                <w:sz w:val="18"/>
                <w:szCs w:val="18"/>
              </w:rPr>
              <w:t>31,355</w:t>
            </w:r>
          </w:p>
        </w:tc>
        <w:tc>
          <w:tcPr>
            <w:tcW w:w="2155" w:type="dxa"/>
            <w:vAlign w:val="bottom"/>
          </w:tcPr>
          <w:p w14:paraId="1B405FD9" w14:textId="0F6F3F5F" w:rsidR="00224102" w:rsidRDefault="00224102" w:rsidP="00224102">
            <w:pPr>
              <w:jc w:val="right"/>
              <w:rPr>
                <w:b/>
                <w:bCs/>
                <w:sz w:val="18"/>
                <w:szCs w:val="18"/>
              </w:rPr>
            </w:pPr>
            <w:r>
              <w:rPr>
                <w:b/>
                <w:bCs/>
                <w:sz w:val="18"/>
                <w:szCs w:val="18"/>
              </w:rPr>
              <w:t>229,925</w:t>
            </w:r>
          </w:p>
        </w:tc>
        <w:tc>
          <w:tcPr>
            <w:tcW w:w="1890" w:type="dxa"/>
            <w:vAlign w:val="bottom"/>
          </w:tcPr>
          <w:p w14:paraId="0FA9D84F" w14:textId="34AA2193" w:rsidR="00224102" w:rsidRDefault="00224102" w:rsidP="00224102">
            <w:pPr>
              <w:jc w:val="right"/>
              <w:rPr>
                <w:b/>
                <w:bCs/>
                <w:sz w:val="18"/>
                <w:szCs w:val="18"/>
              </w:rPr>
            </w:pPr>
            <w:r>
              <w:rPr>
                <w:b/>
                <w:bCs/>
                <w:sz w:val="18"/>
                <w:szCs w:val="18"/>
              </w:rPr>
              <w:t>261,280</w:t>
            </w:r>
          </w:p>
        </w:tc>
      </w:tr>
    </w:tbl>
    <w:p w14:paraId="70C50496" w14:textId="77777777" w:rsidR="008441EC" w:rsidRPr="00604C75" w:rsidRDefault="00FE2440" w:rsidP="00CD0767">
      <w:pPr>
        <w:pStyle w:val="BodyTextIndent"/>
        <w:tabs>
          <w:tab w:val="left" w:pos="2127"/>
        </w:tabs>
        <w:spacing w:before="60" w:after="0"/>
        <w:ind w:left="0" w:right="2"/>
        <w:jc w:val="both"/>
        <w:rPr>
          <w:sz w:val="22"/>
        </w:rPr>
      </w:pPr>
      <w:r w:rsidRPr="00604C75">
        <w:rPr>
          <w:sz w:val="18"/>
        </w:rPr>
        <w:t>(*)</w:t>
      </w:r>
      <w:r w:rsidR="006044C9">
        <w:rPr>
          <w:sz w:val="18"/>
        </w:rPr>
        <w:t xml:space="preserve"> </w:t>
      </w:r>
      <w:r w:rsidR="008441EC" w:rsidRPr="00604C75">
        <w:rPr>
          <w:sz w:val="18"/>
        </w:rPr>
        <w:t xml:space="preserve">TL </w:t>
      </w:r>
      <w:r w:rsidR="00E84ECB" w:rsidRPr="00195EDC">
        <w:rPr>
          <w:sz w:val="18"/>
        </w:rPr>
        <w:t xml:space="preserve">176 </w:t>
      </w:r>
      <w:r w:rsidR="008441EC" w:rsidRPr="00195EDC">
        <w:rPr>
          <w:sz w:val="18"/>
        </w:rPr>
        <w:t>of the</w:t>
      </w:r>
      <w:r w:rsidR="008441EC" w:rsidRPr="00604C75">
        <w:rPr>
          <w:sz w:val="18"/>
        </w:rPr>
        <w:t xml:space="preserve"> credit deposit account personnel</w:t>
      </w:r>
      <w:r w:rsidR="00524596">
        <w:rPr>
          <w:sz w:val="18"/>
        </w:rPr>
        <w:t xml:space="preserve"> loans</w:t>
      </w:r>
      <w:r w:rsidR="002C372E" w:rsidRPr="00604C75">
        <w:t xml:space="preserve"> </w:t>
      </w:r>
      <w:r w:rsidRPr="00604C75">
        <w:rPr>
          <w:sz w:val="18"/>
        </w:rPr>
        <w:t>(31 December 2014</w:t>
      </w:r>
      <w:r w:rsidR="008441EC" w:rsidRPr="00604C75">
        <w:rPr>
          <w:sz w:val="18"/>
        </w:rPr>
        <w:t xml:space="preserve">: TL </w:t>
      </w:r>
      <w:r w:rsidRPr="00604C75">
        <w:rPr>
          <w:sz w:val="18"/>
        </w:rPr>
        <w:t>179</w:t>
      </w:r>
      <w:r w:rsidR="008441EC" w:rsidRPr="00604C75">
        <w:rPr>
          <w:sz w:val="18"/>
        </w:rPr>
        <w:t>).</w:t>
      </w:r>
    </w:p>
    <w:p w14:paraId="514DDA9E" w14:textId="581B6B04" w:rsidR="00823383" w:rsidRPr="00604C75" w:rsidRDefault="00B27B7B" w:rsidP="00490153">
      <w:pPr>
        <w:pStyle w:val="BodyTextIndent"/>
        <w:pageBreakBefore/>
        <w:tabs>
          <w:tab w:val="left" w:pos="360"/>
        </w:tabs>
        <w:spacing w:before="120"/>
        <w:ind w:left="357" w:right="17" w:hanging="357"/>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32C8AE00" w14:textId="0C77F835" w:rsidR="00A45B53" w:rsidRPr="00604C75" w:rsidRDefault="00A45B53" w:rsidP="00490153">
      <w:pPr>
        <w:pStyle w:val="Heading2"/>
        <w:tabs>
          <w:tab w:val="left" w:pos="851"/>
        </w:tabs>
        <w:ind w:left="851" w:hanging="851"/>
        <w:rPr>
          <w:rFonts w:ascii="Times New Roman" w:hAnsi="Times New Roman"/>
          <w:bC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2E70FB2C" w14:textId="77777777" w:rsidR="00A66C54" w:rsidRPr="00604C75" w:rsidRDefault="00A66C54" w:rsidP="00490153">
      <w:pPr>
        <w:spacing w:before="120"/>
      </w:pPr>
      <w:r w:rsidRPr="00604C75">
        <w:rPr>
          <w:b/>
          <w:bCs/>
          <w:sz w:val="20"/>
          <w:szCs w:val="20"/>
        </w:rPr>
        <w:t>e.        Explanations on loans (Continued)</w:t>
      </w:r>
    </w:p>
    <w:p w14:paraId="41C30A83" w14:textId="77777777" w:rsidR="00CA3352" w:rsidRPr="00604C75" w:rsidRDefault="00F92748" w:rsidP="00490153">
      <w:pPr>
        <w:pStyle w:val="BodyTextIndent"/>
        <w:spacing w:before="120" w:after="0" w:line="216" w:lineRule="auto"/>
        <w:ind w:left="0"/>
        <w:jc w:val="both"/>
        <w:rPr>
          <w:sz w:val="20"/>
          <w:szCs w:val="20"/>
        </w:rPr>
      </w:pPr>
      <w:r w:rsidRPr="00604C75">
        <w:rPr>
          <w:sz w:val="20"/>
          <w:szCs w:val="20"/>
        </w:rPr>
        <w:t xml:space="preserve">5. </w:t>
      </w:r>
      <w:r w:rsidR="00A45B53" w:rsidRPr="00604C75">
        <w:rPr>
          <w:sz w:val="20"/>
          <w:szCs w:val="20"/>
        </w:rPr>
        <w:t xml:space="preserve">      </w:t>
      </w:r>
      <w:r w:rsidRPr="00604C75">
        <w:rPr>
          <w:sz w:val="20"/>
          <w:szCs w:val="20"/>
        </w:rPr>
        <w:t xml:space="preserve">Information on </w:t>
      </w:r>
      <w:r w:rsidR="00CA3352" w:rsidRPr="00604C75">
        <w:rPr>
          <w:sz w:val="20"/>
          <w:szCs w:val="20"/>
        </w:rPr>
        <w:t>commercial installment l</w:t>
      </w:r>
      <w:r w:rsidR="00A45B53" w:rsidRPr="00604C75">
        <w:rPr>
          <w:sz w:val="20"/>
          <w:szCs w:val="20"/>
        </w:rPr>
        <w:t>oans and corporate credit cards</w:t>
      </w:r>
    </w:p>
    <w:p w14:paraId="72771808" w14:textId="77777777" w:rsidR="0044575F" w:rsidRPr="00604C75" w:rsidRDefault="0044575F" w:rsidP="003103D4">
      <w:pPr>
        <w:pStyle w:val="BodyTextIndent"/>
        <w:spacing w:after="0" w:line="226" w:lineRule="auto"/>
        <w:ind w:left="1701"/>
        <w:rPr>
          <w:sz w:val="16"/>
          <w:szCs w:val="16"/>
        </w:rPr>
      </w:pPr>
    </w:p>
    <w:tbl>
      <w:tblPr>
        <w:tblW w:w="936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748"/>
        <w:gridCol w:w="1586"/>
        <w:gridCol w:w="2151"/>
        <w:gridCol w:w="1880"/>
      </w:tblGrid>
      <w:tr w:rsidR="0044575F" w:rsidRPr="00604C75" w14:paraId="67D8CAFB" w14:textId="77777777" w:rsidTr="00AD726D">
        <w:trPr>
          <w:trHeight w:val="184"/>
        </w:trPr>
        <w:tc>
          <w:tcPr>
            <w:tcW w:w="3748" w:type="dxa"/>
            <w:vAlign w:val="bottom"/>
          </w:tcPr>
          <w:p w14:paraId="5DE1DFF1" w14:textId="77777777" w:rsidR="0044575F" w:rsidRPr="00604C75" w:rsidRDefault="0044575F" w:rsidP="003103D4">
            <w:pPr>
              <w:pStyle w:val="xl79"/>
              <w:pBdr>
                <w:left w:val="none" w:sz="0" w:space="0" w:color="auto"/>
                <w:bottom w:val="none" w:sz="0" w:space="0" w:color="auto"/>
                <w:right w:val="none" w:sz="0" w:space="0" w:color="auto"/>
              </w:pBdr>
              <w:spacing w:before="0" w:beforeAutospacing="0" w:after="0" w:afterAutospacing="0" w:line="226" w:lineRule="auto"/>
              <w:rPr>
                <w:b/>
              </w:rPr>
            </w:pPr>
          </w:p>
        </w:tc>
        <w:tc>
          <w:tcPr>
            <w:tcW w:w="1586" w:type="dxa"/>
            <w:vAlign w:val="bottom"/>
          </w:tcPr>
          <w:p w14:paraId="3D591643" w14:textId="77777777" w:rsidR="0044575F" w:rsidRPr="00C6387C" w:rsidRDefault="0044575F" w:rsidP="00C6387C">
            <w:pPr>
              <w:spacing w:line="226" w:lineRule="auto"/>
              <w:ind w:right="44"/>
              <w:jc w:val="right"/>
              <w:rPr>
                <w:rFonts w:eastAsia="Arial Unicode MS"/>
                <w:b/>
                <w:sz w:val="18"/>
                <w:szCs w:val="18"/>
              </w:rPr>
            </w:pPr>
            <w:r w:rsidRPr="00C6387C">
              <w:rPr>
                <w:rFonts w:eastAsia="Arial Unicode MS"/>
                <w:b/>
                <w:noProof/>
                <w:sz w:val="18"/>
                <w:szCs w:val="18"/>
              </w:rPr>
              <w:t>Short-term</w:t>
            </w:r>
          </w:p>
        </w:tc>
        <w:tc>
          <w:tcPr>
            <w:tcW w:w="2151" w:type="dxa"/>
            <w:vAlign w:val="bottom"/>
          </w:tcPr>
          <w:p w14:paraId="1DB7EFE5" w14:textId="77777777" w:rsidR="0044575F" w:rsidRPr="00C6387C" w:rsidRDefault="00D06CFB" w:rsidP="00C6387C">
            <w:pPr>
              <w:spacing w:line="226" w:lineRule="auto"/>
              <w:ind w:right="44"/>
              <w:jc w:val="right"/>
              <w:rPr>
                <w:b/>
                <w:bCs/>
                <w:sz w:val="18"/>
                <w:szCs w:val="18"/>
              </w:rPr>
            </w:pPr>
            <w:r w:rsidRPr="00C6387C">
              <w:rPr>
                <w:b/>
                <w:bCs/>
                <w:noProof/>
                <w:sz w:val="18"/>
                <w:szCs w:val="18"/>
              </w:rPr>
              <w:t xml:space="preserve">      </w:t>
            </w:r>
            <w:r w:rsidR="0044575F" w:rsidRPr="00C6387C">
              <w:rPr>
                <w:b/>
                <w:bCs/>
                <w:noProof/>
                <w:sz w:val="18"/>
                <w:szCs w:val="18"/>
              </w:rPr>
              <w:t>Medium and long-term</w:t>
            </w:r>
          </w:p>
        </w:tc>
        <w:tc>
          <w:tcPr>
            <w:tcW w:w="1880" w:type="dxa"/>
            <w:vAlign w:val="bottom"/>
          </w:tcPr>
          <w:p w14:paraId="347AD8B8" w14:textId="77777777" w:rsidR="0044575F" w:rsidRPr="00C6387C" w:rsidRDefault="0044575F" w:rsidP="00C6387C">
            <w:pPr>
              <w:spacing w:line="226" w:lineRule="auto"/>
              <w:ind w:right="44"/>
              <w:jc w:val="right"/>
              <w:rPr>
                <w:b/>
                <w:bCs/>
                <w:sz w:val="18"/>
                <w:szCs w:val="18"/>
              </w:rPr>
            </w:pPr>
            <w:r w:rsidRPr="00C6387C">
              <w:rPr>
                <w:b/>
                <w:bCs/>
                <w:sz w:val="18"/>
                <w:szCs w:val="18"/>
              </w:rPr>
              <w:t>Total</w:t>
            </w:r>
          </w:p>
        </w:tc>
      </w:tr>
      <w:tr w:rsidR="00224102" w:rsidRPr="00604C75" w14:paraId="29790268" w14:textId="77777777" w:rsidTr="00AD726D">
        <w:trPr>
          <w:trHeight w:val="184"/>
        </w:trPr>
        <w:tc>
          <w:tcPr>
            <w:tcW w:w="3748" w:type="dxa"/>
            <w:vAlign w:val="bottom"/>
          </w:tcPr>
          <w:p w14:paraId="02EFEB9C" w14:textId="77777777" w:rsidR="00224102" w:rsidRPr="00604C75" w:rsidRDefault="00224102" w:rsidP="00224102">
            <w:pPr>
              <w:spacing w:line="226" w:lineRule="auto"/>
              <w:rPr>
                <w:rFonts w:eastAsia="Arial Unicode MS"/>
                <w:b/>
                <w:noProof/>
                <w:sz w:val="18"/>
              </w:rPr>
            </w:pPr>
            <w:r w:rsidRPr="00604C75">
              <w:rPr>
                <w:b/>
                <w:noProof/>
                <w:sz w:val="18"/>
              </w:rPr>
              <w:t>Commercial Loans With Installments-TL</w:t>
            </w:r>
          </w:p>
        </w:tc>
        <w:tc>
          <w:tcPr>
            <w:tcW w:w="1586" w:type="dxa"/>
            <w:vAlign w:val="bottom"/>
          </w:tcPr>
          <w:p w14:paraId="492E6CC7" w14:textId="0918973E" w:rsidR="00224102" w:rsidRPr="00C6387C" w:rsidRDefault="00224102" w:rsidP="00C6387C">
            <w:pPr>
              <w:ind w:right="44"/>
              <w:jc w:val="right"/>
              <w:rPr>
                <w:b/>
                <w:bCs/>
                <w:sz w:val="18"/>
                <w:szCs w:val="18"/>
              </w:rPr>
            </w:pPr>
            <w:r w:rsidRPr="00C6387C">
              <w:rPr>
                <w:b/>
                <w:bCs/>
                <w:sz w:val="18"/>
                <w:szCs w:val="18"/>
              </w:rPr>
              <w:t>67,709</w:t>
            </w:r>
          </w:p>
        </w:tc>
        <w:tc>
          <w:tcPr>
            <w:tcW w:w="2151" w:type="dxa"/>
            <w:vAlign w:val="bottom"/>
          </w:tcPr>
          <w:p w14:paraId="150FF579" w14:textId="2A794752" w:rsidR="00224102" w:rsidRPr="00C6387C" w:rsidRDefault="00224102" w:rsidP="00C6387C">
            <w:pPr>
              <w:ind w:right="44"/>
              <w:jc w:val="right"/>
              <w:rPr>
                <w:b/>
                <w:bCs/>
                <w:sz w:val="18"/>
                <w:szCs w:val="18"/>
              </w:rPr>
            </w:pPr>
            <w:r w:rsidRPr="00C6387C">
              <w:rPr>
                <w:b/>
                <w:bCs/>
                <w:sz w:val="18"/>
                <w:szCs w:val="18"/>
              </w:rPr>
              <w:t>1,343,227</w:t>
            </w:r>
          </w:p>
        </w:tc>
        <w:tc>
          <w:tcPr>
            <w:tcW w:w="1880" w:type="dxa"/>
            <w:vAlign w:val="bottom"/>
          </w:tcPr>
          <w:p w14:paraId="2048F202" w14:textId="0761E797" w:rsidR="00224102" w:rsidRPr="00C6387C" w:rsidRDefault="00224102" w:rsidP="00C6387C">
            <w:pPr>
              <w:ind w:right="44"/>
              <w:jc w:val="right"/>
              <w:rPr>
                <w:b/>
                <w:bCs/>
                <w:sz w:val="18"/>
                <w:szCs w:val="18"/>
              </w:rPr>
            </w:pPr>
            <w:r w:rsidRPr="00C6387C">
              <w:rPr>
                <w:b/>
                <w:bCs/>
                <w:sz w:val="18"/>
                <w:szCs w:val="18"/>
              </w:rPr>
              <w:t>1,410,936</w:t>
            </w:r>
          </w:p>
        </w:tc>
      </w:tr>
      <w:tr w:rsidR="00224102" w:rsidRPr="00604C75" w14:paraId="4AA961ED" w14:textId="77777777" w:rsidTr="00AD726D">
        <w:trPr>
          <w:trHeight w:val="184"/>
        </w:trPr>
        <w:tc>
          <w:tcPr>
            <w:tcW w:w="3748" w:type="dxa"/>
            <w:vAlign w:val="bottom"/>
          </w:tcPr>
          <w:p w14:paraId="225E14CB" w14:textId="4B58AE35" w:rsidR="00224102" w:rsidRPr="00604C75" w:rsidRDefault="00224102" w:rsidP="00224102">
            <w:pPr>
              <w:spacing w:line="226" w:lineRule="auto"/>
              <w:rPr>
                <w:noProof/>
                <w:sz w:val="18"/>
                <w:szCs w:val="18"/>
              </w:rPr>
            </w:pPr>
            <w:r w:rsidRPr="00604C75">
              <w:rPr>
                <w:noProof/>
                <w:sz w:val="18"/>
                <w:szCs w:val="18"/>
              </w:rPr>
              <w:t xml:space="preserve">Real </w:t>
            </w:r>
            <w:r>
              <w:rPr>
                <w:noProof/>
                <w:sz w:val="18"/>
                <w:szCs w:val="18"/>
              </w:rPr>
              <w:t>E</w:t>
            </w:r>
            <w:r w:rsidRPr="00604C75">
              <w:rPr>
                <w:noProof/>
                <w:sz w:val="18"/>
                <w:szCs w:val="18"/>
              </w:rPr>
              <w:t xml:space="preserve">state </w:t>
            </w:r>
            <w:r>
              <w:rPr>
                <w:noProof/>
                <w:sz w:val="18"/>
                <w:szCs w:val="18"/>
              </w:rPr>
              <w:t>L</w:t>
            </w:r>
            <w:r w:rsidRPr="00604C75">
              <w:rPr>
                <w:noProof/>
                <w:sz w:val="18"/>
                <w:szCs w:val="18"/>
              </w:rPr>
              <w:t>oans</w:t>
            </w:r>
          </w:p>
        </w:tc>
        <w:tc>
          <w:tcPr>
            <w:tcW w:w="1586" w:type="dxa"/>
            <w:vAlign w:val="bottom"/>
          </w:tcPr>
          <w:p w14:paraId="0E506E64" w14:textId="22578B79" w:rsidR="00224102" w:rsidRPr="00C6387C" w:rsidRDefault="00224102" w:rsidP="00C6387C">
            <w:pPr>
              <w:ind w:right="44"/>
              <w:jc w:val="right"/>
              <w:rPr>
                <w:sz w:val="18"/>
                <w:szCs w:val="18"/>
              </w:rPr>
            </w:pPr>
            <w:r w:rsidRPr="00C6387C">
              <w:rPr>
                <w:sz w:val="18"/>
                <w:szCs w:val="18"/>
              </w:rPr>
              <w:t>-</w:t>
            </w:r>
          </w:p>
        </w:tc>
        <w:tc>
          <w:tcPr>
            <w:tcW w:w="2151" w:type="dxa"/>
            <w:vAlign w:val="bottom"/>
          </w:tcPr>
          <w:p w14:paraId="3EA7A01C" w14:textId="5BB099CA" w:rsidR="00224102" w:rsidRPr="00C6387C" w:rsidRDefault="00224102" w:rsidP="00C6387C">
            <w:pPr>
              <w:ind w:right="44"/>
              <w:jc w:val="right"/>
              <w:rPr>
                <w:sz w:val="18"/>
                <w:szCs w:val="18"/>
              </w:rPr>
            </w:pPr>
            <w:r w:rsidRPr="00C6387C">
              <w:rPr>
                <w:sz w:val="18"/>
                <w:szCs w:val="18"/>
              </w:rPr>
              <w:t>216,968</w:t>
            </w:r>
          </w:p>
        </w:tc>
        <w:tc>
          <w:tcPr>
            <w:tcW w:w="1880" w:type="dxa"/>
            <w:vAlign w:val="bottom"/>
          </w:tcPr>
          <w:p w14:paraId="3FB62B56" w14:textId="67CB4B4C" w:rsidR="00224102" w:rsidRPr="00C6387C" w:rsidRDefault="00224102" w:rsidP="00C6387C">
            <w:pPr>
              <w:ind w:right="44"/>
              <w:jc w:val="right"/>
              <w:rPr>
                <w:bCs/>
                <w:sz w:val="18"/>
                <w:szCs w:val="18"/>
              </w:rPr>
            </w:pPr>
            <w:r w:rsidRPr="00C6387C">
              <w:rPr>
                <w:bCs/>
                <w:sz w:val="18"/>
                <w:szCs w:val="18"/>
              </w:rPr>
              <w:t>216,968</w:t>
            </w:r>
          </w:p>
        </w:tc>
      </w:tr>
      <w:tr w:rsidR="00224102" w:rsidRPr="00604C75" w14:paraId="56340339" w14:textId="77777777" w:rsidTr="00AD726D">
        <w:trPr>
          <w:trHeight w:val="184"/>
        </w:trPr>
        <w:tc>
          <w:tcPr>
            <w:tcW w:w="3748" w:type="dxa"/>
            <w:vAlign w:val="bottom"/>
          </w:tcPr>
          <w:p w14:paraId="5F1E9936" w14:textId="2420085D" w:rsidR="00224102" w:rsidRPr="00604C75" w:rsidRDefault="00224102" w:rsidP="00224102">
            <w:pPr>
              <w:spacing w:line="226" w:lineRule="auto"/>
              <w:rPr>
                <w:noProof/>
                <w:sz w:val="18"/>
                <w:szCs w:val="18"/>
              </w:rPr>
            </w:pPr>
            <w:r w:rsidRPr="00604C75">
              <w:rPr>
                <w:noProof/>
                <w:sz w:val="18"/>
                <w:szCs w:val="18"/>
              </w:rPr>
              <w:t xml:space="preserve">Automotive </w:t>
            </w:r>
            <w:r>
              <w:rPr>
                <w:noProof/>
                <w:sz w:val="18"/>
                <w:szCs w:val="18"/>
              </w:rPr>
              <w:t>L</w:t>
            </w:r>
            <w:r w:rsidRPr="00604C75">
              <w:rPr>
                <w:noProof/>
                <w:sz w:val="18"/>
                <w:szCs w:val="18"/>
              </w:rPr>
              <w:t>oans</w:t>
            </w:r>
          </w:p>
        </w:tc>
        <w:tc>
          <w:tcPr>
            <w:tcW w:w="1586" w:type="dxa"/>
            <w:vAlign w:val="bottom"/>
          </w:tcPr>
          <w:p w14:paraId="33E89DD6" w14:textId="18B759C4" w:rsidR="00224102" w:rsidRPr="00C6387C" w:rsidRDefault="00224102" w:rsidP="00C6387C">
            <w:pPr>
              <w:ind w:right="44"/>
              <w:jc w:val="right"/>
              <w:rPr>
                <w:sz w:val="18"/>
                <w:szCs w:val="18"/>
              </w:rPr>
            </w:pPr>
            <w:r w:rsidRPr="00C6387C">
              <w:rPr>
                <w:sz w:val="18"/>
                <w:szCs w:val="18"/>
              </w:rPr>
              <w:t>-</w:t>
            </w:r>
          </w:p>
        </w:tc>
        <w:tc>
          <w:tcPr>
            <w:tcW w:w="2151" w:type="dxa"/>
            <w:vAlign w:val="bottom"/>
          </w:tcPr>
          <w:p w14:paraId="7DFBDFD3" w14:textId="67A22365" w:rsidR="00224102" w:rsidRPr="00C6387C" w:rsidRDefault="00224102" w:rsidP="00C6387C">
            <w:pPr>
              <w:ind w:right="44"/>
              <w:jc w:val="right"/>
              <w:rPr>
                <w:sz w:val="18"/>
                <w:szCs w:val="18"/>
              </w:rPr>
            </w:pPr>
            <w:r w:rsidRPr="00C6387C">
              <w:rPr>
                <w:sz w:val="18"/>
                <w:szCs w:val="18"/>
              </w:rPr>
              <w:t>99,138</w:t>
            </w:r>
          </w:p>
        </w:tc>
        <w:tc>
          <w:tcPr>
            <w:tcW w:w="1880" w:type="dxa"/>
            <w:vAlign w:val="bottom"/>
          </w:tcPr>
          <w:p w14:paraId="42C68DA0" w14:textId="4B0BF7C0" w:rsidR="00224102" w:rsidRPr="00C6387C" w:rsidRDefault="00224102" w:rsidP="00C6387C">
            <w:pPr>
              <w:ind w:right="44"/>
              <w:jc w:val="right"/>
              <w:rPr>
                <w:bCs/>
                <w:sz w:val="18"/>
                <w:szCs w:val="18"/>
              </w:rPr>
            </w:pPr>
            <w:r w:rsidRPr="00C6387C">
              <w:rPr>
                <w:bCs/>
                <w:sz w:val="18"/>
                <w:szCs w:val="18"/>
              </w:rPr>
              <w:t>99,138</w:t>
            </w:r>
          </w:p>
        </w:tc>
      </w:tr>
      <w:tr w:rsidR="00224102" w:rsidRPr="00604C75" w14:paraId="280B1F94" w14:textId="77777777" w:rsidTr="00AD726D">
        <w:trPr>
          <w:trHeight w:val="184"/>
        </w:trPr>
        <w:tc>
          <w:tcPr>
            <w:tcW w:w="3748" w:type="dxa"/>
            <w:vAlign w:val="bottom"/>
          </w:tcPr>
          <w:p w14:paraId="246C8237" w14:textId="7BED9AD8" w:rsidR="00224102" w:rsidRPr="00604C75" w:rsidRDefault="00224102" w:rsidP="00224102">
            <w:pPr>
              <w:spacing w:line="226" w:lineRule="auto"/>
              <w:rPr>
                <w:noProof/>
                <w:sz w:val="18"/>
                <w:szCs w:val="18"/>
              </w:rPr>
            </w:pPr>
            <w:r w:rsidRPr="00604C75">
              <w:rPr>
                <w:noProof/>
                <w:sz w:val="18"/>
                <w:szCs w:val="18"/>
              </w:rPr>
              <w:t xml:space="preserve">Consumer </w:t>
            </w:r>
            <w:r>
              <w:rPr>
                <w:noProof/>
                <w:sz w:val="18"/>
                <w:szCs w:val="18"/>
              </w:rPr>
              <w:t>L</w:t>
            </w:r>
            <w:r w:rsidRPr="00604C75">
              <w:rPr>
                <w:noProof/>
                <w:sz w:val="18"/>
                <w:szCs w:val="18"/>
              </w:rPr>
              <w:t>oans</w:t>
            </w:r>
          </w:p>
        </w:tc>
        <w:tc>
          <w:tcPr>
            <w:tcW w:w="1586" w:type="dxa"/>
            <w:vAlign w:val="bottom"/>
          </w:tcPr>
          <w:p w14:paraId="71CC5005" w14:textId="31ECA0E8" w:rsidR="00224102" w:rsidRPr="00C6387C" w:rsidRDefault="00224102" w:rsidP="00C6387C">
            <w:pPr>
              <w:ind w:right="44"/>
              <w:jc w:val="right"/>
              <w:rPr>
                <w:sz w:val="18"/>
                <w:szCs w:val="18"/>
              </w:rPr>
            </w:pPr>
            <w:r w:rsidRPr="00C6387C">
              <w:rPr>
                <w:sz w:val="18"/>
                <w:szCs w:val="18"/>
              </w:rPr>
              <w:t>67,709</w:t>
            </w:r>
          </w:p>
        </w:tc>
        <w:tc>
          <w:tcPr>
            <w:tcW w:w="2151" w:type="dxa"/>
            <w:vAlign w:val="bottom"/>
          </w:tcPr>
          <w:p w14:paraId="4626BA11" w14:textId="519EBE3A" w:rsidR="00224102" w:rsidRPr="00C6387C" w:rsidRDefault="00224102" w:rsidP="00C6387C">
            <w:pPr>
              <w:ind w:right="44"/>
              <w:jc w:val="right"/>
              <w:rPr>
                <w:sz w:val="18"/>
                <w:szCs w:val="18"/>
              </w:rPr>
            </w:pPr>
            <w:r w:rsidRPr="00C6387C">
              <w:rPr>
                <w:sz w:val="18"/>
                <w:szCs w:val="18"/>
              </w:rPr>
              <w:t>1,027,121</w:t>
            </w:r>
          </w:p>
        </w:tc>
        <w:tc>
          <w:tcPr>
            <w:tcW w:w="1880" w:type="dxa"/>
            <w:vAlign w:val="bottom"/>
          </w:tcPr>
          <w:p w14:paraId="56BCE788" w14:textId="2EC4082E" w:rsidR="00224102" w:rsidRPr="00C6387C" w:rsidRDefault="00224102" w:rsidP="00C6387C">
            <w:pPr>
              <w:ind w:right="44"/>
              <w:jc w:val="right"/>
              <w:rPr>
                <w:bCs/>
                <w:sz w:val="18"/>
                <w:szCs w:val="18"/>
              </w:rPr>
            </w:pPr>
            <w:r w:rsidRPr="00C6387C">
              <w:rPr>
                <w:bCs/>
                <w:sz w:val="18"/>
                <w:szCs w:val="18"/>
              </w:rPr>
              <w:t>1,094,830</w:t>
            </w:r>
          </w:p>
        </w:tc>
      </w:tr>
      <w:tr w:rsidR="00224102" w:rsidRPr="00604C75" w14:paraId="720C3E86" w14:textId="77777777" w:rsidTr="00AD726D">
        <w:trPr>
          <w:trHeight w:val="184"/>
        </w:trPr>
        <w:tc>
          <w:tcPr>
            <w:tcW w:w="3748" w:type="dxa"/>
            <w:vAlign w:val="bottom"/>
          </w:tcPr>
          <w:p w14:paraId="4DC73C11" w14:textId="77777777" w:rsidR="00224102" w:rsidRPr="00604C75" w:rsidRDefault="00224102" w:rsidP="00224102">
            <w:pPr>
              <w:spacing w:line="226" w:lineRule="auto"/>
              <w:rPr>
                <w:noProof/>
                <w:sz w:val="18"/>
                <w:szCs w:val="18"/>
              </w:rPr>
            </w:pPr>
            <w:r w:rsidRPr="00604C75">
              <w:rPr>
                <w:noProof/>
                <w:sz w:val="18"/>
                <w:szCs w:val="18"/>
              </w:rPr>
              <w:t>Other</w:t>
            </w:r>
          </w:p>
        </w:tc>
        <w:tc>
          <w:tcPr>
            <w:tcW w:w="1586" w:type="dxa"/>
            <w:vAlign w:val="bottom"/>
          </w:tcPr>
          <w:p w14:paraId="6F584711" w14:textId="46BF1EA4" w:rsidR="00224102" w:rsidRPr="00C6387C" w:rsidRDefault="00224102" w:rsidP="00C6387C">
            <w:pPr>
              <w:ind w:right="44"/>
              <w:jc w:val="right"/>
              <w:rPr>
                <w:sz w:val="18"/>
                <w:szCs w:val="18"/>
              </w:rPr>
            </w:pPr>
            <w:r w:rsidRPr="00C6387C">
              <w:rPr>
                <w:sz w:val="18"/>
                <w:szCs w:val="18"/>
              </w:rPr>
              <w:t>-</w:t>
            </w:r>
          </w:p>
        </w:tc>
        <w:tc>
          <w:tcPr>
            <w:tcW w:w="2151" w:type="dxa"/>
            <w:vAlign w:val="bottom"/>
          </w:tcPr>
          <w:p w14:paraId="28AB50C9" w14:textId="0B5795B9" w:rsidR="00224102" w:rsidRPr="00C6387C" w:rsidRDefault="00224102" w:rsidP="00C6387C">
            <w:pPr>
              <w:ind w:right="44"/>
              <w:jc w:val="right"/>
              <w:rPr>
                <w:sz w:val="18"/>
                <w:szCs w:val="18"/>
              </w:rPr>
            </w:pPr>
            <w:r w:rsidRPr="00C6387C">
              <w:rPr>
                <w:sz w:val="18"/>
                <w:szCs w:val="18"/>
              </w:rPr>
              <w:t>-</w:t>
            </w:r>
          </w:p>
        </w:tc>
        <w:tc>
          <w:tcPr>
            <w:tcW w:w="1880" w:type="dxa"/>
            <w:vAlign w:val="bottom"/>
          </w:tcPr>
          <w:p w14:paraId="4F47015D" w14:textId="332D950F" w:rsidR="00224102" w:rsidRPr="00C6387C" w:rsidRDefault="00224102" w:rsidP="00C6387C">
            <w:pPr>
              <w:ind w:right="44"/>
              <w:jc w:val="right"/>
              <w:rPr>
                <w:bCs/>
                <w:sz w:val="18"/>
                <w:szCs w:val="18"/>
              </w:rPr>
            </w:pPr>
            <w:r w:rsidRPr="00C6387C">
              <w:rPr>
                <w:bCs/>
                <w:sz w:val="18"/>
                <w:szCs w:val="18"/>
              </w:rPr>
              <w:t>-</w:t>
            </w:r>
          </w:p>
        </w:tc>
      </w:tr>
      <w:tr w:rsidR="00224102" w:rsidRPr="00604C75" w14:paraId="7A72E67C" w14:textId="77777777" w:rsidTr="00AD726D">
        <w:trPr>
          <w:trHeight w:val="184"/>
        </w:trPr>
        <w:tc>
          <w:tcPr>
            <w:tcW w:w="3748" w:type="dxa"/>
            <w:vAlign w:val="bottom"/>
          </w:tcPr>
          <w:p w14:paraId="5AC7908A" w14:textId="77777777" w:rsidR="00224102" w:rsidRPr="00604C75" w:rsidRDefault="00224102" w:rsidP="00224102">
            <w:pPr>
              <w:spacing w:line="226" w:lineRule="auto"/>
              <w:rPr>
                <w:rFonts w:eastAsia="Arial Unicode MS"/>
                <w:b/>
                <w:noProof/>
                <w:sz w:val="18"/>
              </w:rPr>
            </w:pPr>
            <w:r w:rsidRPr="00604C75">
              <w:rPr>
                <w:b/>
                <w:noProof/>
                <w:sz w:val="18"/>
              </w:rPr>
              <w:t>Commercial Loans With Installment-FC Indexed</w:t>
            </w:r>
          </w:p>
        </w:tc>
        <w:tc>
          <w:tcPr>
            <w:tcW w:w="1586" w:type="dxa"/>
            <w:vAlign w:val="bottom"/>
          </w:tcPr>
          <w:p w14:paraId="3500F3B2" w14:textId="2DCFFDA9" w:rsidR="00224102" w:rsidRPr="00C6387C" w:rsidRDefault="00224102" w:rsidP="00C6387C">
            <w:pPr>
              <w:ind w:right="44"/>
              <w:jc w:val="right"/>
              <w:rPr>
                <w:b/>
                <w:bCs/>
                <w:sz w:val="18"/>
                <w:szCs w:val="18"/>
              </w:rPr>
            </w:pPr>
            <w:r w:rsidRPr="00C6387C">
              <w:rPr>
                <w:b/>
                <w:bCs/>
                <w:sz w:val="18"/>
                <w:szCs w:val="18"/>
              </w:rPr>
              <w:t>-</w:t>
            </w:r>
          </w:p>
        </w:tc>
        <w:tc>
          <w:tcPr>
            <w:tcW w:w="2151" w:type="dxa"/>
            <w:vAlign w:val="bottom"/>
          </w:tcPr>
          <w:p w14:paraId="0091CD48" w14:textId="694069EB" w:rsidR="00224102" w:rsidRPr="00C6387C" w:rsidRDefault="00224102" w:rsidP="00C6387C">
            <w:pPr>
              <w:ind w:right="44"/>
              <w:jc w:val="right"/>
              <w:rPr>
                <w:b/>
                <w:bCs/>
                <w:sz w:val="18"/>
                <w:szCs w:val="18"/>
              </w:rPr>
            </w:pPr>
            <w:r w:rsidRPr="00C6387C">
              <w:rPr>
                <w:b/>
                <w:bCs/>
                <w:sz w:val="18"/>
                <w:szCs w:val="18"/>
              </w:rPr>
              <w:t>-</w:t>
            </w:r>
          </w:p>
        </w:tc>
        <w:tc>
          <w:tcPr>
            <w:tcW w:w="1880" w:type="dxa"/>
            <w:vAlign w:val="bottom"/>
          </w:tcPr>
          <w:p w14:paraId="747CFFEC" w14:textId="29BA9E2A" w:rsidR="00224102" w:rsidRPr="00C6387C" w:rsidRDefault="00224102" w:rsidP="00C6387C">
            <w:pPr>
              <w:ind w:right="44"/>
              <w:jc w:val="right"/>
              <w:rPr>
                <w:bCs/>
                <w:sz w:val="18"/>
                <w:szCs w:val="18"/>
              </w:rPr>
            </w:pPr>
            <w:r w:rsidRPr="00C6387C">
              <w:rPr>
                <w:bCs/>
                <w:sz w:val="18"/>
                <w:szCs w:val="18"/>
              </w:rPr>
              <w:t>-</w:t>
            </w:r>
          </w:p>
        </w:tc>
      </w:tr>
      <w:tr w:rsidR="00224102" w:rsidRPr="00604C75" w14:paraId="6CAFB03F" w14:textId="77777777" w:rsidTr="00AD726D">
        <w:trPr>
          <w:trHeight w:val="184"/>
        </w:trPr>
        <w:tc>
          <w:tcPr>
            <w:tcW w:w="3748" w:type="dxa"/>
            <w:vAlign w:val="bottom"/>
          </w:tcPr>
          <w:p w14:paraId="2501220D" w14:textId="525A64E3" w:rsidR="00224102" w:rsidRPr="00604C75" w:rsidRDefault="00224102" w:rsidP="00224102">
            <w:pPr>
              <w:spacing w:line="226" w:lineRule="auto"/>
              <w:rPr>
                <w:noProof/>
                <w:sz w:val="18"/>
                <w:szCs w:val="18"/>
              </w:rPr>
            </w:pPr>
            <w:r w:rsidRPr="00604C75">
              <w:rPr>
                <w:noProof/>
                <w:sz w:val="18"/>
                <w:szCs w:val="18"/>
              </w:rPr>
              <w:t xml:space="preserve">Real </w:t>
            </w:r>
            <w:r>
              <w:rPr>
                <w:noProof/>
                <w:sz w:val="18"/>
                <w:szCs w:val="18"/>
              </w:rPr>
              <w:t>E</w:t>
            </w:r>
            <w:r w:rsidRPr="00604C75">
              <w:rPr>
                <w:noProof/>
                <w:sz w:val="18"/>
                <w:szCs w:val="18"/>
              </w:rPr>
              <w:t xml:space="preserve">state </w:t>
            </w:r>
            <w:r>
              <w:rPr>
                <w:noProof/>
                <w:sz w:val="18"/>
                <w:szCs w:val="18"/>
              </w:rPr>
              <w:t>L</w:t>
            </w:r>
            <w:r w:rsidRPr="00604C75">
              <w:rPr>
                <w:noProof/>
                <w:sz w:val="18"/>
                <w:szCs w:val="18"/>
              </w:rPr>
              <w:t>oans</w:t>
            </w:r>
          </w:p>
        </w:tc>
        <w:tc>
          <w:tcPr>
            <w:tcW w:w="1586" w:type="dxa"/>
            <w:vAlign w:val="bottom"/>
          </w:tcPr>
          <w:p w14:paraId="37842211" w14:textId="33B21B23" w:rsidR="00224102" w:rsidRPr="00C6387C" w:rsidRDefault="00224102" w:rsidP="00C6387C">
            <w:pPr>
              <w:ind w:right="44"/>
              <w:jc w:val="right"/>
              <w:rPr>
                <w:sz w:val="18"/>
                <w:szCs w:val="18"/>
              </w:rPr>
            </w:pPr>
            <w:r w:rsidRPr="00C6387C">
              <w:rPr>
                <w:sz w:val="18"/>
                <w:szCs w:val="18"/>
              </w:rPr>
              <w:t>-</w:t>
            </w:r>
          </w:p>
        </w:tc>
        <w:tc>
          <w:tcPr>
            <w:tcW w:w="2151" w:type="dxa"/>
            <w:vAlign w:val="bottom"/>
          </w:tcPr>
          <w:p w14:paraId="631BBBBE" w14:textId="56DAA8FC" w:rsidR="00224102" w:rsidRPr="00C6387C" w:rsidRDefault="00224102" w:rsidP="00C6387C">
            <w:pPr>
              <w:ind w:right="44"/>
              <w:jc w:val="right"/>
              <w:rPr>
                <w:sz w:val="18"/>
                <w:szCs w:val="18"/>
              </w:rPr>
            </w:pPr>
            <w:r w:rsidRPr="00C6387C">
              <w:rPr>
                <w:sz w:val="18"/>
                <w:szCs w:val="18"/>
              </w:rPr>
              <w:t>-</w:t>
            </w:r>
          </w:p>
        </w:tc>
        <w:tc>
          <w:tcPr>
            <w:tcW w:w="1880" w:type="dxa"/>
            <w:vAlign w:val="bottom"/>
          </w:tcPr>
          <w:p w14:paraId="39FE527F" w14:textId="7A5CB7C9" w:rsidR="00224102" w:rsidRPr="00C6387C" w:rsidRDefault="00224102" w:rsidP="00C6387C">
            <w:pPr>
              <w:ind w:right="44"/>
              <w:jc w:val="right"/>
              <w:rPr>
                <w:b/>
                <w:bCs/>
                <w:sz w:val="18"/>
                <w:szCs w:val="18"/>
              </w:rPr>
            </w:pPr>
            <w:r w:rsidRPr="00C6387C">
              <w:rPr>
                <w:b/>
                <w:bCs/>
                <w:sz w:val="18"/>
                <w:szCs w:val="18"/>
              </w:rPr>
              <w:t>-</w:t>
            </w:r>
          </w:p>
        </w:tc>
      </w:tr>
      <w:tr w:rsidR="00224102" w:rsidRPr="00604C75" w14:paraId="7E46F951" w14:textId="77777777" w:rsidTr="00AD726D">
        <w:trPr>
          <w:trHeight w:val="184"/>
        </w:trPr>
        <w:tc>
          <w:tcPr>
            <w:tcW w:w="3748" w:type="dxa"/>
            <w:vAlign w:val="bottom"/>
          </w:tcPr>
          <w:p w14:paraId="2B09401F" w14:textId="70DD35D3" w:rsidR="00224102" w:rsidRPr="00604C75" w:rsidRDefault="00224102" w:rsidP="00224102">
            <w:pPr>
              <w:spacing w:line="226" w:lineRule="auto"/>
              <w:rPr>
                <w:noProof/>
                <w:sz w:val="18"/>
                <w:szCs w:val="18"/>
              </w:rPr>
            </w:pPr>
            <w:r w:rsidRPr="00604C75">
              <w:rPr>
                <w:noProof/>
                <w:sz w:val="18"/>
                <w:szCs w:val="18"/>
              </w:rPr>
              <w:t xml:space="preserve">Automotive </w:t>
            </w:r>
            <w:r>
              <w:rPr>
                <w:noProof/>
                <w:sz w:val="18"/>
                <w:szCs w:val="18"/>
              </w:rPr>
              <w:t>L</w:t>
            </w:r>
            <w:r w:rsidRPr="00604C75">
              <w:rPr>
                <w:noProof/>
                <w:sz w:val="18"/>
                <w:szCs w:val="18"/>
              </w:rPr>
              <w:t>oans</w:t>
            </w:r>
          </w:p>
        </w:tc>
        <w:tc>
          <w:tcPr>
            <w:tcW w:w="1586" w:type="dxa"/>
            <w:vAlign w:val="bottom"/>
          </w:tcPr>
          <w:p w14:paraId="1CEDBA02" w14:textId="6D8B621C" w:rsidR="00224102" w:rsidRPr="00C6387C" w:rsidRDefault="00224102" w:rsidP="00C6387C">
            <w:pPr>
              <w:ind w:right="44"/>
              <w:jc w:val="right"/>
              <w:rPr>
                <w:sz w:val="18"/>
                <w:szCs w:val="18"/>
              </w:rPr>
            </w:pPr>
            <w:r w:rsidRPr="00C6387C">
              <w:rPr>
                <w:sz w:val="18"/>
                <w:szCs w:val="18"/>
              </w:rPr>
              <w:t>-</w:t>
            </w:r>
          </w:p>
        </w:tc>
        <w:tc>
          <w:tcPr>
            <w:tcW w:w="2151" w:type="dxa"/>
            <w:vAlign w:val="bottom"/>
          </w:tcPr>
          <w:p w14:paraId="6705A2E9" w14:textId="02AD91F0" w:rsidR="00224102" w:rsidRPr="00C6387C" w:rsidRDefault="00224102" w:rsidP="00C6387C">
            <w:pPr>
              <w:ind w:right="44"/>
              <w:jc w:val="right"/>
              <w:rPr>
                <w:sz w:val="18"/>
                <w:szCs w:val="18"/>
              </w:rPr>
            </w:pPr>
            <w:r w:rsidRPr="00C6387C">
              <w:rPr>
                <w:sz w:val="18"/>
                <w:szCs w:val="18"/>
              </w:rPr>
              <w:t>-</w:t>
            </w:r>
          </w:p>
        </w:tc>
        <w:tc>
          <w:tcPr>
            <w:tcW w:w="1880" w:type="dxa"/>
            <w:vAlign w:val="bottom"/>
          </w:tcPr>
          <w:p w14:paraId="5E47A9B9" w14:textId="22278926" w:rsidR="00224102" w:rsidRPr="00C6387C" w:rsidRDefault="00224102" w:rsidP="00C6387C">
            <w:pPr>
              <w:ind w:right="44"/>
              <w:jc w:val="right"/>
              <w:rPr>
                <w:b/>
                <w:bCs/>
                <w:sz w:val="18"/>
                <w:szCs w:val="18"/>
              </w:rPr>
            </w:pPr>
            <w:r w:rsidRPr="00C6387C">
              <w:rPr>
                <w:b/>
                <w:bCs/>
                <w:sz w:val="18"/>
                <w:szCs w:val="18"/>
              </w:rPr>
              <w:t>-</w:t>
            </w:r>
          </w:p>
        </w:tc>
      </w:tr>
      <w:tr w:rsidR="00224102" w:rsidRPr="00604C75" w14:paraId="59773830" w14:textId="77777777" w:rsidTr="00AD726D">
        <w:trPr>
          <w:trHeight w:val="184"/>
        </w:trPr>
        <w:tc>
          <w:tcPr>
            <w:tcW w:w="3748" w:type="dxa"/>
            <w:vAlign w:val="bottom"/>
          </w:tcPr>
          <w:p w14:paraId="03D793D6" w14:textId="7166C5ED" w:rsidR="00224102" w:rsidRPr="00604C75" w:rsidRDefault="00224102" w:rsidP="00224102">
            <w:pPr>
              <w:spacing w:line="226" w:lineRule="auto"/>
              <w:rPr>
                <w:noProof/>
                <w:sz w:val="18"/>
                <w:szCs w:val="18"/>
              </w:rPr>
            </w:pPr>
            <w:r w:rsidRPr="00604C75">
              <w:rPr>
                <w:noProof/>
                <w:sz w:val="18"/>
                <w:szCs w:val="18"/>
              </w:rPr>
              <w:t xml:space="preserve">Consumer </w:t>
            </w:r>
            <w:r>
              <w:rPr>
                <w:noProof/>
                <w:sz w:val="18"/>
                <w:szCs w:val="18"/>
              </w:rPr>
              <w:t>L</w:t>
            </w:r>
            <w:r w:rsidRPr="00604C75">
              <w:rPr>
                <w:noProof/>
                <w:sz w:val="18"/>
                <w:szCs w:val="18"/>
              </w:rPr>
              <w:t>oans</w:t>
            </w:r>
          </w:p>
        </w:tc>
        <w:tc>
          <w:tcPr>
            <w:tcW w:w="1586" w:type="dxa"/>
            <w:vAlign w:val="bottom"/>
          </w:tcPr>
          <w:p w14:paraId="004F3284" w14:textId="68CDA5F5" w:rsidR="00224102" w:rsidRPr="00C6387C" w:rsidRDefault="00224102" w:rsidP="00C6387C">
            <w:pPr>
              <w:ind w:right="44"/>
              <w:jc w:val="right"/>
              <w:rPr>
                <w:sz w:val="18"/>
                <w:szCs w:val="18"/>
              </w:rPr>
            </w:pPr>
            <w:r w:rsidRPr="00C6387C">
              <w:rPr>
                <w:sz w:val="18"/>
                <w:szCs w:val="18"/>
              </w:rPr>
              <w:t>-</w:t>
            </w:r>
          </w:p>
        </w:tc>
        <w:tc>
          <w:tcPr>
            <w:tcW w:w="2151" w:type="dxa"/>
            <w:vAlign w:val="bottom"/>
          </w:tcPr>
          <w:p w14:paraId="7951A726" w14:textId="122EA69B" w:rsidR="00224102" w:rsidRPr="00C6387C" w:rsidRDefault="00224102" w:rsidP="00C6387C">
            <w:pPr>
              <w:ind w:right="44"/>
              <w:jc w:val="right"/>
              <w:rPr>
                <w:sz w:val="18"/>
                <w:szCs w:val="18"/>
              </w:rPr>
            </w:pPr>
            <w:r w:rsidRPr="00C6387C">
              <w:rPr>
                <w:sz w:val="18"/>
                <w:szCs w:val="18"/>
              </w:rPr>
              <w:t>-</w:t>
            </w:r>
          </w:p>
        </w:tc>
        <w:tc>
          <w:tcPr>
            <w:tcW w:w="1880" w:type="dxa"/>
            <w:vAlign w:val="bottom"/>
          </w:tcPr>
          <w:p w14:paraId="4C865BA9" w14:textId="5D71E13E" w:rsidR="00224102" w:rsidRPr="00C6387C" w:rsidRDefault="00224102" w:rsidP="00C6387C">
            <w:pPr>
              <w:ind w:right="44"/>
              <w:jc w:val="right"/>
              <w:rPr>
                <w:b/>
                <w:bCs/>
                <w:sz w:val="18"/>
                <w:szCs w:val="18"/>
              </w:rPr>
            </w:pPr>
            <w:r w:rsidRPr="00C6387C">
              <w:rPr>
                <w:b/>
                <w:bCs/>
                <w:sz w:val="18"/>
                <w:szCs w:val="18"/>
              </w:rPr>
              <w:t>-</w:t>
            </w:r>
          </w:p>
        </w:tc>
      </w:tr>
      <w:tr w:rsidR="00224102" w:rsidRPr="00604C75" w14:paraId="28366B6C" w14:textId="77777777" w:rsidTr="00AD726D">
        <w:trPr>
          <w:trHeight w:val="184"/>
        </w:trPr>
        <w:tc>
          <w:tcPr>
            <w:tcW w:w="3748" w:type="dxa"/>
            <w:vAlign w:val="bottom"/>
          </w:tcPr>
          <w:p w14:paraId="4DB36274" w14:textId="77777777" w:rsidR="00224102" w:rsidRPr="00604C75" w:rsidRDefault="00224102" w:rsidP="00224102">
            <w:pPr>
              <w:spacing w:line="226" w:lineRule="auto"/>
              <w:rPr>
                <w:noProof/>
                <w:sz w:val="18"/>
                <w:szCs w:val="18"/>
              </w:rPr>
            </w:pPr>
            <w:r w:rsidRPr="00604C75">
              <w:rPr>
                <w:noProof/>
                <w:sz w:val="18"/>
                <w:szCs w:val="18"/>
              </w:rPr>
              <w:t>Other</w:t>
            </w:r>
          </w:p>
        </w:tc>
        <w:tc>
          <w:tcPr>
            <w:tcW w:w="1586" w:type="dxa"/>
            <w:vAlign w:val="bottom"/>
          </w:tcPr>
          <w:p w14:paraId="75D4CDE2" w14:textId="0D9CAC19" w:rsidR="00224102" w:rsidRPr="00C6387C" w:rsidRDefault="00224102" w:rsidP="00C6387C">
            <w:pPr>
              <w:ind w:right="44"/>
              <w:jc w:val="right"/>
              <w:rPr>
                <w:sz w:val="18"/>
                <w:szCs w:val="18"/>
              </w:rPr>
            </w:pPr>
            <w:r w:rsidRPr="00C6387C">
              <w:rPr>
                <w:sz w:val="18"/>
                <w:szCs w:val="18"/>
              </w:rPr>
              <w:t>-</w:t>
            </w:r>
          </w:p>
        </w:tc>
        <w:tc>
          <w:tcPr>
            <w:tcW w:w="2151" w:type="dxa"/>
            <w:vAlign w:val="bottom"/>
          </w:tcPr>
          <w:p w14:paraId="7FEB5DD2" w14:textId="0E7FC736" w:rsidR="00224102" w:rsidRPr="00C6387C" w:rsidRDefault="00224102" w:rsidP="00C6387C">
            <w:pPr>
              <w:ind w:right="44"/>
              <w:jc w:val="right"/>
              <w:rPr>
                <w:sz w:val="18"/>
                <w:szCs w:val="18"/>
              </w:rPr>
            </w:pPr>
            <w:r w:rsidRPr="00C6387C">
              <w:rPr>
                <w:sz w:val="18"/>
                <w:szCs w:val="18"/>
              </w:rPr>
              <w:t>-</w:t>
            </w:r>
          </w:p>
        </w:tc>
        <w:tc>
          <w:tcPr>
            <w:tcW w:w="1880" w:type="dxa"/>
            <w:vAlign w:val="bottom"/>
          </w:tcPr>
          <w:p w14:paraId="037B31E9" w14:textId="3C6E00D1" w:rsidR="00224102" w:rsidRPr="00C6387C" w:rsidRDefault="00224102" w:rsidP="00C6387C">
            <w:pPr>
              <w:ind w:right="44"/>
              <w:jc w:val="right"/>
              <w:rPr>
                <w:b/>
                <w:bCs/>
                <w:sz w:val="18"/>
                <w:szCs w:val="18"/>
              </w:rPr>
            </w:pPr>
            <w:r w:rsidRPr="00C6387C">
              <w:rPr>
                <w:b/>
                <w:bCs/>
                <w:sz w:val="18"/>
                <w:szCs w:val="18"/>
              </w:rPr>
              <w:t>-</w:t>
            </w:r>
          </w:p>
        </w:tc>
      </w:tr>
      <w:tr w:rsidR="00224102" w:rsidRPr="00604C75" w14:paraId="5E12F067" w14:textId="77777777" w:rsidTr="00AD726D">
        <w:trPr>
          <w:trHeight w:val="184"/>
        </w:trPr>
        <w:tc>
          <w:tcPr>
            <w:tcW w:w="3748" w:type="dxa"/>
            <w:vAlign w:val="bottom"/>
          </w:tcPr>
          <w:p w14:paraId="4AC3D56A" w14:textId="77777777" w:rsidR="00224102" w:rsidRPr="00604C75" w:rsidRDefault="00224102" w:rsidP="00224102">
            <w:pPr>
              <w:spacing w:line="226" w:lineRule="auto"/>
              <w:rPr>
                <w:b/>
                <w:noProof/>
                <w:sz w:val="18"/>
                <w:szCs w:val="18"/>
              </w:rPr>
            </w:pPr>
            <w:r w:rsidRPr="00604C75">
              <w:rPr>
                <w:b/>
                <w:noProof/>
                <w:sz w:val="18"/>
                <w:szCs w:val="18"/>
              </w:rPr>
              <w:t xml:space="preserve">Commercial </w:t>
            </w:r>
            <w:r w:rsidRPr="00604C75">
              <w:rPr>
                <w:b/>
                <w:noProof/>
                <w:sz w:val="18"/>
              </w:rPr>
              <w:t>Loans With</w:t>
            </w:r>
            <w:r w:rsidRPr="00604C75">
              <w:rPr>
                <w:b/>
                <w:noProof/>
                <w:sz w:val="18"/>
                <w:szCs w:val="18"/>
              </w:rPr>
              <w:t xml:space="preserve"> Installment-FC</w:t>
            </w:r>
          </w:p>
        </w:tc>
        <w:tc>
          <w:tcPr>
            <w:tcW w:w="1586" w:type="dxa"/>
            <w:vAlign w:val="bottom"/>
          </w:tcPr>
          <w:p w14:paraId="55DF32C6" w14:textId="31A2481E" w:rsidR="00224102" w:rsidRPr="00C6387C" w:rsidRDefault="00224102" w:rsidP="00C6387C">
            <w:pPr>
              <w:ind w:right="44"/>
              <w:jc w:val="right"/>
              <w:rPr>
                <w:b/>
                <w:bCs/>
                <w:sz w:val="18"/>
                <w:szCs w:val="18"/>
              </w:rPr>
            </w:pPr>
            <w:r w:rsidRPr="00C6387C">
              <w:rPr>
                <w:b/>
                <w:bCs/>
                <w:sz w:val="18"/>
                <w:szCs w:val="18"/>
              </w:rPr>
              <w:t>642</w:t>
            </w:r>
          </w:p>
        </w:tc>
        <w:tc>
          <w:tcPr>
            <w:tcW w:w="2151" w:type="dxa"/>
            <w:vAlign w:val="bottom"/>
          </w:tcPr>
          <w:p w14:paraId="6EABCC04" w14:textId="00780299" w:rsidR="00224102" w:rsidRPr="00C6387C" w:rsidRDefault="00224102" w:rsidP="00C6387C">
            <w:pPr>
              <w:ind w:right="44"/>
              <w:jc w:val="right"/>
              <w:rPr>
                <w:b/>
                <w:bCs/>
                <w:sz w:val="18"/>
                <w:szCs w:val="18"/>
              </w:rPr>
            </w:pPr>
            <w:r w:rsidRPr="00C6387C">
              <w:rPr>
                <w:b/>
                <w:bCs/>
                <w:sz w:val="18"/>
                <w:szCs w:val="18"/>
              </w:rPr>
              <w:t>1,152,204</w:t>
            </w:r>
          </w:p>
        </w:tc>
        <w:tc>
          <w:tcPr>
            <w:tcW w:w="1880" w:type="dxa"/>
            <w:vAlign w:val="bottom"/>
          </w:tcPr>
          <w:p w14:paraId="4FBE997B" w14:textId="375217D9" w:rsidR="00224102" w:rsidRPr="00C6387C" w:rsidRDefault="00224102" w:rsidP="00C6387C">
            <w:pPr>
              <w:ind w:right="44"/>
              <w:jc w:val="right"/>
              <w:rPr>
                <w:b/>
                <w:bCs/>
                <w:sz w:val="18"/>
                <w:szCs w:val="18"/>
              </w:rPr>
            </w:pPr>
            <w:r w:rsidRPr="00C6387C">
              <w:rPr>
                <w:b/>
                <w:bCs/>
                <w:sz w:val="18"/>
                <w:szCs w:val="18"/>
              </w:rPr>
              <w:t>1,152,846</w:t>
            </w:r>
          </w:p>
        </w:tc>
      </w:tr>
      <w:tr w:rsidR="00224102" w:rsidRPr="00604C75" w14:paraId="2B3F4E7C" w14:textId="77777777" w:rsidTr="00AD726D">
        <w:trPr>
          <w:trHeight w:val="184"/>
        </w:trPr>
        <w:tc>
          <w:tcPr>
            <w:tcW w:w="3748" w:type="dxa"/>
            <w:vAlign w:val="bottom"/>
          </w:tcPr>
          <w:p w14:paraId="179D8EC4" w14:textId="131BC09A" w:rsidR="00224102" w:rsidRPr="00604C75" w:rsidRDefault="00224102" w:rsidP="00224102">
            <w:pPr>
              <w:spacing w:line="226" w:lineRule="auto"/>
              <w:rPr>
                <w:noProof/>
                <w:sz w:val="18"/>
                <w:szCs w:val="18"/>
              </w:rPr>
            </w:pPr>
            <w:r w:rsidRPr="00604C75">
              <w:rPr>
                <w:noProof/>
                <w:sz w:val="18"/>
                <w:szCs w:val="18"/>
              </w:rPr>
              <w:t xml:space="preserve">Real </w:t>
            </w:r>
            <w:r>
              <w:rPr>
                <w:noProof/>
                <w:sz w:val="18"/>
                <w:szCs w:val="18"/>
              </w:rPr>
              <w:t>E</w:t>
            </w:r>
            <w:r w:rsidRPr="00604C75">
              <w:rPr>
                <w:noProof/>
                <w:sz w:val="18"/>
                <w:szCs w:val="18"/>
              </w:rPr>
              <w:t xml:space="preserve">state </w:t>
            </w:r>
            <w:r>
              <w:rPr>
                <w:noProof/>
                <w:sz w:val="18"/>
                <w:szCs w:val="18"/>
              </w:rPr>
              <w:t>L</w:t>
            </w:r>
            <w:r w:rsidRPr="00604C75">
              <w:rPr>
                <w:noProof/>
                <w:sz w:val="18"/>
                <w:szCs w:val="18"/>
              </w:rPr>
              <w:t>oans</w:t>
            </w:r>
          </w:p>
        </w:tc>
        <w:tc>
          <w:tcPr>
            <w:tcW w:w="1586" w:type="dxa"/>
            <w:vAlign w:val="bottom"/>
          </w:tcPr>
          <w:p w14:paraId="127AA589" w14:textId="66A5040E" w:rsidR="00224102" w:rsidRPr="00C6387C" w:rsidRDefault="00224102" w:rsidP="00C6387C">
            <w:pPr>
              <w:ind w:right="44"/>
              <w:jc w:val="right"/>
              <w:rPr>
                <w:sz w:val="18"/>
                <w:szCs w:val="18"/>
              </w:rPr>
            </w:pPr>
            <w:r w:rsidRPr="00C6387C">
              <w:rPr>
                <w:sz w:val="18"/>
                <w:szCs w:val="18"/>
              </w:rPr>
              <w:t>-</w:t>
            </w:r>
          </w:p>
        </w:tc>
        <w:tc>
          <w:tcPr>
            <w:tcW w:w="2151" w:type="dxa"/>
            <w:vAlign w:val="bottom"/>
          </w:tcPr>
          <w:p w14:paraId="062D3251" w14:textId="111F4BFA" w:rsidR="00224102" w:rsidRPr="00C6387C" w:rsidRDefault="00224102" w:rsidP="00C6387C">
            <w:pPr>
              <w:ind w:right="44"/>
              <w:jc w:val="right"/>
              <w:rPr>
                <w:sz w:val="18"/>
                <w:szCs w:val="18"/>
              </w:rPr>
            </w:pPr>
            <w:r w:rsidRPr="00C6387C">
              <w:rPr>
                <w:sz w:val="18"/>
                <w:szCs w:val="18"/>
              </w:rPr>
              <w:t>-</w:t>
            </w:r>
          </w:p>
        </w:tc>
        <w:tc>
          <w:tcPr>
            <w:tcW w:w="1880" w:type="dxa"/>
            <w:vAlign w:val="bottom"/>
          </w:tcPr>
          <w:p w14:paraId="0EF01416" w14:textId="70C60B89" w:rsidR="00224102" w:rsidRPr="00C6387C" w:rsidRDefault="00224102" w:rsidP="00C6387C">
            <w:pPr>
              <w:ind w:right="44"/>
              <w:jc w:val="right"/>
              <w:rPr>
                <w:bCs/>
                <w:sz w:val="18"/>
                <w:szCs w:val="18"/>
              </w:rPr>
            </w:pPr>
            <w:r w:rsidRPr="00C6387C">
              <w:rPr>
                <w:bCs/>
                <w:sz w:val="18"/>
                <w:szCs w:val="18"/>
              </w:rPr>
              <w:t>-</w:t>
            </w:r>
          </w:p>
        </w:tc>
      </w:tr>
      <w:tr w:rsidR="00224102" w:rsidRPr="00604C75" w14:paraId="42C204BB" w14:textId="77777777" w:rsidTr="00AD726D">
        <w:trPr>
          <w:trHeight w:val="184"/>
        </w:trPr>
        <w:tc>
          <w:tcPr>
            <w:tcW w:w="3748" w:type="dxa"/>
            <w:vAlign w:val="bottom"/>
          </w:tcPr>
          <w:p w14:paraId="36B2B141" w14:textId="2AB8967C" w:rsidR="00224102" w:rsidRPr="00604C75" w:rsidRDefault="00224102" w:rsidP="00224102">
            <w:pPr>
              <w:spacing w:line="226" w:lineRule="auto"/>
              <w:rPr>
                <w:noProof/>
                <w:sz w:val="18"/>
                <w:szCs w:val="18"/>
              </w:rPr>
            </w:pPr>
            <w:r w:rsidRPr="00604C75">
              <w:rPr>
                <w:noProof/>
                <w:sz w:val="18"/>
                <w:szCs w:val="18"/>
              </w:rPr>
              <w:t xml:space="preserve">Automotive </w:t>
            </w:r>
            <w:r>
              <w:rPr>
                <w:noProof/>
                <w:sz w:val="18"/>
                <w:szCs w:val="18"/>
              </w:rPr>
              <w:t>L</w:t>
            </w:r>
            <w:r w:rsidRPr="00604C75">
              <w:rPr>
                <w:noProof/>
                <w:sz w:val="18"/>
                <w:szCs w:val="18"/>
              </w:rPr>
              <w:t>oans</w:t>
            </w:r>
          </w:p>
        </w:tc>
        <w:tc>
          <w:tcPr>
            <w:tcW w:w="1586" w:type="dxa"/>
            <w:vAlign w:val="bottom"/>
          </w:tcPr>
          <w:p w14:paraId="0046EC06" w14:textId="658C6146" w:rsidR="00224102" w:rsidRPr="00C6387C" w:rsidRDefault="00224102" w:rsidP="00C6387C">
            <w:pPr>
              <w:ind w:right="44"/>
              <w:jc w:val="right"/>
              <w:rPr>
                <w:sz w:val="18"/>
                <w:szCs w:val="18"/>
              </w:rPr>
            </w:pPr>
            <w:r w:rsidRPr="00C6387C">
              <w:rPr>
                <w:sz w:val="18"/>
                <w:szCs w:val="18"/>
              </w:rPr>
              <w:t>-</w:t>
            </w:r>
          </w:p>
        </w:tc>
        <w:tc>
          <w:tcPr>
            <w:tcW w:w="2151" w:type="dxa"/>
            <w:vAlign w:val="bottom"/>
          </w:tcPr>
          <w:p w14:paraId="3BD95AC0" w14:textId="29565576" w:rsidR="00224102" w:rsidRPr="00C6387C" w:rsidRDefault="00224102" w:rsidP="00C6387C">
            <w:pPr>
              <w:ind w:right="44"/>
              <w:jc w:val="right"/>
              <w:rPr>
                <w:sz w:val="18"/>
                <w:szCs w:val="18"/>
              </w:rPr>
            </w:pPr>
            <w:r w:rsidRPr="00C6387C">
              <w:rPr>
                <w:sz w:val="18"/>
                <w:szCs w:val="18"/>
              </w:rPr>
              <w:t>-</w:t>
            </w:r>
          </w:p>
        </w:tc>
        <w:tc>
          <w:tcPr>
            <w:tcW w:w="1880" w:type="dxa"/>
            <w:vAlign w:val="bottom"/>
          </w:tcPr>
          <w:p w14:paraId="1C7B56EA" w14:textId="17F96D73" w:rsidR="00224102" w:rsidRPr="00C6387C" w:rsidRDefault="00224102" w:rsidP="00C6387C">
            <w:pPr>
              <w:ind w:right="44"/>
              <w:jc w:val="right"/>
              <w:rPr>
                <w:bCs/>
                <w:sz w:val="18"/>
                <w:szCs w:val="18"/>
              </w:rPr>
            </w:pPr>
            <w:r w:rsidRPr="00C6387C">
              <w:rPr>
                <w:bCs/>
                <w:sz w:val="18"/>
                <w:szCs w:val="18"/>
              </w:rPr>
              <w:t>-</w:t>
            </w:r>
          </w:p>
        </w:tc>
      </w:tr>
      <w:tr w:rsidR="00224102" w:rsidRPr="00604C75" w14:paraId="4D0F2912" w14:textId="77777777" w:rsidTr="00AD726D">
        <w:trPr>
          <w:trHeight w:val="184"/>
        </w:trPr>
        <w:tc>
          <w:tcPr>
            <w:tcW w:w="3748" w:type="dxa"/>
            <w:vAlign w:val="bottom"/>
          </w:tcPr>
          <w:p w14:paraId="283C5CD7" w14:textId="0671D1EA" w:rsidR="00224102" w:rsidRPr="00604C75" w:rsidRDefault="00224102" w:rsidP="00224102">
            <w:pPr>
              <w:spacing w:line="226" w:lineRule="auto"/>
              <w:rPr>
                <w:noProof/>
                <w:sz w:val="18"/>
                <w:szCs w:val="18"/>
              </w:rPr>
            </w:pPr>
            <w:r w:rsidRPr="00604C75">
              <w:rPr>
                <w:noProof/>
                <w:sz w:val="18"/>
                <w:szCs w:val="18"/>
              </w:rPr>
              <w:t xml:space="preserve">Consumer </w:t>
            </w:r>
            <w:r>
              <w:rPr>
                <w:noProof/>
                <w:sz w:val="18"/>
                <w:szCs w:val="18"/>
              </w:rPr>
              <w:t>L</w:t>
            </w:r>
            <w:r w:rsidRPr="00604C75">
              <w:rPr>
                <w:noProof/>
                <w:sz w:val="18"/>
                <w:szCs w:val="18"/>
              </w:rPr>
              <w:t>oans</w:t>
            </w:r>
          </w:p>
        </w:tc>
        <w:tc>
          <w:tcPr>
            <w:tcW w:w="1586" w:type="dxa"/>
            <w:vAlign w:val="bottom"/>
          </w:tcPr>
          <w:p w14:paraId="2EC274F4" w14:textId="3260F00B" w:rsidR="00224102" w:rsidRPr="00C6387C" w:rsidRDefault="00224102" w:rsidP="00C6387C">
            <w:pPr>
              <w:ind w:right="44"/>
              <w:jc w:val="right"/>
              <w:rPr>
                <w:sz w:val="18"/>
                <w:szCs w:val="18"/>
              </w:rPr>
            </w:pPr>
            <w:r w:rsidRPr="00C6387C">
              <w:rPr>
                <w:sz w:val="18"/>
                <w:szCs w:val="18"/>
              </w:rPr>
              <w:t>642</w:t>
            </w:r>
          </w:p>
        </w:tc>
        <w:tc>
          <w:tcPr>
            <w:tcW w:w="2151" w:type="dxa"/>
            <w:vAlign w:val="bottom"/>
          </w:tcPr>
          <w:p w14:paraId="750D8E1A" w14:textId="456F3839" w:rsidR="00224102" w:rsidRPr="00C6387C" w:rsidRDefault="00224102" w:rsidP="00C6387C">
            <w:pPr>
              <w:ind w:right="44"/>
              <w:jc w:val="right"/>
              <w:rPr>
                <w:sz w:val="18"/>
                <w:szCs w:val="18"/>
              </w:rPr>
            </w:pPr>
            <w:r w:rsidRPr="00C6387C">
              <w:rPr>
                <w:sz w:val="18"/>
                <w:szCs w:val="18"/>
              </w:rPr>
              <w:t>1,152,204</w:t>
            </w:r>
          </w:p>
        </w:tc>
        <w:tc>
          <w:tcPr>
            <w:tcW w:w="1880" w:type="dxa"/>
            <w:vAlign w:val="bottom"/>
          </w:tcPr>
          <w:p w14:paraId="24117701" w14:textId="0A3E77F2" w:rsidR="00224102" w:rsidRPr="00C6387C" w:rsidRDefault="00224102" w:rsidP="00C6387C">
            <w:pPr>
              <w:ind w:right="44"/>
              <w:jc w:val="right"/>
              <w:rPr>
                <w:bCs/>
                <w:sz w:val="18"/>
                <w:szCs w:val="18"/>
              </w:rPr>
            </w:pPr>
            <w:r w:rsidRPr="00C6387C">
              <w:rPr>
                <w:bCs/>
                <w:sz w:val="18"/>
                <w:szCs w:val="18"/>
              </w:rPr>
              <w:t>1,152,846</w:t>
            </w:r>
          </w:p>
        </w:tc>
      </w:tr>
      <w:tr w:rsidR="00224102" w:rsidRPr="00604C75" w14:paraId="649CB4C9" w14:textId="77777777" w:rsidTr="00AD726D">
        <w:trPr>
          <w:trHeight w:val="184"/>
        </w:trPr>
        <w:tc>
          <w:tcPr>
            <w:tcW w:w="3748" w:type="dxa"/>
            <w:vAlign w:val="bottom"/>
          </w:tcPr>
          <w:p w14:paraId="59A76ADC" w14:textId="77777777" w:rsidR="00224102" w:rsidRPr="00604C75" w:rsidRDefault="00224102" w:rsidP="00224102">
            <w:pPr>
              <w:spacing w:line="226" w:lineRule="auto"/>
              <w:rPr>
                <w:noProof/>
                <w:sz w:val="18"/>
                <w:szCs w:val="18"/>
              </w:rPr>
            </w:pPr>
            <w:r w:rsidRPr="00604C75">
              <w:rPr>
                <w:noProof/>
                <w:sz w:val="18"/>
                <w:szCs w:val="18"/>
              </w:rPr>
              <w:t>Other</w:t>
            </w:r>
          </w:p>
        </w:tc>
        <w:tc>
          <w:tcPr>
            <w:tcW w:w="1586" w:type="dxa"/>
            <w:vAlign w:val="bottom"/>
          </w:tcPr>
          <w:p w14:paraId="06BB532A" w14:textId="31FD3D6F" w:rsidR="00224102" w:rsidRPr="00C6387C" w:rsidRDefault="00224102" w:rsidP="00C6387C">
            <w:pPr>
              <w:ind w:right="44"/>
              <w:jc w:val="right"/>
              <w:rPr>
                <w:sz w:val="18"/>
                <w:szCs w:val="18"/>
              </w:rPr>
            </w:pPr>
            <w:r w:rsidRPr="00C6387C">
              <w:rPr>
                <w:sz w:val="18"/>
                <w:szCs w:val="18"/>
              </w:rPr>
              <w:t>-</w:t>
            </w:r>
          </w:p>
        </w:tc>
        <w:tc>
          <w:tcPr>
            <w:tcW w:w="2151" w:type="dxa"/>
            <w:vAlign w:val="bottom"/>
          </w:tcPr>
          <w:p w14:paraId="5B72328C" w14:textId="0B2F2F0A" w:rsidR="00224102" w:rsidRPr="00C6387C" w:rsidRDefault="00224102" w:rsidP="00C6387C">
            <w:pPr>
              <w:ind w:right="44"/>
              <w:jc w:val="right"/>
              <w:rPr>
                <w:sz w:val="18"/>
                <w:szCs w:val="18"/>
              </w:rPr>
            </w:pPr>
            <w:r w:rsidRPr="00C6387C">
              <w:rPr>
                <w:sz w:val="18"/>
                <w:szCs w:val="18"/>
              </w:rPr>
              <w:t>-</w:t>
            </w:r>
          </w:p>
        </w:tc>
        <w:tc>
          <w:tcPr>
            <w:tcW w:w="1880" w:type="dxa"/>
            <w:vAlign w:val="bottom"/>
          </w:tcPr>
          <w:p w14:paraId="4709F8DB" w14:textId="3C591183" w:rsidR="00224102" w:rsidRPr="00C6387C" w:rsidRDefault="00224102" w:rsidP="00C6387C">
            <w:pPr>
              <w:ind w:right="44"/>
              <w:jc w:val="right"/>
              <w:rPr>
                <w:bCs/>
                <w:sz w:val="18"/>
                <w:szCs w:val="18"/>
              </w:rPr>
            </w:pPr>
            <w:r w:rsidRPr="00C6387C">
              <w:rPr>
                <w:bCs/>
                <w:sz w:val="18"/>
                <w:szCs w:val="18"/>
              </w:rPr>
              <w:t>-</w:t>
            </w:r>
          </w:p>
        </w:tc>
      </w:tr>
      <w:tr w:rsidR="00224102" w:rsidRPr="00604C75" w14:paraId="0DF79F77" w14:textId="77777777" w:rsidTr="00AD726D">
        <w:trPr>
          <w:trHeight w:val="184"/>
        </w:trPr>
        <w:tc>
          <w:tcPr>
            <w:tcW w:w="3748" w:type="dxa"/>
            <w:vAlign w:val="bottom"/>
          </w:tcPr>
          <w:p w14:paraId="6AD06AF1" w14:textId="77777777" w:rsidR="00224102" w:rsidRPr="00604C75" w:rsidRDefault="00224102" w:rsidP="00224102">
            <w:pPr>
              <w:spacing w:line="226" w:lineRule="auto"/>
              <w:rPr>
                <w:b/>
                <w:noProof/>
                <w:sz w:val="18"/>
              </w:rPr>
            </w:pPr>
            <w:r w:rsidRPr="00604C75">
              <w:rPr>
                <w:b/>
                <w:noProof/>
                <w:sz w:val="18"/>
              </w:rPr>
              <w:t>Corporate Credit Cards-TL</w:t>
            </w:r>
          </w:p>
        </w:tc>
        <w:tc>
          <w:tcPr>
            <w:tcW w:w="1586" w:type="dxa"/>
            <w:vAlign w:val="bottom"/>
          </w:tcPr>
          <w:p w14:paraId="58A39D47" w14:textId="1B6ACCD7" w:rsidR="00224102" w:rsidRPr="00C6387C" w:rsidRDefault="00224102" w:rsidP="00C6387C">
            <w:pPr>
              <w:ind w:right="44"/>
              <w:jc w:val="right"/>
              <w:rPr>
                <w:b/>
                <w:bCs/>
                <w:sz w:val="18"/>
                <w:szCs w:val="18"/>
              </w:rPr>
            </w:pPr>
            <w:r w:rsidRPr="00C6387C">
              <w:rPr>
                <w:b/>
                <w:bCs/>
                <w:sz w:val="18"/>
                <w:szCs w:val="18"/>
              </w:rPr>
              <w:t>58,150</w:t>
            </w:r>
          </w:p>
        </w:tc>
        <w:tc>
          <w:tcPr>
            <w:tcW w:w="2151" w:type="dxa"/>
            <w:vAlign w:val="bottom"/>
          </w:tcPr>
          <w:p w14:paraId="17D5A535" w14:textId="3CBAC38A" w:rsidR="00224102" w:rsidRPr="00C6387C" w:rsidRDefault="00224102" w:rsidP="00C6387C">
            <w:pPr>
              <w:ind w:right="44"/>
              <w:jc w:val="right"/>
              <w:rPr>
                <w:b/>
                <w:bCs/>
                <w:sz w:val="18"/>
                <w:szCs w:val="18"/>
              </w:rPr>
            </w:pPr>
            <w:r w:rsidRPr="00C6387C">
              <w:rPr>
                <w:b/>
                <w:bCs/>
                <w:sz w:val="18"/>
                <w:szCs w:val="18"/>
              </w:rPr>
              <w:t>-</w:t>
            </w:r>
          </w:p>
        </w:tc>
        <w:tc>
          <w:tcPr>
            <w:tcW w:w="1880" w:type="dxa"/>
            <w:vAlign w:val="bottom"/>
          </w:tcPr>
          <w:p w14:paraId="7A2F91C1" w14:textId="7A83707A" w:rsidR="00224102" w:rsidRPr="00C6387C" w:rsidRDefault="00224102" w:rsidP="00C6387C">
            <w:pPr>
              <w:ind w:right="44"/>
              <w:jc w:val="right"/>
              <w:rPr>
                <w:b/>
                <w:bCs/>
                <w:sz w:val="18"/>
                <w:szCs w:val="18"/>
              </w:rPr>
            </w:pPr>
            <w:r w:rsidRPr="00C6387C">
              <w:rPr>
                <w:b/>
                <w:bCs/>
                <w:sz w:val="18"/>
                <w:szCs w:val="18"/>
              </w:rPr>
              <w:t>58,150</w:t>
            </w:r>
          </w:p>
        </w:tc>
      </w:tr>
      <w:tr w:rsidR="00224102" w:rsidRPr="00604C75" w14:paraId="1D9CA6B1" w14:textId="77777777" w:rsidTr="00AD726D">
        <w:trPr>
          <w:trHeight w:val="184"/>
        </w:trPr>
        <w:tc>
          <w:tcPr>
            <w:tcW w:w="3748" w:type="dxa"/>
            <w:vAlign w:val="bottom"/>
          </w:tcPr>
          <w:p w14:paraId="6FAD3F91" w14:textId="578EC0B1" w:rsidR="00224102" w:rsidRPr="00604C75" w:rsidRDefault="00224102" w:rsidP="00224102">
            <w:pPr>
              <w:spacing w:line="226" w:lineRule="auto"/>
              <w:rPr>
                <w:noProof/>
                <w:sz w:val="18"/>
                <w:szCs w:val="18"/>
              </w:rPr>
            </w:pPr>
            <w:r w:rsidRPr="00604C75">
              <w:rPr>
                <w:noProof/>
                <w:sz w:val="18"/>
                <w:szCs w:val="18"/>
              </w:rPr>
              <w:t xml:space="preserve">With </w:t>
            </w:r>
            <w:r>
              <w:rPr>
                <w:noProof/>
                <w:sz w:val="18"/>
                <w:szCs w:val="18"/>
              </w:rPr>
              <w:t>I</w:t>
            </w:r>
            <w:r w:rsidRPr="00604C75">
              <w:rPr>
                <w:noProof/>
                <w:sz w:val="18"/>
                <w:szCs w:val="18"/>
              </w:rPr>
              <w:t>nstallment</w:t>
            </w:r>
          </w:p>
        </w:tc>
        <w:tc>
          <w:tcPr>
            <w:tcW w:w="1586" w:type="dxa"/>
            <w:vAlign w:val="bottom"/>
          </w:tcPr>
          <w:p w14:paraId="646C8560" w14:textId="6236DF46" w:rsidR="00224102" w:rsidRPr="00C6387C" w:rsidRDefault="00224102" w:rsidP="00C6387C">
            <w:pPr>
              <w:ind w:right="44"/>
              <w:jc w:val="right"/>
              <w:rPr>
                <w:sz w:val="18"/>
                <w:szCs w:val="18"/>
              </w:rPr>
            </w:pPr>
            <w:r w:rsidRPr="00C6387C">
              <w:rPr>
                <w:sz w:val="18"/>
                <w:szCs w:val="18"/>
              </w:rPr>
              <w:t>8,740</w:t>
            </w:r>
          </w:p>
        </w:tc>
        <w:tc>
          <w:tcPr>
            <w:tcW w:w="2151" w:type="dxa"/>
            <w:vAlign w:val="bottom"/>
          </w:tcPr>
          <w:p w14:paraId="32459CB3" w14:textId="6CD19C9A" w:rsidR="00224102" w:rsidRPr="00C6387C" w:rsidRDefault="00224102" w:rsidP="00C6387C">
            <w:pPr>
              <w:ind w:right="44"/>
              <w:jc w:val="right"/>
              <w:rPr>
                <w:sz w:val="18"/>
                <w:szCs w:val="18"/>
              </w:rPr>
            </w:pPr>
            <w:r w:rsidRPr="00C6387C">
              <w:rPr>
                <w:sz w:val="18"/>
                <w:szCs w:val="18"/>
              </w:rPr>
              <w:t>-</w:t>
            </w:r>
          </w:p>
        </w:tc>
        <w:tc>
          <w:tcPr>
            <w:tcW w:w="1880" w:type="dxa"/>
            <w:vAlign w:val="bottom"/>
          </w:tcPr>
          <w:p w14:paraId="33995D4A" w14:textId="66ABC623" w:rsidR="00224102" w:rsidRPr="00C6387C" w:rsidRDefault="00224102" w:rsidP="00C6387C">
            <w:pPr>
              <w:ind w:right="44"/>
              <w:jc w:val="right"/>
              <w:rPr>
                <w:bCs/>
                <w:sz w:val="18"/>
                <w:szCs w:val="18"/>
              </w:rPr>
            </w:pPr>
            <w:r w:rsidRPr="00C6387C">
              <w:rPr>
                <w:bCs/>
                <w:sz w:val="18"/>
                <w:szCs w:val="18"/>
              </w:rPr>
              <w:t>8,740</w:t>
            </w:r>
          </w:p>
        </w:tc>
      </w:tr>
      <w:tr w:rsidR="00224102" w:rsidRPr="00604C75" w14:paraId="3F1F5F0A" w14:textId="77777777" w:rsidTr="00AD726D">
        <w:trPr>
          <w:trHeight w:val="184"/>
        </w:trPr>
        <w:tc>
          <w:tcPr>
            <w:tcW w:w="3748" w:type="dxa"/>
            <w:vAlign w:val="bottom"/>
          </w:tcPr>
          <w:p w14:paraId="1DB3A0BB" w14:textId="1A833978" w:rsidR="00224102" w:rsidRPr="00604C75" w:rsidRDefault="00224102" w:rsidP="00224102">
            <w:pPr>
              <w:spacing w:line="226" w:lineRule="auto"/>
              <w:rPr>
                <w:noProof/>
                <w:sz w:val="18"/>
                <w:szCs w:val="18"/>
              </w:rPr>
            </w:pPr>
            <w:r w:rsidRPr="00604C75">
              <w:rPr>
                <w:noProof/>
                <w:sz w:val="18"/>
                <w:szCs w:val="18"/>
              </w:rPr>
              <w:t xml:space="preserve">Without </w:t>
            </w:r>
            <w:r>
              <w:rPr>
                <w:noProof/>
                <w:sz w:val="18"/>
                <w:szCs w:val="18"/>
              </w:rPr>
              <w:t>I</w:t>
            </w:r>
            <w:r w:rsidRPr="00604C75">
              <w:rPr>
                <w:noProof/>
                <w:sz w:val="18"/>
                <w:szCs w:val="18"/>
              </w:rPr>
              <w:t>nstallment</w:t>
            </w:r>
          </w:p>
        </w:tc>
        <w:tc>
          <w:tcPr>
            <w:tcW w:w="1586" w:type="dxa"/>
            <w:vAlign w:val="bottom"/>
          </w:tcPr>
          <w:p w14:paraId="0F29E3E7" w14:textId="4A25D22D" w:rsidR="00224102" w:rsidRPr="00C6387C" w:rsidRDefault="00224102" w:rsidP="00C6387C">
            <w:pPr>
              <w:ind w:right="44"/>
              <w:jc w:val="right"/>
              <w:rPr>
                <w:sz w:val="18"/>
                <w:szCs w:val="18"/>
              </w:rPr>
            </w:pPr>
            <w:r w:rsidRPr="00C6387C">
              <w:rPr>
                <w:sz w:val="18"/>
                <w:szCs w:val="18"/>
              </w:rPr>
              <w:t>49,410</w:t>
            </w:r>
          </w:p>
        </w:tc>
        <w:tc>
          <w:tcPr>
            <w:tcW w:w="2151" w:type="dxa"/>
            <w:vAlign w:val="bottom"/>
          </w:tcPr>
          <w:p w14:paraId="5518D0B6" w14:textId="2E3E5D6D" w:rsidR="00224102" w:rsidRPr="00C6387C" w:rsidRDefault="00224102" w:rsidP="00C6387C">
            <w:pPr>
              <w:ind w:right="44"/>
              <w:jc w:val="right"/>
              <w:rPr>
                <w:sz w:val="18"/>
                <w:szCs w:val="18"/>
              </w:rPr>
            </w:pPr>
            <w:r w:rsidRPr="00C6387C">
              <w:rPr>
                <w:sz w:val="18"/>
                <w:szCs w:val="18"/>
              </w:rPr>
              <w:t>-</w:t>
            </w:r>
          </w:p>
        </w:tc>
        <w:tc>
          <w:tcPr>
            <w:tcW w:w="1880" w:type="dxa"/>
            <w:vAlign w:val="bottom"/>
          </w:tcPr>
          <w:p w14:paraId="340BAE02" w14:textId="046BE838" w:rsidR="00224102" w:rsidRPr="00C6387C" w:rsidRDefault="00224102" w:rsidP="00C6387C">
            <w:pPr>
              <w:ind w:right="44"/>
              <w:jc w:val="right"/>
              <w:rPr>
                <w:bCs/>
                <w:sz w:val="18"/>
                <w:szCs w:val="18"/>
              </w:rPr>
            </w:pPr>
            <w:r w:rsidRPr="00C6387C">
              <w:rPr>
                <w:bCs/>
                <w:sz w:val="18"/>
                <w:szCs w:val="18"/>
              </w:rPr>
              <w:t>49,410</w:t>
            </w:r>
          </w:p>
        </w:tc>
      </w:tr>
      <w:tr w:rsidR="00224102" w:rsidRPr="00604C75" w14:paraId="661BC327" w14:textId="77777777" w:rsidTr="00AD726D">
        <w:trPr>
          <w:trHeight w:val="184"/>
        </w:trPr>
        <w:tc>
          <w:tcPr>
            <w:tcW w:w="3748" w:type="dxa"/>
            <w:vAlign w:val="bottom"/>
          </w:tcPr>
          <w:p w14:paraId="318DD415" w14:textId="77777777" w:rsidR="00224102" w:rsidRPr="00604C75" w:rsidRDefault="00224102" w:rsidP="00224102">
            <w:pPr>
              <w:spacing w:line="226" w:lineRule="auto"/>
              <w:rPr>
                <w:rFonts w:eastAsia="Arial Unicode MS"/>
                <w:b/>
                <w:noProof/>
                <w:sz w:val="18"/>
              </w:rPr>
            </w:pPr>
            <w:r w:rsidRPr="00604C75">
              <w:rPr>
                <w:b/>
                <w:noProof/>
                <w:sz w:val="18"/>
              </w:rPr>
              <w:t>Corporate Credit Cards-FC</w:t>
            </w:r>
          </w:p>
        </w:tc>
        <w:tc>
          <w:tcPr>
            <w:tcW w:w="1586" w:type="dxa"/>
            <w:vAlign w:val="bottom"/>
          </w:tcPr>
          <w:p w14:paraId="290DEE1D" w14:textId="4F12A385" w:rsidR="00224102" w:rsidRPr="00C6387C" w:rsidRDefault="00224102" w:rsidP="00C6387C">
            <w:pPr>
              <w:ind w:right="44"/>
              <w:jc w:val="right"/>
              <w:rPr>
                <w:b/>
                <w:bCs/>
                <w:sz w:val="18"/>
                <w:szCs w:val="18"/>
              </w:rPr>
            </w:pPr>
            <w:r w:rsidRPr="00C6387C">
              <w:rPr>
                <w:b/>
                <w:bCs/>
                <w:sz w:val="18"/>
                <w:szCs w:val="18"/>
              </w:rPr>
              <w:t>-</w:t>
            </w:r>
          </w:p>
        </w:tc>
        <w:tc>
          <w:tcPr>
            <w:tcW w:w="2151" w:type="dxa"/>
            <w:vAlign w:val="bottom"/>
          </w:tcPr>
          <w:p w14:paraId="1674A920" w14:textId="497C0981" w:rsidR="00224102" w:rsidRPr="00C6387C" w:rsidRDefault="00224102" w:rsidP="00C6387C">
            <w:pPr>
              <w:ind w:right="44"/>
              <w:jc w:val="right"/>
              <w:rPr>
                <w:b/>
                <w:bCs/>
                <w:sz w:val="18"/>
                <w:szCs w:val="18"/>
              </w:rPr>
            </w:pPr>
            <w:r w:rsidRPr="00C6387C">
              <w:rPr>
                <w:b/>
                <w:bCs/>
                <w:sz w:val="18"/>
                <w:szCs w:val="18"/>
              </w:rPr>
              <w:t>-</w:t>
            </w:r>
          </w:p>
        </w:tc>
        <w:tc>
          <w:tcPr>
            <w:tcW w:w="1880" w:type="dxa"/>
            <w:vAlign w:val="bottom"/>
          </w:tcPr>
          <w:p w14:paraId="1488FB42" w14:textId="384FF697" w:rsidR="00224102" w:rsidRPr="00C6387C" w:rsidRDefault="00224102" w:rsidP="00C6387C">
            <w:pPr>
              <w:ind w:right="44"/>
              <w:jc w:val="right"/>
              <w:rPr>
                <w:bCs/>
                <w:sz w:val="18"/>
                <w:szCs w:val="18"/>
              </w:rPr>
            </w:pPr>
            <w:r w:rsidRPr="00C6387C">
              <w:rPr>
                <w:bCs/>
                <w:sz w:val="18"/>
                <w:szCs w:val="18"/>
              </w:rPr>
              <w:t>-</w:t>
            </w:r>
          </w:p>
        </w:tc>
      </w:tr>
      <w:tr w:rsidR="00224102" w:rsidRPr="00604C75" w14:paraId="30145E97" w14:textId="77777777" w:rsidTr="00AD726D">
        <w:trPr>
          <w:trHeight w:val="184"/>
        </w:trPr>
        <w:tc>
          <w:tcPr>
            <w:tcW w:w="3748" w:type="dxa"/>
            <w:vAlign w:val="bottom"/>
          </w:tcPr>
          <w:p w14:paraId="521AA781" w14:textId="37406B0A" w:rsidR="00224102" w:rsidRPr="00604C75" w:rsidRDefault="00224102" w:rsidP="00224102">
            <w:pPr>
              <w:spacing w:line="226" w:lineRule="auto"/>
              <w:rPr>
                <w:noProof/>
                <w:sz w:val="18"/>
                <w:szCs w:val="18"/>
              </w:rPr>
            </w:pPr>
            <w:r w:rsidRPr="00604C75">
              <w:rPr>
                <w:noProof/>
                <w:sz w:val="18"/>
                <w:szCs w:val="18"/>
              </w:rPr>
              <w:t xml:space="preserve">With </w:t>
            </w:r>
            <w:r>
              <w:rPr>
                <w:noProof/>
                <w:sz w:val="18"/>
                <w:szCs w:val="18"/>
              </w:rPr>
              <w:t>I</w:t>
            </w:r>
            <w:r w:rsidRPr="00604C75">
              <w:rPr>
                <w:noProof/>
                <w:sz w:val="18"/>
                <w:szCs w:val="18"/>
              </w:rPr>
              <w:t>nstallment</w:t>
            </w:r>
          </w:p>
        </w:tc>
        <w:tc>
          <w:tcPr>
            <w:tcW w:w="1586" w:type="dxa"/>
            <w:vAlign w:val="bottom"/>
          </w:tcPr>
          <w:p w14:paraId="6398CEC3" w14:textId="031A2706" w:rsidR="00224102" w:rsidRPr="00C6387C" w:rsidRDefault="00224102" w:rsidP="00C6387C">
            <w:pPr>
              <w:ind w:right="44"/>
              <w:jc w:val="right"/>
              <w:rPr>
                <w:sz w:val="18"/>
                <w:szCs w:val="18"/>
              </w:rPr>
            </w:pPr>
            <w:r w:rsidRPr="00C6387C">
              <w:rPr>
                <w:sz w:val="18"/>
                <w:szCs w:val="18"/>
              </w:rPr>
              <w:t>-</w:t>
            </w:r>
          </w:p>
        </w:tc>
        <w:tc>
          <w:tcPr>
            <w:tcW w:w="2151" w:type="dxa"/>
            <w:vAlign w:val="bottom"/>
          </w:tcPr>
          <w:p w14:paraId="7840F2F1" w14:textId="4A3FFCCB" w:rsidR="00224102" w:rsidRPr="00C6387C" w:rsidRDefault="00224102" w:rsidP="00C6387C">
            <w:pPr>
              <w:ind w:right="44"/>
              <w:jc w:val="right"/>
              <w:rPr>
                <w:sz w:val="18"/>
                <w:szCs w:val="18"/>
              </w:rPr>
            </w:pPr>
            <w:r w:rsidRPr="00C6387C">
              <w:rPr>
                <w:sz w:val="18"/>
                <w:szCs w:val="18"/>
              </w:rPr>
              <w:t>-</w:t>
            </w:r>
          </w:p>
        </w:tc>
        <w:tc>
          <w:tcPr>
            <w:tcW w:w="1880" w:type="dxa"/>
            <w:vAlign w:val="bottom"/>
          </w:tcPr>
          <w:p w14:paraId="6EB4FB2A" w14:textId="73315B5C" w:rsidR="00224102" w:rsidRPr="00C6387C" w:rsidRDefault="00224102" w:rsidP="00C6387C">
            <w:pPr>
              <w:ind w:right="44"/>
              <w:jc w:val="right"/>
              <w:rPr>
                <w:bCs/>
                <w:sz w:val="18"/>
                <w:szCs w:val="18"/>
              </w:rPr>
            </w:pPr>
            <w:r w:rsidRPr="00C6387C">
              <w:rPr>
                <w:bCs/>
                <w:sz w:val="18"/>
                <w:szCs w:val="18"/>
              </w:rPr>
              <w:t>-</w:t>
            </w:r>
          </w:p>
        </w:tc>
      </w:tr>
      <w:tr w:rsidR="00224102" w:rsidRPr="00604C75" w14:paraId="6E7B9A6B" w14:textId="77777777" w:rsidTr="00AD726D">
        <w:trPr>
          <w:trHeight w:val="184"/>
        </w:trPr>
        <w:tc>
          <w:tcPr>
            <w:tcW w:w="3748" w:type="dxa"/>
            <w:vAlign w:val="bottom"/>
          </w:tcPr>
          <w:p w14:paraId="187D82BA" w14:textId="3D572C2F" w:rsidR="00224102" w:rsidRPr="00604C75" w:rsidRDefault="00224102" w:rsidP="00224102">
            <w:pPr>
              <w:spacing w:line="226" w:lineRule="auto"/>
              <w:rPr>
                <w:noProof/>
                <w:sz w:val="18"/>
                <w:szCs w:val="18"/>
              </w:rPr>
            </w:pPr>
            <w:r w:rsidRPr="00604C75">
              <w:rPr>
                <w:noProof/>
                <w:sz w:val="18"/>
                <w:szCs w:val="18"/>
              </w:rPr>
              <w:t xml:space="preserve">Without </w:t>
            </w:r>
            <w:r>
              <w:rPr>
                <w:noProof/>
                <w:sz w:val="18"/>
                <w:szCs w:val="18"/>
              </w:rPr>
              <w:t>I</w:t>
            </w:r>
            <w:r w:rsidRPr="00604C75">
              <w:rPr>
                <w:noProof/>
                <w:sz w:val="18"/>
                <w:szCs w:val="18"/>
              </w:rPr>
              <w:t>nstallment</w:t>
            </w:r>
          </w:p>
        </w:tc>
        <w:tc>
          <w:tcPr>
            <w:tcW w:w="1586" w:type="dxa"/>
            <w:vAlign w:val="bottom"/>
          </w:tcPr>
          <w:p w14:paraId="220CD212" w14:textId="33943015" w:rsidR="00224102" w:rsidRPr="00C6387C" w:rsidRDefault="00224102" w:rsidP="00C6387C">
            <w:pPr>
              <w:ind w:right="44"/>
              <w:jc w:val="right"/>
              <w:rPr>
                <w:sz w:val="18"/>
                <w:szCs w:val="18"/>
              </w:rPr>
            </w:pPr>
            <w:r w:rsidRPr="00C6387C">
              <w:rPr>
                <w:sz w:val="18"/>
                <w:szCs w:val="18"/>
              </w:rPr>
              <w:t>-</w:t>
            </w:r>
          </w:p>
        </w:tc>
        <w:tc>
          <w:tcPr>
            <w:tcW w:w="2151" w:type="dxa"/>
            <w:vAlign w:val="bottom"/>
          </w:tcPr>
          <w:p w14:paraId="60E3AE5D" w14:textId="07AEB377" w:rsidR="00224102" w:rsidRPr="00C6387C" w:rsidRDefault="00224102" w:rsidP="00C6387C">
            <w:pPr>
              <w:ind w:right="44"/>
              <w:jc w:val="right"/>
              <w:rPr>
                <w:sz w:val="18"/>
                <w:szCs w:val="18"/>
              </w:rPr>
            </w:pPr>
            <w:r w:rsidRPr="00C6387C">
              <w:rPr>
                <w:sz w:val="18"/>
                <w:szCs w:val="18"/>
              </w:rPr>
              <w:t>-</w:t>
            </w:r>
          </w:p>
        </w:tc>
        <w:tc>
          <w:tcPr>
            <w:tcW w:w="1880" w:type="dxa"/>
            <w:vAlign w:val="bottom"/>
          </w:tcPr>
          <w:p w14:paraId="19A51DF9" w14:textId="0EC92D05" w:rsidR="00224102" w:rsidRPr="00C6387C" w:rsidRDefault="00224102" w:rsidP="00C6387C">
            <w:pPr>
              <w:ind w:right="44"/>
              <w:jc w:val="right"/>
              <w:rPr>
                <w:bCs/>
                <w:sz w:val="18"/>
                <w:szCs w:val="18"/>
              </w:rPr>
            </w:pPr>
            <w:r w:rsidRPr="00C6387C">
              <w:rPr>
                <w:bCs/>
                <w:sz w:val="18"/>
                <w:szCs w:val="18"/>
              </w:rPr>
              <w:t>-</w:t>
            </w:r>
          </w:p>
        </w:tc>
      </w:tr>
      <w:tr w:rsidR="00224102" w:rsidRPr="00604C75" w14:paraId="492E9DD5" w14:textId="77777777" w:rsidTr="00AD726D">
        <w:trPr>
          <w:trHeight w:val="184"/>
        </w:trPr>
        <w:tc>
          <w:tcPr>
            <w:tcW w:w="3748" w:type="dxa"/>
            <w:vAlign w:val="center"/>
          </w:tcPr>
          <w:p w14:paraId="16DFE738" w14:textId="77777777" w:rsidR="00224102" w:rsidRPr="00604C75" w:rsidRDefault="00224102" w:rsidP="00224102">
            <w:pPr>
              <w:spacing w:line="226" w:lineRule="auto"/>
              <w:rPr>
                <w:b/>
                <w:noProof/>
                <w:sz w:val="18"/>
              </w:rPr>
            </w:pPr>
            <w:r w:rsidRPr="00604C75">
              <w:rPr>
                <w:b/>
                <w:bCs/>
                <w:sz w:val="18"/>
                <w:szCs w:val="18"/>
              </w:rPr>
              <w:t>Overdraft Accounts – TL(</w:t>
            </w:r>
            <w:r>
              <w:rPr>
                <w:b/>
                <w:bCs/>
                <w:sz w:val="18"/>
                <w:szCs w:val="18"/>
              </w:rPr>
              <w:t>C</w:t>
            </w:r>
            <w:r w:rsidRPr="00604C75">
              <w:rPr>
                <w:b/>
                <w:bCs/>
                <w:sz w:val="18"/>
                <w:szCs w:val="18"/>
              </w:rPr>
              <w:t>orporate)</w:t>
            </w:r>
          </w:p>
        </w:tc>
        <w:tc>
          <w:tcPr>
            <w:tcW w:w="1586" w:type="dxa"/>
            <w:vAlign w:val="bottom"/>
          </w:tcPr>
          <w:p w14:paraId="26B61BFF" w14:textId="265C26D7" w:rsidR="00224102" w:rsidRPr="00C6387C" w:rsidRDefault="00224102" w:rsidP="00C6387C">
            <w:pPr>
              <w:ind w:right="44"/>
              <w:jc w:val="right"/>
              <w:rPr>
                <w:b/>
                <w:sz w:val="18"/>
                <w:szCs w:val="18"/>
              </w:rPr>
            </w:pPr>
            <w:r w:rsidRPr="00C6387C">
              <w:rPr>
                <w:b/>
                <w:sz w:val="18"/>
                <w:szCs w:val="18"/>
              </w:rPr>
              <w:t>131,535</w:t>
            </w:r>
          </w:p>
        </w:tc>
        <w:tc>
          <w:tcPr>
            <w:tcW w:w="2151" w:type="dxa"/>
            <w:vAlign w:val="bottom"/>
          </w:tcPr>
          <w:p w14:paraId="335CD882" w14:textId="25D839A4" w:rsidR="00224102" w:rsidRPr="00C6387C" w:rsidRDefault="00224102" w:rsidP="00C6387C">
            <w:pPr>
              <w:ind w:right="44"/>
              <w:jc w:val="right"/>
              <w:rPr>
                <w:b/>
                <w:sz w:val="18"/>
                <w:szCs w:val="18"/>
              </w:rPr>
            </w:pPr>
            <w:r w:rsidRPr="00C6387C">
              <w:rPr>
                <w:b/>
                <w:sz w:val="18"/>
                <w:szCs w:val="18"/>
              </w:rPr>
              <w:t>-</w:t>
            </w:r>
          </w:p>
        </w:tc>
        <w:tc>
          <w:tcPr>
            <w:tcW w:w="1880" w:type="dxa"/>
            <w:vAlign w:val="bottom"/>
          </w:tcPr>
          <w:p w14:paraId="0BEAC906" w14:textId="601D1555" w:rsidR="00224102" w:rsidRPr="00C6387C" w:rsidRDefault="00224102" w:rsidP="00C6387C">
            <w:pPr>
              <w:ind w:right="44"/>
              <w:jc w:val="right"/>
              <w:rPr>
                <w:b/>
                <w:bCs/>
                <w:sz w:val="18"/>
                <w:szCs w:val="18"/>
              </w:rPr>
            </w:pPr>
            <w:r w:rsidRPr="00C6387C">
              <w:rPr>
                <w:b/>
                <w:bCs/>
                <w:sz w:val="18"/>
                <w:szCs w:val="18"/>
              </w:rPr>
              <w:t>131,535</w:t>
            </w:r>
          </w:p>
        </w:tc>
      </w:tr>
      <w:tr w:rsidR="00224102" w:rsidRPr="00604C75" w14:paraId="3BD35691" w14:textId="77777777" w:rsidTr="00AD726D">
        <w:trPr>
          <w:trHeight w:val="184"/>
        </w:trPr>
        <w:tc>
          <w:tcPr>
            <w:tcW w:w="3748" w:type="dxa"/>
            <w:vAlign w:val="center"/>
          </w:tcPr>
          <w:p w14:paraId="1C69C621" w14:textId="77777777" w:rsidR="00224102" w:rsidRPr="00604C75" w:rsidRDefault="00224102" w:rsidP="00224102">
            <w:pPr>
              <w:spacing w:line="226" w:lineRule="auto"/>
              <w:rPr>
                <w:b/>
                <w:noProof/>
                <w:sz w:val="18"/>
              </w:rPr>
            </w:pPr>
            <w:r w:rsidRPr="00604C75">
              <w:rPr>
                <w:b/>
                <w:bCs/>
                <w:sz w:val="18"/>
                <w:szCs w:val="18"/>
              </w:rPr>
              <w:t>Overdraft Accounts – FC (</w:t>
            </w:r>
            <w:r>
              <w:rPr>
                <w:b/>
                <w:bCs/>
                <w:sz w:val="18"/>
                <w:szCs w:val="18"/>
              </w:rPr>
              <w:t>C</w:t>
            </w:r>
            <w:r w:rsidRPr="00604C75">
              <w:rPr>
                <w:b/>
                <w:bCs/>
                <w:sz w:val="18"/>
                <w:szCs w:val="18"/>
              </w:rPr>
              <w:t>orporate)</w:t>
            </w:r>
          </w:p>
        </w:tc>
        <w:tc>
          <w:tcPr>
            <w:tcW w:w="1586" w:type="dxa"/>
            <w:vAlign w:val="bottom"/>
          </w:tcPr>
          <w:p w14:paraId="20E299FC" w14:textId="5EB469F9" w:rsidR="00224102" w:rsidRPr="00C6387C" w:rsidRDefault="00224102" w:rsidP="00C6387C">
            <w:pPr>
              <w:ind w:right="44"/>
              <w:jc w:val="right"/>
              <w:rPr>
                <w:b/>
                <w:sz w:val="18"/>
                <w:szCs w:val="18"/>
              </w:rPr>
            </w:pPr>
            <w:r w:rsidRPr="00C6387C">
              <w:rPr>
                <w:b/>
                <w:sz w:val="18"/>
                <w:szCs w:val="18"/>
              </w:rPr>
              <w:t>-</w:t>
            </w:r>
          </w:p>
        </w:tc>
        <w:tc>
          <w:tcPr>
            <w:tcW w:w="2151" w:type="dxa"/>
            <w:vAlign w:val="bottom"/>
          </w:tcPr>
          <w:p w14:paraId="303A22A7" w14:textId="55AFC623" w:rsidR="00224102" w:rsidRPr="00C6387C" w:rsidRDefault="00224102" w:rsidP="00C6387C">
            <w:pPr>
              <w:ind w:right="44"/>
              <w:jc w:val="right"/>
              <w:rPr>
                <w:b/>
                <w:sz w:val="18"/>
                <w:szCs w:val="18"/>
              </w:rPr>
            </w:pPr>
            <w:r w:rsidRPr="00C6387C">
              <w:rPr>
                <w:b/>
                <w:sz w:val="18"/>
                <w:szCs w:val="18"/>
              </w:rPr>
              <w:t>-</w:t>
            </w:r>
          </w:p>
        </w:tc>
        <w:tc>
          <w:tcPr>
            <w:tcW w:w="1880" w:type="dxa"/>
            <w:vAlign w:val="bottom"/>
          </w:tcPr>
          <w:p w14:paraId="41502CCC" w14:textId="6A12DD9D" w:rsidR="00224102" w:rsidRPr="00C6387C" w:rsidRDefault="00224102" w:rsidP="00C6387C">
            <w:pPr>
              <w:ind w:right="44"/>
              <w:jc w:val="right"/>
              <w:rPr>
                <w:b/>
                <w:bCs/>
                <w:sz w:val="18"/>
                <w:szCs w:val="18"/>
              </w:rPr>
            </w:pPr>
            <w:r w:rsidRPr="00C6387C">
              <w:rPr>
                <w:b/>
                <w:bCs/>
                <w:sz w:val="18"/>
                <w:szCs w:val="18"/>
              </w:rPr>
              <w:t>-</w:t>
            </w:r>
          </w:p>
        </w:tc>
      </w:tr>
      <w:tr w:rsidR="00224102" w:rsidRPr="00604C75" w14:paraId="3DE702AD" w14:textId="77777777" w:rsidTr="00AD726D">
        <w:trPr>
          <w:trHeight w:val="184"/>
        </w:trPr>
        <w:tc>
          <w:tcPr>
            <w:tcW w:w="3748" w:type="dxa"/>
            <w:vAlign w:val="bottom"/>
          </w:tcPr>
          <w:p w14:paraId="35ACC4F4" w14:textId="77777777" w:rsidR="00224102" w:rsidRPr="00604C75" w:rsidRDefault="00224102" w:rsidP="00224102">
            <w:pPr>
              <w:spacing w:line="226" w:lineRule="auto"/>
              <w:rPr>
                <w:rFonts w:eastAsia="Arial Unicode MS"/>
                <w:b/>
                <w:bCs/>
                <w:noProof/>
                <w:sz w:val="18"/>
              </w:rPr>
            </w:pPr>
            <w:r w:rsidRPr="00604C75">
              <w:rPr>
                <w:b/>
                <w:bCs/>
                <w:noProof/>
                <w:sz w:val="18"/>
              </w:rPr>
              <w:t>Total</w:t>
            </w:r>
          </w:p>
        </w:tc>
        <w:tc>
          <w:tcPr>
            <w:tcW w:w="1586" w:type="dxa"/>
            <w:vAlign w:val="bottom"/>
          </w:tcPr>
          <w:p w14:paraId="400C9B09" w14:textId="78E82DA9" w:rsidR="00224102" w:rsidRPr="00C6387C" w:rsidRDefault="00224102" w:rsidP="00C6387C">
            <w:pPr>
              <w:ind w:right="44"/>
              <w:jc w:val="right"/>
              <w:rPr>
                <w:b/>
                <w:bCs/>
                <w:sz w:val="18"/>
                <w:szCs w:val="18"/>
              </w:rPr>
            </w:pPr>
            <w:r w:rsidRPr="00C6387C">
              <w:rPr>
                <w:b/>
                <w:bCs/>
                <w:sz w:val="18"/>
                <w:szCs w:val="18"/>
              </w:rPr>
              <w:t>258,036</w:t>
            </w:r>
          </w:p>
        </w:tc>
        <w:tc>
          <w:tcPr>
            <w:tcW w:w="2151" w:type="dxa"/>
            <w:vAlign w:val="bottom"/>
          </w:tcPr>
          <w:p w14:paraId="3EA46C4E" w14:textId="13593629" w:rsidR="00224102" w:rsidRPr="00C6387C" w:rsidRDefault="00224102" w:rsidP="00C6387C">
            <w:pPr>
              <w:ind w:right="44"/>
              <w:jc w:val="right"/>
              <w:rPr>
                <w:b/>
                <w:bCs/>
                <w:sz w:val="18"/>
                <w:szCs w:val="18"/>
              </w:rPr>
            </w:pPr>
            <w:r w:rsidRPr="00C6387C">
              <w:rPr>
                <w:b/>
                <w:bCs/>
                <w:sz w:val="18"/>
                <w:szCs w:val="18"/>
              </w:rPr>
              <w:t>2,495,431</w:t>
            </w:r>
          </w:p>
        </w:tc>
        <w:tc>
          <w:tcPr>
            <w:tcW w:w="1880" w:type="dxa"/>
            <w:vAlign w:val="bottom"/>
          </w:tcPr>
          <w:p w14:paraId="44DBC37A" w14:textId="1434F477" w:rsidR="00224102" w:rsidRPr="00C6387C" w:rsidRDefault="00224102" w:rsidP="00C6387C">
            <w:pPr>
              <w:ind w:right="44"/>
              <w:jc w:val="right"/>
              <w:rPr>
                <w:b/>
                <w:bCs/>
                <w:sz w:val="18"/>
                <w:szCs w:val="18"/>
              </w:rPr>
            </w:pPr>
            <w:r w:rsidRPr="00C6387C">
              <w:rPr>
                <w:b/>
                <w:bCs/>
                <w:sz w:val="18"/>
                <w:szCs w:val="18"/>
              </w:rPr>
              <w:t>2,753,467</w:t>
            </w:r>
          </w:p>
        </w:tc>
      </w:tr>
    </w:tbl>
    <w:p w14:paraId="625E7B24" w14:textId="77777777" w:rsidR="0044575F" w:rsidRPr="00604C75" w:rsidRDefault="0044575F" w:rsidP="003103D4">
      <w:pPr>
        <w:pStyle w:val="BodyTextIndent"/>
        <w:spacing w:after="0" w:line="226" w:lineRule="auto"/>
        <w:ind w:left="1701"/>
        <w:rPr>
          <w:sz w:val="16"/>
          <w:szCs w:val="16"/>
        </w:rPr>
      </w:pPr>
    </w:p>
    <w:p w14:paraId="5DA6FB2E" w14:textId="77777777" w:rsidR="0044575F" w:rsidRPr="00604C75" w:rsidRDefault="0044575F" w:rsidP="00A45B53">
      <w:pPr>
        <w:pStyle w:val="BodyTextIndent"/>
        <w:tabs>
          <w:tab w:val="left" w:pos="567"/>
        </w:tabs>
        <w:spacing w:after="0" w:line="226" w:lineRule="auto"/>
        <w:ind w:left="1701" w:hanging="1701"/>
        <w:rPr>
          <w:bCs/>
          <w:noProof/>
          <w:sz w:val="20"/>
          <w:szCs w:val="20"/>
        </w:rPr>
      </w:pPr>
      <w:r w:rsidRPr="00604C75">
        <w:rPr>
          <w:sz w:val="20"/>
          <w:szCs w:val="20"/>
        </w:rPr>
        <w:t>6.</w:t>
      </w:r>
      <w:r w:rsidRPr="00604C75">
        <w:rPr>
          <w:sz w:val="20"/>
          <w:szCs w:val="20"/>
        </w:rPr>
        <w:tab/>
      </w:r>
      <w:r w:rsidRPr="00604C75">
        <w:rPr>
          <w:bCs/>
          <w:noProof/>
          <w:sz w:val="20"/>
          <w:szCs w:val="20"/>
        </w:rPr>
        <w:t xml:space="preserve">Loans </w:t>
      </w:r>
      <w:r w:rsidR="00492FDF" w:rsidRPr="00604C75">
        <w:rPr>
          <w:bCs/>
          <w:noProof/>
          <w:sz w:val="20"/>
          <w:szCs w:val="20"/>
        </w:rPr>
        <w:t>according to types of borrowers</w:t>
      </w:r>
    </w:p>
    <w:p w14:paraId="69FEEB26" w14:textId="77777777" w:rsidR="005825AD" w:rsidRPr="00604C75" w:rsidRDefault="005825AD" w:rsidP="00A45B53">
      <w:pPr>
        <w:pStyle w:val="BodyTextIndent"/>
        <w:tabs>
          <w:tab w:val="left" w:pos="567"/>
        </w:tabs>
        <w:spacing w:after="0" w:line="226" w:lineRule="auto"/>
        <w:ind w:left="1701" w:hanging="1701"/>
        <w:rPr>
          <w:sz w:val="20"/>
          <w:szCs w:val="20"/>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79"/>
        <w:gridCol w:w="2180"/>
        <w:gridCol w:w="1820"/>
      </w:tblGrid>
      <w:tr w:rsidR="0044575F" w:rsidRPr="00604C75" w14:paraId="170FEDF4" w14:textId="77777777" w:rsidTr="00AD726D">
        <w:trPr>
          <w:trHeight w:val="206"/>
        </w:trPr>
        <w:tc>
          <w:tcPr>
            <w:tcW w:w="5379" w:type="dxa"/>
            <w:vAlign w:val="center"/>
          </w:tcPr>
          <w:p w14:paraId="73901008" w14:textId="77777777" w:rsidR="0044575F" w:rsidRPr="00604C75" w:rsidRDefault="0044575F" w:rsidP="003103D4">
            <w:pPr>
              <w:spacing w:line="226" w:lineRule="auto"/>
              <w:jc w:val="center"/>
              <w:rPr>
                <w:sz w:val="18"/>
              </w:rPr>
            </w:pPr>
            <w:r w:rsidRPr="00604C75">
              <w:rPr>
                <w:sz w:val="18"/>
              </w:rPr>
              <w:t> </w:t>
            </w:r>
          </w:p>
        </w:tc>
        <w:tc>
          <w:tcPr>
            <w:tcW w:w="2180" w:type="dxa"/>
            <w:vAlign w:val="bottom"/>
          </w:tcPr>
          <w:p w14:paraId="78C3ED14" w14:textId="77777777" w:rsidR="0044575F" w:rsidRPr="00604C75" w:rsidRDefault="00DE4183" w:rsidP="00C6387C">
            <w:pPr>
              <w:pStyle w:val="xl30"/>
              <w:pBdr>
                <w:right w:val="none" w:sz="0" w:space="0" w:color="auto"/>
              </w:pBdr>
              <w:spacing w:before="0" w:beforeAutospacing="0" w:after="0" w:afterAutospacing="0" w:line="226" w:lineRule="auto"/>
              <w:ind w:right="72"/>
              <w:rPr>
                <w:rFonts w:eastAsia="Times New Roman"/>
                <w:b/>
                <w:bCs/>
                <w:lang w:val="tr-TR"/>
              </w:rPr>
            </w:pPr>
            <w:r>
              <w:rPr>
                <w:rFonts w:eastAsia="Times New Roman"/>
                <w:b/>
                <w:bCs/>
                <w:lang w:val="tr-TR"/>
              </w:rPr>
              <w:t>3</w:t>
            </w:r>
            <w:r w:rsidR="00BD53C3">
              <w:rPr>
                <w:rFonts w:eastAsia="Times New Roman"/>
                <w:b/>
                <w:bCs/>
                <w:lang w:val="tr-TR"/>
              </w:rPr>
              <w:t>1</w:t>
            </w:r>
            <w:r w:rsidR="0044575F" w:rsidRPr="00604C75">
              <w:rPr>
                <w:rFonts w:eastAsia="Times New Roman"/>
                <w:b/>
                <w:bCs/>
                <w:lang w:val="tr-TR"/>
              </w:rPr>
              <w:t xml:space="preserve"> </w:t>
            </w:r>
            <w:r w:rsidR="00BD53C3">
              <w:rPr>
                <w:rFonts w:eastAsia="Times New Roman"/>
                <w:b/>
                <w:bCs/>
                <w:lang w:val="tr-TR"/>
              </w:rPr>
              <w:t>December</w:t>
            </w:r>
            <w:r w:rsidR="00BD53C3" w:rsidRPr="00604C75">
              <w:rPr>
                <w:rFonts w:eastAsia="Times New Roman"/>
                <w:b/>
                <w:bCs/>
                <w:lang w:val="tr-TR"/>
              </w:rPr>
              <w:t xml:space="preserve"> </w:t>
            </w:r>
            <w:r w:rsidR="00A45B53" w:rsidRPr="00604C75">
              <w:rPr>
                <w:rFonts w:eastAsia="Times New Roman"/>
                <w:b/>
                <w:bCs/>
                <w:lang w:val="tr-TR"/>
              </w:rPr>
              <w:t>2015</w:t>
            </w:r>
          </w:p>
        </w:tc>
        <w:tc>
          <w:tcPr>
            <w:tcW w:w="1820" w:type="dxa"/>
            <w:vAlign w:val="bottom"/>
          </w:tcPr>
          <w:p w14:paraId="0F6B00F2" w14:textId="77777777" w:rsidR="0044575F" w:rsidRPr="00604C75" w:rsidRDefault="0044575F" w:rsidP="00C6387C">
            <w:pPr>
              <w:pStyle w:val="xl30"/>
              <w:pBdr>
                <w:right w:val="none" w:sz="0" w:space="0" w:color="auto"/>
              </w:pBdr>
              <w:spacing w:before="0" w:beforeAutospacing="0" w:after="0" w:afterAutospacing="0" w:line="226" w:lineRule="auto"/>
              <w:ind w:right="72"/>
              <w:rPr>
                <w:rFonts w:eastAsia="Times New Roman"/>
                <w:b/>
                <w:bCs/>
                <w:lang w:val="tr-TR"/>
              </w:rPr>
            </w:pPr>
            <w:r w:rsidRPr="00604C75">
              <w:rPr>
                <w:rFonts w:eastAsia="Times New Roman"/>
                <w:b/>
                <w:bCs/>
                <w:lang w:val="tr-TR"/>
              </w:rPr>
              <w:t>31 December 201</w:t>
            </w:r>
            <w:r w:rsidR="00A45B53" w:rsidRPr="00604C75">
              <w:rPr>
                <w:rFonts w:eastAsia="Times New Roman"/>
                <w:b/>
                <w:bCs/>
                <w:lang w:val="tr-TR"/>
              </w:rPr>
              <w:t>4</w:t>
            </w:r>
          </w:p>
        </w:tc>
      </w:tr>
      <w:tr w:rsidR="00224102" w:rsidRPr="00604C75" w14:paraId="1C3C82FF" w14:textId="77777777" w:rsidTr="00AD726D">
        <w:trPr>
          <w:trHeight w:val="254"/>
        </w:trPr>
        <w:tc>
          <w:tcPr>
            <w:tcW w:w="5379" w:type="dxa"/>
            <w:vAlign w:val="bottom"/>
          </w:tcPr>
          <w:p w14:paraId="5928594B" w14:textId="77777777" w:rsidR="00224102" w:rsidRPr="00604C75" w:rsidRDefault="00224102" w:rsidP="00224102">
            <w:pPr>
              <w:spacing w:line="226" w:lineRule="auto"/>
              <w:rPr>
                <w:rFonts w:eastAsia="Arial Unicode MS"/>
                <w:noProof/>
                <w:sz w:val="18"/>
                <w:szCs w:val="18"/>
              </w:rPr>
            </w:pPr>
            <w:r w:rsidRPr="00604C75">
              <w:rPr>
                <w:noProof/>
                <w:sz w:val="18"/>
                <w:szCs w:val="18"/>
              </w:rPr>
              <w:t>Public</w:t>
            </w:r>
          </w:p>
        </w:tc>
        <w:tc>
          <w:tcPr>
            <w:tcW w:w="2180" w:type="dxa"/>
            <w:vAlign w:val="bottom"/>
          </w:tcPr>
          <w:p w14:paraId="7BF6802A" w14:textId="4366EEA4" w:rsidR="00224102" w:rsidRPr="00692926" w:rsidRDefault="00224102" w:rsidP="00C6387C">
            <w:pPr>
              <w:ind w:right="72"/>
              <w:jc w:val="right"/>
              <w:rPr>
                <w:sz w:val="18"/>
                <w:szCs w:val="18"/>
              </w:rPr>
            </w:pPr>
            <w:r>
              <w:rPr>
                <w:sz w:val="18"/>
                <w:szCs w:val="18"/>
              </w:rPr>
              <w:t>-</w:t>
            </w:r>
          </w:p>
        </w:tc>
        <w:tc>
          <w:tcPr>
            <w:tcW w:w="1820" w:type="dxa"/>
            <w:vAlign w:val="bottom"/>
          </w:tcPr>
          <w:p w14:paraId="3A9FB701" w14:textId="00A3FA78" w:rsidR="00224102" w:rsidRPr="00692926" w:rsidRDefault="00224102" w:rsidP="00C6387C">
            <w:pPr>
              <w:tabs>
                <w:tab w:val="left" w:pos="0"/>
              </w:tabs>
              <w:ind w:right="72"/>
              <w:jc w:val="right"/>
              <w:rPr>
                <w:rFonts w:eastAsia="Arial Unicode MS"/>
                <w:sz w:val="18"/>
                <w:szCs w:val="18"/>
              </w:rPr>
            </w:pPr>
            <w:r w:rsidRPr="00692926">
              <w:rPr>
                <w:rFonts w:eastAsia="Arial Unicode MS"/>
                <w:sz w:val="18"/>
                <w:szCs w:val="18"/>
              </w:rPr>
              <w:t>-</w:t>
            </w:r>
          </w:p>
        </w:tc>
      </w:tr>
      <w:tr w:rsidR="00224102" w:rsidRPr="00604C75" w14:paraId="151E4E88" w14:textId="77777777" w:rsidTr="00AD726D">
        <w:trPr>
          <w:trHeight w:val="227"/>
        </w:trPr>
        <w:tc>
          <w:tcPr>
            <w:tcW w:w="5379" w:type="dxa"/>
            <w:vAlign w:val="bottom"/>
          </w:tcPr>
          <w:p w14:paraId="587A3E1D" w14:textId="77777777" w:rsidR="00224102" w:rsidRPr="00604C75" w:rsidRDefault="00224102" w:rsidP="00224102">
            <w:pPr>
              <w:spacing w:line="226" w:lineRule="auto"/>
              <w:rPr>
                <w:noProof/>
                <w:sz w:val="18"/>
                <w:szCs w:val="18"/>
              </w:rPr>
            </w:pPr>
            <w:r w:rsidRPr="00604C75">
              <w:rPr>
                <w:noProof/>
                <w:sz w:val="18"/>
                <w:szCs w:val="18"/>
              </w:rPr>
              <w:t>Private</w:t>
            </w:r>
          </w:p>
        </w:tc>
        <w:tc>
          <w:tcPr>
            <w:tcW w:w="2180" w:type="dxa"/>
            <w:vAlign w:val="bottom"/>
          </w:tcPr>
          <w:p w14:paraId="64ADB154" w14:textId="1BCDA6B4" w:rsidR="00224102" w:rsidRDefault="00224102" w:rsidP="00C6387C">
            <w:pPr>
              <w:ind w:right="72"/>
              <w:jc w:val="right"/>
              <w:rPr>
                <w:sz w:val="18"/>
                <w:szCs w:val="18"/>
              </w:rPr>
            </w:pPr>
            <w:r>
              <w:rPr>
                <w:sz w:val="18"/>
                <w:szCs w:val="18"/>
              </w:rPr>
              <w:t>9,069,821</w:t>
            </w:r>
          </w:p>
        </w:tc>
        <w:tc>
          <w:tcPr>
            <w:tcW w:w="1820" w:type="dxa"/>
            <w:vAlign w:val="bottom"/>
          </w:tcPr>
          <w:p w14:paraId="7678D8B3" w14:textId="5FAD46AA" w:rsidR="00224102" w:rsidRPr="00692926" w:rsidRDefault="00224102" w:rsidP="00C6387C">
            <w:pPr>
              <w:tabs>
                <w:tab w:val="left" w:pos="0"/>
              </w:tabs>
              <w:ind w:right="72"/>
              <w:jc w:val="right"/>
              <w:rPr>
                <w:sz w:val="18"/>
                <w:szCs w:val="18"/>
              </w:rPr>
            </w:pPr>
            <w:r w:rsidRPr="00692926">
              <w:rPr>
                <w:sz w:val="18"/>
                <w:szCs w:val="18"/>
              </w:rPr>
              <w:t>7,727,910</w:t>
            </w:r>
          </w:p>
        </w:tc>
      </w:tr>
      <w:tr w:rsidR="00224102" w:rsidRPr="00604C75" w14:paraId="4225CB4E" w14:textId="77777777" w:rsidTr="00AD726D">
        <w:trPr>
          <w:trHeight w:val="227"/>
        </w:trPr>
        <w:tc>
          <w:tcPr>
            <w:tcW w:w="5379" w:type="dxa"/>
            <w:vAlign w:val="bottom"/>
          </w:tcPr>
          <w:p w14:paraId="46B7627D" w14:textId="77777777" w:rsidR="00224102" w:rsidRPr="00604C75" w:rsidRDefault="00224102" w:rsidP="00224102">
            <w:pPr>
              <w:spacing w:line="226" w:lineRule="auto"/>
              <w:rPr>
                <w:rFonts w:eastAsia="Arial Unicode MS"/>
                <w:b/>
                <w:noProof/>
                <w:sz w:val="18"/>
                <w:szCs w:val="18"/>
              </w:rPr>
            </w:pPr>
            <w:r w:rsidRPr="00604C75">
              <w:rPr>
                <w:b/>
                <w:noProof/>
                <w:sz w:val="18"/>
                <w:szCs w:val="18"/>
              </w:rPr>
              <w:t>Total</w:t>
            </w:r>
          </w:p>
        </w:tc>
        <w:tc>
          <w:tcPr>
            <w:tcW w:w="2180" w:type="dxa"/>
            <w:vAlign w:val="bottom"/>
          </w:tcPr>
          <w:p w14:paraId="044A4043" w14:textId="72DBC58C" w:rsidR="00224102" w:rsidRPr="00D708CA" w:rsidRDefault="00224102" w:rsidP="00C6387C">
            <w:pPr>
              <w:ind w:right="72"/>
              <w:jc w:val="right"/>
              <w:rPr>
                <w:b/>
                <w:sz w:val="18"/>
                <w:szCs w:val="18"/>
              </w:rPr>
            </w:pPr>
            <w:r w:rsidRPr="00D708CA">
              <w:rPr>
                <w:b/>
                <w:sz w:val="18"/>
                <w:szCs w:val="18"/>
              </w:rPr>
              <w:t>9,069,821</w:t>
            </w:r>
          </w:p>
        </w:tc>
        <w:tc>
          <w:tcPr>
            <w:tcW w:w="1820" w:type="dxa"/>
            <w:vAlign w:val="bottom"/>
          </w:tcPr>
          <w:p w14:paraId="2F8FFE91" w14:textId="6910115B" w:rsidR="00224102" w:rsidRPr="00692926" w:rsidRDefault="00224102" w:rsidP="00C6387C">
            <w:pPr>
              <w:tabs>
                <w:tab w:val="left" w:pos="0"/>
              </w:tabs>
              <w:ind w:right="72"/>
              <w:jc w:val="right"/>
              <w:rPr>
                <w:b/>
                <w:sz w:val="18"/>
                <w:szCs w:val="18"/>
              </w:rPr>
            </w:pPr>
            <w:r w:rsidRPr="00692926">
              <w:rPr>
                <w:b/>
                <w:sz w:val="18"/>
                <w:szCs w:val="18"/>
              </w:rPr>
              <w:t>7,727,910</w:t>
            </w:r>
          </w:p>
        </w:tc>
      </w:tr>
    </w:tbl>
    <w:p w14:paraId="4B2D1E39" w14:textId="77777777" w:rsidR="00224102" w:rsidRDefault="00224102" w:rsidP="00507FD7"/>
    <w:p w14:paraId="5887F50E" w14:textId="77777777" w:rsidR="00224102" w:rsidRDefault="00224102">
      <w:pPr>
        <w:spacing w:after="200" w:line="276" w:lineRule="auto"/>
      </w:pPr>
      <w:r>
        <w:br w:type="page"/>
      </w:r>
    </w:p>
    <w:p w14:paraId="5BCD77AC" w14:textId="31EB7261" w:rsidR="00224102" w:rsidRPr="00604C75" w:rsidRDefault="00B27B7B" w:rsidP="00224102">
      <w:pPr>
        <w:pStyle w:val="BodyTextIndent"/>
        <w:pageBreakBefore/>
        <w:tabs>
          <w:tab w:val="left" w:pos="360"/>
        </w:tabs>
        <w:spacing w:before="120"/>
        <w:ind w:left="357" w:right="17" w:hanging="357"/>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7474E091" w14:textId="6638EFE2" w:rsidR="00224102" w:rsidRPr="00604C75" w:rsidRDefault="00224102" w:rsidP="00224102">
      <w:pPr>
        <w:pStyle w:val="Heading2"/>
        <w:tabs>
          <w:tab w:val="left" w:pos="851"/>
        </w:tabs>
        <w:ind w:left="851" w:hanging="851"/>
        <w:rPr>
          <w:rFonts w:ascii="Times New Roman" w:hAnsi="Times New Roman"/>
          <w:bC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74AEFC63" w14:textId="77777777" w:rsidR="00224102" w:rsidRPr="00604C75" w:rsidRDefault="00224102" w:rsidP="00224102">
      <w:pPr>
        <w:spacing w:before="120"/>
      </w:pPr>
      <w:r w:rsidRPr="00604C75">
        <w:rPr>
          <w:b/>
          <w:bCs/>
          <w:sz w:val="20"/>
          <w:szCs w:val="20"/>
        </w:rPr>
        <w:t>e.        Explanations on loans (Continued)</w:t>
      </w:r>
    </w:p>
    <w:p w14:paraId="3EF545E1" w14:textId="1CED594F" w:rsidR="00A66C54" w:rsidRPr="00604C75" w:rsidRDefault="0044575F" w:rsidP="00224102">
      <w:pPr>
        <w:pStyle w:val="BodyTextIndent"/>
        <w:tabs>
          <w:tab w:val="left" w:pos="567"/>
        </w:tabs>
        <w:spacing w:before="120" w:after="0" w:line="226" w:lineRule="auto"/>
        <w:ind w:left="1701" w:hanging="1701"/>
        <w:rPr>
          <w:noProof/>
        </w:rPr>
      </w:pPr>
      <w:r w:rsidRPr="00224102">
        <w:rPr>
          <w:sz w:val="20"/>
          <w:szCs w:val="20"/>
        </w:rPr>
        <w:t>7.</w:t>
      </w:r>
      <w:r w:rsidRPr="00224102">
        <w:rPr>
          <w:sz w:val="20"/>
          <w:szCs w:val="20"/>
        </w:rPr>
        <w:tab/>
        <w:t>Distributio</w:t>
      </w:r>
      <w:r w:rsidR="00231AF2" w:rsidRPr="00224102">
        <w:rPr>
          <w:sz w:val="20"/>
          <w:szCs w:val="20"/>
        </w:rPr>
        <w:t>n of domestic and foreign loans</w:t>
      </w:r>
    </w:p>
    <w:p w14:paraId="60EA0704" w14:textId="77777777" w:rsidR="00231AF2" w:rsidRPr="00604C75" w:rsidRDefault="00231AF2" w:rsidP="00224102">
      <w:pPr>
        <w:pStyle w:val="BodyTextIndent"/>
        <w:tabs>
          <w:tab w:val="left" w:pos="567"/>
        </w:tabs>
        <w:spacing w:before="120" w:after="0" w:line="226" w:lineRule="auto"/>
        <w:ind w:left="0"/>
        <w:rPr>
          <w:bCs/>
          <w:noProof/>
          <w:sz w:val="20"/>
          <w:szCs w:val="20"/>
        </w:rPr>
      </w:pPr>
      <w:r w:rsidRPr="00604C75">
        <w:rPr>
          <w:bCs/>
          <w:noProof/>
          <w:sz w:val="20"/>
          <w:szCs w:val="20"/>
        </w:rPr>
        <w:t>Related loans are classified according to the location of the customers.</w:t>
      </w:r>
    </w:p>
    <w:p w14:paraId="0D1C0890" w14:textId="77777777" w:rsidR="0044575F" w:rsidRPr="00604C75" w:rsidRDefault="0044575F" w:rsidP="00492FDF">
      <w:pPr>
        <w:pStyle w:val="BodyTextIndent"/>
        <w:tabs>
          <w:tab w:val="left" w:pos="567"/>
        </w:tabs>
        <w:spacing w:after="0" w:line="226" w:lineRule="auto"/>
        <w:ind w:left="0"/>
        <w:rPr>
          <w:sz w:val="16"/>
          <w:szCs w:val="16"/>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90"/>
        <w:gridCol w:w="2172"/>
        <w:gridCol w:w="1817"/>
      </w:tblGrid>
      <w:tr w:rsidR="0044575F" w:rsidRPr="00604C75" w14:paraId="1A72587C" w14:textId="77777777" w:rsidTr="00CD0767">
        <w:trPr>
          <w:trHeight w:val="199"/>
        </w:trPr>
        <w:tc>
          <w:tcPr>
            <w:tcW w:w="5390" w:type="dxa"/>
            <w:vAlign w:val="bottom"/>
          </w:tcPr>
          <w:p w14:paraId="07812334" w14:textId="77777777" w:rsidR="0044575F" w:rsidRPr="00604C75" w:rsidRDefault="0044575F" w:rsidP="003103D4">
            <w:pPr>
              <w:spacing w:line="226" w:lineRule="auto"/>
              <w:rPr>
                <w:sz w:val="18"/>
              </w:rPr>
            </w:pPr>
          </w:p>
        </w:tc>
        <w:tc>
          <w:tcPr>
            <w:tcW w:w="2172" w:type="dxa"/>
            <w:vAlign w:val="bottom"/>
          </w:tcPr>
          <w:p w14:paraId="00303FC9" w14:textId="77777777" w:rsidR="0044575F" w:rsidRPr="00604C75" w:rsidRDefault="00547DD7" w:rsidP="00CD0767">
            <w:pPr>
              <w:spacing w:line="226" w:lineRule="auto"/>
              <w:ind w:right="33"/>
              <w:jc w:val="center"/>
              <w:rPr>
                <w:sz w:val="18"/>
              </w:rPr>
            </w:pPr>
            <w:r w:rsidRPr="00507FD7">
              <w:rPr>
                <w:b/>
                <w:bCs/>
                <w:sz w:val="18"/>
                <w:szCs w:val="18"/>
              </w:rPr>
              <w:t>31 December</w:t>
            </w:r>
            <w:r w:rsidRPr="00604C75">
              <w:rPr>
                <w:b/>
                <w:bCs/>
                <w:lang w:val="tr-TR"/>
              </w:rPr>
              <w:t xml:space="preserve"> </w:t>
            </w:r>
            <w:r w:rsidRPr="00507FD7">
              <w:rPr>
                <w:b/>
                <w:bCs/>
                <w:sz w:val="18"/>
                <w:szCs w:val="18"/>
              </w:rPr>
              <w:t>2015</w:t>
            </w:r>
          </w:p>
        </w:tc>
        <w:tc>
          <w:tcPr>
            <w:tcW w:w="1817" w:type="dxa"/>
            <w:vAlign w:val="bottom"/>
          </w:tcPr>
          <w:p w14:paraId="560BB6D8" w14:textId="77777777" w:rsidR="0044575F" w:rsidRPr="00604C75" w:rsidRDefault="0044575F" w:rsidP="00CD0767">
            <w:pPr>
              <w:spacing w:line="226" w:lineRule="auto"/>
              <w:ind w:right="47"/>
              <w:jc w:val="center"/>
              <w:rPr>
                <w:sz w:val="18"/>
              </w:rPr>
            </w:pPr>
            <w:r w:rsidRPr="00604C75">
              <w:rPr>
                <w:b/>
                <w:bCs/>
                <w:sz w:val="18"/>
                <w:szCs w:val="18"/>
              </w:rPr>
              <w:t>31 December 201</w:t>
            </w:r>
            <w:r w:rsidR="00A45B53" w:rsidRPr="00604C75">
              <w:rPr>
                <w:b/>
                <w:bCs/>
                <w:sz w:val="18"/>
                <w:szCs w:val="18"/>
              </w:rPr>
              <w:t>4</w:t>
            </w:r>
          </w:p>
        </w:tc>
      </w:tr>
      <w:tr w:rsidR="00224102" w:rsidRPr="00604C75" w14:paraId="4B3B1AE7" w14:textId="77777777" w:rsidTr="00AD726D">
        <w:trPr>
          <w:trHeight w:val="240"/>
        </w:trPr>
        <w:tc>
          <w:tcPr>
            <w:tcW w:w="5390" w:type="dxa"/>
            <w:vAlign w:val="bottom"/>
          </w:tcPr>
          <w:p w14:paraId="2FB95102" w14:textId="77777777" w:rsidR="00224102" w:rsidRPr="00604C75" w:rsidRDefault="00224102" w:rsidP="00224102">
            <w:pPr>
              <w:spacing w:line="226" w:lineRule="auto"/>
              <w:rPr>
                <w:rFonts w:eastAsia="Arial Unicode MS"/>
                <w:noProof/>
                <w:sz w:val="18"/>
                <w:szCs w:val="18"/>
              </w:rPr>
            </w:pPr>
            <w:r w:rsidRPr="00604C75">
              <w:rPr>
                <w:noProof/>
                <w:sz w:val="18"/>
                <w:szCs w:val="18"/>
              </w:rPr>
              <w:t>Domestic Loans</w:t>
            </w:r>
          </w:p>
        </w:tc>
        <w:tc>
          <w:tcPr>
            <w:tcW w:w="2172" w:type="dxa"/>
            <w:vAlign w:val="bottom"/>
          </w:tcPr>
          <w:p w14:paraId="736589E6" w14:textId="2C2A3B6A" w:rsidR="00224102" w:rsidRDefault="00224102" w:rsidP="00224102">
            <w:pPr>
              <w:jc w:val="right"/>
              <w:rPr>
                <w:sz w:val="18"/>
                <w:szCs w:val="18"/>
              </w:rPr>
            </w:pPr>
            <w:r>
              <w:rPr>
                <w:sz w:val="18"/>
                <w:szCs w:val="18"/>
              </w:rPr>
              <w:t>9,030,427</w:t>
            </w:r>
          </w:p>
        </w:tc>
        <w:tc>
          <w:tcPr>
            <w:tcW w:w="1817" w:type="dxa"/>
            <w:vAlign w:val="bottom"/>
          </w:tcPr>
          <w:p w14:paraId="19682409" w14:textId="17077412" w:rsidR="00224102" w:rsidRPr="00692926" w:rsidRDefault="00224102" w:rsidP="00224102">
            <w:pPr>
              <w:tabs>
                <w:tab w:val="left" w:pos="0"/>
              </w:tabs>
              <w:jc w:val="right"/>
              <w:rPr>
                <w:sz w:val="18"/>
                <w:szCs w:val="18"/>
              </w:rPr>
            </w:pPr>
            <w:r w:rsidRPr="00692926">
              <w:rPr>
                <w:sz w:val="18"/>
                <w:szCs w:val="18"/>
              </w:rPr>
              <w:t>7,671,833</w:t>
            </w:r>
          </w:p>
        </w:tc>
      </w:tr>
      <w:tr w:rsidR="00224102" w:rsidRPr="00604C75" w14:paraId="302544DA" w14:textId="77777777" w:rsidTr="00AD726D">
        <w:trPr>
          <w:trHeight w:val="220"/>
        </w:trPr>
        <w:tc>
          <w:tcPr>
            <w:tcW w:w="5390" w:type="dxa"/>
            <w:vAlign w:val="bottom"/>
          </w:tcPr>
          <w:p w14:paraId="3583DB26" w14:textId="77777777" w:rsidR="00224102" w:rsidRPr="00604C75" w:rsidRDefault="00224102" w:rsidP="00224102">
            <w:pPr>
              <w:spacing w:line="226" w:lineRule="auto"/>
              <w:rPr>
                <w:rFonts w:eastAsia="Arial Unicode MS"/>
                <w:noProof/>
                <w:sz w:val="18"/>
                <w:szCs w:val="18"/>
              </w:rPr>
            </w:pPr>
            <w:r w:rsidRPr="00604C75">
              <w:rPr>
                <w:noProof/>
                <w:sz w:val="18"/>
                <w:szCs w:val="18"/>
              </w:rPr>
              <w:t>Foreign Loans</w:t>
            </w:r>
          </w:p>
        </w:tc>
        <w:tc>
          <w:tcPr>
            <w:tcW w:w="2172" w:type="dxa"/>
            <w:vAlign w:val="bottom"/>
          </w:tcPr>
          <w:p w14:paraId="1E7B025F" w14:textId="595BD7BA" w:rsidR="00224102" w:rsidRDefault="00224102" w:rsidP="00224102">
            <w:pPr>
              <w:jc w:val="right"/>
              <w:rPr>
                <w:sz w:val="18"/>
                <w:szCs w:val="18"/>
              </w:rPr>
            </w:pPr>
            <w:r>
              <w:rPr>
                <w:sz w:val="18"/>
                <w:szCs w:val="18"/>
              </w:rPr>
              <w:t>39,394</w:t>
            </w:r>
          </w:p>
        </w:tc>
        <w:tc>
          <w:tcPr>
            <w:tcW w:w="1817" w:type="dxa"/>
            <w:vAlign w:val="bottom"/>
          </w:tcPr>
          <w:p w14:paraId="7016A783" w14:textId="68C95D0D" w:rsidR="00224102" w:rsidRPr="00692926" w:rsidRDefault="00224102" w:rsidP="00224102">
            <w:pPr>
              <w:tabs>
                <w:tab w:val="left" w:pos="0"/>
              </w:tabs>
              <w:jc w:val="right"/>
              <w:rPr>
                <w:sz w:val="18"/>
                <w:szCs w:val="18"/>
              </w:rPr>
            </w:pPr>
            <w:r w:rsidRPr="00692926">
              <w:rPr>
                <w:sz w:val="18"/>
                <w:szCs w:val="18"/>
              </w:rPr>
              <w:t>56,077</w:t>
            </w:r>
          </w:p>
        </w:tc>
      </w:tr>
      <w:tr w:rsidR="00224102" w:rsidRPr="00604C75" w14:paraId="3C40D085" w14:textId="77777777" w:rsidTr="00AD726D">
        <w:trPr>
          <w:trHeight w:val="260"/>
        </w:trPr>
        <w:tc>
          <w:tcPr>
            <w:tcW w:w="5390" w:type="dxa"/>
            <w:vAlign w:val="bottom"/>
          </w:tcPr>
          <w:p w14:paraId="20CF2734" w14:textId="77777777" w:rsidR="00224102" w:rsidRPr="00604C75" w:rsidRDefault="00224102" w:rsidP="00224102">
            <w:pPr>
              <w:spacing w:line="226" w:lineRule="auto"/>
              <w:rPr>
                <w:rFonts w:eastAsia="Arial Unicode MS"/>
                <w:b/>
                <w:noProof/>
                <w:sz w:val="12"/>
                <w:szCs w:val="12"/>
              </w:rPr>
            </w:pPr>
            <w:r w:rsidRPr="00604C75">
              <w:rPr>
                <w:b/>
                <w:noProof/>
                <w:sz w:val="18"/>
                <w:szCs w:val="18"/>
              </w:rPr>
              <w:t>Total</w:t>
            </w:r>
          </w:p>
        </w:tc>
        <w:tc>
          <w:tcPr>
            <w:tcW w:w="2172" w:type="dxa"/>
            <w:vAlign w:val="bottom"/>
          </w:tcPr>
          <w:p w14:paraId="461FBEB9" w14:textId="75793C60" w:rsidR="00224102" w:rsidRPr="00692926" w:rsidRDefault="00224102" w:rsidP="00224102">
            <w:pPr>
              <w:jc w:val="right"/>
              <w:rPr>
                <w:b/>
                <w:sz w:val="18"/>
                <w:szCs w:val="18"/>
              </w:rPr>
            </w:pPr>
            <w:r>
              <w:rPr>
                <w:b/>
                <w:sz w:val="18"/>
                <w:szCs w:val="18"/>
              </w:rPr>
              <w:t>9,069,821</w:t>
            </w:r>
          </w:p>
        </w:tc>
        <w:tc>
          <w:tcPr>
            <w:tcW w:w="1817" w:type="dxa"/>
            <w:vAlign w:val="bottom"/>
          </w:tcPr>
          <w:p w14:paraId="4AE487F6" w14:textId="0739581E" w:rsidR="00224102" w:rsidRPr="00692926" w:rsidRDefault="00224102" w:rsidP="00224102">
            <w:pPr>
              <w:tabs>
                <w:tab w:val="left" w:pos="0"/>
              </w:tabs>
              <w:ind w:right="33"/>
              <w:jc w:val="right"/>
              <w:rPr>
                <w:b/>
                <w:sz w:val="18"/>
                <w:szCs w:val="18"/>
              </w:rPr>
            </w:pPr>
            <w:r w:rsidRPr="00692926">
              <w:rPr>
                <w:b/>
                <w:sz w:val="18"/>
                <w:szCs w:val="18"/>
              </w:rPr>
              <w:t>7,727,910</w:t>
            </w:r>
          </w:p>
        </w:tc>
      </w:tr>
    </w:tbl>
    <w:p w14:paraId="29222A9B" w14:textId="77777777" w:rsidR="0044575F" w:rsidRPr="00604C75" w:rsidRDefault="0044575F" w:rsidP="00224102">
      <w:pPr>
        <w:pStyle w:val="BodyTextIndent"/>
        <w:tabs>
          <w:tab w:val="left" w:pos="567"/>
        </w:tabs>
        <w:spacing w:before="120" w:after="0" w:line="226" w:lineRule="auto"/>
        <w:ind w:left="1701" w:hanging="1701"/>
        <w:rPr>
          <w:sz w:val="20"/>
          <w:szCs w:val="20"/>
        </w:rPr>
      </w:pPr>
      <w:r w:rsidRPr="00604C75">
        <w:rPr>
          <w:sz w:val="20"/>
          <w:szCs w:val="20"/>
        </w:rPr>
        <w:t>8.</w:t>
      </w:r>
      <w:r w:rsidRPr="00604C75">
        <w:rPr>
          <w:sz w:val="20"/>
          <w:szCs w:val="20"/>
        </w:rPr>
        <w:tab/>
      </w:r>
      <w:r w:rsidRPr="00604C75">
        <w:rPr>
          <w:bCs/>
          <w:noProof/>
          <w:sz w:val="20"/>
          <w:szCs w:val="20"/>
        </w:rPr>
        <w:t>Loans given to investments</w:t>
      </w:r>
      <w:r w:rsidR="00492FDF" w:rsidRPr="00604C75">
        <w:rPr>
          <w:bCs/>
          <w:noProof/>
          <w:sz w:val="20"/>
          <w:szCs w:val="20"/>
        </w:rPr>
        <w:t xml:space="preserve"> in associates and subsidiaries</w:t>
      </w:r>
    </w:p>
    <w:p w14:paraId="66DF3251" w14:textId="21C30DFE" w:rsidR="00224102" w:rsidRDefault="00B50225" w:rsidP="00C66498">
      <w:pPr>
        <w:pStyle w:val="BodyTextIndent"/>
        <w:spacing w:before="120" w:after="0" w:line="226" w:lineRule="auto"/>
        <w:ind w:left="0" w:right="-150"/>
        <w:jc w:val="both"/>
        <w:rPr>
          <w:sz w:val="20"/>
          <w:szCs w:val="20"/>
        </w:rPr>
      </w:pPr>
      <w:r>
        <w:rPr>
          <w:bCs/>
          <w:noProof/>
          <w:sz w:val="20"/>
          <w:szCs w:val="20"/>
        </w:rPr>
        <w:t>As of 31 December 2015, t</w:t>
      </w:r>
      <w:r w:rsidR="006C5EA8">
        <w:rPr>
          <w:sz w:val="20"/>
          <w:szCs w:val="20"/>
        </w:rPr>
        <w:t>here are</w:t>
      </w:r>
      <w:r w:rsidR="00092444" w:rsidRPr="00195EDC">
        <w:rPr>
          <w:sz w:val="20"/>
          <w:szCs w:val="20"/>
        </w:rPr>
        <w:t xml:space="preserve"> </w:t>
      </w:r>
      <w:r w:rsidR="00877CBD" w:rsidRPr="00195EDC">
        <w:rPr>
          <w:sz w:val="20"/>
          <w:szCs w:val="20"/>
        </w:rPr>
        <w:t>loan</w:t>
      </w:r>
      <w:r>
        <w:rPr>
          <w:sz w:val="20"/>
          <w:szCs w:val="20"/>
        </w:rPr>
        <w:t xml:space="preserve">s granted to </w:t>
      </w:r>
      <w:r w:rsidRPr="00092444">
        <w:rPr>
          <w:bCs/>
          <w:noProof/>
          <w:sz w:val="20"/>
          <w:szCs w:val="20"/>
        </w:rPr>
        <w:t>associates</w:t>
      </w:r>
      <w:r w:rsidRPr="00604C75">
        <w:rPr>
          <w:bCs/>
          <w:noProof/>
          <w:sz w:val="20"/>
          <w:szCs w:val="20"/>
        </w:rPr>
        <w:t xml:space="preserve"> and subsidiaries</w:t>
      </w:r>
      <w:r w:rsidR="00877CBD" w:rsidRPr="00195EDC">
        <w:rPr>
          <w:sz w:val="20"/>
          <w:szCs w:val="20"/>
        </w:rPr>
        <w:t xml:space="preserve"> </w:t>
      </w:r>
      <w:r w:rsidR="00877CBD">
        <w:rPr>
          <w:sz w:val="20"/>
          <w:szCs w:val="20"/>
        </w:rPr>
        <w:t>amount</w:t>
      </w:r>
      <w:r>
        <w:rPr>
          <w:sz w:val="20"/>
          <w:szCs w:val="20"/>
        </w:rPr>
        <w:t xml:space="preserve"> to</w:t>
      </w:r>
      <w:r w:rsidR="00877CBD">
        <w:rPr>
          <w:sz w:val="20"/>
          <w:szCs w:val="20"/>
        </w:rPr>
        <w:t xml:space="preserve"> </w:t>
      </w:r>
      <w:r w:rsidR="00092444" w:rsidRPr="00195EDC">
        <w:rPr>
          <w:sz w:val="20"/>
          <w:szCs w:val="20"/>
        </w:rPr>
        <w:t xml:space="preserve">TL </w:t>
      </w:r>
      <w:r w:rsidR="00A91A94" w:rsidRPr="00195EDC">
        <w:rPr>
          <w:sz w:val="20"/>
          <w:szCs w:val="20"/>
        </w:rPr>
        <w:t>55,395</w:t>
      </w:r>
      <w:r w:rsidR="00092444" w:rsidRPr="00092444">
        <w:rPr>
          <w:sz w:val="20"/>
          <w:szCs w:val="20"/>
        </w:rPr>
        <w:t xml:space="preserve"> </w:t>
      </w:r>
      <w:r w:rsidR="0044575F" w:rsidRPr="00E76A7F">
        <w:rPr>
          <w:sz w:val="20"/>
          <w:szCs w:val="20"/>
        </w:rPr>
        <w:t>(</w:t>
      </w:r>
      <w:r w:rsidR="000F58A2" w:rsidRPr="00E76A7F">
        <w:rPr>
          <w:sz w:val="20"/>
          <w:szCs w:val="20"/>
        </w:rPr>
        <w:t xml:space="preserve">31 December </w:t>
      </w:r>
      <w:r w:rsidR="0044575F" w:rsidRPr="00E76A7F">
        <w:rPr>
          <w:sz w:val="20"/>
          <w:szCs w:val="20"/>
        </w:rPr>
        <w:t>201</w:t>
      </w:r>
      <w:r w:rsidR="00A45B53" w:rsidRPr="00E76A7F">
        <w:rPr>
          <w:sz w:val="20"/>
          <w:szCs w:val="20"/>
        </w:rPr>
        <w:t>4</w:t>
      </w:r>
      <w:r w:rsidR="0044575F" w:rsidRPr="00E76A7F">
        <w:rPr>
          <w:sz w:val="20"/>
          <w:szCs w:val="20"/>
        </w:rPr>
        <w:t>: None).</w:t>
      </w:r>
    </w:p>
    <w:p w14:paraId="0569FBAB" w14:textId="77777777" w:rsidR="00CA3352" w:rsidRPr="00604C75" w:rsidRDefault="00CA3352" w:rsidP="00224102">
      <w:pPr>
        <w:pStyle w:val="BodyTextIndent"/>
        <w:tabs>
          <w:tab w:val="left" w:pos="567"/>
          <w:tab w:val="left" w:pos="2127"/>
        </w:tabs>
        <w:spacing w:before="120" w:after="0" w:line="226" w:lineRule="auto"/>
        <w:ind w:left="1701" w:hanging="1701"/>
        <w:rPr>
          <w:bCs/>
          <w:noProof/>
          <w:sz w:val="20"/>
          <w:szCs w:val="20"/>
        </w:rPr>
      </w:pPr>
      <w:r w:rsidRPr="00604C75">
        <w:rPr>
          <w:sz w:val="20"/>
          <w:szCs w:val="20"/>
        </w:rPr>
        <w:t>9.</w:t>
      </w:r>
      <w:r w:rsidRPr="00604C75">
        <w:rPr>
          <w:sz w:val="20"/>
          <w:szCs w:val="20"/>
        </w:rPr>
        <w:tab/>
      </w:r>
      <w:r w:rsidRPr="00604C75">
        <w:rPr>
          <w:bCs/>
          <w:noProof/>
          <w:sz w:val="20"/>
          <w:szCs w:val="20"/>
        </w:rPr>
        <w:t>Specific pr</w:t>
      </w:r>
      <w:r w:rsidR="002720CF" w:rsidRPr="00604C75">
        <w:rPr>
          <w:bCs/>
          <w:noProof/>
          <w:sz w:val="20"/>
          <w:szCs w:val="20"/>
        </w:rPr>
        <w:t>ovisions provided against loans</w:t>
      </w:r>
    </w:p>
    <w:p w14:paraId="4DE88FDC" w14:textId="77777777" w:rsidR="00A66C54" w:rsidRPr="00604C75" w:rsidRDefault="00A66C54" w:rsidP="00A45B53">
      <w:pPr>
        <w:pStyle w:val="BodyTextIndent"/>
        <w:tabs>
          <w:tab w:val="left" w:pos="567"/>
          <w:tab w:val="left" w:pos="2127"/>
        </w:tabs>
        <w:spacing w:after="0" w:line="226" w:lineRule="auto"/>
        <w:ind w:left="1701" w:hanging="1701"/>
        <w:rPr>
          <w:sz w:val="20"/>
          <w:szCs w:val="20"/>
        </w:rPr>
      </w:pPr>
    </w:p>
    <w:tbl>
      <w:tblPr>
        <w:tblW w:w="939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90"/>
        <w:gridCol w:w="2169"/>
        <w:gridCol w:w="1834"/>
      </w:tblGrid>
      <w:tr w:rsidR="00CA3352" w:rsidRPr="00604C75" w14:paraId="548D24A9" w14:textId="77777777" w:rsidTr="00CD0767">
        <w:trPr>
          <w:trHeight w:val="219"/>
        </w:trPr>
        <w:tc>
          <w:tcPr>
            <w:tcW w:w="5390" w:type="dxa"/>
            <w:shd w:val="clear" w:color="auto" w:fill="FFFFFF"/>
            <w:vAlign w:val="bottom"/>
          </w:tcPr>
          <w:p w14:paraId="6DE3C25C" w14:textId="77777777" w:rsidR="00CA3352" w:rsidRPr="00604C75" w:rsidRDefault="00CA3352" w:rsidP="003E4C5E">
            <w:pPr>
              <w:spacing w:line="226" w:lineRule="auto"/>
              <w:rPr>
                <w:rFonts w:ascii="CG Times (WN)" w:hAnsi="CG Times (WN)"/>
                <w:sz w:val="18"/>
              </w:rPr>
            </w:pPr>
          </w:p>
        </w:tc>
        <w:tc>
          <w:tcPr>
            <w:tcW w:w="2169" w:type="dxa"/>
            <w:vAlign w:val="bottom"/>
          </w:tcPr>
          <w:p w14:paraId="55A442A6" w14:textId="77777777" w:rsidR="00CA3352" w:rsidRPr="00604C75" w:rsidRDefault="00547DD7" w:rsidP="00CD0767">
            <w:pPr>
              <w:spacing w:line="226" w:lineRule="auto"/>
              <w:ind w:right="56"/>
              <w:jc w:val="center"/>
              <w:rPr>
                <w:rFonts w:eastAsia="Arial Unicode MS"/>
                <w:b/>
                <w:bCs/>
                <w:sz w:val="18"/>
                <w:szCs w:val="18"/>
              </w:rPr>
            </w:pPr>
            <w:r w:rsidRPr="00DF0678">
              <w:rPr>
                <w:b/>
                <w:bCs/>
                <w:sz w:val="18"/>
                <w:szCs w:val="18"/>
              </w:rPr>
              <w:t>31 December</w:t>
            </w:r>
            <w:r w:rsidRPr="00604C75">
              <w:rPr>
                <w:b/>
                <w:bCs/>
                <w:lang w:val="tr-TR"/>
              </w:rPr>
              <w:t xml:space="preserve"> </w:t>
            </w:r>
            <w:r w:rsidRPr="00DF0678">
              <w:rPr>
                <w:b/>
                <w:bCs/>
                <w:sz w:val="18"/>
                <w:szCs w:val="18"/>
              </w:rPr>
              <w:t>2015</w:t>
            </w:r>
          </w:p>
        </w:tc>
        <w:tc>
          <w:tcPr>
            <w:tcW w:w="1834" w:type="dxa"/>
            <w:vAlign w:val="bottom"/>
          </w:tcPr>
          <w:p w14:paraId="199DC4A1" w14:textId="77777777" w:rsidR="00CA3352" w:rsidRPr="00604C75" w:rsidRDefault="00CA3352" w:rsidP="00CD0767">
            <w:pPr>
              <w:spacing w:line="226" w:lineRule="auto"/>
              <w:ind w:right="33"/>
              <w:jc w:val="center"/>
              <w:rPr>
                <w:rFonts w:eastAsia="Arial Unicode MS"/>
                <w:b/>
                <w:bCs/>
                <w:sz w:val="18"/>
                <w:szCs w:val="18"/>
              </w:rPr>
            </w:pPr>
            <w:r w:rsidRPr="00604C75">
              <w:rPr>
                <w:b/>
                <w:bCs/>
                <w:sz w:val="18"/>
                <w:szCs w:val="18"/>
              </w:rPr>
              <w:t>31 December 201</w:t>
            </w:r>
            <w:r w:rsidR="00A45B53" w:rsidRPr="00604C75">
              <w:rPr>
                <w:b/>
                <w:bCs/>
                <w:sz w:val="18"/>
                <w:szCs w:val="18"/>
              </w:rPr>
              <w:t>4</w:t>
            </w:r>
          </w:p>
        </w:tc>
      </w:tr>
      <w:tr w:rsidR="00224102" w:rsidRPr="00604C75" w14:paraId="72AE66AC" w14:textId="77777777" w:rsidTr="00AD726D">
        <w:trPr>
          <w:trHeight w:val="253"/>
        </w:trPr>
        <w:tc>
          <w:tcPr>
            <w:tcW w:w="5390" w:type="dxa"/>
            <w:shd w:val="clear" w:color="auto" w:fill="FFFFFF"/>
            <w:vAlign w:val="bottom"/>
          </w:tcPr>
          <w:p w14:paraId="45C44EDF" w14:textId="77777777" w:rsidR="00224102" w:rsidRPr="00604C75" w:rsidRDefault="00224102" w:rsidP="00224102">
            <w:pPr>
              <w:spacing w:line="226" w:lineRule="auto"/>
              <w:rPr>
                <w:noProof/>
                <w:sz w:val="18"/>
                <w:szCs w:val="18"/>
              </w:rPr>
            </w:pPr>
            <w:r w:rsidRPr="00604C75">
              <w:rPr>
                <w:noProof/>
                <w:sz w:val="18"/>
                <w:szCs w:val="18"/>
              </w:rPr>
              <w:t xml:space="preserve">Loans and Other Receivables with Limited Collectability </w:t>
            </w:r>
          </w:p>
        </w:tc>
        <w:tc>
          <w:tcPr>
            <w:tcW w:w="2169" w:type="dxa"/>
            <w:vAlign w:val="bottom"/>
          </w:tcPr>
          <w:p w14:paraId="171294EF" w14:textId="738A22C3" w:rsidR="00224102" w:rsidRDefault="00224102" w:rsidP="00224102">
            <w:pPr>
              <w:jc w:val="right"/>
              <w:rPr>
                <w:sz w:val="18"/>
                <w:szCs w:val="18"/>
              </w:rPr>
            </w:pPr>
            <w:r>
              <w:rPr>
                <w:sz w:val="18"/>
                <w:szCs w:val="18"/>
              </w:rPr>
              <w:t>14,376</w:t>
            </w:r>
          </w:p>
        </w:tc>
        <w:tc>
          <w:tcPr>
            <w:tcW w:w="1834" w:type="dxa"/>
            <w:vAlign w:val="bottom"/>
          </w:tcPr>
          <w:p w14:paraId="3EE85916" w14:textId="4CFCCF18" w:rsidR="00224102" w:rsidRPr="00692926" w:rsidRDefault="00224102" w:rsidP="00224102">
            <w:pPr>
              <w:tabs>
                <w:tab w:val="left" w:pos="0"/>
              </w:tabs>
              <w:jc w:val="right"/>
              <w:rPr>
                <w:sz w:val="18"/>
                <w:szCs w:val="18"/>
              </w:rPr>
            </w:pPr>
            <w:r w:rsidRPr="00692926">
              <w:rPr>
                <w:sz w:val="18"/>
                <w:szCs w:val="18"/>
              </w:rPr>
              <w:t>5,663</w:t>
            </w:r>
          </w:p>
        </w:tc>
      </w:tr>
      <w:tr w:rsidR="00224102" w:rsidRPr="00604C75" w14:paraId="2896653A" w14:textId="77777777" w:rsidTr="00AD726D">
        <w:trPr>
          <w:trHeight w:val="253"/>
        </w:trPr>
        <w:tc>
          <w:tcPr>
            <w:tcW w:w="5390" w:type="dxa"/>
            <w:shd w:val="clear" w:color="auto" w:fill="FFFFFF"/>
            <w:vAlign w:val="bottom"/>
          </w:tcPr>
          <w:p w14:paraId="27A5D1D7" w14:textId="77777777" w:rsidR="00224102" w:rsidRPr="00604C75" w:rsidRDefault="00224102" w:rsidP="00224102">
            <w:pPr>
              <w:spacing w:line="226" w:lineRule="auto"/>
              <w:rPr>
                <w:noProof/>
                <w:sz w:val="18"/>
                <w:szCs w:val="18"/>
              </w:rPr>
            </w:pPr>
            <w:r w:rsidRPr="00604C75">
              <w:rPr>
                <w:noProof/>
                <w:sz w:val="18"/>
                <w:szCs w:val="18"/>
              </w:rPr>
              <w:t>Loans and Other Receivables with Doubtful Collectability</w:t>
            </w:r>
          </w:p>
        </w:tc>
        <w:tc>
          <w:tcPr>
            <w:tcW w:w="2169" w:type="dxa"/>
            <w:vAlign w:val="bottom"/>
          </w:tcPr>
          <w:p w14:paraId="1F6FFA9A" w14:textId="6739E910" w:rsidR="00224102" w:rsidRDefault="00224102" w:rsidP="00224102">
            <w:pPr>
              <w:jc w:val="right"/>
              <w:rPr>
                <w:sz w:val="18"/>
                <w:szCs w:val="18"/>
              </w:rPr>
            </w:pPr>
            <w:r>
              <w:rPr>
                <w:sz w:val="18"/>
                <w:szCs w:val="18"/>
              </w:rPr>
              <w:t>47,781</w:t>
            </w:r>
          </w:p>
        </w:tc>
        <w:tc>
          <w:tcPr>
            <w:tcW w:w="1834" w:type="dxa"/>
            <w:vAlign w:val="bottom"/>
          </w:tcPr>
          <w:p w14:paraId="25EDA317" w14:textId="5932F912" w:rsidR="00224102" w:rsidRPr="00692926" w:rsidRDefault="00224102" w:rsidP="00224102">
            <w:pPr>
              <w:tabs>
                <w:tab w:val="left" w:pos="0"/>
              </w:tabs>
              <w:jc w:val="right"/>
              <w:rPr>
                <w:sz w:val="18"/>
                <w:szCs w:val="18"/>
              </w:rPr>
            </w:pPr>
            <w:r w:rsidRPr="00692926">
              <w:rPr>
                <w:sz w:val="18"/>
                <w:szCs w:val="18"/>
              </w:rPr>
              <w:t>45,005</w:t>
            </w:r>
          </w:p>
        </w:tc>
      </w:tr>
      <w:tr w:rsidR="00224102" w:rsidRPr="00604C75" w14:paraId="25EE04EC" w14:textId="77777777" w:rsidTr="00AD726D">
        <w:trPr>
          <w:trHeight w:val="253"/>
        </w:trPr>
        <w:tc>
          <w:tcPr>
            <w:tcW w:w="5390" w:type="dxa"/>
            <w:shd w:val="clear" w:color="auto" w:fill="FFFFFF"/>
            <w:vAlign w:val="bottom"/>
          </w:tcPr>
          <w:p w14:paraId="2CB61A91" w14:textId="77777777" w:rsidR="00224102" w:rsidRPr="00604C75" w:rsidRDefault="00224102" w:rsidP="00224102">
            <w:pPr>
              <w:spacing w:line="226" w:lineRule="auto"/>
              <w:rPr>
                <w:noProof/>
                <w:sz w:val="18"/>
                <w:szCs w:val="18"/>
              </w:rPr>
            </w:pPr>
            <w:r w:rsidRPr="00604C75">
              <w:rPr>
                <w:noProof/>
                <w:sz w:val="18"/>
                <w:szCs w:val="18"/>
              </w:rPr>
              <w:t>Uncollectible Loans and Other Receivables</w:t>
            </w:r>
          </w:p>
        </w:tc>
        <w:tc>
          <w:tcPr>
            <w:tcW w:w="2169" w:type="dxa"/>
            <w:vAlign w:val="bottom"/>
          </w:tcPr>
          <w:p w14:paraId="612604DD" w14:textId="3049D913" w:rsidR="00224102" w:rsidRDefault="00224102" w:rsidP="00224102">
            <w:pPr>
              <w:jc w:val="right"/>
              <w:rPr>
                <w:sz w:val="18"/>
                <w:szCs w:val="18"/>
              </w:rPr>
            </w:pPr>
            <w:r>
              <w:rPr>
                <w:sz w:val="18"/>
                <w:szCs w:val="18"/>
              </w:rPr>
              <w:t>219,343</w:t>
            </w:r>
          </w:p>
        </w:tc>
        <w:tc>
          <w:tcPr>
            <w:tcW w:w="1834" w:type="dxa"/>
            <w:vAlign w:val="bottom"/>
          </w:tcPr>
          <w:p w14:paraId="0A958A79" w14:textId="1A3738AC" w:rsidR="00224102" w:rsidRPr="00692926" w:rsidRDefault="00224102" w:rsidP="00224102">
            <w:pPr>
              <w:tabs>
                <w:tab w:val="left" w:pos="0"/>
              </w:tabs>
              <w:jc w:val="right"/>
              <w:rPr>
                <w:sz w:val="18"/>
                <w:szCs w:val="18"/>
              </w:rPr>
            </w:pPr>
            <w:r w:rsidRPr="00692926">
              <w:rPr>
                <w:sz w:val="18"/>
                <w:szCs w:val="18"/>
              </w:rPr>
              <w:t>218,575</w:t>
            </w:r>
          </w:p>
        </w:tc>
      </w:tr>
      <w:tr w:rsidR="00224102" w:rsidRPr="00604C75" w14:paraId="0CA067BE" w14:textId="77777777" w:rsidTr="00AD726D">
        <w:trPr>
          <w:trHeight w:val="253"/>
        </w:trPr>
        <w:tc>
          <w:tcPr>
            <w:tcW w:w="5390" w:type="dxa"/>
            <w:shd w:val="clear" w:color="auto" w:fill="FFFFFF"/>
            <w:vAlign w:val="bottom"/>
          </w:tcPr>
          <w:p w14:paraId="373F97B8" w14:textId="77777777" w:rsidR="00224102" w:rsidRPr="00604C75" w:rsidRDefault="00224102" w:rsidP="00224102">
            <w:pPr>
              <w:pStyle w:val="Heading9"/>
              <w:rPr>
                <w:szCs w:val="24"/>
              </w:rPr>
            </w:pPr>
            <w:r w:rsidRPr="00604C75">
              <w:rPr>
                <w:szCs w:val="24"/>
              </w:rPr>
              <w:t>Total</w:t>
            </w:r>
          </w:p>
        </w:tc>
        <w:tc>
          <w:tcPr>
            <w:tcW w:w="2169" w:type="dxa"/>
            <w:vAlign w:val="bottom"/>
          </w:tcPr>
          <w:p w14:paraId="1DAC3A59" w14:textId="52781DA6" w:rsidR="00224102" w:rsidRPr="008E67A2" w:rsidRDefault="00224102" w:rsidP="00224102">
            <w:pPr>
              <w:jc w:val="right"/>
              <w:rPr>
                <w:b/>
                <w:sz w:val="18"/>
                <w:szCs w:val="18"/>
              </w:rPr>
            </w:pPr>
            <w:r w:rsidRPr="008E67A2">
              <w:rPr>
                <w:b/>
                <w:sz w:val="18"/>
                <w:szCs w:val="18"/>
              </w:rPr>
              <w:t>281,500</w:t>
            </w:r>
          </w:p>
        </w:tc>
        <w:tc>
          <w:tcPr>
            <w:tcW w:w="1834" w:type="dxa"/>
            <w:vAlign w:val="bottom"/>
          </w:tcPr>
          <w:p w14:paraId="73472D43" w14:textId="20A2250F" w:rsidR="00224102" w:rsidRPr="00692926" w:rsidRDefault="00224102" w:rsidP="00224102">
            <w:pPr>
              <w:tabs>
                <w:tab w:val="left" w:pos="0"/>
              </w:tabs>
              <w:jc w:val="right"/>
              <w:rPr>
                <w:b/>
                <w:sz w:val="18"/>
                <w:szCs w:val="18"/>
              </w:rPr>
            </w:pPr>
            <w:r w:rsidRPr="00692926">
              <w:rPr>
                <w:b/>
                <w:sz w:val="18"/>
                <w:szCs w:val="18"/>
              </w:rPr>
              <w:t>269,243</w:t>
            </w:r>
          </w:p>
        </w:tc>
      </w:tr>
    </w:tbl>
    <w:p w14:paraId="445F5DC2" w14:textId="77777777" w:rsidR="0044575F" w:rsidRPr="00604C75" w:rsidRDefault="0044575F" w:rsidP="00224102">
      <w:pPr>
        <w:pStyle w:val="BodyTextIndent"/>
        <w:tabs>
          <w:tab w:val="left" w:pos="567"/>
          <w:tab w:val="left" w:pos="2127"/>
        </w:tabs>
        <w:spacing w:before="120" w:after="0"/>
        <w:ind w:left="0"/>
        <w:rPr>
          <w:sz w:val="20"/>
          <w:szCs w:val="20"/>
        </w:rPr>
      </w:pPr>
      <w:r w:rsidRPr="00604C75">
        <w:rPr>
          <w:sz w:val="20"/>
          <w:szCs w:val="20"/>
        </w:rPr>
        <w:t>10.</w:t>
      </w:r>
      <w:r w:rsidRPr="00604C75">
        <w:rPr>
          <w:sz w:val="20"/>
          <w:szCs w:val="20"/>
        </w:rPr>
        <w:tab/>
      </w:r>
      <w:r w:rsidRPr="00604C75">
        <w:rPr>
          <w:bCs/>
          <w:noProof/>
          <w:sz w:val="20"/>
          <w:szCs w:val="20"/>
        </w:rPr>
        <w:t>Information on non-performing loans (Net)</w:t>
      </w:r>
    </w:p>
    <w:p w14:paraId="2CADF883" w14:textId="77777777" w:rsidR="0044575F" w:rsidRPr="00604C75" w:rsidRDefault="0044575F" w:rsidP="00224102">
      <w:pPr>
        <w:pStyle w:val="BodyTextIndent"/>
        <w:tabs>
          <w:tab w:val="left" w:pos="1276"/>
        </w:tabs>
        <w:spacing w:before="120" w:after="0"/>
        <w:ind w:left="567" w:hanging="567"/>
        <w:rPr>
          <w:sz w:val="20"/>
          <w:szCs w:val="20"/>
        </w:rPr>
      </w:pPr>
      <w:r w:rsidRPr="00604C75">
        <w:rPr>
          <w:sz w:val="20"/>
          <w:szCs w:val="20"/>
        </w:rPr>
        <w:t>10</w:t>
      </w:r>
      <w:proofErr w:type="gramStart"/>
      <w:r w:rsidRPr="00604C75">
        <w:rPr>
          <w:sz w:val="20"/>
          <w:szCs w:val="20"/>
        </w:rPr>
        <w:t>.(</w:t>
      </w:r>
      <w:proofErr w:type="gramEnd"/>
      <w:r w:rsidRPr="00604C75">
        <w:rPr>
          <w:sz w:val="20"/>
          <w:szCs w:val="20"/>
        </w:rPr>
        <w:t>i).</w:t>
      </w:r>
      <w:r w:rsidRPr="00604C75">
        <w:rPr>
          <w:sz w:val="20"/>
          <w:szCs w:val="20"/>
        </w:rPr>
        <w:tab/>
      </w:r>
      <w:r w:rsidRPr="00604C75">
        <w:rPr>
          <w:noProof/>
          <w:sz w:val="20"/>
          <w:szCs w:val="20"/>
        </w:rPr>
        <w:t>Information on non-performing loans restructured or rescheduled and other receivables</w:t>
      </w:r>
    </w:p>
    <w:p w14:paraId="509A45A6" w14:textId="77777777" w:rsidR="007E3645" w:rsidRPr="00604C75" w:rsidRDefault="004667B4" w:rsidP="00224102">
      <w:pPr>
        <w:pStyle w:val="BodyTextIndent"/>
        <w:tabs>
          <w:tab w:val="left" w:pos="0"/>
        </w:tabs>
        <w:spacing w:before="120"/>
        <w:ind w:left="0"/>
        <w:rPr>
          <w:sz w:val="20"/>
          <w:szCs w:val="20"/>
        </w:rPr>
      </w:pPr>
      <w:r w:rsidRPr="00742556">
        <w:rPr>
          <w:sz w:val="20"/>
          <w:szCs w:val="20"/>
        </w:rPr>
        <w:t>Group has no non</w:t>
      </w:r>
      <w:r w:rsidR="005E6556" w:rsidRPr="00742556">
        <w:rPr>
          <w:sz w:val="20"/>
          <w:szCs w:val="20"/>
        </w:rPr>
        <w:t>-</w:t>
      </w:r>
      <w:r w:rsidRPr="00742556">
        <w:rPr>
          <w:sz w:val="20"/>
          <w:szCs w:val="20"/>
        </w:rPr>
        <w:t xml:space="preserve">performing loans </w:t>
      </w:r>
      <w:r w:rsidRPr="00742556">
        <w:rPr>
          <w:noProof/>
          <w:sz w:val="20"/>
          <w:szCs w:val="20"/>
        </w:rPr>
        <w:t>restructured or rescheduled and other receivables</w:t>
      </w:r>
      <w:r w:rsidRPr="00742556">
        <w:rPr>
          <w:sz w:val="20"/>
          <w:szCs w:val="20"/>
        </w:rPr>
        <w:t xml:space="preserve"> a</w:t>
      </w:r>
      <w:r w:rsidR="00F51CB2" w:rsidRPr="00742556">
        <w:rPr>
          <w:sz w:val="20"/>
          <w:szCs w:val="20"/>
        </w:rPr>
        <w:t>s of 3</w:t>
      </w:r>
      <w:r w:rsidR="000B0BF1">
        <w:rPr>
          <w:sz w:val="20"/>
          <w:szCs w:val="20"/>
        </w:rPr>
        <w:t>1</w:t>
      </w:r>
      <w:r w:rsidR="00F51CB2" w:rsidRPr="00742556">
        <w:rPr>
          <w:sz w:val="20"/>
          <w:szCs w:val="20"/>
        </w:rPr>
        <w:t xml:space="preserve"> </w:t>
      </w:r>
      <w:r w:rsidR="000B0BF1">
        <w:rPr>
          <w:sz w:val="20"/>
          <w:szCs w:val="20"/>
        </w:rPr>
        <w:t>December</w:t>
      </w:r>
      <w:r w:rsidR="000B0BF1" w:rsidRPr="00742556">
        <w:rPr>
          <w:sz w:val="20"/>
          <w:szCs w:val="20"/>
        </w:rPr>
        <w:t xml:space="preserve"> </w:t>
      </w:r>
      <w:r w:rsidR="00FB2402" w:rsidRPr="00742556">
        <w:rPr>
          <w:sz w:val="20"/>
          <w:szCs w:val="20"/>
        </w:rPr>
        <w:t>2015 (31 December 2014: None).</w:t>
      </w:r>
    </w:p>
    <w:p w14:paraId="496EBFAE" w14:textId="77777777" w:rsidR="0044575F" w:rsidRPr="00604C75" w:rsidRDefault="0044575F" w:rsidP="00224102">
      <w:pPr>
        <w:pStyle w:val="BodyTextIndent"/>
        <w:tabs>
          <w:tab w:val="left" w:pos="2552"/>
        </w:tabs>
        <w:spacing w:before="120" w:after="0"/>
        <w:ind w:left="567" w:hanging="567"/>
        <w:rPr>
          <w:noProof/>
          <w:sz w:val="20"/>
          <w:szCs w:val="20"/>
        </w:rPr>
      </w:pPr>
      <w:r w:rsidRPr="00604C75">
        <w:rPr>
          <w:sz w:val="20"/>
          <w:szCs w:val="20"/>
        </w:rPr>
        <w:t>10</w:t>
      </w:r>
      <w:proofErr w:type="gramStart"/>
      <w:r w:rsidRPr="00604C75">
        <w:rPr>
          <w:sz w:val="20"/>
          <w:szCs w:val="20"/>
        </w:rPr>
        <w:t>.(</w:t>
      </w:r>
      <w:proofErr w:type="gramEnd"/>
      <w:r w:rsidRPr="00604C75">
        <w:rPr>
          <w:sz w:val="20"/>
          <w:szCs w:val="20"/>
        </w:rPr>
        <w:t>ii).</w:t>
      </w:r>
      <w:r w:rsidRPr="00604C75">
        <w:rPr>
          <w:sz w:val="20"/>
          <w:szCs w:val="20"/>
        </w:rPr>
        <w:tab/>
      </w:r>
      <w:r w:rsidRPr="00604C75">
        <w:rPr>
          <w:noProof/>
          <w:sz w:val="20"/>
          <w:szCs w:val="20"/>
        </w:rPr>
        <w:t>Information on the movement of total non-</w:t>
      </w:r>
      <w:r w:rsidR="00B248EC" w:rsidRPr="00604C75">
        <w:rPr>
          <w:noProof/>
          <w:sz w:val="20"/>
          <w:szCs w:val="20"/>
        </w:rPr>
        <w:t>performing loans</w:t>
      </w:r>
    </w:p>
    <w:p w14:paraId="38BC4FE7" w14:textId="77777777" w:rsidR="00A70EDF" w:rsidRPr="00604C75" w:rsidRDefault="00A70EDF" w:rsidP="00B248EC">
      <w:pPr>
        <w:pStyle w:val="BodyTextIndent"/>
        <w:tabs>
          <w:tab w:val="left" w:pos="2552"/>
        </w:tabs>
        <w:spacing w:after="0"/>
        <w:ind w:left="567" w:hanging="567"/>
        <w:rPr>
          <w:sz w:val="20"/>
          <w:szCs w:val="20"/>
        </w:rPr>
      </w:pPr>
    </w:p>
    <w:tbl>
      <w:tblPr>
        <w:tblW w:w="963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918"/>
        <w:gridCol w:w="1821"/>
        <w:gridCol w:w="1491"/>
        <w:gridCol w:w="1401"/>
      </w:tblGrid>
      <w:tr w:rsidR="0044575F" w:rsidRPr="00604C75" w14:paraId="5385173A" w14:textId="77777777" w:rsidTr="00157F3D">
        <w:trPr>
          <w:cantSplit/>
          <w:trHeight w:val="230"/>
        </w:trPr>
        <w:tc>
          <w:tcPr>
            <w:tcW w:w="4918" w:type="dxa"/>
            <w:vMerge w:val="restart"/>
            <w:shd w:val="clear" w:color="auto" w:fill="FFFFFF"/>
            <w:vAlign w:val="bottom"/>
          </w:tcPr>
          <w:p w14:paraId="2B5214A8" w14:textId="77777777" w:rsidR="0044575F" w:rsidRPr="00604C75" w:rsidRDefault="0044575F" w:rsidP="00C22AF8">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604C75">
              <w:rPr>
                <w:rFonts w:eastAsia="Times New Roman"/>
              </w:rPr>
              <w:t> </w:t>
            </w:r>
          </w:p>
        </w:tc>
        <w:tc>
          <w:tcPr>
            <w:tcW w:w="1821" w:type="dxa"/>
            <w:shd w:val="clear" w:color="auto" w:fill="FFFFFF"/>
            <w:vAlign w:val="bottom"/>
          </w:tcPr>
          <w:p w14:paraId="06EF2C4E" w14:textId="77777777" w:rsidR="0044575F" w:rsidRPr="00604C75" w:rsidRDefault="0044575F" w:rsidP="00877CBD">
            <w:pPr>
              <w:ind w:right="26"/>
              <w:jc w:val="center"/>
              <w:rPr>
                <w:rFonts w:eastAsia="Arial Unicode MS"/>
                <w:b/>
                <w:bCs/>
                <w:sz w:val="18"/>
              </w:rPr>
            </w:pPr>
            <w:r w:rsidRPr="00604C75">
              <w:rPr>
                <w:b/>
                <w:noProof/>
                <w:sz w:val="18"/>
                <w:szCs w:val="18"/>
              </w:rPr>
              <w:t>III. Group</w:t>
            </w:r>
          </w:p>
        </w:tc>
        <w:tc>
          <w:tcPr>
            <w:tcW w:w="1491" w:type="dxa"/>
            <w:shd w:val="clear" w:color="auto" w:fill="FFFFFF"/>
            <w:vAlign w:val="bottom"/>
          </w:tcPr>
          <w:p w14:paraId="20835373" w14:textId="77777777" w:rsidR="0044575F" w:rsidRPr="00604C75" w:rsidRDefault="0044575F" w:rsidP="00877CBD">
            <w:pPr>
              <w:ind w:right="26"/>
              <w:jc w:val="center"/>
              <w:rPr>
                <w:rFonts w:eastAsia="Arial Unicode MS"/>
                <w:b/>
                <w:bCs/>
                <w:sz w:val="18"/>
              </w:rPr>
            </w:pPr>
            <w:r w:rsidRPr="00604C75">
              <w:rPr>
                <w:b/>
                <w:noProof/>
                <w:sz w:val="18"/>
                <w:szCs w:val="18"/>
              </w:rPr>
              <w:t>IV. Group</w:t>
            </w:r>
          </w:p>
        </w:tc>
        <w:tc>
          <w:tcPr>
            <w:tcW w:w="1401" w:type="dxa"/>
            <w:shd w:val="clear" w:color="auto" w:fill="FFFFFF"/>
            <w:vAlign w:val="bottom"/>
          </w:tcPr>
          <w:p w14:paraId="69253592" w14:textId="77777777" w:rsidR="0044575F" w:rsidRPr="00604C75" w:rsidRDefault="0044575F" w:rsidP="00877CBD">
            <w:pPr>
              <w:ind w:right="26"/>
              <w:jc w:val="center"/>
              <w:rPr>
                <w:rFonts w:eastAsia="Arial Unicode MS"/>
                <w:b/>
                <w:bCs/>
                <w:sz w:val="18"/>
              </w:rPr>
            </w:pPr>
            <w:r w:rsidRPr="00604C75">
              <w:rPr>
                <w:b/>
                <w:noProof/>
                <w:sz w:val="18"/>
                <w:szCs w:val="18"/>
              </w:rPr>
              <w:t>V. Group</w:t>
            </w:r>
          </w:p>
        </w:tc>
      </w:tr>
      <w:tr w:rsidR="0044575F" w:rsidRPr="00604C75" w14:paraId="3C6CD2CC" w14:textId="77777777" w:rsidTr="00157F3D">
        <w:trPr>
          <w:cantSplit/>
          <w:trHeight w:val="506"/>
        </w:trPr>
        <w:tc>
          <w:tcPr>
            <w:tcW w:w="4918" w:type="dxa"/>
            <w:vMerge/>
            <w:vAlign w:val="bottom"/>
          </w:tcPr>
          <w:p w14:paraId="33D8E935" w14:textId="77777777" w:rsidR="0044575F" w:rsidRPr="00604C75" w:rsidRDefault="0044575F" w:rsidP="00C22AF8">
            <w:pPr>
              <w:rPr>
                <w:rFonts w:eastAsia="Arial Unicode MS"/>
                <w:sz w:val="18"/>
              </w:rPr>
            </w:pPr>
          </w:p>
        </w:tc>
        <w:tc>
          <w:tcPr>
            <w:tcW w:w="1821" w:type="dxa"/>
            <w:shd w:val="clear" w:color="auto" w:fill="FFFFFF"/>
            <w:vAlign w:val="bottom"/>
          </w:tcPr>
          <w:p w14:paraId="237767A1" w14:textId="77777777" w:rsidR="0044575F" w:rsidRPr="00604C75" w:rsidRDefault="0044575F" w:rsidP="00877CBD">
            <w:pPr>
              <w:ind w:right="28"/>
              <w:jc w:val="center"/>
              <w:rPr>
                <w:rFonts w:eastAsia="Arial Unicode MS"/>
                <w:b/>
                <w:bCs/>
                <w:iCs/>
                <w:noProof/>
                <w:sz w:val="18"/>
                <w:szCs w:val="16"/>
              </w:rPr>
            </w:pPr>
            <w:r w:rsidRPr="00604C75">
              <w:rPr>
                <w:rFonts w:eastAsia="Arial Unicode MS"/>
                <w:b/>
                <w:bCs/>
                <w:noProof/>
                <w:sz w:val="18"/>
                <w:szCs w:val="18"/>
              </w:rPr>
              <w:t>Loans and other receivables with limited collectability</w:t>
            </w:r>
          </w:p>
        </w:tc>
        <w:tc>
          <w:tcPr>
            <w:tcW w:w="1491" w:type="dxa"/>
            <w:shd w:val="clear" w:color="auto" w:fill="FFFFFF"/>
            <w:vAlign w:val="bottom"/>
          </w:tcPr>
          <w:p w14:paraId="36CF4901" w14:textId="77777777" w:rsidR="0044575F" w:rsidRPr="00604C75" w:rsidRDefault="0044575F" w:rsidP="00877CBD">
            <w:pPr>
              <w:ind w:right="28"/>
              <w:jc w:val="center"/>
              <w:rPr>
                <w:rFonts w:eastAsia="Arial Unicode MS"/>
                <w:b/>
                <w:bCs/>
                <w:noProof/>
                <w:sz w:val="18"/>
                <w:szCs w:val="18"/>
              </w:rPr>
            </w:pPr>
            <w:r w:rsidRPr="00604C75">
              <w:rPr>
                <w:rFonts w:eastAsia="Arial Unicode MS"/>
                <w:b/>
                <w:bCs/>
                <w:noProof/>
                <w:sz w:val="18"/>
                <w:szCs w:val="18"/>
              </w:rPr>
              <w:t>Loans and other receivables with doubtful collectability</w:t>
            </w:r>
          </w:p>
        </w:tc>
        <w:tc>
          <w:tcPr>
            <w:tcW w:w="1401" w:type="dxa"/>
            <w:shd w:val="clear" w:color="auto" w:fill="FFFFFF"/>
            <w:vAlign w:val="bottom"/>
          </w:tcPr>
          <w:p w14:paraId="49308A13" w14:textId="77777777" w:rsidR="0044575F" w:rsidRPr="00604C75" w:rsidRDefault="0044575F" w:rsidP="00877CBD">
            <w:pPr>
              <w:ind w:right="26"/>
              <w:jc w:val="center"/>
              <w:rPr>
                <w:rFonts w:eastAsia="Arial Unicode MS"/>
                <w:b/>
                <w:bCs/>
                <w:noProof/>
                <w:sz w:val="18"/>
                <w:szCs w:val="18"/>
              </w:rPr>
            </w:pPr>
            <w:r w:rsidRPr="00604C75">
              <w:rPr>
                <w:rFonts w:eastAsia="Arial Unicode MS"/>
                <w:b/>
                <w:bCs/>
                <w:noProof/>
                <w:sz w:val="18"/>
                <w:szCs w:val="18"/>
              </w:rPr>
              <w:t>Uncollectible</w:t>
            </w:r>
          </w:p>
          <w:p w14:paraId="662DC527" w14:textId="77777777" w:rsidR="0044575F" w:rsidRPr="00604C75" w:rsidRDefault="0044575F" w:rsidP="00877CBD">
            <w:pPr>
              <w:ind w:right="26"/>
              <w:jc w:val="center"/>
              <w:rPr>
                <w:rFonts w:eastAsia="Arial Unicode MS"/>
                <w:b/>
                <w:bCs/>
                <w:noProof/>
                <w:sz w:val="18"/>
                <w:szCs w:val="18"/>
              </w:rPr>
            </w:pPr>
            <w:r w:rsidRPr="00604C75">
              <w:rPr>
                <w:rFonts w:eastAsia="Arial Unicode MS"/>
                <w:b/>
                <w:bCs/>
                <w:noProof/>
                <w:sz w:val="18"/>
                <w:szCs w:val="18"/>
              </w:rPr>
              <w:t>loans and</w:t>
            </w:r>
          </w:p>
          <w:p w14:paraId="04F16999" w14:textId="77777777" w:rsidR="0044575F" w:rsidRPr="00604C75" w:rsidRDefault="0044575F" w:rsidP="00877CBD">
            <w:pPr>
              <w:ind w:right="28"/>
              <w:jc w:val="center"/>
              <w:rPr>
                <w:rFonts w:eastAsia="Arial Unicode MS"/>
                <w:b/>
                <w:bCs/>
                <w:iCs/>
                <w:noProof/>
                <w:sz w:val="18"/>
                <w:szCs w:val="16"/>
              </w:rPr>
            </w:pPr>
            <w:r w:rsidRPr="00604C75">
              <w:rPr>
                <w:rFonts w:eastAsia="Arial Unicode MS"/>
                <w:b/>
                <w:bCs/>
                <w:noProof/>
                <w:sz w:val="18"/>
                <w:szCs w:val="18"/>
              </w:rPr>
              <w:t>other receivables</w:t>
            </w:r>
          </w:p>
        </w:tc>
      </w:tr>
      <w:tr w:rsidR="00224102" w:rsidRPr="00604C75" w14:paraId="08F129F9" w14:textId="77777777" w:rsidTr="00157F3D">
        <w:trPr>
          <w:trHeight w:val="193"/>
        </w:trPr>
        <w:tc>
          <w:tcPr>
            <w:tcW w:w="4918" w:type="dxa"/>
            <w:shd w:val="clear" w:color="auto" w:fill="FFFFFF"/>
            <w:vAlign w:val="bottom"/>
          </w:tcPr>
          <w:p w14:paraId="60687310" w14:textId="77777777" w:rsidR="00224102" w:rsidRPr="00604C75" w:rsidRDefault="00224102" w:rsidP="00224102">
            <w:pPr>
              <w:rPr>
                <w:rFonts w:eastAsia="Arial Unicode MS"/>
                <w:b/>
                <w:bCs/>
                <w:sz w:val="18"/>
              </w:rPr>
            </w:pPr>
            <w:r w:rsidRPr="00604C75">
              <w:rPr>
                <w:b/>
                <w:iCs/>
                <w:sz w:val="18"/>
              </w:rPr>
              <w:t>31 December 2014</w:t>
            </w:r>
          </w:p>
        </w:tc>
        <w:tc>
          <w:tcPr>
            <w:tcW w:w="1821" w:type="dxa"/>
            <w:vAlign w:val="bottom"/>
          </w:tcPr>
          <w:p w14:paraId="2213145E" w14:textId="1CD9CD80" w:rsidR="00224102" w:rsidRPr="00692926" w:rsidRDefault="00224102" w:rsidP="00157F3D">
            <w:pPr>
              <w:ind w:right="64"/>
              <w:jc w:val="right"/>
              <w:rPr>
                <w:b/>
                <w:sz w:val="18"/>
                <w:szCs w:val="18"/>
              </w:rPr>
            </w:pPr>
            <w:r w:rsidRPr="00692926">
              <w:rPr>
                <w:b/>
                <w:sz w:val="18"/>
                <w:szCs w:val="18"/>
              </w:rPr>
              <w:t>42,408</w:t>
            </w:r>
          </w:p>
        </w:tc>
        <w:tc>
          <w:tcPr>
            <w:tcW w:w="1491" w:type="dxa"/>
            <w:vAlign w:val="bottom"/>
          </w:tcPr>
          <w:p w14:paraId="51010EAC" w14:textId="18796FA2" w:rsidR="00224102" w:rsidRPr="00692926" w:rsidRDefault="00224102" w:rsidP="00157F3D">
            <w:pPr>
              <w:ind w:right="64"/>
              <w:jc w:val="right"/>
              <w:rPr>
                <w:b/>
                <w:sz w:val="18"/>
                <w:szCs w:val="18"/>
              </w:rPr>
            </w:pPr>
            <w:r w:rsidRPr="00692926">
              <w:rPr>
                <w:b/>
                <w:sz w:val="18"/>
                <w:szCs w:val="18"/>
              </w:rPr>
              <w:t>113,503</w:t>
            </w:r>
          </w:p>
        </w:tc>
        <w:tc>
          <w:tcPr>
            <w:tcW w:w="1401" w:type="dxa"/>
            <w:vAlign w:val="bottom"/>
          </w:tcPr>
          <w:p w14:paraId="309CC2FD" w14:textId="23BBA384" w:rsidR="00224102" w:rsidRPr="00692926" w:rsidRDefault="00224102" w:rsidP="00157F3D">
            <w:pPr>
              <w:ind w:right="64"/>
              <w:jc w:val="right"/>
              <w:rPr>
                <w:b/>
                <w:sz w:val="18"/>
                <w:szCs w:val="18"/>
              </w:rPr>
            </w:pPr>
            <w:r w:rsidRPr="00692926">
              <w:rPr>
                <w:b/>
                <w:sz w:val="18"/>
                <w:szCs w:val="18"/>
              </w:rPr>
              <w:t>284,962</w:t>
            </w:r>
          </w:p>
        </w:tc>
      </w:tr>
      <w:tr w:rsidR="00224102" w:rsidRPr="00604C75" w14:paraId="5D162087" w14:textId="77777777" w:rsidTr="00157F3D">
        <w:trPr>
          <w:trHeight w:val="230"/>
        </w:trPr>
        <w:tc>
          <w:tcPr>
            <w:tcW w:w="4918" w:type="dxa"/>
            <w:shd w:val="clear" w:color="auto" w:fill="FFFFFF"/>
            <w:vAlign w:val="bottom"/>
          </w:tcPr>
          <w:p w14:paraId="26E3E291" w14:textId="77777777" w:rsidR="00224102" w:rsidRPr="00604C75" w:rsidRDefault="00224102" w:rsidP="00224102">
            <w:pPr>
              <w:ind w:left="180"/>
              <w:rPr>
                <w:rFonts w:eastAsia="Arial Unicode MS"/>
                <w:sz w:val="18"/>
              </w:rPr>
            </w:pPr>
            <w:r w:rsidRPr="00604C75">
              <w:rPr>
                <w:noProof/>
                <w:sz w:val="18"/>
                <w:szCs w:val="18"/>
              </w:rPr>
              <w:t>Addition</w:t>
            </w:r>
            <w:r w:rsidRPr="00604C75">
              <w:rPr>
                <w:sz w:val="18"/>
              </w:rPr>
              <w:t xml:space="preserve"> (+)</w:t>
            </w:r>
          </w:p>
        </w:tc>
        <w:tc>
          <w:tcPr>
            <w:tcW w:w="1821" w:type="dxa"/>
            <w:vAlign w:val="bottom"/>
          </w:tcPr>
          <w:p w14:paraId="0F77957E" w14:textId="0022BA98" w:rsidR="00224102" w:rsidRDefault="00224102" w:rsidP="00157F3D">
            <w:pPr>
              <w:ind w:right="64"/>
              <w:jc w:val="right"/>
              <w:rPr>
                <w:sz w:val="18"/>
                <w:szCs w:val="18"/>
              </w:rPr>
            </w:pPr>
            <w:r>
              <w:rPr>
                <w:sz w:val="18"/>
                <w:szCs w:val="18"/>
              </w:rPr>
              <w:t>303,583</w:t>
            </w:r>
          </w:p>
        </w:tc>
        <w:tc>
          <w:tcPr>
            <w:tcW w:w="1491" w:type="dxa"/>
            <w:vAlign w:val="bottom"/>
          </w:tcPr>
          <w:p w14:paraId="79AEBAD1" w14:textId="41664733" w:rsidR="00224102" w:rsidRDefault="00224102" w:rsidP="00157F3D">
            <w:pPr>
              <w:ind w:right="64"/>
              <w:jc w:val="right"/>
              <w:rPr>
                <w:sz w:val="18"/>
                <w:szCs w:val="18"/>
              </w:rPr>
            </w:pPr>
            <w:r>
              <w:rPr>
                <w:sz w:val="18"/>
                <w:szCs w:val="18"/>
              </w:rPr>
              <w:t>9,823</w:t>
            </w:r>
          </w:p>
        </w:tc>
        <w:tc>
          <w:tcPr>
            <w:tcW w:w="1401" w:type="dxa"/>
            <w:vAlign w:val="bottom"/>
          </w:tcPr>
          <w:p w14:paraId="3F41DF09" w14:textId="4DE5D041" w:rsidR="00224102" w:rsidRDefault="00224102" w:rsidP="00157F3D">
            <w:pPr>
              <w:ind w:right="64"/>
              <w:jc w:val="right"/>
              <w:rPr>
                <w:sz w:val="18"/>
                <w:szCs w:val="18"/>
              </w:rPr>
            </w:pPr>
            <w:r>
              <w:rPr>
                <w:sz w:val="18"/>
                <w:szCs w:val="18"/>
              </w:rPr>
              <w:t>8,990</w:t>
            </w:r>
          </w:p>
        </w:tc>
      </w:tr>
      <w:tr w:rsidR="00224102" w:rsidRPr="00604C75" w14:paraId="4AA557DF" w14:textId="77777777" w:rsidTr="00157F3D">
        <w:trPr>
          <w:trHeight w:val="230"/>
        </w:trPr>
        <w:tc>
          <w:tcPr>
            <w:tcW w:w="4918" w:type="dxa"/>
            <w:shd w:val="clear" w:color="auto" w:fill="FFFFFF"/>
            <w:vAlign w:val="bottom"/>
          </w:tcPr>
          <w:p w14:paraId="34EAC717" w14:textId="77777777" w:rsidR="00224102" w:rsidRPr="00604C75" w:rsidRDefault="00224102" w:rsidP="00224102">
            <w:pPr>
              <w:ind w:left="180"/>
              <w:rPr>
                <w:rFonts w:eastAsia="Arial Unicode MS"/>
                <w:sz w:val="18"/>
              </w:rPr>
            </w:pPr>
            <w:r w:rsidRPr="00604C75">
              <w:rPr>
                <w:noProof/>
                <w:sz w:val="18"/>
                <w:szCs w:val="18"/>
              </w:rPr>
              <w:t>Transfers from Other Categories of Non-performing Loans (+)</w:t>
            </w:r>
          </w:p>
        </w:tc>
        <w:tc>
          <w:tcPr>
            <w:tcW w:w="1821" w:type="dxa"/>
            <w:vAlign w:val="bottom"/>
          </w:tcPr>
          <w:p w14:paraId="2DE49459" w14:textId="532A42E1" w:rsidR="00224102" w:rsidRDefault="00224102" w:rsidP="00157F3D">
            <w:pPr>
              <w:ind w:right="64"/>
              <w:jc w:val="right"/>
              <w:rPr>
                <w:sz w:val="18"/>
                <w:szCs w:val="18"/>
              </w:rPr>
            </w:pPr>
            <w:r>
              <w:rPr>
                <w:sz w:val="18"/>
                <w:szCs w:val="18"/>
              </w:rPr>
              <w:t>-</w:t>
            </w:r>
          </w:p>
        </w:tc>
        <w:tc>
          <w:tcPr>
            <w:tcW w:w="1491" w:type="dxa"/>
            <w:vAlign w:val="bottom"/>
          </w:tcPr>
          <w:p w14:paraId="351BEFC0" w14:textId="203F4CAA" w:rsidR="00224102" w:rsidRDefault="00224102" w:rsidP="00157F3D">
            <w:pPr>
              <w:ind w:right="64"/>
              <w:jc w:val="right"/>
              <w:rPr>
                <w:sz w:val="18"/>
                <w:szCs w:val="18"/>
              </w:rPr>
            </w:pPr>
            <w:r>
              <w:rPr>
                <w:sz w:val="18"/>
                <w:szCs w:val="18"/>
              </w:rPr>
              <w:t>220,340</w:t>
            </w:r>
          </w:p>
        </w:tc>
        <w:tc>
          <w:tcPr>
            <w:tcW w:w="1401" w:type="dxa"/>
            <w:vAlign w:val="bottom"/>
          </w:tcPr>
          <w:p w14:paraId="0BC9754A" w14:textId="68111F2F" w:rsidR="00224102" w:rsidRDefault="00224102" w:rsidP="00157F3D">
            <w:pPr>
              <w:ind w:right="64"/>
              <w:jc w:val="right"/>
              <w:rPr>
                <w:sz w:val="18"/>
                <w:szCs w:val="18"/>
              </w:rPr>
            </w:pPr>
            <w:r>
              <w:rPr>
                <w:sz w:val="18"/>
                <w:szCs w:val="18"/>
              </w:rPr>
              <w:t>198,084</w:t>
            </w:r>
          </w:p>
        </w:tc>
      </w:tr>
      <w:tr w:rsidR="00224102" w:rsidRPr="00604C75" w14:paraId="2AFACE6D" w14:textId="77777777" w:rsidTr="00157F3D">
        <w:trPr>
          <w:trHeight w:val="230"/>
        </w:trPr>
        <w:tc>
          <w:tcPr>
            <w:tcW w:w="4918" w:type="dxa"/>
            <w:shd w:val="clear" w:color="auto" w:fill="FFFFFF"/>
            <w:vAlign w:val="bottom"/>
          </w:tcPr>
          <w:p w14:paraId="4428E47F" w14:textId="77777777" w:rsidR="00224102" w:rsidRPr="00604C75" w:rsidRDefault="00224102" w:rsidP="00224102">
            <w:pPr>
              <w:ind w:left="180"/>
              <w:rPr>
                <w:noProof/>
                <w:sz w:val="18"/>
                <w:szCs w:val="18"/>
              </w:rPr>
            </w:pPr>
            <w:r w:rsidRPr="00604C75">
              <w:rPr>
                <w:noProof/>
                <w:sz w:val="18"/>
                <w:szCs w:val="18"/>
              </w:rPr>
              <w:t>Transfers to Other Categories of Non-performing Loans (-)</w:t>
            </w:r>
          </w:p>
        </w:tc>
        <w:tc>
          <w:tcPr>
            <w:tcW w:w="1821" w:type="dxa"/>
            <w:vAlign w:val="bottom"/>
          </w:tcPr>
          <w:p w14:paraId="6FD2B7D9" w14:textId="63C91D4F" w:rsidR="00224102" w:rsidRDefault="00224102" w:rsidP="00157F3D">
            <w:pPr>
              <w:ind w:right="64"/>
              <w:jc w:val="right"/>
              <w:rPr>
                <w:sz w:val="18"/>
                <w:szCs w:val="18"/>
              </w:rPr>
            </w:pPr>
            <w:r>
              <w:rPr>
                <w:sz w:val="18"/>
                <w:szCs w:val="18"/>
              </w:rPr>
              <w:t>(222,023)</w:t>
            </w:r>
          </w:p>
        </w:tc>
        <w:tc>
          <w:tcPr>
            <w:tcW w:w="1491" w:type="dxa"/>
            <w:vAlign w:val="bottom"/>
          </w:tcPr>
          <w:p w14:paraId="01E3E643" w14:textId="1835FF02" w:rsidR="00224102" w:rsidRDefault="00224102" w:rsidP="00157F3D">
            <w:pPr>
              <w:ind w:right="64"/>
              <w:jc w:val="right"/>
              <w:rPr>
                <w:sz w:val="18"/>
                <w:szCs w:val="18"/>
              </w:rPr>
            </w:pPr>
            <w:r>
              <w:rPr>
                <w:sz w:val="18"/>
                <w:szCs w:val="18"/>
              </w:rPr>
              <w:t>(196,401)</w:t>
            </w:r>
          </w:p>
        </w:tc>
        <w:tc>
          <w:tcPr>
            <w:tcW w:w="1401" w:type="dxa"/>
            <w:vAlign w:val="bottom"/>
          </w:tcPr>
          <w:p w14:paraId="1F055782" w14:textId="7F307FA5" w:rsidR="00224102" w:rsidRDefault="00224102" w:rsidP="00157F3D">
            <w:pPr>
              <w:ind w:right="64"/>
              <w:jc w:val="right"/>
              <w:rPr>
                <w:sz w:val="18"/>
                <w:szCs w:val="18"/>
              </w:rPr>
            </w:pPr>
            <w:r>
              <w:rPr>
                <w:sz w:val="18"/>
                <w:szCs w:val="18"/>
              </w:rPr>
              <w:t>-</w:t>
            </w:r>
          </w:p>
        </w:tc>
      </w:tr>
      <w:tr w:rsidR="00224102" w:rsidRPr="00604C75" w14:paraId="525407EC" w14:textId="77777777" w:rsidTr="00157F3D">
        <w:trPr>
          <w:trHeight w:val="230"/>
        </w:trPr>
        <w:tc>
          <w:tcPr>
            <w:tcW w:w="4918" w:type="dxa"/>
            <w:shd w:val="clear" w:color="auto" w:fill="FFFFFF"/>
            <w:vAlign w:val="bottom"/>
          </w:tcPr>
          <w:p w14:paraId="72CDFEEA" w14:textId="77777777" w:rsidR="00224102" w:rsidRPr="00604C75" w:rsidRDefault="00224102" w:rsidP="00224102">
            <w:pPr>
              <w:ind w:left="180"/>
              <w:rPr>
                <w:rFonts w:eastAsia="Arial Unicode MS"/>
                <w:sz w:val="18"/>
              </w:rPr>
            </w:pPr>
            <w:r w:rsidRPr="00604C75">
              <w:rPr>
                <w:noProof/>
                <w:sz w:val="18"/>
                <w:szCs w:val="18"/>
              </w:rPr>
              <w:t>Collections</w:t>
            </w:r>
            <w:r w:rsidRPr="00604C75">
              <w:rPr>
                <w:sz w:val="18"/>
              </w:rPr>
              <w:t xml:space="preserve"> (-)</w:t>
            </w:r>
          </w:p>
        </w:tc>
        <w:tc>
          <w:tcPr>
            <w:tcW w:w="1821" w:type="dxa"/>
            <w:vAlign w:val="bottom"/>
          </w:tcPr>
          <w:p w14:paraId="63B9569C" w14:textId="7A094AEA" w:rsidR="00224102" w:rsidRDefault="00224102" w:rsidP="00157F3D">
            <w:pPr>
              <w:ind w:right="64"/>
              <w:jc w:val="right"/>
              <w:rPr>
                <w:sz w:val="18"/>
                <w:szCs w:val="18"/>
              </w:rPr>
            </w:pPr>
            <w:r>
              <w:rPr>
                <w:sz w:val="18"/>
                <w:szCs w:val="18"/>
              </w:rPr>
              <w:t>(18,431)</w:t>
            </w:r>
          </w:p>
        </w:tc>
        <w:tc>
          <w:tcPr>
            <w:tcW w:w="1491" w:type="dxa"/>
            <w:vAlign w:val="bottom"/>
          </w:tcPr>
          <w:p w14:paraId="583C8566" w14:textId="7F23FCB4" w:rsidR="00224102" w:rsidRDefault="00224102" w:rsidP="00157F3D">
            <w:pPr>
              <w:ind w:right="64"/>
              <w:jc w:val="right"/>
              <w:rPr>
                <w:sz w:val="18"/>
                <w:szCs w:val="18"/>
              </w:rPr>
            </w:pPr>
            <w:r>
              <w:rPr>
                <w:sz w:val="18"/>
                <w:szCs w:val="18"/>
              </w:rPr>
              <w:t>(21,140)</w:t>
            </w:r>
          </w:p>
        </w:tc>
        <w:tc>
          <w:tcPr>
            <w:tcW w:w="1401" w:type="dxa"/>
            <w:vAlign w:val="bottom"/>
          </w:tcPr>
          <w:p w14:paraId="24D67505" w14:textId="4DF4E086" w:rsidR="00224102" w:rsidRDefault="00224102" w:rsidP="00157F3D">
            <w:pPr>
              <w:ind w:right="64"/>
              <w:jc w:val="right"/>
              <w:rPr>
                <w:sz w:val="18"/>
                <w:szCs w:val="18"/>
              </w:rPr>
            </w:pPr>
            <w:r>
              <w:rPr>
                <w:sz w:val="18"/>
                <w:szCs w:val="18"/>
              </w:rPr>
              <w:t>(66,158)</w:t>
            </w:r>
          </w:p>
        </w:tc>
      </w:tr>
      <w:tr w:rsidR="00224102" w:rsidRPr="00604C75" w14:paraId="596515D1" w14:textId="77777777" w:rsidTr="00157F3D">
        <w:trPr>
          <w:trHeight w:val="230"/>
        </w:trPr>
        <w:tc>
          <w:tcPr>
            <w:tcW w:w="4918" w:type="dxa"/>
            <w:shd w:val="clear" w:color="auto" w:fill="FFFFFF"/>
            <w:vAlign w:val="bottom"/>
          </w:tcPr>
          <w:p w14:paraId="7CC0D108" w14:textId="0198FD39" w:rsidR="00224102" w:rsidRPr="00604C75" w:rsidRDefault="00224102" w:rsidP="00224102">
            <w:pPr>
              <w:ind w:left="117"/>
              <w:rPr>
                <w:noProof/>
                <w:sz w:val="18"/>
                <w:szCs w:val="18"/>
              </w:rPr>
            </w:pPr>
            <w:r w:rsidRPr="00604C75">
              <w:rPr>
                <w:noProof/>
                <w:sz w:val="18"/>
                <w:szCs w:val="18"/>
              </w:rPr>
              <w:t xml:space="preserve"> Write-offs (-)</w:t>
            </w:r>
            <w:r>
              <w:rPr>
                <w:noProof/>
                <w:sz w:val="18"/>
                <w:szCs w:val="18"/>
              </w:rPr>
              <w:t xml:space="preserve"> </w:t>
            </w:r>
            <w:r w:rsidRPr="00576E0A">
              <w:rPr>
                <w:sz w:val="20"/>
                <w:szCs w:val="20"/>
                <w:vertAlign w:val="superscript"/>
              </w:rPr>
              <w:t>(*)</w:t>
            </w:r>
            <w:r w:rsidR="00157F3D">
              <w:rPr>
                <w:sz w:val="20"/>
                <w:szCs w:val="20"/>
                <w:vertAlign w:val="superscript"/>
              </w:rPr>
              <w:t xml:space="preserve"> </w:t>
            </w:r>
            <w:r w:rsidRPr="00590A1C">
              <w:rPr>
                <w:sz w:val="20"/>
                <w:szCs w:val="20"/>
                <w:vertAlign w:val="superscript"/>
              </w:rPr>
              <w:t>(*</w:t>
            </w:r>
            <w:r>
              <w:rPr>
                <w:sz w:val="20"/>
                <w:szCs w:val="20"/>
                <w:vertAlign w:val="superscript"/>
              </w:rPr>
              <w:t>*</w:t>
            </w:r>
            <w:r w:rsidRPr="00590A1C">
              <w:rPr>
                <w:sz w:val="20"/>
                <w:szCs w:val="20"/>
                <w:vertAlign w:val="superscript"/>
              </w:rPr>
              <w:t>)</w:t>
            </w:r>
            <w:r w:rsidR="00157F3D">
              <w:rPr>
                <w:sz w:val="20"/>
                <w:szCs w:val="20"/>
                <w:vertAlign w:val="superscript"/>
              </w:rPr>
              <w:t xml:space="preserve"> </w:t>
            </w:r>
            <w:r w:rsidRPr="00590A1C">
              <w:rPr>
                <w:sz w:val="20"/>
                <w:szCs w:val="20"/>
                <w:vertAlign w:val="superscript"/>
              </w:rPr>
              <w:t>(*</w:t>
            </w:r>
            <w:r>
              <w:rPr>
                <w:sz w:val="20"/>
                <w:szCs w:val="20"/>
                <w:vertAlign w:val="superscript"/>
              </w:rPr>
              <w:t>**</w:t>
            </w:r>
            <w:r w:rsidRPr="00590A1C">
              <w:rPr>
                <w:sz w:val="20"/>
                <w:szCs w:val="20"/>
                <w:vertAlign w:val="superscript"/>
              </w:rPr>
              <w:t>)</w:t>
            </w:r>
          </w:p>
        </w:tc>
        <w:tc>
          <w:tcPr>
            <w:tcW w:w="1821" w:type="dxa"/>
            <w:vAlign w:val="bottom"/>
          </w:tcPr>
          <w:p w14:paraId="0C201A1E" w14:textId="76D5C415" w:rsidR="00224102" w:rsidRDefault="00224102" w:rsidP="00157F3D">
            <w:pPr>
              <w:ind w:right="64"/>
              <w:jc w:val="right"/>
              <w:rPr>
                <w:sz w:val="18"/>
                <w:szCs w:val="18"/>
              </w:rPr>
            </w:pPr>
            <w:r>
              <w:rPr>
                <w:sz w:val="18"/>
                <w:szCs w:val="18"/>
              </w:rPr>
              <w:t>-</w:t>
            </w:r>
          </w:p>
        </w:tc>
        <w:tc>
          <w:tcPr>
            <w:tcW w:w="1491" w:type="dxa"/>
            <w:vAlign w:val="bottom"/>
          </w:tcPr>
          <w:p w14:paraId="4696AE44" w14:textId="2F558619" w:rsidR="00224102" w:rsidRDefault="00224102" w:rsidP="00157F3D">
            <w:pPr>
              <w:ind w:right="64"/>
              <w:jc w:val="right"/>
              <w:rPr>
                <w:sz w:val="18"/>
                <w:szCs w:val="18"/>
              </w:rPr>
            </w:pPr>
            <w:r>
              <w:rPr>
                <w:sz w:val="18"/>
                <w:szCs w:val="18"/>
              </w:rPr>
              <w:t>(3,145)</w:t>
            </w:r>
          </w:p>
        </w:tc>
        <w:tc>
          <w:tcPr>
            <w:tcW w:w="1401" w:type="dxa"/>
            <w:vAlign w:val="bottom"/>
          </w:tcPr>
          <w:p w14:paraId="1DA8377A" w14:textId="2CC7EC56" w:rsidR="00224102" w:rsidRDefault="00224102" w:rsidP="00157F3D">
            <w:pPr>
              <w:ind w:right="64"/>
              <w:jc w:val="right"/>
              <w:rPr>
                <w:sz w:val="18"/>
                <w:szCs w:val="18"/>
              </w:rPr>
            </w:pPr>
            <w:r>
              <w:rPr>
                <w:sz w:val="18"/>
                <w:szCs w:val="18"/>
              </w:rPr>
              <w:t>(137,054)</w:t>
            </w:r>
          </w:p>
        </w:tc>
      </w:tr>
      <w:tr w:rsidR="00224102" w:rsidRPr="00604C75" w14:paraId="651A7321" w14:textId="77777777" w:rsidTr="00157F3D">
        <w:trPr>
          <w:trHeight w:val="127"/>
        </w:trPr>
        <w:tc>
          <w:tcPr>
            <w:tcW w:w="4918" w:type="dxa"/>
            <w:shd w:val="clear" w:color="auto" w:fill="FFFFFF"/>
            <w:vAlign w:val="bottom"/>
          </w:tcPr>
          <w:p w14:paraId="1602CC3E" w14:textId="77777777" w:rsidR="00224102" w:rsidRPr="00604C75" w:rsidRDefault="00224102" w:rsidP="00224102">
            <w:pPr>
              <w:ind w:left="360"/>
              <w:jc w:val="both"/>
              <w:rPr>
                <w:noProof/>
                <w:sz w:val="18"/>
              </w:rPr>
            </w:pPr>
            <w:r w:rsidRPr="00604C75">
              <w:rPr>
                <w:noProof/>
                <w:sz w:val="18"/>
                <w:szCs w:val="18"/>
              </w:rPr>
              <w:t>Corporate and Commercial Loans</w:t>
            </w:r>
          </w:p>
        </w:tc>
        <w:tc>
          <w:tcPr>
            <w:tcW w:w="1821" w:type="dxa"/>
            <w:vAlign w:val="bottom"/>
          </w:tcPr>
          <w:p w14:paraId="04622DC9" w14:textId="19840522" w:rsidR="00224102" w:rsidRDefault="00224102" w:rsidP="00157F3D">
            <w:pPr>
              <w:ind w:right="64"/>
              <w:jc w:val="right"/>
              <w:rPr>
                <w:sz w:val="18"/>
                <w:szCs w:val="18"/>
              </w:rPr>
            </w:pPr>
            <w:r>
              <w:rPr>
                <w:sz w:val="18"/>
                <w:szCs w:val="18"/>
              </w:rPr>
              <w:t>-</w:t>
            </w:r>
          </w:p>
        </w:tc>
        <w:tc>
          <w:tcPr>
            <w:tcW w:w="1491" w:type="dxa"/>
            <w:vAlign w:val="bottom"/>
          </w:tcPr>
          <w:p w14:paraId="45832188" w14:textId="53A4DA14" w:rsidR="00224102" w:rsidRDefault="00224102" w:rsidP="00157F3D">
            <w:pPr>
              <w:ind w:right="64"/>
              <w:jc w:val="right"/>
              <w:rPr>
                <w:sz w:val="18"/>
                <w:szCs w:val="18"/>
              </w:rPr>
            </w:pPr>
            <w:r>
              <w:rPr>
                <w:sz w:val="18"/>
                <w:szCs w:val="18"/>
              </w:rPr>
              <w:t>(3,139)</w:t>
            </w:r>
          </w:p>
        </w:tc>
        <w:tc>
          <w:tcPr>
            <w:tcW w:w="1401" w:type="dxa"/>
            <w:vAlign w:val="bottom"/>
          </w:tcPr>
          <w:p w14:paraId="52AA2A02" w14:textId="52E54B69" w:rsidR="00224102" w:rsidRDefault="00224102" w:rsidP="00157F3D">
            <w:pPr>
              <w:ind w:right="64"/>
              <w:jc w:val="right"/>
              <w:rPr>
                <w:sz w:val="18"/>
                <w:szCs w:val="18"/>
              </w:rPr>
            </w:pPr>
            <w:r>
              <w:rPr>
                <w:sz w:val="18"/>
                <w:szCs w:val="18"/>
              </w:rPr>
              <w:t>(123,223)</w:t>
            </w:r>
          </w:p>
        </w:tc>
      </w:tr>
      <w:tr w:rsidR="00224102" w:rsidRPr="00604C75" w14:paraId="1F7A190E" w14:textId="77777777" w:rsidTr="00157F3D">
        <w:trPr>
          <w:trHeight w:val="127"/>
        </w:trPr>
        <w:tc>
          <w:tcPr>
            <w:tcW w:w="4918" w:type="dxa"/>
            <w:shd w:val="clear" w:color="auto" w:fill="FFFFFF"/>
            <w:vAlign w:val="bottom"/>
          </w:tcPr>
          <w:p w14:paraId="42BFA21D" w14:textId="77777777" w:rsidR="00224102" w:rsidRPr="00604C75" w:rsidRDefault="00224102" w:rsidP="00224102">
            <w:pPr>
              <w:ind w:left="360"/>
              <w:jc w:val="both"/>
              <w:rPr>
                <w:rFonts w:eastAsia="Arial Unicode MS"/>
                <w:noProof/>
                <w:sz w:val="18"/>
              </w:rPr>
            </w:pPr>
            <w:r w:rsidRPr="00604C75">
              <w:rPr>
                <w:noProof/>
                <w:sz w:val="18"/>
                <w:szCs w:val="18"/>
              </w:rPr>
              <w:t>Consumer Loans</w:t>
            </w:r>
          </w:p>
        </w:tc>
        <w:tc>
          <w:tcPr>
            <w:tcW w:w="1821" w:type="dxa"/>
            <w:vAlign w:val="bottom"/>
          </w:tcPr>
          <w:p w14:paraId="4CBB064E" w14:textId="0505A5A3" w:rsidR="00224102" w:rsidRDefault="00224102" w:rsidP="00157F3D">
            <w:pPr>
              <w:ind w:right="64"/>
              <w:jc w:val="right"/>
              <w:rPr>
                <w:sz w:val="18"/>
                <w:szCs w:val="18"/>
              </w:rPr>
            </w:pPr>
            <w:r>
              <w:rPr>
                <w:sz w:val="18"/>
                <w:szCs w:val="18"/>
              </w:rPr>
              <w:t>-</w:t>
            </w:r>
          </w:p>
        </w:tc>
        <w:tc>
          <w:tcPr>
            <w:tcW w:w="1491" w:type="dxa"/>
            <w:vAlign w:val="bottom"/>
          </w:tcPr>
          <w:p w14:paraId="3DEDBB06" w14:textId="335E310F" w:rsidR="00224102" w:rsidRDefault="00224102" w:rsidP="00157F3D">
            <w:pPr>
              <w:ind w:right="64"/>
              <w:jc w:val="right"/>
              <w:rPr>
                <w:sz w:val="18"/>
                <w:szCs w:val="18"/>
              </w:rPr>
            </w:pPr>
            <w:r>
              <w:rPr>
                <w:sz w:val="18"/>
                <w:szCs w:val="18"/>
              </w:rPr>
              <w:t>(5)</w:t>
            </w:r>
          </w:p>
        </w:tc>
        <w:tc>
          <w:tcPr>
            <w:tcW w:w="1401" w:type="dxa"/>
            <w:vAlign w:val="bottom"/>
          </w:tcPr>
          <w:p w14:paraId="642CA31A" w14:textId="183B1B49" w:rsidR="00224102" w:rsidRDefault="00224102" w:rsidP="00157F3D">
            <w:pPr>
              <w:ind w:right="64"/>
              <w:jc w:val="right"/>
              <w:rPr>
                <w:sz w:val="18"/>
                <w:szCs w:val="18"/>
              </w:rPr>
            </w:pPr>
            <w:r>
              <w:rPr>
                <w:sz w:val="18"/>
                <w:szCs w:val="18"/>
              </w:rPr>
              <w:t>(8,317)</w:t>
            </w:r>
          </w:p>
        </w:tc>
      </w:tr>
      <w:tr w:rsidR="00224102" w:rsidRPr="00604C75" w14:paraId="3A19D72D" w14:textId="77777777" w:rsidTr="00157F3D">
        <w:trPr>
          <w:trHeight w:val="127"/>
        </w:trPr>
        <w:tc>
          <w:tcPr>
            <w:tcW w:w="4918" w:type="dxa"/>
            <w:shd w:val="clear" w:color="auto" w:fill="FFFFFF"/>
            <w:vAlign w:val="bottom"/>
          </w:tcPr>
          <w:p w14:paraId="2A1FE430" w14:textId="77777777" w:rsidR="00224102" w:rsidRPr="00604C75" w:rsidRDefault="00224102" w:rsidP="00224102">
            <w:pPr>
              <w:ind w:left="360"/>
              <w:jc w:val="both"/>
              <w:rPr>
                <w:rFonts w:eastAsia="Arial Unicode MS"/>
                <w:noProof/>
                <w:sz w:val="18"/>
              </w:rPr>
            </w:pPr>
            <w:r w:rsidRPr="00604C75">
              <w:rPr>
                <w:noProof/>
                <w:sz w:val="18"/>
                <w:szCs w:val="18"/>
              </w:rPr>
              <w:t>Credit Cards</w:t>
            </w:r>
          </w:p>
        </w:tc>
        <w:tc>
          <w:tcPr>
            <w:tcW w:w="1821" w:type="dxa"/>
            <w:vAlign w:val="bottom"/>
          </w:tcPr>
          <w:p w14:paraId="2481BE76" w14:textId="462C9176" w:rsidR="00224102" w:rsidRDefault="00224102" w:rsidP="00157F3D">
            <w:pPr>
              <w:ind w:right="64"/>
              <w:jc w:val="right"/>
              <w:rPr>
                <w:sz w:val="18"/>
                <w:szCs w:val="18"/>
              </w:rPr>
            </w:pPr>
            <w:r>
              <w:rPr>
                <w:sz w:val="18"/>
                <w:szCs w:val="18"/>
              </w:rPr>
              <w:t>-</w:t>
            </w:r>
          </w:p>
        </w:tc>
        <w:tc>
          <w:tcPr>
            <w:tcW w:w="1491" w:type="dxa"/>
            <w:vAlign w:val="bottom"/>
          </w:tcPr>
          <w:p w14:paraId="2074711D" w14:textId="2AC54616" w:rsidR="00224102" w:rsidRDefault="00224102" w:rsidP="00157F3D">
            <w:pPr>
              <w:ind w:right="64"/>
              <w:jc w:val="right"/>
              <w:rPr>
                <w:sz w:val="18"/>
                <w:szCs w:val="18"/>
              </w:rPr>
            </w:pPr>
            <w:r>
              <w:rPr>
                <w:sz w:val="18"/>
                <w:szCs w:val="18"/>
              </w:rPr>
              <w:t>(1)</w:t>
            </w:r>
          </w:p>
        </w:tc>
        <w:tc>
          <w:tcPr>
            <w:tcW w:w="1401" w:type="dxa"/>
            <w:vAlign w:val="bottom"/>
          </w:tcPr>
          <w:p w14:paraId="2E241A83" w14:textId="452C1151" w:rsidR="00224102" w:rsidRDefault="00224102" w:rsidP="00157F3D">
            <w:pPr>
              <w:ind w:right="64"/>
              <w:jc w:val="right"/>
              <w:rPr>
                <w:sz w:val="18"/>
                <w:szCs w:val="18"/>
              </w:rPr>
            </w:pPr>
            <w:r>
              <w:rPr>
                <w:sz w:val="18"/>
                <w:szCs w:val="18"/>
              </w:rPr>
              <w:t>(5,514)</w:t>
            </w:r>
          </w:p>
        </w:tc>
      </w:tr>
      <w:tr w:rsidR="00224102" w:rsidRPr="00604C75" w14:paraId="01DCCC81" w14:textId="77777777" w:rsidTr="00157F3D">
        <w:trPr>
          <w:trHeight w:val="127"/>
        </w:trPr>
        <w:tc>
          <w:tcPr>
            <w:tcW w:w="4918" w:type="dxa"/>
            <w:shd w:val="clear" w:color="auto" w:fill="FFFFFF"/>
            <w:vAlign w:val="bottom"/>
          </w:tcPr>
          <w:p w14:paraId="0C60AD0C" w14:textId="77777777" w:rsidR="00224102" w:rsidRPr="00604C75" w:rsidRDefault="00224102" w:rsidP="00224102">
            <w:pPr>
              <w:ind w:left="360"/>
              <w:jc w:val="both"/>
              <w:rPr>
                <w:rFonts w:eastAsia="Arial Unicode MS"/>
                <w:noProof/>
                <w:sz w:val="18"/>
              </w:rPr>
            </w:pPr>
            <w:r w:rsidRPr="00604C75">
              <w:rPr>
                <w:noProof/>
                <w:sz w:val="18"/>
                <w:szCs w:val="18"/>
              </w:rPr>
              <w:t>Other</w:t>
            </w:r>
          </w:p>
        </w:tc>
        <w:tc>
          <w:tcPr>
            <w:tcW w:w="1821" w:type="dxa"/>
            <w:vAlign w:val="bottom"/>
          </w:tcPr>
          <w:p w14:paraId="73DB54B6" w14:textId="2D7DDFCB" w:rsidR="00224102" w:rsidRPr="003E5443" w:rsidRDefault="00224102" w:rsidP="00157F3D">
            <w:pPr>
              <w:ind w:right="64"/>
              <w:jc w:val="right"/>
              <w:rPr>
                <w:bCs/>
                <w:sz w:val="18"/>
                <w:szCs w:val="18"/>
              </w:rPr>
            </w:pPr>
            <w:r w:rsidRPr="003E5443">
              <w:rPr>
                <w:bCs/>
                <w:sz w:val="18"/>
                <w:szCs w:val="18"/>
              </w:rPr>
              <w:t>-</w:t>
            </w:r>
          </w:p>
        </w:tc>
        <w:tc>
          <w:tcPr>
            <w:tcW w:w="1491" w:type="dxa"/>
            <w:vAlign w:val="bottom"/>
          </w:tcPr>
          <w:p w14:paraId="404DC287" w14:textId="6B31C3F1" w:rsidR="00224102" w:rsidRPr="003E5443" w:rsidRDefault="00224102" w:rsidP="00157F3D">
            <w:pPr>
              <w:ind w:right="64"/>
              <w:jc w:val="right"/>
              <w:rPr>
                <w:bCs/>
                <w:sz w:val="18"/>
                <w:szCs w:val="18"/>
              </w:rPr>
            </w:pPr>
            <w:r w:rsidRPr="003E5443">
              <w:rPr>
                <w:bCs/>
                <w:sz w:val="18"/>
                <w:szCs w:val="18"/>
              </w:rPr>
              <w:t>-</w:t>
            </w:r>
          </w:p>
        </w:tc>
        <w:tc>
          <w:tcPr>
            <w:tcW w:w="1401" w:type="dxa"/>
            <w:vAlign w:val="bottom"/>
          </w:tcPr>
          <w:p w14:paraId="022C8AFD" w14:textId="25229DDF" w:rsidR="00224102" w:rsidRPr="003E5443" w:rsidRDefault="00224102" w:rsidP="00157F3D">
            <w:pPr>
              <w:ind w:right="64"/>
              <w:jc w:val="right"/>
              <w:rPr>
                <w:bCs/>
                <w:sz w:val="18"/>
                <w:szCs w:val="18"/>
              </w:rPr>
            </w:pPr>
            <w:r w:rsidRPr="003E5443">
              <w:rPr>
                <w:bCs/>
                <w:sz w:val="18"/>
                <w:szCs w:val="18"/>
              </w:rPr>
              <w:t>-</w:t>
            </w:r>
          </w:p>
        </w:tc>
      </w:tr>
      <w:tr w:rsidR="00224102" w:rsidRPr="00604C75" w14:paraId="7CAAAC51" w14:textId="77777777" w:rsidTr="00157F3D">
        <w:trPr>
          <w:trHeight w:val="127"/>
        </w:trPr>
        <w:tc>
          <w:tcPr>
            <w:tcW w:w="4918" w:type="dxa"/>
            <w:shd w:val="clear" w:color="auto" w:fill="FFFFFF"/>
            <w:vAlign w:val="bottom"/>
          </w:tcPr>
          <w:p w14:paraId="0E9E1403" w14:textId="77777777" w:rsidR="00224102" w:rsidRPr="00604C75" w:rsidRDefault="00224102" w:rsidP="00224102">
            <w:pPr>
              <w:rPr>
                <w:b/>
                <w:sz w:val="18"/>
              </w:rPr>
            </w:pPr>
            <w:r>
              <w:rPr>
                <w:b/>
                <w:iCs/>
                <w:sz w:val="18"/>
              </w:rPr>
              <w:t xml:space="preserve">31 December </w:t>
            </w:r>
            <w:r w:rsidRPr="00604C75">
              <w:rPr>
                <w:b/>
                <w:iCs/>
                <w:sz w:val="18"/>
              </w:rPr>
              <w:t>2015</w:t>
            </w:r>
          </w:p>
        </w:tc>
        <w:tc>
          <w:tcPr>
            <w:tcW w:w="1821" w:type="dxa"/>
            <w:vAlign w:val="bottom"/>
          </w:tcPr>
          <w:p w14:paraId="61726278" w14:textId="2C81B70D" w:rsidR="00224102" w:rsidRDefault="00224102" w:rsidP="00157F3D">
            <w:pPr>
              <w:ind w:right="64"/>
              <w:jc w:val="right"/>
              <w:rPr>
                <w:b/>
                <w:bCs/>
                <w:sz w:val="18"/>
                <w:szCs w:val="18"/>
              </w:rPr>
            </w:pPr>
            <w:r>
              <w:rPr>
                <w:b/>
                <w:bCs/>
                <w:sz w:val="18"/>
                <w:szCs w:val="18"/>
              </w:rPr>
              <w:t>105,537</w:t>
            </w:r>
          </w:p>
        </w:tc>
        <w:tc>
          <w:tcPr>
            <w:tcW w:w="1491" w:type="dxa"/>
            <w:vAlign w:val="bottom"/>
          </w:tcPr>
          <w:p w14:paraId="7C386E53" w14:textId="5BBC2AAA" w:rsidR="00224102" w:rsidRDefault="00224102" w:rsidP="00157F3D">
            <w:pPr>
              <w:ind w:right="64"/>
              <w:jc w:val="right"/>
              <w:rPr>
                <w:b/>
                <w:bCs/>
                <w:sz w:val="18"/>
                <w:szCs w:val="18"/>
              </w:rPr>
            </w:pPr>
            <w:r>
              <w:rPr>
                <w:b/>
                <w:bCs/>
                <w:sz w:val="18"/>
                <w:szCs w:val="18"/>
              </w:rPr>
              <w:t>122,980</w:t>
            </w:r>
          </w:p>
        </w:tc>
        <w:tc>
          <w:tcPr>
            <w:tcW w:w="1401" w:type="dxa"/>
            <w:vAlign w:val="bottom"/>
          </w:tcPr>
          <w:p w14:paraId="1BED60E3" w14:textId="6F8B66FA" w:rsidR="00224102" w:rsidRDefault="00224102" w:rsidP="00157F3D">
            <w:pPr>
              <w:ind w:right="64"/>
              <w:jc w:val="right"/>
              <w:rPr>
                <w:b/>
                <w:bCs/>
                <w:sz w:val="18"/>
                <w:szCs w:val="18"/>
              </w:rPr>
            </w:pPr>
            <w:r>
              <w:rPr>
                <w:b/>
                <w:bCs/>
                <w:sz w:val="18"/>
                <w:szCs w:val="18"/>
              </w:rPr>
              <w:t>288,824</w:t>
            </w:r>
          </w:p>
        </w:tc>
      </w:tr>
      <w:tr w:rsidR="00224102" w:rsidRPr="00604C75" w14:paraId="78ED5212" w14:textId="77777777" w:rsidTr="00157F3D">
        <w:trPr>
          <w:trHeight w:val="230"/>
        </w:trPr>
        <w:tc>
          <w:tcPr>
            <w:tcW w:w="4918" w:type="dxa"/>
            <w:shd w:val="clear" w:color="auto" w:fill="FFFFFF"/>
            <w:vAlign w:val="bottom"/>
          </w:tcPr>
          <w:p w14:paraId="3AA1A70C" w14:textId="77777777" w:rsidR="00224102" w:rsidRPr="00604C75" w:rsidRDefault="00224102" w:rsidP="00224102">
            <w:pPr>
              <w:ind w:left="180"/>
              <w:rPr>
                <w:rFonts w:eastAsia="Arial Unicode MS"/>
                <w:sz w:val="18"/>
              </w:rPr>
            </w:pPr>
            <w:r w:rsidRPr="00604C75">
              <w:rPr>
                <w:rFonts w:eastAsia="Arial Unicode MS"/>
                <w:noProof/>
                <w:sz w:val="18"/>
              </w:rPr>
              <w:t>Specific Provision (-)</w:t>
            </w:r>
          </w:p>
        </w:tc>
        <w:tc>
          <w:tcPr>
            <w:tcW w:w="1821" w:type="dxa"/>
            <w:vAlign w:val="bottom"/>
          </w:tcPr>
          <w:p w14:paraId="66924881" w14:textId="105B651F" w:rsidR="00224102" w:rsidRDefault="00224102" w:rsidP="00157F3D">
            <w:pPr>
              <w:ind w:right="64"/>
              <w:jc w:val="right"/>
              <w:rPr>
                <w:sz w:val="18"/>
                <w:szCs w:val="18"/>
              </w:rPr>
            </w:pPr>
            <w:r>
              <w:rPr>
                <w:sz w:val="18"/>
                <w:szCs w:val="18"/>
              </w:rPr>
              <w:t>14,376</w:t>
            </w:r>
          </w:p>
        </w:tc>
        <w:tc>
          <w:tcPr>
            <w:tcW w:w="1491" w:type="dxa"/>
            <w:vAlign w:val="bottom"/>
          </w:tcPr>
          <w:p w14:paraId="14F47234" w14:textId="333AA268" w:rsidR="00224102" w:rsidRDefault="00224102" w:rsidP="00157F3D">
            <w:pPr>
              <w:ind w:right="64"/>
              <w:jc w:val="right"/>
              <w:rPr>
                <w:sz w:val="18"/>
                <w:szCs w:val="18"/>
              </w:rPr>
            </w:pPr>
            <w:r>
              <w:rPr>
                <w:sz w:val="18"/>
                <w:szCs w:val="18"/>
              </w:rPr>
              <w:t>47,781</w:t>
            </w:r>
          </w:p>
        </w:tc>
        <w:tc>
          <w:tcPr>
            <w:tcW w:w="1401" w:type="dxa"/>
            <w:vAlign w:val="bottom"/>
          </w:tcPr>
          <w:p w14:paraId="00CDF99B" w14:textId="0B996154" w:rsidR="00224102" w:rsidRDefault="00224102" w:rsidP="00157F3D">
            <w:pPr>
              <w:ind w:right="64"/>
              <w:jc w:val="right"/>
              <w:rPr>
                <w:sz w:val="18"/>
                <w:szCs w:val="18"/>
              </w:rPr>
            </w:pPr>
            <w:r>
              <w:rPr>
                <w:sz w:val="18"/>
                <w:szCs w:val="18"/>
              </w:rPr>
              <w:t>219,343</w:t>
            </w:r>
          </w:p>
        </w:tc>
      </w:tr>
      <w:tr w:rsidR="00224102" w:rsidRPr="00604C75" w14:paraId="416A4C61" w14:textId="77777777" w:rsidTr="00157F3D">
        <w:trPr>
          <w:trHeight w:val="285"/>
        </w:trPr>
        <w:tc>
          <w:tcPr>
            <w:tcW w:w="4918" w:type="dxa"/>
            <w:shd w:val="clear" w:color="auto" w:fill="FFFFFF"/>
            <w:vAlign w:val="bottom"/>
          </w:tcPr>
          <w:p w14:paraId="43728788" w14:textId="77777777" w:rsidR="00224102" w:rsidRPr="00604C75" w:rsidRDefault="00224102" w:rsidP="00224102">
            <w:pPr>
              <w:rPr>
                <w:rFonts w:eastAsia="Arial Unicode MS"/>
                <w:b/>
                <w:sz w:val="18"/>
                <w:szCs w:val="18"/>
              </w:rPr>
            </w:pPr>
            <w:r w:rsidRPr="00604C75">
              <w:rPr>
                <w:b/>
                <w:noProof/>
                <w:sz w:val="18"/>
                <w:szCs w:val="18"/>
              </w:rPr>
              <w:t>Net Balance on Balance Sheet</w:t>
            </w:r>
          </w:p>
        </w:tc>
        <w:tc>
          <w:tcPr>
            <w:tcW w:w="1821" w:type="dxa"/>
            <w:vAlign w:val="bottom"/>
          </w:tcPr>
          <w:p w14:paraId="1BC64FB0" w14:textId="6B484FAF" w:rsidR="00224102" w:rsidRDefault="00224102" w:rsidP="00157F3D">
            <w:pPr>
              <w:ind w:right="64"/>
              <w:jc w:val="right"/>
              <w:rPr>
                <w:b/>
                <w:bCs/>
                <w:sz w:val="18"/>
                <w:szCs w:val="18"/>
              </w:rPr>
            </w:pPr>
            <w:r>
              <w:rPr>
                <w:b/>
                <w:bCs/>
                <w:sz w:val="18"/>
                <w:szCs w:val="18"/>
              </w:rPr>
              <w:t>91,161</w:t>
            </w:r>
          </w:p>
        </w:tc>
        <w:tc>
          <w:tcPr>
            <w:tcW w:w="1491" w:type="dxa"/>
            <w:vAlign w:val="bottom"/>
          </w:tcPr>
          <w:p w14:paraId="21EBE044" w14:textId="58ABEF0A" w:rsidR="00224102" w:rsidRDefault="00224102" w:rsidP="00157F3D">
            <w:pPr>
              <w:ind w:right="64"/>
              <w:jc w:val="right"/>
              <w:rPr>
                <w:b/>
                <w:bCs/>
                <w:sz w:val="18"/>
                <w:szCs w:val="18"/>
              </w:rPr>
            </w:pPr>
            <w:r>
              <w:rPr>
                <w:b/>
                <w:bCs/>
                <w:sz w:val="18"/>
                <w:szCs w:val="18"/>
              </w:rPr>
              <w:t>75,199</w:t>
            </w:r>
          </w:p>
        </w:tc>
        <w:tc>
          <w:tcPr>
            <w:tcW w:w="1401" w:type="dxa"/>
            <w:vAlign w:val="bottom"/>
          </w:tcPr>
          <w:p w14:paraId="7107558F" w14:textId="739D65DB" w:rsidR="00224102" w:rsidRDefault="00224102" w:rsidP="00157F3D">
            <w:pPr>
              <w:ind w:right="64"/>
              <w:jc w:val="right"/>
              <w:rPr>
                <w:b/>
                <w:bCs/>
                <w:sz w:val="18"/>
                <w:szCs w:val="18"/>
              </w:rPr>
            </w:pPr>
            <w:r>
              <w:rPr>
                <w:b/>
                <w:bCs/>
                <w:sz w:val="18"/>
                <w:szCs w:val="18"/>
              </w:rPr>
              <w:t>69,481</w:t>
            </w:r>
          </w:p>
        </w:tc>
      </w:tr>
    </w:tbl>
    <w:p w14:paraId="260101C7" w14:textId="72595487" w:rsidR="00A17E9D" w:rsidRPr="00742556" w:rsidRDefault="00A70EDF" w:rsidP="00AF49B0">
      <w:pPr>
        <w:pStyle w:val="BodyTextIndent"/>
        <w:tabs>
          <w:tab w:val="left" w:pos="2552"/>
        </w:tabs>
        <w:spacing w:before="60" w:after="0"/>
        <w:ind w:left="28" w:right="-423"/>
        <w:rPr>
          <w:sz w:val="16"/>
          <w:szCs w:val="16"/>
        </w:rPr>
      </w:pPr>
      <w:r w:rsidRPr="00742556">
        <w:rPr>
          <w:sz w:val="16"/>
          <w:szCs w:val="16"/>
        </w:rPr>
        <w:t>(*)</w:t>
      </w:r>
      <w:r w:rsidR="006044C9">
        <w:rPr>
          <w:sz w:val="16"/>
          <w:szCs w:val="16"/>
        </w:rPr>
        <w:t xml:space="preserve"> </w:t>
      </w:r>
      <w:r w:rsidR="00D410C8">
        <w:rPr>
          <w:sz w:val="16"/>
          <w:szCs w:val="16"/>
        </w:rPr>
        <w:t xml:space="preserve">   </w:t>
      </w:r>
      <w:r w:rsidR="008C1382">
        <w:rPr>
          <w:sz w:val="16"/>
          <w:szCs w:val="16"/>
        </w:rPr>
        <w:t xml:space="preserve">The </w:t>
      </w:r>
      <w:r w:rsidR="004F5600">
        <w:rPr>
          <w:sz w:val="16"/>
          <w:szCs w:val="16"/>
        </w:rPr>
        <w:t xml:space="preserve">Parent </w:t>
      </w:r>
      <w:r w:rsidR="008C1382">
        <w:rPr>
          <w:sz w:val="16"/>
          <w:szCs w:val="16"/>
        </w:rPr>
        <w:t xml:space="preserve">Bank has </w:t>
      </w:r>
      <w:r w:rsidR="00877CBD">
        <w:rPr>
          <w:sz w:val="16"/>
          <w:szCs w:val="16"/>
        </w:rPr>
        <w:t>disposed</w:t>
      </w:r>
      <w:r w:rsidR="008C1382">
        <w:rPr>
          <w:sz w:val="16"/>
          <w:szCs w:val="16"/>
        </w:rPr>
        <w:t xml:space="preserve"> </w:t>
      </w:r>
      <w:proofErr w:type="spellStart"/>
      <w:r w:rsidR="008C1382">
        <w:rPr>
          <w:sz w:val="16"/>
          <w:szCs w:val="16"/>
        </w:rPr>
        <w:t>n</w:t>
      </w:r>
      <w:r w:rsidR="008C1382" w:rsidRPr="008B6C6C">
        <w:rPr>
          <w:sz w:val="16"/>
          <w:szCs w:val="16"/>
        </w:rPr>
        <w:t>on performing</w:t>
      </w:r>
      <w:proofErr w:type="spellEnd"/>
      <w:r w:rsidR="008C1382" w:rsidRPr="008B6C6C">
        <w:rPr>
          <w:sz w:val="16"/>
          <w:szCs w:val="16"/>
        </w:rPr>
        <w:t xml:space="preserve"> </w:t>
      </w:r>
      <w:r w:rsidR="00C66498">
        <w:rPr>
          <w:sz w:val="16"/>
          <w:szCs w:val="16"/>
        </w:rPr>
        <w:t>loan</w:t>
      </w:r>
      <w:r w:rsidR="00196A0E">
        <w:rPr>
          <w:sz w:val="16"/>
          <w:szCs w:val="16"/>
        </w:rPr>
        <w:t xml:space="preserve"> </w:t>
      </w:r>
      <w:r w:rsidR="00C66498">
        <w:rPr>
          <w:sz w:val="16"/>
          <w:szCs w:val="16"/>
        </w:rPr>
        <w:t>correspond</w:t>
      </w:r>
      <w:r w:rsidR="00BF071E">
        <w:rPr>
          <w:sz w:val="16"/>
          <w:szCs w:val="16"/>
        </w:rPr>
        <w:t>s</w:t>
      </w:r>
      <w:r w:rsidR="00C66498">
        <w:rPr>
          <w:sz w:val="16"/>
          <w:szCs w:val="16"/>
        </w:rPr>
        <w:t xml:space="preserve"> to</w:t>
      </w:r>
      <w:r w:rsidR="00AF49B0" w:rsidRPr="00AF49B0">
        <w:rPr>
          <w:sz w:val="16"/>
          <w:szCs w:val="16"/>
        </w:rPr>
        <w:t xml:space="preserve"> </w:t>
      </w:r>
      <w:r w:rsidR="00AF49B0">
        <w:rPr>
          <w:sz w:val="16"/>
          <w:szCs w:val="16"/>
        </w:rPr>
        <w:t>provision amount of</w:t>
      </w:r>
      <w:r w:rsidR="00C66498">
        <w:rPr>
          <w:sz w:val="16"/>
          <w:szCs w:val="16"/>
        </w:rPr>
        <w:t xml:space="preserve"> </w:t>
      </w:r>
      <w:r w:rsidR="008C1382" w:rsidRPr="008B6C6C">
        <w:rPr>
          <w:sz w:val="16"/>
          <w:szCs w:val="16"/>
        </w:rPr>
        <w:t>TL 15,199</w:t>
      </w:r>
      <w:r w:rsidR="00C66498">
        <w:rPr>
          <w:sz w:val="16"/>
          <w:szCs w:val="16"/>
        </w:rPr>
        <w:t xml:space="preserve"> </w:t>
      </w:r>
      <w:r w:rsidR="008C1382" w:rsidRPr="008B6C6C">
        <w:rPr>
          <w:sz w:val="16"/>
          <w:szCs w:val="16"/>
        </w:rPr>
        <w:t xml:space="preserve">and </w:t>
      </w:r>
      <w:r w:rsidR="008C1382">
        <w:rPr>
          <w:sz w:val="16"/>
          <w:szCs w:val="16"/>
        </w:rPr>
        <w:t xml:space="preserve">has </w:t>
      </w:r>
      <w:r w:rsidR="008C1382" w:rsidRPr="008B6C6C">
        <w:rPr>
          <w:sz w:val="16"/>
          <w:szCs w:val="16"/>
        </w:rPr>
        <w:t xml:space="preserve">collected TL 2,500 </w:t>
      </w:r>
      <w:r w:rsidR="00C66498">
        <w:rPr>
          <w:sz w:val="16"/>
          <w:szCs w:val="16"/>
        </w:rPr>
        <w:t xml:space="preserve">on 31 March </w:t>
      </w:r>
      <w:r w:rsidR="008C1382">
        <w:rPr>
          <w:sz w:val="16"/>
          <w:szCs w:val="16"/>
        </w:rPr>
        <w:t>2015</w:t>
      </w:r>
      <w:r w:rsidR="008F567F" w:rsidRPr="00742556">
        <w:rPr>
          <w:sz w:val="16"/>
          <w:szCs w:val="16"/>
        </w:rPr>
        <w:t>.</w:t>
      </w:r>
      <w:r w:rsidRPr="00742556">
        <w:rPr>
          <w:sz w:val="16"/>
          <w:szCs w:val="16"/>
        </w:rPr>
        <w:t xml:space="preserve"> </w:t>
      </w:r>
    </w:p>
    <w:p w14:paraId="0FADEF49" w14:textId="06992060" w:rsidR="00742556" w:rsidRDefault="00D26B75" w:rsidP="00AF49B0">
      <w:pPr>
        <w:pStyle w:val="BodyTextIndent"/>
        <w:tabs>
          <w:tab w:val="left" w:pos="0"/>
          <w:tab w:val="left" w:pos="709"/>
        </w:tabs>
        <w:spacing w:before="60" w:after="0"/>
        <w:ind w:left="28" w:right="-423"/>
        <w:rPr>
          <w:sz w:val="16"/>
          <w:szCs w:val="16"/>
        </w:rPr>
      </w:pPr>
      <w:r w:rsidRPr="00D26B75">
        <w:rPr>
          <w:sz w:val="16"/>
          <w:szCs w:val="16"/>
        </w:rPr>
        <w:t>(**)</w:t>
      </w:r>
      <w:r w:rsidR="006044C9">
        <w:rPr>
          <w:sz w:val="16"/>
          <w:szCs w:val="16"/>
        </w:rPr>
        <w:t xml:space="preserve"> </w:t>
      </w:r>
      <w:r w:rsidR="00D410C8">
        <w:rPr>
          <w:sz w:val="16"/>
          <w:szCs w:val="16"/>
        </w:rPr>
        <w:t xml:space="preserve">  </w:t>
      </w:r>
      <w:r w:rsidR="008C1382">
        <w:rPr>
          <w:sz w:val="16"/>
          <w:szCs w:val="16"/>
        </w:rPr>
        <w:t xml:space="preserve">The </w:t>
      </w:r>
      <w:r w:rsidR="004F5600">
        <w:rPr>
          <w:sz w:val="16"/>
          <w:szCs w:val="16"/>
        </w:rPr>
        <w:t xml:space="preserve">Parent </w:t>
      </w:r>
      <w:r w:rsidR="008C1382">
        <w:rPr>
          <w:sz w:val="16"/>
          <w:szCs w:val="16"/>
        </w:rPr>
        <w:t xml:space="preserve">Bank has </w:t>
      </w:r>
      <w:r w:rsidR="00877CBD">
        <w:rPr>
          <w:sz w:val="16"/>
          <w:szCs w:val="16"/>
        </w:rPr>
        <w:t xml:space="preserve">disposed </w:t>
      </w:r>
      <w:proofErr w:type="spellStart"/>
      <w:r w:rsidR="008C1382">
        <w:rPr>
          <w:sz w:val="16"/>
          <w:szCs w:val="16"/>
        </w:rPr>
        <w:t>n</w:t>
      </w:r>
      <w:r w:rsidR="008C1382" w:rsidRPr="008B6C6C">
        <w:rPr>
          <w:sz w:val="16"/>
          <w:szCs w:val="16"/>
        </w:rPr>
        <w:t>on per</w:t>
      </w:r>
      <w:r w:rsidR="00877CBD">
        <w:rPr>
          <w:sz w:val="16"/>
          <w:szCs w:val="16"/>
        </w:rPr>
        <w:t>forming</w:t>
      </w:r>
      <w:proofErr w:type="spellEnd"/>
      <w:r w:rsidR="00877CBD">
        <w:rPr>
          <w:sz w:val="16"/>
          <w:szCs w:val="16"/>
        </w:rPr>
        <w:t xml:space="preserve"> </w:t>
      </w:r>
      <w:r w:rsidR="00C66498">
        <w:rPr>
          <w:sz w:val="16"/>
          <w:szCs w:val="16"/>
        </w:rPr>
        <w:t>loans c</w:t>
      </w:r>
      <w:r w:rsidR="00DC35EE">
        <w:rPr>
          <w:sz w:val="16"/>
          <w:szCs w:val="16"/>
        </w:rPr>
        <w:t>orrespond to</w:t>
      </w:r>
      <w:r w:rsidR="00AF49B0">
        <w:rPr>
          <w:sz w:val="16"/>
          <w:szCs w:val="16"/>
        </w:rPr>
        <w:t xml:space="preserve"> provision amount of</w:t>
      </w:r>
      <w:r w:rsidR="00877CBD">
        <w:rPr>
          <w:sz w:val="16"/>
          <w:szCs w:val="16"/>
        </w:rPr>
        <w:t xml:space="preserve"> TL 113,584</w:t>
      </w:r>
      <w:r w:rsidR="008C1382" w:rsidRPr="008B6C6C">
        <w:rPr>
          <w:sz w:val="16"/>
          <w:szCs w:val="16"/>
        </w:rPr>
        <w:t xml:space="preserve"> to </w:t>
      </w:r>
      <w:proofErr w:type="spellStart"/>
      <w:r w:rsidR="008C1382" w:rsidRPr="008B6C6C">
        <w:rPr>
          <w:sz w:val="16"/>
          <w:szCs w:val="16"/>
        </w:rPr>
        <w:t>Güven</w:t>
      </w:r>
      <w:proofErr w:type="spellEnd"/>
      <w:r w:rsidR="008C1382" w:rsidRPr="008B6C6C">
        <w:rPr>
          <w:sz w:val="16"/>
          <w:szCs w:val="16"/>
        </w:rPr>
        <w:t xml:space="preserve"> </w:t>
      </w:r>
      <w:proofErr w:type="spellStart"/>
      <w:r w:rsidR="008C1382" w:rsidRPr="008B6C6C">
        <w:rPr>
          <w:sz w:val="16"/>
          <w:szCs w:val="16"/>
        </w:rPr>
        <w:t>Varlık</w:t>
      </w:r>
      <w:proofErr w:type="spellEnd"/>
      <w:r w:rsidR="008C1382" w:rsidRPr="008B6C6C">
        <w:rPr>
          <w:sz w:val="16"/>
          <w:szCs w:val="16"/>
        </w:rPr>
        <w:t xml:space="preserve"> </w:t>
      </w:r>
      <w:proofErr w:type="spellStart"/>
      <w:r w:rsidR="008C1382" w:rsidRPr="008B6C6C">
        <w:rPr>
          <w:sz w:val="16"/>
          <w:szCs w:val="16"/>
        </w:rPr>
        <w:t>Yönetim</w:t>
      </w:r>
      <w:proofErr w:type="spellEnd"/>
      <w:r w:rsidR="008C1382" w:rsidRPr="008B6C6C">
        <w:rPr>
          <w:sz w:val="16"/>
          <w:szCs w:val="16"/>
        </w:rPr>
        <w:t xml:space="preserve"> A.Ş and </w:t>
      </w:r>
      <w:r w:rsidR="008C1382">
        <w:rPr>
          <w:sz w:val="16"/>
          <w:szCs w:val="16"/>
        </w:rPr>
        <w:t xml:space="preserve">has </w:t>
      </w:r>
      <w:r w:rsidR="008C1382" w:rsidRPr="008B6C6C">
        <w:rPr>
          <w:sz w:val="16"/>
          <w:szCs w:val="16"/>
        </w:rPr>
        <w:t xml:space="preserve">collected TL 4,650 </w:t>
      </w:r>
      <w:r w:rsidR="008C1382">
        <w:rPr>
          <w:sz w:val="16"/>
          <w:szCs w:val="16"/>
        </w:rPr>
        <w:t>on</w:t>
      </w:r>
      <w:r w:rsidR="008C1382" w:rsidRPr="008B6C6C">
        <w:rPr>
          <w:sz w:val="16"/>
          <w:szCs w:val="16"/>
        </w:rPr>
        <w:t xml:space="preserve"> 5</w:t>
      </w:r>
      <w:r w:rsidR="004F5600">
        <w:rPr>
          <w:sz w:val="16"/>
          <w:szCs w:val="16"/>
        </w:rPr>
        <w:t xml:space="preserve"> </w:t>
      </w:r>
      <w:r w:rsidR="008C1382" w:rsidRPr="008B6C6C">
        <w:rPr>
          <w:sz w:val="16"/>
          <w:szCs w:val="16"/>
        </w:rPr>
        <w:t>May</w:t>
      </w:r>
      <w:r w:rsidR="008C1382">
        <w:rPr>
          <w:sz w:val="16"/>
          <w:szCs w:val="16"/>
        </w:rPr>
        <w:t xml:space="preserve"> </w:t>
      </w:r>
      <w:r w:rsidR="008C1382" w:rsidRPr="008B6C6C">
        <w:rPr>
          <w:sz w:val="16"/>
          <w:szCs w:val="16"/>
        </w:rPr>
        <w:t>2015</w:t>
      </w:r>
      <w:r w:rsidRPr="00B752D1">
        <w:rPr>
          <w:sz w:val="16"/>
          <w:szCs w:val="16"/>
        </w:rPr>
        <w:t>.</w:t>
      </w:r>
    </w:p>
    <w:p w14:paraId="1EC17BA5" w14:textId="7A3AEF4B" w:rsidR="00CE7D06" w:rsidRPr="00742556" w:rsidRDefault="00CE7D06" w:rsidP="00AF49B0">
      <w:pPr>
        <w:pStyle w:val="BodyTextIndent"/>
        <w:tabs>
          <w:tab w:val="left" w:pos="2552"/>
        </w:tabs>
        <w:spacing w:before="60"/>
        <w:ind w:left="28" w:right="-423"/>
        <w:rPr>
          <w:sz w:val="16"/>
          <w:szCs w:val="16"/>
        </w:rPr>
      </w:pPr>
      <w:r w:rsidRPr="00742556">
        <w:rPr>
          <w:sz w:val="16"/>
          <w:szCs w:val="16"/>
        </w:rPr>
        <w:t>(*</w:t>
      </w:r>
      <w:r>
        <w:rPr>
          <w:sz w:val="16"/>
          <w:szCs w:val="16"/>
        </w:rPr>
        <w:t>**</w:t>
      </w:r>
      <w:r w:rsidRPr="00742556">
        <w:rPr>
          <w:sz w:val="16"/>
          <w:szCs w:val="16"/>
        </w:rPr>
        <w:t>)</w:t>
      </w:r>
      <w:r w:rsidR="006044C9">
        <w:rPr>
          <w:sz w:val="16"/>
          <w:szCs w:val="16"/>
        </w:rPr>
        <w:t xml:space="preserve"> </w:t>
      </w:r>
      <w:proofErr w:type="spellStart"/>
      <w:r>
        <w:rPr>
          <w:sz w:val="16"/>
          <w:szCs w:val="16"/>
        </w:rPr>
        <w:t>Alternatif</w:t>
      </w:r>
      <w:proofErr w:type="spellEnd"/>
      <w:r>
        <w:rPr>
          <w:sz w:val="16"/>
          <w:szCs w:val="16"/>
        </w:rPr>
        <w:t xml:space="preserve"> </w:t>
      </w:r>
      <w:proofErr w:type="spellStart"/>
      <w:r>
        <w:rPr>
          <w:sz w:val="16"/>
          <w:szCs w:val="16"/>
        </w:rPr>
        <w:t>Finansal</w:t>
      </w:r>
      <w:proofErr w:type="spellEnd"/>
      <w:r>
        <w:rPr>
          <w:sz w:val="16"/>
          <w:szCs w:val="16"/>
        </w:rPr>
        <w:t xml:space="preserve"> </w:t>
      </w:r>
      <w:proofErr w:type="spellStart"/>
      <w:r>
        <w:rPr>
          <w:sz w:val="16"/>
          <w:szCs w:val="16"/>
        </w:rPr>
        <w:t>Kiralama</w:t>
      </w:r>
      <w:proofErr w:type="spellEnd"/>
      <w:r>
        <w:rPr>
          <w:sz w:val="16"/>
          <w:szCs w:val="16"/>
        </w:rPr>
        <w:t xml:space="preserve"> A.Ş. has sold </w:t>
      </w:r>
      <w:proofErr w:type="spellStart"/>
      <w:r>
        <w:rPr>
          <w:sz w:val="16"/>
          <w:szCs w:val="16"/>
        </w:rPr>
        <w:t>n</w:t>
      </w:r>
      <w:r w:rsidRPr="008B6C6C">
        <w:rPr>
          <w:sz w:val="16"/>
          <w:szCs w:val="16"/>
        </w:rPr>
        <w:t>on performing</w:t>
      </w:r>
      <w:proofErr w:type="spellEnd"/>
      <w:r w:rsidRPr="008B6C6C">
        <w:rPr>
          <w:sz w:val="16"/>
          <w:szCs w:val="16"/>
        </w:rPr>
        <w:t xml:space="preserve"> </w:t>
      </w:r>
      <w:r w:rsidR="00196A0E">
        <w:rPr>
          <w:sz w:val="16"/>
          <w:szCs w:val="16"/>
        </w:rPr>
        <w:t>loans correspond to</w:t>
      </w:r>
      <w:r w:rsidR="00982379" w:rsidRPr="00982379">
        <w:rPr>
          <w:sz w:val="16"/>
          <w:szCs w:val="16"/>
        </w:rPr>
        <w:t xml:space="preserve"> </w:t>
      </w:r>
      <w:r w:rsidR="00982379">
        <w:rPr>
          <w:sz w:val="16"/>
          <w:szCs w:val="16"/>
        </w:rPr>
        <w:t>provision amount of</w:t>
      </w:r>
      <w:r w:rsidR="00196A0E" w:rsidRPr="008B6C6C">
        <w:rPr>
          <w:sz w:val="16"/>
          <w:szCs w:val="16"/>
        </w:rPr>
        <w:t xml:space="preserve"> </w:t>
      </w:r>
      <w:r w:rsidRPr="008B6C6C">
        <w:rPr>
          <w:sz w:val="16"/>
          <w:szCs w:val="16"/>
        </w:rPr>
        <w:t xml:space="preserve">TL </w:t>
      </w:r>
      <w:r>
        <w:rPr>
          <w:sz w:val="16"/>
          <w:szCs w:val="16"/>
        </w:rPr>
        <w:t>9</w:t>
      </w:r>
      <w:r w:rsidRPr="008B6C6C">
        <w:rPr>
          <w:sz w:val="16"/>
          <w:szCs w:val="16"/>
        </w:rPr>
        <w:t>,1</w:t>
      </w:r>
      <w:r>
        <w:rPr>
          <w:sz w:val="16"/>
          <w:szCs w:val="16"/>
        </w:rPr>
        <w:t>42</w:t>
      </w:r>
      <w:r w:rsidR="00C66498">
        <w:rPr>
          <w:sz w:val="16"/>
          <w:szCs w:val="16"/>
        </w:rPr>
        <w:t xml:space="preserve"> to </w:t>
      </w:r>
      <w:proofErr w:type="spellStart"/>
      <w:r w:rsidR="00C66498">
        <w:rPr>
          <w:sz w:val="16"/>
          <w:szCs w:val="16"/>
        </w:rPr>
        <w:t>Artı</w:t>
      </w:r>
      <w:proofErr w:type="spellEnd"/>
      <w:r w:rsidR="00C66498">
        <w:rPr>
          <w:sz w:val="16"/>
          <w:szCs w:val="16"/>
        </w:rPr>
        <w:t xml:space="preserve"> </w:t>
      </w:r>
      <w:proofErr w:type="spellStart"/>
      <w:r w:rsidR="00C66498">
        <w:rPr>
          <w:sz w:val="16"/>
          <w:szCs w:val="16"/>
        </w:rPr>
        <w:t>Varlık</w:t>
      </w:r>
      <w:proofErr w:type="spellEnd"/>
      <w:r w:rsidR="00C66498">
        <w:rPr>
          <w:sz w:val="16"/>
          <w:szCs w:val="16"/>
        </w:rPr>
        <w:t xml:space="preserve"> </w:t>
      </w:r>
      <w:proofErr w:type="spellStart"/>
      <w:r w:rsidR="00C66498">
        <w:rPr>
          <w:sz w:val="16"/>
          <w:szCs w:val="16"/>
        </w:rPr>
        <w:t>Yönetim</w:t>
      </w:r>
      <w:proofErr w:type="spellEnd"/>
      <w:r w:rsidRPr="008B6C6C">
        <w:rPr>
          <w:sz w:val="16"/>
          <w:szCs w:val="16"/>
        </w:rPr>
        <w:t xml:space="preserve"> </w:t>
      </w:r>
      <w:r w:rsidR="00C422FA">
        <w:rPr>
          <w:sz w:val="16"/>
          <w:szCs w:val="16"/>
        </w:rPr>
        <w:t xml:space="preserve">A.Ş </w:t>
      </w:r>
      <w:r w:rsidRPr="008B6C6C">
        <w:rPr>
          <w:sz w:val="16"/>
          <w:szCs w:val="16"/>
        </w:rPr>
        <w:t xml:space="preserve">and </w:t>
      </w:r>
      <w:r>
        <w:rPr>
          <w:sz w:val="16"/>
          <w:szCs w:val="16"/>
        </w:rPr>
        <w:t xml:space="preserve">has </w:t>
      </w:r>
      <w:r w:rsidRPr="008B6C6C">
        <w:rPr>
          <w:sz w:val="16"/>
          <w:szCs w:val="16"/>
        </w:rPr>
        <w:t xml:space="preserve">collected TL </w:t>
      </w:r>
      <w:r>
        <w:rPr>
          <w:sz w:val="16"/>
          <w:szCs w:val="16"/>
        </w:rPr>
        <w:t>125</w:t>
      </w:r>
      <w:r w:rsidRPr="008B6C6C">
        <w:rPr>
          <w:sz w:val="16"/>
          <w:szCs w:val="16"/>
        </w:rPr>
        <w:t xml:space="preserve"> </w:t>
      </w:r>
      <w:r>
        <w:rPr>
          <w:sz w:val="16"/>
          <w:szCs w:val="16"/>
        </w:rPr>
        <w:t>on 29 May 2015</w:t>
      </w:r>
      <w:r w:rsidRPr="00742556">
        <w:rPr>
          <w:sz w:val="16"/>
          <w:szCs w:val="16"/>
        </w:rPr>
        <w:t xml:space="preserve">. </w:t>
      </w:r>
    </w:p>
    <w:p w14:paraId="3C2C530D" w14:textId="1798CB7E" w:rsidR="00224102" w:rsidRPr="00604C75" w:rsidRDefault="00224102" w:rsidP="00AF0815">
      <w:pPr>
        <w:spacing w:after="120" w:line="276" w:lineRule="auto"/>
        <w:rPr>
          <w:b/>
          <w:bCs/>
          <w:sz w:val="20"/>
          <w:szCs w:val="20"/>
        </w:rPr>
      </w:pPr>
      <w:r>
        <w:rPr>
          <w:rFonts w:eastAsia="Arial Unicode MS"/>
          <w:b/>
          <w:sz w:val="20"/>
          <w:szCs w:val="20"/>
        </w:rPr>
        <w:br w:type="page"/>
      </w:r>
      <w:r w:rsidR="00B27B7B" w:rsidRPr="00604C75">
        <w:rPr>
          <w:rFonts w:eastAsia="Arial Unicode MS"/>
          <w:b/>
          <w:sz w:val="20"/>
          <w:szCs w:val="20"/>
        </w:rPr>
        <w:lastRenderedPageBreak/>
        <w:t xml:space="preserve">EXPLANATIONS AND </w:t>
      </w:r>
      <w:r w:rsidR="00B27B7B">
        <w:rPr>
          <w:rFonts w:eastAsia="Arial Unicode MS"/>
          <w:b/>
          <w:sz w:val="20"/>
          <w:szCs w:val="20"/>
        </w:rPr>
        <w:t>NOTES</w:t>
      </w:r>
      <w:r w:rsidR="00B27B7B" w:rsidRPr="00604C75">
        <w:rPr>
          <w:rFonts w:eastAsia="Arial Unicode MS"/>
          <w:b/>
          <w:sz w:val="20"/>
          <w:szCs w:val="20"/>
        </w:rPr>
        <w:t xml:space="preserve"> ON </w:t>
      </w:r>
      <w:r w:rsidR="00B27B7B">
        <w:rPr>
          <w:rFonts w:eastAsia="Arial Unicode MS"/>
          <w:b/>
          <w:sz w:val="20"/>
          <w:szCs w:val="20"/>
        </w:rPr>
        <w:t xml:space="preserve">THE </w:t>
      </w:r>
      <w:r w:rsidR="00B27B7B" w:rsidRPr="00604C75">
        <w:rPr>
          <w:rFonts w:eastAsia="Arial Unicode MS"/>
          <w:b/>
          <w:sz w:val="20"/>
          <w:szCs w:val="20"/>
        </w:rPr>
        <w:t>CONSOLIDATED FINANCIAL STATEMENTS</w:t>
      </w:r>
      <w:r w:rsidR="00B27B7B" w:rsidRPr="00604C75">
        <w:rPr>
          <w:b/>
          <w:bCs/>
          <w:sz w:val="20"/>
          <w:szCs w:val="20"/>
        </w:rPr>
        <w:t xml:space="preserve"> (Continued)</w:t>
      </w:r>
    </w:p>
    <w:p w14:paraId="0B7AEB79" w14:textId="06911031" w:rsidR="00224102" w:rsidRPr="00604C75" w:rsidRDefault="00224102" w:rsidP="00224102">
      <w:pPr>
        <w:pStyle w:val="Heading2"/>
        <w:tabs>
          <w:tab w:val="left" w:pos="851"/>
        </w:tabs>
        <w:spacing w:after="120"/>
        <w:ind w:left="851" w:hanging="851"/>
        <w:rPr>
          <w:rFonts w:ascii="Times New Roman" w:hAnsi="Times New Roman"/>
          <w:bC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5EF12285" w14:textId="0AD06140" w:rsidR="006E35CE" w:rsidRPr="00224102" w:rsidRDefault="00224102" w:rsidP="00224102">
      <w:pPr>
        <w:spacing w:before="120" w:after="120"/>
        <w:rPr>
          <w:b/>
          <w:bCs/>
          <w:sz w:val="20"/>
          <w:szCs w:val="20"/>
        </w:rPr>
      </w:pPr>
      <w:r w:rsidRPr="00604C75">
        <w:rPr>
          <w:b/>
          <w:bCs/>
          <w:sz w:val="20"/>
          <w:szCs w:val="20"/>
        </w:rPr>
        <w:t>e.        Explanations on loans (Continued)</w:t>
      </w:r>
    </w:p>
    <w:p w14:paraId="63C6393B" w14:textId="77777777" w:rsidR="006E35CE" w:rsidRDefault="006E35CE" w:rsidP="006E35CE">
      <w:pPr>
        <w:pStyle w:val="BodyTextIndent"/>
        <w:tabs>
          <w:tab w:val="left" w:pos="567"/>
          <w:tab w:val="left" w:pos="2127"/>
        </w:tabs>
        <w:spacing w:after="0"/>
        <w:ind w:left="0"/>
        <w:rPr>
          <w:bCs/>
          <w:noProof/>
          <w:sz w:val="20"/>
          <w:szCs w:val="20"/>
        </w:rPr>
      </w:pPr>
      <w:r w:rsidRPr="00604C75">
        <w:rPr>
          <w:sz w:val="20"/>
          <w:szCs w:val="20"/>
        </w:rPr>
        <w:t>10.</w:t>
      </w:r>
      <w:r w:rsidRPr="00604C75">
        <w:rPr>
          <w:sz w:val="20"/>
          <w:szCs w:val="20"/>
        </w:rPr>
        <w:tab/>
      </w:r>
      <w:r w:rsidRPr="00604C75">
        <w:rPr>
          <w:bCs/>
          <w:noProof/>
          <w:sz w:val="20"/>
          <w:szCs w:val="20"/>
        </w:rPr>
        <w:t>Information on non-performing loans (Net) (Continued)</w:t>
      </w:r>
    </w:p>
    <w:p w14:paraId="73858157" w14:textId="77777777" w:rsidR="00B172CC" w:rsidRPr="00604C75" w:rsidRDefault="00B172CC" w:rsidP="006E35CE">
      <w:pPr>
        <w:pStyle w:val="BodyTextIndent"/>
        <w:tabs>
          <w:tab w:val="left" w:pos="567"/>
          <w:tab w:val="left" w:pos="2127"/>
        </w:tabs>
        <w:spacing w:after="0"/>
        <w:ind w:left="0"/>
        <w:rPr>
          <w:sz w:val="20"/>
          <w:szCs w:val="20"/>
        </w:rPr>
      </w:pPr>
    </w:p>
    <w:p w14:paraId="0E87CF9D" w14:textId="77777777" w:rsidR="00B172CC" w:rsidRPr="00604C75" w:rsidRDefault="00B172CC" w:rsidP="00B172CC">
      <w:pPr>
        <w:pStyle w:val="BodyTextIndent"/>
        <w:tabs>
          <w:tab w:val="left" w:pos="2552"/>
        </w:tabs>
        <w:spacing w:after="0"/>
        <w:ind w:left="0"/>
        <w:rPr>
          <w:sz w:val="20"/>
          <w:szCs w:val="20"/>
        </w:rPr>
      </w:pPr>
      <w:r w:rsidRPr="00604C75">
        <w:rPr>
          <w:sz w:val="20"/>
          <w:szCs w:val="20"/>
        </w:rPr>
        <w:t>10</w:t>
      </w:r>
      <w:proofErr w:type="gramStart"/>
      <w:r w:rsidRPr="00604C75">
        <w:rPr>
          <w:sz w:val="20"/>
          <w:szCs w:val="20"/>
        </w:rPr>
        <w:t>.(</w:t>
      </w:r>
      <w:proofErr w:type="gramEnd"/>
      <w:r w:rsidRPr="00604C75">
        <w:rPr>
          <w:sz w:val="20"/>
          <w:szCs w:val="20"/>
        </w:rPr>
        <w:t xml:space="preserve">iii). </w:t>
      </w:r>
      <w:r w:rsidRPr="00604C75">
        <w:rPr>
          <w:noProof/>
          <w:sz w:val="20"/>
          <w:szCs w:val="20"/>
        </w:rPr>
        <w:t>Information on non-performing loans granted as foreign currency loans</w:t>
      </w:r>
    </w:p>
    <w:p w14:paraId="0B34614D" w14:textId="77777777" w:rsidR="00B172CC" w:rsidRPr="00604C75" w:rsidRDefault="00B172CC" w:rsidP="00B172CC">
      <w:pPr>
        <w:spacing w:before="120"/>
        <w:rPr>
          <w:bCs/>
          <w:sz w:val="20"/>
          <w:szCs w:val="20"/>
        </w:rPr>
      </w:pPr>
      <w:r w:rsidRPr="00D26B75">
        <w:rPr>
          <w:rFonts w:cs="Arial"/>
          <w:sz w:val="20"/>
          <w:szCs w:val="20"/>
          <w:lang w:eastAsia="zh-CN"/>
        </w:rPr>
        <w:t xml:space="preserve">The Group has TL </w:t>
      </w:r>
      <w:r w:rsidRPr="00195EDC">
        <w:rPr>
          <w:rFonts w:cs="Arial"/>
          <w:sz w:val="20"/>
          <w:szCs w:val="20"/>
          <w:lang w:eastAsia="zh-CN"/>
        </w:rPr>
        <w:t xml:space="preserve">20,432 </w:t>
      </w:r>
      <w:r w:rsidRPr="00195EDC">
        <w:rPr>
          <w:noProof/>
          <w:sz w:val="20"/>
          <w:szCs w:val="20"/>
        </w:rPr>
        <w:t>non</w:t>
      </w:r>
      <w:r w:rsidRPr="00604C75">
        <w:rPr>
          <w:noProof/>
          <w:sz w:val="20"/>
          <w:szCs w:val="20"/>
        </w:rPr>
        <w:t xml:space="preserve">-performing loans </w:t>
      </w:r>
      <w:r w:rsidRPr="00604C75">
        <w:rPr>
          <w:rFonts w:cs="Arial"/>
          <w:sz w:val="20"/>
          <w:szCs w:val="20"/>
          <w:lang w:eastAsia="zh-CN"/>
        </w:rPr>
        <w:t xml:space="preserve">denominated in </w:t>
      </w:r>
      <w:r w:rsidRPr="00604C75">
        <w:rPr>
          <w:noProof/>
          <w:sz w:val="20"/>
          <w:szCs w:val="20"/>
        </w:rPr>
        <w:t xml:space="preserve">foreign </w:t>
      </w:r>
      <w:r w:rsidRPr="00D26B75">
        <w:rPr>
          <w:noProof/>
          <w:sz w:val="20"/>
          <w:szCs w:val="20"/>
        </w:rPr>
        <w:t>currency loans</w:t>
      </w:r>
      <w:r w:rsidRPr="00D26B75">
        <w:rPr>
          <w:rFonts w:cs="Arial"/>
          <w:sz w:val="20"/>
          <w:szCs w:val="20"/>
          <w:lang w:eastAsia="zh-CN"/>
        </w:rPr>
        <w:t xml:space="preserve"> </w:t>
      </w:r>
      <w:r>
        <w:rPr>
          <w:rFonts w:cs="Arial"/>
          <w:sz w:val="20"/>
          <w:szCs w:val="20"/>
          <w:lang w:eastAsia="zh-CN"/>
        </w:rPr>
        <w:t>a</w:t>
      </w:r>
      <w:r w:rsidRPr="00D26B75">
        <w:rPr>
          <w:rFonts w:cs="Arial"/>
          <w:sz w:val="20"/>
          <w:szCs w:val="20"/>
          <w:lang w:eastAsia="zh-CN"/>
        </w:rPr>
        <w:t xml:space="preserve">s at the balance sheet </w:t>
      </w:r>
      <w:proofErr w:type="spellStart"/>
      <w:r w:rsidRPr="00D26B75">
        <w:rPr>
          <w:rFonts w:cs="Arial"/>
          <w:sz w:val="20"/>
          <w:szCs w:val="20"/>
          <w:lang w:eastAsia="zh-CN"/>
        </w:rPr>
        <w:t>date</w:t>
      </w:r>
      <w:proofErr w:type="spellEnd"/>
      <w:r>
        <w:rPr>
          <w:rFonts w:cs="Arial"/>
          <w:sz w:val="20"/>
          <w:szCs w:val="20"/>
          <w:lang w:eastAsia="zh-CN"/>
        </w:rPr>
        <w:t xml:space="preserve"> </w:t>
      </w:r>
      <w:r w:rsidRPr="00604C75">
        <w:rPr>
          <w:rFonts w:cs="Arial"/>
          <w:sz w:val="20"/>
          <w:szCs w:val="20"/>
          <w:lang w:eastAsia="zh-CN"/>
        </w:rPr>
        <w:t xml:space="preserve">(31 December 2014: None). </w:t>
      </w:r>
    </w:p>
    <w:p w14:paraId="468E825F" w14:textId="77777777" w:rsidR="006E35CE" w:rsidRPr="00604C75" w:rsidRDefault="006E35CE" w:rsidP="004E0D89">
      <w:pPr>
        <w:pStyle w:val="BodyTextIndent"/>
        <w:tabs>
          <w:tab w:val="left" w:pos="2552"/>
        </w:tabs>
        <w:spacing w:after="0"/>
        <w:ind w:left="0"/>
        <w:rPr>
          <w:sz w:val="20"/>
          <w:szCs w:val="20"/>
        </w:rPr>
      </w:pPr>
    </w:p>
    <w:p w14:paraId="642C4C9A" w14:textId="47D77CB6" w:rsidR="0044575F" w:rsidRPr="00604C75" w:rsidRDefault="0044575F" w:rsidP="004E0D89">
      <w:pPr>
        <w:pStyle w:val="BodyTextIndent"/>
        <w:tabs>
          <w:tab w:val="left" w:pos="2552"/>
        </w:tabs>
        <w:spacing w:after="0"/>
        <w:ind w:left="0"/>
        <w:rPr>
          <w:sz w:val="20"/>
          <w:szCs w:val="20"/>
        </w:rPr>
      </w:pPr>
      <w:r w:rsidRPr="00604C75">
        <w:rPr>
          <w:sz w:val="20"/>
          <w:szCs w:val="20"/>
        </w:rPr>
        <w:t>10</w:t>
      </w:r>
      <w:proofErr w:type="gramStart"/>
      <w:r w:rsidRPr="00604C75">
        <w:rPr>
          <w:sz w:val="20"/>
          <w:szCs w:val="20"/>
        </w:rPr>
        <w:t>.(</w:t>
      </w:r>
      <w:proofErr w:type="gramEnd"/>
      <w:r w:rsidRPr="00604C75">
        <w:rPr>
          <w:sz w:val="20"/>
          <w:szCs w:val="20"/>
        </w:rPr>
        <w:t>iv).</w:t>
      </w:r>
      <w:r w:rsidR="00D36D48" w:rsidRPr="00604C75">
        <w:rPr>
          <w:sz w:val="20"/>
          <w:szCs w:val="20"/>
        </w:rPr>
        <w:t xml:space="preserve"> </w:t>
      </w:r>
      <w:r w:rsidRPr="00604C75">
        <w:rPr>
          <w:noProof/>
          <w:sz w:val="20"/>
          <w:szCs w:val="20"/>
        </w:rPr>
        <w:t>Information on non-performing loans based on types of borrowers</w:t>
      </w:r>
    </w:p>
    <w:p w14:paraId="1283A4D6" w14:textId="77777777" w:rsidR="0044575F" w:rsidRPr="00604C75" w:rsidRDefault="0044575F" w:rsidP="00C22AF8">
      <w:pPr>
        <w:pStyle w:val="BodyTextIndent"/>
        <w:spacing w:after="0"/>
        <w:ind w:left="1701"/>
        <w:rPr>
          <w:sz w:val="16"/>
          <w:szCs w:val="16"/>
        </w:rPr>
      </w:pPr>
    </w:p>
    <w:tbl>
      <w:tblPr>
        <w:tblW w:w="9379"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4242"/>
        <w:gridCol w:w="1777"/>
        <w:gridCol w:w="1659"/>
        <w:gridCol w:w="1701"/>
      </w:tblGrid>
      <w:tr w:rsidR="0044575F" w:rsidRPr="00604C75" w14:paraId="6224794F" w14:textId="77777777" w:rsidTr="00AD726D">
        <w:trPr>
          <w:trHeight w:val="242"/>
        </w:trPr>
        <w:tc>
          <w:tcPr>
            <w:tcW w:w="4242" w:type="dxa"/>
            <w:vMerge w:val="restart"/>
            <w:shd w:val="clear" w:color="auto" w:fill="auto"/>
            <w:noWrap/>
            <w:vAlign w:val="bottom"/>
          </w:tcPr>
          <w:p w14:paraId="5F576701" w14:textId="77777777" w:rsidR="0044575F" w:rsidRPr="00604C75" w:rsidRDefault="0044575F" w:rsidP="00C22AF8">
            <w:pPr>
              <w:rPr>
                <w:sz w:val="18"/>
                <w:szCs w:val="18"/>
                <w:lang w:eastAsia="zh-CN"/>
              </w:rPr>
            </w:pPr>
            <w:r w:rsidRPr="00604C75">
              <w:rPr>
                <w:sz w:val="18"/>
                <w:szCs w:val="18"/>
                <w:lang w:eastAsia="zh-CN"/>
              </w:rPr>
              <w:t> </w:t>
            </w:r>
          </w:p>
        </w:tc>
        <w:tc>
          <w:tcPr>
            <w:tcW w:w="1777" w:type="dxa"/>
            <w:shd w:val="clear" w:color="auto" w:fill="auto"/>
            <w:noWrap/>
            <w:vAlign w:val="center"/>
          </w:tcPr>
          <w:p w14:paraId="37177338" w14:textId="77777777" w:rsidR="0044575F" w:rsidRPr="00604C75" w:rsidRDefault="0044575F" w:rsidP="00196A0E">
            <w:pPr>
              <w:ind w:left="-1"/>
              <w:jc w:val="center"/>
              <w:rPr>
                <w:rFonts w:eastAsia="Arial Unicode MS"/>
                <w:iCs/>
                <w:noProof/>
                <w:sz w:val="18"/>
                <w:szCs w:val="16"/>
              </w:rPr>
            </w:pPr>
            <w:r w:rsidRPr="00604C75">
              <w:rPr>
                <w:b/>
                <w:bCs/>
                <w:noProof/>
                <w:sz w:val="18"/>
              </w:rPr>
              <w:t>III. Group</w:t>
            </w:r>
          </w:p>
        </w:tc>
        <w:tc>
          <w:tcPr>
            <w:tcW w:w="1659" w:type="dxa"/>
            <w:shd w:val="clear" w:color="auto" w:fill="auto"/>
            <w:noWrap/>
            <w:vAlign w:val="center"/>
          </w:tcPr>
          <w:p w14:paraId="19AC0DBA" w14:textId="77777777" w:rsidR="0044575F" w:rsidRPr="00604C75" w:rsidRDefault="0044575F" w:rsidP="00196A0E">
            <w:pPr>
              <w:ind w:left="-1"/>
              <w:jc w:val="center"/>
              <w:rPr>
                <w:rFonts w:eastAsia="Arial Unicode MS"/>
                <w:iCs/>
                <w:noProof/>
                <w:sz w:val="18"/>
                <w:szCs w:val="16"/>
              </w:rPr>
            </w:pPr>
            <w:r w:rsidRPr="00604C75">
              <w:rPr>
                <w:b/>
                <w:bCs/>
                <w:noProof/>
                <w:sz w:val="18"/>
              </w:rPr>
              <w:t>IV. Group</w:t>
            </w:r>
          </w:p>
        </w:tc>
        <w:tc>
          <w:tcPr>
            <w:tcW w:w="1701" w:type="dxa"/>
            <w:shd w:val="clear" w:color="auto" w:fill="auto"/>
            <w:noWrap/>
            <w:vAlign w:val="center"/>
          </w:tcPr>
          <w:p w14:paraId="78975F00" w14:textId="77777777" w:rsidR="0044575F" w:rsidRPr="00604C75" w:rsidRDefault="0044575F" w:rsidP="00196A0E">
            <w:pPr>
              <w:ind w:left="-1"/>
              <w:jc w:val="center"/>
              <w:rPr>
                <w:rFonts w:eastAsia="Arial Unicode MS"/>
                <w:iCs/>
                <w:noProof/>
                <w:sz w:val="18"/>
                <w:szCs w:val="16"/>
              </w:rPr>
            </w:pPr>
            <w:r w:rsidRPr="00604C75">
              <w:rPr>
                <w:b/>
                <w:bCs/>
                <w:noProof/>
                <w:sz w:val="18"/>
              </w:rPr>
              <w:t>V. Group</w:t>
            </w:r>
          </w:p>
        </w:tc>
      </w:tr>
      <w:tr w:rsidR="0044575F" w:rsidRPr="00604C75" w14:paraId="57B546D7" w14:textId="77777777" w:rsidTr="00AD726D">
        <w:trPr>
          <w:trHeight w:val="684"/>
        </w:trPr>
        <w:tc>
          <w:tcPr>
            <w:tcW w:w="4242" w:type="dxa"/>
            <w:vMerge/>
            <w:shd w:val="clear" w:color="auto" w:fill="auto"/>
            <w:vAlign w:val="center"/>
          </w:tcPr>
          <w:p w14:paraId="2C4EC4B6" w14:textId="77777777" w:rsidR="0044575F" w:rsidRPr="00604C75" w:rsidRDefault="0044575F" w:rsidP="00C22AF8">
            <w:pPr>
              <w:rPr>
                <w:sz w:val="18"/>
                <w:szCs w:val="18"/>
                <w:lang w:eastAsia="zh-CN"/>
              </w:rPr>
            </w:pPr>
          </w:p>
        </w:tc>
        <w:tc>
          <w:tcPr>
            <w:tcW w:w="1777" w:type="dxa"/>
            <w:shd w:val="clear" w:color="auto" w:fill="auto"/>
            <w:vAlign w:val="bottom"/>
          </w:tcPr>
          <w:p w14:paraId="64DD3B01" w14:textId="77777777" w:rsidR="0044575F" w:rsidRPr="00604C75" w:rsidRDefault="0044575F" w:rsidP="00196A0E">
            <w:pPr>
              <w:ind w:left="-1"/>
              <w:jc w:val="center"/>
              <w:rPr>
                <w:rFonts w:eastAsia="Arial Unicode MS"/>
                <w:b/>
                <w:iCs/>
                <w:noProof/>
                <w:sz w:val="18"/>
                <w:szCs w:val="16"/>
              </w:rPr>
            </w:pPr>
            <w:r w:rsidRPr="00604C75">
              <w:rPr>
                <w:b/>
                <w:iCs/>
                <w:noProof/>
                <w:sz w:val="18"/>
                <w:szCs w:val="16"/>
              </w:rPr>
              <w:t>Loans and other receivables with limited collectability</w:t>
            </w:r>
          </w:p>
        </w:tc>
        <w:tc>
          <w:tcPr>
            <w:tcW w:w="1659" w:type="dxa"/>
            <w:shd w:val="clear" w:color="auto" w:fill="auto"/>
            <w:vAlign w:val="bottom"/>
          </w:tcPr>
          <w:p w14:paraId="162D7ABE" w14:textId="77777777" w:rsidR="0044575F" w:rsidRPr="00604C75" w:rsidRDefault="0044575F" w:rsidP="00196A0E">
            <w:pPr>
              <w:ind w:left="-1"/>
              <w:jc w:val="center"/>
              <w:rPr>
                <w:rFonts w:eastAsia="Arial Unicode MS"/>
                <w:iCs/>
                <w:noProof/>
                <w:sz w:val="18"/>
                <w:szCs w:val="16"/>
              </w:rPr>
            </w:pPr>
            <w:r w:rsidRPr="00604C75">
              <w:rPr>
                <w:b/>
                <w:bCs/>
                <w:noProof/>
                <w:sz w:val="18"/>
              </w:rPr>
              <w:t>Loans and other receivables with doubtful collectability</w:t>
            </w:r>
          </w:p>
        </w:tc>
        <w:tc>
          <w:tcPr>
            <w:tcW w:w="1701" w:type="dxa"/>
            <w:shd w:val="clear" w:color="auto" w:fill="auto"/>
            <w:vAlign w:val="bottom"/>
          </w:tcPr>
          <w:p w14:paraId="69CA9BA5" w14:textId="0FF5D582" w:rsidR="0044575F" w:rsidRPr="00604C75" w:rsidRDefault="0044575F" w:rsidP="00196A0E">
            <w:pPr>
              <w:ind w:left="-1"/>
              <w:jc w:val="center"/>
              <w:rPr>
                <w:b/>
                <w:bCs/>
                <w:noProof/>
                <w:sz w:val="18"/>
              </w:rPr>
            </w:pPr>
            <w:r w:rsidRPr="00604C75">
              <w:rPr>
                <w:b/>
                <w:bCs/>
                <w:noProof/>
                <w:sz w:val="18"/>
              </w:rPr>
              <w:t>Uncollectible loans</w:t>
            </w:r>
            <w:r w:rsidR="00D36D48" w:rsidRPr="00604C75">
              <w:rPr>
                <w:b/>
                <w:bCs/>
                <w:noProof/>
                <w:sz w:val="18"/>
              </w:rPr>
              <w:t xml:space="preserve"> </w:t>
            </w:r>
            <w:r w:rsidRPr="00604C75">
              <w:rPr>
                <w:b/>
                <w:bCs/>
                <w:noProof/>
                <w:sz w:val="18"/>
              </w:rPr>
              <w:t>and</w:t>
            </w:r>
            <w:r w:rsidR="00D36D48" w:rsidRPr="00604C75">
              <w:rPr>
                <w:b/>
                <w:bCs/>
                <w:noProof/>
                <w:sz w:val="18"/>
              </w:rPr>
              <w:t xml:space="preserve"> </w:t>
            </w:r>
            <w:r w:rsidRPr="00604C75">
              <w:rPr>
                <w:b/>
                <w:bCs/>
                <w:noProof/>
                <w:sz w:val="18"/>
              </w:rPr>
              <w:t>other</w:t>
            </w:r>
          </w:p>
          <w:p w14:paraId="1CC1F3DE" w14:textId="77777777" w:rsidR="0044575F" w:rsidRPr="00604C75" w:rsidRDefault="0044575F" w:rsidP="00196A0E">
            <w:pPr>
              <w:ind w:left="-1"/>
              <w:jc w:val="center"/>
              <w:rPr>
                <w:rFonts w:eastAsia="Arial Unicode MS"/>
                <w:iCs/>
                <w:noProof/>
                <w:sz w:val="18"/>
                <w:szCs w:val="16"/>
              </w:rPr>
            </w:pPr>
            <w:r w:rsidRPr="00604C75">
              <w:rPr>
                <w:b/>
                <w:bCs/>
                <w:noProof/>
                <w:sz w:val="18"/>
              </w:rPr>
              <w:t>receivables</w:t>
            </w:r>
          </w:p>
        </w:tc>
      </w:tr>
      <w:tr w:rsidR="00E70EE2" w:rsidRPr="00604C75" w14:paraId="5367D0FE" w14:textId="77777777" w:rsidTr="00AD726D">
        <w:trPr>
          <w:trHeight w:val="242"/>
        </w:trPr>
        <w:tc>
          <w:tcPr>
            <w:tcW w:w="4242" w:type="dxa"/>
            <w:shd w:val="clear" w:color="auto" w:fill="auto"/>
            <w:noWrap/>
            <w:vAlign w:val="bottom"/>
          </w:tcPr>
          <w:p w14:paraId="606B92FA" w14:textId="77777777" w:rsidR="00E70EE2" w:rsidRPr="00604C75" w:rsidRDefault="00F51CB2">
            <w:pPr>
              <w:rPr>
                <w:b/>
                <w:bCs/>
                <w:sz w:val="18"/>
                <w:szCs w:val="18"/>
                <w:lang w:eastAsia="zh-CN"/>
              </w:rPr>
            </w:pPr>
            <w:bookmarkStart w:id="17" w:name="_Hlk192289872"/>
            <w:bookmarkStart w:id="18" w:name="_Hlk192357003"/>
            <w:r>
              <w:rPr>
                <w:b/>
                <w:iCs/>
                <w:sz w:val="18"/>
              </w:rPr>
              <w:t>3</w:t>
            </w:r>
            <w:r w:rsidR="00017855">
              <w:rPr>
                <w:b/>
                <w:iCs/>
                <w:sz w:val="18"/>
              </w:rPr>
              <w:t>1</w:t>
            </w:r>
            <w:r>
              <w:rPr>
                <w:b/>
                <w:iCs/>
                <w:sz w:val="18"/>
              </w:rPr>
              <w:t xml:space="preserve"> </w:t>
            </w:r>
            <w:r w:rsidR="00017855">
              <w:rPr>
                <w:b/>
                <w:iCs/>
                <w:sz w:val="18"/>
              </w:rPr>
              <w:t>December</w:t>
            </w:r>
            <w:r w:rsidR="00017855" w:rsidRPr="00604C75">
              <w:rPr>
                <w:b/>
                <w:iCs/>
                <w:sz w:val="18"/>
              </w:rPr>
              <w:t xml:space="preserve"> </w:t>
            </w:r>
            <w:r w:rsidR="00E70EE2" w:rsidRPr="00604C75">
              <w:rPr>
                <w:b/>
                <w:bCs/>
                <w:sz w:val="18"/>
                <w:szCs w:val="18"/>
                <w:lang w:eastAsia="zh-CN"/>
              </w:rPr>
              <w:t>201</w:t>
            </w:r>
            <w:r w:rsidR="004E0D89" w:rsidRPr="00604C75">
              <w:rPr>
                <w:b/>
                <w:bCs/>
                <w:sz w:val="18"/>
                <w:szCs w:val="18"/>
                <w:lang w:eastAsia="zh-CN"/>
              </w:rPr>
              <w:t>5</w:t>
            </w:r>
            <w:r w:rsidR="00E70EE2" w:rsidRPr="00604C75">
              <w:rPr>
                <w:b/>
                <w:bCs/>
                <w:sz w:val="18"/>
                <w:szCs w:val="18"/>
                <w:lang w:eastAsia="zh-CN"/>
              </w:rPr>
              <w:t xml:space="preserve"> (Net)</w:t>
            </w:r>
          </w:p>
        </w:tc>
        <w:tc>
          <w:tcPr>
            <w:tcW w:w="1777" w:type="dxa"/>
            <w:shd w:val="clear" w:color="auto" w:fill="auto"/>
            <w:noWrap/>
            <w:vAlign w:val="bottom"/>
          </w:tcPr>
          <w:p w14:paraId="19F257BD" w14:textId="77777777" w:rsidR="00E70EE2" w:rsidRPr="00604C75" w:rsidRDefault="00E70EE2">
            <w:pPr>
              <w:jc w:val="right"/>
              <w:rPr>
                <w:b/>
                <w:sz w:val="18"/>
                <w:szCs w:val="18"/>
              </w:rPr>
            </w:pPr>
          </w:p>
        </w:tc>
        <w:tc>
          <w:tcPr>
            <w:tcW w:w="1659" w:type="dxa"/>
            <w:shd w:val="clear" w:color="auto" w:fill="auto"/>
            <w:noWrap/>
            <w:vAlign w:val="bottom"/>
          </w:tcPr>
          <w:p w14:paraId="011CBC1D" w14:textId="77777777" w:rsidR="00E70EE2" w:rsidRPr="00604C75" w:rsidRDefault="00E70EE2">
            <w:pPr>
              <w:jc w:val="right"/>
              <w:rPr>
                <w:b/>
                <w:sz w:val="18"/>
                <w:szCs w:val="18"/>
              </w:rPr>
            </w:pPr>
          </w:p>
        </w:tc>
        <w:tc>
          <w:tcPr>
            <w:tcW w:w="1701" w:type="dxa"/>
            <w:shd w:val="clear" w:color="auto" w:fill="auto"/>
            <w:noWrap/>
            <w:vAlign w:val="bottom"/>
          </w:tcPr>
          <w:p w14:paraId="46695ED4" w14:textId="77777777" w:rsidR="00E70EE2" w:rsidRPr="00604C75" w:rsidRDefault="00E70EE2">
            <w:pPr>
              <w:jc w:val="right"/>
              <w:rPr>
                <w:b/>
                <w:sz w:val="18"/>
                <w:szCs w:val="18"/>
              </w:rPr>
            </w:pPr>
          </w:p>
        </w:tc>
      </w:tr>
      <w:bookmarkEnd w:id="17"/>
      <w:tr w:rsidR="00224102" w:rsidRPr="00604C75" w14:paraId="77AF160C" w14:textId="77777777" w:rsidTr="00AD726D">
        <w:trPr>
          <w:trHeight w:val="242"/>
        </w:trPr>
        <w:tc>
          <w:tcPr>
            <w:tcW w:w="4242" w:type="dxa"/>
            <w:shd w:val="clear" w:color="auto" w:fill="auto"/>
            <w:noWrap/>
            <w:vAlign w:val="bottom"/>
          </w:tcPr>
          <w:p w14:paraId="50C98DBE" w14:textId="30D81FF8" w:rsidR="00224102" w:rsidRPr="00604C75" w:rsidRDefault="00224102" w:rsidP="00224102">
            <w:pPr>
              <w:ind w:left="-1" w:firstLine="30"/>
              <w:rPr>
                <w:noProof/>
                <w:sz w:val="18"/>
                <w:szCs w:val="18"/>
                <w:lang w:eastAsia="zh-CN"/>
              </w:rPr>
            </w:pPr>
            <w:r w:rsidRPr="00604C75">
              <w:rPr>
                <w:noProof/>
                <w:sz w:val="18"/>
                <w:szCs w:val="18"/>
                <w:lang w:eastAsia="zh-CN"/>
              </w:rPr>
              <w:t>Loans to Real Persons and Legal Entities (Gross)</w:t>
            </w:r>
          </w:p>
        </w:tc>
        <w:tc>
          <w:tcPr>
            <w:tcW w:w="1777" w:type="dxa"/>
            <w:shd w:val="clear" w:color="auto" w:fill="auto"/>
            <w:noWrap/>
            <w:vAlign w:val="bottom"/>
          </w:tcPr>
          <w:p w14:paraId="5F4F9A52" w14:textId="7FED3FBA" w:rsidR="00224102" w:rsidRDefault="00224102" w:rsidP="00224102">
            <w:pPr>
              <w:jc w:val="right"/>
              <w:rPr>
                <w:sz w:val="18"/>
                <w:szCs w:val="18"/>
              </w:rPr>
            </w:pPr>
            <w:r>
              <w:rPr>
                <w:sz w:val="18"/>
                <w:szCs w:val="18"/>
              </w:rPr>
              <w:t>105,537</w:t>
            </w:r>
          </w:p>
        </w:tc>
        <w:tc>
          <w:tcPr>
            <w:tcW w:w="1659" w:type="dxa"/>
            <w:shd w:val="clear" w:color="auto" w:fill="auto"/>
            <w:noWrap/>
            <w:vAlign w:val="bottom"/>
          </w:tcPr>
          <w:p w14:paraId="0BE03600" w14:textId="21F88DEC" w:rsidR="00224102" w:rsidRDefault="00224102" w:rsidP="00224102">
            <w:pPr>
              <w:jc w:val="right"/>
              <w:rPr>
                <w:sz w:val="18"/>
                <w:szCs w:val="18"/>
              </w:rPr>
            </w:pPr>
            <w:r>
              <w:rPr>
                <w:sz w:val="18"/>
                <w:szCs w:val="18"/>
              </w:rPr>
              <w:t>122,980</w:t>
            </w:r>
          </w:p>
        </w:tc>
        <w:tc>
          <w:tcPr>
            <w:tcW w:w="1701" w:type="dxa"/>
            <w:shd w:val="clear" w:color="auto" w:fill="auto"/>
            <w:noWrap/>
            <w:vAlign w:val="bottom"/>
          </w:tcPr>
          <w:p w14:paraId="33845B4B" w14:textId="0108407D" w:rsidR="00224102" w:rsidRDefault="00224102" w:rsidP="00224102">
            <w:pPr>
              <w:jc w:val="right"/>
              <w:rPr>
                <w:sz w:val="18"/>
                <w:szCs w:val="18"/>
              </w:rPr>
            </w:pPr>
            <w:r>
              <w:rPr>
                <w:sz w:val="18"/>
                <w:szCs w:val="18"/>
              </w:rPr>
              <w:t>288,824</w:t>
            </w:r>
          </w:p>
        </w:tc>
      </w:tr>
      <w:tr w:rsidR="00224102" w:rsidRPr="00604C75" w14:paraId="3DF27165" w14:textId="77777777" w:rsidTr="00AD726D">
        <w:trPr>
          <w:trHeight w:val="242"/>
        </w:trPr>
        <w:tc>
          <w:tcPr>
            <w:tcW w:w="4242" w:type="dxa"/>
            <w:shd w:val="clear" w:color="auto" w:fill="auto"/>
            <w:vAlign w:val="bottom"/>
          </w:tcPr>
          <w:p w14:paraId="12EDC758" w14:textId="77777777" w:rsidR="00224102" w:rsidRPr="00604C75" w:rsidRDefault="00224102" w:rsidP="00224102">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14:paraId="47052D8C" w14:textId="436391C6" w:rsidR="00224102" w:rsidRDefault="00224102" w:rsidP="00224102">
            <w:pPr>
              <w:jc w:val="right"/>
              <w:rPr>
                <w:sz w:val="18"/>
                <w:szCs w:val="18"/>
              </w:rPr>
            </w:pPr>
            <w:r>
              <w:rPr>
                <w:sz w:val="18"/>
                <w:szCs w:val="18"/>
              </w:rPr>
              <w:t>(14,376)</w:t>
            </w:r>
          </w:p>
        </w:tc>
        <w:tc>
          <w:tcPr>
            <w:tcW w:w="1659" w:type="dxa"/>
            <w:shd w:val="clear" w:color="auto" w:fill="auto"/>
            <w:noWrap/>
            <w:vAlign w:val="bottom"/>
          </w:tcPr>
          <w:p w14:paraId="2CB11EA4" w14:textId="60FB0F23" w:rsidR="00224102" w:rsidRDefault="00224102" w:rsidP="00224102">
            <w:pPr>
              <w:jc w:val="right"/>
              <w:rPr>
                <w:sz w:val="18"/>
                <w:szCs w:val="18"/>
              </w:rPr>
            </w:pPr>
            <w:r>
              <w:rPr>
                <w:sz w:val="18"/>
                <w:szCs w:val="18"/>
              </w:rPr>
              <w:t>(47,781)</w:t>
            </w:r>
          </w:p>
        </w:tc>
        <w:tc>
          <w:tcPr>
            <w:tcW w:w="1701" w:type="dxa"/>
            <w:shd w:val="clear" w:color="auto" w:fill="auto"/>
            <w:noWrap/>
            <w:vAlign w:val="bottom"/>
          </w:tcPr>
          <w:p w14:paraId="21F137B2" w14:textId="54DD6590" w:rsidR="00224102" w:rsidRDefault="00224102" w:rsidP="00224102">
            <w:pPr>
              <w:jc w:val="right"/>
              <w:rPr>
                <w:sz w:val="18"/>
                <w:szCs w:val="18"/>
              </w:rPr>
            </w:pPr>
            <w:r>
              <w:rPr>
                <w:sz w:val="18"/>
                <w:szCs w:val="18"/>
              </w:rPr>
              <w:t>(219,343)</w:t>
            </w:r>
          </w:p>
        </w:tc>
      </w:tr>
      <w:tr w:rsidR="00224102" w:rsidRPr="00604C75" w14:paraId="46C4648C" w14:textId="77777777" w:rsidTr="00AD726D">
        <w:trPr>
          <w:trHeight w:val="242"/>
        </w:trPr>
        <w:tc>
          <w:tcPr>
            <w:tcW w:w="4242" w:type="dxa"/>
            <w:shd w:val="clear" w:color="auto" w:fill="auto"/>
            <w:vAlign w:val="bottom"/>
          </w:tcPr>
          <w:p w14:paraId="18F4FF58" w14:textId="77777777" w:rsidR="00224102" w:rsidRPr="00604C75" w:rsidRDefault="00224102" w:rsidP="00224102">
            <w:pPr>
              <w:ind w:left="-1" w:firstLine="30"/>
              <w:rPr>
                <w:noProof/>
                <w:sz w:val="18"/>
                <w:szCs w:val="18"/>
                <w:lang w:eastAsia="zh-CN"/>
              </w:rPr>
            </w:pPr>
            <w:r w:rsidRPr="00604C75">
              <w:rPr>
                <w:noProof/>
                <w:sz w:val="18"/>
                <w:szCs w:val="18"/>
                <w:lang w:eastAsia="zh-CN"/>
              </w:rPr>
              <w:t>Loans to Real Persons and Legal Entities (Net)</w:t>
            </w:r>
          </w:p>
        </w:tc>
        <w:tc>
          <w:tcPr>
            <w:tcW w:w="1777" w:type="dxa"/>
            <w:shd w:val="clear" w:color="auto" w:fill="auto"/>
            <w:noWrap/>
            <w:vAlign w:val="bottom"/>
          </w:tcPr>
          <w:p w14:paraId="09F489AC" w14:textId="029BB4DD" w:rsidR="00224102" w:rsidRDefault="00224102" w:rsidP="00224102">
            <w:pPr>
              <w:jc w:val="right"/>
              <w:rPr>
                <w:sz w:val="18"/>
                <w:szCs w:val="18"/>
              </w:rPr>
            </w:pPr>
            <w:r>
              <w:rPr>
                <w:sz w:val="18"/>
                <w:szCs w:val="18"/>
              </w:rPr>
              <w:t>91,161</w:t>
            </w:r>
          </w:p>
        </w:tc>
        <w:tc>
          <w:tcPr>
            <w:tcW w:w="1659" w:type="dxa"/>
            <w:shd w:val="clear" w:color="auto" w:fill="auto"/>
            <w:noWrap/>
            <w:vAlign w:val="bottom"/>
          </w:tcPr>
          <w:p w14:paraId="05522F87" w14:textId="11F3E2CC" w:rsidR="00224102" w:rsidRDefault="00224102" w:rsidP="00224102">
            <w:pPr>
              <w:jc w:val="right"/>
              <w:rPr>
                <w:sz w:val="18"/>
                <w:szCs w:val="18"/>
              </w:rPr>
            </w:pPr>
            <w:r>
              <w:rPr>
                <w:sz w:val="18"/>
                <w:szCs w:val="18"/>
              </w:rPr>
              <w:t>75,199</w:t>
            </w:r>
          </w:p>
        </w:tc>
        <w:tc>
          <w:tcPr>
            <w:tcW w:w="1701" w:type="dxa"/>
            <w:shd w:val="clear" w:color="auto" w:fill="auto"/>
            <w:noWrap/>
            <w:vAlign w:val="bottom"/>
          </w:tcPr>
          <w:p w14:paraId="3CF60FAE" w14:textId="29FFB436" w:rsidR="00224102" w:rsidRDefault="00224102" w:rsidP="00224102">
            <w:pPr>
              <w:jc w:val="right"/>
              <w:rPr>
                <w:sz w:val="18"/>
                <w:szCs w:val="18"/>
              </w:rPr>
            </w:pPr>
            <w:r>
              <w:rPr>
                <w:sz w:val="18"/>
                <w:szCs w:val="18"/>
              </w:rPr>
              <w:t>69,481</w:t>
            </w:r>
          </w:p>
        </w:tc>
      </w:tr>
      <w:tr w:rsidR="00224102" w:rsidRPr="00604C75" w14:paraId="13C68552" w14:textId="77777777" w:rsidTr="00AD726D">
        <w:trPr>
          <w:trHeight w:val="242"/>
        </w:trPr>
        <w:tc>
          <w:tcPr>
            <w:tcW w:w="4242" w:type="dxa"/>
            <w:shd w:val="clear" w:color="auto" w:fill="auto"/>
            <w:noWrap/>
            <w:vAlign w:val="bottom"/>
          </w:tcPr>
          <w:p w14:paraId="77521CA2" w14:textId="77777777" w:rsidR="00224102" w:rsidRPr="00604C75" w:rsidRDefault="00224102" w:rsidP="00224102">
            <w:pPr>
              <w:ind w:left="-1" w:firstLine="30"/>
              <w:rPr>
                <w:noProof/>
                <w:sz w:val="18"/>
                <w:szCs w:val="18"/>
                <w:lang w:eastAsia="zh-CN"/>
              </w:rPr>
            </w:pPr>
            <w:r w:rsidRPr="00604C75">
              <w:rPr>
                <w:noProof/>
                <w:sz w:val="18"/>
                <w:szCs w:val="18"/>
                <w:lang w:eastAsia="zh-CN"/>
              </w:rPr>
              <w:t>Banks (Gross)</w:t>
            </w:r>
          </w:p>
        </w:tc>
        <w:tc>
          <w:tcPr>
            <w:tcW w:w="1777" w:type="dxa"/>
            <w:shd w:val="clear" w:color="auto" w:fill="auto"/>
            <w:noWrap/>
            <w:vAlign w:val="bottom"/>
          </w:tcPr>
          <w:p w14:paraId="24216186" w14:textId="166E11A0"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2FA71019" w14:textId="78566984"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37214E53" w14:textId="73A3F6DB"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182B9077" w14:textId="77777777" w:rsidTr="00AD726D">
        <w:trPr>
          <w:trHeight w:val="242"/>
        </w:trPr>
        <w:tc>
          <w:tcPr>
            <w:tcW w:w="4242" w:type="dxa"/>
            <w:shd w:val="clear" w:color="auto" w:fill="auto"/>
            <w:noWrap/>
            <w:vAlign w:val="bottom"/>
          </w:tcPr>
          <w:p w14:paraId="41F552FC" w14:textId="77777777" w:rsidR="00224102" w:rsidRPr="00604C75" w:rsidRDefault="00224102" w:rsidP="00224102">
            <w:pPr>
              <w:rPr>
                <w:noProof/>
                <w:sz w:val="18"/>
                <w:szCs w:val="18"/>
                <w:lang w:eastAsia="zh-CN"/>
              </w:rPr>
            </w:pPr>
            <w:r>
              <w:rPr>
                <w:noProof/>
                <w:sz w:val="18"/>
                <w:szCs w:val="18"/>
                <w:lang w:eastAsia="zh-CN"/>
              </w:rPr>
              <w:t xml:space="preserve"> </w:t>
            </w:r>
            <w:r w:rsidRPr="00604C75">
              <w:rPr>
                <w:noProof/>
                <w:sz w:val="18"/>
                <w:szCs w:val="18"/>
                <w:lang w:eastAsia="zh-CN"/>
              </w:rPr>
              <w:t>Specific Provision Amount (-)</w:t>
            </w:r>
          </w:p>
        </w:tc>
        <w:tc>
          <w:tcPr>
            <w:tcW w:w="1777" w:type="dxa"/>
            <w:shd w:val="clear" w:color="auto" w:fill="auto"/>
            <w:noWrap/>
            <w:vAlign w:val="bottom"/>
          </w:tcPr>
          <w:p w14:paraId="7B7D7039" w14:textId="2A20BE4F"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16474361" w14:textId="1E93A50D"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46F09FB4" w14:textId="39CE10F1"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10613DFC" w14:textId="77777777" w:rsidTr="00AD726D">
        <w:trPr>
          <w:trHeight w:val="242"/>
        </w:trPr>
        <w:tc>
          <w:tcPr>
            <w:tcW w:w="4242" w:type="dxa"/>
            <w:shd w:val="clear" w:color="auto" w:fill="auto"/>
            <w:noWrap/>
            <w:vAlign w:val="bottom"/>
          </w:tcPr>
          <w:p w14:paraId="5A51D110" w14:textId="77777777" w:rsidR="00224102" w:rsidRPr="00604C75" w:rsidRDefault="00224102" w:rsidP="00224102">
            <w:pPr>
              <w:ind w:left="-1" w:firstLine="30"/>
              <w:rPr>
                <w:noProof/>
                <w:sz w:val="18"/>
                <w:szCs w:val="18"/>
                <w:lang w:eastAsia="zh-CN"/>
              </w:rPr>
            </w:pPr>
            <w:r w:rsidRPr="00604C75">
              <w:rPr>
                <w:noProof/>
                <w:sz w:val="18"/>
                <w:szCs w:val="18"/>
                <w:lang w:eastAsia="zh-CN"/>
              </w:rPr>
              <w:t>Banks (Net)</w:t>
            </w:r>
          </w:p>
        </w:tc>
        <w:tc>
          <w:tcPr>
            <w:tcW w:w="1777" w:type="dxa"/>
            <w:shd w:val="clear" w:color="auto" w:fill="auto"/>
            <w:noWrap/>
            <w:vAlign w:val="bottom"/>
          </w:tcPr>
          <w:p w14:paraId="0FCE369F" w14:textId="33DCA801"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75122323" w14:textId="51EAE908"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53DAEA74" w14:textId="1D1FAB70"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3AC71444" w14:textId="77777777" w:rsidTr="00AD726D">
        <w:trPr>
          <w:trHeight w:val="242"/>
        </w:trPr>
        <w:tc>
          <w:tcPr>
            <w:tcW w:w="4242" w:type="dxa"/>
            <w:shd w:val="clear" w:color="auto" w:fill="auto"/>
            <w:noWrap/>
            <w:vAlign w:val="bottom"/>
          </w:tcPr>
          <w:p w14:paraId="7D9397DA" w14:textId="77777777" w:rsidR="00224102" w:rsidRPr="00604C75" w:rsidRDefault="00224102" w:rsidP="00224102">
            <w:pPr>
              <w:ind w:left="-1" w:firstLine="30"/>
              <w:rPr>
                <w:noProof/>
                <w:sz w:val="18"/>
                <w:szCs w:val="18"/>
                <w:lang w:eastAsia="zh-CN"/>
              </w:rPr>
            </w:pPr>
            <w:r w:rsidRPr="00604C75">
              <w:rPr>
                <w:noProof/>
                <w:sz w:val="18"/>
                <w:szCs w:val="18"/>
                <w:lang w:eastAsia="zh-CN"/>
              </w:rPr>
              <w:t>Other Loans and Receivables (Gross)</w:t>
            </w:r>
          </w:p>
        </w:tc>
        <w:tc>
          <w:tcPr>
            <w:tcW w:w="1777" w:type="dxa"/>
            <w:shd w:val="clear" w:color="auto" w:fill="auto"/>
            <w:noWrap/>
            <w:vAlign w:val="bottom"/>
          </w:tcPr>
          <w:p w14:paraId="223585F3" w14:textId="2C4A0988"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7A608993" w14:textId="0752695C"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648AC57C" w14:textId="51ABF800"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6AE7FCE0" w14:textId="77777777" w:rsidTr="00AD726D">
        <w:trPr>
          <w:trHeight w:val="242"/>
        </w:trPr>
        <w:tc>
          <w:tcPr>
            <w:tcW w:w="4242" w:type="dxa"/>
            <w:shd w:val="clear" w:color="auto" w:fill="auto"/>
            <w:noWrap/>
            <w:vAlign w:val="bottom"/>
          </w:tcPr>
          <w:p w14:paraId="026155F7" w14:textId="77777777" w:rsidR="00224102" w:rsidRPr="00604C75" w:rsidRDefault="00224102" w:rsidP="00224102">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14:paraId="6B2B8F5D" w14:textId="76288B65"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0127CA31" w14:textId="083B7EB9"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6E847777" w14:textId="5C1626B4"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4C82584A" w14:textId="77777777" w:rsidTr="00AD726D">
        <w:trPr>
          <w:trHeight w:val="242"/>
        </w:trPr>
        <w:tc>
          <w:tcPr>
            <w:tcW w:w="4242" w:type="dxa"/>
            <w:shd w:val="clear" w:color="auto" w:fill="auto"/>
            <w:noWrap/>
            <w:vAlign w:val="bottom"/>
          </w:tcPr>
          <w:p w14:paraId="60DD114A" w14:textId="77777777" w:rsidR="00224102" w:rsidRPr="00604C75" w:rsidRDefault="00224102" w:rsidP="00224102">
            <w:pPr>
              <w:ind w:left="-1" w:firstLine="30"/>
              <w:rPr>
                <w:noProof/>
                <w:sz w:val="18"/>
                <w:szCs w:val="18"/>
                <w:lang w:eastAsia="zh-CN"/>
              </w:rPr>
            </w:pPr>
            <w:r w:rsidRPr="00604C75">
              <w:rPr>
                <w:noProof/>
                <w:sz w:val="18"/>
                <w:szCs w:val="18"/>
                <w:lang w:eastAsia="zh-CN"/>
              </w:rPr>
              <w:t>Other Loans and Receivables (Net)</w:t>
            </w:r>
          </w:p>
        </w:tc>
        <w:tc>
          <w:tcPr>
            <w:tcW w:w="1777" w:type="dxa"/>
            <w:shd w:val="clear" w:color="auto" w:fill="auto"/>
            <w:noWrap/>
            <w:vAlign w:val="bottom"/>
          </w:tcPr>
          <w:p w14:paraId="1BED1DB9" w14:textId="66258583"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729A13E0" w14:textId="6F196CD9"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1BF97821" w14:textId="4D276920"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13FB907F" w14:textId="77777777" w:rsidTr="00AD726D">
        <w:trPr>
          <w:trHeight w:val="242"/>
        </w:trPr>
        <w:tc>
          <w:tcPr>
            <w:tcW w:w="4242" w:type="dxa"/>
            <w:shd w:val="clear" w:color="auto" w:fill="auto"/>
            <w:noWrap/>
            <w:vAlign w:val="bottom"/>
          </w:tcPr>
          <w:p w14:paraId="3F81E19B" w14:textId="77777777" w:rsidR="00224102" w:rsidRPr="00604C75" w:rsidRDefault="00224102" w:rsidP="00224102">
            <w:pPr>
              <w:ind w:firstLine="30"/>
              <w:rPr>
                <w:b/>
                <w:bCs/>
                <w:sz w:val="18"/>
                <w:szCs w:val="18"/>
                <w:lang w:eastAsia="zh-CN"/>
              </w:rPr>
            </w:pPr>
            <w:r w:rsidRPr="00604C75">
              <w:rPr>
                <w:b/>
                <w:bCs/>
                <w:sz w:val="18"/>
                <w:szCs w:val="18"/>
                <w:lang w:eastAsia="zh-CN"/>
              </w:rPr>
              <w:t>31 December 2014 (Net)</w:t>
            </w:r>
          </w:p>
        </w:tc>
        <w:tc>
          <w:tcPr>
            <w:tcW w:w="1777" w:type="dxa"/>
            <w:shd w:val="clear" w:color="auto" w:fill="auto"/>
            <w:noWrap/>
            <w:vAlign w:val="bottom"/>
          </w:tcPr>
          <w:p w14:paraId="74B8BF29" w14:textId="77777777" w:rsidR="00224102" w:rsidRPr="00692926" w:rsidRDefault="00224102" w:rsidP="00224102">
            <w:pPr>
              <w:jc w:val="right"/>
              <w:rPr>
                <w:b/>
                <w:sz w:val="18"/>
                <w:szCs w:val="18"/>
              </w:rPr>
            </w:pPr>
          </w:p>
        </w:tc>
        <w:tc>
          <w:tcPr>
            <w:tcW w:w="1659" w:type="dxa"/>
            <w:shd w:val="clear" w:color="auto" w:fill="auto"/>
            <w:noWrap/>
            <w:vAlign w:val="bottom"/>
          </w:tcPr>
          <w:p w14:paraId="6E8A8F83" w14:textId="77777777" w:rsidR="00224102" w:rsidRPr="00692926" w:rsidRDefault="00224102" w:rsidP="00224102">
            <w:pPr>
              <w:jc w:val="right"/>
              <w:rPr>
                <w:b/>
                <w:sz w:val="18"/>
                <w:szCs w:val="18"/>
              </w:rPr>
            </w:pPr>
          </w:p>
        </w:tc>
        <w:tc>
          <w:tcPr>
            <w:tcW w:w="1701" w:type="dxa"/>
            <w:shd w:val="clear" w:color="auto" w:fill="auto"/>
            <w:noWrap/>
            <w:vAlign w:val="bottom"/>
          </w:tcPr>
          <w:p w14:paraId="54B08C19" w14:textId="77777777" w:rsidR="00224102" w:rsidRPr="00692926" w:rsidRDefault="00224102" w:rsidP="00224102">
            <w:pPr>
              <w:jc w:val="right"/>
              <w:rPr>
                <w:b/>
                <w:sz w:val="18"/>
                <w:szCs w:val="18"/>
              </w:rPr>
            </w:pPr>
          </w:p>
        </w:tc>
      </w:tr>
      <w:tr w:rsidR="00224102" w:rsidRPr="00604C75" w14:paraId="7E6CB10E" w14:textId="77777777" w:rsidTr="00AD726D">
        <w:trPr>
          <w:trHeight w:val="242"/>
        </w:trPr>
        <w:tc>
          <w:tcPr>
            <w:tcW w:w="4242" w:type="dxa"/>
            <w:shd w:val="clear" w:color="auto" w:fill="auto"/>
            <w:noWrap/>
            <w:vAlign w:val="bottom"/>
          </w:tcPr>
          <w:p w14:paraId="34E323D1" w14:textId="6E4F3C5E" w:rsidR="00224102" w:rsidRPr="00604C75" w:rsidRDefault="00224102" w:rsidP="00224102">
            <w:pPr>
              <w:ind w:left="-1" w:firstLine="30"/>
              <w:rPr>
                <w:noProof/>
                <w:sz w:val="18"/>
                <w:szCs w:val="18"/>
                <w:lang w:eastAsia="zh-CN"/>
              </w:rPr>
            </w:pPr>
            <w:r w:rsidRPr="00604C75">
              <w:rPr>
                <w:noProof/>
                <w:sz w:val="18"/>
                <w:szCs w:val="18"/>
                <w:lang w:eastAsia="zh-CN"/>
              </w:rPr>
              <w:t>Loans to Real Persons and Legal Entities (Gross)</w:t>
            </w:r>
          </w:p>
        </w:tc>
        <w:tc>
          <w:tcPr>
            <w:tcW w:w="1777" w:type="dxa"/>
            <w:shd w:val="clear" w:color="auto" w:fill="auto"/>
            <w:noWrap/>
            <w:vAlign w:val="bottom"/>
          </w:tcPr>
          <w:p w14:paraId="08E1CDF0" w14:textId="10963EC3" w:rsidR="00224102" w:rsidRPr="00692926" w:rsidRDefault="00224102" w:rsidP="00224102">
            <w:pPr>
              <w:jc w:val="right"/>
              <w:rPr>
                <w:sz w:val="18"/>
                <w:szCs w:val="18"/>
              </w:rPr>
            </w:pPr>
            <w:r w:rsidRPr="00692926">
              <w:rPr>
                <w:sz w:val="18"/>
                <w:szCs w:val="18"/>
              </w:rPr>
              <w:t>42,408</w:t>
            </w:r>
          </w:p>
        </w:tc>
        <w:tc>
          <w:tcPr>
            <w:tcW w:w="1659" w:type="dxa"/>
            <w:shd w:val="clear" w:color="auto" w:fill="auto"/>
            <w:noWrap/>
            <w:vAlign w:val="bottom"/>
          </w:tcPr>
          <w:p w14:paraId="59A62ED4" w14:textId="66ED1587" w:rsidR="00224102" w:rsidRPr="00692926" w:rsidRDefault="00224102" w:rsidP="00224102">
            <w:pPr>
              <w:jc w:val="right"/>
              <w:rPr>
                <w:sz w:val="18"/>
                <w:szCs w:val="18"/>
              </w:rPr>
            </w:pPr>
            <w:r w:rsidRPr="00692926">
              <w:rPr>
                <w:sz w:val="18"/>
                <w:szCs w:val="18"/>
              </w:rPr>
              <w:t>113,503</w:t>
            </w:r>
          </w:p>
        </w:tc>
        <w:tc>
          <w:tcPr>
            <w:tcW w:w="1701" w:type="dxa"/>
            <w:shd w:val="clear" w:color="auto" w:fill="auto"/>
            <w:noWrap/>
            <w:vAlign w:val="bottom"/>
          </w:tcPr>
          <w:p w14:paraId="575F4F29" w14:textId="630AEE2F" w:rsidR="00224102" w:rsidRPr="00692926" w:rsidRDefault="00224102" w:rsidP="00224102">
            <w:pPr>
              <w:jc w:val="right"/>
              <w:rPr>
                <w:sz w:val="18"/>
                <w:szCs w:val="18"/>
              </w:rPr>
            </w:pPr>
            <w:r w:rsidRPr="00692926">
              <w:rPr>
                <w:sz w:val="18"/>
                <w:szCs w:val="18"/>
              </w:rPr>
              <w:t>284,962</w:t>
            </w:r>
          </w:p>
        </w:tc>
      </w:tr>
      <w:tr w:rsidR="00224102" w:rsidRPr="00604C75" w14:paraId="3BFE8619" w14:textId="77777777" w:rsidTr="00AD726D">
        <w:trPr>
          <w:trHeight w:val="242"/>
        </w:trPr>
        <w:tc>
          <w:tcPr>
            <w:tcW w:w="4242" w:type="dxa"/>
            <w:shd w:val="clear" w:color="auto" w:fill="auto"/>
            <w:noWrap/>
            <w:vAlign w:val="bottom"/>
          </w:tcPr>
          <w:p w14:paraId="2AD16C22" w14:textId="77777777" w:rsidR="00224102" w:rsidRPr="00604C75" w:rsidRDefault="00224102" w:rsidP="00224102">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14:paraId="3F2E2C8B" w14:textId="51609D12" w:rsidR="00224102" w:rsidRPr="00692926" w:rsidRDefault="00224102" w:rsidP="00224102">
            <w:pPr>
              <w:jc w:val="right"/>
              <w:rPr>
                <w:sz w:val="18"/>
                <w:szCs w:val="18"/>
              </w:rPr>
            </w:pPr>
            <w:r w:rsidRPr="00692926">
              <w:rPr>
                <w:sz w:val="18"/>
                <w:szCs w:val="18"/>
              </w:rPr>
              <w:t>5,663</w:t>
            </w:r>
          </w:p>
        </w:tc>
        <w:tc>
          <w:tcPr>
            <w:tcW w:w="1659" w:type="dxa"/>
            <w:shd w:val="clear" w:color="auto" w:fill="auto"/>
            <w:noWrap/>
            <w:vAlign w:val="bottom"/>
          </w:tcPr>
          <w:p w14:paraId="696FA251" w14:textId="1922895D" w:rsidR="00224102" w:rsidRPr="00692926" w:rsidRDefault="00224102" w:rsidP="00224102">
            <w:pPr>
              <w:jc w:val="right"/>
              <w:rPr>
                <w:sz w:val="18"/>
                <w:szCs w:val="18"/>
              </w:rPr>
            </w:pPr>
            <w:r w:rsidRPr="00692926">
              <w:rPr>
                <w:sz w:val="18"/>
                <w:szCs w:val="18"/>
              </w:rPr>
              <w:t>45,005</w:t>
            </w:r>
          </w:p>
        </w:tc>
        <w:tc>
          <w:tcPr>
            <w:tcW w:w="1701" w:type="dxa"/>
            <w:shd w:val="clear" w:color="auto" w:fill="auto"/>
            <w:noWrap/>
            <w:vAlign w:val="bottom"/>
          </w:tcPr>
          <w:p w14:paraId="7AB2E4C0" w14:textId="5B247069" w:rsidR="00224102" w:rsidRPr="00692926" w:rsidRDefault="00224102" w:rsidP="00224102">
            <w:pPr>
              <w:jc w:val="right"/>
              <w:rPr>
                <w:sz w:val="18"/>
                <w:szCs w:val="18"/>
              </w:rPr>
            </w:pPr>
            <w:r w:rsidRPr="00692926">
              <w:rPr>
                <w:sz w:val="18"/>
                <w:szCs w:val="18"/>
              </w:rPr>
              <w:t>218,575</w:t>
            </w:r>
          </w:p>
        </w:tc>
      </w:tr>
      <w:tr w:rsidR="00224102" w:rsidRPr="00604C75" w14:paraId="145E186E" w14:textId="77777777" w:rsidTr="00AD726D">
        <w:trPr>
          <w:trHeight w:val="242"/>
        </w:trPr>
        <w:tc>
          <w:tcPr>
            <w:tcW w:w="4242" w:type="dxa"/>
            <w:shd w:val="clear" w:color="auto" w:fill="auto"/>
            <w:noWrap/>
            <w:vAlign w:val="bottom"/>
          </w:tcPr>
          <w:p w14:paraId="2E6B39BC" w14:textId="70CBC2BA" w:rsidR="00224102" w:rsidRPr="00604C75" w:rsidRDefault="00224102" w:rsidP="00224102">
            <w:pPr>
              <w:ind w:left="-1" w:firstLine="30"/>
              <w:rPr>
                <w:noProof/>
                <w:sz w:val="18"/>
                <w:szCs w:val="18"/>
                <w:lang w:eastAsia="zh-CN"/>
              </w:rPr>
            </w:pPr>
            <w:r w:rsidRPr="00604C75">
              <w:rPr>
                <w:noProof/>
                <w:sz w:val="18"/>
                <w:szCs w:val="18"/>
                <w:lang w:eastAsia="zh-CN"/>
              </w:rPr>
              <w:t>Loans to Real Persons and Legal Entities (Net)</w:t>
            </w:r>
          </w:p>
        </w:tc>
        <w:tc>
          <w:tcPr>
            <w:tcW w:w="1777" w:type="dxa"/>
            <w:shd w:val="clear" w:color="auto" w:fill="auto"/>
            <w:noWrap/>
            <w:vAlign w:val="bottom"/>
          </w:tcPr>
          <w:p w14:paraId="6292B42A" w14:textId="38AB49F8" w:rsidR="00224102" w:rsidRPr="00692926" w:rsidRDefault="00224102" w:rsidP="00224102">
            <w:pPr>
              <w:jc w:val="right"/>
              <w:rPr>
                <w:sz w:val="18"/>
                <w:szCs w:val="18"/>
              </w:rPr>
            </w:pPr>
            <w:r w:rsidRPr="00692926">
              <w:rPr>
                <w:sz w:val="18"/>
                <w:szCs w:val="18"/>
              </w:rPr>
              <w:t>36,745</w:t>
            </w:r>
          </w:p>
        </w:tc>
        <w:tc>
          <w:tcPr>
            <w:tcW w:w="1659" w:type="dxa"/>
            <w:shd w:val="clear" w:color="auto" w:fill="auto"/>
            <w:noWrap/>
            <w:vAlign w:val="bottom"/>
          </w:tcPr>
          <w:p w14:paraId="3116AB6A" w14:textId="53C763A4" w:rsidR="00224102" w:rsidRPr="00692926" w:rsidRDefault="00224102" w:rsidP="00224102">
            <w:pPr>
              <w:jc w:val="right"/>
              <w:rPr>
                <w:sz w:val="18"/>
                <w:szCs w:val="18"/>
              </w:rPr>
            </w:pPr>
            <w:r w:rsidRPr="00692926">
              <w:rPr>
                <w:sz w:val="18"/>
                <w:szCs w:val="18"/>
              </w:rPr>
              <w:t>68,498</w:t>
            </w:r>
          </w:p>
        </w:tc>
        <w:tc>
          <w:tcPr>
            <w:tcW w:w="1701" w:type="dxa"/>
            <w:shd w:val="clear" w:color="auto" w:fill="auto"/>
            <w:noWrap/>
            <w:vAlign w:val="bottom"/>
          </w:tcPr>
          <w:p w14:paraId="4DBADA86" w14:textId="60393B03" w:rsidR="00224102" w:rsidRPr="00692926" w:rsidRDefault="00224102" w:rsidP="00224102">
            <w:pPr>
              <w:jc w:val="right"/>
              <w:rPr>
                <w:sz w:val="18"/>
                <w:szCs w:val="18"/>
              </w:rPr>
            </w:pPr>
            <w:r w:rsidRPr="00692926">
              <w:rPr>
                <w:sz w:val="18"/>
                <w:szCs w:val="18"/>
              </w:rPr>
              <w:t>66,387</w:t>
            </w:r>
          </w:p>
        </w:tc>
      </w:tr>
      <w:tr w:rsidR="00224102" w:rsidRPr="00604C75" w14:paraId="1AE9EC22" w14:textId="77777777" w:rsidTr="00AD726D">
        <w:trPr>
          <w:trHeight w:val="242"/>
        </w:trPr>
        <w:tc>
          <w:tcPr>
            <w:tcW w:w="4242" w:type="dxa"/>
            <w:shd w:val="clear" w:color="auto" w:fill="auto"/>
            <w:noWrap/>
            <w:vAlign w:val="bottom"/>
          </w:tcPr>
          <w:p w14:paraId="78DBEDF4" w14:textId="77777777" w:rsidR="00224102" w:rsidRPr="00604C75" w:rsidRDefault="00224102" w:rsidP="00224102">
            <w:pPr>
              <w:ind w:left="-1" w:firstLine="30"/>
              <w:rPr>
                <w:noProof/>
                <w:sz w:val="18"/>
                <w:szCs w:val="18"/>
                <w:lang w:eastAsia="zh-CN"/>
              </w:rPr>
            </w:pPr>
            <w:r w:rsidRPr="00604C75">
              <w:rPr>
                <w:noProof/>
                <w:sz w:val="18"/>
                <w:szCs w:val="18"/>
                <w:lang w:eastAsia="zh-CN"/>
              </w:rPr>
              <w:t>Banks (Gross)</w:t>
            </w:r>
          </w:p>
        </w:tc>
        <w:tc>
          <w:tcPr>
            <w:tcW w:w="1777" w:type="dxa"/>
            <w:shd w:val="clear" w:color="auto" w:fill="auto"/>
            <w:noWrap/>
            <w:vAlign w:val="bottom"/>
          </w:tcPr>
          <w:p w14:paraId="28449A1C" w14:textId="3F35184F"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6AD8F05F" w14:textId="5750F6EF"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1F8A624D" w14:textId="16754E72"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337B00A6" w14:textId="77777777" w:rsidTr="00AD726D">
        <w:trPr>
          <w:trHeight w:val="242"/>
        </w:trPr>
        <w:tc>
          <w:tcPr>
            <w:tcW w:w="4242" w:type="dxa"/>
            <w:shd w:val="clear" w:color="auto" w:fill="auto"/>
            <w:noWrap/>
            <w:vAlign w:val="bottom"/>
          </w:tcPr>
          <w:p w14:paraId="1B1484C2" w14:textId="77777777" w:rsidR="00224102" w:rsidRPr="00604C75" w:rsidRDefault="00224102" w:rsidP="00224102">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14:paraId="7D35C6FD" w14:textId="50E7D0E9"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131FC0D0" w14:textId="6F5191A0"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4434AA6D" w14:textId="4396896F"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42B2C7B3" w14:textId="77777777" w:rsidTr="00AD726D">
        <w:trPr>
          <w:trHeight w:val="242"/>
        </w:trPr>
        <w:tc>
          <w:tcPr>
            <w:tcW w:w="4242" w:type="dxa"/>
            <w:shd w:val="clear" w:color="auto" w:fill="auto"/>
            <w:noWrap/>
            <w:vAlign w:val="center"/>
          </w:tcPr>
          <w:p w14:paraId="10D4AD1C" w14:textId="77777777" w:rsidR="00224102" w:rsidRPr="00604C75" w:rsidRDefault="00224102" w:rsidP="00224102">
            <w:pPr>
              <w:ind w:left="-1" w:firstLine="30"/>
              <w:rPr>
                <w:noProof/>
                <w:sz w:val="18"/>
                <w:szCs w:val="18"/>
                <w:lang w:eastAsia="zh-CN"/>
              </w:rPr>
            </w:pPr>
            <w:r w:rsidRPr="00604C75">
              <w:rPr>
                <w:iCs/>
                <w:sz w:val="18"/>
                <w:szCs w:val="18"/>
              </w:rPr>
              <w:t>Banks (Net)</w:t>
            </w:r>
          </w:p>
        </w:tc>
        <w:tc>
          <w:tcPr>
            <w:tcW w:w="1777" w:type="dxa"/>
            <w:shd w:val="clear" w:color="auto" w:fill="auto"/>
            <w:noWrap/>
            <w:vAlign w:val="bottom"/>
          </w:tcPr>
          <w:p w14:paraId="4A01C59E" w14:textId="4090598B"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41070BF3" w14:textId="1E494D7F"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4662430B" w14:textId="04AE32E2"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2D753606" w14:textId="77777777" w:rsidTr="00AD726D">
        <w:trPr>
          <w:trHeight w:val="242"/>
        </w:trPr>
        <w:tc>
          <w:tcPr>
            <w:tcW w:w="4242" w:type="dxa"/>
            <w:shd w:val="clear" w:color="auto" w:fill="auto"/>
            <w:vAlign w:val="bottom"/>
          </w:tcPr>
          <w:p w14:paraId="5FA3FB89" w14:textId="77777777" w:rsidR="00224102" w:rsidRPr="00604C75" w:rsidRDefault="00224102" w:rsidP="00224102">
            <w:pPr>
              <w:ind w:left="-1" w:firstLine="30"/>
              <w:rPr>
                <w:noProof/>
                <w:sz w:val="18"/>
                <w:szCs w:val="18"/>
                <w:lang w:eastAsia="zh-CN"/>
              </w:rPr>
            </w:pPr>
            <w:r w:rsidRPr="00604C75">
              <w:rPr>
                <w:noProof/>
                <w:sz w:val="18"/>
                <w:szCs w:val="18"/>
                <w:lang w:eastAsia="zh-CN"/>
              </w:rPr>
              <w:t>Other Loans and Receivables (Gross)</w:t>
            </w:r>
          </w:p>
        </w:tc>
        <w:tc>
          <w:tcPr>
            <w:tcW w:w="1777" w:type="dxa"/>
            <w:shd w:val="clear" w:color="auto" w:fill="auto"/>
            <w:noWrap/>
            <w:vAlign w:val="bottom"/>
          </w:tcPr>
          <w:p w14:paraId="30F5AAFC" w14:textId="7945F9D1"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5BAD54D2" w14:textId="32E6F3B9"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239BDCE0" w14:textId="43BBB725"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14792F3E" w14:textId="77777777" w:rsidTr="00AD726D">
        <w:trPr>
          <w:trHeight w:val="242"/>
        </w:trPr>
        <w:tc>
          <w:tcPr>
            <w:tcW w:w="4242" w:type="dxa"/>
            <w:shd w:val="clear" w:color="auto" w:fill="auto"/>
            <w:vAlign w:val="bottom"/>
          </w:tcPr>
          <w:p w14:paraId="04A643F3" w14:textId="77777777" w:rsidR="00224102" w:rsidRPr="00604C75" w:rsidRDefault="00224102" w:rsidP="00224102">
            <w:pPr>
              <w:rPr>
                <w:noProof/>
                <w:sz w:val="18"/>
                <w:szCs w:val="18"/>
                <w:lang w:eastAsia="zh-CN"/>
              </w:rPr>
            </w:pPr>
            <w:r w:rsidRPr="00604C75">
              <w:rPr>
                <w:noProof/>
                <w:sz w:val="18"/>
                <w:szCs w:val="18"/>
                <w:lang w:eastAsia="zh-CN"/>
              </w:rPr>
              <w:t xml:space="preserve"> Specific Provision Amount (-)</w:t>
            </w:r>
          </w:p>
        </w:tc>
        <w:tc>
          <w:tcPr>
            <w:tcW w:w="1777" w:type="dxa"/>
            <w:shd w:val="clear" w:color="auto" w:fill="auto"/>
            <w:noWrap/>
            <w:vAlign w:val="bottom"/>
          </w:tcPr>
          <w:p w14:paraId="7989647E" w14:textId="78A9A2AE"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26E11DDA" w14:textId="1B164243"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2542F336" w14:textId="468D9D9F" w:rsidR="00224102" w:rsidRPr="00692926" w:rsidRDefault="00224102" w:rsidP="00224102">
            <w:pPr>
              <w:jc w:val="right"/>
              <w:rPr>
                <w:sz w:val="18"/>
                <w:szCs w:val="18"/>
                <w:lang w:eastAsia="zh-CN"/>
              </w:rPr>
            </w:pPr>
            <w:r w:rsidRPr="00692926">
              <w:rPr>
                <w:sz w:val="18"/>
                <w:szCs w:val="18"/>
                <w:lang w:eastAsia="zh-CN"/>
              </w:rPr>
              <w:t>-</w:t>
            </w:r>
          </w:p>
        </w:tc>
      </w:tr>
      <w:tr w:rsidR="00224102" w:rsidRPr="00604C75" w14:paraId="226EFFD5" w14:textId="77777777" w:rsidTr="00AD726D">
        <w:trPr>
          <w:trHeight w:val="256"/>
        </w:trPr>
        <w:tc>
          <w:tcPr>
            <w:tcW w:w="4242" w:type="dxa"/>
            <w:shd w:val="clear" w:color="auto" w:fill="auto"/>
            <w:vAlign w:val="bottom"/>
          </w:tcPr>
          <w:p w14:paraId="08162216" w14:textId="77777777" w:rsidR="00224102" w:rsidRPr="00604C75" w:rsidRDefault="00224102" w:rsidP="00224102">
            <w:pPr>
              <w:ind w:left="-1" w:firstLine="30"/>
              <w:rPr>
                <w:noProof/>
                <w:sz w:val="18"/>
                <w:szCs w:val="18"/>
                <w:lang w:eastAsia="zh-CN"/>
              </w:rPr>
            </w:pPr>
            <w:r w:rsidRPr="00604C75">
              <w:rPr>
                <w:noProof/>
                <w:sz w:val="18"/>
                <w:szCs w:val="18"/>
                <w:lang w:eastAsia="zh-CN"/>
              </w:rPr>
              <w:t>Other Loans and Receivables (Net)</w:t>
            </w:r>
          </w:p>
        </w:tc>
        <w:tc>
          <w:tcPr>
            <w:tcW w:w="1777" w:type="dxa"/>
            <w:shd w:val="clear" w:color="auto" w:fill="auto"/>
            <w:noWrap/>
            <w:vAlign w:val="bottom"/>
          </w:tcPr>
          <w:p w14:paraId="5426612F" w14:textId="7BEAFE62" w:rsidR="00224102" w:rsidRPr="00692926" w:rsidRDefault="00224102" w:rsidP="00224102">
            <w:pPr>
              <w:jc w:val="right"/>
              <w:rPr>
                <w:sz w:val="18"/>
                <w:szCs w:val="18"/>
                <w:lang w:eastAsia="zh-CN"/>
              </w:rPr>
            </w:pPr>
            <w:r w:rsidRPr="00692926">
              <w:rPr>
                <w:sz w:val="18"/>
                <w:szCs w:val="18"/>
                <w:lang w:eastAsia="zh-CN"/>
              </w:rPr>
              <w:t>-</w:t>
            </w:r>
          </w:p>
        </w:tc>
        <w:tc>
          <w:tcPr>
            <w:tcW w:w="1659" w:type="dxa"/>
            <w:shd w:val="clear" w:color="auto" w:fill="auto"/>
            <w:noWrap/>
            <w:vAlign w:val="bottom"/>
          </w:tcPr>
          <w:p w14:paraId="5F6B34F2" w14:textId="5C8642C9" w:rsidR="00224102" w:rsidRPr="00692926" w:rsidRDefault="00224102" w:rsidP="00224102">
            <w:pPr>
              <w:jc w:val="right"/>
              <w:rPr>
                <w:sz w:val="18"/>
                <w:szCs w:val="18"/>
                <w:lang w:eastAsia="zh-CN"/>
              </w:rPr>
            </w:pPr>
            <w:r w:rsidRPr="00692926">
              <w:rPr>
                <w:sz w:val="18"/>
                <w:szCs w:val="18"/>
                <w:lang w:eastAsia="zh-CN"/>
              </w:rPr>
              <w:t>-</w:t>
            </w:r>
          </w:p>
        </w:tc>
        <w:tc>
          <w:tcPr>
            <w:tcW w:w="1701" w:type="dxa"/>
            <w:shd w:val="clear" w:color="auto" w:fill="auto"/>
            <w:noWrap/>
            <w:vAlign w:val="bottom"/>
          </w:tcPr>
          <w:p w14:paraId="2EDAFED5" w14:textId="5CBADF30" w:rsidR="00224102" w:rsidRPr="00692926" w:rsidRDefault="00224102" w:rsidP="00224102">
            <w:pPr>
              <w:jc w:val="right"/>
              <w:rPr>
                <w:sz w:val="18"/>
                <w:szCs w:val="18"/>
                <w:lang w:eastAsia="zh-CN"/>
              </w:rPr>
            </w:pPr>
            <w:r w:rsidRPr="00692926">
              <w:rPr>
                <w:sz w:val="18"/>
                <w:szCs w:val="18"/>
                <w:lang w:eastAsia="zh-CN"/>
              </w:rPr>
              <w:t>-</w:t>
            </w:r>
          </w:p>
        </w:tc>
      </w:tr>
      <w:bookmarkEnd w:id="18"/>
    </w:tbl>
    <w:p w14:paraId="175948AD" w14:textId="77777777" w:rsidR="0044575F" w:rsidRPr="00604C75" w:rsidRDefault="0044575F" w:rsidP="00C22AF8">
      <w:pPr>
        <w:pStyle w:val="BodyTextIndent"/>
        <w:spacing w:after="0"/>
        <w:rPr>
          <w:sz w:val="16"/>
          <w:szCs w:val="16"/>
        </w:rPr>
      </w:pPr>
    </w:p>
    <w:p w14:paraId="5745D476" w14:textId="77777777" w:rsidR="00DE2216" w:rsidRPr="00604C75" w:rsidRDefault="00DE2216" w:rsidP="00D44057">
      <w:pPr>
        <w:pStyle w:val="BodyTextIndent"/>
        <w:tabs>
          <w:tab w:val="left" w:pos="0"/>
        </w:tabs>
        <w:spacing w:after="0"/>
        <w:ind w:left="0"/>
        <w:rPr>
          <w:sz w:val="20"/>
          <w:szCs w:val="20"/>
        </w:rPr>
      </w:pPr>
      <w:r w:rsidRPr="00604C75">
        <w:rPr>
          <w:sz w:val="20"/>
          <w:szCs w:val="20"/>
        </w:rPr>
        <w:t>11.</w:t>
      </w:r>
      <w:r w:rsidRPr="00604C75">
        <w:rPr>
          <w:sz w:val="20"/>
          <w:szCs w:val="20"/>
        </w:rPr>
        <w:tab/>
      </w:r>
      <w:r w:rsidRPr="00604C75">
        <w:rPr>
          <w:bCs/>
          <w:sz w:val="20"/>
          <w:szCs w:val="20"/>
        </w:rPr>
        <w:t xml:space="preserve">Explanation on </w:t>
      </w:r>
      <w:proofErr w:type="spellStart"/>
      <w:r w:rsidRPr="00604C75">
        <w:rPr>
          <w:bCs/>
          <w:sz w:val="20"/>
          <w:szCs w:val="20"/>
        </w:rPr>
        <w:t>liquditation</w:t>
      </w:r>
      <w:proofErr w:type="spellEnd"/>
      <w:r w:rsidRPr="00604C75">
        <w:rPr>
          <w:bCs/>
          <w:sz w:val="20"/>
          <w:szCs w:val="20"/>
        </w:rPr>
        <w:t xml:space="preserve"> policy for uncollectible loan and receivable</w:t>
      </w:r>
    </w:p>
    <w:p w14:paraId="2CF494E0" w14:textId="77777777" w:rsidR="00D44057" w:rsidRPr="00604C75" w:rsidRDefault="00D44057" w:rsidP="00D44057">
      <w:pPr>
        <w:pStyle w:val="BodyTextIndent"/>
        <w:tabs>
          <w:tab w:val="left" w:pos="0"/>
        </w:tabs>
        <w:spacing w:after="0"/>
        <w:ind w:left="0"/>
        <w:rPr>
          <w:sz w:val="20"/>
          <w:szCs w:val="20"/>
        </w:rPr>
      </w:pPr>
    </w:p>
    <w:p w14:paraId="3E001F54" w14:textId="27C4DFBD" w:rsidR="00DE2216" w:rsidRPr="00604C75" w:rsidRDefault="00DE2216" w:rsidP="00D44057">
      <w:pPr>
        <w:pStyle w:val="BodyTextIndent"/>
        <w:tabs>
          <w:tab w:val="left" w:pos="0"/>
        </w:tabs>
        <w:spacing w:after="0"/>
        <w:ind w:left="0"/>
        <w:rPr>
          <w:sz w:val="20"/>
          <w:szCs w:val="20"/>
        </w:rPr>
      </w:pPr>
      <w:r w:rsidRPr="00604C75">
        <w:rPr>
          <w:sz w:val="20"/>
          <w:szCs w:val="20"/>
        </w:rPr>
        <w:t xml:space="preserve">Collection of uncollectible loans and other receivables is </w:t>
      </w:r>
      <w:r w:rsidR="00877CBD">
        <w:rPr>
          <w:sz w:val="20"/>
          <w:szCs w:val="20"/>
        </w:rPr>
        <w:t>collected</w:t>
      </w:r>
      <w:r w:rsidRPr="00604C75">
        <w:rPr>
          <w:sz w:val="20"/>
          <w:szCs w:val="20"/>
        </w:rPr>
        <w:t xml:space="preserve"> through the liquidation of collaterals and by legal procedures.</w:t>
      </w:r>
    </w:p>
    <w:p w14:paraId="25BEBE12" w14:textId="77777777" w:rsidR="00DE2216" w:rsidRPr="00604C75" w:rsidRDefault="00DE2216" w:rsidP="00D44057">
      <w:pPr>
        <w:tabs>
          <w:tab w:val="left" w:pos="0"/>
        </w:tabs>
        <w:rPr>
          <w:sz w:val="14"/>
          <w:szCs w:val="14"/>
        </w:rPr>
      </w:pPr>
    </w:p>
    <w:p w14:paraId="218E893D" w14:textId="77777777" w:rsidR="00DE2216" w:rsidRPr="00604C75" w:rsidRDefault="00DE2216" w:rsidP="00D44057">
      <w:pPr>
        <w:pStyle w:val="BodyTextIndent"/>
        <w:tabs>
          <w:tab w:val="left" w:pos="0"/>
        </w:tabs>
        <w:spacing w:after="0"/>
        <w:ind w:left="0"/>
        <w:rPr>
          <w:bCs/>
          <w:sz w:val="20"/>
          <w:szCs w:val="20"/>
        </w:rPr>
      </w:pPr>
      <w:r w:rsidRPr="00604C75">
        <w:rPr>
          <w:sz w:val="20"/>
          <w:szCs w:val="20"/>
        </w:rPr>
        <w:t>12.</w:t>
      </w:r>
      <w:r w:rsidRPr="00604C75">
        <w:rPr>
          <w:sz w:val="20"/>
          <w:szCs w:val="20"/>
        </w:rPr>
        <w:tab/>
      </w:r>
      <w:r w:rsidRPr="00604C75">
        <w:rPr>
          <w:bCs/>
          <w:sz w:val="20"/>
          <w:szCs w:val="20"/>
        </w:rPr>
        <w:t>Explanations on write-off policy</w:t>
      </w:r>
    </w:p>
    <w:p w14:paraId="7433B4AF" w14:textId="77777777" w:rsidR="00D44057" w:rsidRPr="00604C75" w:rsidRDefault="00D44057" w:rsidP="00D44057">
      <w:pPr>
        <w:pStyle w:val="BodyTextIndent"/>
        <w:tabs>
          <w:tab w:val="left" w:pos="0"/>
        </w:tabs>
        <w:spacing w:after="0"/>
        <w:ind w:left="0"/>
        <w:rPr>
          <w:sz w:val="20"/>
          <w:szCs w:val="20"/>
        </w:rPr>
      </w:pPr>
    </w:p>
    <w:p w14:paraId="7EA7A15F" w14:textId="44ED38BE" w:rsidR="00DE2216" w:rsidRPr="00604C75" w:rsidRDefault="00DE2216" w:rsidP="00D44057">
      <w:pPr>
        <w:pStyle w:val="BodyTextIndent"/>
        <w:tabs>
          <w:tab w:val="left" w:pos="0"/>
        </w:tabs>
        <w:spacing w:after="0"/>
        <w:ind w:left="0"/>
        <w:jc w:val="both"/>
        <w:rPr>
          <w:sz w:val="20"/>
          <w:szCs w:val="20"/>
        </w:rPr>
      </w:pPr>
      <w:r w:rsidRPr="00604C75">
        <w:rPr>
          <w:sz w:val="20"/>
          <w:szCs w:val="20"/>
        </w:rPr>
        <w:t xml:space="preserve">Uncollectible loans and other receivables are recovered through legal proceedings and liquidation of collaterals or they are written off with Board decision in accordance with the </w:t>
      </w:r>
      <w:r w:rsidR="00877CBD">
        <w:rPr>
          <w:sz w:val="20"/>
          <w:szCs w:val="20"/>
        </w:rPr>
        <w:t>T</w:t>
      </w:r>
      <w:r w:rsidRPr="00604C75">
        <w:rPr>
          <w:sz w:val="20"/>
          <w:szCs w:val="20"/>
        </w:rPr>
        <w:t xml:space="preserve">ax </w:t>
      </w:r>
      <w:r w:rsidR="00877CBD">
        <w:rPr>
          <w:sz w:val="20"/>
          <w:szCs w:val="20"/>
        </w:rPr>
        <w:t>Procedural Law</w:t>
      </w:r>
      <w:r w:rsidRPr="00604C75">
        <w:rPr>
          <w:sz w:val="20"/>
          <w:szCs w:val="20"/>
        </w:rPr>
        <w:t xml:space="preserve">. </w:t>
      </w:r>
    </w:p>
    <w:p w14:paraId="127580BF" w14:textId="77777777" w:rsidR="00D44057" w:rsidRPr="00604C75" w:rsidRDefault="00D44057" w:rsidP="00C22AF8">
      <w:pPr>
        <w:tabs>
          <w:tab w:val="left" w:pos="1276"/>
        </w:tabs>
        <w:ind w:left="1276" w:hanging="425"/>
        <w:jc w:val="both"/>
        <w:rPr>
          <w:b/>
          <w:sz w:val="20"/>
          <w:szCs w:val="20"/>
        </w:rPr>
      </w:pPr>
    </w:p>
    <w:p w14:paraId="40D8CD51" w14:textId="77777777" w:rsidR="00D44057" w:rsidRPr="00604C75" w:rsidRDefault="00D44057" w:rsidP="00C22AF8">
      <w:pPr>
        <w:tabs>
          <w:tab w:val="left" w:pos="1276"/>
        </w:tabs>
        <w:ind w:left="1276" w:hanging="425"/>
        <w:jc w:val="both"/>
        <w:rPr>
          <w:b/>
          <w:sz w:val="20"/>
          <w:szCs w:val="20"/>
        </w:rPr>
      </w:pPr>
    </w:p>
    <w:p w14:paraId="58498387" w14:textId="711C1A8E" w:rsidR="00EA74CB" w:rsidRPr="00604C75" w:rsidRDefault="00B27B7B" w:rsidP="00490153">
      <w:pPr>
        <w:pStyle w:val="BodyTextIndent"/>
        <w:pageBreakBefore/>
        <w:tabs>
          <w:tab w:val="left" w:pos="360"/>
        </w:tabs>
        <w:spacing w:before="120"/>
        <w:ind w:left="357" w:right="17" w:hanging="357"/>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1747A97D" w14:textId="1C74BBEF" w:rsidR="00EA74CB" w:rsidRPr="00604C75" w:rsidRDefault="00EA74CB" w:rsidP="00490153">
      <w:pPr>
        <w:pStyle w:val="Heading2"/>
        <w:tabs>
          <w:tab w:val="left" w:pos="851"/>
        </w:tabs>
        <w:ind w:left="851" w:hanging="851"/>
        <w:rPr>
          <w:rFonts w:ascii="Times New Roman" w:hAnsi="Times New Roman"/>
          <w:cap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65D11ED1" w14:textId="77777777" w:rsidR="00B56D76" w:rsidRPr="00604C75" w:rsidRDefault="00B56D76" w:rsidP="00490153">
      <w:pPr>
        <w:spacing w:before="120"/>
      </w:pPr>
      <w:r w:rsidRPr="00604C75">
        <w:rPr>
          <w:b/>
          <w:bCs/>
          <w:sz w:val="20"/>
          <w:szCs w:val="20"/>
        </w:rPr>
        <w:t>e.        Explanations on loans (Continued)</w:t>
      </w:r>
    </w:p>
    <w:p w14:paraId="4124A466" w14:textId="29F1E3BF" w:rsidR="00B56D76" w:rsidRPr="00923A53" w:rsidRDefault="00B56D76" w:rsidP="00490153">
      <w:pPr>
        <w:pStyle w:val="BodyTextIndent"/>
        <w:spacing w:before="120" w:after="0"/>
        <w:ind w:left="0"/>
        <w:rPr>
          <w:sz w:val="20"/>
          <w:szCs w:val="20"/>
        </w:rPr>
      </w:pPr>
      <w:r w:rsidRPr="00923A53">
        <w:rPr>
          <w:sz w:val="20"/>
          <w:szCs w:val="20"/>
        </w:rPr>
        <w:t>13.</w:t>
      </w:r>
      <w:r w:rsidRPr="00923A53">
        <w:rPr>
          <w:sz w:val="20"/>
          <w:szCs w:val="20"/>
        </w:rPr>
        <w:tab/>
      </w:r>
      <w:r w:rsidRPr="009814EF">
        <w:rPr>
          <w:bCs/>
          <w:sz w:val="20"/>
          <w:szCs w:val="20"/>
        </w:rPr>
        <w:t xml:space="preserve">The </w:t>
      </w:r>
      <w:r w:rsidR="002C3B01">
        <w:rPr>
          <w:bCs/>
          <w:sz w:val="20"/>
          <w:szCs w:val="20"/>
        </w:rPr>
        <w:t xml:space="preserve">Parent </w:t>
      </w:r>
      <w:r w:rsidRPr="009814EF">
        <w:rPr>
          <w:bCs/>
          <w:sz w:val="20"/>
          <w:szCs w:val="20"/>
        </w:rPr>
        <w:t>Bank's provision</w:t>
      </w:r>
      <w:r>
        <w:rPr>
          <w:bCs/>
          <w:sz w:val="20"/>
          <w:szCs w:val="20"/>
        </w:rPr>
        <w:t xml:space="preserve"> movement</w:t>
      </w:r>
      <w:r w:rsidRPr="009814EF">
        <w:rPr>
          <w:bCs/>
          <w:sz w:val="20"/>
          <w:szCs w:val="20"/>
        </w:rPr>
        <w:t xml:space="preserve"> for loan</w:t>
      </w:r>
      <w:r>
        <w:rPr>
          <w:bCs/>
          <w:sz w:val="20"/>
          <w:szCs w:val="20"/>
        </w:rPr>
        <w:t>s</w:t>
      </w:r>
      <w:r w:rsidRPr="009814EF">
        <w:rPr>
          <w:bCs/>
          <w:sz w:val="20"/>
          <w:szCs w:val="20"/>
        </w:rPr>
        <w:t xml:space="preserve"> and other receivables during the period:</w:t>
      </w:r>
    </w:p>
    <w:tbl>
      <w:tblPr>
        <w:tblW w:w="884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611"/>
        <w:gridCol w:w="1661"/>
        <w:gridCol w:w="1523"/>
        <w:gridCol w:w="8"/>
        <w:gridCol w:w="1583"/>
        <w:gridCol w:w="12"/>
        <w:gridCol w:w="1449"/>
      </w:tblGrid>
      <w:tr w:rsidR="00B56D76" w:rsidRPr="00195EDC" w14:paraId="2F7BBB09" w14:textId="77777777" w:rsidTr="00196A0E">
        <w:trPr>
          <w:trHeight w:val="233"/>
        </w:trPr>
        <w:tc>
          <w:tcPr>
            <w:tcW w:w="2611" w:type="dxa"/>
            <w:noWrap/>
            <w:vAlign w:val="bottom"/>
          </w:tcPr>
          <w:p w14:paraId="35C3B03A" w14:textId="77777777" w:rsidR="00B56D76" w:rsidRPr="00923A53" w:rsidRDefault="00B56D76" w:rsidP="00746243">
            <w:pPr>
              <w:outlineLvl w:val="0"/>
              <w:rPr>
                <w:rFonts w:ascii="Arial" w:hAnsi="Arial" w:cs="Arial"/>
                <w:sz w:val="20"/>
                <w:szCs w:val="20"/>
              </w:rPr>
            </w:pPr>
          </w:p>
        </w:tc>
        <w:tc>
          <w:tcPr>
            <w:tcW w:w="1661" w:type="dxa"/>
            <w:noWrap/>
            <w:vAlign w:val="bottom"/>
          </w:tcPr>
          <w:p w14:paraId="2F4C6C60" w14:textId="77777777" w:rsidR="00B56D76" w:rsidRPr="00195EDC" w:rsidRDefault="00B56D76" w:rsidP="00746243">
            <w:pPr>
              <w:ind w:right="-69"/>
              <w:jc w:val="right"/>
              <w:outlineLvl w:val="0"/>
              <w:rPr>
                <w:b/>
                <w:sz w:val="18"/>
                <w:szCs w:val="18"/>
              </w:rPr>
            </w:pPr>
            <w:r w:rsidRPr="00195EDC">
              <w:rPr>
                <w:b/>
                <w:sz w:val="18"/>
                <w:szCs w:val="18"/>
              </w:rPr>
              <w:t>Corporate/</w:t>
            </w:r>
          </w:p>
          <w:p w14:paraId="21E66768" w14:textId="77777777" w:rsidR="00B56D76" w:rsidRPr="00195EDC" w:rsidRDefault="00B56D76" w:rsidP="00746243">
            <w:pPr>
              <w:ind w:right="-69"/>
              <w:jc w:val="right"/>
              <w:outlineLvl w:val="0"/>
              <w:rPr>
                <w:b/>
                <w:sz w:val="18"/>
                <w:szCs w:val="18"/>
              </w:rPr>
            </w:pPr>
            <w:r w:rsidRPr="00195EDC">
              <w:rPr>
                <w:b/>
                <w:sz w:val="18"/>
                <w:szCs w:val="18"/>
              </w:rPr>
              <w:t>Commercial Loans</w:t>
            </w:r>
          </w:p>
        </w:tc>
        <w:tc>
          <w:tcPr>
            <w:tcW w:w="1523" w:type="dxa"/>
            <w:noWrap/>
            <w:vAlign w:val="bottom"/>
          </w:tcPr>
          <w:p w14:paraId="1F19D407" w14:textId="77777777" w:rsidR="00B56D76" w:rsidRPr="00195EDC" w:rsidRDefault="00B56D76" w:rsidP="00746243">
            <w:pPr>
              <w:ind w:right="-69"/>
              <w:jc w:val="right"/>
              <w:outlineLvl w:val="0"/>
              <w:rPr>
                <w:b/>
                <w:sz w:val="18"/>
                <w:szCs w:val="18"/>
              </w:rPr>
            </w:pPr>
            <w:r w:rsidRPr="00195EDC">
              <w:rPr>
                <w:b/>
                <w:sz w:val="18"/>
                <w:szCs w:val="18"/>
              </w:rPr>
              <w:t>SME</w:t>
            </w:r>
          </w:p>
        </w:tc>
        <w:tc>
          <w:tcPr>
            <w:tcW w:w="1591" w:type="dxa"/>
            <w:gridSpan w:val="2"/>
            <w:noWrap/>
            <w:vAlign w:val="bottom"/>
          </w:tcPr>
          <w:p w14:paraId="3CE7E2D1" w14:textId="77777777" w:rsidR="00B56D76" w:rsidRPr="00195EDC" w:rsidRDefault="00B56D76" w:rsidP="00746243">
            <w:pPr>
              <w:ind w:right="-69"/>
              <w:jc w:val="right"/>
              <w:outlineLvl w:val="0"/>
              <w:rPr>
                <w:b/>
                <w:sz w:val="18"/>
                <w:szCs w:val="18"/>
              </w:rPr>
            </w:pPr>
            <w:r w:rsidRPr="00195EDC">
              <w:rPr>
                <w:b/>
                <w:sz w:val="18"/>
                <w:szCs w:val="18"/>
              </w:rPr>
              <w:t xml:space="preserve">Consumer </w:t>
            </w:r>
          </w:p>
          <w:p w14:paraId="26F53056" w14:textId="77777777" w:rsidR="00B56D76" w:rsidRPr="00195EDC" w:rsidRDefault="00B56D76" w:rsidP="00746243">
            <w:pPr>
              <w:ind w:right="-69"/>
              <w:jc w:val="right"/>
              <w:outlineLvl w:val="0"/>
              <w:rPr>
                <w:b/>
                <w:sz w:val="18"/>
                <w:szCs w:val="18"/>
              </w:rPr>
            </w:pPr>
            <w:r w:rsidRPr="00195EDC">
              <w:rPr>
                <w:b/>
                <w:sz w:val="18"/>
                <w:szCs w:val="18"/>
              </w:rPr>
              <w:t>Loans</w:t>
            </w:r>
          </w:p>
        </w:tc>
        <w:tc>
          <w:tcPr>
            <w:tcW w:w="1461" w:type="dxa"/>
            <w:gridSpan w:val="2"/>
            <w:noWrap/>
            <w:vAlign w:val="bottom"/>
          </w:tcPr>
          <w:p w14:paraId="274C26DD" w14:textId="77777777" w:rsidR="00B56D76" w:rsidRPr="00195EDC" w:rsidRDefault="00B56D76" w:rsidP="00746243">
            <w:pPr>
              <w:ind w:right="-69"/>
              <w:jc w:val="right"/>
              <w:outlineLvl w:val="0"/>
              <w:rPr>
                <w:b/>
                <w:sz w:val="18"/>
                <w:szCs w:val="18"/>
              </w:rPr>
            </w:pPr>
            <w:r w:rsidRPr="00195EDC">
              <w:rPr>
                <w:b/>
                <w:sz w:val="18"/>
                <w:szCs w:val="18"/>
              </w:rPr>
              <w:t>Total</w:t>
            </w:r>
          </w:p>
        </w:tc>
      </w:tr>
      <w:tr w:rsidR="00224102" w:rsidRPr="00195EDC" w14:paraId="26844A83" w14:textId="77777777" w:rsidTr="00196A0E">
        <w:trPr>
          <w:trHeight w:val="220"/>
        </w:trPr>
        <w:tc>
          <w:tcPr>
            <w:tcW w:w="2611" w:type="dxa"/>
            <w:noWrap/>
            <w:vAlign w:val="bottom"/>
          </w:tcPr>
          <w:p w14:paraId="38C31E70" w14:textId="77777777" w:rsidR="00224102" w:rsidRPr="00195EDC" w:rsidRDefault="00224102" w:rsidP="00224102">
            <w:pPr>
              <w:jc w:val="both"/>
              <w:rPr>
                <w:b/>
                <w:bCs/>
                <w:sz w:val="18"/>
              </w:rPr>
            </w:pPr>
            <w:r w:rsidRPr="00195EDC">
              <w:rPr>
                <w:b/>
                <w:bCs/>
                <w:sz w:val="18"/>
              </w:rPr>
              <w:t>1 January 2015</w:t>
            </w:r>
          </w:p>
        </w:tc>
        <w:tc>
          <w:tcPr>
            <w:tcW w:w="1661" w:type="dxa"/>
            <w:noWrap/>
            <w:vAlign w:val="bottom"/>
          </w:tcPr>
          <w:p w14:paraId="3073842F" w14:textId="4E08F343" w:rsidR="00224102" w:rsidRPr="00195EDC" w:rsidRDefault="00224102" w:rsidP="00224102">
            <w:pPr>
              <w:ind w:right="-69"/>
              <w:jc w:val="right"/>
              <w:rPr>
                <w:b/>
                <w:bCs/>
                <w:sz w:val="18"/>
                <w:szCs w:val="18"/>
              </w:rPr>
            </w:pPr>
            <w:r w:rsidRPr="00E46F2D">
              <w:rPr>
                <w:b/>
                <w:bCs/>
                <w:sz w:val="18"/>
                <w:szCs w:val="18"/>
              </w:rPr>
              <w:t>149,725</w:t>
            </w:r>
          </w:p>
        </w:tc>
        <w:tc>
          <w:tcPr>
            <w:tcW w:w="1531" w:type="dxa"/>
            <w:gridSpan w:val="2"/>
            <w:noWrap/>
            <w:vAlign w:val="bottom"/>
          </w:tcPr>
          <w:p w14:paraId="5AA2BC37" w14:textId="06904B0A" w:rsidR="00224102" w:rsidRPr="00195EDC" w:rsidRDefault="00224102" w:rsidP="00224102">
            <w:pPr>
              <w:ind w:right="-69"/>
              <w:jc w:val="right"/>
              <w:rPr>
                <w:b/>
                <w:bCs/>
                <w:sz w:val="18"/>
                <w:szCs w:val="18"/>
              </w:rPr>
            </w:pPr>
            <w:r w:rsidRPr="00E46F2D">
              <w:rPr>
                <w:b/>
                <w:bCs/>
                <w:sz w:val="18"/>
                <w:szCs w:val="18"/>
              </w:rPr>
              <w:t>110,476</w:t>
            </w:r>
          </w:p>
        </w:tc>
        <w:tc>
          <w:tcPr>
            <w:tcW w:w="1595" w:type="dxa"/>
            <w:gridSpan w:val="2"/>
            <w:noWrap/>
            <w:vAlign w:val="bottom"/>
          </w:tcPr>
          <w:p w14:paraId="301B6C36" w14:textId="30BA13B9" w:rsidR="00224102" w:rsidRPr="00195EDC" w:rsidRDefault="00224102" w:rsidP="00224102">
            <w:pPr>
              <w:ind w:right="-69"/>
              <w:jc w:val="right"/>
              <w:rPr>
                <w:b/>
                <w:bCs/>
                <w:sz w:val="18"/>
                <w:szCs w:val="18"/>
              </w:rPr>
            </w:pPr>
            <w:r w:rsidRPr="00E46F2D">
              <w:rPr>
                <w:b/>
                <w:bCs/>
                <w:sz w:val="18"/>
                <w:szCs w:val="18"/>
              </w:rPr>
              <w:t>9,042</w:t>
            </w:r>
          </w:p>
        </w:tc>
        <w:tc>
          <w:tcPr>
            <w:tcW w:w="1449" w:type="dxa"/>
            <w:noWrap/>
            <w:vAlign w:val="bottom"/>
          </w:tcPr>
          <w:p w14:paraId="2713327A" w14:textId="49A79F1B" w:rsidR="00224102" w:rsidRPr="00195EDC" w:rsidRDefault="00224102" w:rsidP="00224102">
            <w:pPr>
              <w:ind w:right="-69"/>
              <w:jc w:val="right"/>
              <w:rPr>
                <w:b/>
                <w:bCs/>
                <w:sz w:val="18"/>
                <w:szCs w:val="18"/>
              </w:rPr>
            </w:pPr>
            <w:r w:rsidRPr="00E46F2D">
              <w:rPr>
                <w:b/>
                <w:bCs/>
                <w:sz w:val="18"/>
                <w:szCs w:val="18"/>
              </w:rPr>
              <w:t xml:space="preserve">   269,243</w:t>
            </w:r>
          </w:p>
        </w:tc>
      </w:tr>
      <w:tr w:rsidR="00224102" w:rsidRPr="00195EDC" w14:paraId="162444DB" w14:textId="77777777" w:rsidTr="00196A0E">
        <w:trPr>
          <w:trHeight w:val="220"/>
        </w:trPr>
        <w:tc>
          <w:tcPr>
            <w:tcW w:w="2611" w:type="dxa"/>
            <w:noWrap/>
            <w:vAlign w:val="bottom"/>
          </w:tcPr>
          <w:p w14:paraId="3C2B5569" w14:textId="68DD7760" w:rsidR="00224102" w:rsidRPr="00195EDC" w:rsidRDefault="00224102" w:rsidP="00224102">
            <w:pPr>
              <w:jc w:val="both"/>
              <w:rPr>
                <w:sz w:val="18"/>
              </w:rPr>
            </w:pPr>
            <w:r w:rsidRPr="00195EDC">
              <w:rPr>
                <w:sz w:val="18"/>
              </w:rPr>
              <w:t>Made during the Period</w:t>
            </w:r>
          </w:p>
        </w:tc>
        <w:tc>
          <w:tcPr>
            <w:tcW w:w="1661" w:type="dxa"/>
            <w:noWrap/>
            <w:vAlign w:val="bottom"/>
          </w:tcPr>
          <w:p w14:paraId="65788478" w14:textId="28CFB3C5" w:rsidR="00224102" w:rsidRPr="00195EDC" w:rsidRDefault="00224102" w:rsidP="00224102">
            <w:pPr>
              <w:ind w:right="-69"/>
              <w:jc w:val="right"/>
              <w:rPr>
                <w:bCs/>
                <w:sz w:val="18"/>
                <w:szCs w:val="18"/>
              </w:rPr>
            </w:pPr>
            <w:r w:rsidRPr="00E46F2D">
              <w:rPr>
                <w:bCs/>
                <w:sz w:val="18"/>
                <w:szCs w:val="18"/>
              </w:rPr>
              <w:t>41,324</w:t>
            </w:r>
          </w:p>
        </w:tc>
        <w:tc>
          <w:tcPr>
            <w:tcW w:w="1531" w:type="dxa"/>
            <w:gridSpan w:val="2"/>
            <w:noWrap/>
            <w:vAlign w:val="bottom"/>
          </w:tcPr>
          <w:p w14:paraId="5B7EDBF0" w14:textId="31DE4094" w:rsidR="00224102" w:rsidRPr="00195EDC" w:rsidRDefault="00224102" w:rsidP="00224102">
            <w:pPr>
              <w:ind w:right="-69"/>
              <w:jc w:val="right"/>
              <w:rPr>
                <w:bCs/>
                <w:sz w:val="18"/>
                <w:szCs w:val="18"/>
              </w:rPr>
            </w:pPr>
            <w:r w:rsidRPr="00E46F2D">
              <w:rPr>
                <w:bCs/>
                <w:sz w:val="18"/>
                <w:szCs w:val="18"/>
              </w:rPr>
              <w:t>111,374</w:t>
            </w:r>
          </w:p>
        </w:tc>
        <w:tc>
          <w:tcPr>
            <w:tcW w:w="1595" w:type="dxa"/>
            <w:gridSpan w:val="2"/>
            <w:noWrap/>
            <w:vAlign w:val="bottom"/>
          </w:tcPr>
          <w:p w14:paraId="2CC8790E" w14:textId="22358A32" w:rsidR="00224102" w:rsidRPr="00195EDC" w:rsidRDefault="00224102" w:rsidP="00224102">
            <w:pPr>
              <w:ind w:right="-69"/>
              <w:jc w:val="right"/>
              <w:rPr>
                <w:bCs/>
                <w:sz w:val="18"/>
                <w:szCs w:val="18"/>
              </w:rPr>
            </w:pPr>
            <w:r w:rsidRPr="00E46F2D">
              <w:rPr>
                <w:bCs/>
                <w:sz w:val="18"/>
                <w:szCs w:val="18"/>
              </w:rPr>
              <w:t>13,935</w:t>
            </w:r>
          </w:p>
        </w:tc>
        <w:tc>
          <w:tcPr>
            <w:tcW w:w="1449" w:type="dxa"/>
            <w:noWrap/>
            <w:vAlign w:val="bottom"/>
          </w:tcPr>
          <w:p w14:paraId="21D8D306" w14:textId="4CB4A955" w:rsidR="00224102" w:rsidRPr="00195EDC" w:rsidRDefault="00224102" w:rsidP="00224102">
            <w:pPr>
              <w:ind w:right="-69"/>
              <w:jc w:val="right"/>
              <w:rPr>
                <w:bCs/>
                <w:sz w:val="18"/>
                <w:szCs w:val="18"/>
              </w:rPr>
            </w:pPr>
            <w:r w:rsidRPr="00E46F2D">
              <w:rPr>
                <w:bCs/>
                <w:sz w:val="18"/>
                <w:szCs w:val="18"/>
              </w:rPr>
              <w:t>166,633</w:t>
            </w:r>
          </w:p>
        </w:tc>
      </w:tr>
      <w:tr w:rsidR="00224102" w:rsidRPr="00195EDC" w14:paraId="2DBAC12C" w14:textId="77777777" w:rsidTr="00196A0E">
        <w:trPr>
          <w:trHeight w:val="233"/>
        </w:trPr>
        <w:tc>
          <w:tcPr>
            <w:tcW w:w="2611" w:type="dxa"/>
            <w:noWrap/>
            <w:vAlign w:val="bottom"/>
          </w:tcPr>
          <w:p w14:paraId="08723777" w14:textId="13399C22" w:rsidR="00224102" w:rsidRPr="00195EDC" w:rsidRDefault="00224102" w:rsidP="00224102">
            <w:pPr>
              <w:jc w:val="both"/>
              <w:rPr>
                <w:sz w:val="18"/>
              </w:rPr>
            </w:pPr>
            <w:r w:rsidRPr="00195EDC">
              <w:rPr>
                <w:sz w:val="18"/>
              </w:rPr>
              <w:t>Cancelled during the Period (-)</w:t>
            </w:r>
          </w:p>
        </w:tc>
        <w:tc>
          <w:tcPr>
            <w:tcW w:w="1661" w:type="dxa"/>
            <w:noWrap/>
            <w:vAlign w:val="bottom"/>
          </w:tcPr>
          <w:p w14:paraId="20C682A9" w14:textId="713E948C" w:rsidR="00224102" w:rsidRPr="00195EDC" w:rsidRDefault="00224102" w:rsidP="00224102">
            <w:pPr>
              <w:ind w:right="-69"/>
              <w:jc w:val="right"/>
              <w:rPr>
                <w:bCs/>
                <w:sz w:val="18"/>
                <w:szCs w:val="18"/>
              </w:rPr>
            </w:pPr>
            <w:r w:rsidRPr="00E46F2D">
              <w:rPr>
                <w:bCs/>
                <w:sz w:val="18"/>
                <w:szCs w:val="18"/>
              </w:rPr>
              <w:t>(1</w:t>
            </w:r>
            <w:r>
              <w:rPr>
                <w:bCs/>
                <w:sz w:val="18"/>
                <w:szCs w:val="18"/>
              </w:rPr>
              <w:t>0</w:t>
            </w:r>
            <w:r w:rsidRPr="00E46F2D">
              <w:rPr>
                <w:bCs/>
                <w:sz w:val="18"/>
                <w:szCs w:val="18"/>
              </w:rPr>
              <w:t>,</w:t>
            </w:r>
            <w:r>
              <w:rPr>
                <w:bCs/>
                <w:sz w:val="18"/>
                <w:szCs w:val="18"/>
              </w:rPr>
              <w:t>929</w:t>
            </w:r>
            <w:r w:rsidRPr="00E46F2D">
              <w:rPr>
                <w:bCs/>
                <w:sz w:val="18"/>
                <w:szCs w:val="18"/>
              </w:rPr>
              <w:t>)</w:t>
            </w:r>
          </w:p>
        </w:tc>
        <w:tc>
          <w:tcPr>
            <w:tcW w:w="1531" w:type="dxa"/>
            <w:gridSpan w:val="2"/>
            <w:noWrap/>
            <w:vAlign w:val="bottom"/>
          </w:tcPr>
          <w:p w14:paraId="7A8F4A3C" w14:textId="0A2F64A6" w:rsidR="00224102" w:rsidRPr="00195EDC" w:rsidRDefault="00224102" w:rsidP="00224102">
            <w:pPr>
              <w:ind w:right="-69"/>
              <w:jc w:val="right"/>
              <w:rPr>
                <w:bCs/>
                <w:sz w:val="18"/>
                <w:szCs w:val="18"/>
              </w:rPr>
            </w:pPr>
            <w:r w:rsidRPr="00E46F2D">
              <w:rPr>
                <w:bCs/>
                <w:sz w:val="18"/>
                <w:szCs w:val="18"/>
              </w:rPr>
              <w:t>(</w:t>
            </w:r>
            <w:r>
              <w:rPr>
                <w:bCs/>
                <w:sz w:val="18"/>
                <w:szCs w:val="18"/>
              </w:rPr>
              <w:t>4</w:t>
            </w:r>
            <w:r w:rsidRPr="00E46F2D">
              <w:rPr>
                <w:bCs/>
                <w:sz w:val="18"/>
                <w:szCs w:val="18"/>
              </w:rPr>
              <w:t>,</w:t>
            </w:r>
            <w:r>
              <w:rPr>
                <w:bCs/>
                <w:sz w:val="18"/>
                <w:szCs w:val="18"/>
              </w:rPr>
              <w:t>893</w:t>
            </w:r>
            <w:r w:rsidRPr="00E46F2D">
              <w:rPr>
                <w:bCs/>
                <w:sz w:val="18"/>
                <w:szCs w:val="18"/>
              </w:rPr>
              <w:t>)</w:t>
            </w:r>
          </w:p>
        </w:tc>
        <w:tc>
          <w:tcPr>
            <w:tcW w:w="1595" w:type="dxa"/>
            <w:gridSpan w:val="2"/>
            <w:noWrap/>
            <w:vAlign w:val="bottom"/>
          </w:tcPr>
          <w:p w14:paraId="661FCC84" w14:textId="26D470FD" w:rsidR="00224102" w:rsidRPr="00195EDC" w:rsidRDefault="00224102" w:rsidP="00224102">
            <w:pPr>
              <w:ind w:right="-69"/>
              <w:jc w:val="right"/>
              <w:rPr>
                <w:bCs/>
                <w:sz w:val="18"/>
                <w:szCs w:val="18"/>
              </w:rPr>
            </w:pPr>
            <w:r w:rsidRPr="00E46F2D">
              <w:rPr>
                <w:bCs/>
                <w:sz w:val="18"/>
                <w:szCs w:val="18"/>
              </w:rPr>
              <w:t>(6</w:t>
            </w:r>
            <w:r>
              <w:rPr>
                <w:bCs/>
                <w:sz w:val="18"/>
                <w:szCs w:val="18"/>
              </w:rPr>
              <w:t>29</w:t>
            </w:r>
            <w:r w:rsidRPr="00E46F2D">
              <w:rPr>
                <w:bCs/>
                <w:sz w:val="18"/>
                <w:szCs w:val="18"/>
              </w:rPr>
              <w:t>)</w:t>
            </w:r>
          </w:p>
        </w:tc>
        <w:tc>
          <w:tcPr>
            <w:tcW w:w="1449" w:type="dxa"/>
            <w:noWrap/>
            <w:vAlign w:val="bottom"/>
          </w:tcPr>
          <w:p w14:paraId="6CF5D35E" w14:textId="67E60B7B" w:rsidR="00224102" w:rsidRPr="00195EDC" w:rsidRDefault="00224102" w:rsidP="00224102">
            <w:pPr>
              <w:ind w:right="-69"/>
              <w:jc w:val="right"/>
              <w:rPr>
                <w:bCs/>
                <w:sz w:val="18"/>
                <w:szCs w:val="18"/>
              </w:rPr>
            </w:pPr>
            <w:r w:rsidRPr="00E46F2D">
              <w:rPr>
                <w:bCs/>
                <w:sz w:val="18"/>
                <w:szCs w:val="18"/>
              </w:rPr>
              <w:t>(1</w:t>
            </w:r>
            <w:r>
              <w:rPr>
                <w:bCs/>
                <w:sz w:val="18"/>
                <w:szCs w:val="18"/>
              </w:rPr>
              <w:t>6</w:t>
            </w:r>
            <w:r w:rsidRPr="00E46F2D">
              <w:rPr>
                <w:bCs/>
                <w:sz w:val="18"/>
                <w:szCs w:val="18"/>
              </w:rPr>
              <w:t>,</w:t>
            </w:r>
            <w:r>
              <w:rPr>
                <w:bCs/>
                <w:sz w:val="18"/>
                <w:szCs w:val="18"/>
              </w:rPr>
              <w:t>451</w:t>
            </w:r>
            <w:r w:rsidRPr="00E46F2D">
              <w:rPr>
                <w:bCs/>
                <w:sz w:val="18"/>
                <w:szCs w:val="18"/>
              </w:rPr>
              <w:t>)</w:t>
            </w:r>
          </w:p>
        </w:tc>
      </w:tr>
      <w:tr w:rsidR="00224102" w:rsidRPr="00195EDC" w14:paraId="1137D3E0" w14:textId="77777777" w:rsidTr="00196A0E">
        <w:trPr>
          <w:trHeight w:val="233"/>
        </w:trPr>
        <w:tc>
          <w:tcPr>
            <w:tcW w:w="2611" w:type="dxa"/>
            <w:noWrap/>
            <w:vAlign w:val="bottom"/>
          </w:tcPr>
          <w:p w14:paraId="709190EB" w14:textId="77777777" w:rsidR="00224102" w:rsidRPr="00195EDC" w:rsidRDefault="00224102" w:rsidP="00224102">
            <w:pPr>
              <w:jc w:val="both"/>
              <w:rPr>
                <w:sz w:val="18"/>
              </w:rPr>
            </w:pPr>
            <w:r w:rsidRPr="00195EDC">
              <w:rPr>
                <w:noProof/>
                <w:sz w:val="18"/>
                <w:szCs w:val="18"/>
              </w:rPr>
              <w:t>Collections</w:t>
            </w:r>
          </w:p>
        </w:tc>
        <w:tc>
          <w:tcPr>
            <w:tcW w:w="1661" w:type="dxa"/>
            <w:noWrap/>
            <w:vAlign w:val="bottom"/>
          </w:tcPr>
          <w:p w14:paraId="1B7182B5" w14:textId="3DBCD9DF" w:rsidR="00224102" w:rsidRPr="00195EDC" w:rsidRDefault="00224102" w:rsidP="00224102">
            <w:pPr>
              <w:ind w:right="-69"/>
              <w:jc w:val="right"/>
              <w:rPr>
                <w:bCs/>
                <w:sz w:val="18"/>
                <w:szCs w:val="18"/>
              </w:rPr>
            </w:pPr>
            <w:r>
              <w:rPr>
                <w:bCs/>
                <w:sz w:val="18"/>
                <w:szCs w:val="18"/>
              </w:rPr>
              <w:t>(59</w:t>
            </w:r>
            <w:r w:rsidRPr="00E46F2D">
              <w:rPr>
                <w:bCs/>
                <w:sz w:val="18"/>
                <w:szCs w:val="18"/>
              </w:rPr>
              <w:t>,19</w:t>
            </w:r>
            <w:r>
              <w:rPr>
                <w:bCs/>
                <w:sz w:val="18"/>
                <w:szCs w:val="18"/>
              </w:rPr>
              <w:t>9</w:t>
            </w:r>
            <w:r w:rsidRPr="00E46F2D">
              <w:rPr>
                <w:bCs/>
                <w:sz w:val="18"/>
                <w:szCs w:val="18"/>
              </w:rPr>
              <w:t>)</w:t>
            </w:r>
          </w:p>
        </w:tc>
        <w:tc>
          <w:tcPr>
            <w:tcW w:w="1531" w:type="dxa"/>
            <w:gridSpan w:val="2"/>
            <w:noWrap/>
            <w:vAlign w:val="bottom"/>
          </w:tcPr>
          <w:p w14:paraId="6CB00CA1" w14:textId="25059814" w:rsidR="00224102" w:rsidRPr="00195EDC" w:rsidRDefault="00224102" w:rsidP="00224102">
            <w:pPr>
              <w:jc w:val="right"/>
            </w:pPr>
            <w:r w:rsidRPr="00E46F2D">
              <w:rPr>
                <w:bCs/>
                <w:sz w:val="18"/>
                <w:szCs w:val="18"/>
              </w:rPr>
              <w:t>(</w:t>
            </w:r>
            <w:r>
              <w:rPr>
                <w:bCs/>
                <w:sz w:val="18"/>
                <w:szCs w:val="18"/>
              </w:rPr>
              <w:t>71</w:t>
            </w:r>
            <w:r w:rsidRPr="00E46F2D">
              <w:rPr>
                <w:bCs/>
                <w:sz w:val="18"/>
                <w:szCs w:val="18"/>
              </w:rPr>
              <w:t>,8</w:t>
            </w:r>
            <w:r>
              <w:rPr>
                <w:bCs/>
                <w:sz w:val="18"/>
                <w:szCs w:val="18"/>
              </w:rPr>
              <w:t>97</w:t>
            </w:r>
            <w:r w:rsidRPr="00E46F2D">
              <w:rPr>
                <w:bCs/>
                <w:sz w:val="18"/>
                <w:szCs w:val="18"/>
              </w:rPr>
              <w:t>)</w:t>
            </w:r>
          </w:p>
        </w:tc>
        <w:tc>
          <w:tcPr>
            <w:tcW w:w="1595" w:type="dxa"/>
            <w:gridSpan w:val="2"/>
            <w:noWrap/>
            <w:vAlign w:val="bottom"/>
          </w:tcPr>
          <w:p w14:paraId="38E16324" w14:textId="5FBA0320" w:rsidR="00224102" w:rsidRPr="00195EDC" w:rsidRDefault="00224102" w:rsidP="00224102">
            <w:pPr>
              <w:jc w:val="right"/>
            </w:pPr>
            <w:r w:rsidRPr="00E46F2D">
              <w:rPr>
                <w:bCs/>
                <w:sz w:val="18"/>
                <w:szCs w:val="18"/>
              </w:rPr>
              <w:t>(</w:t>
            </w:r>
            <w:r>
              <w:rPr>
                <w:bCs/>
                <w:sz w:val="18"/>
                <w:szCs w:val="18"/>
              </w:rPr>
              <w:t>6</w:t>
            </w:r>
            <w:r w:rsidRPr="00E46F2D">
              <w:rPr>
                <w:bCs/>
                <w:sz w:val="18"/>
                <w:szCs w:val="18"/>
              </w:rPr>
              <w:t>,</w:t>
            </w:r>
            <w:r>
              <w:rPr>
                <w:bCs/>
                <w:sz w:val="18"/>
                <w:szCs w:val="18"/>
              </w:rPr>
              <w:t>829</w:t>
            </w:r>
            <w:r w:rsidRPr="00E46F2D">
              <w:rPr>
                <w:bCs/>
                <w:sz w:val="18"/>
                <w:szCs w:val="18"/>
              </w:rPr>
              <w:t>)</w:t>
            </w:r>
          </w:p>
        </w:tc>
        <w:tc>
          <w:tcPr>
            <w:tcW w:w="1449" w:type="dxa"/>
            <w:noWrap/>
            <w:vAlign w:val="bottom"/>
          </w:tcPr>
          <w:p w14:paraId="39A53039" w14:textId="49827051" w:rsidR="00224102" w:rsidRPr="00195EDC" w:rsidRDefault="00224102" w:rsidP="00224102">
            <w:pPr>
              <w:ind w:right="-69"/>
              <w:jc w:val="right"/>
            </w:pPr>
            <w:r w:rsidRPr="00E46F2D">
              <w:rPr>
                <w:bCs/>
                <w:sz w:val="18"/>
                <w:szCs w:val="18"/>
              </w:rPr>
              <w:t>(</w:t>
            </w:r>
            <w:r>
              <w:rPr>
                <w:bCs/>
                <w:sz w:val="18"/>
                <w:szCs w:val="18"/>
              </w:rPr>
              <w:t>137</w:t>
            </w:r>
            <w:r w:rsidRPr="00E46F2D">
              <w:rPr>
                <w:bCs/>
                <w:sz w:val="18"/>
                <w:szCs w:val="18"/>
              </w:rPr>
              <w:t>,9</w:t>
            </w:r>
            <w:r>
              <w:rPr>
                <w:bCs/>
                <w:sz w:val="18"/>
                <w:szCs w:val="18"/>
              </w:rPr>
              <w:t>25</w:t>
            </w:r>
            <w:r w:rsidRPr="00E46F2D">
              <w:rPr>
                <w:bCs/>
                <w:sz w:val="18"/>
                <w:szCs w:val="18"/>
              </w:rPr>
              <w:t>)</w:t>
            </w:r>
          </w:p>
        </w:tc>
      </w:tr>
      <w:tr w:rsidR="00224102" w:rsidRPr="00923A53" w14:paraId="636F20B1" w14:textId="77777777" w:rsidTr="00196A0E">
        <w:trPr>
          <w:trHeight w:val="220"/>
        </w:trPr>
        <w:tc>
          <w:tcPr>
            <w:tcW w:w="2611" w:type="dxa"/>
            <w:noWrap/>
            <w:vAlign w:val="bottom"/>
          </w:tcPr>
          <w:p w14:paraId="25C7F1B2" w14:textId="77777777" w:rsidR="00224102" w:rsidRPr="00195EDC" w:rsidRDefault="00224102" w:rsidP="00224102">
            <w:pPr>
              <w:jc w:val="both"/>
              <w:rPr>
                <w:b/>
                <w:sz w:val="18"/>
              </w:rPr>
            </w:pPr>
            <w:r w:rsidRPr="00195EDC">
              <w:rPr>
                <w:b/>
                <w:sz w:val="18"/>
              </w:rPr>
              <w:t>31 December 2015</w:t>
            </w:r>
          </w:p>
        </w:tc>
        <w:tc>
          <w:tcPr>
            <w:tcW w:w="1661" w:type="dxa"/>
            <w:noWrap/>
            <w:vAlign w:val="bottom"/>
          </w:tcPr>
          <w:p w14:paraId="029011C9" w14:textId="3BECE5B9" w:rsidR="00224102" w:rsidRPr="00195EDC" w:rsidRDefault="00224102" w:rsidP="00224102">
            <w:pPr>
              <w:ind w:right="-69"/>
              <w:jc w:val="right"/>
              <w:rPr>
                <w:b/>
                <w:bCs/>
                <w:sz w:val="18"/>
                <w:szCs w:val="18"/>
              </w:rPr>
            </w:pPr>
            <w:r>
              <w:rPr>
                <w:b/>
                <w:bCs/>
                <w:sz w:val="18"/>
                <w:szCs w:val="18"/>
              </w:rPr>
              <w:t>120</w:t>
            </w:r>
            <w:r w:rsidRPr="00E46F2D">
              <w:rPr>
                <w:b/>
                <w:bCs/>
                <w:sz w:val="18"/>
                <w:szCs w:val="18"/>
              </w:rPr>
              <w:t>,</w:t>
            </w:r>
            <w:r>
              <w:rPr>
                <w:b/>
                <w:bCs/>
                <w:sz w:val="18"/>
                <w:szCs w:val="18"/>
              </w:rPr>
              <w:t>921</w:t>
            </w:r>
          </w:p>
        </w:tc>
        <w:tc>
          <w:tcPr>
            <w:tcW w:w="1531" w:type="dxa"/>
            <w:gridSpan w:val="2"/>
            <w:noWrap/>
            <w:vAlign w:val="bottom"/>
          </w:tcPr>
          <w:p w14:paraId="6C06F082" w14:textId="4947ADB5" w:rsidR="00224102" w:rsidRPr="00195EDC" w:rsidRDefault="00224102" w:rsidP="00224102">
            <w:pPr>
              <w:ind w:right="-69"/>
              <w:jc w:val="right"/>
              <w:rPr>
                <w:b/>
                <w:bCs/>
                <w:sz w:val="18"/>
                <w:szCs w:val="18"/>
              </w:rPr>
            </w:pPr>
            <w:r w:rsidRPr="00E46F2D">
              <w:rPr>
                <w:b/>
                <w:bCs/>
                <w:sz w:val="18"/>
                <w:szCs w:val="18"/>
              </w:rPr>
              <w:t>14</w:t>
            </w:r>
            <w:r>
              <w:rPr>
                <w:b/>
                <w:bCs/>
                <w:sz w:val="18"/>
                <w:szCs w:val="18"/>
              </w:rPr>
              <w:t>5</w:t>
            </w:r>
            <w:r w:rsidRPr="00E46F2D">
              <w:rPr>
                <w:b/>
                <w:bCs/>
                <w:sz w:val="18"/>
                <w:szCs w:val="18"/>
              </w:rPr>
              <w:t>,</w:t>
            </w:r>
            <w:r>
              <w:rPr>
                <w:b/>
                <w:bCs/>
                <w:sz w:val="18"/>
                <w:szCs w:val="18"/>
              </w:rPr>
              <w:t>060</w:t>
            </w:r>
          </w:p>
        </w:tc>
        <w:tc>
          <w:tcPr>
            <w:tcW w:w="1595" w:type="dxa"/>
            <w:gridSpan w:val="2"/>
            <w:noWrap/>
            <w:vAlign w:val="bottom"/>
          </w:tcPr>
          <w:p w14:paraId="614596AD" w14:textId="6E7C6471" w:rsidR="00224102" w:rsidRPr="00195EDC" w:rsidRDefault="00224102" w:rsidP="00224102">
            <w:pPr>
              <w:ind w:right="-69"/>
              <w:jc w:val="right"/>
              <w:rPr>
                <w:b/>
                <w:bCs/>
                <w:sz w:val="18"/>
                <w:szCs w:val="18"/>
              </w:rPr>
            </w:pPr>
            <w:r w:rsidRPr="00E46F2D">
              <w:rPr>
                <w:b/>
                <w:bCs/>
                <w:sz w:val="18"/>
                <w:szCs w:val="18"/>
              </w:rPr>
              <w:t>1</w:t>
            </w:r>
            <w:r>
              <w:rPr>
                <w:b/>
                <w:bCs/>
                <w:sz w:val="18"/>
                <w:szCs w:val="18"/>
              </w:rPr>
              <w:t>5</w:t>
            </w:r>
            <w:r w:rsidRPr="00E46F2D">
              <w:rPr>
                <w:b/>
                <w:bCs/>
                <w:sz w:val="18"/>
                <w:szCs w:val="18"/>
              </w:rPr>
              <w:t>,</w:t>
            </w:r>
            <w:r>
              <w:rPr>
                <w:b/>
                <w:bCs/>
                <w:sz w:val="18"/>
                <w:szCs w:val="18"/>
              </w:rPr>
              <w:t>519</w:t>
            </w:r>
          </w:p>
        </w:tc>
        <w:tc>
          <w:tcPr>
            <w:tcW w:w="1449" w:type="dxa"/>
            <w:noWrap/>
            <w:vAlign w:val="bottom"/>
          </w:tcPr>
          <w:p w14:paraId="45B24789" w14:textId="13C75637" w:rsidR="00224102" w:rsidRPr="00A36623" w:rsidRDefault="00224102" w:rsidP="00224102">
            <w:pPr>
              <w:ind w:right="-69"/>
              <w:jc w:val="right"/>
              <w:rPr>
                <w:b/>
                <w:bCs/>
                <w:sz w:val="18"/>
                <w:szCs w:val="18"/>
              </w:rPr>
            </w:pPr>
            <w:r w:rsidRPr="00E46F2D">
              <w:rPr>
                <w:b/>
                <w:bCs/>
                <w:sz w:val="18"/>
                <w:szCs w:val="18"/>
              </w:rPr>
              <w:t>281,500</w:t>
            </w:r>
          </w:p>
        </w:tc>
      </w:tr>
    </w:tbl>
    <w:p w14:paraId="394622E8" w14:textId="77777777" w:rsidR="00B56D76" w:rsidRDefault="00B56D76" w:rsidP="00EA74CB">
      <w:pPr>
        <w:tabs>
          <w:tab w:val="left" w:pos="1276"/>
        </w:tabs>
        <w:jc w:val="both"/>
        <w:rPr>
          <w:b/>
          <w:sz w:val="20"/>
          <w:szCs w:val="20"/>
        </w:rPr>
      </w:pPr>
    </w:p>
    <w:tbl>
      <w:tblPr>
        <w:tblW w:w="884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611"/>
        <w:gridCol w:w="1661"/>
        <w:gridCol w:w="1523"/>
        <w:gridCol w:w="8"/>
        <w:gridCol w:w="1583"/>
        <w:gridCol w:w="12"/>
        <w:gridCol w:w="1449"/>
      </w:tblGrid>
      <w:tr w:rsidR="00B56D76" w:rsidRPr="00923A53" w14:paraId="17600D8A" w14:textId="77777777" w:rsidTr="00196A0E">
        <w:trPr>
          <w:trHeight w:val="233"/>
        </w:trPr>
        <w:tc>
          <w:tcPr>
            <w:tcW w:w="2611" w:type="dxa"/>
            <w:noWrap/>
            <w:vAlign w:val="bottom"/>
          </w:tcPr>
          <w:p w14:paraId="52B5FABE" w14:textId="77777777" w:rsidR="00B56D76" w:rsidRPr="00923A53" w:rsidRDefault="00B56D76" w:rsidP="00746243">
            <w:pPr>
              <w:outlineLvl w:val="0"/>
              <w:rPr>
                <w:rFonts w:ascii="Arial" w:hAnsi="Arial" w:cs="Arial"/>
                <w:sz w:val="20"/>
                <w:szCs w:val="20"/>
              </w:rPr>
            </w:pPr>
          </w:p>
        </w:tc>
        <w:tc>
          <w:tcPr>
            <w:tcW w:w="1661" w:type="dxa"/>
            <w:noWrap/>
            <w:vAlign w:val="bottom"/>
          </w:tcPr>
          <w:p w14:paraId="2A612A69" w14:textId="77777777" w:rsidR="00B56D76" w:rsidRDefault="00B56D76" w:rsidP="00746243">
            <w:pPr>
              <w:ind w:right="-69"/>
              <w:jc w:val="right"/>
              <w:outlineLvl w:val="0"/>
              <w:rPr>
                <w:b/>
                <w:sz w:val="18"/>
                <w:szCs w:val="18"/>
              </w:rPr>
            </w:pPr>
            <w:r>
              <w:rPr>
                <w:b/>
                <w:sz w:val="18"/>
                <w:szCs w:val="18"/>
              </w:rPr>
              <w:t>Corporate</w:t>
            </w:r>
            <w:r w:rsidRPr="00923A53">
              <w:rPr>
                <w:b/>
                <w:sz w:val="18"/>
                <w:szCs w:val="18"/>
              </w:rPr>
              <w:t>/</w:t>
            </w:r>
          </w:p>
          <w:p w14:paraId="6CA4BA62" w14:textId="77777777" w:rsidR="00B56D76" w:rsidRPr="00923A53" w:rsidRDefault="00B56D76" w:rsidP="00746243">
            <w:pPr>
              <w:ind w:right="-69"/>
              <w:jc w:val="right"/>
              <w:outlineLvl w:val="0"/>
              <w:rPr>
                <w:b/>
                <w:sz w:val="18"/>
                <w:szCs w:val="18"/>
              </w:rPr>
            </w:pPr>
            <w:r>
              <w:rPr>
                <w:b/>
                <w:sz w:val="18"/>
                <w:szCs w:val="18"/>
              </w:rPr>
              <w:t>Commercial Loans</w:t>
            </w:r>
          </w:p>
        </w:tc>
        <w:tc>
          <w:tcPr>
            <w:tcW w:w="1523" w:type="dxa"/>
            <w:noWrap/>
            <w:vAlign w:val="bottom"/>
          </w:tcPr>
          <w:p w14:paraId="068F434E" w14:textId="77777777" w:rsidR="00B56D76" w:rsidRPr="00923A53" w:rsidRDefault="00B56D76" w:rsidP="00746243">
            <w:pPr>
              <w:ind w:right="-69"/>
              <w:jc w:val="right"/>
              <w:outlineLvl w:val="0"/>
              <w:rPr>
                <w:b/>
                <w:sz w:val="18"/>
                <w:szCs w:val="18"/>
              </w:rPr>
            </w:pPr>
            <w:r>
              <w:rPr>
                <w:b/>
                <w:sz w:val="18"/>
                <w:szCs w:val="18"/>
              </w:rPr>
              <w:t>SME</w:t>
            </w:r>
          </w:p>
        </w:tc>
        <w:tc>
          <w:tcPr>
            <w:tcW w:w="1591" w:type="dxa"/>
            <w:gridSpan w:val="2"/>
            <w:noWrap/>
            <w:vAlign w:val="bottom"/>
          </w:tcPr>
          <w:p w14:paraId="4115CAFF" w14:textId="77777777" w:rsidR="00B56D76" w:rsidRDefault="00B56D76" w:rsidP="00746243">
            <w:pPr>
              <w:ind w:right="-69"/>
              <w:jc w:val="right"/>
              <w:outlineLvl w:val="0"/>
              <w:rPr>
                <w:b/>
                <w:sz w:val="18"/>
                <w:szCs w:val="18"/>
              </w:rPr>
            </w:pPr>
            <w:r>
              <w:rPr>
                <w:b/>
                <w:sz w:val="18"/>
                <w:szCs w:val="18"/>
              </w:rPr>
              <w:t xml:space="preserve">Consumer </w:t>
            </w:r>
          </w:p>
          <w:p w14:paraId="7C19734C" w14:textId="77777777" w:rsidR="00B56D76" w:rsidRPr="00923A53" w:rsidRDefault="00B56D76" w:rsidP="00746243">
            <w:pPr>
              <w:ind w:right="-69"/>
              <w:jc w:val="right"/>
              <w:outlineLvl w:val="0"/>
              <w:rPr>
                <w:b/>
                <w:sz w:val="18"/>
                <w:szCs w:val="18"/>
              </w:rPr>
            </w:pPr>
            <w:r>
              <w:rPr>
                <w:b/>
                <w:sz w:val="18"/>
                <w:szCs w:val="18"/>
              </w:rPr>
              <w:t>Loans</w:t>
            </w:r>
          </w:p>
        </w:tc>
        <w:tc>
          <w:tcPr>
            <w:tcW w:w="1461" w:type="dxa"/>
            <w:gridSpan w:val="2"/>
            <w:noWrap/>
            <w:vAlign w:val="bottom"/>
          </w:tcPr>
          <w:p w14:paraId="77692291" w14:textId="77777777" w:rsidR="00B56D76" w:rsidRPr="00923A53" w:rsidRDefault="00B56D76" w:rsidP="00746243">
            <w:pPr>
              <w:ind w:right="-69"/>
              <w:jc w:val="right"/>
              <w:outlineLvl w:val="0"/>
              <w:rPr>
                <w:b/>
                <w:sz w:val="18"/>
                <w:szCs w:val="18"/>
              </w:rPr>
            </w:pPr>
            <w:r>
              <w:rPr>
                <w:b/>
                <w:sz w:val="18"/>
                <w:szCs w:val="18"/>
              </w:rPr>
              <w:t>Total</w:t>
            </w:r>
          </w:p>
        </w:tc>
      </w:tr>
      <w:tr w:rsidR="00FD0C7A" w:rsidRPr="00923A53" w14:paraId="54859610" w14:textId="77777777" w:rsidTr="00196A0E">
        <w:trPr>
          <w:trHeight w:val="220"/>
        </w:trPr>
        <w:tc>
          <w:tcPr>
            <w:tcW w:w="2611" w:type="dxa"/>
            <w:noWrap/>
            <w:vAlign w:val="bottom"/>
          </w:tcPr>
          <w:p w14:paraId="5AF41A28" w14:textId="77777777" w:rsidR="00FD0C7A" w:rsidRPr="00923A53" w:rsidRDefault="00FD0C7A" w:rsidP="00FD0C7A">
            <w:pPr>
              <w:jc w:val="both"/>
              <w:rPr>
                <w:b/>
                <w:bCs/>
                <w:sz w:val="18"/>
              </w:rPr>
            </w:pPr>
            <w:r w:rsidRPr="00923A53">
              <w:rPr>
                <w:b/>
                <w:bCs/>
                <w:sz w:val="18"/>
              </w:rPr>
              <w:t xml:space="preserve">1 </w:t>
            </w:r>
            <w:r>
              <w:rPr>
                <w:b/>
                <w:bCs/>
                <w:sz w:val="18"/>
              </w:rPr>
              <w:t>January 2014</w:t>
            </w:r>
          </w:p>
        </w:tc>
        <w:tc>
          <w:tcPr>
            <w:tcW w:w="1661" w:type="dxa"/>
            <w:noWrap/>
            <w:vAlign w:val="bottom"/>
          </w:tcPr>
          <w:p w14:paraId="619C651E" w14:textId="4B5BEC44" w:rsidR="00FD0C7A" w:rsidRPr="00A36623" w:rsidRDefault="00FD0C7A" w:rsidP="00FD0C7A">
            <w:pPr>
              <w:ind w:right="-69"/>
              <w:jc w:val="right"/>
              <w:rPr>
                <w:b/>
                <w:bCs/>
                <w:sz w:val="18"/>
                <w:szCs w:val="18"/>
              </w:rPr>
            </w:pPr>
            <w:r w:rsidRPr="00A36623">
              <w:rPr>
                <w:b/>
                <w:bCs/>
                <w:sz w:val="18"/>
                <w:szCs w:val="18"/>
              </w:rPr>
              <w:t>107</w:t>
            </w:r>
            <w:r>
              <w:rPr>
                <w:b/>
                <w:bCs/>
                <w:sz w:val="18"/>
                <w:szCs w:val="18"/>
              </w:rPr>
              <w:t>,</w:t>
            </w:r>
            <w:r w:rsidRPr="00A36623">
              <w:rPr>
                <w:b/>
                <w:bCs/>
                <w:sz w:val="18"/>
                <w:szCs w:val="18"/>
              </w:rPr>
              <w:t>484</w:t>
            </w:r>
          </w:p>
        </w:tc>
        <w:tc>
          <w:tcPr>
            <w:tcW w:w="1531" w:type="dxa"/>
            <w:gridSpan w:val="2"/>
            <w:noWrap/>
            <w:vAlign w:val="bottom"/>
          </w:tcPr>
          <w:p w14:paraId="47E02204" w14:textId="7C22201E" w:rsidR="00FD0C7A" w:rsidRPr="00A36623" w:rsidRDefault="00FD0C7A" w:rsidP="00FD0C7A">
            <w:pPr>
              <w:ind w:right="-69"/>
              <w:jc w:val="right"/>
              <w:rPr>
                <w:b/>
                <w:bCs/>
                <w:sz w:val="18"/>
                <w:szCs w:val="18"/>
              </w:rPr>
            </w:pPr>
            <w:r w:rsidRPr="00A36623">
              <w:rPr>
                <w:b/>
                <w:bCs/>
                <w:sz w:val="18"/>
                <w:szCs w:val="18"/>
              </w:rPr>
              <w:t>70</w:t>
            </w:r>
            <w:r>
              <w:rPr>
                <w:b/>
                <w:bCs/>
                <w:sz w:val="18"/>
                <w:szCs w:val="18"/>
              </w:rPr>
              <w:t>,</w:t>
            </w:r>
            <w:r w:rsidRPr="00A36623">
              <w:rPr>
                <w:b/>
                <w:bCs/>
                <w:sz w:val="18"/>
                <w:szCs w:val="18"/>
              </w:rPr>
              <w:t>996</w:t>
            </w:r>
          </w:p>
        </w:tc>
        <w:tc>
          <w:tcPr>
            <w:tcW w:w="1595" w:type="dxa"/>
            <w:gridSpan w:val="2"/>
            <w:noWrap/>
            <w:vAlign w:val="bottom"/>
          </w:tcPr>
          <w:p w14:paraId="7C85BF6D" w14:textId="13A243BF" w:rsidR="00FD0C7A" w:rsidRPr="00A36623" w:rsidRDefault="00FD0C7A" w:rsidP="00FD0C7A">
            <w:pPr>
              <w:ind w:right="-69"/>
              <w:jc w:val="right"/>
              <w:rPr>
                <w:b/>
                <w:bCs/>
                <w:sz w:val="18"/>
                <w:szCs w:val="18"/>
              </w:rPr>
            </w:pPr>
            <w:r w:rsidRPr="00A36623">
              <w:rPr>
                <w:b/>
                <w:bCs/>
                <w:sz w:val="18"/>
                <w:szCs w:val="18"/>
              </w:rPr>
              <w:t>4</w:t>
            </w:r>
            <w:r>
              <w:rPr>
                <w:b/>
                <w:bCs/>
                <w:sz w:val="18"/>
                <w:szCs w:val="18"/>
              </w:rPr>
              <w:t>,</w:t>
            </w:r>
            <w:r w:rsidRPr="00A36623">
              <w:rPr>
                <w:b/>
                <w:bCs/>
                <w:sz w:val="18"/>
                <w:szCs w:val="18"/>
              </w:rPr>
              <w:t>476</w:t>
            </w:r>
          </w:p>
        </w:tc>
        <w:tc>
          <w:tcPr>
            <w:tcW w:w="1449" w:type="dxa"/>
            <w:noWrap/>
            <w:vAlign w:val="bottom"/>
          </w:tcPr>
          <w:p w14:paraId="320DBFD8" w14:textId="508D5A30" w:rsidR="00FD0C7A" w:rsidRPr="00A36623" w:rsidRDefault="00FD0C7A" w:rsidP="00FD0C7A">
            <w:pPr>
              <w:ind w:right="-69"/>
              <w:jc w:val="right"/>
              <w:rPr>
                <w:b/>
                <w:bCs/>
                <w:sz w:val="18"/>
                <w:szCs w:val="18"/>
              </w:rPr>
            </w:pPr>
            <w:r w:rsidRPr="00A36623">
              <w:rPr>
                <w:b/>
                <w:bCs/>
                <w:sz w:val="18"/>
                <w:szCs w:val="18"/>
              </w:rPr>
              <w:t>182</w:t>
            </w:r>
            <w:r>
              <w:rPr>
                <w:b/>
                <w:bCs/>
                <w:sz w:val="18"/>
                <w:szCs w:val="18"/>
              </w:rPr>
              <w:t>,</w:t>
            </w:r>
            <w:r w:rsidRPr="00A36623">
              <w:rPr>
                <w:b/>
                <w:bCs/>
                <w:sz w:val="18"/>
                <w:szCs w:val="18"/>
              </w:rPr>
              <w:t>956</w:t>
            </w:r>
          </w:p>
        </w:tc>
      </w:tr>
      <w:tr w:rsidR="00FD0C7A" w:rsidRPr="00923A53" w14:paraId="776DD825" w14:textId="77777777" w:rsidTr="00196A0E">
        <w:trPr>
          <w:trHeight w:val="220"/>
        </w:trPr>
        <w:tc>
          <w:tcPr>
            <w:tcW w:w="2611" w:type="dxa"/>
            <w:noWrap/>
            <w:vAlign w:val="bottom"/>
          </w:tcPr>
          <w:p w14:paraId="23DAC06D" w14:textId="24277A4D" w:rsidR="00FD0C7A" w:rsidRPr="00923A53" w:rsidRDefault="00FD0C7A" w:rsidP="00FD0C7A">
            <w:pPr>
              <w:jc w:val="both"/>
              <w:rPr>
                <w:sz w:val="18"/>
              </w:rPr>
            </w:pPr>
            <w:r>
              <w:rPr>
                <w:sz w:val="18"/>
              </w:rPr>
              <w:t>Made during the Period</w:t>
            </w:r>
          </w:p>
        </w:tc>
        <w:tc>
          <w:tcPr>
            <w:tcW w:w="1661" w:type="dxa"/>
            <w:noWrap/>
            <w:vAlign w:val="bottom"/>
          </w:tcPr>
          <w:p w14:paraId="1A14DC8F" w14:textId="2A020EE4" w:rsidR="00FD0C7A" w:rsidRPr="00A36623" w:rsidRDefault="00FD0C7A" w:rsidP="00FD0C7A">
            <w:pPr>
              <w:ind w:right="-69"/>
              <w:jc w:val="right"/>
              <w:rPr>
                <w:bCs/>
                <w:sz w:val="18"/>
                <w:szCs w:val="18"/>
              </w:rPr>
            </w:pPr>
            <w:r w:rsidRPr="00A36623">
              <w:rPr>
                <w:bCs/>
                <w:sz w:val="18"/>
                <w:szCs w:val="18"/>
              </w:rPr>
              <w:t>51</w:t>
            </w:r>
            <w:r>
              <w:rPr>
                <w:bCs/>
                <w:sz w:val="18"/>
                <w:szCs w:val="18"/>
              </w:rPr>
              <w:t>,</w:t>
            </w:r>
            <w:r w:rsidRPr="00A36623">
              <w:rPr>
                <w:bCs/>
                <w:sz w:val="18"/>
                <w:szCs w:val="18"/>
              </w:rPr>
              <w:t>273</w:t>
            </w:r>
          </w:p>
        </w:tc>
        <w:tc>
          <w:tcPr>
            <w:tcW w:w="1531" w:type="dxa"/>
            <w:gridSpan w:val="2"/>
            <w:noWrap/>
            <w:vAlign w:val="bottom"/>
          </w:tcPr>
          <w:p w14:paraId="2D5E0DF3" w14:textId="65A69C3C" w:rsidR="00FD0C7A" w:rsidRPr="00A36623" w:rsidRDefault="00FD0C7A" w:rsidP="00FD0C7A">
            <w:pPr>
              <w:ind w:right="-69"/>
              <w:jc w:val="right"/>
              <w:rPr>
                <w:bCs/>
                <w:sz w:val="18"/>
                <w:szCs w:val="18"/>
              </w:rPr>
            </w:pPr>
            <w:r w:rsidRPr="00A36623">
              <w:rPr>
                <w:bCs/>
                <w:sz w:val="18"/>
                <w:szCs w:val="18"/>
              </w:rPr>
              <w:t>70</w:t>
            </w:r>
            <w:r>
              <w:rPr>
                <w:bCs/>
                <w:sz w:val="18"/>
                <w:szCs w:val="18"/>
              </w:rPr>
              <w:t>,</w:t>
            </w:r>
            <w:r w:rsidRPr="00A36623">
              <w:rPr>
                <w:bCs/>
                <w:sz w:val="18"/>
                <w:szCs w:val="18"/>
              </w:rPr>
              <w:t>372</w:t>
            </w:r>
          </w:p>
        </w:tc>
        <w:tc>
          <w:tcPr>
            <w:tcW w:w="1595" w:type="dxa"/>
            <w:gridSpan w:val="2"/>
            <w:noWrap/>
            <w:vAlign w:val="bottom"/>
          </w:tcPr>
          <w:p w14:paraId="0C49FF5E" w14:textId="66A7229D" w:rsidR="00FD0C7A" w:rsidRPr="00A36623" w:rsidRDefault="00FD0C7A" w:rsidP="00FD0C7A">
            <w:pPr>
              <w:ind w:right="-69"/>
              <w:jc w:val="right"/>
              <w:rPr>
                <w:bCs/>
                <w:sz w:val="18"/>
                <w:szCs w:val="18"/>
              </w:rPr>
            </w:pPr>
            <w:r w:rsidRPr="00A36623">
              <w:rPr>
                <w:bCs/>
                <w:sz w:val="18"/>
                <w:szCs w:val="18"/>
              </w:rPr>
              <w:t>6</w:t>
            </w:r>
            <w:r>
              <w:rPr>
                <w:bCs/>
                <w:sz w:val="18"/>
                <w:szCs w:val="18"/>
              </w:rPr>
              <w:t>,</w:t>
            </w:r>
            <w:r w:rsidRPr="00A36623">
              <w:rPr>
                <w:bCs/>
                <w:sz w:val="18"/>
                <w:szCs w:val="18"/>
              </w:rPr>
              <w:t>168</w:t>
            </w:r>
          </w:p>
        </w:tc>
        <w:tc>
          <w:tcPr>
            <w:tcW w:w="1449" w:type="dxa"/>
            <w:noWrap/>
            <w:vAlign w:val="bottom"/>
          </w:tcPr>
          <w:p w14:paraId="0DD675B2" w14:textId="3E9ED3FF" w:rsidR="00FD0C7A" w:rsidRPr="00A36623" w:rsidRDefault="00FD0C7A" w:rsidP="00FD0C7A">
            <w:pPr>
              <w:ind w:right="-69"/>
              <w:jc w:val="right"/>
              <w:rPr>
                <w:bCs/>
                <w:sz w:val="18"/>
                <w:szCs w:val="18"/>
              </w:rPr>
            </w:pPr>
            <w:r w:rsidRPr="00A36623">
              <w:rPr>
                <w:bCs/>
                <w:sz w:val="18"/>
                <w:szCs w:val="18"/>
              </w:rPr>
              <w:t>127</w:t>
            </w:r>
            <w:r>
              <w:rPr>
                <w:bCs/>
                <w:sz w:val="18"/>
                <w:szCs w:val="18"/>
              </w:rPr>
              <w:t>,</w:t>
            </w:r>
            <w:r w:rsidRPr="00A36623">
              <w:rPr>
                <w:bCs/>
                <w:sz w:val="18"/>
                <w:szCs w:val="18"/>
              </w:rPr>
              <w:t>813</w:t>
            </w:r>
          </w:p>
        </w:tc>
      </w:tr>
      <w:tr w:rsidR="00FD0C7A" w:rsidRPr="00923A53" w14:paraId="1FB6E0F7" w14:textId="77777777" w:rsidTr="00196A0E">
        <w:trPr>
          <w:trHeight w:val="233"/>
        </w:trPr>
        <w:tc>
          <w:tcPr>
            <w:tcW w:w="2611" w:type="dxa"/>
            <w:noWrap/>
            <w:vAlign w:val="bottom"/>
          </w:tcPr>
          <w:p w14:paraId="4C0A0345" w14:textId="198BAD6C" w:rsidR="00FD0C7A" w:rsidRPr="00923A53" w:rsidRDefault="00FD0C7A" w:rsidP="00FD0C7A">
            <w:pPr>
              <w:jc w:val="both"/>
              <w:rPr>
                <w:sz w:val="18"/>
              </w:rPr>
            </w:pPr>
            <w:r>
              <w:rPr>
                <w:sz w:val="18"/>
              </w:rPr>
              <w:t>Cancelled during the Period</w:t>
            </w:r>
            <w:r w:rsidRPr="00923A53">
              <w:rPr>
                <w:sz w:val="18"/>
              </w:rPr>
              <w:t xml:space="preserve"> (-)</w:t>
            </w:r>
          </w:p>
        </w:tc>
        <w:tc>
          <w:tcPr>
            <w:tcW w:w="1661" w:type="dxa"/>
            <w:noWrap/>
            <w:vAlign w:val="bottom"/>
          </w:tcPr>
          <w:p w14:paraId="372C4369" w14:textId="6A4477F7" w:rsidR="00FD0C7A" w:rsidRPr="00A36623" w:rsidRDefault="00FD0C7A" w:rsidP="00FD0C7A">
            <w:pPr>
              <w:ind w:right="-69"/>
              <w:jc w:val="right"/>
              <w:rPr>
                <w:bCs/>
                <w:sz w:val="18"/>
                <w:szCs w:val="18"/>
              </w:rPr>
            </w:pPr>
            <w:r w:rsidRPr="00A36623">
              <w:rPr>
                <w:bCs/>
                <w:sz w:val="18"/>
                <w:szCs w:val="18"/>
              </w:rPr>
              <w:t>9</w:t>
            </w:r>
            <w:r>
              <w:rPr>
                <w:bCs/>
                <w:sz w:val="18"/>
                <w:szCs w:val="18"/>
              </w:rPr>
              <w:t>,</w:t>
            </w:r>
            <w:r w:rsidRPr="00A36623">
              <w:rPr>
                <w:bCs/>
                <w:sz w:val="18"/>
                <w:szCs w:val="18"/>
              </w:rPr>
              <w:t>032</w:t>
            </w:r>
          </w:p>
        </w:tc>
        <w:tc>
          <w:tcPr>
            <w:tcW w:w="1531" w:type="dxa"/>
            <w:gridSpan w:val="2"/>
            <w:noWrap/>
            <w:vAlign w:val="bottom"/>
          </w:tcPr>
          <w:p w14:paraId="3822E8B7" w14:textId="2A50CC31" w:rsidR="00FD0C7A" w:rsidRPr="00A36623" w:rsidRDefault="00FD0C7A" w:rsidP="00FD0C7A">
            <w:pPr>
              <w:ind w:right="-69"/>
              <w:jc w:val="right"/>
              <w:rPr>
                <w:bCs/>
                <w:sz w:val="18"/>
                <w:szCs w:val="18"/>
              </w:rPr>
            </w:pPr>
            <w:r w:rsidRPr="00A36623">
              <w:rPr>
                <w:bCs/>
                <w:sz w:val="18"/>
                <w:szCs w:val="18"/>
              </w:rPr>
              <w:t>30</w:t>
            </w:r>
            <w:r>
              <w:rPr>
                <w:bCs/>
                <w:sz w:val="18"/>
                <w:szCs w:val="18"/>
              </w:rPr>
              <w:t>,</w:t>
            </w:r>
            <w:r w:rsidRPr="00A36623">
              <w:rPr>
                <w:bCs/>
                <w:sz w:val="18"/>
                <w:szCs w:val="18"/>
              </w:rPr>
              <w:t>892</w:t>
            </w:r>
          </w:p>
        </w:tc>
        <w:tc>
          <w:tcPr>
            <w:tcW w:w="1595" w:type="dxa"/>
            <w:gridSpan w:val="2"/>
            <w:noWrap/>
            <w:vAlign w:val="bottom"/>
          </w:tcPr>
          <w:p w14:paraId="2E467897" w14:textId="02B6B64F" w:rsidR="00FD0C7A" w:rsidRPr="00A36623" w:rsidRDefault="00FD0C7A" w:rsidP="00FD0C7A">
            <w:pPr>
              <w:ind w:right="-69"/>
              <w:jc w:val="right"/>
              <w:rPr>
                <w:bCs/>
                <w:sz w:val="18"/>
                <w:szCs w:val="18"/>
              </w:rPr>
            </w:pPr>
            <w:r w:rsidRPr="00A36623">
              <w:rPr>
                <w:bCs/>
                <w:sz w:val="18"/>
                <w:szCs w:val="18"/>
              </w:rPr>
              <w:t>1</w:t>
            </w:r>
            <w:r>
              <w:rPr>
                <w:bCs/>
                <w:sz w:val="18"/>
                <w:szCs w:val="18"/>
              </w:rPr>
              <w:t>,</w:t>
            </w:r>
            <w:r w:rsidRPr="00A36623">
              <w:rPr>
                <w:bCs/>
                <w:sz w:val="18"/>
                <w:szCs w:val="18"/>
              </w:rPr>
              <w:t>602</w:t>
            </w:r>
          </w:p>
        </w:tc>
        <w:tc>
          <w:tcPr>
            <w:tcW w:w="1449" w:type="dxa"/>
            <w:noWrap/>
            <w:vAlign w:val="bottom"/>
          </w:tcPr>
          <w:p w14:paraId="608D16F7" w14:textId="671E9A17" w:rsidR="00FD0C7A" w:rsidRPr="00A36623" w:rsidRDefault="00FD0C7A" w:rsidP="00FD0C7A">
            <w:pPr>
              <w:ind w:right="-69"/>
              <w:jc w:val="right"/>
              <w:rPr>
                <w:bCs/>
                <w:sz w:val="18"/>
                <w:szCs w:val="18"/>
              </w:rPr>
            </w:pPr>
            <w:r w:rsidRPr="00A36623">
              <w:rPr>
                <w:bCs/>
                <w:sz w:val="18"/>
                <w:szCs w:val="18"/>
              </w:rPr>
              <w:t>41</w:t>
            </w:r>
            <w:r>
              <w:rPr>
                <w:bCs/>
                <w:sz w:val="18"/>
                <w:szCs w:val="18"/>
              </w:rPr>
              <w:t>,</w:t>
            </w:r>
            <w:r w:rsidRPr="00A36623">
              <w:rPr>
                <w:bCs/>
                <w:sz w:val="18"/>
                <w:szCs w:val="18"/>
              </w:rPr>
              <w:t>526</w:t>
            </w:r>
          </w:p>
        </w:tc>
      </w:tr>
      <w:tr w:rsidR="00FD0C7A" w:rsidRPr="00923A53" w14:paraId="5FC5249F" w14:textId="77777777" w:rsidTr="00196A0E">
        <w:trPr>
          <w:trHeight w:val="233"/>
        </w:trPr>
        <w:tc>
          <w:tcPr>
            <w:tcW w:w="2611" w:type="dxa"/>
            <w:noWrap/>
            <w:vAlign w:val="bottom"/>
          </w:tcPr>
          <w:p w14:paraId="45E13866" w14:textId="77777777" w:rsidR="00FD0C7A" w:rsidRPr="00923A53" w:rsidRDefault="00FD0C7A" w:rsidP="00FD0C7A">
            <w:pPr>
              <w:jc w:val="both"/>
              <w:rPr>
                <w:sz w:val="18"/>
              </w:rPr>
            </w:pPr>
            <w:r>
              <w:rPr>
                <w:noProof/>
                <w:sz w:val="18"/>
                <w:szCs w:val="18"/>
              </w:rPr>
              <w:t>Collections</w:t>
            </w:r>
          </w:p>
        </w:tc>
        <w:tc>
          <w:tcPr>
            <w:tcW w:w="1661" w:type="dxa"/>
            <w:noWrap/>
            <w:vAlign w:val="bottom"/>
          </w:tcPr>
          <w:p w14:paraId="6C3D84A2" w14:textId="51C42188" w:rsidR="00FD0C7A" w:rsidRPr="00F15456" w:rsidRDefault="00FD0C7A" w:rsidP="00FD0C7A">
            <w:pPr>
              <w:ind w:right="-69"/>
              <w:jc w:val="right"/>
              <w:rPr>
                <w:bCs/>
                <w:sz w:val="18"/>
                <w:szCs w:val="18"/>
              </w:rPr>
            </w:pPr>
            <w:r w:rsidRPr="00A36623">
              <w:rPr>
                <w:bCs/>
                <w:sz w:val="18"/>
                <w:szCs w:val="18"/>
              </w:rPr>
              <w:t>-</w:t>
            </w:r>
          </w:p>
        </w:tc>
        <w:tc>
          <w:tcPr>
            <w:tcW w:w="1531" w:type="dxa"/>
            <w:gridSpan w:val="2"/>
            <w:noWrap/>
            <w:vAlign w:val="bottom"/>
          </w:tcPr>
          <w:p w14:paraId="0F16240E" w14:textId="03FAB26A" w:rsidR="00FD0C7A" w:rsidRPr="00F15456" w:rsidRDefault="00FD0C7A" w:rsidP="00FD0C7A">
            <w:pPr>
              <w:jc w:val="right"/>
            </w:pPr>
            <w:r w:rsidRPr="00A36623">
              <w:rPr>
                <w:bCs/>
                <w:sz w:val="18"/>
                <w:szCs w:val="18"/>
              </w:rPr>
              <w:t>-</w:t>
            </w:r>
          </w:p>
        </w:tc>
        <w:tc>
          <w:tcPr>
            <w:tcW w:w="1595" w:type="dxa"/>
            <w:gridSpan w:val="2"/>
            <w:noWrap/>
            <w:vAlign w:val="bottom"/>
          </w:tcPr>
          <w:p w14:paraId="5F71E176" w14:textId="373A297A" w:rsidR="00FD0C7A" w:rsidRPr="00F15456" w:rsidRDefault="00FD0C7A" w:rsidP="00FD0C7A">
            <w:pPr>
              <w:jc w:val="right"/>
            </w:pPr>
            <w:r w:rsidRPr="00A36623">
              <w:rPr>
                <w:bCs/>
                <w:sz w:val="18"/>
                <w:szCs w:val="18"/>
              </w:rPr>
              <w:t>-</w:t>
            </w:r>
          </w:p>
        </w:tc>
        <w:tc>
          <w:tcPr>
            <w:tcW w:w="1449" w:type="dxa"/>
            <w:noWrap/>
            <w:vAlign w:val="bottom"/>
          </w:tcPr>
          <w:p w14:paraId="2EE3446F" w14:textId="76E212A2" w:rsidR="00FD0C7A" w:rsidRPr="00F15456" w:rsidRDefault="00FD0C7A" w:rsidP="00FD0C7A">
            <w:pPr>
              <w:jc w:val="right"/>
            </w:pPr>
            <w:r w:rsidRPr="00A36623">
              <w:rPr>
                <w:bCs/>
                <w:sz w:val="18"/>
                <w:szCs w:val="18"/>
              </w:rPr>
              <w:t>-</w:t>
            </w:r>
          </w:p>
        </w:tc>
      </w:tr>
      <w:tr w:rsidR="00FD0C7A" w:rsidRPr="00923A53" w14:paraId="3090246F" w14:textId="77777777" w:rsidTr="00196A0E">
        <w:trPr>
          <w:trHeight w:val="220"/>
        </w:trPr>
        <w:tc>
          <w:tcPr>
            <w:tcW w:w="2611" w:type="dxa"/>
            <w:noWrap/>
            <w:vAlign w:val="bottom"/>
          </w:tcPr>
          <w:p w14:paraId="291AE0D9" w14:textId="77777777" w:rsidR="00FD0C7A" w:rsidRPr="00923A53" w:rsidRDefault="00FD0C7A" w:rsidP="00FD0C7A">
            <w:pPr>
              <w:jc w:val="both"/>
              <w:rPr>
                <w:b/>
                <w:sz w:val="18"/>
              </w:rPr>
            </w:pPr>
            <w:r w:rsidRPr="00923A53">
              <w:rPr>
                <w:b/>
                <w:sz w:val="18"/>
              </w:rPr>
              <w:t xml:space="preserve">31 </w:t>
            </w:r>
            <w:r>
              <w:rPr>
                <w:b/>
                <w:sz w:val="18"/>
              </w:rPr>
              <w:t>December 2014</w:t>
            </w:r>
          </w:p>
        </w:tc>
        <w:tc>
          <w:tcPr>
            <w:tcW w:w="1661" w:type="dxa"/>
            <w:noWrap/>
            <w:vAlign w:val="bottom"/>
          </w:tcPr>
          <w:p w14:paraId="0730ACB1" w14:textId="2DE50CB6" w:rsidR="00FD0C7A" w:rsidRPr="00A36623" w:rsidRDefault="00FD0C7A" w:rsidP="00FD0C7A">
            <w:pPr>
              <w:ind w:right="-69"/>
              <w:jc w:val="right"/>
              <w:rPr>
                <w:b/>
                <w:bCs/>
                <w:sz w:val="18"/>
                <w:szCs w:val="18"/>
              </w:rPr>
            </w:pPr>
            <w:r w:rsidRPr="00A36623">
              <w:rPr>
                <w:b/>
                <w:bCs/>
                <w:sz w:val="18"/>
                <w:szCs w:val="18"/>
              </w:rPr>
              <w:t>149</w:t>
            </w:r>
            <w:r>
              <w:rPr>
                <w:b/>
                <w:bCs/>
                <w:sz w:val="18"/>
                <w:szCs w:val="18"/>
              </w:rPr>
              <w:t>,</w:t>
            </w:r>
            <w:r w:rsidRPr="00A36623">
              <w:rPr>
                <w:b/>
                <w:bCs/>
                <w:sz w:val="18"/>
                <w:szCs w:val="18"/>
              </w:rPr>
              <w:t>725</w:t>
            </w:r>
          </w:p>
        </w:tc>
        <w:tc>
          <w:tcPr>
            <w:tcW w:w="1531" w:type="dxa"/>
            <w:gridSpan w:val="2"/>
            <w:noWrap/>
            <w:vAlign w:val="bottom"/>
          </w:tcPr>
          <w:p w14:paraId="715DBD31" w14:textId="03AC9C35" w:rsidR="00FD0C7A" w:rsidRPr="00A36623" w:rsidRDefault="00FD0C7A" w:rsidP="00FD0C7A">
            <w:pPr>
              <w:ind w:right="-69"/>
              <w:jc w:val="right"/>
              <w:rPr>
                <w:b/>
                <w:bCs/>
                <w:sz w:val="18"/>
                <w:szCs w:val="18"/>
              </w:rPr>
            </w:pPr>
            <w:r w:rsidRPr="00A36623">
              <w:rPr>
                <w:b/>
                <w:bCs/>
                <w:sz w:val="18"/>
                <w:szCs w:val="18"/>
              </w:rPr>
              <w:t>110</w:t>
            </w:r>
            <w:r>
              <w:rPr>
                <w:b/>
                <w:bCs/>
                <w:sz w:val="18"/>
                <w:szCs w:val="18"/>
              </w:rPr>
              <w:t>,</w:t>
            </w:r>
            <w:r w:rsidRPr="00A36623">
              <w:rPr>
                <w:b/>
                <w:bCs/>
                <w:sz w:val="18"/>
                <w:szCs w:val="18"/>
              </w:rPr>
              <w:t>476</w:t>
            </w:r>
          </w:p>
        </w:tc>
        <w:tc>
          <w:tcPr>
            <w:tcW w:w="1595" w:type="dxa"/>
            <w:gridSpan w:val="2"/>
            <w:noWrap/>
            <w:vAlign w:val="bottom"/>
          </w:tcPr>
          <w:p w14:paraId="342FF82A" w14:textId="3640184A" w:rsidR="00FD0C7A" w:rsidRPr="00A36623" w:rsidRDefault="00FD0C7A" w:rsidP="00FD0C7A">
            <w:pPr>
              <w:ind w:right="-69"/>
              <w:jc w:val="right"/>
              <w:rPr>
                <w:b/>
                <w:bCs/>
                <w:sz w:val="18"/>
                <w:szCs w:val="18"/>
              </w:rPr>
            </w:pPr>
            <w:r w:rsidRPr="00A36623">
              <w:rPr>
                <w:b/>
                <w:bCs/>
                <w:sz w:val="18"/>
                <w:szCs w:val="18"/>
              </w:rPr>
              <w:t>9</w:t>
            </w:r>
            <w:r>
              <w:rPr>
                <w:b/>
                <w:bCs/>
                <w:sz w:val="18"/>
                <w:szCs w:val="18"/>
              </w:rPr>
              <w:t>,</w:t>
            </w:r>
            <w:r w:rsidRPr="00A36623">
              <w:rPr>
                <w:b/>
                <w:bCs/>
                <w:sz w:val="18"/>
                <w:szCs w:val="18"/>
              </w:rPr>
              <w:t>042</w:t>
            </w:r>
          </w:p>
        </w:tc>
        <w:tc>
          <w:tcPr>
            <w:tcW w:w="1449" w:type="dxa"/>
            <w:noWrap/>
            <w:vAlign w:val="bottom"/>
          </w:tcPr>
          <w:p w14:paraId="2F50245F" w14:textId="51A27D18" w:rsidR="00FD0C7A" w:rsidRPr="00A36623" w:rsidRDefault="00FD0C7A" w:rsidP="00FD0C7A">
            <w:pPr>
              <w:ind w:right="-69"/>
              <w:jc w:val="right"/>
              <w:rPr>
                <w:b/>
                <w:bCs/>
                <w:sz w:val="18"/>
                <w:szCs w:val="18"/>
              </w:rPr>
            </w:pPr>
            <w:r w:rsidRPr="00A36623">
              <w:rPr>
                <w:b/>
                <w:bCs/>
                <w:sz w:val="18"/>
                <w:szCs w:val="18"/>
              </w:rPr>
              <w:t>269</w:t>
            </w:r>
            <w:r>
              <w:rPr>
                <w:b/>
                <w:bCs/>
                <w:sz w:val="18"/>
                <w:szCs w:val="18"/>
              </w:rPr>
              <w:t>,</w:t>
            </w:r>
            <w:r w:rsidRPr="00A36623">
              <w:rPr>
                <w:b/>
                <w:bCs/>
                <w:sz w:val="18"/>
                <w:szCs w:val="18"/>
              </w:rPr>
              <w:t>243</w:t>
            </w:r>
          </w:p>
        </w:tc>
      </w:tr>
    </w:tbl>
    <w:p w14:paraId="39B5922D" w14:textId="77777777" w:rsidR="0044575F" w:rsidRPr="00604C75" w:rsidRDefault="00EA74CB" w:rsidP="00490153">
      <w:pPr>
        <w:tabs>
          <w:tab w:val="left" w:pos="1276"/>
        </w:tabs>
        <w:spacing w:before="120"/>
        <w:jc w:val="both"/>
        <w:rPr>
          <w:b/>
          <w:sz w:val="20"/>
          <w:szCs w:val="20"/>
        </w:rPr>
      </w:pPr>
      <w:r w:rsidRPr="00604C75">
        <w:rPr>
          <w:b/>
          <w:sz w:val="20"/>
          <w:szCs w:val="20"/>
        </w:rPr>
        <w:t xml:space="preserve">f.        </w:t>
      </w:r>
      <w:r w:rsidR="0044575F" w:rsidRPr="00604C75">
        <w:rPr>
          <w:b/>
          <w:sz w:val="20"/>
          <w:szCs w:val="20"/>
        </w:rPr>
        <w:t>Information on held-to-maturity investments:</w:t>
      </w:r>
    </w:p>
    <w:p w14:paraId="23AEA207" w14:textId="77777777" w:rsidR="0044575F" w:rsidRPr="00195EDC" w:rsidRDefault="00EA74CB" w:rsidP="00490153">
      <w:pPr>
        <w:pStyle w:val="BodyTextIndent"/>
        <w:spacing w:before="120" w:after="0"/>
        <w:ind w:left="0"/>
        <w:rPr>
          <w:sz w:val="20"/>
          <w:szCs w:val="20"/>
        </w:rPr>
      </w:pPr>
      <w:r w:rsidRPr="00604C75">
        <w:rPr>
          <w:sz w:val="20"/>
          <w:szCs w:val="20"/>
        </w:rPr>
        <w:t>1</w:t>
      </w:r>
      <w:r w:rsidRPr="00195EDC">
        <w:rPr>
          <w:sz w:val="20"/>
          <w:szCs w:val="20"/>
        </w:rPr>
        <w:t xml:space="preserve">.        </w:t>
      </w:r>
      <w:r w:rsidR="0044575F" w:rsidRPr="00195EDC">
        <w:rPr>
          <w:sz w:val="20"/>
          <w:szCs w:val="20"/>
        </w:rPr>
        <w:t>Information on held to maturity debt securities</w:t>
      </w:r>
    </w:p>
    <w:p w14:paraId="49AAFED5" w14:textId="77777777" w:rsidR="00EA74CB" w:rsidRPr="00195EDC" w:rsidRDefault="00ED42A4" w:rsidP="00490153">
      <w:pPr>
        <w:pStyle w:val="BodyTextIndent"/>
        <w:tabs>
          <w:tab w:val="left" w:pos="0"/>
          <w:tab w:val="left" w:pos="1418"/>
        </w:tabs>
        <w:spacing w:before="120"/>
        <w:ind w:left="0"/>
        <w:rPr>
          <w:sz w:val="20"/>
          <w:szCs w:val="20"/>
        </w:rPr>
      </w:pPr>
      <w:r w:rsidRPr="00195EDC">
        <w:rPr>
          <w:sz w:val="20"/>
          <w:szCs w:val="20"/>
        </w:rPr>
        <w:t>Group has no held to maturi</w:t>
      </w:r>
      <w:r w:rsidR="00F51CB2" w:rsidRPr="00195EDC">
        <w:rPr>
          <w:sz w:val="20"/>
          <w:szCs w:val="20"/>
        </w:rPr>
        <w:t>ty debt securities as of 3</w:t>
      </w:r>
      <w:r w:rsidR="00F754A8" w:rsidRPr="00195EDC">
        <w:rPr>
          <w:sz w:val="20"/>
          <w:szCs w:val="20"/>
        </w:rPr>
        <w:t>1</w:t>
      </w:r>
      <w:r w:rsidR="00F51CB2" w:rsidRPr="00195EDC">
        <w:rPr>
          <w:sz w:val="20"/>
          <w:szCs w:val="20"/>
        </w:rPr>
        <w:t xml:space="preserve"> </w:t>
      </w:r>
      <w:r w:rsidR="00F754A8" w:rsidRPr="00195EDC">
        <w:rPr>
          <w:sz w:val="20"/>
          <w:szCs w:val="20"/>
        </w:rPr>
        <w:t xml:space="preserve">December </w:t>
      </w:r>
      <w:r w:rsidRPr="00195EDC">
        <w:rPr>
          <w:sz w:val="20"/>
          <w:szCs w:val="20"/>
        </w:rPr>
        <w:t>2015 (31 December 2014: None).</w:t>
      </w:r>
    </w:p>
    <w:p w14:paraId="3FFF1003" w14:textId="77777777" w:rsidR="0044575F" w:rsidRPr="00195EDC" w:rsidRDefault="00EA74CB" w:rsidP="00490153">
      <w:pPr>
        <w:pStyle w:val="BodyTextIndent"/>
        <w:spacing w:before="120" w:after="0"/>
        <w:ind w:left="0"/>
        <w:rPr>
          <w:rFonts w:eastAsia="Arial Unicode MS"/>
          <w:sz w:val="20"/>
          <w:szCs w:val="20"/>
        </w:rPr>
      </w:pPr>
      <w:r w:rsidRPr="00195EDC">
        <w:rPr>
          <w:sz w:val="20"/>
          <w:szCs w:val="20"/>
        </w:rPr>
        <w:t xml:space="preserve">2.        </w:t>
      </w:r>
      <w:r w:rsidR="0044575F" w:rsidRPr="00195EDC">
        <w:rPr>
          <w:rFonts w:eastAsia="Arial Unicode MS"/>
          <w:sz w:val="20"/>
          <w:szCs w:val="20"/>
        </w:rPr>
        <w:t xml:space="preserve">Information </w:t>
      </w:r>
      <w:r w:rsidRPr="00195EDC">
        <w:rPr>
          <w:rFonts w:eastAsia="Arial Unicode MS"/>
          <w:sz w:val="20"/>
          <w:szCs w:val="20"/>
        </w:rPr>
        <w:t>on held to maturity investments</w:t>
      </w:r>
    </w:p>
    <w:p w14:paraId="68BF2CD8" w14:textId="77777777" w:rsidR="00ED42A4" w:rsidRPr="00195EDC" w:rsidRDefault="00ED42A4" w:rsidP="00490153">
      <w:pPr>
        <w:pStyle w:val="BodyTextIndent"/>
        <w:tabs>
          <w:tab w:val="left" w:pos="0"/>
          <w:tab w:val="left" w:pos="1418"/>
        </w:tabs>
        <w:spacing w:before="120"/>
        <w:ind w:left="0"/>
        <w:rPr>
          <w:sz w:val="20"/>
          <w:szCs w:val="20"/>
        </w:rPr>
      </w:pPr>
      <w:r w:rsidRPr="00195EDC">
        <w:rPr>
          <w:sz w:val="20"/>
          <w:szCs w:val="20"/>
        </w:rPr>
        <w:t xml:space="preserve">Group has no held to maturity </w:t>
      </w:r>
      <w:r w:rsidRPr="00195EDC">
        <w:rPr>
          <w:rFonts w:eastAsia="Arial Unicode MS"/>
          <w:sz w:val="20"/>
          <w:szCs w:val="20"/>
        </w:rPr>
        <w:t>investments</w:t>
      </w:r>
      <w:r w:rsidR="00F51CB2" w:rsidRPr="00195EDC">
        <w:rPr>
          <w:sz w:val="20"/>
          <w:szCs w:val="20"/>
        </w:rPr>
        <w:t xml:space="preserve"> as of 3</w:t>
      </w:r>
      <w:r w:rsidR="00F754A8" w:rsidRPr="00195EDC">
        <w:rPr>
          <w:sz w:val="20"/>
          <w:szCs w:val="20"/>
        </w:rPr>
        <w:t>1</w:t>
      </w:r>
      <w:r w:rsidR="00F51CB2" w:rsidRPr="00195EDC">
        <w:rPr>
          <w:sz w:val="20"/>
          <w:szCs w:val="20"/>
        </w:rPr>
        <w:t xml:space="preserve"> </w:t>
      </w:r>
      <w:r w:rsidR="00F754A8" w:rsidRPr="00195EDC">
        <w:rPr>
          <w:sz w:val="20"/>
          <w:szCs w:val="20"/>
        </w:rPr>
        <w:t xml:space="preserve">December </w:t>
      </w:r>
      <w:r w:rsidRPr="00195EDC">
        <w:rPr>
          <w:sz w:val="20"/>
          <w:szCs w:val="20"/>
        </w:rPr>
        <w:t>2015 (31 December 2014: None).</w:t>
      </w:r>
    </w:p>
    <w:p w14:paraId="092840AD" w14:textId="77777777" w:rsidR="0044575F" w:rsidRPr="00195EDC" w:rsidRDefault="00EA74CB" w:rsidP="00490153">
      <w:pPr>
        <w:pStyle w:val="BodyTextIndent"/>
        <w:spacing w:before="120" w:after="0"/>
        <w:ind w:left="0"/>
        <w:rPr>
          <w:sz w:val="20"/>
          <w:szCs w:val="20"/>
        </w:rPr>
      </w:pPr>
      <w:r w:rsidRPr="00195EDC">
        <w:rPr>
          <w:sz w:val="20"/>
          <w:szCs w:val="20"/>
        </w:rPr>
        <w:t xml:space="preserve">3.        </w:t>
      </w:r>
      <w:r w:rsidR="0044575F" w:rsidRPr="00195EDC">
        <w:rPr>
          <w:rFonts w:eastAsia="Arial Unicode MS"/>
          <w:sz w:val="20"/>
          <w:szCs w:val="20"/>
        </w:rPr>
        <w:t>Movement of investments held-to-maturity:</w:t>
      </w:r>
    </w:p>
    <w:p w14:paraId="5A5731DC" w14:textId="77777777" w:rsidR="005F3FED" w:rsidRPr="00195EDC" w:rsidRDefault="009E467E" w:rsidP="00490153">
      <w:pPr>
        <w:pStyle w:val="BodyTextIndent"/>
        <w:tabs>
          <w:tab w:val="left" w:pos="1985"/>
        </w:tabs>
        <w:spacing w:before="120"/>
        <w:ind w:left="0"/>
        <w:rPr>
          <w:rFonts w:eastAsia="Arial Unicode MS"/>
          <w:sz w:val="20"/>
          <w:szCs w:val="20"/>
        </w:rPr>
      </w:pPr>
      <w:r w:rsidRPr="00195EDC">
        <w:rPr>
          <w:rFonts w:eastAsia="Arial Unicode MS"/>
          <w:sz w:val="20"/>
          <w:szCs w:val="20"/>
        </w:rPr>
        <w:t>None.</w:t>
      </w:r>
    </w:p>
    <w:p w14:paraId="263D9C15" w14:textId="77777777" w:rsidR="00765FAD" w:rsidRPr="00195EDC" w:rsidRDefault="0044575F" w:rsidP="00490153">
      <w:pPr>
        <w:pStyle w:val="BodyTextIndent"/>
        <w:spacing w:before="120" w:after="0"/>
        <w:ind w:left="567" w:hanging="567"/>
        <w:rPr>
          <w:sz w:val="20"/>
          <w:szCs w:val="20"/>
        </w:rPr>
      </w:pPr>
      <w:r w:rsidRPr="00195EDC">
        <w:rPr>
          <w:sz w:val="20"/>
          <w:szCs w:val="20"/>
        </w:rPr>
        <w:t>4.</w:t>
      </w:r>
      <w:r w:rsidRPr="00195EDC">
        <w:rPr>
          <w:sz w:val="20"/>
          <w:szCs w:val="20"/>
        </w:rPr>
        <w:tab/>
      </w:r>
      <w:r w:rsidR="00765FAD" w:rsidRPr="00195EDC">
        <w:rPr>
          <w:sz w:val="20"/>
          <w:szCs w:val="20"/>
        </w:rPr>
        <w:t>Characteristics and carrying values of held-to-maturity investments given as collateral</w:t>
      </w:r>
    </w:p>
    <w:p w14:paraId="30AB2D72" w14:textId="77777777" w:rsidR="00765FAD" w:rsidRPr="00604C75" w:rsidRDefault="00F51CB2" w:rsidP="00490153">
      <w:pPr>
        <w:pStyle w:val="BodyTextIndent"/>
        <w:spacing w:before="120" w:after="0"/>
        <w:ind w:left="0"/>
        <w:jc w:val="both"/>
        <w:rPr>
          <w:sz w:val="20"/>
          <w:szCs w:val="20"/>
        </w:rPr>
      </w:pPr>
      <w:r w:rsidRPr="00195EDC">
        <w:rPr>
          <w:sz w:val="20"/>
          <w:szCs w:val="20"/>
        </w:rPr>
        <w:t>As of 3</w:t>
      </w:r>
      <w:r w:rsidR="00F754A8" w:rsidRPr="00195EDC">
        <w:rPr>
          <w:sz w:val="20"/>
          <w:szCs w:val="20"/>
        </w:rPr>
        <w:t>1</w:t>
      </w:r>
      <w:r w:rsidRPr="00195EDC">
        <w:rPr>
          <w:sz w:val="20"/>
          <w:szCs w:val="20"/>
        </w:rPr>
        <w:t xml:space="preserve"> </w:t>
      </w:r>
      <w:r w:rsidR="00F754A8" w:rsidRPr="00195EDC">
        <w:rPr>
          <w:sz w:val="20"/>
          <w:szCs w:val="20"/>
        </w:rPr>
        <w:t xml:space="preserve">December </w:t>
      </w:r>
      <w:r w:rsidR="00765FAD" w:rsidRPr="00195EDC">
        <w:rPr>
          <w:sz w:val="20"/>
          <w:szCs w:val="20"/>
        </w:rPr>
        <w:t>201</w:t>
      </w:r>
      <w:r w:rsidR="00D937AB" w:rsidRPr="00195EDC">
        <w:rPr>
          <w:sz w:val="20"/>
          <w:szCs w:val="20"/>
        </w:rPr>
        <w:t>5</w:t>
      </w:r>
      <w:r w:rsidR="00765FAD" w:rsidRPr="00195EDC">
        <w:rPr>
          <w:sz w:val="20"/>
          <w:szCs w:val="20"/>
        </w:rPr>
        <w:t xml:space="preserve"> there is no held-to-maturity investments given as collateral (31 December 201</w:t>
      </w:r>
      <w:r w:rsidR="00D937AB" w:rsidRPr="00195EDC">
        <w:rPr>
          <w:sz w:val="20"/>
          <w:szCs w:val="20"/>
        </w:rPr>
        <w:t>4</w:t>
      </w:r>
      <w:r w:rsidR="00765FAD" w:rsidRPr="00195EDC">
        <w:rPr>
          <w:sz w:val="20"/>
          <w:szCs w:val="20"/>
        </w:rPr>
        <w:t xml:space="preserve">: </w:t>
      </w:r>
      <w:r w:rsidR="00D937AB" w:rsidRPr="00195EDC">
        <w:rPr>
          <w:sz w:val="20"/>
          <w:szCs w:val="20"/>
        </w:rPr>
        <w:t>None).</w:t>
      </w:r>
    </w:p>
    <w:p w14:paraId="31FB4D33" w14:textId="77777777" w:rsidR="00693696" w:rsidRPr="00604C75" w:rsidRDefault="00693696" w:rsidP="00765FAD">
      <w:pPr>
        <w:pStyle w:val="BodyTextIndent"/>
        <w:spacing w:after="0"/>
        <w:ind w:left="1701" w:hanging="425"/>
        <w:rPr>
          <w:sz w:val="20"/>
          <w:szCs w:val="20"/>
        </w:rPr>
      </w:pPr>
    </w:p>
    <w:p w14:paraId="10CD6EC1" w14:textId="77777777" w:rsidR="00F85BDB" w:rsidRPr="00604C75" w:rsidRDefault="00F85BDB" w:rsidP="00D937AB">
      <w:pPr>
        <w:pStyle w:val="BodyTextIndent"/>
        <w:spacing w:after="0"/>
        <w:ind w:left="0"/>
        <w:jc w:val="both"/>
        <w:rPr>
          <w:rStyle w:val="hps"/>
          <w:color w:val="222222"/>
        </w:rPr>
      </w:pPr>
    </w:p>
    <w:p w14:paraId="341E91B2" w14:textId="77777777" w:rsidR="0044575F" w:rsidRPr="00604C75" w:rsidRDefault="0044575F" w:rsidP="00F85BDB">
      <w:pPr>
        <w:pStyle w:val="BodyTextIndent"/>
        <w:spacing w:after="0"/>
        <w:ind w:left="1701" w:hanging="425"/>
        <w:rPr>
          <w:sz w:val="20"/>
          <w:szCs w:val="20"/>
        </w:rPr>
      </w:pPr>
    </w:p>
    <w:p w14:paraId="13C81A41" w14:textId="77777777" w:rsidR="00D937AB" w:rsidRPr="00604C75" w:rsidRDefault="00D937AB" w:rsidP="00F85BDB">
      <w:pPr>
        <w:pStyle w:val="BodyTextIndent"/>
        <w:spacing w:after="0"/>
        <w:ind w:left="1701" w:hanging="425"/>
        <w:rPr>
          <w:sz w:val="20"/>
          <w:szCs w:val="20"/>
        </w:rPr>
      </w:pPr>
    </w:p>
    <w:p w14:paraId="7EA3F91D" w14:textId="77777777" w:rsidR="00D937AB" w:rsidRPr="00604C75" w:rsidRDefault="00D937AB" w:rsidP="00F85BDB">
      <w:pPr>
        <w:pStyle w:val="BodyTextIndent"/>
        <w:spacing w:after="0"/>
        <w:ind w:left="1701" w:hanging="425"/>
        <w:rPr>
          <w:sz w:val="20"/>
          <w:szCs w:val="20"/>
        </w:rPr>
      </w:pPr>
    </w:p>
    <w:p w14:paraId="7398D501" w14:textId="77777777" w:rsidR="00D937AB" w:rsidRPr="00604C75" w:rsidRDefault="00D937AB" w:rsidP="00F85BDB">
      <w:pPr>
        <w:pStyle w:val="BodyTextIndent"/>
        <w:spacing w:after="0"/>
        <w:ind w:left="1701" w:hanging="425"/>
        <w:rPr>
          <w:sz w:val="20"/>
          <w:szCs w:val="20"/>
        </w:rPr>
      </w:pPr>
    </w:p>
    <w:p w14:paraId="493070CA" w14:textId="7FE45DB7" w:rsidR="00AD0134" w:rsidRPr="00604C75" w:rsidRDefault="00B27B7B" w:rsidP="00490153">
      <w:pPr>
        <w:pStyle w:val="BodyTextIndent"/>
        <w:pageBreakBefore/>
        <w:tabs>
          <w:tab w:val="left" w:pos="360"/>
        </w:tabs>
        <w:spacing w:before="120"/>
        <w:ind w:left="357" w:right="17" w:hanging="357"/>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6263BEBC" w14:textId="3970A95F" w:rsidR="00AD0134" w:rsidRPr="00604C75" w:rsidRDefault="00AD0134" w:rsidP="00490153">
      <w:pPr>
        <w:pStyle w:val="Heading2"/>
        <w:tabs>
          <w:tab w:val="left" w:pos="851"/>
        </w:tabs>
        <w:ind w:left="851" w:hanging="851"/>
        <w:rPr>
          <w:rFonts w:ascii="Times New Roman" w:hAnsi="Times New Roman"/>
          <w:cap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3A3355AF" w14:textId="77777777" w:rsidR="005604CD" w:rsidRPr="00604C75" w:rsidRDefault="005604CD" w:rsidP="00490153">
      <w:pPr>
        <w:tabs>
          <w:tab w:val="left" w:pos="567"/>
        </w:tabs>
        <w:spacing w:before="120"/>
        <w:ind w:right="16"/>
        <w:jc w:val="both"/>
        <w:rPr>
          <w:b/>
          <w:sz w:val="20"/>
          <w:szCs w:val="20"/>
        </w:rPr>
      </w:pPr>
      <w:r w:rsidRPr="00604C75">
        <w:rPr>
          <w:b/>
          <w:sz w:val="20"/>
          <w:szCs w:val="20"/>
        </w:rPr>
        <w:t>g.</w:t>
      </w:r>
      <w:r w:rsidRPr="00604C75">
        <w:rPr>
          <w:b/>
          <w:sz w:val="20"/>
          <w:szCs w:val="20"/>
        </w:rPr>
        <w:tab/>
      </w:r>
      <w:r w:rsidRPr="00604C75">
        <w:rPr>
          <w:b/>
          <w:noProof/>
          <w:sz w:val="20"/>
          <w:szCs w:val="20"/>
        </w:rPr>
        <w:t>Information on investments in associates (Net)</w:t>
      </w:r>
    </w:p>
    <w:p w14:paraId="4597560E" w14:textId="77777777" w:rsidR="005604CD" w:rsidRPr="00604C75" w:rsidRDefault="005604CD" w:rsidP="00490153">
      <w:pPr>
        <w:pStyle w:val="BodyTextIndent"/>
        <w:spacing w:before="120" w:after="0"/>
        <w:ind w:left="0" w:right="16"/>
        <w:rPr>
          <w:sz w:val="20"/>
          <w:szCs w:val="20"/>
        </w:rPr>
      </w:pPr>
      <w:r w:rsidRPr="00195EDC">
        <w:rPr>
          <w:noProof/>
          <w:sz w:val="20"/>
          <w:szCs w:val="20"/>
        </w:rPr>
        <w:t>None</w:t>
      </w:r>
      <w:r w:rsidRPr="00195EDC">
        <w:rPr>
          <w:sz w:val="20"/>
          <w:szCs w:val="20"/>
        </w:rPr>
        <w:t xml:space="preserve"> (</w:t>
      </w:r>
      <w:r w:rsidRPr="00195EDC">
        <w:rPr>
          <w:bCs/>
          <w:sz w:val="20"/>
          <w:szCs w:val="20"/>
        </w:rPr>
        <w:t>31</w:t>
      </w:r>
      <w:r w:rsidRPr="00604C75">
        <w:rPr>
          <w:bCs/>
          <w:sz w:val="20"/>
          <w:szCs w:val="20"/>
        </w:rPr>
        <w:t xml:space="preserve"> December</w:t>
      </w:r>
      <w:r w:rsidRPr="00604C75">
        <w:rPr>
          <w:sz w:val="20"/>
          <w:szCs w:val="20"/>
        </w:rPr>
        <w:t xml:space="preserve"> 2014: None).</w:t>
      </w:r>
    </w:p>
    <w:p w14:paraId="2EB872D5" w14:textId="77777777" w:rsidR="005604CD" w:rsidRPr="00604C75" w:rsidRDefault="005604CD" w:rsidP="00490153">
      <w:pPr>
        <w:pStyle w:val="BodyTextIndent"/>
        <w:tabs>
          <w:tab w:val="left" w:pos="567"/>
        </w:tabs>
        <w:spacing w:before="120" w:after="0"/>
        <w:ind w:left="1274" w:right="16" w:hanging="1274"/>
        <w:rPr>
          <w:b/>
          <w:sz w:val="20"/>
          <w:szCs w:val="20"/>
        </w:rPr>
      </w:pPr>
      <w:r w:rsidRPr="00604C75">
        <w:rPr>
          <w:b/>
          <w:sz w:val="20"/>
          <w:szCs w:val="20"/>
        </w:rPr>
        <w:t>h.</w:t>
      </w:r>
      <w:r w:rsidRPr="00604C75">
        <w:rPr>
          <w:b/>
          <w:sz w:val="20"/>
          <w:szCs w:val="20"/>
        </w:rPr>
        <w:tab/>
      </w:r>
      <w:r w:rsidRPr="00604C75">
        <w:rPr>
          <w:b/>
          <w:noProof/>
          <w:sz w:val="20"/>
          <w:szCs w:val="20"/>
        </w:rPr>
        <w:t>Information on subsidiaries (Net)</w:t>
      </w:r>
    </w:p>
    <w:p w14:paraId="07A3B3C1" w14:textId="77777777" w:rsidR="005604CD" w:rsidRPr="00604C75" w:rsidRDefault="005604CD" w:rsidP="00490153">
      <w:pPr>
        <w:pStyle w:val="BodyTextIndent"/>
        <w:spacing w:before="120" w:after="0"/>
        <w:ind w:left="567" w:hanging="567"/>
        <w:rPr>
          <w:rStyle w:val="hps"/>
          <w:color w:val="222222"/>
          <w:sz w:val="20"/>
          <w:szCs w:val="20"/>
        </w:rPr>
      </w:pPr>
      <w:r w:rsidRPr="00604C75">
        <w:rPr>
          <w:sz w:val="20"/>
          <w:szCs w:val="20"/>
        </w:rPr>
        <w:t>1.</w:t>
      </w:r>
      <w:r w:rsidRPr="00604C75">
        <w:rPr>
          <w:sz w:val="20"/>
          <w:szCs w:val="20"/>
        </w:rPr>
        <w:tab/>
      </w:r>
      <w:r w:rsidRPr="004F0440">
        <w:rPr>
          <w:rStyle w:val="hps"/>
          <w:sz w:val="20"/>
          <w:szCs w:val="20"/>
        </w:rPr>
        <w:t>Information on shareholders’ equity of the significant subsidiaries</w:t>
      </w:r>
    </w:p>
    <w:p w14:paraId="2E33A2FE" w14:textId="77777777" w:rsidR="005604CD" w:rsidRPr="00604C75" w:rsidRDefault="005604CD" w:rsidP="005604CD">
      <w:pPr>
        <w:pStyle w:val="BodyTextIndent"/>
        <w:spacing w:after="0"/>
        <w:ind w:left="0"/>
        <w:rPr>
          <w:sz w:val="20"/>
          <w:szCs w:val="20"/>
        </w:rPr>
      </w:pPr>
    </w:p>
    <w:p w14:paraId="0E00C6BD" w14:textId="77777777" w:rsidR="005604CD" w:rsidRPr="00F70E8E" w:rsidRDefault="005604CD" w:rsidP="00576E0A">
      <w:pPr>
        <w:pStyle w:val="BodyTextIndent"/>
        <w:spacing w:after="0"/>
        <w:ind w:left="0"/>
        <w:jc w:val="both"/>
        <w:rPr>
          <w:b/>
          <w:sz w:val="20"/>
          <w:szCs w:val="20"/>
        </w:rPr>
      </w:pPr>
      <w:r w:rsidRPr="004722A4">
        <w:rPr>
          <w:rStyle w:val="hps"/>
          <w:sz w:val="20"/>
          <w:szCs w:val="20"/>
        </w:rPr>
        <w:t>There is no deficit of regulatory limits on capital structure of the subsidiaries which are included in the consolidated capital adequacy ratio calculation in accordance with the capital adequacy ratio limits. The information on the shareholders’ equity of this subsidiaries is shown below:</w:t>
      </w:r>
    </w:p>
    <w:p w14:paraId="4ED4F9AE" w14:textId="77777777" w:rsidR="005604CD" w:rsidRDefault="005604CD" w:rsidP="00F85BDB">
      <w:pPr>
        <w:pStyle w:val="BodyTextIndent"/>
        <w:spacing w:after="0"/>
        <w:ind w:left="1701" w:hanging="425"/>
        <w:rPr>
          <w:b/>
          <w:sz w:val="20"/>
          <w:szCs w:val="20"/>
        </w:rPr>
      </w:pPr>
    </w:p>
    <w:tbl>
      <w:tblPr>
        <w:tblW w:w="9233"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5406"/>
        <w:gridCol w:w="1842"/>
        <w:gridCol w:w="1985"/>
      </w:tblGrid>
      <w:tr w:rsidR="009E467E" w:rsidRPr="00604C75" w14:paraId="72C7F593" w14:textId="77777777" w:rsidTr="00877CBD">
        <w:tc>
          <w:tcPr>
            <w:tcW w:w="5406" w:type="dxa"/>
          </w:tcPr>
          <w:p w14:paraId="5B7B6AD1" w14:textId="77777777" w:rsidR="009E467E" w:rsidRPr="00604C75" w:rsidRDefault="009E467E" w:rsidP="009459D4">
            <w:pPr>
              <w:pStyle w:val="BodyTextIndent"/>
              <w:spacing w:after="0"/>
              <w:ind w:left="0"/>
              <w:rPr>
                <w:sz w:val="18"/>
                <w:szCs w:val="18"/>
              </w:rPr>
            </w:pPr>
          </w:p>
        </w:tc>
        <w:tc>
          <w:tcPr>
            <w:tcW w:w="1842" w:type="dxa"/>
            <w:vAlign w:val="bottom"/>
          </w:tcPr>
          <w:p w14:paraId="28BDAF44" w14:textId="77777777" w:rsidR="009E467E" w:rsidRPr="00604C75" w:rsidRDefault="009E467E" w:rsidP="00C22AF8">
            <w:pPr>
              <w:pStyle w:val="BodyTextIndent"/>
              <w:spacing w:after="0"/>
              <w:ind w:right="-69"/>
              <w:jc w:val="right"/>
              <w:rPr>
                <w:b/>
                <w:sz w:val="18"/>
                <w:szCs w:val="18"/>
              </w:rPr>
            </w:pPr>
            <w:proofErr w:type="spellStart"/>
            <w:r w:rsidRPr="00604C75">
              <w:rPr>
                <w:b/>
                <w:sz w:val="18"/>
                <w:szCs w:val="18"/>
              </w:rPr>
              <w:t>Alternatif</w:t>
            </w:r>
            <w:proofErr w:type="spellEnd"/>
            <w:r w:rsidRPr="00604C75">
              <w:rPr>
                <w:b/>
                <w:sz w:val="18"/>
                <w:szCs w:val="18"/>
              </w:rPr>
              <w:t xml:space="preserve"> </w:t>
            </w:r>
            <w:proofErr w:type="spellStart"/>
            <w:r w:rsidRPr="00604C75">
              <w:rPr>
                <w:b/>
                <w:sz w:val="18"/>
                <w:szCs w:val="18"/>
              </w:rPr>
              <w:t>Yatırım</w:t>
            </w:r>
            <w:proofErr w:type="spellEnd"/>
            <w:r w:rsidRPr="00604C75">
              <w:rPr>
                <w:b/>
                <w:sz w:val="18"/>
                <w:szCs w:val="18"/>
              </w:rPr>
              <w:t xml:space="preserve"> A.Ş.</w:t>
            </w:r>
          </w:p>
        </w:tc>
        <w:tc>
          <w:tcPr>
            <w:tcW w:w="1985" w:type="dxa"/>
          </w:tcPr>
          <w:p w14:paraId="0FF9874B" w14:textId="77777777" w:rsidR="009E467E" w:rsidRPr="00604C75" w:rsidRDefault="009E467E" w:rsidP="00877CBD">
            <w:pPr>
              <w:pStyle w:val="BodyTextIndent"/>
              <w:spacing w:after="0"/>
              <w:ind w:right="-108"/>
              <w:jc w:val="right"/>
              <w:rPr>
                <w:b/>
                <w:sz w:val="18"/>
                <w:szCs w:val="18"/>
                <w:lang w:val="de-DE"/>
              </w:rPr>
            </w:pPr>
            <w:r w:rsidRPr="00604C75">
              <w:rPr>
                <w:b/>
                <w:sz w:val="18"/>
                <w:szCs w:val="18"/>
                <w:lang w:val="de-DE"/>
              </w:rPr>
              <w:t xml:space="preserve">Alternatif Finansal Kiralama A.Ş </w:t>
            </w:r>
          </w:p>
        </w:tc>
      </w:tr>
      <w:tr w:rsidR="00196A0E" w:rsidRPr="00604C75" w14:paraId="57FE2358" w14:textId="77777777" w:rsidTr="00877CBD">
        <w:trPr>
          <w:trHeight w:hRule="exact" w:val="227"/>
        </w:trPr>
        <w:tc>
          <w:tcPr>
            <w:tcW w:w="5406" w:type="dxa"/>
            <w:vAlign w:val="bottom"/>
          </w:tcPr>
          <w:p w14:paraId="7C25047B" w14:textId="77777777" w:rsidR="00196A0E" w:rsidRPr="00604C75" w:rsidRDefault="00196A0E" w:rsidP="00196A0E">
            <w:pPr>
              <w:pStyle w:val="BodyTextIndent"/>
              <w:spacing w:after="0"/>
              <w:ind w:left="-59"/>
              <w:rPr>
                <w:b/>
                <w:sz w:val="18"/>
                <w:szCs w:val="18"/>
              </w:rPr>
            </w:pPr>
            <w:r w:rsidRPr="00604C75">
              <w:rPr>
                <w:b/>
                <w:sz w:val="18"/>
                <w:szCs w:val="18"/>
              </w:rPr>
              <w:t>Core Capital</w:t>
            </w:r>
          </w:p>
        </w:tc>
        <w:tc>
          <w:tcPr>
            <w:tcW w:w="1842" w:type="dxa"/>
            <w:vAlign w:val="bottom"/>
          </w:tcPr>
          <w:p w14:paraId="3329DB18" w14:textId="6E21E6C5" w:rsidR="00196A0E" w:rsidRPr="00264FEB" w:rsidRDefault="00196A0E" w:rsidP="00196A0E">
            <w:pPr>
              <w:tabs>
                <w:tab w:val="left" w:pos="0"/>
              </w:tabs>
              <w:ind w:right="43"/>
              <w:jc w:val="right"/>
              <w:rPr>
                <w:b/>
                <w:sz w:val="18"/>
                <w:szCs w:val="18"/>
              </w:rPr>
            </w:pPr>
            <w:r w:rsidRPr="00264FEB">
              <w:rPr>
                <w:b/>
                <w:sz w:val="18"/>
                <w:szCs w:val="18"/>
              </w:rPr>
              <w:t>20,437</w:t>
            </w:r>
          </w:p>
        </w:tc>
        <w:tc>
          <w:tcPr>
            <w:tcW w:w="1985" w:type="dxa"/>
            <w:vAlign w:val="bottom"/>
          </w:tcPr>
          <w:p w14:paraId="67C6FDA9" w14:textId="23BD3951" w:rsidR="00196A0E" w:rsidRPr="00264FEB" w:rsidRDefault="00196A0E" w:rsidP="00196A0E">
            <w:pPr>
              <w:tabs>
                <w:tab w:val="left" w:pos="0"/>
              </w:tabs>
              <w:ind w:right="43"/>
              <w:jc w:val="right"/>
              <w:rPr>
                <w:b/>
                <w:sz w:val="18"/>
                <w:szCs w:val="18"/>
              </w:rPr>
            </w:pPr>
            <w:r w:rsidRPr="002528D6">
              <w:rPr>
                <w:b/>
                <w:sz w:val="18"/>
                <w:szCs w:val="18"/>
              </w:rPr>
              <w:t>62,762</w:t>
            </w:r>
          </w:p>
        </w:tc>
      </w:tr>
      <w:tr w:rsidR="00196A0E" w:rsidRPr="00604C75" w14:paraId="3F29D342" w14:textId="77777777" w:rsidTr="00877CBD">
        <w:trPr>
          <w:trHeight w:hRule="exact" w:val="227"/>
        </w:trPr>
        <w:tc>
          <w:tcPr>
            <w:tcW w:w="5406" w:type="dxa"/>
            <w:vAlign w:val="bottom"/>
          </w:tcPr>
          <w:p w14:paraId="4B9ED6D6" w14:textId="77777777" w:rsidR="00196A0E" w:rsidRPr="00604C75" w:rsidRDefault="00196A0E" w:rsidP="00196A0E">
            <w:pPr>
              <w:pStyle w:val="BodyTextIndent"/>
              <w:spacing w:after="0"/>
              <w:ind w:left="-59"/>
              <w:rPr>
                <w:sz w:val="18"/>
                <w:szCs w:val="18"/>
              </w:rPr>
            </w:pPr>
            <w:r w:rsidRPr="00604C75">
              <w:rPr>
                <w:rFonts w:eastAsia="Arial Unicode MS"/>
                <w:sz w:val="18"/>
                <w:szCs w:val="18"/>
              </w:rPr>
              <w:t>Paid-in Capital</w:t>
            </w:r>
          </w:p>
        </w:tc>
        <w:tc>
          <w:tcPr>
            <w:tcW w:w="1842" w:type="dxa"/>
            <w:vAlign w:val="bottom"/>
          </w:tcPr>
          <w:p w14:paraId="27A4B0DA" w14:textId="5E6DD049" w:rsidR="00196A0E" w:rsidRPr="00575E09" w:rsidRDefault="00196A0E" w:rsidP="00196A0E">
            <w:pPr>
              <w:tabs>
                <w:tab w:val="left" w:pos="0"/>
              </w:tabs>
              <w:ind w:right="43"/>
              <w:jc w:val="right"/>
              <w:rPr>
                <w:sz w:val="18"/>
                <w:szCs w:val="18"/>
              </w:rPr>
            </w:pPr>
            <w:r w:rsidRPr="00AF79D0">
              <w:rPr>
                <w:sz w:val="18"/>
                <w:szCs w:val="18"/>
              </w:rPr>
              <w:t>13,309</w:t>
            </w:r>
          </w:p>
        </w:tc>
        <w:tc>
          <w:tcPr>
            <w:tcW w:w="1985" w:type="dxa"/>
            <w:vAlign w:val="bottom"/>
          </w:tcPr>
          <w:p w14:paraId="74215E41" w14:textId="6D43C737" w:rsidR="00196A0E" w:rsidRPr="00AF79D0" w:rsidRDefault="00196A0E" w:rsidP="00196A0E">
            <w:pPr>
              <w:tabs>
                <w:tab w:val="left" w:pos="0"/>
              </w:tabs>
              <w:ind w:right="43"/>
              <w:jc w:val="right"/>
              <w:rPr>
                <w:sz w:val="18"/>
                <w:szCs w:val="18"/>
              </w:rPr>
            </w:pPr>
            <w:r w:rsidRPr="00575E09">
              <w:rPr>
                <w:sz w:val="18"/>
                <w:szCs w:val="18"/>
              </w:rPr>
              <w:t>35,920</w:t>
            </w:r>
          </w:p>
        </w:tc>
      </w:tr>
      <w:tr w:rsidR="00196A0E" w:rsidRPr="00604C75" w14:paraId="548F172F" w14:textId="77777777" w:rsidTr="00877CBD">
        <w:trPr>
          <w:trHeight w:hRule="exact" w:val="227"/>
        </w:trPr>
        <w:tc>
          <w:tcPr>
            <w:tcW w:w="5406" w:type="dxa"/>
            <w:vAlign w:val="bottom"/>
          </w:tcPr>
          <w:p w14:paraId="429A5754" w14:textId="77777777" w:rsidR="00196A0E" w:rsidRPr="00604C75" w:rsidRDefault="00196A0E" w:rsidP="00196A0E">
            <w:pPr>
              <w:pStyle w:val="BodyTextIndent"/>
              <w:spacing w:after="0"/>
              <w:ind w:left="-59"/>
              <w:rPr>
                <w:sz w:val="18"/>
                <w:szCs w:val="18"/>
              </w:rPr>
            </w:pPr>
            <w:r w:rsidRPr="00604C75">
              <w:rPr>
                <w:sz w:val="18"/>
                <w:szCs w:val="18"/>
              </w:rPr>
              <w:t>Share Premium</w:t>
            </w:r>
          </w:p>
        </w:tc>
        <w:tc>
          <w:tcPr>
            <w:tcW w:w="1842" w:type="dxa"/>
            <w:vAlign w:val="bottom"/>
          </w:tcPr>
          <w:p w14:paraId="36150EE1" w14:textId="64BC47FA" w:rsidR="00196A0E" w:rsidRPr="00575E09" w:rsidRDefault="00196A0E" w:rsidP="00196A0E">
            <w:pPr>
              <w:tabs>
                <w:tab w:val="left" w:pos="0"/>
              </w:tabs>
              <w:ind w:right="43"/>
              <w:jc w:val="right"/>
              <w:rPr>
                <w:sz w:val="18"/>
                <w:szCs w:val="18"/>
              </w:rPr>
            </w:pPr>
            <w:r w:rsidRPr="00AF79D0">
              <w:rPr>
                <w:sz w:val="18"/>
                <w:szCs w:val="18"/>
              </w:rPr>
              <w:t>-</w:t>
            </w:r>
          </w:p>
        </w:tc>
        <w:tc>
          <w:tcPr>
            <w:tcW w:w="1985" w:type="dxa"/>
            <w:vAlign w:val="bottom"/>
          </w:tcPr>
          <w:p w14:paraId="60E88DA7" w14:textId="655B4AD1" w:rsidR="00196A0E" w:rsidRPr="00AF79D0" w:rsidRDefault="00196A0E" w:rsidP="00196A0E">
            <w:pPr>
              <w:tabs>
                <w:tab w:val="left" w:pos="0"/>
              </w:tabs>
              <w:ind w:right="43"/>
              <w:jc w:val="right"/>
              <w:rPr>
                <w:sz w:val="18"/>
                <w:szCs w:val="18"/>
              </w:rPr>
            </w:pPr>
            <w:r w:rsidRPr="00575E09">
              <w:rPr>
                <w:sz w:val="18"/>
                <w:szCs w:val="18"/>
              </w:rPr>
              <w:t>-</w:t>
            </w:r>
          </w:p>
        </w:tc>
      </w:tr>
      <w:tr w:rsidR="00196A0E" w:rsidRPr="00604C75" w14:paraId="508BF042" w14:textId="77777777" w:rsidTr="00877CBD">
        <w:trPr>
          <w:trHeight w:hRule="exact" w:val="227"/>
        </w:trPr>
        <w:tc>
          <w:tcPr>
            <w:tcW w:w="5406" w:type="dxa"/>
            <w:vAlign w:val="bottom"/>
          </w:tcPr>
          <w:p w14:paraId="107945E9" w14:textId="77777777" w:rsidR="00196A0E" w:rsidRPr="00604C75" w:rsidRDefault="00196A0E" w:rsidP="00196A0E">
            <w:pPr>
              <w:pStyle w:val="BodyTextIndent"/>
              <w:spacing w:after="0"/>
              <w:ind w:left="-59"/>
              <w:rPr>
                <w:sz w:val="18"/>
                <w:szCs w:val="18"/>
              </w:rPr>
            </w:pPr>
            <w:r w:rsidRPr="00604C75">
              <w:rPr>
                <w:sz w:val="18"/>
                <w:szCs w:val="18"/>
              </w:rPr>
              <w:t>Share Cancellation Profits</w:t>
            </w:r>
          </w:p>
          <w:p w14:paraId="177BBB56" w14:textId="77777777" w:rsidR="00196A0E" w:rsidRPr="00604C75" w:rsidRDefault="00196A0E" w:rsidP="00196A0E">
            <w:pPr>
              <w:pStyle w:val="BodyTextIndent"/>
              <w:spacing w:after="0"/>
              <w:ind w:left="-59"/>
              <w:rPr>
                <w:sz w:val="18"/>
                <w:szCs w:val="18"/>
              </w:rPr>
            </w:pPr>
            <w:r w:rsidRPr="00604C75">
              <w:rPr>
                <w:sz w:val="18"/>
                <w:szCs w:val="18"/>
              </w:rPr>
              <w:t>Profits</w:t>
            </w:r>
          </w:p>
        </w:tc>
        <w:tc>
          <w:tcPr>
            <w:tcW w:w="1842" w:type="dxa"/>
            <w:vAlign w:val="bottom"/>
          </w:tcPr>
          <w:p w14:paraId="00CE94DC" w14:textId="0674C998" w:rsidR="00196A0E" w:rsidRPr="00575E09" w:rsidRDefault="00196A0E" w:rsidP="00196A0E">
            <w:pPr>
              <w:tabs>
                <w:tab w:val="left" w:pos="0"/>
              </w:tabs>
              <w:ind w:right="43"/>
              <w:jc w:val="right"/>
              <w:rPr>
                <w:sz w:val="18"/>
                <w:szCs w:val="18"/>
              </w:rPr>
            </w:pPr>
            <w:r>
              <w:rPr>
                <w:sz w:val="18"/>
                <w:szCs w:val="18"/>
              </w:rPr>
              <w:t>-</w:t>
            </w:r>
          </w:p>
        </w:tc>
        <w:tc>
          <w:tcPr>
            <w:tcW w:w="1985" w:type="dxa"/>
            <w:vAlign w:val="bottom"/>
          </w:tcPr>
          <w:p w14:paraId="10315B65" w14:textId="7547EF4A" w:rsidR="00196A0E" w:rsidRPr="00AF79D0" w:rsidRDefault="00D1705B" w:rsidP="00196A0E">
            <w:pPr>
              <w:tabs>
                <w:tab w:val="left" w:pos="0"/>
              </w:tabs>
              <w:ind w:right="43"/>
              <w:jc w:val="right"/>
              <w:rPr>
                <w:sz w:val="18"/>
                <w:szCs w:val="18"/>
              </w:rPr>
            </w:pPr>
            <w:r>
              <w:rPr>
                <w:sz w:val="18"/>
                <w:szCs w:val="18"/>
              </w:rPr>
              <w:t>-</w:t>
            </w:r>
          </w:p>
        </w:tc>
      </w:tr>
      <w:tr w:rsidR="00196A0E" w:rsidRPr="00604C75" w14:paraId="46BA18AB" w14:textId="77777777" w:rsidTr="00877CBD">
        <w:trPr>
          <w:trHeight w:hRule="exact" w:val="227"/>
        </w:trPr>
        <w:tc>
          <w:tcPr>
            <w:tcW w:w="5406" w:type="dxa"/>
            <w:vAlign w:val="bottom"/>
          </w:tcPr>
          <w:p w14:paraId="238CECA8" w14:textId="77777777" w:rsidR="00196A0E" w:rsidRPr="00604C75" w:rsidRDefault="00196A0E" w:rsidP="00196A0E">
            <w:pPr>
              <w:pStyle w:val="BodyTextIndent"/>
              <w:spacing w:after="0"/>
              <w:ind w:left="-59"/>
              <w:rPr>
                <w:sz w:val="18"/>
                <w:szCs w:val="18"/>
              </w:rPr>
            </w:pPr>
            <w:r w:rsidRPr="00604C75">
              <w:rPr>
                <w:rFonts w:eastAsia="Arial Unicode MS"/>
                <w:sz w:val="18"/>
                <w:szCs w:val="18"/>
              </w:rPr>
              <w:t>Reserves</w:t>
            </w:r>
          </w:p>
        </w:tc>
        <w:tc>
          <w:tcPr>
            <w:tcW w:w="1842" w:type="dxa"/>
            <w:vAlign w:val="bottom"/>
          </w:tcPr>
          <w:p w14:paraId="705FAE90" w14:textId="7DE42E52" w:rsidR="00196A0E" w:rsidRPr="00575E09" w:rsidRDefault="00196A0E" w:rsidP="00196A0E">
            <w:pPr>
              <w:tabs>
                <w:tab w:val="left" w:pos="0"/>
              </w:tabs>
              <w:ind w:right="43"/>
              <w:jc w:val="right"/>
              <w:rPr>
                <w:sz w:val="18"/>
                <w:szCs w:val="18"/>
              </w:rPr>
            </w:pPr>
            <w:r w:rsidRPr="00AF79D0">
              <w:rPr>
                <w:sz w:val="18"/>
                <w:szCs w:val="18"/>
              </w:rPr>
              <w:t>14,220</w:t>
            </w:r>
          </w:p>
        </w:tc>
        <w:tc>
          <w:tcPr>
            <w:tcW w:w="1985" w:type="dxa"/>
            <w:vAlign w:val="bottom"/>
          </w:tcPr>
          <w:p w14:paraId="21B8B9BC" w14:textId="7B32CB16" w:rsidR="00196A0E" w:rsidRPr="00AF79D0" w:rsidRDefault="00196A0E" w:rsidP="00196A0E">
            <w:pPr>
              <w:tabs>
                <w:tab w:val="left" w:pos="0"/>
              </w:tabs>
              <w:ind w:right="43"/>
              <w:jc w:val="right"/>
              <w:rPr>
                <w:sz w:val="18"/>
                <w:szCs w:val="18"/>
              </w:rPr>
            </w:pPr>
            <w:r w:rsidRPr="00575E09">
              <w:rPr>
                <w:sz w:val="18"/>
                <w:szCs w:val="18"/>
              </w:rPr>
              <w:t>9,972</w:t>
            </w:r>
          </w:p>
        </w:tc>
      </w:tr>
      <w:tr w:rsidR="00196A0E" w:rsidRPr="00604C75" w14:paraId="21098D69" w14:textId="77777777" w:rsidTr="00877CBD">
        <w:trPr>
          <w:trHeight w:hRule="exact" w:val="227"/>
        </w:trPr>
        <w:tc>
          <w:tcPr>
            <w:tcW w:w="5406" w:type="dxa"/>
            <w:vAlign w:val="bottom"/>
          </w:tcPr>
          <w:p w14:paraId="6C513AE0" w14:textId="77777777" w:rsidR="00196A0E" w:rsidRPr="00604C75" w:rsidRDefault="00196A0E" w:rsidP="00196A0E">
            <w:pPr>
              <w:pStyle w:val="BodyTextIndent"/>
              <w:spacing w:after="0"/>
              <w:ind w:left="-59"/>
              <w:rPr>
                <w:rFonts w:eastAsia="Arial Unicode MS"/>
                <w:sz w:val="18"/>
                <w:szCs w:val="18"/>
              </w:rPr>
            </w:pPr>
            <w:r w:rsidRPr="00604C75">
              <w:rPr>
                <w:rFonts w:eastAsia="Arial Unicode MS"/>
                <w:sz w:val="18"/>
                <w:szCs w:val="18"/>
              </w:rPr>
              <w:t>Current Period’s Profit and Prior Period’s Profit</w:t>
            </w:r>
          </w:p>
        </w:tc>
        <w:tc>
          <w:tcPr>
            <w:tcW w:w="1842" w:type="dxa"/>
            <w:vAlign w:val="bottom"/>
          </w:tcPr>
          <w:p w14:paraId="034C8CA7" w14:textId="5578D7E2" w:rsidR="00196A0E" w:rsidRPr="00575E09" w:rsidRDefault="00196A0E" w:rsidP="00196A0E">
            <w:pPr>
              <w:tabs>
                <w:tab w:val="left" w:pos="0"/>
              </w:tabs>
              <w:ind w:right="43"/>
              <w:jc w:val="right"/>
              <w:rPr>
                <w:sz w:val="18"/>
                <w:szCs w:val="18"/>
              </w:rPr>
            </w:pPr>
            <w:r>
              <w:rPr>
                <w:sz w:val="18"/>
                <w:szCs w:val="18"/>
              </w:rPr>
              <w:t>(</w:t>
            </w:r>
            <w:r w:rsidRPr="00AF79D0">
              <w:rPr>
                <w:sz w:val="18"/>
                <w:szCs w:val="18"/>
              </w:rPr>
              <w:t>6,868</w:t>
            </w:r>
            <w:r>
              <w:rPr>
                <w:sz w:val="18"/>
                <w:szCs w:val="18"/>
              </w:rPr>
              <w:t>)</w:t>
            </w:r>
          </w:p>
        </w:tc>
        <w:tc>
          <w:tcPr>
            <w:tcW w:w="1985" w:type="dxa"/>
            <w:vAlign w:val="bottom"/>
          </w:tcPr>
          <w:p w14:paraId="2ABC9E16" w14:textId="094AC2E3" w:rsidR="00196A0E" w:rsidRPr="00AF79D0" w:rsidRDefault="00196A0E" w:rsidP="00196A0E">
            <w:pPr>
              <w:tabs>
                <w:tab w:val="left" w:pos="0"/>
              </w:tabs>
              <w:ind w:right="43"/>
              <w:jc w:val="right"/>
              <w:rPr>
                <w:sz w:val="18"/>
                <w:szCs w:val="18"/>
              </w:rPr>
            </w:pPr>
            <w:r w:rsidRPr="00575E09">
              <w:rPr>
                <w:sz w:val="18"/>
                <w:szCs w:val="18"/>
              </w:rPr>
              <w:t>67,097</w:t>
            </w:r>
          </w:p>
        </w:tc>
      </w:tr>
      <w:tr w:rsidR="00196A0E" w:rsidRPr="00604C75" w14:paraId="4D380397" w14:textId="77777777" w:rsidTr="00877CBD">
        <w:trPr>
          <w:trHeight w:hRule="exact" w:val="227"/>
        </w:trPr>
        <w:tc>
          <w:tcPr>
            <w:tcW w:w="5406" w:type="dxa"/>
            <w:vAlign w:val="bottom"/>
          </w:tcPr>
          <w:p w14:paraId="0682B057" w14:textId="77777777" w:rsidR="00196A0E" w:rsidRPr="00604C75" w:rsidRDefault="00196A0E" w:rsidP="00196A0E">
            <w:pPr>
              <w:pStyle w:val="BodyTextIndent"/>
              <w:spacing w:after="0"/>
              <w:ind w:left="-59"/>
              <w:rPr>
                <w:rFonts w:eastAsia="Arial Unicode MS"/>
                <w:sz w:val="18"/>
                <w:szCs w:val="18"/>
              </w:rPr>
            </w:pPr>
            <w:r w:rsidRPr="00604C75">
              <w:rPr>
                <w:rFonts w:eastAsia="Arial Unicode MS"/>
                <w:sz w:val="18"/>
                <w:szCs w:val="18"/>
              </w:rPr>
              <w:t>Current Period’s Losses</w:t>
            </w:r>
            <w:r w:rsidRPr="00604C75">
              <w:rPr>
                <w:sz w:val="18"/>
                <w:szCs w:val="18"/>
              </w:rPr>
              <w:t xml:space="preserve"> and </w:t>
            </w:r>
            <w:r w:rsidRPr="00604C75">
              <w:rPr>
                <w:rFonts w:eastAsia="Arial Unicode MS"/>
                <w:sz w:val="18"/>
                <w:szCs w:val="18"/>
              </w:rPr>
              <w:t>Prior Period’s Losses</w:t>
            </w:r>
          </w:p>
        </w:tc>
        <w:tc>
          <w:tcPr>
            <w:tcW w:w="1842" w:type="dxa"/>
            <w:vAlign w:val="bottom"/>
          </w:tcPr>
          <w:p w14:paraId="5EB3C01D" w14:textId="26BB500B" w:rsidR="00196A0E" w:rsidRPr="00575E09" w:rsidRDefault="00196A0E" w:rsidP="00196A0E">
            <w:pPr>
              <w:tabs>
                <w:tab w:val="left" w:pos="0"/>
              </w:tabs>
              <w:ind w:right="43"/>
              <w:jc w:val="right"/>
              <w:rPr>
                <w:sz w:val="18"/>
                <w:szCs w:val="18"/>
              </w:rPr>
            </w:pPr>
            <w:r w:rsidRPr="00AF79D0">
              <w:rPr>
                <w:sz w:val="18"/>
                <w:szCs w:val="18"/>
              </w:rPr>
              <w:t>-</w:t>
            </w:r>
          </w:p>
        </w:tc>
        <w:tc>
          <w:tcPr>
            <w:tcW w:w="1985" w:type="dxa"/>
            <w:vAlign w:val="bottom"/>
          </w:tcPr>
          <w:p w14:paraId="30DDEF74" w14:textId="232BF426" w:rsidR="00196A0E" w:rsidRPr="00AF79D0" w:rsidRDefault="00196A0E" w:rsidP="00196A0E">
            <w:pPr>
              <w:tabs>
                <w:tab w:val="left" w:pos="0"/>
              </w:tabs>
              <w:ind w:right="43"/>
              <w:jc w:val="right"/>
              <w:rPr>
                <w:sz w:val="18"/>
                <w:szCs w:val="18"/>
              </w:rPr>
            </w:pPr>
            <w:r w:rsidRPr="00575E09">
              <w:rPr>
                <w:sz w:val="18"/>
                <w:szCs w:val="18"/>
              </w:rPr>
              <w:t>-</w:t>
            </w:r>
          </w:p>
        </w:tc>
      </w:tr>
      <w:tr w:rsidR="00196A0E" w:rsidRPr="00604C75" w14:paraId="2E82867A" w14:textId="77777777" w:rsidTr="00877CBD">
        <w:trPr>
          <w:trHeight w:hRule="exact" w:val="204"/>
        </w:trPr>
        <w:tc>
          <w:tcPr>
            <w:tcW w:w="5406" w:type="dxa"/>
            <w:vAlign w:val="bottom"/>
          </w:tcPr>
          <w:p w14:paraId="78EE9883" w14:textId="1E88CCB9" w:rsidR="00196A0E" w:rsidRPr="00604C75" w:rsidRDefault="00196A0E" w:rsidP="00196A0E">
            <w:pPr>
              <w:pStyle w:val="BodyTextIndent"/>
              <w:spacing w:after="0"/>
              <w:ind w:left="-59"/>
              <w:rPr>
                <w:sz w:val="18"/>
                <w:szCs w:val="18"/>
              </w:rPr>
            </w:pPr>
            <w:r w:rsidRPr="00604C75">
              <w:rPr>
                <w:rFonts w:eastAsia="Arial Unicode MS"/>
                <w:sz w:val="18"/>
                <w:szCs w:val="18"/>
              </w:rPr>
              <w:t xml:space="preserve">Leasehold Improvements on Operational Leases </w:t>
            </w:r>
            <w:r w:rsidRPr="00604C75">
              <w:rPr>
                <w:sz w:val="18"/>
                <w:szCs w:val="18"/>
              </w:rPr>
              <w:t>(-)</w:t>
            </w:r>
          </w:p>
        </w:tc>
        <w:tc>
          <w:tcPr>
            <w:tcW w:w="1842" w:type="dxa"/>
            <w:vAlign w:val="bottom"/>
          </w:tcPr>
          <w:p w14:paraId="745DBF90" w14:textId="75C0E0B3" w:rsidR="00196A0E" w:rsidRPr="00575E09" w:rsidRDefault="00196A0E" w:rsidP="00196A0E">
            <w:pPr>
              <w:tabs>
                <w:tab w:val="left" w:pos="0"/>
              </w:tabs>
              <w:ind w:right="43"/>
              <w:jc w:val="right"/>
              <w:rPr>
                <w:sz w:val="18"/>
                <w:szCs w:val="18"/>
              </w:rPr>
            </w:pPr>
            <w:r w:rsidRPr="00AF79D0">
              <w:rPr>
                <w:sz w:val="18"/>
                <w:szCs w:val="18"/>
              </w:rPr>
              <w:t>32</w:t>
            </w:r>
          </w:p>
        </w:tc>
        <w:tc>
          <w:tcPr>
            <w:tcW w:w="1985" w:type="dxa"/>
            <w:vAlign w:val="bottom"/>
          </w:tcPr>
          <w:p w14:paraId="4B8AFFC2" w14:textId="4D5E87CB" w:rsidR="00196A0E" w:rsidRPr="00AF79D0" w:rsidRDefault="00196A0E" w:rsidP="00196A0E">
            <w:pPr>
              <w:tabs>
                <w:tab w:val="left" w:pos="0"/>
              </w:tabs>
              <w:ind w:right="43"/>
              <w:jc w:val="right"/>
              <w:rPr>
                <w:sz w:val="18"/>
                <w:szCs w:val="18"/>
              </w:rPr>
            </w:pPr>
            <w:r w:rsidRPr="00575E09">
              <w:rPr>
                <w:sz w:val="18"/>
                <w:szCs w:val="18"/>
              </w:rPr>
              <w:t>-</w:t>
            </w:r>
          </w:p>
        </w:tc>
      </w:tr>
      <w:tr w:rsidR="00196A0E" w:rsidRPr="00604C75" w14:paraId="3D11A170" w14:textId="77777777" w:rsidTr="00877CBD">
        <w:trPr>
          <w:trHeight w:hRule="exact" w:val="227"/>
        </w:trPr>
        <w:tc>
          <w:tcPr>
            <w:tcW w:w="5406" w:type="dxa"/>
            <w:vAlign w:val="bottom"/>
          </w:tcPr>
          <w:p w14:paraId="606DB75B" w14:textId="77777777" w:rsidR="00196A0E" w:rsidRPr="00604C75" w:rsidRDefault="00196A0E" w:rsidP="00196A0E">
            <w:pPr>
              <w:pStyle w:val="BodyTextIndent"/>
              <w:spacing w:after="0"/>
              <w:ind w:left="-59"/>
              <w:rPr>
                <w:sz w:val="18"/>
                <w:szCs w:val="18"/>
              </w:rPr>
            </w:pPr>
            <w:r w:rsidRPr="00604C75">
              <w:rPr>
                <w:rFonts w:eastAsia="Arial Unicode MS"/>
                <w:sz w:val="18"/>
                <w:szCs w:val="18"/>
              </w:rPr>
              <w:t xml:space="preserve">Intangible Assets </w:t>
            </w:r>
            <w:r w:rsidRPr="00604C75">
              <w:rPr>
                <w:sz w:val="18"/>
                <w:szCs w:val="18"/>
              </w:rPr>
              <w:t>(-)</w:t>
            </w:r>
          </w:p>
        </w:tc>
        <w:tc>
          <w:tcPr>
            <w:tcW w:w="1842" w:type="dxa"/>
            <w:vAlign w:val="bottom"/>
          </w:tcPr>
          <w:p w14:paraId="6C20115F" w14:textId="5C5BA86B" w:rsidR="00196A0E" w:rsidRPr="00575E09" w:rsidRDefault="00196A0E" w:rsidP="00196A0E">
            <w:pPr>
              <w:tabs>
                <w:tab w:val="left" w:pos="0"/>
              </w:tabs>
              <w:ind w:right="43"/>
              <w:jc w:val="right"/>
              <w:rPr>
                <w:sz w:val="18"/>
                <w:szCs w:val="18"/>
              </w:rPr>
            </w:pPr>
            <w:r w:rsidRPr="00AF79D0">
              <w:rPr>
                <w:sz w:val="18"/>
                <w:szCs w:val="18"/>
              </w:rPr>
              <w:t>192</w:t>
            </w:r>
          </w:p>
        </w:tc>
        <w:tc>
          <w:tcPr>
            <w:tcW w:w="1985" w:type="dxa"/>
            <w:vAlign w:val="bottom"/>
          </w:tcPr>
          <w:p w14:paraId="25475842" w14:textId="2B85D36E" w:rsidR="00196A0E" w:rsidRPr="00AF79D0" w:rsidRDefault="00196A0E" w:rsidP="00196A0E">
            <w:pPr>
              <w:tabs>
                <w:tab w:val="left" w:pos="0"/>
              </w:tabs>
              <w:ind w:right="43"/>
              <w:jc w:val="right"/>
              <w:rPr>
                <w:sz w:val="18"/>
                <w:szCs w:val="18"/>
              </w:rPr>
            </w:pPr>
            <w:r w:rsidRPr="00575E09">
              <w:rPr>
                <w:sz w:val="18"/>
                <w:szCs w:val="18"/>
              </w:rPr>
              <w:t>580</w:t>
            </w:r>
          </w:p>
        </w:tc>
      </w:tr>
      <w:tr w:rsidR="00196A0E" w:rsidRPr="00604C75" w14:paraId="4BAC00F6" w14:textId="77777777" w:rsidTr="00877CBD">
        <w:trPr>
          <w:trHeight w:hRule="exact" w:val="227"/>
        </w:trPr>
        <w:tc>
          <w:tcPr>
            <w:tcW w:w="5406" w:type="dxa"/>
            <w:vAlign w:val="bottom"/>
          </w:tcPr>
          <w:p w14:paraId="686B07C6" w14:textId="77777777" w:rsidR="00196A0E" w:rsidRPr="00604C75" w:rsidRDefault="00196A0E" w:rsidP="00196A0E">
            <w:pPr>
              <w:pStyle w:val="BodyTextIndent"/>
              <w:spacing w:after="0"/>
              <w:ind w:left="-59"/>
              <w:rPr>
                <w:sz w:val="18"/>
                <w:szCs w:val="18"/>
              </w:rPr>
            </w:pPr>
            <w:proofErr w:type="spellStart"/>
            <w:r w:rsidRPr="00604C75">
              <w:rPr>
                <w:sz w:val="18"/>
                <w:szCs w:val="18"/>
              </w:rPr>
              <w:t>Consolidaton</w:t>
            </w:r>
            <w:proofErr w:type="spellEnd"/>
            <w:r w:rsidRPr="00604C75">
              <w:rPr>
                <w:sz w:val="18"/>
                <w:szCs w:val="18"/>
              </w:rPr>
              <w:t xml:space="preserve"> Goodwill</w:t>
            </w:r>
          </w:p>
        </w:tc>
        <w:tc>
          <w:tcPr>
            <w:tcW w:w="1842" w:type="dxa"/>
            <w:vAlign w:val="bottom"/>
          </w:tcPr>
          <w:p w14:paraId="6D1618B5" w14:textId="316470CB" w:rsidR="00196A0E" w:rsidRPr="00575E09" w:rsidRDefault="00D1705B" w:rsidP="00196A0E">
            <w:pPr>
              <w:tabs>
                <w:tab w:val="left" w:pos="0"/>
              </w:tabs>
              <w:ind w:right="43"/>
              <w:jc w:val="right"/>
              <w:rPr>
                <w:sz w:val="18"/>
                <w:szCs w:val="18"/>
              </w:rPr>
            </w:pPr>
            <w:r>
              <w:rPr>
                <w:sz w:val="18"/>
                <w:szCs w:val="18"/>
              </w:rPr>
              <w:t>-</w:t>
            </w:r>
          </w:p>
        </w:tc>
        <w:tc>
          <w:tcPr>
            <w:tcW w:w="1985" w:type="dxa"/>
            <w:vAlign w:val="bottom"/>
          </w:tcPr>
          <w:p w14:paraId="03BED989" w14:textId="480CDC35" w:rsidR="00196A0E" w:rsidRPr="00AF79D0" w:rsidRDefault="00196A0E" w:rsidP="00196A0E">
            <w:pPr>
              <w:tabs>
                <w:tab w:val="left" w:pos="0"/>
              </w:tabs>
              <w:ind w:right="43"/>
              <w:jc w:val="right"/>
              <w:rPr>
                <w:sz w:val="18"/>
                <w:szCs w:val="18"/>
              </w:rPr>
            </w:pPr>
            <w:r w:rsidRPr="00575E09">
              <w:rPr>
                <w:sz w:val="18"/>
                <w:szCs w:val="18"/>
              </w:rPr>
              <w:t>49,647</w:t>
            </w:r>
          </w:p>
        </w:tc>
      </w:tr>
      <w:tr w:rsidR="00196A0E" w:rsidRPr="00604C75" w14:paraId="698B4BDB" w14:textId="77777777" w:rsidTr="00877CBD">
        <w:trPr>
          <w:trHeight w:hRule="exact" w:val="227"/>
        </w:trPr>
        <w:tc>
          <w:tcPr>
            <w:tcW w:w="5406" w:type="dxa"/>
            <w:vAlign w:val="bottom"/>
          </w:tcPr>
          <w:p w14:paraId="20ADACF1" w14:textId="77777777" w:rsidR="00196A0E" w:rsidRPr="00604C75" w:rsidRDefault="00196A0E" w:rsidP="00196A0E">
            <w:pPr>
              <w:pStyle w:val="BodyTextIndent"/>
              <w:spacing w:after="0"/>
              <w:ind w:left="-59"/>
              <w:rPr>
                <w:b/>
                <w:sz w:val="18"/>
                <w:szCs w:val="18"/>
              </w:rPr>
            </w:pPr>
            <w:r w:rsidRPr="00604C75">
              <w:rPr>
                <w:b/>
                <w:sz w:val="18"/>
                <w:szCs w:val="18"/>
              </w:rPr>
              <w:t>Supplementary Capital</w:t>
            </w:r>
          </w:p>
        </w:tc>
        <w:tc>
          <w:tcPr>
            <w:tcW w:w="1842" w:type="dxa"/>
            <w:vAlign w:val="bottom"/>
          </w:tcPr>
          <w:p w14:paraId="41D06FA5" w14:textId="57C2A935" w:rsidR="00196A0E" w:rsidRPr="00264FEB" w:rsidRDefault="00196A0E" w:rsidP="00196A0E">
            <w:pPr>
              <w:tabs>
                <w:tab w:val="left" w:pos="0"/>
              </w:tabs>
              <w:ind w:right="43"/>
              <w:jc w:val="right"/>
              <w:rPr>
                <w:sz w:val="18"/>
                <w:szCs w:val="18"/>
              </w:rPr>
            </w:pPr>
            <w:r w:rsidRPr="00264FEB">
              <w:rPr>
                <w:sz w:val="18"/>
                <w:szCs w:val="18"/>
              </w:rPr>
              <w:t>-</w:t>
            </w:r>
          </w:p>
        </w:tc>
        <w:tc>
          <w:tcPr>
            <w:tcW w:w="1985" w:type="dxa"/>
            <w:vAlign w:val="bottom"/>
          </w:tcPr>
          <w:p w14:paraId="7457DB77" w14:textId="3AF77465" w:rsidR="00196A0E" w:rsidRPr="00264FEB" w:rsidRDefault="00196A0E" w:rsidP="00196A0E">
            <w:pPr>
              <w:tabs>
                <w:tab w:val="left" w:pos="0"/>
              </w:tabs>
              <w:ind w:right="43"/>
              <w:jc w:val="right"/>
              <w:rPr>
                <w:sz w:val="18"/>
                <w:szCs w:val="18"/>
              </w:rPr>
            </w:pPr>
            <w:r w:rsidRPr="00575E09">
              <w:rPr>
                <w:sz w:val="18"/>
                <w:szCs w:val="18"/>
              </w:rPr>
              <w:t>-</w:t>
            </w:r>
          </w:p>
        </w:tc>
      </w:tr>
      <w:tr w:rsidR="00196A0E" w:rsidRPr="00604C75" w14:paraId="13225592" w14:textId="77777777" w:rsidTr="00877CBD">
        <w:trPr>
          <w:trHeight w:hRule="exact" w:val="227"/>
        </w:trPr>
        <w:tc>
          <w:tcPr>
            <w:tcW w:w="5406" w:type="dxa"/>
            <w:vAlign w:val="bottom"/>
          </w:tcPr>
          <w:p w14:paraId="1FE9F27E" w14:textId="77777777" w:rsidR="00196A0E" w:rsidRPr="00604C75" w:rsidRDefault="00196A0E" w:rsidP="00196A0E">
            <w:pPr>
              <w:pStyle w:val="BodyTextIndent"/>
              <w:spacing w:after="0"/>
              <w:ind w:left="-59"/>
              <w:rPr>
                <w:b/>
                <w:sz w:val="18"/>
                <w:szCs w:val="18"/>
              </w:rPr>
            </w:pPr>
            <w:r w:rsidRPr="00604C75">
              <w:rPr>
                <w:rFonts w:eastAsia="Arial Unicode MS"/>
                <w:b/>
                <w:sz w:val="18"/>
                <w:szCs w:val="18"/>
              </w:rPr>
              <w:t>Deductions From Capital</w:t>
            </w:r>
          </w:p>
        </w:tc>
        <w:tc>
          <w:tcPr>
            <w:tcW w:w="1842" w:type="dxa"/>
            <w:vAlign w:val="bottom"/>
          </w:tcPr>
          <w:p w14:paraId="6D088EC2" w14:textId="3F33452E" w:rsidR="00196A0E" w:rsidRPr="00264FEB" w:rsidRDefault="00196A0E" w:rsidP="00196A0E">
            <w:pPr>
              <w:tabs>
                <w:tab w:val="left" w:pos="0"/>
              </w:tabs>
              <w:ind w:right="43"/>
              <w:jc w:val="right"/>
              <w:rPr>
                <w:sz w:val="18"/>
                <w:szCs w:val="18"/>
              </w:rPr>
            </w:pPr>
            <w:r w:rsidRPr="00264FEB">
              <w:rPr>
                <w:sz w:val="18"/>
                <w:szCs w:val="18"/>
              </w:rPr>
              <w:t>-</w:t>
            </w:r>
          </w:p>
        </w:tc>
        <w:tc>
          <w:tcPr>
            <w:tcW w:w="1985" w:type="dxa"/>
            <w:vAlign w:val="bottom"/>
          </w:tcPr>
          <w:p w14:paraId="7C599126" w14:textId="2177378D" w:rsidR="00196A0E" w:rsidRPr="00264FEB" w:rsidRDefault="00196A0E" w:rsidP="00196A0E">
            <w:pPr>
              <w:tabs>
                <w:tab w:val="left" w:pos="0"/>
              </w:tabs>
              <w:ind w:right="43"/>
              <w:jc w:val="right"/>
              <w:rPr>
                <w:sz w:val="18"/>
                <w:szCs w:val="18"/>
              </w:rPr>
            </w:pPr>
            <w:r w:rsidRPr="00575E09">
              <w:rPr>
                <w:sz w:val="18"/>
                <w:szCs w:val="18"/>
              </w:rPr>
              <w:t>-</w:t>
            </w:r>
          </w:p>
        </w:tc>
      </w:tr>
      <w:tr w:rsidR="00196A0E" w:rsidRPr="00604C75" w14:paraId="64FFFD0A" w14:textId="77777777" w:rsidTr="00877CBD">
        <w:trPr>
          <w:trHeight w:hRule="exact" w:val="227"/>
        </w:trPr>
        <w:tc>
          <w:tcPr>
            <w:tcW w:w="5406" w:type="dxa"/>
            <w:vAlign w:val="bottom"/>
          </w:tcPr>
          <w:p w14:paraId="273971C5" w14:textId="77777777" w:rsidR="00196A0E" w:rsidRPr="00604C75" w:rsidRDefault="00196A0E" w:rsidP="00196A0E">
            <w:pPr>
              <w:pStyle w:val="BodyTextIndent"/>
              <w:spacing w:after="0"/>
              <w:ind w:left="-59"/>
              <w:rPr>
                <w:b/>
                <w:sz w:val="18"/>
                <w:szCs w:val="18"/>
              </w:rPr>
            </w:pPr>
            <w:r w:rsidRPr="00604C75">
              <w:rPr>
                <w:b/>
                <w:sz w:val="18"/>
                <w:szCs w:val="18"/>
              </w:rPr>
              <w:t xml:space="preserve">Total </w:t>
            </w:r>
            <w:proofErr w:type="spellStart"/>
            <w:r w:rsidRPr="00604C75">
              <w:rPr>
                <w:b/>
                <w:sz w:val="18"/>
                <w:szCs w:val="18"/>
              </w:rPr>
              <w:t>Shareholders</w:t>
            </w:r>
            <w:proofErr w:type="spellEnd"/>
            <w:r w:rsidRPr="00604C75">
              <w:rPr>
                <w:b/>
                <w:sz w:val="18"/>
                <w:szCs w:val="18"/>
              </w:rPr>
              <w:t xml:space="preserve"> Equity</w:t>
            </w:r>
          </w:p>
        </w:tc>
        <w:tc>
          <w:tcPr>
            <w:tcW w:w="1842" w:type="dxa"/>
            <w:vAlign w:val="bottom"/>
          </w:tcPr>
          <w:p w14:paraId="61CE6117" w14:textId="55D64D52" w:rsidR="00196A0E" w:rsidRPr="00575E09" w:rsidRDefault="00196A0E" w:rsidP="00196A0E">
            <w:pPr>
              <w:tabs>
                <w:tab w:val="left" w:pos="0"/>
              </w:tabs>
              <w:ind w:right="43"/>
              <w:jc w:val="right"/>
              <w:rPr>
                <w:b/>
                <w:sz w:val="18"/>
                <w:szCs w:val="18"/>
              </w:rPr>
            </w:pPr>
            <w:r w:rsidRPr="00AF79D0">
              <w:rPr>
                <w:b/>
                <w:sz w:val="18"/>
                <w:szCs w:val="18"/>
              </w:rPr>
              <w:t>20,437</w:t>
            </w:r>
          </w:p>
        </w:tc>
        <w:tc>
          <w:tcPr>
            <w:tcW w:w="1985" w:type="dxa"/>
            <w:vAlign w:val="bottom"/>
          </w:tcPr>
          <w:p w14:paraId="456F96FB" w14:textId="50BCC513" w:rsidR="00196A0E" w:rsidRPr="00AF79D0" w:rsidRDefault="00196A0E" w:rsidP="00196A0E">
            <w:pPr>
              <w:tabs>
                <w:tab w:val="left" w:pos="0"/>
              </w:tabs>
              <w:ind w:right="43"/>
              <w:jc w:val="right"/>
              <w:rPr>
                <w:b/>
                <w:sz w:val="18"/>
                <w:szCs w:val="18"/>
              </w:rPr>
            </w:pPr>
            <w:r w:rsidRPr="00575E09">
              <w:rPr>
                <w:b/>
                <w:sz w:val="18"/>
                <w:szCs w:val="18"/>
              </w:rPr>
              <w:t>62,762</w:t>
            </w:r>
          </w:p>
        </w:tc>
      </w:tr>
    </w:tbl>
    <w:p w14:paraId="4B9B4B03" w14:textId="77777777" w:rsidR="008A7AC8" w:rsidRPr="00604C75" w:rsidRDefault="008A7AC8" w:rsidP="00E13BC0">
      <w:pPr>
        <w:pStyle w:val="BodyTextIndent"/>
        <w:spacing w:after="0"/>
        <w:ind w:left="0" w:right="16"/>
        <w:rPr>
          <w:b/>
          <w:sz w:val="20"/>
          <w:szCs w:val="20"/>
        </w:rPr>
      </w:pPr>
    </w:p>
    <w:p w14:paraId="1F999EE3" w14:textId="77777777" w:rsidR="008D521B" w:rsidRPr="00604C75" w:rsidRDefault="008D521B" w:rsidP="00423B79">
      <w:pPr>
        <w:pStyle w:val="BodyTextIndent"/>
        <w:tabs>
          <w:tab w:val="left" w:pos="1274"/>
        </w:tabs>
        <w:spacing w:after="0" w:line="48" w:lineRule="auto"/>
        <w:ind w:left="357" w:right="17"/>
        <w:rPr>
          <w:b/>
          <w:noProof/>
          <w:sz w:val="20"/>
          <w:szCs w:val="20"/>
        </w:rPr>
      </w:pPr>
    </w:p>
    <w:p w14:paraId="63713A69" w14:textId="7DEC6AF9" w:rsidR="00423B79" w:rsidRPr="00CD0767" w:rsidRDefault="00232DAF">
      <w:pPr>
        <w:pStyle w:val="BodyTextIndent"/>
        <w:spacing w:line="226" w:lineRule="auto"/>
        <w:ind w:left="0"/>
        <w:jc w:val="both"/>
        <w:rPr>
          <w:sz w:val="20"/>
          <w:szCs w:val="20"/>
        </w:rPr>
      </w:pPr>
      <w:r w:rsidRPr="00CD0767">
        <w:rPr>
          <w:sz w:val="20"/>
          <w:szCs w:val="20"/>
        </w:rPr>
        <w:t>W</w:t>
      </w:r>
      <w:r w:rsidR="00792EE1" w:rsidRPr="00CD0767">
        <w:rPr>
          <w:sz w:val="20"/>
          <w:szCs w:val="20"/>
        </w:rPr>
        <w:t>ith</w:t>
      </w:r>
      <w:r w:rsidRPr="00CD0767">
        <w:rPr>
          <w:sz w:val="20"/>
          <w:szCs w:val="20"/>
        </w:rPr>
        <w:t>in</w:t>
      </w:r>
      <w:r w:rsidR="00DC1399" w:rsidRPr="00CD0767">
        <w:rPr>
          <w:sz w:val="20"/>
          <w:szCs w:val="20"/>
        </w:rPr>
        <w:t xml:space="preserve"> the Board of Directors decision </w:t>
      </w:r>
      <w:r w:rsidR="00916EF8" w:rsidRPr="00CD0767">
        <w:rPr>
          <w:sz w:val="20"/>
          <w:szCs w:val="20"/>
        </w:rPr>
        <w:t xml:space="preserve">dated 17 March </w:t>
      </w:r>
      <w:r w:rsidR="00DC1399" w:rsidRPr="00CD0767">
        <w:rPr>
          <w:sz w:val="20"/>
          <w:szCs w:val="20"/>
        </w:rPr>
        <w:t xml:space="preserve">2014 </w:t>
      </w:r>
      <w:r w:rsidR="00916EF8" w:rsidRPr="00CD0767">
        <w:rPr>
          <w:sz w:val="20"/>
          <w:szCs w:val="20"/>
        </w:rPr>
        <w:t>and numbered</w:t>
      </w:r>
      <w:r w:rsidR="00B31503">
        <w:rPr>
          <w:sz w:val="20"/>
          <w:szCs w:val="20"/>
        </w:rPr>
        <w:t xml:space="preserve"> 1/A</w:t>
      </w:r>
      <w:r w:rsidR="00DC1399" w:rsidRPr="00CD0767">
        <w:rPr>
          <w:sz w:val="20"/>
          <w:szCs w:val="20"/>
        </w:rPr>
        <w:t xml:space="preserve">, dissolution and liquidation of </w:t>
      </w:r>
      <w:proofErr w:type="spellStart"/>
      <w:r w:rsidR="00DC1399" w:rsidRPr="00CD0767">
        <w:rPr>
          <w:sz w:val="20"/>
          <w:szCs w:val="20"/>
        </w:rPr>
        <w:t>Al</w:t>
      </w:r>
      <w:r w:rsidR="00DA0B45" w:rsidRPr="00CD0767">
        <w:rPr>
          <w:sz w:val="20"/>
          <w:szCs w:val="20"/>
        </w:rPr>
        <w:t>ternatif</w:t>
      </w:r>
      <w:proofErr w:type="spellEnd"/>
      <w:r w:rsidR="00DA0B45" w:rsidRPr="00CD0767">
        <w:rPr>
          <w:sz w:val="20"/>
          <w:szCs w:val="20"/>
        </w:rPr>
        <w:t xml:space="preserve"> </w:t>
      </w:r>
      <w:proofErr w:type="spellStart"/>
      <w:r w:rsidR="00DA0B45" w:rsidRPr="00CD0767">
        <w:rPr>
          <w:sz w:val="20"/>
          <w:szCs w:val="20"/>
        </w:rPr>
        <w:t>Yatırım</w:t>
      </w:r>
      <w:proofErr w:type="spellEnd"/>
      <w:r w:rsidR="00DA0B45" w:rsidRPr="00CD0767">
        <w:rPr>
          <w:sz w:val="20"/>
          <w:szCs w:val="20"/>
        </w:rPr>
        <w:t xml:space="preserve"> </w:t>
      </w:r>
      <w:proofErr w:type="spellStart"/>
      <w:r w:rsidR="00DA0B45" w:rsidRPr="00CD0767">
        <w:rPr>
          <w:sz w:val="20"/>
          <w:szCs w:val="20"/>
        </w:rPr>
        <w:t>Ortaklığı</w:t>
      </w:r>
      <w:proofErr w:type="spellEnd"/>
      <w:r w:rsidR="00DA0B45" w:rsidRPr="00CD0767">
        <w:rPr>
          <w:sz w:val="20"/>
          <w:szCs w:val="20"/>
        </w:rPr>
        <w:t xml:space="preserve"> A.Ş.</w:t>
      </w:r>
      <w:r w:rsidR="00DC1399" w:rsidRPr="00CD0767">
        <w:rPr>
          <w:sz w:val="20"/>
          <w:szCs w:val="20"/>
        </w:rPr>
        <w:t xml:space="preserve"> had been decided, and by this decision approvals given from Capital Markets Board to </w:t>
      </w:r>
      <w:proofErr w:type="spellStart"/>
      <w:r w:rsidR="00DA0B45" w:rsidRPr="00CD0767">
        <w:rPr>
          <w:sz w:val="20"/>
          <w:szCs w:val="20"/>
        </w:rPr>
        <w:t>Alternatif</w:t>
      </w:r>
      <w:proofErr w:type="spellEnd"/>
      <w:r w:rsidR="00DA0B45" w:rsidRPr="00CD0767">
        <w:rPr>
          <w:sz w:val="20"/>
          <w:szCs w:val="20"/>
        </w:rPr>
        <w:t xml:space="preserve"> </w:t>
      </w:r>
      <w:proofErr w:type="spellStart"/>
      <w:r w:rsidR="00DA0B45" w:rsidRPr="00CD0767">
        <w:rPr>
          <w:sz w:val="20"/>
          <w:szCs w:val="20"/>
        </w:rPr>
        <w:t>Yatırım</w:t>
      </w:r>
      <w:proofErr w:type="spellEnd"/>
      <w:r w:rsidR="00DA0B45" w:rsidRPr="00CD0767">
        <w:rPr>
          <w:sz w:val="20"/>
          <w:szCs w:val="20"/>
        </w:rPr>
        <w:t xml:space="preserve"> </w:t>
      </w:r>
      <w:proofErr w:type="spellStart"/>
      <w:r w:rsidR="00DA0B45" w:rsidRPr="00CD0767">
        <w:rPr>
          <w:sz w:val="20"/>
          <w:szCs w:val="20"/>
        </w:rPr>
        <w:t>Ortaklığı</w:t>
      </w:r>
      <w:proofErr w:type="spellEnd"/>
      <w:r w:rsidR="00DA0B45" w:rsidRPr="00CD0767">
        <w:rPr>
          <w:sz w:val="20"/>
          <w:szCs w:val="20"/>
        </w:rPr>
        <w:t xml:space="preserve"> A.Ş. </w:t>
      </w:r>
      <w:r w:rsidR="008C1382" w:rsidRPr="00CD0767">
        <w:rPr>
          <w:sz w:val="20"/>
          <w:szCs w:val="20"/>
        </w:rPr>
        <w:t xml:space="preserve">as </w:t>
      </w:r>
      <w:r w:rsidR="00DC1399" w:rsidRPr="00CD0767">
        <w:rPr>
          <w:sz w:val="20"/>
          <w:szCs w:val="20"/>
        </w:rPr>
        <w:t xml:space="preserve">at </w:t>
      </w:r>
      <w:r w:rsidR="00916EF8" w:rsidRPr="00CD0767">
        <w:rPr>
          <w:sz w:val="20"/>
          <w:szCs w:val="20"/>
        </w:rPr>
        <w:t xml:space="preserve">8 </w:t>
      </w:r>
      <w:r w:rsidR="00DC1399" w:rsidRPr="00CD0767">
        <w:rPr>
          <w:sz w:val="20"/>
          <w:szCs w:val="20"/>
        </w:rPr>
        <w:t xml:space="preserve">July 2014. Liquidation of </w:t>
      </w:r>
      <w:proofErr w:type="spellStart"/>
      <w:r w:rsidR="00DA0B45" w:rsidRPr="00CD0767">
        <w:rPr>
          <w:sz w:val="20"/>
          <w:szCs w:val="20"/>
        </w:rPr>
        <w:t>Alternatif</w:t>
      </w:r>
      <w:proofErr w:type="spellEnd"/>
      <w:r w:rsidR="00DA0B45" w:rsidRPr="00CD0767">
        <w:rPr>
          <w:sz w:val="20"/>
          <w:szCs w:val="20"/>
        </w:rPr>
        <w:t xml:space="preserve"> </w:t>
      </w:r>
      <w:proofErr w:type="spellStart"/>
      <w:r w:rsidR="00DA0B45" w:rsidRPr="00CD0767">
        <w:rPr>
          <w:sz w:val="20"/>
          <w:szCs w:val="20"/>
        </w:rPr>
        <w:t>Yatırım</w:t>
      </w:r>
      <w:proofErr w:type="spellEnd"/>
      <w:r w:rsidR="00DA0B45" w:rsidRPr="00CD0767">
        <w:rPr>
          <w:sz w:val="20"/>
          <w:szCs w:val="20"/>
        </w:rPr>
        <w:t xml:space="preserve"> </w:t>
      </w:r>
      <w:proofErr w:type="spellStart"/>
      <w:r w:rsidR="00DA0B45" w:rsidRPr="00CD0767">
        <w:rPr>
          <w:sz w:val="20"/>
          <w:szCs w:val="20"/>
        </w:rPr>
        <w:t>Ortaklığı</w:t>
      </w:r>
      <w:proofErr w:type="spellEnd"/>
      <w:r w:rsidR="00DA0B45" w:rsidRPr="00CD0767">
        <w:rPr>
          <w:sz w:val="20"/>
          <w:szCs w:val="20"/>
        </w:rPr>
        <w:t xml:space="preserve"> A.Ş. </w:t>
      </w:r>
      <w:r w:rsidR="00DC1399" w:rsidRPr="00CD0767">
        <w:rPr>
          <w:sz w:val="20"/>
          <w:szCs w:val="20"/>
        </w:rPr>
        <w:t xml:space="preserve">were approved in extraordinary general meeting dated </w:t>
      </w:r>
      <w:r w:rsidR="00916EF8" w:rsidRPr="00CD0767">
        <w:rPr>
          <w:sz w:val="20"/>
          <w:szCs w:val="20"/>
        </w:rPr>
        <w:t xml:space="preserve">29 </w:t>
      </w:r>
      <w:r w:rsidR="00DC1399" w:rsidRPr="00CD0767">
        <w:rPr>
          <w:sz w:val="20"/>
          <w:szCs w:val="20"/>
        </w:rPr>
        <w:t>September 2014</w:t>
      </w:r>
      <w:r w:rsidR="00C71892">
        <w:rPr>
          <w:sz w:val="20"/>
          <w:szCs w:val="20"/>
        </w:rPr>
        <w:t xml:space="preserve"> and </w:t>
      </w:r>
      <w:proofErr w:type="spellStart"/>
      <w:r w:rsidR="00C71892">
        <w:rPr>
          <w:sz w:val="20"/>
          <w:szCs w:val="20"/>
        </w:rPr>
        <w:t>and</w:t>
      </w:r>
      <w:proofErr w:type="spellEnd"/>
      <w:r w:rsidR="00C71892">
        <w:rPr>
          <w:sz w:val="20"/>
          <w:szCs w:val="20"/>
        </w:rPr>
        <w:t xml:space="preserve"> completed with the liquidation process dated 25 November 2015</w:t>
      </w:r>
      <w:r w:rsidR="00DC1399" w:rsidRPr="00CD0767">
        <w:rPr>
          <w:sz w:val="20"/>
          <w:szCs w:val="20"/>
        </w:rPr>
        <w:t xml:space="preserve">. </w:t>
      </w:r>
    </w:p>
    <w:p w14:paraId="09DAC715" w14:textId="0E605EF4" w:rsidR="001C0ECA" w:rsidRPr="00604C75" w:rsidRDefault="00DC1399" w:rsidP="00AD726D">
      <w:pPr>
        <w:pStyle w:val="BodyTextIndent"/>
        <w:tabs>
          <w:tab w:val="left" w:pos="0"/>
        </w:tabs>
        <w:spacing w:line="226" w:lineRule="auto"/>
        <w:ind w:left="0"/>
        <w:jc w:val="both"/>
        <w:rPr>
          <w:sz w:val="20"/>
          <w:szCs w:val="20"/>
        </w:rPr>
      </w:pPr>
      <w:r w:rsidRPr="00CD0767">
        <w:rPr>
          <w:sz w:val="20"/>
          <w:szCs w:val="20"/>
        </w:rPr>
        <w:t>According to the conclusion of there will be no benefits by the continuing activities</w:t>
      </w:r>
      <w:r w:rsidR="00D10E09">
        <w:rPr>
          <w:sz w:val="20"/>
          <w:szCs w:val="20"/>
        </w:rPr>
        <w:t xml:space="preserve"> </w:t>
      </w:r>
      <w:r w:rsidRPr="00CD0767">
        <w:rPr>
          <w:sz w:val="20"/>
          <w:szCs w:val="20"/>
        </w:rPr>
        <w:t xml:space="preserve">of </w:t>
      </w:r>
      <w:proofErr w:type="spellStart"/>
      <w:r w:rsidRPr="00CD0767">
        <w:rPr>
          <w:sz w:val="20"/>
          <w:szCs w:val="20"/>
        </w:rPr>
        <w:t>Alternati</w:t>
      </w:r>
      <w:r w:rsidR="00DA0B45" w:rsidRPr="00CD0767">
        <w:rPr>
          <w:sz w:val="20"/>
          <w:szCs w:val="20"/>
        </w:rPr>
        <w:t>f</w:t>
      </w:r>
      <w:proofErr w:type="spellEnd"/>
      <w:r w:rsidR="00DA0B45" w:rsidRPr="00CD0767">
        <w:rPr>
          <w:sz w:val="20"/>
          <w:szCs w:val="20"/>
        </w:rPr>
        <w:t xml:space="preserve"> </w:t>
      </w:r>
      <w:proofErr w:type="spellStart"/>
      <w:r w:rsidR="00DA0B45" w:rsidRPr="00CD0767">
        <w:rPr>
          <w:sz w:val="20"/>
          <w:szCs w:val="20"/>
        </w:rPr>
        <w:t>Portföy</w:t>
      </w:r>
      <w:proofErr w:type="spellEnd"/>
      <w:r w:rsidR="00DA0B45" w:rsidRPr="00CD0767">
        <w:rPr>
          <w:sz w:val="20"/>
          <w:szCs w:val="20"/>
        </w:rPr>
        <w:t xml:space="preserve"> </w:t>
      </w:r>
      <w:proofErr w:type="spellStart"/>
      <w:r w:rsidR="00DA0B45" w:rsidRPr="00CD0767">
        <w:rPr>
          <w:sz w:val="20"/>
          <w:szCs w:val="20"/>
        </w:rPr>
        <w:t>Yönetimi</w:t>
      </w:r>
      <w:proofErr w:type="spellEnd"/>
      <w:r w:rsidR="00DA0B45" w:rsidRPr="00CD0767">
        <w:rPr>
          <w:sz w:val="20"/>
          <w:szCs w:val="20"/>
        </w:rPr>
        <w:t xml:space="preserve"> A.Ş.</w:t>
      </w:r>
      <w:r w:rsidRPr="00CD0767">
        <w:rPr>
          <w:sz w:val="20"/>
          <w:szCs w:val="20"/>
        </w:rPr>
        <w:t xml:space="preserve"> which is owned 100</w:t>
      </w:r>
      <w:r w:rsidR="0052736D" w:rsidRPr="00CD0767">
        <w:rPr>
          <w:sz w:val="20"/>
          <w:szCs w:val="20"/>
        </w:rPr>
        <w:t>%</w:t>
      </w:r>
      <w:r w:rsidRPr="00CD0767">
        <w:rPr>
          <w:sz w:val="20"/>
          <w:szCs w:val="20"/>
        </w:rPr>
        <w:t xml:space="preserve"> by </w:t>
      </w:r>
      <w:proofErr w:type="spellStart"/>
      <w:r w:rsidR="00DA0B45" w:rsidRPr="00CD0767">
        <w:rPr>
          <w:sz w:val="20"/>
          <w:szCs w:val="20"/>
        </w:rPr>
        <w:t>Alternatif</w:t>
      </w:r>
      <w:proofErr w:type="spellEnd"/>
      <w:r w:rsidR="00DA0B45" w:rsidRPr="00CD0767">
        <w:rPr>
          <w:sz w:val="20"/>
          <w:szCs w:val="20"/>
        </w:rPr>
        <w:t xml:space="preserve"> </w:t>
      </w:r>
      <w:proofErr w:type="spellStart"/>
      <w:r w:rsidR="00DA0B45" w:rsidRPr="00CD0767">
        <w:rPr>
          <w:sz w:val="20"/>
          <w:szCs w:val="20"/>
        </w:rPr>
        <w:t>Yatırım</w:t>
      </w:r>
      <w:proofErr w:type="spellEnd"/>
      <w:r w:rsidR="00DA0B45" w:rsidRPr="00CD0767">
        <w:rPr>
          <w:sz w:val="20"/>
          <w:szCs w:val="20"/>
        </w:rPr>
        <w:t xml:space="preserve"> A.Ş</w:t>
      </w:r>
      <w:r w:rsidRPr="00CD0767">
        <w:rPr>
          <w:sz w:val="20"/>
          <w:szCs w:val="20"/>
        </w:rPr>
        <w:t xml:space="preserve">., liquidation procedures has begun after the decision of board of </w:t>
      </w:r>
      <w:proofErr w:type="spellStart"/>
      <w:r w:rsidR="00DA0B45" w:rsidRPr="00CD0767">
        <w:rPr>
          <w:sz w:val="20"/>
          <w:szCs w:val="20"/>
        </w:rPr>
        <w:t>Alternatif</w:t>
      </w:r>
      <w:proofErr w:type="spellEnd"/>
      <w:r w:rsidR="00DA0B45" w:rsidRPr="00CD0767">
        <w:rPr>
          <w:sz w:val="20"/>
          <w:szCs w:val="20"/>
        </w:rPr>
        <w:t xml:space="preserve"> </w:t>
      </w:r>
      <w:proofErr w:type="spellStart"/>
      <w:r w:rsidR="00DA0B45" w:rsidRPr="00CD0767">
        <w:rPr>
          <w:sz w:val="20"/>
          <w:szCs w:val="20"/>
        </w:rPr>
        <w:t>Portföy</w:t>
      </w:r>
      <w:proofErr w:type="spellEnd"/>
      <w:r w:rsidR="00DA0B45" w:rsidRPr="00CD0767">
        <w:rPr>
          <w:sz w:val="20"/>
          <w:szCs w:val="20"/>
        </w:rPr>
        <w:t xml:space="preserve"> </w:t>
      </w:r>
      <w:proofErr w:type="spellStart"/>
      <w:r w:rsidR="00DA0B45" w:rsidRPr="00CD0767">
        <w:rPr>
          <w:sz w:val="20"/>
          <w:szCs w:val="20"/>
        </w:rPr>
        <w:t>Yönetimi</w:t>
      </w:r>
      <w:proofErr w:type="spellEnd"/>
      <w:r w:rsidR="00DA0B45" w:rsidRPr="00CD0767">
        <w:rPr>
          <w:sz w:val="20"/>
          <w:szCs w:val="20"/>
        </w:rPr>
        <w:t xml:space="preserve"> A.Ş.</w:t>
      </w:r>
      <w:r w:rsidRPr="00CD0767">
        <w:rPr>
          <w:sz w:val="20"/>
          <w:szCs w:val="20"/>
        </w:rPr>
        <w:t xml:space="preserve"> dated </w:t>
      </w:r>
      <w:r w:rsidR="00916EF8" w:rsidRPr="00CD0767">
        <w:rPr>
          <w:sz w:val="20"/>
          <w:szCs w:val="20"/>
        </w:rPr>
        <w:t xml:space="preserve">27 </w:t>
      </w:r>
      <w:r w:rsidRPr="00CD0767">
        <w:rPr>
          <w:sz w:val="20"/>
          <w:szCs w:val="20"/>
        </w:rPr>
        <w:t>Aug</w:t>
      </w:r>
      <w:r w:rsidR="00792EE1" w:rsidRPr="00CD0767">
        <w:rPr>
          <w:sz w:val="20"/>
          <w:szCs w:val="20"/>
        </w:rPr>
        <w:t>ust</w:t>
      </w:r>
      <w:r w:rsidRPr="00CD0767">
        <w:rPr>
          <w:sz w:val="20"/>
          <w:szCs w:val="20"/>
        </w:rPr>
        <w:t xml:space="preserve"> 2014. By the same date, application made to the Capital Markets Board. </w:t>
      </w:r>
      <w:r w:rsidR="00511F82" w:rsidRPr="00CD0767">
        <w:rPr>
          <w:sz w:val="20"/>
          <w:szCs w:val="20"/>
        </w:rPr>
        <w:t xml:space="preserve">Operating </w:t>
      </w:r>
      <w:proofErr w:type="spellStart"/>
      <w:r w:rsidR="00EF2416" w:rsidRPr="00CD0767">
        <w:rPr>
          <w:sz w:val="20"/>
          <w:szCs w:val="20"/>
        </w:rPr>
        <w:t>licence</w:t>
      </w:r>
      <w:proofErr w:type="spellEnd"/>
      <w:r w:rsidR="00511F82" w:rsidRPr="00CD0767">
        <w:rPr>
          <w:sz w:val="20"/>
          <w:szCs w:val="20"/>
        </w:rPr>
        <w:t xml:space="preserve"> and </w:t>
      </w:r>
      <w:r w:rsidR="00EF2416" w:rsidRPr="00CD0767">
        <w:rPr>
          <w:sz w:val="20"/>
          <w:szCs w:val="20"/>
        </w:rPr>
        <w:t xml:space="preserve">portfolio management certificate </w:t>
      </w:r>
      <w:r w:rsidR="00511F82" w:rsidRPr="00CD0767">
        <w:rPr>
          <w:sz w:val="20"/>
          <w:szCs w:val="20"/>
        </w:rPr>
        <w:t xml:space="preserve">of the </w:t>
      </w:r>
      <w:proofErr w:type="spellStart"/>
      <w:r w:rsidR="00511F82" w:rsidRPr="00CD0767">
        <w:rPr>
          <w:sz w:val="20"/>
          <w:szCs w:val="20"/>
        </w:rPr>
        <w:t>Alternatif</w:t>
      </w:r>
      <w:proofErr w:type="spellEnd"/>
      <w:r w:rsidR="00511F82" w:rsidRPr="00CD0767">
        <w:rPr>
          <w:sz w:val="20"/>
          <w:szCs w:val="20"/>
        </w:rPr>
        <w:t xml:space="preserve"> </w:t>
      </w:r>
      <w:proofErr w:type="spellStart"/>
      <w:r w:rsidR="00511F82" w:rsidRPr="00CD0767">
        <w:rPr>
          <w:sz w:val="20"/>
          <w:szCs w:val="20"/>
        </w:rPr>
        <w:t>Portföy</w:t>
      </w:r>
      <w:proofErr w:type="spellEnd"/>
      <w:r w:rsidR="00511F82" w:rsidRPr="00CD0767">
        <w:rPr>
          <w:sz w:val="20"/>
          <w:szCs w:val="20"/>
        </w:rPr>
        <w:t xml:space="preserve"> </w:t>
      </w:r>
      <w:proofErr w:type="spellStart"/>
      <w:r w:rsidR="00511F82" w:rsidRPr="00CD0767">
        <w:rPr>
          <w:sz w:val="20"/>
          <w:szCs w:val="20"/>
        </w:rPr>
        <w:t>Yönetimi</w:t>
      </w:r>
      <w:proofErr w:type="spellEnd"/>
      <w:r w:rsidR="00511F82" w:rsidRPr="00CD0767">
        <w:rPr>
          <w:sz w:val="20"/>
          <w:szCs w:val="20"/>
        </w:rPr>
        <w:t xml:space="preserve"> A.Ş. is cancelled </w:t>
      </w:r>
      <w:r w:rsidR="008B3CA1" w:rsidRPr="00CD0767">
        <w:rPr>
          <w:sz w:val="20"/>
          <w:szCs w:val="20"/>
        </w:rPr>
        <w:t xml:space="preserve">on 5 December 2014 and </w:t>
      </w:r>
      <w:r w:rsidR="00856356" w:rsidRPr="00CD0767">
        <w:rPr>
          <w:sz w:val="20"/>
          <w:szCs w:val="20"/>
        </w:rPr>
        <w:t xml:space="preserve">its </w:t>
      </w:r>
      <w:r w:rsidR="005C7CAC" w:rsidRPr="00CD0767">
        <w:rPr>
          <w:sz w:val="20"/>
          <w:szCs w:val="20"/>
        </w:rPr>
        <w:t>title</w:t>
      </w:r>
      <w:r w:rsidR="008C1382" w:rsidRPr="00CD0767">
        <w:rPr>
          <w:sz w:val="20"/>
          <w:szCs w:val="20"/>
        </w:rPr>
        <w:t xml:space="preserve"> has</w:t>
      </w:r>
      <w:r w:rsidR="005C7CAC" w:rsidRPr="00CD0767">
        <w:rPr>
          <w:sz w:val="20"/>
          <w:szCs w:val="20"/>
        </w:rPr>
        <w:t xml:space="preserve"> changed as</w:t>
      </w:r>
      <w:r w:rsidR="001C0ECA" w:rsidRPr="00CD0767">
        <w:rPr>
          <w:sz w:val="20"/>
          <w:szCs w:val="20"/>
        </w:rPr>
        <w:t xml:space="preserve"> </w:t>
      </w:r>
      <w:proofErr w:type="spellStart"/>
      <w:r w:rsidR="005C7CAC" w:rsidRPr="00CD0767">
        <w:rPr>
          <w:sz w:val="20"/>
          <w:szCs w:val="20"/>
        </w:rPr>
        <w:t>Elmadağ</w:t>
      </w:r>
      <w:proofErr w:type="spellEnd"/>
      <w:r w:rsidR="005C7CAC" w:rsidRPr="00CD0767">
        <w:rPr>
          <w:sz w:val="20"/>
          <w:szCs w:val="20"/>
        </w:rPr>
        <w:t xml:space="preserve"> </w:t>
      </w:r>
      <w:proofErr w:type="spellStart"/>
      <w:r w:rsidR="005C7CAC" w:rsidRPr="00CD0767">
        <w:rPr>
          <w:sz w:val="20"/>
          <w:szCs w:val="20"/>
        </w:rPr>
        <w:t>Dış</w:t>
      </w:r>
      <w:proofErr w:type="spellEnd"/>
      <w:r w:rsidR="005C7CAC" w:rsidRPr="00CD0767">
        <w:rPr>
          <w:sz w:val="20"/>
          <w:szCs w:val="20"/>
        </w:rPr>
        <w:t xml:space="preserve"> </w:t>
      </w:r>
      <w:proofErr w:type="spellStart"/>
      <w:r w:rsidR="005C7CAC" w:rsidRPr="00CD0767">
        <w:rPr>
          <w:sz w:val="20"/>
          <w:szCs w:val="20"/>
        </w:rPr>
        <w:t>Ticaret</w:t>
      </w:r>
      <w:proofErr w:type="spellEnd"/>
      <w:r w:rsidR="005C7CAC" w:rsidRPr="00CD0767">
        <w:rPr>
          <w:sz w:val="20"/>
          <w:szCs w:val="20"/>
        </w:rPr>
        <w:t xml:space="preserve"> A.Ş</w:t>
      </w:r>
      <w:r w:rsidR="00591B57" w:rsidRPr="00CD0767">
        <w:rPr>
          <w:sz w:val="20"/>
          <w:szCs w:val="20"/>
        </w:rPr>
        <w:t>.</w:t>
      </w:r>
      <w:r w:rsidR="005C7CAC" w:rsidRPr="00CD0767">
        <w:rPr>
          <w:sz w:val="20"/>
          <w:szCs w:val="20"/>
        </w:rPr>
        <w:t xml:space="preserve"> on 6 </w:t>
      </w:r>
      <w:r w:rsidR="00524596" w:rsidRPr="00CD0767">
        <w:rPr>
          <w:sz w:val="20"/>
          <w:szCs w:val="20"/>
        </w:rPr>
        <w:t xml:space="preserve">March </w:t>
      </w:r>
      <w:r w:rsidR="005C7CAC" w:rsidRPr="00CD0767">
        <w:rPr>
          <w:sz w:val="20"/>
          <w:szCs w:val="20"/>
        </w:rPr>
        <w:t>2015</w:t>
      </w:r>
      <w:r w:rsidR="00524596" w:rsidRPr="00CD0767">
        <w:rPr>
          <w:sz w:val="20"/>
          <w:szCs w:val="20"/>
        </w:rPr>
        <w:t xml:space="preserve"> and it is excluded from the consolidation as of 30 </w:t>
      </w:r>
      <w:r w:rsidR="00692E85" w:rsidRPr="00CD0767">
        <w:rPr>
          <w:sz w:val="20"/>
          <w:szCs w:val="20"/>
        </w:rPr>
        <w:t xml:space="preserve">June </w:t>
      </w:r>
      <w:r w:rsidR="00524596" w:rsidRPr="00CD0767">
        <w:rPr>
          <w:sz w:val="20"/>
          <w:szCs w:val="20"/>
        </w:rPr>
        <w:t>2015</w:t>
      </w:r>
      <w:r w:rsidR="005C7CAC" w:rsidRPr="00CD0767">
        <w:rPr>
          <w:sz w:val="20"/>
          <w:szCs w:val="20"/>
        </w:rPr>
        <w:t>.</w:t>
      </w:r>
    </w:p>
    <w:p w14:paraId="29142A8D" w14:textId="77777777" w:rsidR="00720B32" w:rsidRPr="00604C75" w:rsidRDefault="00792EE1" w:rsidP="001C0ECA">
      <w:pPr>
        <w:pStyle w:val="BodyTextIndent"/>
        <w:tabs>
          <w:tab w:val="left" w:pos="0"/>
        </w:tabs>
        <w:spacing w:line="226" w:lineRule="auto"/>
        <w:ind w:left="0"/>
        <w:rPr>
          <w:sz w:val="20"/>
          <w:szCs w:val="20"/>
        </w:rPr>
      </w:pPr>
      <w:r w:rsidRPr="00604C75">
        <w:rPr>
          <w:noProof/>
          <w:sz w:val="20"/>
          <w:szCs w:val="20"/>
        </w:rPr>
        <w:t xml:space="preserve"> 2.    </w:t>
      </w:r>
      <w:r w:rsidR="005C18DB" w:rsidRPr="00604C75">
        <w:rPr>
          <w:noProof/>
          <w:sz w:val="20"/>
          <w:szCs w:val="20"/>
        </w:rPr>
        <w:t xml:space="preserve"> Information on </w:t>
      </w:r>
      <w:r w:rsidR="00B533F1">
        <w:rPr>
          <w:noProof/>
          <w:sz w:val="20"/>
          <w:szCs w:val="20"/>
        </w:rPr>
        <w:t>un</w:t>
      </w:r>
      <w:r w:rsidR="00720B32" w:rsidRPr="00604C75">
        <w:rPr>
          <w:noProof/>
          <w:sz w:val="20"/>
          <w:szCs w:val="20"/>
        </w:rPr>
        <w:t>consolidated subsidiaries:</w:t>
      </w:r>
    </w:p>
    <w:p w14:paraId="05B1265D" w14:textId="77777777" w:rsidR="00720B32" w:rsidRPr="00604C75" w:rsidRDefault="005C18DB" w:rsidP="00AD0134">
      <w:pPr>
        <w:pStyle w:val="BodyTextIndent"/>
        <w:spacing w:line="226" w:lineRule="auto"/>
        <w:ind w:left="0"/>
        <w:rPr>
          <w:sz w:val="20"/>
          <w:szCs w:val="20"/>
        </w:rPr>
      </w:pPr>
      <w:r w:rsidRPr="00604C75">
        <w:rPr>
          <w:sz w:val="20"/>
          <w:szCs w:val="20"/>
        </w:rPr>
        <w:t xml:space="preserve">There is not any </w:t>
      </w:r>
      <w:r w:rsidR="001C0ECA" w:rsidRPr="00604C75">
        <w:rPr>
          <w:sz w:val="20"/>
          <w:szCs w:val="20"/>
        </w:rPr>
        <w:t>un</w:t>
      </w:r>
      <w:r w:rsidR="00720B32" w:rsidRPr="00604C75">
        <w:rPr>
          <w:sz w:val="20"/>
          <w:szCs w:val="20"/>
        </w:rPr>
        <w:t>consolidated subsidiaries</w:t>
      </w:r>
      <w:r w:rsidR="001563FA" w:rsidRPr="00604C75">
        <w:rPr>
          <w:sz w:val="20"/>
          <w:szCs w:val="20"/>
        </w:rPr>
        <w:t xml:space="preserve"> </w:t>
      </w:r>
      <w:r w:rsidR="00720B32" w:rsidRPr="00604C75">
        <w:rPr>
          <w:sz w:val="20"/>
          <w:szCs w:val="20"/>
        </w:rPr>
        <w:t>(</w:t>
      </w:r>
      <w:r w:rsidR="002C79D5" w:rsidRPr="00604C75">
        <w:rPr>
          <w:sz w:val="20"/>
          <w:szCs w:val="20"/>
        </w:rPr>
        <w:t xml:space="preserve">31 December </w:t>
      </w:r>
      <w:r w:rsidR="00720B32" w:rsidRPr="00604C75">
        <w:rPr>
          <w:sz w:val="20"/>
          <w:szCs w:val="20"/>
        </w:rPr>
        <w:t>201</w:t>
      </w:r>
      <w:r w:rsidR="001C0ECA" w:rsidRPr="00604C75">
        <w:rPr>
          <w:sz w:val="20"/>
          <w:szCs w:val="20"/>
        </w:rPr>
        <w:t>4</w:t>
      </w:r>
      <w:r w:rsidR="00720B32" w:rsidRPr="00604C75">
        <w:rPr>
          <w:sz w:val="20"/>
          <w:szCs w:val="20"/>
        </w:rPr>
        <w:t>:</w:t>
      </w:r>
      <w:r w:rsidR="00096A07" w:rsidRPr="00604C75">
        <w:rPr>
          <w:sz w:val="20"/>
          <w:szCs w:val="20"/>
        </w:rPr>
        <w:t xml:space="preserve"> </w:t>
      </w:r>
      <w:r w:rsidR="00720B32" w:rsidRPr="00604C75">
        <w:rPr>
          <w:sz w:val="20"/>
          <w:szCs w:val="20"/>
        </w:rPr>
        <w:t>None)</w:t>
      </w:r>
      <w:r w:rsidR="001563FA" w:rsidRPr="00604C75">
        <w:rPr>
          <w:sz w:val="20"/>
          <w:szCs w:val="20"/>
        </w:rPr>
        <w:t>.</w:t>
      </w:r>
    </w:p>
    <w:p w14:paraId="781967AB" w14:textId="77777777" w:rsidR="005604CD" w:rsidRDefault="005604CD" w:rsidP="00AD0134">
      <w:pPr>
        <w:pStyle w:val="BodyTextIndent"/>
        <w:spacing w:after="0"/>
        <w:ind w:left="0" w:right="16"/>
        <w:rPr>
          <w:sz w:val="20"/>
          <w:szCs w:val="20"/>
        </w:rPr>
      </w:pPr>
    </w:p>
    <w:p w14:paraId="01AAF992" w14:textId="77777777" w:rsidR="005604CD" w:rsidRDefault="005604CD" w:rsidP="00AD0134">
      <w:pPr>
        <w:pStyle w:val="BodyTextIndent"/>
        <w:spacing w:after="0"/>
        <w:ind w:left="0" w:right="16"/>
        <w:rPr>
          <w:sz w:val="20"/>
          <w:szCs w:val="20"/>
        </w:rPr>
      </w:pPr>
    </w:p>
    <w:p w14:paraId="1734FFA1" w14:textId="77777777" w:rsidR="005604CD" w:rsidRDefault="005604CD" w:rsidP="00AD0134">
      <w:pPr>
        <w:pStyle w:val="BodyTextIndent"/>
        <w:spacing w:after="0"/>
        <w:ind w:left="0" w:right="16"/>
        <w:rPr>
          <w:sz w:val="20"/>
          <w:szCs w:val="20"/>
        </w:rPr>
      </w:pPr>
    </w:p>
    <w:p w14:paraId="673F6FB2" w14:textId="77777777" w:rsidR="005604CD" w:rsidRDefault="005604CD" w:rsidP="00AD0134">
      <w:pPr>
        <w:pStyle w:val="BodyTextIndent"/>
        <w:spacing w:after="0"/>
        <w:ind w:left="0" w:right="16"/>
        <w:rPr>
          <w:sz w:val="20"/>
          <w:szCs w:val="20"/>
        </w:rPr>
      </w:pPr>
    </w:p>
    <w:p w14:paraId="07ACF6F4" w14:textId="77777777" w:rsidR="005604CD" w:rsidRDefault="005604CD" w:rsidP="00AD0134">
      <w:pPr>
        <w:pStyle w:val="BodyTextIndent"/>
        <w:spacing w:after="0"/>
        <w:ind w:left="0" w:right="16"/>
        <w:rPr>
          <w:sz w:val="20"/>
          <w:szCs w:val="20"/>
        </w:rPr>
      </w:pPr>
    </w:p>
    <w:p w14:paraId="118AA8B7" w14:textId="77777777" w:rsidR="005604CD" w:rsidRDefault="005604CD" w:rsidP="00AD0134">
      <w:pPr>
        <w:pStyle w:val="BodyTextIndent"/>
        <w:spacing w:after="0"/>
        <w:ind w:left="0" w:right="16"/>
        <w:rPr>
          <w:sz w:val="20"/>
          <w:szCs w:val="20"/>
        </w:rPr>
      </w:pPr>
    </w:p>
    <w:p w14:paraId="0F771F31" w14:textId="77777777" w:rsidR="005604CD" w:rsidRDefault="005604CD" w:rsidP="00AD0134">
      <w:pPr>
        <w:pStyle w:val="BodyTextIndent"/>
        <w:spacing w:after="0"/>
        <w:ind w:left="0" w:right="16"/>
        <w:rPr>
          <w:sz w:val="20"/>
          <w:szCs w:val="20"/>
        </w:rPr>
      </w:pPr>
    </w:p>
    <w:p w14:paraId="67F462CE" w14:textId="77777777" w:rsidR="005604CD" w:rsidRDefault="005604CD" w:rsidP="00AD0134">
      <w:pPr>
        <w:pStyle w:val="BodyTextIndent"/>
        <w:spacing w:after="0"/>
        <w:ind w:left="0" w:right="16"/>
        <w:rPr>
          <w:sz w:val="20"/>
          <w:szCs w:val="20"/>
        </w:rPr>
      </w:pPr>
    </w:p>
    <w:p w14:paraId="257F6808" w14:textId="77777777" w:rsidR="005604CD" w:rsidRDefault="005604CD" w:rsidP="00AD0134">
      <w:pPr>
        <w:pStyle w:val="BodyTextIndent"/>
        <w:spacing w:after="0"/>
        <w:ind w:left="0" w:right="16"/>
        <w:rPr>
          <w:sz w:val="20"/>
          <w:szCs w:val="20"/>
        </w:rPr>
      </w:pPr>
    </w:p>
    <w:p w14:paraId="3E7777C6" w14:textId="77777777" w:rsidR="00490153" w:rsidRDefault="00490153" w:rsidP="005604CD">
      <w:pPr>
        <w:pStyle w:val="BodyTextIndent"/>
        <w:spacing w:before="120" w:after="0" w:line="223" w:lineRule="auto"/>
        <w:ind w:left="0"/>
        <w:contextualSpacing/>
        <w:rPr>
          <w:rFonts w:eastAsia="Arial Unicode MS"/>
          <w:b/>
          <w:sz w:val="20"/>
          <w:szCs w:val="20"/>
        </w:rPr>
      </w:pPr>
    </w:p>
    <w:p w14:paraId="53FC598F" w14:textId="77777777" w:rsidR="00647320" w:rsidRDefault="00647320">
      <w:pPr>
        <w:spacing w:after="200" w:line="276" w:lineRule="auto"/>
        <w:rPr>
          <w:rFonts w:eastAsia="Arial Unicode MS"/>
          <w:b/>
          <w:sz w:val="20"/>
          <w:szCs w:val="20"/>
        </w:rPr>
      </w:pPr>
      <w:r>
        <w:rPr>
          <w:rFonts w:eastAsia="Arial Unicode MS"/>
          <w:b/>
          <w:sz w:val="20"/>
          <w:szCs w:val="20"/>
        </w:rPr>
        <w:br w:type="page"/>
      </w:r>
    </w:p>
    <w:p w14:paraId="1B4D128C" w14:textId="5D8F7B02" w:rsidR="005604CD" w:rsidRPr="00604C75" w:rsidRDefault="00B27B7B" w:rsidP="005604CD">
      <w:pPr>
        <w:pStyle w:val="BodyTextIndent"/>
        <w:spacing w:before="120" w:after="0" w:line="223" w:lineRule="auto"/>
        <w:ind w:left="0"/>
        <w:contextualSpacing/>
        <w:rPr>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76CD4AC4" w14:textId="77777777" w:rsidR="005604CD" w:rsidRPr="00604C75" w:rsidRDefault="005604CD" w:rsidP="005604CD">
      <w:pPr>
        <w:pStyle w:val="BodyTextIndent"/>
        <w:spacing w:before="120" w:after="0" w:line="223" w:lineRule="auto"/>
        <w:ind w:left="0"/>
        <w:contextualSpacing/>
        <w:rPr>
          <w:sz w:val="20"/>
          <w:szCs w:val="20"/>
        </w:rPr>
      </w:pPr>
    </w:p>
    <w:p w14:paraId="3CBA2D1A" w14:textId="3555A828" w:rsidR="005604CD" w:rsidRPr="00604C75" w:rsidRDefault="005604CD" w:rsidP="005604CD">
      <w:pPr>
        <w:pStyle w:val="Heading2"/>
        <w:tabs>
          <w:tab w:val="left" w:pos="851"/>
        </w:tabs>
        <w:spacing w:before="0"/>
        <w:ind w:left="851" w:hanging="851"/>
        <w:rPr>
          <w:rFonts w:ascii="Times New Roman" w:hAnsi="Times New Roman"/>
          <w:cap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4D610780" w14:textId="77777777" w:rsidR="005604CD" w:rsidRPr="00604C75" w:rsidRDefault="005604CD" w:rsidP="005604CD">
      <w:pPr>
        <w:pStyle w:val="BodyTextIndent"/>
        <w:spacing w:after="0" w:line="120" w:lineRule="auto"/>
        <w:ind w:left="1701" w:hanging="425"/>
        <w:rPr>
          <w:sz w:val="20"/>
          <w:szCs w:val="20"/>
        </w:rPr>
      </w:pPr>
    </w:p>
    <w:p w14:paraId="1E69972A" w14:textId="77777777" w:rsidR="005604CD" w:rsidRPr="00604C75" w:rsidRDefault="005604CD" w:rsidP="00490153">
      <w:pPr>
        <w:pStyle w:val="BodyTextIndent"/>
        <w:tabs>
          <w:tab w:val="left" w:pos="567"/>
        </w:tabs>
        <w:ind w:left="1274" w:right="16" w:hanging="1274"/>
        <w:rPr>
          <w:b/>
          <w:sz w:val="20"/>
          <w:szCs w:val="20"/>
        </w:rPr>
      </w:pPr>
      <w:r w:rsidRPr="00604C75">
        <w:rPr>
          <w:b/>
          <w:sz w:val="20"/>
          <w:szCs w:val="20"/>
        </w:rPr>
        <w:t>h.</w:t>
      </w:r>
      <w:r w:rsidRPr="00604C75">
        <w:rPr>
          <w:b/>
          <w:sz w:val="20"/>
          <w:szCs w:val="20"/>
        </w:rPr>
        <w:tab/>
      </w:r>
      <w:r w:rsidRPr="00604C75">
        <w:rPr>
          <w:b/>
          <w:noProof/>
          <w:sz w:val="20"/>
          <w:szCs w:val="20"/>
        </w:rPr>
        <w:t>Information on subsidiaries (Net) (Continued)</w:t>
      </w:r>
    </w:p>
    <w:p w14:paraId="41708F9B" w14:textId="77777777" w:rsidR="005604CD" w:rsidRDefault="005604CD" w:rsidP="005604CD">
      <w:pPr>
        <w:pStyle w:val="BodyTextIndent"/>
        <w:spacing w:after="0"/>
        <w:ind w:left="0" w:right="16"/>
        <w:rPr>
          <w:sz w:val="20"/>
          <w:szCs w:val="20"/>
        </w:rPr>
      </w:pPr>
      <w:r w:rsidRPr="00604C75">
        <w:rPr>
          <w:sz w:val="20"/>
          <w:szCs w:val="20"/>
        </w:rPr>
        <w:t xml:space="preserve">3.        Information on consolidated subsidiaries </w:t>
      </w:r>
    </w:p>
    <w:p w14:paraId="16420EA5" w14:textId="77777777" w:rsidR="0044575F" w:rsidRPr="00604C75" w:rsidRDefault="0044575F" w:rsidP="00AD0134">
      <w:pPr>
        <w:pStyle w:val="BodyTextIndent"/>
        <w:spacing w:after="0"/>
        <w:ind w:left="0" w:right="16"/>
        <w:rPr>
          <w:sz w:val="20"/>
          <w:szCs w:val="20"/>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6"/>
        <w:gridCol w:w="4026"/>
        <w:gridCol w:w="1609"/>
        <w:gridCol w:w="1680"/>
        <w:gridCol w:w="1638"/>
      </w:tblGrid>
      <w:tr w:rsidR="006B23CD" w:rsidRPr="00195EDC" w14:paraId="1439FAAF" w14:textId="77777777" w:rsidTr="00AD726D">
        <w:trPr>
          <w:trHeight w:val="809"/>
        </w:trPr>
        <w:tc>
          <w:tcPr>
            <w:tcW w:w="426" w:type="dxa"/>
            <w:vAlign w:val="bottom"/>
          </w:tcPr>
          <w:p w14:paraId="7F38818A" w14:textId="77777777" w:rsidR="006B23CD" w:rsidRPr="00195EDC" w:rsidRDefault="006B23CD" w:rsidP="00AD0134">
            <w:pPr>
              <w:rPr>
                <w:b/>
                <w:sz w:val="18"/>
              </w:rPr>
            </w:pPr>
            <w:r w:rsidRPr="00604C75">
              <w:rPr>
                <w:b/>
                <w:sz w:val="18"/>
              </w:rPr>
              <w:t xml:space="preserve">    </w:t>
            </w:r>
            <w:r w:rsidRPr="00195EDC">
              <w:rPr>
                <w:b/>
                <w:sz w:val="18"/>
              </w:rPr>
              <w:t>No</w:t>
            </w:r>
          </w:p>
        </w:tc>
        <w:tc>
          <w:tcPr>
            <w:tcW w:w="4026" w:type="dxa"/>
            <w:vAlign w:val="bottom"/>
          </w:tcPr>
          <w:p w14:paraId="35CE94C7" w14:textId="77777777" w:rsidR="006B23CD" w:rsidRPr="00195EDC" w:rsidRDefault="00E74369" w:rsidP="00AD0134">
            <w:pPr>
              <w:rPr>
                <w:b/>
                <w:sz w:val="18"/>
              </w:rPr>
            </w:pPr>
            <w:r w:rsidRPr="00195EDC">
              <w:rPr>
                <w:b/>
                <w:sz w:val="18"/>
              </w:rPr>
              <w:t>Title</w:t>
            </w:r>
          </w:p>
        </w:tc>
        <w:tc>
          <w:tcPr>
            <w:tcW w:w="1609" w:type="dxa"/>
            <w:vAlign w:val="bottom"/>
          </w:tcPr>
          <w:p w14:paraId="512E63B1" w14:textId="77777777" w:rsidR="006B23CD" w:rsidRPr="00195EDC" w:rsidRDefault="006B23CD" w:rsidP="00AD0134">
            <w:pPr>
              <w:jc w:val="right"/>
              <w:rPr>
                <w:b/>
                <w:iCs/>
                <w:noProof/>
                <w:sz w:val="18"/>
                <w:szCs w:val="16"/>
              </w:rPr>
            </w:pPr>
            <w:r w:rsidRPr="00195EDC">
              <w:rPr>
                <w:b/>
                <w:noProof/>
                <w:sz w:val="18"/>
              </w:rPr>
              <w:t>Address (City/ Country)</w:t>
            </w:r>
          </w:p>
        </w:tc>
        <w:tc>
          <w:tcPr>
            <w:tcW w:w="1680" w:type="dxa"/>
            <w:vAlign w:val="bottom"/>
          </w:tcPr>
          <w:p w14:paraId="7BB36F7D" w14:textId="77777777" w:rsidR="006B23CD" w:rsidRPr="00195EDC" w:rsidRDefault="006B23CD" w:rsidP="00AD0134">
            <w:pPr>
              <w:jc w:val="right"/>
              <w:rPr>
                <w:rFonts w:eastAsia="Arial Unicode MS"/>
                <w:b/>
                <w:iCs/>
                <w:noProof/>
                <w:sz w:val="18"/>
                <w:szCs w:val="16"/>
              </w:rPr>
            </w:pPr>
            <w:r w:rsidRPr="00195EDC">
              <w:rPr>
                <w:b/>
                <w:bCs/>
                <w:noProof/>
                <w:sz w:val="18"/>
                <w:szCs w:val="18"/>
              </w:rPr>
              <w:t>Bank’s share percentage, if different voting percentage (%)</w:t>
            </w:r>
          </w:p>
        </w:tc>
        <w:tc>
          <w:tcPr>
            <w:tcW w:w="1638" w:type="dxa"/>
            <w:vAlign w:val="bottom"/>
          </w:tcPr>
          <w:p w14:paraId="2DC907B8" w14:textId="77777777" w:rsidR="006B23CD" w:rsidRPr="00195EDC" w:rsidRDefault="006B23CD" w:rsidP="00AD0134">
            <w:pPr>
              <w:ind w:right="44"/>
              <w:jc w:val="right"/>
              <w:rPr>
                <w:b/>
                <w:bCs/>
                <w:sz w:val="18"/>
                <w:szCs w:val="18"/>
              </w:rPr>
            </w:pPr>
            <w:r w:rsidRPr="00195EDC">
              <w:rPr>
                <w:b/>
                <w:bCs/>
                <w:sz w:val="18"/>
                <w:szCs w:val="18"/>
              </w:rPr>
              <w:t>Bank’s Risk Group Share (%)</w:t>
            </w:r>
          </w:p>
        </w:tc>
      </w:tr>
      <w:tr w:rsidR="00FD4760" w:rsidRPr="00195EDC" w14:paraId="1BE36E84" w14:textId="77777777" w:rsidTr="00AD726D">
        <w:trPr>
          <w:trHeight w:val="203"/>
        </w:trPr>
        <w:tc>
          <w:tcPr>
            <w:tcW w:w="426" w:type="dxa"/>
            <w:vAlign w:val="bottom"/>
          </w:tcPr>
          <w:p w14:paraId="0F52C114" w14:textId="77777777" w:rsidR="00FD4760" w:rsidRPr="00195EDC" w:rsidRDefault="00FD4760" w:rsidP="00AD0134">
            <w:pPr>
              <w:pStyle w:val="xl79"/>
              <w:pBdr>
                <w:left w:val="none" w:sz="0" w:space="0" w:color="auto"/>
                <w:bottom w:val="none" w:sz="0" w:space="0" w:color="auto"/>
                <w:right w:val="none" w:sz="0" w:space="0" w:color="auto"/>
              </w:pBdr>
              <w:spacing w:before="0" w:after="0"/>
              <w:jc w:val="center"/>
            </w:pPr>
            <w:r w:rsidRPr="00195EDC">
              <w:t>1</w:t>
            </w:r>
          </w:p>
        </w:tc>
        <w:tc>
          <w:tcPr>
            <w:tcW w:w="4026" w:type="dxa"/>
            <w:vAlign w:val="bottom"/>
          </w:tcPr>
          <w:p w14:paraId="74C5C3E6" w14:textId="77777777" w:rsidR="00FD4760" w:rsidRPr="00195EDC" w:rsidRDefault="00FD4760" w:rsidP="00AD0134">
            <w:pPr>
              <w:pStyle w:val="xl79"/>
              <w:pBdr>
                <w:left w:val="none" w:sz="0" w:space="0" w:color="auto"/>
                <w:bottom w:val="none" w:sz="0" w:space="0" w:color="auto"/>
                <w:right w:val="none" w:sz="0" w:space="0" w:color="auto"/>
              </w:pBdr>
              <w:spacing w:before="0" w:after="0"/>
            </w:pPr>
            <w:r w:rsidRPr="00195EDC">
              <w:t>Alternatif Yatırım A.Ş.</w:t>
            </w:r>
          </w:p>
        </w:tc>
        <w:tc>
          <w:tcPr>
            <w:tcW w:w="1609" w:type="dxa"/>
            <w:vAlign w:val="bottom"/>
          </w:tcPr>
          <w:p w14:paraId="61F95221" w14:textId="77777777" w:rsidR="00FD4760" w:rsidRPr="00195EDC" w:rsidRDefault="00FD4760" w:rsidP="00AD0134">
            <w:pPr>
              <w:pStyle w:val="xl79"/>
              <w:pBdr>
                <w:left w:val="none" w:sz="0" w:space="0" w:color="auto"/>
                <w:bottom w:val="none" w:sz="0" w:space="0" w:color="auto"/>
                <w:right w:val="none" w:sz="0" w:space="0" w:color="auto"/>
              </w:pBdr>
              <w:spacing w:before="0" w:after="0"/>
              <w:ind w:right="43"/>
              <w:jc w:val="right"/>
            </w:pPr>
            <w:r w:rsidRPr="00195EDC">
              <w:t>İstanbul/Türkiye</w:t>
            </w:r>
          </w:p>
        </w:tc>
        <w:tc>
          <w:tcPr>
            <w:tcW w:w="1680" w:type="dxa"/>
            <w:vAlign w:val="bottom"/>
          </w:tcPr>
          <w:p w14:paraId="34D09454" w14:textId="77777777" w:rsidR="00FD4760" w:rsidRPr="00195EDC" w:rsidRDefault="00FD4760" w:rsidP="001921C0">
            <w:pPr>
              <w:tabs>
                <w:tab w:val="left" w:pos="0"/>
              </w:tabs>
              <w:ind w:right="43"/>
              <w:jc w:val="right"/>
              <w:rPr>
                <w:sz w:val="18"/>
                <w:szCs w:val="18"/>
              </w:rPr>
            </w:pPr>
            <w:r w:rsidRPr="00195EDC">
              <w:rPr>
                <w:sz w:val="18"/>
                <w:szCs w:val="18"/>
              </w:rPr>
              <w:t>100.00</w:t>
            </w:r>
          </w:p>
        </w:tc>
        <w:tc>
          <w:tcPr>
            <w:tcW w:w="1638" w:type="dxa"/>
            <w:vAlign w:val="bottom"/>
          </w:tcPr>
          <w:p w14:paraId="40D73A46" w14:textId="77777777" w:rsidR="00FD4760" w:rsidRPr="00195EDC" w:rsidRDefault="00FD4760" w:rsidP="001921C0">
            <w:pPr>
              <w:tabs>
                <w:tab w:val="left" w:pos="0"/>
              </w:tabs>
              <w:ind w:right="43"/>
              <w:jc w:val="right"/>
              <w:rPr>
                <w:sz w:val="18"/>
                <w:szCs w:val="18"/>
              </w:rPr>
            </w:pPr>
            <w:r w:rsidRPr="00195EDC">
              <w:rPr>
                <w:sz w:val="18"/>
                <w:szCs w:val="18"/>
              </w:rPr>
              <w:t>100.00</w:t>
            </w:r>
          </w:p>
        </w:tc>
      </w:tr>
      <w:tr w:rsidR="00FD4760" w:rsidRPr="00604C75" w14:paraId="0267FAD2" w14:textId="77777777" w:rsidTr="00AD726D">
        <w:trPr>
          <w:trHeight w:val="203"/>
        </w:trPr>
        <w:tc>
          <w:tcPr>
            <w:tcW w:w="426" w:type="dxa"/>
            <w:vAlign w:val="bottom"/>
          </w:tcPr>
          <w:p w14:paraId="7F1384AF" w14:textId="5AA8FCA7" w:rsidR="00FD4760" w:rsidRPr="00195EDC" w:rsidRDefault="00FD0C7A" w:rsidP="00FD0C7A">
            <w:pPr>
              <w:pStyle w:val="xl79"/>
              <w:pBdr>
                <w:left w:val="none" w:sz="0" w:space="0" w:color="auto"/>
                <w:bottom w:val="none" w:sz="0" w:space="0" w:color="auto"/>
                <w:right w:val="none" w:sz="0" w:space="0" w:color="auto"/>
              </w:pBdr>
              <w:jc w:val="center"/>
            </w:pPr>
            <w:r>
              <w:t>2</w:t>
            </w:r>
          </w:p>
        </w:tc>
        <w:tc>
          <w:tcPr>
            <w:tcW w:w="4026" w:type="dxa"/>
            <w:vAlign w:val="bottom"/>
          </w:tcPr>
          <w:p w14:paraId="2AD61966" w14:textId="77777777" w:rsidR="00FD4760" w:rsidRPr="00195EDC" w:rsidRDefault="00FD4760" w:rsidP="00AD0134">
            <w:pPr>
              <w:rPr>
                <w:sz w:val="18"/>
                <w:szCs w:val="18"/>
                <w:lang w:val="de-DE"/>
              </w:rPr>
            </w:pPr>
            <w:r w:rsidRPr="00195EDC">
              <w:rPr>
                <w:sz w:val="18"/>
                <w:szCs w:val="18"/>
                <w:lang w:val="de-DE"/>
              </w:rPr>
              <w:t>Alternatif Finansal Kiralama A.Ş.</w:t>
            </w:r>
          </w:p>
        </w:tc>
        <w:tc>
          <w:tcPr>
            <w:tcW w:w="1609" w:type="dxa"/>
          </w:tcPr>
          <w:p w14:paraId="72992037" w14:textId="77777777" w:rsidR="00FD4760" w:rsidRPr="00195EDC" w:rsidRDefault="00FD4760" w:rsidP="00AD0134">
            <w:pPr>
              <w:ind w:right="43"/>
              <w:jc w:val="right"/>
              <w:rPr>
                <w:sz w:val="18"/>
                <w:szCs w:val="18"/>
              </w:rPr>
            </w:pPr>
            <w:r w:rsidRPr="00195EDC">
              <w:rPr>
                <w:sz w:val="18"/>
                <w:szCs w:val="18"/>
              </w:rPr>
              <w:t>İstanbul/</w:t>
            </w:r>
            <w:proofErr w:type="spellStart"/>
            <w:r w:rsidRPr="00195EDC">
              <w:rPr>
                <w:sz w:val="18"/>
                <w:szCs w:val="18"/>
              </w:rPr>
              <w:t>Türkiye</w:t>
            </w:r>
            <w:proofErr w:type="spellEnd"/>
          </w:p>
        </w:tc>
        <w:tc>
          <w:tcPr>
            <w:tcW w:w="1680" w:type="dxa"/>
            <w:vAlign w:val="bottom"/>
          </w:tcPr>
          <w:p w14:paraId="7775C6BA" w14:textId="77777777" w:rsidR="00FD4760" w:rsidRPr="00195EDC" w:rsidRDefault="00FD4760" w:rsidP="001921C0">
            <w:pPr>
              <w:tabs>
                <w:tab w:val="left" w:pos="0"/>
              </w:tabs>
              <w:ind w:right="43"/>
              <w:jc w:val="right"/>
              <w:rPr>
                <w:sz w:val="18"/>
                <w:szCs w:val="18"/>
              </w:rPr>
            </w:pPr>
            <w:r w:rsidRPr="00195EDC">
              <w:rPr>
                <w:sz w:val="18"/>
                <w:szCs w:val="18"/>
              </w:rPr>
              <w:t>99.99</w:t>
            </w:r>
          </w:p>
        </w:tc>
        <w:tc>
          <w:tcPr>
            <w:tcW w:w="1638" w:type="dxa"/>
            <w:vAlign w:val="bottom"/>
          </w:tcPr>
          <w:p w14:paraId="7C55CB5F" w14:textId="77777777" w:rsidR="00FD4760" w:rsidRPr="00195EDC" w:rsidRDefault="00FD4760" w:rsidP="001921C0">
            <w:pPr>
              <w:tabs>
                <w:tab w:val="left" w:pos="0"/>
              </w:tabs>
              <w:ind w:right="43"/>
              <w:jc w:val="right"/>
              <w:rPr>
                <w:sz w:val="18"/>
                <w:szCs w:val="18"/>
              </w:rPr>
            </w:pPr>
            <w:r w:rsidRPr="00195EDC">
              <w:rPr>
                <w:sz w:val="18"/>
                <w:szCs w:val="18"/>
              </w:rPr>
              <w:t>99.99</w:t>
            </w:r>
          </w:p>
        </w:tc>
      </w:tr>
    </w:tbl>
    <w:p w14:paraId="6A0DEEC7" w14:textId="77777777" w:rsidR="0068281C" w:rsidRPr="00604C75" w:rsidRDefault="00870205" w:rsidP="00547CEE">
      <w:pPr>
        <w:pStyle w:val="BodyTextIndent"/>
        <w:spacing w:before="120" w:after="0" w:line="223" w:lineRule="auto"/>
        <w:ind w:left="0"/>
        <w:contextualSpacing/>
        <w:rPr>
          <w:b/>
          <w:bCs/>
          <w:sz w:val="20"/>
          <w:szCs w:val="20"/>
        </w:rPr>
      </w:pPr>
      <w:r w:rsidRPr="00604C75">
        <w:rPr>
          <w:sz w:val="20"/>
          <w:szCs w:val="20"/>
        </w:rPr>
        <w:t>Main financial figures of the consolidated subsidiaries in the order of the above table</w:t>
      </w:r>
    </w:p>
    <w:p w14:paraId="338E33BE" w14:textId="77777777" w:rsidR="0068281C" w:rsidRPr="00604C75" w:rsidRDefault="0068281C">
      <w:pPr>
        <w:pStyle w:val="BodyTextIndent"/>
        <w:spacing w:after="0" w:line="223" w:lineRule="auto"/>
        <w:ind w:left="1701"/>
        <w:contextualSpacing/>
        <w:rPr>
          <w:rStyle w:val="hps"/>
          <w:color w:val="222222"/>
          <w:sz w:val="20"/>
          <w:szCs w:val="20"/>
        </w:rPr>
      </w:pPr>
    </w:p>
    <w:tbl>
      <w:tblPr>
        <w:tblW w:w="9289" w:type="dxa"/>
        <w:tblInd w:w="5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00" w:firstRow="0" w:lastRow="0" w:firstColumn="0" w:lastColumn="0" w:noHBand="0" w:noVBand="0"/>
      </w:tblPr>
      <w:tblGrid>
        <w:gridCol w:w="508"/>
        <w:gridCol w:w="1285"/>
        <w:gridCol w:w="1296"/>
        <w:gridCol w:w="882"/>
        <w:gridCol w:w="1003"/>
        <w:gridCol w:w="1238"/>
        <w:gridCol w:w="1103"/>
        <w:gridCol w:w="1021"/>
        <w:gridCol w:w="953"/>
      </w:tblGrid>
      <w:tr w:rsidR="00D640E2" w:rsidRPr="00604C75" w14:paraId="4CF1DF57" w14:textId="77777777" w:rsidTr="002F68B1">
        <w:trPr>
          <w:trHeight w:val="297"/>
        </w:trPr>
        <w:tc>
          <w:tcPr>
            <w:tcW w:w="508" w:type="dxa"/>
            <w:shd w:val="clear" w:color="auto" w:fill="auto"/>
            <w:vAlign w:val="bottom"/>
          </w:tcPr>
          <w:p w14:paraId="7163DCA2" w14:textId="77777777" w:rsidR="006B23CD" w:rsidRPr="00604C75" w:rsidRDefault="006B23CD" w:rsidP="002F68B1">
            <w:pPr>
              <w:spacing w:line="223" w:lineRule="auto"/>
              <w:ind w:right="72"/>
              <w:jc w:val="center"/>
              <w:rPr>
                <w:b/>
                <w:bCs/>
                <w:sz w:val="18"/>
                <w:szCs w:val="18"/>
              </w:rPr>
            </w:pPr>
            <w:r w:rsidRPr="00604C75">
              <w:rPr>
                <w:b/>
                <w:sz w:val="18"/>
                <w:szCs w:val="18"/>
              </w:rPr>
              <w:t>No</w:t>
            </w:r>
          </w:p>
        </w:tc>
        <w:tc>
          <w:tcPr>
            <w:tcW w:w="1285" w:type="dxa"/>
            <w:shd w:val="clear" w:color="auto" w:fill="auto"/>
            <w:vAlign w:val="bottom"/>
          </w:tcPr>
          <w:p w14:paraId="385BB012" w14:textId="77777777" w:rsidR="002F68B1" w:rsidRDefault="006B23CD" w:rsidP="000431DD">
            <w:pPr>
              <w:spacing w:line="206" w:lineRule="auto"/>
              <w:contextualSpacing/>
              <w:jc w:val="right"/>
              <w:rPr>
                <w:b/>
                <w:noProof/>
                <w:sz w:val="18"/>
                <w:szCs w:val="18"/>
              </w:rPr>
            </w:pPr>
            <w:r w:rsidRPr="00604C75">
              <w:rPr>
                <w:b/>
                <w:noProof/>
                <w:sz w:val="18"/>
                <w:szCs w:val="18"/>
              </w:rPr>
              <w:t>Total</w:t>
            </w:r>
          </w:p>
          <w:p w14:paraId="1F14202D" w14:textId="7BB6521A" w:rsidR="006B23CD" w:rsidRPr="00604C75" w:rsidRDefault="006B23CD" w:rsidP="000431DD">
            <w:pPr>
              <w:spacing w:line="206" w:lineRule="auto"/>
              <w:contextualSpacing/>
              <w:jc w:val="right"/>
              <w:rPr>
                <w:b/>
                <w:bCs/>
                <w:iCs/>
                <w:noProof/>
                <w:sz w:val="18"/>
              </w:rPr>
            </w:pPr>
            <w:r w:rsidRPr="00604C75">
              <w:rPr>
                <w:b/>
                <w:noProof/>
                <w:sz w:val="18"/>
                <w:szCs w:val="18"/>
              </w:rPr>
              <w:t>Assets</w:t>
            </w:r>
          </w:p>
        </w:tc>
        <w:tc>
          <w:tcPr>
            <w:tcW w:w="1296" w:type="dxa"/>
            <w:shd w:val="clear" w:color="auto" w:fill="auto"/>
            <w:vAlign w:val="bottom"/>
          </w:tcPr>
          <w:p w14:paraId="6223126C" w14:textId="77777777" w:rsidR="006B23CD" w:rsidRPr="00604C75" w:rsidRDefault="006B23CD" w:rsidP="000431DD">
            <w:pPr>
              <w:spacing w:line="206" w:lineRule="auto"/>
              <w:contextualSpacing/>
              <w:jc w:val="right"/>
              <w:rPr>
                <w:b/>
                <w:bCs/>
                <w:iCs/>
                <w:noProof/>
                <w:sz w:val="18"/>
              </w:rPr>
            </w:pPr>
            <w:r w:rsidRPr="00604C75">
              <w:rPr>
                <w:b/>
                <w:bCs/>
                <w:iCs/>
                <w:noProof/>
                <w:sz w:val="18"/>
              </w:rPr>
              <w:t>Shareholders’ Equity</w:t>
            </w:r>
          </w:p>
        </w:tc>
        <w:tc>
          <w:tcPr>
            <w:tcW w:w="882" w:type="dxa"/>
            <w:shd w:val="clear" w:color="auto" w:fill="auto"/>
            <w:vAlign w:val="bottom"/>
          </w:tcPr>
          <w:p w14:paraId="76869C49" w14:textId="77777777" w:rsidR="006B23CD" w:rsidRPr="00604C75" w:rsidRDefault="006B23CD" w:rsidP="000431DD">
            <w:pPr>
              <w:pStyle w:val="xl79"/>
              <w:pBdr>
                <w:left w:val="none" w:sz="0" w:space="0" w:color="auto"/>
                <w:bottom w:val="none" w:sz="0" w:space="0" w:color="auto"/>
                <w:right w:val="none" w:sz="0" w:space="0" w:color="auto"/>
              </w:pBdr>
              <w:spacing w:before="0" w:beforeAutospacing="0" w:after="0" w:afterAutospacing="0" w:line="206" w:lineRule="auto"/>
              <w:contextualSpacing/>
              <w:jc w:val="right"/>
              <w:rPr>
                <w:rFonts w:eastAsia="Times New Roman"/>
                <w:b/>
                <w:bCs/>
                <w:iCs/>
                <w:noProof/>
                <w:szCs w:val="24"/>
              </w:rPr>
            </w:pPr>
            <w:r w:rsidRPr="00604C75">
              <w:rPr>
                <w:rFonts w:eastAsia="Times New Roman"/>
                <w:b/>
                <w:bCs/>
                <w:iCs/>
                <w:noProof/>
                <w:szCs w:val="24"/>
              </w:rPr>
              <w:t>Total Fixed Assets</w:t>
            </w:r>
          </w:p>
        </w:tc>
        <w:tc>
          <w:tcPr>
            <w:tcW w:w="1003" w:type="dxa"/>
            <w:shd w:val="clear" w:color="auto" w:fill="auto"/>
            <w:vAlign w:val="bottom"/>
          </w:tcPr>
          <w:p w14:paraId="2526A1AB" w14:textId="77777777" w:rsidR="006B23CD" w:rsidRPr="00604C75" w:rsidRDefault="006B23CD" w:rsidP="000431DD">
            <w:pPr>
              <w:spacing w:line="206" w:lineRule="auto"/>
              <w:contextualSpacing/>
              <w:jc w:val="right"/>
              <w:rPr>
                <w:b/>
                <w:bCs/>
                <w:iCs/>
                <w:noProof/>
                <w:sz w:val="18"/>
              </w:rPr>
            </w:pPr>
            <w:r w:rsidRPr="00604C75">
              <w:rPr>
                <w:b/>
                <w:noProof/>
                <w:sz w:val="18"/>
                <w:szCs w:val="18"/>
              </w:rPr>
              <w:t>Interest Income</w:t>
            </w:r>
          </w:p>
        </w:tc>
        <w:tc>
          <w:tcPr>
            <w:tcW w:w="1238" w:type="dxa"/>
            <w:shd w:val="clear" w:color="auto" w:fill="auto"/>
            <w:vAlign w:val="bottom"/>
          </w:tcPr>
          <w:p w14:paraId="5614EE6B" w14:textId="77777777" w:rsidR="006B23CD" w:rsidRPr="00604C75" w:rsidRDefault="006B23CD" w:rsidP="000431DD">
            <w:pPr>
              <w:spacing w:line="206" w:lineRule="auto"/>
              <w:contextualSpacing/>
              <w:jc w:val="right"/>
              <w:rPr>
                <w:b/>
                <w:bCs/>
                <w:iCs/>
                <w:noProof/>
                <w:sz w:val="18"/>
              </w:rPr>
            </w:pPr>
            <w:r w:rsidRPr="00604C75">
              <w:rPr>
                <w:b/>
                <w:noProof/>
                <w:sz w:val="18"/>
                <w:szCs w:val="18"/>
              </w:rPr>
              <w:t>Income from Marketable Securities Portfolio</w:t>
            </w:r>
          </w:p>
        </w:tc>
        <w:tc>
          <w:tcPr>
            <w:tcW w:w="1103" w:type="dxa"/>
            <w:shd w:val="clear" w:color="auto" w:fill="auto"/>
            <w:vAlign w:val="bottom"/>
          </w:tcPr>
          <w:p w14:paraId="7C0B5BC7" w14:textId="77777777" w:rsidR="006B23CD" w:rsidRPr="00604C75" w:rsidRDefault="006B23CD" w:rsidP="000431DD">
            <w:pPr>
              <w:spacing w:line="206" w:lineRule="auto"/>
              <w:contextualSpacing/>
              <w:jc w:val="right"/>
              <w:rPr>
                <w:rFonts w:eastAsia="Arial Unicode MS"/>
                <w:b/>
                <w:noProof/>
                <w:sz w:val="18"/>
                <w:szCs w:val="18"/>
              </w:rPr>
            </w:pPr>
            <w:r w:rsidRPr="00604C75">
              <w:rPr>
                <w:b/>
                <w:noProof/>
                <w:sz w:val="18"/>
                <w:szCs w:val="18"/>
              </w:rPr>
              <w:t>Current Period Profit / Loss</w:t>
            </w:r>
          </w:p>
        </w:tc>
        <w:tc>
          <w:tcPr>
            <w:tcW w:w="1021" w:type="dxa"/>
            <w:shd w:val="clear" w:color="auto" w:fill="auto"/>
            <w:vAlign w:val="bottom"/>
          </w:tcPr>
          <w:p w14:paraId="5ACCEA7C" w14:textId="77777777" w:rsidR="006B23CD" w:rsidRPr="00604C75" w:rsidRDefault="006B23CD" w:rsidP="000431DD">
            <w:pPr>
              <w:spacing w:line="206" w:lineRule="auto"/>
              <w:contextualSpacing/>
              <w:jc w:val="right"/>
              <w:rPr>
                <w:rFonts w:eastAsia="Arial Unicode MS"/>
                <w:b/>
                <w:noProof/>
                <w:sz w:val="18"/>
                <w:szCs w:val="18"/>
              </w:rPr>
            </w:pPr>
            <w:r w:rsidRPr="00604C75">
              <w:rPr>
                <w:b/>
                <w:noProof/>
                <w:sz w:val="18"/>
                <w:szCs w:val="18"/>
              </w:rPr>
              <w:t>Prior Period Profit / Loss</w:t>
            </w:r>
          </w:p>
        </w:tc>
        <w:tc>
          <w:tcPr>
            <w:tcW w:w="953" w:type="dxa"/>
            <w:shd w:val="clear" w:color="auto" w:fill="auto"/>
            <w:vAlign w:val="bottom"/>
          </w:tcPr>
          <w:p w14:paraId="024C875E" w14:textId="77777777" w:rsidR="006B23CD" w:rsidRPr="00604C75" w:rsidRDefault="006B23CD" w:rsidP="000431DD">
            <w:pPr>
              <w:spacing w:line="206" w:lineRule="auto"/>
              <w:contextualSpacing/>
              <w:jc w:val="right"/>
              <w:rPr>
                <w:rFonts w:eastAsia="Arial Unicode MS"/>
                <w:b/>
                <w:noProof/>
                <w:sz w:val="18"/>
                <w:szCs w:val="18"/>
              </w:rPr>
            </w:pPr>
            <w:r w:rsidRPr="00604C75">
              <w:rPr>
                <w:b/>
                <w:noProof/>
                <w:sz w:val="18"/>
                <w:szCs w:val="18"/>
              </w:rPr>
              <w:t xml:space="preserve">Fair </w:t>
            </w:r>
            <w:r w:rsidR="00F76A81" w:rsidRPr="00604C75">
              <w:rPr>
                <w:b/>
                <w:noProof/>
                <w:sz w:val="18"/>
                <w:szCs w:val="18"/>
              </w:rPr>
              <w:t>V</w:t>
            </w:r>
            <w:r w:rsidRPr="00604C75">
              <w:rPr>
                <w:b/>
                <w:noProof/>
                <w:sz w:val="18"/>
                <w:szCs w:val="18"/>
              </w:rPr>
              <w:t>alue</w:t>
            </w:r>
          </w:p>
        </w:tc>
      </w:tr>
      <w:tr w:rsidR="00224102" w:rsidRPr="00604C75" w14:paraId="7FCD64B2" w14:textId="77777777" w:rsidTr="002F68B1">
        <w:trPr>
          <w:trHeight w:val="124"/>
        </w:trPr>
        <w:tc>
          <w:tcPr>
            <w:tcW w:w="508" w:type="dxa"/>
            <w:shd w:val="clear" w:color="auto" w:fill="auto"/>
            <w:vAlign w:val="bottom"/>
          </w:tcPr>
          <w:p w14:paraId="7611DD4D" w14:textId="77777777" w:rsidR="00224102" w:rsidRPr="00604C75" w:rsidRDefault="00224102" w:rsidP="002F68B1">
            <w:pPr>
              <w:spacing w:line="223" w:lineRule="auto"/>
              <w:ind w:right="72"/>
              <w:jc w:val="center"/>
              <w:rPr>
                <w:rFonts w:eastAsia="Arial Unicode MS"/>
                <w:sz w:val="18"/>
                <w:szCs w:val="18"/>
              </w:rPr>
            </w:pPr>
            <w:r w:rsidRPr="00604C75">
              <w:rPr>
                <w:rFonts w:eastAsia="Arial Unicode MS"/>
                <w:sz w:val="18"/>
                <w:szCs w:val="18"/>
              </w:rPr>
              <w:t>1</w:t>
            </w:r>
          </w:p>
        </w:tc>
        <w:tc>
          <w:tcPr>
            <w:tcW w:w="1285" w:type="dxa"/>
            <w:shd w:val="clear" w:color="auto" w:fill="auto"/>
            <w:vAlign w:val="bottom"/>
          </w:tcPr>
          <w:p w14:paraId="2663DBDE" w14:textId="4A1EB0C8" w:rsidR="00224102" w:rsidRDefault="00224102" w:rsidP="00224102">
            <w:pPr>
              <w:jc w:val="right"/>
              <w:rPr>
                <w:sz w:val="18"/>
                <w:szCs w:val="18"/>
              </w:rPr>
            </w:pPr>
            <w:r>
              <w:rPr>
                <w:sz w:val="18"/>
                <w:szCs w:val="18"/>
              </w:rPr>
              <w:t>24,444</w:t>
            </w:r>
          </w:p>
        </w:tc>
        <w:tc>
          <w:tcPr>
            <w:tcW w:w="1296" w:type="dxa"/>
            <w:shd w:val="clear" w:color="auto" w:fill="auto"/>
            <w:vAlign w:val="bottom"/>
          </w:tcPr>
          <w:p w14:paraId="5FF6A817" w14:textId="0091806A" w:rsidR="00224102" w:rsidRDefault="00224102" w:rsidP="00224102">
            <w:pPr>
              <w:jc w:val="right"/>
              <w:rPr>
                <w:sz w:val="18"/>
                <w:szCs w:val="18"/>
              </w:rPr>
            </w:pPr>
            <w:r>
              <w:rPr>
                <w:sz w:val="18"/>
                <w:szCs w:val="18"/>
              </w:rPr>
              <w:t>20,612</w:t>
            </w:r>
          </w:p>
        </w:tc>
        <w:tc>
          <w:tcPr>
            <w:tcW w:w="882" w:type="dxa"/>
            <w:shd w:val="clear" w:color="auto" w:fill="auto"/>
            <w:vAlign w:val="bottom"/>
          </w:tcPr>
          <w:p w14:paraId="149B6F65" w14:textId="0FB83E80" w:rsidR="00224102" w:rsidRDefault="00224102" w:rsidP="00224102">
            <w:pPr>
              <w:jc w:val="right"/>
              <w:rPr>
                <w:sz w:val="18"/>
                <w:szCs w:val="18"/>
              </w:rPr>
            </w:pPr>
            <w:r>
              <w:rPr>
                <w:sz w:val="18"/>
                <w:szCs w:val="18"/>
              </w:rPr>
              <w:t>650</w:t>
            </w:r>
          </w:p>
        </w:tc>
        <w:tc>
          <w:tcPr>
            <w:tcW w:w="1003" w:type="dxa"/>
            <w:shd w:val="clear" w:color="auto" w:fill="auto"/>
            <w:vAlign w:val="bottom"/>
          </w:tcPr>
          <w:p w14:paraId="2A0D44E4" w14:textId="518A48C2" w:rsidR="00224102" w:rsidRDefault="00224102" w:rsidP="00224102">
            <w:pPr>
              <w:jc w:val="right"/>
              <w:rPr>
                <w:sz w:val="18"/>
                <w:szCs w:val="18"/>
              </w:rPr>
            </w:pPr>
            <w:r>
              <w:rPr>
                <w:sz w:val="18"/>
                <w:szCs w:val="18"/>
              </w:rPr>
              <w:t>3,082</w:t>
            </w:r>
          </w:p>
        </w:tc>
        <w:tc>
          <w:tcPr>
            <w:tcW w:w="1238" w:type="dxa"/>
            <w:shd w:val="clear" w:color="auto" w:fill="auto"/>
            <w:vAlign w:val="bottom"/>
          </w:tcPr>
          <w:p w14:paraId="5A18B871" w14:textId="07809451" w:rsidR="00224102" w:rsidRDefault="00224102" w:rsidP="00224102">
            <w:pPr>
              <w:jc w:val="right"/>
              <w:rPr>
                <w:sz w:val="18"/>
                <w:szCs w:val="18"/>
              </w:rPr>
            </w:pPr>
            <w:r>
              <w:rPr>
                <w:sz w:val="18"/>
                <w:szCs w:val="18"/>
              </w:rPr>
              <w:t>394</w:t>
            </w:r>
          </w:p>
        </w:tc>
        <w:tc>
          <w:tcPr>
            <w:tcW w:w="1103" w:type="dxa"/>
            <w:shd w:val="clear" w:color="auto" w:fill="auto"/>
            <w:vAlign w:val="bottom"/>
          </w:tcPr>
          <w:p w14:paraId="0168AA2F" w14:textId="604580AF" w:rsidR="00224102" w:rsidRDefault="00224102" w:rsidP="00224102">
            <w:pPr>
              <w:jc w:val="right"/>
              <w:rPr>
                <w:sz w:val="18"/>
                <w:szCs w:val="18"/>
              </w:rPr>
            </w:pPr>
            <w:r>
              <w:rPr>
                <w:sz w:val="18"/>
                <w:szCs w:val="18"/>
              </w:rPr>
              <w:t>(4,453)</w:t>
            </w:r>
          </w:p>
        </w:tc>
        <w:tc>
          <w:tcPr>
            <w:tcW w:w="1021" w:type="dxa"/>
            <w:shd w:val="clear" w:color="auto" w:fill="auto"/>
            <w:vAlign w:val="bottom"/>
          </w:tcPr>
          <w:p w14:paraId="27558C77" w14:textId="2C90CB67" w:rsidR="00224102" w:rsidRDefault="00224102" w:rsidP="00224102">
            <w:pPr>
              <w:jc w:val="right"/>
              <w:rPr>
                <w:sz w:val="18"/>
                <w:szCs w:val="18"/>
              </w:rPr>
            </w:pPr>
            <w:r>
              <w:rPr>
                <w:sz w:val="18"/>
                <w:szCs w:val="18"/>
              </w:rPr>
              <w:t>(2,415)</w:t>
            </w:r>
          </w:p>
        </w:tc>
        <w:tc>
          <w:tcPr>
            <w:tcW w:w="953" w:type="dxa"/>
            <w:shd w:val="clear" w:color="auto" w:fill="auto"/>
            <w:vAlign w:val="bottom"/>
          </w:tcPr>
          <w:p w14:paraId="17FA7E56" w14:textId="7F152568" w:rsidR="00224102" w:rsidRDefault="00224102" w:rsidP="00224102">
            <w:pPr>
              <w:tabs>
                <w:tab w:val="left" w:pos="0"/>
                <w:tab w:val="left" w:pos="1418"/>
              </w:tabs>
              <w:jc w:val="right"/>
              <w:rPr>
                <w:sz w:val="18"/>
                <w:szCs w:val="18"/>
              </w:rPr>
            </w:pPr>
            <w:r>
              <w:rPr>
                <w:sz w:val="18"/>
                <w:szCs w:val="18"/>
              </w:rPr>
              <w:t>-</w:t>
            </w:r>
          </w:p>
        </w:tc>
      </w:tr>
      <w:tr w:rsidR="00224102" w:rsidRPr="00604C75" w14:paraId="07EF1D24" w14:textId="77777777" w:rsidTr="002F68B1">
        <w:trPr>
          <w:trHeight w:val="130"/>
        </w:trPr>
        <w:tc>
          <w:tcPr>
            <w:tcW w:w="508" w:type="dxa"/>
            <w:shd w:val="clear" w:color="auto" w:fill="auto"/>
            <w:vAlign w:val="bottom"/>
          </w:tcPr>
          <w:p w14:paraId="059CF2BF" w14:textId="77777777" w:rsidR="00224102" w:rsidRPr="00604C75" w:rsidRDefault="00224102" w:rsidP="002F68B1">
            <w:pPr>
              <w:spacing w:line="223" w:lineRule="auto"/>
              <w:ind w:right="72"/>
              <w:jc w:val="center"/>
              <w:rPr>
                <w:rFonts w:eastAsia="Arial Unicode MS"/>
                <w:sz w:val="18"/>
                <w:szCs w:val="18"/>
              </w:rPr>
            </w:pPr>
            <w:r w:rsidRPr="00604C75">
              <w:rPr>
                <w:rFonts w:eastAsia="Arial Unicode MS"/>
                <w:sz w:val="18"/>
                <w:szCs w:val="18"/>
              </w:rPr>
              <w:t>2</w:t>
            </w:r>
          </w:p>
        </w:tc>
        <w:tc>
          <w:tcPr>
            <w:tcW w:w="1285" w:type="dxa"/>
            <w:shd w:val="clear" w:color="auto" w:fill="auto"/>
            <w:vAlign w:val="bottom"/>
          </w:tcPr>
          <w:p w14:paraId="71193ECF" w14:textId="2E5C28CD" w:rsidR="00224102" w:rsidRDefault="00224102" w:rsidP="00224102">
            <w:pPr>
              <w:jc w:val="right"/>
              <w:rPr>
                <w:sz w:val="18"/>
                <w:szCs w:val="18"/>
              </w:rPr>
            </w:pPr>
            <w:r>
              <w:rPr>
                <w:sz w:val="18"/>
                <w:szCs w:val="18"/>
              </w:rPr>
              <w:t>1,110,099</w:t>
            </w:r>
          </w:p>
        </w:tc>
        <w:tc>
          <w:tcPr>
            <w:tcW w:w="1296" w:type="dxa"/>
            <w:shd w:val="clear" w:color="auto" w:fill="auto"/>
            <w:vAlign w:val="bottom"/>
          </w:tcPr>
          <w:p w14:paraId="708B7898" w14:textId="3596CD9D" w:rsidR="00224102" w:rsidRDefault="00224102" w:rsidP="00224102">
            <w:pPr>
              <w:jc w:val="right"/>
              <w:rPr>
                <w:sz w:val="18"/>
                <w:szCs w:val="18"/>
              </w:rPr>
            </w:pPr>
            <w:r>
              <w:rPr>
                <w:sz w:val="18"/>
                <w:szCs w:val="18"/>
              </w:rPr>
              <w:t>112,989</w:t>
            </w:r>
          </w:p>
        </w:tc>
        <w:tc>
          <w:tcPr>
            <w:tcW w:w="882" w:type="dxa"/>
            <w:shd w:val="clear" w:color="auto" w:fill="auto"/>
            <w:vAlign w:val="bottom"/>
          </w:tcPr>
          <w:p w14:paraId="319E408D" w14:textId="352988CE" w:rsidR="00224102" w:rsidRDefault="00224102" w:rsidP="00224102">
            <w:pPr>
              <w:jc w:val="right"/>
              <w:rPr>
                <w:sz w:val="18"/>
                <w:szCs w:val="18"/>
              </w:rPr>
            </w:pPr>
            <w:r>
              <w:rPr>
                <w:sz w:val="18"/>
                <w:szCs w:val="18"/>
              </w:rPr>
              <w:t>1,800</w:t>
            </w:r>
          </w:p>
        </w:tc>
        <w:tc>
          <w:tcPr>
            <w:tcW w:w="1003" w:type="dxa"/>
            <w:shd w:val="clear" w:color="auto" w:fill="auto"/>
            <w:vAlign w:val="bottom"/>
          </w:tcPr>
          <w:p w14:paraId="1F1F3944" w14:textId="536B4067" w:rsidR="00224102" w:rsidRDefault="00224102" w:rsidP="00224102">
            <w:pPr>
              <w:jc w:val="right"/>
              <w:rPr>
                <w:sz w:val="18"/>
                <w:szCs w:val="18"/>
              </w:rPr>
            </w:pPr>
            <w:r>
              <w:rPr>
                <w:sz w:val="18"/>
                <w:szCs w:val="18"/>
              </w:rPr>
              <w:t>73,719</w:t>
            </w:r>
          </w:p>
        </w:tc>
        <w:tc>
          <w:tcPr>
            <w:tcW w:w="1238" w:type="dxa"/>
            <w:shd w:val="clear" w:color="auto" w:fill="auto"/>
            <w:vAlign w:val="bottom"/>
          </w:tcPr>
          <w:p w14:paraId="0BE4A997" w14:textId="156BF1DB" w:rsidR="00224102" w:rsidRDefault="00224102" w:rsidP="00224102">
            <w:pPr>
              <w:jc w:val="right"/>
              <w:rPr>
                <w:sz w:val="18"/>
                <w:szCs w:val="18"/>
              </w:rPr>
            </w:pPr>
            <w:r>
              <w:rPr>
                <w:sz w:val="18"/>
                <w:szCs w:val="18"/>
              </w:rPr>
              <w:t>-</w:t>
            </w:r>
          </w:p>
        </w:tc>
        <w:tc>
          <w:tcPr>
            <w:tcW w:w="1103" w:type="dxa"/>
            <w:shd w:val="clear" w:color="auto" w:fill="auto"/>
            <w:vAlign w:val="bottom"/>
          </w:tcPr>
          <w:p w14:paraId="5E4ACF0F" w14:textId="11F0C7AE" w:rsidR="00224102" w:rsidRDefault="00224102" w:rsidP="00224102">
            <w:pPr>
              <w:jc w:val="right"/>
              <w:rPr>
                <w:sz w:val="18"/>
                <w:szCs w:val="18"/>
              </w:rPr>
            </w:pPr>
            <w:r>
              <w:rPr>
                <w:sz w:val="18"/>
                <w:szCs w:val="18"/>
              </w:rPr>
              <w:t>14,817</w:t>
            </w:r>
          </w:p>
        </w:tc>
        <w:tc>
          <w:tcPr>
            <w:tcW w:w="1021" w:type="dxa"/>
            <w:shd w:val="clear" w:color="auto" w:fill="auto"/>
            <w:vAlign w:val="bottom"/>
          </w:tcPr>
          <w:p w14:paraId="76F65E0B" w14:textId="0DD744BF" w:rsidR="00224102" w:rsidRDefault="00224102" w:rsidP="00224102">
            <w:pPr>
              <w:jc w:val="right"/>
              <w:rPr>
                <w:sz w:val="18"/>
                <w:szCs w:val="18"/>
              </w:rPr>
            </w:pPr>
            <w:r>
              <w:rPr>
                <w:sz w:val="18"/>
                <w:szCs w:val="18"/>
              </w:rPr>
              <w:t>-</w:t>
            </w:r>
          </w:p>
        </w:tc>
        <w:tc>
          <w:tcPr>
            <w:tcW w:w="953" w:type="dxa"/>
            <w:shd w:val="clear" w:color="auto" w:fill="auto"/>
            <w:vAlign w:val="bottom"/>
          </w:tcPr>
          <w:p w14:paraId="6482C5E7" w14:textId="257ABC98" w:rsidR="00224102" w:rsidRPr="00EA3453" w:rsidRDefault="00224102" w:rsidP="00224102">
            <w:pPr>
              <w:tabs>
                <w:tab w:val="left" w:pos="0"/>
                <w:tab w:val="left" w:pos="1418"/>
              </w:tabs>
              <w:jc w:val="right"/>
              <w:rPr>
                <w:sz w:val="18"/>
                <w:szCs w:val="18"/>
              </w:rPr>
            </w:pPr>
            <w:r>
              <w:rPr>
                <w:sz w:val="18"/>
                <w:szCs w:val="18"/>
              </w:rPr>
              <w:t>-</w:t>
            </w:r>
          </w:p>
        </w:tc>
      </w:tr>
    </w:tbl>
    <w:p w14:paraId="07882975" w14:textId="13FF9624" w:rsidR="00870205" w:rsidRPr="002F68B1" w:rsidRDefault="002F68B1" w:rsidP="002F68B1">
      <w:pPr>
        <w:pStyle w:val="BodyTextIndent"/>
        <w:spacing w:before="60" w:after="0" w:line="206" w:lineRule="auto"/>
        <w:ind w:left="0"/>
        <w:contextualSpacing/>
        <w:rPr>
          <w:rFonts w:eastAsia="Arial Unicode MS"/>
          <w:sz w:val="16"/>
          <w:szCs w:val="16"/>
        </w:rPr>
      </w:pPr>
      <w:r w:rsidRPr="002F68B1">
        <w:rPr>
          <w:rStyle w:val="hps"/>
          <w:sz w:val="16"/>
          <w:szCs w:val="16"/>
        </w:rPr>
        <w:t xml:space="preserve">(*) </w:t>
      </w:r>
      <w:r w:rsidR="00870205" w:rsidRPr="002F68B1">
        <w:rPr>
          <w:rStyle w:val="hps"/>
          <w:sz w:val="16"/>
          <w:szCs w:val="16"/>
        </w:rPr>
        <w:t>The above</w:t>
      </w:r>
      <w:r w:rsidR="00870205" w:rsidRPr="002F68B1">
        <w:rPr>
          <w:sz w:val="16"/>
          <w:szCs w:val="16"/>
        </w:rPr>
        <w:t xml:space="preserve"> </w:t>
      </w:r>
      <w:r w:rsidR="00870205" w:rsidRPr="002F68B1">
        <w:rPr>
          <w:rStyle w:val="hps"/>
          <w:sz w:val="16"/>
          <w:szCs w:val="16"/>
        </w:rPr>
        <w:t>mentioned</w:t>
      </w:r>
      <w:r w:rsidR="00870205" w:rsidRPr="002F68B1">
        <w:rPr>
          <w:sz w:val="16"/>
          <w:szCs w:val="16"/>
        </w:rPr>
        <w:t xml:space="preserve"> </w:t>
      </w:r>
      <w:r w:rsidR="00870205" w:rsidRPr="002F68B1">
        <w:rPr>
          <w:rStyle w:val="hps"/>
          <w:sz w:val="16"/>
          <w:szCs w:val="16"/>
        </w:rPr>
        <w:t>subsidiaries'</w:t>
      </w:r>
      <w:r w:rsidR="00870205" w:rsidRPr="002F68B1">
        <w:rPr>
          <w:sz w:val="16"/>
          <w:szCs w:val="16"/>
        </w:rPr>
        <w:t xml:space="preserve"> </w:t>
      </w:r>
      <w:r w:rsidR="00870205" w:rsidRPr="002F68B1">
        <w:rPr>
          <w:rStyle w:val="hps"/>
          <w:sz w:val="16"/>
          <w:szCs w:val="16"/>
        </w:rPr>
        <w:t>financial data</w:t>
      </w:r>
      <w:r w:rsidR="00870205" w:rsidRPr="002F68B1">
        <w:rPr>
          <w:sz w:val="16"/>
          <w:szCs w:val="16"/>
        </w:rPr>
        <w:t xml:space="preserve"> </w:t>
      </w:r>
      <w:r w:rsidR="00870205" w:rsidRPr="002F68B1">
        <w:rPr>
          <w:rStyle w:val="hps"/>
          <w:sz w:val="16"/>
          <w:szCs w:val="16"/>
        </w:rPr>
        <w:t>are taken from</w:t>
      </w:r>
      <w:r w:rsidR="00870205" w:rsidRPr="002F68B1">
        <w:rPr>
          <w:sz w:val="16"/>
          <w:szCs w:val="16"/>
        </w:rPr>
        <w:t xml:space="preserve"> </w:t>
      </w:r>
      <w:r w:rsidR="00870205" w:rsidRPr="002F68B1">
        <w:rPr>
          <w:rStyle w:val="hps"/>
          <w:sz w:val="16"/>
          <w:szCs w:val="16"/>
        </w:rPr>
        <w:t>the financial statements prepared</w:t>
      </w:r>
      <w:r w:rsidR="00870205" w:rsidRPr="002F68B1">
        <w:rPr>
          <w:sz w:val="16"/>
          <w:szCs w:val="16"/>
        </w:rPr>
        <w:t xml:space="preserve"> </w:t>
      </w:r>
      <w:r w:rsidR="00870205" w:rsidRPr="002F68B1">
        <w:rPr>
          <w:rStyle w:val="hps"/>
          <w:sz w:val="16"/>
          <w:szCs w:val="16"/>
        </w:rPr>
        <w:t>for</w:t>
      </w:r>
      <w:r w:rsidR="00870205" w:rsidRPr="002F68B1">
        <w:rPr>
          <w:sz w:val="16"/>
          <w:szCs w:val="16"/>
        </w:rPr>
        <w:t xml:space="preserve"> </w:t>
      </w:r>
      <w:r w:rsidR="004645C5" w:rsidRPr="002F68B1">
        <w:rPr>
          <w:rStyle w:val="hps"/>
          <w:sz w:val="16"/>
          <w:szCs w:val="16"/>
        </w:rPr>
        <w:t>the BRSA as of 3</w:t>
      </w:r>
      <w:r w:rsidR="002875AF" w:rsidRPr="002F68B1">
        <w:rPr>
          <w:rStyle w:val="hps"/>
          <w:sz w:val="16"/>
          <w:szCs w:val="16"/>
        </w:rPr>
        <w:t>1</w:t>
      </w:r>
      <w:r w:rsidR="004645C5" w:rsidRPr="002F68B1">
        <w:rPr>
          <w:rStyle w:val="hps"/>
          <w:sz w:val="16"/>
          <w:szCs w:val="16"/>
        </w:rPr>
        <w:t xml:space="preserve"> </w:t>
      </w:r>
      <w:r w:rsidR="002875AF" w:rsidRPr="002F68B1">
        <w:rPr>
          <w:rStyle w:val="hps"/>
          <w:sz w:val="16"/>
          <w:szCs w:val="16"/>
        </w:rPr>
        <w:t xml:space="preserve">December </w:t>
      </w:r>
      <w:r w:rsidR="008E71B7" w:rsidRPr="002F68B1">
        <w:rPr>
          <w:rStyle w:val="hps"/>
          <w:sz w:val="16"/>
          <w:szCs w:val="16"/>
        </w:rPr>
        <w:t>2015</w:t>
      </w:r>
      <w:r w:rsidR="00870205" w:rsidRPr="002F68B1">
        <w:rPr>
          <w:sz w:val="16"/>
          <w:szCs w:val="16"/>
        </w:rPr>
        <w:t>.</w:t>
      </w:r>
    </w:p>
    <w:p w14:paraId="0DAB2E9F" w14:textId="77777777" w:rsidR="00627BC9" w:rsidRPr="00604C75" w:rsidRDefault="00627BC9" w:rsidP="00CD3BC4">
      <w:pPr>
        <w:pStyle w:val="BodyTextIndent"/>
        <w:spacing w:after="0" w:line="120" w:lineRule="auto"/>
        <w:ind w:left="1701"/>
        <w:contextualSpacing/>
        <w:rPr>
          <w:color w:val="222222"/>
          <w:sz w:val="20"/>
          <w:szCs w:val="20"/>
        </w:rPr>
      </w:pPr>
    </w:p>
    <w:p w14:paraId="7B283751" w14:textId="77777777" w:rsidR="0044575F" w:rsidRPr="00604C75" w:rsidRDefault="00627BC9" w:rsidP="00E83EAC">
      <w:pPr>
        <w:pStyle w:val="BodyTextIndent"/>
        <w:tabs>
          <w:tab w:val="left" w:pos="567"/>
        </w:tabs>
        <w:spacing w:line="206" w:lineRule="auto"/>
        <w:ind w:left="0"/>
        <w:contextualSpacing/>
        <w:rPr>
          <w:sz w:val="20"/>
          <w:szCs w:val="20"/>
        </w:rPr>
      </w:pPr>
      <w:r w:rsidRPr="00604C75">
        <w:rPr>
          <w:sz w:val="20"/>
          <w:szCs w:val="20"/>
        </w:rPr>
        <w:t>4</w:t>
      </w:r>
      <w:r w:rsidR="0044575F" w:rsidRPr="00604C75">
        <w:rPr>
          <w:sz w:val="20"/>
          <w:szCs w:val="20"/>
        </w:rPr>
        <w:t>.</w:t>
      </w:r>
      <w:r w:rsidR="0044575F" w:rsidRPr="00604C75">
        <w:rPr>
          <w:sz w:val="20"/>
          <w:szCs w:val="20"/>
        </w:rPr>
        <w:tab/>
        <w:t xml:space="preserve">The </w:t>
      </w:r>
      <w:r w:rsidR="00365919" w:rsidRPr="00604C75">
        <w:rPr>
          <w:sz w:val="20"/>
          <w:szCs w:val="20"/>
        </w:rPr>
        <w:t>movement</w:t>
      </w:r>
      <w:r w:rsidR="0044575F" w:rsidRPr="00604C75">
        <w:rPr>
          <w:sz w:val="20"/>
          <w:szCs w:val="20"/>
        </w:rPr>
        <w:t xml:space="preserve"> of the subsidiaries</w:t>
      </w: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00"/>
        <w:gridCol w:w="2007"/>
        <w:gridCol w:w="1932"/>
      </w:tblGrid>
      <w:tr w:rsidR="0044575F" w:rsidRPr="00604C75" w14:paraId="3D95CC3D" w14:textId="77777777" w:rsidTr="00B31503">
        <w:trPr>
          <w:trHeight w:val="255"/>
        </w:trPr>
        <w:tc>
          <w:tcPr>
            <w:tcW w:w="5300" w:type="dxa"/>
            <w:vAlign w:val="bottom"/>
          </w:tcPr>
          <w:p w14:paraId="50DF090C" w14:textId="77777777" w:rsidR="0044575F" w:rsidRPr="00604C75" w:rsidRDefault="0044575F" w:rsidP="0099514C">
            <w:pPr>
              <w:pStyle w:val="EndnoteText"/>
              <w:spacing w:line="206" w:lineRule="auto"/>
              <w:contextualSpacing/>
              <w:rPr>
                <w:rFonts w:eastAsia="Arial Unicode MS"/>
                <w:b/>
                <w:bCs/>
                <w:sz w:val="18"/>
                <w:szCs w:val="18"/>
              </w:rPr>
            </w:pPr>
          </w:p>
        </w:tc>
        <w:tc>
          <w:tcPr>
            <w:tcW w:w="2007" w:type="dxa"/>
            <w:vAlign w:val="bottom"/>
          </w:tcPr>
          <w:p w14:paraId="176AFD7C" w14:textId="2B98C657" w:rsidR="0044575F" w:rsidRPr="00604C75" w:rsidRDefault="004645C5" w:rsidP="00B31503">
            <w:pPr>
              <w:spacing w:line="206" w:lineRule="auto"/>
              <w:ind w:right="30"/>
              <w:contextualSpacing/>
              <w:jc w:val="right"/>
              <w:rPr>
                <w:b/>
                <w:bCs/>
                <w:sz w:val="18"/>
                <w:szCs w:val="18"/>
              </w:rPr>
            </w:pPr>
            <w:r>
              <w:rPr>
                <w:b/>
                <w:iCs/>
                <w:sz w:val="18"/>
              </w:rPr>
              <w:t>3</w:t>
            </w:r>
            <w:r w:rsidR="00672357">
              <w:rPr>
                <w:b/>
                <w:iCs/>
                <w:sz w:val="18"/>
              </w:rPr>
              <w:t>1</w:t>
            </w:r>
            <w:r>
              <w:rPr>
                <w:b/>
                <w:iCs/>
                <w:sz w:val="18"/>
              </w:rPr>
              <w:t xml:space="preserve"> </w:t>
            </w:r>
            <w:r w:rsidR="00672357">
              <w:rPr>
                <w:b/>
                <w:iCs/>
                <w:sz w:val="18"/>
              </w:rPr>
              <w:t>December</w:t>
            </w:r>
            <w:r w:rsidR="00672357" w:rsidRPr="00604C75">
              <w:rPr>
                <w:b/>
                <w:iCs/>
                <w:sz w:val="18"/>
              </w:rPr>
              <w:t xml:space="preserve"> </w:t>
            </w:r>
            <w:r w:rsidR="0044575F" w:rsidRPr="00604C75">
              <w:rPr>
                <w:b/>
                <w:bCs/>
                <w:sz w:val="18"/>
                <w:szCs w:val="18"/>
              </w:rPr>
              <w:t>201</w:t>
            </w:r>
            <w:r w:rsidR="00CD3BC4" w:rsidRPr="00604C75">
              <w:rPr>
                <w:b/>
                <w:bCs/>
                <w:sz w:val="18"/>
                <w:szCs w:val="18"/>
              </w:rPr>
              <w:t>5</w:t>
            </w:r>
          </w:p>
        </w:tc>
        <w:tc>
          <w:tcPr>
            <w:tcW w:w="1932" w:type="dxa"/>
            <w:vAlign w:val="bottom"/>
          </w:tcPr>
          <w:p w14:paraId="7E8B35A4" w14:textId="77777777" w:rsidR="0044575F" w:rsidRPr="00604C75" w:rsidRDefault="0044575F" w:rsidP="00B31503">
            <w:pPr>
              <w:spacing w:line="206" w:lineRule="auto"/>
              <w:ind w:right="30"/>
              <w:contextualSpacing/>
              <w:jc w:val="right"/>
              <w:rPr>
                <w:b/>
                <w:bCs/>
                <w:sz w:val="18"/>
                <w:szCs w:val="18"/>
              </w:rPr>
            </w:pPr>
            <w:r w:rsidRPr="00604C75">
              <w:rPr>
                <w:b/>
                <w:bCs/>
                <w:sz w:val="18"/>
                <w:szCs w:val="18"/>
              </w:rPr>
              <w:t>31 December</w:t>
            </w:r>
            <w:r w:rsidR="00C4705D" w:rsidRPr="00604C75">
              <w:rPr>
                <w:b/>
                <w:bCs/>
                <w:sz w:val="18"/>
                <w:szCs w:val="18"/>
              </w:rPr>
              <w:t xml:space="preserve"> 201</w:t>
            </w:r>
            <w:r w:rsidR="00CD3BC4" w:rsidRPr="00604C75">
              <w:rPr>
                <w:b/>
                <w:bCs/>
                <w:sz w:val="18"/>
                <w:szCs w:val="18"/>
              </w:rPr>
              <w:t>4</w:t>
            </w:r>
          </w:p>
        </w:tc>
      </w:tr>
      <w:tr w:rsidR="00224102" w:rsidRPr="00604C75" w14:paraId="7CEFE61D" w14:textId="77777777" w:rsidTr="00B31503">
        <w:trPr>
          <w:trHeight w:val="284"/>
        </w:trPr>
        <w:tc>
          <w:tcPr>
            <w:tcW w:w="5300" w:type="dxa"/>
            <w:vAlign w:val="bottom"/>
          </w:tcPr>
          <w:p w14:paraId="36C91D26" w14:textId="77777777" w:rsidR="00224102" w:rsidRPr="00604C75" w:rsidRDefault="00224102" w:rsidP="00224102">
            <w:pPr>
              <w:spacing w:line="206" w:lineRule="auto"/>
              <w:contextualSpacing/>
              <w:rPr>
                <w:b/>
                <w:sz w:val="18"/>
                <w:szCs w:val="18"/>
              </w:rPr>
            </w:pPr>
            <w:r w:rsidRPr="00604C75">
              <w:rPr>
                <w:b/>
                <w:sz w:val="18"/>
                <w:szCs w:val="18"/>
              </w:rPr>
              <w:t>Balance at the beginning of the period</w:t>
            </w:r>
          </w:p>
        </w:tc>
        <w:tc>
          <w:tcPr>
            <w:tcW w:w="2007" w:type="dxa"/>
            <w:vAlign w:val="bottom"/>
          </w:tcPr>
          <w:p w14:paraId="5C6FFE3D" w14:textId="61F47E5A" w:rsidR="00224102" w:rsidRPr="00692926" w:rsidRDefault="00224102" w:rsidP="00B31503">
            <w:pPr>
              <w:ind w:right="30"/>
              <w:jc w:val="right"/>
              <w:rPr>
                <w:b/>
                <w:sz w:val="18"/>
                <w:szCs w:val="18"/>
              </w:rPr>
            </w:pPr>
            <w:r>
              <w:rPr>
                <w:b/>
                <w:bCs/>
                <w:sz w:val="18"/>
                <w:szCs w:val="18"/>
              </w:rPr>
              <w:t>146,323</w:t>
            </w:r>
          </w:p>
        </w:tc>
        <w:tc>
          <w:tcPr>
            <w:tcW w:w="1932" w:type="dxa"/>
            <w:vAlign w:val="bottom"/>
          </w:tcPr>
          <w:p w14:paraId="4F795648" w14:textId="4C16DB8A" w:rsidR="00224102" w:rsidRPr="00692926" w:rsidRDefault="00224102" w:rsidP="00B31503">
            <w:pPr>
              <w:ind w:right="30"/>
              <w:jc w:val="right"/>
              <w:rPr>
                <w:b/>
                <w:sz w:val="18"/>
                <w:szCs w:val="18"/>
              </w:rPr>
            </w:pPr>
            <w:r w:rsidRPr="00692926">
              <w:rPr>
                <w:b/>
                <w:sz w:val="18"/>
                <w:szCs w:val="18"/>
              </w:rPr>
              <w:t>146,049</w:t>
            </w:r>
          </w:p>
        </w:tc>
      </w:tr>
      <w:tr w:rsidR="00224102" w:rsidRPr="00604C75" w14:paraId="264E1812" w14:textId="77777777" w:rsidTr="00B31503">
        <w:trPr>
          <w:trHeight w:val="255"/>
        </w:trPr>
        <w:tc>
          <w:tcPr>
            <w:tcW w:w="5300" w:type="dxa"/>
            <w:vAlign w:val="bottom"/>
          </w:tcPr>
          <w:p w14:paraId="1A5BDE33" w14:textId="77777777" w:rsidR="00224102" w:rsidRPr="00604C75" w:rsidRDefault="00224102" w:rsidP="00224102">
            <w:pPr>
              <w:spacing w:line="206" w:lineRule="auto"/>
              <w:contextualSpacing/>
              <w:rPr>
                <w:b/>
                <w:sz w:val="18"/>
                <w:szCs w:val="18"/>
              </w:rPr>
            </w:pPr>
            <w:r w:rsidRPr="00604C75">
              <w:rPr>
                <w:b/>
                <w:sz w:val="18"/>
                <w:szCs w:val="18"/>
              </w:rPr>
              <w:t>Movements during the period</w:t>
            </w:r>
          </w:p>
        </w:tc>
        <w:tc>
          <w:tcPr>
            <w:tcW w:w="2007" w:type="dxa"/>
            <w:vAlign w:val="bottom"/>
          </w:tcPr>
          <w:p w14:paraId="51680126" w14:textId="741F13B6" w:rsidR="00224102" w:rsidRPr="00692926" w:rsidRDefault="00224102" w:rsidP="00B31503">
            <w:pPr>
              <w:ind w:right="30"/>
              <w:jc w:val="right"/>
              <w:rPr>
                <w:b/>
                <w:sz w:val="18"/>
                <w:szCs w:val="18"/>
              </w:rPr>
            </w:pPr>
            <w:r>
              <w:rPr>
                <w:b/>
                <w:bCs/>
                <w:sz w:val="18"/>
                <w:szCs w:val="18"/>
              </w:rPr>
              <w:t>20,057</w:t>
            </w:r>
          </w:p>
        </w:tc>
        <w:tc>
          <w:tcPr>
            <w:tcW w:w="1932" w:type="dxa"/>
            <w:vAlign w:val="bottom"/>
          </w:tcPr>
          <w:p w14:paraId="1E00F89B" w14:textId="3BAE4A01" w:rsidR="00224102" w:rsidRPr="00692926" w:rsidRDefault="00224102" w:rsidP="00B31503">
            <w:pPr>
              <w:ind w:right="30"/>
              <w:jc w:val="right"/>
              <w:rPr>
                <w:b/>
                <w:sz w:val="18"/>
                <w:szCs w:val="18"/>
              </w:rPr>
            </w:pPr>
            <w:r w:rsidRPr="00692926">
              <w:rPr>
                <w:b/>
                <w:sz w:val="18"/>
                <w:szCs w:val="18"/>
              </w:rPr>
              <w:t>274</w:t>
            </w:r>
          </w:p>
        </w:tc>
      </w:tr>
      <w:tr w:rsidR="00224102" w:rsidRPr="00604C75" w14:paraId="11482CD5" w14:textId="77777777" w:rsidTr="00B31503">
        <w:trPr>
          <w:trHeight w:val="255"/>
        </w:trPr>
        <w:tc>
          <w:tcPr>
            <w:tcW w:w="5300" w:type="dxa"/>
            <w:vAlign w:val="bottom"/>
          </w:tcPr>
          <w:p w14:paraId="1CFE2223" w14:textId="77777777" w:rsidR="00224102" w:rsidRPr="00604C75" w:rsidRDefault="00224102" w:rsidP="00224102">
            <w:pPr>
              <w:spacing w:line="206" w:lineRule="auto"/>
              <w:ind w:firstLineChars="200" w:firstLine="360"/>
              <w:contextualSpacing/>
              <w:rPr>
                <w:sz w:val="18"/>
                <w:szCs w:val="18"/>
              </w:rPr>
            </w:pPr>
            <w:r w:rsidRPr="00604C75">
              <w:rPr>
                <w:sz w:val="18"/>
                <w:szCs w:val="18"/>
              </w:rPr>
              <w:t>Purchases</w:t>
            </w:r>
          </w:p>
        </w:tc>
        <w:tc>
          <w:tcPr>
            <w:tcW w:w="2007" w:type="dxa"/>
            <w:vAlign w:val="bottom"/>
          </w:tcPr>
          <w:p w14:paraId="5C706A03" w14:textId="1B4A9670" w:rsidR="00224102" w:rsidRPr="00692926" w:rsidRDefault="00224102" w:rsidP="00B31503">
            <w:pPr>
              <w:ind w:right="30"/>
              <w:jc w:val="right"/>
              <w:rPr>
                <w:sz w:val="18"/>
                <w:szCs w:val="18"/>
              </w:rPr>
            </w:pPr>
            <w:r>
              <w:rPr>
                <w:sz w:val="18"/>
                <w:szCs w:val="18"/>
              </w:rPr>
              <w:t>21,137</w:t>
            </w:r>
          </w:p>
        </w:tc>
        <w:tc>
          <w:tcPr>
            <w:tcW w:w="1932" w:type="dxa"/>
            <w:vAlign w:val="bottom"/>
          </w:tcPr>
          <w:p w14:paraId="5F9FD200" w14:textId="3CCF96D2" w:rsidR="00224102" w:rsidRPr="00692926" w:rsidRDefault="00224102" w:rsidP="00B31503">
            <w:pPr>
              <w:ind w:right="30"/>
              <w:jc w:val="right"/>
              <w:rPr>
                <w:sz w:val="18"/>
                <w:szCs w:val="18"/>
              </w:rPr>
            </w:pPr>
            <w:r w:rsidRPr="00692926">
              <w:rPr>
                <w:sz w:val="18"/>
                <w:szCs w:val="18"/>
              </w:rPr>
              <w:t>-</w:t>
            </w:r>
          </w:p>
        </w:tc>
      </w:tr>
      <w:tr w:rsidR="00224102" w:rsidRPr="00604C75" w14:paraId="6C6A0681" w14:textId="77777777" w:rsidTr="00B31503">
        <w:trPr>
          <w:trHeight w:val="255"/>
        </w:trPr>
        <w:tc>
          <w:tcPr>
            <w:tcW w:w="5300" w:type="dxa"/>
            <w:vAlign w:val="bottom"/>
          </w:tcPr>
          <w:p w14:paraId="18ECB143" w14:textId="77777777" w:rsidR="00224102" w:rsidRPr="00604C75" w:rsidRDefault="00224102" w:rsidP="00224102">
            <w:pPr>
              <w:spacing w:line="206" w:lineRule="auto"/>
              <w:ind w:firstLineChars="200" w:firstLine="360"/>
              <w:contextualSpacing/>
              <w:rPr>
                <w:bCs/>
                <w:sz w:val="18"/>
                <w:szCs w:val="18"/>
              </w:rPr>
            </w:pPr>
            <w:r w:rsidRPr="00604C75">
              <w:rPr>
                <w:bCs/>
                <w:sz w:val="18"/>
                <w:szCs w:val="18"/>
              </w:rPr>
              <w:t>Transfers</w:t>
            </w:r>
          </w:p>
        </w:tc>
        <w:tc>
          <w:tcPr>
            <w:tcW w:w="2007" w:type="dxa"/>
            <w:vAlign w:val="bottom"/>
          </w:tcPr>
          <w:p w14:paraId="4B590E90" w14:textId="766ED20C" w:rsidR="00224102" w:rsidRPr="00692926" w:rsidRDefault="00224102" w:rsidP="00B31503">
            <w:pPr>
              <w:ind w:right="30"/>
              <w:jc w:val="right"/>
              <w:rPr>
                <w:sz w:val="18"/>
                <w:szCs w:val="18"/>
              </w:rPr>
            </w:pPr>
            <w:r w:rsidRPr="009653D9">
              <w:rPr>
                <w:sz w:val="18"/>
                <w:szCs w:val="18"/>
              </w:rPr>
              <w:t>-</w:t>
            </w:r>
          </w:p>
        </w:tc>
        <w:tc>
          <w:tcPr>
            <w:tcW w:w="1932" w:type="dxa"/>
            <w:vAlign w:val="bottom"/>
          </w:tcPr>
          <w:p w14:paraId="32907F22" w14:textId="1F2D8BAD" w:rsidR="00224102" w:rsidRPr="00692926" w:rsidRDefault="00224102" w:rsidP="00B31503">
            <w:pPr>
              <w:ind w:right="30"/>
              <w:jc w:val="right"/>
              <w:rPr>
                <w:sz w:val="18"/>
                <w:szCs w:val="18"/>
              </w:rPr>
            </w:pPr>
            <w:r w:rsidRPr="00692926">
              <w:rPr>
                <w:sz w:val="18"/>
                <w:szCs w:val="18"/>
              </w:rPr>
              <w:t>-</w:t>
            </w:r>
          </w:p>
        </w:tc>
      </w:tr>
      <w:tr w:rsidR="00224102" w:rsidRPr="00604C75" w14:paraId="717E4228" w14:textId="77777777" w:rsidTr="00B31503">
        <w:trPr>
          <w:trHeight w:val="274"/>
        </w:trPr>
        <w:tc>
          <w:tcPr>
            <w:tcW w:w="5300" w:type="dxa"/>
            <w:vAlign w:val="bottom"/>
          </w:tcPr>
          <w:p w14:paraId="3A8863D2" w14:textId="5E2FE648" w:rsidR="00224102" w:rsidRPr="00604C75" w:rsidRDefault="00224102" w:rsidP="00224102">
            <w:pPr>
              <w:spacing w:line="206" w:lineRule="auto"/>
              <w:ind w:firstLineChars="200" w:firstLine="360"/>
              <w:contextualSpacing/>
              <w:rPr>
                <w:sz w:val="18"/>
                <w:szCs w:val="18"/>
              </w:rPr>
            </w:pPr>
            <w:r w:rsidRPr="00604C75">
              <w:rPr>
                <w:sz w:val="18"/>
                <w:szCs w:val="18"/>
              </w:rPr>
              <w:t xml:space="preserve">Bonus </w:t>
            </w:r>
            <w:r>
              <w:rPr>
                <w:sz w:val="18"/>
                <w:szCs w:val="18"/>
              </w:rPr>
              <w:t>S</w:t>
            </w:r>
            <w:r w:rsidRPr="00604C75">
              <w:rPr>
                <w:sz w:val="18"/>
                <w:szCs w:val="18"/>
              </w:rPr>
              <w:t xml:space="preserve">hares </w:t>
            </w:r>
            <w:r>
              <w:rPr>
                <w:sz w:val="18"/>
                <w:szCs w:val="18"/>
              </w:rPr>
              <w:t>O</w:t>
            </w:r>
            <w:r w:rsidRPr="00604C75">
              <w:rPr>
                <w:sz w:val="18"/>
                <w:szCs w:val="18"/>
              </w:rPr>
              <w:t>btained</w:t>
            </w:r>
          </w:p>
        </w:tc>
        <w:tc>
          <w:tcPr>
            <w:tcW w:w="2007" w:type="dxa"/>
            <w:vAlign w:val="bottom"/>
          </w:tcPr>
          <w:p w14:paraId="1D6A4AEE" w14:textId="041FDADF" w:rsidR="00224102" w:rsidRPr="00692926" w:rsidRDefault="00224102" w:rsidP="00B31503">
            <w:pPr>
              <w:ind w:right="30"/>
              <w:jc w:val="right"/>
              <w:rPr>
                <w:sz w:val="18"/>
                <w:szCs w:val="18"/>
              </w:rPr>
            </w:pPr>
            <w:r w:rsidRPr="009653D9">
              <w:rPr>
                <w:sz w:val="18"/>
                <w:szCs w:val="18"/>
              </w:rPr>
              <w:t>-</w:t>
            </w:r>
          </w:p>
        </w:tc>
        <w:tc>
          <w:tcPr>
            <w:tcW w:w="1932" w:type="dxa"/>
            <w:vAlign w:val="bottom"/>
          </w:tcPr>
          <w:p w14:paraId="11C9458F" w14:textId="38A7CFD6" w:rsidR="00224102" w:rsidRPr="00692926" w:rsidRDefault="00224102" w:rsidP="00B31503">
            <w:pPr>
              <w:ind w:right="30"/>
              <w:jc w:val="right"/>
              <w:rPr>
                <w:sz w:val="18"/>
                <w:szCs w:val="18"/>
              </w:rPr>
            </w:pPr>
            <w:r w:rsidRPr="00692926">
              <w:rPr>
                <w:sz w:val="18"/>
                <w:szCs w:val="18"/>
              </w:rPr>
              <w:t>-</w:t>
            </w:r>
          </w:p>
        </w:tc>
      </w:tr>
      <w:tr w:rsidR="00224102" w:rsidRPr="00604C75" w14:paraId="3AB6002D" w14:textId="77777777" w:rsidTr="00B31503">
        <w:trPr>
          <w:trHeight w:val="255"/>
        </w:trPr>
        <w:tc>
          <w:tcPr>
            <w:tcW w:w="5300" w:type="dxa"/>
            <w:vAlign w:val="bottom"/>
          </w:tcPr>
          <w:p w14:paraId="13BCF61D" w14:textId="76A3EF51" w:rsidR="00224102" w:rsidRPr="00604C75" w:rsidRDefault="00224102" w:rsidP="00224102">
            <w:pPr>
              <w:spacing w:line="206" w:lineRule="auto"/>
              <w:ind w:firstLineChars="200" w:firstLine="360"/>
              <w:contextualSpacing/>
              <w:rPr>
                <w:sz w:val="18"/>
                <w:szCs w:val="18"/>
              </w:rPr>
            </w:pPr>
            <w:r w:rsidRPr="00604C75">
              <w:rPr>
                <w:sz w:val="18"/>
                <w:szCs w:val="18"/>
              </w:rPr>
              <w:t xml:space="preserve">Share in </w:t>
            </w:r>
            <w:r>
              <w:rPr>
                <w:sz w:val="18"/>
                <w:szCs w:val="18"/>
              </w:rPr>
              <w:t>C</w:t>
            </w:r>
            <w:r w:rsidRPr="00604C75">
              <w:rPr>
                <w:sz w:val="18"/>
                <w:szCs w:val="18"/>
              </w:rPr>
              <w:t xml:space="preserve">urrent </w:t>
            </w:r>
            <w:r>
              <w:rPr>
                <w:sz w:val="18"/>
                <w:szCs w:val="18"/>
              </w:rPr>
              <w:t>Y</w:t>
            </w:r>
            <w:r w:rsidRPr="00604C75">
              <w:rPr>
                <w:sz w:val="18"/>
                <w:szCs w:val="18"/>
              </w:rPr>
              <w:t xml:space="preserve">ear </w:t>
            </w:r>
            <w:r>
              <w:rPr>
                <w:sz w:val="18"/>
                <w:szCs w:val="18"/>
              </w:rPr>
              <w:t>I</w:t>
            </w:r>
            <w:r w:rsidRPr="00604C75">
              <w:rPr>
                <w:sz w:val="18"/>
                <w:szCs w:val="18"/>
              </w:rPr>
              <w:t>ncome</w:t>
            </w:r>
          </w:p>
        </w:tc>
        <w:tc>
          <w:tcPr>
            <w:tcW w:w="2007" w:type="dxa"/>
            <w:vAlign w:val="bottom"/>
          </w:tcPr>
          <w:p w14:paraId="533A7A7F" w14:textId="736A08A3" w:rsidR="00224102" w:rsidRPr="00692926" w:rsidRDefault="00224102" w:rsidP="00B31503">
            <w:pPr>
              <w:ind w:right="30"/>
              <w:jc w:val="right"/>
              <w:rPr>
                <w:sz w:val="18"/>
                <w:szCs w:val="18"/>
              </w:rPr>
            </w:pPr>
            <w:r w:rsidRPr="009653D9">
              <w:rPr>
                <w:sz w:val="18"/>
                <w:szCs w:val="18"/>
              </w:rPr>
              <w:t>-</w:t>
            </w:r>
          </w:p>
        </w:tc>
        <w:tc>
          <w:tcPr>
            <w:tcW w:w="1932" w:type="dxa"/>
            <w:vAlign w:val="bottom"/>
          </w:tcPr>
          <w:p w14:paraId="057A2A50" w14:textId="63B85F71" w:rsidR="00224102" w:rsidRPr="00692926" w:rsidRDefault="00224102" w:rsidP="00B31503">
            <w:pPr>
              <w:ind w:right="30"/>
              <w:jc w:val="right"/>
              <w:rPr>
                <w:sz w:val="18"/>
                <w:szCs w:val="18"/>
              </w:rPr>
            </w:pPr>
            <w:r w:rsidRPr="00692926">
              <w:rPr>
                <w:sz w:val="18"/>
                <w:szCs w:val="18"/>
              </w:rPr>
              <w:t>-</w:t>
            </w:r>
          </w:p>
        </w:tc>
      </w:tr>
      <w:tr w:rsidR="00224102" w:rsidRPr="00604C75" w14:paraId="0010D465" w14:textId="77777777" w:rsidTr="00B31503">
        <w:trPr>
          <w:trHeight w:val="255"/>
        </w:trPr>
        <w:tc>
          <w:tcPr>
            <w:tcW w:w="5300" w:type="dxa"/>
            <w:vAlign w:val="bottom"/>
          </w:tcPr>
          <w:p w14:paraId="73319244" w14:textId="77777777" w:rsidR="00224102" w:rsidRPr="00604C75" w:rsidRDefault="00224102" w:rsidP="00224102">
            <w:pPr>
              <w:spacing w:line="206" w:lineRule="auto"/>
              <w:ind w:firstLineChars="200" w:firstLine="360"/>
              <w:contextualSpacing/>
              <w:rPr>
                <w:sz w:val="18"/>
                <w:szCs w:val="18"/>
              </w:rPr>
            </w:pPr>
            <w:r w:rsidRPr="00604C75">
              <w:rPr>
                <w:sz w:val="18"/>
                <w:szCs w:val="18"/>
              </w:rPr>
              <w:t>Sales</w:t>
            </w:r>
          </w:p>
        </w:tc>
        <w:tc>
          <w:tcPr>
            <w:tcW w:w="2007" w:type="dxa"/>
            <w:vAlign w:val="bottom"/>
          </w:tcPr>
          <w:p w14:paraId="4FC52553" w14:textId="2E453C98" w:rsidR="00224102" w:rsidRPr="00692926" w:rsidRDefault="00224102" w:rsidP="00B31503">
            <w:pPr>
              <w:ind w:right="30"/>
              <w:jc w:val="right"/>
              <w:rPr>
                <w:sz w:val="18"/>
                <w:szCs w:val="18"/>
              </w:rPr>
            </w:pPr>
            <w:r w:rsidRPr="009653D9">
              <w:rPr>
                <w:sz w:val="18"/>
                <w:szCs w:val="18"/>
              </w:rPr>
              <w:t>(900)</w:t>
            </w:r>
          </w:p>
        </w:tc>
        <w:tc>
          <w:tcPr>
            <w:tcW w:w="1932" w:type="dxa"/>
            <w:vAlign w:val="bottom"/>
          </w:tcPr>
          <w:p w14:paraId="5935CD46" w14:textId="729DB783" w:rsidR="00224102" w:rsidRPr="00692926" w:rsidRDefault="00224102" w:rsidP="00B31503">
            <w:pPr>
              <w:ind w:right="30"/>
              <w:jc w:val="right"/>
              <w:rPr>
                <w:sz w:val="18"/>
                <w:szCs w:val="18"/>
              </w:rPr>
            </w:pPr>
            <w:r w:rsidRPr="00692926">
              <w:rPr>
                <w:sz w:val="18"/>
                <w:szCs w:val="18"/>
              </w:rPr>
              <w:t>-</w:t>
            </w:r>
          </w:p>
        </w:tc>
      </w:tr>
      <w:tr w:rsidR="00224102" w:rsidRPr="00604C75" w14:paraId="039387CB" w14:textId="77777777" w:rsidTr="00B31503">
        <w:trPr>
          <w:trHeight w:val="255"/>
        </w:trPr>
        <w:tc>
          <w:tcPr>
            <w:tcW w:w="5300" w:type="dxa"/>
            <w:vAlign w:val="bottom"/>
          </w:tcPr>
          <w:p w14:paraId="20B0D1A1" w14:textId="2C747DE4" w:rsidR="00224102" w:rsidRPr="00604C75" w:rsidRDefault="00224102" w:rsidP="00224102">
            <w:pPr>
              <w:spacing w:line="206" w:lineRule="auto"/>
              <w:ind w:firstLineChars="200" w:firstLine="360"/>
              <w:contextualSpacing/>
              <w:rPr>
                <w:sz w:val="18"/>
                <w:szCs w:val="18"/>
              </w:rPr>
            </w:pPr>
            <w:r w:rsidRPr="00604C75">
              <w:rPr>
                <w:sz w:val="18"/>
                <w:szCs w:val="18"/>
              </w:rPr>
              <w:t>Revaluation (</w:t>
            </w:r>
            <w:hyperlink r:id="rId23" w:history="1">
              <w:r>
                <w:rPr>
                  <w:sz w:val="18"/>
                  <w:szCs w:val="18"/>
                </w:rPr>
                <w:t>D</w:t>
              </w:r>
              <w:r w:rsidRPr="00604C75">
                <w:rPr>
                  <w:sz w:val="18"/>
                  <w:szCs w:val="18"/>
                </w:rPr>
                <w:t>ecrease</w:t>
              </w:r>
            </w:hyperlink>
            <w:r w:rsidRPr="00604C75">
              <w:rPr>
                <w:sz w:val="18"/>
                <w:szCs w:val="18"/>
              </w:rPr>
              <w:t xml:space="preserve">) / </w:t>
            </w:r>
            <w:r>
              <w:rPr>
                <w:sz w:val="18"/>
                <w:szCs w:val="18"/>
              </w:rPr>
              <w:t>I</w:t>
            </w:r>
            <w:r w:rsidRPr="00604C75">
              <w:rPr>
                <w:sz w:val="18"/>
                <w:szCs w:val="18"/>
              </w:rPr>
              <w:t>ncrease</w:t>
            </w:r>
          </w:p>
        </w:tc>
        <w:tc>
          <w:tcPr>
            <w:tcW w:w="2007" w:type="dxa"/>
            <w:vAlign w:val="bottom"/>
          </w:tcPr>
          <w:p w14:paraId="3A66C40A" w14:textId="43181DDF" w:rsidR="00224102" w:rsidRPr="00692926" w:rsidRDefault="00224102" w:rsidP="00B31503">
            <w:pPr>
              <w:ind w:right="30"/>
              <w:jc w:val="right"/>
              <w:rPr>
                <w:sz w:val="18"/>
                <w:szCs w:val="18"/>
              </w:rPr>
            </w:pPr>
            <w:r w:rsidRPr="009653D9">
              <w:rPr>
                <w:sz w:val="18"/>
                <w:szCs w:val="18"/>
              </w:rPr>
              <w:t>-</w:t>
            </w:r>
          </w:p>
        </w:tc>
        <w:tc>
          <w:tcPr>
            <w:tcW w:w="1932" w:type="dxa"/>
            <w:vAlign w:val="bottom"/>
          </w:tcPr>
          <w:p w14:paraId="137B7DBD" w14:textId="78AB0782" w:rsidR="00224102" w:rsidRPr="00692926" w:rsidRDefault="00224102" w:rsidP="00B31503">
            <w:pPr>
              <w:ind w:right="30"/>
              <w:jc w:val="right"/>
              <w:rPr>
                <w:sz w:val="18"/>
                <w:szCs w:val="18"/>
              </w:rPr>
            </w:pPr>
            <w:r w:rsidRPr="00692926">
              <w:rPr>
                <w:sz w:val="18"/>
                <w:szCs w:val="18"/>
              </w:rPr>
              <w:t>274</w:t>
            </w:r>
          </w:p>
        </w:tc>
      </w:tr>
      <w:tr w:rsidR="00224102" w:rsidRPr="00604C75" w14:paraId="1FFDE7AD" w14:textId="77777777" w:rsidTr="00B31503">
        <w:trPr>
          <w:trHeight w:val="255"/>
        </w:trPr>
        <w:tc>
          <w:tcPr>
            <w:tcW w:w="5300" w:type="dxa"/>
            <w:vAlign w:val="bottom"/>
          </w:tcPr>
          <w:p w14:paraId="4DCD18D7" w14:textId="0C0E5F82" w:rsidR="00224102" w:rsidRPr="00604C75" w:rsidRDefault="00224102" w:rsidP="00224102">
            <w:pPr>
              <w:spacing w:line="206" w:lineRule="auto"/>
              <w:ind w:firstLineChars="200" w:firstLine="360"/>
              <w:contextualSpacing/>
              <w:rPr>
                <w:sz w:val="18"/>
                <w:szCs w:val="18"/>
              </w:rPr>
            </w:pPr>
            <w:r w:rsidRPr="00604C75">
              <w:rPr>
                <w:sz w:val="18"/>
                <w:szCs w:val="18"/>
              </w:rPr>
              <w:t xml:space="preserve">Provision for </w:t>
            </w:r>
            <w:r>
              <w:rPr>
                <w:sz w:val="18"/>
                <w:szCs w:val="18"/>
              </w:rPr>
              <w:t>I</w:t>
            </w:r>
            <w:r w:rsidRPr="00604C75">
              <w:rPr>
                <w:sz w:val="18"/>
                <w:szCs w:val="18"/>
              </w:rPr>
              <w:t>mpairment</w:t>
            </w:r>
          </w:p>
        </w:tc>
        <w:tc>
          <w:tcPr>
            <w:tcW w:w="2007" w:type="dxa"/>
            <w:vAlign w:val="bottom"/>
          </w:tcPr>
          <w:p w14:paraId="503EBC62" w14:textId="03FE575E" w:rsidR="00224102" w:rsidRPr="00692926" w:rsidRDefault="00224102" w:rsidP="00B31503">
            <w:pPr>
              <w:ind w:right="30"/>
              <w:jc w:val="right"/>
              <w:rPr>
                <w:sz w:val="18"/>
                <w:szCs w:val="18"/>
              </w:rPr>
            </w:pPr>
            <w:r w:rsidRPr="009653D9">
              <w:rPr>
                <w:sz w:val="18"/>
                <w:szCs w:val="18"/>
              </w:rPr>
              <w:t>(180)</w:t>
            </w:r>
          </w:p>
        </w:tc>
        <w:tc>
          <w:tcPr>
            <w:tcW w:w="1932" w:type="dxa"/>
            <w:vAlign w:val="bottom"/>
          </w:tcPr>
          <w:p w14:paraId="11CDD1FF" w14:textId="422FA271" w:rsidR="00224102" w:rsidRPr="00692926" w:rsidRDefault="00224102" w:rsidP="00B31503">
            <w:pPr>
              <w:ind w:right="30"/>
              <w:jc w:val="right"/>
              <w:rPr>
                <w:sz w:val="18"/>
                <w:szCs w:val="18"/>
              </w:rPr>
            </w:pPr>
            <w:r w:rsidRPr="00692926">
              <w:rPr>
                <w:sz w:val="18"/>
                <w:szCs w:val="18"/>
              </w:rPr>
              <w:t>-</w:t>
            </w:r>
          </w:p>
        </w:tc>
      </w:tr>
      <w:tr w:rsidR="00224102" w:rsidRPr="00604C75" w14:paraId="431784EC" w14:textId="77777777" w:rsidTr="00B31503">
        <w:trPr>
          <w:trHeight w:val="255"/>
        </w:trPr>
        <w:tc>
          <w:tcPr>
            <w:tcW w:w="5300" w:type="dxa"/>
            <w:vAlign w:val="bottom"/>
          </w:tcPr>
          <w:p w14:paraId="6AAD88A0" w14:textId="33B8B9CD" w:rsidR="00224102" w:rsidRPr="00604C75" w:rsidRDefault="00224102" w:rsidP="00224102">
            <w:pPr>
              <w:spacing w:line="206" w:lineRule="auto"/>
              <w:contextualSpacing/>
              <w:rPr>
                <w:b/>
                <w:sz w:val="18"/>
                <w:szCs w:val="18"/>
              </w:rPr>
            </w:pPr>
            <w:r w:rsidRPr="00604C75">
              <w:rPr>
                <w:b/>
                <w:bCs/>
                <w:sz w:val="18"/>
                <w:szCs w:val="18"/>
              </w:rPr>
              <w:t xml:space="preserve">Balance at the </w:t>
            </w:r>
            <w:r>
              <w:rPr>
                <w:b/>
                <w:bCs/>
                <w:sz w:val="18"/>
                <w:szCs w:val="18"/>
              </w:rPr>
              <w:t>E</w:t>
            </w:r>
            <w:r w:rsidRPr="00604C75">
              <w:rPr>
                <w:b/>
                <w:bCs/>
                <w:sz w:val="18"/>
                <w:szCs w:val="18"/>
              </w:rPr>
              <w:t xml:space="preserve">nd of the </w:t>
            </w:r>
            <w:r>
              <w:rPr>
                <w:b/>
                <w:bCs/>
                <w:sz w:val="18"/>
                <w:szCs w:val="18"/>
              </w:rPr>
              <w:t>P</w:t>
            </w:r>
            <w:r w:rsidRPr="00604C75">
              <w:rPr>
                <w:b/>
                <w:bCs/>
                <w:sz w:val="18"/>
                <w:szCs w:val="18"/>
              </w:rPr>
              <w:t>eriod</w:t>
            </w:r>
          </w:p>
        </w:tc>
        <w:tc>
          <w:tcPr>
            <w:tcW w:w="2007" w:type="dxa"/>
            <w:vAlign w:val="bottom"/>
          </w:tcPr>
          <w:p w14:paraId="1E5F457B" w14:textId="5E6950C0" w:rsidR="00224102" w:rsidRPr="00692926" w:rsidRDefault="00224102" w:rsidP="00B31503">
            <w:pPr>
              <w:ind w:right="30"/>
              <w:jc w:val="right"/>
              <w:rPr>
                <w:b/>
                <w:sz w:val="18"/>
                <w:szCs w:val="18"/>
              </w:rPr>
            </w:pPr>
            <w:r w:rsidRPr="009653D9">
              <w:rPr>
                <w:b/>
                <w:bCs/>
                <w:sz w:val="18"/>
                <w:szCs w:val="18"/>
              </w:rPr>
              <w:t>166,380</w:t>
            </w:r>
          </w:p>
        </w:tc>
        <w:tc>
          <w:tcPr>
            <w:tcW w:w="1932" w:type="dxa"/>
            <w:vAlign w:val="bottom"/>
          </w:tcPr>
          <w:p w14:paraId="47F953FA" w14:textId="3C2DF0E4" w:rsidR="00224102" w:rsidRPr="00692926" w:rsidRDefault="00224102" w:rsidP="00B31503">
            <w:pPr>
              <w:ind w:right="30"/>
              <w:jc w:val="right"/>
              <w:rPr>
                <w:b/>
                <w:sz w:val="18"/>
                <w:szCs w:val="18"/>
              </w:rPr>
            </w:pPr>
            <w:r w:rsidRPr="0056769C">
              <w:rPr>
                <w:b/>
                <w:sz w:val="18"/>
                <w:szCs w:val="18"/>
              </w:rPr>
              <w:t>146,323</w:t>
            </w:r>
          </w:p>
        </w:tc>
      </w:tr>
      <w:tr w:rsidR="00224102" w:rsidRPr="00604C75" w14:paraId="0E7CA6BA" w14:textId="77777777" w:rsidTr="00B31503">
        <w:trPr>
          <w:trHeight w:val="255"/>
        </w:trPr>
        <w:tc>
          <w:tcPr>
            <w:tcW w:w="5300" w:type="dxa"/>
            <w:vAlign w:val="bottom"/>
          </w:tcPr>
          <w:p w14:paraId="7853292C" w14:textId="50BCC19E" w:rsidR="00224102" w:rsidRPr="00604C75" w:rsidRDefault="00224102" w:rsidP="00224102">
            <w:pPr>
              <w:spacing w:line="206" w:lineRule="auto"/>
              <w:contextualSpacing/>
              <w:rPr>
                <w:b/>
                <w:sz w:val="18"/>
                <w:szCs w:val="18"/>
              </w:rPr>
            </w:pPr>
            <w:r w:rsidRPr="00604C75">
              <w:rPr>
                <w:b/>
                <w:bCs/>
                <w:sz w:val="18"/>
                <w:szCs w:val="18"/>
              </w:rPr>
              <w:t xml:space="preserve">Capital </w:t>
            </w:r>
            <w:r>
              <w:rPr>
                <w:b/>
                <w:bCs/>
                <w:sz w:val="18"/>
                <w:szCs w:val="18"/>
              </w:rPr>
              <w:t>C</w:t>
            </w:r>
            <w:r w:rsidRPr="00604C75">
              <w:rPr>
                <w:b/>
                <w:bCs/>
                <w:sz w:val="18"/>
                <w:szCs w:val="18"/>
              </w:rPr>
              <w:t>ommitments</w:t>
            </w:r>
          </w:p>
        </w:tc>
        <w:tc>
          <w:tcPr>
            <w:tcW w:w="2007" w:type="dxa"/>
            <w:vAlign w:val="bottom"/>
          </w:tcPr>
          <w:p w14:paraId="295F7C37" w14:textId="319E2414" w:rsidR="00224102" w:rsidRPr="00692926" w:rsidRDefault="00224102" w:rsidP="00B31503">
            <w:pPr>
              <w:ind w:right="30"/>
              <w:jc w:val="right"/>
              <w:rPr>
                <w:b/>
                <w:sz w:val="18"/>
                <w:szCs w:val="18"/>
              </w:rPr>
            </w:pPr>
            <w:r w:rsidRPr="009653D9">
              <w:rPr>
                <w:b/>
                <w:sz w:val="18"/>
                <w:szCs w:val="18"/>
              </w:rPr>
              <w:t>-</w:t>
            </w:r>
          </w:p>
        </w:tc>
        <w:tc>
          <w:tcPr>
            <w:tcW w:w="1932" w:type="dxa"/>
            <w:vAlign w:val="bottom"/>
          </w:tcPr>
          <w:p w14:paraId="4F2D0DF1" w14:textId="5796C6B8" w:rsidR="00224102" w:rsidRPr="00692926" w:rsidRDefault="00224102" w:rsidP="00B31503">
            <w:pPr>
              <w:ind w:right="30"/>
              <w:jc w:val="right"/>
              <w:rPr>
                <w:b/>
                <w:sz w:val="18"/>
                <w:szCs w:val="18"/>
              </w:rPr>
            </w:pPr>
            <w:r w:rsidRPr="00692926">
              <w:rPr>
                <w:b/>
                <w:sz w:val="18"/>
                <w:szCs w:val="18"/>
              </w:rPr>
              <w:t>-</w:t>
            </w:r>
          </w:p>
        </w:tc>
      </w:tr>
      <w:tr w:rsidR="00224102" w:rsidRPr="00604C75" w14:paraId="668C05BC" w14:textId="77777777" w:rsidTr="00B31503">
        <w:trPr>
          <w:trHeight w:val="255"/>
        </w:trPr>
        <w:tc>
          <w:tcPr>
            <w:tcW w:w="5300" w:type="dxa"/>
            <w:vAlign w:val="bottom"/>
          </w:tcPr>
          <w:p w14:paraId="5F14EEAE" w14:textId="18E726D7" w:rsidR="00224102" w:rsidRPr="00604C75" w:rsidRDefault="00224102" w:rsidP="00224102">
            <w:pPr>
              <w:spacing w:line="206" w:lineRule="auto"/>
              <w:contextualSpacing/>
              <w:rPr>
                <w:b/>
                <w:sz w:val="18"/>
                <w:szCs w:val="18"/>
              </w:rPr>
            </w:pPr>
            <w:r w:rsidRPr="00604C75">
              <w:rPr>
                <w:b/>
                <w:bCs/>
                <w:sz w:val="18"/>
                <w:szCs w:val="18"/>
              </w:rPr>
              <w:t xml:space="preserve">Share </w:t>
            </w:r>
            <w:r>
              <w:rPr>
                <w:b/>
                <w:bCs/>
                <w:sz w:val="18"/>
                <w:szCs w:val="18"/>
              </w:rPr>
              <w:t>P</w:t>
            </w:r>
            <w:r w:rsidRPr="00604C75">
              <w:rPr>
                <w:b/>
                <w:bCs/>
                <w:sz w:val="18"/>
                <w:szCs w:val="18"/>
              </w:rPr>
              <w:t xml:space="preserve">ercentage at the </w:t>
            </w:r>
            <w:r>
              <w:rPr>
                <w:b/>
                <w:bCs/>
                <w:sz w:val="18"/>
                <w:szCs w:val="18"/>
              </w:rPr>
              <w:t>En</w:t>
            </w:r>
            <w:r w:rsidRPr="00604C75">
              <w:rPr>
                <w:b/>
                <w:bCs/>
                <w:sz w:val="18"/>
                <w:szCs w:val="18"/>
              </w:rPr>
              <w:t xml:space="preserve">d of the </w:t>
            </w:r>
            <w:r>
              <w:rPr>
                <w:b/>
                <w:bCs/>
                <w:sz w:val="18"/>
                <w:szCs w:val="18"/>
              </w:rPr>
              <w:t>P</w:t>
            </w:r>
            <w:r w:rsidRPr="00604C75">
              <w:rPr>
                <w:b/>
                <w:bCs/>
                <w:sz w:val="18"/>
                <w:szCs w:val="18"/>
              </w:rPr>
              <w:t>eriod (%)</w:t>
            </w:r>
          </w:p>
        </w:tc>
        <w:tc>
          <w:tcPr>
            <w:tcW w:w="2007" w:type="dxa"/>
            <w:vAlign w:val="bottom"/>
          </w:tcPr>
          <w:p w14:paraId="4115837F" w14:textId="48C1197F" w:rsidR="00224102" w:rsidRPr="003261E3" w:rsidRDefault="00224102" w:rsidP="00B31503">
            <w:pPr>
              <w:ind w:right="30"/>
              <w:jc w:val="right"/>
              <w:rPr>
                <w:sz w:val="18"/>
                <w:szCs w:val="18"/>
              </w:rPr>
            </w:pPr>
            <w:r w:rsidRPr="009653D9">
              <w:rPr>
                <w:sz w:val="18"/>
                <w:szCs w:val="18"/>
              </w:rPr>
              <w:t>100</w:t>
            </w:r>
          </w:p>
        </w:tc>
        <w:tc>
          <w:tcPr>
            <w:tcW w:w="1932" w:type="dxa"/>
            <w:vAlign w:val="bottom"/>
          </w:tcPr>
          <w:p w14:paraId="71626365" w14:textId="0683CEE7" w:rsidR="00224102" w:rsidRPr="00A94260" w:rsidRDefault="00224102" w:rsidP="00B31503">
            <w:pPr>
              <w:ind w:right="30"/>
              <w:jc w:val="right"/>
              <w:rPr>
                <w:b/>
                <w:sz w:val="18"/>
                <w:szCs w:val="18"/>
              </w:rPr>
            </w:pPr>
            <w:r w:rsidRPr="00A94260">
              <w:rPr>
                <w:b/>
                <w:sz w:val="18"/>
                <w:szCs w:val="18"/>
              </w:rPr>
              <w:t>100</w:t>
            </w:r>
          </w:p>
        </w:tc>
      </w:tr>
    </w:tbl>
    <w:p w14:paraId="24C4FACE" w14:textId="77777777" w:rsidR="0044575F" w:rsidRPr="00604C75" w:rsidRDefault="00F41EB6" w:rsidP="00CD3BC4">
      <w:pPr>
        <w:pStyle w:val="BodyTextIndent"/>
        <w:tabs>
          <w:tab w:val="left" w:pos="567"/>
          <w:tab w:val="left" w:pos="1701"/>
        </w:tabs>
        <w:spacing w:before="120" w:after="0" w:line="206" w:lineRule="auto"/>
        <w:ind w:left="0"/>
        <w:contextualSpacing/>
        <w:rPr>
          <w:sz w:val="20"/>
          <w:szCs w:val="20"/>
        </w:rPr>
      </w:pPr>
      <w:r w:rsidRPr="00604C75">
        <w:rPr>
          <w:sz w:val="20"/>
          <w:szCs w:val="20"/>
        </w:rPr>
        <w:t>5</w:t>
      </w:r>
      <w:r w:rsidR="0044575F" w:rsidRPr="00604C75">
        <w:rPr>
          <w:sz w:val="20"/>
          <w:szCs w:val="20"/>
        </w:rPr>
        <w:t>.</w:t>
      </w:r>
      <w:r w:rsidR="0044575F" w:rsidRPr="00604C75">
        <w:rPr>
          <w:sz w:val="20"/>
          <w:szCs w:val="20"/>
        </w:rPr>
        <w:tab/>
      </w:r>
      <w:r w:rsidR="0044575F" w:rsidRPr="00604C75">
        <w:rPr>
          <w:noProof/>
          <w:sz w:val="20"/>
          <w:szCs w:val="20"/>
        </w:rPr>
        <w:t>Sectoral information on financial subsidiaries and the related carrying amounts</w:t>
      </w:r>
    </w:p>
    <w:p w14:paraId="33D66DD4" w14:textId="77777777" w:rsidR="0044575F" w:rsidRPr="00604C75" w:rsidRDefault="0044575F" w:rsidP="0099514C">
      <w:pPr>
        <w:pStyle w:val="BodyTextIndent"/>
        <w:spacing w:after="0" w:line="206" w:lineRule="auto"/>
        <w:ind w:left="1701"/>
        <w:contextualSpacing/>
        <w:rPr>
          <w:sz w:val="16"/>
          <w:szCs w:val="16"/>
        </w:rPr>
      </w:pP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30"/>
        <w:gridCol w:w="1977"/>
        <w:gridCol w:w="1946"/>
      </w:tblGrid>
      <w:tr w:rsidR="00CD3BC4" w:rsidRPr="00604C75" w14:paraId="30833BF3" w14:textId="77777777" w:rsidTr="00B31503">
        <w:trPr>
          <w:trHeight w:hRule="exact" w:val="227"/>
        </w:trPr>
        <w:tc>
          <w:tcPr>
            <w:tcW w:w="5330" w:type="dxa"/>
            <w:vAlign w:val="bottom"/>
          </w:tcPr>
          <w:p w14:paraId="4440324F" w14:textId="77777777" w:rsidR="00CD3BC4" w:rsidRPr="00604C75" w:rsidRDefault="00CD3BC4" w:rsidP="0099514C">
            <w:pPr>
              <w:pStyle w:val="xl79"/>
              <w:pBdr>
                <w:left w:val="none" w:sz="0" w:space="0" w:color="auto"/>
                <w:bottom w:val="none" w:sz="0" w:space="0" w:color="auto"/>
                <w:right w:val="none" w:sz="0" w:space="0" w:color="auto"/>
              </w:pBdr>
              <w:spacing w:before="0" w:beforeAutospacing="0" w:after="0" w:afterAutospacing="0" w:line="206" w:lineRule="auto"/>
              <w:contextualSpacing/>
              <w:rPr>
                <w:rFonts w:eastAsia="Times New Roman"/>
                <w:b/>
                <w:noProof/>
              </w:rPr>
            </w:pPr>
            <w:r w:rsidRPr="00604C75">
              <w:rPr>
                <w:b/>
                <w:noProof/>
              </w:rPr>
              <w:t>Subsidiaries</w:t>
            </w:r>
          </w:p>
        </w:tc>
        <w:tc>
          <w:tcPr>
            <w:tcW w:w="1977" w:type="dxa"/>
            <w:vAlign w:val="bottom"/>
          </w:tcPr>
          <w:p w14:paraId="6DD6E7CC" w14:textId="77777777" w:rsidR="00CD3BC4" w:rsidRPr="00604C75" w:rsidRDefault="00672357" w:rsidP="00B31503">
            <w:pPr>
              <w:spacing w:line="206" w:lineRule="auto"/>
              <w:ind w:right="33"/>
              <w:contextualSpacing/>
              <w:jc w:val="right"/>
              <w:rPr>
                <w:b/>
                <w:bCs/>
                <w:sz w:val="18"/>
                <w:szCs w:val="18"/>
              </w:rPr>
            </w:pPr>
            <w:r>
              <w:rPr>
                <w:b/>
                <w:iCs/>
                <w:sz w:val="18"/>
              </w:rPr>
              <w:t>31 December</w:t>
            </w:r>
            <w:r w:rsidRPr="00604C75">
              <w:rPr>
                <w:b/>
                <w:iCs/>
                <w:sz w:val="18"/>
              </w:rPr>
              <w:t xml:space="preserve"> </w:t>
            </w:r>
            <w:r w:rsidRPr="00604C75">
              <w:rPr>
                <w:b/>
                <w:bCs/>
                <w:sz w:val="18"/>
                <w:szCs w:val="18"/>
              </w:rPr>
              <w:t>2015</w:t>
            </w:r>
          </w:p>
        </w:tc>
        <w:tc>
          <w:tcPr>
            <w:tcW w:w="1946" w:type="dxa"/>
            <w:vAlign w:val="bottom"/>
          </w:tcPr>
          <w:p w14:paraId="68877AE9" w14:textId="77777777" w:rsidR="00CD3BC4" w:rsidRPr="00604C75" w:rsidRDefault="00CD3BC4" w:rsidP="00B31503">
            <w:pPr>
              <w:spacing w:line="206" w:lineRule="auto"/>
              <w:ind w:right="33"/>
              <w:contextualSpacing/>
              <w:jc w:val="right"/>
              <w:rPr>
                <w:rFonts w:eastAsia="Arial Unicode MS"/>
                <w:b/>
                <w:bCs/>
                <w:sz w:val="18"/>
                <w:szCs w:val="18"/>
              </w:rPr>
            </w:pPr>
            <w:r w:rsidRPr="00604C75">
              <w:rPr>
                <w:b/>
                <w:bCs/>
                <w:sz w:val="18"/>
                <w:szCs w:val="18"/>
              </w:rPr>
              <w:t>31 December 2014</w:t>
            </w:r>
          </w:p>
        </w:tc>
      </w:tr>
      <w:tr w:rsidR="00224102" w:rsidRPr="00604C75" w14:paraId="190A326F" w14:textId="77777777" w:rsidTr="00B31503">
        <w:trPr>
          <w:trHeight w:hRule="exact" w:val="227"/>
        </w:trPr>
        <w:tc>
          <w:tcPr>
            <w:tcW w:w="5330" w:type="dxa"/>
            <w:vAlign w:val="bottom"/>
          </w:tcPr>
          <w:p w14:paraId="359FA40F" w14:textId="77777777" w:rsidR="00224102" w:rsidRPr="00604C75" w:rsidRDefault="00224102" w:rsidP="00224102">
            <w:pPr>
              <w:spacing w:line="206" w:lineRule="auto"/>
              <w:contextualSpacing/>
              <w:rPr>
                <w:rFonts w:eastAsia="Arial Unicode MS"/>
                <w:noProof/>
                <w:sz w:val="18"/>
                <w:szCs w:val="18"/>
              </w:rPr>
            </w:pPr>
            <w:r w:rsidRPr="00604C75">
              <w:rPr>
                <w:noProof/>
                <w:sz w:val="18"/>
                <w:szCs w:val="18"/>
              </w:rPr>
              <w:t>Banks</w:t>
            </w:r>
          </w:p>
        </w:tc>
        <w:tc>
          <w:tcPr>
            <w:tcW w:w="1977" w:type="dxa"/>
            <w:vAlign w:val="bottom"/>
          </w:tcPr>
          <w:p w14:paraId="48659191" w14:textId="71090F9C" w:rsidR="00224102" w:rsidRDefault="00224102" w:rsidP="00B31503">
            <w:pPr>
              <w:ind w:right="33"/>
              <w:jc w:val="right"/>
              <w:rPr>
                <w:sz w:val="18"/>
                <w:szCs w:val="18"/>
              </w:rPr>
            </w:pPr>
            <w:r>
              <w:rPr>
                <w:sz w:val="18"/>
                <w:szCs w:val="18"/>
              </w:rPr>
              <w:t>-</w:t>
            </w:r>
          </w:p>
        </w:tc>
        <w:tc>
          <w:tcPr>
            <w:tcW w:w="1946" w:type="dxa"/>
            <w:vAlign w:val="bottom"/>
          </w:tcPr>
          <w:p w14:paraId="7B8E3167" w14:textId="7AC478EF" w:rsidR="00224102" w:rsidRPr="00692926" w:rsidRDefault="00224102" w:rsidP="00B31503">
            <w:pPr>
              <w:ind w:right="33"/>
              <w:jc w:val="right"/>
              <w:rPr>
                <w:sz w:val="18"/>
                <w:szCs w:val="18"/>
              </w:rPr>
            </w:pPr>
            <w:r w:rsidRPr="00692926">
              <w:rPr>
                <w:sz w:val="18"/>
                <w:szCs w:val="18"/>
              </w:rPr>
              <w:t>-</w:t>
            </w:r>
          </w:p>
        </w:tc>
      </w:tr>
      <w:tr w:rsidR="00224102" w:rsidRPr="00604C75" w14:paraId="794DAB86" w14:textId="77777777" w:rsidTr="00B31503">
        <w:trPr>
          <w:trHeight w:hRule="exact" w:val="227"/>
        </w:trPr>
        <w:tc>
          <w:tcPr>
            <w:tcW w:w="5330" w:type="dxa"/>
            <w:vAlign w:val="bottom"/>
          </w:tcPr>
          <w:p w14:paraId="373D8319"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line="206" w:lineRule="auto"/>
              <w:contextualSpacing/>
              <w:rPr>
                <w:rFonts w:eastAsia="Times New Roman"/>
                <w:noProof/>
              </w:rPr>
            </w:pPr>
            <w:r w:rsidRPr="00604C75">
              <w:rPr>
                <w:noProof/>
              </w:rPr>
              <w:t>Insurance Companies</w:t>
            </w:r>
          </w:p>
        </w:tc>
        <w:tc>
          <w:tcPr>
            <w:tcW w:w="1977" w:type="dxa"/>
            <w:vAlign w:val="bottom"/>
          </w:tcPr>
          <w:p w14:paraId="4DDB2774" w14:textId="33FD5F77" w:rsidR="00224102" w:rsidRDefault="00224102" w:rsidP="00B31503">
            <w:pPr>
              <w:ind w:right="33"/>
              <w:jc w:val="right"/>
              <w:rPr>
                <w:sz w:val="18"/>
                <w:szCs w:val="18"/>
              </w:rPr>
            </w:pPr>
            <w:r>
              <w:rPr>
                <w:sz w:val="18"/>
                <w:szCs w:val="18"/>
              </w:rPr>
              <w:t>-</w:t>
            </w:r>
          </w:p>
        </w:tc>
        <w:tc>
          <w:tcPr>
            <w:tcW w:w="1946" w:type="dxa"/>
            <w:vAlign w:val="bottom"/>
          </w:tcPr>
          <w:p w14:paraId="6B857105" w14:textId="4486D69E" w:rsidR="00224102" w:rsidRPr="00692926" w:rsidRDefault="00224102" w:rsidP="00B31503">
            <w:pPr>
              <w:ind w:right="33"/>
              <w:jc w:val="right"/>
              <w:rPr>
                <w:sz w:val="18"/>
                <w:szCs w:val="18"/>
              </w:rPr>
            </w:pPr>
            <w:r w:rsidRPr="00692926">
              <w:rPr>
                <w:sz w:val="18"/>
                <w:szCs w:val="18"/>
              </w:rPr>
              <w:t>-</w:t>
            </w:r>
          </w:p>
        </w:tc>
      </w:tr>
      <w:tr w:rsidR="00224102" w:rsidRPr="00604C75" w14:paraId="6CE40EBA" w14:textId="77777777" w:rsidTr="00B31503">
        <w:trPr>
          <w:trHeight w:hRule="exact" w:val="227"/>
        </w:trPr>
        <w:tc>
          <w:tcPr>
            <w:tcW w:w="5330" w:type="dxa"/>
            <w:vAlign w:val="bottom"/>
          </w:tcPr>
          <w:p w14:paraId="33BA244C" w14:textId="77777777" w:rsidR="00224102" w:rsidRPr="00604C75" w:rsidRDefault="00224102" w:rsidP="00224102">
            <w:pPr>
              <w:spacing w:line="206" w:lineRule="auto"/>
              <w:contextualSpacing/>
              <w:rPr>
                <w:noProof/>
                <w:sz w:val="18"/>
                <w:szCs w:val="18"/>
              </w:rPr>
            </w:pPr>
            <w:r w:rsidRPr="00604C75">
              <w:rPr>
                <w:noProof/>
                <w:sz w:val="18"/>
                <w:szCs w:val="18"/>
              </w:rPr>
              <w:t>Factoring Companies</w:t>
            </w:r>
          </w:p>
        </w:tc>
        <w:tc>
          <w:tcPr>
            <w:tcW w:w="1977" w:type="dxa"/>
            <w:vAlign w:val="bottom"/>
          </w:tcPr>
          <w:p w14:paraId="070F51C0" w14:textId="6715E8C5" w:rsidR="00224102" w:rsidRDefault="00224102" w:rsidP="00B31503">
            <w:pPr>
              <w:ind w:right="33"/>
              <w:jc w:val="right"/>
              <w:rPr>
                <w:sz w:val="18"/>
                <w:szCs w:val="18"/>
              </w:rPr>
            </w:pPr>
            <w:r>
              <w:rPr>
                <w:sz w:val="18"/>
                <w:szCs w:val="18"/>
              </w:rPr>
              <w:t>-</w:t>
            </w:r>
          </w:p>
        </w:tc>
        <w:tc>
          <w:tcPr>
            <w:tcW w:w="1946" w:type="dxa"/>
            <w:vAlign w:val="bottom"/>
          </w:tcPr>
          <w:p w14:paraId="71BFF9EE" w14:textId="7B888ABF" w:rsidR="00224102" w:rsidRPr="00692926" w:rsidRDefault="00224102" w:rsidP="00B31503">
            <w:pPr>
              <w:ind w:right="33"/>
              <w:jc w:val="right"/>
              <w:rPr>
                <w:sz w:val="18"/>
                <w:szCs w:val="18"/>
              </w:rPr>
            </w:pPr>
            <w:r w:rsidRPr="00692926">
              <w:rPr>
                <w:sz w:val="18"/>
                <w:szCs w:val="18"/>
              </w:rPr>
              <w:t>-</w:t>
            </w:r>
          </w:p>
        </w:tc>
      </w:tr>
      <w:tr w:rsidR="00224102" w:rsidRPr="00604C75" w14:paraId="21242731" w14:textId="77777777" w:rsidTr="00B31503">
        <w:trPr>
          <w:trHeight w:hRule="exact" w:val="227"/>
        </w:trPr>
        <w:tc>
          <w:tcPr>
            <w:tcW w:w="5330" w:type="dxa"/>
            <w:vAlign w:val="bottom"/>
          </w:tcPr>
          <w:p w14:paraId="0415EBBC" w14:textId="77777777" w:rsidR="00224102" w:rsidRPr="00604C75" w:rsidRDefault="00224102" w:rsidP="00224102">
            <w:pPr>
              <w:spacing w:line="206" w:lineRule="auto"/>
              <w:contextualSpacing/>
              <w:rPr>
                <w:noProof/>
                <w:sz w:val="18"/>
                <w:szCs w:val="18"/>
              </w:rPr>
            </w:pPr>
            <w:r w:rsidRPr="00604C75">
              <w:rPr>
                <w:noProof/>
                <w:sz w:val="18"/>
                <w:szCs w:val="18"/>
              </w:rPr>
              <w:t>Leasing Companies</w:t>
            </w:r>
          </w:p>
        </w:tc>
        <w:tc>
          <w:tcPr>
            <w:tcW w:w="1977" w:type="dxa"/>
            <w:vAlign w:val="bottom"/>
          </w:tcPr>
          <w:p w14:paraId="58015001" w14:textId="6900EEE1" w:rsidR="00224102" w:rsidRPr="00CB3D7B" w:rsidRDefault="00224102" w:rsidP="00B31503">
            <w:pPr>
              <w:ind w:right="33"/>
              <w:jc w:val="right"/>
              <w:rPr>
                <w:sz w:val="18"/>
                <w:szCs w:val="18"/>
              </w:rPr>
            </w:pPr>
            <w:r w:rsidRPr="009F2274">
              <w:rPr>
                <w:sz w:val="18"/>
                <w:szCs w:val="18"/>
              </w:rPr>
              <w:t>142,165</w:t>
            </w:r>
          </w:p>
        </w:tc>
        <w:tc>
          <w:tcPr>
            <w:tcW w:w="1946" w:type="dxa"/>
            <w:vAlign w:val="bottom"/>
          </w:tcPr>
          <w:p w14:paraId="456725DB" w14:textId="1A9C8C91" w:rsidR="00224102" w:rsidRPr="00692926" w:rsidRDefault="00224102" w:rsidP="00B31503">
            <w:pPr>
              <w:ind w:right="33"/>
              <w:jc w:val="right"/>
              <w:rPr>
                <w:sz w:val="18"/>
                <w:szCs w:val="18"/>
              </w:rPr>
            </w:pPr>
            <w:r w:rsidRPr="00692926">
              <w:rPr>
                <w:sz w:val="18"/>
                <w:szCs w:val="18"/>
              </w:rPr>
              <w:t>120,629</w:t>
            </w:r>
          </w:p>
        </w:tc>
      </w:tr>
      <w:tr w:rsidR="00224102" w:rsidRPr="00604C75" w14:paraId="4075C41C" w14:textId="77777777" w:rsidTr="00B31503">
        <w:trPr>
          <w:trHeight w:hRule="exact" w:val="227"/>
        </w:trPr>
        <w:tc>
          <w:tcPr>
            <w:tcW w:w="5330" w:type="dxa"/>
            <w:vAlign w:val="bottom"/>
          </w:tcPr>
          <w:p w14:paraId="0300341C" w14:textId="77777777" w:rsidR="00224102" w:rsidRPr="00604C75" w:rsidRDefault="00224102" w:rsidP="00224102">
            <w:pPr>
              <w:spacing w:line="206" w:lineRule="auto"/>
              <w:contextualSpacing/>
              <w:rPr>
                <w:noProof/>
                <w:sz w:val="18"/>
                <w:szCs w:val="18"/>
              </w:rPr>
            </w:pPr>
            <w:r w:rsidRPr="00604C75">
              <w:rPr>
                <w:noProof/>
                <w:sz w:val="18"/>
                <w:szCs w:val="18"/>
              </w:rPr>
              <w:t>Finance Companies</w:t>
            </w:r>
          </w:p>
        </w:tc>
        <w:tc>
          <w:tcPr>
            <w:tcW w:w="1977" w:type="dxa"/>
            <w:vAlign w:val="bottom"/>
          </w:tcPr>
          <w:p w14:paraId="39DBB737" w14:textId="002E6056" w:rsidR="00224102" w:rsidRPr="00CB3D7B" w:rsidRDefault="00224102" w:rsidP="00B31503">
            <w:pPr>
              <w:ind w:right="33"/>
              <w:jc w:val="right"/>
              <w:rPr>
                <w:sz w:val="18"/>
                <w:szCs w:val="18"/>
              </w:rPr>
            </w:pPr>
            <w:r w:rsidRPr="00CB3D7B">
              <w:rPr>
                <w:sz w:val="18"/>
                <w:szCs w:val="18"/>
              </w:rPr>
              <w:t>-</w:t>
            </w:r>
          </w:p>
        </w:tc>
        <w:tc>
          <w:tcPr>
            <w:tcW w:w="1946" w:type="dxa"/>
            <w:vAlign w:val="bottom"/>
          </w:tcPr>
          <w:p w14:paraId="3D1096CB" w14:textId="3DB71F68" w:rsidR="00224102" w:rsidRPr="00692926" w:rsidRDefault="00224102" w:rsidP="00B31503">
            <w:pPr>
              <w:ind w:right="33"/>
              <w:jc w:val="right"/>
              <w:rPr>
                <w:sz w:val="18"/>
                <w:szCs w:val="18"/>
              </w:rPr>
            </w:pPr>
            <w:r w:rsidRPr="00692926">
              <w:rPr>
                <w:sz w:val="18"/>
                <w:szCs w:val="18"/>
              </w:rPr>
              <w:t>-</w:t>
            </w:r>
          </w:p>
        </w:tc>
      </w:tr>
      <w:tr w:rsidR="00224102" w:rsidRPr="00604C75" w14:paraId="1E504535" w14:textId="77777777" w:rsidTr="00B31503">
        <w:trPr>
          <w:trHeight w:hRule="exact" w:val="227"/>
        </w:trPr>
        <w:tc>
          <w:tcPr>
            <w:tcW w:w="5330" w:type="dxa"/>
            <w:vAlign w:val="bottom"/>
          </w:tcPr>
          <w:p w14:paraId="00F14243" w14:textId="77777777" w:rsidR="00224102" w:rsidRPr="00604C75" w:rsidRDefault="00224102" w:rsidP="00224102">
            <w:pPr>
              <w:spacing w:line="206" w:lineRule="auto"/>
              <w:contextualSpacing/>
              <w:rPr>
                <w:noProof/>
                <w:sz w:val="18"/>
                <w:szCs w:val="18"/>
              </w:rPr>
            </w:pPr>
            <w:r w:rsidRPr="00604C75">
              <w:rPr>
                <w:noProof/>
                <w:sz w:val="18"/>
                <w:szCs w:val="18"/>
              </w:rPr>
              <w:t>Other Financial Subsidiaries</w:t>
            </w:r>
          </w:p>
        </w:tc>
        <w:tc>
          <w:tcPr>
            <w:tcW w:w="1977" w:type="dxa"/>
            <w:vAlign w:val="bottom"/>
          </w:tcPr>
          <w:p w14:paraId="4287C0E2" w14:textId="737AFC7E" w:rsidR="00224102" w:rsidRPr="00CB3D7B" w:rsidRDefault="00224102" w:rsidP="00B31503">
            <w:pPr>
              <w:ind w:right="33"/>
              <w:jc w:val="right"/>
              <w:rPr>
                <w:sz w:val="18"/>
                <w:szCs w:val="18"/>
              </w:rPr>
            </w:pPr>
            <w:r w:rsidRPr="009F2274">
              <w:rPr>
                <w:sz w:val="18"/>
                <w:szCs w:val="18"/>
              </w:rPr>
              <w:t>24,215</w:t>
            </w:r>
          </w:p>
        </w:tc>
        <w:tc>
          <w:tcPr>
            <w:tcW w:w="1946" w:type="dxa"/>
            <w:vAlign w:val="bottom"/>
          </w:tcPr>
          <w:p w14:paraId="6CFF6EF3" w14:textId="2BDA4C3A" w:rsidR="00224102" w:rsidRPr="00692926" w:rsidRDefault="00224102" w:rsidP="00B31503">
            <w:pPr>
              <w:ind w:right="33"/>
              <w:jc w:val="right"/>
              <w:rPr>
                <w:sz w:val="18"/>
                <w:szCs w:val="18"/>
              </w:rPr>
            </w:pPr>
            <w:r w:rsidRPr="00692926">
              <w:rPr>
                <w:sz w:val="18"/>
                <w:szCs w:val="18"/>
              </w:rPr>
              <w:t>25,694</w:t>
            </w:r>
          </w:p>
        </w:tc>
      </w:tr>
    </w:tbl>
    <w:p w14:paraId="087BCF82" w14:textId="77777777" w:rsidR="009E467E" w:rsidRDefault="009E467E" w:rsidP="005604CD">
      <w:pPr>
        <w:pStyle w:val="BodyTextIndent"/>
        <w:spacing w:before="120" w:after="0" w:line="223" w:lineRule="auto"/>
        <w:ind w:left="0"/>
        <w:contextualSpacing/>
        <w:rPr>
          <w:rFonts w:eastAsia="Arial Unicode MS"/>
          <w:b/>
          <w:sz w:val="20"/>
          <w:szCs w:val="20"/>
        </w:rPr>
      </w:pPr>
    </w:p>
    <w:p w14:paraId="10D46C1F" w14:textId="77777777" w:rsidR="009E467E" w:rsidRDefault="009E467E">
      <w:pPr>
        <w:spacing w:after="200" w:line="276" w:lineRule="auto"/>
        <w:rPr>
          <w:rFonts w:eastAsia="Arial Unicode MS"/>
          <w:b/>
          <w:sz w:val="20"/>
          <w:szCs w:val="20"/>
        </w:rPr>
      </w:pPr>
      <w:r>
        <w:rPr>
          <w:rFonts w:eastAsia="Arial Unicode MS"/>
          <w:b/>
          <w:sz w:val="20"/>
          <w:szCs w:val="20"/>
        </w:rPr>
        <w:br w:type="page"/>
      </w:r>
    </w:p>
    <w:p w14:paraId="40449616" w14:textId="0DD84CC3" w:rsidR="005604CD" w:rsidRPr="00604C75" w:rsidRDefault="00B27B7B" w:rsidP="00490153">
      <w:pPr>
        <w:pStyle w:val="BodyTextIndent"/>
        <w:spacing w:before="120" w:after="0" w:line="223" w:lineRule="auto"/>
        <w:ind w:left="0"/>
        <w:contextualSpacing/>
        <w:rPr>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5873504D" w14:textId="304145B9" w:rsidR="005604CD" w:rsidRPr="00604C75" w:rsidRDefault="005604CD" w:rsidP="00490153">
      <w:pPr>
        <w:pStyle w:val="Heading2"/>
        <w:tabs>
          <w:tab w:val="left" w:pos="851"/>
        </w:tabs>
        <w:spacing w:after="120"/>
        <w:ind w:left="851" w:hanging="851"/>
        <w:rPr>
          <w:rFonts w:ascii="Times New Roman" w:hAnsi="Times New Roman"/>
          <w:caps/>
          <w:sz w:val="20"/>
        </w:rPr>
      </w:pPr>
      <w:r w:rsidRPr="00604C75">
        <w:rPr>
          <w:rFonts w:ascii="Times New Roman" w:hAnsi="Times New Roman"/>
          <w:caps/>
          <w:sz w:val="20"/>
        </w:rPr>
        <w:t xml:space="preserve">I.         </w:t>
      </w:r>
      <w:r w:rsidR="00647320" w:rsidRPr="00604C75">
        <w:rPr>
          <w:rFonts w:ascii="Times New Roman" w:hAnsi="Times New Roman"/>
          <w:sz w:val="20"/>
        </w:rPr>
        <w:t>Explanations</w:t>
      </w:r>
      <w:r w:rsidR="00647320" w:rsidRPr="00604C75" w:rsidDel="002C004A">
        <w:rPr>
          <w:rFonts w:ascii="Times New Roman" w:hAnsi="Times New Roman"/>
          <w:caps/>
          <w:sz w:val="20"/>
        </w:rPr>
        <w:t xml:space="preserve"> </w:t>
      </w:r>
      <w:r w:rsidR="00647320" w:rsidRPr="00604C75">
        <w:rPr>
          <w:rFonts w:ascii="Times New Roman" w:hAnsi="Times New Roman"/>
          <w:sz w:val="20"/>
        </w:rPr>
        <w:t xml:space="preserve">and Notes </w:t>
      </w:r>
      <w:r w:rsidR="00647320">
        <w:rPr>
          <w:rFonts w:ascii="Times New Roman" w:hAnsi="Times New Roman"/>
          <w:sz w:val="20"/>
        </w:rPr>
        <w:t xml:space="preserve">on </w:t>
      </w:r>
      <w:r w:rsidR="00647320" w:rsidRPr="00604C75">
        <w:rPr>
          <w:rFonts w:ascii="Times New Roman" w:hAnsi="Times New Roman"/>
          <w:sz w:val="20"/>
        </w:rPr>
        <w:t>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5ADC6EF1" w14:textId="77777777" w:rsidR="005604CD" w:rsidRDefault="005604CD" w:rsidP="00490153">
      <w:pPr>
        <w:spacing w:before="120" w:after="100"/>
        <w:ind w:left="839" w:hanging="839"/>
        <w:rPr>
          <w:bCs/>
          <w:sz w:val="20"/>
          <w:szCs w:val="20"/>
        </w:rPr>
      </w:pPr>
      <w:r>
        <w:rPr>
          <w:b/>
          <w:sz w:val="20"/>
          <w:szCs w:val="20"/>
        </w:rPr>
        <w:t xml:space="preserve">h.        </w:t>
      </w:r>
      <w:r w:rsidRPr="00604C75">
        <w:rPr>
          <w:b/>
          <w:noProof/>
          <w:sz w:val="20"/>
          <w:szCs w:val="20"/>
        </w:rPr>
        <w:t>Information on subsidiaries (Net) (Continued)</w:t>
      </w:r>
    </w:p>
    <w:p w14:paraId="5598ECA4" w14:textId="77777777" w:rsidR="00F75089" w:rsidRPr="00604C75" w:rsidRDefault="00F75089" w:rsidP="00490153">
      <w:pPr>
        <w:spacing w:before="120"/>
        <w:ind w:left="840" w:hanging="840"/>
        <w:rPr>
          <w:bCs/>
          <w:sz w:val="20"/>
          <w:szCs w:val="20"/>
        </w:rPr>
      </w:pPr>
      <w:r w:rsidRPr="00604C75">
        <w:rPr>
          <w:bCs/>
          <w:sz w:val="20"/>
          <w:szCs w:val="20"/>
        </w:rPr>
        <w:t>6.      Valuation of investmen</w:t>
      </w:r>
      <w:r w:rsidR="006B1A3A" w:rsidRPr="00604C75">
        <w:rPr>
          <w:bCs/>
          <w:sz w:val="20"/>
          <w:szCs w:val="20"/>
        </w:rPr>
        <w:t>ts in consolidated subsidiaries</w:t>
      </w:r>
    </w:p>
    <w:p w14:paraId="66BB284B" w14:textId="77777777" w:rsidR="00F75089" w:rsidRPr="00604C75" w:rsidRDefault="00F75089" w:rsidP="00CD3BC4">
      <w:pPr>
        <w:pStyle w:val="BodyTextIndent"/>
        <w:spacing w:after="0" w:line="120" w:lineRule="auto"/>
        <w:ind w:left="1701"/>
        <w:contextualSpacing/>
        <w:rPr>
          <w:sz w:val="18"/>
          <w:szCs w:val="18"/>
        </w:rPr>
      </w:pPr>
    </w:p>
    <w:tbl>
      <w:tblPr>
        <w:tblW w:w="9356"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19"/>
        <w:gridCol w:w="1988"/>
        <w:gridCol w:w="2049"/>
      </w:tblGrid>
      <w:tr w:rsidR="00CD3BC4" w:rsidRPr="00604C75" w14:paraId="543E8D84" w14:textId="77777777" w:rsidTr="00972978">
        <w:trPr>
          <w:trHeight w:val="317"/>
        </w:trPr>
        <w:tc>
          <w:tcPr>
            <w:tcW w:w="5319" w:type="dxa"/>
            <w:vAlign w:val="bottom"/>
          </w:tcPr>
          <w:p w14:paraId="3505A17C" w14:textId="77777777" w:rsidR="00CD3BC4" w:rsidRPr="00604C75" w:rsidRDefault="00CD3BC4" w:rsidP="0032757D">
            <w:pPr>
              <w:ind w:left="-425" w:firstLine="425"/>
              <w:rPr>
                <w:rFonts w:eastAsia="Arial Unicode MS"/>
                <w:b/>
                <w:bCs/>
                <w:sz w:val="18"/>
                <w:szCs w:val="18"/>
              </w:rPr>
            </w:pPr>
          </w:p>
        </w:tc>
        <w:tc>
          <w:tcPr>
            <w:tcW w:w="1988" w:type="dxa"/>
            <w:vAlign w:val="bottom"/>
          </w:tcPr>
          <w:p w14:paraId="3410DC87" w14:textId="1589BE94" w:rsidR="00CD3BC4" w:rsidRPr="00604C75" w:rsidRDefault="004645C5" w:rsidP="00972978">
            <w:pPr>
              <w:spacing w:line="206" w:lineRule="auto"/>
              <w:ind w:right="58"/>
              <w:contextualSpacing/>
              <w:jc w:val="right"/>
              <w:rPr>
                <w:b/>
                <w:bCs/>
                <w:sz w:val="18"/>
                <w:szCs w:val="18"/>
              </w:rPr>
            </w:pPr>
            <w:r>
              <w:rPr>
                <w:b/>
                <w:iCs/>
                <w:sz w:val="18"/>
              </w:rPr>
              <w:t>3</w:t>
            </w:r>
            <w:r w:rsidR="00344429">
              <w:rPr>
                <w:b/>
                <w:iCs/>
                <w:sz w:val="18"/>
              </w:rPr>
              <w:t>1</w:t>
            </w:r>
            <w:r>
              <w:rPr>
                <w:b/>
                <w:iCs/>
                <w:sz w:val="18"/>
              </w:rPr>
              <w:t xml:space="preserve"> </w:t>
            </w:r>
            <w:r w:rsidR="00344429">
              <w:rPr>
                <w:b/>
                <w:iCs/>
                <w:sz w:val="18"/>
              </w:rPr>
              <w:t>December</w:t>
            </w:r>
            <w:r w:rsidR="00344429" w:rsidRPr="00604C75">
              <w:rPr>
                <w:b/>
                <w:iCs/>
                <w:sz w:val="18"/>
              </w:rPr>
              <w:t xml:space="preserve"> </w:t>
            </w:r>
            <w:r w:rsidR="00CD3BC4" w:rsidRPr="00604C75">
              <w:rPr>
                <w:b/>
                <w:bCs/>
                <w:sz w:val="18"/>
                <w:szCs w:val="18"/>
              </w:rPr>
              <w:t>2015</w:t>
            </w:r>
          </w:p>
        </w:tc>
        <w:tc>
          <w:tcPr>
            <w:tcW w:w="2049" w:type="dxa"/>
            <w:vAlign w:val="bottom"/>
          </w:tcPr>
          <w:p w14:paraId="05E8EFA7" w14:textId="77777777" w:rsidR="00CD3BC4" w:rsidRPr="00604C75" w:rsidRDefault="00CD3BC4" w:rsidP="00972978">
            <w:pPr>
              <w:spacing w:line="206" w:lineRule="auto"/>
              <w:ind w:right="58"/>
              <w:contextualSpacing/>
              <w:jc w:val="right"/>
              <w:rPr>
                <w:rFonts w:eastAsia="Arial Unicode MS"/>
                <w:b/>
                <w:bCs/>
                <w:sz w:val="18"/>
                <w:szCs w:val="18"/>
              </w:rPr>
            </w:pPr>
            <w:r w:rsidRPr="00604C75">
              <w:rPr>
                <w:b/>
                <w:bCs/>
                <w:sz w:val="18"/>
                <w:szCs w:val="18"/>
              </w:rPr>
              <w:t>31 December 2014</w:t>
            </w:r>
          </w:p>
        </w:tc>
      </w:tr>
      <w:tr w:rsidR="00224102" w:rsidRPr="00604C75" w14:paraId="6279617D" w14:textId="77777777" w:rsidTr="00972978">
        <w:trPr>
          <w:trHeight w:val="317"/>
        </w:trPr>
        <w:tc>
          <w:tcPr>
            <w:tcW w:w="5319" w:type="dxa"/>
            <w:vAlign w:val="bottom"/>
          </w:tcPr>
          <w:p w14:paraId="7EC7F577" w14:textId="77777777" w:rsidR="00224102" w:rsidRPr="00604C75" w:rsidRDefault="00224102" w:rsidP="00224102">
            <w:pPr>
              <w:rPr>
                <w:rFonts w:eastAsia="Arial Unicode MS"/>
                <w:iCs/>
                <w:sz w:val="18"/>
                <w:szCs w:val="18"/>
              </w:rPr>
            </w:pPr>
            <w:r w:rsidRPr="00604C75">
              <w:rPr>
                <w:rFonts w:eastAsia="Arial Unicode MS"/>
                <w:iCs/>
                <w:sz w:val="18"/>
                <w:szCs w:val="18"/>
              </w:rPr>
              <w:t>Cost Value Method</w:t>
            </w:r>
          </w:p>
        </w:tc>
        <w:tc>
          <w:tcPr>
            <w:tcW w:w="1988" w:type="dxa"/>
            <w:vAlign w:val="bottom"/>
          </w:tcPr>
          <w:p w14:paraId="5820C160" w14:textId="63862B7C" w:rsidR="00224102" w:rsidRPr="00692926" w:rsidRDefault="00224102" w:rsidP="00972978">
            <w:pPr>
              <w:ind w:right="58"/>
              <w:jc w:val="right"/>
              <w:rPr>
                <w:sz w:val="18"/>
                <w:szCs w:val="18"/>
                <w:lang w:eastAsia="zh-CN"/>
              </w:rPr>
            </w:pPr>
            <w:r>
              <w:rPr>
                <w:sz w:val="18"/>
                <w:szCs w:val="18"/>
                <w:lang w:eastAsia="zh-CN"/>
              </w:rPr>
              <w:t>166,380</w:t>
            </w:r>
          </w:p>
        </w:tc>
        <w:tc>
          <w:tcPr>
            <w:tcW w:w="2049" w:type="dxa"/>
            <w:vAlign w:val="bottom"/>
          </w:tcPr>
          <w:p w14:paraId="7BA7767C" w14:textId="6712F9F4" w:rsidR="00224102" w:rsidRPr="00692926" w:rsidRDefault="00224102" w:rsidP="00972978">
            <w:pPr>
              <w:ind w:right="58"/>
              <w:jc w:val="right"/>
              <w:rPr>
                <w:sz w:val="18"/>
                <w:szCs w:val="18"/>
                <w:lang w:eastAsia="zh-CN"/>
              </w:rPr>
            </w:pPr>
            <w:r w:rsidRPr="00692926">
              <w:rPr>
                <w:sz w:val="18"/>
                <w:szCs w:val="18"/>
                <w:lang w:eastAsia="zh-CN"/>
              </w:rPr>
              <w:t>144,844</w:t>
            </w:r>
          </w:p>
        </w:tc>
      </w:tr>
      <w:tr w:rsidR="00224102" w:rsidRPr="00604C75" w14:paraId="4E8B63FA" w14:textId="77777777" w:rsidTr="00972978">
        <w:trPr>
          <w:trHeight w:val="317"/>
        </w:trPr>
        <w:tc>
          <w:tcPr>
            <w:tcW w:w="5319" w:type="dxa"/>
            <w:vAlign w:val="bottom"/>
          </w:tcPr>
          <w:p w14:paraId="659DEEB8" w14:textId="77777777" w:rsidR="00224102" w:rsidRPr="00604C75" w:rsidRDefault="00224102" w:rsidP="00224102">
            <w:pPr>
              <w:rPr>
                <w:rFonts w:eastAsia="Arial Unicode MS"/>
                <w:iCs/>
                <w:sz w:val="18"/>
                <w:szCs w:val="18"/>
              </w:rPr>
            </w:pPr>
            <w:r w:rsidRPr="00604C75">
              <w:rPr>
                <w:rFonts w:eastAsia="Arial Unicode MS"/>
                <w:iCs/>
                <w:sz w:val="18"/>
                <w:szCs w:val="18"/>
              </w:rPr>
              <w:t xml:space="preserve">Fair Value Method </w:t>
            </w:r>
          </w:p>
        </w:tc>
        <w:tc>
          <w:tcPr>
            <w:tcW w:w="1988" w:type="dxa"/>
            <w:vAlign w:val="bottom"/>
          </w:tcPr>
          <w:p w14:paraId="76DC01C6" w14:textId="09EDB353" w:rsidR="00224102" w:rsidRPr="00692926" w:rsidRDefault="00224102" w:rsidP="00972978">
            <w:pPr>
              <w:ind w:right="58"/>
              <w:jc w:val="right"/>
              <w:rPr>
                <w:sz w:val="18"/>
                <w:szCs w:val="18"/>
              </w:rPr>
            </w:pPr>
            <w:r>
              <w:rPr>
                <w:sz w:val="18"/>
                <w:szCs w:val="18"/>
              </w:rPr>
              <w:t>-</w:t>
            </w:r>
          </w:p>
        </w:tc>
        <w:tc>
          <w:tcPr>
            <w:tcW w:w="2049" w:type="dxa"/>
            <w:vAlign w:val="bottom"/>
          </w:tcPr>
          <w:p w14:paraId="713D0F93" w14:textId="02588A26" w:rsidR="00224102" w:rsidRPr="00692926" w:rsidRDefault="00224102" w:rsidP="00972978">
            <w:pPr>
              <w:ind w:right="58"/>
              <w:jc w:val="right"/>
              <w:rPr>
                <w:sz w:val="18"/>
                <w:szCs w:val="18"/>
              </w:rPr>
            </w:pPr>
            <w:r w:rsidRPr="00692926">
              <w:rPr>
                <w:sz w:val="18"/>
                <w:szCs w:val="18"/>
              </w:rPr>
              <w:t>1,479</w:t>
            </w:r>
          </w:p>
        </w:tc>
      </w:tr>
      <w:tr w:rsidR="00224102" w:rsidRPr="00604C75" w14:paraId="38F60302" w14:textId="77777777" w:rsidTr="00972978">
        <w:trPr>
          <w:trHeight w:val="317"/>
        </w:trPr>
        <w:tc>
          <w:tcPr>
            <w:tcW w:w="5319" w:type="dxa"/>
            <w:vAlign w:val="bottom"/>
          </w:tcPr>
          <w:p w14:paraId="5487451C" w14:textId="77777777" w:rsidR="00224102" w:rsidRPr="00604C75" w:rsidRDefault="00224102" w:rsidP="00224102">
            <w:pPr>
              <w:rPr>
                <w:rFonts w:eastAsia="Arial Unicode MS"/>
                <w:iCs/>
                <w:sz w:val="18"/>
                <w:szCs w:val="18"/>
              </w:rPr>
            </w:pPr>
            <w:r w:rsidRPr="00604C75">
              <w:rPr>
                <w:rFonts w:eastAsia="Arial Unicode MS"/>
                <w:iCs/>
                <w:sz w:val="18"/>
                <w:szCs w:val="18"/>
              </w:rPr>
              <w:t xml:space="preserve">Equity Method </w:t>
            </w:r>
          </w:p>
        </w:tc>
        <w:tc>
          <w:tcPr>
            <w:tcW w:w="1988" w:type="dxa"/>
            <w:vAlign w:val="bottom"/>
          </w:tcPr>
          <w:p w14:paraId="64733476" w14:textId="589A9647" w:rsidR="00224102" w:rsidRPr="00692926" w:rsidRDefault="00224102" w:rsidP="00972978">
            <w:pPr>
              <w:ind w:right="58"/>
              <w:jc w:val="right"/>
              <w:rPr>
                <w:sz w:val="18"/>
                <w:szCs w:val="18"/>
              </w:rPr>
            </w:pPr>
            <w:r>
              <w:rPr>
                <w:sz w:val="18"/>
                <w:szCs w:val="18"/>
              </w:rPr>
              <w:t>-</w:t>
            </w:r>
          </w:p>
        </w:tc>
        <w:tc>
          <w:tcPr>
            <w:tcW w:w="2049" w:type="dxa"/>
            <w:vAlign w:val="bottom"/>
          </w:tcPr>
          <w:p w14:paraId="32B08549" w14:textId="0A6AB243" w:rsidR="00224102" w:rsidRPr="00692926" w:rsidRDefault="00224102" w:rsidP="00972978">
            <w:pPr>
              <w:ind w:right="58"/>
              <w:jc w:val="right"/>
              <w:rPr>
                <w:sz w:val="18"/>
                <w:szCs w:val="18"/>
              </w:rPr>
            </w:pPr>
            <w:r w:rsidRPr="00692926">
              <w:rPr>
                <w:sz w:val="18"/>
                <w:szCs w:val="18"/>
              </w:rPr>
              <w:t>-</w:t>
            </w:r>
          </w:p>
        </w:tc>
      </w:tr>
      <w:tr w:rsidR="00224102" w:rsidRPr="00604C75" w14:paraId="75913DF5" w14:textId="77777777" w:rsidTr="00972978">
        <w:trPr>
          <w:trHeight w:val="317"/>
        </w:trPr>
        <w:tc>
          <w:tcPr>
            <w:tcW w:w="5319" w:type="dxa"/>
            <w:vAlign w:val="bottom"/>
          </w:tcPr>
          <w:p w14:paraId="50DE3420" w14:textId="77777777" w:rsidR="00224102" w:rsidRPr="00604C75" w:rsidRDefault="00224102" w:rsidP="00224102">
            <w:pPr>
              <w:rPr>
                <w:rFonts w:eastAsia="Arial Unicode MS"/>
                <w:b/>
                <w:iCs/>
                <w:sz w:val="18"/>
                <w:szCs w:val="18"/>
              </w:rPr>
            </w:pPr>
            <w:r w:rsidRPr="00604C75">
              <w:rPr>
                <w:rFonts w:eastAsia="Arial Unicode MS"/>
                <w:b/>
                <w:iCs/>
                <w:sz w:val="18"/>
                <w:szCs w:val="18"/>
              </w:rPr>
              <w:t>Total</w:t>
            </w:r>
          </w:p>
        </w:tc>
        <w:tc>
          <w:tcPr>
            <w:tcW w:w="1988" w:type="dxa"/>
            <w:vAlign w:val="bottom"/>
          </w:tcPr>
          <w:p w14:paraId="778285A4" w14:textId="131FB4F0" w:rsidR="00224102" w:rsidRPr="00692926" w:rsidRDefault="00224102" w:rsidP="00972978">
            <w:pPr>
              <w:ind w:right="58"/>
              <w:jc w:val="right"/>
              <w:rPr>
                <w:b/>
                <w:sz w:val="18"/>
                <w:szCs w:val="18"/>
              </w:rPr>
            </w:pPr>
            <w:r>
              <w:rPr>
                <w:b/>
                <w:sz w:val="18"/>
                <w:szCs w:val="18"/>
              </w:rPr>
              <w:t>166,380</w:t>
            </w:r>
          </w:p>
        </w:tc>
        <w:tc>
          <w:tcPr>
            <w:tcW w:w="2049" w:type="dxa"/>
            <w:vAlign w:val="bottom"/>
          </w:tcPr>
          <w:p w14:paraId="654DD27F" w14:textId="6E4B30BE" w:rsidR="00224102" w:rsidRPr="00692926" w:rsidRDefault="00224102" w:rsidP="00972978">
            <w:pPr>
              <w:ind w:right="58"/>
              <w:jc w:val="right"/>
              <w:rPr>
                <w:b/>
                <w:sz w:val="18"/>
                <w:szCs w:val="18"/>
              </w:rPr>
            </w:pPr>
            <w:r w:rsidRPr="00692926">
              <w:rPr>
                <w:b/>
                <w:sz w:val="18"/>
                <w:szCs w:val="18"/>
              </w:rPr>
              <w:t>146,323</w:t>
            </w:r>
          </w:p>
        </w:tc>
      </w:tr>
    </w:tbl>
    <w:p w14:paraId="6002C874" w14:textId="77777777" w:rsidR="006B1A3A" w:rsidRPr="00604C75" w:rsidRDefault="006B1A3A" w:rsidP="00C24396">
      <w:pPr>
        <w:pStyle w:val="BodyTextIndent"/>
        <w:spacing w:after="0" w:line="120" w:lineRule="auto"/>
        <w:ind w:left="0"/>
        <w:contextualSpacing/>
        <w:rPr>
          <w:sz w:val="20"/>
          <w:szCs w:val="20"/>
        </w:rPr>
      </w:pPr>
    </w:p>
    <w:p w14:paraId="65D0EC12" w14:textId="77777777" w:rsidR="00534A74" w:rsidRPr="00604C75" w:rsidRDefault="00534A74" w:rsidP="006B1A3A">
      <w:pPr>
        <w:pStyle w:val="BodyTextIndent"/>
        <w:tabs>
          <w:tab w:val="left" w:pos="426"/>
        </w:tabs>
        <w:spacing w:after="0" w:line="206" w:lineRule="auto"/>
        <w:ind w:left="0"/>
        <w:contextualSpacing/>
        <w:rPr>
          <w:bCs/>
          <w:sz w:val="20"/>
          <w:szCs w:val="20"/>
        </w:rPr>
      </w:pPr>
      <w:r w:rsidRPr="00604C75">
        <w:rPr>
          <w:b/>
          <w:bCs/>
          <w:sz w:val="20"/>
          <w:szCs w:val="20"/>
        </w:rPr>
        <w:t>7</w:t>
      </w:r>
      <w:r w:rsidRPr="00604C75">
        <w:rPr>
          <w:bCs/>
          <w:sz w:val="20"/>
          <w:szCs w:val="20"/>
        </w:rPr>
        <w:t>.</w:t>
      </w:r>
      <w:r w:rsidRPr="00604C75">
        <w:rPr>
          <w:bCs/>
          <w:sz w:val="20"/>
          <w:szCs w:val="20"/>
        </w:rPr>
        <w:tab/>
      </w:r>
      <w:r w:rsidR="006B1A3A" w:rsidRPr="00604C75">
        <w:rPr>
          <w:bCs/>
          <w:sz w:val="20"/>
          <w:szCs w:val="20"/>
        </w:rPr>
        <w:t xml:space="preserve">   </w:t>
      </w:r>
      <w:r w:rsidRPr="00604C75">
        <w:rPr>
          <w:bCs/>
          <w:sz w:val="20"/>
          <w:szCs w:val="20"/>
        </w:rPr>
        <w:t>Subsid</w:t>
      </w:r>
      <w:r w:rsidR="006B1A3A" w:rsidRPr="00604C75">
        <w:rPr>
          <w:bCs/>
          <w:sz w:val="20"/>
          <w:szCs w:val="20"/>
        </w:rPr>
        <w:t>iaries quoted on stock exchange</w:t>
      </w:r>
    </w:p>
    <w:p w14:paraId="1AFD57E4" w14:textId="77777777" w:rsidR="006B1A3A" w:rsidRPr="00604C75" w:rsidRDefault="006B1A3A" w:rsidP="00C24396">
      <w:pPr>
        <w:pStyle w:val="BodyTextIndent"/>
        <w:tabs>
          <w:tab w:val="left" w:pos="426"/>
        </w:tabs>
        <w:spacing w:after="0" w:line="120" w:lineRule="auto"/>
        <w:ind w:left="0"/>
        <w:contextualSpacing/>
        <w:rPr>
          <w:sz w:val="20"/>
          <w:szCs w:val="20"/>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20"/>
        <w:gridCol w:w="1987"/>
        <w:gridCol w:w="2072"/>
      </w:tblGrid>
      <w:tr w:rsidR="006B1A3A" w:rsidRPr="00604C75" w14:paraId="41E99246" w14:textId="77777777" w:rsidTr="00972978">
        <w:trPr>
          <w:trHeight w:val="227"/>
        </w:trPr>
        <w:tc>
          <w:tcPr>
            <w:tcW w:w="5320" w:type="dxa"/>
            <w:vAlign w:val="bottom"/>
          </w:tcPr>
          <w:p w14:paraId="04218825" w14:textId="77777777" w:rsidR="006B1A3A" w:rsidRPr="00604C75" w:rsidRDefault="006B1A3A" w:rsidP="0099514C">
            <w:pPr>
              <w:spacing w:line="206" w:lineRule="auto"/>
              <w:contextualSpacing/>
              <w:rPr>
                <w:rFonts w:eastAsia="Arial Unicode MS"/>
                <w:b/>
                <w:bCs/>
                <w:sz w:val="18"/>
                <w:szCs w:val="18"/>
              </w:rPr>
            </w:pPr>
          </w:p>
        </w:tc>
        <w:tc>
          <w:tcPr>
            <w:tcW w:w="1987" w:type="dxa"/>
            <w:vAlign w:val="bottom"/>
          </w:tcPr>
          <w:p w14:paraId="15709D67" w14:textId="77777777" w:rsidR="006B1A3A" w:rsidRPr="00604C75" w:rsidRDefault="00344429" w:rsidP="00972978">
            <w:pPr>
              <w:spacing w:line="206" w:lineRule="auto"/>
              <w:ind w:right="86"/>
              <w:contextualSpacing/>
              <w:jc w:val="right"/>
              <w:rPr>
                <w:b/>
                <w:bCs/>
                <w:sz w:val="18"/>
                <w:szCs w:val="18"/>
              </w:rPr>
            </w:pPr>
            <w:r>
              <w:rPr>
                <w:b/>
                <w:iCs/>
                <w:sz w:val="18"/>
              </w:rPr>
              <w:t>31 December</w:t>
            </w:r>
            <w:r w:rsidRPr="00604C75">
              <w:rPr>
                <w:b/>
                <w:iCs/>
                <w:sz w:val="18"/>
              </w:rPr>
              <w:t xml:space="preserve"> </w:t>
            </w:r>
            <w:r w:rsidRPr="00604C75">
              <w:rPr>
                <w:b/>
                <w:bCs/>
                <w:sz w:val="18"/>
                <w:szCs w:val="18"/>
              </w:rPr>
              <w:t>2015</w:t>
            </w:r>
          </w:p>
        </w:tc>
        <w:tc>
          <w:tcPr>
            <w:tcW w:w="2072" w:type="dxa"/>
            <w:vAlign w:val="bottom"/>
          </w:tcPr>
          <w:p w14:paraId="1C534778" w14:textId="77777777" w:rsidR="006B1A3A" w:rsidRPr="00604C75" w:rsidRDefault="006B1A3A" w:rsidP="00972978">
            <w:pPr>
              <w:spacing w:line="206" w:lineRule="auto"/>
              <w:ind w:right="86"/>
              <w:contextualSpacing/>
              <w:jc w:val="right"/>
              <w:rPr>
                <w:rFonts w:eastAsia="Arial Unicode MS"/>
                <w:b/>
                <w:bCs/>
                <w:sz w:val="18"/>
                <w:szCs w:val="18"/>
              </w:rPr>
            </w:pPr>
            <w:r w:rsidRPr="00604C75">
              <w:rPr>
                <w:b/>
                <w:bCs/>
                <w:sz w:val="18"/>
                <w:szCs w:val="18"/>
              </w:rPr>
              <w:t>31 December 2014</w:t>
            </w:r>
          </w:p>
        </w:tc>
      </w:tr>
      <w:tr w:rsidR="00104DF7" w:rsidRPr="00604C75" w14:paraId="383DF194" w14:textId="77777777" w:rsidTr="00972978">
        <w:trPr>
          <w:trHeight w:val="227"/>
        </w:trPr>
        <w:tc>
          <w:tcPr>
            <w:tcW w:w="5320" w:type="dxa"/>
            <w:vAlign w:val="bottom"/>
          </w:tcPr>
          <w:p w14:paraId="389D4C70" w14:textId="01F4F1DB" w:rsidR="00104DF7" w:rsidRPr="00604C75" w:rsidRDefault="00104DF7" w:rsidP="00104DF7">
            <w:pPr>
              <w:pStyle w:val="xl79"/>
              <w:pBdr>
                <w:left w:val="none" w:sz="0" w:space="0" w:color="auto"/>
                <w:bottom w:val="none" w:sz="0" w:space="0" w:color="auto"/>
                <w:right w:val="none" w:sz="0" w:space="0" w:color="auto"/>
              </w:pBdr>
              <w:spacing w:before="0" w:beforeAutospacing="0" w:after="0" w:afterAutospacing="0" w:line="206" w:lineRule="auto"/>
              <w:contextualSpacing/>
              <w:rPr>
                <w:rFonts w:eastAsia="Times New Roman"/>
                <w:iCs/>
              </w:rPr>
            </w:pPr>
            <w:r w:rsidRPr="00604C75">
              <w:rPr>
                <w:iCs/>
              </w:rPr>
              <w:t xml:space="preserve">Quoted on </w:t>
            </w:r>
            <w:r w:rsidR="00074274">
              <w:rPr>
                <w:iCs/>
              </w:rPr>
              <w:t>D</w:t>
            </w:r>
            <w:r w:rsidRPr="00604C75">
              <w:rPr>
                <w:iCs/>
              </w:rPr>
              <w:t xml:space="preserve">omestic </w:t>
            </w:r>
            <w:r w:rsidR="00074274">
              <w:rPr>
                <w:iCs/>
              </w:rPr>
              <w:t>S</w:t>
            </w:r>
            <w:r w:rsidRPr="00604C75">
              <w:rPr>
                <w:iCs/>
              </w:rPr>
              <w:t xml:space="preserve">tock </w:t>
            </w:r>
            <w:r w:rsidR="00074274">
              <w:rPr>
                <w:iCs/>
              </w:rPr>
              <w:t>E</w:t>
            </w:r>
            <w:r w:rsidRPr="00604C75">
              <w:rPr>
                <w:iCs/>
              </w:rPr>
              <w:t>xchanges</w:t>
            </w:r>
            <w:r w:rsidR="00104101">
              <w:rPr>
                <w:iCs/>
              </w:rPr>
              <w:t xml:space="preserve"> (*)</w:t>
            </w:r>
          </w:p>
        </w:tc>
        <w:tc>
          <w:tcPr>
            <w:tcW w:w="1987" w:type="dxa"/>
            <w:vAlign w:val="bottom"/>
          </w:tcPr>
          <w:p w14:paraId="058A49B2" w14:textId="77777777" w:rsidR="00104DF7" w:rsidRPr="00692926" w:rsidRDefault="00104DF7" w:rsidP="00972978">
            <w:pPr>
              <w:ind w:right="86"/>
              <w:jc w:val="right"/>
              <w:rPr>
                <w:sz w:val="18"/>
                <w:szCs w:val="18"/>
                <w:lang w:eastAsia="zh-CN"/>
              </w:rPr>
            </w:pPr>
            <w:r>
              <w:rPr>
                <w:sz w:val="18"/>
                <w:szCs w:val="18"/>
                <w:lang w:eastAsia="zh-CN"/>
              </w:rPr>
              <w:t>-</w:t>
            </w:r>
          </w:p>
        </w:tc>
        <w:tc>
          <w:tcPr>
            <w:tcW w:w="2072" w:type="dxa"/>
            <w:vAlign w:val="bottom"/>
          </w:tcPr>
          <w:p w14:paraId="2539DF72" w14:textId="77777777" w:rsidR="00104DF7" w:rsidRPr="00692926" w:rsidRDefault="00104DF7" w:rsidP="00972978">
            <w:pPr>
              <w:ind w:right="86"/>
              <w:jc w:val="right"/>
              <w:rPr>
                <w:sz w:val="18"/>
                <w:szCs w:val="18"/>
                <w:lang w:eastAsia="zh-CN"/>
              </w:rPr>
            </w:pPr>
            <w:r w:rsidRPr="00692926">
              <w:rPr>
                <w:sz w:val="18"/>
                <w:szCs w:val="18"/>
                <w:lang w:eastAsia="zh-CN"/>
              </w:rPr>
              <w:t>1,479</w:t>
            </w:r>
          </w:p>
        </w:tc>
      </w:tr>
      <w:tr w:rsidR="00104DF7" w:rsidRPr="00604C75" w14:paraId="3C57AA72" w14:textId="77777777" w:rsidTr="00972978">
        <w:trPr>
          <w:trHeight w:val="227"/>
        </w:trPr>
        <w:tc>
          <w:tcPr>
            <w:tcW w:w="5320" w:type="dxa"/>
            <w:vAlign w:val="bottom"/>
          </w:tcPr>
          <w:p w14:paraId="3B699A73" w14:textId="61319B40" w:rsidR="00104DF7" w:rsidRPr="00604C75" w:rsidRDefault="00104DF7" w:rsidP="00104DF7">
            <w:pPr>
              <w:spacing w:line="206" w:lineRule="auto"/>
              <w:contextualSpacing/>
              <w:rPr>
                <w:iCs/>
                <w:sz w:val="18"/>
                <w:szCs w:val="18"/>
              </w:rPr>
            </w:pPr>
            <w:r w:rsidRPr="00604C75">
              <w:rPr>
                <w:iCs/>
                <w:sz w:val="18"/>
                <w:szCs w:val="18"/>
              </w:rPr>
              <w:t xml:space="preserve">Quoted on </w:t>
            </w:r>
            <w:r w:rsidR="00074274">
              <w:rPr>
                <w:iCs/>
                <w:sz w:val="18"/>
                <w:szCs w:val="18"/>
              </w:rPr>
              <w:t>F</w:t>
            </w:r>
            <w:r w:rsidRPr="00604C75">
              <w:rPr>
                <w:iCs/>
                <w:sz w:val="18"/>
                <w:szCs w:val="18"/>
              </w:rPr>
              <w:t xml:space="preserve">oreign </w:t>
            </w:r>
            <w:r w:rsidR="00074274">
              <w:rPr>
                <w:iCs/>
                <w:sz w:val="18"/>
                <w:szCs w:val="18"/>
              </w:rPr>
              <w:t>S</w:t>
            </w:r>
            <w:r w:rsidRPr="00604C75">
              <w:rPr>
                <w:iCs/>
                <w:sz w:val="18"/>
                <w:szCs w:val="18"/>
              </w:rPr>
              <w:t xml:space="preserve">tock </w:t>
            </w:r>
            <w:r w:rsidR="00074274">
              <w:rPr>
                <w:iCs/>
                <w:sz w:val="18"/>
                <w:szCs w:val="18"/>
              </w:rPr>
              <w:t>E</w:t>
            </w:r>
            <w:r w:rsidRPr="00604C75">
              <w:rPr>
                <w:iCs/>
                <w:sz w:val="18"/>
                <w:szCs w:val="18"/>
              </w:rPr>
              <w:t>xchanges</w:t>
            </w:r>
          </w:p>
        </w:tc>
        <w:tc>
          <w:tcPr>
            <w:tcW w:w="1987" w:type="dxa"/>
            <w:vAlign w:val="bottom"/>
          </w:tcPr>
          <w:p w14:paraId="5D5705E4" w14:textId="77777777" w:rsidR="00104DF7" w:rsidRPr="00692926" w:rsidRDefault="00104DF7" w:rsidP="00972978">
            <w:pPr>
              <w:ind w:right="86"/>
              <w:jc w:val="right"/>
              <w:rPr>
                <w:sz w:val="18"/>
                <w:szCs w:val="18"/>
              </w:rPr>
            </w:pPr>
            <w:r>
              <w:rPr>
                <w:sz w:val="18"/>
                <w:szCs w:val="18"/>
              </w:rPr>
              <w:t>-</w:t>
            </w:r>
          </w:p>
        </w:tc>
        <w:tc>
          <w:tcPr>
            <w:tcW w:w="2072" w:type="dxa"/>
            <w:vAlign w:val="bottom"/>
          </w:tcPr>
          <w:p w14:paraId="6E89ED0B" w14:textId="77777777" w:rsidR="00104DF7" w:rsidRPr="00692926" w:rsidRDefault="00104DF7" w:rsidP="00972978">
            <w:pPr>
              <w:ind w:right="86"/>
              <w:jc w:val="right"/>
              <w:rPr>
                <w:sz w:val="18"/>
                <w:szCs w:val="18"/>
              </w:rPr>
            </w:pPr>
            <w:r w:rsidRPr="00692926">
              <w:rPr>
                <w:sz w:val="18"/>
                <w:szCs w:val="18"/>
              </w:rPr>
              <w:t>-</w:t>
            </w:r>
          </w:p>
        </w:tc>
      </w:tr>
    </w:tbl>
    <w:p w14:paraId="0A329D2D" w14:textId="77777777" w:rsidR="0044575F" w:rsidRPr="00604C75" w:rsidRDefault="0044575F" w:rsidP="00124075">
      <w:pPr>
        <w:pStyle w:val="BodyTextIndent"/>
        <w:spacing w:after="0" w:line="120" w:lineRule="auto"/>
        <w:ind w:left="0"/>
        <w:rPr>
          <w:sz w:val="16"/>
          <w:szCs w:val="16"/>
        </w:rPr>
      </w:pPr>
    </w:p>
    <w:p w14:paraId="65B1E22D" w14:textId="77777777" w:rsidR="00834CDD" w:rsidRDefault="00834CDD" w:rsidP="006B1A3A">
      <w:pPr>
        <w:tabs>
          <w:tab w:val="left" w:pos="0"/>
          <w:tab w:val="left" w:pos="426"/>
        </w:tabs>
        <w:jc w:val="both"/>
        <w:rPr>
          <w:rStyle w:val="hps"/>
          <w:sz w:val="16"/>
          <w:szCs w:val="16"/>
        </w:rPr>
      </w:pPr>
      <w:r w:rsidRPr="00B30C53">
        <w:rPr>
          <w:rStyle w:val="hps"/>
          <w:sz w:val="16"/>
          <w:szCs w:val="16"/>
        </w:rPr>
        <w:t xml:space="preserve">(*) Liquidation of </w:t>
      </w:r>
      <w:proofErr w:type="spellStart"/>
      <w:r w:rsidRPr="00B30C53">
        <w:rPr>
          <w:rStyle w:val="hps"/>
          <w:sz w:val="16"/>
          <w:szCs w:val="16"/>
        </w:rPr>
        <w:t>Alternatif</w:t>
      </w:r>
      <w:proofErr w:type="spellEnd"/>
      <w:r w:rsidRPr="00B30C53">
        <w:rPr>
          <w:rStyle w:val="hps"/>
          <w:sz w:val="16"/>
          <w:szCs w:val="16"/>
        </w:rPr>
        <w:t xml:space="preserve"> </w:t>
      </w:r>
      <w:proofErr w:type="spellStart"/>
      <w:r w:rsidRPr="00B30C53">
        <w:rPr>
          <w:rStyle w:val="hps"/>
          <w:sz w:val="16"/>
          <w:szCs w:val="16"/>
        </w:rPr>
        <w:t>Yatırım</w:t>
      </w:r>
      <w:proofErr w:type="spellEnd"/>
      <w:r w:rsidRPr="00B30C53">
        <w:rPr>
          <w:rStyle w:val="hps"/>
          <w:sz w:val="16"/>
          <w:szCs w:val="16"/>
        </w:rPr>
        <w:t xml:space="preserve"> </w:t>
      </w:r>
      <w:proofErr w:type="spellStart"/>
      <w:r w:rsidRPr="00B30C53">
        <w:rPr>
          <w:rStyle w:val="hps"/>
          <w:sz w:val="16"/>
          <w:szCs w:val="16"/>
        </w:rPr>
        <w:t>Ortaklığı</w:t>
      </w:r>
      <w:proofErr w:type="spellEnd"/>
      <w:r w:rsidRPr="00B30C53">
        <w:rPr>
          <w:rStyle w:val="hps"/>
          <w:sz w:val="16"/>
          <w:szCs w:val="16"/>
        </w:rPr>
        <w:t xml:space="preserve"> A.Ş. were approved in extraordinary general meeting dated 29 September 2014 and completed as of 25 November 2015.</w:t>
      </w:r>
      <w:r>
        <w:rPr>
          <w:rStyle w:val="hps"/>
          <w:sz w:val="16"/>
          <w:szCs w:val="16"/>
        </w:rPr>
        <w:t xml:space="preserve"> </w:t>
      </w:r>
    </w:p>
    <w:p w14:paraId="29097647" w14:textId="77777777" w:rsidR="00834CDD" w:rsidRDefault="00834CDD" w:rsidP="006B1A3A">
      <w:pPr>
        <w:tabs>
          <w:tab w:val="left" w:pos="0"/>
          <w:tab w:val="left" w:pos="426"/>
        </w:tabs>
        <w:jc w:val="both"/>
        <w:rPr>
          <w:rStyle w:val="hps"/>
          <w:sz w:val="16"/>
          <w:szCs w:val="16"/>
        </w:rPr>
      </w:pPr>
    </w:p>
    <w:p w14:paraId="52C47EF2" w14:textId="743ED1F4" w:rsidR="0044575F" w:rsidRPr="00604C75" w:rsidRDefault="0044575F" w:rsidP="006B1A3A">
      <w:pPr>
        <w:tabs>
          <w:tab w:val="left" w:pos="0"/>
          <w:tab w:val="left" w:pos="426"/>
        </w:tabs>
        <w:jc w:val="both"/>
        <w:rPr>
          <w:b/>
          <w:sz w:val="20"/>
          <w:szCs w:val="20"/>
          <w:lang w:val="fr-FR"/>
        </w:rPr>
      </w:pPr>
      <w:r w:rsidRPr="00604C75">
        <w:rPr>
          <w:b/>
          <w:sz w:val="20"/>
          <w:szCs w:val="20"/>
          <w:lang w:val="fr-FR"/>
        </w:rPr>
        <w:t>i.</w:t>
      </w:r>
      <w:r w:rsidRPr="00604C75">
        <w:rPr>
          <w:b/>
          <w:sz w:val="20"/>
          <w:szCs w:val="20"/>
          <w:lang w:val="fr-FR"/>
        </w:rPr>
        <w:tab/>
      </w:r>
      <w:r w:rsidR="006B1A3A" w:rsidRPr="00604C75">
        <w:rPr>
          <w:b/>
          <w:sz w:val="20"/>
          <w:szCs w:val="20"/>
          <w:lang w:val="fr-FR"/>
        </w:rPr>
        <w:t xml:space="preserve">   </w:t>
      </w:r>
      <w:r w:rsidRPr="00604C75">
        <w:rPr>
          <w:b/>
          <w:noProof/>
          <w:sz w:val="20"/>
          <w:szCs w:val="20"/>
          <w:lang w:val="fr-FR"/>
        </w:rPr>
        <w:t>Information on joint ventures</w:t>
      </w:r>
    </w:p>
    <w:p w14:paraId="5746DB36" w14:textId="77777777" w:rsidR="0044575F" w:rsidRPr="00604C75" w:rsidRDefault="0044575F" w:rsidP="00124075">
      <w:pPr>
        <w:tabs>
          <w:tab w:val="left" w:pos="720"/>
        </w:tabs>
        <w:spacing w:line="120" w:lineRule="auto"/>
        <w:jc w:val="both"/>
        <w:rPr>
          <w:b/>
          <w:bCs/>
          <w:sz w:val="16"/>
          <w:szCs w:val="16"/>
          <w:lang w:val="fr-FR"/>
        </w:rPr>
      </w:pPr>
    </w:p>
    <w:p w14:paraId="54548387" w14:textId="77777777" w:rsidR="0044575F" w:rsidRPr="00604C75" w:rsidRDefault="0044575F" w:rsidP="006B1A3A">
      <w:pPr>
        <w:ind w:left="1276" w:hanging="1276"/>
        <w:jc w:val="both"/>
        <w:rPr>
          <w:bCs/>
          <w:sz w:val="20"/>
          <w:szCs w:val="20"/>
        </w:rPr>
      </w:pPr>
      <w:r w:rsidRPr="00584BDC">
        <w:rPr>
          <w:bCs/>
          <w:sz w:val="20"/>
          <w:szCs w:val="20"/>
        </w:rPr>
        <w:t>T</w:t>
      </w:r>
      <w:r w:rsidR="00AC27FE" w:rsidRPr="00584BDC">
        <w:rPr>
          <w:bCs/>
          <w:sz w:val="20"/>
          <w:szCs w:val="20"/>
        </w:rPr>
        <w:t xml:space="preserve">here </w:t>
      </w:r>
      <w:r w:rsidR="00AC27FE" w:rsidRPr="00195EDC">
        <w:rPr>
          <w:bCs/>
          <w:sz w:val="20"/>
          <w:szCs w:val="20"/>
        </w:rPr>
        <w:t>are no joint ventures (</w:t>
      </w:r>
      <w:r w:rsidR="000C4644" w:rsidRPr="00195EDC">
        <w:rPr>
          <w:bCs/>
          <w:sz w:val="20"/>
          <w:szCs w:val="20"/>
        </w:rPr>
        <w:t xml:space="preserve">31 December </w:t>
      </w:r>
      <w:r w:rsidR="00AC27FE" w:rsidRPr="00195EDC">
        <w:rPr>
          <w:bCs/>
          <w:sz w:val="20"/>
          <w:szCs w:val="20"/>
        </w:rPr>
        <w:t>201</w:t>
      </w:r>
      <w:r w:rsidR="006B1A3A" w:rsidRPr="00195EDC">
        <w:rPr>
          <w:bCs/>
          <w:sz w:val="20"/>
          <w:szCs w:val="20"/>
        </w:rPr>
        <w:t>4</w:t>
      </w:r>
      <w:r w:rsidRPr="00195EDC">
        <w:rPr>
          <w:bCs/>
          <w:sz w:val="20"/>
          <w:szCs w:val="20"/>
        </w:rPr>
        <w:t>: None).</w:t>
      </w:r>
      <w:r w:rsidRPr="00604C75">
        <w:rPr>
          <w:bCs/>
          <w:sz w:val="20"/>
          <w:szCs w:val="20"/>
        </w:rPr>
        <w:t xml:space="preserve"> </w:t>
      </w:r>
    </w:p>
    <w:p w14:paraId="4946B4E0" w14:textId="77777777" w:rsidR="0044575F" w:rsidRPr="00604C75" w:rsidRDefault="0044575F" w:rsidP="00C25CC2">
      <w:pPr>
        <w:tabs>
          <w:tab w:val="left" w:pos="720"/>
        </w:tabs>
        <w:spacing w:line="120" w:lineRule="auto"/>
        <w:ind w:left="1287" w:hanging="1276"/>
        <w:jc w:val="both"/>
        <w:rPr>
          <w:bCs/>
          <w:sz w:val="16"/>
          <w:szCs w:val="16"/>
        </w:rPr>
      </w:pPr>
    </w:p>
    <w:p w14:paraId="3895BF41" w14:textId="77777777" w:rsidR="0044575F" w:rsidRPr="00604C75" w:rsidRDefault="002743AC" w:rsidP="00CE2332">
      <w:pPr>
        <w:tabs>
          <w:tab w:val="left" w:pos="426"/>
        </w:tabs>
        <w:ind w:left="-14" w:hanging="1246"/>
        <w:jc w:val="both"/>
        <w:rPr>
          <w:b/>
          <w:sz w:val="20"/>
          <w:szCs w:val="20"/>
        </w:rPr>
      </w:pPr>
      <w:r w:rsidRPr="00604C75">
        <w:rPr>
          <w:b/>
          <w:sz w:val="20"/>
          <w:szCs w:val="20"/>
        </w:rPr>
        <w:t xml:space="preserve">            </w:t>
      </w:r>
      <w:r w:rsidR="006B1A3A" w:rsidRPr="00604C75">
        <w:rPr>
          <w:b/>
          <w:sz w:val="20"/>
          <w:szCs w:val="20"/>
        </w:rPr>
        <w:t xml:space="preserve">       </w:t>
      </w:r>
      <w:r w:rsidRPr="00604C75">
        <w:rPr>
          <w:b/>
          <w:sz w:val="20"/>
          <w:szCs w:val="20"/>
        </w:rPr>
        <w:t xml:space="preserve">  </w:t>
      </w:r>
      <w:r w:rsidR="006B1A3A" w:rsidRPr="00604C75">
        <w:rPr>
          <w:b/>
          <w:sz w:val="20"/>
          <w:szCs w:val="20"/>
        </w:rPr>
        <w:t xml:space="preserve"> </w:t>
      </w:r>
      <w:r w:rsidR="00CE2332" w:rsidRPr="00604C75">
        <w:rPr>
          <w:b/>
          <w:sz w:val="20"/>
          <w:szCs w:val="20"/>
        </w:rPr>
        <w:t xml:space="preserve"> </w:t>
      </w:r>
      <w:r w:rsidRPr="00604C75">
        <w:rPr>
          <w:b/>
          <w:sz w:val="20"/>
          <w:szCs w:val="20"/>
        </w:rPr>
        <w:t xml:space="preserve">  </w:t>
      </w:r>
      <w:r w:rsidR="0044575F" w:rsidRPr="00604C75">
        <w:rPr>
          <w:b/>
          <w:sz w:val="20"/>
          <w:szCs w:val="20"/>
        </w:rPr>
        <w:t>j.</w:t>
      </w:r>
      <w:r w:rsidR="0044575F" w:rsidRPr="00604C75">
        <w:rPr>
          <w:b/>
          <w:sz w:val="20"/>
          <w:szCs w:val="20"/>
        </w:rPr>
        <w:tab/>
      </w:r>
      <w:r w:rsidR="006B1A3A" w:rsidRPr="00604C75">
        <w:rPr>
          <w:b/>
          <w:sz w:val="20"/>
          <w:szCs w:val="20"/>
        </w:rPr>
        <w:t xml:space="preserve">   </w:t>
      </w:r>
      <w:r w:rsidR="0044575F" w:rsidRPr="00604C75">
        <w:rPr>
          <w:b/>
          <w:noProof/>
          <w:sz w:val="20"/>
          <w:szCs w:val="20"/>
        </w:rPr>
        <w:t>Informa</w:t>
      </w:r>
      <w:r w:rsidR="006B1A3A" w:rsidRPr="00604C75">
        <w:rPr>
          <w:b/>
          <w:noProof/>
          <w:sz w:val="20"/>
          <w:szCs w:val="20"/>
        </w:rPr>
        <w:t>tion on lease receivables (net)</w:t>
      </w:r>
    </w:p>
    <w:p w14:paraId="63D6FE32" w14:textId="77777777" w:rsidR="006B5800" w:rsidRPr="00604C75" w:rsidRDefault="006B5800" w:rsidP="006B5800">
      <w:pPr>
        <w:jc w:val="both"/>
        <w:rPr>
          <w:bCs/>
          <w:sz w:val="16"/>
          <w:szCs w:val="16"/>
        </w:rPr>
      </w:pPr>
    </w:p>
    <w:p w14:paraId="49E2BF59" w14:textId="471DD61E" w:rsidR="0044575F" w:rsidRPr="00604C75" w:rsidRDefault="00DA379B" w:rsidP="006B5800">
      <w:pPr>
        <w:jc w:val="both"/>
        <w:rPr>
          <w:bCs/>
          <w:sz w:val="20"/>
          <w:szCs w:val="20"/>
        </w:rPr>
      </w:pPr>
      <w:r w:rsidRPr="00604C75">
        <w:rPr>
          <w:bCs/>
          <w:sz w:val="20"/>
          <w:szCs w:val="20"/>
        </w:rPr>
        <w:t xml:space="preserve">The lease receivables of the Group is TL </w:t>
      </w:r>
      <w:r w:rsidR="00104DF7">
        <w:rPr>
          <w:bCs/>
          <w:sz w:val="20"/>
          <w:szCs w:val="20"/>
        </w:rPr>
        <w:t>1,031,649</w:t>
      </w:r>
      <w:r w:rsidRPr="00604C75">
        <w:rPr>
          <w:bCs/>
          <w:sz w:val="20"/>
          <w:szCs w:val="20"/>
        </w:rPr>
        <w:t xml:space="preserve"> </w:t>
      </w:r>
      <w:r w:rsidR="00854C50" w:rsidRPr="00604C75">
        <w:rPr>
          <w:bCs/>
          <w:sz w:val="20"/>
          <w:szCs w:val="20"/>
        </w:rPr>
        <w:t>(</w:t>
      </w:r>
      <w:r w:rsidRPr="00604C75">
        <w:rPr>
          <w:bCs/>
          <w:sz w:val="20"/>
          <w:szCs w:val="20"/>
        </w:rPr>
        <w:t xml:space="preserve">31 December </w:t>
      </w:r>
      <w:r w:rsidR="00854C50" w:rsidRPr="00604C75">
        <w:rPr>
          <w:bCs/>
          <w:sz w:val="20"/>
          <w:szCs w:val="20"/>
        </w:rPr>
        <w:t>201</w:t>
      </w:r>
      <w:r w:rsidR="006B1A3A" w:rsidRPr="00604C75">
        <w:rPr>
          <w:bCs/>
          <w:sz w:val="20"/>
          <w:szCs w:val="20"/>
        </w:rPr>
        <w:t>4</w:t>
      </w:r>
      <w:r w:rsidR="00854C50" w:rsidRPr="00604C75">
        <w:rPr>
          <w:bCs/>
          <w:sz w:val="20"/>
          <w:szCs w:val="20"/>
        </w:rPr>
        <w:t>:</w:t>
      </w:r>
      <w:r w:rsidR="00F60345" w:rsidRPr="00604C75">
        <w:rPr>
          <w:bCs/>
          <w:sz w:val="20"/>
          <w:szCs w:val="20"/>
        </w:rPr>
        <w:t xml:space="preserve"> </w:t>
      </w:r>
      <w:r w:rsidR="00D43A21" w:rsidRPr="00604C75">
        <w:rPr>
          <w:bCs/>
          <w:sz w:val="20"/>
          <w:szCs w:val="20"/>
        </w:rPr>
        <w:t xml:space="preserve">TL </w:t>
      </w:r>
      <w:r w:rsidR="006B1A3A" w:rsidRPr="00604C75">
        <w:rPr>
          <w:bCs/>
          <w:sz w:val="20"/>
          <w:szCs w:val="20"/>
        </w:rPr>
        <w:t>651,409</w:t>
      </w:r>
      <w:r w:rsidR="00854C50" w:rsidRPr="00604C75">
        <w:rPr>
          <w:bCs/>
          <w:sz w:val="20"/>
          <w:szCs w:val="20"/>
        </w:rPr>
        <w:t>)</w:t>
      </w:r>
      <w:r w:rsidRPr="00604C75">
        <w:rPr>
          <w:bCs/>
          <w:sz w:val="20"/>
          <w:szCs w:val="20"/>
        </w:rPr>
        <w:t>.</w:t>
      </w:r>
    </w:p>
    <w:p w14:paraId="1AD3847D" w14:textId="77777777" w:rsidR="0044575F" w:rsidRPr="00604C75" w:rsidRDefault="0044575F" w:rsidP="00124075">
      <w:pPr>
        <w:pStyle w:val="BodyTextIndent"/>
        <w:spacing w:after="0" w:line="120" w:lineRule="auto"/>
        <w:ind w:left="1701" w:hanging="1276"/>
        <w:rPr>
          <w:sz w:val="16"/>
          <w:szCs w:val="16"/>
        </w:rPr>
      </w:pPr>
    </w:p>
    <w:p w14:paraId="3F8E6A01" w14:textId="77777777" w:rsidR="0044575F" w:rsidRPr="00604C75" w:rsidRDefault="00854C50" w:rsidP="006B1A3A">
      <w:pPr>
        <w:tabs>
          <w:tab w:val="left" w:pos="567"/>
        </w:tabs>
        <w:ind w:hanging="1276"/>
        <w:jc w:val="both"/>
        <w:rPr>
          <w:b/>
          <w:sz w:val="20"/>
          <w:szCs w:val="20"/>
        </w:rPr>
      </w:pPr>
      <w:r w:rsidRPr="00604C75">
        <w:rPr>
          <w:b/>
          <w:sz w:val="20"/>
          <w:szCs w:val="20"/>
        </w:rPr>
        <w:t xml:space="preserve">              </w:t>
      </w:r>
      <w:r w:rsidR="006B1A3A" w:rsidRPr="00604C75">
        <w:rPr>
          <w:b/>
          <w:sz w:val="20"/>
          <w:szCs w:val="20"/>
        </w:rPr>
        <w:t xml:space="preserve"> </w:t>
      </w:r>
      <w:r w:rsidRPr="00604C75">
        <w:rPr>
          <w:b/>
          <w:sz w:val="20"/>
          <w:szCs w:val="20"/>
        </w:rPr>
        <w:t xml:space="preserve">  </w:t>
      </w:r>
      <w:r w:rsidR="006B1A3A" w:rsidRPr="00604C75">
        <w:rPr>
          <w:b/>
          <w:sz w:val="20"/>
          <w:szCs w:val="20"/>
        </w:rPr>
        <w:t xml:space="preserve">    </w:t>
      </w:r>
      <w:r w:rsidR="00CE2332" w:rsidRPr="00604C75">
        <w:rPr>
          <w:b/>
          <w:sz w:val="20"/>
          <w:szCs w:val="20"/>
        </w:rPr>
        <w:t xml:space="preserve"> </w:t>
      </w:r>
      <w:r w:rsidR="006B1A3A" w:rsidRPr="00604C75">
        <w:rPr>
          <w:b/>
          <w:sz w:val="20"/>
          <w:szCs w:val="20"/>
        </w:rPr>
        <w:t xml:space="preserve">   </w:t>
      </w:r>
      <w:r w:rsidR="0044575F" w:rsidRPr="00604C75">
        <w:rPr>
          <w:b/>
          <w:sz w:val="20"/>
          <w:szCs w:val="20"/>
        </w:rPr>
        <w:t>k.</w:t>
      </w:r>
      <w:r w:rsidR="0044575F" w:rsidRPr="00604C75">
        <w:rPr>
          <w:b/>
          <w:sz w:val="20"/>
          <w:szCs w:val="20"/>
        </w:rPr>
        <w:tab/>
      </w:r>
      <w:r w:rsidR="0044575F" w:rsidRPr="00604C75">
        <w:rPr>
          <w:b/>
          <w:noProof/>
          <w:sz w:val="20"/>
          <w:szCs w:val="20"/>
        </w:rPr>
        <w:t>Information on hedging derivative financial assets</w:t>
      </w:r>
    </w:p>
    <w:p w14:paraId="558583DA" w14:textId="77777777" w:rsidR="0044575F" w:rsidRPr="00604C75" w:rsidRDefault="0044575F" w:rsidP="00124075">
      <w:pPr>
        <w:spacing w:line="120" w:lineRule="auto"/>
        <w:ind w:left="1276" w:hanging="1276"/>
        <w:jc w:val="both"/>
        <w:rPr>
          <w:bCs/>
          <w:sz w:val="16"/>
          <w:szCs w:val="16"/>
        </w:rPr>
      </w:pPr>
    </w:p>
    <w:p w14:paraId="7E2013B7" w14:textId="77777777" w:rsidR="00A637E4" w:rsidRPr="00604C75" w:rsidRDefault="0044575F" w:rsidP="006B1A3A">
      <w:pPr>
        <w:ind w:left="1276" w:hanging="1276"/>
        <w:jc w:val="both"/>
        <w:rPr>
          <w:bCs/>
          <w:sz w:val="20"/>
          <w:szCs w:val="20"/>
        </w:rPr>
      </w:pPr>
      <w:r w:rsidRPr="00604C75">
        <w:rPr>
          <w:noProof/>
          <w:sz w:val="20"/>
          <w:szCs w:val="20"/>
        </w:rPr>
        <w:t>There are no differences related with hedging derivative financial assets</w:t>
      </w:r>
      <w:r w:rsidR="00AC27FE" w:rsidRPr="00604C75">
        <w:rPr>
          <w:bCs/>
          <w:sz w:val="20"/>
          <w:szCs w:val="20"/>
        </w:rPr>
        <w:t xml:space="preserve"> (</w:t>
      </w:r>
      <w:r w:rsidR="000C4644" w:rsidRPr="00604C75">
        <w:rPr>
          <w:bCs/>
          <w:sz w:val="20"/>
          <w:szCs w:val="20"/>
        </w:rPr>
        <w:t xml:space="preserve">31 December </w:t>
      </w:r>
      <w:r w:rsidR="00AC27FE" w:rsidRPr="00604C75">
        <w:rPr>
          <w:bCs/>
          <w:sz w:val="20"/>
          <w:szCs w:val="20"/>
        </w:rPr>
        <w:t>201</w:t>
      </w:r>
      <w:r w:rsidR="006B1A3A" w:rsidRPr="00604C75">
        <w:rPr>
          <w:bCs/>
          <w:sz w:val="20"/>
          <w:szCs w:val="20"/>
        </w:rPr>
        <w:t>4</w:t>
      </w:r>
      <w:r w:rsidR="00DD189C" w:rsidRPr="00604C75">
        <w:rPr>
          <w:bCs/>
          <w:sz w:val="20"/>
          <w:szCs w:val="20"/>
        </w:rPr>
        <w:t>: None).</w:t>
      </w:r>
    </w:p>
    <w:p w14:paraId="2FA1454C" w14:textId="77777777" w:rsidR="00E51107" w:rsidRPr="00604C75" w:rsidRDefault="00E51107" w:rsidP="00124075">
      <w:pPr>
        <w:spacing w:line="120" w:lineRule="auto"/>
        <w:ind w:hanging="1276"/>
        <w:jc w:val="both"/>
        <w:rPr>
          <w:b/>
          <w:bCs/>
          <w:sz w:val="20"/>
          <w:szCs w:val="20"/>
        </w:rPr>
      </w:pPr>
    </w:p>
    <w:p w14:paraId="58EC4B26" w14:textId="77777777" w:rsidR="0044575F" w:rsidRPr="00604C75" w:rsidRDefault="0044575F" w:rsidP="006B1A3A">
      <w:pPr>
        <w:tabs>
          <w:tab w:val="left" w:pos="567"/>
        </w:tabs>
        <w:ind w:left="1276" w:hanging="1276"/>
        <w:jc w:val="both"/>
        <w:rPr>
          <w:bCs/>
          <w:sz w:val="20"/>
          <w:szCs w:val="20"/>
        </w:rPr>
      </w:pPr>
      <w:r w:rsidRPr="00604C75">
        <w:rPr>
          <w:b/>
          <w:sz w:val="20"/>
          <w:szCs w:val="20"/>
        </w:rPr>
        <w:t>l.</w:t>
      </w:r>
      <w:r w:rsidRPr="00604C75">
        <w:rPr>
          <w:b/>
          <w:sz w:val="20"/>
          <w:szCs w:val="20"/>
        </w:rPr>
        <w:tab/>
      </w:r>
      <w:r w:rsidRPr="00604C75">
        <w:rPr>
          <w:b/>
          <w:noProof/>
          <w:sz w:val="20"/>
          <w:szCs w:val="20"/>
        </w:rPr>
        <w:t xml:space="preserve">Information </w:t>
      </w:r>
      <w:r w:rsidR="006B1A3A" w:rsidRPr="00604C75">
        <w:rPr>
          <w:b/>
          <w:noProof/>
          <w:sz w:val="20"/>
          <w:szCs w:val="20"/>
        </w:rPr>
        <w:t xml:space="preserve">on property and equipment </w:t>
      </w:r>
    </w:p>
    <w:p w14:paraId="7C0BE923" w14:textId="77777777" w:rsidR="00124075" w:rsidRPr="00604C75" w:rsidRDefault="00854C50" w:rsidP="00C25CC2">
      <w:pPr>
        <w:tabs>
          <w:tab w:val="left" w:pos="1276"/>
        </w:tabs>
        <w:spacing w:line="72" w:lineRule="auto"/>
        <w:ind w:hanging="1276"/>
        <w:jc w:val="both"/>
        <w:rPr>
          <w:b/>
          <w:sz w:val="20"/>
          <w:szCs w:val="20"/>
        </w:rPr>
      </w:pPr>
      <w:r w:rsidRPr="00604C75">
        <w:rPr>
          <w:b/>
          <w:sz w:val="20"/>
          <w:szCs w:val="20"/>
        </w:rPr>
        <w:tab/>
      </w:r>
    </w:p>
    <w:tbl>
      <w:tblPr>
        <w:tblW w:w="909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474"/>
        <w:gridCol w:w="1546"/>
        <w:gridCol w:w="1263"/>
        <w:gridCol w:w="1582"/>
        <w:gridCol w:w="1227"/>
      </w:tblGrid>
      <w:tr w:rsidR="00C24396" w:rsidRPr="00604C75" w14:paraId="0EE3BDEC" w14:textId="77777777" w:rsidTr="00AD726D">
        <w:trPr>
          <w:trHeight w:val="155"/>
        </w:trPr>
        <w:tc>
          <w:tcPr>
            <w:tcW w:w="3474" w:type="dxa"/>
            <w:vAlign w:val="bottom"/>
          </w:tcPr>
          <w:p w14:paraId="6FFBD8FA" w14:textId="77777777" w:rsidR="00C24396" w:rsidRPr="00604C75" w:rsidRDefault="00344429">
            <w:pPr>
              <w:rPr>
                <w:snapToGrid w:val="0"/>
                <w:sz w:val="18"/>
              </w:rPr>
            </w:pPr>
            <w:r>
              <w:rPr>
                <w:b/>
                <w:snapToGrid w:val="0"/>
                <w:sz w:val="18"/>
              </w:rPr>
              <w:t>31 December</w:t>
            </w:r>
            <w:r w:rsidRPr="00604C75">
              <w:rPr>
                <w:b/>
                <w:snapToGrid w:val="0"/>
                <w:sz w:val="18"/>
              </w:rPr>
              <w:t xml:space="preserve"> </w:t>
            </w:r>
            <w:r w:rsidR="00C24396" w:rsidRPr="00604C75">
              <w:rPr>
                <w:b/>
                <w:snapToGrid w:val="0"/>
                <w:sz w:val="18"/>
              </w:rPr>
              <w:t>2015</w:t>
            </w:r>
          </w:p>
        </w:tc>
        <w:tc>
          <w:tcPr>
            <w:tcW w:w="1546" w:type="dxa"/>
            <w:vAlign w:val="bottom"/>
          </w:tcPr>
          <w:p w14:paraId="2BBFD300" w14:textId="77777777" w:rsidR="00C24396" w:rsidRPr="00604C75" w:rsidRDefault="00C24396" w:rsidP="00C24396">
            <w:pPr>
              <w:jc w:val="center"/>
              <w:rPr>
                <w:b/>
                <w:snapToGrid w:val="0"/>
                <w:sz w:val="18"/>
              </w:rPr>
            </w:pPr>
            <w:r w:rsidRPr="00604C75">
              <w:rPr>
                <w:b/>
                <w:snapToGrid w:val="0"/>
                <w:sz w:val="18"/>
              </w:rPr>
              <w:t>Real</w:t>
            </w:r>
            <w:r w:rsidR="003D0859" w:rsidRPr="00604C75">
              <w:rPr>
                <w:b/>
                <w:snapToGrid w:val="0"/>
                <w:sz w:val="18"/>
              </w:rPr>
              <w:t xml:space="preserve"> </w:t>
            </w:r>
            <w:r w:rsidRPr="00604C75">
              <w:rPr>
                <w:b/>
                <w:snapToGrid w:val="0"/>
                <w:sz w:val="18"/>
              </w:rPr>
              <w:t>Estates</w:t>
            </w:r>
            <w:r w:rsidR="008935A1">
              <w:rPr>
                <w:b/>
                <w:snapToGrid w:val="0"/>
                <w:sz w:val="18"/>
              </w:rPr>
              <w:t xml:space="preserve"> </w:t>
            </w:r>
            <w:r w:rsidRPr="00604C75">
              <w:rPr>
                <w:b/>
                <w:snapToGrid w:val="0"/>
                <w:sz w:val="18"/>
              </w:rPr>
              <w:t>(*)</w:t>
            </w:r>
          </w:p>
        </w:tc>
        <w:tc>
          <w:tcPr>
            <w:tcW w:w="1263" w:type="dxa"/>
            <w:vAlign w:val="bottom"/>
          </w:tcPr>
          <w:p w14:paraId="790E7B4B" w14:textId="77777777" w:rsidR="00C24396" w:rsidRPr="00604C75" w:rsidRDefault="00C24396" w:rsidP="00C24396">
            <w:pPr>
              <w:jc w:val="center"/>
              <w:rPr>
                <w:b/>
                <w:snapToGrid w:val="0"/>
                <w:sz w:val="18"/>
              </w:rPr>
            </w:pPr>
            <w:r w:rsidRPr="00604C75">
              <w:rPr>
                <w:b/>
                <w:snapToGrid w:val="0"/>
                <w:sz w:val="18"/>
              </w:rPr>
              <w:t>Motor</w:t>
            </w:r>
          </w:p>
          <w:p w14:paraId="3B9CD359" w14:textId="77777777" w:rsidR="00C24396" w:rsidRPr="00604C75" w:rsidRDefault="00C24396" w:rsidP="00C24396">
            <w:pPr>
              <w:jc w:val="center"/>
              <w:rPr>
                <w:b/>
                <w:snapToGrid w:val="0"/>
                <w:sz w:val="18"/>
              </w:rPr>
            </w:pPr>
            <w:r w:rsidRPr="00604C75">
              <w:rPr>
                <w:b/>
                <w:snapToGrid w:val="0"/>
                <w:sz w:val="18"/>
              </w:rPr>
              <w:t>Vehicles</w:t>
            </w:r>
          </w:p>
        </w:tc>
        <w:tc>
          <w:tcPr>
            <w:tcW w:w="1582" w:type="dxa"/>
            <w:vAlign w:val="bottom"/>
          </w:tcPr>
          <w:p w14:paraId="0A64D4C7" w14:textId="77777777" w:rsidR="00C24396" w:rsidRPr="00604C75" w:rsidRDefault="00C24396" w:rsidP="00C24396">
            <w:pPr>
              <w:jc w:val="center"/>
              <w:rPr>
                <w:b/>
                <w:snapToGrid w:val="0"/>
                <w:sz w:val="18"/>
              </w:rPr>
            </w:pPr>
            <w:r w:rsidRPr="00604C75">
              <w:rPr>
                <w:b/>
                <w:snapToGrid w:val="0"/>
                <w:sz w:val="18"/>
              </w:rPr>
              <w:t>Other</w:t>
            </w:r>
            <w:r w:rsidR="00AB57C2" w:rsidRPr="00604C75">
              <w:rPr>
                <w:b/>
                <w:snapToGrid w:val="0"/>
                <w:sz w:val="18"/>
              </w:rPr>
              <w:t xml:space="preserve"> </w:t>
            </w:r>
            <w:r w:rsidRPr="00604C75">
              <w:rPr>
                <w:b/>
                <w:snapToGrid w:val="0"/>
                <w:sz w:val="18"/>
              </w:rPr>
              <w:t>Tangible</w:t>
            </w:r>
            <w:r w:rsidR="00AB57C2" w:rsidRPr="00604C75">
              <w:rPr>
                <w:b/>
                <w:snapToGrid w:val="0"/>
                <w:sz w:val="18"/>
              </w:rPr>
              <w:t xml:space="preserve"> </w:t>
            </w:r>
            <w:r w:rsidRPr="00604C75">
              <w:rPr>
                <w:b/>
                <w:snapToGrid w:val="0"/>
                <w:sz w:val="18"/>
              </w:rPr>
              <w:t>Assets</w:t>
            </w:r>
          </w:p>
        </w:tc>
        <w:tc>
          <w:tcPr>
            <w:tcW w:w="1227" w:type="dxa"/>
            <w:vAlign w:val="bottom"/>
          </w:tcPr>
          <w:p w14:paraId="594388CB" w14:textId="77777777" w:rsidR="00C24396" w:rsidRPr="00604C75" w:rsidRDefault="00C24396" w:rsidP="00C24396">
            <w:pPr>
              <w:jc w:val="center"/>
              <w:rPr>
                <w:b/>
                <w:snapToGrid w:val="0"/>
                <w:sz w:val="18"/>
              </w:rPr>
            </w:pPr>
            <w:r w:rsidRPr="00604C75">
              <w:rPr>
                <w:b/>
                <w:snapToGrid w:val="0"/>
                <w:sz w:val="18"/>
              </w:rPr>
              <w:t>Total</w:t>
            </w:r>
          </w:p>
        </w:tc>
      </w:tr>
      <w:tr w:rsidR="00124075" w:rsidRPr="00604C75" w14:paraId="003F515A" w14:textId="77777777" w:rsidTr="00AD726D">
        <w:trPr>
          <w:trHeight w:val="259"/>
        </w:trPr>
        <w:tc>
          <w:tcPr>
            <w:tcW w:w="3474" w:type="dxa"/>
            <w:vAlign w:val="bottom"/>
          </w:tcPr>
          <w:p w14:paraId="51F9C8F8" w14:textId="6F6ADCCC" w:rsidR="00124075" w:rsidRPr="00604C75" w:rsidRDefault="00124075" w:rsidP="00C27117">
            <w:pPr>
              <w:rPr>
                <w:b/>
                <w:snapToGrid w:val="0"/>
                <w:sz w:val="18"/>
              </w:rPr>
            </w:pPr>
          </w:p>
        </w:tc>
        <w:tc>
          <w:tcPr>
            <w:tcW w:w="1546" w:type="dxa"/>
            <w:vAlign w:val="bottom"/>
          </w:tcPr>
          <w:p w14:paraId="769FC1CF" w14:textId="77777777" w:rsidR="00124075" w:rsidRPr="00604C75" w:rsidRDefault="00124075" w:rsidP="00C24396">
            <w:pPr>
              <w:jc w:val="right"/>
              <w:rPr>
                <w:rFonts w:eastAsia="Arial Unicode MS"/>
                <w:sz w:val="18"/>
                <w:szCs w:val="18"/>
              </w:rPr>
            </w:pPr>
          </w:p>
        </w:tc>
        <w:tc>
          <w:tcPr>
            <w:tcW w:w="1263" w:type="dxa"/>
            <w:vAlign w:val="bottom"/>
          </w:tcPr>
          <w:p w14:paraId="69DB1BBB" w14:textId="77777777" w:rsidR="00124075" w:rsidRPr="00604C75" w:rsidRDefault="00124075" w:rsidP="00C24396">
            <w:pPr>
              <w:jc w:val="right"/>
              <w:rPr>
                <w:rFonts w:eastAsia="Arial Unicode MS"/>
                <w:sz w:val="18"/>
                <w:szCs w:val="18"/>
              </w:rPr>
            </w:pPr>
          </w:p>
        </w:tc>
        <w:tc>
          <w:tcPr>
            <w:tcW w:w="1582" w:type="dxa"/>
            <w:vAlign w:val="bottom"/>
          </w:tcPr>
          <w:p w14:paraId="15C3C6C1" w14:textId="77777777" w:rsidR="00124075" w:rsidRPr="00604C75" w:rsidRDefault="00124075" w:rsidP="00C24396">
            <w:pPr>
              <w:jc w:val="right"/>
              <w:rPr>
                <w:snapToGrid w:val="0"/>
                <w:sz w:val="18"/>
              </w:rPr>
            </w:pPr>
          </w:p>
        </w:tc>
        <w:tc>
          <w:tcPr>
            <w:tcW w:w="1227" w:type="dxa"/>
            <w:vAlign w:val="bottom"/>
          </w:tcPr>
          <w:p w14:paraId="12AC8A38" w14:textId="77777777" w:rsidR="00124075" w:rsidRPr="00604C75" w:rsidRDefault="00124075" w:rsidP="00C24396">
            <w:pPr>
              <w:jc w:val="right"/>
              <w:rPr>
                <w:snapToGrid w:val="0"/>
                <w:sz w:val="18"/>
              </w:rPr>
            </w:pPr>
          </w:p>
        </w:tc>
      </w:tr>
      <w:tr w:rsidR="00224102" w:rsidRPr="00604C75" w14:paraId="5E82AB9B" w14:textId="77777777" w:rsidTr="002C6EF7">
        <w:trPr>
          <w:trHeight w:val="259"/>
        </w:trPr>
        <w:tc>
          <w:tcPr>
            <w:tcW w:w="3474" w:type="dxa"/>
            <w:vAlign w:val="bottom"/>
          </w:tcPr>
          <w:p w14:paraId="1820965B" w14:textId="77777777" w:rsidR="00224102" w:rsidRPr="00604C75" w:rsidRDefault="00224102" w:rsidP="00224102">
            <w:pPr>
              <w:rPr>
                <w:snapToGrid w:val="0"/>
                <w:sz w:val="18"/>
              </w:rPr>
            </w:pPr>
            <w:r w:rsidRPr="00604C75">
              <w:rPr>
                <w:sz w:val="18"/>
                <w:szCs w:val="18"/>
              </w:rPr>
              <w:t>Cost</w:t>
            </w:r>
          </w:p>
        </w:tc>
        <w:tc>
          <w:tcPr>
            <w:tcW w:w="1546" w:type="dxa"/>
            <w:vAlign w:val="bottom"/>
          </w:tcPr>
          <w:p w14:paraId="3534DE6D" w14:textId="131B1392" w:rsidR="00224102" w:rsidRPr="00692926" w:rsidRDefault="00224102" w:rsidP="00224102">
            <w:pPr>
              <w:jc w:val="right"/>
              <w:rPr>
                <w:sz w:val="18"/>
                <w:szCs w:val="18"/>
              </w:rPr>
            </w:pPr>
            <w:r w:rsidRPr="00692926">
              <w:rPr>
                <w:sz w:val="18"/>
                <w:szCs w:val="18"/>
              </w:rPr>
              <w:t>1,710</w:t>
            </w:r>
          </w:p>
        </w:tc>
        <w:tc>
          <w:tcPr>
            <w:tcW w:w="1263" w:type="dxa"/>
            <w:vAlign w:val="bottom"/>
          </w:tcPr>
          <w:p w14:paraId="4845DABD" w14:textId="4181592E" w:rsidR="00224102" w:rsidRPr="00692926" w:rsidRDefault="00224102" w:rsidP="00224102">
            <w:pPr>
              <w:jc w:val="right"/>
              <w:rPr>
                <w:sz w:val="18"/>
                <w:szCs w:val="18"/>
              </w:rPr>
            </w:pPr>
            <w:r w:rsidRPr="00692926">
              <w:rPr>
                <w:sz w:val="18"/>
                <w:szCs w:val="18"/>
              </w:rPr>
              <w:t>28</w:t>
            </w:r>
          </w:p>
        </w:tc>
        <w:tc>
          <w:tcPr>
            <w:tcW w:w="1582" w:type="dxa"/>
            <w:vAlign w:val="bottom"/>
          </w:tcPr>
          <w:p w14:paraId="3AE55A3B" w14:textId="3244AB3A" w:rsidR="00224102" w:rsidRPr="00692926" w:rsidRDefault="00224102" w:rsidP="00224102">
            <w:pPr>
              <w:jc w:val="right"/>
              <w:rPr>
                <w:sz w:val="18"/>
                <w:szCs w:val="18"/>
              </w:rPr>
            </w:pPr>
            <w:r w:rsidRPr="00692926">
              <w:rPr>
                <w:sz w:val="18"/>
                <w:szCs w:val="18"/>
              </w:rPr>
              <w:t>101,758</w:t>
            </w:r>
          </w:p>
        </w:tc>
        <w:tc>
          <w:tcPr>
            <w:tcW w:w="1227" w:type="dxa"/>
            <w:vAlign w:val="bottom"/>
          </w:tcPr>
          <w:p w14:paraId="0BC34D8C" w14:textId="601BCA2F" w:rsidR="00224102" w:rsidRPr="00692926" w:rsidRDefault="00224102" w:rsidP="00224102">
            <w:pPr>
              <w:jc w:val="right"/>
              <w:rPr>
                <w:sz w:val="18"/>
                <w:szCs w:val="18"/>
              </w:rPr>
            </w:pPr>
            <w:r w:rsidRPr="00692926">
              <w:rPr>
                <w:sz w:val="18"/>
                <w:szCs w:val="18"/>
              </w:rPr>
              <w:t>103,496</w:t>
            </w:r>
          </w:p>
        </w:tc>
      </w:tr>
      <w:tr w:rsidR="00224102" w:rsidRPr="00604C75" w14:paraId="6DD80885" w14:textId="77777777" w:rsidTr="002C6EF7">
        <w:trPr>
          <w:trHeight w:val="259"/>
        </w:trPr>
        <w:tc>
          <w:tcPr>
            <w:tcW w:w="3474" w:type="dxa"/>
            <w:vAlign w:val="bottom"/>
          </w:tcPr>
          <w:p w14:paraId="55FE388B" w14:textId="5EAC1E01" w:rsidR="00224102" w:rsidRPr="00604C75" w:rsidRDefault="00224102" w:rsidP="00224102">
            <w:pPr>
              <w:rPr>
                <w:snapToGrid w:val="0"/>
                <w:sz w:val="18"/>
              </w:rPr>
            </w:pPr>
            <w:r w:rsidRPr="00604C75">
              <w:rPr>
                <w:sz w:val="18"/>
                <w:szCs w:val="18"/>
              </w:rPr>
              <w:t xml:space="preserve">Accumulated </w:t>
            </w:r>
            <w:r>
              <w:rPr>
                <w:sz w:val="18"/>
                <w:szCs w:val="18"/>
              </w:rPr>
              <w:t>D</w:t>
            </w:r>
            <w:r w:rsidRPr="00604C75">
              <w:rPr>
                <w:sz w:val="18"/>
                <w:szCs w:val="18"/>
              </w:rPr>
              <w:t>epreciation (-)</w:t>
            </w:r>
          </w:p>
        </w:tc>
        <w:tc>
          <w:tcPr>
            <w:tcW w:w="1546" w:type="dxa"/>
            <w:vAlign w:val="bottom"/>
          </w:tcPr>
          <w:p w14:paraId="14CC012B" w14:textId="14D39514" w:rsidR="00224102" w:rsidRPr="00692926" w:rsidRDefault="00224102" w:rsidP="00224102">
            <w:pPr>
              <w:jc w:val="right"/>
              <w:rPr>
                <w:sz w:val="18"/>
                <w:szCs w:val="18"/>
              </w:rPr>
            </w:pPr>
            <w:r w:rsidRPr="00692926">
              <w:rPr>
                <w:sz w:val="18"/>
                <w:szCs w:val="18"/>
              </w:rPr>
              <w:t>16</w:t>
            </w:r>
          </w:p>
        </w:tc>
        <w:tc>
          <w:tcPr>
            <w:tcW w:w="1263" w:type="dxa"/>
            <w:vAlign w:val="bottom"/>
          </w:tcPr>
          <w:p w14:paraId="71558BD6" w14:textId="0218C748" w:rsidR="00224102" w:rsidRPr="00692926" w:rsidRDefault="00224102" w:rsidP="00224102">
            <w:pPr>
              <w:jc w:val="right"/>
              <w:rPr>
                <w:sz w:val="18"/>
                <w:szCs w:val="18"/>
              </w:rPr>
            </w:pPr>
            <w:r w:rsidRPr="00692926">
              <w:rPr>
                <w:sz w:val="18"/>
                <w:szCs w:val="18"/>
              </w:rPr>
              <w:t>28</w:t>
            </w:r>
          </w:p>
        </w:tc>
        <w:tc>
          <w:tcPr>
            <w:tcW w:w="1582" w:type="dxa"/>
            <w:vAlign w:val="bottom"/>
          </w:tcPr>
          <w:p w14:paraId="79E279F0" w14:textId="573090D2" w:rsidR="00224102" w:rsidRPr="00692926" w:rsidRDefault="00224102" w:rsidP="00224102">
            <w:pPr>
              <w:jc w:val="right"/>
              <w:rPr>
                <w:sz w:val="18"/>
                <w:szCs w:val="18"/>
              </w:rPr>
            </w:pPr>
            <w:r w:rsidRPr="00692926">
              <w:rPr>
                <w:sz w:val="18"/>
                <w:szCs w:val="18"/>
              </w:rPr>
              <w:t>71,851</w:t>
            </w:r>
          </w:p>
        </w:tc>
        <w:tc>
          <w:tcPr>
            <w:tcW w:w="1227" w:type="dxa"/>
            <w:vAlign w:val="bottom"/>
          </w:tcPr>
          <w:p w14:paraId="006CED4B" w14:textId="4E7D5980" w:rsidR="00224102" w:rsidRPr="00692926" w:rsidRDefault="00224102" w:rsidP="00224102">
            <w:pPr>
              <w:jc w:val="right"/>
              <w:rPr>
                <w:sz w:val="18"/>
                <w:szCs w:val="18"/>
              </w:rPr>
            </w:pPr>
            <w:r w:rsidRPr="00692926">
              <w:rPr>
                <w:sz w:val="18"/>
                <w:szCs w:val="18"/>
              </w:rPr>
              <w:t>71,895</w:t>
            </w:r>
          </w:p>
        </w:tc>
      </w:tr>
      <w:tr w:rsidR="00224102" w:rsidRPr="00604C75" w14:paraId="3264D7AB" w14:textId="77777777" w:rsidTr="002C6EF7">
        <w:trPr>
          <w:trHeight w:val="280"/>
        </w:trPr>
        <w:tc>
          <w:tcPr>
            <w:tcW w:w="3474" w:type="dxa"/>
            <w:vAlign w:val="bottom"/>
          </w:tcPr>
          <w:p w14:paraId="13CBD1F4" w14:textId="286D0FAA" w:rsidR="00224102" w:rsidRPr="00604C75" w:rsidRDefault="00224102" w:rsidP="00224102">
            <w:pPr>
              <w:rPr>
                <w:b/>
                <w:snapToGrid w:val="0"/>
                <w:sz w:val="18"/>
              </w:rPr>
            </w:pPr>
            <w:r w:rsidRPr="00604C75">
              <w:rPr>
                <w:b/>
                <w:sz w:val="18"/>
                <w:szCs w:val="18"/>
              </w:rPr>
              <w:t xml:space="preserve">Net </w:t>
            </w:r>
            <w:r>
              <w:rPr>
                <w:b/>
                <w:sz w:val="18"/>
                <w:szCs w:val="18"/>
              </w:rPr>
              <w:t>B</w:t>
            </w:r>
            <w:r w:rsidRPr="00604C75">
              <w:rPr>
                <w:b/>
                <w:sz w:val="18"/>
                <w:szCs w:val="18"/>
              </w:rPr>
              <w:t xml:space="preserve">ook </w:t>
            </w:r>
            <w:r>
              <w:rPr>
                <w:b/>
                <w:sz w:val="18"/>
                <w:szCs w:val="18"/>
              </w:rPr>
              <w:t>V</w:t>
            </w:r>
            <w:r w:rsidRPr="00604C75">
              <w:rPr>
                <w:b/>
                <w:sz w:val="18"/>
                <w:szCs w:val="18"/>
              </w:rPr>
              <w:t>alue</w:t>
            </w:r>
          </w:p>
        </w:tc>
        <w:tc>
          <w:tcPr>
            <w:tcW w:w="1546" w:type="dxa"/>
            <w:vAlign w:val="bottom"/>
          </w:tcPr>
          <w:p w14:paraId="0D42316B" w14:textId="4A03D928" w:rsidR="00224102" w:rsidRPr="00692926" w:rsidRDefault="00224102" w:rsidP="00224102">
            <w:pPr>
              <w:jc w:val="right"/>
              <w:rPr>
                <w:b/>
                <w:sz w:val="18"/>
                <w:szCs w:val="18"/>
              </w:rPr>
            </w:pPr>
            <w:r w:rsidRPr="00692926">
              <w:rPr>
                <w:b/>
                <w:sz w:val="18"/>
                <w:szCs w:val="18"/>
              </w:rPr>
              <w:t>1,694</w:t>
            </w:r>
          </w:p>
        </w:tc>
        <w:tc>
          <w:tcPr>
            <w:tcW w:w="1263" w:type="dxa"/>
            <w:vAlign w:val="bottom"/>
          </w:tcPr>
          <w:p w14:paraId="3F6E9D0E" w14:textId="16CDF7BD" w:rsidR="00224102" w:rsidRPr="00692926" w:rsidRDefault="00224102" w:rsidP="00224102">
            <w:pPr>
              <w:jc w:val="right"/>
              <w:rPr>
                <w:b/>
                <w:sz w:val="18"/>
                <w:szCs w:val="18"/>
              </w:rPr>
            </w:pPr>
            <w:r w:rsidRPr="00692926">
              <w:rPr>
                <w:b/>
                <w:sz w:val="18"/>
                <w:szCs w:val="18"/>
              </w:rPr>
              <w:t>-</w:t>
            </w:r>
          </w:p>
        </w:tc>
        <w:tc>
          <w:tcPr>
            <w:tcW w:w="1582" w:type="dxa"/>
            <w:vAlign w:val="bottom"/>
          </w:tcPr>
          <w:p w14:paraId="118BEAFF" w14:textId="542DBC80" w:rsidR="00224102" w:rsidRPr="00692926" w:rsidRDefault="00224102" w:rsidP="00224102">
            <w:pPr>
              <w:jc w:val="right"/>
              <w:rPr>
                <w:b/>
                <w:sz w:val="18"/>
                <w:szCs w:val="18"/>
              </w:rPr>
            </w:pPr>
            <w:r w:rsidRPr="00692926">
              <w:rPr>
                <w:b/>
                <w:sz w:val="18"/>
                <w:szCs w:val="18"/>
              </w:rPr>
              <w:t>29,907</w:t>
            </w:r>
          </w:p>
        </w:tc>
        <w:tc>
          <w:tcPr>
            <w:tcW w:w="1227" w:type="dxa"/>
            <w:vAlign w:val="bottom"/>
          </w:tcPr>
          <w:p w14:paraId="3FC2E1FF" w14:textId="58D4C5EE" w:rsidR="00224102" w:rsidRPr="00692926" w:rsidRDefault="00224102" w:rsidP="00224102">
            <w:pPr>
              <w:jc w:val="right"/>
              <w:rPr>
                <w:b/>
                <w:sz w:val="18"/>
                <w:szCs w:val="18"/>
              </w:rPr>
            </w:pPr>
            <w:r w:rsidRPr="00692926">
              <w:rPr>
                <w:b/>
                <w:sz w:val="18"/>
                <w:szCs w:val="18"/>
              </w:rPr>
              <w:t>31,601</w:t>
            </w:r>
          </w:p>
        </w:tc>
      </w:tr>
      <w:tr w:rsidR="00224102" w:rsidRPr="00604C75" w14:paraId="5A064E2A" w14:textId="77777777" w:rsidTr="002C6EF7">
        <w:trPr>
          <w:trHeight w:val="259"/>
        </w:trPr>
        <w:tc>
          <w:tcPr>
            <w:tcW w:w="3474" w:type="dxa"/>
            <w:vAlign w:val="bottom"/>
          </w:tcPr>
          <w:p w14:paraId="61B28167" w14:textId="77777777" w:rsidR="00224102" w:rsidRPr="00604C75" w:rsidRDefault="00224102" w:rsidP="00224102">
            <w:pPr>
              <w:rPr>
                <w:b/>
                <w:snapToGrid w:val="0"/>
                <w:sz w:val="18"/>
              </w:rPr>
            </w:pPr>
            <w:r>
              <w:rPr>
                <w:b/>
                <w:snapToGrid w:val="0"/>
                <w:sz w:val="18"/>
              </w:rPr>
              <w:t>31 December</w:t>
            </w:r>
            <w:r w:rsidRPr="00604C75">
              <w:rPr>
                <w:b/>
                <w:snapToGrid w:val="0"/>
                <w:sz w:val="18"/>
              </w:rPr>
              <w:t xml:space="preserve"> 2015</w:t>
            </w:r>
          </w:p>
        </w:tc>
        <w:tc>
          <w:tcPr>
            <w:tcW w:w="1546" w:type="dxa"/>
            <w:vAlign w:val="bottom"/>
          </w:tcPr>
          <w:p w14:paraId="181B34CC" w14:textId="77777777" w:rsidR="00224102" w:rsidRPr="00692926" w:rsidRDefault="00224102" w:rsidP="00224102">
            <w:pPr>
              <w:jc w:val="right"/>
              <w:rPr>
                <w:sz w:val="18"/>
                <w:szCs w:val="18"/>
              </w:rPr>
            </w:pPr>
          </w:p>
        </w:tc>
        <w:tc>
          <w:tcPr>
            <w:tcW w:w="1263" w:type="dxa"/>
            <w:vAlign w:val="bottom"/>
          </w:tcPr>
          <w:p w14:paraId="66C52A8F" w14:textId="77777777" w:rsidR="00224102" w:rsidRPr="00692926" w:rsidRDefault="00224102" w:rsidP="00224102">
            <w:pPr>
              <w:jc w:val="right"/>
              <w:rPr>
                <w:sz w:val="18"/>
                <w:szCs w:val="18"/>
              </w:rPr>
            </w:pPr>
          </w:p>
        </w:tc>
        <w:tc>
          <w:tcPr>
            <w:tcW w:w="1582" w:type="dxa"/>
            <w:vAlign w:val="bottom"/>
          </w:tcPr>
          <w:p w14:paraId="34FE8F7C" w14:textId="77777777" w:rsidR="00224102" w:rsidRPr="00692926" w:rsidRDefault="00224102" w:rsidP="00224102">
            <w:pPr>
              <w:jc w:val="right"/>
              <w:rPr>
                <w:sz w:val="18"/>
                <w:szCs w:val="18"/>
              </w:rPr>
            </w:pPr>
          </w:p>
        </w:tc>
        <w:tc>
          <w:tcPr>
            <w:tcW w:w="1227" w:type="dxa"/>
            <w:vAlign w:val="bottom"/>
          </w:tcPr>
          <w:p w14:paraId="24D3523A" w14:textId="77777777" w:rsidR="00224102" w:rsidRPr="00692926" w:rsidRDefault="00224102" w:rsidP="00224102">
            <w:pPr>
              <w:jc w:val="right"/>
              <w:rPr>
                <w:sz w:val="18"/>
                <w:szCs w:val="18"/>
              </w:rPr>
            </w:pPr>
          </w:p>
        </w:tc>
      </w:tr>
      <w:tr w:rsidR="00224102" w:rsidRPr="00604C75" w14:paraId="1F30151A" w14:textId="77777777" w:rsidTr="00104DF7">
        <w:trPr>
          <w:trHeight w:val="259"/>
        </w:trPr>
        <w:tc>
          <w:tcPr>
            <w:tcW w:w="3474" w:type="dxa"/>
          </w:tcPr>
          <w:p w14:paraId="3EF18BF5" w14:textId="4C289FAF" w:rsidR="00224102" w:rsidRPr="00604C75" w:rsidRDefault="00224102" w:rsidP="00224102">
            <w:pPr>
              <w:rPr>
                <w:snapToGrid w:val="0"/>
                <w:sz w:val="18"/>
              </w:rPr>
            </w:pPr>
            <w:r w:rsidRPr="00604C75">
              <w:rPr>
                <w:snapToGrid w:val="0"/>
                <w:sz w:val="18"/>
              </w:rPr>
              <w:t xml:space="preserve">Net </w:t>
            </w:r>
            <w:r>
              <w:rPr>
                <w:snapToGrid w:val="0"/>
                <w:sz w:val="18"/>
              </w:rPr>
              <w:t>B</w:t>
            </w:r>
            <w:r w:rsidRPr="00604C75">
              <w:rPr>
                <w:snapToGrid w:val="0"/>
                <w:sz w:val="18"/>
              </w:rPr>
              <w:t xml:space="preserve">ook </w:t>
            </w:r>
            <w:r>
              <w:rPr>
                <w:snapToGrid w:val="0"/>
                <w:sz w:val="18"/>
              </w:rPr>
              <w:t>V</w:t>
            </w:r>
            <w:r w:rsidRPr="00604C75">
              <w:rPr>
                <w:snapToGrid w:val="0"/>
                <w:sz w:val="18"/>
              </w:rPr>
              <w:t xml:space="preserve">alue at </w:t>
            </w:r>
            <w:r>
              <w:rPr>
                <w:snapToGrid w:val="0"/>
                <w:sz w:val="18"/>
              </w:rPr>
              <w:t>B</w:t>
            </w:r>
            <w:r w:rsidRPr="00604C75">
              <w:rPr>
                <w:snapToGrid w:val="0"/>
                <w:sz w:val="18"/>
              </w:rPr>
              <w:t xml:space="preserve">eginning of the </w:t>
            </w:r>
            <w:r>
              <w:rPr>
                <w:snapToGrid w:val="0"/>
                <w:sz w:val="18"/>
              </w:rPr>
              <w:t>P</w:t>
            </w:r>
            <w:r w:rsidRPr="00604C75">
              <w:rPr>
                <w:snapToGrid w:val="0"/>
                <w:sz w:val="18"/>
              </w:rPr>
              <w:t>eriod</w:t>
            </w:r>
          </w:p>
        </w:tc>
        <w:tc>
          <w:tcPr>
            <w:tcW w:w="1546" w:type="dxa"/>
            <w:vAlign w:val="bottom"/>
          </w:tcPr>
          <w:p w14:paraId="539302A8" w14:textId="7E7400C8" w:rsidR="00224102" w:rsidRPr="00692926" w:rsidRDefault="00224102" w:rsidP="00224102">
            <w:pPr>
              <w:jc w:val="right"/>
              <w:rPr>
                <w:sz w:val="18"/>
                <w:szCs w:val="18"/>
              </w:rPr>
            </w:pPr>
            <w:r w:rsidRPr="00692926">
              <w:rPr>
                <w:sz w:val="18"/>
                <w:szCs w:val="18"/>
              </w:rPr>
              <w:t>1,694</w:t>
            </w:r>
          </w:p>
        </w:tc>
        <w:tc>
          <w:tcPr>
            <w:tcW w:w="1263" w:type="dxa"/>
            <w:vAlign w:val="bottom"/>
          </w:tcPr>
          <w:p w14:paraId="49D9B9E7" w14:textId="4466876F" w:rsidR="00224102" w:rsidRPr="00692926" w:rsidRDefault="00224102" w:rsidP="00224102">
            <w:pPr>
              <w:jc w:val="right"/>
              <w:rPr>
                <w:sz w:val="18"/>
                <w:szCs w:val="18"/>
              </w:rPr>
            </w:pPr>
            <w:r w:rsidRPr="00692926">
              <w:rPr>
                <w:sz w:val="18"/>
                <w:szCs w:val="18"/>
              </w:rPr>
              <w:t>-</w:t>
            </w:r>
          </w:p>
        </w:tc>
        <w:tc>
          <w:tcPr>
            <w:tcW w:w="1582" w:type="dxa"/>
            <w:vAlign w:val="bottom"/>
          </w:tcPr>
          <w:p w14:paraId="40BDA8B6" w14:textId="71B2E694" w:rsidR="00224102" w:rsidRPr="00692926" w:rsidRDefault="00224102" w:rsidP="00224102">
            <w:pPr>
              <w:jc w:val="right"/>
              <w:rPr>
                <w:sz w:val="18"/>
                <w:szCs w:val="18"/>
              </w:rPr>
            </w:pPr>
            <w:r w:rsidRPr="00692926">
              <w:rPr>
                <w:sz w:val="18"/>
                <w:szCs w:val="18"/>
              </w:rPr>
              <w:t>29,907</w:t>
            </w:r>
          </w:p>
        </w:tc>
        <w:tc>
          <w:tcPr>
            <w:tcW w:w="1227" w:type="dxa"/>
            <w:vAlign w:val="center"/>
          </w:tcPr>
          <w:p w14:paraId="46FE2722" w14:textId="1FBE6F5E" w:rsidR="00224102" w:rsidRDefault="00224102" w:rsidP="00224102">
            <w:pPr>
              <w:jc w:val="right"/>
              <w:rPr>
                <w:color w:val="000000"/>
                <w:sz w:val="18"/>
                <w:szCs w:val="18"/>
              </w:rPr>
            </w:pPr>
            <w:r>
              <w:rPr>
                <w:color w:val="000000"/>
                <w:sz w:val="18"/>
                <w:szCs w:val="18"/>
              </w:rPr>
              <w:t>31,601</w:t>
            </w:r>
          </w:p>
        </w:tc>
      </w:tr>
      <w:tr w:rsidR="00224102" w:rsidRPr="00604C75" w14:paraId="18F1AFBD" w14:textId="77777777" w:rsidTr="00104DF7">
        <w:trPr>
          <w:trHeight w:val="259"/>
        </w:trPr>
        <w:tc>
          <w:tcPr>
            <w:tcW w:w="3474" w:type="dxa"/>
          </w:tcPr>
          <w:p w14:paraId="12A64071" w14:textId="77777777" w:rsidR="00224102" w:rsidRPr="00604C75" w:rsidRDefault="00224102" w:rsidP="00224102">
            <w:pPr>
              <w:rPr>
                <w:snapToGrid w:val="0"/>
                <w:sz w:val="18"/>
              </w:rPr>
            </w:pPr>
            <w:r w:rsidRPr="00604C75">
              <w:rPr>
                <w:snapToGrid w:val="0"/>
                <w:sz w:val="18"/>
              </w:rPr>
              <w:t xml:space="preserve">Additions </w:t>
            </w:r>
          </w:p>
        </w:tc>
        <w:tc>
          <w:tcPr>
            <w:tcW w:w="1546" w:type="dxa"/>
            <w:vAlign w:val="bottom"/>
          </w:tcPr>
          <w:p w14:paraId="0F02F928" w14:textId="456CDDEF" w:rsidR="00224102" w:rsidRDefault="00224102" w:rsidP="00224102">
            <w:pPr>
              <w:jc w:val="right"/>
              <w:rPr>
                <w:sz w:val="18"/>
                <w:szCs w:val="18"/>
              </w:rPr>
            </w:pPr>
            <w:r>
              <w:rPr>
                <w:sz w:val="18"/>
                <w:szCs w:val="18"/>
              </w:rPr>
              <w:t>180</w:t>
            </w:r>
          </w:p>
        </w:tc>
        <w:tc>
          <w:tcPr>
            <w:tcW w:w="1263" w:type="dxa"/>
            <w:vAlign w:val="bottom"/>
          </w:tcPr>
          <w:p w14:paraId="001D3FAA" w14:textId="76D87347" w:rsidR="00224102" w:rsidRDefault="00224102" w:rsidP="00224102">
            <w:pPr>
              <w:jc w:val="right"/>
            </w:pPr>
            <w:r w:rsidRPr="00DB23B1">
              <w:rPr>
                <w:sz w:val="18"/>
                <w:szCs w:val="18"/>
              </w:rPr>
              <w:t>-</w:t>
            </w:r>
          </w:p>
        </w:tc>
        <w:tc>
          <w:tcPr>
            <w:tcW w:w="1582" w:type="dxa"/>
            <w:vAlign w:val="bottom"/>
          </w:tcPr>
          <w:p w14:paraId="7D1FFED9" w14:textId="5AA73A7E" w:rsidR="00224102" w:rsidRPr="00692926" w:rsidRDefault="00224102" w:rsidP="00224102">
            <w:pPr>
              <w:jc w:val="right"/>
              <w:rPr>
                <w:sz w:val="18"/>
                <w:szCs w:val="18"/>
              </w:rPr>
            </w:pPr>
            <w:r>
              <w:rPr>
                <w:sz w:val="18"/>
                <w:szCs w:val="18"/>
              </w:rPr>
              <w:t>10,232</w:t>
            </w:r>
          </w:p>
        </w:tc>
        <w:tc>
          <w:tcPr>
            <w:tcW w:w="1227" w:type="dxa"/>
            <w:vAlign w:val="center"/>
          </w:tcPr>
          <w:p w14:paraId="4F80BD79" w14:textId="154C690C" w:rsidR="00224102" w:rsidRDefault="00224102" w:rsidP="00224102">
            <w:pPr>
              <w:jc w:val="right"/>
              <w:rPr>
                <w:color w:val="000000"/>
                <w:sz w:val="18"/>
                <w:szCs w:val="18"/>
              </w:rPr>
            </w:pPr>
            <w:r>
              <w:rPr>
                <w:color w:val="000000"/>
                <w:sz w:val="18"/>
                <w:szCs w:val="18"/>
              </w:rPr>
              <w:t>10,412</w:t>
            </w:r>
          </w:p>
        </w:tc>
      </w:tr>
      <w:tr w:rsidR="00224102" w:rsidRPr="00604C75" w14:paraId="512376B8" w14:textId="77777777" w:rsidTr="00104DF7">
        <w:trPr>
          <w:trHeight w:val="259"/>
        </w:trPr>
        <w:tc>
          <w:tcPr>
            <w:tcW w:w="3474" w:type="dxa"/>
            <w:vAlign w:val="bottom"/>
          </w:tcPr>
          <w:p w14:paraId="0AEFA4E7" w14:textId="4D82E373" w:rsidR="00224102" w:rsidRPr="00604C75" w:rsidRDefault="00224102" w:rsidP="00224102">
            <w:pPr>
              <w:rPr>
                <w:snapToGrid w:val="0"/>
                <w:sz w:val="18"/>
              </w:rPr>
            </w:pPr>
            <w:r>
              <w:rPr>
                <w:snapToGrid w:val="0"/>
                <w:sz w:val="18"/>
              </w:rPr>
              <w:t>Disposals Cost</w:t>
            </w:r>
          </w:p>
        </w:tc>
        <w:tc>
          <w:tcPr>
            <w:tcW w:w="1546" w:type="dxa"/>
            <w:vAlign w:val="bottom"/>
          </w:tcPr>
          <w:p w14:paraId="2695F116" w14:textId="0E9AE541" w:rsidR="00224102" w:rsidRDefault="00224102" w:rsidP="00224102">
            <w:pPr>
              <w:jc w:val="right"/>
              <w:rPr>
                <w:sz w:val="18"/>
                <w:szCs w:val="18"/>
              </w:rPr>
            </w:pPr>
            <w:r>
              <w:rPr>
                <w:sz w:val="18"/>
                <w:szCs w:val="18"/>
              </w:rPr>
              <w:t>816</w:t>
            </w:r>
          </w:p>
        </w:tc>
        <w:tc>
          <w:tcPr>
            <w:tcW w:w="1263" w:type="dxa"/>
            <w:vAlign w:val="bottom"/>
          </w:tcPr>
          <w:p w14:paraId="614E9130" w14:textId="77721E15" w:rsidR="00224102" w:rsidRDefault="00224102" w:rsidP="00224102">
            <w:pPr>
              <w:jc w:val="right"/>
            </w:pPr>
            <w:r w:rsidRPr="00DB23B1">
              <w:rPr>
                <w:sz w:val="18"/>
                <w:szCs w:val="18"/>
              </w:rPr>
              <w:t>-</w:t>
            </w:r>
          </w:p>
        </w:tc>
        <w:tc>
          <w:tcPr>
            <w:tcW w:w="1582" w:type="dxa"/>
            <w:vAlign w:val="bottom"/>
          </w:tcPr>
          <w:p w14:paraId="1E24C11F" w14:textId="3D25C022" w:rsidR="00224102" w:rsidRPr="00692926" w:rsidRDefault="00224102" w:rsidP="00224102">
            <w:pPr>
              <w:jc w:val="right"/>
              <w:rPr>
                <w:sz w:val="18"/>
                <w:szCs w:val="18"/>
              </w:rPr>
            </w:pPr>
            <w:r>
              <w:rPr>
                <w:sz w:val="18"/>
                <w:szCs w:val="18"/>
              </w:rPr>
              <w:t>7,819</w:t>
            </w:r>
          </w:p>
        </w:tc>
        <w:tc>
          <w:tcPr>
            <w:tcW w:w="1227" w:type="dxa"/>
            <w:vAlign w:val="center"/>
          </w:tcPr>
          <w:p w14:paraId="03117E35" w14:textId="3BAF560F" w:rsidR="00224102" w:rsidRDefault="00224102" w:rsidP="00224102">
            <w:pPr>
              <w:jc w:val="right"/>
              <w:rPr>
                <w:color w:val="000000"/>
                <w:sz w:val="18"/>
                <w:szCs w:val="18"/>
              </w:rPr>
            </w:pPr>
            <w:r>
              <w:rPr>
                <w:color w:val="000000"/>
                <w:sz w:val="18"/>
                <w:szCs w:val="18"/>
              </w:rPr>
              <w:t>8,635</w:t>
            </w:r>
          </w:p>
        </w:tc>
      </w:tr>
      <w:tr w:rsidR="00224102" w:rsidRPr="00604C75" w14:paraId="3601C381" w14:textId="77777777" w:rsidTr="00104DF7">
        <w:trPr>
          <w:trHeight w:val="259"/>
        </w:trPr>
        <w:tc>
          <w:tcPr>
            <w:tcW w:w="3474" w:type="dxa"/>
            <w:vAlign w:val="bottom"/>
          </w:tcPr>
          <w:p w14:paraId="588E44EA" w14:textId="315C9BAE" w:rsidR="00224102" w:rsidRPr="00604C75" w:rsidRDefault="00224102" w:rsidP="00224102">
            <w:pPr>
              <w:rPr>
                <w:snapToGrid w:val="0"/>
                <w:sz w:val="18"/>
              </w:rPr>
            </w:pPr>
            <w:r w:rsidRPr="00604C75">
              <w:rPr>
                <w:snapToGrid w:val="0"/>
                <w:sz w:val="18"/>
              </w:rPr>
              <w:t>Disposals</w:t>
            </w:r>
            <w:r>
              <w:rPr>
                <w:snapToGrid w:val="0"/>
                <w:sz w:val="18"/>
              </w:rPr>
              <w:t xml:space="preserve"> Depreciation (-)</w:t>
            </w:r>
          </w:p>
        </w:tc>
        <w:tc>
          <w:tcPr>
            <w:tcW w:w="1546" w:type="dxa"/>
            <w:vAlign w:val="bottom"/>
          </w:tcPr>
          <w:p w14:paraId="64F6AE35" w14:textId="27417A3F" w:rsidR="00224102" w:rsidRPr="00692926" w:rsidRDefault="00224102" w:rsidP="00224102">
            <w:pPr>
              <w:jc w:val="right"/>
              <w:rPr>
                <w:sz w:val="18"/>
                <w:szCs w:val="18"/>
              </w:rPr>
            </w:pPr>
            <w:r>
              <w:rPr>
                <w:sz w:val="18"/>
                <w:szCs w:val="18"/>
              </w:rPr>
              <w:t>-</w:t>
            </w:r>
          </w:p>
        </w:tc>
        <w:tc>
          <w:tcPr>
            <w:tcW w:w="1263" w:type="dxa"/>
            <w:vAlign w:val="bottom"/>
          </w:tcPr>
          <w:p w14:paraId="668601FD" w14:textId="6C6E4EA4" w:rsidR="00224102" w:rsidRDefault="00224102" w:rsidP="00224102">
            <w:pPr>
              <w:jc w:val="right"/>
            </w:pPr>
            <w:r w:rsidRPr="00DB23B1">
              <w:rPr>
                <w:sz w:val="18"/>
                <w:szCs w:val="18"/>
              </w:rPr>
              <w:t>-</w:t>
            </w:r>
          </w:p>
        </w:tc>
        <w:tc>
          <w:tcPr>
            <w:tcW w:w="1582" w:type="dxa"/>
            <w:vAlign w:val="bottom"/>
          </w:tcPr>
          <w:p w14:paraId="3E0745D7" w14:textId="4FF6EDDA" w:rsidR="00224102" w:rsidRPr="00692926" w:rsidRDefault="00224102" w:rsidP="00224102">
            <w:pPr>
              <w:jc w:val="right"/>
              <w:rPr>
                <w:sz w:val="18"/>
                <w:szCs w:val="18"/>
              </w:rPr>
            </w:pPr>
            <w:r>
              <w:rPr>
                <w:sz w:val="18"/>
                <w:szCs w:val="18"/>
              </w:rPr>
              <w:t>4,992</w:t>
            </w:r>
          </w:p>
        </w:tc>
        <w:tc>
          <w:tcPr>
            <w:tcW w:w="1227" w:type="dxa"/>
            <w:vAlign w:val="center"/>
          </w:tcPr>
          <w:p w14:paraId="380F1768" w14:textId="247F38D5" w:rsidR="00224102" w:rsidRDefault="00224102" w:rsidP="00224102">
            <w:pPr>
              <w:jc w:val="right"/>
              <w:rPr>
                <w:color w:val="000000"/>
                <w:sz w:val="18"/>
                <w:szCs w:val="18"/>
              </w:rPr>
            </w:pPr>
            <w:r>
              <w:rPr>
                <w:color w:val="000000"/>
                <w:sz w:val="18"/>
                <w:szCs w:val="18"/>
              </w:rPr>
              <w:t>4,992</w:t>
            </w:r>
          </w:p>
        </w:tc>
      </w:tr>
      <w:tr w:rsidR="00224102" w:rsidRPr="00604C75" w14:paraId="2767BD66" w14:textId="77777777" w:rsidTr="00104DF7">
        <w:trPr>
          <w:trHeight w:val="259"/>
        </w:trPr>
        <w:tc>
          <w:tcPr>
            <w:tcW w:w="3474" w:type="dxa"/>
          </w:tcPr>
          <w:p w14:paraId="7CB5F3B7" w14:textId="77777777" w:rsidR="00224102" w:rsidRPr="00604C75" w:rsidRDefault="00224102" w:rsidP="00224102">
            <w:pPr>
              <w:rPr>
                <w:snapToGrid w:val="0"/>
                <w:sz w:val="18"/>
              </w:rPr>
            </w:pPr>
            <w:r w:rsidRPr="00604C75">
              <w:rPr>
                <w:snapToGrid w:val="0"/>
                <w:sz w:val="18"/>
              </w:rPr>
              <w:t>Impairment</w:t>
            </w:r>
          </w:p>
        </w:tc>
        <w:tc>
          <w:tcPr>
            <w:tcW w:w="1546" w:type="dxa"/>
            <w:vAlign w:val="bottom"/>
          </w:tcPr>
          <w:p w14:paraId="6B53BB19" w14:textId="792E3D67" w:rsidR="00224102" w:rsidRPr="00692926" w:rsidRDefault="00224102" w:rsidP="00224102">
            <w:pPr>
              <w:jc w:val="right"/>
              <w:rPr>
                <w:sz w:val="18"/>
                <w:szCs w:val="18"/>
              </w:rPr>
            </w:pPr>
            <w:r>
              <w:rPr>
                <w:sz w:val="18"/>
                <w:szCs w:val="18"/>
              </w:rPr>
              <w:t>-</w:t>
            </w:r>
          </w:p>
        </w:tc>
        <w:tc>
          <w:tcPr>
            <w:tcW w:w="1263" w:type="dxa"/>
            <w:vAlign w:val="bottom"/>
          </w:tcPr>
          <w:p w14:paraId="063DA599" w14:textId="799FEE31" w:rsidR="00224102" w:rsidRDefault="00224102" w:rsidP="00224102">
            <w:pPr>
              <w:jc w:val="right"/>
            </w:pPr>
            <w:r w:rsidRPr="00DB23B1">
              <w:rPr>
                <w:sz w:val="18"/>
                <w:szCs w:val="18"/>
              </w:rPr>
              <w:t>-</w:t>
            </w:r>
          </w:p>
        </w:tc>
        <w:tc>
          <w:tcPr>
            <w:tcW w:w="1582" w:type="dxa"/>
            <w:vAlign w:val="bottom"/>
          </w:tcPr>
          <w:p w14:paraId="06068746" w14:textId="17506A91" w:rsidR="00224102" w:rsidRPr="00692926" w:rsidRDefault="00224102" w:rsidP="00224102">
            <w:pPr>
              <w:jc w:val="right"/>
              <w:rPr>
                <w:sz w:val="18"/>
                <w:szCs w:val="18"/>
              </w:rPr>
            </w:pPr>
            <w:r>
              <w:rPr>
                <w:sz w:val="18"/>
                <w:szCs w:val="18"/>
              </w:rPr>
              <w:t>-</w:t>
            </w:r>
          </w:p>
        </w:tc>
        <w:tc>
          <w:tcPr>
            <w:tcW w:w="1227" w:type="dxa"/>
            <w:vAlign w:val="center"/>
          </w:tcPr>
          <w:p w14:paraId="43802DBE" w14:textId="542B86E7" w:rsidR="00224102" w:rsidRDefault="00224102" w:rsidP="00224102">
            <w:pPr>
              <w:jc w:val="right"/>
              <w:rPr>
                <w:color w:val="000000"/>
                <w:sz w:val="18"/>
                <w:szCs w:val="18"/>
              </w:rPr>
            </w:pPr>
            <w:r>
              <w:rPr>
                <w:color w:val="000000"/>
                <w:sz w:val="18"/>
                <w:szCs w:val="18"/>
              </w:rPr>
              <w:t>-</w:t>
            </w:r>
          </w:p>
        </w:tc>
      </w:tr>
      <w:tr w:rsidR="00224102" w:rsidRPr="00604C75" w14:paraId="275F04F9" w14:textId="77777777" w:rsidTr="00104DF7">
        <w:trPr>
          <w:trHeight w:val="259"/>
        </w:trPr>
        <w:tc>
          <w:tcPr>
            <w:tcW w:w="3474" w:type="dxa"/>
          </w:tcPr>
          <w:p w14:paraId="51D9B0B2" w14:textId="77777777" w:rsidR="00224102" w:rsidRPr="00604C75" w:rsidRDefault="00224102" w:rsidP="00224102">
            <w:pPr>
              <w:rPr>
                <w:snapToGrid w:val="0"/>
                <w:sz w:val="18"/>
              </w:rPr>
            </w:pPr>
            <w:r w:rsidRPr="00604C75">
              <w:rPr>
                <w:snapToGrid w:val="0"/>
                <w:sz w:val="18"/>
              </w:rPr>
              <w:t>Depreciation (-)</w:t>
            </w:r>
          </w:p>
        </w:tc>
        <w:tc>
          <w:tcPr>
            <w:tcW w:w="1546" w:type="dxa"/>
            <w:vAlign w:val="bottom"/>
          </w:tcPr>
          <w:p w14:paraId="275C70CF" w14:textId="383DD6E3" w:rsidR="00224102" w:rsidRPr="00692926" w:rsidRDefault="00224102" w:rsidP="00224102">
            <w:pPr>
              <w:jc w:val="right"/>
              <w:rPr>
                <w:sz w:val="18"/>
                <w:szCs w:val="18"/>
              </w:rPr>
            </w:pPr>
            <w:r>
              <w:rPr>
                <w:sz w:val="18"/>
                <w:szCs w:val="18"/>
              </w:rPr>
              <w:t>-</w:t>
            </w:r>
          </w:p>
        </w:tc>
        <w:tc>
          <w:tcPr>
            <w:tcW w:w="1263" w:type="dxa"/>
            <w:vAlign w:val="bottom"/>
          </w:tcPr>
          <w:p w14:paraId="20608E5E" w14:textId="67B583FE" w:rsidR="00224102" w:rsidRDefault="00224102" w:rsidP="00224102">
            <w:pPr>
              <w:jc w:val="right"/>
            </w:pPr>
            <w:r w:rsidRPr="00DB23B1">
              <w:rPr>
                <w:sz w:val="18"/>
                <w:szCs w:val="18"/>
              </w:rPr>
              <w:t>-</w:t>
            </w:r>
          </w:p>
        </w:tc>
        <w:tc>
          <w:tcPr>
            <w:tcW w:w="1582" w:type="dxa"/>
            <w:vAlign w:val="bottom"/>
          </w:tcPr>
          <w:p w14:paraId="33426578" w14:textId="38F6F6A7" w:rsidR="00224102" w:rsidRPr="00692926" w:rsidRDefault="00224102" w:rsidP="00224102">
            <w:pPr>
              <w:jc w:val="right"/>
              <w:rPr>
                <w:sz w:val="18"/>
                <w:szCs w:val="18"/>
              </w:rPr>
            </w:pPr>
            <w:r>
              <w:rPr>
                <w:sz w:val="18"/>
                <w:szCs w:val="18"/>
              </w:rPr>
              <w:t>8,876</w:t>
            </w:r>
          </w:p>
        </w:tc>
        <w:tc>
          <w:tcPr>
            <w:tcW w:w="1227" w:type="dxa"/>
            <w:vAlign w:val="center"/>
          </w:tcPr>
          <w:p w14:paraId="153B84B6" w14:textId="3006831F" w:rsidR="00224102" w:rsidRDefault="00224102" w:rsidP="00224102">
            <w:pPr>
              <w:jc w:val="right"/>
              <w:rPr>
                <w:color w:val="000000"/>
                <w:sz w:val="18"/>
                <w:szCs w:val="18"/>
              </w:rPr>
            </w:pPr>
            <w:r>
              <w:rPr>
                <w:color w:val="000000"/>
                <w:sz w:val="18"/>
                <w:szCs w:val="18"/>
              </w:rPr>
              <w:t>8,876</w:t>
            </w:r>
          </w:p>
        </w:tc>
      </w:tr>
      <w:tr w:rsidR="00224102" w:rsidRPr="00604C75" w14:paraId="631D529A" w14:textId="77777777" w:rsidTr="00104DF7">
        <w:trPr>
          <w:trHeight w:val="259"/>
        </w:trPr>
        <w:tc>
          <w:tcPr>
            <w:tcW w:w="3474" w:type="dxa"/>
            <w:vAlign w:val="bottom"/>
          </w:tcPr>
          <w:p w14:paraId="034E898C" w14:textId="77777777" w:rsidR="00224102" w:rsidRPr="00692E85" w:rsidRDefault="00224102" w:rsidP="00224102">
            <w:pPr>
              <w:rPr>
                <w:snapToGrid w:val="0"/>
                <w:sz w:val="18"/>
              </w:rPr>
            </w:pPr>
            <w:r w:rsidRPr="00E83EAC">
              <w:rPr>
                <w:snapToGrid w:val="0"/>
                <w:sz w:val="18"/>
              </w:rPr>
              <w:t>Cost at Period End</w:t>
            </w:r>
          </w:p>
        </w:tc>
        <w:tc>
          <w:tcPr>
            <w:tcW w:w="1546" w:type="dxa"/>
            <w:vAlign w:val="bottom"/>
          </w:tcPr>
          <w:p w14:paraId="76FF5F1A" w14:textId="496D3CE0" w:rsidR="00224102" w:rsidRPr="00651653" w:rsidRDefault="00224102" w:rsidP="00224102">
            <w:pPr>
              <w:jc w:val="right"/>
              <w:rPr>
                <w:bCs/>
                <w:sz w:val="18"/>
                <w:szCs w:val="18"/>
              </w:rPr>
            </w:pPr>
            <w:r w:rsidRPr="00651653">
              <w:rPr>
                <w:bCs/>
                <w:sz w:val="18"/>
                <w:szCs w:val="18"/>
              </w:rPr>
              <w:t>1,074</w:t>
            </w:r>
          </w:p>
        </w:tc>
        <w:tc>
          <w:tcPr>
            <w:tcW w:w="1263" w:type="dxa"/>
            <w:vAlign w:val="bottom"/>
          </w:tcPr>
          <w:p w14:paraId="3DF05ED6" w14:textId="71622DF0" w:rsidR="00224102" w:rsidRPr="00E76D94" w:rsidRDefault="00224102" w:rsidP="00224102">
            <w:pPr>
              <w:jc w:val="right"/>
              <w:rPr>
                <w:bCs/>
                <w:sz w:val="18"/>
                <w:szCs w:val="18"/>
              </w:rPr>
            </w:pPr>
            <w:r w:rsidRPr="00E76D94">
              <w:rPr>
                <w:bCs/>
                <w:sz w:val="18"/>
                <w:szCs w:val="18"/>
              </w:rPr>
              <w:t>28</w:t>
            </w:r>
          </w:p>
        </w:tc>
        <w:tc>
          <w:tcPr>
            <w:tcW w:w="1582" w:type="dxa"/>
            <w:vAlign w:val="bottom"/>
          </w:tcPr>
          <w:p w14:paraId="497301FF" w14:textId="55ACD4C3" w:rsidR="00224102" w:rsidRPr="00692926" w:rsidRDefault="00224102" w:rsidP="00224102">
            <w:pPr>
              <w:jc w:val="right"/>
              <w:rPr>
                <w:bCs/>
                <w:sz w:val="18"/>
                <w:szCs w:val="18"/>
              </w:rPr>
            </w:pPr>
            <w:r>
              <w:rPr>
                <w:bCs/>
                <w:sz w:val="18"/>
                <w:szCs w:val="18"/>
              </w:rPr>
              <w:t>104,169</w:t>
            </w:r>
          </w:p>
        </w:tc>
        <w:tc>
          <w:tcPr>
            <w:tcW w:w="1227" w:type="dxa"/>
            <w:vAlign w:val="center"/>
          </w:tcPr>
          <w:p w14:paraId="5C206DB3" w14:textId="43D2E60B" w:rsidR="00224102" w:rsidRDefault="00224102" w:rsidP="00224102">
            <w:pPr>
              <w:jc w:val="right"/>
              <w:rPr>
                <w:color w:val="000000"/>
                <w:sz w:val="18"/>
                <w:szCs w:val="18"/>
              </w:rPr>
            </w:pPr>
            <w:r>
              <w:rPr>
                <w:color w:val="000000"/>
                <w:sz w:val="18"/>
                <w:szCs w:val="18"/>
              </w:rPr>
              <w:t>105,271</w:t>
            </w:r>
          </w:p>
        </w:tc>
      </w:tr>
      <w:tr w:rsidR="00224102" w:rsidRPr="00604C75" w14:paraId="04238F48" w14:textId="77777777" w:rsidTr="00104DF7">
        <w:trPr>
          <w:trHeight w:val="259"/>
        </w:trPr>
        <w:tc>
          <w:tcPr>
            <w:tcW w:w="3474" w:type="dxa"/>
            <w:vAlign w:val="bottom"/>
          </w:tcPr>
          <w:p w14:paraId="76F6D155" w14:textId="77777777" w:rsidR="00224102" w:rsidRPr="00E83EAC" w:rsidRDefault="00224102" w:rsidP="00224102">
            <w:pPr>
              <w:rPr>
                <w:snapToGrid w:val="0"/>
                <w:sz w:val="18"/>
              </w:rPr>
            </w:pPr>
            <w:r w:rsidRPr="00E83EAC">
              <w:rPr>
                <w:snapToGrid w:val="0"/>
                <w:sz w:val="18"/>
              </w:rPr>
              <w:t>Accumulated Depreciation at Period End (-)</w:t>
            </w:r>
          </w:p>
        </w:tc>
        <w:tc>
          <w:tcPr>
            <w:tcW w:w="1546" w:type="dxa"/>
            <w:vAlign w:val="bottom"/>
          </w:tcPr>
          <w:p w14:paraId="75C99F97" w14:textId="24E07A38" w:rsidR="00224102" w:rsidRPr="00651653" w:rsidRDefault="00224102" w:rsidP="00224102">
            <w:pPr>
              <w:jc w:val="right"/>
              <w:rPr>
                <w:bCs/>
                <w:sz w:val="18"/>
                <w:szCs w:val="18"/>
              </w:rPr>
            </w:pPr>
            <w:r w:rsidRPr="00651653">
              <w:rPr>
                <w:bCs/>
                <w:sz w:val="18"/>
                <w:szCs w:val="18"/>
              </w:rPr>
              <w:t>16</w:t>
            </w:r>
          </w:p>
        </w:tc>
        <w:tc>
          <w:tcPr>
            <w:tcW w:w="1263" w:type="dxa"/>
            <w:vAlign w:val="bottom"/>
          </w:tcPr>
          <w:p w14:paraId="52FC4B7B" w14:textId="4880043A" w:rsidR="00224102" w:rsidRPr="00E76D94" w:rsidRDefault="00224102" w:rsidP="00224102">
            <w:pPr>
              <w:jc w:val="right"/>
              <w:rPr>
                <w:bCs/>
                <w:sz w:val="18"/>
                <w:szCs w:val="18"/>
              </w:rPr>
            </w:pPr>
            <w:r w:rsidRPr="00E76D94">
              <w:rPr>
                <w:bCs/>
                <w:sz w:val="18"/>
                <w:szCs w:val="18"/>
              </w:rPr>
              <w:t>28</w:t>
            </w:r>
          </w:p>
        </w:tc>
        <w:tc>
          <w:tcPr>
            <w:tcW w:w="1582" w:type="dxa"/>
            <w:vAlign w:val="bottom"/>
          </w:tcPr>
          <w:p w14:paraId="33E88F9E" w14:textId="10605D89" w:rsidR="00224102" w:rsidRPr="00692926" w:rsidRDefault="00224102" w:rsidP="00224102">
            <w:pPr>
              <w:jc w:val="right"/>
              <w:rPr>
                <w:bCs/>
                <w:sz w:val="18"/>
                <w:szCs w:val="18"/>
              </w:rPr>
            </w:pPr>
            <w:r>
              <w:rPr>
                <w:bCs/>
                <w:sz w:val="18"/>
                <w:szCs w:val="18"/>
              </w:rPr>
              <w:t>75,734</w:t>
            </w:r>
          </w:p>
        </w:tc>
        <w:tc>
          <w:tcPr>
            <w:tcW w:w="1227" w:type="dxa"/>
            <w:vAlign w:val="center"/>
          </w:tcPr>
          <w:p w14:paraId="7BDA6362" w14:textId="4853B586" w:rsidR="00224102" w:rsidRDefault="00224102" w:rsidP="00224102">
            <w:pPr>
              <w:jc w:val="right"/>
              <w:rPr>
                <w:color w:val="000000"/>
                <w:sz w:val="18"/>
                <w:szCs w:val="18"/>
              </w:rPr>
            </w:pPr>
            <w:r>
              <w:rPr>
                <w:color w:val="000000"/>
                <w:sz w:val="18"/>
                <w:szCs w:val="18"/>
              </w:rPr>
              <w:t>75,778</w:t>
            </w:r>
          </w:p>
        </w:tc>
      </w:tr>
      <w:tr w:rsidR="00224102" w:rsidRPr="00604C75" w14:paraId="2CCE44C5" w14:textId="77777777" w:rsidTr="00104DF7">
        <w:trPr>
          <w:trHeight w:val="280"/>
        </w:trPr>
        <w:tc>
          <w:tcPr>
            <w:tcW w:w="3474" w:type="dxa"/>
            <w:vAlign w:val="bottom"/>
          </w:tcPr>
          <w:p w14:paraId="633C6730" w14:textId="77777777" w:rsidR="00224102" w:rsidRPr="00604C75" w:rsidRDefault="00224102" w:rsidP="00224102">
            <w:pPr>
              <w:rPr>
                <w:b/>
                <w:snapToGrid w:val="0"/>
                <w:sz w:val="18"/>
              </w:rPr>
            </w:pPr>
            <w:r w:rsidRPr="00604C75">
              <w:rPr>
                <w:b/>
                <w:snapToGrid w:val="0"/>
                <w:sz w:val="18"/>
              </w:rPr>
              <w:t>Closing Net Book Value at Period End</w:t>
            </w:r>
          </w:p>
        </w:tc>
        <w:tc>
          <w:tcPr>
            <w:tcW w:w="1546" w:type="dxa"/>
            <w:vAlign w:val="bottom"/>
          </w:tcPr>
          <w:p w14:paraId="1F4F98D2" w14:textId="7B830A73" w:rsidR="00224102" w:rsidRPr="00651653" w:rsidRDefault="00224102" w:rsidP="00224102">
            <w:pPr>
              <w:jc w:val="right"/>
              <w:rPr>
                <w:b/>
                <w:sz w:val="18"/>
                <w:szCs w:val="18"/>
              </w:rPr>
            </w:pPr>
            <w:r w:rsidRPr="00651653">
              <w:rPr>
                <w:b/>
                <w:sz w:val="18"/>
                <w:szCs w:val="18"/>
              </w:rPr>
              <w:t>1,058</w:t>
            </w:r>
          </w:p>
        </w:tc>
        <w:tc>
          <w:tcPr>
            <w:tcW w:w="1263" w:type="dxa"/>
            <w:vAlign w:val="bottom"/>
          </w:tcPr>
          <w:p w14:paraId="4BA677D8" w14:textId="1F9F3EA8" w:rsidR="00224102" w:rsidRPr="00E76D94" w:rsidRDefault="00224102" w:rsidP="00224102">
            <w:pPr>
              <w:jc w:val="right"/>
              <w:rPr>
                <w:b/>
                <w:sz w:val="18"/>
                <w:szCs w:val="18"/>
              </w:rPr>
            </w:pPr>
            <w:r w:rsidRPr="00E76D94">
              <w:rPr>
                <w:b/>
                <w:sz w:val="18"/>
                <w:szCs w:val="18"/>
              </w:rPr>
              <w:t>-</w:t>
            </w:r>
          </w:p>
        </w:tc>
        <w:tc>
          <w:tcPr>
            <w:tcW w:w="1582" w:type="dxa"/>
            <w:vAlign w:val="bottom"/>
          </w:tcPr>
          <w:p w14:paraId="4C508537" w14:textId="424BA8B8" w:rsidR="00224102" w:rsidRPr="00692926" w:rsidRDefault="00224102" w:rsidP="00224102">
            <w:pPr>
              <w:jc w:val="right"/>
              <w:rPr>
                <w:b/>
                <w:sz w:val="18"/>
                <w:szCs w:val="18"/>
              </w:rPr>
            </w:pPr>
            <w:r>
              <w:rPr>
                <w:b/>
                <w:sz w:val="18"/>
                <w:szCs w:val="18"/>
              </w:rPr>
              <w:t>28,435</w:t>
            </w:r>
          </w:p>
        </w:tc>
        <w:tc>
          <w:tcPr>
            <w:tcW w:w="1227" w:type="dxa"/>
            <w:vAlign w:val="center"/>
          </w:tcPr>
          <w:p w14:paraId="48137076" w14:textId="3B135AD0" w:rsidR="00224102" w:rsidRDefault="00224102" w:rsidP="00224102">
            <w:pPr>
              <w:jc w:val="right"/>
              <w:rPr>
                <w:b/>
                <w:bCs/>
                <w:color w:val="000000"/>
                <w:sz w:val="18"/>
                <w:szCs w:val="18"/>
              </w:rPr>
            </w:pPr>
            <w:r>
              <w:rPr>
                <w:b/>
                <w:bCs/>
                <w:color w:val="000000"/>
                <w:sz w:val="18"/>
                <w:szCs w:val="18"/>
              </w:rPr>
              <w:t>29,493</w:t>
            </w:r>
          </w:p>
        </w:tc>
      </w:tr>
    </w:tbl>
    <w:p w14:paraId="0031149C" w14:textId="77777777" w:rsidR="00124075" w:rsidRDefault="00C24396" w:rsidP="00CD0767">
      <w:pPr>
        <w:pStyle w:val="ListParagraph"/>
        <w:spacing w:before="60"/>
        <w:ind w:left="0"/>
        <w:jc w:val="both"/>
        <w:rPr>
          <w:bCs/>
          <w:sz w:val="16"/>
          <w:szCs w:val="16"/>
        </w:rPr>
      </w:pPr>
      <w:r w:rsidRPr="00604C75">
        <w:rPr>
          <w:bCs/>
          <w:sz w:val="16"/>
          <w:szCs w:val="16"/>
        </w:rPr>
        <w:t>(*)</w:t>
      </w:r>
      <w:r w:rsidR="006044C9">
        <w:rPr>
          <w:bCs/>
          <w:sz w:val="16"/>
          <w:szCs w:val="16"/>
        </w:rPr>
        <w:t xml:space="preserve"> </w:t>
      </w:r>
      <w:r w:rsidRPr="00604C75">
        <w:rPr>
          <w:bCs/>
          <w:sz w:val="16"/>
          <w:szCs w:val="16"/>
        </w:rPr>
        <w:t xml:space="preserve">The acquired with the purchase of </w:t>
      </w:r>
      <w:proofErr w:type="spellStart"/>
      <w:r w:rsidRPr="00604C75">
        <w:rPr>
          <w:bCs/>
          <w:sz w:val="16"/>
          <w:szCs w:val="16"/>
        </w:rPr>
        <w:t>Alternatif</w:t>
      </w:r>
      <w:proofErr w:type="spellEnd"/>
      <w:r w:rsidRPr="00604C75">
        <w:rPr>
          <w:bCs/>
          <w:sz w:val="16"/>
          <w:szCs w:val="16"/>
        </w:rPr>
        <w:t xml:space="preserve"> </w:t>
      </w:r>
      <w:proofErr w:type="spellStart"/>
      <w:r w:rsidRPr="00604C75">
        <w:rPr>
          <w:bCs/>
          <w:sz w:val="16"/>
          <w:szCs w:val="16"/>
        </w:rPr>
        <w:t>Finansal</w:t>
      </w:r>
      <w:proofErr w:type="spellEnd"/>
      <w:r w:rsidRPr="00604C75">
        <w:rPr>
          <w:bCs/>
          <w:sz w:val="16"/>
          <w:szCs w:val="16"/>
        </w:rPr>
        <w:t xml:space="preserve"> </w:t>
      </w:r>
      <w:proofErr w:type="spellStart"/>
      <w:r w:rsidRPr="00604C75">
        <w:rPr>
          <w:bCs/>
          <w:sz w:val="16"/>
          <w:szCs w:val="16"/>
        </w:rPr>
        <w:t>Kiralama</w:t>
      </w:r>
      <w:proofErr w:type="spellEnd"/>
      <w:r w:rsidRPr="00604C75">
        <w:rPr>
          <w:bCs/>
          <w:sz w:val="16"/>
          <w:szCs w:val="16"/>
        </w:rPr>
        <w:t xml:space="preserve"> A.Ş.</w:t>
      </w:r>
    </w:p>
    <w:p w14:paraId="75F04C62" w14:textId="77777777" w:rsidR="001D41FE" w:rsidRDefault="001D41FE" w:rsidP="00124075">
      <w:pPr>
        <w:pStyle w:val="ListParagraph"/>
        <w:ind w:left="0"/>
        <w:jc w:val="both"/>
        <w:rPr>
          <w:bCs/>
          <w:sz w:val="16"/>
          <w:szCs w:val="16"/>
        </w:rPr>
      </w:pPr>
    </w:p>
    <w:p w14:paraId="1EAF2FC9" w14:textId="77777777" w:rsidR="001D41FE" w:rsidRDefault="001D41FE" w:rsidP="00124075">
      <w:pPr>
        <w:pStyle w:val="ListParagraph"/>
        <w:ind w:left="0"/>
        <w:jc w:val="both"/>
        <w:rPr>
          <w:bCs/>
          <w:sz w:val="16"/>
          <w:szCs w:val="16"/>
        </w:rPr>
      </w:pPr>
    </w:p>
    <w:p w14:paraId="41C8EE56" w14:textId="77777777" w:rsidR="001D41FE" w:rsidRDefault="001D41FE" w:rsidP="00124075">
      <w:pPr>
        <w:pStyle w:val="ListParagraph"/>
        <w:ind w:left="0"/>
        <w:jc w:val="both"/>
        <w:rPr>
          <w:bCs/>
          <w:sz w:val="16"/>
          <w:szCs w:val="16"/>
        </w:rPr>
      </w:pPr>
    </w:p>
    <w:p w14:paraId="0F3109ED" w14:textId="77777777" w:rsidR="001D41FE" w:rsidRDefault="001D41FE" w:rsidP="00124075">
      <w:pPr>
        <w:pStyle w:val="ListParagraph"/>
        <w:ind w:left="0"/>
        <w:jc w:val="both"/>
        <w:rPr>
          <w:bCs/>
          <w:sz w:val="16"/>
          <w:szCs w:val="16"/>
        </w:rPr>
      </w:pPr>
    </w:p>
    <w:p w14:paraId="469C3EF2" w14:textId="77777777" w:rsidR="00834CDD" w:rsidRDefault="00834CDD" w:rsidP="00834CDD">
      <w:pPr>
        <w:pStyle w:val="BodyTextIndent"/>
        <w:spacing w:after="0" w:line="223" w:lineRule="auto"/>
        <w:ind w:left="0"/>
        <w:contextualSpacing/>
        <w:rPr>
          <w:rFonts w:eastAsia="Arial Unicode MS"/>
          <w:b/>
          <w:sz w:val="20"/>
          <w:szCs w:val="20"/>
        </w:rPr>
      </w:pPr>
    </w:p>
    <w:p w14:paraId="253AF632" w14:textId="77777777" w:rsidR="00647320" w:rsidRDefault="00647320" w:rsidP="00490153">
      <w:pPr>
        <w:pStyle w:val="BodyTextIndent"/>
        <w:spacing w:before="120" w:after="0" w:line="223" w:lineRule="auto"/>
        <w:ind w:left="0"/>
        <w:contextualSpacing/>
        <w:rPr>
          <w:rFonts w:eastAsia="Arial Unicode MS"/>
          <w:b/>
          <w:sz w:val="20"/>
          <w:szCs w:val="20"/>
        </w:rPr>
      </w:pPr>
    </w:p>
    <w:p w14:paraId="7D7433DF" w14:textId="74D2A287" w:rsidR="001D41FE" w:rsidRPr="00604C75" w:rsidRDefault="00B27B7B" w:rsidP="00490153">
      <w:pPr>
        <w:pStyle w:val="BodyTextIndent"/>
        <w:spacing w:before="120" w:after="0" w:line="223" w:lineRule="auto"/>
        <w:ind w:left="0"/>
        <w:contextualSpacing/>
        <w:rPr>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6DF6E6BF" w14:textId="4175EC8A" w:rsidR="001D41FE" w:rsidRPr="00576E0A" w:rsidRDefault="001D41FE" w:rsidP="00490153">
      <w:pPr>
        <w:pStyle w:val="ListParagraph"/>
        <w:spacing w:before="120" w:line="360" w:lineRule="auto"/>
        <w:ind w:left="0"/>
        <w:jc w:val="both"/>
        <w:rPr>
          <w:b/>
          <w:bCs/>
          <w:sz w:val="16"/>
          <w:szCs w:val="16"/>
        </w:rPr>
      </w:pPr>
      <w:r w:rsidRPr="00576E0A">
        <w:rPr>
          <w:b/>
          <w:caps/>
          <w:sz w:val="20"/>
        </w:rPr>
        <w:t xml:space="preserve">I.         </w:t>
      </w:r>
      <w:r w:rsidR="00647320" w:rsidRPr="00647320">
        <w:rPr>
          <w:b/>
          <w:sz w:val="20"/>
        </w:rPr>
        <w:t>Explanations</w:t>
      </w:r>
      <w:r w:rsidR="00647320" w:rsidRPr="00647320" w:rsidDel="002C004A">
        <w:rPr>
          <w:b/>
          <w:caps/>
          <w:sz w:val="20"/>
        </w:rPr>
        <w:t xml:space="preserve"> </w:t>
      </w:r>
      <w:r w:rsidR="00647320" w:rsidRPr="00647320">
        <w:rPr>
          <w:b/>
          <w:sz w:val="20"/>
        </w:rPr>
        <w:t>and Notes on Assets</w:t>
      </w:r>
      <w:r w:rsidR="00647320" w:rsidRPr="00604C75" w:rsidDel="002C004A">
        <w:rPr>
          <w:caps/>
          <w:sz w:val="20"/>
        </w:rPr>
        <w:t xml:space="preserve"> </w:t>
      </w:r>
      <w:r w:rsidRPr="00576E0A">
        <w:rPr>
          <w:b/>
          <w:bCs/>
          <w:sz w:val="20"/>
        </w:rPr>
        <w:t>(Continued)</w:t>
      </w:r>
    </w:p>
    <w:p w14:paraId="5F84CB9A" w14:textId="77777777" w:rsidR="001D41FE" w:rsidRPr="00604C75" w:rsidRDefault="001D41FE" w:rsidP="00490153">
      <w:pPr>
        <w:pStyle w:val="ListParagraph"/>
        <w:spacing w:before="120"/>
        <w:ind w:left="0"/>
        <w:jc w:val="both"/>
        <w:rPr>
          <w:bCs/>
          <w:sz w:val="16"/>
          <w:szCs w:val="16"/>
        </w:rPr>
      </w:pPr>
      <w:r>
        <w:rPr>
          <w:b/>
          <w:sz w:val="20"/>
          <w:szCs w:val="20"/>
        </w:rPr>
        <w:t xml:space="preserve">l.          </w:t>
      </w:r>
      <w:r w:rsidRPr="00604C75">
        <w:rPr>
          <w:b/>
          <w:noProof/>
          <w:sz w:val="20"/>
          <w:szCs w:val="20"/>
        </w:rPr>
        <w:t>Information on property and equipment</w:t>
      </w:r>
      <w:r>
        <w:rPr>
          <w:b/>
          <w:noProof/>
          <w:sz w:val="20"/>
          <w:szCs w:val="20"/>
        </w:rPr>
        <w:t xml:space="preserve"> </w:t>
      </w:r>
      <w:r w:rsidRPr="004F0440">
        <w:rPr>
          <w:b/>
          <w:bCs/>
          <w:sz w:val="20"/>
        </w:rPr>
        <w:t>(Continued)</w:t>
      </w:r>
    </w:p>
    <w:tbl>
      <w:tblPr>
        <w:tblpPr w:leftFromText="141" w:rightFromText="141" w:vertAnchor="text" w:horzAnchor="margin" w:tblpY="128"/>
        <w:tblW w:w="907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464"/>
        <w:gridCol w:w="1554"/>
        <w:gridCol w:w="1270"/>
        <w:gridCol w:w="1554"/>
        <w:gridCol w:w="1232"/>
      </w:tblGrid>
      <w:tr w:rsidR="00C24396" w:rsidRPr="00604C75" w14:paraId="5D8C8550" w14:textId="77777777" w:rsidTr="00104DF7">
        <w:trPr>
          <w:trHeight w:val="155"/>
        </w:trPr>
        <w:tc>
          <w:tcPr>
            <w:tcW w:w="3464" w:type="dxa"/>
            <w:vAlign w:val="bottom"/>
          </w:tcPr>
          <w:p w14:paraId="0483B34F" w14:textId="77777777" w:rsidR="00C24396" w:rsidRPr="00604C75" w:rsidRDefault="00C24396" w:rsidP="00C27117">
            <w:pPr>
              <w:rPr>
                <w:snapToGrid w:val="0"/>
                <w:sz w:val="18"/>
              </w:rPr>
            </w:pPr>
            <w:r w:rsidRPr="00604C75">
              <w:rPr>
                <w:b/>
                <w:snapToGrid w:val="0"/>
                <w:sz w:val="18"/>
              </w:rPr>
              <w:t>31 December 2014</w:t>
            </w:r>
          </w:p>
        </w:tc>
        <w:tc>
          <w:tcPr>
            <w:tcW w:w="1554" w:type="dxa"/>
            <w:vAlign w:val="bottom"/>
          </w:tcPr>
          <w:p w14:paraId="4B828171" w14:textId="77777777" w:rsidR="00C24396" w:rsidRPr="00604C75" w:rsidRDefault="006B5800" w:rsidP="00C24396">
            <w:pPr>
              <w:jc w:val="center"/>
              <w:rPr>
                <w:b/>
                <w:snapToGrid w:val="0"/>
                <w:sz w:val="18"/>
              </w:rPr>
            </w:pPr>
            <w:r w:rsidRPr="00604C75">
              <w:rPr>
                <w:b/>
                <w:snapToGrid w:val="0"/>
                <w:sz w:val="18"/>
              </w:rPr>
              <w:t>Real</w:t>
            </w:r>
            <w:r w:rsidR="003D0859" w:rsidRPr="00604C75">
              <w:rPr>
                <w:b/>
                <w:snapToGrid w:val="0"/>
                <w:sz w:val="18"/>
              </w:rPr>
              <w:t xml:space="preserve"> </w:t>
            </w:r>
            <w:r w:rsidRPr="00604C75">
              <w:rPr>
                <w:b/>
                <w:snapToGrid w:val="0"/>
                <w:sz w:val="18"/>
              </w:rPr>
              <w:t>Estates</w:t>
            </w:r>
          </w:p>
        </w:tc>
        <w:tc>
          <w:tcPr>
            <w:tcW w:w="1270" w:type="dxa"/>
            <w:vAlign w:val="bottom"/>
          </w:tcPr>
          <w:p w14:paraId="68AC982D" w14:textId="77777777" w:rsidR="00C24396" w:rsidRPr="00604C75" w:rsidRDefault="00C24396" w:rsidP="00C24396">
            <w:pPr>
              <w:jc w:val="center"/>
              <w:rPr>
                <w:b/>
                <w:snapToGrid w:val="0"/>
                <w:sz w:val="18"/>
              </w:rPr>
            </w:pPr>
            <w:r w:rsidRPr="00604C75">
              <w:rPr>
                <w:b/>
                <w:snapToGrid w:val="0"/>
                <w:sz w:val="18"/>
              </w:rPr>
              <w:t>Motor</w:t>
            </w:r>
          </w:p>
          <w:p w14:paraId="4056E52B" w14:textId="77777777" w:rsidR="00C24396" w:rsidRPr="00604C75" w:rsidRDefault="00C24396" w:rsidP="00C24396">
            <w:pPr>
              <w:jc w:val="center"/>
              <w:rPr>
                <w:b/>
                <w:snapToGrid w:val="0"/>
                <w:sz w:val="18"/>
              </w:rPr>
            </w:pPr>
            <w:r w:rsidRPr="00604C75">
              <w:rPr>
                <w:b/>
                <w:snapToGrid w:val="0"/>
                <w:sz w:val="18"/>
              </w:rPr>
              <w:t>Vehicles</w:t>
            </w:r>
          </w:p>
        </w:tc>
        <w:tc>
          <w:tcPr>
            <w:tcW w:w="1554" w:type="dxa"/>
            <w:vAlign w:val="bottom"/>
          </w:tcPr>
          <w:p w14:paraId="60A26EE5" w14:textId="77777777" w:rsidR="00C24396" w:rsidRPr="00604C75" w:rsidRDefault="00C24396" w:rsidP="00C24396">
            <w:pPr>
              <w:jc w:val="center"/>
              <w:rPr>
                <w:b/>
                <w:snapToGrid w:val="0"/>
                <w:sz w:val="18"/>
              </w:rPr>
            </w:pPr>
            <w:r w:rsidRPr="00604C75">
              <w:rPr>
                <w:b/>
                <w:snapToGrid w:val="0"/>
                <w:sz w:val="18"/>
              </w:rPr>
              <w:t>Other</w:t>
            </w:r>
            <w:r w:rsidR="00AB57C2" w:rsidRPr="00604C75">
              <w:rPr>
                <w:b/>
                <w:snapToGrid w:val="0"/>
                <w:sz w:val="18"/>
              </w:rPr>
              <w:t xml:space="preserve"> </w:t>
            </w:r>
            <w:r w:rsidRPr="00604C75">
              <w:rPr>
                <w:b/>
                <w:snapToGrid w:val="0"/>
                <w:sz w:val="18"/>
              </w:rPr>
              <w:t>Tangible</w:t>
            </w:r>
            <w:r w:rsidR="00AB57C2" w:rsidRPr="00604C75">
              <w:rPr>
                <w:b/>
                <w:snapToGrid w:val="0"/>
                <w:sz w:val="18"/>
              </w:rPr>
              <w:t xml:space="preserve"> </w:t>
            </w:r>
            <w:r w:rsidRPr="00604C75">
              <w:rPr>
                <w:b/>
                <w:snapToGrid w:val="0"/>
                <w:sz w:val="18"/>
              </w:rPr>
              <w:t>Assets</w:t>
            </w:r>
          </w:p>
        </w:tc>
        <w:tc>
          <w:tcPr>
            <w:tcW w:w="1232" w:type="dxa"/>
            <w:vAlign w:val="bottom"/>
          </w:tcPr>
          <w:p w14:paraId="528543F2" w14:textId="77777777" w:rsidR="00C24396" w:rsidRPr="00604C75" w:rsidRDefault="00C24396" w:rsidP="00C24396">
            <w:pPr>
              <w:jc w:val="center"/>
              <w:rPr>
                <w:b/>
                <w:snapToGrid w:val="0"/>
                <w:sz w:val="18"/>
              </w:rPr>
            </w:pPr>
            <w:r w:rsidRPr="00604C75">
              <w:rPr>
                <w:b/>
                <w:snapToGrid w:val="0"/>
                <w:sz w:val="18"/>
              </w:rPr>
              <w:t>Total</w:t>
            </w:r>
          </w:p>
        </w:tc>
      </w:tr>
      <w:tr w:rsidR="00124075" w:rsidRPr="00604C75" w14:paraId="292EC1A3" w14:textId="77777777" w:rsidTr="00104DF7">
        <w:trPr>
          <w:trHeight w:val="258"/>
        </w:trPr>
        <w:tc>
          <w:tcPr>
            <w:tcW w:w="3464" w:type="dxa"/>
            <w:vAlign w:val="bottom"/>
          </w:tcPr>
          <w:p w14:paraId="72E32534" w14:textId="71A56CDA" w:rsidR="00124075" w:rsidRPr="00604C75" w:rsidRDefault="00124075" w:rsidP="00C27117">
            <w:pPr>
              <w:rPr>
                <w:b/>
                <w:snapToGrid w:val="0"/>
                <w:sz w:val="18"/>
              </w:rPr>
            </w:pPr>
          </w:p>
        </w:tc>
        <w:tc>
          <w:tcPr>
            <w:tcW w:w="1554" w:type="dxa"/>
            <w:vAlign w:val="bottom"/>
          </w:tcPr>
          <w:p w14:paraId="0F171F40" w14:textId="77777777" w:rsidR="00124075" w:rsidRPr="00604C75" w:rsidRDefault="00124075" w:rsidP="00C24396">
            <w:pPr>
              <w:jc w:val="right"/>
              <w:rPr>
                <w:rFonts w:eastAsia="Arial Unicode MS"/>
                <w:sz w:val="18"/>
                <w:szCs w:val="18"/>
              </w:rPr>
            </w:pPr>
          </w:p>
        </w:tc>
        <w:tc>
          <w:tcPr>
            <w:tcW w:w="1270" w:type="dxa"/>
            <w:vAlign w:val="bottom"/>
          </w:tcPr>
          <w:p w14:paraId="05168856" w14:textId="77777777" w:rsidR="00124075" w:rsidRPr="00604C75" w:rsidRDefault="00124075" w:rsidP="00C24396">
            <w:pPr>
              <w:jc w:val="right"/>
              <w:rPr>
                <w:rFonts w:eastAsia="Arial Unicode MS"/>
                <w:sz w:val="18"/>
                <w:szCs w:val="18"/>
              </w:rPr>
            </w:pPr>
          </w:p>
        </w:tc>
        <w:tc>
          <w:tcPr>
            <w:tcW w:w="1554" w:type="dxa"/>
            <w:vAlign w:val="bottom"/>
          </w:tcPr>
          <w:p w14:paraId="4C78F38E" w14:textId="77777777" w:rsidR="00124075" w:rsidRPr="00604C75" w:rsidRDefault="00124075" w:rsidP="00C24396">
            <w:pPr>
              <w:jc w:val="right"/>
              <w:rPr>
                <w:snapToGrid w:val="0"/>
                <w:sz w:val="18"/>
              </w:rPr>
            </w:pPr>
          </w:p>
        </w:tc>
        <w:tc>
          <w:tcPr>
            <w:tcW w:w="1232" w:type="dxa"/>
            <w:vAlign w:val="bottom"/>
          </w:tcPr>
          <w:p w14:paraId="57245DC9" w14:textId="77777777" w:rsidR="00124075" w:rsidRPr="00604C75" w:rsidRDefault="00124075" w:rsidP="00C24396">
            <w:pPr>
              <w:jc w:val="right"/>
              <w:rPr>
                <w:snapToGrid w:val="0"/>
                <w:sz w:val="18"/>
              </w:rPr>
            </w:pPr>
          </w:p>
        </w:tc>
      </w:tr>
      <w:tr w:rsidR="00224102" w:rsidRPr="00604C75" w14:paraId="036572B4" w14:textId="77777777" w:rsidTr="00104DF7">
        <w:trPr>
          <w:trHeight w:val="258"/>
        </w:trPr>
        <w:tc>
          <w:tcPr>
            <w:tcW w:w="3464" w:type="dxa"/>
            <w:vAlign w:val="bottom"/>
          </w:tcPr>
          <w:p w14:paraId="01C746FC" w14:textId="77777777" w:rsidR="00224102" w:rsidRPr="00604C75" w:rsidRDefault="00224102" w:rsidP="00224102">
            <w:pPr>
              <w:rPr>
                <w:snapToGrid w:val="0"/>
                <w:sz w:val="18"/>
              </w:rPr>
            </w:pPr>
            <w:r w:rsidRPr="00604C75">
              <w:rPr>
                <w:sz w:val="18"/>
                <w:szCs w:val="18"/>
              </w:rPr>
              <w:t>Cost</w:t>
            </w:r>
          </w:p>
        </w:tc>
        <w:tc>
          <w:tcPr>
            <w:tcW w:w="1554" w:type="dxa"/>
            <w:vAlign w:val="bottom"/>
          </w:tcPr>
          <w:p w14:paraId="54FAF0EF" w14:textId="5698B5E8" w:rsidR="00224102" w:rsidRPr="00104DF7" w:rsidRDefault="00224102" w:rsidP="00224102">
            <w:pPr>
              <w:jc w:val="right"/>
              <w:rPr>
                <w:rFonts w:eastAsia="Arial Unicode MS"/>
                <w:sz w:val="18"/>
                <w:szCs w:val="18"/>
              </w:rPr>
            </w:pPr>
            <w:r w:rsidRPr="00692926">
              <w:rPr>
                <w:rFonts w:eastAsia="Arial Unicode MS"/>
                <w:sz w:val="18"/>
                <w:szCs w:val="18"/>
              </w:rPr>
              <w:t>1,479</w:t>
            </w:r>
          </w:p>
        </w:tc>
        <w:tc>
          <w:tcPr>
            <w:tcW w:w="1270" w:type="dxa"/>
            <w:vAlign w:val="bottom"/>
          </w:tcPr>
          <w:p w14:paraId="39F9F44B" w14:textId="53395B5B" w:rsidR="00224102" w:rsidRPr="00104DF7" w:rsidRDefault="00224102" w:rsidP="00224102">
            <w:pPr>
              <w:jc w:val="right"/>
              <w:rPr>
                <w:rFonts w:eastAsia="Arial Unicode MS"/>
                <w:sz w:val="18"/>
                <w:szCs w:val="18"/>
              </w:rPr>
            </w:pPr>
            <w:r w:rsidRPr="00692926">
              <w:rPr>
                <w:rFonts w:eastAsia="Arial Unicode MS"/>
                <w:sz w:val="18"/>
                <w:szCs w:val="18"/>
              </w:rPr>
              <w:t>28</w:t>
            </w:r>
          </w:p>
        </w:tc>
        <w:tc>
          <w:tcPr>
            <w:tcW w:w="1554" w:type="dxa"/>
            <w:vAlign w:val="bottom"/>
          </w:tcPr>
          <w:p w14:paraId="451DA834" w14:textId="7867DCF9" w:rsidR="00224102" w:rsidRPr="00104DF7" w:rsidRDefault="00224102" w:rsidP="00224102">
            <w:pPr>
              <w:jc w:val="right"/>
              <w:rPr>
                <w:rFonts w:eastAsia="Arial Unicode MS"/>
                <w:sz w:val="18"/>
                <w:szCs w:val="18"/>
              </w:rPr>
            </w:pPr>
            <w:r w:rsidRPr="00692926">
              <w:rPr>
                <w:rFonts w:eastAsia="Arial Unicode MS"/>
                <w:sz w:val="18"/>
                <w:szCs w:val="18"/>
              </w:rPr>
              <w:t>94,187</w:t>
            </w:r>
          </w:p>
        </w:tc>
        <w:tc>
          <w:tcPr>
            <w:tcW w:w="1232" w:type="dxa"/>
            <w:vAlign w:val="bottom"/>
          </w:tcPr>
          <w:p w14:paraId="1DCAAD42" w14:textId="4D36E8BC" w:rsidR="00224102" w:rsidRPr="00104DF7" w:rsidRDefault="00224102" w:rsidP="00224102">
            <w:pPr>
              <w:jc w:val="right"/>
              <w:rPr>
                <w:rFonts w:eastAsia="Arial Unicode MS"/>
                <w:sz w:val="18"/>
                <w:szCs w:val="18"/>
              </w:rPr>
            </w:pPr>
            <w:r w:rsidRPr="00692926">
              <w:rPr>
                <w:rFonts w:eastAsia="Arial Unicode MS"/>
                <w:sz w:val="18"/>
                <w:szCs w:val="18"/>
              </w:rPr>
              <w:t>95,694</w:t>
            </w:r>
          </w:p>
        </w:tc>
      </w:tr>
      <w:tr w:rsidR="00224102" w:rsidRPr="00604C75" w14:paraId="11589BFE" w14:textId="77777777" w:rsidTr="00104DF7">
        <w:trPr>
          <w:trHeight w:val="258"/>
        </w:trPr>
        <w:tc>
          <w:tcPr>
            <w:tcW w:w="3464" w:type="dxa"/>
            <w:vAlign w:val="bottom"/>
          </w:tcPr>
          <w:p w14:paraId="65EE1FEE" w14:textId="007ABEF5" w:rsidR="00224102" w:rsidRPr="00604C75" w:rsidRDefault="00224102" w:rsidP="00224102">
            <w:pPr>
              <w:rPr>
                <w:snapToGrid w:val="0"/>
                <w:sz w:val="18"/>
              </w:rPr>
            </w:pPr>
            <w:r w:rsidRPr="00604C75">
              <w:rPr>
                <w:sz w:val="18"/>
                <w:szCs w:val="18"/>
              </w:rPr>
              <w:t xml:space="preserve">Accumulated </w:t>
            </w:r>
            <w:r>
              <w:rPr>
                <w:sz w:val="18"/>
                <w:szCs w:val="18"/>
              </w:rPr>
              <w:t>D</w:t>
            </w:r>
            <w:r w:rsidRPr="00604C75">
              <w:rPr>
                <w:sz w:val="18"/>
                <w:szCs w:val="18"/>
              </w:rPr>
              <w:t>epreciation (-)</w:t>
            </w:r>
          </w:p>
        </w:tc>
        <w:tc>
          <w:tcPr>
            <w:tcW w:w="1554" w:type="dxa"/>
            <w:vAlign w:val="bottom"/>
          </w:tcPr>
          <w:p w14:paraId="7B4BE4AB" w14:textId="4F391DCB" w:rsidR="00224102" w:rsidRPr="00104DF7" w:rsidRDefault="00224102" w:rsidP="00224102">
            <w:pPr>
              <w:jc w:val="right"/>
              <w:rPr>
                <w:rFonts w:eastAsia="Arial Unicode MS"/>
                <w:bCs/>
                <w:sz w:val="18"/>
                <w:szCs w:val="18"/>
              </w:rPr>
            </w:pPr>
            <w:r w:rsidRPr="00692926">
              <w:rPr>
                <w:rFonts w:eastAsia="Arial Unicode MS"/>
                <w:bCs/>
                <w:sz w:val="18"/>
                <w:szCs w:val="18"/>
              </w:rPr>
              <w:t>13</w:t>
            </w:r>
          </w:p>
        </w:tc>
        <w:tc>
          <w:tcPr>
            <w:tcW w:w="1270" w:type="dxa"/>
            <w:vAlign w:val="bottom"/>
          </w:tcPr>
          <w:p w14:paraId="299073F3" w14:textId="69D56595" w:rsidR="00224102" w:rsidRPr="00104DF7" w:rsidRDefault="00224102" w:rsidP="00224102">
            <w:pPr>
              <w:jc w:val="right"/>
              <w:rPr>
                <w:rFonts w:eastAsia="Arial Unicode MS"/>
                <w:bCs/>
                <w:sz w:val="18"/>
                <w:szCs w:val="18"/>
              </w:rPr>
            </w:pPr>
            <w:r w:rsidRPr="00692926">
              <w:rPr>
                <w:rFonts w:eastAsia="Arial Unicode MS"/>
                <w:bCs/>
                <w:sz w:val="18"/>
                <w:szCs w:val="18"/>
              </w:rPr>
              <w:t>26</w:t>
            </w:r>
          </w:p>
        </w:tc>
        <w:tc>
          <w:tcPr>
            <w:tcW w:w="1554" w:type="dxa"/>
            <w:vAlign w:val="bottom"/>
          </w:tcPr>
          <w:p w14:paraId="25BD069F" w14:textId="3031B158" w:rsidR="00224102" w:rsidRPr="00104DF7" w:rsidRDefault="00224102" w:rsidP="00224102">
            <w:pPr>
              <w:jc w:val="right"/>
              <w:rPr>
                <w:rFonts w:eastAsia="Arial Unicode MS"/>
                <w:sz w:val="18"/>
                <w:szCs w:val="18"/>
              </w:rPr>
            </w:pPr>
            <w:r w:rsidRPr="00692926">
              <w:rPr>
                <w:rFonts w:eastAsia="Arial Unicode MS"/>
                <w:sz w:val="18"/>
                <w:szCs w:val="18"/>
              </w:rPr>
              <w:t>63,388</w:t>
            </w:r>
          </w:p>
        </w:tc>
        <w:tc>
          <w:tcPr>
            <w:tcW w:w="1232" w:type="dxa"/>
            <w:vAlign w:val="bottom"/>
          </w:tcPr>
          <w:p w14:paraId="5FB3D754" w14:textId="62E52032" w:rsidR="00224102" w:rsidRPr="00104DF7" w:rsidRDefault="00224102" w:rsidP="00224102">
            <w:pPr>
              <w:jc w:val="right"/>
              <w:rPr>
                <w:rFonts w:eastAsia="Arial Unicode MS"/>
                <w:sz w:val="18"/>
                <w:szCs w:val="18"/>
              </w:rPr>
            </w:pPr>
            <w:r w:rsidRPr="00692926">
              <w:rPr>
                <w:rFonts w:eastAsia="Arial Unicode MS"/>
                <w:sz w:val="18"/>
                <w:szCs w:val="18"/>
              </w:rPr>
              <w:t>63,427</w:t>
            </w:r>
          </w:p>
        </w:tc>
      </w:tr>
      <w:tr w:rsidR="00224102" w:rsidRPr="00604C75" w14:paraId="74F8366B" w14:textId="77777777" w:rsidTr="00104DF7">
        <w:trPr>
          <w:trHeight w:val="279"/>
        </w:trPr>
        <w:tc>
          <w:tcPr>
            <w:tcW w:w="3464" w:type="dxa"/>
            <w:vAlign w:val="bottom"/>
          </w:tcPr>
          <w:p w14:paraId="0F651706" w14:textId="107FC6DD" w:rsidR="00224102" w:rsidRPr="00604C75" w:rsidRDefault="00224102" w:rsidP="00224102">
            <w:pPr>
              <w:rPr>
                <w:b/>
                <w:snapToGrid w:val="0"/>
                <w:sz w:val="18"/>
              </w:rPr>
            </w:pPr>
            <w:r w:rsidRPr="00604C75">
              <w:rPr>
                <w:b/>
                <w:sz w:val="18"/>
                <w:szCs w:val="18"/>
              </w:rPr>
              <w:t xml:space="preserve">Net </w:t>
            </w:r>
            <w:r>
              <w:rPr>
                <w:b/>
                <w:sz w:val="18"/>
                <w:szCs w:val="18"/>
              </w:rPr>
              <w:t>B</w:t>
            </w:r>
            <w:r w:rsidRPr="00604C75">
              <w:rPr>
                <w:b/>
                <w:sz w:val="18"/>
                <w:szCs w:val="18"/>
              </w:rPr>
              <w:t xml:space="preserve">ook </w:t>
            </w:r>
            <w:r>
              <w:rPr>
                <w:b/>
                <w:sz w:val="18"/>
                <w:szCs w:val="18"/>
              </w:rPr>
              <w:t>V</w:t>
            </w:r>
            <w:r w:rsidRPr="00604C75">
              <w:rPr>
                <w:b/>
                <w:sz w:val="18"/>
                <w:szCs w:val="18"/>
              </w:rPr>
              <w:t>alue</w:t>
            </w:r>
          </w:p>
        </w:tc>
        <w:tc>
          <w:tcPr>
            <w:tcW w:w="1554" w:type="dxa"/>
            <w:vAlign w:val="bottom"/>
          </w:tcPr>
          <w:p w14:paraId="3430FA0D" w14:textId="24E49197" w:rsidR="00224102" w:rsidRPr="00104DF7" w:rsidRDefault="00224102" w:rsidP="00224102">
            <w:pPr>
              <w:jc w:val="right"/>
              <w:rPr>
                <w:rFonts w:eastAsia="Arial Unicode MS"/>
                <w:b/>
                <w:sz w:val="18"/>
                <w:szCs w:val="18"/>
              </w:rPr>
            </w:pPr>
            <w:r w:rsidRPr="00692926">
              <w:rPr>
                <w:rFonts w:eastAsia="Arial Unicode MS"/>
                <w:b/>
                <w:sz w:val="18"/>
                <w:szCs w:val="18"/>
              </w:rPr>
              <w:t>1,466</w:t>
            </w:r>
          </w:p>
        </w:tc>
        <w:tc>
          <w:tcPr>
            <w:tcW w:w="1270" w:type="dxa"/>
            <w:vAlign w:val="bottom"/>
          </w:tcPr>
          <w:p w14:paraId="55F59964" w14:textId="1C821930" w:rsidR="00224102" w:rsidRPr="00104DF7" w:rsidRDefault="00224102" w:rsidP="00224102">
            <w:pPr>
              <w:jc w:val="right"/>
              <w:rPr>
                <w:rFonts w:eastAsia="Arial Unicode MS"/>
                <w:b/>
                <w:sz w:val="18"/>
                <w:szCs w:val="18"/>
              </w:rPr>
            </w:pPr>
            <w:r w:rsidRPr="00692926">
              <w:rPr>
                <w:rFonts w:eastAsia="Arial Unicode MS"/>
                <w:b/>
                <w:sz w:val="18"/>
                <w:szCs w:val="18"/>
              </w:rPr>
              <w:t>2</w:t>
            </w:r>
          </w:p>
        </w:tc>
        <w:tc>
          <w:tcPr>
            <w:tcW w:w="1554" w:type="dxa"/>
            <w:vAlign w:val="bottom"/>
          </w:tcPr>
          <w:p w14:paraId="4A0A74E8" w14:textId="7F15270D" w:rsidR="00224102" w:rsidRPr="00104DF7" w:rsidRDefault="00224102" w:rsidP="00224102">
            <w:pPr>
              <w:jc w:val="right"/>
              <w:rPr>
                <w:rFonts w:eastAsia="Arial Unicode MS"/>
                <w:b/>
                <w:bCs/>
                <w:sz w:val="18"/>
                <w:szCs w:val="18"/>
              </w:rPr>
            </w:pPr>
            <w:r w:rsidRPr="00692926">
              <w:rPr>
                <w:rFonts w:eastAsia="Arial Unicode MS"/>
                <w:b/>
                <w:bCs/>
                <w:sz w:val="18"/>
                <w:szCs w:val="18"/>
              </w:rPr>
              <w:t>30,799</w:t>
            </w:r>
          </w:p>
        </w:tc>
        <w:tc>
          <w:tcPr>
            <w:tcW w:w="1232" w:type="dxa"/>
            <w:vAlign w:val="bottom"/>
          </w:tcPr>
          <w:p w14:paraId="0E33D17C" w14:textId="23A0B97D" w:rsidR="00224102" w:rsidRPr="00104DF7" w:rsidRDefault="00224102" w:rsidP="00224102">
            <w:pPr>
              <w:jc w:val="right"/>
              <w:rPr>
                <w:rFonts w:eastAsia="Arial Unicode MS"/>
                <w:b/>
                <w:bCs/>
                <w:sz w:val="18"/>
                <w:szCs w:val="18"/>
              </w:rPr>
            </w:pPr>
            <w:r w:rsidRPr="00692926">
              <w:rPr>
                <w:rFonts w:eastAsia="Arial Unicode MS"/>
                <w:b/>
                <w:bCs/>
                <w:sz w:val="18"/>
                <w:szCs w:val="18"/>
              </w:rPr>
              <w:t>32,267</w:t>
            </w:r>
          </w:p>
        </w:tc>
      </w:tr>
      <w:tr w:rsidR="00224102" w:rsidRPr="00604C75" w14:paraId="2FB22321" w14:textId="77777777" w:rsidTr="00104DF7">
        <w:trPr>
          <w:trHeight w:val="258"/>
        </w:trPr>
        <w:tc>
          <w:tcPr>
            <w:tcW w:w="3464" w:type="dxa"/>
            <w:vAlign w:val="bottom"/>
          </w:tcPr>
          <w:p w14:paraId="714CA5CC" w14:textId="77777777" w:rsidR="00224102" w:rsidRPr="00604C75" w:rsidRDefault="00224102" w:rsidP="00224102">
            <w:pPr>
              <w:rPr>
                <w:b/>
                <w:snapToGrid w:val="0"/>
                <w:sz w:val="18"/>
              </w:rPr>
            </w:pPr>
            <w:r w:rsidRPr="00604C75">
              <w:rPr>
                <w:b/>
                <w:snapToGrid w:val="0"/>
                <w:sz w:val="18"/>
              </w:rPr>
              <w:t>31 December 2014</w:t>
            </w:r>
          </w:p>
        </w:tc>
        <w:tc>
          <w:tcPr>
            <w:tcW w:w="1554" w:type="dxa"/>
            <w:vAlign w:val="bottom"/>
          </w:tcPr>
          <w:p w14:paraId="248177ED" w14:textId="77777777" w:rsidR="00224102" w:rsidRPr="00104DF7" w:rsidRDefault="00224102" w:rsidP="00224102">
            <w:pPr>
              <w:jc w:val="right"/>
              <w:rPr>
                <w:rFonts w:eastAsia="Arial Unicode MS"/>
                <w:sz w:val="18"/>
                <w:szCs w:val="18"/>
              </w:rPr>
            </w:pPr>
          </w:p>
        </w:tc>
        <w:tc>
          <w:tcPr>
            <w:tcW w:w="1270" w:type="dxa"/>
            <w:vAlign w:val="bottom"/>
          </w:tcPr>
          <w:p w14:paraId="15E27978" w14:textId="77777777" w:rsidR="00224102" w:rsidRPr="00104DF7" w:rsidRDefault="00224102" w:rsidP="00224102">
            <w:pPr>
              <w:jc w:val="right"/>
              <w:rPr>
                <w:rFonts w:eastAsia="Arial Unicode MS"/>
                <w:sz w:val="18"/>
                <w:szCs w:val="18"/>
              </w:rPr>
            </w:pPr>
          </w:p>
        </w:tc>
        <w:tc>
          <w:tcPr>
            <w:tcW w:w="1554" w:type="dxa"/>
            <w:vAlign w:val="bottom"/>
          </w:tcPr>
          <w:p w14:paraId="2C5AB72D" w14:textId="77777777" w:rsidR="00224102" w:rsidRPr="00104DF7" w:rsidRDefault="00224102" w:rsidP="00224102">
            <w:pPr>
              <w:jc w:val="right"/>
              <w:rPr>
                <w:sz w:val="18"/>
                <w:szCs w:val="18"/>
              </w:rPr>
            </w:pPr>
          </w:p>
        </w:tc>
        <w:tc>
          <w:tcPr>
            <w:tcW w:w="1232" w:type="dxa"/>
            <w:vAlign w:val="bottom"/>
          </w:tcPr>
          <w:p w14:paraId="2F32173C" w14:textId="77777777" w:rsidR="00224102" w:rsidRPr="00104DF7" w:rsidRDefault="00224102" w:rsidP="00224102">
            <w:pPr>
              <w:jc w:val="right"/>
              <w:rPr>
                <w:sz w:val="18"/>
                <w:szCs w:val="18"/>
              </w:rPr>
            </w:pPr>
          </w:p>
        </w:tc>
      </w:tr>
      <w:tr w:rsidR="00224102" w:rsidRPr="00604C75" w14:paraId="4A460A31" w14:textId="77777777" w:rsidTr="00104DF7">
        <w:trPr>
          <w:trHeight w:val="258"/>
        </w:trPr>
        <w:tc>
          <w:tcPr>
            <w:tcW w:w="3464" w:type="dxa"/>
            <w:vAlign w:val="bottom"/>
          </w:tcPr>
          <w:p w14:paraId="5FFA63A8" w14:textId="31AB3062" w:rsidR="00224102" w:rsidRPr="00604C75" w:rsidRDefault="00224102" w:rsidP="00224102">
            <w:pPr>
              <w:rPr>
                <w:snapToGrid w:val="0"/>
                <w:sz w:val="18"/>
              </w:rPr>
            </w:pPr>
            <w:r w:rsidRPr="00604C75">
              <w:rPr>
                <w:snapToGrid w:val="0"/>
                <w:sz w:val="18"/>
              </w:rPr>
              <w:t xml:space="preserve">Net </w:t>
            </w:r>
            <w:r>
              <w:rPr>
                <w:snapToGrid w:val="0"/>
                <w:sz w:val="18"/>
              </w:rPr>
              <w:t>B</w:t>
            </w:r>
            <w:r w:rsidRPr="00604C75">
              <w:rPr>
                <w:snapToGrid w:val="0"/>
                <w:sz w:val="18"/>
              </w:rPr>
              <w:t xml:space="preserve">ook </w:t>
            </w:r>
            <w:r>
              <w:rPr>
                <w:snapToGrid w:val="0"/>
                <w:sz w:val="18"/>
              </w:rPr>
              <w:t>V</w:t>
            </w:r>
            <w:r w:rsidRPr="00604C75">
              <w:rPr>
                <w:snapToGrid w:val="0"/>
                <w:sz w:val="18"/>
              </w:rPr>
              <w:t xml:space="preserve">alue at </w:t>
            </w:r>
            <w:r>
              <w:rPr>
                <w:snapToGrid w:val="0"/>
                <w:sz w:val="18"/>
              </w:rPr>
              <w:t>B</w:t>
            </w:r>
            <w:r w:rsidRPr="00604C75">
              <w:rPr>
                <w:snapToGrid w:val="0"/>
                <w:sz w:val="18"/>
              </w:rPr>
              <w:t xml:space="preserve">eginning of the </w:t>
            </w:r>
            <w:r>
              <w:rPr>
                <w:snapToGrid w:val="0"/>
                <w:sz w:val="18"/>
              </w:rPr>
              <w:t>P</w:t>
            </w:r>
            <w:r w:rsidRPr="00604C75">
              <w:rPr>
                <w:snapToGrid w:val="0"/>
                <w:sz w:val="18"/>
              </w:rPr>
              <w:t>eriod</w:t>
            </w:r>
          </w:p>
        </w:tc>
        <w:tc>
          <w:tcPr>
            <w:tcW w:w="1554" w:type="dxa"/>
            <w:vAlign w:val="bottom"/>
          </w:tcPr>
          <w:p w14:paraId="23CE067D" w14:textId="4A6BD959" w:rsidR="00224102" w:rsidRPr="00104DF7" w:rsidRDefault="00224102" w:rsidP="00224102">
            <w:pPr>
              <w:jc w:val="right"/>
              <w:rPr>
                <w:sz w:val="18"/>
                <w:szCs w:val="18"/>
              </w:rPr>
            </w:pPr>
            <w:r w:rsidRPr="00692926">
              <w:rPr>
                <w:sz w:val="18"/>
                <w:szCs w:val="18"/>
              </w:rPr>
              <w:t>1,466</w:t>
            </w:r>
          </w:p>
        </w:tc>
        <w:tc>
          <w:tcPr>
            <w:tcW w:w="1270" w:type="dxa"/>
            <w:vAlign w:val="bottom"/>
          </w:tcPr>
          <w:p w14:paraId="31DBB6D0" w14:textId="4EC6B60E" w:rsidR="00224102" w:rsidRPr="00104DF7" w:rsidRDefault="00224102" w:rsidP="00224102">
            <w:pPr>
              <w:jc w:val="right"/>
              <w:rPr>
                <w:sz w:val="18"/>
                <w:szCs w:val="18"/>
              </w:rPr>
            </w:pPr>
            <w:r w:rsidRPr="00692926">
              <w:rPr>
                <w:sz w:val="18"/>
                <w:szCs w:val="18"/>
              </w:rPr>
              <w:t>2</w:t>
            </w:r>
          </w:p>
        </w:tc>
        <w:tc>
          <w:tcPr>
            <w:tcW w:w="1554" w:type="dxa"/>
            <w:vAlign w:val="bottom"/>
          </w:tcPr>
          <w:p w14:paraId="55011564" w14:textId="034E5ED9" w:rsidR="00224102" w:rsidRPr="00104DF7" w:rsidRDefault="00224102" w:rsidP="00224102">
            <w:pPr>
              <w:jc w:val="right"/>
              <w:rPr>
                <w:sz w:val="18"/>
                <w:szCs w:val="18"/>
              </w:rPr>
            </w:pPr>
            <w:r w:rsidRPr="00692926">
              <w:rPr>
                <w:sz w:val="18"/>
                <w:szCs w:val="18"/>
              </w:rPr>
              <w:t>30,799</w:t>
            </w:r>
          </w:p>
        </w:tc>
        <w:tc>
          <w:tcPr>
            <w:tcW w:w="1232" w:type="dxa"/>
            <w:vAlign w:val="bottom"/>
          </w:tcPr>
          <w:p w14:paraId="259E7047" w14:textId="44C70544" w:rsidR="00224102" w:rsidRPr="00104DF7" w:rsidRDefault="00224102" w:rsidP="00224102">
            <w:pPr>
              <w:jc w:val="right"/>
              <w:rPr>
                <w:sz w:val="18"/>
                <w:szCs w:val="18"/>
              </w:rPr>
            </w:pPr>
            <w:r w:rsidRPr="00692926">
              <w:rPr>
                <w:sz w:val="18"/>
                <w:szCs w:val="18"/>
              </w:rPr>
              <w:t>32,267</w:t>
            </w:r>
          </w:p>
        </w:tc>
      </w:tr>
      <w:tr w:rsidR="00224102" w:rsidRPr="00604C75" w14:paraId="43DA7E0C" w14:textId="77777777" w:rsidTr="00CD0767">
        <w:trPr>
          <w:trHeight w:val="258"/>
        </w:trPr>
        <w:tc>
          <w:tcPr>
            <w:tcW w:w="3464" w:type="dxa"/>
          </w:tcPr>
          <w:p w14:paraId="7C01CEB1" w14:textId="0F6BE836" w:rsidR="00224102" w:rsidRPr="00604C75" w:rsidRDefault="00224102" w:rsidP="00224102">
            <w:pPr>
              <w:rPr>
                <w:snapToGrid w:val="0"/>
                <w:sz w:val="18"/>
              </w:rPr>
            </w:pPr>
            <w:r w:rsidRPr="00604C75">
              <w:rPr>
                <w:snapToGrid w:val="0"/>
                <w:sz w:val="18"/>
              </w:rPr>
              <w:t xml:space="preserve">Additions </w:t>
            </w:r>
          </w:p>
        </w:tc>
        <w:tc>
          <w:tcPr>
            <w:tcW w:w="1554" w:type="dxa"/>
            <w:vAlign w:val="bottom"/>
          </w:tcPr>
          <w:p w14:paraId="6C6354C8" w14:textId="05A5CF8E" w:rsidR="00224102" w:rsidRPr="00104DF7" w:rsidRDefault="00224102" w:rsidP="00224102">
            <w:pPr>
              <w:jc w:val="right"/>
              <w:rPr>
                <w:sz w:val="18"/>
                <w:szCs w:val="18"/>
              </w:rPr>
            </w:pPr>
            <w:r w:rsidRPr="00692926">
              <w:rPr>
                <w:sz w:val="18"/>
                <w:szCs w:val="18"/>
              </w:rPr>
              <w:t>611</w:t>
            </w:r>
          </w:p>
        </w:tc>
        <w:tc>
          <w:tcPr>
            <w:tcW w:w="1270" w:type="dxa"/>
            <w:vAlign w:val="bottom"/>
          </w:tcPr>
          <w:p w14:paraId="39B87FDB" w14:textId="4B1C33F3" w:rsidR="00224102" w:rsidRPr="00104DF7" w:rsidRDefault="00224102" w:rsidP="00224102">
            <w:pPr>
              <w:jc w:val="right"/>
              <w:rPr>
                <w:sz w:val="18"/>
                <w:szCs w:val="18"/>
              </w:rPr>
            </w:pPr>
            <w:r w:rsidRPr="00692926">
              <w:rPr>
                <w:sz w:val="18"/>
                <w:szCs w:val="18"/>
              </w:rPr>
              <w:t>-</w:t>
            </w:r>
          </w:p>
        </w:tc>
        <w:tc>
          <w:tcPr>
            <w:tcW w:w="1554" w:type="dxa"/>
            <w:vAlign w:val="bottom"/>
          </w:tcPr>
          <w:p w14:paraId="760DD07E" w14:textId="25EAF7C7" w:rsidR="00224102" w:rsidRPr="00104DF7" w:rsidRDefault="00224102" w:rsidP="00224102">
            <w:pPr>
              <w:jc w:val="right"/>
              <w:rPr>
                <w:sz w:val="18"/>
                <w:szCs w:val="18"/>
              </w:rPr>
            </w:pPr>
            <w:r w:rsidRPr="00692926">
              <w:rPr>
                <w:sz w:val="18"/>
                <w:szCs w:val="18"/>
              </w:rPr>
              <w:t>7,980</w:t>
            </w:r>
          </w:p>
        </w:tc>
        <w:tc>
          <w:tcPr>
            <w:tcW w:w="1232" w:type="dxa"/>
            <w:vAlign w:val="bottom"/>
          </w:tcPr>
          <w:p w14:paraId="0B046D1C" w14:textId="5179487F" w:rsidR="00224102" w:rsidRPr="00104DF7" w:rsidRDefault="00224102" w:rsidP="00224102">
            <w:pPr>
              <w:jc w:val="right"/>
              <w:rPr>
                <w:sz w:val="18"/>
                <w:szCs w:val="18"/>
              </w:rPr>
            </w:pPr>
            <w:r w:rsidRPr="00692926">
              <w:rPr>
                <w:sz w:val="18"/>
                <w:szCs w:val="18"/>
              </w:rPr>
              <w:t>8,591</w:t>
            </w:r>
          </w:p>
        </w:tc>
      </w:tr>
      <w:tr w:rsidR="00224102" w:rsidRPr="00604C75" w14:paraId="0EAB252B" w14:textId="77777777" w:rsidTr="00104DF7">
        <w:trPr>
          <w:trHeight w:val="258"/>
        </w:trPr>
        <w:tc>
          <w:tcPr>
            <w:tcW w:w="3464" w:type="dxa"/>
            <w:vAlign w:val="bottom"/>
          </w:tcPr>
          <w:p w14:paraId="30227903" w14:textId="39B81378" w:rsidR="00224102" w:rsidRPr="00604C75" w:rsidRDefault="00224102" w:rsidP="00224102">
            <w:pPr>
              <w:rPr>
                <w:snapToGrid w:val="0"/>
                <w:sz w:val="18"/>
              </w:rPr>
            </w:pPr>
            <w:r>
              <w:rPr>
                <w:snapToGrid w:val="0"/>
                <w:sz w:val="18"/>
              </w:rPr>
              <w:t>Disposals Cost</w:t>
            </w:r>
          </w:p>
        </w:tc>
        <w:tc>
          <w:tcPr>
            <w:tcW w:w="1554" w:type="dxa"/>
            <w:vAlign w:val="bottom"/>
          </w:tcPr>
          <w:p w14:paraId="35893C16" w14:textId="6A131E90" w:rsidR="00224102" w:rsidRPr="00104DF7" w:rsidRDefault="00224102" w:rsidP="00224102">
            <w:pPr>
              <w:jc w:val="right"/>
              <w:rPr>
                <w:sz w:val="18"/>
                <w:szCs w:val="18"/>
              </w:rPr>
            </w:pPr>
            <w:r w:rsidRPr="00692926">
              <w:rPr>
                <w:sz w:val="18"/>
                <w:szCs w:val="18"/>
              </w:rPr>
              <w:t>383</w:t>
            </w:r>
          </w:p>
        </w:tc>
        <w:tc>
          <w:tcPr>
            <w:tcW w:w="1270" w:type="dxa"/>
            <w:vAlign w:val="bottom"/>
          </w:tcPr>
          <w:p w14:paraId="6CD2E338" w14:textId="5C0862B7" w:rsidR="00224102" w:rsidRPr="00104DF7" w:rsidRDefault="00224102" w:rsidP="00224102">
            <w:pPr>
              <w:jc w:val="right"/>
              <w:rPr>
                <w:sz w:val="18"/>
                <w:szCs w:val="18"/>
              </w:rPr>
            </w:pPr>
            <w:r w:rsidRPr="00692926">
              <w:rPr>
                <w:sz w:val="18"/>
                <w:szCs w:val="18"/>
              </w:rPr>
              <w:t>-</w:t>
            </w:r>
          </w:p>
        </w:tc>
        <w:tc>
          <w:tcPr>
            <w:tcW w:w="1554" w:type="dxa"/>
            <w:vAlign w:val="bottom"/>
          </w:tcPr>
          <w:p w14:paraId="7163C344" w14:textId="085D49CE" w:rsidR="00224102" w:rsidRPr="00104DF7" w:rsidRDefault="00224102" w:rsidP="00224102">
            <w:pPr>
              <w:jc w:val="right"/>
              <w:rPr>
                <w:sz w:val="18"/>
                <w:szCs w:val="18"/>
              </w:rPr>
            </w:pPr>
            <w:r w:rsidRPr="00692926">
              <w:rPr>
                <w:sz w:val="18"/>
                <w:szCs w:val="18"/>
              </w:rPr>
              <w:t>72</w:t>
            </w:r>
          </w:p>
        </w:tc>
        <w:tc>
          <w:tcPr>
            <w:tcW w:w="1232" w:type="dxa"/>
            <w:vAlign w:val="bottom"/>
          </w:tcPr>
          <w:p w14:paraId="1B470583" w14:textId="573AFB10" w:rsidR="00224102" w:rsidRPr="00104DF7" w:rsidRDefault="00224102" w:rsidP="00224102">
            <w:pPr>
              <w:jc w:val="right"/>
              <w:rPr>
                <w:sz w:val="18"/>
                <w:szCs w:val="18"/>
              </w:rPr>
            </w:pPr>
            <w:r w:rsidRPr="00692926">
              <w:rPr>
                <w:sz w:val="18"/>
                <w:szCs w:val="18"/>
              </w:rPr>
              <w:t>455</w:t>
            </w:r>
          </w:p>
        </w:tc>
      </w:tr>
      <w:tr w:rsidR="00224102" w:rsidRPr="00604C75" w14:paraId="37538E0E" w14:textId="77777777" w:rsidTr="00104DF7">
        <w:trPr>
          <w:trHeight w:val="258"/>
        </w:trPr>
        <w:tc>
          <w:tcPr>
            <w:tcW w:w="3464" w:type="dxa"/>
            <w:vAlign w:val="bottom"/>
          </w:tcPr>
          <w:p w14:paraId="56BDAD66" w14:textId="65CFB0BE" w:rsidR="00224102" w:rsidRPr="00604C75" w:rsidRDefault="00224102" w:rsidP="00224102">
            <w:pPr>
              <w:rPr>
                <w:snapToGrid w:val="0"/>
                <w:sz w:val="18"/>
              </w:rPr>
            </w:pPr>
            <w:r w:rsidRPr="00604C75">
              <w:rPr>
                <w:snapToGrid w:val="0"/>
                <w:sz w:val="18"/>
              </w:rPr>
              <w:t>Disposals</w:t>
            </w:r>
            <w:r>
              <w:rPr>
                <w:snapToGrid w:val="0"/>
                <w:sz w:val="18"/>
              </w:rPr>
              <w:t xml:space="preserve"> Depreciation (-)</w:t>
            </w:r>
          </w:p>
        </w:tc>
        <w:tc>
          <w:tcPr>
            <w:tcW w:w="1554" w:type="dxa"/>
            <w:vAlign w:val="bottom"/>
          </w:tcPr>
          <w:p w14:paraId="45B20689" w14:textId="02DB34FF" w:rsidR="00224102" w:rsidRPr="00104DF7" w:rsidRDefault="00224102" w:rsidP="00224102">
            <w:pPr>
              <w:jc w:val="right"/>
              <w:rPr>
                <w:sz w:val="18"/>
                <w:szCs w:val="18"/>
              </w:rPr>
            </w:pPr>
            <w:r w:rsidRPr="00692926">
              <w:rPr>
                <w:sz w:val="18"/>
                <w:szCs w:val="18"/>
              </w:rPr>
              <w:t>-</w:t>
            </w:r>
          </w:p>
        </w:tc>
        <w:tc>
          <w:tcPr>
            <w:tcW w:w="1270" w:type="dxa"/>
            <w:vAlign w:val="bottom"/>
          </w:tcPr>
          <w:p w14:paraId="59B17F7F" w14:textId="6A6A449B" w:rsidR="00224102" w:rsidRPr="00104DF7" w:rsidRDefault="00224102" w:rsidP="00224102">
            <w:pPr>
              <w:jc w:val="right"/>
              <w:rPr>
                <w:sz w:val="18"/>
                <w:szCs w:val="18"/>
              </w:rPr>
            </w:pPr>
            <w:r w:rsidRPr="00692926">
              <w:rPr>
                <w:sz w:val="18"/>
                <w:szCs w:val="18"/>
              </w:rPr>
              <w:t>-</w:t>
            </w:r>
          </w:p>
        </w:tc>
        <w:tc>
          <w:tcPr>
            <w:tcW w:w="1554" w:type="dxa"/>
            <w:vAlign w:val="bottom"/>
          </w:tcPr>
          <w:p w14:paraId="09752127" w14:textId="112ABB93" w:rsidR="00224102" w:rsidRPr="00104DF7" w:rsidRDefault="00224102" w:rsidP="00224102">
            <w:pPr>
              <w:jc w:val="right"/>
              <w:rPr>
                <w:sz w:val="18"/>
                <w:szCs w:val="18"/>
              </w:rPr>
            </w:pPr>
            <w:r w:rsidRPr="00692926">
              <w:rPr>
                <w:sz w:val="18"/>
                <w:szCs w:val="18"/>
              </w:rPr>
              <w:t>-</w:t>
            </w:r>
          </w:p>
        </w:tc>
        <w:tc>
          <w:tcPr>
            <w:tcW w:w="1232" w:type="dxa"/>
            <w:vAlign w:val="bottom"/>
          </w:tcPr>
          <w:p w14:paraId="6D858BDD" w14:textId="28B95D49" w:rsidR="00224102" w:rsidRPr="00104DF7" w:rsidRDefault="00224102" w:rsidP="00224102">
            <w:pPr>
              <w:jc w:val="right"/>
              <w:rPr>
                <w:sz w:val="18"/>
                <w:szCs w:val="18"/>
              </w:rPr>
            </w:pPr>
            <w:r w:rsidRPr="00692926">
              <w:rPr>
                <w:sz w:val="18"/>
                <w:szCs w:val="18"/>
              </w:rPr>
              <w:t>-</w:t>
            </w:r>
          </w:p>
        </w:tc>
      </w:tr>
      <w:tr w:rsidR="00224102" w:rsidRPr="00604C75" w14:paraId="2E979C8B" w14:textId="77777777" w:rsidTr="00CD0767">
        <w:trPr>
          <w:trHeight w:val="258"/>
        </w:trPr>
        <w:tc>
          <w:tcPr>
            <w:tcW w:w="3464" w:type="dxa"/>
          </w:tcPr>
          <w:p w14:paraId="1B7D70CD" w14:textId="6BBC542B" w:rsidR="00224102" w:rsidRPr="00604C75" w:rsidRDefault="00224102" w:rsidP="00224102">
            <w:pPr>
              <w:rPr>
                <w:snapToGrid w:val="0"/>
                <w:sz w:val="18"/>
              </w:rPr>
            </w:pPr>
            <w:r w:rsidRPr="00604C75">
              <w:rPr>
                <w:snapToGrid w:val="0"/>
                <w:sz w:val="18"/>
              </w:rPr>
              <w:t>Impairment</w:t>
            </w:r>
          </w:p>
        </w:tc>
        <w:tc>
          <w:tcPr>
            <w:tcW w:w="1554" w:type="dxa"/>
            <w:vAlign w:val="bottom"/>
          </w:tcPr>
          <w:p w14:paraId="365D276A" w14:textId="2D254DAE" w:rsidR="00224102" w:rsidRPr="00104DF7" w:rsidRDefault="00224102" w:rsidP="00224102">
            <w:pPr>
              <w:jc w:val="right"/>
              <w:rPr>
                <w:sz w:val="18"/>
                <w:szCs w:val="18"/>
              </w:rPr>
            </w:pPr>
            <w:r w:rsidRPr="00692926">
              <w:rPr>
                <w:sz w:val="18"/>
                <w:szCs w:val="18"/>
              </w:rPr>
              <w:t>-</w:t>
            </w:r>
          </w:p>
        </w:tc>
        <w:tc>
          <w:tcPr>
            <w:tcW w:w="1270" w:type="dxa"/>
            <w:vAlign w:val="bottom"/>
          </w:tcPr>
          <w:p w14:paraId="2EBDD72A" w14:textId="29DA6811" w:rsidR="00224102" w:rsidRPr="00104DF7" w:rsidRDefault="00224102" w:rsidP="00224102">
            <w:pPr>
              <w:jc w:val="right"/>
              <w:rPr>
                <w:sz w:val="18"/>
                <w:szCs w:val="18"/>
              </w:rPr>
            </w:pPr>
            <w:r w:rsidRPr="00692926">
              <w:rPr>
                <w:sz w:val="18"/>
                <w:szCs w:val="18"/>
              </w:rPr>
              <w:t>2</w:t>
            </w:r>
          </w:p>
        </w:tc>
        <w:tc>
          <w:tcPr>
            <w:tcW w:w="1554" w:type="dxa"/>
            <w:vAlign w:val="bottom"/>
          </w:tcPr>
          <w:p w14:paraId="43F42EF0" w14:textId="6991DDB4" w:rsidR="00224102" w:rsidRPr="00104DF7" w:rsidRDefault="00224102" w:rsidP="00224102">
            <w:pPr>
              <w:jc w:val="right"/>
              <w:rPr>
                <w:sz w:val="18"/>
                <w:szCs w:val="18"/>
              </w:rPr>
            </w:pPr>
            <w:r w:rsidRPr="00692926">
              <w:rPr>
                <w:sz w:val="18"/>
                <w:szCs w:val="18"/>
              </w:rPr>
              <w:t>8,798</w:t>
            </w:r>
          </w:p>
        </w:tc>
        <w:tc>
          <w:tcPr>
            <w:tcW w:w="1232" w:type="dxa"/>
            <w:vAlign w:val="bottom"/>
          </w:tcPr>
          <w:p w14:paraId="09B98E60" w14:textId="5CBF04DE" w:rsidR="00224102" w:rsidRPr="00104DF7" w:rsidRDefault="00224102" w:rsidP="00224102">
            <w:pPr>
              <w:jc w:val="right"/>
              <w:rPr>
                <w:sz w:val="18"/>
                <w:szCs w:val="18"/>
              </w:rPr>
            </w:pPr>
            <w:r w:rsidRPr="00692926">
              <w:rPr>
                <w:sz w:val="18"/>
                <w:szCs w:val="18"/>
              </w:rPr>
              <w:t>8,800</w:t>
            </w:r>
          </w:p>
        </w:tc>
      </w:tr>
      <w:tr w:rsidR="00224102" w:rsidRPr="00604C75" w14:paraId="45539C72" w14:textId="77777777" w:rsidTr="00CD0767">
        <w:trPr>
          <w:trHeight w:val="258"/>
        </w:trPr>
        <w:tc>
          <w:tcPr>
            <w:tcW w:w="3464" w:type="dxa"/>
          </w:tcPr>
          <w:p w14:paraId="095D45A9" w14:textId="32F5EC15" w:rsidR="00224102" w:rsidRPr="00E26B78" w:rsidRDefault="00224102" w:rsidP="00224102">
            <w:pPr>
              <w:rPr>
                <w:snapToGrid w:val="0"/>
                <w:sz w:val="18"/>
              </w:rPr>
            </w:pPr>
            <w:r w:rsidRPr="00604C75">
              <w:rPr>
                <w:snapToGrid w:val="0"/>
                <w:sz w:val="18"/>
              </w:rPr>
              <w:t>Depreciation (-)</w:t>
            </w:r>
          </w:p>
        </w:tc>
        <w:tc>
          <w:tcPr>
            <w:tcW w:w="1554" w:type="dxa"/>
            <w:vAlign w:val="bottom"/>
          </w:tcPr>
          <w:p w14:paraId="5A460A9B" w14:textId="26CCBC63" w:rsidR="00224102" w:rsidRPr="00104DF7" w:rsidRDefault="00224102" w:rsidP="00224102">
            <w:pPr>
              <w:jc w:val="right"/>
              <w:rPr>
                <w:bCs/>
                <w:sz w:val="18"/>
                <w:szCs w:val="18"/>
              </w:rPr>
            </w:pPr>
            <w:r w:rsidRPr="00692926">
              <w:rPr>
                <w:bCs/>
                <w:sz w:val="18"/>
                <w:szCs w:val="18"/>
              </w:rPr>
              <w:t>-</w:t>
            </w:r>
          </w:p>
        </w:tc>
        <w:tc>
          <w:tcPr>
            <w:tcW w:w="1270" w:type="dxa"/>
            <w:vAlign w:val="bottom"/>
          </w:tcPr>
          <w:p w14:paraId="4C11CE93" w14:textId="6E41E7BA" w:rsidR="00224102" w:rsidRPr="00104DF7" w:rsidRDefault="00224102" w:rsidP="00224102">
            <w:pPr>
              <w:jc w:val="right"/>
              <w:rPr>
                <w:bCs/>
                <w:sz w:val="18"/>
                <w:szCs w:val="18"/>
              </w:rPr>
            </w:pPr>
            <w:r w:rsidRPr="00692926">
              <w:rPr>
                <w:bCs/>
                <w:sz w:val="18"/>
                <w:szCs w:val="18"/>
              </w:rPr>
              <w:t>-</w:t>
            </w:r>
          </w:p>
        </w:tc>
        <w:tc>
          <w:tcPr>
            <w:tcW w:w="1554" w:type="dxa"/>
            <w:vAlign w:val="bottom"/>
          </w:tcPr>
          <w:p w14:paraId="622EB751" w14:textId="18EEA7B7" w:rsidR="00224102" w:rsidRPr="00104DF7" w:rsidRDefault="00224102" w:rsidP="00224102">
            <w:pPr>
              <w:jc w:val="right"/>
              <w:rPr>
                <w:bCs/>
                <w:sz w:val="18"/>
                <w:szCs w:val="18"/>
              </w:rPr>
            </w:pPr>
            <w:r w:rsidRPr="00692926">
              <w:rPr>
                <w:bCs/>
                <w:sz w:val="18"/>
                <w:szCs w:val="18"/>
              </w:rPr>
              <w:t>-</w:t>
            </w:r>
          </w:p>
        </w:tc>
        <w:tc>
          <w:tcPr>
            <w:tcW w:w="1232" w:type="dxa"/>
            <w:vAlign w:val="bottom"/>
          </w:tcPr>
          <w:p w14:paraId="353B7711" w14:textId="4E2FC677" w:rsidR="00224102" w:rsidRPr="00104DF7" w:rsidRDefault="00224102" w:rsidP="00224102">
            <w:pPr>
              <w:jc w:val="right"/>
              <w:rPr>
                <w:bCs/>
                <w:sz w:val="18"/>
                <w:szCs w:val="18"/>
              </w:rPr>
            </w:pPr>
            <w:r w:rsidRPr="00692926">
              <w:rPr>
                <w:bCs/>
                <w:sz w:val="18"/>
                <w:szCs w:val="18"/>
              </w:rPr>
              <w:t>-</w:t>
            </w:r>
          </w:p>
        </w:tc>
      </w:tr>
      <w:tr w:rsidR="00224102" w:rsidRPr="00604C75" w14:paraId="5539A21B" w14:textId="77777777" w:rsidTr="00104DF7">
        <w:trPr>
          <w:trHeight w:val="258"/>
        </w:trPr>
        <w:tc>
          <w:tcPr>
            <w:tcW w:w="3464" w:type="dxa"/>
            <w:vAlign w:val="bottom"/>
          </w:tcPr>
          <w:p w14:paraId="33A59004" w14:textId="1F6EC237" w:rsidR="00224102" w:rsidRPr="00E83EAC" w:rsidRDefault="00224102" w:rsidP="00224102">
            <w:pPr>
              <w:rPr>
                <w:snapToGrid w:val="0"/>
                <w:sz w:val="18"/>
              </w:rPr>
            </w:pPr>
            <w:r w:rsidRPr="00E83EAC">
              <w:rPr>
                <w:snapToGrid w:val="0"/>
                <w:sz w:val="18"/>
              </w:rPr>
              <w:t>Cost at Period End</w:t>
            </w:r>
          </w:p>
        </w:tc>
        <w:tc>
          <w:tcPr>
            <w:tcW w:w="1554" w:type="dxa"/>
            <w:vAlign w:val="bottom"/>
          </w:tcPr>
          <w:p w14:paraId="7192B1AE" w14:textId="655B5328" w:rsidR="00224102" w:rsidRPr="00104DF7" w:rsidRDefault="00224102" w:rsidP="00224102">
            <w:pPr>
              <w:jc w:val="right"/>
              <w:rPr>
                <w:bCs/>
                <w:sz w:val="18"/>
                <w:szCs w:val="18"/>
              </w:rPr>
            </w:pPr>
            <w:r w:rsidRPr="00692926">
              <w:rPr>
                <w:bCs/>
                <w:sz w:val="18"/>
                <w:szCs w:val="18"/>
              </w:rPr>
              <w:t>1,710</w:t>
            </w:r>
          </w:p>
        </w:tc>
        <w:tc>
          <w:tcPr>
            <w:tcW w:w="1270" w:type="dxa"/>
            <w:vAlign w:val="bottom"/>
          </w:tcPr>
          <w:p w14:paraId="23B76450" w14:textId="3056F3A0" w:rsidR="00224102" w:rsidRPr="00104DF7" w:rsidRDefault="00224102" w:rsidP="00224102">
            <w:pPr>
              <w:jc w:val="right"/>
              <w:rPr>
                <w:bCs/>
                <w:sz w:val="18"/>
                <w:szCs w:val="18"/>
              </w:rPr>
            </w:pPr>
            <w:r w:rsidRPr="00692926">
              <w:rPr>
                <w:bCs/>
                <w:sz w:val="18"/>
                <w:szCs w:val="18"/>
              </w:rPr>
              <w:t>28</w:t>
            </w:r>
          </w:p>
        </w:tc>
        <w:tc>
          <w:tcPr>
            <w:tcW w:w="1554" w:type="dxa"/>
            <w:vAlign w:val="bottom"/>
          </w:tcPr>
          <w:p w14:paraId="4D900D87" w14:textId="60C150B6" w:rsidR="00224102" w:rsidRPr="00104DF7" w:rsidRDefault="00224102" w:rsidP="00224102">
            <w:pPr>
              <w:jc w:val="right"/>
              <w:rPr>
                <w:bCs/>
                <w:sz w:val="18"/>
                <w:szCs w:val="18"/>
              </w:rPr>
            </w:pPr>
            <w:r w:rsidRPr="00692926">
              <w:rPr>
                <w:bCs/>
                <w:sz w:val="18"/>
                <w:szCs w:val="18"/>
              </w:rPr>
              <w:t>101,758</w:t>
            </w:r>
          </w:p>
        </w:tc>
        <w:tc>
          <w:tcPr>
            <w:tcW w:w="1232" w:type="dxa"/>
            <w:vAlign w:val="bottom"/>
          </w:tcPr>
          <w:p w14:paraId="2A63E44A" w14:textId="515E2BD3" w:rsidR="00224102" w:rsidRPr="00104DF7" w:rsidRDefault="00224102" w:rsidP="00224102">
            <w:pPr>
              <w:jc w:val="right"/>
              <w:rPr>
                <w:bCs/>
                <w:sz w:val="18"/>
                <w:szCs w:val="18"/>
              </w:rPr>
            </w:pPr>
            <w:r w:rsidRPr="00692926">
              <w:rPr>
                <w:bCs/>
                <w:sz w:val="18"/>
                <w:szCs w:val="18"/>
              </w:rPr>
              <w:t>103,496</w:t>
            </w:r>
          </w:p>
        </w:tc>
      </w:tr>
      <w:tr w:rsidR="00224102" w:rsidRPr="00604C75" w14:paraId="6EFAA6D2" w14:textId="77777777" w:rsidTr="00104DF7">
        <w:trPr>
          <w:trHeight w:val="279"/>
        </w:trPr>
        <w:tc>
          <w:tcPr>
            <w:tcW w:w="3464" w:type="dxa"/>
            <w:vAlign w:val="bottom"/>
          </w:tcPr>
          <w:p w14:paraId="1F0CBAA1" w14:textId="771D70A0" w:rsidR="00224102" w:rsidRPr="00604C75" w:rsidRDefault="00224102" w:rsidP="00224102">
            <w:pPr>
              <w:rPr>
                <w:b/>
                <w:snapToGrid w:val="0"/>
                <w:sz w:val="18"/>
              </w:rPr>
            </w:pPr>
            <w:r w:rsidRPr="00E83EAC">
              <w:rPr>
                <w:snapToGrid w:val="0"/>
                <w:sz w:val="18"/>
              </w:rPr>
              <w:t>Accumulated Depreciation at Period End (-)</w:t>
            </w:r>
          </w:p>
        </w:tc>
        <w:tc>
          <w:tcPr>
            <w:tcW w:w="1554" w:type="dxa"/>
            <w:vAlign w:val="bottom"/>
          </w:tcPr>
          <w:p w14:paraId="46607DA4" w14:textId="132A7E69" w:rsidR="00224102" w:rsidRPr="00104DF7" w:rsidRDefault="00224102" w:rsidP="00224102">
            <w:pPr>
              <w:jc w:val="right"/>
              <w:rPr>
                <w:bCs/>
                <w:sz w:val="18"/>
                <w:szCs w:val="18"/>
              </w:rPr>
            </w:pPr>
            <w:r w:rsidRPr="00692926">
              <w:rPr>
                <w:bCs/>
                <w:sz w:val="18"/>
                <w:szCs w:val="18"/>
              </w:rPr>
              <w:t>16</w:t>
            </w:r>
          </w:p>
        </w:tc>
        <w:tc>
          <w:tcPr>
            <w:tcW w:w="1270" w:type="dxa"/>
            <w:vAlign w:val="bottom"/>
          </w:tcPr>
          <w:p w14:paraId="7EC0DD88" w14:textId="1E2CFA35" w:rsidR="00224102" w:rsidRPr="00104DF7" w:rsidRDefault="00224102" w:rsidP="00224102">
            <w:pPr>
              <w:jc w:val="right"/>
              <w:rPr>
                <w:bCs/>
                <w:sz w:val="18"/>
                <w:szCs w:val="18"/>
              </w:rPr>
            </w:pPr>
            <w:r w:rsidRPr="00692926">
              <w:rPr>
                <w:bCs/>
                <w:sz w:val="18"/>
                <w:szCs w:val="18"/>
              </w:rPr>
              <w:t>28</w:t>
            </w:r>
          </w:p>
        </w:tc>
        <w:tc>
          <w:tcPr>
            <w:tcW w:w="1554" w:type="dxa"/>
            <w:vAlign w:val="bottom"/>
          </w:tcPr>
          <w:p w14:paraId="47FFAC42" w14:textId="6F52A50D" w:rsidR="00224102" w:rsidRPr="00104DF7" w:rsidRDefault="00224102" w:rsidP="00224102">
            <w:pPr>
              <w:jc w:val="right"/>
              <w:rPr>
                <w:bCs/>
                <w:sz w:val="18"/>
                <w:szCs w:val="18"/>
              </w:rPr>
            </w:pPr>
            <w:r w:rsidRPr="00692926">
              <w:rPr>
                <w:bCs/>
                <w:sz w:val="18"/>
                <w:szCs w:val="18"/>
              </w:rPr>
              <w:t>71,851</w:t>
            </w:r>
          </w:p>
        </w:tc>
        <w:tc>
          <w:tcPr>
            <w:tcW w:w="1232" w:type="dxa"/>
            <w:vAlign w:val="bottom"/>
          </w:tcPr>
          <w:p w14:paraId="36803193" w14:textId="29DDBF48" w:rsidR="00224102" w:rsidRPr="00104DF7" w:rsidRDefault="00224102" w:rsidP="00224102">
            <w:pPr>
              <w:jc w:val="right"/>
              <w:rPr>
                <w:bCs/>
                <w:sz w:val="18"/>
                <w:szCs w:val="18"/>
              </w:rPr>
            </w:pPr>
            <w:r w:rsidRPr="00692926">
              <w:rPr>
                <w:bCs/>
                <w:sz w:val="18"/>
                <w:szCs w:val="18"/>
              </w:rPr>
              <w:t>71,895</w:t>
            </w:r>
          </w:p>
        </w:tc>
      </w:tr>
      <w:tr w:rsidR="00224102" w:rsidRPr="00604C75" w14:paraId="0BB0F462" w14:textId="77777777" w:rsidTr="00104DF7">
        <w:trPr>
          <w:trHeight w:val="279"/>
        </w:trPr>
        <w:tc>
          <w:tcPr>
            <w:tcW w:w="3464" w:type="dxa"/>
            <w:vAlign w:val="bottom"/>
          </w:tcPr>
          <w:p w14:paraId="20DEBF00" w14:textId="06D56E5A" w:rsidR="00224102" w:rsidRPr="00604C75" w:rsidRDefault="00224102" w:rsidP="00224102">
            <w:pPr>
              <w:rPr>
                <w:b/>
                <w:snapToGrid w:val="0"/>
                <w:sz w:val="18"/>
              </w:rPr>
            </w:pPr>
            <w:r w:rsidRPr="00604C75">
              <w:rPr>
                <w:b/>
                <w:snapToGrid w:val="0"/>
                <w:sz w:val="18"/>
              </w:rPr>
              <w:t>Closing Net Book Value at Period End</w:t>
            </w:r>
          </w:p>
        </w:tc>
        <w:tc>
          <w:tcPr>
            <w:tcW w:w="1554" w:type="dxa"/>
            <w:vAlign w:val="bottom"/>
          </w:tcPr>
          <w:p w14:paraId="1C522E75" w14:textId="0B78120B" w:rsidR="00224102" w:rsidRPr="00104DF7" w:rsidRDefault="00224102" w:rsidP="00224102">
            <w:pPr>
              <w:jc w:val="right"/>
              <w:rPr>
                <w:b/>
                <w:sz w:val="18"/>
                <w:szCs w:val="18"/>
              </w:rPr>
            </w:pPr>
            <w:r w:rsidRPr="00692926">
              <w:rPr>
                <w:b/>
                <w:sz w:val="18"/>
                <w:szCs w:val="18"/>
              </w:rPr>
              <w:t>1,694</w:t>
            </w:r>
          </w:p>
        </w:tc>
        <w:tc>
          <w:tcPr>
            <w:tcW w:w="1270" w:type="dxa"/>
            <w:vAlign w:val="bottom"/>
          </w:tcPr>
          <w:p w14:paraId="17CCEE9C" w14:textId="27A7ED46" w:rsidR="00224102" w:rsidRPr="00104DF7" w:rsidRDefault="00224102" w:rsidP="00224102">
            <w:pPr>
              <w:jc w:val="right"/>
              <w:rPr>
                <w:b/>
                <w:sz w:val="18"/>
                <w:szCs w:val="18"/>
              </w:rPr>
            </w:pPr>
            <w:r w:rsidRPr="00692926">
              <w:rPr>
                <w:b/>
                <w:sz w:val="18"/>
                <w:szCs w:val="18"/>
              </w:rPr>
              <w:t>-</w:t>
            </w:r>
          </w:p>
        </w:tc>
        <w:tc>
          <w:tcPr>
            <w:tcW w:w="1554" w:type="dxa"/>
            <w:vAlign w:val="bottom"/>
          </w:tcPr>
          <w:p w14:paraId="2BEAA1AD" w14:textId="570652FE" w:rsidR="00224102" w:rsidRPr="00104DF7" w:rsidRDefault="00224102" w:rsidP="00224102">
            <w:pPr>
              <w:jc w:val="right"/>
              <w:rPr>
                <w:b/>
                <w:sz w:val="18"/>
                <w:szCs w:val="18"/>
              </w:rPr>
            </w:pPr>
            <w:r w:rsidRPr="00692926">
              <w:rPr>
                <w:b/>
                <w:sz w:val="18"/>
                <w:szCs w:val="18"/>
              </w:rPr>
              <w:t>29,907</w:t>
            </w:r>
          </w:p>
        </w:tc>
        <w:tc>
          <w:tcPr>
            <w:tcW w:w="1232" w:type="dxa"/>
            <w:vAlign w:val="bottom"/>
          </w:tcPr>
          <w:p w14:paraId="63493CDE" w14:textId="36A19BA8" w:rsidR="00224102" w:rsidRPr="00104DF7" w:rsidRDefault="00224102" w:rsidP="00224102">
            <w:pPr>
              <w:jc w:val="right"/>
              <w:rPr>
                <w:b/>
                <w:sz w:val="18"/>
                <w:szCs w:val="18"/>
              </w:rPr>
            </w:pPr>
            <w:r w:rsidRPr="00692926">
              <w:rPr>
                <w:b/>
                <w:sz w:val="18"/>
                <w:szCs w:val="18"/>
              </w:rPr>
              <w:t>31,601</w:t>
            </w:r>
          </w:p>
        </w:tc>
      </w:tr>
    </w:tbl>
    <w:p w14:paraId="1E9BFE03" w14:textId="77777777" w:rsidR="0056725F" w:rsidRPr="00604C75" w:rsidRDefault="0056725F" w:rsidP="006B1A3A">
      <w:pPr>
        <w:tabs>
          <w:tab w:val="left" w:pos="1276"/>
        </w:tabs>
        <w:ind w:hanging="1276"/>
        <w:jc w:val="both"/>
        <w:rPr>
          <w:b/>
          <w:sz w:val="20"/>
          <w:szCs w:val="20"/>
        </w:rPr>
      </w:pPr>
    </w:p>
    <w:p w14:paraId="1C33D2CF" w14:textId="3F769041" w:rsidR="006B5800" w:rsidRPr="00604C75" w:rsidRDefault="0044575F" w:rsidP="00CD0767">
      <w:pPr>
        <w:tabs>
          <w:tab w:val="left" w:pos="0"/>
          <w:tab w:val="left" w:pos="567"/>
        </w:tabs>
        <w:jc w:val="both"/>
        <w:rPr>
          <w:b/>
          <w:sz w:val="20"/>
          <w:szCs w:val="20"/>
        </w:rPr>
      </w:pPr>
      <w:r w:rsidRPr="00604C75">
        <w:rPr>
          <w:b/>
          <w:sz w:val="20"/>
          <w:szCs w:val="20"/>
        </w:rPr>
        <w:t>m.</w:t>
      </w:r>
      <w:r w:rsidRPr="00604C75">
        <w:rPr>
          <w:b/>
          <w:sz w:val="20"/>
          <w:szCs w:val="20"/>
        </w:rPr>
        <w:tab/>
        <w:t>Infor</w:t>
      </w:r>
      <w:r w:rsidR="00AB2B7B" w:rsidRPr="00604C75">
        <w:rPr>
          <w:b/>
          <w:sz w:val="20"/>
          <w:szCs w:val="20"/>
        </w:rPr>
        <w:t>mation on the</w:t>
      </w:r>
      <w:r w:rsidRPr="00604C75">
        <w:rPr>
          <w:b/>
          <w:sz w:val="20"/>
          <w:szCs w:val="20"/>
        </w:rPr>
        <w:t xml:space="preserve"> </w:t>
      </w:r>
      <w:r w:rsidR="00D1124E" w:rsidRPr="00604C75">
        <w:rPr>
          <w:b/>
          <w:sz w:val="20"/>
          <w:szCs w:val="20"/>
        </w:rPr>
        <w:t xml:space="preserve">goodwill and </w:t>
      </w:r>
      <w:r w:rsidRPr="00604C75">
        <w:rPr>
          <w:b/>
          <w:sz w:val="20"/>
          <w:szCs w:val="20"/>
        </w:rPr>
        <w:t>intangible assets</w:t>
      </w:r>
    </w:p>
    <w:p w14:paraId="0B2B1676" w14:textId="77777777" w:rsidR="0044575F" w:rsidRPr="00604C75" w:rsidRDefault="0044575F" w:rsidP="008477F3">
      <w:pPr>
        <w:pStyle w:val="BodyTextIndent"/>
        <w:numPr>
          <w:ilvl w:val="0"/>
          <w:numId w:val="51"/>
        </w:numPr>
        <w:tabs>
          <w:tab w:val="left" w:pos="0"/>
        </w:tabs>
        <w:spacing w:before="60" w:after="0"/>
        <w:ind w:left="567" w:hanging="567"/>
        <w:rPr>
          <w:sz w:val="20"/>
          <w:szCs w:val="20"/>
        </w:rPr>
      </w:pPr>
      <w:r w:rsidRPr="00604C75">
        <w:rPr>
          <w:sz w:val="20"/>
          <w:szCs w:val="20"/>
        </w:rPr>
        <w:t>Book value and accumulated depreciation</w:t>
      </w:r>
      <w:r w:rsidR="00D1124E" w:rsidRPr="00604C75">
        <w:rPr>
          <w:sz w:val="20"/>
          <w:szCs w:val="20"/>
        </w:rPr>
        <w:t xml:space="preserve"> of the goodwill </w:t>
      </w:r>
      <w:r w:rsidRPr="00604C75">
        <w:rPr>
          <w:sz w:val="20"/>
          <w:szCs w:val="20"/>
        </w:rPr>
        <w:t>at the beginni</w:t>
      </w:r>
      <w:r w:rsidR="006B5800" w:rsidRPr="00604C75">
        <w:rPr>
          <w:sz w:val="20"/>
          <w:szCs w:val="20"/>
        </w:rPr>
        <w:t>ng and at the end of the period</w:t>
      </w:r>
    </w:p>
    <w:p w14:paraId="0F095661" w14:textId="77777777" w:rsidR="006B5800" w:rsidRPr="00604C75" w:rsidRDefault="006B5800" w:rsidP="006B5800">
      <w:pPr>
        <w:pStyle w:val="BodyTextIndent"/>
        <w:tabs>
          <w:tab w:val="left" w:pos="0"/>
        </w:tabs>
        <w:spacing w:after="0"/>
        <w:ind w:left="1080"/>
        <w:rPr>
          <w:sz w:val="20"/>
          <w:szCs w:val="20"/>
        </w:rPr>
      </w:pPr>
    </w:p>
    <w:tbl>
      <w:tblPr>
        <w:tblW w:w="936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516"/>
        <w:gridCol w:w="1982"/>
        <w:gridCol w:w="1867"/>
      </w:tblGrid>
      <w:tr w:rsidR="00D1124E" w:rsidRPr="00604C75" w14:paraId="322F7A77" w14:textId="77777777" w:rsidTr="00CD0767">
        <w:trPr>
          <w:trHeight w:val="113"/>
        </w:trPr>
        <w:tc>
          <w:tcPr>
            <w:tcW w:w="5516" w:type="dxa"/>
            <w:shd w:val="clear" w:color="auto" w:fill="FFFFFF"/>
            <w:noWrap/>
            <w:vAlign w:val="bottom"/>
          </w:tcPr>
          <w:p w14:paraId="744392D7" w14:textId="77777777" w:rsidR="00D1124E" w:rsidRPr="00604C75" w:rsidRDefault="00D1124E" w:rsidP="006B5800">
            <w:pPr>
              <w:tabs>
                <w:tab w:val="left" w:pos="0"/>
              </w:tabs>
              <w:spacing w:line="226" w:lineRule="auto"/>
              <w:rPr>
                <w:rFonts w:eastAsia="Arial Unicode MS"/>
                <w:b/>
                <w:sz w:val="17"/>
                <w:szCs w:val="17"/>
              </w:rPr>
            </w:pPr>
            <w:r w:rsidRPr="00604C75">
              <w:rPr>
                <w:b/>
                <w:sz w:val="17"/>
                <w:szCs w:val="17"/>
              </w:rPr>
              <w:t> </w:t>
            </w:r>
          </w:p>
        </w:tc>
        <w:tc>
          <w:tcPr>
            <w:tcW w:w="1982" w:type="dxa"/>
            <w:shd w:val="clear" w:color="auto" w:fill="FFFFFF"/>
            <w:vAlign w:val="bottom"/>
          </w:tcPr>
          <w:p w14:paraId="5F652682" w14:textId="77777777" w:rsidR="00D1124E" w:rsidRPr="00604C75" w:rsidRDefault="000F13E4" w:rsidP="00CD0767">
            <w:pPr>
              <w:tabs>
                <w:tab w:val="left" w:pos="0"/>
              </w:tabs>
              <w:spacing w:line="226" w:lineRule="auto"/>
              <w:ind w:right="56"/>
              <w:jc w:val="center"/>
              <w:rPr>
                <w:rFonts w:eastAsia="Arial Unicode MS"/>
                <w:b/>
                <w:sz w:val="17"/>
                <w:szCs w:val="17"/>
              </w:rPr>
            </w:pPr>
            <w:r w:rsidRPr="00604C75">
              <w:rPr>
                <w:b/>
                <w:sz w:val="17"/>
                <w:szCs w:val="17"/>
              </w:rPr>
              <w:t>Current Period</w:t>
            </w:r>
          </w:p>
        </w:tc>
        <w:tc>
          <w:tcPr>
            <w:tcW w:w="1867" w:type="dxa"/>
            <w:shd w:val="clear" w:color="auto" w:fill="FFFFFF"/>
            <w:noWrap/>
            <w:vAlign w:val="bottom"/>
          </w:tcPr>
          <w:p w14:paraId="4683325A" w14:textId="77777777" w:rsidR="00D1124E" w:rsidRPr="00604C75" w:rsidRDefault="000F13E4" w:rsidP="00CD0767">
            <w:pPr>
              <w:tabs>
                <w:tab w:val="left" w:pos="0"/>
              </w:tabs>
              <w:spacing w:line="226" w:lineRule="auto"/>
              <w:ind w:right="70"/>
              <w:jc w:val="center"/>
              <w:rPr>
                <w:rFonts w:eastAsia="Arial Unicode MS"/>
                <w:b/>
                <w:sz w:val="17"/>
                <w:szCs w:val="17"/>
              </w:rPr>
            </w:pPr>
            <w:r w:rsidRPr="00604C75">
              <w:rPr>
                <w:b/>
                <w:sz w:val="17"/>
                <w:szCs w:val="17"/>
              </w:rPr>
              <w:t>Prior period</w:t>
            </w:r>
          </w:p>
        </w:tc>
      </w:tr>
      <w:tr w:rsidR="00224102" w:rsidRPr="00604C75" w14:paraId="4A8F38BB" w14:textId="77777777" w:rsidTr="00AD726D">
        <w:trPr>
          <w:trHeight w:val="113"/>
        </w:trPr>
        <w:tc>
          <w:tcPr>
            <w:tcW w:w="5516" w:type="dxa"/>
            <w:shd w:val="clear" w:color="auto" w:fill="FFFFFF"/>
            <w:noWrap/>
            <w:vAlign w:val="bottom"/>
          </w:tcPr>
          <w:p w14:paraId="627A03EA" w14:textId="0E559292" w:rsidR="00224102" w:rsidRPr="00604C75" w:rsidRDefault="00224102" w:rsidP="00224102">
            <w:pPr>
              <w:pStyle w:val="EndnoteText"/>
              <w:tabs>
                <w:tab w:val="left" w:pos="0"/>
              </w:tabs>
              <w:spacing w:line="226" w:lineRule="auto"/>
              <w:rPr>
                <w:rFonts w:eastAsia="Arial Unicode MS"/>
                <w:sz w:val="17"/>
                <w:szCs w:val="17"/>
              </w:rPr>
            </w:pPr>
            <w:r w:rsidRPr="00604C75">
              <w:rPr>
                <w:sz w:val="16"/>
                <w:szCs w:val="16"/>
              </w:rPr>
              <w:t xml:space="preserve">Gross </w:t>
            </w:r>
            <w:r>
              <w:rPr>
                <w:sz w:val="16"/>
                <w:szCs w:val="16"/>
              </w:rPr>
              <w:t>V</w:t>
            </w:r>
            <w:r w:rsidRPr="00604C75">
              <w:rPr>
                <w:sz w:val="16"/>
                <w:szCs w:val="16"/>
              </w:rPr>
              <w:t xml:space="preserve">alue at the </w:t>
            </w:r>
            <w:r>
              <w:rPr>
                <w:sz w:val="16"/>
                <w:szCs w:val="16"/>
              </w:rPr>
              <w:t>B</w:t>
            </w:r>
            <w:r w:rsidRPr="00604C75">
              <w:rPr>
                <w:sz w:val="16"/>
                <w:szCs w:val="16"/>
              </w:rPr>
              <w:t xml:space="preserve">eginning of the </w:t>
            </w:r>
            <w:r>
              <w:rPr>
                <w:sz w:val="16"/>
                <w:szCs w:val="16"/>
              </w:rPr>
              <w:t>P</w:t>
            </w:r>
            <w:r w:rsidRPr="00604C75">
              <w:rPr>
                <w:sz w:val="16"/>
                <w:szCs w:val="16"/>
              </w:rPr>
              <w:t>eriod</w:t>
            </w:r>
          </w:p>
        </w:tc>
        <w:tc>
          <w:tcPr>
            <w:tcW w:w="1982" w:type="dxa"/>
            <w:shd w:val="clear" w:color="auto" w:fill="FFFFFF"/>
            <w:vAlign w:val="bottom"/>
          </w:tcPr>
          <w:p w14:paraId="7DF51C4B" w14:textId="55EC6BD6"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49,647</w:t>
            </w:r>
          </w:p>
        </w:tc>
        <w:tc>
          <w:tcPr>
            <w:tcW w:w="1867" w:type="dxa"/>
            <w:shd w:val="clear" w:color="auto" w:fill="FFFFFF"/>
            <w:noWrap/>
            <w:vAlign w:val="bottom"/>
          </w:tcPr>
          <w:p w14:paraId="3F4B65DA" w14:textId="7F3A022A"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49,647</w:t>
            </w:r>
          </w:p>
        </w:tc>
      </w:tr>
      <w:tr w:rsidR="00224102" w:rsidRPr="00604C75" w14:paraId="2A3E3434" w14:textId="77777777" w:rsidTr="00AD726D">
        <w:trPr>
          <w:trHeight w:val="113"/>
        </w:trPr>
        <w:tc>
          <w:tcPr>
            <w:tcW w:w="5516" w:type="dxa"/>
            <w:shd w:val="clear" w:color="auto" w:fill="FFFFFF"/>
            <w:noWrap/>
            <w:tcMar>
              <w:top w:w="0" w:type="dxa"/>
              <w:left w:w="360" w:type="dxa"/>
              <w:bottom w:w="0" w:type="dxa"/>
              <w:right w:w="0" w:type="dxa"/>
            </w:tcMar>
            <w:vAlign w:val="bottom"/>
          </w:tcPr>
          <w:p w14:paraId="73804448" w14:textId="03E4B512" w:rsidR="00224102" w:rsidRPr="00604C75" w:rsidRDefault="00224102" w:rsidP="00224102">
            <w:pPr>
              <w:tabs>
                <w:tab w:val="left" w:pos="0"/>
              </w:tabs>
              <w:spacing w:line="226" w:lineRule="auto"/>
              <w:ind w:leftChars="-27" w:hangingChars="38" w:hanging="65"/>
              <w:rPr>
                <w:rFonts w:eastAsia="Arial Unicode MS"/>
                <w:sz w:val="17"/>
                <w:szCs w:val="17"/>
              </w:rPr>
            </w:pPr>
            <w:r w:rsidRPr="00604C75">
              <w:rPr>
                <w:sz w:val="17"/>
                <w:szCs w:val="17"/>
              </w:rPr>
              <w:t xml:space="preserve">Accumulated </w:t>
            </w:r>
            <w:r>
              <w:rPr>
                <w:sz w:val="17"/>
                <w:szCs w:val="17"/>
              </w:rPr>
              <w:t>D</w:t>
            </w:r>
            <w:r w:rsidRPr="00604C75">
              <w:rPr>
                <w:sz w:val="17"/>
                <w:szCs w:val="17"/>
              </w:rPr>
              <w:t>epreciation (-)</w:t>
            </w:r>
          </w:p>
        </w:tc>
        <w:tc>
          <w:tcPr>
            <w:tcW w:w="1982" w:type="dxa"/>
            <w:shd w:val="clear" w:color="auto" w:fill="FFFFFF"/>
            <w:vAlign w:val="bottom"/>
          </w:tcPr>
          <w:p w14:paraId="1AC88302" w14:textId="02B8C385"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19569927" w14:textId="5580DA98"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3D4AEBB7" w14:textId="77777777" w:rsidTr="00AD726D">
        <w:trPr>
          <w:trHeight w:val="113"/>
        </w:trPr>
        <w:tc>
          <w:tcPr>
            <w:tcW w:w="5516" w:type="dxa"/>
            <w:shd w:val="clear" w:color="auto" w:fill="FFFFFF"/>
            <w:noWrap/>
            <w:tcMar>
              <w:top w:w="0" w:type="dxa"/>
              <w:left w:w="360" w:type="dxa"/>
              <w:bottom w:w="0" w:type="dxa"/>
              <w:right w:w="0" w:type="dxa"/>
            </w:tcMar>
            <w:vAlign w:val="bottom"/>
          </w:tcPr>
          <w:p w14:paraId="2F6569DC" w14:textId="780338B2" w:rsidR="00224102" w:rsidRPr="00604C75" w:rsidRDefault="00224102" w:rsidP="00224102">
            <w:pPr>
              <w:tabs>
                <w:tab w:val="left" w:pos="0"/>
              </w:tabs>
              <w:spacing w:line="226" w:lineRule="auto"/>
              <w:ind w:leftChars="-27" w:hangingChars="38" w:hanging="65"/>
              <w:rPr>
                <w:rFonts w:eastAsia="Arial Unicode MS"/>
                <w:sz w:val="17"/>
                <w:szCs w:val="17"/>
              </w:rPr>
            </w:pPr>
            <w:r>
              <w:rPr>
                <w:sz w:val="17"/>
                <w:szCs w:val="17"/>
              </w:rPr>
              <w:t>I</w:t>
            </w:r>
            <w:r w:rsidRPr="00604C75">
              <w:rPr>
                <w:sz w:val="17"/>
                <w:szCs w:val="17"/>
              </w:rPr>
              <w:t xml:space="preserve">mpairment </w:t>
            </w:r>
            <w:r>
              <w:rPr>
                <w:sz w:val="17"/>
                <w:szCs w:val="17"/>
              </w:rPr>
              <w:t>P</w:t>
            </w:r>
            <w:r w:rsidRPr="00604C75">
              <w:rPr>
                <w:sz w:val="17"/>
                <w:szCs w:val="17"/>
              </w:rPr>
              <w:t>rovision (-)</w:t>
            </w:r>
          </w:p>
        </w:tc>
        <w:tc>
          <w:tcPr>
            <w:tcW w:w="1982" w:type="dxa"/>
            <w:shd w:val="clear" w:color="auto" w:fill="FFFFFF"/>
            <w:vAlign w:val="bottom"/>
          </w:tcPr>
          <w:p w14:paraId="609AF4E3" w14:textId="2959C3BE"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33B18BBF" w14:textId="509DA532"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15C18D2C" w14:textId="77777777" w:rsidTr="00AD726D">
        <w:trPr>
          <w:trHeight w:val="113"/>
        </w:trPr>
        <w:tc>
          <w:tcPr>
            <w:tcW w:w="5516" w:type="dxa"/>
            <w:shd w:val="clear" w:color="auto" w:fill="FFFFFF"/>
            <w:noWrap/>
            <w:vAlign w:val="bottom"/>
          </w:tcPr>
          <w:p w14:paraId="7E419056" w14:textId="3D01C15C" w:rsidR="00224102" w:rsidRPr="00604C75" w:rsidRDefault="00224102" w:rsidP="00224102">
            <w:pPr>
              <w:tabs>
                <w:tab w:val="left" w:pos="0"/>
              </w:tabs>
              <w:spacing w:line="226" w:lineRule="auto"/>
              <w:rPr>
                <w:rFonts w:eastAsia="Arial Unicode MS"/>
                <w:sz w:val="17"/>
                <w:szCs w:val="17"/>
              </w:rPr>
            </w:pPr>
            <w:r w:rsidRPr="00604C75">
              <w:rPr>
                <w:sz w:val="16"/>
                <w:szCs w:val="16"/>
              </w:rPr>
              <w:t xml:space="preserve">Movement </w:t>
            </w:r>
            <w:r>
              <w:rPr>
                <w:sz w:val="16"/>
                <w:szCs w:val="16"/>
              </w:rPr>
              <w:t>D</w:t>
            </w:r>
            <w:r w:rsidRPr="00604C75">
              <w:rPr>
                <w:sz w:val="16"/>
                <w:szCs w:val="16"/>
              </w:rPr>
              <w:t xml:space="preserve">uring the </w:t>
            </w:r>
            <w:r>
              <w:rPr>
                <w:sz w:val="16"/>
                <w:szCs w:val="16"/>
              </w:rPr>
              <w:t>P</w:t>
            </w:r>
            <w:r w:rsidRPr="00604C75">
              <w:rPr>
                <w:sz w:val="16"/>
                <w:szCs w:val="16"/>
              </w:rPr>
              <w:t>eriod</w:t>
            </w:r>
          </w:p>
        </w:tc>
        <w:tc>
          <w:tcPr>
            <w:tcW w:w="1982" w:type="dxa"/>
            <w:shd w:val="clear" w:color="auto" w:fill="FFFFFF"/>
            <w:vAlign w:val="bottom"/>
          </w:tcPr>
          <w:p w14:paraId="344B30AC" w14:textId="406EB928"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43971305" w14:textId="182ED6B5"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39FE6E8D" w14:textId="77777777" w:rsidTr="00AD726D">
        <w:trPr>
          <w:trHeight w:val="113"/>
        </w:trPr>
        <w:tc>
          <w:tcPr>
            <w:tcW w:w="5516" w:type="dxa"/>
            <w:shd w:val="clear" w:color="auto" w:fill="FFFFFF"/>
            <w:noWrap/>
            <w:tcMar>
              <w:top w:w="0" w:type="dxa"/>
              <w:left w:w="360" w:type="dxa"/>
              <w:bottom w:w="0" w:type="dxa"/>
              <w:right w:w="0" w:type="dxa"/>
            </w:tcMar>
            <w:vAlign w:val="bottom"/>
          </w:tcPr>
          <w:p w14:paraId="3D51891B" w14:textId="0763CE47" w:rsidR="00224102" w:rsidRPr="00604C75" w:rsidRDefault="00224102" w:rsidP="00224102">
            <w:pPr>
              <w:tabs>
                <w:tab w:val="left" w:pos="0"/>
              </w:tabs>
              <w:spacing w:line="226" w:lineRule="auto"/>
              <w:ind w:leftChars="-21" w:left="1" w:hangingChars="30" w:hanging="51"/>
              <w:rPr>
                <w:rFonts w:eastAsia="Arial Unicode MS"/>
                <w:sz w:val="17"/>
                <w:szCs w:val="17"/>
              </w:rPr>
            </w:pPr>
            <w:r w:rsidRPr="00604C75">
              <w:rPr>
                <w:sz w:val="17"/>
                <w:szCs w:val="17"/>
              </w:rPr>
              <w:t xml:space="preserve">Addition </w:t>
            </w:r>
            <w:r>
              <w:rPr>
                <w:sz w:val="17"/>
                <w:szCs w:val="17"/>
              </w:rPr>
              <w:t>G</w:t>
            </w:r>
            <w:r w:rsidRPr="00604C75">
              <w:rPr>
                <w:sz w:val="17"/>
                <w:szCs w:val="17"/>
              </w:rPr>
              <w:t>oodwill</w:t>
            </w:r>
          </w:p>
        </w:tc>
        <w:tc>
          <w:tcPr>
            <w:tcW w:w="1982" w:type="dxa"/>
            <w:shd w:val="clear" w:color="auto" w:fill="FFFFFF"/>
            <w:vAlign w:val="bottom"/>
          </w:tcPr>
          <w:p w14:paraId="7C05AC84" w14:textId="1BF6DDDE"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00B850BF" w14:textId="690F5D96"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470836C6" w14:textId="77777777" w:rsidTr="00AD726D">
        <w:trPr>
          <w:trHeight w:val="113"/>
        </w:trPr>
        <w:tc>
          <w:tcPr>
            <w:tcW w:w="5516" w:type="dxa"/>
            <w:shd w:val="clear" w:color="auto" w:fill="auto"/>
            <w:tcMar>
              <w:top w:w="0" w:type="dxa"/>
              <w:left w:w="360" w:type="dxa"/>
              <w:bottom w:w="0" w:type="dxa"/>
              <w:right w:w="0" w:type="dxa"/>
            </w:tcMar>
            <w:vAlign w:val="bottom"/>
          </w:tcPr>
          <w:p w14:paraId="70E3F5C8" w14:textId="092306B1"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26" w:lineRule="auto"/>
              <w:ind w:leftChars="-161" w:left="2" w:hangingChars="228" w:hanging="388"/>
              <w:rPr>
                <w:rFonts w:eastAsia="Times New Roman"/>
                <w:sz w:val="17"/>
                <w:szCs w:val="17"/>
              </w:rPr>
            </w:pPr>
            <w:r w:rsidRPr="00604C75">
              <w:rPr>
                <w:rFonts w:eastAsia="Times New Roman"/>
                <w:sz w:val="17"/>
                <w:szCs w:val="17"/>
              </w:rPr>
              <w:t xml:space="preserve">        Assets and </w:t>
            </w:r>
            <w:r>
              <w:rPr>
                <w:rFonts w:eastAsia="Times New Roman"/>
                <w:sz w:val="17"/>
                <w:szCs w:val="17"/>
              </w:rPr>
              <w:t>L</w:t>
            </w:r>
            <w:r w:rsidRPr="00604C75">
              <w:rPr>
                <w:rFonts w:eastAsia="Times New Roman"/>
                <w:sz w:val="17"/>
                <w:szCs w:val="17"/>
              </w:rPr>
              <w:t xml:space="preserve">iabilities </w:t>
            </w:r>
            <w:r>
              <w:rPr>
                <w:rFonts w:eastAsia="Times New Roman"/>
                <w:sz w:val="17"/>
                <w:szCs w:val="17"/>
              </w:rPr>
              <w:t>A</w:t>
            </w:r>
            <w:r w:rsidRPr="00604C75">
              <w:rPr>
                <w:rFonts w:eastAsia="Times New Roman"/>
                <w:sz w:val="17"/>
                <w:szCs w:val="17"/>
              </w:rPr>
              <w:t xml:space="preserve">rising from </w:t>
            </w:r>
            <w:r>
              <w:rPr>
                <w:rFonts w:eastAsia="Times New Roman"/>
                <w:sz w:val="17"/>
                <w:szCs w:val="17"/>
              </w:rPr>
              <w:t>C</w:t>
            </w:r>
            <w:r w:rsidRPr="00604C75">
              <w:rPr>
                <w:rFonts w:eastAsia="Times New Roman"/>
                <w:sz w:val="17"/>
                <w:szCs w:val="17"/>
              </w:rPr>
              <w:t xml:space="preserve">hanges in </w:t>
            </w:r>
            <w:r>
              <w:rPr>
                <w:rFonts w:eastAsia="Times New Roman"/>
                <w:sz w:val="17"/>
                <w:szCs w:val="17"/>
              </w:rPr>
              <w:t>V</w:t>
            </w:r>
            <w:r w:rsidRPr="00604C75">
              <w:rPr>
                <w:rFonts w:eastAsia="Times New Roman"/>
                <w:sz w:val="17"/>
                <w:szCs w:val="17"/>
              </w:rPr>
              <w:t xml:space="preserve">alue of </w:t>
            </w:r>
            <w:r>
              <w:rPr>
                <w:rFonts w:eastAsia="Times New Roman"/>
                <w:sz w:val="17"/>
                <w:szCs w:val="17"/>
              </w:rPr>
              <w:t>C</w:t>
            </w:r>
            <w:r w:rsidRPr="00604C75">
              <w:rPr>
                <w:rFonts w:eastAsia="Times New Roman"/>
                <w:sz w:val="17"/>
                <w:szCs w:val="17"/>
              </w:rPr>
              <w:t>orrection</w:t>
            </w:r>
          </w:p>
        </w:tc>
        <w:tc>
          <w:tcPr>
            <w:tcW w:w="1982" w:type="dxa"/>
            <w:shd w:val="clear" w:color="auto" w:fill="FFFFFF"/>
            <w:vAlign w:val="bottom"/>
          </w:tcPr>
          <w:p w14:paraId="7458E7CC" w14:textId="6DEF0E3D"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11C17DEA" w14:textId="773BC4EE"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2BB6A6B0" w14:textId="77777777" w:rsidTr="00AD726D">
        <w:trPr>
          <w:trHeight w:val="113"/>
        </w:trPr>
        <w:tc>
          <w:tcPr>
            <w:tcW w:w="5516" w:type="dxa"/>
            <w:shd w:val="clear" w:color="auto" w:fill="auto"/>
            <w:tcMar>
              <w:top w:w="0" w:type="dxa"/>
              <w:left w:w="360" w:type="dxa"/>
              <w:bottom w:w="0" w:type="dxa"/>
              <w:right w:w="0" w:type="dxa"/>
            </w:tcMar>
            <w:vAlign w:val="bottom"/>
          </w:tcPr>
          <w:p w14:paraId="212A2FAF" w14:textId="7278A56A"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26" w:lineRule="auto"/>
              <w:ind w:hanging="38"/>
              <w:rPr>
                <w:rFonts w:eastAsia="Times New Roman"/>
                <w:sz w:val="17"/>
                <w:szCs w:val="17"/>
              </w:rPr>
            </w:pPr>
            <w:r w:rsidRPr="00604C75">
              <w:rPr>
                <w:rFonts w:eastAsia="Times New Roman"/>
                <w:sz w:val="17"/>
                <w:szCs w:val="17"/>
              </w:rPr>
              <w:t xml:space="preserve">During the </w:t>
            </w:r>
            <w:r>
              <w:rPr>
                <w:rFonts w:eastAsia="Times New Roman"/>
                <w:sz w:val="17"/>
                <w:szCs w:val="17"/>
              </w:rPr>
              <w:t>P</w:t>
            </w:r>
            <w:r w:rsidRPr="00604C75">
              <w:rPr>
                <w:rFonts w:eastAsia="Times New Roman"/>
                <w:sz w:val="17"/>
                <w:szCs w:val="17"/>
              </w:rPr>
              <w:t xml:space="preserve">eriod </w:t>
            </w:r>
            <w:r>
              <w:rPr>
                <w:rFonts w:eastAsia="Times New Roman"/>
                <w:sz w:val="17"/>
                <w:szCs w:val="17"/>
              </w:rPr>
              <w:t>D</w:t>
            </w:r>
            <w:r w:rsidRPr="00604C75">
              <w:rPr>
                <w:rFonts w:eastAsia="Times New Roman"/>
                <w:sz w:val="17"/>
                <w:szCs w:val="17"/>
              </w:rPr>
              <w:t xml:space="preserve">iscontinue an </w:t>
            </w:r>
            <w:r>
              <w:rPr>
                <w:rFonts w:eastAsia="Times New Roman"/>
                <w:sz w:val="17"/>
                <w:szCs w:val="17"/>
              </w:rPr>
              <w:t>O</w:t>
            </w:r>
            <w:r w:rsidRPr="00604C75">
              <w:rPr>
                <w:rFonts w:eastAsia="Times New Roman"/>
                <w:sz w:val="17"/>
                <w:szCs w:val="17"/>
              </w:rPr>
              <w:t xml:space="preserve">peration and </w:t>
            </w:r>
            <w:r>
              <w:rPr>
                <w:rFonts w:eastAsia="Times New Roman"/>
                <w:sz w:val="17"/>
                <w:szCs w:val="17"/>
              </w:rPr>
              <w:t>G</w:t>
            </w:r>
            <w:r w:rsidRPr="00604C75">
              <w:rPr>
                <w:rFonts w:eastAsia="Times New Roman"/>
                <w:sz w:val="17"/>
                <w:szCs w:val="17"/>
              </w:rPr>
              <w:t xml:space="preserve">oodwill </w:t>
            </w:r>
            <w:r>
              <w:rPr>
                <w:rFonts w:eastAsia="Times New Roman"/>
                <w:sz w:val="17"/>
                <w:szCs w:val="17"/>
              </w:rPr>
              <w:t>P</w:t>
            </w:r>
            <w:r w:rsidRPr="00604C75">
              <w:rPr>
                <w:rFonts w:eastAsia="Times New Roman"/>
                <w:sz w:val="17"/>
                <w:szCs w:val="17"/>
              </w:rPr>
              <w:t xml:space="preserve">artially or </w:t>
            </w:r>
            <w:r>
              <w:rPr>
                <w:rFonts w:eastAsia="Times New Roman"/>
                <w:sz w:val="17"/>
                <w:szCs w:val="17"/>
              </w:rPr>
              <w:t>C</w:t>
            </w:r>
            <w:r w:rsidRPr="00604C75">
              <w:rPr>
                <w:rFonts w:eastAsia="Times New Roman"/>
                <w:sz w:val="17"/>
                <w:szCs w:val="17"/>
              </w:rPr>
              <w:t xml:space="preserve">ompletely </w:t>
            </w:r>
            <w:r>
              <w:rPr>
                <w:rFonts w:eastAsia="Times New Roman"/>
                <w:sz w:val="17"/>
                <w:szCs w:val="17"/>
              </w:rPr>
              <w:t>R</w:t>
            </w:r>
            <w:r w:rsidRPr="00604C75">
              <w:rPr>
                <w:rFonts w:eastAsia="Times New Roman"/>
                <w:sz w:val="17"/>
                <w:szCs w:val="17"/>
              </w:rPr>
              <w:t xml:space="preserve">emoved from an </w:t>
            </w:r>
            <w:r>
              <w:rPr>
                <w:rFonts w:eastAsia="Times New Roman"/>
                <w:sz w:val="17"/>
                <w:szCs w:val="17"/>
              </w:rPr>
              <w:t>A</w:t>
            </w:r>
            <w:r w:rsidRPr="00604C75">
              <w:rPr>
                <w:rFonts w:eastAsia="Times New Roman"/>
                <w:sz w:val="17"/>
                <w:szCs w:val="17"/>
              </w:rPr>
              <w:t>sset (-)</w:t>
            </w:r>
          </w:p>
        </w:tc>
        <w:tc>
          <w:tcPr>
            <w:tcW w:w="1982" w:type="dxa"/>
            <w:shd w:val="clear" w:color="auto" w:fill="FFFFFF"/>
            <w:vAlign w:val="bottom"/>
          </w:tcPr>
          <w:p w14:paraId="6A7419AC" w14:textId="2FDEC3DA"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0309D82B" w14:textId="43874A36"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601C4AC5" w14:textId="77777777" w:rsidTr="00AD726D">
        <w:trPr>
          <w:trHeight w:val="113"/>
        </w:trPr>
        <w:tc>
          <w:tcPr>
            <w:tcW w:w="5516" w:type="dxa"/>
            <w:shd w:val="clear" w:color="auto" w:fill="FFFFFF"/>
            <w:noWrap/>
            <w:tcMar>
              <w:top w:w="0" w:type="dxa"/>
              <w:left w:w="360" w:type="dxa"/>
              <w:bottom w:w="0" w:type="dxa"/>
              <w:right w:w="0" w:type="dxa"/>
            </w:tcMar>
            <w:vAlign w:val="bottom"/>
          </w:tcPr>
          <w:p w14:paraId="19258935" w14:textId="77777777" w:rsidR="00224102" w:rsidRPr="00604C75" w:rsidRDefault="00224102" w:rsidP="00224102">
            <w:pPr>
              <w:tabs>
                <w:tab w:val="left" w:pos="0"/>
              </w:tabs>
              <w:spacing w:line="226" w:lineRule="auto"/>
              <w:ind w:leftChars="-21" w:left="1" w:hangingChars="30" w:hanging="51"/>
              <w:rPr>
                <w:rFonts w:eastAsia="Arial Unicode MS"/>
                <w:sz w:val="17"/>
                <w:szCs w:val="17"/>
              </w:rPr>
            </w:pPr>
            <w:r w:rsidRPr="00604C75">
              <w:rPr>
                <w:sz w:val="17"/>
                <w:szCs w:val="17"/>
              </w:rPr>
              <w:t>Depreciation (-)</w:t>
            </w:r>
          </w:p>
        </w:tc>
        <w:tc>
          <w:tcPr>
            <w:tcW w:w="1982" w:type="dxa"/>
            <w:shd w:val="clear" w:color="auto" w:fill="FFFFFF"/>
            <w:vAlign w:val="bottom"/>
          </w:tcPr>
          <w:p w14:paraId="500D6383" w14:textId="2A526191"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2CAF6757" w14:textId="7FFCD446"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6D76FEAF" w14:textId="77777777" w:rsidTr="00AD726D">
        <w:trPr>
          <w:trHeight w:val="113"/>
        </w:trPr>
        <w:tc>
          <w:tcPr>
            <w:tcW w:w="5516" w:type="dxa"/>
            <w:shd w:val="clear" w:color="auto" w:fill="FFFFFF"/>
            <w:noWrap/>
            <w:tcMar>
              <w:top w:w="0" w:type="dxa"/>
              <w:left w:w="360" w:type="dxa"/>
              <w:bottom w:w="0" w:type="dxa"/>
              <w:right w:w="0" w:type="dxa"/>
            </w:tcMar>
            <w:vAlign w:val="bottom"/>
          </w:tcPr>
          <w:p w14:paraId="386D636C" w14:textId="196ED3F0" w:rsidR="00224102" w:rsidRPr="00604C75" w:rsidRDefault="00224102" w:rsidP="00224102">
            <w:pPr>
              <w:tabs>
                <w:tab w:val="left" w:pos="0"/>
              </w:tabs>
              <w:spacing w:line="226" w:lineRule="auto"/>
              <w:ind w:leftChars="-21" w:left="1" w:hangingChars="30" w:hanging="51"/>
              <w:rPr>
                <w:rFonts w:eastAsia="Arial Unicode MS"/>
                <w:sz w:val="17"/>
                <w:szCs w:val="17"/>
              </w:rPr>
            </w:pPr>
            <w:r>
              <w:rPr>
                <w:sz w:val="17"/>
                <w:szCs w:val="17"/>
              </w:rPr>
              <w:t>I</w:t>
            </w:r>
            <w:r w:rsidRPr="00604C75">
              <w:rPr>
                <w:sz w:val="17"/>
                <w:szCs w:val="17"/>
              </w:rPr>
              <w:t xml:space="preserve">mpairment </w:t>
            </w:r>
            <w:r>
              <w:rPr>
                <w:sz w:val="17"/>
                <w:szCs w:val="17"/>
              </w:rPr>
              <w:t>P</w:t>
            </w:r>
            <w:r w:rsidRPr="00604C75">
              <w:rPr>
                <w:sz w:val="17"/>
                <w:szCs w:val="17"/>
              </w:rPr>
              <w:t>rovision (-)</w:t>
            </w:r>
          </w:p>
        </w:tc>
        <w:tc>
          <w:tcPr>
            <w:tcW w:w="1982" w:type="dxa"/>
            <w:shd w:val="clear" w:color="auto" w:fill="FFFFFF"/>
            <w:vAlign w:val="bottom"/>
          </w:tcPr>
          <w:p w14:paraId="578C09BD" w14:textId="40BADB9A"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325E79E4" w14:textId="78019A3B"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1A28B7EB" w14:textId="77777777" w:rsidTr="00AD726D">
        <w:trPr>
          <w:trHeight w:val="113"/>
        </w:trPr>
        <w:tc>
          <w:tcPr>
            <w:tcW w:w="5516" w:type="dxa"/>
            <w:shd w:val="clear" w:color="auto" w:fill="FFFFFF"/>
            <w:noWrap/>
            <w:tcMar>
              <w:top w:w="0" w:type="dxa"/>
              <w:left w:w="360" w:type="dxa"/>
              <w:bottom w:w="0" w:type="dxa"/>
              <w:right w:w="0" w:type="dxa"/>
            </w:tcMar>
            <w:vAlign w:val="bottom"/>
          </w:tcPr>
          <w:p w14:paraId="09157E22" w14:textId="6DC9222F" w:rsidR="00224102" w:rsidRPr="00604C75" w:rsidRDefault="00224102" w:rsidP="00224102">
            <w:pPr>
              <w:tabs>
                <w:tab w:val="left" w:pos="0"/>
              </w:tabs>
              <w:spacing w:line="226" w:lineRule="auto"/>
              <w:ind w:leftChars="-21" w:left="1" w:hangingChars="30" w:hanging="51"/>
              <w:rPr>
                <w:rFonts w:eastAsia="Arial Unicode MS"/>
                <w:sz w:val="17"/>
                <w:szCs w:val="17"/>
              </w:rPr>
            </w:pPr>
            <w:r w:rsidRPr="00604C75">
              <w:rPr>
                <w:sz w:val="17"/>
                <w:szCs w:val="17"/>
              </w:rPr>
              <w:t xml:space="preserve">Reversal of </w:t>
            </w:r>
            <w:r>
              <w:rPr>
                <w:sz w:val="17"/>
                <w:szCs w:val="17"/>
              </w:rPr>
              <w:t>I</w:t>
            </w:r>
            <w:r w:rsidRPr="00604C75">
              <w:rPr>
                <w:sz w:val="17"/>
                <w:szCs w:val="17"/>
              </w:rPr>
              <w:t xml:space="preserve">mpairment </w:t>
            </w:r>
            <w:r>
              <w:rPr>
                <w:sz w:val="17"/>
                <w:szCs w:val="17"/>
              </w:rPr>
              <w:t>P</w:t>
            </w:r>
            <w:r w:rsidRPr="00604C75">
              <w:rPr>
                <w:sz w:val="17"/>
                <w:szCs w:val="17"/>
              </w:rPr>
              <w:t>rovision (-)</w:t>
            </w:r>
          </w:p>
        </w:tc>
        <w:tc>
          <w:tcPr>
            <w:tcW w:w="1982" w:type="dxa"/>
            <w:shd w:val="clear" w:color="auto" w:fill="FFFFFF"/>
            <w:vAlign w:val="bottom"/>
          </w:tcPr>
          <w:p w14:paraId="189489E3" w14:textId="7DA4A760"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157A9166" w14:textId="52A5EE41"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055DF595" w14:textId="77777777" w:rsidTr="00AD726D">
        <w:trPr>
          <w:trHeight w:val="113"/>
        </w:trPr>
        <w:tc>
          <w:tcPr>
            <w:tcW w:w="5516" w:type="dxa"/>
            <w:shd w:val="clear" w:color="auto" w:fill="FFFFFF"/>
            <w:noWrap/>
            <w:tcMar>
              <w:top w:w="0" w:type="dxa"/>
              <w:left w:w="360" w:type="dxa"/>
              <w:bottom w:w="0" w:type="dxa"/>
              <w:right w:w="0" w:type="dxa"/>
            </w:tcMar>
            <w:vAlign w:val="bottom"/>
          </w:tcPr>
          <w:p w14:paraId="27247F40" w14:textId="2988C530" w:rsidR="00224102" w:rsidRPr="00604C75" w:rsidRDefault="00224102" w:rsidP="00224102">
            <w:pPr>
              <w:tabs>
                <w:tab w:val="left" w:pos="0"/>
              </w:tabs>
              <w:spacing w:line="226" w:lineRule="auto"/>
              <w:ind w:leftChars="-21" w:left="1" w:hangingChars="30" w:hanging="51"/>
              <w:rPr>
                <w:rFonts w:eastAsia="Arial Unicode MS"/>
                <w:sz w:val="17"/>
                <w:szCs w:val="17"/>
                <w:lang w:val="de-DE"/>
              </w:rPr>
            </w:pPr>
            <w:r w:rsidRPr="00604C75">
              <w:rPr>
                <w:sz w:val="17"/>
                <w:szCs w:val="17"/>
                <w:lang w:val="de-DE"/>
              </w:rPr>
              <w:t xml:space="preserve">Book </w:t>
            </w:r>
            <w:r>
              <w:rPr>
                <w:sz w:val="17"/>
                <w:szCs w:val="17"/>
                <w:lang w:val="de-DE"/>
              </w:rPr>
              <w:t>V</w:t>
            </w:r>
            <w:r w:rsidRPr="00604C75">
              <w:rPr>
                <w:sz w:val="17"/>
                <w:szCs w:val="17"/>
                <w:lang w:val="de-DE"/>
              </w:rPr>
              <w:t xml:space="preserve">alue </w:t>
            </w:r>
            <w:r>
              <w:rPr>
                <w:sz w:val="17"/>
                <w:szCs w:val="17"/>
                <w:lang w:val="de-DE"/>
              </w:rPr>
              <w:t>O</w:t>
            </w:r>
            <w:r w:rsidRPr="00604C75">
              <w:rPr>
                <w:sz w:val="17"/>
                <w:szCs w:val="17"/>
                <w:lang w:val="de-DE"/>
              </w:rPr>
              <w:t xml:space="preserve">ccuring </w:t>
            </w:r>
            <w:r>
              <w:rPr>
                <w:sz w:val="17"/>
                <w:szCs w:val="17"/>
                <w:lang w:val="de-DE"/>
              </w:rPr>
              <w:t>O</w:t>
            </w:r>
            <w:r w:rsidRPr="00604C75">
              <w:rPr>
                <w:sz w:val="17"/>
                <w:szCs w:val="17"/>
                <w:lang w:val="de-DE"/>
              </w:rPr>
              <w:t xml:space="preserve">ther </w:t>
            </w:r>
            <w:r>
              <w:rPr>
                <w:sz w:val="17"/>
                <w:szCs w:val="17"/>
                <w:lang w:val="de-DE"/>
              </w:rPr>
              <w:t>C</w:t>
            </w:r>
            <w:r w:rsidRPr="00604C75">
              <w:rPr>
                <w:sz w:val="17"/>
                <w:szCs w:val="17"/>
                <w:lang w:val="de-DE"/>
              </w:rPr>
              <w:t>hanges</w:t>
            </w:r>
          </w:p>
        </w:tc>
        <w:tc>
          <w:tcPr>
            <w:tcW w:w="1982" w:type="dxa"/>
            <w:shd w:val="clear" w:color="auto" w:fill="FFFFFF"/>
            <w:vAlign w:val="bottom"/>
          </w:tcPr>
          <w:p w14:paraId="3E327BAA" w14:textId="44CC0087"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31BEF230" w14:textId="7E17E220"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5E9C87A3" w14:textId="77777777" w:rsidTr="00AD726D">
        <w:trPr>
          <w:trHeight w:val="113"/>
        </w:trPr>
        <w:tc>
          <w:tcPr>
            <w:tcW w:w="5516" w:type="dxa"/>
            <w:shd w:val="clear" w:color="auto" w:fill="FFFFFF"/>
            <w:noWrap/>
            <w:vAlign w:val="bottom"/>
          </w:tcPr>
          <w:p w14:paraId="00A2F5F4" w14:textId="32F5388C" w:rsidR="00224102" w:rsidRPr="00604C75" w:rsidRDefault="00224102" w:rsidP="00224102">
            <w:pPr>
              <w:tabs>
                <w:tab w:val="left" w:pos="0"/>
              </w:tabs>
              <w:spacing w:line="226" w:lineRule="auto"/>
              <w:rPr>
                <w:rFonts w:eastAsia="Arial Unicode MS"/>
                <w:sz w:val="17"/>
                <w:szCs w:val="17"/>
              </w:rPr>
            </w:pPr>
            <w:r w:rsidRPr="00604C75">
              <w:rPr>
                <w:sz w:val="16"/>
                <w:szCs w:val="16"/>
              </w:rPr>
              <w:t xml:space="preserve">Gross </w:t>
            </w:r>
            <w:r>
              <w:rPr>
                <w:sz w:val="16"/>
                <w:szCs w:val="16"/>
              </w:rPr>
              <w:t>V</w:t>
            </w:r>
            <w:r w:rsidRPr="00604C75">
              <w:rPr>
                <w:sz w:val="16"/>
                <w:szCs w:val="16"/>
              </w:rPr>
              <w:t xml:space="preserve">alue at the </w:t>
            </w:r>
            <w:r>
              <w:rPr>
                <w:sz w:val="16"/>
                <w:szCs w:val="16"/>
              </w:rPr>
              <w:t>E</w:t>
            </w:r>
            <w:r w:rsidRPr="00604C75">
              <w:rPr>
                <w:sz w:val="16"/>
                <w:szCs w:val="16"/>
              </w:rPr>
              <w:t xml:space="preserve">nd of the </w:t>
            </w:r>
            <w:r>
              <w:rPr>
                <w:sz w:val="16"/>
                <w:szCs w:val="16"/>
              </w:rPr>
              <w:t>P</w:t>
            </w:r>
            <w:r w:rsidRPr="00604C75">
              <w:rPr>
                <w:sz w:val="16"/>
                <w:szCs w:val="16"/>
              </w:rPr>
              <w:t>eriod</w:t>
            </w:r>
            <w:r w:rsidRPr="00604C75">
              <w:rPr>
                <w:sz w:val="17"/>
                <w:szCs w:val="17"/>
              </w:rPr>
              <w:t xml:space="preserve"> </w:t>
            </w:r>
          </w:p>
        </w:tc>
        <w:tc>
          <w:tcPr>
            <w:tcW w:w="1982" w:type="dxa"/>
            <w:shd w:val="clear" w:color="auto" w:fill="FFFFFF"/>
            <w:vAlign w:val="bottom"/>
          </w:tcPr>
          <w:p w14:paraId="06C23430" w14:textId="54DE6DA8"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49,647</w:t>
            </w:r>
          </w:p>
        </w:tc>
        <w:tc>
          <w:tcPr>
            <w:tcW w:w="1867" w:type="dxa"/>
            <w:shd w:val="clear" w:color="auto" w:fill="FFFFFF"/>
            <w:noWrap/>
            <w:vAlign w:val="bottom"/>
          </w:tcPr>
          <w:p w14:paraId="6358BECC" w14:textId="4A12F345"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49,647</w:t>
            </w:r>
          </w:p>
        </w:tc>
      </w:tr>
      <w:tr w:rsidR="00224102" w:rsidRPr="00604C75" w14:paraId="104FD083" w14:textId="77777777" w:rsidTr="00AD726D">
        <w:trPr>
          <w:trHeight w:val="113"/>
        </w:trPr>
        <w:tc>
          <w:tcPr>
            <w:tcW w:w="5516" w:type="dxa"/>
            <w:shd w:val="clear" w:color="auto" w:fill="FFFFFF"/>
            <w:noWrap/>
            <w:tcMar>
              <w:top w:w="0" w:type="dxa"/>
              <w:left w:w="360" w:type="dxa"/>
              <w:bottom w:w="0" w:type="dxa"/>
              <w:right w:w="0" w:type="dxa"/>
            </w:tcMar>
            <w:vAlign w:val="bottom"/>
          </w:tcPr>
          <w:p w14:paraId="360C738C" w14:textId="0487268F" w:rsidR="00224102" w:rsidRPr="00604C75" w:rsidRDefault="00224102" w:rsidP="00224102">
            <w:pPr>
              <w:tabs>
                <w:tab w:val="left" w:pos="0"/>
              </w:tabs>
              <w:spacing w:line="226" w:lineRule="auto"/>
              <w:ind w:leftChars="-15" w:left="1" w:hangingChars="22" w:hanging="37"/>
              <w:rPr>
                <w:rFonts w:eastAsia="Arial Unicode MS"/>
                <w:sz w:val="17"/>
                <w:szCs w:val="17"/>
              </w:rPr>
            </w:pPr>
            <w:r w:rsidRPr="00604C75">
              <w:rPr>
                <w:sz w:val="17"/>
                <w:szCs w:val="17"/>
              </w:rPr>
              <w:t xml:space="preserve">Accumulated </w:t>
            </w:r>
            <w:r>
              <w:rPr>
                <w:sz w:val="17"/>
                <w:szCs w:val="17"/>
              </w:rPr>
              <w:t>D</w:t>
            </w:r>
            <w:r w:rsidRPr="00604C75">
              <w:rPr>
                <w:sz w:val="17"/>
                <w:szCs w:val="17"/>
              </w:rPr>
              <w:t>epreciation (-)</w:t>
            </w:r>
          </w:p>
        </w:tc>
        <w:tc>
          <w:tcPr>
            <w:tcW w:w="1982" w:type="dxa"/>
            <w:shd w:val="clear" w:color="auto" w:fill="FFFFFF"/>
            <w:vAlign w:val="bottom"/>
          </w:tcPr>
          <w:p w14:paraId="16B99AF4" w14:textId="552C6629"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697A34FE" w14:textId="076871E2"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6BA42B2E" w14:textId="77777777" w:rsidTr="00AD726D">
        <w:trPr>
          <w:trHeight w:val="113"/>
        </w:trPr>
        <w:tc>
          <w:tcPr>
            <w:tcW w:w="5516" w:type="dxa"/>
            <w:shd w:val="clear" w:color="auto" w:fill="FFFFFF"/>
            <w:noWrap/>
            <w:tcMar>
              <w:top w:w="0" w:type="dxa"/>
              <w:left w:w="360" w:type="dxa"/>
              <w:bottom w:w="0" w:type="dxa"/>
              <w:right w:w="0" w:type="dxa"/>
            </w:tcMar>
            <w:vAlign w:val="bottom"/>
          </w:tcPr>
          <w:p w14:paraId="60FEFC11" w14:textId="4FDEEB4E" w:rsidR="00224102" w:rsidRPr="00604C75" w:rsidRDefault="00224102" w:rsidP="00224102">
            <w:pPr>
              <w:tabs>
                <w:tab w:val="left" w:pos="0"/>
              </w:tabs>
              <w:spacing w:line="226" w:lineRule="auto"/>
              <w:ind w:leftChars="-15" w:left="1" w:hangingChars="22" w:hanging="37"/>
              <w:rPr>
                <w:rFonts w:eastAsia="Arial Unicode MS"/>
                <w:sz w:val="17"/>
                <w:szCs w:val="17"/>
              </w:rPr>
            </w:pPr>
            <w:r>
              <w:rPr>
                <w:sz w:val="17"/>
                <w:szCs w:val="17"/>
              </w:rPr>
              <w:t>I</w:t>
            </w:r>
            <w:r w:rsidRPr="00604C75">
              <w:rPr>
                <w:sz w:val="17"/>
                <w:szCs w:val="17"/>
              </w:rPr>
              <w:t xml:space="preserve">mpairment </w:t>
            </w:r>
            <w:r>
              <w:rPr>
                <w:sz w:val="17"/>
                <w:szCs w:val="17"/>
              </w:rPr>
              <w:t>P</w:t>
            </w:r>
            <w:r w:rsidRPr="00604C75">
              <w:rPr>
                <w:sz w:val="17"/>
                <w:szCs w:val="17"/>
              </w:rPr>
              <w:t>rovision (-)</w:t>
            </w:r>
          </w:p>
        </w:tc>
        <w:tc>
          <w:tcPr>
            <w:tcW w:w="1982" w:type="dxa"/>
            <w:shd w:val="clear" w:color="auto" w:fill="FFFFFF"/>
            <w:vAlign w:val="bottom"/>
          </w:tcPr>
          <w:p w14:paraId="31190725" w14:textId="1E357A22"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c>
          <w:tcPr>
            <w:tcW w:w="1867" w:type="dxa"/>
            <w:shd w:val="clear" w:color="auto" w:fill="FFFFFF"/>
            <w:noWrap/>
            <w:vAlign w:val="bottom"/>
          </w:tcPr>
          <w:p w14:paraId="2833F0A8" w14:textId="4ED6D40C" w:rsidR="00224102" w:rsidRPr="00604C75" w:rsidRDefault="00224102" w:rsidP="00224102">
            <w:pPr>
              <w:tabs>
                <w:tab w:val="left" w:pos="0"/>
              </w:tabs>
              <w:spacing w:line="226" w:lineRule="auto"/>
              <w:ind w:right="59"/>
              <w:jc w:val="right"/>
              <w:rPr>
                <w:color w:val="000000"/>
                <w:sz w:val="17"/>
                <w:szCs w:val="17"/>
              </w:rPr>
            </w:pPr>
            <w:r w:rsidRPr="00692926">
              <w:rPr>
                <w:sz w:val="17"/>
                <w:szCs w:val="17"/>
              </w:rPr>
              <w:t>-</w:t>
            </w:r>
          </w:p>
        </w:tc>
      </w:tr>
      <w:tr w:rsidR="00224102" w:rsidRPr="00604C75" w14:paraId="196269FA" w14:textId="77777777" w:rsidTr="00AD726D">
        <w:trPr>
          <w:trHeight w:val="113"/>
        </w:trPr>
        <w:tc>
          <w:tcPr>
            <w:tcW w:w="5516" w:type="dxa"/>
            <w:shd w:val="clear" w:color="auto" w:fill="auto"/>
            <w:noWrap/>
            <w:vAlign w:val="bottom"/>
          </w:tcPr>
          <w:p w14:paraId="14196EDD" w14:textId="773C5C63" w:rsidR="00224102" w:rsidRPr="00604C75" w:rsidRDefault="00224102" w:rsidP="00224102">
            <w:pPr>
              <w:tabs>
                <w:tab w:val="left" w:pos="0"/>
              </w:tabs>
              <w:spacing w:line="226" w:lineRule="auto"/>
              <w:rPr>
                <w:rFonts w:eastAsia="Arial Unicode MS"/>
                <w:b/>
                <w:sz w:val="17"/>
                <w:szCs w:val="17"/>
                <w:lang w:val="de-DE"/>
              </w:rPr>
            </w:pPr>
            <w:r w:rsidRPr="00604C75">
              <w:rPr>
                <w:b/>
                <w:sz w:val="17"/>
                <w:szCs w:val="17"/>
                <w:lang w:val="de-DE"/>
              </w:rPr>
              <w:t xml:space="preserve">Net </w:t>
            </w:r>
            <w:r>
              <w:rPr>
                <w:b/>
                <w:sz w:val="17"/>
                <w:szCs w:val="17"/>
                <w:lang w:val="de-DE"/>
              </w:rPr>
              <w:t>B</w:t>
            </w:r>
            <w:r w:rsidRPr="00604C75">
              <w:rPr>
                <w:b/>
                <w:sz w:val="17"/>
                <w:szCs w:val="17"/>
                <w:lang w:val="de-DE"/>
              </w:rPr>
              <w:t xml:space="preserve">ook </w:t>
            </w:r>
            <w:r>
              <w:rPr>
                <w:b/>
                <w:sz w:val="17"/>
                <w:szCs w:val="17"/>
                <w:lang w:val="de-DE"/>
              </w:rPr>
              <w:t>V</w:t>
            </w:r>
            <w:r w:rsidRPr="00604C75">
              <w:rPr>
                <w:b/>
                <w:sz w:val="17"/>
                <w:szCs w:val="17"/>
                <w:lang w:val="de-DE"/>
              </w:rPr>
              <w:t xml:space="preserve">alue at the </w:t>
            </w:r>
            <w:r>
              <w:rPr>
                <w:b/>
                <w:sz w:val="17"/>
                <w:szCs w:val="17"/>
                <w:lang w:val="de-DE"/>
              </w:rPr>
              <w:t>E</w:t>
            </w:r>
            <w:r w:rsidRPr="00604C75">
              <w:rPr>
                <w:b/>
                <w:sz w:val="17"/>
                <w:szCs w:val="17"/>
                <w:lang w:val="de-DE"/>
              </w:rPr>
              <w:t xml:space="preserve">nd of the </w:t>
            </w:r>
            <w:r>
              <w:rPr>
                <w:b/>
                <w:sz w:val="17"/>
                <w:szCs w:val="17"/>
                <w:lang w:val="de-DE"/>
              </w:rPr>
              <w:t>P</w:t>
            </w:r>
            <w:r w:rsidRPr="00604C75">
              <w:rPr>
                <w:b/>
                <w:sz w:val="17"/>
                <w:szCs w:val="17"/>
                <w:lang w:val="de-DE"/>
              </w:rPr>
              <w:t>eriod</w:t>
            </w:r>
          </w:p>
        </w:tc>
        <w:tc>
          <w:tcPr>
            <w:tcW w:w="1982" w:type="dxa"/>
            <w:shd w:val="clear" w:color="auto" w:fill="auto"/>
            <w:vAlign w:val="bottom"/>
          </w:tcPr>
          <w:p w14:paraId="2EBEBE2C" w14:textId="4B12A2FD" w:rsidR="00224102" w:rsidRPr="00604C75" w:rsidRDefault="00224102" w:rsidP="00224102">
            <w:pPr>
              <w:tabs>
                <w:tab w:val="left" w:pos="0"/>
              </w:tabs>
              <w:spacing w:line="226" w:lineRule="auto"/>
              <w:ind w:right="59"/>
              <w:jc w:val="right"/>
              <w:rPr>
                <w:b/>
                <w:bCs/>
                <w:color w:val="000000"/>
                <w:sz w:val="17"/>
                <w:szCs w:val="17"/>
              </w:rPr>
            </w:pPr>
            <w:r w:rsidRPr="00692926">
              <w:rPr>
                <w:b/>
                <w:bCs/>
                <w:sz w:val="17"/>
                <w:szCs w:val="17"/>
              </w:rPr>
              <w:t>49,647</w:t>
            </w:r>
          </w:p>
        </w:tc>
        <w:tc>
          <w:tcPr>
            <w:tcW w:w="1867" w:type="dxa"/>
            <w:shd w:val="clear" w:color="auto" w:fill="auto"/>
            <w:noWrap/>
            <w:vAlign w:val="bottom"/>
          </w:tcPr>
          <w:p w14:paraId="66926610" w14:textId="18E9C7DA" w:rsidR="00224102" w:rsidRPr="00604C75" w:rsidRDefault="00224102" w:rsidP="00224102">
            <w:pPr>
              <w:tabs>
                <w:tab w:val="left" w:pos="0"/>
              </w:tabs>
              <w:spacing w:line="226" w:lineRule="auto"/>
              <w:ind w:right="59"/>
              <w:jc w:val="right"/>
              <w:rPr>
                <w:bCs/>
                <w:color w:val="000000"/>
                <w:sz w:val="17"/>
                <w:szCs w:val="17"/>
              </w:rPr>
            </w:pPr>
            <w:r w:rsidRPr="00692926">
              <w:rPr>
                <w:b/>
                <w:bCs/>
                <w:sz w:val="17"/>
                <w:szCs w:val="17"/>
              </w:rPr>
              <w:t>49,647</w:t>
            </w:r>
          </w:p>
        </w:tc>
      </w:tr>
    </w:tbl>
    <w:p w14:paraId="6F886074" w14:textId="77777777" w:rsidR="009F42B0" w:rsidRPr="00604C75" w:rsidRDefault="009F42B0" w:rsidP="006B5800">
      <w:pPr>
        <w:pStyle w:val="BodyTextIndent"/>
        <w:tabs>
          <w:tab w:val="left" w:pos="0"/>
        </w:tabs>
        <w:spacing w:line="48" w:lineRule="auto"/>
        <w:ind w:left="0"/>
        <w:rPr>
          <w:sz w:val="20"/>
          <w:szCs w:val="20"/>
        </w:rPr>
      </w:pPr>
    </w:p>
    <w:p w14:paraId="5DE92AAA" w14:textId="7BA456F3" w:rsidR="002C09CC" w:rsidRPr="00604C75" w:rsidRDefault="002C09CC" w:rsidP="006B5800">
      <w:pPr>
        <w:tabs>
          <w:tab w:val="left" w:pos="0"/>
          <w:tab w:val="right" w:pos="7088"/>
        </w:tabs>
        <w:spacing w:line="230" w:lineRule="auto"/>
        <w:jc w:val="both"/>
        <w:rPr>
          <w:sz w:val="20"/>
          <w:szCs w:val="20"/>
        </w:rPr>
      </w:pPr>
      <w:r w:rsidRPr="00CD0767">
        <w:rPr>
          <w:sz w:val="20"/>
          <w:szCs w:val="20"/>
        </w:rPr>
        <w:t xml:space="preserve">In accordance with the Share Transfer Agreement signed between </w:t>
      </w:r>
      <w:proofErr w:type="spellStart"/>
      <w:r w:rsidRPr="00CD0767">
        <w:rPr>
          <w:sz w:val="20"/>
          <w:szCs w:val="20"/>
        </w:rPr>
        <w:t>Anadolu</w:t>
      </w:r>
      <w:proofErr w:type="spellEnd"/>
      <w:r w:rsidRPr="00CD0767">
        <w:rPr>
          <w:sz w:val="20"/>
          <w:szCs w:val="20"/>
        </w:rPr>
        <w:t xml:space="preserve"> </w:t>
      </w:r>
      <w:proofErr w:type="spellStart"/>
      <w:r w:rsidRPr="00CD0767">
        <w:rPr>
          <w:sz w:val="20"/>
          <w:szCs w:val="20"/>
        </w:rPr>
        <w:t>Endüstri</w:t>
      </w:r>
      <w:proofErr w:type="spellEnd"/>
      <w:r w:rsidRPr="00CD0767">
        <w:rPr>
          <w:sz w:val="20"/>
          <w:szCs w:val="20"/>
        </w:rPr>
        <w:t xml:space="preserve"> Holding A.Ş</w:t>
      </w:r>
      <w:r w:rsidR="0047391D" w:rsidRPr="00CD0767">
        <w:rPr>
          <w:sz w:val="20"/>
          <w:szCs w:val="20"/>
        </w:rPr>
        <w:t xml:space="preserve"> (AEH)</w:t>
      </w:r>
      <w:r w:rsidRPr="00CD0767">
        <w:rPr>
          <w:sz w:val="20"/>
          <w:szCs w:val="20"/>
        </w:rPr>
        <w:t xml:space="preserve"> and </w:t>
      </w:r>
      <w:proofErr w:type="spellStart"/>
      <w:r w:rsidRPr="00CD0767">
        <w:rPr>
          <w:sz w:val="20"/>
          <w:szCs w:val="20"/>
        </w:rPr>
        <w:t>Alternatifbank</w:t>
      </w:r>
      <w:proofErr w:type="spellEnd"/>
      <w:r w:rsidRPr="00CD0767">
        <w:rPr>
          <w:sz w:val="20"/>
          <w:szCs w:val="20"/>
        </w:rPr>
        <w:t xml:space="preserve"> A.Ş. and the Banking Regulation and Supervision Agency’s authorization numbered 5558 dated 24 October 2013, </w:t>
      </w:r>
      <w:proofErr w:type="spellStart"/>
      <w:r w:rsidRPr="00CD0767">
        <w:rPr>
          <w:sz w:val="20"/>
          <w:szCs w:val="20"/>
        </w:rPr>
        <w:t>Alternatifbank</w:t>
      </w:r>
      <w:proofErr w:type="spellEnd"/>
      <w:r w:rsidRPr="00CD0767">
        <w:rPr>
          <w:sz w:val="20"/>
          <w:szCs w:val="20"/>
        </w:rPr>
        <w:t xml:space="preserve"> A.Ş. purchased 2</w:t>
      </w:r>
      <w:r w:rsidR="003D0859" w:rsidRPr="00CD0767">
        <w:rPr>
          <w:sz w:val="20"/>
          <w:szCs w:val="20"/>
        </w:rPr>
        <w:t>,</w:t>
      </w:r>
      <w:r w:rsidRPr="00CD0767">
        <w:rPr>
          <w:sz w:val="20"/>
          <w:szCs w:val="20"/>
        </w:rPr>
        <w:t>727</w:t>
      </w:r>
      <w:r w:rsidR="003D0859" w:rsidRPr="00CD0767">
        <w:rPr>
          <w:sz w:val="20"/>
          <w:szCs w:val="20"/>
        </w:rPr>
        <w:t>,</w:t>
      </w:r>
      <w:r w:rsidRPr="00CD0767">
        <w:rPr>
          <w:sz w:val="20"/>
          <w:szCs w:val="20"/>
        </w:rPr>
        <w:t>259</w:t>
      </w:r>
      <w:r w:rsidR="003D0859" w:rsidRPr="00CD0767">
        <w:rPr>
          <w:sz w:val="20"/>
          <w:szCs w:val="20"/>
        </w:rPr>
        <w:t>,</w:t>
      </w:r>
      <w:r w:rsidRPr="00CD0767">
        <w:rPr>
          <w:sz w:val="20"/>
          <w:szCs w:val="20"/>
        </w:rPr>
        <w:t xml:space="preserve">500 shares </w:t>
      </w:r>
      <w:r w:rsidR="0047391D" w:rsidRPr="00CD0767">
        <w:rPr>
          <w:sz w:val="20"/>
          <w:szCs w:val="20"/>
        </w:rPr>
        <w:t xml:space="preserve">which is </w:t>
      </w:r>
      <w:r w:rsidRPr="00CD0767">
        <w:rPr>
          <w:sz w:val="20"/>
          <w:szCs w:val="20"/>
        </w:rPr>
        <w:t>95</w:t>
      </w:r>
      <w:r w:rsidR="003D0859" w:rsidRPr="00CD0767">
        <w:rPr>
          <w:sz w:val="20"/>
          <w:szCs w:val="20"/>
        </w:rPr>
        <w:t>.</w:t>
      </w:r>
      <w:r w:rsidRPr="00CD0767">
        <w:rPr>
          <w:sz w:val="20"/>
          <w:szCs w:val="20"/>
        </w:rPr>
        <w:t>8</w:t>
      </w:r>
      <w:r w:rsidR="008401C8" w:rsidRPr="00CD0767">
        <w:rPr>
          <w:sz w:val="20"/>
          <w:szCs w:val="20"/>
        </w:rPr>
        <w:t>0</w:t>
      </w:r>
      <w:r w:rsidRPr="00CD0767">
        <w:rPr>
          <w:sz w:val="20"/>
          <w:szCs w:val="20"/>
        </w:rPr>
        <w:t xml:space="preserve">% of </w:t>
      </w:r>
      <w:proofErr w:type="spellStart"/>
      <w:r w:rsidR="000B4C8E" w:rsidRPr="00CD0767">
        <w:rPr>
          <w:sz w:val="20"/>
          <w:szCs w:val="20"/>
        </w:rPr>
        <w:t>Alternatif</w:t>
      </w:r>
      <w:proofErr w:type="spellEnd"/>
      <w:r w:rsidR="000B4C8E" w:rsidRPr="00CD0767">
        <w:rPr>
          <w:sz w:val="20"/>
          <w:szCs w:val="20"/>
        </w:rPr>
        <w:t xml:space="preserve"> </w:t>
      </w:r>
      <w:proofErr w:type="spellStart"/>
      <w:r w:rsidR="000B4C8E" w:rsidRPr="00CD0767">
        <w:rPr>
          <w:sz w:val="20"/>
          <w:szCs w:val="20"/>
        </w:rPr>
        <w:t>Finansal</w:t>
      </w:r>
      <w:proofErr w:type="spellEnd"/>
      <w:r w:rsidR="000B4C8E" w:rsidRPr="00CD0767">
        <w:rPr>
          <w:sz w:val="20"/>
          <w:szCs w:val="20"/>
        </w:rPr>
        <w:t xml:space="preserve"> </w:t>
      </w:r>
      <w:proofErr w:type="spellStart"/>
      <w:r w:rsidR="000B4C8E" w:rsidRPr="00CD0767">
        <w:rPr>
          <w:sz w:val="20"/>
          <w:szCs w:val="20"/>
        </w:rPr>
        <w:t>Kiralama</w:t>
      </w:r>
      <w:proofErr w:type="spellEnd"/>
      <w:r w:rsidR="000B4C8E" w:rsidRPr="00CD0767">
        <w:rPr>
          <w:sz w:val="20"/>
          <w:szCs w:val="20"/>
        </w:rPr>
        <w:t xml:space="preserve"> (“A Lease”), </w:t>
      </w:r>
      <w:r w:rsidR="00D26221" w:rsidRPr="00CD0767">
        <w:rPr>
          <w:sz w:val="20"/>
          <w:szCs w:val="20"/>
        </w:rPr>
        <w:t>the associate of AEH</w:t>
      </w:r>
      <w:r w:rsidR="000B4C8E" w:rsidRPr="00CD0767">
        <w:rPr>
          <w:sz w:val="20"/>
          <w:szCs w:val="20"/>
        </w:rPr>
        <w:t>,</w:t>
      </w:r>
      <w:r w:rsidR="00D514E9" w:rsidRPr="00CD0767">
        <w:rPr>
          <w:sz w:val="20"/>
          <w:szCs w:val="20"/>
        </w:rPr>
        <w:t xml:space="preserve"> with a consideration amount of TL </w:t>
      </w:r>
      <w:r w:rsidRPr="00CD0767">
        <w:rPr>
          <w:sz w:val="20"/>
          <w:szCs w:val="20"/>
        </w:rPr>
        <w:t>1</w:t>
      </w:r>
      <w:r w:rsidR="00D514E9" w:rsidRPr="00CD0767">
        <w:rPr>
          <w:sz w:val="20"/>
          <w:szCs w:val="20"/>
        </w:rPr>
        <w:t>15</w:t>
      </w:r>
      <w:r w:rsidR="003D0859" w:rsidRPr="00CD0767">
        <w:rPr>
          <w:sz w:val="20"/>
          <w:szCs w:val="20"/>
        </w:rPr>
        <w:t>,</w:t>
      </w:r>
      <w:r w:rsidR="00D514E9" w:rsidRPr="00CD0767">
        <w:rPr>
          <w:sz w:val="20"/>
          <w:szCs w:val="20"/>
        </w:rPr>
        <w:t>585</w:t>
      </w:r>
      <w:r w:rsidR="000B4C8E" w:rsidRPr="00CD0767">
        <w:rPr>
          <w:sz w:val="20"/>
          <w:szCs w:val="20"/>
        </w:rPr>
        <w:t xml:space="preserve"> and 115</w:t>
      </w:r>
      <w:r w:rsidR="003D0859" w:rsidRPr="00CD0767">
        <w:rPr>
          <w:sz w:val="20"/>
          <w:szCs w:val="20"/>
        </w:rPr>
        <w:t>,</w:t>
      </w:r>
      <w:r w:rsidR="000B4C8E" w:rsidRPr="00CD0767">
        <w:rPr>
          <w:sz w:val="20"/>
          <w:szCs w:val="20"/>
        </w:rPr>
        <w:t>488</w:t>
      </w:r>
      <w:r w:rsidR="003D0859" w:rsidRPr="00CD0767">
        <w:rPr>
          <w:sz w:val="20"/>
          <w:szCs w:val="20"/>
        </w:rPr>
        <w:t>,</w:t>
      </w:r>
      <w:r w:rsidR="000B4C8E" w:rsidRPr="00CD0767">
        <w:rPr>
          <w:sz w:val="20"/>
          <w:szCs w:val="20"/>
        </w:rPr>
        <w:t xml:space="preserve">748 shares from other shareholders with a consideration amount of TL </w:t>
      </w:r>
      <w:r w:rsidR="004F6664" w:rsidRPr="00CD0767">
        <w:rPr>
          <w:sz w:val="20"/>
          <w:szCs w:val="20"/>
        </w:rPr>
        <w:t>4</w:t>
      </w:r>
      <w:r w:rsidR="003D0859" w:rsidRPr="00CD0767">
        <w:rPr>
          <w:sz w:val="20"/>
          <w:szCs w:val="20"/>
        </w:rPr>
        <w:t>,</w:t>
      </w:r>
      <w:r w:rsidR="004F6664" w:rsidRPr="00CD0767">
        <w:rPr>
          <w:sz w:val="20"/>
          <w:szCs w:val="20"/>
        </w:rPr>
        <w:t>894</w:t>
      </w:r>
      <w:r w:rsidRPr="00CD0767">
        <w:rPr>
          <w:sz w:val="20"/>
          <w:szCs w:val="20"/>
        </w:rPr>
        <w:t xml:space="preserve">. The </w:t>
      </w:r>
      <w:r w:rsidR="00601701">
        <w:rPr>
          <w:sz w:val="20"/>
          <w:szCs w:val="20"/>
        </w:rPr>
        <w:t>positive difference b</w:t>
      </w:r>
      <w:r w:rsidR="00132819">
        <w:rPr>
          <w:sz w:val="20"/>
          <w:szCs w:val="20"/>
        </w:rPr>
        <w:t xml:space="preserve">etween TL 120,601 purchase price </w:t>
      </w:r>
      <w:r w:rsidR="00601701">
        <w:rPr>
          <w:sz w:val="20"/>
          <w:szCs w:val="20"/>
        </w:rPr>
        <w:t>an</w:t>
      </w:r>
      <w:r w:rsidR="00132819">
        <w:rPr>
          <w:sz w:val="20"/>
          <w:szCs w:val="20"/>
        </w:rPr>
        <w:t xml:space="preserve">d TL 69,189 </w:t>
      </w:r>
      <w:r w:rsidR="00132819" w:rsidRPr="00132819">
        <w:rPr>
          <w:sz w:val="20"/>
          <w:szCs w:val="20"/>
        </w:rPr>
        <w:t xml:space="preserve">the net amount of identifiable assets </w:t>
      </w:r>
      <w:r w:rsidR="00132819">
        <w:rPr>
          <w:sz w:val="20"/>
          <w:szCs w:val="20"/>
        </w:rPr>
        <w:t>was</w:t>
      </w:r>
      <w:r w:rsidRPr="00CD0767">
        <w:rPr>
          <w:sz w:val="20"/>
          <w:szCs w:val="20"/>
        </w:rPr>
        <w:t xml:space="preserve"> re</w:t>
      </w:r>
      <w:r w:rsidR="00132819">
        <w:rPr>
          <w:sz w:val="20"/>
          <w:szCs w:val="20"/>
        </w:rPr>
        <w:t>flect</w:t>
      </w:r>
      <w:r w:rsidRPr="00CD0767">
        <w:rPr>
          <w:sz w:val="20"/>
          <w:szCs w:val="20"/>
        </w:rPr>
        <w:t xml:space="preserve">ed </w:t>
      </w:r>
      <w:r w:rsidR="00132819">
        <w:rPr>
          <w:sz w:val="20"/>
          <w:szCs w:val="20"/>
        </w:rPr>
        <w:t xml:space="preserve">as </w:t>
      </w:r>
      <w:r w:rsidRPr="00CD0767">
        <w:rPr>
          <w:sz w:val="20"/>
          <w:szCs w:val="20"/>
        </w:rPr>
        <w:t>TL 49</w:t>
      </w:r>
      <w:r w:rsidR="003D0859" w:rsidRPr="00CD0767">
        <w:rPr>
          <w:sz w:val="20"/>
          <w:szCs w:val="20"/>
        </w:rPr>
        <w:t>,</w:t>
      </w:r>
      <w:r w:rsidRPr="00CD0767">
        <w:rPr>
          <w:sz w:val="20"/>
          <w:szCs w:val="20"/>
        </w:rPr>
        <w:t xml:space="preserve">647 goodwill and </w:t>
      </w:r>
      <w:r w:rsidR="00D918B6" w:rsidRPr="00CD0767">
        <w:rPr>
          <w:sz w:val="20"/>
          <w:szCs w:val="20"/>
        </w:rPr>
        <w:t xml:space="preserve">TL </w:t>
      </w:r>
      <w:r w:rsidRPr="00CD0767">
        <w:rPr>
          <w:sz w:val="20"/>
          <w:szCs w:val="20"/>
        </w:rPr>
        <w:t>1</w:t>
      </w:r>
      <w:r w:rsidR="00156AF9" w:rsidRPr="00CD0767">
        <w:rPr>
          <w:sz w:val="20"/>
          <w:szCs w:val="20"/>
        </w:rPr>
        <w:t>,</w:t>
      </w:r>
      <w:r w:rsidRPr="00CD0767">
        <w:rPr>
          <w:sz w:val="20"/>
          <w:szCs w:val="20"/>
        </w:rPr>
        <w:t>757 intangible assets on this transaction.</w:t>
      </w:r>
    </w:p>
    <w:p w14:paraId="5516A495" w14:textId="77777777" w:rsidR="002C09CC" w:rsidRPr="00604C75" w:rsidRDefault="002C09CC" w:rsidP="006B5800">
      <w:pPr>
        <w:tabs>
          <w:tab w:val="left" w:pos="0"/>
          <w:tab w:val="right" w:pos="7088"/>
        </w:tabs>
        <w:spacing w:line="230" w:lineRule="auto"/>
        <w:jc w:val="both"/>
        <w:rPr>
          <w:sz w:val="20"/>
          <w:szCs w:val="20"/>
        </w:rPr>
      </w:pPr>
    </w:p>
    <w:p w14:paraId="60B4C663" w14:textId="24E6434D" w:rsidR="005E79F2" w:rsidRPr="00104DF7" w:rsidRDefault="00A5553A" w:rsidP="00104DF7">
      <w:pPr>
        <w:pStyle w:val="BodyTextIndent"/>
        <w:tabs>
          <w:tab w:val="left" w:pos="0"/>
        </w:tabs>
        <w:spacing w:line="226" w:lineRule="auto"/>
        <w:ind w:left="0"/>
        <w:jc w:val="both"/>
        <w:rPr>
          <w:sz w:val="20"/>
          <w:szCs w:val="20"/>
        </w:rPr>
      </w:pPr>
      <w:r w:rsidRPr="00604C75">
        <w:rPr>
          <w:sz w:val="20"/>
          <w:szCs w:val="20"/>
        </w:rPr>
        <w:t>The valuation of the fair value of the equity of A Lease is made by Parent Bank.</w:t>
      </w:r>
      <w:r w:rsidR="00AE40B6" w:rsidRPr="00604C75">
        <w:rPr>
          <w:sz w:val="20"/>
          <w:szCs w:val="20"/>
        </w:rPr>
        <w:t xml:space="preserve"> Discounte</w:t>
      </w:r>
      <w:r w:rsidR="00D73CC5" w:rsidRPr="00604C75">
        <w:rPr>
          <w:sz w:val="20"/>
          <w:szCs w:val="20"/>
        </w:rPr>
        <w:t>d cash flow method was used for</w:t>
      </w:r>
      <w:r w:rsidR="00AE40B6" w:rsidRPr="00604C75">
        <w:rPr>
          <w:sz w:val="20"/>
          <w:szCs w:val="20"/>
        </w:rPr>
        <w:t xml:space="preserve"> determining f</w:t>
      </w:r>
      <w:r w:rsidR="002C09CC" w:rsidRPr="00604C75">
        <w:rPr>
          <w:sz w:val="20"/>
          <w:szCs w:val="20"/>
        </w:rPr>
        <w:t>air value</w:t>
      </w:r>
      <w:r w:rsidR="006D5FA9" w:rsidRPr="00604C75">
        <w:rPr>
          <w:sz w:val="20"/>
          <w:szCs w:val="20"/>
        </w:rPr>
        <w:t xml:space="preserve"> </w:t>
      </w:r>
      <w:r w:rsidR="009F3221" w:rsidRPr="00604C75">
        <w:rPr>
          <w:sz w:val="20"/>
          <w:szCs w:val="20"/>
        </w:rPr>
        <w:t>3 year business plan prepared by management of the company is used valuation</w:t>
      </w:r>
      <w:r w:rsidR="00D9290B" w:rsidRPr="00604C75">
        <w:rPr>
          <w:sz w:val="20"/>
          <w:szCs w:val="20"/>
        </w:rPr>
        <w:t>.</w:t>
      </w:r>
      <w:r w:rsidR="00D514E9" w:rsidRPr="00604C75">
        <w:rPr>
          <w:sz w:val="20"/>
          <w:szCs w:val="20"/>
        </w:rPr>
        <w:t xml:space="preserve"> </w:t>
      </w:r>
      <w:r w:rsidR="00D9290B" w:rsidRPr="00604C75">
        <w:rPr>
          <w:sz w:val="20"/>
          <w:szCs w:val="20"/>
        </w:rPr>
        <w:t xml:space="preserve">Growing the business plan of the A Lease stems from the company's opportunities in the sector in which it operates and new customer acquisitions. The important assumptions about the calculating </w:t>
      </w:r>
      <w:proofErr w:type="spellStart"/>
      <w:r w:rsidR="00D9290B" w:rsidRPr="00604C75">
        <w:rPr>
          <w:sz w:val="20"/>
          <w:szCs w:val="20"/>
        </w:rPr>
        <w:t>recovable</w:t>
      </w:r>
      <w:proofErr w:type="spellEnd"/>
      <w:r w:rsidR="00D9290B" w:rsidRPr="00604C75">
        <w:rPr>
          <w:sz w:val="20"/>
          <w:szCs w:val="20"/>
        </w:rPr>
        <w:t xml:space="preserve"> amount is discount rates and terminal growth rates.</w:t>
      </w:r>
      <w:r w:rsidR="00D9290B" w:rsidRPr="00604C75">
        <w:t xml:space="preserve"> </w:t>
      </w:r>
      <w:r w:rsidR="00D9290B" w:rsidRPr="00604C75">
        <w:rPr>
          <w:sz w:val="20"/>
          <w:szCs w:val="20"/>
        </w:rPr>
        <w:t xml:space="preserve">The discount rate used in the calculation </w:t>
      </w:r>
      <w:r w:rsidR="00CF47BC" w:rsidRPr="00604C75">
        <w:rPr>
          <w:sz w:val="20"/>
          <w:szCs w:val="20"/>
        </w:rPr>
        <w:t xml:space="preserve">is </w:t>
      </w:r>
      <w:r w:rsidR="00D9290B" w:rsidRPr="00604C75">
        <w:rPr>
          <w:sz w:val="20"/>
          <w:szCs w:val="20"/>
        </w:rPr>
        <w:t>15</w:t>
      </w:r>
      <w:r w:rsidR="003D0859" w:rsidRPr="00604C75">
        <w:rPr>
          <w:sz w:val="20"/>
          <w:szCs w:val="20"/>
        </w:rPr>
        <w:t>.</w:t>
      </w:r>
      <w:r w:rsidR="00D9290B" w:rsidRPr="00604C75">
        <w:rPr>
          <w:sz w:val="20"/>
          <w:szCs w:val="20"/>
        </w:rPr>
        <w:t>5</w:t>
      </w:r>
      <w:r w:rsidR="00854C50" w:rsidRPr="00604C75">
        <w:rPr>
          <w:sz w:val="20"/>
          <w:szCs w:val="20"/>
        </w:rPr>
        <w:t>%</w:t>
      </w:r>
      <w:r w:rsidR="00271A4F" w:rsidRPr="00604C75">
        <w:rPr>
          <w:sz w:val="20"/>
          <w:szCs w:val="20"/>
        </w:rPr>
        <w:t xml:space="preserve"> and terminal growth rate is 13</w:t>
      </w:r>
      <w:r w:rsidR="003D0859" w:rsidRPr="00604C75">
        <w:rPr>
          <w:sz w:val="20"/>
          <w:szCs w:val="20"/>
        </w:rPr>
        <w:t>.</w:t>
      </w:r>
      <w:r w:rsidR="00271A4F" w:rsidRPr="00604C75">
        <w:rPr>
          <w:sz w:val="20"/>
          <w:szCs w:val="20"/>
        </w:rPr>
        <w:t>6</w:t>
      </w:r>
      <w:r w:rsidR="00854C50" w:rsidRPr="00604C75">
        <w:rPr>
          <w:sz w:val="20"/>
          <w:szCs w:val="20"/>
        </w:rPr>
        <w:t>%</w:t>
      </w:r>
      <w:r w:rsidR="00271A4F" w:rsidRPr="00604C75">
        <w:rPr>
          <w:sz w:val="20"/>
          <w:szCs w:val="20"/>
        </w:rPr>
        <w:t>.</w:t>
      </w:r>
      <w:r w:rsidR="00834CDD">
        <w:rPr>
          <w:sz w:val="20"/>
          <w:szCs w:val="20"/>
        </w:rPr>
        <w:t xml:space="preserve"> </w:t>
      </w:r>
      <w:r w:rsidR="00577400">
        <w:rPr>
          <w:sz w:val="20"/>
          <w:szCs w:val="20"/>
        </w:rPr>
        <w:t>As of 21 December 2015 the Company’s capital has increased by TL 21,537,500 (Full TL) by cash.</w:t>
      </w:r>
    </w:p>
    <w:p w14:paraId="122BB123" w14:textId="7B0604BD" w:rsidR="001D41FE" w:rsidRPr="00604C75" w:rsidRDefault="00B27B7B" w:rsidP="00490153">
      <w:pPr>
        <w:pStyle w:val="BodyTextIndent"/>
        <w:spacing w:before="120" w:after="0" w:line="223" w:lineRule="auto"/>
        <w:ind w:left="0"/>
        <w:contextualSpacing/>
        <w:rPr>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333D4169" w14:textId="1C8A2BA2" w:rsidR="001D41FE" w:rsidRDefault="001D41FE" w:rsidP="00490153">
      <w:pPr>
        <w:tabs>
          <w:tab w:val="left" w:pos="0"/>
        </w:tabs>
        <w:spacing w:before="120" w:line="226" w:lineRule="auto"/>
        <w:jc w:val="both"/>
        <w:rPr>
          <w:sz w:val="20"/>
          <w:szCs w:val="20"/>
        </w:rPr>
      </w:pPr>
      <w:r w:rsidRPr="004F0440">
        <w:rPr>
          <w:b/>
          <w:caps/>
          <w:sz w:val="20"/>
        </w:rPr>
        <w:t xml:space="preserve">I.         </w:t>
      </w:r>
      <w:r w:rsidR="00647320" w:rsidRPr="00647320">
        <w:rPr>
          <w:b/>
          <w:sz w:val="20"/>
        </w:rPr>
        <w:t>Explanations</w:t>
      </w:r>
      <w:r w:rsidR="00647320" w:rsidRPr="00647320" w:rsidDel="002C004A">
        <w:rPr>
          <w:b/>
          <w:caps/>
          <w:sz w:val="20"/>
        </w:rPr>
        <w:t xml:space="preserve"> </w:t>
      </w:r>
      <w:r w:rsidR="00647320" w:rsidRPr="00647320">
        <w:rPr>
          <w:b/>
          <w:sz w:val="20"/>
        </w:rPr>
        <w:t>and Notes on Assets</w:t>
      </w:r>
      <w:r w:rsidR="00647320" w:rsidRPr="00604C75" w:rsidDel="002C004A">
        <w:rPr>
          <w:caps/>
          <w:sz w:val="20"/>
        </w:rPr>
        <w:t xml:space="preserve"> </w:t>
      </w:r>
      <w:r w:rsidRPr="004F0440">
        <w:rPr>
          <w:b/>
          <w:bCs/>
          <w:sz w:val="20"/>
        </w:rPr>
        <w:t>(Continued)</w:t>
      </w:r>
    </w:p>
    <w:p w14:paraId="21471315" w14:textId="77777777" w:rsidR="001D41FE" w:rsidRPr="00604C75" w:rsidRDefault="001D41FE" w:rsidP="00490153">
      <w:pPr>
        <w:tabs>
          <w:tab w:val="left" w:pos="0"/>
          <w:tab w:val="left" w:pos="567"/>
        </w:tabs>
        <w:spacing w:before="120"/>
        <w:jc w:val="both"/>
        <w:rPr>
          <w:b/>
          <w:sz w:val="20"/>
          <w:szCs w:val="20"/>
        </w:rPr>
      </w:pPr>
      <w:r w:rsidRPr="00604C75">
        <w:rPr>
          <w:b/>
          <w:sz w:val="20"/>
          <w:szCs w:val="20"/>
        </w:rPr>
        <w:t>m.</w:t>
      </w:r>
      <w:r w:rsidRPr="00604C75">
        <w:rPr>
          <w:b/>
          <w:sz w:val="20"/>
          <w:szCs w:val="20"/>
        </w:rPr>
        <w:tab/>
        <w:t>Information on the goodwill and intangible assets</w:t>
      </w:r>
      <w:r>
        <w:rPr>
          <w:b/>
          <w:sz w:val="20"/>
          <w:szCs w:val="20"/>
        </w:rPr>
        <w:t xml:space="preserve"> </w:t>
      </w:r>
      <w:r w:rsidRPr="004F0440">
        <w:rPr>
          <w:b/>
          <w:bCs/>
          <w:sz w:val="20"/>
        </w:rPr>
        <w:t>(Continued)</w:t>
      </w:r>
    </w:p>
    <w:p w14:paraId="113C7937" w14:textId="77777777" w:rsidR="001D41FE" w:rsidRPr="00576E0A" w:rsidRDefault="00524596" w:rsidP="008477F3">
      <w:pPr>
        <w:pStyle w:val="ListParagraph"/>
        <w:numPr>
          <w:ilvl w:val="0"/>
          <w:numId w:val="63"/>
        </w:numPr>
        <w:tabs>
          <w:tab w:val="left" w:pos="0"/>
        </w:tabs>
        <w:spacing w:before="120" w:line="226" w:lineRule="auto"/>
        <w:ind w:left="588" w:hanging="588"/>
        <w:jc w:val="both"/>
        <w:rPr>
          <w:sz w:val="20"/>
          <w:szCs w:val="20"/>
        </w:rPr>
      </w:pPr>
      <w:r>
        <w:rPr>
          <w:sz w:val="20"/>
          <w:szCs w:val="20"/>
        </w:rPr>
        <w:t>Carrying</w:t>
      </w:r>
      <w:r w:rsidRPr="00576E0A">
        <w:rPr>
          <w:sz w:val="20"/>
          <w:szCs w:val="20"/>
        </w:rPr>
        <w:t xml:space="preserve"> </w:t>
      </w:r>
      <w:r w:rsidR="001D41FE" w:rsidRPr="00576E0A">
        <w:rPr>
          <w:sz w:val="20"/>
          <w:szCs w:val="20"/>
        </w:rPr>
        <w:t>value and accumulated depreciation of the goodwill at the beginning and at the end of the period</w:t>
      </w:r>
    </w:p>
    <w:p w14:paraId="5802F777" w14:textId="77777777" w:rsidR="001D41FE" w:rsidRDefault="001D41FE" w:rsidP="006B5800">
      <w:pPr>
        <w:tabs>
          <w:tab w:val="left" w:pos="0"/>
        </w:tabs>
        <w:spacing w:line="226" w:lineRule="auto"/>
        <w:jc w:val="both"/>
        <w:rPr>
          <w:sz w:val="20"/>
          <w:szCs w:val="20"/>
        </w:rPr>
      </w:pPr>
    </w:p>
    <w:p w14:paraId="04DC6AD3" w14:textId="77777777" w:rsidR="009F42B0" w:rsidRPr="00604C75" w:rsidRDefault="005C1277" w:rsidP="006B5800">
      <w:pPr>
        <w:tabs>
          <w:tab w:val="left" w:pos="0"/>
        </w:tabs>
        <w:spacing w:line="226" w:lineRule="auto"/>
        <w:jc w:val="both"/>
        <w:rPr>
          <w:b/>
          <w:sz w:val="16"/>
          <w:szCs w:val="16"/>
        </w:rPr>
      </w:pPr>
      <w:r w:rsidRPr="00604C75">
        <w:rPr>
          <w:sz w:val="20"/>
          <w:szCs w:val="20"/>
        </w:rPr>
        <w:t xml:space="preserve">Any impairment loss was recorded because recoverable value </w:t>
      </w:r>
      <w:r w:rsidR="00D514E9" w:rsidRPr="00604C75">
        <w:rPr>
          <w:sz w:val="20"/>
          <w:szCs w:val="20"/>
        </w:rPr>
        <w:t xml:space="preserve">is </w:t>
      </w:r>
      <w:r w:rsidRPr="00604C75">
        <w:rPr>
          <w:sz w:val="20"/>
          <w:szCs w:val="20"/>
        </w:rPr>
        <w:t>higher than carrying value of the A Lease.</w:t>
      </w:r>
    </w:p>
    <w:p w14:paraId="16FAC4EC" w14:textId="77777777" w:rsidR="009F42B0" w:rsidRPr="00604C75" w:rsidRDefault="00746B4B" w:rsidP="00AD726D">
      <w:pPr>
        <w:tabs>
          <w:tab w:val="left" w:pos="0"/>
        </w:tabs>
        <w:spacing w:before="120" w:after="120" w:line="226" w:lineRule="auto"/>
        <w:jc w:val="both"/>
        <w:rPr>
          <w:sz w:val="20"/>
          <w:szCs w:val="20"/>
        </w:rPr>
      </w:pPr>
      <w:r w:rsidRPr="00604C75">
        <w:rPr>
          <w:sz w:val="20"/>
          <w:szCs w:val="20"/>
        </w:rPr>
        <w:t>Information on the goodwill cal</w:t>
      </w:r>
      <w:r w:rsidR="00B34B20" w:rsidRPr="00604C75">
        <w:rPr>
          <w:sz w:val="20"/>
          <w:szCs w:val="20"/>
        </w:rPr>
        <w:t xml:space="preserve">culation </w:t>
      </w:r>
      <w:r w:rsidRPr="00604C75">
        <w:rPr>
          <w:sz w:val="20"/>
          <w:szCs w:val="20"/>
        </w:rPr>
        <w:t>relating to acquisition</w:t>
      </w:r>
      <w:r w:rsidR="00B34B20" w:rsidRPr="00604C75">
        <w:rPr>
          <w:sz w:val="20"/>
          <w:szCs w:val="20"/>
        </w:rPr>
        <w:t xml:space="preserve"> is as follows:</w:t>
      </w:r>
      <w:r w:rsidRPr="00604C75">
        <w:rPr>
          <w:sz w:val="20"/>
          <w:szCs w:val="20"/>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A0" w:firstRow="1" w:lastRow="0" w:firstColumn="1" w:lastColumn="0" w:noHBand="0" w:noVBand="0"/>
      </w:tblPr>
      <w:tblGrid>
        <w:gridCol w:w="6742"/>
        <w:gridCol w:w="2468"/>
      </w:tblGrid>
      <w:tr w:rsidR="009F42B0" w:rsidRPr="00604C75" w14:paraId="047C8F16" w14:textId="77777777" w:rsidTr="00FD0C7A">
        <w:tc>
          <w:tcPr>
            <w:tcW w:w="6742" w:type="dxa"/>
          </w:tcPr>
          <w:p w14:paraId="2D6141EA" w14:textId="77777777" w:rsidR="009F42B0" w:rsidRPr="00604C75" w:rsidRDefault="009F42B0" w:rsidP="006B5800">
            <w:pPr>
              <w:tabs>
                <w:tab w:val="left" w:pos="0"/>
              </w:tabs>
              <w:spacing w:line="226" w:lineRule="auto"/>
              <w:jc w:val="both"/>
              <w:rPr>
                <w:b/>
                <w:sz w:val="17"/>
                <w:szCs w:val="17"/>
              </w:rPr>
            </w:pPr>
          </w:p>
        </w:tc>
        <w:tc>
          <w:tcPr>
            <w:tcW w:w="2468" w:type="dxa"/>
          </w:tcPr>
          <w:p w14:paraId="072A7FFC" w14:textId="77777777" w:rsidR="009F42B0" w:rsidRPr="00604C75" w:rsidRDefault="009F42B0" w:rsidP="006B5800">
            <w:pPr>
              <w:tabs>
                <w:tab w:val="left" w:pos="0"/>
              </w:tabs>
              <w:spacing w:line="226" w:lineRule="auto"/>
              <w:jc w:val="right"/>
              <w:rPr>
                <w:b/>
                <w:sz w:val="17"/>
                <w:szCs w:val="17"/>
              </w:rPr>
            </w:pPr>
            <w:r w:rsidRPr="00604C75">
              <w:rPr>
                <w:b/>
                <w:sz w:val="17"/>
                <w:szCs w:val="17"/>
              </w:rPr>
              <w:t xml:space="preserve">31 </w:t>
            </w:r>
            <w:r w:rsidR="0063747C" w:rsidRPr="00604C75">
              <w:rPr>
                <w:b/>
                <w:sz w:val="17"/>
                <w:szCs w:val="17"/>
              </w:rPr>
              <w:t>October 2013 Fair val</w:t>
            </w:r>
            <w:r w:rsidR="00CB6237" w:rsidRPr="00604C75">
              <w:rPr>
                <w:b/>
                <w:sz w:val="17"/>
                <w:szCs w:val="17"/>
              </w:rPr>
              <w:t>ue</w:t>
            </w:r>
            <w:r w:rsidR="00211D34" w:rsidRPr="00604C75">
              <w:rPr>
                <w:b/>
                <w:sz w:val="17"/>
                <w:szCs w:val="17"/>
              </w:rPr>
              <w:t xml:space="preserve"> </w:t>
            </w:r>
          </w:p>
        </w:tc>
      </w:tr>
      <w:tr w:rsidR="00224102" w:rsidRPr="00604C75" w14:paraId="1E5D301E" w14:textId="77777777" w:rsidTr="00FD0C7A">
        <w:tc>
          <w:tcPr>
            <w:tcW w:w="6742" w:type="dxa"/>
            <w:vAlign w:val="bottom"/>
          </w:tcPr>
          <w:p w14:paraId="3989FCBC" w14:textId="1346238F" w:rsidR="00224102" w:rsidRPr="00604C75" w:rsidRDefault="00224102" w:rsidP="00224102">
            <w:pPr>
              <w:tabs>
                <w:tab w:val="left" w:pos="0"/>
              </w:tabs>
              <w:spacing w:line="226" w:lineRule="auto"/>
              <w:rPr>
                <w:sz w:val="17"/>
                <w:szCs w:val="17"/>
              </w:rPr>
            </w:pPr>
            <w:r w:rsidRPr="00604C75">
              <w:rPr>
                <w:sz w:val="17"/>
                <w:szCs w:val="17"/>
              </w:rPr>
              <w:t xml:space="preserve">Fair </w:t>
            </w:r>
            <w:r>
              <w:rPr>
                <w:sz w:val="17"/>
                <w:szCs w:val="17"/>
              </w:rPr>
              <w:t>V</w:t>
            </w:r>
            <w:r w:rsidRPr="00604C75">
              <w:rPr>
                <w:sz w:val="17"/>
                <w:szCs w:val="17"/>
              </w:rPr>
              <w:t xml:space="preserve">alue of the </w:t>
            </w:r>
            <w:r>
              <w:rPr>
                <w:sz w:val="17"/>
                <w:szCs w:val="17"/>
              </w:rPr>
              <w:t>E</w:t>
            </w:r>
            <w:r w:rsidRPr="00604C75">
              <w:rPr>
                <w:sz w:val="17"/>
                <w:szCs w:val="17"/>
              </w:rPr>
              <w:t xml:space="preserve">quity </w:t>
            </w:r>
            <w:r>
              <w:rPr>
                <w:sz w:val="17"/>
                <w:szCs w:val="17"/>
              </w:rPr>
              <w:t>S</w:t>
            </w:r>
            <w:r w:rsidRPr="00604C75">
              <w:rPr>
                <w:sz w:val="17"/>
                <w:szCs w:val="17"/>
              </w:rPr>
              <w:t xml:space="preserve">hares </w:t>
            </w:r>
            <w:r>
              <w:rPr>
                <w:sz w:val="17"/>
                <w:szCs w:val="17"/>
              </w:rPr>
              <w:t>S</w:t>
            </w:r>
            <w:r w:rsidRPr="00604C75">
              <w:rPr>
                <w:sz w:val="17"/>
                <w:szCs w:val="17"/>
              </w:rPr>
              <w:t xml:space="preserve">ubject to </w:t>
            </w:r>
            <w:r>
              <w:rPr>
                <w:sz w:val="17"/>
                <w:szCs w:val="17"/>
              </w:rPr>
              <w:t>C</w:t>
            </w:r>
            <w:r w:rsidRPr="00604C75">
              <w:rPr>
                <w:sz w:val="17"/>
                <w:szCs w:val="17"/>
              </w:rPr>
              <w:t xml:space="preserve">hange at the </w:t>
            </w:r>
            <w:r>
              <w:rPr>
                <w:sz w:val="17"/>
                <w:szCs w:val="17"/>
              </w:rPr>
              <w:t>A</w:t>
            </w:r>
            <w:r w:rsidRPr="00604C75">
              <w:rPr>
                <w:sz w:val="17"/>
                <w:szCs w:val="17"/>
              </w:rPr>
              <w:t xml:space="preserve">cquisition </w:t>
            </w:r>
            <w:r>
              <w:rPr>
                <w:sz w:val="17"/>
                <w:szCs w:val="17"/>
              </w:rPr>
              <w:t>D</w:t>
            </w:r>
            <w:r w:rsidRPr="00604C75">
              <w:rPr>
                <w:sz w:val="17"/>
                <w:szCs w:val="17"/>
              </w:rPr>
              <w:t xml:space="preserve">ate </w:t>
            </w:r>
          </w:p>
        </w:tc>
        <w:tc>
          <w:tcPr>
            <w:tcW w:w="2468" w:type="dxa"/>
            <w:vAlign w:val="bottom"/>
          </w:tcPr>
          <w:p w14:paraId="7DB1858B" w14:textId="19FB8F49" w:rsidR="00224102" w:rsidRPr="00692926" w:rsidRDefault="00224102" w:rsidP="00224102">
            <w:pPr>
              <w:tabs>
                <w:tab w:val="left" w:pos="0"/>
              </w:tabs>
              <w:spacing w:line="226" w:lineRule="auto"/>
              <w:jc w:val="right"/>
              <w:rPr>
                <w:sz w:val="17"/>
                <w:szCs w:val="17"/>
              </w:rPr>
            </w:pPr>
            <w:r w:rsidRPr="00692926">
              <w:rPr>
                <w:sz w:val="17"/>
                <w:szCs w:val="17"/>
              </w:rPr>
              <w:t>120,629</w:t>
            </w:r>
          </w:p>
        </w:tc>
      </w:tr>
      <w:tr w:rsidR="00224102" w:rsidRPr="00604C75" w14:paraId="50F83036" w14:textId="77777777" w:rsidTr="00FD0C7A">
        <w:tc>
          <w:tcPr>
            <w:tcW w:w="6742" w:type="dxa"/>
            <w:vAlign w:val="bottom"/>
          </w:tcPr>
          <w:p w14:paraId="780BA3DF" w14:textId="2F191500" w:rsidR="00224102" w:rsidRPr="00604C75" w:rsidRDefault="00224102" w:rsidP="00224102">
            <w:pPr>
              <w:tabs>
                <w:tab w:val="left" w:pos="0"/>
              </w:tabs>
              <w:spacing w:line="226" w:lineRule="auto"/>
              <w:rPr>
                <w:sz w:val="17"/>
                <w:szCs w:val="17"/>
              </w:rPr>
            </w:pPr>
            <w:r w:rsidRPr="00604C75">
              <w:rPr>
                <w:sz w:val="17"/>
                <w:szCs w:val="17"/>
              </w:rPr>
              <w:t xml:space="preserve">The </w:t>
            </w:r>
            <w:r>
              <w:rPr>
                <w:sz w:val="17"/>
                <w:szCs w:val="17"/>
              </w:rPr>
              <w:t>F</w:t>
            </w:r>
            <w:r w:rsidRPr="00604C75">
              <w:rPr>
                <w:sz w:val="17"/>
                <w:szCs w:val="17"/>
              </w:rPr>
              <w:t xml:space="preserve">air </w:t>
            </w:r>
            <w:r>
              <w:rPr>
                <w:sz w:val="17"/>
                <w:szCs w:val="17"/>
              </w:rPr>
              <w:t>V</w:t>
            </w:r>
            <w:r w:rsidRPr="00604C75">
              <w:rPr>
                <w:sz w:val="17"/>
                <w:szCs w:val="17"/>
              </w:rPr>
              <w:t xml:space="preserve">alue of the </w:t>
            </w:r>
            <w:r>
              <w:rPr>
                <w:sz w:val="17"/>
                <w:szCs w:val="17"/>
              </w:rPr>
              <w:t>I</w:t>
            </w:r>
            <w:r w:rsidRPr="00604C75">
              <w:rPr>
                <w:sz w:val="17"/>
                <w:szCs w:val="17"/>
              </w:rPr>
              <w:t xml:space="preserve">dentifiable </w:t>
            </w:r>
            <w:r>
              <w:rPr>
                <w:sz w:val="17"/>
                <w:szCs w:val="17"/>
              </w:rPr>
              <w:t>N</w:t>
            </w:r>
            <w:r w:rsidRPr="00604C75">
              <w:rPr>
                <w:sz w:val="17"/>
                <w:szCs w:val="17"/>
              </w:rPr>
              <w:t xml:space="preserve">et </w:t>
            </w:r>
            <w:r>
              <w:rPr>
                <w:sz w:val="17"/>
                <w:szCs w:val="17"/>
              </w:rPr>
              <w:t>A</w:t>
            </w:r>
            <w:r w:rsidRPr="00604C75">
              <w:rPr>
                <w:sz w:val="17"/>
                <w:szCs w:val="17"/>
              </w:rPr>
              <w:t xml:space="preserve">ssets of the </w:t>
            </w:r>
            <w:proofErr w:type="spellStart"/>
            <w:r w:rsidRPr="00604C75">
              <w:rPr>
                <w:sz w:val="17"/>
                <w:szCs w:val="17"/>
              </w:rPr>
              <w:t>Alternatif</w:t>
            </w:r>
            <w:proofErr w:type="spellEnd"/>
            <w:r w:rsidRPr="00604C75">
              <w:rPr>
                <w:sz w:val="17"/>
                <w:szCs w:val="17"/>
              </w:rPr>
              <w:t xml:space="preserve"> </w:t>
            </w:r>
            <w:proofErr w:type="spellStart"/>
            <w:r w:rsidRPr="00604C75">
              <w:rPr>
                <w:sz w:val="17"/>
                <w:szCs w:val="17"/>
              </w:rPr>
              <w:t>Finansal</w:t>
            </w:r>
            <w:proofErr w:type="spellEnd"/>
            <w:r w:rsidRPr="00604C75">
              <w:rPr>
                <w:sz w:val="17"/>
                <w:szCs w:val="17"/>
              </w:rPr>
              <w:t xml:space="preserve"> </w:t>
            </w:r>
            <w:proofErr w:type="spellStart"/>
            <w:r w:rsidRPr="00604C75">
              <w:rPr>
                <w:sz w:val="17"/>
                <w:szCs w:val="17"/>
              </w:rPr>
              <w:t>Kiralama</w:t>
            </w:r>
            <w:proofErr w:type="spellEnd"/>
            <w:r w:rsidRPr="00604C75">
              <w:rPr>
                <w:sz w:val="17"/>
                <w:szCs w:val="17"/>
              </w:rPr>
              <w:t xml:space="preserve"> A.Ş. </w:t>
            </w:r>
          </w:p>
        </w:tc>
        <w:tc>
          <w:tcPr>
            <w:tcW w:w="2468" w:type="dxa"/>
            <w:vAlign w:val="bottom"/>
          </w:tcPr>
          <w:p w14:paraId="719A8BF5" w14:textId="456AA24D" w:rsidR="00224102" w:rsidRPr="00692926" w:rsidRDefault="00224102" w:rsidP="00224102">
            <w:pPr>
              <w:tabs>
                <w:tab w:val="left" w:pos="0"/>
              </w:tabs>
              <w:spacing w:line="226" w:lineRule="auto"/>
              <w:jc w:val="right"/>
              <w:rPr>
                <w:sz w:val="17"/>
                <w:szCs w:val="17"/>
              </w:rPr>
            </w:pPr>
            <w:r w:rsidRPr="00692926">
              <w:rPr>
                <w:sz w:val="17"/>
                <w:szCs w:val="17"/>
              </w:rPr>
              <w:t>(69,225)</w:t>
            </w:r>
          </w:p>
        </w:tc>
      </w:tr>
      <w:tr w:rsidR="00224102" w:rsidRPr="00604C75" w14:paraId="657C0C4D" w14:textId="77777777" w:rsidTr="00FD0C7A">
        <w:tc>
          <w:tcPr>
            <w:tcW w:w="6742" w:type="dxa"/>
            <w:vAlign w:val="bottom"/>
          </w:tcPr>
          <w:p w14:paraId="5C5E6B58" w14:textId="70477FDB" w:rsidR="00224102" w:rsidRPr="00604C75" w:rsidRDefault="00224102" w:rsidP="00224102">
            <w:pPr>
              <w:tabs>
                <w:tab w:val="left" w:pos="0"/>
              </w:tabs>
              <w:spacing w:line="226" w:lineRule="auto"/>
              <w:rPr>
                <w:sz w:val="17"/>
                <w:szCs w:val="17"/>
              </w:rPr>
            </w:pPr>
            <w:r w:rsidRPr="00604C75">
              <w:rPr>
                <w:sz w:val="17"/>
                <w:szCs w:val="17"/>
              </w:rPr>
              <w:t xml:space="preserve">Brand </w:t>
            </w:r>
            <w:r>
              <w:rPr>
                <w:sz w:val="17"/>
                <w:szCs w:val="17"/>
              </w:rPr>
              <w:t>V</w:t>
            </w:r>
            <w:r w:rsidRPr="00604C75">
              <w:rPr>
                <w:sz w:val="17"/>
                <w:szCs w:val="17"/>
              </w:rPr>
              <w:t>alue</w:t>
            </w:r>
          </w:p>
        </w:tc>
        <w:tc>
          <w:tcPr>
            <w:tcW w:w="2468" w:type="dxa"/>
            <w:vAlign w:val="bottom"/>
          </w:tcPr>
          <w:p w14:paraId="2D49061B" w14:textId="28161CDE" w:rsidR="00224102" w:rsidRPr="00692926" w:rsidRDefault="00224102" w:rsidP="00224102">
            <w:pPr>
              <w:tabs>
                <w:tab w:val="left" w:pos="0"/>
              </w:tabs>
              <w:spacing w:line="226" w:lineRule="auto"/>
              <w:jc w:val="right"/>
              <w:rPr>
                <w:sz w:val="17"/>
                <w:szCs w:val="17"/>
              </w:rPr>
            </w:pPr>
            <w:r w:rsidRPr="00692926">
              <w:rPr>
                <w:sz w:val="17"/>
                <w:szCs w:val="17"/>
              </w:rPr>
              <w:t>1,757</w:t>
            </w:r>
          </w:p>
        </w:tc>
      </w:tr>
      <w:tr w:rsidR="00224102" w:rsidRPr="00604C75" w14:paraId="778E99F8" w14:textId="77777777" w:rsidTr="00FD0C7A">
        <w:tc>
          <w:tcPr>
            <w:tcW w:w="6742" w:type="dxa"/>
            <w:vAlign w:val="bottom"/>
          </w:tcPr>
          <w:p w14:paraId="62F0E5A6" w14:textId="77777777" w:rsidR="00224102" w:rsidRPr="00604C75" w:rsidRDefault="00224102" w:rsidP="00224102">
            <w:pPr>
              <w:tabs>
                <w:tab w:val="left" w:pos="0"/>
              </w:tabs>
              <w:spacing w:line="226" w:lineRule="auto"/>
              <w:rPr>
                <w:b/>
                <w:sz w:val="17"/>
                <w:szCs w:val="17"/>
              </w:rPr>
            </w:pPr>
            <w:r w:rsidRPr="00604C75">
              <w:rPr>
                <w:b/>
                <w:sz w:val="17"/>
                <w:szCs w:val="17"/>
              </w:rPr>
              <w:t>Goodwill</w:t>
            </w:r>
          </w:p>
        </w:tc>
        <w:tc>
          <w:tcPr>
            <w:tcW w:w="2468" w:type="dxa"/>
            <w:vAlign w:val="bottom"/>
          </w:tcPr>
          <w:p w14:paraId="4EA6FEED" w14:textId="02231D2F" w:rsidR="00224102" w:rsidRPr="00692926" w:rsidRDefault="00224102" w:rsidP="00224102">
            <w:pPr>
              <w:tabs>
                <w:tab w:val="left" w:pos="0"/>
              </w:tabs>
              <w:spacing w:line="226" w:lineRule="auto"/>
              <w:jc w:val="right"/>
              <w:rPr>
                <w:b/>
                <w:sz w:val="17"/>
                <w:szCs w:val="17"/>
              </w:rPr>
            </w:pPr>
            <w:r w:rsidRPr="00692926">
              <w:rPr>
                <w:b/>
                <w:sz w:val="17"/>
                <w:szCs w:val="17"/>
              </w:rPr>
              <w:t>49,647</w:t>
            </w:r>
          </w:p>
        </w:tc>
      </w:tr>
    </w:tbl>
    <w:p w14:paraId="19F7CC5F" w14:textId="5A6D3C28" w:rsidR="00B172CC" w:rsidRPr="003F26E7" w:rsidRDefault="003F26E7" w:rsidP="00B172CC">
      <w:pPr>
        <w:tabs>
          <w:tab w:val="left" w:pos="0"/>
        </w:tabs>
        <w:spacing w:before="120" w:after="120"/>
        <w:jc w:val="both"/>
        <w:rPr>
          <w:sz w:val="20"/>
          <w:szCs w:val="20"/>
          <w:lang w:val="tr-TR"/>
        </w:rPr>
      </w:pPr>
      <w:r w:rsidRPr="003F26E7">
        <w:rPr>
          <w:sz w:val="20"/>
          <w:szCs w:val="20"/>
          <w:lang w:val="tr-TR"/>
        </w:rPr>
        <w:t xml:space="preserve">As of 8 November 2013 fair values of net indentifiable assets of </w:t>
      </w:r>
      <w:r w:rsidR="00B172CC" w:rsidRPr="003F26E7">
        <w:rPr>
          <w:sz w:val="20"/>
          <w:szCs w:val="20"/>
          <w:lang w:val="tr-TR"/>
        </w:rPr>
        <w:t>Alternatif Finansal Kiralama A.Ş.</w:t>
      </w:r>
      <w:r w:rsidRPr="003F26E7">
        <w:rPr>
          <w:sz w:val="20"/>
          <w:szCs w:val="20"/>
          <w:lang w:val="tr-TR"/>
        </w:rPr>
        <w:t xml:space="preserve"> has calculated as below</w:t>
      </w:r>
    </w:p>
    <w:p w14:paraId="44372431" w14:textId="69B3B10A" w:rsidR="006A3A86" w:rsidRPr="00972978" w:rsidRDefault="006A3A86" w:rsidP="00972978">
      <w:pPr>
        <w:pStyle w:val="BodyTextIndent"/>
        <w:tabs>
          <w:tab w:val="left" w:pos="0"/>
        </w:tabs>
        <w:spacing w:line="226" w:lineRule="auto"/>
        <w:ind w:left="0"/>
        <w:rPr>
          <w:sz w:val="20"/>
          <w:szCs w:val="20"/>
        </w:rPr>
      </w:pPr>
      <w:r w:rsidRPr="00604C75">
        <w:rPr>
          <w:sz w:val="20"/>
          <w:szCs w:val="20"/>
        </w:rPr>
        <w:t>2.</w:t>
      </w:r>
      <w:r w:rsidR="001D41FE">
        <w:rPr>
          <w:sz w:val="20"/>
          <w:szCs w:val="20"/>
        </w:rPr>
        <w:t xml:space="preserve">        </w:t>
      </w:r>
      <w:r w:rsidR="00524596">
        <w:rPr>
          <w:sz w:val="20"/>
          <w:szCs w:val="20"/>
        </w:rPr>
        <w:t>Gross c</w:t>
      </w:r>
      <w:r w:rsidR="003D5749" w:rsidRPr="00604C75">
        <w:rPr>
          <w:sz w:val="20"/>
          <w:szCs w:val="20"/>
        </w:rPr>
        <w:t>arrying value</w:t>
      </w:r>
      <w:r w:rsidR="00524596">
        <w:rPr>
          <w:sz w:val="20"/>
          <w:szCs w:val="20"/>
        </w:rPr>
        <w:t xml:space="preserve"> and</w:t>
      </w:r>
      <w:r w:rsidR="003D5749" w:rsidRPr="00604C75">
        <w:rPr>
          <w:sz w:val="20"/>
          <w:szCs w:val="20"/>
        </w:rPr>
        <w:t xml:space="preserve"> a</w:t>
      </w:r>
      <w:r w:rsidR="00607B4F" w:rsidRPr="00604C75">
        <w:rPr>
          <w:sz w:val="20"/>
          <w:szCs w:val="20"/>
        </w:rPr>
        <w:t>ccumulated depreciation value</w:t>
      </w:r>
      <w:r w:rsidR="00524596">
        <w:rPr>
          <w:sz w:val="20"/>
          <w:szCs w:val="20"/>
        </w:rPr>
        <w:t>s</w:t>
      </w:r>
      <w:r w:rsidR="00607B4F" w:rsidRPr="00604C75">
        <w:rPr>
          <w:sz w:val="20"/>
          <w:szCs w:val="20"/>
        </w:rPr>
        <w:t xml:space="preserve"> at the beginning and end of the period </w:t>
      </w:r>
    </w:p>
    <w:tbl>
      <w:tblPr>
        <w:tblW w:w="9407"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30" w:type="dxa"/>
          <w:right w:w="30" w:type="dxa"/>
        </w:tblCellMar>
        <w:tblLook w:val="0000" w:firstRow="0" w:lastRow="0" w:firstColumn="0" w:lastColumn="0" w:noHBand="0" w:noVBand="0"/>
      </w:tblPr>
      <w:tblGrid>
        <w:gridCol w:w="5516"/>
        <w:gridCol w:w="1987"/>
        <w:gridCol w:w="1904"/>
      </w:tblGrid>
      <w:tr w:rsidR="006A3A86" w:rsidRPr="00604C75" w14:paraId="5E7C1C3A" w14:textId="77777777" w:rsidTr="00AD726D">
        <w:trPr>
          <w:trHeight w:val="202"/>
        </w:trPr>
        <w:tc>
          <w:tcPr>
            <w:tcW w:w="5516" w:type="dxa"/>
            <w:shd w:val="clear" w:color="auto" w:fill="FFFFFF"/>
            <w:vAlign w:val="center"/>
          </w:tcPr>
          <w:p w14:paraId="12743B74" w14:textId="77777777" w:rsidR="006A3A86" w:rsidRPr="00604C75" w:rsidRDefault="006A3A86" w:rsidP="006B5800">
            <w:pPr>
              <w:tabs>
                <w:tab w:val="left" w:pos="0"/>
              </w:tabs>
              <w:spacing w:line="226" w:lineRule="auto"/>
              <w:jc w:val="right"/>
              <w:rPr>
                <w:snapToGrid w:val="0"/>
                <w:sz w:val="18"/>
              </w:rPr>
            </w:pPr>
          </w:p>
        </w:tc>
        <w:tc>
          <w:tcPr>
            <w:tcW w:w="1987" w:type="dxa"/>
            <w:shd w:val="clear" w:color="auto" w:fill="FFFFFF"/>
            <w:vAlign w:val="bottom"/>
          </w:tcPr>
          <w:p w14:paraId="101987D7" w14:textId="77777777" w:rsidR="006A3A86" w:rsidRPr="00604C75" w:rsidRDefault="000467F0">
            <w:pPr>
              <w:tabs>
                <w:tab w:val="left" w:pos="0"/>
              </w:tabs>
              <w:spacing w:line="226" w:lineRule="auto"/>
              <w:jc w:val="right"/>
              <w:rPr>
                <w:b/>
                <w:bCs/>
                <w:snapToGrid w:val="0"/>
                <w:sz w:val="18"/>
              </w:rPr>
            </w:pPr>
            <w:r>
              <w:rPr>
                <w:b/>
                <w:bCs/>
                <w:snapToGrid w:val="0"/>
                <w:sz w:val="18"/>
              </w:rPr>
              <w:t>3</w:t>
            </w:r>
            <w:r w:rsidR="00D5518C">
              <w:rPr>
                <w:b/>
                <w:bCs/>
                <w:snapToGrid w:val="0"/>
                <w:sz w:val="18"/>
              </w:rPr>
              <w:t>1</w:t>
            </w:r>
            <w:r>
              <w:rPr>
                <w:b/>
                <w:bCs/>
                <w:snapToGrid w:val="0"/>
                <w:sz w:val="18"/>
              </w:rPr>
              <w:t xml:space="preserve"> </w:t>
            </w:r>
            <w:r w:rsidR="00D5518C">
              <w:rPr>
                <w:b/>
                <w:bCs/>
                <w:snapToGrid w:val="0"/>
                <w:sz w:val="18"/>
              </w:rPr>
              <w:t>December</w:t>
            </w:r>
            <w:r w:rsidR="00D5518C" w:rsidRPr="00604C75">
              <w:rPr>
                <w:b/>
                <w:bCs/>
                <w:snapToGrid w:val="0"/>
                <w:sz w:val="18"/>
              </w:rPr>
              <w:t xml:space="preserve"> </w:t>
            </w:r>
            <w:r w:rsidR="006A3A86" w:rsidRPr="00604C75">
              <w:rPr>
                <w:b/>
                <w:bCs/>
                <w:snapToGrid w:val="0"/>
                <w:sz w:val="18"/>
              </w:rPr>
              <w:t>201</w:t>
            </w:r>
            <w:r w:rsidR="005416D7" w:rsidRPr="00604C75">
              <w:rPr>
                <w:b/>
                <w:bCs/>
                <w:snapToGrid w:val="0"/>
                <w:sz w:val="18"/>
              </w:rPr>
              <w:t>5</w:t>
            </w:r>
            <w:r w:rsidR="006A3A86" w:rsidRPr="00604C75">
              <w:rPr>
                <w:b/>
                <w:bCs/>
                <w:snapToGrid w:val="0"/>
                <w:sz w:val="18"/>
              </w:rPr>
              <w:t xml:space="preserve"> </w:t>
            </w:r>
          </w:p>
        </w:tc>
        <w:tc>
          <w:tcPr>
            <w:tcW w:w="1904" w:type="dxa"/>
            <w:shd w:val="clear" w:color="auto" w:fill="FFFFFF"/>
            <w:vAlign w:val="bottom"/>
          </w:tcPr>
          <w:p w14:paraId="3E7D0D82" w14:textId="77777777" w:rsidR="006A3A86" w:rsidRPr="00604C75" w:rsidRDefault="006A3A86" w:rsidP="005416D7">
            <w:pPr>
              <w:tabs>
                <w:tab w:val="left" w:pos="0"/>
              </w:tabs>
              <w:spacing w:line="226" w:lineRule="auto"/>
              <w:jc w:val="right"/>
              <w:rPr>
                <w:b/>
                <w:bCs/>
                <w:snapToGrid w:val="0"/>
                <w:sz w:val="18"/>
              </w:rPr>
            </w:pPr>
            <w:r w:rsidRPr="00604C75">
              <w:rPr>
                <w:b/>
                <w:bCs/>
                <w:snapToGrid w:val="0"/>
                <w:sz w:val="18"/>
              </w:rPr>
              <w:t xml:space="preserve">31 </w:t>
            </w:r>
            <w:r w:rsidR="008F3F82" w:rsidRPr="00604C75">
              <w:rPr>
                <w:b/>
                <w:bCs/>
                <w:snapToGrid w:val="0"/>
                <w:sz w:val="18"/>
              </w:rPr>
              <w:t>December</w:t>
            </w:r>
            <w:r w:rsidRPr="00604C75">
              <w:rPr>
                <w:b/>
                <w:bCs/>
                <w:snapToGrid w:val="0"/>
                <w:sz w:val="18"/>
              </w:rPr>
              <w:t xml:space="preserve"> 201</w:t>
            </w:r>
            <w:r w:rsidR="005416D7" w:rsidRPr="00604C75">
              <w:rPr>
                <w:b/>
                <w:bCs/>
                <w:snapToGrid w:val="0"/>
                <w:sz w:val="18"/>
              </w:rPr>
              <w:t>4</w:t>
            </w:r>
          </w:p>
        </w:tc>
      </w:tr>
      <w:tr w:rsidR="00224102" w:rsidRPr="00604C75" w14:paraId="74A3A250" w14:textId="77777777" w:rsidTr="00AD726D">
        <w:trPr>
          <w:trHeight w:val="113"/>
        </w:trPr>
        <w:tc>
          <w:tcPr>
            <w:tcW w:w="5516" w:type="dxa"/>
            <w:shd w:val="clear" w:color="auto" w:fill="FFFFFF"/>
            <w:vAlign w:val="center"/>
          </w:tcPr>
          <w:p w14:paraId="5A53BB67" w14:textId="77777777" w:rsidR="00224102" w:rsidRPr="00604C75" w:rsidRDefault="00224102" w:rsidP="00224102">
            <w:pPr>
              <w:tabs>
                <w:tab w:val="left" w:pos="0"/>
              </w:tabs>
              <w:spacing w:line="226" w:lineRule="auto"/>
              <w:rPr>
                <w:snapToGrid w:val="0"/>
                <w:sz w:val="18"/>
              </w:rPr>
            </w:pPr>
            <w:r w:rsidRPr="00604C75">
              <w:rPr>
                <w:snapToGrid w:val="0"/>
                <w:sz w:val="18"/>
              </w:rPr>
              <w:t>Gross Carrying Value</w:t>
            </w:r>
          </w:p>
        </w:tc>
        <w:tc>
          <w:tcPr>
            <w:tcW w:w="1987" w:type="dxa"/>
            <w:shd w:val="clear" w:color="auto" w:fill="FFFFFF"/>
            <w:vAlign w:val="bottom"/>
          </w:tcPr>
          <w:p w14:paraId="5949528E" w14:textId="7A22B2BE" w:rsidR="00224102" w:rsidRPr="00692926" w:rsidRDefault="00224102" w:rsidP="00224102">
            <w:pPr>
              <w:tabs>
                <w:tab w:val="left" w:pos="0"/>
              </w:tabs>
              <w:spacing w:line="226" w:lineRule="auto"/>
              <w:jc w:val="right"/>
              <w:rPr>
                <w:rFonts w:eastAsia="Arial Unicode MS"/>
                <w:sz w:val="18"/>
                <w:szCs w:val="18"/>
              </w:rPr>
            </w:pPr>
            <w:r>
              <w:rPr>
                <w:rFonts w:eastAsia="Arial Unicode MS"/>
                <w:sz w:val="18"/>
                <w:szCs w:val="18"/>
              </w:rPr>
              <w:t>77,266</w:t>
            </w:r>
          </w:p>
        </w:tc>
        <w:tc>
          <w:tcPr>
            <w:tcW w:w="1904" w:type="dxa"/>
            <w:shd w:val="clear" w:color="auto" w:fill="FFFFFF"/>
            <w:vAlign w:val="bottom"/>
          </w:tcPr>
          <w:p w14:paraId="6CF10041" w14:textId="6DE1A690" w:rsidR="00224102" w:rsidRPr="00692926" w:rsidRDefault="00224102" w:rsidP="00224102">
            <w:pPr>
              <w:tabs>
                <w:tab w:val="left" w:pos="0"/>
              </w:tabs>
              <w:spacing w:line="226" w:lineRule="auto"/>
              <w:jc w:val="right"/>
              <w:rPr>
                <w:rFonts w:eastAsia="Arial Unicode MS"/>
                <w:sz w:val="18"/>
                <w:szCs w:val="18"/>
              </w:rPr>
            </w:pPr>
            <w:r w:rsidRPr="00692926">
              <w:rPr>
                <w:rFonts w:eastAsia="Arial Unicode MS"/>
                <w:sz w:val="18"/>
                <w:szCs w:val="18"/>
              </w:rPr>
              <w:t>66,623</w:t>
            </w:r>
          </w:p>
        </w:tc>
      </w:tr>
      <w:tr w:rsidR="00224102" w:rsidRPr="00604C75" w14:paraId="63B306CB" w14:textId="77777777" w:rsidTr="00AD726D">
        <w:trPr>
          <w:trHeight w:val="113"/>
        </w:trPr>
        <w:tc>
          <w:tcPr>
            <w:tcW w:w="5516" w:type="dxa"/>
            <w:shd w:val="clear" w:color="auto" w:fill="FFFFFF"/>
            <w:vAlign w:val="center"/>
          </w:tcPr>
          <w:p w14:paraId="4496DC0F" w14:textId="77777777" w:rsidR="00224102" w:rsidRPr="00604C75" w:rsidRDefault="00224102" w:rsidP="00224102">
            <w:pPr>
              <w:tabs>
                <w:tab w:val="left" w:pos="0"/>
              </w:tabs>
              <w:spacing w:line="226" w:lineRule="auto"/>
              <w:rPr>
                <w:snapToGrid w:val="0"/>
                <w:sz w:val="18"/>
              </w:rPr>
            </w:pPr>
            <w:r w:rsidRPr="00604C75">
              <w:rPr>
                <w:snapToGrid w:val="0"/>
                <w:sz w:val="18"/>
              </w:rPr>
              <w:t>Accumulated Depreciation (-)</w:t>
            </w:r>
          </w:p>
        </w:tc>
        <w:tc>
          <w:tcPr>
            <w:tcW w:w="1987" w:type="dxa"/>
            <w:shd w:val="clear" w:color="auto" w:fill="FFFFFF"/>
            <w:vAlign w:val="bottom"/>
          </w:tcPr>
          <w:p w14:paraId="6A85152C" w14:textId="4C933F77" w:rsidR="00224102" w:rsidRPr="00692926" w:rsidRDefault="00224102" w:rsidP="00224102">
            <w:pPr>
              <w:tabs>
                <w:tab w:val="left" w:pos="0"/>
              </w:tabs>
              <w:spacing w:line="226" w:lineRule="auto"/>
              <w:jc w:val="right"/>
              <w:rPr>
                <w:rFonts w:eastAsia="Arial Unicode MS"/>
                <w:sz w:val="18"/>
                <w:szCs w:val="18"/>
              </w:rPr>
            </w:pPr>
            <w:r>
              <w:rPr>
                <w:rFonts w:eastAsia="Arial Unicode MS"/>
                <w:sz w:val="18"/>
                <w:szCs w:val="18"/>
              </w:rPr>
              <w:t>44,105</w:t>
            </w:r>
          </w:p>
        </w:tc>
        <w:tc>
          <w:tcPr>
            <w:tcW w:w="1904" w:type="dxa"/>
            <w:shd w:val="clear" w:color="auto" w:fill="FFFFFF"/>
            <w:vAlign w:val="bottom"/>
          </w:tcPr>
          <w:p w14:paraId="0E8A1E24" w14:textId="5BA19370" w:rsidR="00224102" w:rsidRPr="00692926" w:rsidRDefault="00224102" w:rsidP="00224102">
            <w:pPr>
              <w:tabs>
                <w:tab w:val="left" w:pos="0"/>
              </w:tabs>
              <w:spacing w:line="226" w:lineRule="auto"/>
              <w:jc w:val="right"/>
              <w:rPr>
                <w:rFonts w:eastAsia="Arial Unicode MS"/>
                <w:sz w:val="18"/>
                <w:szCs w:val="18"/>
              </w:rPr>
            </w:pPr>
            <w:r w:rsidRPr="00692926">
              <w:rPr>
                <w:rFonts w:eastAsia="Arial Unicode MS"/>
                <w:sz w:val="18"/>
                <w:szCs w:val="18"/>
              </w:rPr>
              <w:t>41,712</w:t>
            </w:r>
          </w:p>
        </w:tc>
      </w:tr>
      <w:tr w:rsidR="00224102" w:rsidRPr="00604C75" w14:paraId="4BBDCD37" w14:textId="77777777" w:rsidTr="00AD726D">
        <w:trPr>
          <w:trHeight w:val="113"/>
        </w:trPr>
        <w:tc>
          <w:tcPr>
            <w:tcW w:w="5516" w:type="dxa"/>
            <w:shd w:val="clear" w:color="auto" w:fill="FFFFFF"/>
            <w:vAlign w:val="center"/>
          </w:tcPr>
          <w:p w14:paraId="66189108" w14:textId="77777777" w:rsidR="00224102" w:rsidRPr="00604C75" w:rsidRDefault="00224102" w:rsidP="00224102">
            <w:pPr>
              <w:tabs>
                <w:tab w:val="left" w:pos="0"/>
              </w:tabs>
              <w:spacing w:line="226" w:lineRule="auto"/>
              <w:rPr>
                <w:b/>
                <w:snapToGrid w:val="0"/>
                <w:sz w:val="18"/>
              </w:rPr>
            </w:pPr>
            <w:r w:rsidRPr="00604C75">
              <w:rPr>
                <w:b/>
                <w:snapToGrid w:val="0"/>
                <w:sz w:val="18"/>
              </w:rPr>
              <w:t xml:space="preserve">Net Book Value </w:t>
            </w:r>
          </w:p>
        </w:tc>
        <w:tc>
          <w:tcPr>
            <w:tcW w:w="1987" w:type="dxa"/>
            <w:shd w:val="clear" w:color="auto" w:fill="FFFFFF"/>
            <w:vAlign w:val="bottom"/>
          </w:tcPr>
          <w:p w14:paraId="5780C056" w14:textId="47A6FFED" w:rsidR="00224102" w:rsidRPr="00692926" w:rsidRDefault="00224102" w:rsidP="00224102">
            <w:pPr>
              <w:pStyle w:val="xl32"/>
              <w:pBdr>
                <w:left w:val="none" w:sz="0" w:space="0" w:color="auto"/>
                <w:right w:val="none" w:sz="0" w:space="0" w:color="auto"/>
              </w:pBdr>
              <w:tabs>
                <w:tab w:val="left" w:pos="0"/>
              </w:tabs>
              <w:spacing w:before="0" w:beforeAutospacing="0" w:after="0" w:afterAutospacing="0" w:line="226" w:lineRule="auto"/>
              <w:rPr>
                <w:rFonts w:eastAsia="Times New Roman"/>
                <w:lang w:val="tr-TR"/>
              </w:rPr>
            </w:pPr>
            <w:r>
              <w:rPr>
                <w:rFonts w:eastAsia="Times New Roman"/>
                <w:lang w:val="tr-TR"/>
              </w:rPr>
              <w:t>33,161</w:t>
            </w:r>
          </w:p>
        </w:tc>
        <w:tc>
          <w:tcPr>
            <w:tcW w:w="1904" w:type="dxa"/>
            <w:shd w:val="clear" w:color="auto" w:fill="FFFFFF"/>
            <w:vAlign w:val="bottom"/>
          </w:tcPr>
          <w:p w14:paraId="015F9AAF" w14:textId="74D2814D" w:rsidR="00224102" w:rsidRPr="00692926" w:rsidRDefault="00224102" w:rsidP="00224102">
            <w:pPr>
              <w:pStyle w:val="xl32"/>
              <w:pBdr>
                <w:left w:val="none" w:sz="0" w:space="0" w:color="auto"/>
                <w:right w:val="none" w:sz="0" w:space="0" w:color="auto"/>
              </w:pBdr>
              <w:tabs>
                <w:tab w:val="left" w:pos="0"/>
              </w:tabs>
              <w:spacing w:before="0" w:beforeAutospacing="0" w:after="0" w:afterAutospacing="0" w:line="226" w:lineRule="auto"/>
              <w:rPr>
                <w:rFonts w:eastAsia="Times New Roman"/>
                <w:lang w:val="tr-TR"/>
              </w:rPr>
            </w:pPr>
            <w:r w:rsidRPr="00692926">
              <w:rPr>
                <w:rFonts w:eastAsia="Times New Roman"/>
                <w:lang w:val="tr-TR"/>
              </w:rPr>
              <w:t>24,911</w:t>
            </w:r>
          </w:p>
        </w:tc>
      </w:tr>
    </w:tbl>
    <w:p w14:paraId="21D1E092" w14:textId="77777777" w:rsidR="0044575F" w:rsidRPr="00604C75" w:rsidRDefault="006A3A86" w:rsidP="00972978">
      <w:pPr>
        <w:pStyle w:val="BodyTextIndent"/>
        <w:spacing w:before="120"/>
        <w:ind w:left="567" w:hanging="567"/>
        <w:rPr>
          <w:sz w:val="20"/>
          <w:szCs w:val="20"/>
        </w:rPr>
      </w:pPr>
      <w:r w:rsidRPr="00604C75">
        <w:rPr>
          <w:sz w:val="20"/>
          <w:szCs w:val="20"/>
        </w:rPr>
        <w:t>3</w:t>
      </w:r>
      <w:r w:rsidR="0044575F" w:rsidRPr="00604C75">
        <w:rPr>
          <w:sz w:val="20"/>
          <w:szCs w:val="20"/>
        </w:rPr>
        <w:t>.</w:t>
      </w:r>
      <w:r w:rsidR="0044575F" w:rsidRPr="00604C75">
        <w:rPr>
          <w:sz w:val="20"/>
          <w:szCs w:val="20"/>
        </w:rPr>
        <w:tab/>
        <w:t>Information on movements between the beginning and end of the period</w:t>
      </w:r>
    </w:p>
    <w:p w14:paraId="0BA0FAD0" w14:textId="77777777" w:rsidR="0044575F" w:rsidRPr="00604C75" w:rsidRDefault="0044575F" w:rsidP="00D1124E">
      <w:pPr>
        <w:pStyle w:val="BodyTextIndent"/>
        <w:spacing w:after="0" w:line="120" w:lineRule="auto"/>
        <w:ind w:left="1701" w:hanging="425"/>
        <w:rPr>
          <w:sz w:val="16"/>
          <w:szCs w:val="16"/>
        </w:rPr>
      </w:pPr>
    </w:p>
    <w:tbl>
      <w:tblPr>
        <w:tblW w:w="9379"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FFFFFF"/>
        <w:tblLayout w:type="fixed"/>
        <w:tblCellMar>
          <w:left w:w="30" w:type="dxa"/>
          <w:right w:w="30" w:type="dxa"/>
        </w:tblCellMar>
        <w:tblLook w:val="0000" w:firstRow="0" w:lastRow="0" w:firstColumn="0" w:lastColumn="0" w:noHBand="0" w:noVBand="0"/>
      </w:tblPr>
      <w:tblGrid>
        <w:gridCol w:w="5178"/>
        <w:gridCol w:w="2073"/>
        <w:gridCol w:w="2128"/>
      </w:tblGrid>
      <w:tr w:rsidR="0044575F" w:rsidRPr="00604C75" w14:paraId="4063B576" w14:textId="77777777" w:rsidTr="00AD726D">
        <w:trPr>
          <w:trHeight w:val="202"/>
        </w:trPr>
        <w:tc>
          <w:tcPr>
            <w:tcW w:w="5178" w:type="dxa"/>
            <w:shd w:val="clear" w:color="auto" w:fill="FFFFFF"/>
          </w:tcPr>
          <w:p w14:paraId="39C2B2C3" w14:textId="77777777" w:rsidR="0044575F" w:rsidRPr="00604C75" w:rsidRDefault="0044575F" w:rsidP="00C22AF8">
            <w:pPr>
              <w:jc w:val="right"/>
              <w:rPr>
                <w:b/>
                <w:snapToGrid w:val="0"/>
                <w:sz w:val="18"/>
              </w:rPr>
            </w:pPr>
          </w:p>
        </w:tc>
        <w:tc>
          <w:tcPr>
            <w:tcW w:w="2073" w:type="dxa"/>
            <w:shd w:val="clear" w:color="auto" w:fill="FFFFFF"/>
            <w:vAlign w:val="bottom"/>
          </w:tcPr>
          <w:p w14:paraId="7D50BB54" w14:textId="77777777" w:rsidR="0044575F" w:rsidRPr="00604C75" w:rsidRDefault="000467F0">
            <w:pPr>
              <w:jc w:val="right"/>
              <w:rPr>
                <w:b/>
                <w:bCs/>
                <w:snapToGrid w:val="0"/>
                <w:sz w:val="18"/>
              </w:rPr>
            </w:pPr>
            <w:r>
              <w:rPr>
                <w:b/>
                <w:bCs/>
                <w:snapToGrid w:val="0"/>
                <w:sz w:val="18"/>
              </w:rPr>
              <w:t>3</w:t>
            </w:r>
            <w:r w:rsidR="00D5518C">
              <w:rPr>
                <w:b/>
                <w:bCs/>
                <w:snapToGrid w:val="0"/>
                <w:sz w:val="18"/>
              </w:rPr>
              <w:t>1</w:t>
            </w:r>
            <w:r>
              <w:rPr>
                <w:b/>
                <w:bCs/>
                <w:snapToGrid w:val="0"/>
                <w:sz w:val="18"/>
              </w:rPr>
              <w:t xml:space="preserve"> </w:t>
            </w:r>
            <w:r w:rsidR="00D5518C">
              <w:rPr>
                <w:b/>
                <w:bCs/>
                <w:snapToGrid w:val="0"/>
                <w:sz w:val="18"/>
              </w:rPr>
              <w:t>December</w:t>
            </w:r>
            <w:r w:rsidR="00D5518C" w:rsidRPr="00604C75">
              <w:rPr>
                <w:b/>
                <w:bCs/>
                <w:snapToGrid w:val="0"/>
                <w:sz w:val="18"/>
              </w:rPr>
              <w:t xml:space="preserve"> </w:t>
            </w:r>
            <w:r w:rsidR="0044575F" w:rsidRPr="00604C75">
              <w:rPr>
                <w:b/>
                <w:bCs/>
                <w:snapToGrid w:val="0"/>
                <w:sz w:val="18"/>
              </w:rPr>
              <w:t>201</w:t>
            </w:r>
            <w:r w:rsidR="00AC2A44" w:rsidRPr="00604C75">
              <w:rPr>
                <w:b/>
                <w:bCs/>
                <w:snapToGrid w:val="0"/>
                <w:sz w:val="18"/>
              </w:rPr>
              <w:t>5</w:t>
            </w:r>
          </w:p>
        </w:tc>
        <w:tc>
          <w:tcPr>
            <w:tcW w:w="2128" w:type="dxa"/>
            <w:shd w:val="clear" w:color="auto" w:fill="FFFFFF"/>
            <w:vAlign w:val="bottom"/>
          </w:tcPr>
          <w:p w14:paraId="1D2F7337" w14:textId="77777777" w:rsidR="0044575F" w:rsidRPr="00604C75" w:rsidRDefault="0044575F" w:rsidP="00AC2A44">
            <w:pPr>
              <w:jc w:val="right"/>
              <w:rPr>
                <w:snapToGrid w:val="0"/>
                <w:sz w:val="18"/>
              </w:rPr>
            </w:pPr>
            <w:r w:rsidRPr="00604C75">
              <w:rPr>
                <w:b/>
                <w:bCs/>
                <w:snapToGrid w:val="0"/>
                <w:sz w:val="18"/>
              </w:rPr>
              <w:t>31 December 201</w:t>
            </w:r>
            <w:r w:rsidR="00AC2A44" w:rsidRPr="00604C75">
              <w:rPr>
                <w:b/>
                <w:bCs/>
                <w:snapToGrid w:val="0"/>
                <w:sz w:val="18"/>
              </w:rPr>
              <w:t>4</w:t>
            </w:r>
          </w:p>
        </w:tc>
      </w:tr>
      <w:tr w:rsidR="00224102" w:rsidRPr="00604C75" w14:paraId="08F35276" w14:textId="77777777" w:rsidTr="00AD726D">
        <w:trPr>
          <w:trHeight w:val="113"/>
        </w:trPr>
        <w:tc>
          <w:tcPr>
            <w:tcW w:w="5178" w:type="dxa"/>
            <w:shd w:val="clear" w:color="auto" w:fill="FFFFFF"/>
          </w:tcPr>
          <w:p w14:paraId="4C353759" w14:textId="77777777" w:rsidR="00224102" w:rsidRPr="00604C75" w:rsidRDefault="00224102" w:rsidP="00224102">
            <w:pPr>
              <w:rPr>
                <w:b/>
                <w:snapToGrid w:val="0"/>
                <w:sz w:val="18"/>
              </w:rPr>
            </w:pPr>
            <w:r w:rsidRPr="00604C75">
              <w:rPr>
                <w:b/>
                <w:snapToGrid w:val="0"/>
                <w:sz w:val="18"/>
              </w:rPr>
              <w:t xml:space="preserve">  Beginning of the Period</w:t>
            </w:r>
          </w:p>
        </w:tc>
        <w:tc>
          <w:tcPr>
            <w:tcW w:w="2073" w:type="dxa"/>
            <w:shd w:val="clear" w:color="auto" w:fill="FFFFFF"/>
            <w:vAlign w:val="bottom"/>
          </w:tcPr>
          <w:p w14:paraId="3099361D" w14:textId="3E31AF83" w:rsidR="00224102" w:rsidRPr="00692926" w:rsidRDefault="00224102" w:rsidP="00224102">
            <w:pPr>
              <w:jc w:val="right"/>
              <w:rPr>
                <w:b/>
                <w:sz w:val="18"/>
                <w:szCs w:val="18"/>
              </w:rPr>
            </w:pPr>
            <w:r w:rsidRPr="00692926">
              <w:rPr>
                <w:b/>
                <w:sz w:val="18"/>
                <w:szCs w:val="18"/>
              </w:rPr>
              <w:t>24,911</w:t>
            </w:r>
          </w:p>
        </w:tc>
        <w:tc>
          <w:tcPr>
            <w:tcW w:w="2128" w:type="dxa"/>
            <w:shd w:val="clear" w:color="auto" w:fill="FFFFFF"/>
            <w:vAlign w:val="bottom"/>
          </w:tcPr>
          <w:p w14:paraId="00BDB5C7" w14:textId="5CC04DC0" w:rsidR="00224102" w:rsidRPr="00692926" w:rsidRDefault="00224102" w:rsidP="00224102">
            <w:pPr>
              <w:tabs>
                <w:tab w:val="left" w:pos="0"/>
              </w:tabs>
              <w:jc w:val="right"/>
              <w:rPr>
                <w:b/>
                <w:sz w:val="18"/>
                <w:szCs w:val="18"/>
              </w:rPr>
            </w:pPr>
            <w:r w:rsidRPr="00692926">
              <w:rPr>
                <w:b/>
                <w:sz w:val="18"/>
                <w:szCs w:val="18"/>
              </w:rPr>
              <w:t>23,533</w:t>
            </w:r>
          </w:p>
        </w:tc>
      </w:tr>
      <w:tr w:rsidR="00224102" w:rsidRPr="00604C75" w14:paraId="2CCA641E" w14:textId="77777777" w:rsidTr="00AD726D">
        <w:trPr>
          <w:trHeight w:val="113"/>
        </w:trPr>
        <w:tc>
          <w:tcPr>
            <w:tcW w:w="5178" w:type="dxa"/>
            <w:shd w:val="clear" w:color="auto" w:fill="FFFFFF"/>
          </w:tcPr>
          <w:p w14:paraId="79AF3110" w14:textId="77777777" w:rsidR="00224102" w:rsidRPr="00604C75" w:rsidRDefault="00224102" w:rsidP="00224102">
            <w:pPr>
              <w:rPr>
                <w:snapToGrid w:val="0"/>
                <w:sz w:val="18"/>
              </w:rPr>
            </w:pPr>
            <w:r w:rsidRPr="00604C75">
              <w:rPr>
                <w:snapToGrid w:val="0"/>
                <w:sz w:val="18"/>
              </w:rPr>
              <w:t xml:space="preserve">  Internally Generated Amounts </w:t>
            </w:r>
          </w:p>
        </w:tc>
        <w:tc>
          <w:tcPr>
            <w:tcW w:w="2073" w:type="dxa"/>
            <w:shd w:val="clear" w:color="auto" w:fill="FFFFFF"/>
            <w:vAlign w:val="bottom"/>
          </w:tcPr>
          <w:p w14:paraId="50FA20FE" w14:textId="67863572" w:rsidR="00224102" w:rsidRDefault="00224102" w:rsidP="00224102">
            <w:pPr>
              <w:jc w:val="right"/>
              <w:rPr>
                <w:sz w:val="18"/>
                <w:szCs w:val="18"/>
              </w:rPr>
            </w:pPr>
            <w:r>
              <w:rPr>
                <w:sz w:val="18"/>
                <w:szCs w:val="18"/>
              </w:rPr>
              <w:t>246</w:t>
            </w:r>
          </w:p>
        </w:tc>
        <w:tc>
          <w:tcPr>
            <w:tcW w:w="2128" w:type="dxa"/>
            <w:shd w:val="clear" w:color="auto" w:fill="FFFFFF"/>
            <w:vAlign w:val="bottom"/>
          </w:tcPr>
          <w:p w14:paraId="26D0A158" w14:textId="51B13F99" w:rsidR="00224102" w:rsidRPr="00692926" w:rsidRDefault="00224102" w:rsidP="00224102">
            <w:pPr>
              <w:tabs>
                <w:tab w:val="left" w:pos="0"/>
              </w:tabs>
              <w:jc w:val="right"/>
              <w:rPr>
                <w:sz w:val="18"/>
                <w:szCs w:val="18"/>
              </w:rPr>
            </w:pPr>
            <w:r w:rsidRPr="00692926">
              <w:rPr>
                <w:sz w:val="18"/>
                <w:szCs w:val="18"/>
              </w:rPr>
              <w:t>209</w:t>
            </w:r>
          </w:p>
        </w:tc>
      </w:tr>
      <w:tr w:rsidR="00224102" w:rsidRPr="00604C75" w14:paraId="5A69E297" w14:textId="77777777" w:rsidTr="00AD726D">
        <w:trPr>
          <w:trHeight w:val="113"/>
        </w:trPr>
        <w:tc>
          <w:tcPr>
            <w:tcW w:w="5178" w:type="dxa"/>
            <w:shd w:val="clear" w:color="auto" w:fill="FFFFFF"/>
          </w:tcPr>
          <w:p w14:paraId="6B6FA0BF" w14:textId="77777777" w:rsidR="00224102" w:rsidRPr="00604C75" w:rsidRDefault="00224102" w:rsidP="00224102">
            <w:pPr>
              <w:rPr>
                <w:snapToGrid w:val="0"/>
                <w:sz w:val="18"/>
              </w:rPr>
            </w:pPr>
            <w:r w:rsidRPr="00604C75">
              <w:rPr>
                <w:snapToGrid w:val="0"/>
                <w:sz w:val="18"/>
              </w:rPr>
              <w:t xml:space="preserve">  Additions due to Mergers, Transfers and Acquisitions </w:t>
            </w:r>
          </w:p>
        </w:tc>
        <w:tc>
          <w:tcPr>
            <w:tcW w:w="2073" w:type="dxa"/>
            <w:shd w:val="clear" w:color="auto" w:fill="FFFFFF"/>
            <w:vAlign w:val="bottom"/>
          </w:tcPr>
          <w:p w14:paraId="3476B506" w14:textId="4B2DB68C" w:rsidR="00224102" w:rsidRDefault="00224102" w:rsidP="00224102">
            <w:pPr>
              <w:jc w:val="right"/>
              <w:rPr>
                <w:sz w:val="18"/>
                <w:szCs w:val="18"/>
              </w:rPr>
            </w:pPr>
            <w:r>
              <w:rPr>
                <w:sz w:val="18"/>
                <w:szCs w:val="18"/>
              </w:rPr>
              <w:t>11,888</w:t>
            </w:r>
          </w:p>
        </w:tc>
        <w:tc>
          <w:tcPr>
            <w:tcW w:w="2128" w:type="dxa"/>
            <w:shd w:val="clear" w:color="auto" w:fill="FFFFFF"/>
            <w:vAlign w:val="bottom"/>
          </w:tcPr>
          <w:p w14:paraId="490B87E9" w14:textId="0CFD6543" w:rsidR="00224102" w:rsidRPr="00692926" w:rsidRDefault="00224102" w:rsidP="00224102">
            <w:pPr>
              <w:tabs>
                <w:tab w:val="left" w:pos="0"/>
              </w:tabs>
              <w:jc w:val="right"/>
              <w:rPr>
                <w:sz w:val="18"/>
                <w:szCs w:val="18"/>
              </w:rPr>
            </w:pPr>
            <w:r w:rsidRPr="00692926">
              <w:rPr>
                <w:sz w:val="18"/>
                <w:szCs w:val="18"/>
              </w:rPr>
              <w:t>4,362</w:t>
            </w:r>
          </w:p>
        </w:tc>
      </w:tr>
      <w:tr w:rsidR="00224102" w:rsidRPr="00604C75" w14:paraId="6AE81E07" w14:textId="77777777" w:rsidTr="00AD726D">
        <w:trPr>
          <w:trHeight w:val="113"/>
        </w:trPr>
        <w:tc>
          <w:tcPr>
            <w:tcW w:w="5178" w:type="dxa"/>
            <w:shd w:val="clear" w:color="auto" w:fill="FFFFFF"/>
          </w:tcPr>
          <w:p w14:paraId="2B2698BE" w14:textId="77777777" w:rsidR="00224102" w:rsidRPr="00604C75" w:rsidRDefault="00224102" w:rsidP="00224102">
            <w:pPr>
              <w:rPr>
                <w:snapToGrid w:val="0"/>
                <w:sz w:val="18"/>
              </w:rPr>
            </w:pPr>
            <w:r w:rsidRPr="00604C75">
              <w:rPr>
                <w:snapToGrid w:val="0"/>
                <w:sz w:val="18"/>
              </w:rPr>
              <w:t xml:space="preserve">  Disposals</w:t>
            </w:r>
          </w:p>
        </w:tc>
        <w:tc>
          <w:tcPr>
            <w:tcW w:w="2073" w:type="dxa"/>
            <w:shd w:val="clear" w:color="auto" w:fill="FFFFFF"/>
            <w:vAlign w:val="bottom"/>
          </w:tcPr>
          <w:p w14:paraId="02BE7B5B" w14:textId="74D9AFE5" w:rsidR="00224102" w:rsidRPr="00692926" w:rsidRDefault="00224102" w:rsidP="00224102">
            <w:pPr>
              <w:tabs>
                <w:tab w:val="left" w:pos="0"/>
              </w:tabs>
              <w:jc w:val="right"/>
              <w:rPr>
                <w:sz w:val="18"/>
                <w:szCs w:val="18"/>
              </w:rPr>
            </w:pPr>
            <w:r w:rsidRPr="00692926">
              <w:rPr>
                <w:sz w:val="18"/>
                <w:szCs w:val="18"/>
              </w:rPr>
              <w:t>-</w:t>
            </w:r>
          </w:p>
        </w:tc>
        <w:tc>
          <w:tcPr>
            <w:tcW w:w="2128" w:type="dxa"/>
            <w:shd w:val="clear" w:color="auto" w:fill="FFFFFF"/>
            <w:vAlign w:val="bottom"/>
          </w:tcPr>
          <w:p w14:paraId="608F0CBA" w14:textId="070E0CD7" w:rsidR="00224102" w:rsidRPr="00692926" w:rsidRDefault="00224102" w:rsidP="00224102">
            <w:pPr>
              <w:tabs>
                <w:tab w:val="left" w:pos="0"/>
              </w:tabs>
              <w:jc w:val="right"/>
              <w:rPr>
                <w:sz w:val="18"/>
                <w:szCs w:val="18"/>
              </w:rPr>
            </w:pPr>
            <w:r w:rsidRPr="00692926">
              <w:rPr>
                <w:sz w:val="18"/>
                <w:szCs w:val="18"/>
              </w:rPr>
              <w:t>-</w:t>
            </w:r>
          </w:p>
        </w:tc>
      </w:tr>
      <w:tr w:rsidR="00224102" w:rsidRPr="00604C75" w14:paraId="70CFF61A" w14:textId="77777777" w:rsidTr="00AD726D">
        <w:trPr>
          <w:trHeight w:val="113"/>
        </w:trPr>
        <w:tc>
          <w:tcPr>
            <w:tcW w:w="5178" w:type="dxa"/>
            <w:shd w:val="clear" w:color="auto" w:fill="FFFFFF"/>
          </w:tcPr>
          <w:p w14:paraId="65D4D6F2" w14:textId="77777777" w:rsidR="00224102" w:rsidRPr="00604C75" w:rsidRDefault="00224102" w:rsidP="00224102">
            <w:pPr>
              <w:rPr>
                <w:snapToGrid w:val="0"/>
                <w:sz w:val="18"/>
              </w:rPr>
            </w:pPr>
            <w:r w:rsidRPr="00604C75">
              <w:rPr>
                <w:snapToGrid w:val="0"/>
                <w:sz w:val="18"/>
              </w:rPr>
              <w:t xml:space="preserve">  Amount Accounted under Revaluation Reserve </w:t>
            </w:r>
          </w:p>
        </w:tc>
        <w:tc>
          <w:tcPr>
            <w:tcW w:w="2073" w:type="dxa"/>
            <w:shd w:val="clear" w:color="auto" w:fill="FFFFFF"/>
            <w:vAlign w:val="bottom"/>
          </w:tcPr>
          <w:p w14:paraId="3146EB0A" w14:textId="01345C93" w:rsidR="00224102" w:rsidRPr="00692926" w:rsidRDefault="00224102" w:rsidP="00224102">
            <w:pPr>
              <w:tabs>
                <w:tab w:val="left" w:pos="0"/>
              </w:tabs>
              <w:jc w:val="right"/>
              <w:rPr>
                <w:sz w:val="18"/>
                <w:szCs w:val="18"/>
              </w:rPr>
            </w:pPr>
            <w:r w:rsidRPr="00692926">
              <w:rPr>
                <w:sz w:val="18"/>
                <w:szCs w:val="18"/>
              </w:rPr>
              <w:t>-</w:t>
            </w:r>
          </w:p>
        </w:tc>
        <w:tc>
          <w:tcPr>
            <w:tcW w:w="2128" w:type="dxa"/>
            <w:shd w:val="clear" w:color="auto" w:fill="FFFFFF"/>
            <w:vAlign w:val="bottom"/>
          </w:tcPr>
          <w:p w14:paraId="08B3B268" w14:textId="5B14870F" w:rsidR="00224102" w:rsidRPr="00692926" w:rsidRDefault="00224102" w:rsidP="00224102">
            <w:pPr>
              <w:tabs>
                <w:tab w:val="left" w:pos="0"/>
              </w:tabs>
              <w:jc w:val="right"/>
              <w:rPr>
                <w:sz w:val="18"/>
                <w:szCs w:val="18"/>
              </w:rPr>
            </w:pPr>
            <w:r w:rsidRPr="00692926">
              <w:rPr>
                <w:sz w:val="18"/>
                <w:szCs w:val="18"/>
              </w:rPr>
              <w:t>-</w:t>
            </w:r>
          </w:p>
        </w:tc>
      </w:tr>
      <w:tr w:rsidR="00224102" w:rsidRPr="00604C75" w14:paraId="1A1C4D7A" w14:textId="77777777" w:rsidTr="00AD726D">
        <w:trPr>
          <w:trHeight w:val="113"/>
        </w:trPr>
        <w:tc>
          <w:tcPr>
            <w:tcW w:w="5178" w:type="dxa"/>
            <w:shd w:val="clear" w:color="auto" w:fill="FFFFFF"/>
          </w:tcPr>
          <w:p w14:paraId="752137BB" w14:textId="77777777" w:rsidR="00224102" w:rsidRPr="00604C75" w:rsidRDefault="00224102" w:rsidP="00224102">
            <w:pPr>
              <w:rPr>
                <w:snapToGrid w:val="0"/>
                <w:sz w:val="18"/>
              </w:rPr>
            </w:pPr>
            <w:r w:rsidRPr="00604C75">
              <w:rPr>
                <w:snapToGrid w:val="0"/>
                <w:sz w:val="18"/>
              </w:rPr>
              <w:t xml:space="preserve">  Impairment</w:t>
            </w:r>
          </w:p>
        </w:tc>
        <w:tc>
          <w:tcPr>
            <w:tcW w:w="2073" w:type="dxa"/>
            <w:shd w:val="clear" w:color="auto" w:fill="FFFFFF"/>
            <w:vAlign w:val="bottom"/>
          </w:tcPr>
          <w:p w14:paraId="1663FD8B" w14:textId="12B6A9AD" w:rsidR="00224102" w:rsidRPr="00692926" w:rsidRDefault="00224102" w:rsidP="00224102">
            <w:pPr>
              <w:tabs>
                <w:tab w:val="left" w:pos="0"/>
              </w:tabs>
              <w:jc w:val="right"/>
              <w:rPr>
                <w:sz w:val="18"/>
                <w:szCs w:val="18"/>
              </w:rPr>
            </w:pPr>
            <w:r w:rsidRPr="00692926">
              <w:rPr>
                <w:sz w:val="18"/>
                <w:szCs w:val="18"/>
              </w:rPr>
              <w:t>-</w:t>
            </w:r>
          </w:p>
        </w:tc>
        <w:tc>
          <w:tcPr>
            <w:tcW w:w="2128" w:type="dxa"/>
            <w:shd w:val="clear" w:color="auto" w:fill="FFFFFF"/>
            <w:vAlign w:val="bottom"/>
          </w:tcPr>
          <w:p w14:paraId="150273AC" w14:textId="58D17EA6" w:rsidR="00224102" w:rsidRPr="00692926" w:rsidRDefault="00224102" w:rsidP="00224102">
            <w:pPr>
              <w:tabs>
                <w:tab w:val="left" w:pos="0"/>
              </w:tabs>
              <w:jc w:val="right"/>
              <w:rPr>
                <w:sz w:val="18"/>
                <w:szCs w:val="18"/>
              </w:rPr>
            </w:pPr>
            <w:r w:rsidRPr="00692926">
              <w:rPr>
                <w:sz w:val="18"/>
                <w:szCs w:val="18"/>
              </w:rPr>
              <w:t>-</w:t>
            </w:r>
          </w:p>
        </w:tc>
      </w:tr>
      <w:tr w:rsidR="00224102" w:rsidRPr="00604C75" w14:paraId="4C34D028" w14:textId="77777777" w:rsidTr="00AD726D">
        <w:trPr>
          <w:trHeight w:val="113"/>
        </w:trPr>
        <w:tc>
          <w:tcPr>
            <w:tcW w:w="5178" w:type="dxa"/>
            <w:shd w:val="clear" w:color="auto" w:fill="FFFFFF"/>
          </w:tcPr>
          <w:p w14:paraId="4AD4F971" w14:textId="77777777" w:rsidR="00224102" w:rsidRPr="00604C75" w:rsidRDefault="00224102" w:rsidP="00224102">
            <w:pPr>
              <w:rPr>
                <w:snapToGrid w:val="0"/>
                <w:sz w:val="18"/>
              </w:rPr>
            </w:pPr>
            <w:r w:rsidRPr="00604C75">
              <w:rPr>
                <w:snapToGrid w:val="0"/>
                <w:sz w:val="18"/>
              </w:rPr>
              <w:t xml:space="preserve">  Impairment Reversal</w:t>
            </w:r>
          </w:p>
        </w:tc>
        <w:tc>
          <w:tcPr>
            <w:tcW w:w="2073" w:type="dxa"/>
            <w:shd w:val="clear" w:color="auto" w:fill="FFFFFF"/>
            <w:vAlign w:val="bottom"/>
          </w:tcPr>
          <w:p w14:paraId="67723FC3" w14:textId="7B380DD9" w:rsidR="00224102" w:rsidRPr="00692926" w:rsidRDefault="00224102" w:rsidP="00224102">
            <w:pPr>
              <w:tabs>
                <w:tab w:val="left" w:pos="0"/>
              </w:tabs>
              <w:jc w:val="right"/>
              <w:rPr>
                <w:sz w:val="18"/>
                <w:szCs w:val="18"/>
              </w:rPr>
            </w:pPr>
            <w:r w:rsidRPr="00692926">
              <w:rPr>
                <w:sz w:val="18"/>
                <w:szCs w:val="18"/>
              </w:rPr>
              <w:t>-</w:t>
            </w:r>
          </w:p>
        </w:tc>
        <w:tc>
          <w:tcPr>
            <w:tcW w:w="2128" w:type="dxa"/>
            <w:shd w:val="clear" w:color="auto" w:fill="FFFFFF"/>
            <w:vAlign w:val="bottom"/>
          </w:tcPr>
          <w:p w14:paraId="25050245" w14:textId="11BC9C54" w:rsidR="00224102" w:rsidRPr="00692926" w:rsidRDefault="00224102" w:rsidP="00224102">
            <w:pPr>
              <w:tabs>
                <w:tab w:val="left" w:pos="0"/>
              </w:tabs>
              <w:jc w:val="right"/>
              <w:rPr>
                <w:sz w:val="18"/>
                <w:szCs w:val="18"/>
              </w:rPr>
            </w:pPr>
            <w:r w:rsidRPr="00692926">
              <w:rPr>
                <w:sz w:val="18"/>
                <w:szCs w:val="18"/>
              </w:rPr>
              <w:t>-</w:t>
            </w:r>
          </w:p>
        </w:tc>
      </w:tr>
      <w:tr w:rsidR="00224102" w:rsidRPr="00604C75" w14:paraId="74BF175F" w14:textId="77777777" w:rsidTr="00AD726D">
        <w:trPr>
          <w:trHeight w:val="113"/>
        </w:trPr>
        <w:tc>
          <w:tcPr>
            <w:tcW w:w="5178" w:type="dxa"/>
            <w:shd w:val="clear" w:color="auto" w:fill="FFFFFF"/>
          </w:tcPr>
          <w:p w14:paraId="21226620" w14:textId="77777777" w:rsidR="00224102" w:rsidRPr="00604C75" w:rsidRDefault="00224102" w:rsidP="00224102">
            <w:pPr>
              <w:rPr>
                <w:snapToGrid w:val="0"/>
                <w:sz w:val="18"/>
              </w:rPr>
            </w:pPr>
            <w:r w:rsidRPr="00604C75">
              <w:rPr>
                <w:snapToGrid w:val="0"/>
                <w:sz w:val="18"/>
              </w:rPr>
              <w:t xml:space="preserve">  </w:t>
            </w:r>
            <w:proofErr w:type="spellStart"/>
            <w:r w:rsidRPr="00604C75">
              <w:rPr>
                <w:snapToGrid w:val="0"/>
                <w:sz w:val="18"/>
              </w:rPr>
              <w:t>Amortisation</w:t>
            </w:r>
            <w:proofErr w:type="spellEnd"/>
            <w:r w:rsidRPr="00604C75">
              <w:rPr>
                <w:snapToGrid w:val="0"/>
                <w:sz w:val="18"/>
              </w:rPr>
              <w:t xml:space="preserve"> (-)</w:t>
            </w:r>
          </w:p>
        </w:tc>
        <w:tc>
          <w:tcPr>
            <w:tcW w:w="2073" w:type="dxa"/>
            <w:shd w:val="clear" w:color="auto" w:fill="FFFFFF"/>
            <w:vAlign w:val="bottom"/>
          </w:tcPr>
          <w:p w14:paraId="3FB49A10" w14:textId="4461041C" w:rsidR="00224102" w:rsidRPr="00692926" w:rsidRDefault="00224102" w:rsidP="00224102">
            <w:pPr>
              <w:jc w:val="right"/>
              <w:rPr>
                <w:sz w:val="18"/>
                <w:szCs w:val="18"/>
              </w:rPr>
            </w:pPr>
            <w:r>
              <w:rPr>
                <w:sz w:val="18"/>
                <w:szCs w:val="18"/>
              </w:rPr>
              <w:t>3,884</w:t>
            </w:r>
          </w:p>
        </w:tc>
        <w:tc>
          <w:tcPr>
            <w:tcW w:w="2128" w:type="dxa"/>
            <w:shd w:val="clear" w:color="auto" w:fill="FFFFFF"/>
            <w:vAlign w:val="bottom"/>
          </w:tcPr>
          <w:p w14:paraId="0E8739BF" w14:textId="43E4A7BC" w:rsidR="00224102" w:rsidRPr="00692926" w:rsidRDefault="00224102" w:rsidP="00224102">
            <w:pPr>
              <w:tabs>
                <w:tab w:val="left" w:pos="0"/>
              </w:tabs>
              <w:jc w:val="right"/>
              <w:rPr>
                <w:sz w:val="18"/>
                <w:szCs w:val="18"/>
              </w:rPr>
            </w:pPr>
            <w:r w:rsidRPr="00692926">
              <w:rPr>
                <w:sz w:val="18"/>
                <w:szCs w:val="18"/>
              </w:rPr>
              <w:t>3,193</w:t>
            </w:r>
          </w:p>
        </w:tc>
      </w:tr>
      <w:tr w:rsidR="00224102" w:rsidRPr="00604C75" w14:paraId="38E83466" w14:textId="77777777" w:rsidTr="00AD726D">
        <w:trPr>
          <w:trHeight w:val="113"/>
        </w:trPr>
        <w:tc>
          <w:tcPr>
            <w:tcW w:w="5178" w:type="dxa"/>
            <w:shd w:val="clear" w:color="auto" w:fill="FFFFFF"/>
          </w:tcPr>
          <w:p w14:paraId="61F0802F" w14:textId="77777777" w:rsidR="00224102" w:rsidRPr="00604C75" w:rsidRDefault="00224102" w:rsidP="00224102">
            <w:pPr>
              <w:ind w:left="106"/>
              <w:rPr>
                <w:snapToGrid w:val="0"/>
                <w:sz w:val="18"/>
              </w:rPr>
            </w:pPr>
            <w:r w:rsidRPr="00604C75">
              <w:rPr>
                <w:snapToGrid w:val="0"/>
                <w:sz w:val="18"/>
              </w:rPr>
              <w:t>Net Foreign Currency Difference From Foreign Investments in Associates</w:t>
            </w:r>
          </w:p>
        </w:tc>
        <w:tc>
          <w:tcPr>
            <w:tcW w:w="2073" w:type="dxa"/>
            <w:shd w:val="clear" w:color="auto" w:fill="FFFFFF"/>
            <w:vAlign w:val="bottom"/>
          </w:tcPr>
          <w:p w14:paraId="627281D5" w14:textId="4952DEFF" w:rsidR="00224102" w:rsidRPr="00692926" w:rsidRDefault="00224102" w:rsidP="00224102">
            <w:pPr>
              <w:jc w:val="right"/>
              <w:rPr>
                <w:sz w:val="18"/>
                <w:szCs w:val="18"/>
              </w:rPr>
            </w:pPr>
            <w:r>
              <w:rPr>
                <w:sz w:val="18"/>
                <w:szCs w:val="18"/>
              </w:rPr>
              <w:t>-</w:t>
            </w:r>
          </w:p>
        </w:tc>
        <w:tc>
          <w:tcPr>
            <w:tcW w:w="2128" w:type="dxa"/>
            <w:shd w:val="clear" w:color="auto" w:fill="FFFFFF"/>
            <w:vAlign w:val="bottom"/>
          </w:tcPr>
          <w:p w14:paraId="5DEBC4C2" w14:textId="7189A8EE" w:rsidR="00224102" w:rsidRPr="00692926" w:rsidRDefault="00224102" w:rsidP="00224102">
            <w:pPr>
              <w:tabs>
                <w:tab w:val="left" w:pos="0"/>
              </w:tabs>
              <w:jc w:val="right"/>
              <w:rPr>
                <w:sz w:val="18"/>
                <w:szCs w:val="18"/>
              </w:rPr>
            </w:pPr>
            <w:r w:rsidRPr="00692926">
              <w:rPr>
                <w:sz w:val="18"/>
                <w:szCs w:val="18"/>
              </w:rPr>
              <w:t>-</w:t>
            </w:r>
          </w:p>
        </w:tc>
      </w:tr>
      <w:tr w:rsidR="00224102" w:rsidRPr="00604C75" w14:paraId="35D8BEB8" w14:textId="77777777" w:rsidTr="00AD726D">
        <w:trPr>
          <w:trHeight w:val="113"/>
        </w:trPr>
        <w:tc>
          <w:tcPr>
            <w:tcW w:w="5178" w:type="dxa"/>
            <w:shd w:val="clear" w:color="auto" w:fill="FFFFFF"/>
          </w:tcPr>
          <w:p w14:paraId="3F2EF270" w14:textId="77777777" w:rsidR="00224102" w:rsidRPr="00604C75" w:rsidRDefault="00224102" w:rsidP="00224102">
            <w:pPr>
              <w:rPr>
                <w:snapToGrid w:val="0"/>
                <w:sz w:val="18"/>
              </w:rPr>
            </w:pPr>
            <w:r w:rsidRPr="00604C75">
              <w:rPr>
                <w:snapToGrid w:val="0"/>
                <w:sz w:val="18"/>
              </w:rPr>
              <w:t xml:space="preserve">  Other Changes in Book Value</w:t>
            </w:r>
          </w:p>
        </w:tc>
        <w:tc>
          <w:tcPr>
            <w:tcW w:w="2073" w:type="dxa"/>
            <w:shd w:val="clear" w:color="auto" w:fill="FFFFFF"/>
            <w:vAlign w:val="bottom"/>
          </w:tcPr>
          <w:p w14:paraId="0717942C" w14:textId="53861192" w:rsidR="00224102" w:rsidRPr="00692926" w:rsidRDefault="00224102" w:rsidP="00224102">
            <w:pPr>
              <w:jc w:val="right"/>
              <w:rPr>
                <w:sz w:val="18"/>
                <w:szCs w:val="18"/>
              </w:rPr>
            </w:pPr>
            <w:r>
              <w:rPr>
                <w:sz w:val="18"/>
                <w:szCs w:val="18"/>
              </w:rPr>
              <w:t>-</w:t>
            </w:r>
          </w:p>
        </w:tc>
        <w:tc>
          <w:tcPr>
            <w:tcW w:w="2128" w:type="dxa"/>
            <w:shd w:val="clear" w:color="auto" w:fill="FFFFFF"/>
            <w:vAlign w:val="bottom"/>
          </w:tcPr>
          <w:p w14:paraId="2E9C1B86" w14:textId="5C5812FC" w:rsidR="00224102" w:rsidRPr="00692926" w:rsidRDefault="00224102" w:rsidP="00224102">
            <w:pPr>
              <w:tabs>
                <w:tab w:val="left" w:pos="0"/>
              </w:tabs>
              <w:jc w:val="right"/>
              <w:rPr>
                <w:sz w:val="18"/>
                <w:szCs w:val="18"/>
              </w:rPr>
            </w:pPr>
            <w:r w:rsidRPr="00692926">
              <w:rPr>
                <w:sz w:val="18"/>
                <w:szCs w:val="18"/>
              </w:rPr>
              <w:t>-</w:t>
            </w:r>
          </w:p>
        </w:tc>
      </w:tr>
      <w:tr w:rsidR="00224102" w:rsidRPr="00604C75" w14:paraId="1FB50130" w14:textId="77777777" w:rsidTr="00AD726D">
        <w:trPr>
          <w:trHeight w:val="113"/>
        </w:trPr>
        <w:tc>
          <w:tcPr>
            <w:tcW w:w="5178" w:type="dxa"/>
            <w:shd w:val="clear" w:color="auto" w:fill="FFFFFF"/>
          </w:tcPr>
          <w:p w14:paraId="571966EB" w14:textId="77777777" w:rsidR="00224102" w:rsidRPr="00604C75" w:rsidRDefault="00224102" w:rsidP="00224102">
            <w:pPr>
              <w:rPr>
                <w:b/>
                <w:snapToGrid w:val="0"/>
                <w:sz w:val="18"/>
              </w:rPr>
            </w:pPr>
            <w:r w:rsidRPr="00604C75">
              <w:rPr>
                <w:b/>
                <w:snapToGrid w:val="0"/>
                <w:sz w:val="18"/>
              </w:rPr>
              <w:t xml:space="preserve">  End of the Period </w:t>
            </w:r>
          </w:p>
        </w:tc>
        <w:tc>
          <w:tcPr>
            <w:tcW w:w="2073" w:type="dxa"/>
            <w:shd w:val="clear" w:color="auto" w:fill="FFFFFF"/>
            <w:vAlign w:val="bottom"/>
          </w:tcPr>
          <w:p w14:paraId="048E298E" w14:textId="78DFFD39" w:rsidR="00224102" w:rsidRPr="00692926" w:rsidRDefault="00224102" w:rsidP="00224102">
            <w:pPr>
              <w:jc w:val="right"/>
              <w:rPr>
                <w:b/>
                <w:sz w:val="18"/>
                <w:szCs w:val="18"/>
              </w:rPr>
            </w:pPr>
            <w:r>
              <w:rPr>
                <w:b/>
                <w:sz w:val="18"/>
                <w:szCs w:val="18"/>
              </w:rPr>
              <w:t>33,161</w:t>
            </w:r>
          </w:p>
        </w:tc>
        <w:tc>
          <w:tcPr>
            <w:tcW w:w="2128" w:type="dxa"/>
            <w:shd w:val="clear" w:color="auto" w:fill="FFFFFF"/>
            <w:vAlign w:val="bottom"/>
          </w:tcPr>
          <w:p w14:paraId="5CDCDA71" w14:textId="2AFABC6D" w:rsidR="00224102" w:rsidRPr="00692926" w:rsidRDefault="00224102" w:rsidP="00224102">
            <w:pPr>
              <w:tabs>
                <w:tab w:val="left" w:pos="0"/>
              </w:tabs>
              <w:jc w:val="right"/>
              <w:rPr>
                <w:b/>
                <w:sz w:val="18"/>
                <w:szCs w:val="18"/>
              </w:rPr>
            </w:pPr>
            <w:r w:rsidRPr="00692926">
              <w:rPr>
                <w:b/>
                <w:sz w:val="18"/>
                <w:szCs w:val="18"/>
              </w:rPr>
              <w:t>24,911</w:t>
            </w:r>
          </w:p>
        </w:tc>
      </w:tr>
    </w:tbl>
    <w:p w14:paraId="7DFB43A2" w14:textId="77777777" w:rsidR="0044575F" w:rsidRPr="00604C75" w:rsidRDefault="0044575F" w:rsidP="00AD726D">
      <w:pPr>
        <w:tabs>
          <w:tab w:val="left" w:pos="567"/>
        </w:tabs>
        <w:spacing w:before="120"/>
        <w:ind w:left="1276" w:hanging="1276"/>
        <w:jc w:val="both"/>
        <w:rPr>
          <w:b/>
          <w:sz w:val="20"/>
          <w:szCs w:val="20"/>
        </w:rPr>
      </w:pPr>
      <w:r w:rsidRPr="00604C75">
        <w:rPr>
          <w:b/>
          <w:sz w:val="20"/>
          <w:szCs w:val="20"/>
        </w:rPr>
        <w:t>n.</w:t>
      </w:r>
      <w:r w:rsidRPr="00604C75">
        <w:rPr>
          <w:b/>
          <w:sz w:val="20"/>
          <w:szCs w:val="20"/>
        </w:rPr>
        <w:tab/>
      </w:r>
      <w:r w:rsidRPr="00604C75">
        <w:rPr>
          <w:b/>
          <w:noProof/>
          <w:sz w:val="20"/>
          <w:szCs w:val="20"/>
        </w:rPr>
        <w:t>Information on investment property</w:t>
      </w:r>
    </w:p>
    <w:p w14:paraId="2B5E9CB5" w14:textId="77777777" w:rsidR="0044575F" w:rsidRPr="00604C75" w:rsidRDefault="0044575F" w:rsidP="009F03D9">
      <w:pPr>
        <w:pStyle w:val="BodyTextIndent"/>
        <w:spacing w:after="0"/>
        <w:ind w:left="1276"/>
        <w:rPr>
          <w:b/>
          <w:sz w:val="16"/>
          <w:szCs w:val="16"/>
        </w:rPr>
      </w:pPr>
    </w:p>
    <w:p w14:paraId="67AE9329" w14:textId="77777777" w:rsidR="0044575F" w:rsidRPr="00195EDC" w:rsidRDefault="0044575F" w:rsidP="00ED294D">
      <w:pPr>
        <w:jc w:val="both"/>
        <w:rPr>
          <w:bCs/>
          <w:sz w:val="20"/>
          <w:szCs w:val="20"/>
        </w:rPr>
      </w:pPr>
      <w:r w:rsidRPr="00604C75">
        <w:rPr>
          <w:bCs/>
          <w:sz w:val="20"/>
          <w:szCs w:val="20"/>
        </w:rPr>
        <w:t xml:space="preserve">There </w:t>
      </w:r>
      <w:r w:rsidR="00A461FC" w:rsidRPr="00195EDC">
        <w:rPr>
          <w:bCs/>
          <w:sz w:val="20"/>
          <w:szCs w:val="20"/>
        </w:rPr>
        <w:t>is no investment property</w:t>
      </w:r>
      <w:r w:rsidRPr="00195EDC">
        <w:rPr>
          <w:bCs/>
          <w:sz w:val="20"/>
          <w:szCs w:val="20"/>
        </w:rPr>
        <w:t xml:space="preserve"> (</w:t>
      </w:r>
      <w:r w:rsidR="00963FCF" w:rsidRPr="00195EDC">
        <w:rPr>
          <w:bCs/>
          <w:sz w:val="20"/>
          <w:szCs w:val="20"/>
        </w:rPr>
        <w:t xml:space="preserve">31 December </w:t>
      </w:r>
      <w:r w:rsidRPr="00195EDC">
        <w:rPr>
          <w:bCs/>
          <w:sz w:val="20"/>
          <w:szCs w:val="20"/>
        </w:rPr>
        <w:t>201</w:t>
      </w:r>
      <w:r w:rsidR="00D26537" w:rsidRPr="00195EDC">
        <w:rPr>
          <w:bCs/>
          <w:sz w:val="20"/>
          <w:szCs w:val="20"/>
        </w:rPr>
        <w:t>4</w:t>
      </w:r>
      <w:r w:rsidRPr="00195EDC">
        <w:rPr>
          <w:bCs/>
          <w:sz w:val="20"/>
          <w:szCs w:val="20"/>
        </w:rPr>
        <w:t>: None).</w:t>
      </w:r>
    </w:p>
    <w:p w14:paraId="2F5069B5" w14:textId="77777777" w:rsidR="0044575F" w:rsidRPr="00195EDC" w:rsidRDefault="0044575F" w:rsidP="009F03D9">
      <w:pPr>
        <w:tabs>
          <w:tab w:val="left" w:pos="1276"/>
        </w:tabs>
        <w:ind w:left="1276"/>
        <w:jc w:val="both"/>
        <w:rPr>
          <w:b/>
          <w:sz w:val="16"/>
          <w:szCs w:val="16"/>
        </w:rPr>
      </w:pPr>
    </w:p>
    <w:p w14:paraId="3AF4081D" w14:textId="77777777" w:rsidR="0044575F" w:rsidRPr="00195EDC" w:rsidRDefault="0044575F" w:rsidP="00ED294D">
      <w:pPr>
        <w:tabs>
          <w:tab w:val="left" w:pos="567"/>
        </w:tabs>
        <w:ind w:left="1276" w:hanging="1276"/>
        <w:jc w:val="both"/>
        <w:rPr>
          <w:b/>
          <w:sz w:val="20"/>
          <w:szCs w:val="20"/>
        </w:rPr>
      </w:pPr>
      <w:r w:rsidRPr="00195EDC">
        <w:rPr>
          <w:b/>
          <w:sz w:val="20"/>
          <w:szCs w:val="20"/>
        </w:rPr>
        <w:t>o.</w:t>
      </w:r>
      <w:r w:rsidRPr="00195EDC">
        <w:rPr>
          <w:b/>
          <w:sz w:val="20"/>
          <w:szCs w:val="20"/>
        </w:rPr>
        <w:tab/>
      </w:r>
      <w:r w:rsidRPr="00195EDC">
        <w:rPr>
          <w:b/>
          <w:noProof/>
          <w:sz w:val="20"/>
          <w:szCs w:val="20"/>
        </w:rPr>
        <w:t>Movement of assets held for resale and discontinued operations</w:t>
      </w:r>
    </w:p>
    <w:p w14:paraId="3EE825B0" w14:textId="77777777" w:rsidR="0044575F" w:rsidRPr="00195EDC" w:rsidRDefault="0044575F" w:rsidP="00ED294D">
      <w:pPr>
        <w:pStyle w:val="BodyTextIndent"/>
        <w:tabs>
          <w:tab w:val="left" w:pos="567"/>
        </w:tabs>
        <w:spacing w:after="0"/>
        <w:ind w:left="1276" w:hanging="1276"/>
        <w:rPr>
          <w:bCs/>
          <w:sz w:val="16"/>
          <w:szCs w:val="16"/>
        </w:rPr>
      </w:pPr>
    </w:p>
    <w:p w14:paraId="6AFAB304" w14:textId="77777777" w:rsidR="004F0267" w:rsidRPr="00604C75" w:rsidRDefault="009401BC" w:rsidP="00ED294D">
      <w:pPr>
        <w:tabs>
          <w:tab w:val="left" w:pos="567"/>
        </w:tabs>
        <w:ind w:left="1276" w:hanging="1276"/>
        <w:jc w:val="both"/>
        <w:rPr>
          <w:bCs/>
          <w:sz w:val="20"/>
          <w:szCs w:val="20"/>
        </w:rPr>
      </w:pPr>
      <w:r w:rsidRPr="00195EDC">
        <w:rPr>
          <w:bCs/>
          <w:sz w:val="20"/>
          <w:szCs w:val="20"/>
        </w:rPr>
        <w:t xml:space="preserve">There is no assets held for sale and </w:t>
      </w:r>
      <w:r w:rsidRPr="00195EDC">
        <w:rPr>
          <w:noProof/>
          <w:sz w:val="20"/>
          <w:szCs w:val="20"/>
        </w:rPr>
        <w:t>discontinued operations</w:t>
      </w:r>
      <w:r w:rsidRPr="00195EDC">
        <w:rPr>
          <w:bCs/>
          <w:sz w:val="20"/>
          <w:szCs w:val="20"/>
        </w:rPr>
        <w:t xml:space="preserve"> (</w:t>
      </w:r>
      <w:r w:rsidR="00963FCF" w:rsidRPr="00195EDC">
        <w:rPr>
          <w:bCs/>
          <w:sz w:val="20"/>
          <w:szCs w:val="20"/>
        </w:rPr>
        <w:t>31</w:t>
      </w:r>
      <w:r w:rsidR="00963FCF" w:rsidRPr="00604C75">
        <w:rPr>
          <w:bCs/>
          <w:sz w:val="20"/>
          <w:szCs w:val="20"/>
        </w:rPr>
        <w:t xml:space="preserve"> December </w:t>
      </w:r>
      <w:r w:rsidRPr="00604C75">
        <w:rPr>
          <w:bCs/>
          <w:sz w:val="20"/>
          <w:szCs w:val="20"/>
        </w:rPr>
        <w:t>201</w:t>
      </w:r>
      <w:r w:rsidR="00D26537" w:rsidRPr="00604C75">
        <w:rPr>
          <w:bCs/>
          <w:sz w:val="20"/>
          <w:szCs w:val="20"/>
        </w:rPr>
        <w:t>4</w:t>
      </w:r>
      <w:r w:rsidRPr="00604C75">
        <w:rPr>
          <w:bCs/>
          <w:sz w:val="20"/>
          <w:szCs w:val="20"/>
        </w:rPr>
        <w:t>: None</w:t>
      </w:r>
      <w:r w:rsidR="00365E4C" w:rsidRPr="00604C75">
        <w:rPr>
          <w:bCs/>
          <w:sz w:val="20"/>
          <w:szCs w:val="20"/>
        </w:rPr>
        <w:t>).</w:t>
      </w:r>
    </w:p>
    <w:p w14:paraId="2EB297BE" w14:textId="77777777" w:rsidR="00DE2A4A" w:rsidRDefault="00DE2A4A" w:rsidP="00ED294D">
      <w:pPr>
        <w:tabs>
          <w:tab w:val="left" w:pos="567"/>
        </w:tabs>
        <w:ind w:left="1276" w:hanging="1276"/>
        <w:jc w:val="both"/>
        <w:rPr>
          <w:b/>
          <w:sz w:val="20"/>
          <w:szCs w:val="20"/>
        </w:rPr>
      </w:pPr>
    </w:p>
    <w:p w14:paraId="14740E19" w14:textId="77777777" w:rsidR="001D41FE" w:rsidRDefault="001D41FE" w:rsidP="00ED294D">
      <w:pPr>
        <w:tabs>
          <w:tab w:val="left" w:pos="567"/>
        </w:tabs>
        <w:ind w:left="1276" w:hanging="1276"/>
        <w:jc w:val="both"/>
        <w:rPr>
          <w:b/>
          <w:sz w:val="20"/>
          <w:szCs w:val="20"/>
        </w:rPr>
      </w:pPr>
    </w:p>
    <w:p w14:paraId="434D7FCB" w14:textId="77777777" w:rsidR="001D41FE" w:rsidRDefault="001D41FE" w:rsidP="00ED294D">
      <w:pPr>
        <w:tabs>
          <w:tab w:val="left" w:pos="567"/>
        </w:tabs>
        <w:ind w:left="1276" w:hanging="1276"/>
        <w:jc w:val="both"/>
        <w:rPr>
          <w:b/>
          <w:sz w:val="20"/>
          <w:szCs w:val="20"/>
        </w:rPr>
      </w:pPr>
    </w:p>
    <w:p w14:paraId="0F2C56C1" w14:textId="77777777" w:rsidR="001D41FE" w:rsidRDefault="001D41FE" w:rsidP="00ED294D">
      <w:pPr>
        <w:tabs>
          <w:tab w:val="left" w:pos="567"/>
        </w:tabs>
        <w:ind w:left="1276" w:hanging="1276"/>
        <w:jc w:val="both"/>
        <w:rPr>
          <w:b/>
          <w:sz w:val="20"/>
          <w:szCs w:val="20"/>
        </w:rPr>
      </w:pPr>
    </w:p>
    <w:p w14:paraId="3308F2F2" w14:textId="77777777" w:rsidR="001D41FE" w:rsidRDefault="001D41FE" w:rsidP="00ED294D">
      <w:pPr>
        <w:tabs>
          <w:tab w:val="left" w:pos="567"/>
        </w:tabs>
        <w:ind w:left="1276" w:hanging="1276"/>
        <w:jc w:val="both"/>
        <w:rPr>
          <w:b/>
          <w:sz w:val="20"/>
          <w:szCs w:val="20"/>
        </w:rPr>
      </w:pPr>
    </w:p>
    <w:p w14:paraId="795CF6AB" w14:textId="77777777" w:rsidR="001D41FE" w:rsidRDefault="001D41FE" w:rsidP="00ED294D">
      <w:pPr>
        <w:tabs>
          <w:tab w:val="left" w:pos="567"/>
        </w:tabs>
        <w:ind w:left="1276" w:hanging="1276"/>
        <w:jc w:val="both"/>
        <w:rPr>
          <w:b/>
          <w:sz w:val="20"/>
          <w:szCs w:val="20"/>
        </w:rPr>
      </w:pPr>
    </w:p>
    <w:p w14:paraId="7E6FE645" w14:textId="77777777" w:rsidR="001D41FE" w:rsidRDefault="001D41FE" w:rsidP="00ED294D">
      <w:pPr>
        <w:tabs>
          <w:tab w:val="left" w:pos="567"/>
        </w:tabs>
        <w:ind w:left="1276" w:hanging="1276"/>
        <w:jc w:val="both"/>
        <w:rPr>
          <w:b/>
          <w:sz w:val="20"/>
          <w:szCs w:val="20"/>
        </w:rPr>
      </w:pPr>
    </w:p>
    <w:p w14:paraId="25E1D17D" w14:textId="77777777" w:rsidR="001D41FE" w:rsidRDefault="001D41FE" w:rsidP="00ED294D">
      <w:pPr>
        <w:tabs>
          <w:tab w:val="left" w:pos="567"/>
        </w:tabs>
        <w:ind w:left="1276" w:hanging="1276"/>
        <w:jc w:val="both"/>
        <w:rPr>
          <w:b/>
          <w:sz w:val="20"/>
          <w:szCs w:val="20"/>
        </w:rPr>
      </w:pPr>
    </w:p>
    <w:p w14:paraId="632E7BF4" w14:textId="77777777" w:rsidR="00BC4A3E" w:rsidRDefault="00BC4A3E" w:rsidP="00ED294D">
      <w:pPr>
        <w:tabs>
          <w:tab w:val="left" w:pos="567"/>
        </w:tabs>
        <w:ind w:left="1276" w:hanging="1276"/>
        <w:jc w:val="both"/>
        <w:rPr>
          <w:b/>
          <w:sz w:val="20"/>
          <w:szCs w:val="20"/>
        </w:rPr>
      </w:pPr>
    </w:p>
    <w:p w14:paraId="09562DCA" w14:textId="77777777" w:rsidR="00BC4A3E" w:rsidRDefault="00BC4A3E" w:rsidP="00ED294D">
      <w:pPr>
        <w:tabs>
          <w:tab w:val="left" w:pos="567"/>
        </w:tabs>
        <w:ind w:left="1276" w:hanging="1276"/>
        <w:jc w:val="both"/>
        <w:rPr>
          <w:b/>
          <w:sz w:val="20"/>
          <w:szCs w:val="20"/>
        </w:rPr>
      </w:pPr>
    </w:p>
    <w:p w14:paraId="7BB89C52" w14:textId="77777777" w:rsidR="00647320" w:rsidRDefault="00647320" w:rsidP="001D41FE">
      <w:pPr>
        <w:jc w:val="both"/>
        <w:rPr>
          <w:rFonts w:eastAsia="Arial Unicode MS"/>
          <w:b/>
          <w:sz w:val="20"/>
          <w:szCs w:val="20"/>
        </w:rPr>
      </w:pPr>
    </w:p>
    <w:p w14:paraId="4B5BF2F1" w14:textId="77777777" w:rsidR="00972978" w:rsidRDefault="00972978">
      <w:pPr>
        <w:spacing w:after="200" w:line="276" w:lineRule="auto"/>
        <w:rPr>
          <w:rFonts w:eastAsia="Arial Unicode MS"/>
          <w:b/>
          <w:sz w:val="20"/>
          <w:szCs w:val="20"/>
        </w:rPr>
      </w:pPr>
      <w:r>
        <w:rPr>
          <w:rFonts w:eastAsia="Arial Unicode MS"/>
          <w:b/>
          <w:sz w:val="20"/>
          <w:szCs w:val="20"/>
        </w:rPr>
        <w:br w:type="page"/>
      </w:r>
    </w:p>
    <w:p w14:paraId="0AEDB9F5" w14:textId="2D9BC186" w:rsidR="001D41FE" w:rsidRPr="00604C75" w:rsidRDefault="00B27B7B" w:rsidP="001D41FE">
      <w:pPr>
        <w:jc w:val="both"/>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5D03961D" w14:textId="07A47F9B" w:rsidR="001D41FE" w:rsidRPr="00604C75" w:rsidRDefault="001D41FE" w:rsidP="00576E0A">
      <w:pPr>
        <w:pStyle w:val="Heading2"/>
        <w:tabs>
          <w:tab w:val="left" w:pos="851"/>
        </w:tabs>
        <w:spacing w:after="120"/>
        <w:rPr>
          <w:rFonts w:ascii="Times New Roman" w:hAnsi="Times New Roman"/>
          <w:caps/>
          <w:sz w:val="20"/>
        </w:rPr>
      </w:pPr>
      <w:r w:rsidRPr="00604C75">
        <w:rPr>
          <w:rFonts w:ascii="Times New Roman" w:hAnsi="Times New Roman"/>
          <w:caps/>
          <w:sz w:val="20"/>
        </w:rPr>
        <w:t xml:space="preserve">I.         </w:t>
      </w:r>
      <w:r w:rsidR="00647320" w:rsidRPr="00647320">
        <w:rPr>
          <w:rFonts w:ascii="Times New Roman" w:hAnsi="Times New Roman"/>
          <w:sz w:val="20"/>
        </w:rPr>
        <w:t>Explanations</w:t>
      </w:r>
      <w:r w:rsidR="00647320" w:rsidRPr="00647320" w:rsidDel="002C004A">
        <w:rPr>
          <w:rFonts w:ascii="Times New Roman" w:hAnsi="Times New Roman"/>
          <w:caps/>
          <w:sz w:val="20"/>
        </w:rPr>
        <w:t xml:space="preserve"> </w:t>
      </w:r>
      <w:r w:rsidR="00647320" w:rsidRPr="00647320">
        <w:rPr>
          <w:rFonts w:ascii="Times New Roman" w:hAnsi="Times New Roman"/>
          <w:sz w:val="20"/>
        </w:rPr>
        <w:t>and Notes on Assets</w:t>
      </w:r>
      <w:r w:rsidR="00647320" w:rsidRPr="00604C75" w:rsidDel="002C004A">
        <w:rPr>
          <w:rFonts w:ascii="Times New Roman" w:hAnsi="Times New Roman"/>
          <w:caps/>
          <w:sz w:val="20"/>
        </w:rPr>
        <w:t xml:space="preserve"> </w:t>
      </w:r>
      <w:r w:rsidRPr="00604C75">
        <w:rPr>
          <w:rFonts w:ascii="Times New Roman" w:hAnsi="Times New Roman"/>
          <w:bCs/>
          <w:sz w:val="20"/>
        </w:rPr>
        <w:t>(Continued)</w:t>
      </w:r>
    </w:p>
    <w:p w14:paraId="6DA2B385" w14:textId="77777777" w:rsidR="0044575F" w:rsidRPr="00604C75" w:rsidRDefault="0044575F" w:rsidP="00ED294D">
      <w:pPr>
        <w:tabs>
          <w:tab w:val="left" w:pos="567"/>
        </w:tabs>
        <w:ind w:left="1276" w:hanging="1276"/>
        <w:jc w:val="both"/>
        <w:rPr>
          <w:b/>
          <w:sz w:val="20"/>
          <w:szCs w:val="20"/>
        </w:rPr>
      </w:pPr>
      <w:r w:rsidRPr="00604C75">
        <w:rPr>
          <w:b/>
          <w:sz w:val="20"/>
          <w:szCs w:val="20"/>
        </w:rPr>
        <w:t>p.</w:t>
      </w:r>
      <w:r w:rsidRPr="00604C75">
        <w:rPr>
          <w:b/>
          <w:sz w:val="20"/>
          <w:szCs w:val="20"/>
        </w:rPr>
        <w:tab/>
      </w:r>
      <w:r w:rsidRPr="00604C75">
        <w:rPr>
          <w:b/>
          <w:noProof/>
          <w:sz w:val="20"/>
          <w:szCs w:val="20"/>
        </w:rPr>
        <w:t>Information on other assets</w:t>
      </w:r>
    </w:p>
    <w:p w14:paraId="15CDDF1E" w14:textId="77777777" w:rsidR="0044575F" w:rsidRPr="00604C75" w:rsidRDefault="0044575F" w:rsidP="00ED294D">
      <w:pPr>
        <w:pStyle w:val="BodyTextIndent"/>
        <w:tabs>
          <w:tab w:val="left" w:pos="567"/>
        </w:tabs>
        <w:spacing w:after="0"/>
        <w:ind w:left="1276" w:hanging="1276"/>
        <w:rPr>
          <w:sz w:val="16"/>
          <w:szCs w:val="16"/>
        </w:rPr>
      </w:pPr>
    </w:p>
    <w:p w14:paraId="15F547A9" w14:textId="77777777" w:rsidR="0044575F" w:rsidRPr="00604C75" w:rsidRDefault="0044575F" w:rsidP="008477F3">
      <w:pPr>
        <w:pStyle w:val="BodyTextIndent"/>
        <w:numPr>
          <w:ilvl w:val="0"/>
          <w:numId w:val="19"/>
        </w:numPr>
        <w:tabs>
          <w:tab w:val="left" w:pos="567"/>
          <w:tab w:val="left" w:pos="1701"/>
        </w:tabs>
        <w:spacing w:after="0"/>
        <w:ind w:left="1701" w:hanging="1701"/>
        <w:jc w:val="both"/>
        <w:rPr>
          <w:sz w:val="20"/>
          <w:szCs w:val="20"/>
        </w:rPr>
      </w:pPr>
      <w:r w:rsidRPr="00604C75">
        <w:rPr>
          <w:sz w:val="20"/>
          <w:szCs w:val="20"/>
        </w:rPr>
        <w:t>The distribution of other assets</w:t>
      </w:r>
    </w:p>
    <w:p w14:paraId="7DCAD5FD" w14:textId="77777777" w:rsidR="0044575F" w:rsidRPr="00604C75" w:rsidRDefault="0044575F" w:rsidP="00ED294D">
      <w:pPr>
        <w:pStyle w:val="BodyTextIndent"/>
        <w:tabs>
          <w:tab w:val="left" w:pos="567"/>
        </w:tabs>
        <w:spacing w:after="0"/>
        <w:ind w:left="1276" w:hanging="1276"/>
        <w:rPr>
          <w:sz w:val="16"/>
          <w:szCs w:val="16"/>
        </w:rPr>
      </w:pPr>
    </w:p>
    <w:tbl>
      <w:tblPr>
        <w:tblW w:w="9407"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180"/>
        <w:gridCol w:w="2071"/>
        <w:gridCol w:w="2156"/>
      </w:tblGrid>
      <w:tr w:rsidR="001110AB" w:rsidRPr="00604C75" w14:paraId="5B8F0DF1" w14:textId="77777777" w:rsidTr="00972978">
        <w:trPr>
          <w:trHeight w:val="189"/>
        </w:trPr>
        <w:tc>
          <w:tcPr>
            <w:tcW w:w="5180" w:type="dxa"/>
          </w:tcPr>
          <w:p w14:paraId="69804292" w14:textId="77777777" w:rsidR="001110AB" w:rsidRPr="00604C75" w:rsidRDefault="001110AB" w:rsidP="006248D0">
            <w:pPr>
              <w:tabs>
                <w:tab w:val="left" w:pos="0"/>
              </w:tabs>
              <w:rPr>
                <w:b/>
                <w:snapToGrid w:val="0"/>
                <w:sz w:val="18"/>
                <w:szCs w:val="18"/>
              </w:rPr>
            </w:pPr>
          </w:p>
        </w:tc>
        <w:tc>
          <w:tcPr>
            <w:tcW w:w="2071" w:type="dxa"/>
            <w:vAlign w:val="bottom"/>
          </w:tcPr>
          <w:p w14:paraId="7886B806" w14:textId="059245FE" w:rsidR="001110AB" w:rsidRPr="00604C75" w:rsidRDefault="00D25C8A" w:rsidP="00972978">
            <w:pPr>
              <w:tabs>
                <w:tab w:val="left" w:pos="0"/>
              </w:tabs>
              <w:ind w:right="57"/>
              <w:jc w:val="right"/>
              <w:rPr>
                <w:b/>
                <w:bCs/>
                <w:sz w:val="18"/>
              </w:rPr>
            </w:pPr>
            <w:r>
              <w:rPr>
                <w:b/>
                <w:bCs/>
                <w:sz w:val="18"/>
                <w:szCs w:val="18"/>
              </w:rPr>
              <w:t>31 December</w:t>
            </w:r>
            <w:r w:rsidRPr="00604C75">
              <w:rPr>
                <w:b/>
                <w:bCs/>
                <w:sz w:val="18"/>
                <w:szCs w:val="18"/>
              </w:rPr>
              <w:t xml:space="preserve"> </w:t>
            </w:r>
            <w:r w:rsidR="00266041" w:rsidRPr="00604C75">
              <w:rPr>
                <w:b/>
                <w:bCs/>
                <w:sz w:val="18"/>
                <w:szCs w:val="18"/>
              </w:rPr>
              <w:t>2015</w:t>
            </w:r>
          </w:p>
        </w:tc>
        <w:tc>
          <w:tcPr>
            <w:tcW w:w="2156" w:type="dxa"/>
            <w:vAlign w:val="bottom"/>
          </w:tcPr>
          <w:p w14:paraId="634EA7FA" w14:textId="5793CAC8" w:rsidR="001110AB" w:rsidRPr="00604C75" w:rsidRDefault="00266041" w:rsidP="00972978">
            <w:pPr>
              <w:tabs>
                <w:tab w:val="left" w:pos="0"/>
              </w:tabs>
              <w:ind w:right="57"/>
              <w:jc w:val="right"/>
              <w:rPr>
                <w:b/>
                <w:bCs/>
                <w:sz w:val="18"/>
              </w:rPr>
            </w:pPr>
            <w:r w:rsidRPr="00604C75">
              <w:rPr>
                <w:b/>
                <w:bCs/>
                <w:snapToGrid w:val="0"/>
                <w:sz w:val="18"/>
              </w:rPr>
              <w:t>31 December 2014</w:t>
            </w:r>
          </w:p>
        </w:tc>
      </w:tr>
      <w:tr w:rsidR="001110AB" w:rsidRPr="00604C75" w14:paraId="5A3E08B4" w14:textId="77777777" w:rsidTr="00972978">
        <w:trPr>
          <w:trHeight w:val="189"/>
        </w:trPr>
        <w:tc>
          <w:tcPr>
            <w:tcW w:w="5180" w:type="dxa"/>
            <w:vAlign w:val="bottom"/>
          </w:tcPr>
          <w:p w14:paraId="1A16B483" w14:textId="77777777" w:rsidR="001110AB" w:rsidRPr="00604C75" w:rsidRDefault="001110AB" w:rsidP="006248D0">
            <w:pPr>
              <w:tabs>
                <w:tab w:val="left" w:pos="0"/>
              </w:tabs>
              <w:rPr>
                <w:b/>
                <w:sz w:val="18"/>
                <w:szCs w:val="18"/>
              </w:rPr>
            </w:pPr>
            <w:r w:rsidRPr="00604C75">
              <w:rPr>
                <w:b/>
                <w:sz w:val="18"/>
                <w:szCs w:val="18"/>
              </w:rPr>
              <w:t>Other Assets</w:t>
            </w:r>
          </w:p>
        </w:tc>
        <w:tc>
          <w:tcPr>
            <w:tcW w:w="2071" w:type="dxa"/>
            <w:vAlign w:val="bottom"/>
          </w:tcPr>
          <w:p w14:paraId="7417D6E2" w14:textId="77777777" w:rsidR="001110AB" w:rsidRPr="00604C75" w:rsidRDefault="001110AB" w:rsidP="00972978">
            <w:pPr>
              <w:tabs>
                <w:tab w:val="left" w:pos="0"/>
              </w:tabs>
              <w:ind w:right="57"/>
              <w:jc w:val="right"/>
              <w:rPr>
                <w:rFonts w:eastAsia="Arial Unicode MS"/>
                <w:b/>
                <w:bCs/>
                <w:sz w:val="18"/>
                <w:szCs w:val="18"/>
              </w:rPr>
            </w:pPr>
          </w:p>
        </w:tc>
        <w:tc>
          <w:tcPr>
            <w:tcW w:w="2156" w:type="dxa"/>
            <w:vAlign w:val="bottom"/>
          </w:tcPr>
          <w:p w14:paraId="519B9F60" w14:textId="77777777" w:rsidR="001110AB" w:rsidRPr="00604C75" w:rsidRDefault="001110AB" w:rsidP="00972978">
            <w:pPr>
              <w:tabs>
                <w:tab w:val="left" w:pos="0"/>
              </w:tabs>
              <w:ind w:right="57"/>
              <w:jc w:val="right"/>
              <w:rPr>
                <w:rFonts w:eastAsia="Arial Unicode MS"/>
                <w:b/>
                <w:bCs/>
                <w:sz w:val="18"/>
                <w:szCs w:val="18"/>
              </w:rPr>
            </w:pPr>
          </w:p>
        </w:tc>
      </w:tr>
      <w:tr w:rsidR="00224102" w:rsidRPr="00604C75" w14:paraId="5499A861" w14:textId="77777777" w:rsidTr="00972978">
        <w:trPr>
          <w:trHeight w:val="189"/>
        </w:trPr>
        <w:tc>
          <w:tcPr>
            <w:tcW w:w="5180" w:type="dxa"/>
            <w:vAlign w:val="bottom"/>
          </w:tcPr>
          <w:p w14:paraId="18E0D1A3" w14:textId="0200F31E" w:rsidR="00224102" w:rsidRPr="00604C75" w:rsidRDefault="00224102" w:rsidP="00224102">
            <w:pPr>
              <w:tabs>
                <w:tab w:val="left" w:pos="0"/>
              </w:tabs>
              <w:rPr>
                <w:sz w:val="18"/>
                <w:szCs w:val="18"/>
              </w:rPr>
            </w:pPr>
            <w:r w:rsidRPr="00604C75">
              <w:rPr>
                <w:sz w:val="18"/>
                <w:szCs w:val="18"/>
              </w:rPr>
              <w:t xml:space="preserve">Receivables from </w:t>
            </w:r>
            <w:r>
              <w:rPr>
                <w:sz w:val="18"/>
                <w:szCs w:val="18"/>
              </w:rPr>
              <w:t>C</w:t>
            </w:r>
            <w:r w:rsidRPr="00604C75">
              <w:rPr>
                <w:sz w:val="18"/>
                <w:szCs w:val="18"/>
              </w:rPr>
              <w:t>learing</w:t>
            </w:r>
          </w:p>
        </w:tc>
        <w:tc>
          <w:tcPr>
            <w:tcW w:w="2071" w:type="dxa"/>
            <w:vAlign w:val="bottom"/>
          </w:tcPr>
          <w:p w14:paraId="03D71171" w14:textId="619E74AB" w:rsidR="00224102" w:rsidRDefault="00224102" w:rsidP="00972978">
            <w:pPr>
              <w:ind w:right="57"/>
              <w:jc w:val="right"/>
              <w:rPr>
                <w:sz w:val="18"/>
                <w:szCs w:val="18"/>
              </w:rPr>
            </w:pPr>
            <w:r>
              <w:rPr>
                <w:sz w:val="18"/>
                <w:szCs w:val="18"/>
              </w:rPr>
              <w:t>54,327</w:t>
            </w:r>
          </w:p>
        </w:tc>
        <w:tc>
          <w:tcPr>
            <w:tcW w:w="2156" w:type="dxa"/>
            <w:vAlign w:val="bottom"/>
          </w:tcPr>
          <w:p w14:paraId="6CC4CA81" w14:textId="5DA71B96" w:rsidR="00224102" w:rsidRPr="00692926" w:rsidRDefault="00224102" w:rsidP="00972978">
            <w:pPr>
              <w:tabs>
                <w:tab w:val="left" w:pos="0"/>
              </w:tabs>
              <w:ind w:right="57"/>
              <w:jc w:val="right"/>
              <w:rPr>
                <w:rFonts w:eastAsia="Arial Unicode MS"/>
                <w:sz w:val="18"/>
                <w:szCs w:val="18"/>
              </w:rPr>
            </w:pPr>
            <w:r w:rsidRPr="00692926">
              <w:rPr>
                <w:rFonts w:eastAsia="Arial Unicode MS"/>
                <w:sz w:val="18"/>
                <w:szCs w:val="18"/>
              </w:rPr>
              <w:t>71,311</w:t>
            </w:r>
          </w:p>
        </w:tc>
      </w:tr>
      <w:tr w:rsidR="00224102" w:rsidRPr="00604C75" w14:paraId="7D420674" w14:textId="77777777" w:rsidTr="00972978">
        <w:trPr>
          <w:trHeight w:val="189"/>
        </w:trPr>
        <w:tc>
          <w:tcPr>
            <w:tcW w:w="5180" w:type="dxa"/>
            <w:vAlign w:val="bottom"/>
          </w:tcPr>
          <w:p w14:paraId="25DD7246" w14:textId="0FBB7743" w:rsidR="00224102" w:rsidRPr="00604C75" w:rsidRDefault="00224102" w:rsidP="00224102">
            <w:pPr>
              <w:tabs>
                <w:tab w:val="left" w:pos="0"/>
              </w:tabs>
              <w:rPr>
                <w:sz w:val="18"/>
                <w:szCs w:val="18"/>
              </w:rPr>
            </w:pPr>
            <w:r w:rsidRPr="00604C75">
              <w:rPr>
                <w:sz w:val="18"/>
                <w:szCs w:val="18"/>
              </w:rPr>
              <w:t xml:space="preserve">Assets </w:t>
            </w:r>
            <w:r>
              <w:rPr>
                <w:sz w:val="18"/>
                <w:szCs w:val="18"/>
              </w:rPr>
              <w:t>H</w:t>
            </w:r>
            <w:r w:rsidRPr="00604C75">
              <w:rPr>
                <w:sz w:val="18"/>
                <w:szCs w:val="18"/>
              </w:rPr>
              <w:t xml:space="preserve">eld for </w:t>
            </w:r>
            <w:r>
              <w:rPr>
                <w:sz w:val="18"/>
                <w:szCs w:val="18"/>
              </w:rPr>
              <w:t>S</w:t>
            </w:r>
            <w:r w:rsidRPr="00604C75">
              <w:rPr>
                <w:sz w:val="18"/>
                <w:szCs w:val="18"/>
              </w:rPr>
              <w:t>ale</w:t>
            </w:r>
          </w:p>
        </w:tc>
        <w:tc>
          <w:tcPr>
            <w:tcW w:w="2071" w:type="dxa"/>
            <w:vAlign w:val="bottom"/>
          </w:tcPr>
          <w:p w14:paraId="3B75A386" w14:textId="43956E03" w:rsidR="00224102" w:rsidRDefault="00224102" w:rsidP="00972978">
            <w:pPr>
              <w:ind w:right="57"/>
              <w:jc w:val="right"/>
              <w:rPr>
                <w:sz w:val="18"/>
                <w:szCs w:val="18"/>
              </w:rPr>
            </w:pPr>
            <w:r>
              <w:rPr>
                <w:sz w:val="18"/>
                <w:szCs w:val="18"/>
              </w:rPr>
              <w:t>50,449</w:t>
            </w:r>
          </w:p>
        </w:tc>
        <w:tc>
          <w:tcPr>
            <w:tcW w:w="2156" w:type="dxa"/>
            <w:vAlign w:val="bottom"/>
          </w:tcPr>
          <w:p w14:paraId="2B0F1915" w14:textId="5F5A592A" w:rsidR="00224102" w:rsidRPr="00692926" w:rsidRDefault="00224102" w:rsidP="00972978">
            <w:pPr>
              <w:tabs>
                <w:tab w:val="left" w:pos="0"/>
              </w:tabs>
              <w:ind w:right="57"/>
              <w:jc w:val="right"/>
              <w:rPr>
                <w:rFonts w:eastAsia="Arial Unicode MS"/>
                <w:sz w:val="18"/>
                <w:szCs w:val="18"/>
              </w:rPr>
            </w:pPr>
            <w:r w:rsidRPr="00692926">
              <w:rPr>
                <w:rFonts w:eastAsia="Arial Unicode MS"/>
                <w:sz w:val="18"/>
                <w:szCs w:val="18"/>
              </w:rPr>
              <w:t>69,243</w:t>
            </w:r>
          </w:p>
        </w:tc>
      </w:tr>
      <w:tr w:rsidR="00224102" w:rsidRPr="00604C75" w14:paraId="1B4C648F" w14:textId="77777777" w:rsidTr="00972978">
        <w:trPr>
          <w:trHeight w:val="100"/>
        </w:trPr>
        <w:tc>
          <w:tcPr>
            <w:tcW w:w="5180" w:type="dxa"/>
            <w:vAlign w:val="bottom"/>
          </w:tcPr>
          <w:p w14:paraId="68FE8973" w14:textId="46163F49" w:rsidR="00224102" w:rsidRPr="00604C75" w:rsidRDefault="00224102" w:rsidP="00224102">
            <w:pPr>
              <w:tabs>
                <w:tab w:val="left" w:pos="0"/>
              </w:tabs>
              <w:rPr>
                <w:sz w:val="18"/>
                <w:szCs w:val="18"/>
              </w:rPr>
            </w:pPr>
            <w:proofErr w:type="spellStart"/>
            <w:r w:rsidRPr="00604C75">
              <w:rPr>
                <w:sz w:val="18"/>
                <w:szCs w:val="18"/>
              </w:rPr>
              <w:t>Colleterals</w:t>
            </w:r>
            <w:proofErr w:type="spellEnd"/>
            <w:r w:rsidRPr="00604C75">
              <w:rPr>
                <w:sz w:val="18"/>
                <w:szCs w:val="18"/>
              </w:rPr>
              <w:t xml:space="preserve"> </w:t>
            </w:r>
            <w:r>
              <w:rPr>
                <w:sz w:val="18"/>
                <w:szCs w:val="18"/>
              </w:rPr>
              <w:t>G</w:t>
            </w:r>
            <w:r w:rsidRPr="00604C75">
              <w:rPr>
                <w:sz w:val="18"/>
                <w:szCs w:val="18"/>
              </w:rPr>
              <w:t xml:space="preserve">iven for </w:t>
            </w:r>
            <w:r>
              <w:rPr>
                <w:sz w:val="18"/>
                <w:szCs w:val="18"/>
              </w:rPr>
              <w:t>D</w:t>
            </w:r>
            <w:r w:rsidRPr="00604C75">
              <w:rPr>
                <w:sz w:val="18"/>
                <w:szCs w:val="18"/>
              </w:rPr>
              <w:t xml:space="preserve">erivative </w:t>
            </w:r>
            <w:r>
              <w:rPr>
                <w:sz w:val="18"/>
                <w:szCs w:val="18"/>
              </w:rPr>
              <w:t>T</w:t>
            </w:r>
            <w:r w:rsidRPr="00604C75">
              <w:rPr>
                <w:sz w:val="18"/>
                <w:szCs w:val="18"/>
              </w:rPr>
              <w:t>ransactions</w:t>
            </w:r>
          </w:p>
        </w:tc>
        <w:tc>
          <w:tcPr>
            <w:tcW w:w="2071" w:type="dxa"/>
            <w:vAlign w:val="bottom"/>
          </w:tcPr>
          <w:p w14:paraId="07EBDD9E" w14:textId="40BAA7AB" w:rsidR="00224102" w:rsidRDefault="00224102" w:rsidP="00972978">
            <w:pPr>
              <w:ind w:right="57"/>
              <w:jc w:val="right"/>
              <w:rPr>
                <w:sz w:val="18"/>
                <w:szCs w:val="18"/>
              </w:rPr>
            </w:pPr>
            <w:r>
              <w:rPr>
                <w:sz w:val="18"/>
                <w:szCs w:val="18"/>
              </w:rPr>
              <w:t>37,825</w:t>
            </w:r>
          </w:p>
        </w:tc>
        <w:tc>
          <w:tcPr>
            <w:tcW w:w="2156" w:type="dxa"/>
            <w:vAlign w:val="bottom"/>
          </w:tcPr>
          <w:p w14:paraId="7EA1ABE5" w14:textId="67613E62" w:rsidR="00224102" w:rsidRPr="00692926" w:rsidRDefault="00224102" w:rsidP="00972978">
            <w:pPr>
              <w:tabs>
                <w:tab w:val="left" w:pos="0"/>
              </w:tabs>
              <w:ind w:right="57"/>
              <w:jc w:val="right"/>
              <w:rPr>
                <w:rFonts w:eastAsia="Arial Unicode MS"/>
                <w:sz w:val="18"/>
                <w:szCs w:val="18"/>
              </w:rPr>
            </w:pPr>
            <w:r w:rsidRPr="00692926">
              <w:rPr>
                <w:rFonts w:eastAsia="Arial Unicode MS"/>
                <w:sz w:val="18"/>
                <w:szCs w:val="18"/>
              </w:rPr>
              <w:t>22,117</w:t>
            </w:r>
          </w:p>
        </w:tc>
      </w:tr>
      <w:tr w:rsidR="00224102" w:rsidRPr="00604C75" w14:paraId="4E1C1821" w14:textId="77777777" w:rsidTr="00972978">
        <w:trPr>
          <w:trHeight w:val="189"/>
        </w:trPr>
        <w:tc>
          <w:tcPr>
            <w:tcW w:w="5180" w:type="dxa"/>
            <w:vAlign w:val="bottom"/>
          </w:tcPr>
          <w:p w14:paraId="5CBA78DF" w14:textId="5E869D3F" w:rsidR="00224102" w:rsidRPr="00604C75" w:rsidRDefault="00224102" w:rsidP="00224102">
            <w:pPr>
              <w:tabs>
                <w:tab w:val="left" w:pos="0"/>
              </w:tabs>
              <w:rPr>
                <w:sz w:val="18"/>
                <w:szCs w:val="18"/>
              </w:rPr>
            </w:pPr>
            <w:r w:rsidRPr="00604C75">
              <w:rPr>
                <w:sz w:val="18"/>
                <w:szCs w:val="18"/>
              </w:rPr>
              <w:t xml:space="preserve">Prepaid </w:t>
            </w:r>
            <w:r>
              <w:rPr>
                <w:sz w:val="18"/>
                <w:szCs w:val="18"/>
              </w:rPr>
              <w:t>E</w:t>
            </w:r>
            <w:r w:rsidRPr="00604C75">
              <w:rPr>
                <w:sz w:val="18"/>
                <w:szCs w:val="18"/>
              </w:rPr>
              <w:t>xpenses</w:t>
            </w:r>
          </w:p>
        </w:tc>
        <w:tc>
          <w:tcPr>
            <w:tcW w:w="2071" w:type="dxa"/>
            <w:vAlign w:val="bottom"/>
          </w:tcPr>
          <w:p w14:paraId="78BBE251" w14:textId="43466BB4" w:rsidR="00224102" w:rsidRDefault="00224102" w:rsidP="00972978">
            <w:pPr>
              <w:ind w:right="57"/>
              <w:jc w:val="right"/>
              <w:rPr>
                <w:sz w:val="18"/>
                <w:szCs w:val="18"/>
              </w:rPr>
            </w:pPr>
            <w:r>
              <w:rPr>
                <w:sz w:val="18"/>
                <w:szCs w:val="18"/>
              </w:rPr>
              <w:t>33,917</w:t>
            </w:r>
          </w:p>
        </w:tc>
        <w:tc>
          <w:tcPr>
            <w:tcW w:w="2156" w:type="dxa"/>
            <w:vAlign w:val="bottom"/>
          </w:tcPr>
          <w:p w14:paraId="5AE63F6D" w14:textId="080B3D62" w:rsidR="00224102" w:rsidRPr="00692926" w:rsidRDefault="00224102" w:rsidP="00972978">
            <w:pPr>
              <w:tabs>
                <w:tab w:val="left" w:pos="0"/>
              </w:tabs>
              <w:ind w:right="57"/>
              <w:jc w:val="right"/>
              <w:rPr>
                <w:rFonts w:eastAsia="Arial Unicode MS"/>
                <w:sz w:val="18"/>
                <w:szCs w:val="18"/>
              </w:rPr>
            </w:pPr>
            <w:r w:rsidRPr="00692926">
              <w:rPr>
                <w:rFonts w:eastAsia="Arial Unicode MS"/>
                <w:sz w:val="18"/>
                <w:szCs w:val="18"/>
              </w:rPr>
              <w:t>28,366</w:t>
            </w:r>
          </w:p>
        </w:tc>
      </w:tr>
      <w:tr w:rsidR="00224102" w:rsidRPr="00604C75" w14:paraId="2E6A5C2E" w14:textId="77777777" w:rsidTr="00972978">
        <w:trPr>
          <w:trHeight w:val="189"/>
        </w:trPr>
        <w:tc>
          <w:tcPr>
            <w:tcW w:w="5180" w:type="dxa"/>
            <w:vAlign w:val="bottom"/>
          </w:tcPr>
          <w:p w14:paraId="26D69A88" w14:textId="6D4B6FE5" w:rsidR="00224102" w:rsidRPr="00604C75" w:rsidRDefault="00224102" w:rsidP="00224102">
            <w:pPr>
              <w:tabs>
                <w:tab w:val="left" w:pos="0"/>
              </w:tabs>
              <w:rPr>
                <w:sz w:val="18"/>
                <w:szCs w:val="18"/>
              </w:rPr>
            </w:pPr>
            <w:r>
              <w:rPr>
                <w:sz w:val="18"/>
                <w:szCs w:val="18"/>
              </w:rPr>
              <w:t>Guarantees Given</w:t>
            </w:r>
          </w:p>
        </w:tc>
        <w:tc>
          <w:tcPr>
            <w:tcW w:w="2071" w:type="dxa"/>
            <w:vAlign w:val="bottom"/>
          </w:tcPr>
          <w:p w14:paraId="11F32681" w14:textId="24403090" w:rsidR="00224102" w:rsidRDefault="00224102" w:rsidP="00972978">
            <w:pPr>
              <w:ind w:right="57"/>
              <w:jc w:val="right"/>
              <w:rPr>
                <w:sz w:val="18"/>
                <w:szCs w:val="18"/>
              </w:rPr>
            </w:pPr>
            <w:r>
              <w:rPr>
                <w:sz w:val="18"/>
                <w:szCs w:val="18"/>
              </w:rPr>
              <w:t>27,394</w:t>
            </w:r>
          </w:p>
        </w:tc>
        <w:tc>
          <w:tcPr>
            <w:tcW w:w="2156" w:type="dxa"/>
            <w:vAlign w:val="bottom"/>
          </w:tcPr>
          <w:p w14:paraId="3818E733" w14:textId="36F8D250" w:rsidR="00224102" w:rsidRPr="00692926" w:rsidRDefault="00224102" w:rsidP="00972978">
            <w:pPr>
              <w:tabs>
                <w:tab w:val="left" w:pos="0"/>
              </w:tabs>
              <w:ind w:right="57"/>
              <w:jc w:val="right"/>
              <w:rPr>
                <w:rFonts w:eastAsia="Arial Unicode MS"/>
                <w:sz w:val="18"/>
                <w:szCs w:val="18"/>
              </w:rPr>
            </w:pPr>
            <w:r>
              <w:rPr>
                <w:rFonts w:eastAsia="Arial Unicode MS"/>
                <w:sz w:val="18"/>
                <w:szCs w:val="18"/>
              </w:rPr>
              <w:t>508</w:t>
            </w:r>
          </w:p>
        </w:tc>
      </w:tr>
      <w:tr w:rsidR="00224102" w:rsidRPr="00604C75" w14:paraId="71C5157E" w14:textId="77777777" w:rsidTr="00972978">
        <w:trPr>
          <w:trHeight w:val="189"/>
        </w:trPr>
        <w:tc>
          <w:tcPr>
            <w:tcW w:w="5180" w:type="dxa"/>
            <w:vAlign w:val="bottom"/>
          </w:tcPr>
          <w:p w14:paraId="415F2395" w14:textId="0210A79F" w:rsidR="00224102" w:rsidRPr="00604C75" w:rsidRDefault="00224102" w:rsidP="00224102">
            <w:pPr>
              <w:tabs>
                <w:tab w:val="left" w:pos="0"/>
              </w:tabs>
              <w:rPr>
                <w:sz w:val="18"/>
                <w:szCs w:val="18"/>
              </w:rPr>
            </w:pPr>
            <w:proofErr w:type="spellStart"/>
            <w:r>
              <w:rPr>
                <w:sz w:val="18"/>
                <w:szCs w:val="18"/>
              </w:rPr>
              <w:t>Pos</w:t>
            </w:r>
            <w:proofErr w:type="spellEnd"/>
            <w:r>
              <w:rPr>
                <w:sz w:val="18"/>
                <w:szCs w:val="18"/>
              </w:rPr>
              <w:t xml:space="preserve"> Receivables</w:t>
            </w:r>
          </w:p>
        </w:tc>
        <w:tc>
          <w:tcPr>
            <w:tcW w:w="2071" w:type="dxa"/>
            <w:vAlign w:val="bottom"/>
          </w:tcPr>
          <w:p w14:paraId="79E4E0EB" w14:textId="2E8B0224" w:rsidR="00224102" w:rsidRDefault="00224102" w:rsidP="00972978">
            <w:pPr>
              <w:ind w:right="57"/>
              <w:jc w:val="right"/>
              <w:rPr>
                <w:sz w:val="18"/>
                <w:szCs w:val="18"/>
              </w:rPr>
            </w:pPr>
            <w:r>
              <w:rPr>
                <w:sz w:val="18"/>
                <w:szCs w:val="18"/>
              </w:rPr>
              <w:t>4,192</w:t>
            </w:r>
          </w:p>
        </w:tc>
        <w:tc>
          <w:tcPr>
            <w:tcW w:w="2156" w:type="dxa"/>
            <w:vAlign w:val="bottom"/>
          </w:tcPr>
          <w:p w14:paraId="5C9596BF" w14:textId="4E950434" w:rsidR="00224102" w:rsidRPr="00692926" w:rsidRDefault="00224102" w:rsidP="00972978">
            <w:pPr>
              <w:tabs>
                <w:tab w:val="left" w:pos="0"/>
              </w:tabs>
              <w:ind w:right="57"/>
              <w:jc w:val="right"/>
              <w:rPr>
                <w:rFonts w:eastAsia="Arial Unicode MS"/>
                <w:sz w:val="18"/>
                <w:szCs w:val="18"/>
              </w:rPr>
            </w:pPr>
            <w:r w:rsidRPr="00692926">
              <w:rPr>
                <w:rFonts w:eastAsia="Arial Unicode MS"/>
                <w:sz w:val="18"/>
                <w:szCs w:val="18"/>
              </w:rPr>
              <w:t>4,040</w:t>
            </w:r>
          </w:p>
        </w:tc>
      </w:tr>
      <w:tr w:rsidR="00224102" w:rsidRPr="00604C75" w14:paraId="083B2FE9" w14:textId="77777777" w:rsidTr="00972978">
        <w:trPr>
          <w:trHeight w:val="189"/>
        </w:trPr>
        <w:tc>
          <w:tcPr>
            <w:tcW w:w="5180" w:type="dxa"/>
            <w:vAlign w:val="bottom"/>
          </w:tcPr>
          <w:p w14:paraId="30D6897F" w14:textId="77777777" w:rsidR="00224102" w:rsidRPr="00604C75" w:rsidRDefault="00224102" w:rsidP="00224102">
            <w:pPr>
              <w:tabs>
                <w:tab w:val="left" w:pos="0"/>
              </w:tabs>
              <w:rPr>
                <w:sz w:val="18"/>
                <w:szCs w:val="18"/>
              </w:rPr>
            </w:pPr>
            <w:r w:rsidRPr="00604C75">
              <w:rPr>
                <w:sz w:val="18"/>
                <w:szCs w:val="18"/>
              </w:rPr>
              <w:t>Other</w:t>
            </w:r>
          </w:p>
        </w:tc>
        <w:tc>
          <w:tcPr>
            <w:tcW w:w="2071" w:type="dxa"/>
            <w:vAlign w:val="bottom"/>
          </w:tcPr>
          <w:p w14:paraId="31659764" w14:textId="34173991" w:rsidR="00224102" w:rsidRDefault="00224102" w:rsidP="00972978">
            <w:pPr>
              <w:ind w:right="57"/>
              <w:jc w:val="right"/>
              <w:rPr>
                <w:sz w:val="18"/>
                <w:szCs w:val="18"/>
              </w:rPr>
            </w:pPr>
            <w:r>
              <w:rPr>
                <w:sz w:val="18"/>
                <w:szCs w:val="18"/>
              </w:rPr>
              <w:t>28,036</w:t>
            </w:r>
          </w:p>
        </w:tc>
        <w:tc>
          <w:tcPr>
            <w:tcW w:w="2156" w:type="dxa"/>
            <w:vAlign w:val="bottom"/>
          </w:tcPr>
          <w:p w14:paraId="216DB165" w14:textId="26B7AFA4" w:rsidR="00224102" w:rsidRPr="00692926" w:rsidRDefault="00224102" w:rsidP="00972978">
            <w:pPr>
              <w:tabs>
                <w:tab w:val="left" w:pos="0"/>
              </w:tabs>
              <w:ind w:right="57"/>
              <w:jc w:val="right"/>
              <w:rPr>
                <w:rFonts w:eastAsia="Arial Unicode MS"/>
                <w:sz w:val="18"/>
                <w:szCs w:val="18"/>
              </w:rPr>
            </w:pPr>
            <w:r>
              <w:rPr>
                <w:rFonts w:eastAsia="Arial Unicode MS"/>
                <w:sz w:val="18"/>
                <w:szCs w:val="18"/>
              </w:rPr>
              <w:t>30,194</w:t>
            </w:r>
          </w:p>
        </w:tc>
      </w:tr>
      <w:tr w:rsidR="00224102" w:rsidRPr="00604C75" w14:paraId="0D715689" w14:textId="77777777" w:rsidTr="00972978">
        <w:trPr>
          <w:trHeight w:val="189"/>
        </w:trPr>
        <w:tc>
          <w:tcPr>
            <w:tcW w:w="5180" w:type="dxa"/>
            <w:vAlign w:val="bottom"/>
          </w:tcPr>
          <w:p w14:paraId="61A9A44E" w14:textId="77777777" w:rsidR="00224102" w:rsidRPr="00604C75" w:rsidRDefault="00224102" w:rsidP="00224102">
            <w:pPr>
              <w:tabs>
                <w:tab w:val="left" w:pos="0"/>
              </w:tabs>
              <w:rPr>
                <w:b/>
                <w:bCs/>
                <w:sz w:val="18"/>
                <w:szCs w:val="18"/>
              </w:rPr>
            </w:pPr>
            <w:r w:rsidRPr="00604C75">
              <w:rPr>
                <w:b/>
                <w:bCs/>
                <w:sz w:val="18"/>
                <w:szCs w:val="18"/>
              </w:rPr>
              <w:t>Total</w:t>
            </w:r>
          </w:p>
        </w:tc>
        <w:tc>
          <w:tcPr>
            <w:tcW w:w="2071" w:type="dxa"/>
            <w:vAlign w:val="bottom"/>
          </w:tcPr>
          <w:p w14:paraId="44113A0C" w14:textId="1799EE34" w:rsidR="00224102" w:rsidRDefault="00224102" w:rsidP="00972978">
            <w:pPr>
              <w:ind w:right="57"/>
              <w:jc w:val="right"/>
              <w:rPr>
                <w:b/>
                <w:bCs/>
                <w:sz w:val="18"/>
                <w:szCs w:val="18"/>
              </w:rPr>
            </w:pPr>
            <w:r>
              <w:rPr>
                <w:b/>
                <w:bCs/>
                <w:sz w:val="18"/>
                <w:szCs w:val="18"/>
              </w:rPr>
              <w:t>236,140</w:t>
            </w:r>
          </w:p>
        </w:tc>
        <w:tc>
          <w:tcPr>
            <w:tcW w:w="2156" w:type="dxa"/>
            <w:vAlign w:val="bottom"/>
          </w:tcPr>
          <w:p w14:paraId="63ECC5E9" w14:textId="3CA9F69D" w:rsidR="00224102" w:rsidRPr="00692926" w:rsidRDefault="00224102" w:rsidP="00972978">
            <w:pPr>
              <w:tabs>
                <w:tab w:val="left" w:pos="0"/>
              </w:tabs>
              <w:ind w:right="57"/>
              <w:jc w:val="right"/>
              <w:rPr>
                <w:rFonts w:eastAsia="Arial Unicode MS"/>
                <w:b/>
                <w:bCs/>
                <w:sz w:val="18"/>
                <w:szCs w:val="18"/>
              </w:rPr>
            </w:pPr>
            <w:r w:rsidRPr="00692926">
              <w:rPr>
                <w:rFonts w:eastAsia="Arial Unicode MS"/>
                <w:b/>
                <w:bCs/>
                <w:sz w:val="18"/>
                <w:szCs w:val="18"/>
              </w:rPr>
              <w:t>225,779</w:t>
            </w:r>
          </w:p>
        </w:tc>
      </w:tr>
    </w:tbl>
    <w:p w14:paraId="501185E8" w14:textId="77777777" w:rsidR="00D25C8A" w:rsidRDefault="00D25C8A" w:rsidP="00507FD7">
      <w:pPr>
        <w:pStyle w:val="BodyTextIndent"/>
        <w:tabs>
          <w:tab w:val="left" w:pos="567"/>
        </w:tabs>
        <w:spacing w:after="0"/>
        <w:ind w:left="0"/>
        <w:rPr>
          <w:sz w:val="16"/>
          <w:szCs w:val="16"/>
        </w:rPr>
      </w:pPr>
    </w:p>
    <w:tbl>
      <w:tblPr>
        <w:tblW w:w="9418"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200"/>
        <w:gridCol w:w="2030"/>
        <w:gridCol w:w="2188"/>
      </w:tblGrid>
      <w:tr w:rsidR="00D25C8A" w:rsidRPr="00923A53" w14:paraId="15EED17F" w14:textId="77777777" w:rsidTr="00972978">
        <w:trPr>
          <w:trHeight w:val="253"/>
        </w:trPr>
        <w:tc>
          <w:tcPr>
            <w:tcW w:w="5200" w:type="dxa"/>
          </w:tcPr>
          <w:p w14:paraId="4B4B01B4" w14:textId="77777777" w:rsidR="00D25C8A" w:rsidRPr="00923A53" w:rsidRDefault="00D25C8A" w:rsidP="00746243">
            <w:pPr>
              <w:rPr>
                <w:b/>
                <w:snapToGrid w:val="0"/>
                <w:sz w:val="18"/>
                <w:szCs w:val="18"/>
              </w:rPr>
            </w:pPr>
          </w:p>
        </w:tc>
        <w:tc>
          <w:tcPr>
            <w:tcW w:w="2030" w:type="dxa"/>
            <w:vAlign w:val="bottom"/>
          </w:tcPr>
          <w:p w14:paraId="178D29DD" w14:textId="3384B7F7" w:rsidR="00D25C8A" w:rsidRPr="00923A53" w:rsidRDefault="00D25C8A" w:rsidP="00972978">
            <w:pPr>
              <w:ind w:right="36"/>
              <w:jc w:val="right"/>
              <w:rPr>
                <w:b/>
                <w:snapToGrid w:val="0"/>
                <w:sz w:val="18"/>
                <w:szCs w:val="18"/>
              </w:rPr>
            </w:pPr>
            <w:r w:rsidRPr="00923A53">
              <w:rPr>
                <w:b/>
                <w:iCs/>
                <w:sz w:val="18"/>
              </w:rPr>
              <w:t xml:space="preserve">31 </w:t>
            </w:r>
            <w:r>
              <w:rPr>
                <w:b/>
                <w:iCs/>
                <w:sz w:val="18"/>
              </w:rPr>
              <w:t>December</w:t>
            </w:r>
            <w:r w:rsidRPr="00923A53">
              <w:rPr>
                <w:b/>
                <w:iCs/>
                <w:sz w:val="18"/>
              </w:rPr>
              <w:t xml:space="preserve"> </w:t>
            </w:r>
            <w:r w:rsidRPr="00923A53">
              <w:rPr>
                <w:b/>
                <w:snapToGrid w:val="0"/>
                <w:sz w:val="18"/>
                <w:szCs w:val="18"/>
              </w:rPr>
              <w:t>201</w:t>
            </w:r>
            <w:r>
              <w:rPr>
                <w:b/>
                <w:snapToGrid w:val="0"/>
                <w:sz w:val="18"/>
                <w:szCs w:val="18"/>
              </w:rPr>
              <w:t>5</w:t>
            </w:r>
          </w:p>
        </w:tc>
        <w:tc>
          <w:tcPr>
            <w:tcW w:w="2188" w:type="dxa"/>
            <w:vAlign w:val="bottom"/>
          </w:tcPr>
          <w:p w14:paraId="1D8BC41A" w14:textId="77777777" w:rsidR="00D25C8A" w:rsidRPr="00923A53" w:rsidRDefault="00D25C8A" w:rsidP="00972978">
            <w:pPr>
              <w:ind w:right="36"/>
              <w:jc w:val="right"/>
              <w:rPr>
                <w:snapToGrid w:val="0"/>
                <w:sz w:val="18"/>
                <w:szCs w:val="18"/>
              </w:rPr>
            </w:pPr>
            <w:r w:rsidRPr="00923A53">
              <w:rPr>
                <w:b/>
                <w:snapToGrid w:val="0"/>
                <w:sz w:val="18"/>
                <w:szCs w:val="18"/>
              </w:rPr>
              <w:t xml:space="preserve">31 </w:t>
            </w:r>
            <w:r>
              <w:rPr>
                <w:b/>
                <w:snapToGrid w:val="0"/>
                <w:sz w:val="18"/>
                <w:szCs w:val="18"/>
              </w:rPr>
              <w:t>December</w:t>
            </w:r>
            <w:r w:rsidRPr="00923A53">
              <w:rPr>
                <w:b/>
                <w:snapToGrid w:val="0"/>
                <w:sz w:val="18"/>
                <w:szCs w:val="18"/>
              </w:rPr>
              <w:t xml:space="preserve"> 201</w:t>
            </w:r>
            <w:r>
              <w:rPr>
                <w:b/>
                <w:snapToGrid w:val="0"/>
                <w:sz w:val="18"/>
                <w:szCs w:val="18"/>
              </w:rPr>
              <w:t>4</w:t>
            </w:r>
          </w:p>
        </w:tc>
      </w:tr>
      <w:tr w:rsidR="00D25C8A" w:rsidRPr="00923A53" w14:paraId="648FE0E0" w14:textId="77777777" w:rsidTr="00972978">
        <w:trPr>
          <w:trHeight w:val="253"/>
        </w:trPr>
        <w:tc>
          <w:tcPr>
            <w:tcW w:w="5200" w:type="dxa"/>
            <w:vAlign w:val="bottom"/>
          </w:tcPr>
          <w:p w14:paraId="05E7A385" w14:textId="6478BA37" w:rsidR="00D25C8A" w:rsidRPr="00923A53" w:rsidRDefault="00D25C8A" w:rsidP="00746243">
            <w:pPr>
              <w:rPr>
                <w:b/>
                <w:sz w:val="18"/>
                <w:szCs w:val="18"/>
              </w:rPr>
            </w:pPr>
            <w:r>
              <w:rPr>
                <w:b/>
                <w:sz w:val="18"/>
                <w:szCs w:val="18"/>
              </w:rPr>
              <w:t xml:space="preserve">Assets </w:t>
            </w:r>
            <w:r w:rsidR="00132819">
              <w:rPr>
                <w:b/>
                <w:sz w:val="18"/>
                <w:szCs w:val="18"/>
              </w:rPr>
              <w:t>H</w:t>
            </w:r>
            <w:r>
              <w:rPr>
                <w:b/>
                <w:sz w:val="18"/>
                <w:szCs w:val="18"/>
              </w:rPr>
              <w:t xml:space="preserve">eld for </w:t>
            </w:r>
            <w:r w:rsidR="00132819">
              <w:rPr>
                <w:b/>
                <w:sz w:val="18"/>
                <w:szCs w:val="18"/>
              </w:rPr>
              <w:t>S</w:t>
            </w:r>
            <w:r>
              <w:rPr>
                <w:b/>
                <w:sz w:val="18"/>
                <w:szCs w:val="18"/>
              </w:rPr>
              <w:t>ale</w:t>
            </w:r>
          </w:p>
        </w:tc>
        <w:tc>
          <w:tcPr>
            <w:tcW w:w="2030" w:type="dxa"/>
            <w:vAlign w:val="bottom"/>
          </w:tcPr>
          <w:p w14:paraId="2278E981" w14:textId="77777777" w:rsidR="00D25C8A" w:rsidRPr="00923A53" w:rsidRDefault="00D25C8A" w:rsidP="00972978">
            <w:pPr>
              <w:ind w:right="36"/>
              <w:jc w:val="right"/>
              <w:rPr>
                <w:rFonts w:eastAsia="Arial Unicode MS"/>
                <w:b/>
                <w:bCs/>
                <w:sz w:val="18"/>
                <w:szCs w:val="18"/>
              </w:rPr>
            </w:pPr>
          </w:p>
        </w:tc>
        <w:tc>
          <w:tcPr>
            <w:tcW w:w="2188" w:type="dxa"/>
            <w:vAlign w:val="bottom"/>
          </w:tcPr>
          <w:p w14:paraId="13A2B895" w14:textId="77777777" w:rsidR="00D25C8A" w:rsidRPr="00923A53" w:rsidRDefault="00D25C8A" w:rsidP="00972978">
            <w:pPr>
              <w:ind w:right="36"/>
              <w:jc w:val="right"/>
              <w:rPr>
                <w:rFonts w:eastAsia="Arial Unicode MS"/>
                <w:b/>
                <w:bCs/>
                <w:sz w:val="18"/>
                <w:szCs w:val="18"/>
              </w:rPr>
            </w:pPr>
          </w:p>
        </w:tc>
      </w:tr>
      <w:tr w:rsidR="00D25C8A" w:rsidRPr="00923A53" w14:paraId="56554641" w14:textId="77777777" w:rsidTr="00972978">
        <w:trPr>
          <w:trHeight w:val="253"/>
        </w:trPr>
        <w:tc>
          <w:tcPr>
            <w:tcW w:w="5200" w:type="dxa"/>
            <w:vAlign w:val="bottom"/>
          </w:tcPr>
          <w:p w14:paraId="7EB2ECC7" w14:textId="77777777" w:rsidR="00D25C8A" w:rsidRPr="00923A53" w:rsidRDefault="00D25C8A" w:rsidP="00746243">
            <w:pPr>
              <w:rPr>
                <w:sz w:val="18"/>
                <w:szCs w:val="18"/>
              </w:rPr>
            </w:pPr>
          </w:p>
        </w:tc>
        <w:tc>
          <w:tcPr>
            <w:tcW w:w="2030" w:type="dxa"/>
            <w:vAlign w:val="bottom"/>
          </w:tcPr>
          <w:p w14:paraId="313294B7" w14:textId="77777777" w:rsidR="00D25C8A" w:rsidRPr="00923A53" w:rsidRDefault="00D25C8A" w:rsidP="00972978">
            <w:pPr>
              <w:ind w:right="36"/>
              <w:jc w:val="right"/>
              <w:rPr>
                <w:rFonts w:eastAsia="Arial Unicode MS"/>
                <w:sz w:val="18"/>
                <w:szCs w:val="18"/>
              </w:rPr>
            </w:pPr>
          </w:p>
        </w:tc>
        <w:tc>
          <w:tcPr>
            <w:tcW w:w="2188" w:type="dxa"/>
            <w:vAlign w:val="bottom"/>
          </w:tcPr>
          <w:p w14:paraId="7C800539" w14:textId="77777777" w:rsidR="00D25C8A" w:rsidRPr="00923A53" w:rsidRDefault="00D25C8A" w:rsidP="00972978">
            <w:pPr>
              <w:ind w:right="36"/>
              <w:jc w:val="right"/>
              <w:rPr>
                <w:rFonts w:eastAsia="Arial Unicode MS"/>
                <w:sz w:val="18"/>
                <w:szCs w:val="18"/>
              </w:rPr>
            </w:pPr>
          </w:p>
        </w:tc>
      </w:tr>
      <w:tr w:rsidR="00224102" w:rsidRPr="00923A53" w14:paraId="48A495B0" w14:textId="77777777" w:rsidTr="00972978">
        <w:trPr>
          <w:trHeight w:val="253"/>
        </w:trPr>
        <w:tc>
          <w:tcPr>
            <w:tcW w:w="5200" w:type="dxa"/>
            <w:vAlign w:val="bottom"/>
          </w:tcPr>
          <w:p w14:paraId="207510D8" w14:textId="77777777" w:rsidR="00224102" w:rsidRPr="00923A53" w:rsidRDefault="00224102" w:rsidP="00224102">
            <w:pPr>
              <w:rPr>
                <w:sz w:val="18"/>
                <w:szCs w:val="18"/>
              </w:rPr>
            </w:pPr>
            <w:r>
              <w:rPr>
                <w:sz w:val="18"/>
                <w:szCs w:val="18"/>
              </w:rPr>
              <w:t>Beginning of the Period</w:t>
            </w:r>
          </w:p>
        </w:tc>
        <w:tc>
          <w:tcPr>
            <w:tcW w:w="2030" w:type="dxa"/>
            <w:vAlign w:val="bottom"/>
          </w:tcPr>
          <w:p w14:paraId="4613F128" w14:textId="228AE280" w:rsidR="00224102" w:rsidRDefault="00224102" w:rsidP="00972978">
            <w:pPr>
              <w:ind w:right="36"/>
              <w:jc w:val="right"/>
              <w:rPr>
                <w:sz w:val="18"/>
                <w:szCs w:val="18"/>
              </w:rPr>
            </w:pPr>
            <w:r>
              <w:rPr>
                <w:sz w:val="18"/>
                <w:szCs w:val="18"/>
              </w:rPr>
              <w:t xml:space="preserve">             69,243    </w:t>
            </w:r>
          </w:p>
        </w:tc>
        <w:tc>
          <w:tcPr>
            <w:tcW w:w="2188" w:type="dxa"/>
            <w:vAlign w:val="bottom"/>
          </w:tcPr>
          <w:p w14:paraId="06175856" w14:textId="795CDD1B" w:rsidR="00224102" w:rsidRPr="00A36623" w:rsidRDefault="00224102" w:rsidP="00972978">
            <w:pPr>
              <w:spacing w:line="221" w:lineRule="auto"/>
              <w:ind w:right="36"/>
              <w:jc w:val="right"/>
              <w:rPr>
                <w:rFonts w:eastAsia="Arial Unicode MS"/>
                <w:sz w:val="18"/>
                <w:szCs w:val="18"/>
              </w:rPr>
            </w:pPr>
            <w:r>
              <w:rPr>
                <w:sz w:val="18"/>
                <w:szCs w:val="18"/>
              </w:rPr>
              <w:t>80,</w:t>
            </w:r>
            <w:r w:rsidRPr="00A36623">
              <w:rPr>
                <w:sz w:val="18"/>
                <w:szCs w:val="18"/>
              </w:rPr>
              <w:t>881</w:t>
            </w:r>
          </w:p>
        </w:tc>
      </w:tr>
      <w:tr w:rsidR="00224102" w:rsidRPr="00923A53" w14:paraId="7F8CD80C" w14:textId="77777777" w:rsidTr="00972978">
        <w:trPr>
          <w:trHeight w:val="253"/>
        </w:trPr>
        <w:tc>
          <w:tcPr>
            <w:tcW w:w="5200" w:type="dxa"/>
            <w:vAlign w:val="bottom"/>
          </w:tcPr>
          <w:p w14:paraId="6D0F4E7C" w14:textId="77777777" w:rsidR="00224102" w:rsidRPr="00923A53" w:rsidRDefault="00224102" w:rsidP="00224102">
            <w:pPr>
              <w:rPr>
                <w:sz w:val="18"/>
                <w:szCs w:val="18"/>
              </w:rPr>
            </w:pPr>
            <w:r>
              <w:rPr>
                <w:sz w:val="18"/>
                <w:szCs w:val="18"/>
              </w:rPr>
              <w:t>Disposal</w:t>
            </w:r>
            <w:r w:rsidRPr="00923A53">
              <w:rPr>
                <w:sz w:val="18"/>
                <w:szCs w:val="18"/>
              </w:rPr>
              <w:t xml:space="preserve"> (-)</w:t>
            </w:r>
          </w:p>
        </w:tc>
        <w:tc>
          <w:tcPr>
            <w:tcW w:w="2030" w:type="dxa"/>
            <w:vAlign w:val="bottom"/>
          </w:tcPr>
          <w:p w14:paraId="7F42EB2C" w14:textId="577784EF" w:rsidR="00224102" w:rsidRDefault="00224102" w:rsidP="00972978">
            <w:pPr>
              <w:ind w:right="36"/>
              <w:jc w:val="right"/>
              <w:rPr>
                <w:sz w:val="18"/>
                <w:szCs w:val="18"/>
              </w:rPr>
            </w:pPr>
            <w:r>
              <w:rPr>
                <w:sz w:val="18"/>
                <w:szCs w:val="18"/>
              </w:rPr>
              <w:t xml:space="preserve">    </w:t>
            </w:r>
            <w:r w:rsidR="00991C34">
              <w:rPr>
                <w:sz w:val="18"/>
                <w:szCs w:val="18"/>
              </w:rPr>
              <w:t xml:space="preserve">                         </w:t>
            </w:r>
            <w:r>
              <w:rPr>
                <w:sz w:val="18"/>
                <w:szCs w:val="18"/>
              </w:rPr>
              <w:t xml:space="preserve">(63,715)    </w:t>
            </w:r>
          </w:p>
        </w:tc>
        <w:tc>
          <w:tcPr>
            <w:tcW w:w="2188" w:type="dxa"/>
            <w:vAlign w:val="bottom"/>
          </w:tcPr>
          <w:p w14:paraId="4544E833" w14:textId="36B66E20" w:rsidR="00224102" w:rsidRPr="00A36623" w:rsidRDefault="00224102" w:rsidP="00972978">
            <w:pPr>
              <w:spacing w:line="221" w:lineRule="auto"/>
              <w:ind w:right="36"/>
              <w:jc w:val="right"/>
              <w:rPr>
                <w:rFonts w:eastAsia="Arial Unicode MS"/>
                <w:sz w:val="18"/>
                <w:szCs w:val="18"/>
              </w:rPr>
            </w:pPr>
            <w:r>
              <w:rPr>
                <w:sz w:val="18"/>
                <w:szCs w:val="18"/>
              </w:rPr>
              <w:t>29,</w:t>
            </w:r>
            <w:r w:rsidRPr="00A36623">
              <w:rPr>
                <w:sz w:val="18"/>
                <w:szCs w:val="18"/>
              </w:rPr>
              <w:t>360</w:t>
            </w:r>
          </w:p>
        </w:tc>
      </w:tr>
      <w:tr w:rsidR="00224102" w:rsidRPr="00923A53" w14:paraId="29A5724E" w14:textId="77777777" w:rsidTr="00972978">
        <w:trPr>
          <w:trHeight w:val="253"/>
        </w:trPr>
        <w:tc>
          <w:tcPr>
            <w:tcW w:w="5200" w:type="dxa"/>
            <w:vAlign w:val="bottom"/>
          </w:tcPr>
          <w:p w14:paraId="5949374C" w14:textId="77777777" w:rsidR="00224102" w:rsidRPr="00923A53" w:rsidRDefault="00224102" w:rsidP="00224102">
            <w:pPr>
              <w:rPr>
                <w:sz w:val="18"/>
                <w:szCs w:val="18"/>
              </w:rPr>
            </w:pPr>
            <w:r>
              <w:rPr>
                <w:sz w:val="18"/>
                <w:szCs w:val="18"/>
              </w:rPr>
              <w:t>Additions</w:t>
            </w:r>
          </w:p>
        </w:tc>
        <w:tc>
          <w:tcPr>
            <w:tcW w:w="2030" w:type="dxa"/>
            <w:vAlign w:val="bottom"/>
          </w:tcPr>
          <w:p w14:paraId="68DB5106" w14:textId="45BCF2CC" w:rsidR="00224102" w:rsidRDefault="00224102" w:rsidP="00972978">
            <w:pPr>
              <w:ind w:right="36"/>
              <w:jc w:val="right"/>
              <w:rPr>
                <w:sz w:val="18"/>
                <w:szCs w:val="18"/>
              </w:rPr>
            </w:pPr>
            <w:r>
              <w:rPr>
                <w:sz w:val="18"/>
                <w:szCs w:val="18"/>
              </w:rPr>
              <w:t xml:space="preserve">             44,286    </w:t>
            </w:r>
          </w:p>
        </w:tc>
        <w:tc>
          <w:tcPr>
            <w:tcW w:w="2188" w:type="dxa"/>
            <w:vAlign w:val="bottom"/>
          </w:tcPr>
          <w:p w14:paraId="40C03B08" w14:textId="3C38C1CB" w:rsidR="00224102" w:rsidRPr="00A36623" w:rsidRDefault="00224102" w:rsidP="00972978">
            <w:pPr>
              <w:spacing w:line="221" w:lineRule="auto"/>
              <w:ind w:right="36"/>
              <w:jc w:val="right"/>
              <w:rPr>
                <w:rFonts w:eastAsia="Arial Unicode MS"/>
                <w:sz w:val="18"/>
                <w:szCs w:val="18"/>
              </w:rPr>
            </w:pPr>
            <w:r>
              <w:rPr>
                <w:sz w:val="18"/>
                <w:szCs w:val="18"/>
              </w:rPr>
              <w:t>19,</w:t>
            </w:r>
            <w:r w:rsidRPr="00A36623">
              <w:rPr>
                <w:sz w:val="18"/>
                <w:szCs w:val="18"/>
              </w:rPr>
              <w:t>130</w:t>
            </w:r>
          </w:p>
        </w:tc>
      </w:tr>
      <w:tr w:rsidR="00224102" w:rsidRPr="00923A53" w14:paraId="316E2E4A" w14:textId="77777777" w:rsidTr="00972978">
        <w:trPr>
          <w:trHeight w:val="253"/>
        </w:trPr>
        <w:tc>
          <w:tcPr>
            <w:tcW w:w="5200" w:type="dxa"/>
            <w:vAlign w:val="bottom"/>
          </w:tcPr>
          <w:p w14:paraId="4B1EF05A" w14:textId="068CBD14" w:rsidR="00224102" w:rsidRPr="00923A53" w:rsidRDefault="00224102" w:rsidP="00224102">
            <w:pPr>
              <w:rPr>
                <w:sz w:val="18"/>
                <w:szCs w:val="18"/>
              </w:rPr>
            </w:pPr>
            <w:r>
              <w:rPr>
                <w:sz w:val="18"/>
                <w:szCs w:val="18"/>
              </w:rPr>
              <w:t>Depreciation for the Period</w:t>
            </w:r>
          </w:p>
        </w:tc>
        <w:tc>
          <w:tcPr>
            <w:tcW w:w="2030" w:type="dxa"/>
            <w:vAlign w:val="bottom"/>
          </w:tcPr>
          <w:p w14:paraId="7CF79A9D" w14:textId="10DE8BEE" w:rsidR="00224102" w:rsidRDefault="00224102" w:rsidP="00972978">
            <w:pPr>
              <w:ind w:right="36"/>
              <w:jc w:val="right"/>
              <w:rPr>
                <w:sz w:val="18"/>
                <w:szCs w:val="18"/>
              </w:rPr>
            </w:pPr>
            <w:r>
              <w:rPr>
                <w:sz w:val="18"/>
                <w:szCs w:val="18"/>
              </w:rPr>
              <w:t xml:space="preserve">                  785    </w:t>
            </w:r>
          </w:p>
        </w:tc>
        <w:tc>
          <w:tcPr>
            <w:tcW w:w="2188" w:type="dxa"/>
            <w:vAlign w:val="bottom"/>
          </w:tcPr>
          <w:p w14:paraId="41F364C8" w14:textId="6BF5DD52" w:rsidR="00224102" w:rsidRPr="00A36623" w:rsidRDefault="00224102" w:rsidP="00972978">
            <w:pPr>
              <w:spacing w:line="221" w:lineRule="auto"/>
              <w:ind w:right="36"/>
              <w:jc w:val="right"/>
              <w:rPr>
                <w:rFonts w:eastAsia="Arial Unicode MS"/>
                <w:sz w:val="18"/>
                <w:szCs w:val="18"/>
              </w:rPr>
            </w:pPr>
            <w:r>
              <w:rPr>
                <w:sz w:val="18"/>
                <w:szCs w:val="18"/>
              </w:rPr>
              <w:t>(1,</w:t>
            </w:r>
            <w:r w:rsidRPr="00A36623">
              <w:rPr>
                <w:sz w:val="18"/>
                <w:szCs w:val="18"/>
              </w:rPr>
              <w:t>684)</w:t>
            </w:r>
          </w:p>
        </w:tc>
      </w:tr>
      <w:tr w:rsidR="00224102" w:rsidRPr="00923A53" w14:paraId="757933B3" w14:textId="77777777" w:rsidTr="00972978">
        <w:trPr>
          <w:trHeight w:val="253"/>
        </w:trPr>
        <w:tc>
          <w:tcPr>
            <w:tcW w:w="5200" w:type="dxa"/>
            <w:vAlign w:val="bottom"/>
          </w:tcPr>
          <w:p w14:paraId="6AF29A5B" w14:textId="603E6DB9" w:rsidR="00224102" w:rsidRPr="00F82146" w:rsidRDefault="00224102" w:rsidP="00224102">
            <w:pPr>
              <w:rPr>
                <w:sz w:val="18"/>
                <w:szCs w:val="18"/>
              </w:rPr>
            </w:pPr>
            <w:r w:rsidRPr="00F82146">
              <w:rPr>
                <w:sz w:val="18"/>
                <w:szCs w:val="18"/>
              </w:rPr>
              <w:t xml:space="preserve">Impairment </w:t>
            </w:r>
            <w:r>
              <w:rPr>
                <w:sz w:val="18"/>
                <w:szCs w:val="18"/>
              </w:rPr>
              <w:t>P</w:t>
            </w:r>
            <w:r w:rsidRPr="00F82146">
              <w:rPr>
                <w:sz w:val="18"/>
                <w:szCs w:val="18"/>
              </w:rPr>
              <w:t>rovision</w:t>
            </w:r>
          </w:p>
        </w:tc>
        <w:tc>
          <w:tcPr>
            <w:tcW w:w="2030" w:type="dxa"/>
            <w:vAlign w:val="bottom"/>
          </w:tcPr>
          <w:p w14:paraId="78188E37" w14:textId="5C301144" w:rsidR="00224102" w:rsidRDefault="00224102" w:rsidP="00972978">
            <w:pPr>
              <w:ind w:right="36"/>
              <w:jc w:val="right"/>
              <w:rPr>
                <w:sz w:val="18"/>
                <w:szCs w:val="18"/>
              </w:rPr>
            </w:pPr>
            <w:r>
              <w:rPr>
                <w:sz w:val="18"/>
                <w:szCs w:val="18"/>
              </w:rPr>
              <w:t xml:space="preserve">             (150)    </w:t>
            </w:r>
          </w:p>
        </w:tc>
        <w:tc>
          <w:tcPr>
            <w:tcW w:w="2188" w:type="dxa"/>
            <w:vAlign w:val="bottom"/>
          </w:tcPr>
          <w:p w14:paraId="6114C93E" w14:textId="6BE4BA0D" w:rsidR="00224102" w:rsidRPr="00A36623" w:rsidRDefault="00224102" w:rsidP="00972978">
            <w:pPr>
              <w:spacing w:line="221" w:lineRule="auto"/>
              <w:ind w:right="36"/>
              <w:jc w:val="right"/>
              <w:rPr>
                <w:rFonts w:eastAsia="Arial Unicode MS"/>
                <w:sz w:val="18"/>
                <w:szCs w:val="18"/>
              </w:rPr>
            </w:pPr>
            <w:r w:rsidRPr="00A36623">
              <w:rPr>
                <w:sz w:val="18"/>
                <w:szCs w:val="18"/>
              </w:rPr>
              <w:t>276</w:t>
            </w:r>
          </w:p>
        </w:tc>
      </w:tr>
      <w:tr w:rsidR="00224102" w:rsidRPr="00923A53" w14:paraId="6CB7978B" w14:textId="77777777" w:rsidTr="00972978">
        <w:trPr>
          <w:trHeight w:val="253"/>
        </w:trPr>
        <w:tc>
          <w:tcPr>
            <w:tcW w:w="5200" w:type="dxa"/>
            <w:vAlign w:val="bottom"/>
          </w:tcPr>
          <w:p w14:paraId="45C1549C" w14:textId="56043AA8" w:rsidR="00224102" w:rsidRPr="00923A53" w:rsidRDefault="00224102" w:rsidP="00224102">
            <w:pPr>
              <w:rPr>
                <w:b/>
                <w:bCs/>
                <w:sz w:val="18"/>
                <w:szCs w:val="18"/>
              </w:rPr>
            </w:pPr>
            <w:r>
              <w:rPr>
                <w:b/>
                <w:bCs/>
                <w:sz w:val="18"/>
                <w:szCs w:val="18"/>
              </w:rPr>
              <w:t>End of the Period</w:t>
            </w:r>
          </w:p>
        </w:tc>
        <w:tc>
          <w:tcPr>
            <w:tcW w:w="2030" w:type="dxa"/>
            <w:vAlign w:val="bottom"/>
          </w:tcPr>
          <w:p w14:paraId="24D7C4CF" w14:textId="01E82479" w:rsidR="00224102" w:rsidRPr="00A36623" w:rsidRDefault="00224102" w:rsidP="00972978">
            <w:pPr>
              <w:spacing w:line="221" w:lineRule="auto"/>
              <w:ind w:right="36"/>
              <w:jc w:val="right"/>
              <w:rPr>
                <w:rFonts w:eastAsia="Arial Unicode MS"/>
                <w:b/>
                <w:bCs/>
                <w:sz w:val="18"/>
                <w:szCs w:val="18"/>
              </w:rPr>
            </w:pPr>
            <w:r>
              <w:rPr>
                <w:rFonts w:eastAsia="Arial Unicode MS"/>
                <w:b/>
                <w:bCs/>
                <w:sz w:val="18"/>
                <w:szCs w:val="18"/>
              </w:rPr>
              <w:t>50,449</w:t>
            </w:r>
          </w:p>
        </w:tc>
        <w:tc>
          <w:tcPr>
            <w:tcW w:w="2188" w:type="dxa"/>
            <w:vAlign w:val="bottom"/>
          </w:tcPr>
          <w:p w14:paraId="04A5EE67" w14:textId="4462D48B" w:rsidR="00224102" w:rsidRPr="00A36623" w:rsidRDefault="00224102" w:rsidP="00972978">
            <w:pPr>
              <w:spacing w:line="221" w:lineRule="auto"/>
              <w:ind w:right="36"/>
              <w:jc w:val="right"/>
              <w:rPr>
                <w:rFonts w:eastAsia="Arial Unicode MS"/>
                <w:b/>
                <w:bCs/>
                <w:sz w:val="18"/>
                <w:szCs w:val="18"/>
              </w:rPr>
            </w:pPr>
            <w:r>
              <w:rPr>
                <w:rFonts w:eastAsia="Arial Unicode MS"/>
                <w:b/>
                <w:bCs/>
                <w:sz w:val="18"/>
                <w:szCs w:val="18"/>
              </w:rPr>
              <w:t>69,</w:t>
            </w:r>
            <w:r w:rsidRPr="00A36623">
              <w:rPr>
                <w:rFonts w:eastAsia="Arial Unicode MS"/>
                <w:b/>
                <w:bCs/>
                <w:sz w:val="18"/>
                <w:szCs w:val="18"/>
              </w:rPr>
              <w:t>243</w:t>
            </w:r>
          </w:p>
        </w:tc>
      </w:tr>
    </w:tbl>
    <w:p w14:paraId="5A3D9D31" w14:textId="77777777" w:rsidR="00D25C8A" w:rsidRDefault="00D25C8A" w:rsidP="00ED294D">
      <w:pPr>
        <w:pStyle w:val="BodyTextIndent"/>
        <w:tabs>
          <w:tab w:val="left" w:pos="567"/>
        </w:tabs>
        <w:spacing w:after="0"/>
        <w:ind w:left="1701" w:hanging="1276"/>
        <w:rPr>
          <w:sz w:val="16"/>
          <w:szCs w:val="16"/>
        </w:rPr>
      </w:pPr>
    </w:p>
    <w:p w14:paraId="6A977C6C" w14:textId="77777777" w:rsidR="0044575F" w:rsidRPr="00604C75" w:rsidRDefault="0044575F" w:rsidP="00224102">
      <w:pPr>
        <w:pStyle w:val="BodyTextIndent"/>
        <w:tabs>
          <w:tab w:val="left" w:pos="567"/>
        </w:tabs>
        <w:spacing w:after="0"/>
        <w:ind w:left="0"/>
        <w:jc w:val="both"/>
        <w:rPr>
          <w:sz w:val="20"/>
          <w:szCs w:val="20"/>
        </w:rPr>
      </w:pPr>
      <w:r w:rsidRPr="00604C75">
        <w:rPr>
          <w:sz w:val="20"/>
          <w:szCs w:val="20"/>
        </w:rPr>
        <w:t>2.</w:t>
      </w:r>
      <w:r w:rsidRPr="00604C75">
        <w:rPr>
          <w:sz w:val="20"/>
          <w:szCs w:val="20"/>
        </w:rPr>
        <w:tab/>
      </w:r>
      <w:r w:rsidRPr="00604C75">
        <w:rPr>
          <w:rStyle w:val="hps"/>
          <w:sz w:val="20"/>
          <w:szCs w:val="20"/>
        </w:rPr>
        <w:t>Other assets</w:t>
      </w:r>
      <w:r w:rsidRPr="00604C75">
        <w:rPr>
          <w:sz w:val="20"/>
          <w:szCs w:val="20"/>
        </w:rPr>
        <w:t xml:space="preserve"> </w:t>
      </w:r>
      <w:r w:rsidRPr="00604C75">
        <w:rPr>
          <w:rStyle w:val="hps"/>
          <w:sz w:val="20"/>
          <w:szCs w:val="20"/>
        </w:rPr>
        <w:t>in</w:t>
      </w:r>
      <w:r w:rsidRPr="00604C75">
        <w:rPr>
          <w:sz w:val="20"/>
          <w:szCs w:val="20"/>
        </w:rPr>
        <w:t xml:space="preserve"> </w:t>
      </w:r>
      <w:r w:rsidRPr="00604C75">
        <w:rPr>
          <w:rStyle w:val="hps"/>
          <w:sz w:val="20"/>
          <w:szCs w:val="20"/>
        </w:rPr>
        <w:t>the balance sheet</w:t>
      </w:r>
      <w:r w:rsidRPr="00604C75">
        <w:rPr>
          <w:sz w:val="20"/>
          <w:szCs w:val="20"/>
        </w:rPr>
        <w:t xml:space="preserve">, </w:t>
      </w:r>
      <w:r w:rsidRPr="00604C75">
        <w:rPr>
          <w:rStyle w:val="hps"/>
          <w:sz w:val="20"/>
          <w:szCs w:val="20"/>
        </w:rPr>
        <w:t>balance sheet excluding</w:t>
      </w:r>
      <w:r w:rsidRPr="00604C75">
        <w:rPr>
          <w:sz w:val="20"/>
          <w:szCs w:val="20"/>
        </w:rPr>
        <w:t xml:space="preserve"> </w:t>
      </w:r>
      <w:r w:rsidRPr="00604C75">
        <w:rPr>
          <w:rStyle w:val="hps"/>
          <w:sz w:val="20"/>
          <w:szCs w:val="20"/>
        </w:rPr>
        <w:t>off-balance sheet</w:t>
      </w:r>
      <w:r w:rsidRPr="00604C75">
        <w:rPr>
          <w:sz w:val="20"/>
          <w:szCs w:val="20"/>
        </w:rPr>
        <w:t xml:space="preserve"> </w:t>
      </w:r>
      <w:r w:rsidRPr="00604C75">
        <w:rPr>
          <w:rStyle w:val="hps"/>
          <w:sz w:val="20"/>
          <w:szCs w:val="20"/>
        </w:rPr>
        <w:t>commitments</w:t>
      </w:r>
      <w:r w:rsidRPr="00604C75">
        <w:rPr>
          <w:sz w:val="20"/>
          <w:szCs w:val="20"/>
        </w:rPr>
        <w:t xml:space="preserve"> </w:t>
      </w:r>
      <w:r w:rsidRPr="00604C75">
        <w:rPr>
          <w:rStyle w:val="hps"/>
          <w:sz w:val="20"/>
          <w:szCs w:val="20"/>
        </w:rPr>
        <w:t>exceed 10</w:t>
      </w:r>
      <w:r w:rsidRPr="00604C75">
        <w:rPr>
          <w:sz w:val="20"/>
          <w:szCs w:val="20"/>
        </w:rPr>
        <w:t xml:space="preserve">% of the total </w:t>
      </w:r>
      <w:r w:rsidRPr="00604C75">
        <w:rPr>
          <w:rStyle w:val="hps"/>
          <w:sz w:val="20"/>
          <w:szCs w:val="20"/>
        </w:rPr>
        <w:t>while</w:t>
      </w:r>
      <w:r w:rsidRPr="00604C75">
        <w:rPr>
          <w:sz w:val="20"/>
          <w:szCs w:val="20"/>
        </w:rPr>
        <w:t xml:space="preserve"> </w:t>
      </w:r>
      <w:r w:rsidRPr="00604C75">
        <w:rPr>
          <w:rStyle w:val="hps"/>
          <w:sz w:val="20"/>
          <w:szCs w:val="20"/>
        </w:rPr>
        <w:t>at least 20%</w:t>
      </w:r>
      <w:r w:rsidRPr="00604C75">
        <w:rPr>
          <w:sz w:val="20"/>
          <w:szCs w:val="20"/>
        </w:rPr>
        <w:t xml:space="preserve"> </w:t>
      </w:r>
      <w:r w:rsidRPr="00604C75">
        <w:rPr>
          <w:rStyle w:val="hps"/>
          <w:sz w:val="20"/>
          <w:szCs w:val="20"/>
        </w:rPr>
        <w:t>of</w:t>
      </w:r>
      <w:r w:rsidRPr="00604C75">
        <w:rPr>
          <w:sz w:val="20"/>
          <w:szCs w:val="20"/>
        </w:rPr>
        <w:t xml:space="preserve"> </w:t>
      </w:r>
      <w:r w:rsidRPr="00604C75">
        <w:rPr>
          <w:rStyle w:val="hps"/>
          <w:sz w:val="20"/>
          <w:szCs w:val="20"/>
        </w:rPr>
        <w:t>their</w:t>
      </w:r>
      <w:r w:rsidRPr="00604C75">
        <w:rPr>
          <w:sz w:val="20"/>
          <w:szCs w:val="20"/>
        </w:rPr>
        <w:t xml:space="preserve"> </w:t>
      </w:r>
      <w:r w:rsidRPr="00604C75">
        <w:rPr>
          <w:rStyle w:val="hps"/>
          <w:sz w:val="20"/>
          <w:szCs w:val="20"/>
        </w:rPr>
        <w:t>name and the amount</w:t>
      </w:r>
      <w:r w:rsidRPr="00604C75">
        <w:rPr>
          <w:sz w:val="20"/>
          <w:szCs w:val="20"/>
        </w:rPr>
        <w:t xml:space="preserve"> </w:t>
      </w:r>
      <w:r w:rsidRPr="00604C75">
        <w:rPr>
          <w:rStyle w:val="hps"/>
          <w:sz w:val="20"/>
          <w:szCs w:val="20"/>
        </w:rPr>
        <w:t>of sub-accounts</w:t>
      </w:r>
    </w:p>
    <w:p w14:paraId="5111F8B1" w14:textId="77777777" w:rsidR="0044575F" w:rsidRPr="00604C75" w:rsidRDefault="0044575F" w:rsidP="008B76B7">
      <w:pPr>
        <w:pStyle w:val="BodyTextIndent"/>
        <w:tabs>
          <w:tab w:val="left" w:pos="567"/>
        </w:tabs>
        <w:spacing w:before="120"/>
        <w:ind w:left="1701" w:hanging="1701"/>
        <w:rPr>
          <w:sz w:val="20"/>
          <w:szCs w:val="20"/>
        </w:rPr>
      </w:pPr>
      <w:r w:rsidRPr="00604C75">
        <w:rPr>
          <w:sz w:val="20"/>
          <w:szCs w:val="20"/>
        </w:rPr>
        <w:t>None (</w:t>
      </w:r>
      <w:r w:rsidR="00DE2A4A" w:rsidRPr="00604C75">
        <w:rPr>
          <w:sz w:val="20"/>
          <w:szCs w:val="20"/>
        </w:rPr>
        <w:t xml:space="preserve">31 December </w:t>
      </w:r>
      <w:r w:rsidRPr="00604C75">
        <w:rPr>
          <w:sz w:val="20"/>
          <w:szCs w:val="20"/>
        </w:rPr>
        <w:t>201</w:t>
      </w:r>
      <w:r w:rsidR="00E70606" w:rsidRPr="00604C75">
        <w:rPr>
          <w:sz w:val="20"/>
          <w:szCs w:val="20"/>
        </w:rPr>
        <w:t>4</w:t>
      </w:r>
      <w:r w:rsidRPr="00604C75">
        <w:rPr>
          <w:sz w:val="20"/>
          <w:szCs w:val="20"/>
        </w:rPr>
        <w:t>: None).</w:t>
      </w:r>
    </w:p>
    <w:p w14:paraId="397E83D4" w14:textId="5990A76E" w:rsidR="0044575F" w:rsidRPr="00604C75" w:rsidRDefault="00B27B7B" w:rsidP="00490153">
      <w:pPr>
        <w:pStyle w:val="BodyTextIndent"/>
        <w:pageBreakBefore/>
        <w:spacing w:before="120" w:after="0"/>
        <w:ind w:left="0"/>
        <w:rPr>
          <w:b/>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6297FC15" w14:textId="093C35AE" w:rsidR="0044575F" w:rsidRPr="00604C75" w:rsidRDefault="0044575F" w:rsidP="00490153">
      <w:pPr>
        <w:pStyle w:val="Heading2"/>
        <w:tabs>
          <w:tab w:val="left" w:pos="709"/>
        </w:tabs>
        <w:ind w:left="851" w:hanging="851"/>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565434" w:rsidRPr="00604C75">
        <w:rPr>
          <w:rFonts w:ascii="Times New Roman" w:hAnsi="Times New Roman"/>
          <w:noProof/>
          <w:sz w:val="20"/>
        </w:rPr>
        <w:t xml:space="preserve">Explanations and Notes </w:t>
      </w:r>
      <w:r w:rsidR="00647320">
        <w:rPr>
          <w:rFonts w:ascii="Times New Roman" w:hAnsi="Times New Roman"/>
          <w:noProof/>
          <w:sz w:val="20"/>
        </w:rPr>
        <w:t>on</w:t>
      </w:r>
      <w:r w:rsidR="005E7575" w:rsidRPr="00604C75">
        <w:rPr>
          <w:rFonts w:ascii="Times New Roman" w:hAnsi="Times New Roman"/>
          <w:noProof/>
          <w:sz w:val="20"/>
        </w:rPr>
        <w:t xml:space="preserve"> </w:t>
      </w:r>
      <w:r w:rsidR="00565434" w:rsidRPr="00604C75">
        <w:rPr>
          <w:rFonts w:ascii="Times New Roman" w:hAnsi="Times New Roman"/>
          <w:noProof/>
          <w:sz w:val="20"/>
        </w:rPr>
        <w:t>Liabilities</w:t>
      </w:r>
      <w:r w:rsidR="00565434" w:rsidRPr="00604C75" w:rsidDel="00565434">
        <w:rPr>
          <w:rFonts w:ascii="Times New Roman" w:hAnsi="Times New Roman"/>
          <w:noProof/>
          <w:sz w:val="20"/>
        </w:rPr>
        <w:t xml:space="preserve"> </w:t>
      </w:r>
    </w:p>
    <w:p w14:paraId="736E1DA6" w14:textId="77777777" w:rsidR="0044575F" w:rsidRPr="00604C75" w:rsidRDefault="0044575F" w:rsidP="00490153">
      <w:pPr>
        <w:tabs>
          <w:tab w:val="left" w:pos="709"/>
        </w:tabs>
        <w:spacing w:before="120"/>
        <w:ind w:left="851" w:hanging="851"/>
        <w:jc w:val="both"/>
        <w:rPr>
          <w:b/>
          <w:sz w:val="20"/>
          <w:szCs w:val="20"/>
        </w:rPr>
      </w:pPr>
      <w:r w:rsidRPr="00604C75">
        <w:rPr>
          <w:b/>
          <w:sz w:val="20"/>
          <w:szCs w:val="20"/>
        </w:rPr>
        <w:t>a.</w:t>
      </w:r>
      <w:r w:rsidRPr="00604C75">
        <w:rPr>
          <w:b/>
          <w:sz w:val="20"/>
          <w:szCs w:val="20"/>
        </w:rPr>
        <w:tab/>
      </w:r>
      <w:r w:rsidRPr="00604C75">
        <w:rPr>
          <w:b/>
          <w:bCs/>
          <w:noProof/>
          <w:sz w:val="20"/>
          <w:szCs w:val="20"/>
        </w:rPr>
        <w:t>Information on deposits</w:t>
      </w:r>
    </w:p>
    <w:p w14:paraId="2625FBCE" w14:textId="77777777" w:rsidR="0044575F" w:rsidRPr="00604C75" w:rsidRDefault="001B7723" w:rsidP="00490153">
      <w:pPr>
        <w:pStyle w:val="BodyTextIndent"/>
        <w:spacing w:before="120" w:after="0"/>
        <w:ind w:left="709" w:hanging="1559"/>
        <w:rPr>
          <w:sz w:val="20"/>
          <w:szCs w:val="20"/>
        </w:rPr>
      </w:pPr>
      <w:r w:rsidRPr="00604C75">
        <w:rPr>
          <w:sz w:val="20"/>
          <w:szCs w:val="20"/>
        </w:rPr>
        <w:t xml:space="preserve">                 </w:t>
      </w:r>
      <w:r w:rsidR="0044575F" w:rsidRPr="00604C75">
        <w:rPr>
          <w:sz w:val="20"/>
          <w:szCs w:val="20"/>
        </w:rPr>
        <w:t>1.</w:t>
      </w:r>
      <w:r w:rsidR="0044575F" w:rsidRPr="00604C75">
        <w:rPr>
          <w:sz w:val="20"/>
          <w:szCs w:val="20"/>
        </w:rPr>
        <w:tab/>
        <w:t>Information on maturity structure of deposits/the funds collected</w:t>
      </w:r>
    </w:p>
    <w:p w14:paraId="1A39CE21" w14:textId="77777777" w:rsidR="0044575F" w:rsidRPr="00604C75" w:rsidRDefault="0044575F" w:rsidP="001B7723">
      <w:pPr>
        <w:pStyle w:val="BodyTextIndent"/>
        <w:spacing w:after="0"/>
        <w:ind w:hanging="1276"/>
        <w:rPr>
          <w:b/>
          <w:sz w:val="14"/>
          <w:szCs w:val="14"/>
        </w:rPr>
      </w:pPr>
    </w:p>
    <w:p w14:paraId="36A5759F" w14:textId="30303D6A" w:rsidR="0044575F" w:rsidRPr="00604C75" w:rsidRDefault="000467F0" w:rsidP="001B7723">
      <w:pPr>
        <w:pStyle w:val="BodyTextIndent"/>
        <w:tabs>
          <w:tab w:val="left" w:pos="709"/>
        </w:tabs>
        <w:spacing w:after="0"/>
        <w:ind w:left="2127" w:hanging="2127"/>
        <w:rPr>
          <w:bCs/>
          <w:sz w:val="20"/>
          <w:szCs w:val="20"/>
        </w:rPr>
      </w:pPr>
      <w:r>
        <w:rPr>
          <w:sz w:val="20"/>
          <w:szCs w:val="20"/>
        </w:rPr>
        <w:t>1(i).</w:t>
      </w:r>
      <w:r>
        <w:rPr>
          <w:sz w:val="20"/>
          <w:szCs w:val="20"/>
        </w:rPr>
        <w:tab/>
        <w:t>3</w:t>
      </w:r>
      <w:r w:rsidR="007C7E14">
        <w:rPr>
          <w:sz w:val="20"/>
          <w:szCs w:val="20"/>
        </w:rPr>
        <w:t>1</w:t>
      </w:r>
      <w:r>
        <w:rPr>
          <w:sz w:val="20"/>
          <w:szCs w:val="20"/>
        </w:rPr>
        <w:t xml:space="preserve"> </w:t>
      </w:r>
      <w:r w:rsidR="007C7E14">
        <w:rPr>
          <w:sz w:val="20"/>
          <w:szCs w:val="20"/>
        </w:rPr>
        <w:t xml:space="preserve">December </w:t>
      </w:r>
      <w:r w:rsidR="0044575F" w:rsidRPr="00604C75">
        <w:rPr>
          <w:sz w:val="20"/>
          <w:szCs w:val="20"/>
        </w:rPr>
        <w:t>201</w:t>
      </w:r>
      <w:r w:rsidR="001B7723" w:rsidRPr="00604C75">
        <w:rPr>
          <w:sz w:val="20"/>
          <w:szCs w:val="20"/>
        </w:rPr>
        <w:t>5</w:t>
      </w:r>
      <w:r w:rsidR="00AA1AA6">
        <w:rPr>
          <w:sz w:val="20"/>
          <w:szCs w:val="20"/>
        </w:rPr>
        <w:t>:</w:t>
      </w:r>
    </w:p>
    <w:p w14:paraId="049E1FFE" w14:textId="77777777" w:rsidR="0044575F" w:rsidRPr="00604C75" w:rsidRDefault="0044575F" w:rsidP="001B7723">
      <w:pPr>
        <w:pStyle w:val="BodyTextIndent"/>
        <w:spacing w:after="0"/>
        <w:ind w:left="0"/>
        <w:rPr>
          <w:sz w:val="14"/>
          <w:szCs w:val="14"/>
        </w:rPr>
      </w:pPr>
    </w:p>
    <w:tbl>
      <w:tblPr>
        <w:tblW w:w="1001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900"/>
        <w:gridCol w:w="892"/>
        <w:gridCol w:w="905"/>
        <w:gridCol w:w="895"/>
        <w:gridCol w:w="969"/>
        <w:gridCol w:w="884"/>
        <w:gridCol w:w="886"/>
        <w:gridCol w:w="800"/>
        <w:gridCol w:w="980"/>
        <w:gridCol w:w="902"/>
      </w:tblGrid>
      <w:tr w:rsidR="001B7723" w:rsidRPr="00195EDC" w14:paraId="1C894A90" w14:textId="77777777" w:rsidTr="00877CBD">
        <w:trPr>
          <w:trHeight w:val="255"/>
        </w:trPr>
        <w:tc>
          <w:tcPr>
            <w:tcW w:w="1900" w:type="dxa"/>
            <w:shd w:val="clear" w:color="auto" w:fill="FFFFFF"/>
            <w:vAlign w:val="bottom"/>
          </w:tcPr>
          <w:p w14:paraId="413E14D6" w14:textId="77777777" w:rsidR="001B7723" w:rsidRPr="00604C75" w:rsidRDefault="001B7723" w:rsidP="006248D0">
            <w:pPr>
              <w:tabs>
                <w:tab w:val="left" w:pos="0"/>
              </w:tabs>
              <w:spacing w:line="223" w:lineRule="auto"/>
              <w:rPr>
                <w:rFonts w:eastAsia="Arial Unicode MS"/>
                <w:b/>
                <w:bCs/>
                <w:sz w:val="16"/>
                <w:szCs w:val="16"/>
              </w:rPr>
            </w:pPr>
            <w:r w:rsidRPr="00604C75">
              <w:rPr>
                <w:b/>
                <w:bCs/>
                <w:sz w:val="16"/>
                <w:szCs w:val="16"/>
              </w:rPr>
              <w:t> </w:t>
            </w:r>
          </w:p>
        </w:tc>
        <w:tc>
          <w:tcPr>
            <w:tcW w:w="892" w:type="dxa"/>
            <w:vAlign w:val="bottom"/>
          </w:tcPr>
          <w:p w14:paraId="05B22D1D" w14:textId="77777777" w:rsidR="001B7723" w:rsidRPr="00195EDC" w:rsidRDefault="001B7723" w:rsidP="001B7723">
            <w:pPr>
              <w:tabs>
                <w:tab w:val="left" w:pos="0"/>
              </w:tabs>
              <w:spacing w:line="223" w:lineRule="auto"/>
              <w:ind w:right="50"/>
              <w:jc w:val="right"/>
              <w:rPr>
                <w:rFonts w:eastAsia="Arial Unicode MS"/>
                <w:b/>
                <w:bCs/>
                <w:sz w:val="16"/>
                <w:szCs w:val="16"/>
              </w:rPr>
            </w:pPr>
            <w:r w:rsidRPr="00195EDC">
              <w:rPr>
                <w:b/>
                <w:bCs/>
                <w:noProof/>
                <w:color w:val="000000"/>
                <w:sz w:val="16"/>
                <w:szCs w:val="16"/>
              </w:rPr>
              <w:t>Demand</w:t>
            </w:r>
          </w:p>
        </w:tc>
        <w:tc>
          <w:tcPr>
            <w:tcW w:w="905" w:type="dxa"/>
            <w:vAlign w:val="bottom"/>
          </w:tcPr>
          <w:p w14:paraId="1F795D12" w14:textId="77777777" w:rsidR="001B7723" w:rsidRPr="00195EDC" w:rsidRDefault="001B7723" w:rsidP="001B7723">
            <w:pPr>
              <w:tabs>
                <w:tab w:val="left" w:pos="0"/>
              </w:tabs>
              <w:spacing w:line="223" w:lineRule="auto"/>
              <w:ind w:right="50"/>
              <w:jc w:val="right"/>
              <w:rPr>
                <w:rFonts w:eastAsia="Arial Unicode MS"/>
                <w:b/>
                <w:bCs/>
                <w:sz w:val="16"/>
                <w:szCs w:val="16"/>
              </w:rPr>
            </w:pPr>
            <w:r w:rsidRPr="00195EDC">
              <w:rPr>
                <w:b/>
                <w:bCs/>
                <w:noProof/>
                <w:color w:val="000000"/>
                <w:sz w:val="16"/>
                <w:szCs w:val="16"/>
              </w:rPr>
              <w:t>With 7 days notifications</w:t>
            </w:r>
          </w:p>
        </w:tc>
        <w:tc>
          <w:tcPr>
            <w:tcW w:w="895" w:type="dxa"/>
            <w:vAlign w:val="bottom"/>
          </w:tcPr>
          <w:p w14:paraId="0DF44379" w14:textId="77777777" w:rsidR="001B7723" w:rsidRPr="00195EDC" w:rsidRDefault="001B7723" w:rsidP="001B7723">
            <w:pPr>
              <w:tabs>
                <w:tab w:val="left" w:pos="0"/>
              </w:tabs>
              <w:spacing w:line="223" w:lineRule="auto"/>
              <w:ind w:right="50"/>
              <w:jc w:val="right"/>
              <w:rPr>
                <w:rFonts w:eastAsia="Arial Unicode MS"/>
                <w:b/>
                <w:bCs/>
                <w:sz w:val="16"/>
                <w:szCs w:val="16"/>
              </w:rPr>
            </w:pPr>
            <w:r w:rsidRPr="00195EDC">
              <w:rPr>
                <w:b/>
                <w:bCs/>
                <w:noProof/>
                <w:color w:val="000000"/>
                <w:sz w:val="16"/>
                <w:szCs w:val="16"/>
              </w:rPr>
              <w:t>Up to 1 month</w:t>
            </w:r>
          </w:p>
        </w:tc>
        <w:tc>
          <w:tcPr>
            <w:tcW w:w="969" w:type="dxa"/>
            <w:vAlign w:val="bottom"/>
          </w:tcPr>
          <w:p w14:paraId="6ECD3AD1" w14:textId="77777777" w:rsidR="001B7723" w:rsidRPr="00195EDC" w:rsidRDefault="001B7723" w:rsidP="001B7723">
            <w:pPr>
              <w:tabs>
                <w:tab w:val="left" w:pos="0"/>
              </w:tabs>
              <w:spacing w:line="223" w:lineRule="auto"/>
              <w:ind w:right="50"/>
              <w:jc w:val="right"/>
              <w:rPr>
                <w:rFonts w:eastAsia="Arial Unicode MS"/>
                <w:b/>
                <w:bCs/>
                <w:sz w:val="16"/>
                <w:szCs w:val="16"/>
              </w:rPr>
            </w:pPr>
            <w:r w:rsidRPr="00195EDC">
              <w:rPr>
                <w:b/>
                <w:bCs/>
                <w:noProof/>
                <w:color w:val="000000"/>
                <w:sz w:val="16"/>
                <w:szCs w:val="16"/>
              </w:rPr>
              <w:t>1-3 months</w:t>
            </w:r>
          </w:p>
        </w:tc>
        <w:tc>
          <w:tcPr>
            <w:tcW w:w="884" w:type="dxa"/>
            <w:vAlign w:val="bottom"/>
          </w:tcPr>
          <w:p w14:paraId="5256572A" w14:textId="77777777" w:rsidR="001B7723" w:rsidRPr="00195EDC" w:rsidRDefault="001B7723" w:rsidP="001B7723">
            <w:pPr>
              <w:tabs>
                <w:tab w:val="left" w:pos="0"/>
              </w:tabs>
              <w:spacing w:line="223" w:lineRule="auto"/>
              <w:ind w:right="50"/>
              <w:jc w:val="right"/>
              <w:rPr>
                <w:rFonts w:eastAsia="Arial Unicode MS"/>
                <w:b/>
                <w:bCs/>
                <w:sz w:val="16"/>
                <w:szCs w:val="16"/>
              </w:rPr>
            </w:pPr>
            <w:r w:rsidRPr="00195EDC">
              <w:rPr>
                <w:b/>
                <w:bCs/>
                <w:noProof/>
                <w:color w:val="000000"/>
                <w:sz w:val="16"/>
                <w:szCs w:val="16"/>
              </w:rPr>
              <w:t>3-6 months</w:t>
            </w:r>
          </w:p>
        </w:tc>
        <w:tc>
          <w:tcPr>
            <w:tcW w:w="886" w:type="dxa"/>
            <w:vAlign w:val="bottom"/>
          </w:tcPr>
          <w:p w14:paraId="555ACE2F" w14:textId="77777777" w:rsidR="001B7723" w:rsidRPr="00195EDC" w:rsidRDefault="001B7723" w:rsidP="001B7723">
            <w:pPr>
              <w:tabs>
                <w:tab w:val="left" w:pos="0"/>
              </w:tabs>
              <w:spacing w:line="223" w:lineRule="auto"/>
              <w:ind w:right="50"/>
              <w:jc w:val="right"/>
              <w:rPr>
                <w:rFonts w:eastAsia="Arial Unicode MS"/>
                <w:b/>
                <w:bCs/>
                <w:sz w:val="16"/>
                <w:szCs w:val="16"/>
              </w:rPr>
            </w:pPr>
            <w:r w:rsidRPr="00195EDC">
              <w:rPr>
                <w:b/>
                <w:bCs/>
                <w:noProof/>
                <w:color w:val="000000"/>
                <w:sz w:val="16"/>
                <w:szCs w:val="16"/>
              </w:rPr>
              <w:t>6 months -1 year</w:t>
            </w:r>
          </w:p>
        </w:tc>
        <w:tc>
          <w:tcPr>
            <w:tcW w:w="800" w:type="dxa"/>
            <w:vAlign w:val="bottom"/>
          </w:tcPr>
          <w:p w14:paraId="17A4B872" w14:textId="77777777" w:rsidR="001B7723" w:rsidRPr="00195EDC" w:rsidRDefault="001B7723" w:rsidP="001B7723">
            <w:pPr>
              <w:tabs>
                <w:tab w:val="left" w:pos="0"/>
              </w:tabs>
              <w:spacing w:line="223" w:lineRule="auto"/>
              <w:ind w:right="50"/>
              <w:jc w:val="right"/>
              <w:rPr>
                <w:b/>
                <w:bCs/>
                <w:sz w:val="16"/>
                <w:szCs w:val="16"/>
              </w:rPr>
            </w:pPr>
            <w:r w:rsidRPr="00195EDC">
              <w:rPr>
                <w:b/>
                <w:bCs/>
                <w:noProof/>
                <w:color w:val="000000"/>
                <w:sz w:val="16"/>
                <w:szCs w:val="16"/>
              </w:rPr>
              <w:t>1 year and over</w:t>
            </w:r>
          </w:p>
        </w:tc>
        <w:tc>
          <w:tcPr>
            <w:tcW w:w="980" w:type="dxa"/>
            <w:vAlign w:val="bottom"/>
          </w:tcPr>
          <w:p w14:paraId="254498F3" w14:textId="2EA528FB" w:rsidR="001B7723" w:rsidRPr="00195EDC" w:rsidRDefault="001B7723" w:rsidP="001B7723">
            <w:pPr>
              <w:ind w:left="-231" w:firstLine="23"/>
              <w:jc w:val="right"/>
              <w:rPr>
                <w:b/>
                <w:bCs/>
                <w:noProof/>
                <w:color w:val="000000"/>
                <w:sz w:val="16"/>
                <w:szCs w:val="16"/>
              </w:rPr>
            </w:pPr>
            <w:r w:rsidRPr="00195EDC">
              <w:rPr>
                <w:b/>
                <w:bCs/>
                <w:noProof/>
                <w:color w:val="000000"/>
                <w:sz w:val="16"/>
                <w:szCs w:val="16"/>
              </w:rPr>
              <w:t>Accum</w:t>
            </w:r>
            <w:r w:rsidR="00877CBD">
              <w:rPr>
                <w:b/>
                <w:bCs/>
                <w:noProof/>
                <w:color w:val="000000"/>
                <w:sz w:val="16"/>
                <w:szCs w:val="16"/>
              </w:rPr>
              <w:t>ulated</w:t>
            </w:r>
          </w:p>
          <w:p w14:paraId="53AC6A35" w14:textId="7B989BFC" w:rsidR="001B7723" w:rsidRPr="00195EDC" w:rsidRDefault="001B7723" w:rsidP="001B7723">
            <w:pPr>
              <w:tabs>
                <w:tab w:val="left" w:pos="0"/>
              </w:tabs>
              <w:spacing w:line="223" w:lineRule="auto"/>
              <w:ind w:right="50"/>
              <w:jc w:val="right"/>
              <w:rPr>
                <w:b/>
                <w:bCs/>
                <w:sz w:val="16"/>
                <w:szCs w:val="16"/>
              </w:rPr>
            </w:pPr>
            <w:r w:rsidRPr="00195EDC">
              <w:rPr>
                <w:b/>
                <w:bCs/>
                <w:noProof/>
                <w:color w:val="000000"/>
                <w:sz w:val="16"/>
                <w:szCs w:val="16"/>
              </w:rPr>
              <w:t>Deposit</w:t>
            </w:r>
            <w:r w:rsidR="005856B5">
              <w:rPr>
                <w:b/>
                <w:bCs/>
                <w:noProof/>
                <w:color w:val="000000"/>
                <w:sz w:val="16"/>
                <w:szCs w:val="16"/>
              </w:rPr>
              <w:t>s</w:t>
            </w:r>
          </w:p>
        </w:tc>
        <w:tc>
          <w:tcPr>
            <w:tcW w:w="902" w:type="dxa"/>
            <w:vAlign w:val="bottom"/>
          </w:tcPr>
          <w:p w14:paraId="18735B7B" w14:textId="77777777" w:rsidR="001B7723" w:rsidRPr="00195EDC" w:rsidRDefault="001B7723" w:rsidP="001B7723">
            <w:pPr>
              <w:tabs>
                <w:tab w:val="left" w:pos="0"/>
              </w:tabs>
              <w:spacing w:line="223" w:lineRule="auto"/>
              <w:ind w:right="50"/>
              <w:jc w:val="right"/>
              <w:rPr>
                <w:rFonts w:eastAsia="Arial Unicode MS"/>
                <w:b/>
                <w:bCs/>
                <w:sz w:val="16"/>
                <w:szCs w:val="16"/>
              </w:rPr>
            </w:pPr>
            <w:r w:rsidRPr="00195EDC">
              <w:rPr>
                <w:b/>
                <w:bCs/>
                <w:noProof/>
                <w:color w:val="000000"/>
                <w:sz w:val="16"/>
                <w:szCs w:val="16"/>
              </w:rPr>
              <w:t>Total</w:t>
            </w:r>
          </w:p>
        </w:tc>
      </w:tr>
      <w:tr w:rsidR="00224102" w:rsidRPr="00195EDC" w14:paraId="01321ABE" w14:textId="77777777" w:rsidTr="00877CBD">
        <w:trPr>
          <w:trHeight w:val="287"/>
        </w:trPr>
        <w:tc>
          <w:tcPr>
            <w:tcW w:w="1900" w:type="dxa"/>
            <w:shd w:val="clear" w:color="auto" w:fill="FFFFFF"/>
            <w:vAlign w:val="bottom"/>
          </w:tcPr>
          <w:p w14:paraId="59FE37B9" w14:textId="77777777" w:rsidR="00224102" w:rsidRPr="00195EDC" w:rsidRDefault="00224102" w:rsidP="00224102">
            <w:pPr>
              <w:tabs>
                <w:tab w:val="left" w:pos="0"/>
              </w:tabs>
              <w:spacing w:line="223" w:lineRule="auto"/>
              <w:rPr>
                <w:rFonts w:eastAsia="Arial Unicode MS"/>
                <w:b/>
                <w:sz w:val="16"/>
                <w:szCs w:val="16"/>
              </w:rPr>
            </w:pPr>
            <w:r w:rsidRPr="00195EDC">
              <w:rPr>
                <w:b/>
                <w:noProof/>
                <w:sz w:val="16"/>
                <w:szCs w:val="16"/>
              </w:rPr>
              <w:t>Saving Deposits</w:t>
            </w:r>
          </w:p>
        </w:tc>
        <w:tc>
          <w:tcPr>
            <w:tcW w:w="892" w:type="dxa"/>
            <w:vAlign w:val="bottom"/>
          </w:tcPr>
          <w:p w14:paraId="08ACA401" w14:textId="5104141B" w:rsidR="00224102" w:rsidRPr="00195EDC" w:rsidRDefault="00224102" w:rsidP="00224102">
            <w:pPr>
              <w:jc w:val="right"/>
              <w:rPr>
                <w:b/>
                <w:bCs/>
                <w:sz w:val="18"/>
                <w:szCs w:val="18"/>
              </w:rPr>
            </w:pPr>
            <w:r>
              <w:rPr>
                <w:b/>
                <w:bCs/>
                <w:sz w:val="18"/>
                <w:szCs w:val="18"/>
              </w:rPr>
              <w:t>52,036</w:t>
            </w:r>
          </w:p>
        </w:tc>
        <w:tc>
          <w:tcPr>
            <w:tcW w:w="905" w:type="dxa"/>
            <w:vAlign w:val="bottom"/>
          </w:tcPr>
          <w:p w14:paraId="621C6E23" w14:textId="7F833CD9" w:rsidR="00224102" w:rsidRPr="00195EDC" w:rsidRDefault="00224102" w:rsidP="00224102">
            <w:pPr>
              <w:jc w:val="right"/>
              <w:rPr>
                <w:b/>
                <w:bCs/>
                <w:sz w:val="18"/>
                <w:szCs w:val="18"/>
              </w:rPr>
            </w:pPr>
            <w:r>
              <w:rPr>
                <w:b/>
                <w:bCs/>
                <w:sz w:val="18"/>
                <w:szCs w:val="18"/>
              </w:rPr>
              <w:t>-</w:t>
            </w:r>
          </w:p>
        </w:tc>
        <w:tc>
          <w:tcPr>
            <w:tcW w:w="895" w:type="dxa"/>
            <w:vAlign w:val="bottom"/>
          </w:tcPr>
          <w:p w14:paraId="77BA2242" w14:textId="035504E1" w:rsidR="00224102" w:rsidRPr="00195EDC" w:rsidRDefault="00224102" w:rsidP="00224102">
            <w:pPr>
              <w:jc w:val="right"/>
              <w:rPr>
                <w:b/>
                <w:bCs/>
                <w:sz w:val="18"/>
                <w:szCs w:val="18"/>
              </w:rPr>
            </w:pPr>
            <w:r>
              <w:rPr>
                <w:b/>
                <w:bCs/>
                <w:sz w:val="18"/>
                <w:szCs w:val="18"/>
              </w:rPr>
              <w:t>56,362</w:t>
            </w:r>
          </w:p>
        </w:tc>
        <w:tc>
          <w:tcPr>
            <w:tcW w:w="969" w:type="dxa"/>
            <w:vAlign w:val="bottom"/>
          </w:tcPr>
          <w:p w14:paraId="3AC12D3F" w14:textId="3E17A0AE" w:rsidR="00224102" w:rsidRPr="00195EDC" w:rsidRDefault="00224102" w:rsidP="00224102">
            <w:pPr>
              <w:jc w:val="right"/>
              <w:rPr>
                <w:b/>
                <w:bCs/>
                <w:sz w:val="18"/>
                <w:szCs w:val="18"/>
              </w:rPr>
            </w:pPr>
            <w:r>
              <w:rPr>
                <w:b/>
                <w:bCs/>
                <w:sz w:val="18"/>
                <w:szCs w:val="18"/>
              </w:rPr>
              <w:t>1,718,980</w:t>
            </w:r>
          </w:p>
        </w:tc>
        <w:tc>
          <w:tcPr>
            <w:tcW w:w="884" w:type="dxa"/>
            <w:vAlign w:val="bottom"/>
          </w:tcPr>
          <w:p w14:paraId="1FF199B0" w14:textId="4F139428" w:rsidR="00224102" w:rsidRPr="00195EDC" w:rsidRDefault="00224102" w:rsidP="00224102">
            <w:pPr>
              <w:jc w:val="right"/>
              <w:rPr>
                <w:b/>
                <w:bCs/>
                <w:sz w:val="18"/>
                <w:szCs w:val="18"/>
              </w:rPr>
            </w:pPr>
            <w:r>
              <w:rPr>
                <w:b/>
                <w:bCs/>
                <w:sz w:val="18"/>
                <w:szCs w:val="18"/>
              </w:rPr>
              <w:t>48,754</w:t>
            </w:r>
          </w:p>
        </w:tc>
        <w:tc>
          <w:tcPr>
            <w:tcW w:w="886" w:type="dxa"/>
            <w:vAlign w:val="bottom"/>
          </w:tcPr>
          <w:p w14:paraId="12A1B993" w14:textId="330B812B" w:rsidR="00224102" w:rsidRPr="00195EDC" w:rsidRDefault="00224102" w:rsidP="00224102">
            <w:pPr>
              <w:jc w:val="right"/>
              <w:rPr>
                <w:b/>
                <w:bCs/>
                <w:sz w:val="18"/>
                <w:szCs w:val="18"/>
              </w:rPr>
            </w:pPr>
            <w:r>
              <w:rPr>
                <w:b/>
                <w:bCs/>
                <w:sz w:val="18"/>
                <w:szCs w:val="18"/>
              </w:rPr>
              <w:t>13,078</w:t>
            </w:r>
          </w:p>
        </w:tc>
        <w:tc>
          <w:tcPr>
            <w:tcW w:w="800" w:type="dxa"/>
            <w:vAlign w:val="bottom"/>
          </w:tcPr>
          <w:p w14:paraId="6158FE90" w14:textId="1E519682" w:rsidR="00224102" w:rsidRPr="00195EDC" w:rsidRDefault="00224102" w:rsidP="00224102">
            <w:pPr>
              <w:jc w:val="right"/>
              <w:rPr>
                <w:b/>
                <w:bCs/>
                <w:sz w:val="18"/>
                <w:szCs w:val="18"/>
              </w:rPr>
            </w:pPr>
            <w:r>
              <w:rPr>
                <w:b/>
                <w:bCs/>
                <w:sz w:val="18"/>
                <w:szCs w:val="18"/>
              </w:rPr>
              <w:t>14,985</w:t>
            </w:r>
          </w:p>
        </w:tc>
        <w:tc>
          <w:tcPr>
            <w:tcW w:w="980" w:type="dxa"/>
            <w:vAlign w:val="bottom"/>
          </w:tcPr>
          <w:p w14:paraId="2E2AC310" w14:textId="33DD6002" w:rsidR="00224102" w:rsidRPr="00195EDC" w:rsidRDefault="00224102" w:rsidP="00224102">
            <w:pPr>
              <w:jc w:val="right"/>
              <w:rPr>
                <w:b/>
                <w:bCs/>
                <w:sz w:val="18"/>
                <w:szCs w:val="18"/>
              </w:rPr>
            </w:pPr>
            <w:r>
              <w:rPr>
                <w:b/>
                <w:bCs/>
                <w:sz w:val="18"/>
                <w:szCs w:val="18"/>
              </w:rPr>
              <w:t>129</w:t>
            </w:r>
          </w:p>
        </w:tc>
        <w:tc>
          <w:tcPr>
            <w:tcW w:w="902" w:type="dxa"/>
            <w:vAlign w:val="bottom"/>
          </w:tcPr>
          <w:p w14:paraId="398A141B" w14:textId="28A2D85A" w:rsidR="00224102" w:rsidRPr="00195EDC" w:rsidRDefault="00224102" w:rsidP="00224102">
            <w:pPr>
              <w:jc w:val="right"/>
              <w:rPr>
                <w:b/>
                <w:bCs/>
                <w:sz w:val="18"/>
                <w:szCs w:val="18"/>
              </w:rPr>
            </w:pPr>
            <w:r>
              <w:rPr>
                <w:b/>
                <w:bCs/>
                <w:sz w:val="18"/>
                <w:szCs w:val="18"/>
              </w:rPr>
              <w:t>1,904,324</w:t>
            </w:r>
          </w:p>
        </w:tc>
      </w:tr>
      <w:tr w:rsidR="00224102" w:rsidRPr="00195EDC" w14:paraId="2FD6E4DB" w14:textId="77777777" w:rsidTr="00877CBD">
        <w:trPr>
          <w:trHeight w:val="255"/>
        </w:trPr>
        <w:tc>
          <w:tcPr>
            <w:tcW w:w="1900" w:type="dxa"/>
            <w:shd w:val="clear" w:color="auto" w:fill="FFFFFF"/>
            <w:vAlign w:val="bottom"/>
          </w:tcPr>
          <w:p w14:paraId="7A3890B6" w14:textId="77777777" w:rsidR="00224102" w:rsidRPr="00195EDC" w:rsidRDefault="00224102" w:rsidP="00224102">
            <w:pPr>
              <w:tabs>
                <w:tab w:val="left" w:pos="0"/>
              </w:tabs>
              <w:spacing w:line="223" w:lineRule="auto"/>
              <w:rPr>
                <w:rFonts w:eastAsia="Arial Unicode MS"/>
                <w:b/>
                <w:sz w:val="16"/>
                <w:szCs w:val="16"/>
              </w:rPr>
            </w:pPr>
            <w:r w:rsidRPr="00195EDC">
              <w:rPr>
                <w:b/>
                <w:noProof/>
                <w:sz w:val="16"/>
                <w:szCs w:val="16"/>
              </w:rPr>
              <w:t>Foreign Currency Deposits</w:t>
            </w:r>
          </w:p>
        </w:tc>
        <w:tc>
          <w:tcPr>
            <w:tcW w:w="892" w:type="dxa"/>
            <w:vAlign w:val="bottom"/>
          </w:tcPr>
          <w:p w14:paraId="67147DF8" w14:textId="2545F564" w:rsidR="00224102" w:rsidRPr="00195EDC" w:rsidRDefault="00224102" w:rsidP="00224102">
            <w:pPr>
              <w:jc w:val="right"/>
              <w:rPr>
                <w:b/>
                <w:bCs/>
                <w:sz w:val="18"/>
                <w:szCs w:val="18"/>
              </w:rPr>
            </w:pPr>
            <w:r>
              <w:rPr>
                <w:b/>
                <w:bCs/>
                <w:sz w:val="18"/>
                <w:szCs w:val="18"/>
              </w:rPr>
              <w:t>201,788</w:t>
            </w:r>
          </w:p>
        </w:tc>
        <w:tc>
          <w:tcPr>
            <w:tcW w:w="905" w:type="dxa"/>
            <w:vAlign w:val="bottom"/>
          </w:tcPr>
          <w:p w14:paraId="18316F09" w14:textId="4A5AE2F3" w:rsidR="00224102" w:rsidRPr="00195EDC" w:rsidRDefault="00224102" w:rsidP="00224102">
            <w:pPr>
              <w:jc w:val="right"/>
              <w:rPr>
                <w:b/>
                <w:bCs/>
                <w:sz w:val="18"/>
                <w:szCs w:val="18"/>
              </w:rPr>
            </w:pPr>
            <w:r>
              <w:rPr>
                <w:b/>
                <w:bCs/>
                <w:sz w:val="18"/>
                <w:szCs w:val="18"/>
              </w:rPr>
              <w:t>-</w:t>
            </w:r>
          </w:p>
        </w:tc>
        <w:tc>
          <w:tcPr>
            <w:tcW w:w="895" w:type="dxa"/>
            <w:vAlign w:val="bottom"/>
          </w:tcPr>
          <w:p w14:paraId="3B7D5AE0" w14:textId="636FC023" w:rsidR="00224102" w:rsidRPr="00195EDC" w:rsidRDefault="00224102" w:rsidP="00224102">
            <w:pPr>
              <w:jc w:val="right"/>
              <w:rPr>
                <w:b/>
                <w:bCs/>
                <w:sz w:val="18"/>
                <w:szCs w:val="18"/>
              </w:rPr>
            </w:pPr>
            <w:r>
              <w:rPr>
                <w:b/>
                <w:bCs/>
                <w:sz w:val="18"/>
                <w:szCs w:val="18"/>
              </w:rPr>
              <w:t>152,270</w:t>
            </w:r>
          </w:p>
        </w:tc>
        <w:tc>
          <w:tcPr>
            <w:tcW w:w="969" w:type="dxa"/>
            <w:vAlign w:val="bottom"/>
          </w:tcPr>
          <w:p w14:paraId="53141C77" w14:textId="7926532E" w:rsidR="00224102" w:rsidRPr="00195EDC" w:rsidRDefault="00224102" w:rsidP="00224102">
            <w:pPr>
              <w:jc w:val="right"/>
              <w:rPr>
                <w:b/>
                <w:bCs/>
                <w:sz w:val="18"/>
                <w:szCs w:val="18"/>
              </w:rPr>
            </w:pPr>
            <w:r>
              <w:rPr>
                <w:b/>
                <w:bCs/>
                <w:sz w:val="18"/>
                <w:szCs w:val="18"/>
              </w:rPr>
              <w:t>1,819,601</w:t>
            </w:r>
          </w:p>
        </w:tc>
        <w:tc>
          <w:tcPr>
            <w:tcW w:w="884" w:type="dxa"/>
            <w:vAlign w:val="bottom"/>
          </w:tcPr>
          <w:p w14:paraId="4594D9F2" w14:textId="3952C7C7" w:rsidR="00224102" w:rsidRPr="00195EDC" w:rsidRDefault="00224102" w:rsidP="00224102">
            <w:pPr>
              <w:jc w:val="right"/>
              <w:rPr>
                <w:b/>
                <w:bCs/>
                <w:sz w:val="18"/>
                <w:szCs w:val="18"/>
              </w:rPr>
            </w:pPr>
            <w:r>
              <w:rPr>
                <w:b/>
                <w:bCs/>
                <w:sz w:val="18"/>
                <w:szCs w:val="18"/>
              </w:rPr>
              <w:t>77,905</w:t>
            </w:r>
          </w:p>
        </w:tc>
        <w:tc>
          <w:tcPr>
            <w:tcW w:w="886" w:type="dxa"/>
            <w:vAlign w:val="bottom"/>
          </w:tcPr>
          <w:p w14:paraId="7A79F526" w14:textId="65969572" w:rsidR="00224102" w:rsidRPr="00195EDC" w:rsidRDefault="00224102" w:rsidP="00224102">
            <w:pPr>
              <w:jc w:val="right"/>
              <w:rPr>
                <w:b/>
                <w:bCs/>
                <w:sz w:val="18"/>
                <w:szCs w:val="18"/>
              </w:rPr>
            </w:pPr>
            <w:r>
              <w:rPr>
                <w:b/>
                <w:bCs/>
                <w:sz w:val="18"/>
                <w:szCs w:val="18"/>
              </w:rPr>
              <w:t>21,342</w:t>
            </w:r>
          </w:p>
        </w:tc>
        <w:tc>
          <w:tcPr>
            <w:tcW w:w="800" w:type="dxa"/>
            <w:vAlign w:val="bottom"/>
          </w:tcPr>
          <w:p w14:paraId="33BEA3A6" w14:textId="044CD584" w:rsidR="00224102" w:rsidRPr="00195EDC" w:rsidRDefault="00224102" w:rsidP="00224102">
            <w:pPr>
              <w:jc w:val="right"/>
              <w:rPr>
                <w:b/>
                <w:bCs/>
                <w:sz w:val="18"/>
                <w:szCs w:val="18"/>
              </w:rPr>
            </w:pPr>
            <w:r>
              <w:rPr>
                <w:b/>
                <w:bCs/>
                <w:sz w:val="18"/>
                <w:szCs w:val="18"/>
              </w:rPr>
              <w:t>13,276</w:t>
            </w:r>
          </w:p>
        </w:tc>
        <w:tc>
          <w:tcPr>
            <w:tcW w:w="980" w:type="dxa"/>
            <w:vAlign w:val="bottom"/>
          </w:tcPr>
          <w:p w14:paraId="3398E010" w14:textId="4E6C865D" w:rsidR="00224102" w:rsidRPr="00195EDC" w:rsidRDefault="00224102" w:rsidP="00224102">
            <w:pPr>
              <w:jc w:val="right"/>
              <w:rPr>
                <w:b/>
                <w:bCs/>
                <w:sz w:val="18"/>
                <w:szCs w:val="18"/>
              </w:rPr>
            </w:pPr>
            <w:r>
              <w:rPr>
                <w:b/>
                <w:bCs/>
                <w:sz w:val="18"/>
                <w:szCs w:val="18"/>
              </w:rPr>
              <w:t>-</w:t>
            </w:r>
          </w:p>
        </w:tc>
        <w:tc>
          <w:tcPr>
            <w:tcW w:w="902" w:type="dxa"/>
            <w:vAlign w:val="bottom"/>
          </w:tcPr>
          <w:p w14:paraId="0AD8879A" w14:textId="19BF27F7" w:rsidR="00224102" w:rsidRPr="00195EDC" w:rsidRDefault="00224102" w:rsidP="00224102">
            <w:pPr>
              <w:jc w:val="right"/>
              <w:rPr>
                <w:b/>
                <w:bCs/>
                <w:sz w:val="18"/>
                <w:szCs w:val="18"/>
              </w:rPr>
            </w:pPr>
            <w:r>
              <w:rPr>
                <w:b/>
                <w:bCs/>
                <w:sz w:val="18"/>
                <w:szCs w:val="18"/>
              </w:rPr>
              <w:t>2,286,182</w:t>
            </w:r>
          </w:p>
        </w:tc>
      </w:tr>
      <w:tr w:rsidR="00224102" w:rsidRPr="00195EDC" w14:paraId="08A0FC61" w14:textId="77777777" w:rsidTr="00877CBD">
        <w:trPr>
          <w:trHeight w:val="255"/>
        </w:trPr>
        <w:tc>
          <w:tcPr>
            <w:tcW w:w="1900" w:type="dxa"/>
            <w:shd w:val="clear" w:color="auto" w:fill="FFFFFF"/>
            <w:vAlign w:val="bottom"/>
          </w:tcPr>
          <w:p w14:paraId="62166B17" w14:textId="77777777" w:rsidR="00224102" w:rsidRPr="00195EDC" w:rsidRDefault="00224102" w:rsidP="00224102">
            <w:pPr>
              <w:tabs>
                <w:tab w:val="left" w:pos="0"/>
              </w:tabs>
              <w:spacing w:line="223" w:lineRule="auto"/>
              <w:rPr>
                <w:rFonts w:eastAsia="Arial Unicode MS"/>
                <w:sz w:val="16"/>
                <w:szCs w:val="16"/>
              </w:rPr>
            </w:pPr>
            <w:r w:rsidRPr="00195EDC">
              <w:rPr>
                <w:noProof/>
                <w:sz w:val="16"/>
                <w:szCs w:val="16"/>
              </w:rPr>
              <w:t xml:space="preserve">    Residents in Turkey</w:t>
            </w:r>
          </w:p>
        </w:tc>
        <w:tc>
          <w:tcPr>
            <w:tcW w:w="892" w:type="dxa"/>
            <w:vAlign w:val="bottom"/>
          </w:tcPr>
          <w:p w14:paraId="111740C7" w14:textId="4CECBFE6" w:rsidR="00224102" w:rsidRPr="00195EDC" w:rsidRDefault="00224102" w:rsidP="00224102">
            <w:pPr>
              <w:jc w:val="right"/>
              <w:rPr>
                <w:sz w:val="18"/>
                <w:szCs w:val="18"/>
              </w:rPr>
            </w:pPr>
            <w:r>
              <w:rPr>
                <w:sz w:val="18"/>
                <w:szCs w:val="18"/>
              </w:rPr>
              <w:t>195,001</w:t>
            </w:r>
          </w:p>
        </w:tc>
        <w:tc>
          <w:tcPr>
            <w:tcW w:w="905" w:type="dxa"/>
            <w:vAlign w:val="bottom"/>
          </w:tcPr>
          <w:p w14:paraId="441CC997" w14:textId="33DAD9F9" w:rsidR="00224102" w:rsidRPr="00195EDC" w:rsidRDefault="00224102" w:rsidP="00224102">
            <w:pPr>
              <w:jc w:val="right"/>
              <w:rPr>
                <w:sz w:val="18"/>
                <w:szCs w:val="18"/>
              </w:rPr>
            </w:pPr>
            <w:r>
              <w:rPr>
                <w:sz w:val="18"/>
                <w:szCs w:val="18"/>
              </w:rPr>
              <w:t>-</w:t>
            </w:r>
          </w:p>
        </w:tc>
        <w:tc>
          <w:tcPr>
            <w:tcW w:w="895" w:type="dxa"/>
            <w:vAlign w:val="bottom"/>
          </w:tcPr>
          <w:p w14:paraId="1F6E81A5" w14:textId="1D1E493A" w:rsidR="00224102" w:rsidRPr="00195EDC" w:rsidRDefault="00224102" w:rsidP="00224102">
            <w:pPr>
              <w:jc w:val="right"/>
              <w:rPr>
                <w:sz w:val="18"/>
                <w:szCs w:val="18"/>
              </w:rPr>
            </w:pPr>
            <w:r>
              <w:rPr>
                <w:sz w:val="18"/>
                <w:szCs w:val="18"/>
              </w:rPr>
              <w:t>152,270</w:t>
            </w:r>
          </w:p>
        </w:tc>
        <w:tc>
          <w:tcPr>
            <w:tcW w:w="969" w:type="dxa"/>
            <w:vAlign w:val="bottom"/>
          </w:tcPr>
          <w:p w14:paraId="6D705DF9" w14:textId="4EC76D64" w:rsidR="00224102" w:rsidRPr="00195EDC" w:rsidRDefault="00224102" w:rsidP="00224102">
            <w:pPr>
              <w:jc w:val="right"/>
              <w:rPr>
                <w:sz w:val="18"/>
                <w:szCs w:val="18"/>
              </w:rPr>
            </w:pPr>
            <w:r>
              <w:rPr>
                <w:sz w:val="18"/>
                <w:szCs w:val="18"/>
              </w:rPr>
              <w:t>1,628,266</w:t>
            </w:r>
          </w:p>
        </w:tc>
        <w:tc>
          <w:tcPr>
            <w:tcW w:w="884" w:type="dxa"/>
            <w:vAlign w:val="bottom"/>
          </w:tcPr>
          <w:p w14:paraId="0AD1FACB" w14:textId="022C31D4" w:rsidR="00224102" w:rsidRPr="00195EDC" w:rsidRDefault="00224102" w:rsidP="00224102">
            <w:pPr>
              <w:jc w:val="right"/>
              <w:rPr>
                <w:sz w:val="18"/>
                <w:szCs w:val="18"/>
              </w:rPr>
            </w:pPr>
            <w:r>
              <w:rPr>
                <w:sz w:val="18"/>
                <w:szCs w:val="18"/>
              </w:rPr>
              <w:t>75,792</w:t>
            </w:r>
          </w:p>
        </w:tc>
        <w:tc>
          <w:tcPr>
            <w:tcW w:w="886" w:type="dxa"/>
            <w:vAlign w:val="bottom"/>
          </w:tcPr>
          <w:p w14:paraId="348EEF6D" w14:textId="7636589F" w:rsidR="00224102" w:rsidRPr="00195EDC" w:rsidRDefault="00224102" w:rsidP="00224102">
            <w:pPr>
              <w:jc w:val="right"/>
              <w:rPr>
                <w:sz w:val="18"/>
                <w:szCs w:val="18"/>
              </w:rPr>
            </w:pPr>
            <w:r>
              <w:rPr>
                <w:sz w:val="18"/>
                <w:szCs w:val="18"/>
              </w:rPr>
              <w:t>18,912</w:t>
            </w:r>
          </w:p>
        </w:tc>
        <w:tc>
          <w:tcPr>
            <w:tcW w:w="800" w:type="dxa"/>
            <w:vAlign w:val="bottom"/>
          </w:tcPr>
          <w:p w14:paraId="6A83EC7B" w14:textId="02C77FAD" w:rsidR="00224102" w:rsidRPr="00195EDC" w:rsidRDefault="00224102" w:rsidP="00224102">
            <w:pPr>
              <w:jc w:val="right"/>
              <w:rPr>
                <w:sz w:val="18"/>
                <w:szCs w:val="18"/>
              </w:rPr>
            </w:pPr>
            <w:r>
              <w:rPr>
                <w:sz w:val="18"/>
                <w:szCs w:val="18"/>
              </w:rPr>
              <w:t>13,156</w:t>
            </w:r>
          </w:p>
        </w:tc>
        <w:tc>
          <w:tcPr>
            <w:tcW w:w="980" w:type="dxa"/>
            <w:vAlign w:val="bottom"/>
          </w:tcPr>
          <w:p w14:paraId="62141A40" w14:textId="6C8EF597" w:rsidR="00224102" w:rsidRPr="00195EDC" w:rsidRDefault="00224102" w:rsidP="00224102">
            <w:pPr>
              <w:jc w:val="right"/>
              <w:rPr>
                <w:sz w:val="18"/>
                <w:szCs w:val="18"/>
              </w:rPr>
            </w:pPr>
            <w:r>
              <w:rPr>
                <w:sz w:val="18"/>
                <w:szCs w:val="18"/>
              </w:rPr>
              <w:t>-</w:t>
            </w:r>
          </w:p>
        </w:tc>
        <w:tc>
          <w:tcPr>
            <w:tcW w:w="902" w:type="dxa"/>
            <w:vAlign w:val="bottom"/>
          </w:tcPr>
          <w:p w14:paraId="383FF4D9" w14:textId="527631A9" w:rsidR="00224102" w:rsidRPr="00195EDC" w:rsidRDefault="00224102" w:rsidP="00224102">
            <w:pPr>
              <w:jc w:val="right"/>
              <w:rPr>
                <w:sz w:val="18"/>
                <w:szCs w:val="18"/>
              </w:rPr>
            </w:pPr>
            <w:r>
              <w:rPr>
                <w:sz w:val="18"/>
                <w:szCs w:val="18"/>
              </w:rPr>
              <w:t>2,083,397</w:t>
            </w:r>
          </w:p>
        </w:tc>
      </w:tr>
      <w:tr w:rsidR="00224102" w:rsidRPr="00195EDC" w14:paraId="07C42B97" w14:textId="77777777" w:rsidTr="00877CBD">
        <w:trPr>
          <w:trHeight w:val="255"/>
        </w:trPr>
        <w:tc>
          <w:tcPr>
            <w:tcW w:w="1900" w:type="dxa"/>
            <w:shd w:val="clear" w:color="auto" w:fill="FFFFFF"/>
            <w:vAlign w:val="bottom"/>
          </w:tcPr>
          <w:p w14:paraId="22FEDD06" w14:textId="77777777" w:rsidR="00224102" w:rsidRPr="00195EDC" w:rsidRDefault="00224102" w:rsidP="00224102">
            <w:pPr>
              <w:tabs>
                <w:tab w:val="left" w:pos="0"/>
                <w:tab w:val="left" w:pos="277"/>
              </w:tabs>
              <w:spacing w:line="223" w:lineRule="auto"/>
              <w:rPr>
                <w:rFonts w:eastAsia="Arial Unicode MS"/>
                <w:sz w:val="16"/>
                <w:szCs w:val="16"/>
              </w:rPr>
            </w:pPr>
            <w:r w:rsidRPr="00195EDC">
              <w:rPr>
                <w:noProof/>
                <w:color w:val="000000"/>
                <w:sz w:val="16"/>
                <w:szCs w:val="16"/>
              </w:rPr>
              <w:t xml:space="preserve">    </w:t>
            </w:r>
            <w:r w:rsidRPr="00195EDC">
              <w:rPr>
                <w:noProof/>
                <w:sz w:val="16"/>
                <w:szCs w:val="16"/>
              </w:rPr>
              <w:t>Residents Abroad</w:t>
            </w:r>
          </w:p>
        </w:tc>
        <w:tc>
          <w:tcPr>
            <w:tcW w:w="892" w:type="dxa"/>
            <w:vAlign w:val="bottom"/>
          </w:tcPr>
          <w:p w14:paraId="2671E31B" w14:textId="35B7DDA5" w:rsidR="00224102" w:rsidRPr="00195EDC" w:rsidRDefault="00224102" w:rsidP="00224102">
            <w:pPr>
              <w:jc w:val="right"/>
              <w:rPr>
                <w:sz w:val="18"/>
                <w:szCs w:val="18"/>
              </w:rPr>
            </w:pPr>
            <w:r>
              <w:rPr>
                <w:sz w:val="18"/>
                <w:szCs w:val="18"/>
              </w:rPr>
              <w:t>6,787</w:t>
            </w:r>
          </w:p>
        </w:tc>
        <w:tc>
          <w:tcPr>
            <w:tcW w:w="905" w:type="dxa"/>
            <w:vAlign w:val="bottom"/>
          </w:tcPr>
          <w:p w14:paraId="7A2257ED" w14:textId="5B7EC6F0" w:rsidR="00224102" w:rsidRPr="00195EDC" w:rsidRDefault="00224102" w:rsidP="00224102">
            <w:pPr>
              <w:jc w:val="right"/>
              <w:rPr>
                <w:sz w:val="18"/>
                <w:szCs w:val="18"/>
              </w:rPr>
            </w:pPr>
            <w:r>
              <w:rPr>
                <w:sz w:val="18"/>
                <w:szCs w:val="18"/>
              </w:rPr>
              <w:t>-</w:t>
            </w:r>
          </w:p>
        </w:tc>
        <w:tc>
          <w:tcPr>
            <w:tcW w:w="895" w:type="dxa"/>
            <w:vAlign w:val="bottom"/>
          </w:tcPr>
          <w:p w14:paraId="12940621" w14:textId="64B513A2" w:rsidR="00224102" w:rsidRPr="00195EDC" w:rsidRDefault="00224102" w:rsidP="00224102">
            <w:pPr>
              <w:jc w:val="right"/>
              <w:rPr>
                <w:sz w:val="18"/>
                <w:szCs w:val="18"/>
              </w:rPr>
            </w:pPr>
            <w:r>
              <w:rPr>
                <w:sz w:val="18"/>
                <w:szCs w:val="18"/>
              </w:rPr>
              <w:t>-</w:t>
            </w:r>
          </w:p>
        </w:tc>
        <w:tc>
          <w:tcPr>
            <w:tcW w:w="969" w:type="dxa"/>
            <w:vAlign w:val="bottom"/>
          </w:tcPr>
          <w:p w14:paraId="53BBCA2C" w14:textId="6CAA5406" w:rsidR="00224102" w:rsidRPr="00195EDC" w:rsidRDefault="00224102" w:rsidP="00224102">
            <w:pPr>
              <w:jc w:val="right"/>
              <w:rPr>
                <w:sz w:val="18"/>
                <w:szCs w:val="18"/>
              </w:rPr>
            </w:pPr>
            <w:r>
              <w:rPr>
                <w:sz w:val="18"/>
                <w:szCs w:val="18"/>
              </w:rPr>
              <w:t>191,335</w:t>
            </w:r>
          </w:p>
        </w:tc>
        <w:tc>
          <w:tcPr>
            <w:tcW w:w="884" w:type="dxa"/>
            <w:vAlign w:val="bottom"/>
          </w:tcPr>
          <w:p w14:paraId="6647DDF0" w14:textId="3D0363A9" w:rsidR="00224102" w:rsidRPr="00195EDC" w:rsidRDefault="00224102" w:rsidP="00224102">
            <w:pPr>
              <w:jc w:val="right"/>
              <w:rPr>
                <w:sz w:val="18"/>
                <w:szCs w:val="18"/>
              </w:rPr>
            </w:pPr>
            <w:r>
              <w:rPr>
                <w:sz w:val="18"/>
                <w:szCs w:val="18"/>
              </w:rPr>
              <w:t>2,113</w:t>
            </w:r>
          </w:p>
        </w:tc>
        <w:tc>
          <w:tcPr>
            <w:tcW w:w="886" w:type="dxa"/>
            <w:vAlign w:val="bottom"/>
          </w:tcPr>
          <w:p w14:paraId="6E1A25DD" w14:textId="692AEEE7" w:rsidR="00224102" w:rsidRPr="00195EDC" w:rsidRDefault="00224102" w:rsidP="00224102">
            <w:pPr>
              <w:jc w:val="right"/>
              <w:rPr>
                <w:sz w:val="18"/>
                <w:szCs w:val="18"/>
              </w:rPr>
            </w:pPr>
            <w:r>
              <w:rPr>
                <w:sz w:val="18"/>
                <w:szCs w:val="18"/>
              </w:rPr>
              <w:t>2,430</w:t>
            </w:r>
          </w:p>
        </w:tc>
        <w:tc>
          <w:tcPr>
            <w:tcW w:w="800" w:type="dxa"/>
            <w:vAlign w:val="bottom"/>
          </w:tcPr>
          <w:p w14:paraId="7C2B7BC7" w14:textId="62B5A103" w:rsidR="00224102" w:rsidRPr="00195EDC" w:rsidRDefault="00224102" w:rsidP="00224102">
            <w:pPr>
              <w:jc w:val="right"/>
              <w:rPr>
                <w:sz w:val="18"/>
                <w:szCs w:val="18"/>
              </w:rPr>
            </w:pPr>
            <w:r>
              <w:rPr>
                <w:sz w:val="18"/>
                <w:szCs w:val="18"/>
              </w:rPr>
              <w:t>120</w:t>
            </w:r>
          </w:p>
        </w:tc>
        <w:tc>
          <w:tcPr>
            <w:tcW w:w="980" w:type="dxa"/>
            <w:vAlign w:val="bottom"/>
          </w:tcPr>
          <w:p w14:paraId="2B388219" w14:textId="1FFC1EAE" w:rsidR="00224102" w:rsidRPr="00195EDC" w:rsidRDefault="00224102" w:rsidP="00224102">
            <w:pPr>
              <w:jc w:val="right"/>
              <w:rPr>
                <w:sz w:val="18"/>
                <w:szCs w:val="18"/>
              </w:rPr>
            </w:pPr>
            <w:r>
              <w:rPr>
                <w:sz w:val="18"/>
                <w:szCs w:val="18"/>
              </w:rPr>
              <w:t>-</w:t>
            </w:r>
          </w:p>
        </w:tc>
        <w:tc>
          <w:tcPr>
            <w:tcW w:w="902" w:type="dxa"/>
            <w:vAlign w:val="bottom"/>
          </w:tcPr>
          <w:p w14:paraId="31E3B5DA" w14:textId="5A6FF0F8" w:rsidR="00224102" w:rsidRPr="00195EDC" w:rsidRDefault="00224102" w:rsidP="00224102">
            <w:pPr>
              <w:jc w:val="right"/>
              <w:rPr>
                <w:sz w:val="18"/>
                <w:szCs w:val="18"/>
              </w:rPr>
            </w:pPr>
            <w:r>
              <w:rPr>
                <w:sz w:val="18"/>
                <w:szCs w:val="18"/>
              </w:rPr>
              <w:t>202,785</w:t>
            </w:r>
          </w:p>
        </w:tc>
      </w:tr>
      <w:tr w:rsidR="00224102" w:rsidRPr="00195EDC" w14:paraId="1C912CF8" w14:textId="77777777" w:rsidTr="00877CBD">
        <w:trPr>
          <w:trHeight w:val="255"/>
        </w:trPr>
        <w:tc>
          <w:tcPr>
            <w:tcW w:w="1900" w:type="dxa"/>
            <w:shd w:val="clear" w:color="auto" w:fill="FFFFFF"/>
            <w:vAlign w:val="bottom"/>
          </w:tcPr>
          <w:p w14:paraId="0BC8E699" w14:textId="77777777" w:rsidR="00224102" w:rsidRPr="00195EDC" w:rsidRDefault="00224102" w:rsidP="00224102">
            <w:pPr>
              <w:tabs>
                <w:tab w:val="left" w:pos="0"/>
              </w:tabs>
              <w:spacing w:line="223" w:lineRule="auto"/>
              <w:rPr>
                <w:rFonts w:eastAsia="Arial Unicode MS"/>
                <w:b/>
                <w:sz w:val="16"/>
                <w:szCs w:val="16"/>
              </w:rPr>
            </w:pPr>
            <w:r w:rsidRPr="00195EDC">
              <w:rPr>
                <w:b/>
                <w:noProof/>
                <w:sz w:val="16"/>
                <w:szCs w:val="16"/>
              </w:rPr>
              <w:t>Public Sector Deposits</w:t>
            </w:r>
          </w:p>
        </w:tc>
        <w:tc>
          <w:tcPr>
            <w:tcW w:w="892" w:type="dxa"/>
            <w:vAlign w:val="bottom"/>
          </w:tcPr>
          <w:p w14:paraId="35432B8A" w14:textId="235EF5C5" w:rsidR="00224102" w:rsidRPr="00195EDC" w:rsidRDefault="00224102" w:rsidP="00224102">
            <w:pPr>
              <w:jc w:val="right"/>
              <w:rPr>
                <w:b/>
                <w:bCs/>
                <w:color w:val="333333"/>
                <w:sz w:val="18"/>
                <w:szCs w:val="18"/>
              </w:rPr>
            </w:pPr>
            <w:r w:rsidRPr="00D10E3A">
              <w:rPr>
                <w:b/>
                <w:bCs/>
                <w:sz w:val="18"/>
                <w:szCs w:val="18"/>
              </w:rPr>
              <w:t>17,162</w:t>
            </w:r>
          </w:p>
        </w:tc>
        <w:tc>
          <w:tcPr>
            <w:tcW w:w="905" w:type="dxa"/>
            <w:vAlign w:val="bottom"/>
          </w:tcPr>
          <w:p w14:paraId="6CEA0A32" w14:textId="6967485F" w:rsidR="00224102" w:rsidRPr="00195EDC" w:rsidRDefault="00224102" w:rsidP="00224102">
            <w:pPr>
              <w:jc w:val="right"/>
              <w:rPr>
                <w:b/>
                <w:bCs/>
                <w:color w:val="333333"/>
                <w:sz w:val="18"/>
                <w:szCs w:val="18"/>
              </w:rPr>
            </w:pPr>
            <w:r>
              <w:rPr>
                <w:b/>
                <w:bCs/>
                <w:color w:val="333333"/>
                <w:sz w:val="18"/>
                <w:szCs w:val="18"/>
              </w:rPr>
              <w:t>-</w:t>
            </w:r>
          </w:p>
        </w:tc>
        <w:tc>
          <w:tcPr>
            <w:tcW w:w="895" w:type="dxa"/>
            <w:vAlign w:val="bottom"/>
          </w:tcPr>
          <w:p w14:paraId="699621CA" w14:textId="38B617D8" w:rsidR="00224102" w:rsidRPr="00195EDC" w:rsidRDefault="00224102" w:rsidP="00224102">
            <w:pPr>
              <w:jc w:val="right"/>
              <w:rPr>
                <w:b/>
                <w:bCs/>
                <w:color w:val="333333"/>
                <w:sz w:val="18"/>
                <w:szCs w:val="18"/>
              </w:rPr>
            </w:pPr>
            <w:r>
              <w:rPr>
                <w:b/>
                <w:bCs/>
                <w:color w:val="333333"/>
                <w:sz w:val="18"/>
                <w:szCs w:val="18"/>
              </w:rPr>
              <w:t>-</w:t>
            </w:r>
          </w:p>
        </w:tc>
        <w:tc>
          <w:tcPr>
            <w:tcW w:w="969" w:type="dxa"/>
            <w:vAlign w:val="bottom"/>
          </w:tcPr>
          <w:p w14:paraId="3F9B2583" w14:textId="4E256241" w:rsidR="00224102" w:rsidRPr="00195EDC" w:rsidRDefault="00224102" w:rsidP="00224102">
            <w:pPr>
              <w:jc w:val="right"/>
              <w:rPr>
                <w:sz w:val="18"/>
                <w:szCs w:val="18"/>
              </w:rPr>
            </w:pPr>
            <w:r>
              <w:rPr>
                <w:sz w:val="18"/>
                <w:szCs w:val="18"/>
              </w:rPr>
              <w:t>-</w:t>
            </w:r>
          </w:p>
        </w:tc>
        <w:tc>
          <w:tcPr>
            <w:tcW w:w="884" w:type="dxa"/>
            <w:vAlign w:val="bottom"/>
          </w:tcPr>
          <w:p w14:paraId="3DFAF858" w14:textId="5D8E168A" w:rsidR="00224102" w:rsidRPr="00195EDC" w:rsidRDefault="00224102" w:rsidP="00224102">
            <w:pPr>
              <w:jc w:val="right"/>
              <w:rPr>
                <w:sz w:val="18"/>
                <w:szCs w:val="18"/>
              </w:rPr>
            </w:pPr>
            <w:r>
              <w:rPr>
                <w:sz w:val="18"/>
                <w:szCs w:val="18"/>
              </w:rPr>
              <w:t>-</w:t>
            </w:r>
          </w:p>
        </w:tc>
        <w:tc>
          <w:tcPr>
            <w:tcW w:w="886" w:type="dxa"/>
            <w:vAlign w:val="bottom"/>
          </w:tcPr>
          <w:p w14:paraId="60161511" w14:textId="356B30CD" w:rsidR="00224102" w:rsidRPr="00195EDC" w:rsidRDefault="00224102" w:rsidP="00224102">
            <w:pPr>
              <w:jc w:val="right"/>
              <w:rPr>
                <w:sz w:val="18"/>
                <w:szCs w:val="18"/>
              </w:rPr>
            </w:pPr>
            <w:r>
              <w:rPr>
                <w:sz w:val="18"/>
                <w:szCs w:val="18"/>
              </w:rPr>
              <w:t>-</w:t>
            </w:r>
          </w:p>
        </w:tc>
        <w:tc>
          <w:tcPr>
            <w:tcW w:w="800" w:type="dxa"/>
            <w:vAlign w:val="bottom"/>
          </w:tcPr>
          <w:p w14:paraId="4A3329DB" w14:textId="5582051D" w:rsidR="00224102" w:rsidRPr="00195EDC" w:rsidRDefault="00224102" w:rsidP="00224102">
            <w:pPr>
              <w:jc w:val="right"/>
              <w:rPr>
                <w:sz w:val="18"/>
                <w:szCs w:val="18"/>
              </w:rPr>
            </w:pPr>
            <w:r>
              <w:rPr>
                <w:sz w:val="18"/>
                <w:szCs w:val="18"/>
              </w:rPr>
              <w:t>-</w:t>
            </w:r>
          </w:p>
        </w:tc>
        <w:tc>
          <w:tcPr>
            <w:tcW w:w="980" w:type="dxa"/>
            <w:vAlign w:val="bottom"/>
          </w:tcPr>
          <w:p w14:paraId="27D999FE" w14:textId="59764C95" w:rsidR="00224102" w:rsidRPr="00195EDC" w:rsidRDefault="00224102" w:rsidP="00224102">
            <w:pPr>
              <w:jc w:val="right"/>
              <w:rPr>
                <w:sz w:val="18"/>
                <w:szCs w:val="18"/>
              </w:rPr>
            </w:pPr>
            <w:r>
              <w:rPr>
                <w:sz w:val="18"/>
                <w:szCs w:val="18"/>
              </w:rPr>
              <w:t>-</w:t>
            </w:r>
          </w:p>
        </w:tc>
        <w:tc>
          <w:tcPr>
            <w:tcW w:w="902" w:type="dxa"/>
            <w:vAlign w:val="bottom"/>
          </w:tcPr>
          <w:p w14:paraId="61F55A2C" w14:textId="76CA8A97" w:rsidR="00224102" w:rsidRPr="00195EDC" w:rsidRDefault="00224102" w:rsidP="00224102">
            <w:pPr>
              <w:jc w:val="right"/>
              <w:rPr>
                <w:sz w:val="18"/>
                <w:szCs w:val="18"/>
              </w:rPr>
            </w:pPr>
            <w:r>
              <w:rPr>
                <w:sz w:val="18"/>
                <w:szCs w:val="18"/>
              </w:rPr>
              <w:t>17,162</w:t>
            </w:r>
          </w:p>
        </w:tc>
      </w:tr>
      <w:tr w:rsidR="00224102" w:rsidRPr="00195EDC" w14:paraId="7E770450" w14:textId="77777777" w:rsidTr="00877CBD">
        <w:trPr>
          <w:trHeight w:val="255"/>
        </w:trPr>
        <w:tc>
          <w:tcPr>
            <w:tcW w:w="1900" w:type="dxa"/>
            <w:shd w:val="clear" w:color="auto" w:fill="FFFFFF"/>
            <w:vAlign w:val="bottom"/>
          </w:tcPr>
          <w:p w14:paraId="0876D78D" w14:textId="77777777" w:rsidR="00224102" w:rsidRPr="00195EDC" w:rsidRDefault="00224102" w:rsidP="00224102">
            <w:pPr>
              <w:tabs>
                <w:tab w:val="left" w:pos="0"/>
              </w:tabs>
              <w:spacing w:line="223" w:lineRule="auto"/>
              <w:rPr>
                <w:rFonts w:eastAsia="Arial Unicode MS"/>
                <w:b/>
                <w:sz w:val="16"/>
                <w:szCs w:val="16"/>
              </w:rPr>
            </w:pPr>
            <w:r w:rsidRPr="00195EDC">
              <w:rPr>
                <w:b/>
                <w:noProof/>
                <w:sz w:val="16"/>
                <w:szCs w:val="16"/>
              </w:rPr>
              <w:t>Commercial Deposits</w:t>
            </w:r>
          </w:p>
        </w:tc>
        <w:tc>
          <w:tcPr>
            <w:tcW w:w="892" w:type="dxa"/>
            <w:vAlign w:val="bottom"/>
          </w:tcPr>
          <w:p w14:paraId="5237EB34" w14:textId="04AF1E1D" w:rsidR="00224102" w:rsidRPr="00195EDC" w:rsidRDefault="00224102" w:rsidP="00224102">
            <w:pPr>
              <w:jc w:val="right"/>
              <w:rPr>
                <w:b/>
                <w:bCs/>
                <w:sz w:val="18"/>
                <w:szCs w:val="18"/>
              </w:rPr>
            </w:pPr>
            <w:r>
              <w:rPr>
                <w:b/>
                <w:bCs/>
                <w:sz w:val="18"/>
                <w:szCs w:val="18"/>
              </w:rPr>
              <w:t>93,185</w:t>
            </w:r>
          </w:p>
        </w:tc>
        <w:tc>
          <w:tcPr>
            <w:tcW w:w="905" w:type="dxa"/>
            <w:vAlign w:val="bottom"/>
          </w:tcPr>
          <w:p w14:paraId="4646FF75" w14:textId="4F779C99" w:rsidR="00224102" w:rsidRPr="00195EDC" w:rsidRDefault="00224102" w:rsidP="00224102">
            <w:pPr>
              <w:jc w:val="right"/>
              <w:rPr>
                <w:b/>
                <w:bCs/>
                <w:sz w:val="18"/>
                <w:szCs w:val="18"/>
              </w:rPr>
            </w:pPr>
            <w:r>
              <w:rPr>
                <w:b/>
                <w:bCs/>
                <w:sz w:val="18"/>
                <w:szCs w:val="18"/>
              </w:rPr>
              <w:t>-</w:t>
            </w:r>
          </w:p>
        </w:tc>
        <w:tc>
          <w:tcPr>
            <w:tcW w:w="895" w:type="dxa"/>
            <w:vAlign w:val="bottom"/>
          </w:tcPr>
          <w:p w14:paraId="2CC315FA" w14:textId="6081C7F6" w:rsidR="00224102" w:rsidRPr="00195EDC" w:rsidRDefault="00224102" w:rsidP="00224102">
            <w:pPr>
              <w:jc w:val="right"/>
              <w:rPr>
                <w:b/>
                <w:bCs/>
                <w:sz w:val="18"/>
                <w:szCs w:val="18"/>
              </w:rPr>
            </w:pPr>
            <w:r>
              <w:rPr>
                <w:b/>
                <w:bCs/>
                <w:sz w:val="18"/>
                <w:szCs w:val="18"/>
              </w:rPr>
              <w:t>668,712</w:t>
            </w:r>
          </w:p>
        </w:tc>
        <w:tc>
          <w:tcPr>
            <w:tcW w:w="969" w:type="dxa"/>
            <w:vAlign w:val="bottom"/>
          </w:tcPr>
          <w:p w14:paraId="532EF5EE" w14:textId="6EBC3ECA" w:rsidR="00224102" w:rsidRPr="00195EDC" w:rsidRDefault="00224102" w:rsidP="00224102">
            <w:pPr>
              <w:jc w:val="right"/>
              <w:rPr>
                <w:b/>
                <w:bCs/>
                <w:sz w:val="18"/>
                <w:szCs w:val="18"/>
              </w:rPr>
            </w:pPr>
            <w:r>
              <w:rPr>
                <w:b/>
                <w:bCs/>
                <w:sz w:val="18"/>
                <w:szCs w:val="18"/>
              </w:rPr>
              <w:t>545,953</w:t>
            </w:r>
          </w:p>
        </w:tc>
        <w:tc>
          <w:tcPr>
            <w:tcW w:w="884" w:type="dxa"/>
            <w:vAlign w:val="bottom"/>
          </w:tcPr>
          <w:p w14:paraId="4B9D8AB2" w14:textId="13728DD4" w:rsidR="00224102" w:rsidRPr="00195EDC" w:rsidRDefault="00224102" w:rsidP="00224102">
            <w:pPr>
              <w:jc w:val="right"/>
              <w:rPr>
                <w:b/>
                <w:bCs/>
                <w:sz w:val="18"/>
                <w:szCs w:val="18"/>
              </w:rPr>
            </w:pPr>
            <w:r>
              <w:rPr>
                <w:b/>
                <w:bCs/>
                <w:sz w:val="18"/>
                <w:szCs w:val="18"/>
              </w:rPr>
              <w:t>25,682</w:t>
            </w:r>
          </w:p>
        </w:tc>
        <w:tc>
          <w:tcPr>
            <w:tcW w:w="886" w:type="dxa"/>
            <w:vAlign w:val="bottom"/>
          </w:tcPr>
          <w:p w14:paraId="75DEA354" w14:textId="1FF58B5E" w:rsidR="00224102" w:rsidRPr="00195EDC" w:rsidRDefault="00224102" w:rsidP="00224102">
            <w:pPr>
              <w:jc w:val="right"/>
              <w:rPr>
                <w:b/>
                <w:bCs/>
                <w:sz w:val="18"/>
                <w:szCs w:val="18"/>
              </w:rPr>
            </w:pPr>
            <w:r>
              <w:rPr>
                <w:b/>
                <w:bCs/>
                <w:sz w:val="18"/>
                <w:szCs w:val="18"/>
              </w:rPr>
              <w:t>74,137</w:t>
            </w:r>
          </w:p>
        </w:tc>
        <w:tc>
          <w:tcPr>
            <w:tcW w:w="800" w:type="dxa"/>
            <w:vAlign w:val="bottom"/>
          </w:tcPr>
          <w:p w14:paraId="792CD775" w14:textId="04DF341E" w:rsidR="00224102" w:rsidRPr="00195EDC" w:rsidRDefault="00224102" w:rsidP="00224102">
            <w:pPr>
              <w:jc w:val="right"/>
              <w:rPr>
                <w:b/>
                <w:bCs/>
                <w:sz w:val="18"/>
                <w:szCs w:val="18"/>
              </w:rPr>
            </w:pPr>
            <w:r>
              <w:rPr>
                <w:b/>
                <w:bCs/>
                <w:sz w:val="18"/>
                <w:szCs w:val="18"/>
              </w:rPr>
              <w:t>19,718</w:t>
            </w:r>
          </w:p>
        </w:tc>
        <w:tc>
          <w:tcPr>
            <w:tcW w:w="980" w:type="dxa"/>
            <w:vAlign w:val="bottom"/>
          </w:tcPr>
          <w:p w14:paraId="48528CC7" w14:textId="64846867" w:rsidR="00224102" w:rsidRPr="00195EDC" w:rsidRDefault="00224102" w:rsidP="00224102">
            <w:pPr>
              <w:jc w:val="right"/>
              <w:rPr>
                <w:b/>
                <w:bCs/>
                <w:sz w:val="18"/>
                <w:szCs w:val="18"/>
              </w:rPr>
            </w:pPr>
            <w:r>
              <w:rPr>
                <w:b/>
                <w:bCs/>
                <w:sz w:val="18"/>
                <w:szCs w:val="18"/>
              </w:rPr>
              <w:t>-</w:t>
            </w:r>
          </w:p>
        </w:tc>
        <w:tc>
          <w:tcPr>
            <w:tcW w:w="902" w:type="dxa"/>
            <w:vAlign w:val="bottom"/>
          </w:tcPr>
          <w:p w14:paraId="21EF9014" w14:textId="6CC2D035" w:rsidR="00224102" w:rsidRPr="00195EDC" w:rsidRDefault="00224102" w:rsidP="00224102">
            <w:pPr>
              <w:jc w:val="right"/>
              <w:rPr>
                <w:b/>
                <w:bCs/>
                <w:sz w:val="18"/>
                <w:szCs w:val="18"/>
              </w:rPr>
            </w:pPr>
            <w:r>
              <w:rPr>
                <w:b/>
                <w:bCs/>
                <w:sz w:val="18"/>
                <w:szCs w:val="18"/>
              </w:rPr>
              <w:t>1,427,387</w:t>
            </w:r>
          </w:p>
        </w:tc>
      </w:tr>
      <w:tr w:rsidR="00224102" w:rsidRPr="00195EDC" w14:paraId="09DB2AF4" w14:textId="77777777" w:rsidTr="00877CBD">
        <w:trPr>
          <w:trHeight w:val="255"/>
        </w:trPr>
        <w:tc>
          <w:tcPr>
            <w:tcW w:w="1900" w:type="dxa"/>
            <w:shd w:val="clear" w:color="auto" w:fill="FFFFFF"/>
            <w:vAlign w:val="bottom"/>
          </w:tcPr>
          <w:p w14:paraId="36ED61FB" w14:textId="77777777" w:rsidR="00224102" w:rsidRPr="00195EDC" w:rsidRDefault="00224102" w:rsidP="00224102">
            <w:pPr>
              <w:tabs>
                <w:tab w:val="left" w:pos="0"/>
              </w:tabs>
              <w:spacing w:line="223" w:lineRule="auto"/>
              <w:rPr>
                <w:rFonts w:eastAsia="Arial Unicode MS"/>
                <w:b/>
                <w:sz w:val="16"/>
                <w:szCs w:val="16"/>
              </w:rPr>
            </w:pPr>
            <w:r w:rsidRPr="00195EDC">
              <w:rPr>
                <w:b/>
                <w:noProof/>
                <w:sz w:val="16"/>
                <w:szCs w:val="16"/>
              </w:rPr>
              <w:t>Other Institutions Deposits</w:t>
            </w:r>
          </w:p>
        </w:tc>
        <w:tc>
          <w:tcPr>
            <w:tcW w:w="892" w:type="dxa"/>
            <w:vAlign w:val="bottom"/>
          </w:tcPr>
          <w:p w14:paraId="4BD4A9D5" w14:textId="7580FD32" w:rsidR="00224102" w:rsidRPr="00195EDC" w:rsidRDefault="00224102" w:rsidP="00224102">
            <w:pPr>
              <w:jc w:val="right"/>
              <w:rPr>
                <w:b/>
                <w:bCs/>
                <w:sz w:val="18"/>
                <w:szCs w:val="18"/>
              </w:rPr>
            </w:pPr>
            <w:r>
              <w:rPr>
                <w:b/>
                <w:bCs/>
                <w:sz w:val="18"/>
                <w:szCs w:val="18"/>
              </w:rPr>
              <w:t>1,722</w:t>
            </w:r>
          </w:p>
        </w:tc>
        <w:tc>
          <w:tcPr>
            <w:tcW w:w="905" w:type="dxa"/>
            <w:vAlign w:val="bottom"/>
          </w:tcPr>
          <w:p w14:paraId="38842D71" w14:textId="3CF42B73" w:rsidR="00224102" w:rsidRPr="00195EDC" w:rsidRDefault="00224102" w:rsidP="00224102">
            <w:pPr>
              <w:jc w:val="right"/>
              <w:rPr>
                <w:b/>
                <w:bCs/>
                <w:sz w:val="18"/>
                <w:szCs w:val="18"/>
              </w:rPr>
            </w:pPr>
            <w:r>
              <w:rPr>
                <w:b/>
                <w:bCs/>
                <w:sz w:val="18"/>
                <w:szCs w:val="18"/>
              </w:rPr>
              <w:t>-</w:t>
            </w:r>
          </w:p>
        </w:tc>
        <w:tc>
          <w:tcPr>
            <w:tcW w:w="895" w:type="dxa"/>
            <w:vAlign w:val="bottom"/>
          </w:tcPr>
          <w:p w14:paraId="41D01274" w14:textId="1FE16BDE" w:rsidR="00224102" w:rsidRPr="00195EDC" w:rsidRDefault="00224102" w:rsidP="00224102">
            <w:pPr>
              <w:jc w:val="right"/>
              <w:rPr>
                <w:b/>
                <w:bCs/>
                <w:sz w:val="18"/>
                <w:szCs w:val="18"/>
              </w:rPr>
            </w:pPr>
            <w:r w:rsidRPr="00A52411">
              <w:rPr>
                <w:b/>
                <w:bCs/>
                <w:sz w:val="18"/>
                <w:szCs w:val="18"/>
              </w:rPr>
              <w:t>6,85</w:t>
            </w:r>
            <w:r>
              <w:rPr>
                <w:b/>
                <w:bCs/>
                <w:sz w:val="18"/>
                <w:szCs w:val="18"/>
              </w:rPr>
              <w:t>5</w:t>
            </w:r>
          </w:p>
        </w:tc>
        <w:tc>
          <w:tcPr>
            <w:tcW w:w="969" w:type="dxa"/>
            <w:vAlign w:val="bottom"/>
          </w:tcPr>
          <w:p w14:paraId="6660D424" w14:textId="1845A4A4" w:rsidR="00224102" w:rsidRPr="00195EDC" w:rsidRDefault="00224102" w:rsidP="00224102">
            <w:pPr>
              <w:jc w:val="right"/>
              <w:rPr>
                <w:b/>
                <w:bCs/>
                <w:sz w:val="18"/>
                <w:szCs w:val="18"/>
              </w:rPr>
            </w:pPr>
            <w:r w:rsidRPr="00A52411">
              <w:rPr>
                <w:b/>
                <w:bCs/>
                <w:sz w:val="18"/>
                <w:szCs w:val="18"/>
              </w:rPr>
              <w:t>17,082</w:t>
            </w:r>
          </w:p>
        </w:tc>
        <w:tc>
          <w:tcPr>
            <w:tcW w:w="884" w:type="dxa"/>
            <w:vAlign w:val="bottom"/>
          </w:tcPr>
          <w:p w14:paraId="2BB7476A" w14:textId="58B10E0B" w:rsidR="00224102" w:rsidRPr="00195EDC" w:rsidRDefault="00224102" w:rsidP="00224102">
            <w:pPr>
              <w:jc w:val="right"/>
              <w:rPr>
                <w:b/>
                <w:bCs/>
                <w:sz w:val="18"/>
                <w:szCs w:val="18"/>
              </w:rPr>
            </w:pPr>
            <w:r w:rsidRPr="00A52411">
              <w:rPr>
                <w:b/>
                <w:bCs/>
                <w:sz w:val="18"/>
                <w:szCs w:val="18"/>
              </w:rPr>
              <w:t>8</w:t>
            </w:r>
          </w:p>
        </w:tc>
        <w:tc>
          <w:tcPr>
            <w:tcW w:w="886" w:type="dxa"/>
            <w:vAlign w:val="bottom"/>
          </w:tcPr>
          <w:p w14:paraId="313B7B49" w14:textId="668D5768" w:rsidR="00224102" w:rsidRPr="00195EDC" w:rsidRDefault="00224102" w:rsidP="00224102">
            <w:pPr>
              <w:jc w:val="right"/>
              <w:rPr>
                <w:b/>
                <w:bCs/>
                <w:sz w:val="18"/>
                <w:szCs w:val="18"/>
              </w:rPr>
            </w:pPr>
            <w:r w:rsidRPr="00A52411">
              <w:rPr>
                <w:b/>
                <w:bCs/>
                <w:sz w:val="18"/>
                <w:szCs w:val="18"/>
              </w:rPr>
              <w:t>42</w:t>
            </w:r>
          </w:p>
        </w:tc>
        <w:tc>
          <w:tcPr>
            <w:tcW w:w="800" w:type="dxa"/>
            <w:vAlign w:val="bottom"/>
          </w:tcPr>
          <w:p w14:paraId="51F567D3" w14:textId="77A25F57" w:rsidR="00224102" w:rsidRPr="00195EDC" w:rsidRDefault="00224102" w:rsidP="00224102">
            <w:pPr>
              <w:jc w:val="right"/>
              <w:rPr>
                <w:b/>
                <w:bCs/>
                <w:sz w:val="18"/>
                <w:szCs w:val="18"/>
              </w:rPr>
            </w:pPr>
            <w:r w:rsidRPr="00A52411">
              <w:rPr>
                <w:b/>
                <w:bCs/>
                <w:sz w:val="18"/>
                <w:szCs w:val="18"/>
              </w:rPr>
              <w:t>19,275</w:t>
            </w:r>
          </w:p>
        </w:tc>
        <w:tc>
          <w:tcPr>
            <w:tcW w:w="980" w:type="dxa"/>
            <w:vAlign w:val="bottom"/>
          </w:tcPr>
          <w:p w14:paraId="4E9CEE5B" w14:textId="7ECAC7A2" w:rsidR="00224102" w:rsidRPr="00195EDC" w:rsidRDefault="00224102" w:rsidP="00224102">
            <w:pPr>
              <w:jc w:val="right"/>
              <w:rPr>
                <w:b/>
                <w:bCs/>
                <w:sz w:val="18"/>
                <w:szCs w:val="18"/>
              </w:rPr>
            </w:pPr>
            <w:r w:rsidRPr="00A52411">
              <w:rPr>
                <w:b/>
                <w:bCs/>
                <w:sz w:val="18"/>
                <w:szCs w:val="18"/>
              </w:rPr>
              <w:t>-</w:t>
            </w:r>
          </w:p>
        </w:tc>
        <w:tc>
          <w:tcPr>
            <w:tcW w:w="902" w:type="dxa"/>
            <w:vAlign w:val="bottom"/>
          </w:tcPr>
          <w:p w14:paraId="7570F7B1" w14:textId="3D52FD3E" w:rsidR="00224102" w:rsidRPr="00195EDC" w:rsidRDefault="00224102" w:rsidP="00224102">
            <w:pPr>
              <w:jc w:val="right"/>
              <w:rPr>
                <w:b/>
                <w:bCs/>
                <w:sz w:val="18"/>
                <w:szCs w:val="18"/>
              </w:rPr>
            </w:pPr>
            <w:r w:rsidRPr="00A52411">
              <w:rPr>
                <w:b/>
                <w:bCs/>
                <w:sz w:val="18"/>
                <w:szCs w:val="18"/>
              </w:rPr>
              <w:t>44,98</w:t>
            </w:r>
            <w:r>
              <w:rPr>
                <w:b/>
                <w:bCs/>
                <w:sz w:val="18"/>
                <w:szCs w:val="18"/>
              </w:rPr>
              <w:t>4</w:t>
            </w:r>
          </w:p>
        </w:tc>
      </w:tr>
      <w:tr w:rsidR="00224102" w:rsidRPr="00195EDC" w14:paraId="7F1A3D78" w14:textId="77777777" w:rsidTr="00877CBD">
        <w:trPr>
          <w:trHeight w:val="255"/>
        </w:trPr>
        <w:tc>
          <w:tcPr>
            <w:tcW w:w="1900" w:type="dxa"/>
            <w:shd w:val="clear" w:color="auto" w:fill="FFFFFF"/>
            <w:vAlign w:val="bottom"/>
          </w:tcPr>
          <w:p w14:paraId="380B8A9D" w14:textId="77777777" w:rsidR="00224102" w:rsidRPr="00195EDC" w:rsidRDefault="00224102" w:rsidP="00224102">
            <w:pPr>
              <w:tabs>
                <w:tab w:val="left" w:pos="0"/>
              </w:tabs>
              <w:spacing w:line="223" w:lineRule="auto"/>
              <w:rPr>
                <w:rFonts w:eastAsia="Arial Unicode MS"/>
                <w:b/>
                <w:sz w:val="16"/>
                <w:szCs w:val="16"/>
              </w:rPr>
            </w:pPr>
            <w:r w:rsidRPr="00195EDC">
              <w:rPr>
                <w:b/>
                <w:noProof/>
                <w:sz w:val="16"/>
                <w:szCs w:val="16"/>
              </w:rPr>
              <w:t>Precious Metal Deposits</w:t>
            </w:r>
          </w:p>
        </w:tc>
        <w:tc>
          <w:tcPr>
            <w:tcW w:w="892" w:type="dxa"/>
            <w:vAlign w:val="bottom"/>
          </w:tcPr>
          <w:p w14:paraId="2DD176D0" w14:textId="67AC2EC2" w:rsidR="00224102" w:rsidRPr="00195EDC" w:rsidRDefault="00224102" w:rsidP="00224102">
            <w:pPr>
              <w:jc w:val="right"/>
              <w:rPr>
                <w:b/>
                <w:bCs/>
                <w:sz w:val="18"/>
                <w:szCs w:val="18"/>
              </w:rPr>
            </w:pPr>
            <w:r>
              <w:rPr>
                <w:b/>
                <w:bCs/>
                <w:sz w:val="18"/>
                <w:szCs w:val="18"/>
              </w:rPr>
              <w:t>1,399</w:t>
            </w:r>
          </w:p>
        </w:tc>
        <w:tc>
          <w:tcPr>
            <w:tcW w:w="905" w:type="dxa"/>
            <w:vAlign w:val="bottom"/>
          </w:tcPr>
          <w:p w14:paraId="57C7D1DE" w14:textId="0D69F696" w:rsidR="00224102" w:rsidRPr="00195EDC" w:rsidRDefault="00224102" w:rsidP="00224102">
            <w:pPr>
              <w:jc w:val="right"/>
              <w:rPr>
                <w:b/>
                <w:bCs/>
                <w:sz w:val="18"/>
                <w:szCs w:val="18"/>
              </w:rPr>
            </w:pPr>
            <w:r>
              <w:rPr>
                <w:b/>
                <w:bCs/>
                <w:sz w:val="18"/>
                <w:szCs w:val="18"/>
              </w:rPr>
              <w:t>-</w:t>
            </w:r>
          </w:p>
        </w:tc>
        <w:tc>
          <w:tcPr>
            <w:tcW w:w="895" w:type="dxa"/>
            <w:vAlign w:val="bottom"/>
          </w:tcPr>
          <w:p w14:paraId="27CB165B" w14:textId="7CB997CA" w:rsidR="00224102" w:rsidRPr="00195EDC" w:rsidRDefault="00224102" w:rsidP="00224102">
            <w:pPr>
              <w:jc w:val="right"/>
              <w:rPr>
                <w:b/>
                <w:bCs/>
                <w:sz w:val="18"/>
                <w:szCs w:val="18"/>
              </w:rPr>
            </w:pPr>
            <w:r>
              <w:rPr>
                <w:b/>
                <w:bCs/>
                <w:sz w:val="18"/>
                <w:szCs w:val="18"/>
              </w:rPr>
              <w:t>-</w:t>
            </w:r>
          </w:p>
        </w:tc>
        <w:tc>
          <w:tcPr>
            <w:tcW w:w="969" w:type="dxa"/>
            <w:vAlign w:val="bottom"/>
          </w:tcPr>
          <w:p w14:paraId="35255955" w14:textId="7E85EC1B" w:rsidR="00224102" w:rsidRPr="00195EDC" w:rsidRDefault="00224102" w:rsidP="00224102">
            <w:pPr>
              <w:jc w:val="right"/>
              <w:rPr>
                <w:b/>
                <w:bCs/>
                <w:sz w:val="18"/>
                <w:szCs w:val="18"/>
              </w:rPr>
            </w:pPr>
            <w:r>
              <w:rPr>
                <w:b/>
                <w:bCs/>
                <w:sz w:val="18"/>
                <w:szCs w:val="18"/>
              </w:rPr>
              <w:t>205,124</w:t>
            </w:r>
          </w:p>
        </w:tc>
        <w:tc>
          <w:tcPr>
            <w:tcW w:w="884" w:type="dxa"/>
            <w:vAlign w:val="bottom"/>
          </w:tcPr>
          <w:p w14:paraId="74E0D529" w14:textId="3FAB8C64" w:rsidR="00224102" w:rsidRPr="00195EDC" w:rsidRDefault="00224102" w:rsidP="00224102">
            <w:pPr>
              <w:jc w:val="right"/>
              <w:rPr>
                <w:b/>
                <w:bCs/>
                <w:sz w:val="18"/>
                <w:szCs w:val="18"/>
              </w:rPr>
            </w:pPr>
            <w:r>
              <w:rPr>
                <w:b/>
                <w:bCs/>
                <w:sz w:val="18"/>
                <w:szCs w:val="18"/>
              </w:rPr>
              <w:t>585</w:t>
            </w:r>
          </w:p>
        </w:tc>
        <w:tc>
          <w:tcPr>
            <w:tcW w:w="886" w:type="dxa"/>
            <w:vAlign w:val="bottom"/>
          </w:tcPr>
          <w:p w14:paraId="705E8A71" w14:textId="303453F2" w:rsidR="00224102" w:rsidRPr="00195EDC" w:rsidRDefault="00224102" w:rsidP="00224102">
            <w:pPr>
              <w:jc w:val="right"/>
              <w:rPr>
                <w:b/>
                <w:bCs/>
                <w:sz w:val="18"/>
                <w:szCs w:val="18"/>
              </w:rPr>
            </w:pPr>
            <w:r>
              <w:rPr>
                <w:b/>
                <w:bCs/>
                <w:sz w:val="18"/>
                <w:szCs w:val="18"/>
              </w:rPr>
              <w:t>126</w:t>
            </w:r>
          </w:p>
        </w:tc>
        <w:tc>
          <w:tcPr>
            <w:tcW w:w="800" w:type="dxa"/>
            <w:vAlign w:val="bottom"/>
          </w:tcPr>
          <w:p w14:paraId="75F1F753" w14:textId="2D49B62F" w:rsidR="00224102" w:rsidRPr="00195EDC" w:rsidRDefault="00224102" w:rsidP="00224102">
            <w:pPr>
              <w:jc w:val="right"/>
              <w:rPr>
                <w:b/>
                <w:bCs/>
                <w:sz w:val="18"/>
                <w:szCs w:val="18"/>
              </w:rPr>
            </w:pPr>
            <w:r>
              <w:rPr>
                <w:b/>
                <w:bCs/>
                <w:sz w:val="18"/>
                <w:szCs w:val="18"/>
              </w:rPr>
              <w:t>774</w:t>
            </w:r>
          </w:p>
        </w:tc>
        <w:tc>
          <w:tcPr>
            <w:tcW w:w="980" w:type="dxa"/>
            <w:vAlign w:val="bottom"/>
          </w:tcPr>
          <w:p w14:paraId="5EAA291B" w14:textId="276EB47A" w:rsidR="00224102" w:rsidRPr="00195EDC" w:rsidRDefault="00224102" w:rsidP="00224102">
            <w:pPr>
              <w:jc w:val="right"/>
              <w:rPr>
                <w:b/>
                <w:bCs/>
                <w:sz w:val="18"/>
                <w:szCs w:val="18"/>
              </w:rPr>
            </w:pPr>
            <w:r>
              <w:rPr>
                <w:b/>
                <w:bCs/>
                <w:sz w:val="18"/>
                <w:szCs w:val="18"/>
              </w:rPr>
              <w:t>-</w:t>
            </w:r>
          </w:p>
        </w:tc>
        <w:tc>
          <w:tcPr>
            <w:tcW w:w="902" w:type="dxa"/>
            <w:vAlign w:val="bottom"/>
          </w:tcPr>
          <w:p w14:paraId="40F7D7AF" w14:textId="0FD9349B" w:rsidR="00224102" w:rsidRPr="00195EDC" w:rsidRDefault="00224102" w:rsidP="00224102">
            <w:pPr>
              <w:jc w:val="right"/>
              <w:rPr>
                <w:b/>
                <w:bCs/>
                <w:sz w:val="18"/>
                <w:szCs w:val="18"/>
              </w:rPr>
            </w:pPr>
            <w:r>
              <w:rPr>
                <w:b/>
                <w:bCs/>
                <w:sz w:val="18"/>
                <w:szCs w:val="18"/>
              </w:rPr>
              <w:t>208,008</w:t>
            </w:r>
          </w:p>
        </w:tc>
      </w:tr>
      <w:tr w:rsidR="00224102" w:rsidRPr="00195EDC" w14:paraId="2F37F233" w14:textId="77777777" w:rsidTr="00877CBD">
        <w:trPr>
          <w:trHeight w:val="255"/>
        </w:trPr>
        <w:tc>
          <w:tcPr>
            <w:tcW w:w="1900" w:type="dxa"/>
            <w:shd w:val="clear" w:color="auto" w:fill="FFFFFF"/>
            <w:vAlign w:val="bottom"/>
          </w:tcPr>
          <w:p w14:paraId="2CB53030" w14:textId="77777777" w:rsidR="00224102" w:rsidRPr="00195EDC" w:rsidRDefault="00224102" w:rsidP="00224102">
            <w:pPr>
              <w:tabs>
                <w:tab w:val="left" w:pos="0"/>
              </w:tabs>
              <w:spacing w:line="223" w:lineRule="auto"/>
              <w:rPr>
                <w:rFonts w:eastAsia="Arial Unicode MS"/>
                <w:b/>
                <w:sz w:val="16"/>
                <w:szCs w:val="16"/>
              </w:rPr>
            </w:pPr>
            <w:r w:rsidRPr="00195EDC">
              <w:rPr>
                <w:b/>
                <w:noProof/>
                <w:sz w:val="16"/>
                <w:szCs w:val="16"/>
              </w:rPr>
              <w:t>Bank Deposits</w:t>
            </w:r>
          </w:p>
        </w:tc>
        <w:tc>
          <w:tcPr>
            <w:tcW w:w="892" w:type="dxa"/>
            <w:vAlign w:val="bottom"/>
          </w:tcPr>
          <w:p w14:paraId="3E066433" w14:textId="671A0941" w:rsidR="00224102" w:rsidRPr="00195EDC" w:rsidRDefault="00224102" w:rsidP="00224102">
            <w:pPr>
              <w:jc w:val="right"/>
              <w:rPr>
                <w:b/>
                <w:bCs/>
                <w:sz w:val="18"/>
                <w:szCs w:val="18"/>
              </w:rPr>
            </w:pPr>
            <w:r>
              <w:rPr>
                <w:b/>
                <w:bCs/>
                <w:sz w:val="18"/>
                <w:szCs w:val="18"/>
              </w:rPr>
              <w:t>484</w:t>
            </w:r>
          </w:p>
        </w:tc>
        <w:tc>
          <w:tcPr>
            <w:tcW w:w="905" w:type="dxa"/>
            <w:vAlign w:val="bottom"/>
          </w:tcPr>
          <w:p w14:paraId="163ECC4D" w14:textId="35A9DC90" w:rsidR="00224102" w:rsidRPr="00195EDC" w:rsidRDefault="00224102" w:rsidP="00224102">
            <w:pPr>
              <w:jc w:val="right"/>
              <w:rPr>
                <w:b/>
                <w:bCs/>
                <w:sz w:val="18"/>
                <w:szCs w:val="18"/>
              </w:rPr>
            </w:pPr>
            <w:r>
              <w:rPr>
                <w:b/>
                <w:bCs/>
                <w:sz w:val="18"/>
                <w:szCs w:val="18"/>
              </w:rPr>
              <w:t>-</w:t>
            </w:r>
          </w:p>
        </w:tc>
        <w:tc>
          <w:tcPr>
            <w:tcW w:w="895" w:type="dxa"/>
            <w:vAlign w:val="bottom"/>
          </w:tcPr>
          <w:p w14:paraId="02305C4D" w14:textId="4175D30C" w:rsidR="00224102" w:rsidRPr="00195EDC" w:rsidRDefault="00224102" w:rsidP="00224102">
            <w:pPr>
              <w:jc w:val="right"/>
              <w:rPr>
                <w:b/>
                <w:bCs/>
                <w:sz w:val="18"/>
                <w:szCs w:val="18"/>
              </w:rPr>
            </w:pPr>
            <w:r>
              <w:rPr>
                <w:b/>
                <w:bCs/>
                <w:sz w:val="18"/>
                <w:szCs w:val="18"/>
              </w:rPr>
              <w:t>198,500</w:t>
            </w:r>
          </w:p>
        </w:tc>
        <w:tc>
          <w:tcPr>
            <w:tcW w:w="969" w:type="dxa"/>
            <w:vAlign w:val="bottom"/>
          </w:tcPr>
          <w:p w14:paraId="14519D8A" w14:textId="6982C426" w:rsidR="00224102" w:rsidRPr="00195EDC" w:rsidRDefault="00224102" w:rsidP="00224102">
            <w:pPr>
              <w:jc w:val="right"/>
              <w:rPr>
                <w:b/>
                <w:bCs/>
                <w:sz w:val="18"/>
                <w:szCs w:val="18"/>
              </w:rPr>
            </w:pPr>
            <w:r>
              <w:rPr>
                <w:b/>
                <w:bCs/>
                <w:sz w:val="18"/>
                <w:szCs w:val="18"/>
              </w:rPr>
              <w:t>119,549</w:t>
            </w:r>
          </w:p>
        </w:tc>
        <w:tc>
          <w:tcPr>
            <w:tcW w:w="884" w:type="dxa"/>
            <w:vAlign w:val="bottom"/>
          </w:tcPr>
          <w:p w14:paraId="1A156704" w14:textId="5222D4BF" w:rsidR="00224102" w:rsidRPr="00195EDC" w:rsidRDefault="00224102" w:rsidP="00224102">
            <w:pPr>
              <w:jc w:val="right"/>
              <w:rPr>
                <w:b/>
                <w:bCs/>
                <w:sz w:val="18"/>
                <w:szCs w:val="18"/>
              </w:rPr>
            </w:pPr>
            <w:r>
              <w:rPr>
                <w:b/>
                <w:bCs/>
                <w:sz w:val="18"/>
                <w:szCs w:val="18"/>
              </w:rPr>
              <w:t>31,903</w:t>
            </w:r>
          </w:p>
        </w:tc>
        <w:tc>
          <w:tcPr>
            <w:tcW w:w="886" w:type="dxa"/>
            <w:vAlign w:val="bottom"/>
          </w:tcPr>
          <w:p w14:paraId="421DD18E" w14:textId="03DE8A61" w:rsidR="00224102" w:rsidRPr="00195EDC" w:rsidRDefault="00224102" w:rsidP="00224102">
            <w:pPr>
              <w:jc w:val="right"/>
              <w:rPr>
                <w:b/>
                <w:bCs/>
                <w:sz w:val="18"/>
                <w:szCs w:val="18"/>
              </w:rPr>
            </w:pPr>
            <w:r>
              <w:rPr>
                <w:b/>
                <w:bCs/>
                <w:sz w:val="18"/>
                <w:szCs w:val="18"/>
              </w:rPr>
              <w:t>-</w:t>
            </w:r>
          </w:p>
        </w:tc>
        <w:tc>
          <w:tcPr>
            <w:tcW w:w="800" w:type="dxa"/>
            <w:vAlign w:val="bottom"/>
          </w:tcPr>
          <w:p w14:paraId="0CFD0AE8" w14:textId="4C23D20C" w:rsidR="00224102" w:rsidRPr="00195EDC" w:rsidRDefault="00224102" w:rsidP="00224102">
            <w:pPr>
              <w:jc w:val="right"/>
              <w:rPr>
                <w:b/>
                <w:bCs/>
                <w:sz w:val="18"/>
                <w:szCs w:val="18"/>
              </w:rPr>
            </w:pPr>
            <w:r>
              <w:rPr>
                <w:b/>
                <w:bCs/>
                <w:sz w:val="18"/>
                <w:szCs w:val="18"/>
              </w:rPr>
              <w:t>-</w:t>
            </w:r>
          </w:p>
        </w:tc>
        <w:tc>
          <w:tcPr>
            <w:tcW w:w="980" w:type="dxa"/>
            <w:vAlign w:val="bottom"/>
          </w:tcPr>
          <w:p w14:paraId="62982359" w14:textId="03E9E991" w:rsidR="00224102" w:rsidRPr="00195EDC" w:rsidRDefault="00224102" w:rsidP="00224102">
            <w:pPr>
              <w:jc w:val="right"/>
              <w:rPr>
                <w:b/>
                <w:bCs/>
                <w:sz w:val="18"/>
                <w:szCs w:val="18"/>
              </w:rPr>
            </w:pPr>
            <w:r>
              <w:rPr>
                <w:b/>
                <w:bCs/>
                <w:sz w:val="18"/>
                <w:szCs w:val="18"/>
              </w:rPr>
              <w:t>-</w:t>
            </w:r>
          </w:p>
        </w:tc>
        <w:tc>
          <w:tcPr>
            <w:tcW w:w="902" w:type="dxa"/>
            <w:vAlign w:val="bottom"/>
          </w:tcPr>
          <w:p w14:paraId="0190E899" w14:textId="2C539F53" w:rsidR="00224102" w:rsidRPr="00195EDC" w:rsidRDefault="00224102" w:rsidP="00224102">
            <w:pPr>
              <w:jc w:val="right"/>
              <w:rPr>
                <w:b/>
                <w:bCs/>
                <w:sz w:val="18"/>
                <w:szCs w:val="18"/>
              </w:rPr>
            </w:pPr>
            <w:r>
              <w:rPr>
                <w:b/>
                <w:bCs/>
                <w:sz w:val="18"/>
                <w:szCs w:val="18"/>
              </w:rPr>
              <w:t>350,436</w:t>
            </w:r>
          </w:p>
        </w:tc>
      </w:tr>
      <w:tr w:rsidR="00224102" w:rsidRPr="00195EDC" w14:paraId="1D1334BE" w14:textId="77777777" w:rsidTr="00877CBD">
        <w:trPr>
          <w:trHeight w:val="255"/>
        </w:trPr>
        <w:tc>
          <w:tcPr>
            <w:tcW w:w="1900" w:type="dxa"/>
            <w:shd w:val="clear" w:color="auto" w:fill="FFFFFF"/>
            <w:vAlign w:val="bottom"/>
          </w:tcPr>
          <w:p w14:paraId="10536659" w14:textId="77777777" w:rsidR="00224102" w:rsidRPr="00195EDC" w:rsidRDefault="00224102" w:rsidP="00224102">
            <w:pPr>
              <w:tabs>
                <w:tab w:val="left" w:pos="0"/>
              </w:tabs>
              <w:spacing w:line="223" w:lineRule="auto"/>
              <w:rPr>
                <w:rFonts w:eastAsia="Arial Unicode MS"/>
                <w:sz w:val="16"/>
                <w:szCs w:val="16"/>
              </w:rPr>
            </w:pPr>
            <w:r w:rsidRPr="00195EDC">
              <w:rPr>
                <w:noProof/>
                <w:color w:val="000000"/>
                <w:sz w:val="16"/>
                <w:szCs w:val="16"/>
              </w:rPr>
              <w:t xml:space="preserve">    </w:t>
            </w:r>
            <w:r w:rsidRPr="00195EDC">
              <w:rPr>
                <w:noProof/>
                <w:sz w:val="16"/>
                <w:szCs w:val="16"/>
              </w:rPr>
              <w:t>The CBRT</w:t>
            </w:r>
          </w:p>
        </w:tc>
        <w:tc>
          <w:tcPr>
            <w:tcW w:w="892" w:type="dxa"/>
            <w:vAlign w:val="bottom"/>
          </w:tcPr>
          <w:p w14:paraId="6A8A1ED0" w14:textId="5F5FFCA7" w:rsidR="00224102" w:rsidRPr="00195EDC" w:rsidRDefault="00224102" w:rsidP="00224102">
            <w:pPr>
              <w:jc w:val="right"/>
              <w:rPr>
                <w:sz w:val="18"/>
                <w:szCs w:val="18"/>
              </w:rPr>
            </w:pPr>
            <w:r>
              <w:rPr>
                <w:sz w:val="18"/>
                <w:szCs w:val="18"/>
              </w:rPr>
              <w:t>-</w:t>
            </w:r>
          </w:p>
        </w:tc>
        <w:tc>
          <w:tcPr>
            <w:tcW w:w="905" w:type="dxa"/>
            <w:vAlign w:val="bottom"/>
          </w:tcPr>
          <w:p w14:paraId="4FCCF5C7" w14:textId="5A0D0E96" w:rsidR="00224102" w:rsidRPr="00195EDC" w:rsidRDefault="00224102" w:rsidP="00224102">
            <w:pPr>
              <w:jc w:val="right"/>
              <w:rPr>
                <w:sz w:val="18"/>
                <w:szCs w:val="18"/>
              </w:rPr>
            </w:pPr>
            <w:r>
              <w:rPr>
                <w:sz w:val="18"/>
                <w:szCs w:val="18"/>
              </w:rPr>
              <w:t>-</w:t>
            </w:r>
          </w:p>
        </w:tc>
        <w:tc>
          <w:tcPr>
            <w:tcW w:w="895" w:type="dxa"/>
            <w:vAlign w:val="bottom"/>
          </w:tcPr>
          <w:p w14:paraId="04FDBE25" w14:textId="03192CB0" w:rsidR="00224102" w:rsidRPr="00195EDC" w:rsidRDefault="00224102" w:rsidP="00224102">
            <w:pPr>
              <w:jc w:val="right"/>
              <w:rPr>
                <w:sz w:val="18"/>
                <w:szCs w:val="18"/>
              </w:rPr>
            </w:pPr>
            <w:r>
              <w:rPr>
                <w:sz w:val="18"/>
                <w:szCs w:val="18"/>
              </w:rPr>
              <w:t>-</w:t>
            </w:r>
          </w:p>
        </w:tc>
        <w:tc>
          <w:tcPr>
            <w:tcW w:w="969" w:type="dxa"/>
            <w:vAlign w:val="bottom"/>
          </w:tcPr>
          <w:p w14:paraId="157445AB" w14:textId="1A49AAC0" w:rsidR="00224102" w:rsidRPr="00195EDC" w:rsidRDefault="00224102" w:rsidP="00224102">
            <w:pPr>
              <w:jc w:val="right"/>
              <w:rPr>
                <w:sz w:val="18"/>
                <w:szCs w:val="18"/>
              </w:rPr>
            </w:pPr>
            <w:r>
              <w:rPr>
                <w:sz w:val="18"/>
                <w:szCs w:val="18"/>
              </w:rPr>
              <w:t>-</w:t>
            </w:r>
          </w:p>
        </w:tc>
        <w:tc>
          <w:tcPr>
            <w:tcW w:w="884" w:type="dxa"/>
            <w:vAlign w:val="bottom"/>
          </w:tcPr>
          <w:p w14:paraId="28A17BC0" w14:textId="7E32A934" w:rsidR="00224102" w:rsidRPr="00195EDC" w:rsidRDefault="00224102" w:rsidP="00224102">
            <w:pPr>
              <w:jc w:val="right"/>
              <w:rPr>
                <w:sz w:val="18"/>
                <w:szCs w:val="18"/>
              </w:rPr>
            </w:pPr>
            <w:r>
              <w:rPr>
                <w:sz w:val="18"/>
                <w:szCs w:val="18"/>
              </w:rPr>
              <w:t>-</w:t>
            </w:r>
          </w:p>
        </w:tc>
        <w:tc>
          <w:tcPr>
            <w:tcW w:w="886" w:type="dxa"/>
            <w:vAlign w:val="bottom"/>
          </w:tcPr>
          <w:p w14:paraId="56154B4B" w14:textId="1AB66131" w:rsidR="00224102" w:rsidRPr="00195EDC" w:rsidRDefault="00224102" w:rsidP="00224102">
            <w:pPr>
              <w:jc w:val="right"/>
              <w:rPr>
                <w:sz w:val="18"/>
                <w:szCs w:val="18"/>
              </w:rPr>
            </w:pPr>
            <w:r>
              <w:rPr>
                <w:sz w:val="18"/>
                <w:szCs w:val="18"/>
              </w:rPr>
              <w:t>-</w:t>
            </w:r>
          </w:p>
        </w:tc>
        <w:tc>
          <w:tcPr>
            <w:tcW w:w="800" w:type="dxa"/>
            <w:vAlign w:val="bottom"/>
          </w:tcPr>
          <w:p w14:paraId="09F64E39" w14:textId="6D2BEB49" w:rsidR="00224102" w:rsidRPr="00195EDC" w:rsidRDefault="00224102" w:rsidP="00224102">
            <w:pPr>
              <w:jc w:val="right"/>
              <w:rPr>
                <w:sz w:val="18"/>
                <w:szCs w:val="18"/>
              </w:rPr>
            </w:pPr>
            <w:r>
              <w:rPr>
                <w:sz w:val="18"/>
                <w:szCs w:val="18"/>
              </w:rPr>
              <w:t>-</w:t>
            </w:r>
          </w:p>
        </w:tc>
        <w:tc>
          <w:tcPr>
            <w:tcW w:w="980" w:type="dxa"/>
            <w:vAlign w:val="bottom"/>
          </w:tcPr>
          <w:p w14:paraId="4923893E" w14:textId="757BABBB" w:rsidR="00224102" w:rsidRPr="00195EDC" w:rsidRDefault="00224102" w:rsidP="00224102">
            <w:pPr>
              <w:jc w:val="right"/>
              <w:rPr>
                <w:sz w:val="18"/>
                <w:szCs w:val="18"/>
              </w:rPr>
            </w:pPr>
            <w:r>
              <w:rPr>
                <w:sz w:val="18"/>
                <w:szCs w:val="18"/>
              </w:rPr>
              <w:t>-</w:t>
            </w:r>
          </w:p>
        </w:tc>
        <w:tc>
          <w:tcPr>
            <w:tcW w:w="902" w:type="dxa"/>
            <w:vAlign w:val="bottom"/>
          </w:tcPr>
          <w:p w14:paraId="7354F3A0" w14:textId="3157D453" w:rsidR="00224102" w:rsidRPr="00195EDC" w:rsidRDefault="00224102" w:rsidP="00224102">
            <w:pPr>
              <w:jc w:val="right"/>
              <w:rPr>
                <w:sz w:val="18"/>
                <w:szCs w:val="18"/>
              </w:rPr>
            </w:pPr>
            <w:r>
              <w:rPr>
                <w:sz w:val="18"/>
                <w:szCs w:val="18"/>
              </w:rPr>
              <w:t>-</w:t>
            </w:r>
          </w:p>
        </w:tc>
      </w:tr>
      <w:tr w:rsidR="00224102" w:rsidRPr="00195EDC" w14:paraId="4FA17F1A" w14:textId="77777777" w:rsidTr="00877CBD">
        <w:trPr>
          <w:trHeight w:val="255"/>
        </w:trPr>
        <w:tc>
          <w:tcPr>
            <w:tcW w:w="1900" w:type="dxa"/>
            <w:shd w:val="clear" w:color="auto" w:fill="FFFFFF"/>
            <w:vAlign w:val="bottom"/>
          </w:tcPr>
          <w:p w14:paraId="04DB1AFE" w14:textId="77777777" w:rsidR="00224102" w:rsidRPr="00195EDC" w:rsidRDefault="00224102" w:rsidP="00224102">
            <w:pPr>
              <w:tabs>
                <w:tab w:val="left" w:pos="0"/>
              </w:tabs>
              <w:spacing w:line="223" w:lineRule="auto"/>
              <w:rPr>
                <w:rFonts w:eastAsia="Arial Unicode MS"/>
                <w:sz w:val="16"/>
                <w:szCs w:val="16"/>
              </w:rPr>
            </w:pPr>
            <w:r w:rsidRPr="00195EDC">
              <w:rPr>
                <w:noProof/>
                <w:color w:val="000000"/>
                <w:sz w:val="16"/>
                <w:szCs w:val="16"/>
              </w:rPr>
              <w:t xml:space="preserve">    </w:t>
            </w:r>
            <w:r w:rsidRPr="00195EDC">
              <w:rPr>
                <w:noProof/>
                <w:sz w:val="16"/>
                <w:szCs w:val="16"/>
              </w:rPr>
              <w:t>Domestic Banks</w:t>
            </w:r>
          </w:p>
        </w:tc>
        <w:tc>
          <w:tcPr>
            <w:tcW w:w="892" w:type="dxa"/>
            <w:vAlign w:val="bottom"/>
          </w:tcPr>
          <w:p w14:paraId="64A73E10" w14:textId="767DF1C3" w:rsidR="00224102" w:rsidRPr="00195EDC" w:rsidRDefault="00224102" w:rsidP="00224102">
            <w:pPr>
              <w:jc w:val="right"/>
              <w:rPr>
                <w:sz w:val="18"/>
                <w:szCs w:val="18"/>
              </w:rPr>
            </w:pPr>
            <w:r>
              <w:rPr>
                <w:sz w:val="18"/>
                <w:szCs w:val="18"/>
              </w:rPr>
              <w:t>124</w:t>
            </w:r>
          </w:p>
        </w:tc>
        <w:tc>
          <w:tcPr>
            <w:tcW w:w="905" w:type="dxa"/>
            <w:vAlign w:val="bottom"/>
          </w:tcPr>
          <w:p w14:paraId="7F04EA10" w14:textId="0CFE6FF6" w:rsidR="00224102" w:rsidRPr="00195EDC" w:rsidRDefault="00224102" w:rsidP="00224102">
            <w:pPr>
              <w:jc w:val="right"/>
              <w:rPr>
                <w:sz w:val="18"/>
                <w:szCs w:val="18"/>
              </w:rPr>
            </w:pPr>
            <w:r>
              <w:rPr>
                <w:sz w:val="18"/>
                <w:szCs w:val="18"/>
              </w:rPr>
              <w:t>-</w:t>
            </w:r>
          </w:p>
        </w:tc>
        <w:tc>
          <w:tcPr>
            <w:tcW w:w="895" w:type="dxa"/>
            <w:vAlign w:val="bottom"/>
          </w:tcPr>
          <w:p w14:paraId="7A946A7C" w14:textId="34F03F83" w:rsidR="00224102" w:rsidRPr="00195EDC" w:rsidRDefault="00224102" w:rsidP="00224102">
            <w:pPr>
              <w:jc w:val="right"/>
              <w:rPr>
                <w:sz w:val="18"/>
                <w:szCs w:val="18"/>
              </w:rPr>
            </w:pPr>
            <w:r>
              <w:rPr>
                <w:sz w:val="18"/>
                <w:szCs w:val="18"/>
              </w:rPr>
              <w:t>175,123</w:t>
            </w:r>
          </w:p>
        </w:tc>
        <w:tc>
          <w:tcPr>
            <w:tcW w:w="969" w:type="dxa"/>
            <w:vAlign w:val="bottom"/>
          </w:tcPr>
          <w:p w14:paraId="2AC60EDC" w14:textId="364DEAC8" w:rsidR="00224102" w:rsidRPr="00195EDC" w:rsidRDefault="00224102" w:rsidP="00224102">
            <w:pPr>
              <w:jc w:val="right"/>
              <w:rPr>
                <w:sz w:val="18"/>
                <w:szCs w:val="18"/>
              </w:rPr>
            </w:pPr>
            <w:r>
              <w:rPr>
                <w:sz w:val="18"/>
                <w:szCs w:val="18"/>
              </w:rPr>
              <w:t>87,682</w:t>
            </w:r>
          </w:p>
        </w:tc>
        <w:tc>
          <w:tcPr>
            <w:tcW w:w="884" w:type="dxa"/>
            <w:vAlign w:val="bottom"/>
          </w:tcPr>
          <w:p w14:paraId="0B34D27C" w14:textId="150ACF54" w:rsidR="00224102" w:rsidRPr="00195EDC" w:rsidRDefault="00224102" w:rsidP="00224102">
            <w:pPr>
              <w:jc w:val="right"/>
              <w:rPr>
                <w:sz w:val="18"/>
                <w:szCs w:val="18"/>
              </w:rPr>
            </w:pPr>
            <w:r>
              <w:rPr>
                <w:sz w:val="18"/>
                <w:szCs w:val="18"/>
              </w:rPr>
              <w:t>-</w:t>
            </w:r>
          </w:p>
        </w:tc>
        <w:tc>
          <w:tcPr>
            <w:tcW w:w="886" w:type="dxa"/>
            <w:vAlign w:val="bottom"/>
          </w:tcPr>
          <w:p w14:paraId="047B9A3F" w14:textId="2548B0CB" w:rsidR="00224102" w:rsidRPr="00195EDC" w:rsidRDefault="00224102" w:rsidP="00224102">
            <w:pPr>
              <w:jc w:val="right"/>
              <w:rPr>
                <w:sz w:val="18"/>
                <w:szCs w:val="18"/>
              </w:rPr>
            </w:pPr>
            <w:r>
              <w:rPr>
                <w:sz w:val="18"/>
                <w:szCs w:val="18"/>
              </w:rPr>
              <w:t>-</w:t>
            </w:r>
          </w:p>
        </w:tc>
        <w:tc>
          <w:tcPr>
            <w:tcW w:w="800" w:type="dxa"/>
            <w:vAlign w:val="bottom"/>
          </w:tcPr>
          <w:p w14:paraId="14D90309" w14:textId="2261381A" w:rsidR="00224102" w:rsidRPr="00195EDC" w:rsidRDefault="00224102" w:rsidP="00224102">
            <w:pPr>
              <w:jc w:val="right"/>
              <w:rPr>
                <w:sz w:val="18"/>
                <w:szCs w:val="18"/>
              </w:rPr>
            </w:pPr>
            <w:r>
              <w:rPr>
                <w:sz w:val="18"/>
                <w:szCs w:val="18"/>
              </w:rPr>
              <w:t>-</w:t>
            </w:r>
          </w:p>
        </w:tc>
        <w:tc>
          <w:tcPr>
            <w:tcW w:w="980" w:type="dxa"/>
            <w:vAlign w:val="bottom"/>
          </w:tcPr>
          <w:p w14:paraId="645620D2" w14:textId="773A33F3" w:rsidR="00224102" w:rsidRPr="00195EDC" w:rsidRDefault="00224102" w:rsidP="00224102">
            <w:pPr>
              <w:jc w:val="right"/>
              <w:rPr>
                <w:sz w:val="18"/>
                <w:szCs w:val="18"/>
              </w:rPr>
            </w:pPr>
            <w:r>
              <w:rPr>
                <w:sz w:val="18"/>
                <w:szCs w:val="18"/>
              </w:rPr>
              <w:t>-</w:t>
            </w:r>
          </w:p>
        </w:tc>
        <w:tc>
          <w:tcPr>
            <w:tcW w:w="902" w:type="dxa"/>
            <w:vAlign w:val="bottom"/>
          </w:tcPr>
          <w:p w14:paraId="57360D1A" w14:textId="728C9469" w:rsidR="00224102" w:rsidRPr="00195EDC" w:rsidRDefault="00224102" w:rsidP="00224102">
            <w:pPr>
              <w:jc w:val="right"/>
              <w:rPr>
                <w:sz w:val="18"/>
                <w:szCs w:val="18"/>
              </w:rPr>
            </w:pPr>
            <w:r>
              <w:rPr>
                <w:sz w:val="18"/>
                <w:szCs w:val="18"/>
              </w:rPr>
              <w:t>262,929</w:t>
            </w:r>
          </w:p>
        </w:tc>
      </w:tr>
      <w:tr w:rsidR="00224102" w:rsidRPr="00195EDC" w14:paraId="143C6BDB" w14:textId="77777777" w:rsidTr="00877CBD">
        <w:trPr>
          <w:trHeight w:val="255"/>
        </w:trPr>
        <w:tc>
          <w:tcPr>
            <w:tcW w:w="1900" w:type="dxa"/>
            <w:shd w:val="clear" w:color="auto" w:fill="FFFFFF"/>
            <w:vAlign w:val="bottom"/>
          </w:tcPr>
          <w:p w14:paraId="0195EE6D" w14:textId="77777777" w:rsidR="00224102" w:rsidRPr="00195EDC" w:rsidRDefault="00224102" w:rsidP="00224102">
            <w:pPr>
              <w:tabs>
                <w:tab w:val="left" w:pos="0"/>
              </w:tabs>
              <w:spacing w:line="223" w:lineRule="auto"/>
              <w:rPr>
                <w:rFonts w:eastAsia="Arial Unicode MS"/>
                <w:sz w:val="16"/>
                <w:szCs w:val="16"/>
              </w:rPr>
            </w:pPr>
            <w:r w:rsidRPr="00195EDC">
              <w:rPr>
                <w:noProof/>
                <w:sz w:val="16"/>
                <w:szCs w:val="16"/>
              </w:rPr>
              <w:t xml:space="preserve">    Foreign Banks</w:t>
            </w:r>
          </w:p>
        </w:tc>
        <w:tc>
          <w:tcPr>
            <w:tcW w:w="892" w:type="dxa"/>
            <w:vAlign w:val="bottom"/>
          </w:tcPr>
          <w:p w14:paraId="6FE8873D" w14:textId="5DEB89F1" w:rsidR="00224102" w:rsidRPr="00195EDC" w:rsidRDefault="00224102" w:rsidP="00224102">
            <w:pPr>
              <w:jc w:val="right"/>
              <w:rPr>
                <w:sz w:val="18"/>
                <w:szCs w:val="18"/>
              </w:rPr>
            </w:pPr>
            <w:r>
              <w:rPr>
                <w:sz w:val="18"/>
                <w:szCs w:val="18"/>
              </w:rPr>
              <w:t>360</w:t>
            </w:r>
          </w:p>
        </w:tc>
        <w:tc>
          <w:tcPr>
            <w:tcW w:w="905" w:type="dxa"/>
            <w:vAlign w:val="bottom"/>
          </w:tcPr>
          <w:p w14:paraId="46991F7B" w14:textId="1D15924D" w:rsidR="00224102" w:rsidRPr="00195EDC" w:rsidRDefault="00224102" w:rsidP="00224102">
            <w:pPr>
              <w:jc w:val="right"/>
              <w:rPr>
                <w:sz w:val="18"/>
                <w:szCs w:val="18"/>
              </w:rPr>
            </w:pPr>
            <w:r>
              <w:rPr>
                <w:sz w:val="18"/>
                <w:szCs w:val="18"/>
              </w:rPr>
              <w:t>-</w:t>
            </w:r>
          </w:p>
        </w:tc>
        <w:tc>
          <w:tcPr>
            <w:tcW w:w="895" w:type="dxa"/>
            <w:vAlign w:val="bottom"/>
          </w:tcPr>
          <w:p w14:paraId="7B597B7C" w14:textId="3CC237CE" w:rsidR="00224102" w:rsidRPr="00195EDC" w:rsidRDefault="00224102" w:rsidP="00224102">
            <w:pPr>
              <w:jc w:val="right"/>
              <w:rPr>
                <w:sz w:val="18"/>
                <w:szCs w:val="18"/>
              </w:rPr>
            </w:pPr>
            <w:r>
              <w:rPr>
                <w:sz w:val="18"/>
                <w:szCs w:val="18"/>
              </w:rPr>
              <w:t>23,377</w:t>
            </w:r>
          </w:p>
        </w:tc>
        <w:tc>
          <w:tcPr>
            <w:tcW w:w="969" w:type="dxa"/>
            <w:vAlign w:val="bottom"/>
          </w:tcPr>
          <w:p w14:paraId="32E34107" w14:textId="144909DD" w:rsidR="00224102" w:rsidRPr="00195EDC" w:rsidRDefault="00224102" w:rsidP="00224102">
            <w:pPr>
              <w:jc w:val="right"/>
              <w:rPr>
                <w:sz w:val="18"/>
                <w:szCs w:val="18"/>
              </w:rPr>
            </w:pPr>
            <w:r>
              <w:rPr>
                <w:sz w:val="18"/>
                <w:szCs w:val="18"/>
              </w:rPr>
              <w:t>31,867</w:t>
            </w:r>
          </w:p>
        </w:tc>
        <w:tc>
          <w:tcPr>
            <w:tcW w:w="884" w:type="dxa"/>
            <w:vAlign w:val="bottom"/>
          </w:tcPr>
          <w:p w14:paraId="5342827B" w14:textId="58D1F401" w:rsidR="00224102" w:rsidRPr="00195EDC" w:rsidRDefault="00224102" w:rsidP="00224102">
            <w:pPr>
              <w:jc w:val="right"/>
              <w:rPr>
                <w:sz w:val="18"/>
                <w:szCs w:val="18"/>
              </w:rPr>
            </w:pPr>
            <w:r>
              <w:rPr>
                <w:sz w:val="18"/>
                <w:szCs w:val="18"/>
              </w:rPr>
              <w:t>31,903</w:t>
            </w:r>
          </w:p>
        </w:tc>
        <w:tc>
          <w:tcPr>
            <w:tcW w:w="886" w:type="dxa"/>
            <w:vAlign w:val="bottom"/>
          </w:tcPr>
          <w:p w14:paraId="399499D3" w14:textId="27E3E3E4" w:rsidR="00224102" w:rsidRPr="00195EDC" w:rsidRDefault="00224102" w:rsidP="00224102">
            <w:pPr>
              <w:jc w:val="right"/>
              <w:rPr>
                <w:sz w:val="18"/>
                <w:szCs w:val="18"/>
              </w:rPr>
            </w:pPr>
            <w:r>
              <w:rPr>
                <w:sz w:val="18"/>
                <w:szCs w:val="18"/>
              </w:rPr>
              <w:t>-</w:t>
            </w:r>
          </w:p>
        </w:tc>
        <w:tc>
          <w:tcPr>
            <w:tcW w:w="800" w:type="dxa"/>
            <w:vAlign w:val="bottom"/>
          </w:tcPr>
          <w:p w14:paraId="14DE1822" w14:textId="603DC47C" w:rsidR="00224102" w:rsidRPr="00195EDC" w:rsidRDefault="00224102" w:rsidP="00224102">
            <w:pPr>
              <w:jc w:val="right"/>
              <w:rPr>
                <w:sz w:val="18"/>
                <w:szCs w:val="18"/>
              </w:rPr>
            </w:pPr>
            <w:r>
              <w:rPr>
                <w:sz w:val="18"/>
                <w:szCs w:val="18"/>
              </w:rPr>
              <w:t>-</w:t>
            </w:r>
          </w:p>
        </w:tc>
        <w:tc>
          <w:tcPr>
            <w:tcW w:w="980" w:type="dxa"/>
            <w:vAlign w:val="bottom"/>
          </w:tcPr>
          <w:p w14:paraId="27509A15" w14:textId="09CF85B9" w:rsidR="00224102" w:rsidRPr="00195EDC" w:rsidRDefault="00224102" w:rsidP="00224102">
            <w:pPr>
              <w:jc w:val="right"/>
              <w:rPr>
                <w:sz w:val="18"/>
                <w:szCs w:val="18"/>
              </w:rPr>
            </w:pPr>
            <w:r>
              <w:rPr>
                <w:sz w:val="18"/>
                <w:szCs w:val="18"/>
              </w:rPr>
              <w:t>-</w:t>
            </w:r>
          </w:p>
        </w:tc>
        <w:tc>
          <w:tcPr>
            <w:tcW w:w="902" w:type="dxa"/>
            <w:vAlign w:val="bottom"/>
          </w:tcPr>
          <w:p w14:paraId="5A33E747" w14:textId="1B94848B" w:rsidR="00224102" w:rsidRPr="00195EDC" w:rsidRDefault="00224102" w:rsidP="00224102">
            <w:pPr>
              <w:jc w:val="right"/>
              <w:rPr>
                <w:sz w:val="18"/>
                <w:szCs w:val="18"/>
              </w:rPr>
            </w:pPr>
            <w:r>
              <w:rPr>
                <w:sz w:val="18"/>
                <w:szCs w:val="18"/>
              </w:rPr>
              <w:t>87,507</w:t>
            </w:r>
          </w:p>
        </w:tc>
      </w:tr>
      <w:tr w:rsidR="00224102" w:rsidRPr="00195EDC" w14:paraId="074B4169" w14:textId="77777777" w:rsidTr="00877CBD">
        <w:trPr>
          <w:trHeight w:val="255"/>
        </w:trPr>
        <w:tc>
          <w:tcPr>
            <w:tcW w:w="1900" w:type="dxa"/>
            <w:shd w:val="clear" w:color="auto" w:fill="FFFFFF"/>
            <w:vAlign w:val="bottom"/>
          </w:tcPr>
          <w:p w14:paraId="6D027AF6" w14:textId="77777777" w:rsidR="00224102" w:rsidRPr="00195EDC" w:rsidRDefault="00224102" w:rsidP="00224102">
            <w:pPr>
              <w:tabs>
                <w:tab w:val="left" w:pos="0"/>
              </w:tabs>
              <w:spacing w:line="223" w:lineRule="auto"/>
              <w:rPr>
                <w:rFonts w:eastAsia="Arial Unicode MS"/>
                <w:sz w:val="16"/>
                <w:szCs w:val="16"/>
              </w:rPr>
            </w:pPr>
            <w:r w:rsidRPr="00195EDC">
              <w:rPr>
                <w:noProof/>
                <w:sz w:val="16"/>
                <w:szCs w:val="16"/>
              </w:rPr>
              <w:t xml:space="preserve">    </w:t>
            </w:r>
            <w:hyperlink r:id="rId24" w:history="1">
              <w:r w:rsidRPr="00195EDC">
                <w:rPr>
                  <w:noProof/>
                  <w:sz w:val="16"/>
                  <w:szCs w:val="16"/>
                </w:rPr>
                <w:t>Participation Bank</w:t>
              </w:r>
            </w:hyperlink>
            <w:r w:rsidRPr="00195EDC">
              <w:rPr>
                <w:noProof/>
                <w:sz w:val="16"/>
                <w:szCs w:val="16"/>
              </w:rPr>
              <w:t>s</w:t>
            </w:r>
          </w:p>
        </w:tc>
        <w:tc>
          <w:tcPr>
            <w:tcW w:w="892" w:type="dxa"/>
            <w:vAlign w:val="bottom"/>
          </w:tcPr>
          <w:p w14:paraId="1334175F" w14:textId="3C7C2E78" w:rsidR="00224102" w:rsidRPr="00195EDC" w:rsidRDefault="00224102" w:rsidP="00224102">
            <w:pPr>
              <w:jc w:val="right"/>
              <w:rPr>
                <w:sz w:val="18"/>
                <w:szCs w:val="18"/>
              </w:rPr>
            </w:pPr>
            <w:r>
              <w:rPr>
                <w:sz w:val="18"/>
                <w:szCs w:val="18"/>
              </w:rPr>
              <w:t>-</w:t>
            </w:r>
          </w:p>
        </w:tc>
        <w:tc>
          <w:tcPr>
            <w:tcW w:w="905" w:type="dxa"/>
            <w:vAlign w:val="bottom"/>
          </w:tcPr>
          <w:p w14:paraId="50714F7C" w14:textId="078A25CF" w:rsidR="00224102" w:rsidRPr="00195EDC" w:rsidRDefault="00224102" w:rsidP="00224102">
            <w:pPr>
              <w:jc w:val="right"/>
              <w:rPr>
                <w:sz w:val="18"/>
                <w:szCs w:val="18"/>
              </w:rPr>
            </w:pPr>
            <w:r>
              <w:rPr>
                <w:sz w:val="18"/>
                <w:szCs w:val="18"/>
              </w:rPr>
              <w:t>-</w:t>
            </w:r>
          </w:p>
        </w:tc>
        <w:tc>
          <w:tcPr>
            <w:tcW w:w="895" w:type="dxa"/>
            <w:vAlign w:val="bottom"/>
          </w:tcPr>
          <w:p w14:paraId="260315D3" w14:textId="7B4EB871" w:rsidR="00224102" w:rsidRPr="00195EDC" w:rsidRDefault="00224102" w:rsidP="00224102">
            <w:pPr>
              <w:jc w:val="right"/>
              <w:rPr>
                <w:sz w:val="18"/>
                <w:szCs w:val="18"/>
              </w:rPr>
            </w:pPr>
            <w:r>
              <w:rPr>
                <w:sz w:val="18"/>
                <w:szCs w:val="18"/>
              </w:rPr>
              <w:t>-</w:t>
            </w:r>
          </w:p>
        </w:tc>
        <w:tc>
          <w:tcPr>
            <w:tcW w:w="969" w:type="dxa"/>
            <w:vAlign w:val="bottom"/>
          </w:tcPr>
          <w:p w14:paraId="5F6907F5" w14:textId="1AFD5279" w:rsidR="00224102" w:rsidRPr="00195EDC" w:rsidRDefault="00224102" w:rsidP="00224102">
            <w:pPr>
              <w:jc w:val="right"/>
              <w:rPr>
                <w:sz w:val="18"/>
                <w:szCs w:val="18"/>
              </w:rPr>
            </w:pPr>
            <w:r>
              <w:rPr>
                <w:sz w:val="18"/>
                <w:szCs w:val="18"/>
              </w:rPr>
              <w:t>-</w:t>
            </w:r>
          </w:p>
        </w:tc>
        <w:tc>
          <w:tcPr>
            <w:tcW w:w="884" w:type="dxa"/>
            <w:vAlign w:val="bottom"/>
          </w:tcPr>
          <w:p w14:paraId="5B6326B5" w14:textId="6DCE51F3" w:rsidR="00224102" w:rsidRPr="00195EDC" w:rsidRDefault="00224102" w:rsidP="00224102">
            <w:pPr>
              <w:jc w:val="right"/>
              <w:rPr>
                <w:sz w:val="18"/>
                <w:szCs w:val="18"/>
              </w:rPr>
            </w:pPr>
            <w:r>
              <w:rPr>
                <w:sz w:val="18"/>
                <w:szCs w:val="18"/>
              </w:rPr>
              <w:t>-</w:t>
            </w:r>
          </w:p>
        </w:tc>
        <w:tc>
          <w:tcPr>
            <w:tcW w:w="886" w:type="dxa"/>
            <w:vAlign w:val="bottom"/>
          </w:tcPr>
          <w:p w14:paraId="05D0CC64" w14:textId="48715FC1" w:rsidR="00224102" w:rsidRPr="00195EDC" w:rsidRDefault="00224102" w:rsidP="00224102">
            <w:pPr>
              <w:jc w:val="right"/>
              <w:rPr>
                <w:sz w:val="18"/>
                <w:szCs w:val="18"/>
              </w:rPr>
            </w:pPr>
            <w:r>
              <w:rPr>
                <w:sz w:val="18"/>
                <w:szCs w:val="18"/>
              </w:rPr>
              <w:t>-</w:t>
            </w:r>
          </w:p>
        </w:tc>
        <w:tc>
          <w:tcPr>
            <w:tcW w:w="800" w:type="dxa"/>
            <w:vAlign w:val="bottom"/>
          </w:tcPr>
          <w:p w14:paraId="363DDB9D" w14:textId="21BFAA72" w:rsidR="00224102" w:rsidRPr="00195EDC" w:rsidRDefault="00224102" w:rsidP="00224102">
            <w:pPr>
              <w:jc w:val="right"/>
              <w:rPr>
                <w:sz w:val="18"/>
                <w:szCs w:val="18"/>
              </w:rPr>
            </w:pPr>
            <w:r>
              <w:rPr>
                <w:sz w:val="18"/>
                <w:szCs w:val="18"/>
              </w:rPr>
              <w:t>-</w:t>
            </w:r>
          </w:p>
        </w:tc>
        <w:tc>
          <w:tcPr>
            <w:tcW w:w="980" w:type="dxa"/>
            <w:vAlign w:val="bottom"/>
          </w:tcPr>
          <w:p w14:paraId="7E1EF437" w14:textId="373BF82A" w:rsidR="00224102" w:rsidRPr="00195EDC" w:rsidRDefault="00224102" w:rsidP="00224102">
            <w:pPr>
              <w:jc w:val="right"/>
              <w:rPr>
                <w:sz w:val="18"/>
                <w:szCs w:val="18"/>
              </w:rPr>
            </w:pPr>
            <w:r>
              <w:rPr>
                <w:sz w:val="18"/>
                <w:szCs w:val="18"/>
              </w:rPr>
              <w:t>-</w:t>
            </w:r>
          </w:p>
        </w:tc>
        <w:tc>
          <w:tcPr>
            <w:tcW w:w="902" w:type="dxa"/>
            <w:vAlign w:val="bottom"/>
          </w:tcPr>
          <w:p w14:paraId="048BEE8D" w14:textId="731B6BFC" w:rsidR="00224102" w:rsidRPr="00195EDC" w:rsidRDefault="00224102" w:rsidP="00224102">
            <w:pPr>
              <w:jc w:val="right"/>
              <w:rPr>
                <w:sz w:val="18"/>
                <w:szCs w:val="18"/>
              </w:rPr>
            </w:pPr>
            <w:r>
              <w:rPr>
                <w:sz w:val="18"/>
                <w:szCs w:val="18"/>
              </w:rPr>
              <w:t>-</w:t>
            </w:r>
          </w:p>
        </w:tc>
      </w:tr>
      <w:tr w:rsidR="00224102" w:rsidRPr="00195EDC" w14:paraId="206DBEF9" w14:textId="77777777" w:rsidTr="00877CBD">
        <w:trPr>
          <w:trHeight w:val="255"/>
        </w:trPr>
        <w:tc>
          <w:tcPr>
            <w:tcW w:w="1900" w:type="dxa"/>
            <w:shd w:val="clear" w:color="auto" w:fill="FFFFFF"/>
            <w:vAlign w:val="bottom"/>
          </w:tcPr>
          <w:p w14:paraId="6D1916BC" w14:textId="77777777" w:rsidR="00224102" w:rsidRPr="00195EDC" w:rsidRDefault="00224102" w:rsidP="00224102">
            <w:pPr>
              <w:tabs>
                <w:tab w:val="left" w:pos="0"/>
              </w:tabs>
              <w:spacing w:line="223" w:lineRule="auto"/>
              <w:rPr>
                <w:rFonts w:eastAsia="Arial Unicode MS"/>
                <w:sz w:val="16"/>
                <w:szCs w:val="16"/>
              </w:rPr>
            </w:pPr>
            <w:r w:rsidRPr="00195EDC">
              <w:rPr>
                <w:noProof/>
                <w:color w:val="000000"/>
                <w:sz w:val="16"/>
                <w:szCs w:val="16"/>
              </w:rPr>
              <w:t xml:space="preserve">    Other</w:t>
            </w:r>
          </w:p>
        </w:tc>
        <w:tc>
          <w:tcPr>
            <w:tcW w:w="892" w:type="dxa"/>
            <w:vAlign w:val="bottom"/>
          </w:tcPr>
          <w:p w14:paraId="768A0FF9" w14:textId="79D8C87F" w:rsidR="00224102" w:rsidRPr="00195EDC" w:rsidRDefault="00224102" w:rsidP="00224102">
            <w:pPr>
              <w:jc w:val="right"/>
              <w:rPr>
                <w:sz w:val="18"/>
                <w:szCs w:val="18"/>
              </w:rPr>
            </w:pPr>
            <w:r>
              <w:rPr>
                <w:sz w:val="18"/>
                <w:szCs w:val="18"/>
              </w:rPr>
              <w:t>-</w:t>
            </w:r>
          </w:p>
        </w:tc>
        <w:tc>
          <w:tcPr>
            <w:tcW w:w="905" w:type="dxa"/>
            <w:vAlign w:val="bottom"/>
          </w:tcPr>
          <w:p w14:paraId="2993B008" w14:textId="235CE74A" w:rsidR="00224102" w:rsidRPr="00195EDC" w:rsidRDefault="00224102" w:rsidP="00224102">
            <w:pPr>
              <w:jc w:val="right"/>
              <w:rPr>
                <w:sz w:val="18"/>
                <w:szCs w:val="18"/>
              </w:rPr>
            </w:pPr>
            <w:r>
              <w:rPr>
                <w:sz w:val="18"/>
                <w:szCs w:val="18"/>
              </w:rPr>
              <w:t>-</w:t>
            </w:r>
          </w:p>
        </w:tc>
        <w:tc>
          <w:tcPr>
            <w:tcW w:w="895" w:type="dxa"/>
            <w:vAlign w:val="bottom"/>
          </w:tcPr>
          <w:p w14:paraId="21D4DE07" w14:textId="305C6365" w:rsidR="00224102" w:rsidRPr="00195EDC" w:rsidRDefault="00224102" w:rsidP="00224102">
            <w:pPr>
              <w:jc w:val="right"/>
              <w:rPr>
                <w:sz w:val="18"/>
                <w:szCs w:val="18"/>
              </w:rPr>
            </w:pPr>
            <w:r>
              <w:rPr>
                <w:sz w:val="18"/>
                <w:szCs w:val="18"/>
              </w:rPr>
              <w:t>-</w:t>
            </w:r>
          </w:p>
        </w:tc>
        <w:tc>
          <w:tcPr>
            <w:tcW w:w="969" w:type="dxa"/>
            <w:vAlign w:val="bottom"/>
          </w:tcPr>
          <w:p w14:paraId="7E567214" w14:textId="23497D21" w:rsidR="00224102" w:rsidRPr="00195EDC" w:rsidRDefault="00224102" w:rsidP="00224102">
            <w:pPr>
              <w:jc w:val="right"/>
              <w:rPr>
                <w:sz w:val="18"/>
                <w:szCs w:val="18"/>
              </w:rPr>
            </w:pPr>
            <w:r>
              <w:rPr>
                <w:sz w:val="18"/>
                <w:szCs w:val="18"/>
              </w:rPr>
              <w:t>-</w:t>
            </w:r>
          </w:p>
        </w:tc>
        <w:tc>
          <w:tcPr>
            <w:tcW w:w="884" w:type="dxa"/>
            <w:vAlign w:val="bottom"/>
          </w:tcPr>
          <w:p w14:paraId="55636AAA" w14:textId="4894564E" w:rsidR="00224102" w:rsidRPr="00195EDC" w:rsidRDefault="00224102" w:rsidP="00224102">
            <w:pPr>
              <w:jc w:val="right"/>
              <w:rPr>
                <w:sz w:val="18"/>
                <w:szCs w:val="18"/>
              </w:rPr>
            </w:pPr>
            <w:r>
              <w:rPr>
                <w:sz w:val="18"/>
                <w:szCs w:val="18"/>
              </w:rPr>
              <w:t>-</w:t>
            </w:r>
          </w:p>
        </w:tc>
        <w:tc>
          <w:tcPr>
            <w:tcW w:w="886" w:type="dxa"/>
            <w:vAlign w:val="bottom"/>
          </w:tcPr>
          <w:p w14:paraId="61FFF045" w14:textId="445D7644" w:rsidR="00224102" w:rsidRPr="00195EDC" w:rsidRDefault="00224102" w:rsidP="00224102">
            <w:pPr>
              <w:jc w:val="right"/>
              <w:rPr>
                <w:sz w:val="18"/>
                <w:szCs w:val="18"/>
              </w:rPr>
            </w:pPr>
            <w:r>
              <w:rPr>
                <w:sz w:val="18"/>
                <w:szCs w:val="18"/>
              </w:rPr>
              <w:t>-</w:t>
            </w:r>
          </w:p>
        </w:tc>
        <w:tc>
          <w:tcPr>
            <w:tcW w:w="800" w:type="dxa"/>
            <w:vAlign w:val="bottom"/>
          </w:tcPr>
          <w:p w14:paraId="32B17237" w14:textId="1536F146" w:rsidR="00224102" w:rsidRPr="00195EDC" w:rsidRDefault="00224102" w:rsidP="00224102">
            <w:pPr>
              <w:jc w:val="right"/>
              <w:rPr>
                <w:sz w:val="18"/>
                <w:szCs w:val="18"/>
              </w:rPr>
            </w:pPr>
            <w:r>
              <w:rPr>
                <w:sz w:val="18"/>
                <w:szCs w:val="18"/>
              </w:rPr>
              <w:t>-</w:t>
            </w:r>
          </w:p>
        </w:tc>
        <w:tc>
          <w:tcPr>
            <w:tcW w:w="980" w:type="dxa"/>
            <w:vAlign w:val="bottom"/>
          </w:tcPr>
          <w:p w14:paraId="5C777814" w14:textId="6E0DD972" w:rsidR="00224102" w:rsidRPr="00195EDC" w:rsidRDefault="00224102" w:rsidP="00224102">
            <w:pPr>
              <w:jc w:val="right"/>
              <w:rPr>
                <w:sz w:val="18"/>
                <w:szCs w:val="18"/>
              </w:rPr>
            </w:pPr>
            <w:r>
              <w:rPr>
                <w:sz w:val="18"/>
                <w:szCs w:val="18"/>
              </w:rPr>
              <w:t>-</w:t>
            </w:r>
          </w:p>
        </w:tc>
        <w:tc>
          <w:tcPr>
            <w:tcW w:w="902" w:type="dxa"/>
            <w:vAlign w:val="bottom"/>
          </w:tcPr>
          <w:p w14:paraId="6E4677C5" w14:textId="74530C01" w:rsidR="00224102" w:rsidRPr="00195EDC" w:rsidRDefault="00224102" w:rsidP="00224102">
            <w:pPr>
              <w:jc w:val="right"/>
              <w:rPr>
                <w:sz w:val="18"/>
                <w:szCs w:val="18"/>
              </w:rPr>
            </w:pPr>
            <w:r>
              <w:rPr>
                <w:sz w:val="18"/>
                <w:szCs w:val="18"/>
              </w:rPr>
              <w:t>-</w:t>
            </w:r>
          </w:p>
        </w:tc>
      </w:tr>
      <w:tr w:rsidR="00224102" w:rsidRPr="00604C75" w14:paraId="7201B836" w14:textId="77777777" w:rsidTr="00877CBD">
        <w:trPr>
          <w:trHeight w:val="255"/>
        </w:trPr>
        <w:tc>
          <w:tcPr>
            <w:tcW w:w="1900" w:type="dxa"/>
            <w:shd w:val="clear" w:color="auto" w:fill="FFFFFF"/>
            <w:vAlign w:val="bottom"/>
          </w:tcPr>
          <w:p w14:paraId="2D441A6B" w14:textId="77777777" w:rsidR="00224102" w:rsidRPr="00195EDC" w:rsidRDefault="00224102" w:rsidP="00224102">
            <w:pPr>
              <w:tabs>
                <w:tab w:val="left" w:pos="0"/>
              </w:tabs>
              <w:spacing w:line="223" w:lineRule="auto"/>
              <w:rPr>
                <w:rFonts w:eastAsia="Arial Unicode MS"/>
                <w:b/>
                <w:sz w:val="16"/>
                <w:szCs w:val="16"/>
              </w:rPr>
            </w:pPr>
            <w:r w:rsidRPr="00195EDC">
              <w:rPr>
                <w:b/>
                <w:sz w:val="16"/>
                <w:szCs w:val="16"/>
              </w:rPr>
              <w:t>Total</w:t>
            </w:r>
          </w:p>
        </w:tc>
        <w:tc>
          <w:tcPr>
            <w:tcW w:w="892" w:type="dxa"/>
            <w:shd w:val="clear" w:color="auto" w:fill="FFFFFF"/>
            <w:vAlign w:val="bottom"/>
          </w:tcPr>
          <w:p w14:paraId="28B64B0C" w14:textId="7CBA59B1" w:rsidR="00224102" w:rsidRPr="00195EDC" w:rsidRDefault="00224102" w:rsidP="00224102">
            <w:pPr>
              <w:jc w:val="right"/>
              <w:rPr>
                <w:b/>
                <w:bCs/>
                <w:sz w:val="18"/>
                <w:szCs w:val="18"/>
              </w:rPr>
            </w:pPr>
            <w:r>
              <w:rPr>
                <w:b/>
                <w:bCs/>
                <w:sz w:val="18"/>
                <w:szCs w:val="18"/>
              </w:rPr>
              <w:t>367,776</w:t>
            </w:r>
          </w:p>
        </w:tc>
        <w:tc>
          <w:tcPr>
            <w:tcW w:w="905" w:type="dxa"/>
            <w:shd w:val="clear" w:color="auto" w:fill="FFFFFF"/>
            <w:vAlign w:val="bottom"/>
          </w:tcPr>
          <w:p w14:paraId="7469CC78" w14:textId="3DC3E870" w:rsidR="00224102" w:rsidRPr="00195EDC" w:rsidRDefault="00224102" w:rsidP="00224102">
            <w:pPr>
              <w:jc w:val="right"/>
              <w:rPr>
                <w:b/>
                <w:bCs/>
                <w:sz w:val="18"/>
                <w:szCs w:val="18"/>
              </w:rPr>
            </w:pPr>
            <w:r>
              <w:rPr>
                <w:b/>
                <w:bCs/>
                <w:sz w:val="18"/>
                <w:szCs w:val="18"/>
              </w:rPr>
              <w:t>-</w:t>
            </w:r>
          </w:p>
        </w:tc>
        <w:tc>
          <w:tcPr>
            <w:tcW w:w="895" w:type="dxa"/>
            <w:shd w:val="clear" w:color="auto" w:fill="FFFFFF"/>
            <w:vAlign w:val="bottom"/>
          </w:tcPr>
          <w:p w14:paraId="19D611E1" w14:textId="139FB381" w:rsidR="00224102" w:rsidRPr="00195EDC" w:rsidRDefault="00224102" w:rsidP="00224102">
            <w:pPr>
              <w:jc w:val="right"/>
              <w:rPr>
                <w:b/>
                <w:bCs/>
                <w:sz w:val="18"/>
                <w:szCs w:val="18"/>
              </w:rPr>
            </w:pPr>
            <w:r>
              <w:rPr>
                <w:b/>
                <w:bCs/>
                <w:sz w:val="18"/>
                <w:szCs w:val="18"/>
              </w:rPr>
              <w:t>1,082,699</w:t>
            </w:r>
          </w:p>
        </w:tc>
        <w:tc>
          <w:tcPr>
            <w:tcW w:w="969" w:type="dxa"/>
            <w:shd w:val="clear" w:color="auto" w:fill="FFFFFF"/>
            <w:vAlign w:val="bottom"/>
          </w:tcPr>
          <w:p w14:paraId="4478A8FF" w14:textId="1340B0BD" w:rsidR="00224102" w:rsidRPr="00195EDC" w:rsidRDefault="00224102" w:rsidP="00224102">
            <w:pPr>
              <w:jc w:val="right"/>
              <w:rPr>
                <w:b/>
                <w:bCs/>
                <w:sz w:val="18"/>
                <w:szCs w:val="18"/>
              </w:rPr>
            </w:pPr>
            <w:r>
              <w:rPr>
                <w:b/>
                <w:bCs/>
                <w:sz w:val="18"/>
                <w:szCs w:val="18"/>
              </w:rPr>
              <w:t>4,426,289</w:t>
            </w:r>
          </w:p>
        </w:tc>
        <w:tc>
          <w:tcPr>
            <w:tcW w:w="884" w:type="dxa"/>
            <w:shd w:val="clear" w:color="auto" w:fill="FFFFFF"/>
            <w:vAlign w:val="bottom"/>
          </w:tcPr>
          <w:p w14:paraId="63F82AAE" w14:textId="3FC56C51" w:rsidR="00224102" w:rsidRPr="00195EDC" w:rsidRDefault="00224102" w:rsidP="00224102">
            <w:pPr>
              <w:jc w:val="right"/>
              <w:rPr>
                <w:b/>
                <w:bCs/>
                <w:sz w:val="18"/>
                <w:szCs w:val="18"/>
              </w:rPr>
            </w:pPr>
            <w:r>
              <w:rPr>
                <w:b/>
                <w:bCs/>
                <w:sz w:val="18"/>
                <w:szCs w:val="18"/>
              </w:rPr>
              <w:t>184,837</w:t>
            </w:r>
          </w:p>
        </w:tc>
        <w:tc>
          <w:tcPr>
            <w:tcW w:w="886" w:type="dxa"/>
            <w:shd w:val="clear" w:color="auto" w:fill="FFFFFF"/>
            <w:vAlign w:val="bottom"/>
          </w:tcPr>
          <w:p w14:paraId="428A5291" w14:textId="11036588" w:rsidR="00224102" w:rsidRPr="00195EDC" w:rsidRDefault="00224102" w:rsidP="00224102">
            <w:pPr>
              <w:jc w:val="right"/>
              <w:rPr>
                <w:b/>
                <w:bCs/>
                <w:sz w:val="18"/>
                <w:szCs w:val="18"/>
              </w:rPr>
            </w:pPr>
            <w:r>
              <w:rPr>
                <w:b/>
                <w:bCs/>
                <w:sz w:val="18"/>
                <w:szCs w:val="18"/>
              </w:rPr>
              <w:t>108,725</w:t>
            </w:r>
          </w:p>
        </w:tc>
        <w:tc>
          <w:tcPr>
            <w:tcW w:w="800" w:type="dxa"/>
            <w:shd w:val="clear" w:color="auto" w:fill="FFFFFF"/>
            <w:vAlign w:val="bottom"/>
          </w:tcPr>
          <w:p w14:paraId="4F8E5A18" w14:textId="1857B5EA" w:rsidR="00224102" w:rsidRPr="00195EDC" w:rsidRDefault="00224102" w:rsidP="00224102">
            <w:pPr>
              <w:jc w:val="right"/>
              <w:rPr>
                <w:b/>
                <w:bCs/>
                <w:sz w:val="18"/>
                <w:szCs w:val="18"/>
              </w:rPr>
            </w:pPr>
            <w:r>
              <w:rPr>
                <w:b/>
                <w:bCs/>
                <w:sz w:val="18"/>
                <w:szCs w:val="18"/>
              </w:rPr>
              <w:t>68,028</w:t>
            </w:r>
          </w:p>
        </w:tc>
        <w:tc>
          <w:tcPr>
            <w:tcW w:w="980" w:type="dxa"/>
            <w:shd w:val="clear" w:color="auto" w:fill="FFFFFF"/>
            <w:vAlign w:val="bottom"/>
          </w:tcPr>
          <w:p w14:paraId="23232742" w14:textId="7ADBFA0B" w:rsidR="00224102" w:rsidRPr="00195EDC" w:rsidRDefault="00224102" w:rsidP="00224102">
            <w:pPr>
              <w:jc w:val="right"/>
              <w:rPr>
                <w:b/>
                <w:bCs/>
                <w:sz w:val="18"/>
                <w:szCs w:val="18"/>
              </w:rPr>
            </w:pPr>
            <w:r>
              <w:rPr>
                <w:b/>
                <w:bCs/>
                <w:sz w:val="18"/>
                <w:szCs w:val="18"/>
              </w:rPr>
              <w:t>129</w:t>
            </w:r>
          </w:p>
        </w:tc>
        <w:tc>
          <w:tcPr>
            <w:tcW w:w="902" w:type="dxa"/>
            <w:shd w:val="clear" w:color="auto" w:fill="FFFFFF"/>
            <w:vAlign w:val="bottom"/>
          </w:tcPr>
          <w:p w14:paraId="16A5CEF8" w14:textId="7FE11372" w:rsidR="00224102" w:rsidRDefault="00224102" w:rsidP="00224102">
            <w:pPr>
              <w:jc w:val="right"/>
              <w:rPr>
                <w:b/>
                <w:bCs/>
                <w:sz w:val="18"/>
                <w:szCs w:val="18"/>
              </w:rPr>
            </w:pPr>
            <w:r>
              <w:rPr>
                <w:b/>
                <w:bCs/>
                <w:sz w:val="18"/>
                <w:szCs w:val="18"/>
              </w:rPr>
              <w:t>6,238,483</w:t>
            </w:r>
          </w:p>
        </w:tc>
      </w:tr>
    </w:tbl>
    <w:p w14:paraId="4704F1B1" w14:textId="77777777" w:rsidR="001B7723" w:rsidRPr="00604C75" w:rsidRDefault="001B7723" w:rsidP="001B7723">
      <w:pPr>
        <w:pStyle w:val="BodyTextIndent"/>
        <w:spacing w:after="0"/>
        <w:ind w:left="0"/>
        <w:rPr>
          <w:sz w:val="14"/>
          <w:szCs w:val="14"/>
        </w:rPr>
      </w:pPr>
    </w:p>
    <w:p w14:paraId="23B8F9BB" w14:textId="77777777" w:rsidR="001B7723" w:rsidRPr="00604C75" w:rsidRDefault="001B7723" w:rsidP="001B7723">
      <w:pPr>
        <w:pStyle w:val="BodyTextIndent"/>
        <w:spacing w:after="0"/>
        <w:ind w:left="1701" w:hanging="1276"/>
        <w:rPr>
          <w:sz w:val="14"/>
          <w:szCs w:val="14"/>
        </w:rPr>
      </w:pPr>
    </w:p>
    <w:p w14:paraId="0A513A07" w14:textId="2CFF88A7" w:rsidR="0044575F" w:rsidRPr="00604C75" w:rsidRDefault="00524F0F" w:rsidP="001B7723">
      <w:pPr>
        <w:pStyle w:val="BodyTextIndent"/>
        <w:spacing w:after="0"/>
        <w:ind w:left="0"/>
        <w:rPr>
          <w:sz w:val="20"/>
          <w:szCs w:val="20"/>
        </w:rPr>
      </w:pPr>
      <w:r>
        <w:rPr>
          <w:sz w:val="20"/>
          <w:szCs w:val="20"/>
        </w:rPr>
        <w:t>1</w:t>
      </w:r>
      <w:r w:rsidR="0044575F" w:rsidRPr="00604C75">
        <w:rPr>
          <w:sz w:val="20"/>
          <w:szCs w:val="20"/>
        </w:rPr>
        <w:t>(ii).</w:t>
      </w:r>
      <w:r w:rsidR="0044575F" w:rsidRPr="00604C75">
        <w:rPr>
          <w:sz w:val="20"/>
          <w:szCs w:val="20"/>
        </w:rPr>
        <w:tab/>
      </w:r>
      <w:r w:rsidR="001B7723" w:rsidRPr="00604C75">
        <w:rPr>
          <w:sz w:val="20"/>
          <w:szCs w:val="20"/>
        </w:rPr>
        <w:t xml:space="preserve"> </w:t>
      </w:r>
      <w:r w:rsidR="0044575F" w:rsidRPr="00604C75">
        <w:rPr>
          <w:sz w:val="20"/>
          <w:szCs w:val="20"/>
        </w:rPr>
        <w:t>31 December 201</w:t>
      </w:r>
      <w:r w:rsidR="001B7723" w:rsidRPr="00604C75">
        <w:rPr>
          <w:sz w:val="20"/>
          <w:szCs w:val="20"/>
        </w:rPr>
        <w:t>4</w:t>
      </w:r>
      <w:r w:rsidR="00AA1AA6">
        <w:rPr>
          <w:sz w:val="20"/>
          <w:szCs w:val="20"/>
        </w:rPr>
        <w:t>:</w:t>
      </w:r>
    </w:p>
    <w:p w14:paraId="692BCFC5" w14:textId="77777777" w:rsidR="0044575F" w:rsidRPr="00604C75" w:rsidRDefault="0044575F" w:rsidP="00C22AF8">
      <w:pPr>
        <w:pStyle w:val="BodyTextIndent"/>
        <w:spacing w:after="0"/>
        <w:ind w:left="1701"/>
        <w:rPr>
          <w:bCs/>
          <w:sz w:val="14"/>
          <w:szCs w:val="14"/>
        </w:rPr>
      </w:pPr>
    </w:p>
    <w:tbl>
      <w:tblPr>
        <w:tblW w:w="1006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896"/>
        <w:gridCol w:w="893"/>
        <w:gridCol w:w="955"/>
        <w:gridCol w:w="897"/>
        <w:gridCol w:w="970"/>
        <w:gridCol w:w="885"/>
        <w:gridCol w:w="823"/>
        <w:gridCol w:w="731"/>
        <w:gridCol w:w="1110"/>
        <w:gridCol w:w="905"/>
      </w:tblGrid>
      <w:tr w:rsidR="0044575F" w:rsidRPr="00604C75" w14:paraId="5F7EAB2D" w14:textId="77777777" w:rsidTr="00877CBD">
        <w:trPr>
          <w:trHeight w:val="247"/>
        </w:trPr>
        <w:tc>
          <w:tcPr>
            <w:tcW w:w="1896" w:type="dxa"/>
            <w:shd w:val="clear" w:color="auto" w:fill="FFFFFF"/>
            <w:vAlign w:val="bottom"/>
          </w:tcPr>
          <w:p w14:paraId="50CE9F5E" w14:textId="77777777" w:rsidR="0044575F" w:rsidRPr="00604C75" w:rsidRDefault="0044575F" w:rsidP="00C22AF8">
            <w:pPr>
              <w:rPr>
                <w:rFonts w:eastAsia="Arial Unicode MS"/>
                <w:b/>
                <w:bCs/>
                <w:sz w:val="16"/>
                <w:szCs w:val="16"/>
              </w:rPr>
            </w:pPr>
            <w:r w:rsidRPr="00604C75">
              <w:rPr>
                <w:b/>
                <w:bCs/>
                <w:sz w:val="16"/>
                <w:szCs w:val="16"/>
              </w:rPr>
              <w:t> </w:t>
            </w:r>
          </w:p>
        </w:tc>
        <w:tc>
          <w:tcPr>
            <w:tcW w:w="893" w:type="dxa"/>
            <w:vAlign w:val="bottom"/>
          </w:tcPr>
          <w:p w14:paraId="21C4BB15" w14:textId="77777777" w:rsidR="0044575F" w:rsidRPr="00604C75" w:rsidRDefault="0044575F" w:rsidP="00164B22">
            <w:pPr>
              <w:ind w:right="29"/>
              <w:jc w:val="right"/>
              <w:rPr>
                <w:b/>
                <w:bCs/>
                <w:noProof/>
                <w:color w:val="000000"/>
                <w:sz w:val="16"/>
                <w:szCs w:val="16"/>
              </w:rPr>
            </w:pPr>
            <w:r w:rsidRPr="00604C75">
              <w:rPr>
                <w:b/>
                <w:bCs/>
                <w:noProof/>
                <w:color w:val="000000"/>
                <w:sz w:val="16"/>
                <w:szCs w:val="16"/>
              </w:rPr>
              <w:t>Demand</w:t>
            </w:r>
          </w:p>
        </w:tc>
        <w:tc>
          <w:tcPr>
            <w:tcW w:w="955" w:type="dxa"/>
            <w:vAlign w:val="bottom"/>
          </w:tcPr>
          <w:p w14:paraId="1349D79E" w14:textId="77777777" w:rsidR="0044575F" w:rsidRPr="00604C75" w:rsidRDefault="0044575F" w:rsidP="00C22AF8">
            <w:pPr>
              <w:jc w:val="right"/>
              <w:rPr>
                <w:b/>
                <w:bCs/>
                <w:noProof/>
                <w:color w:val="000000"/>
                <w:sz w:val="16"/>
                <w:szCs w:val="16"/>
              </w:rPr>
            </w:pPr>
            <w:r w:rsidRPr="00604C75">
              <w:rPr>
                <w:b/>
                <w:bCs/>
                <w:noProof/>
                <w:color w:val="000000"/>
                <w:sz w:val="16"/>
                <w:szCs w:val="16"/>
              </w:rPr>
              <w:t>With 7 days notifications</w:t>
            </w:r>
          </w:p>
        </w:tc>
        <w:tc>
          <w:tcPr>
            <w:tcW w:w="897" w:type="dxa"/>
            <w:vAlign w:val="bottom"/>
          </w:tcPr>
          <w:p w14:paraId="12E18AB7" w14:textId="77777777" w:rsidR="0044575F" w:rsidRPr="00604C75" w:rsidRDefault="0044575F" w:rsidP="00C22AF8">
            <w:pPr>
              <w:jc w:val="right"/>
              <w:rPr>
                <w:b/>
                <w:bCs/>
                <w:noProof/>
                <w:color w:val="000000"/>
                <w:sz w:val="16"/>
                <w:szCs w:val="16"/>
              </w:rPr>
            </w:pPr>
            <w:r w:rsidRPr="00604C75">
              <w:rPr>
                <w:b/>
                <w:bCs/>
                <w:noProof/>
                <w:color w:val="000000"/>
                <w:sz w:val="16"/>
                <w:szCs w:val="16"/>
              </w:rPr>
              <w:t>Up to 1 month</w:t>
            </w:r>
          </w:p>
        </w:tc>
        <w:tc>
          <w:tcPr>
            <w:tcW w:w="970" w:type="dxa"/>
            <w:vAlign w:val="bottom"/>
          </w:tcPr>
          <w:p w14:paraId="71933870" w14:textId="77777777" w:rsidR="0044575F" w:rsidRPr="00604C75" w:rsidRDefault="0044575F" w:rsidP="00C22AF8">
            <w:pPr>
              <w:jc w:val="right"/>
              <w:rPr>
                <w:b/>
                <w:bCs/>
                <w:noProof/>
                <w:color w:val="000000"/>
                <w:sz w:val="16"/>
                <w:szCs w:val="16"/>
              </w:rPr>
            </w:pPr>
            <w:r w:rsidRPr="00604C75">
              <w:rPr>
                <w:b/>
                <w:bCs/>
                <w:noProof/>
                <w:color w:val="000000"/>
                <w:sz w:val="16"/>
                <w:szCs w:val="16"/>
              </w:rPr>
              <w:t>1-3 months</w:t>
            </w:r>
          </w:p>
        </w:tc>
        <w:tc>
          <w:tcPr>
            <w:tcW w:w="885" w:type="dxa"/>
            <w:vAlign w:val="bottom"/>
          </w:tcPr>
          <w:p w14:paraId="37E9161A" w14:textId="77777777" w:rsidR="0044575F" w:rsidRPr="00604C75" w:rsidRDefault="0044575F" w:rsidP="00C22AF8">
            <w:pPr>
              <w:jc w:val="right"/>
              <w:rPr>
                <w:b/>
                <w:bCs/>
                <w:noProof/>
                <w:color w:val="000000"/>
                <w:sz w:val="16"/>
                <w:szCs w:val="16"/>
              </w:rPr>
            </w:pPr>
            <w:r w:rsidRPr="00604C75">
              <w:rPr>
                <w:b/>
                <w:bCs/>
                <w:noProof/>
                <w:color w:val="000000"/>
                <w:sz w:val="16"/>
                <w:szCs w:val="16"/>
              </w:rPr>
              <w:t>3-6 months</w:t>
            </w:r>
          </w:p>
        </w:tc>
        <w:tc>
          <w:tcPr>
            <w:tcW w:w="823" w:type="dxa"/>
            <w:vAlign w:val="bottom"/>
          </w:tcPr>
          <w:p w14:paraId="0401AF34" w14:textId="77777777" w:rsidR="0044575F" w:rsidRPr="00604C75" w:rsidRDefault="0044575F" w:rsidP="00C22AF8">
            <w:pPr>
              <w:jc w:val="right"/>
              <w:rPr>
                <w:b/>
                <w:bCs/>
                <w:noProof/>
                <w:color w:val="000000"/>
                <w:sz w:val="16"/>
                <w:szCs w:val="16"/>
              </w:rPr>
            </w:pPr>
            <w:r w:rsidRPr="00604C75">
              <w:rPr>
                <w:b/>
                <w:bCs/>
                <w:noProof/>
                <w:color w:val="000000"/>
                <w:sz w:val="16"/>
                <w:szCs w:val="16"/>
              </w:rPr>
              <w:t>6 months -1 year</w:t>
            </w:r>
          </w:p>
        </w:tc>
        <w:tc>
          <w:tcPr>
            <w:tcW w:w="731" w:type="dxa"/>
            <w:vAlign w:val="bottom"/>
          </w:tcPr>
          <w:p w14:paraId="4FAB0381" w14:textId="77777777" w:rsidR="0044575F" w:rsidRPr="00604C75" w:rsidRDefault="0044575F" w:rsidP="00C22AF8">
            <w:pPr>
              <w:jc w:val="right"/>
              <w:rPr>
                <w:b/>
                <w:bCs/>
                <w:noProof/>
                <w:color w:val="000000"/>
                <w:sz w:val="16"/>
                <w:szCs w:val="16"/>
              </w:rPr>
            </w:pPr>
            <w:r w:rsidRPr="00604C75">
              <w:rPr>
                <w:b/>
                <w:bCs/>
                <w:noProof/>
                <w:color w:val="000000"/>
                <w:sz w:val="16"/>
                <w:szCs w:val="16"/>
              </w:rPr>
              <w:t>1 year and over</w:t>
            </w:r>
          </w:p>
        </w:tc>
        <w:tc>
          <w:tcPr>
            <w:tcW w:w="1110" w:type="dxa"/>
            <w:vAlign w:val="bottom"/>
          </w:tcPr>
          <w:p w14:paraId="6EB24CBE" w14:textId="5CC08333" w:rsidR="0044575F" w:rsidRPr="00604C75" w:rsidRDefault="0044575F" w:rsidP="00C22AF8">
            <w:pPr>
              <w:ind w:left="-231" w:firstLine="23"/>
              <w:jc w:val="right"/>
              <w:rPr>
                <w:b/>
                <w:bCs/>
                <w:noProof/>
                <w:color w:val="000000"/>
                <w:sz w:val="16"/>
                <w:szCs w:val="16"/>
              </w:rPr>
            </w:pPr>
            <w:r w:rsidRPr="00604C75">
              <w:rPr>
                <w:b/>
                <w:bCs/>
                <w:noProof/>
                <w:color w:val="000000"/>
                <w:sz w:val="16"/>
                <w:szCs w:val="16"/>
              </w:rPr>
              <w:t>Accum</w:t>
            </w:r>
            <w:r w:rsidR="00877CBD">
              <w:rPr>
                <w:b/>
                <w:bCs/>
                <w:noProof/>
                <w:color w:val="000000"/>
                <w:sz w:val="16"/>
                <w:szCs w:val="16"/>
              </w:rPr>
              <w:t>mulated</w:t>
            </w:r>
          </w:p>
          <w:p w14:paraId="49370FE8" w14:textId="28A51FF0" w:rsidR="0044575F" w:rsidRPr="00604C75" w:rsidRDefault="0044575F" w:rsidP="00C22AF8">
            <w:pPr>
              <w:ind w:left="-231" w:firstLine="23"/>
              <w:jc w:val="right"/>
              <w:rPr>
                <w:b/>
                <w:bCs/>
                <w:noProof/>
                <w:color w:val="000000"/>
                <w:sz w:val="16"/>
                <w:szCs w:val="16"/>
              </w:rPr>
            </w:pPr>
            <w:r w:rsidRPr="00604C75">
              <w:rPr>
                <w:b/>
                <w:bCs/>
                <w:noProof/>
                <w:color w:val="000000"/>
                <w:sz w:val="16"/>
                <w:szCs w:val="16"/>
              </w:rPr>
              <w:t>Deposit</w:t>
            </w:r>
            <w:r w:rsidR="005856B5">
              <w:rPr>
                <w:b/>
                <w:bCs/>
                <w:noProof/>
                <w:color w:val="000000"/>
                <w:sz w:val="16"/>
                <w:szCs w:val="16"/>
              </w:rPr>
              <w:t>s</w:t>
            </w:r>
          </w:p>
        </w:tc>
        <w:tc>
          <w:tcPr>
            <w:tcW w:w="905" w:type="dxa"/>
            <w:vAlign w:val="bottom"/>
          </w:tcPr>
          <w:p w14:paraId="606A0CEC" w14:textId="77777777" w:rsidR="0044575F" w:rsidRPr="00604C75" w:rsidRDefault="0044575F" w:rsidP="00C22AF8">
            <w:pPr>
              <w:jc w:val="right"/>
              <w:rPr>
                <w:b/>
                <w:bCs/>
                <w:noProof/>
                <w:color w:val="000000"/>
                <w:sz w:val="16"/>
                <w:szCs w:val="16"/>
              </w:rPr>
            </w:pPr>
            <w:r w:rsidRPr="00604C75">
              <w:rPr>
                <w:b/>
                <w:bCs/>
                <w:noProof/>
                <w:color w:val="000000"/>
                <w:sz w:val="16"/>
                <w:szCs w:val="16"/>
              </w:rPr>
              <w:t>Total</w:t>
            </w:r>
          </w:p>
        </w:tc>
      </w:tr>
      <w:tr w:rsidR="00224102" w:rsidRPr="00604C75" w14:paraId="0D0933D5" w14:textId="77777777" w:rsidTr="00877CBD">
        <w:trPr>
          <w:trHeight w:val="278"/>
        </w:trPr>
        <w:tc>
          <w:tcPr>
            <w:tcW w:w="1896" w:type="dxa"/>
            <w:shd w:val="clear" w:color="auto" w:fill="FFFFFF"/>
            <w:vAlign w:val="bottom"/>
          </w:tcPr>
          <w:p w14:paraId="1979B757" w14:textId="77777777" w:rsidR="00224102" w:rsidRPr="00604C75" w:rsidRDefault="00224102" w:rsidP="00224102">
            <w:pPr>
              <w:rPr>
                <w:rFonts w:eastAsia="Arial Unicode MS"/>
                <w:b/>
                <w:noProof/>
                <w:color w:val="000000"/>
                <w:sz w:val="16"/>
                <w:szCs w:val="16"/>
              </w:rPr>
            </w:pPr>
            <w:r w:rsidRPr="00604C75">
              <w:rPr>
                <w:b/>
                <w:noProof/>
                <w:sz w:val="16"/>
                <w:szCs w:val="16"/>
              </w:rPr>
              <w:t>Saving Deposits</w:t>
            </w:r>
          </w:p>
        </w:tc>
        <w:tc>
          <w:tcPr>
            <w:tcW w:w="893" w:type="dxa"/>
            <w:vAlign w:val="bottom"/>
          </w:tcPr>
          <w:p w14:paraId="6D7B3DD9" w14:textId="129E1AD0" w:rsidR="00224102" w:rsidRPr="00604C75" w:rsidRDefault="00224102" w:rsidP="00224102">
            <w:pPr>
              <w:ind w:right="50"/>
              <w:jc w:val="right"/>
              <w:rPr>
                <w:b/>
                <w:sz w:val="18"/>
                <w:szCs w:val="18"/>
              </w:rPr>
            </w:pPr>
            <w:r w:rsidRPr="00692926">
              <w:rPr>
                <w:b/>
                <w:bCs/>
                <w:sz w:val="18"/>
                <w:szCs w:val="18"/>
              </w:rPr>
              <w:t>55,057</w:t>
            </w:r>
          </w:p>
        </w:tc>
        <w:tc>
          <w:tcPr>
            <w:tcW w:w="955" w:type="dxa"/>
            <w:vAlign w:val="bottom"/>
          </w:tcPr>
          <w:p w14:paraId="2C00A558" w14:textId="3D581CAE" w:rsidR="00224102" w:rsidRPr="00604C75" w:rsidRDefault="00224102" w:rsidP="00224102">
            <w:pPr>
              <w:ind w:right="50"/>
              <w:jc w:val="right"/>
              <w:rPr>
                <w:b/>
                <w:sz w:val="18"/>
                <w:szCs w:val="18"/>
              </w:rPr>
            </w:pPr>
            <w:r w:rsidRPr="00692926">
              <w:rPr>
                <w:b/>
                <w:bCs/>
                <w:sz w:val="18"/>
                <w:szCs w:val="18"/>
              </w:rPr>
              <w:t>-</w:t>
            </w:r>
          </w:p>
        </w:tc>
        <w:tc>
          <w:tcPr>
            <w:tcW w:w="897" w:type="dxa"/>
            <w:vAlign w:val="bottom"/>
          </w:tcPr>
          <w:p w14:paraId="2FD3F005" w14:textId="5A911583" w:rsidR="00224102" w:rsidRPr="00604C75" w:rsidRDefault="00224102" w:rsidP="00224102">
            <w:pPr>
              <w:ind w:right="50"/>
              <w:jc w:val="right"/>
              <w:rPr>
                <w:b/>
                <w:sz w:val="18"/>
                <w:szCs w:val="18"/>
              </w:rPr>
            </w:pPr>
            <w:r w:rsidRPr="00692926">
              <w:rPr>
                <w:b/>
                <w:bCs/>
                <w:sz w:val="18"/>
                <w:szCs w:val="18"/>
              </w:rPr>
              <w:t>45,690</w:t>
            </w:r>
          </w:p>
        </w:tc>
        <w:tc>
          <w:tcPr>
            <w:tcW w:w="970" w:type="dxa"/>
            <w:vAlign w:val="bottom"/>
          </w:tcPr>
          <w:p w14:paraId="70ABBB7E" w14:textId="2FFD46F0" w:rsidR="00224102" w:rsidRPr="00604C75" w:rsidRDefault="00224102" w:rsidP="00224102">
            <w:pPr>
              <w:ind w:right="50"/>
              <w:jc w:val="right"/>
              <w:rPr>
                <w:b/>
                <w:sz w:val="18"/>
                <w:szCs w:val="18"/>
              </w:rPr>
            </w:pPr>
            <w:r w:rsidRPr="00692926">
              <w:rPr>
                <w:b/>
                <w:bCs/>
                <w:sz w:val="18"/>
                <w:szCs w:val="18"/>
              </w:rPr>
              <w:t>1,820,191</w:t>
            </w:r>
          </w:p>
        </w:tc>
        <w:tc>
          <w:tcPr>
            <w:tcW w:w="885" w:type="dxa"/>
            <w:vAlign w:val="bottom"/>
          </w:tcPr>
          <w:p w14:paraId="0744BC26" w14:textId="1EA7893C" w:rsidR="00224102" w:rsidRPr="00604C75" w:rsidRDefault="00224102" w:rsidP="00224102">
            <w:pPr>
              <w:ind w:right="50"/>
              <w:jc w:val="right"/>
              <w:rPr>
                <w:b/>
                <w:sz w:val="18"/>
                <w:szCs w:val="18"/>
              </w:rPr>
            </w:pPr>
            <w:r w:rsidRPr="00692926">
              <w:rPr>
                <w:b/>
                <w:bCs/>
                <w:sz w:val="18"/>
                <w:szCs w:val="18"/>
              </w:rPr>
              <w:t>123,892</w:t>
            </w:r>
          </w:p>
        </w:tc>
        <w:tc>
          <w:tcPr>
            <w:tcW w:w="823" w:type="dxa"/>
            <w:vAlign w:val="bottom"/>
          </w:tcPr>
          <w:p w14:paraId="72F2BC84" w14:textId="26A8822B" w:rsidR="00224102" w:rsidRPr="00604C75" w:rsidRDefault="00224102" w:rsidP="00224102">
            <w:pPr>
              <w:ind w:right="50"/>
              <w:jc w:val="right"/>
              <w:rPr>
                <w:b/>
                <w:sz w:val="18"/>
                <w:szCs w:val="18"/>
              </w:rPr>
            </w:pPr>
            <w:r w:rsidRPr="00692926">
              <w:rPr>
                <w:b/>
                <w:bCs/>
                <w:sz w:val="18"/>
                <w:szCs w:val="18"/>
              </w:rPr>
              <w:t>984</w:t>
            </w:r>
          </w:p>
        </w:tc>
        <w:tc>
          <w:tcPr>
            <w:tcW w:w="731" w:type="dxa"/>
            <w:vAlign w:val="bottom"/>
          </w:tcPr>
          <w:p w14:paraId="6537156D" w14:textId="0AA83E4A" w:rsidR="00224102" w:rsidRPr="00604C75" w:rsidRDefault="00224102" w:rsidP="00224102">
            <w:pPr>
              <w:ind w:right="50"/>
              <w:jc w:val="right"/>
              <w:rPr>
                <w:b/>
                <w:sz w:val="18"/>
                <w:szCs w:val="18"/>
              </w:rPr>
            </w:pPr>
            <w:r w:rsidRPr="00692926">
              <w:rPr>
                <w:b/>
                <w:bCs/>
                <w:sz w:val="18"/>
                <w:szCs w:val="18"/>
              </w:rPr>
              <w:t>15,425</w:t>
            </w:r>
          </w:p>
        </w:tc>
        <w:tc>
          <w:tcPr>
            <w:tcW w:w="1110" w:type="dxa"/>
            <w:vAlign w:val="bottom"/>
          </w:tcPr>
          <w:p w14:paraId="0D3DF202" w14:textId="517FA0BF" w:rsidR="00224102" w:rsidRPr="00604C75" w:rsidRDefault="00224102" w:rsidP="00224102">
            <w:pPr>
              <w:ind w:right="50"/>
              <w:jc w:val="right"/>
              <w:rPr>
                <w:b/>
                <w:sz w:val="18"/>
                <w:szCs w:val="18"/>
              </w:rPr>
            </w:pPr>
            <w:r w:rsidRPr="00692926">
              <w:rPr>
                <w:b/>
                <w:bCs/>
                <w:sz w:val="18"/>
                <w:szCs w:val="18"/>
              </w:rPr>
              <w:t>-</w:t>
            </w:r>
          </w:p>
        </w:tc>
        <w:tc>
          <w:tcPr>
            <w:tcW w:w="905" w:type="dxa"/>
            <w:vAlign w:val="bottom"/>
          </w:tcPr>
          <w:p w14:paraId="1C79F06D" w14:textId="39BB7D5C" w:rsidR="00224102" w:rsidRPr="00604C75" w:rsidRDefault="00224102" w:rsidP="00224102">
            <w:pPr>
              <w:ind w:right="50"/>
              <w:jc w:val="right"/>
              <w:rPr>
                <w:b/>
                <w:sz w:val="18"/>
                <w:szCs w:val="18"/>
              </w:rPr>
            </w:pPr>
            <w:r w:rsidRPr="00692926">
              <w:rPr>
                <w:b/>
                <w:bCs/>
                <w:sz w:val="18"/>
                <w:szCs w:val="18"/>
              </w:rPr>
              <w:t>2,061,239</w:t>
            </w:r>
          </w:p>
        </w:tc>
      </w:tr>
      <w:tr w:rsidR="00224102" w:rsidRPr="00604C75" w14:paraId="5A1B8FE3" w14:textId="77777777" w:rsidTr="00877CBD">
        <w:trPr>
          <w:trHeight w:val="247"/>
        </w:trPr>
        <w:tc>
          <w:tcPr>
            <w:tcW w:w="1896" w:type="dxa"/>
            <w:shd w:val="clear" w:color="auto" w:fill="FFFFFF"/>
            <w:vAlign w:val="bottom"/>
          </w:tcPr>
          <w:p w14:paraId="351628A1" w14:textId="77777777" w:rsidR="00224102" w:rsidRPr="00604C75" w:rsidRDefault="00224102" w:rsidP="00224102">
            <w:pPr>
              <w:rPr>
                <w:rFonts w:eastAsia="Arial Unicode MS"/>
                <w:b/>
                <w:noProof/>
                <w:color w:val="000000"/>
                <w:sz w:val="16"/>
                <w:szCs w:val="16"/>
              </w:rPr>
            </w:pPr>
            <w:r w:rsidRPr="00604C75">
              <w:rPr>
                <w:b/>
                <w:noProof/>
                <w:sz w:val="16"/>
                <w:szCs w:val="16"/>
              </w:rPr>
              <w:t>Foreign Currency Deposits</w:t>
            </w:r>
          </w:p>
        </w:tc>
        <w:tc>
          <w:tcPr>
            <w:tcW w:w="893" w:type="dxa"/>
            <w:vAlign w:val="bottom"/>
          </w:tcPr>
          <w:p w14:paraId="2E216F72" w14:textId="6AE17318" w:rsidR="00224102" w:rsidRPr="00604C75" w:rsidRDefault="00224102" w:rsidP="00224102">
            <w:pPr>
              <w:ind w:right="50"/>
              <w:jc w:val="right"/>
              <w:rPr>
                <w:b/>
                <w:sz w:val="18"/>
                <w:szCs w:val="18"/>
              </w:rPr>
            </w:pPr>
            <w:r w:rsidRPr="00692926">
              <w:rPr>
                <w:b/>
                <w:bCs/>
                <w:sz w:val="18"/>
                <w:szCs w:val="18"/>
              </w:rPr>
              <w:t>224,980</w:t>
            </w:r>
          </w:p>
        </w:tc>
        <w:tc>
          <w:tcPr>
            <w:tcW w:w="955" w:type="dxa"/>
            <w:vAlign w:val="bottom"/>
          </w:tcPr>
          <w:p w14:paraId="53BD42C7" w14:textId="1027B8B1" w:rsidR="00224102" w:rsidRPr="00604C75" w:rsidRDefault="00224102" w:rsidP="00224102">
            <w:pPr>
              <w:ind w:right="50"/>
              <w:jc w:val="right"/>
              <w:rPr>
                <w:b/>
                <w:sz w:val="18"/>
                <w:szCs w:val="18"/>
              </w:rPr>
            </w:pPr>
            <w:r w:rsidRPr="00692926">
              <w:rPr>
                <w:b/>
                <w:bCs/>
                <w:sz w:val="18"/>
                <w:szCs w:val="18"/>
              </w:rPr>
              <w:t>-</w:t>
            </w:r>
          </w:p>
        </w:tc>
        <w:tc>
          <w:tcPr>
            <w:tcW w:w="897" w:type="dxa"/>
            <w:vAlign w:val="bottom"/>
          </w:tcPr>
          <w:p w14:paraId="1EB7A862" w14:textId="16C7DB5F" w:rsidR="00224102" w:rsidRPr="00604C75" w:rsidRDefault="00224102" w:rsidP="00224102">
            <w:pPr>
              <w:ind w:right="50"/>
              <w:jc w:val="right"/>
              <w:rPr>
                <w:b/>
                <w:sz w:val="18"/>
                <w:szCs w:val="18"/>
              </w:rPr>
            </w:pPr>
            <w:r w:rsidRPr="00692926">
              <w:rPr>
                <w:b/>
                <w:bCs/>
                <w:sz w:val="18"/>
                <w:szCs w:val="18"/>
              </w:rPr>
              <w:t>56,168</w:t>
            </w:r>
          </w:p>
        </w:tc>
        <w:tc>
          <w:tcPr>
            <w:tcW w:w="970" w:type="dxa"/>
            <w:vAlign w:val="bottom"/>
          </w:tcPr>
          <w:p w14:paraId="06C37426" w14:textId="48575E59" w:rsidR="00224102" w:rsidRPr="00604C75" w:rsidRDefault="00224102" w:rsidP="00224102">
            <w:pPr>
              <w:ind w:right="50"/>
              <w:jc w:val="right"/>
              <w:rPr>
                <w:b/>
                <w:sz w:val="18"/>
                <w:szCs w:val="18"/>
              </w:rPr>
            </w:pPr>
            <w:r w:rsidRPr="00692926">
              <w:rPr>
                <w:b/>
                <w:bCs/>
                <w:sz w:val="18"/>
                <w:szCs w:val="18"/>
              </w:rPr>
              <w:t>1,186,271</w:t>
            </w:r>
          </w:p>
        </w:tc>
        <w:tc>
          <w:tcPr>
            <w:tcW w:w="885" w:type="dxa"/>
            <w:vAlign w:val="bottom"/>
          </w:tcPr>
          <w:p w14:paraId="134B804B" w14:textId="4773339C" w:rsidR="00224102" w:rsidRPr="00604C75" w:rsidRDefault="00224102" w:rsidP="00224102">
            <w:pPr>
              <w:ind w:right="50"/>
              <w:jc w:val="right"/>
              <w:rPr>
                <w:b/>
                <w:sz w:val="18"/>
                <w:szCs w:val="18"/>
              </w:rPr>
            </w:pPr>
            <w:r w:rsidRPr="00692926">
              <w:rPr>
                <w:b/>
                <w:bCs/>
                <w:sz w:val="18"/>
                <w:szCs w:val="18"/>
              </w:rPr>
              <w:t>9,906</w:t>
            </w:r>
          </w:p>
        </w:tc>
        <w:tc>
          <w:tcPr>
            <w:tcW w:w="823" w:type="dxa"/>
            <w:vAlign w:val="bottom"/>
          </w:tcPr>
          <w:p w14:paraId="52857059" w14:textId="0CF0D9E4" w:rsidR="00224102" w:rsidRPr="00604C75" w:rsidRDefault="00224102" w:rsidP="00224102">
            <w:pPr>
              <w:ind w:right="50"/>
              <w:jc w:val="right"/>
              <w:rPr>
                <w:b/>
                <w:sz w:val="18"/>
                <w:szCs w:val="18"/>
              </w:rPr>
            </w:pPr>
            <w:r w:rsidRPr="00692926">
              <w:rPr>
                <w:b/>
                <w:bCs/>
                <w:sz w:val="18"/>
                <w:szCs w:val="18"/>
              </w:rPr>
              <w:t>17,594</w:t>
            </w:r>
          </w:p>
        </w:tc>
        <w:tc>
          <w:tcPr>
            <w:tcW w:w="731" w:type="dxa"/>
            <w:vAlign w:val="bottom"/>
          </w:tcPr>
          <w:p w14:paraId="6433DB86" w14:textId="52B58E3D" w:rsidR="00224102" w:rsidRPr="00604C75" w:rsidRDefault="00224102" w:rsidP="00224102">
            <w:pPr>
              <w:ind w:right="50"/>
              <w:jc w:val="right"/>
              <w:rPr>
                <w:b/>
                <w:sz w:val="18"/>
                <w:szCs w:val="18"/>
              </w:rPr>
            </w:pPr>
            <w:r w:rsidRPr="00692926">
              <w:rPr>
                <w:b/>
                <w:bCs/>
                <w:sz w:val="18"/>
                <w:szCs w:val="18"/>
              </w:rPr>
              <w:t>14,953</w:t>
            </w:r>
          </w:p>
        </w:tc>
        <w:tc>
          <w:tcPr>
            <w:tcW w:w="1110" w:type="dxa"/>
            <w:vAlign w:val="bottom"/>
          </w:tcPr>
          <w:p w14:paraId="347991AD" w14:textId="20B38619" w:rsidR="00224102" w:rsidRPr="00604C75" w:rsidRDefault="00224102" w:rsidP="00224102">
            <w:pPr>
              <w:ind w:right="50"/>
              <w:jc w:val="right"/>
              <w:rPr>
                <w:b/>
                <w:sz w:val="18"/>
                <w:szCs w:val="18"/>
              </w:rPr>
            </w:pPr>
            <w:r w:rsidRPr="00692926">
              <w:rPr>
                <w:b/>
                <w:bCs/>
                <w:sz w:val="18"/>
                <w:szCs w:val="18"/>
              </w:rPr>
              <w:t>-</w:t>
            </w:r>
          </w:p>
        </w:tc>
        <w:tc>
          <w:tcPr>
            <w:tcW w:w="905" w:type="dxa"/>
            <w:vAlign w:val="bottom"/>
          </w:tcPr>
          <w:p w14:paraId="36D66633" w14:textId="158A55DA" w:rsidR="00224102" w:rsidRPr="00604C75" w:rsidRDefault="00224102" w:rsidP="00224102">
            <w:pPr>
              <w:ind w:right="50"/>
              <w:jc w:val="right"/>
              <w:rPr>
                <w:b/>
                <w:sz w:val="18"/>
                <w:szCs w:val="18"/>
              </w:rPr>
            </w:pPr>
            <w:r w:rsidRPr="00692926">
              <w:rPr>
                <w:b/>
                <w:bCs/>
                <w:sz w:val="18"/>
                <w:szCs w:val="18"/>
              </w:rPr>
              <w:t>1,509,872</w:t>
            </w:r>
          </w:p>
        </w:tc>
      </w:tr>
      <w:tr w:rsidR="00224102" w:rsidRPr="00604C75" w14:paraId="7227C4B7" w14:textId="77777777" w:rsidTr="00877CBD">
        <w:trPr>
          <w:trHeight w:val="247"/>
        </w:trPr>
        <w:tc>
          <w:tcPr>
            <w:tcW w:w="1896" w:type="dxa"/>
            <w:shd w:val="clear" w:color="auto" w:fill="FFFFFF"/>
            <w:vAlign w:val="bottom"/>
          </w:tcPr>
          <w:p w14:paraId="6E6BDDBD" w14:textId="77777777" w:rsidR="00224102" w:rsidRPr="00604C75" w:rsidRDefault="00224102" w:rsidP="00224102">
            <w:pPr>
              <w:rPr>
                <w:rFonts w:eastAsia="Arial Unicode MS"/>
                <w:noProof/>
                <w:color w:val="000000"/>
                <w:sz w:val="16"/>
                <w:szCs w:val="16"/>
              </w:rPr>
            </w:pPr>
            <w:r w:rsidRPr="00604C75">
              <w:rPr>
                <w:noProof/>
                <w:sz w:val="16"/>
                <w:szCs w:val="16"/>
              </w:rPr>
              <w:t xml:space="preserve">    Residents in Turkey</w:t>
            </w:r>
          </w:p>
        </w:tc>
        <w:tc>
          <w:tcPr>
            <w:tcW w:w="893" w:type="dxa"/>
            <w:vAlign w:val="bottom"/>
          </w:tcPr>
          <w:p w14:paraId="3B26998A" w14:textId="2D9FC7E3" w:rsidR="00224102" w:rsidRPr="00604C75" w:rsidRDefault="00224102" w:rsidP="00224102">
            <w:pPr>
              <w:ind w:right="50"/>
              <w:jc w:val="right"/>
              <w:rPr>
                <w:sz w:val="18"/>
                <w:szCs w:val="18"/>
              </w:rPr>
            </w:pPr>
            <w:r w:rsidRPr="00692926">
              <w:rPr>
                <w:sz w:val="18"/>
                <w:szCs w:val="18"/>
              </w:rPr>
              <w:t>212,600</w:t>
            </w:r>
          </w:p>
        </w:tc>
        <w:tc>
          <w:tcPr>
            <w:tcW w:w="955" w:type="dxa"/>
            <w:vAlign w:val="bottom"/>
          </w:tcPr>
          <w:p w14:paraId="52DD22F7" w14:textId="315A680B" w:rsidR="00224102" w:rsidRPr="00604C75" w:rsidRDefault="00224102" w:rsidP="00224102">
            <w:pPr>
              <w:ind w:right="50"/>
              <w:jc w:val="right"/>
              <w:rPr>
                <w:sz w:val="18"/>
                <w:szCs w:val="18"/>
              </w:rPr>
            </w:pPr>
            <w:r w:rsidRPr="00692926">
              <w:rPr>
                <w:sz w:val="18"/>
                <w:szCs w:val="18"/>
              </w:rPr>
              <w:t>-</w:t>
            </w:r>
          </w:p>
        </w:tc>
        <w:tc>
          <w:tcPr>
            <w:tcW w:w="897" w:type="dxa"/>
            <w:vAlign w:val="bottom"/>
          </w:tcPr>
          <w:p w14:paraId="089343C9" w14:textId="2C2E7881" w:rsidR="00224102" w:rsidRPr="00604C75" w:rsidRDefault="00224102" w:rsidP="00224102">
            <w:pPr>
              <w:ind w:right="50"/>
              <w:jc w:val="right"/>
              <w:rPr>
                <w:sz w:val="18"/>
                <w:szCs w:val="18"/>
              </w:rPr>
            </w:pPr>
            <w:r w:rsidRPr="00692926">
              <w:rPr>
                <w:sz w:val="18"/>
                <w:szCs w:val="18"/>
              </w:rPr>
              <w:t>56,093</w:t>
            </w:r>
          </w:p>
        </w:tc>
        <w:tc>
          <w:tcPr>
            <w:tcW w:w="970" w:type="dxa"/>
            <w:vAlign w:val="bottom"/>
          </w:tcPr>
          <w:p w14:paraId="149C38A2" w14:textId="401D62F7" w:rsidR="00224102" w:rsidRPr="00604C75" w:rsidRDefault="00224102" w:rsidP="00224102">
            <w:pPr>
              <w:ind w:right="50"/>
              <w:jc w:val="right"/>
              <w:rPr>
                <w:sz w:val="18"/>
                <w:szCs w:val="18"/>
              </w:rPr>
            </w:pPr>
            <w:r w:rsidRPr="00692926">
              <w:rPr>
                <w:sz w:val="18"/>
                <w:szCs w:val="18"/>
              </w:rPr>
              <w:t>1,170,279</w:t>
            </w:r>
          </w:p>
        </w:tc>
        <w:tc>
          <w:tcPr>
            <w:tcW w:w="885" w:type="dxa"/>
            <w:vAlign w:val="bottom"/>
          </w:tcPr>
          <w:p w14:paraId="483564AF" w14:textId="08493B6C" w:rsidR="00224102" w:rsidRPr="00604C75" w:rsidRDefault="00224102" w:rsidP="00224102">
            <w:pPr>
              <w:ind w:right="50"/>
              <w:jc w:val="right"/>
              <w:rPr>
                <w:sz w:val="18"/>
                <w:szCs w:val="18"/>
              </w:rPr>
            </w:pPr>
            <w:r w:rsidRPr="00692926">
              <w:rPr>
                <w:sz w:val="18"/>
                <w:szCs w:val="18"/>
              </w:rPr>
              <w:t>9,200</w:t>
            </w:r>
          </w:p>
        </w:tc>
        <w:tc>
          <w:tcPr>
            <w:tcW w:w="823" w:type="dxa"/>
            <w:vAlign w:val="bottom"/>
          </w:tcPr>
          <w:p w14:paraId="43647281" w14:textId="57686BF5" w:rsidR="00224102" w:rsidRPr="00604C75" w:rsidRDefault="00224102" w:rsidP="00224102">
            <w:pPr>
              <w:ind w:right="50"/>
              <w:jc w:val="right"/>
              <w:rPr>
                <w:sz w:val="18"/>
                <w:szCs w:val="18"/>
              </w:rPr>
            </w:pPr>
            <w:r w:rsidRPr="00692926">
              <w:rPr>
                <w:sz w:val="18"/>
                <w:szCs w:val="18"/>
              </w:rPr>
              <w:t>16,470</w:t>
            </w:r>
          </w:p>
        </w:tc>
        <w:tc>
          <w:tcPr>
            <w:tcW w:w="731" w:type="dxa"/>
            <w:vAlign w:val="bottom"/>
          </w:tcPr>
          <w:p w14:paraId="7F898C09" w14:textId="66A5EAD3" w:rsidR="00224102" w:rsidRPr="00604C75" w:rsidRDefault="00224102" w:rsidP="00224102">
            <w:pPr>
              <w:ind w:right="50"/>
              <w:jc w:val="right"/>
              <w:rPr>
                <w:sz w:val="18"/>
                <w:szCs w:val="18"/>
              </w:rPr>
            </w:pPr>
            <w:r w:rsidRPr="00692926">
              <w:rPr>
                <w:sz w:val="18"/>
                <w:szCs w:val="18"/>
              </w:rPr>
              <w:t>12,676</w:t>
            </w:r>
          </w:p>
        </w:tc>
        <w:tc>
          <w:tcPr>
            <w:tcW w:w="1110" w:type="dxa"/>
            <w:vAlign w:val="bottom"/>
          </w:tcPr>
          <w:p w14:paraId="5ACE38EB" w14:textId="44AD10F0" w:rsidR="00224102" w:rsidRPr="00604C75" w:rsidRDefault="00224102" w:rsidP="00224102">
            <w:pPr>
              <w:ind w:right="50"/>
              <w:jc w:val="right"/>
              <w:rPr>
                <w:sz w:val="18"/>
                <w:szCs w:val="18"/>
              </w:rPr>
            </w:pPr>
            <w:r w:rsidRPr="00692926">
              <w:rPr>
                <w:sz w:val="18"/>
                <w:szCs w:val="18"/>
              </w:rPr>
              <w:t>-</w:t>
            </w:r>
          </w:p>
        </w:tc>
        <w:tc>
          <w:tcPr>
            <w:tcW w:w="905" w:type="dxa"/>
            <w:vAlign w:val="bottom"/>
          </w:tcPr>
          <w:p w14:paraId="346A6EC1" w14:textId="5DA94262" w:rsidR="00224102" w:rsidRPr="00604C75" w:rsidRDefault="00224102" w:rsidP="00224102">
            <w:pPr>
              <w:ind w:right="50"/>
              <w:jc w:val="right"/>
              <w:rPr>
                <w:sz w:val="18"/>
                <w:szCs w:val="18"/>
              </w:rPr>
            </w:pPr>
            <w:r w:rsidRPr="00692926">
              <w:rPr>
                <w:sz w:val="18"/>
                <w:szCs w:val="18"/>
              </w:rPr>
              <w:t>1,477,318</w:t>
            </w:r>
          </w:p>
        </w:tc>
      </w:tr>
      <w:tr w:rsidR="00224102" w:rsidRPr="00604C75" w14:paraId="15BAED8F" w14:textId="77777777" w:rsidTr="00877CBD">
        <w:trPr>
          <w:trHeight w:val="247"/>
        </w:trPr>
        <w:tc>
          <w:tcPr>
            <w:tcW w:w="1896" w:type="dxa"/>
            <w:shd w:val="clear" w:color="auto" w:fill="FFFFFF"/>
            <w:vAlign w:val="bottom"/>
          </w:tcPr>
          <w:p w14:paraId="7AB2A22E" w14:textId="77777777" w:rsidR="00224102" w:rsidRPr="00604C75" w:rsidRDefault="00224102" w:rsidP="00224102">
            <w:pPr>
              <w:tabs>
                <w:tab w:val="left" w:pos="277"/>
              </w:tabs>
              <w:rPr>
                <w:rFonts w:eastAsia="Arial Unicode MS"/>
                <w:noProof/>
                <w:color w:val="000000"/>
                <w:sz w:val="16"/>
                <w:szCs w:val="16"/>
              </w:rPr>
            </w:pPr>
            <w:r w:rsidRPr="00604C75">
              <w:rPr>
                <w:noProof/>
                <w:color w:val="000000"/>
                <w:sz w:val="16"/>
                <w:szCs w:val="16"/>
              </w:rPr>
              <w:t xml:space="preserve">    </w:t>
            </w:r>
            <w:r w:rsidRPr="00604C75">
              <w:rPr>
                <w:noProof/>
                <w:sz w:val="16"/>
                <w:szCs w:val="16"/>
              </w:rPr>
              <w:t>Residents Abroad</w:t>
            </w:r>
          </w:p>
        </w:tc>
        <w:tc>
          <w:tcPr>
            <w:tcW w:w="893" w:type="dxa"/>
            <w:vAlign w:val="bottom"/>
          </w:tcPr>
          <w:p w14:paraId="3204A8BC" w14:textId="4A29FFAB" w:rsidR="00224102" w:rsidRPr="00604C75" w:rsidRDefault="00224102" w:rsidP="00224102">
            <w:pPr>
              <w:ind w:right="50"/>
              <w:jc w:val="right"/>
              <w:rPr>
                <w:sz w:val="18"/>
                <w:szCs w:val="18"/>
              </w:rPr>
            </w:pPr>
            <w:r w:rsidRPr="00692926">
              <w:rPr>
                <w:sz w:val="18"/>
                <w:szCs w:val="18"/>
              </w:rPr>
              <w:t>12,380</w:t>
            </w:r>
          </w:p>
        </w:tc>
        <w:tc>
          <w:tcPr>
            <w:tcW w:w="955" w:type="dxa"/>
            <w:vAlign w:val="bottom"/>
          </w:tcPr>
          <w:p w14:paraId="77CA0F08" w14:textId="2B695A86" w:rsidR="00224102" w:rsidRPr="00604C75" w:rsidRDefault="00224102" w:rsidP="00224102">
            <w:pPr>
              <w:ind w:right="50"/>
              <w:jc w:val="right"/>
              <w:rPr>
                <w:sz w:val="18"/>
                <w:szCs w:val="18"/>
              </w:rPr>
            </w:pPr>
            <w:r w:rsidRPr="00692926">
              <w:rPr>
                <w:sz w:val="18"/>
                <w:szCs w:val="18"/>
              </w:rPr>
              <w:t>-</w:t>
            </w:r>
          </w:p>
        </w:tc>
        <w:tc>
          <w:tcPr>
            <w:tcW w:w="897" w:type="dxa"/>
            <w:vAlign w:val="bottom"/>
          </w:tcPr>
          <w:p w14:paraId="1DAFA4D6" w14:textId="5A0B3D37" w:rsidR="00224102" w:rsidRPr="00604C75" w:rsidRDefault="00224102" w:rsidP="00224102">
            <w:pPr>
              <w:ind w:right="50"/>
              <w:jc w:val="right"/>
              <w:rPr>
                <w:sz w:val="18"/>
                <w:szCs w:val="18"/>
              </w:rPr>
            </w:pPr>
            <w:r w:rsidRPr="00692926">
              <w:rPr>
                <w:sz w:val="18"/>
                <w:szCs w:val="18"/>
              </w:rPr>
              <w:t>75</w:t>
            </w:r>
          </w:p>
        </w:tc>
        <w:tc>
          <w:tcPr>
            <w:tcW w:w="970" w:type="dxa"/>
            <w:vAlign w:val="bottom"/>
          </w:tcPr>
          <w:p w14:paraId="76537430" w14:textId="16A27860" w:rsidR="00224102" w:rsidRPr="00604C75" w:rsidRDefault="00224102" w:rsidP="00224102">
            <w:pPr>
              <w:ind w:right="50"/>
              <w:jc w:val="right"/>
              <w:rPr>
                <w:sz w:val="18"/>
                <w:szCs w:val="18"/>
              </w:rPr>
            </w:pPr>
            <w:r w:rsidRPr="00692926">
              <w:rPr>
                <w:sz w:val="18"/>
                <w:szCs w:val="18"/>
              </w:rPr>
              <w:t>15,992</w:t>
            </w:r>
          </w:p>
        </w:tc>
        <w:tc>
          <w:tcPr>
            <w:tcW w:w="885" w:type="dxa"/>
            <w:vAlign w:val="bottom"/>
          </w:tcPr>
          <w:p w14:paraId="7A9D5C74" w14:textId="3B90EB05" w:rsidR="00224102" w:rsidRPr="00604C75" w:rsidRDefault="00224102" w:rsidP="00224102">
            <w:pPr>
              <w:ind w:right="50"/>
              <w:jc w:val="right"/>
              <w:rPr>
                <w:sz w:val="18"/>
                <w:szCs w:val="18"/>
              </w:rPr>
            </w:pPr>
            <w:r w:rsidRPr="00692926">
              <w:rPr>
                <w:sz w:val="18"/>
                <w:szCs w:val="18"/>
              </w:rPr>
              <w:t>706</w:t>
            </w:r>
          </w:p>
        </w:tc>
        <w:tc>
          <w:tcPr>
            <w:tcW w:w="823" w:type="dxa"/>
            <w:vAlign w:val="bottom"/>
          </w:tcPr>
          <w:p w14:paraId="01F0DAA3" w14:textId="0AB81AD8" w:rsidR="00224102" w:rsidRPr="00604C75" w:rsidRDefault="00224102" w:rsidP="00224102">
            <w:pPr>
              <w:ind w:right="50"/>
              <w:jc w:val="right"/>
              <w:rPr>
                <w:sz w:val="18"/>
                <w:szCs w:val="18"/>
              </w:rPr>
            </w:pPr>
            <w:r w:rsidRPr="00692926">
              <w:rPr>
                <w:sz w:val="18"/>
                <w:szCs w:val="18"/>
              </w:rPr>
              <w:t>1,124</w:t>
            </w:r>
          </w:p>
        </w:tc>
        <w:tc>
          <w:tcPr>
            <w:tcW w:w="731" w:type="dxa"/>
            <w:vAlign w:val="bottom"/>
          </w:tcPr>
          <w:p w14:paraId="10004282" w14:textId="69475064" w:rsidR="00224102" w:rsidRPr="00604C75" w:rsidRDefault="00224102" w:rsidP="00224102">
            <w:pPr>
              <w:ind w:right="50"/>
              <w:jc w:val="right"/>
              <w:rPr>
                <w:sz w:val="18"/>
                <w:szCs w:val="18"/>
              </w:rPr>
            </w:pPr>
            <w:r w:rsidRPr="00692926">
              <w:rPr>
                <w:sz w:val="18"/>
                <w:szCs w:val="18"/>
              </w:rPr>
              <w:t>2,277</w:t>
            </w:r>
          </w:p>
        </w:tc>
        <w:tc>
          <w:tcPr>
            <w:tcW w:w="1110" w:type="dxa"/>
            <w:vAlign w:val="bottom"/>
          </w:tcPr>
          <w:p w14:paraId="75043DE8" w14:textId="18492B88" w:rsidR="00224102" w:rsidRPr="00604C75" w:rsidRDefault="00224102" w:rsidP="00224102">
            <w:pPr>
              <w:ind w:right="50"/>
              <w:jc w:val="right"/>
              <w:rPr>
                <w:sz w:val="18"/>
                <w:szCs w:val="18"/>
              </w:rPr>
            </w:pPr>
            <w:r w:rsidRPr="00692926">
              <w:rPr>
                <w:sz w:val="18"/>
                <w:szCs w:val="18"/>
              </w:rPr>
              <w:t>-</w:t>
            </w:r>
          </w:p>
        </w:tc>
        <w:tc>
          <w:tcPr>
            <w:tcW w:w="905" w:type="dxa"/>
            <w:vAlign w:val="bottom"/>
          </w:tcPr>
          <w:p w14:paraId="3EC7E577" w14:textId="0DF48D64" w:rsidR="00224102" w:rsidRPr="00604C75" w:rsidRDefault="00224102" w:rsidP="00224102">
            <w:pPr>
              <w:ind w:right="50"/>
              <w:jc w:val="right"/>
              <w:rPr>
                <w:sz w:val="18"/>
                <w:szCs w:val="18"/>
              </w:rPr>
            </w:pPr>
            <w:r w:rsidRPr="00692926">
              <w:rPr>
                <w:sz w:val="18"/>
                <w:szCs w:val="18"/>
              </w:rPr>
              <w:t>32,554</w:t>
            </w:r>
          </w:p>
        </w:tc>
      </w:tr>
      <w:tr w:rsidR="00224102" w:rsidRPr="00604C75" w14:paraId="216BB057" w14:textId="77777777" w:rsidTr="00877CBD">
        <w:trPr>
          <w:trHeight w:val="247"/>
        </w:trPr>
        <w:tc>
          <w:tcPr>
            <w:tcW w:w="1896" w:type="dxa"/>
            <w:shd w:val="clear" w:color="auto" w:fill="FFFFFF"/>
            <w:vAlign w:val="bottom"/>
          </w:tcPr>
          <w:p w14:paraId="3F384CEF" w14:textId="77777777" w:rsidR="00224102" w:rsidRPr="00604C75" w:rsidRDefault="00224102" w:rsidP="00224102">
            <w:pPr>
              <w:rPr>
                <w:rFonts w:eastAsia="Arial Unicode MS"/>
                <w:b/>
                <w:noProof/>
                <w:color w:val="000000"/>
                <w:sz w:val="16"/>
                <w:szCs w:val="16"/>
              </w:rPr>
            </w:pPr>
            <w:r w:rsidRPr="00604C75">
              <w:rPr>
                <w:b/>
                <w:noProof/>
                <w:sz w:val="16"/>
                <w:szCs w:val="16"/>
              </w:rPr>
              <w:t>Public Sector Deposits</w:t>
            </w:r>
          </w:p>
        </w:tc>
        <w:tc>
          <w:tcPr>
            <w:tcW w:w="893" w:type="dxa"/>
            <w:vAlign w:val="bottom"/>
          </w:tcPr>
          <w:p w14:paraId="6DEC3953" w14:textId="47D68FE6" w:rsidR="00224102" w:rsidRPr="00604C75" w:rsidRDefault="00224102" w:rsidP="00224102">
            <w:pPr>
              <w:ind w:right="50"/>
              <w:jc w:val="right"/>
              <w:rPr>
                <w:b/>
                <w:sz w:val="18"/>
                <w:szCs w:val="18"/>
              </w:rPr>
            </w:pPr>
            <w:r w:rsidRPr="00692926">
              <w:rPr>
                <w:b/>
                <w:bCs/>
                <w:sz w:val="18"/>
                <w:szCs w:val="18"/>
              </w:rPr>
              <w:t>14,880</w:t>
            </w:r>
          </w:p>
        </w:tc>
        <w:tc>
          <w:tcPr>
            <w:tcW w:w="955" w:type="dxa"/>
            <w:vAlign w:val="bottom"/>
          </w:tcPr>
          <w:p w14:paraId="1A601074" w14:textId="02D7174C" w:rsidR="00224102" w:rsidRPr="00604C75" w:rsidRDefault="00224102" w:rsidP="00224102">
            <w:pPr>
              <w:ind w:right="50"/>
              <w:jc w:val="right"/>
              <w:rPr>
                <w:b/>
                <w:sz w:val="18"/>
                <w:szCs w:val="18"/>
              </w:rPr>
            </w:pPr>
            <w:r w:rsidRPr="00692926">
              <w:rPr>
                <w:b/>
                <w:bCs/>
                <w:sz w:val="18"/>
                <w:szCs w:val="18"/>
              </w:rPr>
              <w:t>-</w:t>
            </w:r>
          </w:p>
        </w:tc>
        <w:tc>
          <w:tcPr>
            <w:tcW w:w="897" w:type="dxa"/>
            <w:vAlign w:val="bottom"/>
          </w:tcPr>
          <w:p w14:paraId="7263E9CF" w14:textId="34FCD457" w:rsidR="00224102" w:rsidRPr="00604C75" w:rsidRDefault="00224102" w:rsidP="00224102">
            <w:pPr>
              <w:ind w:right="50"/>
              <w:jc w:val="right"/>
              <w:rPr>
                <w:b/>
                <w:sz w:val="18"/>
                <w:szCs w:val="18"/>
              </w:rPr>
            </w:pPr>
            <w:r w:rsidRPr="00692926">
              <w:rPr>
                <w:b/>
                <w:bCs/>
                <w:sz w:val="18"/>
                <w:szCs w:val="18"/>
              </w:rPr>
              <w:t>-</w:t>
            </w:r>
          </w:p>
        </w:tc>
        <w:tc>
          <w:tcPr>
            <w:tcW w:w="970" w:type="dxa"/>
            <w:vAlign w:val="bottom"/>
          </w:tcPr>
          <w:p w14:paraId="7E0DA8D3" w14:textId="3AE76A75" w:rsidR="00224102" w:rsidRPr="00604C75" w:rsidRDefault="00224102" w:rsidP="00224102">
            <w:pPr>
              <w:ind w:right="50"/>
              <w:jc w:val="right"/>
              <w:rPr>
                <w:b/>
                <w:sz w:val="18"/>
                <w:szCs w:val="18"/>
              </w:rPr>
            </w:pPr>
            <w:r w:rsidRPr="00692926">
              <w:rPr>
                <w:b/>
                <w:bCs/>
                <w:sz w:val="18"/>
                <w:szCs w:val="18"/>
              </w:rPr>
              <w:t>4,140</w:t>
            </w:r>
          </w:p>
        </w:tc>
        <w:tc>
          <w:tcPr>
            <w:tcW w:w="885" w:type="dxa"/>
            <w:vAlign w:val="bottom"/>
          </w:tcPr>
          <w:p w14:paraId="6D12A5F4" w14:textId="24A14CCB" w:rsidR="00224102" w:rsidRPr="00604C75" w:rsidRDefault="00224102" w:rsidP="00224102">
            <w:pPr>
              <w:ind w:right="50"/>
              <w:jc w:val="right"/>
              <w:rPr>
                <w:b/>
                <w:sz w:val="18"/>
                <w:szCs w:val="18"/>
              </w:rPr>
            </w:pPr>
            <w:r w:rsidRPr="00692926">
              <w:rPr>
                <w:b/>
                <w:bCs/>
                <w:sz w:val="18"/>
                <w:szCs w:val="18"/>
              </w:rPr>
              <w:t>-</w:t>
            </w:r>
          </w:p>
        </w:tc>
        <w:tc>
          <w:tcPr>
            <w:tcW w:w="823" w:type="dxa"/>
            <w:vAlign w:val="bottom"/>
          </w:tcPr>
          <w:p w14:paraId="7F7572DB" w14:textId="6D595D05" w:rsidR="00224102" w:rsidRPr="00604C75" w:rsidRDefault="00224102" w:rsidP="00224102">
            <w:pPr>
              <w:ind w:right="50"/>
              <w:jc w:val="right"/>
              <w:rPr>
                <w:b/>
                <w:sz w:val="18"/>
                <w:szCs w:val="18"/>
              </w:rPr>
            </w:pPr>
            <w:r w:rsidRPr="00692926">
              <w:rPr>
                <w:b/>
                <w:bCs/>
                <w:sz w:val="18"/>
                <w:szCs w:val="18"/>
              </w:rPr>
              <w:t>-</w:t>
            </w:r>
          </w:p>
        </w:tc>
        <w:tc>
          <w:tcPr>
            <w:tcW w:w="731" w:type="dxa"/>
            <w:vAlign w:val="bottom"/>
          </w:tcPr>
          <w:p w14:paraId="57C42714" w14:textId="31BE3239" w:rsidR="00224102" w:rsidRPr="00604C75" w:rsidRDefault="00224102" w:rsidP="00224102">
            <w:pPr>
              <w:ind w:right="50"/>
              <w:jc w:val="right"/>
              <w:rPr>
                <w:b/>
                <w:sz w:val="18"/>
                <w:szCs w:val="18"/>
              </w:rPr>
            </w:pPr>
            <w:r w:rsidRPr="00692926">
              <w:rPr>
                <w:b/>
                <w:bCs/>
                <w:sz w:val="18"/>
                <w:szCs w:val="18"/>
              </w:rPr>
              <w:t>-</w:t>
            </w:r>
          </w:p>
        </w:tc>
        <w:tc>
          <w:tcPr>
            <w:tcW w:w="1110" w:type="dxa"/>
            <w:vAlign w:val="bottom"/>
          </w:tcPr>
          <w:p w14:paraId="1B1C1D48" w14:textId="62CB2763" w:rsidR="00224102" w:rsidRPr="00604C75" w:rsidRDefault="00224102" w:rsidP="00224102">
            <w:pPr>
              <w:ind w:right="50"/>
              <w:jc w:val="right"/>
              <w:rPr>
                <w:b/>
                <w:sz w:val="18"/>
                <w:szCs w:val="18"/>
              </w:rPr>
            </w:pPr>
            <w:r w:rsidRPr="00692926">
              <w:rPr>
                <w:b/>
                <w:bCs/>
                <w:sz w:val="18"/>
                <w:szCs w:val="18"/>
              </w:rPr>
              <w:t>-</w:t>
            </w:r>
          </w:p>
        </w:tc>
        <w:tc>
          <w:tcPr>
            <w:tcW w:w="905" w:type="dxa"/>
            <w:vAlign w:val="bottom"/>
          </w:tcPr>
          <w:p w14:paraId="209C2607" w14:textId="39F91A8C" w:rsidR="00224102" w:rsidRPr="00604C75" w:rsidRDefault="00224102" w:rsidP="00224102">
            <w:pPr>
              <w:ind w:right="50"/>
              <w:jc w:val="right"/>
              <w:rPr>
                <w:b/>
                <w:sz w:val="18"/>
                <w:szCs w:val="18"/>
              </w:rPr>
            </w:pPr>
            <w:r w:rsidRPr="00692926">
              <w:rPr>
                <w:b/>
                <w:bCs/>
                <w:sz w:val="18"/>
                <w:szCs w:val="18"/>
              </w:rPr>
              <w:t>19,020</w:t>
            </w:r>
          </w:p>
        </w:tc>
      </w:tr>
      <w:tr w:rsidR="00224102" w:rsidRPr="00604C75" w14:paraId="78906461" w14:textId="77777777" w:rsidTr="00877CBD">
        <w:trPr>
          <w:trHeight w:val="247"/>
        </w:trPr>
        <w:tc>
          <w:tcPr>
            <w:tcW w:w="1896" w:type="dxa"/>
            <w:shd w:val="clear" w:color="auto" w:fill="FFFFFF"/>
            <w:vAlign w:val="bottom"/>
          </w:tcPr>
          <w:p w14:paraId="3B58AC42" w14:textId="77777777" w:rsidR="00224102" w:rsidRPr="00604C75" w:rsidRDefault="00224102" w:rsidP="00224102">
            <w:pPr>
              <w:rPr>
                <w:rFonts w:eastAsia="Arial Unicode MS"/>
                <w:b/>
                <w:noProof/>
                <w:color w:val="000000"/>
                <w:sz w:val="16"/>
                <w:szCs w:val="16"/>
              </w:rPr>
            </w:pPr>
            <w:r w:rsidRPr="00604C75">
              <w:rPr>
                <w:b/>
                <w:noProof/>
                <w:sz w:val="16"/>
                <w:szCs w:val="16"/>
              </w:rPr>
              <w:t>Commercial Deposits</w:t>
            </w:r>
          </w:p>
        </w:tc>
        <w:tc>
          <w:tcPr>
            <w:tcW w:w="893" w:type="dxa"/>
            <w:vAlign w:val="bottom"/>
          </w:tcPr>
          <w:p w14:paraId="53D531B9" w14:textId="4D834047" w:rsidR="00224102" w:rsidRPr="00604C75" w:rsidRDefault="00224102" w:rsidP="00224102">
            <w:pPr>
              <w:ind w:right="50"/>
              <w:jc w:val="right"/>
              <w:rPr>
                <w:b/>
                <w:sz w:val="18"/>
                <w:szCs w:val="18"/>
              </w:rPr>
            </w:pPr>
            <w:r w:rsidRPr="00692926">
              <w:rPr>
                <w:b/>
                <w:bCs/>
                <w:sz w:val="18"/>
                <w:szCs w:val="18"/>
              </w:rPr>
              <w:t>116,636</w:t>
            </w:r>
          </w:p>
        </w:tc>
        <w:tc>
          <w:tcPr>
            <w:tcW w:w="955" w:type="dxa"/>
            <w:vAlign w:val="bottom"/>
          </w:tcPr>
          <w:p w14:paraId="34E16691" w14:textId="73128FCE" w:rsidR="00224102" w:rsidRPr="00604C75" w:rsidRDefault="00224102" w:rsidP="00224102">
            <w:pPr>
              <w:ind w:right="50"/>
              <w:jc w:val="right"/>
              <w:rPr>
                <w:b/>
                <w:sz w:val="18"/>
                <w:szCs w:val="18"/>
              </w:rPr>
            </w:pPr>
            <w:r w:rsidRPr="00692926">
              <w:rPr>
                <w:b/>
                <w:bCs/>
                <w:sz w:val="18"/>
                <w:szCs w:val="18"/>
              </w:rPr>
              <w:t>-</w:t>
            </w:r>
          </w:p>
        </w:tc>
        <w:tc>
          <w:tcPr>
            <w:tcW w:w="897" w:type="dxa"/>
            <w:vAlign w:val="bottom"/>
          </w:tcPr>
          <w:p w14:paraId="462892C8" w14:textId="370D6BB2" w:rsidR="00224102" w:rsidRPr="00604C75" w:rsidRDefault="00224102" w:rsidP="00224102">
            <w:pPr>
              <w:ind w:right="50"/>
              <w:jc w:val="right"/>
              <w:rPr>
                <w:b/>
                <w:sz w:val="18"/>
                <w:szCs w:val="18"/>
              </w:rPr>
            </w:pPr>
            <w:r w:rsidRPr="00692926">
              <w:rPr>
                <w:b/>
                <w:bCs/>
                <w:sz w:val="18"/>
                <w:szCs w:val="18"/>
              </w:rPr>
              <w:t>515,912</w:t>
            </w:r>
          </w:p>
        </w:tc>
        <w:tc>
          <w:tcPr>
            <w:tcW w:w="970" w:type="dxa"/>
            <w:vAlign w:val="bottom"/>
          </w:tcPr>
          <w:p w14:paraId="1D93CEC9" w14:textId="49921DF2" w:rsidR="00224102" w:rsidRPr="00604C75" w:rsidRDefault="00224102" w:rsidP="00224102">
            <w:pPr>
              <w:ind w:right="50"/>
              <w:jc w:val="right"/>
              <w:rPr>
                <w:b/>
                <w:sz w:val="18"/>
                <w:szCs w:val="18"/>
              </w:rPr>
            </w:pPr>
            <w:r w:rsidRPr="00692926">
              <w:rPr>
                <w:b/>
                <w:bCs/>
                <w:sz w:val="18"/>
                <w:szCs w:val="18"/>
              </w:rPr>
              <w:t>1,085,548</w:t>
            </w:r>
          </w:p>
        </w:tc>
        <w:tc>
          <w:tcPr>
            <w:tcW w:w="885" w:type="dxa"/>
            <w:vAlign w:val="bottom"/>
          </w:tcPr>
          <w:p w14:paraId="4A70BD7A" w14:textId="0BD2F2E7" w:rsidR="00224102" w:rsidRPr="00604C75" w:rsidRDefault="00224102" w:rsidP="00224102">
            <w:pPr>
              <w:ind w:right="50"/>
              <w:jc w:val="right"/>
              <w:rPr>
                <w:b/>
                <w:sz w:val="18"/>
                <w:szCs w:val="18"/>
              </w:rPr>
            </w:pPr>
            <w:r w:rsidRPr="00692926">
              <w:rPr>
                <w:b/>
                <w:bCs/>
                <w:sz w:val="18"/>
                <w:szCs w:val="18"/>
              </w:rPr>
              <w:t>28,142</w:t>
            </w:r>
          </w:p>
        </w:tc>
        <w:tc>
          <w:tcPr>
            <w:tcW w:w="823" w:type="dxa"/>
            <w:vAlign w:val="bottom"/>
          </w:tcPr>
          <w:p w14:paraId="6221BD98" w14:textId="14040A38" w:rsidR="00224102" w:rsidRPr="00604C75" w:rsidRDefault="00224102" w:rsidP="00224102">
            <w:pPr>
              <w:ind w:right="50"/>
              <w:jc w:val="right"/>
              <w:rPr>
                <w:b/>
                <w:sz w:val="18"/>
                <w:szCs w:val="18"/>
              </w:rPr>
            </w:pPr>
            <w:r w:rsidRPr="00692926">
              <w:rPr>
                <w:b/>
                <w:bCs/>
                <w:sz w:val="18"/>
                <w:szCs w:val="18"/>
              </w:rPr>
              <w:t>45,816</w:t>
            </w:r>
          </w:p>
        </w:tc>
        <w:tc>
          <w:tcPr>
            <w:tcW w:w="731" w:type="dxa"/>
            <w:vAlign w:val="bottom"/>
          </w:tcPr>
          <w:p w14:paraId="43736CF9" w14:textId="3FB8B1D4" w:rsidR="00224102" w:rsidRPr="00604C75" w:rsidRDefault="00224102" w:rsidP="00224102">
            <w:pPr>
              <w:ind w:right="50"/>
              <w:jc w:val="right"/>
              <w:rPr>
                <w:b/>
                <w:sz w:val="18"/>
                <w:szCs w:val="18"/>
              </w:rPr>
            </w:pPr>
            <w:r w:rsidRPr="00692926">
              <w:rPr>
                <w:b/>
                <w:bCs/>
                <w:sz w:val="18"/>
                <w:szCs w:val="18"/>
              </w:rPr>
              <w:t>81</w:t>
            </w:r>
          </w:p>
        </w:tc>
        <w:tc>
          <w:tcPr>
            <w:tcW w:w="1110" w:type="dxa"/>
            <w:vAlign w:val="bottom"/>
          </w:tcPr>
          <w:p w14:paraId="3E2876DB" w14:textId="08A72357" w:rsidR="00224102" w:rsidRPr="00604C75" w:rsidRDefault="00224102" w:rsidP="00224102">
            <w:pPr>
              <w:ind w:right="50"/>
              <w:jc w:val="right"/>
              <w:rPr>
                <w:b/>
                <w:sz w:val="18"/>
                <w:szCs w:val="18"/>
              </w:rPr>
            </w:pPr>
            <w:r w:rsidRPr="00692926">
              <w:rPr>
                <w:b/>
                <w:bCs/>
                <w:sz w:val="18"/>
                <w:szCs w:val="18"/>
              </w:rPr>
              <w:t>-</w:t>
            </w:r>
          </w:p>
        </w:tc>
        <w:tc>
          <w:tcPr>
            <w:tcW w:w="905" w:type="dxa"/>
            <w:vAlign w:val="bottom"/>
          </w:tcPr>
          <w:p w14:paraId="316486B4" w14:textId="1557BAF9" w:rsidR="00224102" w:rsidRPr="00604C75" w:rsidRDefault="00224102" w:rsidP="00224102">
            <w:pPr>
              <w:ind w:right="50"/>
              <w:jc w:val="right"/>
              <w:rPr>
                <w:b/>
                <w:sz w:val="18"/>
                <w:szCs w:val="18"/>
              </w:rPr>
            </w:pPr>
            <w:r w:rsidRPr="00692926">
              <w:rPr>
                <w:b/>
                <w:bCs/>
                <w:sz w:val="18"/>
                <w:szCs w:val="18"/>
              </w:rPr>
              <w:t>1,792,135</w:t>
            </w:r>
          </w:p>
        </w:tc>
      </w:tr>
      <w:tr w:rsidR="00224102" w:rsidRPr="00604C75" w14:paraId="0CF6592B" w14:textId="77777777" w:rsidTr="00877CBD">
        <w:trPr>
          <w:trHeight w:val="247"/>
        </w:trPr>
        <w:tc>
          <w:tcPr>
            <w:tcW w:w="1896" w:type="dxa"/>
            <w:shd w:val="clear" w:color="auto" w:fill="FFFFFF"/>
            <w:vAlign w:val="bottom"/>
          </w:tcPr>
          <w:p w14:paraId="5667D7E5" w14:textId="77777777" w:rsidR="00224102" w:rsidRPr="00604C75" w:rsidRDefault="00224102" w:rsidP="00224102">
            <w:pPr>
              <w:rPr>
                <w:rFonts w:eastAsia="Arial Unicode MS"/>
                <w:b/>
                <w:noProof/>
                <w:color w:val="000000"/>
                <w:sz w:val="16"/>
                <w:szCs w:val="16"/>
              </w:rPr>
            </w:pPr>
            <w:r w:rsidRPr="00604C75">
              <w:rPr>
                <w:b/>
                <w:noProof/>
                <w:sz w:val="16"/>
                <w:szCs w:val="16"/>
              </w:rPr>
              <w:t>Other Institutions Deposits</w:t>
            </w:r>
          </w:p>
        </w:tc>
        <w:tc>
          <w:tcPr>
            <w:tcW w:w="893" w:type="dxa"/>
            <w:vAlign w:val="bottom"/>
          </w:tcPr>
          <w:p w14:paraId="68D2535E" w14:textId="35C43AB4" w:rsidR="00224102" w:rsidRPr="00604C75" w:rsidRDefault="00224102" w:rsidP="00224102">
            <w:pPr>
              <w:ind w:right="50"/>
              <w:jc w:val="right"/>
              <w:rPr>
                <w:b/>
                <w:sz w:val="18"/>
                <w:szCs w:val="18"/>
              </w:rPr>
            </w:pPr>
            <w:r w:rsidRPr="00692926">
              <w:rPr>
                <w:b/>
                <w:bCs/>
                <w:sz w:val="18"/>
                <w:szCs w:val="18"/>
              </w:rPr>
              <w:t>2,287</w:t>
            </w:r>
          </w:p>
        </w:tc>
        <w:tc>
          <w:tcPr>
            <w:tcW w:w="955" w:type="dxa"/>
            <w:vAlign w:val="bottom"/>
          </w:tcPr>
          <w:p w14:paraId="67D51B8E" w14:textId="3BF12F0F" w:rsidR="00224102" w:rsidRPr="00604C75" w:rsidRDefault="00224102" w:rsidP="00224102">
            <w:pPr>
              <w:ind w:right="50"/>
              <w:jc w:val="right"/>
              <w:rPr>
                <w:b/>
                <w:sz w:val="18"/>
                <w:szCs w:val="18"/>
              </w:rPr>
            </w:pPr>
            <w:r w:rsidRPr="00692926">
              <w:rPr>
                <w:b/>
                <w:bCs/>
                <w:sz w:val="18"/>
                <w:szCs w:val="18"/>
              </w:rPr>
              <w:t>-</w:t>
            </w:r>
          </w:p>
        </w:tc>
        <w:tc>
          <w:tcPr>
            <w:tcW w:w="897" w:type="dxa"/>
            <w:vAlign w:val="bottom"/>
          </w:tcPr>
          <w:p w14:paraId="758F11B1" w14:textId="5ADA0CE7" w:rsidR="00224102" w:rsidRPr="00604C75" w:rsidRDefault="00224102" w:rsidP="00224102">
            <w:pPr>
              <w:ind w:right="50"/>
              <w:jc w:val="right"/>
              <w:rPr>
                <w:b/>
                <w:sz w:val="18"/>
                <w:szCs w:val="18"/>
              </w:rPr>
            </w:pPr>
            <w:r w:rsidRPr="00692926">
              <w:rPr>
                <w:b/>
                <w:bCs/>
                <w:sz w:val="18"/>
                <w:szCs w:val="18"/>
              </w:rPr>
              <w:t>3,147</w:t>
            </w:r>
          </w:p>
        </w:tc>
        <w:tc>
          <w:tcPr>
            <w:tcW w:w="970" w:type="dxa"/>
            <w:vAlign w:val="bottom"/>
          </w:tcPr>
          <w:p w14:paraId="0CA69DDA" w14:textId="4E0729C8" w:rsidR="00224102" w:rsidRPr="00604C75" w:rsidRDefault="00224102" w:rsidP="00224102">
            <w:pPr>
              <w:ind w:right="50"/>
              <w:jc w:val="right"/>
              <w:rPr>
                <w:b/>
                <w:sz w:val="18"/>
                <w:szCs w:val="18"/>
              </w:rPr>
            </w:pPr>
            <w:r w:rsidRPr="00692926">
              <w:rPr>
                <w:b/>
                <w:bCs/>
                <w:sz w:val="18"/>
                <w:szCs w:val="18"/>
              </w:rPr>
              <w:t>53,265</w:t>
            </w:r>
          </w:p>
        </w:tc>
        <w:tc>
          <w:tcPr>
            <w:tcW w:w="885" w:type="dxa"/>
            <w:vAlign w:val="bottom"/>
          </w:tcPr>
          <w:p w14:paraId="6F02730F" w14:textId="7A50C2B3" w:rsidR="00224102" w:rsidRPr="00604C75" w:rsidRDefault="00224102" w:rsidP="00224102">
            <w:pPr>
              <w:ind w:right="50"/>
              <w:jc w:val="right"/>
              <w:rPr>
                <w:b/>
                <w:sz w:val="18"/>
                <w:szCs w:val="18"/>
              </w:rPr>
            </w:pPr>
            <w:r w:rsidRPr="00692926">
              <w:rPr>
                <w:b/>
                <w:bCs/>
                <w:sz w:val="18"/>
                <w:szCs w:val="18"/>
              </w:rPr>
              <w:t>26</w:t>
            </w:r>
          </w:p>
        </w:tc>
        <w:tc>
          <w:tcPr>
            <w:tcW w:w="823" w:type="dxa"/>
            <w:vAlign w:val="bottom"/>
          </w:tcPr>
          <w:p w14:paraId="4C04EF80" w14:textId="4836E58B" w:rsidR="00224102" w:rsidRPr="00604C75" w:rsidRDefault="00224102" w:rsidP="00224102">
            <w:pPr>
              <w:ind w:right="50"/>
              <w:jc w:val="right"/>
              <w:rPr>
                <w:b/>
                <w:sz w:val="18"/>
                <w:szCs w:val="18"/>
              </w:rPr>
            </w:pPr>
            <w:r w:rsidRPr="00692926">
              <w:rPr>
                <w:b/>
                <w:bCs/>
                <w:sz w:val="18"/>
                <w:szCs w:val="18"/>
              </w:rPr>
              <w:t>-</w:t>
            </w:r>
          </w:p>
        </w:tc>
        <w:tc>
          <w:tcPr>
            <w:tcW w:w="731" w:type="dxa"/>
            <w:vAlign w:val="bottom"/>
          </w:tcPr>
          <w:p w14:paraId="7464CE73" w14:textId="0B1E1A60" w:rsidR="00224102" w:rsidRPr="00604C75" w:rsidRDefault="00224102" w:rsidP="00224102">
            <w:pPr>
              <w:ind w:right="50"/>
              <w:jc w:val="right"/>
              <w:rPr>
                <w:b/>
                <w:sz w:val="18"/>
                <w:szCs w:val="18"/>
              </w:rPr>
            </w:pPr>
            <w:r w:rsidRPr="00692926">
              <w:rPr>
                <w:b/>
                <w:bCs/>
                <w:sz w:val="18"/>
                <w:szCs w:val="18"/>
              </w:rPr>
              <w:t>8,459</w:t>
            </w:r>
          </w:p>
        </w:tc>
        <w:tc>
          <w:tcPr>
            <w:tcW w:w="1110" w:type="dxa"/>
            <w:vAlign w:val="bottom"/>
          </w:tcPr>
          <w:p w14:paraId="5A510085" w14:textId="5337B44C" w:rsidR="00224102" w:rsidRPr="00604C75" w:rsidRDefault="00224102" w:rsidP="00224102">
            <w:pPr>
              <w:ind w:right="50"/>
              <w:jc w:val="right"/>
              <w:rPr>
                <w:b/>
                <w:sz w:val="18"/>
                <w:szCs w:val="18"/>
              </w:rPr>
            </w:pPr>
            <w:r w:rsidRPr="00692926">
              <w:rPr>
                <w:b/>
                <w:bCs/>
                <w:sz w:val="18"/>
                <w:szCs w:val="18"/>
              </w:rPr>
              <w:t>-</w:t>
            </w:r>
          </w:p>
        </w:tc>
        <w:tc>
          <w:tcPr>
            <w:tcW w:w="905" w:type="dxa"/>
            <w:vAlign w:val="bottom"/>
          </w:tcPr>
          <w:p w14:paraId="708DDA23" w14:textId="5027389A" w:rsidR="00224102" w:rsidRPr="00604C75" w:rsidRDefault="00224102" w:rsidP="00224102">
            <w:pPr>
              <w:ind w:right="50"/>
              <w:jc w:val="right"/>
              <w:rPr>
                <w:b/>
                <w:sz w:val="18"/>
                <w:szCs w:val="18"/>
              </w:rPr>
            </w:pPr>
            <w:r w:rsidRPr="00692926">
              <w:rPr>
                <w:b/>
                <w:bCs/>
                <w:sz w:val="18"/>
                <w:szCs w:val="18"/>
              </w:rPr>
              <w:t>67,184</w:t>
            </w:r>
          </w:p>
        </w:tc>
      </w:tr>
      <w:tr w:rsidR="00224102" w:rsidRPr="00604C75" w14:paraId="37DBA6E8" w14:textId="77777777" w:rsidTr="00877CBD">
        <w:trPr>
          <w:trHeight w:val="247"/>
        </w:trPr>
        <w:tc>
          <w:tcPr>
            <w:tcW w:w="1896" w:type="dxa"/>
            <w:shd w:val="clear" w:color="auto" w:fill="FFFFFF"/>
            <w:vAlign w:val="bottom"/>
          </w:tcPr>
          <w:p w14:paraId="61C78230" w14:textId="77777777" w:rsidR="00224102" w:rsidRPr="00604C75" w:rsidRDefault="00224102" w:rsidP="00224102">
            <w:pPr>
              <w:rPr>
                <w:rFonts w:eastAsia="Arial Unicode MS"/>
                <w:b/>
                <w:noProof/>
                <w:color w:val="000000"/>
                <w:sz w:val="16"/>
                <w:szCs w:val="16"/>
              </w:rPr>
            </w:pPr>
            <w:r w:rsidRPr="00604C75">
              <w:rPr>
                <w:b/>
                <w:noProof/>
                <w:sz w:val="16"/>
                <w:szCs w:val="16"/>
              </w:rPr>
              <w:t>Precious Metal Deposits</w:t>
            </w:r>
          </w:p>
        </w:tc>
        <w:tc>
          <w:tcPr>
            <w:tcW w:w="893" w:type="dxa"/>
            <w:vAlign w:val="bottom"/>
          </w:tcPr>
          <w:p w14:paraId="3DDA54CA" w14:textId="787A76D3" w:rsidR="00224102" w:rsidRPr="00604C75" w:rsidRDefault="00224102" w:rsidP="00224102">
            <w:pPr>
              <w:ind w:right="50"/>
              <w:jc w:val="right"/>
              <w:rPr>
                <w:b/>
                <w:sz w:val="18"/>
                <w:szCs w:val="18"/>
              </w:rPr>
            </w:pPr>
            <w:r w:rsidRPr="00692926">
              <w:rPr>
                <w:b/>
                <w:bCs/>
                <w:sz w:val="18"/>
                <w:szCs w:val="18"/>
              </w:rPr>
              <w:t>9,772</w:t>
            </w:r>
          </w:p>
        </w:tc>
        <w:tc>
          <w:tcPr>
            <w:tcW w:w="955" w:type="dxa"/>
            <w:vAlign w:val="bottom"/>
          </w:tcPr>
          <w:p w14:paraId="7BF38BB1" w14:textId="24E7F1A3" w:rsidR="00224102" w:rsidRPr="00604C75" w:rsidRDefault="00224102" w:rsidP="00224102">
            <w:pPr>
              <w:ind w:right="50"/>
              <w:jc w:val="right"/>
              <w:rPr>
                <w:b/>
                <w:sz w:val="18"/>
                <w:szCs w:val="18"/>
              </w:rPr>
            </w:pPr>
            <w:r w:rsidRPr="00692926">
              <w:rPr>
                <w:b/>
                <w:bCs/>
                <w:sz w:val="18"/>
                <w:szCs w:val="18"/>
              </w:rPr>
              <w:t>-</w:t>
            </w:r>
          </w:p>
        </w:tc>
        <w:tc>
          <w:tcPr>
            <w:tcW w:w="897" w:type="dxa"/>
            <w:vAlign w:val="bottom"/>
          </w:tcPr>
          <w:p w14:paraId="4942FBFD" w14:textId="01058A1F" w:rsidR="00224102" w:rsidRPr="00604C75" w:rsidRDefault="00224102" w:rsidP="00224102">
            <w:pPr>
              <w:ind w:right="50"/>
              <w:jc w:val="right"/>
              <w:rPr>
                <w:b/>
                <w:sz w:val="18"/>
                <w:szCs w:val="18"/>
              </w:rPr>
            </w:pPr>
            <w:r w:rsidRPr="00692926">
              <w:rPr>
                <w:b/>
                <w:bCs/>
                <w:sz w:val="18"/>
                <w:szCs w:val="18"/>
              </w:rPr>
              <w:t>10</w:t>
            </w:r>
          </w:p>
        </w:tc>
        <w:tc>
          <w:tcPr>
            <w:tcW w:w="970" w:type="dxa"/>
            <w:vAlign w:val="bottom"/>
          </w:tcPr>
          <w:p w14:paraId="29C9E7F6" w14:textId="5F7662AD" w:rsidR="00224102" w:rsidRPr="00604C75" w:rsidRDefault="00224102" w:rsidP="00224102">
            <w:pPr>
              <w:ind w:right="50"/>
              <w:jc w:val="right"/>
              <w:rPr>
                <w:b/>
                <w:sz w:val="18"/>
                <w:szCs w:val="18"/>
              </w:rPr>
            </w:pPr>
            <w:r w:rsidRPr="00692926">
              <w:rPr>
                <w:b/>
                <w:bCs/>
                <w:sz w:val="18"/>
                <w:szCs w:val="18"/>
              </w:rPr>
              <w:t>737</w:t>
            </w:r>
          </w:p>
        </w:tc>
        <w:tc>
          <w:tcPr>
            <w:tcW w:w="885" w:type="dxa"/>
            <w:vAlign w:val="bottom"/>
          </w:tcPr>
          <w:p w14:paraId="41D4940C" w14:textId="31B1B454" w:rsidR="00224102" w:rsidRPr="00604C75" w:rsidRDefault="00224102" w:rsidP="00224102">
            <w:pPr>
              <w:ind w:right="50"/>
              <w:jc w:val="right"/>
              <w:rPr>
                <w:b/>
                <w:sz w:val="18"/>
                <w:szCs w:val="18"/>
              </w:rPr>
            </w:pPr>
            <w:r w:rsidRPr="00692926">
              <w:rPr>
                <w:b/>
                <w:bCs/>
                <w:sz w:val="18"/>
                <w:szCs w:val="18"/>
              </w:rPr>
              <w:t>684</w:t>
            </w:r>
          </w:p>
        </w:tc>
        <w:tc>
          <w:tcPr>
            <w:tcW w:w="823" w:type="dxa"/>
            <w:vAlign w:val="bottom"/>
          </w:tcPr>
          <w:p w14:paraId="1340555F" w14:textId="380A0AC8" w:rsidR="00224102" w:rsidRPr="00604C75" w:rsidRDefault="00224102" w:rsidP="00224102">
            <w:pPr>
              <w:ind w:right="50"/>
              <w:jc w:val="right"/>
              <w:rPr>
                <w:b/>
                <w:sz w:val="18"/>
                <w:szCs w:val="18"/>
              </w:rPr>
            </w:pPr>
            <w:r w:rsidRPr="00692926">
              <w:rPr>
                <w:b/>
                <w:bCs/>
                <w:sz w:val="18"/>
                <w:szCs w:val="18"/>
              </w:rPr>
              <w:t>588</w:t>
            </w:r>
          </w:p>
        </w:tc>
        <w:tc>
          <w:tcPr>
            <w:tcW w:w="731" w:type="dxa"/>
            <w:vAlign w:val="bottom"/>
          </w:tcPr>
          <w:p w14:paraId="2617DC27" w14:textId="31973AE8" w:rsidR="00224102" w:rsidRPr="00604C75" w:rsidRDefault="00224102" w:rsidP="00224102">
            <w:pPr>
              <w:ind w:right="50"/>
              <w:jc w:val="right"/>
              <w:rPr>
                <w:b/>
                <w:sz w:val="18"/>
                <w:szCs w:val="18"/>
              </w:rPr>
            </w:pPr>
            <w:r w:rsidRPr="00692926">
              <w:rPr>
                <w:b/>
                <w:bCs/>
                <w:sz w:val="18"/>
                <w:szCs w:val="18"/>
              </w:rPr>
              <w:t>1,653</w:t>
            </w:r>
          </w:p>
        </w:tc>
        <w:tc>
          <w:tcPr>
            <w:tcW w:w="1110" w:type="dxa"/>
            <w:vAlign w:val="bottom"/>
          </w:tcPr>
          <w:p w14:paraId="7C65984F" w14:textId="694C1C54" w:rsidR="00224102" w:rsidRPr="00604C75" w:rsidRDefault="00224102" w:rsidP="00224102">
            <w:pPr>
              <w:ind w:right="50"/>
              <w:jc w:val="right"/>
              <w:rPr>
                <w:b/>
                <w:sz w:val="18"/>
                <w:szCs w:val="18"/>
              </w:rPr>
            </w:pPr>
            <w:r w:rsidRPr="00692926">
              <w:rPr>
                <w:b/>
                <w:bCs/>
                <w:sz w:val="18"/>
                <w:szCs w:val="18"/>
              </w:rPr>
              <w:t>-</w:t>
            </w:r>
          </w:p>
        </w:tc>
        <w:tc>
          <w:tcPr>
            <w:tcW w:w="905" w:type="dxa"/>
            <w:vAlign w:val="bottom"/>
          </w:tcPr>
          <w:p w14:paraId="60910E3A" w14:textId="7C6E94D4" w:rsidR="00224102" w:rsidRPr="00604C75" w:rsidRDefault="00224102" w:rsidP="00224102">
            <w:pPr>
              <w:ind w:right="50"/>
              <w:jc w:val="right"/>
              <w:rPr>
                <w:b/>
                <w:sz w:val="18"/>
                <w:szCs w:val="18"/>
              </w:rPr>
            </w:pPr>
            <w:r w:rsidRPr="00692926">
              <w:rPr>
                <w:b/>
                <w:bCs/>
                <w:sz w:val="18"/>
                <w:szCs w:val="18"/>
              </w:rPr>
              <w:t>13,444</w:t>
            </w:r>
          </w:p>
        </w:tc>
      </w:tr>
      <w:tr w:rsidR="00224102" w:rsidRPr="00604C75" w14:paraId="3EB992A5" w14:textId="77777777" w:rsidTr="00877CBD">
        <w:trPr>
          <w:trHeight w:val="247"/>
        </w:trPr>
        <w:tc>
          <w:tcPr>
            <w:tcW w:w="1896" w:type="dxa"/>
            <w:shd w:val="clear" w:color="auto" w:fill="FFFFFF"/>
            <w:vAlign w:val="bottom"/>
          </w:tcPr>
          <w:p w14:paraId="009ED1F9" w14:textId="77777777" w:rsidR="00224102" w:rsidRPr="00604C75" w:rsidRDefault="00224102" w:rsidP="00224102">
            <w:pPr>
              <w:rPr>
                <w:rFonts w:eastAsia="Arial Unicode MS"/>
                <w:b/>
                <w:noProof/>
                <w:color w:val="000000"/>
                <w:sz w:val="16"/>
                <w:szCs w:val="16"/>
              </w:rPr>
            </w:pPr>
            <w:r w:rsidRPr="00604C75">
              <w:rPr>
                <w:b/>
                <w:noProof/>
                <w:sz w:val="16"/>
                <w:szCs w:val="16"/>
              </w:rPr>
              <w:t>Bank Deposits</w:t>
            </w:r>
          </w:p>
        </w:tc>
        <w:tc>
          <w:tcPr>
            <w:tcW w:w="893" w:type="dxa"/>
            <w:vAlign w:val="bottom"/>
          </w:tcPr>
          <w:p w14:paraId="67EA0011" w14:textId="6248341B" w:rsidR="00224102" w:rsidRPr="00604C75" w:rsidRDefault="00224102" w:rsidP="00224102">
            <w:pPr>
              <w:ind w:right="50"/>
              <w:jc w:val="right"/>
              <w:rPr>
                <w:b/>
                <w:sz w:val="18"/>
                <w:szCs w:val="18"/>
              </w:rPr>
            </w:pPr>
            <w:r w:rsidRPr="00692926">
              <w:rPr>
                <w:b/>
                <w:bCs/>
                <w:sz w:val="18"/>
                <w:szCs w:val="18"/>
              </w:rPr>
              <w:t>600</w:t>
            </w:r>
          </w:p>
        </w:tc>
        <w:tc>
          <w:tcPr>
            <w:tcW w:w="955" w:type="dxa"/>
            <w:vAlign w:val="bottom"/>
          </w:tcPr>
          <w:p w14:paraId="17117860" w14:textId="397AFE89" w:rsidR="00224102" w:rsidRPr="00604C75" w:rsidRDefault="00224102" w:rsidP="00224102">
            <w:pPr>
              <w:ind w:right="50"/>
              <w:jc w:val="right"/>
              <w:rPr>
                <w:b/>
                <w:sz w:val="18"/>
                <w:szCs w:val="18"/>
              </w:rPr>
            </w:pPr>
            <w:r w:rsidRPr="00692926">
              <w:rPr>
                <w:b/>
                <w:bCs/>
                <w:sz w:val="18"/>
                <w:szCs w:val="18"/>
              </w:rPr>
              <w:t>-</w:t>
            </w:r>
          </w:p>
        </w:tc>
        <w:tc>
          <w:tcPr>
            <w:tcW w:w="897" w:type="dxa"/>
            <w:vAlign w:val="bottom"/>
          </w:tcPr>
          <w:p w14:paraId="1443C4E8" w14:textId="59F3122A" w:rsidR="00224102" w:rsidRPr="00604C75" w:rsidRDefault="00224102" w:rsidP="00224102">
            <w:pPr>
              <w:ind w:right="50"/>
              <w:jc w:val="right"/>
              <w:rPr>
                <w:b/>
                <w:sz w:val="18"/>
                <w:szCs w:val="18"/>
              </w:rPr>
            </w:pPr>
            <w:r w:rsidRPr="00692926">
              <w:rPr>
                <w:b/>
                <w:bCs/>
                <w:sz w:val="18"/>
                <w:szCs w:val="18"/>
              </w:rPr>
              <w:t>-</w:t>
            </w:r>
          </w:p>
        </w:tc>
        <w:tc>
          <w:tcPr>
            <w:tcW w:w="970" w:type="dxa"/>
            <w:vAlign w:val="bottom"/>
          </w:tcPr>
          <w:p w14:paraId="06E5BD72" w14:textId="4C46F100" w:rsidR="00224102" w:rsidRPr="00604C75" w:rsidRDefault="00224102" w:rsidP="00224102">
            <w:pPr>
              <w:ind w:right="50"/>
              <w:jc w:val="right"/>
              <w:rPr>
                <w:b/>
                <w:sz w:val="18"/>
                <w:szCs w:val="18"/>
              </w:rPr>
            </w:pPr>
            <w:r w:rsidRPr="00692926">
              <w:rPr>
                <w:b/>
                <w:bCs/>
                <w:sz w:val="18"/>
                <w:szCs w:val="18"/>
              </w:rPr>
              <w:t>-</w:t>
            </w:r>
          </w:p>
        </w:tc>
        <w:tc>
          <w:tcPr>
            <w:tcW w:w="885" w:type="dxa"/>
            <w:vAlign w:val="bottom"/>
          </w:tcPr>
          <w:p w14:paraId="36A164A1" w14:textId="6C0C9C7D" w:rsidR="00224102" w:rsidRPr="00604C75" w:rsidRDefault="00224102" w:rsidP="00224102">
            <w:pPr>
              <w:ind w:right="50"/>
              <w:jc w:val="right"/>
              <w:rPr>
                <w:b/>
                <w:sz w:val="18"/>
                <w:szCs w:val="18"/>
              </w:rPr>
            </w:pPr>
            <w:r w:rsidRPr="00692926">
              <w:rPr>
                <w:b/>
                <w:bCs/>
                <w:sz w:val="18"/>
                <w:szCs w:val="18"/>
              </w:rPr>
              <w:t>94,389</w:t>
            </w:r>
          </w:p>
        </w:tc>
        <w:tc>
          <w:tcPr>
            <w:tcW w:w="823" w:type="dxa"/>
            <w:vAlign w:val="bottom"/>
          </w:tcPr>
          <w:p w14:paraId="689E4063" w14:textId="309A5096" w:rsidR="00224102" w:rsidRPr="00604C75" w:rsidRDefault="00224102" w:rsidP="00224102">
            <w:pPr>
              <w:ind w:right="50"/>
              <w:jc w:val="right"/>
              <w:rPr>
                <w:b/>
                <w:sz w:val="18"/>
                <w:szCs w:val="18"/>
              </w:rPr>
            </w:pPr>
            <w:r w:rsidRPr="00692926">
              <w:rPr>
                <w:b/>
                <w:bCs/>
                <w:sz w:val="18"/>
                <w:szCs w:val="18"/>
              </w:rPr>
              <w:t>94,688</w:t>
            </w:r>
          </w:p>
        </w:tc>
        <w:tc>
          <w:tcPr>
            <w:tcW w:w="731" w:type="dxa"/>
            <w:vAlign w:val="bottom"/>
          </w:tcPr>
          <w:p w14:paraId="1A19163F" w14:textId="7764334E" w:rsidR="00224102" w:rsidRPr="00604C75" w:rsidRDefault="00224102" w:rsidP="00224102">
            <w:pPr>
              <w:ind w:right="50"/>
              <w:jc w:val="right"/>
              <w:rPr>
                <w:b/>
                <w:sz w:val="18"/>
                <w:szCs w:val="18"/>
              </w:rPr>
            </w:pPr>
            <w:r w:rsidRPr="00692926">
              <w:rPr>
                <w:b/>
                <w:bCs/>
                <w:sz w:val="18"/>
                <w:szCs w:val="18"/>
              </w:rPr>
              <w:t>-</w:t>
            </w:r>
          </w:p>
        </w:tc>
        <w:tc>
          <w:tcPr>
            <w:tcW w:w="1110" w:type="dxa"/>
            <w:vAlign w:val="bottom"/>
          </w:tcPr>
          <w:p w14:paraId="4F77212A" w14:textId="5E987CD1" w:rsidR="00224102" w:rsidRPr="00604C75" w:rsidRDefault="00224102" w:rsidP="00224102">
            <w:pPr>
              <w:ind w:right="50"/>
              <w:jc w:val="right"/>
              <w:rPr>
                <w:b/>
                <w:sz w:val="18"/>
                <w:szCs w:val="18"/>
              </w:rPr>
            </w:pPr>
            <w:r w:rsidRPr="00692926">
              <w:rPr>
                <w:b/>
                <w:bCs/>
                <w:sz w:val="18"/>
                <w:szCs w:val="18"/>
              </w:rPr>
              <w:t>-</w:t>
            </w:r>
          </w:p>
        </w:tc>
        <w:tc>
          <w:tcPr>
            <w:tcW w:w="905" w:type="dxa"/>
            <w:vAlign w:val="bottom"/>
          </w:tcPr>
          <w:p w14:paraId="28401D87" w14:textId="673EBBF7" w:rsidR="00224102" w:rsidRPr="00604C75" w:rsidRDefault="00224102" w:rsidP="00224102">
            <w:pPr>
              <w:ind w:right="50"/>
              <w:jc w:val="right"/>
              <w:rPr>
                <w:b/>
                <w:sz w:val="18"/>
                <w:szCs w:val="18"/>
              </w:rPr>
            </w:pPr>
            <w:r w:rsidRPr="00692926">
              <w:rPr>
                <w:b/>
                <w:bCs/>
                <w:sz w:val="18"/>
                <w:szCs w:val="18"/>
              </w:rPr>
              <w:t>189,677</w:t>
            </w:r>
          </w:p>
        </w:tc>
      </w:tr>
      <w:tr w:rsidR="00224102" w:rsidRPr="00604C75" w14:paraId="0DDD25A7" w14:textId="77777777" w:rsidTr="00877CBD">
        <w:trPr>
          <w:trHeight w:val="247"/>
        </w:trPr>
        <w:tc>
          <w:tcPr>
            <w:tcW w:w="1896" w:type="dxa"/>
            <w:shd w:val="clear" w:color="auto" w:fill="FFFFFF"/>
            <w:vAlign w:val="bottom"/>
          </w:tcPr>
          <w:p w14:paraId="703B8C2B" w14:textId="77777777" w:rsidR="00224102" w:rsidRPr="00604C75" w:rsidRDefault="00224102" w:rsidP="00224102">
            <w:pPr>
              <w:rPr>
                <w:rFonts w:eastAsia="Arial Unicode MS"/>
                <w:noProof/>
                <w:color w:val="000000"/>
                <w:sz w:val="16"/>
                <w:szCs w:val="16"/>
              </w:rPr>
            </w:pPr>
            <w:r w:rsidRPr="00604C75">
              <w:rPr>
                <w:noProof/>
                <w:color w:val="000000"/>
                <w:sz w:val="16"/>
                <w:szCs w:val="16"/>
              </w:rPr>
              <w:t xml:space="preserve">    </w:t>
            </w:r>
            <w:r w:rsidRPr="00604C75">
              <w:rPr>
                <w:noProof/>
                <w:sz w:val="16"/>
                <w:szCs w:val="16"/>
              </w:rPr>
              <w:t>The CBRT</w:t>
            </w:r>
          </w:p>
        </w:tc>
        <w:tc>
          <w:tcPr>
            <w:tcW w:w="893" w:type="dxa"/>
            <w:vAlign w:val="bottom"/>
          </w:tcPr>
          <w:p w14:paraId="377D51B8" w14:textId="4CD2FB5E" w:rsidR="00224102" w:rsidRPr="00604C75" w:rsidRDefault="00224102" w:rsidP="00224102">
            <w:pPr>
              <w:ind w:right="50"/>
              <w:jc w:val="right"/>
              <w:rPr>
                <w:sz w:val="18"/>
                <w:szCs w:val="18"/>
              </w:rPr>
            </w:pPr>
            <w:r w:rsidRPr="00692926">
              <w:rPr>
                <w:sz w:val="18"/>
                <w:szCs w:val="18"/>
              </w:rPr>
              <w:t>-</w:t>
            </w:r>
          </w:p>
        </w:tc>
        <w:tc>
          <w:tcPr>
            <w:tcW w:w="955" w:type="dxa"/>
            <w:vAlign w:val="bottom"/>
          </w:tcPr>
          <w:p w14:paraId="5DB4E2AC" w14:textId="4F658AD2" w:rsidR="00224102" w:rsidRPr="00604C75" w:rsidRDefault="00224102" w:rsidP="00224102">
            <w:pPr>
              <w:ind w:right="50"/>
              <w:jc w:val="right"/>
              <w:rPr>
                <w:sz w:val="18"/>
                <w:szCs w:val="18"/>
              </w:rPr>
            </w:pPr>
            <w:r w:rsidRPr="00692926">
              <w:rPr>
                <w:sz w:val="18"/>
                <w:szCs w:val="18"/>
              </w:rPr>
              <w:t>-</w:t>
            </w:r>
          </w:p>
        </w:tc>
        <w:tc>
          <w:tcPr>
            <w:tcW w:w="897" w:type="dxa"/>
            <w:vAlign w:val="bottom"/>
          </w:tcPr>
          <w:p w14:paraId="7F68D0B9" w14:textId="526BA23A" w:rsidR="00224102" w:rsidRPr="00604C75" w:rsidRDefault="00224102" w:rsidP="00224102">
            <w:pPr>
              <w:ind w:right="50"/>
              <w:jc w:val="right"/>
              <w:rPr>
                <w:sz w:val="18"/>
                <w:szCs w:val="18"/>
              </w:rPr>
            </w:pPr>
            <w:r w:rsidRPr="00692926">
              <w:rPr>
                <w:sz w:val="18"/>
                <w:szCs w:val="18"/>
              </w:rPr>
              <w:t>-</w:t>
            </w:r>
          </w:p>
        </w:tc>
        <w:tc>
          <w:tcPr>
            <w:tcW w:w="970" w:type="dxa"/>
            <w:vAlign w:val="bottom"/>
          </w:tcPr>
          <w:p w14:paraId="731C4D27" w14:textId="325870C3" w:rsidR="00224102" w:rsidRPr="00604C75" w:rsidRDefault="00224102" w:rsidP="00224102">
            <w:pPr>
              <w:ind w:right="50"/>
              <w:jc w:val="right"/>
              <w:rPr>
                <w:sz w:val="18"/>
                <w:szCs w:val="18"/>
              </w:rPr>
            </w:pPr>
            <w:r w:rsidRPr="00692926">
              <w:rPr>
                <w:sz w:val="18"/>
                <w:szCs w:val="18"/>
              </w:rPr>
              <w:t>-</w:t>
            </w:r>
          </w:p>
        </w:tc>
        <w:tc>
          <w:tcPr>
            <w:tcW w:w="885" w:type="dxa"/>
            <w:vAlign w:val="bottom"/>
          </w:tcPr>
          <w:p w14:paraId="1FC8CC6D" w14:textId="18F3ADA1" w:rsidR="00224102" w:rsidRPr="00604C75" w:rsidRDefault="00224102" w:rsidP="00224102">
            <w:pPr>
              <w:ind w:right="50"/>
              <w:jc w:val="right"/>
              <w:rPr>
                <w:sz w:val="18"/>
                <w:szCs w:val="18"/>
              </w:rPr>
            </w:pPr>
            <w:r w:rsidRPr="00692926">
              <w:rPr>
                <w:sz w:val="18"/>
                <w:szCs w:val="18"/>
              </w:rPr>
              <w:t>-</w:t>
            </w:r>
          </w:p>
        </w:tc>
        <w:tc>
          <w:tcPr>
            <w:tcW w:w="823" w:type="dxa"/>
            <w:vAlign w:val="bottom"/>
          </w:tcPr>
          <w:p w14:paraId="755743CB" w14:textId="014941E3" w:rsidR="00224102" w:rsidRPr="00604C75" w:rsidRDefault="00224102" w:rsidP="00224102">
            <w:pPr>
              <w:ind w:right="50"/>
              <w:jc w:val="right"/>
              <w:rPr>
                <w:sz w:val="18"/>
                <w:szCs w:val="18"/>
              </w:rPr>
            </w:pPr>
            <w:r w:rsidRPr="00692926">
              <w:rPr>
                <w:sz w:val="18"/>
                <w:szCs w:val="18"/>
              </w:rPr>
              <w:t>-</w:t>
            </w:r>
          </w:p>
        </w:tc>
        <w:tc>
          <w:tcPr>
            <w:tcW w:w="731" w:type="dxa"/>
            <w:vAlign w:val="bottom"/>
          </w:tcPr>
          <w:p w14:paraId="2FD0A68D" w14:textId="01642CC3" w:rsidR="00224102" w:rsidRPr="00604C75" w:rsidRDefault="00224102" w:rsidP="00224102">
            <w:pPr>
              <w:ind w:right="50"/>
              <w:jc w:val="right"/>
              <w:rPr>
                <w:sz w:val="18"/>
                <w:szCs w:val="18"/>
              </w:rPr>
            </w:pPr>
            <w:r w:rsidRPr="00692926">
              <w:rPr>
                <w:sz w:val="18"/>
                <w:szCs w:val="18"/>
              </w:rPr>
              <w:t>-</w:t>
            </w:r>
          </w:p>
        </w:tc>
        <w:tc>
          <w:tcPr>
            <w:tcW w:w="1110" w:type="dxa"/>
            <w:vAlign w:val="bottom"/>
          </w:tcPr>
          <w:p w14:paraId="729246F6" w14:textId="12058289" w:rsidR="00224102" w:rsidRPr="00604C75" w:rsidRDefault="00224102" w:rsidP="00224102">
            <w:pPr>
              <w:ind w:right="50"/>
              <w:jc w:val="right"/>
              <w:rPr>
                <w:sz w:val="18"/>
                <w:szCs w:val="18"/>
              </w:rPr>
            </w:pPr>
            <w:r w:rsidRPr="00692926">
              <w:rPr>
                <w:sz w:val="18"/>
                <w:szCs w:val="18"/>
              </w:rPr>
              <w:t>-</w:t>
            </w:r>
          </w:p>
        </w:tc>
        <w:tc>
          <w:tcPr>
            <w:tcW w:w="905" w:type="dxa"/>
            <w:vAlign w:val="bottom"/>
          </w:tcPr>
          <w:p w14:paraId="70B9401A" w14:textId="191290C1" w:rsidR="00224102" w:rsidRPr="00604C75" w:rsidRDefault="00224102" w:rsidP="00224102">
            <w:pPr>
              <w:ind w:right="50"/>
              <w:jc w:val="right"/>
              <w:rPr>
                <w:sz w:val="18"/>
                <w:szCs w:val="18"/>
              </w:rPr>
            </w:pPr>
            <w:r w:rsidRPr="00692926">
              <w:rPr>
                <w:sz w:val="18"/>
                <w:szCs w:val="18"/>
              </w:rPr>
              <w:t>-</w:t>
            </w:r>
          </w:p>
        </w:tc>
      </w:tr>
      <w:tr w:rsidR="00224102" w:rsidRPr="00604C75" w14:paraId="413B5AF2" w14:textId="77777777" w:rsidTr="00877CBD">
        <w:trPr>
          <w:trHeight w:val="247"/>
        </w:trPr>
        <w:tc>
          <w:tcPr>
            <w:tcW w:w="1896" w:type="dxa"/>
            <w:shd w:val="clear" w:color="auto" w:fill="FFFFFF"/>
            <w:vAlign w:val="bottom"/>
          </w:tcPr>
          <w:p w14:paraId="77FA230C" w14:textId="77777777" w:rsidR="00224102" w:rsidRPr="00604C75" w:rsidRDefault="00224102" w:rsidP="00224102">
            <w:pPr>
              <w:rPr>
                <w:rFonts w:eastAsia="Arial Unicode MS"/>
                <w:noProof/>
                <w:color w:val="000000"/>
                <w:sz w:val="16"/>
                <w:szCs w:val="16"/>
              </w:rPr>
            </w:pPr>
            <w:r w:rsidRPr="00604C75">
              <w:rPr>
                <w:noProof/>
                <w:color w:val="000000"/>
                <w:sz w:val="16"/>
                <w:szCs w:val="16"/>
              </w:rPr>
              <w:t xml:space="preserve">    </w:t>
            </w:r>
            <w:r w:rsidRPr="00604C75">
              <w:rPr>
                <w:noProof/>
                <w:sz w:val="16"/>
                <w:szCs w:val="16"/>
              </w:rPr>
              <w:t>Domestic Banks</w:t>
            </w:r>
          </w:p>
        </w:tc>
        <w:tc>
          <w:tcPr>
            <w:tcW w:w="893" w:type="dxa"/>
            <w:vAlign w:val="bottom"/>
          </w:tcPr>
          <w:p w14:paraId="521F8A14" w14:textId="7A6EC925" w:rsidR="00224102" w:rsidRPr="00604C75" w:rsidRDefault="00224102" w:rsidP="00224102">
            <w:pPr>
              <w:ind w:right="50"/>
              <w:jc w:val="right"/>
              <w:rPr>
                <w:sz w:val="18"/>
                <w:szCs w:val="18"/>
              </w:rPr>
            </w:pPr>
            <w:r w:rsidRPr="00692926">
              <w:rPr>
                <w:sz w:val="18"/>
                <w:szCs w:val="18"/>
              </w:rPr>
              <w:t>381</w:t>
            </w:r>
          </w:p>
        </w:tc>
        <w:tc>
          <w:tcPr>
            <w:tcW w:w="955" w:type="dxa"/>
            <w:vAlign w:val="bottom"/>
          </w:tcPr>
          <w:p w14:paraId="1F0111E3" w14:textId="13E4DBB1" w:rsidR="00224102" w:rsidRPr="00604C75" w:rsidRDefault="00224102" w:rsidP="00224102">
            <w:pPr>
              <w:ind w:right="50"/>
              <w:jc w:val="right"/>
              <w:rPr>
                <w:sz w:val="18"/>
                <w:szCs w:val="18"/>
              </w:rPr>
            </w:pPr>
            <w:r w:rsidRPr="00692926">
              <w:rPr>
                <w:sz w:val="18"/>
                <w:szCs w:val="18"/>
              </w:rPr>
              <w:t>-</w:t>
            </w:r>
          </w:p>
        </w:tc>
        <w:tc>
          <w:tcPr>
            <w:tcW w:w="897" w:type="dxa"/>
            <w:vAlign w:val="bottom"/>
          </w:tcPr>
          <w:p w14:paraId="0717E52B" w14:textId="453960B7" w:rsidR="00224102" w:rsidRPr="00604C75" w:rsidRDefault="00224102" w:rsidP="00224102">
            <w:pPr>
              <w:ind w:right="50"/>
              <w:jc w:val="right"/>
              <w:rPr>
                <w:sz w:val="18"/>
                <w:szCs w:val="18"/>
              </w:rPr>
            </w:pPr>
            <w:r w:rsidRPr="00692926">
              <w:rPr>
                <w:sz w:val="18"/>
                <w:szCs w:val="18"/>
              </w:rPr>
              <w:t>-</w:t>
            </w:r>
          </w:p>
        </w:tc>
        <w:tc>
          <w:tcPr>
            <w:tcW w:w="970" w:type="dxa"/>
            <w:vAlign w:val="bottom"/>
          </w:tcPr>
          <w:p w14:paraId="3ABF62D6" w14:textId="46FCE121" w:rsidR="00224102" w:rsidRPr="00604C75" w:rsidRDefault="00224102" w:rsidP="00224102">
            <w:pPr>
              <w:ind w:right="50"/>
              <w:jc w:val="right"/>
              <w:rPr>
                <w:sz w:val="18"/>
                <w:szCs w:val="18"/>
              </w:rPr>
            </w:pPr>
            <w:r w:rsidRPr="00692926">
              <w:rPr>
                <w:sz w:val="18"/>
                <w:szCs w:val="18"/>
              </w:rPr>
              <w:t>-</w:t>
            </w:r>
          </w:p>
        </w:tc>
        <w:tc>
          <w:tcPr>
            <w:tcW w:w="885" w:type="dxa"/>
            <w:vAlign w:val="bottom"/>
          </w:tcPr>
          <w:p w14:paraId="5B3F78C4" w14:textId="6066B618" w:rsidR="00224102" w:rsidRPr="00604C75" w:rsidRDefault="00224102" w:rsidP="00224102">
            <w:pPr>
              <w:ind w:right="50"/>
              <w:jc w:val="right"/>
              <w:rPr>
                <w:sz w:val="18"/>
                <w:szCs w:val="18"/>
              </w:rPr>
            </w:pPr>
            <w:r w:rsidRPr="00692926">
              <w:rPr>
                <w:sz w:val="18"/>
                <w:szCs w:val="18"/>
              </w:rPr>
              <w:t>-</w:t>
            </w:r>
          </w:p>
        </w:tc>
        <w:tc>
          <w:tcPr>
            <w:tcW w:w="823" w:type="dxa"/>
            <w:vAlign w:val="bottom"/>
          </w:tcPr>
          <w:p w14:paraId="2D08ECEB" w14:textId="3288B2E9" w:rsidR="00224102" w:rsidRPr="00604C75" w:rsidRDefault="00224102" w:rsidP="00224102">
            <w:pPr>
              <w:ind w:right="50"/>
              <w:jc w:val="right"/>
              <w:rPr>
                <w:sz w:val="18"/>
                <w:szCs w:val="18"/>
              </w:rPr>
            </w:pPr>
            <w:r w:rsidRPr="00692926">
              <w:rPr>
                <w:sz w:val="18"/>
                <w:szCs w:val="18"/>
              </w:rPr>
              <w:t>-</w:t>
            </w:r>
          </w:p>
        </w:tc>
        <w:tc>
          <w:tcPr>
            <w:tcW w:w="731" w:type="dxa"/>
            <w:vAlign w:val="bottom"/>
          </w:tcPr>
          <w:p w14:paraId="4A75B48F" w14:textId="7A1E5367" w:rsidR="00224102" w:rsidRPr="00604C75" w:rsidRDefault="00224102" w:rsidP="00224102">
            <w:pPr>
              <w:ind w:right="50"/>
              <w:jc w:val="right"/>
              <w:rPr>
                <w:sz w:val="18"/>
                <w:szCs w:val="18"/>
              </w:rPr>
            </w:pPr>
            <w:r w:rsidRPr="00692926">
              <w:rPr>
                <w:sz w:val="18"/>
                <w:szCs w:val="18"/>
              </w:rPr>
              <w:t>-</w:t>
            </w:r>
          </w:p>
        </w:tc>
        <w:tc>
          <w:tcPr>
            <w:tcW w:w="1110" w:type="dxa"/>
            <w:vAlign w:val="bottom"/>
          </w:tcPr>
          <w:p w14:paraId="209CACD7" w14:textId="607ED2B2" w:rsidR="00224102" w:rsidRPr="00604C75" w:rsidRDefault="00224102" w:rsidP="00224102">
            <w:pPr>
              <w:ind w:right="50"/>
              <w:jc w:val="right"/>
              <w:rPr>
                <w:sz w:val="18"/>
                <w:szCs w:val="18"/>
              </w:rPr>
            </w:pPr>
            <w:r w:rsidRPr="00692926">
              <w:rPr>
                <w:sz w:val="18"/>
                <w:szCs w:val="18"/>
              </w:rPr>
              <w:t>-</w:t>
            </w:r>
          </w:p>
        </w:tc>
        <w:tc>
          <w:tcPr>
            <w:tcW w:w="905" w:type="dxa"/>
            <w:vAlign w:val="bottom"/>
          </w:tcPr>
          <w:p w14:paraId="359F743F" w14:textId="6A2D68D3" w:rsidR="00224102" w:rsidRPr="00604C75" w:rsidRDefault="00224102" w:rsidP="00224102">
            <w:pPr>
              <w:ind w:right="50"/>
              <w:jc w:val="right"/>
              <w:rPr>
                <w:sz w:val="18"/>
                <w:szCs w:val="18"/>
              </w:rPr>
            </w:pPr>
            <w:r w:rsidRPr="00692926">
              <w:rPr>
                <w:sz w:val="18"/>
                <w:szCs w:val="18"/>
              </w:rPr>
              <w:t>381</w:t>
            </w:r>
          </w:p>
        </w:tc>
      </w:tr>
      <w:tr w:rsidR="00224102" w:rsidRPr="00604C75" w14:paraId="7439E637" w14:textId="77777777" w:rsidTr="00877CBD">
        <w:trPr>
          <w:trHeight w:val="247"/>
        </w:trPr>
        <w:tc>
          <w:tcPr>
            <w:tcW w:w="1896" w:type="dxa"/>
            <w:shd w:val="clear" w:color="auto" w:fill="FFFFFF"/>
            <w:vAlign w:val="bottom"/>
          </w:tcPr>
          <w:p w14:paraId="1D1CC963" w14:textId="77777777" w:rsidR="00224102" w:rsidRPr="00604C75" w:rsidRDefault="00224102" w:rsidP="00224102">
            <w:pPr>
              <w:rPr>
                <w:rFonts w:eastAsia="Arial Unicode MS"/>
                <w:noProof/>
                <w:color w:val="000000"/>
                <w:sz w:val="16"/>
                <w:szCs w:val="16"/>
              </w:rPr>
            </w:pPr>
            <w:r w:rsidRPr="00604C75">
              <w:rPr>
                <w:noProof/>
                <w:sz w:val="16"/>
                <w:szCs w:val="16"/>
              </w:rPr>
              <w:t xml:space="preserve">    Foreign Banks</w:t>
            </w:r>
          </w:p>
        </w:tc>
        <w:tc>
          <w:tcPr>
            <w:tcW w:w="893" w:type="dxa"/>
            <w:vAlign w:val="bottom"/>
          </w:tcPr>
          <w:p w14:paraId="74669BC6" w14:textId="12FB4B9E" w:rsidR="00224102" w:rsidRPr="00604C75" w:rsidRDefault="00224102" w:rsidP="00224102">
            <w:pPr>
              <w:ind w:right="50"/>
              <w:jc w:val="right"/>
              <w:rPr>
                <w:sz w:val="18"/>
                <w:szCs w:val="18"/>
              </w:rPr>
            </w:pPr>
            <w:r w:rsidRPr="00692926">
              <w:rPr>
                <w:sz w:val="18"/>
                <w:szCs w:val="18"/>
              </w:rPr>
              <w:t>30</w:t>
            </w:r>
          </w:p>
        </w:tc>
        <w:tc>
          <w:tcPr>
            <w:tcW w:w="955" w:type="dxa"/>
            <w:vAlign w:val="bottom"/>
          </w:tcPr>
          <w:p w14:paraId="1F72FFB4" w14:textId="3FC82C41" w:rsidR="00224102" w:rsidRPr="00604C75" w:rsidRDefault="00224102" w:rsidP="00224102">
            <w:pPr>
              <w:ind w:right="50"/>
              <w:jc w:val="right"/>
              <w:rPr>
                <w:sz w:val="18"/>
                <w:szCs w:val="18"/>
              </w:rPr>
            </w:pPr>
            <w:r w:rsidRPr="00692926">
              <w:rPr>
                <w:sz w:val="18"/>
                <w:szCs w:val="18"/>
              </w:rPr>
              <w:t>-</w:t>
            </w:r>
          </w:p>
        </w:tc>
        <w:tc>
          <w:tcPr>
            <w:tcW w:w="897" w:type="dxa"/>
            <w:vAlign w:val="bottom"/>
          </w:tcPr>
          <w:p w14:paraId="19C87123" w14:textId="7E38513D" w:rsidR="00224102" w:rsidRPr="00604C75" w:rsidRDefault="00224102" w:rsidP="00224102">
            <w:pPr>
              <w:ind w:right="50"/>
              <w:jc w:val="right"/>
              <w:rPr>
                <w:sz w:val="18"/>
                <w:szCs w:val="18"/>
              </w:rPr>
            </w:pPr>
            <w:r w:rsidRPr="00692926">
              <w:rPr>
                <w:sz w:val="18"/>
                <w:szCs w:val="18"/>
              </w:rPr>
              <w:t>-</w:t>
            </w:r>
          </w:p>
        </w:tc>
        <w:tc>
          <w:tcPr>
            <w:tcW w:w="970" w:type="dxa"/>
            <w:vAlign w:val="bottom"/>
          </w:tcPr>
          <w:p w14:paraId="39A90FE6" w14:textId="58BBEBF2" w:rsidR="00224102" w:rsidRPr="00604C75" w:rsidRDefault="00224102" w:rsidP="00224102">
            <w:pPr>
              <w:ind w:right="50"/>
              <w:jc w:val="right"/>
              <w:rPr>
                <w:sz w:val="18"/>
                <w:szCs w:val="18"/>
              </w:rPr>
            </w:pPr>
            <w:r w:rsidRPr="00692926">
              <w:rPr>
                <w:sz w:val="18"/>
                <w:szCs w:val="18"/>
              </w:rPr>
              <w:t>-</w:t>
            </w:r>
          </w:p>
        </w:tc>
        <w:tc>
          <w:tcPr>
            <w:tcW w:w="885" w:type="dxa"/>
            <w:vAlign w:val="bottom"/>
          </w:tcPr>
          <w:p w14:paraId="25D3CFA3" w14:textId="0379685E" w:rsidR="00224102" w:rsidRPr="00604C75" w:rsidRDefault="00224102" w:rsidP="00224102">
            <w:pPr>
              <w:ind w:right="50"/>
              <w:jc w:val="right"/>
              <w:rPr>
                <w:sz w:val="18"/>
                <w:szCs w:val="18"/>
              </w:rPr>
            </w:pPr>
            <w:r w:rsidRPr="00692926">
              <w:rPr>
                <w:sz w:val="18"/>
                <w:szCs w:val="18"/>
              </w:rPr>
              <w:t>94,389</w:t>
            </w:r>
          </w:p>
        </w:tc>
        <w:tc>
          <w:tcPr>
            <w:tcW w:w="823" w:type="dxa"/>
            <w:vAlign w:val="bottom"/>
          </w:tcPr>
          <w:p w14:paraId="49D154F7" w14:textId="60B3E599" w:rsidR="00224102" w:rsidRPr="00604C75" w:rsidRDefault="00224102" w:rsidP="00224102">
            <w:pPr>
              <w:ind w:right="50"/>
              <w:jc w:val="right"/>
              <w:rPr>
                <w:sz w:val="18"/>
                <w:szCs w:val="18"/>
              </w:rPr>
            </w:pPr>
            <w:r w:rsidRPr="00692926">
              <w:rPr>
                <w:sz w:val="18"/>
                <w:szCs w:val="18"/>
              </w:rPr>
              <w:t>94,688</w:t>
            </w:r>
          </w:p>
        </w:tc>
        <w:tc>
          <w:tcPr>
            <w:tcW w:w="731" w:type="dxa"/>
            <w:vAlign w:val="bottom"/>
          </w:tcPr>
          <w:p w14:paraId="7EB55CC5" w14:textId="628B0FA6" w:rsidR="00224102" w:rsidRPr="00604C75" w:rsidRDefault="00224102" w:rsidP="00224102">
            <w:pPr>
              <w:ind w:right="50"/>
              <w:jc w:val="right"/>
              <w:rPr>
                <w:sz w:val="18"/>
                <w:szCs w:val="18"/>
              </w:rPr>
            </w:pPr>
            <w:r w:rsidRPr="00692926">
              <w:rPr>
                <w:sz w:val="18"/>
                <w:szCs w:val="18"/>
              </w:rPr>
              <w:t>-</w:t>
            </w:r>
          </w:p>
        </w:tc>
        <w:tc>
          <w:tcPr>
            <w:tcW w:w="1110" w:type="dxa"/>
            <w:vAlign w:val="bottom"/>
          </w:tcPr>
          <w:p w14:paraId="0EB4F7FE" w14:textId="4FCC4643" w:rsidR="00224102" w:rsidRPr="00604C75" w:rsidRDefault="00224102" w:rsidP="00224102">
            <w:pPr>
              <w:ind w:right="50"/>
              <w:jc w:val="right"/>
              <w:rPr>
                <w:sz w:val="18"/>
                <w:szCs w:val="18"/>
              </w:rPr>
            </w:pPr>
            <w:r w:rsidRPr="00692926">
              <w:rPr>
                <w:sz w:val="18"/>
                <w:szCs w:val="18"/>
              </w:rPr>
              <w:t>-</w:t>
            </w:r>
          </w:p>
        </w:tc>
        <w:tc>
          <w:tcPr>
            <w:tcW w:w="905" w:type="dxa"/>
            <w:vAlign w:val="bottom"/>
          </w:tcPr>
          <w:p w14:paraId="4F9A79A7" w14:textId="0AB1F05A" w:rsidR="00224102" w:rsidRPr="00604C75" w:rsidRDefault="00224102" w:rsidP="00224102">
            <w:pPr>
              <w:ind w:right="50"/>
              <w:jc w:val="right"/>
              <w:rPr>
                <w:sz w:val="18"/>
                <w:szCs w:val="18"/>
              </w:rPr>
            </w:pPr>
            <w:r w:rsidRPr="00692926">
              <w:rPr>
                <w:sz w:val="18"/>
                <w:szCs w:val="18"/>
              </w:rPr>
              <w:t>189,107</w:t>
            </w:r>
          </w:p>
        </w:tc>
      </w:tr>
      <w:tr w:rsidR="00224102" w:rsidRPr="00604C75" w14:paraId="5D1D6455" w14:textId="77777777" w:rsidTr="00877CBD">
        <w:trPr>
          <w:trHeight w:val="247"/>
        </w:trPr>
        <w:tc>
          <w:tcPr>
            <w:tcW w:w="1896" w:type="dxa"/>
            <w:shd w:val="clear" w:color="auto" w:fill="FFFFFF"/>
            <w:vAlign w:val="bottom"/>
          </w:tcPr>
          <w:p w14:paraId="6C41B10E" w14:textId="77777777" w:rsidR="00224102" w:rsidRPr="00604C75" w:rsidRDefault="00224102" w:rsidP="00224102">
            <w:pPr>
              <w:ind w:left="180" w:hanging="180"/>
              <w:rPr>
                <w:rFonts w:eastAsia="Arial Unicode MS"/>
                <w:noProof/>
                <w:color w:val="000000"/>
                <w:sz w:val="16"/>
                <w:szCs w:val="16"/>
              </w:rPr>
            </w:pPr>
            <w:r w:rsidRPr="00604C75">
              <w:rPr>
                <w:noProof/>
                <w:sz w:val="16"/>
                <w:szCs w:val="16"/>
              </w:rPr>
              <w:t xml:space="preserve">    </w:t>
            </w:r>
            <w:hyperlink r:id="rId25" w:history="1">
              <w:r w:rsidRPr="00604C75">
                <w:rPr>
                  <w:noProof/>
                  <w:sz w:val="16"/>
                  <w:szCs w:val="16"/>
                </w:rPr>
                <w:t>Participation Bank</w:t>
              </w:r>
            </w:hyperlink>
            <w:r w:rsidRPr="00604C75">
              <w:rPr>
                <w:noProof/>
                <w:sz w:val="16"/>
                <w:szCs w:val="16"/>
              </w:rPr>
              <w:t>s</w:t>
            </w:r>
          </w:p>
        </w:tc>
        <w:tc>
          <w:tcPr>
            <w:tcW w:w="893" w:type="dxa"/>
            <w:vAlign w:val="bottom"/>
          </w:tcPr>
          <w:p w14:paraId="2F3267A3" w14:textId="28B39FA5" w:rsidR="00224102" w:rsidRPr="00604C75" w:rsidRDefault="00224102" w:rsidP="00224102">
            <w:pPr>
              <w:ind w:right="50"/>
              <w:jc w:val="right"/>
              <w:rPr>
                <w:sz w:val="18"/>
                <w:szCs w:val="18"/>
              </w:rPr>
            </w:pPr>
            <w:r w:rsidRPr="00692926">
              <w:rPr>
                <w:sz w:val="18"/>
                <w:szCs w:val="18"/>
              </w:rPr>
              <w:t>189</w:t>
            </w:r>
          </w:p>
        </w:tc>
        <w:tc>
          <w:tcPr>
            <w:tcW w:w="955" w:type="dxa"/>
            <w:vAlign w:val="bottom"/>
          </w:tcPr>
          <w:p w14:paraId="3BBEB44D" w14:textId="39BE39FD" w:rsidR="00224102" w:rsidRPr="00604C75" w:rsidRDefault="00224102" w:rsidP="00224102">
            <w:pPr>
              <w:ind w:right="50"/>
              <w:jc w:val="right"/>
              <w:rPr>
                <w:sz w:val="18"/>
                <w:szCs w:val="18"/>
              </w:rPr>
            </w:pPr>
            <w:r w:rsidRPr="00692926">
              <w:rPr>
                <w:sz w:val="18"/>
                <w:szCs w:val="18"/>
              </w:rPr>
              <w:t>-</w:t>
            </w:r>
          </w:p>
        </w:tc>
        <w:tc>
          <w:tcPr>
            <w:tcW w:w="897" w:type="dxa"/>
            <w:vAlign w:val="bottom"/>
          </w:tcPr>
          <w:p w14:paraId="1E17D0E1" w14:textId="545ADFA5" w:rsidR="00224102" w:rsidRPr="00604C75" w:rsidRDefault="00224102" w:rsidP="00224102">
            <w:pPr>
              <w:ind w:right="50"/>
              <w:jc w:val="right"/>
              <w:rPr>
                <w:sz w:val="18"/>
                <w:szCs w:val="18"/>
              </w:rPr>
            </w:pPr>
            <w:r w:rsidRPr="00692926">
              <w:rPr>
                <w:sz w:val="18"/>
                <w:szCs w:val="18"/>
              </w:rPr>
              <w:t>-</w:t>
            </w:r>
          </w:p>
        </w:tc>
        <w:tc>
          <w:tcPr>
            <w:tcW w:w="970" w:type="dxa"/>
            <w:vAlign w:val="bottom"/>
          </w:tcPr>
          <w:p w14:paraId="12B51897" w14:textId="3DF2D017" w:rsidR="00224102" w:rsidRPr="00604C75" w:rsidRDefault="00224102" w:rsidP="00224102">
            <w:pPr>
              <w:ind w:right="50"/>
              <w:jc w:val="right"/>
              <w:rPr>
                <w:sz w:val="18"/>
                <w:szCs w:val="18"/>
              </w:rPr>
            </w:pPr>
            <w:r w:rsidRPr="00692926">
              <w:rPr>
                <w:sz w:val="18"/>
                <w:szCs w:val="18"/>
              </w:rPr>
              <w:t>-</w:t>
            </w:r>
          </w:p>
        </w:tc>
        <w:tc>
          <w:tcPr>
            <w:tcW w:w="885" w:type="dxa"/>
            <w:vAlign w:val="bottom"/>
          </w:tcPr>
          <w:p w14:paraId="487D0BF5" w14:textId="6F3BA156" w:rsidR="00224102" w:rsidRPr="00604C75" w:rsidRDefault="00224102" w:rsidP="00224102">
            <w:pPr>
              <w:ind w:right="50"/>
              <w:jc w:val="right"/>
              <w:rPr>
                <w:sz w:val="18"/>
                <w:szCs w:val="18"/>
              </w:rPr>
            </w:pPr>
            <w:r w:rsidRPr="00692926">
              <w:rPr>
                <w:sz w:val="18"/>
                <w:szCs w:val="18"/>
              </w:rPr>
              <w:t>-</w:t>
            </w:r>
          </w:p>
        </w:tc>
        <w:tc>
          <w:tcPr>
            <w:tcW w:w="823" w:type="dxa"/>
            <w:vAlign w:val="bottom"/>
          </w:tcPr>
          <w:p w14:paraId="00408B34" w14:textId="46B4BDD9" w:rsidR="00224102" w:rsidRPr="00604C75" w:rsidRDefault="00224102" w:rsidP="00224102">
            <w:pPr>
              <w:ind w:right="50"/>
              <w:jc w:val="right"/>
              <w:rPr>
                <w:sz w:val="18"/>
                <w:szCs w:val="18"/>
              </w:rPr>
            </w:pPr>
            <w:r w:rsidRPr="00692926">
              <w:rPr>
                <w:sz w:val="18"/>
                <w:szCs w:val="18"/>
              </w:rPr>
              <w:t>-</w:t>
            </w:r>
          </w:p>
        </w:tc>
        <w:tc>
          <w:tcPr>
            <w:tcW w:w="731" w:type="dxa"/>
            <w:vAlign w:val="bottom"/>
          </w:tcPr>
          <w:p w14:paraId="4728EB29" w14:textId="2F882651" w:rsidR="00224102" w:rsidRPr="00604C75" w:rsidRDefault="00224102" w:rsidP="00224102">
            <w:pPr>
              <w:ind w:right="50"/>
              <w:jc w:val="right"/>
              <w:rPr>
                <w:sz w:val="18"/>
                <w:szCs w:val="18"/>
              </w:rPr>
            </w:pPr>
            <w:r w:rsidRPr="00692926">
              <w:rPr>
                <w:sz w:val="18"/>
                <w:szCs w:val="18"/>
              </w:rPr>
              <w:t>-</w:t>
            </w:r>
          </w:p>
        </w:tc>
        <w:tc>
          <w:tcPr>
            <w:tcW w:w="1110" w:type="dxa"/>
            <w:vAlign w:val="bottom"/>
          </w:tcPr>
          <w:p w14:paraId="07D25040" w14:textId="58DD9F2D" w:rsidR="00224102" w:rsidRPr="00604C75" w:rsidRDefault="00224102" w:rsidP="00224102">
            <w:pPr>
              <w:ind w:right="50"/>
              <w:jc w:val="right"/>
              <w:rPr>
                <w:sz w:val="18"/>
                <w:szCs w:val="18"/>
              </w:rPr>
            </w:pPr>
            <w:r w:rsidRPr="00692926">
              <w:rPr>
                <w:sz w:val="18"/>
                <w:szCs w:val="18"/>
              </w:rPr>
              <w:t>-</w:t>
            </w:r>
          </w:p>
        </w:tc>
        <w:tc>
          <w:tcPr>
            <w:tcW w:w="905" w:type="dxa"/>
            <w:vAlign w:val="bottom"/>
          </w:tcPr>
          <w:p w14:paraId="2A5D6CA3" w14:textId="6015A760" w:rsidR="00224102" w:rsidRPr="00604C75" w:rsidRDefault="00224102" w:rsidP="00224102">
            <w:pPr>
              <w:ind w:right="50"/>
              <w:jc w:val="right"/>
              <w:rPr>
                <w:sz w:val="18"/>
                <w:szCs w:val="18"/>
              </w:rPr>
            </w:pPr>
            <w:r w:rsidRPr="00692926">
              <w:rPr>
                <w:sz w:val="18"/>
                <w:szCs w:val="18"/>
              </w:rPr>
              <w:t>189</w:t>
            </w:r>
          </w:p>
        </w:tc>
      </w:tr>
      <w:tr w:rsidR="00224102" w:rsidRPr="00604C75" w14:paraId="4CCA09AA" w14:textId="77777777" w:rsidTr="00877CBD">
        <w:trPr>
          <w:trHeight w:val="247"/>
        </w:trPr>
        <w:tc>
          <w:tcPr>
            <w:tcW w:w="1896" w:type="dxa"/>
            <w:shd w:val="clear" w:color="auto" w:fill="FFFFFF"/>
            <w:vAlign w:val="bottom"/>
          </w:tcPr>
          <w:p w14:paraId="4B9EF6C8" w14:textId="77777777" w:rsidR="00224102" w:rsidRPr="00604C75" w:rsidRDefault="00224102" w:rsidP="00224102">
            <w:pPr>
              <w:rPr>
                <w:rFonts w:eastAsia="Arial Unicode MS"/>
                <w:noProof/>
                <w:color w:val="000000"/>
                <w:sz w:val="16"/>
                <w:szCs w:val="16"/>
              </w:rPr>
            </w:pPr>
            <w:r w:rsidRPr="00604C75">
              <w:rPr>
                <w:noProof/>
                <w:color w:val="000000"/>
                <w:sz w:val="16"/>
                <w:szCs w:val="16"/>
              </w:rPr>
              <w:t xml:space="preserve">    Other</w:t>
            </w:r>
          </w:p>
        </w:tc>
        <w:tc>
          <w:tcPr>
            <w:tcW w:w="893" w:type="dxa"/>
            <w:vAlign w:val="bottom"/>
          </w:tcPr>
          <w:p w14:paraId="2C6E31B2" w14:textId="05AA845F" w:rsidR="00224102" w:rsidRPr="00604C75" w:rsidRDefault="00224102" w:rsidP="00224102">
            <w:pPr>
              <w:ind w:right="50"/>
              <w:jc w:val="right"/>
              <w:rPr>
                <w:sz w:val="18"/>
                <w:szCs w:val="18"/>
              </w:rPr>
            </w:pPr>
            <w:r w:rsidRPr="00692926">
              <w:rPr>
                <w:sz w:val="18"/>
                <w:szCs w:val="18"/>
              </w:rPr>
              <w:t>-</w:t>
            </w:r>
          </w:p>
        </w:tc>
        <w:tc>
          <w:tcPr>
            <w:tcW w:w="955" w:type="dxa"/>
            <w:vAlign w:val="bottom"/>
          </w:tcPr>
          <w:p w14:paraId="1A7547BE" w14:textId="45DF51AD" w:rsidR="00224102" w:rsidRPr="00604C75" w:rsidRDefault="00224102" w:rsidP="00224102">
            <w:pPr>
              <w:ind w:right="50"/>
              <w:jc w:val="right"/>
              <w:rPr>
                <w:sz w:val="18"/>
                <w:szCs w:val="18"/>
              </w:rPr>
            </w:pPr>
            <w:r w:rsidRPr="00692926">
              <w:rPr>
                <w:sz w:val="18"/>
                <w:szCs w:val="18"/>
              </w:rPr>
              <w:t>-</w:t>
            </w:r>
          </w:p>
        </w:tc>
        <w:tc>
          <w:tcPr>
            <w:tcW w:w="897" w:type="dxa"/>
            <w:vAlign w:val="bottom"/>
          </w:tcPr>
          <w:p w14:paraId="204E01D7" w14:textId="652368D4" w:rsidR="00224102" w:rsidRPr="00604C75" w:rsidRDefault="00224102" w:rsidP="00224102">
            <w:pPr>
              <w:ind w:right="50"/>
              <w:jc w:val="right"/>
              <w:rPr>
                <w:sz w:val="18"/>
                <w:szCs w:val="18"/>
              </w:rPr>
            </w:pPr>
            <w:r w:rsidRPr="00692926">
              <w:rPr>
                <w:sz w:val="18"/>
                <w:szCs w:val="18"/>
              </w:rPr>
              <w:t>-</w:t>
            </w:r>
          </w:p>
        </w:tc>
        <w:tc>
          <w:tcPr>
            <w:tcW w:w="970" w:type="dxa"/>
            <w:vAlign w:val="bottom"/>
          </w:tcPr>
          <w:p w14:paraId="6BA96953" w14:textId="437EF6C6" w:rsidR="00224102" w:rsidRPr="00604C75" w:rsidRDefault="00224102" w:rsidP="00224102">
            <w:pPr>
              <w:ind w:right="50"/>
              <w:jc w:val="right"/>
              <w:rPr>
                <w:sz w:val="18"/>
                <w:szCs w:val="18"/>
              </w:rPr>
            </w:pPr>
            <w:r w:rsidRPr="00692926">
              <w:rPr>
                <w:sz w:val="18"/>
                <w:szCs w:val="18"/>
              </w:rPr>
              <w:t>-</w:t>
            </w:r>
          </w:p>
        </w:tc>
        <w:tc>
          <w:tcPr>
            <w:tcW w:w="885" w:type="dxa"/>
            <w:vAlign w:val="bottom"/>
          </w:tcPr>
          <w:p w14:paraId="5D3A7549" w14:textId="1025F188" w:rsidR="00224102" w:rsidRPr="00604C75" w:rsidRDefault="00224102" w:rsidP="00224102">
            <w:pPr>
              <w:ind w:right="50"/>
              <w:jc w:val="right"/>
              <w:rPr>
                <w:sz w:val="18"/>
                <w:szCs w:val="18"/>
              </w:rPr>
            </w:pPr>
            <w:r w:rsidRPr="00692926">
              <w:rPr>
                <w:sz w:val="18"/>
                <w:szCs w:val="18"/>
              </w:rPr>
              <w:t>-</w:t>
            </w:r>
          </w:p>
        </w:tc>
        <w:tc>
          <w:tcPr>
            <w:tcW w:w="823" w:type="dxa"/>
            <w:vAlign w:val="bottom"/>
          </w:tcPr>
          <w:p w14:paraId="26B24D29" w14:textId="5FB12376" w:rsidR="00224102" w:rsidRPr="00604C75" w:rsidRDefault="00224102" w:rsidP="00224102">
            <w:pPr>
              <w:ind w:right="50"/>
              <w:jc w:val="right"/>
              <w:rPr>
                <w:sz w:val="18"/>
                <w:szCs w:val="18"/>
              </w:rPr>
            </w:pPr>
            <w:r w:rsidRPr="00692926">
              <w:rPr>
                <w:sz w:val="18"/>
                <w:szCs w:val="18"/>
              </w:rPr>
              <w:t>-</w:t>
            </w:r>
          </w:p>
        </w:tc>
        <w:tc>
          <w:tcPr>
            <w:tcW w:w="731" w:type="dxa"/>
            <w:vAlign w:val="bottom"/>
          </w:tcPr>
          <w:p w14:paraId="2146D6FE" w14:textId="04D0839E" w:rsidR="00224102" w:rsidRPr="00604C75" w:rsidRDefault="00224102" w:rsidP="00224102">
            <w:pPr>
              <w:ind w:right="50"/>
              <w:jc w:val="right"/>
              <w:rPr>
                <w:sz w:val="18"/>
                <w:szCs w:val="18"/>
              </w:rPr>
            </w:pPr>
            <w:r w:rsidRPr="00692926">
              <w:rPr>
                <w:sz w:val="18"/>
                <w:szCs w:val="18"/>
              </w:rPr>
              <w:t>-</w:t>
            </w:r>
          </w:p>
        </w:tc>
        <w:tc>
          <w:tcPr>
            <w:tcW w:w="1110" w:type="dxa"/>
            <w:vAlign w:val="bottom"/>
          </w:tcPr>
          <w:p w14:paraId="35B2917C" w14:textId="53359C7E" w:rsidR="00224102" w:rsidRPr="00604C75" w:rsidRDefault="00224102" w:rsidP="00224102">
            <w:pPr>
              <w:ind w:right="50"/>
              <w:jc w:val="right"/>
              <w:rPr>
                <w:sz w:val="18"/>
                <w:szCs w:val="18"/>
              </w:rPr>
            </w:pPr>
            <w:r w:rsidRPr="00692926">
              <w:rPr>
                <w:sz w:val="18"/>
                <w:szCs w:val="18"/>
              </w:rPr>
              <w:t>-</w:t>
            </w:r>
          </w:p>
        </w:tc>
        <w:tc>
          <w:tcPr>
            <w:tcW w:w="905" w:type="dxa"/>
            <w:vAlign w:val="bottom"/>
          </w:tcPr>
          <w:p w14:paraId="1E841944" w14:textId="7CB5D568" w:rsidR="00224102" w:rsidRPr="00604C75" w:rsidRDefault="00224102" w:rsidP="00224102">
            <w:pPr>
              <w:ind w:right="50"/>
              <w:jc w:val="right"/>
              <w:rPr>
                <w:sz w:val="18"/>
                <w:szCs w:val="18"/>
              </w:rPr>
            </w:pPr>
            <w:r w:rsidRPr="00692926">
              <w:rPr>
                <w:sz w:val="18"/>
                <w:szCs w:val="18"/>
              </w:rPr>
              <w:t>-</w:t>
            </w:r>
          </w:p>
        </w:tc>
      </w:tr>
      <w:tr w:rsidR="00224102" w:rsidRPr="00604C75" w14:paraId="5D27AB1D" w14:textId="77777777" w:rsidTr="00877CBD">
        <w:trPr>
          <w:trHeight w:val="247"/>
        </w:trPr>
        <w:tc>
          <w:tcPr>
            <w:tcW w:w="1896" w:type="dxa"/>
            <w:shd w:val="clear" w:color="auto" w:fill="FFFFFF"/>
            <w:vAlign w:val="bottom"/>
          </w:tcPr>
          <w:p w14:paraId="7DE18EED" w14:textId="77777777" w:rsidR="00224102" w:rsidRPr="00604C75" w:rsidRDefault="00224102" w:rsidP="00224102">
            <w:pPr>
              <w:rPr>
                <w:rFonts w:eastAsia="Arial Unicode MS"/>
                <w:b/>
                <w:sz w:val="16"/>
                <w:szCs w:val="16"/>
              </w:rPr>
            </w:pPr>
            <w:r w:rsidRPr="00604C75">
              <w:rPr>
                <w:b/>
                <w:sz w:val="16"/>
                <w:szCs w:val="16"/>
              </w:rPr>
              <w:t>Total</w:t>
            </w:r>
          </w:p>
        </w:tc>
        <w:tc>
          <w:tcPr>
            <w:tcW w:w="893" w:type="dxa"/>
            <w:shd w:val="clear" w:color="auto" w:fill="FFFFFF"/>
            <w:vAlign w:val="bottom"/>
          </w:tcPr>
          <w:p w14:paraId="513527F0" w14:textId="44061255" w:rsidR="00224102" w:rsidRPr="00604C75" w:rsidRDefault="00224102" w:rsidP="00224102">
            <w:pPr>
              <w:ind w:right="50"/>
              <w:jc w:val="right"/>
              <w:rPr>
                <w:b/>
                <w:sz w:val="18"/>
                <w:szCs w:val="18"/>
              </w:rPr>
            </w:pPr>
            <w:r w:rsidRPr="00692926">
              <w:rPr>
                <w:b/>
                <w:bCs/>
                <w:sz w:val="18"/>
                <w:szCs w:val="18"/>
              </w:rPr>
              <w:t>424,212</w:t>
            </w:r>
          </w:p>
        </w:tc>
        <w:tc>
          <w:tcPr>
            <w:tcW w:w="955" w:type="dxa"/>
            <w:shd w:val="clear" w:color="auto" w:fill="FFFFFF"/>
            <w:vAlign w:val="bottom"/>
          </w:tcPr>
          <w:p w14:paraId="7F49F62E" w14:textId="117E27C0" w:rsidR="00224102" w:rsidRPr="00604C75" w:rsidRDefault="00224102" w:rsidP="00224102">
            <w:pPr>
              <w:ind w:right="50"/>
              <w:jc w:val="right"/>
              <w:rPr>
                <w:b/>
                <w:sz w:val="18"/>
                <w:szCs w:val="18"/>
              </w:rPr>
            </w:pPr>
            <w:r w:rsidRPr="00692926">
              <w:rPr>
                <w:b/>
                <w:bCs/>
                <w:sz w:val="18"/>
                <w:szCs w:val="18"/>
              </w:rPr>
              <w:t>-</w:t>
            </w:r>
          </w:p>
        </w:tc>
        <w:tc>
          <w:tcPr>
            <w:tcW w:w="897" w:type="dxa"/>
            <w:shd w:val="clear" w:color="auto" w:fill="FFFFFF"/>
            <w:vAlign w:val="bottom"/>
          </w:tcPr>
          <w:p w14:paraId="5376344D" w14:textId="1CD3CA21" w:rsidR="00224102" w:rsidRPr="00604C75" w:rsidRDefault="00224102" w:rsidP="00224102">
            <w:pPr>
              <w:ind w:right="50"/>
              <w:jc w:val="right"/>
              <w:rPr>
                <w:b/>
                <w:sz w:val="18"/>
                <w:szCs w:val="18"/>
              </w:rPr>
            </w:pPr>
            <w:r w:rsidRPr="00692926">
              <w:rPr>
                <w:b/>
                <w:bCs/>
                <w:sz w:val="18"/>
                <w:szCs w:val="18"/>
              </w:rPr>
              <w:t>620,927</w:t>
            </w:r>
          </w:p>
        </w:tc>
        <w:tc>
          <w:tcPr>
            <w:tcW w:w="970" w:type="dxa"/>
            <w:shd w:val="clear" w:color="auto" w:fill="FFFFFF"/>
            <w:vAlign w:val="bottom"/>
          </w:tcPr>
          <w:p w14:paraId="78C155E5" w14:textId="4306D6B0" w:rsidR="00224102" w:rsidRPr="00604C75" w:rsidRDefault="00224102" w:rsidP="00224102">
            <w:pPr>
              <w:ind w:right="50"/>
              <w:jc w:val="right"/>
              <w:rPr>
                <w:b/>
                <w:sz w:val="18"/>
                <w:szCs w:val="18"/>
              </w:rPr>
            </w:pPr>
            <w:r w:rsidRPr="00692926">
              <w:rPr>
                <w:b/>
                <w:bCs/>
                <w:sz w:val="18"/>
                <w:szCs w:val="18"/>
              </w:rPr>
              <w:t>4,150,152</w:t>
            </w:r>
          </w:p>
        </w:tc>
        <w:tc>
          <w:tcPr>
            <w:tcW w:w="885" w:type="dxa"/>
            <w:shd w:val="clear" w:color="auto" w:fill="FFFFFF"/>
            <w:vAlign w:val="bottom"/>
          </w:tcPr>
          <w:p w14:paraId="2C092FEC" w14:textId="2105C16D" w:rsidR="00224102" w:rsidRPr="00604C75" w:rsidRDefault="00224102" w:rsidP="00224102">
            <w:pPr>
              <w:ind w:right="50"/>
              <w:jc w:val="right"/>
              <w:rPr>
                <w:b/>
                <w:sz w:val="18"/>
                <w:szCs w:val="18"/>
              </w:rPr>
            </w:pPr>
            <w:r w:rsidRPr="00692926">
              <w:rPr>
                <w:b/>
                <w:bCs/>
                <w:sz w:val="18"/>
                <w:szCs w:val="18"/>
              </w:rPr>
              <w:t>257,039</w:t>
            </w:r>
          </w:p>
        </w:tc>
        <w:tc>
          <w:tcPr>
            <w:tcW w:w="823" w:type="dxa"/>
            <w:shd w:val="clear" w:color="auto" w:fill="FFFFFF"/>
            <w:vAlign w:val="bottom"/>
          </w:tcPr>
          <w:p w14:paraId="778042C7" w14:textId="70217681" w:rsidR="00224102" w:rsidRPr="00604C75" w:rsidRDefault="00224102" w:rsidP="00224102">
            <w:pPr>
              <w:ind w:right="50"/>
              <w:jc w:val="right"/>
              <w:rPr>
                <w:b/>
                <w:sz w:val="18"/>
                <w:szCs w:val="18"/>
              </w:rPr>
            </w:pPr>
            <w:r w:rsidRPr="00692926">
              <w:rPr>
                <w:b/>
                <w:bCs/>
                <w:sz w:val="18"/>
                <w:szCs w:val="18"/>
              </w:rPr>
              <w:t>159,670</w:t>
            </w:r>
          </w:p>
        </w:tc>
        <w:tc>
          <w:tcPr>
            <w:tcW w:w="731" w:type="dxa"/>
            <w:shd w:val="clear" w:color="auto" w:fill="FFFFFF"/>
            <w:vAlign w:val="bottom"/>
          </w:tcPr>
          <w:p w14:paraId="0E8EC887" w14:textId="06A29509" w:rsidR="00224102" w:rsidRPr="00604C75" w:rsidRDefault="00224102" w:rsidP="00224102">
            <w:pPr>
              <w:ind w:right="50"/>
              <w:jc w:val="right"/>
              <w:rPr>
                <w:b/>
                <w:sz w:val="18"/>
                <w:szCs w:val="18"/>
              </w:rPr>
            </w:pPr>
            <w:r w:rsidRPr="00692926">
              <w:rPr>
                <w:b/>
                <w:bCs/>
                <w:sz w:val="18"/>
                <w:szCs w:val="18"/>
              </w:rPr>
              <w:t>40,571</w:t>
            </w:r>
          </w:p>
        </w:tc>
        <w:tc>
          <w:tcPr>
            <w:tcW w:w="1110" w:type="dxa"/>
            <w:shd w:val="clear" w:color="auto" w:fill="FFFFFF"/>
            <w:vAlign w:val="bottom"/>
          </w:tcPr>
          <w:p w14:paraId="16AF9CD1" w14:textId="6E746164" w:rsidR="00224102" w:rsidRPr="00604C75" w:rsidRDefault="00224102" w:rsidP="00224102">
            <w:pPr>
              <w:ind w:right="50"/>
              <w:jc w:val="right"/>
              <w:rPr>
                <w:b/>
                <w:sz w:val="18"/>
                <w:szCs w:val="18"/>
              </w:rPr>
            </w:pPr>
            <w:r w:rsidRPr="00692926">
              <w:rPr>
                <w:b/>
                <w:bCs/>
                <w:sz w:val="18"/>
                <w:szCs w:val="18"/>
              </w:rPr>
              <w:t>-</w:t>
            </w:r>
          </w:p>
        </w:tc>
        <w:tc>
          <w:tcPr>
            <w:tcW w:w="905" w:type="dxa"/>
            <w:shd w:val="clear" w:color="auto" w:fill="FFFFFF"/>
            <w:vAlign w:val="bottom"/>
          </w:tcPr>
          <w:p w14:paraId="6A1FB31F" w14:textId="1E7D55EB" w:rsidR="00224102" w:rsidRPr="00604C75" w:rsidRDefault="00224102" w:rsidP="00224102">
            <w:pPr>
              <w:ind w:right="50"/>
              <w:jc w:val="right"/>
              <w:rPr>
                <w:b/>
                <w:sz w:val="18"/>
                <w:szCs w:val="18"/>
              </w:rPr>
            </w:pPr>
            <w:r w:rsidRPr="00692926">
              <w:rPr>
                <w:b/>
                <w:bCs/>
                <w:sz w:val="18"/>
                <w:szCs w:val="18"/>
              </w:rPr>
              <w:t>5,652,571</w:t>
            </w:r>
          </w:p>
        </w:tc>
      </w:tr>
    </w:tbl>
    <w:p w14:paraId="55DC653B" w14:textId="77777777" w:rsidR="0044575F" w:rsidRPr="00604C75" w:rsidRDefault="0044575F" w:rsidP="00C22AF8">
      <w:pPr>
        <w:ind w:left="1080" w:right="16" w:hanging="1080"/>
        <w:rPr>
          <w:sz w:val="14"/>
          <w:szCs w:val="14"/>
        </w:rPr>
      </w:pPr>
    </w:p>
    <w:p w14:paraId="03245F48" w14:textId="0743DF28" w:rsidR="003416BD" w:rsidRPr="00604C75" w:rsidRDefault="00B27B7B" w:rsidP="00E83EAC">
      <w:pPr>
        <w:pStyle w:val="BodyTextIndent"/>
        <w:pageBreakBefore/>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2567EE47" w14:textId="0914044B" w:rsidR="0044575F" w:rsidRDefault="009F7408" w:rsidP="00E83EAC">
      <w:pPr>
        <w:pStyle w:val="Heading2"/>
        <w:tabs>
          <w:tab w:val="left" w:pos="709"/>
        </w:tabs>
        <w:spacing w:before="0" w:after="120"/>
        <w:ind w:left="851" w:hanging="851"/>
        <w:rPr>
          <w:rFonts w:ascii="Times New Roman" w:hAnsi="Times New Roman"/>
          <w:bCs/>
          <w:sz w:val="20"/>
        </w:rPr>
      </w:pPr>
      <w:r w:rsidRPr="00604C75">
        <w:rPr>
          <w:rFonts w:ascii="Times New Roman" w:hAnsi="Times New Roman"/>
          <w:caps/>
          <w:sz w:val="20"/>
        </w:rPr>
        <w:t>II.</w:t>
      </w:r>
      <w:r w:rsidRPr="00604C75">
        <w:rPr>
          <w:rFonts w:ascii="Times New Roman" w:hAnsi="Times New Roman"/>
          <w:caps/>
          <w:sz w:val="20"/>
        </w:rPr>
        <w:tab/>
      </w:r>
      <w:r w:rsidR="00565434" w:rsidRPr="00604C75">
        <w:rPr>
          <w:rFonts w:ascii="Times New Roman" w:hAnsi="Times New Roman"/>
          <w:noProof/>
          <w:sz w:val="20"/>
        </w:rPr>
        <w:t xml:space="preserve">Explanations and Notes </w:t>
      </w:r>
      <w:r w:rsidR="00647320">
        <w:rPr>
          <w:rFonts w:ascii="Times New Roman" w:hAnsi="Times New Roman"/>
          <w:noProof/>
          <w:sz w:val="20"/>
        </w:rPr>
        <w:t>on</w:t>
      </w:r>
      <w:r w:rsidR="00565434" w:rsidRPr="00604C75">
        <w:rPr>
          <w:rFonts w:ascii="Times New Roman" w:hAnsi="Times New Roman"/>
          <w:noProof/>
          <w:sz w:val="20"/>
        </w:rPr>
        <w:t xml:space="preserve"> Liabilities</w:t>
      </w:r>
      <w:r w:rsidR="00565434" w:rsidRPr="00604C75" w:rsidDel="00565434">
        <w:rPr>
          <w:rFonts w:ascii="Times New Roman" w:hAnsi="Times New Roman"/>
          <w:noProof/>
          <w:sz w:val="20"/>
        </w:rPr>
        <w:t xml:space="preserve"> </w:t>
      </w:r>
      <w:r w:rsidRPr="00604C75">
        <w:rPr>
          <w:rFonts w:ascii="Times New Roman" w:hAnsi="Times New Roman"/>
          <w:bCs/>
          <w:sz w:val="20"/>
        </w:rPr>
        <w:t>(Continued)</w:t>
      </w:r>
    </w:p>
    <w:p w14:paraId="1F2CD837" w14:textId="77777777" w:rsidR="00E26B78" w:rsidRPr="00604C75" w:rsidRDefault="00E26B78" w:rsidP="00E26B78">
      <w:pPr>
        <w:tabs>
          <w:tab w:val="left" w:pos="709"/>
        </w:tabs>
        <w:ind w:left="851" w:hanging="851"/>
        <w:jc w:val="both"/>
        <w:rPr>
          <w:b/>
          <w:sz w:val="20"/>
          <w:szCs w:val="20"/>
        </w:rPr>
      </w:pPr>
      <w:r w:rsidRPr="00604C75">
        <w:rPr>
          <w:b/>
          <w:sz w:val="20"/>
          <w:szCs w:val="20"/>
        </w:rPr>
        <w:t>a.</w:t>
      </w:r>
      <w:r w:rsidRPr="00604C75">
        <w:rPr>
          <w:b/>
          <w:sz w:val="20"/>
          <w:szCs w:val="20"/>
        </w:rPr>
        <w:tab/>
      </w:r>
      <w:r w:rsidRPr="00604C75">
        <w:rPr>
          <w:b/>
          <w:bCs/>
          <w:noProof/>
          <w:sz w:val="20"/>
          <w:szCs w:val="20"/>
        </w:rPr>
        <w:t>Information on deposits</w:t>
      </w:r>
      <w:r>
        <w:rPr>
          <w:b/>
          <w:bCs/>
          <w:noProof/>
          <w:sz w:val="20"/>
          <w:szCs w:val="20"/>
        </w:rPr>
        <w:t xml:space="preserve"> (Continued)</w:t>
      </w:r>
    </w:p>
    <w:p w14:paraId="166F65DD" w14:textId="77777777" w:rsidR="009F7408" w:rsidRPr="00604C75" w:rsidRDefault="009F7408" w:rsidP="009F7408">
      <w:pPr>
        <w:spacing w:line="120" w:lineRule="auto"/>
      </w:pPr>
    </w:p>
    <w:p w14:paraId="4AA38562" w14:textId="77777777" w:rsidR="0044575F" w:rsidRPr="00604C75" w:rsidRDefault="0044575F" w:rsidP="00565434">
      <w:pPr>
        <w:pStyle w:val="BodyTextIndent"/>
        <w:spacing w:after="0"/>
        <w:ind w:left="672" w:right="16" w:hanging="672"/>
        <w:rPr>
          <w:sz w:val="20"/>
          <w:szCs w:val="20"/>
        </w:rPr>
      </w:pPr>
      <w:r w:rsidRPr="00604C75">
        <w:rPr>
          <w:sz w:val="20"/>
          <w:szCs w:val="20"/>
        </w:rPr>
        <w:t>2.</w:t>
      </w:r>
      <w:r w:rsidRPr="00604C75">
        <w:rPr>
          <w:sz w:val="20"/>
          <w:szCs w:val="20"/>
        </w:rPr>
        <w:tab/>
      </w:r>
      <w:r w:rsidR="00565434" w:rsidRPr="00604C75">
        <w:rPr>
          <w:sz w:val="20"/>
          <w:szCs w:val="20"/>
        </w:rPr>
        <w:t xml:space="preserve"> </w:t>
      </w:r>
      <w:r w:rsidRPr="00604C75">
        <w:rPr>
          <w:noProof/>
          <w:sz w:val="20"/>
          <w:szCs w:val="20"/>
        </w:rPr>
        <w:t>Information on saving deposits insurance</w:t>
      </w:r>
    </w:p>
    <w:p w14:paraId="7E40DFFB" w14:textId="77777777" w:rsidR="0044575F" w:rsidRPr="00604C75" w:rsidRDefault="0044575F" w:rsidP="005345A6">
      <w:pPr>
        <w:pStyle w:val="BodyTextIndent"/>
        <w:spacing w:after="0"/>
        <w:ind w:left="567" w:right="16" w:hanging="567"/>
        <w:rPr>
          <w:sz w:val="14"/>
          <w:szCs w:val="14"/>
        </w:rPr>
      </w:pPr>
    </w:p>
    <w:p w14:paraId="19DDA928" w14:textId="7B4B20CF" w:rsidR="0044575F" w:rsidRPr="00604C75" w:rsidRDefault="0044575F" w:rsidP="00565434">
      <w:pPr>
        <w:pStyle w:val="BodyTextIndent"/>
        <w:tabs>
          <w:tab w:val="left" w:pos="2127"/>
        </w:tabs>
        <w:spacing w:after="0"/>
        <w:ind w:left="742" w:right="16" w:hanging="742"/>
        <w:jc w:val="both"/>
        <w:rPr>
          <w:sz w:val="20"/>
          <w:szCs w:val="20"/>
        </w:rPr>
      </w:pPr>
      <w:r w:rsidRPr="00604C75">
        <w:rPr>
          <w:sz w:val="20"/>
          <w:szCs w:val="20"/>
        </w:rPr>
        <w:t>2(i).</w:t>
      </w:r>
      <w:r w:rsidRPr="00604C75">
        <w:rPr>
          <w:sz w:val="20"/>
          <w:szCs w:val="20"/>
        </w:rPr>
        <w:tab/>
      </w:r>
      <w:r w:rsidRPr="00604C75">
        <w:rPr>
          <w:noProof/>
          <w:sz w:val="20"/>
          <w:szCs w:val="20"/>
        </w:rPr>
        <w:t>Information on saving deposits under the guarantee of the saving deposits insurance fund and exceeding the limit of deposit insurance fund</w:t>
      </w:r>
    </w:p>
    <w:p w14:paraId="67AF1881" w14:textId="77777777" w:rsidR="0044575F" w:rsidRPr="00604C75" w:rsidRDefault="0044575F" w:rsidP="005345A6">
      <w:pPr>
        <w:pStyle w:val="BodyTextIndent"/>
        <w:spacing w:after="0"/>
        <w:ind w:left="567" w:hanging="567"/>
        <w:rPr>
          <w:sz w:val="14"/>
          <w:szCs w:val="14"/>
        </w:rPr>
      </w:pPr>
    </w:p>
    <w:tbl>
      <w:tblPr>
        <w:tblW w:w="942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868"/>
        <w:gridCol w:w="1820"/>
        <w:gridCol w:w="1511"/>
        <w:gridCol w:w="1597"/>
        <w:gridCol w:w="1631"/>
      </w:tblGrid>
      <w:tr w:rsidR="0044575F" w:rsidRPr="00604C75" w14:paraId="3CB2F40F" w14:textId="77777777" w:rsidTr="005856B5">
        <w:trPr>
          <w:cantSplit/>
          <w:trHeight w:val="299"/>
        </w:trPr>
        <w:tc>
          <w:tcPr>
            <w:tcW w:w="2868" w:type="dxa"/>
            <w:vMerge w:val="restart"/>
            <w:vAlign w:val="bottom"/>
          </w:tcPr>
          <w:p w14:paraId="434BF6D0" w14:textId="77777777" w:rsidR="0044575F" w:rsidRPr="00604C75" w:rsidRDefault="0044575F" w:rsidP="005345A6">
            <w:pPr>
              <w:pStyle w:val="Heading9"/>
              <w:ind w:left="567" w:hanging="567"/>
              <w:rPr>
                <w:rFonts w:eastAsia="Arial Unicode MS"/>
                <w:bCs w:val="0"/>
                <w:noProof/>
                <w:szCs w:val="18"/>
              </w:rPr>
            </w:pPr>
            <w:bookmarkStart w:id="19" w:name="OLE_LINK28"/>
            <w:r w:rsidRPr="00604C75">
              <w:rPr>
                <w:noProof/>
                <w:szCs w:val="18"/>
              </w:rPr>
              <w:t>Saving Deposits</w:t>
            </w:r>
          </w:p>
        </w:tc>
        <w:tc>
          <w:tcPr>
            <w:tcW w:w="3331" w:type="dxa"/>
            <w:gridSpan w:val="2"/>
            <w:vAlign w:val="bottom"/>
          </w:tcPr>
          <w:p w14:paraId="772E82B1" w14:textId="0E8879F5" w:rsidR="0044575F" w:rsidRPr="00604C75" w:rsidRDefault="00877CBD" w:rsidP="00877CBD">
            <w:pPr>
              <w:ind w:left="567" w:hanging="567"/>
              <w:jc w:val="center"/>
              <w:rPr>
                <w:b/>
                <w:sz w:val="18"/>
                <w:szCs w:val="18"/>
              </w:rPr>
            </w:pPr>
            <w:r>
              <w:rPr>
                <w:b/>
                <w:noProof/>
                <w:sz w:val="18"/>
                <w:szCs w:val="18"/>
              </w:rPr>
              <w:t>Under the Guarantee of D</w:t>
            </w:r>
            <w:r w:rsidR="0044575F" w:rsidRPr="00604C75">
              <w:rPr>
                <w:b/>
                <w:noProof/>
                <w:sz w:val="18"/>
                <w:szCs w:val="18"/>
              </w:rPr>
              <w:t>eposit</w:t>
            </w:r>
            <w:r>
              <w:rPr>
                <w:b/>
                <w:noProof/>
                <w:sz w:val="18"/>
                <w:szCs w:val="18"/>
              </w:rPr>
              <w:t xml:space="preserve"> I</w:t>
            </w:r>
            <w:r w:rsidR="0044575F" w:rsidRPr="00604C75">
              <w:rPr>
                <w:b/>
                <w:noProof/>
                <w:sz w:val="18"/>
                <w:szCs w:val="18"/>
              </w:rPr>
              <w:t>nsurance</w:t>
            </w:r>
          </w:p>
        </w:tc>
        <w:tc>
          <w:tcPr>
            <w:tcW w:w="3228" w:type="dxa"/>
            <w:gridSpan w:val="2"/>
            <w:vAlign w:val="bottom"/>
          </w:tcPr>
          <w:p w14:paraId="4E58B8B6" w14:textId="4DB96BC4" w:rsidR="0044575F" w:rsidRPr="00604C75" w:rsidRDefault="0044575F" w:rsidP="005345A6">
            <w:pPr>
              <w:ind w:left="567" w:hanging="567"/>
              <w:jc w:val="center"/>
              <w:rPr>
                <w:b/>
                <w:sz w:val="18"/>
                <w:szCs w:val="18"/>
              </w:rPr>
            </w:pPr>
            <w:r w:rsidRPr="00604C75">
              <w:rPr>
                <w:b/>
                <w:noProof/>
                <w:sz w:val="18"/>
                <w:szCs w:val="18"/>
              </w:rPr>
              <w:t>E</w:t>
            </w:r>
            <w:r w:rsidR="00877CBD">
              <w:rPr>
                <w:b/>
                <w:noProof/>
                <w:sz w:val="18"/>
                <w:szCs w:val="18"/>
              </w:rPr>
              <w:t>xceeding Limit of the D</w:t>
            </w:r>
            <w:r w:rsidRPr="00604C75">
              <w:rPr>
                <w:b/>
                <w:noProof/>
                <w:sz w:val="18"/>
                <w:szCs w:val="18"/>
              </w:rPr>
              <w:t xml:space="preserve">eposit </w:t>
            </w:r>
            <w:r w:rsidR="00877CBD">
              <w:rPr>
                <w:b/>
                <w:noProof/>
                <w:sz w:val="18"/>
                <w:szCs w:val="18"/>
              </w:rPr>
              <w:t>I</w:t>
            </w:r>
            <w:r w:rsidRPr="00604C75">
              <w:rPr>
                <w:b/>
                <w:noProof/>
                <w:sz w:val="18"/>
                <w:szCs w:val="18"/>
              </w:rPr>
              <w:t>nsurance</w:t>
            </w:r>
          </w:p>
        </w:tc>
      </w:tr>
      <w:tr w:rsidR="0044575F" w:rsidRPr="00604C75" w14:paraId="1448636D" w14:textId="77777777" w:rsidTr="00E52BAC">
        <w:trPr>
          <w:cantSplit/>
          <w:trHeight w:val="258"/>
        </w:trPr>
        <w:tc>
          <w:tcPr>
            <w:tcW w:w="2868" w:type="dxa"/>
            <w:vMerge/>
            <w:vAlign w:val="bottom"/>
          </w:tcPr>
          <w:p w14:paraId="3849CA67" w14:textId="77777777" w:rsidR="0044575F" w:rsidRPr="00604C75" w:rsidRDefault="0044575F" w:rsidP="005345A6">
            <w:pPr>
              <w:ind w:left="567" w:hanging="567"/>
              <w:rPr>
                <w:rFonts w:eastAsia="Arial Unicode MS"/>
                <w:b/>
                <w:sz w:val="18"/>
                <w:szCs w:val="18"/>
              </w:rPr>
            </w:pPr>
          </w:p>
        </w:tc>
        <w:tc>
          <w:tcPr>
            <w:tcW w:w="1820" w:type="dxa"/>
            <w:vAlign w:val="bottom"/>
          </w:tcPr>
          <w:p w14:paraId="01E69AED" w14:textId="77777777" w:rsidR="0044575F" w:rsidRPr="00604C75" w:rsidRDefault="000467F0" w:rsidP="00E52BAC">
            <w:pPr>
              <w:ind w:left="567" w:right="56" w:hanging="567"/>
              <w:jc w:val="right"/>
              <w:rPr>
                <w:b/>
                <w:bCs/>
                <w:sz w:val="18"/>
                <w:szCs w:val="18"/>
              </w:rPr>
            </w:pPr>
            <w:r>
              <w:rPr>
                <w:b/>
                <w:iCs/>
                <w:sz w:val="18"/>
              </w:rPr>
              <w:t>3</w:t>
            </w:r>
            <w:r w:rsidR="00703E37">
              <w:rPr>
                <w:b/>
                <w:iCs/>
                <w:sz w:val="18"/>
              </w:rPr>
              <w:t>1</w:t>
            </w:r>
            <w:r>
              <w:rPr>
                <w:b/>
                <w:iCs/>
                <w:sz w:val="18"/>
              </w:rPr>
              <w:t xml:space="preserve"> </w:t>
            </w:r>
            <w:r w:rsidR="00703E37">
              <w:rPr>
                <w:b/>
                <w:iCs/>
                <w:sz w:val="18"/>
              </w:rPr>
              <w:t>December</w:t>
            </w:r>
            <w:r w:rsidR="00703E37" w:rsidRPr="00604C75">
              <w:rPr>
                <w:b/>
                <w:iCs/>
                <w:sz w:val="18"/>
              </w:rPr>
              <w:t xml:space="preserve"> </w:t>
            </w:r>
            <w:r w:rsidR="001B1AF6" w:rsidRPr="00604C75">
              <w:rPr>
                <w:b/>
                <w:bCs/>
                <w:sz w:val="18"/>
                <w:szCs w:val="18"/>
              </w:rPr>
              <w:t>201</w:t>
            </w:r>
            <w:r w:rsidR="00F904FB" w:rsidRPr="00604C75">
              <w:rPr>
                <w:b/>
                <w:bCs/>
                <w:sz w:val="18"/>
                <w:szCs w:val="18"/>
              </w:rPr>
              <w:t>5</w:t>
            </w:r>
            <w:r w:rsidR="0044575F" w:rsidRPr="00604C75">
              <w:rPr>
                <w:b/>
                <w:bCs/>
                <w:sz w:val="18"/>
                <w:szCs w:val="18"/>
              </w:rPr>
              <w:t xml:space="preserve"> </w:t>
            </w:r>
          </w:p>
        </w:tc>
        <w:tc>
          <w:tcPr>
            <w:tcW w:w="1511" w:type="dxa"/>
            <w:vAlign w:val="bottom"/>
          </w:tcPr>
          <w:p w14:paraId="06D230D8" w14:textId="77777777" w:rsidR="0044575F" w:rsidRPr="00604C75" w:rsidRDefault="0044575F" w:rsidP="00E52BAC">
            <w:pPr>
              <w:ind w:right="56"/>
              <w:jc w:val="right"/>
              <w:rPr>
                <w:b/>
                <w:bCs/>
                <w:sz w:val="18"/>
                <w:szCs w:val="18"/>
              </w:rPr>
            </w:pPr>
            <w:r w:rsidRPr="00604C75">
              <w:rPr>
                <w:b/>
                <w:bCs/>
                <w:sz w:val="18"/>
                <w:szCs w:val="18"/>
              </w:rPr>
              <w:t>31 December</w:t>
            </w:r>
            <w:r w:rsidR="00F904FB" w:rsidRPr="00604C75">
              <w:rPr>
                <w:b/>
                <w:bCs/>
                <w:sz w:val="18"/>
                <w:szCs w:val="18"/>
              </w:rPr>
              <w:t xml:space="preserve"> 2014</w:t>
            </w:r>
          </w:p>
        </w:tc>
        <w:tc>
          <w:tcPr>
            <w:tcW w:w="1597" w:type="dxa"/>
            <w:vAlign w:val="bottom"/>
          </w:tcPr>
          <w:p w14:paraId="48A89188" w14:textId="77777777" w:rsidR="0044575F" w:rsidRPr="00604C75" w:rsidRDefault="000467F0" w:rsidP="00E52BAC">
            <w:pPr>
              <w:ind w:left="567" w:right="56" w:hanging="567"/>
              <w:jc w:val="right"/>
              <w:rPr>
                <w:b/>
                <w:bCs/>
                <w:sz w:val="18"/>
                <w:szCs w:val="18"/>
              </w:rPr>
            </w:pPr>
            <w:r>
              <w:rPr>
                <w:b/>
                <w:iCs/>
                <w:sz w:val="18"/>
              </w:rPr>
              <w:t>3</w:t>
            </w:r>
            <w:r w:rsidR="00703E37">
              <w:rPr>
                <w:b/>
                <w:iCs/>
                <w:sz w:val="18"/>
              </w:rPr>
              <w:t>1</w:t>
            </w:r>
            <w:r>
              <w:rPr>
                <w:b/>
                <w:iCs/>
                <w:sz w:val="18"/>
              </w:rPr>
              <w:t xml:space="preserve"> </w:t>
            </w:r>
            <w:r w:rsidR="00703E37">
              <w:rPr>
                <w:b/>
                <w:iCs/>
                <w:sz w:val="18"/>
              </w:rPr>
              <w:t>December</w:t>
            </w:r>
            <w:r w:rsidR="0044575F" w:rsidRPr="00604C75">
              <w:rPr>
                <w:b/>
                <w:iCs/>
                <w:sz w:val="18"/>
              </w:rPr>
              <w:t xml:space="preserve"> </w:t>
            </w:r>
            <w:r w:rsidR="0044575F" w:rsidRPr="00604C75">
              <w:rPr>
                <w:b/>
                <w:bCs/>
                <w:sz w:val="18"/>
                <w:szCs w:val="18"/>
              </w:rPr>
              <w:t>201</w:t>
            </w:r>
            <w:r w:rsidR="00F904FB" w:rsidRPr="00604C75">
              <w:rPr>
                <w:b/>
                <w:bCs/>
                <w:sz w:val="18"/>
                <w:szCs w:val="18"/>
              </w:rPr>
              <w:t>5</w:t>
            </w:r>
          </w:p>
        </w:tc>
        <w:tc>
          <w:tcPr>
            <w:tcW w:w="1631" w:type="dxa"/>
            <w:vAlign w:val="bottom"/>
          </w:tcPr>
          <w:p w14:paraId="05E3EEAF" w14:textId="77777777" w:rsidR="0044575F" w:rsidRPr="00604C75" w:rsidRDefault="0044575F" w:rsidP="00E52BAC">
            <w:pPr>
              <w:ind w:left="567" w:right="56" w:hanging="567"/>
              <w:jc w:val="right"/>
              <w:rPr>
                <w:b/>
                <w:sz w:val="18"/>
                <w:szCs w:val="18"/>
              </w:rPr>
            </w:pPr>
            <w:r w:rsidRPr="00604C75">
              <w:rPr>
                <w:b/>
                <w:sz w:val="18"/>
                <w:szCs w:val="18"/>
              </w:rPr>
              <w:t xml:space="preserve">31 </w:t>
            </w:r>
            <w:r w:rsidR="00A461FC" w:rsidRPr="00604C75">
              <w:rPr>
                <w:b/>
                <w:sz w:val="18"/>
                <w:szCs w:val="18"/>
              </w:rPr>
              <w:t>December</w:t>
            </w:r>
            <w:r w:rsidR="001B1AF6" w:rsidRPr="00604C75">
              <w:rPr>
                <w:b/>
                <w:sz w:val="18"/>
                <w:szCs w:val="18"/>
              </w:rPr>
              <w:t xml:space="preserve"> 201</w:t>
            </w:r>
            <w:r w:rsidR="00F904FB" w:rsidRPr="00604C75">
              <w:rPr>
                <w:b/>
                <w:sz w:val="18"/>
                <w:szCs w:val="18"/>
              </w:rPr>
              <w:t>4</w:t>
            </w:r>
          </w:p>
        </w:tc>
      </w:tr>
      <w:tr w:rsidR="00224102" w:rsidRPr="00604C75" w14:paraId="33FA7D96" w14:textId="77777777" w:rsidTr="00E52BAC">
        <w:trPr>
          <w:trHeight w:val="258"/>
        </w:trPr>
        <w:tc>
          <w:tcPr>
            <w:tcW w:w="2868" w:type="dxa"/>
            <w:vAlign w:val="bottom"/>
          </w:tcPr>
          <w:p w14:paraId="381B1AC0" w14:textId="77777777" w:rsidR="00224102" w:rsidRPr="00604C75" w:rsidRDefault="00224102" w:rsidP="00224102">
            <w:pPr>
              <w:ind w:left="567" w:hanging="567"/>
              <w:rPr>
                <w:rFonts w:eastAsia="Arial Unicode MS"/>
                <w:noProof/>
                <w:sz w:val="18"/>
                <w:szCs w:val="18"/>
              </w:rPr>
            </w:pPr>
            <w:r w:rsidRPr="00604C75">
              <w:rPr>
                <w:noProof/>
                <w:sz w:val="18"/>
                <w:szCs w:val="18"/>
              </w:rPr>
              <w:t>Saving Deposits</w:t>
            </w:r>
          </w:p>
        </w:tc>
        <w:tc>
          <w:tcPr>
            <w:tcW w:w="1820" w:type="dxa"/>
            <w:vAlign w:val="bottom"/>
          </w:tcPr>
          <w:p w14:paraId="02DDFC8A" w14:textId="0E62955F" w:rsidR="00224102" w:rsidRDefault="00224102" w:rsidP="00E52BAC">
            <w:pPr>
              <w:ind w:right="56"/>
              <w:jc w:val="right"/>
              <w:rPr>
                <w:sz w:val="18"/>
                <w:szCs w:val="18"/>
              </w:rPr>
            </w:pPr>
            <w:r>
              <w:rPr>
                <w:sz w:val="18"/>
                <w:szCs w:val="18"/>
              </w:rPr>
              <w:t>601,328</w:t>
            </w:r>
          </w:p>
        </w:tc>
        <w:tc>
          <w:tcPr>
            <w:tcW w:w="1511" w:type="dxa"/>
            <w:vAlign w:val="bottom"/>
          </w:tcPr>
          <w:p w14:paraId="192DE3DF" w14:textId="32F73EE9" w:rsidR="00224102" w:rsidRPr="00692926" w:rsidRDefault="00224102" w:rsidP="00E52BAC">
            <w:pPr>
              <w:tabs>
                <w:tab w:val="left" w:pos="0"/>
              </w:tabs>
              <w:ind w:right="56"/>
              <w:jc w:val="right"/>
              <w:rPr>
                <w:sz w:val="18"/>
                <w:szCs w:val="18"/>
              </w:rPr>
            </w:pPr>
            <w:r w:rsidRPr="00692926">
              <w:rPr>
                <w:sz w:val="18"/>
                <w:szCs w:val="18"/>
              </w:rPr>
              <w:t>660,143</w:t>
            </w:r>
          </w:p>
        </w:tc>
        <w:tc>
          <w:tcPr>
            <w:tcW w:w="1597" w:type="dxa"/>
            <w:vAlign w:val="bottom"/>
          </w:tcPr>
          <w:p w14:paraId="108B9C29" w14:textId="5E5DEC69" w:rsidR="00224102" w:rsidRDefault="00224102" w:rsidP="00E52BAC">
            <w:pPr>
              <w:ind w:right="56"/>
              <w:jc w:val="right"/>
              <w:rPr>
                <w:sz w:val="18"/>
                <w:szCs w:val="18"/>
              </w:rPr>
            </w:pPr>
            <w:r>
              <w:rPr>
                <w:sz w:val="18"/>
                <w:szCs w:val="18"/>
              </w:rPr>
              <w:t>1,303,676</w:t>
            </w:r>
          </w:p>
        </w:tc>
        <w:tc>
          <w:tcPr>
            <w:tcW w:w="1631" w:type="dxa"/>
            <w:vAlign w:val="bottom"/>
          </w:tcPr>
          <w:p w14:paraId="56F29993" w14:textId="3956180F" w:rsidR="00224102" w:rsidRPr="00692926" w:rsidRDefault="00224102" w:rsidP="00E52BAC">
            <w:pPr>
              <w:tabs>
                <w:tab w:val="left" w:pos="0"/>
              </w:tabs>
              <w:ind w:right="56"/>
              <w:jc w:val="right"/>
              <w:rPr>
                <w:sz w:val="18"/>
                <w:szCs w:val="18"/>
              </w:rPr>
            </w:pPr>
            <w:r w:rsidRPr="00692926">
              <w:rPr>
                <w:sz w:val="18"/>
                <w:szCs w:val="18"/>
              </w:rPr>
              <w:t>1,401,731</w:t>
            </w:r>
          </w:p>
        </w:tc>
      </w:tr>
      <w:tr w:rsidR="00224102" w:rsidRPr="00604C75" w14:paraId="33828370" w14:textId="77777777" w:rsidTr="00E52BAC">
        <w:trPr>
          <w:trHeight w:val="258"/>
        </w:trPr>
        <w:tc>
          <w:tcPr>
            <w:tcW w:w="2868" w:type="dxa"/>
            <w:vAlign w:val="bottom"/>
          </w:tcPr>
          <w:p w14:paraId="2BB0AD86" w14:textId="77777777" w:rsidR="00224102" w:rsidRPr="00604C75" w:rsidRDefault="00224102" w:rsidP="00224102">
            <w:pPr>
              <w:ind w:left="567" w:hanging="567"/>
              <w:rPr>
                <w:rFonts w:eastAsia="Arial Unicode MS"/>
                <w:noProof/>
                <w:sz w:val="18"/>
                <w:szCs w:val="18"/>
              </w:rPr>
            </w:pPr>
            <w:r w:rsidRPr="00604C75">
              <w:rPr>
                <w:noProof/>
                <w:sz w:val="18"/>
                <w:szCs w:val="18"/>
              </w:rPr>
              <w:t>Foreign Currency Savings Deposit</w:t>
            </w:r>
          </w:p>
        </w:tc>
        <w:tc>
          <w:tcPr>
            <w:tcW w:w="1820" w:type="dxa"/>
            <w:vAlign w:val="bottom"/>
          </w:tcPr>
          <w:p w14:paraId="33FDB2D7" w14:textId="296CD7A0" w:rsidR="00224102" w:rsidRDefault="00224102" w:rsidP="00E52BAC">
            <w:pPr>
              <w:ind w:right="56"/>
              <w:jc w:val="right"/>
              <w:rPr>
                <w:sz w:val="18"/>
                <w:szCs w:val="18"/>
              </w:rPr>
            </w:pPr>
            <w:r>
              <w:rPr>
                <w:sz w:val="18"/>
                <w:szCs w:val="18"/>
              </w:rPr>
              <w:t>106,436</w:t>
            </w:r>
          </w:p>
        </w:tc>
        <w:tc>
          <w:tcPr>
            <w:tcW w:w="1511" w:type="dxa"/>
            <w:vAlign w:val="bottom"/>
          </w:tcPr>
          <w:p w14:paraId="26C2AEAF" w14:textId="37651ECD" w:rsidR="00224102" w:rsidRPr="00692926" w:rsidRDefault="00224102" w:rsidP="00E52BAC">
            <w:pPr>
              <w:tabs>
                <w:tab w:val="left" w:pos="0"/>
              </w:tabs>
              <w:ind w:right="56"/>
              <w:jc w:val="right"/>
              <w:rPr>
                <w:sz w:val="18"/>
                <w:szCs w:val="18"/>
              </w:rPr>
            </w:pPr>
            <w:r w:rsidRPr="00692926">
              <w:rPr>
                <w:sz w:val="18"/>
                <w:szCs w:val="18"/>
              </w:rPr>
              <w:t>88,973</w:t>
            </w:r>
          </w:p>
        </w:tc>
        <w:tc>
          <w:tcPr>
            <w:tcW w:w="1597" w:type="dxa"/>
            <w:vAlign w:val="bottom"/>
          </w:tcPr>
          <w:p w14:paraId="15B43B7B" w14:textId="79B8E002" w:rsidR="00224102" w:rsidRDefault="00224102" w:rsidP="00E52BAC">
            <w:pPr>
              <w:ind w:right="56"/>
              <w:jc w:val="right"/>
              <w:rPr>
                <w:sz w:val="18"/>
                <w:szCs w:val="18"/>
              </w:rPr>
            </w:pPr>
            <w:r>
              <w:rPr>
                <w:sz w:val="18"/>
                <w:szCs w:val="18"/>
              </w:rPr>
              <w:t>978,404</w:t>
            </w:r>
          </w:p>
        </w:tc>
        <w:tc>
          <w:tcPr>
            <w:tcW w:w="1631" w:type="dxa"/>
            <w:vAlign w:val="bottom"/>
          </w:tcPr>
          <w:p w14:paraId="3E5A913C" w14:textId="14655FC9" w:rsidR="00224102" w:rsidRPr="00692926" w:rsidRDefault="00224102" w:rsidP="00E52BAC">
            <w:pPr>
              <w:tabs>
                <w:tab w:val="left" w:pos="0"/>
              </w:tabs>
              <w:ind w:right="56"/>
              <w:jc w:val="right"/>
              <w:rPr>
                <w:sz w:val="18"/>
                <w:szCs w:val="18"/>
              </w:rPr>
            </w:pPr>
            <w:r w:rsidRPr="00692926">
              <w:rPr>
                <w:sz w:val="18"/>
                <w:szCs w:val="18"/>
              </w:rPr>
              <w:t>453,802</w:t>
            </w:r>
          </w:p>
        </w:tc>
      </w:tr>
      <w:tr w:rsidR="00224102" w:rsidRPr="00604C75" w14:paraId="5AB969D7" w14:textId="77777777" w:rsidTr="00E52BAC">
        <w:trPr>
          <w:trHeight w:val="258"/>
        </w:trPr>
        <w:tc>
          <w:tcPr>
            <w:tcW w:w="2868" w:type="dxa"/>
            <w:vAlign w:val="bottom"/>
          </w:tcPr>
          <w:p w14:paraId="30F934F5" w14:textId="77777777" w:rsidR="00224102" w:rsidRPr="00604C75" w:rsidRDefault="00224102" w:rsidP="00224102">
            <w:pPr>
              <w:ind w:left="28" w:hanging="21"/>
              <w:rPr>
                <w:rFonts w:eastAsia="Arial Unicode MS"/>
                <w:noProof/>
                <w:sz w:val="18"/>
                <w:szCs w:val="18"/>
              </w:rPr>
            </w:pPr>
            <w:r w:rsidRPr="00604C75">
              <w:rPr>
                <w:noProof/>
                <w:sz w:val="18"/>
                <w:szCs w:val="18"/>
              </w:rPr>
              <w:t>Other Deposits in the Form of Savings Deposits</w:t>
            </w:r>
          </w:p>
        </w:tc>
        <w:tc>
          <w:tcPr>
            <w:tcW w:w="1820" w:type="dxa"/>
            <w:vAlign w:val="bottom"/>
          </w:tcPr>
          <w:p w14:paraId="6371699A" w14:textId="10D11819" w:rsidR="00224102" w:rsidRDefault="00224102" w:rsidP="00E52BAC">
            <w:pPr>
              <w:ind w:right="56"/>
              <w:jc w:val="right"/>
              <w:rPr>
                <w:sz w:val="18"/>
                <w:szCs w:val="18"/>
              </w:rPr>
            </w:pPr>
            <w:r>
              <w:rPr>
                <w:sz w:val="18"/>
                <w:szCs w:val="18"/>
              </w:rPr>
              <w:t>-</w:t>
            </w:r>
          </w:p>
        </w:tc>
        <w:tc>
          <w:tcPr>
            <w:tcW w:w="1511" w:type="dxa"/>
            <w:vAlign w:val="bottom"/>
          </w:tcPr>
          <w:p w14:paraId="10ED278B" w14:textId="5A61B356" w:rsidR="00224102" w:rsidRPr="00692926" w:rsidRDefault="00224102" w:rsidP="00E52BAC">
            <w:pPr>
              <w:tabs>
                <w:tab w:val="left" w:pos="0"/>
              </w:tabs>
              <w:ind w:right="56"/>
              <w:jc w:val="right"/>
              <w:rPr>
                <w:sz w:val="18"/>
                <w:szCs w:val="18"/>
              </w:rPr>
            </w:pPr>
            <w:r w:rsidRPr="00692926">
              <w:rPr>
                <w:sz w:val="18"/>
                <w:szCs w:val="18"/>
              </w:rPr>
              <w:t>-</w:t>
            </w:r>
          </w:p>
        </w:tc>
        <w:tc>
          <w:tcPr>
            <w:tcW w:w="1597" w:type="dxa"/>
            <w:vAlign w:val="bottom"/>
          </w:tcPr>
          <w:p w14:paraId="7512B6DD" w14:textId="6E61DC9D" w:rsidR="00224102" w:rsidRDefault="00224102" w:rsidP="00E52BAC">
            <w:pPr>
              <w:ind w:right="56"/>
              <w:jc w:val="right"/>
              <w:rPr>
                <w:sz w:val="18"/>
                <w:szCs w:val="18"/>
              </w:rPr>
            </w:pPr>
            <w:r>
              <w:rPr>
                <w:sz w:val="18"/>
                <w:szCs w:val="18"/>
              </w:rPr>
              <w:t>-</w:t>
            </w:r>
          </w:p>
        </w:tc>
        <w:tc>
          <w:tcPr>
            <w:tcW w:w="1631" w:type="dxa"/>
            <w:vAlign w:val="bottom"/>
          </w:tcPr>
          <w:p w14:paraId="69FE4567" w14:textId="6D1D7127" w:rsidR="00224102" w:rsidRPr="00692926" w:rsidRDefault="00224102" w:rsidP="00E52BAC">
            <w:pPr>
              <w:tabs>
                <w:tab w:val="left" w:pos="0"/>
              </w:tabs>
              <w:ind w:right="56"/>
              <w:jc w:val="right"/>
              <w:rPr>
                <w:sz w:val="18"/>
                <w:szCs w:val="18"/>
              </w:rPr>
            </w:pPr>
            <w:r w:rsidRPr="00692926">
              <w:rPr>
                <w:sz w:val="18"/>
                <w:szCs w:val="18"/>
              </w:rPr>
              <w:t>-</w:t>
            </w:r>
          </w:p>
        </w:tc>
      </w:tr>
      <w:tr w:rsidR="00FD0C7A" w:rsidRPr="00604C75" w14:paraId="1E6898D2" w14:textId="77777777" w:rsidTr="00E52BAC">
        <w:trPr>
          <w:trHeight w:val="258"/>
        </w:trPr>
        <w:tc>
          <w:tcPr>
            <w:tcW w:w="2868" w:type="dxa"/>
            <w:vAlign w:val="bottom"/>
          </w:tcPr>
          <w:p w14:paraId="161E4CC0" w14:textId="77777777" w:rsidR="00FD0C7A" w:rsidRPr="00604C75" w:rsidRDefault="00FD0C7A" w:rsidP="00FD0C7A">
            <w:pPr>
              <w:rPr>
                <w:noProof/>
                <w:sz w:val="18"/>
                <w:szCs w:val="18"/>
              </w:rPr>
            </w:pPr>
            <w:r w:rsidRPr="00604C75">
              <w:rPr>
                <w:noProof/>
                <w:sz w:val="18"/>
                <w:szCs w:val="18"/>
              </w:rPr>
              <w:t>Foreign Branches’ Deposits Under Foreign Authorities’ Insurance</w:t>
            </w:r>
          </w:p>
        </w:tc>
        <w:tc>
          <w:tcPr>
            <w:tcW w:w="1820" w:type="dxa"/>
            <w:vAlign w:val="bottom"/>
          </w:tcPr>
          <w:p w14:paraId="23732DF4" w14:textId="7DB7F81D" w:rsidR="00FD0C7A" w:rsidRDefault="00FD0C7A" w:rsidP="00E52BAC">
            <w:pPr>
              <w:ind w:right="56"/>
              <w:jc w:val="right"/>
              <w:rPr>
                <w:sz w:val="18"/>
                <w:szCs w:val="18"/>
              </w:rPr>
            </w:pPr>
            <w:r>
              <w:rPr>
                <w:sz w:val="18"/>
                <w:szCs w:val="18"/>
              </w:rPr>
              <w:t>-</w:t>
            </w:r>
          </w:p>
        </w:tc>
        <w:tc>
          <w:tcPr>
            <w:tcW w:w="1511" w:type="dxa"/>
            <w:vAlign w:val="bottom"/>
          </w:tcPr>
          <w:p w14:paraId="14B6B911" w14:textId="11CDE2E5" w:rsidR="00FD0C7A" w:rsidRPr="00692926" w:rsidRDefault="00FD0C7A" w:rsidP="00E52BAC">
            <w:pPr>
              <w:tabs>
                <w:tab w:val="left" w:pos="0"/>
              </w:tabs>
              <w:ind w:right="56"/>
              <w:jc w:val="right"/>
              <w:rPr>
                <w:sz w:val="18"/>
                <w:szCs w:val="18"/>
              </w:rPr>
            </w:pPr>
            <w:r w:rsidRPr="00692926">
              <w:rPr>
                <w:sz w:val="18"/>
                <w:szCs w:val="18"/>
              </w:rPr>
              <w:t>-</w:t>
            </w:r>
          </w:p>
        </w:tc>
        <w:tc>
          <w:tcPr>
            <w:tcW w:w="1597" w:type="dxa"/>
            <w:vAlign w:val="bottom"/>
          </w:tcPr>
          <w:p w14:paraId="40E68955" w14:textId="0F7B6A7A" w:rsidR="00FD0C7A" w:rsidRDefault="00FD0C7A" w:rsidP="00E52BAC">
            <w:pPr>
              <w:ind w:right="56"/>
              <w:jc w:val="right"/>
              <w:rPr>
                <w:sz w:val="18"/>
                <w:szCs w:val="18"/>
              </w:rPr>
            </w:pPr>
            <w:r>
              <w:rPr>
                <w:sz w:val="18"/>
                <w:szCs w:val="18"/>
              </w:rPr>
              <w:t>-</w:t>
            </w:r>
          </w:p>
        </w:tc>
        <w:tc>
          <w:tcPr>
            <w:tcW w:w="1631" w:type="dxa"/>
            <w:vAlign w:val="bottom"/>
          </w:tcPr>
          <w:p w14:paraId="672F58A5" w14:textId="6966B1D3" w:rsidR="00FD0C7A" w:rsidRPr="00692926" w:rsidRDefault="00FD0C7A" w:rsidP="00E52BAC">
            <w:pPr>
              <w:tabs>
                <w:tab w:val="left" w:pos="0"/>
              </w:tabs>
              <w:ind w:right="56"/>
              <w:jc w:val="right"/>
              <w:rPr>
                <w:sz w:val="18"/>
                <w:szCs w:val="18"/>
              </w:rPr>
            </w:pPr>
            <w:r w:rsidRPr="00692926">
              <w:rPr>
                <w:sz w:val="18"/>
                <w:szCs w:val="18"/>
              </w:rPr>
              <w:t>-</w:t>
            </w:r>
          </w:p>
        </w:tc>
      </w:tr>
      <w:tr w:rsidR="00FD0C7A" w:rsidRPr="00604C75" w14:paraId="3CA0A986" w14:textId="77777777" w:rsidTr="00E52BAC">
        <w:trPr>
          <w:trHeight w:val="258"/>
        </w:trPr>
        <w:tc>
          <w:tcPr>
            <w:tcW w:w="2868" w:type="dxa"/>
            <w:vAlign w:val="bottom"/>
          </w:tcPr>
          <w:p w14:paraId="2DBB72D4" w14:textId="77777777" w:rsidR="00FD0C7A" w:rsidRPr="00604C75" w:rsidRDefault="00FD0C7A" w:rsidP="00FD0C7A">
            <w:pPr>
              <w:rPr>
                <w:rFonts w:eastAsia="Arial Unicode MS"/>
                <w:noProof/>
                <w:sz w:val="18"/>
                <w:szCs w:val="18"/>
              </w:rPr>
            </w:pPr>
            <w:r w:rsidRPr="00604C75">
              <w:rPr>
                <w:rFonts w:eastAsia="Arial Unicode MS"/>
                <w:noProof/>
                <w:sz w:val="18"/>
                <w:szCs w:val="18"/>
              </w:rPr>
              <w:t>Off-shore Banking Regions’ Deposits</w:t>
            </w:r>
            <w:r>
              <w:rPr>
                <w:rFonts w:eastAsia="Arial Unicode MS"/>
                <w:noProof/>
                <w:sz w:val="18"/>
                <w:szCs w:val="18"/>
              </w:rPr>
              <w:t xml:space="preserve"> </w:t>
            </w:r>
            <w:r w:rsidRPr="00604C75">
              <w:rPr>
                <w:rFonts w:eastAsia="Arial Unicode MS"/>
                <w:noProof/>
                <w:sz w:val="18"/>
                <w:szCs w:val="18"/>
              </w:rPr>
              <w:t>Under Foreign Authorities’ Insurance</w:t>
            </w:r>
          </w:p>
        </w:tc>
        <w:tc>
          <w:tcPr>
            <w:tcW w:w="1820" w:type="dxa"/>
            <w:vAlign w:val="bottom"/>
          </w:tcPr>
          <w:p w14:paraId="0B30EDE2" w14:textId="366AD8AD" w:rsidR="00FD0C7A" w:rsidRDefault="00FD0C7A" w:rsidP="00E52BAC">
            <w:pPr>
              <w:ind w:right="56"/>
              <w:jc w:val="right"/>
              <w:rPr>
                <w:sz w:val="18"/>
                <w:szCs w:val="18"/>
              </w:rPr>
            </w:pPr>
            <w:r>
              <w:rPr>
                <w:sz w:val="18"/>
                <w:szCs w:val="18"/>
              </w:rPr>
              <w:t>-</w:t>
            </w:r>
          </w:p>
        </w:tc>
        <w:tc>
          <w:tcPr>
            <w:tcW w:w="1511" w:type="dxa"/>
            <w:vAlign w:val="bottom"/>
          </w:tcPr>
          <w:p w14:paraId="6F22B9C9" w14:textId="7E360982" w:rsidR="00FD0C7A" w:rsidRPr="00692926" w:rsidRDefault="00FD0C7A" w:rsidP="00E52BAC">
            <w:pPr>
              <w:tabs>
                <w:tab w:val="left" w:pos="0"/>
              </w:tabs>
              <w:ind w:right="56"/>
              <w:jc w:val="right"/>
              <w:rPr>
                <w:sz w:val="18"/>
                <w:szCs w:val="18"/>
              </w:rPr>
            </w:pPr>
            <w:r w:rsidRPr="00692926">
              <w:rPr>
                <w:sz w:val="18"/>
                <w:szCs w:val="18"/>
              </w:rPr>
              <w:t>-</w:t>
            </w:r>
          </w:p>
        </w:tc>
        <w:tc>
          <w:tcPr>
            <w:tcW w:w="1597" w:type="dxa"/>
            <w:vAlign w:val="bottom"/>
          </w:tcPr>
          <w:p w14:paraId="223E4730" w14:textId="7DD91B49" w:rsidR="00FD0C7A" w:rsidRDefault="00FD0C7A" w:rsidP="00E52BAC">
            <w:pPr>
              <w:ind w:right="56"/>
              <w:jc w:val="right"/>
              <w:rPr>
                <w:sz w:val="18"/>
                <w:szCs w:val="18"/>
              </w:rPr>
            </w:pPr>
            <w:r>
              <w:rPr>
                <w:sz w:val="18"/>
                <w:szCs w:val="18"/>
              </w:rPr>
              <w:t>-</w:t>
            </w:r>
          </w:p>
        </w:tc>
        <w:tc>
          <w:tcPr>
            <w:tcW w:w="1631" w:type="dxa"/>
            <w:vAlign w:val="bottom"/>
          </w:tcPr>
          <w:p w14:paraId="4A3DB6F5" w14:textId="3DD46E79" w:rsidR="00FD0C7A" w:rsidRPr="00692926" w:rsidRDefault="00FD0C7A" w:rsidP="00E52BAC">
            <w:pPr>
              <w:tabs>
                <w:tab w:val="left" w:pos="0"/>
              </w:tabs>
              <w:ind w:right="56"/>
              <w:jc w:val="right"/>
              <w:rPr>
                <w:sz w:val="18"/>
                <w:szCs w:val="18"/>
              </w:rPr>
            </w:pPr>
            <w:r w:rsidRPr="00692926">
              <w:rPr>
                <w:sz w:val="18"/>
                <w:szCs w:val="18"/>
              </w:rPr>
              <w:t>-</w:t>
            </w:r>
          </w:p>
        </w:tc>
      </w:tr>
    </w:tbl>
    <w:bookmarkEnd w:id="19"/>
    <w:p w14:paraId="28014B1A" w14:textId="3F6D2037" w:rsidR="00D410C8" w:rsidRPr="00D410C8" w:rsidRDefault="00D410C8" w:rsidP="00D410C8">
      <w:pPr>
        <w:spacing w:before="60" w:after="120"/>
        <w:rPr>
          <w:sz w:val="16"/>
          <w:szCs w:val="16"/>
        </w:rPr>
      </w:pPr>
      <w:r w:rsidRPr="002E0729">
        <w:rPr>
          <w:sz w:val="16"/>
          <w:szCs w:val="16"/>
        </w:rPr>
        <w:t>(*) Related savings deposits inclu</w:t>
      </w:r>
      <w:r>
        <w:rPr>
          <w:sz w:val="16"/>
          <w:szCs w:val="16"/>
        </w:rPr>
        <w:t xml:space="preserve">des the amount of TL 680 </w:t>
      </w:r>
      <w:r w:rsidRPr="002E0729">
        <w:rPr>
          <w:sz w:val="16"/>
          <w:szCs w:val="16"/>
        </w:rPr>
        <w:t xml:space="preserve">straight </w:t>
      </w:r>
      <w:r>
        <w:rPr>
          <w:sz w:val="16"/>
          <w:szCs w:val="16"/>
        </w:rPr>
        <w:t xml:space="preserve">rediscount </w:t>
      </w:r>
      <w:r w:rsidRPr="002E0729">
        <w:rPr>
          <w:sz w:val="16"/>
          <w:szCs w:val="16"/>
        </w:rPr>
        <w:t xml:space="preserve">- internal efficiency difference. </w:t>
      </w:r>
    </w:p>
    <w:p w14:paraId="26B3EE3B" w14:textId="77777777" w:rsidR="0044575F" w:rsidRPr="00604C75" w:rsidRDefault="0044575F" w:rsidP="005345A6">
      <w:pPr>
        <w:pStyle w:val="BodyTextIndent"/>
        <w:tabs>
          <w:tab w:val="left" w:pos="2268"/>
        </w:tabs>
        <w:spacing w:after="0"/>
        <w:ind w:left="567" w:hanging="567"/>
        <w:rPr>
          <w:sz w:val="20"/>
          <w:szCs w:val="20"/>
        </w:rPr>
      </w:pPr>
      <w:r w:rsidRPr="00604C75">
        <w:rPr>
          <w:sz w:val="20"/>
          <w:szCs w:val="20"/>
        </w:rPr>
        <w:t>2(ii).</w:t>
      </w:r>
      <w:r w:rsidRPr="00604C75">
        <w:rPr>
          <w:sz w:val="20"/>
          <w:szCs w:val="20"/>
        </w:rPr>
        <w:tab/>
      </w:r>
      <w:r w:rsidRPr="00604C75">
        <w:rPr>
          <w:bCs/>
          <w:noProof/>
          <w:sz w:val="20"/>
          <w:szCs w:val="20"/>
        </w:rPr>
        <w:t>Saving deposits which are not under the guarantee of saving deposit insurance fund</w:t>
      </w:r>
    </w:p>
    <w:p w14:paraId="5FC72792" w14:textId="77777777" w:rsidR="0044575F" w:rsidRPr="00604C75" w:rsidRDefault="0044575F" w:rsidP="005345A6">
      <w:pPr>
        <w:pStyle w:val="BodyTextIndent"/>
        <w:spacing w:after="0"/>
        <w:ind w:left="567" w:hanging="567"/>
        <w:rPr>
          <w:sz w:val="14"/>
          <w:szCs w:val="14"/>
        </w:rPr>
      </w:pPr>
    </w:p>
    <w:tbl>
      <w:tblPr>
        <w:tblW w:w="942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237"/>
        <w:gridCol w:w="1527"/>
        <w:gridCol w:w="1663"/>
      </w:tblGrid>
      <w:tr w:rsidR="00475931" w:rsidRPr="00604C75" w14:paraId="28FEC645" w14:textId="77777777" w:rsidTr="003926E9">
        <w:trPr>
          <w:trHeight w:val="270"/>
        </w:trPr>
        <w:tc>
          <w:tcPr>
            <w:tcW w:w="6237" w:type="dxa"/>
            <w:vAlign w:val="bottom"/>
          </w:tcPr>
          <w:p w14:paraId="7645F995" w14:textId="77777777" w:rsidR="00475931" w:rsidRPr="00604C75" w:rsidRDefault="00475931" w:rsidP="005345A6">
            <w:pPr>
              <w:ind w:left="567" w:hanging="567"/>
              <w:rPr>
                <w:b/>
                <w:bCs/>
                <w:sz w:val="18"/>
                <w:szCs w:val="18"/>
              </w:rPr>
            </w:pPr>
          </w:p>
        </w:tc>
        <w:tc>
          <w:tcPr>
            <w:tcW w:w="1527" w:type="dxa"/>
            <w:vAlign w:val="bottom"/>
          </w:tcPr>
          <w:p w14:paraId="7584B865" w14:textId="77777777" w:rsidR="00475931" w:rsidRPr="00604C75" w:rsidRDefault="000467F0">
            <w:pPr>
              <w:ind w:left="567" w:right="51" w:hanging="567"/>
              <w:jc w:val="right"/>
              <w:rPr>
                <w:b/>
                <w:bCs/>
                <w:sz w:val="18"/>
                <w:szCs w:val="18"/>
              </w:rPr>
            </w:pPr>
            <w:r>
              <w:rPr>
                <w:b/>
                <w:iCs/>
                <w:sz w:val="18"/>
              </w:rPr>
              <w:t>3</w:t>
            </w:r>
            <w:r w:rsidR="00CB1BAF">
              <w:rPr>
                <w:b/>
                <w:iCs/>
                <w:sz w:val="18"/>
              </w:rPr>
              <w:t>1</w:t>
            </w:r>
            <w:r>
              <w:rPr>
                <w:b/>
                <w:iCs/>
                <w:sz w:val="18"/>
              </w:rPr>
              <w:t xml:space="preserve"> </w:t>
            </w:r>
            <w:r w:rsidR="00CB1BAF">
              <w:rPr>
                <w:b/>
                <w:iCs/>
                <w:sz w:val="18"/>
              </w:rPr>
              <w:t xml:space="preserve">December </w:t>
            </w:r>
            <w:r w:rsidR="00475931" w:rsidRPr="00604C75">
              <w:rPr>
                <w:b/>
                <w:bCs/>
                <w:sz w:val="18"/>
                <w:szCs w:val="18"/>
              </w:rPr>
              <w:t xml:space="preserve">2015 </w:t>
            </w:r>
          </w:p>
        </w:tc>
        <w:tc>
          <w:tcPr>
            <w:tcW w:w="1663" w:type="dxa"/>
            <w:vAlign w:val="bottom"/>
          </w:tcPr>
          <w:p w14:paraId="7FA2F0DA" w14:textId="77777777" w:rsidR="00475931" w:rsidRPr="00604C75" w:rsidRDefault="00475931" w:rsidP="005345A6">
            <w:pPr>
              <w:ind w:left="567" w:right="51" w:hanging="567"/>
              <w:jc w:val="right"/>
              <w:rPr>
                <w:rFonts w:eastAsia="Arial Unicode MS"/>
                <w:b/>
                <w:bCs/>
                <w:sz w:val="18"/>
                <w:szCs w:val="18"/>
              </w:rPr>
            </w:pPr>
            <w:r w:rsidRPr="00604C75">
              <w:rPr>
                <w:b/>
                <w:bCs/>
                <w:sz w:val="18"/>
                <w:szCs w:val="18"/>
              </w:rPr>
              <w:t>31 December 2014</w:t>
            </w:r>
          </w:p>
        </w:tc>
      </w:tr>
      <w:tr w:rsidR="00104DF7" w:rsidRPr="00604C75" w14:paraId="088A891F" w14:textId="77777777" w:rsidTr="003926E9">
        <w:trPr>
          <w:trHeight w:val="270"/>
        </w:trPr>
        <w:tc>
          <w:tcPr>
            <w:tcW w:w="6237" w:type="dxa"/>
            <w:vAlign w:val="center"/>
          </w:tcPr>
          <w:p w14:paraId="51090E45" w14:textId="77777777" w:rsidR="00104DF7" w:rsidRPr="00AF1C1D" w:rsidRDefault="00104DF7" w:rsidP="00104DF7">
            <w:pPr>
              <w:rPr>
                <w:rFonts w:eastAsia="Arial Unicode MS"/>
                <w:noProof/>
                <w:sz w:val="18"/>
              </w:rPr>
            </w:pPr>
            <w:r w:rsidRPr="00AF1C1D">
              <w:rPr>
                <w:noProof/>
                <w:sz w:val="18"/>
              </w:rPr>
              <w:t xml:space="preserve">Deposits and Other Accounts in Foreign Branches </w:t>
            </w:r>
          </w:p>
        </w:tc>
        <w:tc>
          <w:tcPr>
            <w:tcW w:w="1527" w:type="dxa"/>
            <w:vAlign w:val="bottom"/>
          </w:tcPr>
          <w:p w14:paraId="637558A9" w14:textId="77777777" w:rsidR="00104DF7" w:rsidRPr="00692926" w:rsidRDefault="00104DF7" w:rsidP="00104DF7">
            <w:pPr>
              <w:tabs>
                <w:tab w:val="left" w:pos="0"/>
              </w:tabs>
              <w:spacing w:line="226" w:lineRule="auto"/>
              <w:jc w:val="right"/>
              <w:rPr>
                <w:sz w:val="18"/>
                <w:szCs w:val="18"/>
              </w:rPr>
            </w:pPr>
            <w:r w:rsidRPr="00692926">
              <w:rPr>
                <w:sz w:val="18"/>
                <w:szCs w:val="18"/>
              </w:rPr>
              <w:t>-</w:t>
            </w:r>
          </w:p>
        </w:tc>
        <w:tc>
          <w:tcPr>
            <w:tcW w:w="1663" w:type="dxa"/>
            <w:vAlign w:val="bottom"/>
          </w:tcPr>
          <w:p w14:paraId="27D7454E" w14:textId="77777777" w:rsidR="00104DF7" w:rsidRPr="00692926" w:rsidRDefault="00104DF7" w:rsidP="00104DF7">
            <w:pPr>
              <w:tabs>
                <w:tab w:val="left" w:pos="0"/>
              </w:tabs>
              <w:spacing w:line="226" w:lineRule="auto"/>
              <w:jc w:val="right"/>
              <w:rPr>
                <w:sz w:val="18"/>
                <w:szCs w:val="18"/>
              </w:rPr>
            </w:pPr>
            <w:r w:rsidRPr="00692926">
              <w:rPr>
                <w:sz w:val="18"/>
                <w:szCs w:val="18"/>
              </w:rPr>
              <w:t>-</w:t>
            </w:r>
          </w:p>
        </w:tc>
      </w:tr>
      <w:tr w:rsidR="00104DF7" w:rsidRPr="00604C75" w14:paraId="54A15982" w14:textId="77777777" w:rsidTr="003926E9">
        <w:trPr>
          <w:trHeight w:val="270"/>
        </w:trPr>
        <w:tc>
          <w:tcPr>
            <w:tcW w:w="6237" w:type="dxa"/>
            <w:vAlign w:val="center"/>
          </w:tcPr>
          <w:p w14:paraId="45BB1E30" w14:textId="0C36A6FA" w:rsidR="00104DF7" w:rsidRPr="00AF1C1D" w:rsidRDefault="00104DF7" w:rsidP="00104DF7">
            <w:pPr>
              <w:rPr>
                <w:noProof/>
                <w:sz w:val="18"/>
              </w:rPr>
            </w:pPr>
            <w:r w:rsidRPr="00AF1C1D">
              <w:rPr>
                <w:noProof/>
                <w:sz w:val="18"/>
              </w:rPr>
              <w:t xml:space="preserve">Deposits and Other Accounts of Main Shareholders and their Families </w:t>
            </w:r>
          </w:p>
        </w:tc>
        <w:tc>
          <w:tcPr>
            <w:tcW w:w="1527" w:type="dxa"/>
            <w:vAlign w:val="bottom"/>
          </w:tcPr>
          <w:p w14:paraId="3681EC8F" w14:textId="77777777" w:rsidR="00104DF7" w:rsidRPr="00692926" w:rsidRDefault="00104DF7" w:rsidP="00104DF7">
            <w:pPr>
              <w:tabs>
                <w:tab w:val="left" w:pos="0"/>
              </w:tabs>
              <w:spacing w:line="226" w:lineRule="auto"/>
              <w:jc w:val="right"/>
              <w:rPr>
                <w:sz w:val="18"/>
                <w:szCs w:val="18"/>
              </w:rPr>
            </w:pPr>
            <w:r w:rsidRPr="00692926">
              <w:rPr>
                <w:sz w:val="18"/>
                <w:szCs w:val="18"/>
              </w:rPr>
              <w:t>-</w:t>
            </w:r>
          </w:p>
        </w:tc>
        <w:tc>
          <w:tcPr>
            <w:tcW w:w="1663" w:type="dxa"/>
            <w:vAlign w:val="bottom"/>
          </w:tcPr>
          <w:p w14:paraId="315CEA9D" w14:textId="77777777" w:rsidR="00104DF7" w:rsidRPr="00692926" w:rsidRDefault="00104DF7" w:rsidP="00104DF7">
            <w:pPr>
              <w:tabs>
                <w:tab w:val="left" w:pos="0"/>
              </w:tabs>
              <w:spacing w:line="226" w:lineRule="auto"/>
              <w:jc w:val="right"/>
              <w:rPr>
                <w:sz w:val="18"/>
                <w:szCs w:val="18"/>
              </w:rPr>
            </w:pPr>
            <w:r w:rsidRPr="00692926">
              <w:rPr>
                <w:sz w:val="18"/>
                <w:szCs w:val="18"/>
              </w:rPr>
              <w:t>-</w:t>
            </w:r>
          </w:p>
        </w:tc>
      </w:tr>
      <w:tr w:rsidR="00104DF7" w:rsidRPr="00604C75" w14:paraId="3654FE73" w14:textId="77777777" w:rsidTr="003926E9">
        <w:trPr>
          <w:trHeight w:val="270"/>
        </w:trPr>
        <w:tc>
          <w:tcPr>
            <w:tcW w:w="6237" w:type="dxa"/>
            <w:vAlign w:val="center"/>
          </w:tcPr>
          <w:p w14:paraId="4CF3AD36" w14:textId="77777777" w:rsidR="00104DF7" w:rsidRPr="00AF1C1D" w:rsidRDefault="00104DF7" w:rsidP="00104DF7">
            <w:pPr>
              <w:rPr>
                <w:noProof/>
                <w:sz w:val="18"/>
              </w:rPr>
            </w:pPr>
            <w:r w:rsidRPr="00AF1C1D">
              <w:rPr>
                <w:noProof/>
                <w:sz w:val="18"/>
              </w:rPr>
              <w:t>Deposits and Other Accounts of President of Board of Directors, Members of Board of Directors, Vice General Managers and Their Families</w:t>
            </w:r>
          </w:p>
        </w:tc>
        <w:tc>
          <w:tcPr>
            <w:tcW w:w="1527" w:type="dxa"/>
            <w:vAlign w:val="bottom"/>
          </w:tcPr>
          <w:p w14:paraId="3B48DA6B" w14:textId="77777777" w:rsidR="00104DF7" w:rsidRPr="00692926" w:rsidRDefault="00104DF7" w:rsidP="00104DF7">
            <w:pPr>
              <w:jc w:val="right"/>
              <w:rPr>
                <w:sz w:val="18"/>
                <w:szCs w:val="18"/>
              </w:rPr>
            </w:pPr>
            <w:r>
              <w:rPr>
                <w:sz w:val="18"/>
                <w:szCs w:val="18"/>
              </w:rPr>
              <w:t>87,258</w:t>
            </w:r>
          </w:p>
        </w:tc>
        <w:tc>
          <w:tcPr>
            <w:tcW w:w="1663" w:type="dxa"/>
            <w:vAlign w:val="bottom"/>
          </w:tcPr>
          <w:p w14:paraId="74F000A0" w14:textId="77777777" w:rsidR="00104DF7" w:rsidRPr="00692926" w:rsidRDefault="00104DF7" w:rsidP="00104DF7">
            <w:pPr>
              <w:tabs>
                <w:tab w:val="left" w:pos="0"/>
              </w:tabs>
              <w:spacing w:line="226" w:lineRule="auto"/>
              <w:jc w:val="right"/>
              <w:rPr>
                <w:sz w:val="18"/>
                <w:szCs w:val="18"/>
              </w:rPr>
            </w:pPr>
            <w:r w:rsidRPr="00692926">
              <w:rPr>
                <w:sz w:val="18"/>
                <w:szCs w:val="18"/>
              </w:rPr>
              <w:t>81,015</w:t>
            </w:r>
          </w:p>
        </w:tc>
      </w:tr>
      <w:tr w:rsidR="00104DF7" w:rsidRPr="00604C75" w14:paraId="74191EB7" w14:textId="77777777" w:rsidTr="003926E9">
        <w:trPr>
          <w:trHeight w:val="270"/>
        </w:trPr>
        <w:tc>
          <w:tcPr>
            <w:tcW w:w="6237" w:type="dxa"/>
            <w:vAlign w:val="center"/>
          </w:tcPr>
          <w:p w14:paraId="75B25339" w14:textId="27B08F60" w:rsidR="00104DF7" w:rsidRPr="00AF1C1D" w:rsidRDefault="00104DF7" w:rsidP="00104DF7">
            <w:pPr>
              <w:rPr>
                <w:noProof/>
                <w:sz w:val="18"/>
              </w:rPr>
            </w:pPr>
            <w:r w:rsidRPr="00AF1C1D">
              <w:rPr>
                <w:noProof/>
                <w:sz w:val="18"/>
              </w:rPr>
              <w:t xml:space="preserve">Deposits and Other Accounts of Property Assets Value due to Crime which is in the Scope of Article 282 of Numbered 5237 “TCL” Dated 26/9/2004 </w:t>
            </w:r>
          </w:p>
        </w:tc>
        <w:tc>
          <w:tcPr>
            <w:tcW w:w="1527" w:type="dxa"/>
            <w:vAlign w:val="bottom"/>
          </w:tcPr>
          <w:p w14:paraId="552F9C8E" w14:textId="77777777" w:rsidR="00104DF7" w:rsidRPr="00692926" w:rsidRDefault="00104DF7" w:rsidP="00104DF7">
            <w:pPr>
              <w:tabs>
                <w:tab w:val="left" w:pos="0"/>
              </w:tabs>
              <w:spacing w:line="226" w:lineRule="auto"/>
              <w:jc w:val="right"/>
              <w:rPr>
                <w:sz w:val="18"/>
                <w:szCs w:val="18"/>
              </w:rPr>
            </w:pPr>
            <w:r w:rsidRPr="00692926">
              <w:rPr>
                <w:sz w:val="18"/>
                <w:szCs w:val="18"/>
              </w:rPr>
              <w:t>-</w:t>
            </w:r>
          </w:p>
        </w:tc>
        <w:tc>
          <w:tcPr>
            <w:tcW w:w="1663" w:type="dxa"/>
            <w:vAlign w:val="bottom"/>
          </w:tcPr>
          <w:p w14:paraId="1E95CE54" w14:textId="77777777" w:rsidR="00104DF7" w:rsidRPr="00692926" w:rsidRDefault="00104DF7" w:rsidP="00104DF7">
            <w:pPr>
              <w:tabs>
                <w:tab w:val="left" w:pos="0"/>
              </w:tabs>
              <w:spacing w:line="226" w:lineRule="auto"/>
              <w:jc w:val="right"/>
              <w:rPr>
                <w:sz w:val="18"/>
                <w:szCs w:val="18"/>
              </w:rPr>
            </w:pPr>
            <w:r w:rsidRPr="00692926">
              <w:rPr>
                <w:sz w:val="18"/>
                <w:szCs w:val="18"/>
              </w:rPr>
              <w:t>-</w:t>
            </w:r>
          </w:p>
        </w:tc>
      </w:tr>
      <w:tr w:rsidR="00104DF7" w:rsidRPr="00604C75" w14:paraId="510ED2AD" w14:textId="77777777" w:rsidTr="003926E9">
        <w:trPr>
          <w:trHeight w:val="270"/>
        </w:trPr>
        <w:tc>
          <w:tcPr>
            <w:tcW w:w="6237" w:type="dxa"/>
            <w:vAlign w:val="center"/>
          </w:tcPr>
          <w:p w14:paraId="02BC4726" w14:textId="77777777" w:rsidR="00104DF7" w:rsidRPr="00AF1C1D" w:rsidRDefault="00104DF7" w:rsidP="00104DF7">
            <w:pPr>
              <w:rPr>
                <w:noProof/>
                <w:sz w:val="18"/>
              </w:rPr>
            </w:pPr>
            <w:r w:rsidRPr="00AF1C1D">
              <w:rPr>
                <w:noProof/>
                <w:sz w:val="18"/>
              </w:rPr>
              <w:t xml:space="preserve">Deposits in Banks Incorporated in Turkey Exclusively for Off-shore Banking Operations </w:t>
            </w:r>
          </w:p>
        </w:tc>
        <w:tc>
          <w:tcPr>
            <w:tcW w:w="1527" w:type="dxa"/>
            <w:vAlign w:val="bottom"/>
          </w:tcPr>
          <w:p w14:paraId="0C02293E" w14:textId="77777777" w:rsidR="00104DF7" w:rsidRPr="00692926" w:rsidRDefault="00104DF7" w:rsidP="00104DF7">
            <w:pPr>
              <w:tabs>
                <w:tab w:val="left" w:pos="0"/>
              </w:tabs>
              <w:spacing w:line="226" w:lineRule="auto"/>
              <w:jc w:val="right"/>
              <w:rPr>
                <w:sz w:val="18"/>
                <w:szCs w:val="18"/>
              </w:rPr>
            </w:pPr>
            <w:r w:rsidRPr="00692926">
              <w:rPr>
                <w:sz w:val="18"/>
                <w:szCs w:val="18"/>
              </w:rPr>
              <w:t>-</w:t>
            </w:r>
          </w:p>
        </w:tc>
        <w:tc>
          <w:tcPr>
            <w:tcW w:w="1663" w:type="dxa"/>
            <w:vAlign w:val="bottom"/>
          </w:tcPr>
          <w:p w14:paraId="49F4D7FD" w14:textId="77777777" w:rsidR="00104DF7" w:rsidRPr="00692926" w:rsidRDefault="00104DF7" w:rsidP="00104DF7">
            <w:pPr>
              <w:tabs>
                <w:tab w:val="left" w:pos="0"/>
              </w:tabs>
              <w:spacing w:line="226" w:lineRule="auto"/>
              <w:jc w:val="right"/>
              <w:rPr>
                <w:sz w:val="18"/>
                <w:szCs w:val="18"/>
              </w:rPr>
            </w:pPr>
            <w:r w:rsidRPr="00692926">
              <w:rPr>
                <w:sz w:val="18"/>
                <w:szCs w:val="18"/>
              </w:rPr>
              <w:t>-</w:t>
            </w:r>
          </w:p>
        </w:tc>
      </w:tr>
    </w:tbl>
    <w:p w14:paraId="40B5163B" w14:textId="77777777" w:rsidR="0044575F" w:rsidRPr="00604C75" w:rsidRDefault="0044575F" w:rsidP="005345A6">
      <w:pPr>
        <w:pStyle w:val="BodyTextIndent"/>
        <w:spacing w:after="0"/>
        <w:ind w:left="567" w:hanging="567"/>
        <w:rPr>
          <w:sz w:val="16"/>
          <w:szCs w:val="16"/>
        </w:rPr>
      </w:pPr>
    </w:p>
    <w:p w14:paraId="7E22B809" w14:textId="77777777" w:rsidR="00FD7EB3" w:rsidRPr="00604C75" w:rsidRDefault="00D11E57" w:rsidP="005345A6">
      <w:pPr>
        <w:pStyle w:val="ListParagraph"/>
        <w:tabs>
          <w:tab w:val="left" w:pos="1276"/>
        </w:tabs>
        <w:ind w:left="567" w:hanging="567"/>
        <w:jc w:val="both"/>
        <w:rPr>
          <w:b/>
          <w:bCs/>
          <w:noProof/>
          <w:sz w:val="20"/>
          <w:szCs w:val="20"/>
        </w:rPr>
      </w:pPr>
      <w:r w:rsidRPr="00604C75">
        <w:rPr>
          <w:b/>
          <w:bCs/>
          <w:noProof/>
          <w:sz w:val="20"/>
          <w:szCs w:val="20"/>
        </w:rPr>
        <w:t xml:space="preserve">b.    </w:t>
      </w:r>
      <w:r w:rsidR="00FD7EB3" w:rsidRPr="00604C75">
        <w:rPr>
          <w:b/>
          <w:bCs/>
          <w:noProof/>
          <w:sz w:val="20"/>
          <w:szCs w:val="20"/>
        </w:rPr>
        <w:t xml:space="preserve">      </w:t>
      </w:r>
      <w:r w:rsidR="0044575F" w:rsidRPr="00604C75">
        <w:rPr>
          <w:b/>
          <w:bCs/>
          <w:noProof/>
          <w:sz w:val="20"/>
          <w:szCs w:val="20"/>
        </w:rPr>
        <w:t>Information on trading derivative financial liabilities</w:t>
      </w:r>
    </w:p>
    <w:p w14:paraId="14FB32F9" w14:textId="77777777" w:rsidR="0044575F" w:rsidRPr="00604C75" w:rsidRDefault="0044575F" w:rsidP="005345A6">
      <w:pPr>
        <w:pStyle w:val="ListParagraph"/>
        <w:tabs>
          <w:tab w:val="left" w:pos="1276"/>
        </w:tabs>
        <w:ind w:left="567" w:hanging="567"/>
        <w:jc w:val="both"/>
        <w:rPr>
          <w:b/>
          <w:sz w:val="20"/>
          <w:szCs w:val="20"/>
        </w:rPr>
      </w:pPr>
    </w:p>
    <w:tbl>
      <w:tblPr>
        <w:tblW w:w="938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056"/>
        <w:gridCol w:w="1582"/>
        <w:gridCol w:w="1583"/>
        <w:gridCol w:w="1583"/>
        <w:gridCol w:w="1583"/>
      </w:tblGrid>
      <w:tr w:rsidR="00475931" w:rsidRPr="00604C75" w14:paraId="1DCC8511" w14:textId="77777777" w:rsidTr="003926E9">
        <w:trPr>
          <w:trHeight w:val="251"/>
        </w:trPr>
        <w:tc>
          <w:tcPr>
            <w:tcW w:w="3056" w:type="dxa"/>
            <w:shd w:val="clear" w:color="auto" w:fill="FFFFFF"/>
            <w:vAlign w:val="bottom"/>
          </w:tcPr>
          <w:p w14:paraId="03DF3E1F" w14:textId="77777777" w:rsidR="00475931" w:rsidRPr="00604C75" w:rsidRDefault="00475931" w:rsidP="005345A6">
            <w:pPr>
              <w:ind w:left="567" w:hanging="567"/>
              <w:rPr>
                <w:rFonts w:eastAsia="Arial Unicode MS"/>
                <w:b/>
                <w:bCs/>
                <w:sz w:val="18"/>
                <w:szCs w:val="18"/>
              </w:rPr>
            </w:pPr>
            <w:r w:rsidRPr="00604C75">
              <w:rPr>
                <w:b/>
                <w:bCs/>
                <w:sz w:val="18"/>
                <w:szCs w:val="18"/>
              </w:rPr>
              <w:t> </w:t>
            </w:r>
          </w:p>
        </w:tc>
        <w:tc>
          <w:tcPr>
            <w:tcW w:w="3165" w:type="dxa"/>
            <w:gridSpan w:val="2"/>
            <w:shd w:val="clear" w:color="auto" w:fill="FFFFFF"/>
            <w:vAlign w:val="bottom"/>
          </w:tcPr>
          <w:p w14:paraId="265EDF90" w14:textId="77777777" w:rsidR="00475931" w:rsidRPr="00604C75" w:rsidRDefault="0036618D">
            <w:pPr>
              <w:ind w:left="567" w:right="-969" w:hanging="567"/>
              <w:rPr>
                <w:rFonts w:eastAsia="Arial Unicode MS"/>
                <w:b/>
                <w:bCs/>
                <w:sz w:val="18"/>
                <w:szCs w:val="18"/>
              </w:rPr>
            </w:pPr>
            <w:r>
              <w:rPr>
                <w:b/>
                <w:iCs/>
                <w:sz w:val="18"/>
              </w:rPr>
              <w:t xml:space="preserve">                        </w:t>
            </w:r>
            <w:r w:rsidR="000467F0">
              <w:rPr>
                <w:b/>
                <w:iCs/>
                <w:sz w:val="18"/>
              </w:rPr>
              <w:t>3</w:t>
            </w:r>
            <w:r w:rsidR="00CB1BAF">
              <w:rPr>
                <w:b/>
                <w:iCs/>
                <w:sz w:val="18"/>
              </w:rPr>
              <w:t>1</w:t>
            </w:r>
            <w:r w:rsidR="000467F0">
              <w:rPr>
                <w:b/>
                <w:iCs/>
                <w:sz w:val="18"/>
              </w:rPr>
              <w:t xml:space="preserve"> </w:t>
            </w:r>
            <w:r w:rsidR="00CB1BAF">
              <w:rPr>
                <w:b/>
                <w:iCs/>
                <w:sz w:val="18"/>
              </w:rPr>
              <w:t xml:space="preserve">December </w:t>
            </w:r>
            <w:r w:rsidR="00475931" w:rsidRPr="00604C75">
              <w:rPr>
                <w:b/>
                <w:bCs/>
                <w:sz w:val="18"/>
                <w:szCs w:val="18"/>
              </w:rPr>
              <w:t xml:space="preserve">2015 </w:t>
            </w:r>
          </w:p>
        </w:tc>
        <w:tc>
          <w:tcPr>
            <w:tcW w:w="3166" w:type="dxa"/>
            <w:gridSpan w:val="2"/>
            <w:shd w:val="clear" w:color="auto" w:fill="FFFFFF"/>
            <w:vAlign w:val="bottom"/>
          </w:tcPr>
          <w:p w14:paraId="20B368E9" w14:textId="77777777" w:rsidR="00475931" w:rsidRPr="00604C75" w:rsidRDefault="00475931" w:rsidP="005345A6">
            <w:pPr>
              <w:ind w:left="567" w:hanging="567"/>
              <w:jc w:val="center"/>
              <w:rPr>
                <w:rFonts w:eastAsia="Arial Unicode MS"/>
                <w:b/>
                <w:bCs/>
                <w:sz w:val="18"/>
                <w:szCs w:val="18"/>
              </w:rPr>
            </w:pPr>
            <w:r w:rsidRPr="00604C75">
              <w:rPr>
                <w:b/>
                <w:bCs/>
                <w:sz w:val="18"/>
                <w:szCs w:val="18"/>
              </w:rPr>
              <w:t>31 December 2014</w:t>
            </w:r>
          </w:p>
        </w:tc>
      </w:tr>
      <w:tr w:rsidR="0044575F" w:rsidRPr="00604C75" w14:paraId="7A57310F" w14:textId="77777777" w:rsidTr="003926E9">
        <w:trPr>
          <w:trHeight w:val="326"/>
        </w:trPr>
        <w:tc>
          <w:tcPr>
            <w:tcW w:w="3056" w:type="dxa"/>
            <w:shd w:val="clear" w:color="auto" w:fill="FFFFFF"/>
            <w:vAlign w:val="bottom"/>
          </w:tcPr>
          <w:p w14:paraId="4A19AF86" w14:textId="77777777" w:rsidR="0044575F" w:rsidRPr="00604C75" w:rsidRDefault="0044575F" w:rsidP="005345A6">
            <w:pPr>
              <w:ind w:left="567" w:hanging="567"/>
              <w:rPr>
                <w:rFonts w:eastAsia="Arial Unicode MS"/>
                <w:b/>
                <w:bCs/>
                <w:sz w:val="18"/>
                <w:szCs w:val="18"/>
              </w:rPr>
            </w:pPr>
          </w:p>
        </w:tc>
        <w:tc>
          <w:tcPr>
            <w:tcW w:w="1582" w:type="dxa"/>
            <w:shd w:val="clear" w:color="auto" w:fill="FFFFFF"/>
            <w:vAlign w:val="bottom"/>
          </w:tcPr>
          <w:p w14:paraId="566F730E" w14:textId="77777777" w:rsidR="0044575F" w:rsidRPr="00604C75" w:rsidRDefault="0044575F" w:rsidP="00AB0B19">
            <w:pPr>
              <w:ind w:left="567" w:right="48" w:hanging="567"/>
              <w:jc w:val="right"/>
              <w:rPr>
                <w:rFonts w:eastAsia="Arial Unicode MS"/>
                <w:b/>
                <w:bCs/>
                <w:sz w:val="18"/>
                <w:szCs w:val="18"/>
              </w:rPr>
            </w:pPr>
            <w:r w:rsidRPr="00604C75">
              <w:rPr>
                <w:b/>
                <w:bCs/>
                <w:sz w:val="18"/>
                <w:szCs w:val="18"/>
              </w:rPr>
              <w:t>TL</w:t>
            </w:r>
          </w:p>
        </w:tc>
        <w:tc>
          <w:tcPr>
            <w:tcW w:w="1583" w:type="dxa"/>
            <w:shd w:val="clear" w:color="auto" w:fill="FFFFFF"/>
            <w:vAlign w:val="bottom"/>
          </w:tcPr>
          <w:p w14:paraId="0C9DD5F4" w14:textId="77777777" w:rsidR="0044575F" w:rsidRPr="00604C75" w:rsidRDefault="0044575F" w:rsidP="00AB0B19">
            <w:pPr>
              <w:ind w:left="567" w:right="48" w:hanging="567"/>
              <w:jc w:val="right"/>
              <w:rPr>
                <w:rFonts w:eastAsia="Arial Unicode MS"/>
                <w:b/>
                <w:bCs/>
                <w:sz w:val="18"/>
                <w:szCs w:val="18"/>
              </w:rPr>
            </w:pPr>
            <w:r w:rsidRPr="00604C75">
              <w:rPr>
                <w:b/>
                <w:bCs/>
                <w:sz w:val="18"/>
                <w:szCs w:val="18"/>
              </w:rPr>
              <w:t>FC</w:t>
            </w:r>
          </w:p>
        </w:tc>
        <w:tc>
          <w:tcPr>
            <w:tcW w:w="1583" w:type="dxa"/>
            <w:shd w:val="clear" w:color="auto" w:fill="FFFFFF"/>
            <w:vAlign w:val="bottom"/>
          </w:tcPr>
          <w:p w14:paraId="1E259A67" w14:textId="77777777" w:rsidR="0044575F" w:rsidRPr="00604C75" w:rsidRDefault="0044575F" w:rsidP="00AB0B19">
            <w:pPr>
              <w:ind w:left="567" w:right="48" w:hanging="567"/>
              <w:jc w:val="right"/>
              <w:rPr>
                <w:rFonts w:eastAsia="Arial Unicode MS"/>
                <w:b/>
                <w:bCs/>
                <w:sz w:val="18"/>
                <w:szCs w:val="18"/>
              </w:rPr>
            </w:pPr>
            <w:r w:rsidRPr="00604C75">
              <w:rPr>
                <w:b/>
                <w:bCs/>
                <w:sz w:val="18"/>
                <w:szCs w:val="18"/>
              </w:rPr>
              <w:t>TL</w:t>
            </w:r>
          </w:p>
        </w:tc>
        <w:tc>
          <w:tcPr>
            <w:tcW w:w="1583" w:type="dxa"/>
            <w:shd w:val="clear" w:color="auto" w:fill="FFFFFF"/>
            <w:vAlign w:val="bottom"/>
          </w:tcPr>
          <w:p w14:paraId="23A13411" w14:textId="77777777" w:rsidR="0044575F" w:rsidRPr="00604C75" w:rsidRDefault="0044575F" w:rsidP="00AB0B19">
            <w:pPr>
              <w:ind w:left="567" w:right="48" w:hanging="567"/>
              <w:jc w:val="right"/>
              <w:rPr>
                <w:rFonts w:eastAsia="Arial Unicode MS"/>
                <w:b/>
                <w:bCs/>
                <w:sz w:val="18"/>
                <w:szCs w:val="18"/>
              </w:rPr>
            </w:pPr>
            <w:r w:rsidRPr="00604C75">
              <w:rPr>
                <w:b/>
                <w:bCs/>
                <w:sz w:val="18"/>
                <w:szCs w:val="18"/>
              </w:rPr>
              <w:t>FC</w:t>
            </w:r>
          </w:p>
        </w:tc>
      </w:tr>
      <w:tr w:rsidR="00224102" w:rsidRPr="00604C75" w14:paraId="1E7FB6C7" w14:textId="77777777" w:rsidTr="003926E9">
        <w:trPr>
          <w:trHeight w:val="251"/>
        </w:trPr>
        <w:tc>
          <w:tcPr>
            <w:tcW w:w="3056" w:type="dxa"/>
            <w:shd w:val="clear" w:color="auto" w:fill="FFFFFF"/>
            <w:vAlign w:val="bottom"/>
          </w:tcPr>
          <w:p w14:paraId="7E021830" w14:textId="77777777" w:rsidR="00224102" w:rsidRPr="00604C75" w:rsidRDefault="00224102" w:rsidP="00224102">
            <w:pPr>
              <w:ind w:left="567" w:hanging="567"/>
              <w:rPr>
                <w:rFonts w:eastAsia="Arial Unicode MS"/>
                <w:noProof/>
                <w:sz w:val="18"/>
                <w:szCs w:val="18"/>
              </w:rPr>
            </w:pPr>
            <w:r w:rsidRPr="00604C75">
              <w:rPr>
                <w:rFonts w:eastAsia="Arial Unicode MS"/>
                <w:noProof/>
                <w:sz w:val="18"/>
                <w:szCs w:val="18"/>
              </w:rPr>
              <w:t>Forward Transactions</w:t>
            </w:r>
          </w:p>
        </w:tc>
        <w:tc>
          <w:tcPr>
            <w:tcW w:w="1582" w:type="dxa"/>
            <w:shd w:val="clear" w:color="auto" w:fill="FFFFFF"/>
            <w:vAlign w:val="bottom"/>
          </w:tcPr>
          <w:p w14:paraId="3166E080" w14:textId="1516715C" w:rsidR="00224102" w:rsidRPr="00A94260" w:rsidRDefault="00224102" w:rsidP="00AB0B19">
            <w:pPr>
              <w:ind w:right="48"/>
              <w:jc w:val="right"/>
              <w:rPr>
                <w:sz w:val="18"/>
                <w:szCs w:val="18"/>
              </w:rPr>
            </w:pPr>
            <w:r w:rsidRPr="00A94260">
              <w:rPr>
                <w:sz w:val="18"/>
                <w:szCs w:val="18"/>
              </w:rPr>
              <w:t>529</w:t>
            </w:r>
          </w:p>
        </w:tc>
        <w:tc>
          <w:tcPr>
            <w:tcW w:w="1583" w:type="dxa"/>
            <w:shd w:val="clear" w:color="auto" w:fill="FFFFFF"/>
            <w:vAlign w:val="bottom"/>
          </w:tcPr>
          <w:p w14:paraId="52BF5A1A" w14:textId="54024E8A" w:rsidR="00224102" w:rsidRPr="00A94260" w:rsidRDefault="00224102" w:rsidP="00AB0B19">
            <w:pPr>
              <w:ind w:right="48"/>
              <w:jc w:val="right"/>
              <w:rPr>
                <w:sz w:val="18"/>
                <w:szCs w:val="18"/>
              </w:rPr>
            </w:pPr>
            <w:r w:rsidRPr="00A94260">
              <w:rPr>
                <w:sz w:val="18"/>
                <w:szCs w:val="18"/>
              </w:rPr>
              <w:t>3,237</w:t>
            </w:r>
          </w:p>
        </w:tc>
        <w:tc>
          <w:tcPr>
            <w:tcW w:w="1583" w:type="dxa"/>
            <w:shd w:val="clear" w:color="auto" w:fill="FFFFFF"/>
            <w:vAlign w:val="bottom"/>
          </w:tcPr>
          <w:p w14:paraId="11F07BDA" w14:textId="4FA95EC5" w:rsidR="00224102" w:rsidRPr="00692926" w:rsidRDefault="00224102" w:rsidP="00AB0B19">
            <w:pPr>
              <w:tabs>
                <w:tab w:val="left" w:pos="0"/>
              </w:tabs>
              <w:ind w:right="48"/>
              <w:jc w:val="right"/>
              <w:rPr>
                <w:sz w:val="18"/>
                <w:szCs w:val="18"/>
              </w:rPr>
            </w:pPr>
            <w:r w:rsidRPr="00A94260">
              <w:rPr>
                <w:sz w:val="18"/>
                <w:szCs w:val="18"/>
              </w:rPr>
              <w:t>981</w:t>
            </w:r>
          </w:p>
        </w:tc>
        <w:tc>
          <w:tcPr>
            <w:tcW w:w="1583" w:type="dxa"/>
            <w:shd w:val="clear" w:color="auto" w:fill="FFFFFF"/>
            <w:vAlign w:val="bottom"/>
          </w:tcPr>
          <w:p w14:paraId="51CC1CF5" w14:textId="7CD06EE1" w:rsidR="00224102" w:rsidRPr="00692926" w:rsidRDefault="00224102" w:rsidP="00AB0B19">
            <w:pPr>
              <w:tabs>
                <w:tab w:val="left" w:pos="0"/>
              </w:tabs>
              <w:ind w:right="48"/>
              <w:jc w:val="right"/>
              <w:rPr>
                <w:sz w:val="18"/>
                <w:szCs w:val="18"/>
              </w:rPr>
            </w:pPr>
            <w:r w:rsidRPr="00A94260">
              <w:rPr>
                <w:sz w:val="18"/>
                <w:szCs w:val="18"/>
              </w:rPr>
              <w:t>4,779</w:t>
            </w:r>
          </w:p>
        </w:tc>
      </w:tr>
      <w:tr w:rsidR="00224102" w:rsidRPr="00604C75" w14:paraId="3A68EC92" w14:textId="77777777" w:rsidTr="003926E9">
        <w:trPr>
          <w:trHeight w:val="251"/>
        </w:trPr>
        <w:tc>
          <w:tcPr>
            <w:tcW w:w="3056" w:type="dxa"/>
            <w:shd w:val="clear" w:color="auto" w:fill="FFFFFF"/>
            <w:vAlign w:val="bottom"/>
          </w:tcPr>
          <w:p w14:paraId="2493A69E" w14:textId="77777777" w:rsidR="00224102" w:rsidRPr="00604C75" w:rsidRDefault="00224102" w:rsidP="00224102">
            <w:pPr>
              <w:ind w:left="567" w:hanging="567"/>
              <w:rPr>
                <w:rFonts w:eastAsia="Arial Unicode MS"/>
                <w:noProof/>
                <w:sz w:val="18"/>
                <w:szCs w:val="18"/>
              </w:rPr>
            </w:pPr>
            <w:r w:rsidRPr="00604C75">
              <w:rPr>
                <w:rFonts w:eastAsia="Arial Unicode MS"/>
                <w:noProof/>
                <w:sz w:val="18"/>
                <w:szCs w:val="18"/>
              </w:rPr>
              <w:t>Swap Transactions</w:t>
            </w:r>
          </w:p>
        </w:tc>
        <w:tc>
          <w:tcPr>
            <w:tcW w:w="1582" w:type="dxa"/>
            <w:vAlign w:val="bottom"/>
          </w:tcPr>
          <w:p w14:paraId="4F6BC953" w14:textId="5D6945B6" w:rsidR="00224102" w:rsidRPr="00A94260" w:rsidRDefault="00224102" w:rsidP="00AB0B19">
            <w:pPr>
              <w:ind w:right="48"/>
              <w:jc w:val="right"/>
              <w:rPr>
                <w:sz w:val="18"/>
                <w:szCs w:val="18"/>
              </w:rPr>
            </w:pPr>
            <w:r w:rsidRPr="00A94260">
              <w:rPr>
                <w:sz w:val="18"/>
                <w:szCs w:val="18"/>
              </w:rPr>
              <w:t>564</w:t>
            </w:r>
          </w:p>
        </w:tc>
        <w:tc>
          <w:tcPr>
            <w:tcW w:w="1583" w:type="dxa"/>
            <w:vAlign w:val="bottom"/>
          </w:tcPr>
          <w:p w14:paraId="75174B64" w14:textId="78169740" w:rsidR="00224102" w:rsidRPr="00A94260" w:rsidRDefault="00224102" w:rsidP="00AB0B19">
            <w:pPr>
              <w:ind w:right="48"/>
              <w:jc w:val="right"/>
              <w:rPr>
                <w:sz w:val="18"/>
                <w:szCs w:val="18"/>
              </w:rPr>
            </w:pPr>
            <w:r w:rsidRPr="00A94260">
              <w:rPr>
                <w:sz w:val="18"/>
                <w:szCs w:val="18"/>
              </w:rPr>
              <w:t>10,051</w:t>
            </w:r>
          </w:p>
        </w:tc>
        <w:tc>
          <w:tcPr>
            <w:tcW w:w="1583" w:type="dxa"/>
            <w:vAlign w:val="bottom"/>
          </w:tcPr>
          <w:p w14:paraId="19B43E28" w14:textId="6BD80A9D" w:rsidR="00224102" w:rsidRPr="00692926" w:rsidRDefault="00224102" w:rsidP="00AB0B19">
            <w:pPr>
              <w:tabs>
                <w:tab w:val="left" w:pos="0"/>
              </w:tabs>
              <w:ind w:right="48"/>
              <w:jc w:val="right"/>
              <w:rPr>
                <w:sz w:val="18"/>
                <w:szCs w:val="18"/>
              </w:rPr>
            </w:pPr>
            <w:r w:rsidRPr="00A94260">
              <w:rPr>
                <w:sz w:val="18"/>
                <w:szCs w:val="18"/>
              </w:rPr>
              <w:t>1,425</w:t>
            </w:r>
          </w:p>
        </w:tc>
        <w:tc>
          <w:tcPr>
            <w:tcW w:w="1583" w:type="dxa"/>
            <w:vAlign w:val="bottom"/>
          </w:tcPr>
          <w:p w14:paraId="32C13DB4" w14:textId="033C13F2" w:rsidR="00224102" w:rsidRPr="00692926" w:rsidRDefault="00224102" w:rsidP="00AB0B19">
            <w:pPr>
              <w:tabs>
                <w:tab w:val="left" w:pos="0"/>
              </w:tabs>
              <w:ind w:right="48"/>
              <w:jc w:val="right"/>
              <w:rPr>
                <w:sz w:val="18"/>
                <w:szCs w:val="18"/>
              </w:rPr>
            </w:pPr>
            <w:r w:rsidRPr="00A94260">
              <w:rPr>
                <w:sz w:val="18"/>
                <w:szCs w:val="18"/>
              </w:rPr>
              <w:t>3,422</w:t>
            </w:r>
          </w:p>
        </w:tc>
      </w:tr>
      <w:tr w:rsidR="00224102" w:rsidRPr="00604C75" w14:paraId="3FBF7978" w14:textId="77777777" w:rsidTr="003926E9">
        <w:trPr>
          <w:trHeight w:val="251"/>
        </w:trPr>
        <w:tc>
          <w:tcPr>
            <w:tcW w:w="3056" w:type="dxa"/>
            <w:shd w:val="clear" w:color="auto" w:fill="FFFFFF"/>
            <w:vAlign w:val="bottom"/>
          </w:tcPr>
          <w:p w14:paraId="66487022" w14:textId="77777777" w:rsidR="00224102" w:rsidRPr="00604C75" w:rsidRDefault="00224102" w:rsidP="00224102">
            <w:pPr>
              <w:ind w:left="567" w:hanging="567"/>
              <w:rPr>
                <w:rFonts w:eastAsia="Arial Unicode MS"/>
                <w:noProof/>
                <w:sz w:val="18"/>
                <w:szCs w:val="18"/>
              </w:rPr>
            </w:pPr>
            <w:r w:rsidRPr="00604C75">
              <w:rPr>
                <w:rFonts w:eastAsia="Arial Unicode MS"/>
                <w:noProof/>
                <w:sz w:val="18"/>
                <w:szCs w:val="18"/>
              </w:rPr>
              <w:t>Futures Transactions</w:t>
            </w:r>
          </w:p>
        </w:tc>
        <w:tc>
          <w:tcPr>
            <w:tcW w:w="1582" w:type="dxa"/>
            <w:vAlign w:val="bottom"/>
          </w:tcPr>
          <w:p w14:paraId="0402B30E" w14:textId="523D0E71" w:rsidR="00224102" w:rsidRPr="00A94260" w:rsidRDefault="00224102" w:rsidP="00AB0B19">
            <w:pPr>
              <w:ind w:right="48"/>
              <w:jc w:val="right"/>
              <w:rPr>
                <w:sz w:val="18"/>
                <w:szCs w:val="18"/>
              </w:rPr>
            </w:pPr>
            <w:r w:rsidRPr="00A94260">
              <w:rPr>
                <w:sz w:val="18"/>
                <w:szCs w:val="18"/>
              </w:rPr>
              <w:t>-</w:t>
            </w:r>
          </w:p>
        </w:tc>
        <w:tc>
          <w:tcPr>
            <w:tcW w:w="1583" w:type="dxa"/>
            <w:vAlign w:val="bottom"/>
          </w:tcPr>
          <w:p w14:paraId="769BC65F" w14:textId="77C8A491" w:rsidR="00224102" w:rsidRPr="00A94260" w:rsidRDefault="00224102" w:rsidP="00AB0B19">
            <w:pPr>
              <w:ind w:right="48"/>
              <w:jc w:val="right"/>
              <w:rPr>
                <w:sz w:val="18"/>
                <w:szCs w:val="18"/>
              </w:rPr>
            </w:pPr>
            <w:r w:rsidRPr="00A94260">
              <w:rPr>
                <w:sz w:val="18"/>
                <w:szCs w:val="18"/>
              </w:rPr>
              <w:t>-</w:t>
            </w:r>
          </w:p>
        </w:tc>
        <w:tc>
          <w:tcPr>
            <w:tcW w:w="1583" w:type="dxa"/>
            <w:vAlign w:val="bottom"/>
          </w:tcPr>
          <w:p w14:paraId="511623BF" w14:textId="2655B2E3" w:rsidR="00224102" w:rsidRPr="00692926" w:rsidRDefault="00224102" w:rsidP="00AB0B19">
            <w:pPr>
              <w:tabs>
                <w:tab w:val="left" w:pos="0"/>
              </w:tabs>
              <w:ind w:right="48"/>
              <w:jc w:val="right"/>
              <w:rPr>
                <w:sz w:val="18"/>
                <w:szCs w:val="18"/>
              </w:rPr>
            </w:pPr>
            <w:r w:rsidRPr="00A94260">
              <w:rPr>
                <w:sz w:val="18"/>
                <w:szCs w:val="18"/>
              </w:rPr>
              <w:t>-</w:t>
            </w:r>
          </w:p>
        </w:tc>
        <w:tc>
          <w:tcPr>
            <w:tcW w:w="1583" w:type="dxa"/>
            <w:vAlign w:val="bottom"/>
          </w:tcPr>
          <w:p w14:paraId="59662C54" w14:textId="17A6F979" w:rsidR="00224102" w:rsidRPr="00692926" w:rsidRDefault="00224102" w:rsidP="00AB0B19">
            <w:pPr>
              <w:tabs>
                <w:tab w:val="left" w:pos="0"/>
              </w:tabs>
              <w:ind w:right="48"/>
              <w:jc w:val="right"/>
              <w:rPr>
                <w:sz w:val="18"/>
                <w:szCs w:val="18"/>
              </w:rPr>
            </w:pPr>
            <w:r w:rsidRPr="00A94260">
              <w:rPr>
                <w:sz w:val="18"/>
                <w:szCs w:val="18"/>
              </w:rPr>
              <w:t>-</w:t>
            </w:r>
          </w:p>
        </w:tc>
      </w:tr>
      <w:tr w:rsidR="00224102" w:rsidRPr="00604C75" w14:paraId="600AA7FA" w14:textId="77777777" w:rsidTr="003926E9">
        <w:trPr>
          <w:trHeight w:val="251"/>
        </w:trPr>
        <w:tc>
          <w:tcPr>
            <w:tcW w:w="3056" w:type="dxa"/>
            <w:shd w:val="clear" w:color="auto" w:fill="FFFFFF"/>
            <w:vAlign w:val="bottom"/>
          </w:tcPr>
          <w:p w14:paraId="2FA3BA1A" w14:textId="77777777" w:rsidR="00224102" w:rsidRPr="00604C75" w:rsidRDefault="00224102" w:rsidP="00224102">
            <w:pPr>
              <w:ind w:left="567" w:hanging="567"/>
              <w:rPr>
                <w:rFonts w:eastAsia="Arial Unicode MS"/>
                <w:noProof/>
                <w:sz w:val="18"/>
                <w:szCs w:val="18"/>
              </w:rPr>
            </w:pPr>
            <w:r w:rsidRPr="00604C75">
              <w:rPr>
                <w:rFonts w:eastAsia="Arial Unicode MS"/>
                <w:noProof/>
                <w:sz w:val="18"/>
                <w:szCs w:val="18"/>
              </w:rPr>
              <w:t>Options</w:t>
            </w:r>
          </w:p>
        </w:tc>
        <w:tc>
          <w:tcPr>
            <w:tcW w:w="1582" w:type="dxa"/>
            <w:vAlign w:val="bottom"/>
          </w:tcPr>
          <w:p w14:paraId="37273231" w14:textId="2A3BDAB6" w:rsidR="00224102" w:rsidRPr="00A94260" w:rsidRDefault="00224102" w:rsidP="00AB0B19">
            <w:pPr>
              <w:ind w:right="48"/>
              <w:jc w:val="right"/>
              <w:rPr>
                <w:sz w:val="18"/>
                <w:szCs w:val="18"/>
              </w:rPr>
            </w:pPr>
            <w:r w:rsidRPr="00A94260">
              <w:rPr>
                <w:sz w:val="18"/>
                <w:szCs w:val="18"/>
              </w:rPr>
              <w:t>-</w:t>
            </w:r>
          </w:p>
        </w:tc>
        <w:tc>
          <w:tcPr>
            <w:tcW w:w="1583" w:type="dxa"/>
            <w:vAlign w:val="bottom"/>
          </w:tcPr>
          <w:p w14:paraId="75BD44DC" w14:textId="686C626C" w:rsidR="00224102" w:rsidRPr="00A94260" w:rsidRDefault="00224102" w:rsidP="00AB0B19">
            <w:pPr>
              <w:ind w:right="48"/>
              <w:jc w:val="right"/>
              <w:rPr>
                <w:sz w:val="18"/>
                <w:szCs w:val="18"/>
              </w:rPr>
            </w:pPr>
            <w:r w:rsidRPr="00A94260">
              <w:rPr>
                <w:sz w:val="18"/>
                <w:szCs w:val="18"/>
              </w:rPr>
              <w:t>478</w:t>
            </w:r>
          </w:p>
        </w:tc>
        <w:tc>
          <w:tcPr>
            <w:tcW w:w="1583" w:type="dxa"/>
            <w:vAlign w:val="bottom"/>
          </w:tcPr>
          <w:p w14:paraId="79079B90" w14:textId="644AD73A" w:rsidR="00224102" w:rsidRPr="00692926" w:rsidRDefault="00224102" w:rsidP="00AB0B19">
            <w:pPr>
              <w:tabs>
                <w:tab w:val="left" w:pos="0"/>
              </w:tabs>
              <w:ind w:right="48"/>
              <w:jc w:val="right"/>
              <w:rPr>
                <w:sz w:val="18"/>
                <w:szCs w:val="18"/>
              </w:rPr>
            </w:pPr>
            <w:r w:rsidRPr="00A94260">
              <w:rPr>
                <w:sz w:val="18"/>
                <w:szCs w:val="18"/>
              </w:rPr>
              <w:t>-</w:t>
            </w:r>
          </w:p>
        </w:tc>
        <w:tc>
          <w:tcPr>
            <w:tcW w:w="1583" w:type="dxa"/>
            <w:vAlign w:val="bottom"/>
          </w:tcPr>
          <w:p w14:paraId="33E7D607" w14:textId="0F415332" w:rsidR="00224102" w:rsidRPr="00692926" w:rsidRDefault="00224102" w:rsidP="00AB0B19">
            <w:pPr>
              <w:tabs>
                <w:tab w:val="left" w:pos="0"/>
              </w:tabs>
              <w:ind w:right="48"/>
              <w:jc w:val="right"/>
              <w:rPr>
                <w:sz w:val="18"/>
                <w:szCs w:val="18"/>
              </w:rPr>
            </w:pPr>
            <w:r w:rsidRPr="00A94260">
              <w:rPr>
                <w:sz w:val="18"/>
                <w:szCs w:val="18"/>
              </w:rPr>
              <w:t>1,822</w:t>
            </w:r>
          </w:p>
        </w:tc>
      </w:tr>
      <w:tr w:rsidR="00224102" w:rsidRPr="00604C75" w14:paraId="453ABD61" w14:textId="77777777" w:rsidTr="003926E9">
        <w:trPr>
          <w:trHeight w:val="251"/>
        </w:trPr>
        <w:tc>
          <w:tcPr>
            <w:tcW w:w="3056" w:type="dxa"/>
            <w:shd w:val="clear" w:color="auto" w:fill="FFFFFF"/>
            <w:vAlign w:val="bottom"/>
          </w:tcPr>
          <w:p w14:paraId="13DB0F12" w14:textId="77777777" w:rsidR="00224102" w:rsidRPr="00604C75" w:rsidRDefault="00224102" w:rsidP="00224102">
            <w:pPr>
              <w:ind w:left="567" w:hanging="567"/>
              <w:rPr>
                <w:rFonts w:eastAsia="Arial Unicode MS"/>
                <w:noProof/>
                <w:sz w:val="18"/>
                <w:szCs w:val="18"/>
              </w:rPr>
            </w:pPr>
            <w:r w:rsidRPr="00604C75">
              <w:rPr>
                <w:rFonts w:eastAsia="Arial Unicode MS"/>
                <w:noProof/>
                <w:sz w:val="18"/>
                <w:szCs w:val="18"/>
              </w:rPr>
              <w:t>Other</w:t>
            </w:r>
          </w:p>
        </w:tc>
        <w:tc>
          <w:tcPr>
            <w:tcW w:w="1582" w:type="dxa"/>
            <w:vAlign w:val="bottom"/>
          </w:tcPr>
          <w:p w14:paraId="55DDD292" w14:textId="13FBCA1D" w:rsidR="00224102" w:rsidRPr="00A94260" w:rsidRDefault="00224102" w:rsidP="00AB0B19">
            <w:pPr>
              <w:ind w:right="48"/>
              <w:jc w:val="right"/>
              <w:rPr>
                <w:sz w:val="18"/>
                <w:szCs w:val="18"/>
              </w:rPr>
            </w:pPr>
            <w:r w:rsidRPr="00A94260">
              <w:rPr>
                <w:sz w:val="18"/>
                <w:szCs w:val="18"/>
              </w:rPr>
              <w:t>-</w:t>
            </w:r>
          </w:p>
        </w:tc>
        <w:tc>
          <w:tcPr>
            <w:tcW w:w="1583" w:type="dxa"/>
            <w:vAlign w:val="bottom"/>
          </w:tcPr>
          <w:p w14:paraId="39E40B3F" w14:textId="435E74D0" w:rsidR="00224102" w:rsidRPr="00A94260" w:rsidRDefault="00224102" w:rsidP="00AB0B19">
            <w:pPr>
              <w:ind w:right="48"/>
              <w:jc w:val="right"/>
              <w:rPr>
                <w:sz w:val="18"/>
                <w:szCs w:val="18"/>
              </w:rPr>
            </w:pPr>
            <w:r w:rsidRPr="00A94260">
              <w:rPr>
                <w:sz w:val="18"/>
                <w:szCs w:val="18"/>
              </w:rPr>
              <w:t>-</w:t>
            </w:r>
          </w:p>
        </w:tc>
        <w:tc>
          <w:tcPr>
            <w:tcW w:w="1583" w:type="dxa"/>
            <w:vAlign w:val="bottom"/>
          </w:tcPr>
          <w:p w14:paraId="7C90526A" w14:textId="2FEA22FD" w:rsidR="00224102" w:rsidRPr="00692926" w:rsidRDefault="00224102" w:rsidP="00AB0B19">
            <w:pPr>
              <w:tabs>
                <w:tab w:val="left" w:pos="0"/>
              </w:tabs>
              <w:ind w:right="48"/>
              <w:jc w:val="right"/>
              <w:rPr>
                <w:sz w:val="18"/>
                <w:szCs w:val="18"/>
              </w:rPr>
            </w:pPr>
            <w:r w:rsidRPr="00A94260">
              <w:rPr>
                <w:sz w:val="18"/>
                <w:szCs w:val="18"/>
              </w:rPr>
              <w:t>-</w:t>
            </w:r>
          </w:p>
        </w:tc>
        <w:tc>
          <w:tcPr>
            <w:tcW w:w="1583" w:type="dxa"/>
            <w:vAlign w:val="bottom"/>
          </w:tcPr>
          <w:p w14:paraId="47B6A73D" w14:textId="5A17077A" w:rsidR="00224102" w:rsidRPr="00692926" w:rsidRDefault="00224102" w:rsidP="00AB0B19">
            <w:pPr>
              <w:tabs>
                <w:tab w:val="left" w:pos="0"/>
              </w:tabs>
              <w:ind w:right="48"/>
              <w:jc w:val="right"/>
              <w:rPr>
                <w:sz w:val="18"/>
                <w:szCs w:val="18"/>
              </w:rPr>
            </w:pPr>
            <w:r w:rsidRPr="00A94260">
              <w:rPr>
                <w:sz w:val="18"/>
                <w:szCs w:val="18"/>
              </w:rPr>
              <w:t>-</w:t>
            </w:r>
          </w:p>
        </w:tc>
      </w:tr>
      <w:tr w:rsidR="00224102" w:rsidRPr="00604C75" w14:paraId="2E360376" w14:textId="77777777" w:rsidTr="003926E9">
        <w:trPr>
          <w:trHeight w:val="251"/>
        </w:trPr>
        <w:tc>
          <w:tcPr>
            <w:tcW w:w="3056" w:type="dxa"/>
            <w:shd w:val="clear" w:color="auto" w:fill="FFFFFF"/>
            <w:vAlign w:val="bottom"/>
          </w:tcPr>
          <w:p w14:paraId="7980137E" w14:textId="77777777" w:rsidR="00224102" w:rsidRPr="00604C75" w:rsidRDefault="00224102" w:rsidP="00224102">
            <w:pPr>
              <w:ind w:left="567" w:hanging="567"/>
              <w:rPr>
                <w:rFonts w:eastAsia="Arial Unicode MS"/>
                <w:b/>
                <w:noProof/>
                <w:sz w:val="18"/>
                <w:szCs w:val="18"/>
              </w:rPr>
            </w:pPr>
            <w:r w:rsidRPr="00604C75">
              <w:rPr>
                <w:rFonts w:eastAsia="Arial Unicode MS"/>
                <w:b/>
                <w:noProof/>
                <w:sz w:val="18"/>
                <w:szCs w:val="18"/>
              </w:rPr>
              <w:t>Total</w:t>
            </w:r>
          </w:p>
        </w:tc>
        <w:tc>
          <w:tcPr>
            <w:tcW w:w="1582" w:type="dxa"/>
            <w:vAlign w:val="bottom"/>
          </w:tcPr>
          <w:p w14:paraId="4178C022" w14:textId="0C26331E" w:rsidR="00224102" w:rsidRPr="00A94260" w:rsidRDefault="00224102" w:rsidP="00AB0B19">
            <w:pPr>
              <w:ind w:right="48"/>
              <w:jc w:val="right"/>
              <w:rPr>
                <w:b/>
                <w:bCs/>
                <w:sz w:val="18"/>
                <w:szCs w:val="18"/>
              </w:rPr>
            </w:pPr>
            <w:r w:rsidRPr="00A94260">
              <w:rPr>
                <w:b/>
                <w:bCs/>
                <w:sz w:val="18"/>
                <w:szCs w:val="18"/>
              </w:rPr>
              <w:t>1,093</w:t>
            </w:r>
          </w:p>
        </w:tc>
        <w:tc>
          <w:tcPr>
            <w:tcW w:w="1583" w:type="dxa"/>
            <w:vAlign w:val="bottom"/>
          </w:tcPr>
          <w:p w14:paraId="506FBFD4" w14:textId="4A769202" w:rsidR="00224102" w:rsidRPr="00A94260" w:rsidRDefault="00224102" w:rsidP="00AB0B19">
            <w:pPr>
              <w:ind w:right="48"/>
              <w:jc w:val="right"/>
              <w:rPr>
                <w:b/>
                <w:bCs/>
                <w:sz w:val="18"/>
                <w:szCs w:val="18"/>
              </w:rPr>
            </w:pPr>
            <w:r w:rsidRPr="00A94260">
              <w:rPr>
                <w:b/>
                <w:bCs/>
                <w:sz w:val="18"/>
                <w:szCs w:val="18"/>
              </w:rPr>
              <w:t>13,766</w:t>
            </w:r>
          </w:p>
        </w:tc>
        <w:tc>
          <w:tcPr>
            <w:tcW w:w="1583" w:type="dxa"/>
            <w:vAlign w:val="bottom"/>
          </w:tcPr>
          <w:p w14:paraId="6A1EFBEF" w14:textId="53F3DF61" w:rsidR="00224102" w:rsidRPr="00692926" w:rsidRDefault="00224102" w:rsidP="00AB0B19">
            <w:pPr>
              <w:tabs>
                <w:tab w:val="left" w:pos="0"/>
              </w:tabs>
              <w:ind w:right="48"/>
              <w:jc w:val="right"/>
              <w:rPr>
                <w:b/>
                <w:bCs/>
                <w:sz w:val="18"/>
                <w:szCs w:val="18"/>
              </w:rPr>
            </w:pPr>
            <w:r w:rsidRPr="00A94260">
              <w:rPr>
                <w:b/>
                <w:bCs/>
                <w:sz w:val="18"/>
                <w:szCs w:val="18"/>
              </w:rPr>
              <w:t>2,406</w:t>
            </w:r>
          </w:p>
        </w:tc>
        <w:tc>
          <w:tcPr>
            <w:tcW w:w="1583" w:type="dxa"/>
            <w:vAlign w:val="bottom"/>
          </w:tcPr>
          <w:p w14:paraId="41B3EA73" w14:textId="5B64A3DA" w:rsidR="00224102" w:rsidRPr="00692926" w:rsidRDefault="00224102" w:rsidP="00AB0B19">
            <w:pPr>
              <w:tabs>
                <w:tab w:val="left" w:pos="0"/>
              </w:tabs>
              <w:ind w:right="48"/>
              <w:jc w:val="right"/>
              <w:rPr>
                <w:b/>
                <w:bCs/>
                <w:sz w:val="18"/>
                <w:szCs w:val="18"/>
              </w:rPr>
            </w:pPr>
            <w:r w:rsidRPr="00A94260">
              <w:rPr>
                <w:b/>
                <w:bCs/>
                <w:sz w:val="18"/>
                <w:szCs w:val="18"/>
              </w:rPr>
              <w:t>10,023</w:t>
            </w:r>
          </w:p>
        </w:tc>
      </w:tr>
    </w:tbl>
    <w:p w14:paraId="692F9CDB" w14:textId="77777777" w:rsidR="009F7408" w:rsidRPr="00604C75" w:rsidRDefault="009F7408" w:rsidP="005345A6">
      <w:pPr>
        <w:pStyle w:val="BodyTextIndent"/>
        <w:spacing w:after="0"/>
        <w:ind w:left="567" w:right="16" w:hanging="567"/>
        <w:rPr>
          <w:b/>
          <w:sz w:val="20"/>
          <w:szCs w:val="20"/>
        </w:rPr>
      </w:pPr>
    </w:p>
    <w:p w14:paraId="67B8DB24" w14:textId="5879B7BE" w:rsidR="00582C5E" w:rsidRPr="00D410C8" w:rsidRDefault="00582C5E" w:rsidP="00D410C8">
      <w:pPr>
        <w:pStyle w:val="BodyTextIndent"/>
        <w:spacing w:after="60"/>
        <w:ind w:left="567" w:right="16" w:hanging="567"/>
        <w:rPr>
          <w:b/>
          <w:sz w:val="20"/>
          <w:szCs w:val="20"/>
        </w:rPr>
      </w:pPr>
      <w:r w:rsidRPr="00604C75">
        <w:rPr>
          <w:b/>
          <w:sz w:val="20"/>
          <w:szCs w:val="20"/>
        </w:rPr>
        <w:t xml:space="preserve">c.    </w:t>
      </w:r>
      <w:r w:rsidR="00FD7EB3" w:rsidRPr="00604C75">
        <w:rPr>
          <w:b/>
          <w:sz w:val="20"/>
          <w:szCs w:val="20"/>
        </w:rPr>
        <w:t xml:space="preserve">      </w:t>
      </w:r>
      <w:r w:rsidRPr="00604C75">
        <w:rPr>
          <w:b/>
          <w:sz w:val="20"/>
          <w:szCs w:val="20"/>
        </w:rPr>
        <w:t>Information on borrowings</w:t>
      </w:r>
    </w:p>
    <w:p w14:paraId="39BBDA6E" w14:textId="77777777" w:rsidR="0044575F" w:rsidRPr="00604C75" w:rsidRDefault="0044575F" w:rsidP="00FD7EB3">
      <w:pPr>
        <w:pStyle w:val="BodyTextIndent"/>
        <w:spacing w:after="0"/>
        <w:ind w:left="616" w:right="16" w:hanging="616"/>
        <w:rPr>
          <w:sz w:val="20"/>
          <w:szCs w:val="20"/>
        </w:rPr>
      </w:pPr>
      <w:r w:rsidRPr="00604C75">
        <w:rPr>
          <w:sz w:val="20"/>
          <w:szCs w:val="20"/>
        </w:rPr>
        <w:t>1.</w:t>
      </w:r>
      <w:r w:rsidRPr="00604C75">
        <w:rPr>
          <w:sz w:val="20"/>
          <w:szCs w:val="20"/>
        </w:rPr>
        <w:tab/>
      </w:r>
      <w:r w:rsidR="00FD7EB3" w:rsidRPr="00604C75">
        <w:rPr>
          <w:sz w:val="20"/>
          <w:szCs w:val="20"/>
        </w:rPr>
        <w:t xml:space="preserve"> </w:t>
      </w:r>
      <w:r w:rsidRPr="00604C75">
        <w:rPr>
          <w:sz w:val="20"/>
          <w:szCs w:val="20"/>
        </w:rPr>
        <w:t>Information on borrowing</w:t>
      </w:r>
    </w:p>
    <w:p w14:paraId="76B78C71" w14:textId="77777777" w:rsidR="0044575F" w:rsidRPr="00604C75" w:rsidRDefault="0044575F" w:rsidP="005345A6">
      <w:pPr>
        <w:ind w:left="567" w:right="16" w:hanging="567"/>
        <w:rPr>
          <w:sz w:val="16"/>
          <w:szCs w:val="16"/>
        </w:rPr>
      </w:pPr>
    </w:p>
    <w:tbl>
      <w:tblPr>
        <w:tblW w:w="9375"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378"/>
        <w:gridCol w:w="1199"/>
        <w:gridCol w:w="1210"/>
        <w:gridCol w:w="1376"/>
        <w:gridCol w:w="1212"/>
      </w:tblGrid>
      <w:tr w:rsidR="001349E4" w:rsidRPr="00604C75" w14:paraId="16E4B0D0" w14:textId="77777777" w:rsidTr="003926E9">
        <w:trPr>
          <w:trHeight w:val="232"/>
        </w:trPr>
        <w:tc>
          <w:tcPr>
            <w:tcW w:w="4378" w:type="dxa"/>
            <w:shd w:val="clear" w:color="auto" w:fill="FFFFFF"/>
            <w:vAlign w:val="bottom"/>
          </w:tcPr>
          <w:p w14:paraId="7A93CD1F" w14:textId="77777777" w:rsidR="001349E4" w:rsidRPr="00604C75" w:rsidRDefault="001349E4" w:rsidP="005345A6">
            <w:pPr>
              <w:pStyle w:val="NormalWeb"/>
              <w:spacing w:before="0" w:beforeAutospacing="0" w:after="0" w:afterAutospacing="0"/>
              <w:ind w:left="567" w:hanging="567"/>
              <w:rPr>
                <w:rFonts w:ascii="Times New Roman" w:eastAsia="Times New Roman" w:hAnsi="Times New Roman"/>
                <w:b/>
                <w:bCs/>
                <w:sz w:val="18"/>
                <w:szCs w:val="18"/>
              </w:rPr>
            </w:pPr>
          </w:p>
        </w:tc>
        <w:tc>
          <w:tcPr>
            <w:tcW w:w="2409" w:type="dxa"/>
            <w:gridSpan w:val="2"/>
            <w:shd w:val="clear" w:color="auto" w:fill="FFFFFF"/>
            <w:vAlign w:val="bottom"/>
          </w:tcPr>
          <w:p w14:paraId="13312B0E" w14:textId="77777777" w:rsidR="001349E4" w:rsidRPr="00604C75" w:rsidRDefault="0036618D">
            <w:pPr>
              <w:ind w:left="567" w:right="-729" w:hanging="567"/>
              <w:rPr>
                <w:rFonts w:eastAsia="Arial Unicode MS"/>
                <w:b/>
                <w:bCs/>
                <w:sz w:val="18"/>
                <w:szCs w:val="18"/>
              </w:rPr>
            </w:pPr>
            <w:r>
              <w:rPr>
                <w:b/>
                <w:iCs/>
                <w:sz w:val="18"/>
              </w:rPr>
              <w:t xml:space="preserve">                </w:t>
            </w:r>
            <w:r w:rsidR="000467F0">
              <w:rPr>
                <w:b/>
                <w:iCs/>
                <w:sz w:val="18"/>
              </w:rPr>
              <w:t>3</w:t>
            </w:r>
            <w:r w:rsidR="00352D0C">
              <w:rPr>
                <w:b/>
                <w:iCs/>
                <w:sz w:val="18"/>
              </w:rPr>
              <w:t>1</w:t>
            </w:r>
            <w:r w:rsidR="000467F0">
              <w:rPr>
                <w:b/>
                <w:iCs/>
                <w:sz w:val="18"/>
              </w:rPr>
              <w:t xml:space="preserve"> </w:t>
            </w:r>
            <w:r w:rsidR="00352D0C">
              <w:rPr>
                <w:b/>
                <w:iCs/>
                <w:sz w:val="18"/>
              </w:rPr>
              <w:t>December</w:t>
            </w:r>
            <w:r w:rsidR="00352D0C" w:rsidRPr="00604C75">
              <w:rPr>
                <w:b/>
                <w:iCs/>
                <w:sz w:val="18"/>
              </w:rPr>
              <w:t xml:space="preserve"> </w:t>
            </w:r>
            <w:r w:rsidR="001349E4" w:rsidRPr="00604C75">
              <w:rPr>
                <w:b/>
                <w:bCs/>
                <w:sz w:val="18"/>
                <w:szCs w:val="18"/>
              </w:rPr>
              <w:t xml:space="preserve">2015 </w:t>
            </w:r>
          </w:p>
        </w:tc>
        <w:tc>
          <w:tcPr>
            <w:tcW w:w="2588" w:type="dxa"/>
            <w:gridSpan w:val="2"/>
            <w:shd w:val="clear" w:color="auto" w:fill="FFFFFF"/>
            <w:vAlign w:val="bottom"/>
          </w:tcPr>
          <w:p w14:paraId="604D7740" w14:textId="77777777" w:rsidR="001349E4" w:rsidRPr="00604C75" w:rsidRDefault="001349E4" w:rsidP="005345A6">
            <w:pPr>
              <w:ind w:left="567" w:hanging="567"/>
              <w:jc w:val="center"/>
              <w:rPr>
                <w:rFonts w:eastAsia="Arial Unicode MS"/>
                <w:b/>
                <w:bCs/>
                <w:sz w:val="18"/>
                <w:szCs w:val="18"/>
              </w:rPr>
            </w:pPr>
            <w:r w:rsidRPr="00604C75">
              <w:rPr>
                <w:b/>
                <w:bCs/>
                <w:sz w:val="18"/>
                <w:szCs w:val="18"/>
              </w:rPr>
              <w:t>31 December 2014</w:t>
            </w:r>
          </w:p>
        </w:tc>
      </w:tr>
      <w:tr w:rsidR="0044575F" w:rsidRPr="00604C75" w14:paraId="3A08D039" w14:textId="77777777" w:rsidTr="003926E9">
        <w:trPr>
          <w:trHeight w:val="164"/>
        </w:trPr>
        <w:tc>
          <w:tcPr>
            <w:tcW w:w="4378" w:type="dxa"/>
            <w:shd w:val="clear" w:color="auto" w:fill="FFFFFF"/>
            <w:vAlign w:val="bottom"/>
          </w:tcPr>
          <w:p w14:paraId="5E5FD7E1" w14:textId="77777777" w:rsidR="0044575F" w:rsidRPr="00604C75" w:rsidRDefault="0044575F" w:rsidP="005345A6">
            <w:pPr>
              <w:ind w:left="567" w:hanging="567"/>
              <w:rPr>
                <w:rFonts w:eastAsia="Arial Unicode MS"/>
                <w:b/>
                <w:bCs/>
                <w:sz w:val="18"/>
                <w:szCs w:val="18"/>
              </w:rPr>
            </w:pPr>
          </w:p>
        </w:tc>
        <w:tc>
          <w:tcPr>
            <w:tcW w:w="1199" w:type="dxa"/>
            <w:shd w:val="clear" w:color="auto" w:fill="FFFFFF"/>
            <w:vAlign w:val="bottom"/>
          </w:tcPr>
          <w:p w14:paraId="1DE9B50C" w14:textId="77777777" w:rsidR="0044575F" w:rsidRPr="00604C75" w:rsidRDefault="0044575F" w:rsidP="00AB0B19">
            <w:pPr>
              <w:ind w:left="324" w:right="55" w:hanging="324"/>
              <w:jc w:val="right"/>
              <w:rPr>
                <w:rFonts w:eastAsia="Arial Unicode MS"/>
                <w:b/>
                <w:bCs/>
                <w:sz w:val="18"/>
                <w:szCs w:val="18"/>
              </w:rPr>
            </w:pPr>
            <w:r w:rsidRPr="00604C75">
              <w:rPr>
                <w:b/>
                <w:bCs/>
                <w:sz w:val="18"/>
                <w:szCs w:val="18"/>
              </w:rPr>
              <w:t>TL</w:t>
            </w:r>
          </w:p>
        </w:tc>
        <w:tc>
          <w:tcPr>
            <w:tcW w:w="1210" w:type="dxa"/>
            <w:shd w:val="clear" w:color="auto" w:fill="FFFFFF"/>
            <w:vAlign w:val="bottom"/>
          </w:tcPr>
          <w:p w14:paraId="29D34CD3" w14:textId="77777777" w:rsidR="0044575F" w:rsidRPr="00604C75" w:rsidRDefault="0044575F" w:rsidP="00AB0B19">
            <w:pPr>
              <w:ind w:left="324" w:right="55" w:hanging="324"/>
              <w:jc w:val="right"/>
              <w:rPr>
                <w:rFonts w:eastAsia="Arial Unicode MS"/>
                <w:b/>
                <w:bCs/>
                <w:sz w:val="18"/>
                <w:szCs w:val="18"/>
              </w:rPr>
            </w:pPr>
            <w:r w:rsidRPr="00604C75">
              <w:rPr>
                <w:b/>
                <w:bCs/>
                <w:sz w:val="18"/>
                <w:szCs w:val="18"/>
              </w:rPr>
              <w:t>FC</w:t>
            </w:r>
          </w:p>
        </w:tc>
        <w:tc>
          <w:tcPr>
            <w:tcW w:w="1376" w:type="dxa"/>
            <w:shd w:val="clear" w:color="auto" w:fill="FFFFFF"/>
            <w:vAlign w:val="bottom"/>
          </w:tcPr>
          <w:p w14:paraId="2A370EB9" w14:textId="77777777" w:rsidR="0044575F" w:rsidRPr="00604C75" w:rsidRDefault="0044575F" w:rsidP="00AB0B19">
            <w:pPr>
              <w:ind w:left="324" w:right="55" w:hanging="324"/>
              <w:jc w:val="right"/>
              <w:rPr>
                <w:rFonts w:eastAsia="Arial Unicode MS"/>
                <w:b/>
                <w:bCs/>
                <w:sz w:val="18"/>
                <w:szCs w:val="18"/>
              </w:rPr>
            </w:pPr>
            <w:r w:rsidRPr="00604C75">
              <w:rPr>
                <w:b/>
                <w:bCs/>
                <w:sz w:val="18"/>
                <w:szCs w:val="18"/>
              </w:rPr>
              <w:t>TL</w:t>
            </w:r>
          </w:p>
        </w:tc>
        <w:tc>
          <w:tcPr>
            <w:tcW w:w="1212" w:type="dxa"/>
            <w:shd w:val="clear" w:color="auto" w:fill="FFFFFF"/>
            <w:vAlign w:val="bottom"/>
          </w:tcPr>
          <w:p w14:paraId="1D3CA168" w14:textId="77777777" w:rsidR="0044575F" w:rsidRPr="00604C75" w:rsidRDefault="0044575F" w:rsidP="00AB0B19">
            <w:pPr>
              <w:ind w:left="324" w:right="55" w:hanging="324"/>
              <w:jc w:val="right"/>
              <w:rPr>
                <w:rFonts w:eastAsia="Arial Unicode MS"/>
                <w:b/>
                <w:bCs/>
                <w:sz w:val="18"/>
                <w:szCs w:val="18"/>
              </w:rPr>
            </w:pPr>
            <w:r w:rsidRPr="00604C75">
              <w:rPr>
                <w:b/>
                <w:bCs/>
                <w:sz w:val="18"/>
                <w:szCs w:val="18"/>
              </w:rPr>
              <w:t>FC</w:t>
            </w:r>
          </w:p>
        </w:tc>
      </w:tr>
      <w:tr w:rsidR="00224102" w:rsidRPr="00604C75" w14:paraId="086E79A5" w14:textId="77777777" w:rsidTr="003926E9">
        <w:trPr>
          <w:trHeight w:val="286"/>
        </w:trPr>
        <w:tc>
          <w:tcPr>
            <w:tcW w:w="4378" w:type="dxa"/>
            <w:shd w:val="clear" w:color="auto" w:fill="FFFFFF"/>
            <w:vAlign w:val="bottom"/>
          </w:tcPr>
          <w:p w14:paraId="7F28F272" w14:textId="77777777" w:rsidR="00224102" w:rsidRPr="00604C75" w:rsidRDefault="00224102" w:rsidP="00224102">
            <w:pPr>
              <w:ind w:left="567" w:hanging="567"/>
              <w:rPr>
                <w:rFonts w:eastAsia="Arial Unicode MS"/>
                <w:noProof/>
                <w:sz w:val="18"/>
                <w:szCs w:val="18"/>
              </w:rPr>
            </w:pPr>
            <w:r w:rsidRPr="00604C75">
              <w:rPr>
                <w:rFonts w:eastAsia="Arial Unicode MS"/>
                <w:noProof/>
                <w:sz w:val="18"/>
                <w:szCs w:val="18"/>
              </w:rPr>
              <w:t>The CBRT Borrowings</w:t>
            </w:r>
          </w:p>
        </w:tc>
        <w:tc>
          <w:tcPr>
            <w:tcW w:w="1199" w:type="dxa"/>
            <w:shd w:val="clear" w:color="auto" w:fill="FFFFFF"/>
            <w:vAlign w:val="bottom"/>
          </w:tcPr>
          <w:p w14:paraId="60E9F427" w14:textId="5C89FA1B" w:rsidR="00224102" w:rsidRPr="00A94260" w:rsidRDefault="00224102" w:rsidP="00AB0B19">
            <w:pPr>
              <w:ind w:left="324" w:right="55" w:hanging="324"/>
              <w:jc w:val="right"/>
              <w:rPr>
                <w:sz w:val="18"/>
                <w:szCs w:val="18"/>
              </w:rPr>
            </w:pPr>
            <w:r w:rsidRPr="00A94260">
              <w:rPr>
                <w:sz w:val="18"/>
                <w:szCs w:val="18"/>
              </w:rPr>
              <w:t>-</w:t>
            </w:r>
          </w:p>
        </w:tc>
        <w:tc>
          <w:tcPr>
            <w:tcW w:w="1210" w:type="dxa"/>
            <w:shd w:val="clear" w:color="auto" w:fill="FFFFFF"/>
            <w:vAlign w:val="bottom"/>
          </w:tcPr>
          <w:p w14:paraId="0A485603" w14:textId="00F70CE8" w:rsidR="00224102" w:rsidRPr="00A94260" w:rsidRDefault="00224102" w:rsidP="00AB0B19">
            <w:pPr>
              <w:ind w:left="324" w:right="55" w:hanging="324"/>
              <w:jc w:val="right"/>
              <w:rPr>
                <w:sz w:val="18"/>
                <w:szCs w:val="18"/>
              </w:rPr>
            </w:pPr>
            <w:r w:rsidRPr="00A94260">
              <w:rPr>
                <w:sz w:val="18"/>
                <w:szCs w:val="18"/>
              </w:rPr>
              <w:t>-</w:t>
            </w:r>
          </w:p>
        </w:tc>
        <w:tc>
          <w:tcPr>
            <w:tcW w:w="1376" w:type="dxa"/>
            <w:shd w:val="clear" w:color="auto" w:fill="FFFFFF"/>
            <w:vAlign w:val="bottom"/>
          </w:tcPr>
          <w:p w14:paraId="14185C67" w14:textId="22E63422" w:rsidR="00224102" w:rsidRPr="00692926" w:rsidRDefault="00224102" w:rsidP="00AB0B19">
            <w:pPr>
              <w:tabs>
                <w:tab w:val="left" w:pos="0"/>
                <w:tab w:val="left" w:pos="426"/>
              </w:tabs>
              <w:ind w:left="324" w:right="55" w:hanging="324"/>
              <w:jc w:val="right"/>
              <w:rPr>
                <w:sz w:val="18"/>
                <w:szCs w:val="18"/>
              </w:rPr>
            </w:pPr>
            <w:r w:rsidRPr="00A94260">
              <w:rPr>
                <w:sz w:val="18"/>
                <w:szCs w:val="18"/>
              </w:rPr>
              <w:t>-</w:t>
            </w:r>
          </w:p>
        </w:tc>
        <w:tc>
          <w:tcPr>
            <w:tcW w:w="1212" w:type="dxa"/>
            <w:shd w:val="clear" w:color="auto" w:fill="FFFFFF"/>
            <w:vAlign w:val="bottom"/>
          </w:tcPr>
          <w:p w14:paraId="059D8E73" w14:textId="3CDDEEA1" w:rsidR="00224102" w:rsidRPr="00692926" w:rsidRDefault="00224102" w:rsidP="00AB0B19">
            <w:pPr>
              <w:tabs>
                <w:tab w:val="left" w:pos="0"/>
                <w:tab w:val="left" w:pos="426"/>
              </w:tabs>
              <w:ind w:left="324" w:right="55" w:hanging="324"/>
              <w:jc w:val="right"/>
              <w:rPr>
                <w:sz w:val="18"/>
                <w:szCs w:val="18"/>
              </w:rPr>
            </w:pPr>
            <w:r w:rsidRPr="00A94260">
              <w:rPr>
                <w:sz w:val="18"/>
                <w:szCs w:val="18"/>
              </w:rPr>
              <w:t>-</w:t>
            </w:r>
          </w:p>
        </w:tc>
      </w:tr>
      <w:tr w:rsidR="00224102" w:rsidRPr="00604C75" w14:paraId="3A5DED8B" w14:textId="77777777" w:rsidTr="003926E9">
        <w:trPr>
          <w:trHeight w:val="225"/>
        </w:trPr>
        <w:tc>
          <w:tcPr>
            <w:tcW w:w="4378" w:type="dxa"/>
            <w:shd w:val="clear" w:color="auto" w:fill="FFFFFF"/>
            <w:vAlign w:val="bottom"/>
          </w:tcPr>
          <w:p w14:paraId="113D5455" w14:textId="77777777" w:rsidR="00224102" w:rsidRPr="00604C75" w:rsidRDefault="00224102" w:rsidP="00224102">
            <w:pPr>
              <w:ind w:left="567" w:hanging="567"/>
              <w:rPr>
                <w:noProof/>
                <w:sz w:val="18"/>
                <w:szCs w:val="18"/>
              </w:rPr>
            </w:pPr>
            <w:r w:rsidRPr="00604C75">
              <w:rPr>
                <w:noProof/>
                <w:sz w:val="18"/>
                <w:szCs w:val="18"/>
              </w:rPr>
              <w:t>From Domestic Banks and Institutions</w:t>
            </w:r>
          </w:p>
        </w:tc>
        <w:tc>
          <w:tcPr>
            <w:tcW w:w="1199" w:type="dxa"/>
            <w:vAlign w:val="bottom"/>
          </w:tcPr>
          <w:p w14:paraId="78D90CDA" w14:textId="2B5A8404" w:rsidR="00224102" w:rsidRPr="00A94260" w:rsidRDefault="00224102" w:rsidP="00AB0B19">
            <w:pPr>
              <w:ind w:left="324" w:right="55" w:hanging="324"/>
              <w:jc w:val="right"/>
              <w:rPr>
                <w:sz w:val="18"/>
                <w:szCs w:val="18"/>
              </w:rPr>
            </w:pPr>
            <w:r w:rsidRPr="00A94260">
              <w:rPr>
                <w:sz w:val="18"/>
                <w:szCs w:val="18"/>
              </w:rPr>
              <w:t>124,989</w:t>
            </w:r>
          </w:p>
        </w:tc>
        <w:tc>
          <w:tcPr>
            <w:tcW w:w="1210" w:type="dxa"/>
            <w:vAlign w:val="bottom"/>
          </w:tcPr>
          <w:p w14:paraId="39CF0E71" w14:textId="4325ECDF" w:rsidR="00224102" w:rsidRPr="00A94260" w:rsidRDefault="00224102" w:rsidP="00AB0B19">
            <w:pPr>
              <w:ind w:left="324" w:right="55" w:hanging="324"/>
              <w:jc w:val="right"/>
              <w:rPr>
                <w:sz w:val="18"/>
                <w:szCs w:val="18"/>
              </w:rPr>
            </w:pPr>
            <w:r w:rsidRPr="00A94260">
              <w:rPr>
                <w:sz w:val="18"/>
                <w:szCs w:val="18"/>
              </w:rPr>
              <w:t>507,120</w:t>
            </w:r>
          </w:p>
        </w:tc>
        <w:tc>
          <w:tcPr>
            <w:tcW w:w="1376" w:type="dxa"/>
            <w:vAlign w:val="bottom"/>
          </w:tcPr>
          <w:p w14:paraId="5769D9A5" w14:textId="26E2682D" w:rsidR="00224102" w:rsidRPr="00692926" w:rsidRDefault="00224102" w:rsidP="00AB0B19">
            <w:pPr>
              <w:tabs>
                <w:tab w:val="left" w:pos="0"/>
                <w:tab w:val="left" w:pos="426"/>
              </w:tabs>
              <w:ind w:left="324" w:right="55" w:hanging="324"/>
              <w:jc w:val="right"/>
              <w:rPr>
                <w:sz w:val="18"/>
                <w:szCs w:val="18"/>
              </w:rPr>
            </w:pPr>
            <w:r w:rsidRPr="00A94260">
              <w:rPr>
                <w:sz w:val="18"/>
                <w:szCs w:val="18"/>
              </w:rPr>
              <w:t>116,538</w:t>
            </w:r>
          </w:p>
        </w:tc>
        <w:tc>
          <w:tcPr>
            <w:tcW w:w="1212" w:type="dxa"/>
            <w:vAlign w:val="bottom"/>
          </w:tcPr>
          <w:p w14:paraId="12CF6B8E" w14:textId="1F28B04E" w:rsidR="00224102" w:rsidRPr="00692926" w:rsidRDefault="00224102" w:rsidP="00AB0B19">
            <w:pPr>
              <w:tabs>
                <w:tab w:val="left" w:pos="0"/>
                <w:tab w:val="left" w:pos="426"/>
              </w:tabs>
              <w:ind w:left="324" w:right="55" w:hanging="324"/>
              <w:jc w:val="right"/>
              <w:rPr>
                <w:sz w:val="18"/>
                <w:szCs w:val="18"/>
              </w:rPr>
            </w:pPr>
            <w:r w:rsidRPr="00A94260">
              <w:rPr>
                <w:sz w:val="18"/>
                <w:szCs w:val="18"/>
              </w:rPr>
              <w:t>593,586</w:t>
            </w:r>
          </w:p>
        </w:tc>
      </w:tr>
      <w:tr w:rsidR="00224102" w:rsidRPr="00604C75" w14:paraId="2B8D7BF8" w14:textId="77777777" w:rsidTr="003926E9">
        <w:trPr>
          <w:trHeight w:val="164"/>
        </w:trPr>
        <w:tc>
          <w:tcPr>
            <w:tcW w:w="4378" w:type="dxa"/>
            <w:shd w:val="clear" w:color="auto" w:fill="FFFFFF"/>
            <w:vAlign w:val="bottom"/>
          </w:tcPr>
          <w:p w14:paraId="406EC7DC" w14:textId="77777777" w:rsidR="00224102" w:rsidRPr="00604C75" w:rsidRDefault="00224102" w:rsidP="00224102">
            <w:pPr>
              <w:ind w:left="567" w:hanging="567"/>
              <w:rPr>
                <w:noProof/>
                <w:sz w:val="18"/>
                <w:szCs w:val="18"/>
              </w:rPr>
            </w:pPr>
            <w:r w:rsidRPr="00604C75">
              <w:rPr>
                <w:noProof/>
                <w:sz w:val="18"/>
                <w:szCs w:val="18"/>
              </w:rPr>
              <w:t>From Foreign Banks, Institutions and Funds</w:t>
            </w:r>
          </w:p>
        </w:tc>
        <w:tc>
          <w:tcPr>
            <w:tcW w:w="1199" w:type="dxa"/>
            <w:vAlign w:val="bottom"/>
          </w:tcPr>
          <w:p w14:paraId="74F61F01" w14:textId="624BA7DB" w:rsidR="00224102" w:rsidRPr="00A94260" w:rsidRDefault="00224102" w:rsidP="00AB0B19">
            <w:pPr>
              <w:ind w:left="324" w:right="55" w:hanging="324"/>
              <w:jc w:val="right"/>
              <w:rPr>
                <w:sz w:val="18"/>
                <w:szCs w:val="18"/>
              </w:rPr>
            </w:pPr>
            <w:r w:rsidRPr="00A94260">
              <w:rPr>
                <w:sz w:val="18"/>
                <w:szCs w:val="18"/>
              </w:rPr>
              <w:t>354</w:t>
            </w:r>
          </w:p>
        </w:tc>
        <w:tc>
          <w:tcPr>
            <w:tcW w:w="1210" w:type="dxa"/>
            <w:vAlign w:val="bottom"/>
          </w:tcPr>
          <w:p w14:paraId="211072A2" w14:textId="62C658BA" w:rsidR="00224102" w:rsidRPr="00A94260" w:rsidRDefault="00224102" w:rsidP="00AB0B19">
            <w:pPr>
              <w:ind w:left="324" w:right="55" w:hanging="324"/>
              <w:jc w:val="right"/>
              <w:rPr>
                <w:sz w:val="18"/>
                <w:szCs w:val="18"/>
              </w:rPr>
            </w:pPr>
            <w:r w:rsidRPr="00A94260">
              <w:rPr>
                <w:sz w:val="18"/>
                <w:szCs w:val="18"/>
              </w:rPr>
              <w:t>3,629,674</w:t>
            </w:r>
          </w:p>
        </w:tc>
        <w:tc>
          <w:tcPr>
            <w:tcW w:w="1376" w:type="dxa"/>
            <w:vAlign w:val="bottom"/>
          </w:tcPr>
          <w:p w14:paraId="0F0A81B4" w14:textId="28FF9B98" w:rsidR="00224102" w:rsidRPr="00692926" w:rsidRDefault="00224102" w:rsidP="00AB0B19">
            <w:pPr>
              <w:tabs>
                <w:tab w:val="left" w:pos="0"/>
                <w:tab w:val="left" w:pos="426"/>
              </w:tabs>
              <w:ind w:left="324" w:right="55" w:hanging="324"/>
              <w:jc w:val="right"/>
              <w:rPr>
                <w:sz w:val="18"/>
                <w:szCs w:val="18"/>
              </w:rPr>
            </w:pPr>
            <w:r w:rsidRPr="00A94260">
              <w:rPr>
                <w:sz w:val="18"/>
                <w:szCs w:val="18"/>
              </w:rPr>
              <w:t>20,582</w:t>
            </w:r>
          </w:p>
        </w:tc>
        <w:tc>
          <w:tcPr>
            <w:tcW w:w="1212" w:type="dxa"/>
            <w:vAlign w:val="bottom"/>
          </w:tcPr>
          <w:p w14:paraId="211E897E" w14:textId="49E9D96F" w:rsidR="00224102" w:rsidRPr="00692926" w:rsidRDefault="00224102" w:rsidP="00AB0B19">
            <w:pPr>
              <w:tabs>
                <w:tab w:val="left" w:pos="0"/>
                <w:tab w:val="left" w:pos="426"/>
              </w:tabs>
              <w:ind w:left="324" w:right="55" w:hanging="324"/>
              <w:jc w:val="right"/>
              <w:rPr>
                <w:sz w:val="18"/>
                <w:szCs w:val="18"/>
              </w:rPr>
            </w:pPr>
            <w:r w:rsidRPr="00A94260">
              <w:rPr>
                <w:sz w:val="18"/>
                <w:szCs w:val="18"/>
              </w:rPr>
              <w:t>1,804,867</w:t>
            </w:r>
          </w:p>
        </w:tc>
      </w:tr>
      <w:tr w:rsidR="00224102" w:rsidRPr="00604C75" w14:paraId="06FAEE35" w14:textId="77777777" w:rsidTr="003926E9">
        <w:trPr>
          <w:trHeight w:val="227"/>
        </w:trPr>
        <w:tc>
          <w:tcPr>
            <w:tcW w:w="4378" w:type="dxa"/>
            <w:shd w:val="clear" w:color="auto" w:fill="FFFFFF"/>
            <w:vAlign w:val="bottom"/>
          </w:tcPr>
          <w:p w14:paraId="6DD9A0B9" w14:textId="77777777" w:rsidR="00224102" w:rsidRPr="00604C75" w:rsidRDefault="00224102" w:rsidP="00224102">
            <w:pPr>
              <w:ind w:left="567" w:hanging="567"/>
              <w:rPr>
                <w:rFonts w:eastAsia="Arial Unicode MS"/>
                <w:b/>
                <w:noProof/>
                <w:sz w:val="18"/>
                <w:szCs w:val="18"/>
              </w:rPr>
            </w:pPr>
            <w:r w:rsidRPr="00604C75">
              <w:rPr>
                <w:rFonts w:eastAsia="Arial Unicode MS"/>
                <w:b/>
                <w:noProof/>
                <w:sz w:val="18"/>
                <w:szCs w:val="18"/>
              </w:rPr>
              <w:t>Total</w:t>
            </w:r>
          </w:p>
        </w:tc>
        <w:tc>
          <w:tcPr>
            <w:tcW w:w="1199" w:type="dxa"/>
            <w:vAlign w:val="bottom"/>
          </w:tcPr>
          <w:p w14:paraId="50F7CBEC" w14:textId="6B157D83" w:rsidR="00224102" w:rsidRDefault="00224102" w:rsidP="00AB0B19">
            <w:pPr>
              <w:ind w:left="324" w:right="55" w:hanging="324"/>
              <w:jc w:val="right"/>
              <w:rPr>
                <w:b/>
                <w:bCs/>
                <w:sz w:val="18"/>
                <w:szCs w:val="18"/>
              </w:rPr>
            </w:pPr>
            <w:r>
              <w:rPr>
                <w:b/>
                <w:bCs/>
                <w:sz w:val="18"/>
                <w:szCs w:val="18"/>
              </w:rPr>
              <w:t>125,343</w:t>
            </w:r>
          </w:p>
        </w:tc>
        <w:tc>
          <w:tcPr>
            <w:tcW w:w="1210" w:type="dxa"/>
            <w:vAlign w:val="bottom"/>
          </w:tcPr>
          <w:p w14:paraId="4D56FA2B" w14:textId="0036B4F7" w:rsidR="00224102" w:rsidRDefault="00224102" w:rsidP="00AB0B19">
            <w:pPr>
              <w:ind w:left="324" w:right="55" w:hanging="324"/>
              <w:jc w:val="right"/>
              <w:rPr>
                <w:b/>
                <w:bCs/>
                <w:sz w:val="18"/>
                <w:szCs w:val="18"/>
              </w:rPr>
            </w:pPr>
            <w:r>
              <w:rPr>
                <w:b/>
                <w:bCs/>
                <w:sz w:val="18"/>
                <w:szCs w:val="18"/>
              </w:rPr>
              <w:t>4,136,794</w:t>
            </w:r>
          </w:p>
        </w:tc>
        <w:tc>
          <w:tcPr>
            <w:tcW w:w="1376" w:type="dxa"/>
            <w:vAlign w:val="bottom"/>
          </w:tcPr>
          <w:p w14:paraId="1CC830DE" w14:textId="372871CC" w:rsidR="00224102" w:rsidRPr="00692926" w:rsidRDefault="00224102" w:rsidP="00AB0B19">
            <w:pPr>
              <w:tabs>
                <w:tab w:val="left" w:pos="0"/>
                <w:tab w:val="left" w:pos="426"/>
              </w:tabs>
              <w:ind w:left="324" w:right="55" w:hanging="324"/>
              <w:jc w:val="right"/>
              <w:rPr>
                <w:b/>
                <w:bCs/>
                <w:sz w:val="18"/>
                <w:szCs w:val="18"/>
              </w:rPr>
            </w:pPr>
            <w:r w:rsidRPr="00692926">
              <w:rPr>
                <w:b/>
                <w:bCs/>
                <w:sz w:val="18"/>
                <w:szCs w:val="18"/>
              </w:rPr>
              <w:t>137,120</w:t>
            </w:r>
          </w:p>
        </w:tc>
        <w:tc>
          <w:tcPr>
            <w:tcW w:w="1212" w:type="dxa"/>
            <w:vAlign w:val="bottom"/>
          </w:tcPr>
          <w:p w14:paraId="4707880B" w14:textId="667F6301" w:rsidR="00224102" w:rsidRPr="00692926" w:rsidRDefault="00224102" w:rsidP="00AB0B19">
            <w:pPr>
              <w:tabs>
                <w:tab w:val="left" w:pos="0"/>
                <w:tab w:val="left" w:pos="426"/>
              </w:tabs>
              <w:ind w:left="324" w:right="55" w:hanging="324"/>
              <w:jc w:val="right"/>
              <w:rPr>
                <w:b/>
                <w:bCs/>
                <w:sz w:val="18"/>
                <w:szCs w:val="18"/>
              </w:rPr>
            </w:pPr>
            <w:r w:rsidRPr="00692926">
              <w:rPr>
                <w:b/>
                <w:bCs/>
                <w:sz w:val="18"/>
                <w:szCs w:val="18"/>
              </w:rPr>
              <w:t>2,398,453</w:t>
            </w:r>
          </w:p>
        </w:tc>
      </w:tr>
    </w:tbl>
    <w:p w14:paraId="6391236B" w14:textId="675F08D6" w:rsidR="00582C5E" w:rsidRPr="00604C75" w:rsidRDefault="00B27B7B" w:rsidP="00E83EAC">
      <w:pPr>
        <w:pStyle w:val="BodyTextIndent"/>
        <w:pageBreakBefore/>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5208BA9A" w14:textId="5DD98F74" w:rsidR="009F7408" w:rsidRPr="00604C75" w:rsidRDefault="009F7408" w:rsidP="00E83EAC">
      <w:pPr>
        <w:pStyle w:val="Heading2"/>
        <w:tabs>
          <w:tab w:val="left" w:pos="709"/>
        </w:tabs>
        <w:spacing w:before="0" w:after="120"/>
        <w:ind w:left="851" w:hanging="851"/>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647320" w:rsidRPr="00604C75">
        <w:rPr>
          <w:rFonts w:ascii="Times New Roman" w:hAnsi="Times New Roman"/>
          <w:noProof/>
          <w:sz w:val="20"/>
        </w:rPr>
        <w:t xml:space="preserve">Explanations and Notes </w:t>
      </w:r>
      <w:r w:rsidR="00647320">
        <w:rPr>
          <w:rFonts w:ascii="Times New Roman" w:hAnsi="Times New Roman"/>
          <w:noProof/>
          <w:sz w:val="20"/>
        </w:rPr>
        <w:t>on</w:t>
      </w:r>
      <w:r w:rsidR="00647320" w:rsidRPr="00604C75">
        <w:rPr>
          <w:rFonts w:ascii="Times New Roman" w:hAnsi="Times New Roman"/>
          <w:noProof/>
          <w:sz w:val="20"/>
        </w:rPr>
        <w:t xml:space="preserve"> Liabilities</w:t>
      </w:r>
      <w:r w:rsidR="00647320" w:rsidRPr="00604C75">
        <w:rPr>
          <w:rFonts w:ascii="Times New Roman" w:hAnsi="Times New Roman"/>
          <w:bCs/>
          <w:sz w:val="20"/>
        </w:rPr>
        <w:t xml:space="preserve"> </w:t>
      </w:r>
      <w:r w:rsidRPr="00604C75">
        <w:rPr>
          <w:rFonts w:ascii="Times New Roman" w:hAnsi="Times New Roman"/>
          <w:bCs/>
          <w:sz w:val="20"/>
        </w:rPr>
        <w:t>(Continued)</w:t>
      </w:r>
    </w:p>
    <w:p w14:paraId="33EB9404" w14:textId="77777777" w:rsidR="009F7408" w:rsidRPr="00604C75" w:rsidRDefault="009F7408" w:rsidP="00E83EAC">
      <w:pPr>
        <w:pStyle w:val="BodyTextIndent"/>
        <w:ind w:left="567" w:right="16" w:hanging="567"/>
        <w:rPr>
          <w:b/>
          <w:sz w:val="20"/>
          <w:szCs w:val="20"/>
        </w:rPr>
      </w:pPr>
      <w:r w:rsidRPr="00604C75">
        <w:rPr>
          <w:b/>
          <w:sz w:val="20"/>
          <w:szCs w:val="20"/>
        </w:rPr>
        <w:t xml:space="preserve">c.           Information on borrowings </w:t>
      </w:r>
      <w:r w:rsidRPr="00604C75">
        <w:rPr>
          <w:b/>
          <w:bCs/>
          <w:sz w:val="20"/>
          <w:szCs w:val="20"/>
        </w:rPr>
        <w:t>(Continued)</w:t>
      </w:r>
    </w:p>
    <w:p w14:paraId="6F9A30C5" w14:textId="5D3D80B8" w:rsidR="0044575F" w:rsidRPr="00604C75" w:rsidRDefault="0044575F" w:rsidP="00E83EAC">
      <w:pPr>
        <w:pStyle w:val="BodyTextIndent"/>
        <w:ind w:left="426" w:hanging="426"/>
        <w:rPr>
          <w:sz w:val="20"/>
          <w:szCs w:val="20"/>
        </w:rPr>
      </w:pPr>
      <w:r w:rsidRPr="00604C75">
        <w:rPr>
          <w:sz w:val="20"/>
          <w:szCs w:val="20"/>
        </w:rPr>
        <w:t>2.</w:t>
      </w:r>
      <w:r w:rsidRPr="00604C75">
        <w:rPr>
          <w:sz w:val="20"/>
          <w:szCs w:val="20"/>
        </w:rPr>
        <w:tab/>
      </w:r>
      <w:r w:rsidR="009F7408" w:rsidRPr="00604C75">
        <w:rPr>
          <w:sz w:val="20"/>
          <w:szCs w:val="20"/>
        </w:rPr>
        <w:t xml:space="preserve">     </w:t>
      </w:r>
      <w:r w:rsidRPr="00604C75">
        <w:rPr>
          <w:noProof/>
          <w:sz w:val="20"/>
          <w:szCs w:val="20"/>
        </w:rPr>
        <w:t xml:space="preserve">Information on maturity </w:t>
      </w:r>
      <w:r w:rsidR="00877CBD">
        <w:rPr>
          <w:noProof/>
          <w:sz w:val="20"/>
          <w:szCs w:val="20"/>
        </w:rPr>
        <w:t>profile</w:t>
      </w:r>
      <w:r w:rsidRPr="00604C75">
        <w:rPr>
          <w:noProof/>
          <w:sz w:val="20"/>
          <w:szCs w:val="20"/>
        </w:rPr>
        <w:t xml:space="preserve"> of borrowings</w:t>
      </w:r>
    </w:p>
    <w:p w14:paraId="094DF52C" w14:textId="77777777" w:rsidR="0044575F" w:rsidRPr="00604C75" w:rsidRDefault="0044575F" w:rsidP="009E62C0">
      <w:pPr>
        <w:pStyle w:val="BodyTextIndent"/>
        <w:spacing w:after="0" w:line="48" w:lineRule="auto"/>
        <w:ind w:left="1701"/>
        <w:rPr>
          <w:bCs/>
          <w:sz w:val="22"/>
          <w:szCs w:val="22"/>
        </w:rPr>
      </w:pPr>
    </w:p>
    <w:tbl>
      <w:tblPr>
        <w:tblW w:w="938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550"/>
        <w:gridCol w:w="1217"/>
        <w:gridCol w:w="1288"/>
        <w:gridCol w:w="1143"/>
        <w:gridCol w:w="1182"/>
      </w:tblGrid>
      <w:tr w:rsidR="00791693" w:rsidRPr="00604C75" w14:paraId="7841CCDA" w14:textId="77777777" w:rsidTr="00AD726D">
        <w:trPr>
          <w:trHeight w:val="220"/>
        </w:trPr>
        <w:tc>
          <w:tcPr>
            <w:tcW w:w="4550" w:type="dxa"/>
            <w:shd w:val="clear" w:color="auto" w:fill="FFFFFF"/>
            <w:vAlign w:val="bottom"/>
          </w:tcPr>
          <w:p w14:paraId="0EC3595A" w14:textId="77777777" w:rsidR="00791693" w:rsidRPr="00604C75" w:rsidRDefault="00791693" w:rsidP="00791693">
            <w:pPr>
              <w:pStyle w:val="NormalWeb"/>
              <w:spacing w:before="0" w:beforeAutospacing="0" w:after="0" w:afterAutospacing="0"/>
              <w:rPr>
                <w:rFonts w:ascii="Times New Roman" w:eastAsia="Times New Roman" w:hAnsi="Times New Roman" w:cs="Times New Roman"/>
                <w:b/>
                <w:bCs/>
                <w:sz w:val="18"/>
                <w:szCs w:val="18"/>
              </w:rPr>
            </w:pPr>
          </w:p>
        </w:tc>
        <w:tc>
          <w:tcPr>
            <w:tcW w:w="2505" w:type="dxa"/>
            <w:gridSpan w:val="2"/>
            <w:shd w:val="clear" w:color="auto" w:fill="FFFFFF"/>
            <w:vAlign w:val="bottom"/>
          </w:tcPr>
          <w:p w14:paraId="7747864B" w14:textId="77777777" w:rsidR="00791693" w:rsidRPr="00604C75" w:rsidRDefault="000467F0">
            <w:pPr>
              <w:ind w:right="-14"/>
              <w:jc w:val="center"/>
              <w:rPr>
                <w:rFonts w:eastAsia="Arial Unicode MS"/>
                <w:b/>
                <w:bCs/>
                <w:sz w:val="18"/>
                <w:szCs w:val="18"/>
              </w:rPr>
            </w:pPr>
            <w:r>
              <w:rPr>
                <w:b/>
                <w:bCs/>
                <w:sz w:val="18"/>
                <w:szCs w:val="18"/>
                <w:lang w:val="tr-TR"/>
              </w:rPr>
              <w:t>3</w:t>
            </w:r>
            <w:r w:rsidR="00015938">
              <w:rPr>
                <w:b/>
                <w:bCs/>
                <w:sz w:val="18"/>
                <w:szCs w:val="18"/>
                <w:lang w:val="tr-TR"/>
              </w:rPr>
              <w:t>1</w:t>
            </w:r>
            <w:r>
              <w:rPr>
                <w:b/>
                <w:bCs/>
                <w:sz w:val="18"/>
                <w:szCs w:val="18"/>
                <w:lang w:val="tr-TR"/>
              </w:rPr>
              <w:t xml:space="preserve"> </w:t>
            </w:r>
            <w:r w:rsidR="00015938">
              <w:rPr>
                <w:b/>
                <w:bCs/>
                <w:sz w:val="18"/>
                <w:szCs w:val="18"/>
                <w:lang w:val="tr-TR"/>
              </w:rPr>
              <w:t>December</w:t>
            </w:r>
            <w:r w:rsidR="00015938" w:rsidRPr="00604C75">
              <w:rPr>
                <w:b/>
                <w:bCs/>
                <w:sz w:val="18"/>
                <w:szCs w:val="18"/>
                <w:lang w:val="tr-TR"/>
              </w:rPr>
              <w:t xml:space="preserve"> </w:t>
            </w:r>
            <w:r w:rsidR="00791693" w:rsidRPr="00604C75">
              <w:rPr>
                <w:b/>
                <w:bCs/>
                <w:sz w:val="18"/>
                <w:szCs w:val="18"/>
                <w:lang w:val="tr-TR"/>
              </w:rPr>
              <w:t>2015</w:t>
            </w:r>
          </w:p>
        </w:tc>
        <w:tc>
          <w:tcPr>
            <w:tcW w:w="2325" w:type="dxa"/>
            <w:gridSpan w:val="2"/>
            <w:shd w:val="clear" w:color="auto" w:fill="FFFFFF"/>
            <w:vAlign w:val="bottom"/>
          </w:tcPr>
          <w:p w14:paraId="0DF7D8B8" w14:textId="77777777" w:rsidR="00791693" w:rsidRPr="00604C75" w:rsidRDefault="00791693" w:rsidP="00AD726D">
            <w:pPr>
              <w:ind w:left="830" w:right="-14" w:hanging="704"/>
              <w:jc w:val="center"/>
              <w:rPr>
                <w:rFonts w:eastAsia="Arial Unicode MS"/>
                <w:b/>
                <w:bCs/>
                <w:sz w:val="18"/>
                <w:szCs w:val="18"/>
              </w:rPr>
            </w:pPr>
            <w:r w:rsidRPr="00604C75">
              <w:rPr>
                <w:b/>
                <w:bCs/>
                <w:sz w:val="18"/>
                <w:szCs w:val="18"/>
                <w:lang w:val="tr-TR"/>
              </w:rPr>
              <w:t>31 December 2014</w:t>
            </w:r>
          </w:p>
        </w:tc>
      </w:tr>
      <w:tr w:rsidR="00791693" w:rsidRPr="00604C75" w14:paraId="2FC1B000" w14:textId="77777777" w:rsidTr="00AD726D">
        <w:trPr>
          <w:trHeight w:val="238"/>
        </w:trPr>
        <w:tc>
          <w:tcPr>
            <w:tcW w:w="4550" w:type="dxa"/>
            <w:shd w:val="clear" w:color="auto" w:fill="FFFFFF"/>
            <w:vAlign w:val="bottom"/>
          </w:tcPr>
          <w:p w14:paraId="0F5CC860" w14:textId="77777777" w:rsidR="00791693" w:rsidRPr="00604C75" w:rsidRDefault="00791693" w:rsidP="00791693">
            <w:pPr>
              <w:rPr>
                <w:rFonts w:eastAsia="Arial Unicode MS"/>
                <w:b/>
                <w:bCs/>
                <w:sz w:val="18"/>
                <w:szCs w:val="18"/>
              </w:rPr>
            </w:pPr>
            <w:r w:rsidRPr="00604C75">
              <w:rPr>
                <w:b/>
                <w:bCs/>
                <w:sz w:val="18"/>
                <w:szCs w:val="18"/>
              </w:rPr>
              <w:t> </w:t>
            </w:r>
          </w:p>
        </w:tc>
        <w:tc>
          <w:tcPr>
            <w:tcW w:w="1217" w:type="dxa"/>
            <w:shd w:val="clear" w:color="auto" w:fill="FFFFFF"/>
            <w:vAlign w:val="bottom"/>
          </w:tcPr>
          <w:p w14:paraId="757FC40B" w14:textId="77777777" w:rsidR="00791693" w:rsidRPr="00604C75" w:rsidRDefault="00791693" w:rsidP="00791693">
            <w:pPr>
              <w:ind w:right="36"/>
              <w:jc w:val="right"/>
              <w:rPr>
                <w:rFonts w:eastAsia="Arial Unicode MS"/>
                <w:b/>
                <w:bCs/>
                <w:sz w:val="18"/>
                <w:szCs w:val="18"/>
              </w:rPr>
            </w:pPr>
            <w:r w:rsidRPr="00604C75">
              <w:rPr>
                <w:b/>
                <w:bCs/>
                <w:sz w:val="18"/>
                <w:szCs w:val="18"/>
              </w:rPr>
              <w:t>TL</w:t>
            </w:r>
          </w:p>
        </w:tc>
        <w:tc>
          <w:tcPr>
            <w:tcW w:w="1288" w:type="dxa"/>
            <w:shd w:val="clear" w:color="auto" w:fill="FFFFFF"/>
            <w:vAlign w:val="bottom"/>
          </w:tcPr>
          <w:p w14:paraId="4190CA8A" w14:textId="77777777" w:rsidR="00791693" w:rsidRPr="00604C75" w:rsidRDefault="00791693" w:rsidP="00791693">
            <w:pPr>
              <w:ind w:right="36"/>
              <w:jc w:val="right"/>
              <w:rPr>
                <w:rFonts w:eastAsia="Arial Unicode MS"/>
                <w:b/>
                <w:bCs/>
                <w:sz w:val="18"/>
                <w:szCs w:val="18"/>
              </w:rPr>
            </w:pPr>
            <w:r w:rsidRPr="00604C75">
              <w:rPr>
                <w:b/>
                <w:bCs/>
                <w:sz w:val="18"/>
                <w:szCs w:val="18"/>
              </w:rPr>
              <w:t>FC</w:t>
            </w:r>
          </w:p>
        </w:tc>
        <w:tc>
          <w:tcPr>
            <w:tcW w:w="1143" w:type="dxa"/>
            <w:shd w:val="clear" w:color="auto" w:fill="FFFFFF"/>
            <w:vAlign w:val="bottom"/>
          </w:tcPr>
          <w:p w14:paraId="6AB6E360" w14:textId="77777777" w:rsidR="00791693" w:rsidRPr="00604C75" w:rsidRDefault="00791693" w:rsidP="00791693">
            <w:pPr>
              <w:ind w:right="36"/>
              <w:jc w:val="right"/>
              <w:rPr>
                <w:rFonts w:eastAsia="Arial Unicode MS"/>
                <w:b/>
                <w:bCs/>
                <w:sz w:val="18"/>
                <w:szCs w:val="18"/>
              </w:rPr>
            </w:pPr>
            <w:r w:rsidRPr="00604C75">
              <w:rPr>
                <w:b/>
                <w:bCs/>
                <w:sz w:val="18"/>
                <w:szCs w:val="18"/>
              </w:rPr>
              <w:t>TL</w:t>
            </w:r>
          </w:p>
        </w:tc>
        <w:tc>
          <w:tcPr>
            <w:tcW w:w="1182" w:type="dxa"/>
            <w:shd w:val="clear" w:color="auto" w:fill="FFFFFF"/>
            <w:vAlign w:val="bottom"/>
          </w:tcPr>
          <w:p w14:paraId="053DD283" w14:textId="77777777" w:rsidR="00791693" w:rsidRPr="00604C75" w:rsidRDefault="00791693" w:rsidP="00791693">
            <w:pPr>
              <w:ind w:right="36"/>
              <w:jc w:val="right"/>
              <w:rPr>
                <w:rFonts w:eastAsia="Arial Unicode MS"/>
                <w:b/>
                <w:bCs/>
                <w:sz w:val="18"/>
                <w:szCs w:val="18"/>
              </w:rPr>
            </w:pPr>
            <w:r w:rsidRPr="00604C75">
              <w:rPr>
                <w:b/>
                <w:bCs/>
                <w:sz w:val="18"/>
                <w:szCs w:val="18"/>
              </w:rPr>
              <w:t>FC</w:t>
            </w:r>
          </w:p>
        </w:tc>
      </w:tr>
      <w:tr w:rsidR="00224102" w:rsidRPr="00604C75" w14:paraId="7F2003CF" w14:textId="77777777" w:rsidTr="00AD726D">
        <w:trPr>
          <w:trHeight w:val="230"/>
        </w:trPr>
        <w:tc>
          <w:tcPr>
            <w:tcW w:w="4550" w:type="dxa"/>
            <w:shd w:val="clear" w:color="auto" w:fill="FFFFFF"/>
            <w:vAlign w:val="bottom"/>
          </w:tcPr>
          <w:p w14:paraId="3489C39F" w14:textId="77777777" w:rsidR="00224102" w:rsidRPr="00604C75" w:rsidRDefault="00224102" w:rsidP="00224102">
            <w:pPr>
              <w:rPr>
                <w:rFonts w:eastAsia="Arial Unicode MS"/>
                <w:noProof/>
                <w:sz w:val="18"/>
                <w:szCs w:val="18"/>
              </w:rPr>
            </w:pPr>
            <w:r w:rsidRPr="00604C75">
              <w:rPr>
                <w:noProof/>
                <w:sz w:val="18"/>
                <w:szCs w:val="18"/>
              </w:rPr>
              <w:t>Short-term</w:t>
            </w:r>
          </w:p>
        </w:tc>
        <w:tc>
          <w:tcPr>
            <w:tcW w:w="1217" w:type="dxa"/>
            <w:vAlign w:val="bottom"/>
          </w:tcPr>
          <w:p w14:paraId="24227983" w14:textId="0546559A" w:rsidR="00224102" w:rsidRPr="00A94260" w:rsidRDefault="00224102" w:rsidP="00224102">
            <w:pPr>
              <w:jc w:val="right"/>
              <w:rPr>
                <w:sz w:val="18"/>
                <w:szCs w:val="18"/>
              </w:rPr>
            </w:pPr>
            <w:r w:rsidRPr="00A94260">
              <w:rPr>
                <w:sz w:val="18"/>
                <w:szCs w:val="18"/>
              </w:rPr>
              <w:t>125,343</w:t>
            </w:r>
          </w:p>
        </w:tc>
        <w:tc>
          <w:tcPr>
            <w:tcW w:w="1288" w:type="dxa"/>
            <w:vAlign w:val="bottom"/>
          </w:tcPr>
          <w:p w14:paraId="599C6CC2" w14:textId="454C2A20" w:rsidR="00224102" w:rsidRPr="00A94260" w:rsidRDefault="00224102" w:rsidP="00224102">
            <w:pPr>
              <w:jc w:val="right"/>
              <w:rPr>
                <w:sz w:val="18"/>
                <w:szCs w:val="18"/>
              </w:rPr>
            </w:pPr>
            <w:r w:rsidRPr="00A94260">
              <w:rPr>
                <w:sz w:val="18"/>
                <w:szCs w:val="18"/>
              </w:rPr>
              <w:t>1,388,203</w:t>
            </w:r>
          </w:p>
        </w:tc>
        <w:tc>
          <w:tcPr>
            <w:tcW w:w="1143" w:type="dxa"/>
            <w:vAlign w:val="bottom"/>
          </w:tcPr>
          <w:p w14:paraId="610523F8" w14:textId="0B4175F9" w:rsidR="00224102" w:rsidRPr="00C34D50" w:rsidRDefault="00224102" w:rsidP="00224102">
            <w:pPr>
              <w:jc w:val="right"/>
              <w:rPr>
                <w:sz w:val="18"/>
                <w:szCs w:val="18"/>
              </w:rPr>
            </w:pPr>
            <w:r w:rsidRPr="00A94260">
              <w:rPr>
                <w:sz w:val="18"/>
                <w:szCs w:val="18"/>
              </w:rPr>
              <w:t>122,779</w:t>
            </w:r>
          </w:p>
        </w:tc>
        <w:tc>
          <w:tcPr>
            <w:tcW w:w="1182" w:type="dxa"/>
            <w:vAlign w:val="bottom"/>
          </w:tcPr>
          <w:p w14:paraId="1D41C49A" w14:textId="5C5764B8" w:rsidR="00224102" w:rsidRPr="00C34D50" w:rsidRDefault="00224102" w:rsidP="00224102">
            <w:pPr>
              <w:jc w:val="right"/>
              <w:rPr>
                <w:sz w:val="18"/>
                <w:szCs w:val="18"/>
              </w:rPr>
            </w:pPr>
            <w:r w:rsidRPr="00A94260">
              <w:rPr>
                <w:sz w:val="18"/>
                <w:szCs w:val="18"/>
              </w:rPr>
              <w:t>1,958,102</w:t>
            </w:r>
          </w:p>
        </w:tc>
      </w:tr>
      <w:tr w:rsidR="00224102" w:rsidRPr="00604C75" w14:paraId="27AC15D5" w14:textId="77777777" w:rsidTr="00AD726D">
        <w:trPr>
          <w:trHeight w:val="242"/>
        </w:trPr>
        <w:tc>
          <w:tcPr>
            <w:tcW w:w="4550" w:type="dxa"/>
            <w:shd w:val="clear" w:color="auto" w:fill="FFFFFF"/>
            <w:vAlign w:val="bottom"/>
          </w:tcPr>
          <w:p w14:paraId="0A3F216D" w14:textId="77777777" w:rsidR="00224102" w:rsidRPr="00604C75" w:rsidRDefault="00224102" w:rsidP="00224102">
            <w:pPr>
              <w:rPr>
                <w:noProof/>
                <w:sz w:val="18"/>
                <w:szCs w:val="18"/>
              </w:rPr>
            </w:pPr>
            <w:r w:rsidRPr="00604C75">
              <w:rPr>
                <w:noProof/>
                <w:sz w:val="18"/>
                <w:szCs w:val="18"/>
              </w:rPr>
              <w:t>Medium and Long-term</w:t>
            </w:r>
          </w:p>
        </w:tc>
        <w:tc>
          <w:tcPr>
            <w:tcW w:w="1217" w:type="dxa"/>
            <w:vAlign w:val="bottom"/>
          </w:tcPr>
          <w:p w14:paraId="32F20493" w14:textId="1EF015F7" w:rsidR="00224102" w:rsidRPr="00A94260" w:rsidRDefault="00224102" w:rsidP="00224102">
            <w:pPr>
              <w:jc w:val="right"/>
              <w:rPr>
                <w:sz w:val="18"/>
                <w:szCs w:val="18"/>
              </w:rPr>
            </w:pPr>
            <w:r w:rsidRPr="00A94260">
              <w:rPr>
                <w:sz w:val="18"/>
                <w:szCs w:val="18"/>
              </w:rPr>
              <w:t>-</w:t>
            </w:r>
          </w:p>
        </w:tc>
        <w:tc>
          <w:tcPr>
            <w:tcW w:w="1288" w:type="dxa"/>
            <w:vAlign w:val="bottom"/>
          </w:tcPr>
          <w:p w14:paraId="09A65B2A" w14:textId="1682CA90" w:rsidR="00224102" w:rsidRPr="00A94260" w:rsidRDefault="00224102" w:rsidP="00224102">
            <w:pPr>
              <w:jc w:val="right"/>
              <w:rPr>
                <w:sz w:val="18"/>
                <w:szCs w:val="18"/>
              </w:rPr>
            </w:pPr>
            <w:r w:rsidRPr="00A94260">
              <w:rPr>
                <w:sz w:val="18"/>
                <w:szCs w:val="18"/>
              </w:rPr>
              <w:t>2,748,591</w:t>
            </w:r>
          </w:p>
        </w:tc>
        <w:tc>
          <w:tcPr>
            <w:tcW w:w="1143" w:type="dxa"/>
            <w:vAlign w:val="bottom"/>
          </w:tcPr>
          <w:p w14:paraId="4E0412FA" w14:textId="7DE78877" w:rsidR="00224102" w:rsidRPr="00C34D50" w:rsidRDefault="00224102" w:rsidP="00224102">
            <w:pPr>
              <w:jc w:val="right"/>
              <w:rPr>
                <w:sz w:val="18"/>
                <w:szCs w:val="18"/>
              </w:rPr>
            </w:pPr>
            <w:r w:rsidRPr="00A94260">
              <w:rPr>
                <w:sz w:val="18"/>
                <w:szCs w:val="18"/>
              </w:rPr>
              <w:t>14,341</w:t>
            </w:r>
          </w:p>
        </w:tc>
        <w:tc>
          <w:tcPr>
            <w:tcW w:w="1182" w:type="dxa"/>
            <w:vAlign w:val="bottom"/>
          </w:tcPr>
          <w:p w14:paraId="0D58EDEB" w14:textId="4CDB4928" w:rsidR="00224102" w:rsidRPr="00C34D50" w:rsidRDefault="00224102" w:rsidP="00224102">
            <w:pPr>
              <w:jc w:val="right"/>
              <w:rPr>
                <w:sz w:val="18"/>
                <w:szCs w:val="18"/>
              </w:rPr>
            </w:pPr>
            <w:r w:rsidRPr="00A94260">
              <w:rPr>
                <w:sz w:val="18"/>
                <w:szCs w:val="18"/>
              </w:rPr>
              <w:t>440,351</w:t>
            </w:r>
          </w:p>
        </w:tc>
      </w:tr>
      <w:tr w:rsidR="00224102" w:rsidRPr="00604C75" w14:paraId="1DF3BD61" w14:textId="77777777" w:rsidTr="00AD726D">
        <w:trPr>
          <w:trHeight w:val="255"/>
        </w:trPr>
        <w:tc>
          <w:tcPr>
            <w:tcW w:w="4550" w:type="dxa"/>
            <w:shd w:val="clear" w:color="auto" w:fill="FFFFFF"/>
            <w:vAlign w:val="bottom"/>
          </w:tcPr>
          <w:p w14:paraId="0FCE4E78" w14:textId="77777777" w:rsidR="00224102" w:rsidRPr="00604C75" w:rsidRDefault="00224102" w:rsidP="00224102">
            <w:pPr>
              <w:rPr>
                <w:rFonts w:eastAsia="Arial Unicode MS"/>
                <w:b/>
                <w:sz w:val="18"/>
                <w:szCs w:val="18"/>
              </w:rPr>
            </w:pPr>
            <w:r w:rsidRPr="00604C75">
              <w:rPr>
                <w:rFonts w:eastAsia="Arial Unicode MS"/>
                <w:b/>
                <w:sz w:val="18"/>
                <w:szCs w:val="18"/>
              </w:rPr>
              <w:t>Total</w:t>
            </w:r>
          </w:p>
        </w:tc>
        <w:tc>
          <w:tcPr>
            <w:tcW w:w="1217" w:type="dxa"/>
            <w:vAlign w:val="bottom"/>
          </w:tcPr>
          <w:p w14:paraId="78A50D02" w14:textId="6EEFCFE2" w:rsidR="00224102" w:rsidRPr="00A94260" w:rsidRDefault="00224102" w:rsidP="00224102">
            <w:pPr>
              <w:jc w:val="right"/>
              <w:rPr>
                <w:b/>
                <w:bCs/>
                <w:sz w:val="18"/>
                <w:szCs w:val="18"/>
              </w:rPr>
            </w:pPr>
            <w:r w:rsidRPr="00A94260">
              <w:rPr>
                <w:b/>
                <w:bCs/>
                <w:sz w:val="18"/>
                <w:szCs w:val="18"/>
              </w:rPr>
              <w:t>125,343</w:t>
            </w:r>
          </w:p>
        </w:tc>
        <w:tc>
          <w:tcPr>
            <w:tcW w:w="1288" w:type="dxa"/>
            <w:vAlign w:val="bottom"/>
          </w:tcPr>
          <w:p w14:paraId="6EF10780" w14:textId="04586FE2" w:rsidR="00224102" w:rsidRPr="00A94260" w:rsidRDefault="00224102" w:rsidP="00224102">
            <w:pPr>
              <w:jc w:val="right"/>
              <w:rPr>
                <w:b/>
                <w:bCs/>
                <w:sz w:val="18"/>
                <w:szCs w:val="18"/>
              </w:rPr>
            </w:pPr>
            <w:r w:rsidRPr="00A94260">
              <w:rPr>
                <w:b/>
                <w:bCs/>
                <w:sz w:val="18"/>
                <w:szCs w:val="18"/>
              </w:rPr>
              <w:t>4,136,794</w:t>
            </w:r>
          </w:p>
        </w:tc>
        <w:tc>
          <w:tcPr>
            <w:tcW w:w="1143" w:type="dxa"/>
            <w:vAlign w:val="bottom"/>
          </w:tcPr>
          <w:p w14:paraId="2FB9AA6B" w14:textId="66411E1A" w:rsidR="00224102" w:rsidRPr="00692926" w:rsidRDefault="00224102" w:rsidP="00224102">
            <w:pPr>
              <w:jc w:val="right"/>
              <w:rPr>
                <w:b/>
                <w:sz w:val="18"/>
                <w:szCs w:val="18"/>
              </w:rPr>
            </w:pPr>
            <w:r w:rsidRPr="00A94260">
              <w:rPr>
                <w:b/>
                <w:sz w:val="18"/>
                <w:szCs w:val="18"/>
              </w:rPr>
              <w:t>137,120</w:t>
            </w:r>
          </w:p>
        </w:tc>
        <w:tc>
          <w:tcPr>
            <w:tcW w:w="1182" w:type="dxa"/>
            <w:vAlign w:val="bottom"/>
          </w:tcPr>
          <w:p w14:paraId="00CB9A86" w14:textId="2B26CF2F" w:rsidR="00224102" w:rsidRPr="00692926" w:rsidRDefault="00224102" w:rsidP="00224102">
            <w:pPr>
              <w:jc w:val="right"/>
              <w:rPr>
                <w:b/>
                <w:sz w:val="18"/>
                <w:szCs w:val="18"/>
              </w:rPr>
            </w:pPr>
            <w:r w:rsidRPr="00A94260">
              <w:rPr>
                <w:b/>
                <w:sz w:val="18"/>
                <w:szCs w:val="18"/>
              </w:rPr>
              <w:t>2,398,453</w:t>
            </w:r>
          </w:p>
        </w:tc>
      </w:tr>
    </w:tbl>
    <w:p w14:paraId="2AB4FCA5" w14:textId="77777777" w:rsidR="0044575F" w:rsidRPr="00604C75" w:rsidRDefault="0044575F" w:rsidP="009F03D9">
      <w:pPr>
        <w:pStyle w:val="BodyTextIndent"/>
        <w:spacing w:after="0"/>
        <w:ind w:left="1276"/>
        <w:rPr>
          <w:bCs/>
          <w:sz w:val="20"/>
          <w:szCs w:val="20"/>
        </w:rPr>
      </w:pPr>
    </w:p>
    <w:p w14:paraId="7C4D1314" w14:textId="77777777" w:rsidR="0044575F" w:rsidRPr="00604C75" w:rsidRDefault="0044575F" w:rsidP="009F7408">
      <w:pPr>
        <w:tabs>
          <w:tab w:val="left" w:pos="709"/>
        </w:tabs>
        <w:ind w:left="1276" w:hanging="1276"/>
        <w:jc w:val="both"/>
        <w:rPr>
          <w:b/>
          <w:sz w:val="20"/>
          <w:szCs w:val="20"/>
        </w:rPr>
      </w:pPr>
      <w:r w:rsidRPr="00604C75">
        <w:rPr>
          <w:b/>
          <w:sz w:val="20"/>
          <w:szCs w:val="20"/>
        </w:rPr>
        <w:t>d.</w:t>
      </w:r>
      <w:r w:rsidRPr="00604C75">
        <w:rPr>
          <w:b/>
          <w:sz w:val="20"/>
          <w:szCs w:val="20"/>
        </w:rPr>
        <w:tab/>
      </w:r>
      <w:r w:rsidRPr="00604C75">
        <w:rPr>
          <w:b/>
          <w:noProof/>
          <w:sz w:val="20"/>
          <w:szCs w:val="20"/>
        </w:rPr>
        <w:t>Information on other foreign liabilities</w:t>
      </w:r>
    </w:p>
    <w:p w14:paraId="33E1D340" w14:textId="77777777" w:rsidR="009B343D" w:rsidRPr="00604C75" w:rsidRDefault="009B343D" w:rsidP="00C22AF8">
      <w:pPr>
        <w:pStyle w:val="BodyTextIndent"/>
        <w:spacing w:after="0"/>
        <w:ind w:left="1260" w:right="360"/>
        <w:rPr>
          <w:bCs/>
          <w:sz w:val="20"/>
          <w:szCs w:val="20"/>
        </w:rPr>
      </w:pPr>
    </w:p>
    <w:p w14:paraId="79720C8C" w14:textId="77777777" w:rsidR="0044575F" w:rsidRPr="00604C75" w:rsidRDefault="000467F0" w:rsidP="00507FD7">
      <w:pPr>
        <w:pStyle w:val="BodyTextIndent"/>
        <w:spacing w:after="0"/>
        <w:ind w:left="0"/>
        <w:rPr>
          <w:sz w:val="20"/>
          <w:szCs w:val="20"/>
        </w:rPr>
      </w:pPr>
      <w:r w:rsidRPr="00D83234">
        <w:rPr>
          <w:sz w:val="20"/>
          <w:szCs w:val="20"/>
        </w:rPr>
        <w:t>As of 3</w:t>
      </w:r>
      <w:r w:rsidR="009B343D">
        <w:rPr>
          <w:sz w:val="20"/>
          <w:szCs w:val="20"/>
        </w:rPr>
        <w:t>1</w:t>
      </w:r>
      <w:r w:rsidRPr="00D83234">
        <w:rPr>
          <w:sz w:val="20"/>
          <w:szCs w:val="20"/>
        </w:rPr>
        <w:t xml:space="preserve"> </w:t>
      </w:r>
      <w:r w:rsidR="009B343D">
        <w:rPr>
          <w:sz w:val="20"/>
          <w:szCs w:val="20"/>
        </w:rPr>
        <w:t>December</w:t>
      </w:r>
      <w:r w:rsidR="009B343D" w:rsidRPr="00D83234">
        <w:rPr>
          <w:sz w:val="20"/>
          <w:szCs w:val="20"/>
        </w:rPr>
        <w:t xml:space="preserve"> </w:t>
      </w:r>
      <w:r w:rsidR="0044575F" w:rsidRPr="00D83234">
        <w:rPr>
          <w:sz w:val="20"/>
          <w:szCs w:val="20"/>
        </w:rPr>
        <w:t>201</w:t>
      </w:r>
      <w:r w:rsidR="00BB1D73" w:rsidRPr="00D83234">
        <w:rPr>
          <w:sz w:val="20"/>
          <w:szCs w:val="20"/>
        </w:rPr>
        <w:t>5</w:t>
      </w:r>
      <w:r w:rsidR="0044575F" w:rsidRPr="00D83234">
        <w:rPr>
          <w:sz w:val="20"/>
          <w:szCs w:val="20"/>
        </w:rPr>
        <w:t xml:space="preserve"> other </w:t>
      </w:r>
      <w:r w:rsidR="006F341E" w:rsidRPr="00D83234">
        <w:rPr>
          <w:sz w:val="20"/>
          <w:szCs w:val="20"/>
        </w:rPr>
        <w:t>foreign</w:t>
      </w:r>
      <w:r w:rsidR="0044575F" w:rsidRPr="00D83234">
        <w:rPr>
          <w:sz w:val="20"/>
          <w:szCs w:val="20"/>
        </w:rPr>
        <w:t xml:space="preserve"> liabilities do not </w:t>
      </w:r>
      <w:r w:rsidR="0044575F" w:rsidRPr="00195EDC">
        <w:rPr>
          <w:sz w:val="20"/>
          <w:szCs w:val="20"/>
        </w:rPr>
        <w:t>exceed 10% of the total</w:t>
      </w:r>
      <w:r w:rsidR="009B343D">
        <w:rPr>
          <w:sz w:val="20"/>
          <w:szCs w:val="20"/>
        </w:rPr>
        <w:t xml:space="preserve"> </w:t>
      </w:r>
      <w:r w:rsidR="0044575F" w:rsidRPr="00D83234">
        <w:rPr>
          <w:sz w:val="20"/>
          <w:szCs w:val="20"/>
        </w:rPr>
        <w:t>balance sheet.</w:t>
      </w:r>
      <w:r w:rsidR="0044575F" w:rsidRPr="00604C75">
        <w:rPr>
          <w:sz w:val="20"/>
          <w:szCs w:val="20"/>
        </w:rPr>
        <w:t xml:space="preserve"> </w:t>
      </w:r>
    </w:p>
    <w:p w14:paraId="27584FF2" w14:textId="77777777" w:rsidR="0044575F" w:rsidRPr="00604C75" w:rsidRDefault="0044575F" w:rsidP="009F03D9">
      <w:pPr>
        <w:pStyle w:val="BodyTextIndent"/>
        <w:spacing w:after="0"/>
        <w:ind w:left="1276"/>
        <w:rPr>
          <w:bCs/>
          <w:sz w:val="20"/>
          <w:szCs w:val="20"/>
        </w:rPr>
      </w:pPr>
    </w:p>
    <w:p w14:paraId="01FFBEC6" w14:textId="77777777" w:rsidR="0044575F" w:rsidRPr="00604C75" w:rsidRDefault="0044575F" w:rsidP="009F7408">
      <w:pPr>
        <w:tabs>
          <w:tab w:val="left" w:pos="567"/>
        </w:tabs>
        <w:ind w:left="1276" w:hanging="1276"/>
        <w:jc w:val="both"/>
        <w:rPr>
          <w:b/>
          <w:sz w:val="20"/>
          <w:szCs w:val="20"/>
        </w:rPr>
      </w:pPr>
      <w:r w:rsidRPr="00604C75">
        <w:rPr>
          <w:b/>
          <w:sz w:val="20"/>
          <w:szCs w:val="20"/>
        </w:rPr>
        <w:t>e.</w:t>
      </w:r>
      <w:r w:rsidRPr="00604C75">
        <w:rPr>
          <w:b/>
          <w:sz w:val="20"/>
          <w:szCs w:val="20"/>
        </w:rPr>
        <w:tab/>
      </w:r>
      <w:r w:rsidR="009F7408" w:rsidRPr="00604C75">
        <w:rPr>
          <w:b/>
          <w:sz w:val="20"/>
          <w:szCs w:val="20"/>
        </w:rPr>
        <w:t xml:space="preserve"> </w:t>
      </w:r>
      <w:r w:rsidRPr="00604C75">
        <w:rPr>
          <w:b/>
          <w:noProof/>
          <w:sz w:val="20"/>
          <w:szCs w:val="20"/>
        </w:rPr>
        <w:t>Information on financial lease agreements</w:t>
      </w:r>
    </w:p>
    <w:p w14:paraId="4B466CD3" w14:textId="77777777" w:rsidR="0044575F" w:rsidRPr="00604C75" w:rsidRDefault="0044575F" w:rsidP="00C22AF8">
      <w:pPr>
        <w:pStyle w:val="BodyTextIndent"/>
        <w:spacing w:after="0"/>
        <w:ind w:left="1260"/>
        <w:rPr>
          <w:sz w:val="20"/>
          <w:szCs w:val="20"/>
        </w:rPr>
      </w:pPr>
    </w:p>
    <w:p w14:paraId="67C9ABA6" w14:textId="77777777" w:rsidR="0044575F" w:rsidRPr="00604C75" w:rsidRDefault="009E62C0" w:rsidP="009F7408">
      <w:pPr>
        <w:ind w:left="1260" w:right="-179" w:hanging="1260"/>
        <w:rPr>
          <w:sz w:val="20"/>
          <w:szCs w:val="20"/>
        </w:rPr>
      </w:pPr>
      <w:r w:rsidRPr="00604C75">
        <w:rPr>
          <w:sz w:val="20"/>
          <w:szCs w:val="20"/>
        </w:rPr>
        <w:t>None (</w:t>
      </w:r>
      <w:r w:rsidR="00894E43" w:rsidRPr="00604C75">
        <w:rPr>
          <w:sz w:val="20"/>
          <w:szCs w:val="20"/>
        </w:rPr>
        <w:t xml:space="preserve">31 December </w:t>
      </w:r>
      <w:r w:rsidRPr="00604C75">
        <w:rPr>
          <w:sz w:val="20"/>
          <w:szCs w:val="20"/>
        </w:rPr>
        <w:t>201</w:t>
      </w:r>
      <w:r w:rsidR="00BB1D73" w:rsidRPr="00604C75">
        <w:rPr>
          <w:sz w:val="20"/>
          <w:szCs w:val="20"/>
        </w:rPr>
        <w:t>4</w:t>
      </w:r>
      <w:r w:rsidRPr="00604C75">
        <w:rPr>
          <w:sz w:val="20"/>
          <w:szCs w:val="20"/>
        </w:rPr>
        <w:t>:</w:t>
      </w:r>
      <w:r w:rsidR="00791693" w:rsidRPr="00604C75">
        <w:rPr>
          <w:sz w:val="20"/>
          <w:szCs w:val="20"/>
        </w:rPr>
        <w:t xml:space="preserve"> </w:t>
      </w:r>
      <w:r w:rsidRPr="00604C75">
        <w:rPr>
          <w:sz w:val="20"/>
          <w:szCs w:val="20"/>
        </w:rPr>
        <w:t>None).</w:t>
      </w:r>
      <w:r w:rsidRPr="00604C75">
        <w:rPr>
          <w:sz w:val="20"/>
          <w:szCs w:val="20"/>
        </w:rPr>
        <w:tab/>
      </w:r>
    </w:p>
    <w:p w14:paraId="3ECAFDB6" w14:textId="77777777" w:rsidR="009E62C0" w:rsidRPr="00604C75" w:rsidRDefault="009E62C0" w:rsidP="00C22AF8">
      <w:pPr>
        <w:ind w:left="1260" w:right="-179"/>
        <w:rPr>
          <w:bCs/>
          <w:sz w:val="12"/>
          <w:szCs w:val="12"/>
        </w:rPr>
      </w:pPr>
    </w:p>
    <w:p w14:paraId="0C73F301" w14:textId="77777777" w:rsidR="0044575F" w:rsidRPr="00604C75" w:rsidRDefault="0044575F" w:rsidP="009F7408">
      <w:pPr>
        <w:tabs>
          <w:tab w:val="left" w:pos="1276"/>
        </w:tabs>
        <w:ind w:left="567" w:hanging="567"/>
        <w:jc w:val="both"/>
        <w:rPr>
          <w:b/>
          <w:sz w:val="20"/>
          <w:szCs w:val="20"/>
        </w:rPr>
      </w:pPr>
      <w:r w:rsidRPr="00604C75">
        <w:rPr>
          <w:b/>
          <w:sz w:val="20"/>
          <w:szCs w:val="20"/>
        </w:rPr>
        <w:t>f.</w:t>
      </w:r>
      <w:r w:rsidRPr="00604C75">
        <w:rPr>
          <w:b/>
          <w:sz w:val="20"/>
          <w:szCs w:val="20"/>
        </w:rPr>
        <w:tab/>
      </w:r>
      <w:r w:rsidRPr="00604C75">
        <w:rPr>
          <w:b/>
          <w:noProof/>
          <w:sz w:val="20"/>
          <w:szCs w:val="20"/>
        </w:rPr>
        <w:t>Information on hedging derivative financial liabilities</w:t>
      </w:r>
    </w:p>
    <w:p w14:paraId="573E3691" w14:textId="77777777" w:rsidR="0044575F" w:rsidRPr="00604C75" w:rsidRDefault="0044575F" w:rsidP="009E62C0">
      <w:pPr>
        <w:pStyle w:val="BodyTextIndent"/>
        <w:spacing w:after="0" w:line="120" w:lineRule="auto"/>
        <w:ind w:left="1259"/>
        <w:rPr>
          <w:sz w:val="20"/>
          <w:szCs w:val="20"/>
        </w:rPr>
      </w:pPr>
    </w:p>
    <w:tbl>
      <w:tblPr>
        <w:tblW w:w="9379" w:type="dxa"/>
        <w:tblInd w:w="7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455"/>
        <w:gridCol w:w="1312"/>
        <w:gridCol w:w="1293"/>
        <w:gridCol w:w="1143"/>
        <w:gridCol w:w="1176"/>
      </w:tblGrid>
      <w:tr w:rsidR="009E62C0" w:rsidRPr="00604C75" w14:paraId="09D7983D" w14:textId="77777777" w:rsidTr="00AD726D">
        <w:trPr>
          <w:trHeight w:val="170"/>
        </w:trPr>
        <w:tc>
          <w:tcPr>
            <w:tcW w:w="4455" w:type="dxa"/>
            <w:vMerge w:val="restart"/>
            <w:vAlign w:val="bottom"/>
          </w:tcPr>
          <w:p w14:paraId="08C04447" w14:textId="77777777" w:rsidR="009E62C0" w:rsidRPr="00604C75" w:rsidRDefault="009E62C0" w:rsidP="009E62C0">
            <w:pPr>
              <w:rPr>
                <w:b/>
                <w:bCs/>
                <w:sz w:val="18"/>
                <w:szCs w:val="18"/>
                <w:lang w:val="tr-TR" w:eastAsia="tr-TR"/>
              </w:rPr>
            </w:pPr>
          </w:p>
        </w:tc>
        <w:tc>
          <w:tcPr>
            <w:tcW w:w="2605" w:type="dxa"/>
            <w:gridSpan w:val="2"/>
            <w:vAlign w:val="bottom"/>
          </w:tcPr>
          <w:p w14:paraId="530804F9" w14:textId="77777777" w:rsidR="009E62C0" w:rsidRPr="00604C75" w:rsidRDefault="00AD3AF9" w:rsidP="006D5075">
            <w:pPr>
              <w:jc w:val="center"/>
              <w:rPr>
                <w:b/>
                <w:bCs/>
                <w:sz w:val="18"/>
                <w:szCs w:val="18"/>
                <w:lang w:val="tr-TR" w:eastAsia="tr-TR"/>
              </w:rPr>
            </w:pPr>
            <w:r>
              <w:rPr>
                <w:b/>
                <w:bCs/>
                <w:sz w:val="18"/>
                <w:szCs w:val="18"/>
                <w:lang w:val="tr-TR"/>
              </w:rPr>
              <w:t>31 December</w:t>
            </w:r>
            <w:r w:rsidRPr="00604C75">
              <w:rPr>
                <w:b/>
                <w:bCs/>
                <w:sz w:val="18"/>
                <w:szCs w:val="18"/>
                <w:lang w:val="tr-TR"/>
              </w:rPr>
              <w:t xml:space="preserve"> 2015</w:t>
            </w:r>
          </w:p>
        </w:tc>
        <w:tc>
          <w:tcPr>
            <w:tcW w:w="2319" w:type="dxa"/>
            <w:gridSpan w:val="2"/>
            <w:vAlign w:val="bottom"/>
          </w:tcPr>
          <w:p w14:paraId="75B3B299" w14:textId="77777777" w:rsidR="009E62C0" w:rsidRPr="00604C75" w:rsidRDefault="009E62C0" w:rsidP="009F7408">
            <w:pPr>
              <w:jc w:val="center"/>
              <w:rPr>
                <w:b/>
                <w:bCs/>
                <w:sz w:val="18"/>
                <w:szCs w:val="18"/>
                <w:lang w:val="tr-TR" w:eastAsia="tr-TR"/>
              </w:rPr>
            </w:pPr>
            <w:r w:rsidRPr="00604C75">
              <w:rPr>
                <w:b/>
                <w:bCs/>
                <w:sz w:val="18"/>
                <w:szCs w:val="18"/>
                <w:lang w:val="tr-TR"/>
              </w:rPr>
              <w:t xml:space="preserve">31 </w:t>
            </w:r>
            <w:r w:rsidR="009921A3" w:rsidRPr="00604C75">
              <w:rPr>
                <w:b/>
                <w:bCs/>
                <w:sz w:val="18"/>
                <w:szCs w:val="18"/>
                <w:lang w:val="tr-TR"/>
              </w:rPr>
              <w:t>December</w:t>
            </w:r>
            <w:r w:rsidRPr="00604C75">
              <w:rPr>
                <w:b/>
                <w:bCs/>
                <w:sz w:val="18"/>
                <w:szCs w:val="18"/>
                <w:lang w:val="tr-TR"/>
              </w:rPr>
              <w:t xml:space="preserve"> 201</w:t>
            </w:r>
            <w:r w:rsidR="009F7408" w:rsidRPr="00604C75">
              <w:rPr>
                <w:b/>
                <w:bCs/>
                <w:sz w:val="18"/>
                <w:szCs w:val="18"/>
                <w:lang w:val="tr-TR"/>
              </w:rPr>
              <w:t>4</w:t>
            </w:r>
          </w:p>
        </w:tc>
      </w:tr>
      <w:tr w:rsidR="009E62C0" w:rsidRPr="00604C75" w14:paraId="6DCD3877" w14:textId="77777777" w:rsidTr="00AD726D">
        <w:trPr>
          <w:trHeight w:val="170"/>
        </w:trPr>
        <w:tc>
          <w:tcPr>
            <w:tcW w:w="4455" w:type="dxa"/>
            <w:vMerge/>
            <w:vAlign w:val="bottom"/>
          </w:tcPr>
          <w:p w14:paraId="2EF80AFE" w14:textId="77777777" w:rsidR="009E62C0" w:rsidRPr="00604C75" w:rsidRDefault="009E62C0" w:rsidP="009E62C0">
            <w:pPr>
              <w:rPr>
                <w:b/>
                <w:bCs/>
                <w:sz w:val="18"/>
                <w:szCs w:val="18"/>
                <w:lang w:val="tr-TR" w:eastAsia="tr-TR"/>
              </w:rPr>
            </w:pPr>
          </w:p>
        </w:tc>
        <w:tc>
          <w:tcPr>
            <w:tcW w:w="1312" w:type="dxa"/>
            <w:vAlign w:val="bottom"/>
          </w:tcPr>
          <w:p w14:paraId="7CCA79E7" w14:textId="77777777" w:rsidR="009E62C0" w:rsidRPr="00604C75" w:rsidRDefault="009E62C0" w:rsidP="009E62C0">
            <w:pPr>
              <w:jc w:val="right"/>
              <w:rPr>
                <w:b/>
                <w:bCs/>
                <w:sz w:val="18"/>
                <w:szCs w:val="18"/>
                <w:lang w:val="tr-TR" w:eastAsia="tr-TR"/>
              </w:rPr>
            </w:pPr>
            <w:r w:rsidRPr="00604C75">
              <w:rPr>
                <w:b/>
                <w:bCs/>
                <w:noProof/>
                <w:sz w:val="18"/>
                <w:szCs w:val="18"/>
                <w:lang w:val="tr-TR" w:eastAsia="tr-TR"/>
              </w:rPr>
              <w:t>T</w:t>
            </w:r>
            <w:r w:rsidR="00A83A2F" w:rsidRPr="00604C75">
              <w:rPr>
                <w:b/>
                <w:bCs/>
                <w:noProof/>
                <w:sz w:val="18"/>
                <w:szCs w:val="18"/>
                <w:lang w:val="tr-TR" w:eastAsia="tr-TR"/>
              </w:rPr>
              <w:t>L</w:t>
            </w:r>
          </w:p>
        </w:tc>
        <w:tc>
          <w:tcPr>
            <w:tcW w:w="1293" w:type="dxa"/>
            <w:vAlign w:val="bottom"/>
          </w:tcPr>
          <w:p w14:paraId="7EB385A1" w14:textId="77777777" w:rsidR="009E62C0" w:rsidRPr="00604C75" w:rsidRDefault="00A83A2F" w:rsidP="009E62C0">
            <w:pPr>
              <w:jc w:val="right"/>
              <w:rPr>
                <w:b/>
                <w:bCs/>
                <w:sz w:val="18"/>
                <w:szCs w:val="18"/>
                <w:lang w:val="tr-TR" w:eastAsia="tr-TR"/>
              </w:rPr>
            </w:pPr>
            <w:r w:rsidRPr="00604C75">
              <w:rPr>
                <w:b/>
                <w:bCs/>
                <w:noProof/>
                <w:sz w:val="18"/>
                <w:szCs w:val="18"/>
                <w:lang w:val="tr-TR" w:eastAsia="tr-TR"/>
              </w:rPr>
              <w:t>FC</w:t>
            </w:r>
          </w:p>
        </w:tc>
        <w:tc>
          <w:tcPr>
            <w:tcW w:w="1143" w:type="dxa"/>
            <w:vAlign w:val="bottom"/>
          </w:tcPr>
          <w:p w14:paraId="481A7549" w14:textId="77777777" w:rsidR="009E62C0" w:rsidRPr="00604C75" w:rsidRDefault="00A83A2F" w:rsidP="009E62C0">
            <w:pPr>
              <w:jc w:val="right"/>
              <w:rPr>
                <w:b/>
                <w:bCs/>
                <w:sz w:val="18"/>
                <w:szCs w:val="18"/>
                <w:lang w:val="tr-TR" w:eastAsia="tr-TR"/>
              </w:rPr>
            </w:pPr>
            <w:r w:rsidRPr="00604C75">
              <w:rPr>
                <w:b/>
                <w:bCs/>
                <w:noProof/>
                <w:sz w:val="18"/>
                <w:szCs w:val="18"/>
                <w:lang w:val="tr-TR" w:eastAsia="tr-TR"/>
              </w:rPr>
              <w:t>TL</w:t>
            </w:r>
          </w:p>
        </w:tc>
        <w:tc>
          <w:tcPr>
            <w:tcW w:w="1176" w:type="dxa"/>
            <w:vAlign w:val="bottom"/>
          </w:tcPr>
          <w:p w14:paraId="3A125ED7" w14:textId="77777777" w:rsidR="009E62C0" w:rsidRPr="00604C75" w:rsidRDefault="00A83A2F" w:rsidP="009E62C0">
            <w:pPr>
              <w:jc w:val="right"/>
              <w:rPr>
                <w:b/>
                <w:bCs/>
                <w:sz w:val="18"/>
                <w:szCs w:val="18"/>
                <w:lang w:val="tr-TR" w:eastAsia="tr-TR"/>
              </w:rPr>
            </w:pPr>
            <w:r w:rsidRPr="00604C75">
              <w:rPr>
                <w:b/>
                <w:bCs/>
                <w:noProof/>
                <w:sz w:val="18"/>
                <w:szCs w:val="18"/>
                <w:lang w:val="tr-TR" w:eastAsia="tr-TR"/>
              </w:rPr>
              <w:t>FC</w:t>
            </w:r>
          </w:p>
        </w:tc>
      </w:tr>
      <w:tr w:rsidR="00FD0C7A" w:rsidRPr="00604C75" w14:paraId="728A8787" w14:textId="77777777" w:rsidTr="00AD726D">
        <w:trPr>
          <w:trHeight w:val="170"/>
        </w:trPr>
        <w:tc>
          <w:tcPr>
            <w:tcW w:w="4455" w:type="dxa"/>
            <w:vAlign w:val="bottom"/>
          </w:tcPr>
          <w:p w14:paraId="74FC2FAD" w14:textId="290F738A" w:rsidR="00FD0C7A" w:rsidRPr="00604C75" w:rsidRDefault="00FD0C7A" w:rsidP="00FD0C7A">
            <w:pPr>
              <w:rPr>
                <w:sz w:val="18"/>
                <w:szCs w:val="18"/>
                <w:lang w:val="tr-TR" w:eastAsia="tr-TR"/>
              </w:rPr>
            </w:pPr>
            <w:r w:rsidRPr="00604C75">
              <w:rPr>
                <w:noProof/>
                <w:sz w:val="18"/>
                <w:szCs w:val="18"/>
                <w:lang w:val="tr-TR" w:eastAsia="tr-TR"/>
              </w:rPr>
              <w:t xml:space="preserve">Fair </w:t>
            </w:r>
            <w:r>
              <w:rPr>
                <w:noProof/>
                <w:sz w:val="18"/>
                <w:szCs w:val="18"/>
                <w:lang w:val="tr-TR" w:eastAsia="tr-TR"/>
              </w:rPr>
              <w:t>V</w:t>
            </w:r>
            <w:r w:rsidRPr="00604C75">
              <w:rPr>
                <w:noProof/>
                <w:sz w:val="18"/>
                <w:szCs w:val="18"/>
                <w:lang w:val="tr-TR" w:eastAsia="tr-TR"/>
              </w:rPr>
              <w:t xml:space="preserve">alue </w:t>
            </w:r>
            <w:r>
              <w:rPr>
                <w:noProof/>
                <w:sz w:val="18"/>
                <w:szCs w:val="18"/>
                <w:lang w:val="tr-TR" w:eastAsia="tr-TR"/>
              </w:rPr>
              <w:t>H</w:t>
            </w:r>
            <w:r w:rsidRPr="00604C75">
              <w:rPr>
                <w:noProof/>
                <w:sz w:val="18"/>
                <w:szCs w:val="18"/>
                <w:lang w:val="tr-TR" w:eastAsia="tr-TR"/>
              </w:rPr>
              <w:t xml:space="preserve">edge </w:t>
            </w:r>
            <w:r>
              <w:rPr>
                <w:noProof/>
                <w:sz w:val="18"/>
                <w:szCs w:val="18"/>
                <w:lang w:val="tr-TR" w:eastAsia="tr-TR"/>
              </w:rPr>
              <w:t>R</w:t>
            </w:r>
            <w:r w:rsidRPr="00604C75">
              <w:rPr>
                <w:noProof/>
                <w:sz w:val="18"/>
                <w:szCs w:val="18"/>
                <w:lang w:val="tr-TR" w:eastAsia="tr-TR"/>
              </w:rPr>
              <w:t xml:space="preserve">isk </w:t>
            </w:r>
            <w:r w:rsidRPr="00604C75">
              <w:rPr>
                <w:sz w:val="18"/>
                <w:szCs w:val="18"/>
                <w:lang w:eastAsia="tr-TR"/>
              </w:rPr>
              <w:t>(*)</w:t>
            </w:r>
          </w:p>
        </w:tc>
        <w:tc>
          <w:tcPr>
            <w:tcW w:w="1312" w:type="dxa"/>
            <w:vAlign w:val="bottom"/>
          </w:tcPr>
          <w:p w14:paraId="09BE0932" w14:textId="6DEB4DFA" w:rsidR="00FD0C7A" w:rsidRPr="00C34D50" w:rsidRDefault="00FD0C7A" w:rsidP="00FD0C7A">
            <w:pPr>
              <w:jc w:val="right"/>
              <w:rPr>
                <w:bCs/>
                <w:sz w:val="18"/>
                <w:szCs w:val="18"/>
                <w:lang w:eastAsia="tr-TR"/>
              </w:rPr>
            </w:pPr>
            <w:r>
              <w:rPr>
                <w:bCs/>
                <w:sz w:val="18"/>
                <w:szCs w:val="18"/>
                <w:lang w:eastAsia="tr-TR"/>
              </w:rPr>
              <w:t>113</w:t>
            </w:r>
          </w:p>
        </w:tc>
        <w:tc>
          <w:tcPr>
            <w:tcW w:w="1293" w:type="dxa"/>
            <w:vAlign w:val="bottom"/>
          </w:tcPr>
          <w:p w14:paraId="5A7374B1" w14:textId="705DE21A" w:rsidR="00FD0C7A" w:rsidRPr="00C34D50" w:rsidRDefault="00FD0C7A" w:rsidP="00FD0C7A">
            <w:pPr>
              <w:jc w:val="right"/>
              <w:rPr>
                <w:bCs/>
                <w:sz w:val="18"/>
                <w:szCs w:val="18"/>
                <w:lang w:eastAsia="tr-TR"/>
              </w:rPr>
            </w:pPr>
            <w:r>
              <w:rPr>
                <w:bCs/>
                <w:sz w:val="18"/>
                <w:szCs w:val="18"/>
                <w:lang w:eastAsia="tr-TR"/>
              </w:rPr>
              <w:t>-</w:t>
            </w:r>
          </w:p>
        </w:tc>
        <w:tc>
          <w:tcPr>
            <w:tcW w:w="1143" w:type="dxa"/>
            <w:vAlign w:val="bottom"/>
          </w:tcPr>
          <w:p w14:paraId="1A50869D" w14:textId="18AC6281" w:rsidR="00FD0C7A" w:rsidRPr="00C34D50" w:rsidRDefault="00FD0C7A" w:rsidP="00FD0C7A">
            <w:pPr>
              <w:jc w:val="right"/>
              <w:rPr>
                <w:bCs/>
                <w:sz w:val="18"/>
                <w:szCs w:val="18"/>
                <w:lang w:eastAsia="tr-TR"/>
              </w:rPr>
            </w:pPr>
            <w:r w:rsidRPr="00C34D50">
              <w:rPr>
                <w:sz w:val="18"/>
                <w:szCs w:val="18"/>
                <w:lang w:eastAsia="tr-TR"/>
              </w:rPr>
              <w:t>8,578</w:t>
            </w:r>
          </w:p>
        </w:tc>
        <w:tc>
          <w:tcPr>
            <w:tcW w:w="1176" w:type="dxa"/>
            <w:vAlign w:val="bottom"/>
          </w:tcPr>
          <w:p w14:paraId="1E49067C" w14:textId="7A96BEA4" w:rsidR="00FD0C7A" w:rsidRPr="00C34D50" w:rsidRDefault="00FD0C7A" w:rsidP="00FD0C7A">
            <w:pPr>
              <w:jc w:val="right"/>
              <w:rPr>
                <w:bCs/>
                <w:sz w:val="18"/>
                <w:szCs w:val="18"/>
                <w:lang w:eastAsia="tr-TR"/>
              </w:rPr>
            </w:pPr>
            <w:r w:rsidRPr="00C34D50">
              <w:rPr>
                <w:sz w:val="18"/>
                <w:szCs w:val="18"/>
                <w:lang w:eastAsia="tr-TR"/>
              </w:rPr>
              <w:t>-</w:t>
            </w:r>
          </w:p>
        </w:tc>
      </w:tr>
      <w:tr w:rsidR="00FD0C7A" w:rsidRPr="00604C75" w14:paraId="614AB5C3" w14:textId="77777777" w:rsidTr="00AD726D">
        <w:trPr>
          <w:trHeight w:val="170"/>
        </w:trPr>
        <w:tc>
          <w:tcPr>
            <w:tcW w:w="4455" w:type="dxa"/>
            <w:vAlign w:val="bottom"/>
          </w:tcPr>
          <w:p w14:paraId="477E46FF" w14:textId="5EC3A28C" w:rsidR="00FD0C7A" w:rsidRPr="00604C75" w:rsidRDefault="00FD0C7A" w:rsidP="00FD0C7A">
            <w:pPr>
              <w:rPr>
                <w:sz w:val="18"/>
                <w:szCs w:val="18"/>
                <w:lang w:val="tr-TR" w:eastAsia="tr-TR"/>
              </w:rPr>
            </w:pPr>
            <w:r w:rsidRPr="00604C75">
              <w:rPr>
                <w:noProof/>
                <w:sz w:val="18"/>
                <w:szCs w:val="18"/>
                <w:lang w:val="tr-TR" w:eastAsia="tr-TR"/>
              </w:rPr>
              <w:t xml:space="preserve">Cash </w:t>
            </w:r>
            <w:r>
              <w:rPr>
                <w:noProof/>
                <w:sz w:val="18"/>
                <w:szCs w:val="18"/>
                <w:lang w:val="tr-TR" w:eastAsia="tr-TR"/>
              </w:rPr>
              <w:t>F</w:t>
            </w:r>
            <w:r w:rsidRPr="00604C75">
              <w:rPr>
                <w:noProof/>
                <w:sz w:val="18"/>
                <w:szCs w:val="18"/>
                <w:lang w:val="tr-TR" w:eastAsia="tr-TR"/>
              </w:rPr>
              <w:t xml:space="preserve">low </w:t>
            </w:r>
            <w:r>
              <w:rPr>
                <w:noProof/>
                <w:sz w:val="18"/>
                <w:szCs w:val="18"/>
                <w:lang w:val="tr-TR" w:eastAsia="tr-TR"/>
              </w:rPr>
              <w:t>H</w:t>
            </w:r>
            <w:r w:rsidRPr="00604C75">
              <w:rPr>
                <w:noProof/>
                <w:sz w:val="18"/>
                <w:szCs w:val="18"/>
                <w:lang w:val="tr-TR" w:eastAsia="tr-TR"/>
              </w:rPr>
              <w:t>edge</w:t>
            </w:r>
          </w:p>
        </w:tc>
        <w:tc>
          <w:tcPr>
            <w:tcW w:w="1312" w:type="dxa"/>
            <w:vAlign w:val="bottom"/>
          </w:tcPr>
          <w:p w14:paraId="52766F57" w14:textId="595B32C8" w:rsidR="00FD0C7A" w:rsidRPr="00C34D50" w:rsidRDefault="00FD0C7A" w:rsidP="00FD0C7A">
            <w:pPr>
              <w:jc w:val="right"/>
              <w:rPr>
                <w:sz w:val="18"/>
                <w:szCs w:val="18"/>
                <w:lang w:eastAsia="tr-TR"/>
              </w:rPr>
            </w:pPr>
            <w:r w:rsidRPr="00C34D50">
              <w:rPr>
                <w:sz w:val="18"/>
                <w:szCs w:val="18"/>
                <w:lang w:eastAsia="tr-TR"/>
              </w:rPr>
              <w:t>-</w:t>
            </w:r>
          </w:p>
        </w:tc>
        <w:tc>
          <w:tcPr>
            <w:tcW w:w="1293" w:type="dxa"/>
            <w:vAlign w:val="bottom"/>
          </w:tcPr>
          <w:p w14:paraId="249A3A1E" w14:textId="22A2E02D" w:rsidR="00FD0C7A" w:rsidRPr="00C34D50" w:rsidRDefault="00FD0C7A" w:rsidP="00FD0C7A">
            <w:pPr>
              <w:jc w:val="right"/>
              <w:rPr>
                <w:sz w:val="18"/>
                <w:szCs w:val="18"/>
                <w:lang w:eastAsia="tr-TR"/>
              </w:rPr>
            </w:pPr>
            <w:r w:rsidRPr="00C34D50">
              <w:rPr>
                <w:sz w:val="18"/>
                <w:szCs w:val="18"/>
                <w:lang w:eastAsia="tr-TR"/>
              </w:rPr>
              <w:t>-</w:t>
            </w:r>
          </w:p>
        </w:tc>
        <w:tc>
          <w:tcPr>
            <w:tcW w:w="1143" w:type="dxa"/>
            <w:vAlign w:val="bottom"/>
          </w:tcPr>
          <w:p w14:paraId="4BB45EC0" w14:textId="69748D15" w:rsidR="00FD0C7A" w:rsidRPr="00C34D50" w:rsidRDefault="00FD0C7A" w:rsidP="00FD0C7A">
            <w:pPr>
              <w:jc w:val="right"/>
              <w:rPr>
                <w:sz w:val="18"/>
                <w:szCs w:val="18"/>
                <w:lang w:eastAsia="tr-TR"/>
              </w:rPr>
            </w:pPr>
            <w:r w:rsidRPr="00C34D50">
              <w:rPr>
                <w:sz w:val="18"/>
                <w:szCs w:val="18"/>
                <w:lang w:eastAsia="tr-TR"/>
              </w:rPr>
              <w:t>-</w:t>
            </w:r>
          </w:p>
        </w:tc>
        <w:tc>
          <w:tcPr>
            <w:tcW w:w="1176" w:type="dxa"/>
            <w:vAlign w:val="bottom"/>
          </w:tcPr>
          <w:p w14:paraId="61A3BB06" w14:textId="60AE085A" w:rsidR="00FD0C7A" w:rsidRPr="00C34D50" w:rsidRDefault="00FD0C7A" w:rsidP="00FD0C7A">
            <w:pPr>
              <w:jc w:val="right"/>
              <w:rPr>
                <w:sz w:val="18"/>
                <w:szCs w:val="18"/>
                <w:lang w:eastAsia="tr-TR"/>
              </w:rPr>
            </w:pPr>
            <w:r w:rsidRPr="00C34D50">
              <w:rPr>
                <w:sz w:val="18"/>
                <w:szCs w:val="18"/>
                <w:lang w:eastAsia="tr-TR"/>
              </w:rPr>
              <w:t>-</w:t>
            </w:r>
          </w:p>
        </w:tc>
      </w:tr>
      <w:tr w:rsidR="00FD0C7A" w:rsidRPr="00604C75" w14:paraId="0936BDA3" w14:textId="77777777" w:rsidTr="00AD726D">
        <w:trPr>
          <w:trHeight w:val="170"/>
        </w:trPr>
        <w:tc>
          <w:tcPr>
            <w:tcW w:w="4455" w:type="dxa"/>
            <w:vAlign w:val="bottom"/>
          </w:tcPr>
          <w:p w14:paraId="0A2BD8DA" w14:textId="4B6C3436" w:rsidR="00FD0C7A" w:rsidRPr="00604C75" w:rsidRDefault="00FD0C7A" w:rsidP="00FD0C7A">
            <w:pPr>
              <w:rPr>
                <w:sz w:val="18"/>
                <w:szCs w:val="18"/>
                <w:lang w:val="tr-TR" w:eastAsia="tr-TR"/>
              </w:rPr>
            </w:pPr>
            <w:r w:rsidRPr="00604C75">
              <w:rPr>
                <w:sz w:val="18"/>
                <w:szCs w:val="18"/>
                <w:lang w:val="tr-TR" w:eastAsia="tr-TR"/>
              </w:rPr>
              <w:t xml:space="preserve">Hedge of </w:t>
            </w:r>
            <w:r>
              <w:rPr>
                <w:sz w:val="18"/>
                <w:szCs w:val="18"/>
                <w:lang w:val="tr-TR" w:eastAsia="tr-TR"/>
              </w:rPr>
              <w:t>N</w:t>
            </w:r>
            <w:r w:rsidRPr="00604C75">
              <w:rPr>
                <w:sz w:val="18"/>
                <w:szCs w:val="18"/>
                <w:lang w:val="tr-TR" w:eastAsia="tr-TR"/>
              </w:rPr>
              <w:t xml:space="preserve">et </w:t>
            </w:r>
            <w:r>
              <w:rPr>
                <w:sz w:val="18"/>
                <w:szCs w:val="18"/>
                <w:lang w:val="tr-TR" w:eastAsia="tr-TR"/>
              </w:rPr>
              <w:t>I</w:t>
            </w:r>
            <w:r w:rsidRPr="00604C75">
              <w:rPr>
                <w:sz w:val="18"/>
                <w:szCs w:val="18"/>
                <w:lang w:val="tr-TR" w:eastAsia="tr-TR"/>
              </w:rPr>
              <w:t xml:space="preserve">nvestments in </w:t>
            </w:r>
            <w:r>
              <w:rPr>
                <w:sz w:val="18"/>
                <w:szCs w:val="18"/>
                <w:lang w:val="tr-TR" w:eastAsia="tr-TR"/>
              </w:rPr>
              <w:t>F</w:t>
            </w:r>
            <w:r w:rsidRPr="00604C75">
              <w:rPr>
                <w:sz w:val="18"/>
                <w:szCs w:val="18"/>
                <w:lang w:val="tr-TR" w:eastAsia="tr-TR"/>
              </w:rPr>
              <w:t xml:space="preserve">oreign </w:t>
            </w:r>
            <w:r>
              <w:rPr>
                <w:sz w:val="18"/>
                <w:szCs w:val="18"/>
                <w:lang w:val="tr-TR" w:eastAsia="tr-TR"/>
              </w:rPr>
              <w:t>O</w:t>
            </w:r>
            <w:r w:rsidRPr="00604C75">
              <w:rPr>
                <w:sz w:val="18"/>
                <w:szCs w:val="18"/>
                <w:lang w:val="tr-TR" w:eastAsia="tr-TR"/>
              </w:rPr>
              <w:t>perations</w:t>
            </w:r>
          </w:p>
        </w:tc>
        <w:tc>
          <w:tcPr>
            <w:tcW w:w="1312" w:type="dxa"/>
            <w:vAlign w:val="bottom"/>
          </w:tcPr>
          <w:p w14:paraId="4F2AE2F5" w14:textId="3B44A573" w:rsidR="00FD0C7A" w:rsidRPr="00C34D50" w:rsidRDefault="00FD0C7A" w:rsidP="00FD0C7A">
            <w:pPr>
              <w:jc w:val="right"/>
              <w:rPr>
                <w:sz w:val="18"/>
                <w:szCs w:val="18"/>
                <w:lang w:eastAsia="tr-TR"/>
              </w:rPr>
            </w:pPr>
            <w:r w:rsidRPr="00C34D50">
              <w:rPr>
                <w:sz w:val="18"/>
                <w:szCs w:val="18"/>
                <w:lang w:eastAsia="tr-TR"/>
              </w:rPr>
              <w:t>-</w:t>
            </w:r>
          </w:p>
        </w:tc>
        <w:tc>
          <w:tcPr>
            <w:tcW w:w="1293" w:type="dxa"/>
            <w:vAlign w:val="bottom"/>
          </w:tcPr>
          <w:p w14:paraId="3B51C0F3" w14:textId="3A6E7508" w:rsidR="00FD0C7A" w:rsidRPr="00C34D50" w:rsidRDefault="00FD0C7A" w:rsidP="00FD0C7A">
            <w:pPr>
              <w:jc w:val="right"/>
              <w:rPr>
                <w:sz w:val="18"/>
                <w:szCs w:val="18"/>
                <w:lang w:eastAsia="tr-TR"/>
              </w:rPr>
            </w:pPr>
            <w:r w:rsidRPr="00C34D50">
              <w:rPr>
                <w:sz w:val="18"/>
                <w:szCs w:val="18"/>
                <w:lang w:eastAsia="tr-TR"/>
              </w:rPr>
              <w:t>-</w:t>
            </w:r>
          </w:p>
        </w:tc>
        <w:tc>
          <w:tcPr>
            <w:tcW w:w="1143" w:type="dxa"/>
            <w:vAlign w:val="bottom"/>
          </w:tcPr>
          <w:p w14:paraId="4A63EBFD" w14:textId="3E31FE08" w:rsidR="00FD0C7A" w:rsidRPr="00C34D50" w:rsidRDefault="00FD0C7A" w:rsidP="00FD0C7A">
            <w:pPr>
              <w:jc w:val="right"/>
              <w:rPr>
                <w:sz w:val="18"/>
                <w:szCs w:val="18"/>
                <w:lang w:eastAsia="tr-TR"/>
              </w:rPr>
            </w:pPr>
            <w:r w:rsidRPr="00C34D50">
              <w:rPr>
                <w:sz w:val="18"/>
                <w:szCs w:val="18"/>
                <w:lang w:eastAsia="tr-TR"/>
              </w:rPr>
              <w:t>-</w:t>
            </w:r>
          </w:p>
        </w:tc>
        <w:tc>
          <w:tcPr>
            <w:tcW w:w="1176" w:type="dxa"/>
            <w:vAlign w:val="bottom"/>
          </w:tcPr>
          <w:p w14:paraId="76612E36" w14:textId="44CF5B30" w:rsidR="00FD0C7A" w:rsidRPr="00C34D50" w:rsidRDefault="00FD0C7A" w:rsidP="00FD0C7A">
            <w:pPr>
              <w:jc w:val="right"/>
              <w:rPr>
                <w:sz w:val="18"/>
                <w:szCs w:val="18"/>
                <w:lang w:eastAsia="tr-TR"/>
              </w:rPr>
            </w:pPr>
            <w:r w:rsidRPr="00C34D50">
              <w:rPr>
                <w:sz w:val="18"/>
                <w:szCs w:val="18"/>
                <w:lang w:eastAsia="tr-TR"/>
              </w:rPr>
              <w:t>-</w:t>
            </w:r>
          </w:p>
        </w:tc>
      </w:tr>
      <w:tr w:rsidR="00FD0C7A" w:rsidRPr="00604C75" w14:paraId="4E65E35F" w14:textId="77777777" w:rsidTr="00AD726D">
        <w:trPr>
          <w:trHeight w:val="170"/>
        </w:trPr>
        <w:tc>
          <w:tcPr>
            <w:tcW w:w="4455" w:type="dxa"/>
            <w:vAlign w:val="bottom"/>
          </w:tcPr>
          <w:p w14:paraId="1415DEF9" w14:textId="77777777" w:rsidR="00FD0C7A" w:rsidRPr="00604C75" w:rsidRDefault="00FD0C7A" w:rsidP="00FD0C7A">
            <w:pPr>
              <w:rPr>
                <w:b/>
                <w:bCs/>
                <w:sz w:val="18"/>
                <w:szCs w:val="18"/>
                <w:lang w:val="tr-TR" w:eastAsia="tr-TR"/>
              </w:rPr>
            </w:pPr>
            <w:r w:rsidRPr="00604C75">
              <w:rPr>
                <w:b/>
                <w:bCs/>
                <w:noProof/>
                <w:sz w:val="18"/>
                <w:szCs w:val="18"/>
                <w:lang w:val="tr-TR" w:eastAsia="tr-TR"/>
              </w:rPr>
              <w:t>Total</w:t>
            </w:r>
          </w:p>
        </w:tc>
        <w:tc>
          <w:tcPr>
            <w:tcW w:w="1312" w:type="dxa"/>
            <w:vAlign w:val="bottom"/>
          </w:tcPr>
          <w:p w14:paraId="2617B83F" w14:textId="6D8BC120" w:rsidR="00FD0C7A" w:rsidRPr="00C34D50" w:rsidRDefault="00FD0C7A" w:rsidP="00FD0C7A">
            <w:pPr>
              <w:jc w:val="right"/>
              <w:rPr>
                <w:b/>
                <w:bCs/>
                <w:sz w:val="18"/>
                <w:szCs w:val="18"/>
                <w:lang w:eastAsia="tr-TR"/>
              </w:rPr>
            </w:pPr>
            <w:r>
              <w:rPr>
                <w:b/>
                <w:bCs/>
                <w:sz w:val="18"/>
                <w:szCs w:val="18"/>
                <w:lang w:eastAsia="tr-TR"/>
              </w:rPr>
              <w:t>113</w:t>
            </w:r>
          </w:p>
        </w:tc>
        <w:tc>
          <w:tcPr>
            <w:tcW w:w="1293" w:type="dxa"/>
            <w:vAlign w:val="bottom"/>
          </w:tcPr>
          <w:p w14:paraId="77040ECB" w14:textId="42679113" w:rsidR="00FD0C7A" w:rsidRPr="0014533C" w:rsidRDefault="00FD0C7A" w:rsidP="00FD0C7A">
            <w:pPr>
              <w:jc w:val="right"/>
              <w:rPr>
                <w:b/>
                <w:bCs/>
                <w:sz w:val="18"/>
                <w:szCs w:val="18"/>
                <w:lang w:eastAsia="tr-TR"/>
              </w:rPr>
            </w:pPr>
            <w:r w:rsidRPr="0014533C">
              <w:rPr>
                <w:b/>
                <w:bCs/>
                <w:sz w:val="18"/>
                <w:szCs w:val="18"/>
                <w:lang w:eastAsia="tr-TR"/>
              </w:rPr>
              <w:t>-</w:t>
            </w:r>
          </w:p>
        </w:tc>
        <w:tc>
          <w:tcPr>
            <w:tcW w:w="1143" w:type="dxa"/>
            <w:vAlign w:val="bottom"/>
          </w:tcPr>
          <w:p w14:paraId="71B86DA4" w14:textId="09C40EF0" w:rsidR="00FD0C7A" w:rsidRPr="00C34D50" w:rsidRDefault="00FD0C7A" w:rsidP="00FD0C7A">
            <w:pPr>
              <w:jc w:val="right"/>
              <w:rPr>
                <w:b/>
                <w:bCs/>
                <w:sz w:val="18"/>
                <w:szCs w:val="18"/>
                <w:lang w:eastAsia="tr-TR"/>
              </w:rPr>
            </w:pPr>
            <w:r w:rsidRPr="00C34D50">
              <w:rPr>
                <w:b/>
                <w:sz w:val="18"/>
                <w:szCs w:val="18"/>
                <w:lang w:eastAsia="tr-TR"/>
              </w:rPr>
              <w:t>8,578</w:t>
            </w:r>
          </w:p>
        </w:tc>
        <w:tc>
          <w:tcPr>
            <w:tcW w:w="1176" w:type="dxa"/>
            <w:vAlign w:val="bottom"/>
          </w:tcPr>
          <w:p w14:paraId="4B531BFF" w14:textId="0E020634" w:rsidR="00FD0C7A" w:rsidRPr="00C34D50" w:rsidRDefault="00FD0C7A" w:rsidP="00FD0C7A">
            <w:pPr>
              <w:jc w:val="right"/>
              <w:rPr>
                <w:b/>
                <w:bCs/>
                <w:sz w:val="18"/>
                <w:szCs w:val="18"/>
                <w:lang w:eastAsia="tr-TR"/>
              </w:rPr>
            </w:pPr>
            <w:r w:rsidRPr="00C34D50">
              <w:rPr>
                <w:b/>
                <w:sz w:val="18"/>
                <w:szCs w:val="18"/>
                <w:lang w:eastAsia="tr-TR"/>
              </w:rPr>
              <w:t>-</w:t>
            </w:r>
          </w:p>
        </w:tc>
      </w:tr>
    </w:tbl>
    <w:p w14:paraId="35D09645" w14:textId="709C6E86" w:rsidR="009E62C0" w:rsidRPr="00604C75" w:rsidRDefault="009E62C0" w:rsidP="00E83EAC">
      <w:pPr>
        <w:spacing w:before="240" w:after="120" w:line="48" w:lineRule="auto"/>
        <w:rPr>
          <w:b/>
          <w:noProof/>
          <w:sz w:val="18"/>
          <w:szCs w:val="20"/>
        </w:rPr>
      </w:pPr>
      <w:r w:rsidRPr="00604C75">
        <w:rPr>
          <w:noProof/>
          <w:sz w:val="16"/>
          <w:szCs w:val="18"/>
        </w:rPr>
        <w:t xml:space="preserve"> (</w:t>
      </w:r>
      <w:r w:rsidR="00BB1D73" w:rsidRPr="00604C75">
        <w:rPr>
          <w:noProof/>
          <w:sz w:val="16"/>
          <w:szCs w:val="18"/>
        </w:rPr>
        <w:t>*</w:t>
      </w:r>
      <w:r w:rsidRPr="00604C75">
        <w:rPr>
          <w:noProof/>
          <w:sz w:val="16"/>
          <w:szCs w:val="18"/>
        </w:rPr>
        <w:t xml:space="preserve">)  </w:t>
      </w:r>
      <w:r w:rsidR="00D00AA0" w:rsidRPr="00604C75">
        <w:rPr>
          <w:noProof/>
          <w:sz w:val="16"/>
          <w:szCs w:val="18"/>
        </w:rPr>
        <w:t xml:space="preserve">Explained in </w:t>
      </w:r>
      <w:r w:rsidR="00D00AA0" w:rsidRPr="00D83234">
        <w:rPr>
          <w:noProof/>
          <w:sz w:val="16"/>
          <w:szCs w:val="18"/>
        </w:rPr>
        <w:t>Section F</w:t>
      </w:r>
      <w:r w:rsidR="00BB1D73" w:rsidRPr="00D83234">
        <w:rPr>
          <w:noProof/>
          <w:sz w:val="16"/>
          <w:szCs w:val="18"/>
        </w:rPr>
        <w:t xml:space="preserve">our Note </w:t>
      </w:r>
      <w:r w:rsidR="00991C34">
        <w:rPr>
          <w:noProof/>
          <w:sz w:val="16"/>
          <w:szCs w:val="18"/>
        </w:rPr>
        <w:t>X</w:t>
      </w:r>
      <w:r w:rsidRPr="00604C75">
        <w:rPr>
          <w:noProof/>
          <w:sz w:val="16"/>
          <w:szCs w:val="18"/>
        </w:rPr>
        <w:t>.</w:t>
      </w:r>
    </w:p>
    <w:p w14:paraId="1E2197FB" w14:textId="77777777" w:rsidR="009E62C0" w:rsidRPr="00604C75" w:rsidRDefault="009E62C0" w:rsidP="009E62C0">
      <w:pPr>
        <w:spacing w:line="48" w:lineRule="auto"/>
        <w:ind w:left="1276" w:right="-181"/>
        <w:rPr>
          <w:b/>
          <w:sz w:val="20"/>
          <w:szCs w:val="20"/>
        </w:rPr>
      </w:pPr>
    </w:p>
    <w:p w14:paraId="09D03388" w14:textId="77777777" w:rsidR="0044575F" w:rsidRPr="00604C75" w:rsidRDefault="0044575F" w:rsidP="009F7408">
      <w:pPr>
        <w:tabs>
          <w:tab w:val="left" w:pos="0"/>
          <w:tab w:val="left" w:pos="567"/>
        </w:tabs>
        <w:jc w:val="both"/>
        <w:rPr>
          <w:b/>
          <w:sz w:val="20"/>
          <w:szCs w:val="20"/>
        </w:rPr>
      </w:pPr>
      <w:r w:rsidRPr="00604C75">
        <w:rPr>
          <w:b/>
          <w:sz w:val="20"/>
          <w:szCs w:val="20"/>
        </w:rPr>
        <w:t>g.</w:t>
      </w:r>
      <w:r w:rsidRPr="00604C75">
        <w:rPr>
          <w:b/>
          <w:sz w:val="20"/>
          <w:szCs w:val="20"/>
        </w:rPr>
        <w:tab/>
      </w:r>
      <w:r w:rsidRPr="00604C75">
        <w:rPr>
          <w:b/>
          <w:bCs/>
          <w:noProof/>
          <w:sz w:val="20"/>
          <w:szCs w:val="20"/>
        </w:rPr>
        <w:t>Information on provisions</w:t>
      </w:r>
    </w:p>
    <w:p w14:paraId="1355967D" w14:textId="77777777" w:rsidR="0044575F" w:rsidRPr="00604C75" w:rsidRDefault="0044575F" w:rsidP="00C22AF8">
      <w:pPr>
        <w:pStyle w:val="BodyTextIndent"/>
        <w:spacing w:after="0"/>
        <w:ind w:left="1260"/>
        <w:rPr>
          <w:sz w:val="16"/>
          <w:szCs w:val="16"/>
        </w:rPr>
      </w:pPr>
    </w:p>
    <w:p w14:paraId="557B0815" w14:textId="77777777" w:rsidR="0044575F" w:rsidRPr="00604C75" w:rsidRDefault="0044575F" w:rsidP="009F7408">
      <w:pPr>
        <w:pStyle w:val="BodyTextIndent"/>
        <w:spacing w:after="0"/>
        <w:ind w:left="567" w:hanging="567"/>
        <w:rPr>
          <w:sz w:val="20"/>
          <w:szCs w:val="20"/>
        </w:rPr>
      </w:pPr>
      <w:r w:rsidRPr="00604C75">
        <w:rPr>
          <w:sz w:val="20"/>
          <w:szCs w:val="20"/>
        </w:rPr>
        <w:t>1.</w:t>
      </w:r>
      <w:r w:rsidRPr="00604C75">
        <w:rPr>
          <w:sz w:val="20"/>
          <w:szCs w:val="20"/>
        </w:rPr>
        <w:tab/>
      </w:r>
      <w:r w:rsidRPr="00604C75">
        <w:rPr>
          <w:noProof/>
          <w:sz w:val="20"/>
          <w:szCs w:val="20"/>
        </w:rPr>
        <w:t>Information on general provisions</w:t>
      </w:r>
    </w:p>
    <w:p w14:paraId="6BF20330" w14:textId="77777777" w:rsidR="0044575F" w:rsidRPr="00604C75" w:rsidRDefault="0044575F" w:rsidP="00C22AF8">
      <w:pPr>
        <w:pStyle w:val="BodyTextIndent"/>
        <w:spacing w:after="0"/>
        <w:ind w:left="1260"/>
        <w:rPr>
          <w:sz w:val="16"/>
          <w:szCs w:val="16"/>
        </w:rPr>
      </w:pPr>
    </w:p>
    <w:tbl>
      <w:tblPr>
        <w:tblW w:w="944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520"/>
        <w:gridCol w:w="2589"/>
        <w:gridCol w:w="2338"/>
      </w:tblGrid>
      <w:tr w:rsidR="00EC606B" w:rsidRPr="00604C75" w14:paraId="146AD633" w14:textId="77777777" w:rsidTr="00461434">
        <w:trPr>
          <w:trHeight w:val="170"/>
        </w:trPr>
        <w:tc>
          <w:tcPr>
            <w:tcW w:w="4520" w:type="dxa"/>
            <w:shd w:val="clear" w:color="auto" w:fill="FFFFFF"/>
            <w:vAlign w:val="bottom"/>
          </w:tcPr>
          <w:p w14:paraId="3E71486A" w14:textId="77777777" w:rsidR="00EC606B" w:rsidRPr="00604C75" w:rsidRDefault="00EC606B" w:rsidP="00EC606B">
            <w:pPr>
              <w:rPr>
                <w:rFonts w:eastAsia="Arial Unicode MS"/>
                <w:sz w:val="18"/>
                <w:szCs w:val="18"/>
              </w:rPr>
            </w:pPr>
            <w:r w:rsidRPr="00604C75">
              <w:rPr>
                <w:sz w:val="18"/>
                <w:szCs w:val="18"/>
              </w:rPr>
              <w:t> </w:t>
            </w:r>
          </w:p>
        </w:tc>
        <w:tc>
          <w:tcPr>
            <w:tcW w:w="2589" w:type="dxa"/>
            <w:shd w:val="clear" w:color="auto" w:fill="FFFFFF"/>
            <w:vAlign w:val="bottom"/>
          </w:tcPr>
          <w:p w14:paraId="1AF3EDA4" w14:textId="77777777" w:rsidR="00EC606B" w:rsidRPr="00604C75" w:rsidRDefault="00AD3AF9" w:rsidP="003F7695">
            <w:pPr>
              <w:ind w:right="30"/>
              <w:jc w:val="right"/>
              <w:rPr>
                <w:rFonts w:eastAsia="Arial Unicode MS"/>
                <w:b/>
                <w:bCs/>
                <w:sz w:val="18"/>
                <w:szCs w:val="18"/>
              </w:rPr>
            </w:pPr>
            <w:r>
              <w:rPr>
                <w:b/>
                <w:bCs/>
                <w:sz w:val="18"/>
                <w:szCs w:val="18"/>
                <w:lang w:val="tr-TR"/>
              </w:rPr>
              <w:t>31 December</w:t>
            </w:r>
            <w:r w:rsidRPr="00604C75">
              <w:rPr>
                <w:b/>
                <w:bCs/>
                <w:sz w:val="18"/>
                <w:szCs w:val="18"/>
                <w:lang w:val="tr-TR"/>
              </w:rPr>
              <w:t xml:space="preserve"> 2015</w:t>
            </w:r>
          </w:p>
        </w:tc>
        <w:tc>
          <w:tcPr>
            <w:tcW w:w="2338" w:type="dxa"/>
            <w:shd w:val="clear" w:color="auto" w:fill="FFFFFF"/>
            <w:vAlign w:val="bottom"/>
          </w:tcPr>
          <w:p w14:paraId="1AF06BF8" w14:textId="77777777" w:rsidR="00EC606B" w:rsidRPr="00604C75" w:rsidRDefault="00EC606B" w:rsidP="00EC606B">
            <w:pPr>
              <w:ind w:right="30"/>
              <w:jc w:val="right"/>
              <w:rPr>
                <w:rFonts w:eastAsia="Arial Unicode MS"/>
                <w:b/>
                <w:bCs/>
                <w:sz w:val="18"/>
                <w:szCs w:val="18"/>
              </w:rPr>
            </w:pPr>
            <w:r w:rsidRPr="00604C75">
              <w:rPr>
                <w:b/>
                <w:bCs/>
                <w:sz w:val="18"/>
                <w:szCs w:val="18"/>
                <w:lang w:val="tr-TR"/>
              </w:rPr>
              <w:t>31 December 2014</w:t>
            </w:r>
          </w:p>
        </w:tc>
      </w:tr>
      <w:tr w:rsidR="00224102" w:rsidRPr="00604C75" w14:paraId="2376B817" w14:textId="77777777" w:rsidTr="00461434">
        <w:trPr>
          <w:trHeight w:val="218"/>
        </w:trPr>
        <w:tc>
          <w:tcPr>
            <w:tcW w:w="4520" w:type="dxa"/>
            <w:shd w:val="clear" w:color="auto" w:fill="FFFFFF"/>
            <w:vAlign w:val="bottom"/>
          </w:tcPr>
          <w:p w14:paraId="61A8127B" w14:textId="77777777" w:rsidR="00224102" w:rsidRPr="00604C75" w:rsidRDefault="00224102" w:rsidP="00224102">
            <w:pPr>
              <w:rPr>
                <w:rFonts w:eastAsia="Arial Unicode MS"/>
                <w:sz w:val="18"/>
                <w:szCs w:val="18"/>
              </w:rPr>
            </w:pPr>
            <w:r w:rsidRPr="00604C75">
              <w:rPr>
                <w:noProof/>
                <w:sz w:val="18"/>
                <w:szCs w:val="18"/>
              </w:rPr>
              <w:t>Provisions for Group I Loans and Receivables</w:t>
            </w:r>
          </w:p>
        </w:tc>
        <w:tc>
          <w:tcPr>
            <w:tcW w:w="2589" w:type="dxa"/>
            <w:vAlign w:val="bottom"/>
          </w:tcPr>
          <w:p w14:paraId="07D9DC1E" w14:textId="0C321D53" w:rsidR="00224102" w:rsidRPr="00434F28" w:rsidRDefault="00224102" w:rsidP="00224102">
            <w:pPr>
              <w:jc w:val="right"/>
              <w:rPr>
                <w:sz w:val="18"/>
                <w:szCs w:val="18"/>
              </w:rPr>
            </w:pPr>
            <w:r w:rsidRPr="00434F28">
              <w:rPr>
                <w:sz w:val="18"/>
                <w:szCs w:val="18"/>
              </w:rPr>
              <w:t xml:space="preserve">            61,137    </w:t>
            </w:r>
          </w:p>
        </w:tc>
        <w:tc>
          <w:tcPr>
            <w:tcW w:w="2338" w:type="dxa"/>
            <w:vAlign w:val="bottom"/>
          </w:tcPr>
          <w:p w14:paraId="4BDE1FCC" w14:textId="652063D0" w:rsidR="00224102" w:rsidRPr="00C34D50" w:rsidRDefault="00224102" w:rsidP="00224102">
            <w:pPr>
              <w:ind w:right="87"/>
              <w:jc w:val="right"/>
              <w:rPr>
                <w:sz w:val="18"/>
                <w:szCs w:val="18"/>
              </w:rPr>
            </w:pPr>
            <w:r w:rsidRPr="00C34D50">
              <w:rPr>
                <w:sz w:val="18"/>
                <w:szCs w:val="18"/>
              </w:rPr>
              <w:t>46,180</w:t>
            </w:r>
          </w:p>
        </w:tc>
      </w:tr>
      <w:tr w:rsidR="00224102" w:rsidRPr="00604C75" w14:paraId="1D238B1B" w14:textId="77777777" w:rsidTr="00461434">
        <w:trPr>
          <w:trHeight w:val="218"/>
        </w:trPr>
        <w:tc>
          <w:tcPr>
            <w:tcW w:w="4520" w:type="dxa"/>
            <w:shd w:val="clear" w:color="auto" w:fill="FFFFFF"/>
            <w:vAlign w:val="bottom"/>
          </w:tcPr>
          <w:p w14:paraId="1C81222D" w14:textId="77777777" w:rsidR="00224102" w:rsidRPr="00604C75" w:rsidRDefault="00224102" w:rsidP="00224102">
            <w:pPr>
              <w:widowControl w:val="0"/>
              <w:ind w:left="28" w:hanging="14"/>
              <w:jc w:val="both"/>
              <w:rPr>
                <w:sz w:val="18"/>
                <w:szCs w:val="18"/>
              </w:rPr>
            </w:pPr>
            <w:r w:rsidRPr="00604C75">
              <w:rPr>
                <w:noProof/>
                <w:sz w:val="18"/>
                <w:szCs w:val="18"/>
              </w:rPr>
              <w:t>Additional Provision for Loans and Receivables with  Extended Maturities</w:t>
            </w:r>
          </w:p>
        </w:tc>
        <w:tc>
          <w:tcPr>
            <w:tcW w:w="2589" w:type="dxa"/>
            <w:vAlign w:val="bottom"/>
          </w:tcPr>
          <w:p w14:paraId="2108C754" w14:textId="31A732B5" w:rsidR="00224102" w:rsidRPr="00434F28" w:rsidRDefault="00224102" w:rsidP="00224102">
            <w:pPr>
              <w:jc w:val="right"/>
              <w:rPr>
                <w:sz w:val="18"/>
                <w:szCs w:val="18"/>
              </w:rPr>
            </w:pPr>
            <w:r w:rsidRPr="00434F28">
              <w:rPr>
                <w:sz w:val="18"/>
                <w:szCs w:val="18"/>
              </w:rPr>
              <w:t xml:space="preserve">             1,406    </w:t>
            </w:r>
          </w:p>
        </w:tc>
        <w:tc>
          <w:tcPr>
            <w:tcW w:w="2338" w:type="dxa"/>
            <w:vAlign w:val="bottom"/>
          </w:tcPr>
          <w:p w14:paraId="68D3B715" w14:textId="223C8AFA" w:rsidR="00224102" w:rsidRPr="00C34D50" w:rsidRDefault="00224102" w:rsidP="00224102">
            <w:pPr>
              <w:ind w:right="87"/>
              <w:jc w:val="right"/>
              <w:rPr>
                <w:sz w:val="18"/>
                <w:szCs w:val="18"/>
              </w:rPr>
            </w:pPr>
            <w:r>
              <w:rPr>
                <w:sz w:val="18"/>
                <w:szCs w:val="18"/>
              </w:rPr>
              <w:t>6,380</w:t>
            </w:r>
          </w:p>
        </w:tc>
      </w:tr>
      <w:tr w:rsidR="00224102" w:rsidRPr="00604C75" w14:paraId="3B0F3674" w14:textId="77777777" w:rsidTr="00461434">
        <w:trPr>
          <w:trHeight w:val="218"/>
        </w:trPr>
        <w:tc>
          <w:tcPr>
            <w:tcW w:w="4520" w:type="dxa"/>
            <w:shd w:val="clear" w:color="auto" w:fill="FFFFFF"/>
            <w:vAlign w:val="center"/>
          </w:tcPr>
          <w:p w14:paraId="779C428D" w14:textId="77777777" w:rsidR="00224102" w:rsidRPr="00604C75" w:rsidRDefault="00224102" w:rsidP="00224102">
            <w:pPr>
              <w:widowControl w:val="0"/>
              <w:ind w:left="28" w:hanging="14"/>
              <w:jc w:val="both"/>
              <w:rPr>
                <w:noProof/>
                <w:sz w:val="18"/>
                <w:szCs w:val="18"/>
              </w:rPr>
            </w:pPr>
            <w:r w:rsidRPr="00604C75">
              <w:rPr>
                <w:noProof/>
                <w:sz w:val="18"/>
                <w:szCs w:val="18"/>
              </w:rPr>
              <w:t>Provisions for Group II Loans and Receivables</w:t>
            </w:r>
          </w:p>
        </w:tc>
        <w:tc>
          <w:tcPr>
            <w:tcW w:w="2589" w:type="dxa"/>
            <w:vAlign w:val="bottom"/>
          </w:tcPr>
          <w:p w14:paraId="40B220D2" w14:textId="7D2D9545" w:rsidR="00224102" w:rsidRPr="00434F28" w:rsidRDefault="00224102" w:rsidP="00224102">
            <w:pPr>
              <w:jc w:val="right"/>
              <w:rPr>
                <w:sz w:val="18"/>
                <w:szCs w:val="18"/>
              </w:rPr>
            </w:pPr>
            <w:r w:rsidRPr="00434F28">
              <w:rPr>
                <w:sz w:val="18"/>
                <w:szCs w:val="18"/>
              </w:rPr>
              <w:t xml:space="preserve">             3,645    </w:t>
            </w:r>
          </w:p>
        </w:tc>
        <w:tc>
          <w:tcPr>
            <w:tcW w:w="2338" w:type="dxa"/>
            <w:vAlign w:val="bottom"/>
          </w:tcPr>
          <w:p w14:paraId="0CA1ED09" w14:textId="051B773F" w:rsidR="00224102" w:rsidRPr="00C34D50" w:rsidRDefault="00224102" w:rsidP="00224102">
            <w:pPr>
              <w:ind w:right="87"/>
              <w:jc w:val="right"/>
              <w:rPr>
                <w:sz w:val="18"/>
                <w:szCs w:val="18"/>
              </w:rPr>
            </w:pPr>
            <w:r w:rsidRPr="00C34D50">
              <w:rPr>
                <w:sz w:val="18"/>
                <w:szCs w:val="18"/>
              </w:rPr>
              <w:t>3,651</w:t>
            </w:r>
          </w:p>
        </w:tc>
      </w:tr>
      <w:tr w:rsidR="00224102" w:rsidRPr="00604C75" w14:paraId="355D93EB" w14:textId="77777777" w:rsidTr="00461434">
        <w:trPr>
          <w:trHeight w:val="218"/>
        </w:trPr>
        <w:tc>
          <w:tcPr>
            <w:tcW w:w="4520" w:type="dxa"/>
            <w:shd w:val="clear" w:color="auto" w:fill="FFFFFF"/>
            <w:vAlign w:val="center"/>
          </w:tcPr>
          <w:p w14:paraId="51A8E538" w14:textId="77777777" w:rsidR="00224102" w:rsidRPr="00604C75" w:rsidRDefault="00224102" w:rsidP="00224102">
            <w:pPr>
              <w:widowControl w:val="0"/>
              <w:ind w:left="28" w:hanging="14"/>
              <w:jc w:val="both"/>
              <w:rPr>
                <w:noProof/>
                <w:sz w:val="18"/>
                <w:szCs w:val="18"/>
              </w:rPr>
            </w:pPr>
            <w:r w:rsidRPr="00604C75">
              <w:rPr>
                <w:noProof/>
                <w:sz w:val="18"/>
                <w:szCs w:val="18"/>
              </w:rPr>
              <w:t>Additional Provision for Loans and Receivables with Extended Maturities</w:t>
            </w:r>
          </w:p>
        </w:tc>
        <w:tc>
          <w:tcPr>
            <w:tcW w:w="2589" w:type="dxa"/>
            <w:vAlign w:val="bottom"/>
          </w:tcPr>
          <w:p w14:paraId="576E7075" w14:textId="4F2E15D8" w:rsidR="00224102" w:rsidRPr="00434F28" w:rsidRDefault="00224102" w:rsidP="00224102">
            <w:pPr>
              <w:jc w:val="right"/>
              <w:rPr>
                <w:sz w:val="18"/>
                <w:szCs w:val="18"/>
              </w:rPr>
            </w:pPr>
            <w:r w:rsidRPr="00434F28">
              <w:rPr>
                <w:sz w:val="18"/>
                <w:szCs w:val="18"/>
              </w:rPr>
              <w:t xml:space="preserve">            15,487    </w:t>
            </w:r>
          </w:p>
        </w:tc>
        <w:tc>
          <w:tcPr>
            <w:tcW w:w="2338" w:type="dxa"/>
            <w:vAlign w:val="bottom"/>
          </w:tcPr>
          <w:p w14:paraId="42DD0D8C" w14:textId="0BA82755" w:rsidR="00224102" w:rsidRPr="00C34D50" w:rsidRDefault="00224102" w:rsidP="00224102">
            <w:pPr>
              <w:ind w:right="87"/>
              <w:jc w:val="right"/>
              <w:rPr>
                <w:sz w:val="18"/>
                <w:szCs w:val="18"/>
              </w:rPr>
            </w:pPr>
            <w:r>
              <w:rPr>
                <w:sz w:val="18"/>
                <w:szCs w:val="18"/>
              </w:rPr>
              <w:t>-</w:t>
            </w:r>
          </w:p>
        </w:tc>
      </w:tr>
      <w:tr w:rsidR="00224102" w:rsidRPr="00604C75" w14:paraId="53BDD676" w14:textId="77777777" w:rsidTr="00461434">
        <w:trPr>
          <w:trHeight w:val="218"/>
        </w:trPr>
        <w:tc>
          <w:tcPr>
            <w:tcW w:w="4520" w:type="dxa"/>
            <w:shd w:val="clear" w:color="auto" w:fill="FFFFFF"/>
            <w:vAlign w:val="center"/>
          </w:tcPr>
          <w:p w14:paraId="620072F7" w14:textId="77777777" w:rsidR="00224102" w:rsidRPr="00604C75" w:rsidRDefault="00224102" w:rsidP="00224102">
            <w:pPr>
              <w:widowControl w:val="0"/>
              <w:ind w:left="28" w:hanging="14"/>
              <w:jc w:val="both"/>
              <w:rPr>
                <w:noProof/>
                <w:sz w:val="18"/>
                <w:szCs w:val="18"/>
              </w:rPr>
            </w:pPr>
            <w:r w:rsidRPr="00604C75">
              <w:rPr>
                <w:noProof/>
                <w:sz w:val="18"/>
                <w:szCs w:val="18"/>
              </w:rPr>
              <w:t>Provisions for Non-Cash Loans</w:t>
            </w:r>
          </w:p>
        </w:tc>
        <w:tc>
          <w:tcPr>
            <w:tcW w:w="2589" w:type="dxa"/>
            <w:vAlign w:val="bottom"/>
          </w:tcPr>
          <w:p w14:paraId="46474A57" w14:textId="20481288" w:rsidR="00224102" w:rsidRPr="00434F28" w:rsidRDefault="00224102" w:rsidP="00224102">
            <w:pPr>
              <w:jc w:val="right"/>
              <w:rPr>
                <w:sz w:val="18"/>
                <w:szCs w:val="18"/>
              </w:rPr>
            </w:pPr>
            <w:r w:rsidRPr="00434F28">
              <w:rPr>
                <w:sz w:val="18"/>
                <w:szCs w:val="18"/>
              </w:rPr>
              <w:t xml:space="preserve">             8,571    </w:t>
            </w:r>
          </w:p>
        </w:tc>
        <w:tc>
          <w:tcPr>
            <w:tcW w:w="2338" w:type="dxa"/>
            <w:vAlign w:val="bottom"/>
          </w:tcPr>
          <w:p w14:paraId="37FBD8ED" w14:textId="5F130758" w:rsidR="00224102" w:rsidRPr="00C34D50" w:rsidRDefault="00224102" w:rsidP="00224102">
            <w:pPr>
              <w:ind w:right="87"/>
              <w:jc w:val="right"/>
              <w:rPr>
                <w:sz w:val="18"/>
                <w:szCs w:val="18"/>
              </w:rPr>
            </w:pPr>
            <w:r w:rsidRPr="00C34D50">
              <w:rPr>
                <w:sz w:val="18"/>
                <w:szCs w:val="18"/>
              </w:rPr>
              <w:t>5,953</w:t>
            </w:r>
          </w:p>
        </w:tc>
      </w:tr>
      <w:tr w:rsidR="00224102" w:rsidRPr="00604C75" w14:paraId="43C96B38" w14:textId="77777777" w:rsidTr="00461434">
        <w:trPr>
          <w:trHeight w:val="218"/>
        </w:trPr>
        <w:tc>
          <w:tcPr>
            <w:tcW w:w="4520" w:type="dxa"/>
            <w:shd w:val="clear" w:color="auto" w:fill="FFFFFF"/>
            <w:vAlign w:val="center"/>
          </w:tcPr>
          <w:p w14:paraId="34D948F4" w14:textId="77777777" w:rsidR="00224102" w:rsidRPr="00604C75" w:rsidRDefault="00224102" w:rsidP="00224102">
            <w:pPr>
              <w:widowControl w:val="0"/>
              <w:ind w:left="28" w:hanging="14"/>
              <w:jc w:val="both"/>
              <w:rPr>
                <w:noProof/>
                <w:sz w:val="18"/>
                <w:szCs w:val="18"/>
              </w:rPr>
            </w:pPr>
            <w:r w:rsidRPr="00604C75">
              <w:rPr>
                <w:noProof/>
                <w:sz w:val="18"/>
                <w:szCs w:val="18"/>
              </w:rPr>
              <w:t>Other</w:t>
            </w:r>
          </w:p>
        </w:tc>
        <w:tc>
          <w:tcPr>
            <w:tcW w:w="2589" w:type="dxa"/>
            <w:vAlign w:val="bottom"/>
          </w:tcPr>
          <w:p w14:paraId="0ED09B8D" w14:textId="3E825ECF" w:rsidR="00224102" w:rsidRPr="00434F28" w:rsidRDefault="00224102" w:rsidP="00224102">
            <w:pPr>
              <w:jc w:val="right"/>
              <w:rPr>
                <w:sz w:val="18"/>
                <w:szCs w:val="18"/>
              </w:rPr>
            </w:pPr>
            <w:r w:rsidRPr="00434F28">
              <w:rPr>
                <w:sz w:val="18"/>
                <w:szCs w:val="18"/>
              </w:rPr>
              <w:t xml:space="preserve">             3,140    </w:t>
            </w:r>
          </w:p>
        </w:tc>
        <w:tc>
          <w:tcPr>
            <w:tcW w:w="2338" w:type="dxa"/>
            <w:vAlign w:val="bottom"/>
          </w:tcPr>
          <w:p w14:paraId="73EC1AB4" w14:textId="7102B783" w:rsidR="00224102" w:rsidRPr="00C34D50" w:rsidRDefault="00224102" w:rsidP="00224102">
            <w:pPr>
              <w:ind w:right="87"/>
              <w:jc w:val="right"/>
              <w:rPr>
                <w:sz w:val="18"/>
                <w:szCs w:val="18"/>
              </w:rPr>
            </w:pPr>
            <w:r w:rsidRPr="00C34D50">
              <w:rPr>
                <w:sz w:val="18"/>
                <w:szCs w:val="18"/>
              </w:rPr>
              <w:t>694</w:t>
            </w:r>
          </w:p>
        </w:tc>
      </w:tr>
      <w:tr w:rsidR="00224102" w:rsidRPr="00604C75" w14:paraId="6683B95A" w14:textId="77777777" w:rsidTr="00461434">
        <w:trPr>
          <w:trHeight w:val="222"/>
        </w:trPr>
        <w:tc>
          <w:tcPr>
            <w:tcW w:w="4520" w:type="dxa"/>
            <w:shd w:val="clear" w:color="auto" w:fill="FFFFFF"/>
            <w:vAlign w:val="bottom"/>
          </w:tcPr>
          <w:p w14:paraId="212318B0" w14:textId="77777777" w:rsidR="00224102" w:rsidRPr="00604C75" w:rsidRDefault="00224102" w:rsidP="00224102">
            <w:pPr>
              <w:rPr>
                <w:b/>
                <w:sz w:val="18"/>
                <w:szCs w:val="18"/>
              </w:rPr>
            </w:pPr>
            <w:r w:rsidRPr="00604C75">
              <w:rPr>
                <w:b/>
                <w:sz w:val="18"/>
                <w:szCs w:val="18"/>
              </w:rPr>
              <w:t>Total</w:t>
            </w:r>
          </w:p>
        </w:tc>
        <w:tc>
          <w:tcPr>
            <w:tcW w:w="2589" w:type="dxa"/>
            <w:vAlign w:val="bottom"/>
          </w:tcPr>
          <w:p w14:paraId="5A76ED81" w14:textId="10E3C39F" w:rsidR="00224102" w:rsidRPr="00F812E4" w:rsidRDefault="00224102" w:rsidP="00224102">
            <w:pPr>
              <w:jc w:val="right"/>
              <w:rPr>
                <w:b/>
                <w:bCs/>
                <w:sz w:val="18"/>
                <w:szCs w:val="18"/>
              </w:rPr>
            </w:pPr>
            <w:r>
              <w:rPr>
                <w:b/>
                <w:bCs/>
                <w:sz w:val="18"/>
                <w:szCs w:val="18"/>
              </w:rPr>
              <w:t>93,386</w:t>
            </w:r>
          </w:p>
        </w:tc>
        <w:tc>
          <w:tcPr>
            <w:tcW w:w="2338" w:type="dxa"/>
            <w:vAlign w:val="bottom"/>
          </w:tcPr>
          <w:p w14:paraId="1F825857" w14:textId="496F847F" w:rsidR="00224102" w:rsidRPr="00C34D50" w:rsidRDefault="00224102" w:rsidP="00224102">
            <w:pPr>
              <w:ind w:right="87"/>
              <w:jc w:val="right"/>
              <w:rPr>
                <w:b/>
                <w:sz w:val="18"/>
                <w:szCs w:val="18"/>
              </w:rPr>
            </w:pPr>
            <w:r w:rsidRPr="00C34D50">
              <w:rPr>
                <w:b/>
                <w:sz w:val="18"/>
                <w:szCs w:val="18"/>
              </w:rPr>
              <w:t>62,858</w:t>
            </w:r>
          </w:p>
        </w:tc>
      </w:tr>
    </w:tbl>
    <w:p w14:paraId="2146CF22" w14:textId="77777777" w:rsidR="0044575F" w:rsidRPr="00604C75" w:rsidRDefault="0044575F" w:rsidP="000110A9">
      <w:pPr>
        <w:pStyle w:val="BodyTextIndent"/>
        <w:spacing w:before="120"/>
        <w:ind w:left="426" w:hanging="426"/>
        <w:rPr>
          <w:sz w:val="20"/>
          <w:szCs w:val="20"/>
        </w:rPr>
      </w:pPr>
      <w:r w:rsidRPr="00604C75">
        <w:rPr>
          <w:sz w:val="20"/>
          <w:szCs w:val="20"/>
        </w:rPr>
        <w:t>2.</w:t>
      </w:r>
      <w:r w:rsidRPr="00604C75">
        <w:rPr>
          <w:sz w:val="20"/>
          <w:szCs w:val="20"/>
        </w:rPr>
        <w:tab/>
      </w:r>
      <w:r w:rsidRPr="00604C75">
        <w:rPr>
          <w:noProof/>
          <w:sz w:val="20"/>
          <w:szCs w:val="20"/>
        </w:rPr>
        <w:t>Information on reserve for employment termination benefits</w:t>
      </w:r>
    </w:p>
    <w:p w14:paraId="6EA68BDF" w14:textId="21BA3E84" w:rsidR="0044575F" w:rsidRPr="00604C75" w:rsidRDefault="0044575F" w:rsidP="00AD726D">
      <w:pPr>
        <w:pStyle w:val="BodyTextIndent"/>
        <w:spacing w:after="0"/>
        <w:ind w:left="0"/>
        <w:jc w:val="both"/>
        <w:rPr>
          <w:bCs/>
          <w:sz w:val="20"/>
          <w:szCs w:val="20"/>
        </w:rPr>
      </w:pPr>
      <w:r w:rsidRPr="00CD0767">
        <w:rPr>
          <w:noProof/>
          <w:sz w:val="20"/>
          <w:szCs w:val="20"/>
        </w:rPr>
        <w:t xml:space="preserve">In accordance with Turkish Labour Law, the reserve has been calculated by estimating the present value of the future probable obligation of the </w:t>
      </w:r>
      <w:r w:rsidR="0015773F" w:rsidRPr="00CD0767">
        <w:rPr>
          <w:noProof/>
          <w:sz w:val="20"/>
          <w:szCs w:val="20"/>
        </w:rPr>
        <w:t>Group</w:t>
      </w:r>
      <w:r w:rsidRPr="00CD0767">
        <w:rPr>
          <w:noProof/>
          <w:sz w:val="20"/>
          <w:szCs w:val="20"/>
        </w:rPr>
        <w:t xml:space="preserve"> arising from the retirement of its employees.</w:t>
      </w:r>
      <w:r w:rsidRPr="00CD0767">
        <w:rPr>
          <w:bCs/>
          <w:sz w:val="20"/>
          <w:szCs w:val="20"/>
        </w:rPr>
        <w:t xml:space="preserve"> </w:t>
      </w:r>
      <w:r w:rsidR="00132819" w:rsidRPr="00132819">
        <w:rPr>
          <w:bCs/>
          <w:sz w:val="20"/>
          <w:szCs w:val="20"/>
        </w:rPr>
        <w:t xml:space="preserve">Actuarial gains </w:t>
      </w:r>
      <w:r w:rsidR="00991C34">
        <w:rPr>
          <w:bCs/>
          <w:sz w:val="20"/>
          <w:szCs w:val="20"/>
        </w:rPr>
        <w:t>and losses amounting to TL 1,</w:t>
      </w:r>
      <w:r w:rsidR="00EB2A5F">
        <w:rPr>
          <w:bCs/>
          <w:sz w:val="20"/>
          <w:szCs w:val="20"/>
        </w:rPr>
        <w:t>90</w:t>
      </w:r>
      <w:r w:rsidR="00991C34">
        <w:rPr>
          <w:bCs/>
          <w:sz w:val="20"/>
          <w:szCs w:val="20"/>
        </w:rPr>
        <w:t>4</w:t>
      </w:r>
      <w:r w:rsidR="00132819" w:rsidRPr="00132819">
        <w:rPr>
          <w:bCs/>
          <w:sz w:val="20"/>
          <w:szCs w:val="20"/>
        </w:rPr>
        <w:t xml:space="preserve"> occurred at or after 1 January 2015 are accounted for under the equity according to the revised</w:t>
      </w:r>
      <w:r w:rsidR="00BD412B">
        <w:rPr>
          <w:bCs/>
          <w:sz w:val="20"/>
          <w:szCs w:val="20"/>
        </w:rPr>
        <w:t xml:space="preserve"> </w:t>
      </w:r>
      <w:r w:rsidRPr="00CD0767">
        <w:rPr>
          <w:noProof/>
          <w:sz w:val="20"/>
          <w:szCs w:val="20"/>
        </w:rPr>
        <w:t xml:space="preserve">TAS 19 </w:t>
      </w:r>
      <w:r w:rsidR="00BD412B">
        <w:rPr>
          <w:noProof/>
          <w:sz w:val="20"/>
          <w:szCs w:val="20"/>
        </w:rPr>
        <w:t>stardard.</w:t>
      </w:r>
    </w:p>
    <w:p w14:paraId="0650EB1E" w14:textId="77777777" w:rsidR="0044575F" w:rsidRPr="00604C75" w:rsidRDefault="0044575F" w:rsidP="008754DF">
      <w:pPr>
        <w:pStyle w:val="BodyTextIndent"/>
        <w:spacing w:after="0"/>
        <w:ind w:left="1246" w:hanging="1260"/>
        <w:rPr>
          <w:sz w:val="20"/>
          <w:szCs w:val="20"/>
        </w:rPr>
      </w:pPr>
    </w:p>
    <w:p w14:paraId="6958902C" w14:textId="77777777" w:rsidR="008754DF" w:rsidRPr="00604C75" w:rsidRDefault="008754DF" w:rsidP="00C22AF8">
      <w:pPr>
        <w:pStyle w:val="BodyTextIndent"/>
        <w:spacing w:after="0"/>
        <w:ind w:left="1260"/>
        <w:rPr>
          <w:rStyle w:val="hps"/>
          <w:color w:val="222222"/>
          <w:sz w:val="20"/>
          <w:szCs w:val="20"/>
        </w:rPr>
      </w:pPr>
    </w:p>
    <w:p w14:paraId="059FE39F" w14:textId="77777777" w:rsidR="008754DF" w:rsidRPr="00604C75" w:rsidRDefault="008754DF" w:rsidP="00C22AF8">
      <w:pPr>
        <w:pStyle w:val="BodyTextIndent"/>
        <w:spacing w:after="0"/>
        <w:ind w:left="1260"/>
        <w:rPr>
          <w:rStyle w:val="hps"/>
          <w:color w:val="222222"/>
          <w:sz w:val="20"/>
          <w:szCs w:val="20"/>
        </w:rPr>
      </w:pPr>
    </w:p>
    <w:p w14:paraId="61EBF2FF" w14:textId="77777777" w:rsidR="008754DF" w:rsidRPr="00604C75" w:rsidRDefault="008754DF" w:rsidP="00C22AF8">
      <w:pPr>
        <w:pStyle w:val="BodyTextIndent"/>
        <w:spacing w:after="0"/>
        <w:ind w:left="1260"/>
        <w:rPr>
          <w:rStyle w:val="hps"/>
          <w:color w:val="222222"/>
          <w:sz w:val="20"/>
          <w:szCs w:val="20"/>
        </w:rPr>
      </w:pPr>
    </w:p>
    <w:p w14:paraId="33D60F3B" w14:textId="77777777" w:rsidR="008754DF" w:rsidRPr="00604C75" w:rsidRDefault="008754DF" w:rsidP="00C22AF8">
      <w:pPr>
        <w:pStyle w:val="BodyTextIndent"/>
        <w:spacing w:after="0"/>
        <w:ind w:left="1260"/>
        <w:rPr>
          <w:rStyle w:val="hps"/>
          <w:color w:val="222222"/>
          <w:sz w:val="20"/>
          <w:szCs w:val="20"/>
        </w:rPr>
      </w:pPr>
    </w:p>
    <w:p w14:paraId="3613282B" w14:textId="74A175D6" w:rsidR="00F8053C"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412B3826" w14:textId="4A09A55A" w:rsidR="00F8053C" w:rsidRPr="00604C75" w:rsidRDefault="00F8053C" w:rsidP="00490153">
      <w:pPr>
        <w:pStyle w:val="Heading2"/>
        <w:tabs>
          <w:tab w:val="left" w:pos="709"/>
        </w:tabs>
        <w:ind w:left="426" w:hanging="426"/>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647320" w:rsidRPr="00604C75">
        <w:rPr>
          <w:rFonts w:ascii="Times New Roman" w:hAnsi="Times New Roman"/>
          <w:noProof/>
          <w:sz w:val="20"/>
        </w:rPr>
        <w:t xml:space="preserve">Explanations and Notes </w:t>
      </w:r>
      <w:r w:rsidR="00647320">
        <w:rPr>
          <w:rFonts w:ascii="Times New Roman" w:hAnsi="Times New Roman"/>
          <w:noProof/>
          <w:sz w:val="20"/>
        </w:rPr>
        <w:t>on</w:t>
      </w:r>
      <w:r w:rsidR="00647320" w:rsidRPr="00604C75">
        <w:rPr>
          <w:rFonts w:ascii="Times New Roman" w:hAnsi="Times New Roman"/>
          <w:noProof/>
          <w:sz w:val="20"/>
        </w:rPr>
        <w:t xml:space="preserve"> Liabilities</w:t>
      </w:r>
      <w:r w:rsidR="00647320" w:rsidRPr="00604C75">
        <w:rPr>
          <w:rFonts w:ascii="Times New Roman" w:hAnsi="Times New Roman"/>
          <w:bCs/>
          <w:sz w:val="20"/>
        </w:rPr>
        <w:t xml:space="preserve"> </w:t>
      </w:r>
      <w:r w:rsidRPr="00604C75">
        <w:rPr>
          <w:rFonts w:ascii="Times New Roman" w:hAnsi="Times New Roman"/>
          <w:bCs/>
          <w:sz w:val="20"/>
        </w:rPr>
        <w:t>(Continued)</w:t>
      </w:r>
    </w:p>
    <w:p w14:paraId="0DF8D50A" w14:textId="77777777" w:rsidR="00F8053C" w:rsidRPr="00604C75" w:rsidRDefault="00F8053C" w:rsidP="00490153">
      <w:pPr>
        <w:pStyle w:val="BodyTextIndent"/>
        <w:spacing w:before="120" w:after="0"/>
        <w:ind w:left="426" w:hanging="426"/>
        <w:rPr>
          <w:sz w:val="20"/>
          <w:szCs w:val="20"/>
        </w:rPr>
      </w:pPr>
      <w:r w:rsidRPr="00604C75">
        <w:rPr>
          <w:b/>
          <w:sz w:val="20"/>
          <w:szCs w:val="20"/>
        </w:rPr>
        <w:t>g.</w:t>
      </w:r>
      <w:r w:rsidRPr="00604C75">
        <w:rPr>
          <w:b/>
          <w:sz w:val="20"/>
          <w:szCs w:val="20"/>
        </w:rPr>
        <w:tab/>
      </w:r>
      <w:r w:rsidRPr="00604C75">
        <w:rPr>
          <w:b/>
          <w:bCs/>
          <w:noProof/>
          <w:sz w:val="20"/>
          <w:szCs w:val="20"/>
        </w:rPr>
        <w:t xml:space="preserve">Information on provisions </w:t>
      </w:r>
      <w:r w:rsidRPr="00604C75">
        <w:rPr>
          <w:b/>
          <w:bCs/>
          <w:sz w:val="20"/>
          <w:szCs w:val="20"/>
        </w:rPr>
        <w:t>(Continued)</w:t>
      </w:r>
    </w:p>
    <w:p w14:paraId="21BF7B1E" w14:textId="77777777" w:rsidR="00F8053C" w:rsidRPr="00604C75" w:rsidRDefault="00F8053C" w:rsidP="00490153">
      <w:pPr>
        <w:pStyle w:val="BodyTextIndent"/>
        <w:spacing w:before="120" w:after="0"/>
        <w:ind w:left="426" w:hanging="426"/>
        <w:rPr>
          <w:sz w:val="20"/>
          <w:szCs w:val="20"/>
        </w:rPr>
      </w:pPr>
      <w:r w:rsidRPr="00604C75">
        <w:rPr>
          <w:sz w:val="20"/>
          <w:szCs w:val="20"/>
        </w:rPr>
        <w:t>2.</w:t>
      </w:r>
      <w:r w:rsidRPr="00604C75">
        <w:rPr>
          <w:sz w:val="20"/>
          <w:szCs w:val="20"/>
        </w:rPr>
        <w:tab/>
      </w:r>
      <w:r w:rsidRPr="00604C75">
        <w:rPr>
          <w:noProof/>
          <w:sz w:val="20"/>
          <w:szCs w:val="20"/>
        </w:rPr>
        <w:t>Information on reserve for employment termination benefits</w:t>
      </w:r>
      <w:r w:rsidRPr="00604C75">
        <w:rPr>
          <w:bCs/>
          <w:sz w:val="20"/>
          <w:szCs w:val="20"/>
        </w:rPr>
        <w:t xml:space="preserve"> (Continued)</w:t>
      </w:r>
    </w:p>
    <w:p w14:paraId="15282394" w14:textId="0C537DFF" w:rsidR="0044575F" w:rsidRPr="00A02CD2" w:rsidRDefault="0044575F" w:rsidP="00A02CD2">
      <w:pPr>
        <w:pStyle w:val="BodyTextIndent"/>
        <w:spacing w:before="120"/>
        <w:ind w:left="0"/>
        <w:rPr>
          <w:bCs/>
          <w:sz w:val="20"/>
          <w:szCs w:val="20"/>
        </w:rPr>
      </w:pPr>
      <w:r w:rsidRPr="00604C75">
        <w:rPr>
          <w:rStyle w:val="hps"/>
          <w:sz w:val="20"/>
          <w:szCs w:val="20"/>
        </w:rPr>
        <w:t xml:space="preserve">Following </w:t>
      </w:r>
      <w:r w:rsidR="006F341E" w:rsidRPr="00604C75">
        <w:rPr>
          <w:rStyle w:val="hps"/>
          <w:sz w:val="20"/>
          <w:szCs w:val="20"/>
        </w:rPr>
        <w:t>actuarial</w:t>
      </w:r>
      <w:r w:rsidRPr="00604C75">
        <w:rPr>
          <w:rStyle w:val="hps"/>
          <w:sz w:val="20"/>
          <w:szCs w:val="20"/>
        </w:rPr>
        <w:t xml:space="preserve"> assumptions were used in the calculation of total </w:t>
      </w:r>
      <w:r w:rsidR="006F341E" w:rsidRPr="00604C75">
        <w:rPr>
          <w:rStyle w:val="hps"/>
          <w:sz w:val="20"/>
          <w:szCs w:val="20"/>
        </w:rPr>
        <w:t>liabilities</w:t>
      </w:r>
      <w:r w:rsidRPr="00604C75">
        <w:rPr>
          <w:rStyle w:val="hps"/>
          <w:sz w:val="20"/>
          <w:szCs w:val="20"/>
        </w:rPr>
        <w:t>.</w:t>
      </w: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93"/>
        <w:gridCol w:w="2622"/>
        <w:gridCol w:w="2422"/>
      </w:tblGrid>
      <w:tr w:rsidR="0044575F" w:rsidRPr="00604C75" w14:paraId="5FBACA28" w14:textId="77777777" w:rsidTr="00CD0767">
        <w:trPr>
          <w:trHeight w:val="255"/>
        </w:trPr>
        <w:tc>
          <w:tcPr>
            <w:tcW w:w="4293" w:type="dxa"/>
            <w:shd w:val="clear" w:color="auto" w:fill="FFFFFF"/>
            <w:vAlign w:val="bottom"/>
          </w:tcPr>
          <w:p w14:paraId="3FE9B1DE" w14:textId="77777777" w:rsidR="0044575F" w:rsidRPr="00604C75" w:rsidRDefault="0044575F" w:rsidP="00C22AF8">
            <w:pPr>
              <w:ind w:left="1440"/>
              <w:jc w:val="both"/>
              <w:rPr>
                <w:rFonts w:eastAsia="Arial Unicode MS"/>
                <w:b/>
                <w:sz w:val="18"/>
                <w:szCs w:val="18"/>
              </w:rPr>
            </w:pPr>
          </w:p>
        </w:tc>
        <w:tc>
          <w:tcPr>
            <w:tcW w:w="2622" w:type="dxa"/>
            <w:shd w:val="clear" w:color="auto" w:fill="FFFFFF"/>
            <w:vAlign w:val="bottom"/>
          </w:tcPr>
          <w:p w14:paraId="035967F8" w14:textId="77777777" w:rsidR="0044575F" w:rsidRPr="00604C75" w:rsidRDefault="00AD3AF9" w:rsidP="00CD0767">
            <w:pPr>
              <w:ind w:left="360" w:right="33"/>
              <w:jc w:val="center"/>
              <w:rPr>
                <w:b/>
                <w:sz w:val="18"/>
              </w:rPr>
            </w:pPr>
            <w:r>
              <w:rPr>
                <w:b/>
                <w:bCs/>
                <w:sz w:val="18"/>
                <w:szCs w:val="18"/>
                <w:lang w:val="tr-TR"/>
              </w:rPr>
              <w:t>31 December</w:t>
            </w:r>
            <w:r w:rsidRPr="00604C75">
              <w:rPr>
                <w:b/>
                <w:bCs/>
                <w:sz w:val="18"/>
                <w:szCs w:val="18"/>
                <w:lang w:val="tr-TR"/>
              </w:rPr>
              <w:t xml:space="preserve"> 2015</w:t>
            </w:r>
          </w:p>
        </w:tc>
        <w:tc>
          <w:tcPr>
            <w:tcW w:w="2422" w:type="dxa"/>
            <w:shd w:val="clear" w:color="auto" w:fill="FFFFFF"/>
            <w:vAlign w:val="bottom"/>
          </w:tcPr>
          <w:p w14:paraId="17F6522A" w14:textId="77777777" w:rsidR="0044575F" w:rsidRPr="00604C75" w:rsidRDefault="0044575F" w:rsidP="00CD0767">
            <w:pPr>
              <w:ind w:left="720" w:right="33"/>
              <w:jc w:val="center"/>
              <w:rPr>
                <w:rFonts w:eastAsia="Arial Unicode MS"/>
                <w:b/>
                <w:sz w:val="18"/>
              </w:rPr>
            </w:pPr>
            <w:r w:rsidRPr="00604C75">
              <w:rPr>
                <w:b/>
                <w:sz w:val="18"/>
              </w:rPr>
              <w:t xml:space="preserve">31 </w:t>
            </w:r>
            <w:r w:rsidR="00F8053C" w:rsidRPr="00604C75">
              <w:rPr>
                <w:b/>
                <w:sz w:val="18"/>
              </w:rPr>
              <w:t xml:space="preserve">December </w:t>
            </w:r>
            <w:r w:rsidRPr="00604C75">
              <w:rPr>
                <w:b/>
                <w:sz w:val="18"/>
              </w:rPr>
              <w:t>201</w:t>
            </w:r>
            <w:r w:rsidR="00F8053C" w:rsidRPr="00604C75">
              <w:rPr>
                <w:b/>
                <w:sz w:val="18"/>
              </w:rPr>
              <w:t>4</w:t>
            </w:r>
          </w:p>
        </w:tc>
      </w:tr>
      <w:tr w:rsidR="003A5746" w:rsidRPr="00604C75" w14:paraId="0205D032" w14:textId="77777777" w:rsidTr="00AD726D">
        <w:trPr>
          <w:trHeight w:val="255"/>
        </w:trPr>
        <w:tc>
          <w:tcPr>
            <w:tcW w:w="4293" w:type="dxa"/>
            <w:shd w:val="clear" w:color="auto" w:fill="FFFFFF"/>
            <w:vAlign w:val="bottom"/>
          </w:tcPr>
          <w:p w14:paraId="1BEA4384" w14:textId="74CFF00D" w:rsidR="003A5746" w:rsidRPr="00604C75" w:rsidRDefault="003A5746" w:rsidP="003A5746">
            <w:pPr>
              <w:jc w:val="both"/>
              <w:rPr>
                <w:rFonts w:eastAsia="Arial Unicode MS"/>
                <w:sz w:val="18"/>
                <w:szCs w:val="18"/>
              </w:rPr>
            </w:pPr>
            <w:r w:rsidRPr="00604C75">
              <w:rPr>
                <w:noProof/>
                <w:sz w:val="18"/>
                <w:szCs w:val="18"/>
              </w:rPr>
              <w:t xml:space="preserve">Discount </w:t>
            </w:r>
            <w:r w:rsidR="00BD412B">
              <w:rPr>
                <w:noProof/>
                <w:sz w:val="18"/>
                <w:szCs w:val="18"/>
              </w:rPr>
              <w:t>R</w:t>
            </w:r>
            <w:r w:rsidRPr="00604C75">
              <w:rPr>
                <w:noProof/>
                <w:sz w:val="18"/>
                <w:szCs w:val="18"/>
              </w:rPr>
              <w:t xml:space="preserve">ate </w:t>
            </w:r>
            <w:r w:rsidRPr="00604C75">
              <w:rPr>
                <w:rFonts w:eastAsia="Arial Unicode MS"/>
                <w:sz w:val="18"/>
                <w:szCs w:val="18"/>
              </w:rPr>
              <w:t>(%)</w:t>
            </w:r>
          </w:p>
        </w:tc>
        <w:tc>
          <w:tcPr>
            <w:tcW w:w="2622" w:type="dxa"/>
            <w:vAlign w:val="bottom"/>
          </w:tcPr>
          <w:p w14:paraId="052CD069" w14:textId="77777777" w:rsidR="003A5746" w:rsidRPr="00C97515" w:rsidRDefault="003A5746" w:rsidP="003A5746">
            <w:pPr>
              <w:ind w:right="84"/>
              <w:jc w:val="right"/>
              <w:rPr>
                <w:sz w:val="18"/>
                <w:szCs w:val="18"/>
              </w:rPr>
            </w:pPr>
            <w:r>
              <w:rPr>
                <w:sz w:val="18"/>
                <w:szCs w:val="18"/>
              </w:rPr>
              <w:t>3.18</w:t>
            </w:r>
          </w:p>
        </w:tc>
        <w:tc>
          <w:tcPr>
            <w:tcW w:w="2422" w:type="dxa"/>
            <w:vAlign w:val="bottom"/>
          </w:tcPr>
          <w:p w14:paraId="2343FB20" w14:textId="77777777" w:rsidR="003A5746" w:rsidRPr="00692926" w:rsidRDefault="003A5746" w:rsidP="003A5746">
            <w:pPr>
              <w:ind w:right="33"/>
              <w:jc w:val="right"/>
              <w:rPr>
                <w:rFonts w:eastAsia="Arial Unicode MS"/>
                <w:sz w:val="18"/>
                <w:szCs w:val="18"/>
              </w:rPr>
            </w:pPr>
            <w:r w:rsidRPr="00692926">
              <w:rPr>
                <w:rFonts w:eastAsia="Arial Unicode MS"/>
                <w:sz w:val="18"/>
                <w:szCs w:val="18"/>
              </w:rPr>
              <w:t>3.77</w:t>
            </w:r>
          </w:p>
        </w:tc>
      </w:tr>
      <w:tr w:rsidR="003A5746" w:rsidRPr="00604C75" w14:paraId="1B95291E" w14:textId="77777777" w:rsidTr="00AD726D">
        <w:trPr>
          <w:trHeight w:val="255"/>
        </w:trPr>
        <w:tc>
          <w:tcPr>
            <w:tcW w:w="4293" w:type="dxa"/>
            <w:shd w:val="clear" w:color="auto" w:fill="FFFFFF"/>
            <w:vAlign w:val="bottom"/>
          </w:tcPr>
          <w:p w14:paraId="3410D246" w14:textId="718DC065" w:rsidR="003A5746" w:rsidRPr="00604C75" w:rsidRDefault="003A5746" w:rsidP="003A5746">
            <w:pPr>
              <w:jc w:val="both"/>
              <w:rPr>
                <w:rFonts w:eastAsia="Arial Unicode MS"/>
                <w:sz w:val="18"/>
                <w:szCs w:val="18"/>
              </w:rPr>
            </w:pPr>
            <w:r w:rsidRPr="00604C75">
              <w:rPr>
                <w:sz w:val="18"/>
                <w:szCs w:val="18"/>
              </w:rPr>
              <w:t xml:space="preserve">Ratio used for </w:t>
            </w:r>
            <w:r w:rsidR="00BD412B">
              <w:rPr>
                <w:sz w:val="18"/>
                <w:szCs w:val="18"/>
              </w:rPr>
              <w:t>P</w:t>
            </w:r>
            <w:r w:rsidRPr="00604C75">
              <w:rPr>
                <w:sz w:val="18"/>
                <w:szCs w:val="18"/>
              </w:rPr>
              <w:t xml:space="preserve">robability of </w:t>
            </w:r>
            <w:r w:rsidR="00BD412B">
              <w:rPr>
                <w:sz w:val="18"/>
                <w:szCs w:val="18"/>
              </w:rPr>
              <w:t>P</w:t>
            </w:r>
            <w:r w:rsidRPr="00604C75">
              <w:rPr>
                <w:sz w:val="18"/>
                <w:szCs w:val="18"/>
              </w:rPr>
              <w:t>ension (%)</w:t>
            </w:r>
          </w:p>
        </w:tc>
        <w:tc>
          <w:tcPr>
            <w:tcW w:w="2622" w:type="dxa"/>
            <w:vAlign w:val="bottom"/>
          </w:tcPr>
          <w:p w14:paraId="045FA58C" w14:textId="77777777" w:rsidR="003A5746" w:rsidRPr="00C97515" w:rsidRDefault="003A5746" w:rsidP="003A5746">
            <w:pPr>
              <w:ind w:right="84"/>
              <w:jc w:val="right"/>
              <w:rPr>
                <w:sz w:val="18"/>
                <w:szCs w:val="18"/>
              </w:rPr>
            </w:pPr>
            <w:r>
              <w:rPr>
                <w:sz w:val="18"/>
                <w:szCs w:val="18"/>
              </w:rPr>
              <w:t>83.33</w:t>
            </w:r>
          </w:p>
        </w:tc>
        <w:tc>
          <w:tcPr>
            <w:tcW w:w="2422" w:type="dxa"/>
            <w:vAlign w:val="bottom"/>
          </w:tcPr>
          <w:p w14:paraId="645E955E" w14:textId="77777777" w:rsidR="003A5746" w:rsidRPr="00692926" w:rsidRDefault="003A5746" w:rsidP="003A5746">
            <w:pPr>
              <w:ind w:right="33"/>
              <w:jc w:val="right"/>
              <w:rPr>
                <w:rFonts w:eastAsia="Arial Unicode MS"/>
                <w:sz w:val="18"/>
                <w:szCs w:val="18"/>
              </w:rPr>
            </w:pPr>
            <w:r w:rsidRPr="00692926">
              <w:rPr>
                <w:rFonts w:eastAsia="Arial Unicode MS"/>
                <w:sz w:val="18"/>
                <w:szCs w:val="18"/>
              </w:rPr>
              <w:t>85.80</w:t>
            </w:r>
          </w:p>
        </w:tc>
      </w:tr>
    </w:tbl>
    <w:p w14:paraId="5DBDDD4F" w14:textId="40E31061" w:rsidR="0044575F" w:rsidRPr="00604C75" w:rsidRDefault="0044575F" w:rsidP="00A02CD2">
      <w:pPr>
        <w:pStyle w:val="BodyTextIndent"/>
        <w:spacing w:before="120"/>
        <w:ind w:left="0"/>
        <w:jc w:val="both"/>
        <w:rPr>
          <w:bCs/>
          <w:sz w:val="20"/>
          <w:szCs w:val="20"/>
        </w:rPr>
      </w:pPr>
      <w:r w:rsidRPr="00604C75">
        <w:rPr>
          <w:sz w:val="20"/>
          <w:szCs w:val="20"/>
        </w:rPr>
        <w:t>The principal actuarial assumption is that the maximum liability will increase in line with inflation. Thus, the discount rate applied represents the expected real rate after adjusting for the effects of future inflation.</w:t>
      </w:r>
      <w:r w:rsidRPr="00604C75">
        <w:rPr>
          <w:bCs/>
          <w:sz w:val="20"/>
          <w:szCs w:val="20"/>
        </w:rPr>
        <w:t xml:space="preserve"> </w:t>
      </w:r>
      <w:r w:rsidR="00E26B78">
        <w:rPr>
          <w:bCs/>
          <w:sz w:val="20"/>
          <w:szCs w:val="20"/>
        </w:rPr>
        <w:t>T</w:t>
      </w:r>
      <w:r w:rsidRPr="00604C75">
        <w:rPr>
          <w:bCs/>
          <w:sz w:val="20"/>
          <w:szCs w:val="20"/>
        </w:rPr>
        <w:t xml:space="preserve">he </w:t>
      </w:r>
      <w:r w:rsidR="00877CBD">
        <w:rPr>
          <w:bCs/>
          <w:sz w:val="20"/>
          <w:szCs w:val="20"/>
        </w:rPr>
        <w:t>cap</w:t>
      </w:r>
      <w:r w:rsidRPr="00604C75">
        <w:rPr>
          <w:bCs/>
          <w:sz w:val="20"/>
          <w:szCs w:val="20"/>
        </w:rPr>
        <w:t xml:space="preserve"> amount of </w:t>
      </w:r>
      <w:r w:rsidR="009903CD">
        <w:rPr>
          <w:bCs/>
          <w:sz w:val="20"/>
          <w:szCs w:val="20"/>
        </w:rPr>
        <w:t xml:space="preserve">full </w:t>
      </w:r>
      <w:r w:rsidRPr="00604C75">
        <w:rPr>
          <w:bCs/>
          <w:sz w:val="20"/>
          <w:szCs w:val="20"/>
        </w:rPr>
        <w:t>TL</w:t>
      </w:r>
      <w:r w:rsidR="006248D0" w:rsidRPr="00604C75">
        <w:rPr>
          <w:bCs/>
          <w:sz w:val="20"/>
          <w:szCs w:val="20"/>
        </w:rPr>
        <w:t xml:space="preserve"> </w:t>
      </w:r>
      <w:r w:rsidR="003A5746" w:rsidRPr="007A64BB">
        <w:rPr>
          <w:sz w:val="20"/>
          <w:szCs w:val="20"/>
        </w:rPr>
        <w:t>3,828.37</w:t>
      </w:r>
      <w:r w:rsidR="00E864AA">
        <w:rPr>
          <w:sz w:val="20"/>
          <w:szCs w:val="20"/>
        </w:rPr>
        <w:t xml:space="preserve"> </w:t>
      </w:r>
      <w:r w:rsidRPr="00604C75">
        <w:rPr>
          <w:bCs/>
          <w:sz w:val="20"/>
          <w:szCs w:val="20"/>
        </w:rPr>
        <w:t xml:space="preserve">effective from 1 </w:t>
      </w:r>
      <w:r w:rsidR="002723FE">
        <w:rPr>
          <w:bCs/>
          <w:sz w:val="20"/>
          <w:szCs w:val="20"/>
        </w:rPr>
        <w:t>September</w:t>
      </w:r>
      <w:r w:rsidR="006248D0" w:rsidRPr="00604C75">
        <w:rPr>
          <w:bCs/>
          <w:sz w:val="20"/>
          <w:szCs w:val="20"/>
        </w:rPr>
        <w:t xml:space="preserve"> </w:t>
      </w:r>
      <w:r w:rsidRPr="00604C75">
        <w:rPr>
          <w:bCs/>
          <w:sz w:val="20"/>
          <w:szCs w:val="20"/>
        </w:rPr>
        <w:t>201</w:t>
      </w:r>
      <w:r w:rsidR="006248D0" w:rsidRPr="00604C75">
        <w:rPr>
          <w:bCs/>
          <w:sz w:val="20"/>
          <w:szCs w:val="20"/>
        </w:rPr>
        <w:t>5</w:t>
      </w:r>
      <w:r w:rsidRPr="00604C75">
        <w:rPr>
          <w:bCs/>
          <w:sz w:val="20"/>
          <w:szCs w:val="20"/>
        </w:rPr>
        <w:t xml:space="preserve"> </w:t>
      </w:r>
      <w:r w:rsidR="00877CBD">
        <w:rPr>
          <w:bCs/>
          <w:sz w:val="20"/>
          <w:szCs w:val="20"/>
        </w:rPr>
        <w:t xml:space="preserve">and </w:t>
      </w:r>
      <w:r w:rsidRPr="00604C75">
        <w:rPr>
          <w:bCs/>
          <w:sz w:val="20"/>
          <w:szCs w:val="20"/>
        </w:rPr>
        <w:t xml:space="preserve">has been taken into consideration in calculating the reserve for </w:t>
      </w:r>
      <w:r w:rsidR="00B752F1">
        <w:rPr>
          <w:bCs/>
          <w:sz w:val="20"/>
          <w:szCs w:val="20"/>
        </w:rPr>
        <w:t>employ</w:t>
      </w:r>
      <w:r w:rsidR="006F341E" w:rsidRPr="00604C75">
        <w:rPr>
          <w:bCs/>
          <w:sz w:val="20"/>
          <w:szCs w:val="20"/>
        </w:rPr>
        <w:t>ment</w:t>
      </w:r>
      <w:r w:rsidRPr="00604C75">
        <w:rPr>
          <w:bCs/>
          <w:sz w:val="20"/>
          <w:szCs w:val="20"/>
        </w:rPr>
        <w:t xml:space="preserve"> termination benefits (</w:t>
      </w:r>
      <w:r w:rsidR="006248D0" w:rsidRPr="00604C75">
        <w:rPr>
          <w:bCs/>
          <w:sz w:val="20"/>
          <w:szCs w:val="20"/>
        </w:rPr>
        <w:t>31</w:t>
      </w:r>
      <w:r w:rsidR="000152E1" w:rsidRPr="00604C75">
        <w:rPr>
          <w:bCs/>
          <w:sz w:val="20"/>
          <w:szCs w:val="20"/>
        </w:rPr>
        <w:t xml:space="preserve"> December</w:t>
      </w:r>
      <w:r w:rsidRPr="00604C75">
        <w:rPr>
          <w:bCs/>
          <w:sz w:val="20"/>
          <w:szCs w:val="20"/>
        </w:rPr>
        <w:t xml:space="preserve"> 201</w:t>
      </w:r>
      <w:r w:rsidR="000152E1" w:rsidRPr="00604C75">
        <w:rPr>
          <w:bCs/>
          <w:sz w:val="20"/>
          <w:szCs w:val="20"/>
        </w:rPr>
        <w:t xml:space="preserve">4: </w:t>
      </w:r>
      <w:r w:rsidR="009903CD">
        <w:rPr>
          <w:bCs/>
          <w:sz w:val="20"/>
          <w:szCs w:val="20"/>
        </w:rPr>
        <w:t xml:space="preserve">Full </w:t>
      </w:r>
      <w:r w:rsidR="000152E1" w:rsidRPr="00604C75">
        <w:rPr>
          <w:bCs/>
          <w:sz w:val="20"/>
          <w:szCs w:val="20"/>
        </w:rPr>
        <w:t>TL 3,438.22</w:t>
      </w:r>
      <w:r w:rsidRPr="00604C75">
        <w:rPr>
          <w:bCs/>
          <w:sz w:val="20"/>
          <w:szCs w:val="20"/>
        </w:rPr>
        <w:t>).</w:t>
      </w:r>
    </w:p>
    <w:p w14:paraId="4B4BDD11" w14:textId="77777777" w:rsidR="0044575F" w:rsidRPr="00604C75" w:rsidRDefault="00A461FC" w:rsidP="00A02CD2">
      <w:pPr>
        <w:pStyle w:val="BodyTextIndent"/>
        <w:spacing w:before="120"/>
        <w:ind w:left="0"/>
        <w:rPr>
          <w:sz w:val="20"/>
          <w:szCs w:val="20"/>
        </w:rPr>
      </w:pPr>
      <w:r w:rsidRPr="00604C75">
        <w:rPr>
          <w:sz w:val="20"/>
          <w:szCs w:val="20"/>
        </w:rPr>
        <w:t>Movement of employment termination benefits</w:t>
      </w:r>
      <w:r w:rsidR="0044575F" w:rsidRPr="00604C75">
        <w:rPr>
          <w:sz w:val="20"/>
          <w:szCs w:val="20"/>
        </w:rPr>
        <w:t xml:space="preserve"> liability in the balance sheet</w:t>
      </w:r>
    </w:p>
    <w:tbl>
      <w:tblPr>
        <w:tblW w:w="925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438"/>
        <w:gridCol w:w="2505"/>
        <w:gridCol w:w="2310"/>
      </w:tblGrid>
      <w:tr w:rsidR="00224102" w:rsidRPr="00AF1C1D" w14:paraId="529A8FCC" w14:textId="77777777" w:rsidTr="00F77D55">
        <w:trPr>
          <w:trHeight w:val="255"/>
        </w:trPr>
        <w:tc>
          <w:tcPr>
            <w:tcW w:w="4438" w:type="dxa"/>
            <w:shd w:val="clear" w:color="auto" w:fill="FFFFFF"/>
            <w:vAlign w:val="bottom"/>
          </w:tcPr>
          <w:p w14:paraId="62B9046E" w14:textId="77777777" w:rsidR="00224102" w:rsidRPr="00AF1C1D" w:rsidRDefault="00224102" w:rsidP="00F77D55">
            <w:pPr>
              <w:rPr>
                <w:rFonts w:eastAsia="Arial Unicode MS"/>
                <w:b/>
                <w:sz w:val="18"/>
              </w:rPr>
            </w:pPr>
            <w:bookmarkStart w:id="20" w:name="OLE_LINK35"/>
          </w:p>
        </w:tc>
        <w:tc>
          <w:tcPr>
            <w:tcW w:w="2505" w:type="dxa"/>
            <w:shd w:val="clear" w:color="auto" w:fill="FFFFFF"/>
            <w:vAlign w:val="bottom"/>
          </w:tcPr>
          <w:p w14:paraId="6EEBD4E3" w14:textId="77777777" w:rsidR="00224102" w:rsidRPr="00AF1C1D" w:rsidRDefault="00224102" w:rsidP="00F77D55">
            <w:pPr>
              <w:ind w:right="33"/>
              <w:jc w:val="center"/>
              <w:rPr>
                <w:b/>
                <w:sz w:val="18"/>
              </w:rPr>
            </w:pPr>
            <w:r>
              <w:rPr>
                <w:b/>
                <w:iCs/>
                <w:sz w:val="18"/>
              </w:rPr>
              <w:t>31 December</w:t>
            </w:r>
            <w:r w:rsidRPr="00AF1C1D">
              <w:rPr>
                <w:b/>
                <w:iCs/>
                <w:sz w:val="18"/>
              </w:rPr>
              <w:t xml:space="preserve"> </w:t>
            </w:r>
            <w:r w:rsidRPr="00AF1C1D">
              <w:rPr>
                <w:b/>
                <w:sz w:val="18"/>
              </w:rPr>
              <w:t>2015</w:t>
            </w:r>
          </w:p>
        </w:tc>
        <w:tc>
          <w:tcPr>
            <w:tcW w:w="2310" w:type="dxa"/>
            <w:shd w:val="clear" w:color="auto" w:fill="FFFFFF"/>
            <w:vAlign w:val="bottom"/>
          </w:tcPr>
          <w:p w14:paraId="6852FC01" w14:textId="77777777" w:rsidR="00224102" w:rsidRPr="00AF1C1D" w:rsidRDefault="00224102" w:rsidP="00F77D55">
            <w:pPr>
              <w:ind w:right="33"/>
              <w:jc w:val="center"/>
              <w:rPr>
                <w:rFonts w:eastAsia="Arial Unicode MS"/>
                <w:b/>
                <w:sz w:val="18"/>
              </w:rPr>
            </w:pPr>
            <w:r w:rsidRPr="00AF1C1D">
              <w:rPr>
                <w:b/>
                <w:sz w:val="18"/>
              </w:rPr>
              <w:t>31 December 2014</w:t>
            </w:r>
          </w:p>
        </w:tc>
      </w:tr>
      <w:tr w:rsidR="00224102" w:rsidRPr="00AF1C1D" w14:paraId="7D9212DC" w14:textId="77777777" w:rsidTr="00F77D55">
        <w:trPr>
          <w:trHeight w:val="255"/>
        </w:trPr>
        <w:tc>
          <w:tcPr>
            <w:tcW w:w="4438" w:type="dxa"/>
            <w:shd w:val="clear" w:color="auto" w:fill="FFFFFF"/>
            <w:vAlign w:val="bottom"/>
          </w:tcPr>
          <w:p w14:paraId="0E8B725C" w14:textId="77777777" w:rsidR="00224102" w:rsidRPr="00AF1C1D" w:rsidRDefault="00224102" w:rsidP="00224102">
            <w:pPr>
              <w:rPr>
                <w:rFonts w:eastAsia="Arial Unicode MS"/>
                <w:b/>
                <w:sz w:val="18"/>
                <w:szCs w:val="18"/>
              </w:rPr>
            </w:pPr>
            <w:r w:rsidRPr="00AF1C1D">
              <w:rPr>
                <w:rFonts w:eastAsia="Arial Unicode MS"/>
                <w:b/>
                <w:sz w:val="18"/>
              </w:rPr>
              <w:t xml:space="preserve">Prior </w:t>
            </w:r>
            <w:r>
              <w:rPr>
                <w:rFonts w:eastAsia="Arial Unicode MS"/>
                <w:b/>
                <w:sz w:val="18"/>
              </w:rPr>
              <w:t>P</w:t>
            </w:r>
            <w:r w:rsidRPr="00AF1C1D">
              <w:rPr>
                <w:rFonts w:eastAsia="Arial Unicode MS"/>
                <w:b/>
                <w:sz w:val="18"/>
              </w:rPr>
              <w:t xml:space="preserve">eriod </w:t>
            </w:r>
            <w:r>
              <w:rPr>
                <w:rFonts w:eastAsia="Arial Unicode MS"/>
                <w:b/>
                <w:sz w:val="18"/>
              </w:rPr>
              <w:t>E</w:t>
            </w:r>
            <w:r w:rsidRPr="00AF1C1D">
              <w:rPr>
                <w:rFonts w:eastAsia="Arial Unicode MS"/>
                <w:b/>
                <w:sz w:val="18"/>
              </w:rPr>
              <w:t xml:space="preserve">nding </w:t>
            </w:r>
            <w:r>
              <w:rPr>
                <w:rFonts w:eastAsia="Arial Unicode MS"/>
                <w:b/>
                <w:sz w:val="18"/>
              </w:rPr>
              <w:t>B</w:t>
            </w:r>
            <w:r w:rsidRPr="00AF1C1D">
              <w:rPr>
                <w:rFonts w:eastAsia="Arial Unicode MS"/>
                <w:b/>
                <w:sz w:val="18"/>
              </w:rPr>
              <w:t>alance</w:t>
            </w:r>
          </w:p>
        </w:tc>
        <w:tc>
          <w:tcPr>
            <w:tcW w:w="2505" w:type="dxa"/>
            <w:vAlign w:val="bottom"/>
          </w:tcPr>
          <w:p w14:paraId="16AEE075" w14:textId="111A1EA6" w:rsidR="00224102" w:rsidRPr="00EA3453" w:rsidRDefault="00224102" w:rsidP="00224102">
            <w:pPr>
              <w:tabs>
                <w:tab w:val="left" w:pos="0"/>
              </w:tabs>
              <w:ind w:right="35"/>
              <w:jc w:val="right"/>
              <w:rPr>
                <w:b/>
                <w:sz w:val="18"/>
                <w:szCs w:val="18"/>
              </w:rPr>
            </w:pPr>
            <w:r>
              <w:rPr>
                <w:b/>
                <w:bCs/>
                <w:color w:val="000000"/>
                <w:sz w:val="18"/>
                <w:szCs w:val="18"/>
              </w:rPr>
              <w:t>4,864</w:t>
            </w:r>
          </w:p>
        </w:tc>
        <w:tc>
          <w:tcPr>
            <w:tcW w:w="2310" w:type="dxa"/>
            <w:vAlign w:val="bottom"/>
          </w:tcPr>
          <w:p w14:paraId="4DE5A259" w14:textId="22FA42F4" w:rsidR="00224102" w:rsidRPr="00EA3453" w:rsidRDefault="00224102" w:rsidP="00224102">
            <w:pPr>
              <w:tabs>
                <w:tab w:val="left" w:pos="0"/>
              </w:tabs>
              <w:ind w:right="35"/>
              <w:jc w:val="right"/>
              <w:rPr>
                <w:b/>
                <w:sz w:val="18"/>
                <w:szCs w:val="18"/>
              </w:rPr>
            </w:pPr>
            <w:r>
              <w:rPr>
                <w:b/>
                <w:bCs/>
                <w:color w:val="000000"/>
                <w:sz w:val="18"/>
                <w:szCs w:val="18"/>
              </w:rPr>
              <w:t>4,903</w:t>
            </w:r>
          </w:p>
        </w:tc>
      </w:tr>
      <w:tr w:rsidR="00224102" w:rsidRPr="00AF1C1D" w14:paraId="3F94BB34" w14:textId="77777777" w:rsidTr="00F77D55">
        <w:trPr>
          <w:trHeight w:val="255"/>
        </w:trPr>
        <w:tc>
          <w:tcPr>
            <w:tcW w:w="4438" w:type="dxa"/>
            <w:shd w:val="clear" w:color="auto" w:fill="FFFFFF"/>
            <w:vAlign w:val="bottom"/>
          </w:tcPr>
          <w:p w14:paraId="67EA7CA7" w14:textId="77777777" w:rsidR="00224102" w:rsidRPr="00AF1C1D" w:rsidRDefault="00224102" w:rsidP="00224102">
            <w:pPr>
              <w:jc w:val="both"/>
              <w:rPr>
                <w:rFonts w:eastAsia="Arial Unicode MS"/>
                <w:sz w:val="18"/>
              </w:rPr>
            </w:pPr>
            <w:r>
              <w:rPr>
                <w:rFonts w:eastAsia="Arial Unicode MS"/>
                <w:sz w:val="18"/>
              </w:rPr>
              <w:t>Current Period Service Cost</w:t>
            </w:r>
          </w:p>
        </w:tc>
        <w:tc>
          <w:tcPr>
            <w:tcW w:w="2505" w:type="dxa"/>
            <w:vAlign w:val="bottom"/>
          </w:tcPr>
          <w:p w14:paraId="29BD00E4" w14:textId="434116D4" w:rsidR="00224102" w:rsidRPr="002528D6" w:rsidRDefault="00224102" w:rsidP="00224102">
            <w:pPr>
              <w:tabs>
                <w:tab w:val="left" w:pos="0"/>
              </w:tabs>
              <w:ind w:right="35"/>
              <w:jc w:val="right"/>
              <w:rPr>
                <w:sz w:val="18"/>
                <w:szCs w:val="18"/>
              </w:rPr>
            </w:pPr>
            <w:r>
              <w:rPr>
                <w:color w:val="000000"/>
                <w:sz w:val="18"/>
                <w:szCs w:val="18"/>
              </w:rPr>
              <w:t>599</w:t>
            </w:r>
          </w:p>
        </w:tc>
        <w:tc>
          <w:tcPr>
            <w:tcW w:w="2310" w:type="dxa"/>
            <w:vAlign w:val="bottom"/>
          </w:tcPr>
          <w:p w14:paraId="52D7E5B9" w14:textId="605A41C7" w:rsidR="00224102" w:rsidRPr="00B0126E" w:rsidRDefault="00224102" w:rsidP="00224102">
            <w:pPr>
              <w:tabs>
                <w:tab w:val="left" w:pos="0"/>
              </w:tabs>
              <w:ind w:right="35"/>
              <w:jc w:val="right"/>
              <w:rPr>
                <w:sz w:val="18"/>
                <w:szCs w:val="18"/>
              </w:rPr>
            </w:pPr>
            <w:r>
              <w:rPr>
                <w:color w:val="000000"/>
                <w:sz w:val="18"/>
                <w:szCs w:val="18"/>
              </w:rPr>
              <w:t>1,542</w:t>
            </w:r>
          </w:p>
        </w:tc>
      </w:tr>
      <w:tr w:rsidR="00224102" w:rsidRPr="00AF1C1D" w14:paraId="7D05EAF3" w14:textId="77777777" w:rsidTr="00F77D55">
        <w:trPr>
          <w:trHeight w:val="255"/>
        </w:trPr>
        <w:tc>
          <w:tcPr>
            <w:tcW w:w="4438" w:type="dxa"/>
            <w:shd w:val="clear" w:color="auto" w:fill="FFFFFF"/>
            <w:vAlign w:val="bottom"/>
          </w:tcPr>
          <w:p w14:paraId="47DEA14B" w14:textId="77777777" w:rsidR="00224102" w:rsidRPr="00AF1C1D" w:rsidRDefault="00224102" w:rsidP="00224102">
            <w:pPr>
              <w:jc w:val="both"/>
              <w:rPr>
                <w:rFonts w:eastAsia="Arial Unicode MS"/>
                <w:sz w:val="18"/>
              </w:rPr>
            </w:pPr>
            <w:r>
              <w:rPr>
                <w:rFonts w:eastAsia="Arial Unicode MS"/>
                <w:sz w:val="18"/>
              </w:rPr>
              <w:t>Interest Cost</w:t>
            </w:r>
          </w:p>
        </w:tc>
        <w:tc>
          <w:tcPr>
            <w:tcW w:w="2505" w:type="dxa"/>
            <w:vAlign w:val="bottom"/>
          </w:tcPr>
          <w:p w14:paraId="42DE8733" w14:textId="1BA5F8F8" w:rsidR="00224102" w:rsidRPr="00EA3453" w:rsidRDefault="00224102" w:rsidP="00224102">
            <w:pPr>
              <w:tabs>
                <w:tab w:val="left" w:pos="0"/>
              </w:tabs>
              <w:ind w:right="35"/>
              <w:jc w:val="right"/>
              <w:rPr>
                <w:sz w:val="18"/>
                <w:szCs w:val="18"/>
              </w:rPr>
            </w:pPr>
            <w:r>
              <w:rPr>
                <w:color w:val="000000"/>
                <w:sz w:val="18"/>
                <w:szCs w:val="18"/>
              </w:rPr>
              <w:t>548</w:t>
            </w:r>
          </w:p>
        </w:tc>
        <w:tc>
          <w:tcPr>
            <w:tcW w:w="2310" w:type="dxa"/>
            <w:vAlign w:val="bottom"/>
          </w:tcPr>
          <w:p w14:paraId="6DF577E8" w14:textId="28F43986" w:rsidR="00224102" w:rsidRPr="00EA3453" w:rsidRDefault="00224102" w:rsidP="00224102">
            <w:pPr>
              <w:tabs>
                <w:tab w:val="left" w:pos="0"/>
              </w:tabs>
              <w:ind w:right="35"/>
              <w:jc w:val="right"/>
              <w:rPr>
                <w:sz w:val="18"/>
                <w:szCs w:val="18"/>
              </w:rPr>
            </w:pPr>
            <w:r>
              <w:rPr>
                <w:color w:val="000000"/>
                <w:sz w:val="18"/>
                <w:szCs w:val="18"/>
              </w:rPr>
              <w:t>1,798</w:t>
            </w:r>
          </w:p>
        </w:tc>
      </w:tr>
      <w:tr w:rsidR="00224102" w:rsidRPr="00AF1C1D" w14:paraId="42F0FDEC" w14:textId="77777777" w:rsidTr="00F77D55">
        <w:trPr>
          <w:trHeight w:val="255"/>
        </w:trPr>
        <w:tc>
          <w:tcPr>
            <w:tcW w:w="4438" w:type="dxa"/>
            <w:shd w:val="clear" w:color="auto" w:fill="FFFFFF"/>
            <w:vAlign w:val="bottom"/>
          </w:tcPr>
          <w:p w14:paraId="67136D3A" w14:textId="77777777" w:rsidR="00224102" w:rsidRPr="00AF1C1D" w:rsidRDefault="00224102" w:rsidP="00224102">
            <w:pPr>
              <w:jc w:val="both"/>
              <w:rPr>
                <w:rFonts w:eastAsia="Arial Unicode MS"/>
                <w:sz w:val="18"/>
              </w:rPr>
            </w:pPr>
            <w:r>
              <w:rPr>
                <w:rFonts w:eastAsia="Arial Unicode MS"/>
                <w:sz w:val="18"/>
              </w:rPr>
              <w:t>Paid Compensation</w:t>
            </w:r>
          </w:p>
        </w:tc>
        <w:tc>
          <w:tcPr>
            <w:tcW w:w="2505" w:type="dxa"/>
            <w:vAlign w:val="bottom"/>
          </w:tcPr>
          <w:p w14:paraId="6F523B22" w14:textId="5432EEA7" w:rsidR="00224102" w:rsidRPr="002528D6" w:rsidRDefault="00224102" w:rsidP="00224102">
            <w:pPr>
              <w:tabs>
                <w:tab w:val="left" w:pos="0"/>
              </w:tabs>
              <w:ind w:right="35"/>
              <w:jc w:val="right"/>
              <w:rPr>
                <w:sz w:val="18"/>
                <w:szCs w:val="18"/>
              </w:rPr>
            </w:pPr>
            <w:r>
              <w:rPr>
                <w:color w:val="000000"/>
                <w:sz w:val="18"/>
                <w:szCs w:val="18"/>
              </w:rPr>
              <w:t>(5,262)</w:t>
            </w:r>
          </w:p>
        </w:tc>
        <w:tc>
          <w:tcPr>
            <w:tcW w:w="2310" w:type="dxa"/>
            <w:vAlign w:val="bottom"/>
          </w:tcPr>
          <w:p w14:paraId="40B38B3A" w14:textId="628D0017" w:rsidR="00224102" w:rsidRPr="00B0126E" w:rsidRDefault="00224102" w:rsidP="00224102">
            <w:pPr>
              <w:tabs>
                <w:tab w:val="left" w:pos="0"/>
              </w:tabs>
              <w:ind w:right="35"/>
              <w:jc w:val="right"/>
              <w:rPr>
                <w:sz w:val="18"/>
                <w:szCs w:val="18"/>
              </w:rPr>
            </w:pPr>
            <w:r>
              <w:rPr>
                <w:color w:val="000000"/>
                <w:sz w:val="18"/>
                <w:szCs w:val="18"/>
              </w:rPr>
              <w:t>(3,471)</w:t>
            </w:r>
          </w:p>
        </w:tc>
      </w:tr>
      <w:tr w:rsidR="00224102" w:rsidRPr="00AF1C1D" w14:paraId="273389E2" w14:textId="77777777" w:rsidTr="00F77D55">
        <w:trPr>
          <w:trHeight w:val="255"/>
        </w:trPr>
        <w:tc>
          <w:tcPr>
            <w:tcW w:w="4438" w:type="dxa"/>
            <w:shd w:val="clear" w:color="auto" w:fill="FFFFFF"/>
            <w:vAlign w:val="bottom"/>
          </w:tcPr>
          <w:p w14:paraId="324A1602" w14:textId="77777777" w:rsidR="00224102" w:rsidRPr="00AF1C1D" w:rsidRDefault="00224102" w:rsidP="00224102">
            <w:pPr>
              <w:jc w:val="both"/>
              <w:rPr>
                <w:rFonts w:eastAsia="Arial Unicode MS"/>
                <w:sz w:val="18"/>
              </w:rPr>
            </w:pPr>
            <w:r>
              <w:rPr>
                <w:rFonts w:eastAsia="Arial Unicode MS"/>
                <w:sz w:val="18"/>
              </w:rPr>
              <w:t>Pay/Benefit Reductions/Gains or Losses Due to Dismissals</w:t>
            </w:r>
          </w:p>
        </w:tc>
        <w:tc>
          <w:tcPr>
            <w:tcW w:w="2505" w:type="dxa"/>
            <w:vAlign w:val="bottom"/>
          </w:tcPr>
          <w:p w14:paraId="5F3B2B4F" w14:textId="57782F41" w:rsidR="00224102" w:rsidRPr="002528D6" w:rsidRDefault="00224102" w:rsidP="00224102">
            <w:pPr>
              <w:tabs>
                <w:tab w:val="left" w:pos="0"/>
              </w:tabs>
              <w:ind w:right="35"/>
              <w:jc w:val="right"/>
              <w:rPr>
                <w:sz w:val="18"/>
                <w:szCs w:val="18"/>
              </w:rPr>
            </w:pPr>
            <w:r>
              <w:rPr>
                <w:color w:val="000000"/>
                <w:sz w:val="18"/>
                <w:szCs w:val="18"/>
              </w:rPr>
              <w:t>3,712</w:t>
            </w:r>
          </w:p>
        </w:tc>
        <w:tc>
          <w:tcPr>
            <w:tcW w:w="2310" w:type="dxa"/>
            <w:vAlign w:val="bottom"/>
          </w:tcPr>
          <w:p w14:paraId="7BF954B4" w14:textId="473A0563" w:rsidR="00224102" w:rsidRPr="00B0126E" w:rsidRDefault="00224102" w:rsidP="00224102">
            <w:pPr>
              <w:tabs>
                <w:tab w:val="left" w:pos="0"/>
              </w:tabs>
              <w:ind w:right="35"/>
              <w:jc w:val="right"/>
              <w:rPr>
                <w:sz w:val="18"/>
                <w:szCs w:val="18"/>
              </w:rPr>
            </w:pPr>
            <w:r>
              <w:rPr>
                <w:color w:val="000000"/>
                <w:sz w:val="18"/>
                <w:szCs w:val="18"/>
              </w:rPr>
              <w:t>16</w:t>
            </w:r>
          </w:p>
        </w:tc>
      </w:tr>
      <w:tr w:rsidR="00224102" w:rsidRPr="00AF1C1D" w14:paraId="5A420853" w14:textId="77777777" w:rsidTr="00F77D55">
        <w:trPr>
          <w:trHeight w:val="255"/>
        </w:trPr>
        <w:tc>
          <w:tcPr>
            <w:tcW w:w="4438" w:type="dxa"/>
            <w:shd w:val="clear" w:color="auto" w:fill="FFFFFF"/>
            <w:vAlign w:val="bottom"/>
          </w:tcPr>
          <w:p w14:paraId="7F3D6CC1" w14:textId="77777777" w:rsidR="00224102" w:rsidRPr="00AF1C1D" w:rsidRDefault="00224102" w:rsidP="00224102">
            <w:pPr>
              <w:jc w:val="both"/>
              <w:rPr>
                <w:rFonts w:eastAsia="Arial Unicode MS"/>
                <w:sz w:val="18"/>
              </w:rPr>
            </w:pPr>
            <w:r>
              <w:rPr>
                <w:rFonts w:eastAsia="Arial Unicode MS"/>
                <w:sz w:val="18"/>
              </w:rPr>
              <w:t>Actuarial Gain/(Loss)</w:t>
            </w:r>
          </w:p>
        </w:tc>
        <w:tc>
          <w:tcPr>
            <w:tcW w:w="2505" w:type="dxa"/>
            <w:vAlign w:val="bottom"/>
          </w:tcPr>
          <w:p w14:paraId="72821727" w14:textId="0F6FF99F" w:rsidR="00224102" w:rsidRPr="00EA3453" w:rsidRDefault="00224102" w:rsidP="00224102">
            <w:pPr>
              <w:tabs>
                <w:tab w:val="left" w:pos="0"/>
              </w:tabs>
              <w:ind w:right="35"/>
              <w:jc w:val="right"/>
              <w:rPr>
                <w:sz w:val="18"/>
                <w:szCs w:val="18"/>
              </w:rPr>
            </w:pPr>
            <w:r>
              <w:rPr>
                <w:color w:val="000000"/>
                <w:sz w:val="18"/>
                <w:szCs w:val="18"/>
              </w:rPr>
              <w:t>1,904</w:t>
            </w:r>
          </w:p>
        </w:tc>
        <w:tc>
          <w:tcPr>
            <w:tcW w:w="2310" w:type="dxa"/>
            <w:vAlign w:val="bottom"/>
          </w:tcPr>
          <w:p w14:paraId="03BF3ADE" w14:textId="73FF2383" w:rsidR="00224102" w:rsidRPr="00EA3453" w:rsidRDefault="00224102" w:rsidP="00224102">
            <w:pPr>
              <w:tabs>
                <w:tab w:val="left" w:pos="0"/>
              </w:tabs>
              <w:ind w:right="35"/>
              <w:jc w:val="right"/>
              <w:rPr>
                <w:sz w:val="18"/>
                <w:szCs w:val="18"/>
              </w:rPr>
            </w:pPr>
            <w:r>
              <w:rPr>
                <w:color w:val="000000"/>
                <w:sz w:val="18"/>
                <w:szCs w:val="18"/>
              </w:rPr>
              <w:t>81</w:t>
            </w:r>
          </w:p>
        </w:tc>
      </w:tr>
      <w:tr w:rsidR="00224102" w:rsidRPr="00AF1C1D" w14:paraId="173D41F8" w14:textId="77777777" w:rsidTr="00F77D55">
        <w:trPr>
          <w:trHeight w:val="255"/>
        </w:trPr>
        <w:tc>
          <w:tcPr>
            <w:tcW w:w="4438" w:type="dxa"/>
            <w:shd w:val="clear" w:color="auto" w:fill="FFFFFF"/>
            <w:vAlign w:val="bottom"/>
          </w:tcPr>
          <w:p w14:paraId="32464267" w14:textId="77777777" w:rsidR="00224102" w:rsidRPr="00AF1C1D" w:rsidRDefault="00224102" w:rsidP="00224102">
            <w:pPr>
              <w:rPr>
                <w:rFonts w:eastAsia="Arial Unicode MS"/>
                <w:b/>
                <w:sz w:val="18"/>
              </w:rPr>
            </w:pPr>
            <w:r w:rsidRPr="00AF1C1D">
              <w:rPr>
                <w:rFonts w:eastAsia="Arial Unicode MS"/>
                <w:b/>
                <w:sz w:val="18"/>
              </w:rPr>
              <w:t xml:space="preserve">Balance at the </w:t>
            </w:r>
            <w:r>
              <w:rPr>
                <w:rFonts w:eastAsia="Arial Unicode MS"/>
                <w:b/>
                <w:sz w:val="18"/>
              </w:rPr>
              <w:t>E</w:t>
            </w:r>
            <w:r w:rsidRPr="00AF1C1D">
              <w:rPr>
                <w:rFonts w:eastAsia="Arial Unicode MS"/>
                <w:b/>
                <w:sz w:val="18"/>
              </w:rPr>
              <w:t xml:space="preserve">nd of the </w:t>
            </w:r>
            <w:r>
              <w:rPr>
                <w:rFonts w:eastAsia="Arial Unicode MS"/>
                <w:b/>
                <w:sz w:val="18"/>
              </w:rPr>
              <w:t>P</w:t>
            </w:r>
            <w:r w:rsidRPr="00AF1C1D">
              <w:rPr>
                <w:rFonts w:eastAsia="Arial Unicode MS"/>
                <w:b/>
                <w:sz w:val="18"/>
              </w:rPr>
              <w:t>eriod</w:t>
            </w:r>
          </w:p>
        </w:tc>
        <w:tc>
          <w:tcPr>
            <w:tcW w:w="2505" w:type="dxa"/>
            <w:vAlign w:val="bottom"/>
          </w:tcPr>
          <w:p w14:paraId="4C6E329F" w14:textId="578BBE28" w:rsidR="00224102" w:rsidRPr="00EA3453" w:rsidRDefault="00224102" w:rsidP="00224102">
            <w:pPr>
              <w:tabs>
                <w:tab w:val="left" w:pos="0"/>
              </w:tabs>
              <w:ind w:right="35"/>
              <w:jc w:val="right"/>
              <w:rPr>
                <w:b/>
                <w:sz w:val="18"/>
                <w:szCs w:val="18"/>
              </w:rPr>
            </w:pPr>
            <w:r>
              <w:rPr>
                <w:b/>
                <w:bCs/>
                <w:color w:val="000000"/>
                <w:sz w:val="18"/>
                <w:szCs w:val="18"/>
              </w:rPr>
              <w:t>6,364</w:t>
            </w:r>
          </w:p>
        </w:tc>
        <w:tc>
          <w:tcPr>
            <w:tcW w:w="2310" w:type="dxa"/>
            <w:vAlign w:val="bottom"/>
          </w:tcPr>
          <w:p w14:paraId="3A98E95C" w14:textId="6601DFB1" w:rsidR="00224102" w:rsidRPr="00EA3453" w:rsidRDefault="00224102" w:rsidP="00224102">
            <w:pPr>
              <w:tabs>
                <w:tab w:val="left" w:pos="0"/>
              </w:tabs>
              <w:ind w:right="35"/>
              <w:jc w:val="right"/>
              <w:rPr>
                <w:b/>
                <w:sz w:val="18"/>
                <w:szCs w:val="18"/>
              </w:rPr>
            </w:pPr>
            <w:r>
              <w:rPr>
                <w:b/>
                <w:bCs/>
                <w:color w:val="000000"/>
                <w:sz w:val="18"/>
                <w:szCs w:val="18"/>
              </w:rPr>
              <w:t>4,869</w:t>
            </w:r>
          </w:p>
        </w:tc>
      </w:tr>
      <w:bookmarkEnd w:id="20"/>
    </w:tbl>
    <w:p w14:paraId="788E396C" w14:textId="77777777" w:rsidR="0044575F" w:rsidRPr="00604C75" w:rsidRDefault="0044575F" w:rsidP="00F8053C">
      <w:pPr>
        <w:jc w:val="both"/>
        <w:rPr>
          <w:sz w:val="20"/>
          <w:szCs w:val="20"/>
        </w:rPr>
      </w:pPr>
    </w:p>
    <w:p w14:paraId="033DCBCA" w14:textId="77777777" w:rsidR="0044575F" w:rsidRPr="00604C75" w:rsidRDefault="0044575F" w:rsidP="00F8053C">
      <w:pPr>
        <w:tabs>
          <w:tab w:val="left" w:pos="0"/>
          <w:tab w:val="left" w:pos="1260"/>
        </w:tabs>
        <w:jc w:val="both"/>
        <w:rPr>
          <w:sz w:val="20"/>
          <w:szCs w:val="20"/>
        </w:rPr>
      </w:pPr>
      <w:r w:rsidRPr="006F201B">
        <w:rPr>
          <w:sz w:val="20"/>
          <w:szCs w:val="20"/>
        </w:rPr>
        <w:t xml:space="preserve">In addition, the </w:t>
      </w:r>
      <w:r w:rsidR="0007486E" w:rsidRPr="006F201B">
        <w:rPr>
          <w:sz w:val="20"/>
          <w:szCs w:val="20"/>
        </w:rPr>
        <w:t>Group</w:t>
      </w:r>
      <w:r w:rsidRPr="006F201B">
        <w:rPr>
          <w:sz w:val="20"/>
          <w:szCs w:val="20"/>
        </w:rPr>
        <w:t xml:space="preserve"> has accounted for unused vacation rights provision amounting to TL</w:t>
      </w:r>
      <w:r w:rsidR="000C7892" w:rsidRPr="006F201B">
        <w:rPr>
          <w:sz w:val="20"/>
          <w:szCs w:val="20"/>
        </w:rPr>
        <w:t xml:space="preserve"> </w:t>
      </w:r>
      <w:r w:rsidR="003A5746">
        <w:rPr>
          <w:sz w:val="20"/>
          <w:szCs w:val="20"/>
        </w:rPr>
        <w:t xml:space="preserve">2,961 </w:t>
      </w:r>
      <w:r w:rsidR="000467F0" w:rsidRPr="006F201B">
        <w:rPr>
          <w:sz w:val="20"/>
          <w:szCs w:val="20"/>
        </w:rPr>
        <w:t xml:space="preserve">as of </w:t>
      </w:r>
      <w:r w:rsidR="00746243" w:rsidRPr="006F201B">
        <w:rPr>
          <w:sz w:val="20"/>
          <w:szCs w:val="20"/>
        </w:rPr>
        <w:t>3</w:t>
      </w:r>
      <w:r w:rsidR="00746243">
        <w:rPr>
          <w:sz w:val="20"/>
          <w:szCs w:val="20"/>
        </w:rPr>
        <w:t>1</w:t>
      </w:r>
      <w:r w:rsidR="00746243" w:rsidRPr="006F201B">
        <w:rPr>
          <w:sz w:val="20"/>
          <w:szCs w:val="20"/>
        </w:rPr>
        <w:t xml:space="preserve"> </w:t>
      </w:r>
      <w:r w:rsidR="00746243">
        <w:rPr>
          <w:sz w:val="20"/>
          <w:szCs w:val="20"/>
        </w:rPr>
        <w:t>December</w:t>
      </w:r>
      <w:r w:rsidR="00746243" w:rsidRPr="006F201B">
        <w:rPr>
          <w:sz w:val="20"/>
          <w:szCs w:val="20"/>
        </w:rPr>
        <w:t xml:space="preserve"> </w:t>
      </w:r>
      <w:r w:rsidRPr="006F201B">
        <w:rPr>
          <w:sz w:val="20"/>
          <w:szCs w:val="20"/>
        </w:rPr>
        <w:t>201</w:t>
      </w:r>
      <w:r w:rsidR="008F035B" w:rsidRPr="006F201B">
        <w:rPr>
          <w:sz w:val="20"/>
          <w:szCs w:val="20"/>
        </w:rPr>
        <w:t>5</w:t>
      </w:r>
      <w:r w:rsidRPr="006F201B">
        <w:rPr>
          <w:sz w:val="20"/>
          <w:szCs w:val="20"/>
        </w:rPr>
        <w:t xml:space="preserve"> (</w:t>
      </w:r>
      <w:r w:rsidR="00894E43" w:rsidRPr="006F201B">
        <w:rPr>
          <w:sz w:val="20"/>
          <w:szCs w:val="20"/>
        </w:rPr>
        <w:t xml:space="preserve">31 December </w:t>
      </w:r>
      <w:r w:rsidRPr="006F201B">
        <w:rPr>
          <w:sz w:val="20"/>
          <w:szCs w:val="20"/>
        </w:rPr>
        <w:t>201</w:t>
      </w:r>
      <w:r w:rsidR="008F035B" w:rsidRPr="006F201B">
        <w:rPr>
          <w:sz w:val="20"/>
          <w:szCs w:val="20"/>
        </w:rPr>
        <w:t>4</w:t>
      </w:r>
      <w:r w:rsidR="000C7892" w:rsidRPr="006F201B">
        <w:rPr>
          <w:sz w:val="20"/>
          <w:szCs w:val="20"/>
        </w:rPr>
        <w:t xml:space="preserve">: TL </w:t>
      </w:r>
      <w:r w:rsidR="008F035B" w:rsidRPr="006F201B">
        <w:rPr>
          <w:sz w:val="20"/>
          <w:szCs w:val="20"/>
        </w:rPr>
        <w:t>3,753</w:t>
      </w:r>
      <w:r w:rsidRPr="006F201B">
        <w:rPr>
          <w:sz w:val="20"/>
          <w:szCs w:val="20"/>
        </w:rPr>
        <w:t>).</w:t>
      </w:r>
    </w:p>
    <w:p w14:paraId="74BFB90E" w14:textId="77777777" w:rsidR="0044575F" w:rsidRPr="00604C75" w:rsidRDefault="0044575F" w:rsidP="00F8053C">
      <w:pPr>
        <w:tabs>
          <w:tab w:val="left" w:pos="0"/>
          <w:tab w:val="left" w:pos="1260"/>
        </w:tabs>
        <w:spacing w:line="120" w:lineRule="auto"/>
        <w:jc w:val="both"/>
        <w:rPr>
          <w:sz w:val="20"/>
          <w:szCs w:val="20"/>
        </w:rPr>
      </w:pPr>
    </w:p>
    <w:p w14:paraId="7A2B4286" w14:textId="77777777" w:rsidR="0044575F" w:rsidRPr="00604C75" w:rsidRDefault="0044575F" w:rsidP="00F8053C">
      <w:pPr>
        <w:pStyle w:val="BodyTextIndent"/>
        <w:spacing w:after="0"/>
        <w:ind w:left="0"/>
        <w:rPr>
          <w:sz w:val="20"/>
          <w:szCs w:val="20"/>
        </w:rPr>
      </w:pPr>
      <w:r w:rsidRPr="00604C75">
        <w:rPr>
          <w:sz w:val="20"/>
          <w:szCs w:val="20"/>
        </w:rPr>
        <w:t>3.</w:t>
      </w:r>
      <w:r w:rsidRPr="00604C75">
        <w:rPr>
          <w:sz w:val="20"/>
          <w:szCs w:val="20"/>
        </w:rPr>
        <w:tab/>
        <w:t>Other provisions</w:t>
      </w:r>
    </w:p>
    <w:p w14:paraId="68A409EF" w14:textId="77777777" w:rsidR="0044575F" w:rsidRPr="00604C75" w:rsidRDefault="0044575F" w:rsidP="00F8053C">
      <w:pPr>
        <w:spacing w:line="120" w:lineRule="auto"/>
        <w:jc w:val="both"/>
        <w:rPr>
          <w:sz w:val="20"/>
          <w:szCs w:val="20"/>
        </w:rPr>
      </w:pPr>
    </w:p>
    <w:tbl>
      <w:tblPr>
        <w:tblW w:w="935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296"/>
        <w:gridCol w:w="2619"/>
        <w:gridCol w:w="2436"/>
      </w:tblGrid>
      <w:tr w:rsidR="0044575F" w:rsidRPr="00604C75" w14:paraId="5B562D0E" w14:textId="77777777" w:rsidTr="00CD0767">
        <w:trPr>
          <w:trHeight w:val="255"/>
        </w:trPr>
        <w:tc>
          <w:tcPr>
            <w:tcW w:w="4296" w:type="dxa"/>
            <w:shd w:val="clear" w:color="auto" w:fill="FFFFFF"/>
            <w:vAlign w:val="bottom"/>
          </w:tcPr>
          <w:p w14:paraId="781E0E61" w14:textId="77777777" w:rsidR="0044575F" w:rsidRPr="00604C75" w:rsidRDefault="0044575F" w:rsidP="00F8053C">
            <w:pPr>
              <w:jc w:val="both"/>
              <w:rPr>
                <w:rFonts w:eastAsia="Arial Unicode MS"/>
                <w:b/>
                <w:sz w:val="18"/>
              </w:rPr>
            </w:pPr>
          </w:p>
        </w:tc>
        <w:tc>
          <w:tcPr>
            <w:tcW w:w="2619" w:type="dxa"/>
            <w:shd w:val="clear" w:color="auto" w:fill="FFFFFF"/>
            <w:vAlign w:val="bottom"/>
          </w:tcPr>
          <w:p w14:paraId="341AA968" w14:textId="77777777" w:rsidR="0044575F" w:rsidRPr="00604C75" w:rsidRDefault="00603D45" w:rsidP="00CD0767">
            <w:pPr>
              <w:ind w:right="47"/>
              <w:jc w:val="center"/>
              <w:rPr>
                <w:b/>
                <w:sz w:val="18"/>
              </w:rPr>
            </w:pPr>
            <w:r>
              <w:rPr>
                <w:b/>
                <w:sz w:val="18"/>
              </w:rPr>
              <w:t xml:space="preserve">31 </w:t>
            </w:r>
            <w:r>
              <w:rPr>
                <w:b/>
                <w:bCs/>
                <w:sz w:val="18"/>
                <w:szCs w:val="18"/>
                <w:lang w:val="tr-TR"/>
              </w:rPr>
              <w:t>December</w:t>
            </w:r>
            <w:r w:rsidRPr="00604C75">
              <w:rPr>
                <w:b/>
                <w:bCs/>
                <w:sz w:val="18"/>
                <w:szCs w:val="18"/>
                <w:lang w:val="tr-TR"/>
              </w:rPr>
              <w:t xml:space="preserve"> </w:t>
            </w:r>
            <w:r w:rsidR="0044575F" w:rsidRPr="00604C75">
              <w:rPr>
                <w:b/>
                <w:sz w:val="18"/>
              </w:rPr>
              <w:t>201</w:t>
            </w:r>
            <w:r w:rsidR="00295F23" w:rsidRPr="00604C75">
              <w:rPr>
                <w:b/>
                <w:sz w:val="18"/>
              </w:rPr>
              <w:t>5</w:t>
            </w:r>
          </w:p>
        </w:tc>
        <w:tc>
          <w:tcPr>
            <w:tcW w:w="2436" w:type="dxa"/>
            <w:shd w:val="clear" w:color="auto" w:fill="FFFFFF"/>
            <w:vAlign w:val="bottom"/>
          </w:tcPr>
          <w:p w14:paraId="7DE1D285" w14:textId="77777777" w:rsidR="0044575F" w:rsidRPr="00604C75" w:rsidRDefault="0044575F" w:rsidP="00CD0767">
            <w:pPr>
              <w:ind w:right="47"/>
              <w:jc w:val="center"/>
              <w:rPr>
                <w:rFonts w:eastAsia="Arial Unicode MS"/>
                <w:b/>
                <w:sz w:val="18"/>
              </w:rPr>
            </w:pPr>
            <w:r w:rsidRPr="00604C75">
              <w:rPr>
                <w:b/>
                <w:sz w:val="18"/>
              </w:rPr>
              <w:t>31 December 201</w:t>
            </w:r>
            <w:r w:rsidR="00295F23" w:rsidRPr="00604C75">
              <w:rPr>
                <w:b/>
                <w:sz w:val="18"/>
              </w:rPr>
              <w:t>4</w:t>
            </w:r>
          </w:p>
        </w:tc>
      </w:tr>
      <w:tr w:rsidR="00224102" w:rsidRPr="00604C75" w14:paraId="3E0DDF3B" w14:textId="77777777" w:rsidTr="00AD726D">
        <w:trPr>
          <w:trHeight w:val="255"/>
        </w:trPr>
        <w:tc>
          <w:tcPr>
            <w:tcW w:w="4296" w:type="dxa"/>
            <w:shd w:val="clear" w:color="auto" w:fill="FFFFFF"/>
            <w:vAlign w:val="bottom"/>
          </w:tcPr>
          <w:p w14:paraId="140B4BEE" w14:textId="69DF6EA2" w:rsidR="00224102" w:rsidRPr="00604C75" w:rsidRDefault="00224102" w:rsidP="00224102">
            <w:pPr>
              <w:jc w:val="both"/>
              <w:rPr>
                <w:sz w:val="18"/>
                <w:szCs w:val="18"/>
              </w:rPr>
            </w:pPr>
            <w:r>
              <w:rPr>
                <w:sz w:val="18"/>
                <w:szCs w:val="18"/>
              </w:rPr>
              <w:t xml:space="preserve">Specific Provision for </w:t>
            </w:r>
            <w:proofErr w:type="spellStart"/>
            <w:r>
              <w:rPr>
                <w:sz w:val="18"/>
                <w:szCs w:val="18"/>
              </w:rPr>
              <w:t>Unindemnified</w:t>
            </w:r>
            <w:proofErr w:type="spellEnd"/>
            <w:r>
              <w:rPr>
                <w:sz w:val="18"/>
                <w:szCs w:val="18"/>
              </w:rPr>
              <w:t xml:space="preserve"> Non-cash Loan</w:t>
            </w:r>
          </w:p>
        </w:tc>
        <w:tc>
          <w:tcPr>
            <w:tcW w:w="2619" w:type="dxa"/>
            <w:vAlign w:val="bottom"/>
          </w:tcPr>
          <w:p w14:paraId="106C94C6" w14:textId="430473C3" w:rsidR="00224102" w:rsidRPr="00692926" w:rsidRDefault="00224102" w:rsidP="00224102">
            <w:pPr>
              <w:ind w:right="47"/>
              <w:jc w:val="right"/>
              <w:rPr>
                <w:sz w:val="18"/>
                <w:szCs w:val="18"/>
              </w:rPr>
            </w:pPr>
            <w:r>
              <w:rPr>
                <w:sz w:val="18"/>
                <w:szCs w:val="18"/>
              </w:rPr>
              <w:t>20,098</w:t>
            </w:r>
          </w:p>
        </w:tc>
        <w:tc>
          <w:tcPr>
            <w:tcW w:w="2436" w:type="dxa"/>
            <w:vAlign w:val="bottom"/>
          </w:tcPr>
          <w:p w14:paraId="309422F5" w14:textId="6B5B8712" w:rsidR="00224102" w:rsidRPr="00692926" w:rsidRDefault="00224102" w:rsidP="00224102">
            <w:pPr>
              <w:ind w:right="47"/>
              <w:jc w:val="right"/>
              <w:rPr>
                <w:sz w:val="18"/>
                <w:szCs w:val="18"/>
              </w:rPr>
            </w:pPr>
            <w:r w:rsidRPr="00692926">
              <w:rPr>
                <w:sz w:val="18"/>
                <w:szCs w:val="18"/>
              </w:rPr>
              <w:t>15,787</w:t>
            </w:r>
          </w:p>
        </w:tc>
      </w:tr>
      <w:tr w:rsidR="00224102" w:rsidRPr="00604C75" w14:paraId="66CB8AEC" w14:textId="77777777" w:rsidTr="00AD726D">
        <w:trPr>
          <w:trHeight w:val="255"/>
        </w:trPr>
        <w:tc>
          <w:tcPr>
            <w:tcW w:w="4296" w:type="dxa"/>
            <w:shd w:val="clear" w:color="auto" w:fill="FFFFFF"/>
            <w:vAlign w:val="bottom"/>
          </w:tcPr>
          <w:p w14:paraId="3539A630" w14:textId="3BA423F4" w:rsidR="00224102" w:rsidRPr="00604C75" w:rsidRDefault="00224102" w:rsidP="00224102">
            <w:pPr>
              <w:jc w:val="both"/>
              <w:rPr>
                <w:sz w:val="18"/>
                <w:szCs w:val="18"/>
              </w:rPr>
            </w:pPr>
            <w:r w:rsidRPr="00604C75">
              <w:rPr>
                <w:sz w:val="18"/>
                <w:szCs w:val="18"/>
              </w:rPr>
              <w:t xml:space="preserve">Bonus </w:t>
            </w:r>
            <w:r>
              <w:rPr>
                <w:sz w:val="18"/>
                <w:szCs w:val="18"/>
              </w:rPr>
              <w:t>P</w:t>
            </w:r>
            <w:r w:rsidRPr="00604C75">
              <w:rPr>
                <w:sz w:val="18"/>
                <w:szCs w:val="18"/>
              </w:rPr>
              <w:t xml:space="preserve">rovision </w:t>
            </w:r>
          </w:p>
        </w:tc>
        <w:tc>
          <w:tcPr>
            <w:tcW w:w="2619" w:type="dxa"/>
            <w:vAlign w:val="bottom"/>
          </w:tcPr>
          <w:p w14:paraId="7FA94B69" w14:textId="5A807764" w:rsidR="00224102" w:rsidRPr="00692926" w:rsidRDefault="00224102" w:rsidP="00224102">
            <w:pPr>
              <w:ind w:right="47"/>
              <w:jc w:val="right"/>
              <w:rPr>
                <w:sz w:val="18"/>
                <w:szCs w:val="18"/>
              </w:rPr>
            </w:pPr>
            <w:r>
              <w:rPr>
                <w:sz w:val="18"/>
                <w:szCs w:val="18"/>
              </w:rPr>
              <w:t>9,560</w:t>
            </w:r>
          </w:p>
        </w:tc>
        <w:tc>
          <w:tcPr>
            <w:tcW w:w="2436" w:type="dxa"/>
            <w:vAlign w:val="bottom"/>
          </w:tcPr>
          <w:p w14:paraId="1CBF0265" w14:textId="46B20486" w:rsidR="00224102" w:rsidRPr="00692926" w:rsidRDefault="00224102" w:rsidP="00224102">
            <w:pPr>
              <w:ind w:right="47"/>
              <w:jc w:val="right"/>
              <w:rPr>
                <w:sz w:val="18"/>
                <w:szCs w:val="18"/>
              </w:rPr>
            </w:pPr>
            <w:r w:rsidRPr="00692926">
              <w:rPr>
                <w:sz w:val="18"/>
                <w:szCs w:val="18"/>
              </w:rPr>
              <w:t>13,280</w:t>
            </w:r>
          </w:p>
        </w:tc>
      </w:tr>
      <w:tr w:rsidR="00224102" w:rsidRPr="00604C75" w14:paraId="466B6AF9" w14:textId="77777777" w:rsidTr="00AD726D">
        <w:trPr>
          <w:trHeight w:val="255"/>
        </w:trPr>
        <w:tc>
          <w:tcPr>
            <w:tcW w:w="4296" w:type="dxa"/>
            <w:shd w:val="clear" w:color="auto" w:fill="FFFFFF"/>
            <w:vAlign w:val="bottom"/>
          </w:tcPr>
          <w:p w14:paraId="299D5C59" w14:textId="79C268F2" w:rsidR="00224102" w:rsidRPr="00604C75" w:rsidRDefault="00224102" w:rsidP="00224102">
            <w:pPr>
              <w:jc w:val="both"/>
              <w:rPr>
                <w:sz w:val="18"/>
                <w:szCs w:val="18"/>
              </w:rPr>
            </w:pPr>
            <w:r>
              <w:rPr>
                <w:sz w:val="18"/>
                <w:szCs w:val="18"/>
              </w:rPr>
              <w:t>Provision for the Impairment due Settlement Date</w:t>
            </w:r>
          </w:p>
        </w:tc>
        <w:tc>
          <w:tcPr>
            <w:tcW w:w="2619" w:type="dxa"/>
            <w:vAlign w:val="bottom"/>
          </w:tcPr>
          <w:p w14:paraId="14EC894B" w14:textId="455DABE4" w:rsidR="00224102" w:rsidRPr="00692926" w:rsidRDefault="00224102" w:rsidP="00224102">
            <w:pPr>
              <w:ind w:right="47"/>
              <w:jc w:val="right"/>
              <w:rPr>
                <w:sz w:val="18"/>
                <w:szCs w:val="18"/>
              </w:rPr>
            </w:pPr>
            <w:r>
              <w:rPr>
                <w:sz w:val="18"/>
                <w:szCs w:val="18"/>
              </w:rPr>
              <w:t>-</w:t>
            </w:r>
          </w:p>
        </w:tc>
        <w:tc>
          <w:tcPr>
            <w:tcW w:w="2436" w:type="dxa"/>
            <w:vAlign w:val="bottom"/>
          </w:tcPr>
          <w:p w14:paraId="515BB63F" w14:textId="2A38364D" w:rsidR="00224102" w:rsidRPr="00692926" w:rsidRDefault="00224102" w:rsidP="00224102">
            <w:pPr>
              <w:ind w:right="47"/>
              <w:jc w:val="right"/>
              <w:rPr>
                <w:sz w:val="18"/>
                <w:szCs w:val="18"/>
              </w:rPr>
            </w:pPr>
            <w:r w:rsidRPr="00692926">
              <w:rPr>
                <w:sz w:val="18"/>
                <w:szCs w:val="18"/>
              </w:rPr>
              <w:t>8</w:t>
            </w:r>
          </w:p>
        </w:tc>
      </w:tr>
      <w:tr w:rsidR="00224102" w:rsidRPr="00604C75" w14:paraId="0040E1A0" w14:textId="77777777" w:rsidTr="00AD726D">
        <w:trPr>
          <w:trHeight w:val="255"/>
        </w:trPr>
        <w:tc>
          <w:tcPr>
            <w:tcW w:w="4296" w:type="dxa"/>
            <w:shd w:val="clear" w:color="auto" w:fill="FFFFFF"/>
            <w:vAlign w:val="bottom"/>
          </w:tcPr>
          <w:p w14:paraId="21F3B55D" w14:textId="77777777" w:rsidR="00224102" w:rsidRPr="00604C75" w:rsidRDefault="00224102" w:rsidP="00224102">
            <w:pPr>
              <w:jc w:val="both"/>
              <w:rPr>
                <w:sz w:val="18"/>
                <w:szCs w:val="18"/>
              </w:rPr>
            </w:pPr>
            <w:r w:rsidRPr="00604C75">
              <w:rPr>
                <w:sz w:val="18"/>
                <w:szCs w:val="18"/>
              </w:rPr>
              <w:t>Other (*)</w:t>
            </w:r>
          </w:p>
        </w:tc>
        <w:tc>
          <w:tcPr>
            <w:tcW w:w="2619" w:type="dxa"/>
            <w:vAlign w:val="bottom"/>
          </w:tcPr>
          <w:p w14:paraId="1D8181A3" w14:textId="7F9552EF" w:rsidR="00224102" w:rsidRPr="00692926" w:rsidRDefault="00224102" w:rsidP="00224102">
            <w:pPr>
              <w:ind w:right="47"/>
              <w:jc w:val="right"/>
              <w:rPr>
                <w:sz w:val="18"/>
                <w:szCs w:val="18"/>
              </w:rPr>
            </w:pPr>
            <w:r>
              <w:rPr>
                <w:sz w:val="18"/>
                <w:szCs w:val="18"/>
              </w:rPr>
              <w:t>7,850</w:t>
            </w:r>
          </w:p>
        </w:tc>
        <w:tc>
          <w:tcPr>
            <w:tcW w:w="2436" w:type="dxa"/>
            <w:vAlign w:val="bottom"/>
          </w:tcPr>
          <w:p w14:paraId="0C56FD52" w14:textId="4FBFEE15" w:rsidR="00224102" w:rsidRPr="00692926" w:rsidRDefault="00224102" w:rsidP="00224102">
            <w:pPr>
              <w:ind w:right="47"/>
              <w:jc w:val="right"/>
              <w:rPr>
                <w:sz w:val="18"/>
                <w:szCs w:val="18"/>
              </w:rPr>
            </w:pPr>
            <w:r w:rsidRPr="00692926">
              <w:rPr>
                <w:sz w:val="18"/>
                <w:szCs w:val="18"/>
              </w:rPr>
              <w:t>3,123</w:t>
            </w:r>
          </w:p>
        </w:tc>
      </w:tr>
      <w:tr w:rsidR="00224102" w:rsidRPr="00604C75" w14:paraId="23A96682" w14:textId="77777777" w:rsidTr="00AD726D">
        <w:trPr>
          <w:trHeight w:val="255"/>
        </w:trPr>
        <w:tc>
          <w:tcPr>
            <w:tcW w:w="4296" w:type="dxa"/>
            <w:shd w:val="clear" w:color="auto" w:fill="FFFFFF"/>
            <w:vAlign w:val="bottom"/>
          </w:tcPr>
          <w:p w14:paraId="541C5864" w14:textId="77777777" w:rsidR="00224102" w:rsidRPr="00604C75" w:rsidRDefault="00224102" w:rsidP="00224102">
            <w:pPr>
              <w:jc w:val="both"/>
              <w:rPr>
                <w:b/>
                <w:sz w:val="18"/>
                <w:szCs w:val="18"/>
              </w:rPr>
            </w:pPr>
            <w:r w:rsidRPr="00604C75">
              <w:rPr>
                <w:b/>
                <w:sz w:val="18"/>
                <w:szCs w:val="18"/>
              </w:rPr>
              <w:t>Total</w:t>
            </w:r>
          </w:p>
        </w:tc>
        <w:tc>
          <w:tcPr>
            <w:tcW w:w="2619" w:type="dxa"/>
            <w:vAlign w:val="bottom"/>
          </w:tcPr>
          <w:p w14:paraId="5E77E70B" w14:textId="353B4B38" w:rsidR="00224102" w:rsidRPr="00692926" w:rsidRDefault="00224102" w:rsidP="00224102">
            <w:pPr>
              <w:ind w:right="47"/>
              <w:jc w:val="right"/>
              <w:rPr>
                <w:b/>
                <w:sz w:val="18"/>
                <w:szCs w:val="18"/>
              </w:rPr>
            </w:pPr>
            <w:r>
              <w:rPr>
                <w:b/>
                <w:sz w:val="18"/>
                <w:szCs w:val="18"/>
              </w:rPr>
              <w:t>37,508</w:t>
            </w:r>
          </w:p>
        </w:tc>
        <w:tc>
          <w:tcPr>
            <w:tcW w:w="2436" w:type="dxa"/>
            <w:vAlign w:val="bottom"/>
          </w:tcPr>
          <w:p w14:paraId="38E77CBE" w14:textId="1F372DE5" w:rsidR="00224102" w:rsidRPr="00692926" w:rsidRDefault="00224102" w:rsidP="00224102">
            <w:pPr>
              <w:ind w:right="47"/>
              <w:jc w:val="right"/>
              <w:rPr>
                <w:b/>
                <w:sz w:val="18"/>
                <w:szCs w:val="18"/>
              </w:rPr>
            </w:pPr>
            <w:r w:rsidRPr="00692926">
              <w:rPr>
                <w:b/>
                <w:sz w:val="18"/>
                <w:szCs w:val="18"/>
              </w:rPr>
              <w:t>32,198</w:t>
            </w:r>
          </w:p>
        </w:tc>
      </w:tr>
    </w:tbl>
    <w:p w14:paraId="34CE48C4" w14:textId="254E3440" w:rsidR="0044575F" w:rsidRPr="00195EDC" w:rsidRDefault="00213389" w:rsidP="00CD0767">
      <w:pPr>
        <w:spacing w:before="60"/>
        <w:jc w:val="both"/>
        <w:rPr>
          <w:rFonts w:eastAsia="Arial Unicode MS"/>
          <w:bCs/>
          <w:sz w:val="18"/>
          <w:szCs w:val="18"/>
        </w:rPr>
      </w:pPr>
      <w:r>
        <w:rPr>
          <w:rFonts w:eastAsia="Arial Unicode MS"/>
          <w:bCs/>
          <w:sz w:val="18"/>
          <w:szCs w:val="18"/>
        </w:rPr>
        <w:t>(*)</w:t>
      </w:r>
      <w:r w:rsidR="00AA1AA6">
        <w:rPr>
          <w:rFonts w:eastAsia="Arial Unicode MS"/>
          <w:bCs/>
          <w:sz w:val="18"/>
          <w:szCs w:val="18"/>
        </w:rPr>
        <w:t xml:space="preserve"> </w:t>
      </w:r>
      <w:r w:rsidR="0085361A">
        <w:rPr>
          <w:rFonts w:eastAsia="Arial Unicode MS"/>
          <w:bCs/>
          <w:sz w:val="18"/>
          <w:szCs w:val="18"/>
        </w:rPr>
        <w:t xml:space="preserve">Other line consist of </w:t>
      </w:r>
      <w:r w:rsidR="0044575F" w:rsidRPr="00195EDC">
        <w:rPr>
          <w:rFonts w:eastAsia="Arial Unicode MS"/>
          <w:bCs/>
          <w:sz w:val="18"/>
          <w:szCs w:val="18"/>
        </w:rPr>
        <w:t>TL</w:t>
      </w:r>
      <w:r w:rsidR="006F201B" w:rsidRPr="00195EDC">
        <w:rPr>
          <w:rFonts w:eastAsia="Arial Unicode MS"/>
          <w:bCs/>
          <w:sz w:val="18"/>
          <w:szCs w:val="18"/>
        </w:rPr>
        <w:t xml:space="preserve"> </w:t>
      </w:r>
      <w:r w:rsidR="003A5746" w:rsidRPr="00195EDC">
        <w:rPr>
          <w:rFonts w:eastAsia="Arial Unicode MS"/>
          <w:bCs/>
          <w:sz w:val="18"/>
          <w:szCs w:val="18"/>
        </w:rPr>
        <w:t>7,780</w:t>
      </w:r>
      <w:r w:rsidRPr="00195EDC">
        <w:rPr>
          <w:rFonts w:eastAsia="Arial Unicode MS"/>
          <w:bCs/>
          <w:sz w:val="18"/>
          <w:szCs w:val="18"/>
        </w:rPr>
        <w:t xml:space="preserve"> </w:t>
      </w:r>
      <w:r w:rsidR="00BB2D32" w:rsidRPr="00195EDC">
        <w:rPr>
          <w:rFonts w:eastAsia="Arial Unicode MS"/>
          <w:bCs/>
          <w:sz w:val="18"/>
          <w:szCs w:val="18"/>
        </w:rPr>
        <w:t>litigation</w:t>
      </w:r>
      <w:r w:rsidR="00792377" w:rsidRPr="00195EDC">
        <w:rPr>
          <w:rFonts w:eastAsia="Arial Unicode MS"/>
          <w:bCs/>
          <w:sz w:val="18"/>
          <w:szCs w:val="18"/>
        </w:rPr>
        <w:t xml:space="preserve"> and claims</w:t>
      </w:r>
      <w:r w:rsidR="00BB2D32" w:rsidRPr="00195EDC">
        <w:rPr>
          <w:rFonts w:eastAsia="Arial Unicode MS"/>
          <w:bCs/>
          <w:sz w:val="18"/>
          <w:szCs w:val="18"/>
        </w:rPr>
        <w:t xml:space="preserve"> (</w:t>
      </w:r>
      <w:r w:rsidR="004F4359" w:rsidRPr="00195EDC">
        <w:rPr>
          <w:rFonts w:eastAsia="Arial Unicode MS"/>
          <w:bCs/>
          <w:sz w:val="18"/>
          <w:szCs w:val="18"/>
        </w:rPr>
        <w:t xml:space="preserve">31 December </w:t>
      </w:r>
      <w:r w:rsidR="00295F23" w:rsidRPr="00195EDC">
        <w:rPr>
          <w:rFonts w:eastAsia="Arial Unicode MS"/>
          <w:bCs/>
          <w:sz w:val="18"/>
          <w:szCs w:val="18"/>
        </w:rPr>
        <w:t>2014</w:t>
      </w:r>
      <w:r w:rsidR="00BB2D32" w:rsidRPr="00195EDC">
        <w:rPr>
          <w:rFonts w:eastAsia="Arial Unicode MS"/>
          <w:bCs/>
          <w:sz w:val="18"/>
          <w:szCs w:val="18"/>
        </w:rPr>
        <w:t>: TL</w:t>
      </w:r>
      <w:r w:rsidR="00186E02" w:rsidRPr="00195EDC">
        <w:rPr>
          <w:rFonts w:eastAsia="Arial Unicode MS"/>
          <w:bCs/>
          <w:sz w:val="18"/>
          <w:szCs w:val="18"/>
        </w:rPr>
        <w:t xml:space="preserve"> </w:t>
      </w:r>
      <w:r w:rsidR="00295F23" w:rsidRPr="00195EDC">
        <w:rPr>
          <w:rFonts w:eastAsia="Arial Unicode MS"/>
          <w:bCs/>
          <w:sz w:val="18"/>
          <w:szCs w:val="18"/>
        </w:rPr>
        <w:t>3,063</w:t>
      </w:r>
      <w:r w:rsidR="0044575F" w:rsidRPr="00195EDC">
        <w:rPr>
          <w:rFonts w:eastAsia="Arial Unicode MS"/>
          <w:bCs/>
          <w:sz w:val="18"/>
          <w:szCs w:val="18"/>
        </w:rPr>
        <w:t>)</w:t>
      </w:r>
      <w:r w:rsidR="0085361A">
        <w:rPr>
          <w:rFonts w:eastAsia="Arial Unicode MS"/>
          <w:bCs/>
          <w:sz w:val="18"/>
          <w:szCs w:val="18"/>
        </w:rPr>
        <w:t>,</w:t>
      </w:r>
      <w:r w:rsidR="009715B7">
        <w:rPr>
          <w:rFonts w:eastAsia="Arial Unicode MS"/>
          <w:bCs/>
          <w:sz w:val="18"/>
          <w:szCs w:val="18"/>
        </w:rPr>
        <w:t xml:space="preserve"> </w:t>
      </w:r>
      <w:r w:rsidR="0085361A">
        <w:rPr>
          <w:rFonts w:eastAsia="Arial Unicode MS"/>
          <w:bCs/>
          <w:sz w:val="18"/>
          <w:szCs w:val="18"/>
        </w:rPr>
        <w:t xml:space="preserve">TL 4 amounted provisions for disposals of </w:t>
      </w:r>
      <w:r w:rsidR="00634FE6">
        <w:rPr>
          <w:rFonts w:eastAsia="Arial Unicode MS"/>
          <w:bCs/>
          <w:sz w:val="18"/>
          <w:szCs w:val="18"/>
        </w:rPr>
        <w:t>securities</w:t>
      </w:r>
      <w:r w:rsidR="0085361A">
        <w:rPr>
          <w:rFonts w:eastAsia="Arial Unicode MS"/>
          <w:bCs/>
          <w:sz w:val="18"/>
          <w:szCs w:val="18"/>
        </w:rPr>
        <w:t xml:space="preserve"> (31 December 2014: TL 4) and TL 66 amounted other provisions. </w:t>
      </w:r>
    </w:p>
    <w:p w14:paraId="68CA623D" w14:textId="77777777" w:rsidR="0044575F" w:rsidRPr="00195EDC" w:rsidRDefault="0044575F" w:rsidP="00F8053C">
      <w:pPr>
        <w:tabs>
          <w:tab w:val="left" w:pos="2127"/>
        </w:tabs>
        <w:jc w:val="both"/>
        <w:rPr>
          <w:sz w:val="20"/>
          <w:szCs w:val="20"/>
          <w:vertAlign w:val="superscript"/>
        </w:rPr>
      </w:pPr>
    </w:p>
    <w:p w14:paraId="3727B299" w14:textId="77777777" w:rsidR="0044575F" w:rsidRPr="00195EDC" w:rsidRDefault="0044575F" w:rsidP="00F8053C">
      <w:pPr>
        <w:pStyle w:val="BodyTextIndent"/>
        <w:spacing w:after="0"/>
        <w:ind w:left="0"/>
        <w:rPr>
          <w:sz w:val="20"/>
          <w:szCs w:val="20"/>
        </w:rPr>
      </w:pPr>
      <w:r w:rsidRPr="00195EDC">
        <w:rPr>
          <w:sz w:val="20"/>
          <w:szCs w:val="20"/>
        </w:rPr>
        <w:t>4.</w:t>
      </w:r>
      <w:r w:rsidRPr="00195EDC">
        <w:rPr>
          <w:sz w:val="20"/>
          <w:szCs w:val="20"/>
        </w:rPr>
        <w:tab/>
        <w:t xml:space="preserve">Information on Provisions Related with the Foreign Currency Difference </w:t>
      </w:r>
      <w:r w:rsidR="00FA3140" w:rsidRPr="00195EDC">
        <w:rPr>
          <w:sz w:val="20"/>
          <w:szCs w:val="20"/>
        </w:rPr>
        <w:t>of Foreign</w:t>
      </w:r>
      <w:r w:rsidR="00F8053C" w:rsidRPr="00195EDC">
        <w:rPr>
          <w:sz w:val="20"/>
          <w:szCs w:val="20"/>
        </w:rPr>
        <w:t xml:space="preserve"> Indexed Loans</w:t>
      </w:r>
    </w:p>
    <w:p w14:paraId="08FB7BC4" w14:textId="77777777" w:rsidR="0044575F" w:rsidRPr="00195EDC" w:rsidRDefault="0044575F" w:rsidP="00F8053C">
      <w:pPr>
        <w:spacing w:line="120" w:lineRule="auto"/>
        <w:jc w:val="both"/>
        <w:rPr>
          <w:sz w:val="20"/>
          <w:szCs w:val="20"/>
        </w:rPr>
      </w:pPr>
    </w:p>
    <w:p w14:paraId="32C7BC0F" w14:textId="77777777" w:rsidR="00BB2D32" w:rsidRPr="00604C75" w:rsidRDefault="000467F0" w:rsidP="00F8053C">
      <w:pPr>
        <w:jc w:val="both"/>
        <w:rPr>
          <w:sz w:val="20"/>
          <w:szCs w:val="20"/>
        </w:rPr>
      </w:pPr>
      <w:r w:rsidRPr="00195EDC">
        <w:rPr>
          <w:sz w:val="20"/>
          <w:szCs w:val="20"/>
        </w:rPr>
        <w:t>As of 3</w:t>
      </w:r>
      <w:r w:rsidR="00746243" w:rsidRPr="00195EDC">
        <w:rPr>
          <w:sz w:val="20"/>
          <w:szCs w:val="20"/>
        </w:rPr>
        <w:t>1</w:t>
      </w:r>
      <w:r w:rsidRPr="00195EDC">
        <w:rPr>
          <w:sz w:val="20"/>
          <w:szCs w:val="20"/>
        </w:rPr>
        <w:t xml:space="preserve"> </w:t>
      </w:r>
      <w:r w:rsidR="00746243" w:rsidRPr="00195EDC">
        <w:rPr>
          <w:sz w:val="20"/>
          <w:szCs w:val="20"/>
        </w:rPr>
        <w:t xml:space="preserve">December </w:t>
      </w:r>
      <w:r w:rsidR="0044575F" w:rsidRPr="00195EDC">
        <w:rPr>
          <w:sz w:val="20"/>
          <w:szCs w:val="20"/>
        </w:rPr>
        <w:t>201</w:t>
      </w:r>
      <w:r w:rsidR="00295F23" w:rsidRPr="00195EDC">
        <w:rPr>
          <w:sz w:val="20"/>
          <w:szCs w:val="20"/>
        </w:rPr>
        <w:t>5</w:t>
      </w:r>
      <w:r w:rsidR="0044575F" w:rsidRPr="00195EDC">
        <w:rPr>
          <w:sz w:val="20"/>
          <w:szCs w:val="20"/>
        </w:rPr>
        <w:t xml:space="preserve">, the provision related to the foreign currency differences on foreign indexed </w:t>
      </w:r>
      <w:r w:rsidR="006F341E" w:rsidRPr="00195EDC">
        <w:rPr>
          <w:sz w:val="20"/>
          <w:szCs w:val="20"/>
        </w:rPr>
        <w:t>loans</w:t>
      </w:r>
      <w:r w:rsidR="0044575F" w:rsidRPr="00195EDC">
        <w:rPr>
          <w:sz w:val="20"/>
          <w:szCs w:val="20"/>
        </w:rPr>
        <w:t xml:space="preserve"> amounts to TL</w:t>
      </w:r>
      <w:r w:rsidR="00BB2D32" w:rsidRPr="00195EDC">
        <w:rPr>
          <w:sz w:val="20"/>
          <w:szCs w:val="20"/>
        </w:rPr>
        <w:t xml:space="preserve"> </w:t>
      </w:r>
      <w:r w:rsidR="003A5746" w:rsidRPr="00195EDC">
        <w:rPr>
          <w:sz w:val="20"/>
          <w:szCs w:val="20"/>
        </w:rPr>
        <w:t>7,630</w:t>
      </w:r>
      <w:r w:rsidR="00BA52C9" w:rsidRPr="00195EDC">
        <w:rPr>
          <w:sz w:val="20"/>
          <w:szCs w:val="20"/>
        </w:rPr>
        <w:t xml:space="preserve"> </w:t>
      </w:r>
      <w:r w:rsidR="0044575F" w:rsidRPr="00195EDC">
        <w:rPr>
          <w:sz w:val="20"/>
          <w:szCs w:val="20"/>
        </w:rPr>
        <w:t>(</w:t>
      </w:r>
      <w:r w:rsidR="00FA3140" w:rsidRPr="00195EDC">
        <w:rPr>
          <w:sz w:val="20"/>
          <w:szCs w:val="20"/>
        </w:rPr>
        <w:t>31</w:t>
      </w:r>
      <w:r w:rsidR="00FA3140" w:rsidRPr="006F201B">
        <w:rPr>
          <w:sz w:val="20"/>
          <w:szCs w:val="20"/>
        </w:rPr>
        <w:t xml:space="preserve"> December </w:t>
      </w:r>
      <w:r w:rsidR="0044575F" w:rsidRPr="006F201B">
        <w:rPr>
          <w:sz w:val="20"/>
          <w:szCs w:val="20"/>
        </w:rPr>
        <w:t>201</w:t>
      </w:r>
      <w:r w:rsidR="00295F23" w:rsidRPr="006F201B">
        <w:rPr>
          <w:sz w:val="20"/>
          <w:szCs w:val="20"/>
        </w:rPr>
        <w:t>4</w:t>
      </w:r>
      <w:r w:rsidR="00BB2D32" w:rsidRPr="006F201B">
        <w:rPr>
          <w:sz w:val="20"/>
          <w:szCs w:val="20"/>
        </w:rPr>
        <w:t xml:space="preserve">: TL </w:t>
      </w:r>
      <w:r w:rsidR="00295F23" w:rsidRPr="006F201B">
        <w:rPr>
          <w:sz w:val="20"/>
          <w:szCs w:val="20"/>
        </w:rPr>
        <w:t>5,428</w:t>
      </w:r>
      <w:r w:rsidR="00BB2D32" w:rsidRPr="006F201B">
        <w:rPr>
          <w:sz w:val="20"/>
          <w:szCs w:val="20"/>
        </w:rPr>
        <w:t>)</w:t>
      </w:r>
      <w:r w:rsidR="00801224" w:rsidRPr="006F201B">
        <w:rPr>
          <w:sz w:val="20"/>
          <w:szCs w:val="20"/>
        </w:rPr>
        <w:t xml:space="preserve"> are netted with loans in the financial statements.</w:t>
      </w:r>
    </w:p>
    <w:p w14:paraId="33866B95" w14:textId="3867EBD6" w:rsidR="00FA3140"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367274CB" w14:textId="1AEB717A" w:rsidR="00DA49EC" w:rsidRPr="00604C75" w:rsidRDefault="00DA49EC" w:rsidP="00490153">
      <w:pPr>
        <w:pStyle w:val="Heading2"/>
        <w:tabs>
          <w:tab w:val="left" w:pos="709"/>
        </w:tabs>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647320" w:rsidRPr="00604C75">
        <w:rPr>
          <w:rFonts w:ascii="Times New Roman" w:hAnsi="Times New Roman"/>
          <w:noProof/>
          <w:sz w:val="20"/>
        </w:rPr>
        <w:t xml:space="preserve">Explanations and Notes </w:t>
      </w:r>
      <w:r w:rsidR="00647320">
        <w:rPr>
          <w:rFonts w:ascii="Times New Roman" w:hAnsi="Times New Roman"/>
          <w:noProof/>
          <w:sz w:val="20"/>
        </w:rPr>
        <w:t>on</w:t>
      </w:r>
      <w:r w:rsidR="00647320" w:rsidRPr="00604C75">
        <w:rPr>
          <w:rFonts w:ascii="Times New Roman" w:hAnsi="Times New Roman"/>
          <w:noProof/>
          <w:sz w:val="20"/>
        </w:rPr>
        <w:t xml:space="preserve"> Liabilities</w:t>
      </w:r>
      <w:r w:rsidR="00647320" w:rsidRPr="00604C75">
        <w:rPr>
          <w:rFonts w:ascii="Times New Roman" w:hAnsi="Times New Roman"/>
          <w:bCs/>
          <w:sz w:val="20"/>
        </w:rPr>
        <w:t xml:space="preserve"> </w:t>
      </w:r>
      <w:r w:rsidRPr="00604C75">
        <w:rPr>
          <w:rFonts w:ascii="Times New Roman" w:hAnsi="Times New Roman"/>
          <w:bCs/>
          <w:sz w:val="20"/>
        </w:rPr>
        <w:t>(Continued)</w:t>
      </w:r>
    </w:p>
    <w:p w14:paraId="5FF75714" w14:textId="77777777" w:rsidR="0044575F" w:rsidRPr="00604C75" w:rsidRDefault="0044575F" w:rsidP="00490153">
      <w:pPr>
        <w:spacing w:before="120"/>
        <w:ind w:left="709" w:hanging="709"/>
        <w:jc w:val="both"/>
        <w:rPr>
          <w:b/>
          <w:sz w:val="20"/>
          <w:szCs w:val="20"/>
          <w:lang w:val="fr-FR"/>
        </w:rPr>
      </w:pPr>
      <w:r w:rsidRPr="00604C75">
        <w:rPr>
          <w:b/>
          <w:sz w:val="20"/>
          <w:szCs w:val="20"/>
          <w:lang w:val="fr-FR"/>
        </w:rPr>
        <w:t>h.</w:t>
      </w:r>
      <w:r w:rsidRPr="00604C75">
        <w:rPr>
          <w:b/>
          <w:sz w:val="20"/>
          <w:szCs w:val="20"/>
          <w:lang w:val="fr-FR"/>
        </w:rPr>
        <w:tab/>
      </w:r>
      <w:r w:rsidR="00856356" w:rsidRPr="00604C75">
        <w:rPr>
          <w:b/>
          <w:bCs/>
          <w:iCs/>
          <w:sz w:val="20"/>
          <w:szCs w:val="20"/>
          <w:lang w:val="fr-FR"/>
        </w:rPr>
        <w:t xml:space="preserve">Information on </w:t>
      </w:r>
      <w:proofErr w:type="gramStart"/>
      <w:r w:rsidR="00856356" w:rsidRPr="00604C75">
        <w:rPr>
          <w:b/>
          <w:bCs/>
          <w:iCs/>
          <w:sz w:val="20"/>
          <w:szCs w:val="20"/>
          <w:lang w:val="fr-FR"/>
        </w:rPr>
        <w:t>taxes</w:t>
      </w:r>
      <w:proofErr w:type="gramEnd"/>
      <w:r w:rsidRPr="00604C75">
        <w:rPr>
          <w:b/>
          <w:bCs/>
          <w:iCs/>
          <w:sz w:val="20"/>
          <w:szCs w:val="20"/>
          <w:lang w:val="fr-FR"/>
        </w:rPr>
        <w:t xml:space="preserve"> payable</w:t>
      </w:r>
    </w:p>
    <w:p w14:paraId="270406A8" w14:textId="77777777" w:rsidR="008404E4" w:rsidRPr="00604C75" w:rsidRDefault="003A1D77" w:rsidP="00490153">
      <w:pPr>
        <w:pStyle w:val="BodyTextIndent"/>
        <w:spacing w:before="120"/>
        <w:ind w:left="0"/>
        <w:rPr>
          <w:b/>
          <w:sz w:val="20"/>
          <w:szCs w:val="20"/>
          <w:lang w:val="fr-FR"/>
        </w:rPr>
      </w:pPr>
      <w:r w:rsidRPr="00604C75">
        <w:rPr>
          <w:b/>
          <w:sz w:val="20"/>
          <w:szCs w:val="20"/>
          <w:lang w:val="fr-FR"/>
        </w:rPr>
        <w:t>Inform</w:t>
      </w:r>
      <w:r w:rsidR="00416B25" w:rsidRPr="00604C75">
        <w:rPr>
          <w:b/>
          <w:sz w:val="20"/>
          <w:szCs w:val="20"/>
          <w:lang w:val="fr-FR"/>
        </w:rPr>
        <w:t xml:space="preserve">ation on </w:t>
      </w:r>
      <w:proofErr w:type="spellStart"/>
      <w:r w:rsidR="00416B25" w:rsidRPr="00604C75">
        <w:rPr>
          <w:b/>
          <w:sz w:val="20"/>
          <w:szCs w:val="20"/>
          <w:lang w:val="fr-FR"/>
        </w:rPr>
        <w:t>current</w:t>
      </w:r>
      <w:proofErr w:type="spellEnd"/>
      <w:r w:rsidR="00416B25" w:rsidRPr="00604C75">
        <w:rPr>
          <w:b/>
          <w:sz w:val="20"/>
          <w:szCs w:val="20"/>
          <w:lang w:val="fr-FR"/>
        </w:rPr>
        <w:t xml:space="preserve"> </w:t>
      </w:r>
      <w:proofErr w:type="spellStart"/>
      <w:r w:rsidR="00416B25" w:rsidRPr="00604C75">
        <w:rPr>
          <w:b/>
          <w:sz w:val="20"/>
          <w:szCs w:val="20"/>
          <w:lang w:val="fr-FR"/>
        </w:rPr>
        <w:t>tax</w:t>
      </w:r>
      <w:proofErr w:type="spellEnd"/>
      <w:r w:rsidR="00416B25" w:rsidRPr="00604C75">
        <w:rPr>
          <w:b/>
          <w:sz w:val="20"/>
          <w:szCs w:val="20"/>
          <w:lang w:val="fr-FR"/>
        </w:rPr>
        <w:t xml:space="preserve"> </w:t>
      </w:r>
      <w:proofErr w:type="spellStart"/>
      <w:r w:rsidR="00416B25" w:rsidRPr="00604C75">
        <w:rPr>
          <w:b/>
          <w:sz w:val="20"/>
          <w:szCs w:val="20"/>
          <w:lang w:val="fr-FR"/>
        </w:rPr>
        <w:t>liability</w:t>
      </w:r>
      <w:proofErr w:type="spellEnd"/>
    </w:p>
    <w:p w14:paraId="60801972" w14:textId="77777777" w:rsidR="008512CE" w:rsidRPr="00604C75" w:rsidRDefault="000467F0" w:rsidP="00490153">
      <w:pPr>
        <w:spacing w:before="120"/>
        <w:jc w:val="both"/>
        <w:rPr>
          <w:bCs/>
          <w:sz w:val="20"/>
          <w:szCs w:val="20"/>
        </w:rPr>
      </w:pPr>
      <w:r w:rsidRPr="006F201B">
        <w:rPr>
          <w:bCs/>
          <w:sz w:val="20"/>
          <w:szCs w:val="20"/>
        </w:rPr>
        <w:t>As of 3</w:t>
      </w:r>
      <w:r w:rsidR="00BA52C9">
        <w:rPr>
          <w:bCs/>
          <w:sz w:val="20"/>
          <w:szCs w:val="20"/>
        </w:rPr>
        <w:t>1</w:t>
      </w:r>
      <w:r w:rsidRPr="006F201B">
        <w:rPr>
          <w:bCs/>
          <w:sz w:val="20"/>
          <w:szCs w:val="20"/>
        </w:rPr>
        <w:t xml:space="preserve"> </w:t>
      </w:r>
      <w:r w:rsidR="00BA52C9">
        <w:rPr>
          <w:bCs/>
          <w:sz w:val="20"/>
          <w:szCs w:val="20"/>
        </w:rPr>
        <w:t>December</w:t>
      </w:r>
      <w:r w:rsidR="00BA52C9" w:rsidRPr="006F201B">
        <w:rPr>
          <w:bCs/>
          <w:sz w:val="20"/>
          <w:szCs w:val="20"/>
        </w:rPr>
        <w:t xml:space="preserve"> </w:t>
      </w:r>
      <w:r w:rsidR="00DA49EC" w:rsidRPr="006F201B">
        <w:rPr>
          <w:bCs/>
          <w:sz w:val="20"/>
          <w:szCs w:val="20"/>
        </w:rPr>
        <w:t>2015</w:t>
      </w:r>
      <w:r w:rsidR="00253F42" w:rsidRPr="006F201B">
        <w:rPr>
          <w:bCs/>
          <w:sz w:val="20"/>
          <w:szCs w:val="20"/>
        </w:rPr>
        <w:t>,</w:t>
      </w:r>
      <w:r w:rsidR="008512CE" w:rsidRPr="006F201B">
        <w:rPr>
          <w:bCs/>
          <w:sz w:val="20"/>
          <w:szCs w:val="20"/>
        </w:rPr>
        <w:t xml:space="preserve"> </w:t>
      </w:r>
      <w:r w:rsidR="00253F42" w:rsidRPr="006F201B">
        <w:rPr>
          <w:bCs/>
          <w:sz w:val="20"/>
          <w:szCs w:val="20"/>
        </w:rPr>
        <w:t xml:space="preserve">current tax liability amounting to TL </w:t>
      </w:r>
      <w:r w:rsidR="003A5746">
        <w:rPr>
          <w:bCs/>
          <w:sz w:val="20"/>
          <w:szCs w:val="20"/>
        </w:rPr>
        <w:t>2</w:t>
      </w:r>
      <w:r w:rsidR="009E467E">
        <w:rPr>
          <w:bCs/>
          <w:sz w:val="20"/>
          <w:szCs w:val="20"/>
        </w:rPr>
        <w:t>8,497</w:t>
      </w:r>
      <w:r w:rsidR="003A5746">
        <w:rPr>
          <w:bCs/>
          <w:sz w:val="20"/>
          <w:szCs w:val="20"/>
        </w:rPr>
        <w:t xml:space="preserve"> </w:t>
      </w:r>
      <w:r w:rsidR="00253F42" w:rsidRPr="006F201B">
        <w:rPr>
          <w:bCs/>
          <w:sz w:val="20"/>
          <w:szCs w:val="20"/>
        </w:rPr>
        <w:t>is net</w:t>
      </w:r>
      <w:r w:rsidR="00A503AA" w:rsidRPr="006F201B">
        <w:rPr>
          <w:bCs/>
          <w:sz w:val="20"/>
          <w:szCs w:val="20"/>
        </w:rPr>
        <w:t>ted</w:t>
      </w:r>
      <w:r w:rsidR="00471D01" w:rsidRPr="006F201B">
        <w:rPr>
          <w:bCs/>
          <w:sz w:val="20"/>
          <w:szCs w:val="20"/>
        </w:rPr>
        <w:t xml:space="preserve"> with prepaid taxe</w:t>
      </w:r>
      <w:r w:rsidR="00253F42" w:rsidRPr="006F201B">
        <w:rPr>
          <w:bCs/>
          <w:sz w:val="20"/>
          <w:szCs w:val="20"/>
        </w:rPr>
        <w:t>s</w:t>
      </w:r>
      <w:r w:rsidR="00471D01" w:rsidRPr="006F201B">
        <w:rPr>
          <w:bCs/>
          <w:sz w:val="20"/>
          <w:szCs w:val="20"/>
        </w:rPr>
        <w:t xml:space="preserve"> which is amounted TL </w:t>
      </w:r>
      <w:r w:rsidR="003A5746">
        <w:rPr>
          <w:bCs/>
          <w:sz w:val="20"/>
          <w:szCs w:val="20"/>
        </w:rPr>
        <w:t>2</w:t>
      </w:r>
      <w:r w:rsidR="009E467E">
        <w:rPr>
          <w:bCs/>
          <w:sz w:val="20"/>
          <w:szCs w:val="20"/>
        </w:rPr>
        <w:t>2,428</w:t>
      </w:r>
      <w:r w:rsidR="003A5746" w:rsidRPr="00692926">
        <w:rPr>
          <w:bCs/>
          <w:sz w:val="20"/>
          <w:szCs w:val="20"/>
        </w:rPr>
        <w:t xml:space="preserve"> </w:t>
      </w:r>
      <w:r w:rsidR="00A503AA" w:rsidRPr="006F201B">
        <w:rPr>
          <w:bCs/>
          <w:sz w:val="20"/>
          <w:szCs w:val="20"/>
        </w:rPr>
        <w:t>and g</w:t>
      </w:r>
      <w:r w:rsidR="00253F42" w:rsidRPr="006F201B">
        <w:rPr>
          <w:bCs/>
          <w:sz w:val="20"/>
          <w:szCs w:val="20"/>
        </w:rPr>
        <w:t xml:space="preserve">roup has TL </w:t>
      </w:r>
      <w:r w:rsidR="003A5746">
        <w:rPr>
          <w:bCs/>
          <w:sz w:val="20"/>
          <w:szCs w:val="20"/>
        </w:rPr>
        <w:t xml:space="preserve">6,069 </w:t>
      </w:r>
      <w:r w:rsidRPr="006F201B">
        <w:rPr>
          <w:bCs/>
          <w:sz w:val="20"/>
          <w:szCs w:val="20"/>
        </w:rPr>
        <w:t xml:space="preserve">tax liability as of </w:t>
      </w:r>
      <w:r w:rsidR="00BA52C9" w:rsidRPr="006F201B">
        <w:rPr>
          <w:bCs/>
          <w:sz w:val="20"/>
          <w:szCs w:val="20"/>
        </w:rPr>
        <w:t>3</w:t>
      </w:r>
      <w:r w:rsidR="00BA52C9">
        <w:rPr>
          <w:bCs/>
          <w:sz w:val="20"/>
          <w:szCs w:val="20"/>
        </w:rPr>
        <w:t>1</w:t>
      </w:r>
      <w:r w:rsidR="00BA52C9" w:rsidRPr="006F201B">
        <w:rPr>
          <w:bCs/>
          <w:sz w:val="20"/>
          <w:szCs w:val="20"/>
        </w:rPr>
        <w:t xml:space="preserve"> </w:t>
      </w:r>
      <w:r w:rsidR="00BA52C9">
        <w:rPr>
          <w:bCs/>
          <w:sz w:val="20"/>
          <w:szCs w:val="20"/>
        </w:rPr>
        <w:t>December</w:t>
      </w:r>
      <w:r w:rsidR="00BA52C9" w:rsidRPr="006F201B">
        <w:rPr>
          <w:bCs/>
          <w:sz w:val="20"/>
          <w:szCs w:val="20"/>
        </w:rPr>
        <w:t xml:space="preserve"> </w:t>
      </w:r>
      <w:r w:rsidR="00DA49EC" w:rsidRPr="006F201B">
        <w:rPr>
          <w:bCs/>
          <w:sz w:val="20"/>
          <w:szCs w:val="20"/>
        </w:rPr>
        <w:t>2015</w:t>
      </w:r>
      <w:r w:rsidR="00253F42" w:rsidRPr="006F201B">
        <w:rPr>
          <w:bCs/>
          <w:sz w:val="20"/>
          <w:szCs w:val="20"/>
        </w:rPr>
        <w:t xml:space="preserve"> </w:t>
      </w:r>
      <w:r w:rsidR="008512CE" w:rsidRPr="006F201B">
        <w:rPr>
          <w:bCs/>
          <w:sz w:val="20"/>
          <w:szCs w:val="20"/>
        </w:rPr>
        <w:t xml:space="preserve">(31 </w:t>
      </w:r>
      <w:r w:rsidR="00253F42" w:rsidRPr="006F201B">
        <w:rPr>
          <w:bCs/>
          <w:sz w:val="20"/>
          <w:szCs w:val="20"/>
        </w:rPr>
        <w:t>December</w:t>
      </w:r>
      <w:r w:rsidR="008512CE" w:rsidRPr="006F201B">
        <w:rPr>
          <w:bCs/>
          <w:sz w:val="20"/>
          <w:szCs w:val="20"/>
        </w:rPr>
        <w:t xml:space="preserve"> 201</w:t>
      </w:r>
      <w:r w:rsidR="00DA49EC" w:rsidRPr="006F201B">
        <w:rPr>
          <w:bCs/>
          <w:sz w:val="20"/>
          <w:szCs w:val="20"/>
        </w:rPr>
        <w:t>4</w:t>
      </w:r>
      <w:r w:rsidR="008512CE" w:rsidRPr="006F201B">
        <w:rPr>
          <w:bCs/>
          <w:sz w:val="20"/>
          <w:szCs w:val="20"/>
        </w:rPr>
        <w:t xml:space="preserve">: </w:t>
      </w:r>
      <w:r w:rsidR="00253F42" w:rsidRPr="006F201B">
        <w:rPr>
          <w:bCs/>
          <w:sz w:val="20"/>
          <w:szCs w:val="20"/>
        </w:rPr>
        <w:t xml:space="preserve">TL </w:t>
      </w:r>
      <w:r w:rsidR="00CF6F5B" w:rsidRPr="006F201B">
        <w:rPr>
          <w:bCs/>
          <w:sz w:val="20"/>
          <w:szCs w:val="20"/>
        </w:rPr>
        <w:t>9,196</w:t>
      </w:r>
      <w:r w:rsidR="008512CE" w:rsidRPr="006F201B">
        <w:rPr>
          <w:bCs/>
          <w:sz w:val="20"/>
          <w:szCs w:val="20"/>
        </w:rPr>
        <w:t>).</w:t>
      </w:r>
      <w:r w:rsidR="008512CE" w:rsidRPr="00604C75">
        <w:rPr>
          <w:bCs/>
          <w:sz w:val="20"/>
          <w:szCs w:val="20"/>
        </w:rPr>
        <w:t xml:space="preserve"> </w:t>
      </w:r>
    </w:p>
    <w:p w14:paraId="663C4EFB" w14:textId="77777777" w:rsidR="0044575F" w:rsidRPr="00604C75" w:rsidRDefault="0044575F" w:rsidP="00490153">
      <w:pPr>
        <w:pStyle w:val="BodyTextIndent"/>
        <w:spacing w:before="120" w:after="0"/>
        <w:ind w:left="709" w:hanging="709"/>
        <w:rPr>
          <w:sz w:val="20"/>
          <w:szCs w:val="20"/>
        </w:rPr>
      </w:pPr>
      <w:r w:rsidRPr="00604C75">
        <w:rPr>
          <w:sz w:val="20"/>
          <w:szCs w:val="20"/>
        </w:rPr>
        <w:t>(i)</w:t>
      </w:r>
      <w:r w:rsidRPr="00604C75">
        <w:rPr>
          <w:sz w:val="20"/>
          <w:szCs w:val="20"/>
        </w:rPr>
        <w:tab/>
        <w:t>Information on taxes payable</w:t>
      </w:r>
    </w:p>
    <w:p w14:paraId="32AED1BF" w14:textId="77777777" w:rsidR="0044575F" w:rsidRPr="00604C75" w:rsidRDefault="0044575F" w:rsidP="00DA49EC">
      <w:pPr>
        <w:pStyle w:val="BodyTextIndent"/>
        <w:spacing w:after="0"/>
        <w:ind w:left="709" w:hanging="709"/>
        <w:rPr>
          <w:bCs/>
          <w:sz w:val="20"/>
          <w:szCs w:val="20"/>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209"/>
        <w:gridCol w:w="1979"/>
        <w:gridCol w:w="2149"/>
      </w:tblGrid>
      <w:tr w:rsidR="0044575F" w:rsidRPr="00604C75" w14:paraId="2ADC1AD8" w14:textId="77777777" w:rsidTr="00CD0767">
        <w:trPr>
          <w:trHeight w:val="220"/>
        </w:trPr>
        <w:tc>
          <w:tcPr>
            <w:tcW w:w="5209" w:type="dxa"/>
            <w:shd w:val="clear" w:color="auto" w:fill="FFFFFF"/>
            <w:vAlign w:val="bottom"/>
          </w:tcPr>
          <w:p w14:paraId="77B148B3" w14:textId="77777777" w:rsidR="0044575F" w:rsidRPr="00604C75" w:rsidRDefault="0044575F" w:rsidP="00DA49EC">
            <w:pPr>
              <w:ind w:left="709" w:hanging="709"/>
              <w:jc w:val="center"/>
              <w:rPr>
                <w:rFonts w:eastAsia="Arial Unicode MS"/>
                <w:b/>
                <w:bCs/>
                <w:sz w:val="18"/>
                <w:szCs w:val="18"/>
              </w:rPr>
            </w:pPr>
            <w:r w:rsidRPr="00604C75">
              <w:rPr>
                <w:b/>
                <w:bCs/>
                <w:sz w:val="18"/>
                <w:szCs w:val="18"/>
              </w:rPr>
              <w:t> </w:t>
            </w:r>
          </w:p>
        </w:tc>
        <w:tc>
          <w:tcPr>
            <w:tcW w:w="1979" w:type="dxa"/>
            <w:shd w:val="clear" w:color="auto" w:fill="FFFFFF"/>
            <w:vAlign w:val="bottom"/>
          </w:tcPr>
          <w:p w14:paraId="673F03B2" w14:textId="77777777" w:rsidR="0044575F" w:rsidRPr="00604C75" w:rsidRDefault="000467F0" w:rsidP="00CD0767">
            <w:pPr>
              <w:ind w:left="709" w:right="65" w:hanging="709"/>
              <w:jc w:val="center"/>
              <w:rPr>
                <w:rFonts w:eastAsia="Arial Unicode MS"/>
                <w:b/>
                <w:bCs/>
                <w:sz w:val="18"/>
                <w:szCs w:val="18"/>
              </w:rPr>
            </w:pPr>
            <w:r>
              <w:rPr>
                <w:b/>
                <w:iCs/>
                <w:sz w:val="18"/>
              </w:rPr>
              <w:t>3</w:t>
            </w:r>
            <w:r w:rsidR="0069195A">
              <w:rPr>
                <w:b/>
                <w:iCs/>
                <w:sz w:val="18"/>
              </w:rPr>
              <w:t>1</w:t>
            </w:r>
            <w:r>
              <w:rPr>
                <w:b/>
                <w:iCs/>
                <w:sz w:val="18"/>
              </w:rPr>
              <w:t xml:space="preserve"> </w:t>
            </w:r>
            <w:r w:rsidR="0069195A">
              <w:rPr>
                <w:b/>
                <w:iCs/>
                <w:sz w:val="18"/>
              </w:rPr>
              <w:t>December</w:t>
            </w:r>
            <w:r w:rsidR="0069195A" w:rsidRPr="00604C75">
              <w:rPr>
                <w:b/>
                <w:iCs/>
                <w:sz w:val="18"/>
              </w:rPr>
              <w:t xml:space="preserve"> </w:t>
            </w:r>
            <w:r w:rsidR="008404E4" w:rsidRPr="00604C75">
              <w:rPr>
                <w:b/>
                <w:bCs/>
                <w:sz w:val="18"/>
                <w:szCs w:val="18"/>
              </w:rPr>
              <w:t>201</w:t>
            </w:r>
            <w:r w:rsidR="00DA49EC" w:rsidRPr="00604C75">
              <w:rPr>
                <w:b/>
                <w:bCs/>
                <w:sz w:val="18"/>
                <w:szCs w:val="18"/>
              </w:rPr>
              <w:t>5</w:t>
            </w:r>
          </w:p>
        </w:tc>
        <w:tc>
          <w:tcPr>
            <w:tcW w:w="2149" w:type="dxa"/>
            <w:shd w:val="clear" w:color="auto" w:fill="FFFFFF"/>
            <w:vAlign w:val="bottom"/>
          </w:tcPr>
          <w:p w14:paraId="777DA97D" w14:textId="77777777" w:rsidR="0044575F" w:rsidRPr="00604C75" w:rsidRDefault="0044575F" w:rsidP="00CD0767">
            <w:pPr>
              <w:ind w:left="709" w:right="65" w:hanging="709"/>
              <w:jc w:val="center"/>
              <w:rPr>
                <w:rFonts w:eastAsia="Arial Unicode MS"/>
                <w:b/>
                <w:bCs/>
                <w:sz w:val="18"/>
                <w:szCs w:val="18"/>
              </w:rPr>
            </w:pPr>
            <w:r w:rsidRPr="00604C75">
              <w:rPr>
                <w:b/>
                <w:bCs/>
                <w:sz w:val="18"/>
                <w:szCs w:val="18"/>
              </w:rPr>
              <w:t xml:space="preserve">31 </w:t>
            </w:r>
            <w:r w:rsidR="00DA49EC" w:rsidRPr="00604C75">
              <w:rPr>
                <w:b/>
                <w:bCs/>
                <w:sz w:val="18"/>
                <w:szCs w:val="18"/>
              </w:rPr>
              <w:t>December</w:t>
            </w:r>
            <w:r w:rsidRPr="00604C75">
              <w:rPr>
                <w:b/>
                <w:bCs/>
                <w:sz w:val="18"/>
                <w:szCs w:val="18"/>
              </w:rPr>
              <w:t xml:space="preserve"> 201</w:t>
            </w:r>
            <w:r w:rsidR="00DA49EC" w:rsidRPr="00604C75">
              <w:rPr>
                <w:b/>
                <w:bCs/>
                <w:sz w:val="18"/>
                <w:szCs w:val="18"/>
              </w:rPr>
              <w:t>4</w:t>
            </w:r>
          </w:p>
        </w:tc>
      </w:tr>
      <w:tr w:rsidR="00224102" w:rsidRPr="00604C75" w14:paraId="5181F2DE" w14:textId="77777777" w:rsidTr="00AD726D">
        <w:trPr>
          <w:trHeight w:val="255"/>
        </w:trPr>
        <w:tc>
          <w:tcPr>
            <w:tcW w:w="5209" w:type="dxa"/>
            <w:shd w:val="clear" w:color="auto" w:fill="FFFFFF"/>
            <w:vAlign w:val="bottom"/>
          </w:tcPr>
          <w:p w14:paraId="58FEA2D0"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Corporate Tax Payable</w:t>
            </w:r>
          </w:p>
        </w:tc>
        <w:tc>
          <w:tcPr>
            <w:tcW w:w="1979" w:type="dxa"/>
            <w:vAlign w:val="bottom"/>
          </w:tcPr>
          <w:p w14:paraId="3BB8F74E" w14:textId="30F1BA9A" w:rsidR="00224102" w:rsidRDefault="00224102" w:rsidP="00224102">
            <w:pPr>
              <w:jc w:val="right"/>
              <w:rPr>
                <w:sz w:val="18"/>
                <w:szCs w:val="18"/>
              </w:rPr>
            </w:pPr>
            <w:r>
              <w:rPr>
                <w:sz w:val="18"/>
                <w:szCs w:val="18"/>
              </w:rPr>
              <w:t>6,069</w:t>
            </w:r>
          </w:p>
        </w:tc>
        <w:tc>
          <w:tcPr>
            <w:tcW w:w="2149" w:type="dxa"/>
            <w:vAlign w:val="bottom"/>
          </w:tcPr>
          <w:p w14:paraId="41F43AD6" w14:textId="7366D783" w:rsidR="00224102" w:rsidRPr="00692926" w:rsidRDefault="00224102" w:rsidP="00224102">
            <w:pPr>
              <w:tabs>
                <w:tab w:val="left" w:pos="0"/>
              </w:tabs>
              <w:ind w:right="33"/>
              <w:jc w:val="right"/>
              <w:rPr>
                <w:sz w:val="18"/>
                <w:szCs w:val="18"/>
              </w:rPr>
            </w:pPr>
            <w:r w:rsidRPr="00692926">
              <w:rPr>
                <w:sz w:val="18"/>
                <w:szCs w:val="18"/>
              </w:rPr>
              <w:t>9,196</w:t>
            </w:r>
          </w:p>
        </w:tc>
      </w:tr>
      <w:tr w:rsidR="00224102" w:rsidRPr="00604C75" w14:paraId="39C3060A" w14:textId="77777777" w:rsidTr="00AD726D">
        <w:trPr>
          <w:trHeight w:val="255"/>
        </w:trPr>
        <w:tc>
          <w:tcPr>
            <w:tcW w:w="5209" w:type="dxa"/>
            <w:shd w:val="clear" w:color="auto" w:fill="FFFFFF"/>
            <w:vAlign w:val="bottom"/>
          </w:tcPr>
          <w:p w14:paraId="014F014C"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Taxation of Marketable Securities</w:t>
            </w:r>
          </w:p>
        </w:tc>
        <w:tc>
          <w:tcPr>
            <w:tcW w:w="1979" w:type="dxa"/>
            <w:vAlign w:val="bottom"/>
          </w:tcPr>
          <w:p w14:paraId="4EF1817F" w14:textId="3DECFA5C" w:rsidR="00224102" w:rsidRDefault="00224102" w:rsidP="00224102">
            <w:pPr>
              <w:jc w:val="right"/>
              <w:rPr>
                <w:sz w:val="18"/>
                <w:szCs w:val="18"/>
              </w:rPr>
            </w:pPr>
            <w:r>
              <w:rPr>
                <w:sz w:val="18"/>
                <w:szCs w:val="18"/>
              </w:rPr>
              <w:t>8,309</w:t>
            </w:r>
          </w:p>
        </w:tc>
        <w:tc>
          <w:tcPr>
            <w:tcW w:w="2149" w:type="dxa"/>
            <w:vAlign w:val="bottom"/>
          </w:tcPr>
          <w:p w14:paraId="2201CA85" w14:textId="01F17902" w:rsidR="00224102" w:rsidRPr="00692926" w:rsidRDefault="00224102" w:rsidP="00224102">
            <w:pPr>
              <w:tabs>
                <w:tab w:val="left" w:pos="0"/>
              </w:tabs>
              <w:ind w:right="33"/>
              <w:jc w:val="right"/>
              <w:rPr>
                <w:sz w:val="18"/>
                <w:szCs w:val="18"/>
              </w:rPr>
            </w:pPr>
            <w:r w:rsidRPr="00692926">
              <w:rPr>
                <w:sz w:val="18"/>
                <w:szCs w:val="18"/>
              </w:rPr>
              <w:t>6,801</w:t>
            </w:r>
          </w:p>
        </w:tc>
      </w:tr>
      <w:tr w:rsidR="00224102" w:rsidRPr="00604C75" w14:paraId="6CCA517F" w14:textId="77777777" w:rsidTr="00AD726D">
        <w:trPr>
          <w:trHeight w:val="255"/>
        </w:trPr>
        <w:tc>
          <w:tcPr>
            <w:tcW w:w="5209" w:type="dxa"/>
            <w:shd w:val="clear" w:color="auto" w:fill="FFFFFF"/>
            <w:vAlign w:val="bottom"/>
          </w:tcPr>
          <w:p w14:paraId="09CB908B"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Property Tax</w:t>
            </w:r>
          </w:p>
        </w:tc>
        <w:tc>
          <w:tcPr>
            <w:tcW w:w="1979" w:type="dxa"/>
            <w:vAlign w:val="bottom"/>
          </w:tcPr>
          <w:p w14:paraId="6174CEFB" w14:textId="6EC39432" w:rsidR="00224102" w:rsidRDefault="00224102" w:rsidP="00224102">
            <w:pPr>
              <w:jc w:val="right"/>
              <w:rPr>
                <w:sz w:val="18"/>
                <w:szCs w:val="18"/>
              </w:rPr>
            </w:pPr>
            <w:r>
              <w:rPr>
                <w:sz w:val="18"/>
                <w:szCs w:val="18"/>
              </w:rPr>
              <w:t>236</w:t>
            </w:r>
          </w:p>
        </w:tc>
        <w:tc>
          <w:tcPr>
            <w:tcW w:w="2149" w:type="dxa"/>
            <w:vAlign w:val="bottom"/>
          </w:tcPr>
          <w:p w14:paraId="59354CA6" w14:textId="408D4A81" w:rsidR="00224102" w:rsidRPr="00692926" w:rsidRDefault="00224102" w:rsidP="00224102">
            <w:pPr>
              <w:tabs>
                <w:tab w:val="left" w:pos="0"/>
              </w:tabs>
              <w:ind w:right="33"/>
              <w:jc w:val="right"/>
              <w:rPr>
                <w:sz w:val="18"/>
                <w:szCs w:val="18"/>
              </w:rPr>
            </w:pPr>
            <w:r w:rsidRPr="00692926">
              <w:rPr>
                <w:sz w:val="18"/>
                <w:szCs w:val="18"/>
              </w:rPr>
              <w:t>252</w:t>
            </w:r>
          </w:p>
        </w:tc>
      </w:tr>
      <w:tr w:rsidR="00224102" w:rsidRPr="00604C75" w14:paraId="0E595D2E" w14:textId="77777777" w:rsidTr="00AD726D">
        <w:trPr>
          <w:trHeight w:val="255"/>
        </w:trPr>
        <w:tc>
          <w:tcPr>
            <w:tcW w:w="5209" w:type="dxa"/>
            <w:shd w:val="clear" w:color="auto" w:fill="FFFFFF"/>
            <w:vAlign w:val="bottom"/>
          </w:tcPr>
          <w:p w14:paraId="28A56322" w14:textId="77777777" w:rsidR="00224102" w:rsidRPr="00604C75" w:rsidRDefault="00224102" w:rsidP="00224102">
            <w:pPr>
              <w:ind w:left="709" w:hanging="709"/>
              <w:rPr>
                <w:rFonts w:eastAsia="Arial Unicode MS"/>
                <w:sz w:val="18"/>
                <w:szCs w:val="18"/>
              </w:rPr>
            </w:pPr>
            <w:r w:rsidRPr="00604C75">
              <w:rPr>
                <w:rFonts w:eastAsia="Arial Unicode MS"/>
                <w:sz w:val="18"/>
                <w:szCs w:val="18"/>
              </w:rPr>
              <w:t>Banking Insurance Transaction Tax (BITT)</w:t>
            </w:r>
          </w:p>
        </w:tc>
        <w:tc>
          <w:tcPr>
            <w:tcW w:w="1979" w:type="dxa"/>
            <w:vAlign w:val="bottom"/>
          </w:tcPr>
          <w:p w14:paraId="6BD8DBB3" w14:textId="70AB01A8" w:rsidR="00224102" w:rsidRDefault="00224102" w:rsidP="00224102">
            <w:pPr>
              <w:jc w:val="right"/>
              <w:rPr>
                <w:sz w:val="18"/>
                <w:szCs w:val="18"/>
              </w:rPr>
            </w:pPr>
            <w:r>
              <w:rPr>
                <w:sz w:val="18"/>
                <w:szCs w:val="18"/>
              </w:rPr>
              <w:t>6,553</w:t>
            </w:r>
          </w:p>
        </w:tc>
        <w:tc>
          <w:tcPr>
            <w:tcW w:w="2149" w:type="dxa"/>
            <w:vAlign w:val="bottom"/>
          </w:tcPr>
          <w:p w14:paraId="797165C0" w14:textId="149234ED" w:rsidR="00224102" w:rsidRPr="00692926" w:rsidRDefault="00224102" w:rsidP="00224102">
            <w:pPr>
              <w:tabs>
                <w:tab w:val="left" w:pos="0"/>
              </w:tabs>
              <w:ind w:right="33"/>
              <w:jc w:val="right"/>
              <w:rPr>
                <w:sz w:val="18"/>
                <w:szCs w:val="18"/>
              </w:rPr>
            </w:pPr>
            <w:r w:rsidRPr="00692926">
              <w:rPr>
                <w:sz w:val="18"/>
                <w:szCs w:val="18"/>
              </w:rPr>
              <w:t>7,534</w:t>
            </w:r>
          </w:p>
        </w:tc>
      </w:tr>
      <w:tr w:rsidR="00224102" w:rsidRPr="00604C75" w14:paraId="29E5813F" w14:textId="77777777" w:rsidTr="00AD726D">
        <w:trPr>
          <w:trHeight w:val="255"/>
        </w:trPr>
        <w:tc>
          <w:tcPr>
            <w:tcW w:w="5209" w:type="dxa"/>
            <w:shd w:val="clear" w:color="auto" w:fill="FFFFFF"/>
            <w:vAlign w:val="bottom"/>
          </w:tcPr>
          <w:p w14:paraId="15586CE1" w14:textId="77777777" w:rsidR="00224102" w:rsidRPr="00604C75" w:rsidRDefault="00224102" w:rsidP="00224102">
            <w:pPr>
              <w:ind w:left="709" w:hanging="709"/>
              <w:rPr>
                <w:rFonts w:eastAsia="Arial Unicode MS"/>
                <w:sz w:val="18"/>
                <w:szCs w:val="18"/>
              </w:rPr>
            </w:pPr>
            <w:r w:rsidRPr="00604C75">
              <w:rPr>
                <w:rFonts w:eastAsia="Arial Unicode MS"/>
                <w:sz w:val="18"/>
                <w:szCs w:val="18"/>
              </w:rPr>
              <w:t>Foreign Exchange Transaction Tax</w:t>
            </w:r>
          </w:p>
        </w:tc>
        <w:tc>
          <w:tcPr>
            <w:tcW w:w="1979" w:type="dxa"/>
            <w:vAlign w:val="bottom"/>
          </w:tcPr>
          <w:p w14:paraId="7C55ABEE" w14:textId="0AE7FB13" w:rsidR="00224102" w:rsidRDefault="00224102" w:rsidP="00224102">
            <w:pPr>
              <w:jc w:val="right"/>
              <w:rPr>
                <w:sz w:val="18"/>
                <w:szCs w:val="18"/>
              </w:rPr>
            </w:pPr>
            <w:r>
              <w:rPr>
                <w:sz w:val="18"/>
                <w:szCs w:val="18"/>
              </w:rPr>
              <w:t>-</w:t>
            </w:r>
          </w:p>
        </w:tc>
        <w:tc>
          <w:tcPr>
            <w:tcW w:w="2149" w:type="dxa"/>
            <w:vAlign w:val="bottom"/>
          </w:tcPr>
          <w:p w14:paraId="7DB1D280" w14:textId="55B7A408" w:rsidR="00224102" w:rsidRPr="00692926" w:rsidRDefault="00224102" w:rsidP="00224102">
            <w:pPr>
              <w:tabs>
                <w:tab w:val="left" w:pos="0"/>
              </w:tabs>
              <w:ind w:right="33"/>
              <w:jc w:val="right"/>
              <w:rPr>
                <w:sz w:val="18"/>
                <w:szCs w:val="18"/>
              </w:rPr>
            </w:pPr>
            <w:r w:rsidRPr="00692926">
              <w:rPr>
                <w:sz w:val="18"/>
                <w:szCs w:val="18"/>
              </w:rPr>
              <w:t>-</w:t>
            </w:r>
          </w:p>
        </w:tc>
      </w:tr>
      <w:tr w:rsidR="00224102" w:rsidRPr="00604C75" w14:paraId="6FA87DEB" w14:textId="77777777" w:rsidTr="00AD726D">
        <w:trPr>
          <w:trHeight w:val="255"/>
        </w:trPr>
        <w:tc>
          <w:tcPr>
            <w:tcW w:w="5209" w:type="dxa"/>
            <w:shd w:val="clear" w:color="auto" w:fill="FFFFFF"/>
            <w:vAlign w:val="bottom"/>
          </w:tcPr>
          <w:p w14:paraId="649C1464" w14:textId="77777777" w:rsidR="00224102" w:rsidRPr="00604C75" w:rsidRDefault="00224102" w:rsidP="00224102">
            <w:pPr>
              <w:ind w:left="709" w:hanging="709"/>
              <w:rPr>
                <w:rFonts w:eastAsia="Arial Unicode MS"/>
                <w:sz w:val="18"/>
                <w:szCs w:val="18"/>
              </w:rPr>
            </w:pPr>
            <w:r w:rsidRPr="00604C75">
              <w:rPr>
                <w:rFonts w:eastAsia="Arial Unicode MS"/>
                <w:sz w:val="18"/>
                <w:szCs w:val="18"/>
              </w:rPr>
              <w:t>Value Added Tax Payable</w:t>
            </w:r>
          </w:p>
        </w:tc>
        <w:tc>
          <w:tcPr>
            <w:tcW w:w="1979" w:type="dxa"/>
            <w:vAlign w:val="bottom"/>
          </w:tcPr>
          <w:p w14:paraId="52C73D9B" w14:textId="46436F00" w:rsidR="00224102" w:rsidRDefault="00224102" w:rsidP="00224102">
            <w:pPr>
              <w:jc w:val="right"/>
              <w:rPr>
                <w:sz w:val="18"/>
                <w:szCs w:val="18"/>
              </w:rPr>
            </w:pPr>
            <w:r>
              <w:rPr>
                <w:sz w:val="18"/>
                <w:szCs w:val="18"/>
              </w:rPr>
              <w:t>1,737</w:t>
            </w:r>
          </w:p>
        </w:tc>
        <w:tc>
          <w:tcPr>
            <w:tcW w:w="2149" w:type="dxa"/>
            <w:vAlign w:val="bottom"/>
          </w:tcPr>
          <w:p w14:paraId="4093581F" w14:textId="1BC23371" w:rsidR="00224102" w:rsidRPr="00692926" w:rsidRDefault="00224102" w:rsidP="00224102">
            <w:pPr>
              <w:tabs>
                <w:tab w:val="left" w:pos="0"/>
              </w:tabs>
              <w:ind w:right="33"/>
              <w:jc w:val="right"/>
              <w:rPr>
                <w:sz w:val="18"/>
                <w:szCs w:val="18"/>
              </w:rPr>
            </w:pPr>
            <w:r w:rsidRPr="00692926">
              <w:rPr>
                <w:sz w:val="18"/>
                <w:szCs w:val="18"/>
              </w:rPr>
              <w:t>1,618</w:t>
            </w:r>
          </w:p>
        </w:tc>
      </w:tr>
      <w:tr w:rsidR="00224102" w:rsidRPr="00604C75" w14:paraId="3A7BF965" w14:textId="77777777" w:rsidTr="00AD726D">
        <w:trPr>
          <w:trHeight w:val="255"/>
        </w:trPr>
        <w:tc>
          <w:tcPr>
            <w:tcW w:w="5209" w:type="dxa"/>
            <w:shd w:val="clear" w:color="auto" w:fill="FFFFFF"/>
            <w:vAlign w:val="bottom"/>
          </w:tcPr>
          <w:p w14:paraId="2DF3865A" w14:textId="77777777" w:rsidR="00224102" w:rsidRPr="00604C75" w:rsidRDefault="00224102" w:rsidP="00224102">
            <w:pPr>
              <w:ind w:left="709" w:hanging="709"/>
              <w:rPr>
                <w:rFonts w:eastAsia="Arial Unicode MS"/>
                <w:sz w:val="18"/>
                <w:szCs w:val="18"/>
              </w:rPr>
            </w:pPr>
            <w:r w:rsidRPr="00604C75">
              <w:rPr>
                <w:rFonts w:eastAsia="Arial Unicode MS"/>
                <w:sz w:val="18"/>
                <w:szCs w:val="18"/>
              </w:rPr>
              <w:t>Other</w:t>
            </w:r>
          </w:p>
        </w:tc>
        <w:tc>
          <w:tcPr>
            <w:tcW w:w="1979" w:type="dxa"/>
            <w:vAlign w:val="bottom"/>
          </w:tcPr>
          <w:p w14:paraId="7275E669" w14:textId="168D09A0" w:rsidR="00224102" w:rsidRDefault="00224102" w:rsidP="00224102">
            <w:pPr>
              <w:jc w:val="right"/>
              <w:rPr>
                <w:sz w:val="18"/>
                <w:szCs w:val="18"/>
              </w:rPr>
            </w:pPr>
            <w:r>
              <w:rPr>
                <w:sz w:val="18"/>
                <w:szCs w:val="18"/>
              </w:rPr>
              <w:t>3,048</w:t>
            </w:r>
          </w:p>
        </w:tc>
        <w:tc>
          <w:tcPr>
            <w:tcW w:w="2149" w:type="dxa"/>
            <w:vAlign w:val="bottom"/>
          </w:tcPr>
          <w:p w14:paraId="3015416F" w14:textId="7879A217" w:rsidR="00224102" w:rsidRPr="00692926" w:rsidRDefault="00224102" w:rsidP="00224102">
            <w:pPr>
              <w:tabs>
                <w:tab w:val="left" w:pos="0"/>
              </w:tabs>
              <w:ind w:right="33"/>
              <w:jc w:val="right"/>
              <w:rPr>
                <w:sz w:val="18"/>
                <w:szCs w:val="18"/>
              </w:rPr>
            </w:pPr>
            <w:r w:rsidRPr="00692926">
              <w:rPr>
                <w:sz w:val="18"/>
                <w:szCs w:val="18"/>
              </w:rPr>
              <w:t>2,926</w:t>
            </w:r>
          </w:p>
        </w:tc>
      </w:tr>
      <w:tr w:rsidR="00224102" w:rsidRPr="00604C75" w14:paraId="7DA00B87" w14:textId="77777777" w:rsidTr="00AD726D">
        <w:trPr>
          <w:trHeight w:val="255"/>
        </w:trPr>
        <w:tc>
          <w:tcPr>
            <w:tcW w:w="5209" w:type="dxa"/>
            <w:shd w:val="clear" w:color="auto" w:fill="FFFFFF"/>
            <w:vAlign w:val="bottom"/>
          </w:tcPr>
          <w:p w14:paraId="411B68C4" w14:textId="77777777" w:rsidR="00224102" w:rsidRPr="00604C75" w:rsidRDefault="00224102" w:rsidP="00224102">
            <w:pPr>
              <w:ind w:left="709" w:hanging="709"/>
              <w:rPr>
                <w:rFonts w:eastAsia="Arial Unicode MS"/>
                <w:b/>
                <w:sz w:val="18"/>
                <w:szCs w:val="18"/>
              </w:rPr>
            </w:pPr>
            <w:r w:rsidRPr="00604C75">
              <w:rPr>
                <w:rFonts w:eastAsia="Arial Unicode MS"/>
                <w:b/>
                <w:sz w:val="18"/>
                <w:szCs w:val="18"/>
              </w:rPr>
              <w:t>Total</w:t>
            </w:r>
          </w:p>
        </w:tc>
        <w:tc>
          <w:tcPr>
            <w:tcW w:w="1979" w:type="dxa"/>
            <w:vAlign w:val="bottom"/>
          </w:tcPr>
          <w:p w14:paraId="538EEF35" w14:textId="2424900F" w:rsidR="00224102" w:rsidRPr="00E91C8B" w:rsidRDefault="00224102" w:rsidP="00224102">
            <w:pPr>
              <w:jc w:val="right"/>
              <w:rPr>
                <w:b/>
                <w:sz w:val="18"/>
                <w:szCs w:val="18"/>
              </w:rPr>
            </w:pPr>
            <w:r w:rsidRPr="00E91C8B">
              <w:rPr>
                <w:b/>
                <w:sz w:val="18"/>
                <w:szCs w:val="18"/>
              </w:rPr>
              <w:t>25,952</w:t>
            </w:r>
          </w:p>
        </w:tc>
        <w:tc>
          <w:tcPr>
            <w:tcW w:w="2149" w:type="dxa"/>
            <w:vAlign w:val="bottom"/>
          </w:tcPr>
          <w:p w14:paraId="2D7BB373" w14:textId="7974EE66" w:rsidR="00224102" w:rsidRPr="004D52D1" w:rsidRDefault="00224102" w:rsidP="00224102">
            <w:pPr>
              <w:tabs>
                <w:tab w:val="left" w:pos="0"/>
              </w:tabs>
              <w:ind w:right="33"/>
              <w:jc w:val="right"/>
              <w:rPr>
                <w:b/>
                <w:sz w:val="18"/>
                <w:szCs w:val="18"/>
              </w:rPr>
            </w:pPr>
            <w:r w:rsidRPr="004D52D1">
              <w:rPr>
                <w:b/>
                <w:sz w:val="18"/>
                <w:szCs w:val="18"/>
              </w:rPr>
              <w:t>28,327</w:t>
            </w:r>
          </w:p>
        </w:tc>
      </w:tr>
    </w:tbl>
    <w:p w14:paraId="7FE7488E" w14:textId="77777777" w:rsidR="0044575F" w:rsidRPr="00604C75" w:rsidRDefault="0044575F" w:rsidP="00DA49EC">
      <w:pPr>
        <w:ind w:left="709" w:hanging="709"/>
        <w:rPr>
          <w:bCs/>
          <w:sz w:val="20"/>
          <w:szCs w:val="20"/>
        </w:rPr>
      </w:pPr>
    </w:p>
    <w:p w14:paraId="66D75C01" w14:textId="77777777" w:rsidR="0044575F" w:rsidRPr="00604C75" w:rsidRDefault="0044575F" w:rsidP="00DA49EC">
      <w:pPr>
        <w:pStyle w:val="BodyTextIndent"/>
        <w:spacing w:after="0"/>
        <w:ind w:left="709" w:hanging="709"/>
        <w:rPr>
          <w:sz w:val="20"/>
          <w:szCs w:val="20"/>
          <w:lang w:val="fr-FR"/>
        </w:rPr>
      </w:pPr>
      <w:r w:rsidRPr="00604C75">
        <w:rPr>
          <w:sz w:val="20"/>
          <w:szCs w:val="20"/>
          <w:lang w:val="fr-FR"/>
        </w:rPr>
        <w:t>(ii)</w:t>
      </w:r>
      <w:r w:rsidRPr="00604C75">
        <w:rPr>
          <w:sz w:val="20"/>
          <w:szCs w:val="20"/>
          <w:lang w:val="fr-FR"/>
        </w:rPr>
        <w:tab/>
        <w:t>Information on premium payables</w:t>
      </w:r>
    </w:p>
    <w:p w14:paraId="6EF18C45" w14:textId="77777777" w:rsidR="0044575F" w:rsidRPr="00604C75" w:rsidRDefault="0044575F" w:rsidP="00DA49EC">
      <w:pPr>
        <w:ind w:left="709" w:hanging="709"/>
        <w:rPr>
          <w:bCs/>
          <w:sz w:val="20"/>
          <w:szCs w:val="20"/>
          <w:lang w:val="fr-FR"/>
        </w:rPr>
      </w:pPr>
    </w:p>
    <w:tbl>
      <w:tblPr>
        <w:tblW w:w="933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153"/>
        <w:gridCol w:w="1988"/>
        <w:gridCol w:w="2196"/>
      </w:tblGrid>
      <w:tr w:rsidR="00DA49EC" w:rsidRPr="00604C75" w14:paraId="47EB76DD" w14:textId="77777777" w:rsidTr="00FE547A">
        <w:trPr>
          <w:trHeight w:val="247"/>
        </w:trPr>
        <w:tc>
          <w:tcPr>
            <w:tcW w:w="5153" w:type="dxa"/>
            <w:shd w:val="clear" w:color="auto" w:fill="FFFFFF"/>
            <w:vAlign w:val="bottom"/>
          </w:tcPr>
          <w:p w14:paraId="439F2136" w14:textId="77777777" w:rsidR="00DA49EC" w:rsidRPr="00604C75" w:rsidRDefault="00DA49EC" w:rsidP="00DA49EC">
            <w:pPr>
              <w:ind w:left="709" w:hanging="709"/>
              <w:jc w:val="center"/>
              <w:rPr>
                <w:rFonts w:eastAsia="Arial Unicode MS"/>
                <w:b/>
                <w:bCs/>
                <w:sz w:val="18"/>
                <w:szCs w:val="18"/>
                <w:lang w:val="fr-FR"/>
              </w:rPr>
            </w:pPr>
            <w:r w:rsidRPr="00604C75">
              <w:rPr>
                <w:b/>
                <w:bCs/>
                <w:sz w:val="18"/>
                <w:szCs w:val="18"/>
                <w:lang w:val="fr-FR"/>
              </w:rPr>
              <w:t> </w:t>
            </w:r>
          </w:p>
        </w:tc>
        <w:tc>
          <w:tcPr>
            <w:tcW w:w="1988" w:type="dxa"/>
            <w:shd w:val="clear" w:color="auto" w:fill="FFFFFF"/>
            <w:vAlign w:val="bottom"/>
          </w:tcPr>
          <w:p w14:paraId="4AC9EF0E" w14:textId="77777777" w:rsidR="00DA49EC" w:rsidRPr="00604C75" w:rsidRDefault="000467F0" w:rsidP="00FE547A">
            <w:pPr>
              <w:ind w:left="709" w:right="70" w:hanging="709"/>
              <w:jc w:val="right"/>
              <w:rPr>
                <w:rFonts w:eastAsia="Arial Unicode MS"/>
                <w:b/>
                <w:bCs/>
                <w:sz w:val="18"/>
                <w:szCs w:val="18"/>
              </w:rPr>
            </w:pPr>
            <w:r>
              <w:rPr>
                <w:b/>
                <w:iCs/>
                <w:sz w:val="18"/>
              </w:rPr>
              <w:t>3</w:t>
            </w:r>
            <w:r w:rsidR="0069195A">
              <w:rPr>
                <w:b/>
                <w:iCs/>
                <w:sz w:val="18"/>
              </w:rPr>
              <w:t>1</w:t>
            </w:r>
            <w:r>
              <w:rPr>
                <w:b/>
                <w:iCs/>
                <w:sz w:val="18"/>
              </w:rPr>
              <w:t xml:space="preserve"> </w:t>
            </w:r>
            <w:r w:rsidR="0069195A">
              <w:rPr>
                <w:b/>
                <w:iCs/>
                <w:sz w:val="18"/>
              </w:rPr>
              <w:t>December</w:t>
            </w:r>
            <w:r w:rsidR="0069195A" w:rsidRPr="00604C75">
              <w:rPr>
                <w:b/>
                <w:iCs/>
                <w:sz w:val="18"/>
              </w:rPr>
              <w:t xml:space="preserve"> </w:t>
            </w:r>
            <w:r w:rsidR="00DA49EC" w:rsidRPr="00604C75">
              <w:rPr>
                <w:b/>
                <w:bCs/>
                <w:sz w:val="18"/>
                <w:szCs w:val="18"/>
              </w:rPr>
              <w:t>2015</w:t>
            </w:r>
          </w:p>
        </w:tc>
        <w:tc>
          <w:tcPr>
            <w:tcW w:w="2196" w:type="dxa"/>
            <w:shd w:val="clear" w:color="auto" w:fill="FFFFFF"/>
            <w:vAlign w:val="bottom"/>
          </w:tcPr>
          <w:p w14:paraId="3FE4CF24" w14:textId="77777777" w:rsidR="00DA49EC" w:rsidRPr="00604C75" w:rsidRDefault="00DA49EC" w:rsidP="00FE547A">
            <w:pPr>
              <w:ind w:left="709" w:right="70" w:hanging="709"/>
              <w:jc w:val="right"/>
              <w:rPr>
                <w:rFonts w:eastAsia="Arial Unicode MS"/>
                <w:b/>
                <w:bCs/>
                <w:sz w:val="18"/>
                <w:szCs w:val="18"/>
              </w:rPr>
            </w:pPr>
            <w:r w:rsidRPr="00604C75">
              <w:rPr>
                <w:b/>
                <w:bCs/>
                <w:sz w:val="18"/>
                <w:szCs w:val="18"/>
              </w:rPr>
              <w:t>31 December 2014</w:t>
            </w:r>
          </w:p>
        </w:tc>
      </w:tr>
      <w:tr w:rsidR="00224102" w:rsidRPr="00604C75" w14:paraId="02B962E9" w14:textId="77777777" w:rsidTr="00FE547A">
        <w:trPr>
          <w:trHeight w:val="255"/>
        </w:trPr>
        <w:tc>
          <w:tcPr>
            <w:tcW w:w="5153" w:type="dxa"/>
            <w:shd w:val="clear" w:color="auto" w:fill="FFFFFF"/>
            <w:vAlign w:val="bottom"/>
          </w:tcPr>
          <w:p w14:paraId="2F3BCD82"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Social Security Premiums - Employee</w:t>
            </w:r>
          </w:p>
        </w:tc>
        <w:tc>
          <w:tcPr>
            <w:tcW w:w="1988" w:type="dxa"/>
            <w:vAlign w:val="bottom"/>
          </w:tcPr>
          <w:p w14:paraId="2447CA2C" w14:textId="63E3648E" w:rsidR="00224102" w:rsidRDefault="00224102" w:rsidP="00FE547A">
            <w:pPr>
              <w:ind w:right="60"/>
              <w:jc w:val="right"/>
              <w:rPr>
                <w:sz w:val="18"/>
                <w:szCs w:val="18"/>
              </w:rPr>
            </w:pPr>
            <w:r>
              <w:rPr>
                <w:sz w:val="18"/>
                <w:szCs w:val="18"/>
              </w:rPr>
              <w:t>931</w:t>
            </w:r>
          </w:p>
        </w:tc>
        <w:tc>
          <w:tcPr>
            <w:tcW w:w="2196" w:type="dxa"/>
            <w:vAlign w:val="bottom"/>
          </w:tcPr>
          <w:p w14:paraId="7123BA92" w14:textId="71B2892C" w:rsidR="00224102" w:rsidRPr="00692926" w:rsidRDefault="00224102" w:rsidP="00FE547A">
            <w:pPr>
              <w:ind w:right="60"/>
              <w:jc w:val="right"/>
              <w:rPr>
                <w:sz w:val="18"/>
                <w:szCs w:val="18"/>
              </w:rPr>
            </w:pPr>
            <w:r w:rsidRPr="00692926">
              <w:rPr>
                <w:sz w:val="18"/>
                <w:szCs w:val="18"/>
              </w:rPr>
              <w:t>966</w:t>
            </w:r>
          </w:p>
        </w:tc>
      </w:tr>
      <w:tr w:rsidR="00224102" w:rsidRPr="00604C75" w14:paraId="2FA0B860" w14:textId="77777777" w:rsidTr="00FE547A">
        <w:trPr>
          <w:trHeight w:val="255"/>
        </w:trPr>
        <w:tc>
          <w:tcPr>
            <w:tcW w:w="5153" w:type="dxa"/>
            <w:shd w:val="clear" w:color="auto" w:fill="FFFFFF"/>
            <w:vAlign w:val="bottom"/>
          </w:tcPr>
          <w:p w14:paraId="1D143F77"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ind w:left="709" w:hanging="709"/>
              <w:rPr>
                <w:rFonts w:eastAsia="Times New Roman"/>
              </w:rPr>
            </w:pPr>
            <w:r w:rsidRPr="00604C75">
              <w:rPr>
                <w:rFonts w:eastAsia="Times New Roman"/>
              </w:rPr>
              <w:t>Social Security Premiums - Employer</w:t>
            </w:r>
          </w:p>
        </w:tc>
        <w:tc>
          <w:tcPr>
            <w:tcW w:w="1988" w:type="dxa"/>
            <w:vAlign w:val="bottom"/>
          </w:tcPr>
          <w:p w14:paraId="2CD38243" w14:textId="23967D76" w:rsidR="00224102" w:rsidRDefault="00224102" w:rsidP="00FE547A">
            <w:pPr>
              <w:ind w:right="60"/>
              <w:jc w:val="right"/>
              <w:rPr>
                <w:sz w:val="18"/>
                <w:szCs w:val="18"/>
              </w:rPr>
            </w:pPr>
            <w:r>
              <w:rPr>
                <w:sz w:val="18"/>
                <w:szCs w:val="18"/>
              </w:rPr>
              <w:t>1,360</w:t>
            </w:r>
          </w:p>
        </w:tc>
        <w:tc>
          <w:tcPr>
            <w:tcW w:w="2196" w:type="dxa"/>
            <w:vAlign w:val="bottom"/>
          </w:tcPr>
          <w:p w14:paraId="49392080" w14:textId="49CCB65A" w:rsidR="00224102" w:rsidRPr="00692926" w:rsidRDefault="00224102" w:rsidP="00FE547A">
            <w:pPr>
              <w:ind w:right="60"/>
              <w:jc w:val="right"/>
              <w:rPr>
                <w:sz w:val="18"/>
                <w:szCs w:val="18"/>
              </w:rPr>
            </w:pPr>
            <w:r w:rsidRPr="00692926">
              <w:rPr>
                <w:sz w:val="18"/>
                <w:szCs w:val="18"/>
              </w:rPr>
              <w:t>1,377</w:t>
            </w:r>
          </w:p>
        </w:tc>
      </w:tr>
      <w:tr w:rsidR="00224102" w:rsidRPr="00604C75" w14:paraId="0F0CC7B2" w14:textId="77777777" w:rsidTr="00FE547A">
        <w:trPr>
          <w:trHeight w:val="255"/>
        </w:trPr>
        <w:tc>
          <w:tcPr>
            <w:tcW w:w="5153" w:type="dxa"/>
            <w:shd w:val="clear" w:color="auto" w:fill="FFFFFF"/>
            <w:vAlign w:val="bottom"/>
          </w:tcPr>
          <w:p w14:paraId="43CE079A" w14:textId="3240F497" w:rsidR="00224102" w:rsidRPr="00604C75" w:rsidRDefault="00224102" w:rsidP="00224102">
            <w:pPr>
              <w:ind w:left="709" w:hanging="709"/>
              <w:rPr>
                <w:rFonts w:eastAsia="Arial Unicode MS"/>
                <w:sz w:val="18"/>
                <w:szCs w:val="18"/>
              </w:rPr>
            </w:pPr>
            <w:r w:rsidRPr="00604C75">
              <w:rPr>
                <w:rFonts w:eastAsia="Arial Unicode MS"/>
                <w:sz w:val="18"/>
                <w:szCs w:val="18"/>
              </w:rPr>
              <w:t>Bank Pension Fund Premiums - Employee</w:t>
            </w:r>
          </w:p>
        </w:tc>
        <w:tc>
          <w:tcPr>
            <w:tcW w:w="1988" w:type="dxa"/>
            <w:vAlign w:val="bottom"/>
          </w:tcPr>
          <w:p w14:paraId="520678C9" w14:textId="39C366A0" w:rsidR="00224102" w:rsidRDefault="00224102" w:rsidP="00FE547A">
            <w:pPr>
              <w:ind w:right="60"/>
              <w:jc w:val="right"/>
              <w:rPr>
                <w:sz w:val="18"/>
                <w:szCs w:val="18"/>
              </w:rPr>
            </w:pPr>
            <w:r>
              <w:rPr>
                <w:sz w:val="18"/>
                <w:szCs w:val="18"/>
              </w:rPr>
              <w:t>-</w:t>
            </w:r>
          </w:p>
        </w:tc>
        <w:tc>
          <w:tcPr>
            <w:tcW w:w="2196" w:type="dxa"/>
            <w:vAlign w:val="bottom"/>
          </w:tcPr>
          <w:p w14:paraId="5D5488B1" w14:textId="23674BE2" w:rsidR="00224102" w:rsidRPr="00692926" w:rsidRDefault="00224102" w:rsidP="00FE547A">
            <w:pPr>
              <w:ind w:right="60"/>
              <w:jc w:val="right"/>
              <w:rPr>
                <w:sz w:val="18"/>
                <w:szCs w:val="18"/>
              </w:rPr>
            </w:pPr>
            <w:r w:rsidRPr="00692926">
              <w:rPr>
                <w:sz w:val="18"/>
                <w:szCs w:val="18"/>
              </w:rPr>
              <w:t>-</w:t>
            </w:r>
          </w:p>
        </w:tc>
      </w:tr>
      <w:tr w:rsidR="00224102" w:rsidRPr="00604C75" w14:paraId="5D0803BE" w14:textId="77777777" w:rsidTr="00FE547A">
        <w:trPr>
          <w:trHeight w:val="255"/>
        </w:trPr>
        <w:tc>
          <w:tcPr>
            <w:tcW w:w="5153" w:type="dxa"/>
            <w:shd w:val="clear" w:color="auto" w:fill="FFFFFF"/>
            <w:vAlign w:val="bottom"/>
          </w:tcPr>
          <w:p w14:paraId="78559F86" w14:textId="00F41542" w:rsidR="00224102" w:rsidRPr="00604C75" w:rsidRDefault="00224102" w:rsidP="00224102">
            <w:pPr>
              <w:ind w:left="709" w:hanging="709"/>
              <w:rPr>
                <w:rFonts w:eastAsia="Arial Unicode MS"/>
                <w:sz w:val="18"/>
                <w:szCs w:val="18"/>
              </w:rPr>
            </w:pPr>
            <w:r w:rsidRPr="00604C75">
              <w:rPr>
                <w:rFonts w:eastAsia="Arial Unicode MS"/>
                <w:sz w:val="18"/>
                <w:szCs w:val="18"/>
              </w:rPr>
              <w:t>Bank Pension Fund Premiums - Employer</w:t>
            </w:r>
          </w:p>
        </w:tc>
        <w:tc>
          <w:tcPr>
            <w:tcW w:w="1988" w:type="dxa"/>
            <w:vAlign w:val="bottom"/>
          </w:tcPr>
          <w:p w14:paraId="07D5C9CD" w14:textId="68E9E57A" w:rsidR="00224102" w:rsidRDefault="00224102" w:rsidP="00FE547A">
            <w:pPr>
              <w:ind w:right="60"/>
              <w:jc w:val="right"/>
              <w:rPr>
                <w:sz w:val="18"/>
                <w:szCs w:val="18"/>
              </w:rPr>
            </w:pPr>
            <w:r>
              <w:rPr>
                <w:sz w:val="18"/>
                <w:szCs w:val="18"/>
              </w:rPr>
              <w:t>-</w:t>
            </w:r>
          </w:p>
        </w:tc>
        <w:tc>
          <w:tcPr>
            <w:tcW w:w="2196" w:type="dxa"/>
            <w:vAlign w:val="bottom"/>
          </w:tcPr>
          <w:p w14:paraId="2FAB632A" w14:textId="01430E1C" w:rsidR="00224102" w:rsidRPr="00692926" w:rsidRDefault="00224102" w:rsidP="00FE547A">
            <w:pPr>
              <w:ind w:right="60"/>
              <w:jc w:val="right"/>
              <w:rPr>
                <w:sz w:val="18"/>
                <w:szCs w:val="18"/>
              </w:rPr>
            </w:pPr>
            <w:r w:rsidRPr="00692926">
              <w:rPr>
                <w:sz w:val="18"/>
                <w:szCs w:val="18"/>
              </w:rPr>
              <w:t>-</w:t>
            </w:r>
          </w:p>
        </w:tc>
      </w:tr>
      <w:tr w:rsidR="00224102" w:rsidRPr="00604C75" w14:paraId="54AFE32F" w14:textId="77777777" w:rsidTr="00FE547A">
        <w:trPr>
          <w:trHeight w:val="255"/>
        </w:trPr>
        <w:tc>
          <w:tcPr>
            <w:tcW w:w="5153" w:type="dxa"/>
            <w:shd w:val="clear" w:color="auto" w:fill="FFFFFF"/>
            <w:vAlign w:val="bottom"/>
          </w:tcPr>
          <w:p w14:paraId="178486CA" w14:textId="77777777" w:rsidR="00224102" w:rsidRPr="00604C75" w:rsidRDefault="00224102" w:rsidP="00224102">
            <w:pPr>
              <w:ind w:left="709" w:hanging="709"/>
              <w:rPr>
                <w:rFonts w:eastAsia="Arial Unicode MS"/>
                <w:sz w:val="18"/>
                <w:szCs w:val="18"/>
              </w:rPr>
            </w:pPr>
            <w:r w:rsidRPr="00604C75">
              <w:rPr>
                <w:rFonts w:eastAsia="Arial Unicode MS"/>
                <w:sz w:val="18"/>
                <w:szCs w:val="18"/>
              </w:rPr>
              <w:t>Pension Fund Deposit and Provisions - Employee</w:t>
            </w:r>
          </w:p>
        </w:tc>
        <w:tc>
          <w:tcPr>
            <w:tcW w:w="1988" w:type="dxa"/>
            <w:vAlign w:val="bottom"/>
          </w:tcPr>
          <w:p w14:paraId="5233A309" w14:textId="60C4BDB0" w:rsidR="00224102" w:rsidRDefault="00224102" w:rsidP="00FE547A">
            <w:pPr>
              <w:ind w:right="60"/>
              <w:jc w:val="right"/>
              <w:rPr>
                <w:sz w:val="18"/>
                <w:szCs w:val="18"/>
              </w:rPr>
            </w:pPr>
            <w:r>
              <w:rPr>
                <w:sz w:val="18"/>
                <w:szCs w:val="18"/>
              </w:rPr>
              <w:t>-</w:t>
            </w:r>
          </w:p>
        </w:tc>
        <w:tc>
          <w:tcPr>
            <w:tcW w:w="2196" w:type="dxa"/>
            <w:vAlign w:val="bottom"/>
          </w:tcPr>
          <w:p w14:paraId="22027E31" w14:textId="08A95703" w:rsidR="00224102" w:rsidRPr="00692926" w:rsidRDefault="00224102" w:rsidP="00FE547A">
            <w:pPr>
              <w:ind w:right="60"/>
              <w:jc w:val="right"/>
              <w:rPr>
                <w:sz w:val="18"/>
                <w:szCs w:val="18"/>
              </w:rPr>
            </w:pPr>
            <w:r w:rsidRPr="00692926">
              <w:rPr>
                <w:sz w:val="18"/>
                <w:szCs w:val="18"/>
              </w:rPr>
              <w:t>-</w:t>
            </w:r>
          </w:p>
        </w:tc>
      </w:tr>
      <w:tr w:rsidR="00224102" w:rsidRPr="00604C75" w14:paraId="259ACBDB" w14:textId="77777777" w:rsidTr="00FE547A">
        <w:trPr>
          <w:trHeight w:val="255"/>
        </w:trPr>
        <w:tc>
          <w:tcPr>
            <w:tcW w:w="5153" w:type="dxa"/>
            <w:shd w:val="clear" w:color="auto" w:fill="FFFFFF"/>
            <w:vAlign w:val="bottom"/>
          </w:tcPr>
          <w:p w14:paraId="7AAB638D" w14:textId="77777777" w:rsidR="00224102" w:rsidRPr="00604C75" w:rsidRDefault="00224102" w:rsidP="00224102">
            <w:pPr>
              <w:ind w:left="709" w:hanging="709"/>
              <w:rPr>
                <w:rFonts w:eastAsia="Arial Unicode MS"/>
                <w:sz w:val="18"/>
                <w:szCs w:val="18"/>
              </w:rPr>
            </w:pPr>
            <w:r w:rsidRPr="00604C75">
              <w:rPr>
                <w:rFonts w:eastAsia="Arial Unicode MS"/>
                <w:sz w:val="18"/>
                <w:szCs w:val="18"/>
              </w:rPr>
              <w:t>Pension Fund Deposit and Provisions - Employer</w:t>
            </w:r>
          </w:p>
        </w:tc>
        <w:tc>
          <w:tcPr>
            <w:tcW w:w="1988" w:type="dxa"/>
            <w:vAlign w:val="bottom"/>
          </w:tcPr>
          <w:p w14:paraId="1C17247E" w14:textId="1E3C23A9" w:rsidR="00224102" w:rsidRDefault="00224102" w:rsidP="00FE547A">
            <w:pPr>
              <w:ind w:right="60"/>
              <w:jc w:val="right"/>
              <w:rPr>
                <w:sz w:val="18"/>
                <w:szCs w:val="18"/>
              </w:rPr>
            </w:pPr>
            <w:r>
              <w:rPr>
                <w:sz w:val="18"/>
                <w:szCs w:val="18"/>
              </w:rPr>
              <w:t>-</w:t>
            </w:r>
          </w:p>
        </w:tc>
        <w:tc>
          <w:tcPr>
            <w:tcW w:w="2196" w:type="dxa"/>
            <w:vAlign w:val="bottom"/>
          </w:tcPr>
          <w:p w14:paraId="3EDFAA73" w14:textId="5E72145A" w:rsidR="00224102" w:rsidRPr="00692926" w:rsidRDefault="00224102" w:rsidP="00FE547A">
            <w:pPr>
              <w:ind w:right="60"/>
              <w:jc w:val="right"/>
              <w:rPr>
                <w:sz w:val="18"/>
                <w:szCs w:val="18"/>
              </w:rPr>
            </w:pPr>
            <w:r w:rsidRPr="00692926">
              <w:rPr>
                <w:sz w:val="18"/>
                <w:szCs w:val="18"/>
              </w:rPr>
              <w:t>-</w:t>
            </w:r>
          </w:p>
        </w:tc>
      </w:tr>
      <w:tr w:rsidR="00224102" w:rsidRPr="00604C75" w14:paraId="229AD3C3" w14:textId="77777777" w:rsidTr="00FE547A">
        <w:trPr>
          <w:trHeight w:val="255"/>
        </w:trPr>
        <w:tc>
          <w:tcPr>
            <w:tcW w:w="5153" w:type="dxa"/>
            <w:shd w:val="clear" w:color="auto" w:fill="FFFFFF"/>
            <w:vAlign w:val="bottom"/>
          </w:tcPr>
          <w:p w14:paraId="3E8B4E60" w14:textId="77777777" w:rsidR="00224102" w:rsidRPr="00604C75" w:rsidRDefault="00224102" w:rsidP="00224102">
            <w:pPr>
              <w:ind w:left="709" w:hanging="709"/>
              <w:rPr>
                <w:rFonts w:eastAsia="Arial Unicode MS"/>
                <w:sz w:val="18"/>
                <w:szCs w:val="18"/>
              </w:rPr>
            </w:pPr>
            <w:r w:rsidRPr="00604C75">
              <w:rPr>
                <w:rFonts w:eastAsia="Arial Unicode MS"/>
                <w:sz w:val="18"/>
                <w:szCs w:val="18"/>
              </w:rPr>
              <w:t>Unemployment Insurance - Employee</w:t>
            </w:r>
          </w:p>
        </w:tc>
        <w:tc>
          <w:tcPr>
            <w:tcW w:w="1988" w:type="dxa"/>
            <w:vAlign w:val="bottom"/>
          </w:tcPr>
          <w:p w14:paraId="014A8D19" w14:textId="2C362421" w:rsidR="00224102" w:rsidRDefault="00224102" w:rsidP="00FE547A">
            <w:pPr>
              <w:ind w:right="60"/>
              <w:jc w:val="right"/>
              <w:rPr>
                <w:sz w:val="18"/>
                <w:szCs w:val="18"/>
              </w:rPr>
            </w:pPr>
            <w:r>
              <w:rPr>
                <w:sz w:val="18"/>
                <w:szCs w:val="18"/>
              </w:rPr>
              <w:t>67</w:t>
            </w:r>
          </w:p>
        </w:tc>
        <w:tc>
          <w:tcPr>
            <w:tcW w:w="2196" w:type="dxa"/>
            <w:vAlign w:val="bottom"/>
          </w:tcPr>
          <w:p w14:paraId="2413B1DB" w14:textId="1C0485EB" w:rsidR="00224102" w:rsidRPr="00692926" w:rsidRDefault="00224102" w:rsidP="00FE547A">
            <w:pPr>
              <w:ind w:right="60"/>
              <w:jc w:val="right"/>
              <w:rPr>
                <w:sz w:val="18"/>
                <w:szCs w:val="18"/>
              </w:rPr>
            </w:pPr>
            <w:r w:rsidRPr="00692926">
              <w:rPr>
                <w:sz w:val="18"/>
                <w:szCs w:val="18"/>
              </w:rPr>
              <w:t>68</w:t>
            </w:r>
          </w:p>
        </w:tc>
      </w:tr>
      <w:tr w:rsidR="00224102" w:rsidRPr="00604C75" w14:paraId="1B90D7A9" w14:textId="77777777" w:rsidTr="00FE547A">
        <w:trPr>
          <w:trHeight w:val="255"/>
        </w:trPr>
        <w:tc>
          <w:tcPr>
            <w:tcW w:w="5153" w:type="dxa"/>
            <w:shd w:val="clear" w:color="auto" w:fill="FFFFFF"/>
            <w:vAlign w:val="bottom"/>
          </w:tcPr>
          <w:p w14:paraId="28BA9D78" w14:textId="2EE034A2" w:rsidR="00224102" w:rsidRPr="00604C75" w:rsidRDefault="00224102" w:rsidP="00224102">
            <w:pPr>
              <w:ind w:left="709" w:hanging="709"/>
              <w:rPr>
                <w:rFonts w:eastAsia="Arial Unicode MS"/>
                <w:sz w:val="18"/>
                <w:szCs w:val="18"/>
              </w:rPr>
            </w:pPr>
            <w:r w:rsidRPr="00604C75">
              <w:rPr>
                <w:rFonts w:eastAsia="Arial Unicode MS"/>
                <w:sz w:val="18"/>
                <w:szCs w:val="18"/>
              </w:rPr>
              <w:t>Unemployment Insurance - Employer</w:t>
            </w:r>
          </w:p>
        </w:tc>
        <w:tc>
          <w:tcPr>
            <w:tcW w:w="1988" w:type="dxa"/>
            <w:vAlign w:val="bottom"/>
          </w:tcPr>
          <w:p w14:paraId="1A37DA94" w14:textId="2D3C1565" w:rsidR="00224102" w:rsidRDefault="00224102" w:rsidP="00FE547A">
            <w:pPr>
              <w:ind w:right="60"/>
              <w:jc w:val="right"/>
              <w:rPr>
                <w:sz w:val="18"/>
                <w:szCs w:val="18"/>
              </w:rPr>
            </w:pPr>
            <w:r>
              <w:rPr>
                <w:sz w:val="18"/>
                <w:szCs w:val="18"/>
              </w:rPr>
              <w:t>145</w:t>
            </w:r>
          </w:p>
        </w:tc>
        <w:tc>
          <w:tcPr>
            <w:tcW w:w="2196" w:type="dxa"/>
            <w:vAlign w:val="bottom"/>
          </w:tcPr>
          <w:p w14:paraId="6BC910A7" w14:textId="268F3A03" w:rsidR="00224102" w:rsidRPr="00692926" w:rsidRDefault="00224102" w:rsidP="00FE547A">
            <w:pPr>
              <w:ind w:right="60"/>
              <w:jc w:val="right"/>
              <w:rPr>
                <w:sz w:val="18"/>
                <w:szCs w:val="18"/>
              </w:rPr>
            </w:pPr>
            <w:r w:rsidRPr="00692926">
              <w:rPr>
                <w:sz w:val="18"/>
                <w:szCs w:val="18"/>
              </w:rPr>
              <w:t>138</w:t>
            </w:r>
          </w:p>
        </w:tc>
      </w:tr>
      <w:tr w:rsidR="00224102" w:rsidRPr="00604C75" w14:paraId="22A6713C" w14:textId="77777777" w:rsidTr="00FE547A">
        <w:trPr>
          <w:trHeight w:val="255"/>
        </w:trPr>
        <w:tc>
          <w:tcPr>
            <w:tcW w:w="5153" w:type="dxa"/>
            <w:shd w:val="clear" w:color="auto" w:fill="FFFFFF"/>
            <w:vAlign w:val="bottom"/>
          </w:tcPr>
          <w:p w14:paraId="1EAE295E" w14:textId="77777777" w:rsidR="00224102" w:rsidRPr="00604C75" w:rsidRDefault="00224102" w:rsidP="00224102">
            <w:pPr>
              <w:ind w:left="709" w:hanging="709"/>
              <w:rPr>
                <w:rFonts w:eastAsia="Arial Unicode MS"/>
                <w:sz w:val="18"/>
                <w:szCs w:val="18"/>
              </w:rPr>
            </w:pPr>
            <w:r w:rsidRPr="00604C75">
              <w:rPr>
                <w:rFonts w:eastAsia="Arial Unicode MS"/>
                <w:sz w:val="18"/>
                <w:szCs w:val="18"/>
              </w:rPr>
              <w:t>Other</w:t>
            </w:r>
          </w:p>
        </w:tc>
        <w:tc>
          <w:tcPr>
            <w:tcW w:w="1988" w:type="dxa"/>
            <w:vAlign w:val="bottom"/>
          </w:tcPr>
          <w:p w14:paraId="1A75ACC1" w14:textId="2E66523E" w:rsidR="00224102" w:rsidRDefault="00224102" w:rsidP="00FE547A">
            <w:pPr>
              <w:ind w:right="60"/>
              <w:jc w:val="right"/>
              <w:rPr>
                <w:sz w:val="18"/>
                <w:szCs w:val="18"/>
              </w:rPr>
            </w:pPr>
            <w:r>
              <w:rPr>
                <w:sz w:val="18"/>
                <w:szCs w:val="18"/>
              </w:rPr>
              <w:t>42</w:t>
            </w:r>
          </w:p>
        </w:tc>
        <w:tc>
          <w:tcPr>
            <w:tcW w:w="2196" w:type="dxa"/>
            <w:vAlign w:val="bottom"/>
          </w:tcPr>
          <w:p w14:paraId="2F712508" w14:textId="62137AD1" w:rsidR="00224102" w:rsidRPr="00692926" w:rsidRDefault="00224102" w:rsidP="00FE547A">
            <w:pPr>
              <w:ind w:right="60"/>
              <w:jc w:val="right"/>
              <w:rPr>
                <w:sz w:val="18"/>
                <w:szCs w:val="18"/>
              </w:rPr>
            </w:pPr>
            <w:r w:rsidRPr="00692926">
              <w:rPr>
                <w:sz w:val="18"/>
                <w:szCs w:val="18"/>
              </w:rPr>
              <w:t>62</w:t>
            </w:r>
          </w:p>
        </w:tc>
      </w:tr>
      <w:tr w:rsidR="00224102" w:rsidRPr="00604C75" w14:paraId="134C5203" w14:textId="77777777" w:rsidTr="00FE547A">
        <w:trPr>
          <w:trHeight w:val="255"/>
        </w:trPr>
        <w:tc>
          <w:tcPr>
            <w:tcW w:w="5153" w:type="dxa"/>
            <w:shd w:val="clear" w:color="auto" w:fill="FFFFFF"/>
            <w:vAlign w:val="bottom"/>
          </w:tcPr>
          <w:p w14:paraId="6652CFA7" w14:textId="77777777" w:rsidR="00224102" w:rsidRPr="00604C75" w:rsidRDefault="00224102" w:rsidP="00224102">
            <w:pPr>
              <w:ind w:left="709" w:hanging="709"/>
              <w:rPr>
                <w:rFonts w:eastAsia="Arial Unicode MS"/>
                <w:b/>
                <w:sz w:val="18"/>
                <w:szCs w:val="18"/>
              </w:rPr>
            </w:pPr>
            <w:r w:rsidRPr="00604C75">
              <w:rPr>
                <w:rFonts w:eastAsia="Arial Unicode MS"/>
                <w:b/>
                <w:sz w:val="18"/>
                <w:szCs w:val="18"/>
              </w:rPr>
              <w:t>Total</w:t>
            </w:r>
          </w:p>
        </w:tc>
        <w:tc>
          <w:tcPr>
            <w:tcW w:w="1988" w:type="dxa"/>
            <w:vAlign w:val="bottom"/>
          </w:tcPr>
          <w:p w14:paraId="11F5371A" w14:textId="75726624" w:rsidR="00224102" w:rsidRPr="00E91C8B" w:rsidRDefault="00224102" w:rsidP="00FE547A">
            <w:pPr>
              <w:ind w:right="60"/>
              <w:jc w:val="right"/>
              <w:rPr>
                <w:b/>
                <w:sz w:val="18"/>
                <w:szCs w:val="18"/>
              </w:rPr>
            </w:pPr>
            <w:r w:rsidRPr="00E91C8B">
              <w:rPr>
                <w:b/>
                <w:sz w:val="18"/>
                <w:szCs w:val="18"/>
              </w:rPr>
              <w:t>2,545</w:t>
            </w:r>
          </w:p>
        </w:tc>
        <w:tc>
          <w:tcPr>
            <w:tcW w:w="2196" w:type="dxa"/>
            <w:vAlign w:val="bottom"/>
          </w:tcPr>
          <w:p w14:paraId="074F9679" w14:textId="7201219B" w:rsidR="00224102" w:rsidRPr="00692926" w:rsidRDefault="00224102" w:rsidP="00FE547A">
            <w:pPr>
              <w:ind w:right="60"/>
              <w:jc w:val="right"/>
              <w:rPr>
                <w:b/>
                <w:sz w:val="18"/>
                <w:szCs w:val="18"/>
              </w:rPr>
            </w:pPr>
            <w:r w:rsidRPr="00692926">
              <w:rPr>
                <w:b/>
                <w:sz w:val="18"/>
                <w:szCs w:val="18"/>
              </w:rPr>
              <w:t>2,611</w:t>
            </w:r>
          </w:p>
        </w:tc>
      </w:tr>
    </w:tbl>
    <w:p w14:paraId="71F2FD73" w14:textId="77777777" w:rsidR="0044575F" w:rsidRPr="00604C75" w:rsidRDefault="0044575F" w:rsidP="00DA49EC">
      <w:pPr>
        <w:ind w:left="709" w:hanging="709"/>
        <w:jc w:val="both"/>
        <w:rPr>
          <w:sz w:val="6"/>
          <w:szCs w:val="6"/>
        </w:rPr>
      </w:pPr>
    </w:p>
    <w:p w14:paraId="11ACA112" w14:textId="49C39260" w:rsidR="00416B25" w:rsidRPr="00604C75" w:rsidRDefault="00416B25" w:rsidP="00B537B5">
      <w:pPr>
        <w:spacing w:before="120" w:after="120"/>
        <w:rPr>
          <w:noProof/>
          <w:color w:val="000000"/>
          <w:sz w:val="20"/>
          <w:szCs w:val="20"/>
        </w:rPr>
      </w:pPr>
      <w:r w:rsidRPr="00604C75">
        <w:rPr>
          <w:b/>
          <w:noProof/>
          <w:color w:val="000000"/>
          <w:sz w:val="20"/>
          <w:szCs w:val="20"/>
        </w:rPr>
        <w:t>i.</w:t>
      </w:r>
      <w:r w:rsidRPr="00604C75">
        <w:rPr>
          <w:noProof/>
          <w:color w:val="000000"/>
          <w:sz w:val="20"/>
          <w:szCs w:val="20"/>
        </w:rPr>
        <w:t xml:space="preserve">  </w:t>
      </w:r>
      <w:r w:rsidR="00FC07B9">
        <w:rPr>
          <w:noProof/>
          <w:color w:val="000000"/>
          <w:sz w:val="20"/>
          <w:szCs w:val="20"/>
        </w:rPr>
        <w:t xml:space="preserve">         </w:t>
      </w:r>
      <w:r w:rsidRPr="00604C75">
        <w:rPr>
          <w:noProof/>
          <w:color w:val="000000"/>
          <w:sz w:val="20"/>
          <w:szCs w:val="20"/>
        </w:rPr>
        <w:t xml:space="preserve"> </w:t>
      </w:r>
      <w:r w:rsidRPr="00604C75">
        <w:rPr>
          <w:b/>
          <w:noProof/>
          <w:color w:val="000000"/>
          <w:sz w:val="20"/>
          <w:szCs w:val="20"/>
        </w:rPr>
        <w:t>Explanations about deferred tax provision</w:t>
      </w:r>
    </w:p>
    <w:p w14:paraId="26ABD90D" w14:textId="46D14D7E" w:rsidR="00D25E9B" w:rsidRPr="00604C75" w:rsidRDefault="000467F0" w:rsidP="00AD726D">
      <w:pPr>
        <w:jc w:val="both"/>
        <w:rPr>
          <w:noProof/>
          <w:color w:val="000000"/>
          <w:sz w:val="20"/>
          <w:szCs w:val="20"/>
        </w:rPr>
      </w:pPr>
      <w:r w:rsidRPr="001A039F">
        <w:rPr>
          <w:noProof/>
          <w:color w:val="000000"/>
          <w:sz w:val="20"/>
          <w:szCs w:val="20"/>
        </w:rPr>
        <w:t>As of 3</w:t>
      </w:r>
      <w:r w:rsidR="0069195A">
        <w:rPr>
          <w:noProof/>
          <w:color w:val="000000"/>
          <w:sz w:val="20"/>
          <w:szCs w:val="20"/>
        </w:rPr>
        <w:t>1</w:t>
      </w:r>
      <w:r w:rsidRPr="001A039F">
        <w:rPr>
          <w:noProof/>
          <w:color w:val="000000"/>
          <w:sz w:val="20"/>
          <w:szCs w:val="20"/>
        </w:rPr>
        <w:t xml:space="preserve"> </w:t>
      </w:r>
      <w:r w:rsidR="0069195A">
        <w:rPr>
          <w:noProof/>
          <w:color w:val="000000"/>
          <w:sz w:val="20"/>
          <w:szCs w:val="20"/>
        </w:rPr>
        <w:t>December</w:t>
      </w:r>
      <w:r w:rsidR="0069195A" w:rsidRPr="001A039F">
        <w:rPr>
          <w:noProof/>
          <w:color w:val="000000"/>
          <w:sz w:val="20"/>
          <w:szCs w:val="20"/>
        </w:rPr>
        <w:t xml:space="preserve"> </w:t>
      </w:r>
      <w:r w:rsidR="00FA10F3" w:rsidRPr="001A039F">
        <w:rPr>
          <w:noProof/>
          <w:color w:val="000000"/>
          <w:sz w:val="20"/>
          <w:szCs w:val="20"/>
        </w:rPr>
        <w:t>201</w:t>
      </w:r>
      <w:r w:rsidR="00427D75" w:rsidRPr="001A039F">
        <w:rPr>
          <w:noProof/>
          <w:color w:val="000000"/>
          <w:sz w:val="20"/>
          <w:szCs w:val="20"/>
        </w:rPr>
        <w:t>5</w:t>
      </w:r>
      <w:r w:rsidR="00FA10F3" w:rsidRPr="001A039F">
        <w:rPr>
          <w:noProof/>
          <w:color w:val="000000"/>
          <w:sz w:val="20"/>
          <w:szCs w:val="20"/>
        </w:rPr>
        <w:t>, the</w:t>
      </w:r>
      <w:r w:rsidR="00224102">
        <w:rPr>
          <w:noProof/>
          <w:color w:val="000000"/>
          <w:sz w:val="20"/>
          <w:szCs w:val="20"/>
        </w:rPr>
        <w:t xml:space="preserve"> Parent</w:t>
      </w:r>
      <w:r w:rsidR="00FA10F3" w:rsidRPr="001A039F">
        <w:rPr>
          <w:noProof/>
          <w:color w:val="000000"/>
          <w:sz w:val="20"/>
          <w:szCs w:val="20"/>
        </w:rPr>
        <w:t xml:space="preserve"> Bank has</w:t>
      </w:r>
      <w:r w:rsidR="003F68DF">
        <w:rPr>
          <w:noProof/>
          <w:color w:val="000000"/>
          <w:sz w:val="20"/>
          <w:szCs w:val="20"/>
        </w:rPr>
        <w:t xml:space="preserve"> calculated</w:t>
      </w:r>
      <w:r w:rsidR="00825677" w:rsidRPr="001A039F">
        <w:rPr>
          <w:noProof/>
          <w:color w:val="000000"/>
          <w:sz w:val="20"/>
          <w:szCs w:val="20"/>
        </w:rPr>
        <w:t xml:space="preserve"> deferred tax asset of TL</w:t>
      </w:r>
      <w:r w:rsidR="00D25E9B" w:rsidRPr="001A039F">
        <w:rPr>
          <w:noProof/>
          <w:color w:val="000000"/>
          <w:sz w:val="20"/>
          <w:szCs w:val="20"/>
        </w:rPr>
        <w:t xml:space="preserve"> </w:t>
      </w:r>
      <w:r w:rsidR="003A5746">
        <w:rPr>
          <w:sz w:val="20"/>
          <w:szCs w:val="20"/>
        </w:rPr>
        <w:t>26,707</w:t>
      </w:r>
      <w:r w:rsidR="003A5746" w:rsidRPr="00DC45D4">
        <w:rPr>
          <w:sz w:val="20"/>
          <w:szCs w:val="20"/>
        </w:rPr>
        <w:t xml:space="preserve"> </w:t>
      </w:r>
      <w:r w:rsidR="0044575F" w:rsidRPr="001A039F">
        <w:rPr>
          <w:noProof/>
          <w:color w:val="000000"/>
          <w:sz w:val="20"/>
          <w:szCs w:val="20"/>
        </w:rPr>
        <w:t>(31 December 201</w:t>
      </w:r>
      <w:r w:rsidR="00416B25" w:rsidRPr="001A039F">
        <w:rPr>
          <w:noProof/>
          <w:color w:val="000000"/>
          <w:sz w:val="20"/>
          <w:szCs w:val="20"/>
        </w:rPr>
        <w:t>4</w:t>
      </w:r>
      <w:r w:rsidR="0044575F" w:rsidRPr="001A039F">
        <w:rPr>
          <w:noProof/>
          <w:color w:val="000000"/>
          <w:sz w:val="20"/>
          <w:szCs w:val="20"/>
        </w:rPr>
        <w:t xml:space="preserve">: </w:t>
      </w:r>
      <w:r w:rsidR="00825677" w:rsidRPr="001A039F">
        <w:rPr>
          <w:noProof/>
          <w:sz w:val="20"/>
          <w:szCs w:val="20"/>
        </w:rPr>
        <w:t>TL</w:t>
      </w:r>
      <w:r w:rsidR="00D25E9B" w:rsidRPr="001A039F">
        <w:rPr>
          <w:noProof/>
          <w:sz w:val="20"/>
          <w:szCs w:val="20"/>
        </w:rPr>
        <w:t xml:space="preserve"> </w:t>
      </w:r>
      <w:r w:rsidR="00416B25" w:rsidRPr="001A039F">
        <w:rPr>
          <w:noProof/>
          <w:sz w:val="20"/>
          <w:szCs w:val="20"/>
        </w:rPr>
        <w:t>24,242</w:t>
      </w:r>
      <w:r w:rsidR="00D25E9B" w:rsidRPr="001A039F">
        <w:rPr>
          <w:noProof/>
          <w:color w:val="000000"/>
          <w:sz w:val="20"/>
          <w:szCs w:val="20"/>
        </w:rPr>
        <w:t>) in the financial statements.</w:t>
      </w:r>
      <w:r w:rsidR="00D25E9B" w:rsidRPr="00604C75">
        <w:rPr>
          <w:noProof/>
          <w:color w:val="000000"/>
          <w:sz w:val="20"/>
          <w:szCs w:val="20"/>
        </w:rPr>
        <w:t xml:space="preserve"> </w:t>
      </w:r>
    </w:p>
    <w:p w14:paraId="29B29354" w14:textId="77777777" w:rsidR="00585D32" w:rsidRPr="00604C75" w:rsidRDefault="00585D32">
      <w:pPr>
        <w:tabs>
          <w:tab w:val="left" w:pos="1276"/>
        </w:tabs>
        <w:spacing w:line="216" w:lineRule="auto"/>
        <w:ind w:left="1276"/>
        <w:jc w:val="both"/>
        <w:rPr>
          <w:noProof/>
          <w:color w:val="000000"/>
          <w:sz w:val="16"/>
          <w:szCs w:val="16"/>
        </w:rPr>
      </w:pPr>
    </w:p>
    <w:p w14:paraId="42CABB8E" w14:textId="77777777" w:rsidR="00416B25" w:rsidRPr="00604C75" w:rsidRDefault="000467F0">
      <w:pPr>
        <w:tabs>
          <w:tab w:val="left" w:pos="0"/>
        </w:tabs>
        <w:spacing w:line="216" w:lineRule="auto"/>
        <w:jc w:val="both"/>
        <w:rPr>
          <w:noProof/>
          <w:sz w:val="20"/>
          <w:szCs w:val="20"/>
        </w:rPr>
      </w:pPr>
      <w:r>
        <w:rPr>
          <w:noProof/>
          <w:sz w:val="20"/>
          <w:szCs w:val="20"/>
        </w:rPr>
        <w:t>As of 3</w:t>
      </w:r>
      <w:r w:rsidR="0069195A">
        <w:rPr>
          <w:noProof/>
          <w:sz w:val="20"/>
          <w:szCs w:val="20"/>
        </w:rPr>
        <w:t>1</w:t>
      </w:r>
      <w:r>
        <w:rPr>
          <w:noProof/>
          <w:sz w:val="20"/>
          <w:szCs w:val="20"/>
        </w:rPr>
        <w:t xml:space="preserve"> </w:t>
      </w:r>
      <w:r w:rsidR="0069195A">
        <w:rPr>
          <w:noProof/>
          <w:sz w:val="20"/>
          <w:szCs w:val="20"/>
        </w:rPr>
        <w:t>December</w:t>
      </w:r>
      <w:r w:rsidR="0069195A" w:rsidRPr="00604C75">
        <w:rPr>
          <w:noProof/>
          <w:sz w:val="20"/>
          <w:szCs w:val="20"/>
        </w:rPr>
        <w:t xml:space="preserve"> </w:t>
      </w:r>
      <w:r w:rsidR="0044575F" w:rsidRPr="00604C75">
        <w:rPr>
          <w:noProof/>
          <w:sz w:val="20"/>
          <w:szCs w:val="20"/>
        </w:rPr>
        <w:t>201</w:t>
      </w:r>
      <w:r w:rsidR="00E86BC9" w:rsidRPr="00604C75">
        <w:rPr>
          <w:noProof/>
          <w:sz w:val="20"/>
          <w:szCs w:val="20"/>
        </w:rPr>
        <w:t>5</w:t>
      </w:r>
      <w:r w:rsidR="0044575F" w:rsidRPr="00604C75">
        <w:rPr>
          <w:noProof/>
          <w:sz w:val="20"/>
          <w:szCs w:val="20"/>
        </w:rPr>
        <w:t xml:space="preserve"> and 31 December 201</w:t>
      </w:r>
      <w:r w:rsidR="00E86BC9" w:rsidRPr="00604C75">
        <w:rPr>
          <w:noProof/>
          <w:sz w:val="20"/>
          <w:szCs w:val="20"/>
        </w:rPr>
        <w:t>4</w:t>
      </w:r>
      <w:r w:rsidR="0044575F" w:rsidRPr="00604C75">
        <w:rPr>
          <w:noProof/>
          <w:sz w:val="20"/>
          <w:szCs w:val="20"/>
        </w:rPr>
        <w:t>, the details of accumulated temporary differences and deferred tax assets and liabilities are presented below:</w:t>
      </w:r>
    </w:p>
    <w:tbl>
      <w:tblPr>
        <w:tblpPr w:leftFromText="141" w:rightFromText="141" w:vertAnchor="text" w:horzAnchor="margin" w:tblpY="66"/>
        <w:tblW w:w="93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5167"/>
        <w:gridCol w:w="1987"/>
        <w:gridCol w:w="2198"/>
      </w:tblGrid>
      <w:tr w:rsidR="00416B25" w:rsidRPr="00604C75" w14:paraId="4A615ED6" w14:textId="77777777" w:rsidTr="00FE547A">
        <w:trPr>
          <w:trHeight w:hRule="exact" w:val="302"/>
        </w:trPr>
        <w:tc>
          <w:tcPr>
            <w:tcW w:w="5167" w:type="dxa"/>
            <w:shd w:val="clear" w:color="auto" w:fill="auto"/>
            <w:tcMar>
              <w:top w:w="15" w:type="dxa"/>
              <w:left w:w="0" w:type="dxa"/>
              <w:bottom w:w="0" w:type="dxa"/>
              <w:right w:w="0" w:type="dxa"/>
            </w:tcMar>
            <w:vAlign w:val="bottom"/>
          </w:tcPr>
          <w:p w14:paraId="768A1FB5" w14:textId="77777777" w:rsidR="00416B25" w:rsidRPr="00604C75" w:rsidRDefault="00416B25" w:rsidP="009B3C93">
            <w:pPr>
              <w:tabs>
                <w:tab w:val="left" w:pos="0"/>
              </w:tabs>
              <w:rPr>
                <w:sz w:val="18"/>
                <w:szCs w:val="18"/>
              </w:rPr>
            </w:pPr>
          </w:p>
        </w:tc>
        <w:tc>
          <w:tcPr>
            <w:tcW w:w="1987" w:type="dxa"/>
            <w:shd w:val="clear" w:color="auto" w:fill="auto"/>
            <w:vAlign w:val="bottom"/>
          </w:tcPr>
          <w:p w14:paraId="2BEF5CE3" w14:textId="77777777" w:rsidR="00416B25" w:rsidRPr="00604C75" w:rsidRDefault="0069195A" w:rsidP="00FE547A">
            <w:pPr>
              <w:tabs>
                <w:tab w:val="left" w:pos="0"/>
              </w:tabs>
              <w:ind w:right="72"/>
              <w:jc w:val="right"/>
              <w:rPr>
                <w:b/>
                <w:sz w:val="18"/>
                <w:szCs w:val="18"/>
              </w:rPr>
            </w:pPr>
            <w:r>
              <w:rPr>
                <w:b/>
                <w:iCs/>
                <w:sz w:val="18"/>
              </w:rPr>
              <w:t>31 December</w:t>
            </w:r>
            <w:r w:rsidRPr="00604C75">
              <w:rPr>
                <w:b/>
                <w:iCs/>
                <w:sz w:val="18"/>
              </w:rPr>
              <w:t xml:space="preserve"> </w:t>
            </w:r>
            <w:r w:rsidRPr="00604C75">
              <w:rPr>
                <w:b/>
                <w:bCs/>
                <w:sz w:val="18"/>
                <w:szCs w:val="18"/>
              </w:rPr>
              <w:t>2015</w:t>
            </w:r>
          </w:p>
        </w:tc>
        <w:tc>
          <w:tcPr>
            <w:tcW w:w="2198" w:type="dxa"/>
            <w:shd w:val="clear" w:color="auto" w:fill="auto"/>
            <w:vAlign w:val="bottom"/>
          </w:tcPr>
          <w:p w14:paraId="18CB4D4E" w14:textId="77777777" w:rsidR="00416B25" w:rsidRPr="00604C75" w:rsidRDefault="00416B25" w:rsidP="00FE547A">
            <w:pPr>
              <w:tabs>
                <w:tab w:val="left" w:pos="0"/>
              </w:tabs>
              <w:ind w:right="72"/>
              <w:jc w:val="right"/>
              <w:rPr>
                <w:b/>
                <w:sz w:val="18"/>
                <w:szCs w:val="18"/>
              </w:rPr>
            </w:pPr>
            <w:r w:rsidRPr="00604C75">
              <w:rPr>
                <w:b/>
                <w:sz w:val="18"/>
                <w:szCs w:val="18"/>
              </w:rPr>
              <w:t xml:space="preserve">31 </w:t>
            </w:r>
            <w:r w:rsidR="00E86BC9" w:rsidRPr="00604C75">
              <w:rPr>
                <w:b/>
                <w:sz w:val="18"/>
                <w:szCs w:val="18"/>
              </w:rPr>
              <w:t>December</w:t>
            </w:r>
            <w:r w:rsidRPr="00604C75">
              <w:rPr>
                <w:b/>
                <w:sz w:val="18"/>
                <w:szCs w:val="18"/>
              </w:rPr>
              <w:t xml:space="preserve"> 2014</w:t>
            </w:r>
          </w:p>
        </w:tc>
      </w:tr>
      <w:tr w:rsidR="00416B25" w:rsidRPr="00604C75" w14:paraId="3B1F7B79" w14:textId="77777777" w:rsidTr="00FE547A">
        <w:trPr>
          <w:trHeight w:hRule="exact" w:val="270"/>
        </w:trPr>
        <w:tc>
          <w:tcPr>
            <w:tcW w:w="5167" w:type="dxa"/>
            <w:shd w:val="clear" w:color="auto" w:fill="auto"/>
            <w:noWrap/>
            <w:vAlign w:val="bottom"/>
          </w:tcPr>
          <w:p w14:paraId="148005BF" w14:textId="0716EA71" w:rsidR="00416B25" w:rsidRPr="00604C75" w:rsidRDefault="00196A0E" w:rsidP="00196A0E">
            <w:pPr>
              <w:tabs>
                <w:tab w:val="left" w:pos="0"/>
              </w:tabs>
              <w:rPr>
                <w:sz w:val="18"/>
                <w:szCs w:val="18"/>
              </w:rPr>
            </w:pPr>
            <w:r>
              <w:rPr>
                <w:sz w:val="18"/>
                <w:szCs w:val="18"/>
              </w:rPr>
              <w:t>Deferred Tax Assets</w:t>
            </w:r>
          </w:p>
        </w:tc>
        <w:tc>
          <w:tcPr>
            <w:tcW w:w="1987" w:type="dxa"/>
            <w:shd w:val="clear" w:color="auto" w:fill="auto"/>
            <w:noWrap/>
            <w:vAlign w:val="bottom"/>
          </w:tcPr>
          <w:p w14:paraId="0E69273D" w14:textId="77777777" w:rsidR="00416B25" w:rsidRPr="00604C75" w:rsidRDefault="00416B25" w:rsidP="00FE547A">
            <w:pPr>
              <w:tabs>
                <w:tab w:val="left" w:pos="0"/>
              </w:tabs>
              <w:ind w:right="72"/>
              <w:jc w:val="right"/>
              <w:rPr>
                <w:sz w:val="18"/>
                <w:szCs w:val="18"/>
              </w:rPr>
            </w:pPr>
          </w:p>
        </w:tc>
        <w:tc>
          <w:tcPr>
            <w:tcW w:w="2198" w:type="dxa"/>
            <w:shd w:val="clear" w:color="auto" w:fill="auto"/>
            <w:noWrap/>
            <w:vAlign w:val="bottom"/>
          </w:tcPr>
          <w:p w14:paraId="73130122" w14:textId="77777777" w:rsidR="00416B25" w:rsidRPr="00604C75" w:rsidRDefault="00416B25" w:rsidP="00FE547A">
            <w:pPr>
              <w:tabs>
                <w:tab w:val="left" w:pos="0"/>
              </w:tabs>
              <w:ind w:right="72"/>
              <w:jc w:val="right"/>
              <w:rPr>
                <w:sz w:val="18"/>
                <w:szCs w:val="18"/>
              </w:rPr>
            </w:pPr>
          </w:p>
        </w:tc>
      </w:tr>
      <w:tr w:rsidR="00224102" w:rsidRPr="00604C75" w14:paraId="684A8042" w14:textId="77777777" w:rsidTr="00FE547A">
        <w:trPr>
          <w:trHeight w:hRule="exact" w:val="270"/>
        </w:trPr>
        <w:tc>
          <w:tcPr>
            <w:tcW w:w="5167" w:type="dxa"/>
            <w:shd w:val="clear" w:color="auto" w:fill="auto"/>
            <w:noWrap/>
            <w:vAlign w:val="bottom"/>
          </w:tcPr>
          <w:p w14:paraId="41D0B031" w14:textId="77777777" w:rsidR="00224102" w:rsidRPr="00604C75" w:rsidRDefault="00224102" w:rsidP="00224102">
            <w:pPr>
              <w:tabs>
                <w:tab w:val="left" w:pos="0"/>
              </w:tabs>
              <w:rPr>
                <w:sz w:val="18"/>
                <w:szCs w:val="18"/>
              </w:rPr>
            </w:pPr>
            <w:r w:rsidRPr="00604C75">
              <w:rPr>
                <w:sz w:val="18"/>
                <w:szCs w:val="18"/>
              </w:rPr>
              <w:t>Tangible Assets Base Differences</w:t>
            </w:r>
          </w:p>
        </w:tc>
        <w:tc>
          <w:tcPr>
            <w:tcW w:w="1987" w:type="dxa"/>
            <w:shd w:val="clear" w:color="auto" w:fill="auto"/>
            <w:noWrap/>
            <w:vAlign w:val="bottom"/>
          </w:tcPr>
          <w:p w14:paraId="7E041C77" w14:textId="4295BB4F" w:rsidR="00224102" w:rsidRPr="00D15BA2" w:rsidRDefault="00224102" w:rsidP="00FE547A">
            <w:pPr>
              <w:tabs>
                <w:tab w:val="left" w:pos="0"/>
              </w:tabs>
              <w:ind w:right="72"/>
              <w:jc w:val="right"/>
              <w:rPr>
                <w:color w:val="000000"/>
                <w:sz w:val="18"/>
                <w:szCs w:val="18"/>
              </w:rPr>
            </w:pPr>
            <w:r>
              <w:rPr>
                <w:color w:val="000000"/>
                <w:sz w:val="18"/>
                <w:szCs w:val="18"/>
              </w:rPr>
              <w:t>(</w:t>
            </w:r>
            <w:r w:rsidRPr="00D15BA2">
              <w:rPr>
                <w:color w:val="000000"/>
                <w:sz w:val="18"/>
                <w:szCs w:val="18"/>
              </w:rPr>
              <w:t>589</w:t>
            </w:r>
            <w:r>
              <w:rPr>
                <w:color w:val="000000"/>
                <w:sz w:val="18"/>
                <w:szCs w:val="18"/>
              </w:rPr>
              <w:t>)</w:t>
            </w:r>
          </w:p>
        </w:tc>
        <w:tc>
          <w:tcPr>
            <w:tcW w:w="2198" w:type="dxa"/>
            <w:shd w:val="clear" w:color="auto" w:fill="auto"/>
            <w:noWrap/>
            <w:vAlign w:val="bottom"/>
          </w:tcPr>
          <w:p w14:paraId="7EC50B2C" w14:textId="76707070" w:rsidR="00224102" w:rsidRPr="003261E3" w:rsidRDefault="00224102" w:rsidP="00FE547A">
            <w:pPr>
              <w:tabs>
                <w:tab w:val="left" w:pos="0"/>
              </w:tabs>
              <w:ind w:right="72"/>
              <w:jc w:val="right"/>
              <w:rPr>
                <w:sz w:val="18"/>
                <w:szCs w:val="18"/>
              </w:rPr>
            </w:pPr>
            <w:r w:rsidRPr="003261E3">
              <w:rPr>
                <w:color w:val="000000"/>
                <w:sz w:val="18"/>
                <w:szCs w:val="18"/>
              </w:rPr>
              <w:t>(707)</w:t>
            </w:r>
          </w:p>
        </w:tc>
      </w:tr>
      <w:tr w:rsidR="00224102" w:rsidRPr="00604C75" w14:paraId="5D18EE2D" w14:textId="77777777" w:rsidTr="00FE547A">
        <w:trPr>
          <w:trHeight w:hRule="exact" w:val="270"/>
        </w:trPr>
        <w:tc>
          <w:tcPr>
            <w:tcW w:w="5167" w:type="dxa"/>
            <w:shd w:val="clear" w:color="auto" w:fill="auto"/>
            <w:noWrap/>
            <w:vAlign w:val="bottom"/>
          </w:tcPr>
          <w:p w14:paraId="0D2745C3" w14:textId="77777777" w:rsidR="00224102" w:rsidRPr="00604C75" w:rsidRDefault="00224102" w:rsidP="00224102">
            <w:pPr>
              <w:tabs>
                <w:tab w:val="left" w:pos="0"/>
              </w:tabs>
              <w:rPr>
                <w:sz w:val="18"/>
                <w:szCs w:val="18"/>
              </w:rPr>
            </w:pPr>
            <w:r w:rsidRPr="00604C75">
              <w:rPr>
                <w:sz w:val="18"/>
                <w:szCs w:val="18"/>
              </w:rPr>
              <w:t>Provisions</w:t>
            </w:r>
          </w:p>
        </w:tc>
        <w:tc>
          <w:tcPr>
            <w:tcW w:w="1987" w:type="dxa"/>
            <w:shd w:val="clear" w:color="auto" w:fill="auto"/>
            <w:noWrap/>
            <w:vAlign w:val="bottom"/>
          </w:tcPr>
          <w:p w14:paraId="36ABFEE4" w14:textId="7021A629" w:rsidR="00224102" w:rsidRPr="00D15BA2" w:rsidRDefault="00224102" w:rsidP="00FE547A">
            <w:pPr>
              <w:tabs>
                <w:tab w:val="left" w:pos="0"/>
              </w:tabs>
              <w:ind w:right="72"/>
              <w:jc w:val="right"/>
              <w:rPr>
                <w:color w:val="000000"/>
                <w:sz w:val="18"/>
                <w:szCs w:val="18"/>
              </w:rPr>
            </w:pPr>
            <w:r w:rsidRPr="00D15BA2">
              <w:rPr>
                <w:color w:val="000000"/>
                <w:sz w:val="18"/>
                <w:szCs w:val="18"/>
              </w:rPr>
              <w:t xml:space="preserve">            8,</w:t>
            </w:r>
            <w:r>
              <w:rPr>
                <w:color w:val="000000"/>
                <w:sz w:val="18"/>
                <w:szCs w:val="18"/>
              </w:rPr>
              <w:t>045</w:t>
            </w:r>
            <w:r w:rsidRPr="00D15BA2">
              <w:rPr>
                <w:color w:val="000000"/>
                <w:sz w:val="18"/>
                <w:szCs w:val="18"/>
              </w:rPr>
              <w:t xml:space="preserve">   </w:t>
            </w:r>
          </w:p>
        </w:tc>
        <w:tc>
          <w:tcPr>
            <w:tcW w:w="2198" w:type="dxa"/>
            <w:shd w:val="clear" w:color="auto" w:fill="auto"/>
            <w:noWrap/>
            <w:vAlign w:val="bottom"/>
          </w:tcPr>
          <w:p w14:paraId="7F5E3B61" w14:textId="03378686" w:rsidR="00224102" w:rsidRPr="003261E3" w:rsidRDefault="00224102" w:rsidP="00FE547A">
            <w:pPr>
              <w:tabs>
                <w:tab w:val="left" w:pos="0"/>
              </w:tabs>
              <w:ind w:right="72"/>
              <w:jc w:val="right"/>
              <w:rPr>
                <w:sz w:val="18"/>
                <w:szCs w:val="18"/>
              </w:rPr>
            </w:pPr>
            <w:r w:rsidRPr="003261E3">
              <w:rPr>
                <w:color w:val="000000"/>
                <w:sz w:val="18"/>
                <w:szCs w:val="18"/>
              </w:rPr>
              <w:t>11,033</w:t>
            </w:r>
          </w:p>
        </w:tc>
      </w:tr>
      <w:tr w:rsidR="00224102" w:rsidRPr="00604C75" w14:paraId="06D1F8E2" w14:textId="77777777" w:rsidTr="00FE547A">
        <w:trPr>
          <w:trHeight w:hRule="exact" w:val="270"/>
        </w:trPr>
        <w:tc>
          <w:tcPr>
            <w:tcW w:w="5167" w:type="dxa"/>
            <w:shd w:val="clear" w:color="auto" w:fill="auto"/>
            <w:noWrap/>
            <w:vAlign w:val="bottom"/>
          </w:tcPr>
          <w:p w14:paraId="20760A98" w14:textId="77777777" w:rsidR="00224102" w:rsidRPr="00604C75" w:rsidRDefault="00224102" w:rsidP="00224102">
            <w:pPr>
              <w:tabs>
                <w:tab w:val="left" w:pos="0"/>
              </w:tabs>
              <w:rPr>
                <w:sz w:val="18"/>
                <w:szCs w:val="18"/>
              </w:rPr>
            </w:pPr>
            <w:r w:rsidRPr="00604C75">
              <w:rPr>
                <w:sz w:val="18"/>
                <w:szCs w:val="18"/>
              </w:rPr>
              <w:t>Valuation of Financial Assets</w:t>
            </w:r>
          </w:p>
        </w:tc>
        <w:tc>
          <w:tcPr>
            <w:tcW w:w="1987" w:type="dxa"/>
            <w:shd w:val="clear" w:color="auto" w:fill="auto"/>
            <w:noWrap/>
            <w:vAlign w:val="bottom"/>
          </w:tcPr>
          <w:p w14:paraId="6B811F51" w14:textId="4F436FF5" w:rsidR="00224102" w:rsidRPr="00D15BA2" w:rsidRDefault="00224102" w:rsidP="00FE547A">
            <w:pPr>
              <w:tabs>
                <w:tab w:val="left" w:pos="0"/>
              </w:tabs>
              <w:ind w:right="72"/>
              <w:jc w:val="right"/>
              <w:rPr>
                <w:color w:val="000000"/>
                <w:sz w:val="18"/>
                <w:szCs w:val="18"/>
              </w:rPr>
            </w:pPr>
            <w:r w:rsidRPr="00D15BA2">
              <w:rPr>
                <w:color w:val="000000"/>
                <w:sz w:val="18"/>
                <w:szCs w:val="18"/>
              </w:rPr>
              <w:t xml:space="preserve">            </w:t>
            </w:r>
            <w:r w:rsidRPr="009F2274">
              <w:rPr>
                <w:color w:val="000000"/>
                <w:sz w:val="18"/>
                <w:szCs w:val="18"/>
              </w:rPr>
              <w:t>4,037</w:t>
            </w:r>
            <w:r w:rsidRPr="00D15BA2">
              <w:rPr>
                <w:color w:val="000000"/>
                <w:sz w:val="18"/>
                <w:szCs w:val="18"/>
              </w:rPr>
              <w:t xml:space="preserve">   </w:t>
            </w:r>
          </w:p>
        </w:tc>
        <w:tc>
          <w:tcPr>
            <w:tcW w:w="2198" w:type="dxa"/>
            <w:shd w:val="clear" w:color="auto" w:fill="auto"/>
            <w:noWrap/>
            <w:vAlign w:val="bottom"/>
          </w:tcPr>
          <w:p w14:paraId="539B45CF" w14:textId="310B21BF" w:rsidR="00224102" w:rsidRPr="003261E3" w:rsidRDefault="00224102" w:rsidP="00FE547A">
            <w:pPr>
              <w:tabs>
                <w:tab w:val="left" w:pos="0"/>
              </w:tabs>
              <w:ind w:right="72"/>
              <w:jc w:val="right"/>
              <w:rPr>
                <w:sz w:val="18"/>
                <w:szCs w:val="18"/>
              </w:rPr>
            </w:pPr>
            <w:r w:rsidRPr="003261E3">
              <w:rPr>
                <w:color w:val="000000"/>
                <w:sz w:val="18"/>
                <w:szCs w:val="18"/>
              </w:rPr>
              <w:t>(2,661)</w:t>
            </w:r>
          </w:p>
        </w:tc>
      </w:tr>
      <w:tr w:rsidR="00224102" w:rsidRPr="00604C75" w14:paraId="2DB09268" w14:textId="77777777" w:rsidTr="00FE547A">
        <w:trPr>
          <w:trHeight w:hRule="exact" w:val="270"/>
        </w:trPr>
        <w:tc>
          <w:tcPr>
            <w:tcW w:w="5167" w:type="dxa"/>
            <w:shd w:val="clear" w:color="auto" w:fill="auto"/>
            <w:noWrap/>
            <w:vAlign w:val="bottom"/>
          </w:tcPr>
          <w:p w14:paraId="4045B20B" w14:textId="77777777" w:rsidR="00224102" w:rsidRPr="00604C75" w:rsidRDefault="00224102" w:rsidP="00224102">
            <w:pPr>
              <w:tabs>
                <w:tab w:val="left" w:pos="0"/>
              </w:tabs>
              <w:rPr>
                <w:sz w:val="18"/>
                <w:szCs w:val="18"/>
              </w:rPr>
            </w:pPr>
            <w:r w:rsidRPr="00604C75">
              <w:rPr>
                <w:sz w:val="18"/>
                <w:szCs w:val="18"/>
              </w:rPr>
              <w:t>Investment Incentive</w:t>
            </w:r>
          </w:p>
        </w:tc>
        <w:tc>
          <w:tcPr>
            <w:tcW w:w="1987" w:type="dxa"/>
            <w:shd w:val="clear" w:color="auto" w:fill="auto"/>
            <w:noWrap/>
            <w:vAlign w:val="bottom"/>
          </w:tcPr>
          <w:p w14:paraId="4CCC35D3" w14:textId="76ACBDF7" w:rsidR="00224102" w:rsidRPr="00D15BA2" w:rsidRDefault="00224102" w:rsidP="00FE547A">
            <w:pPr>
              <w:tabs>
                <w:tab w:val="left" w:pos="0"/>
              </w:tabs>
              <w:ind w:right="72"/>
              <w:jc w:val="right"/>
              <w:rPr>
                <w:color w:val="000000"/>
                <w:sz w:val="18"/>
                <w:szCs w:val="18"/>
              </w:rPr>
            </w:pPr>
            <w:r>
              <w:rPr>
                <w:color w:val="000000"/>
                <w:sz w:val="18"/>
                <w:szCs w:val="18"/>
              </w:rPr>
              <w:t xml:space="preserve">          14</w:t>
            </w:r>
            <w:r w:rsidRPr="00D15BA2">
              <w:rPr>
                <w:color w:val="000000"/>
                <w:sz w:val="18"/>
                <w:szCs w:val="18"/>
              </w:rPr>
              <w:t>,</w:t>
            </w:r>
            <w:r>
              <w:rPr>
                <w:color w:val="000000"/>
                <w:sz w:val="18"/>
                <w:szCs w:val="18"/>
              </w:rPr>
              <w:t>120</w:t>
            </w:r>
            <w:r w:rsidRPr="00D15BA2">
              <w:rPr>
                <w:color w:val="000000"/>
                <w:sz w:val="18"/>
                <w:szCs w:val="18"/>
              </w:rPr>
              <w:t xml:space="preserve">   </w:t>
            </w:r>
          </w:p>
        </w:tc>
        <w:tc>
          <w:tcPr>
            <w:tcW w:w="2198" w:type="dxa"/>
            <w:shd w:val="clear" w:color="auto" w:fill="auto"/>
            <w:noWrap/>
            <w:vAlign w:val="bottom"/>
          </w:tcPr>
          <w:p w14:paraId="5139B3B9" w14:textId="227E0CFC" w:rsidR="00224102" w:rsidRPr="003261E3" w:rsidRDefault="00224102" w:rsidP="00FE547A">
            <w:pPr>
              <w:tabs>
                <w:tab w:val="left" w:pos="0"/>
              </w:tabs>
              <w:ind w:right="72"/>
              <w:jc w:val="right"/>
              <w:rPr>
                <w:sz w:val="18"/>
                <w:szCs w:val="18"/>
              </w:rPr>
            </w:pPr>
            <w:r w:rsidRPr="003261E3">
              <w:rPr>
                <w:color w:val="000000"/>
                <w:sz w:val="18"/>
                <w:szCs w:val="18"/>
              </w:rPr>
              <w:t>16,062</w:t>
            </w:r>
          </w:p>
        </w:tc>
      </w:tr>
      <w:tr w:rsidR="00224102" w:rsidRPr="00604C75" w14:paraId="3EE716DC" w14:textId="77777777" w:rsidTr="00FE547A">
        <w:trPr>
          <w:trHeight w:hRule="exact" w:val="270"/>
        </w:trPr>
        <w:tc>
          <w:tcPr>
            <w:tcW w:w="5167" w:type="dxa"/>
            <w:shd w:val="clear" w:color="auto" w:fill="auto"/>
            <w:noWrap/>
            <w:vAlign w:val="bottom"/>
          </w:tcPr>
          <w:p w14:paraId="69ED5D38" w14:textId="77777777" w:rsidR="00224102" w:rsidRPr="00604C75" w:rsidRDefault="00224102" w:rsidP="00224102">
            <w:pPr>
              <w:tabs>
                <w:tab w:val="left" w:pos="0"/>
              </w:tabs>
              <w:rPr>
                <w:sz w:val="18"/>
                <w:szCs w:val="18"/>
              </w:rPr>
            </w:pPr>
            <w:r w:rsidRPr="00604C75">
              <w:rPr>
                <w:sz w:val="18"/>
                <w:szCs w:val="18"/>
              </w:rPr>
              <w:t>Financial Losses</w:t>
            </w:r>
          </w:p>
        </w:tc>
        <w:tc>
          <w:tcPr>
            <w:tcW w:w="1987" w:type="dxa"/>
            <w:shd w:val="clear" w:color="auto" w:fill="auto"/>
            <w:noWrap/>
            <w:vAlign w:val="bottom"/>
          </w:tcPr>
          <w:p w14:paraId="521E2B73" w14:textId="151959BD" w:rsidR="00224102" w:rsidRPr="00D15BA2" w:rsidRDefault="00224102" w:rsidP="00FE547A">
            <w:pPr>
              <w:tabs>
                <w:tab w:val="left" w:pos="0"/>
              </w:tabs>
              <w:ind w:right="72"/>
              <w:jc w:val="right"/>
              <w:rPr>
                <w:color w:val="000000"/>
                <w:sz w:val="18"/>
                <w:szCs w:val="18"/>
              </w:rPr>
            </w:pPr>
            <w:r w:rsidRPr="00D15BA2">
              <w:rPr>
                <w:color w:val="000000"/>
                <w:sz w:val="18"/>
                <w:szCs w:val="18"/>
              </w:rPr>
              <w:t xml:space="preserve">            1,094   </w:t>
            </w:r>
          </w:p>
        </w:tc>
        <w:tc>
          <w:tcPr>
            <w:tcW w:w="2198" w:type="dxa"/>
            <w:shd w:val="clear" w:color="auto" w:fill="auto"/>
            <w:noWrap/>
            <w:vAlign w:val="bottom"/>
          </w:tcPr>
          <w:p w14:paraId="6A75A926" w14:textId="3F61F4E9" w:rsidR="00224102" w:rsidRPr="003261E3" w:rsidRDefault="00224102" w:rsidP="00FE547A">
            <w:pPr>
              <w:tabs>
                <w:tab w:val="left" w:pos="0"/>
              </w:tabs>
              <w:ind w:right="72"/>
              <w:jc w:val="right"/>
              <w:rPr>
                <w:sz w:val="18"/>
                <w:szCs w:val="18"/>
              </w:rPr>
            </w:pPr>
            <w:r w:rsidRPr="003261E3">
              <w:rPr>
                <w:color w:val="000000"/>
                <w:sz w:val="18"/>
                <w:szCs w:val="18"/>
              </w:rPr>
              <w:t>515</w:t>
            </w:r>
          </w:p>
        </w:tc>
      </w:tr>
      <w:tr w:rsidR="00224102" w:rsidRPr="00604C75" w14:paraId="793E3697" w14:textId="77777777" w:rsidTr="00FE547A">
        <w:trPr>
          <w:trHeight w:hRule="exact" w:val="270"/>
        </w:trPr>
        <w:tc>
          <w:tcPr>
            <w:tcW w:w="5167" w:type="dxa"/>
            <w:shd w:val="clear" w:color="auto" w:fill="auto"/>
            <w:noWrap/>
            <w:vAlign w:val="bottom"/>
          </w:tcPr>
          <w:p w14:paraId="4264B9A8" w14:textId="59AC9C00" w:rsidR="00224102" w:rsidRPr="00604C75" w:rsidRDefault="00224102" w:rsidP="00224102">
            <w:pPr>
              <w:tabs>
                <w:tab w:val="left" w:pos="0"/>
              </w:tabs>
              <w:rPr>
                <w:b/>
                <w:sz w:val="18"/>
                <w:szCs w:val="18"/>
              </w:rPr>
            </w:pPr>
            <w:r w:rsidRPr="00604C75">
              <w:rPr>
                <w:b/>
                <w:sz w:val="18"/>
                <w:szCs w:val="18"/>
              </w:rPr>
              <w:t>Net D</w:t>
            </w:r>
            <w:r w:rsidR="00B03649">
              <w:rPr>
                <w:b/>
                <w:sz w:val="18"/>
                <w:szCs w:val="18"/>
              </w:rPr>
              <w:t>eferred Tax Assets</w:t>
            </w:r>
          </w:p>
        </w:tc>
        <w:tc>
          <w:tcPr>
            <w:tcW w:w="1987" w:type="dxa"/>
            <w:shd w:val="clear" w:color="auto" w:fill="auto"/>
            <w:noWrap/>
            <w:vAlign w:val="bottom"/>
          </w:tcPr>
          <w:p w14:paraId="2D3343AA" w14:textId="3544BBB5" w:rsidR="00224102" w:rsidRPr="00D15BA2" w:rsidRDefault="00224102" w:rsidP="00FE547A">
            <w:pPr>
              <w:tabs>
                <w:tab w:val="left" w:pos="0"/>
              </w:tabs>
              <w:ind w:right="72"/>
              <w:jc w:val="right"/>
              <w:rPr>
                <w:b/>
                <w:color w:val="000000"/>
                <w:sz w:val="18"/>
                <w:szCs w:val="18"/>
              </w:rPr>
            </w:pPr>
            <w:r w:rsidRPr="00D15BA2">
              <w:rPr>
                <w:b/>
                <w:color w:val="000000"/>
                <w:sz w:val="18"/>
                <w:szCs w:val="18"/>
              </w:rPr>
              <w:t xml:space="preserve">          26,707   </w:t>
            </w:r>
          </w:p>
        </w:tc>
        <w:tc>
          <w:tcPr>
            <w:tcW w:w="2198" w:type="dxa"/>
            <w:shd w:val="clear" w:color="auto" w:fill="auto"/>
            <w:noWrap/>
            <w:vAlign w:val="bottom"/>
          </w:tcPr>
          <w:p w14:paraId="22B79E3C" w14:textId="7EC733D3" w:rsidR="00224102" w:rsidRPr="003261E3" w:rsidRDefault="00224102" w:rsidP="00FE547A">
            <w:pPr>
              <w:tabs>
                <w:tab w:val="left" w:pos="0"/>
              </w:tabs>
              <w:ind w:right="72"/>
              <w:jc w:val="right"/>
              <w:rPr>
                <w:b/>
                <w:sz w:val="18"/>
                <w:szCs w:val="18"/>
              </w:rPr>
            </w:pPr>
            <w:r w:rsidRPr="003261E3">
              <w:rPr>
                <w:b/>
                <w:color w:val="000000"/>
                <w:sz w:val="18"/>
                <w:szCs w:val="18"/>
              </w:rPr>
              <w:t>24,242</w:t>
            </w:r>
          </w:p>
        </w:tc>
      </w:tr>
    </w:tbl>
    <w:p w14:paraId="62C1340B" w14:textId="77777777" w:rsidR="00416B25" w:rsidRPr="00604C75" w:rsidRDefault="00416B25" w:rsidP="00545C81">
      <w:pPr>
        <w:tabs>
          <w:tab w:val="left" w:pos="1276"/>
        </w:tabs>
        <w:spacing w:line="204" w:lineRule="auto"/>
        <w:ind w:left="1276" w:hanging="425"/>
        <w:jc w:val="both"/>
        <w:rPr>
          <w:noProof/>
          <w:sz w:val="16"/>
          <w:szCs w:val="16"/>
        </w:rPr>
      </w:pPr>
    </w:p>
    <w:p w14:paraId="28F66722" w14:textId="7C5608D5" w:rsidR="00E37665" w:rsidRPr="00604C75" w:rsidRDefault="00B27B7B" w:rsidP="00E37665">
      <w:pPr>
        <w:pStyle w:val="BodyTextIndent"/>
        <w:pageBreakBefore/>
        <w:spacing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0FDF54BA" w14:textId="77777777" w:rsidR="00E37665" w:rsidRPr="00604C75" w:rsidRDefault="00E37665" w:rsidP="006D2C07">
      <w:pPr>
        <w:pStyle w:val="Heading2"/>
        <w:tabs>
          <w:tab w:val="left" w:pos="709"/>
        </w:tabs>
        <w:spacing w:before="0" w:line="120" w:lineRule="auto"/>
        <w:rPr>
          <w:rFonts w:ascii="Times New Roman" w:hAnsi="Times New Roman"/>
          <w:sz w:val="20"/>
        </w:rPr>
      </w:pPr>
    </w:p>
    <w:p w14:paraId="6BCFF3C9" w14:textId="5A133C0A" w:rsidR="00585D32" w:rsidRPr="00FD0C7A" w:rsidRDefault="00647320" w:rsidP="008477F3">
      <w:pPr>
        <w:pStyle w:val="Heading2"/>
        <w:numPr>
          <w:ilvl w:val="0"/>
          <w:numId w:val="66"/>
        </w:numPr>
        <w:tabs>
          <w:tab w:val="left" w:pos="709"/>
        </w:tabs>
        <w:spacing w:before="0" w:after="120"/>
        <w:ind w:hanging="1080"/>
        <w:rPr>
          <w:rFonts w:ascii="Times New Roman" w:hAnsi="Times New Roman"/>
          <w:bCs/>
          <w:sz w:val="20"/>
        </w:rPr>
      </w:pPr>
      <w:r w:rsidRPr="00604C75">
        <w:rPr>
          <w:rFonts w:ascii="Times New Roman" w:hAnsi="Times New Roman"/>
          <w:noProof/>
          <w:sz w:val="20"/>
        </w:rPr>
        <w:t xml:space="preserve">Explanations and Notes </w:t>
      </w:r>
      <w:r>
        <w:rPr>
          <w:rFonts w:ascii="Times New Roman" w:hAnsi="Times New Roman"/>
          <w:noProof/>
          <w:sz w:val="20"/>
        </w:rPr>
        <w:t>on</w:t>
      </w:r>
      <w:r w:rsidRPr="00604C75">
        <w:rPr>
          <w:rFonts w:ascii="Times New Roman" w:hAnsi="Times New Roman"/>
          <w:noProof/>
          <w:sz w:val="20"/>
        </w:rPr>
        <w:t xml:space="preserve"> Liabilities</w:t>
      </w:r>
      <w:r w:rsidRPr="00604C75">
        <w:rPr>
          <w:rFonts w:ascii="Times New Roman" w:hAnsi="Times New Roman"/>
          <w:bCs/>
          <w:sz w:val="20"/>
        </w:rPr>
        <w:t xml:space="preserve"> </w:t>
      </w:r>
      <w:r w:rsidR="00E37665" w:rsidRPr="00604C75">
        <w:rPr>
          <w:rFonts w:ascii="Times New Roman" w:hAnsi="Times New Roman"/>
          <w:bCs/>
          <w:sz w:val="20"/>
        </w:rPr>
        <w:t>(Continued)</w:t>
      </w:r>
      <w:r w:rsidR="00FC07B9">
        <w:rPr>
          <w:rFonts w:ascii="Times New Roman" w:hAnsi="Times New Roman"/>
          <w:bCs/>
          <w:sz w:val="20"/>
        </w:rPr>
        <w:t xml:space="preserve"> </w:t>
      </w:r>
    </w:p>
    <w:p w14:paraId="58E137A5" w14:textId="6209EFD8" w:rsidR="0044575F" w:rsidRPr="00B6362C" w:rsidRDefault="000D5763" w:rsidP="00B6362C">
      <w:pPr>
        <w:pStyle w:val="ListParagraph"/>
        <w:numPr>
          <w:ilvl w:val="0"/>
          <w:numId w:val="48"/>
        </w:numPr>
        <w:tabs>
          <w:tab w:val="left" w:pos="709"/>
        </w:tabs>
        <w:spacing w:before="120" w:after="120" w:line="216" w:lineRule="auto"/>
        <w:ind w:left="0" w:firstLine="0"/>
        <w:jc w:val="both"/>
        <w:rPr>
          <w:sz w:val="20"/>
          <w:szCs w:val="20"/>
        </w:rPr>
      </w:pPr>
      <w:r w:rsidRPr="00604C75">
        <w:rPr>
          <w:sz w:val="20"/>
          <w:szCs w:val="20"/>
        </w:rPr>
        <w:t>Group’s</w:t>
      </w:r>
      <w:r w:rsidR="00714A17" w:rsidRPr="00604C75">
        <w:rPr>
          <w:sz w:val="20"/>
          <w:szCs w:val="20"/>
        </w:rPr>
        <w:t xml:space="preserve"> </w:t>
      </w:r>
      <w:r w:rsidRPr="00604C75">
        <w:rPr>
          <w:sz w:val="20"/>
          <w:szCs w:val="20"/>
        </w:rPr>
        <w:t>d</w:t>
      </w:r>
      <w:r w:rsidR="0044575F" w:rsidRPr="00604C75">
        <w:rPr>
          <w:sz w:val="20"/>
          <w:szCs w:val="20"/>
        </w:rPr>
        <w:t>etailed explanation on subordinated loans including quantity, maturity, interest ra</w:t>
      </w:r>
      <w:r w:rsidR="00714A17" w:rsidRPr="00604C75">
        <w:rPr>
          <w:sz w:val="20"/>
          <w:szCs w:val="20"/>
        </w:rPr>
        <w:t>te, issuing institution, option</w:t>
      </w:r>
      <w:r w:rsidR="0076547A" w:rsidRPr="00604C75">
        <w:rPr>
          <w:sz w:val="20"/>
          <w:szCs w:val="20"/>
        </w:rPr>
        <w:t xml:space="preserve"> </w:t>
      </w:r>
      <w:r w:rsidR="0044575F" w:rsidRPr="00604C75">
        <w:rPr>
          <w:sz w:val="20"/>
          <w:szCs w:val="20"/>
        </w:rPr>
        <w:t xml:space="preserve">to </w:t>
      </w:r>
      <w:r w:rsidRPr="00604C75">
        <w:rPr>
          <w:sz w:val="20"/>
          <w:szCs w:val="20"/>
        </w:rPr>
        <w:t>be converted into stock certificate</w:t>
      </w:r>
    </w:p>
    <w:tbl>
      <w:tblPr>
        <w:tblW w:w="9336"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374"/>
        <w:gridCol w:w="1435"/>
        <w:gridCol w:w="1644"/>
        <w:gridCol w:w="1200"/>
        <w:gridCol w:w="1683"/>
      </w:tblGrid>
      <w:tr w:rsidR="0044575F" w:rsidRPr="00195EDC" w14:paraId="71420114" w14:textId="77777777" w:rsidTr="00576E0A">
        <w:trPr>
          <w:trHeight w:val="315"/>
        </w:trPr>
        <w:tc>
          <w:tcPr>
            <w:tcW w:w="3374" w:type="dxa"/>
            <w:noWrap/>
            <w:tcMar>
              <w:top w:w="15" w:type="dxa"/>
              <w:left w:w="15" w:type="dxa"/>
              <w:bottom w:w="0" w:type="dxa"/>
              <w:right w:w="15" w:type="dxa"/>
            </w:tcMar>
            <w:vAlign w:val="bottom"/>
          </w:tcPr>
          <w:p w14:paraId="532093A6" w14:textId="77777777" w:rsidR="0044575F" w:rsidRPr="00195EDC" w:rsidRDefault="0044575F" w:rsidP="00FA2E7E">
            <w:pPr>
              <w:spacing w:line="204" w:lineRule="auto"/>
              <w:ind w:left="709" w:hanging="709"/>
              <w:rPr>
                <w:rFonts w:eastAsia="Arial Unicode MS"/>
                <w:b/>
                <w:sz w:val="18"/>
                <w:szCs w:val="18"/>
              </w:rPr>
            </w:pPr>
            <w:r w:rsidRPr="00195EDC">
              <w:rPr>
                <w:rFonts w:eastAsia="Arial Unicode MS"/>
                <w:b/>
                <w:sz w:val="18"/>
                <w:szCs w:val="18"/>
              </w:rPr>
              <w:t>Issuing Institution</w:t>
            </w:r>
          </w:p>
        </w:tc>
        <w:tc>
          <w:tcPr>
            <w:tcW w:w="1435" w:type="dxa"/>
            <w:noWrap/>
            <w:tcMar>
              <w:top w:w="15" w:type="dxa"/>
              <w:left w:w="15" w:type="dxa"/>
              <w:bottom w:w="0" w:type="dxa"/>
              <w:right w:w="15" w:type="dxa"/>
            </w:tcMar>
            <w:vAlign w:val="bottom"/>
          </w:tcPr>
          <w:p w14:paraId="23CD37ED" w14:textId="77777777" w:rsidR="0044575F" w:rsidRPr="00195EDC" w:rsidRDefault="0044575F" w:rsidP="00FA2E7E">
            <w:pPr>
              <w:spacing w:line="204" w:lineRule="auto"/>
              <w:ind w:left="709" w:hanging="709"/>
              <w:jc w:val="right"/>
              <w:rPr>
                <w:rFonts w:eastAsia="Arial Unicode MS"/>
                <w:b/>
                <w:sz w:val="18"/>
                <w:szCs w:val="18"/>
              </w:rPr>
            </w:pPr>
            <w:r w:rsidRPr="00195EDC">
              <w:rPr>
                <w:rFonts w:eastAsia="Arial Unicode MS"/>
                <w:b/>
                <w:sz w:val="18"/>
                <w:szCs w:val="18"/>
              </w:rPr>
              <w:t>Amount</w:t>
            </w:r>
            <w:r w:rsidR="005E204C" w:rsidRPr="00195EDC">
              <w:rPr>
                <w:rFonts w:eastAsia="Arial Unicode MS"/>
                <w:b/>
                <w:sz w:val="18"/>
                <w:szCs w:val="18"/>
              </w:rPr>
              <w:t xml:space="preserve"> (‘000)</w:t>
            </w:r>
          </w:p>
        </w:tc>
        <w:tc>
          <w:tcPr>
            <w:tcW w:w="1644" w:type="dxa"/>
            <w:vAlign w:val="bottom"/>
          </w:tcPr>
          <w:p w14:paraId="12E732CD" w14:textId="77777777" w:rsidR="0044575F" w:rsidRPr="00195EDC" w:rsidRDefault="0044575F" w:rsidP="00A83A2F">
            <w:pPr>
              <w:spacing w:line="204" w:lineRule="auto"/>
              <w:ind w:left="709" w:right="55" w:hanging="709"/>
              <w:jc w:val="right"/>
              <w:rPr>
                <w:rFonts w:eastAsia="Arial Unicode MS"/>
                <w:b/>
                <w:sz w:val="18"/>
                <w:szCs w:val="18"/>
              </w:rPr>
            </w:pPr>
            <w:r w:rsidRPr="00195EDC">
              <w:rPr>
                <w:rFonts w:eastAsia="Arial Unicode MS"/>
                <w:b/>
                <w:sz w:val="18"/>
                <w:szCs w:val="18"/>
              </w:rPr>
              <w:t xml:space="preserve">Opening Date </w:t>
            </w:r>
          </w:p>
        </w:tc>
        <w:tc>
          <w:tcPr>
            <w:tcW w:w="1200" w:type="dxa"/>
            <w:noWrap/>
            <w:tcMar>
              <w:top w:w="15" w:type="dxa"/>
              <w:left w:w="15" w:type="dxa"/>
              <w:bottom w:w="0" w:type="dxa"/>
              <w:right w:w="15" w:type="dxa"/>
            </w:tcMar>
            <w:vAlign w:val="bottom"/>
          </w:tcPr>
          <w:p w14:paraId="4A94A2B0" w14:textId="77777777" w:rsidR="0044575F" w:rsidRPr="00195EDC" w:rsidRDefault="005E204C" w:rsidP="00FA2E7E">
            <w:pPr>
              <w:spacing w:line="204" w:lineRule="auto"/>
              <w:ind w:left="709" w:hanging="709"/>
              <w:jc w:val="right"/>
              <w:rPr>
                <w:rFonts w:eastAsia="Arial Unicode MS"/>
                <w:b/>
                <w:sz w:val="18"/>
                <w:szCs w:val="18"/>
              </w:rPr>
            </w:pPr>
            <w:r w:rsidRPr="00195EDC">
              <w:rPr>
                <w:rFonts w:eastAsia="Arial Unicode MS"/>
                <w:b/>
                <w:sz w:val="18"/>
                <w:szCs w:val="18"/>
              </w:rPr>
              <w:t>Maturity</w:t>
            </w:r>
          </w:p>
        </w:tc>
        <w:tc>
          <w:tcPr>
            <w:tcW w:w="1683" w:type="dxa"/>
            <w:vAlign w:val="bottom"/>
          </w:tcPr>
          <w:p w14:paraId="433206F7" w14:textId="77777777" w:rsidR="0044575F" w:rsidRPr="00195EDC" w:rsidRDefault="0044575F" w:rsidP="00FA2E7E">
            <w:pPr>
              <w:spacing w:line="204" w:lineRule="auto"/>
              <w:ind w:left="709" w:hanging="709"/>
              <w:jc w:val="right"/>
              <w:rPr>
                <w:rFonts w:eastAsia="Arial Unicode MS"/>
                <w:b/>
                <w:sz w:val="18"/>
                <w:szCs w:val="18"/>
              </w:rPr>
            </w:pPr>
            <w:r w:rsidRPr="00195EDC">
              <w:rPr>
                <w:rFonts w:eastAsia="Arial Unicode MS"/>
                <w:b/>
                <w:sz w:val="18"/>
                <w:szCs w:val="18"/>
              </w:rPr>
              <w:t>Interest Rate (%)</w:t>
            </w:r>
          </w:p>
        </w:tc>
      </w:tr>
      <w:tr w:rsidR="0044575F" w:rsidRPr="00195EDC" w14:paraId="7D6F629D" w14:textId="77777777" w:rsidTr="00576E0A">
        <w:trPr>
          <w:trHeight w:val="284"/>
        </w:trPr>
        <w:tc>
          <w:tcPr>
            <w:tcW w:w="3374" w:type="dxa"/>
            <w:noWrap/>
            <w:tcMar>
              <w:top w:w="15" w:type="dxa"/>
              <w:left w:w="15" w:type="dxa"/>
              <w:bottom w:w="0" w:type="dxa"/>
              <w:right w:w="15" w:type="dxa"/>
            </w:tcMar>
            <w:vAlign w:val="bottom"/>
          </w:tcPr>
          <w:p w14:paraId="0C3043D2" w14:textId="77777777" w:rsidR="0044575F" w:rsidRPr="00195EDC" w:rsidRDefault="0044575F" w:rsidP="00CC41C9">
            <w:pPr>
              <w:spacing w:line="204" w:lineRule="auto"/>
              <w:ind w:left="709" w:hanging="709"/>
              <w:rPr>
                <w:rFonts w:eastAsia="Arial Unicode MS"/>
                <w:sz w:val="18"/>
                <w:szCs w:val="18"/>
              </w:rPr>
            </w:pPr>
            <w:r w:rsidRPr="00195EDC">
              <w:rPr>
                <w:rFonts w:eastAsia="Arial Unicode MS"/>
                <w:sz w:val="18"/>
                <w:szCs w:val="18"/>
              </w:rPr>
              <w:t xml:space="preserve">International Finance Corporation       </w:t>
            </w:r>
          </w:p>
        </w:tc>
        <w:tc>
          <w:tcPr>
            <w:tcW w:w="1435" w:type="dxa"/>
            <w:noWrap/>
            <w:tcMar>
              <w:top w:w="15" w:type="dxa"/>
              <w:left w:w="15" w:type="dxa"/>
              <w:bottom w:w="0" w:type="dxa"/>
              <w:right w:w="15" w:type="dxa"/>
            </w:tcMar>
            <w:vAlign w:val="bottom"/>
          </w:tcPr>
          <w:p w14:paraId="32A683F7" w14:textId="6EBD4F03" w:rsidR="0044575F" w:rsidRPr="00195EDC" w:rsidRDefault="00196A0E" w:rsidP="00196A0E">
            <w:pPr>
              <w:spacing w:line="204" w:lineRule="auto"/>
              <w:ind w:left="709" w:hanging="709"/>
              <w:jc w:val="right"/>
              <w:rPr>
                <w:rFonts w:eastAsia="Arial Unicode MS"/>
                <w:sz w:val="18"/>
                <w:szCs w:val="18"/>
              </w:rPr>
            </w:pPr>
            <w:r w:rsidRPr="00195EDC">
              <w:rPr>
                <w:sz w:val="18"/>
                <w:szCs w:val="18"/>
              </w:rPr>
              <w:t xml:space="preserve">USD </w:t>
            </w:r>
            <w:r w:rsidR="0044575F" w:rsidRPr="00195EDC">
              <w:rPr>
                <w:sz w:val="18"/>
                <w:szCs w:val="18"/>
              </w:rPr>
              <w:t>50</w:t>
            </w:r>
            <w:r w:rsidR="00825677" w:rsidRPr="00195EDC">
              <w:rPr>
                <w:sz w:val="18"/>
                <w:szCs w:val="18"/>
              </w:rPr>
              <w:t>,</w:t>
            </w:r>
            <w:r w:rsidR="0044575F" w:rsidRPr="00195EDC">
              <w:rPr>
                <w:sz w:val="18"/>
                <w:szCs w:val="18"/>
              </w:rPr>
              <w:t xml:space="preserve">000 </w:t>
            </w:r>
          </w:p>
        </w:tc>
        <w:tc>
          <w:tcPr>
            <w:tcW w:w="1644" w:type="dxa"/>
            <w:vAlign w:val="bottom"/>
          </w:tcPr>
          <w:p w14:paraId="392168CE" w14:textId="77777777" w:rsidR="0044575F" w:rsidRPr="00195EDC" w:rsidRDefault="0044575F" w:rsidP="00153AC5">
            <w:pPr>
              <w:spacing w:line="204" w:lineRule="auto"/>
              <w:ind w:left="709" w:right="56" w:hanging="709"/>
              <w:jc w:val="right"/>
              <w:rPr>
                <w:rFonts w:eastAsia="Arial Unicode MS"/>
                <w:sz w:val="18"/>
                <w:szCs w:val="18"/>
              </w:rPr>
            </w:pPr>
            <w:r w:rsidRPr="00195EDC">
              <w:rPr>
                <w:sz w:val="18"/>
                <w:szCs w:val="18"/>
              </w:rPr>
              <w:t>29 December 2010</w:t>
            </w:r>
          </w:p>
        </w:tc>
        <w:tc>
          <w:tcPr>
            <w:tcW w:w="1200" w:type="dxa"/>
            <w:noWrap/>
            <w:tcMar>
              <w:top w:w="15" w:type="dxa"/>
              <w:left w:w="15" w:type="dxa"/>
              <w:bottom w:w="0" w:type="dxa"/>
              <w:right w:w="15" w:type="dxa"/>
            </w:tcMar>
            <w:vAlign w:val="bottom"/>
          </w:tcPr>
          <w:p w14:paraId="51BE8B04" w14:textId="77777777" w:rsidR="0044575F" w:rsidRPr="00195EDC" w:rsidRDefault="009E467E" w:rsidP="00153AC5">
            <w:pPr>
              <w:spacing w:line="204" w:lineRule="auto"/>
              <w:ind w:left="709" w:right="27" w:hanging="709"/>
              <w:jc w:val="right"/>
              <w:rPr>
                <w:rFonts w:eastAsia="Arial Unicode MS"/>
                <w:sz w:val="18"/>
                <w:szCs w:val="18"/>
              </w:rPr>
            </w:pPr>
            <w:r w:rsidRPr="00195EDC">
              <w:rPr>
                <w:sz w:val="18"/>
                <w:szCs w:val="18"/>
              </w:rPr>
              <w:t>11</w:t>
            </w:r>
            <w:r w:rsidR="0044575F" w:rsidRPr="00195EDC">
              <w:rPr>
                <w:sz w:val="18"/>
                <w:szCs w:val="18"/>
              </w:rPr>
              <w:t xml:space="preserve"> years</w:t>
            </w:r>
            <w:r w:rsidR="008935A1" w:rsidRPr="00195EDC">
              <w:rPr>
                <w:sz w:val="18"/>
                <w:szCs w:val="18"/>
              </w:rPr>
              <w:t xml:space="preserve"> </w:t>
            </w:r>
            <w:r w:rsidR="00FC07B9" w:rsidRPr="00195EDC">
              <w:rPr>
                <w:sz w:val="16"/>
                <w:szCs w:val="16"/>
              </w:rPr>
              <w:t>(*)</w:t>
            </w:r>
          </w:p>
        </w:tc>
        <w:tc>
          <w:tcPr>
            <w:tcW w:w="1683" w:type="dxa"/>
            <w:vAlign w:val="bottom"/>
          </w:tcPr>
          <w:p w14:paraId="15E7ECAD" w14:textId="77777777" w:rsidR="0044575F" w:rsidRPr="00195EDC" w:rsidRDefault="0044575F" w:rsidP="00153AC5">
            <w:pPr>
              <w:spacing w:line="204" w:lineRule="auto"/>
              <w:ind w:left="709" w:right="42" w:hanging="709"/>
              <w:jc w:val="right"/>
              <w:rPr>
                <w:rFonts w:eastAsia="Arial Unicode MS"/>
                <w:sz w:val="18"/>
                <w:szCs w:val="18"/>
              </w:rPr>
            </w:pPr>
            <w:r w:rsidRPr="00195EDC">
              <w:rPr>
                <w:sz w:val="18"/>
                <w:szCs w:val="18"/>
              </w:rPr>
              <w:t>Libor + 4</w:t>
            </w:r>
            <w:r w:rsidR="00825677" w:rsidRPr="00195EDC">
              <w:rPr>
                <w:sz w:val="18"/>
                <w:szCs w:val="18"/>
              </w:rPr>
              <w:t>.</w:t>
            </w:r>
            <w:r w:rsidRPr="00195EDC">
              <w:rPr>
                <w:sz w:val="18"/>
                <w:szCs w:val="18"/>
              </w:rPr>
              <w:t>50</w:t>
            </w:r>
          </w:p>
        </w:tc>
      </w:tr>
      <w:tr w:rsidR="0044575F" w:rsidRPr="00195EDC" w14:paraId="71E63810" w14:textId="77777777" w:rsidTr="00576E0A">
        <w:trPr>
          <w:trHeight w:val="273"/>
        </w:trPr>
        <w:tc>
          <w:tcPr>
            <w:tcW w:w="3374" w:type="dxa"/>
            <w:noWrap/>
            <w:tcMar>
              <w:top w:w="15" w:type="dxa"/>
              <w:left w:w="15" w:type="dxa"/>
              <w:bottom w:w="0" w:type="dxa"/>
              <w:right w:w="15" w:type="dxa"/>
            </w:tcMar>
            <w:vAlign w:val="bottom"/>
          </w:tcPr>
          <w:p w14:paraId="352722F6" w14:textId="77777777" w:rsidR="0044575F" w:rsidRPr="00195EDC" w:rsidRDefault="0044575F" w:rsidP="00CC41C9">
            <w:pPr>
              <w:spacing w:line="204" w:lineRule="auto"/>
              <w:ind w:left="709" w:hanging="709"/>
              <w:rPr>
                <w:rFonts w:eastAsia="Arial Unicode MS"/>
                <w:sz w:val="18"/>
                <w:szCs w:val="18"/>
              </w:rPr>
            </w:pPr>
            <w:r w:rsidRPr="00195EDC">
              <w:rPr>
                <w:rFonts w:eastAsia="Arial Unicode MS"/>
                <w:sz w:val="18"/>
                <w:szCs w:val="18"/>
              </w:rPr>
              <w:t>Black Sea Trade and Development Bank</w:t>
            </w:r>
          </w:p>
        </w:tc>
        <w:tc>
          <w:tcPr>
            <w:tcW w:w="1435" w:type="dxa"/>
            <w:noWrap/>
            <w:tcMar>
              <w:top w:w="15" w:type="dxa"/>
              <w:left w:w="15" w:type="dxa"/>
              <w:bottom w:w="0" w:type="dxa"/>
              <w:right w:w="15" w:type="dxa"/>
            </w:tcMar>
            <w:vAlign w:val="bottom"/>
          </w:tcPr>
          <w:p w14:paraId="39751002" w14:textId="497FA359" w:rsidR="0044575F" w:rsidRPr="00195EDC" w:rsidRDefault="00196A0E" w:rsidP="00196A0E">
            <w:pPr>
              <w:spacing w:line="204" w:lineRule="auto"/>
              <w:ind w:left="709" w:hanging="709"/>
              <w:jc w:val="right"/>
              <w:rPr>
                <w:sz w:val="18"/>
                <w:szCs w:val="18"/>
              </w:rPr>
            </w:pPr>
            <w:r w:rsidRPr="00195EDC">
              <w:rPr>
                <w:sz w:val="18"/>
                <w:szCs w:val="18"/>
              </w:rPr>
              <w:t xml:space="preserve">USD </w:t>
            </w:r>
            <w:r w:rsidR="0044575F" w:rsidRPr="00195EDC">
              <w:rPr>
                <w:sz w:val="18"/>
                <w:szCs w:val="18"/>
              </w:rPr>
              <w:t>30</w:t>
            </w:r>
            <w:r w:rsidR="00825677" w:rsidRPr="00195EDC">
              <w:rPr>
                <w:sz w:val="18"/>
                <w:szCs w:val="18"/>
              </w:rPr>
              <w:t>,</w:t>
            </w:r>
            <w:r w:rsidR="0044575F" w:rsidRPr="00195EDC">
              <w:rPr>
                <w:sz w:val="18"/>
                <w:szCs w:val="18"/>
              </w:rPr>
              <w:t xml:space="preserve">000 </w:t>
            </w:r>
          </w:p>
        </w:tc>
        <w:tc>
          <w:tcPr>
            <w:tcW w:w="1644" w:type="dxa"/>
            <w:vAlign w:val="bottom"/>
          </w:tcPr>
          <w:p w14:paraId="5AF3F1FE" w14:textId="77777777" w:rsidR="0044575F" w:rsidRPr="00195EDC" w:rsidRDefault="0044575F" w:rsidP="00153AC5">
            <w:pPr>
              <w:spacing w:line="204" w:lineRule="auto"/>
              <w:ind w:left="709" w:right="56" w:hanging="709"/>
              <w:jc w:val="right"/>
              <w:rPr>
                <w:sz w:val="18"/>
                <w:szCs w:val="18"/>
              </w:rPr>
            </w:pPr>
            <w:r w:rsidRPr="00195EDC">
              <w:rPr>
                <w:sz w:val="18"/>
                <w:szCs w:val="18"/>
              </w:rPr>
              <w:t>29 December 2010</w:t>
            </w:r>
          </w:p>
        </w:tc>
        <w:tc>
          <w:tcPr>
            <w:tcW w:w="1200" w:type="dxa"/>
            <w:noWrap/>
            <w:tcMar>
              <w:top w:w="15" w:type="dxa"/>
              <w:left w:w="15" w:type="dxa"/>
              <w:bottom w:w="0" w:type="dxa"/>
              <w:right w:w="15" w:type="dxa"/>
            </w:tcMar>
            <w:vAlign w:val="bottom"/>
          </w:tcPr>
          <w:p w14:paraId="5B97923C" w14:textId="77777777" w:rsidR="0044575F" w:rsidRPr="00195EDC" w:rsidRDefault="009E467E" w:rsidP="00153AC5">
            <w:pPr>
              <w:spacing w:line="204" w:lineRule="auto"/>
              <w:ind w:left="709" w:right="27" w:hanging="709"/>
              <w:jc w:val="right"/>
              <w:rPr>
                <w:sz w:val="18"/>
                <w:szCs w:val="18"/>
              </w:rPr>
            </w:pPr>
            <w:r w:rsidRPr="00195EDC">
              <w:rPr>
                <w:sz w:val="18"/>
                <w:szCs w:val="18"/>
              </w:rPr>
              <w:t>11</w:t>
            </w:r>
            <w:r w:rsidR="0044575F" w:rsidRPr="00195EDC">
              <w:rPr>
                <w:sz w:val="18"/>
                <w:szCs w:val="18"/>
              </w:rPr>
              <w:t xml:space="preserve"> years</w:t>
            </w:r>
            <w:r w:rsidR="008935A1" w:rsidRPr="00195EDC">
              <w:rPr>
                <w:sz w:val="18"/>
                <w:szCs w:val="18"/>
              </w:rPr>
              <w:t xml:space="preserve"> </w:t>
            </w:r>
            <w:r w:rsidR="00FC07B9" w:rsidRPr="00195EDC">
              <w:rPr>
                <w:sz w:val="16"/>
                <w:szCs w:val="16"/>
              </w:rPr>
              <w:t>(*)</w:t>
            </w:r>
          </w:p>
        </w:tc>
        <w:tc>
          <w:tcPr>
            <w:tcW w:w="1683" w:type="dxa"/>
            <w:vAlign w:val="bottom"/>
          </w:tcPr>
          <w:p w14:paraId="60D1F664" w14:textId="77777777" w:rsidR="0044575F" w:rsidRPr="00195EDC" w:rsidRDefault="0044575F" w:rsidP="00153AC5">
            <w:pPr>
              <w:spacing w:line="204" w:lineRule="auto"/>
              <w:ind w:left="709" w:right="42" w:hanging="709"/>
              <w:jc w:val="right"/>
              <w:rPr>
                <w:sz w:val="18"/>
                <w:szCs w:val="18"/>
              </w:rPr>
            </w:pPr>
            <w:r w:rsidRPr="00195EDC">
              <w:rPr>
                <w:sz w:val="18"/>
                <w:szCs w:val="18"/>
              </w:rPr>
              <w:t>Libor + 4</w:t>
            </w:r>
            <w:r w:rsidR="00825677" w:rsidRPr="00195EDC">
              <w:rPr>
                <w:sz w:val="18"/>
                <w:szCs w:val="18"/>
              </w:rPr>
              <w:t>.</w:t>
            </w:r>
            <w:r w:rsidRPr="00195EDC">
              <w:rPr>
                <w:sz w:val="18"/>
                <w:szCs w:val="18"/>
              </w:rPr>
              <w:t>50</w:t>
            </w:r>
          </w:p>
        </w:tc>
      </w:tr>
      <w:tr w:rsidR="0044575F" w:rsidRPr="00195EDC" w14:paraId="4180C737" w14:textId="77777777" w:rsidTr="00576E0A">
        <w:trPr>
          <w:trHeight w:val="284"/>
        </w:trPr>
        <w:tc>
          <w:tcPr>
            <w:tcW w:w="3374" w:type="dxa"/>
            <w:noWrap/>
            <w:tcMar>
              <w:top w:w="15" w:type="dxa"/>
              <w:left w:w="15" w:type="dxa"/>
              <w:bottom w:w="0" w:type="dxa"/>
              <w:right w:w="15" w:type="dxa"/>
            </w:tcMar>
            <w:vAlign w:val="bottom"/>
          </w:tcPr>
          <w:p w14:paraId="2801A092" w14:textId="77777777" w:rsidR="0044575F" w:rsidRPr="00195EDC" w:rsidRDefault="0044575F" w:rsidP="00CC41C9">
            <w:pPr>
              <w:spacing w:line="204" w:lineRule="auto"/>
              <w:ind w:left="709" w:hanging="709"/>
              <w:rPr>
                <w:rFonts w:eastAsia="Arial Unicode MS"/>
                <w:sz w:val="18"/>
                <w:szCs w:val="18"/>
              </w:rPr>
            </w:pPr>
            <w:r w:rsidRPr="00195EDC">
              <w:rPr>
                <w:rFonts w:eastAsia="Arial Unicode MS"/>
                <w:sz w:val="18"/>
                <w:szCs w:val="18"/>
              </w:rPr>
              <w:t xml:space="preserve">FMO Amsterdam     </w:t>
            </w:r>
          </w:p>
        </w:tc>
        <w:tc>
          <w:tcPr>
            <w:tcW w:w="1435" w:type="dxa"/>
            <w:noWrap/>
            <w:tcMar>
              <w:top w:w="15" w:type="dxa"/>
              <w:left w:w="15" w:type="dxa"/>
              <w:bottom w:w="0" w:type="dxa"/>
              <w:right w:w="15" w:type="dxa"/>
            </w:tcMar>
            <w:vAlign w:val="bottom"/>
          </w:tcPr>
          <w:p w14:paraId="6179C419" w14:textId="62C0E4DF" w:rsidR="0044575F" w:rsidRPr="00195EDC" w:rsidRDefault="00196A0E" w:rsidP="00196A0E">
            <w:pPr>
              <w:spacing w:line="204" w:lineRule="auto"/>
              <w:ind w:left="709" w:hanging="709"/>
              <w:jc w:val="right"/>
              <w:rPr>
                <w:rFonts w:eastAsia="Arial Unicode MS"/>
                <w:sz w:val="18"/>
                <w:szCs w:val="18"/>
              </w:rPr>
            </w:pPr>
            <w:r w:rsidRPr="00195EDC">
              <w:rPr>
                <w:sz w:val="18"/>
                <w:szCs w:val="18"/>
              </w:rPr>
              <w:t xml:space="preserve">USD </w:t>
            </w:r>
            <w:r w:rsidR="0044575F" w:rsidRPr="00195EDC">
              <w:rPr>
                <w:sz w:val="18"/>
                <w:szCs w:val="18"/>
              </w:rPr>
              <w:t>25</w:t>
            </w:r>
            <w:r w:rsidR="00825677" w:rsidRPr="00195EDC">
              <w:rPr>
                <w:sz w:val="18"/>
                <w:szCs w:val="18"/>
              </w:rPr>
              <w:t>,</w:t>
            </w:r>
            <w:r w:rsidR="0044575F" w:rsidRPr="00195EDC">
              <w:rPr>
                <w:sz w:val="18"/>
                <w:szCs w:val="18"/>
              </w:rPr>
              <w:t xml:space="preserve">000 </w:t>
            </w:r>
          </w:p>
        </w:tc>
        <w:tc>
          <w:tcPr>
            <w:tcW w:w="1644" w:type="dxa"/>
            <w:vAlign w:val="bottom"/>
          </w:tcPr>
          <w:p w14:paraId="1764E2BA" w14:textId="77777777" w:rsidR="0044575F" w:rsidRPr="00195EDC" w:rsidRDefault="0044575F" w:rsidP="00153AC5">
            <w:pPr>
              <w:spacing w:line="204" w:lineRule="auto"/>
              <w:ind w:left="709" w:right="56" w:hanging="709"/>
              <w:jc w:val="right"/>
              <w:rPr>
                <w:rFonts w:eastAsia="Arial Unicode MS"/>
                <w:sz w:val="18"/>
                <w:szCs w:val="18"/>
              </w:rPr>
            </w:pPr>
            <w:r w:rsidRPr="00195EDC">
              <w:rPr>
                <w:sz w:val="18"/>
                <w:szCs w:val="18"/>
              </w:rPr>
              <w:t>29 December 2010</w:t>
            </w:r>
          </w:p>
        </w:tc>
        <w:tc>
          <w:tcPr>
            <w:tcW w:w="1200" w:type="dxa"/>
            <w:noWrap/>
            <w:tcMar>
              <w:top w:w="15" w:type="dxa"/>
              <w:left w:w="15" w:type="dxa"/>
              <w:bottom w:w="0" w:type="dxa"/>
              <w:right w:w="15" w:type="dxa"/>
            </w:tcMar>
            <w:vAlign w:val="bottom"/>
          </w:tcPr>
          <w:p w14:paraId="145AC5C6" w14:textId="77777777" w:rsidR="0044575F" w:rsidRPr="00195EDC" w:rsidRDefault="009E467E" w:rsidP="00153AC5">
            <w:pPr>
              <w:spacing w:line="204" w:lineRule="auto"/>
              <w:ind w:left="709" w:right="27" w:hanging="709"/>
              <w:jc w:val="right"/>
              <w:rPr>
                <w:rFonts w:eastAsia="Arial Unicode MS"/>
                <w:sz w:val="18"/>
                <w:szCs w:val="18"/>
              </w:rPr>
            </w:pPr>
            <w:r w:rsidRPr="00195EDC">
              <w:rPr>
                <w:sz w:val="18"/>
                <w:szCs w:val="18"/>
              </w:rPr>
              <w:t>11</w:t>
            </w:r>
            <w:r w:rsidR="0044575F" w:rsidRPr="00195EDC">
              <w:rPr>
                <w:sz w:val="18"/>
                <w:szCs w:val="18"/>
              </w:rPr>
              <w:t xml:space="preserve"> years</w:t>
            </w:r>
            <w:r w:rsidR="008935A1" w:rsidRPr="00195EDC">
              <w:rPr>
                <w:sz w:val="18"/>
                <w:szCs w:val="18"/>
              </w:rPr>
              <w:t xml:space="preserve"> </w:t>
            </w:r>
            <w:r w:rsidR="00FC07B9" w:rsidRPr="00195EDC">
              <w:rPr>
                <w:sz w:val="16"/>
                <w:szCs w:val="16"/>
              </w:rPr>
              <w:t>(*)</w:t>
            </w:r>
          </w:p>
        </w:tc>
        <w:tc>
          <w:tcPr>
            <w:tcW w:w="1683" w:type="dxa"/>
            <w:vAlign w:val="bottom"/>
          </w:tcPr>
          <w:p w14:paraId="79620C5A" w14:textId="77777777" w:rsidR="0044575F" w:rsidRPr="00195EDC" w:rsidRDefault="0044575F" w:rsidP="00153AC5">
            <w:pPr>
              <w:spacing w:line="204" w:lineRule="auto"/>
              <w:ind w:left="709" w:right="42" w:hanging="709"/>
              <w:jc w:val="right"/>
              <w:rPr>
                <w:rFonts w:eastAsia="Arial Unicode MS"/>
                <w:sz w:val="18"/>
                <w:szCs w:val="18"/>
              </w:rPr>
            </w:pPr>
            <w:r w:rsidRPr="00195EDC">
              <w:rPr>
                <w:sz w:val="18"/>
                <w:szCs w:val="18"/>
              </w:rPr>
              <w:t>Libor + 4</w:t>
            </w:r>
            <w:r w:rsidR="00825677" w:rsidRPr="00195EDC">
              <w:rPr>
                <w:sz w:val="18"/>
                <w:szCs w:val="18"/>
              </w:rPr>
              <w:t>.</w:t>
            </w:r>
            <w:r w:rsidRPr="00195EDC">
              <w:rPr>
                <w:sz w:val="18"/>
                <w:szCs w:val="18"/>
              </w:rPr>
              <w:t>50</w:t>
            </w:r>
          </w:p>
        </w:tc>
      </w:tr>
      <w:tr w:rsidR="0044575F" w:rsidRPr="00195EDC" w14:paraId="0A66353D" w14:textId="77777777" w:rsidTr="00576E0A">
        <w:trPr>
          <w:trHeight w:val="259"/>
        </w:trPr>
        <w:tc>
          <w:tcPr>
            <w:tcW w:w="3374" w:type="dxa"/>
            <w:noWrap/>
            <w:tcMar>
              <w:top w:w="15" w:type="dxa"/>
              <w:left w:w="15" w:type="dxa"/>
              <w:bottom w:w="0" w:type="dxa"/>
              <w:right w:w="15" w:type="dxa"/>
            </w:tcMar>
            <w:vAlign w:val="bottom"/>
          </w:tcPr>
          <w:p w14:paraId="04675FD4" w14:textId="77777777" w:rsidR="0044575F" w:rsidRPr="00195EDC" w:rsidRDefault="0044575F" w:rsidP="00CC41C9">
            <w:pPr>
              <w:spacing w:line="204" w:lineRule="auto"/>
              <w:ind w:left="709" w:hanging="709"/>
              <w:rPr>
                <w:rFonts w:eastAsia="Arial Unicode MS"/>
                <w:sz w:val="18"/>
                <w:szCs w:val="18"/>
              </w:rPr>
            </w:pPr>
            <w:r w:rsidRPr="00195EDC">
              <w:rPr>
                <w:rFonts w:eastAsia="Arial Unicode MS"/>
                <w:sz w:val="18"/>
                <w:szCs w:val="18"/>
              </w:rPr>
              <w:t>DEG KOLN</w:t>
            </w:r>
          </w:p>
        </w:tc>
        <w:tc>
          <w:tcPr>
            <w:tcW w:w="1435" w:type="dxa"/>
            <w:noWrap/>
            <w:tcMar>
              <w:top w:w="15" w:type="dxa"/>
              <w:left w:w="15" w:type="dxa"/>
              <w:bottom w:w="0" w:type="dxa"/>
              <w:right w:w="15" w:type="dxa"/>
            </w:tcMar>
            <w:vAlign w:val="bottom"/>
          </w:tcPr>
          <w:p w14:paraId="0CD3E923" w14:textId="51A04399" w:rsidR="0044575F" w:rsidRPr="00195EDC" w:rsidRDefault="00196A0E" w:rsidP="00196A0E">
            <w:pPr>
              <w:spacing w:line="204" w:lineRule="auto"/>
              <w:ind w:left="709" w:hanging="709"/>
              <w:jc w:val="right"/>
              <w:rPr>
                <w:sz w:val="18"/>
                <w:szCs w:val="18"/>
              </w:rPr>
            </w:pPr>
            <w:r w:rsidRPr="00195EDC">
              <w:rPr>
                <w:sz w:val="18"/>
                <w:szCs w:val="18"/>
              </w:rPr>
              <w:t xml:space="preserve">EUR </w:t>
            </w:r>
            <w:r w:rsidR="0044575F" w:rsidRPr="00195EDC">
              <w:rPr>
                <w:sz w:val="18"/>
                <w:szCs w:val="18"/>
              </w:rPr>
              <w:t>20</w:t>
            </w:r>
            <w:r w:rsidR="00825677" w:rsidRPr="00195EDC">
              <w:rPr>
                <w:sz w:val="18"/>
                <w:szCs w:val="18"/>
              </w:rPr>
              <w:t>,</w:t>
            </w:r>
            <w:r w:rsidR="0044575F" w:rsidRPr="00195EDC">
              <w:rPr>
                <w:sz w:val="18"/>
                <w:szCs w:val="18"/>
              </w:rPr>
              <w:t xml:space="preserve">000 </w:t>
            </w:r>
          </w:p>
        </w:tc>
        <w:tc>
          <w:tcPr>
            <w:tcW w:w="1644" w:type="dxa"/>
            <w:vAlign w:val="bottom"/>
          </w:tcPr>
          <w:p w14:paraId="38A3A222" w14:textId="77777777" w:rsidR="0044575F" w:rsidRPr="00195EDC" w:rsidRDefault="0044575F" w:rsidP="00153AC5">
            <w:pPr>
              <w:spacing w:line="204" w:lineRule="auto"/>
              <w:ind w:left="709" w:right="56" w:hanging="709"/>
              <w:jc w:val="right"/>
              <w:rPr>
                <w:sz w:val="18"/>
                <w:szCs w:val="18"/>
              </w:rPr>
            </w:pPr>
            <w:r w:rsidRPr="00195EDC">
              <w:rPr>
                <w:sz w:val="18"/>
                <w:szCs w:val="18"/>
              </w:rPr>
              <w:t>29 December 2011</w:t>
            </w:r>
          </w:p>
        </w:tc>
        <w:tc>
          <w:tcPr>
            <w:tcW w:w="1200" w:type="dxa"/>
            <w:noWrap/>
            <w:tcMar>
              <w:top w:w="15" w:type="dxa"/>
              <w:left w:w="15" w:type="dxa"/>
              <w:bottom w:w="0" w:type="dxa"/>
              <w:right w:w="15" w:type="dxa"/>
            </w:tcMar>
            <w:vAlign w:val="bottom"/>
          </w:tcPr>
          <w:p w14:paraId="788FB197" w14:textId="77777777" w:rsidR="0044575F" w:rsidRPr="00195EDC" w:rsidRDefault="009E467E" w:rsidP="00153AC5">
            <w:pPr>
              <w:spacing w:line="204" w:lineRule="auto"/>
              <w:ind w:left="709" w:right="27" w:hanging="709"/>
              <w:jc w:val="right"/>
              <w:rPr>
                <w:rFonts w:eastAsia="Arial Unicode MS"/>
                <w:sz w:val="18"/>
                <w:szCs w:val="18"/>
              </w:rPr>
            </w:pPr>
            <w:r w:rsidRPr="00195EDC">
              <w:rPr>
                <w:sz w:val="18"/>
                <w:szCs w:val="18"/>
              </w:rPr>
              <w:t>11</w:t>
            </w:r>
            <w:r w:rsidR="0044575F" w:rsidRPr="00195EDC">
              <w:rPr>
                <w:sz w:val="18"/>
                <w:szCs w:val="18"/>
              </w:rPr>
              <w:t xml:space="preserve"> years</w:t>
            </w:r>
            <w:r w:rsidR="008935A1" w:rsidRPr="00195EDC">
              <w:rPr>
                <w:sz w:val="18"/>
                <w:szCs w:val="18"/>
              </w:rPr>
              <w:t xml:space="preserve"> </w:t>
            </w:r>
            <w:r w:rsidR="00FC07B9" w:rsidRPr="00195EDC">
              <w:rPr>
                <w:sz w:val="16"/>
                <w:szCs w:val="16"/>
              </w:rPr>
              <w:t>(*)</w:t>
            </w:r>
          </w:p>
        </w:tc>
        <w:tc>
          <w:tcPr>
            <w:tcW w:w="1683" w:type="dxa"/>
            <w:vAlign w:val="bottom"/>
          </w:tcPr>
          <w:p w14:paraId="3B9CD362" w14:textId="77777777" w:rsidR="0044575F" w:rsidRPr="00195EDC" w:rsidRDefault="0044575F" w:rsidP="00153AC5">
            <w:pPr>
              <w:spacing w:line="204" w:lineRule="auto"/>
              <w:ind w:left="709" w:right="42" w:hanging="709"/>
              <w:jc w:val="right"/>
              <w:rPr>
                <w:rFonts w:eastAsia="Arial Unicode MS"/>
                <w:sz w:val="18"/>
                <w:szCs w:val="18"/>
              </w:rPr>
            </w:pPr>
            <w:r w:rsidRPr="00195EDC">
              <w:rPr>
                <w:rFonts w:eastAsia="Arial Unicode MS"/>
                <w:sz w:val="18"/>
                <w:szCs w:val="18"/>
              </w:rPr>
              <w:t>Libor + 4</w:t>
            </w:r>
            <w:r w:rsidR="00825677" w:rsidRPr="00195EDC">
              <w:rPr>
                <w:rFonts w:eastAsia="Arial Unicode MS"/>
                <w:sz w:val="18"/>
                <w:szCs w:val="18"/>
              </w:rPr>
              <w:t>.</w:t>
            </w:r>
            <w:r w:rsidRPr="00195EDC">
              <w:rPr>
                <w:rFonts w:eastAsia="Arial Unicode MS"/>
                <w:sz w:val="18"/>
                <w:szCs w:val="18"/>
              </w:rPr>
              <w:t>50</w:t>
            </w:r>
          </w:p>
        </w:tc>
      </w:tr>
      <w:tr w:rsidR="006E068E" w:rsidRPr="00195EDC" w14:paraId="33117D0A" w14:textId="77777777" w:rsidTr="00576E0A">
        <w:trPr>
          <w:trHeight w:val="284"/>
        </w:trPr>
        <w:tc>
          <w:tcPr>
            <w:tcW w:w="3374" w:type="dxa"/>
            <w:noWrap/>
            <w:tcMar>
              <w:top w:w="15" w:type="dxa"/>
              <w:left w:w="15" w:type="dxa"/>
              <w:bottom w:w="0" w:type="dxa"/>
              <w:right w:w="15" w:type="dxa"/>
            </w:tcMar>
            <w:vAlign w:val="bottom"/>
          </w:tcPr>
          <w:p w14:paraId="0E152873" w14:textId="77777777" w:rsidR="006E068E" w:rsidRPr="00195EDC" w:rsidRDefault="006E068E" w:rsidP="007157B9">
            <w:pPr>
              <w:spacing w:line="204" w:lineRule="auto"/>
              <w:ind w:left="709" w:hanging="709"/>
              <w:rPr>
                <w:rFonts w:eastAsia="Arial Unicode MS"/>
                <w:sz w:val="18"/>
                <w:szCs w:val="18"/>
              </w:rPr>
            </w:pPr>
            <w:r w:rsidRPr="00195EDC">
              <w:rPr>
                <w:rFonts w:eastAsia="Arial Unicode MS"/>
                <w:sz w:val="18"/>
                <w:szCs w:val="18"/>
              </w:rPr>
              <w:t>EFSE SA.SICAV-SIF</w:t>
            </w:r>
          </w:p>
        </w:tc>
        <w:tc>
          <w:tcPr>
            <w:tcW w:w="1435" w:type="dxa"/>
            <w:noWrap/>
            <w:tcMar>
              <w:top w:w="15" w:type="dxa"/>
              <w:left w:w="15" w:type="dxa"/>
              <w:bottom w:w="0" w:type="dxa"/>
              <w:right w:w="15" w:type="dxa"/>
            </w:tcMar>
            <w:vAlign w:val="bottom"/>
          </w:tcPr>
          <w:p w14:paraId="5CBD7B99" w14:textId="0F01E9F7" w:rsidR="006E068E" w:rsidRPr="00195EDC" w:rsidRDefault="00196A0E" w:rsidP="00196A0E">
            <w:pPr>
              <w:spacing w:line="204" w:lineRule="auto"/>
              <w:ind w:left="709" w:hanging="709"/>
              <w:jc w:val="right"/>
              <w:rPr>
                <w:sz w:val="18"/>
                <w:szCs w:val="18"/>
              </w:rPr>
            </w:pPr>
            <w:r w:rsidRPr="00195EDC">
              <w:rPr>
                <w:sz w:val="18"/>
                <w:szCs w:val="18"/>
              </w:rPr>
              <w:t xml:space="preserve">EUR </w:t>
            </w:r>
            <w:r w:rsidR="006E068E" w:rsidRPr="00195EDC">
              <w:rPr>
                <w:sz w:val="18"/>
                <w:szCs w:val="18"/>
              </w:rPr>
              <w:t xml:space="preserve">10,000 </w:t>
            </w:r>
          </w:p>
        </w:tc>
        <w:tc>
          <w:tcPr>
            <w:tcW w:w="1644" w:type="dxa"/>
            <w:vAlign w:val="bottom"/>
          </w:tcPr>
          <w:p w14:paraId="6C3B82C8" w14:textId="77777777" w:rsidR="006E068E" w:rsidRPr="00195EDC" w:rsidRDefault="006E068E" w:rsidP="00153AC5">
            <w:pPr>
              <w:spacing w:line="204" w:lineRule="auto"/>
              <w:ind w:left="709" w:right="56" w:hanging="709"/>
              <w:jc w:val="right"/>
              <w:rPr>
                <w:sz w:val="18"/>
                <w:szCs w:val="18"/>
              </w:rPr>
            </w:pPr>
            <w:r w:rsidRPr="00195EDC">
              <w:rPr>
                <w:sz w:val="18"/>
                <w:szCs w:val="18"/>
              </w:rPr>
              <w:t>29 December 2011</w:t>
            </w:r>
          </w:p>
        </w:tc>
        <w:tc>
          <w:tcPr>
            <w:tcW w:w="1200" w:type="dxa"/>
            <w:noWrap/>
            <w:tcMar>
              <w:top w:w="15" w:type="dxa"/>
              <w:left w:w="15" w:type="dxa"/>
              <w:bottom w:w="0" w:type="dxa"/>
              <w:right w:w="15" w:type="dxa"/>
            </w:tcMar>
            <w:vAlign w:val="bottom"/>
          </w:tcPr>
          <w:p w14:paraId="42152991" w14:textId="77777777" w:rsidR="006E068E" w:rsidRPr="00195EDC" w:rsidRDefault="009E467E" w:rsidP="00153AC5">
            <w:pPr>
              <w:spacing w:line="204" w:lineRule="auto"/>
              <w:ind w:left="709" w:right="27" w:hanging="709"/>
              <w:jc w:val="right"/>
              <w:rPr>
                <w:rFonts w:eastAsia="Arial Unicode MS"/>
                <w:sz w:val="18"/>
                <w:szCs w:val="18"/>
              </w:rPr>
            </w:pPr>
            <w:r w:rsidRPr="00195EDC">
              <w:rPr>
                <w:sz w:val="18"/>
                <w:szCs w:val="18"/>
              </w:rPr>
              <w:t>11</w:t>
            </w:r>
            <w:r w:rsidR="006E068E" w:rsidRPr="00195EDC">
              <w:rPr>
                <w:sz w:val="18"/>
                <w:szCs w:val="18"/>
              </w:rPr>
              <w:t xml:space="preserve"> years</w:t>
            </w:r>
            <w:r w:rsidR="008935A1" w:rsidRPr="00195EDC">
              <w:rPr>
                <w:sz w:val="18"/>
                <w:szCs w:val="18"/>
              </w:rPr>
              <w:t xml:space="preserve"> </w:t>
            </w:r>
            <w:r w:rsidR="00FC07B9" w:rsidRPr="00195EDC">
              <w:rPr>
                <w:sz w:val="16"/>
                <w:szCs w:val="16"/>
              </w:rPr>
              <w:t>(*)</w:t>
            </w:r>
          </w:p>
        </w:tc>
        <w:tc>
          <w:tcPr>
            <w:tcW w:w="1683" w:type="dxa"/>
            <w:vAlign w:val="bottom"/>
          </w:tcPr>
          <w:p w14:paraId="40E883B5" w14:textId="77777777" w:rsidR="006E068E" w:rsidRPr="00195EDC" w:rsidRDefault="006E068E" w:rsidP="00153AC5">
            <w:pPr>
              <w:spacing w:line="204" w:lineRule="auto"/>
              <w:ind w:left="709" w:right="42" w:hanging="709"/>
              <w:jc w:val="right"/>
              <w:rPr>
                <w:rFonts w:eastAsia="Arial Unicode MS"/>
                <w:sz w:val="18"/>
                <w:szCs w:val="18"/>
              </w:rPr>
            </w:pPr>
            <w:r w:rsidRPr="00195EDC">
              <w:rPr>
                <w:rFonts w:eastAsia="Arial Unicode MS"/>
                <w:sz w:val="18"/>
                <w:szCs w:val="18"/>
              </w:rPr>
              <w:t>Libor + 4.50</w:t>
            </w:r>
          </w:p>
        </w:tc>
      </w:tr>
      <w:tr w:rsidR="006E068E" w:rsidRPr="00604C75" w14:paraId="30DB7E85" w14:textId="77777777" w:rsidTr="00576E0A">
        <w:trPr>
          <w:trHeight w:val="239"/>
        </w:trPr>
        <w:tc>
          <w:tcPr>
            <w:tcW w:w="3374" w:type="dxa"/>
            <w:noWrap/>
            <w:tcMar>
              <w:top w:w="15" w:type="dxa"/>
              <w:left w:w="15" w:type="dxa"/>
              <w:bottom w:w="0" w:type="dxa"/>
              <w:right w:w="15" w:type="dxa"/>
            </w:tcMar>
            <w:vAlign w:val="bottom"/>
          </w:tcPr>
          <w:p w14:paraId="40F6AAA5" w14:textId="054CAE4E" w:rsidR="006E068E" w:rsidRPr="00195EDC" w:rsidRDefault="006E068E" w:rsidP="006E068E">
            <w:pPr>
              <w:tabs>
                <w:tab w:val="left" w:pos="0"/>
              </w:tabs>
              <w:rPr>
                <w:rFonts w:eastAsia="Arial Unicode MS"/>
                <w:sz w:val="18"/>
                <w:szCs w:val="16"/>
              </w:rPr>
            </w:pPr>
            <w:r w:rsidRPr="00195EDC">
              <w:rPr>
                <w:rFonts w:eastAsia="Arial Unicode MS"/>
                <w:sz w:val="18"/>
                <w:szCs w:val="16"/>
              </w:rPr>
              <w:t>Commercial</w:t>
            </w:r>
            <w:r w:rsidR="00524596" w:rsidRPr="00195EDC">
              <w:rPr>
                <w:rFonts w:eastAsia="Arial Unicode MS"/>
                <w:sz w:val="18"/>
                <w:szCs w:val="16"/>
              </w:rPr>
              <w:t xml:space="preserve"> </w:t>
            </w:r>
            <w:r w:rsidRPr="00195EDC">
              <w:rPr>
                <w:rFonts w:eastAsia="Arial Unicode MS"/>
                <w:sz w:val="18"/>
                <w:szCs w:val="16"/>
              </w:rPr>
              <w:t>Bank</w:t>
            </w:r>
            <w:r w:rsidR="00196A0E">
              <w:rPr>
                <w:rFonts w:eastAsia="Arial Unicode MS"/>
                <w:sz w:val="18"/>
                <w:szCs w:val="16"/>
              </w:rPr>
              <w:t xml:space="preserve"> of Qatar</w:t>
            </w:r>
          </w:p>
        </w:tc>
        <w:tc>
          <w:tcPr>
            <w:tcW w:w="1435" w:type="dxa"/>
            <w:noWrap/>
            <w:tcMar>
              <w:top w:w="15" w:type="dxa"/>
              <w:left w:w="15" w:type="dxa"/>
              <w:bottom w:w="0" w:type="dxa"/>
              <w:right w:w="15" w:type="dxa"/>
            </w:tcMar>
            <w:vAlign w:val="bottom"/>
          </w:tcPr>
          <w:p w14:paraId="51FD56C1" w14:textId="6B8EA77D" w:rsidR="006E068E" w:rsidRPr="00195EDC" w:rsidRDefault="006E068E" w:rsidP="00196A0E">
            <w:pPr>
              <w:tabs>
                <w:tab w:val="left" w:pos="0"/>
              </w:tabs>
              <w:jc w:val="right"/>
              <w:rPr>
                <w:sz w:val="18"/>
                <w:szCs w:val="18"/>
              </w:rPr>
            </w:pPr>
            <w:r w:rsidRPr="00195EDC">
              <w:rPr>
                <w:sz w:val="18"/>
                <w:szCs w:val="18"/>
              </w:rPr>
              <w:t xml:space="preserve"> </w:t>
            </w:r>
            <w:r w:rsidR="00196A0E" w:rsidRPr="00195EDC">
              <w:rPr>
                <w:sz w:val="18"/>
                <w:szCs w:val="18"/>
              </w:rPr>
              <w:t xml:space="preserve">USD </w:t>
            </w:r>
            <w:r w:rsidRPr="00195EDC">
              <w:rPr>
                <w:sz w:val="18"/>
                <w:szCs w:val="18"/>
              </w:rPr>
              <w:t xml:space="preserve">125,000 </w:t>
            </w:r>
          </w:p>
        </w:tc>
        <w:tc>
          <w:tcPr>
            <w:tcW w:w="1644" w:type="dxa"/>
            <w:vAlign w:val="bottom"/>
          </w:tcPr>
          <w:p w14:paraId="7EF609A5" w14:textId="3DF812CC" w:rsidR="006E068E" w:rsidRPr="00195EDC" w:rsidRDefault="006E068E" w:rsidP="00991C34">
            <w:pPr>
              <w:tabs>
                <w:tab w:val="left" w:pos="0"/>
              </w:tabs>
              <w:ind w:right="72"/>
              <w:jc w:val="right"/>
              <w:rPr>
                <w:sz w:val="18"/>
                <w:szCs w:val="18"/>
              </w:rPr>
            </w:pPr>
            <w:r w:rsidRPr="00195EDC">
              <w:rPr>
                <w:sz w:val="18"/>
                <w:szCs w:val="18"/>
              </w:rPr>
              <w:t>30 June 2015</w:t>
            </w:r>
          </w:p>
        </w:tc>
        <w:tc>
          <w:tcPr>
            <w:tcW w:w="1200" w:type="dxa"/>
            <w:noWrap/>
            <w:tcMar>
              <w:top w:w="15" w:type="dxa"/>
              <w:left w:w="15" w:type="dxa"/>
              <w:bottom w:w="0" w:type="dxa"/>
              <w:right w:w="15" w:type="dxa"/>
            </w:tcMar>
            <w:vAlign w:val="bottom"/>
          </w:tcPr>
          <w:p w14:paraId="3FDCEF7C" w14:textId="77777777" w:rsidR="006E068E" w:rsidRPr="00195EDC" w:rsidRDefault="009E467E" w:rsidP="00153AC5">
            <w:pPr>
              <w:tabs>
                <w:tab w:val="left" w:pos="0"/>
              </w:tabs>
              <w:jc w:val="right"/>
              <w:rPr>
                <w:sz w:val="18"/>
                <w:szCs w:val="18"/>
              </w:rPr>
            </w:pPr>
            <w:r w:rsidRPr="00195EDC">
              <w:rPr>
                <w:sz w:val="18"/>
                <w:szCs w:val="18"/>
              </w:rPr>
              <w:t>10</w:t>
            </w:r>
            <w:r w:rsidR="006E068E" w:rsidRPr="00195EDC">
              <w:rPr>
                <w:sz w:val="18"/>
                <w:szCs w:val="18"/>
              </w:rPr>
              <w:t xml:space="preserve"> years+1  day</w:t>
            </w:r>
          </w:p>
        </w:tc>
        <w:tc>
          <w:tcPr>
            <w:tcW w:w="1683" w:type="dxa"/>
            <w:vAlign w:val="bottom"/>
          </w:tcPr>
          <w:p w14:paraId="19DC3B4B" w14:textId="77777777" w:rsidR="006E068E" w:rsidRPr="00195EDC" w:rsidRDefault="0044134E" w:rsidP="00576E0A">
            <w:pPr>
              <w:tabs>
                <w:tab w:val="left" w:pos="0"/>
              </w:tabs>
              <w:jc w:val="center"/>
              <w:rPr>
                <w:sz w:val="18"/>
                <w:szCs w:val="18"/>
              </w:rPr>
            </w:pPr>
            <w:r w:rsidRPr="00195EDC">
              <w:rPr>
                <w:sz w:val="18"/>
                <w:szCs w:val="18"/>
              </w:rPr>
              <w:t xml:space="preserve">               </w:t>
            </w:r>
            <w:r w:rsidR="006E068E" w:rsidRPr="00195EDC">
              <w:rPr>
                <w:sz w:val="18"/>
                <w:szCs w:val="18"/>
              </w:rPr>
              <w:t>Libor + 6.00</w:t>
            </w:r>
          </w:p>
        </w:tc>
      </w:tr>
    </w:tbl>
    <w:p w14:paraId="6F9178B9" w14:textId="77777777" w:rsidR="00FC07B9" w:rsidRPr="00AC4EFC" w:rsidRDefault="00FC07B9" w:rsidP="00E83EAC">
      <w:pPr>
        <w:spacing w:before="120" w:after="120" w:line="216" w:lineRule="auto"/>
        <w:jc w:val="both"/>
        <w:rPr>
          <w:sz w:val="16"/>
          <w:szCs w:val="16"/>
        </w:rPr>
      </w:pPr>
      <w:r w:rsidRPr="00835FE3">
        <w:rPr>
          <w:sz w:val="16"/>
          <w:szCs w:val="16"/>
        </w:rPr>
        <w:t>(*)</w:t>
      </w:r>
      <w:r w:rsidR="008935A1">
        <w:rPr>
          <w:sz w:val="16"/>
          <w:szCs w:val="16"/>
        </w:rPr>
        <w:t xml:space="preserve"> </w:t>
      </w:r>
      <w:r w:rsidRPr="00835FE3">
        <w:rPr>
          <w:sz w:val="16"/>
          <w:szCs w:val="16"/>
        </w:rPr>
        <w:t>Related loans will be repaid before the maturity date.</w:t>
      </w:r>
    </w:p>
    <w:p w14:paraId="3AD14B31" w14:textId="77777777" w:rsidR="00585D32" w:rsidRPr="00604C75" w:rsidRDefault="0044575F" w:rsidP="00E83EAC">
      <w:pPr>
        <w:tabs>
          <w:tab w:val="left" w:pos="1276"/>
        </w:tabs>
        <w:spacing w:after="120" w:line="216" w:lineRule="auto"/>
        <w:ind w:left="709" w:hanging="709"/>
        <w:jc w:val="both"/>
        <w:rPr>
          <w:sz w:val="20"/>
          <w:szCs w:val="20"/>
        </w:rPr>
      </w:pPr>
      <w:r w:rsidRPr="00604C75">
        <w:rPr>
          <w:sz w:val="20"/>
          <w:szCs w:val="20"/>
        </w:rPr>
        <w:t xml:space="preserve">TL </w:t>
      </w:r>
      <w:r w:rsidR="001A3E64" w:rsidRPr="00604C75">
        <w:rPr>
          <w:sz w:val="20"/>
          <w:szCs w:val="20"/>
        </w:rPr>
        <w:t xml:space="preserve">equivalent </w:t>
      </w:r>
      <w:r w:rsidRPr="00604C75">
        <w:rPr>
          <w:sz w:val="20"/>
          <w:szCs w:val="20"/>
        </w:rPr>
        <w:t>of t</w:t>
      </w:r>
      <w:r w:rsidR="00825677" w:rsidRPr="00604C75">
        <w:rPr>
          <w:sz w:val="20"/>
          <w:szCs w:val="20"/>
        </w:rPr>
        <w:t>he subordinated loan is TL</w:t>
      </w:r>
      <w:r w:rsidR="00FA0C66" w:rsidRPr="00604C75">
        <w:rPr>
          <w:sz w:val="20"/>
          <w:szCs w:val="20"/>
        </w:rPr>
        <w:t xml:space="preserve"> </w:t>
      </w:r>
      <w:r w:rsidR="003E5AC5">
        <w:rPr>
          <w:sz w:val="20"/>
          <w:szCs w:val="20"/>
        </w:rPr>
        <w:t>767,558</w:t>
      </w:r>
      <w:r w:rsidR="003E5AC5" w:rsidRPr="00692926">
        <w:rPr>
          <w:sz w:val="20"/>
          <w:szCs w:val="20"/>
        </w:rPr>
        <w:t xml:space="preserve"> </w:t>
      </w:r>
      <w:r w:rsidR="00FA0C66" w:rsidRPr="00604C75">
        <w:rPr>
          <w:sz w:val="20"/>
          <w:szCs w:val="20"/>
        </w:rPr>
        <w:t>(</w:t>
      </w:r>
      <w:r w:rsidR="004F4359" w:rsidRPr="00604C75">
        <w:rPr>
          <w:bCs/>
          <w:sz w:val="20"/>
          <w:szCs w:val="20"/>
        </w:rPr>
        <w:t>31 December</w:t>
      </w:r>
      <w:r w:rsidR="004F4359" w:rsidRPr="00604C75">
        <w:rPr>
          <w:sz w:val="20"/>
          <w:szCs w:val="20"/>
        </w:rPr>
        <w:t xml:space="preserve"> </w:t>
      </w:r>
      <w:r w:rsidR="001B2452" w:rsidRPr="00604C75">
        <w:rPr>
          <w:sz w:val="20"/>
          <w:szCs w:val="20"/>
        </w:rPr>
        <w:t>2014</w:t>
      </w:r>
      <w:r w:rsidRPr="00604C75">
        <w:rPr>
          <w:sz w:val="20"/>
          <w:szCs w:val="20"/>
        </w:rPr>
        <w:t xml:space="preserve">: </w:t>
      </w:r>
      <w:r w:rsidR="00825677" w:rsidRPr="00604C75">
        <w:rPr>
          <w:sz w:val="20"/>
          <w:szCs w:val="20"/>
        </w:rPr>
        <w:t>TL</w:t>
      </w:r>
      <w:r w:rsidR="00241079" w:rsidRPr="00604C75">
        <w:rPr>
          <w:sz w:val="20"/>
          <w:szCs w:val="20"/>
        </w:rPr>
        <w:t xml:space="preserve"> </w:t>
      </w:r>
      <w:r w:rsidR="001B2452" w:rsidRPr="00604C75">
        <w:rPr>
          <w:sz w:val="20"/>
          <w:szCs w:val="20"/>
        </w:rPr>
        <w:t>329,826</w:t>
      </w:r>
      <w:r w:rsidRPr="00604C75">
        <w:rPr>
          <w:sz w:val="20"/>
          <w:szCs w:val="20"/>
        </w:rPr>
        <w:t>)</w:t>
      </w:r>
      <w:r w:rsidR="002C66D8" w:rsidRPr="00604C75">
        <w:rPr>
          <w:sz w:val="20"/>
          <w:szCs w:val="20"/>
        </w:rPr>
        <w:t>.</w:t>
      </w:r>
    </w:p>
    <w:p w14:paraId="0A3E658E" w14:textId="39B011D9" w:rsidR="0044575F" w:rsidRPr="00604C75" w:rsidRDefault="0044575F" w:rsidP="00E83EAC">
      <w:pPr>
        <w:spacing w:after="120" w:line="223" w:lineRule="auto"/>
        <w:ind w:right="-4"/>
        <w:jc w:val="both"/>
        <w:rPr>
          <w:sz w:val="20"/>
          <w:szCs w:val="20"/>
        </w:rPr>
      </w:pPr>
      <w:r w:rsidRPr="00604C75">
        <w:rPr>
          <w:sz w:val="20"/>
          <w:szCs w:val="20"/>
        </w:rPr>
        <w:t>The subordinated loan does not have the option to be converted into stock certificate.</w:t>
      </w:r>
      <w:r w:rsidR="001A3E64" w:rsidRPr="00604C75">
        <w:rPr>
          <w:sz w:val="20"/>
          <w:szCs w:val="20"/>
        </w:rPr>
        <w:t xml:space="preserve"> The </w:t>
      </w:r>
      <w:r w:rsidR="00224102">
        <w:rPr>
          <w:sz w:val="20"/>
          <w:szCs w:val="20"/>
        </w:rPr>
        <w:t>Parent B</w:t>
      </w:r>
      <w:r w:rsidR="001A3E64" w:rsidRPr="00604C75">
        <w:rPr>
          <w:sz w:val="20"/>
          <w:szCs w:val="20"/>
        </w:rPr>
        <w:t>ank has the option to pay back the loan at the end of the 5</w:t>
      </w:r>
      <w:r w:rsidR="001A3E64" w:rsidRPr="00604C75">
        <w:rPr>
          <w:sz w:val="20"/>
          <w:szCs w:val="20"/>
          <w:vertAlign w:val="superscript"/>
        </w:rPr>
        <w:t xml:space="preserve">th </w:t>
      </w:r>
      <w:r w:rsidR="001A3E64" w:rsidRPr="00604C75">
        <w:rPr>
          <w:sz w:val="20"/>
          <w:szCs w:val="20"/>
        </w:rPr>
        <w:t>year.</w:t>
      </w:r>
    </w:p>
    <w:p w14:paraId="16CAA865" w14:textId="77777777" w:rsidR="0044575F" w:rsidRPr="00604C75" w:rsidRDefault="00CB78C4" w:rsidP="00E83EAC">
      <w:pPr>
        <w:spacing w:after="120" w:line="223" w:lineRule="auto"/>
        <w:ind w:hanging="1276"/>
        <w:rPr>
          <w:b/>
          <w:sz w:val="20"/>
          <w:szCs w:val="20"/>
        </w:rPr>
      </w:pPr>
      <w:r w:rsidRPr="00604C75">
        <w:rPr>
          <w:sz w:val="20"/>
          <w:szCs w:val="20"/>
        </w:rPr>
        <w:t xml:space="preserve">  </w:t>
      </w:r>
      <w:r w:rsidR="001B2452" w:rsidRPr="00604C75">
        <w:rPr>
          <w:sz w:val="20"/>
          <w:szCs w:val="20"/>
        </w:rPr>
        <w:t xml:space="preserve">                        </w:t>
      </w:r>
      <w:r w:rsidR="00030EDA" w:rsidRPr="00604C75">
        <w:rPr>
          <w:sz w:val="20"/>
          <w:szCs w:val="20"/>
        </w:rPr>
        <w:t>2</w:t>
      </w:r>
      <w:r w:rsidRPr="00604C75">
        <w:rPr>
          <w:sz w:val="20"/>
          <w:szCs w:val="20"/>
        </w:rPr>
        <w:t>.</w:t>
      </w:r>
      <w:r w:rsidRPr="00604C75">
        <w:rPr>
          <w:b/>
          <w:sz w:val="16"/>
          <w:szCs w:val="16"/>
        </w:rPr>
        <w:t xml:space="preserve">  </w:t>
      </w:r>
      <w:r w:rsidR="00223F91" w:rsidRPr="00604C75">
        <w:rPr>
          <w:b/>
          <w:sz w:val="16"/>
          <w:szCs w:val="16"/>
        </w:rPr>
        <w:t xml:space="preserve">           </w:t>
      </w:r>
      <w:r w:rsidR="0044575F" w:rsidRPr="00604C75">
        <w:rPr>
          <w:sz w:val="20"/>
          <w:szCs w:val="20"/>
        </w:rPr>
        <w:t>Information on subordinated loans</w:t>
      </w:r>
    </w:p>
    <w:tbl>
      <w:tblPr>
        <w:tblW w:w="9351"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408"/>
        <w:gridCol w:w="1480"/>
        <w:gridCol w:w="1551"/>
        <w:gridCol w:w="1249"/>
        <w:gridCol w:w="1663"/>
      </w:tblGrid>
      <w:tr w:rsidR="00223F91" w:rsidRPr="00604C75" w14:paraId="0C3BFEC2" w14:textId="77777777" w:rsidTr="00AD726D">
        <w:trPr>
          <w:trHeight w:hRule="exact" w:val="227"/>
        </w:trPr>
        <w:tc>
          <w:tcPr>
            <w:tcW w:w="3408" w:type="dxa"/>
            <w:vMerge w:val="restart"/>
            <w:noWrap/>
            <w:tcMar>
              <w:top w:w="15" w:type="dxa"/>
              <w:left w:w="15" w:type="dxa"/>
              <w:bottom w:w="0" w:type="dxa"/>
              <w:right w:w="15" w:type="dxa"/>
            </w:tcMar>
            <w:vAlign w:val="center"/>
          </w:tcPr>
          <w:p w14:paraId="77AAD9D1" w14:textId="77777777" w:rsidR="00223F91" w:rsidRPr="00604C75" w:rsidRDefault="00223F91" w:rsidP="009B3C93">
            <w:pPr>
              <w:tabs>
                <w:tab w:val="left" w:pos="0"/>
              </w:tabs>
              <w:spacing w:line="226" w:lineRule="auto"/>
              <w:rPr>
                <w:rFonts w:eastAsia="Arial Unicode MS"/>
                <w:sz w:val="18"/>
              </w:rPr>
            </w:pPr>
          </w:p>
        </w:tc>
        <w:tc>
          <w:tcPr>
            <w:tcW w:w="3031" w:type="dxa"/>
            <w:gridSpan w:val="2"/>
            <w:noWrap/>
            <w:tcMar>
              <w:top w:w="15" w:type="dxa"/>
              <w:left w:w="15" w:type="dxa"/>
              <w:bottom w:w="0" w:type="dxa"/>
              <w:right w:w="15" w:type="dxa"/>
            </w:tcMar>
            <w:vAlign w:val="bottom"/>
          </w:tcPr>
          <w:p w14:paraId="707330CB" w14:textId="77777777" w:rsidR="00223F91" w:rsidRPr="00604C75" w:rsidRDefault="00D81971" w:rsidP="00D33D9A">
            <w:pPr>
              <w:tabs>
                <w:tab w:val="left" w:pos="0"/>
              </w:tabs>
              <w:spacing w:line="226" w:lineRule="auto"/>
              <w:jc w:val="center"/>
              <w:rPr>
                <w:rFonts w:eastAsia="Arial Unicode MS"/>
                <w:b/>
                <w:bCs/>
                <w:sz w:val="18"/>
                <w:szCs w:val="18"/>
              </w:rPr>
            </w:pPr>
            <w:r>
              <w:rPr>
                <w:b/>
                <w:iCs/>
                <w:sz w:val="18"/>
              </w:rPr>
              <w:t>31 December</w:t>
            </w:r>
            <w:r w:rsidRPr="00604C75">
              <w:rPr>
                <w:b/>
                <w:iCs/>
                <w:sz w:val="18"/>
              </w:rPr>
              <w:t xml:space="preserve"> </w:t>
            </w:r>
            <w:r w:rsidRPr="00604C75">
              <w:rPr>
                <w:b/>
                <w:bCs/>
                <w:sz w:val="18"/>
                <w:szCs w:val="18"/>
              </w:rPr>
              <w:t>2015</w:t>
            </w:r>
          </w:p>
        </w:tc>
        <w:tc>
          <w:tcPr>
            <w:tcW w:w="2912" w:type="dxa"/>
            <w:gridSpan w:val="2"/>
            <w:noWrap/>
            <w:tcMar>
              <w:top w:w="15" w:type="dxa"/>
              <w:left w:w="15" w:type="dxa"/>
              <w:bottom w:w="0" w:type="dxa"/>
              <w:right w:w="15" w:type="dxa"/>
            </w:tcMar>
            <w:vAlign w:val="bottom"/>
          </w:tcPr>
          <w:p w14:paraId="0E23BDFB" w14:textId="77777777" w:rsidR="00223F91" w:rsidRPr="00604C75" w:rsidRDefault="00223F91" w:rsidP="00223F91">
            <w:pPr>
              <w:tabs>
                <w:tab w:val="left" w:pos="0"/>
              </w:tabs>
              <w:spacing w:line="226" w:lineRule="auto"/>
              <w:jc w:val="center"/>
              <w:rPr>
                <w:rFonts w:eastAsia="Arial Unicode MS"/>
                <w:b/>
                <w:bCs/>
                <w:sz w:val="18"/>
                <w:szCs w:val="18"/>
              </w:rPr>
            </w:pPr>
            <w:r w:rsidRPr="00604C75">
              <w:rPr>
                <w:b/>
                <w:bCs/>
                <w:sz w:val="18"/>
                <w:szCs w:val="18"/>
              </w:rPr>
              <w:t>31 December 2014</w:t>
            </w:r>
          </w:p>
        </w:tc>
      </w:tr>
      <w:tr w:rsidR="00CB4920" w:rsidRPr="00604C75" w14:paraId="2E241FEC" w14:textId="77777777" w:rsidTr="00AD726D">
        <w:trPr>
          <w:trHeight w:hRule="exact" w:val="227"/>
        </w:trPr>
        <w:tc>
          <w:tcPr>
            <w:tcW w:w="3408" w:type="dxa"/>
            <w:vMerge/>
            <w:vAlign w:val="center"/>
          </w:tcPr>
          <w:p w14:paraId="74A91145" w14:textId="77777777" w:rsidR="00CB4920" w:rsidRPr="00604C75" w:rsidRDefault="00CB4920" w:rsidP="009B3C93">
            <w:pPr>
              <w:tabs>
                <w:tab w:val="left" w:pos="0"/>
              </w:tabs>
              <w:spacing w:line="226" w:lineRule="auto"/>
              <w:rPr>
                <w:rFonts w:eastAsia="Arial Unicode MS"/>
                <w:sz w:val="18"/>
              </w:rPr>
            </w:pPr>
          </w:p>
        </w:tc>
        <w:tc>
          <w:tcPr>
            <w:tcW w:w="1480" w:type="dxa"/>
            <w:noWrap/>
            <w:tcMar>
              <w:top w:w="15" w:type="dxa"/>
              <w:left w:w="15" w:type="dxa"/>
              <w:bottom w:w="0" w:type="dxa"/>
              <w:right w:w="15" w:type="dxa"/>
            </w:tcMar>
            <w:vAlign w:val="bottom"/>
          </w:tcPr>
          <w:p w14:paraId="15087822" w14:textId="77777777" w:rsidR="00CB4920" w:rsidRPr="00604C75" w:rsidRDefault="00CB4920" w:rsidP="009B3C93">
            <w:pPr>
              <w:tabs>
                <w:tab w:val="left" w:pos="0"/>
              </w:tabs>
              <w:spacing w:line="226" w:lineRule="auto"/>
              <w:ind w:right="75"/>
              <w:jc w:val="right"/>
              <w:rPr>
                <w:rFonts w:eastAsia="Arial Unicode MS"/>
                <w:b/>
                <w:sz w:val="18"/>
              </w:rPr>
            </w:pPr>
            <w:r w:rsidRPr="00604C75">
              <w:rPr>
                <w:rFonts w:ascii="Times" w:eastAsia="Arial Unicode MS" w:hAnsi="Times"/>
                <w:b/>
                <w:sz w:val="18"/>
              </w:rPr>
              <w:t>TL</w:t>
            </w:r>
          </w:p>
        </w:tc>
        <w:tc>
          <w:tcPr>
            <w:tcW w:w="1551" w:type="dxa"/>
            <w:vAlign w:val="bottom"/>
          </w:tcPr>
          <w:p w14:paraId="00F571C5" w14:textId="77777777" w:rsidR="00CB4920" w:rsidRPr="00604C75" w:rsidRDefault="00CB4920" w:rsidP="009B3C93">
            <w:pPr>
              <w:tabs>
                <w:tab w:val="left" w:pos="0"/>
              </w:tabs>
              <w:spacing w:line="226" w:lineRule="auto"/>
              <w:ind w:right="75"/>
              <w:jc w:val="right"/>
              <w:rPr>
                <w:rFonts w:eastAsia="Arial Unicode MS"/>
                <w:b/>
                <w:sz w:val="18"/>
              </w:rPr>
            </w:pPr>
            <w:r w:rsidRPr="00604C75">
              <w:rPr>
                <w:rFonts w:ascii="Times" w:eastAsia="Arial Unicode MS" w:hAnsi="Times"/>
                <w:b/>
                <w:sz w:val="18"/>
              </w:rPr>
              <w:t>FC</w:t>
            </w:r>
          </w:p>
        </w:tc>
        <w:tc>
          <w:tcPr>
            <w:tcW w:w="1249" w:type="dxa"/>
            <w:noWrap/>
            <w:tcMar>
              <w:top w:w="15" w:type="dxa"/>
              <w:left w:w="15" w:type="dxa"/>
              <w:bottom w:w="0" w:type="dxa"/>
              <w:right w:w="15" w:type="dxa"/>
            </w:tcMar>
            <w:vAlign w:val="bottom"/>
          </w:tcPr>
          <w:p w14:paraId="631A35A2" w14:textId="77777777" w:rsidR="00CB4920" w:rsidRPr="00604C75" w:rsidRDefault="00CB4920" w:rsidP="009B3C93">
            <w:pPr>
              <w:tabs>
                <w:tab w:val="left" w:pos="0"/>
              </w:tabs>
              <w:spacing w:line="226" w:lineRule="auto"/>
              <w:ind w:right="75"/>
              <w:jc w:val="right"/>
              <w:rPr>
                <w:rFonts w:eastAsia="Arial Unicode MS"/>
                <w:b/>
                <w:sz w:val="18"/>
              </w:rPr>
            </w:pPr>
            <w:r w:rsidRPr="00604C75">
              <w:rPr>
                <w:rFonts w:ascii="Times" w:eastAsia="Arial Unicode MS" w:hAnsi="Times"/>
                <w:b/>
                <w:sz w:val="18"/>
              </w:rPr>
              <w:t>TL</w:t>
            </w:r>
          </w:p>
        </w:tc>
        <w:tc>
          <w:tcPr>
            <w:tcW w:w="1663" w:type="dxa"/>
            <w:vAlign w:val="bottom"/>
          </w:tcPr>
          <w:p w14:paraId="7F8861FD" w14:textId="77777777" w:rsidR="00CB4920" w:rsidRPr="00604C75" w:rsidRDefault="00CB4920" w:rsidP="009B3C93">
            <w:pPr>
              <w:tabs>
                <w:tab w:val="left" w:pos="0"/>
              </w:tabs>
              <w:spacing w:line="226" w:lineRule="auto"/>
              <w:ind w:right="75"/>
              <w:jc w:val="right"/>
              <w:rPr>
                <w:rFonts w:eastAsia="Arial Unicode MS"/>
                <w:b/>
                <w:sz w:val="18"/>
              </w:rPr>
            </w:pPr>
            <w:r w:rsidRPr="00604C75">
              <w:rPr>
                <w:rFonts w:ascii="Times" w:eastAsia="Arial Unicode MS" w:hAnsi="Times"/>
                <w:b/>
                <w:sz w:val="18"/>
              </w:rPr>
              <w:t>FC</w:t>
            </w:r>
          </w:p>
        </w:tc>
      </w:tr>
      <w:tr w:rsidR="00224102" w:rsidRPr="00604C75" w14:paraId="1BD19E29" w14:textId="77777777" w:rsidTr="00AD726D">
        <w:trPr>
          <w:trHeight w:hRule="exact" w:val="227"/>
        </w:trPr>
        <w:tc>
          <w:tcPr>
            <w:tcW w:w="3408" w:type="dxa"/>
            <w:noWrap/>
            <w:tcMar>
              <w:top w:w="15" w:type="dxa"/>
              <w:left w:w="15" w:type="dxa"/>
              <w:bottom w:w="0" w:type="dxa"/>
              <w:right w:w="15" w:type="dxa"/>
            </w:tcMar>
            <w:vAlign w:val="bottom"/>
          </w:tcPr>
          <w:p w14:paraId="3AE961B3" w14:textId="77777777" w:rsidR="00224102" w:rsidRPr="00604C75" w:rsidRDefault="00224102" w:rsidP="00224102">
            <w:pPr>
              <w:tabs>
                <w:tab w:val="left" w:pos="0"/>
              </w:tabs>
              <w:spacing w:line="226" w:lineRule="auto"/>
              <w:rPr>
                <w:rFonts w:eastAsia="Arial Unicode MS"/>
                <w:sz w:val="18"/>
                <w:szCs w:val="16"/>
              </w:rPr>
            </w:pPr>
            <w:r w:rsidRPr="00604C75">
              <w:rPr>
                <w:rFonts w:eastAsia="Arial Unicode MS"/>
                <w:sz w:val="18"/>
                <w:szCs w:val="16"/>
              </w:rPr>
              <w:t>Domestic Banks</w:t>
            </w:r>
          </w:p>
        </w:tc>
        <w:tc>
          <w:tcPr>
            <w:tcW w:w="1480" w:type="dxa"/>
            <w:noWrap/>
            <w:tcMar>
              <w:top w:w="15" w:type="dxa"/>
              <w:left w:w="15" w:type="dxa"/>
              <w:bottom w:w="0" w:type="dxa"/>
              <w:right w:w="15" w:type="dxa"/>
            </w:tcMar>
            <w:vAlign w:val="bottom"/>
          </w:tcPr>
          <w:p w14:paraId="2655D603" w14:textId="32F6935E" w:rsidR="00224102" w:rsidRPr="00692926" w:rsidRDefault="00224102" w:rsidP="00224102">
            <w:pPr>
              <w:pStyle w:val="xl30"/>
              <w:pBdr>
                <w:right w:val="none" w:sz="0" w:space="0" w:color="auto"/>
              </w:pBdr>
              <w:tabs>
                <w:tab w:val="left" w:pos="0"/>
              </w:tabs>
              <w:spacing w:before="0" w:beforeAutospacing="0" w:after="0" w:afterAutospacing="0" w:line="226" w:lineRule="auto"/>
              <w:ind w:right="75"/>
              <w:rPr>
                <w:rFonts w:eastAsia="Times New Roman"/>
                <w:lang w:val="tr-TR"/>
              </w:rPr>
            </w:pPr>
            <w:r w:rsidRPr="00692926">
              <w:rPr>
                <w:rFonts w:eastAsia="Times New Roman"/>
                <w:lang w:val="tr-TR"/>
              </w:rPr>
              <w:t>-</w:t>
            </w:r>
          </w:p>
        </w:tc>
        <w:tc>
          <w:tcPr>
            <w:tcW w:w="1551" w:type="dxa"/>
            <w:vAlign w:val="bottom"/>
          </w:tcPr>
          <w:p w14:paraId="45FFFD97" w14:textId="2AB92612" w:rsidR="00224102" w:rsidRPr="00692926" w:rsidRDefault="00224102" w:rsidP="00224102">
            <w:pPr>
              <w:pStyle w:val="xl30"/>
              <w:pBdr>
                <w:right w:val="none" w:sz="0" w:space="0" w:color="auto"/>
              </w:pBdr>
              <w:spacing w:before="0" w:beforeAutospacing="0" w:after="0" w:afterAutospacing="0" w:line="226" w:lineRule="auto"/>
              <w:ind w:right="75"/>
              <w:rPr>
                <w:rFonts w:eastAsia="Times New Roman"/>
                <w:lang w:val="tr-TR"/>
              </w:rPr>
            </w:pPr>
            <w:r w:rsidRPr="00692926">
              <w:rPr>
                <w:rFonts w:eastAsia="Times New Roman"/>
                <w:lang w:val="tr-TR"/>
              </w:rPr>
              <w:t>-</w:t>
            </w:r>
          </w:p>
        </w:tc>
        <w:tc>
          <w:tcPr>
            <w:tcW w:w="1249" w:type="dxa"/>
            <w:noWrap/>
            <w:tcMar>
              <w:top w:w="15" w:type="dxa"/>
              <w:left w:w="15" w:type="dxa"/>
              <w:bottom w:w="0" w:type="dxa"/>
              <w:right w:w="15" w:type="dxa"/>
            </w:tcMar>
            <w:vAlign w:val="bottom"/>
          </w:tcPr>
          <w:p w14:paraId="08B07528" w14:textId="549FD0CA" w:rsidR="00224102" w:rsidRPr="00692926" w:rsidRDefault="00224102" w:rsidP="00224102">
            <w:pPr>
              <w:pStyle w:val="xl30"/>
              <w:pBdr>
                <w:right w:val="none" w:sz="0" w:space="0" w:color="auto"/>
              </w:pBdr>
              <w:tabs>
                <w:tab w:val="left" w:pos="0"/>
              </w:tabs>
              <w:spacing w:before="0" w:beforeAutospacing="0" w:after="0" w:afterAutospacing="0" w:line="226" w:lineRule="auto"/>
              <w:ind w:right="75"/>
              <w:rPr>
                <w:rFonts w:eastAsia="Times New Roman"/>
                <w:lang w:val="tr-TR"/>
              </w:rPr>
            </w:pPr>
            <w:r w:rsidRPr="00692926">
              <w:rPr>
                <w:rFonts w:eastAsia="Times New Roman"/>
                <w:lang w:val="tr-TR"/>
              </w:rPr>
              <w:t>-</w:t>
            </w:r>
          </w:p>
        </w:tc>
        <w:tc>
          <w:tcPr>
            <w:tcW w:w="1663" w:type="dxa"/>
            <w:vAlign w:val="bottom"/>
          </w:tcPr>
          <w:p w14:paraId="748B3733" w14:textId="7F9A6168" w:rsidR="00224102" w:rsidRPr="00692926" w:rsidRDefault="00224102" w:rsidP="00224102">
            <w:pPr>
              <w:pStyle w:val="xl30"/>
              <w:pBdr>
                <w:right w:val="none" w:sz="0" w:space="0" w:color="auto"/>
              </w:pBdr>
              <w:spacing w:before="0" w:beforeAutospacing="0" w:after="0" w:afterAutospacing="0" w:line="226" w:lineRule="auto"/>
              <w:ind w:right="75"/>
              <w:rPr>
                <w:rFonts w:eastAsia="Times New Roman"/>
                <w:lang w:val="tr-TR"/>
              </w:rPr>
            </w:pPr>
            <w:r w:rsidRPr="00692926">
              <w:rPr>
                <w:rFonts w:eastAsia="Times New Roman"/>
                <w:lang w:val="tr-TR"/>
              </w:rPr>
              <w:t>-</w:t>
            </w:r>
          </w:p>
        </w:tc>
      </w:tr>
      <w:tr w:rsidR="00224102" w:rsidRPr="00604C75" w14:paraId="2D535414" w14:textId="77777777" w:rsidTr="00AD726D">
        <w:trPr>
          <w:trHeight w:hRule="exact" w:val="227"/>
        </w:trPr>
        <w:tc>
          <w:tcPr>
            <w:tcW w:w="3408" w:type="dxa"/>
            <w:noWrap/>
            <w:tcMar>
              <w:top w:w="15" w:type="dxa"/>
              <w:left w:w="15" w:type="dxa"/>
              <w:bottom w:w="0" w:type="dxa"/>
              <w:right w:w="15" w:type="dxa"/>
            </w:tcMar>
            <w:vAlign w:val="bottom"/>
          </w:tcPr>
          <w:p w14:paraId="53AD3D78" w14:textId="77777777" w:rsidR="00224102" w:rsidRPr="00604C75" w:rsidRDefault="00224102" w:rsidP="00224102">
            <w:pPr>
              <w:tabs>
                <w:tab w:val="left" w:pos="0"/>
              </w:tabs>
              <w:spacing w:line="226" w:lineRule="auto"/>
              <w:rPr>
                <w:rFonts w:eastAsia="Arial Unicode MS"/>
                <w:sz w:val="18"/>
                <w:szCs w:val="16"/>
              </w:rPr>
            </w:pPr>
            <w:r w:rsidRPr="00604C75">
              <w:rPr>
                <w:rFonts w:eastAsia="Arial Unicode MS"/>
                <w:sz w:val="18"/>
                <w:szCs w:val="16"/>
              </w:rPr>
              <w:t>Other Domestic</w:t>
            </w:r>
          </w:p>
        </w:tc>
        <w:tc>
          <w:tcPr>
            <w:tcW w:w="1480" w:type="dxa"/>
            <w:noWrap/>
            <w:tcMar>
              <w:top w:w="15" w:type="dxa"/>
              <w:left w:w="15" w:type="dxa"/>
              <w:bottom w:w="0" w:type="dxa"/>
              <w:right w:w="15" w:type="dxa"/>
            </w:tcMar>
            <w:vAlign w:val="bottom"/>
          </w:tcPr>
          <w:p w14:paraId="381C15BC" w14:textId="3DBF05B0" w:rsidR="00224102" w:rsidRPr="00692926" w:rsidRDefault="00224102" w:rsidP="00224102">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551" w:type="dxa"/>
            <w:vAlign w:val="bottom"/>
          </w:tcPr>
          <w:p w14:paraId="287AB1C7" w14:textId="06F9AC90" w:rsidR="00224102" w:rsidRPr="00692926" w:rsidRDefault="00224102" w:rsidP="00224102">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249" w:type="dxa"/>
            <w:noWrap/>
            <w:tcMar>
              <w:top w:w="15" w:type="dxa"/>
              <w:left w:w="15" w:type="dxa"/>
              <w:bottom w:w="0" w:type="dxa"/>
              <w:right w:w="15" w:type="dxa"/>
            </w:tcMar>
            <w:vAlign w:val="bottom"/>
          </w:tcPr>
          <w:p w14:paraId="0602E907" w14:textId="31DBEF26" w:rsidR="00224102" w:rsidRPr="00692926" w:rsidRDefault="00224102" w:rsidP="00224102">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663" w:type="dxa"/>
            <w:vAlign w:val="bottom"/>
          </w:tcPr>
          <w:p w14:paraId="38B25AD4" w14:textId="03B4BF03" w:rsidR="00224102" w:rsidRPr="00692926" w:rsidRDefault="00224102" w:rsidP="00224102">
            <w:pPr>
              <w:tabs>
                <w:tab w:val="left" w:pos="0"/>
              </w:tabs>
              <w:spacing w:line="226" w:lineRule="auto"/>
              <w:ind w:right="75"/>
              <w:jc w:val="right"/>
              <w:rPr>
                <w:rFonts w:eastAsia="Arial Unicode MS"/>
                <w:sz w:val="18"/>
                <w:szCs w:val="18"/>
              </w:rPr>
            </w:pPr>
            <w:r w:rsidRPr="00692926">
              <w:rPr>
                <w:rFonts w:eastAsia="Arial Unicode MS"/>
                <w:sz w:val="18"/>
                <w:szCs w:val="18"/>
              </w:rPr>
              <w:t>-</w:t>
            </w:r>
          </w:p>
        </w:tc>
      </w:tr>
      <w:tr w:rsidR="00224102" w:rsidRPr="00604C75" w14:paraId="7CEB2445" w14:textId="77777777" w:rsidTr="00AD726D">
        <w:trPr>
          <w:trHeight w:hRule="exact" w:val="227"/>
        </w:trPr>
        <w:tc>
          <w:tcPr>
            <w:tcW w:w="3408" w:type="dxa"/>
            <w:noWrap/>
            <w:tcMar>
              <w:top w:w="15" w:type="dxa"/>
              <w:left w:w="15" w:type="dxa"/>
              <w:bottom w:w="0" w:type="dxa"/>
              <w:right w:w="15" w:type="dxa"/>
            </w:tcMar>
            <w:vAlign w:val="bottom"/>
          </w:tcPr>
          <w:p w14:paraId="70CD4DAB" w14:textId="77777777" w:rsidR="00224102" w:rsidRPr="00604C75" w:rsidRDefault="00224102" w:rsidP="00224102">
            <w:pPr>
              <w:tabs>
                <w:tab w:val="left" w:pos="0"/>
              </w:tabs>
              <w:spacing w:line="226" w:lineRule="auto"/>
              <w:rPr>
                <w:rFonts w:eastAsia="Arial Unicode MS"/>
                <w:sz w:val="18"/>
                <w:szCs w:val="16"/>
              </w:rPr>
            </w:pPr>
            <w:r w:rsidRPr="00604C75">
              <w:rPr>
                <w:rFonts w:eastAsia="Arial Unicode MS"/>
                <w:sz w:val="18"/>
                <w:szCs w:val="16"/>
              </w:rPr>
              <w:t>Foreign Banks</w:t>
            </w:r>
          </w:p>
        </w:tc>
        <w:tc>
          <w:tcPr>
            <w:tcW w:w="1480" w:type="dxa"/>
            <w:noWrap/>
            <w:tcMar>
              <w:top w:w="15" w:type="dxa"/>
              <w:left w:w="15" w:type="dxa"/>
              <w:bottom w:w="0" w:type="dxa"/>
              <w:right w:w="15" w:type="dxa"/>
            </w:tcMar>
            <w:vAlign w:val="bottom"/>
          </w:tcPr>
          <w:p w14:paraId="0F298120" w14:textId="3BB705A7" w:rsidR="00224102" w:rsidRPr="00692926" w:rsidRDefault="00224102" w:rsidP="00224102">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551" w:type="dxa"/>
            <w:vAlign w:val="bottom"/>
          </w:tcPr>
          <w:p w14:paraId="464B6099" w14:textId="52AF0399" w:rsidR="00224102" w:rsidRDefault="00224102" w:rsidP="00224102">
            <w:pPr>
              <w:jc w:val="right"/>
              <w:rPr>
                <w:sz w:val="18"/>
                <w:szCs w:val="18"/>
              </w:rPr>
            </w:pPr>
            <w:r>
              <w:rPr>
                <w:sz w:val="18"/>
                <w:szCs w:val="18"/>
              </w:rPr>
              <w:t>452,505</w:t>
            </w:r>
          </w:p>
        </w:tc>
        <w:tc>
          <w:tcPr>
            <w:tcW w:w="1249" w:type="dxa"/>
            <w:noWrap/>
            <w:tcMar>
              <w:top w:w="15" w:type="dxa"/>
              <w:left w:w="15" w:type="dxa"/>
              <w:bottom w:w="0" w:type="dxa"/>
              <w:right w:w="15" w:type="dxa"/>
            </w:tcMar>
            <w:vAlign w:val="bottom"/>
          </w:tcPr>
          <w:p w14:paraId="54C59B5B" w14:textId="248BA3CE" w:rsidR="00224102" w:rsidRPr="00692926" w:rsidRDefault="00224102" w:rsidP="00224102">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663" w:type="dxa"/>
            <w:vAlign w:val="bottom"/>
          </w:tcPr>
          <w:p w14:paraId="3BE5E0BA" w14:textId="59EE7893" w:rsidR="00224102" w:rsidRPr="00692926" w:rsidRDefault="00224102" w:rsidP="00224102">
            <w:pPr>
              <w:tabs>
                <w:tab w:val="left" w:pos="0"/>
              </w:tabs>
              <w:spacing w:line="226" w:lineRule="auto"/>
              <w:ind w:right="75"/>
              <w:jc w:val="right"/>
              <w:rPr>
                <w:rFonts w:eastAsia="Arial Unicode MS"/>
                <w:sz w:val="18"/>
                <w:szCs w:val="18"/>
              </w:rPr>
            </w:pPr>
            <w:r w:rsidRPr="00692926">
              <w:rPr>
                <w:sz w:val="18"/>
                <w:szCs w:val="18"/>
              </w:rPr>
              <w:t>69,953</w:t>
            </w:r>
          </w:p>
        </w:tc>
      </w:tr>
      <w:tr w:rsidR="00224102" w:rsidRPr="00604C75" w14:paraId="5CE9550B" w14:textId="77777777" w:rsidTr="00AD726D">
        <w:trPr>
          <w:trHeight w:hRule="exact" w:val="227"/>
        </w:trPr>
        <w:tc>
          <w:tcPr>
            <w:tcW w:w="3408" w:type="dxa"/>
            <w:noWrap/>
            <w:tcMar>
              <w:top w:w="15" w:type="dxa"/>
              <w:left w:w="15" w:type="dxa"/>
              <w:bottom w:w="0" w:type="dxa"/>
              <w:right w:w="15" w:type="dxa"/>
            </w:tcMar>
            <w:vAlign w:val="bottom"/>
          </w:tcPr>
          <w:p w14:paraId="63DB7010" w14:textId="77777777" w:rsidR="00224102" w:rsidRPr="00604C75" w:rsidRDefault="00224102" w:rsidP="00224102">
            <w:pPr>
              <w:tabs>
                <w:tab w:val="left" w:pos="0"/>
              </w:tabs>
              <w:spacing w:line="226" w:lineRule="auto"/>
              <w:rPr>
                <w:rFonts w:eastAsia="Arial Unicode MS"/>
                <w:sz w:val="18"/>
                <w:szCs w:val="16"/>
              </w:rPr>
            </w:pPr>
            <w:r w:rsidRPr="00604C75">
              <w:rPr>
                <w:rFonts w:eastAsia="Arial Unicode MS"/>
                <w:sz w:val="18"/>
                <w:szCs w:val="16"/>
              </w:rPr>
              <w:t>Other Foreign Institutions</w:t>
            </w:r>
          </w:p>
        </w:tc>
        <w:tc>
          <w:tcPr>
            <w:tcW w:w="1480" w:type="dxa"/>
            <w:noWrap/>
            <w:tcMar>
              <w:top w:w="15" w:type="dxa"/>
              <w:left w:w="15" w:type="dxa"/>
              <w:bottom w:w="0" w:type="dxa"/>
              <w:right w:w="15" w:type="dxa"/>
            </w:tcMar>
            <w:vAlign w:val="bottom"/>
          </w:tcPr>
          <w:p w14:paraId="7466FF89" w14:textId="597474BE" w:rsidR="00224102" w:rsidRPr="00692926" w:rsidRDefault="00224102" w:rsidP="00224102">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551" w:type="dxa"/>
            <w:vAlign w:val="bottom"/>
          </w:tcPr>
          <w:p w14:paraId="2E660FED" w14:textId="5F7AF66B" w:rsidR="00224102" w:rsidRDefault="00224102" w:rsidP="00224102">
            <w:pPr>
              <w:jc w:val="right"/>
              <w:rPr>
                <w:sz w:val="18"/>
                <w:szCs w:val="18"/>
              </w:rPr>
            </w:pPr>
            <w:r>
              <w:rPr>
                <w:sz w:val="18"/>
                <w:szCs w:val="18"/>
              </w:rPr>
              <w:t>315,053</w:t>
            </w:r>
          </w:p>
        </w:tc>
        <w:tc>
          <w:tcPr>
            <w:tcW w:w="1249" w:type="dxa"/>
            <w:noWrap/>
            <w:tcMar>
              <w:top w:w="15" w:type="dxa"/>
              <w:left w:w="15" w:type="dxa"/>
              <w:bottom w:w="0" w:type="dxa"/>
              <w:right w:w="15" w:type="dxa"/>
            </w:tcMar>
            <w:vAlign w:val="bottom"/>
          </w:tcPr>
          <w:p w14:paraId="1C7DB2F8" w14:textId="09DF3AD3" w:rsidR="00224102" w:rsidRPr="00692926" w:rsidRDefault="00224102" w:rsidP="00224102">
            <w:pPr>
              <w:tabs>
                <w:tab w:val="left" w:pos="0"/>
              </w:tabs>
              <w:spacing w:line="226" w:lineRule="auto"/>
              <w:ind w:right="75"/>
              <w:jc w:val="right"/>
              <w:rPr>
                <w:rFonts w:eastAsia="Arial Unicode MS"/>
                <w:sz w:val="18"/>
                <w:szCs w:val="18"/>
              </w:rPr>
            </w:pPr>
            <w:r w:rsidRPr="00692926">
              <w:rPr>
                <w:rFonts w:eastAsia="Arial Unicode MS"/>
                <w:sz w:val="18"/>
                <w:szCs w:val="18"/>
              </w:rPr>
              <w:t>-</w:t>
            </w:r>
          </w:p>
        </w:tc>
        <w:tc>
          <w:tcPr>
            <w:tcW w:w="1663" w:type="dxa"/>
            <w:vAlign w:val="bottom"/>
          </w:tcPr>
          <w:p w14:paraId="1D478C98" w14:textId="6200DC93" w:rsidR="00224102" w:rsidRPr="00692926" w:rsidRDefault="00224102" w:rsidP="00224102">
            <w:pPr>
              <w:tabs>
                <w:tab w:val="left" w:pos="0"/>
              </w:tabs>
              <w:spacing w:line="226" w:lineRule="auto"/>
              <w:ind w:right="75"/>
              <w:jc w:val="right"/>
              <w:rPr>
                <w:rFonts w:eastAsia="Arial Unicode MS"/>
                <w:sz w:val="18"/>
                <w:szCs w:val="18"/>
              </w:rPr>
            </w:pPr>
            <w:r w:rsidRPr="00692926">
              <w:rPr>
                <w:sz w:val="18"/>
                <w:szCs w:val="18"/>
              </w:rPr>
              <w:t>259,873</w:t>
            </w:r>
          </w:p>
        </w:tc>
      </w:tr>
      <w:tr w:rsidR="00224102" w:rsidRPr="00604C75" w14:paraId="2710AC2D" w14:textId="77777777" w:rsidTr="00AD726D">
        <w:trPr>
          <w:trHeight w:hRule="exact" w:val="227"/>
        </w:trPr>
        <w:tc>
          <w:tcPr>
            <w:tcW w:w="3408" w:type="dxa"/>
            <w:noWrap/>
            <w:tcMar>
              <w:top w:w="15" w:type="dxa"/>
              <w:left w:w="15" w:type="dxa"/>
              <w:bottom w:w="0" w:type="dxa"/>
              <w:right w:w="15" w:type="dxa"/>
            </w:tcMar>
            <w:vAlign w:val="bottom"/>
          </w:tcPr>
          <w:p w14:paraId="7E707F2D" w14:textId="77777777" w:rsidR="00224102" w:rsidRPr="00604C75" w:rsidRDefault="00224102" w:rsidP="00224102">
            <w:pPr>
              <w:tabs>
                <w:tab w:val="left" w:pos="0"/>
              </w:tabs>
              <w:spacing w:line="226" w:lineRule="auto"/>
              <w:rPr>
                <w:rFonts w:eastAsia="Arial Unicode MS"/>
                <w:b/>
                <w:bCs/>
                <w:sz w:val="18"/>
                <w:szCs w:val="16"/>
              </w:rPr>
            </w:pPr>
            <w:r w:rsidRPr="00604C75">
              <w:rPr>
                <w:rFonts w:ascii="Times" w:eastAsia="Arial Unicode MS" w:hAnsi="Times"/>
                <w:b/>
                <w:bCs/>
                <w:sz w:val="18"/>
                <w:szCs w:val="16"/>
              </w:rPr>
              <w:t>Total</w:t>
            </w:r>
          </w:p>
        </w:tc>
        <w:tc>
          <w:tcPr>
            <w:tcW w:w="1480" w:type="dxa"/>
            <w:noWrap/>
            <w:tcMar>
              <w:top w:w="15" w:type="dxa"/>
              <w:left w:w="15" w:type="dxa"/>
              <w:bottom w:w="0" w:type="dxa"/>
              <w:right w:w="15" w:type="dxa"/>
            </w:tcMar>
            <w:vAlign w:val="bottom"/>
          </w:tcPr>
          <w:p w14:paraId="3CCBEF0A" w14:textId="5DA8108A" w:rsidR="00224102" w:rsidRPr="00692926" w:rsidRDefault="00224102" w:rsidP="00224102">
            <w:pPr>
              <w:tabs>
                <w:tab w:val="left" w:pos="0"/>
              </w:tabs>
              <w:spacing w:line="226" w:lineRule="auto"/>
              <w:ind w:right="75"/>
              <w:jc w:val="right"/>
              <w:rPr>
                <w:rFonts w:eastAsia="Arial Unicode MS"/>
                <w:b/>
                <w:bCs/>
                <w:sz w:val="18"/>
                <w:szCs w:val="18"/>
              </w:rPr>
            </w:pPr>
            <w:r w:rsidRPr="00692926">
              <w:rPr>
                <w:rFonts w:eastAsia="Arial Unicode MS"/>
                <w:b/>
                <w:bCs/>
                <w:sz w:val="18"/>
                <w:szCs w:val="18"/>
              </w:rPr>
              <w:t>-</w:t>
            </w:r>
          </w:p>
        </w:tc>
        <w:tc>
          <w:tcPr>
            <w:tcW w:w="1551" w:type="dxa"/>
            <w:vAlign w:val="bottom"/>
          </w:tcPr>
          <w:p w14:paraId="769E18B0" w14:textId="7DE0F51B" w:rsidR="00224102" w:rsidRPr="00264C08" w:rsidRDefault="00224102" w:rsidP="00224102">
            <w:pPr>
              <w:jc w:val="right"/>
              <w:rPr>
                <w:b/>
                <w:sz w:val="18"/>
                <w:szCs w:val="18"/>
              </w:rPr>
            </w:pPr>
            <w:r w:rsidRPr="009F2274">
              <w:rPr>
                <w:b/>
                <w:sz w:val="18"/>
                <w:szCs w:val="18"/>
              </w:rPr>
              <w:t>767,558</w:t>
            </w:r>
          </w:p>
        </w:tc>
        <w:tc>
          <w:tcPr>
            <w:tcW w:w="1249" w:type="dxa"/>
            <w:noWrap/>
            <w:tcMar>
              <w:top w:w="15" w:type="dxa"/>
              <w:left w:w="15" w:type="dxa"/>
              <w:bottom w:w="0" w:type="dxa"/>
              <w:right w:w="15" w:type="dxa"/>
            </w:tcMar>
            <w:vAlign w:val="bottom"/>
          </w:tcPr>
          <w:p w14:paraId="2A2611C6" w14:textId="2F6AE81C" w:rsidR="00224102" w:rsidRPr="00692926" w:rsidRDefault="00224102" w:rsidP="00224102">
            <w:pPr>
              <w:tabs>
                <w:tab w:val="left" w:pos="0"/>
              </w:tabs>
              <w:spacing w:line="226" w:lineRule="auto"/>
              <w:ind w:right="75"/>
              <w:jc w:val="right"/>
              <w:rPr>
                <w:rFonts w:eastAsia="Arial Unicode MS"/>
                <w:b/>
                <w:bCs/>
                <w:sz w:val="18"/>
                <w:szCs w:val="18"/>
              </w:rPr>
            </w:pPr>
            <w:r w:rsidRPr="00692926">
              <w:rPr>
                <w:rFonts w:eastAsia="Arial Unicode MS"/>
                <w:b/>
                <w:bCs/>
                <w:sz w:val="18"/>
                <w:szCs w:val="18"/>
              </w:rPr>
              <w:t>-</w:t>
            </w:r>
          </w:p>
        </w:tc>
        <w:tc>
          <w:tcPr>
            <w:tcW w:w="1663" w:type="dxa"/>
            <w:vAlign w:val="bottom"/>
          </w:tcPr>
          <w:p w14:paraId="118499E5" w14:textId="38F3E09D" w:rsidR="00224102" w:rsidRPr="00692926" w:rsidRDefault="00224102" w:rsidP="00224102">
            <w:pPr>
              <w:tabs>
                <w:tab w:val="left" w:pos="0"/>
              </w:tabs>
              <w:spacing w:line="226" w:lineRule="auto"/>
              <w:ind w:right="75"/>
              <w:jc w:val="right"/>
              <w:rPr>
                <w:rFonts w:eastAsia="Arial Unicode MS"/>
                <w:b/>
                <w:bCs/>
                <w:sz w:val="18"/>
                <w:szCs w:val="18"/>
              </w:rPr>
            </w:pPr>
            <w:r w:rsidRPr="00692926">
              <w:rPr>
                <w:rFonts w:eastAsia="Arial Unicode MS"/>
                <w:b/>
                <w:bCs/>
                <w:sz w:val="18"/>
                <w:szCs w:val="18"/>
              </w:rPr>
              <w:t>329,826</w:t>
            </w:r>
          </w:p>
        </w:tc>
      </w:tr>
    </w:tbl>
    <w:p w14:paraId="45AA06D9" w14:textId="77777777" w:rsidR="0044575F" w:rsidRPr="00604C75" w:rsidRDefault="0044575F" w:rsidP="001B2452">
      <w:pPr>
        <w:spacing w:line="223" w:lineRule="auto"/>
        <w:ind w:left="1701" w:hanging="1276"/>
        <w:jc w:val="both"/>
        <w:rPr>
          <w:sz w:val="16"/>
          <w:szCs w:val="16"/>
        </w:rPr>
      </w:pPr>
    </w:p>
    <w:p w14:paraId="26D59E22" w14:textId="77777777" w:rsidR="0044575F" w:rsidRPr="00604C75" w:rsidRDefault="0044575F" w:rsidP="008477F3">
      <w:pPr>
        <w:numPr>
          <w:ilvl w:val="0"/>
          <w:numId w:val="60"/>
        </w:numPr>
        <w:tabs>
          <w:tab w:val="clear" w:pos="1636"/>
        </w:tabs>
        <w:spacing w:line="223" w:lineRule="auto"/>
        <w:ind w:left="728" w:hanging="686"/>
        <w:rPr>
          <w:b/>
          <w:noProof/>
          <w:sz w:val="20"/>
          <w:szCs w:val="20"/>
        </w:rPr>
      </w:pPr>
      <w:r w:rsidRPr="00604C75">
        <w:rPr>
          <w:b/>
          <w:noProof/>
          <w:sz w:val="20"/>
          <w:szCs w:val="20"/>
        </w:rPr>
        <w:t>Info</w:t>
      </w:r>
      <w:r w:rsidR="00CB4920" w:rsidRPr="00604C75">
        <w:rPr>
          <w:b/>
          <w:noProof/>
          <w:sz w:val="20"/>
          <w:szCs w:val="20"/>
        </w:rPr>
        <w:t>rmation on shareholders’ equity</w:t>
      </w:r>
    </w:p>
    <w:p w14:paraId="6C203605" w14:textId="77777777" w:rsidR="0044575F" w:rsidRPr="00604C75" w:rsidRDefault="00CB78C4" w:rsidP="001B2452">
      <w:pPr>
        <w:tabs>
          <w:tab w:val="left" w:pos="360"/>
        </w:tabs>
        <w:spacing w:line="223" w:lineRule="auto"/>
        <w:ind w:hanging="1276"/>
        <w:rPr>
          <w:b/>
          <w:noProof/>
          <w:sz w:val="10"/>
          <w:szCs w:val="10"/>
        </w:rPr>
      </w:pPr>
      <w:r w:rsidRPr="00604C75">
        <w:rPr>
          <w:b/>
          <w:noProof/>
          <w:sz w:val="10"/>
          <w:szCs w:val="10"/>
        </w:rPr>
        <w:t xml:space="preserve">  </w:t>
      </w:r>
    </w:p>
    <w:p w14:paraId="2AC55C72" w14:textId="77777777" w:rsidR="0044575F" w:rsidRPr="00604C75" w:rsidRDefault="00223F91" w:rsidP="001B2452">
      <w:pPr>
        <w:tabs>
          <w:tab w:val="left" w:pos="2127"/>
        </w:tabs>
        <w:spacing w:line="223" w:lineRule="auto"/>
        <w:ind w:left="1155" w:hanging="1276"/>
        <w:jc w:val="both"/>
        <w:rPr>
          <w:noProof/>
          <w:sz w:val="20"/>
          <w:szCs w:val="20"/>
        </w:rPr>
      </w:pPr>
      <w:r w:rsidRPr="00604C75">
        <w:rPr>
          <w:noProof/>
          <w:sz w:val="20"/>
          <w:szCs w:val="20"/>
        </w:rPr>
        <w:t xml:space="preserve">   </w:t>
      </w:r>
      <w:r w:rsidR="00CB78C4" w:rsidRPr="00604C75">
        <w:rPr>
          <w:noProof/>
          <w:sz w:val="20"/>
          <w:szCs w:val="20"/>
        </w:rPr>
        <w:t xml:space="preserve">1.  </w:t>
      </w:r>
      <w:r w:rsidR="0044575F" w:rsidRPr="00604C75">
        <w:rPr>
          <w:noProof/>
          <w:sz w:val="20"/>
          <w:szCs w:val="20"/>
        </w:rPr>
        <w:t>Presentation of paid-in capital</w:t>
      </w:r>
      <w:r w:rsidR="00306E38" w:rsidRPr="00604C75">
        <w:rPr>
          <w:noProof/>
          <w:sz w:val="20"/>
          <w:szCs w:val="20"/>
        </w:rPr>
        <w:t xml:space="preserve"> (</w:t>
      </w:r>
      <w:r w:rsidR="00306E38" w:rsidRPr="00604C75">
        <w:rPr>
          <w:noProof/>
          <w:color w:val="000000" w:themeColor="text1"/>
          <w:sz w:val="20"/>
          <w:szCs w:val="20"/>
        </w:rPr>
        <w:t>As of nominal; non-adjusted amounts according to inflation)</w:t>
      </w:r>
    </w:p>
    <w:p w14:paraId="70785A5A" w14:textId="77777777" w:rsidR="0044575F" w:rsidRPr="00604C75" w:rsidRDefault="0044575F" w:rsidP="001B2452">
      <w:pPr>
        <w:spacing w:line="223" w:lineRule="auto"/>
        <w:ind w:hanging="1276"/>
        <w:jc w:val="both"/>
        <w:rPr>
          <w:noProof/>
          <w:sz w:val="10"/>
          <w:szCs w:val="10"/>
        </w:rPr>
      </w:pP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402"/>
        <w:gridCol w:w="3037"/>
        <w:gridCol w:w="2898"/>
      </w:tblGrid>
      <w:tr w:rsidR="009B3C93" w:rsidRPr="00604C75" w14:paraId="0CF0B11F" w14:textId="77777777" w:rsidTr="00CD0767">
        <w:trPr>
          <w:trHeight w:val="315"/>
        </w:trPr>
        <w:tc>
          <w:tcPr>
            <w:tcW w:w="3402" w:type="dxa"/>
            <w:shd w:val="clear" w:color="auto" w:fill="FFFFFF"/>
            <w:vAlign w:val="bottom"/>
          </w:tcPr>
          <w:p w14:paraId="542F1FD6" w14:textId="77777777" w:rsidR="009B3C93" w:rsidRPr="00604C75" w:rsidRDefault="009B3C93" w:rsidP="009B3C93">
            <w:pPr>
              <w:jc w:val="center"/>
              <w:rPr>
                <w:rFonts w:eastAsia="Arial Unicode MS"/>
                <w:b/>
                <w:bCs/>
                <w:sz w:val="18"/>
                <w:szCs w:val="18"/>
              </w:rPr>
            </w:pPr>
            <w:r w:rsidRPr="00604C75">
              <w:rPr>
                <w:b/>
                <w:bCs/>
                <w:sz w:val="18"/>
                <w:szCs w:val="18"/>
              </w:rPr>
              <w:t> </w:t>
            </w:r>
          </w:p>
        </w:tc>
        <w:tc>
          <w:tcPr>
            <w:tcW w:w="3037" w:type="dxa"/>
            <w:shd w:val="clear" w:color="auto" w:fill="FFFFFF"/>
            <w:vAlign w:val="bottom"/>
          </w:tcPr>
          <w:p w14:paraId="2EE5395F" w14:textId="68E1C082" w:rsidR="009B3C93" w:rsidRPr="00604C75" w:rsidRDefault="00D81971" w:rsidP="00CD0767">
            <w:pPr>
              <w:ind w:right="42"/>
              <w:jc w:val="center"/>
              <w:rPr>
                <w:b/>
                <w:bCs/>
                <w:sz w:val="18"/>
              </w:rPr>
            </w:pPr>
            <w:r>
              <w:rPr>
                <w:b/>
                <w:iCs/>
                <w:sz w:val="18"/>
              </w:rPr>
              <w:t>31 December</w:t>
            </w:r>
            <w:r w:rsidRPr="00604C75">
              <w:rPr>
                <w:b/>
                <w:iCs/>
                <w:sz w:val="18"/>
              </w:rPr>
              <w:t xml:space="preserve"> </w:t>
            </w:r>
            <w:r w:rsidRPr="00604C75">
              <w:rPr>
                <w:b/>
                <w:bCs/>
                <w:sz w:val="18"/>
                <w:szCs w:val="18"/>
              </w:rPr>
              <w:t>2015</w:t>
            </w:r>
          </w:p>
        </w:tc>
        <w:tc>
          <w:tcPr>
            <w:tcW w:w="2898" w:type="dxa"/>
            <w:shd w:val="clear" w:color="auto" w:fill="FFFFFF"/>
            <w:vAlign w:val="bottom"/>
          </w:tcPr>
          <w:p w14:paraId="2AD6C92E" w14:textId="37A324CD" w:rsidR="009B3C93" w:rsidRPr="00604C75" w:rsidRDefault="009B3C93" w:rsidP="00CD0767">
            <w:pPr>
              <w:ind w:right="42"/>
              <w:jc w:val="center"/>
              <w:rPr>
                <w:b/>
                <w:bCs/>
                <w:sz w:val="18"/>
              </w:rPr>
            </w:pPr>
            <w:r w:rsidRPr="00604C75">
              <w:rPr>
                <w:b/>
                <w:bCs/>
                <w:sz w:val="18"/>
                <w:szCs w:val="18"/>
              </w:rPr>
              <w:t xml:space="preserve">31 </w:t>
            </w:r>
            <w:r w:rsidR="00AA7EC0" w:rsidRPr="00604C75">
              <w:rPr>
                <w:b/>
                <w:bCs/>
                <w:sz w:val="18"/>
                <w:szCs w:val="18"/>
              </w:rPr>
              <w:t xml:space="preserve">December </w:t>
            </w:r>
            <w:r w:rsidRPr="00604C75">
              <w:rPr>
                <w:b/>
                <w:bCs/>
                <w:sz w:val="18"/>
                <w:szCs w:val="18"/>
              </w:rPr>
              <w:t>2014</w:t>
            </w:r>
          </w:p>
        </w:tc>
      </w:tr>
      <w:tr w:rsidR="003E5AC5" w:rsidRPr="00604C75" w14:paraId="2122BB31" w14:textId="77777777" w:rsidTr="00AD726D">
        <w:trPr>
          <w:trHeight w:val="255"/>
        </w:trPr>
        <w:tc>
          <w:tcPr>
            <w:tcW w:w="3402" w:type="dxa"/>
            <w:shd w:val="clear" w:color="auto" w:fill="FFFFFF"/>
            <w:vAlign w:val="bottom"/>
          </w:tcPr>
          <w:p w14:paraId="08C7A9B6" w14:textId="18137708" w:rsidR="003E5AC5" w:rsidRPr="00604C75" w:rsidRDefault="003E5AC5" w:rsidP="003E5AC5">
            <w:pPr>
              <w:pStyle w:val="xl79"/>
              <w:pBdr>
                <w:left w:val="none" w:sz="0" w:space="0" w:color="auto"/>
                <w:bottom w:val="none" w:sz="0" w:space="0" w:color="auto"/>
                <w:right w:val="none" w:sz="0" w:space="0" w:color="auto"/>
              </w:pBdr>
              <w:spacing w:before="0" w:beforeAutospacing="0" w:after="0" w:afterAutospacing="0"/>
              <w:rPr>
                <w:rFonts w:eastAsia="Times New Roman"/>
              </w:rPr>
            </w:pPr>
            <w:r w:rsidRPr="00604C75">
              <w:rPr>
                <w:rFonts w:eastAsia="Times New Roman"/>
              </w:rPr>
              <w:t xml:space="preserve">Common </w:t>
            </w:r>
            <w:r w:rsidR="00BD412B">
              <w:rPr>
                <w:rFonts w:eastAsia="Times New Roman"/>
              </w:rPr>
              <w:t>S</w:t>
            </w:r>
            <w:r w:rsidRPr="00604C75">
              <w:rPr>
                <w:rFonts w:eastAsia="Times New Roman"/>
              </w:rPr>
              <w:t xml:space="preserve">tock (*) </w:t>
            </w:r>
          </w:p>
        </w:tc>
        <w:tc>
          <w:tcPr>
            <w:tcW w:w="3037" w:type="dxa"/>
            <w:vAlign w:val="bottom"/>
          </w:tcPr>
          <w:p w14:paraId="6EC66E7A" w14:textId="77777777" w:rsidR="003E5AC5" w:rsidRPr="00692926" w:rsidRDefault="003E5AC5" w:rsidP="003E5AC5">
            <w:pPr>
              <w:ind w:right="51"/>
              <w:jc w:val="right"/>
              <w:rPr>
                <w:sz w:val="18"/>
                <w:szCs w:val="18"/>
              </w:rPr>
            </w:pPr>
            <w:r w:rsidRPr="00692926">
              <w:rPr>
                <w:sz w:val="18"/>
                <w:szCs w:val="18"/>
              </w:rPr>
              <w:t>620,000</w:t>
            </w:r>
          </w:p>
        </w:tc>
        <w:tc>
          <w:tcPr>
            <w:tcW w:w="2898" w:type="dxa"/>
            <w:vAlign w:val="bottom"/>
          </w:tcPr>
          <w:p w14:paraId="4D892379" w14:textId="77777777" w:rsidR="003E5AC5" w:rsidRPr="00692926" w:rsidRDefault="003E5AC5" w:rsidP="003E5AC5">
            <w:pPr>
              <w:ind w:right="51"/>
              <w:jc w:val="right"/>
              <w:rPr>
                <w:sz w:val="18"/>
                <w:szCs w:val="18"/>
              </w:rPr>
            </w:pPr>
            <w:r w:rsidRPr="00692926">
              <w:rPr>
                <w:sz w:val="18"/>
                <w:szCs w:val="18"/>
              </w:rPr>
              <w:t>620,000</w:t>
            </w:r>
          </w:p>
        </w:tc>
      </w:tr>
      <w:tr w:rsidR="003E5AC5" w:rsidRPr="00604C75" w14:paraId="69769492" w14:textId="77777777" w:rsidTr="00AD726D">
        <w:trPr>
          <w:trHeight w:val="80"/>
        </w:trPr>
        <w:tc>
          <w:tcPr>
            <w:tcW w:w="3402" w:type="dxa"/>
            <w:shd w:val="clear" w:color="auto" w:fill="FFFFFF"/>
            <w:vAlign w:val="bottom"/>
          </w:tcPr>
          <w:p w14:paraId="4C73FF4C" w14:textId="3DCA37A3" w:rsidR="003E5AC5" w:rsidRPr="00604C75" w:rsidRDefault="003E5AC5" w:rsidP="003E5AC5">
            <w:pPr>
              <w:rPr>
                <w:rFonts w:eastAsia="Arial Unicode MS"/>
                <w:sz w:val="18"/>
                <w:szCs w:val="18"/>
              </w:rPr>
            </w:pPr>
            <w:r w:rsidRPr="00604C75">
              <w:rPr>
                <w:noProof/>
                <w:sz w:val="18"/>
                <w:szCs w:val="18"/>
              </w:rPr>
              <w:t xml:space="preserve">Preferred </w:t>
            </w:r>
            <w:r w:rsidR="00BD412B">
              <w:rPr>
                <w:noProof/>
                <w:sz w:val="18"/>
                <w:szCs w:val="18"/>
              </w:rPr>
              <w:t>S</w:t>
            </w:r>
            <w:r w:rsidRPr="00604C75">
              <w:rPr>
                <w:noProof/>
                <w:sz w:val="18"/>
                <w:szCs w:val="18"/>
              </w:rPr>
              <w:t>tock</w:t>
            </w:r>
          </w:p>
        </w:tc>
        <w:tc>
          <w:tcPr>
            <w:tcW w:w="3037" w:type="dxa"/>
            <w:vAlign w:val="bottom"/>
          </w:tcPr>
          <w:p w14:paraId="1915DECD" w14:textId="77777777" w:rsidR="003E5AC5" w:rsidRPr="00692926" w:rsidRDefault="003E5AC5" w:rsidP="003E5AC5">
            <w:pPr>
              <w:ind w:right="51"/>
              <w:jc w:val="right"/>
              <w:rPr>
                <w:sz w:val="18"/>
                <w:szCs w:val="18"/>
              </w:rPr>
            </w:pPr>
            <w:r w:rsidRPr="00692926">
              <w:rPr>
                <w:sz w:val="18"/>
                <w:szCs w:val="18"/>
              </w:rPr>
              <w:t>-</w:t>
            </w:r>
          </w:p>
        </w:tc>
        <w:tc>
          <w:tcPr>
            <w:tcW w:w="2898" w:type="dxa"/>
            <w:vAlign w:val="bottom"/>
          </w:tcPr>
          <w:p w14:paraId="7711304B" w14:textId="77777777" w:rsidR="003E5AC5" w:rsidRPr="00692926" w:rsidRDefault="003E5AC5" w:rsidP="003E5AC5">
            <w:pPr>
              <w:ind w:right="51"/>
              <w:jc w:val="right"/>
              <w:rPr>
                <w:sz w:val="18"/>
                <w:szCs w:val="18"/>
              </w:rPr>
            </w:pPr>
            <w:r w:rsidRPr="00692926">
              <w:rPr>
                <w:sz w:val="18"/>
                <w:szCs w:val="18"/>
              </w:rPr>
              <w:t>-</w:t>
            </w:r>
          </w:p>
        </w:tc>
      </w:tr>
    </w:tbl>
    <w:p w14:paraId="052E9177" w14:textId="7C8548BB" w:rsidR="00F00156" w:rsidRPr="00604C75" w:rsidRDefault="00AA1CC8" w:rsidP="00CD0767">
      <w:pPr>
        <w:tabs>
          <w:tab w:val="left" w:pos="1701"/>
        </w:tabs>
        <w:spacing w:before="60" w:line="223" w:lineRule="auto"/>
        <w:jc w:val="both"/>
        <w:rPr>
          <w:vertAlign w:val="superscript"/>
        </w:rPr>
      </w:pPr>
      <w:r w:rsidRPr="00604C75">
        <w:rPr>
          <w:vertAlign w:val="superscript"/>
        </w:rPr>
        <w:t>(*</w:t>
      </w:r>
      <w:r w:rsidR="00F00156" w:rsidRPr="00604C75">
        <w:rPr>
          <w:vertAlign w:val="superscript"/>
        </w:rPr>
        <w:t xml:space="preserve">) It refers </w:t>
      </w:r>
      <w:r w:rsidR="00196A0E">
        <w:rPr>
          <w:vertAlign w:val="superscript"/>
        </w:rPr>
        <w:t xml:space="preserve">to </w:t>
      </w:r>
      <w:r w:rsidR="00F00156" w:rsidRPr="00604C75">
        <w:rPr>
          <w:vertAlign w:val="superscript"/>
        </w:rPr>
        <w:t>the nominal capital.</w:t>
      </w:r>
      <w:r w:rsidR="00CB78C4" w:rsidRPr="00604C75">
        <w:rPr>
          <w:vertAlign w:val="superscript"/>
        </w:rPr>
        <w:t xml:space="preserve"> </w:t>
      </w:r>
    </w:p>
    <w:p w14:paraId="668F2F56" w14:textId="77777777" w:rsidR="00306E38" w:rsidRPr="00604C75" w:rsidRDefault="00F00156" w:rsidP="00490153">
      <w:pPr>
        <w:tabs>
          <w:tab w:val="left" w:pos="709"/>
        </w:tabs>
        <w:spacing w:before="120" w:line="223" w:lineRule="auto"/>
        <w:ind w:hanging="1276"/>
        <w:jc w:val="both"/>
        <w:rPr>
          <w:noProof/>
          <w:sz w:val="20"/>
          <w:szCs w:val="20"/>
        </w:rPr>
      </w:pPr>
      <w:r w:rsidRPr="00604C75">
        <w:rPr>
          <w:noProof/>
          <w:sz w:val="20"/>
          <w:szCs w:val="20"/>
        </w:rPr>
        <w:t xml:space="preserve">                      </w:t>
      </w:r>
      <w:r w:rsidR="00223F91" w:rsidRPr="00604C75">
        <w:rPr>
          <w:noProof/>
          <w:sz w:val="20"/>
          <w:szCs w:val="20"/>
        </w:rPr>
        <w:t xml:space="preserve">  </w:t>
      </w:r>
      <w:r w:rsidRPr="00604C75">
        <w:rPr>
          <w:noProof/>
          <w:sz w:val="20"/>
          <w:szCs w:val="20"/>
        </w:rPr>
        <w:t xml:space="preserve"> 2.</w:t>
      </w:r>
      <w:r w:rsidR="00CB78C4" w:rsidRPr="00604C75">
        <w:rPr>
          <w:noProof/>
          <w:sz w:val="20"/>
          <w:szCs w:val="20"/>
        </w:rPr>
        <w:t xml:space="preserve">   </w:t>
      </w:r>
      <w:r w:rsidR="0044575F" w:rsidRPr="00604C75">
        <w:rPr>
          <w:noProof/>
          <w:sz w:val="20"/>
          <w:szCs w:val="20"/>
        </w:rPr>
        <w:t xml:space="preserve">Paid-in capital amount, explanation as to whether the registered share capital system is applied and if so, </w:t>
      </w:r>
      <w:r w:rsidR="00306E38" w:rsidRPr="00604C75">
        <w:rPr>
          <w:noProof/>
          <w:sz w:val="20"/>
          <w:szCs w:val="20"/>
        </w:rPr>
        <w:t xml:space="preserve"> </w:t>
      </w:r>
      <w:r w:rsidR="0044575F" w:rsidRPr="00604C75">
        <w:rPr>
          <w:noProof/>
          <w:sz w:val="20"/>
          <w:szCs w:val="20"/>
        </w:rPr>
        <w:t>amount of registered share capital ceiling</w:t>
      </w:r>
      <w:r w:rsidR="00306E38" w:rsidRPr="00604C75">
        <w:rPr>
          <w:noProof/>
          <w:sz w:val="20"/>
          <w:szCs w:val="20"/>
        </w:rPr>
        <w:t xml:space="preserve"> </w:t>
      </w:r>
      <w:r w:rsidR="00306E38" w:rsidRPr="00D410C8">
        <w:rPr>
          <w:noProof/>
          <w:sz w:val="20"/>
          <w:szCs w:val="20"/>
        </w:rPr>
        <w:t>(As of nominal; non-adjusted amounts according to inflation):</w:t>
      </w:r>
    </w:p>
    <w:p w14:paraId="14963049" w14:textId="77777777" w:rsidR="00CD3E4C" w:rsidRDefault="0029494D" w:rsidP="00490153">
      <w:pPr>
        <w:tabs>
          <w:tab w:val="left" w:pos="1560"/>
          <w:tab w:val="left" w:pos="1701"/>
        </w:tabs>
        <w:spacing w:before="120" w:after="120" w:line="223" w:lineRule="auto"/>
        <w:jc w:val="both"/>
        <w:rPr>
          <w:noProof/>
          <w:lang w:val="tr-TR"/>
        </w:rPr>
      </w:pPr>
      <w:r w:rsidRPr="00604C75">
        <w:rPr>
          <w:noProof/>
          <w:sz w:val="20"/>
          <w:szCs w:val="20"/>
          <w:lang w:val="tr-TR"/>
        </w:rPr>
        <w:t xml:space="preserve">The </w:t>
      </w:r>
      <w:r w:rsidR="0044134E">
        <w:rPr>
          <w:noProof/>
          <w:sz w:val="20"/>
          <w:szCs w:val="20"/>
          <w:lang w:val="tr-TR"/>
        </w:rPr>
        <w:t xml:space="preserve">Parent </w:t>
      </w:r>
      <w:r w:rsidR="00361747" w:rsidRPr="00604C75">
        <w:rPr>
          <w:noProof/>
          <w:sz w:val="20"/>
          <w:szCs w:val="20"/>
          <w:lang w:val="tr-TR"/>
        </w:rPr>
        <w:t>B</w:t>
      </w:r>
      <w:r w:rsidRPr="00604C75">
        <w:rPr>
          <w:noProof/>
          <w:sz w:val="20"/>
          <w:szCs w:val="20"/>
          <w:lang w:val="tr-TR"/>
        </w:rPr>
        <w:t xml:space="preserve">ank applies </w:t>
      </w:r>
      <w:r w:rsidRPr="00604C75">
        <w:rPr>
          <w:noProof/>
          <w:sz w:val="20"/>
          <w:szCs w:val="20"/>
        </w:rPr>
        <w:t>registered</w:t>
      </w:r>
      <w:r w:rsidR="000467F0">
        <w:rPr>
          <w:noProof/>
          <w:sz w:val="20"/>
          <w:szCs w:val="20"/>
        </w:rPr>
        <w:t xml:space="preserve"> share capital system. As of 3</w:t>
      </w:r>
      <w:r w:rsidR="007D2804">
        <w:rPr>
          <w:noProof/>
          <w:sz w:val="20"/>
          <w:szCs w:val="20"/>
        </w:rPr>
        <w:t>1</w:t>
      </w:r>
      <w:r w:rsidR="000467F0">
        <w:rPr>
          <w:noProof/>
          <w:sz w:val="20"/>
          <w:szCs w:val="20"/>
        </w:rPr>
        <w:t xml:space="preserve"> </w:t>
      </w:r>
      <w:r w:rsidR="007D2804">
        <w:rPr>
          <w:noProof/>
          <w:sz w:val="20"/>
          <w:szCs w:val="20"/>
        </w:rPr>
        <w:t>December</w:t>
      </w:r>
      <w:r w:rsidR="007D2804" w:rsidRPr="00604C75">
        <w:rPr>
          <w:noProof/>
          <w:sz w:val="20"/>
          <w:szCs w:val="20"/>
        </w:rPr>
        <w:t xml:space="preserve"> </w:t>
      </w:r>
      <w:r w:rsidRPr="00604C75">
        <w:rPr>
          <w:noProof/>
          <w:sz w:val="20"/>
          <w:szCs w:val="20"/>
        </w:rPr>
        <w:t>201</w:t>
      </w:r>
      <w:r w:rsidR="00CD3E4C" w:rsidRPr="00604C75">
        <w:rPr>
          <w:noProof/>
          <w:sz w:val="20"/>
          <w:szCs w:val="20"/>
        </w:rPr>
        <w:t>5</w:t>
      </w:r>
      <w:r w:rsidRPr="00604C75">
        <w:rPr>
          <w:noProof/>
          <w:sz w:val="20"/>
          <w:szCs w:val="20"/>
        </w:rPr>
        <w:t xml:space="preserve"> </w:t>
      </w:r>
      <w:r w:rsidRPr="00604C75">
        <w:rPr>
          <w:noProof/>
          <w:sz w:val="20"/>
          <w:szCs w:val="20"/>
          <w:lang w:val="tr-TR"/>
        </w:rPr>
        <w:t>t</w:t>
      </w:r>
      <w:r w:rsidR="0044575F" w:rsidRPr="00604C75">
        <w:rPr>
          <w:noProof/>
          <w:sz w:val="20"/>
          <w:szCs w:val="20"/>
          <w:lang w:val="tr-TR"/>
        </w:rPr>
        <w:t>he registered share capital ceiling</w:t>
      </w:r>
      <w:r w:rsidR="00CD3E4C" w:rsidRPr="00604C75">
        <w:rPr>
          <w:noProof/>
          <w:sz w:val="20"/>
          <w:szCs w:val="20"/>
          <w:lang w:val="tr-TR"/>
        </w:rPr>
        <w:t xml:space="preserve"> amount is TL 1,000,000.</w:t>
      </w:r>
      <w:r w:rsidR="0044575F" w:rsidRPr="00604C75">
        <w:rPr>
          <w:noProof/>
          <w:sz w:val="20"/>
          <w:szCs w:val="20"/>
          <w:lang w:val="tr-TR"/>
        </w:rPr>
        <w:t xml:space="preserve"> </w:t>
      </w:r>
      <w:r w:rsidR="00CD3E4C" w:rsidRPr="00604C75">
        <w:rPr>
          <w:noProof/>
          <w:sz w:val="20"/>
          <w:szCs w:val="20"/>
          <w:lang w:val="tr-TR"/>
        </w:rPr>
        <w:t xml:space="preserve">The </w:t>
      </w:r>
      <w:r w:rsidR="0044134E">
        <w:rPr>
          <w:noProof/>
          <w:sz w:val="20"/>
          <w:szCs w:val="20"/>
          <w:lang w:val="tr-TR"/>
        </w:rPr>
        <w:t xml:space="preserve">Parent </w:t>
      </w:r>
      <w:r w:rsidR="00CD3E4C" w:rsidRPr="00604C75">
        <w:rPr>
          <w:noProof/>
          <w:sz w:val="20"/>
          <w:szCs w:val="20"/>
          <w:lang w:val="tr-TR"/>
        </w:rPr>
        <w:t>Bank’s paid-in-capital consists of  620,000,000 shares and each share amount  to TL 1</w:t>
      </w:r>
      <w:r w:rsidR="00CD3E4C" w:rsidRPr="00604C75">
        <w:rPr>
          <w:noProof/>
          <w:lang w:val="tr-TR"/>
        </w:rPr>
        <w:t>.</w:t>
      </w:r>
    </w:p>
    <w:p w14:paraId="658D6028" w14:textId="77777777" w:rsidR="00224102" w:rsidRPr="00604C75" w:rsidRDefault="00224102" w:rsidP="00490153">
      <w:pPr>
        <w:pStyle w:val="ListParagraph"/>
        <w:spacing w:before="120" w:line="223" w:lineRule="auto"/>
        <w:ind w:left="0"/>
        <w:jc w:val="both"/>
        <w:rPr>
          <w:noProof/>
          <w:sz w:val="20"/>
          <w:szCs w:val="20"/>
          <w:lang w:val="tr-TR"/>
        </w:rPr>
      </w:pPr>
      <w:r w:rsidRPr="00604C75">
        <w:rPr>
          <w:noProof/>
          <w:sz w:val="20"/>
          <w:szCs w:val="20"/>
          <w:lang w:val="tr-TR"/>
        </w:rPr>
        <w:t xml:space="preserve">3.  </w:t>
      </w:r>
      <w:r>
        <w:rPr>
          <w:noProof/>
          <w:sz w:val="20"/>
          <w:szCs w:val="20"/>
          <w:lang w:val="tr-TR"/>
        </w:rPr>
        <w:t xml:space="preserve"> </w:t>
      </w:r>
      <w:r w:rsidRPr="00604C75">
        <w:rPr>
          <w:noProof/>
          <w:sz w:val="20"/>
          <w:szCs w:val="20"/>
          <w:lang w:val="tr-TR"/>
        </w:rPr>
        <w:t>Information about the share capital increases and their sources in the current period</w:t>
      </w:r>
    </w:p>
    <w:p w14:paraId="7E6186F1" w14:textId="77777777" w:rsidR="00224102" w:rsidRPr="00604C75" w:rsidRDefault="00224102" w:rsidP="00490153">
      <w:pPr>
        <w:spacing w:before="120" w:line="223" w:lineRule="auto"/>
        <w:jc w:val="both"/>
        <w:rPr>
          <w:noProof/>
          <w:sz w:val="20"/>
          <w:szCs w:val="20"/>
        </w:rPr>
      </w:pPr>
      <w:r w:rsidRPr="00604C75">
        <w:rPr>
          <w:noProof/>
          <w:sz w:val="20"/>
          <w:szCs w:val="20"/>
        </w:rPr>
        <w:t>None.</w:t>
      </w:r>
    </w:p>
    <w:p w14:paraId="351E46C2" w14:textId="77777777" w:rsidR="00224102" w:rsidRPr="00604C75" w:rsidRDefault="00224102" w:rsidP="00CD3E4C">
      <w:pPr>
        <w:tabs>
          <w:tab w:val="left" w:pos="1560"/>
          <w:tab w:val="left" w:pos="1701"/>
        </w:tabs>
        <w:spacing w:line="223" w:lineRule="auto"/>
        <w:jc w:val="both"/>
        <w:rPr>
          <w:noProof/>
          <w:lang w:val="tr-TR"/>
        </w:rPr>
      </w:pPr>
    </w:p>
    <w:p w14:paraId="60C70EE6" w14:textId="3FEA96F7" w:rsidR="00485CE1"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67736286" w14:textId="271577C2" w:rsidR="00485CE1" w:rsidRPr="00604C75" w:rsidRDefault="00485CE1" w:rsidP="00490153">
      <w:pPr>
        <w:pStyle w:val="Heading2"/>
        <w:tabs>
          <w:tab w:val="left" w:pos="709"/>
        </w:tabs>
        <w:rPr>
          <w:rFonts w:ascii="Times New Roman" w:hAnsi="Times New Roman"/>
          <w:noProof/>
          <w:sz w:val="20"/>
        </w:rPr>
      </w:pPr>
      <w:r w:rsidRPr="00604C75">
        <w:rPr>
          <w:rFonts w:ascii="Times New Roman" w:hAnsi="Times New Roman"/>
          <w:caps/>
          <w:sz w:val="20"/>
        </w:rPr>
        <w:t>II.</w:t>
      </w:r>
      <w:r w:rsidRPr="00604C75">
        <w:rPr>
          <w:rFonts w:ascii="Times New Roman" w:hAnsi="Times New Roman"/>
          <w:caps/>
          <w:sz w:val="20"/>
        </w:rPr>
        <w:tab/>
      </w:r>
      <w:r w:rsidR="00647320" w:rsidRPr="00604C75">
        <w:rPr>
          <w:rFonts w:ascii="Times New Roman" w:hAnsi="Times New Roman"/>
          <w:noProof/>
          <w:sz w:val="20"/>
        </w:rPr>
        <w:t xml:space="preserve">Explanations and Notes </w:t>
      </w:r>
      <w:r w:rsidR="00647320">
        <w:rPr>
          <w:rFonts w:ascii="Times New Roman" w:hAnsi="Times New Roman"/>
          <w:noProof/>
          <w:sz w:val="20"/>
        </w:rPr>
        <w:t>on</w:t>
      </w:r>
      <w:r w:rsidR="00647320" w:rsidRPr="00604C75">
        <w:rPr>
          <w:rFonts w:ascii="Times New Roman" w:hAnsi="Times New Roman"/>
          <w:noProof/>
          <w:sz w:val="20"/>
        </w:rPr>
        <w:t xml:space="preserve"> Liabilities</w:t>
      </w:r>
      <w:r w:rsidR="00647320" w:rsidRPr="00604C75">
        <w:rPr>
          <w:rFonts w:ascii="Times New Roman" w:hAnsi="Times New Roman"/>
          <w:bCs/>
          <w:sz w:val="20"/>
        </w:rPr>
        <w:t xml:space="preserve"> </w:t>
      </w:r>
      <w:r w:rsidRPr="00604C75">
        <w:rPr>
          <w:rFonts w:ascii="Times New Roman" w:hAnsi="Times New Roman"/>
          <w:bCs/>
          <w:sz w:val="20"/>
        </w:rPr>
        <w:t>(Continued)</w:t>
      </w:r>
    </w:p>
    <w:p w14:paraId="608E05CA" w14:textId="77777777" w:rsidR="00485CE1" w:rsidRPr="00604C75" w:rsidRDefault="00485CE1" w:rsidP="008477F3">
      <w:pPr>
        <w:pStyle w:val="ListParagraph"/>
        <w:numPr>
          <w:ilvl w:val="0"/>
          <w:numId w:val="76"/>
        </w:numPr>
        <w:tabs>
          <w:tab w:val="clear" w:pos="1636"/>
          <w:tab w:val="num" w:pos="709"/>
        </w:tabs>
        <w:spacing w:before="120" w:line="223" w:lineRule="auto"/>
        <w:ind w:hanging="1636"/>
        <w:rPr>
          <w:b/>
          <w:noProof/>
          <w:sz w:val="20"/>
          <w:szCs w:val="20"/>
        </w:rPr>
      </w:pPr>
      <w:r w:rsidRPr="00604C75">
        <w:rPr>
          <w:b/>
          <w:noProof/>
          <w:sz w:val="20"/>
          <w:szCs w:val="20"/>
        </w:rPr>
        <w:t>Information on shareholders’ equity</w:t>
      </w:r>
      <w:r w:rsidR="00AD358B" w:rsidRPr="00604C75">
        <w:rPr>
          <w:b/>
          <w:noProof/>
          <w:sz w:val="20"/>
          <w:szCs w:val="20"/>
        </w:rPr>
        <w:t xml:space="preserve"> (Continued)</w:t>
      </w:r>
    </w:p>
    <w:p w14:paraId="4509E702" w14:textId="56951163" w:rsidR="00EC606B" w:rsidRPr="00604C75" w:rsidRDefault="00EC606B" w:rsidP="00490153">
      <w:pPr>
        <w:spacing w:before="120" w:line="223" w:lineRule="auto"/>
        <w:jc w:val="both"/>
        <w:rPr>
          <w:noProof/>
          <w:sz w:val="20"/>
          <w:szCs w:val="20"/>
          <w:lang w:val="tr-TR"/>
        </w:rPr>
      </w:pPr>
      <w:r w:rsidRPr="00604C75">
        <w:rPr>
          <w:noProof/>
          <w:sz w:val="20"/>
          <w:szCs w:val="20"/>
        </w:rPr>
        <w:t xml:space="preserve">4.   </w:t>
      </w:r>
      <w:r w:rsidR="0007623F" w:rsidRPr="00604C75">
        <w:rPr>
          <w:noProof/>
          <w:sz w:val="20"/>
          <w:szCs w:val="20"/>
        </w:rPr>
        <w:t xml:space="preserve">Information on additions </w:t>
      </w:r>
      <w:r w:rsidRPr="00604C75">
        <w:rPr>
          <w:noProof/>
          <w:sz w:val="20"/>
          <w:szCs w:val="20"/>
        </w:rPr>
        <w:t>from revaluation reserve</w:t>
      </w:r>
      <w:r w:rsidR="0007623F" w:rsidRPr="00604C75">
        <w:rPr>
          <w:noProof/>
          <w:sz w:val="20"/>
          <w:szCs w:val="20"/>
        </w:rPr>
        <w:t>s</w:t>
      </w:r>
      <w:r w:rsidRPr="00604C75">
        <w:rPr>
          <w:noProof/>
          <w:sz w:val="20"/>
          <w:szCs w:val="20"/>
        </w:rPr>
        <w:t xml:space="preserve"> </w:t>
      </w:r>
      <w:r w:rsidR="0007623F" w:rsidRPr="00604C75">
        <w:rPr>
          <w:noProof/>
          <w:sz w:val="20"/>
          <w:szCs w:val="20"/>
        </w:rPr>
        <w:t xml:space="preserve">to capital </w:t>
      </w:r>
      <w:r w:rsidRPr="00604C75">
        <w:rPr>
          <w:noProof/>
          <w:sz w:val="20"/>
          <w:szCs w:val="20"/>
        </w:rPr>
        <w:t>in the current period: None.</w:t>
      </w:r>
    </w:p>
    <w:p w14:paraId="413A89B3" w14:textId="77777777" w:rsidR="00EC606B" w:rsidRPr="00604C75" w:rsidRDefault="00EC606B" w:rsidP="00490153">
      <w:pPr>
        <w:pStyle w:val="BodyText"/>
        <w:tabs>
          <w:tab w:val="left" w:pos="1440"/>
          <w:tab w:val="left" w:pos="2552"/>
        </w:tabs>
        <w:spacing w:before="120" w:line="223" w:lineRule="auto"/>
        <w:rPr>
          <w:noProof/>
          <w:color w:val="000000" w:themeColor="text1"/>
          <w:sz w:val="16"/>
          <w:szCs w:val="16"/>
        </w:rPr>
      </w:pPr>
      <w:r w:rsidRPr="00604C75">
        <w:rPr>
          <w:noProof/>
          <w:color w:val="auto"/>
          <w:sz w:val="20"/>
          <w:lang w:val="tr-TR"/>
        </w:rPr>
        <w:t>5.   Information on capital increases from capital reserves during the current period: None.</w:t>
      </w:r>
    </w:p>
    <w:p w14:paraId="012BC3F9" w14:textId="1F2EDCF8" w:rsidR="00AD6602" w:rsidRPr="00604C75" w:rsidRDefault="0008731C" w:rsidP="00490153">
      <w:pPr>
        <w:spacing w:before="120" w:after="120"/>
        <w:ind w:left="322" w:hanging="322"/>
        <w:jc w:val="both"/>
        <w:rPr>
          <w:noProof/>
          <w:sz w:val="16"/>
          <w:szCs w:val="16"/>
        </w:rPr>
      </w:pPr>
      <w:r w:rsidRPr="00604C75">
        <w:rPr>
          <w:noProof/>
          <w:color w:val="000000" w:themeColor="text1"/>
          <w:sz w:val="20"/>
          <w:szCs w:val="20"/>
        </w:rPr>
        <w:t xml:space="preserve">6. </w:t>
      </w:r>
      <w:r w:rsidR="006D45E8" w:rsidRPr="00604C75">
        <w:rPr>
          <w:noProof/>
          <w:color w:val="000000" w:themeColor="text1"/>
          <w:sz w:val="20"/>
          <w:szCs w:val="20"/>
        </w:rPr>
        <w:t xml:space="preserve">  </w:t>
      </w:r>
      <w:r w:rsidR="00AD6602" w:rsidRPr="00604C75">
        <w:rPr>
          <w:noProof/>
          <w:sz w:val="20"/>
          <w:szCs w:val="20"/>
          <w:lang w:val="tr-TR"/>
        </w:rPr>
        <w:t xml:space="preserve">Information on prior period’s indicators on the </w:t>
      </w:r>
      <w:r w:rsidR="0044134E">
        <w:rPr>
          <w:noProof/>
          <w:sz w:val="20"/>
          <w:szCs w:val="20"/>
          <w:lang w:val="tr-TR"/>
        </w:rPr>
        <w:t>Group</w:t>
      </w:r>
      <w:r w:rsidR="0044134E" w:rsidRPr="00604C75">
        <w:rPr>
          <w:noProof/>
          <w:sz w:val="20"/>
          <w:szCs w:val="20"/>
          <w:lang w:val="tr-TR"/>
        </w:rPr>
        <w:t xml:space="preserve">’s </w:t>
      </w:r>
      <w:r w:rsidR="00AD6602" w:rsidRPr="00604C75">
        <w:rPr>
          <w:noProof/>
          <w:sz w:val="20"/>
          <w:szCs w:val="20"/>
          <w:lang w:val="tr-TR"/>
        </w:rPr>
        <w:t>income, profitability and liquidity, and possible</w:t>
      </w:r>
      <w:r w:rsidR="00AD6602" w:rsidRPr="00604C75">
        <w:rPr>
          <w:noProof/>
          <w:color w:val="000000" w:themeColor="text1"/>
          <w:sz w:val="20"/>
          <w:szCs w:val="20"/>
        </w:rPr>
        <w:t xml:space="preserve"> effects </w:t>
      </w:r>
      <w:r w:rsidR="0044134E">
        <w:rPr>
          <w:noProof/>
          <w:color w:val="000000" w:themeColor="text1"/>
          <w:sz w:val="20"/>
          <w:szCs w:val="20"/>
        </w:rPr>
        <w:t xml:space="preserve">    </w:t>
      </w:r>
      <w:r w:rsidR="00AD6602" w:rsidRPr="00604C75">
        <w:rPr>
          <w:noProof/>
          <w:color w:val="000000" w:themeColor="text1"/>
          <w:sz w:val="20"/>
          <w:szCs w:val="20"/>
        </w:rPr>
        <w:t xml:space="preserve">of these future assumptions on the </w:t>
      </w:r>
      <w:r w:rsidR="0044134E">
        <w:rPr>
          <w:noProof/>
          <w:color w:val="000000" w:themeColor="text1"/>
          <w:sz w:val="20"/>
          <w:szCs w:val="20"/>
        </w:rPr>
        <w:t>Group</w:t>
      </w:r>
      <w:r w:rsidR="0044134E" w:rsidRPr="00604C75">
        <w:rPr>
          <w:noProof/>
          <w:color w:val="000000" w:themeColor="text1"/>
          <w:sz w:val="20"/>
          <w:szCs w:val="20"/>
        </w:rPr>
        <w:t xml:space="preserve">’s </w:t>
      </w:r>
      <w:r w:rsidR="00AD6602" w:rsidRPr="00604C75">
        <w:rPr>
          <w:noProof/>
          <w:color w:val="000000" w:themeColor="text1"/>
          <w:sz w:val="20"/>
          <w:szCs w:val="20"/>
        </w:rPr>
        <w:t>equity due to un</w:t>
      </w:r>
      <w:r w:rsidR="00873DAE">
        <w:rPr>
          <w:noProof/>
          <w:color w:val="000000" w:themeColor="text1"/>
          <w:sz w:val="20"/>
          <w:szCs w:val="20"/>
        </w:rPr>
        <w:t>certainties of these indicators</w:t>
      </w:r>
    </w:p>
    <w:p w14:paraId="1D6933CC" w14:textId="77777777" w:rsidR="00AD6602" w:rsidRPr="00604C75" w:rsidRDefault="00AD6602" w:rsidP="00490153">
      <w:pPr>
        <w:pStyle w:val="ListParagraph"/>
        <w:spacing w:before="120" w:line="223" w:lineRule="auto"/>
        <w:ind w:left="0"/>
        <w:jc w:val="both"/>
        <w:rPr>
          <w:noProof/>
          <w:sz w:val="20"/>
          <w:szCs w:val="20"/>
          <w:lang w:val="tr-TR"/>
        </w:rPr>
      </w:pPr>
      <w:r w:rsidRPr="00604C75">
        <w:rPr>
          <w:noProof/>
          <w:sz w:val="20"/>
          <w:szCs w:val="20"/>
          <w:lang w:val="tr-TR"/>
        </w:rPr>
        <w:t xml:space="preserve">The interest, liquidity, and foreign exchange risk on on-balance sheet and off-balance sheet assets and liabilities are managed by the </w:t>
      </w:r>
      <w:r w:rsidR="0044134E">
        <w:rPr>
          <w:noProof/>
          <w:sz w:val="20"/>
          <w:szCs w:val="20"/>
          <w:lang w:val="tr-TR"/>
        </w:rPr>
        <w:t xml:space="preserve">Parent </w:t>
      </w:r>
      <w:r w:rsidRPr="00604C75">
        <w:rPr>
          <w:noProof/>
          <w:sz w:val="20"/>
          <w:szCs w:val="20"/>
          <w:lang w:val="tr-TR"/>
        </w:rPr>
        <w:t>Bank within several risk limits and legal limits.</w:t>
      </w:r>
    </w:p>
    <w:p w14:paraId="67F4D77C" w14:textId="77777777" w:rsidR="0044575F" w:rsidRPr="00604C75" w:rsidRDefault="0044575F" w:rsidP="00490153">
      <w:pPr>
        <w:spacing w:line="223" w:lineRule="auto"/>
        <w:ind w:hanging="1904"/>
        <w:jc w:val="both"/>
        <w:rPr>
          <w:noProof/>
          <w:sz w:val="16"/>
          <w:szCs w:val="16"/>
          <w:lang w:val="tr-TR"/>
        </w:rPr>
      </w:pPr>
    </w:p>
    <w:p w14:paraId="36FBA559" w14:textId="77777777" w:rsidR="0044134E" w:rsidRDefault="00E67636" w:rsidP="00490153">
      <w:pPr>
        <w:tabs>
          <w:tab w:val="left" w:pos="709"/>
        </w:tabs>
        <w:spacing w:before="120" w:line="223" w:lineRule="auto"/>
        <w:ind w:left="-210" w:hanging="1904"/>
        <w:jc w:val="both"/>
        <w:rPr>
          <w:noProof/>
          <w:sz w:val="20"/>
          <w:szCs w:val="20"/>
          <w:lang w:val="tr-TR"/>
        </w:rPr>
      </w:pPr>
      <w:r w:rsidRPr="00604C75">
        <w:rPr>
          <w:noProof/>
          <w:sz w:val="20"/>
          <w:szCs w:val="20"/>
          <w:lang w:val="tr-TR"/>
        </w:rPr>
        <w:t xml:space="preserve">                            </w:t>
      </w:r>
      <w:r w:rsidR="009F0F7E" w:rsidRPr="00604C75">
        <w:rPr>
          <w:noProof/>
          <w:sz w:val="20"/>
          <w:szCs w:val="20"/>
          <w:lang w:val="tr-TR"/>
        </w:rPr>
        <w:t xml:space="preserve">  </w:t>
      </w:r>
      <w:r w:rsidRPr="00604C75">
        <w:rPr>
          <w:noProof/>
          <w:sz w:val="20"/>
          <w:szCs w:val="20"/>
          <w:lang w:val="tr-TR"/>
        </w:rPr>
        <w:t xml:space="preserve"> </w:t>
      </w:r>
      <w:r w:rsidR="009F0F7E" w:rsidRPr="00604C75">
        <w:rPr>
          <w:noProof/>
          <w:sz w:val="20"/>
          <w:szCs w:val="20"/>
          <w:lang w:val="tr-TR"/>
        </w:rPr>
        <w:t xml:space="preserve"> </w:t>
      </w:r>
      <w:r w:rsidR="00485CE1" w:rsidRPr="00604C75">
        <w:rPr>
          <w:noProof/>
          <w:sz w:val="20"/>
          <w:szCs w:val="20"/>
          <w:lang w:val="tr-TR"/>
        </w:rPr>
        <w:t xml:space="preserve">        </w:t>
      </w:r>
      <w:r w:rsidR="009F0F7E" w:rsidRPr="00604C75">
        <w:rPr>
          <w:noProof/>
          <w:sz w:val="20"/>
          <w:szCs w:val="20"/>
          <w:lang w:val="tr-TR"/>
        </w:rPr>
        <w:t xml:space="preserve"> </w:t>
      </w:r>
      <w:r w:rsidRPr="00604C75">
        <w:rPr>
          <w:noProof/>
          <w:sz w:val="20"/>
          <w:szCs w:val="20"/>
          <w:lang w:val="tr-TR"/>
        </w:rPr>
        <w:t xml:space="preserve">7. </w:t>
      </w:r>
      <w:r w:rsidR="006D45E8" w:rsidRPr="00604C75">
        <w:rPr>
          <w:noProof/>
          <w:sz w:val="20"/>
          <w:szCs w:val="20"/>
          <w:lang w:val="tr-TR"/>
        </w:rPr>
        <w:t xml:space="preserve">   </w:t>
      </w:r>
      <w:r w:rsidR="0044575F" w:rsidRPr="00604C75">
        <w:rPr>
          <w:noProof/>
          <w:sz w:val="20"/>
          <w:szCs w:val="20"/>
          <w:lang w:val="tr-TR"/>
        </w:rPr>
        <w:t>Information on privileges given to shares representing the capital:</w:t>
      </w:r>
    </w:p>
    <w:p w14:paraId="654A9018" w14:textId="77777777" w:rsidR="002D253E" w:rsidRPr="00604C75" w:rsidRDefault="0044575F" w:rsidP="00490153">
      <w:pPr>
        <w:tabs>
          <w:tab w:val="left" w:pos="709"/>
        </w:tabs>
        <w:spacing w:before="120" w:line="223" w:lineRule="auto"/>
        <w:jc w:val="both"/>
        <w:rPr>
          <w:noProof/>
          <w:sz w:val="20"/>
          <w:szCs w:val="20"/>
          <w:lang w:val="tr-TR"/>
        </w:rPr>
      </w:pPr>
      <w:r w:rsidRPr="00604C75">
        <w:rPr>
          <w:noProof/>
          <w:sz w:val="20"/>
          <w:szCs w:val="20"/>
          <w:lang w:val="tr-TR"/>
        </w:rPr>
        <w:t>None.</w:t>
      </w:r>
    </w:p>
    <w:p w14:paraId="69AB4287" w14:textId="77777777" w:rsidR="00483779" w:rsidRPr="00604C75" w:rsidRDefault="00E67636" w:rsidP="00490153">
      <w:pPr>
        <w:tabs>
          <w:tab w:val="left" w:pos="709"/>
        </w:tabs>
        <w:spacing w:before="120" w:line="209" w:lineRule="auto"/>
        <w:jc w:val="both"/>
        <w:rPr>
          <w:noProof/>
          <w:sz w:val="20"/>
          <w:szCs w:val="20"/>
        </w:rPr>
      </w:pPr>
      <w:r w:rsidRPr="00604C75">
        <w:rPr>
          <w:sz w:val="20"/>
          <w:szCs w:val="20"/>
          <w:lang w:val="tr-TR"/>
        </w:rPr>
        <w:t xml:space="preserve">8. </w:t>
      </w:r>
      <w:r w:rsidR="006D45E8" w:rsidRPr="00604C75">
        <w:rPr>
          <w:sz w:val="20"/>
          <w:szCs w:val="20"/>
          <w:lang w:val="tr-TR"/>
        </w:rPr>
        <w:t xml:space="preserve">  </w:t>
      </w:r>
      <w:r w:rsidR="00483779" w:rsidRPr="00604C75">
        <w:rPr>
          <w:noProof/>
          <w:sz w:val="20"/>
          <w:szCs w:val="20"/>
        </w:rPr>
        <w:t>Information on marketable securities valuation reserve</w:t>
      </w:r>
    </w:p>
    <w:p w14:paraId="6A241792" w14:textId="77777777" w:rsidR="00483779" w:rsidRPr="00604C75" w:rsidRDefault="00483779" w:rsidP="00483779">
      <w:pPr>
        <w:tabs>
          <w:tab w:val="left" w:pos="2127"/>
        </w:tabs>
        <w:spacing w:line="209" w:lineRule="auto"/>
        <w:jc w:val="both"/>
        <w:rPr>
          <w:b/>
          <w:noProof/>
          <w:sz w:val="20"/>
          <w:szCs w:val="20"/>
        </w:rPr>
      </w:pPr>
    </w:p>
    <w:tbl>
      <w:tblPr>
        <w:tblW w:w="9338"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5292"/>
        <w:gridCol w:w="1133"/>
        <w:gridCol w:w="952"/>
        <w:gridCol w:w="981"/>
        <w:gridCol w:w="980"/>
      </w:tblGrid>
      <w:tr w:rsidR="00AE2935" w:rsidRPr="00604C75" w14:paraId="47E2FA02" w14:textId="77777777" w:rsidTr="00AD726D">
        <w:trPr>
          <w:trHeight w:val="255"/>
        </w:trPr>
        <w:tc>
          <w:tcPr>
            <w:tcW w:w="5292" w:type="dxa"/>
            <w:shd w:val="clear" w:color="auto" w:fill="auto"/>
            <w:noWrap/>
            <w:vAlign w:val="center"/>
            <w:hideMark/>
          </w:tcPr>
          <w:p w14:paraId="05A936C7" w14:textId="77777777" w:rsidR="00483779" w:rsidRPr="00604C75" w:rsidRDefault="00483779" w:rsidP="0064446F">
            <w:pPr>
              <w:tabs>
                <w:tab w:val="left" w:pos="0"/>
              </w:tabs>
              <w:rPr>
                <w:sz w:val="20"/>
                <w:szCs w:val="20"/>
              </w:rPr>
            </w:pPr>
          </w:p>
        </w:tc>
        <w:tc>
          <w:tcPr>
            <w:tcW w:w="2085" w:type="dxa"/>
            <w:gridSpan w:val="2"/>
            <w:shd w:val="clear" w:color="auto" w:fill="auto"/>
            <w:noWrap/>
            <w:vAlign w:val="bottom"/>
            <w:hideMark/>
          </w:tcPr>
          <w:p w14:paraId="47A711A3" w14:textId="77777777" w:rsidR="00483779" w:rsidRPr="00604C75" w:rsidRDefault="008021D8" w:rsidP="0087419A">
            <w:pPr>
              <w:tabs>
                <w:tab w:val="left" w:pos="0"/>
              </w:tabs>
              <w:jc w:val="center"/>
              <w:rPr>
                <w:b/>
                <w:bCs/>
                <w:sz w:val="18"/>
              </w:rPr>
            </w:pPr>
            <w:r>
              <w:rPr>
                <w:b/>
                <w:bCs/>
                <w:sz w:val="18"/>
                <w:szCs w:val="18"/>
              </w:rPr>
              <w:t xml:space="preserve">        </w:t>
            </w:r>
            <w:r>
              <w:rPr>
                <w:b/>
                <w:iCs/>
                <w:sz w:val="18"/>
              </w:rPr>
              <w:t>31 December</w:t>
            </w:r>
            <w:r w:rsidRPr="00604C75">
              <w:rPr>
                <w:b/>
                <w:iCs/>
                <w:sz w:val="18"/>
              </w:rPr>
              <w:t xml:space="preserve"> </w:t>
            </w:r>
            <w:r w:rsidRPr="00604C75">
              <w:rPr>
                <w:b/>
                <w:bCs/>
                <w:sz w:val="18"/>
                <w:szCs w:val="18"/>
              </w:rPr>
              <w:t>2015</w:t>
            </w:r>
          </w:p>
        </w:tc>
        <w:tc>
          <w:tcPr>
            <w:tcW w:w="1961" w:type="dxa"/>
            <w:gridSpan w:val="2"/>
            <w:shd w:val="clear" w:color="auto" w:fill="auto"/>
            <w:noWrap/>
            <w:vAlign w:val="bottom"/>
            <w:hideMark/>
          </w:tcPr>
          <w:p w14:paraId="6F5C6D88" w14:textId="77777777" w:rsidR="00483779" w:rsidRPr="00604C75" w:rsidRDefault="00483779" w:rsidP="00483779">
            <w:pPr>
              <w:tabs>
                <w:tab w:val="left" w:pos="0"/>
              </w:tabs>
              <w:jc w:val="center"/>
              <w:rPr>
                <w:b/>
                <w:bCs/>
                <w:sz w:val="18"/>
              </w:rPr>
            </w:pPr>
            <w:r w:rsidRPr="00604C75">
              <w:rPr>
                <w:b/>
                <w:bCs/>
                <w:sz w:val="18"/>
                <w:szCs w:val="18"/>
              </w:rPr>
              <w:t>31 December 2014</w:t>
            </w:r>
          </w:p>
        </w:tc>
      </w:tr>
      <w:tr w:rsidR="00AE2935" w:rsidRPr="00604C75" w14:paraId="7DAEED0A" w14:textId="77777777" w:rsidTr="00AD726D">
        <w:trPr>
          <w:trHeight w:val="255"/>
        </w:trPr>
        <w:tc>
          <w:tcPr>
            <w:tcW w:w="5292" w:type="dxa"/>
            <w:shd w:val="clear" w:color="auto" w:fill="auto"/>
            <w:noWrap/>
            <w:vAlign w:val="center"/>
            <w:hideMark/>
          </w:tcPr>
          <w:p w14:paraId="699E0573" w14:textId="77777777" w:rsidR="00483779" w:rsidRPr="00604C75" w:rsidRDefault="00483779" w:rsidP="0064446F">
            <w:pPr>
              <w:tabs>
                <w:tab w:val="left" w:pos="0"/>
              </w:tabs>
              <w:jc w:val="right"/>
              <w:rPr>
                <w:b/>
                <w:bCs/>
                <w:sz w:val="18"/>
                <w:szCs w:val="18"/>
              </w:rPr>
            </w:pPr>
          </w:p>
        </w:tc>
        <w:tc>
          <w:tcPr>
            <w:tcW w:w="1133" w:type="dxa"/>
            <w:shd w:val="clear" w:color="auto" w:fill="auto"/>
            <w:noWrap/>
            <w:vAlign w:val="center"/>
            <w:hideMark/>
          </w:tcPr>
          <w:p w14:paraId="6E440E1A" w14:textId="77777777" w:rsidR="00483779" w:rsidRPr="00604C75" w:rsidRDefault="001378DF" w:rsidP="0064446F">
            <w:pPr>
              <w:tabs>
                <w:tab w:val="left" w:pos="0"/>
              </w:tabs>
              <w:jc w:val="right"/>
              <w:rPr>
                <w:b/>
                <w:bCs/>
                <w:sz w:val="18"/>
                <w:szCs w:val="18"/>
              </w:rPr>
            </w:pPr>
            <w:r w:rsidRPr="00604C75">
              <w:rPr>
                <w:b/>
                <w:bCs/>
                <w:sz w:val="18"/>
                <w:szCs w:val="18"/>
              </w:rPr>
              <w:t>TL</w:t>
            </w:r>
          </w:p>
        </w:tc>
        <w:tc>
          <w:tcPr>
            <w:tcW w:w="952" w:type="dxa"/>
            <w:shd w:val="clear" w:color="auto" w:fill="auto"/>
            <w:noWrap/>
            <w:vAlign w:val="center"/>
            <w:hideMark/>
          </w:tcPr>
          <w:p w14:paraId="43DDE8EA" w14:textId="77777777" w:rsidR="00483779" w:rsidRPr="00604C75" w:rsidRDefault="001378DF" w:rsidP="0064446F">
            <w:pPr>
              <w:tabs>
                <w:tab w:val="left" w:pos="0"/>
              </w:tabs>
              <w:jc w:val="right"/>
              <w:rPr>
                <w:b/>
                <w:bCs/>
                <w:sz w:val="18"/>
                <w:szCs w:val="18"/>
              </w:rPr>
            </w:pPr>
            <w:r w:rsidRPr="00604C75">
              <w:rPr>
                <w:b/>
                <w:bCs/>
                <w:sz w:val="18"/>
                <w:szCs w:val="18"/>
              </w:rPr>
              <w:t>FC</w:t>
            </w:r>
          </w:p>
        </w:tc>
        <w:tc>
          <w:tcPr>
            <w:tcW w:w="981" w:type="dxa"/>
            <w:shd w:val="clear" w:color="auto" w:fill="auto"/>
            <w:noWrap/>
            <w:vAlign w:val="center"/>
            <w:hideMark/>
          </w:tcPr>
          <w:p w14:paraId="333D4162" w14:textId="77777777" w:rsidR="00483779" w:rsidRPr="00604C75" w:rsidRDefault="001378DF" w:rsidP="0064446F">
            <w:pPr>
              <w:tabs>
                <w:tab w:val="left" w:pos="0"/>
              </w:tabs>
              <w:jc w:val="right"/>
              <w:rPr>
                <w:b/>
                <w:bCs/>
                <w:sz w:val="18"/>
                <w:szCs w:val="18"/>
              </w:rPr>
            </w:pPr>
            <w:r w:rsidRPr="00604C75">
              <w:rPr>
                <w:b/>
                <w:bCs/>
                <w:sz w:val="18"/>
                <w:szCs w:val="18"/>
              </w:rPr>
              <w:t>TL</w:t>
            </w:r>
          </w:p>
        </w:tc>
        <w:tc>
          <w:tcPr>
            <w:tcW w:w="980" w:type="dxa"/>
            <w:shd w:val="clear" w:color="auto" w:fill="auto"/>
            <w:noWrap/>
            <w:vAlign w:val="center"/>
            <w:hideMark/>
          </w:tcPr>
          <w:p w14:paraId="5002276A" w14:textId="77777777" w:rsidR="00483779" w:rsidRPr="00604C75" w:rsidRDefault="001378DF" w:rsidP="0064446F">
            <w:pPr>
              <w:tabs>
                <w:tab w:val="left" w:pos="0"/>
              </w:tabs>
              <w:jc w:val="right"/>
              <w:rPr>
                <w:b/>
                <w:bCs/>
                <w:sz w:val="18"/>
                <w:szCs w:val="18"/>
              </w:rPr>
            </w:pPr>
            <w:r w:rsidRPr="00604C75">
              <w:rPr>
                <w:b/>
                <w:bCs/>
                <w:sz w:val="18"/>
                <w:szCs w:val="18"/>
              </w:rPr>
              <w:t>FC</w:t>
            </w:r>
          </w:p>
        </w:tc>
      </w:tr>
      <w:tr w:rsidR="00224102" w:rsidRPr="00604C75" w14:paraId="4287AA6A" w14:textId="77777777" w:rsidTr="00AD726D">
        <w:trPr>
          <w:trHeight w:val="255"/>
        </w:trPr>
        <w:tc>
          <w:tcPr>
            <w:tcW w:w="5292" w:type="dxa"/>
            <w:shd w:val="clear" w:color="auto" w:fill="auto"/>
            <w:noWrap/>
            <w:vAlign w:val="bottom"/>
          </w:tcPr>
          <w:p w14:paraId="3AC8892D" w14:textId="77777777" w:rsidR="00224102" w:rsidRPr="00604C75" w:rsidRDefault="00224102" w:rsidP="00224102">
            <w:pPr>
              <w:tabs>
                <w:tab w:val="left" w:pos="0"/>
              </w:tabs>
              <w:rPr>
                <w:sz w:val="18"/>
                <w:szCs w:val="18"/>
              </w:rPr>
            </w:pPr>
            <w:r w:rsidRPr="00604C75">
              <w:rPr>
                <w:rFonts w:eastAsia="Arial Unicode MS"/>
                <w:noProof/>
                <w:sz w:val="18"/>
                <w:szCs w:val="18"/>
              </w:rPr>
              <w:t xml:space="preserve">From Investments in Associates, </w:t>
            </w:r>
            <w:r w:rsidRPr="00604C75">
              <w:rPr>
                <w:noProof/>
                <w:sz w:val="18"/>
                <w:szCs w:val="18"/>
              </w:rPr>
              <w:t xml:space="preserve">Subsidiaries, and Joint Ventures </w:t>
            </w:r>
          </w:p>
        </w:tc>
        <w:tc>
          <w:tcPr>
            <w:tcW w:w="1133" w:type="dxa"/>
            <w:shd w:val="clear" w:color="auto" w:fill="auto"/>
            <w:noWrap/>
            <w:vAlign w:val="bottom"/>
          </w:tcPr>
          <w:p w14:paraId="3A435698" w14:textId="2764951F" w:rsidR="00224102" w:rsidRDefault="00224102" w:rsidP="00224102">
            <w:pPr>
              <w:jc w:val="right"/>
              <w:rPr>
                <w:sz w:val="18"/>
                <w:szCs w:val="18"/>
              </w:rPr>
            </w:pPr>
            <w:r>
              <w:rPr>
                <w:sz w:val="18"/>
                <w:szCs w:val="18"/>
              </w:rPr>
              <w:t>-</w:t>
            </w:r>
          </w:p>
        </w:tc>
        <w:tc>
          <w:tcPr>
            <w:tcW w:w="952" w:type="dxa"/>
            <w:shd w:val="clear" w:color="auto" w:fill="auto"/>
            <w:noWrap/>
            <w:vAlign w:val="bottom"/>
          </w:tcPr>
          <w:p w14:paraId="445DD77D" w14:textId="629F09DE" w:rsidR="00224102" w:rsidRDefault="00224102" w:rsidP="00224102">
            <w:pPr>
              <w:jc w:val="right"/>
              <w:rPr>
                <w:sz w:val="18"/>
                <w:szCs w:val="18"/>
              </w:rPr>
            </w:pPr>
            <w:r>
              <w:rPr>
                <w:sz w:val="18"/>
                <w:szCs w:val="18"/>
              </w:rPr>
              <w:t>-</w:t>
            </w:r>
          </w:p>
        </w:tc>
        <w:tc>
          <w:tcPr>
            <w:tcW w:w="981" w:type="dxa"/>
            <w:shd w:val="clear" w:color="auto" w:fill="auto"/>
            <w:noWrap/>
            <w:vAlign w:val="bottom"/>
            <w:hideMark/>
          </w:tcPr>
          <w:p w14:paraId="5F20C12E" w14:textId="66163EB4" w:rsidR="00224102" w:rsidRPr="00692926" w:rsidRDefault="00224102" w:rsidP="00224102">
            <w:pPr>
              <w:tabs>
                <w:tab w:val="left" w:pos="0"/>
              </w:tabs>
              <w:jc w:val="right"/>
              <w:rPr>
                <w:sz w:val="18"/>
                <w:szCs w:val="18"/>
              </w:rPr>
            </w:pPr>
            <w:r w:rsidRPr="00692926">
              <w:rPr>
                <w:sz w:val="18"/>
                <w:szCs w:val="18"/>
              </w:rPr>
              <w:t>-</w:t>
            </w:r>
          </w:p>
        </w:tc>
        <w:tc>
          <w:tcPr>
            <w:tcW w:w="980" w:type="dxa"/>
            <w:shd w:val="clear" w:color="auto" w:fill="auto"/>
            <w:noWrap/>
            <w:vAlign w:val="bottom"/>
            <w:hideMark/>
          </w:tcPr>
          <w:p w14:paraId="069FFBB3" w14:textId="3C885FA4" w:rsidR="00224102" w:rsidRPr="00692926" w:rsidRDefault="00224102" w:rsidP="00224102">
            <w:pPr>
              <w:tabs>
                <w:tab w:val="left" w:pos="0"/>
              </w:tabs>
              <w:jc w:val="right"/>
              <w:rPr>
                <w:sz w:val="18"/>
                <w:szCs w:val="18"/>
              </w:rPr>
            </w:pPr>
            <w:r w:rsidRPr="00692926">
              <w:rPr>
                <w:sz w:val="18"/>
                <w:szCs w:val="18"/>
              </w:rPr>
              <w:t>-</w:t>
            </w:r>
          </w:p>
        </w:tc>
      </w:tr>
      <w:tr w:rsidR="00224102" w:rsidRPr="00604C75" w14:paraId="5E927AFB" w14:textId="77777777" w:rsidTr="00AD726D">
        <w:trPr>
          <w:trHeight w:val="255"/>
        </w:trPr>
        <w:tc>
          <w:tcPr>
            <w:tcW w:w="5292" w:type="dxa"/>
            <w:shd w:val="clear" w:color="auto" w:fill="auto"/>
            <w:noWrap/>
            <w:vAlign w:val="bottom"/>
          </w:tcPr>
          <w:p w14:paraId="69A17AAC" w14:textId="77777777" w:rsidR="00224102" w:rsidRPr="00604C75" w:rsidRDefault="00224102" w:rsidP="00224102">
            <w:pPr>
              <w:tabs>
                <w:tab w:val="left" w:pos="0"/>
              </w:tabs>
              <w:rPr>
                <w:sz w:val="18"/>
                <w:szCs w:val="18"/>
              </w:rPr>
            </w:pPr>
            <w:r w:rsidRPr="00604C75">
              <w:rPr>
                <w:rFonts w:eastAsia="Arial Unicode MS"/>
                <w:noProof/>
                <w:sz w:val="18"/>
                <w:szCs w:val="18"/>
              </w:rPr>
              <w:t>Valuation Difference</w:t>
            </w:r>
          </w:p>
        </w:tc>
        <w:tc>
          <w:tcPr>
            <w:tcW w:w="1133" w:type="dxa"/>
            <w:shd w:val="clear" w:color="auto" w:fill="auto"/>
            <w:noWrap/>
            <w:vAlign w:val="bottom"/>
          </w:tcPr>
          <w:p w14:paraId="72EC1457" w14:textId="1CB44390" w:rsidR="00224102" w:rsidRDefault="00224102" w:rsidP="00224102">
            <w:pPr>
              <w:jc w:val="right"/>
              <w:rPr>
                <w:sz w:val="18"/>
                <w:szCs w:val="18"/>
              </w:rPr>
            </w:pPr>
            <w:r>
              <w:rPr>
                <w:sz w:val="18"/>
                <w:szCs w:val="18"/>
              </w:rPr>
              <w:t>(16,041)</w:t>
            </w:r>
          </w:p>
        </w:tc>
        <w:tc>
          <w:tcPr>
            <w:tcW w:w="952" w:type="dxa"/>
            <w:shd w:val="clear" w:color="auto" w:fill="auto"/>
            <w:noWrap/>
            <w:vAlign w:val="bottom"/>
          </w:tcPr>
          <w:p w14:paraId="65D5311C" w14:textId="2A3C70A4" w:rsidR="00224102" w:rsidRDefault="00224102" w:rsidP="00224102">
            <w:pPr>
              <w:jc w:val="right"/>
              <w:rPr>
                <w:sz w:val="18"/>
                <w:szCs w:val="18"/>
              </w:rPr>
            </w:pPr>
            <w:r>
              <w:rPr>
                <w:sz w:val="18"/>
                <w:szCs w:val="18"/>
              </w:rPr>
              <w:t>(11,396)</w:t>
            </w:r>
          </w:p>
        </w:tc>
        <w:tc>
          <w:tcPr>
            <w:tcW w:w="981" w:type="dxa"/>
            <w:shd w:val="clear" w:color="auto" w:fill="auto"/>
            <w:noWrap/>
            <w:vAlign w:val="bottom"/>
            <w:hideMark/>
          </w:tcPr>
          <w:p w14:paraId="3EC9E167" w14:textId="5C2A3902" w:rsidR="00224102" w:rsidRPr="00692926" w:rsidRDefault="00224102" w:rsidP="00224102">
            <w:pPr>
              <w:tabs>
                <w:tab w:val="left" w:pos="0"/>
              </w:tabs>
              <w:jc w:val="right"/>
              <w:rPr>
                <w:sz w:val="18"/>
                <w:szCs w:val="18"/>
              </w:rPr>
            </w:pPr>
            <w:r w:rsidRPr="00692926">
              <w:rPr>
                <w:sz w:val="18"/>
                <w:szCs w:val="18"/>
              </w:rPr>
              <w:t>(6,420)</w:t>
            </w:r>
          </w:p>
        </w:tc>
        <w:tc>
          <w:tcPr>
            <w:tcW w:w="980" w:type="dxa"/>
            <w:shd w:val="clear" w:color="auto" w:fill="auto"/>
            <w:noWrap/>
            <w:vAlign w:val="bottom"/>
            <w:hideMark/>
          </w:tcPr>
          <w:p w14:paraId="61D90B47" w14:textId="77806507" w:rsidR="00224102" w:rsidRPr="00692926" w:rsidRDefault="00224102" w:rsidP="00224102">
            <w:pPr>
              <w:tabs>
                <w:tab w:val="left" w:pos="0"/>
              </w:tabs>
              <w:jc w:val="right"/>
              <w:rPr>
                <w:sz w:val="18"/>
                <w:szCs w:val="18"/>
              </w:rPr>
            </w:pPr>
            <w:r w:rsidRPr="00692926">
              <w:rPr>
                <w:sz w:val="18"/>
                <w:szCs w:val="18"/>
              </w:rPr>
              <w:t>266</w:t>
            </w:r>
          </w:p>
        </w:tc>
      </w:tr>
      <w:tr w:rsidR="00224102" w:rsidRPr="00604C75" w14:paraId="31C650AB" w14:textId="77777777" w:rsidTr="00AD726D">
        <w:trPr>
          <w:trHeight w:val="255"/>
        </w:trPr>
        <w:tc>
          <w:tcPr>
            <w:tcW w:w="5292" w:type="dxa"/>
            <w:shd w:val="clear" w:color="auto" w:fill="auto"/>
            <w:noWrap/>
            <w:vAlign w:val="bottom"/>
          </w:tcPr>
          <w:p w14:paraId="3484E75F" w14:textId="77777777" w:rsidR="00224102" w:rsidRPr="00604C75" w:rsidRDefault="00224102" w:rsidP="00224102">
            <w:pPr>
              <w:tabs>
                <w:tab w:val="left" w:pos="0"/>
              </w:tabs>
              <w:rPr>
                <w:sz w:val="18"/>
                <w:szCs w:val="18"/>
              </w:rPr>
            </w:pPr>
            <w:r w:rsidRPr="00604C75">
              <w:rPr>
                <w:rFonts w:eastAsia="Arial Unicode MS"/>
                <w:noProof/>
                <w:sz w:val="18"/>
                <w:szCs w:val="18"/>
              </w:rPr>
              <w:t>Foreign Currency Difference</w:t>
            </w:r>
          </w:p>
        </w:tc>
        <w:tc>
          <w:tcPr>
            <w:tcW w:w="1133" w:type="dxa"/>
            <w:shd w:val="clear" w:color="auto" w:fill="auto"/>
            <w:noWrap/>
            <w:vAlign w:val="bottom"/>
          </w:tcPr>
          <w:p w14:paraId="69ACE879" w14:textId="7DAE62AA" w:rsidR="00224102" w:rsidRDefault="00224102" w:rsidP="00224102">
            <w:pPr>
              <w:jc w:val="right"/>
              <w:rPr>
                <w:sz w:val="18"/>
                <w:szCs w:val="18"/>
              </w:rPr>
            </w:pPr>
            <w:r>
              <w:rPr>
                <w:sz w:val="18"/>
                <w:szCs w:val="18"/>
              </w:rPr>
              <w:t>-</w:t>
            </w:r>
          </w:p>
        </w:tc>
        <w:tc>
          <w:tcPr>
            <w:tcW w:w="952" w:type="dxa"/>
            <w:shd w:val="clear" w:color="auto" w:fill="auto"/>
            <w:noWrap/>
            <w:vAlign w:val="bottom"/>
          </w:tcPr>
          <w:p w14:paraId="295F564E" w14:textId="39E4E4D7" w:rsidR="00224102" w:rsidRDefault="00224102" w:rsidP="00224102">
            <w:pPr>
              <w:jc w:val="right"/>
              <w:rPr>
                <w:sz w:val="18"/>
                <w:szCs w:val="18"/>
              </w:rPr>
            </w:pPr>
            <w:r>
              <w:rPr>
                <w:sz w:val="18"/>
                <w:szCs w:val="18"/>
              </w:rPr>
              <w:t>-</w:t>
            </w:r>
          </w:p>
        </w:tc>
        <w:tc>
          <w:tcPr>
            <w:tcW w:w="981" w:type="dxa"/>
            <w:shd w:val="clear" w:color="auto" w:fill="auto"/>
            <w:noWrap/>
            <w:vAlign w:val="bottom"/>
            <w:hideMark/>
          </w:tcPr>
          <w:p w14:paraId="497EBAD6" w14:textId="36697A60" w:rsidR="00224102" w:rsidRPr="00692926" w:rsidRDefault="00224102" w:rsidP="00224102">
            <w:pPr>
              <w:tabs>
                <w:tab w:val="left" w:pos="0"/>
              </w:tabs>
              <w:jc w:val="right"/>
              <w:rPr>
                <w:sz w:val="18"/>
                <w:szCs w:val="18"/>
              </w:rPr>
            </w:pPr>
            <w:r w:rsidRPr="00692926">
              <w:rPr>
                <w:sz w:val="18"/>
                <w:szCs w:val="18"/>
              </w:rPr>
              <w:t>-</w:t>
            </w:r>
          </w:p>
        </w:tc>
        <w:tc>
          <w:tcPr>
            <w:tcW w:w="980" w:type="dxa"/>
            <w:shd w:val="clear" w:color="auto" w:fill="auto"/>
            <w:noWrap/>
            <w:vAlign w:val="bottom"/>
            <w:hideMark/>
          </w:tcPr>
          <w:p w14:paraId="1DD28F0B" w14:textId="1987DA4E" w:rsidR="00224102" w:rsidRPr="00692926" w:rsidRDefault="00224102" w:rsidP="00224102">
            <w:pPr>
              <w:tabs>
                <w:tab w:val="left" w:pos="0"/>
              </w:tabs>
              <w:jc w:val="right"/>
              <w:rPr>
                <w:sz w:val="18"/>
                <w:szCs w:val="18"/>
              </w:rPr>
            </w:pPr>
            <w:r w:rsidRPr="00692926">
              <w:rPr>
                <w:sz w:val="18"/>
                <w:szCs w:val="18"/>
              </w:rPr>
              <w:t>-</w:t>
            </w:r>
          </w:p>
        </w:tc>
      </w:tr>
      <w:tr w:rsidR="00224102" w:rsidRPr="00604C75" w14:paraId="39B9D8B6" w14:textId="77777777" w:rsidTr="00AD726D">
        <w:trPr>
          <w:trHeight w:val="255"/>
        </w:trPr>
        <w:tc>
          <w:tcPr>
            <w:tcW w:w="5292" w:type="dxa"/>
            <w:shd w:val="clear" w:color="auto" w:fill="auto"/>
            <w:noWrap/>
            <w:vAlign w:val="bottom"/>
          </w:tcPr>
          <w:p w14:paraId="20118864" w14:textId="77777777" w:rsidR="00224102" w:rsidRPr="00604C75" w:rsidRDefault="00224102" w:rsidP="00224102">
            <w:pPr>
              <w:tabs>
                <w:tab w:val="left" w:pos="0"/>
              </w:tabs>
              <w:rPr>
                <w:b/>
                <w:bCs/>
                <w:sz w:val="18"/>
                <w:szCs w:val="18"/>
              </w:rPr>
            </w:pPr>
            <w:r w:rsidRPr="00604C75">
              <w:rPr>
                <w:rFonts w:eastAsia="Arial Unicode MS"/>
                <w:b/>
                <w:noProof/>
                <w:sz w:val="18"/>
                <w:szCs w:val="18"/>
              </w:rPr>
              <w:t>Total</w:t>
            </w:r>
          </w:p>
        </w:tc>
        <w:tc>
          <w:tcPr>
            <w:tcW w:w="1133" w:type="dxa"/>
            <w:shd w:val="clear" w:color="auto" w:fill="auto"/>
            <w:noWrap/>
            <w:vAlign w:val="bottom"/>
          </w:tcPr>
          <w:p w14:paraId="5BAA16C1" w14:textId="133B915C" w:rsidR="00224102" w:rsidRPr="008962C1" w:rsidRDefault="00224102" w:rsidP="00224102">
            <w:pPr>
              <w:jc w:val="right"/>
              <w:rPr>
                <w:b/>
                <w:sz w:val="18"/>
                <w:szCs w:val="18"/>
              </w:rPr>
            </w:pPr>
            <w:r w:rsidRPr="008962C1">
              <w:rPr>
                <w:b/>
                <w:sz w:val="18"/>
                <w:szCs w:val="18"/>
              </w:rPr>
              <w:t>(16,041)</w:t>
            </w:r>
          </w:p>
        </w:tc>
        <w:tc>
          <w:tcPr>
            <w:tcW w:w="952" w:type="dxa"/>
            <w:shd w:val="clear" w:color="auto" w:fill="auto"/>
            <w:noWrap/>
            <w:vAlign w:val="bottom"/>
          </w:tcPr>
          <w:p w14:paraId="2737CD52" w14:textId="29215F06" w:rsidR="00224102" w:rsidRPr="008962C1" w:rsidRDefault="00224102" w:rsidP="00224102">
            <w:pPr>
              <w:jc w:val="right"/>
              <w:rPr>
                <w:b/>
                <w:sz w:val="18"/>
                <w:szCs w:val="18"/>
              </w:rPr>
            </w:pPr>
            <w:r w:rsidRPr="008962C1">
              <w:rPr>
                <w:b/>
                <w:sz w:val="18"/>
                <w:szCs w:val="18"/>
              </w:rPr>
              <w:t>(11,396)</w:t>
            </w:r>
          </w:p>
        </w:tc>
        <w:tc>
          <w:tcPr>
            <w:tcW w:w="981" w:type="dxa"/>
            <w:shd w:val="clear" w:color="auto" w:fill="auto"/>
            <w:noWrap/>
            <w:vAlign w:val="bottom"/>
            <w:hideMark/>
          </w:tcPr>
          <w:p w14:paraId="22CC8926" w14:textId="47A0F6F9" w:rsidR="00224102" w:rsidRPr="00692926" w:rsidRDefault="00224102" w:rsidP="00224102">
            <w:pPr>
              <w:tabs>
                <w:tab w:val="left" w:pos="0"/>
              </w:tabs>
              <w:jc w:val="right"/>
              <w:rPr>
                <w:b/>
                <w:bCs/>
                <w:sz w:val="18"/>
                <w:szCs w:val="18"/>
              </w:rPr>
            </w:pPr>
            <w:r w:rsidRPr="00692926">
              <w:rPr>
                <w:b/>
                <w:bCs/>
                <w:sz w:val="18"/>
                <w:szCs w:val="18"/>
              </w:rPr>
              <w:t>(6,420)</w:t>
            </w:r>
          </w:p>
        </w:tc>
        <w:tc>
          <w:tcPr>
            <w:tcW w:w="980" w:type="dxa"/>
            <w:shd w:val="clear" w:color="auto" w:fill="auto"/>
            <w:noWrap/>
            <w:vAlign w:val="bottom"/>
            <w:hideMark/>
          </w:tcPr>
          <w:p w14:paraId="1BB63FCA" w14:textId="0BA96A61" w:rsidR="00224102" w:rsidRPr="00692926" w:rsidRDefault="00224102" w:rsidP="00224102">
            <w:pPr>
              <w:tabs>
                <w:tab w:val="left" w:pos="0"/>
              </w:tabs>
              <w:jc w:val="right"/>
              <w:rPr>
                <w:b/>
                <w:bCs/>
                <w:sz w:val="18"/>
                <w:szCs w:val="18"/>
              </w:rPr>
            </w:pPr>
            <w:r w:rsidRPr="00692926">
              <w:rPr>
                <w:b/>
                <w:bCs/>
                <w:sz w:val="18"/>
                <w:szCs w:val="18"/>
              </w:rPr>
              <w:t>266</w:t>
            </w:r>
          </w:p>
        </w:tc>
      </w:tr>
    </w:tbl>
    <w:p w14:paraId="1DAA3934" w14:textId="77777777" w:rsidR="00483779" w:rsidRPr="00604C75" w:rsidRDefault="00483779" w:rsidP="001161E8">
      <w:pPr>
        <w:pStyle w:val="BodyTextIndent"/>
        <w:spacing w:before="120"/>
        <w:ind w:left="0"/>
        <w:jc w:val="both"/>
        <w:rPr>
          <w:sz w:val="20"/>
          <w:szCs w:val="20"/>
          <w:lang w:val="tr-TR"/>
        </w:rPr>
      </w:pPr>
      <w:r w:rsidRPr="00604C75">
        <w:rPr>
          <w:sz w:val="20"/>
          <w:szCs w:val="20"/>
          <w:lang w:val="tr-TR"/>
        </w:rPr>
        <w:t xml:space="preserve">9. </w:t>
      </w:r>
      <w:r w:rsidR="006D45E8" w:rsidRPr="00604C75">
        <w:rPr>
          <w:sz w:val="20"/>
          <w:szCs w:val="20"/>
          <w:lang w:val="tr-TR"/>
        </w:rPr>
        <w:t xml:space="preserve">        </w:t>
      </w:r>
      <w:r w:rsidRPr="00604C75">
        <w:rPr>
          <w:sz w:val="20"/>
          <w:szCs w:val="20"/>
          <w:lang w:val="tr-TR"/>
        </w:rPr>
        <w:t>Information of the previous year profit distribution</w:t>
      </w:r>
    </w:p>
    <w:p w14:paraId="26613E62" w14:textId="4D5510F0" w:rsidR="002227E0" w:rsidRPr="00604C75" w:rsidRDefault="00BD412B" w:rsidP="00AD726D">
      <w:pPr>
        <w:jc w:val="both"/>
        <w:rPr>
          <w:sz w:val="20"/>
          <w:szCs w:val="20"/>
        </w:rPr>
      </w:pPr>
      <w:r w:rsidRPr="00BD412B">
        <w:rPr>
          <w:sz w:val="20"/>
          <w:szCs w:val="20"/>
        </w:rPr>
        <w:t xml:space="preserve">Parent profit distribution for the year 2015 </w:t>
      </w:r>
      <w:r>
        <w:rPr>
          <w:sz w:val="20"/>
          <w:szCs w:val="20"/>
        </w:rPr>
        <w:t xml:space="preserve">was not </w:t>
      </w:r>
      <w:r w:rsidR="001161E8">
        <w:rPr>
          <w:sz w:val="20"/>
          <w:szCs w:val="20"/>
        </w:rPr>
        <w:t xml:space="preserve">yet </w:t>
      </w:r>
      <w:r w:rsidRPr="00BD412B">
        <w:rPr>
          <w:sz w:val="20"/>
          <w:szCs w:val="20"/>
        </w:rPr>
        <w:t xml:space="preserve">prepared </w:t>
      </w:r>
      <w:r>
        <w:rPr>
          <w:sz w:val="20"/>
          <w:szCs w:val="20"/>
        </w:rPr>
        <w:t xml:space="preserve">yet </w:t>
      </w:r>
      <w:r w:rsidRPr="00BD412B">
        <w:rPr>
          <w:sz w:val="20"/>
          <w:szCs w:val="20"/>
        </w:rPr>
        <w:t xml:space="preserve">by the Board </w:t>
      </w:r>
      <w:r>
        <w:rPr>
          <w:sz w:val="20"/>
          <w:szCs w:val="20"/>
        </w:rPr>
        <w:t>of Directors of the</w:t>
      </w:r>
      <w:r w:rsidR="002C3B01">
        <w:rPr>
          <w:sz w:val="20"/>
          <w:szCs w:val="20"/>
        </w:rPr>
        <w:t xml:space="preserve"> Parent</w:t>
      </w:r>
      <w:r>
        <w:rPr>
          <w:sz w:val="20"/>
          <w:szCs w:val="20"/>
        </w:rPr>
        <w:t xml:space="preserve"> Bank</w:t>
      </w:r>
      <w:r w:rsidRPr="00BD412B">
        <w:rPr>
          <w:sz w:val="20"/>
          <w:szCs w:val="20"/>
        </w:rPr>
        <w:t xml:space="preserve">, </w:t>
      </w:r>
      <w:r>
        <w:rPr>
          <w:sz w:val="20"/>
          <w:szCs w:val="20"/>
        </w:rPr>
        <w:t xml:space="preserve">therefore </w:t>
      </w:r>
      <w:r w:rsidRPr="00BD412B">
        <w:rPr>
          <w:sz w:val="20"/>
          <w:szCs w:val="20"/>
        </w:rPr>
        <w:t>the amount of distributable profit for 2015 is undecided.</w:t>
      </w:r>
    </w:p>
    <w:p w14:paraId="7BA2FBCE" w14:textId="77777777" w:rsidR="00D63489" w:rsidRPr="00604C75" w:rsidRDefault="00D63489" w:rsidP="006D45E8">
      <w:pPr>
        <w:tabs>
          <w:tab w:val="num" w:pos="709"/>
        </w:tabs>
        <w:spacing w:line="209" w:lineRule="auto"/>
        <w:rPr>
          <w:sz w:val="16"/>
          <w:szCs w:val="16"/>
        </w:rPr>
      </w:pPr>
    </w:p>
    <w:p w14:paraId="36A3159B" w14:textId="77777777" w:rsidR="00FF2731" w:rsidRPr="00604C75" w:rsidRDefault="00FF2731" w:rsidP="008477F3">
      <w:pPr>
        <w:pStyle w:val="ListParagraph"/>
        <w:numPr>
          <w:ilvl w:val="0"/>
          <w:numId w:val="76"/>
        </w:numPr>
        <w:ind w:left="616" w:hanging="588"/>
        <w:rPr>
          <w:b/>
          <w:sz w:val="20"/>
          <w:szCs w:val="20"/>
        </w:rPr>
      </w:pPr>
      <w:r w:rsidRPr="00604C75">
        <w:rPr>
          <w:b/>
          <w:bCs/>
          <w:sz w:val="20"/>
          <w:szCs w:val="20"/>
        </w:rPr>
        <w:t>In</w:t>
      </w:r>
      <w:r w:rsidR="005F177C" w:rsidRPr="00604C75">
        <w:rPr>
          <w:b/>
          <w:bCs/>
          <w:sz w:val="20"/>
          <w:szCs w:val="20"/>
        </w:rPr>
        <w:t>formation on minority interests</w:t>
      </w:r>
    </w:p>
    <w:p w14:paraId="2980BA3F" w14:textId="77777777" w:rsidR="00FF2731" w:rsidRPr="00604C75" w:rsidRDefault="00FF2731" w:rsidP="00485CE1">
      <w:pPr>
        <w:pStyle w:val="ListParagraph"/>
        <w:tabs>
          <w:tab w:val="num" w:pos="709"/>
        </w:tabs>
        <w:spacing w:line="209" w:lineRule="auto"/>
        <w:ind w:left="1636" w:hanging="1495"/>
        <w:rPr>
          <w:sz w:val="16"/>
          <w:szCs w:val="16"/>
        </w:rPr>
      </w:pPr>
    </w:p>
    <w:tbl>
      <w:tblPr>
        <w:tblW w:w="9337" w:type="dxa"/>
        <w:tblInd w:w="2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222"/>
        <w:gridCol w:w="2114"/>
        <w:gridCol w:w="2001"/>
      </w:tblGrid>
      <w:tr w:rsidR="006D45E8" w:rsidRPr="00604C75" w14:paraId="55C3B1D0" w14:textId="77777777" w:rsidTr="00CD0767">
        <w:trPr>
          <w:trHeight w:val="284"/>
        </w:trPr>
        <w:tc>
          <w:tcPr>
            <w:tcW w:w="5222" w:type="dxa"/>
            <w:vAlign w:val="center"/>
          </w:tcPr>
          <w:p w14:paraId="4A75BBAF" w14:textId="77777777" w:rsidR="006D45E8" w:rsidRPr="00604C75" w:rsidRDefault="006D45E8" w:rsidP="0064446F">
            <w:pPr>
              <w:tabs>
                <w:tab w:val="left" w:pos="0"/>
              </w:tabs>
              <w:rPr>
                <w:rFonts w:eastAsia="Arial Unicode MS"/>
                <w:sz w:val="18"/>
              </w:rPr>
            </w:pPr>
          </w:p>
        </w:tc>
        <w:tc>
          <w:tcPr>
            <w:tcW w:w="2114" w:type="dxa"/>
            <w:vAlign w:val="bottom"/>
          </w:tcPr>
          <w:p w14:paraId="21ADF647" w14:textId="77777777" w:rsidR="006D45E8" w:rsidRPr="00604C75" w:rsidRDefault="008021D8" w:rsidP="00CD0767">
            <w:pPr>
              <w:tabs>
                <w:tab w:val="left" w:pos="0"/>
              </w:tabs>
              <w:ind w:right="28"/>
              <w:jc w:val="center"/>
              <w:rPr>
                <w:b/>
                <w:bCs/>
                <w:sz w:val="18"/>
              </w:rPr>
            </w:pPr>
            <w:r>
              <w:rPr>
                <w:b/>
                <w:iCs/>
                <w:sz w:val="18"/>
              </w:rPr>
              <w:t>31 December</w:t>
            </w:r>
            <w:r w:rsidRPr="00604C75">
              <w:rPr>
                <w:b/>
                <w:iCs/>
                <w:sz w:val="18"/>
              </w:rPr>
              <w:t xml:space="preserve"> </w:t>
            </w:r>
            <w:r w:rsidRPr="00604C75">
              <w:rPr>
                <w:b/>
                <w:bCs/>
                <w:sz w:val="18"/>
                <w:szCs w:val="18"/>
              </w:rPr>
              <w:t>2015</w:t>
            </w:r>
          </w:p>
        </w:tc>
        <w:tc>
          <w:tcPr>
            <w:tcW w:w="2001" w:type="dxa"/>
            <w:vAlign w:val="bottom"/>
          </w:tcPr>
          <w:p w14:paraId="29CDC322" w14:textId="77777777" w:rsidR="006D45E8" w:rsidRPr="00604C75" w:rsidRDefault="00AE2935" w:rsidP="00CD0767">
            <w:pPr>
              <w:tabs>
                <w:tab w:val="left" w:pos="0"/>
              </w:tabs>
              <w:ind w:right="28"/>
              <w:jc w:val="center"/>
              <w:rPr>
                <w:b/>
                <w:bCs/>
                <w:sz w:val="18"/>
              </w:rPr>
            </w:pPr>
            <w:r w:rsidRPr="00604C75">
              <w:rPr>
                <w:b/>
                <w:bCs/>
                <w:sz w:val="18"/>
                <w:szCs w:val="18"/>
              </w:rPr>
              <w:t>31 December 2014</w:t>
            </w:r>
          </w:p>
        </w:tc>
      </w:tr>
      <w:tr w:rsidR="00224102" w:rsidRPr="00604C75" w14:paraId="2DB7CB94" w14:textId="77777777" w:rsidTr="00F77D55">
        <w:trPr>
          <w:trHeight w:val="284"/>
        </w:trPr>
        <w:tc>
          <w:tcPr>
            <w:tcW w:w="5222" w:type="dxa"/>
            <w:vAlign w:val="center"/>
          </w:tcPr>
          <w:p w14:paraId="4F8956D2"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after="0"/>
              <w:rPr>
                <w:rFonts w:eastAsia="Times New Roman"/>
                <w:b/>
              </w:rPr>
            </w:pPr>
            <w:r w:rsidRPr="00604C75">
              <w:rPr>
                <w:rFonts w:eastAsia="Times New Roman"/>
                <w:b/>
                <w:lang w:val="en-US"/>
              </w:rPr>
              <w:t>Balance at the Beginning of the Period</w:t>
            </w:r>
          </w:p>
        </w:tc>
        <w:tc>
          <w:tcPr>
            <w:tcW w:w="2114" w:type="dxa"/>
            <w:vAlign w:val="center"/>
          </w:tcPr>
          <w:p w14:paraId="62D4A375" w14:textId="00B50859" w:rsidR="00224102" w:rsidRPr="00692926" w:rsidRDefault="00224102" w:rsidP="00224102">
            <w:pPr>
              <w:tabs>
                <w:tab w:val="left" w:pos="0"/>
              </w:tabs>
              <w:ind w:right="25"/>
              <w:jc w:val="right"/>
              <w:rPr>
                <w:rFonts w:eastAsia="Arial Unicode MS"/>
                <w:b/>
                <w:sz w:val="18"/>
              </w:rPr>
            </w:pPr>
            <w:r w:rsidRPr="00692926">
              <w:rPr>
                <w:rFonts w:eastAsia="Arial Unicode MS"/>
                <w:b/>
                <w:sz w:val="18"/>
              </w:rPr>
              <w:t>9,214</w:t>
            </w:r>
          </w:p>
        </w:tc>
        <w:tc>
          <w:tcPr>
            <w:tcW w:w="2001" w:type="dxa"/>
            <w:vAlign w:val="center"/>
          </w:tcPr>
          <w:p w14:paraId="128FB24C" w14:textId="7F753330" w:rsidR="00224102" w:rsidRPr="00692926" w:rsidRDefault="00224102" w:rsidP="00224102">
            <w:pPr>
              <w:tabs>
                <w:tab w:val="left" w:pos="0"/>
              </w:tabs>
              <w:ind w:right="25"/>
              <w:jc w:val="right"/>
              <w:rPr>
                <w:rFonts w:eastAsia="Arial Unicode MS"/>
                <w:b/>
                <w:sz w:val="18"/>
              </w:rPr>
            </w:pPr>
            <w:r w:rsidRPr="00692926">
              <w:rPr>
                <w:rFonts w:eastAsia="Arial Unicode MS"/>
                <w:b/>
                <w:sz w:val="18"/>
              </w:rPr>
              <w:t>10,753</w:t>
            </w:r>
          </w:p>
        </w:tc>
      </w:tr>
      <w:tr w:rsidR="00224102" w:rsidRPr="00604C75" w14:paraId="3FC17330" w14:textId="77777777" w:rsidTr="00F77D55">
        <w:trPr>
          <w:trHeight w:val="284"/>
        </w:trPr>
        <w:tc>
          <w:tcPr>
            <w:tcW w:w="5222" w:type="dxa"/>
            <w:vAlign w:val="center"/>
          </w:tcPr>
          <w:p w14:paraId="7F09A88E" w14:textId="495D9F7D" w:rsidR="00224102" w:rsidRPr="00604C75" w:rsidRDefault="00224102" w:rsidP="00224102">
            <w:pPr>
              <w:tabs>
                <w:tab w:val="left" w:pos="0"/>
              </w:tabs>
              <w:rPr>
                <w:rFonts w:eastAsia="Arial Unicode MS"/>
                <w:sz w:val="18"/>
              </w:rPr>
            </w:pPr>
            <w:r w:rsidRPr="00604C75">
              <w:rPr>
                <w:sz w:val="18"/>
                <w:szCs w:val="18"/>
              </w:rPr>
              <w:t xml:space="preserve">Current </w:t>
            </w:r>
            <w:r>
              <w:rPr>
                <w:sz w:val="18"/>
                <w:szCs w:val="18"/>
              </w:rPr>
              <w:t>Y</w:t>
            </w:r>
            <w:r w:rsidRPr="00604C75">
              <w:rPr>
                <w:sz w:val="18"/>
                <w:szCs w:val="18"/>
              </w:rPr>
              <w:t xml:space="preserve">ear </w:t>
            </w:r>
            <w:r>
              <w:rPr>
                <w:sz w:val="18"/>
                <w:szCs w:val="18"/>
              </w:rPr>
              <w:t>I</w:t>
            </w:r>
            <w:r w:rsidRPr="00604C75">
              <w:rPr>
                <w:sz w:val="18"/>
                <w:szCs w:val="18"/>
              </w:rPr>
              <w:t>ncome</w:t>
            </w:r>
          </w:p>
        </w:tc>
        <w:tc>
          <w:tcPr>
            <w:tcW w:w="2114" w:type="dxa"/>
            <w:vAlign w:val="center"/>
          </w:tcPr>
          <w:p w14:paraId="30944DD7" w14:textId="1425E317" w:rsidR="00224102" w:rsidRPr="00692926" w:rsidRDefault="00224102" w:rsidP="00224102">
            <w:pPr>
              <w:tabs>
                <w:tab w:val="left" w:pos="0"/>
              </w:tabs>
              <w:ind w:right="25"/>
              <w:jc w:val="right"/>
              <w:rPr>
                <w:rFonts w:eastAsia="Arial Unicode MS"/>
                <w:sz w:val="18"/>
              </w:rPr>
            </w:pPr>
            <w:r>
              <w:rPr>
                <w:rFonts w:eastAsia="Arial Unicode MS"/>
                <w:sz w:val="18"/>
              </w:rPr>
              <w:t>(1)</w:t>
            </w:r>
          </w:p>
        </w:tc>
        <w:tc>
          <w:tcPr>
            <w:tcW w:w="2001" w:type="dxa"/>
            <w:vAlign w:val="center"/>
          </w:tcPr>
          <w:p w14:paraId="447B0D7E" w14:textId="7FF4E57C" w:rsidR="00224102" w:rsidRPr="00692926" w:rsidRDefault="00224102" w:rsidP="00224102">
            <w:pPr>
              <w:tabs>
                <w:tab w:val="left" w:pos="0"/>
              </w:tabs>
              <w:ind w:right="25"/>
              <w:jc w:val="right"/>
              <w:rPr>
                <w:rFonts w:eastAsia="Arial Unicode MS"/>
                <w:sz w:val="18"/>
              </w:rPr>
            </w:pPr>
            <w:r w:rsidRPr="00692926">
              <w:rPr>
                <w:rFonts w:eastAsia="Arial Unicode MS"/>
                <w:sz w:val="18"/>
              </w:rPr>
              <w:t>232</w:t>
            </w:r>
          </w:p>
        </w:tc>
      </w:tr>
      <w:tr w:rsidR="00224102" w:rsidRPr="00604C75" w14:paraId="1F65719B" w14:textId="77777777" w:rsidTr="00F77D55">
        <w:trPr>
          <w:trHeight w:val="284"/>
        </w:trPr>
        <w:tc>
          <w:tcPr>
            <w:tcW w:w="5222" w:type="dxa"/>
            <w:vAlign w:val="center"/>
          </w:tcPr>
          <w:p w14:paraId="7B6CDF29" w14:textId="27BC5E3F" w:rsidR="00224102" w:rsidRPr="00604C75" w:rsidRDefault="00224102" w:rsidP="00224102">
            <w:pPr>
              <w:tabs>
                <w:tab w:val="left" w:pos="0"/>
              </w:tabs>
              <w:rPr>
                <w:sz w:val="18"/>
              </w:rPr>
            </w:pPr>
            <w:r w:rsidRPr="00604C75">
              <w:rPr>
                <w:sz w:val="18"/>
                <w:szCs w:val="18"/>
              </w:rPr>
              <w:t xml:space="preserve">Dividends </w:t>
            </w:r>
            <w:r>
              <w:rPr>
                <w:sz w:val="18"/>
                <w:szCs w:val="18"/>
              </w:rPr>
              <w:t>P</w:t>
            </w:r>
            <w:r w:rsidRPr="00604C75">
              <w:rPr>
                <w:sz w:val="18"/>
                <w:szCs w:val="18"/>
              </w:rPr>
              <w:t>aid</w:t>
            </w:r>
          </w:p>
        </w:tc>
        <w:tc>
          <w:tcPr>
            <w:tcW w:w="2114" w:type="dxa"/>
            <w:vAlign w:val="center"/>
          </w:tcPr>
          <w:p w14:paraId="1ABA2939" w14:textId="41D8DB85" w:rsidR="00224102" w:rsidRPr="00692926" w:rsidRDefault="00224102" w:rsidP="00224102">
            <w:pPr>
              <w:tabs>
                <w:tab w:val="left" w:pos="0"/>
              </w:tabs>
              <w:ind w:right="25"/>
              <w:jc w:val="right"/>
              <w:rPr>
                <w:rFonts w:eastAsia="Arial Unicode MS"/>
                <w:sz w:val="18"/>
              </w:rPr>
            </w:pPr>
            <w:r>
              <w:rPr>
                <w:rFonts w:eastAsia="Arial Unicode MS"/>
                <w:sz w:val="18"/>
              </w:rPr>
              <w:t>-</w:t>
            </w:r>
          </w:p>
        </w:tc>
        <w:tc>
          <w:tcPr>
            <w:tcW w:w="2001" w:type="dxa"/>
            <w:vAlign w:val="center"/>
          </w:tcPr>
          <w:p w14:paraId="72CC36F6" w14:textId="07DD5157" w:rsidR="00224102" w:rsidRPr="00692926" w:rsidRDefault="00224102" w:rsidP="00224102">
            <w:pPr>
              <w:tabs>
                <w:tab w:val="left" w:pos="0"/>
              </w:tabs>
              <w:ind w:right="25"/>
              <w:jc w:val="right"/>
              <w:rPr>
                <w:rFonts w:eastAsia="Arial Unicode MS"/>
                <w:sz w:val="18"/>
              </w:rPr>
            </w:pPr>
            <w:r w:rsidRPr="00692926">
              <w:rPr>
                <w:rFonts w:eastAsia="Arial Unicode MS"/>
                <w:sz w:val="18"/>
              </w:rPr>
              <w:t>-</w:t>
            </w:r>
          </w:p>
        </w:tc>
      </w:tr>
      <w:tr w:rsidR="00224102" w:rsidRPr="00604C75" w14:paraId="172EAB3A" w14:textId="77777777" w:rsidTr="00F77D55">
        <w:trPr>
          <w:trHeight w:val="284"/>
        </w:trPr>
        <w:tc>
          <w:tcPr>
            <w:tcW w:w="5222" w:type="dxa"/>
            <w:vAlign w:val="center"/>
          </w:tcPr>
          <w:p w14:paraId="11C41310" w14:textId="239E2E61" w:rsidR="00224102" w:rsidRPr="00604C75" w:rsidRDefault="00224102" w:rsidP="00224102">
            <w:pPr>
              <w:tabs>
                <w:tab w:val="left" w:pos="0"/>
              </w:tabs>
              <w:rPr>
                <w:rFonts w:eastAsia="Arial Unicode MS"/>
                <w:sz w:val="18"/>
              </w:rPr>
            </w:pPr>
            <w:r w:rsidRPr="00604C75">
              <w:rPr>
                <w:sz w:val="18"/>
                <w:szCs w:val="18"/>
              </w:rPr>
              <w:t xml:space="preserve">Purchase from </w:t>
            </w:r>
            <w:r>
              <w:rPr>
                <w:sz w:val="18"/>
                <w:szCs w:val="18"/>
              </w:rPr>
              <w:t>M</w:t>
            </w:r>
            <w:r w:rsidRPr="00604C75">
              <w:rPr>
                <w:sz w:val="18"/>
                <w:szCs w:val="18"/>
              </w:rPr>
              <w:t xml:space="preserve">inority </w:t>
            </w:r>
            <w:r>
              <w:rPr>
                <w:sz w:val="18"/>
                <w:szCs w:val="18"/>
              </w:rPr>
              <w:t>I</w:t>
            </w:r>
            <w:r w:rsidRPr="00604C75">
              <w:rPr>
                <w:sz w:val="18"/>
                <w:szCs w:val="18"/>
              </w:rPr>
              <w:t>nterests</w:t>
            </w:r>
          </w:p>
        </w:tc>
        <w:tc>
          <w:tcPr>
            <w:tcW w:w="2114" w:type="dxa"/>
            <w:vAlign w:val="center"/>
          </w:tcPr>
          <w:p w14:paraId="2A1C18CB" w14:textId="48EED7EF" w:rsidR="00224102" w:rsidRPr="00692926" w:rsidRDefault="00224102" w:rsidP="00224102">
            <w:pPr>
              <w:tabs>
                <w:tab w:val="left" w:pos="0"/>
              </w:tabs>
              <w:ind w:right="25"/>
              <w:jc w:val="right"/>
              <w:rPr>
                <w:rFonts w:eastAsia="Arial Unicode MS"/>
                <w:sz w:val="18"/>
              </w:rPr>
            </w:pPr>
            <w:r>
              <w:rPr>
                <w:rFonts w:eastAsia="Arial Unicode MS"/>
                <w:sz w:val="18"/>
              </w:rPr>
              <w:t>-</w:t>
            </w:r>
          </w:p>
        </w:tc>
        <w:tc>
          <w:tcPr>
            <w:tcW w:w="2001" w:type="dxa"/>
            <w:vAlign w:val="center"/>
          </w:tcPr>
          <w:p w14:paraId="12EFDE45" w14:textId="37E44A53" w:rsidR="00224102" w:rsidRPr="00692926" w:rsidRDefault="00224102" w:rsidP="00224102">
            <w:pPr>
              <w:tabs>
                <w:tab w:val="left" w:pos="0"/>
              </w:tabs>
              <w:ind w:right="25"/>
              <w:jc w:val="right"/>
              <w:rPr>
                <w:rFonts w:eastAsia="Arial Unicode MS"/>
                <w:sz w:val="18"/>
              </w:rPr>
            </w:pPr>
            <w:r w:rsidRPr="00692926">
              <w:rPr>
                <w:rFonts w:eastAsia="Arial Unicode MS"/>
                <w:sz w:val="18"/>
              </w:rPr>
              <w:t>-</w:t>
            </w:r>
          </w:p>
        </w:tc>
      </w:tr>
      <w:tr w:rsidR="00224102" w:rsidRPr="00604C75" w14:paraId="5EC461B8" w14:textId="77777777" w:rsidTr="00F77D55">
        <w:trPr>
          <w:trHeight w:val="284"/>
        </w:trPr>
        <w:tc>
          <w:tcPr>
            <w:tcW w:w="5222" w:type="dxa"/>
            <w:vAlign w:val="center"/>
          </w:tcPr>
          <w:p w14:paraId="746B7F59" w14:textId="77777777" w:rsidR="00224102" w:rsidRPr="00604C75" w:rsidRDefault="00224102" w:rsidP="00224102">
            <w:pPr>
              <w:tabs>
                <w:tab w:val="left" w:pos="0"/>
              </w:tabs>
              <w:rPr>
                <w:rFonts w:eastAsia="Arial Unicode MS"/>
                <w:sz w:val="18"/>
              </w:rPr>
            </w:pPr>
            <w:r w:rsidRPr="00604C75">
              <w:rPr>
                <w:rFonts w:eastAsia="Arial Unicode MS"/>
                <w:sz w:val="18"/>
              </w:rPr>
              <w:t>Other</w:t>
            </w:r>
          </w:p>
        </w:tc>
        <w:tc>
          <w:tcPr>
            <w:tcW w:w="2114" w:type="dxa"/>
            <w:vAlign w:val="center"/>
          </w:tcPr>
          <w:p w14:paraId="5B016AC6" w14:textId="56CDC44F" w:rsidR="00224102" w:rsidRPr="00692926" w:rsidRDefault="00224102" w:rsidP="00224102">
            <w:pPr>
              <w:tabs>
                <w:tab w:val="left" w:pos="0"/>
              </w:tabs>
              <w:ind w:right="25"/>
              <w:jc w:val="right"/>
              <w:rPr>
                <w:rFonts w:eastAsia="Arial Unicode MS"/>
                <w:sz w:val="18"/>
              </w:rPr>
            </w:pPr>
            <w:r>
              <w:rPr>
                <w:rFonts w:eastAsia="Arial Unicode MS"/>
                <w:sz w:val="18"/>
              </w:rPr>
              <w:t>(9,202)</w:t>
            </w:r>
          </w:p>
        </w:tc>
        <w:tc>
          <w:tcPr>
            <w:tcW w:w="2001" w:type="dxa"/>
            <w:vAlign w:val="center"/>
          </w:tcPr>
          <w:p w14:paraId="606A0811" w14:textId="693A6249" w:rsidR="00224102" w:rsidRPr="00692926" w:rsidRDefault="00224102" w:rsidP="00224102">
            <w:pPr>
              <w:tabs>
                <w:tab w:val="left" w:pos="0"/>
              </w:tabs>
              <w:ind w:right="25"/>
              <w:jc w:val="right"/>
              <w:rPr>
                <w:rFonts w:eastAsia="Arial Unicode MS"/>
                <w:sz w:val="18"/>
              </w:rPr>
            </w:pPr>
            <w:r w:rsidRPr="00692926">
              <w:rPr>
                <w:rFonts w:eastAsia="Arial Unicode MS"/>
                <w:sz w:val="18"/>
              </w:rPr>
              <w:t>(1,771)</w:t>
            </w:r>
          </w:p>
        </w:tc>
      </w:tr>
      <w:tr w:rsidR="00224102" w:rsidRPr="00604C75" w14:paraId="6BB8DE02" w14:textId="77777777" w:rsidTr="00F77D55">
        <w:trPr>
          <w:trHeight w:val="284"/>
        </w:trPr>
        <w:tc>
          <w:tcPr>
            <w:tcW w:w="5222" w:type="dxa"/>
            <w:vAlign w:val="center"/>
          </w:tcPr>
          <w:p w14:paraId="2EE5BF1D" w14:textId="77777777" w:rsidR="00224102" w:rsidRPr="00604C75" w:rsidRDefault="00224102" w:rsidP="00224102">
            <w:pPr>
              <w:tabs>
                <w:tab w:val="left" w:pos="0"/>
              </w:tabs>
              <w:rPr>
                <w:rFonts w:eastAsia="Arial Unicode MS"/>
                <w:b/>
                <w:sz w:val="18"/>
              </w:rPr>
            </w:pPr>
            <w:r w:rsidRPr="00604C75">
              <w:rPr>
                <w:rFonts w:eastAsia="Arial Unicode MS"/>
                <w:b/>
                <w:sz w:val="18"/>
                <w:szCs w:val="18"/>
              </w:rPr>
              <w:t>Balance at the End of the Period</w:t>
            </w:r>
          </w:p>
        </w:tc>
        <w:tc>
          <w:tcPr>
            <w:tcW w:w="2114" w:type="dxa"/>
            <w:vAlign w:val="center"/>
          </w:tcPr>
          <w:p w14:paraId="3EE18B42" w14:textId="57C86B96" w:rsidR="00224102" w:rsidRPr="00692926" w:rsidRDefault="00224102" w:rsidP="00224102">
            <w:pPr>
              <w:tabs>
                <w:tab w:val="left" w:pos="0"/>
              </w:tabs>
              <w:ind w:right="25"/>
              <w:jc w:val="right"/>
              <w:rPr>
                <w:rFonts w:eastAsia="Arial Unicode MS"/>
                <w:b/>
                <w:sz w:val="18"/>
              </w:rPr>
            </w:pPr>
            <w:r>
              <w:rPr>
                <w:rFonts w:eastAsia="Arial Unicode MS"/>
                <w:b/>
                <w:sz w:val="18"/>
              </w:rPr>
              <w:t>11</w:t>
            </w:r>
          </w:p>
        </w:tc>
        <w:tc>
          <w:tcPr>
            <w:tcW w:w="2001" w:type="dxa"/>
            <w:vAlign w:val="center"/>
          </w:tcPr>
          <w:p w14:paraId="6DA84701" w14:textId="6D439B3D" w:rsidR="00224102" w:rsidRPr="00692926" w:rsidRDefault="00224102" w:rsidP="00224102">
            <w:pPr>
              <w:tabs>
                <w:tab w:val="left" w:pos="0"/>
              </w:tabs>
              <w:ind w:right="25"/>
              <w:jc w:val="right"/>
              <w:rPr>
                <w:rFonts w:eastAsia="Arial Unicode MS"/>
                <w:b/>
                <w:sz w:val="18"/>
              </w:rPr>
            </w:pPr>
            <w:r w:rsidRPr="00692926">
              <w:rPr>
                <w:rFonts w:eastAsia="Arial Unicode MS"/>
                <w:b/>
                <w:sz w:val="18"/>
              </w:rPr>
              <w:t>9,214</w:t>
            </w:r>
          </w:p>
        </w:tc>
      </w:tr>
    </w:tbl>
    <w:p w14:paraId="2E29DB41" w14:textId="77777777" w:rsidR="00FF2731" w:rsidRPr="00604C75" w:rsidRDefault="00FF2731" w:rsidP="00485CE1">
      <w:pPr>
        <w:pStyle w:val="ListParagraph"/>
        <w:tabs>
          <w:tab w:val="num" w:pos="709"/>
        </w:tabs>
        <w:spacing w:line="209" w:lineRule="auto"/>
        <w:ind w:left="1636" w:hanging="1495"/>
        <w:rPr>
          <w:sz w:val="16"/>
          <w:szCs w:val="16"/>
        </w:rPr>
      </w:pPr>
    </w:p>
    <w:p w14:paraId="16CD0F14" w14:textId="2A63BF96" w:rsidR="00A87F75" w:rsidRPr="00604C75" w:rsidRDefault="00B27B7B" w:rsidP="0032757D">
      <w:pPr>
        <w:pStyle w:val="BodyTextIndent"/>
        <w:pageBreakBefore/>
        <w:spacing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53C82A29" w14:textId="77777777" w:rsidR="00496977" w:rsidRPr="00604C75" w:rsidRDefault="00496977" w:rsidP="00640062">
      <w:pPr>
        <w:pStyle w:val="ListParagraph"/>
        <w:spacing w:line="209" w:lineRule="auto"/>
        <w:ind w:left="1636"/>
        <w:rPr>
          <w:sz w:val="16"/>
          <w:szCs w:val="16"/>
        </w:rPr>
      </w:pPr>
    </w:p>
    <w:p w14:paraId="41065411" w14:textId="6B9724DC" w:rsidR="0044575F" w:rsidRPr="00604C75" w:rsidRDefault="000C09E6" w:rsidP="008477F3">
      <w:pPr>
        <w:pStyle w:val="ListParagraph"/>
        <w:numPr>
          <w:ilvl w:val="0"/>
          <w:numId w:val="22"/>
        </w:numPr>
        <w:spacing w:line="209" w:lineRule="auto"/>
        <w:ind w:left="709" w:hanging="709"/>
        <w:jc w:val="both"/>
        <w:rPr>
          <w:b/>
          <w:noProof/>
          <w:sz w:val="20"/>
          <w:szCs w:val="20"/>
        </w:rPr>
      </w:pPr>
      <w:r w:rsidRPr="00604C75">
        <w:rPr>
          <w:b/>
          <w:noProof/>
          <w:sz w:val="20"/>
          <w:szCs w:val="20"/>
        </w:rPr>
        <w:t>Explanations</w:t>
      </w:r>
      <w:r w:rsidR="00884814" w:rsidRPr="00604C75">
        <w:rPr>
          <w:b/>
          <w:noProof/>
          <w:sz w:val="20"/>
          <w:szCs w:val="20"/>
        </w:rPr>
        <w:t xml:space="preserve"> and Notes </w:t>
      </w:r>
      <w:r w:rsidR="00647320">
        <w:rPr>
          <w:b/>
          <w:noProof/>
          <w:sz w:val="20"/>
          <w:szCs w:val="20"/>
        </w:rPr>
        <w:t>on</w:t>
      </w:r>
      <w:r w:rsidRPr="00604C75">
        <w:rPr>
          <w:b/>
          <w:noProof/>
          <w:sz w:val="20"/>
          <w:szCs w:val="20"/>
        </w:rPr>
        <w:t xml:space="preserve"> Off-Balance Sheet Accounts</w:t>
      </w:r>
      <w:r w:rsidRPr="00604C75" w:rsidDel="000C09E6">
        <w:rPr>
          <w:b/>
          <w:noProof/>
          <w:sz w:val="20"/>
          <w:szCs w:val="20"/>
        </w:rPr>
        <w:t xml:space="preserve"> </w:t>
      </w:r>
    </w:p>
    <w:p w14:paraId="2AD3DC9B" w14:textId="77777777" w:rsidR="0044575F" w:rsidRPr="00604C75" w:rsidRDefault="0044575F" w:rsidP="00640062">
      <w:pPr>
        <w:tabs>
          <w:tab w:val="left" w:pos="851"/>
        </w:tabs>
        <w:spacing w:line="209" w:lineRule="auto"/>
        <w:jc w:val="both"/>
        <w:rPr>
          <w:b/>
          <w:noProof/>
          <w:sz w:val="16"/>
          <w:szCs w:val="16"/>
        </w:rPr>
      </w:pPr>
    </w:p>
    <w:p w14:paraId="1CC2E447" w14:textId="77777777" w:rsidR="0044575F" w:rsidRPr="00604C75" w:rsidRDefault="0044575F" w:rsidP="008477F3">
      <w:pPr>
        <w:numPr>
          <w:ilvl w:val="1"/>
          <w:numId w:val="21"/>
        </w:numPr>
        <w:tabs>
          <w:tab w:val="clear" w:pos="2291"/>
          <w:tab w:val="left" w:pos="0"/>
        </w:tabs>
        <w:spacing w:line="209" w:lineRule="auto"/>
        <w:ind w:left="0" w:firstLine="0"/>
        <w:jc w:val="both"/>
        <w:rPr>
          <w:b/>
          <w:bCs/>
          <w:noProof/>
          <w:sz w:val="20"/>
          <w:szCs w:val="20"/>
        </w:rPr>
      </w:pPr>
      <w:r w:rsidRPr="00604C75">
        <w:rPr>
          <w:b/>
          <w:bCs/>
          <w:noProof/>
          <w:sz w:val="20"/>
          <w:szCs w:val="20"/>
        </w:rPr>
        <w:t>Information on off balance sheet commitments</w:t>
      </w:r>
    </w:p>
    <w:p w14:paraId="7BBC3395" w14:textId="77777777" w:rsidR="0044575F" w:rsidRPr="00604C75" w:rsidRDefault="0044575F" w:rsidP="00D771CE">
      <w:pPr>
        <w:tabs>
          <w:tab w:val="left" w:pos="0"/>
        </w:tabs>
        <w:spacing w:line="209" w:lineRule="auto"/>
        <w:jc w:val="both"/>
        <w:rPr>
          <w:b/>
          <w:noProof/>
          <w:sz w:val="16"/>
          <w:szCs w:val="16"/>
        </w:rPr>
      </w:pPr>
    </w:p>
    <w:p w14:paraId="7E13D961" w14:textId="77777777" w:rsidR="0044575F" w:rsidRPr="00604C75" w:rsidRDefault="0044575F" w:rsidP="00D771CE">
      <w:pPr>
        <w:tabs>
          <w:tab w:val="left" w:pos="0"/>
          <w:tab w:val="left" w:pos="709"/>
        </w:tabs>
        <w:spacing w:line="209" w:lineRule="auto"/>
        <w:jc w:val="both"/>
        <w:rPr>
          <w:noProof/>
          <w:sz w:val="20"/>
          <w:szCs w:val="20"/>
        </w:rPr>
      </w:pPr>
      <w:r w:rsidRPr="00604C75">
        <w:rPr>
          <w:noProof/>
          <w:sz w:val="20"/>
          <w:szCs w:val="20"/>
        </w:rPr>
        <w:t>1.</w:t>
      </w:r>
      <w:r w:rsidRPr="00604C75">
        <w:rPr>
          <w:noProof/>
          <w:sz w:val="20"/>
          <w:szCs w:val="20"/>
        </w:rPr>
        <w:tab/>
        <w:t xml:space="preserve">The amount and </w:t>
      </w:r>
      <w:r w:rsidR="002844B8" w:rsidRPr="00604C75">
        <w:rPr>
          <w:noProof/>
          <w:sz w:val="20"/>
          <w:szCs w:val="20"/>
        </w:rPr>
        <w:t>type of irrevocable commitments</w:t>
      </w:r>
    </w:p>
    <w:p w14:paraId="5A8760FD" w14:textId="77777777" w:rsidR="0044575F" w:rsidRPr="00604C75" w:rsidRDefault="0044575F" w:rsidP="00D771CE">
      <w:pPr>
        <w:tabs>
          <w:tab w:val="left" w:pos="0"/>
        </w:tabs>
        <w:spacing w:line="209" w:lineRule="auto"/>
        <w:jc w:val="both"/>
        <w:rPr>
          <w:noProof/>
          <w:sz w:val="16"/>
          <w:szCs w:val="16"/>
        </w:rPr>
      </w:pPr>
    </w:p>
    <w:p w14:paraId="16A0A267" w14:textId="58DAD1C4" w:rsidR="003E5AC5" w:rsidRPr="00604C75" w:rsidRDefault="00196A0E" w:rsidP="003E5AC5">
      <w:pPr>
        <w:tabs>
          <w:tab w:val="left" w:pos="0"/>
          <w:tab w:val="left" w:pos="1701"/>
        </w:tabs>
        <w:spacing w:line="209" w:lineRule="auto"/>
        <w:jc w:val="both"/>
        <w:rPr>
          <w:noProof/>
          <w:sz w:val="20"/>
          <w:szCs w:val="20"/>
        </w:rPr>
      </w:pPr>
      <w:r>
        <w:rPr>
          <w:noProof/>
          <w:sz w:val="20"/>
          <w:szCs w:val="20"/>
        </w:rPr>
        <w:t>According to Direct Debiting S</w:t>
      </w:r>
      <w:r w:rsidR="003E5AC5" w:rsidRPr="005C151F">
        <w:rPr>
          <w:noProof/>
          <w:sz w:val="20"/>
          <w:szCs w:val="20"/>
        </w:rPr>
        <w:t>ystem, there is TL</w:t>
      </w:r>
      <w:r w:rsidR="003E5AC5">
        <w:rPr>
          <w:noProof/>
          <w:sz w:val="20"/>
          <w:szCs w:val="20"/>
        </w:rPr>
        <w:t xml:space="preserve"> </w:t>
      </w:r>
      <w:r w:rsidR="003E5AC5">
        <w:rPr>
          <w:sz w:val="20"/>
          <w:szCs w:val="20"/>
        </w:rPr>
        <w:t xml:space="preserve">228,546 </w:t>
      </w:r>
      <w:r w:rsidR="003E5AC5" w:rsidRPr="005C151F">
        <w:rPr>
          <w:noProof/>
          <w:sz w:val="20"/>
          <w:szCs w:val="20"/>
        </w:rPr>
        <w:t>irrevocable loan commitments as of 3</w:t>
      </w:r>
      <w:r w:rsidR="003E5AC5">
        <w:rPr>
          <w:noProof/>
          <w:sz w:val="20"/>
          <w:szCs w:val="20"/>
        </w:rPr>
        <w:t>1</w:t>
      </w:r>
      <w:r w:rsidR="003E5AC5" w:rsidRPr="005C151F">
        <w:rPr>
          <w:noProof/>
          <w:sz w:val="20"/>
          <w:szCs w:val="20"/>
        </w:rPr>
        <w:t xml:space="preserve"> </w:t>
      </w:r>
      <w:r w:rsidR="003E5AC5">
        <w:rPr>
          <w:noProof/>
          <w:sz w:val="20"/>
          <w:szCs w:val="20"/>
        </w:rPr>
        <w:t>December</w:t>
      </w:r>
      <w:r w:rsidR="003E5AC5" w:rsidRPr="005C151F">
        <w:rPr>
          <w:noProof/>
          <w:sz w:val="20"/>
          <w:szCs w:val="20"/>
        </w:rPr>
        <w:t xml:space="preserve"> 2015 </w:t>
      </w:r>
      <w:r w:rsidR="003E5AC5" w:rsidRPr="005C151F">
        <w:rPr>
          <w:sz w:val="20"/>
          <w:szCs w:val="20"/>
        </w:rPr>
        <w:t>(</w:t>
      </w:r>
      <w:r w:rsidR="003E5AC5" w:rsidRPr="005C151F">
        <w:rPr>
          <w:bCs/>
          <w:sz w:val="20"/>
          <w:szCs w:val="20"/>
        </w:rPr>
        <w:t>31 December</w:t>
      </w:r>
      <w:r w:rsidR="003E5AC5" w:rsidRPr="005C151F">
        <w:rPr>
          <w:sz w:val="20"/>
          <w:szCs w:val="20"/>
        </w:rPr>
        <w:t xml:space="preserve"> 2014: TL 237,190)</w:t>
      </w:r>
      <w:r w:rsidR="003E5AC5" w:rsidRPr="005C151F">
        <w:rPr>
          <w:noProof/>
          <w:sz w:val="20"/>
          <w:szCs w:val="20"/>
        </w:rPr>
        <w:t>.</w:t>
      </w:r>
    </w:p>
    <w:p w14:paraId="5E266C97" w14:textId="77777777" w:rsidR="0044575F" w:rsidRPr="00604C75" w:rsidRDefault="0044575F" w:rsidP="00D771CE">
      <w:pPr>
        <w:tabs>
          <w:tab w:val="left" w:pos="0"/>
        </w:tabs>
        <w:spacing w:line="209" w:lineRule="auto"/>
        <w:jc w:val="both"/>
        <w:rPr>
          <w:sz w:val="16"/>
          <w:szCs w:val="16"/>
        </w:rPr>
      </w:pPr>
    </w:p>
    <w:p w14:paraId="0320CAB4" w14:textId="77777777" w:rsidR="0044575F" w:rsidRPr="00604C75" w:rsidRDefault="0044575F" w:rsidP="008477F3">
      <w:pPr>
        <w:pStyle w:val="ListParagraph"/>
        <w:numPr>
          <w:ilvl w:val="0"/>
          <w:numId w:val="23"/>
        </w:numPr>
        <w:tabs>
          <w:tab w:val="left" w:pos="0"/>
          <w:tab w:val="left" w:pos="709"/>
        </w:tabs>
        <w:spacing w:line="209" w:lineRule="auto"/>
        <w:ind w:left="0" w:firstLine="0"/>
        <w:jc w:val="both"/>
        <w:rPr>
          <w:noProof/>
          <w:sz w:val="20"/>
          <w:szCs w:val="20"/>
        </w:rPr>
      </w:pPr>
      <w:r w:rsidRPr="00604C75">
        <w:rPr>
          <w:noProof/>
          <w:sz w:val="20"/>
          <w:szCs w:val="20"/>
        </w:rPr>
        <w:t>Type a</w:t>
      </w:r>
      <w:r w:rsidR="00772614">
        <w:rPr>
          <w:noProof/>
          <w:sz w:val="20"/>
          <w:szCs w:val="20"/>
        </w:rPr>
        <w:t>nd amount of probable losses and</w:t>
      </w:r>
      <w:r w:rsidRPr="00604C75">
        <w:rPr>
          <w:noProof/>
          <w:sz w:val="20"/>
          <w:szCs w:val="20"/>
        </w:rPr>
        <w:t xml:space="preserve"> obligations arisi</w:t>
      </w:r>
      <w:r w:rsidR="002844B8" w:rsidRPr="00604C75">
        <w:rPr>
          <w:noProof/>
          <w:sz w:val="20"/>
          <w:szCs w:val="20"/>
        </w:rPr>
        <w:t>ng from off-balance sheet items</w:t>
      </w:r>
    </w:p>
    <w:p w14:paraId="1C0D19CF" w14:textId="77777777" w:rsidR="0044575F" w:rsidRPr="00604C75" w:rsidRDefault="0044575F" w:rsidP="00D771CE">
      <w:pPr>
        <w:tabs>
          <w:tab w:val="left" w:pos="0"/>
        </w:tabs>
        <w:spacing w:line="209" w:lineRule="auto"/>
        <w:jc w:val="both"/>
        <w:rPr>
          <w:noProof/>
          <w:sz w:val="16"/>
          <w:szCs w:val="16"/>
        </w:rPr>
      </w:pPr>
    </w:p>
    <w:p w14:paraId="3DA3D971" w14:textId="2F2B2F31" w:rsidR="0044575F" w:rsidRPr="00604C75" w:rsidRDefault="0044575F" w:rsidP="00D771CE">
      <w:pPr>
        <w:tabs>
          <w:tab w:val="left" w:pos="0"/>
        </w:tabs>
        <w:spacing w:line="209" w:lineRule="auto"/>
        <w:jc w:val="both"/>
        <w:rPr>
          <w:noProof/>
          <w:sz w:val="20"/>
          <w:szCs w:val="20"/>
        </w:rPr>
      </w:pPr>
      <w:r w:rsidRPr="00604C75">
        <w:rPr>
          <w:noProof/>
          <w:sz w:val="20"/>
          <w:szCs w:val="20"/>
        </w:rPr>
        <w:t xml:space="preserve">There are no probable losses and obligations arising from off-balance sheet items. Obligations arising from off-balance sheet are disclosed in </w:t>
      </w:r>
      <w:r w:rsidR="002870EB">
        <w:rPr>
          <w:noProof/>
          <w:sz w:val="20"/>
          <w:szCs w:val="20"/>
        </w:rPr>
        <w:t>“Off-B</w:t>
      </w:r>
      <w:r w:rsidR="00196A0E">
        <w:rPr>
          <w:noProof/>
          <w:sz w:val="20"/>
          <w:szCs w:val="20"/>
        </w:rPr>
        <w:t>alance Sheet C</w:t>
      </w:r>
      <w:r w:rsidRPr="00604C75">
        <w:rPr>
          <w:noProof/>
          <w:sz w:val="20"/>
          <w:szCs w:val="20"/>
        </w:rPr>
        <w:t>ommitments”.</w:t>
      </w:r>
    </w:p>
    <w:p w14:paraId="51D99A38" w14:textId="77777777" w:rsidR="002D253E" w:rsidRPr="00604C75" w:rsidRDefault="002D253E" w:rsidP="00D771CE">
      <w:pPr>
        <w:tabs>
          <w:tab w:val="left" w:pos="0"/>
        </w:tabs>
        <w:spacing w:line="209" w:lineRule="auto"/>
        <w:jc w:val="both"/>
        <w:rPr>
          <w:noProof/>
          <w:sz w:val="16"/>
          <w:szCs w:val="16"/>
        </w:rPr>
      </w:pPr>
    </w:p>
    <w:p w14:paraId="23FE2BD7" w14:textId="0C0D9F32" w:rsidR="0044575F" w:rsidRPr="00604C75" w:rsidRDefault="0044575F" w:rsidP="00D771CE">
      <w:pPr>
        <w:tabs>
          <w:tab w:val="left" w:pos="0"/>
          <w:tab w:val="left" w:pos="709"/>
        </w:tabs>
        <w:spacing w:line="209" w:lineRule="auto"/>
        <w:jc w:val="both"/>
        <w:rPr>
          <w:noProof/>
          <w:sz w:val="20"/>
          <w:szCs w:val="20"/>
        </w:rPr>
      </w:pPr>
      <w:r w:rsidRPr="00604C75">
        <w:rPr>
          <w:noProof/>
          <w:sz w:val="20"/>
          <w:szCs w:val="20"/>
        </w:rPr>
        <w:t>2.</w:t>
      </w:r>
      <w:r w:rsidR="0086721F" w:rsidRPr="00604C75">
        <w:rPr>
          <w:noProof/>
          <w:sz w:val="20"/>
          <w:szCs w:val="20"/>
        </w:rPr>
        <w:t>(i)</w:t>
      </w:r>
      <w:r w:rsidRPr="00604C75">
        <w:rPr>
          <w:noProof/>
          <w:sz w:val="20"/>
          <w:szCs w:val="20"/>
        </w:rPr>
        <w:t>.</w:t>
      </w:r>
      <w:r w:rsidRPr="00604C75">
        <w:rPr>
          <w:noProof/>
          <w:sz w:val="20"/>
          <w:szCs w:val="20"/>
        </w:rPr>
        <w:tab/>
        <w:t xml:space="preserve">Non-cash loans including guarantees, </w:t>
      </w:r>
      <w:r w:rsidR="002C3B01">
        <w:rPr>
          <w:noProof/>
          <w:sz w:val="20"/>
          <w:szCs w:val="20"/>
        </w:rPr>
        <w:t>the Parent B</w:t>
      </w:r>
      <w:r w:rsidRPr="00604C75">
        <w:rPr>
          <w:noProof/>
          <w:sz w:val="20"/>
          <w:szCs w:val="20"/>
        </w:rPr>
        <w:t xml:space="preserve">ank avalized and acceptance loans, collaterals that are accepted as financial </w:t>
      </w:r>
      <w:r w:rsidR="00DD547B" w:rsidRPr="00604C75">
        <w:rPr>
          <w:noProof/>
          <w:sz w:val="20"/>
          <w:szCs w:val="20"/>
        </w:rPr>
        <w:t>guarantees</w:t>
      </w:r>
      <w:r w:rsidR="00DD547B" w:rsidRPr="00604C75" w:rsidDel="00DD547B">
        <w:rPr>
          <w:noProof/>
          <w:sz w:val="20"/>
          <w:szCs w:val="20"/>
        </w:rPr>
        <w:t xml:space="preserve"> </w:t>
      </w:r>
      <w:r w:rsidRPr="00604C75">
        <w:rPr>
          <w:noProof/>
          <w:sz w:val="20"/>
          <w:szCs w:val="20"/>
        </w:rPr>
        <w:t>and other</w:t>
      </w:r>
      <w:r w:rsidR="002844B8" w:rsidRPr="00604C75">
        <w:rPr>
          <w:noProof/>
          <w:sz w:val="20"/>
          <w:szCs w:val="20"/>
        </w:rPr>
        <w:t xml:space="preserve"> letters of credit</w:t>
      </w:r>
    </w:p>
    <w:p w14:paraId="68E4943F" w14:textId="77777777" w:rsidR="002D253E" w:rsidRPr="00604C75" w:rsidRDefault="002D253E" w:rsidP="00D771CE">
      <w:pPr>
        <w:tabs>
          <w:tab w:val="left" w:pos="0"/>
          <w:tab w:val="left" w:pos="2127"/>
        </w:tabs>
        <w:spacing w:line="209" w:lineRule="auto"/>
        <w:jc w:val="both"/>
        <w:rPr>
          <w:noProof/>
          <w:sz w:val="16"/>
          <w:szCs w:val="16"/>
        </w:rPr>
      </w:pPr>
    </w:p>
    <w:tbl>
      <w:tblPr>
        <w:tblW w:w="936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217"/>
        <w:gridCol w:w="2134"/>
        <w:gridCol w:w="2016"/>
      </w:tblGrid>
      <w:tr w:rsidR="0044575F" w:rsidRPr="00604C75" w14:paraId="22D7EBF2" w14:textId="77777777" w:rsidTr="00FD0C7A">
        <w:trPr>
          <w:trHeight w:val="255"/>
        </w:trPr>
        <w:tc>
          <w:tcPr>
            <w:tcW w:w="5217" w:type="dxa"/>
            <w:vAlign w:val="bottom"/>
          </w:tcPr>
          <w:p w14:paraId="2418171F" w14:textId="77777777" w:rsidR="0044575F" w:rsidRPr="00604C75" w:rsidRDefault="0044575F" w:rsidP="00D771CE">
            <w:pPr>
              <w:tabs>
                <w:tab w:val="left" w:pos="0"/>
              </w:tabs>
              <w:spacing w:line="209" w:lineRule="auto"/>
              <w:rPr>
                <w:b/>
                <w:bCs/>
                <w:snapToGrid w:val="0"/>
                <w:sz w:val="20"/>
                <w:szCs w:val="20"/>
              </w:rPr>
            </w:pPr>
          </w:p>
        </w:tc>
        <w:tc>
          <w:tcPr>
            <w:tcW w:w="2134" w:type="dxa"/>
            <w:vAlign w:val="bottom"/>
          </w:tcPr>
          <w:p w14:paraId="4B3BB8C2" w14:textId="77777777" w:rsidR="0044575F" w:rsidRPr="00604C75" w:rsidRDefault="000467F0" w:rsidP="00196A0E">
            <w:pPr>
              <w:tabs>
                <w:tab w:val="left" w:pos="0"/>
              </w:tabs>
              <w:spacing w:line="209" w:lineRule="auto"/>
              <w:jc w:val="right"/>
              <w:rPr>
                <w:b/>
                <w:bCs/>
                <w:sz w:val="18"/>
                <w:szCs w:val="18"/>
              </w:rPr>
            </w:pPr>
            <w:r>
              <w:rPr>
                <w:b/>
                <w:iCs/>
                <w:sz w:val="18"/>
                <w:szCs w:val="18"/>
              </w:rPr>
              <w:t>3</w:t>
            </w:r>
            <w:r w:rsidR="00313BC3">
              <w:rPr>
                <w:b/>
                <w:iCs/>
                <w:sz w:val="18"/>
                <w:szCs w:val="18"/>
              </w:rPr>
              <w:t>1</w:t>
            </w:r>
            <w:r>
              <w:rPr>
                <w:b/>
                <w:iCs/>
                <w:sz w:val="18"/>
                <w:szCs w:val="18"/>
              </w:rPr>
              <w:t xml:space="preserve"> </w:t>
            </w:r>
            <w:r w:rsidR="00313BC3">
              <w:rPr>
                <w:b/>
                <w:iCs/>
                <w:sz w:val="18"/>
                <w:szCs w:val="18"/>
              </w:rPr>
              <w:t>December</w:t>
            </w:r>
            <w:r w:rsidR="00313BC3" w:rsidRPr="00604C75">
              <w:rPr>
                <w:b/>
                <w:iCs/>
                <w:sz w:val="18"/>
                <w:szCs w:val="18"/>
              </w:rPr>
              <w:t xml:space="preserve"> </w:t>
            </w:r>
            <w:r w:rsidR="0044575F" w:rsidRPr="00604C75">
              <w:rPr>
                <w:b/>
                <w:bCs/>
                <w:sz w:val="18"/>
                <w:szCs w:val="18"/>
              </w:rPr>
              <w:t>201</w:t>
            </w:r>
            <w:r w:rsidR="0051760F" w:rsidRPr="00604C75">
              <w:rPr>
                <w:b/>
                <w:bCs/>
                <w:sz w:val="18"/>
                <w:szCs w:val="18"/>
              </w:rPr>
              <w:t>5</w:t>
            </w:r>
          </w:p>
        </w:tc>
        <w:tc>
          <w:tcPr>
            <w:tcW w:w="2016" w:type="dxa"/>
            <w:vAlign w:val="bottom"/>
          </w:tcPr>
          <w:p w14:paraId="4D2BC2AB" w14:textId="77777777" w:rsidR="0044575F" w:rsidRPr="00604C75" w:rsidRDefault="0044575F" w:rsidP="00196A0E">
            <w:pPr>
              <w:tabs>
                <w:tab w:val="left" w:pos="0"/>
              </w:tabs>
              <w:spacing w:line="209" w:lineRule="auto"/>
              <w:jc w:val="right"/>
              <w:rPr>
                <w:rFonts w:eastAsia="Arial Unicode MS"/>
                <w:b/>
                <w:bCs/>
                <w:sz w:val="18"/>
                <w:szCs w:val="18"/>
              </w:rPr>
            </w:pPr>
            <w:r w:rsidRPr="00604C75">
              <w:rPr>
                <w:b/>
                <w:bCs/>
                <w:sz w:val="18"/>
                <w:szCs w:val="18"/>
              </w:rPr>
              <w:t>31 December 201</w:t>
            </w:r>
            <w:r w:rsidR="0051760F" w:rsidRPr="00604C75">
              <w:rPr>
                <w:b/>
                <w:bCs/>
                <w:sz w:val="18"/>
                <w:szCs w:val="18"/>
              </w:rPr>
              <w:t>4</w:t>
            </w:r>
          </w:p>
        </w:tc>
      </w:tr>
      <w:tr w:rsidR="00224102" w:rsidRPr="00604C75" w14:paraId="3A50700D" w14:textId="77777777" w:rsidTr="00FD0C7A">
        <w:trPr>
          <w:trHeight w:val="255"/>
        </w:trPr>
        <w:tc>
          <w:tcPr>
            <w:tcW w:w="5217" w:type="dxa"/>
            <w:vAlign w:val="bottom"/>
          </w:tcPr>
          <w:p w14:paraId="508363E0"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09" w:lineRule="auto"/>
              <w:rPr>
                <w:rFonts w:eastAsia="Times New Roman"/>
                <w:snapToGrid w:val="0"/>
              </w:rPr>
            </w:pPr>
            <w:r w:rsidRPr="00604C75">
              <w:t>Guarantees and Colleterals</w:t>
            </w:r>
          </w:p>
        </w:tc>
        <w:tc>
          <w:tcPr>
            <w:tcW w:w="2134" w:type="dxa"/>
            <w:vAlign w:val="bottom"/>
          </w:tcPr>
          <w:p w14:paraId="5B9B74B8" w14:textId="34EC1518" w:rsidR="00224102" w:rsidRPr="00692926" w:rsidRDefault="00224102" w:rsidP="00224102">
            <w:pPr>
              <w:tabs>
                <w:tab w:val="left" w:pos="0"/>
              </w:tabs>
              <w:ind w:right="12"/>
              <w:jc w:val="right"/>
              <w:rPr>
                <w:sz w:val="18"/>
                <w:szCs w:val="18"/>
              </w:rPr>
            </w:pPr>
            <w:r>
              <w:rPr>
                <w:sz w:val="18"/>
                <w:szCs w:val="18"/>
              </w:rPr>
              <w:t>551,332</w:t>
            </w:r>
          </w:p>
        </w:tc>
        <w:tc>
          <w:tcPr>
            <w:tcW w:w="2016" w:type="dxa"/>
            <w:vAlign w:val="bottom"/>
          </w:tcPr>
          <w:p w14:paraId="75D9A9B5" w14:textId="6421AF6A" w:rsidR="00224102" w:rsidRPr="00692926" w:rsidRDefault="00224102" w:rsidP="00224102">
            <w:pPr>
              <w:tabs>
                <w:tab w:val="left" w:pos="0"/>
              </w:tabs>
              <w:ind w:right="12"/>
              <w:jc w:val="right"/>
              <w:rPr>
                <w:sz w:val="18"/>
                <w:szCs w:val="18"/>
              </w:rPr>
            </w:pPr>
            <w:r w:rsidRPr="00692926">
              <w:rPr>
                <w:sz w:val="18"/>
                <w:szCs w:val="18"/>
              </w:rPr>
              <w:t>12,776</w:t>
            </w:r>
          </w:p>
        </w:tc>
      </w:tr>
      <w:tr w:rsidR="00224102" w:rsidRPr="00604C75" w14:paraId="7964B5C4" w14:textId="77777777" w:rsidTr="00FD0C7A">
        <w:trPr>
          <w:trHeight w:val="255"/>
        </w:trPr>
        <w:tc>
          <w:tcPr>
            <w:tcW w:w="5217" w:type="dxa"/>
            <w:vAlign w:val="bottom"/>
          </w:tcPr>
          <w:p w14:paraId="3AE780C2" w14:textId="77777777" w:rsidR="00224102" w:rsidRPr="00604C75" w:rsidRDefault="00224102" w:rsidP="00224102">
            <w:pPr>
              <w:tabs>
                <w:tab w:val="left" w:pos="0"/>
              </w:tabs>
              <w:spacing w:line="209" w:lineRule="auto"/>
              <w:rPr>
                <w:snapToGrid w:val="0"/>
                <w:sz w:val="18"/>
                <w:szCs w:val="18"/>
              </w:rPr>
            </w:pPr>
            <w:r w:rsidRPr="00604C75">
              <w:rPr>
                <w:sz w:val="18"/>
                <w:szCs w:val="18"/>
              </w:rPr>
              <w:t>Bank Acceptance Loans</w:t>
            </w:r>
          </w:p>
        </w:tc>
        <w:tc>
          <w:tcPr>
            <w:tcW w:w="2134" w:type="dxa"/>
            <w:vAlign w:val="bottom"/>
          </w:tcPr>
          <w:p w14:paraId="5E436ABE" w14:textId="47C7079B" w:rsidR="00224102" w:rsidRDefault="00224102" w:rsidP="00224102">
            <w:pPr>
              <w:jc w:val="right"/>
              <w:rPr>
                <w:sz w:val="18"/>
                <w:szCs w:val="18"/>
              </w:rPr>
            </w:pPr>
            <w:r>
              <w:rPr>
                <w:sz w:val="18"/>
                <w:szCs w:val="18"/>
              </w:rPr>
              <w:t>35,849</w:t>
            </w:r>
          </w:p>
        </w:tc>
        <w:tc>
          <w:tcPr>
            <w:tcW w:w="2016" w:type="dxa"/>
            <w:vAlign w:val="bottom"/>
          </w:tcPr>
          <w:p w14:paraId="5B62D3D0" w14:textId="55DD4EC1" w:rsidR="00224102" w:rsidRPr="00692926" w:rsidRDefault="00224102" w:rsidP="00224102">
            <w:pPr>
              <w:tabs>
                <w:tab w:val="left" w:pos="0"/>
              </w:tabs>
              <w:jc w:val="right"/>
              <w:rPr>
                <w:sz w:val="18"/>
                <w:szCs w:val="18"/>
              </w:rPr>
            </w:pPr>
            <w:r w:rsidRPr="00692926">
              <w:rPr>
                <w:sz w:val="18"/>
                <w:szCs w:val="18"/>
              </w:rPr>
              <w:t>43,905</w:t>
            </w:r>
          </w:p>
        </w:tc>
      </w:tr>
      <w:tr w:rsidR="00224102" w:rsidRPr="00604C75" w14:paraId="501212F4" w14:textId="77777777" w:rsidTr="00FD0C7A">
        <w:trPr>
          <w:trHeight w:val="255"/>
        </w:trPr>
        <w:tc>
          <w:tcPr>
            <w:tcW w:w="5217" w:type="dxa"/>
            <w:vAlign w:val="bottom"/>
          </w:tcPr>
          <w:p w14:paraId="279E0CED" w14:textId="4AC74BAA" w:rsidR="00224102" w:rsidRPr="00604C75" w:rsidRDefault="00224102" w:rsidP="00224102">
            <w:pPr>
              <w:tabs>
                <w:tab w:val="left" w:pos="0"/>
              </w:tabs>
              <w:spacing w:line="209" w:lineRule="auto"/>
              <w:rPr>
                <w:snapToGrid w:val="0"/>
                <w:sz w:val="18"/>
                <w:szCs w:val="18"/>
              </w:rPr>
            </w:pPr>
            <w:r w:rsidRPr="00604C75">
              <w:rPr>
                <w:sz w:val="18"/>
                <w:szCs w:val="18"/>
              </w:rPr>
              <w:t xml:space="preserve">Letter of </w:t>
            </w:r>
            <w:r>
              <w:rPr>
                <w:sz w:val="18"/>
                <w:szCs w:val="18"/>
              </w:rPr>
              <w:t>C</w:t>
            </w:r>
            <w:r w:rsidRPr="00604C75">
              <w:rPr>
                <w:sz w:val="18"/>
                <w:szCs w:val="18"/>
              </w:rPr>
              <w:t>redits</w:t>
            </w:r>
          </w:p>
        </w:tc>
        <w:tc>
          <w:tcPr>
            <w:tcW w:w="2134" w:type="dxa"/>
            <w:vAlign w:val="bottom"/>
          </w:tcPr>
          <w:p w14:paraId="7562A926" w14:textId="2B2AFA5E" w:rsidR="00224102" w:rsidRDefault="00224102" w:rsidP="00224102">
            <w:pPr>
              <w:jc w:val="right"/>
              <w:rPr>
                <w:sz w:val="18"/>
                <w:szCs w:val="18"/>
              </w:rPr>
            </w:pPr>
            <w:r>
              <w:rPr>
                <w:sz w:val="18"/>
                <w:szCs w:val="18"/>
              </w:rPr>
              <w:t>345,726</w:t>
            </w:r>
          </w:p>
        </w:tc>
        <w:tc>
          <w:tcPr>
            <w:tcW w:w="2016" w:type="dxa"/>
            <w:vAlign w:val="bottom"/>
          </w:tcPr>
          <w:p w14:paraId="65001AD4" w14:textId="15F1792D" w:rsidR="00224102" w:rsidRPr="00692926" w:rsidRDefault="00224102" w:rsidP="00224102">
            <w:pPr>
              <w:tabs>
                <w:tab w:val="left" w:pos="0"/>
              </w:tabs>
              <w:jc w:val="right"/>
              <w:rPr>
                <w:sz w:val="18"/>
                <w:szCs w:val="18"/>
              </w:rPr>
            </w:pPr>
            <w:r w:rsidRPr="00692926">
              <w:rPr>
                <w:sz w:val="18"/>
                <w:szCs w:val="18"/>
              </w:rPr>
              <w:t>362,242</w:t>
            </w:r>
          </w:p>
        </w:tc>
      </w:tr>
      <w:tr w:rsidR="00224102" w:rsidRPr="00604C75" w14:paraId="0E53BCD3" w14:textId="77777777" w:rsidTr="00FD0C7A">
        <w:trPr>
          <w:trHeight w:val="255"/>
        </w:trPr>
        <w:tc>
          <w:tcPr>
            <w:tcW w:w="5217" w:type="dxa"/>
            <w:vAlign w:val="bottom"/>
          </w:tcPr>
          <w:p w14:paraId="606DEF9C" w14:textId="77777777" w:rsidR="00224102" w:rsidRPr="00604C75" w:rsidRDefault="00224102" w:rsidP="00224102">
            <w:pPr>
              <w:tabs>
                <w:tab w:val="left" w:pos="0"/>
              </w:tabs>
              <w:spacing w:line="209" w:lineRule="auto"/>
              <w:rPr>
                <w:b/>
                <w:snapToGrid w:val="0"/>
                <w:sz w:val="18"/>
                <w:szCs w:val="18"/>
              </w:rPr>
            </w:pPr>
            <w:r w:rsidRPr="00604C75">
              <w:rPr>
                <w:b/>
                <w:snapToGrid w:val="0"/>
                <w:sz w:val="18"/>
                <w:szCs w:val="18"/>
              </w:rPr>
              <w:t>Total</w:t>
            </w:r>
          </w:p>
        </w:tc>
        <w:tc>
          <w:tcPr>
            <w:tcW w:w="2134" w:type="dxa"/>
            <w:vAlign w:val="bottom"/>
          </w:tcPr>
          <w:p w14:paraId="748E0CC2" w14:textId="1C45BA72" w:rsidR="00224102" w:rsidRPr="00692926" w:rsidRDefault="00224102" w:rsidP="00224102">
            <w:pPr>
              <w:spacing w:line="228" w:lineRule="auto"/>
              <w:jc w:val="right"/>
              <w:rPr>
                <w:b/>
                <w:bCs/>
                <w:sz w:val="18"/>
                <w:szCs w:val="18"/>
              </w:rPr>
            </w:pPr>
            <w:r>
              <w:rPr>
                <w:b/>
                <w:bCs/>
                <w:sz w:val="18"/>
                <w:szCs w:val="18"/>
              </w:rPr>
              <w:t>932,907</w:t>
            </w:r>
          </w:p>
        </w:tc>
        <w:tc>
          <w:tcPr>
            <w:tcW w:w="2016" w:type="dxa"/>
            <w:vAlign w:val="bottom"/>
          </w:tcPr>
          <w:p w14:paraId="088C6D8F" w14:textId="58287BCE" w:rsidR="00224102" w:rsidRPr="00692926" w:rsidRDefault="00224102" w:rsidP="00224102">
            <w:pPr>
              <w:spacing w:line="228" w:lineRule="auto"/>
              <w:jc w:val="right"/>
              <w:rPr>
                <w:b/>
                <w:bCs/>
                <w:sz w:val="18"/>
                <w:szCs w:val="18"/>
              </w:rPr>
            </w:pPr>
            <w:r w:rsidRPr="00692926">
              <w:rPr>
                <w:b/>
                <w:bCs/>
                <w:sz w:val="18"/>
                <w:szCs w:val="18"/>
              </w:rPr>
              <w:t>418,923</w:t>
            </w:r>
          </w:p>
        </w:tc>
      </w:tr>
    </w:tbl>
    <w:p w14:paraId="3D7FB522" w14:textId="77777777" w:rsidR="0051760F" w:rsidRPr="00604C75" w:rsidRDefault="0051760F" w:rsidP="00D771CE">
      <w:pPr>
        <w:tabs>
          <w:tab w:val="left" w:pos="0"/>
        </w:tabs>
        <w:spacing w:line="209" w:lineRule="auto"/>
        <w:rPr>
          <w:noProof/>
          <w:sz w:val="16"/>
          <w:szCs w:val="16"/>
        </w:rPr>
      </w:pPr>
    </w:p>
    <w:p w14:paraId="6754A1F4" w14:textId="32B46DFC" w:rsidR="0044575F" w:rsidRPr="00604C75" w:rsidRDefault="002D253E" w:rsidP="00D771CE">
      <w:pPr>
        <w:tabs>
          <w:tab w:val="left" w:pos="0"/>
        </w:tabs>
        <w:spacing w:line="209" w:lineRule="auto"/>
        <w:rPr>
          <w:noProof/>
          <w:sz w:val="20"/>
          <w:szCs w:val="20"/>
        </w:rPr>
      </w:pPr>
      <w:r w:rsidRPr="00604C75">
        <w:rPr>
          <w:noProof/>
          <w:sz w:val="20"/>
          <w:szCs w:val="20"/>
        </w:rPr>
        <w:t>2.</w:t>
      </w:r>
      <w:r w:rsidR="0086721F" w:rsidRPr="00604C75">
        <w:rPr>
          <w:noProof/>
          <w:sz w:val="20"/>
          <w:szCs w:val="20"/>
        </w:rPr>
        <w:t>(</w:t>
      </w:r>
      <w:r w:rsidR="0027597E" w:rsidRPr="00604C75">
        <w:rPr>
          <w:noProof/>
          <w:sz w:val="20"/>
          <w:szCs w:val="20"/>
        </w:rPr>
        <w:t>ii</w:t>
      </w:r>
      <w:r w:rsidR="0086721F" w:rsidRPr="00604C75">
        <w:rPr>
          <w:noProof/>
          <w:sz w:val="20"/>
          <w:szCs w:val="20"/>
        </w:rPr>
        <w:t>)</w:t>
      </w:r>
      <w:r w:rsidR="0027597E" w:rsidRPr="00604C75">
        <w:rPr>
          <w:noProof/>
          <w:sz w:val="20"/>
          <w:szCs w:val="20"/>
        </w:rPr>
        <w:t xml:space="preserve">.   </w:t>
      </w:r>
      <w:r w:rsidR="0051760F" w:rsidRPr="00604C75">
        <w:rPr>
          <w:noProof/>
          <w:sz w:val="20"/>
          <w:szCs w:val="20"/>
        </w:rPr>
        <w:t xml:space="preserve"> </w:t>
      </w:r>
      <w:r w:rsidR="00545D11" w:rsidRPr="00604C75">
        <w:rPr>
          <w:noProof/>
          <w:sz w:val="20"/>
          <w:szCs w:val="20"/>
        </w:rPr>
        <w:t>Guarantees, suret</w:t>
      </w:r>
      <w:r w:rsidR="00196A0E">
        <w:rPr>
          <w:noProof/>
          <w:sz w:val="20"/>
          <w:szCs w:val="20"/>
        </w:rPr>
        <w:t>ies</w:t>
      </w:r>
      <w:r w:rsidR="00545D11" w:rsidRPr="00604C75">
        <w:rPr>
          <w:noProof/>
          <w:sz w:val="20"/>
          <w:szCs w:val="20"/>
        </w:rPr>
        <w:t xml:space="preserve"> an</w:t>
      </w:r>
      <w:r w:rsidR="002844B8" w:rsidRPr="00604C75">
        <w:rPr>
          <w:noProof/>
          <w:sz w:val="20"/>
          <w:szCs w:val="20"/>
        </w:rPr>
        <w:t>d other similar guarantees</w:t>
      </w:r>
    </w:p>
    <w:p w14:paraId="34D60E38" w14:textId="77777777" w:rsidR="002D253E" w:rsidRPr="00604C75" w:rsidRDefault="002D253E" w:rsidP="00D771CE">
      <w:pPr>
        <w:tabs>
          <w:tab w:val="left" w:pos="0"/>
        </w:tabs>
        <w:spacing w:line="209" w:lineRule="auto"/>
        <w:rPr>
          <w:noProof/>
          <w:sz w:val="16"/>
          <w:szCs w:val="16"/>
        </w:rPr>
      </w:pPr>
    </w:p>
    <w:tbl>
      <w:tblPr>
        <w:tblW w:w="9351"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194"/>
        <w:gridCol w:w="2127"/>
        <w:gridCol w:w="2030"/>
      </w:tblGrid>
      <w:tr w:rsidR="0051760F" w:rsidRPr="00604C75" w14:paraId="6ACBB8E2" w14:textId="77777777" w:rsidTr="00CD0767">
        <w:trPr>
          <w:trHeight w:val="255"/>
        </w:trPr>
        <w:tc>
          <w:tcPr>
            <w:tcW w:w="5194" w:type="dxa"/>
            <w:vAlign w:val="bottom"/>
          </w:tcPr>
          <w:p w14:paraId="12EC487F" w14:textId="77777777" w:rsidR="0051760F" w:rsidRPr="00604C75" w:rsidRDefault="0051760F" w:rsidP="00D771CE">
            <w:pPr>
              <w:tabs>
                <w:tab w:val="left" w:pos="0"/>
              </w:tabs>
              <w:spacing w:line="209" w:lineRule="auto"/>
              <w:rPr>
                <w:b/>
                <w:bCs/>
                <w:snapToGrid w:val="0"/>
                <w:sz w:val="18"/>
                <w:szCs w:val="18"/>
              </w:rPr>
            </w:pPr>
          </w:p>
        </w:tc>
        <w:tc>
          <w:tcPr>
            <w:tcW w:w="2127" w:type="dxa"/>
            <w:vAlign w:val="bottom"/>
          </w:tcPr>
          <w:p w14:paraId="0DA5F4ED" w14:textId="77777777" w:rsidR="0051760F" w:rsidRPr="00604C75" w:rsidRDefault="00313BC3" w:rsidP="00196A0E">
            <w:pPr>
              <w:tabs>
                <w:tab w:val="left" w:pos="0"/>
              </w:tabs>
              <w:spacing w:line="209" w:lineRule="auto"/>
              <w:jc w:val="right"/>
              <w:rPr>
                <w:b/>
                <w:iCs/>
                <w:sz w:val="18"/>
                <w:szCs w:val="18"/>
              </w:rPr>
            </w:pPr>
            <w:r>
              <w:rPr>
                <w:b/>
                <w:iCs/>
                <w:sz w:val="18"/>
                <w:szCs w:val="18"/>
              </w:rPr>
              <w:t>31 December</w:t>
            </w:r>
            <w:r w:rsidRPr="00604C75">
              <w:rPr>
                <w:b/>
                <w:iCs/>
                <w:sz w:val="18"/>
                <w:szCs w:val="18"/>
              </w:rPr>
              <w:t xml:space="preserve"> </w:t>
            </w:r>
            <w:r w:rsidRPr="00604C75">
              <w:rPr>
                <w:b/>
                <w:bCs/>
                <w:sz w:val="18"/>
                <w:szCs w:val="18"/>
              </w:rPr>
              <w:t>2015</w:t>
            </w:r>
          </w:p>
        </w:tc>
        <w:tc>
          <w:tcPr>
            <w:tcW w:w="2030" w:type="dxa"/>
            <w:vAlign w:val="bottom"/>
          </w:tcPr>
          <w:p w14:paraId="32B1D1D5" w14:textId="77777777" w:rsidR="0051760F" w:rsidRPr="00604C75" w:rsidRDefault="0051760F" w:rsidP="00196A0E">
            <w:pPr>
              <w:tabs>
                <w:tab w:val="left" w:pos="0"/>
              </w:tabs>
              <w:spacing w:line="209" w:lineRule="auto"/>
              <w:jc w:val="right"/>
              <w:rPr>
                <w:b/>
                <w:iCs/>
                <w:sz w:val="18"/>
                <w:szCs w:val="18"/>
              </w:rPr>
            </w:pPr>
            <w:r w:rsidRPr="00604C75">
              <w:rPr>
                <w:b/>
                <w:iCs/>
                <w:sz w:val="18"/>
                <w:szCs w:val="18"/>
              </w:rPr>
              <w:t>31 December 2014</w:t>
            </w:r>
          </w:p>
        </w:tc>
      </w:tr>
      <w:tr w:rsidR="00224102" w:rsidRPr="00604C75" w14:paraId="2486A04D" w14:textId="77777777" w:rsidTr="00AD726D">
        <w:trPr>
          <w:trHeight w:val="255"/>
        </w:trPr>
        <w:tc>
          <w:tcPr>
            <w:tcW w:w="5194" w:type="dxa"/>
            <w:vAlign w:val="bottom"/>
          </w:tcPr>
          <w:p w14:paraId="2480B482" w14:textId="795FA50A"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09" w:lineRule="auto"/>
              <w:rPr>
                <w:rFonts w:eastAsia="Times New Roman"/>
                <w:snapToGrid w:val="0"/>
              </w:rPr>
            </w:pPr>
            <w:r w:rsidRPr="00604C75">
              <w:rPr>
                <w:noProof/>
                <w:color w:val="000000"/>
              </w:rPr>
              <w:t xml:space="preserve">Temporary </w:t>
            </w:r>
            <w:r>
              <w:rPr>
                <w:noProof/>
                <w:color w:val="000000"/>
              </w:rPr>
              <w:t>L</w:t>
            </w:r>
            <w:r w:rsidRPr="00604C75">
              <w:rPr>
                <w:noProof/>
                <w:color w:val="000000"/>
              </w:rPr>
              <w:t xml:space="preserve">etter of </w:t>
            </w:r>
            <w:r>
              <w:rPr>
                <w:noProof/>
                <w:color w:val="000000"/>
              </w:rPr>
              <w:t>G</w:t>
            </w:r>
            <w:r w:rsidRPr="00604C75">
              <w:rPr>
                <w:noProof/>
                <w:color w:val="000000"/>
              </w:rPr>
              <w:t>uarantees</w:t>
            </w:r>
          </w:p>
        </w:tc>
        <w:tc>
          <w:tcPr>
            <w:tcW w:w="2127" w:type="dxa"/>
            <w:vAlign w:val="bottom"/>
          </w:tcPr>
          <w:p w14:paraId="7899A32F" w14:textId="4C42292E" w:rsidR="00224102" w:rsidRDefault="00224102" w:rsidP="00224102">
            <w:pPr>
              <w:jc w:val="right"/>
              <w:rPr>
                <w:sz w:val="18"/>
                <w:szCs w:val="18"/>
              </w:rPr>
            </w:pPr>
            <w:r>
              <w:rPr>
                <w:sz w:val="18"/>
                <w:szCs w:val="18"/>
              </w:rPr>
              <w:t>59,692</w:t>
            </w:r>
          </w:p>
        </w:tc>
        <w:tc>
          <w:tcPr>
            <w:tcW w:w="2030" w:type="dxa"/>
            <w:vAlign w:val="bottom"/>
          </w:tcPr>
          <w:p w14:paraId="3916389D" w14:textId="2FE9DC30" w:rsidR="00224102" w:rsidRPr="00692926" w:rsidRDefault="00224102" w:rsidP="00224102">
            <w:pPr>
              <w:tabs>
                <w:tab w:val="left" w:pos="0"/>
              </w:tabs>
              <w:jc w:val="right"/>
              <w:rPr>
                <w:sz w:val="18"/>
                <w:szCs w:val="18"/>
              </w:rPr>
            </w:pPr>
            <w:r w:rsidRPr="00692926">
              <w:rPr>
                <w:sz w:val="18"/>
                <w:szCs w:val="18"/>
              </w:rPr>
              <w:t>77,099</w:t>
            </w:r>
          </w:p>
        </w:tc>
      </w:tr>
      <w:tr w:rsidR="00224102" w:rsidRPr="00604C75" w14:paraId="349F6C8B" w14:textId="77777777" w:rsidTr="00AD726D">
        <w:trPr>
          <w:trHeight w:val="255"/>
        </w:trPr>
        <w:tc>
          <w:tcPr>
            <w:tcW w:w="5194" w:type="dxa"/>
            <w:vAlign w:val="bottom"/>
          </w:tcPr>
          <w:p w14:paraId="5BC06577" w14:textId="19B05971" w:rsidR="00224102" w:rsidRPr="00604C75" w:rsidRDefault="00224102" w:rsidP="00224102">
            <w:pPr>
              <w:tabs>
                <w:tab w:val="left" w:pos="0"/>
              </w:tabs>
              <w:spacing w:line="209" w:lineRule="auto"/>
              <w:rPr>
                <w:snapToGrid w:val="0"/>
                <w:sz w:val="18"/>
                <w:szCs w:val="18"/>
              </w:rPr>
            </w:pPr>
            <w:r w:rsidRPr="00604C75">
              <w:rPr>
                <w:rFonts w:eastAsia="Arial Unicode MS"/>
                <w:noProof/>
                <w:color w:val="000000"/>
                <w:sz w:val="18"/>
                <w:szCs w:val="18"/>
              </w:rPr>
              <w:t xml:space="preserve">Definite </w:t>
            </w:r>
            <w:r>
              <w:rPr>
                <w:rFonts w:eastAsia="Arial Unicode MS"/>
                <w:noProof/>
                <w:color w:val="000000"/>
                <w:sz w:val="18"/>
                <w:szCs w:val="18"/>
              </w:rPr>
              <w:t>L</w:t>
            </w:r>
            <w:r w:rsidRPr="00604C75">
              <w:rPr>
                <w:rFonts w:eastAsia="Arial Unicode MS"/>
                <w:noProof/>
                <w:color w:val="000000"/>
                <w:sz w:val="18"/>
                <w:szCs w:val="18"/>
              </w:rPr>
              <w:t xml:space="preserve">etter of </w:t>
            </w:r>
            <w:r>
              <w:rPr>
                <w:rFonts w:eastAsia="Arial Unicode MS"/>
                <w:noProof/>
                <w:color w:val="000000"/>
                <w:sz w:val="18"/>
                <w:szCs w:val="18"/>
              </w:rPr>
              <w:t>G</w:t>
            </w:r>
            <w:r w:rsidRPr="00604C75">
              <w:rPr>
                <w:rFonts w:eastAsia="Arial Unicode MS"/>
                <w:noProof/>
                <w:color w:val="000000"/>
                <w:sz w:val="18"/>
                <w:szCs w:val="18"/>
              </w:rPr>
              <w:t>uarantees</w:t>
            </w:r>
          </w:p>
        </w:tc>
        <w:tc>
          <w:tcPr>
            <w:tcW w:w="2127" w:type="dxa"/>
            <w:vAlign w:val="bottom"/>
          </w:tcPr>
          <w:p w14:paraId="7F01689C" w14:textId="52C0CAD9" w:rsidR="00224102" w:rsidRDefault="00224102" w:rsidP="00224102">
            <w:pPr>
              <w:jc w:val="right"/>
              <w:rPr>
                <w:sz w:val="18"/>
                <w:szCs w:val="18"/>
              </w:rPr>
            </w:pPr>
            <w:r>
              <w:rPr>
                <w:sz w:val="18"/>
                <w:szCs w:val="18"/>
              </w:rPr>
              <w:t>1,967,090</w:t>
            </w:r>
          </w:p>
        </w:tc>
        <w:tc>
          <w:tcPr>
            <w:tcW w:w="2030" w:type="dxa"/>
            <w:vAlign w:val="bottom"/>
          </w:tcPr>
          <w:p w14:paraId="74171577" w14:textId="3A869EA0" w:rsidR="00224102" w:rsidRPr="00692926" w:rsidRDefault="00224102" w:rsidP="00224102">
            <w:pPr>
              <w:tabs>
                <w:tab w:val="left" w:pos="0"/>
              </w:tabs>
              <w:jc w:val="right"/>
              <w:rPr>
                <w:sz w:val="18"/>
                <w:szCs w:val="18"/>
              </w:rPr>
            </w:pPr>
            <w:r w:rsidRPr="00692926">
              <w:rPr>
                <w:sz w:val="18"/>
                <w:szCs w:val="18"/>
              </w:rPr>
              <w:t>1,546,741</w:t>
            </w:r>
          </w:p>
        </w:tc>
      </w:tr>
      <w:tr w:rsidR="00224102" w:rsidRPr="00604C75" w14:paraId="44E7EBD0" w14:textId="77777777" w:rsidTr="00AD726D">
        <w:trPr>
          <w:trHeight w:val="255"/>
        </w:trPr>
        <w:tc>
          <w:tcPr>
            <w:tcW w:w="5194" w:type="dxa"/>
            <w:vAlign w:val="bottom"/>
          </w:tcPr>
          <w:p w14:paraId="6313E324" w14:textId="1FBFA058" w:rsidR="00224102" w:rsidRPr="00604C75" w:rsidRDefault="00224102" w:rsidP="00224102">
            <w:pPr>
              <w:tabs>
                <w:tab w:val="left" w:pos="0"/>
              </w:tabs>
              <w:spacing w:line="209" w:lineRule="auto"/>
              <w:rPr>
                <w:snapToGrid w:val="0"/>
                <w:sz w:val="18"/>
                <w:szCs w:val="18"/>
              </w:rPr>
            </w:pPr>
            <w:r w:rsidRPr="00604C75">
              <w:rPr>
                <w:noProof/>
                <w:color w:val="000000"/>
                <w:sz w:val="18"/>
                <w:szCs w:val="18"/>
              </w:rPr>
              <w:t xml:space="preserve">Advance </w:t>
            </w:r>
            <w:r>
              <w:rPr>
                <w:noProof/>
                <w:color w:val="000000"/>
                <w:sz w:val="18"/>
                <w:szCs w:val="18"/>
              </w:rPr>
              <w:t>L</w:t>
            </w:r>
            <w:r w:rsidRPr="00604C75">
              <w:rPr>
                <w:noProof/>
                <w:color w:val="000000"/>
                <w:sz w:val="18"/>
                <w:szCs w:val="18"/>
              </w:rPr>
              <w:t xml:space="preserve">etter of </w:t>
            </w:r>
            <w:r>
              <w:rPr>
                <w:noProof/>
                <w:color w:val="000000"/>
                <w:sz w:val="18"/>
                <w:szCs w:val="18"/>
              </w:rPr>
              <w:t>G</w:t>
            </w:r>
            <w:r w:rsidRPr="00604C75">
              <w:rPr>
                <w:noProof/>
                <w:color w:val="000000"/>
                <w:sz w:val="18"/>
                <w:szCs w:val="18"/>
              </w:rPr>
              <w:t>uarantee</w:t>
            </w:r>
          </w:p>
        </w:tc>
        <w:tc>
          <w:tcPr>
            <w:tcW w:w="2127" w:type="dxa"/>
            <w:vAlign w:val="bottom"/>
          </w:tcPr>
          <w:p w14:paraId="0CFDC355" w14:textId="238DB4D3" w:rsidR="00224102" w:rsidRDefault="00224102" w:rsidP="00224102">
            <w:pPr>
              <w:jc w:val="right"/>
              <w:rPr>
                <w:sz w:val="18"/>
                <w:szCs w:val="18"/>
              </w:rPr>
            </w:pPr>
            <w:r>
              <w:rPr>
                <w:sz w:val="18"/>
                <w:szCs w:val="18"/>
              </w:rPr>
              <w:t>87,614</w:t>
            </w:r>
          </w:p>
        </w:tc>
        <w:tc>
          <w:tcPr>
            <w:tcW w:w="2030" w:type="dxa"/>
            <w:vAlign w:val="bottom"/>
          </w:tcPr>
          <w:p w14:paraId="7E3B52E4" w14:textId="63C592EA" w:rsidR="00224102" w:rsidRPr="00692926" w:rsidRDefault="00224102" w:rsidP="00224102">
            <w:pPr>
              <w:tabs>
                <w:tab w:val="left" w:pos="0"/>
              </w:tabs>
              <w:jc w:val="right"/>
              <w:rPr>
                <w:sz w:val="18"/>
                <w:szCs w:val="18"/>
              </w:rPr>
            </w:pPr>
            <w:r w:rsidRPr="00692926">
              <w:rPr>
                <w:sz w:val="18"/>
                <w:szCs w:val="18"/>
              </w:rPr>
              <w:t>85,710</w:t>
            </w:r>
          </w:p>
        </w:tc>
      </w:tr>
      <w:tr w:rsidR="00224102" w:rsidRPr="00604C75" w14:paraId="6B0217D7" w14:textId="77777777" w:rsidTr="00AD726D">
        <w:trPr>
          <w:trHeight w:val="255"/>
        </w:trPr>
        <w:tc>
          <w:tcPr>
            <w:tcW w:w="5194" w:type="dxa"/>
            <w:vAlign w:val="bottom"/>
          </w:tcPr>
          <w:p w14:paraId="104E757D" w14:textId="2DB8A8F2" w:rsidR="00224102" w:rsidRPr="00604C75" w:rsidRDefault="00224102" w:rsidP="00224102">
            <w:pPr>
              <w:tabs>
                <w:tab w:val="left" w:pos="0"/>
              </w:tabs>
              <w:spacing w:line="209" w:lineRule="auto"/>
              <w:rPr>
                <w:snapToGrid w:val="0"/>
                <w:sz w:val="18"/>
                <w:szCs w:val="18"/>
              </w:rPr>
            </w:pPr>
            <w:r w:rsidRPr="00604C75">
              <w:rPr>
                <w:noProof/>
                <w:color w:val="000000"/>
                <w:sz w:val="18"/>
                <w:szCs w:val="18"/>
              </w:rPr>
              <w:t xml:space="preserve">Letter of </w:t>
            </w:r>
            <w:r>
              <w:rPr>
                <w:noProof/>
                <w:color w:val="000000"/>
                <w:sz w:val="18"/>
                <w:szCs w:val="18"/>
              </w:rPr>
              <w:t>G</w:t>
            </w:r>
            <w:r w:rsidRPr="00604C75">
              <w:rPr>
                <w:noProof/>
                <w:color w:val="000000"/>
                <w:sz w:val="18"/>
                <w:szCs w:val="18"/>
              </w:rPr>
              <w:t xml:space="preserve">uarantees </w:t>
            </w:r>
            <w:r>
              <w:rPr>
                <w:noProof/>
                <w:color w:val="000000"/>
                <w:sz w:val="18"/>
                <w:szCs w:val="18"/>
              </w:rPr>
              <w:t>G</w:t>
            </w:r>
            <w:r w:rsidRPr="00604C75">
              <w:rPr>
                <w:noProof/>
                <w:color w:val="000000"/>
                <w:sz w:val="18"/>
                <w:szCs w:val="18"/>
              </w:rPr>
              <w:t xml:space="preserve">iven to </w:t>
            </w:r>
            <w:r>
              <w:rPr>
                <w:noProof/>
                <w:color w:val="000000"/>
                <w:sz w:val="18"/>
                <w:szCs w:val="18"/>
              </w:rPr>
              <w:t>C</w:t>
            </w:r>
            <w:r w:rsidRPr="00604C75">
              <w:rPr>
                <w:noProof/>
                <w:color w:val="000000"/>
                <w:sz w:val="18"/>
                <w:szCs w:val="18"/>
              </w:rPr>
              <w:t>ustoms</w:t>
            </w:r>
          </w:p>
        </w:tc>
        <w:tc>
          <w:tcPr>
            <w:tcW w:w="2127" w:type="dxa"/>
            <w:vAlign w:val="bottom"/>
          </w:tcPr>
          <w:p w14:paraId="2CFDF79B" w14:textId="3D7F495C" w:rsidR="00224102" w:rsidRDefault="00224102" w:rsidP="00224102">
            <w:pPr>
              <w:jc w:val="right"/>
              <w:rPr>
                <w:sz w:val="18"/>
                <w:szCs w:val="18"/>
              </w:rPr>
            </w:pPr>
            <w:r>
              <w:rPr>
                <w:sz w:val="18"/>
                <w:szCs w:val="18"/>
              </w:rPr>
              <w:t>126,668</w:t>
            </w:r>
          </w:p>
        </w:tc>
        <w:tc>
          <w:tcPr>
            <w:tcW w:w="2030" w:type="dxa"/>
            <w:vAlign w:val="bottom"/>
          </w:tcPr>
          <w:p w14:paraId="2610BBD1" w14:textId="21C298E4" w:rsidR="00224102" w:rsidRPr="00692926" w:rsidRDefault="00224102" w:rsidP="00224102">
            <w:pPr>
              <w:tabs>
                <w:tab w:val="left" w:pos="0"/>
              </w:tabs>
              <w:jc w:val="right"/>
              <w:rPr>
                <w:sz w:val="18"/>
                <w:szCs w:val="18"/>
              </w:rPr>
            </w:pPr>
            <w:r w:rsidRPr="00692926">
              <w:rPr>
                <w:sz w:val="18"/>
                <w:szCs w:val="18"/>
              </w:rPr>
              <w:t>145,692</w:t>
            </w:r>
          </w:p>
        </w:tc>
      </w:tr>
      <w:tr w:rsidR="00224102" w:rsidRPr="00604C75" w14:paraId="5C169F36" w14:textId="77777777" w:rsidTr="00AD726D">
        <w:trPr>
          <w:trHeight w:val="255"/>
        </w:trPr>
        <w:tc>
          <w:tcPr>
            <w:tcW w:w="5194" w:type="dxa"/>
            <w:vAlign w:val="bottom"/>
          </w:tcPr>
          <w:p w14:paraId="4A5987EB" w14:textId="77777777" w:rsidR="00224102" w:rsidRPr="00604C75" w:rsidRDefault="00224102" w:rsidP="00224102">
            <w:pPr>
              <w:tabs>
                <w:tab w:val="left" w:pos="0"/>
              </w:tabs>
              <w:spacing w:line="209" w:lineRule="auto"/>
              <w:rPr>
                <w:b/>
                <w:snapToGrid w:val="0"/>
                <w:sz w:val="18"/>
                <w:szCs w:val="18"/>
              </w:rPr>
            </w:pPr>
            <w:r w:rsidRPr="00604C75">
              <w:rPr>
                <w:b/>
                <w:snapToGrid w:val="0"/>
                <w:sz w:val="18"/>
                <w:szCs w:val="18"/>
              </w:rPr>
              <w:t>Total</w:t>
            </w:r>
          </w:p>
        </w:tc>
        <w:tc>
          <w:tcPr>
            <w:tcW w:w="2127" w:type="dxa"/>
            <w:vAlign w:val="bottom"/>
          </w:tcPr>
          <w:p w14:paraId="67C0231A" w14:textId="08644E5A" w:rsidR="00224102" w:rsidRPr="00692926" w:rsidRDefault="00224102" w:rsidP="00224102">
            <w:pPr>
              <w:tabs>
                <w:tab w:val="left" w:pos="0"/>
              </w:tabs>
              <w:jc w:val="right"/>
              <w:rPr>
                <w:b/>
                <w:sz w:val="18"/>
                <w:szCs w:val="18"/>
              </w:rPr>
            </w:pPr>
            <w:r>
              <w:rPr>
                <w:b/>
                <w:sz w:val="18"/>
                <w:szCs w:val="18"/>
              </w:rPr>
              <w:t>2,241,064</w:t>
            </w:r>
          </w:p>
        </w:tc>
        <w:tc>
          <w:tcPr>
            <w:tcW w:w="2030" w:type="dxa"/>
            <w:vAlign w:val="bottom"/>
          </w:tcPr>
          <w:p w14:paraId="510F8964" w14:textId="2B8CE8FD" w:rsidR="00224102" w:rsidRPr="00692926" w:rsidRDefault="00224102" w:rsidP="00224102">
            <w:pPr>
              <w:tabs>
                <w:tab w:val="left" w:pos="0"/>
              </w:tabs>
              <w:jc w:val="right"/>
              <w:rPr>
                <w:b/>
                <w:sz w:val="18"/>
                <w:szCs w:val="18"/>
              </w:rPr>
            </w:pPr>
            <w:r w:rsidRPr="00692926">
              <w:rPr>
                <w:b/>
                <w:sz w:val="18"/>
                <w:szCs w:val="18"/>
              </w:rPr>
              <w:t>1,855,242</w:t>
            </w:r>
          </w:p>
        </w:tc>
      </w:tr>
    </w:tbl>
    <w:p w14:paraId="6AE6CB4F" w14:textId="77777777" w:rsidR="00A27814" w:rsidRPr="00604C75" w:rsidRDefault="00A27814" w:rsidP="00D771CE">
      <w:pPr>
        <w:tabs>
          <w:tab w:val="left" w:pos="0"/>
          <w:tab w:val="left" w:pos="1701"/>
        </w:tabs>
        <w:spacing w:line="120" w:lineRule="auto"/>
        <w:jc w:val="both"/>
        <w:rPr>
          <w:noProof/>
          <w:sz w:val="20"/>
          <w:szCs w:val="20"/>
        </w:rPr>
      </w:pPr>
    </w:p>
    <w:p w14:paraId="331276BC" w14:textId="77777777" w:rsidR="0044575F" w:rsidRPr="00604C75" w:rsidRDefault="00D04472" w:rsidP="00D771CE">
      <w:pPr>
        <w:tabs>
          <w:tab w:val="left" w:pos="0"/>
          <w:tab w:val="left" w:pos="1701"/>
        </w:tabs>
        <w:jc w:val="both"/>
        <w:rPr>
          <w:noProof/>
          <w:sz w:val="20"/>
          <w:szCs w:val="20"/>
        </w:rPr>
      </w:pPr>
      <w:r w:rsidRPr="00604C75">
        <w:rPr>
          <w:noProof/>
          <w:sz w:val="20"/>
          <w:szCs w:val="20"/>
        </w:rPr>
        <w:t>3.</w:t>
      </w:r>
      <w:r w:rsidR="00746200" w:rsidRPr="00604C75">
        <w:rPr>
          <w:noProof/>
          <w:sz w:val="20"/>
          <w:szCs w:val="20"/>
        </w:rPr>
        <w:t>(</w:t>
      </w:r>
      <w:r w:rsidRPr="00604C75">
        <w:rPr>
          <w:noProof/>
          <w:sz w:val="20"/>
          <w:szCs w:val="20"/>
        </w:rPr>
        <w:t>i</w:t>
      </w:r>
      <w:r w:rsidR="00746200" w:rsidRPr="00604C75">
        <w:rPr>
          <w:noProof/>
          <w:sz w:val="20"/>
          <w:szCs w:val="20"/>
        </w:rPr>
        <w:t>)</w:t>
      </w:r>
      <w:r w:rsidR="0051760F" w:rsidRPr="00604C75">
        <w:rPr>
          <w:noProof/>
          <w:sz w:val="20"/>
          <w:szCs w:val="20"/>
        </w:rPr>
        <w:t xml:space="preserve">.    </w:t>
      </w:r>
      <w:r w:rsidR="002844B8" w:rsidRPr="00604C75">
        <w:rPr>
          <w:noProof/>
          <w:sz w:val="20"/>
          <w:szCs w:val="20"/>
        </w:rPr>
        <w:t>Total amount of non-cash loans</w:t>
      </w:r>
    </w:p>
    <w:p w14:paraId="6661C676" w14:textId="77777777" w:rsidR="0044575F" w:rsidRPr="00604C75" w:rsidRDefault="0044575F" w:rsidP="00D771CE">
      <w:pPr>
        <w:tabs>
          <w:tab w:val="left" w:pos="0"/>
          <w:tab w:val="left" w:pos="1701"/>
          <w:tab w:val="left" w:pos="2127"/>
        </w:tabs>
        <w:spacing w:line="120" w:lineRule="auto"/>
        <w:jc w:val="both"/>
        <w:rPr>
          <w:noProof/>
          <w:sz w:val="16"/>
          <w:szCs w:val="16"/>
        </w:rPr>
      </w:pPr>
    </w:p>
    <w:tbl>
      <w:tblPr>
        <w:tblW w:w="9351"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180"/>
        <w:gridCol w:w="2141"/>
        <w:gridCol w:w="2030"/>
      </w:tblGrid>
      <w:tr w:rsidR="0051760F" w:rsidRPr="00604C75" w14:paraId="361C7E27" w14:textId="77777777" w:rsidTr="00CD0767">
        <w:trPr>
          <w:trHeight w:val="255"/>
        </w:trPr>
        <w:tc>
          <w:tcPr>
            <w:tcW w:w="5180" w:type="dxa"/>
            <w:vAlign w:val="bottom"/>
          </w:tcPr>
          <w:p w14:paraId="50079799" w14:textId="77777777" w:rsidR="0051760F" w:rsidRPr="00604C75" w:rsidRDefault="0051760F" w:rsidP="00D771CE">
            <w:pPr>
              <w:tabs>
                <w:tab w:val="left" w:pos="0"/>
              </w:tabs>
              <w:rPr>
                <w:b/>
                <w:bCs/>
                <w:noProof/>
                <w:snapToGrid w:val="0"/>
                <w:sz w:val="18"/>
                <w:szCs w:val="18"/>
              </w:rPr>
            </w:pPr>
          </w:p>
        </w:tc>
        <w:tc>
          <w:tcPr>
            <w:tcW w:w="2141" w:type="dxa"/>
            <w:vAlign w:val="bottom"/>
          </w:tcPr>
          <w:p w14:paraId="4E4FB6A7" w14:textId="77777777" w:rsidR="0051760F" w:rsidRPr="00604C75" w:rsidRDefault="00313BC3" w:rsidP="00196A0E">
            <w:pPr>
              <w:tabs>
                <w:tab w:val="left" w:pos="0"/>
              </w:tabs>
              <w:spacing w:line="209" w:lineRule="auto"/>
              <w:jc w:val="right"/>
              <w:rPr>
                <w:b/>
                <w:iCs/>
                <w:sz w:val="18"/>
                <w:szCs w:val="18"/>
              </w:rPr>
            </w:pPr>
            <w:r>
              <w:rPr>
                <w:b/>
                <w:iCs/>
                <w:sz w:val="18"/>
                <w:szCs w:val="18"/>
              </w:rPr>
              <w:t>31 December</w:t>
            </w:r>
            <w:r w:rsidRPr="00604C75">
              <w:rPr>
                <w:b/>
                <w:iCs/>
                <w:sz w:val="18"/>
                <w:szCs w:val="18"/>
              </w:rPr>
              <w:t xml:space="preserve"> </w:t>
            </w:r>
            <w:r w:rsidRPr="00604C75">
              <w:rPr>
                <w:b/>
                <w:bCs/>
                <w:sz w:val="18"/>
                <w:szCs w:val="18"/>
              </w:rPr>
              <w:t>2015</w:t>
            </w:r>
          </w:p>
        </w:tc>
        <w:tc>
          <w:tcPr>
            <w:tcW w:w="2030" w:type="dxa"/>
            <w:vAlign w:val="bottom"/>
          </w:tcPr>
          <w:p w14:paraId="631EF7FD" w14:textId="77777777" w:rsidR="0051760F" w:rsidRPr="00604C75" w:rsidRDefault="0051760F" w:rsidP="00196A0E">
            <w:pPr>
              <w:tabs>
                <w:tab w:val="left" w:pos="0"/>
              </w:tabs>
              <w:spacing w:line="209" w:lineRule="auto"/>
              <w:jc w:val="right"/>
              <w:rPr>
                <w:b/>
                <w:iCs/>
                <w:sz w:val="18"/>
                <w:szCs w:val="18"/>
              </w:rPr>
            </w:pPr>
            <w:r w:rsidRPr="00604C75">
              <w:rPr>
                <w:b/>
                <w:iCs/>
                <w:sz w:val="18"/>
                <w:szCs w:val="18"/>
              </w:rPr>
              <w:t>31 December 2014</w:t>
            </w:r>
          </w:p>
        </w:tc>
      </w:tr>
      <w:tr w:rsidR="00224102" w:rsidRPr="00604C75" w14:paraId="47932E5E" w14:textId="77777777" w:rsidTr="00AD726D">
        <w:trPr>
          <w:trHeight w:val="255"/>
        </w:trPr>
        <w:tc>
          <w:tcPr>
            <w:tcW w:w="5180" w:type="dxa"/>
            <w:vAlign w:val="bottom"/>
          </w:tcPr>
          <w:p w14:paraId="7E205E74" w14:textId="022FC790"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rPr>
                <w:rFonts w:eastAsia="Times New Roman"/>
                <w:noProof/>
                <w:snapToGrid w:val="0"/>
              </w:rPr>
            </w:pPr>
            <w:r w:rsidRPr="00604C75">
              <w:rPr>
                <w:noProof/>
              </w:rPr>
              <w:t xml:space="preserve">Non-cash </w:t>
            </w:r>
            <w:r>
              <w:rPr>
                <w:noProof/>
              </w:rPr>
              <w:t>L</w:t>
            </w:r>
            <w:r w:rsidRPr="00604C75">
              <w:rPr>
                <w:noProof/>
              </w:rPr>
              <w:t xml:space="preserve">oans </w:t>
            </w:r>
            <w:r>
              <w:rPr>
                <w:noProof/>
              </w:rPr>
              <w:t>G</w:t>
            </w:r>
            <w:r w:rsidRPr="00604C75">
              <w:rPr>
                <w:noProof/>
              </w:rPr>
              <w:t xml:space="preserve">iven </w:t>
            </w:r>
            <w:r>
              <w:rPr>
                <w:noProof/>
              </w:rPr>
              <w:t>A</w:t>
            </w:r>
            <w:r w:rsidRPr="00604C75">
              <w:rPr>
                <w:noProof/>
              </w:rPr>
              <w:t>gainst</w:t>
            </w:r>
            <w:r>
              <w:rPr>
                <w:noProof/>
              </w:rPr>
              <w:t xml:space="preserve"> C</w:t>
            </w:r>
            <w:r w:rsidRPr="00604C75">
              <w:rPr>
                <w:noProof/>
              </w:rPr>
              <w:t xml:space="preserve">ash </w:t>
            </w:r>
            <w:r>
              <w:rPr>
                <w:noProof/>
              </w:rPr>
              <w:t>L</w:t>
            </w:r>
            <w:r w:rsidRPr="00604C75">
              <w:rPr>
                <w:noProof/>
              </w:rPr>
              <w:t>oans</w:t>
            </w:r>
          </w:p>
        </w:tc>
        <w:tc>
          <w:tcPr>
            <w:tcW w:w="2141" w:type="dxa"/>
            <w:vAlign w:val="bottom"/>
          </w:tcPr>
          <w:p w14:paraId="3AD48280" w14:textId="10346348" w:rsidR="00224102" w:rsidRDefault="00224102" w:rsidP="00224102">
            <w:pPr>
              <w:jc w:val="right"/>
              <w:rPr>
                <w:sz w:val="18"/>
                <w:szCs w:val="18"/>
              </w:rPr>
            </w:pPr>
            <w:r>
              <w:rPr>
                <w:sz w:val="18"/>
                <w:szCs w:val="18"/>
              </w:rPr>
              <w:t>424,226</w:t>
            </w:r>
          </w:p>
        </w:tc>
        <w:tc>
          <w:tcPr>
            <w:tcW w:w="2030" w:type="dxa"/>
            <w:vAlign w:val="bottom"/>
          </w:tcPr>
          <w:p w14:paraId="059F33CF" w14:textId="353D1C74" w:rsidR="00224102" w:rsidRPr="00692926" w:rsidRDefault="00224102" w:rsidP="00224102">
            <w:pPr>
              <w:tabs>
                <w:tab w:val="left" w:pos="0"/>
              </w:tabs>
              <w:jc w:val="right"/>
              <w:rPr>
                <w:sz w:val="18"/>
                <w:szCs w:val="18"/>
              </w:rPr>
            </w:pPr>
            <w:r w:rsidRPr="00692926">
              <w:rPr>
                <w:sz w:val="18"/>
                <w:szCs w:val="18"/>
              </w:rPr>
              <w:t>274,297</w:t>
            </w:r>
          </w:p>
        </w:tc>
      </w:tr>
      <w:tr w:rsidR="00224102" w:rsidRPr="00604C75" w14:paraId="572D4F70" w14:textId="77777777" w:rsidTr="00AD726D">
        <w:trPr>
          <w:trHeight w:val="255"/>
        </w:trPr>
        <w:tc>
          <w:tcPr>
            <w:tcW w:w="5180" w:type="dxa"/>
            <w:vAlign w:val="bottom"/>
          </w:tcPr>
          <w:p w14:paraId="74669F64" w14:textId="5D66A363" w:rsidR="00224102" w:rsidRPr="00604C75" w:rsidRDefault="00224102" w:rsidP="00224102">
            <w:pPr>
              <w:tabs>
                <w:tab w:val="left" w:pos="0"/>
              </w:tabs>
              <w:ind w:firstLine="112"/>
              <w:rPr>
                <w:noProof/>
                <w:snapToGrid w:val="0"/>
                <w:sz w:val="18"/>
                <w:szCs w:val="18"/>
              </w:rPr>
            </w:pPr>
            <w:r w:rsidRPr="00604C75">
              <w:rPr>
                <w:noProof/>
                <w:sz w:val="18"/>
                <w:szCs w:val="18"/>
              </w:rPr>
              <w:t xml:space="preserve">With </w:t>
            </w:r>
            <w:r>
              <w:rPr>
                <w:noProof/>
                <w:sz w:val="18"/>
                <w:szCs w:val="18"/>
              </w:rPr>
              <w:t>O</w:t>
            </w:r>
            <w:r w:rsidRPr="00604C75">
              <w:rPr>
                <w:noProof/>
                <w:sz w:val="18"/>
                <w:szCs w:val="18"/>
              </w:rPr>
              <w:t xml:space="preserve">riginal </w:t>
            </w:r>
            <w:r>
              <w:rPr>
                <w:noProof/>
                <w:sz w:val="18"/>
                <w:szCs w:val="18"/>
              </w:rPr>
              <w:t>M</w:t>
            </w:r>
            <w:r w:rsidRPr="00604C75">
              <w:rPr>
                <w:noProof/>
                <w:sz w:val="18"/>
                <w:szCs w:val="18"/>
              </w:rPr>
              <w:t xml:space="preserve">aturity of 1 </w:t>
            </w:r>
            <w:r>
              <w:rPr>
                <w:noProof/>
                <w:sz w:val="18"/>
                <w:szCs w:val="18"/>
              </w:rPr>
              <w:t>Y</w:t>
            </w:r>
            <w:r w:rsidRPr="00604C75">
              <w:rPr>
                <w:noProof/>
                <w:sz w:val="18"/>
                <w:szCs w:val="18"/>
              </w:rPr>
              <w:t xml:space="preserve">ear or </w:t>
            </w:r>
            <w:r>
              <w:rPr>
                <w:noProof/>
                <w:sz w:val="18"/>
                <w:szCs w:val="18"/>
              </w:rPr>
              <w:t>L</w:t>
            </w:r>
            <w:r w:rsidRPr="00604C75">
              <w:rPr>
                <w:noProof/>
                <w:sz w:val="18"/>
                <w:szCs w:val="18"/>
              </w:rPr>
              <w:t>ess than 1</w:t>
            </w:r>
            <w:r>
              <w:rPr>
                <w:noProof/>
                <w:sz w:val="18"/>
                <w:szCs w:val="18"/>
              </w:rPr>
              <w:t xml:space="preserve"> Y</w:t>
            </w:r>
            <w:r w:rsidRPr="00604C75">
              <w:rPr>
                <w:noProof/>
                <w:sz w:val="18"/>
                <w:szCs w:val="18"/>
              </w:rPr>
              <w:t>ear</w:t>
            </w:r>
          </w:p>
        </w:tc>
        <w:tc>
          <w:tcPr>
            <w:tcW w:w="2141" w:type="dxa"/>
            <w:vAlign w:val="bottom"/>
          </w:tcPr>
          <w:p w14:paraId="1FFDB7F7" w14:textId="3CD6C50D" w:rsidR="00224102" w:rsidRDefault="00224102" w:rsidP="00224102">
            <w:pPr>
              <w:jc w:val="right"/>
              <w:rPr>
                <w:sz w:val="18"/>
                <w:szCs w:val="18"/>
              </w:rPr>
            </w:pPr>
            <w:r>
              <w:rPr>
                <w:sz w:val="18"/>
                <w:szCs w:val="18"/>
              </w:rPr>
              <w:t>424,226</w:t>
            </w:r>
          </w:p>
        </w:tc>
        <w:tc>
          <w:tcPr>
            <w:tcW w:w="2030" w:type="dxa"/>
            <w:vAlign w:val="bottom"/>
          </w:tcPr>
          <w:p w14:paraId="6387434A" w14:textId="7018B7C7" w:rsidR="00224102" w:rsidRPr="00692926" w:rsidRDefault="00224102" w:rsidP="00224102">
            <w:pPr>
              <w:tabs>
                <w:tab w:val="left" w:pos="0"/>
              </w:tabs>
              <w:jc w:val="right"/>
              <w:rPr>
                <w:sz w:val="18"/>
                <w:szCs w:val="18"/>
              </w:rPr>
            </w:pPr>
            <w:r w:rsidRPr="00692926">
              <w:rPr>
                <w:sz w:val="18"/>
                <w:szCs w:val="18"/>
              </w:rPr>
              <w:t>274,297</w:t>
            </w:r>
          </w:p>
        </w:tc>
      </w:tr>
      <w:tr w:rsidR="00224102" w:rsidRPr="00604C75" w14:paraId="5A7E0120" w14:textId="77777777" w:rsidTr="00AD726D">
        <w:trPr>
          <w:trHeight w:val="255"/>
        </w:trPr>
        <w:tc>
          <w:tcPr>
            <w:tcW w:w="5180" w:type="dxa"/>
            <w:vAlign w:val="bottom"/>
          </w:tcPr>
          <w:p w14:paraId="004D6890" w14:textId="185C4956" w:rsidR="00224102" w:rsidRPr="00604C75" w:rsidRDefault="00224102" w:rsidP="00224102">
            <w:pPr>
              <w:tabs>
                <w:tab w:val="left" w:pos="0"/>
              </w:tabs>
              <w:ind w:firstLine="112"/>
              <w:rPr>
                <w:noProof/>
                <w:snapToGrid w:val="0"/>
                <w:sz w:val="18"/>
                <w:szCs w:val="18"/>
              </w:rPr>
            </w:pPr>
            <w:r w:rsidRPr="00604C75">
              <w:rPr>
                <w:noProof/>
                <w:sz w:val="18"/>
                <w:szCs w:val="18"/>
              </w:rPr>
              <w:t xml:space="preserve">With </w:t>
            </w:r>
            <w:r>
              <w:rPr>
                <w:noProof/>
                <w:sz w:val="18"/>
                <w:szCs w:val="18"/>
              </w:rPr>
              <w:t>O</w:t>
            </w:r>
            <w:r w:rsidRPr="00604C75">
              <w:rPr>
                <w:noProof/>
                <w:sz w:val="18"/>
                <w:szCs w:val="18"/>
              </w:rPr>
              <w:t xml:space="preserve">riginal </w:t>
            </w:r>
            <w:r>
              <w:rPr>
                <w:noProof/>
                <w:sz w:val="18"/>
                <w:szCs w:val="18"/>
              </w:rPr>
              <w:t>M</w:t>
            </w:r>
            <w:r w:rsidRPr="00604C75">
              <w:rPr>
                <w:noProof/>
                <w:sz w:val="18"/>
                <w:szCs w:val="18"/>
              </w:rPr>
              <w:t xml:space="preserve">aturity of </w:t>
            </w:r>
            <w:r>
              <w:rPr>
                <w:noProof/>
                <w:sz w:val="18"/>
                <w:szCs w:val="18"/>
              </w:rPr>
              <w:t>M</w:t>
            </w:r>
            <w:r w:rsidRPr="00604C75">
              <w:rPr>
                <w:noProof/>
                <w:sz w:val="18"/>
                <w:szCs w:val="18"/>
              </w:rPr>
              <w:t xml:space="preserve">ore than 1 </w:t>
            </w:r>
            <w:r>
              <w:rPr>
                <w:noProof/>
                <w:sz w:val="18"/>
                <w:szCs w:val="18"/>
              </w:rPr>
              <w:t>Y</w:t>
            </w:r>
            <w:r w:rsidRPr="00604C75">
              <w:rPr>
                <w:noProof/>
                <w:sz w:val="18"/>
                <w:szCs w:val="18"/>
              </w:rPr>
              <w:t>ear</w:t>
            </w:r>
          </w:p>
        </w:tc>
        <w:tc>
          <w:tcPr>
            <w:tcW w:w="2141" w:type="dxa"/>
            <w:vAlign w:val="bottom"/>
          </w:tcPr>
          <w:p w14:paraId="34B10CDE" w14:textId="1C4C41B4" w:rsidR="00224102" w:rsidRDefault="00224102" w:rsidP="00224102">
            <w:pPr>
              <w:jc w:val="right"/>
              <w:rPr>
                <w:sz w:val="18"/>
                <w:szCs w:val="18"/>
              </w:rPr>
            </w:pPr>
            <w:r>
              <w:rPr>
                <w:sz w:val="18"/>
                <w:szCs w:val="18"/>
              </w:rPr>
              <w:t>-</w:t>
            </w:r>
          </w:p>
        </w:tc>
        <w:tc>
          <w:tcPr>
            <w:tcW w:w="2030" w:type="dxa"/>
            <w:vAlign w:val="bottom"/>
          </w:tcPr>
          <w:p w14:paraId="07476F1B" w14:textId="5F51D770" w:rsidR="00224102" w:rsidRPr="00692926" w:rsidRDefault="00224102" w:rsidP="00224102">
            <w:pPr>
              <w:tabs>
                <w:tab w:val="left" w:pos="0"/>
              </w:tabs>
              <w:jc w:val="right"/>
              <w:rPr>
                <w:sz w:val="18"/>
                <w:szCs w:val="18"/>
              </w:rPr>
            </w:pPr>
            <w:r w:rsidRPr="00692926">
              <w:rPr>
                <w:sz w:val="18"/>
                <w:szCs w:val="18"/>
              </w:rPr>
              <w:t>-</w:t>
            </w:r>
          </w:p>
        </w:tc>
      </w:tr>
      <w:tr w:rsidR="00224102" w:rsidRPr="00604C75" w14:paraId="125BF3CC" w14:textId="77777777" w:rsidTr="00AD726D">
        <w:trPr>
          <w:trHeight w:val="255"/>
        </w:trPr>
        <w:tc>
          <w:tcPr>
            <w:tcW w:w="5180" w:type="dxa"/>
            <w:vAlign w:val="bottom"/>
          </w:tcPr>
          <w:p w14:paraId="2EFE09CF" w14:textId="7A5FA483" w:rsidR="00224102" w:rsidRPr="00604C75" w:rsidRDefault="00224102" w:rsidP="00224102">
            <w:pPr>
              <w:tabs>
                <w:tab w:val="left" w:pos="0"/>
              </w:tabs>
              <w:rPr>
                <w:noProof/>
                <w:snapToGrid w:val="0"/>
                <w:sz w:val="18"/>
                <w:szCs w:val="18"/>
              </w:rPr>
            </w:pPr>
            <w:r w:rsidRPr="00604C75">
              <w:rPr>
                <w:noProof/>
                <w:sz w:val="18"/>
                <w:szCs w:val="18"/>
              </w:rPr>
              <w:t xml:space="preserve">Other </w:t>
            </w:r>
            <w:r>
              <w:rPr>
                <w:noProof/>
                <w:sz w:val="18"/>
                <w:szCs w:val="18"/>
              </w:rPr>
              <w:t>N</w:t>
            </w:r>
            <w:r w:rsidRPr="00604C75">
              <w:rPr>
                <w:noProof/>
                <w:sz w:val="18"/>
                <w:szCs w:val="18"/>
              </w:rPr>
              <w:t xml:space="preserve">on-cash </w:t>
            </w:r>
            <w:r>
              <w:rPr>
                <w:noProof/>
                <w:sz w:val="18"/>
                <w:szCs w:val="18"/>
              </w:rPr>
              <w:t>L</w:t>
            </w:r>
            <w:r w:rsidRPr="00604C75">
              <w:rPr>
                <w:noProof/>
                <w:sz w:val="18"/>
                <w:szCs w:val="18"/>
              </w:rPr>
              <w:t>oans</w:t>
            </w:r>
          </w:p>
        </w:tc>
        <w:tc>
          <w:tcPr>
            <w:tcW w:w="2141" w:type="dxa"/>
            <w:vAlign w:val="bottom"/>
          </w:tcPr>
          <w:p w14:paraId="62CB143A" w14:textId="0B548306" w:rsidR="00224102" w:rsidRDefault="00224102" w:rsidP="00224102">
            <w:pPr>
              <w:jc w:val="right"/>
              <w:rPr>
                <w:sz w:val="18"/>
                <w:szCs w:val="18"/>
              </w:rPr>
            </w:pPr>
            <w:r>
              <w:rPr>
                <w:sz w:val="18"/>
                <w:szCs w:val="18"/>
              </w:rPr>
              <w:t>2,749,745</w:t>
            </w:r>
          </w:p>
        </w:tc>
        <w:tc>
          <w:tcPr>
            <w:tcW w:w="2030" w:type="dxa"/>
            <w:vAlign w:val="bottom"/>
          </w:tcPr>
          <w:p w14:paraId="23D3E098" w14:textId="7A2C36B8" w:rsidR="00224102" w:rsidRPr="00692926" w:rsidRDefault="00224102" w:rsidP="00224102">
            <w:pPr>
              <w:tabs>
                <w:tab w:val="left" w:pos="0"/>
              </w:tabs>
              <w:jc w:val="right"/>
              <w:rPr>
                <w:sz w:val="18"/>
                <w:szCs w:val="18"/>
              </w:rPr>
            </w:pPr>
            <w:r w:rsidRPr="00692926">
              <w:rPr>
                <w:sz w:val="18"/>
                <w:szCs w:val="18"/>
              </w:rPr>
              <w:t>1,999,868</w:t>
            </w:r>
          </w:p>
        </w:tc>
      </w:tr>
      <w:tr w:rsidR="00224102" w:rsidRPr="00604C75" w14:paraId="1E094CA2" w14:textId="77777777" w:rsidTr="00AD726D">
        <w:trPr>
          <w:trHeight w:val="255"/>
        </w:trPr>
        <w:tc>
          <w:tcPr>
            <w:tcW w:w="5180" w:type="dxa"/>
            <w:vAlign w:val="bottom"/>
          </w:tcPr>
          <w:p w14:paraId="6CA4A502" w14:textId="77777777" w:rsidR="00224102" w:rsidRPr="00604C75" w:rsidRDefault="00224102" w:rsidP="00224102">
            <w:pPr>
              <w:tabs>
                <w:tab w:val="left" w:pos="0"/>
              </w:tabs>
              <w:rPr>
                <w:b/>
                <w:noProof/>
                <w:snapToGrid w:val="0"/>
                <w:sz w:val="18"/>
                <w:szCs w:val="18"/>
              </w:rPr>
            </w:pPr>
            <w:r w:rsidRPr="00604C75">
              <w:rPr>
                <w:b/>
                <w:noProof/>
                <w:snapToGrid w:val="0"/>
                <w:sz w:val="18"/>
                <w:szCs w:val="18"/>
              </w:rPr>
              <w:t>Total</w:t>
            </w:r>
          </w:p>
        </w:tc>
        <w:tc>
          <w:tcPr>
            <w:tcW w:w="2141" w:type="dxa"/>
            <w:vAlign w:val="bottom"/>
          </w:tcPr>
          <w:p w14:paraId="035B3E02" w14:textId="572D0262" w:rsidR="00224102" w:rsidRPr="00692926" w:rsidRDefault="00224102" w:rsidP="00224102">
            <w:pPr>
              <w:tabs>
                <w:tab w:val="left" w:pos="0"/>
              </w:tabs>
              <w:jc w:val="right"/>
              <w:rPr>
                <w:b/>
                <w:sz w:val="18"/>
                <w:szCs w:val="18"/>
              </w:rPr>
            </w:pPr>
            <w:r>
              <w:rPr>
                <w:b/>
                <w:sz w:val="18"/>
                <w:szCs w:val="18"/>
              </w:rPr>
              <w:t>3,173,971</w:t>
            </w:r>
          </w:p>
        </w:tc>
        <w:tc>
          <w:tcPr>
            <w:tcW w:w="2030" w:type="dxa"/>
            <w:vAlign w:val="bottom"/>
          </w:tcPr>
          <w:p w14:paraId="5E668500" w14:textId="382D963A" w:rsidR="00224102" w:rsidRPr="00692926" w:rsidRDefault="00224102" w:rsidP="00224102">
            <w:pPr>
              <w:tabs>
                <w:tab w:val="left" w:pos="0"/>
              </w:tabs>
              <w:jc w:val="right"/>
              <w:rPr>
                <w:b/>
                <w:sz w:val="18"/>
                <w:szCs w:val="18"/>
              </w:rPr>
            </w:pPr>
            <w:r w:rsidRPr="00692926">
              <w:rPr>
                <w:b/>
                <w:sz w:val="18"/>
                <w:szCs w:val="18"/>
              </w:rPr>
              <w:t>2,274,165</w:t>
            </w:r>
          </w:p>
        </w:tc>
      </w:tr>
    </w:tbl>
    <w:p w14:paraId="65CDB173" w14:textId="2198B69D" w:rsidR="00746200" w:rsidRPr="00604C75" w:rsidRDefault="00B27B7B" w:rsidP="0032757D">
      <w:pPr>
        <w:pStyle w:val="BodyTextIndent"/>
        <w:pageBreakBefore/>
        <w:spacing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1F1D7760" w14:textId="77777777" w:rsidR="002844B8" w:rsidRPr="00604C75" w:rsidRDefault="002844B8" w:rsidP="002844B8">
      <w:pPr>
        <w:spacing w:line="209" w:lineRule="auto"/>
        <w:rPr>
          <w:sz w:val="16"/>
          <w:szCs w:val="16"/>
        </w:rPr>
      </w:pPr>
    </w:p>
    <w:p w14:paraId="4879553F" w14:textId="77777777" w:rsidR="00FC07B9" w:rsidRPr="00FC07B9" w:rsidRDefault="00FC07B9" w:rsidP="008477F3">
      <w:pPr>
        <w:pStyle w:val="ListParagraph"/>
        <w:numPr>
          <w:ilvl w:val="0"/>
          <w:numId w:val="49"/>
        </w:numPr>
        <w:tabs>
          <w:tab w:val="clear" w:pos="1080"/>
          <w:tab w:val="num" w:pos="709"/>
        </w:tabs>
        <w:spacing w:line="209" w:lineRule="auto"/>
        <w:ind w:left="709" w:hanging="709"/>
        <w:jc w:val="both"/>
        <w:rPr>
          <w:b/>
          <w:noProof/>
          <w:vanish/>
          <w:sz w:val="20"/>
          <w:szCs w:val="20"/>
        </w:rPr>
      </w:pPr>
    </w:p>
    <w:p w14:paraId="71C834A4" w14:textId="3DEDC7C4" w:rsidR="002844B8" w:rsidRPr="00604C75" w:rsidRDefault="000C09E6" w:rsidP="008477F3">
      <w:pPr>
        <w:pStyle w:val="ListParagraph"/>
        <w:numPr>
          <w:ilvl w:val="0"/>
          <w:numId w:val="49"/>
        </w:numPr>
        <w:tabs>
          <w:tab w:val="clear" w:pos="1080"/>
          <w:tab w:val="num" w:pos="709"/>
        </w:tabs>
        <w:spacing w:line="209" w:lineRule="auto"/>
        <w:ind w:left="709" w:hanging="709"/>
        <w:jc w:val="both"/>
        <w:rPr>
          <w:b/>
          <w:noProof/>
          <w:sz w:val="20"/>
          <w:szCs w:val="20"/>
        </w:rPr>
      </w:pPr>
      <w:r w:rsidRPr="00604C75">
        <w:rPr>
          <w:b/>
          <w:noProof/>
          <w:sz w:val="20"/>
          <w:szCs w:val="20"/>
        </w:rPr>
        <w:t>Explanations</w:t>
      </w:r>
      <w:r w:rsidR="00884814" w:rsidRPr="00604C75">
        <w:rPr>
          <w:b/>
          <w:noProof/>
          <w:sz w:val="20"/>
          <w:szCs w:val="20"/>
        </w:rPr>
        <w:t xml:space="preserve"> and Notes </w:t>
      </w:r>
      <w:r w:rsidR="00647320">
        <w:rPr>
          <w:b/>
          <w:noProof/>
          <w:sz w:val="20"/>
          <w:szCs w:val="20"/>
        </w:rPr>
        <w:t>on</w:t>
      </w:r>
      <w:r w:rsidR="00802D7D" w:rsidRPr="00604C75">
        <w:rPr>
          <w:b/>
          <w:noProof/>
          <w:sz w:val="20"/>
          <w:szCs w:val="20"/>
        </w:rPr>
        <w:t xml:space="preserve"> </w:t>
      </w:r>
      <w:r w:rsidRPr="00604C75">
        <w:rPr>
          <w:b/>
          <w:noProof/>
          <w:sz w:val="20"/>
          <w:szCs w:val="20"/>
        </w:rPr>
        <w:t>Off-Balance Sheet Accounts</w:t>
      </w:r>
      <w:r w:rsidRPr="00604C75" w:rsidDel="000C09E6">
        <w:rPr>
          <w:b/>
          <w:noProof/>
          <w:sz w:val="20"/>
          <w:szCs w:val="20"/>
        </w:rPr>
        <w:t xml:space="preserve"> </w:t>
      </w:r>
      <w:r w:rsidR="00306C9F" w:rsidRPr="00604C75">
        <w:rPr>
          <w:b/>
          <w:bCs/>
          <w:sz w:val="20"/>
          <w:szCs w:val="20"/>
        </w:rPr>
        <w:t>(Continued)</w:t>
      </w:r>
    </w:p>
    <w:p w14:paraId="289860DB" w14:textId="77777777" w:rsidR="002844B8" w:rsidRPr="00604C75" w:rsidRDefault="002844B8" w:rsidP="00A92FB2">
      <w:pPr>
        <w:tabs>
          <w:tab w:val="left" w:pos="0"/>
        </w:tabs>
        <w:spacing w:line="120" w:lineRule="auto"/>
        <w:jc w:val="both"/>
        <w:rPr>
          <w:sz w:val="20"/>
          <w:szCs w:val="20"/>
        </w:rPr>
      </w:pPr>
    </w:p>
    <w:p w14:paraId="78C86CF9" w14:textId="77777777" w:rsidR="002844B8" w:rsidRPr="00604C75" w:rsidRDefault="002844B8" w:rsidP="008477F3">
      <w:pPr>
        <w:pStyle w:val="ListParagraph"/>
        <w:numPr>
          <w:ilvl w:val="1"/>
          <w:numId w:val="49"/>
        </w:numPr>
        <w:tabs>
          <w:tab w:val="left" w:pos="0"/>
        </w:tabs>
        <w:spacing w:line="209" w:lineRule="auto"/>
        <w:ind w:left="709" w:hanging="709"/>
        <w:jc w:val="both"/>
        <w:rPr>
          <w:b/>
          <w:bCs/>
          <w:noProof/>
          <w:sz w:val="20"/>
          <w:szCs w:val="20"/>
        </w:rPr>
      </w:pPr>
      <w:r w:rsidRPr="00604C75">
        <w:rPr>
          <w:b/>
          <w:bCs/>
          <w:noProof/>
          <w:sz w:val="20"/>
          <w:szCs w:val="20"/>
        </w:rPr>
        <w:t>Information on off balance sheet commitments</w:t>
      </w:r>
      <w:r w:rsidR="00306C9F" w:rsidRPr="00604C75">
        <w:rPr>
          <w:b/>
          <w:bCs/>
          <w:noProof/>
          <w:sz w:val="20"/>
          <w:szCs w:val="20"/>
        </w:rPr>
        <w:t xml:space="preserve"> </w:t>
      </w:r>
      <w:r w:rsidR="00306C9F" w:rsidRPr="00604C75">
        <w:rPr>
          <w:b/>
          <w:bCs/>
          <w:sz w:val="20"/>
          <w:szCs w:val="20"/>
        </w:rPr>
        <w:t>(Continued)</w:t>
      </w:r>
    </w:p>
    <w:p w14:paraId="3C098E3C" w14:textId="77777777" w:rsidR="002844B8" w:rsidRPr="00604C75" w:rsidRDefault="002844B8" w:rsidP="00A92FB2">
      <w:pPr>
        <w:tabs>
          <w:tab w:val="left" w:pos="1701"/>
        </w:tabs>
        <w:spacing w:line="120" w:lineRule="auto"/>
        <w:jc w:val="both"/>
        <w:rPr>
          <w:sz w:val="20"/>
          <w:szCs w:val="20"/>
        </w:rPr>
      </w:pPr>
    </w:p>
    <w:p w14:paraId="55A25E59" w14:textId="77777777" w:rsidR="0044575F" w:rsidRPr="00604C75" w:rsidRDefault="00D04472" w:rsidP="00DE1552">
      <w:pPr>
        <w:tabs>
          <w:tab w:val="left" w:pos="1701"/>
        </w:tabs>
        <w:ind w:left="1701" w:hanging="1701"/>
        <w:jc w:val="both"/>
        <w:rPr>
          <w:sz w:val="20"/>
          <w:szCs w:val="20"/>
        </w:rPr>
      </w:pPr>
      <w:proofErr w:type="gramStart"/>
      <w:r w:rsidRPr="00604C75">
        <w:rPr>
          <w:sz w:val="20"/>
          <w:szCs w:val="20"/>
        </w:rPr>
        <w:t>3.</w:t>
      </w:r>
      <w:r w:rsidR="00746200" w:rsidRPr="00604C75">
        <w:rPr>
          <w:sz w:val="20"/>
          <w:szCs w:val="20"/>
        </w:rPr>
        <w:t>(</w:t>
      </w:r>
      <w:proofErr w:type="gramEnd"/>
      <w:r w:rsidR="0044575F" w:rsidRPr="00604C75">
        <w:rPr>
          <w:sz w:val="20"/>
          <w:szCs w:val="20"/>
        </w:rPr>
        <w:t>ii</w:t>
      </w:r>
      <w:r w:rsidR="00746200" w:rsidRPr="00604C75">
        <w:rPr>
          <w:sz w:val="20"/>
          <w:szCs w:val="20"/>
        </w:rPr>
        <w:t>)</w:t>
      </w:r>
      <w:r w:rsidR="0044575F" w:rsidRPr="00604C75">
        <w:rPr>
          <w:sz w:val="20"/>
          <w:szCs w:val="20"/>
        </w:rPr>
        <w:t>.</w:t>
      </w:r>
      <w:r w:rsidR="00746200" w:rsidRPr="00604C75">
        <w:rPr>
          <w:sz w:val="20"/>
          <w:szCs w:val="20"/>
        </w:rPr>
        <w:t xml:space="preserve"> </w:t>
      </w:r>
      <w:r w:rsidR="00E1482F" w:rsidRPr="00604C75">
        <w:rPr>
          <w:sz w:val="20"/>
          <w:szCs w:val="20"/>
        </w:rPr>
        <w:t xml:space="preserve">    </w:t>
      </w:r>
      <w:r w:rsidR="00615C94" w:rsidRPr="00604C75">
        <w:rPr>
          <w:sz w:val="20"/>
          <w:szCs w:val="20"/>
        </w:rPr>
        <w:t>Information on concentration of</w:t>
      </w:r>
      <w:r w:rsidR="0044575F" w:rsidRPr="00604C75">
        <w:rPr>
          <w:sz w:val="20"/>
          <w:szCs w:val="20"/>
        </w:rPr>
        <w:t xml:space="preserve"> </w:t>
      </w:r>
      <w:r w:rsidR="001655F9" w:rsidRPr="00604C75">
        <w:rPr>
          <w:sz w:val="20"/>
          <w:szCs w:val="20"/>
        </w:rPr>
        <w:t>non-cash</w:t>
      </w:r>
      <w:r w:rsidR="002844B8" w:rsidRPr="00604C75">
        <w:rPr>
          <w:sz w:val="20"/>
          <w:szCs w:val="20"/>
        </w:rPr>
        <w:t xml:space="preserve"> loans</w:t>
      </w:r>
    </w:p>
    <w:p w14:paraId="510A7245" w14:textId="77777777" w:rsidR="0044575F" w:rsidRPr="00604C75" w:rsidRDefault="0044575F" w:rsidP="00F26832">
      <w:pPr>
        <w:tabs>
          <w:tab w:val="left" w:pos="2268"/>
        </w:tabs>
        <w:spacing w:line="120" w:lineRule="auto"/>
        <w:ind w:left="2268" w:hanging="567"/>
        <w:jc w:val="both"/>
        <w:rPr>
          <w:sz w:val="16"/>
          <w:szCs w:val="16"/>
        </w:rPr>
      </w:pPr>
    </w:p>
    <w:tbl>
      <w:tblPr>
        <w:tblW w:w="9688"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480"/>
        <w:gridCol w:w="901"/>
        <w:gridCol w:w="901"/>
        <w:gridCol w:w="901"/>
        <w:gridCol w:w="901"/>
        <w:gridCol w:w="901"/>
        <w:gridCol w:w="901"/>
        <w:gridCol w:w="901"/>
        <w:gridCol w:w="901"/>
      </w:tblGrid>
      <w:tr w:rsidR="0044575F" w:rsidRPr="00604C75" w14:paraId="238BD7FF" w14:textId="77777777" w:rsidTr="00306C9F">
        <w:trPr>
          <w:trHeight w:val="134"/>
        </w:trPr>
        <w:tc>
          <w:tcPr>
            <w:tcW w:w="2480" w:type="dxa"/>
            <w:vAlign w:val="center"/>
          </w:tcPr>
          <w:p w14:paraId="18CE9729" w14:textId="77777777" w:rsidR="0044575F" w:rsidRPr="00604C75" w:rsidRDefault="0044575F" w:rsidP="00C22AF8">
            <w:pPr>
              <w:jc w:val="right"/>
              <w:rPr>
                <w:snapToGrid w:val="0"/>
                <w:sz w:val="18"/>
              </w:rPr>
            </w:pPr>
          </w:p>
        </w:tc>
        <w:tc>
          <w:tcPr>
            <w:tcW w:w="3604" w:type="dxa"/>
            <w:gridSpan w:val="4"/>
            <w:vAlign w:val="center"/>
          </w:tcPr>
          <w:p w14:paraId="4889CE6B" w14:textId="77777777" w:rsidR="0044575F" w:rsidRPr="00604C75" w:rsidRDefault="00A877A3">
            <w:pPr>
              <w:jc w:val="center"/>
              <w:rPr>
                <w:snapToGrid w:val="0"/>
                <w:sz w:val="18"/>
              </w:rPr>
            </w:pPr>
            <w:r>
              <w:rPr>
                <w:b/>
                <w:bCs/>
                <w:sz w:val="18"/>
                <w:szCs w:val="18"/>
              </w:rPr>
              <w:t>3</w:t>
            </w:r>
            <w:r w:rsidR="009B739C">
              <w:rPr>
                <w:b/>
                <w:bCs/>
                <w:sz w:val="18"/>
                <w:szCs w:val="18"/>
              </w:rPr>
              <w:t>1</w:t>
            </w:r>
            <w:r>
              <w:rPr>
                <w:b/>
                <w:bCs/>
                <w:sz w:val="18"/>
                <w:szCs w:val="18"/>
              </w:rPr>
              <w:t xml:space="preserve"> </w:t>
            </w:r>
            <w:r w:rsidR="009B739C">
              <w:rPr>
                <w:b/>
                <w:bCs/>
                <w:sz w:val="18"/>
                <w:szCs w:val="18"/>
              </w:rPr>
              <w:t>December</w:t>
            </w:r>
            <w:r w:rsidR="009B739C" w:rsidRPr="00604C75">
              <w:rPr>
                <w:b/>
                <w:bCs/>
                <w:sz w:val="18"/>
                <w:szCs w:val="18"/>
              </w:rPr>
              <w:t xml:space="preserve"> </w:t>
            </w:r>
            <w:r w:rsidR="00306C9F" w:rsidRPr="00604C75">
              <w:rPr>
                <w:b/>
                <w:bCs/>
                <w:sz w:val="18"/>
                <w:szCs w:val="18"/>
              </w:rPr>
              <w:t>2015</w:t>
            </w:r>
          </w:p>
        </w:tc>
        <w:tc>
          <w:tcPr>
            <w:tcW w:w="3604" w:type="dxa"/>
            <w:gridSpan w:val="4"/>
            <w:vAlign w:val="center"/>
          </w:tcPr>
          <w:p w14:paraId="69C0C67F" w14:textId="77777777" w:rsidR="0044575F" w:rsidRPr="00604C75" w:rsidRDefault="00306C9F" w:rsidP="00C22AF8">
            <w:pPr>
              <w:jc w:val="center"/>
              <w:rPr>
                <w:snapToGrid w:val="0"/>
                <w:sz w:val="18"/>
              </w:rPr>
            </w:pPr>
            <w:r w:rsidRPr="00604C75">
              <w:rPr>
                <w:b/>
                <w:snapToGrid w:val="0"/>
                <w:sz w:val="18"/>
                <w:szCs w:val="18"/>
              </w:rPr>
              <w:t>31 December 2014</w:t>
            </w:r>
          </w:p>
        </w:tc>
      </w:tr>
      <w:tr w:rsidR="0044575F" w:rsidRPr="00604C75" w14:paraId="2A9283ED" w14:textId="77777777" w:rsidTr="00306C9F">
        <w:trPr>
          <w:trHeight w:val="134"/>
        </w:trPr>
        <w:tc>
          <w:tcPr>
            <w:tcW w:w="2480" w:type="dxa"/>
            <w:vAlign w:val="center"/>
          </w:tcPr>
          <w:p w14:paraId="46EA0DA7" w14:textId="77777777" w:rsidR="0044575F" w:rsidRPr="00604C75" w:rsidRDefault="0044575F" w:rsidP="00C22AF8">
            <w:pPr>
              <w:jc w:val="right"/>
              <w:rPr>
                <w:snapToGrid w:val="0"/>
                <w:sz w:val="18"/>
              </w:rPr>
            </w:pPr>
          </w:p>
        </w:tc>
        <w:tc>
          <w:tcPr>
            <w:tcW w:w="901" w:type="dxa"/>
            <w:vAlign w:val="center"/>
          </w:tcPr>
          <w:p w14:paraId="1C1AAC77" w14:textId="77777777" w:rsidR="0044575F" w:rsidRPr="00604C75" w:rsidRDefault="0044575F" w:rsidP="00C22AF8">
            <w:pPr>
              <w:jc w:val="right"/>
              <w:rPr>
                <w:b/>
                <w:snapToGrid w:val="0"/>
                <w:sz w:val="18"/>
              </w:rPr>
            </w:pPr>
            <w:r w:rsidRPr="00604C75">
              <w:rPr>
                <w:b/>
                <w:snapToGrid w:val="0"/>
                <w:sz w:val="18"/>
              </w:rPr>
              <w:t>TL</w:t>
            </w:r>
          </w:p>
        </w:tc>
        <w:tc>
          <w:tcPr>
            <w:tcW w:w="901" w:type="dxa"/>
            <w:vAlign w:val="center"/>
          </w:tcPr>
          <w:p w14:paraId="4657212E" w14:textId="77777777" w:rsidR="0044575F" w:rsidRPr="00604C75" w:rsidRDefault="0044575F" w:rsidP="00C22AF8">
            <w:pPr>
              <w:jc w:val="right"/>
              <w:rPr>
                <w:b/>
                <w:snapToGrid w:val="0"/>
                <w:sz w:val="18"/>
              </w:rPr>
            </w:pPr>
            <w:r w:rsidRPr="00604C75">
              <w:rPr>
                <w:b/>
                <w:snapToGrid w:val="0"/>
                <w:sz w:val="18"/>
              </w:rPr>
              <w:t>(%)</w:t>
            </w:r>
          </w:p>
        </w:tc>
        <w:tc>
          <w:tcPr>
            <w:tcW w:w="901" w:type="dxa"/>
            <w:vAlign w:val="center"/>
          </w:tcPr>
          <w:p w14:paraId="17A0B449" w14:textId="77777777" w:rsidR="0044575F" w:rsidRPr="00604C75" w:rsidRDefault="0044575F" w:rsidP="00C22AF8">
            <w:pPr>
              <w:jc w:val="right"/>
              <w:rPr>
                <w:b/>
                <w:snapToGrid w:val="0"/>
                <w:sz w:val="18"/>
              </w:rPr>
            </w:pPr>
            <w:r w:rsidRPr="00604C75">
              <w:rPr>
                <w:b/>
                <w:snapToGrid w:val="0"/>
                <w:sz w:val="18"/>
              </w:rPr>
              <w:t>FC</w:t>
            </w:r>
          </w:p>
        </w:tc>
        <w:tc>
          <w:tcPr>
            <w:tcW w:w="901" w:type="dxa"/>
            <w:vAlign w:val="center"/>
          </w:tcPr>
          <w:p w14:paraId="0B310E71" w14:textId="77777777" w:rsidR="0044575F" w:rsidRPr="00604C75" w:rsidRDefault="0044575F" w:rsidP="00C22AF8">
            <w:pPr>
              <w:jc w:val="right"/>
              <w:rPr>
                <w:b/>
                <w:snapToGrid w:val="0"/>
                <w:sz w:val="18"/>
              </w:rPr>
            </w:pPr>
            <w:r w:rsidRPr="00604C75">
              <w:rPr>
                <w:b/>
                <w:snapToGrid w:val="0"/>
                <w:sz w:val="18"/>
              </w:rPr>
              <w:t>(%)</w:t>
            </w:r>
          </w:p>
        </w:tc>
        <w:tc>
          <w:tcPr>
            <w:tcW w:w="901" w:type="dxa"/>
            <w:vAlign w:val="center"/>
          </w:tcPr>
          <w:p w14:paraId="7403C82F" w14:textId="77777777" w:rsidR="0044575F" w:rsidRPr="00604C75" w:rsidRDefault="0044575F" w:rsidP="00C22AF8">
            <w:pPr>
              <w:jc w:val="right"/>
              <w:rPr>
                <w:b/>
                <w:snapToGrid w:val="0"/>
                <w:sz w:val="18"/>
              </w:rPr>
            </w:pPr>
            <w:r w:rsidRPr="00604C75">
              <w:rPr>
                <w:b/>
                <w:snapToGrid w:val="0"/>
                <w:sz w:val="18"/>
              </w:rPr>
              <w:t>TL</w:t>
            </w:r>
          </w:p>
        </w:tc>
        <w:tc>
          <w:tcPr>
            <w:tcW w:w="901" w:type="dxa"/>
            <w:vAlign w:val="center"/>
          </w:tcPr>
          <w:p w14:paraId="5023A9AF" w14:textId="77777777" w:rsidR="0044575F" w:rsidRPr="00604C75" w:rsidRDefault="0044575F" w:rsidP="00C22AF8">
            <w:pPr>
              <w:jc w:val="right"/>
              <w:rPr>
                <w:b/>
                <w:snapToGrid w:val="0"/>
                <w:sz w:val="18"/>
              </w:rPr>
            </w:pPr>
            <w:r w:rsidRPr="00604C75">
              <w:rPr>
                <w:b/>
                <w:snapToGrid w:val="0"/>
                <w:sz w:val="18"/>
              </w:rPr>
              <w:t>(%)</w:t>
            </w:r>
          </w:p>
        </w:tc>
        <w:tc>
          <w:tcPr>
            <w:tcW w:w="901" w:type="dxa"/>
            <w:vAlign w:val="center"/>
          </w:tcPr>
          <w:p w14:paraId="03318D19" w14:textId="77777777" w:rsidR="0044575F" w:rsidRPr="00604C75" w:rsidRDefault="0044575F" w:rsidP="00C22AF8">
            <w:pPr>
              <w:jc w:val="right"/>
              <w:rPr>
                <w:b/>
                <w:snapToGrid w:val="0"/>
                <w:sz w:val="18"/>
              </w:rPr>
            </w:pPr>
            <w:r w:rsidRPr="00604C75">
              <w:rPr>
                <w:b/>
                <w:snapToGrid w:val="0"/>
                <w:sz w:val="18"/>
              </w:rPr>
              <w:t>FC</w:t>
            </w:r>
          </w:p>
        </w:tc>
        <w:tc>
          <w:tcPr>
            <w:tcW w:w="901" w:type="dxa"/>
            <w:vAlign w:val="center"/>
          </w:tcPr>
          <w:p w14:paraId="1EFEA87D" w14:textId="77777777" w:rsidR="0044575F" w:rsidRPr="00604C75" w:rsidRDefault="0044575F" w:rsidP="00C22AF8">
            <w:pPr>
              <w:jc w:val="right"/>
              <w:rPr>
                <w:b/>
                <w:snapToGrid w:val="0"/>
                <w:sz w:val="18"/>
              </w:rPr>
            </w:pPr>
            <w:r w:rsidRPr="00604C75">
              <w:rPr>
                <w:b/>
                <w:snapToGrid w:val="0"/>
                <w:sz w:val="18"/>
              </w:rPr>
              <w:t>(%)</w:t>
            </w:r>
          </w:p>
        </w:tc>
      </w:tr>
      <w:tr w:rsidR="00224102" w:rsidRPr="00604C75" w14:paraId="593B0C0F" w14:textId="77777777" w:rsidTr="00306C9F">
        <w:trPr>
          <w:trHeight w:val="134"/>
        </w:trPr>
        <w:tc>
          <w:tcPr>
            <w:tcW w:w="2480" w:type="dxa"/>
            <w:vAlign w:val="bottom"/>
          </w:tcPr>
          <w:p w14:paraId="51DBF4A3" w14:textId="77777777" w:rsidR="00224102" w:rsidRPr="00604C75" w:rsidRDefault="00224102" w:rsidP="00224102">
            <w:pPr>
              <w:rPr>
                <w:rFonts w:eastAsia="Arial Unicode MS"/>
                <w:b/>
                <w:sz w:val="18"/>
                <w:szCs w:val="18"/>
              </w:rPr>
            </w:pPr>
            <w:r w:rsidRPr="00604C75">
              <w:rPr>
                <w:b/>
                <w:sz w:val="18"/>
                <w:szCs w:val="18"/>
              </w:rPr>
              <w:t>Agricultural</w:t>
            </w:r>
          </w:p>
        </w:tc>
        <w:tc>
          <w:tcPr>
            <w:tcW w:w="901" w:type="dxa"/>
            <w:vAlign w:val="bottom"/>
          </w:tcPr>
          <w:p w14:paraId="7E44ED60" w14:textId="7E66DBE6" w:rsidR="00224102" w:rsidRPr="0033358A" w:rsidRDefault="00224102" w:rsidP="00224102">
            <w:pPr>
              <w:jc w:val="right"/>
              <w:rPr>
                <w:b/>
                <w:sz w:val="18"/>
                <w:szCs w:val="18"/>
              </w:rPr>
            </w:pPr>
            <w:r w:rsidRPr="0033358A">
              <w:rPr>
                <w:b/>
                <w:sz w:val="18"/>
                <w:szCs w:val="18"/>
              </w:rPr>
              <w:t>11,155</w:t>
            </w:r>
          </w:p>
        </w:tc>
        <w:tc>
          <w:tcPr>
            <w:tcW w:w="901" w:type="dxa"/>
            <w:vAlign w:val="bottom"/>
          </w:tcPr>
          <w:p w14:paraId="355365C0" w14:textId="1B29CABA" w:rsidR="00224102" w:rsidRPr="0033358A" w:rsidRDefault="00224102" w:rsidP="00224102">
            <w:pPr>
              <w:jc w:val="right"/>
              <w:rPr>
                <w:b/>
                <w:sz w:val="18"/>
                <w:szCs w:val="18"/>
              </w:rPr>
            </w:pPr>
            <w:r w:rsidRPr="0033358A">
              <w:rPr>
                <w:b/>
                <w:sz w:val="18"/>
                <w:szCs w:val="18"/>
              </w:rPr>
              <w:t>0.91</w:t>
            </w:r>
          </w:p>
        </w:tc>
        <w:tc>
          <w:tcPr>
            <w:tcW w:w="901" w:type="dxa"/>
            <w:vAlign w:val="bottom"/>
          </w:tcPr>
          <w:p w14:paraId="5B73438D" w14:textId="6236830A" w:rsidR="00224102" w:rsidRPr="0033358A" w:rsidRDefault="00224102" w:rsidP="00224102">
            <w:pPr>
              <w:jc w:val="right"/>
              <w:rPr>
                <w:b/>
                <w:sz w:val="18"/>
                <w:szCs w:val="18"/>
              </w:rPr>
            </w:pPr>
            <w:r w:rsidRPr="0033358A">
              <w:rPr>
                <w:b/>
                <w:sz w:val="18"/>
                <w:szCs w:val="18"/>
              </w:rPr>
              <w:t>9,638</w:t>
            </w:r>
          </w:p>
        </w:tc>
        <w:tc>
          <w:tcPr>
            <w:tcW w:w="901" w:type="dxa"/>
            <w:vAlign w:val="bottom"/>
          </w:tcPr>
          <w:p w14:paraId="6FF35907" w14:textId="2AE3AE8D" w:rsidR="00224102" w:rsidRPr="0033358A" w:rsidRDefault="00224102" w:rsidP="00224102">
            <w:pPr>
              <w:jc w:val="right"/>
              <w:rPr>
                <w:b/>
                <w:sz w:val="18"/>
                <w:szCs w:val="18"/>
              </w:rPr>
            </w:pPr>
            <w:r w:rsidRPr="0033358A">
              <w:rPr>
                <w:b/>
                <w:sz w:val="18"/>
                <w:szCs w:val="18"/>
              </w:rPr>
              <w:t>0.50</w:t>
            </w:r>
          </w:p>
        </w:tc>
        <w:tc>
          <w:tcPr>
            <w:tcW w:w="901" w:type="dxa"/>
            <w:vAlign w:val="bottom"/>
          </w:tcPr>
          <w:p w14:paraId="65AB5574" w14:textId="14E38704" w:rsidR="00224102" w:rsidRPr="00692926" w:rsidRDefault="00224102" w:rsidP="00224102">
            <w:pPr>
              <w:tabs>
                <w:tab w:val="left" w:pos="0"/>
              </w:tabs>
              <w:jc w:val="right"/>
              <w:rPr>
                <w:b/>
                <w:sz w:val="18"/>
                <w:szCs w:val="18"/>
              </w:rPr>
            </w:pPr>
            <w:r w:rsidRPr="00692926">
              <w:rPr>
                <w:b/>
                <w:sz w:val="18"/>
                <w:szCs w:val="18"/>
              </w:rPr>
              <w:t>19,277</w:t>
            </w:r>
          </w:p>
        </w:tc>
        <w:tc>
          <w:tcPr>
            <w:tcW w:w="901" w:type="dxa"/>
            <w:vAlign w:val="bottom"/>
          </w:tcPr>
          <w:p w14:paraId="78FA4357" w14:textId="0679EAA6" w:rsidR="00224102" w:rsidRPr="00692926" w:rsidRDefault="00224102" w:rsidP="00224102">
            <w:pPr>
              <w:tabs>
                <w:tab w:val="left" w:pos="0"/>
              </w:tabs>
              <w:jc w:val="right"/>
              <w:rPr>
                <w:b/>
                <w:sz w:val="18"/>
                <w:szCs w:val="18"/>
              </w:rPr>
            </w:pPr>
            <w:r w:rsidRPr="00692926">
              <w:rPr>
                <w:b/>
                <w:sz w:val="18"/>
                <w:szCs w:val="18"/>
              </w:rPr>
              <w:t>1.50</w:t>
            </w:r>
          </w:p>
        </w:tc>
        <w:tc>
          <w:tcPr>
            <w:tcW w:w="901" w:type="dxa"/>
            <w:vAlign w:val="bottom"/>
          </w:tcPr>
          <w:p w14:paraId="33F658A4" w14:textId="395768BE" w:rsidR="00224102" w:rsidRPr="00692926" w:rsidRDefault="00224102" w:rsidP="00224102">
            <w:pPr>
              <w:tabs>
                <w:tab w:val="left" w:pos="0"/>
              </w:tabs>
              <w:jc w:val="right"/>
              <w:rPr>
                <w:b/>
                <w:sz w:val="18"/>
                <w:szCs w:val="18"/>
              </w:rPr>
            </w:pPr>
            <w:r w:rsidRPr="00692926">
              <w:rPr>
                <w:b/>
                <w:sz w:val="18"/>
                <w:szCs w:val="18"/>
              </w:rPr>
              <w:t>15,032</w:t>
            </w:r>
          </w:p>
        </w:tc>
        <w:tc>
          <w:tcPr>
            <w:tcW w:w="901" w:type="dxa"/>
            <w:vAlign w:val="bottom"/>
          </w:tcPr>
          <w:p w14:paraId="0CB3651F" w14:textId="3FD9AC90" w:rsidR="00224102" w:rsidRPr="00692926" w:rsidRDefault="00224102" w:rsidP="00224102">
            <w:pPr>
              <w:tabs>
                <w:tab w:val="left" w:pos="0"/>
              </w:tabs>
              <w:jc w:val="right"/>
              <w:rPr>
                <w:b/>
                <w:sz w:val="18"/>
                <w:szCs w:val="18"/>
              </w:rPr>
            </w:pPr>
            <w:r w:rsidRPr="00692926">
              <w:rPr>
                <w:b/>
                <w:sz w:val="18"/>
                <w:szCs w:val="18"/>
              </w:rPr>
              <w:t>1.52</w:t>
            </w:r>
          </w:p>
        </w:tc>
      </w:tr>
      <w:tr w:rsidR="00224102" w:rsidRPr="00604C75" w14:paraId="219E471F" w14:textId="77777777" w:rsidTr="00306C9F">
        <w:trPr>
          <w:trHeight w:val="134"/>
        </w:trPr>
        <w:tc>
          <w:tcPr>
            <w:tcW w:w="2480" w:type="dxa"/>
            <w:vAlign w:val="bottom"/>
          </w:tcPr>
          <w:p w14:paraId="494A8553" w14:textId="77777777" w:rsidR="00224102" w:rsidRPr="00604C75" w:rsidRDefault="00224102" w:rsidP="00224102">
            <w:pPr>
              <w:ind w:left="36" w:firstLine="76"/>
              <w:rPr>
                <w:sz w:val="18"/>
                <w:szCs w:val="18"/>
              </w:rPr>
            </w:pPr>
            <w:r w:rsidRPr="00604C75">
              <w:rPr>
                <w:sz w:val="18"/>
                <w:szCs w:val="18"/>
              </w:rPr>
              <w:t>Farming and Livestock</w:t>
            </w:r>
          </w:p>
        </w:tc>
        <w:tc>
          <w:tcPr>
            <w:tcW w:w="901" w:type="dxa"/>
            <w:vAlign w:val="bottom"/>
          </w:tcPr>
          <w:p w14:paraId="4AE98DE1" w14:textId="3BA1B94A" w:rsidR="00224102" w:rsidRDefault="00224102" w:rsidP="00224102">
            <w:pPr>
              <w:jc w:val="right"/>
              <w:rPr>
                <w:sz w:val="18"/>
                <w:szCs w:val="18"/>
              </w:rPr>
            </w:pPr>
            <w:r>
              <w:rPr>
                <w:sz w:val="18"/>
                <w:szCs w:val="18"/>
              </w:rPr>
              <w:t>10,046</w:t>
            </w:r>
          </w:p>
        </w:tc>
        <w:tc>
          <w:tcPr>
            <w:tcW w:w="901" w:type="dxa"/>
            <w:vAlign w:val="bottom"/>
          </w:tcPr>
          <w:p w14:paraId="7CF4CA93" w14:textId="3FF5B146" w:rsidR="00224102" w:rsidRDefault="00224102" w:rsidP="00224102">
            <w:pPr>
              <w:jc w:val="right"/>
              <w:rPr>
                <w:sz w:val="18"/>
                <w:szCs w:val="18"/>
              </w:rPr>
            </w:pPr>
            <w:r>
              <w:rPr>
                <w:sz w:val="18"/>
                <w:szCs w:val="18"/>
              </w:rPr>
              <w:t>0.82</w:t>
            </w:r>
          </w:p>
        </w:tc>
        <w:tc>
          <w:tcPr>
            <w:tcW w:w="901" w:type="dxa"/>
            <w:vAlign w:val="bottom"/>
          </w:tcPr>
          <w:p w14:paraId="560C6170" w14:textId="151930D8" w:rsidR="00224102" w:rsidRDefault="00224102" w:rsidP="00224102">
            <w:pPr>
              <w:jc w:val="right"/>
              <w:rPr>
                <w:sz w:val="18"/>
                <w:szCs w:val="18"/>
              </w:rPr>
            </w:pPr>
            <w:r>
              <w:rPr>
                <w:sz w:val="18"/>
                <w:szCs w:val="18"/>
              </w:rPr>
              <w:t>9,638</w:t>
            </w:r>
          </w:p>
        </w:tc>
        <w:tc>
          <w:tcPr>
            <w:tcW w:w="901" w:type="dxa"/>
            <w:vAlign w:val="bottom"/>
          </w:tcPr>
          <w:p w14:paraId="3402DF3A" w14:textId="24E82B9B" w:rsidR="00224102" w:rsidRDefault="00224102" w:rsidP="00224102">
            <w:pPr>
              <w:jc w:val="right"/>
              <w:rPr>
                <w:sz w:val="18"/>
                <w:szCs w:val="18"/>
              </w:rPr>
            </w:pPr>
            <w:r>
              <w:rPr>
                <w:sz w:val="18"/>
                <w:szCs w:val="18"/>
              </w:rPr>
              <w:t>0.50</w:t>
            </w:r>
          </w:p>
        </w:tc>
        <w:tc>
          <w:tcPr>
            <w:tcW w:w="901" w:type="dxa"/>
            <w:vAlign w:val="bottom"/>
          </w:tcPr>
          <w:p w14:paraId="6D3A903B" w14:textId="4482D747" w:rsidR="00224102" w:rsidRPr="00692926" w:rsidRDefault="00224102" w:rsidP="00224102">
            <w:pPr>
              <w:tabs>
                <w:tab w:val="left" w:pos="0"/>
              </w:tabs>
              <w:jc w:val="right"/>
              <w:rPr>
                <w:sz w:val="18"/>
                <w:szCs w:val="18"/>
              </w:rPr>
            </w:pPr>
            <w:r w:rsidRPr="00692926">
              <w:rPr>
                <w:sz w:val="18"/>
                <w:szCs w:val="18"/>
              </w:rPr>
              <w:t>18,172</w:t>
            </w:r>
          </w:p>
        </w:tc>
        <w:tc>
          <w:tcPr>
            <w:tcW w:w="901" w:type="dxa"/>
            <w:vAlign w:val="bottom"/>
          </w:tcPr>
          <w:p w14:paraId="7ABC114E" w14:textId="3E3AF34C" w:rsidR="00224102" w:rsidRPr="00692926" w:rsidRDefault="00224102" w:rsidP="00224102">
            <w:pPr>
              <w:tabs>
                <w:tab w:val="left" w:pos="0"/>
              </w:tabs>
              <w:jc w:val="right"/>
              <w:rPr>
                <w:sz w:val="18"/>
                <w:szCs w:val="18"/>
              </w:rPr>
            </w:pPr>
            <w:r w:rsidRPr="00692926">
              <w:rPr>
                <w:sz w:val="18"/>
                <w:szCs w:val="18"/>
              </w:rPr>
              <w:t>1.41</w:t>
            </w:r>
          </w:p>
        </w:tc>
        <w:tc>
          <w:tcPr>
            <w:tcW w:w="901" w:type="dxa"/>
            <w:vAlign w:val="bottom"/>
          </w:tcPr>
          <w:p w14:paraId="1BF0D081" w14:textId="39009497" w:rsidR="00224102" w:rsidRPr="00692926" w:rsidRDefault="00224102" w:rsidP="00224102">
            <w:pPr>
              <w:tabs>
                <w:tab w:val="left" w:pos="0"/>
              </w:tabs>
              <w:jc w:val="right"/>
              <w:rPr>
                <w:sz w:val="18"/>
                <w:szCs w:val="18"/>
              </w:rPr>
            </w:pPr>
            <w:r w:rsidRPr="00692926">
              <w:rPr>
                <w:sz w:val="18"/>
                <w:szCs w:val="18"/>
              </w:rPr>
              <w:t>15,032</w:t>
            </w:r>
          </w:p>
        </w:tc>
        <w:tc>
          <w:tcPr>
            <w:tcW w:w="901" w:type="dxa"/>
            <w:vAlign w:val="bottom"/>
          </w:tcPr>
          <w:p w14:paraId="007B9F63" w14:textId="553E0B94" w:rsidR="00224102" w:rsidRPr="00692926" w:rsidRDefault="00224102" w:rsidP="00224102">
            <w:pPr>
              <w:tabs>
                <w:tab w:val="left" w:pos="0"/>
              </w:tabs>
              <w:jc w:val="right"/>
              <w:rPr>
                <w:sz w:val="18"/>
                <w:szCs w:val="18"/>
              </w:rPr>
            </w:pPr>
            <w:r w:rsidRPr="00692926">
              <w:rPr>
                <w:sz w:val="18"/>
                <w:szCs w:val="18"/>
              </w:rPr>
              <w:t>1.52</w:t>
            </w:r>
          </w:p>
        </w:tc>
      </w:tr>
      <w:tr w:rsidR="00224102" w:rsidRPr="00604C75" w14:paraId="6A262C40" w14:textId="77777777" w:rsidTr="00306C9F">
        <w:trPr>
          <w:trHeight w:val="134"/>
        </w:trPr>
        <w:tc>
          <w:tcPr>
            <w:tcW w:w="2480" w:type="dxa"/>
            <w:vAlign w:val="bottom"/>
          </w:tcPr>
          <w:p w14:paraId="501B45E8" w14:textId="77777777" w:rsidR="00224102" w:rsidRPr="00604C75" w:rsidRDefault="00224102" w:rsidP="00224102">
            <w:pPr>
              <w:ind w:left="36" w:firstLine="76"/>
              <w:rPr>
                <w:sz w:val="18"/>
                <w:szCs w:val="18"/>
              </w:rPr>
            </w:pPr>
            <w:r w:rsidRPr="00604C75">
              <w:rPr>
                <w:sz w:val="18"/>
                <w:szCs w:val="18"/>
              </w:rPr>
              <w:t>Forestry</w:t>
            </w:r>
          </w:p>
        </w:tc>
        <w:tc>
          <w:tcPr>
            <w:tcW w:w="901" w:type="dxa"/>
            <w:vAlign w:val="bottom"/>
          </w:tcPr>
          <w:p w14:paraId="4155ABDC" w14:textId="1AC2F9B9" w:rsidR="00224102" w:rsidRDefault="00224102" w:rsidP="00224102">
            <w:pPr>
              <w:jc w:val="right"/>
              <w:rPr>
                <w:sz w:val="18"/>
                <w:szCs w:val="18"/>
              </w:rPr>
            </w:pPr>
            <w:r>
              <w:rPr>
                <w:sz w:val="18"/>
                <w:szCs w:val="18"/>
              </w:rPr>
              <w:t>803</w:t>
            </w:r>
          </w:p>
        </w:tc>
        <w:tc>
          <w:tcPr>
            <w:tcW w:w="901" w:type="dxa"/>
            <w:vAlign w:val="bottom"/>
          </w:tcPr>
          <w:p w14:paraId="0EAEFF86" w14:textId="393B1509" w:rsidR="00224102" w:rsidRDefault="00224102" w:rsidP="00224102">
            <w:pPr>
              <w:jc w:val="right"/>
              <w:rPr>
                <w:sz w:val="18"/>
                <w:szCs w:val="18"/>
              </w:rPr>
            </w:pPr>
            <w:r>
              <w:rPr>
                <w:sz w:val="18"/>
                <w:szCs w:val="18"/>
              </w:rPr>
              <w:t>0.07</w:t>
            </w:r>
          </w:p>
        </w:tc>
        <w:tc>
          <w:tcPr>
            <w:tcW w:w="901" w:type="dxa"/>
            <w:vAlign w:val="bottom"/>
          </w:tcPr>
          <w:p w14:paraId="6A8D8108" w14:textId="40856C50" w:rsidR="00224102" w:rsidRPr="00692926" w:rsidRDefault="00224102" w:rsidP="00224102">
            <w:pPr>
              <w:tabs>
                <w:tab w:val="left" w:pos="0"/>
              </w:tabs>
              <w:jc w:val="right"/>
              <w:rPr>
                <w:sz w:val="18"/>
                <w:szCs w:val="18"/>
              </w:rPr>
            </w:pPr>
            <w:r w:rsidRPr="00692926">
              <w:rPr>
                <w:sz w:val="18"/>
                <w:szCs w:val="18"/>
              </w:rPr>
              <w:t>-</w:t>
            </w:r>
          </w:p>
        </w:tc>
        <w:tc>
          <w:tcPr>
            <w:tcW w:w="901" w:type="dxa"/>
            <w:vAlign w:val="bottom"/>
          </w:tcPr>
          <w:p w14:paraId="519C0970" w14:textId="6214E6F7" w:rsidR="00224102" w:rsidRPr="00692926" w:rsidRDefault="00224102" w:rsidP="00224102">
            <w:pPr>
              <w:tabs>
                <w:tab w:val="left" w:pos="0"/>
              </w:tabs>
              <w:jc w:val="right"/>
              <w:rPr>
                <w:sz w:val="18"/>
                <w:szCs w:val="18"/>
              </w:rPr>
            </w:pPr>
            <w:r w:rsidRPr="00692926">
              <w:rPr>
                <w:sz w:val="18"/>
                <w:szCs w:val="18"/>
              </w:rPr>
              <w:t>-</w:t>
            </w:r>
          </w:p>
        </w:tc>
        <w:tc>
          <w:tcPr>
            <w:tcW w:w="901" w:type="dxa"/>
            <w:vAlign w:val="bottom"/>
          </w:tcPr>
          <w:p w14:paraId="6A22FF5A" w14:textId="70412F4F" w:rsidR="00224102" w:rsidRPr="00692926" w:rsidRDefault="00224102" w:rsidP="00224102">
            <w:pPr>
              <w:tabs>
                <w:tab w:val="left" w:pos="0"/>
              </w:tabs>
              <w:jc w:val="right"/>
              <w:rPr>
                <w:sz w:val="18"/>
                <w:szCs w:val="18"/>
              </w:rPr>
            </w:pPr>
            <w:r w:rsidRPr="00692926">
              <w:rPr>
                <w:sz w:val="18"/>
                <w:szCs w:val="18"/>
              </w:rPr>
              <w:t>677</w:t>
            </w:r>
          </w:p>
        </w:tc>
        <w:tc>
          <w:tcPr>
            <w:tcW w:w="901" w:type="dxa"/>
            <w:vAlign w:val="bottom"/>
          </w:tcPr>
          <w:p w14:paraId="5BAB0E96" w14:textId="737BBB76" w:rsidR="00224102" w:rsidRPr="00692926" w:rsidRDefault="00224102" w:rsidP="00224102">
            <w:pPr>
              <w:tabs>
                <w:tab w:val="left" w:pos="0"/>
              </w:tabs>
              <w:jc w:val="right"/>
              <w:rPr>
                <w:sz w:val="18"/>
                <w:szCs w:val="18"/>
              </w:rPr>
            </w:pPr>
            <w:r w:rsidRPr="00692926">
              <w:rPr>
                <w:sz w:val="18"/>
                <w:szCs w:val="18"/>
              </w:rPr>
              <w:t>0.05</w:t>
            </w:r>
          </w:p>
        </w:tc>
        <w:tc>
          <w:tcPr>
            <w:tcW w:w="901" w:type="dxa"/>
            <w:vAlign w:val="bottom"/>
          </w:tcPr>
          <w:p w14:paraId="4C5B8A1A" w14:textId="09EBB253" w:rsidR="00224102" w:rsidRPr="00692926" w:rsidRDefault="00224102" w:rsidP="00224102">
            <w:pPr>
              <w:tabs>
                <w:tab w:val="left" w:pos="0"/>
              </w:tabs>
              <w:jc w:val="right"/>
              <w:rPr>
                <w:sz w:val="18"/>
                <w:szCs w:val="18"/>
              </w:rPr>
            </w:pPr>
            <w:r w:rsidRPr="00692926">
              <w:rPr>
                <w:sz w:val="18"/>
                <w:szCs w:val="18"/>
              </w:rPr>
              <w:t>-</w:t>
            </w:r>
          </w:p>
        </w:tc>
        <w:tc>
          <w:tcPr>
            <w:tcW w:w="901" w:type="dxa"/>
            <w:vAlign w:val="bottom"/>
          </w:tcPr>
          <w:p w14:paraId="6ECDD9B7" w14:textId="4C1646F3" w:rsidR="00224102" w:rsidRPr="00692926" w:rsidRDefault="00224102" w:rsidP="00224102">
            <w:pPr>
              <w:tabs>
                <w:tab w:val="left" w:pos="0"/>
              </w:tabs>
              <w:jc w:val="right"/>
              <w:rPr>
                <w:sz w:val="18"/>
                <w:szCs w:val="18"/>
              </w:rPr>
            </w:pPr>
            <w:r w:rsidRPr="00692926">
              <w:rPr>
                <w:sz w:val="18"/>
                <w:szCs w:val="18"/>
              </w:rPr>
              <w:t>-</w:t>
            </w:r>
          </w:p>
        </w:tc>
      </w:tr>
      <w:tr w:rsidR="00224102" w:rsidRPr="00604C75" w14:paraId="165A1F3A" w14:textId="77777777" w:rsidTr="00306C9F">
        <w:trPr>
          <w:trHeight w:val="134"/>
        </w:trPr>
        <w:tc>
          <w:tcPr>
            <w:tcW w:w="2480" w:type="dxa"/>
            <w:vAlign w:val="bottom"/>
          </w:tcPr>
          <w:p w14:paraId="557C8D4F" w14:textId="77777777" w:rsidR="00224102" w:rsidRPr="00604C75" w:rsidRDefault="00224102" w:rsidP="00224102">
            <w:pPr>
              <w:ind w:left="36" w:firstLine="76"/>
              <w:rPr>
                <w:sz w:val="18"/>
                <w:szCs w:val="18"/>
              </w:rPr>
            </w:pPr>
            <w:r w:rsidRPr="00604C75">
              <w:rPr>
                <w:sz w:val="18"/>
                <w:szCs w:val="18"/>
              </w:rPr>
              <w:t>Fishing</w:t>
            </w:r>
          </w:p>
        </w:tc>
        <w:tc>
          <w:tcPr>
            <w:tcW w:w="901" w:type="dxa"/>
            <w:vAlign w:val="bottom"/>
          </w:tcPr>
          <w:p w14:paraId="2645E56B" w14:textId="34B5C085" w:rsidR="00224102" w:rsidRDefault="00224102" w:rsidP="00224102">
            <w:pPr>
              <w:jc w:val="right"/>
              <w:rPr>
                <w:sz w:val="18"/>
                <w:szCs w:val="18"/>
              </w:rPr>
            </w:pPr>
            <w:r>
              <w:rPr>
                <w:sz w:val="18"/>
                <w:szCs w:val="18"/>
              </w:rPr>
              <w:t>306</w:t>
            </w:r>
          </w:p>
        </w:tc>
        <w:tc>
          <w:tcPr>
            <w:tcW w:w="901" w:type="dxa"/>
            <w:vAlign w:val="bottom"/>
          </w:tcPr>
          <w:p w14:paraId="627F0BEA" w14:textId="24B7BCDC" w:rsidR="00224102" w:rsidRDefault="00224102" w:rsidP="00224102">
            <w:pPr>
              <w:jc w:val="right"/>
              <w:rPr>
                <w:sz w:val="18"/>
                <w:szCs w:val="18"/>
              </w:rPr>
            </w:pPr>
            <w:r>
              <w:rPr>
                <w:sz w:val="18"/>
                <w:szCs w:val="18"/>
              </w:rPr>
              <w:t>0.02</w:t>
            </w:r>
          </w:p>
        </w:tc>
        <w:tc>
          <w:tcPr>
            <w:tcW w:w="901" w:type="dxa"/>
            <w:vAlign w:val="bottom"/>
          </w:tcPr>
          <w:p w14:paraId="3EF90C3D" w14:textId="050EDD16" w:rsidR="00224102" w:rsidRPr="00692926" w:rsidRDefault="00224102" w:rsidP="00224102">
            <w:pPr>
              <w:tabs>
                <w:tab w:val="left" w:pos="0"/>
              </w:tabs>
              <w:jc w:val="right"/>
              <w:rPr>
                <w:sz w:val="18"/>
                <w:szCs w:val="18"/>
              </w:rPr>
            </w:pPr>
            <w:r w:rsidRPr="00692926">
              <w:rPr>
                <w:sz w:val="18"/>
                <w:szCs w:val="18"/>
              </w:rPr>
              <w:t>-</w:t>
            </w:r>
          </w:p>
        </w:tc>
        <w:tc>
          <w:tcPr>
            <w:tcW w:w="901" w:type="dxa"/>
            <w:vAlign w:val="bottom"/>
          </w:tcPr>
          <w:p w14:paraId="73576024" w14:textId="2440F968" w:rsidR="00224102" w:rsidRPr="00692926" w:rsidRDefault="00224102" w:rsidP="00224102">
            <w:pPr>
              <w:tabs>
                <w:tab w:val="left" w:pos="0"/>
              </w:tabs>
              <w:jc w:val="right"/>
              <w:rPr>
                <w:sz w:val="18"/>
                <w:szCs w:val="18"/>
              </w:rPr>
            </w:pPr>
            <w:r w:rsidRPr="00692926">
              <w:rPr>
                <w:sz w:val="18"/>
                <w:szCs w:val="18"/>
              </w:rPr>
              <w:t>-</w:t>
            </w:r>
          </w:p>
        </w:tc>
        <w:tc>
          <w:tcPr>
            <w:tcW w:w="901" w:type="dxa"/>
            <w:vAlign w:val="bottom"/>
          </w:tcPr>
          <w:p w14:paraId="7A103910" w14:textId="5F7E5F74" w:rsidR="00224102" w:rsidRPr="00692926" w:rsidRDefault="00224102" w:rsidP="00224102">
            <w:pPr>
              <w:tabs>
                <w:tab w:val="left" w:pos="0"/>
              </w:tabs>
              <w:jc w:val="right"/>
              <w:rPr>
                <w:sz w:val="18"/>
                <w:szCs w:val="18"/>
              </w:rPr>
            </w:pPr>
            <w:r w:rsidRPr="00692926">
              <w:rPr>
                <w:sz w:val="18"/>
                <w:szCs w:val="18"/>
              </w:rPr>
              <w:t>428</w:t>
            </w:r>
          </w:p>
        </w:tc>
        <w:tc>
          <w:tcPr>
            <w:tcW w:w="901" w:type="dxa"/>
            <w:vAlign w:val="bottom"/>
          </w:tcPr>
          <w:p w14:paraId="5B6A21E8" w14:textId="1C92CF18" w:rsidR="00224102" w:rsidRPr="00692926" w:rsidRDefault="00224102" w:rsidP="00224102">
            <w:pPr>
              <w:tabs>
                <w:tab w:val="left" w:pos="0"/>
              </w:tabs>
              <w:jc w:val="right"/>
              <w:rPr>
                <w:sz w:val="18"/>
                <w:szCs w:val="18"/>
              </w:rPr>
            </w:pPr>
            <w:r w:rsidRPr="00692926">
              <w:rPr>
                <w:sz w:val="18"/>
                <w:szCs w:val="18"/>
              </w:rPr>
              <w:t>0.03</w:t>
            </w:r>
          </w:p>
        </w:tc>
        <w:tc>
          <w:tcPr>
            <w:tcW w:w="901" w:type="dxa"/>
            <w:vAlign w:val="bottom"/>
          </w:tcPr>
          <w:p w14:paraId="11A3AE4E" w14:textId="21F189B6" w:rsidR="00224102" w:rsidRPr="00692926" w:rsidRDefault="00224102" w:rsidP="00224102">
            <w:pPr>
              <w:tabs>
                <w:tab w:val="left" w:pos="0"/>
              </w:tabs>
              <w:jc w:val="right"/>
              <w:rPr>
                <w:sz w:val="18"/>
                <w:szCs w:val="18"/>
              </w:rPr>
            </w:pPr>
            <w:r w:rsidRPr="00692926">
              <w:rPr>
                <w:sz w:val="18"/>
                <w:szCs w:val="18"/>
              </w:rPr>
              <w:t>-</w:t>
            </w:r>
          </w:p>
        </w:tc>
        <w:tc>
          <w:tcPr>
            <w:tcW w:w="901" w:type="dxa"/>
            <w:vAlign w:val="bottom"/>
          </w:tcPr>
          <w:p w14:paraId="4F62A4D3" w14:textId="1C2B680F" w:rsidR="00224102" w:rsidRPr="00692926" w:rsidRDefault="00224102" w:rsidP="00224102">
            <w:pPr>
              <w:tabs>
                <w:tab w:val="left" w:pos="0"/>
              </w:tabs>
              <w:jc w:val="right"/>
              <w:rPr>
                <w:sz w:val="18"/>
                <w:szCs w:val="18"/>
              </w:rPr>
            </w:pPr>
            <w:r w:rsidRPr="00692926">
              <w:rPr>
                <w:sz w:val="18"/>
                <w:szCs w:val="18"/>
              </w:rPr>
              <w:t>-</w:t>
            </w:r>
          </w:p>
        </w:tc>
      </w:tr>
      <w:tr w:rsidR="00224102" w:rsidRPr="00604C75" w14:paraId="4662F00D" w14:textId="77777777" w:rsidTr="00306C9F">
        <w:trPr>
          <w:trHeight w:val="134"/>
        </w:trPr>
        <w:tc>
          <w:tcPr>
            <w:tcW w:w="2480" w:type="dxa"/>
            <w:vAlign w:val="bottom"/>
          </w:tcPr>
          <w:p w14:paraId="1A6CAF1E" w14:textId="77777777" w:rsidR="00224102" w:rsidRPr="00604C75" w:rsidRDefault="00224102" w:rsidP="00224102">
            <w:pPr>
              <w:rPr>
                <w:rFonts w:eastAsia="Arial Unicode MS"/>
                <w:b/>
                <w:sz w:val="18"/>
                <w:szCs w:val="18"/>
              </w:rPr>
            </w:pPr>
            <w:r w:rsidRPr="00604C75">
              <w:rPr>
                <w:b/>
                <w:sz w:val="18"/>
                <w:szCs w:val="18"/>
              </w:rPr>
              <w:t>Manufacturing</w:t>
            </w:r>
          </w:p>
        </w:tc>
        <w:tc>
          <w:tcPr>
            <w:tcW w:w="901" w:type="dxa"/>
            <w:vAlign w:val="bottom"/>
          </w:tcPr>
          <w:p w14:paraId="5686CA78" w14:textId="6BF08A8A" w:rsidR="00224102" w:rsidRPr="0033358A" w:rsidRDefault="00224102" w:rsidP="00224102">
            <w:pPr>
              <w:jc w:val="right"/>
              <w:rPr>
                <w:b/>
                <w:sz w:val="18"/>
                <w:szCs w:val="18"/>
              </w:rPr>
            </w:pPr>
            <w:r w:rsidRPr="0033358A">
              <w:rPr>
                <w:b/>
                <w:sz w:val="18"/>
                <w:szCs w:val="18"/>
              </w:rPr>
              <w:t>261,376</w:t>
            </w:r>
          </w:p>
        </w:tc>
        <w:tc>
          <w:tcPr>
            <w:tcW w:w="901" w:type="dxa"/>
            <w:vAlign w:val="bottom"/>
          </w:tcPr>
          <w:p w14:paraId="0C123CC2" w14:textId="403ED821" w:rsidR="00224102" w:rsidRPr="0033358A" w:rsidRDefault="00224102" w:rsidP="00224102">
            <w:pPr>
              <w:jc w:val="right"/>
              <w:rPr>
                <w:b/>
                <w:sz w:val="18"/>
                <w:szCs w:val="18"/>
              </w:rPr>
            </w:pPr>
            <w:r w:rsidRPr="0033358A">
              <w:rPr>
                <w:b/>
                <w:sz w:val="18"/>
                <w:szCs w:val="18"/>
              </w:rPr>
              <w:t>21.30</w:t>
            </w:r>
          </w:p>
        </w:tc>
        <w:tc>
          <w:tcPr>
            <w:tcW w:w="901" w:type="dxa"/>
            <w:vAlign w:val="bottom"/>
          </w:tcPr>
          <w:p w14:paraId="32B185D1" w14:textId="13F9892A" w:rsidR="00224102" w:rsidRPr="0033358A" w:rsidRDefault="00224102" w:rsidP="00224102">
            <w:pPr>
              <w:jc w:val="right"/>
              <w:rPr>
                <w:b/>
                <w:sz w:val="18"/>
                <w:szCs w:val="18"/>
              </w:rPr>
            </w:pPr>
            <w:r w:rsidRPr="0033358A">
              <w:rPr>
                <w:b/>
                <w:sz w:val="18"/>
                <w:szCs w:val="18"/>
              </w:rPr>
              <w:t>542,470</w:t>
            </w:r>
          </w:p>
        </w:tc>
        <w:tc>
          <w:tcPr>
            <w:tcW w:w="901" w:type="dxa"/>
            <w:vAlign w:val="bottom"/>
          </w:tcPr>
          <w:p w14:paraId="5F676443" w14:textId="642525D6" w:rsidR="00224102" w:rsidRPr="0033358A" w:rsidRDefault="00224102" w:rsidP="00224102">
            <w:pPr>
              <w:jc w:val="right"/>
              <w:rPr>
                <w:b/>
                <w:sz w:val="18"/>
                <w:szCs w:val="18"/>
              </w:rPr>
            </w:pPr>
            <w:r w:rsidRPr="0033358A">
              <w:rPr>
                <w:b/>
                <w:sz w:val="18"/>
                <w:szCs w:val="18"/>
              </w:rPr>
              <w:t>27.87</w:t>
            </w:r>
          </w:p>
        </w:tc>
        <w:tc>
          <w:tcPr>
            <w:tcW w:w="901" w:type="dxa"/>
            <w:vAlign w:val="bottom"/>
          </w:tcPr>
          <w:p w14:paraId="1C7E472B" w14:textId="503B95FF" w:rsidR="00224102" w:rsidRPr="00692926" w:rsidRDefault="00224102" w:rsidP="00224102">
            <w:pPr>
              <w:tabs>
                <w:tab w:val="left" w:pos="0"/>
              </w:tabs>
              <w:jc w:val="right"/>
              <w:rPr>
                <w:b/>
                <w:sz w:val="18"/>
                <w:szCs w:val="18"/>
              </w:rPr>
            </w:pPr>
            <w:r w:rsidRPr="00692926">
              <w:rPr>
                <w:b/>
                <w:sz w:val="18"/>
                <w:szCs w:val="18"/>
              </w:rPr>
              <w:t>285,668</w:t>
            </w:r>
          </w:p>
        </w:tc>
        <w:tc>
          <w:tcPr>
            <w:tcW w:w="901" w:type="dxa"/>
            <w:vAlign w:val="bottom"/>
          </w:tcPr>
          <w:p w14:paraId="337CF485" w14:textId="3736DC7E" w:rsidR="00224102" w:rsidRPr="00692926" w:rsidRDefault="00224102" w:rsidP="00224102">
            <w:pPr>
              <w:tabs>
                <w:tab w:val="left" w:pos="0"/>
              </w:tabs>
              <w:jc w:val="right"/>
              <w:rPr>
                <w:b/>
                <w:sz w:val="18"/>
                <w:szCs w:val="18"/>
              </w:rPr>
            </w:pPr>
            <w:r w:rsidRPr="00692926">
              <w:rPr>
                <w:b/>
                <w:sz w:val="18"/>
                <w:szCs w:val="18"/>
              </w:rPr>
              <w:t>22.18</w:t>
            </w:r>
          </w:p>
        </w:tc>
        <w:tc>
          <w:tcPr>
            <w:tcW w:w="901" w:type="dxa"/>
            <w:vAlign w:val="bottom"/>
          </w:tcPr>
          <w:p w14:paraId="5BBD591F" w14:textId="289BB2D7" w:rsidR="00224102" w:rsidRPr="00692926" w:rsidRDefault="00224102" w:rsidP="00224102">
            <w:pPr>
              <w:tabs>
                <w:tab w:val="left" w:pos="0"/>
              </w:tabs>
              <w:jc w:val="right"/>
              <w:rPr>
                <w:b/>
                <w:sz w:val="18"/>
                <w:szCs w:val="18"/>
              </w:rPr>
            </w:pPr>
            <w:r w:rsidRPr="00692926">
              <w:rPr>
                <w:b/>
                <w:sz w:val="18"/>
                <w:szCs w:val="18"/>
              </w:rPr>
              <w:t>497,937</w:t>
            </w:r>
          </w:p>
        </w:tc>
        <w:tc>
          <w:tcPr>
            <w:tcW w:w="901" w:type="dxa"/>
            <w:vAlign w:val="bottom"/>
          </w:tcPr>
          <w:p w14:paraId="0A10ED0E" w14:textId="4B3281F1" w:rsidR="00224102" w:rsidRPr="00692926" w:rsidRDefault="00224102" w:rsidP="00224102">
            <w:pPr>
              <w:tabs>
                <w:tab w:val="left" w:pos="0"/>
              </w:tabs>
              <w:jc w:val="right"/>
              <w:rPr>
                <w:b/>
                <w:sz w:val="18"/>
                <w:szCs w:val="18"/>
              </w:rPr>
            </w:pPr>
            <w:r w:rsidRPr="00692926">
              <w:rPr>
                <w:b/>
                <w:sz w:val="18"/>
                <w:szCs w:val="18"/>
              </w:rPr>
              <w:t>50.48</w:t>
            </w:r>
          </w:p>
        </w:tc>
      </w:tr>
      <w:tr w:rsidR="00224102" w:rsidRPr="00604C75" w14:paraId="21F2E368" w14:textId="77777777" w:rsidTr="00306C9F">
        <w:trPr>
          <w:trHeight w:val="134"/>
        </w:trPr>
        <w:tc>
          <w:tcPr>
            <w:tcW w:w="2480" w:type="dxa"/>
            <w:vAlign w:val="bottom"/>
          </w:tcPr>
          <w:p w14:paraId="5CA004E1" w14:textId="77777777" w:rsidR="00224102" w:rsidRPr="00604C75" w:rsidRDefault="00224102" w:rsidP="00224102">
            <w:pPr>
              <w:ind w:left="36" w:firstLine="76"/>
              <w:rPr>
                <w:sz w:val="18"/>
                <w:szCs w:val="18"/>
              </w:rPr>
            </w:pPr>
            <w:r w:rsidRPr="00604C75">
              <w:rPr>
                <w:sz w:val="18"/>
                <w:szCs w:val="18"/>
              </w:rPr>
              <w:t xml:space="preserve">Mining </w:t>
            </w:r>
          </w:p>
        </w:tc>
        <w:tc>
          <w:tcPr>
            <w:tcW w:w="901" w:type="dxa"/>
            <w:vAlign w:val="bottom"/>
          </w:tcPr>
          <w:p w14:paraId="01E803A2" w14:textId="559BB92B" w:rsidR="00224102" w:rsidRDefault="00224102" w:rsidP="00224102">
            <w:pPr>
              <w:jc w:val="right"/>
              <w:rPr>
                <w:sz w:val="18"/>
                <w:szCs w:val="18"/>
              </w:rPr>
            </w:pPr>
            <w:r>
              <w:rPr>
                <w:sz w:val="18"/>
                <w:szCs w:val="18"/>
              </w:rPr>
              <w:t>8,026</w:t>
            </w:r>
          </w:p>
        </w:tc>
        <w:tc>
          <w:tcPr>
            <w:tcW w:w="901" w:type="dxa"/>
            <w:vAlign w:val="bottom"/>
          </w:tcPr>
          <w:p w14:paraId="3CE013CD" w14:textId="0638683B" w:rsidR="00224102" w:rsidRDefault="00224102" w:rsidP="00224102">
            <w:pPr>
              <w:jc w:val="right"/>
              <w:rPr>
                <w:sz w:val="18"/>
                <w:szCs w:val="18"/>
              </w:rPr>
            </w:pPr>
            <w:r>
              <w:rPr>
                <w:sz w:val="18"/>
                <w:szCs w:val="18"/>
              </w:rPr>
              <w:t>0.65</w:t>
            </w:r>
          </w:p>
        </w:tc>
        <w:tc>
          <w:tcPr>
            <w:tcW w:w="901" w:type="dxa"/>
            <w:vAlign w:val="bottom"/>
          </w:tcPr>
          <w:p w14:paraId="7B6470EB" w14:textId="425FD406" w:rsidR="00224102" w:rsidRDefault="00224102" w:rsidP="00224102">
            <w:pPr>
              <w:jc w:val="right"/>
              <w:rPr>
                <w:sz w:val="18"/>
                <w:szCs w:val="18"/>
              </w:rPr>
            </w:pPr>
            <w:r>
              <w:rPr>
                <w:sz w:val="18"/>
                <w:szCs w:val="18"/>
              </w:rPr>
              <w:t>28,315</w:t>
            </w:r>
          </w:p>
        </w:tc>
        <w:tc>
          <w:tcPr>
            <w:tcW w:w="901" w:type="dxa"/>
            <w:vAlign w:val="bottom"/>
          </w:tcPr>
          <w:p w14:paraId="574CE939" w14:textId="0475ACA9" w:rsidR="00224102" w:rsidRDefault="00224102" w:rsidP="00224102">
            <w:pPr>
              <w:jc w:val="right"/>
              <w:rPr>
                <w:sz w:val="18"/>
                <w:szCs w:val="18"/>
              </w:rPr>
            </w:pPr>
            <w:r>
              <w:rPr>
                <w:sz w:val="18"/>
                <w:szCs w:val="18"/>
              </w:rPr>
              <w:t>1.45</w:t>
            </w:r>
          </w:p>
        </w:tc>
        <w:tc>
          <w:tcPr>
            <w:tcW w:w="901" w:type="dxa"/>
            <w:vAlign w:val="bottom"/>
          </w:tcPr>
          <w:p w14:paraId="3C9C014E" w14:textId="535EDE5F" w:rsidR="00224102" w:rsidRPr="00692926" w:rsidRDefault="00224102" w:rsidP="00224102">
            <w:pPr>
              <w:tabs>
                <w:tab w:val="left" w:pos="0"/>
              </w:tabs>
              <w:jc w:val="right"/>
              <w:rPr>
                <w:sz w:val="18"/>
                <w:szCs w:val="18"/>
              </w:rPr>
            </w:pPr>
            <w:r w:rsidRPr="00692926">
              <w:rPr>
                <w:sz w:val="18"/>
                <w:szCs w:val="18"/>
              </w:rPr>
              <w:t>12,312</w:t>
            </w:r>
          </w:p>
        </w:tc>
        <w:tc>
          <w:tcPr>
            <w:tcW w:w="901" w:type="dxa"/>
            <w:vAlign w:val="bottom"/>
          </w:tcPr>
          <w:p w14:paraId="47EADFC2" w14:textId="1966E814" w:rsidR="00224102" w:rsidRPr="00692926" w:rsidRDefault="00224102" w:rsidP="00224102">
            <w:pPr>
              <w:tabs>
                <w:tab w:val="left" w:pos="0"/>
              </w:tabs>
              <w:jc w:val="right"/>
              <w:rPr>
                <w:sz w:val="18"/>
                <w:szCs w:val="18"/>
              </w:rPr>
            </w:pPr>
            <w:r w:rsidRPr="00692926">
              <w:rPr>
                <w:sz w:val="18"/>
                <w:szCs w:val="18"/>
              </w:rPr>
              <w:t>0.96</w:t>
            </w:r>
          </w:p>
        </w:tc>
        <w:tc>
          <w:tcPr>
            <w:tcW w:w="901" w:type="dxa"/>
            <w:vAlign w:val="bottom"/>
          </w:tcPr>
          <w:p w14:paraId="1896E7D3" w14:textId="498503DD" w:rsidR="00224102" w:rsidRPr="00692926" w:rsidRDefault="00224102" w:rsidP="00224102">
            <w:pPr>
              <w:tabs>
                <w:tab w:val="left" w:pos="0"/>
              </w:tabs>
              <w:jc w:val="right"/>
              <w:rPr>
                <w:sz w:val="18"/>
                <w:szCs w:val="18"/>
              </w:rPr>
            </w:pPr>
            <w:r w:rsidRPr="00692926">
              <w:rPr>
                <w:sz w:val="18"/>
                <w:szCs w:val="18"/>
              </w:rPr>
              <w:t>28,734</w:t>
            </w:r>
          </w:p>
        </w:tc>
        <w:tc>
          <w:tcPr>
            <w:tcW w:w="901" w:type="dxa"/>
            <w:vAlign w:val="bottom"/>
          </w:tcPr>
          <w:p w14:paraId="70485507" w14:textId="7951B83D" w:rsidR="00224102" w:rsidRPr="00692926" w:rsidRDefault="00224102" w:rsidP="00224102">
            <w:pPr>
              <w:tabs>
                <w:tab w:val="left" w:pos="0"/>
              </w:tabs>
              <w:jc w:val="right"/>
              <w:rPr>
                <w:sz w:val="18"/>
                <w:szCs w:val="18"/>
              </w:rPr>
            </w:pPr>
            <w:r w:rsidRPr="00692926">
              <w:rPr>
                <w:sz w:val="18"/>
                <w:szCs w:val="18"/>
              </w:rPr>
              <w:t>2.91</w:t>
            </w:r>
          </w:p>
        </w:tc>
      </w:tr>
      <w:tr w:rsidR="00224102" w:rsidRPr="00604C75" w14:paraId="5AA9C95C" w14:textId="77777777" w:rsidTr="00306C9F">
        <w:trPr>
          <w:trHeight w:val="134"/>
        </w:trPr>
        <w:tc>
          <w:tcPr>
            <w:tcW w:w="2480" w:type="dxa"/>
            <w:vAlign w:val="bottom"/>
          </w:tcPr>
          <w:p w14:paraId="7E0ADBFA" w14:textId="77777777" w:rsidR="00224102" w:rsidRPr="00604C75" w:rsidRDefault="00224102" w:rsidP="00224102">
            <w:pPr>
              <w:ind w:left="36" w:firstLine="76"/>
              <w:rPr>
                <w:sz w:val="18"/>
                <w:szCs w:val="18"/>
              </w:rPr>
            </w:pPr>
            <w:r w:rsidRPr="00604C75">
              <w:rPr>
                <w:sz w:val="18"/>
                <w:szCs w:val="18"/>
              </w:rPr>
              <w:t>Production</w:t>
            </w:r>
          </w:p>
        </w:tc>
        <w:tc>
          <w:tcPr>
            <w:tcW w:w="901" w:type="dxa"/>
            <w:vAlign w:val="bottom"/>
          </w:tcPr>
          <w:p w14:paraId="01A605CD" w14:textId="198ACD04" w:rsidR="00224102" w:rsidRDefault="00224102" w:rsidP="00224102">
            <w:pPr>
              <w:jc w:val="right"/>
              <w:rPr>
                <w:sz w:val="18"/>
                <w:szCs w:val="18"/>
              </w:rPr>
            </w:pPr>
            <w:r>
              <w:rPr>
                <w:sz w:val="18"/>
                <w:szCs w:val="18"/>
              </w:rPr>
              <w:t>227,003</w:t>
            </w:r>
          </w:p>
        </w:tc>
        <w:tc>
          <w:tcPr>
            <w:tcW w:w="901" w:type="dxa"/>
            <w:vAlign w:val="bottom"/>
          </w:tcPr>
          <w:p w14:paraId="5939463D" w14:textId="66E27C1E" w:rsidR="00224102" w:rsidRDefault="00224102" w:rsidP="00224102">
            <w:pPr>
              <w:jc w:val="right"/>
              <w:rPr>
                <w:sz w:val="18"/>
                <w:szCs w:val="18"/>
              </w:rPr>
            </w:pPr>
            <w:r>
              <w:rPr>
                <w:sz w:val="18"/>
                <w:szCs w:val="18"/>
              </w:rPr>
              <w:t>18.50</w:t>
            </w:r>
          </w:p>
        </w:tc>
        <w:tc>
          <w:tcPr>
            <w:tcW w:w="901" w:type="dxa"/>
            <w:vAlign w:val="bottom"/>
          </w:tcPr>
          <w:p w14:paraId="054877EB" w14:textId="067DA5F9" w:rsidR="00224102" w:rsidRDefault="00224102" w:rsidP="00224102">
            <w:pPr>
              <w:jc w:val="right"/>
              <w:rPr>
                <w:sz w:val="18"/>
                <w:szCs w:val="18"/>
              </w:rPr>
            </w:pPr>
            <w:r>
              <w:rPr>
                <w:sz w:val="18"/>
                <w:szCs w:val="18"/>
              </w:rPr>
              <w:t>471,878</w:t>
            </w:r>
          </w:p>
        </w:tc>
        <w:tc>
          <w:tcPr>
            <w:tcW w:w="901" w:type="dxa"/>
            <w:vAlign w:val="bottom"/>
          </w:tcPr>
          <w:p w14:paraId="482D2493" w14:textId="5DBE5815" w:rsidR="00224102" w:rsidRDefault="00224102" w:rsidP="00224102">
            <w:pPr>
              <w:jc w:val="right"/>
              <w:rPr>
                <w:sz w:val="18"/>
                <w:szCs w:val="18"/>
              </w:rPr>
            </w:pPr>
            <w:r>
              <w:rPr>
                <w:sz w:val="18"/>
                <w:szCs w:val="18"/>
              </w:rPr>
              <w:t>24.24</w:t>
            </w:r>
          </w:p>
        </w:tc>
        <w:tc>
          <w:tcPr>
            <w:tcW w:w="901" w:type="dxa"/>
            <w:vAlign w:val="bottom"/>
          </w:tcPr>
          <w:p w14:paraId="06E0E9B5" w14:textId="1CA320B2" w:rsidR="00224102" w:rsidRPr="00692926" w:rsidRDefault="00224102" w:rsidP="00224102">
            <w:pPr>
              <w:tabs>
                <w:tab w:val="left" w:pos="0"/>
              </w:tabs>
              <w:jc w:val="right"/>
              <w:rPr>
                <w:sz w:val="18"/>
                <w:szCs w:val="18"/>
              </w:rPr>
            </w:pPr>
            <w:r w:rsidRPr="00692926">
              <w:rPr>
                <w:sz w:val="18"/>
                <w:szCs w:val="18"/>
              </w:rPr>
              <w:t>243,922</w:t>
            </w:r>
          </w:p>
        </w:tc>
        <w:tc>
          <w:tcPr>
            <w:tcW w:w="901" w:type="dxa"/>
            <w:vAlign w:val="bottom"/>
          </w:tcPr>
          <w:p w14:paraId="7D72711C" w14:textId="1C00AEFE" w:rsidR="00224102" w:rsidRPr="00692926" w:rsidRDefault="00224102" w:rsidP="00224102">
            <w:pPr>
              <w:tabs>
                <w:tab w:val="left" w:pos="0"/>
              </w:tabs>
              <w:jc w:val="right"/>
              <w:rPr>
                <w:sz w:val="18"/>
                <w:szCs w:val="18"/>
              </w:rPr>
            </w:pPr>
            <w:r w:rsidRPr="00692926">
              <w:rPr>
                <w:sz w:val="18"/>
                <w:szCs w:val="18"/>
              </w:rPr>
              <w:t>18.94</w:t>
            </w:r>
          </w:p>
        </w:tc>
        <w:tc>
          <w:tcPr>
            <w:tcW w:w="901" w:type="dxa"/>
            <w:vAlign w:val="bottom"/>
          </w:tcPr>
          <w:p w14:paraId="2A6A2D65" w14:textId="57AA2878" w:rsidR="00224102" w:rsidRPr="00692926" w:rsidRDefault="00224102" w:rsidP="00224102">
            <w:pPr>
              <w:tabs>
                <w:tab w:val="left" w:pos="0"/>
              </w:tabs>
              <w:jc w:val="right"/>
              <w:rPr>
                <w:sz w:val="18"/>
                <w:szCs w:val="18"/>
              </w:rPr>
            </w:pPr>
            <w:r w:rsidRPr="00692926">
              <w:rPr>
                <w:sz w:val="18"/>
                <w:szCs w:val="18"/>
              </w:rPr>
              <w:t>430,291</w:t>
            </w:r>
          </w:p>
        </w:tc>
        <w:tc>
          <w:tcPr>
            <w:tcW w:w="901" w:type="dxa"/>
            <w:vAlign w:val="bottom"/>
          </w:tcPr>
          <w:p w14:paraId="465C36A9" w14:textId="55C834B8" w:rsidR="00224102" w:rsidRPr="00692926" w:rsidRDefault="00224102" w:rsidP="00224102">
            <w:pPr>
              <w:tabs>
                <w:tab w:val="left" w:pos="0"/>
              </w:tabs>
              <w:jc w:val="right"/>
              <w:rPr>
                <w:sz w:val="18"/>
                <w:szCs w:val="18"/>
              </w:rPr>
            </w:pPr>
            <w:r w:rsidRPr="00692926">
              <w:rPr>
                <w:sz w:val="18"/>
                <w:szCs w:val="18"/>
              </w:rPr>
              <w:t>43.62</w:t>
            </w:r>
          </w:p>
        </w:tc>
      </w:tr>
      <w:tr w:rsidR="00224102" w:rsidRPr="00604C75" w14:paraId="7A6EC0A8" w14:textId="77777777" w:rsidTr="00306C9F">
        <w:trPr>
          <w:trHeight w:val="134"/>
        </w:trPr>
        <w:tc>
          <w:tcPr>
            <w:tcW w:w="2480" w:type="dxa"/>
            <w:vAlign w:val="bottom"/>
          </w:tcPr>
          <w:p w14:paraId="3E9EB1B4" w14:textId="77777777" w:rsidR="00224102" w:rsidRPr="00604C75" w:rsidRDefault="00224102" w:rsidP="00224102">
            <w:pPr>
              <w:ind w:left="36" w:firstLine="76"/>
              <w:rPr>
                <w:sz w:val="18"/>
                <w:szCs w:val="18"/>
              </w:rPr>
            </w:pPr>
            <w:r w:rsidRPr="00604C75">
              <w:rPr>
                <w:sz w:val="18"/>
                <w:szCs w:val="18"/>
              </w:rPr>
              <w:t>Electric, Gas, Water</w:t>
            </w:r>
          </w:p>
        </w:tc>
        <w:tc>
          <w:tcPr>
            <w:tcW w:w="901" w:type="dxa"/>
            <w:vAlign w:val="bottom"/>
          </w:tcPr>
          <w:p w14:paraId="691413B7" w14:textId="6E19D3BE" w:rsidR="00224102" w:rsidRDefault="00224102" w:rsidP="00224102">
            <w:pPr>
              <w:jc w:val="right"/>
              <w:rPr>
                <w:sz w:val="18"/>
                <w:szCs w:val="18"/>
              </w:rPr>
            </w:pPr>
            <w:r>
              <w:rPr>
                <w:sz w:val="18"/>
                <w:szCs w:val="18"/>
              </w:rPr>
              <w:t>26,347</w:t>
            </w:r>
          </w:p>
        </w:tc>
        <w:tc>
          <w:tcPr>
            <w:tcW w:w="901" w:type="dxa"/>
            <w:vAlign w:val="bottom"/>
          </w:tcPr>
          <w:p w14:paraId="42453EB4" w14:textId="0FC5B2DB" w:rsidR="00224102" w:rsidRDefault="00224102" w:rsidP="00224102">
            <w:pPr>
              <w:jc w:val="right"/>
              <w:rPr>
                <w:sz w:val="18"/>
                <w:szCs w:val="18"/>
              </w:rPr>
            </w:pPr>
            <w:r>
              <w:rPr>
                <w:sz w:val="18"/>
                <w:szCs w:val="18"/>
              </w:rPr>
              <w:t>2.15</w:t>
            </w:r>
          </w:p>
        </w:tc>
        <w:tc>
          <w:tcPr>
            <w:tcW w:w="901" w:type="dxa"/>
            <w:vAlign w:val="bottom"/>
          </w:tcPr>
          <w:p w14:paraId="75835674" w14:textId="63CC9D59" w:rsidR="00224102" w:rsidRDefault="00224102" w:rsidP="00224102">
            <w:pPr>
              <w:jc w:val="right"/>
              <w:rPr>
                <w:sz w:val="18"/>
                <w:szCs w:val="18"/>
              </w:rPr>
            </w:pPr>
            <w:r>
              <w:rPr>
                <w:sz w:val="18"/>
                <w:szCs w:val="18"/>
              </w:rPr>
              <w:t>42,277</w:t>
            </w:r>
          </w:p>
        </w:tc>
        <w:tc>
          <w:tcPr>
            <w:tcW w:w="901" w:type="dxa"/>
            <w:vAlign w:val="bottom"/>
          </w:tcPr>
          <w:p w14:paraId="4A98A2E4" w14:textId="6A8E21DF" w:rsidR="00224102" w:rsidRDefault="00224102" w:rsidP="00224102">
            <w:pPr>
              <w:jc w:val="right"/>
              <w:rPr>
                <w:sz w:val="18"/>
                <w:szCs w:val="18"/>
              </w:rPr>
            </w:pPr>
            <w:r>
              <w:rPr>
                <w:sz w:val="18"/>
                <w:szCs w:val="18"/>
              </w:rPr>
              <w:t>2.17</w:t>
            </w:r>
          </w:p>
        </w:tc>
        <w:tc>
          <w:tcPr>
            <w:tcW w:w="901" w:type="dxa"/>
            <w:vAlign w:val="bottom"/>
          </w:tcPr>
          <w:p w14:paraId="5CADDD51" w14:textId="12E8F8C3" w:rsidR="00224102" w:rsidRPr="00692926" w:rsidRDefault="00224102" w:rsidP="00224102">
            <w:pPr>
              <w:tabs>
                <w:tab w:val="left" w:pos="0"/>
              </w:tabs>
              <w:jc w:val="right"/>
              <w:rPr>
                <w:sz w:val="18"/>
                <w:szCs w:val="18"/>
              </w:rPr>
            </w:pPr>
            <w:r w:rsidRPr="00692926">
              <w:rPr>
                <w:sz w:val="18"/>
                <w:szCs w:val="18"/>
              </w:rPr>
              <w:t>29,434</w:t>
            </w:r>
          </w:p>
        </w:tc>
        <w:tc>
          <w:tcPr>
            <w:tcW w:w="901" w:type="dxa"/>
            <w:vAlign w:val="bottom"/>
          </w:tcPr>
          <w:p w14:paraId="15105A20" w14:textId="152D08C5" w:rsidR="00224102" w:rsidRPr="00692926" w:rsidRDefault="00224102" w:rsidP="00224102">
            <w:pPr>
              <w:tabs>
                <w:tab w:val="left" w:pos="0"/>
              </w:tabs>
              <w:jc w:val="right"/>
              <w:rPr>
                <w:sz w:val="18"/>
                <w:szCs w:val="18"/>
              </w:rPr>
            </w:pPr>
            <w:r w:rsidRPr="00692926">
              <w:rPr>
                <w:sz w:val="18"/>
                <w:szCs w:val="18"/>
              </w:rPr>
              <w:t>2.29</w:t>
            </w:r>
          </w:p>
        </w:tc>
        <w:tc>
          <w:tcPr>
            <w:tcW w:w="901" w:type="dxa"/>
            <w:vAlign w:val="bottom"/>
          </w:tcPr>
          <w:p w14:paraId="2F5E2E1B" w14:textId="15E1EBE0" w:rsidR="00224102" w:rsidRPr="00692926" w:rsidRDefault="00224102" w:rsidP="00224102">
            <w:pPr>
              <w:tabs>
                <w:tab w:val="left" w:pos="0"/>
              </w:tabs>
              <w:jc w:val="right"/>
              <w:rPr>
                <w:sz w:val="18"/>
                <w:szCs w:val="18"/>
              </w:rPr>
            </w:pPr>
            <w:r w:rsidRPr="00692926">
              <w:rPr>
                <w:sz w:val="18"/>
                <w:szCs w:val="18"/>
              </w:rPr>
              <w:t>38,912</w:t>
            </w:r>
          </w:p>
        </w:tc>
        <w:tc>
          <w:tcPr>
            <w:tcW w:w="901" w:type="dxa"/>
            <w:vAlign w:val="bottom"/>
          </w:tcPr>
          <w:p w14:paraId="4B1B894A" w14:textId="2AE88659" w:rsidR="00224102" w:rsidRPr="00692926" w:rsidRDefault="00224102" w:rsidP="00224102">
            <w:pPr>
              <w:tabs>
                <w:tab w:val="left" w:pos="0"/>
              </w:tabs>
              <w:jc w:val="right"/>
              <w:rPr>
                <w:sz w:val="18"/>
                <w:szCs w:val="18"/>
              </w:rPr>
            </w:pPr>
            <w:r w:rsidRPr="00692926">
              <w:rPr>
                <w:sz w:val="18"/>
                <w:szCs w:val="18"/>
              </w:rPr>
              <w:t>3.94</w:t>
            </w:r>
          </w:p>
        </w:tc>
      </w:tr>
      <w:tr w:rsidR="00224102" w:rsidRPr="00604C75" w14:paraId="2AAB319D" w14:textId="77777777" w:rsidTr="00306C9F">
        <w:trPr>
          <w:trHeight w:val="134"/>
        </w:trPr>
        <w:tc>
          <w:tcPr>
            <w:tcW w:w="2480" w:type="dxa"/>
            <w:vAlign w:val="bottom"/>
          </w:tcPr>
          <w:p w14:paraId="05E1F900" w14:textId="77777777" w:rsidR="00224102" w:rsidRPr="00604C75" w:rsidRDefault="00224102" w:rsidP="00224102">
            <w:pPr>
              <w:rPr>
                <w:rFonts w:eastAsia="Arial Unicode MS"/>
                <w:b/>
                <w:sz w:val="18"/>
                <w:szCs w:val="18"/>
              </w:rPr>
            </w:pPr>
            <w:r w:rsidRPr="00604C75">
              <w:rPr>
                <w:b/>
                <w:sz w:val="18"/>
                <w:szCs w:val="18"/>
              </w:rPr>
              <w:t>Construction</w:t>
            </w:r>
          </w:p>
        </w:tc>
        <w:tc>
          <w:tcPr>
            <w:tcW w:w="901" w:type="dxa"/>
            <w:vAlign w:val="bottom"/>
          </w:tcPr>
          <w:p w14:paraId="491A342A" w14:textId="2779063C" w:rsidR="00224102" w:rsidRPr="0033358A" w:rsidRDefault="00224102" w:rsidP="00224102">
            <w:pPr>
              <w:jc w:val="right"/>
              <w:rPr>
                <w:b/>
                <w:sz w:val="18"/>
                <w:szCs w:val="18"/>
              </w:rPr>
            </w:pPr>
            <w:r w:rsidRPr="0033358A">
              <w:rPr>
                <w:b/>
                <w:sz w:val="18"/>
                <w:szCs w:val="18"/>
              </w:rPr>
              <w:t>298,331</w:t>
            </w:r>
          </w:p>
        </w:tc>
        <w:tc>
          <w:tcPr>
            <w:tcW w:w="901" w:type="dxa"/>
            <w:vAlign w:val="bottom"/>
          </w:tcPr>
          <w:p w14:paraId="0D500DD2" w14:textId="7D89BCE3" w:rsidR="00224102" w:rsidRPr="0033358A" w:rsidRDefault="00224102" w:rsidP="00224102">
            <w:pPr>
              <w:jc w:val="right"/>
              <w:rPr>
                <w:b/>
                <w:sz w:val="18"/>
                <w:szCs w:val="18"/>
              </w:rPr>
            </w:pPr>
            <w:r w:rsidRPr="0033358A">
              <w:rPr>
                <w:b/>
                <w:sz w:val="18"/>
                <w:szCs w:val="18"/>
              </w:rPr>
              <w:t>24.31</w:t>
            </w:r>
          </w:p>
        </w:tc>
        <w:tc>
          <w:tcPr>
            <w:tcW w:w="901" w:type="dxa"/>
            <w:vAlign w:val="bottom"/>
          </w:tcPr>
          <w:p w14:paraId="532EED9B" w14:textId="7CE5A94B" w:rsidR="00224102" w:rsidRPr="0033358A" w:rsidRDefault="00224102" w:rsidP="00224102">
            <w:pPr>
              <w:jc w:val="right"/>
              <w:rPr>
                <w:b/>
                <w:sz w:val="18"/>
                <w:szCs w:val="18"/>
              </w:rPr>
            </w:pPr>
            <w:r w:rsidRPr="0033358A">
              <w:rPr>
                <w:b/>
                <w:sz w:val="18"/>
                <w:szCs w:val="18"/>
              </w:rPr>
              <w:t>349,250</w:t>
            </w:r>
          </w:p>
        </w:tc>
        <w:tc>
          <w:tcPr>
            <w:tcW w:w="901" w:type="dxa"/>
            <w:vAlign w:val="bottom"/>
          </w:tcPr>
          <w:p w14:paraId="4A5E359D" w14:textId="3FAF575B" w:rsidR="00224102" w:rsidRPr="0033358A" w:rsidRDefault="00224102" w:rsidP="00224102">
            <w:pPr>
              <w:jc w:val="right"/>
              <w:rPr>
                <w:b/>
                <w:sz w:val="18"/>
                <w:szCs w:val="18"/>
              </w:rPr>
            </w:pPr>
            <w:r w:rsidRPr="0033358A">
              <w:rPr>
                <w:b/>
                <w:sz w:val="18"/>
                <w:szCs w:val="18"/>
              </w:rPr>
              <w:t>17.94</w:t>
            </w:r>
          </w:p>
        </w:tc>
        <w:tc>
          <w:tcPr>
            <w:tcW w:w="901" w:type="dxa"/>
            <w:vAlign w:val="bottom"/>
          </w:tcPr>
          <w:p w14:paraId="1B3BADDE" w14:textId="4044B6E8" w:rsidR="00224102" w:rsidRPr="00692926" w:rsidRDefault="00224102" w:rsidP="00224102">
            <w:pPr>
              <w:tabs>
                <w:tab w:val="left" w:pos="0"/>
              </w:tabs>
              <w:jc w:val="right"/>
              <w:rPr>
                <w:b/>
                <w:sz w:val="18"/>
                <w:szCs w:val="18"/>
              </w:rPr>
            </w:pPr>
            <w:r w:rsidRPr="00692926">
              <w:rPr>
                <w:b/>
                <w:sz w:val="18"/>
                <w:szCs w:val="18"/>
              </w:rPr>
              <w:t>337,845</w:t>
            </w:r>
          </w:p>
        </w:tc>
        <w:tc>
          <w:tcPr>
            <w:tcW w:w="901" w:type="dxa"/>
            <w:vAlign w:val="bottom"/>
          </w:tcPr>
          <w:p w14:paraId="5B89CB5A" w14:textId="06B2A7FB" w:rsidR="00224102" w:rsidRPr="00692926" w:rsidRDefault="00224102" w:rsidP="00224102">
            <w:pPr>
              <w:tabs>
                <w:tab w:val="left" w:pos="0"/>
              </w:tabs>
              <w:jc w:val="right"/>
              <w:rPr>
                <w:b/>
                <w:sz w:val="18"/>
                <w:szCs w:val="18"/>
              </w:rPr>
            </w:pPr>
            <w:r w:rsidRPr="00692926">
              <w:rPr>
                <w:b/>
                <w:sz w:val="18"/>
                <w:szCs w:val="18"/>
              </w:rPr>
              <w:t>26.24</w:t>
            </w:r>
          </w:p>
        </w:tc>
        <w:tc>
          <w:tcPr>
            <w:tcW w:w="901" w:type="dxa"/>
            <w:vAlign w:val="bottom"/>
          </w:tcPr>
          <w:p w14:paraId="504B3441" w14:textId="35E2E84C" w:rsidR="00224102" w:rsidRPr="00692926" w:rsidRDefault="00224102" w:rsidP="00224102">
            <w:pPr>
              <w:tabs>
                <w:tab w:val="left" w:pos="0"/>
              </w:tabs>
              <w:jc w:val="right"/>
              <w:rPr>
                <w:b/>
                <w:sz w:val="18"/>
                <w:szCs w:val="18"/>
              </w:rPr>
            </w:pPr>
            <w:r w:rsidRPr="00692926">
              <w:rPr>
                <w:b/>
                <w:sz w:val="18"/>
                <w:szCs w:val="18"/>
              </w:rPr>
              <w:t>215,713</w:t>
            </w:r>
          </w:p>
        </w:tc>
        <w:tc>
          <w:tcPr>
            <w:tcW w:w="901" w:type="dxa"/>
            <w:vAlign w:val="bottom"/>
          </w:tcPr>
          <w:p w14:paraId="7020856A" w14:textId="79A3B059" w:rsidR="00224102" w:rsidRPr="00692926" w:rsidRDefault="00224102" w:rsidP="00224102">
            <w:pPr>
              <w:tabs>
                <w:tab w:val="left" w:pos="0"/>
              </w:tabs>
              <w:jc w:val="right"/>
              <w:rPr>
                <w:b/>
                <w:sz w:val="18"/>
                <w:szCs w:val="18"/>
              </w:rPr>
            </w:pPr>
            <w:r w:rsidRPr="00692926">
              <w:rPr>
                <w:b/>
                <w:sz w:val="18"/>
                <w:szCs w:val="18"/>
              </w:rPr>
              <w:t>21.87</w:t>
            </w:r>
          </w:p>
        </w:tc>
      </w:tr>
      <w:tr w:rsidR="00224102" w:rsidRPr="00604C75" w14:paraId="073F52CB" w14:textId="77777777" w:rsidTr="00306C9F">
        <w:trPr>
          <w:trHeight w:val="134"/>
        </w:trPr>
        <w:tc>
          <w:tcPr>
            <w:tcW w:w="2480" w:type="dxa"/>
            <w:vAlign w:val="bottom"/>
          </w:tcPr>
          <w:p w14:paraId="049B227D" w14:textId="77777777" w:rsidR="00224102" w:rsidRPr="00604C75" w:rsidRDefault="00224102" w:rsidP="00224102">
            <w:pPr>
              <w:rPr>
                <w:rFonts w:eastAsia="Arial Unicode MS"/>
                <w:b/>
                <w:sz w:val="18"/>
                <w:szCs w:val="18"/>
              </w:rPr>
            </w:pPr>
            <w:r w:rsidRPr="00604C75">
              <w:rPr>
                <w:b/>
                <w:sz w:val="18"/>
                <w:szCs w:val="18"/>
              </w:rPr>
              <w:t>Services</w:t>
            </w:r>
          </w:p>
        </w:tc>
        <w:tc>
          <w:tcPr>
            <w:tcW w:w="901" w:type="dxa"/>
            <w:vAlign w:val="bottom"/>
          </w:tcPr>
          <w:p w14:paraId="4E86CFB4" w14:textId="0886D51A" w:rsidR="00224102" w:rsidRPr="0033358A" w:rsidRDefault="00224102" w:rsidP="00224102">
            <w:pPr>
              <w:jc w:val="right"/>
              <w:rPr>
                <w:b/>
                <w:sz w:val="18"/>
                <w:szCs w:val="18"/>
              </w:rPr>
            </w:pPr>
            <w:r w:rsidRPr="0033358A">
              <w:rPr>
                <w:b/>
                <w:sz w:val="18"/>
                <w:szCs w:val="18"/>
              </w:rPr>
              <w:t>599,761</w:t>
            </w:r>
          </w:p>
        </w:tc>
        <w:tc>
          <w:tcPr>
            <w:tcW w:w="901" w:type="dxa"/>
            <w:vAlign w:val="bottom"/>
          </w:tcPr>
          <w:p w14:paraId="24DB125F" w14:textId="0ED7450E" w:rsidR="00224102" w:rsidRPr="0033358A" w:rsidRDefault="00224102" w:rsidP="00224102">
            <w:pPr>
              <w:jc w:val="right"/>
              <w:rPr>
                <w:b/>
                <w:sz w:val="18"/>
                <w:szCs w:val="18"/>
              </w:rPr>
            </w:pPr>
            <w:r w:rsidRPr="0033358A">
              <w:rPr>
                <w:b/>
                <w:sz w:val="18"/>
                <w:szCs w:val="18"/>
              </w:rPr>
              <w:t>48.87</w:t>
            </w:r>
          </w:p>
        </w:tc>
        <w:tc>
          <w:tcPr>
            <w:tcW w:w="901" w:type="dxa"/>
            <w:vAlign w:val="bottom"/>
          </w:tcPr>
          <w:p w14:paraId="035C8229" w14:textId="34C5EC32" w:rsidR="00224102" w:rsidRPr="0033358A" w:rsidRDefault="00224102" w:rsidP="00224102">
            <w:pPr>
              <w:jc w:val="right"/>
              <w:rPr>
                <w:b/>
                <w:sz w:val="18"/>
                <w:szCs w:val="18"/>
              </w:rPr>
            </w:pPr>
            <w:r w:rsidRPr="0033358A">
              <w:rPr>
                <w:b/>
                <w:sz w:val="18"/>
                <w:szCs w:val="18"/>
              </w:rPr>
              <w:t>361,971</w:t>
            </w:r>
          </w:p>
        </w:tc>
        <w:tc>
          <w:tcPr>
            <w:tcW w:w="901" w:type="dxa"/>
            <w:vAlign w:val="bottom"/>
          </w:tcPr>
          <w:p w14:paraId="0EFA027D" w14:textId="19AD35D5" w:rsidR="00224102" w:rsidRPr="0033358A" w:rsidRDefault="00224102" w:rsidP="00224102">
            <w:pPr>
              <w:jc w:val="right"/>
              <w:rPr>
                <w:b/>
                <w:sz w:val="18"/>
                <w:szCs w:val="18"/>
              </w:rPr>
            </w:pPr>
            <w:r w:rsidRPr="0033358A">
              <w:rPr>
                <w:b/>
                <w:sz w:val="18"/>
                <w:szCs w:val="18"/>
              </w:rPr>
              <w:t>18.59</w:t>
            </w:r>
          </w:p>
        </w:tc>
        <w:tc>
          <w:tcPr>
            <w:tcW w:w="901" w:type="dxa"/>
            <w:vAlign w:val="bottom"/>
          </w:tcPr>
          <w:p w14:paraId="283E339A" w14:textId="2CFF715B" w:rsidR="00224102" w:rsidRPr="00692926" w:rsidRDefault="00224102" w:rsidP="00224102">
            <w:pPr>
              <w:tabs>
                <w:tab w:val="left" w:pos="0"/>
              </w:tabs>
              <w:jc w:val="right"/>
              <w:rPr>
                <w:b/>
                <w:sz w:val="18"/>
                <w:szCs w:val="18"/>
              </w:rPr>
            </w:pPr>
            <w:r w:rsidRPr="00692926">
              <w:rPr>
                <w:b/>
                <w:sz w:val="18"/>
                <w:szCs w:val="18"/>
              </w:rPr>
              <w:t>601,297</w:t>
            </w:r>
          </w:p>
        </w:tc>
        <w:tc>
          <w:tcPr>
            <w:tcW w:w="901" w:type="dxa"/>
            <w:vAlign w:val="bottom"/>
          </w:tcPr>
          <w:p w14:paraId="754E6BA4" w14:textId="17C0C171" w:rsidR="00224102" w:rsidRPr="00692926" w:rsidRDefault="00224102" w:rsidP="00224102">
            <w:pPr>
              <w:tabs>
                <w:tab w:val="left" w:pos="0"/>
              </w:tabs>
              <w:jc w:val="right"/>
              <w:rPr>
                <w:b/>
                <w:sz w:val="18"/>
                <w:szCs w:val="18"/>
              </w:rPr>
            </w:pPr>
            <w:r w:rsidRPr="00692926">
              <w:rPr>
                <w:b/>
                <w:sz w:val="18"/>
                <w:szCs w:val="18"/>
              </w:rPr>
              <w:t>46.69</w:t>
            </w:r>
          </w:p>
        </w:tc>
        <w:tc>
          <w:tcPr>
            <w:tcW w:w="901" w:type="dxa"/>
            <w:vAlign w:val="bottom"/>
          </w:tcPr>
          <w:p w14:paraId="5C846478" w14:textId="51CD8CCC" w:rsidR="00224102" w:rsidRPr="00692926" w:rsidRDefault="00224102" w:rsidP="00224102">
            <w:pPr>
              <w:tabs>
                <w:tab w:val="left" w:pos="0"/>
              </w:tabs>
              <w:jc w:val="right"/>
              <w:rPr>
                <w:b/>
                <w:sz w:val="18"/>
                <w:szCs w:val="18"/>
              </w:rPr>
            </w:pPr>
            <w:r w:rsidRPr="00692926">
              <w:rPr>
                <w:b/>
                <w:sz w:val="18"/>
                <w:szCs w:val="18"/>
              </w:rPr>
              <w:t>206,895</w:t>
            </w:r>
          </w:p>
        </w:tc>
        <w:tc>
          <w:tcPr>
            <w:tcW w:w="901" w:type="dxa"/>
            <w:vAlign w:val="bottom"/>
          </w:tcPr>
          <w:p w14:paraId="5E0F2D07" w14:textId="5A8107FC" w:rsidR="00224102" w:rsidRPr="00692926" w:rsidRDefault="00224102" w:rsidP="00224102">
            <w:pPr>
              <w:tabs>
                <w:tab w:val="left" w:pos="0"/>
              </w:tabs>
              <w:jc w:val="right"/>
              <w:rPr>
                <w:b/>
                <w:sz w:val="18"/>
                <w:szCs w:val="18"/>
              </w:rPr>
            </w:pPr>
            <w:r w:rsidRPr="00692926">
              <w:rPr>
                <w:b/>
                <w:sz w:val="18"/>
                <w:szCs w:val="18"/>
              </w:rPr>
              <w:t>20.97</w:t>
            </w:r>
          </w:p>
        </w:tc>
      </w:tr>
      <w:tr w:rsidR="00224102" w:rsidRPr="00604C75" w14:paraId="4037CB84" w14:textId="77777777" w:rsidTr="00306C9F">
        <w:trPr>
          <w:trHeight w:val="134"/>
        </w:trPr>
        <w:tc>
          <w:tcPr>
            <w:tcW w:w="2480" w:type="dxa"/>
            <w:vAlign w:val="bottom"/>
          </w:tcPr>
          <w:p w14:paraId="2357E2C8" w14:textId="77777777" w:rsidR="00224102" w:rsidRPr="00604C75" w:rsidRDefault="00224102" w:rsidP="00224102">
            <w:pPr>
              <w:ind w:left="36" w:firstLine="76"/>
              <w:rPr>
                <w:sz w:val="18"/>
                <w:szCs w:val="18"/>
              </w:rPr>
            </w:pPr>
            <w:r w:rsidRPr="00604C75">
              <w:rPr>
                <w:sz w:val="18"/>
                <w:szCs w:val="18"/>
              </w:rPr>
              <w:t>Wholesale and Retail Trade</w:t>
            </w:r>
          </w:p>
        </w:tc>
        <w:tc>
          <w:tcPr>
            <w:tcW w:w="901" w:type="dxa"/>
            <w:vAlign w:val="bottom"/>
          </w:tcPr>
          <w:p w14:paraId="7DA3CC7F" w14:textId="0965F9BA" w:rsidR="00224102" w:rsidRDefault="00224102" w:rsidP="00224102">
            <w:pPr>
              <w:jc w:val="right"/>
              <w:rPr>
                <w:sz w:val="18"/>
                <w:szCs w:val="18"/>
              </w:rPr>
            </w:pPr>
            <w:r>
              <w:rPr>
                <w:sz w:val="18"/>
                <w:szCs w:val="18"/>
              </w:rPr>
              <w:t>199,074</w:t>
            </w:r>
          </w:p>
        </w:tc>
        <w:tc>
          <w:tcPr>
            <w:tcW w:w="901" w:type="dxa"/>
            <w:vAlign w:val="bottom"/>
          </w:tcPr>
          <w:p w14:paraId="0FE92D09" w14:textId="719FEDB7" w:rsidR="00224102" w:rsidRDefault="00224102" w:rsidP="00224102">
            <w:pPr>
              <w:jc w:val="right"/>
              <w:rPr>
                <w:sz w:val="18"/>
                <w:szCs w:val="18"/>
              </w:rPr>
            </w:pPr>
            <w:r>
              <w:rPr>
                <w:sz w:val="18"/>
                <w:szCs w:val="18"/>
              </w:rPr>
              <w:t>16.22</w:t>
            </w:r>
          </w:p>
        </w:tc>
        <w:tc>
          <w:tcPr>
            <w:tcW w:w="901" w:type="dxa"/>
            <w:vAlign w:val="bottom"/>
          </w:tcPr>
          <w:p w14:paraId="7F716059" w14:textId="1337AA08" w:rsidR="00224102" w:rsidRDefault="00224102" w:rsidP="00224102">
            <w:pPr>
              <w:jc w:val="right"/>
              <w:rPr>
                <w:sz w:val="18"/>
                <w:szCs w:val="18"/>
              </w:rPr>
            </w:pPr>
            <w:r>
              <w:rPr>
                <w:sz w:val="18"/>
                <w:szCs w:val="18"/>
              </w:rPr>
              <w:t>161,545</w:t>
            </w:r>
          </w:p>
        </w:tc>
        <w:tc>
          <w:tcPr>
            <w:tcW w:w="901" w:type="dxa"/>
            <w:vAlign w:val="bottom"/>
          </w:tcPr>
          <w:p w14:paraId="3B8A2B5F" w14:textId="07B5C46B" w:rsidR="00224102" w:rsidRDefault="00224102" w:rsidP="00224102">
            <w:pPr>
              <w:jc w:val="right"/>
              <w:rPr>
                <w:sz w:val="18"/>
                <w:szCs w:val="18"/>
              </w:rPr>
            </w:pPr>
            <w:r>
              <w:rPr>
                <w:sz w:val="18"/>
                <w:szCs w:val="18"/>
              </w:rPr>
              <w:t>8.30</w:t>
            </w:r>
          </w:p>
        </w:tc>
        <w:tc>
          <w:tcPr>
            <w:tcW w:w="901" w:type="dxa"/>
            <w:vAlign w:val="bottom"/>
          </w:tcPr>
          <w:p w14:paraId="3EAEAADC" w14:textId="36025F4E" w:rsidR="00224102" w:rsidRPr="00692926" w:rsidRDefault="00224102" w:rsidP="00224102">
            <w:pPr>
              <w:tabs>
                <w:tab w:val="left" w:pos="0"/>
              </w:tabs>
              <w:jc w:val="right"/>
              <w:rPr>
                <w:sz w:val="18"/>
                <w:szCs w:val="18"/>
              </w:rPr>
            </w:pPr>
            <w:r w:rsidRPr="00692926">
              <w:rPr>
                <w:sz w:val="18"/>
                <w:szCs w:val="18"/>
              </w:rPr>
              <w:t>276,947</w:t>
            </w:r>
          </w:p>
        </w:tc>
        <w:tc>
          <w:tcPr>
            <w:tcW w:w="901" w:type="dxa"/>
            <w:vAlign w:val="bottom"/>
          </w:tcPr>
          <w:p w14:paraId="4DDDA179" w14:textId="1D6E4C12" w:rsidR="00224102" w:rsidRPr="00692926" w:rsidRDefault="00224102" w:rsidP="00224102">
            <w:pPr>
              <w:tabs>
                <w:tab w:val="left" w:pos="0"/>
              </w:tabs>
              <w:jc w:val="right"/>
              <w:rPr>
                <w:sz w:val="18"/>
                <w:szCs w:val="18"/>
              </w:rPr>
            </w:pPr>
            <w:r w:rsidRPr="00692926">
              <w:rPr>
                <w:sz w:val="18"/>
                <w:szCs w:val="18"/>
              </w:rPr>
              <w:t>21.51</w:t>
            </w:r>
          </w:p>
        </w:tc>
        <w:tc>
          <w:tcPr>
            <w:tcW w:w="901" w:type="dxa"/>
            <w:vAlign w:val="bottom"/>
          </w:tcPr>
          <w:p w14:paraId="4A8879D8" w14:textId="7711BE87" w:rsidR="00224102" w:rsidRPr="00692926" w:rsidRDefault="00224102" w:rsidP="00224102">
            <w:pPr>
              <w:tabs>
                <w:tab w:val="left" w:pos="0"/>
              </w:tabs>
              <w:jc w:val="right"/>
              <w:rPr>
                <w:sz w:val="18"/>
                <w:szCs w:val="18"/>
              </w:rPr>
            </w:pPr>
            <w:r w:rsidRPr="00692926">
              <w:rPr>
                <w:sz w:val="18"/>
                <w:szCs w:val="18"/>
              </w:rPr>
              <w:t>111,977</w:t>
            </w:r>
          </w:p>
        </w:tc>
        <w:tc>
          <w:tcPr>
            <w:tcW w:w="901" w:type="dxa"/>
            <w:vAlign w:val="bottom"/>
          </w:tcPr>
          <w:p w14:paraId="70B739F8" w14:textId="3A4D6005" w:rsidR="00224102" w:rsidRPr="00692926" w:rsidRDefault="00224102" w:rsidP="00224102">
            <w:pPr>
              <w:tabs>
                <w:tab w:val="left" w:pos="0"/>
              </w:tabs>
              <w:jc w:val="right"/>
              <w:rPr>
                <w:sz w:val="18"/>
                <w:szCs w:val="18"/>
              </w:rPr>
            </w:pPr>
            <w:r w:rsidRPr="00692926">
              <w:rPr>
                <w:sz w:val="18"/>
                <w:szCs w:val="18"/>
              </w:rPr>
              <w:t>11.35</w:t>
            </w:r>
          </w:p>
        </w:tc>
      </w:tr>
      <w:tr w:rsidR="00224102" w:rsidRPr="00604C75" w14:paraId="5C8B07F0" w14:textId="77777777" w:rsidTr="00306C9F">
        <w:trPr>
          <w:trHeight w:val="134"/>
        </w:trPr>
        <w:tc>
          <w:tcPr>
            <w:tcW w:w="2480" w:type="dxa"/>
            <w:vAlign w:val="bottom"/>
          </w:tcPr>
          <w:p w14:paraId="37875A80" w14:textId="77777777" w:rsidR="00224102" w:rsidRPr="00604C75" w:rsidRDefault="00224102" w:rsidP="00224102">
            <w:pPr>
              <w:ind w:left="36" w:firstLine="76"/>
              <w:rPr>
                <w:sz w:val="18"/>
                <w:szCs w:val="18"/>
              </w:rPr>
            </w:pPr>
            <w:r w:rsidRPr="00604C75">
              <w:rPr>
                <w:sz w:val="18"/>
                <w:szCs w:val="18"/>
              </w:rPr>
              <w:t>Hotel and Food Services</w:t>
            </w:r>
          </w:p>
        </w:tc>
        <w:tc>
          <w:tcPr>
            <w:tcW w:w="901" w:type="dxa"/>
            <w:vAlign w:val="bottom"/>
          </w:tcPr>
          <w:p w14:paraId="5EA7A848" w14:textId="7A27F6CE" w:rsidR="00224102" w:rsidRDefault="00224102" w:rsidP="00224102">
            <w:pPr>
              <w:jc w:val="right"/>
              <w:rPr>
                <w:sz w:val="18"/>
                <w:szCs w:val="18"/>
              </w:rPr>
            </w:pPr>
            <w:r>
              <w:rPr>
                <w:sz w:val="18"/>
                <w:szCs w:val="18"/>
              </w:rPr>
              <w:t>10,066</w:t>
            </w:r>
          </w:p>
        </w:tc>
        <w:tc>
          <w:tcPr>
            <w:tcW w:w="901" w:type="dxa"/>
            <w:vAlign w:val="bottom"/>
          </w:tcPr>
          <w:p w14:paraId="60EFAC71" w14:textId="6E985716" w:rsidR="00224102" w:rsidRDefault="00224102" w:rsidP="00224102">
            <w:pPr>
              <w:jc w:val="right"/>
              <w:rPr>
                <w:sz w:val="18"/>
                <w:szCs w:val="18"/>
              </w:rPr>
            </w:pPr>
            <w:r>
              <w:rPr>
                <w:sz w:val="18"/>
                <w:szCs w:val="18"/>
              </w:rPr>
              <w:t>0.82</w:t>
            </w:r>
          </w:p>
        </w:tc>
        <w:tc>
          <w:tcPr>
            <w:tcW w:w="901" w:type="dxa"/>
            <w:vAlign w:val="bottom"/>
          </w:tcPr>
          <w:p w14:paraId="65B76688" w14:textId="123919AD" w:rsidR="00224102" w:rsidRDefault="00224102" w:rsidP="00224102">
            <w:pPr>
              <w:jc w:val="right"/>
              <w:rPr>
                <w:sz w:val="18"/>
                <w:szCs w:val="18"/>
              </w:rPr>
            </w:pPr>
            <w:r>
              <w:rPr>
                <w:sz w:val="18"/>
                <w:szCs w:val="18"/>
              </w:rPr>
              <w:t>1,926</w:t>
            </w:r>
          </w:p>
        </w:tc>
        <w:tc>
          <w:tcPr>
            <w:tcW w:w="901" w:type="dxa"/>
            <w:vAlign w:val="bottom"/>
          </w:tcPr>
          <w:p w14:paraId="47E5566F" w14:textId="514AA167" w:rsidR="00224102" w:rsidRDefault="00224102" w:rsidP="00224102">
            <w:pPr>
              <w:jc w:val="right"/>
              <w:rPr>
                <w:sz w:val="18"/>
                <w:szCs w:val="18"/>
              </w:rPr>
            </w:pPr>
            <w:r>
              <w:rPr>
                <w:sz w:val="18"/>
                <w:szCs w:val="18"/>
              </w:rPr>
              <w:t>0.10</w:t>
            </w:r>
          </w:p>
        </w:tc>
        <w:tc>
          <w:tcPr>
            <w:tcW w:w="901" w:type="dxa"/>
            <w:vAlign w:val="bottom"/>
          </w:tcPr>
          <w:p w14:paraId="4431B0CC" w14:textId="318C1074" w:rsidR="00224102" w:rsidRPr="00692926" w:rsidRDefault="00224102" w:rsidP="00224102">
            <w:pPr>
              <w:tabs>
                <w:tab w:val="left" w:pos="0"/>
              </w:tabs>
              <w:jc w:val="right"/>
              <w:rPr>
                <w:sz w:val="18"/>
                <w:szCs w:val="18"/>
              </w:rPr>
            </w:pPr>
            <w:r w:rsidRPr="00692926">
              <w:rPr>
                <w:sz w:val="18"/>
                <w:szCs w:val="18"/>
              </w:rPr>
              <w:t>13,555</w:t>
            </w:r>
          </w:p>
        </w:tc>
        <w:tc>
          <w:tcPr>
            <w:tcW w:w="901" w:type="dxa"/>
            <w:vAlign w:val="bottom"/>
          </w:tcPr>
          <w:p w14:paraId="41585F18" w14:textId="2E8DA6D1" w:rsidR="00224102" w:rsidRPr="00692926" w:rsidRDefault="00224102" w:rsidP="00224102">
            <w:pPr>
              <w:tabs>
                <w:tab w:val="left" w:pos="0"/>
              </w:tabs>
              <w:jc w:val="right"/>
              <w:rPr>
                <w:sz w:val="18"/>
                <w:szCs w:val="18"/>
              </w:rPr>
            </w:pPr>
            <w:r w:rsidRPr="00692926">
              <w:rPr>
                <w:sz w:val="18"/>
                <w:szCs w:val="18"/>
              </w:rPr>
              <w:t>1.05</w:t>
            </w:r>
          </w:p>
        </w:tc>
        <w:tc>
          <w:tcPr>
            <w:tcW w:w="901" w:type="dxa"/>
            <w:vAlign w:val="bottom"/>
          </w:tcPr>
          <w:p w14:paraId="76450584" w14:textId="01C2185F" w:rsidR="00224102" w:rsidRPr="00692926" w:rsidRDefault="00224102" w:rsidP="00224102">
            <w:pPr>
              <w:tabs>
                <w:tab w:val="left" w:pos="0"/>
              </w:tabs>
              <w:jc w:val="right"/>
              <w:rPr>
                <w:sz w:val="18"/>
                <w:szCs w:val="18"/>
              </w:rPr>
            </w:pPr>
            <w:r w:rsidRPr="00692926">
              <w:rPr>
                <w:sz w:val="18"/>
                <w:szCs w:val="18"/>
              </w:rPr>
              <w:t>3,229</w:t>
            </w:r>
          </w:p>
        </w:tc>
        <w:tc>
          <w:tcPr>
            <w:tcW w:w="901" w:type="dxa"/>
            <w:vAlign w:val="bottom"/>
          </w:tcPr>
          <w:p w14:paraId="50F18513" w14:textId="0A94EF70" w:rsidR="00224102" w:rsidRPr="00692926" w:rsidRDefault="00224102" w:rsidP="00224102">
            <w:pPr>
              <w:tabs>
                <w:tab w:val="left" w:pos="0"/>
              </w:tabs>
              <w:jc w:val="right"/>
              <w:rPr>
                <w:sz w:val="18"/>
                <w:szCs w:val="18"/>
              </w:rPr>
            </w:pPr>
            <w:r w:rsidRPr="00692926">
              <w:rPr>
                <w:sz w:val="18"/>
                <w:szCs w:val="18"/>
              </w:rPr>
              <w:t>0.33</w:t>
            </w:r>
          </w:p>
        </w:tc>
      </w:tr>
      <w:tr w:rsidR="00224102" w:rsidRPr="00604C75" w14:paraId="0BD8DBD4" w14:textId="77777777" w:rsidTr="00306C9F">
        <w:trPr>
          <w:trHeight w:val="134"/>
        </w:trPr>
        <w:tc>
          <w:tcPr>
            <w:tcW w:w="2480" w:type="dxa"/>
            <w:vAlign w:val="bottom"/>
          </w:tcPr>
          <w:p w14:paraId="5CBC5A74" w14:textId="77777777" w:rsidR="00224102" w:rsidRPr="00604C75" w:rsidRDefault="00224102" w:rsidP="00224102">
            <w:pPr>
              <w:ind w:left="36" w:firstLine="76"/>
              <w:rPr>
                <w:sz w:val="18"/>
                <w:szCs w:val="18"/>
              </w:rPr>
            </w:pPr>
            <w:r w:rsidRPr="00604C75">
              <w:rPr>
                <w:sz w:val="18"/>
                <w:szCs w:val="18"/>
              </w:rPr>
              <w:t xml:space="preserve">Transportation and </w:t>
            </w:r>
          </w:p>
          <w:p w14:paraId="40E6ECEE" w14:textId="77777777" w:rsidR="00224102" w:rsidRPr="00604C75" w:rsidRDefault="00224102" w:rsidP="00224102">
            <w:pPr>
              <w:ind w:left="36" w:firstLine="76"/>
              <w:rPr>
                <w:sz w:val="18"/>
                <w:szCs w:val="18"/>
              </w:rPr>
            </w:pPr>
            <w:r w:rsidRPr="00604C75">
              <w:rPr>
                <w:sz w:val="18"/>
                <w:szCs w:val="18"/>
              </w:rPr>
              <w:t>Telecommunication</w:t>
            </w:r>
          </w:p>
        </w:tc>
        <w:tc>
          <w:tcPr>
            <w:tcW w:w="901" w:type="dxa"/>
            <w:vAlign w:val="bottom"/>
          </w:tcPr>
          <w:p w14:paraId="761C49AA" w14:textId="6BA4B822" w:rsidR="00224102" w:rsidRDefault="00224102" w:rsidP="00224102">
            <w:pPr>
              <w:jc w:val="right"/>
              <w:rPr>
                <w:sz w:val="18"/>
                <w:szCs w:val="18"/>
              </w:rPr>
            </w:pPr>
            <w:r>
              <w:rPr>
                <w:sz w:val="18"/>
                <w:szCs w:val="18"/>
              </w:rPr>
              <w:t>67,366</w:t>
            </w:r>
          </w:p>
        </w:tc>
        <w:tc>
          <w:tcPr>
            <w:tcW w:w="901" w:type="dxa"/>
            <w:vAlign w:val="bottom"/>
          </w:tcPr>
          <w:p w14:paraId="3642EB7B" w14:textId="03F93CCF" w:rsidR="00224102" w:rsidRDefault="00224102" w:rsidP="00224102">
            <w:pPr>
              <w:jc w:val="right"/>
              <w:rPr>
                <w:sz w:val="18"/>
                <w:szCs w:val="18"/>
              </w:rPr>
            </w:pPr>
            <w:r>
              <w:rPr>
                <w:sz w:val="18"/>
                <w:szCs w:val="18"/>
              </w:rPr>
              <w:t>5.49</w:t>
            </w:r>
          </w:p>
        </w:tc>
        <w:tc>
          <w:tcPr>
            <w:tcW w:w="901" w:type="dxa"/>
            <w:vAlign w:val="bottom"/>
          </w:tcPr>
          <w:p w14:paraId="405096BD" w14:textId="5AE49790" w:rsidR="00224102" w:rsidRDefault="00224102" w:rsidP="00224102">
            <w:pPr>
              <w:jc w:val="right"/>
              <w:rPr>
                <w:sz w:val="18"/>
                <w:szCs w:val="18"/>
              </w:rPr>
            </w:pPr>
            <w:r>
              <w:rPr>
                <w:sz w:val="18"/>
                <w:szCs w:val="18"/>
              </w:rPr>
              <w:t>114,091</w:t>
            </w:r>
          </w:p>
        </w:tc>
        <w:tc>
          <w:tcPr>
            <w:tcW w:w="901" w:type="dxa"/>
            <w:vAlign w:val="bottom"/>
          </w:tcPr>
          <w:p w14:paraId="6EB3AE51" w14:textId="5DE3C312" w:rsidR="00224102" w:rsidRDefault="00224102" w:rsidP="00224102">
            <w:pPr>
              <w:jc w:val="right"/>
              <w:rPr>
                <w:sz w:val="18"/>
                <w:szCs w:val="18"/>
              </w:rPr>
            </w:pPr>
            <w:r>
              <w:rPr>
                <w:sz w:val="18"/>
                <w:szCs w:val="18"/>
              </w:rPr>
              <w:t>5.86</w:t>
            </w:r>
          </w:p>
        </w:tc>
        <w:tc>
          <w:tcPr>
            <w:tcW w:w="901" w:type="dxa"/>
            <w:vAlign w:val="bottom"/>
          </w:tcPr>
          <w:p w14:paraId="7E335B93" w14:textId="1B8DA3D1" w:rsidR="00224102" w:rsidRPr="00692926" w:rsidRDefault="00224102" w:rsidP="00224102">
            <w:pPr>
              <w:tabs>
                <w:tab w:val="left" w:pos="0"/>
              </w:tabs>
              <w:jc w:val="right"/>
              <w:rPr>
                <w:sz w:val="18"/>
                <w:szCs w:val="18"/>
              </w:rPr>
            </w:pPr>
            <w:r w:rsidRPr="00692926">
              <w:rPr>
                <w:sz w:val="18"/>
                <w:szCs w:val="18"/>
              </w:rPr>
              <w:t>70,394</w:t>
            </w:r>
          </w:p>
        </w:tc>
        <w:tc>
          <w:tcPr>
            <w:tcW w:w="901" w:type="dxa"/>
            <w:vAlign w:val="bottom"/>
          </w:tcPr>
          <w:p w14:paraId="134D03E0" w14:textId="54FF1A98" w:rsidR="00224102" w:rsidRPr="00692926" w:rsidRDefault="00224102" w:rsidP="00224102">
            <w:pPr>
              <w:tabs>
                <w:tab w:val="left" w:pos="0"/>
              </w:tabs>
              <w:jc w:val="right"/>
              <w:rPr>
                <w:sz w:val="18"/>
                <w:szCs w:val="18"/>
              </w:rPr>
            </w:pPr>
            <w:r w:rsidRPr="00692926">
              <w:rPr>
                <w:sz w:val="18"/>
                <w:szCs w:val="18"/>
              </w:rPr>
              <w:t>5.47</w:t>
            </w:r>
          </w:p>
        </w:tc>
        <w:tc>
          <w:tcPr>
            <w:tcW w:w="901" w:type="dxa"/>
            <w:vAlign w:val="bottom"/>
          </w:tcPr>
          <w:p w14:paraId="0C9A6A64" w14:textId="3CFEAE9C" w:rsidR="00224102" w:rsidRPr="00692926" w:rsidRDefault="00224102" w:rsidP="00224102">
            <w:pPr>
              <w:tabs>
                <w:tab w:val="left" w:pos="0"/>
              </w:tabs>
              <w:jc w:val="right"/>
              <w:rPr>
                <w:sz w:val="18"/>
                <w:szCs w:val="18"/>
              </w:rPr>
            </w:pPr>
            <w:r w:rsidRPr="00692926">
              <w:rPr>
                <w:sz w:val="18"/>
                <w:szCs w:val="18"/>
              </w:rPr>
              <w:t>25,646</w:t>
            </w:r>
          </w:p>
        </w:tc>
        <w:tc>
          <w:tcPr>
            <w:tcW w:w="901" w:type="dxa"/>
            <w:vAlign w:val="bottom"/>
          </w:tcPr>
          <w:p w14:paraId="1AF032C8" w14:textId="117AE3FC" w:rsidR="00224102" w:rsidRPr="00692926" w:rsidRDefault="00224102" w:rsidP="00224102">
            <w:pPr>
              <w:tabs>
                <w:tab w:val="left" w:pos="0"/>
              </w:tabs>
              <w:jc w:val="right"/>
              <w:rPr>
                <w:sz w:val="18"/>
                <w:szCs w:val="18"/>
              </w:rPr>
            </w:pPr>
            <w:r w:rsidRPr="00692926">
              <w:rPr>
                <w:sz w:val="18"/>
                <w:szCs w:val="18"/>
              </w:rPr>
              <w:t>2.60</w:t>
            </w:r>
          </w:p>
        </w:tc>
      </w:tr>
      <w:tr w:rsidR="00224102" w:rsidRPr="00604C75" w14:paraId="2143D140" w14:textId="77777777" w:rsidTr="00306C9F">
        <w:trPr>
          <w:trHeight w:val="134"/>
        </w:trPr>
        <w:tc>
          <w:tcPr>
            <w:tcW w:w="2480" w:type="dxa"/>
            <w:vAlign w:val="bottom"/>
          </w:tcPr>
          <w:p w14:paraId="19761E33" w14:textId="77777777" w:rsidR="00224102" w:rsidRPr="00604C75" w:rsidRDefault="00224102" w:rsidP="00224102">
            <w:pPr>
              <w:ind w:left="36" w:firstLine="76"/>
              <w:rPr>
                <w:sz w:val="18"/>
                <w:szCs w:val="18"/>
              </w:rPr>
            </w:pPr>
            <w:r w:rsidRPr="00604C75">
              <w:rPr>
                <w:sz w:val="18"/>
                <w:szCs w:val="18"/>
              </w:rPr>
              <w:t>Financial Institutions</w:t>
            </w:r>
          </w:p>
        </w:tc>
        <w:tc>
          <w:tcPr>
            <w:tcW w:w="901" w:type="dxa"/>
            <w:vAlign w:val="bottom"/>
          </w:tcPr>
          <w:p w14:paraId="63713742" w14:textId="4B1482DC" w:rsidR="00224102" w:rsidRDefault="00224102" w:rsidP="00224102">
            <w:pPr>
              <w:jc w:val="right"/>
              <w:rPr>
                <w:sz w:val="18"/>
                <w:szCs w:val="18"/>
              </w:rPr>
            </w:pPr>
            <w:r>
              <w:rPr>
                <w:sz w:val="18"/>
                <w:szCs w:val="18"/>
              </w:rPr>
              <w:t>174,437</w:t>
            </w:r>
          </w:p>
        </w:tc>
        <w:tc>
          <w:tcPr>
            <w:tcW w:w="901" w:type="dxa"/>
            <w:vAlign w:val="bottom"/>
          </w:tcPr>
          <w:p w14:paraId="0961C9AE" w14:textId="5C1732F3" w:rsidR="00224102" w:rsidRDefault="00224102" w:rsidP="00224102">
            <w:pPr>
              <w:jc w:val="right"/>
              <w:rPr>
                <w:sz w:val="18"/>
                <w:szCs w:val="18"/>
              </w:rPr>
            </w:pPr>
            <w:r>
              <w:rPr>
                <w:sz w:val="18"/>
                <w:szCs w:val="18"/>
              </w:rPr>
              <w:t>14.21</w:t>
            </w:r>
          </w:p>
        </w:tc>
        <w:tc>
          <w:tcPr>
            <w:tcW w:w="901" w:type="dxa"/>
            <w:vAlign w:val="bottom"/>
          </w:tcPr>
          <w:p w14:paraId="0782BE81" w14:textId="0CF7CF7B" w:rsidR="00224102" w:rsidRDefault="00224102" w:rsidP="00224102">
            <w:pPr>
              <w:jc w:val="right"/>
              <w:rPr>
                <w:sz w:val="18"/>
                <w:szCs w:val="18"/>
              </w:rPr>
            </w:pPr>
            <w:r>
              <w:rPr>
                <w:sz w:val="18"/>
                <w:szCs w:val="18"/>
              </w:rPr>
              <w:t>19,946</w:t>
            </w:r>
          </w:p>
        </w:tc>
        <w:tc>
          <w:tcPr>
            <w:tcW w:w="901" w:type="dxa"/>
            <w:vAlign w:val="bottom"/>
          </w:tcPr>
          <w:p w14:paraId="3DD3075F" w14:textId="29205411" w:rsidR="00224102" w:rsidRDefault="00224102" w:rsidP="00224102">
            <w:pPr>
              <w:jc w:val="right"/>
              <w:rPr>
                <w:sz w:val="18"/>
                <w:szCs w:val="18"/>
              </w:rPr>
            </w:pPr>
            <w:r>
              <w:rPr>
                <w:sz w:val="18"/>
                <w:szCs w:val="18"/>
              </w:rPr>
              <w:t>1.02</w:t>
            </w:r>
          </w:p>
        </w:tc>
        <w:tc>
          <w:tcPr>
            <w:tcW w:w="901" w:type="dxa"/>
            <w:vAlign w:val="bottom"/>
          </w:tcPr>
          <w:p w14:paraId="63CE9D4E" w14:textId="0CA9C324" w:rsidR="00224102" w:rsidRPr="00692926" w:rsidRDefault="00224102" w:rsidP="00224102">
            <w:pPr>
              <w:tabs>
                <w:tab w:val="left" w:pos="0"/>
              </w:tabs>
              <w:jc w:val="right"/>
              <w:rPr>
                <w:sz w:val="18"/>
                <w:szCs w:val="18"/>
              </w:rPr>
            </w:pPr>
            <w:r w:rsidRPr="00692926">
              <w:rPr>
                <w:sz w:val="18"/>
                <w:szCs w:val="18"/>
              </w:rPr>
              <w:t>113,995</w:t>
            </w:r>
          </w:p>
        </w:tc>
        <w:tc>
          <w:tcPr>
            <w:tcW w:w="901" w:type="dxa"/>
            <w:vAlign w:val="bottom"/>
          </w:tcPr>
          <w:p w14:paraId="0875925B" w14:textId="664BEC50" w:rsidR="00224102" w:rsidRPr="00692926" w:rsidRDefault="00224102" w:rsidP="00224102">
            <w:pPr>
              <w:tabs>
                <w:tab w:val="left" w:pos="0"/>
              </w:tabs>
              <w:jc w:val="right"/>
              <w:rPr>
                <w:sz w:val="18"/>
                <w:szCs w:val="18"/>
              </w:rPr>
            </w:pPr>
            <w:r w:rsidRPr="00692926">
              <w:rPr>
                <w:sz w:val="18"/>
                <w:szCs w:val="18"/>
              </w:rPr>
              <w:t>8.85</w:t>
            </w:r>
          </w:p>
        </w:tc>
        <w:tc>
          <w:tcPr>
            <w:tcW w:w="901" w:type="dxa"/>
            <w:vAlign w:val="bottom"/>
          </w:tcPr>
          <w:p w14:paraId="217C5872" w14:textId="186F3B76" w:rsidR="00224102" w:rsidRPr="00692926" w:rsidRDefault="00224102" w:rsidP="00224102">
            <w:pPr>
              <w:tabs>
                <w:tab w:val="left" w:pos="0"/>
              </w:tabs>
              <w:jc w:val="right"/>
              <w:rPr>
                <w:sz w:val="18"/>
                <w:szCs w:val="18"/>
              </w:rPr>
            </w:pPr>
            <w:r w:rsidRPr="00692926">
              <w:rPr>
                <w:sz w:val="18"/>
                <w:szCs w:val="18"/>
              </w:rPr>
              <w:t>6,175</w:t>
            </w:r>
          </w:p>
        </w:tc>
        <w:tc>
          <w:tcPr>
            <w:tcW w:w="901" w:type="dxa"/>
            <w:vAlign w:val="bottom"/>
          </w:tcPr>
          <w:p w14:paraId="3A59C769" w14:textId="4A57915B" w:rsidR="00224102" w:rsidRPr="00692926" w:rsidRDefault="00224102" w:rsidP="00224102">
            <w:pPr>
              <w:tabs>
                <w:tab w:val="left" w:pos="0"/>
              </w:tabs>
              <w:jc w:val="right"/>
              <w:rPr>
                <w:sz w:val="18"/>
                <w:szCs w:val="18"/>
              </w:rPr>
            </w:pPr>
            <w:r w:rsidRPr="00692926">
              <w:rPr>
                <w:sz w:val="18"/>
                <w:szCs w:val="18"/>
              </w:rPr>
              <w:t>0.63</w:t>
            </w:r>
          </w:p>
        </w:tc>
      </w:tr>
      <w:tr w:rsidR="00224102" w:rsidRPr="00604C75" w14:paraId="018AC2E9" w14:textId="77777777" w:rsidTr="00306C9F">
        <w:trPr>
          <w:trHeight w:val="134"/>
        </w:trPr>
        <w:tc>
          <w:tcPr>
            <w:tcW w:w="2480" w:type="dxa"/>
            <w:vAlign w:val="bottom"/>
          </w:tcPr>
          <w:p w14:paraId="41BF5061" w14:textId="77777777" w:rsidR="00224102" w:rsidRPr="00604C75" w:rsidRDefault="00224102" w:rsidP="00224102">
            <w:pPr>
              <w:ind w:left="22" w:firstLine="76"/>
              <w:rPr>
                <w:sz w:val="18"/>
                <w:szCs w:val="18"/>
              </w:rPr>
            </w:pPr>
            <w:r w:rsidRPr="00604C75">
              <w:rPr>
                <w:sz w:val="18"/>
                <w:szCs w:val="18"/>
              </w:rPr>
              <w:t>Real Estate and Leasing Ser.</w:t>
            </w:r>
          </w:p>
        </w:tc>
        <w:tc>
          <w:tcPr>
            <w:tcW w:w="901" w:type="dxa"/>
            <w:vAlign w:val="bottom"/>
          </w:tcPr>
          <w:p w14:paraId="637B61B1" w14:textId="176E5DEF" w:rsidR="00224102" w:rsidRDefault="00224102" w:rsidP="00224102">
            <w:pPr>
              <w:jc w:val="right"/>
              <w:rPr>
                <w:sz w:val="18"/>
                <w:szCs w:val="18"/>
              </w:rPr>
            </w:pPr>
            <w:r>
              <w:rPr>
                <w:sz w:val="18"/>
                <w:szCs w:val="18"/>
              </w:rPr>
              <w:t>567</w:t>
            </w:r>
          </w:p>
        </w:tc>
        <w:tc>
          <w:tcPr>
            <w:tcW w:w="901" w:type="dxa"/>
            <w:vAlign w:val="bottom"/>
          </w:tcPr>
          <w:p w14:paraId="0F5FB5F2" w14:textId="753B36A3" w:rsidR="00224102" w:rsidRDefault="00224102" w:rsidP="00224102">
            <w:pPr>
              <w:jc w:val="right"/>
              <w:rPr>
                <w:sz w:val="18"/>
                <w:szCs w:val="18"/>
              </w:rPr>
            </w:pPr>
            <w:r>
              <w:rPr>
                <w:sz w:val="18"/>
                <w:szCs w:val="18"/>
              </w:rPr>
              <w:t>0.05</w:t>
            </w:r>
          </w:p>
        </w:tc>
        <w:tc>
          <w:tcPr>
            <w:tcW w:w="901" w:type="dxa"/>
            <w:vAlign w:val="bottom"/>
          </w:tcPr>
          <w:p w14:paraId="65D3B4F1" w14:textId="12A0A2DC" w:rsidR="00224102" w:rsidRDefault="00224102" w:rsidP="00224102">
            <w:pPr>
              <w:jc w:val="right"/>
              <w:rPr>
                <w:sz w:val="18"/>
                <w:szCs w:val="18"/>
              </w:rPr>
            </w:pPr>
            <w:r>
              <w:rPr>
                <w:sz w:val="18"/>
                <w:szCs w:val="18"/>
              </w:rPr>
              <w:t>520</w:t>
            </w:r>
          </w:p>
        </w:tc>
        <w:tc>
          <w:tcPr>
            <w:tcW w:w="901" w:type="dxa"/>
            <w:vAlign w:val="bottom"/>
          </w:tcPr>
          <w:p w14:paraId="05D16BF4" w14:textId="5B214572" w:rsidR="00224102" w:rsidRDefault="00224102" w:rsidP="00224102">
            <w:pPr>
              <w:jc w:val="right"/>
              <w:rPr>
                <w:sz w:val="18"/>
                <w:szCs w:val="18"/>
              </w:rPr>
            </w:pPr>
            <w:r>
              <w:rPr>
                <w:sz w:val="18"/>
                <w:szCs w:val="18"/>
              </w:rPr>
              <w:t>0.03</w:t>
            </w:r>
          </w:p>
        </w:tc>
        <w:tc>
          <w:tcPr>
            <w:tcW w:w="901" w:type="dxa"/>
            <w:vAlign w:val="bottom"/>
          </w:tcPr>
          <w:p w14:paraId="4E27206B" w14:textId="7F9A429C" w:rsidR="00224102" w:rsidRPr="00692926" w:rsidRDefault="00224102" w:rsidP="00224102">
            <w:pPr>
              <w:tabs>
                <w:tab w:val="left" w:pos="0"/>
              </w:tabs>
              <w:jc w:val="right"/>
              <w:rPr>
                <w:sz w:val="18"/>
                <w:szCs w:val="18"/>
              </w:rPr>
            </w:pPr>
            <w:r w:rsidRPr="00692926">
              <w:rPr>
                <w:sz w:val="18"/>
                <w:szCs w:val="18"/>
              </w:rPr>
              <w:t>2,241</w:t>
            </w:r>
          </w:p>
        </w:tc>
        <w:tc>
          <w:tcPr>
            <w:tcW w:w="901" w:type="dxa"/>
            <w:vAlign w:val="bottom"/>
          </w:tcPr>
          <w:p w14:paraId="4E138C3A" w14:textId="2B63B8D1" w:rsidR="00224102" w:rsidRPr="00692926" w:rsidRDefault="00224102" w:rsidP="00224102">
            <w:pPr>
              <w:tabs>
                <w:tab w:val="left" w:pos="0"/>
              </w:tabs>
              <w:jc w:val="right"/>
              <w:rPr>
                <w:sz w:val="18"/>
                <w:szCs w:val="18"/>
              </w:rPr>
            </w:pPr>
            <w:r w:rsidRPr="00692926">
              <w:rPr>
                <w:sz w:val="18"/>
                <w:szCs w:val="18"/>
              </w:rPr>
              <w:t>0.17</w:t>
            </w:r>
          </w:p>
        </w:tc>
        <w:tc>
          <w:tcPr>
            <w:tcW w:w="901" w:type="dxa"/>
            <w:vAlign w:val="bottom"/>
          </w:tcPr>
          <w:p w14:paraId="5EF7615D" w14:textId="7FAFF3E6" w:rsidR="00224102" w:rsidRPr="00692926" w:rsidRDefault="00224102" w:rsidP="00224102">
            <w:pPr>
              <w:tabs>
                <w:tab w:val="left" w:pos="0"/>
              </w:tabs>
              <w:jc w:val="right"/>
              <w:rPr>
                <w:sz w:val="18"/>
                <w:szCs w:val="18"/>
              </w:rPr>
            </w:pPr>
            <w:r w:rsidRPr="00692926">
              <w:rPr>
                <w:sz w:val="18"/>
                <w:szCs w:val="18"/>
              </w:rPr>
              <w:t>338</w:t>
            </w:r>
          </w:p>
        </w:tc>
        <w:tc>
          <w:tcPr>
            <w:tcW w:w="901" w:type="dxa"/>
            <w:vAlign w:val="bottom"/>
          </w:tcPr>
          <w:p w14:paraId="535F13E3" w14:textId="7B7F4B91" w:rsidR="00224102" w:rsidRPr="00692926" w:rsidRDefault="00224102" w:rsidP="00224102">
            <w:pPr>
              <w:tabs>
                <w:tab w:val="left" w:pos="0"/>
              </w:tabs>
              <w:jc w:val="right"/>
              <w:rPr>
                <w:sz w:val="18"/>
                <w:szCs w:val="18"/>
              </w:rPr>
            </w:pPr>
            <w:r w:rsidRPr="00692926">
              <w:rPr>
                <w:sz w:val="18"/>
                <w:szCs w:val="18"/>
              </w:rPr>
              <w:t>0.03</w:t>
            </w:r>
          </w:p>
        </w:tc>
      </w:tr>
      <w:tr w:rsidR="00224102" w:rsidRPr="00604C75" w14:paraId="147B8B3A" w14:textId="77777777" w:rsidTr="00306C9F">
        <w:trPr>
          <w:trHeight w:val="134"/>
        </w:trPr>
        <w:tc>
          <w:tcPr>
            <w:tcW w:w="2480" w:type="dxa"/>
            <w:vAlign w:val="bottom"/>
          </w:tcPr>
          <w:p w14:paraId="43641725" w14:textId="77777777" w:rsidR="00224102" w:rsidRPr="00604C75" w:rsidRDefault="00224102" w:rsidP="00224102">
            <w:pPr>
              <w:ind w:left="36" w:firstLine="76"/>
              <w:rPr>
                <w:sz w:val="18"/>
                <w:szCs w:val="18"/>
              </w:rPr>
            </w:pPr>
            <w:r w:rsidRPr="00604C75">
              <w:rPr>
                <w:sz w:val="18"/>
                <w:szCs w:val="18"/>
              </w:rPr>
              <w:t>Professional Services</w:t>
            </w:r>
          </w:p>
        </w:tc>
        <w:tc>
          <w:tcPr>
            <w:tcW w:w="901" w:type="dxa"/>
            <w:vAlign w:val="bottom"/>
          </w:tcPr>
          <w:p w14:paraId="71D8D09D" w14:textId="05B31350" w:rsidR="00224102" w:rsidRDefault="00224102" w:rsidP="00224102">
            <w:pPr>
              <w:jc w:val="right"/>
              <w:rPr>
                <w:sz w:val="18"/>
                <w:szCs w:val="18"/>
              </w:rPr>
            </w:pPr>
            <w:r>
              <w:rPr>
                <w:sz w:val="18"/>
                <w:szCs w:val="18"/>
              </w:rPr>
              <w:t>144,463</w:t>
            </w:r>
          </w:p>
        </w:tc>
        <w:tc>
          <w:tcPr>
            <w:tcW w:w="901" w:type="dxa"/>
            <w:vAlign w:val="bottom"/>
          </w:tcPr>
          <w:p w14:paraId="25C80B1A" w14:textId="78E2FA6A" w:rsidR="00224102" w:rsidRDefault="00224102" w:rsidP="00224102">
            <w:pPr>
              <w:jc w:val="right"/>
              <w:rPr>
                <w:sz w:val="18"/>
                <w:szCs w:val="18"/>
              </w:rPr>
            </w:pPr>
            <w:r>
              <w:rPr>
                <w:sz w:val="18"/>
                <w:szCs w:val="18"/>
              </w:rPr>
              <w:t>11.77</w:t>
            </w:r>
          </w:p>
        </w:tc>
        <w:tc>
          <w:tcPr>
            <w:tcW w:w="901" w:type="dxa"/>
            <w:vAlign w:val="bottom"/>
          </w:tcPr>
          <w:p w14:paraId="065EA5DD" w14:textId="3F0EF1E7" w:rsidR="00224102" w:rsidRDefault="00224102" w:rsidP="00224102">
            <w:pPr>
              <w:jc w:val="right"/>
              <w:rPr>
                <w:sz w:val="18"/>
                <w:szCs w:val="18"/>
              </w:rPr>
            </w:pPr>
            <w:r>
              <w:rPr>
                <w:sz w:val="18"/>
                <w:szCs w:val="18"/>
              </w:rPr>
              <w:t>63,370</w:t>
            </w:r>
          </w:p>
        </w:tc>
        <w:tc>
          <w:tcPr>
            <w:tcW w:w="901" w:type="dxa"/>
            <w:vAlign w:val="bottom"/>
          </w:tcPr>
          <w:p w14:paraId="780DB259" w14:textId="62C8607B" w:rsidR="00224102" w:rsidRDefault="00224102" w:rsidP="00224102">
            <w:pPr>
              <w:jc w:val="right"/>
              <w:rPr>
                <w:sz w:val="18"/>
                <w:szCs w:val="18"/>
              </w:rPr>
            </w:pPr>
            <w:r>
              <w:rPr>
                <w:sz w:val="18"/>
                <w:szCs w:val="18"/>
              </w:rPr>
              <w:t>3.26</w:t>
            </w:r>
          </w:p>
        </w:tc>
        <w:tc>
          <w:tcPr>
            <w:tcW w:w="901" w:type="dxa"/>
            <w:vAlign w:val="bottom"/>
          </w:tcPr>
          <w:p w14:paraId="408000D6" w14:textId="3A47387F" w:rsidR="00224102" w:rsidRPr="00692926" w:rsidRDefault="00224102" w:rsidP="00224102">
            <w:pPr>
              <w:tabs>
                <w:tab w:val="left" w:pos="0"/>
              </w:tabs>
              <w:jc w:val="right"/>
              <w:rPr>
                <w:sz w:val="18"/>
                <w:szCs w:val="18"/>
              </w:rPr>
            </w:pPr>
            <w:r w:rsidRPr="00692926">
              <w:rPr>
                <w:sz w:val="18"/>
                <w:szCs w:val="18"/>
              </w:rPr>
              <w:t>116,663</w:t>
            </w:r>
          </w:p>
        </w:tc>
        <w:tc>
          <w:tcPr>
            <w:tcW w:w="901" w:type="dxa"/>
            <w:vAlign w:val="bottom"/>
          </w:tcPr>
          <w:p w14:paraId="09ACD901" w14:textId="4E7BA87C" w:rsidR="00224102" w:rsidRPr="00692926" w:rsidRDefault="00224102" w:rsidP="00224102">
            <w:pPr>
              <w:tabs>
                <w:tab w:val="left" w:pos="0"/>
              </w:tabs>
              <w:jc w:val="right"/>
              <w:rPr>
                <w:sz w:val="18"/>
                <w:szCs w:val="18"/>
              </w:rPr>
            </w:pPr>
            <w:r w:rsidRPr="00692926">
              <w:rPr>
                <w:sz w:val="18"/>
                <w:szCs w:val="18"/>
              </w:rPr>
              <w:t>9.06</w:t>
            </w:r>
          </w:p>
        </w:tc>
        <w:tc>
          <w:tcPr>
            <w:tcW w:w="901" w:type="dxa"/>
            <w:vAlign w:val="bottom"/>
          </w:tcPr>
          <w:p w14:paraId="470DA4E0" w14:textId="62BC0C3F" w:rsidR="00224102" w:rsidRPr="00692926" w:rsidRDefault="00224102" w:rsidP="00224102">
            <w:pPr>
              <w:tabs>
                <w:tab w:val="left" w:pos="0"/>
              </w:tabs>
              <w:jc w:val="right"/>
              <w:rPr>
                <w:sz w:val="18"/>
                <w:szCs w:val="18"/>
              </w:rPr>
            </w:pPr>
            <w:r w:rsidRPr="00692926">
              <w:rPr>
                <w:sz w:val="18"/>
                <w:szCs w:val="18"/>
              </w:rPr>
              <w:t>59,073</w:t>
            </w:r>
          </w:p>
        </w:tc>
        <w:tc>
          <w:tcPr>
            <w:tcW w:w="901" w:type="dxa"/>
            <w:vAlign w:val="bottom"/>
          </w:tcPr>
          <w:p w14:paraId="717AF0FA" w14:textId="1242E247" w:rsidR="00224102" w:rsidRPr="00692926" w:rsidRDefault="00224102" w:rsidP="00224102">
            <w:pPr>
              <w:tabs>
                <w:tab w:val="left" w:pos="0"/>
              </w:tabs>
              <w:jc w:val="right"/>
              <w:rPr>
                <w:sz w:val="18"/>
                <w:szCs w:val="18"/>
              </w:rPr>
            </w:pPr>
            <w:r w:rsidRPr="00692926">
              <w:rPr>
                <w:sz w:val="18"/>
                <w:szCs w:val="18"/>
              </w:rPr>
              <w:t>5.99</w:t>
            </w:r>
          </w:p>
        </w:tc>
      </w:tr>
      <w:tr w:rsidR="00224102" w:rsidRPr="00604C75" w14:paraId="4C6DE736" w14:textId="77777777" w:rsidTr="00306C9F">
        <w:trPr>
          <w:trHeight w:val="134"/>
        </w:trPr>
        <w:tc>
          <w:tcPr>
            <w:tcW w:w="2480" w:type="dxa"/>
            <w:vAlign w:val="bottom"/>
          </w:tcPr>
          <w:p w14:paraId="6298F2D4" w14:textId="77777777" w:rsidR="00224102" w:rsidRPr="00604C75" w:rsidRDefault="00224102" w:rsidP="00224102">
            <w:pPr>
              <w:ind w:left="36" w:firstLine="76"/>
              <w:rPr>
                <w:sz w:val="18"/>
                <w:szCs w:val="18"/>
              </w:rPr>
            </w:pPr>
            <w:r w:rsidRPr="00604C75">
              <w:rPr>
                <w:sz w:val="18"/>
                <w:szCs w:val="18"/>
              </w:rPr>
              <w:t>Education Services</w:t>
            </w:r>
          </w:p>
        </w:tc>
        <w:tc>
          <w:tcPr>
            <w:tcW w:w="901" w:type="dxa"/>
            <w:vAlign w:val="bottom"/>
          </w:tcPr>
          <w:p w14:paraId="20A8A927" w14:textId="3E6BFAA7" w:rsidR="00224102" w:rsidRDefault="00224102" w:rsidP="00224102">
            <w:pPr>
              <w:jc w:val="right"/>
              <w:rPr>
                <w:sz w:val="18"/>
                <w:szCs w:val="18"/>
              </w:rPr>
            </w:pPr>
            <w:r>
              <w:rPr>
                <w:sz w:val="18"/>
                <w:szCs w:val="18"/>
              </w:rPr>
              <w:t>589</w:t>
            </w:r>
          </w:p>
        </w:tc>
        <w:tc>
          <w:tcPr>
            <w:tcW w:w="901" w:type="dxa"/>
            <w:vAlign w:val="bottom"/>
          </w:tcPr>
          <w:p w14:paraId="016DF37F" w14:textId="57E3723E" w:rsidR="00224102" w:rsidRDefault="00224102" w:rsidP="00224102">
            <w:pPr>
              <w:jc w:val="right"/>
              <w:rPr>
                <w:sz w:val="18"/>
                <w:szCs w:val="18"/>
              </w:rPr>
            </w:pPr>
            <w:r>
              <w:rPr>
                <w:sz w:val="18"/>
                <w:szCs w:val="18"/>
              </w:rPr>
              <w:t>0.05</w:t>
            </w:r>
          </w:p>
        </w:tc>
        <w:tc>
          <w:tcPr>
            <w:tcW w:w="901" w:type="dxa"/>
            <w:vAlign w:val="bottom"/>
          </w:tcPr>
          <w:p w14:paraId="7222F6B2" w14:textId="36EE8F71" w:rsidR="00224102" w:rsidRDefault="00224102" w:rsidP="00224102">
            <w:pPr>
              <w:jc w:val="right"/>
              <w:rPr>
                <w:sz w:val="18"/>
                <w:szCs w:val="18"/>
              </w:rPr>
            </w:pPr>
            <w:r>
              <w:rPr>
                <w:sz w:val="18"/>
                <w:szCs w:val="18"/>
              </w:rPr>
              <w:t>-</w:t>
            </w:r>
          </w:p>
        </w:tc>
        <w:tc>
          <w:tcPr>
            <w:tcW w:w="901" w:type="dxa"/>
            <w:vAlign w:val="bottom"/>
          </w:tcPr>
          <w:p w14:paraId="425F0745" w14:textId="4EB517FD" w:rsidR="00224102" w:rsidRDefault="00224102" w:rsidP="00224102">
            <w:pPr>
              <w:jc w:val="right"/>
              <w:rPr>
                <w:sz w:val="18"/>
                <w:szCs w:val="18"/>
              </w:rPr>
            </w:pPr>
            <w:r>
              <w:rPr>
                <w:sz w:val="18"/>
                <w:szCs w:val="18"/>
              </w:rPr>
              <w:t>-</w:t>
            </w:r>
          </w:p>
        </w:tc>
        <w:tc>
          <w:tcPr>
            <w:tcW w:w="901" w:type="dxa"/>
            <w:vAlign w:val="bottom"/>
          </w:tcPr>
          <w:p w14:paraId="52A6CA24" w14:textId="2C66010B" w:rsidR="00224102" w:rsidRPr="00692926" w:rsidRDefault="00224102" w:rsidP="00224102">
            <w:pPr>
              <w:tabs>
                <w:tab w:val="left" w:pos="0"/>
              </w:tabs>
              <w:jc w:val="right"/>
              <w:rPr>
                <w:sz w:val="18"/>
                <w:szCs w:val="18"/>
              </w:rPr>
            </w:pPr>
            <w:r w:rsidRPr="00692926">
              <w:rPr>
                <w:sz w:val="18"/>
                <w:szCs w:val="18"/>
              </w:rPr>
              <w:t>506</w:t>
            </w:r>
          </w:p>
        </w:tc>
        <w:tc>
          <w:tcPr>
            <w:tcW w:w="901" w:type="dxa"/>
            <w:vAlign w:val="bottom"/>
          </w:tcPr>
          <w:p w14:paraId="63A5AC61" w14:textId="00190FAD" w:rsidR="00224102" w:rsidRPr="00692926" w:rsidRDefault="00224102" w:rsidP="00224102">
            <w:pPr>
              <w:tabs>
                <w:tab w:val="left" w:pos="0"/>
              </w:tabs>
              <w:jc w:val="right"/>
              <w:rPr>
                <w:sz w:val="18"/>
                <w:szCs w:val="18"/>
              </w:rPr>
            </w:pPr>
            <w:r w:rsidRPr="00692926">
              <w:rPr>
                <w:sz w:val="18"/>
                <w:szCs w:val="18"/>
              </w:rPr>
              <w:t>0.04</w:t>
            </w:r>
          </w:p>
        </w:tc>
        <w:tc>
          <w:tcPr>
            <w:tcW w:w="901" w:type="dxa"/>
            <w:vAlign w:val="bottom"/>
          </w:tcPr>
          <w:p w14:paraId="65D2F541" w14:textId="79CC1B5F" w:rsidR="00224102" w:rsidRPr="00692926" w:rsidRDefault="00224102" w:rsidP="00224102">
            <w:pPr>
              <w:tabs>
                <w:tab w:val="left" w:pos="0"/>
              </w:tabs>
              <w:jc w:val="right"/>
              <w:rPr>
                <w:sz w:val="18"/>
                <w:szCs w:val="18"/>
              </w:rPr>
            </w:pPr>
            <w:r w:rsidRPr="00692926">
              <w:rPr>
                <w:sz w:val="18"/>
                <w:szCs w:val="18"/>
              </w:rPr>
              <w:t>-</w:t>
            </w:r>
          </w:p>
        </w:tc>
        <w:tc>
          <w:tcPr>
            <w:tcW w:w="901" w:type="dxa"/>
            <w:vAlign w:val="bottom"/>
          </w:tcPr>
          <w:p w14:paraId="6917ADA8" w14:textId="762231D8" w:rsidR="00224102" w:rsidRPr="00692926" w:rsidRDefault="00224102" w:rsidP="00224102">
            <w:pPr>
              <w:tabs>
                <w:tab w:val="left" w:pos="0"/>
              </w:tabs>
              <w:jc w:val="right"/>
              <w:rPr>
                <w:sz w:val="18"/>
                <w:szCs w:val="18"/>
              </w:rPr>
            </w:pPr>
            <w:r w:rsidRPr="00692926">
              <w:rPr>
                <w:sz w:val="18"/>
                <w:szCs w:val="18"/>
              </w:rPr>
              <w:t>-</w:t>
            </w:r>
          </w:p>
        </w:tc>
      </w:tr>
      <w:tr w:rsidR="00224102" w:rsidRPr="00604C75" w14:paraId="5844DCE7" w14:textId="77777777" w:rsidTr="00306C9F">
        <w:trPr>
          <w:trHeight w:val="134"/>
        </w:trPr>
        <w:tc>
          <w:tcPr>
            <w:tcW w:w="2480" w:type="dxa"/>
            <w:vAlign w:val="bottom"/>
          </w:tcPr>
          <w:p w14:paraId="2F4BF303" w14:textId="77777777" w:rsidR="00224102" w:rsidRPr="00604C75" w:rsidRDefault="00224102" w:rsidP="00224102">
            <w:pPr>
              <w:ind w:left="36" w:firstLine="76"/>
              <w:rPr>
                <w:sz w:val="18"/>
                <w:szCs w:val="18"/>
              </w:rPr>
            </w:pPr>
            <w:r w:rsidRPr="00604C75">
              <w:rPr>
                <w:sz w:val="18"/>
                <w:szCs w:val="18"/>
              </w:rPr>
              <w:t>Health and Social Services</w:t>
            </w:r>
          </w:p>
        </w:tc>
        <w:tc>
          <w:tcPr>
            <w:tcW w:w="901" w:type="dxa"/>
            <w:vAlign w:val="bottom"/>
          </w:tcPr>
          <w:p w14:paraId="0FB67F40" w14:textId="42FA6A0F" w:rsidR="00224102" w:rsidRDefault="00224102" w:rsidP="00224102">
            <w:pPr>
              <w:jc w:val="right"/>
              <w:rPr>
                <w:sz w:val="18"/>
                <w:szCs w:val="18"/>
              </w:rPr>
            </w:pPr>
            <w:r>
              <w:rPr>
                <w:sz w:val="18"/>
                <w:szCs w:val="18"/>
              </w:rPr>
              <w:t>3,199</w:t>
            </w:r>
          </w:p>
        </w:tc>
        <w:tc>
          <w:tcPr>
            <w:tcW w:w="901" w:type="dxa"/>
            <w:vAlign w:val="bottom"/>
          </w:tcPr>
          <w:p w14:paraId="673C86D3" w14:textId="39BEDC57" w:rsidR="00224102" w:rsidRDefault="00224102" w:rsidP="00224102">
            <w:pPr>
              <w:jc w:val="right"/>
              <w:rPr>
                <w:sz w:val="18"/>
                <w:szCs w:val="18"/>
              </w:rPr>
            </w:pPr>
            <w:r>
              <w:rPr>
                <w:sz w:val="18"/>
                <w:szCs w:val="18"/>
              </w:rPr>
              <w:t>0.26</w:t>
            </w:r>
          </w:p>
        </w:tc>
        <w:tc>
          <w:tcPr>
            <w:tcW w:w="901" w:type="dxa"/>
            <w:vAlign w:val="bottom"/>
          </w:tcPr>
          <w:p w14:paraId="180D3EEC" w14:textId="2E477C8B" w:rsidR="00224102" w:rsidRDefault="00224102" w:rsidP="00224102">
            <w:pPr>
              <w:jc w:val="right"/>
              <w:rPr>
                <w:sz w:val="18"/>
                <w:szCs w:val="18"/>
              </w:rPr>
            </w:pPr>
            <w:r>
              <w:rPr>
                <w:sz w:val="18"/>
                <w:szCs w:val="18"/>
              </w:rPr>
              <w:t>573</w:t>
            </w:r>
          </w:p>
        </w:tc>
        <w:tc>
          <w:tcPr>
            <w:tcW w:w="901" w:type="dxa"/>
            <w:vAlign w:val="bottom"/>
          </w:tcPr>
          <w:p w14:paraId="4F339749" w14:textId="170164FA" w:rsidR="00224102" w:rsidRDefault="00224102" w:rsidP="00224102">
            <w:pPr>
              <w:jc w:val="right"/>
              <w:rPr>
                <w:sz w:val="18"/>
                <w:szCs w:val="18"/>
              </w:rPr>
            </w:pPr>
            <w:r>
              <w:rPr>
                <w:sz w:val="18"/>
                <w:szCs w:val="18"/>
              </w:rPr>
              <w:t>0.03</w:t>
            </w:r>
          </w:p>
        </w:tc>
        <w:tc>
          <w:tcPr>
            <w:tcW w:w="901" w:type="dxa"/>
            <w:vAlign w:val="bottom"/>
          </w:tcPr>
          <w:p w14:paraId="093FA42A" w14:textId="23A3C253" w:rsidR="00224102" w:rsidRPr="00692926" w:rsidRDefault="00224102" w:rsidP="00224102">
            <w:pPr>
              <w:tabs>
                <w:tab w:val="left" w:pos="0"/>
              </w:tabs>
              <w:jc w:val="right"/>
              <w:rPr>
                <w:sz w:val="18"/>
                <w:szCs w:val="18"/>
              </w:rPr>
            </w:pPr>
            <w:r w:rsidRPr="00692926">
              <w:rPr>
                <w:sz w:val="18"/>
                <w:szCs w:val="18"/>
              </w:rPr>
              <w:t>6,996</w:t>
            </w:r>
          </w:p>
        </w:tc>
        <w:tc>
          <w:tcPr>
            <w:tcW w:w="901" w:type="dxa"/>
            <w:vAlign w:val="bottom"/>
          </w:tcPr>
          <w:p w14:paraId="69898E29" w14:textId="4FBE8A38" w:rsidR="00224102" w:rsidRPr="00692926" w:rsidRDefault="00224102" w:rsidP="00224102">
            <w:pPr>
              <w:tabs>
                <w:tab w:val="left" w:pos="0"/>
              </w:tabs>
              <w:jc w:val="right"/>
              <w:rPr>
                <w:sz w:val="18"/>
                <w:szCs w:val="18"/>
              </w:rPr>
            </w:pPr>
            <w:r w:rsidRPr="00692926">
              <w:rPr>
                <w:sz w:val="18"/>
                <w:szCs w:val="18"/>
              </w:rPr>
              <w:t>0.54</w:t>
            </w:r>
          </w:p>
        </w:tc>
        <w:tc>
          <w:tcPr>
            <w:tcW w:w="901" w:type="dxa"/>
            <w:vAlign w:val="bottom"/>
          </w:tcPr>
          <w:p w14:paraId="5D1FAFDB" w14:textId="5700224E" w:rsidR="00224102" w:rsidRPr="00692926" w:rsidRDefault="00224102" w:rsidP="00224102">
            <w:pPr>
              <w:tabs>
                <w:tab w:val="left" w:pos="0"/>
              </w:tabs>
              <w:jc w:val="right"/>
              <w:rPr>
                <w:sz w:val="18"/>
                <w:szCs w:val="18"/>
              </w:rPr>
            </w:pPr>
            <w:r w:rsidRPr="00692926">
              <w:rPr>
                <w:sz w:val="18"/>
                <w:szCs w:val="18"/>
              </w:rPr>
              <w:t>457</w:t>
            </w:r>
          </w:p>
        </w:tc>
        <w:tc>
          <w:tcPr>
            <w:tcW w:w="901" w:type="dxa"/>
            <w:vAlign w:val="bottom"/>
          </w:tcPr>
          <w:p w14:paraId="23AA5328" w14:textId="612C5BCC" w:rsidR="00224102" w:rsidRPr="00692926" w:rsidRDefault="00224102" w:rsidP="00224102">
            <w:pPr>
              <w:tabs>
                <w:tab w:val="left" w:pos="0"/>
              </w:tabs>
              <w:jc w:val="right"/>
              <w:rPr>
                <w:sz w:val="18"/>
                <w:szCs w:val="18"/>
              </w:rPr>
            </w:pPr>
            <w:r w:rsidRPr="00692926">
              <w:rPr>
                <w:sz w:val="18"/>
                <w:szCs w:val="18"/>
              </w:rPr>
              <w:t>0.05</w:t>
            </w:r>
          </w:p>
        </w:tc>
      </w:tr>
      <w:tr w:rsidR="00224102" w:rsidRPr="00604C75" w14:paraId="70E189E1" w14:textId="77777777" w:rsidTr="00AD726D">
        <w:trPr>
          <w:trHeight w:val="211"/>
        </w:trPr>
        <w:tc>
          <w:tcPr>
            <w:tcW w:w="2480" w:type="dxa"/>
            <w:vAlign w:val="bottom"/>
          </w:tcPr>
          <w:p w14:paraId="64DB6CAC" w14:textId="77777777" w:rsidR="00224102" w:rsidRPr="00604C75" w:rsidRDefault="00224102" w:rsidP="00224102">
            <w:pPr>
              <w:rPr>
                <w:rFonts w:eastAsia="Arial Unicode MS"/>
                <w:b/>
                <w:sz w:val="18"/>
                <w:szCs w:val="18"/>
              </w:rPr>
            </w:pPr>
            <w:r w:rsidRPr="00604C75">
              <w:rPr>
                <w:b/>
                <w:sz w:val="18"/>
                <w:szCs w:val="18"/>
              </w:rPr>
              <w:t>Other</w:t>
            </w:r>
          </w:p>
        </w:tc>
        <w:tc>
          <w:tcPr>
            <w:tcW w:w="901" w:type="dxa"/>
            <w:vAlign w:val="bottom"/>
          </w:tcPr>
          <w:p w14:paraId="50E4EBC2" w14:textId="5F31478A" w:rsidR="00224102" w:rsidRPr="0033358A" w:rsidRDefault="00224102" w:rsidP="00224102">
            <w:pPr>
              <w:jc w:val="right"/>
              <w:rPr>
                <w:b/>
                <w:sz w:val="18"/>
                <w:szCs w:val="18"/>
              </w:rPr>
            </w:pPr>
            <w:r w:rsidRPr="0033358A">
              <w:rPr>
                <w:b/>
                <w:sz w:val="18"/>
                <w:szCs w:val="18"/>
              </w:rPr>
              <w:t>56,688</w:t>
            </w:r>
          </w:p>
        </w:tc>
        <w:tc>
          <w:tcPr>
            <w:tcW w:w="901" w:type="dxa"/>
            <w:vAlign w:val="bottom"/>
          </w:tcPr>
          <w:p w14:paraId="7935532E" w14:textId="09046671" w:rsidR="00224102" w:rsidRPr="0033358A" w:rsidRDefault="00224102" w:rsidP="00224102">
            <w:pPr>
              <w:jc w:val="right"/>
              <w:rPr>
                <w:b/>
                <w:sz w:val="18"/>
                <w:szCs w:val="18"/>
              </w:rPr>
            </w:pPr>
            <w:r w:rsidRPr="0033358A">
              <w:rPr>
                <w:b/>
                <w:sz w:val="18"/>
                <w:szCs w:val="18"/>
              </w:rPr>
              <w:t>4.6</w:t>
            </w:r>
            <w:r>
              <w:rPr>
                <w:b/>
                <w:sz w:val="18"/>
                <w:szCs w:val="18"/>
              </w:rPr>
              <w:t>1</w:t>
            </w:r>
          </w:p>
        </w:tc>
        <w:tc>
          <w:tcPr>
            <w:tcW w:w="901" w:type="dxa"/>
            <w:vAlign w:val="bottom"/>
          </w:tcPr>
          <w:p w14:paraId="0DC50686" w14:textId="4A3436E3" w:rsidR="00224102" w:rsidRPr="0033358A" w:rsidRDefault="00224102" w:rsidP="00224102">
            <w:pPr>
              <w:jc w:val="right"/>
              <w:rPr>
                <w:b/>
                <w:sz w:val="18"/>
                <w:szCs w:val="18"/>
              </w:rPr>
            </w:pPr>
            <w:r w:rsidRPr="0033358A">
              <w:rPr>
                <w:b/>
                <w:sz w:val="18"/>
                <w:szCs w:val="18"/>
              </w:rPr>
              <w:t>683,331</w:t>
            </w:r>
          </w:p>
        </w:tc>
        <w:tc>
          <w:tcPr>
            <w:tcW w:w="901" w:type="dxa"/>
            <w:vAlign w:val="bottom"/>
          </w:tcPr>
          <w:p w14:paraId="5A97EB11" w14:textId="08CB9FAA" w:rsidR="00224102" w:rsidRPr="0033358A" w:rsidRDefault="00224102" w:rsidP="00224102">
            <w:pPr>
              <w:jc w:val="right"/>
              <w:rPr>
                <w:b/>
                <w:sz w:val="18"/>
                <w:szCs w:val="18"/>
              </w:rPr>
            </w:pPr>
            <w:r w:rsidRPr="0033358A">
              <w:rPr>
                <w:b/>
                <w:sz w:val="18"/>
                <w:szCs w:val="18"/>
              </w:rPr>
              <w:t>35.10</w:t>
            </w:r>
          </w:p>
        </w:tc>
        <w:tc>
          <w:tcPr>
            <w:tcW w:w="901" w:type="dxa"/>
            <w:vAlign w:val="bottom"/>
          </w:tcPr>
          <w:p w14:paraId="1121C159" w14:textId="0251E38A" w:rsidR="00224102" w:rsidRPr="00692926" w:rsidRDefault="00224102" w:rsidP="00224102">
            <w:pPr>
              <w:tabs>
                <w:tab w:val="left" w:pos="0"/>
              </w:tabs>
              <w:jc w:val="right"/>
              <w:rPr>
                <w:b/>
                <w:sz w:val="18"/>
                <w:szCs w:val="18"/>
              </w:rPr>
            </w:pPr>
            <w:r w:rsidRPr="00692926">
              <w:rPr>
                <w:b/>
                <w:sz w:val="18"/>
                <w:szCs w:val="18"/>
              </w:rPr>
              <w:t>43,637</w:t>
            </w:r>
          </w:p>
        </w:tc>
        <w:tc>
          <w:tcPr>
            <w:tcW w:w="901" w:type="dxa"/>
            <w:vAlign w:val="bottom"/>
          </w:tcPr>
          <w:p w14:paraId="57032276" w14:textId="0D507893" w:rsidR="00224102" w:rsidRPr="00692926" w:rsidRDefault="00224102" w:rsidP="00224102">
            <w:pPr>
              <w:tabs>
                <w:tab w:val="left" w:pos="0"/>
              </w:tabs>
              <w:jc w:val="right"/>
              <w:rPr>
                <w:b/>
                <w:sz w:val="18"/>
                <w:szCs w:val="18"/>
              </w:rPr>
            </w:pPr>
            <w:r w:rsidRPr="00692926">
              <w:rPr>
                <w:b/>
                <w:sz w:val="18"/>
                <w:szCs w:val="18"/>
              </w:rPr>
              <w:t>3.39</w:t>
            </w:r>
          </w:p>
        </w:tc>
        <w:tc>
          <w:tcPr>
            <w:tcW w:w="901" w:type="dxa"/>
            <w:vAlign w:val="bottom"/>
          </w:tcPr>
          <w:p w14:paraId="2E4DEC60" w14:textId="058158A5" w:rsidR="00224102" w:rsidRPr="00692926" w:rsidRDefault="00224102" w:rsidP="00224102">
            <w:pPr>
              <w:tabs>
                <w:tab w:val="left" w:pos="0"/>
              </w:tabs>
              <w:jc w:val="right"/>
              <w:rPr>
                <w:b/>
                <w:sz w:val="18"/>
                <w:szCs w:val="18"/>
              </w:rPr>
            </w:pPr>
            <w:r w:rsidRPr="00692926">
              <w:rPr>
                <w:b/>
                <w:sz w:val="18"/>
                <w:szCs w:val="18"/>
              </w:rPr>
              <w:t>50,864</w:t>
            </w:r>
          </w:p>
        </w:tc>
        <w:tc>
          <w:tcPr>
            <w:tcW w:w="901" w:type="dxa"/>
            <w:vAlign w:val="bottom"/>
          </w:tcPr>
          <w:p w14:paraId="7E71DABD" w14:textId="7CFC7BF7" w:rsidR="00224102" w:rsidRPr="00692926" w:rsidRDefault="00224102" w:rsidP="00224102">
            <w:pPr>
              <w:tabs>
                <w:tab w:val="left" w:pos="0"/>
              </w:tabs>
              <w:jc w:val="right"/>
              <w:rPr>
                <w:b/>
                <w:sz w:val="18"/>
                <w:szCs w:val="18"/>
              </w:rPr>
            </w:pPr>
            <w:r w:rsidRPr="00692926">
              <w:rPr>
                <w:b/>
                <w:sz w:val="18"/>
                <w:szCs w:val="18"/>
              </w:rPr>
              <w:t>5.16</w:t>
            </w:r>
          </w:p>
        </w:tc>
      </w:tr>
      <w:tr w:rsidR="00224102" w:rsidRPr="00604C75" w14:paraId="3B003A83" w14:textId="77777777" w:rsidTr="00306C9F">
        <w:trPr>
          <w:trHeight w:val="134"/>
        </w:trPr>
        <w:tc>
          <w:tcPr>
            <w:tcW w:w="2480" w:type="dxa"/>
            <w:vAlign w:val="center"/>
          </w:tcPr>
          <w:p w14:paraId="17737B72" w14:textId="77777777" w:rsidR="00224102" w:rsidRPr="00604C75" w:rsidRDefault="00224102" w:rsidP="00224102">
            <w:pPr>
              <w:pStyle w:val="Heading3"/>
              <w:ind w:left="0"/>
              <w:rPr>
                <w:sz w:val="18"/>
              </w:rPr>
            </w:pPr>
            <w:r w:rsidRPr="00604C75">
              <w:rPr>
                <w:sz w:val="18"/>
              </w:rPr>
              <w:t>Total</w:t>
            </w:r>
          </w:p>
        </w:tc>
        <w:tc>
          <w:tcPr>
            <w:tcW w:w="901" w:type="dxa"/>
            <w:vAlign w:val="bottom"/>
          </w:tcPr>
          <w:p w14:paraId="44537DE2" w14:textId="34BA0517" w:rsidR="00224102" w:rsidRPr="0033358A" w:rsidRDefault="00224102" w:rsidP="00224102">
            <w:pPr>
              <w:jc w:val="right"/>
              <w:rPr>
                <w:b/>
                <w:sz w:val="18"/>
                <w:szCs w:val="18"/>
              </w:rPr>
            </w:pPr>
            <w:r w:rsidRPr="0033358A">
              <w:rPr>
                <w:b/>
                <w:sz w:val="18"/>
                <w:szCs w:val="18"/>
              </w:rPr>
              <w:t>1,227,311</w:t>
            </w:r>
          </w:p>
        </w:tc>
        <w:tc>
          <w:tcPr>
            <w:tcW w:w="901" w:type="dxa"/>
            <w:vAlign w:val="bottom"/>
          </w:tcPr>
          <w:p w14:paraId="52112D27" w14:textId="500CEF99" w:rsidR="00224102" w:rsidRPr="0033358A" w:rsidRDefault="00224102" w:rsidP="00224102">
            <w:pPr>
              <w:jc w:val="right"/>
              <w:rPr>
                <w:b/>
                <w:sz w:val="18"/>
                <w:szCs w:val="18"/>
              </w:rPr>
            </w:pPr>
            <w:r w:rsidRPr="0033358A">
              <w:rPr>
                <w:b/>
                <w:sz w:val="18"/>
                <w:szCs w:val="18"/>
              </w:rPr>
              <w:t>100.00</w:t>
            </w:r>
          </w:p>
        </w:tc>
        <w:tc>
          <w:tcPr>
            <w:tcW w:w="901" w:type="dxa"/>
            <w:vAlign w:val="bottom"/>
          </w:tcPr>
          <w:p w14:paraId="77FE1A24" w14:textId="7DA5B9E3" w:rsidR="00224102" w:rsidRPr="0033358A" w:rsidRDefault="00224102" w:rsidP="00224102">
            <w:pPr>
              <w:jc w:val="right"/>
              <w:rPr>
                <w:b/>
                <w:sz w:val="18"/>
                <w:szCs w:val="18"/>
              </w:rPr>
            </w:pPr>
            <w:r w:rsidRPr="0033358A">
              <w:rPr>
                <w:b/>
                <w:sz w:val="18"/>
                <w:szCs w:val="18"/>
              </w:rPr>
              <w:t>1,946,660</w:t>
            </w:r>
          </w:p>
        </w:tc>
        <w:tc>
          <w:tcPr>
            <w:tcW w:w="901" w:type="dxa"/>
            <w:vAlign w:val="bottom"/>
          </w:tcPr>
          <w:p w14:paraId="6A3DC346" w14:textId="7C4FB4D5" w:rsidR="00224102" w:rsidRPr="0033358A" w:rsidRDefault="00224102" w:rsidP="00224102">
            <w:pPr>
              <w:jc w:val="right"/>
              <w:rPr>
                <w:b/>
                <w:sz w:val="18"/>
                <w:szCs w:val="18"/>
              </w:rPr>
            </w:pPr>
            <w:r w:rsidRPr="0033358A">
              <w:rPr>
                <w:b/>
                <w:sz w:val="18"/>
                <w:szCs w:val="18"/>
              </w:rPr>
              <w:t>100.00</w:t>
            </w:r>
          </w:p>
        </w:tc>
        <w:tc>
          <w:tcPr>
            <w:tcW w:w="901" w:type="dxa"/>
            <w:vAlign w:val="bottom"/>
          </w:tcPr>
          <w:p w14:paraId="5E79395B" w14:textId="627E8814" w:rsidR="00224102" w:rsidRPr="00692926" w:rsidRDefault="00224102" w:rsidP="00224102">
            <w:pPr>
              <w:tabs>
                <w:tab w:val="left" w:pos="0"/>
              </w:tabs>
              <w:jc w:val="right"/>
              <w:rPr>
                <w:b/>
                <w:sz w:val="18"/>
                <w:szCs w:val="18"/>
              </w:rPr>
            </w:pPr>
            <w:r w:rsidRPr="00692926">
              <w:rPr>
                <w:b/>
                <w:sz w:val="18"/>
                <w:szCs w:val="18"/>
              </w:rPr>
              <w:t>1,287,724</w:t>
            </w:r>
          </w:p>
        </w:tc>
        <w:tc>
          <w:tcPr>
            <w:tcW w:w="901" w:type="dxa"/>
            <w:vAlign w:val="bottom"/>
          </w:tcPr>
          <w:p w14:paraId="6B9A4B98" w14:textId="07135D92" w:rsidR="00224102" w:rsidRPr="00692926" w:rsidRDefault="00224102" w:rsidP="00224102">
            <w:pPr>
              <w:tabs>
                <w:tab w:val="left" w:pos="0"/>
              </w:tabs>
              <w:jc w:val="right"/>
              <w:rPr>
                <w:b/>
                <w:sz w:val="18"/>
                <w:szCs w:val="18"/>
              </w:rPr>
            </w:pPr>
            <w:r w:rsidRPr="00692926">
              <w:rPr>
                <w:b/>
                <w:sz w:val="18"/>
                <w:szCs w:val="18"/>
              </w:rPr>
              <w:t>100.00</w:t>
            </w:r>
          </w:p>
        </w:tc>
        <w:tc>
          <w:tcPr>
            <w:tcW w:w="901" w:type="dxa"/>
            <w:vAlign w:val="bottom"/>
          </w:tcPr>
          <w:p w14:paraId="195309DF" w14:textId="57C728A1" w:rsidR="00224102" w:rsidRPr="00692926" w:rsidRDefault="00224102" w:rsidP="00224102">
            <w:pPr>
              <w:tabs>
                <w:tab w:val="left" w:pos="0"/>
              </w:tabs>
              <w:jc w:val="right"/>
              <w:rPr>
                <w:b/>
                <w:sz w:val="18"/>
                <w:szCs w:val="18"/>
              </w:rPr>
            </w:pPr>
            <w:r w:rsidRPr="00692926">
              <w:rPr>
                <w:b/>
                <w:sz w:val="18"/>
                <w:szCs w:val="18"/>
              </w:rPr>
              <w:t>986,441</w:t>
            </w:r>
          </w:p>
        </w:tc>
        <w:tc>
          <w:tcPr>
            <w:tcW w:w="901" w:type="dxa"/>
            <w:vAlign w:val="bottom"/>
          </w:tcPr>
          <w:p w14:paraId="21AE6909" w14:textId="42D227EF" w:rsidR="00224102" w:rsidRPr="00692926" w:rsidRDefault="00224102" w:rsidP="00224102">
            <w:pPr>
              <w:tabs>
                <w:tab w:val="left" w:pos="0"/>
              </w:tabs>
              <w:jc w:val="right"/>
              <w:rPr>
                <w:b/>
                <w:sz w:val="18"/>
                <w:szCs w:val="18"/>
              </w:rPr>
            </w:pPr>
            <w:r w:rsidRPr="00692926">
              <w:rPr>
                <w:b/>
                <w:sz w:val="18"/>
                <w:szCs w:val="18"/>
              </w:rPr>
              <w:t>100.00</w:t>
            </w:r>
          </w:p>
        </w:tc>
      </w:tr>
    </w:tbl>
    <w:p w14:paraId="12D18EEE" w14:textId="77777777" w:rsidR="00A03C3F" w:rsidRPr="00604C75" w:rsidRDefault="00A03C3F" w:rsidP="00A03C3F">
      <w:pPr>
        <w:tabs>
          <w:tab w:val="left" w:pos="1701"/>
        </w:tabs>
        <w:spacing w:line="120" w:lineRule="auto"/>
        <w:jc w:val="both"/>
        <w:rPr>
          <w:sz w:val="20"/>
          <w:szCs w:val="20"/>
        </w:rPr>
      </w:pPr>
    </w:p>
    <w:p w14:paraId="0C65040D" w14:textId="77777777" w:rsidR="00D04472" w:rsidRPr="00604C75" w:rsidRDefault="00D04472" w:rsidP="00DE1552">
      <w:pPr>
        <w:tabs>
          <w:tab w:val="left" w:pos="1701"/>
        </w:tabs>
        <w:ind w:left="1701" w:hanging="1701"/>
        <w:jc w:val="both"/>
        <w:rPr>
          <w:sz w:val="20"/>
          <w:szCs w:val="20"/>
        </w:rPr>
      </w:pPr>
      <w:proofErr w:type="gramStart"/>
      <w:r w:rsidRPr="00604C75">
        <w:rPr>
          <w:sz w:val="20"/>
          <w:szCs w:val="20"/>
        </w:rPr>
        <w:t>3.</w:t>
      </w:r>
      <w:r w:rsidR="0065380C" w:rsidRPr="00604C75">
        <w:rPr>
          <w:sz w:val="20"/>
          <w:szCs w:val="20"/>
        </w:rPr>
        <w:t>(</w:t>
      </w:r>
      <w:proofErr w:type="gramEnd"/>
      <w:r w:rsidRPr="00604C75">
        <w:rPr>
          <w:sz w:val="20"/>
          <w:szCs w:val="20"/>
        </w:rPr>
        <w:t>iii</w:t>
      </w:r>
      <w:r w:rsidR="0065380C" w:rsidRPr="00604C75">
        <w:rPr>
          <w:sz w:val="20"/>
          <w:szCs w:val="20"/>
        </w:rPr>
        <w:t xml:space="preserve">).  </w:t>
      </w:r>
      <w:r w:rsidR="00E1482F" w:rsidRPr="00604C75">
        <w:rPr>
          <w:sz w:val="20"/>
          <w:szCs w:val="20"/>
        </w:rPr>
        <w:t xml:space="preserve">   </w:t>
      </w:r>
      <w:r w:rsidRPr="00604C75">
        <w:rPr>
          <w:sz w:val="20"/>
          <w:szCs w:val="20"/>
        </w:rPr>
        <w:t>Information on non-cash loans classified in Group I and Group II</w:t>
      </w:r>
    </w:p>
    <w:p w14:paraId="1A59140F" w14:textId="77777777" w:rsidR="00D04472" w:rsidRPr="00604C75" w:rsidRDefault="00D04472" w:rsidP="00A92FB2">
      <w:pPr>
        <w:spacing w:line="120" w:lineRule="auto"/>
        <w:ind w:left="1701" w:hanging="425"/>
        <w:jc w:val="both"/>
        <w:rPr>
          <w:sz w:val="20"/>
          <w:szCs w:val="20"/>
        </w:rPr>
      </w:pPr>
    </w:p>
    <w:tbl>
      <w:tblPr>
        <w:tblW w:w="9694"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944"/>
        <w:gridCol w:w="1437"/>
        <w:gridCol w:w="1438"/>
        <w:gridCol w:w="1437"/>
        <w:gridCol w:w="1438"/>
      </w:tblGrid>
      <w:tr w:rsidR="0044575F" w:rsidRPr="00604C75" w14:paraId="04F83B15" w14:textId="77777777" w:rsidTr="00C0642B">
        <w:trPr>
          <w:cantSplit/>
          <w:trHeight w:val="20"/>
        </w:trPr>
        <w:tc>
          <w:tcPr>
            <w:tcW w:w="3944" w:type="dxa"/>
            <w:vAlign w:val="bottom"/>
          </w:tcPr>
          <w:p w14:paraId="666332CD" w14:textId="77777777" w:rsidR="0044575F" w:rsidRPr="00604C75" w:rsidRDefault="00A877A3">
            <w:pPr>
              <w:jc w:val="both"/>
              <w:rPr>
                <w:b/>
                <w:snapToGrid w:val="0"/>
                <w:sz w:val="18"/>
              </w:rPr>
            </w:pPr>
            <w:r>
              <w:rPr>
                <w:b/>
                <w:snapToGrid w:val="0"/>
                <w:sz w:val="18"/>
              </w:rPr>
              <w:t>3</w:t>
            </w:r>
            <w:r w:rsidR="009275A9">
              <w:rPr>
                <w:b/>
                <w:snapToGrid w:val="0"/>
                <w:sz w:val="18"/>
              </w:rPr>
              <w:t>1</w:t>
            </w:r>
            <w:r>
              <w:rPr>
                <w:b/>
                <w:snapToGrid w:val="0"/>
                <w:sz w:val="18"/>
              </w:rPr>
              <w:t xml:space="preserve"> </w:t>
            </w:r>
            <w:r w:rsidR="009275A9">
              <w:rPr>
                <w:b/>
                <w:snapToGrid w:val="0"/>
                <w:sz w:val="18"/>
              </w:rPr>
              <w:t>December</w:t>
            </w:r>
            <w:r w:rsidR="009275A9" w:rsidRPr="00604C75">
              <w:rPr>
                <w:b/>
                <w:snapToGrid w:val="0"/>
                <w:sz w:val="18"/>
              </w:rPr>
              <w:t xml:space="preserve"> </w:t>
            </w:r>
            <w:r w:rsidR="0044575F" w:rsidRPr="00604C75">
              <w:rPr>
                <w:b/>
                <w:snapToGrid w:val="0"/>
                <w:sz w:val="18"/>
              </w:rPr>
              <w:t>201</w:t>
            </w:r>
            <w:r w:rsidR="00A92FB2" w:rsidRPr="00604C75">
              <w:rPr>
                <w:b/>
                <w:snapToGrid w:val="0"/>
                <w:sz w:val="18"/>
              </w:rPr>
              <w:t>5</w:t>
            </w:r>
          </w:p>
        </w:tc>
        <w:tc>
          <w:tcPr>
            <w:tcW w:w="2875" w:type="dxa"/>
            <w:gridSpan w:val="2"/>
            <w:vAlign w:val="bottom"/>
          </w:tcPr>
          <w:p w14:paraId="06A0DAE3" w14:textId="77777777" w:rsidR="0044575F" w:rsidRPr="00604C75" w:rsidRDefault="0044575F" w:rsidP="00C22AF8">
            <w:pPr>
              <w:jc w:val="center"/>
              <w:rPr>
                <w:b/>
                <w:sz w:val="18"/>
              </w:rPr>
            </w:pPr>
            <w:r w:rsidRPr="00604C75">
              <w:rPr>
                <w:b/>
                <w:sz w:val="18"/>
              </w:rPr>
              <w:t>Group I</w:t>
            </w:r>
          </w:p>
        </w:tc>
        <w:tc>
          <w:tcPr>
            <w:tcW w:w="2875" w:type="dxa"/>
            <w:gridSpan w:val="2"/>
            <w:vAlign w:val="bottom"/>
          </w:tcPr>
          <w:p w14:paraId="63F9E5F8" w14:textId="77777777" w:rsidR="0044575F" w:rsidRPr="00604C75" w:rsidRDefault="0044575F" w:rsidP="00C22AF8">
            <w:pPr>
              <w:jc w:val="center"/>
              <w:rPr>
                <w:b/>
                <w:sz w:val="18"/>
              </w:rPr>
            </w:pPr>
            <w:r w:rsidRPr="00604C75">
              <w:rPr>
                <w:b/>
                <w:sz w:val="18"/>
              </w:rPr>
              <w:t>Group II</w:t>
            </w:r>
          </w:p>
        </w:tc>
      </w:tr>
      <w:tr w:rsidR="0044575F" w:rsidRPr="00604C75" w14:paraId="106FC409" w14:textId="77777777" w:rsidTr="00C0642B">
        <w:trPr>
          <w:cantSplit/>
          <w:trHeight w:val="20"/>
        </w:trPr>
        <w:tc>
          <w:tcPr>
            <w:tcW w:w="3944" w:type="dxa"/>
            <w:vAlign w:val="bottom"/>
          </w:tcPr>
          <w:p w14:paraId="41FF3BE4" w14:textId="77777777" w:rsidR="0044575F" w:rsidRPr="00604C75" w:rsidRDefault="0044575F" w:rsidP="00C22AF8">
            <w:pPr>
              <w:rPr>
                <w:b/>
                <w:snapToGrid w:val="0"/>
                <w:sz w:val="18"/>
              </w:rPr>
            </w:pPr>
          </w:p>
        </w:tc>
        <w:tc>
          <w:tcPr>
            <w:tcW w:w="1437" w:type="dxa"/>
            <w:vAlign w:val="bottom"/>
          </w:tcPr>
          <w:p w14:paraId="77A97A8F" w14:textId="77777777" w:rsidR="0044575F" w:rsidRPr="00604C75" w:rsidRDefault="0044575F" w:rsidP="00C22AF8">
            <w:pPr>
              <w:jc w:val="right"/>
              <w:rPr>
                <w:rFonts w:eastAsia="Arial Unicode MS"/>
                <w:b/>
                <w:bCs/>
                <w:sz w:val="18"/>
                <w:szCs w:val="18"/>
              </w:rPr>
            </w:pPr>
            <w:r w:rsidRPr="00604C75">
              <w:rPr>
                <w:b/>
                <w:bCs/>
                <w:sz w:val="18"/>
                <w:szCs w:val="18"/>
              </w:rPr>
              <w:t>TL</w:t>
            </w:r>
          </w:p>
        </w:tc>
        <w:tc>
          <w:tcPr>
            <w:tcW w:w="1438" w:type="dxa"/>
            <w:vAlign w:val="bottom"/>
          </w:tcPr>
          <w:p w14:paraId="3BCFACE5" w14:textId="77777777" w:rsidR="0044575F" w:rsidRPr="00604C75" w:rsidRDefault="0044575F" w:rsidP="00C22AF8">
            <w:pPr>
              <w:jc w:val="right"/>
              <w:rPr>
                <w:rFonts w:eastAsia="Arial Unicode MS"/>
                <w:b/>
                <w:bCs/>
                <w:sz w:val="18"/>
                <w:szCs w:val="18"/>
              </w:rPr>
            </w:pPr>
            <w:r w:rsidRPr="00604C75">
              <w:rPr>
                <w:b/>
                <w:bCs/>
                <w:sz w:val="18"/>
                <w:szCs w:val="18"/>
              </w:rPr>
              <w:t>FC</w:t>
            </w:r>
          </w:p>
        </w:tc>
        <w:tc>
          <w:tcPr>
            <w:tcW w:w="1437" w:type="dxa"/>
            <w:vAlign w:val="bottom"/>
          </w:tcPr>
          <w:p w14:paraId="2928AB3A" w14:textId="77777777" w:rsidR="0044575F" w:rsidRPr="00604C75" w:rsidRDefault="0044575F" w:rsidP="00C22AF8">
            <w:pPr>
              <w:jc w:val="right"/>
              <w:rPr>
                <w:rFonts w:eastAsia="Arial Unicode MS"/>
                <w:b/>
                <w:bCs/>
                <w:sz w:val="18"/>
                <w:szCs w:val="18"/>
              </w:rPr>
            </w:pPr>
            <w:r w:rsidRPr="00604C75">
              <w:rPr>
                <w:b/>
                <w:bCs/>
                <w:sz w:val="18"/>
                <w:szCs w:val="18"/>
              </w:rPr>
              <w:t>TL</w:t>
            </w:r>
          </w:p>
        </w:tc>
        <w:tc>
          <w:tcPr>
            <w:tcW w:w="1438" w:type="dxa"/>
            <w:vAlign w:val="bottom"/>
          </w:tcPr>
          <w:p w14:paraId="183DA857" w14:textId="77777777" w:rsidR="0044575F" w:rsidRPr="00604C75" w:rsidRDefault="0044575F" w:rsidP="00C22AF8">
            <w:pPr>
              <w:jc w:val="right"/>
              <w:rPr>
                <w:rFonts w:eastAsia="Arial Unicode MS"/>
                <w:b/>
                <w:bCs/>
                <w:sz w:val="18"/>
                <w:szCs w:val="18"/>
              </w:rPr>
            </w:pPr>
            <w:r w:rsidRPr="00604C75">
              <w:rPr>
                <w:b/>
                <w:bCs/>
                <w:sz w:val="18"/>
                <w:szCs w:val="18"/>
              </w:rPr>
              <w:t>FC</w:t>
            </w:r>
          </w:p>
        </w:tc>
      </w:tr>
      <w:tr w:rsidR="0044575F" w:rsidRPr="00604C75" w14:paraId="7BA4D521" w14:textId="77777777" w:rsidTr="00C0642B">
        <w:trPr>
          <w:cantSplit/>
          <w:trHeight w:val="20"/>
        </w:trPr>
        <w:tc>
          <w:tcPr>
            <w:tcW w:w="3944" w:type="dxa"/>
            <w:vAlign w:val="bottom"/>
          </w:tcPr>
          <w:p w14:paraId="2AC04A1D" w14:textId="77777777" w:rsidR="0044575F" w:rsidRPr="00604C75" w:rsidRDefault="0044575F" w:rsidP="00C22AF8">
            <w:pPr>
              <w:rPr>
                <w:b/>
                <w:sz w:val="18"/>
              </w:rPr>
            </w:pPr>
            <w:r w:rsidRPr="00604C75">
              <w:rPr>
                <w:b/>
                <w:sz w:val="18"/>
              </w:rPr>
              <w:t>Non-Cash Loans</w:t>
            </w:r>
          </w:p>
        </w:tc>
        <w:tc>
          <w:tcPr>
            <w:tcW w:w="1437" w:type="dxa"/>
            <w:vAlign w:val="bottom"/>
          </w:tcPr>
          <w:p w14:paraId="2DE800E5" w14:textId="77777777" w:rsidR="0044575F" w:rsidRPr="00604C75" w:rsidRDefault="0044575F" w:rsidP="00C22AF8">
            <w:pPr>
              <w:jc w:val="right"/>
              <w:rPr>
                <w:sz w:val="18"/>
                <w:szCs w:val="18"/>
              </w:rPr>
            </w:pPr>
          </w:p>
        </w:tc>
        <w:tc>
          <w:tcPr>
            <w:tcW w:w="1438" w:type="dxa"/>
            <w:vAlign w:val="bottom"/>
          </w:tcPr>
          <w:p w14:paraId="38771A2C" w14:textId="77777777" w:rsidR="0044575F" w:rsidRPr="00604C75" w:rsidRDefault="0044575F" w:rsidP="00C22AF8">
            <w:pPr>
              <w:jc w:val="right"/>
              <w:rPr>
                <w:sz w:val="18"/>
                <w:szCs w:val="18"/>
              </w:rPr>
            </w:pPr>
          </w:p>
        </w:tc>
        <w:tc>
          <w:tcPr>
            <w:tcW w:w="1437" w:type="dxa"/>
            <w:vAlign w:val="bottom"/>
          </w:tcPr>
          <w:p w14:paraId="4C33E0AD" w14:textId="77777777" w:rsidR="0044575F" w:rsidRPr="00604C75" w:rsidRDefault="0044575F" w:rsidP="00C22AF8">
            <w:pPr>
              <w:jc w:val="right"/>
              <w:rPr>
                <w:sz w:val="18"/>
                <w:szCs w:val="18"/>
              </w:rPr>
            </w:pPr>
          </w:p>
        </w:tc>
        <w:tc>
          <w:tcPr>
            <w:tcW w:w="1438" w:type="dxa"/>
            <w:vAlign w:val="bottom"/>
          </w:tcPr>
          <w:p w14:paraId="7D3F2CC1" w14:textId="77777777" w:rsidR="0044575F" w:rsidRPr="00604C75" w:rsidRDefault="0044575F" w:rsidP="00C22AF8">
            <w:pPr>
              <w:jc w:val="right"/>
              <w:rPr>
                <w:sz w:val="18"/>
                <w:szCs w:val="18"/>
              </w:rPr>
            </w:pPr>
          </w:p>
        </w:tc>
      </w:tr>
      <w:tr w:rsidR="00224102" w:rsidRPr="00604C75" w14:paraId="375D8AD6" w14:textId="77777777" w:rsidTr="00C0642B">
        <w:trPr>
          <w:cantSplit/>
          <w:trHeight w:val="20"/>
        </w:trPr>
        <w:tc>
          <w:tcPr>
            <w:tcW w:w="3944" w:type="dxa"/>
            <w:vAlign w:val="bottom"/>
          </w:tcPr>
          <w:p w14:paraId="7D915E47" w14:textId="77777777" w:rsidR="00224102" w:rsidRPr="00604C75" w:rsidRDefault="00224102" w:rsidP="00224102">
            <w:pPr>
              <w:rPr>
                <w:rFonts w:eastAsia="Arial Unicode MS"/>
                <w:sz w:val="18"/>
              </w:rPr>
            </w:pPr>
            <w:r w:rsidRPr="00604C75">
              <w:rPr>
                <w:sz w:val="18"/>
                <w:szCs w:val="18"/>
              </w:rPr>
              <w:t>Letters of Guarantee (*)</w:t>
            </w:r>
          </w:p>
        </w:tc>
        <w:tc>
          <w:tcPr>
            <w:tcW w:w="1437" w:type="dxa"/>
            <w:vAlign w:val="bottom"/>
          </w:tcPr>
          <w:p w14:paraId="4CDABD68" w14:textId="5ECD42B4" w:rsidR="00224102" w:rsidRDefault="00224102" w:rsidP="00224102">
            <w:pPr>
              <w:jc w:val="right"/>
              <w:rPr>
                <w:sz w:val="18"/>
                <w:szCs w:val="18"/>
              </w:rPr>
            </w:pPr>
            <w:r>
              <w:rPr>
                <w:sz w:val="18"/>
                <w:szCs w:val="18"/>
              </w:rPr>
              <w:t>1,163,403</w:t>
            </w:r>
          </w:p>
        </w:tc>
        <w:tc>
          <w:tcPr>
            <w:tcW w:w="1438" w:type="dxa"/>
            <w:vAlign w:val="bottom"/>
          </w:tcPr>
          <w:p w14:paraId="7EA1231B" w14:textId="1D4B6DDC" w:rsidR="00224102" w:rsidRDefault="00224102" w:rsidP="00224102">
            <w:pPr>
              <w:jc w:val="right"/>
              <w:rPr>
                <w:sz w:val="18"/>
                <w:szCs w:val="18"/>
              </w:rPr>
            </w:pPr>
            <w:r>
              <w:rPr>
                <w:sz w:val="18"/>
                <w:szCs w:val="18"/>
              </w:rPr>
              <w:t>1,001,222</w:t>
            </w:r>
          </w:p>
        </w:tc>
        <w:tc>
          <w:tcPr>
            <w:tcW w:w="1437" w:type="dxa"/>
            <w:vAlign w:val="bottom"/>
          </w:tcPr>
          <w:p w14:paraId="06CCCB55" w14:textId="482AE7AC" w:rsidR="00224102" w:rsidRPr="00692926" w:rsidRDefault="00224102" w:rsidP="00224102">
            <w:pPr>
              <w:jc w:val="right"/>
              <w:rPr>
                <w:sz w:val="18"/>
                <w:szCs w:val="18"/>
              </w:rPr>
            </w:pPr>
            <w:r>
              <w:rPr>
                <w:sz w:val="18"/>
                <w:szCs w:val="18"/>
              </w:rPr>
              <w:t>63,908</w:t>
            </w:r>
          </w:p>
        </w:tc>
        <w:tc>
          <w:tcPr>
            <w:tcW w:w="1438" w:type="dxa"/>
            <w:vAlign w:val="bottom"/>
          </w:tcPr>
          <w:p w14:paraId="79A12D8E" w14:textId="6080DED3" w:rsidR="00224102" w:rsidRPr="00692926" w:rsidRDefault="00224102" w:rsidP="00224102">
            <w:pPr>
              <w:jc w:val="right"/>
              <w:rPr>
                <w:sz w:val="18"/>
                <w:szCs w:val="18"/>
              </w:rPr>
            </w:pPr>
            <w:r>
              <w:rPr>
                <w:sz w:val="18"/>
                <w:szCs w:val="18"/>
              </w:rPr>
              <w:t>12,531</w:t>
            </w:r>
          </w:p>
        </w:tc>
      </w:tr>
      <w:tr w:rsidR="00224102" w:rsidRPr="00604C75" w14:paraId="599A7487" w14:textId="77777777" w:rsidTr="00C0642B">
        <w:trPr>
          <w:cantSplit/>
          <w:trHeight w:val="20"/>
        </w:trPr>
        <w:tc>
          <w:tcPr>
            <w:tcW w:w="3944" w:type="dxa"/>
            <w:vAlign w:val="bottom"/>
          </w:tcPr>
          <w:p w14:paraId="1AA3FD19" w14:textId="77777777" w:rsidR="00224102" w:rsidRPr="00604C75" w:rsidRDefault="00224102" w:rsidP="00224102">
            <w:pPr>
              <w:rPr>
                <w:rFonts w:eastAsia="Arial Unicode MS"/>
                <w:sz w:val="18"/>
              </w:rPr>
            </w:pPr>
            <w:r w:rsidRPr="00604C75">
              <w:rPr>
                <w:sz w:val="18"/>
                <w:szCs w:val="18"/>
              </w:rPr>
              <w:t>Bank Acceptances</w:t>
            </w:r>
          </w:p>
        </w:tc>
        <w:tc>
          <w:tcPr>
            <w:tcW w:w="1437" w:type="dxa"/>
            <w:vAlign w:val="bottom"/>
          </w:tcPr>
          <w:p w14:paraId="20317B41" w14:textId="24671D2E" w:rsidR="00224102" w:rsidRDefault="00224102" w:rsidP="00224102">
            <w:pPr>
              <w:jc w:val="right"/>
              <w:rPr>
                <w:sz w:val="18"/>
                <w:szCs w:val="18"/>
              </w:rPr>
            </w:pPr>
            <w:r>
              <w:rPr>
                <w:sz w:val="18"/>
                <w:szCs w:val="18"/>
              </w:rPr>
              <w:t>-</w:t>
            </w:r>
          </w:p>
        </w:tc>
        <w:tc>
          <w:tcPr>
            <w:tcW w:w="1438" w:type="dxa"/>
            <w:vAlign w:val="bottom"/>
          </w:tcPr>
          <w:p w14:paraId="255237EB" w14:textId="3779428D" w:rsidR="00224102" w:rsidRDefault="00224102" w:rsidP="00224102">
            <w:pPr>
              <w:jc w:val="right"/>
              <w:rPr>
                <w:sz w:val="18"/>
                <w:szCs w:val="18"/>
              </w:rPr>
            </w:pPr>
            <w:r>
              <w:rPr>
                <w:sz w:val="18"/>
                <w:szCs w:val="18"/>
              </w:rPr>
              <w:t>35,849</w:t>
            </w:r>
          </w:p>
        </w:tc>
        <w:tc>
          <w:tcPr>
            <w:tcW w:w="1437" w:type="dxa"/>
            <w:vAlign w:val="bottom"/>
          </w:tcPr>
          <w:p w14:paraId="5E37FAE6" w14:textId="52C3820E" w:rsidR="00224102" w:rsidRPr="00692926" w:rsidRDefault="00224102" w:rsidP="00224102">
            <w:pPr>
              <w:jc w:val="right"/>
              <w:rPr>
                <w:sz w:val="18"/>
                <w:szCs w:val="18"/>
              </w:rPr>
            </w:pPr>
            <w:r>
              <w:rPr>
                <w:sz w:val="18"/>
                <w:szCs w:val="18"/>
              </w:rPr>
              <w:t>-</w:t>
            </w:r>
          </w:p>
        </w:tc>
        <w:tc>
          <w:tcPr>
            <w:tcW w:w="1438" w:type="dxa"/>
            <w:vAlign w:val="bottom"/>
          </w:tcPr>
          <w:p w14:paraId="24A1432A" w14:textId="77A955E8" w:rsidR="00224102" w:rsidRPr="00692926" w:rsidRDefault="00224102" w:rsidP="00224102">
            <w:pPr>
              <w:jc w:val="right"/>
              <w:rPr>
                <w:sz w:val="18"/>
                <w:szCs w:val="18"/>
              </w:rPr>
            </w:pPr>
            <w:r>
              <w:rPr>
                <w:sz w:val="18"/>
                <w:szCs w:val="18"/>
              </w:rPr>
              <w:t>-</w:t>
            </w:r>
          </w:p>
        </w:tc>
      </w:tr>
      <w:tr w:rsidR="00224102" w:rsidRPr="00604C75" w14:paraId="469066D4" w14:textId="77777777" w:rsidTr="00C0642B">
        <w:trPr>
          <w:cantSplit/>
          <w:trHeight w:val="20"/>
        </w:trPr>
        <w:tc>
          <w:tcPr>
            <w:tcW w:w="3944" w:type="dxa"/>
            <w:vAlign w:val="bottom"/>
          </w:tcPr>
          <w:p w14:paraId="157549D2" w14:textId="77777777" w:rsidR="00224102" w:rsidRPr="00604C75" w:rsidRDefault="00224102" w:rsidP="00224102">
            <w:pPr>
              <w:rPr>
                <w:rFonts w:eastAsia="Arial Unicode MS"/>
                <w:sz w:val="18"/>
              </w:rPr>
            </w:pPr>
            <w:r w:rsidRPr="00604C75">
              <w:rPr>
                <w:sz w:val="18"/>
                <w:szCs w:val="18"/>
              </w:rPr>
              <w:t>Letters of Credit</w:t>
            </w:r>
          </w:p>
        </w:tc>
        <w:tc>
          <w:tcPr>
            <w:tcW w:w="1437" w:type="dxa"/>
            <w:vAlign w:val="bottom"/>
          </w:tcPr>
          <w:p w14:paraId="4F9DAA8C" w14:textId="71F93DD0" w:rsidR="00224102" w:rsidRDefault="00224102" w:rsidP="00224102">
            <w:pPr>
              <w:jc w:val="right"/>
              <w:rPr>
                <w:sz w:val="18"/>
                <w:szCs w:val="18"/>
              </w:rPr>
            </w:pPr>
            <w:r>
              <w:rPr>
                <w:sz w:val="18"/>
                <w:szCs w:val="18"/>
              </w:rPr>
              <w:t>-</w:t>
            </w:r>
          </w:p>
        </w:tc>
        <w:tc>
          <w:tcPr>
            <w:tcW w:w="1438" w:type="dxa"/>
            <w:vAlign w:val="bottom"/>
          </w:tcPr>
          <w:p w14:paraId="6EA48B9B" w14:textId="08E4A54E" w:rsidR="00224102" w:rsidRDefault="00224102" w:rsidP="00224102">
            <w:pPr>
              <w:jc w:val="right"/>
              <w:rPr>
                <w:sz w:val="18"/>
                <w:szCs w:val="18"/>
              </w:rPr>
            </w:pPr>
            <w:r>
              <w:rPr>
                <w:sz w:val="18"/>
                <w:szCs w:val="18"/>
              </w:rPr>
              <w:t>345,726</w:t>
            </w:r>
          </w:p>
        </w:tc>
        <w:tc>
          <w:tcPr>
            <w:tcW w:w="1437" w:type="dxa"/>
            <w:vAlign w:val="bottom"/>
          </w:tcPr>
          <w:p w14:paraId="398CB5D7" w14:textId="73F150AB" w:rsidR="00224102" w:rsidRPr="00692926" w:rsidRDefault="00224102" w:rsidP="00224102">
            <w:pPr>
              <w:jc w:val="right"/>
              <w:rPr>
                <w:sz w:val="18"/>
                <w:szCs w:val="18"/>
              </w:rPr>
            </w:pPr>
            <w:r>
              <w:rPr>
                <w:sz w:val="18"/>
                <w:szCs w:val="18"/>
              </w:rPr>
              <w:t>-</w:t>
            </w:r>
          </w:p>
        </w:tc>
        <w:tc>
          <w:tcPr>
            <w:tcW w:w="1438" w:type="dxa"/>
            <w:vAlign w:val="bottom"/>
          </w:tcPr>
          <w:p w14:paraId="6628CEBF" w14:textId="126F48AA" w:rsidR="00224102" w:rsidRPr="00692926" w:rsidRDefault="00224102" w:rsidP="00224102">
            <w:pPr>
              <w:jc w:val="right"/>
              <w:rPr>
                <w:sz w:val="18"/>
                <w:szCs w:val="18"/>
              </w:rPr>
            </w:pPr>
            <w:r>
              <w:rPr>
                <w:sz w:val="18"/>
                <w:szCs w:val="18"/>
              </w:rPr>
              <w:t>-</w:t>
            </w:r>
          </w:p>
        </w:tc>
      </w:tr>
      <w:tr w:rsidR="00224102" w:rsidRPr="00604C75" w14:paraId="23F45591" w14:textId="77777777" w:rsidTr="00C0642B">
        <w:trPr>
          <w:cantSplit/>
          <w:trHeight w:val="20"/>
        </w:trPr>
        <w:tc>
          <w:tcPr>
            <w:tcW w:w="3944" w:type="dxa"/>
            <w:vAlign w:val="bottom"/>
          </w:tcPr>
          <w:p w14:paraId="2CC5AD02" w14:textId="77777777" w:rsidR="00224102" w:rsidRPr="00604C75" w:rsidRDefault="00224102" w:rsidP="00224102">
            <w:pPr>
              <w:rPr>
                <w:rFonts w:eastAsia="Arial Unicode MS"/>
                <w:sz w:val="18"/>
              </w:rPr>
            </w:pPr>
            <w:r w:rsidRPr="00604C75">
              <w:rPr>
                <w:sz w:val="18"/>
                <w:szCs w:val="18"/>
              </w:rPr>
              <w:t>Endorsements</w:t>
            </w:r>
          </w:p>
        </w:tc>
        <w:tc>
          <w:tcPr>
            <w:tcW w:w="1437" w:type="dxa"/>
            <w:vAlign w:val="bottom"/>
          </w:tcPr>
          <w:p w14:paraId="368ADEF9" w14:textId="7C99CB6C" w:rsidR="00224102" w:rsidRDefault="00224102" w:rsidP="00224102">
            <w:pPr>
              <w:jc w:val="right"/>
              <w:rPr>
                <w:sz w:val="18"/>
                <w:szCs w:val="18"/>
              </w:rPr>
            </w:pPr>
            <w:r>
              <w:rPr>
                <w:sz w:val="18"/>
                <w:szCs w:val="18"/>
              </w:rPr>
              <w:t>-</w:t>
            </w:r>
          </w:p>
        </w:tc>
        <w:tc>
          <w:tcPr>
            <w:tcW w:w="1438" w:type="dxa"/>
            <w:vAlign w:val="bottom"/>
          </w:tcPr>
          <w:p w14:paraId="0898C79C" w14:textId="1D28FDAF" w:rsidR="00224102" w:rsidRDefault="00224102" w:rsidP="00224102">
            <w:pPr>
              <w:jc w:val="right"/>
              <w:rPr>
                <w:sz w:val="18"/>
                <w:szCs w:val="18"/>
              </w:rPr>
            </w:pPr>
            <w:r>
              <w:rPr>
                <w:sz w:val="18"/>
                <w:szCs w:val="18"/>
              </w:rPr>
              <w:t>-</w:t>
            </w:r>
          </w:p>
        </w:tc>
        <w:tc>
          <w:tcPr>
            <w:tcW w:w="1437" w:type="dxa"/>
            <w:vAlign w:val="bottom"/>
          </w:tcPr>
          <w:p w14:paraId="682E5448" w14:textId="2AA61EE8" w:rsidR="00224102" w:rsidRPr="00692926" w:rsidRDefault="00224102" w:rsidP="00224102">
            <w:pPr>
              <w:jc w:val="right"/>
              <w:rPr>
                <w:sz w:val="18"/>
                <w:szCs w:val="18"/>
              </w:rPr>
            </w:pPr>
            <w:r>
              <w:rPr>
                <w:sz w:val="18"/>
                <w:szCs w:val="18"/>
              </w:rPr>
              <w:t>-</w:t>
            </w:r>
          </w:p>
        </w:tc>
        <w:tc>
          <w:tcPr>
            <w:tcW w:w="1438" w:type="dxa"/>
            <w:vAlign w:val="bottom"/>
          </w:tcPr>
          <w:p w14:paraId="5464393A" w14:textId="0A270755" w:rsidR="00224102" w:rsidRPr="00692926" w:rsidRDefault="00224102" w:rsidP="00224102">
            <w:pPr>
              <w:jc w:val="right"/>
              <w:rPr>
                <w:sz w:val="18"/>
                <w:szCs w:val="18"/>
              </w:rPr>
            </w:pPr>
            <w:r>
              <w:rPr>
                <w:sz w:val="18"/>
                <w:szCs w:val="18"/>
              </w:rPr>
              <w:t>-</w:t>
            </w:r>
          </w:p>
        </w:tc>
      </w:tr>
      <w:tr w:rsidR="00224102" w:rsidRPr="00604C75" w14:paraId="7BAD230A" w14:textId="77777777" w:rsidTr="00C0642B">
        <w:trPr>
          <w:cantSplit/>
          <w:trHeight w:val="20"/>
        </w:trPr>
        <w:tc>
          <w:tcPr>
            <w:tcW w:w="3944" w:type="dxa"/>
            <w:vAlign w:val="bottom"/>
          </w:tcPr>
          <w:p w14:paraId="6F8359F0" w14:textId="77777777" w:rsidR="00224102" w:rsidRPr="00604C75" w:rsidRDefault="00224102" w:rsidP="00224102">
            <w:pPr>
              <w:rPr>
                <w:rFonts w:eastAsia="Arial Unicode MS"/>
                <w:sz w:val="18"/>
              </w:rPr>
            </w:pPr>
            <w:r w:rsidRPr="00604C75">
              <w:rPr>
                <w:sz w:val="18"/>
                <w:szCs w:val="18"/>
              </w:rPr>
              <w:t>Underwriting Commitments</w:t>
            </w:r>
          </w:p>
        </w:tc>
        <w:tc>
          <w:tcPr>
            <w:tcW w:w="1437" w:type="dxa"/>
            <w:vAlign w:val="bottom"/>
          </w:tcPr>
          <w:p w14:paraId="1D1E4A38" w14:textId="3CAAB984" w:rsidR="00224102" w:rsidRDefault="00224102" w:rsidP="00224102">
            <w:pPr>
              <w:jc w:val="right"/>
              <w:rPr>
                <w:sz w:val="18"/>
                <w:szCs w:val="18"/>
              </w:rPr>
            </w:pPr>
            <w:r>
              <w:rPr>
                <w:sz w:val="18"/>
                <w:szCs w:val="18"/>
              </w:rPr>
              <w:t>-</w:t>
            </w:r>
          </w:p>
        </w:tc>
        <w:tc>
          <w:tcPr>
            <w:tcW w:w="1438" w:type="dxa"/>
            <w:vAlign w:val="bottom"/>
          </w:tcPr>
          <w:p w14:paraId="2E120DE7" w14:textId="7EAEFC64" w:rsidR="00224102" w:rsidRDefault="00224102" w:rsidP="00224102">
            <w:pPr>
              <w:jc w:val="right"/>
              <w:rPr>
                <w:sz w:val="18"/>
                <w:szCs w:val="18"/>
              </w:rPr>
            </w:pPr>
            <w:r>
              <w:rPr>
                <w:sz w:val="18"/>
                <w:szCs w:val="18"/>
              </w:rPr>
              <w:t>-</w:t>
            </w:r>
          </w:p>
        </w:tc>
        <w:tc>
          <w:tcPr>
            <w:tcW w:w="1437" w:type="dxa"/>
            <w:vAlign w:val="bottom"/>
          </w:tcPr>
          <w:p w14:paraId="05AC1C4E" w14:textId="495701CE" w:rsidR="00224102" w:rsidRPr="00692926" w:rsidRDefault="00224102" w:rsidP="00224102">
            <w:pPr>
              <w:jc w:val="right"/>
              <w:rPr>
                <w:sz w:val="18"/>
                <w:szCs w:val="18"/>
              </w:rPr>
            </w:pPr>
            <w:r>
              <w:rPr>
                <w:sz w:val="18"/>
                <w:szCs w:val="18"/>
              </w:rPr>
              <w:t>-</w:t>
            </w:r>
          </w:p>
        </w:tc>
        <w:tc>
          <w:tcPr>
            <w:tcW w:w="1438" w:type="dxa"/>
            <w:vAlign w:val="bottom"/>
          </w:tcPr>
          <w:p w14:paraId="36C69775" w14:textId="080EF7E5" w:rsidR="00224102" w:rsidRPr="00692926" w:rsidRDefault="00224102" w:rsidP="00224102">
            <w:pPr>
              <w:jc w:val="right"/>
              <w:rPr>
                <w:sz w:val="18"/>
                <w:szCs w:val="18"/>
              </w:rPr>
            </w:pPr>
            <w:r>
              <w:rPr>
                <w:sz w:val="18"/>
                <w:szCs w:val="18"/>
              </w:rPr>
              <w:t>-</w:t>
            </w:r>
          </w:p>
        </w:tc>
      </w:tr>
      <w:tr w:rsidR="00224102" w:rsidRPr="00604C75" w14:paraId="457AE6FE" w14:textId="77777777" w:rsidTr="00C0642B">
        <w:trPr>
          <w:cantSplit/>
          <w:trHeight w:val="20"/>
        </w:trPr>
        <w:tc>
          <w:tcPr>
            <w:tcW w:w="3944" w:type="dxa"/>
            <w:vAlign w:val="bottom"/>
          </w:tcPr>
          <w:p w14:paraId="3C263809" w14:textId="77777777" w:rsidR="00224102" w:rsidRPr="00604C75" w:rsidRDefault="00224102" w:rsidP="00224102">
            <w:pPr>
              <w:rPr>
                <w:sz w:val="18"/>
              </w:rPr>
            </w:pPr>
            <w:r w:rsidRPr="00604C75">
              <w:rPr>
                <w:sz w:val="18"/>
                <w:szCs w:val="18"/>
              </w:rPr>
              <w:t>Factoring Guarantees</w:t>
            </w:r>
          </w:p>
        </w:tc>
        <w:tc>
          <w:tcPr>
            <w:tcW w:w="1437" w:type="dxa"/>
            <w:vAlign w:val="bottom"/>
          </w:tcPr>
          <w:p w14:paraId="21407F6C" w14:textId="1CEB4BF2" w:rsidR="00224102" w:rsidRDefault="00224102" w:rsidP="00224102">
            <w:pPr>
              <w:jc w:val="right"/>
              <w:rPr>
                <w:sz w:val="18"/>
                <w:szCs w:val="18"/>
              </w:rPr>
            </w:pPr>
            <w:r>
              <w:rPr>
                <w:sz w:val="18"/>
                <w:szCs w:val="18"/>
              </w:rPr>
              <w:t>-</w:t>
            </w:r>
          </w:p>
        </w:tc>
        <w:tc>
          <w:tcPr>
            <w:tcW w:w="1438" w:type="dxa"/>
            <w:vAlign w:val="bottom"/>
          </w:tcPr>
          <w:p w14:paraId="42651705" w14:textId="21EB7DA6" w:rsidR="00224102" w:rsidRDefault="00224102" w:rsidP="00224102">
            <w:pPr>
              <w:jc w:val="right"/>
              <w:rPr>
                <w:sz w:val="18"/>
                <w:szCs w:val="18"/>
              </w:rPr>
            </w:pPr>
            <w:r>
              <w:rPr>
                <w:sz w:val="18"/>
                <w:szCs w:val="18"/>
              </w:rPr>
              <w:t>-</w:t>
            </w:r>
          </w:p>
        </w:tc>
        <w:tc>
          <w:tcPr>
            <w:tcW w:w="1437" w:type="dxa"/>
            <w:vAlign w:val="bottom"/>
          </w:tcPr>
          <w:p w14:paraId="3B30EAEA" w14:textId="4C30320F" w:rsidR="00224102" w:rsidRPr="00692926" w:rsidRDefault="00224102" w:rsidP="00224102">
            <w:pPr>
              <w:jc w:val="right"/>
              <w:rPr>
                <w:sz w:val="18"/>
                <w:szCs w:val="18"/>
              </w:rPr>
            </w:pPr>
            <w:r>
              <w:rPr>
                <w:sz w:val="18"/>
                <w:szCs w:val="18"/>
              </w:rPr>
              <w:t>-</w:t>
            </w:r>
          </w:p>
        </w:tc>
        <w:tc>
          <w:tcPr>
            <w:tcW w:w="1438" w:type="dxa"/>
            <w:vAlign w:val="bottom"/>
          </w:tcPr>
          <w:p w14:paraId="5EB0F384" w14:textId="6497C232" w:rsidR="00224102" w:rsidRPr="00692926" w:rsidRDefault="00224102" w:rsidP="00224102">
            <w:pPr>
              <w:jc w:val="right"/>
              <w:rPr>
                <w:sz w:val="18"/>
                <w:szCs w:val="18"/>
              </w:rPr>
            </w:pPr>
            <w:r>
              <w:rPr>
                <w:sz w:val="18"/>
                <w:szCs w:val="18"/>
              </w:rPr>
              <w:t>-</w:t>
            </w:r>
          </w:p>
        </w:tc>
      </w:tr>
      <w:tr w:rsidR="00224102" w:rsidRPr="00604C75" w14:paraId="7D7DB05C" w14:textId="77777777" w:rsidTr="00C0642B">
        <w:trPr>
          <w:cantSplit/>
          <w:trHeight w:val="20"/>
        </w:trPr>
        <w:tc>
          <w:tcPr>
            <w:tcW w:w="3944" w:type="dxa"/>
            <w:vAlign w:val="bottom"/>
          </w:tcPr>
          <w:p w14:paraId="16FC8886" w14:textId="77777777" w:rsidR="00224102" w:rsidRPr="00604C75" w:rsidRDefault="00224102" w:rsidP="00224102">
            <w:pPr>
              <w:rPr>
                <w:sz w:val="18"/>
              </w:rPr>
            </w:pPr>
            <w:r w:rsidRPr="00604C75">
              <w:rPr>
                <w:sz w:val="18"/>
                <w:szCs w:val="18"/>
              </w:rPr>
              <w:t>Other Commitments and Contingencies</w:t>
            </w:r>
          </w:p>
        </w:tc>
        <w:tc>
          <w:tcPr>
            <w:tcW w:w="1437" w:type="dxa"/>
            <w:vAlign w:val="bottom"/>
          </w:tcPr>
          <w:p w14:paraId="710E45E2" w14:textId="3D5D59F2" w:rsidR="00224102" w:rsidRDefault="00224102" w:rsidP="00224102">
            <w:pPr>
              <w:jc w:val="right"/>
              <w:rPr>
                <w:sz w:val="18"/>
                <w:szCs w:val="18"/>
              </w:rPr>
            </w:pPr>
            <w:r>
              <w:rPr>
                <w:sz w:val="18"/>
                <w:szCs w:val="18"/>
              </w:rPr>
              <w:t>-</w:t>
            </w:r>
          </w:p>
        </w:tc>
        <w:tc>
          <w:tcPr>
            <w:tcW w:w="1438" w:type="dxa"/>
            <w:vAlign w:val="bottom"/>
          </w:tcPr>
          <w:p w14:paraId="4B9BDAB3" w14:textId="44833C7A" w:rsidR="00224102" w:rsidRDefault="00224102" w:rsidP="00224102">
            <w:pPr>
              <w:jc w:val="right"/>
              <w:rPr>
                <w:sz w:val="18"/>
                <w:szCs w:val="18"/>
              </w:rPr>
            </w:pPr>
            <w:r>
              <w:rPr>
                <w:sz w:val="18"/>
                <w:szCs w:val="18"/>
              </w:rPr>
              <w:t>551,332</w:t>
            </w:r>
          </w:p>
        </w:tc>
        <w:tc>
          <w:tcPr>
            <w:tcW w:w="1437" w:type="dxa"/>
            <w:vAlign w:val="bottom"/>
          </w:tcPr>
          <w:p w14:paraId="3521D893" w14:textId="07C720EE" w:rsidR="00224102" w:rsidRPr="00692926" w:rsidRDefault="00224102" w:rsidP="00224102">
            <w:pPr>
              <w:jc w:val="right"/>
              <w:rPr>
                <w:sz w:val="18"/>
                <w:szCs w:val="18"/>
              </w:rPr>
            </w:pPr>
            <w:r>
              <w:rPr>
                <w:sz w:val="18"/>
                <w:szCs w:val="18"/>
              </w:rPr>
              <w:t>-</w:t>
            </w:r>
          </w:p>
        </w:tc>
        <w:tc>
          <w:tcPr>
            <w:tcW w:w="1438" w:type="dxa"/>
            <w:vAlign w:val="bottom"/>
          </w:tcPr>
          <w:p w14:paraId="6E7E472E" w14:textId="29601CA7" w:rsidR="00224102" w:rsidRPr="00692926" w:rsidRDefault="00224102" w:rsidP="00224102">
            <w:pPr>
              <w:jc w:val="right"/>
              <w:rPr>
                <w:sz w:val="18"/>
                <w:szCs w:val="18"/>
              </w:rPr>
            </w:pPr>
            <w:r>
              <w:rPr>
                <w:sz w:val="18"/>
                <w:szCs w:val="18"/>
              </w:rPr>
              <w:t>-</w:t>
            </w:r>
          </w:p>
        </w:tc>
      </w:tr>
      <w:tr w:rsidR="00224102" w:rsidRPr="00604C75" w14:paraId="1A1FD12C" w14:textId="77777777" w:rsidTr="00C0642B">
        <w:trPr>
          <w:cantSplit/>
          <w:trHeight w:val="20"/>
        </w:trPr>
        <w:tc>
          <w:tcPr>
            <w:tcW w:w="3944" w:type="dxa"/>
            <w:vAlign w:val="bottom"/>
          </w:tcPr>
          <w:p w14:paraId="59E3B4FA" w14:textId="77777777" w:rsidR="00224102" w:rsidRPr="00604C75" w:rsidRDefault="00224102" w:rsidP="00224102">
            <w:pPr>
              <w:rPr>
                <w:rFonts w:eastAsia="Arial Unicode MS"/>
                <w:b/>
                <w:sz w:val="18"/>
              </w:rPr>
            </w:pPr>
            <w:r w:rsidRPr="00604C75">
              <w:rPr>
                <w:rFonts w:eastAsia="Arial Unicode MS"/>
                <w:b/>
                <w:sz w:val="18"/>
              </w:rPr>
              <w:t>Total</w:t>
            </w:r>
          </w:p>
        </w:tc>
        <w:tc>
          <w:tcPr>
            <w:tcW w:w="1437" w:type="dxa"/>
            <w:vAlign w:val="bottom"/>
          </w:tcPr>
          <w:p w14:paraId="0FA2C8E5" w14:textId="68ACD248" w:rsidR="00224102" w:rsidRPr="007A70D0" w:rsidRDefault="00224102" w:rsidP="00224102">
            <w:pPr>
              <w:jc w:val="right"/>
              <w:rPr>
                <w:b/>
                <w:sz w:val="18"/>
                <w:szCs w:val="18"/>
              </w:rPr>
            </w:pPr>
            <w:r w:rsidRPr="007A70D0">
              <w:rPr>
                <w:b/>
                <w:sz w:val="18"/>
                <w:szCs w:val="18"/>
              </w:rPr>
              <w:t>1,163,403</w:t>
            </w:r>
          </w:p>
        </w:tc>
        <w:tc>
          <w:tcPr>
            <w:tcW w:w="1438" w:type="dxa"/>
            <w:vAlign w:val="bottom"/>
          </w:tcPr>
          <w:p w14:paraId="7301A625" w14:textId="6BCCC940" w:rsidR="00224102" w:rsidRPr="007A70D0" w:rsidRDefault="00224102" w:rsidP="00224102">
            <w:pPr>
              <w:jc w:val="right"/>
              <w:rPr>
                <w:b/>
                <w:sz w:val="18"/>
                <w:szCs w:val="18"/>
              </w:rPr>
            </w:pPr>
            <w:r w:rsidRPr="007A70D0">
              <w:rPr>
                <w:b/>
                <w:sz w:val="18"/>
                <w:szCs w:val="18"/>
              </w:rPr>
              <w:t>1,934,129</w:t>
            </w:r>
          </w:p>
        </w:tc>
        <w:tc>
          <w:tcPr>
            <w:tcW w:w="1437" w:type="dxa"/>
            <w:vAlign w:val="bottom"/>
          </w:tcPr>
          <w:p w14:paraId="214FD90C" w14:textId="17F75F5F" w:rsidR="00224102" w:rsidRPr="00747C19" w:rsidRDefault="00224102" w:rsidP="00224102">
            <w:pPr>
              <w:jc w:val="right"/>
              <w:rPr>
                <w:b/>
                <w:sz w:val="18"/>
                <w:szCs w:val="18"/>
              </w:rPr>
            </w:pPr>
            <w:r w:rsidRPr="007A70D0">
              <w:rPr>
                <w:b/>
                <w:sz w:val="18"/>
                <w:szCs w:val="18"/>
              </w:rPr>
              <w:t>63,908</w:t>
            </w:r>
          </w:p>
        </w:tc>
        <w:tc>
          <w:tcPr>
            <w:tcW w:w="1438" w:type="dxa"/>
            <w:vAlign w:val="bottom"/>
          </w:tcPr>
          <w:p w14:paraId="0F4661BA" w14:textId="4B139491" w:rsidR="00224102" w:rsidRPr="00747C19" w:rsidRDefault="00224102" w:rsidP="00224102">
            <w:pPr>
              <w:jc w:val="right"/>
              <w:rPr>
                <w:b/>
                <w:sz w:val="18"/>
                <w:szCs w:val="18"/>
              </w:rPr>
            </w:pPr>
            <w:r w:rsidRPr="007A70D0">
              <w:rPr>
                <w:b/>
                <w:sz w:val="18"/>
                <w:szCs w:val="18"/>
              </w:rPr>
              <w:t>12,531</w:t>
            </w:r>
          </w:p>
        </w:tc>
      </w:tr>
    </w:tbl>
    <w:p w14:paraId="51A84C17" w14:textId="77777777" w:rsidR="00F26832" w:rsidRPr="00604C75" w:rsidRDefault="00F26832" w:rsidP="00A92FB2">
      <w:pPr>
        <w:spacing w:line="120" w:lineRule="auto"/>
        <w:ind w:right="-181"/>
        <w:rPr>
          <w:sz w:val="16"/>
          <w:szCs w:val="16"/>
        </w:rPr>
      </w:pPr>
    </w:p>
    <w:p w14:paraId="407BF6A8" w14:textId="77777777" w:rsidR="00A92FB2" w:rsidRPr="00604C75" w:rsidRDefault="00A92FB2" w:rsidP="00A92FB2">
      <w:pPr>
        <w:spacing w:line="120" w:lineRule="auto"/>
        <w:ind w:right="-181"/>
        <w:rPr>
          <w:bCs/>
          <w:sz w:val="18"/>
          <w:szCs w:val="18"/>
        </w:rPr>
      </w:pPr>
    </w:p>
    <w:tbl>
      <w:tblPr>
        <w:tblW w:w="9694"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3938"/>
        <w:gridCol w:w="1438"/>
        <w:gridCol w:w="1440"/>
        <w:gridCol w:w="1438"/>
        <w:gridCol w:w="1440"/>
      </w:tblGrid>
      <w:tr w:rsidR="0044575F" w:rsidRPr="00604C75" w14:paraId="6E711B79" w14:textId="77777777" w:rsidTr="00C0642B">
        <w:trPr>
          <w:cantSplit/>
          <w:trHeight w:val="292"/>
        </w:trPr>
        <w:tc>
          <w:tcPr>
            <w:tcW w:w="3938" w:type="dxa"/>
            <w:vAlign w:val="bottom"/>
          </w:tcPr>
          <w:p w14:paraId="6EB25EE0" w14:textId="77777777" w:rsidR="0044575F" w:rsidRPr="00604C75" w:rsidRDefault="00A92FB2" w:rsidP="00AD726D">
            <w:pPr>
              <w:spacing w:line="221" w:lineRule="auto"/>
              <w:ind w:left="184" w:hanging="172"/>
              <w:jc w:val="both"/>
              <w:rPr>
                <w:b/>
                <w:snapToGrid w:val="0"/>
                <w:sz w:val="18"/>
              </w:rPr>
            </w:pPr>
            <w:r w:rsidRPr="00604C75">
              <w:rPr>
                <w:b/>
                <w:snapToGrid w:val="0"/>
                <w:sz w:val="18"/>
              </w:rPr>
              <w:t>31 December 2014</w:t>
            </w:r>
          </w:p>
        </w:tc>
        <w:tc>
          <w:tcPr>
            <w:tcW w:w="2878" w:type="dxa"/>
            <w:gridSpan w:val="2"/>
            <w:vAlign w:val="bottom"/>
          </w:tcPr>
          <w:p w14:paraId="4BEE9B07" w14:textId="77777777" w:rsidR="0044575F" w:rsidRPr="00604C75" w:rsidRDefault="0044575F" w:rsidP="00AA7190">
            <w:pPr>
              <w:spacing w:line="221" w:lineRule="auto"/>
              <w:ind w:left="184"/>
              <w:jc w:val="center"/>
              <w:rPr>
                <w:b/>
                <w:sz w:val="18"/>
              </w:rPr>
            </w:pPr>
            <w:r w:rsidRPr="00604C75">
              <w:rPr>
                <w:b/>
                <w:sz w:val="18"/>
              </w:rPr>
              <w:t>Group I</w:t>
            </w:r>
          </w:p>
        </w:tc>
        <w:tc>
          <w:tcPr>
            <w:tcW w:w="2878" w:type="dxa"/>
            <w:gridSpan w:val="2"/>
            <w:vAlign w:val="bottom"/>
          </w:tcPr>
          <w:p w14:paraId="1BBE4BDD" w14:textId="77777777" w:rsidR="0044575F" w:rsidRPr="00604C75" w:rsidRDefault="0044575F" w:rsidP="00AA7190">
            <w:pPr>
              <w:spacing w:line="221" w:lineRule="auto"/>
              <w:ind w:left="184"/>
              <w:jc w:val="center"/>
              <w:rPr>
                <w:b/>
                <w:sz w:val="18"/>
              </w:rPr>
            </w:pPr>
            <w:r w:rsidRPr="00604C75">
              <w:rPr>
                <w:b/>
                <w:sz w:val="18"/>
              </w:rPr>
              <w:t>Group II</w:t>
            </w:r>
          </w:p>
        </w:tc>
      </w:tr>
      <w:tr w:rsidR="0044575F" w:rsidRPr="00604C75" w14:paraId="330348BF" w14:textId="77777777" w:rsidTr="00C0642B">
        <w:trPr>
          <w:cantSplit/>
          <w:trHeight w:val="268"/>
        </w:trPr>
        <w:tc>
          <w:tcPr>
            <w:tcW w:w="3938" w:type="dxa"/>
            <w:vAlign w:val="bottom"/>
          </w:tcPr>
          <w:p w14:paraId="0437E806" w14:textId="77777777" w:rsidR="0044575F" w:rsidRPr="00604C75" w:rsidRDefault="0044575F" w:rsidP="00AD726D">
            <w:pPr>
              <w:spacing w:line="221" w:lineRule="auto"/>
              <w:ind w:left="184" w:hanging="172"/>
              <w:rPr>
                <w:b/>
                <w:snapToGrid w:val="0"/>
                <w:sz w:val="18"/>
              </w:rPr>
            </w:pPr>
          </w:p>
        </w:tc>
        <w:tc>
          <w:tcPr>
            <w:tcW w:w="1438" w:type="dxa"/>
            <w:vAlign w:val="bottom"/>
          </w:tcPr>
          <w:p w14:paraId="6FCCD36B" w14:textId="77777777" w:rsidR="0044575F" w:rsidRPr="00604C75" w:rsidRDefault="0044575F" w:rsidP="00AA7190">
            <w:pPr>
              <w:spacing w:line="221" w:lineRule="auto"/>
              <w:ind w:left="184"/>
              <w:jc w:val="right"/>
              <w:rPr>
                <w:rFonts w:eastAsia="Arial Unicode MS"/>
                <w:b/>
                <w:bCs/>
                <w:sz w:val="18"/>
                <w:szCs w:val="18"/>
              </w:rPr>
            </w:pPr>
            <w:r w:rsidRPr="00604C75">
              <w:rPr>
                <w:b/>
                <w:bCs/>
                <w:sz w:val="18"/>
                <w:szCs w:val="18"/>
              </w:rPr>
              <w:t>TL</w:t>
            </w:r>
          </w:p>
        </w:tc>
        <w:tc>
          <w:tcPr>
            <w:tcW w:w="1440" w:type="dxa"/>
            <w:vAlign w:val="bottom"/>
          </w:tcPr>
          <w:p w14:paraId="1FD79447" w14:textId="77777777" w:rsidR="0044575F" w:rsidRPr="00604C75" w:rsidRDefault="0044575F" w:rsidP="00AA7190">
            <w:pPr>
              <w:spacing w:line="221" w:lineRule="auto"/>
              <w:ind w:left="184"/>
              <w:jc w:val="right"/>
              <w:rPr>
                <w:rFonts w:eastAsia="Arial Unicode MS"/>
                <w:b/>
                <w:bCs/>
                <w:sz w:val="18"/>
                <w:szCs w:val="18"/>
              </w:rPr>
            </w:pPr>
            <w:r w:rsidRPr="00604C75">
              <w:rPr>
                <w:b/>
                <w:bCs/>
                <w:sz w:val="18"/>
                <w:szCs w:val="18"/>
              </w:rPr>
              <w:t>FC</w:t>
            </w:r>
          </w:p>
        </w:tc>
        <w:tc>
          <w:tcPr>
            <w:tcW w:w="1438" w:type="dxa"/>
            <w:vAlign w:val="bottom"/>
          </w:tcPr>
          <w:p w14:paraId="2C602A8E" w14:textId="77777777" w:rsidR="0044575F" w:rsidRPr="00604C75" w:rsidRDefault="0044575F" w:rsidP="00AA7190">
            <w:pPr>
              <w:spacing w:line="221" w:lineRule="auto"/>
              <w:ind w:left="184"/>
              <w:jc w:val="right"/>
              <w:rPr>
                <w:rFonts w:eastAsia="Arial Unicode MS"/>
                <w:b/>
                <w:bCs/>
                <w:sz w:val="18"/>
                <w:szCs w:val="18"/>
              </w:rPr>
            </w:pPr>
            <w:r w:rsidRPr="00604C75">
              <w:rPr>
                <w:b/>
                <w:bCs/>
                <w:sz w:val="18"/>
                <w:szCs w:val="18"/>
              </w:rPr>
              <w:t>TL</w:t>
            </w:r>
          </w:p>
        </w:tc>
        <w:tc>
          <w:tcPr>
            <w:tcW w:w="1440" w:type="dxa"/>
            <w:vAlign w:val="bottom"/>
          </w:tcPr>
          <w:p w14:paraId="004D5D5C" w14:textId="77777777" w:rsidR="0044575F" w:rsidRPr="00604C75" w:rsidRDefault="0044575F" w:rsidP="00AA7190">
            <w:pPr>
              <w:spacing w:line="221" w:lineRule="auto"/>
              <w:ind w:left="184"/>
              <w:jc w:val="right"/>
              <w:rPr>
                <w:rFonts w:eastAsia="Arial Unicode MS"/>
                <w:b/>
                <w:bCs/>
                <w:sz w:val="18"/>
                <w:szCs w:val="18"/>
              </w:rPr>
            </w:pPr>
            <w:r w:rsidRPr="00604C75">
              <w:rPr>
                <w:b/>
                <w:bCs/>
                <w:sz w:val="18"/>
                <w:szCs w:val="18"/>
              </w:rPr>
              <w:t>FC</w:t>
            </w:r>
          </w:p>
        </w:tc>
      </w:tr>
      <w:tr w:rsidR="0044575F" w:rsidRPr="00604C75" w14:paraId="2623C86D" w14:textId="77777777" w:rsidTr="00C0642B">
        <w:trPr>
          <w:cantSplit/>
          <w:trHeight w:val="22"/>
        </w:trPr>
        <w:tc>
          <w:tcPr>
            <w:tcW w:w="3938" w:type="dxa"/>
            <w:vAlign w:val="bottom"/>
          </w:tcPr>
          <w:p w14:paraId="200A9551" w14:textId="77777777" w:rsidR="0044575F" w:rsidRPr="00604C75" w:rsidRDefault="0044575F" w:rsidP="00AD726D">
            <w:pPr>
              <w:spacing w:line="221" w:lineRule="auto"/>
              <w:ind w:left="184" w:hanging="172"/>
              <w:rPr>
                <w:b/>
                <w:sz w:val="18"/>
              </w:rPr>
            </w:pPr>
            <w:r w:rsidRPr="00604C75">
              <w:rPr>
                <w:b/>
                <w:sz w:val="18"/>
              </w:rPr>
              <w:t>Non-Cash Loans</w:t>
            </w:r>
          </w:p>
        </w:tc>
        <w:tc>
          <w:tcPr>
            <w:tcW w:w="1438" w:type="dxa"/>
            <w:vAlign w:val="bottom"/>
          </w:tcPr>
          <w:p w14:paraId="510F02B1" w14:textId="77777777" w:rsidR="0044575F" w:rsidRPr="00604C75" w:rsidRDefault="0044575F" w:rsidP="00AA7190">
            <w:pPr>
              <w:spacing w:line="221" w:lineRule="auto"/>
              <w:ind w:left="184"/>
              <w:jc w:val="right"/>
              <w:rPr>
                <w:sz w:val="18"/>
                <w:szCs w:val="18"/>
              </w:rPr>
            </w:pPr>
          </w:p>
        </w:tc>
        <w:tc>
          <w:tcPr>
            <w:tcW w:w="1440" w:type="dxa"/>
            <w:vAlign w:val="bottom"/>
          </w:tcPr>
          <w:p w14:paraId="47E717F7" w14:textId="77777777" w:rsidR="0044575F" w:rsidRPr="00604C75" w:rsidRDefault="0044575F" w:rsidP="00AA7190">
            <w:pPr>
              <w:spacing w:line="221" w:lineRule="auto"/>
              <w:ind w:left="184"/>
              <w:jc w:val="right"/>
              <w:rPr>
                <w:sz w:val="18"/>
                <w:szCs w:val="18"/>
              </w:rPr>
            </w:pPr>
          </w:p>
        </w:tc>
        <w:tc>
          <w:tcPr>
            <w:tcW w:w="1438" w:type="dxa"/>
            <w:vAlign w:val="bottom"/>
          </w:tcPr>
          <w:p w14:paraId="078F4C81" w14:textId="77777777" w:rsidR="0044575F" w:rsidRPr="00604C75" w:rsidRDefault="0044575F" w:rsidP="00AA7190">
            <w:pPr>
              <w:spacing w:line="221" w:lineRule="auto"/>
              <w:ind w:left="184"/>
              <w:jc w:val="right"/>
              <w:rPr>
                <w:sz w:val="18"/>
                <w:szCs w:val="18"/>
              </w:rPr>
            </w:pPr>
          </w:p>
        </w:tc>
        <w:tc>
          <w:tcPr>
            <w:tcW w:w="1440" w:type="dxa"/>
            <w:vAlign w:val="bottom"/>
          </w:tcPr>
          <w:p w14:paraId="1F76A850" w14:textId="77777777" w:rsidR="0044575F" w:rsidRPr="00604C75" w:rsidRDefault="0044575F" w:rsidP="00AA7190">
            <w:pPr>
              <w:spacing w:line="221" w:lineRule="auto"/>
              <w:ind w:left="184"/>
              <w:jc w:val="right"/>
              <w:rPr>
                <w:sz w:val="18"/>
                <w:szCs w:val="18"/>
              </w:rPr>
            </w:pPr>
          </w:p>
        </w:tc>
      </w:tr>
      <w:tr w:rsidR="00224102" w:rsidRPr="00604C75" w14:paraId="30214E78" w14:textId="77777777" w:rsidTr="00C0642B">
        <w:trPr>
          <w:cantSplit/>
          <w:trHeight w:val="22"/>
        </w:trPr>
        <w:tc>
          <w:tcPr>
            <w:tcW w:w="3938" w:type="dxa"/>
            <w:vAlign w:val="bottom"/>
          </w:tcPr>
          <w:p w14:paraId="45CCBC63" w14:textId="77777777" w:rsidR="00224102" w:rsidRPr="00604C75" w:rsidRDefault="00224102" w:rsidP="00224102">
            <w:pPr>
              <w:spacing w:line="221" w:lineRule="auto"/>
              <w:ind w:left="184" w:hanging="172"/>
              <w:rPr>
                <w:rFonts w:eastAsia="Arial Unicode MS"/>
                <w:sz w:val="18"/>
              </w:rPr>
            </w:pPr>
            <w:r w:rsidRPr="00604C75">
              <w:rPr>
                <w:sz w:val="18"/>
                <w:szCs w:val="18"/>
              </w:rPr>
              <w:t>Letters of Guarantee (*)</w:t>
            </w:r>
          </w:p>
        </w:tc>
        <w:tc>
          <w:tcPr>
            <w:tcW w:w="1438" w:type="dxa"/>
            <w:vAlign w:val="bottom"/>
          </w:tcPr>
          <w:p w14:paraId="5A64040B" w14:textId="33E728D0" w:rsidR="00224102" w:rsidRPr="00692926" w:rsidRDefault="00224102" w:rsidP="00224102">
            <w:pPr>
              <w:jc w:val="right"/>
              <w:rPr>
                <w:sz w:val="18"/>
                <w:szCs w:val="18"/>
              </w:rPr>
            </w:pPr>
            <w:r w:rsidRPr="00692926">
              <w:rPr>
                <w:sz w:val="18"/>
                <w:szCs w:val="18"/>
              </w:rPr>
              <w:t>1,278,577</w:t>
            </w:r>
          </w:p>
        </w:tc>
        <w:tc>
          <w:tcPr>
            <w:tcW w:w="1440" w:type="dxa"/>
            <w:vAlign w:val="bottom"/>
          </w:tcPr>
          <w:p w14:paraId="49FC1148" w14:textId="43827E3A" w:rsidR="00224102" w:rsidRPr="00692926" w:rsidRDefault="00224102" w:rsidP="00224102">
            <w:pPr>
              <w:jc w:val="right"/>
              <w:rPr>
                <w:sz w:val="18"/>
                <w:szCs w:val="18"/>
              </w:rPr>
            </w:pPr>
            <w:r w:rsidRPr="00692926">
              <w:rPr>
                <w:sz w:val="18"/>
                <w:szCs w:val="18"/>
              </w:rPr>
              <w:t>566,548</w:t>
            </w:r>
          </w:p>
        </w:tc>
        <w:tc>
          <w:tcPr>
            <w:tcW w:w="1438" w:type="dxa"/>
            <w:vAlign w:val="bottom"/>
          </w:tcPr>
          <w:p w14:paraId="662FD796" w14:textId="016C7021" w:rsidR="00224102" w:rsidRPr="00692926" w:rsidRDefault="00224102" w:rsidP="00224102">
            <w:pPr>
              <w:jc w:val="right"/>
              <w:rPr>
                <w:sz w:val="18"/>
                <w:szCs w:val="18"/>
              </w:rPr>
            </w:pPr>
            <w:r w:rsidRPr="00692926">
              <w:rPr>
                <w:sz w:val="18"/>
                <w:szCs w:val="18"/>
              </w:rPr>
              <w:t>8,260</w:t>
            </w:r>
          </w:p>
        </w:tc>
        <w:tc>
          <w:tcPr>
            <w:tcW w:w="1440" w:type="dxa"/>
            <w:vAlign w:val="bottom"/>
          </w:tcPr>
          <w:p w14:paraId="546E8CED" w14:textId="496132BA" w:rsidR="00224102" w:rsidRPr="00692926" w:rsidRDefault="00224102" w:rsidP="00224102">
            <w:pPr>
              <w:jc w:val="right"/>
              <w:rPr>
                <w:sz w:val="18"/>
                <w:szCs w:val="18"/>
              </w:rPr>
            </w:pPr>
            <w:r w:rsidRPr="00692926">
              <w:rPr>
                <w:sz w:val="18"/>
                <w:szCs w:val="18"/>
              </w:rPr>
              <w:t>621</w:t>
            </w:r>
          </w:p>
        </w:tc>
      </w:tr>
      <w:tr w:rsidR="00224102" w:rsidRPr="00604C75" w14:paraId="740A5B00" w14:textId="77777777" w:rsidTr="00C0642B">
        <w:trPr>
          <w:cantSplit/>
          <w:trHeight w:val="22"/>
        </w:trPr>
        <w:tc>
          <w:tcPr>
            <w:tcW w:w="3938" w:type="dxa"/>
            <w:vAlign w:val="bottom"/>
          </w:tcPr>
          <w:p w14:paraId="08CC1A6E" w14:textId="77777777" w:rsidR="00224102" w:rsidRPr="00604C75" w:rsidRDefault="00224102" w:rsidP="00224102">
            <w:pPr>
              <w:spacing w:line="221" w:lineRule="auto"/>
              <w:ind w:left="184" w:hanging="172"/>
              <w:rPr>
                <w:rFonts w:eastAsia="Arial Unicode MS"/>
                <w:sz w:val="18"/>
              </w:rPr>
            </w:pPr>
            <w:r w:rsidRPr="00604C75">
              <w:rPr>
                <w:sz w:val="18"/>
                <w:szCs w:val="18"/>
              </w:rPr>
              <w:t>Bank Acceptances</w:t>
            </w:r>
          </w:p>
        </w:tc>
        <w:tc>
          <w:tcPr>
            <w:tcW w:w="1438" w:type="dxa"/>
            <w:vAlign w:val="bottom"/>
          </w:tcPr>
          <w:p w14:paraId="191E905B" w14:textId="32BD37A0" w:rsidR="00224102" w:rsidRPr="00692926" w:rsidRDefault="00224102" w:rsidP="00224102">
            <w:pPr>
              <w:jc w:val="right"/>
              <w:rPr>
                <w:sz w:val="18"/>
                <w:szCs w:val="18"/>
              </w:rPr>
            </w:pPr>
            <w:r w:rsidRPr="00692926">
              <w:rPr>
                <w:sz w:val="18"/>
                <w:szCs w:val="18"/>
              </w:rPr>
              <w:t>-</w:t>
            </w:r>
          </w:p>
        </w:tc>
        <w:tc>
          <w:tcPr>
            <w:tcW w:w="1440" w:type="dxa"/>
            <w:vAlign w:val="bottom"/>
          </w:tcPr>
          <w:p w14:paraId="4494B4D8" w14:textId="003DA956" w:rsidR="00224102" w:rsidRPr="00692926" w:rsidRDefault="00224102" w:rsidP="00224102">
            <w:pPr>
              <w:jc w:val="right"/>
              <w:rPr>
                <w:sz w:val="18"/>
                <w:szCs w:val="18"/>
              </w:rPr>
            </w:pPr>
            <w:r w:rsidRPr="00692926">
              <w:rPr>
                <w:sz w:val="18"/>
                <w:szCs w:val="18"/>
              </w:rPr>
              <w:t>43,905</w:t>
            </w:r>
          </w:p>
        </w:tc>
        <w:tc>
          <w:tcPr>
            <w:tcW w:w="1438" w:type="dxa"/>
            <w:vAlign w:val="bottom"/>
          </w:tcPr>
          <w:p w14:paraId="17EAAEBE" w14:textId="0E7341AC" w:rsidR="00224102" w:rsidRPr="00692926" w:rsidRDefault="00224102" w:rsidP="00224102">
            <w:pPr>
              <w:jc w:val="right"/>
              <w:rPr>
                <w:sz w:val="18"/>
                <w:szCs w:val="18"/>
              </w:rPr>
            </w:pPr>
            <w:r w:rsidRPr="00692926">
              <w:rPr>
                <w:sz w:val="18"/>
                <w:szCs w:val="18"/>
              </w:rPr>
              <w:t>-</w:t>
            </w:r>
          </w:p>
        </w:tc>
        <w:tc>
          <w:tcPr>
            <w:tcW w:w="1440" w:type="dxa"/>
            <w:vAlign w:val="bottom"/>
          </w:tcPr>
          <w:p w14:paraId="213E748F" w14:textId="1FB60959" w:rsidR="00224102" w:rsidRPr="00692926" w:rsidRDefault="00224102" w:rsidP="00224102">
            <w:pPr>
              <w:jc w:val="right"/>
              <w:rPr>
                <w:sz w:val="18"/>
                <w:szCs w:val="18"/>
              </w:rPr>
            </w:pPr>
            <w:r w:rsidRPr="00692926">
              <w:rPr>
                <w:sz w:val="18"/>
                <w:szCs w:val="18"/>
              </w:rPr>
              <w:t>-</w:t>
            </w:r>
          </w:p>
        </w:tc>
      </w:tr>
      <w:tr w:rsidR="00224102" w:rsidRPr="00604C75" w14:paraId="4B773B1D" w14:textId="77777777" w:rsidTr="00C0642B">
        <w:trPr>
          <w:cantSplit/>
          <w:trHeight w:val="22"/>
        </w:trPr>
        <w:tc>
          <w:tcPr>
            <w:tcW w:w="3938" w:type="dxa"/>
            <w:vAlign w:val="bottom"/>
          </w:tcPr>
          <w:p w14:paraId="4C521306" w14:textId="77777777" w:rsidR="00224102" w:rsidRPr="00604C75" w:rsidRDefault="00224102" w:rsidP="00224102">
            <w:pPr>
              <w:spacing w:line="221" w:lineRule="auto"/>
              <w:ind w:left="184" w:hanging="172"/>
              <w:rPr>
                <w:rFonts w:eastAsia="Arial Unicode MS"/>
                <w:sz w:val="18"/>
              </w:rPr>
            </w:pPr>
            <w:r w:rsidRPr="00604C75">
              <w:rPr>
                <w:sz w:val="18"/>
                <w:szCs w:val="18"/>
              </w:rPr>
              <w:t>Letters of Credit</w:t>
            </w:r>
          </w:p>
        </w:tc>
        <w:tc>
          <w:tcPr>
            <w:tcW w:w="1438" w:type="dxa"/>
            <w:vAlign w:val="bottom"/>
          </w:tcPr>
          <w:p w14:paraId="03B0A91F" w14:textId="5483161C" w:rsidR="00224102" w:rsidRPr="00692926" w:rsidRDefault="00224102" w:rsidP="00224102">
            <w:pPr>
              <w:jc w:val="right"/>
              <w:rPr>
                <w:sz w:val="18"/>
                <w:szCs w:val="18"/>
              </w:rPr>
            </w:pPr>
            <w:r w:rsidRPr="00692926">
              <w:rPr>
                <w:sz w:val="18"/>
                <w:szCs w:val="18"/>
              </w:rPr>
              <w:t>-</w:t>
            </w:r>
          </w:p>
        </w:tc>
        <w:tc>
          <w:tcPr>
            <w:tcW w:w="1440" w:type="dxa"/>
            <w:vAlign w:val="bottom"/>
          </w:tcPr>
          <w:p w14:paraId="2B54B8DE" w14:textId="04A9A155" w:rsidR="00224102" w:rsidRPr="00692926" w:rsidRDefault="00224102" w:rsidP="00224102">
            <w:pPr>
              <w:jc w:val="right"/>
              <w:rPr>
                <w:sz w:val="18"/>
                <w:szCs w:val="18"/>
              </w:rPr>
            </w:pPr>
            <w:r w:rsidRPr="00692926">
              <w:rPr>
                <w:sz w:val="18"/>
                <w:szCs w:val="18"/>
              </w:rPr>
              <w:t>361,578</w:t>
            </w:r>
          </w:p>
        </w:tc>
        <w:tc>
          <w:tcPr>
            <w:tcW w:w="1438" w:type="dxa"/>
            <w:vAlign w:val="bottom"/>
          </w:tcPr>
          <w:p w14:paraId="6C44F5BC" w14:textId="40C1EE2D" w:rsidR="00224102" w:rsidRPr="00692926" w:rsidRDefault="00224102" w:rsidP="00224102">
            <w:pPr>
              <w:jc w:val="right"/>
              <w:rPr>
                <w:sz w:val="18"/>
                <w:szCs w:val="18"/>
              </w:rPr>
            </w:pPr>
            <w:r w:rsidRPr="00692926">
              <w:rPr>
                <w:sz w:val="18"/>
                <w:szCs w:val="18"/>
              </w:rPr>
              <w:t>-</w:t>
            </w:r>
          </w:p>
        </w:tc>
        <w:tc>
          <w:tcPr>
            <w:tcW w:w="1440" w:type="dxa"/>
            <w:vAlign w:val="bottom"/>
          </w:tcPr>
          <w:p w14:paraId="2C942C60" w14:textId="6F7A2797" w:rsidR="00224102" w:rsidRPr="00692926" w:rsidRDefault="00224102" w:rsidP="00224102">
            <w:pPr>
              <w:jc w:val="right"/>
              <w:rPr>
                <w:sz w:val="18"/>
                <w:szCs w:val="18"/>
              </w:rPr>
            </w:pPr>
            <w:r w:rsidRPr="00692926">
              <w:rPr>
                <w:sz w:val="18"/>
                <w:szCs w:val="18"/>
              </w:rPr>
              <w:t>664</w:t>
            </w:r>
          </w:p>
        </w:tc>
      </w:tr>
      <w:tr w:rsidR="00224102" w:rsidRPr="00604C75" w14:paraId="16374710" w14:textId="77777777" w:rsidTr="00C0642B">
        <w:trPr>
          <w:cantSplit/>
          <w:trHeight w:val="22"/>
        </w:trPr>
        <w:tc>
          <w:tcPr>
            <w:tcW w:w="3938" w:type="dxa"/>
            <w:vAlign w:val="bottom"/>
          </w:tcPr>
          <w:p w14:paraId="38239204" w14:textId="77777777" w:rsidR="00224102" w:rsidRPr="00604C75" w:rsidRDefault="00224102" w:rsidP="00224102">
            <w:pPr>
              <w:spacing w:line="221" w:lineRule="auto"/>
              <w:ind w:left="184" w:hanging="172"/>
              <w:rPr>
                <w:rFonts w:eastAsia="Arial Unicode MS"/>
                <w:sz w:val="18"/>
              </w:rPr>
            </w:pPr>
            <w:r w:rsidRPr="00604C75">
              <w:rPr>
                <w:sz w:val="18"/>
                <w:szCs w:val="18"/>
              </w:rPr>
              <w:t>Endorsements</w:t>
            </w:r>
          </w:p>
        </w:tc>
        <w:tc>
          <w:tcPr>
            <w:tcW w:w="1438" w:type="dxa"/>
            <w:vAlign w:val="bottom"/>
          </w:tcPr>
          <w:p w14:paraId="47A56C0F" w14:textId="0FBCABA6" w:rsidR="00224102" w:rsidRPr="00692926" w:rsidRDefault="00224102" w:rsidP="00224102">
            <w:pPr>
              <w:jc w:val="right"/>
              <w:rPr>
                <w:sz w:val="18"/>
                <w:szCs w:val="18"/>
              </w:rPr>
            </w:pPr>
            <w:r w:rsidRPr="00692926">
              <w:rPr>
                <w:sz w:val="18"/>
                <w:szCs w:val="18"/>
              </w:rPr>
              <w:t>-</w:t>
            </w:r>
          </w:p>
        </w:tc>
        <w:tc>
          <w:tcPr>
            <w:tcW w:w="1440" w:type="dxa"/>
            <w:vAlign w:val="bottom"/>
          </w:tcPr>
          <w:p w14:paraId="302F55AA" w14:textId="45551C38" w:rsidR="00224102" w:rsidRPr="00692926" w:rsidRDefault="00224102" w:rsidP="00224102">
            <w:pPr>
              <w:jc w:val="right"/>
              <w:rPr>
                <w:sz w:val="18"/>
                <w:szCs w:val="18"/>
              </w:rPr>
            </w:pPr>
            <w:r w:rsidRPr="00692926">
              <w:rPr>
                <w:sz w:val="18"/>
                <w:szCs w:val="18"/>
              </w:rPr>
              <w:t>-</w:t>
            </w:r>
          </w:p>
        </w:tc>
        <w:tc>
          <w:tcPr>
            <w:tcW w:w="1438" w:type="dxa"/>
            <w:vAlign w:val="bottom"/>
          </w:tcPr>
          <w:p w14:paraId="22F628E9" w14:textId="3FDADD23" w:rsidR="00224102" w:rsidRPr="00692926" w:rsidRDefault="00224102" w:rsidP="00224102">
            <w:pPr>
              <w:jc w:val="right"/>
              <w:rPr>
                <w:sz w:val="18"/>
                <w:szCs w:val="18"/>
              </w:rPr>
            </w:pPr>
            <w:r w:rsidRPr="00692926">
              <w:rPr>
                <w:sz w:val="18"/>
                <w:szCs w:val="18"/>
              </w:rPr>
              <w:t>-</w:t>
            </w:r>
          </w:p>
        </w:tc>
        <w:tc>
          <w:tcPr>
            <w:tcW w:w="1440" w:type="dxa"/>
            <w:vAlign w:val="bottom"/>
          </w:tcPr>
          <w:p w14:paraId="588C376D" w14:textId="3C9E46BD" w:rsidR="00224102" w:rsidRPr="00692926" w:rsidRDefault="00224102" w:rsidP="00224102">
            <w:pPr>
              <w:jc w:val="right"/>
              <w:rPr>
                <w:sz w:val="18"/>
                <w:szCs w:val="18"/>
              </w:rPr>
            </w:pPr>
            <w:r w:rsidRPr="00692926">
              <w:rPr>
                <w:sz w:val="18"/>
                <w:szCs w:val="18"/>
              </w:rPr>
              <w:t>-</w:t>
            </w:r>
          </w:p>
        </w:tc>
      </w:tr>
      <w:tr w:rsidR="00224102" w:rsidRPr="00604C75" w14:paraId="1ED7E830" w14:textId="77777777" w:rsidTr="00C0642B">
        <w:trPr>
          <w:cantSplit/>
          <w:trHeight w:val="22"/>
        </w:trPr>
        <w:tc>
          <w:tcPr>
            <w:tcW w:w="3938" w:type="dxa"/>
            <w:vAlign w:val="bottom"/>
          </w:tcPr>
          <w:p w14:paraId="61ADEAF5" w14:textId="77777777" w:rsidR="00224102" w:rsidRPr="00604C75" w:rsidRDefault="00224102" w:rsidP="00224102">
            <w:pPr>
              <w:spacing w:line="221" w:lineRule="auto"/>
              <w:ind w:left="184" w:hanging="172"/>
              <w:rPr>
                <w:rFonts w:eastAsia="Arial Unicode MS"/>
                <w:sz w:val="18"/>
              </w:rPr>
            </w:pPr>
            <w:r w:rsidRPr="00604C75">
              <w:rPr>
                <w:sz w:val="18"/>
                <w:szCs w:val="18"/>
              </w:rPr>
              <w:t>Underwriting Commitments</w:t>
            </w:r>
          </w:p>
        </w:tc>
        <w:tc>
          <w:tcPr>
            <w:tcW w:w="1438" w:type="dxa"/>
            <w:vAlign w:val="bottom"/>
          </w:tcPr>
          <w:p w14:paraId="681B910B" w14:textId="421FABB5" w:rsidR="00224102" w:rsidRPr="00692926" w:rsidRDefault="00224102" w:rsidP="00224102">
            <w:pPr>
              <w:jc w:val="right"/>
              <w:rPr>
                <w:sz w:val="18"/>
                <w:szCs w:val="18"/>
              </w:rPr>
            </w:pPr>
            <w:r w:rsidRPr="00692926">
              <w:rPr>
                <w:sz w:val="18"/>
                <w:szCs w:val="18"/>
              </w:rPr>
              <w:t>-</w:t>
            </w:r>
          </w:p>
        </w:tc>
        <w:tc>
          <w:tcPr>
            <w:tcW w:w="1440" w:type="dxa"/>
            <w:vAlign w:val="bottom"/>
          </w:tcPr>
          <w:p w14:paraId="04983D40" w14:textId="4687EA3D" w:rsidR="00224102" w:rsidRPr="00692926" w:rsidRDefault="00224102" w:rsidP="00224102">
            <w:pPr>
              <w:jc w:val="right"/>
              <w:rPr>
                <w:sz w:val="18"/>
                <w:szCs w:val="18"/>
              </w:rPr>
            </w:pPr>
            <w:r w:rsidRPr="00692926">
              <w:rPr>
                <w:sz w:val="18"/>
                <w:szCs w:val="18"/>
              </w:rPr>
              <w:t>-</w:t>
            </w:r>
          </w:p>
        </w:tc>
        <w:tc>
          <w:tcPr>
            <w:tcW w:w="1438" w:type="dxa"/>
            <w:vAlign w:val="bottom"/>
          </w:tcPr>
          <w:p w14:paraId="5F726317" w14:textId="04760ED5" w:rsidR="00224102" w:rsidRPr="00692926" w:rsidRDefault="00224102" w:rsidP="00224102">
            <w:pPr>
              <w:jc w:val="right"/>
              <w:rPr>
                <w:sz w:val="18"/>
                <w:szCs w:val="18"/>
              </w:rPr>
            </w:pPr>
            <w:r w:rsidRPr="00692926">
              <w:rPr>
                <w:sz w:val="18"/>
                <w:szCs w:val="18"/>
              </w:rPr>
              <w:t>-</w:t>
            </w:r>
          </w:p>
        </w:tc>
        <w:tc>
          <w:tcPr>
            <w:tcW w:w="1440" w:type="dxa"/>
            <w:vAlign w:val="bottom"/>
          </w:tcPr>
          <w:p w14:paraId="425054F4" w14:textId="32B62010" w:rsidR="00224102" w:rsidRPr="00692926" w:rsidRDefault="00224102" w:rsidP="00224102">
            <w:pPr>
              <w:jc w:val="right"/>
              <w:rPr>
                <w:sz w:val="18"/>
                <w:szCs w:val="18"/>
              </w:rPr>
            </w:pPr>
            <w:r w:rsidRPr="00692926">
              <w:rPr>
                <w:sz w:val="18"/>
                <w:szCs w:val="18"/>
              </w:rPr>
              <w:t>-</w:t>
            </w:r>
          </w:p>
        </w:tc>
      </w:tr>
      <w:tr w:rsidR="00224102" w:rsidRPr="00604C75" w14:paraId="27C53549" w14:textId="77777777" w:rsidTr="00C0642B">
        <w:trPr>
          <w:cantSplit/>
          <w:trHeight w:val="22"/>
        </w:trPr>
        <w:tc>
          <w:tcPr>
            <w:tcW w:w="3938" w:type="dxa"/>
            <w:vAlign w:val="bottom"/>
          </w:tcPr>
          <w:p w14:paraId="5BF34138" w14:textId="77777777" w:rsidR="00224102" w:rsidRPr="00604C75" w:rsidRDefault="00224102" w:rsidP="00224102">
            <w:pPr>
              <w:spacing w:line="221" w:lineRule="auto"/>
              <w:ind w:left="184" w:hanging="172"/>
              <w:rPr>
                <w:sz w:val="18"/>
              </w:rPr>
            </w:pPr>
            <w:r w:rsidRPr="00604C75">
              <w:rPr>
                <w:sz w:val="18"/>
                <w:szCs w:val="18"/>
              </w:rPr>
              <w:t>Factoring Guarantees</w:t>
            </w:r>
          </w:p>
        </w:tc>
        <w:tc>
          <w:tcPr>
            <w:tcW w:w="1438" w:type="dxa"/>
            <w:vAlign w:val="bottom"/>
          </w:tcPr>
          <w:p w14:paraId="1E19DBA2" w14:textId="576FB4F2" w:rsidR="00224102" w:rsidRPr="00692926" w:rsidRDefault="00224102" w:rsidP="00224102">
            <w:pPr>
              <w:jc w:val="right"/>
              <w:rPr>
                <w:sz w:val="18"/>
                <w:szCs w:val="18"/>
              </w:rPr>
            </w:pPr>
            <w:r w:rsidRPr="00692926">
              <w:rPr>
                <w:sz w:val="18"/>
                <w:szCs w:val="18"/>
              </w:rPr>
              <w:t>-</w:t>
            </w:r>
          </w:p>
        </w:tc>
        <w:tc>
          <w:tcPr>
            <w:tcW w:w="1440" w:type="dxa"/>
            <w:vAlign w:val="bottom"/>
          </w:tcPr>
          <w:p w14:paraId="610BAAF8" w14:textId="326309B7" w:rsidR="00224102" w:rsidRPr="00692926" w:rsidRDefault="00224102" w:rsidP="00224102">
            <w:pPr>
              <w:jc w:val="right"/>
              <w:rPr>
                <w:sz w:val="18"/>
                <w:szCs w:val="18"/>
              </w:rPr>
            </w:pPr>
            <w:r w:rsidRPr="00692926">
              <w:rPr>
                <w:sz w:val="18"/>
                <w:szCs w:val="18"/>
              </w:rPr>
              <w:t>-</w:t>
            </w:r>
          </w:p>
        </w:tc>
        <w:tc>
          <w:tcPr>
            <w:tcW w:w="1438" w:type="dxa"/>
            <w:vAlign w:val="bottom"/>
          </w:tcPr>
          <w:p w14:paraId="17AAD31F" w14:textId="5671A6E0" w:rsidR="00224102" w:rsidRPr="00692926" w:rsidRDefault="00224102" w:rsidP="00224102">
            <w:pPr>
              <w:jc w:val="right"/>
              <w:rPr>
                <w:sz w:val="18"/>
                <w:szCs w:val="18"/>
              </w:rPr>
            </w:pPr>
            <w:r w:rsidRPr="00692926">
              <w:rPr>
                <w:sz w:val="18"/>
                <w:szCs w:val="18"/>
              </w:rPr>
              <w:t>-</w:t>
            </w:r>
          </w:p>
        </w:tc>
        <w:tc>
          <w:tcPr>
            <w:tcW w:w="1440" w:type="dxa"/>
            <w:vAlign w:val="bottom"/>
          </w:tcPr>
          <w:p w14:paraId="0F721CBD" w14:textId="0157F0BE" w:rsidR="00224102" w:rsidRPr="00692926" w:rsidRDefault="00224102" w:rsidP="00224102">
            <w:pPr>
              <w:jc w:val="right"/>
              <w:rPr>
                <w:sz w:val="18"/>
                <w:szCs w:val="18"/>
              </w:rPr>
            </w:pPr>
            <w:r w:rsidRPr="00692926">
              <w:rPr>
                <w:sz w:val="18"/>
                <w:szCs w:val="18"/>
              </w:rPr>
              <w:t>-</w:t>
            </w:r>
          </w:p>
        </w:tc>
      </w:tr>
      <w:tr w:rsidR="00224102" w:rsidRPr="00604C75" w14:paraId="6867E426" w14:textId="77777777" w:rsidTr="00C0642B">
        <w:trPr>
          <w:cantSplit/>
          <w:trHeight w:val="22"/>
        </w:trPr>
        <w:tc>
          <w:tcPr>
            <w:tcW w:w="3938" w:type="dxa"/>
            <w:vAlign w:val="bottom"/>
          </w:tcPr>
          <w:p w14:paraId="5399F4F4" w14:textId="77777777" w:rsidR="00224102" w:rsidRPr="00604C75" w:rsidRDefault="00224102" w:rsidP="00224102">
            <w:pPr>
              <w:spacing w:line="221" w:lineRule="auto"/>
              <w:ind w:left="184" w:hanging="172"/>
              <w:rPr>
                <w:sz w:val="18"/>
              </w:rPr>
            </w:pPr>
            <w:r w:rsidRPr="00604C75">
              <w:rPr>
                <w:sz w:val="18"/>
                <w:szCs w:val="18"/>
              </w:rPr>
              <w:t>Other Commitments and Contingencies</w:t>
            </w:r>
          </w:p>
        </w:tc>
        <w:tc>
          <w:tcPr>
            <w:tcW w:w="1438" w:type="dxa"/>
            <w:vAlign w:val="bottom"/>
          </w:tcPr>
          <w:p w14:paraId="545720C3" w14:textId="1CA810E7" w:rsidR="00224102" w:rsidRPr="00692926" w:rsidRDefault="00224102" w:rsidP="00224102">
            <w:pPr>
              <w:jc w:val="right"/>
              <w:rPr>
                <w:sz w:val="18"/>
                <w:szCs w:val="18"/>
              </w:rPr>
            </w:pPr>
            <w:r w:rsidRPr="00692926">
              <w:rPr>
                <w:sz w:val="18"/>
                <w:szCs w:val="18"/>
              </w:rPr>
              <w:t>-</w:t>
            </w:r>
          </w:p>
        </w:tc>
        <w:tc>
          <w:tcPr>
            <w:tcW w:w="1440" w:type="dxa"/>
            <w:vAlign w:val="bottom"/>
          </w:tcPr>
          <w:p w14:paraId="2D90B6CD" w14:textId="09AA4CAB" w:rsidR="00224102" w:rsidRPr="00692926" w:rsidRDefault="00224102" w:rsidP="00224102">
            <w:pPr>
              <w:jc w:val="right"/>
              <w:rPr>
                <w:sz w:val="18"/>
                <w:szCs w:val="18"/>
              </w:rPr>
            </w:pPr>
            <w:r w:rsidRPr="00692926">
              <w:rPr>
                <w:sz w:val="18"/>
                <w:szCs w:val="18"/>
              </w:rPr>
              <w:t>12,776</w:t>
            </w:r>
          </w:p>
        </w:tc>
        <w:tc>
          <w:tcPr>
            <w:tcW w:w="1438" w:type="dxa"/>
            <w:vAlign w:val="bottom"/>
          </w:tcPr>
          <w:p w14:paraId="23C1A7C6" w14:textId="2B8FE523" w:rsidR="00224102" w:rsidRPr="00692926" w:rsidRDefault="00224102" w:rsidP="00224102">
            <w:pPr>
              <w:jc w:val="right"/>
              <w:rPr>
                <w:sz w:val="18"/>
                <w:szCs w:val="18"/>
              </w:rPr>
            </w:pPr>
            <w:r w:rsidRPr="00692926">
              <w:rPr>
                <w:sz w:val="18"/>
                <w:szCs w:val="18"/>
              </w:rPr>
              <w:t>-</w:t>
            </w:r>
          </w:p>
        </w:tc>
        <w:tc>
          <w:tcPr>
            <w:tcW w:w="1440" w:type="dxa"/>
            <w:vAlign w:val="bottom"/>
          </w:tcPr>
          <w:p w14:paraId="574E0D7A" w14:textId="696DB3FB" w:rsidR="00224102" w:rsidRPr="00692926" w:rsidRDefault="00224102" w:rsidP="00224102">
            <w:pPr>
              <w:jc w:val="right"/>
              <w:rPr>
                <w:sz w:val="18"/>
                <w:szCs w:val="18"/>
              </w:rPr>
            </w:pPr>
            <w:r w:rsidRPr="00692926">
              <w:rPr>
                <w:sz w:val="18"/>
                <w:szCs w:val="18"/>
              </w:rPr>
              <w:t>-</w:t>
            </w:r>
          </w:p>
        </w:tc>
      </w:tr>
      <w:tr w:rsidR="00224102" w:rsidRPr="00604C75" w14:paraId="6BA28BE0" w14:textId="77777777" w:rsidTr="00C0642B">
        <w:trPr>
          <w:cantSplit/>
          <w:trHeight w:val="22"/>
        </w:trPr>
        <w:tc>
          <w:tcPr>
            <w:tcW w:w="3938" w:type="dxa"/>
            <w:vAlign w:val="bottom"/>
          </w:tcPr>
          <w:p w14:paraId="74A8760B" w14:textId="77777777" w:rsidR="00224102" w:rsidRPr="00604C75" w:rsidRDefault="00224102" w:rsidP="00224102">
            <w:pPr>
              <w:spacing w:line="221" w:lineRule="auto"/>
              <w:ind w:left="184" w:hanging="172"/>
              <w:rPr>
                <w:rFonts w:eastAsia="Arial Unicode MS"/>
                <w:b/>
                <w:sz w:val="18"/>
              </w:rPr>
            </w:pPr>
            <w:r w:rsidRPr="00604C75">
              <w:rPr>
                <w:rFonts w:eastAsia="Arial Unicode MS"/>
                <w:b/>
                <w:sz w:val="18"/>
              </w:rPr>
              <w:t>Total</w:t>
            </w:r>
          </w:p>
        </w:tc>
        <w:tc>
          <w:tcPr>
            <w:tcW w:w="1438" w:type="dxa"/>
            <w:vAlign w:val="bottom"/>
          </w:tcPr>
          <w:p w14:paraId="7DC587F1" w14:textId="5148F94F" w:rsidR="00224102" w:rsidRPr="00692926" w:rsidRDefault="00224102" w:rsidP="00224102">
            <w:pPr>
              <w:jc w:val="right"/>
              <w:rPr>
                <w:b/>
                <w:sz w:val="18"/>
                <w:szCs w:val="18"/>
              </w:rPr>
            </w:pPr>
            <w:r w:rsidRPr="00692926">
              <w:rPr>
                <w:b/>
                <w:sz w:val="18"/>
                <w:szCs w:val="18"/>
              </w:rPr>
              <w:t>1,278,577</w:t>
            </w:r>
          </w:p>
        </w:tc>
        <w:tc>
          <w:tcPr>
            <w:tcW w:w="1440" w:type="dxa"/>
            <w:vAlign w:val="bottom"/>
          </w:tcPr>
          <w:p w14:paraId="1DFD23CF" w14:textId="16AA6D30" w:rsidR="00224102" w:rsidRPr="00692926" w:rsidRDefault="00224102" w:rsidP="00224102">
            <w:pPr>
              <w:jc w:val="right"/>
              <w:rPr>
                <w:b/>
                <w:sz w:val="18"/>
                <w:szCs w:val="18"/>
              </w:rPr>
            </w:pPr>
            <w:r w:rsidRPr="00692926">
              <w:rPr>
                <w:b/>
                <w:sz w:val="18"/>
                <w:szCs w:val="18"/>
              </w:rPr>
              <w:t>984,807</w:t>
            </w:r>
          </w:p>
        </w:tc>
        <w:tc>
          <w:tcPr>
            <w:tcW w:w="1438" w:type="dxa"/>
            <w:vAlign w:val="bottom"/>
          </w:tcPr>
          <w:p w14:paraId="13538E66" w14:textId="56734CB7" w:rsidR="00224102" w:rsidRPr="00692926" w:rsidRDefault="00224102" w:rsidP="00224102">
            <w:pPr>
              <w:jc w:val="right"/>
              <w:rPr>
                <w:b/>
                <w:sz w:val="18"/>
                <w:szCs w:val="18"/>
              </w:rPr>
            </w:pPr>
            <w:r w:rsidRPr="00692926">
              <w:rPr>
                <w:b/>
                <w:sz w:val="18"/>
                <w:szCs w:val="18"/>
              </w:rPr>
              <w:t>8,260</w:t>
            </w:r>
          </w:p>
        </w:tc>
        <w:tc>
          <w:tcPr>
            <w:tcW w:w="1440" w:type="dxa"/>
            <w:vAlign w:val="bottom"/>
          </w:tcPr>
          <w:p w14:paraId="078A9C80" w14:textId="25E0FF8D" w:rsidR="00224102" w:rsidRPr="00692926" w:rsidRDefault="00224102" w:rsidP="00224102">
            <w:pPr>
              <w:jc w:val="right"/>
              <w:rPr>
                <w:b/>
                <w:sz w:val="18"/>
                <w:szCs w:val="18"/>
              </w:rPr>
            </w:pPr>
            <w:r w:rsidRPr="00692926">
              <w:rPr>
                <w:b/>
                <w:sz w:val="18"/>
                <w:szCs w:val="18"/>
              </w:rPr>
              <w:t>1,285</w:t>
            </w:r>
          </w:p>
        </w:tc>
      </w:tr>
    </w:tbl>
    <w:p w14:paraId="55DD051D" w14:textId="4EEC1DBC" w:rsidR="00D65E4C" w:rsidRPr="00604C75" w:rsidRDefault="00A92FB2" w:rsidP="00CD0767">
      <w:pPr>
        <w:spacing w:before="60" w:line="221" w:lineRule="auto"/>
        <w:rPr>
          <w:bCs/>
          <w:sz w:val="18"/>
          <w:szCs w:val="18"/>
        </w:rPr>
      </w:pPr>
      <w:r w:rsidRPr="00604C75">
        <w:rPr>
          <w:bCs/>
          <w:sz w:val="18"/>
          <w:szCs w:val="18"/>
        </w:rPr>
        <w:t>(*)</w:t>
      </w:r>
      <w:r w:rsidR="00AA1AA6">
        <w:rPr>
          <w:bCs/>
          <w:sz w:val="18"/>
          <w:szCs w:val="18"/>
        </w:rPr>
        <w:t xml:space="preserve"> </w:t>
      </w:r>
      <w:r w:rsidR="004E099A" w:rsidRPr="00604C75">
        <w:rPr>
          <w:bCs/>
          <w:sz w:val="18"/>
          <w:szCs w:val="18"/>
        </w:rPr>
        <w:t>The amount of n</w:t>
      </w:r>
      <w:r w:rsidR="0044575F" w:rsidRPr="00604C75">
        <w:rPr>
          <w:bCs/>
          <w:sz w:val="18"/>
          <w:szCs w:val="18"/>
        </w:rPr>
        <w:t>on-cash loans of c</w:t>
      </w:r>
      <w:r w:rsidR="004E099A" w:rsidRPr="00604C75">
        <w:rPr>
          <w:bCs/>
          <w:sz w:val="18"/>
          <w:szCs w:val="18"/>
        </w:rPr>
        <w:t>ustomers which were classified as non-performing</w:t>
      </w:r>
      <w:r w:rsidR="00196A0E">
        <w:rPr>
          <w:bCs/>
          <w:sz w:val="18"/>
          <w:szCs w:val="18"/>
        </w:rPr>
        <w:t xml:space="preserve"> receivables</w:t>
      </w:r>
      <w:r w:rsidR="004E099A" w:rsidRPr="00604C75">
        <w:rPr>
          <w:bCs/>
          <w:sz w:val="18"/>
          <w:szCs w:val="18"/>
        </w:rPr>
        <w:t xml:space="preserve"> is</w:t>
      </w:r>
      <w:r w:rsidR="0044575F" w:rsidRPr="00604C75">
        <w:rPr>
          <w:bCs/>
          <w:sz w:val="18"/>
          <w:szCs w:val="18"/>
        </w:rPr>
        <w:t xml:space="preserve"> </w:t>
      </w:r>
      <w:r w:rsidR="00825677" w:rsidRPr="00604C75">
        <w:rPr>
          <w:bCs/>
          <w:sz w:val="18"/>
          <w:szCs w:val="18"/>
        </w:rPr>
        <w:t>TL</w:t>
      </w:r>
      <w:r w:rsidR="007C4556">
        <w:rPr>
          <w:bCs/>
          <w:sz w:val="18"/>
          <w:szCs w:val="18"/>
        </w:rPr>
        <w:t xml:space="preserve"> </w:t>
      </w:r>
      <w:r w:rsidR="003E5AC5">
        <w:rPr>
          <w:bCs/>
          <w:sz w:val="18"/>
          <w:szCs w:val="18"/>
        </w:rPr>
        <w:t xml:space="preserve">42,735 </w:t>
      </w:r>
      <w:r w:rsidR="0044575F" w:rsidRPr="00604C75">
        <w:rPr>
          <w:bCs/>
          <w:sz w:val="18"/>
          <w:szCs w:val="18"/>
        </w:rPr>
        <w:t>(</w:t>
      </w:r>
      <w:r w:rsidR="004F4359" w:rsidRPr="00604C75">
        <w:rPr>
          <w:bCs/>
          <w:sz w:val="18"/>
          <w:szCs w:val="18"/>
        </w:rPr>
        <w:t xml:space="preserve">31 December </w:t>
      </w:r>
      <w:r w:rsidR="0044575F" w:rsidRPr="00604C75">
        <w:rPr>
          <w:bCs/>
          <w:sz w:val="18"/>
          <w:szCs w:val="18"/>
        </w:rPr>
        <w:t>201</w:t>
      </w:r>
      <w:r w:rsidRPr="00604C75">
        <w:rPr>
          <w:bCs/>
          <w:sz w:val="18"/>
          <w:szCs w:val="18"/>
        </w:rPr>
        <w:t>4</w:t>
      </w:r>
      <w:r w:rsidR="0044575F" w:rsidRPr="00604C75">
        <w:rPr>
          <w:bCs/>
          <w:sz w:val="18"/>
          <w:szCs w:val="18"/>
        </w:rPr>
        <w:t xml:space="preserve">: </w:t>
      </w:r>
      <w:r w:rsidR="00825677" w:rsidRPr="00604C75">
        <w:rPr>
          <w:bCs/>
          <w:sz w:val="18"/>
          <w:szCs w:val="18"/>
        </w:rPr>
        <w:t>TL</w:t>
      </w:r>
      <w:r w:rsidR="00DE46CE" w:rsidRPr="00604C75">
        <w:rPr>
          <w:bCs/>
          <w:sz w:val="18"/>
          <w:szCs w:val="18"/>
        </w:rPr>
        <w:t xml:space="preserve"> </w:t>
      </w:r>
      <w:r w:rsidR="009C0320">
        <w:rPr>
          <w:bCs/>
          <w:sz w:val="18"/>
          <w:szCs w:val="18"/>
        </w:rPr>
        <w:t>29,491</w:t>
      </w:r>
      <w:r w:rsidR="002B4B82">
        <w:rPr>
          <w:bCs/>
          <w:sz w:val="18"/>
          <w:szCs w:val="18"/>
        </w:rPr>
        <w:t>).</w:t>
      </w:r>
    </w:p>
    <w:p w14:paraId="1B1A0360" w14:textId="45FB93C8" w:rsidR="00E1482F"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365F1340" w14:textId="207C5C06" w:rsidR="00E1482F" w:rsidRPr="00604C75" w:rsidRDefault="00E1482F" w:rsidP="00490153">
      <w:pPr>
        <w:tabs>
          <w:tab w:val="num" w:pos="709"/>
        </w:tabs>
        <w:spacing w:before="120" w:line="209" w:lineRule="auto"/>
        <w:jc w:val="both"/>
        <w:rPr>
          <w:b/>
          <w:noProof/>
          <w:sz w:val="20"/>
          <w:szCs w:val="20"/>
        </w:rPr>
      </w:pPr>
      <w:r w:rsidRPr="00604C75">
        <w:rPr>
          <w:b/>
          <w:noProof/>
          <w:sz w:val="20"/>
          <w:szCs w:val="20"/>
        </w:rPr>
        <w:t xml:space="preserve">III.  </w:t>
      </w:r>
      <w:r w:rsidR="000C09E6" w:rsidRPr="00604C75">
        <w:rPr>
          <w:b/>
          <w:noProof/>
          <w:sz w:val="20"/>
          <w:szCs w:val="20"/>
        </w:rPr>
        <w:t xml:space="preserve">       Explanations</w:t>
      </w:r>
      <w:r w:rsidR="00884814" w:rsidRPr="00604C75">
        <w:rPr>
          <w:b/>
          <w:noProof/>
          <w:sz w:val="20"/>
          <w:szCs w:val="20"/>
        </w:rPr>
        <w:t xml:space="preserve"> and Notes </w:t>
      </w:r>
      <w:r w:rsidR="00647320">
        <w:rPr>
          <w:b/>
          <w:noProof/>
          <w:sz w:val="20"/>
          <w:szCs w:val="20"/>
        </w:rPr>
        <w:t>on</w:t>
      </w:r>
      <w:r w:rsidR="00802D7D" w:rsidRPr="00604C75">
        <w:rPr>
          <w:b/>
          <w:noProof/>
          <w:sz w:val="20"/>
          <w:szCs w:val="20"/>
        </w:rPr>
        <w:t xml:space="preserve"> </w:t>
      </w:r>
      <w:r w:rsidR="000C09E6" w:rsidRPr="00604C75">
        <w:rPr>
          <w:b/>
          <w:noProof/>
          <w:sz w:val="20"/>
          <w:szCs w:val="20"/>
        </w:rPr>
        <w:t>Off-Balance Sheet Accounts</w:t>
      </w:r>
      <w:r w:rsidR="000C09E6" w:rsidRPr="00604C75" w:rsidDel="000C09E6">
        <w:rPr>
          <w:b/>
          <w:noProof/>
          <w:sz w:val="20"/>
          <w:szCs w:val="20"/>
        </w:rPr>
        <w:t xml:space="preserve"> </w:t>
      </w:r>
      <w:r w:rsidRPr="00604C75">
        <w:rPr>
          <w:b/>
          <w:bCs/>
          <w:sz w:val="20"/>
          <w:szCs w:val="20"/>
        </w:rPr>
        <w:t>(Continued)</w:t>
      </w:r>
    </w:p>
    <w:p w14:paraId="53ECB012" w14:textId="77777777" w:rsidR="0044575F" w:rsidRPr="00604C75" w:rsidRDefault="00D04472" w:rsidP="00490153">
      <w:pPr>
        <w:spacing w:before="120" w:line="221" w:lineRule="auto"/>
        <w:rPr>
          <w:b/>
          <w:bCs/>
          <w:sz w:val="20"/>
          <w:szCs w:val="20"/>
        </w:rPr>
      </w:pPr>
      <w:r w:rsidRPr="00604C75">
        <w:rPr>
          <w:b/>
          <w:bCs/>
          <w:sz w:val="20"/>
          <w:szCs w:val="20"/>
        </w:rPr>
        <w:t>b.</w:t>
      </w:r>
      <w:r w:rsidR="0044575F" w:rsidRPr="00604C75">
        <w:rPr>
          <w:b/>
          <w:bCs/>
          <w:sz w:val="20"/>
          <w:szCs w:val="20"/>
        </w:rPr>
        <w:tab/>
        <w:t>Information on d</w:t>
      </w:r>
      <w:r w:rsidR="00F41842" w:rsidRPr="00604C75">
        <w:rPr>
          <w:b/>
          <w:bCs/>
          <w:sz w:val="20"/>
          <w:szCs w:val="20"/>
        </w:rPr>
        <w:t>erivative financial instruments</w:t>
      </w:r>
    </w:p>
    <w:p w14:paraId="3A2B94F5" w14:textId="77777777" w:rsidR="00D04472" w:rsidRPr="00604C75" w:rsidRDefault="00D04472" w:rsidP="00E1482F">
      <w:pPr>
        <w:spacing w:line="221" w:lineRule="auto"/>
        <w:rPr>
          <w:bCs/>
          <w:sz w:val="16"/>
          <w:szCs w:val="16"/>
        </w:rPr>
      </w:pPr>
    </w:p>
    <w:tbl>
      <w:tblPr>
        <w:tblW w:w="9214" w:type="dxa"/>
        <w:tblInd w:w="3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5191"/>
        <w:gridCol w:w="2011"/>
        <w:gridCol w:w="2012"/>
      </w:tblGrid>
      <w:tr w:rsidR="0044575F" w:rsidRPr="00604C75" w14:paraId="6F93D1EB" w14:textId="77777777" w:rsidTr="00CD0767">
        <w:trPr>
          <w:trHeight w:val="113"/>
        </w:trPr>
        <w:tc>
          <w:tcPr>
            <w:tcW w:w="5191" w:type="dxa"/>
          </w:tcPr>
          <w:p w14:paraId="34FE3C7E" w14:textId="77777777" w:rsidR="0044575F" w:rsidRPr="00604C75" w:rsidRDefault="0044575F" w:rsidP="00E1482F">
            <w:pPr>
              <w:spacing w:line="221" w:lineRule="auto"/>
              <w:jc w:val="right"/>
              <w:rPr>
                <w:snapToGrid w:val="0"/>
                <w:sz w:val="18"/>
              </w:rPr>
            </w:pPr>
          </w:p>
        </w:tc>
        <w:tc>
          <w:tcPr>
            <w:tcW w:w="2011" w:type="dxa"/>
            <w:vAlign w:val="bottom"/>
          </w:tcPr>
          <w:p w14:paraId="18637E2D" w14:textId="77777777" w:rsidR="0044575F" w:rsidRPr="00604C75" w:rsidRDefault="00A877A3" w:rsidP="00CD0767">
            <w:pPr>
              <w:spacing w:line="221" w:lineRule="auto"/>
              <w:jc w:val="center"/>
              <w:rPr>
                <w:rFonts w:eastAsia="Arial Unicode MS"/>
                <w:b/>
                <w:sz w:val="18"/>
                <w:szCs w:val="18"/>
              </w:rPr>
            </w:pPr>
            <w:r>
              <w:rPr>
                <w:b/>
                <w:sz w:val="18"/>
                <w:szCs w:val="18"/>
              </w:rPr>
              <w:t>3</w:t>
            </w:r>
            <w:r w:rsidR="00030943">
              <w:rPr>
                <w:b/>
                <w:sz w:val="18"/>
                <w:szCs w:val="18"/>
              </w:rPr>
              <w:t>1</w:t>
            </w:r>
            <w:r>
              <w:rPr>
                <w:b/>
                <w:sz w:val="18"/>
                <w:szCs w:val="18"/>
              </w:rPr>
              <w:t xml:space="preserve"> </w:t>
            </w:r>
            <w:r w:rsidR="00030943">
              <w:rPr>
                <w:b/>
                <w:sz w:val="18"/>
                <w:szCs w:val="18"/>
              </w:rPr>
              <w:t>December</w:t>
            </w:r>
            <w:r w:rsidR="00030943" w:rsidRPr="00604C75">
              <w:rPr>
                <w:b/>
                <w:sz w:val="18"/>
                <w:szCs w:val="18"/>
              </w:rPr>
              <w:t xml:space="preserve"> </w:t>
            </w:r>
            <w:r w:rsidR="0044575F" w:rsidRPr="00604C75">
              <w:rPr>
                <w:b/>
                <w:sz w:val="18"/>
                <w:szCs w:val="18"/>
              </w:rPr>
              <w:t>201</w:t>
            </w:r>
            <w:r w:rsidR="00E1482F" w:rsidRPr="00604C75">
              <w:rPr>
                <w:b/>
                <w:sz w:val="18"/>
                <w:szCs w:val="18"/>
              </w:rPr>
              <w:t>5</w:t>
            </w:r>
          </w:p>
        </w:tc>
        <w:tc>
          <w:tcPr>
            <w:tcW w:w="2012" w:type="dxa"/>
            <w:vAlign w:val="bottom"/>
          </w:tcPr>
          <w:p w14:paraId="3BEC3401" w14:textId="77777777" w:rsidR="0044575F" w:rsidRPr="00604C75" w:rsidRDefault="00D65E4C" w:rsidP="00CD0767">
            <w:pPr>
              <w:spacing w:line="221" w:lineRule="auto"/>
              <w:jc w:val="center"/>
              <w:rPr>
                <w:rFonts w:eastAsia="Arial Unicode MS"/>
                <w:b/>
                <w:sz w:val="18"/>
                <w:szCs w:val="18"/>
              </w:rPr>
            </w:pPr>
            <w:r w:rsidRPr="00604C75">
              <w:rPr>
                <w:b/>
                <w:sz w:val="18"/>
                <w:szCs w:val="18"/>
              </w:rPr>
              <w:t>31 December 201</w:t>
            </w:r>
            <w:r w:rsidR="00E1482F" w:rsidRPr="00604C75">
              <w:rPr>
                <w:b/>
                <w:sz w:val="18"/>
                <w:szCs w:val="18"/>
              </w:rPr>
              <w:t>4</w:t>
            </w:r>
          </w:p>
        </w:tc>
      </w:tr>
      <w:tr w:rsidR="0044575F" w:rsidRPr="00604C75" w14:paraId="44A216E6" w14:textId="77777777" w:rsidTr="006F5E15">
        <w:trPr>
          <w:trHeight w:val="113"/>
        </w:trPr>
        <w:tc>
          <w:tcPr>
            <w:tcW w:w="5191" w:type="dxa"/>
            <w:vAlign w:val="bottom"/>
          </w:tcPr>
          <w:p w14:paraId="14E9101F" w14:textId="77777777" w:rsidR="0044575F" w:rsidRPr="00604C75" w:rsidRDefault="0044575F" w:rsidP="006F5E15">
            <w:pPr>
              <w:spacing w:line="221" w:lineRule="auto"/>
              <w:rPr>
                <w:b/>
                <w:snapToGrid w:val="0"/>
                <w:sz w:val="18"/>
              </w:rPr>
            </w:pPr>
            <w:r w:rsidRPr="00604C75">
              <w:rPr>
                <w:b/>
                <w:snapToGrid w:val="0"/>
                <w:sz w:val="18"/>
              </w:rPr>
              <w:t>Types of Trading Transactions</w:t>
            </w:r>
          </w:p>
        </w:tc>
        <w:tc>
          <w:tcPr>
            <w:tcW w:w="2011" w:type="dxa"/>
          </w:tcPr>
          <w:p w14:paraId="4C1C3088" w14:textId="77777777" w:rsidR="0044575F" w:rsidRPr="00604C75" w:rsidRDefault="0044575F" w:rsidP="00E1482F">
            <w:pPr>
              <w:spacing w:line="221" w:lineRule="auto"/>
              <w:jc w:val="right"/>
              <w:rPr>
                <w:snapToGrid w:val="0"/>
                <w:sz w:val="18"/>
              </w:rPr>
            </w:pPr>
          </w:p>
        </w:tc>
        <w:tc>
          <w:tcPr>
            <w:tcW w:w="2012" w:type="dxa"/>
          </w:tcPr>
          <w:p w14:paraId="707E9EE1" w14:textId="77777777" w:rsidR="0044575F" w:rsidRPr="00604C75" w:rsidRDefault="0044575F" w:rsidP="00E1482F">
            <w:pPr>
              <w:spacing w:line="221" w:lineRule="auto"/>
              <w:jc w:val="right"/>
              <w:rPr>
                <w:snapToGrid w:val="0"/>
                <w:sz w:val="18"/>
              </w:rPr>
            </w:pPr>
          </w:p>
        </w:tc>
      </w:tr>
      <w:tr w:rsidR="00224102" w:rsidRPr="00604C75" w14:paraId="4597F30B" w14:textId="77777777" w:rsidTr="00677268">
        <w:trPr>
          <w:trHeight w:val="113"/>
        </w:trPr>
        <w:tc>
          <w:tcPr>
            <w:tcW w:w="5191" w:type="dxa"/>
            <w:vAlign w:val="bottom"/>
          </w:tcPr>
          <w:p w14:paraId="19554475" w14:textId="4C2C9F69" w:rsidR="00224102" w:rsidRPr="00604C75" w:rsidRDefault="00224102" w:rsidP="00224102">
            <w:pPr>
              <w:spacing w:line="221" w:lineRule="auto"/>
              <w:rPr>
                <w:b/>
                <w:snapToGrid w:val="0"/>
                <w:sz w:val="18"/>
              </w:rPr>
            </w:pPr>
            <w:r w:rsidRPr="00604C75">
              <w:rPr>
                <w:b/>
                <w:snapToGrid w:val="0"/>
                <w:sz w:val="18"/>
              </w:rPr>
              <w:t xml:space="preserve">Foreign </w:t>
            </w:r>
            <w:r>
              <w:rPr>
                <w:b/>
                <w:snapToGrid w:val="0"/>
                <w:sz w:val="18"/>
              </w:rPr>
              <w:t>C</w:t>
            </w:r>
            <w:r w:rsidRPr="00604C75">
              <w:rPr>
                <w:b/>
                <w:snapToGrid w:val="0"/>
                <w:sz w:val="18"/>
              </w:rPr>
              <w:t xml:space="preserve">urrency </w:t>
            </w:r>
            <w:r>
              <w:rPr>
                <w:b/>
                <w:snapToGrid w:val="0"/>
                <w:sz w:val="18"/>
              </w:rPr>
              <w:t>R</w:t>
            </w:r>
            <w:r w:rsidRPr="00604C75">
              <w:rPr>
                <w:b/>
                <w:snapToGrid w:val="0"/>
                <w:sz w:val="18"/>
              </w:rPr>
              <w:t xml:space="preserve">elated </w:t>
            </w:r>
            <w:r>
              <w:rPr>
                <w:b/>
                <w:snapToGrid w:val="0"/>
                <w:sz w:val="18"/>
              </w:rPr>
              <w:t>D</w:t>
            </w:r>
            <w:r w:rsidRPr="00604C75">
              <w:rPr>
                <w:b/>
                <w:snapToGrid w:val="0"/>
                <w:sz w:val="18"/>
              </w:rPr>
              <w:t xml:space="preserve">erivative </w:t>
            </w:r>
            <w:r>
              <w:rPr>
                <w:b/>
                <w:snapToGrid w:val="0"/>
                <w:sz w:val="18"/>
              </w:rPr>
              <w:t>T</w:t>
            </w:r>
            <w:r w:rsidRPr="00604C75">
              <w:rPr>
                <w:b/>
                <w:snapToGrid w:val="0"/>
                <w:sz w:val="18"/>
              </w:rPr>
              <w:t>ransactions (I)</w:t>
            </w:r>
          </w:p>
        </w:tc>
        <w:tc>
          <w:tcPr>
            <w:tcW w:w="2011" w:type="dxa"/>
            <w:vAlign w:val="bottom"/>
          </w:tcPr>
          <w:p w14:paraId="772FFA3E" w14:textId="7152A8BA" w:rsidR="00224102" w:rsidRPr="00AE1BC6" w:rsidRDefault="00224102" w:rsidP="00224102">
            <w:pPr>
              <w:jc w:val="right"/>
              <w:rPr>
                <w:b/>
                <w:sz w:val="18"/>
                <w:szCs w:val="18"/>
              </w:rPr>
            </w:pPr>
            <w:r>
              <w:rPr>
                <w:b/>
                <w:sz w:val="18"/>
                <w:szCs w:val="18"/>
              </w:rPr>
              <w:t>9,517,562</w:t>
            </w:r>
          </w:p>
        </w:tc>
        <w:tc>
          <w:tcPr>
            <w:tcW w:w="2012" w:type="dxa"/>
            <w:vAlign w:val="bottom"/>
          </w:tcPr>
          <w:p w14:paraId="06A01024" w14:textId="6275C3D1" w:rsidR="00224102" w:rsidRPr="00692926" w:rsidRDefault="00224102" w:rsidP="00224102">
            <w:pPr>
              <w:tabs>
                <w:tab w:val="left" w:pos="0"/>
              </w:tabs>
              <w:jc w:val="right"/>
              <w:rPr>
                <w:b/>
                <w:sz w:val="18"/>
                <w:szCs w:val="18"/>
              </w:rPr>
            </w:pPr>
            <w:r w:rsidRPr="00692926">
              <w:rPr>
                <w:b/>
                <w:sz w:val="18"/>
                <w:szCs w:val="18"/>
              </w:rPr>
              <w:t>4,059,955</w:t>
            </w:r>
          </w:p>
        </w:tc>
      </w:tr>
      <w:tr w:rsidR="00224102" w:rsidRPr="00604C75" w14:paraId="58A2F428" w14:textId="77777777" w:rsidTr="00677268">
        <w:trPr>
          <w:trHeight w:val="113"/>
        </w:trPr>
        <w:tc>
          <w:tcPr>
            <w:tcW w:w="5191" w:type="dxa"/>
            <w:vAlign w:val="bottom"/>
          </w:tcPr>
          <w:p w14:paraId="7153CF26" w14:textId="77777777" w:rsidR="00224102" w:rsidRPr="00604C75" w:rsidRDefault="00224102" w:rsidP="00224102">
            <w:pPr>
              <w:spacing w:line="221" w:lineRule="auto"/>
              <w:rPr>
                <w:snapToGrid w:val="0"/>
                <w:sz w:val="18"/>
              </w:rPr>
            </w:pPr>
            <w:r w:rsidRPr="00AF1C1D">
              <w:rPr>
                <w:snapToGrid w:val="0"/>
                <w:sz w:val="18"/>
              </w:rPr>
              <w:t xml:space="preserve">  Currency </w:t>
            </w:r>
            <w:r>
              <w:rPr>
                <w:snapToGrid w:val="0"/>
                <w:sz w:val="18"/>
              </w:rPr>
              <w:t>F</w:t>
            </w:r>
            <w:r w:rsidRPr="00AF1C1D">
              <w:rPr>
                <w:snapToGrid w:val="0"/>
                <w:sz w:val="18"/>
              </w:rPr>
              <w:t xml:space="preserve">orward </w:t>
            </w:r>
            <w:r>
              <w:rPr>
                <w:snapToGrid w:val="0"/>
                <w:sz w:val="18"/>
              </w:rPr>
              <w:t>T</w:t>
            </w:r>
            <w:r w:rsidRPr="00AF1C1D">
              <w:rPr>
                <w:snapToGrid w:val="0"/>
                <w:sz w:val="18"/>
              </w:rPr>
              <w:t>ransactions</w:t>
            </w:r>
          </w:p>
        </w:tc>
        <w:tc>
          <w:tcPr>
            <w:tcW w:w="2011" w:type="dxa"/>
            <w:vAlign w:val="bottom"/>
          </w:tcPr>
          <w:p w14:paraId="373EE30F" w14:textId="451909F8" w:rsidR="00224102" w:rsidRPr="00692926" w:rsidRDefault="00224102" w:rsidP="00224102">
            <w:pPr>
              <w:jc w:val="right"/>
              <w:rPr>
                <w:sz w:val="18"/>
                <w:szCs w:val="18"/>
              </w:rPr>
            </w:pPr>
            <w:r>
              <w:rPr>
                <w:sz w:val="18"/>
                <w:szCs w:val="18"/>
              </w:rPr>
              <w:t>334,900</w:t>
            </w:r>
          </w:p>
        </w:tc>
        <w:tc>
          <w:tcPr>
            <w:tcW w:w="2012" w:type="dxa"/>
            <w:vAlign w:val="bottom"/>
          </w:tcPr>
          <w:p w14:paraId="029992D7" w14:textId="5D769AD9" w:rsidR="00224102" w:rsidRPr="00692926" w:rsidRDefault="00224102" w:rsidP="00224102">
            <w:pPr>
              <w:tabs>
                <w:tab w:val="left" w:pos="0"/>
              </w:tabs>
              <w:jc w:val="right"/>
              <w:rPr>
                <w:sz w:val="18"/>
                <w:szCs w:val="18"/>
              </w:rPr>
            </w:pPr>
            <w:r w:rsidRPr="00692926">
              <w:rPr>
                <w:sz w:val="18"/>
                <w:szCs w:val="18"/>
              </w:rPr>
              <w:t>522,604</w:t>
            </w:r>
          </w:p>
        </w:tc>
      </w:tr>
      <w:tr w:rsidR="00224102" w:rsidRPr="00604C75" w14:paraId="43D1A0A3" w14:textId="77777777" w:rsidTr="00677268">
        <w:trPr>
          <w:trHeight w:val="113"/>
        </w:trPr>
        <w:tc>
          <w:tcPr>
            <w:tcW w:w="5191" w:type="dxa"/>
            <w:vAlign w:val="bottom"/>
          </w:tcPr>
          <w:p w14:paraId="7E7D8942" w14:textId="77777777" w:rsidR="00224102" w:rsidRPr="00604C75" w:rsidRDefault="00224102" w:rsidP="00224102">
            <w:pPr>
              <w:spacing w:line="221" w:lineRule="auto"/>
              <w:rPr>
                <w:snapToGrid w:val="0"/>
                <w:sz w:val="18"/>
              </w:rPr>
            </w:pPr>
            <w:r w:rsidRPr="00AF1C1D">
              <w:rPr>
                <w:snapToGrid w:val="0"/>
                <w:sz w:val="18"/>
              </w:rPr>
              <w:t xml:space="preserve">  Currency </w:t>
            </w:r>
            <w:r>
              <w:rPr>
                <w:snapToGrid w:val="0"/>
                <w:sz w:val="18"/>
              </w:rPr>
              <w:t>S</w:t>
            </w:r>
            <w:r w:rsidRPr="00AF1C1D">
              <w:rPr>
                <w:snapToGrid w:val="0"/>
                <w:sz w:val="18"/>
              </w:rPr>
              <w:t xml:space="preserve">wap </w:t>
            </w:r>
            <w:r>
              <w:rPr>
                <w:snapToGrid w:val="0"/>
                <w:sz w:val="18"/>
              </w:rPr>
              <w:t>T</w:t>
            </w:r>
            <w:r w:rsidRPr="00AF1C1D">
              <w:rPr>
                <w:snapToGrid w:val="0"/>
                <w:sz w:val="18"/>
              </w:rPr>
              <w:t>ransactions</w:t>
            </w:r>
          </w:p>
        </w:tc>
        <w:tc>
          <w:tcPr>
            <w:tcW w:w="2011" w:type="dxa"/>
            <w:vAlign w:val="bottom"/>
          </w:tcPr>
          <w:p w14:paraId="31079AF2" w14:textId="0E5B28AD" w:rsidR="00224102" w:rsidRPr="00692926" w:rsidRDefault="00224102" w:rsidP="00224102">
            <w:pPr>
              <w:jc w:val="right"/>
              <w:rPr>
                <w:sz w:val="18"/>
                <w:szCs w:val="18"/>
              </w:rPr>
            </w:pPr>
            <w:r>
              <w:rPr>
                <w:sz w:val="18"/>
                <w:szCs w:val="18"/>
              </w:rPr>
              <w:t>7,842,888</w:t>
            </w:r>
          </w:p>
        </w:tc>
        <w:tc>
          <w:tcPr>
            <w:tcW w:w="2012" w:type="dxa"/>
            <w:vAlign w:val="bottom"/>
          </w:tcPr>
          <w:p w14:paraId="0BCFF408" w14:textId="2062EE27" w:rsidR="00224102" w:rsidRPr="00692926" w:rsidRDefault="00224102" w:rsidP="00224102">
            <w:pPr>
              <w:tabs>
                <w:tab w:val="left" w:pos="0"/>
              </w:tabs>
              <w:jc w:val="right"/>
              <w:rPr>
                <w:sz w:val="18"/>
                <w:szCs w:val="18"/>
              </w:rPr>
            </w:pPr>
            <w:r w:rsidRPr="00692926">
              <w:rPr>
                <w:sz w:val="18"/>
                <w:szCs w:val="18"/>
              </w:rPr>
              <w:t>2,980,019</w:t>
            </w:r>
          </w:p>
        </w:tc>
      </w:tr>
      <w:tr w:rsidR="00224102" w:rsidRPr="00604C75" w14:paraId="2AED934D" w14:textId="77777777" w:rsidTr="00677268">
        <w:trPr>
          <w:trHeight w:val="113"/>
        </w:trPr>
        <w:tc>
          <w:tcPr>
            <w:tcW w:w="5191" w:type="dxa"/>
            <w:vAlign w:val="bottom"/>
          </w:tcPr>
          <w:p w14:paraId="5C0C5CDD" w14:textId="77777777" w:rsidR="00224102" w:rsidRPr="00604C75" w:rsidRDefault="00224102" w:rsidP="00224102">
            <w:pPr>
              <w:spacing w:line="221" w:lineRule="auto"/>
              <w:rPr>
                <w:snapToGrid w:val="0"/>
                <w:sz w:val="18"/>
              </w:rPr>
            </w:pPr>
            <w:r w:rsidRPr="00AF1C1D">
              <w:rPr>
                <w:snapToGrid w:val="0"/>
                <w:sz w:val="18"/>
              </w:rPr>
              <w:t xml:space="preserve">  Futures </w:t>
            </w:r>
            <w:r>
              <w:rPr>
                <w:snapToGrid w:val="0"/>
                <w:sz w:val="18"/>
              </w:rPr>
              <w:t>T</w:t>
            </w:r>
            <w:r w:rsidRPr="00AF1C1D">
              <w:rPr>
                <w:snapToGrid w:val="0"/>
                <w:sz w:val="18"/>
              </w:rPr>
              <w:t>ransactions</w:t>
            </w:r>
          </w:p>
        </w:tc>
        <w:tc>
          <w:tcPr>
            <w:tcW w:w="2011" w:type="dxa"/>
            <w:vAlign w:val="bottom"/>
          </w:tcPr>
          <w:p w14:paraId="61536758" w14:textId="3AE6E89D" w:rsidR="00224102" w:rsidRPr="00692926" w:rsidRDefault="00224102" w:rsidP="00224102">
            <w:pPr>
              <w:jc w:val="right"/>
              <w:rPr>
                <w:sz w:val="18"/>
                <w:szCs w:val="18"/>
              </w:rPr>
            </w:pPr>
            <w:r>
              <w:rPr>
                <w:sz w:val="18"/>
                <w:szCs w:val="18"/>
              </w:rPr>
              <w:t>-</w:t>
            </w:r>
          </w:p>
        </w:tc>
        <w:tc>
          <w:tcPr>
            <w:tcW w:w="2012" w:type="dxa"/>
            <w:vAlign w:val="bottom"/>
          </w:tcPr>
          <w:p w14:paraId="57B08BBC" w14:textId="2E282BD3" w:rsidR="00224102" w:rsidRPr="00692926" w:rsidRDefault="00224102" w:rsidP="00224102">
            <w:pPr>
              <w:tabs>
                <w:tab w:val="left" w:pos="0"/>
              </w:tabs>
              <w:jc w:val="right"/>
              <w:rPr>
                <w:sz w:val="18"/>
                <w:szCs w:val="18"/>
              </w:rPr>
            </w:pPr>
            <w:r w:rsidRPr="00692926">
              <w:rPr>
                <w:sz w:val="18"/>
                <w:szCs w:val="18"/>
              </w:rPr>
              <w:t>-</w:t>
            </w:r>
          </w:p>
        </w:tc>
      </w:tr>
      <w:tr w:rsidR="00224102" w:rsidRPr="00604C75" w14:paraId="1F73D5C2" w14:textId="77777777" w:rsidTr="00677268">
        <w:trPr>
          <w:trHeight w:val="113"/>
        </w:trPr>
        <w:tc>
          <w:tcPr>
            <w:tcW w:w="5191" w:type="dxa"/>
            <w:vAlign w:val="bottom"/>
          </w:tcPr>
          <w:p w14:paraId="7738A8F1" w14:textId="77777777" w:rsidR="00224102" w:rsidRPr="00604C75" w:rsidRDefault="00224102" w:rsidP="00224102">
            <w:pPr>
              <w:spacing w:line="221" w:lineRule="auto"/>
              <w:rPr>
                <w:snapToGrid w:val="0"/>
                <w:sz w:val="18"/>
              </w:rPr>
            </w:pPr>
            <w:r w:rsidRPr="00AF1C1D">
              <w:rPr>
                <w:snapToGrid w:val="0"/>
                <w:sz w:val="18"/>
              </w:rPr>
              <w:t xml:space="preserve">  Options</w:t>
            </w:r>
          </w:p>
        </w:tc>
        <w:tc>
          <w:tcPr>
            <w:tcW w:w="2011" w:type="dxa"/>
            <w:vAlign w:val="bottom"/>
          </w:tcPr>
          <w:p w14:paraId="53B619B0" w14:textId="0C43A6C3" w:rsidR="00224102" w:rsidRPr="00692926" w:rsidRDefault="00224102" w:rsidP="00224102">
            <w:pPr>
              <w:jc w:val="right"/>
              <w:rPr>
                <w:sz w:val="18"/>
                <w:szCs w:val="18"/>
              </w:rPr>
            </w:pPr>
            <w:r>
              <w:rPr>
                <w:sz w:val="18"/>
                <w:szCs w:val="18"/>
              </w:rPr>
              <w:t>1,339,774</w:t>
            </w:r>
          </w:p>
        </w:tc>
        <w:tc>
          <w:tcPr>
            <w:tcW w:w="2012" w:type="dxa"/>
            <w:vAlign w:val="bottom"/>
          </w:tcPr>
          <w:p w14:paraId="0C0463C3" w14:textId="20153AF1" w:rsidR="00224102" w:rsidRPr="00692926" w:rsidRDefault="00224102" w:rsidP="00224102">
            <w:pPr>
              <w:tabs>
                <w:tab w:val="left" w:pos="0"/>
              </w:tabs>
              <w:jc w:val="right"/>
              <w:rPr>
                <w:sz w:val="18"/>
                <w:szCs w:val="18"/>
              </w:rPr>
            </w:pPr>
            <w:r w:rsidRPr="00692926">
              <w:rPr>
                <w:sz w:val="18"/>
                <w:szCs w:val="18"/>
              </w:rPr>
              <w:t>557,332</w:t>
            </w:r>
          </w:p>
        </w:tc>
      </w:tr>
      <w:tr w:rsidR="00224102" w:rsidRPr="00604C75" w14:paraId="694E3509" w14:textId="77777777" w:rsidTr="00677268">
        <w:trPr>
          <w:trHeight w:val="113"/>
        </w:trPr>
        <w:tc>
          <w:tcPr>
            <w:tcW w:w="5191" w:type="dxa"/>
            <w:vAlign w:val="bottom"/>
          </w:tcPr>
          <w:p w14:paraId="39DC2382" w14:textId="77777777" w:rsidR="00224102" w:rsidRPr="00604C75" w:rsidRDefault="00224102" w:rsidP="00224102">
            <w:pPr>
              <w:spacing w:line="221" w:lineRule="auto"/>
              <w:rPr>
                <w:snapToGrid w:val="0"/>
                <w:sz w:val="18"/>
              </w:rPr>
            </w:pPr>
            <w:r>
              <w:rPr>
                <w:snapToGrid w:val="0"/>
                <w:color w:val="000000" w:themeColor="text1"/>
                <w:sz w:val="18"/>
                <w:szCs w:val="18"/>
              </w:rPr>
              <w:t xml:space="preserve">  </w:t>
            </w:r>
            <w:r w:rsidRPr="00AF1C1D">
              <w:rPr>
                <w:snapToGrid w:val="0"/>
                <w:color w:val="000000" w:themeColor="text1"/>
                <w:sz w:val="18"/>
                <w:szCs w:val="18"/>
              </w:rPr>
              <w:t>Securities Options</w:t>
            </w:r>
          </w:p>
        </w:tc>
        <w:tc>
          <w:tcPr>
            <w:tcW w:w="2011" w:type="dxa"/>
            <w:vAlign w:val="bottom"/>
          </w:tcPr>
          <w:p w14:paraId="4D4AF643" w14:textId="626B1A3E" w:rsidR="00224102" w:rsidRPr="00692926" w:rsidRDefault="00224102" w:rsidP="00224102">
            <w:pPr>
              <w:jc w:val="right"/>
              <w:rPr>
                <w:sz w:val="18"/>
                <w:szCs w:val="18"/>
              </w:rPr>
            </w:pPr>
            <w:r w:rsidRPr="00692926">
              <w:rPr>
                <w:sz w:val="18"/>
                <w:szCs w:val="18"/>
              </w:rPr>
              <w:t>-</w:t>
            </w:r>
          </w:p>
        </w:tc>
        <w:tc>
          <w:tcPr>
            <w:tcW w:w="2012" w:type="dxa"/>
            <w:vAlign w:val="bottom"/>
          </w:tcPr>
          <w:p w14:paraId="4FD63F7B" w14:textId="79CCFF32" w:rsidR="00224102" w:rsidRPr="00692926" w:rsidRDefault="00224102" w:rsidP="00224102">
            <w:pPr>
              <w:tabs>
                <w:tab w:val="left" w:pos="0"/>
              </w:tabs>
              <w:jc w:val="right"/>
              <w:rPr>
                <w:sz w:val="18"/>
                <w:szCs w:val="18"/>
              </w:rPr>
            </w:pPr>
            <w:r w:rsidRPr="00692926">
              <w:rPr>
                <w:sz w:val="18"/>
                <w:szCs w:val="18"/>
              </w:rPr>
              <w:t>-</w:t>
            </w:r>
          </w:p>
        </w:tc>
      </w:tr>
      <w:tr w:rsidR="00224102" w:rsidRPr="00604C75" w14:paraId="1A3398F6" w14:textId="77777777" w:rsidTr="00677268">
        <w:trPr>
          <w:trHeight w:val="113"/>
        </w:trPr>
        <w:tc>
          <w:tcPr>
            <w:tcW w:w="5191" w:type="dxa"/>
            <w:vAlign w:val="bottom"/>
          </w:tcPr>
          <w:p w14:paraId="785594ED" w14:textId="32673EEB" w:rsidR="00224102" w:rsidRPr="00604C75" w:rsidRDefault="00224102" w:rsidP="00224102">
            <w:pPr>
              <w:spacing w:line="221" w:lineRule="auto"/>
              <w:rPr>
                <w:b/>
                <w:snapToGrid w:val="0"/>
                <w:sz w:val="18"/>
              </w:rPr>
            </w:pPr>
            <w:r w:rsidRPr="00604C75">
              <w:rPr>
                <w:b/>
                <w:snapToGrid w:val="0"/>
                <w:sz w:val="18"/>
              </w:rPr>
              <w:t xml:space="preserve">Interest </w:t>
            </w:r>
            <w:r>
              <w:rPr>
                <w:b/>
                <w:snapToGrid w:val="0"/>
                <w:sz w:val="18"/>
              </w:rPr>
              <w:t>R</w:t>
            </w:r>
            <w:r w:rsidRPr="00604C75">
              <w:rPr>
                <w:b/>
                <w:snapToGrid w:val="0"/>
                <w:sz w:val="18"/>
              </w:rPr>
              <w:t xml:space="preserve">elated </w:t>
            </w:r>
            <w:r>
              <w:rPr>
                <w:b/>
                <w:snapToGrid w:val="0"/>
                <w:sz w:val="18"/>
              </w:rPr>
              <w:t>D</w:t>
            </w:r>
            <w:r w:rsidRPr="00604C75">
              <w:rPr>
                <w:b/>
                <w:snapToGrid w:val="0"/>
                <w:sz w:val="18"/>
              </w:rPr>
              <w:t xml:space="preserve">erivative </w:t>
            </w:r>
            <w:r>
              <w:rPr>
                <w:b/>
                <w:snapToGrid w:val="0"/>
                <w:sz w:val="18"/>
              </w:rPr>
              <w:t>T</w:t>
            </w:r>
            <w:r w:rsidRPr="00604C75">
              <w:rPr>
                <w:b/>
                <w:snapToGrid w:val="0"/>
                <w:sz w:val="18"/>
              </w:rPr>
              <w:t>ransactions (II)</w:t>
            </w:r>
          </w:p>
        </w:tc>
        <w:tc>
          <w:tcPr>
            <w:tcW w:w="2011" w:type="dxa"/>
            <w:vAlign w:val="bottom"/>
          </w:tcPr>
          <w:p w14:paraId="063F2F34" w14:textId="362A73E6" w:rsidR="00224102" w:rsidRPr="000860B6" w:rsidRDefault="00224102" w:rsidP="00224102">
            <w:pPr>
              <w:jc w:val="right"/>
              <w:rPr>
                <w:b/>
                <w:sz w:val="18"/>
                <w:szCs w:val="18"/>
              </w:rPr>
            </w:pPr>
            <w:r>
              <w:rPr>
                <w:b/>
                <w:sz w:val="18"/>
                <w:szCs w:val="18"/>
              </w:rPr>
              <w:t>1,119,428</w:t>
            </w:r>
          </w:p>
        </w:tc>
        <w:tc>
          <w:tcPr>
            <w:tcW w:w="2012" w:type="dxa"/>
            <w:vAlign w:val="bottom"/>
          </w:tcPr>
          <w:p w14:paraId="41028EF8" w14:textId="2A6E64CF" w:rsidR="00224102" w:rsidRPr="000860B6" w:rsidRDefault="00224102" w:rsidP="00224102">
            <w:pPr>
              <w:tabs>
                <w:tab w:val="left" w:pos="0"/>
              </w:tabs>
              <w:jc w:val="right"/>
              <w:rPr>
                <w:b/>
                <w:sz w:val="18"/>
                <w:szCs w:val="18"/>
              </w:rPr>
            </w:pPr>
            <w:r w:rsidRPr="00AE1BC6">
              <w:rPr>
                <w:b/>
                <w:sz w:val="18"/>
                <w:szCs w:val="18"/>
              </w:rPr>
              <w:t>-</w:t>
            </w:r>
          </w:p>
        </w:tc>
      </w:tr>
      <w:tr w:rsidR="00224102" w:rsidRPr="00604C75" w14:paraId="0E99341A" w14:textId="77777777" w:rsidTr="006F5E15">
        <w:trPr>
          <w:trHeight w:val="113"/>
        </w:trPr>
        <w:tc>
          <w:tcPr>
            <w:tcW w:w="5191" w:type="dxa"/>
            <w:vAlign w:val="bottom"/>
          </w:tcPr>
          <w:p w14:paraId="487FD92D" w14:textId="2799D5D3" w:rsidR="00224102" w:rsidRPr="00604C75" w:rsidRDefault="00224102" w:rsidP="00224102">
            <w:pPr>
              <w:spacing w:line="221" w:lineRule="auto"/>
              <w:rPr>
                <w:snapToGrid w:val="0"/>
                <w:sz w:val="18"/>
              </w:rPr>
            </w:pPr>
            <w:r w:rsidRPr="00604C75">
              <w:rPr>
                <w:snapToGrid w:val="0"/>
                <w:sz w:val="18"/>
              </w:rPr>
              <w:t xml:space="preserve">  Forward </w:t>
            </w:r>
            <w:r>
              <w:rPr>
                <w:snapToGrid w:val="0"/>
                <w:sz w:val="18"/>
              </w:rPr>
              <w:t>R</w:t>
            </w:r>
            <w:r w:rsidRPr="00604C75">
              <w:rPr>
                <w:snapToGrid w:val="0"/>
                <w:sz w:val="18"/>
              </w:rPr>
              <w:t xml:space="preserve">ate </w:t>
            </w:r>
            <w:r>
              <w:rPr>
                <w:snapToGrid w:val="0"/>
                <w:sz w:val="18"/>
              </w:rPr>
              <w:t>A</w:t>
            </w:r>
            <w:r w:rsidRPr="00604C75">
              <w:rPr>
                <w:snapToGrid w:val="0"/>
                <w:sz w:val="18"/>
              </w:rPr>
              <w:t>greements</w:t>
            </w:r>
          </w:p>
        </w:tc>
        <w:tc>
          <w:tcPr>
            <w:tcW w:w="2011" w:type="dxa"/>
            <w:vAlign w:val="bottom"/>
          </w:tcPr>
          <w:p w14:paraId="6BBB7BF2" w14:textId="6585673F" w:rsidR="00224102" w:rsidRPr="00692926" w:rsidRDefault="00224102" w:rsidP="00224102">
            <w:pPr>
              <w:jc w:val="right"/>
              <w:rPr>
                <w:sz w:val="18"/>
                <w:szCs w:val="18"/>
              </w:rPr>
            </w:pPr>
            <w:r w:rsidRPr="00692926">
              <w:rPr>
                <w:sz w:val="18"/>
                <w:szCs w:val="18"/>
              </w:rPr>
              <w:t>-</w:t>
            </w:r>
          </w:p>
        </w:tc>
        <w:tc>
          <w:tcPr>
            <w:tcW w:w="2012" w:type="dxa"/>
            <w:vAlign w:val="bottom"/>
          </w:tcPr>
          <w:p w14:paraId="128EE2A3" w14:textId="52AC5131" w:rsidR="00224102" w:rsidRPr="00576E0A" w:rsidRDefault="00224102" w:rsidP="00224102">
            <w:pPr>
              <w:tabs>
                <w:tab w:val="left" w:pos="0"/>
              </w:tabs>
              <w:jc w:val="right"/>
              <w:rPr>
                <w:sz w:val="18"/>
                <w:szCs w:val="18"/>
              </w:rPr>
            </w:pPr>
            <w:r w:rsidRPr="00692926">
              <w:rPr>
                <w:sz w:val="18"/>
                <w:szCs w:val="18"/>
              </w:rPr>
              <w:t>-</w:t>
            </w:r>
          </w:p>
        </w:tc>
      </w:tr>
      <w:tr w:rsidR="00224102" w:rsidRPr="00604C75" w14:paraId="316067BB" w14:textId="77777777" w:rsidTr="00677268">
        <w:trPr>
          <w:trHeight w:val="113"/>
        </w:trPr>
        <w:tc>
          <w:tcPr>
            <w:tcW w:w="5191" w:type="dxa"/>
            <w:vAlign w:val="bottom"/>
          </w:tcPr>
          <w:p w14:paraId="2670755B" w14:textId="242161FF" w:rsidR="00224102" w:rsidRPr="00604C75" w:rsidRDefault="00224102" w:rsidP="00224102">
            <w:pPr>
              <w:spacing w:line="221" w:lineRule="auto"/>
              <w:rPr>
                <w:snapToGrid w:val="0"/>
                <w:sz w:val="18"/>
              </w:rPr>
            </w:pPr>
            <w:r w:rsidRPr="00604C75">
              <w:rPr>
                <w:snapToGrid w:val="0"/>
                <w:sz w:val="18"/>
              </w:rPr>
              <w:t xml:space="preserve">  Interest </w:t>
            </w:r>
            <w:r>
              <w:rPr>
                <w:snapToGrid w:val="0"/>
                <w:sz w:val="18"/>
              </w:rPr>
              <w:t>R</w:t>
            </w:r>
            <w:r w:rsidRPr="00604C75">
              <w:rPr>
                <w:snapToGrid w:val="0"/>
                <w:sz w:val="18"/>
              </w:rPr>
              <w:t xml:space="preserve">ate </w:t>
            </w:r>
            <w:r>
              <w:rPr>
                <w:snapToGrid w:val="0"/>
                <w:sz w:val="18"/>
              </w:rPr>
              <w:t>S</w:t>
            </w:r>
            <w:r w:rsidRPr="00604C75">
              <w:rPr>
                <w:snapToGrid w:val="0"/>
                <w:sz w:val="18"/>
              </w:rPr>
              <w:t>waps</w:t>
            </w:r>
          </w:p>
        </w:tc>
        <w:tc>
          <w:tcPr>
            <w:tcW w:w="2011" w:type="dxa"/>
            <w:vAlign w:val="bottom"/>
          </w:tcPr>
          <w:p w14:paraId="4352E878" w14:textId="0097AE3B" w:rsidR="00224102" w:rsidRPr="00692926" w:rsidRDefault="00224102" w:rsidP="00224102">
            <w:pPr>
              <w:jc w:val="right"/>
              <w:rPr>
                <w:sz w:val="18"/>
                <w:szCs w:val="18"/>
              </w:rPr>
            </w:pPr>
            <w:r w:rsidRPr="00692926">
              <w:rPr>
                <w:sz w:val="18"/>
                <w:szCs w:val="18"/>
              </w:rPr>
              <w:t>-</w:t>
            </w:r>
          </w:p>
        </w:tc>
        <w:tc>
          <w:tcPr>
            <w:tcW w:w="2012" w:type="dxa"/>
            <w:vAlign w:val="bottom"/>
          </w:tcPr>
          <w:p w14:paraId="5EAD1736" w14:textId="65F04024" w:rsidR="00224102" w:rsidRPr="00692926" w:rsidRDefault="00224102" w:rsidP="00224102">
            <w:pPr>
              <w:tabs>
                <w:tab w:val="left" w:pos="0"/>
              </w:tabs>
              <w:jc w:val="right"/>
              <w:rPr>
                <w:sz w:val="18"/>
                <w:szCs w:val="18"/>
              </w:rPr>
            </w:pPr>
            <w:r w:rsidRPr="00692926">
              <w:rPr>
                <w:sz w:val="18"/>
                <w:szCs w:val="18"/>
              </w:rPr>
              <w:t>-</w:t>
            </w:r>
          </w:p>
        </w:tc>
      </w:tr>
      <w:tr w:rsidR="00224102" w:rsidRPr="00604C75" w14:paraId="5C880788" w14:textId="77777777" w:rsidTr="006F5E15">
        <w:trPr>
          <w:trHeight w:val="113"/>
        </w:trPr>
        <w:tc>
          <w:tcPr>
            <w:tcW w:w="5191" w:type="dxa"/>
            <w:vAlign w:val="bottom"/>
          </w:tcPr>
          <w:p w14:paraId="5A78471A" w14:textId="71AA80D4" w:rsidR="00224102" w:rsidRPr="00604C75" w:rsidRDefault="00224102" w:rsidP="00224102">
            <w:pPr>
              <w:spacing w:line="221" w:lineRule="auto"/>
              <w:rPr>
                <w:snapToGrid w:val="0"/>
                <w:sz w:val="18"/>
              </w:rPr>
            </w:pPr>
            <w:r w:rsidRPr="00604C75">
              <w:rPr>
                <w:snapToGrid w:val="0"/>
                <w:sz w:val="18"/>
              </w:rPr>
              <w:t xml:space="preserve">  Interest </w:t>
            </w:r>
            <w:r>
              <w:rPr>
                <w:snapToGrid w:val="0"/>
                <w:sz w:val="18"/>
              </w:rPr>
              <w:t>R</w:t>
            </w:r>
            <w:r w:rsidRPr="00604C75">
              <w:rPr>
                <w:snapToGrid w:val="0"/>
                <w:sz w:val="18"/>
              </w:rPr>
              <w:t xml:space="preserve">ate </w:t>
            </w:r>
            <w:r>
              <w:rPr>
                <w:snapToGrid w:val="0"/>
                <w:sz w:val="18"/>
              </w:rPr>
              <w:t>O</w:t>
            </w:r>
            <w:r w:rsidRPr="00604C75">
              <w:rPr>
                <w:snapToGrid w:val="0"/>
                <w:sz w:val="18"/>
              </w:rPr>
              <w:t>ptions</w:t>
            </w:r>
          </w:p>
        </w:tc>
        <w:tc>
          <w:tcPr>
            <w:tcW w:w="2011" w:type="dxa"/>
            <w:vAlign w:val="bottom"/>
          </w:tcPr>
          <w:p w14:paraId="534C85F0" w14:textId="4F260C32" w:rsidR="00224102" w:rsidRPr="00692926" w:rsidRDefault="00224102" w:rsidP="00224102">
            <w:pPr>
              <w:jc w:val="right"/>
              <w:rPr>
                <w:sz w:val="18"/>
                <w:szCs w:val="18"/>
              </w:rPr>
            </w:pPr>
            <w:r>
              <w:rPr>
                <w:sz w:val="18"/>
                <w:szCs w:val="18"/>
              </w:rPr>
              <w:t>1,119,428</w:t>
            </w:r>
          </w:p>
        </w:tc>
        <w:tc>
          <w:tcPr>
            <w:tcW w:w="2012" w:type="dxa"/>
            <w:vAlign w:val="bottom"/>
          </w:tcPr>
          <w:p w14:paraId="39BB2BB1" w14:textId="29D432A7" w:rsidR="00224102" w:rsidRPr="00692926" w:rsidRDefault="00224102" w:rsidP="00224102">
            <w:pPr>
              <w:tabs>
                <w:tab w:val="left" w:pos="0"/>
              </w:tabs>
              <w:jc w:val="right"/>
              <w:rPr>
                <w:sz w:val="18"/>
                <w:szCs w:val="18"/>
              </w:rPr>
            </w:pPr>
            <w:r w:rsidRPr="00692926">
              <w:rPr>
                <w:sz w:val="18"/>
                <w:szCs w:val="18"/>
              </w:rPr>
              <w:t>-</w:t>
            </w:r>
          </w:p>
        </w:tc>
      </w:tr>
      <w:tr w:rsidR="00224102" w:rsidRPr="00604C75" w14:paraId="1FE1506B" w14:textId="77777777" w:rsidTr="006F5E15">
        <w:trPr>
          <w:trHeight w:val="113"/>
        </w:trPr>
        <w:tc>
          <w:tcPr>
            <w:tcW w:w="5191" w:type="dxa"/>
            <w:vAlign w:val="bottom"/>
          </w:tcPr>
          <w:p w14:paraId="6995CB43" w14:textId="3BFB8970" w:rsidR="00224102" w:rsidRPr="00604C75" w:rsidRDefault="00224102" w:rsidP="00224102">
            <w:pPr>
              <w:spacing w:line="221" w:lineRule="auto"/>
              <w:rPr>
                <w:snapToGrid w:val="0"/>
                <w:sz w:val="18"/>
              </w:rPr>
            </w:pPr>
            <w:r w:rsidRPr="00604C75">
              <w:rPr>
                <w:snapToGrid w:val="0"/>
                <w:sz w:val="18"/>
              </w:rPr>
              <w:t xml:space="preserve">  Interest </w:t>
            </w:r>
            <w:r>
              <w:rPr>
                <w:snapToGrid w:val="0"/>
                <w:sz w:val="18"/>
              </w:rPr>
              <w:t>R</w:t>
            </w:r>
            <w:r w:rsidRPr="00604C75">
              <w:rPr>
                <w:snapToGrid w:val="0"/>
                <w:sz w:val="18"/>
              </w:rPr>
              <w:t xml:space="preserve">ate </w:t>
            </w:r>
            <w:r>
              <w:rPr>
                <w:snapToGrid w:val="0"/>
                <w:sz w:val="18"/>
              </w:rPr>
              <w:t>F</w:t>
            </w:r>
            <w:r w:rsidRPr="00604C75">
              <w:rPr>
                <w:snapToGrid w:val="0"/>
                <w:sz w:val="18"/>
              </w:rPr>
              <w:t>utures</w:t>
            </w:r>
          </w:p>
        </w:tc>
        <w:tc>
          <w:tcPr>
            <w:tcW w:w="2011" w:type="dxa"/>
            <w:vAlign w:val="bottom"/>
          </w:tcPr>
          <w:p w14:paraId="32A3C7E5" w14:textId="636EDF82" w:rsidR="00224102" w:rsidRPr="00692926" w:rsidRDefault="00224102" w:rsidP="00224102">
            <w:pPr>
              <w:jc w:val="right"/>
              <w:rPr>
                <w:sz w:val="18"/>
                <w:szCs w:val="18"/>
              </w:rPr>
            </w:pPr>
            <w:r w:rsidRPr="00692926">
              <w:rPr>
                <w:sz w:val="18"/>
                <w:szCs w:val="18"/>
              </w:rPr>
              <w:t>-</w:t>
            </w:r>
          </w:p>
        </w:tc>
        <w:tc>
          <w:tcPr>
            <w:tcW w:w="2012" w:type="dxa"/>
            <w:vAlign w:val="bottom"/>
          </w:tcPr>
          <w:p w14:paraId="50386E03" w14:textId="103BF46E" w:rsidR="00224102" w:rsidRPr="00692926" w:rsidRDefault="00224102" w:rsidP="00224102">
            <w:pPr>
              <w:tabs>
                <w:tab w:val="left" w:pos="0"/>
              </w:tabs>
              <w:jc w:val="right"/>
              <w:rPr>
                <w:sz w:val="18"/>
                <w:szCs w:val="18"/>
              </w:rPr>
            </w:pPr>
            <w:r w:rsidRPr="00692926">
              <w:rPr>
                <w:sz w:val="18"/>
                <w:szCs w:val="18"/>
              </w:rPr>
              <w:t>-</w:t>
            </w:r>
          </w:p>
        </w:tc>
      </w:tr>
      <w:tr w:rsidR="00224102" w:rsidRPr="00604C75" w14:paraId="1701236D" w14:textId="77777777" w:rsidTr="00677268">
        <w:trPr>
          <w:trHeight w:val="113"/>
        </w:trPr>
        <w:tc>
          <w:tcPr>
            <w:tcW w:w="5191" w:type="dxa"/>
            <w:vAlign w:val="bottom"/>
          </w:tcPr>
          <w:p w14:paraId="21D6DEDB" w14:textId="712D0909" w:rsidR="00224102" w:rsidRPr="00604C75" w:rsidRDefault="00224102" w:rsidP="00224102">
            <w:pPr>
              <w:spacing w:line="221" w:lineRule="auto"/>
              <w:rPr>
                <w:b/>
                <w:snapToGrid w:val="0"/>
                <w:sz w:val="18"/>
              </w:rPr>
            </w:pPr>
            <w:r>
              <w:rPr>
                <w:b/>
                <w:snapToGrid w:val="0"/>
                <w:sz w:val="18"/>
              </w:rPr>
              <w:t>Other Trading Derivative Transactions (III)</w:t>
            </w:r>
          </w:p>
        </w:tc>
        <w:tc>
          <w:tcPr>
            <w:tcW w:w="2011" w:type="dxa"/>
            <w:vAlign w:val="bottom"/>
          </w:tcPr>
          <w:p w14:paraId="4B30440F" w14:textId="56CBAE29" w:rsidR="00224102" w:rsidRPr="0048569A" w:rsidRDefault="00224102" w:rsidP="00224102">
            <w:pPr>
              <w:jc w:val="right"/>
              <w:rPr>
                <w:b/>
                <w:sz w:val="18"/>
                <w:szCs w:val="18"/>
              </w:rPr>
            </w:pPr>
            <w:r>
              <w:rPr>
                <w:b/>
                <w:sz w:val="18"/>
                <w:szCs w:val="18"/>
              </w:rPr>
              <w:t>46,690</w:t>
            </w:r>
          </w:p>
        </w:tc>
        <w:tc>
          <w:tcPr>
            <w:tcW w:w="2012" w:type="dxa"/>
            <w:vAlign w:val="bottom"/>
          </w:tcPr>
          <w:p w14:paraId="15AFDEC0" w14:textId="1DB9D8B7" w:rsidR="00224102" w:rsidRPr="00692926" w:rsidRDefault="00224102" w:rsidP="00224102">
            <w:pPr>
              <w:jc w:val="right"/>
              <w:rPr>
                <w:b/>
                <w:sz w:val="18"/>
                <w:szCs w:val="18"/>
              </w:rPr>
            </w:pPr>
            <w:r>
              <w:rPr>
                <w:b/>
                <w:sz w:val="18"/>
                <w:szCs w:val="18"/>
              </w:rPr>
              <w:t>-</w:t>
            </w:r>
          </w:p>
        </w:tc>
      </w:tr>
      <w:tr w:rsidR="00224102" w:rsidRPr="00604C75" w14:paraId="433E3FB7" w14:textId="77777777" w:rsidTr="00F1171C">
        <w:trPr>
          <w:trHeight w:val="113"/>
        </w:trPr>
        <w:tc>
          <w:tcPr>
            <w:tcW w:w="5191" w:type="dxa"/>
            <w:vAlign w:val="bottom"/>
          </w:tcPr>
          <w:p w14:paraId="21B8BE81" w14:textId="14A5828F" w:rsidR="00224102" w:rsidRPr="00604C75" w:rsidRDefault="00224102" w:rsidP="00224102">
            <w:pPr>
              <w:spacing w:line="221" w:lineRule="auto"/>
              <w:rPr>
                <w:snapToGrid w:val="0"/>
                <w:sz w:val="18"/>
              </w:rPr>
            </w:pPr>
            <w:r w:rsidRPr="00604C75">
              <w:rPr>
                <w:b/>
                <w:snapToGrid w:val="0"/>
                <w:sz w:val="18"/>
              </w:rPr>
              <w:t xml:space="preserve">A. Total </w:t>
            </w:r>
            <w:r>
              <w:rPr>
                <w:b/>
                <w:snapToGrid w:val="0"/>
                <w:sz w:val="18"/>
              </w:rPr>
              <w:t>T</w:t>
            </w:r>
            <w:r w:rsidRPr="00604C75">
              <w:rPr>
                <w:b/>
                <w:snapToGrid w:val="0"/>
                <w:sz w:val="18"/>
              </w:rPr>
              <w:t xml:space="preserve">rading </w:t>
            </w:r>
            <w:r>
              <w:rPr>
                <w:b/>
                <w:snapToGrid w:val="0"/>
                <w:sz w:val="18"/>
              </w:rPr>
              <w:t>D</w:t>
            </w:r>
            <w:r w:rsidRPr="00604C75">
              <w:rPr>
                <w:b/>
                <w:snapToGrid w:val="0"/>
                <w:sz w:val="18"/>
              </w:rPr>
              <w:t xml:space="preserve">erivative </w:t>
            </w:r>
            <w:r>
              <w:rPr>
                <w:b/>
                <w:snapToGrid w:val="0"/>
                <w:sz w:val="18"/>
              </w:rPr>
              <w:t>T</w:t>
            </w:r>
            <w:r w:rsidRPr="00604C75">
              <w:rPr>
                <w:b/>
                <w:snapToGrid w:val="0"/>
                <w:sz w:val="18"/>
              </w:rPr>
              <w:t>ransactions (I+II</w:t>
            </w:r>
            <w:r>
              <w:rPr>
                <w:b/>
                <w:snapToGrid w:val="0"/>
                <w:sz w:val="18"/>
              </w:rPr>
              <w:t>+III</w:t>
            </w:r>
            <w:r w:rsidRPr="00604C75">
              <w:rPr>
                <w:b/>
                <w:snapToGrid w:val="0"/>
                <w:sz w:val="18"/>
              </w:rPr>
              <w:t>)</w:t>
            </w:r>
          </w:p>
        </w:tc>
        <w:tc>
          <w:tcPr>
            <w:tcW w:w="2011" w:type="dxa"/>
            <w:vAlign w:val="center"/>
          </w:tcPr>
          <w:p w14:paraId="47710D4A" w14:textId="24E613F5" w:rsidR="00224102" w:rsidRPr="0048569A" w:rsidRDefault="00224102" w:rsidP="00224102">
            <w:pPr>
              <w:jc w:val="right"/>
              <w:rPr>
                <w:b/>
                <w:sz w:val="18"/>
                <w:szCs w:val="18"/>
              </w:rPr>
            </w:pPr>
            <w:r>
              <w:rPr>
                <w:b/>
                <w:sz w:val="18"/>
                <w:szCs w:val="18"/>
              </w:rPr>
              <w:t>10,683,680</w:t>
            </w:r>
          </w:p>
        </w:tc>
        <w:tc>
          <w:tcPr>
            <w:tcW w:w="2012" w:type="dxa"/>
            <w:vAlign w:val="bottom"/>
          </w:tcPr>
          <w:p w14:paraId="5717B316" w14:textId="55801613" w:rsidR="00224102" w:rsidRPr="00692926" w:rsidRDefault="00224102" w:rsidP="00224102">
            <w:pPr>
              <w:jc w:val="right"/>
              <w:rPr>
                <w:sz w:val="18"/>
                <w:szCs w:val="18"/>
              </w:rPr>
            </w:pPr>
            <w:r w:rsidRPr="00692926">
              <w:rPr>
                <w:b/>
                <w:sz w:val="18"/>
                <w:szCs w:val="18"/>
              </w:rPr>
              <w:t>4,059,955</w:t>
            </w:r>
          </w:p>
        </w:tc>
      </w:tr>
      <w:tr w:rsidR="00224102" w:rsidRPr="00604C75" w14:paraId="0D949C95" w14:textId="77777777" w:rsidTr="006F5E15">
        <w:trPr>
          <w:trHeight w:val="113"/>
        </w:trPr>
        <w:tc>
          <w:tcPr>
            <w:tcW w:w="5191" w:type="dxa"/>
            <w:vAlign w:val="bottom"/>
          </w:tcPr>
          <w:p w14:paraId="461F1876" w14:textId="77777777" w:rsidR="00224102" w:rsidRPr="00604C75" w:rsidRDefault="00224102" w:rsidP="00224102">
            <w:pPr>
              <w:spacing w:line="221" w:lineRule="auto"/>
              <w:rPr>
                <w:b/>
                <w:snapToGrid w:val="0"/>
                <w:sz w:val="18"/>
              </w:rPr>
            </w:pPr>
          </w:p>
        </w:tc>
        <w:tc>
          <w:tcPr>
            <w:tcW w:w="2011" w:type="dxa"/>
            <w:vAlign w:val="bottom"/>
          </w:tcPr>
          <w:p w14:paraId="31FA3D8F" w14:textId="77777777" w:rsidR="00224102" w:rsidRPr="00692926" w:rsidRDefault="00224102" w:rsidP="00224102">
            <w:pPr>
              <w:jc w:val="right"/>
              <w:rPr>
                <w:sz w:val="18"/>
                <w:szCs w:val="18"/>
              </w:rPr>
            </w:pPr>
          </w:p>
        </w:tc>
        <w:tc>
          <w:tcPr>
            <w:tcW w:w="2012" w:type="dxa"/>
            <w:vAlign w:val="bottom"/>
          </w:tcPr>
          <w:p w14:paraId="681876DB" w14:textId="77777777" w:rsidR="00224102" w:rsidRPr="00692926" w:rsidRDefault="00224102" w:rsidP="00224102">
            <w:pPr>
              <w:jc w:val="right"/>
              <w:rPr>
                <w:sz w:val="18"/>
                <w:szCs w:val="18"/>
              </w:rPr>
            </w:pPr>
          </w:p>
        </w:tc>
      </w:tr>
      <w:tr w:rsidR="00224102" w:rsidRPr="00604C75" w14:paraId="0A77E370" w14:textId="77777777" w:rsidTr="006F5E15">
        <w:trPr>
          <w:trHeight w:val="113"/>
        </w:trPr>
        <w:tc>
          <w:tcPr>
            <w:tcW w:w="5191" w:type="dxa"/>
            <w:vAlign w:val="bottom"/>
          </w:tcPr>
          <w:p w14:paraId="1947BE9F" w14:textId="6F69D2D5" w:rsidR="00224102" w:rsidRPr="00604C75" w:rsidRDefault="00224102" w:rsidP="00224102">
            <w:pPr>
              <w:spacing w:line="221" w:lineRule="auto"/>
              <w:rPr>
                <w:b/>
                <w:snapToGrid w:val="0"/>
                <w:sz w:val="18"/>
              </w:rPr>
            </w:pPr>
            <w:r w:rsidRPr="00604C75">
              <w:rPr>
                <w:b/>
                <w:snapToGrid w:val="0"/>
                <w:sz w:val="18"/>
              </w:rPr>
              <w:t xml:space="preserve">Types of </w:t>
            </w:r>
            <w:r>
              <w:rPr>
                <w:b/>
                <w:snapToGrid w:val="0"/>
                <w:sz w:val="18"/>
              </w:rPr>
              <w:t>H</w:t>
            </w:r>
            <w:r w:rsidRPr="00604C75">
              <w:rPr>
                <w:b/>
                <w:snapToGrid w:val="0"/>
                <w:sz w:val="18"/>
              </w:rPr>
              <w:t xml:space="preserve">edging </w:t>
            </w:r>
            <w:r>
              <w:rPr>
                <w:b/>
                <w:snapToGrid w:val="0"/>
                <w:sz w:val="18"/>
              </w:rPr>
              <w:t>T</w:t>
            </w:r>
            <w:r w:rsidRPr="00604C75">
              <w:rPr>
                <w:b/>
                <w:snapToGrid w:val="0"/>
                <w:sz w:val="18"/>
              </w:rPr>
              <w:t>ransactions</w:t>
            </w:r>
          </w:p>
        </w:tc>
        <w:tc>
          <w:tcPr>
            <w:tcW w:w="2011" w:type="dxa"/>
            <w:vAlign w:val="bottom"/>
          </w:tcPr>
          <w:p w14:paraId="70689FF8" w14:textId="77777777" w:rsidR="00224102" w:rsidRPr="00692926" w:rsidRDefault="00224102" w:rsidP="00224102">
            <w:pPr>
              <w:jc w:val="right"/>
              <w:rPr>
                <w:sz w:val="18"/>
                <w:szCs w:val="18"/>
              </w:rPr>
            </w:pPr>
          </w:p>
        </w:tc>
        <w:tc>
          <w:tcPr>
            <w:tcW w:w="2012" w:type="dxa"/>
            <w:vAlign w:val="bottom"/>
          </w:tcPr>
          <w:p w14:paraId="78CDCE7F" w14:textId="77777777" w:rsidR="00224102" w:rsidRPr="00692926" w:rsidRDefault="00224102" w:rsidP="00224102">
            <w:pPr>
              <w:jc w:val="right"/>
              <w:rPr>
                <w:sz w:val="18"/>
                <w:szCs w:val="18"/>
              </w:rPr>
            </w:pPr>
          </w:p>
        </w:tc>
      </w:tr>
      <w:tr w:rsidR="00224102" w:rsidRPr="00604C75" w14:paraId="4B0B5A18" w14:textId="77777777" w:rsidTr="00F1171C">
        <w:trPr>
          <w:trHeight w:val="113"/>
        </w:trPr>
        <w:tc>
          <w:tcPr>
            <w:tcW w:w="5191" w:type="dxa"/>
            <w:vAlign w:val="bottom"/>
          </w:tcPr>
          <w:p w14:paraId="345CF88F" w14:textId="6AE7045C" w:rsidR="00224102" w:rsidRPr="00604C75" w:rsidRDefault="00224102" w:rsidP="00224102">
            <w:pPr>
              <w:spacing w:line="221" w:lineRule="auto"/>
              <w:rPr>
                <w:snapToGrid w:val="0"/>
                <w:sz w:val="18"/>
              </w:rPr>
            </w:pPr>
            <w:r w:rsidRPr="00604C75">
              <w:rPr>
                <w:snapToGrid w:val="0"/>
                <w:sz w:val="18"/>
              </w:rPr>
              <w:t xml:space="preserve">  Fair </w:t>
            </w:r>
            <w:r>
              <w:rPr>
                <w:snapToGrid w:val="0"/>
                <w:sz w:val="18"/>
              </w:rPr>
              <w:t>V</w:t>
            </w:r>
            <w:r w:rsidRPr="00604C75">
              <w:rPr>
                <w:snapToGrid w:val="0"/>
                <w:sz w:val="18"/>
              </w:rPr>
              <w:t xml:space="preserve">alue </w:t>
            </w:r>
            <w:r>
              <w:rPr>
                <w:snapToGrid w:val="0"/>
                <w:sz w:val="18"/>
              </w:rPr>
              <w:t>He</w:t>
            </w:r>
            <w:r w:rsidRPr="00604C75">
              <w:rPr>
                <w:snapToGrid w:val="0"/>
                <w:sz w:val="18"/>
              </w:rPr>
              <w:t>dges</w:t>
            </w:r>
          </w:p>
        </w:tc>
        <w:tc>
          <w:tcPr>
            <w:tcW w:w="2011" w:type="dxa"/>
            <w:vAlign w:val="center"/>
          </w:tcPr>
          <w:p w14:paraId="6DB85A9E" w14:textId="63D84F80" w:rsidR="00224102" w:rsidRPr="00692926" w:rsidRDefault="00224102" w:rsidP="00224102">
            <w:pPr>
              <w:jc w:val="right"/>
              <w:rPr>
                <w:sz w:val="18"/>
                <w:szCs w:val="18"/>
              </w:rPr>
            </w:pPr>
            <w:r>
              <w:rPr>
                <w:sz w:val="18"/>
                <w:szCs w:val="18"/>
              </w:rPr>
              <w:t>220,000</w:t>
            </w:r>
          </w:p>
        </w:tc>
        <w:tc>
          <w:tcPr>
            <w:tcW w:w="2012" w:type="dxa"/>
            <w:vAlign w:val="bottom"/>
          </w:tcPr>
          <w:p w14:paraId="547942FA" w14:textId="3FB6C309" w:rsidR="00224102" w:rsidRPr="00692926" w:rsidRDefault="00224102" w:rsidP="00224102">
            <w:pPr>
              <w:jc w:val="right"/>
              <w:rPr>
                <w:sz w:val="18"/>
                <w:szCs w:val="18"/>
              </w:rPr>
            </w:pPr>
            <w:r w:rsidRPr="00692926">
              <w:rPr>
                <w:sz w:val="18"/>
                <w:szCs w:val="18"/>
              </w:rPr>
              <w:t>220,000</w:t>
            </w:r>
          </w:p>
        </w:tc>
      </w:tr>
      <w:tr w:rsidR="00224102" w:rsidRPr="00604C75" w14:paraId="46A38FAF" w14:textId="77777777" w:rsidTr="00677268">
        <w:trPr>
          <w:trHeight w:val="113"/>
        </w:trPr>
        <w:tc>
          <w:tcPr>
            <w:tcW w:w="5191" w:type="dxa"/>
            <w:vAlign w:val="bottom"/>
          </w:tcPr>
          <w:p w14:paraId="0D8C2C6E" w14:textId="651AAB51" w:rsidR="00224102" w:rsidRPr="00604C75" w:rsidRDefault="00224102" w:rsidP="00224102">
            <w:pPr>
              <w:spacing w:line="221" w:lineRule="auto"/>
              <w:rPr>
                <w:snapToGrid w:val="0"/>
                <w:sz w:val="18"/>
              </w:rPr>
            </w:pPr>
            <w:r w:rsidRPr="00604C75">
              <w:rPr>
                <w:snapToGrid w:val="0"/>
                <w:sz w:val="18"/>
              </w:rPr>
              <w:t xml:space="preserve">  Cash </w:t>
            </w:r>
            <w:r>
              <w:rPr>
                <w:snapToGrid w:val="0"/>
                <w:sz w:val="18"/>
              </w:rPr>
              <w:t>F</w:t>
            </w:r>
            <w:r w:rsidRPr="00604C75">
              <w:rPr>
                <w:snapToGrid w:val="0"/>
                <w:sz w:val="18"/>
              </w:rPr>
              <w:t xml:space="preserve">low </w:t>
            </w:r>
            <w:r>
              <w:rPr>
                <w:snapToGrid w:val="0"/>
                <w:sz w:val="18"/>
              </w:rPr>
              <w:t>H</w:t>
            </w:r>
            <w:r w:rsidRPr="00604C75">
              <w:rPr>
                <w:snapToGrid w:val="0"/>
                <w:sz w:val="18"/>
              </w:rPr>
              <w:t>edges</w:t>
            </w:r>
          </w:p>
        </w:tc>
        <w:tc>
          <w:tcPr>
            <w:tcW w:w="2011" w:type="dxa"/>
            <w:vAlign w:val="bottom"/>
          </w:tcPr>
          <w:p w14:paraId="5591260A" w14:textId="7C1F2764" w:rsidR="00224102" w:rsidRPr="00692926" w:rsidRDefault="00224102" w:rsidP="00224102">
            <w:pPr>
              <w:jc w:val="right"/>
              <w:rPr>
                <w:sz w:val="18"/>
                <w:szCs w:val="18"/>
              </w:rPr>
            </w:pPr>
            <w:r w:rsidRPr="00692926">
              <w:rPr>
                <w:sz w:val="18"/>
                <w:szCs w:val="18"/>
              </w:rPr>
              <w:t>-</w:t>
            </w:r>
          </w:p>
        </w:tc>
        <w:tc>
          <w:tcPr>
            <w:tcW w:w="2012" w:type="dxa"/>
            <w:vAlign w:val="bottom"/>
          </w:tcPr>
          <w:p w14:paraId="3C6D42AC" w14:textId="2A8C8BCA" w:rsidR="00224102" w:rsidRPr="00692926" w:rsidRDefault="00224102" w:rsidP="00224102">
            <w:pPr>
              <w:jc w:val="right"/>
              <w:rPr>
                <w:sz w:val="18"/>
                <w:szCs w:val="18"/>
              </w:rPr>
            </w:pPr>
            <w:r w:rsidRPr="00692926">
              <w:rPr>
                <w:sz w:val="18"/>
                <w:szCs w:val="18"/>
              </w:rPr>
              <w:t>-</w:t>
            </w:r>
          </w:p>
        </w:tc>
      </w:tr>
      <w:tr w:rsidR="00224102" w:rsidRPr="00604C75" w14:paraId="2DA53B10" w14:textId="77777777" w:rsidTr="00677268">
        <w:trPr>
          <w:trHeight w:val="113"/>
        </w:trPr>
        <w:tc>
          <w:tcPr>
            <w:tcW w:w="5191" w:type="dxa"/>
            <w:vAlign w:val="bottom"/>
          </w:tcPr>
          <w:p w14:paraId="0BCC0631" w14:textId="6F0813E4" w:rsidR="00224102" w:rsidRPr="00604C75" w:rsidRDefault="00224102" w:rsidP="00224102">
            <w:pPr>
              <w:spacing w:line="221" w:lineRule="auto"/>
              <w:rPr>
                <w:snapToGrid w:val="0"/>
                <w:sz w:val="18"/>
              </w:rPr>
            </w:pPr>
            <w:r w:rsidRPr="00604C75">
              <w:rPr>
                <w:snapToGrid w:val="0"/>
                <w:sz w:val="18"/>
              </w:rPr>
              <w:t xml:space="preserve">  Foreign </w:t>
            </w:r>
            <w:r>
              <w:rPr>
                <w:snapToGrid w:val="0"/>
                <w:sz w:val="18"/>
              </w:rPr>
              <w:t>C</w:t>
            </w:r>
            <w:r w:rsidRPr="00604C75">
              <w:rPr>
                <w:snapToGrid w:val="0"/>
                <w:sz w:val="18"/>
              </w:rPr>
              <w:t xml:space="preserve">urrency </w:t>
            </w:r>
            <w:r>
              <w:rPr>
                <w:snapToGrid w:val="0"/>
                <w:sz w:val="18"/>
              </w:rPr>
              <w:t>I</w:t>
            </w:r>
            <w:r w:rsidRPr="00604C75">
              <w:rPr>
                <w:snapToGrid w:val="0"/>
                <w:sz w:val="18"/>
              </w:rPr>
              <w:t xml:space="preserve">nvestment </w:t>
            </w:r>
            <w:r>
              <w:rPr>
                <w:snapToGrid w:val="0"/>
                <w:sz w:val="18"/>
              </w:rPr>
              <w:t>H</w:t>
            </w:r>
            <w:r w:rsidRPr="00604C75">
              <w:rPr>
                <w:snapToGrid w:val="0"/>
                <w:sz w:val="18"/>
              </w:rPr>
              <w:t>edges</w:t>
            </w:r>
          </w:p>
        </w:tc>
        <w:tc>
          <w:tcPr>
            <w:tcW w:w="2011" w:type="dxa"/>
            <w:vAlign w:val="bottom"/>
          </w:tcPr>
          <w:p w14:paraId="2D164292" w14:textId="3FD627F1" w:rsidR="00224102" w:rsidRPr="00692926" w:rsidRDefault="00224102" w:rsidP="00224102">
            <w:pPr>
              <w:jc w:val="right"/>
              <w:rPr>
                <w:sz w:val="18"/>
                <w:szCs w:val="18"/>
              </w:rPr>
            </w:pPr>
            <w:r w:rsidRPr="00692926">
              <w:rPr>
                <w:sz w:val="18"/>
                <w:szCs w:val="18"/>
              </w:rPr>
              <w:t>-</w:t>
            </w:r>
          </w:p>
        </w:tc>
        <w:tc>
          <w:tcPr>
            <w:tcW w:w="2012" w:type="dxa"/>
            <w:vAlign w:val="bottom"/>
          </w:tcPr>
          <w:p w14:paraId="4A049A6E" w14:textId="114041DE" w:rsidR="00224102" w:rsidRPr="00692926" w:rsidRDefault="00224102" w:rsidP="00224102">
            <w:pPr>
              <w:jc w:val="right"/>
              <w:rPr>
                <w:sz w:val="18"/>
                <w:szCs w:val="18"/>
              </w:rPr>
            </w:pPr>
            <w:r w:rsidRPr="00692926">
              <w:rPr>
                <w:sz w:val="18"/>
                <w:szCs w:val="18"/>
              </w:rPr>
              <w:t>-</w:t>
            </w:r>
          </w:p>
        </w:tc>
      </w:tr>
      <w:tr w:rsidR="00224102" w:rsidRPr="00604C75" w14:paraId="15786356" w14:textId="77777777" w:rsidTr="00677268">
        <w:trPr>
          <w:trHeight w:val="113"/>
        </w:trPr>
        <w:tc>
          <w:tcPr>
            <w:tcW w:w="5191" w:type="dxa"/>
            <w:vAlign w:val="bottom"/>
          </w:tcPr>
          <w:p w14:paraId="36D7AB21" w14:textId="53492ACB" w:rsidR="00224102" w:rsidRPr="00604C75" w:rsidRDefault="00224102" w:rsidP="00787988">
            <w:pPr>
              <w:spacing w:line="221" w:lineRule="auto"/>
              <w:rPr>
                <w:b/>
                <w:snapToGrid w:val="0"/>
                <w:sz w:val="18"/>
              </w:rPr>
            </w:pPr>
            <w:r w:rsidRPr="00604C75">
              <w:rPr>
                <w:b/>
                <w:snapToGrid w:val="0"/>
                <w:sz w:val="18"/>
              </w:rPr>
              <w:t>B. Total</w:t>
            </w:r>
            <w:r>
              <w:rPr>
                <w:b/>
                <w:snapToGrid w:val="0"/>
                <w:sz w:val="18"/>
              </w:rPr>
              <w:t xml:space="preserve"> H</w:t>
            </w:r>
            <w:r w:rsidRPr="00604C75">
              <w:rPr>
                <w:b/>
                <w:snapToGrid w:val="0"/>
                <w:sz w:val="18"/>
              </w:rPr>
              <w:t xml:space="preserve">edging </w:t>
            </w:r>
            <w:r>
              <w:rPr>
                <w:b/>
                <w:snapToGrid w:val="0"/>
                <w:sz w:val="18"/>
              </w:rPr>
              <w:t>D</w:t>
            </w:r>
            <w:r w:rsidRPr="00604C75">
              <w:rPr>
                <w:b/>
                <w:snapToGrid w:val="0"/>
                <w:sz w:val="18"/>
              </w:rPr>
              <w:t>erivatives</w:t>
            </w:r>
          </w:p>
        </w:tc>
        <w:tc>
          <w:tcPr>
            <w:tcW w:w="2011" w:type="dxa"/>
            <w:vAlign w:val="bottom"/>
          </w:tcPr>
          <w:p w14:paraId="0ACCF46C" w14:textId="4ABC5F00" w:rsidR="00224102" w:rsidRPr="0048569A" w:rsidRDefault="00224102" w:rsidP="00224102">
            <w:pPr>
              <w:jc w:val="right"/>
              <w:rPr>
                <w:b/>
                <w:sz w:val="18"/>
                <w:szCs w:val="18"/>
              </w:rPr>
            </w:pPr>
            <w:r w:rsidRPr="00216A32">
              <w:rPr>
                <w:b/>
                <w:sz w:val="18"/>
                <w:szCs w:val="18"/>
              </w:rPr>
              <w:t>220,000</w:t>
            </w:r>
          </w:p>
        </w:tc>
        <w:tc>
          <w:tcPr>
            <w:tcW w:w="2012" w:type="dxa"/>
            <w:vAlign w:val="bottom"/>
          </w:tcPr>
          <w:p w14:paraId="73C98822" w14:textId="780BF64B" w:rsidR="00224102" w:rsidRPr="00692926" w:rsidRDefault="00224102" w:rsidP="00224102">
            <w:pPr>
              <w:jc w:val="right"/>
              <w:rPr>
                <w:b/>
                <w:sz w:val="18"/>
                <w:szCs w:val="18"/>
              </w:rPr>
            </w:pPr>
            <w:r w:rsidRPr="00692926">
              <w:rPr>
                <w:b/>
                <w:sz w:val="18"/>
                <w:szCs w:val="18"/>
              </w:rPr>
              <w:t>220,000</w:t>
            </w:r>
          </w:p>
        </w:tc>
      </w:tr>
      <w:tr w:rsidR="00224102" w:rsidRPr="00604C75" w14:paraId="36729AEC" w14:textId="77777777" w:rsidTr="00677268">
        <w:trPr>
          <w:trHeight w:val="113"/>
        </w:trPr>
        <w:tc>
          <w:tcPr>
            <w:tcW w:w="5191" w:type="dxa"/>
            <w:vAlign w:val="bottom"/>
          </w:tcPr>
          <w:p w14:paraId="46878BC5" w14:textId="4017BBB8" w:rsidR="00224102" w:rsidRPr="00604C75" w:rsidRDefault="00224102" w:rsidP="00224102">
            <w:pPr>
              <w:spacing w:line="221" w:lineRule="auto"/>
              <w:rPr>
                <w:b/>
                <w:snapToGrid w:val="0"/>
                <w:sz w:val="18"/>
              </w:rPr>
            </w:pPr>
            <w:r w:rsidRPr="00604C75">
              <w:rPr>
                <w:b/>
                <w:snapToGrid w:val="0"/>
                <w:sz w:val="18"/>
              </w:rPr>
              <w:t xml:space="preserve">Total </w:t>
            </w:r>
            <w:r>
              <w:rPr>
                <w:b/>
                <w:snapToGrid w:val="0"/>
                <w:sz w:val="18"/>
              </w:rPr>
              <w:t>D</w:t>
            </w:r>
            <w:r w:rsidRPr="00604C75">
              <w:rPr>
                <w:b/>
                <w:snapToGrid w:val="0"/>
                <w:sz w:val="18"/>
              </w:rPr>
              <w:t xml:space="preserve">erivative </w:t>
            </w:r>
            <w:r>
              <w:rPr>
                <w:b/>
                <w:snapToGrid w:val="0"/>
                <w:sz w:val="18"/>
              </w:rPr>
              <w:t>T</w:t>
            </w:r>
            <w:r w:rsidRPr="00604C75">
              <w:rPr>
                <w:b/>
                <w:snapToGrid w:val="0"/>
                <w:sz w:val="18"/>
              </w:rPr>
              <w:t>ransactions (A+B)</w:t>
            </w:r>
          </w:p>
        </w:tc>
        <w:tc>
          <w:tcPr>
            <w:tcW w:w="2011" w:type="dxa"/>
            <w:vAlign w:val="bottom"/>
          </w:tcPr>
          <w:p w14:paraId="5909E0E0" w14:textId="28A3C311" w:rsidR="00224102" w:rsidRPr="0048569A" w:rsidRDefault="00224102" w:rsidP="00224102">
            <w:pPr>
              <w:jc w:val="right"/>
              <w:rPr>
                <w:b/>
                <w:sz w:val="18"/>
                <w:szCs w:val="18"/>
              </w:rPr>
            </w:pPr>
            <w:r>
              <w:rPr>
                <w:b/>
                <w:sz w:val="18"/>
                <w:szCs w:val="18"/>
              </w:rPr>
              <w:t>10,903,680</w:t>
            </w:r>
          </w:p>
        </w:tc>
        <w:tc>
          <w:tcPr>
            <w:tcW w:w="2012" w:type="dxa"/>
            <w:vAlign w:val="bottom"/>
          </w:tcPr>
          <w:p w14:paraId="6B04E92F" w14:textId="00A30A30" w:rsidR="00224102" w:rsidRPr="00692926" w:rsidRDefault="00224102" w:rsidP="00224102">
            <w:pPr>
              <w:jc w:val="right"/>
              <w:rPr>
                <w:sz w:val="18"/>
                <w:szCs w:val="18"/>
              </w:rPr>
            </w:pPr>
            <w:r w:rsidRPr="00692926">
              <w:rPr>
                <w:b/>
                <w:sz w:val="18"/>
                <w:szCs w:val="18"/>
              </w:rPr>
              <w:t>4,279,955</w:t>
            </w:r>
          </w:p>
        </w:tc>
      </w:tr>
    </w:tbl>
    <w:p w14:paraId="65A03C85" w14:textId="77777777" w:rsidR="0044575F" w:rsidRPr="00604C75" w:rsidRDefault="0044575F" w:rsidP="008477F3">
      <w:pPr>
        <w:pStyle w:val="ListParagraph"/>
        <w:numPr>
          <w:ilvl w:val="0"/>
          <w:numId w:val="24"/>
        </w:numPr>
        <w:spacing w:before="120" w:line="221" w:lineRule="auto"/>
        <w:ind w:left="0" w:firstLine="0"/>
        <w:jc w:val="both"/>
        <w:rPr>
          <w:b/>
          <w:bCs/>
          <w:noProof/>
          <w:sz w:val="20"/>
          <w:szCs w:val="20"/>
        </w:rPr>
      </w:pPr>
      <w:r w:rsidRPr="00604C75">
        <w:rPr>
          <w:b/>
          <w:noProof/>
          <w:sz w:val="20"/>
          <w:szCs w:val="20"/>
        </w:rPr>
        <w:t>Investment Funds</w:t>
      </w:r>
    </w:p>
    <w:p w14:paraId="49A87D23" w14:textId="481BD93E" w:rsidR="00605393" w:rsidRPr="00CD0767" w:rsidRDefault="008C1382" w:rsidP="00490153">
      <w:pPr>
        <w:spacing w:before="120" w:after="120"/>
        <w:jc w:val="both"/>
        <w:rPr>
          <w:sz w:val="20"/>
          <w:szCs w:val="20"/>
        </w:rPr>
      </w:pPr>
      <w:r w:rsidRPr="00CD0767">
        <w:rPr>
          <w:sz w:val="20"/>
          <w:szCs w:val="20"/>
        </w:rPr>
        <w:t xml:space="preserve">As at 1 July 2015, Investment funds </w:t>
      </w:r>
      <w:proofErr w:type="spellStart"/>
      <w:r w:rsidRPr="00CD0767">
        <w:rPr>
          <w:sz w:val="20"/>
          <w:szCs w:val="20"/>
        </w:rPr>
        <w:t>Alternatifbank</w:t>
      </w:r>
      <w:proofErr w:type="spellEnd"/>
      <w:r w:rsidRPr="00CD0767">
        <w:rPr>
          <w:sz w:val="20"/>
          <w:szCs w:val="20"/>
        </w:rPr>
        <w:t xml:space="preserve"> A.Ş. B Tipi </w:t>
      </w:r>
      <w:proofErr w:type="spellStart"/>
      <w:r w:rsidRPr="00CD0767">
        <w:rPr>
          <w:sz w:val="20"/>
          <w:szCs w:val="20"/>
        </w:rPr>
        <w:t>Likit</w:t>
      </w:r>
      <w:proofErr w:type="spellEnd"/>
      <w:r w:rsidRPr="00CD0767">
        <w:rPr>
          <w:sz w:val="20"/>
          <w:szCs w:val="20"/>
        </w:rPr>
        <w:t xml:space="preserve"> </w:t>
      </w:r>
      <w:proofErr w:type="spellStart"/>
      <w:r w:rsidRPr="00CD0767">
        <w:rPr>
          <w:sz w:val="20"/>
          <w:szCs w:val="20"/>
        </w:rPr>
        <w:t>Fon</w:t>
      </w:r>
      <w:proofErr w:type="spellEnd"/>
      <w:r w:rsidRPr="00CD0767">
        <w:rPr>
          <w:sz w:val="20"/>
          <w:szCs w:val="20"/>
        </w:rPr>
        <w:t xml:space="preserve"> and </w:t>
      </w:r>
      <w:proofErr w:type="spellStart"/>
      <w:r w:rsidRPr="00CD0767">
        <w:rPr>
          <w:sz w:val="20"/>
          <w:szCs w:val="20"/>
        </w:rPr>
        <w:t>Alternatifbank</w:t>
      </w:r>
      <w:proofErr w:type="spellEnd"/>
      <w:r w:rsidRPr="00CD0767">
        <w:rPr>
          <w:sz w:val="20"/>
          <w:szCs w:val="20"/>
        </w:rPr>
        <w:t xml:space="preserve"> A.Ş. B Tipi </w:t>
      </w:r>
      <w:proofErr w:type="spellStart"/>
      <w:r w:rsidRPr="00CD0767">
        <w:rPr>
          <w:sz w:val="20"/>
          <w:szCs w:val="20"/>
        </w:rPr>
        <w:t>Özel</w:t>
      </w:r>
      <w:proofErr w:type="spellEnd"/>
      <w:r w:rsidRPr="00CD0767">
        <w:rPr>
          <w:sz w:val="20"/>
          <w:szCs w:val="20"/>
        </w:rPr>
        <w:t xml:space="preserve"> </w:t>
      </w:r>
      <w:proofErr w:type="spellStart"/>
      <w:r w:rsidRPr="00CD0767">
        <w:rPr>
          <w:sz w:val="20"/>
          <w:szCs w:val="20"/>
        </w:rPr>
        <w:t>Sektör</w:t>
      </w:r>
      <w:proofErr w:type="spellEnd"/>
      <w:r w:rsidRPr="00CD0767">
        <w:rPr>
          <w:sz w:val="20"/>
          <w:szCs w:val="20"/>
        </w:rPr>
        <w:t xml:space="preserve"> </w:t>
      </w:r>
      <w:proofErr w:type="spellStart"/>
      <w:r w:rsidRPr="00CD0767">
        <w:rPr>
          <w:sz w:val="20"/>
          <w:szCs w:val="20"/>
        </w:rPr>
        <w:t>Odaklı</w:t>
      </w:r>
      <w:proofErr w:type="spellEnd"/>
      <w:r w:rsidRPr="00CD0767">
        <w:rPr>
          <w:sz w:val="20"/>
          <w:szCs w:val="20"/>
        </w:rPr>
        <w:t xml:space="preserve"> </w:t>
      </w:r>
      <w:proofErr w:type="spellStart"/>
      <w:r w:rsidRPr="00CD0767">
        <w:rPr>
          <w:sz w:val="20"/>
          <w:szCs w:val="20"/>
        </w:rPr>
        <w:t>Tahvil</w:t>
      </w:r>
      <w:proofErr w:type="spellEnd"/>
      <w:r w:rsidRPr="00CD0767">
        <w:rPr>
          <w:sz w:val="20"/>
          <w:szCs w:val="20"/>
        </w:rPr>
        <w:t xml:space="preserve"> Bono </w:t>
      </w:r>
      <w:proofErr w:type="spellStart"/>
      <w:r w:rsidRPr="00CD0767">
        <w:rPr>
          <w:sz w:val="20"/>
          <w:szCs w:val="20"/>
        </w:rPr>
        <w:t>Fon</w:t>
      </w:r>
      <w:proofErr w:type="spellEnd"/>
      <w:r w:rsidRPr="00CD0767">
        <w:rPr>
          <w:sz w:val="20"/>
          <w:szCs w:val="20"/>
        </w:rPr>
        <w:t xml:space="preserve"> are transferred to </w:t>
      </w:r>
      <w:proofErr w:type="spellStart"/>
      <w:r w:rsidRPr="00CD0767">
        <w:rPr>
          <w:sz w:val="20"/>
          <w:szCs w:val="20"/>
        </w:rPr>
        <w:t>Ak</w:t>
      </w:r>
      <w:proofErr w:type="spellEnd"/>
      <w:r w:rsidRPr="00CD0767">
        <w:rPr>
          <w:sz w:val="20"/>
          <w:szCs w:val="20"/>
        </w:rPr>
        <w:t xml:space="preserve"> </w:t>
      </w:r>
      <w:proofErr w:type="spellStart"/>
      <w:r w:rsidRPr="00CD0767">
        <w:rPr>
          <w:sz w:val="20"/>
          <w:szCs w:val="20"/>
        </w:rPr>
        <w:t>Portföy</w:t>
      </w:r>
      <w:proofErr w:type="spellEnd"/>
      <w:r w:rsidRPr="00CD0767">
        <w:rPr>
          <w:sz w:val="20"/>
          <w:szCs w:val="20"/>
        </w:rPr>
        <w:t xml:space="preserve"> </w:t>
      </w:r>
      <w:proofErr w:type="spellStart"/>
      <w:r w:rsidRPr="00CD0767">
        <w:rPr>
          <w:sz w:val="20"/>
          <w:szCs w:val="20"/>
        </w:rPr>
        <w:t>Yönetimi</w:t>
      </w:r>
      <w:proofErr w:type="spellEnd"/>
      <w:r w:rsidRPr="00CD0767">
        <w:rPr>
          <w:sz w:val="20"/>
          <w:szCs w:val="20"/>
        </w:rPr>
        <w:t xml:space="preserve"> </w:t>
      </w:r>
      <w:proofErr w:type="gramStart"/>
      <w:r w:rsidRPr="00CD0767">
        <w:rPr>
          <w:sz w:val="20"/>
          <w:szCs w:val="20"/>
        </w:rPr>
        <w:t>A.Ş</w:t>
      </w:r>
      <w:r w:rsidR="00344F1F" w:rsidRPr="00344F1F">
        <w:rPr>
          <w:sz w:val="20"/>
          <w:szCs w:val="20"/>
        </w:rPr>
        <w:t>.</w:t>
      </w:r>
      <w:r w:rsidR="00344F1F">
        <w:rPr>
          <w:sz w:val="20"/>
          <w:szCs w:val="20"/>
        </w:rPr>
        <w:t>.</w:t>
      </w:r>
      <w:proofErr w:type="gramEnd"/>
      <w:r w:rsidR="00344F1F">
        <w:rPr>
          <w:sz w:val="20"/>
          <w:szCs w:val="20"/>
        </w:rPr>
        <w:t xml:space="preserve"> </w:t>
      </w:r>
      <w:r w:rsidR="00C33E82">
        <w:rPr>
          <w:sz w:val="20"/>
          <w:szCs w:val="20"/>
        </w:rPr>
        <w:t xml:space="preserve">On the </w:t>
      </w:r>
      <w:proofErr w:type="spellStart"/>
      <w:r w:rsidRPr="00CD0767">
        <w:rPr>
          <w:sz w:val="20"/>
          <w:szCs w:val="20"/>
        </w:rPr>
        <w:t>Alternatifbank</w:t>
      </w:r>
      <w:proofErr w:type="spellEnd"/>
      <w:r w:rsidRPr="00CD0767">
        <w:rPr>
          <w:sz w:val="20"/>
          <w:szCs w:val="20"/>
        </w:rPr>
        <w:t xml:space="preserve"> B Tipi </w:t>
      </w:r>
      <w:proofErr w:type="spellStart"/>
      <w:r w:rsidRPr="00CD0767">
        <w:rPr>
          <w:sz w:val="20"/>
          <w:szCs w:val="20"/>
        </w:rPr>
        <w:t>Değişken</w:t>
      </w:r>
      <w:proofErr w:type="spellEnd"/>
      <w:r w:rsidRPr="00CD0767">
        <w:rPr>
          <w:sz w:val="20"/>
          <w:szCs w:val="20"/>
        </w:rPr>
        <w:t xml:space="preserve"> </w:t>
      </w:r>
      <w:proofErr w:type="spellStart"/>
      <w:r w:rsidRPr="00CD0767">
        <w:rPr>
          <w:sz w:val="20"/>
          <w:szCs w:val="20"/>
        </w:rPr>
        <w:t>Fon</w:t>
      </w:r>
      <w:proofErr w:type="spellEnd"/>
      <w:r w:rsidRPr="00CD0767">
        <w:rPr>
          <w:sz w:val="20"/>
          <w:szCs w:val="20"/>
        </w:rPr>
        <w:t xml:space="preserve">, </w:t>
      </w:r>
      <w:proofErr w:type="spellStart"/>
      <w:r w:rsidRPr="00CD0767">
        <w:rPr>
          <w:sz w:val="20"/>
          <w:szCs w:val="20"/>
        </w:rPr>
        <w:t>Alternatifbank</w:t>
      </w:r>
      <w:proofErr w:type="spellEnd"/>
      <w:r w:rsidRPr="00CD0767">
        <w:rPr>
          <w:sz w:val="20"/>
          <w:szCs w:val="20"/>
        </w:rPr>
        <w:t xml:space="preserve"> A.Ş. A Tipi </w:t>
      </w:r>
      <w:proofErr w:type="spellStart"/>
      <w:r w:rsidRPr="00CD0767">
        <w:rPr>
          <w:sz w:val="20"/>
          <w:szCs w:val="20"/>
        </w:rPr>
        <w:t>Değişken</w:t>
      </w:r>
      <w:proofErr w:type="spellEnd"/>
      <w:r w:rsidRPr="00CD0767">
        <w:rPr>
          <w:sz w:val="20"/>
          <w:szCs w:val="20"/>
        </w:rPr>
        <w:t xml:space="preserve"> </w:t>
      </w:r>
      <w:proofErr w:type="spellStart"/>
      <w:r w:rsidRPr="00CD0767">
        <w:rPr>
          <w:sz w:val="20"/>
          <w:szCs w:val="20"/>
        </w:rPr>
        <w:t>Fon</w:t>
      </w:r>
      <w:proofErr w:type="spellEnd"/>
      <w:r w:rsidRPr="00CD0767">
        <w:rPr>
          <w:sz w:val="20"/>
          <w:szCs w:val="20"/>
        </w:rPr>
        <w:t xml:space="preserve"> and </w:t>
      </w:r>
      <w:proofErr w:type="spellStart"/>
      <w:r w:rsidRPr="00CD0767">
        <w:rPr>
          <w:sz w:val="20"/>
          <w:szCs w:val="20"/>
        </w:rPr>
        <w:t>Alternatifbank</w:t>
      </w:r>
      <w:proofErr w:type="spellEnd"/>
      <w:r w:rsidRPr="00CD0767">
        <w:rPr>
          <w:sz w:val="20"/>
          <w:szCs w:val="20"/>
        </w:rPr>
        <w:t xml:space="preserve"> A.Ş. A Tipi </w:t>
      </w:r>
      <w:proofErr w:type="spellStart"/>
      <w:r w:rsidRPr="00CD0767">
        <w:rPr>
          <w:sz w:val="20"/>
          <w:szCs w:val="20"/>
        </w:rPr>
        <w:t>Hisse</w:t>
      </w:r>
      <w:proofErr w:type="spellEnd"/>
      <w:r w:rsidRPr="00CD0767">
        <w:rPr>
          <w:sz w:val="20"/>
          <w:szCs w:val="20"/>
        </w:rPr>
        <w:t xml:space="preserve"> </w:t>
      </w:r>
      <w:proofErr w:type="spellStart"/>
      <w:r w:rsidRPr="00CD0767">
        <w:rPr>
          <w:sz w:val="20"/>
          <w:szCs w:val="20"/>
        </w:rPr>
        <w:t>Fon</w:t>
      </w:r>
      <w:proofErr w:type="spellEnd"/>
      <w:r w:rsidRPr="00CD0767">
        <w:rPr>
          <w:sz w:val="20"/>
          <w:szCs w:val="20"/>
        </w:rPr>
        <w:t xml:space="preserve"> are </w:t>
      </w:r>
      <w:r w:rsidR="00344F1F">
        <w:rPr>
          <w:sz w:val="20"/>
          <w:szCs w:val="20"/>
        </w:rPr>
        <w:t xml:space="preserve">also transferred to </w:t>
      </w:r>
      <w:proofErr w:type="spellStart"/>
      <w:r w:rsidR="00344F1F" w:rsidRPr="00344F1F">
        <w:rPr>
          <w:sz w:val="20"/>
          <w:szCs w:val="20"/>
        </w:rPr>
        <w:t>Fokus</w:t>
      </w:r>
      <w:proofErr w:type="spellEnd"/>
      <w:r w:rsidR="00344F1F" w:rsidRPr="00344F1F">
        <w:rPr>
          <w:sz w:val="20"/>
          <w:szCs w:val="20"/>
        </w:rPr>
        <w:t xml:space="preserve"> </w:t>
      </w:r>
      <w:proofErr w:type="spellStart"/>
      <w:r w:rsidR="00344F1F" w:rsidRPr="00344F1F">
        <w:rPr>
          <w:sz w:val="20"/>
          <w:szCs w:val="20"/>
        </w:rPr>
        <w:t>Portföy</w:t>
      </w:r>
      <w:proofErr w:type="spellEnd"/>
      <w:r w:rsidR="00344F1F" w:rsidRPr="00344F1F">
        <w:rPr>
          <w:sz w:val="20"/>
          <w:szCs w:val="20"/>
        </w:rPr>
        <w:t xml:space="preserve"> </w:t>
      </w:r>
      <w:proofErr w:type="spellStart"/>
      <w:r w:rsidR="00344F1F" w:rsidRPr="00344F1F">
        <w:rPr>
          <w:sz w:val="20"/>
          <w:szCs w:val="20"/>
        </w:rPr>
        <w:t>Yönetimi</w:t>
      </w:r>
      <w:proofErr w:type="spellEnd"/>
      <w:r w:rsidR="00344F1F" w:rsidRPr="00344F1F">
        <w:rPr>
          <w:sz w:val="20"/>
          <w:szCs w:val="20"/>
        </w:rPr>
        <w:t xml:space="preserve"> A.Ş.</w:t>
      </w:r>
      <w:r w:rsidR="00C33E82">
        <w:rPr>
          <w:sz w:val="20"/>
          <w:szCs w:val="20"/>
        </w:rPr>
        <w:t xml:space="preserve"> dated 31 December 2015</w:t>
      </w:r>
      <w:r w:rsidR="00605393" w:rsidRPr="00CD0767">
        <w:rPr>
          <w:sz w:val="20"/>
          <w:szCs w:val="20"/>
        </w:rPr>
        <w:t xml:space="preserve">.  </w:t>
      </w:r>
    </w:p>
    <w:p w14:paraId="5FD588F8" w14:textId="09CA82B9" w:rsidR="00CE0A6D" w:rsidRPr="00692926" w:rsidRDefault="00224102" w:rsidP="00490153">
      <w:pPr>
        <w:spacing w:before="120" w:after="120"/>
        <w:jc w:val="both"/>
        <w:rPr>
          <w:sz w:val="20"/>
          <w:szCs w:val="20"/>
        </w:rPr>
      </w:pPr>
      <w:r>
        <w:rPr>
          <w:sz w:val="20"/>
          <w:szCs w:val="20"/>
        </w:rPr>
        <w:t xml:space="preserve">The Parent </w:t>
      </w:r>
      <w:r w:rsidR="00605393" w:rsidRPr="00CD0767">
        <w:rPr>
          <w:sz w:val="20"/>
          <w:szCs w:val="20"/>
        </w:rPr>
        <w:t xml:space="preserve">Bank’s agency agreement with </w:t>
      </w:r>
      <w:proofErr w:type="spellStart"/>
      <w:r w:rsidR="00605393" w:rsidRPr="00CD0767">
        <w:rPr>
          <w:sz w:val="20"/>
          <w:szCs w:val="20"/>
        </w:rPr>
        <w:t>Alternatif</w:t>
      </w:r>
      <w:proofErr w:type="spellEnd"/>
      <w:r w:rsidR="00605393" w:rsidRPr="00CD0767">
        <w:rPr>
          <w:sz w:val="20"/>
          <w:szCs w:val="20"/>
        </w:rPr>
        <w:t xml:space="preserve"> </w:t>
      </w:r>
      <w:proofErr w:type="spellStart"/>
      <w:r w:rsidR="00605393" w:rsidRPr="00CD0767">
        <w:rPr>
          <w:sz w:val="20"/>
          <w:szCs w:val="20"/>
        </w:rPr>
        <w:t>Yatırım</w:t>
      </w:r>
      <w:proofErr w:type="spellEnd"/>
      <w:r w:rsidR="00605393" w:rsidRPr="00CD0767">
        <w:rPr>
          <w:sz w:val="20"/>
          <w:szCs w:val="20"/>
        </w:rPr>
        <w:t xml:space="preserve"> A.Ş. is c</w:t>
      </w:r>
      <w:r w:rsidR="00B752D1" w:rsidRPr="00CD0767">
        <w:rPr>
          <w:sz w:val="20"/>
          <w:szCs w:val="20"/>
        </w:rPr>
        <w:t xml:space="preserve">ancelled </w:t>
      </w:r>
      <w:r w:rsidR="008C1382" w:rsidRPr="00CD0767">
        <w:rPr>
          <w:sz w:val="20"/>
          <w:szCs w:val="20"/>
        </w:rPr>
        <w:t xml:space="preserve">on </w:t>
      </w:r>
      <w:r w:rsidR="00605393" w:rsidRPr="00CD0767">
        <w:rPr>
          <w:sz w:val="20"/>
          <w:szCs w:val="20"/>
        </w:rPr>
        <w:t>3</w:t>
      </w:r>
      <w:r w:rsidR="00C33E82">
        <w:rPr>
          <w:sz w:val="20"/>
          <w:szCs w:val="20"/>
        </w:rPr>
        <w:t>1</w:t>
      </w:r>
      <w:r w:rsidR="00605393" w:rsidRPr="00CD0767">
        <w:rPr>
          <w:sz w:val="20"/>
          <w:szCs w:val="20"/>
        </w:rPr>
        <w:t xml:space="preserve"> </w:t>
      </w:r>
      <w:r w:rsidR="00C33E82">
        <w:rPr>
          <w:sz w:val="20"/>
          <w:szCs w:val="20"/>
        </w:rPr>
        <w:t>Dece</w:t>
      </w:r>
      <w:r w:rsidR="006E32A0" w:rsidRPr="00CD0767">
        <w:rPr>
          <w:sz w:val="20"/>
          <w:szCs w:val="20"/>
        </w:rPr>
        <w:t>mber</w:t>
      </w:r>
      <w:r w:rsidR="00605393" w:rsidRPr="00CD0767">
        <w:rPr>
          <w:sz w:val="20"/>
          <w:szCs w:val="20"/>
        </w:rPr>
        <w:t xml:space="preserve"> 2015.</w:t>
      </w:r>
    </w:p>
    <w:p w14:paraId="494A0E8B" w14:textId="77777777" w:rsidR="0044575F" w:rsidRPr="00604C75" w:rsidRDefault="0044575F" w:rsidP="00490153">
      <w:pPr>
        <w:pStyle w:val="BodyText3"/>
        <w:tabs>
          <w:tab w:val="clear" w:pos="539"/>
          <w:tab w:val="center" w:pos="709"/>
        </w:tabs>
        <w:spacing w:before="120" w:line="221" w:lineRule="auto"/>
        <w:ind w:right="-11"/>
        <w:jc w:val="both"/>
        <w:rPr>
          <w:b/>
          <w:i w:val="0"/>
          <w:sz w:val="20"/>
          <w:lang w:val="fr-FR"/>
        </w:rPr>
      </w:pPr>
      <w:r w:rsidRPr="00604C75">
        <w:rPr>
          <w:b/>
          <w:i w:val="0"/>
          <w:sz w:val="20"/>
          <w:lang w:val="fr-FR"/>
        </w:rPr>
        <w:t>d.</w:t>
      </w:r>
      <w:r w:rsidR="0064446F" w:rsidRPr="00604C75">
        <w:rPr>
          <w:b/>
          <w:i w:val="0"/>
          <w:sz w:val="20"/>
          <w:lang w:val="fr-FR"/>
        </w:rPr>
        <w:t xml:space="preserve">          </w:t>
      </w:r>
      <w:r w:rsidRPr="00604C75">
        <w:rPr>
          <w:b/>
          <w:sz w:val="20"/>
          <w:lang w:val="fr-FR"/>
        </w:rPr>
        <w:tab/>
      </w:r>
      <w:r w:rsidR="0064446F" w:rsidRPr="00604C75">
        <w:rPr>
          <w:b/>
          <w:sz w:val="20"/>
          <w:lang w:val="fr-FR"/>
        </w:rPr>
        <w:t xml:space="preserve"> </w:t>
      </w:r>
      <w:r w:rsidRPr="00604C75">
        <w:rPr>
          <w:b/>
          <w:i w:val="0"/>
          <w:sz w:val="20"/>
          <w:lang w:val="fr-FR"/>
        </w:rPr>
        <w:t xml:space="preserve">Information on </w:t>
      </w:r>
      <w:r w:rsidR="00F41842" w:rsidRPr="00604C75">
        <w:rPr>
          <w:b/>
          <w:i w:val="0"/>
          <w:sz w:val="20"/>
          <w:lang w:val="fr-FR"/>
        </w:rPr>
        <w:t xml:space="preserve">contingent </w:t>
      </w:r>
      <w:proofErr w:type="spellStart"/>
      <w:r w:rsidR="00F41842" w:rsidRPr="00604C75">
        <w:rPr>
          <w:b/>
          <w:i w:val="0"/>
          <w:sz w:val="20"/>
          <w:lang w:val="fr-FR"/>
        </w:rPr>
        <w:t>liabilities</w:t>
      </w:r>
      <w:proofErr w:type="spellEnd"/>
    </w:p>
    <w:p w14:paraId="1DB67F29" w14:textId="28B0CA08" w:rsidR="00F41842" w:rsidRPr="00604C75" w:rsidRDefault="001B3856" w:rsidP="00490153">
      <w:pPr>
        <w:pStyle w:val="Heading2"/>
        <w:tabs>
          <w:tab w:val="left" w:pos="851"/>
        </w:tabs>
        <w:ind w:right="122"/>
        <w:jc w:val="both"/>
        <w:rPr>
          <w:rFonts w:ascii="Times New Roman" w:hAnsi="Times New Roman"/>
          <w:b w:val="0"/>
          <w:caps/>
          <w:sz w:val="20"/>
        </w:rPr>
      </w:pPr>
      <w:r>
        <w:rPr>
          <w:rFonts w:ascii="Times New Roman" w:hAnsi="Times New Roman"/>
          <w:b w:val="0"/>
          <w:sz w:val="20"/>
        </w:rPr>
        <w:t>As of 3</w:t>
      </w:r>
      <w:r w:rsidR="005D7889">
        <w:rPr>
          <w:rFonts w:ascii="Times New Roman" w:hAnsi="Times New Roman"/>
          <w:b w:val="0"/>
          <w:sz w:val="20"/>
        </w:rPr>
        <w:t>1</w:t>
      </w:r>
      <w:r>
        <w:rPr>
          <w:rFonts w:ascii="Times New Roman" w:hAnsi="Times New Roman"/>
          <w:b w:val="0"/>
          <w:sz w:val="20"/>
        </w:rPr>
        <w:t xml:space="preserve"> </w:t>
      </w:r>
      <w:r w:rsidR="005D7889">
        <w:rPr>
          <w:rFonts w:ascii="Times New Roman" w:hAnsi="Times New Roman"/>
          <w:b w:val="0"/>
          <w:sz w:val="20"/>
        </w:rPr>
        <w:t xml:space="preserve">December </w:t>
      </w:r>
      <w:r>
        <w:rPr>
          <w:rFonts w:ascii="Times New Roman" w:hAnsi="Times New Roman"/>
          <w:b w:val="0"/>
          <w:sz w:val="20"/>
        </w:rPr>
        <w:t>2015</w:t>
      </w:r>
      <w:r w:rsidR="00432ECA">
        <w:rPr>
          <w:rFonts w:ascii="Times New Roman" w:hAnsi="Times New Roman"/>
          <w:b w:val="0"/>
          <w:sz w:val="20"/>
        </w:rPr>
        <w:t>,</w:t>
      </w:r>
      <w:r>
        <w:rPr>
          <w:rFonts w:ascii="Times New Roman" w:hAnsi="Times New Roman"/>
          <w:b w:val="0"/>
          <w:sz w:val="20"/>
        </w:rPr>
        <w:t xml:space="preserve"> o</w:t>
      </w:r>
      <w:r w:rsidR="00531418" w:rsidRPr="00604C75">
        <w:rPr>
          <w:rFonts w:ascii="Times New Roman" w:hAnsi="Times New Roman"/>
          <w:b w:val="0"/>
          <w:sz w:val="20"/>
        </w:rPr>
        <w:t xml:space="preserve">utstanding legal </w:t>
      </w:r>
      <w:r w:rsidR="00196A0E">
        <w:rPr>
          <w:rFonts w:ascii="Times New Roman" w:hAnsi="Times New Roman"/>
          <w:b w:val="0"/>
          <w:sz w:val="20"/>
        </w:rPr>
        <w:t>claims</w:t>
      </w:r>
      <w:r w:rsidR="00531418" w:rsidRPr="00604C75">
        <w:rPr>
          <w:rFonts w:ascii="Times New Roman" w:hAnsi="Times New Roman"/>
          <w:b w:val="0"/>
          <w:sz w:val="20"/>
        </w:rPr>
        <w:t xml:space="preserve"> against the group have been considered as contingent l</w:t>
      </w:r>
      <w:r w:rsidR="00195EDC">
        <w:rPr>
          <w:rFonts w:ascii="Times New Roman" w:hAnsi="Times New Roman"/>
          <w:b w:val="0"/>
          <w:sz w:val="20"/>
        </w:rPr>
        <w:t>iabilities amounting to TL 13,</w:t>
      </w:r>
      <w:r w:rsidR="00991C34">
        <w:rPr>
          <w:rFonts w:ascii="Times New Roman" w:hAnsi="Times New Roman"/>
          <w:b w:val="0"/>
          <w:sz w:val="20"/>
        </w:rPr>
        <w:t xml:space="preserve">760 </w:t>
      </w:r>
      <w:r w:rsidR="005B645B">
        <w:rPr>
          <w:rFonts w:ascii="Times New Roman" w:hAnsi="Times New Roman"/>
          <w:b w:val="0"/>
          <w:sz w:val="20"/>
        </w:rPr>
        <w:t xml:space="preserve">and </w:t>
      </w:r>
      <w:r w:rsidR="005B645B" w:rsidRPr="00195EDC">
        <w:rPr>
          <w:rFonts w:ascii="Times New Roman" w:hAnsi="Times New Roman"/>
          <w:b w:val="0"/>
          <w:sz w:val="20"/>
        </w:rPr>
        <w:t xml:space="preserve">TL </w:t>
      </w:r>
      <w:r w:rsidR="009E467E" w:rsidRPr="00195EDC">
        <w:rPr>
          <w:rFonts w:ascii="Times New Roman" w:hAnsi="Times New Roman"/>
          <w:b w:val="0"/>
          <w:sz w:val="20"/>
        </w:rPr>
        <w:t>7,780</w:t>
      </w:r>
      <w:r w:rsidR="009E467E">
        <w:rPr>
          <w:rFonts w:ascii="Times New Roman" w:hAnsi="Times New Roman"/>
          <w:b w:val="0"/>
          <w:sz w:val="20"/>
        </w:rPr>
        <w:t xml:space="preserve"> </w:t>
      </w:r>
      <w:r w:rsidR="00531418" w:rsidRPr="00604C75">
        <w:rPr>
          <w:rFonts w:ascii="Times New Roman" w:hAnsi="Times New Roman"/>
          <w:b w:val="0"/>
          <w:sz w:val="20"/>
        </w:rPr>
        <w:t xml:space="preserve">provision </w:t>
      </w:r>
      <w:r w:rsidR="00AF5912" w:rsidRPr="00604C75">
        <w:rPr>
          <w:rFonts w:ascii="Times New Roman" w:hAnsi="Times New Roman"/>
          <w:b w:val="0"/>
          <w:sz w:val="20"/>
        </w:rPr>
        <w:t xml:space="preserve">is provided </w:t>
      </w:r>
      <w:r w:rsidR="00531418" w:rsidRPr="00604C75">
        <w:rPr>
          <w:rFonts w:ascii="Times New Roman" w:hAnsi="Times New Roman"/>
          <w:b w:val="0"/>
          <w:sz w:val="20"/>
        </w:rPr>
        <w:t>against these legal cases (31 December 2014:</w:t>
      </w:r>
      <w:r w:rsidR="004D762C">
        <w:rPr>
          <w:rFonts w:ascii="Times New Roman" w:hAnsi="Times New Roman"/>
          <w:b w:val="0"/>
          <w:sz w:val="20"/>
        </w:rPr>
        <w:t>Contingent Liability</w:t>
      </w:r>
      <w:r w:rsidR="00531418" w:rsidRPr="00604C75">
        <w:rPr>
          <w:rFonts w:ascii="Times New Roman" w:hAnsi="Times New Roman"/>
          <w:b w:val="0"/>
          <w:sz w:val="20"/>
        </w:rPr>
        <w:t>:</w:t>
      </w:r>
      <w:r w:rsidR="0020786B" w:rsidRPr="00604C75">
        <w:rPr>
          <w:rFonts w:ascii="Times New Roman" w:hAnsi="Times New Roman"/>
          <w:b w:val="0"/>
          <w:sz w:val="20"/>
        </w:rPr>
        <w:t xml:space="preserve"> </w:t>
      </w:r>
      <w:r w:rsidR="00AF5912" w:rsidRPr="00604C75">
        <w:rPr>
          <w:rFonts w:ascii="Times New Roman" w:hAnsi="Times New Roman"/>
          <w:b w:val="0"/>
          <w:sz w:val="20"/>
        </w:rPr>
        <w:t xml:space="preserve">TL 6,734 </w:t>
      </w:r>
      <w:r w:rsidR="00531418" w:rsidRPr="00604C75">
        <w:rPr>
          <w:rFonts w:ascii="Times New Roman" w:hAnsi="Times New Roman"/>
          <w:b w:val="0"/>
          <w:sz w:val="20"/>
        </w:rPr>
        <w:t>Provision: TL 3,063).</w:t>
      </w:r>
    </w:p>
    <w:p w14:paraId="10BC5E68" w14:textId="77777777" w:rsidR="00FB0078" w:rsidRPr="00604C75" w:rsidRDefault="00FB0078" w:rsidP="00490153">
      <w:pPr>
        <w:pStyle w:val="NormalIndent"/>
        <w:tabs>
          <w:tab w:val="left" w:pos="709"/>
        </w:tabs>
        <w:spacing w:before="120"/>
        <w:ind w:left="0"/>
        <w:jc w:val="both"/>
        <w:rPr>
          <w:b/>
          <w:caps/>
        </w:rPr>
      </w:pPr>
      <w:r w:rsidRPr="00604C75">
        <w:rPr>
          <w:b/>
        </w:rPr>
        <w:t>e.</w:t>
      </w:r>
      <w:r w:rsidRPr="00604C75">
        <w:rPr>
          <w:b/>
        </w:rPr>
        <w:tab/>
      </w:r>
      <w:proofErr w:type="spellStart"/>
      <w:r w:rsidRPr="00604C75">
        <w:rPr>
          <w:b/>
        </w:rPr>
        <w:t>Expalanations</w:t>
      </w:r>
      <w:proofErr w:type="spellEnd"/>
      <w:r w:rsidRPr="00604C75">
        <w:rPr>
          <w:b/>
        </w:rPr>
        <w:t xml:space="preserve"> related to transactions made on behalf of others and transaction based on trust</w:t>
      </w:r>
    </w:p>
    <w:p w14:paraId="00EBECB8" w14:textId="77777777" w:rsidR="00FB0078" w:rsidRPr="00604C75" w:rsidRDefault="00FB0078" w:rsidP="00490153">
      <w:pPr>
        <w:spacing w:before="120"/>
        <w:jc w:val="both"/>
        <w:rPr>
          <w:sz w:val="20"/>
          <w:szCs w:val="20"/>
        </w:rPr>
      </w:pPr>
      <w:r w:rsidRPr="00604C75">
        <w:rPr>
          <w:sz w:val="20"/>
          <w:szCs w:val="20"/>
        </w:rPr>
        <w:t xml:space="preserve">The Parent Bank's </w:t>
      </w:r>
      <w:r w:rsidR="00556AA8" w:rsidRPr="00604C75">
        <w:rPr>
          <w:sz w:val="20"/>
          <w:szCs w:val="20"/>
        </w:rPr>
        <w:t xml:space="preserve">custody or placement activities on behalf of </w:t>
      </w:r>
      <w:r w:rsidRPr="00604C75">
        <w:rPr>
          <w:sz w:val="20"/>
          <w:szCs w:val="20"/>
        </w:rPr>
        <w:t xml:space="preserve">real and legal persons are </w:t>
      </w:r>
      <w:r w:rsidR="00AF5912" w:rsidRPr="00604C75">
        <w:rPr>
          <w:sz w:val="20"/>
          <w:szCs w:val="20"/>
        </w:rPr>
        <w:t>im</w:t>
      </w:r>
      <w:r w:rsidRPr="00604C75">
        <w:rPr>
          <w:sz w:val="20"/>
          <w:szCs w:val="20"/>
        </w:rPr>
        <w:t>material.</w:t>
      </w:r>
    </w:p>
    <w:p w14:paraId="75E4FA13" w14:textId="77777777" w:rsidR="00FB0078" w:rsidRPr="00604C75" w:rsidRDefault="00FB0078" w:rsidP="0052284A">
      <w:pPr>
        <w:spacing w:line="221" w:lineRule="auto"/>
        <w:ind w:left="1276"/>
        <w:jc w:val="both"/>
        <w:rPr>
          <w:sz w:val="20"/>
          <w:szCs w:val="20"/>
        </w:rPr>
      </w:pPr>
    </w:p>
    <w:p w14:paraId="6C5AA3AF" w14:textId="2F5D9504" w:rsidR="00917F06"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65FC8D0E" w14:textId="28DF8FF5" w:rsidR="0044575F" w:rsidRPr="00604C75" w:rsidRDefault="00884814" w:rsidP="00647320">
      <w:pPr>
        <w:pStyle w:val="ListParagraph"/>
        <w:numPr>
          <w:ilvl w:val="0"/>
          <w:numId w:val="59"/>
        </w:numPr>
        <w:tabs>
          <w:tab w:val="clear" w:pos="1080"/>
        </w:tabs>
        <w:spacing w:before="120"/>
        <w:ind w:left="709" w:hanging="681"/>
        <w:jc w:val="both"/>
        <w:rPr>
          <w:b/>
          <w:noProof/>
          <w:sz w:val="20"/>
          <w:szCs w:val="20"/>
        </w:rPr>
      </w:pPr>
      <w:r w:rsidRPr="00604C75">
        <w:rPr>
          <w:b/>
          <w:noProof/>
          <w:sz w:val="20"/>
          <w:szCs w:val="20"/>
        </w:rPr>
        <w:t xml:space="preserve">Explanations and Notes </w:t>
      </w:r>
      <w:r w:rsidR="00647320">
        <w:rPr>
          <w:b/>
          <w:noProof/>
          <w:sz w:val="20"/>
          <w:szCs w:val="20"/>
        </w:rPr>
        <w:t>on</w:t>
      </w:r>
      <w:r w:rsidR="00802D7D" w:rsidRPr="00604C75">
        <w:rPr>
          <w:b/>
          <w:noProof/>
          <w:sz w:val="20"/>
          <w:szCs w:val="20"/>
        </w:rPr>
        <w:t xml:space="preserve"> </w:t>
      </w:r>
      <w:r w:rsidR="007219E5" w:rsidRPr="00604C75">
        <w:rPr>
          <w:b/>
          <w:noProof/>
          <w:sz w:val="20"/>
          <w:szCs w:val="20"/>
        </w:rPr>
        <w:t>Income Statement</w:t>
      </w:r>
      <w:r w:rsidR="007219E5" w:rsidRPr="00604C75" w:rsidDel="007219E5">
        <w:rPr>
          <w:b/>
          <w:noProof/>
          <w:sz w:val="20"/>
          <w:szCs w:val="20"/>
        </w:rPr>
        <w:t xml:space="preserve"> </w:t>
      </w:r>
    </w:p>
    <w:p w14:paraId="64101C32" w14:textId="77777777" w:rsidR="0044575F" w:rsidRPr="00604C75" w:rsidRDefault="0044575F" w:rsidP="008477F3">
      <w:pPr>
        <w:numPr>
          <w:ilvl w:val="1"/>
          <w:numId w:val="47"/>
        </w:numPr>
        <w:tabs>
          <w:tab w:val="left" w:pos="709"/>
        </w:tabs>
        <w:spacing w:before="120"/>
        <w:ind w:left="1276" w:hanging="1276"/>
        <w:jc w:val="both"/>
        <w:rPr>
          <w:b/>
          <w:noProof/>
          <w:sz w:val="20"/>
          <w:szCs w:val="20"/>
        </w:rPr>
      </w:pPr>
      <w:r w:rsidRPr="00604C75">
        <w:rPr>
          <w:b/>
          <w:noProof/>
          <w:sz w:val="20"/>
          <w:szCs w:val="20"/>
        </w:rPr>
        <w:t>Information on interest income</w:t>
      </w:r>
    </w:p>
    <w:p w14:paraId="5325C5C1" w14:textId="77777777" w:rsidR="0044575F" w:rsidRPr="00604C75" w:rsidRDefault="0044575F" w:rsidP="008477F3">
      <w:pPr>
        <w:pStyle w:val="ListParagraph"/>
        <w:numPr>
          <w:ilvl w:val="0"/>
          <w:numId w:val="25"/>
        </w:numPr>
        <w:tabs>
          <w:tab w:val="clear" w:pos="1440"/>
          <w:tab w:val="left" w:pos="709"/>
        </w:tabs>
        <w:spacing w:before="120"/>
        <w:ind w:left="1701" w:hanging="1701"/>
        <w:jc w:val="both"/>
        <w:rPr>
          <w:b/>
          <w:noProof/>
          <w:sz w:val="20"/>
          <w:szCs w:val="20"/>
          <w:lang w:val="tr-TR"/>
        </w:rPr>
      </w:pPr>
      <w:r w:rsidRPr="00604C75">
        <w:rPr>
          <w:noProof/>
          <w:sz w:val="20"/>
          <w:szCs w:val="20"/>
          <w:lang w:val="tr-TR"/>
        </w:rPr>
        <w:t>Information on interest income on loans</w:t>
      </w:r>
    </w:p>
    <w:tbl>
      <w:tblPr>
        <w:tblpPr w:leftFromText="180" w:rightFromText="180" w:vertAnchor="text" w:horzAnchor="margin" w:tblpY="183"/>
        <w:tblOverlap w:val="never"/>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803"/>
        <w:gridCol w:w="1287"/>
        <w:gridCol w:w="1064"/>
        <w:gridCol w:w="1117"/>
        <w:gridCol w:w="969"/>
      </w:tblGrid>
      <w:tr w:rsidR="00CA2800" w:rsidRPr="00604C75" w14:paraId="1010423D" w14:textId="77777777" w:rsidTr="00AD726D">
        <w:trPr>
          <w:trHeight w:val="259"/>
        </w:trPr>
        <w:tc>
          <w:tcPr>
            <w:tcW w:w="4803" w:type="dxa"/>
            <w:shd w:val="clear" w:color="auto" w:fill="FFFFFF"/>
            <w:vAlign w:val="bottom"/>
          </w:tcPr>
          <w:p w14:paraId="6B205E4B" w14:textId="77777777" w:rsidR="00CA2800" w:rsidRPr="00604C75" w:rsidRDefault="00CA2800" w:rsidP="00CA2800">
            <w:pPr>
              <w:jc w:val="both"/>
              <w:rPr>
                <w:rFonts w:eastAsia="Arial Unicode MS"/>
                <w:b/>
                <w:bCs/>
                <w:sz w:val="18"/>
                <w:szCs w:val="18"/>
              </w:rPr>
            </w:pPr>
          </w:p>
        </w:tc>
        <w:tc>
          <w:tcPr>
            <w:tcW w:w="2351" w:type="dxa"/>
            <w:gridSpan w:val="2"/>
            <w:shd w:val="clear" w:color="auto" w:fill="FFFFFF"/>
            <w:vAlign w:val="bottom"/>
          </w:tcPr>
          <w:p w14:paraId="53CE53A3" w14:textId="77777777" w:rsidR="00CA2800" w:rsidRPr="00604C75" w:rsidRDefault="00A877A3" w:rsidP="00507FD7">
            <w:pPr>
              <w:ind w:right="-210"/>
              <w:jc w:val="center"/>
              <w:rPr>
                <w:rFonts w:eastAsia="Arial Unicode MS"/>
                <w:b/>
                <w:bCs/>
                <w:sz w:val="18"/>
                <w:szCs w:val="18"/>
              </w:rPr>
            </w:pPr>
            <w:r>
              <w:rPr>
                <w:b/>
                <w:snapToGrid w:val="0"/>
                <w:sz w:val="18"/>
              </w:rPr>
              <w:t>3</w:t>
            </w:r>
            <w:r w:rsidR="00687495">
              <w:rPr>
                <w:b/>
                <w:snapToGrid w:val="0"/>
                <w:sz w:val="18"/>
              </w:rPr>
              <w:t>1</w:t>
            </w:r>
            <w:r>
              <w:rPr>
                <w:b/>
                <w:snapToGrid w:val="0"/>
                <w:sz w:val="18"/>
              </w:rPr>
              <w:t xml:space="preserve"> </w:t>
            </w:r>
            <w:r w:rsidR="00687495">
              <w:rPr>
                <w:b/>
                <w:snapToGrid w:val="0"/>
                <w:sz w:val="18"/>
              </w:rPr>
              <w:t>December</w:t>
            </w:r>
            <w:r w:rsidR="00687495" w:rsidRPr="00604C75">
              <w:rPr>
                <w:b/>
                <w:snapToGrid w:val="0"/>
                <w:sz w:val="18"/>
              </w:rPr>
              <w:t xml:space="preserve"> </w:t>
            </w:r>
            <w:r w:rsidR="00CA2800" w:rsidRPr="00604C75">
              <w:rPr>
                <w:b/>
                <w:snapToGrid w:val="0"/>
                <w:sz w:val="18"/>
              </w:rPr>
              <w:t>201</w:t>
            </w:r>
            <w:r w:rsidR="00D456C2" w:rsidRPr="00604C75">
              <w:rPr>
                <w:b/>
                <w:snapToGrid w:val="0"/>
                <w:sz w:val="18"/>
              </w:rPr>
              <w:t>5</w:t>
            </w:r>
          </w:p>
        </w:tc>
        <w:tc>
          <w:tcPr>
            <w:tcW w:w="2086" w:type="dxa"/>
            <w:gridSpan w:val="2"/>
            <w:shd w:val="clear" w:color="auto" w:fill="FFFFFF"/>
            <w:vAlign w:val="bottom"/>
          </w:tcPr>
          <w:p w14:paraId="2D6B7FBD" w14:textId="3CF4CDE5" w:rsidR="00CA2800" w:rsidRPr="00604C75" w:rsidRDefault="00687495" w:rsidP="00507FD7">
            <w:pPr>
              <w:ind w:right="-210"/>
              <w:jc w:val="center"/>
              <w:rPr>
                <w:rFonts w:eastAsia="Arial Unicode MS"/>
                <w:b/>
                <w:bCs/>
                <w:sz w:val="18"/>
                <w:szCs w:val="18"/>
              </w:rPr>
            </w:pPr>
            <w:r>
              <w:rPr>
                <w:b/>
                <w:snapToGrid w:val="0"/>
                <w:sz w:val="18"/>
              </w:rPr>
              <w:t>31 December</w:t>
            </w:r>
            <w:r w:rsidRPr="00604C75">
              <w:rPr>
                <w:b/>
                <w:snapToGrid w:val="0"/>
                <w:sz w:val="18"/>
              </w:rPr>
              <w:t xml:space="preserve"> </w:t>
            </w:r>
            <w:r w:rsidR="00CA2800" w:rsidRPr="00604C75">
              <w:rPr>
                <w:b/>
                <w:snapToGrid w:val="0"/>
                <w:sz w:val="18"/>
              </w:rPr>
              <w:t>201</w:t>
            </w:r>
            <w:r w:rsidR="00D456C2" w:rsidRPr="00604C75">
              <w:rPr>
                <w:b/>
                <w:snapToGrid w:val="0"/>
                <w:sz w:val="18"/>
              </w:rPr>
              <w:t>4</w:t>
            </w:r>
          </w:p>
        </w:tc>
      </w:tr>
      <w:tr w:rsidR="00CA2800" w:rsidRPr="00604C75" w14:paraId="3229F068" w14:textId="77777777" w:rsidTr="00AD726D">
        <w:trPr>
          <w:trHeight w:val="259"/>
        </w:trPr>
        <w:tc>
          <w:tcPr>
            <w:tcW w:w="4803" w:type="dxa"/>
            <w:vAlign w:val="bottom"/>
          </w:tcPr>
          <w:p w14:paraId="5AC9EA10" w14:textId="77777777" w:rsidR="00CA2800" w:rsidRPr="00604C75" w:rsidRDefault="00CA2800" w:rsidP="00CA2800">
            <w:pPr>
              <w:rPr>
                <w:rFonts w:eastAsia="Arial Unicode MS"/>
                <w:b/>
                <w:bCs/>
                <w:sz w:val="18"/>
                <w:szCs w:val="18"/>
              </w:rPr>
            </w:pPr>
          </w:p>
        </w:tc>
        <w:tc>
          <w:tcPr>
            <w:tcW w:w="1287" w:type="dxa"/>
            <w:shd w:val="clear" w:color="auto" w:fill="FFFFFF"/>
            <w:vAlign w:val="bottom"/>
          </w:tcPr>
          <w:p w14:paraId="0F2541BB" w14:textId="77777777" w:rsidR="00CA2800" w:rsidRPr="00604C75" w:rsidRDefault="00CA2800" w:rsidP="00DC043F">
            <w:pPr>
              <w:ind w:right="44"/>
              <w:jc w:val="right"/>
              <w:rPr>
                <w:rFonts w:eastAsia="Arial Unicode MS"/>
                <w:b/>
                <w:bCs/>
                <w:sz w:val="18"/>
                <w:szCs w:val="18"/>
              </w:rPr>
            </w:pPr>
            <w:r w:rsidRPr="00604C75">
              <w:rPr>
                <w:b/>
                <w:bCs/>
                <w:sz w:val="18"/>
                <w:szCs w:val="18"/>
              </w:rPr>
              <w:t>TL</w:t>
            </w:r>
          </w:p>
        </w:tc>
        <w:tc>
          <w:tcPr>
            <w:tcW w:w="1064" w:type="dxa"/>
            <w:shd w:val="clear" w:color="auto" w:fill="FFFFFF"/>
            <w:vAlign w:val="bottom"/>
          </w:tcPr>
          <w:p w14:paraId="23575536" w14:textId="77777777" w:rsidR="00CA2800" w:rsidRPr="00604C75" w:rsidRDefault="00CA2800" w:rsidP="00DC043F">
            <w:pPr>
              <w:ind w:right="44"/>
              <w:jc w:val="right"/>
              <w:rPr>
                <w:rFonts w:eastAsia="Arial Unicode MS"/>
                <w:b/>
                <w:bCs/>
                <w:sz w:val="18"/>
                <w:szCs w:val="18"/>
              </w:rPr>
            </w:pPr>
            <w:r w:rsidRPr="00604C75">
              <w:rPr>
                <w:b/>
                <w:bCs/>
                <w:sz w:val="18"/>
                <w:szCs w:val="18"/>
              </w:rPr>
              <w:t>FC</w:t>
            </w:r>
          </w:p>
        </w:tc>
        <w:tc>
          <w:tcPr>
            <w:tcW w:w="1117" w:type="dxa"/>
            <w:shd w:val="clear" w:color="auto" w:fill="FFFFFF"/>
            <w:vAlign w:val="bottom"/>
          </w:tcPr>
          <w:p w14:paraId="686CCDE2" w14:textId="77777777" w:rsidR="00CA2800" w:rsidRPr="00604C75" w:rsidRDefault="00CA2800" w:rsidP="00DC043F">
            <w:pPr>
              <w:ind w:right="44"/>
              <w:jc w:val="right"/>
              <w:rPr>
                <w:rFonts w:eastAsia="Arial Unicode MS"/>
                <w:b/>
                <w:bCs/>
                <w:sz w:val="18"/>
                <w:szCs w:val="18"/>
              </w:rPr>
            </w:pPr>
            <w:r w:rsidRPr="00604C75">
              <w:rPr>
                <w:b/>
                <w:bCs/>
                <w:sz w:val="18"/>
                <w:szCs w:val="18"/>
              </w:rPr>
              <w:t>TL</w:t>
            </w:r>
          </w:p>
        </w:tc>
        <w:tc>
          <w:tcPr>
            <w:tcW w:w="969" w:type="dxa"/>
            <w:shd w:val="clear" w:color="auto" w:fill="FFFFFF"/>
            <w:vAlign w:val="bottom"/>
          </w:tcPr>
          <w:p w14:paraId="31234C11" w14:textId="77777777" w:rsidR="00CA2800" w:rsidRPr="00604C75" w:rsidRDefault="00CA2800" w:rsidP="00DC043F">
            <w:pPr>
              <w:ind w:right="44"/>
              <w:jc w:val="right"/>
              <w:rPr>
                <w:rFonts w:eastAsia="Arial Unicode MS"/>
                <w:b/>
                <w:bCs/>
                <w:sz w:val="18"/>
                <w:szCs w:val="18"/>
              </w:rPr>
            </w:pPr>
            <w:r w:rsidRPr="00604C75">
              <w:rPr>
                <w:b/>
                <w:bCs/>
                <w:sz w:val="18"/>
                <w:szCs w:val="18"/>
              </w:rPr>
              <w:t>FC</w:t>
            </w:r>
          </w:p>
        </w:tc>
      </w:tr>
      <w:tr w:rsidR="00224102" w:rsidRPr="00604C75" w14:paraId="73981656" w14:textId="77777777" w:rsidTr="00224102">
        <w:trPr>
          <w:trHeight w:val="77"/>
        </w:trPr>
        <w:tc>
          <w:tcPr>
            <w:tcW w:w="4803" w:type="dxa"/>
            <w:shd w:val="clear" w:color="auto" w:fill="FFFFFF"/>
            <w:vAlign w:val="bottom"/>
          </w:tcPr>
          <w:p w14:paraId="0DF8A385" w14:textId="77777777" w:rsidR="00224102" w:rsidRPr="00604C75" w:rsidRDefault="00224102" w:rsidP="00224102">
            <w:pPr>
              <w:ind w:left="180" w:hanging="163"/>
              <w:rPr>
                <w:sz w:val="18"/>
                <w:szCs w:val="18"/>
              </w:rPr>
            </w:pPr>
            <w:r w:rsidRPr="00604C75">
              <w:rPr>
                <w:sz w:val="18"/>
                <w:szCs w:val="18"/>
              </w:rPr>
              <w:t xml:space="preserve">Short-term Loans </w:t>
            </w:r>
          </w:p>
        </w:tc>
        <w:tc>
          <w:tcPr>
            <w:tcW w:w="1287" w:type="dxa"/>
            <w:vAlign w:val="bottom"/>
          </w:tcPr>
          <w:p w14:paraId="16A5E1B6" w14:textId="5869BC95" w:rsidR="00224102" w:rsidRDefault="00224102" w:rsidP="00DC043F">
            <w:pPr>
              <w:ind w:right="44"/>
              <w:jc w:val="right"/>
              <w:rPr>
                <w:sz w:val="18"/>
                <w:szCs w:val="18"/>
              </w:rPr>
            </w:pPr>
            <w:r>
              <w:rPr>
                <w:sz w:val="18"/>
                <w:szCs w:val="18"/>
              </w:rPr>
              <w:t xml:space="preserve">         541,036    </w:t>
            </w:r>
          </w:p>
        </w:tc>
        <w:tc>
          <w:tcPr>
            <w:tcW w:w="1064" w:type="dxa"/>
            <w:vAlign w:val="bottom"/>
          </w:tcPr>
          <w:p w14:paraId="74D0C606" w14:textId="5678458D" w:rsidR="00224102" w:rsidRDefault="00224102" w:rsidP="00DC043F">
            <w:pPr>
              <w:ind w:right="44"/>
              <w:jc w:val="right"/>
              <w:rPr>
                <w:sz w:val="18"/>
                <w:szCs w:val="18"/>
              </w:rPr>
            </w:pPr>
            <w:r>
              <w:rPr>
                <w:sz w:val="18"/>
                <w:szCs w:val="18"/>
              </w:rPr>
              <w:t xml:space="preserve">49,979    </w:t>
            </w:r>
          </w:p>
        </w:tc>
        <w:tc>
          <w:tcPr>
            <w:tcW w:w="1117" w:type="dxa"/>
            <w:vAlign w:val="bottom"/>
          </w:tcPr>
          <w:p w14:paraId="0849DC41" w14:textId="4A4D08BA" w:rsidR="00224102" w:rsidRPr="00692926" w:rsidRDefault="00224102" w:rsidP="00DC043F">
            <w:pPr>
              <w:ind w:right="44"/>
              <w:jc w:val="right"/>
              <w:rPr>
                <w:sz w:val="18"/>
                <w:szCs w:val="18"/>
              </w:rPr>
            </w:pPr>
            <w:r w:rsidRPr="00A36623">
              <w:rPr>
                <w:sz w:val="18"/>
                <w:szCs w:val="18"/>
              </w:rPr>
              <w:t xml:space="preserve">         610</w:t>
            </w:r>
            <w:r>
              <w:rPr>
                <w:sz w:val="18"/>
                <w:szCs w:val="18"/>
              </w:rPr>
              <w:t>,</w:t>
            </w:r>
            <w:r w:rsidRPr="00A36623">
              <w:rPr>
                <w:sz w:val="18"/>
                <w:szCs w:val="18"/>
              </w:rPr>
              <w:t xml:space="preserve">937    </w:t>
            </w:r>
          </w:p>
        </w:tc>
        <w:tc>
          <w:tcPr>
            <w:tcW w:w="969" w:type="dxa"/>
            <w:vAlign w:val="bottom"/>
          </w:tcPr>
          <w:p w14:paraId="149357B2" w14:textId="7F6590A5" w:rsidR="00224102" w:rsidRPr="00692926" w:rsidRDefault="00224102" w:rsidP="00DC043F">
            <w:pPr>
              <w:ind w:right="44"/>
              <w:jc w:val="right"/>
              <w:rPr>
                <w:sz w:val="18"/>
                <w:szCs w:val="18"/>
              </w:rPr>
            </w:pPr>
            <w:r w:rsidRPr="00A36623">
              <w:rPr>
                <w:sz w:val="18"/>
                <w:szCs w:val="18"/>
              </w:rPr>
              <w:t xml:space="preserve">     38</w:t>
            </w:r>
            <w:r>
              <w:rPr>
                <w:sz w:val="18"/>
                <w:szCs w:val="18"/>
              </w:rPr>
              <w:t>,</w:t>
            </w:r>
            <w:r w:rsidRPr="00A36623">
              <w:rPr>
                <w:sz w:val="18"/>
                <w:szCs w:val="18"/>
              </w:rPr>
              <w:t xml:space="preserve">808    </w:t>
            </w:r>
          </w:p>
        </w:tc>
      </w:tr>
      <w:tr w:rsidR="00224102" w:rsidRPr="00604C75" w14:paraId="28791E33" w14:textId="77777777" w:rsidTr="00261946">
        <w:trPr>
          <w:trHeight w:val="259"/>
        </w:trPr>
        <w:tc>
          <w:tcPr>
            <w:tcW w:w="4803" w:type="dxa"/>
            <w:shd w:val="clear" w:color="auto" w:fill="FFFFFF"/>
            <w:vAlign w:val="bottom"/>
          </w:tcPr>
          <w:p w14:paraId="2C9DD6CE" w14:textId="77777777" w:rsidR="00224102" w:rsidRPr="00604C75" w:rsidRDefault="00224102" w:rsidP="00224102">
            <w:pPr>
              <w:ind w:left="180" w:hanging="163"/>
              <w:rPr>
                <w:sz w:val="18"/>
                <w:szCs w:val="18"/>
              </w:rPr>
            </w:pPr>
            <w:r w:rsidRPr="00604C75">
              <w:rPr>
                <w:sz w:val="18"/>
                <w:szCs w:val="18"/>
              </w:rPr>
              <w:t>Medium/Long-term Loans</w:t>
            </w:r>
          </w:p>
        </w:tc>
        <w:tc>
          <w:tcPr>
            <w:tcW w:w="1287" w:type="dxa"/>
            <w:vAlign w:val="bottom"/>
          </w:tcPr>
          <w:p w14:paraId="3E467687" w14:textId="60C047CB" w:rsidR="00224102" w:rsidRDefault="00224102" w:rsidP="00DC043F">
            <w:pPr>
              <w:ind w:right="44"/>
              <w:jc w:val="right"/>
              <w:rPr>
                <w:sz w:val="18"/>
                <w:szCs w:val="18"/>
              </w:rPr>
            </w:pPr>
            <w:r>
              <w:rPr>
                <w:sz w:val="18"/>
                <w:szCs w:val="18"/>
              </w:rPr>
              <w:t xml:space="preserve">         198,405    </w:t>
            </w:r>
          </w:p>
        </w:tc>
        <w:tc>
          <w:tcPr>
            <w:tcW w:w="1064" w:type="dxa"/>
            <w:vAlign w:val="bottom"/>
          </w:tcPr>
          <w:p w14:paraId="303DDCC8" w14:textId="1CB543DD" w:rsidR="00224102" w:rsidRDefault="00224102" w:rsidP="00DC043F">
            <w:pPr>
              <w:ind w:right="44"/>
              <w:jc w:val="right"/>
              <w:rPr>
                <w:sz w:val="18"/>
                <w:szCs w:val="18"/>
              </w:rPr>
            </w:pPr>
            <w:r>
              <w:rPr>
                <w:sz w:val="18"/>
                <w:szCs w:val="18"/>
              </w:rPr>
              <w:t xml:space="preserve">         168,304    </w:t>
            </w:r>
          </w:p>
        </w:tc>
        <w:tc>
          <w:tcPr>
            <w:tcW w:w="1117" w:type="dxa"/>
            <w:vAlign w:val="bottom"/>
          </w:tcPr>
          <w:p w14:paraId="504B9FED" w14:textId="677F002B" w:rsidR="00224102" w:rsidRPr="00692926" w:rsidRDefault="00224102" w:rsidP="00DC043F">
            <w:pPr>
              <w:ind w:right="44"/>
              <w:jc w:val="right"/>
              <w:rPr>
                <w:sz w:val="18"/>
                <w:szCs w:val="18"/>
              </w:rPr>
            </w:pPr>
            <w:r w:rsidRPr="00A36623">
              <w:rPr>
                <w:sz w:val="18"/>
                <w:szCs w:val="18"/>
              </w:rPr>
              <w:t xml:space="preserve">         181</w:t>
            </w:r>
            <w:r>
              <w:rPr>
                <w:sz w:val="18"/>
                <w:szCs w:val="18"/>
              </w:rPr>
              <w:t>,</w:t>
            </w:r>
            <w:r w:rsidRPr="00A36623">
              <w:rPr>
                <w:sz w:val="18"/>
                <w:szCs w:val="18"/>
              </w:rPr>
              <w:t xml:space="preserve">461    </w:t>
            </w:r>
          </w:p>
        </w:tc>
        <w:tc>
          <w:tcPr>
            <w:tcW w:w="969" w:type="dxa"/>
            <w:vAlign w:val="bottom"/>
          </w:tcPr>
          <w:p w14:paraId="00431494" w14:textId="7C462A07" w:rsidR="00224102" w:rsidRPr="00692926" w:rsidRDefault="00224102" w:rsidP="00DC043F">
            <w:pPr>
              <w:ind w:right="44"/>
              <w:jc w:val="right"/>
              <w:rPr>
                <w:sz w:val="18"/>
                <w:szCs w:val="18"/>
              </w:rPr>
            </w:pPr>
            <w:r w:rsidRPr="00A36623">
              <w:rPr>
                <w:sz w:val="18"/>
                <w:szCs w:val="18"/>
              </w:rPr>
              <w:t xml:space="preserve">      40</w:t>
            </w:r>
            <w:r>
              <w:rPr>
                <w:sz w:val="18"/>
                <w:szCs w:val="18"/>
              </w:rPr>
              <w:t>,</w:t>
            </w:r>
            <w:r w:rsidRPr="00A36623">
              <w:rPr>
                <w:sz w:val="18"/>
                <w:szCs w:val="18"/>
              </w:rPr>
              <w:t xml:space="preserve">931    </w:t>
            </w:r>
          </w:p>
        </w:tc>
      </w:tr>
      <w:tr w:rsidR="00224102" w:rsidRPr="00604C75" w14:paraId="162303A2" w14:textId="77777777" w:rsidTr="00261946">
        <w:trPr>
          <w:trHeight w:val="259"/>
        </w:trPr>
        <w:tc>
          <w:tcPr>
            <w:tcW w:w="4803" w:type="dxa"/>
            <w:shd w:val="clear" w:color="auto" w:fill="FFFFFF"/>
            <w:vAlign w:val="bottom"/>
          </w:tcPr>
          <w:p w14:paraId="4988595A" w14:textId="77777777" w:rsidR="00224102" w:rsidRPr="00604C75" w:rsidRDefault="00224102" w:rsidP="00224102">
            <w:pPr>
              <w:ind w:left="180" w:hanging="163"/>
              <w:rPr>
                <w:sz w:val="18"/>
                <w:szCs w:val="18"/>
              </w:rPr>
            </w:pPr>
            <w:r w:rsidRPr="00604C75">
              <w:rPr>
                <w:sz w:val="18"/>
                <w:szCs w:val="18"/>
              </w:rPr>
              <w:t xml:space="preserve">Interest on Loans Under Follow-up </w:t>
            </w:r>
          </w:p>
        </w:tc>
        <w:tc>
          <w:tcPr>
            <w:tcW w:w="1287" w:type="dxa"/>
            <w:vAlign w:val="bottom"/>
          </w:tcPr>
          <w:p w14:paraId="0ED8BD39" w14:textId="061E9806" w:rsidR="00224102" w:rsidRDefault="00224102" w:rsidP="00DC043F">
            <w:pPr>
              <w:ind w:right="44"/>
              <w:jc w:val="right"/>
              <w:rPr>
                <w:sz w:val="18"/>
                <w:szCs w:val="18"/>
              </w:rPr>
            </w:pPr>
            <w:r>
              <w:rPr>
                <w:sz w:val="18"/>
                <w:szCs w:val="18"/>
              </w:rPr>
              <w:t xml:space="preserve">             9,353    </w:t>
            </w:r>
          </w:p>
        </w:tc>
        <w:tc>
          <w:tcPr>
            <w:tcW w:w="1064" w:type="dxa"/>
            <w:vAlign w:val="bottom"/>
          </w:tcPr>
          <w:p w14:paraId="2BDFD9EC" w14:textId="7081D144" w:rsidR="00224102" w:rsidRDefault="00224102" w:rsidP="00DC043F">
            <w:pPr>
              <w:ind w:right="44"/>
              <w:jc w:val="right"/>
              <w:rPr>
                <w:sz w:val="18"/>
                <w:szCs w:val="18"/>
              </w:rPr>
            </w:pPr>
            <w:r>
              <w:rPr>
                <w:sz w:val="18"/>
                <w:szCs w:val="18"/>
              </w:rPr>
              <w:t xml:space="preserve">                     -      </w:t>
            </w:r>
          </w:p>
        </w:tc>
        <w:tc>
          <w:tcPr>
            <w:tcW w:w="1117" w:type="dxa"/>
            <w:vAlign w:val="bottom"/>
          </w:tcPr>
          <w:p w14:paraId="45B7FEA3" w14:textId="73F25DA1" w:rsidR="00224102" w:rsidRPr="00692926" w:rsidRDefault="00224102" w:rsidP="00DC043F">
            <w:pPr>
              <w:ind w:right="44"/>
              <w:jc w:val="right"/>
              <w:rPr>
                <w:sz w:val="18"/>
                <w:szCs w:val="18"/>
              </w:rPr>
            </w:pPr>
            <w:r w:rsidRPr="00A36623">
              <w:rPr>
                <w:sz w:val="18"/>
                <w:szCs w:val="18"/>
              </w:rPr>
              <w:t xml:space="preserve">             4</w:t>
            </w:r>
            <w:r>
              <w:rPr>
                <w:sz w:val="18"/>
                <w:szCs w:val="18"/>
              </w:rPr>
              <w:t>,</w:t>
            </w:r>
            <w:r w:rsidRPr="00A36623">
              <w:rPr>
                <w:sz w:val="18"/>
                <w:szCs w:val="18"/>
              </w:rPr>
              <w:t xml:space="preserve">074    </w:t>
            </w:r>
          </w:p>
        </w:tc>
        <w:tc>
          <w:tcPr>
            <w:tcW w:w="969" w:type="dxa"/>
            <w:vAlign w:val="bottom"/>
          </w:tcPr>
          <w:p w14:paraId="3EB08D21" w14:textId="76CB4F82" w:rsidR="00224102" w:rsidRPr="00692926" w:rsidRDefault="00224102" w:rsidP="00DC043F">
            <w:pPr>
              <w:ind w:right="44"/>
              <w:jc w:val="right"/>
              <w:rPr>
                <w:sz w:val="18"/>
                <w:szCs w:val="18"/>
              </w:rPr>
            </w:pPr>
            <w:r w:rsidRPr="00A36623">
              <w:rPr>
                <w:sz w:val="18"/>
                <w:szCs w:val="18"/>
              </w:rPr>
              <w:t xml:space="preserve">               1    </w:t>
            </w:r>
          </w:p>
        </w:tc>
      </w:tr>
      <w:tr w:rsidR="00224102" w:rsidRPr="00604C75" w14:paraId="0A02BE7B" w14:textId="77777777" w:rsidTr="00261946">
        <w:trPr>
          <w:trHeight w:val="259"/>
        </w:trPr>
        <w:tc>
          <w:tcPr>
            <w:tcW w:w="4803" w:type="dxa"/>
            <w:shd w:val="clear" w:color="auto" w:fill="FFFFFF"/>
            <w:vAlign w:val="bottom"/>
          </w:tcPr>
          <w:p w14:paraId="584F0CC1" w14:textId="77777777" w:rsidR="00224102" w:rsidRPr="00604C75" w:rsidRDefault="00224102" w:rsidP="00224102">
            <w:pPr>
              <w:ind w:left="17"/>
              <w:rPr>
                <w:sz w:val="18"/>
                <w:szCs w:val="18"/>
              </w:rPr>
            </w:pPr>
            <w:r w:rsidRPr="00604C75">
              <w:rPr>
                <w:sz w:val="18"/>
                <w:szCs w:val="18"/>
              </w:rPr>
              <w:t xml:space="preserve">Premiums Received from Resource Utilization Support Fund </w:t>
            </w:r>
          </w:p>
        </w:tc>
        <w:tc>
          <w:tcPr>
            <w:tcW w:w="1287" w:type="dxa"/>
            <w:vAlign w:val="bottom"/>
          </w:tcPr>
          <w:p w14:paraId="6BA93D13" w14:textId="1B49D535" w:rsidR="00224102" w:rsidRDefault="00224102" w:rsidP="00DC043F">
            <w:pPr>
              <w:ind w:right="44"/>
              <w:jc w:val="right"/>
              <w:rPr>
                <w:sz w:val="18"/>
                <w:szCs w:val="18"/>
              </w:rPr>
            </w:pPr>
            <w:r>
              <w:rPr>
                <w:sz w:val="18"/>
                <w:szCs w:val="18"/>
              </w:rPr>
              <w:t xml:space="preserve">                  -      </w:t>
            </w:r>
          </w:p>
        </w:tc>
        <w:tc>
          <w:tcPr>
            <w:tcW w:w="1064" w:type="dxa"/>
            <w:vAlign w:val="bottom"/>
          </w:tcPr>
          <w:p w14:paraId="5698F07F" w14:textId="3F460747" w:rsidR="00224102" w:rsidRDefault="00224102" w:rsidP="00DC043F">
            <w:pPr>
              <w:ind w:right="44"/>
              <w:jc w:val="right"/>
              <w:rPr>
                <w:sz w:val="18"/>
                <w:szCs w:val="18"/>
              </w:rPr>
            </w:pPr>
            <w:r>
              <w:rPr>
                <w:sz w:val="18"/>
                <w:szCs w:val="18"/>
              </w:rPr>
              <w:t xml:space="preserve">                     -      </w:t>
            </w:r>
          </w:p>
        </w:tc>
        <w:tc>
          <w:tcPr>
            <w:tcW w:w="1117" w:type="dxa"/>
            <w:vAlign w:val="bottom"/>
          </w:tcPr>
          <w:p w14:paraId="444F15DF" w14:textId="1FD7901B" w:rsidR="00224102" w:rsidRPr="00692926" w:rsidRDefault="00224102" w:rsidP="00DC043F">
            <w:pPr>
              <w:ind w:right="44"/>
              <w:jc w:val="right"/>
              <w:rPr>
                <w:sz w:val="18"/>
                <w:szCs w:val="18"/>
              </w:rPr>
            </w:pPr>
            <w:r w:rsidRPr="00A36623">
              <w:rPr>
                <w:sz w:val="18"/>
                <w:szCs w:val="18"/>
              </w:rPr>
              <w:t xml:space="preserve">                  -      </w:t>
            </w:r>
          </w:p>
        </w:tc>
        <w:tc>
          <w:tcPr>
            <w:tcW w:w="969" w:type="dxa"/>
            <w:vAlign w:val="bottom"/>
          </w:tcPr>
          <w:p w14:paraId="2906EEC5" w14:textId="1567BE79" w:rsidR="00224102" w:rsidRPr="00692926" w:rsidRDefault="00224102" w:rsidP="00DC043F">
            <w:pPr>
              <w:ind w:right="44"/>
              <w:jc w:val="right"/>
              <w:rPr>
                <w:sz w:val="18"/>
                <w:szCs w:val="18"/>
              </w:rPr>
            </w:pPr>
            <w:r w:rsidRPr="00A36623">
              <w:rPr>
                <w:sz w:val="18"/>
                <w:szCs w:val="18"/>
              </w:rPr>
              <w:t xml:space="preserve">                -      </w:t>
            </w:r>
          </w:p>
        </w:tc>
      </w:tr>
      <w:tr w:rsidR="00224102" w:rsidRPr="00604C75" w14:paraId="13B8B024" w14:textId="77777777" w:rsidTr="00261946">
        <w:trPr>
          <w:trHeight w:val="259"/>
        </w:trPr>
        <w:tc>
          <w:tcPr>
            <w:tcW w:w="4803" w:type="dxa"/>
            <w:shd w:val="clear" w:color="auto" w:fill="FFFFFF"/>
            <w:vAlign w:val="bottom"/>
          </w:tcPr>
          <w:p w14:paraId="26523007" w14:textId="77777777" w:rsidR="00224102" w:rsidRPr="00604C75" w:rsidRDefault="00224102" w:rsidP="00224102">
            <w:pPr>
              <w:rPr>
                <w:b/>
                <w:sz w:val="18"/>
                <w:szCs w:val="18"/>
              </w:rPr>
            </w:pPr>
            <w:r w:rsidRPr="00604C75">
              <w:rPr>
                <w:b/>
                <w:sz w:val="18"/>
                <w:szCs w:val="18"/>
              </w:rPr>
              <w:t>Total (*)</w:t>
            </w:r>
          </w:p>
        </w:tc>
        <w:tc>
          <w:tcPr>
            <w:tcW w:w="1287" w:type="dxa"/>
            <w:vAlign w:val="bottom"/>
          </w:tcPr>
          <w:p w14:paraId="3A0950FD" w14:textId="62AE40BA" w:rsidR="00224102" w:rsidRPr="003427D1" w:rsidRDefault="00224102" w:rsidP="00DC043F">
            <w:pPr>
              <w:ind w:right="44"/>
              <w:jc w:val="right"/>
              <w:rPr>
                <w:b/>
                <w:sz w:val="18"/>
                <w:szCs w:val="18"/>
              </w:rPr>
            </w:pPr>
            <w:r w:rsidRPr="003427D1">
              <w:rPr>
                <w:b/>
                <w:sz w:val="18"/>
                <w:szCs w:val="18"/>
              </w:rPr>
              <w:t xml:space="preserve">         748,794    </w:t>
            </w:r>
          </w:p>
        </w:tc>
        <w:tc>
          <w:tcPr>
            <w:tcW w:w="1064" w:type="dxa"/>
            <w:vAlign w:val="bottom"/>
          </w:tcPr>
          <w:p w14:paraId="1274C897" w14:textId="11A8ECA2" w:rsidR="00224102" w:rsidRPr="003427D1" w:rsidRDefault="00224102" w:rsidP="00DC043F">
            <w:pPr>
              <w:ind w:right="44"/>
              <w:jc w:val="right"/>
              <w:rPr>
                <w:b/>
                <w:sz w:val="18"/>
                <w:szCs w:val="18"/>
              </w:rPr>
            </w:pPr>
            <w:r>
              <w:rPr>
                <w:b/>
                <w:sz w:val="18"/>
                <w:szCs w:val="18"/>
              </w:rPr>
              <w:t xml:space="preserve">         </w:t>
            </w:r>
            <w:r w:rsidRPr="003427D1">
              <w:rPr>
                <w:b/>
                <w:sz w:val="18"/>
                <w:szCs w:val="18"/>
              </w:rPr>
              <w:t xml:space="preserve">218,283    </w:t>
            </w:r>
          </w:p>
        </w:tc>
        <w:tc>
          <w:tcPr>
            <w:tcW w:w="1117" w:type="dxa"/>
            <w:vAlign w:val="bottom"/>
          </w:tcPr>
          <w:p w14:paraId="253FF1B1" w14:textId="3D47CCCA" w:rsidR="00224102" w:rsidRPr="00692926" w:rsidRDefault="00224102" w:rsidP="00DC043F">
            <w:pPr>
              <w:ind w:right="44"/>
              <w:jc w:val="right"/>
              <w:rPr>
                <w:b/>
                <w:sz w:val="18"/>
                <w:szCs w:val="18"/>
              </w:rPr>
            </w:pPr>
            <w:r w:rsidRPr="00A36623">
              <w:rPr>
                <w:b/>
                <w:sz w:val="18"/>
                <w:szCs w:val="18"/>
              </w:rPr>
              <w:t xml:space="preserve">         796</w:t>
            </w:r>
            <w:r>
              <w:rPr>
                <w:b/>
                <w:sz w:val="18"/>
                <w:szCs w:val="18"/>
              </w:rPr>
              <w:t>,</w:t>
            </w:r>
            <w:r w:rsidRPr="00A36623">
              <w:rPr>
                <w:b/>
                <w:sz w:val="18"/>
                <w:szCs w:val="18"/>
              </w:rPr>
              <w:t xml:space="preserve">472    </w:t>
            </w:r>
          </w:p>
        </w:tc>
        <w:tc>
          <w:tcPr>
            <w:tcW w:w="969" w:type="dxa"/>
            <w:vAlign w:val="bottom"/>
          </w:tcPr>
          <w:p w14:paraId="2127ECEB" w14:textId="4B87C720" w:rsidR="00224102" w:rsidRPr="00692926" w:rsidRDefault="00224102" w:rsidP="00DC043F">
            <w:pPr>
              <w:ind w:right="44"/>
              <w:jc w:val="right"/>
              <w:rPr>
                <w:b/>
                <w:sz w:val="18"/>
                <w:szCs w:val="18"/>
              </w:rPr>
            </w:pPr>
            <w:r w:rsidRPr="00A36623">
              <w:rPr>
                <w:b/>
                <w:sz w:val="18"/>
                <w:szCs w:val="18"/>
              </w:rPr>
              <w:t xml:space="preserve">      79</w:t>
            </w:r>
            <w:r>
              <w:rPr>
                <w:b/>
                <w:sz w:val="18"/>
                <w:szCs w:val="18"/>
              </w:rPr>
              <w:t>,</w:t>
            </w:r>
            <w:r w:rsidRPr="00A36623">
              <w:rPr>
                <w:b/>
                <w:sz w:val="18"/>
                <w:szCs w:val="18"/>
              </w:rPr>
              <w:t xml:space="preserve">740    </w:t>
            </w:r>
          </w:p>
        </w:tc>
      </w:tr>
    </w:tbl>
    <w:p w14:paraId="48000CB2" w14:textId="6982A839" w:rsidR="0044575F" w:rsidRPr="004D625B" w:rsidRDefault="004D625B" w:rsidP="00CD1060">
      <w:pPr>
        <w:spacing w:before="60" w:after="120"/>
        <w:jc w:val="both"/>
        <w:rPr>
          <w:noProof/>
          <w:sz w:val="16"/>
          <w:szCs w:val="16"/>
        </w:rPr>
      </w:pPr>
      <w:r w:rsidRPr="004D625B">
        <w:rPr>
          <w:noProof/>
          <w:sz w:val="16"/>
          <w:szCs w:val="16"/>
        </w:rPr>
        <w:t>(*)</w:t>
      </w:r>
      <w:r>
        <w:rPr>
          <w:noProof/>
          <w:sz w:val="16"/>
          <w:szCs w:val="16"/>
        </w:rPr>
        <w:t xml:space="preserve"> </w:t>
      </w:r>
      <w:r w:rsidR="0044575F" w:rsidRPr="004D625B">
        <w:rPr>
          <w:noProof/>
          <w:sz w:val="16"/>
          <w:szCs w:val="16"/>
        </w:rPr>
        <w:t>Includes fee and commission income related with cash loans.</w:t>
      </w:r>
    </w:p>
    <w:p w14:paraId="5ABE269D" w14:textId="012EA1DE" w:rsidR="0044575F" w:rsidRPr="00CD1060" w:rsidRDefault="0044575F" w:rsidP="00CD1060">
      <w:pPr>
        <w:pStyle w:val="ListParagraph"/>
        <w:numPr>
          <w:ilvl w:val="0"/>
          <w:numId w:val="25"/>
        </w:numPr>
        <w:tabs>
          <w:tab w:val="clear" w:pos="1440"/>
          <w:tab w:val="num" w:pos="709"/>
        </w:tabs>
        <w:spacing w:before="120" w:after="120"/>
        <w:ind w:left="1701" w:hanging="1701"/>
        <w:jc w:val="both"/>
        <w:rPr>
          <w:noProof/>
          <w:sz w:val="20"/>
          <w:szCs w:val="20"/>
          <w:lang w:val="tr-TR"/>
        </w:rPr>
      </w:pPr>
      <w:r w:rsidRPr="00604C75">
        <w:rPr>
          <w:noProof/>
          <w:sz w:val="20"/>
          <w:szCs w:val="20"/>
          <w:lang w:val="tr-TR"/>
        </w:rPr>
        <w:t>Information on interest income on banks</w:t>
      </w:r>
    </w:p>
    <w:tbl>
      <w:tblPr>
        <w:tblpPr w:leftFromText="141" w:rightFromText="141" w:vertAnchor="text" w:horzAnchor="margin" w:tblpY="2"/>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798"/>
        <w:gridCol w:w="1292"/>
        <w:gridCol w:w="1064"/>
        <w:gridCol w:w="1120"/>
        <w:gridCol w:w="967"/>
      </w:tblGrid>
      <w:tr w:rsidR="00687495" w:rsidRPr="00195EDC" w14:paraId="376319D4" w14:textId="77777777" w:rsidTr="00FF146D">
        <w:trPr>
          <w:trHeight w:val="265"/>
        </w:trPr>
        <w:tc>
          <w:tcPr>
            <w:tcW w:w="4798" w:type="dxa"/>
            <w:shd w:val="clear" w:color="auto" w:fill="FFFFFF"/>
            <w:vAlign w:val="bottom"/>
          </w:tcPr>
          <w:p w14:paraId="4BDC304C" w14:textId="77777777" w:rsidR="00687495" w:rsidRPr="00604C75" w:rsidRDefault="00687495" w:rsidP="00687495">
            <w:pPr>
              <w:jc w:val="both"/>
              <w:rPr>
                <w:rFonts w:eastAsia="Arial Unicode MS"/>
                <w:b/>
                <w:bCs/>
                <w:sz w:val="18"/>
                <w:szCs w:val="18"/>
              </w:rPr>
            </w:pPr>
          </w:p>
        </w:tc>
        <w:tc>
          <w:tcPr>
            <w:tcW w:w="2356" w:type="dxa"/>
            <w:gridSpan w:val="2"/>
            <w:shd w:val="clear" w:color="auto" w:fill="FFFFFF"/>
            <w:vAlign w:val="bottom"/>
          </w:tcPr>
          <w:p w14:paraId="5935B697" w14:textId="77777777" w:rsidR="00687495" w:rsidRPr="00195EDC" w:rsidRDefault="00687495" w:rsidP="00687495">
            <w:pPr>
              <w:ind w:right="434"/>
              <w:jc w:val="right"/>
              <w:rPr>
                <w:rFonts w:eastAsia="Arial Unicode MS"/>
                <w:b/>
                <w:bCs/>
                <w:sz w:val="18"/>
                <w:szCs w:val="18"/>
              </w:rPr>
            </w:pPr>
            <w:r w:rsidRPr="00195EDC">
              <w:rPr>
                <w:b/>
                <w:snapToGrid w:val="0"/>
                <w:sz w:val="18"/>
              </w:rPr>
              <w:t>31 December 2015</w:t>
            </w:r>
          </w:p>
        </w:tc>
        <w:tc>
          <w:tcPr>
            <w:tcW w:w="2087" w:type="dxa"/>
            <w:gridSpan w:val="2"/>
            <w:shd w:val="clear" w:color="auto" w:fill="FFFFFF"/>
            <w:vAlign w:val="bottom"/>
          </w:tcPr>
          <w:p w14:paraId="7CAA96AB" w14:textId="05D2D78E" w:rsidR="00687495" w:rsidRPr="00195EDC" w:rsidRDefault="00687495" w:rsidP="00687495">
            <w:pPr>
              <w:ind w:right="434"/>
              <w:jc w:val="right"/>
              <w:rPr>
                <w:rFonts w:eastAsia="Arial Unicode MS"/>
                <w:b/>
                <w:bCs/>
                <w:sz w:val="18"/>
                <w:szCs w:val="18"/>
              </w:rPr>
            </w:pPr>
            <w:r w:rsidRPr="00195EDC">
              <w:rPr>
                <w:b/>
                <w:snapToGrid w:val="0"/>
                <w:sz w:val="18"/>
              </w:rPr>
              <w:t>31 December 2014</w:t>
            </w:r>
          </w:p>
        </w:tc>
      </w:tr>
      <w:tr w:rsidR="00CA2800" w:rsidRPr="00195EDC" w14:paraId="78654878" w14:textId="77777777" w:rsidTr="00AD726D">
        <w:trPr>
          <w:trHeight w:val="265"/>
        </w:trPr>
        <w:tc>
          <w:tcPr>
            <w:tcW w:w="4798" w:type="dxa"/>
            <w:vAlign w:val="bottom"/>
          </w:tcPr>
          <w:p w14:paraId="6FE2AFA8" w14:textId="77777777" w:rsidR="00CA2800" w:rsidRPr="00195EDC" w:rsidRDefault="00CA2800" w:rsidP="00CA2800">
            <w:pPr>
              <w:rPr>
                <w:rFonts w:eastAsia="Arial Unicode MS"/>
                <w:b/>
                <w:bCs/>
                <w:sz w:val="18"/>
                <w:szCs w:val="18"/>
              </w:rPr>
            </w:pPr>
          </w:p>
        </w:tc>
        <w:tc>
          <w:tcPr>
            <w:tcW w:w="1292" w:type="dxa"/>
            <w:shd w:val="clear" w:color="auto" w:fill="FFFFFF"/>
            <w:vAlign w:val="bottom"/>
          </w:tcPr>
          <w:p w14:paraId="6679B178" w14:textId="77777777" w:rsidR="00CA2800" w:rsidRPr="00195EDC" w:rsidRDefault="00CA2800" w:rsidP="00CA2800">
            <w:pPr>
              <w:jc w:val="right"/>
              <w:rPr>
                <w:rFonts w:eastAsia="Arial Unicode MS"/>
                <w:b/>
                <w:bCs/>
                <w:sz w:val="18"/>
                <w:szCs w:val="18"/>
              </w:rPr>
            </w:pPr>
            <w:r w:rsidRPr="00195EDC">
              <w:rPr>
                <w:b/>
                <w:bCs/>
                <w:sz w:val="18"/>
                <w:szCs w:val="18"/>
              </w:rPr>
              <w:t>TL</w:t>
            </w:r>
          </w:p>
        </w:tc>
        <w:tc>
          <w:tcPr>
            <w:tcW w:w="1064" w:type="dxa"/>
            <w:shd w:val="clear" w:color="auto" w:fill="FFFFFF"/>
            <w:vAlign w:val="bottom"/>
          </w:tcPr>
          <w:p w14:paraId="659A4918" w14:textId="77777777" w:rsidR="00CA2800" w:rsidRPr="00195EDC" w:rsidRDefault="00CA2800" w:rsidP="00CA2800">
            <w:pPr>
              <w:jc w:val="right"/>
              <w:rPr>
                <w:rFonts w:eastAsia="Arial Unicode MS"/>
                <w:b/>
                <w:bCs/>
                <w:sz w:val="18"/>
                <w:szCs w:val="18"/>
              </w:rPr>
            </w:pPr>
            <w:r w:rsidRPr="00195EDC">
              <w:rPr>
                <w:b/>
                <w:bCs/>
                <w:sz w:val="18"/>
                <w:szCs w:val="18"/>
              </w:rPr>
              <w:t>FC</w:t>
            </w:r>
          </w:p>
        </w:tc>
        <w:tc>
          <w:tcPr>
            <w:tcW w:w="1120" w:type="dxa"/>
            <w:shd w:val="clear" w:color="auto" w:fill="FFFFFF"/>
            <w:vAlign w:val="bottom"/>
          </w:tcPr>
          <w:p w14:paraId="6AF30B43" w14:textId="77777777" w:rsidR="00CA2800" w:rsidRPr="00195EDC" w:rsidRDefault="00CA2800" w:rsidP="00CA2800">
            <w:pPr>
              <w:jc w:val="right"/>
              <w:rPr>
                <w:rFonts w:eastAsia="Arial Unicode MS"/>
                <w:b/>
                <w:bCs/>
                <w:sz w:val="18"/>
                <w:szCs w:val="18"/>
              </w:rPr>
            </w:pPr>
            <w:r w:rsidRPr="00195EDC">
              <w:rPr>
                <w:b/>
                <w:bCs/>
                <w:sz w:val="18"/>
                <w:szCs w:val="18"/>
              </w:rPr>
              <w:t>TL</w:t>
            </w:r>
          </w:p>
        </w:tc>
        <w:tc>
          <w:tcPr>
            <w:tcW w:w="967" w:type="dxa"/>
            <w:shd w:val="clear" w:color="auto" w:fill="FFFFFF"/>
            <w:vAlign w:val="bottom"/>
          </w:tcPr>
          <w:p w14:paraId="0903F89D" w14:textId="77777777" w:rsidR="00CA2800" w:rsidRPr="00195EDC" w:rsidRDefault="00CA2800" w:rsidP="00CA2800">
            <w:pPr>
              <w:jc w:val="right"/>
              <w:rPr>
                <w:rFonts w:eastAsia="Arial Unicode MS"/>
                <w:b/>
                <w:bCs/>
                <w:sz w:val="18"/>
                <w:szCs w:val="18"/>
              </w:rPr>
            </w:pPr>
            <w:r w:rsidRPr="00195EDC">
              <w:rPr>
                <w:b/>
                <w:bCs/>
                <w:sz w:val="18"/>
                <w:szCs w:val="18"/>
              </w:rPr>
              <w:t>FC</w:t>
            </w:r>
          </w:p>
        </w:tc>
      </w:tr>
      <w:tr w:rsidR="00FD0C7A" w:rsidRPr="00195EDC" w14:paraId="15F4F258" w14:textId="77777777" w:rsidTr="00E977E5">
        <w:trPr>
          <w:trHeight w:val="265"/>
        </w:trPr>
        <w:tc>
          <w:tcPr>
            <w:tcW w:w="4798" w:type="dxa"/>
            <w:shd w:val="clear" w:color="auto" w:fill="FFFFFF"/>
            <w:vAlign w:val="bottom"/>
          </w:tcPr>
          <w:p w14:paraId="609A0E97" w14:textId="023E4B38" w:rsidR="00FD0C7A" w:rsidRPr="00195EDC" w:rsidRDefault="00FD0C7A" w:rsidP="00FD0C7A">
            <w:pPr>
              <w:ind w:left="-1"/>
              <w:rPr>
                <w:rFonts w:eastAsia="Arial Unicode MS"/>
                <w:sz w:val="18"/>
                <w:szCs w:val="18"/>
              </w:rPr>
            </w:pPr>
            <w:r w:rsidRPr="00195EDC">
              <w:rPr>
                <w:rFonts w:eastAsia="Arial Unicode MS"/>
                <w:sz w:val="18"/>
                <w:szCs w:val="18"/>
              </w:rPr>
              <w:t>From the CBRT</w:t>
            </w:r>
            <w:r w:rsidR="00EB2A5F">
              <w:rPr>
                <w:rFonts w:eastAsia="Arial Unicode MS"/>
                <w:sz w:val="18"/>
                <w:szCs w:val="18"/>
              </w:rPr>
              <w:t xml:space="preserve"> (*)</w:t>
            </w:r>
          </w:p>
        </w:tc>
        <w:tc>
          <w:tcPr>
            <w:tcW w:w="1292" w:type="dxa"/>
            <w:vAlign w:val="bottom"/>
          </w:tcPr>
          <w:p w14:paraId="112E9F62" w14:textId="743358AB" w:rsidR="00FD0C7A" w:rsidRPr="00195EDC" w:rsidRDefault="00FD0C7A" w:rsidP="00FD0C7A">
            <w:pPr>
              <w:jc w:val="right"/>
              <w:rPr>
                <w:sz w:val="18"/>
                <w:szCs w:val="18"/>
              </w:rPr>
            </w:pPr>
            <w:r w:rsidRPr="00E46F2D">
              <w:rPr>
                <w:sz w:val="18"/>
                <w:szCs w:val="18"/>
              </w:rPr>
              <w:t>1,461</w:t>
            </w:r>
          </w:p>
        </w:tc>
        <w:tc>
          <w:tcPr>
            <w:tcW w:w="1064" w:type="dxa"/>
            <w:vAlign w:val="bottom"/>
          </w:tcPr>
          <w:p w14:paraId="44A534FD" w14:textId="7D12FD63" w:rsidR="00FD0C7A" w:rsidRPr="00195EDC" w:rsidRDefault="00FD0C7A" w:rsidP="00FD0C7A">
            <w:pPr>
              <w:jc w:val="right"/>
              <w:rPr>
                <w:sz w:val="18"/>
                <w:szCs w:val="18"/>
              </w:rPr>
            </w:pPr>
            <w:r w:rsidRPr="00E46F2D">
              <w:rPr>
                <w:sz w:val="18"/>
                <w:szCs w:val="18"/>
              </w:rPr>
              <w:t>1,733</w:t>
            </w:r>
          </w:p>
        </w:tc>
        <w:tc>
          <w:tcPr>
            <w:tcW w:w="1120" w:type="dxa"/>
            <w:vAlign w:val="bottom"/>
          </w:tcPr>
          <w:p w14:paraId="10EEA534" w14:textId="0EF3C569" w:rsidR="00FD0C7A" w:rsidRPr="00195EDC" w:rsidRDefault="00FD0C7A" w:rsidP="00FD0C7A">
            <w:pPr>
              <w:tabs>
                <w:tab w:val="left" w:pos="0"/>
              </w:tabs>
              <w:ind w:right="50"/>
              <w:jc w:val="right"/>
              <w:rPr>
                <w:snapToGrid w:val="0"/>
                <w:sz w:val="18"/>
                <w:szCs w:val="18"/>
              </w:rPr>
            </w:pPr>
            <w:r w:rsidRPr="00E46F2D">
              <w:rPr>
                <w:sz w:val="18"/>
                <w:szCs w:val="18"/>
              </w:rPr>
              <w:t xml:space="preserve">                  -      </w:t>
            </w:r>
          </w:p>
        </w:tc>
        <w:tc>
          <w:tcPr>
            <w:tcW w:w="967" w:type="dxa"/>
            <w:vAlign w:val="bottom"/>
          </w:tcPr>
          <w:p w14:paraId="2E4486D2" w14:textId="73296D02" w:rsidR="00FD0C7A" w:rsidRPr="00195EDC" w:rsidRDefault="00FD0C7A" w:rsidP="00FD0C7A">
            <w:pPr>
              <w:tabs>
                <w:tab w:val="left" w:pos="0"/>
              </w:tabs>
              <w:ind w:right="50"/>
              <w:jc w:val="right"/>
              <w:rPr>
                <w:snapToGrid w:val="0"/>
                <w:sz w:val="18"/>
                <w:szCs w:val="18"/>
              </w:rPr>
            </w:pPr>
            <w:r w:rsidRPr="00E46F2D">
              <w:rPr>
                <w:sz w:val="18"/>
                <w:szCs w:val="18"/>
              </w:rPr>
              <w:t xml:space="preserve">                 -      </w:t>
            </w:r>
          </w:p>
        </w:tc>
      </w:tr>
      <w:tr w:rsidR="00FD0C7A" w:rsidRPr="00195EDC" w14:paraId="38AB5903" w14:textId="77777777" w:rsidTr="00E977E5">
        <w:trPr>
          <w:trHeight w:val="265"/>
        </w:trPr>
        <w:tc>
          <w:tcPr>
            <w:tcW w:w="4798" w:type="dxa"/>
            <w:shd w:val="clear" w:color="auto" w:fill="FFFFFF"/>
            <w:vAlign w:val="bottom"/>
          </w:tcPr>
          <w:p w14:paraId="7101DB74" w14:textId="77777777" w:rsidR="00FD0C7A" w:rsidRPr="00195EDC" w:rsidRDefault="00FD0C7A" w:rsidP="00FD0C7A">
            <w:pPr>
              <w:ind w:left="-1"/>
              <w:rPr>
                <w:sz w:val="18"/>
                <w:szCs w:val="18"/>
              </w:rPr>
            </w:pPr>
            <w:r w:rsidRPr="00195EDC">
              <w:rPr>
                <w:sz w:val="18"/>
                <w:szCs w:val="18"/>
              </w:rPr>
              <w:t>From Domestic Banks</w:t>
            </w:r>
          </w:p>
        </w:tc>
        <w:tc>
          <w:tcPr>
            <w:tcW w:w="1292" w:type="dxa"/>
            <w:vAlign w:val="bottom"/>
          </w:tcPr>
          <w:p w14:paraId="6F4CE7E6" w14:textId="1FCFA1A4" w:rsidR="00FD0C7A" w:rsidRPr="00195EDC" w:rsidRDefault="00FD0C7A" w:rsidP="00FD0C7A">
            <w:pPr>
              <w:jc w:val="right"/>
              <w:rPr>
                <w:sz w:val="18"/>
                <w:szCs w:val="18"/>
              </w:rPr>
            </w:pPr>
            <w:r w:rsidRPr="00E46F2D">
              <w:rPr>
                <w:sz w:val="18"/>
                <w:szCs w:val="18"/>
              </w:rPr>
              <w:t>8,813</w:t>
            </w:r>
          </w:p>
        </w:tc>
        <w:tc>
          <w:tcPr>
            <w:tcW w:w="1064" w:type="dxa"/>
            <w:vAlign w:val="bottom"/>
          </w:tcPr>
          <w:p w14:paraId="74695F02" w14:textId="629BC38B" w:rsidR="00FD0C7A" w:rsidRPr="00195EDC" w:rsidRDefault="00FD0C7A" w:rsidP="00FD0C7A">
            <w:pPr>
              <w:jc w:val="right"/>
              <w:rPr>
                <w:sz w:val="18"/>
                <w:szCs w:val="18"/>
              </w:rPr>
            </w:pPr>
            <w:r w:rsidRPr="00E46F2D">
              <w:rPr>
                <w:sz w:val="18"/>
                <w:szCs w:val="18"/>
              </w:rPr>
              <w:t>759</w:t>
            </w:r>
          </w:p>
        </w:tc>
        <w:tc>
          <w:tcPr>
            <w:tcW w:w="1120" w:type="dxa"/>
            <w:vAlign w:val="bottom"/>
          </w:tcPr>
          <w:p w14:paraId="096EC4B1" w14:textId="5E39483E" w:rsidR="00FD0C7A" w:rsidRPr="00195EDC" w:rsidRDefault="00FD0C7A" w:rsidP="00FD0C7A">
            <w:pPr>
              <w:ind w:right="50"/>
              <w:jc w:val="right"/>
              <w:rPr>
                <w:sz w:val="18"/>
                <w:szCs w:val="18"/>
              </w:rPr>
            </w:pPr>
            <w:r w:rsidRPr="00E46F2D">
              <w:rPr>
                <w:sz w:val="18"/>
                <w:szCs w:val="18"/>
              </w:rPr>
              <w:t xml:space="preserve">             1,477    </w:t>
            </w:r>
          </w:p>
        </w:tc>
        <w:tc>
          <w:tcPr>
            <w:tcW w:w="967" w:type="dxa"/>
            <w:vAlign w:val="bottom"/>
          </w:tcPr>
          <w:p w14:paraId="797C829A" w14:textId="38817E5F" w:rsidR="00FD0C7A" w:rsidRPr="00195EDC" w:rsidRDefault="00FD0C7A" w:rsidP="00FD0C7A">
            <w:pPr>
              <w:ind w:right="50"/>
              <w:jc w:val="right"/>
              <w:rPr>
                <w:sz w:val="18"/>
                <w:szCs w:val="18"/>
              </w:rPr>
            </w:pPr>
            <w:r w:rsidRPr="00E46F2D">
              <w:rPr>
                <w:sz w:val="18"/>
                <w:szCs w:val="18"/>
              </w:rPr>
              <w:t xml:space="preserve">            684    </w:t>
            </w:r>
          </w:p>
        </w:tc>
      </w:tr>
      <w:tr w:rsidR="00FD0C7A" w:rsidRPr="00195EDC" w14:paraId="7C8B606D" w14:textId="77777777" w:rsidTr="00E977E5">
        <w:trPr>
          <w:trHeight w:val="265"/>
        </w:trPr>
        <w:tc>
          <w:tcPr>
            <w:tcW w:w="4798" w:type="dxa"/>
            <w:shd w:val="clear" w:color="auto" w:fill="FFFFFF"/>
            <w:vAlign w:val="bottom"/>
          </w:tcPr>
          <w:p w14:paraId="2082A6BA" w14:textId="77777777" w:rsidR="00FD0C7A" w:rsidRPr="00195EDC" w:rsidRDefault="00FD0C7A" w:rsidP="00FD0C7A">
            <w:pPr>
              <w:ind w:left="-1"/>
              <w:rPr>
                <w:sz w:val="18"/>
                <w:szCs w:val="18"/>
              </w:rPr>
            </w:pPr>
            <w:r w:rsidRPr="00195EDC">
              <w:rPr>
                <w:sz w:val="18"/>
                <w:szCs w:val="18"/>
              </w:rPr>
              <w:t>From Foreign Banks</w:t>
            </w:r>
          </w:p>
        </w:tc>
        <w:tc>
          <w:tcPr>
            <w:tcW w:w="1292" w:type="dxa"/>
            <w:vAlign w:val="bottom"/>
          </w:tcPr>
          <w:p w14:paraId="4F42F0DB" w14:textId="737AD94E" w:rsidR="00FD0C7A" w:rsidRPr="00195EDC" w:rsidRDefault="00FD0C7A" w:rsidP="00FD0C7A">
            <w:pPr>
              <w:jc w:val="right"/>
              <w:rPr>
                <w:sz w:val="18"/>
                <w:szCs w:val="18"/>
              </w:rPr>
            </w:pPr>
            <w:r w:rsidRPr="00E46F2D">
              <w:rPr>
                <w:sz w:val="18"/>
                <w:szCs w:val="18"/>
              </w:rPr>
              <w:t>766</w:t>
            </w:r>
          </w:p>
        </w:tc>
        <w:tc>
          <w:tcPr>
            <w:tcW w:w="1064" w:type="dxa"/>
            <w:vAlign w:val="bottom"/>
          </w:tcPr>
          <w:p w14:paraId="561EDFBE" w14:textId="5DE37EEB" w:rsidR="00FD0C7A" w:rsidRPr="00195EDC" w:rsidRDefault="00FD0C7A" w:rsidP="00FD0C7A">
            <w:pPr>
              <w:jc w:val="right"/>
              <w:rPr>
                <w:sz w:val="18"/>
                <w:szCs w:val="18"/>
              </w:rPr>
            </w:pPr>
            <w:r w:rsidRPr="00E46F2D">
              <w:rPr>
                <w:sz w:val="18"/>
                <w:szCs w:val="18"/>
              </w:rPr>
              <w:t>136</w:t>
            </w:r>
          </w:p>
        </w:tc>
        <w:tc>
          <w:tcPr>
            <w:tcW w:w="1120" w:type="dxa"/>
            <w:vAlign w:val="bottom"/>
          </w:tcPr>
          <w:p w14:paraId="797A6239" w14:textId="4E138900" w:rsidR="00FD0C7A" w:rsidRPr="00195EDC" w:rsidRDefault="00FD0C7A" w:rsidP="00FD0C7A">
            <w:pPr>
              <w:ind w:right="50"/>
              <w:jc w:val="right"/>
              <w:rPr>
                <w:sz w:val="18"/>
                <w:szCs w:val="18"/>
              </w:rPr>
            </w:pPr>
            <w:r w:rsidRPr="00E46F2D">
              <w:rPr>
                <w:sz w:val="18"/>
                <w:szCs w:val="18"/>
              </w:rPr>
              <w:t xml:space="preserve">                  45    </w:t>
            </w:r>
          </w:p>
        </w:tc>
        <w:tc>
          <w:tcPr>
            <w:tcW w:w="967" w:type="dxa"/>
            <w:vAlign w:val="bottom"/>
          </w:tcPr>
          <w:p w14:paraId="67171B9E" w14:textId="07CA0AA1" w:rsidR="00FD0C7A" w:rsidRPr="00195EDC" w:rsidRDefault="00FD0C7A" w:rsidP="00FD0C7A">
            <w:pPr>
              <w:ind w:right="50"/>
              <w:jc w:val="right"/>
              <w:rPr>
                <w:sz w:val="18"/>
                <w:szCs w:val="18"/>
              </w:rPr>
            </w:pPr>
            <w:r w:rsidRPr="00E46F2D">
              <w:rPr>
                <w:sz w:val="18"/>
                <w:szCs w:val="18"/>
              </w:rPr>
              <w:t xml:space="preserve">              40    </w:t>
            </w:r>
          </w:p>
        </w:tc>
      </w:tr>
      <w:tr w:rsidR="00FD0C7A" w:rsidRPr="00195EDC" w14:paraId="6578C7F2" w14:textId="77777777" w:rsidTr="00E977E5">
        <w:trPr>
          <w:trHeight w:val="265"/>
        </w:trPr>
        <w:tc>
          <w:tcPr>
            <w:tcW w:w="4798" w:type="dxa"/>
            <w:shd w:val="clear" w:color="auto" w:fill="FFFFFF"/>
            <w:vAlign w:val="bottom"/>
          </w:tcPr>
          <w:p w14:paraId="09FF223F" w14:textId="77777777" w:rsidR="00FD0C7A" w:rsidRPr="00195EDC" w:rsidRDefault="00FD0C7A" w:rsidP="00FD0C7A">
            <w:pPr>
              <w:ind w:left="-1"/>
              <w:rPr>
                <w:sz w:val="18"/>
                <w:szCs w:val="18"/>
              </w:rPr>
            </w:pPr>
            <w:r w:rsidRPr="00195EDC">
              <w:rPr>
                <w:sz w:val="18"/>
                <w:szCs w:val="18"/>
              </w:rPr>
              <w:t xml:space="preserve">Headquarters and Branches Abroad </w:t>
            </w:r>
          </w:p>
        </w:tc>
        <w:tc>
          <w:tcPr>
            <w:tcW w:w="1292" w:type="dxa"/>
            <w:vAlign w:val="bottom"/>
          </w:tcPr>
          <w:p w14:paraId="1BD18D0D" w14:textId="65604F75" w:rsidR="00FD0C7A" w:rsidRPr="00195EDC" w:rsidRDefault="00FD0C7A" w:rsidP="00FD0C7A">
            <w:pPr>
              <w:jc w:val="right"/>
              <w:rPr>
                <w:sz w:val="18"/>
                <w:szCs w:val="18"/>
              </w:rPr>
            </w:pPr>
            <w:r w:rsidRPr="00E46F2D">
              <w:rPr>
                <w:sz w:val="18"/>
                <w:szCs w:val="18"/>
              </w:rPr>
              <w:t>-</w:t>
            </w:r>
          </w:p>
        </w:tc>
        <w:tc>
          <w:tcPr>
            <w:tcW w:w="1064" w:type="dxa"/>
            <w:vAlign w:val="bottom"/>
          </w:tcPr>
          <w:p w14:paraId="511CEE1C" w14:textId="1DE556E8" w:rsidR="00FD0C7A" w:rsidRPr="00195EDC" w:rsidRDefault="00FD0C7A" w:rsidP="00FD0C7A">
            <w:pPr>
              <w:jc w:val="right"/>
              <w:rPr>
                <w:sz w:val="18"/>
                <w:szCs w:val="18"/>
              </w:rPr>
            </w:pPr>
            <w:r w:rsidRPr="00E46F2D">
              <w:rPr>
                <w:sz w:val="18"/>
                <w:szCs w:val="18"/>
              </w:rPr>
              <w:t>-</w:t>
            </w:r>
          </w:p>
        </w:tc>
        <w:tc>
          <w:tcPr>
            <w:tcW w:w="1120" w:type="dxa"/>
            <w:vAlign w:val="bottom"/>
          </w:tcPr>
          <w:p w14:paraId="5DE77F76" w14:textId="7B921A48" w:rsidR="00FD0C7A" w:rsidRPr="00195EDC" w:rsidRDefault="00FD0C7A" w:rsidP="00FD0C7A">
            <w:pPr>
              <w:ind w:right="50"/>
              <w:jc w:val="right"/>
              <w:rPr>
                <w:sz w:val="18"/>
                <w:szCs w:val="18"/>
              </w:rPr>
            </w:pPr>
            <w:r w:rsidRPr="00E46F2D">
              <w:rPr>
                <w:sz w:val="18"/>
                <w:szCs w:val="18"/>
              </w:rPr>
              <w:t xml:space="preserve">                  -      </w:t>
            </w:r>
          </w:p>
        </w:tc>
        <w:tc>
          <w:tcPr>
            <w:tcW w:w="967" w:type="dxa"/>
            <w:vAlign w:val="bottom"/>
          </w:tcPr>
          <w:p w14:paraId="1511C329" w14:textId="0D80130A" w:rsidR="00FD0C7A" w:rsidRPr="00195EDC" w:rsidRDefault="00FD0C7A" w:rsidP="00FD0C7A">
            <w:pPr>
              <w:ind w:right="50"/>
              <w:jc w:val="right"/>
              <w:rPr>
                <w:sz w:val="18"/>
                <w:szCs w:val="18"/>
              </w:rPr>
            </w:pPr>
            <w:r w:rsidRPr="00E46F2D">
              <w:rPr>
                <w:sz w:val="18"/>
                <w:szCs w:val="18"/>
              </w:rPr>
              <w:t xml:space="preserve">                 -      </w:t>
            </w:r>
          </w:p>
        </w:tc>
      </w:tr>
      <w:tr w:rsidR="00FD0C7A" w:rsidRPr="00604C75" w14:paraId="260A8B30" w14:textId="77777777" w:rsidTr="00E977E5">
        <w:trPr>
          <w:trHeight w:val="265"/>
        </w:trPr>
        <w:tc>
          <w:tcPr>
            <w:tcW w:w="4798" w:type="dxa"/>
            <w:shd w:val="clear" w:color="auto" w:fill="FFFFFF"/>
            <w:vAlign w:val="bottom"/>
          </w:tcPr>
          <w:p w14:paraId="659B76C3" w14:textId="77777777" w:rsidR="00FD0C7A" w:rsidRPr="00195EDC" w:rsidRDefault="00FD0C7A" w:rsidP="00FD0C7A">
            <w:pPr>
              <w:rPr>
                <w:b/>
                <w:sz w:val="18"/>
                <w:szCs w:val="18"/>
              </w:rPr>
            </w:pPr>
            <w:r w:rsidRPr="00195EDC">
              <w:rPr>
                <w:b/>
                <w:sz w:val="18"/>
                <w:szCs w:val="18"/>
              </w:rPr>
              <w:t>Total</w:t>
            </w:r>
          </w:p>
        </w:tc>
        <w:tc>
          <w:tcPr>
            <w:tcW w:w="1292" w:type="dxa"/>
            <w:vAlign w:val="bottom"/>
          </w:tcPr>
          <w:p w14:paraId="18280D9B" w14:textId="7B60A22D" w:rsidR="00FD0C7A" w:rsidRPr="00195EDC" w:rsidRDefault="00FD0C7A" w:rsidP="00FD0C7A">
            <w:pPr>
              <w:jc w:val="right"/>
              <w:rPr>
                <w:b/>
                <w:sz w:val="18"/>
                <w:szCs w:val="18"/>
              </w:rPr>
            </w:pPr>
            <w:r w:rsidRPr="00E46F2D">
              <w:rPr>
                <w:b/>
                <w:sz w:val="18"/>
                <w:szCs w:val="18"/>
              </w:rPr>
              <w:t>11,040</w:t>
            </w:r>
          </w:p>
        </w:tc>
        <w:tc>
          <w:tcPr>
            <w:tcW w:w="1064" w:type="dxa"/>
            <w:vAlign w:val="bottom"/>
          </w:tcPr>
          <w:p w14:paraId="539EA2F6" w14:textId="759BF824" w:rsidR="00FD0C7A" w:rsidRPr="00195EDC" w:rsidRDefault="00FD0C7A" w:rsidP="00FD0C7A">
            <w:pPr>
              <w:jc w:val="right"/>
              <w:rPr>
                <w:b/>
                <w:sz w:val="18"/>
                <w:szCs w:val="18"/>
              </w:rPr>
            </w:pPr>
            <w:r w:rsidRPr="00E46F2D">
              <w:rPr>
                <w:b/>
                <w:sz w:val="18"/>
                <w:szCs w:val="18"/>
              </w:rPr>
              <w:t>2,628</w:t>
            </w:r>
          </w:p>
        </w:tc>
        <w:tc>
          <w:tcPr>
            <w:tcW w:w="1120" w:type="dxa"/>
            <w:vAlign w:val="bottom"/>
          </w:tcPr>
          <w:p w14:paraId="07DEA54A" w14:textId="2DF0CBE8" w:rsidR="00FD0C7A" w:rsidRPr="00195EDC" w:rsidRDefault="00FD0C7A" w:rsidP="00FD0C7A">
            <w:pPr>
              <w:ind w:right="50"/>
              <w:jc w:val="right"/>
              <w:rPr>
                <w:b/>
                <w:sz w:val="18"/>
                <w:szCs w:val="18"/>
              </w:rPr>
            </w:pPr>
            <w:r w:rsidRPr="00E46F2D">
              <w:rPr>
                <w:b/>
                <w:sz w:val="18"/>
                <w:szCs w:val="18"/>
              </w:rPr>
              <w:t xml:space="preserve">             1,522    </w:t>
            </w:r>
          </w:p>
        </w:tc>
        <w:tc>
          <w:tcPr>
            <w:tcW w:w="967" w:type="dxa"/>
            <w:vAlign w:val="bottom"/>
          </w:tcPr>
          <w:p w14:paraId="0377CD45" w14:textId="36C5D0B9" w:rsidR="00FD0C7A" w:rsidRPr="00692926" w:rsidRDefault="00FD0C7A" w:rsidP="00FD0C7A">
            <w:pPr>
              <w:ind w:right="50"/>
              <w:jc w:val="right"/>
              <w:rPr>
                <w:b/>
                <w:sz w:val="18"/>
                <w:szCs w:val="18"/>
              </w:rPr>
            </w:pPr>
            <w:r w:rsidRPr="00E46F2D">
              <w:rPr>
                <w:b/>
                <w:sz w:val="18"/>
                <w:szCs w:val="18"/>
              </w:rPr>
              <w:t xml:space="preserve">             724    </w:t>
            </w:r>
          </w:p>
        </w:tc>
      </w:tr>
    </w:tbl>
    <w:p w14:paraId="7D8A6FF9" w14:textId="75D554D0" w:rsidR="00CA2800" w:rsidRPr="004D625B" w:rsidRDefault="00034ABB" w:rsidP="004D625B">
      <w:pPr>
        <w:spacing w:before="60"/>
        <w:ind w:right="136"/>
        <w:jc w:val="both"/>
        <w:rPr>
          <w:noProof/>
          <w:sz w:val="16"/>
          <w:szCs w:val="16"/>
        </w:rPr>
      </w:pPr>
      <w:r w:rsidRPr="004D625B">
        <w:rPr>
          <w:noProof/>
          <w:sz w:val="16"/>
          <w:szCs w:val="16"/>
        </w:rPr>
        <w:t>(*) Interest incomes from Turkish Lira and</w:t>
      </w:r>
      <w:r w:rsidR="004106FD" w:rsidRPr="004D625B">
        <w:rPr>
          <w:noProof/>
          <w:sz w:val="16"/>
          <w:szCs w:val="16"/>
        </w:rPr>
        <w:t xml:space="preserve"> Foreign Currency reserves, unrestricted</w:t>
      </w:r>
      <w:r w:rsidRPr="004D625B">
        <w:rPr>
          <w:noProof/>
          <w:sz w:val="16"/>
          <w:szCs w:val="16"/>
        </w:rPr>
        <w:t xml:space="preserve"> accounts and reserve opti</w:t>
      </w:r>
      <w:r w:rsidR="004D625B" w:rsidRPr="004D625B">
        <w:rPr>
          <w:noProof/>
          <w:sz w:val="16"/>
          <w:szCs w:val="16"/>
        </w:rPr>
        <w:t xml:space="preserve">ons  which provided by CBRT has </w:t>
      </w:r>
      <w:r w:rsidRPr="004D625B">
        <w:rPr>
          <w:noProof/>
          <w:sz w:val="16"/>
          <w:szCs w:val="16"/>
        </w:rPr>
        <w:t>shown in “From the CBRT” line.</w:t>
      </w:r>
      <w:r w:rsidR="007219E5" w:rsidRPr="004D625B">
        <w:rPr>
          <w:noProof/>
          <w:sz w:val="16"/>
          <w:szCs w:val="16"/>
        </w:rPr>
        <w:tab/>
      </w:r>
    </w:p>
    <w:p w14:paraId="42F6A4DC" w14:textId="77777777" w:rsidR="0044575F" w:rsidRPr="00604C75" w:rsidRDefault="0044575F" w:rsidP="008477F3">
      <w:pPr>
        <w:pStyle w:val="ListParagraph"/>
        <w:numPr>
          <w:ilvl w:val="0"/>
          <w:numId w:val="25"/>
        </w:numPr>
        <w:tabs>
          <w:tab w:val="clear" w:pos="1440"/>
        </w:tabs>
        <w:ind w:left="709" w:hanging="709"/>
        <w:jc w:val="both"/>
        <w:rPr>
          <w:sz w:val="20"/>
          <w:szCs w:val="20"/>
        </w:rPr>
      </w:pPr>
      <w:r w:rsidRPr="00604C75">
        <w:rPr>
          <w:sz w:val="20"/>
          <w:szCs w:val="20"/>
        </w:rPr>
        <w:t>Information on interest income on marketable securities</w:t>
      </w:r>
    </w:p>
    <w:p w14:paraId="0B1F5A13" w14:textId="77777777" w:rsidR="0044575F" w:rsidRPr="00604C75" w:rsidRDefault="0044575F" w:rsidP="00BC169E">
      <w:pPr>
        <w:tabs>
          <w:tab w:val="left" w:pos="1701"/>
        </w:tabs>
        <w:spacing w:line="120" w:lineRule="auto"/>
        <w:ind w:left="1701"/>
        <w:jc w:val="both"/>
        <w:rPr>
          <w:b/>
          <w:szCs w:val="10"/>
        </w:rPr>
      </w:pPr>
    </w:p>
    <w:tbl>
      <w:tblPr>
        <w:tblW w:w="923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831"/>
        <w:gridCol w:w="1244"/>
        <w:gridCol w:w="1064"/>
        <w:gridCol w:w="1120"/>
        <w:gridCol w:w="980"/>
      </w:tblGrid>
      <w:tr w:rsidR="00687495" w:rsidRPr="00604C75" w14:paraId="2EC49A56" w14:textId="77777777" w:rsidTr="00AD726D">
        <w:trPr>
          <w:trHeight w:val="255"/>
        </w:trPr>
        <w:tc>
          <w:tcPr>
            <w:tcW w:w="4831" w:type="dxa"/>
            <w:vAlign w:val="bottom"/>
          </w:tcPr>
          <w:p w14:paraId="4CCF4FB0" w14:textId="77777777" w:rsidR="00687495" w:rsidRPr="00604C75" w:rsidRDefault="00687495" w:rsidP="00687495">
            <w:pPr>
              <w:jc w:val="center"/>
              <w:rPr>
                <w:sz w:val="18"/>
              </w:rPr>
            </w:pPr>
            <w:r w:rsidRPr="00604C75">
              <w:rPr>
                <w:sz w:val="18"/>
              </w:rPr>
              <w:t> </w:t>
            </w:r>
          </w:p>
        </w:tc>
        <w:tc>
          <w:tcPr>
            <w:tcW w:w="2308" w:type="dxa"/>
            <w:gridSpan w:val="2"/>
            <w:vAlign w:val="bottom"/>
          </w:tcPr>
          <w:p w14:paraId="4830E309" w14:textId="77777777" w:rsidR="00687495" w:rsidRPr="00604C75" w:rsidRDefault="00687495" w:rsidP="00687495">
            <w:pPr>
              <w:ind w:right="434"/>
              <w:jc w:val="right"/>
              <w:rPr>
                <w:rFonts w:eastAsia="Arial Unicode MS"/>
                <w:b/>
                <w:bCs/>
                <w:sz w:val="18"/>
                <w:szCs w:val="18"/>
              </w:rPr>
            </w:pPr>
            <w:r>
              <w:rPr>
                <w:b/>
                <w:snapToGrid w:val="0"/>
                <w:sz w:val="18"/>
              </w:rPr>
              <w:t>31 December</w:t>
            </w:r>
            <w:r w:rsidRPr="00604C75">
              <w:rPr>
                <w:b/>
                <w:snapToGrid w:val="0"/>
                <w:sz w:val="18"/>
              </w:rPr>
              <w:t xml:space="preserve"> 2015</w:t>
            </w:r>
          </w:p>
        </w:tc>
        <w:tc>
          <w:tcPr>
            <w:tcW w:w="2100" w:type="dxa"/>
            <w:gridSpan w:val="2"/>
            <w:vAlign w:val="bottom"/>
          </w:tcPr>
          <w:p w14:paraId="1682B0C8" w14:textId="04A42068" w:rsidR="00687495" w:rsidRPr="00604C75" w:rsidRDefault="00687495" w:rsidP="00687495">
            <w:pPr>
              <w:ind w:right="434"/>
              <w:jc w:val="right"/>
              <w:rPr>
                <w:rFonts w:eastAsia="Arial Unicode MS"/>
                <w:b/>
                <w:bCs/>
                <w:sz w:val="18"/>
                <w:szCs w:val="18"/>
              </w:rPr>
            </w:pPr>
            <w:r>
              <w:rPr>
                <w:b/>
                <w:snapToGrid w:val="0"/>
                <w:sz w:val="18"/>
              </w:rPr>
              <w:t>31 December</w:t>
            </w:r>
            <w:r w:rsidRPr="00604C75">
              <w:rPr>
                <w:b/>
                <w:snapToGrid w:val="0"/>
                <w:sz w:val="18"/>
              </w:rPr>
              <w:t xml:space="preserve"> 2014</w:t>
            </w:r>
          </w:p>
        </w:tc>
      </w:tr>
      <w:tr w:rsidR="0044575F" w:rsidRPr="00604C75" w14:paraId="2799E3DC" w14:textId="77777777" w:rsidTr="00AD726D">
        <w:trPr>
          <w:trHeight w:val="255"/>
        </w:trPr>
        <w:tc>
          <w:tcPr>
            <w:tcW w:w="4831" w:type="dxa"/>
            <w:vAlign w:val="bottom"/>
          </w:tcPr>
          <w:p w14:paraId="47619921" w14:textId="77777777" w:rsidR="0044575F" w:rsidRPr="00604C75" w:rsidRDefault="0044575F" w:rsidP="00C22AF8">
            <w:pPr>
              <w:rPr>
                <w:sz w:val="18"/>
              </w:rPr>
            </w:pPr>
            <w:r w:rsidRPr="00604C75">
              <w:rPr>
                <w:sz w:val="18"/>
              </w:rPr>
              <w:t> </w:t>
            </w:r>
          </w:p>
        </w:tc>
        <w:tc>
          <w:tcPr>
            <w:tcW w:w="1244" w:type="dxa"/>
            <w:vAlign w:val="bottom"/>
          </w:tcPr>
          <w:p w14:paraId="063C5032" w14:textId="77777777" w:rsidR="0044575F" w:rsidRPr="00604C75" w:rsidRDefault="0044575F" w:rsidP="00C22AF8">
            <w:pPr>
              <w:jc w:val="right"/>
              <w:rPr>
                <w:rFonts w:eastAsia="Arial Unicode MS"/>
                <w:b/>
                <w:bCs/>
                <w:sz w:val="18"/>
                <w:szCs w:val="18"/>
              </w:rPr>
            </w:pPr>
            <w:r w:rsidRPr="00604C75">
              <w:rPr>
                <w:b/>
                <w:bCs/>
                <w:sz w:val="18"/>
                <w:szCs w:val="18"/>
              </w:rPr>
              <w:t>TL</w:t>
            </w:r>
          </w:p>
        </w:tc>
        <w:tc>
          <w:tcPr>
            <w:tcW w:w="1064" w:type="dxa"/>
            <w:vAlign w:val="bottom"/>
          </w:tcPr>
          <w:p w14:paraId="52DD5366" w14:textId="77777777" w:rsidR="0044575F" w:rsidRPr="00604C75" w:rsidRDefault="0044575F" w:rsidP="00C22AF8">
            <w:pPr>
              <w:jc w:val="right"/>
              <w:rPr>
                <w:rFonts w:eastAsia="Arial Unicode MS"/>
                <w:b/>
                <w:bCs/>
                <w:sz w:val="18"/>
                <w:szCs w:val="18"/>
              </w:rPr>
            </w:pPr>
            <w:r w:rsidRPr="00604C75">
              <w:rPr>
                <w:b/>
                <w:bCs/>
                <w:sz w:val="18"/>
                <w:szCs w:val="18"/>
              </w:rPr>
              <w:t>FC</w:t>
            </w:r>
          </w:p>
        </w:tc>
        <w:tc>
          <w:tcPr>
            <w:tcW w:w="1120" w:type="dxa"/>
            <w:vAlign w:val="bottom"/>
          </w:tcPr>
          <w:p w14:paraId="0FD5439A" w14:textId="77777777" w:rsidR="0044575F" w:rsidRPr="00604C75" w:rsidRDefault="0044575F" w:rsidP="00C22AF8">
            <w:pPr>
              <w:jc w:val="right"/>
              <w:rPr>
                <w:rFonts w:eastAsia="Arial Unicode MS"/>
                <w:b/>
                <w:bCs/>
                <w:sz w:val="18"/>
                <w:szCs w:val="18"/>
              </w:rPr>
            </w:pPr>
            <w:r w:rsidRPr="00604C75">
              <w:rPr>
                <w:b/>
                <w:bCs/>
                <w:sz w:val="18"/>
                <w:szCs w:val="18"/>
              </w:rPr>
              <w:t>TL</w:t>
            </w:r>
          </w:p>
        </w:tc>
        <w:tc>
          <w:tcPr>
            <w:tcW w:w="980" w:type="dxa"/>
            <w:vAlign w:val="bottom"/>
          </w:tcPr>
          <w:p w14:paraId="038F32BB" w14:textId="77777777" w:rsidR="0044575F" w:rsidRPr="00604C75" w:rsidRDefault="0044575F" w:rsidP="00C22AF8">
            <w:pPr>
              <w:jc w:val="right"/>
              <w:rPr>
                <w:rFonts w:eastAsia="Arial Unicode MS"/>
                <w:b/>
                <w:bCs/>
                <w:sz w:val="18"/>
                <w:szCs w:val="18"/>
              </w:rPr>
            </w:pPr>
            <w:r w:rsidRPr="00604C75">
              <w:rPr>
                <w:b/>
                <w:bCs/>
                <w:sz w:val="18"/>
                <w:szCs w:val="18"/>
              </w:rPr>
              <w:t>FC</w:t>
            </w:r>
          </w:p>
        </w:tc>
      </w:tr>
      <w:tr w:rsidR="00FD0C7A" w:rsidRPr="00604C75" w14:paraId="46A90E6D" w14:textId="77777777" w:rsidTr="00261946">
        <w:trPr>
          <w:trHeight w:val="255"/>
        </w:trPr>
        <w:tc>
          <w:tcPr>
            <w:tcW w:w="4831" w:type="dxa"/>
            <w:vAlign w:val="bottom"/>
          </w:tcPr>
          <w:p w14:paraId="55C7440A" w14:textId="77777777" w:rsidR="00FD0C7A" w:rsidRPr="00604C75" w:rsidRDefault="00FD0C7A" w:rsidP="00FD0C7A">
            <w:pPr>
              <w:rPr>
                <w:sz w:val="18"/>
              </w:rPr>
            </w:pPr>
            <w:r w:rsidRPr="00604C75">
              <w:rPr>
                <w:sz w:val="18"/>
              </w:rPr>
              <w:t>From Trading Financial Assets</w:t>
            </w:r>
          </w:p>
        </w:tc>
        <w:tc>
          <w:tcPr>
            <w:tcW w:w="1244" w:type="dxa"/>
            <w:vAlign w:val="bottom"/>
          </w:tcPr>
          <w:p w14:paraId="588A1AA8" w14:textId="082A07F8" w:rsidR="00FD0C7A" w:rsidRDefault="00FD0C7A" w:rsidP="00FD0C7A">
            <w:pPr>
              <w:jc w:val="right"/>
              <w:rPr>
                <w:sz w:val="18"/>
                <w:szCs w:val="18"/>
              </w:rPr>
            </w:pPr>
            <w:r>
              <w:rPr>
                <w:sz w:val="18"/>
                <w:szCs w:val="18"/>
              </w:rPr>
              <w:t xml:space="preserve">                844    </w:t>
            </w:r>
          </w:p>
        </w:tc>
        <w:tc>
          <w:tcPr>
            <w:tcW w:w="1064" w:type="dxa"/>
            <w:vAlign w:val="bottom"/>
          </w:tcPr>
          <w:p w14:paraId="452D95DE" w14:textId="6C27571D" w:rsidR="00FD0C7A" w:rsidRDefault="00224102" w:rsidP="00FD0C7A">
            <w:pPr>
              <w:jc w:val="right"/>
              <w:rPr>
                <w:sz w:val="18"/>
                <w:szCs w:val="18"/>
              </w:rPr>
            </w:pPr>
            <w:r>
              <w:rPr>
                <w:sz w:val="18"/>
                <w:szCs w:val="18"/>
              </w:rPr>
              <w:t xml:space="preserve">           </w:t>
            </w:r>
            <w:r w:rsidR="00FD0C7A">
              <w:rPr>
                <w:sz w:val="18"/>
                <w:szCs w:val="18"/>
              </w:rPr>
              <w:t xml:space="preserve">18    </w:t>
            </w:r>
          </w:p>
        </w:tc>
        <w:tc>
          <w:tcPr>
            <w:tcW w:w="1120" w:type="dxa"/>
            <w:vAlign w:val="bottom"/>
          </w:tcPr>
          <w:p w14:paraId="00DB42A3" w14:textId="63DF7067" w:rsidR="00FD0C7A" w:rsidRPr="00692926" w:rsidRDefault="00FD0C7A" w:rsidP="00FD0C7A">
            <w:pPr>
              <w:ind w:right="64"/>
              <w:jc w:val="right"/>
              <w:rPr>
                <w:color w:val="000000"/>
                <w:sz w:val="18"/>
                <w:szCs w:val="18"/>
              </w:rPr>
            </w:pPr>
            <w:r>
              <w:rPr>
                <w:sz w:val="18"/>
                <w:szCs w:val="18"/>
              </w:rPr>
              <w:t xml:space="preserve">           11,</w:t>
            </w:r>
            <w:r w:rsidRPr="00A36623">
              <w:rPr>
                <w:sz w:val="18"/>
                <w:szCs w:val="18"/>
              </w:rPr>
              <w:t xml:space="preserve">015    </w:t>
            </w:r>
          </w:p>
        </w:tc>
        <w:tc>
          <w:tcPr>
            <w:tcW w:w="980" w:type="dxa"/>
            <w:vAlign w:val="bottom"/>
          </w:tcPr>
          <w:p w14:paraId="76982AA6" w14:textId="610C3DC5" w:rsidR="00FD0C7A" w:rsidRPr="00692926" w:rsidRDefault="00224102" w:rsidP="00FD0C7A">
            <w:pPr>
              <w:ind w:right="64"/>
              <w:jc w:val="right"/>
              <w:rPr>
                <w:color w:val="000000"/>
                <w:sz w:val="18"/>
                <w:szCs w:val="18"/>
              </w:rPr>
            </w:pPr>
            <w:r>
              <w:rPr>
                <w:sz w:val="18"/>
                <w:szCs w:val="18"/>
              </w:rPr>
              <w:t xml:space="preserve">              </w:t>
            </w:r>
            <w:r w:rsidR="00FD0C7A" w:rsidRPr="00A36623">
              <w:rPr>
                <w:sz w:val="18"/>
                <w:szCs w:val="18"/>
              </w:rPr>
              <w:t xml:space="preserve">13    </w:t>
            </w:r>
          </w:p>
        </w:tc>
      </w:tr>
      <w:tr w:rsidR="00FD0C7A" w:rsidRPr="00604C75" w14:paraId="001C600D" w14:textId="77777777" w:rsidTr="00261946">
        <w:trPr>
          <w:trHeight w:val="255"/>
        </w:trPr>
        <w:tc>
          <w:tcPr>
            <w:tcW w:w="4831" w:type="dxa"/>
            <w:vAlign w:val="bottom"/>
          </w:tcPr>
          <w:p w14:paraId="5E9B552C" w14:textId="77777777" w:rsidR="00FD0C7A" w:rsidRPr="00604C75" w:rsidRDefault="00FD0C7A" w:rsidP="00FD0C7A">
            <w:pPr>
              <w:rPr>
                <w:sz w:val="18"/>
              </w:rPr>
            </w:pPr>
            <w:r w:rsidRPr="00604C75">
              <w:rPr>
                <w:sz w:val="18"/>
              </w:rPr>
              <w:t>From Financial Assets At Fair Value Through Profit or Loss</w:t>
            </w:r>
          </w:p>
        </w:tc>
        <w:tc>
          <w:tcPr>
            <w:tcW w:w="1244" w:type="dxa"/>
            <w:vAlign w:val="bottom"/>
          </w:tcPr>
          <w:p w14:paraId="081F5034" w14:textId="3294458A" w:rsidR="00FD0C7A" w:rsidRDefault="00FD0C7A" w:rsidP="00FD0C7A">
            <w:pPr>
              <w:jc w:val="right"/>
              <w:rPr>
                <w:sz w:val="18"/>
                <w:szCs w:val="18"/>
              </w:rPr>
            </w:pPr>
            <w:r>
              <w:rPr>
                <w:sz w:val="18"/>
                <w:szCs w:val="18"/>
              </w:rPr>
              <w:t xml:space="preserve">                  -      </w:t>
            </w:r>
          </w:p>
        </w:tc>
        <w:tc>
          <w:tcPr>
            <w:tcW w:w="1064" w:type="dxa"/>
            <w:vAlign w:val="bottom"/>
          </w:tcPr>
          <w:p w14:paraId="34549EDA" w14:textId="199450D2" w:rsidR="00FD0C7A" w:rsidRDefault="00FD0C7A" w:rsidP="00FD0C7A">
            <w:pPr>
              <w:jc w:val="right"/>
              <w:rPr>
                <w:sz w:val="18"/>
                <w:szCs w:val="18"/>
              </w:rPr>
            </w:pPr>
            <w:r>
              <w:rPr>
                <w:sz w:val="18"/>
                <w:szCs w:val="18"/>
              </w:rPr>
              <w:t xml:space="preserve">                      -      </w:t>
            </w:r>
          </w:p>
        </w:tc>
        <w:tc>
          <w:tcPr>
            <w:tcW w:w="1120" w:type="dxa"/>
            <w:vAlign w:val="bottom"/>
          </w:tcPr>
          <w:p w14:paraId="2D5EE15F" w14:textId="4E960ECE" w:rsidR="00FD0C7A" w:rsidRPr="00692926" w:rsidRDefault="00FD0C7A" w:rsidP="00FD0C7A">
            <w:pPr>
              <w:ind w:right="64"/>
              <w:jc w:val="right"/>
              <w:rPr>
                <w:color w:val="000000"/>
                <w:sz w:val="18"/>
                <w:szCs w:val="18"/>
              </w:rPr>
            </w:pPr>
            <w:r w:rsidRPr="00A36623">
              <w:rPr>
                <w:sz w:val="18"/>
                <w:szCs w:val="18"/>
              </w:rPr>
              <w:t xml:space="preserve">                  -      </w:t>
            </w:r>
          </w:p>
        </w:tc>
        <w:tc>
          <w:tcPr>
            <w:tcW w:w="980" w:type="dxa"/>
            <w:vAlign w:val="bottom"/>
          </w:tcPr>
          <w:p w14:paraId="2BF8BAA0" w14:textId="04AF9365" w:rsidR="00FD0C7A" w:rsidRPr="00692926" w:rsidRDefault="00224102" w:rsidP="00FD0C7A">
            <w:pPr>
              <w:ind w:right="64"/>
              <w:jc w:val="right"/>
              <w:rPr>
                <w:color w:val="000000"/>
                <w:sz w:val="18"/>
                <w:szCs w:val="18"/>
              </w:rPr>
            </w:pPr>
            <w:r>
              <w:rPr>
                <w:sz w:val="18"/>
                <w:szCs w:val="18"/>
              </w:rPr>
              <w:t xml:space="preserve">                 </w:t>
            </w:r>
            <w:r w:rsidR="00FD0C7A" w:rsidRPr="00A36623">
              <w:rPr>
                <w:sz w:val="18"/>
                <w:szCs w:val="18"/>
              </w:rPr>
              <w:t xml:space="preserve">-      </w:t>
            </w:r>
          </w:p>
        </w:tc>
      </w:tr>
      <w:tr w:rsidR="00FD0C7A" w:rsidRPr="00604C75" w14:paraId="0C99882D" w14:textId="77777777" w:rsidTr="00261946">
        <w:trPr>
          <w:trHeight w:val="255"/>
        </w:trPr>
        <w:tc>
          <w:tcPr>
            <w:tcW w:w="4831" w:type="dxa"/>
            <w:vAlign w:val="bottom"/>
          </w:tcPr>
          <w:p w14:paraId="5B9D709E" w14:textId="77777777" w:rsidR="00FD0C7A" w:rsidRPr="00604C75" w:rsidRDefault="00FD0C7A" w:rsidP="00FD0C7A">
            <w:pPr>
              <w:rPr>
                <w:sz w:val="18"/>
              </w:rPr>
            </w:pPr>
            <w:r w:rsidRPr="00604C75">
              <w:rPr>
                <w:sz w:val="18"/>
              </w:rPr>
              <w:t>From Available-for-Sale Financial Assets</w:t>
            </w:r>
          </w:p>
        </w:tc>
        <w:tc>
          <w:tcPr>
            <w:tcW w:w="1244" w:type="dxa"/>
            <w:vAlign w:val="bottom"/>
          </w:tcPr>
          <w:p w14:paraId="41F64972" w14:textId="5DD2B91B" w:rsidR="00FD0C7A" w:rsidRDefault="00FD0C7A" w:rsidP="00FD0C7A">
            <w:pPr>
              <w:jc w:val="right"/>
              <w:rPr>
                <w:sz w:val="18"/>
                <w:szCs w:val="18"/>
              </w:rPr>
            </w:pPr>
            <w:r>
              <w:rPr>
                <w:sz w:val="18"/>
                <w:szCs w:val="18"/>
              </w:rPr>
              <w:t xml:space="preserve">           42,940    </w:t>
            </w:r>
          </w:p>
        </w:tc>
        <w:tc>
          <w:tcPr>
            <w:tcW w:w="1064" w:type="dxa"/>
            <w:vAlign w:val="bottom"/>
          </w:tcPr>
          <w:p w14:paraId="206C7FCB" w14:textId="5DC753FB" w:rsidR="00FD0C7A" w:rsidRDefault="00224102" w:rsidP="00FD0C7A">
            <w:pPr>
              <w:jc w:val="right"/>
              <w:rPr>
                <w:sz w:val="18"/>
                <w:szCs w:val="18"/>
              </w:rPr>
            </w:pPr>
            <w:r>
              <w:rPr>
                <w:sz w:val="18"/>
                <w:szCs w:val="18"/>
              </w:rPr>
              <w:t xml:space="preserve">           </w:t>
            </w:r>
            <w:r w:rsidR="00FD0C7A">
              <w:rPr>
                <w:sz w:val="18"/>
                <w:szCs w:val="18"/>
              </w:rPr>
              <w:t xml:space="preserve">17,051    </w:t>
            </w:r>
          </w:p>
        </w:tc>
        <w:tc>
          <w:tcPr>
            <w:tcW w:w="1120" w:type="dxa"/>
            <w:vAlign w:val="bottom"/>
          </w:tcPr>
          <w:p w14:paraId="7D6F5F5E" w14:textId="48325222" w:rsidR="00FD0C7A" w:rsidRPr="00692926" w:rsidRDefault="00FD0C7A" w:rsidP="00FD0C7A">
            <w:pPr>
              <w:ind w:right="64"/>
              <w:jc w:val="right"/>
              <w:rPr>
                <w:color w:val="000000"/>
                <w:sz w:val="18"/>
                <w:szCs w:val="18"/>
              </w:rPr>
            </w:pPr>
            <w:r>
              <w:rPr>
                <w:sz w:val="18"/>
                <w:szCs w:val="18"/>
              </w:rPr>
              <w:t xml:space="preserve">           41,</w:t>
            </w:r>
            <w:r w:rsidRPr="00A36623">
              <w:rPr>
                <w:sz w:val="18"/>
                <w:szCs w:val="18"/>
              </w:rPr>
              <w:t xml:space="preserve">521    </w:t>
            </w:r>
          </w:p>
        </w:tc>
        <w:tc>
          <w:tcPr>
            <w:tcW w:w="980" w:type="dxa"/>
            <w:vAlign w:val="bottom"/>
          </w:tcPr>
          <w:p w14:paraId="34AA8412" w14:textId="0E7B21A3" w:rsidR="00FD0C7A" w:rsidRPr="00692926" w:rsidRDefault="00224102" w:rsidP="00FD0C7A">
            <w:pPr>
              <w:ind w:right="64"/>
              <w:jc w:val="right"/>
              <w:rPr>
                <w:color w:val="000000"/>
                <w:sz w:val="18"/>
                <w:szCs w:val="18"/>
              </w:rPr>
            </w:pPr>
            <w:r>
              <w:rPr>
                <w:sz w:val="18"/>
                <w:szCs w:val="18"/>
              </w:rPr>
              <w:t xml:space="preserve">      </w:t>
            </w:r>
            <w:r w:rsidR="00FD0C7A">
              <w:rPr>
                <w:sz w:val="18"/>
                <w:szCs w:val="18"/>
              </w:rPr>
              <w:t>2,</w:t>
            </w:r>
            <w:r w:rsidR="00FD0C7A" w:rsidRPr="00A36623">
              <w:rPr>
                <w:sz w:val="18"/>
                <w:szCs w:val="18"/>
              </w:rPr>
              <w:t xml:space="preserve">058    </w:t>
            </w:r>
          </w:p>
        </w:tc>
      </w:tr>
      <w:tr w:rsidR="00FD0C7A" w:rsidRPr="00604C75" w14:paraId="213EC1FD" w14:textId="77777777" w:rsidTr="00261946">
        <w:trPr>
          <w:trHeight w:val="255"/>
        </w:trPr>
        <w:tc>
          <w:tcPr>
            <w:tcW w:w="4831" w:type="dxa"/>
            <w:vAlign w:val="bottom"/>
          </w:tcPr>
          <w:p w14:paraId="7909CD75" w14:textId="77777777" w:rsidR="00FD0C7A" w:rsidRPr="00604C75" w:rsidRDefault="00FD0C7A" w:rsidP="00FD0C7A">
            <w:pPr>
              <w:rPr>
                <w:sz w:val="18"/>
              </w:rPr>
            </w:pPr>
            <w:r w:rsidRPr="00604C75">
              <w:rPr>
                <w:sz w:val="18"/>
              </w:rPr>
              <w:t>From Held-to-Maturity Investments</w:t>
            </w:r>
          </w:p>
        </w:tc>
        <w:tc>
          <w:tcPr>
            <w:tcW w:w="1244" w:type="dxa"/>
            <w:vAlign w:val="bottom"/>
          </w:tcPr>
          <w:p w14:paraId="081BFAAB" w14:textId="3A871843" w:rsidR="00FD0C7A" w:rsidRDefault="00FD0C7A" w:rsidP="00FD0C7A">
            <w:pPr>
              <w:jc w:val="right"/>
              <w:rPr>
                <w:sz w:val="18"/>
                <w:szCs w:val="18"/>
              </w:rPr>
            </w:pPr>
            <w:r>
              <w:rPr>
                <w:sz w:val="18"/>
                <w:szCs w:val="18"/>
              </w:rPr>
              <w:t xml:space="preserve">                  -      </w:t>
            </w:r>
          </w:p>
        </w:tc>
        <w:tc>
          <w:tcPr>
            <w:tcW w:w="1064" w:type="dxa"/>
            <w:vAlign w:val="bottom"/>
          </w:tcPr>
          <w:p w14:paraId="346C1AA9" w14:textId="71DB18CF" w:rsidR="00FD0C7A" w:rsidRDefault="00FD0C7A" w:rsidP="00FD0C7A">
            <w:pPr>
              <w:jc w:val="right"/>
              <w:rPr>
                <w:sz w:val="18"/>
                <w:szCs w:val="18"/>
              </w:rPr>
            </w:pPr>
            <w:r>
              <w:rPr>
                <w:sz w:val="18"/>
                <w:szCs w:val="18"/>
              </w:rPr>
              <w:t xml:space="preserve">                      -      </w:t>
            </w:r>
          </w:p>
        </w:tc>
        <w:tc>
          <w:tcPr>
            <w:tcW w:w="1120" w:type="dxa"/>
            <w:vAlign w:val="bottom"/>
          </w:tcPr>
          <w:p w14:paraId="32478323" w14:textId="10CF6795" w:rsidR="00FD0C7A" w:rsidRPr="00692926" w:rsidRDefault="00FD0C7A" w:rsidP="00FD0C7A">
            <w:pPr>
              <w:ind w:right="64"/>
              <w:jc w:val="right"/>
              <w:rPr>
                <w:color w:val="000000"/>
                <w:sz w:val="18"/>
                <w:szCs w:val="18"/>
              </w:rPr>
            </w:pPr>
            <w:r>
              <w:rPr>
                <w:sz w:val="18"/>
                <w:szCs w:val="18"/>
              </w:rPr>
              <w:t xml:space="preserve">         119,</w:t>
            </w:r>
            <w:r w:rsidRPr="00A36623">
              <w:rPr>
                <w:sz w:val="18"/>
                <w:szCs w:val="18"/>
              </w:rPr>
              <w:t xml:space="preserve">421    </w:t>
            </w:r>
          </w:p>
        </w:tc>
        <w:tc>
          <w:tcPr>
            <w:tcW w:w="980" w:type="dxa"/>
            <w:vAlign w:val="bottom"/>
          </w:tcPr>
          <w:p w14:paraId="7C7EA2F6" w14:textId="354F0A40" w:rsidR="00FD0C7A" w:rsidRPr="00692926" w:rsidRDefault="00224102" w:rsidP="00FD0C7A">
            <w:pPr>
              <w:ind w:right="64"/>
              <w:jc w:val="right"/>
              <w:rPr>
                <w:color w:val="000000"/>
                <w:sz w:val="18"/>
                <w:szCs w:val="18"/>
              </w:rPr>
            </w:pPr>
            <w:r>
              <w:rPr>
                <w:sz w:val="18"/>
                <w:szCs w:val="18"/>
              </w:rPr>
              <w:t xml:space="preserve">                 </w:t>
            </w:r>
            <w:r w:rsidR="00FD0C7A" w:rsidRPr="00A36623">
              <w:rPr>
                <w:sz w:val="18"/>
                <w:szCs w:val="18"/>
              </w:rPr>
              <w:t xml:space="preserve">-      </w:t>
            </w:r>
          </w:p>
        </w:tc>
      </w:tr>
      <w:tr w:rsidR="00FD0C7A" w:rsidRPr="00604C75" w14:paraId="70E37B14" w14:textId="77777777" w:rsidTr="00261946">
        <w:trPr>
          <w:trHeight w:val="255"/>
        </w:trPr>
        <w:tc>
          <w:tcPr>
            <w:tcW w:w="4831" w:type="dxa"/>
            <w:vAlign w:val="bottom"/>
          </w:tcPr>
          <w:p w14:paraId="7FA4BBE2" w14:textId="77777777" w:rsidR="00FD0C7A" w:rsidRPr="00604C75" w:rsidRDefault="00FD0C7A" w:rsidP="00FD0C7A">
            <w:pPr>
              <w:rPr>
                <w:b/>
                <w:bCs/>
                <w:sz w:val="18"/>
              </w:rPr>
            </w:pPr>
            <w:r w:rsidRPr="00604C75">
              <w:rPr>
                <w:b/>
                <w:bCs/>
                <w:sz w:val="18"/>
              </w:rPr>
              <w:t>Total</w:t>
            </w:r>
          </w:p>
        </w:tc>
        <w:tc>
          <w:tcPr>
            <w:tcW w:w="1244" w:type="dxa"/>
            <w:vAlign w:val="bottom"/>
          </w:tcPr>
          <w:p w14:paraId="6DC8B70C" w14:textId="77EC12CD" w:rsidR="00FD0C7A" w:rsidRPr="006226AD" w:rsidRDefault="00FD0C7A" w:rsidP="00FD0C7A">
            <w:pPr>
              <w:jc w:val="right"/>
              <w:rPr>
                <w:b/>
                <w:sz w:val="18"/>
                <w:szCs w:val="18"/>
              </w:rPr>
            </w:pPr>
            <w:r w:rsidRPr="006226AD">
              <w:rPr>
                <w:b/>
                <w:sz w:val="18"/>
                <w:szCs w:val="18"/>
              </w:rPr>
              <w:t xml:space="preserve">           43,784    </w:t>
            </w:r>
          </w:p>
        </w:tc>
        <w:tc>
          <w:tcPr>
            <w:tcW w:w="1064" w:type="dxa"/>
            <w:vAlign w:val="bottom"/>
          </w:tcPr>
          <w:p w14:paraId="48234191" w14:textId="18D9F062" w:rsidR="00FD0C7A" w:rsidRPr="006226AD" w:rsidRDefault="00224102" w:rsidP="00FD0C7A">
            <w:pPr>
              <w:jc w:val="right"/>
              <w:rPr>
                <w:b/>
                <w:sz w:val="18"/>
                <w:szCs w:val="18"/>
              </w:rPr>
            </w:pPr>
            <w:r>
              <w:rPr>
                <w:b/>
                <w:sz w:val="18"/>
                <w:szCs w:val="18"/>
              </w:rPr>
              <w:t xml:space="preserve">           </w:t>
            </w:r>
            <w:r w:rsidR="00FD0C7A" w:rsidRPr="006226AD">
              <w:rPr>
                <w:b/>
                <w:sz w:val="18"/>
                <w:szCs w:val="18"/>
              </w:rPr>
              <w:t xml:space="preserve">17,069    </w:t>
            </w:r>
          </w:p>
        </w:tc>
        <w:tc>
          <w:tcPr>
            <w:tcW w:w="1120" w:type="dxa"/>
            <w:vAlign w:val="bottom"/>
          </w:tcPr>
          <w:p w14:paraId="0B973B69" w14:textId="67CF73E6" w:rsidR="00FD0C7A" w:rsidRPr="00692926" w:rsidRDefault="00FD0C7A" w:rsidP="00FD0C7A">
            <w:pPr>
              <w:ind w:right="64"/>
              <w:jc w:val="right"/>
              <w:rPr>
                <w:b/>
                <w:bCs/>
                <w:color w:val="000000"/>
                <w:sz w:val="18"/>
                <w:szCs w:val="18"/>
              </w:rPr>
            </w:pPr>
            <w:r>
              <w:rPr>
                <w:b/>
                <w:sz w:val="18"/>
                <w:szCs w:val="18"/>
              </w:rPr>
              <w:t xml:space="preserve">         171,</w:t>
            </w:r>
            <w:r w:rsidRPr="00A36623">
              <w:rPr>
                <w:b/>
                <w:sz w:val="18"/>
                <w:szCs w:val="18"/>
              </w:rPr>
              <w:t xml:space="preserve">957    </w:t>
            </w:r>
          </w:p>
        </w:tc>
        <w:tc>
          <w:tcPr>
            <w:tcW w:w="980" w:type="dxa"/>
            <w:vAlign w:val="bottom"/>
          </w:tcPr>
          <w:p w14:paraId="43CED58E" w14:textId="7329029E" w:rsidR="00FD0C7A" w:rsidRPr="00692926" w:rsidRDefault="00224102" w:rsidP="00FD0C7A">
            <w:pPr>
              <w:ind w:right="64"/>
              <w:jc w:val="right"/>
              <w:rPr>
                <w:b/>
                <w:bCs/>
                <w:color w:val="000000"/>
                <w:sz w:val="18"/>
                <w:szCs w:val="18"/>
              </w:rPr>
            </w:pPr>
            <w:r>
              <w:rPr>
                <w:b/>
                <w:sz w:val="18"/>
                <w:szCs w:val="18"/>
              </w:rPr>
              <w:t xml:space="preserve">        </w:t>
            </w:r>
            <w:r w:rsidR="00FD0C7A">
              <w:rPr>
                <w:b/>
                <w:sz w:val="18"/>
                <w:szCs w:val="18"/>
              </w:rPr>
              <w:t>2,</w:t>
            </w:r>
            <w:r w:rsidR="00FD0C7A" w:rsidRPr="00A36623">
              <w:rPr>
                <w:b/>
                <w:sz w:val="18"/>
                <w:szCs w:val="18"/>
              </w:rPr>
              <w:t xml:space="preserve">071    </w:t>
            </w:r>
          </w:p>
        </w:tc>
      </w:tr>
    </w:tbl>
    <w:p w14:paraId="61F5ADF1" w14:textId="77777777" w:rsidR="0044575F" w:rsidRPr="00604C75" w:rsidRDefault="0044575F" w:rsidP="00C22AF8">
      <w:pPr>
        <w:ind w:left="1701"/>
        <w:jc w:val="both"/>
        <w:rPr>
          <w:b/>
          <w:noProof/>
          <w:sz w:val="14"/>
          <w:szCs w:val="14"/>
        </w:rPr>
      </w:pPr>
    </w:p>
    <w:p w14:paraId="291EE42C" w14:textId="77777777" w:rsidR="00FA52F4" w:rsidRPr="00604C75" w:rsidRDefault="0044575F" w:rsidP="008477F3">
      <w:pPr>
        <w:pStyle w:val="ListParagraph"/>
        <w:numPr>
          <w:ilvl w:val="0"/>
          <w:numId w:val="25"/>
        </w:numPr>
        <w:tabs>
          <w:tab w:val="clear" w:pos="1440"/>
          <w:tab w:val="num" w:pos="709"/>
        </w:tabs>
        <w:ind w:left="1701" w:hanging="1701"/>
        <w:jc w:val="both"/>
        <w:rPr>
          <w:noProof/>
          <w:sz w:val="20"/>
          <w:szCs w:val="20"/>
          <w:lang w:val="tr-TR"/>
        </w:rPr>
      </w:pPr>
      <w:r w:rsidRPr="00604C75">
        <w:rPr>
          <w:noProof/>
          <w:sz w:val="20"/>
          <w:szCs w:val="20"/>
          <w:lang w:val="tr-TR"/>
        </w:rPr>
        <w:t>Information on interest income received from investments in associates and subsidiaries:</w:t>
      </w:r>
      <w:r w:rsidR="00F26DD8" w:rsidRPr="00604C75">
        <w:rPr>
          <w:b/>
          <w:noProof/>
          <w:sz w:val="20"/>
          <w:szCs w:val="20"/>
          <w:lang w:val="tr-TR"/>
        </w:rPr>
        <w:t xml:space="preserve"> </w:t>
      </w:r>
    </w:p>
    <w:p w14:paraId="21243BDC" w14:textId="77777777" w:rsidR="00FA52F4" w:rsidRPr="00604C75" w:rsidRDefault="00FA52F4" w:rsidP="0032757D">
      <w:pPr>
        <w:pStyle w:val="ListParagraph"/>
        <w:ind w:left="1701"/>
        <w:jc w:val="both"/>
        <w:rPr>
          <w:noProof/>
          <w:sz w:val="20"/>
          <w:szCs w:val="20"/>
          <w:lang w:val="tr-TR"/>
        </w:rPr>
      </w:pPr>
    </w:p>
    <w:p w14:paraId="06193287" w14:textId="77777777" w:rsidR="0044575F" w:rsidRPr="00604C75" w:rsidRDefault="00F26DD8" w:rsidP="00CA2800">
      <w:pPr>
        <w:pStyle w:val="ListParagraph"/>
        <w:ind w:left="1701" w:hanging="1701"/>
        <w:jc w:val="both"/>
        <w:rPr>
          <w:noProof/>
          <w:sz w:val="20"/>
          <w:szCs w:val="20"/>
          <w:lang w:val="tr-TR"/>
        </w:rPr>
      </w:pPr>
      <w:r w:rsidRPr="007157B9">
        <w:rPr>
          <w:noProof/>
          <w:sz w:val="20"/>
          <w:szCs w:val="20"/>
          <w:lang w:val="tr-TR"/>
        </w:rPr>
        <w:t>None</w:t>
      </w:r>
      <w:r w:rsidRPr="00F01FDC">
        <w:rPr>
          <w:noProof/>
          <w:sz w:val="20"/>
          <w:szCs w:val="20"/>
          <w:lang w:val="tr-TR"/>
        </w:rPr>
        <w:t xml:space="preserve"> (</w:t>
      </w:r>
      <w:r w:rsidR="00A877A3" w:rsidRPr="00F01FDC">
        <w:rPr>
          <w:bCs/>
          <w:sz w:val="20"/>
          <w:szCs w:val="20"/>
        </w:rPr>
        <w:t>3</w:t>
      </w:r>
      <w:r w:rsidR="00687495">
        <w:rPr>
          <w:bCs/>
          <w:sz w:val="20"/>
          <w:szCs w:val="20"/>
        </w:rPr>
        <w:t>1</w:t>
      </w:r>
      <w:r w:rsidR="00A877A3" w:rsidRPr="00F01FDC">
        <w:rPr>
          <w:bCs/>
          <w:sz w:val="20"/>
          <w:szCs w:val="20"/>
        </w:rPr>
        <w:t xml:space="preserve"> </w:t>
      </w:r>
      <w:r w:rsidR="00687495">
        <w:rPr>
          <w:bCs/>
          <w:sz w:val="20"/>
          <w:szCs w:val="20"/>
        </w:rPr>
        <w:t>December</w:t>
      </w:r>
      <w:r w:rsidR="00687495" w:rsidRPr="00F01FDC">
        <w:rPr>
          <w:noProof/>
          <w:sz w:val="20"/>
          <w:szCs w:val="20"/>
          <w:lang w:val="tr-TR"/>
        </w:rPr>
        <w:t xml:space="preserve"> </w:t>
      </w:r>
      <w:r w:rsidRPr="00F01FDC">
        <w:rPr>
          <w:noProof/>
          <w:sz w:val="20"/>
          <w:szCs w:val="20"/>
          <w:lang w:val="tr-TR"/>
        </w:rPr>
        <w:t>201</w:t>
      </w:r>
      <w:r w:rsidR="001952FD" w:rsidRPr="00F01FDC">
        <w:rPr>
          <w:noProof/>
          <w:sz w:val="20"/>
          <w:szCs w:val="20"/>
          <w:lang w:val="tr-TR"/>
        </w:rPr>
        <w:t>4</w:t>
      </w:r>
      <w:r w:rsidRPr="00F01FDC">
        <w:rPr>
          <w:noProof/>
          <w:sz w:val="20"/>
          <w:szCs w:val="20"/>
          <w:lang w:val="tr-TR"/>
        </w:rPr>
        <w:t>:None).</w:t>
      </w:r>
    </w:p>
    <w:p w14:paraId="0FB42316" w14:textId="615C8959" w:rsidR="00FA52F4"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415950E2" w14:textId="35DE28B6" w:rsidR="00F9032D" w:rsidRPr="00604C75" w:rsidRDefault="007219E5" w:rsidP="008477F3">
      <w:pPr>
        <w:pStyle w:val="ListParagraph"/>
        <w:numPr>
          <w:ilvl w:val="0"/>
          <w:numId w:val="22"/>
        </w:numPr>
        <w:tabs>
          <w:tab w:val="left" w:pos="770"/>
        </w:tabs>
        <w:spacing w:before="120"/>
        <w:ind w:left="426" w:hanging="426"/>
        <w:jc w:val="both"/>
        <w:rPr>
          <w:b/>
          <w:noProof/>
          <w:sz w:val="20"/>
          <w:szCs w:val="20"/>
        </w:rPr>
      </w:pPr>
      <w:r w:rsidRPr="00604C75">
        <w:rPr>
          <w:b/>
          <w:noProof/>
          <w:sz w:val="20"/>
          <w:szCs w:val="20"/>
        </w:rPr>
        <w:t xml:space="preserve">  </w:t>
      </w:r>
      <w:r w:rsidR="00647320" w:rsidRPr="00604C75">
        <w:rPr>
          <w:b/>
          <w:noProof/>
          <w:sz w:val="20"/>
          <w:szCs w:val="20"/>
        </w:rPr>
        <w:t xml:space="preserve">Explanations and Notes </w:t>
      </w:r>
      <w:r w:rsidR="00647320">
        <w:rPr>
          <w:b/>
          <w:noProof/>
          <w:sz w:val="20"/>
          <w:szCs w:val="20"/>
        </w:rPr>
        <w:t>on</w:t>
      </w:r>
      <w:r w:rsidR="00647320" w:rsidRPr="00604C75">
        <w:rPr>
          <w:b/>
          <w:noProof/>
          <w:sz w:val="20"/>
          <w:szCs w:val="20"/>
        </w:rPr>
        <w:t xml:space="preserve"> Income Statement</w:t>
      </w:r>
      <w:r w:rsidRPr="00604C75" w:rsidDel="007219E5">
        <w:rPr>
          <w:b/>
          <w:noProof/>
          <w:sz w:val="20"/>
          <w:szCs w:val="20"/>
        </w:rPr>
        <w:t xml:space="preserve"> </w:t>
      </w:r>
      <w:r w:rsidR="00935ABF" w:rsidRPr="00604C75">
        <w:rPr>
          <w:b/>
          <w:bCs/>
          <w:sz w:val="20"/>
          <w:szCs w:val="20"/>
        </w:rPr>
        <w:t>(Continued)</w:t>
      </w:r>
    </w:p>
    <w:p w14:paraId="59F0754F" w14:textId="77777777" w:rsidR="0044575F" w:rsidRPr="00604C75" w:rsidRDefault="00662CCB" w:rsidP="00490153">
      <w:pPr>
        <w:tabs>
          <w:tab w:val="left" w:pos="1276"/>
        </w:tabs>
        <w:spacing w:before="120"/>
        <w:ind w:left="28" w:hanging="14"/>
        <w:jc w:val="both"/>
        <w:rPr>
          <w:b/>
          <w:noProof/>
          <w:sz w:val="20"/>
          <w:szCs w:val="20"/>
        </w:rPr>
      </w:pPr>
      <w:r w:rsidRPr="00604C75">
        <w:rPr>
          <w:b/>
          <w:noProof/>
          <w:sz w:val="20"/>
          <w:szCs w:val="20"/>
        </w:rPr>
        <w:t xml:space="preserve">b. </w:t>
      </w:r>
      <w:r w:rsidR="00D951CA" w:rsidRPr="00604C75">
        <w:rPr>
          <w:b/>
          <w:noProof/>
          <w:sz w:val="20"/>
          <w:szCs w:val="20"/>
        </w:rPr>
        <w:t xml:space="preserve">   </w:t>
      </w:r>
      <w:r w:rsidR="007219E5" w:rsidRPr="00604C75">
        <w:rPr>
          <w:b/>
          <w:noProof/>
          <w:sz w:val="20"/>
          <w:szCs w:val="20"/>
        </w:rPr>
        <w:t xml:space="preserve">   </w:t>
      </w:r>
      <w:r w:rsidR="00D951CA" w:rsidRPr="00604C75">
        <w:rPr>
          <w:b/>
          <w:noProof/>
          <w:sz w:val="20"/>
          <w:szCs w:val="20"/>
        </w:rPr>
        <w:t>Information on interest expense</w:t>
      </w:r>
    </w:p>
    <w:p w14:paraId="0BDC5304" w14:textId="77777777" w:rsidR="0044575F" w:rsidRPr="00604C75" w:rsidRDefault="007219E5" w:rsidP="008477F3">
      <w:pPr>
        <w:numPr>
          <w:ilvl w:val="0"/>
          <w:numId w:val="26"/>
        </w:numPr>
        <w:spacing w:before="120"/>
        <w:ind w:left="1568" w:hanging="1568"/>
        <w:jc w:val="both"/>
        <w:rPr>
          <w:noProof/>
          <w:sz w:val="20"/>
          <w:szCs w:val="20"/>
        </w:rPr>
      </w:pPr>
      <w:r w:rsidRPr="00604C75">
        <w:rPr>
          <w:noProof/>
          <w:sz w:val="20"/>
          <w:szCs w:val="20"/>
        </w:rPr>
        <w:t xml:space="preserve">    </w:t>
      </w:r>
      <w:r w:rsidR="0044575F" w:rsidRPr="00604C75">
        <w:rPr>
          <w:noProof/>
          <w:sz w:val="20"/>
          <w:szCs w:val="20"/>
        </w:rPr>
        <w:t>Information on</w:t>
      </w:r>
      <w:r w:rsidR="00D951CA" w:rsidRPr="00604C75">
        <w:rPr>
          <w:noProof/>
          <w:sz w:val="20"/>
          <w:szCs w:val="20"/>
        </w:rPr>
        <w:t xml:space="preserve"> interest expense on borrowings</w:t>
      </w:r>
    </w:p>
    <w:p w14:paraId="1E6979A0" w14:textId="77777777" w:rsidR="0044575F" w:rsidRPr="00604C75" w:rsidRDefault="0044575F" w:rsidP="00C22AF8">
      <w:pPr>
        <w:ind w:left="1620"/>
        <w:jc w:val="both"/>
        <w:rPr>
          <w:b/>
          <w:noProof/>
          <w:sz w:val="12"/>
          <w:szCs w:val="12"/>
        </w:rPr>
      </w:pPr>
    </w:p>
    <w:tbl>
      <w:tblPr>
        <w:tblW w:w="932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28"/>
        <w:gridCol w:w="1478"/>
        <w:gridCol w:w="1425"/>
        <w:gridCol w:w="1344"/>
        <w:gridCol w:w="1248"/>
      </w:tblGrid>
      <w:tr w:rsidR="00610F04" w:rsidRPr="00604C75" w14:paraId="1E90A60C" w14:textId="77777777" w:rsidTr="00AD726D">
        <w:trPr>
          <w:cantSplit/>
          <w:trHeight w:val="255"/>
        </w:trPr>
        <w:tc>
          <w:tcPr>
            <w:tcW w:w="3828" w:type="dxa"/>
            <w:shd w:val="clear" w:color="auto" w:fill="FFFFFF"/>
            <w:vAlign w:val="bottom"/>
          </w:tcPr>
          <w:p w14:paraId="4F6BB94E" w14:textId="77777777" w:rsidR="00610F04" w:rsidRPr="00604C75" w:rsidRDefault="00610F04" w:rsidP="00C22AF8">
            <w:pPr>
              <w:jc w:val="both"/>
              <w:rPr>
                <w:rFonts w:eastAsia="Arial Unicode MS"/>
                <w:b/>
                <w:bCs/>
                <w:sz w:val="18"/>
                <w:szCs w:val="18"/>
              </w:rPr>
            </w:pPr>
          </w:p>
        </w:tc>
        <w:tc>
          <w:tcPr>
            <w:tcW w:w="2903" w:type="dxa"/>
            <w:gridSpan w:val="2"/>
            <w:shd w:val="clear" w:color="auto" w:fill="FFFFFF"/>
            <w:vAlign w:val="bottom"/>
          </w:tcPr>
          <w:p w14:paraId="72B0B86E" w14:textId="77777777" w:rsidR="00610F04" w:rsidRPr="00604C75" w:rsidRDefault="00610F04" w:rsidP="00F755C5">
            <w:pPr>
              <w:jc w:val="center"/>
              <w:rPr>
                <w:rFonts w:eastAsia="Arial Unicode MS"/>
                <w:b/>
                <w:bCs/>
                <w:sz w:val="18"/>
                <w:szCs w:val="18"/>
              </w:rPr>
            </w:pPr>
            <w:r>
              <w:rPr>
                <w:b/>
                <w:snapToGrid w:val="0"/>
                <w:sz w:val="18"/>
              </w:rPr>
              <w:t>31 December</w:t>
            </w:r>
            <w:r w:rsidRPr="00604C75">
              <w:rPr>
                <w:b/>
                <w:snapToGrid w:val="0"/>
                <w:sz w:val="18"/>
              </w:rPr>
              <w:t xml:space="preserve"> 2015</w:t>
            </w:r>
          </w:p>
        </w:tc>
        <w:tc>
          <w:tcPr>
            <w:tcW w:w="2592" w:type="dxa"/>
            <w:gridSpan w:val="2"/>
            <w:shd w:val="clear" w:color="auto" w:fill="FFFFFF"/>
            <w:vAlign w:val="bottom"/>
          </w:tcPr>
          <w:p w14:paraId="00A03EAA" w14:textId="277BE3A4" w:rsidR="00610F04" w:rsidRPr="00604C75" w:rsidRDefault="00610F04">
            <w:pPr>
              <w:jc w:val="center"/>
              <w:rPr>
                <w:rFonts w:eastAsia="Arial Unicode MS"/>
                <w:b/>
                <w:bCs/>
                <w:sz w:val="18"/>
                <w:szCs w:val="18"/>
              </w:rPr>
            </w:pPr>
            <w:r>
              <w:rPr>
                <w:b/>
                <w:snapToGrid w:val="0"/>
                <w:sz w:val="18"/>
              </w:rPr>
              <w:t>31 December</w:t>
            </w:r>
            <w:r w:rsidRPr="00604C75">
              <w:rPr>
                <w:b/>
                <w:snapToGrid w:val="0"/>
                <w:sz w:val="18"/>
              </w:rPr>
              <w:t xml:space="preserve"> 2014</w:t>
            </w:r>
          </w:p>
        </w:tc>
      </w:tr>
      <w:tr w:rsidR="0044575F" w:rsidRPr="00604C75" w14:paraId="4BCB1C1E" w14:textId="77777777" w:rsidTr="00AD726D">
        <w:trPr>
          <w:cantSplit/>
          <w:trHeight w:val="255"/>
        </w:trPr>
        <w:tc>
          <w:tcPr>
            <w:tcW w:w="3828" w:type="dxa"/>
            <w:vAlign w:val="bottom"/>
          </w:tcPr>
          <w:p w14:paraId="2E3EED3C" w14:textId="77777777" w:rsidR="0044575F" w:rsidRPr="00604C75" w:rsidRDefault="0044575F" w:rsidP="00C22AF8">
            <w:pPr>
              <w:rPr>
                <w:rFonts w:eastAsia="Arial Unicode MS"/>
                <w:b/>
                <w:bCs/>
                <w:sz w:val="18"/>
                <w:szCs w:val="18"/>
              </w:rPr>
            </w:pPr>
          </w:p>
        </w:tc>
        <w:tc>
          <w:tcPr>
            <w:tcW w:w="1478" w:type="dxa"/>
            <w:shd w:val="clear" w:color="auto" w:fill="FFFFFF"/>
            <w:vAlign w:val="bottom"/>
          </w:tcPr>
          <w:p w14:paraId="3F1FD1BA" w14:textId="77777777" w:rsidR="0044575F" w:rsidRPr="00604C75" w:rsidRDefault="0044575F" w:rsidP="00980103">
            <w:pPr>
              <w:ind w:right="91"/>
              <w:jc w:val="right"/>
              <w:rPr>
                <w:rFonts w:eastAsia="Arial Unicode MS"/>
                <w:b/>
                <w:bCs/>
                <w:sz w:val="18"/>
                <w:szCs w:val="18"/>
              </w:rPr>
            </w:pPr>
            <w:r w:rsidRPr="00604C75">
              <w:rPr>
                <w:b/>
                <w:bCs/>
                <w:sz w:val="18"/>
                <w:szCs w:val="18"/>
              </w:rPr>
              <w:t>TL</w:t>
            </w:r>
          </w:p>
        </w:tc>
        <w:tc>
          <w:tcPr>
            <w:tcW w:w="1425" w:type="dxa"/>
            <w:shd w:val="clear" w:color="auto" w:fill="FFFFFF"/>
            <w:vAlign w:val="bottom"/>
          </w:tcPr>
          <w:p w14:paraId="42BDB43C" w14:textId="77777777" w:rsidR="0044575F" w:rsidRPr="00604C75" w:rsidRDefault="0044575F" w:rsidP="00980103">
            <w:pPr>
              <w:ind w:right="91"/>
              <w:jc w:val="right"/>
              <w:rPr>
                <w:rFonts w:eastAsia="Arial Unicode MS"/>
                <w:b/>
                <w:bCs/>
                <w:sz w:val="18"/>
                <w:szCs w:val="18"/>
              </w:rPr>
            </w:pPr>
            <w:r w:rsidRPr="00604C75">
              <w:rPr>
                <w:b/>
                <w:bCs/>
                <w:sz w:val="18"/>
                <w:szCs w:val="18"/>
              </w:rPr>
              <w:t>FC</w:t>
            </w:r>
          </w:p>
        </w:tc>
        <w:tc>
          <w:tcPr>
            <w:tcW w:w="1344" w:type="dxa"/>
            <w:shd w:val="clear" w:color="auto" w:fill="FFFFFF"/>
            <w:vAlign w:val="bottom"/>
          </w:tcPr>
          <w:p w14:paraId="02B833EC" w14:textId="77777777" w:rsidR="0044575F" w:rsidRPr="00604C75" w:rsidRDefault="0044575F" w:rsidP="00980103">
            <w:pPr>
              <w:ind w:right="91"/>
              <w:jc w:val="right"/>
              <w:rPr>
                <w:rFonts w:eastAsia="Arial Unicode MS"/>
                <w:b/>
                <w:bCs/>
                <w:sz w:val="18"/>
                <w:szCs w:val="18"/>
              </w:rPr>
            </w:pPr>
            <w:r w:rsidRPr="00604C75">
              <w:rPr>
                <w:b/>
                <w:bCs/>
                <w:sz w:val="18"/>
                <w:szCs w:val="18"/>
              </w:rPr>
              <w:t>TL</w:t>
            </w:r>
          </w:p>
        </w:tc>
        <w:tc>
          <w:tcPr>
            <w:tcW w:w="1248" w:type="dxa"/>
            <w:shd w:val="clear" w:color="auto" w:fill="FFFFFF"/>
            <w:vAlign w:val="bottom"/>
          </w:tcPr>
          <w:p w14:paraId="6FAC9B34" w14:textId="77777777" w:rsidR="0044575F" w:rsidRPr="00604C75" w:rsidRDefault="0044575F" w:rsidP="00980103">
            <w:pPr>
              <w:ind w:right="91"/>
              <w:jc w:val="right"/>
              <w:rPr>
                <w:rFonts w:eastAsia="Arial Unicode MS"/>
                <w:b/>
                <w:bCs/>
                <w:sz w:val="18"/>
                <w:szCs w:val="18"/>
              </w:rPr>
            </w:pPr>
            <w:r w:rsidRPr="00604C75">
              <w:rPr>
                <w:b/>
                <w:bCs/>
                <w:sz w:val="18"/>
                <w:szCs w:val="18"/>
              </w:rPr>
              <w:t>FC</w:t>
            </w:r>
          </w:p>
        </w:tc>
      </w:tr>
      <w:tr w:rsidR="00224102" w:rsidRPr="00604C75" w14:paraId="5C8CD804" w14:textId="77777777" w:rsidTr="00594332">
        <w:trPr>
          <w:trHeight w:val="255"/>
        </w:trPr>
        <w:tc>
          <w:tcPr>
            <w:tcW w:w="3828" w:type="dxa"/>
            <w:shd w:val="clear" w:color="auto" w:fill="FFFFFF"/>
            <w:vAlign w:val="bottom"/>
          </w:tcPr>
          <w:p w14:paraId="4A028FFA" w14:textId="77777777" w:rsidR="00224102" w:rsidRPr="00604C75" w:rsidRDefault="00224102" w:rsidP="00224102">
            <w:pPr>
              <w:tabs>
                <w:tab w:val="left" w:pos="180"/>
              </w:tabs>
              <w:rPr>
                <w:sz w:val="18"/>
                <w:szCs w:val="18"/>
              </w:rPr>
            </w:pPr>
            <w:r w:rsidRPr="00604C75">
              <w:rPr>
                <w:sz w:val="18"/>
                <w:szCs w:val="18"/>
              </w:rPr>
              <w:t>Banks</w:t>
            </w:r>
          </w:p>
        </w:tc>
        <w:tc>
          <w:tcPr>
            <w:tcW w:w="1478" w:type="dxa"/>
            <w:vAlign w:val="bottom"/>
          </w:tcPr>
          <w:p w14:paraId="5F5A44EE" w14:textId="1119DCB2" w:rsidR="00224102" w:rsidRDefault="00224102" w:rsidP="00980103">
            <w:pPr>
              <w:ind w:right="91"/>
              <w:jc w:val="right"/>
              <w:rPr>
                <w:sz w:val="18"/>
                <w:szCs w:val="18"/>
              </w:rPr>
            </w:pPr>
            <w:r>
              <w:rPr>
                <w:sz w:val="18"/>
                <w:szCs w:val="18"/>
              </w:rPr>
              <w:t xml:space="preserve">           17,037    </w:t>
            </w:r>
          </w:p>
        </w:tc>
        <w:tc>
          <w:tcPr>
            <w:tcW w:w="1425" w:type="dxa"/>
            <w:vAlign w:val="bottom"/>
          </w:tcPr>
          <w:p w14:paraId="251359DF" w14:textId="7BB297B8" w:rsidR="00224102" w:rsidRDefault="00224102" w:rsidP="00980103">
            <w:pPr>
              <w:ind w:right="91"/>
              <w:jc w:val="right"/>
              <w:rPr>
                <w:sz w:val="18"/>
                <w:szCs w:val="18"/>
              </w:rPr>
            </w:pPr>
            <w:r>
              <w:rPr>
                <w:sz w:val="18"/>
                <w:szCs w:val="18"/>
              </w:rPr>
              <w:t xml:space="preserve">              81,207    </w:t>
            </w:r>
          </w:p>
        </w:tc>
        <w:tc>
          <w:tcPr>
            <w:tcW w:w="1344" w:type="dxa"/>
            <w:vAlign w:val="bottom"/>
          </w:tcPr>
          <w:p w14:paraId="726B79B4" w14:textId="1DA852D5" w:rsidR="00224102" w:rsidRPr="00692926" w:rsidRDefault="00224102" w:rsidP="00980103">
            <w:pPr>
              <w:ind w:right="91"/>
              <w:jc w:val="right"/>
              <w:rPr>
                <w:sz w:val="18"/>
                <w:szCs w:val="18"/>
              </w:rPr>
            </w:pPr>
            <w:r w:rsidRPr="00A36623">
              <w:rPr>
                <w:sz w:val="18"/>
                <w:szCs w:val="18"/>
              </w:rPr>
              <w:t xml:space="preserve">           11</w:t>
            </w:r>
            <w:r>
              <w:rPr>
                <w:sz w:val="18"/>
                <w:szCs w:val="18"/>
              </w:rPr>
              <w:t>,</w:t>
            </w:r>
            <w:r w:rsidRPr="00A36623">
              <w:rPr>
                <w:sz w:val="18"/>
                <w:szCs w:val="18"/>
              </w:rPr>
              <w:t xml:space="preserve">769    </w:t>
            </w:r>
          </w:p>
        </w:tc>
        <w:tc>
          <w:tcPr>
            <w:tcW w:w="1248" w:type="dxa"/>
            <w:vAlign w:val="bottom"/>
          </w:tcPr>
          <w:p w14:paraId="2028E95A" w14:textId="5A32558F" w:rsidR="00224102" w:rsidRPr="00692926" w:rsidRDefault="00224102" w:rsidP="00980103">
            <w:pPr>
              <w:ind w:right="91"/>
              <w:jc w:val="right"/>
              <w:rPr>
                <w:sz w:val="18"/>
                <w:szCs w:val="18"/>
              </w:rPr>
            </w:pPr>
            <w:r w:rsidRPr="00A36623">
              <w:rPr>
                <w:sz w:val="18"/>
                <w:szCs w:val="18"/>
              </w:rPr>
              <w:t xml:space="preserve">             57</w:t>
            </w:r>
            <w:r>
              <w:rPr>
                <w:sz w:val="18"/>
                <w:szCs w:val="18"/>
              </w:rPr>
              <w:t>,</w:t>
            </w:r>
            <w:r w:rsidRPr="00A36623">
              <w:rPr>
                <w:sz w:val="18"/>
                <w:szCs w:val="18"/>
              </w:rPr>
              <w:t xml:space="preserve">706    </w:t>
            </w:r>
          </w:p>
        </w:tc>
      </w:tr>
      <w:tr w:rsidR="00224102" w:rsidRPr="00604C75" w14:paraId="37BAFF49" w14:textId="77777777" w:rsidTr="00594332">
        <w:trPr>
          <w:trHeight w:val="215"/>
        </w:trPr>
        <w:tc>
          <w:tcPr>
            <w:tcW w:w="3828" w:type="dxa"/>
            <w:shd w:val="clear" w:color="auto" w:fill="FFFFFF"/>
            <w:vAlign w:val="bottom"/>
          </w:tcPr>
          <w:p w14:paraId="224805BE" w14:textId="0778EFB2" w:rsidR="00224102" w:rsidRPr="00604C75" w:rsidRDefault="00224102" w:rsidP="00224102">
            <w:pPr>
              <w:tabs>
                <w:tab w:val="left" w:pos="180"/>
              </w:tabs>
              <w:ind w:left="180"/>
              <w:rPr>
                <w:sz w:val="18"/>
                <w:szCs w:val="18"/>
              </w:rPr>
            </w:pPr>
            <w:r w:rsidRPr="00604C75">
              <w:rPr>
                <w:sz w:val="18"/>
                <w:szCs w:val="18"/>
              </w:rPr>
              <w:t>CBRT</w:t>
            </w:r>
          </w:p>
        </w:tc>
        <w:tc>
          <w:tcPr>
            <w:tcW w:w="1478" w:type="dxa"/>
            <w:vAlign w:val="bottom"/>
          </w:tcPr>
          <w:p w14:paraId="40112044" w14:textId="74C76406" w:rsidR="00224102" w:rsidRDefault="00224102" w:rsidP="00980103">
            <w:pPr>
              <w:ind w:right="91"/>
              <w:jc w:val="right"/>
              <w:rPr>
                <w:sz w:val="18"/>
                <w:szCs w:val="18"/>
              </w:rPr>
            </w:pPr>
            <w:r>
              <w:rPr>
                <w:sz w:val="18"/>
                <w:szCs w:val="18"/>
              </w:rPr>
              <w:t xml:space="preserve">                  -      </w:t>
            </w:r>
          </w:p>
        </w:tc>
        <w:tc>
          <w:tcPr>
            <w:tcW w:w="1425" w:type="dxa"/>
            <w:vAlign w:val="bottom"/>
          </w:tcPr>
          <w:p w14:paraId="6C0FAD2A" w14:textId="7E045212" w:rsidR="00224102" w:rsidRDefault="00224102" w:rsidP="00980103">
            <w:pPr>
              <w:ind w:right="91"/>
              <w:jc w:val="right"/>
              <w:rPr>
                <w:sz w:val="18"/>
                <w:szCs w:val="18"/>
              </w:rPr>
            </w:pPr>
            <w:r>
              <w:rPr>
                <w:sz w:val="18"/>
                <w:szCs w:val="18"/>
              </w:rPr>
              <w:t xml:space="preserve">                      -      </w:t>
            </w:r>
          </w:p>
        </w:tc>
        <w:tc>
          <w:tcPr>
            <w:tcW w:w="1344" w:type="dxa"/>
            <w:vAlign w:val="bottom"/>
          </w:tcPr>
          <w:p w14:paraId="307303A5" w14:textId="13208365" w:rsidR="00224102" w:rsidRPr="00692926" w:rsidRDefault="00224102" w:rsidP="00980103">
            <w:pPr>
              <w:ind w:right="91"/>
              <w:jc w:val="right"/>
              <w:rPr>
                <w:sz w:val="18"/>
                <w:szCs w:val="18"/>
              </w:rPr>
            </w:pPr>
            <w:r w:rsidRPr="00A36623">
              <w:rPr>
                <w:sz w:val="18"/>
                <w:szCs w:val="18"/>
              </w:rPr>
              <w:t xml:space="preserve">                  -      </w:t>
            </w:r>
          </w:p>
        </w:tc>
        <w:tc>
          <w:tcPr>
            <w:tcW w:w="1248" w:type="dxa"/>
            <w:vAlign w:val="bottom"/>
          </w:tcPr>
          <w:p w14:paraId="475F8D42" w14:textId="56E18B6C" w:rsidR="00224102" w:rsidRPr="00692926" w:rsidRDefault="00224102" w:rsidP="00980103">
            <w:pPr>
              <w:ind w:right="91"/>
              <w:jc w:val="right"/>
              <w:rPr>
                <w:sz w:val="18"/>
                <w:szCs w:val="18"/>
              </w:rPr>
            </w:pPr>
            <w:r w:rsidRPr="00A36623">
              <w:rPr>
                <w:sz w:val="18"/>
                <w:szCs w:val="18"/>
              </w:rPr>
              <w:t xml:space="preserve">-      </w:t>
            </w:r>
          </w:p>
        </w:tc>
      </w:tr>
      <w:tr w:rsidR="00224102" w:rsidRPr="00604C75" w14:paraId="205CC41D" w14:textId="77777777" w:rsidTr="00594332">
        <w:trPr>
          <w:trHeight w:val="206"/>
        </w:trPr>
        <w:tc>
          <w:tcPr>
            <w:tcW w:w="3828" w:type="dxa"/>
            <w:shd w:val="clear" w:color="auto" w:fill="FFFFFF"/>
            <w:vAlign w:val="bottom"/>
          </w:tcPr>
          <w:p w14:paraId="1BE052FC" w14:textId="77777777" w:rsidR="00224102" w:rsidRPr="00604C75" w:rsidRDefault="00224102" w:rsidP="00224102">
            <w:pPr>
              <w:tabs>
                <w:tab w:val="left" w:pos="180"/>
              </w:tabs>
              <w:ind w:left="180"/>
              <w:rPr>
                <w:sz w:val="18"/>
                <w:szCs w:val="18"/>
              </w:rPr>
            </w:pPr>
            <w:r w:rsidRPr="00604C75">
              <w:rPr>
                <w:sz w:val="18"/>
                <w:szCs w:val="18"/>
              </w:rPr>
              <w:t>Domestic Banks</w:t>
            </w:r>
          </w:p>
        </w:tc>
        <w:tc>
          <w:tcPr>
            <w:tcW w:w="1478" w:type="dxa"/>
            <w:vAlign w:val="bottom"/>
          </w:tcPr>
          <w:p w14:paraId="07DC619F" w14:textId="36DA4DB8" w:rsidR="00224102" w:rsidRDefault="00224102" w:rsidP="00980103">
            <w:pPr>
              <w:ind w:right="91"/>
              <w:jc w:val="right"/>
              <w:rPr>
                <w:sz w:val="18"/>
                <w:szCs w:val="18"/>
              </w:rPr>
            </w:pPr>
            <w:r>
              <w:rPr>
                <w:sz w:val="18"/>
                <w:szCs w:val="18"/>
              </w:rPr>
              <w:t xml:space="preserve">           17,008    </w:t>
            </w:r>
          </w:p>
        </w:tc>
        <w:tc>
          <w:tcPr>
            <w:tcW w:w="1425" w:type="dxa"/>
            <w:vAlign w:val="bottom"/>
          </w:tcPr>
          <w:p w14:paraId="2C99BC99" w14:textId="248305C3" w:rsidR="00224102" w:rsidRDefault="00224102" w:rsidP="00980103">
            <w:pPr>
              <w:ind w:right="91"/>
              <w:jc w:val="right"/>
              <w:rPr>
                <w:sz w:val="18"/>
                <w:szCs w:val="18"/>
              </w:rPr>
            </w:pPr>
            <w:r>
              <w:rPr>
                <w:sz w:val="18"/>
                <w:szCs w:val="18"/>
              </w:rPr>
              <w:t xml:space="preserve">              17,410    </w:t>
            </w:r>
          </w:p>
        </w:tc>
        <w:tc>
          <w:tcPr>
            <w:tcW w:w="1344" w:type="dxa"/>
            <w:vAlign w:val="bottom"/>
          </w:tcPr>
          <w:p w14:paraId="20E4F707" w14:textId="55A33ECD" w:rsidR="00224102" w:rsidRPr="00692926" w:rsidRDefault="00224102" w:rsidP="00980103">
            <w:pPr>
              <w:ind w:right="91"/>
              <w:jc w:val="right"/>
              <w:rPr>
                <w:sz w:val="18"/>
                <w:szCs w:val="18"/>
              </w:rPr>
            </w:pPr>
            <w:r w:rsidRPr="00A36623">
              <w:rPr>
                <w:sz w:val="18"/>
                <w:szCs w:val="18"/>
              </w:rPr>
              <w:t xml:space="preserve">           11</w:t>
            </w:r>
            <w:r>
              <w:rPr>
                <w:sz w:val="18"/>
                <w:szCs w:val="18"/>
              </w:rPr>
              <w:t>,</w:t>
            </w:r>
            <w:r w:rsidRPr="00A36623">
              <w:rPr>
                <w:sz w:val="18"/>
                <w:szCs w:val="18"/>
              </w:rPr>
              <w:t xml:space="preserve">716    </w:t>
            </w:r>
          </w:p>
        </w:tc>
        <w:tc>
          <w:tcPr>
            <w:tcW w:w="1248" w:type="dxa"/>
            <w:vAlign w:val="bottom"/>
          </w:tcPr>
          <w:p w14:paraId="0AE578ED" w14:textId="757F0740" w:rsidR="00224102" w:rsidRPr="00692926" w:rsidRDefault="00224102" w:rsidP="00980103">
            <w:pPr>
              <w:ind w:right="91"/>
              <w:jc w:val="right"/>
              <w:rPr>
                <w:sz w:val="18"/>
                <w:szCs w:val="18"/>
              </w:rPr>
            </w:pPr>
            <w:r w:rsidRPr="00A36623">
              <w:rPr>
                <w:sz w:val="18"/>
                <w:szCs w:val="18"/>
              </w:rPr>
              <w:t xml:space="preserve">            18</w:t>
            </w:r>
            <w:r>
              <w:rPr>
                <w:sz w:val="18"/>
                <w:szCs w:val="18"/>
              </w:rPr>
              <w:t>,</w:t>
            </w:r>
            <w:r w:rsidRPr="00A36623">
              <w:rPr>
                <w:sz w:val="18"/>
                <w:szCs w:val="18"/>
              </w:rPr>
              <w:t xml:space="preserve">668    </w:t>
            </w:r>
          </w:p>
        </w:tc>
      </w:tr>
      <w:tr w:rsidR="00224102" w:rsidRPr="00604C75" w14:paraId="2988A5C9" w14:textId="77777777" w:rsidTr="00594332">
        <w:trPr>
          <w:trHeight w:val="188"/>
        </w:trPr>
        <w:tc>
          <w:tcPr>
            <w:tcW w:w="3828" w:type="dxa"/>
            <w:shd w:val="clear" w:color="auto" w:fill="FFFFFF"/>
            <w:vAlign w:val="bottom"/>
          </w:tcPr>
          <w:p w14:paraId="21DC3FDD" w14:textId="77777777" w:rsidR="00224102" w:rsidRPr="00604C75" w:rsidRDefault="00224102" w:rsidP="00224102">
            <w:pPr>
              <w:tabs>
                <w:tab w:val="left" w:pos="180"/>
              </w:tabs>
              <w:ind w:left="180"/>
              <w:rPr>
                <w:sz w:val="18"/>
                <w:szCs w:val="18"/>
              </w:rPr>
            </w:pPr>
            <w:r w:rsidRPr="00604C75">
              <w:rPr>
                <w:sz w:val="18"/>
                <w:szCs w:val="18"/>
              </w:rPr>
              <w:t>Foreign Banks</w:t>
            </w:r>
          </w:p>
        </w:tc>
        <w:tc>
          <w:tcPr>
            <w:tcW w:w="1478" w:type="dxa"/>
            <w:vAlign w:val="bottom"/>
          </w:tcPr>
          <w:p w14:paraId="198AC506" w14:textId="0B51B42C" w:rsidR="00224102" w:rsidRDefault="00224102" w:rsidP="00980103">
            <w:pPr>
              <w:ind w:right="91"/>
              <w:jc w:val="right"/>
              <w:rPr>
                <w:sz w:val="18"/>
                <w:szCs w:val="18"/>
              </w:rPr>
            </w:pPr>
            <w:r>
              <w:rPr>
                <w:sz w:val="18"/>
                <w:szCs w:val="18"/>
              </w:rPr>
              <w:t xml:space="preserve">                  29    </w:t>
            </w:r>
          </w:p>
        </w:tc>
        <w:tc>
          <w:tcPr>
            <w:tcW w:w="1425" w:type="dxa"/>
            <w:vAlign w:val="bottom"/>
          </w:tcPr>
          <w:p w14:paraId="7BB53272" w14:textId="4F1C35BD" w:rsidR="00224102" w:rsidRDefault="00224102" w:rsidP="00980103">
            <w:pPr>
              <w:ind w:right="91"/>
              <w:jc w:val="right"/>
              <w:rPr>
                <w:sz w:val="18"/>
                <w:szCs w:val="18"/>
              </w:rPr>
            </w:pPr>
            <w:r>
              <w:rPr>
                <w:sz w:val="18"/>
                <w:szCs w:val="18"/>
              </w:rPr>
              <w:t xml:space="preserve">              63,797    </w:t>
            </w:r>
          </w:p>
        </w:tc>
        <w:tc>
          <w:tcPr>
            <w:tcW w:w="1344" w:type="dxa"/>
            <w:vAlign w:val="bottom"/>
          </w:tcPr>
          <w:p w14:paraId="715D3340" w14:textId="0FD28576" w:rsidR="00224102" w:rsidRPr="00692926" w:rsidRDefault="00224102" w:rsidP="00980103">
            <w:pPr>
              <w:ind w:right="91"/>
              <w:jc w:val="right"/>
              <w:rPr>
                <w:sz w:val="18"/>
                <w:szCs w:val="18"/>
              </w:rPr>
            </w:pPr>
            <w:r w:rsidRPr="00A36623">
              <w:rPr>
                <w:sz w:val="18"/>
                <w:szCs w:val="18"/>
              </w:rPr>
              <w:t xml:space="preserve">                  53    </w:t>
            </w:r>
          </w:p>
        </w:tc>
        <w:tc>
          <w:tcPr>
            <w:tcW w:w="1248" w:type="dxa"/>
            <w:vAlign w:val="bottom"/>
          </w:tcPr>
          <w:p w14:paraId="1F841790" w14:textId="0C479BD7" w:rsidR="00224102" w:rsidRPr="00692926" w:rsidRDefault="00224102" w:rsidP="00980103">
            <w:pPr>
              <w:ind w:right="91"/>
              <w:jc w:val="right"/>
              <w:rPr>
                <w:sz w:val="18"/>
                <w:szCs w:val="18"/>
              </w:rPr>
            </w:pPr>
            <w:r w:rsidRPr="00A36623">
              <w:rPr>
                <w:sz w:val="18"/>
                <w:szCs w:val="18"/>
              </w:rPr>
              <w:t xml:space="preserve">             39</w:t>
            </w:r>
            <w:r>
              <w:rPr>
                <w:sz w:val="18"/>
                <w:szCs w:val="18"/>
              </w:rPr>
              <w:t>,</w:t>
            </w:r>
            <w:r w:rsidRPr="00A36623">
              <w:rPr>
                <w:sz w:val="18"/>
                <w:szCs w:val="18"/>
              </w:rPr>
              <w:t xml:space="preserve">038    </w:t>
            </w:r>
          </w:p>
        </w:tc>
      </w:tr>
      <w:tr w:rsidR="00224102" w:rsidRPr="00604C75" w14:paraId="7631CE3E" w14:textId="77777777" w:rsidTr="00594332">
        <w:trPr>
          <w:trHeight w:val="179"/>
        </w:trPr>
        <w:tc>
          <w:tcPr>
            <w:tcW w:w="3828" w:type="dxa"/>
            <w:shd w:val="clear" w:color="auto" w:fill="FFFFFF"/>
            <w:vAlign w:val="bottom"/>
          </w:tcPr>
          <w:p w14:paraId="7A4CEBE1" w14:textId="77777777" w:rsidR="00224102" w:rsidRPr="00604C75" w:rsidRDefault="00224102" w:rsidP="00224102">
            <w:pPr>
              <w:tabs>
                <w:tab w:val="left" w:pos="180"/>
              </w:tabs>
              <w:ind w:left="180"/>
              <w:rPr>
                <w:sz w:val="18"/>
                <w:szCs w:val="18"/>
              </w:rPr>
            </w:pPr>
            <w:r w:rsidRPr="00604C75">
              <w:rPr>
                <w:sz w:val="18"/>
                <w:szCs w:val="18"/>
              </w:rPr>
              <w:t>Headquarters and Branches Abroad</w:t>
            </w:r>
          </w:p>
        </w:tc>
        <w:tc>
          <w:tcPr>
            <w:tcW w:w="1478" w:type="dxa"/>
            <w:vAlign w:val="bottom"/>
          </w:tcPr>
          <w:p w14:paraId="74020B19" w14:textId="4E068064" w:rsidR="00224102" w:rsidRDefault="00224102" w:rsidP="00980103">
            <w:pPr>
              <w:ind w:right="91"/>
              <w:jc w:val="right"/>
              <w:rPr>
                <w:sz w:val="18"/>
                <w:szCs w:val="18"/>
              </w:rPr>
            </w:pPr>
            <w:r>
              <w:rPr>
                <w:sz w:val="18"/>
                <w:szCs w:val="18"/>
              </w:rPr>
              <w:t xml:space="preserve">                  -      </w:t>
            </w:r>
          </w:p>
        </w:tc>
        <w:tc>
          <w:tcPr>
            <w:tcW w:w="1425" w:type="dxa"/>
            <w:vAlign w:val="bottom"/>
          </w:tcPr>
          <w:p w14:paraId="0D70C1BC" w14:textId="28B07D36" w:rsidR="00224102" w:rsidRDefault="00224102" w:rsidP="00980103">
            <w:pPr>
              <w:ind w:right="91"/>
              <w:jc w:val="right"/>
              <w:rPr>
                <w:sz w:val="18"/>
                <w:szCs w:val="18"/>
              </w:rPr>
            </w:pPr>
            <w:r>
              <w:rPr>
                <w:sz w:val="18"/>
                <w:szCs w:val="18"/>
              </w:rPr>
              <w:t xml:space="preserve">                      -      </w:t>
            </w:r>
          </w:p>
        </w:tc>
        <w:tc>
          <w:tcPr>
            <w:tcW w:w="1344" w:type="dxa"/>
            <w:vAlign w:val="bottom"/>
          </w:tcPr>
          <w:p w14:paraId="39C50251" w14:textId="0F74EB04" w:rsidR="00224102" w:rsidRPr="00692926" w:rsidRDefault="00224102" w:rsidP="00980103">
            <w:pPr>
              <w:ind w:right="91"/>
              <w:jc w:val="right"/>
              <w:rPr>
                <w:sz w:val="18"/>
                <w:szCs w:val="18"/>
              </w:rPr>
            </w:pPr>
            <w:r w:rsidRPr="00A36623">
              <w:rPr>
                <w:sz w:val="18"/>
                <w:szCs w:val="18"/>
              </w:rPr>
              <w:t xml:space="preserve">                  -      </w:t>
            </w:r>
          </w:p>
        </w:tc>
        <w:tc>
          <w:tcPr>
            <w:tcW w:w="1248" w:type="dxa"/>
            <w:vAlign w:val="bottom"/>
          </w:tcPr>
          <w:p w14:paraId="55F6C008" w14:textId="31B839B6" w:rsidR="00224102" w:rsidRPr="00692926" w:rsidRDefault="00224102" w:rsidP="00980103">
            <w:pPr>
              <w:ind w:right="91"/>
              <w:jc w:val="right"/>
              <w:rPr>
                <w:sz w:val="18"/>
                <w:szCs w:val="18"/>
              </w:rPr>
            </w:pPr>
            <w:r w:rsidRPr="00A36623">
              <w:rPr>
                <w:sz w:val="18"/>
                <w:szCs w:val="18"/>
              </w:rPr>
              <w:t xml:space="preserve">                      -      </w:t>
            </w:r>
          </w:p>
        </w:tc>
      </w:tr>
      <w:tr w:rsidR="00224102" w:rsidRPr="00604C75" w14:paraId="71E55536" w14:textId="77777777" w:rsidTr="00594332">
        <w:trPr>
          <w:trHeight w:val="215"/>
        </w:trPr>
        <w:tc>
          <w:tcPr>
            <w:tcW w:w="3828" w:type="dxa"/>
            <w:shd w:val="clear" w:color="auto" w:fill="FFFFFF"/>
            <w:vAlign w:val="bottom"/>
          </w:tcPr>
          <w:p w14:paraId="6FC20A78" w14:textId="77777777" w:rsidR="00224102" w:rsidRPr="00604C75" w:rsidRDefault="00224102" w:rsidP="00224102">
            <w:pPr>
              <w:tabs>
                <w:tab w:val="left" w:pos="180"/>
              </w:tabs>
              <w:rPr>
                <w:sz w:val="18"/>
                <w:szCs w:val="18"/>
              </w:rPr>
            </w:pPr>
            <w:r w:rsidRPr="00604C75">
              <w:rPr>
                <w:sz w:val="18"/>
                <w:szCs w:val="18"/>
              </w:rPr>
              <w:t>Other Institutions</w:t>
            </w:r>
          </w:p>
        </w:tc>
        <w:tc>
          <w:tcPr>
            <w:tcW w:w="1478" w:type="dxa"/>
            <w:vAlign w:val="bottom"/>
          </w:tcPr>
          <w:p w14:paraId="021897CE" w14:textId="7EFBF97A" w:rsidR="00224102" w:rsidRDefault="00224102" w:rsidP="00980103">
            <w:pPr>
              <w:ind w:right="91"/>
              <w:jc w:val="right"/>
              <w:rPr>
                <w:sz w:val="18"/>
                <w:szCs w:val="18"/>
              </w:rPr>
            </w:pPr>
            <w:r>
              <w:rPr>
                <w:sz w:val="18"/>
                <w:szCs w:val="18"/>
              </w:rPr>
              <w:t xml:space="preserve">                  -      </w:t>
            </w:r>
          </w:p>
        </w:tc>
        <w:tc>
          <w:tcPr>
            <w:tcW w:w="1425" w:type="dxa"/>
            <w:vAlign w:val="bottom"/>
          </w:tcPr>
          <w:p w14:paraId="04847735" w14:textId="19AEC877" w:rsidR="00224102" w:rsidRDefault="00224102" w:rsidP="00980103">
            <w:pPr>
              <w:ind w:right="91"/>
              <w:jc w:val="right"/>
              <w:rPr>
                <w:sz w:val="18"/>
                <w:szCs w:val="18"/>
              </w:rPr>
            </w:pPr>
            <w:r>
              <w:rPr>
                <w:sz w:val="18"/>
                <w:szCs w:val="18"/>
              </w:rPr>
              <w:t xml:space="preserve">              24,869    </w:t>
            </w:r>
          </w:p>
        </w:tc>
        <w:tc>
          <w:tcPr>
            <w:tcW w:w="1344" w:type="dxa"/>
            <w:vAlign w:val="bottom"/>
          </w:tcPr>
          <w:p w14:paraId="68DDD6AA" w14:textId="69CDFBDD" w:rsidR="00224102" w:rsidRPr="00692926" w:rsidRDefault="00224102" w:rsidP="00980103">
            <w:pPr>
              <w:ind w:right="91"/>
              <w:jc w:val="right"/>
              <w:rPr>
                <w:sz w:val="18"/>
                <w:szCs w:val="18"/>
              </w:rPr>
            </w:pPr>
            <w:r w:rsidRPr="00A36623">
              <w:rPr>
                <w:sz w:val="18"/>
                <w:szCs w:val="18"/>
              </w:rPr>
              <w:t xml:space="preserve">                  -      </w:t>
            </w:r>
          </w:p>
        </w:tc>
        <w:tc>
          <w:tcPr>
            <w:tcW w:w="1248" w:type="dxa"/>
            <w:vAlign w:val="bottom"/>
          </w:tcPr>
          <w:p w14:paraId="21812140" w14:textId="39BD0FDB" w:rsidR="00224102" w:rsidRPr="00692926" w:rsidRDefault="00224102" w:rsidP="00980103">
            <w:pPr>
              <w:ind w:right="91"/>
              <w:jc w:val="right"/>
              <w:rPr>
                <w:sz w:val="18"/>
                <w:szCs w:val="18"/>
              </w:rPr>
            </w:pPr>
            <w:r w:rsidRPr="00A36623">
              <w:rPr>
                <w:sz w:val="18"/>
                <w:szCs w:val="18"/>
              </w:rPr>
              <w:t xml:space="preserve">               9</w:t>
            </w:r>
            <w:r>
              <w:rPr>
                <w:sz w:val="18"/>
                <w:szCs w:val="18"/>
              </w:rPr>
              <w:t>,</w:t>
            </w:r>
            <w:r w:rsidRPr="00A36623">
              <w:rPr>
                <w:sz w:val="18"/>
                <w:szCs w:val="18"/>
              </w:rPr>
              <w:t xml:space="preserve">022    </w:t>
            </w:r>
          </w:p>
        </w:tc>
      </w:tr>
      <w:tr w:rsidR="00224102" w:rsidRPr="00604C75" w14:paraId="28F8F3F4" w14:textId="77777777" w:rsidTr="00594332">
        <w:trPr>
          <w:trHeight w:val="179"/>
        </w:trPr>
        <w:tc>
          <w:tcPr>
            <w:tcW w:w="3828" w:type="dxa"/>
            <w:shd w:val="clear" w:color="auto" w:fill="FFFFFF"/>
            <w:vAlign w:val="bottom"/>
          </w:tcPr>
          <w:p w14:paraId="0602E4F8" w14:textId="77777777" w:rsidR="00224102" w:rsidRPr="00604C75" w:rsidRDefault="00224102" w:rsidP="00224102">
            <w:pPr>
              <w:tabs>
                <w:tab w:val="left" w:pos="180"/>
              </w:tabs>
              <w:rPr>
                <w:b/>
                <w:sz w:val="18"/>
                <w:szCs w:val="18"/>
              </w:rPr>
            </w:pPr>
            <w:r w:rsidRPr="00604C75">
              <w:rPr>
                <w:b/>
                <w:sz w:val="18"/>
                <w:szCs w:val="18"/>
              </w:rPr>
              <w:t xml:space="preserve">Total </w:t>
            </w:r>
            <w:r w:rsidRPr="00604C75">
              <w:rPr>
                <w:b/>
                <w:sz w:val="18"/>
                <w:szCs w:val="18"/>
                <w:vertAlign w:val="superscript"/>
              </w:rPr>
              <w:t>(*)</w:t>
            </w:r>
          </w:p>
        </w:tc>
        <w:tc>
          <w:tcPr>
            <w:tcW w:w="1478" w:type="dxa"/>
            <w:vAlign w:val="bottom"/>
          </w:tcPr>
          <w:p w14:paraId="3816A462" w14:textId="5ACA358C" w:rsidR="00224102" w:rsidRPr="007F07E8" w:rsidRDefault="00224102" w:rsidP="00980103">
            <w:pPr>
              <w:ind w:right="91"/>
              <w:jc w:val="right"/>
              <w:rPr>
                <w:b/>
                <w:sz w:val="18"/>
                <w:szCs w:val="18"/>
              </w:rPr>
            </w:pPr>
            <w:r w:rsidRPr="007F07E8">
              <w:rPr>
                <w:b/>
                <w:sz w:val="18"/>
                <w:szCs w:val="18"/>
              </w:rPr>
              <w:t xml:space="preserve">           17,037    </w:t>
            </w:r>
          </w:p>
        </w:tc>
        <w:tc>
          <w:tcPr>
            <w:tcW w:w="1425" w:type="dxa"/>
            <w:vAlign w:val="bottom"/>
          </w:tcPr>
          <w:p w14:paraId="57AD1679" w14:textId="1A6F12F3" w:rsidR="00224102" w:rsidRPr="007F07E8" w:rsidRDefault="00224102" w:rsidP="00980103">
            <w:pPr>
              <w:ind w:right="91"/>
              <w:jc w:val="right"/>
              <w:rPr>
                <w:b/>
                <w:sz w:val="18"/>
                <w:szCs w:val="18"/>
              </w:rPr>
            </w:pPr>
            <w:r w:rsidRPr="007F07E8">
              <w:rPr>
                <w:b/>
                <w:sz w:val="18"/>
                <w:szCs w:val="18"/>
              </w:rPr>
              <w:t xml:space="preserve">            106,076    </w:t>
            </w:r>
          </w:p>
        </w:tc>
        <w:tc>
          <w:tcPr>
            <w:tcW w:w="1344" w:type="dxa"/>
            <w:vAlign w:val="bottom"/>
          </w:tcPr>
          <w:p w14:paraId="2643F5C0" w14:textId="782CED7F" w:rsidR="00224102" w:rsidRPr="00692926" w:rsidRDefault="00224102" w:rsidP="00980103">
            <w:pPr>
              <w:ind w:right="91"/>
              <w:jc w:val="right"/>
              <w:rPr>
                <w:b/>
                <w:sz w:val="18"/>
                <w:szCs w:val="18"/>
              </w:rPr>
            </w:pPr>
            <w:r w:rsidRPr="00A36623">
              <w:rPr>
                <w:b/>
                <w:sz w:val="18"/>
                <w:szCs w:val="18"/>
              </w:rPr>
              <w:t xml:space="preserve">           11</w:t>
            </w:r>
            <w:r>
              <w:rPr>
                <w:b/>
                <w:sz w:val="18"/>
                <w:szCs w:val="18"/>
              </w:rPr>
              <w:t>,</w:t>
            </w:r>
            <w:r w:rsidRPr="00A36623">
              <w:rPr>
                <w:b/>
                <w:sz w:val="18"/>
                <w:szCs w:val="18"/>
              </w:rPr>
              <w:t xml:space="preserve">769    </w:t>
            </w:r>
          </w:p>
        </w:tc>
        <w:tc>
          <w:tcPr>
            <w:tcW w:w="1248" w:type="dxa"/>
            <w:vAlign w:val="bottom"/>
          </w:tcPr>
          <w:p w14:paraId="18379FC4" w14:textId="0C466528" w:rsidR="00224102" w:rsidRPr="00692926" w:rsidRDefault="00224102" w:rsidP="00980103">
            <w:pPr>
              <w:ind w:right="91"/>
              <w:jc w:val="right"/>
              <w:rPr>
                <w:b/>
                <w:sz w:val="18"/>
                <w:szCs w:val="18"/>
              </w:rPr>
            </w:pPr>
            <w:r w:rsidRPr="00A36623">
              <w:rPr>
                <w:b/>
                <w:sz w:val="18"/>
                <w:szCs w:val="18"/>
              </w:rPr>
              <w:t xml:space="preserve">            66</w:t>
            </w:r>
            <w:r>
              <w:rPr>
                <w:b/>
                <w:sz w:val="18"/>
                <w:szCs w:val="18"/>
              </w:rPr>
              <w:t>,</w:t>
            </w:r>
            <w:r w:rsidRPr="00A36623">
              <w:rPr>
                <w:b/>
                <w:sz w:val="18"/>
                <w:szCs w:val="18"/>
              </w:rPr>
              <w:t xml:space="preserve">728    </w:t>
            </w:r>
          </w:p>
        </w:tc>
      </w:tr>
    </w:tbl>
    <w:p w14:paraId="71B391A2" w14:textId="77777777" w:rsidR="0044575F" w:rsidRPr="00604C75" w:rsidRDefault="00D951CA" w:rsidP="00602299">
      <w:pPr>
        <w:tabs>
          <w:tab w:val="left" w:pos="2127"/>
        </w:tabs>
        <w:spacing w:before="60" w:after="120"/>
        <w:ind w:right="-179"/>
        <w:rPr>
          <w:noProof/>
          <w:sz w:val="18"/>
          <w:szCs w:val="18"/>
        </w:rPr>
      </w:pPr>
      <w:r w:rsidRPr="00604C75">
        <w:rPr>
          <w:noProof/>
          <w:sz w:val="18"/>
          <w:szCs w:val="18"/>
        </w:rPr>
        <w:t>(*)</w:t>
      </w:r>
      <w:r w:rsidR="00AA1AA6">
        <w:rPr>
          <w:noProof/>
          <w:sz w:val="18"/>
          <w:szCs w:val="18"/>
        </w:rPr>
        <w:t xml:space="preserve"> </w:t>
      </w:r>
      <w:r w:rsidR="0044575F" w:rsidRPr="00604C75">
        <w:rPr>
          <w:noProof/>
          <w:sz w:val="18"/>
          <w:szCs w:val="18"/>
        </w:rPr>
        <w:t>Includes fee and commission expense related with cash loans.</w:t>
      </w:r>
    </w:p>
    <w:p w14:paraId="040A84B4" w14:textId="77777777" w:rsidR="0044575F" w:rsidRPr="00604C75" w:rsidRDefault="007219E5" w:rsidP="008477F3">
      <w:pPr>
        <w:numPr>
          <w:ilvl w:val="0"/>
          <w:numId w:val="26"/>
        </w:numPr>
        <w:tabs>
          <w:tab w:val="left" w:pos="1701"/>
        </w:tabs>
        <w:ind w:left="1701" w:hanging="1701"/>
        <w:jc w:val="both"/>
        <w:rPr>
          <w:noProof/>
          <w:sz w:val="20"/>
          <w:szCs w:val="20"/>
        </w:rPr>
      </w:pPr>
      <w:r w:rsidRPr="00604C75">
        <w:rPr>
          <w:noProof/>
          <w:sz w:val="20"/>
          <w:szCs w:val="20"/>
        </w:rPr>
        <w:t xml:space="preserve">    </w:t>
      </w:r>
      <w:r w:rsidR="0044575F" w:rsidRPr="00604C75">
        <w:rPr>
          <w:noProof/>
          <w:sz w:val="20"/>
          <w:szCs w:val="20"/>
        </w:rPr>
        <w:t>Information on interest expense given to investments in associates and subsidiaries</w:t>
      </w:r>
    </w:p>
    <w:p w14:paraId="452ED4D7" w14:textId="77777777" w:rsidR="00825677" w:rsidRPr="00604C75" w:rsidRDefault="00B9394D" w:rsidP="00602299">
      <w:pPr>
        <w:spacing w:before="120" w:after="120"/>
        <w:ind w:left="1701" w:hanging="1701"/>
        <w:jc w:val="both"/>
        <w:rPr>
          <w:noProof/>
          <w:sz w:val="20"/>
          <w:szCs w:val="20"/>
        </w:rPr>
      </w:pPr>
      <w:r w:rsidRPr="00EA2EFA">
        <w:rPr>
          <w:noProof/>
          <w:sz w:val="20"/>
          <w:szCs w:val="20"/>
        </w:rPr>
        <w:t>None (</w:t>
      </w:r>
      <w:r w:rsidR="00A877A3" w:rsidRPr="00EA2EFA">
        <w:rPr>
          <w:bCs/>
          <w:sz w:val="20"/>
          <w:szCs w:val="20"/>
        </w:rPr>
        <w:t>3</w:t>
      </w:r>
      <w:r w:rsidR="0092296B">
        <w:rPr>
          <w:bCs/>
          <w:sz w:val="20"/>
          <w:szCs w:val="20"/>
        </w:rPr>
        <w:t>1</w:t>
      </w:r>
      <w:r w:rsidR="00A877A3" w:rsidRPr="00272337">
        <w:rPr>
          <w:bCs/>
          <w:sz w:val="20"/>
          <w:szCs w:val="20"/>
        </w:rPr>
        <w:t xml:space="preserve"> </w:t>
      </w:r>
      <w:r w:rsidR="0092296B">
        <w:rPr>
          <w:bCs/>
          <w:sz w:val="20"/>
          <w:szCs w:val="20"/>
        </w:rPr>
        <w:t>December</w:t>
      </w:r>
      <w:r w:rsidR="0092296B" w:rsidRPr="00272337">
        <w:rPr>
          <w:noProof/>
          <w:sz w:val="20"/>
          <w:szCs w:val="20"/>
        </w:rPr>
        <w:t xml:space="preserve"> </w:t>
      </w:r>
      <w:r w:rsidRPr="00272337">
        <w:rPr>
          <w:noProof/>
          <w:sz w:val="20"/>
          <w:szCs w:val="20"/>
        </w:rPr>
        <w:t>201</w:t>
      </w:r>
      <w:r w:rsidR="00D951CA" w:rsidRPr="00272337">
        <w:rPr>
          <w:noProof/>
          <w:sz w:val="20"/>
          <w:szCs w:val="20"/>
        </w:rPr>
        <w:t>4</w:t>
      </w:r>
      <w:r w:rsidRPr="00272337">
        <w:rPr>
          <w:noProof/>
          <w:sz w:val="20"/>
          <w:szCs w:val="20"/>
        </w:rPr>
        <w:t>:None).</w:t>
      </w:r>
    </w:p>
    <w:p w14:paraId="2F6B6ADC" w14:textId="5D067FDE" w:rsidR="0091132D" w:rsidRPr="00602299" w:rsidRDefault="007219E5" w:rsidP="00602299">
      <w:pPr>
        <w:pStyle w:val="BodyTextIndent"/>
        <w:numPr>
          <w:ilvl w:val="0"/>
          <w:numId w:val="26"/>
        </w:numPr>
        <w:spacing w:before="120"/>
        <w:rPr>
          <w:sz w:val="20"/>
          <w:szCs w:val="20"/>
        </w:rPr>
      </w:pPr>
      <w:r w:rsidRPr="00604C75">
        <w:rPr>
          <w:sz w:val="20"/>
          <w:szCs w:val="20"/>
        </w:rPr>
        <w:t xml:space="preserve">    </w:t>
      </w:r>
      <w:r w:rsidR="00E139E3" w:rsidRPr="00604C75">
        <w:rPr>
          <w:noProof/>
          <w:sz w:val="20"/>
          <w:szCs w:val="20"/>
        </w:rPr>
        <w:t>Information on interest expense to marketable securities issued</w:t>
      </w:r>
    </w:p>
    <w:tbl>
      <w:tblPr>
        <w:tblpPr w:leftFromText="180" w:rightFromText="180" w:vertAnchor="text" w:horzAnchor="margin" w:tblpY="-68"/>
        <w:tblW w:w="944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4947"/>
        <w:gridCol w:w="1222"/>
        <w:gridCol w:w="1098"/>
        <w:gridCol w:w="1105"/>
        <w:gridCol w:w="1073"/>
      </w:tblGrid>
      <w:tr w:rsidR="0092296B" w:rsidRPr="00604C75" w14:paraId="64E667C1" w14:textId="77777777" w:rsidTr="00CD0767">
        <w:trPr>
          <w:trHeight w:val="221"/>
        </w:trPr>
        <w:tc>
          <w:tcPr>
            <w:tcW w:w="4947" w:type="dxa"/>
            <w:shd w:val="clear" w:color="auto" w:fill="auto"/>
            <w:noWrap/>
            <w:vAlign w:val="bottom"/>
            <w:hideMark/>
          </w:tcPr>
          <w:p w14:paraId="46EF3C9C" w14:textId="77777777" w:rsidR="0092296B" w:rsidRPr="00604C75" w:rsidRDefault="0092296B" w:rsidP="00D951CA">
            <w:pPr>
              <w:rPr>
                <w:sz w:val="20"/>
                <w:szCs w:val="20"/>
              </w:rPr>
            </w:pPr>
          </w:p>
        </w:tc>
        <w:tc>
          <w:tcPr>
            <w:tcW w:w="2320" w:type="dxa"/>
            <w:gridSpan w:val="2"/>
            <w:shd w:val="clear" w:color="auto" w:fill="auto"/>
            <w:noWrap/>
            <w:vAlign w:val="bottom"/>
            <w:hideMark/>
          </w:tcPr>
          <w:p w14:paraId="62F4F979" w14:textId="77777777" w:rsidR="0092296B" w:rsidRPr="00604C75" w:rsidRDefault="0092296B" w:rsidP="009E3D6E">
            <w:pPr>
              <w:jc w:val="center"/>
              <w:rPr>
                <w:b/>
                <w:bCs/>
                <w:color w:val="000000"/>
                <w:sz w:val="18"/>
                <w:szCs w:val="18"/>
              </w:rPr>
            </w:pPr>
            <w:r>
              <w:rPr>
                <w:b/>
                <w:snapToGrid w:val="0"/>
                <w:sz w:val="18"/>
              </w:rPr>
              <w:t>31 December</w:t>
            </w:r>
            <w:r w:rsidRPr="00604C75">
              <w:rPr>
                <w:b/>
                <w:snapToGrid w:val="0"/>
                <w:sz w:val="18"/>
              </w:rPr>
              <w:t xml:space="preserve"> 2015</w:t>
            </w:r>
          </w:p>
        </w:tc>
        <w:tc>
          <w:tcPr>
            <w:tcW w:w="2178" w:type="dxa"/>
            <w:gridSpan w:val="2"/>
            <w:shd w:val="clear" w:color="auto" w:fill="auto"/>
            <w:noWrap/>
            <w:vAlign w:val="bottom"/>
            <w:hideMark/>
          </w:tcPr>
          <w:p w14:paraId="6B1377C3" w14:textId="56D8C459" w:rsidR="0092296B" w:rsidRPr="00604C75" w:rsidRDefault="0092296B" w:rsidP="009E3D6E">
            <w:pPr>
              <w:jc w:val="center"/>
              <w:rPr>
                <w:b/>
                <w:bCs/>
                <w:color w:val="000000"/>
                <w:sz w:val="18"/>
                <w:szCs w:val="18"/>
              </w:rPr>
            </w:pPr>
            <w:r>
              <w:rPr>
                <w:b/>
                <w:snapToGrid w:val="0"/>
                <w:sz w:val="18"/>
              </w:rPr>
              <w:t>31</w:t>
            </w:r>
            <w:r w:rsidRPr="00604C75">
              <w:rPr>
                <w:b/>
                <w:snapToGrid w:val="0"/>
                <w:sz w:val="18"/>
              </w:rPr>
              <w:t xml:space="preserve"> </w:t>
            </w:r>
            <w:r>
              <w:rPr>
                <w:b/>
                <w:snapToGrid w:val="0"/>
                <w:sz w:val="18"/>
              </w:rPr>
              <w:t>December</w:t>
            </w:r>
            <w:r w:rsidRPr="00604C75">
              <w:rPr>
                <w:b/>
                <w:snapToGrid w:val="0"/>
                <w:sz w:val="18"/>
              </w:rPr>
              <w:t xml:space="preserve"> 2014</w:t>
            </w:r>
          </w:p>
        </w:tc>
      </w:tr>
      <w:tr w:rsidR="00D951CA" w:rsidRPr="00604C75" w14:paraId="4808174D" w14:textId="77777777" w:rsidTr="00CD0767">
        <w:trPr>
          <w:trHeight w:val="221"/>
        </w:trPr>
        <w:tc>
          <w:tcPr>
            <w:tcW w:w="4947" w:type="dxa"/>
            <w:shd w:val="clear" w:color="auto" w:fill="auto"/>
            <w:noWrap/>
            <w:vAlign w:val="bottom"/>
            <w:hideMark/>
          </w:tcPr>
          <w:p w14:paraId="762730F3" w14:textId="77777777" w:rsidR="00D951CA" w:rsidRPr="00604C75" w:rsidRDefault="00D951CA" w:rsidP="00D951CA">
            <w:pPr>
              <w:jc w:val="center"/>
              <w:rPr>
                <w:b/>
                <w:bCs/>
                <w:color w:val="000000"/>
                <w:sz w:val="18"/>
                <w:szCs w:val="18"/>
              </w:rPr>
            </w:pPr>
          </w:p>
        </w:tc>
        <w:tc>
          <w:tcPr>
            <w:tcW w:w="1222" w:type="dxa"/>
            <w:shd w:val="clear" w:color="auto" w:fill="auto"/>
            <w:noWrap/>
            <w:vAlign w:val="bottom"/>
            <w:hideMark/>
          </w:tcPr>
          <w:p w14:paraId="588DD250" w14:textId="77777777" w:rsidR="00D951CA" w:rsidRPr="00604C75" w:rsidRDefault="00D951CA" w:rsidP="00D951CA">
            <w:pPr>
              <w:jc w:val="right"/>
              <w:rPr>
                <w:b/>
                <w:bCs/>
                <w:color w:val="000000"/>
                <w:sz w:val="18"/>
                <w:szCs w:val="18"/>
              </w:rPr>
            </w:pPr>
            <w:r w:rsidRPr="00604C75">
              <w:rPr>
                <w:b/>
                <w:bCs/>
                <w:color w:val="000000"/>
                <w:sz w:val="18"/>
                <w:szCs w:val="18"/>
              </w:rPr>
              <w:t>TL</w:t>
            </w:r>
          </w:p>
        </w:tc>
        <w:tc>
          <w:tcPr>
            <w:tcW w:w="1098" w:type="dxa"/>
            <w:shd w:val="clear" w:color="auto" w:fill="auto"/>
            <w:noWrap/>
            <w:vAlign w:val="bottom"/>
            <w:hideMark/>
          </w:tcPr>
          <w:p w14:paraId="53CA209A" w14:textId="77777777" w:rsidR="00D951CA" w:rsidRPr="00604C75" w:rsidRDefault="00D951CA" w:rsidP="00D951CA">
            <w:pPr>
              <w:jc w:val="right"/>
              <w:rPr>
                <w:b/>
                <w:bCs/>
                <w:color w:val="000000"/>
                <w:sz w:val="18"/>
                <w:szCs w:val="18"/>
              </w:rPr>
            </w:pPr>
            <w:r w:rsidRPr="00604C75">
              <w:rPr>
                <w:b/>
                <w:bCs/>
                <w:color w:val="000000"/>
                <w:sz w:val="18"/>
                <w:szCs w:val="18"/>
              </w:rPr>
              <w:t>FC</w:t>
            </w:r>
          </w:p>
        </w:tc>
        <w:tc>
          <w:tcPr>
            <w:tcW w:w="1105" w:type="dxa"/>
            <w:shd w:val="clear" w:color="auto" w:fill="auto"/>
            <w:noWrap/>
            <w:vAlign w:val="bottom"/>
            <w:hideMark/>
          </w:tcPr>
          <w:p w14:paraId="0C51901C" w14:textId="77777777" w:rsidR="00D951CA" w:rsidRPr="00604C75" w:rsidRDefault="00D951CA" w:rsidP="00D951CA">
            <w:pPr>
              <w:jc w:val="right"/>
              <w:rPr>
                <w:b/>
                <w:bCs/>
                <w:color w:val="000000"/>
                <w:sz w:val="18"/>
                <w:szCs w:val="18"/>
              </w:rPr>
            </w:pPr>
            <w:r w:rsidRPr="00604C75">
              <w:rPr>
                <w:b/>
                <w:bCs/>
                <w:color w:val="000000"/>
                <w:sz w:val="18"/>
                <w:szCs w:val="18"/>
              </w:rPr>
              <w:t>TL</w:t>
            </w:r>
          </w:p>
        </w:tc>
        <w:tc>
          <w:tcPr>
            <w:tcW w:w="1073" w:type="dxa"/>
            <w:shd w:val="clear" w:color="auto" w:fill="auto"/>
            <w:noWrap/>
            <w:vAlign w:val="bottom"/>
            <w:hideMark/>
          </w:tcPr>
          <w:p w14:paraId="301245AF" w14:textId="77777777" w:rsidR="00D951CA" w:rsidRPr="00604C75" w:rsidRDefault="00D951CA" w:rsidP="00D951CA">
            <w:pPr>
              <w:jc w:val="right"/>
              <w:rPr>
                <w:b/>
                <w:bCs/>
                <w:color w:val="000000"/>
                <w:sz w:val="18"/>
                <w:szCs w:val="18"/>
              </w:rPr>
            </w:pPr>
            <w:r w:rsidRPr="00604C75">
              <w:rPr>
                <w:b/>
                <w:bCs/>
                <w:color w:val="000000"/>
                <w:sz w:val="18"/>
                <w:szCs w:val="18"/>
              </w:rPr>
              <w:t>FC</w:t>
            </w:r>
          </w:p>
        </w:tc>
      </w:tr>
      <w:tr w:rsidR="00224102" w:rsidRPr="00604C75" w14:paraId="18AFFBFA" w14:textId="77777777" w:rsidTr="00CD0767">
        <w:trPr>
          <w:trHeight w:val="235"/>
        </w:trPr>
        <w:tc>
          <w:tcPr>
            <w:tcW w:w="4947" w:type="dxa"/>
            <w:shd w:val="clear" w:color="000000" w:fill="FFFFFF"/>
            <w:vAlign w:val="center"/>
            <w:hideMark/>
          </w:tcPr>
          <w:p w14:paraId="7972BECF" w14:textId="6CA8241B" w:rsidR="00224102" w:rsidRPr="00604C75" w:rsidRDefault="00224102" w:rsidP="00224102">
            <w:pPr>
              <w:rPr>
                <w:color w:val="000000"/>
                <w:sz w:val="18"/>
                <w:szCs w:val="18"/>
              </w:rPr>
            </w:pPr>
            <w:r w:rsidRPr="00604C75">
              <w:rPr>
                <w:noProof/>
                <w:color w:val="000000"/>
                <w:sz w:val="18"/>
                <w:szCs w:val="18"/>
              </w:rPr>
              <w:t xml:space="preserve">Information on </w:t>
            </w:r>
            <w:r>
              <w:rPr>
                <w:noProof/>
                <w:color w:val="000000"/>
                <w:sz w:val="18"/>
                <w:szCs w:val="18"/>
              </w:rPr>
              <w:t>I</w:t>
            </w:r>
            <w:r w:rsidRPr="00604C75">
              <w:rPr>
                <w:noProof/>
                <w:color w:val="000000"/>
                <w:sz w:val="18"/>
                <w:szCs w:val="18"/>
              </w:rPr>
              <w:t xml:space="preserve">nterest </w:t>
            </w:r>
            <w:r>
              <w:rPr>
                <w:noProof/>
                <w:color w:val="000000"/>
                <w:sz w:val="18"/>
                <w:szCs w:val="18"/>
              </w:rPr>
              <w:t>E</w:t>
            </w:r>
            <w:r w:rsidRPr="00604C75">
              <w:rPr>
                <w:noProof/>
                <w:color w:val="000000"/>
                <w:sz w:val="18"/>
                <w:szCs w:val="18"/>
              </w:rPr>
              <w:t xml:space="preserve">xpense to </w:t>
            </w:r>
            <w:r>
              <w:rPr>
                <w:noProof/>
                <w:color w:val="000000"/>
                <w:sz w:val="18"/>
                <w:szCs w:val="18"/>
              </w:rPr>
              <w:t>M</w:t>
            </w:r>
            <w:r w:rsidRPr="00604C75">
              <w:rPr>
                <w:noProof/>
                <w:color w:val="000000"/>
                <w:sz w:val="18"/>
                <w:szCs w:val="18"/>
              </w:rPr>
              <w:t xml:space="preserve">arketable </w:t>
            </w:r>
            <w:r>
              <w:rPr>
                <w:noProof/>
                <w:color w:val="000000"/>
                <w:sz w:val="18"/>
                <w:szCs w:val="18"/>
              </w:rPr>
              <w:t>S</w:t>
            </w:r>
            <w:r w:rsidRPr="00604C75">
              <w:rPr>
                <w:noProof/>
                <w:color w:val="000000"/>
                <w:sz w:val="18"/>
                <w:szCs w:val="18"/>
              </w:rPr>
              <w:t xml:space="preserve">ecurities </w:t>
            </w:r>
            <w:r>
              <w:rPr>
                <w:noProof/>
                <w:color w:val="000000"/>
                <w:sz w:val="18"/>
                <w:szCs w:val="18"/>
              </w:rPr>
              <w:t>I</w:t>
            </w:r>
            <w:r w:rsidRPr="00604C75">
              <w:rPr>
                <w:noProof/>
                <w:color w:val="000000"/>
                <w:sz w:val="18"/>
                <w:szCs w:val="18"/>
              </w:rPr>
              <w:t>ssued</w:t>
            </w:r>
          </w:p>
        </w:tc>
        <w:tc>
          <w:tcPr>
            <w:tcW w:w="1222" w:type="dxa"/>
            <w:shd w:val="clear" w:color="auto" w:fill="auto"/>
            <w:vAlign w:val="bottom"/>
          </w:tcPr>
          <w:p w14:paraId="420F033C" w14:textId="24191FF8" w:rsidR="00224102" w:rsidRPr="00692926" w:rsidRDefault="00224102" w:rsidP="00224102">
            <w:pPr>
              <w:tabs>
                <w:tab w:val="left" w:pos="0"/>
              </w:tabs>
              <w:jc w:val="right"/>
              <w:rPr>
                <w:sz w:val="18"/>
                <w:szCs w:val="18"/>
              </w:rPr>
            </w:pPr>
            <w:r>
              <w:rPr>
                <w:sz w:val="18"/>
                <w:szCs w:val="18"/>
              </w:rPr>
              <w:t>35,114</w:t>
            </w:r>
          </w:p>
        </w:tc>
        <w:tc>
          <w:tcPr>
            <w:tcW w:w="1098" w:type="dxa"/>
            <w:shd w:val="clear" w:color="auto" w:fill="auto"/>
            <w:vAlign w:val="bottom"/>
          </w:tcPr>
          <w:p w14:paraId="54FBEE56" w14:textId="67FDAEF5" w:rsidR="00224102" w:rsidRPr="00692926" w:rsidRDefault="00224102" w:rsidP="00224102">
            <w:pPr>
              <w:tabs>
                <w:tab w:val="left" w:pos="0"/>
              </w:tabs>
              <w:jc w:val="right"/>
              <w:rPr>
                <w:sz w:val="18"/>
                <w:szCs w:val="18"/>
              </w:rPr>
            </w:pPr>
            <w:r>
              <w:rPr>
                <w:sz w:val="18"/>
                <w:szCs w:val="18"/>
              </w:rPr>
              <w:t>-</w:t>
            </w:r>
          </w:p>
        </w:tc>
        <w:tc>
          <w:tcPr>
            <w:tcW w:w="1105" w:type="dxa"/>
            <w:shd w:val="clear" w:color="auto" w:fill="auto"/>
            <w:vAlign w:val="bottom"/>
          </w:tcPr>
          <w:p w14:paraId="5FF33567" w14:textId="1E39E434" w:rsidR="00224102" w:rsidRPr="00692926" w:rsidRDefault="00224102" w:rsidP="00224102">
            <w:pPr>
              <w:tabs>
                <w:tab w:val="left" w:pos="0"/>
              </w:tabs>
              <w:jc w:val="right"/>
              <w:rPr>
                <w:sz w:val="18"/>
                <w:szCs w:val="18"/>
              </w:rPr>
            </w:pPr>
            <w:r>
              <w:rPr>
                <w:color w:val="000000"/>
                <w:sz w:val="18"/>
                <w:szCs w:val="18"/>
              </w:rPr>
              <w:t>26,</w:t>
            </w:r>
            <w:r w:rsidRPr="00A36623">
              <w:rPr>
                <w:color w:val="000000"/>
                <w:sz w:val="18"/>
                <w:szCs w:val="18"/>
              </w:rPr>
              <w:t>886</w:t>
            </w:r>
          </w:p>
        </w:tc>
        <w:tc>
          <w:tcPr>
            <w:tcW w:w="1073" w:type="dxa"/>
            <w:shd w:val="clear" w:color="auto" w:fill="auto"/>
            <w:noWrap/>
            <w:vAlign w:val="bottom"/>
          </w:tcPr>
          <w:p w14:paraId="10549A4B" w14:textId="15FF38A9" w:rsidR="00224102" w:rsidRPr="00692926" w:rsidRDefault="00224102" w:rsidP="00224102">
            <w:pPr>
              <w:tabs>
                <w:tab w:val="left" w:pos="0"/>
              </w:tabs>
              <w:jc w:val="right"/>
              <w:rPr>
                <w:sz w:val="18"/>
                <w:szCs w:val="18"/>
              </w:rPr>
            </w:pPr>
            <w:r>
              <w:rPr>
                <w:color w:val="000000"/>
                <w:sz w:val="18"/>
                <w:szCs w:val="18"/>
              </w:rPr>
              <w:t>-</w:t>
            </w:r>
            <w:r w:rsidRPr="00A36623">
              <w:rPr>
                <w:color w:val="000000"/>
                <w:sz w:val="18"/>
                <w:szCs w:val="18"/>
              </w:rPr>
              <w:t> </w:t>
            </w:r>
          </w:p>
        </w:tc>
      </w:tr>
      <w:tr w:rsidR="00224102" w:rsidRPr="00604C75" w14:paraId="3D16E8A9" w14:textId="77777777" w:rsidTr="00CD0767">
        <w:trPr>
          <w:trHeight w:val="235"/>
        </w:trPr>
        <w:tc>
          <w:tcPr>
            <w:tcW w:w="4947" w:type="dxa"/>
            <w:shd w:val="clear" w:color="000000" w:fill="FFFFFF"/>
            <w:vAlign w:val="center"/>
            <w:hideMark/>
          </w:tcPr>
          <w:p w14:paraId="3262594C" w14:textId="77777777" w:rsidR="00224102" w:rsidRPr="00604C75" w:rsidRDefault="00224102" w:rsidP="00224102">
            <w:pPr>
              <w:rPr>
                <w:b/>
                <w:bCs/>
                <w:color w:val="000000"/>
                <w:sz w:val="18"/>
                <w:szCs w:val="18"/>
              </w:rPr>
            </w:pPr>
            <w:r w:rsidRPr="00604C75">
              <w:rPr>
                <w:b/>
                <w:bCs/>
                <w:color w:val="000000"/>
                <w:sz w:val="18"/>
                <w:szCs w:val="18"/>
              </w:rPr>
              <w:t>Total</w:t>
            </w:r>
          </w:p>
        </w:tc>
        <w:tc>
          <w:tcPr>
            <w:tcW w:w="1222" w:type="dxa"/>
            <w:shd w:val="clear" w:color="auto" w:fill="auto"/>
            <w:vAlign w:val="bottom"/>
          </w:tcPr>
          <w:p w14:paraId="02088A49" w14:textId="1988C110" w:rsidR="00224102" w:rsidRPr="007F07E8" w:rsidRDefault="00224102" w:rsidP="00224102">
            <w:pPr>
              <w:tabs>
                <w:tab w:val="left" w:pos="0"/>
              </w:tabs>
              <w:jc w:val="right"/>
              <w:rPr>
                <w:b/>
                <w:sz w:val="18"/>
                <w:szCs w:val="18"/>
              </w:rPr>
            </w:pPr>
            <w:r w:rsidRPr="007F07E8">
              <w:rPr>
                <w:b/>
                <w:sz w:val="18"/>
                <w:szCs w:val="18"/>
              </w:rPr>
              <w:t>35,114</w:t>
            </w:r>
          </w:p>
        </w:tc>
        <w:tc>
          <w:tcPr>
            <w:tcW w:w="1098" w:type="dxa"/>
            <w:shd w:val="clear" w:color="auto" w:fill="auto"/>
            <w:vAlign w:val="bottom"/>
          </w:tcPr>
          <w:p w14:paraId="1CADC58C" w14:textId="2F82826B" w:rsidR="00224102" w:rsidRPr="007F07E8" w:rsidRDefault="00224102" w:rsidP="00224102">
            <w:pPr>
              <w:tabs>
                <w:tab w:val="left" w:pos="0"/>
              </w:tabs>
              <w:jc w:val="right"/>
              <w:rPr>
                <w:b/>
                <w:sz w:val="18"/>
                <w:szCs w:val="18"/>
              </w:rPr>
            </w:pPr>
            <w:r w:rsidRPr="007F07E8">
              <w:rPr>
                <w:b/>
                <w:sz w:val="18"/>
                <w:szCs w:val="18"/>
              </w:rPr>
              <w:t>-</w:t>
            </w:r>
          </w:p>
        </w:tc>
        <w:tc>
          <w:tcPr>
            <w:tcW w:w="1105" w:type="dxa"/>
            <w:shd w:val="clear" w:color="auto" w:fill="auto"/>
            <w:vAlign w:val="bottom"/>
          </w:tcPr>
          <w:p w14:paraId="51805A16" w14:textId="610F2188" w:rsidR="00224102" w:rsidRPr="00692926" w:rsidRDefault="00224102" w:rsidP="00224102">
            <w:pPr>
              <w:tabs>
                <w:tab w:val="left" w:pos="0"/>
              </w:tabs>
              <w:jc w:val="right"/>
              <w:rPr>
                <w:b/>
                <w:sz w:val="18"/>
                <w:szCs w:val="18"/>
              </w:rPr>
            </w:pPr>
            <w:r>
              <w:rPr>
                <w:b/>
                <w:bCs/>
                <w:color w:val="000000"/>
                <w:sz w:val="18"/>
                <w:szCs w:val="18"/>
              </w:rPr>
              <w:t>26,</w:t>
            </w:r>
            <w:r w:rsidRPr="00A36623">
              <w:rPr>
                <w:b/>
                <w:bCs/>
                <w:color w:val="000000"/>
                <w:sz w:val="18"/>
                <w:szCs w:val="18"/>
              </w:rPr>
              <w:t>886</w:t>
            </w:r>
          </w:p>
        </w:tc>
        <w:tc>
          <w:tcPr>
            <w:tcW w:w="1073" w:type="dxa"/>
            <w:shd w:val="clear" w:color="auto" w:fill="auto"/>
            <w:noWrap/>
            <w:vAlign w:val="bottom"/>
          </w:tcPr>
          <w:p w14:paraId="440CE0BF" w14:textId="6827EC84" w:rsidR="00224102" w:rsidRPr="00692926" w:rsidRDefault="00224102" w:rsidP="00224102">
            <w:pPr>
              <w:tabs>
                <w:tab w:val="left" w:pos="0"/>
              </w:tabs>
              <w:jc w:val="right"/>
              <w:rPr>
                <w:b/>
                <w:sz w:val="18"/>
                <w:szCs w:val="18"/>
              </w:rPr>
            </w:pPr>
            <w:r w:rsidRPr="00D57678">
              <w:rPr>
                <w:b/>
                <w:color w:val="000000"/>
                <w:sz w:val="18"/>
                <w:szCs w:val="18"/>
              </w:rPr>
              <w:t>- </w:t>
            </w:r>
          </w:p>
        </w:tc>
      </w:tr>
    </w:tbl>
    <w:p w14:paraId="32E87D1A" w14:textId="77777777" w:rsidR="00306CC4" w:rsidRPr="00604C75" w:rsidRDefault="007219E5" w:rsidP="00602299">
      <w:pPr>
        <w:pStyle w:val="BodyTextIndent"/>
        <w:numPr>
          <w:ilvl w:val="0"/>
          <w:numId w:val="26"/>
        </w:numPr>
        <w:tabs>
          <w:tab w:val="left" w:pos="426"/>
        </w:tabs>
        <w:spacing w:before="120"/>
        <w:rPr>
          <w:noProof/>
          <w:sz w:val="20"/>
          <w:szCs w:val="20"/>
          <w:lang w:val="tr-TR"/>
        </w:rPr>
      </w:pPr>
      <w:r w:rsidRPr="00604C75">
        <w:rPr>
          <w:bCs/>
          <w:noProof/>
          <w:sz w:val="20"/>
          <w:szCs w:val="20"/>
          <w:lang w:val="tr-TR"/>
        </w:rPr>
        <w:t xml:space="preserve">    </w:t>
      </w:r>
      <w:r w:rsidR="0044575F" w:rsidRPr="00604C75">
        <w:rPr>
          <w:bCs/>
          <w:noProof/>
          <w:sz w:val="20"/>
          <w:szCs w:val="20"/>
          <w:lang w:val="tr-TR"/>
        </w:rPr>
        <w:t>Information on interest rate and maturity structure of deposits</w:t>
      </w:r>
    </w:p>
    <w:tbl>
      <w:tblPr>
        <w:tblpPr w:leftFromText="141" w:rightFromText="141" w:vertAnchor="text" w:horzAnchor="margin" w:tblpY="34"/>
        <w:tblW w:w="9766"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280"/>
        <w:gridCol w:w="906"/>
        <w:gridCol w:w="807"/>
        <w:gridCol w:w="845"/>
        <w:gridCol w:w="851"/>
        <w:gridCol w:w="751"/>
        <w:gridCol w:w="890"/>
        <w:gridCol w:w="1386"/>
        <w:gridCol w:w="1050"/>
      </w:tblGrid>
      <w:tr w:rsidR="00306CC4" w:rsidRPr="00604C75" w14:paraId="5161FEBA" w14:textId="77777777" w:rsidTr="00196A0E">
        <w:trPr>
          <w:trHeight w:val="240"/>
        </w:trPr>
        <w:tc>
          <w:tcPr>
            <w:tcW w:w="2280" w:type="dxa"/>
            <w:shd w:val="clear" w:color="auto" w:fill="auto"/>
            <w:noWrap/>
            <w:vAlign w:val="bottom"/>
            <w:hideMark/>
          </w:tcPr>
          <w:p w14:paraId="1C1422E4" w14:textId="77777777" w:rsidR="00306CC4" w:rsidRPr="00604C75" w:rsidRDefault="00306CC4" w:rsidP="0012595B">
            <w:pPr>
              <w:jc w:val="center"/>
              <w:rPr>
                <w:b/>
                <w:noProof/>
                <w:sz w:val="18"/>
                <w:szCs w:val="18"/>
              </w:rPr>
            </w:pPr>
            <w:r w:rsidRPr="00604C75">
              <w:rPr>
                <w:b/>
                <w:noProof/>
                <w:sz w:val="18"/>
                <w:szCs w:val="18"/>
              </w:rPr>
              <w:t> </w:t>
            </w:r>
          </w:p>
        </w:tc>
        <w:tc>
          <w:tcPr>
            <w:tcW w:w="906" w:type="dxa"/>
            <w:vMerge w:val="restart"/>
            <w:shd w:val="clear" w:color="auto" w:fill="auto"/>
            <w:vAlign w:val="bottom"/>
            <w:hideMark/>
          </w:tcPr>
          <w:p w14:paraId="4B8B5381" w14:textId="77777777" w:rsidR="00306CC4" w:rsidRPr="00604C75" w:rsidRDefault="00306CC4" w:rsidP="0012595B">
            <w:pPr>
              <w:jc w:val="center"/>
              <w:rPr>
                <w:b/>
                <w:noProof/>
                <w:sz w:val="18"/>
                <w:szCs w:val="18"/>
              </w:rPr>
            </w:pPr>
            <w:r w:rsidRPr="00604C75">
              <w:rPr>
                <w:b/>
                <w:noProof/>
                <w:sz w:val="18"/>
                <w:szCs w:val="18"/>
              </w:rPr>
              <w:t>Demand Deposit</w:t>
            </w:r>
          </w:p>
        </w:tc>
        <w:tc>
          <w:tcPr>
            <w:tcW w:w="5530" w:type="dxa"/>
            <w:gridSpan w:val="6"/>
            <w:shd w:val="clear" w:color="auto" w:fill="auto"/>
            <w:vAlign w:val="bottom"/>
            <w:hideMark/>
          </w:tcPr>
          <w:p w14:paraId="3B0F4B10" w14:textId="77777777" w:rsidR="00306CC4" w:rsidRPr="00604C75" w:rsidRDefault="00306CC4" w:rsidP="0012595B">
            <w:pPr>
              <w:jc w:val="center"/>
              <w:rPr>
                <w:b/>
                <w:noProof/>
                <w:sz w:val="18"/>
                <w:szCs w:val="18"/>
              </w:rPr>
            </w:pPr>
            <w:r w:rsidRPr="00604C75">
              <w:rPr>
                <w:b/>
                <w:noProof/>
                <w:sz w:val="18"/>
                <w:szCs w:val="18"/>
              </w:rPr>
              <w:t>Time Deposit</w:t>
            </w:r>
          </w:p>
        </w:tc>
        <w:tc>
          <w:tcPr>
            <w:tcW w:w="1050" w:type="dxa"/>
            <w:vMerge w:val="restart"/>
            <w:shd w:val="clear" w:color="auto" w:fill="auto"/>
            <w:vAlign w:val="bottom"/>
            <w:hideMark/>
          </w:tcPr>
          <w:p w14:paraId="54BF7E6D" w14:textId="77777777" w:rsidR="00306CC4" w:rsidRPr="00604C75" w:rsidRDefault="00306CC4" w:rsidP="0012595B">
            <w:pPr>
              <w:jc w:val="right"/>
              <w:rPr>
                <w:b/>
                <w:noProof/>
                <w:sz w:val="18"/>
                <w:szCs w:val="18"/>
              </w:rPr>
            </w:pPr>
            <w:r w:rsidRPr="00604C75">
              <w:rPr>
                <w:b/>
                <w:noProof/>
                <w:sz w:val="18"/>
                <w:szCs w:val="18"/>
              </w:rPr>
              <w:t>Total</w:t>
            </w:r>
          </w:p>
        </w:tc>
      </w:tr>
      <w:tr w:rsidR="00306CC4" w:rsidRPr="00604C75" w14:paraId="0475B2D1" w14:textId="77777777" w:rsidTr="00196A0E">
        <w:trPr>
          <w:trHeight w:val="559"/>
        </w:trPr>
        <w:tc>
          <w:tcPr>
            <w:tcW w:w="2280" w:type="dxa"/>
            <w:shd w:val="clear" w:color="auto" w:fill="auto"/>
            <w:noWrap/>
            <w:vAlign w:val="bottom"/>
            <w:hideMark/>
          </w:tcPr>
          <w:p w14:paraId="37760B53" w14:textId="77777777" w:rsidR="00306CC4" w:rsidRPr="00604C75" w:rsidRDefault="00306CC4" w:rsidP="0012595B">
            <w:pPr>
              <w:jc w:val="center"/>
              <w:rPr>
                <w:b/>
                <w:noProof/>
                <w:sz w:val="18"/>
                <w:szCs w:val="18"/>
              </w:rPr>
            </w:pPr>
          </w:p>
        </w:tc>
        <w:tc>
          <w:tcPr>
            <w:tcW w:w="906" w:type="dxa"/>
            <w:vMerge/>
            <w:vAlign w:val="center"/>
            <w:hideMark/>
          </w:tcPr>
          <w:p w14:paraId="469D3C41" w14:textId="77777777" w:rsidR="00306CC4" w:rsidRPr="00604C75" w:rsidRDefault="00306CC4" w:rsidP="0012595B">
            <w:pPr>
              <w:rPr>
                <w:b/>
                <w:noProof/>
                <w:sz w:val="18"/>
                <w:szCs w:val="18"/>
              </w:rPr>
            </w:pPr>
          </w:p>
        </w:tc>
        <w:tc>
          <w:tcPr>
            <w:tcW w:w="807" w:type="dxa"/>
            <w:shd w:val="clear" w:color="auto" w:fill="auto"/>
            <w:vAlign w:val="bottom"/>
            <w:hideMark/>
          </w:tcPr>
          <w:p w14:paraId="191D5FEF" w14:textId="77777777" w:rsidR="00306CC4" w:rsidRPr="00604C75" w:rsidRDefault="00306CC4" w:rsidP="0012595B">
            <w:pPr>
              <w:ind w:right="-57"/>
              <w:jc w:val="right"/>
              <w:rPr>
                <w:b/>
                <w:noProof/>
                <w:sz w:val="18"/>
                <w:szCs w:val="18"/>
              </w:rPr>
            </w:pPr>
            <w:r w:rsidRPr="00604C75">
              <w:rPr>
                <w:b/>
                <w:noProof/>
                <w:sz w:val="18"/>
                <w:szCs w:val="18"/>
              </w:rPr>
              <w:t>Up to 1  Month</w:t>
            </w:r>
            <w:r w:rsidRPr="00604C75">
              <w:rPr>
                <w:b/>
                <w:noProof/>
                <w:color w:val="FFFFFF"/>
                <w:sz w:val="18"/>
                <w:szCs w:val="18"/>
              </w:rPr>
              <w:t>s</w:t>
            </w:r>
          </w:p>
        </w:tc>
        <w:tc>
          <w:tcPr>
            <w:tcW w:w="845" w:type="dxa"/>
            <w:shd w:val="clear" w:color="auto" w:fill="auto"/>
            <w:vAlign w:val="bottom"/>
            <w:hideMark/>
          </w:tcPr>
          <w:p w14:paraId="16F610E5" w14:textId="77777777" w:rsidR="00306CC4" w:rsidRPr="00604C75" w:rsidRDefault="00306CC4" w:rsidP="0012595B">
            <w:pPr>
              <w:ind w:right="-57"/>
              <w:jc w:val="right"/>
              <w:rPr>
                <w:b/>
                <w:noProof/>
                <w:sz w:val="18"/>
                <w:szCs w:val="18"/>
              </w:rPr>
            </w:pPr>
            <w:r w:rsidRPr="00604C75">
              <w:rPr>
                <w:b/>
                <w:noProof/>
                <w:sz w:val="18"/>
                <w:szCs w:val="18"/>
              </w:rPr>
              <w:t>Up to 3 Months</w:t>
            </w:r>
          </w:p>
        </w:tc>
        <w:tc>
          <w:tcPr>
            <w:tcW w:w="851" w:type="dxa"/>
            <w:shd w:val="clear" w:color="auto" w:fill="auto"/>
            <w:vAlign w:val="bottom"/>
            <w:hideMark/>
          </w:tcPr>
          <w:p w14:paraId="78F2D616" w14:textId="77777777" w:rsidR="00306CC4" w:rsidRPr="00604C75" w:rsidRDefault="00306CC4" w:rsidP="0012595B">
            <w:pPr>
              <w:ind w:right="-57"/>
              <w:jc w:val="right"/>
              <w:rPr>
                <w:b/>
                <w:noProof/>
                <w:sz w:val="18"/>
                <w:szCs w:val="18"/>
              </w:rPr>
            </w:pPr>
            <w:r w:rsidRPr="00604C75">
              <w:rPr>
                <w:b/>
                <w:noProof/>
                <w:sz w:val="18"/>
                <w:szCs w:val="18"/>
              </w:rPr>
              <w:t>Up to 6 Months</w:t>
            </w:r>
          </w:p>
        </w:tc>
        <w:tc>
          <w:tcPr>
            <w:tcW w:w="751" w:type="dxa"/>
            <w:shd w:val="clear" w:color="auto" w:fill="auto"/>
            <w:vAlign w:val="bottom"/>
            <w:hideMark/>
          </w:tcPr>
          <w:p w14:paraId="170C1357" w14:textId="77777777" w:rsidR="00306CC4" w:rsidRPr="00604C75" w:rsidRDefault="00306CC4" w:rsidP="0012595B">
            <w:pPr>
              <w:ind w:right="-57"/>
              <w:jc w:val="right"/>
              <w:rPr>
                <w:b/>
                <w:noProof/>
                <w:sz w:val="18"/>
                <w:szCs w:val="18"/>
              </w:rPr>
            </w:pPr>
            <w:r w:rsidRPr="00604C75">
              <w:rPr>
                <w:b/>
                <w:noProof/>
                <w:sz w:val="18"/>
                <w:szCs w:val="18"/>
              </w:rPr>
              <w:t>Up to 1 Year</w:t>
            </w:r>
          </w:p>
        </w:tc>
        <w:tc>
          <w:tcPr>
            <w:tcW w:w="890" w:type="dxa"/>
            <w:shd w:val="clear" w:color="auto" w:fill="auto"/>
            <w:vAlign w:val="bottom"/>
            <w:hideMark/>
          </w:tcPr>
          <w:p w14:paraId="454EA222" w14:textId="77777777" w:rsidR="00306CC4" w:rsidRPr="00604C75" w:rsidRDefault="00306CC4" w:rsidP="0012595B">
            <w:pPr>
              <w:ind w:right="-57"/>
              <w:jc w:val="right"/>
              <w:rPr>
                <w:b/>
                <w:noProof/>
                <w:sz w:val="18"/>
                <w:szCs w:val="18"/>
              </w:rPr>
            </w:pPr>
            <w:r w:rsidRPr="00604C75">
              <w:rPr>
                <w:b/>
                <w:noProof/>
                <w:sz w:val="18"/>
                <w:szCs w:val="18"/>
              </w:rPr>
              <w:t>Over 1 Year</w:t>
            </w:r>
          </w:p>
        </w:tc>
        <w:tc>
          <w:tcPr>
            <w:tcW w:w="1386" w:type="dxa"/>
            <w:shd w:val="clear" w:color="auto" w:fill="auto"/>
            <w:vAlign w:val="bottom"/>
            <w:hideMark/>
          </w:tcPr>
          <w:p w14:paraId="74AECEA9" w14:textId="7116FFF7" w:rsidR="00306CC4" w:rsidRPr="00604C75" w:rsidRDefault="00306CC4" w:rsidP="00196A0E">
            <w:pPr>
              <w:ind w:right="-57"/>
              <w:jc w:val="right"/>
              <w:rPr>
                <w:b/>
                <w:noProof/>
                <w:sz w:val="18"/>
                <w:szCs w:val="18"/>
              </w:rPr>
            </w:pPr>
            <w:r w:rsidRPr="00604C75">
              <w:rPr>
                <w:b/>
                <w:noProof/>
                <w:sz w:val="18"/>
                <w:szCs w:val="18"/>
              </w:rPr>
              <w:t>Accum</w:t>
            </w:r>
            <w:r w:rsidR="00196A0E">
              <w:rPr>
                <w:b/>
                <w:noProof/>
                <w:sz w:val="18"/>
                <w:szCs w:val="18"/>
              </w:rPr>
              <w:t>mulated</w:t>
            </w:r>
            <w:r w:rsidRPr="00604C75">
              <w:rPr>
                <w:b/>
                <w:noProof/>
                <w:sz w:val="18"/>
                <w:szCs w:val="18"/>
              </w:rPr>
              <w:t xml:space="preserve"> Deposit</w:t>
            </w:r>
          </w:p>
        </w:tc>
        <w:tc>
          <w:tcPr>
            <w:tcW w:w="1050" w:type="dxa"/>
            <w:vMerge/>
            <w:vAlign w:val="center"/>
            <w:hideMark/>
          </w:tcPr>
          <w:p w14:paraId="713B2134" w14:textId="77777777" w:rsidR="00306CC4" w:rsidRPr="00604C75" w:rsidRDefault="00306CC4" w:rsidP="0012595B">
            <w:pPr>
              <w:rPr>
                <w:b/>
                <w:noProof/>
                <w:sz w:val="18"/>
                <w:szCs w:val="18"/>
              </w:rPr>
            </w:pPr>
          </w:p>
        </w:tc>
      </w:tr>
      <w:tr w:rsidR="00306CC4" w:rsidRPr="00604C75" w14:paraId="1B06336A" w14:textId="77777777" w:rsidTr="00196A0E">
        <w:trPr>
          <w:trHeight w:val="240"/>
        </w:trPr>
        <w:tc>
          <w:tcPr>
            <w:tcW w:w="2280" w:type="dxa"/>
            <w:shd w:val="clear" w:color="auto" w:fill="auto"/>
            <w:noWrap/>
            <w:vAlign w:val="bottom"/>
            <w:hideMark/>
          </w:tcPr>
          <w:p w14:paraId="3259B732" w14:textId="77777777" w:rsidR="00306CC4" w:rsidRPr="00604C75" w:rsidRDefault="00615C94" w:rsidP="0012595B">
            <w:pPr>
              <w:rPr>
                <w:b/>
                <w:noProof/>
                <w:sz w:val="18"/>
                <w:szCs w:val="18"/>
              </w:rPr>
            </w:pPr>
            <w:r w:rsidRPr="00604C75">
              <w:rPr>
                <w:b/>
                <w:noProof/>
                <w:sz w:val="18"/>
                <w:szCs w:val="18"/>
              </w:rPr>
              <w:t>Turkish Lira</w:t>
            </w:r>
          </w:p>
        </w:tc>
        <w:tc>
          <w:tcPr>
            <w:tcW w:w="906" w:type="dxa"/>
            <w:shd w:val="clear" w:color="auto" w:fill="auto"/>
            <w:noWrap/>
            <w:vAlign w:val="bottom"/>
          </w:tcPr>
          <w:p w14:paraId="36D5C6A4" w14:textId="77777777" w:rsidR="00306CC4" w:rsidRPr="00604C75" w:rsidRDefault="00306CC4" w:rsidP="0012595B">
            <w:pPr>
              <w:ind w:left="-344" w:right="71"/>
              <w:jc w:val="right"/>
              <w:rPr>
                <w:rFonts w:eastAsia="Arial Unicode MS"/>
                <w:sz w:val="18"/>
                <w:szCs w:val="18"/>
              </w:rPr>
            </w:pPr>
          </w:p>
        </w:tc>
        <w:tc>
          <w:tcPr>
            <w:tcW w:w="807" w:type="dxa"/>
            <w:shd w:val="clear" w:color="auto" w:fill="auto"/>
            <w:noWrap/>
            <w:vAlign w:val="bottom"/>
          </w:tcPr>
          <w:p w14:paraId="42325460" w14:textId="77777777" w:rsidR="00306CC4" w:rsidRPr="00604C75" w:rsidRDefault="00306CC4" w:rsidP="0012595B">
            <w:pPr>
              <w:ind w:left="-344" w:right="-62"/>
              <w:jc w:val="right"/>
              <w:rPr>
                <w:rFonts w:eastAsia="Arial Unicode MS"/>
                <w:sz w:val="18"/>
                <w:szCs w:val="18"/>
              </w:rPr>
            </w:pPr>
          </w:p>
        </w:tc>
        <w:tc>
          <w:tcPr>
            <w:tcW w:w="845" w:type="dxa"/>
            <w:shd w:val="clear" w:color="auto" w:fill="auto"/>
            <w:noWrap/>
            <w:vAlign w:val="bottom"/>
          </w:tcPr>
          <w:p w14:paraId="1FDBB5B4" w14:textId="77777777" w:rsidR="00306CC4" w:rsidRPr="00604C75" w:rsidRDefault="00306CC4" w:rsidP="0012595B">
            <w:pPr>
              <w:ind w:left="-344" w:right="-62"/>
              <w:jc w:val="right"/>
              <w:rPr>
                <w:rFonts w:eastAsia="Arial Unicode MS"/>
                <w:sz w:val="18"/>
                <w:szCs w:val="18"/>
              </w:rPr>
            </w:pPr>
          </w:p>
        </w:tc>
        <w:tc>
          <w:tcPr>
            <w:tcW w:w="851" w:type="dxa"/>
            <w:shd w:val="clear" w:color="auto" w:fill="auto"/>
            <w:noWrap/>
            <w:vAlign w:val="bottom"/>
          </w:tcPr>
          <w:p w14:paraId="4AD6712A" w14:textId="77777777" w:rsidR="00306CC4" w:rsidRPr="00604C75" w:rsidRDefault="00306CC4" w:rsidP="0012595B">
            <w:pPr>
              <w:ind w:left="-344" w:right="-62"/>
              <w:jc w:val="right"/>
              <w:rPr>
                <w:rFonts w:eastAsia="Arial Unicode MS"/>
                <w:sz w:val="18"/>
                <w:szCs w:val="18"/>
              </w:rPr>
            </w:pPr>
          </w:p>
        </w:tc>
        <w:tc>
          <w:tcPr>
            <w:tcW w:w="751" w:type="dxa"/>
            <w:shd w:val="clear" w:color="auto" w:fill="auto"/>
            <w:noWrap/>
            <w:vAlign w:val="bottom"/>
          </w:tcPr>
          <w:p w14:paraId="1FC029A2" w14:textId="77777777" w:rsidR="00306CC4" w:rsidRPr="00604C75" w:rsidRDefault="00306CC4" w:rsidP="0012595B">
            <w:pPr>
              <w:ind w:left="-344" w:right="-62"/>
              <w:jc w:val="right"/>
              <w:rPr>
                <w:rFonts w:eastAsia="Arial Unicode MS"/>
                <w:sz w:val="18"/>
                <w:szCs w:val="18"/>
              </w:rPr>
            </w:pPr>
          </w:p>
        </w:tc>
        <w:tc>
          <w:tcPr>
            <w:tcW w:w="890" w:type="dxa"/>
            <w:shd w:val="clear" w:color="auto" w:fill="auto"/>
            <w:noWrap/>
            <w:vAlign w:val="bottom"/>
          </w:tcPr>
          <w:p w14:paraId="2A09E95F" w14:textId="77777777" w:rsidR="00306CC4" w:rsidRPr="00604C75" w:rsidRDefault="00306CC4" w:rsidP="0012595B">
            <w:pPr>
              <w:ind w:left="-344" w:right="-62"/>
              <w:jc w:val="right"/>
              <w:rPr>
                <w:rFonts w:eastAsia="Arial Unicode MS"/>
                <w:sz w:val="18"/>
                <w:szCs w:val="18"/>
              </w:rPr>
            </w:pPr>
          </w:p>
        </w:tc>
        <w:tc>
          <w:tcPr>
            <w:tcW w:w="1386" w:type="dxa"/>
            <w:shd w:val="clear" w:color="auto" w:fill="auto"/>
            <w:noWrap/>
            <w:vAlign w:val="bottom"/>
          </w:tcPr>
          <w:p w14:paraId="594A99DB" w14:textId="77777777" w:rsidR="00306CC4" w:rsidRPr="00604C75" w:rsidRDefault="00306CC4" w:rsidP="0012595B">
            <w:pPr>
              <w:ind w:left="-344" w:right="-62"/>
              <w:jc w:val="right"/>
              <w:rPr>
                <w:rFonts w:eastAsia="Arial Unicode MS"/>
                <w:sz w:val="18"/>
                <w:szCs w:val="18"/>
              </w:rPr>
            </w:pPr>
          </w:p>
        </w:tc>
        <w:tc>
          <w:tcPr>
            <w:tcW w:w="1050" w:type="dxa"/>
            <w:shd w:val="clear" w:color="auto" w:fill="auto"/>
            <w:noWrap/>
            <w:vAlign w:val="bottom"/>
          </w:tcPr>
          <w:p w14:paraId="1DFD572E" w14:textId="77777777" w:rsidR="00306CC4" w:rsidRPr="00604C75" w:rsidRDefault="00306CC4" w:rsidP="0012595B">
            <w:pPr>
              <w:ind w:left="-344" w:right="-62"/>
              <w:jc w:val="right"/>
              <w:rPr>
                <w:rFonts w:eastAsia="Arial Unicode MS"/>
                <w:sz w:val="18"/>
                <w:szCs w:val="18"/>
              </w:rPr>
            </w:pPr>
          </w:p>
        </w:tc>
      </w:tr>
      <w:tr w:rsidR="00224102" w:rsidRPr="00604C75" w14:paraId="7EDEE48A" w14:textId="77777777" w:rsidTr="00196A0E">
        <w:trPr>
          <w:trHeight w:val="240"/>
        </w:trPr>
        <w:tc>
          <w:tcPr>
            <w:tcW w:w="2280" w:type="dxa"/>
            <w:shd w:val="clear" w:color="auto" w:fill="auto"/>
            <w:noWrap/>
            <w:vAlign w:val="bottom"/>
            <w:hideMark/>
          </w:tcPr>
          <w:p w14:paraId="57EF29B8" w14:textId="77777777" w:rsidR="00224102" w:rsidRPr="00604C75" w:rsidRDefault="00224102" w:rsidP="00224102">
            <w:pPr>
              <w:rPr>
                <w:noProof/>
                <w:sz w:val="18"/>
                <w:szCs w:val="18"/>
              </w:rPr>
            </w:pPr>
            <w:r w:rsidRPr="00604C75">
              <w:rPr>
                <w:noProof/>
                <w:sz w:val="18"/>
                <w:szCs w:val="18"/>
              </w:rPr>
              <w:t>Bank Deposits</w:t>
            </w:r>
          </w:p>
        </w:tc>
        <w:tc>
          <w:tcPr>
            <w:tcW w:w="906" w:type="dxa"/>
            <w:shd w:val="clear" w:color="auto" w:fill="auto"/>
            <w:noWrap/>
            <w:vAlign w:val="bottom"/>
          </w:tcPr>
          <w:p w14:paraId="0D206B3D" w14:textId="0903F82F"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2FBEAC26" w14:textId="6A2D8B97" w:rsidR="00224102" w:rsidRPr="009D3D35" w:rsidRDefault="00224102" w:rsidP="00224102">
            <w:pPr>
              <w:jc w:val="right"/>
              <w:rPr>
                <w:sz w:val="18"/>
                <w:szCs w:val="18"/>
              </w:rPr>
            </w:pPr>
            <w:r w:rsidRPr="009D3D35">
              <w:rPr>
                <w:sz w:val="18"/>
                <w:szCs w:val="18"/>
              </w:rPr>
              <w:t>360</w:t>
            </w:r>
          </w:p>
        </w:tc>
        <w:tc>
          <w:tcPr>
            <w:tcW w:w="845" w:type="dxa"/>
            <w:shd w:val="clear" w:color="auto" w:fill="auto"/>
            <w:noWrap/>
            <w:vAlign w:val="bottom"/>
          </w:tcPr>
          <w:p w14:paraId="40DEEEFE" w14:textId="70E64C89" w:rsidR="00224102" w:rsidRPr="009D3D35" w:rsidRDefault="00224102" w:rsidP="00224102">
            <w:pPr>
              <w:jc w:val="right"/>
              <w:rPr>
                <w:sz w:val="18"/>
                <w:szCs w:val="18"/>
              </w:rPr>
            </w:pPr>
            <w:r w:rsidRPr="009D3D35">
              <w:rPr>
                <w:sz w:val="18"/>
                <w:szCs w:val="18"/>
              </w:rPr>
              <w:t>-</w:t>
            </w:r>
          </w:p>
        </w:tc>
        <w:tc>
          <w:tcPr>
            <w:tcW w:w="851" w:type="dxa"/>
            <w:shd w:val="clear" w:color="auto" w:fill="auto"/>
            <w:noWrap/>
            <w:vAlign w:val="bottom"/>
          </w:tcPr>
          <w:p w14:paraId="43836129" w14:textId="4DFEE8B9" w:rsidR="00224102" w:rsidRPr="009D3D35" w:rsidRDefault="00224102" w:rsidP="00224102">
            <w:pPr>
              <w:jc w:val="right"/>
              <w:rPr>
                <w:sz w:val="18"/>
                <w:szCs w:val="18"/>
              </w:rPr>
            </w:pPr>
            <w:r w:rsidRPr="009D3D35">
              <w:rPr>
                <w:sz w:val="18"/>
                <w:szCs w:val="18"/>
              </w:rPr>
              <w:t>-</w:t>
            </w:r>
          </w:p>
        </w:tc>
        <w:tc>
          <w:tcPr>
            <w:tcW w:w="751" w:type="dxa"/>
            <w:shd w:val="clear" w:color="auto" w:fill="auto"/>
            <w:noWrap/>
            <w:vAlign w:val="bottom"/>
          </w:tcPr>
          <w:p w14:paraId="22334866" w14:textId="05634907" w:rsidR="00224102" w:rsidRPr="009D3D35" w:rsidRDefault="00224102" w:rsidP="00224102">
            <w:pPr>
              <w:jc w:val="right"/>
              <w:rPr>
                <w:sz w:val="18"/>
                <w:szCs w:val="18"/>
              </w:rPr>
            </w:pPr>
            <w:r w:rsidRPr="009D3D35">
              <w:rPr>
                <w:sz w:val="18"/>
                <w:szCs w:val="18"/>
              </w:rPr>
              <w:t>-</w:t>
            </w:r>
          </w:p>
        </w:tc>
        <w:tc>
          <w:tcPr>
            <w:tcW w:w="890" w:type="dxa"/>
            <w:shd w:val="clear" w:color="auto" w:fill="auto"/>
            <w:noWrap/>
            <w:vAlign w:val="bottom"/>
          </w:tcPr>
          <w:p w14:paraId="246D371D" w14:textId="766E991E" w:rsidR="00224102" w:rsidRPr="009D3D35" w:rsidRDefault="00224102" w:rsidP="00224102">
            <w:pPr>
              <w:jc w:val="right"/>
              <w:rPr>
                <w:sz w:val="18"/>
                <w:szCs w:val="18"/>
              </w:rPr>
            </w:pPr>
            <w:r w:rsidRPr="009D3D35">
              <w:rPr>
                <w:sz w:val="18"/>
                <w:szCs w:val="18"/>
              </w:rPr>
              <w:t>1</w:t>
            </w:r>
          </w:p>
        </w:tc>
        <w:tc>
          <w:tcPr>
            <w:tcW w:w="1386" w:type="dxa"/>
            <w:shd w:val="clear" w:color="auto" w:fill="auto"/>
            <w:noWrap/>
            <w:vAlign w:val="bottom"/>
          </w:tcPr>
          <w:p w14:paraId="0CE82702" w14:textId="52D7A95D"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412D388A" w14:textId="48279DCA" w:rsidR="00224102" w:rsidRPr="009D3D35" w:rsidRDefault="00224102" w:rsidP="00224102">
            <w:pPr>
              <w:jc w:val="right"/>
              <w:rPr>
                <w:bCs/>
                <w:sz w:val="18"/>
                <w:szCs w:val="18"/>
              </w:rPr>
            </w:pPr>
            <w:r w:rsidRPr="009D3D35">
              <w:rPr>
                <w:bCs/>
                <w:sz w:val="18"/>
                <w:szCs w:val="18"/>
              </w:rPr>
              <w:t>361</w:t>
            </w:r>
          </w:p>
        </w:tc>
      </w:tr>
      <w:tr w:rsidR="00224102" w:rsidRPr="00604C75" w14:paraId="277DEF6A" w14:textId="77777777" w:rsidTr="00196A0E">
        <w:trPr>
          <w:trHeight w:val="240"/>
        </w:trPr>
        <w:tc>
          <w:tcPr>
            <w:tcW w:w="2280" w:type="dxa"/>
            <w:shd w:val="clear" w:color="auto" w:fill="auto"/>
            <w:noWrap/>
            <w:vAlign w:val="bottom"/>
            <w:hideMark/>
          </w:tcPr>
          <w:p w14:paraId="47F27D3D" w14:textId="77777777" w:rsidR="00224102" w:rsidRPr="00604C75" w:rsidRDefault="00224102" w:rsidP="00224102">
            <w:pPr>
              <w:rPr>
                <w:noProof/>
                <w:sz w:val="18"/>
                <w:szCs w:val="18"/>
              </w:rPr>
            </w:pPr>
            <w:r w:rsidRPr="00604C75">
              <w:rPr>
                <w:noProof/>
                <w:sz w:val="18"/>
                <w:szCs w:val="18"/>
              </w:rPr>
              <w:t>Savings Deposits</w:t>
            </w:r>
          </w:p>
        </w:tc>
        <w:tc>
          <w:tcPr>
            <w:tcW w:w="906" w:type="dxa"/>
            <w:shd w:val="clear" w:color="auto" w:fill="auto"/>
            <w:noWrap/>
            <w:vAlign w:val="bottom"/>
          </w:tcPr>
          <w:p w14:paraId="3CBB77C9" w14:textId="6765DB02"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7EEF1FB3" w14:textId="2DBBB93B" w:rsidR="00224102" w:rsidRPr="009D3D35" w:rsidRDefault="00224102" w:rsidP="00224102">
            <w:pPr>
              <w:jc w:val="right"/>
              <w:rPr>
                <w:sz w:val="18"/>
                <w:szCs w:val="18"/>
              </w:rPr>
            </w:pPr>
            <w:r w:rsidRPr="009D3D35">
              <w:rPr>
                <w:sz w:val="18"/>
                <w:szCs w:val="18"/>
              </w:rPr>
              <w:t>5,633</w:t>
            </w:r>
          </w:p>
        </w:tc>
        <w:tc>
          <w:tcPr>
            <w:tcW w:w="845" w:type="dxa"/>
            <w:shd w:val="clear" w:color="auto" w:fill="auto"/>
            <w:noWrap/>
            <w:vAlign w:val="bottom"/>
          </w:tcPr>
          <w:p w14:paraId="36A01362" w14:textId="2F7A5126" w:rsidR="00224102" w:rsidRPr="009D3D35" w:rsidRDefault="00224102" w:rsidP="00224102">
            <w:pPr>
              <w:jc w:val="right"/>
              <w:rPr>
                <w:sz w:val="18"/>
                <w:szCs w:val="18"/>
              </w:rPr>
            </w:pPr>
            <w:r w:rsidRPr="009D3D35">
              <w:rPr>
                <w:sz w:val="18"/>
                <w:szCs w:val="18"/>
              </w:rPr>
              <w:t>178,794</w:t>
            </w:r>
          </w:p>
        </w:tc>
        <w:tc>
          <w:tcPr>
            <w:tcW w:w="851" w:type="dxa"/>
            <w:shd w:val="clear" w:color="auto" w:fill="auto"/>
            <w:noWrap/>
            <w:vAlign w:val="bottom"/>
          </w:tcPr>
          <w:p w14:paraId="36146C18" w14:textId="3346DB8A" w:rsidR="00224102" w:rsidRPr="009D3D35" w:rsidRDefault="00224102" w:rsidP="00224102">
            <w:pPr>
              <w:jc w:val="right"/>
              <w:rPr>
                <w:sz w:val="18"/>
                <w:szCs w:val="18"/>
              </w:rPr>
            </w:pPr>
            <w:r w:rsidRPr="009D3D35">
              <w:rPr>
                <w:sz w:val="18"/>
                <w:szCs w:val="18"/>
              </w:rPr>
              <w:t>6,821</w:t>
            </w:r>
          </w:p>
        </w:tc>
        <w:tc>
          <w:tcPr>
            <w:tcW w:w="751" w:type="dxa"/>
            <w:shd w:val="clear" w:color="auto" w:fill="auto"/>
            <w:noWrap/>
            <w:vAlign w:val="bottom"/>
          </w:tcPr>
          <w:p w14:paraId="4883B839" w14:textId="66EF2050" w:rsidR="00224102" w:rsidRPr="009D3D35" w:rsidRDefault="00224102" w:rsidP="00224102">
            <w:pPr>
              <w:jc w:val="right"/>
              <w:rPr>
                <w:sz w:val="18"/>
                <w:szCs w:val="18"/>
              </w:rPr>
            </w:pPr>
            <w:r w:rsidRPr="009D3D35">
              <w:rPr>
                <w:sz w:val="18"/>
                <w:szCs w:val="18"/>
              </w:rPr>
              <w:t>962</w:t>
            </w:r>
          </w:p>
        </w:tc>
        <w:tc>
          <w:tcPr>
            <w:tcW w:w="890" w:type="dxa"/>
            <w:shd w:val="clear" w:color="auto" w:fill="auto"/>
            <w:noWrap/>
            <w:vAlign w:val="bottom"/>
          </w:tcPr>
          <w:p w14:paraId="003F44F1" w14:textId="6186F480" w:rsidR="00224102" w:rsidRPr="009D3D35" w:rsidRDefault="00224102" w:rsidP="00224102">
            <w:pPr>
              <w:jc w:val="right"/>
              <w:rPr>
                <w:sz w:val="18"/>
                <w:szCs w:val="18"/>
              </w:rPr>
            </w:pPr>
            <w:r w:rsidRPr="009D3D35">
              <w:rPr>
                <w:sz w:val="18"/>
                <w:szCs w:val="18"/>
              </w:rPr>
              <w:t>1,59</w:t>
            </w:r>
            <w:r>
              <w:rPr>
                <w:sz w:val="18"/>
                <w:szCs w:val="18"/>
              </w:rPr>
              <w:t>5</w:t>
            </w:r>
          </w:p>
        </w:tc>
        <w:tc>
          <w:tcPr>
            <w:tcW w:w="1386" w:type="dxa"/>
            <w:shd w:val="clear" w:color="auto" w:fill="auto"/>
            <w:noWrap/>
            <w:vAlign w:val="bottom"/>
          </w:tcPr>
          <w:p w14:paraId="16448A0D" w14:textId="78E0CD72" w:rsidR="00224102" w:rsidRPr="009D3D35" w:rsidRDefault="00224102" w:rsidP="00224102">
            <w:pPr>
              <w:jc w:val="right"/>
              <w:rPr>
                <w:sz w:val="18"/>
                <w:szCs w:val="18"/>
              </w:rPr>
            </w:pPr>
            <w:r>
              <w:rPr>
                <w:sz w:val="18"/>
                <w:szCs w:val="18"/>
              </w:rPr>
              <w:t>3</w:t>
            </w:r>
          </w:p>
        </w:tc>
        <w:tc>
          <w:tcPr>
            <w:tcW w:w="1050" w:type="dxa"/>
            <w:shd w:val="clear" w:color="auto" w:fill="auto"/>
            <w:noWrap/>
            <w:vAlign w:val="bottom"/>
          </w:tcPr>
          <w:p w14:paraId="5E70C68D" w14:textId="3E0760C9" w:rsidR="00224102" w:rsidRPr="009D3D35" w:rsidRDefault="00224102" w:rsidP="00224102">
            <w:pPr>
              <w:jc w:val="right"/>
              <w:rPr>
                <w:bCs/>
                <w:sz w:val="18"/>
                <w:szCs w:val="18"/>
              </w:rPr>
            </w:pPr>
            <w:r w:rsidRPr="009D3D35">
              <w:rPr>
                <w:bCs/>
                <w:sz w:val="18"/>
                <w:szCs w:val="18"/>
              </w:rPr>
              <w:t>193,808</w:t>
            </w:r>
          </w:p>
        </w:tc>
      </w:tr>
      <w:tr w:rsidR="00224102" w:rsidRPr="00604C75" w14:paraId="4D56B979" w14:textId="77777777" w:rsidTr="00196A0E">
        <w:trPr>
          <w:trHeight w:val="240"/>
        </w:trPr>
        <w:tc>
          <w:tcPr>
            <w:tcW w:w="2280" w:type="dxa"/>
            <w:shd w:val="clear" w:color="auto" w:fill="auto"/>
            <w:noWrap/>
            <w:vAlign w:val="bottom"/>
            <w:hideMark/>
          </w:tcPr>
          <w:p w14:paraId="2556798B" w14:textId="77777777" w:rsidR="00224102" w:rsidRPr="00604C75" w:rsidRDefault="00224102" w:rsidP="00224102">
            <w:pPr>
              <w:rPr>
                <w:noProof/>
                <w:sz w:val="18"/>
                <w:szCs w:val="18"/>
              </w:rPr>
            </w:pPr>
            <w:r w:rsidRPr="00604C75">
              <w:rPr>
                <w:noProof/>
                <w:sz w:val="18"/>
                <w:szCs w:val="18"/>
              </w:rPr>
              <w:t>Public Deposits</w:t>
            </w:r>
          </w:p>
        </w:tc>
        <w:tc>
          <w:tcPr>
            <w:tcW w:w="906" w:type="dxa"/>
            <w:shd w:val="clear" w:color="auto" w:fill="auto"/>
            <w:noWrap/>
            <w:vAlign w:val="bottom"/>
          </w:tcPr>
          <w:p w14:paraId="0181A0A4" w14:textId="1F55AC55"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64FC7091" w14:textId="67AB5711" w:rsidR="00224102" w:rsidRPr="009D3D35" w:rsidRDefault="00224102" w:rsidP="00224102">
            <w:pPr>
              <w:jc w:val="right"/>
              <w:rPr>
                <w:sz w:val="18"/>
                <w:szCs w:val="18"/>
              </w:rPr>
            </w:pPr>
            <w:r w:rsidRPr="009D3D35">
              <w:rPr>
                <w:sz w:val="18"/>
                <w:szCs w:val="18"/>
              </w:rPr>
              <w:t>22</w:t>
            </w:r>
          </w:p>
        </w:tc>
        <w:tc>
          <w:tcPr>
            <w:tcW w:w="845" w:type="dxa"/>
            <w:shd w:val="clear" w:color="auto" w:fill="auto"/>
            <w:noWrap/>
            <w:vAlign w:val="bottom"/>
          </w:tcPr>
          <w:p w14:paraId="43776556" w14:textId="07FE9772" w:rsidR="00224102" w:rsidRPr="009D3D35" w:rsidRDefault="00224102" w:rsidP="00224102">
            <w:pPr>
              <w:jc w:val="right"/>
              <w:rPr>
                <w:sz w:val="18"/>
                <w:szCs w:val="18"/>
              </w:rPr>
            </w:pPr>
            <w:r w:rsidRPr="009D3D35">
              <w:rPr>
                <w:sz w:val="18"/>
                <w:szCs w:val="18"/>
              </w:rPr>
              <w:t>657</w:t>
            </w:r>
          </w:p>
        </w:tc>
        <w:tc>
          <w:tcPr>
            <w:tcW w:w="851" w:type="dxa"/>
            <w:shd w:val="clear" w:color="auto" w:fill="auto"/>
            <w:noWrap/>
            <w:vAlign w:val="bottom"/>
          </w:tcPr>
          <w:p w14:paraId="56776071" w14:textId="46D0CAD6" w:rsidR="00224102" w:rsidRPr="009D3D35" w:rsidRDefault="00224102" w:rsidP="00224102">
            <w:pPr>
              <w:jc w:val="right"/>
              <w:rPr>
                <w:sz w:val="18"/>
                <w:szCs w:val="18"/>
              </w:rPr>
            </w:pPr>
            <w:r w:rsidRPr="009D3D35">
              <w:rPr>
                <w:sz w:val="18"/>
                <w:szCs w:val="18"/>
              </w:rPr>
              <w:t>-</w:t>
            </w:r>
          </w:p>
        </w:tc>
        <w:tc>
          <w:tcPr>
            <w:tcW w:w="751" w:type="dxa"/>
            <w:shd w:val="clear" w:color="auto" w:fill="auto"/>
            <w:noWrap/>
            <w:vAlign w:val="bottom"/>
          </w:tcPr>
          <w:p w14:paraId="3CBBC4D7" w14:textId="19338CA4" w:rsidR="00224102" w:rsidRPr="009D3D35" w:rsidRDefault="00224102" w:rsidP="00224102">
            <w:pPr>
              <w:jc w:val="right"/>
              <w:rPr>
                <w:sz w:val="18"/>
                <w:szCs w:val="18"/>
              </w:rPr>
            </w:pPr>
            <w:r w:rsidRPr="009D3D35">
              <w:rPr>
                <w:sz w:val="18"/>
                <w:szCs w:val="18"/>
              </w:rPr>
              <w:t>-</w:t>
            </w:r>
          </w:p>
        </w:tc>
        <w:tc>
          <w:tcPr>
            <w:tcW w:w="890" w:type="dxa"/>
            <w:shd w:val="clear" w:color="auto" w:fill="auto"/>
            <w:noWrap/>
            <w:vAlign w:val="bottom"/>
          </w:tcPr>
          <w:p w14:paraId="0A7B3444" w14:textId="4EBEA1D0" w:rsidR="00224102" w:rsidRPr="009D3D35" w:rsidRDefault="00224102" w:rsidP="00224102">
            <w:pPr>
              <w:jc w:val="right"/>
              <w:rPr>
                <w:sz w:val="18"/>
                <w:szCs w:val="18"/>
              </w:rPr>
            </w:pPr>
            <w:r w:rsidRPr="009D3D35">
              <w:rPr>
                <w:sz w:val="18"/>
                <w:szCs w:val="18"/>
              </w:rPr>
              <w:t>-</w:t>
            </w:r>
          </w:p>
        </w:tc>
        <w:tc>
          <w:tcPr>
            <w:tcW w:w="1386" w:type="dxa"/>
            <w:shd w:val="clear" w:color="auto" w:fill="auto"/>
            <w:noWrap/>
            <w:vAlign w:val="bottom"/>
          </w:tcPr>
          <w:p w14:paraId="3390C51C" w14:textId="34FF3CF5"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53E683AF" w14:textId="270455DC" w:rsidR="00224102" w:rsidRPr="009D3D35" w:rsidRDefault="00224102" w:rsidP="00224102">
            <w:pPr>
              <w:jc w:val="right"/>
              <w:rPr>
                <w:bCs/>
                <w:sz w:val="18"/>
                <w:szCs w:val="18"/>
              </w:rPr>
            </w:pPr>
            <w:r w:rsidRPr="009D3D35">
              <w:rPr>
                <w:bCs/>
                <w:sz w:val="18"/>
                <w:szCs w:val="18"/>
              </w:rPr>
              <w:t>679</w:t>
            </w:r>
          </w:p>
        </w:tc>
      </w:tr>
      <w:tr w:rsidR="00224102" w:rsidRPr="00604C75" w14:paraId="1532B08D" w14:textId="77777777" w:rsidTr="00196A0E">
        <w:trPr>
          <w:trHeight w:val="240"/>
        </w:trPr>
        <w:tc>
          <w:tcPr>
            <w:tcW w:w="2280" w:type="dxa"/>
            <w:shd w:val="clear" w:color="auto" w:fill="auto"/>
            <w:noWrap/>
            <w:vAlign w:val="bottom"/>
            <w:hideMark/>
          </w:tcPr>
          <w:p w14:paraId="13163C30" w14:textId="77777777" w:rsidR="00224102" w:rsidRPr="00604C75" w:rsidRDefault="00224102" w:rsidP="00224102">
            <w:pPr>
              <w:rPr>
                <w:noProof/>
                <w:sz w:val="18"/>
                <w:szCs w:val="18"/>
              </w:rPr>
            </w:pPr>
            <w:r w:rsidRPr="00604C75">
              <w:rPr>
                <w:noProof/>
                <w:sz w:val="18"/>
                <w:szCs w:val="18"/>
              </w:rPr>
              <w:t>Commercial Deposits</w:t>
            </w:r>
          </w:p>
        </w:tc>
        <w:tc>
          <w:tcPr>
            <w:tcW w:w="906" w:type="dxa"/>
            <w:shd w:val="clear" w:color="auto" w:fill="auto"/>
            <w:noWrap/>
            <w:vAlign w:val="bottom"/>
          </w:tcPr>
          <w:p w14:paraId="570FC01F" w14:textId="08083400"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124A586E" w14:textId="779F11F5" w:rsidR="00224102" w:rsidRPr="009D3D35" w:rsidRDefault="00224102" w:rsidP="00224102">
            <w:pPr>
              <w:jc w:val="right"/>
              <w:rPr>
                <w:sz w:val="18"/>
                <w:szCs w:val="18"/>
              </w:rPr>
            </w:pPr>
            <w:r w:rsidRPr="009D3D35">
              <w:rPr>
                <w:sz w:val="18"/>
                <w:szCs w:val="18"/>
              </w:rPr>
              <w:t>39,690</w:t>
            </w:r>
          </w:p>
        </w:tc>
        <w:tc>
          <w:tcPr>
            <w:tcW w:w="845" w:type="dxa"/>
            <w:shd w:val="clear" w:color="auto" w:fill="auto"/>
            <w:noWrap/>
            <w:vAlign w:val="bottom"/>
          </w:tcPr>
          <w:p w14:paraId="492F2E68" w14:textId="680A53A3" w:rsidR="00224102" w:rsidRPr="009D3D35" w:rsidRDefault="00224102" w:rsidP="00224102">
            <w:pPr>
              <w:jc w:val="right"/>
              <w:rPr>
                <w:sz w:val="18"/>
                <w:szCs w:val="18"/>
              </w:rPr>
            </w:pPr>
            <w:r w:rsidRPr="009D3D35">
              <w:rPr>
                <w:sz w:val="18"/>
                <w:szCs w:val="18"/>
              </w:rPr>
              <w:t>110,545</w:t>
            </w:r>
          </w:p>
        </w:tc>
        <w:tc>
          <w:tcPr>
            <w:tcW w:w="851" w:type="dxa"/>
            <w:shd w:val="clear" w:color="auto" w:fill="auto"/>
            <w:noWrap/>
            <w:vAlign w:val="bottom"/>
          </w:tcPr>
          <w:p w14:paraId="32141955" w14:textId="3EB0A7CC" w:rsidR="00224102" w:rsidRPr="009D3D35" w:rsidRDefault="00224102" w:rsidP="00224102">
            <w:pPr>
              <w:jc w:val="right"/>
              <w:rPr>
                <w:sz w:val="18"/>
                <w:szCs w:val="18"/>
              </w:rPr>
            </w:pPr>
            <w:r w:rsidRPr="009D3D35">
              <w:rPr>
                <w:sz w:val="18"/>
                <w:szCs w:val="18"/>
              </w:rPr>
              <w:t>3,319</w:t>
            </w:r>
          </w:p>
        </w:tc>
        <w:tc>
          <w:tcPr>
            <w:tcW w:w="751" w:type="dxa"/>
            <w:shd w:val="clear" w:color="auto" w:fill="auto"/>
            <w:noWrap/>
            <w:vAlign w:val="bottom"/>
          </w:tcPr>
          <w:p w14:paraId="481CABA5" w14:textId="2A52A8E1" w:rsidR="00224102" w:rsidRPr="009D3D35" w:rsidRDefault="00224102" w:rsidP="00224102">
            <w:pPr>
              <w:jc w:val="right"/>
              <w:rPr>
                <w:sz w:val="18"/>
                <w:szCs w:val="18"/>
              </w:rPr>
            </w:pPr>
            <w:r w:rsidRPr="009D3D35">
              <w:rPr>
                <w:sz w:val="18"/>
                <w:szCs w:val="18"/>
              </w:rPr>
              <w:t>3,286</w:t>
            </w:r>
          </w:p>
        </w:tc>
        <w:tc>
          <w:tcPr>
            <w:tcW w:w="890" w:type="dxa"/>
            <w:shd w:val="clear" w:color="auto" w:fill="auto"/>
            <w:noWrap/>
            <w:vAlign w:val="bottom"/>
          </w:tcPr>
          <w:p w14:paraId="0EF1A3A6" w14:textId="7C67E11C" w:rsidR="00224102" w:rsidRPr="009D3D35" w:rsidRDefault="00224102" w:rsidP="00224102">
            <w:pPr>
              <w:jc w:val="right"/>
              <w:rPr>
                <w:sz w:val="18"/>
                <w:szCs w:val="18"/>
              </w:rPr>
            </w:pPr>
            <w:r w:rsidRPr="009D3D35">
              <w:rPr>
                <w:sz w:val="18"/>
                <w:szCs w:val="18"/>
              </w:rPr>
              <w:t>1,686</w:t>
            </w:r>
          </w:p>
        </w:tc>
        <w:tc>
          <w:tcPr>
            <w:tcW w:w="1386" w:type="dxa"/>
            <w:shd w:val="clear" w:color="auto" w:fill="auto"/>
            <w:noWrap/>
            <w:vAlign w:val="bottom"/>
          </w:tcPr>
          <w:p w14:paraId="671FCE73" w14:textId="38AA27B2"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4A4005FE" w14:textId="0AACA015" w:rsidR="00224102" w:rsidRPr="009D3D35" w:rsidRDefault="00224102" w:rsidP="00224102">
            <w:pPr>
              <w:jc w:val="right"/>
              <w:rPr>
                <w:bCs/>
                <w:sz w:val="18"/>
                <w:szCs w:val="18"/>
              </w:rPr>
            </w:pPr>
            <w:r w:rsidRPr="009D3D35">
              <w:rPr>
                <w:bCs/>
                <w:sz w:val="18"/>
                <w:szCs w:val="18"/>
              </w:rPr>
              <w:t>158,526</w:t>
            </w:r>
          </w:p>
        </w:tc>
      </w:tr>
      <w:tr w:rsidR="00224102" w:rsidRPr="00604C75" w14:paraId="6144F4C1" w14:textId="77777777" w:rsidTr="00196A0E">
        <w:trPr>
          <w:trHeight w:val="240"/>
        </w:trPr>
        <w:tc>
          <w:tcPr>
            <w:tcW w:w="2280" w:type="dxa"/>
            <w:shd w:val="clear" w:color="auto" w:fill="auto"/>
            <w:noWrap/>
            <w:vAlign w:val="bottom"/>
            <w:hideMark/>
          </w:tcPr>
          <w:p w14:paraId="54ABCB71" w14:textId="77777777" w:rsidR="00224102" w:rsidRPr="00604C75" w:rsidRDefault="00224102" w:rsidP="00224102">
            <w:pPr>
              <w:rPr>
                <w:noProof/>
                <w:sz w:val="18"/>
                <w:szCs w:val="18"/>
              </w:rPr>
            </w:pPr>
            <w:r w:rsidRPr="00604C75">
              <w:rPr>
                <w:noProof/>
                <w:sz w:val="18"/>
                <w:szCs w:val="18"/>
              </w:rPr>
              <w:t>Other Deposits</w:t>
            </w:r>
          </w:p>
        </w:tc>
        <w:tc>
          <w:tcPr>
            <w:tcW w:w="906" w:type="dxa"/>
            <w:shd w:val="clear" w:color="auto" w:fill="auto"/>
            <w:noWrap/>
            <w:vAlign w:val="bottom"/>
          </w:tcPr>
          <w:p w14:paraId="5DA88D0F" w14:textId="000DF754"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26385E94" w14:textId="5442FBB5" w:rsidR="00224102" w:rsidRPr="009D3D35" w:rsidRDefault="00224102" w:rsidP="00224102">
            <w:pPr>
              <w:jc w:val="right"/>
              <w:rPr>
                <w:sz w:val="18"/>
                <w:szCs w:val="18"/>
              </w:rPr>
            </w:pPr>
            <w:r w:rsidRPr="009D3D35">
              <w:rPr>
                <w:sz w:val="18"/>
                <w:szCs w:val="18"/>
              </w:rPr>
              <w:t>576</w:t>
            </w:r>
          </w:p>
        </w:tc>
        <w:tc>
          <w:tcPr>
            <w:tcW w:w="845" w:type="dxa"/>
            <w:shd w:val="clear" w:color="auto" w:fill="auto"/>
            <w:noWrap/>
            <w:vAlign w:val="bottom"/>
          </w:tcPr>
          <w:p w14:paraId="5B911D58" w14:textId="4C9B71D1" w:rsidR="00224102" w:rsidRPr="009D3D35" w:rsidRDefault="00224102" w:rsidP="00224102">
            <w:pPr>
              <w:jc w:val="right"/>
              <w:rPr>
                <w:sz w:val="18"/>
                <w:szCs w:val="18"/>
              </w:rPr>
            </w:pPr>
            <w:r w:rsidRPr="009D3D35">
              <w:rPr>
                <w:sz w:val="18"/>
                <w:szCs w:val="18"/>
              </w:rPr>
              <w:t>8,098</w:t>
            </w:r>
          </w:p>
        </w:tc>
        <w:tc>
          <w:tcPr>
            <w:tcW w:w="851" w:type="dxa"/>
            <w:shd w:val="clear" w:color="auto" w:fill="auto"/>
            <w:noWrap/>
            <w:vAlign w:val="bottom"/>
          </w:tcPr>
          <w:p w14:paraId="691FA10B" w14:textId="3F69D060" w:rsidR="00224102" w:rsidRPr="009D3D35" w:rsidRDefault="00224102" w:rsidP="00224102">
            <w:pPr>
              <w:jc w:val="right"/>
              <w:rPr>
                <w:sz w:val="18"/>
                <w:szCs w:val="18"/>
              </w:rPr>
            </w:pPr>
            <w:r w:rsidRPr="009D3D35">
              <w:rPr>
                <w:sz w:val="18"/>
                <w:szCs w:val="18"/>
              </w:rPr>
              <w:t>1</w:t>
            </w:r>
          </w:p>
        </w:tc>
        <w:tc>
          <w:tcPr>
            <w:tcW w:w="751" w:type="dxa"/>
            <w:shd w:val="clear" w:color="auto" w:fill="auto"/>
            <w:noWrap/>
            <w:vAlign w:val="bottom"/>
          </w:tcPr>
          <w:p w14:paraId="7D72084C" w14:textId="18DB62AC" w:rsidR="00224102" w:rsidRPr="009D3D35" w:rsidRDefault="00224102" w:rsidP="00224102">
            <w:pPr>
              <w:jc w:val="right"/>
              <w:rPr>
                <w:sz w:val="18"/>
                <w:szCs w:val="18"/>
              </w:rPr>
            </w:pPr>
            <w:r w:rsidRPr="009D3D35">
              <w:rPr>
                <w:sz w:val="18"/>
                <w:szCs w:val="18"/>
              </w:rPr>
              <w:t>-</w:t>
            </w:r>
          </w:p>
        </w:tc>
        <w:tc>
          <w:tcPr>
            <w:tcW w:w="890" w:type="dxa"/>
            <w:shd w:val="clear" w:color="auto" w:fill="auto"/>
            <w:noWrap/>
            <w:vAlign w:val="bottom"/>
          </w:tcPr>
          <w:p w14:paraId="1AB53BA1" w14:textId="4BE04651" w:rsidR="00224102" w:rsidRPr="009D3D35" w:rsidRDefault="00224102" w:rsidP="00224102">
            <w:pPr>
              <w:jc w:val="right"/>
              <w:rPr>
                <w:sz w:val="18"/>
                <w:szCs w:val="18"/>
              </w:rPr>
            </w:pPr>
            <w:r w:rsidRPr="009D3D35">
              <w:rPr>
                <w:sz w:val="18"/>
                <w:szCs w:val="18"/>
              </w:rPr>
              <w:t>1</w:t>
            </w:r>
          </w:p>
        </w:tc>
        <w:tc>
          <w:tcPr>
            <w:tcW w:w="1386" w:type="dxa"/>
            <w:shd w:val="clear" w:color="auto" w:fill="auto"/>
            <w:noWrap/>
            <w:vAlign w:val="bottom"/>
          </w:tcPr>
          <w:p w14:paraId="35BD583F" w14:textId="0B806A3B"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3BEF2AAD" w14:textId="0F356819" w:rsidR="00224102" w:rsidRPr="009D3D35" w:rsidRDefault="00224102" w:rsidP="00224102">
            <w:pPr>
              <w:jc w:val="right"/>
              <w:rPr>
                <w:bCs/>
                <w:sz w:val="18"/>
                <w:szCs w:val="18"/>
              </w:rPr>
            </w:pPr>
            <w:r w:rsidRPr="009D3D35">
              <w:rPr>
                <w:bCs/>
                <w:sz w:val="18"/>
                <w:szCs w:val="18"/>
              </w:rPr>
              <w:t>8,676</w:t>
            </w:r>
          </w:p>
        </w:tc>
      </w:tr>
      <w:tr w:rsidR="00224102" w:rsidRPr="00604C75" w14:paraId="5F934C12" w14:textId="77777777" w:rsidTr="00196A0E">
        <w:trPr>
          <w:trHeight w:val="240"/>
        </w:trPr>
        <w:tc>
          <w:tcPr>
            <w:tcW w:w="2280" w:type="dxa"/>
            <w:shd w:val="clear" w:color="auto" w:fill="auto"/>
            <w:noWrap/>
            <w:vAlign w:val="bottom"/>
            <w:hideMark/>
          </w:tcPr>
          <w:p w14:paraId="2D6E7C03" w14:textId="77777777" w:rsidR="00224102" w:rsidRPr="00604C75" w:rsidRDefault="00224102" w:rsidP="00224102">
            <w:pPr>
              <w:rPr>
                <w:noProof/>
                <w:sz w:val="18"/>
                <w:szCs w:val="18"/>
              </w:rPr>
            </w:pPr>
            <w:r w:rsidRPr="00604C75">
              <w:rPr>
                <w:sz w:val="18"/>
                <w:szCs w:val="18"/>
              </w:rPr>
              <w:t>Deposit with 7 days notification</w:t>
            </w:r>
          </w:p>
        </w:tc>
        <w:tc>
          <w:tcPr>
            <w:tcW w:w="906" w:type="dxa"/>
            <w:shd w:val="clear" w:color="auto" w:fill="auto"/>
            <w:noWrap/>
            <w:vAlign w:val="bottom"/>
          </w:tcPr>
          <w:p w14:paraId="02984826" w14:textId="58484B6A"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2714911B" w14:textId="5C9D2220" w:rsidR="00224102" w:rsidRPr="009D3D35" w:rsidRDefault="00224102" w:rsidP="00224102">
            <w:pPr>
              <w:jc w:val="right"/>
              <w:rPr>
                <w:sz w:val="18"/>
                <w:szCs w:val="18"/>
              </w:rPr>
            </w:pPr>
            <w:r w:rsidRPr="009D3D35">
              <w:rPr>
                <w:sz w:val="18"/>
                <w:szCs w:val="18"/>
              </w:rPr>
              <w:t>-</w:t>
            </w:r>
          </w:p>
        </w:tc>
        <w:tc>
          <w:tcPr>
            <w:tcW w:w="845" w:type="dxa"/>
            <w:shd w:val="clear" w:color="auto" w:fill="auto"/>
            <w:noWrap/>
            <w:vAlign w:val="bottom"/>
          </w:tcPr>
          <w:p w14:paraId="5B0F6E3C" w14:textId="27CCBAE7" w:rsidR="00224102" w:rsidRPr="009D3D35" w:rsidRDefault="00224102" w:rsidP="00224102">
            <w:pPr>
              <w:jc w:val="right"/>
              <w:rPr>
                <w:sz w:val="18"/>
                <w:szCs w:val="18"/>
              </w:rPr>
            </w:pPr>
            <w:r w:rsidRPr="009D3D35">
              <w:rPr>
                <w:sz w:val="18"/>
                <w:szCs w:val="18"/>
              </w:rPr>
              <w:t>-</w:t>
            </w:r>
          </w:p>
        </w:tc>
        <w:tc>
          <w:tcPr>
            <w:tcW w:w="851" w:type="dxa"/>
            <w:shd w:val="clear" w:color="auto" w:fill="auto"/>
            <w:noWrap/>
            <w:vAlign w:val="bottom"/>
          </w:tcPr>
          <w:p w14:paraId="7A04D1D4" w14:textId="2F6A8872" w:rsidR="00224102" w:rsidRPr="009D3D35" w:rsidRDefault="00224102" w:rsidP="00224102">
            <w:pPr>
              <w:jc w:val="right"/>
              <w:rPr>
                <w:sz w:val="18"/>
                <w:szCs w:val="18"/>
              </w:rPr>
            </w:pPr>
            <w:r w:rsidRPr="009D3D35">
              <w:rPr>
                <w:sz w:val="18"/>
                <w:szCs w:val="18"/>
              </w:rPr>
              <w:t>-</w:t>
            </w:r>
          </w:p>
        </w:tc>
        <w:tc>
          <w:tcPr>
            <w:tcW w:w="751" w:type="dxa"/>
            <w:shd w:val="clear" w:color="auto" w:fill="auto"/>
            <w:noWrap/>
            <w:vAlign w:val="bottom"/>
          </w:tcPr>
          <w:p w14:paraId="25F2B0A5" w14:textId="3F662B52" w:rsidR="00224102" w:rsidRPr="009D3D35" w:rsidRDefault="00224102" w:rsidP="00224102">
            <w:pPr>
              <w:jc w:val="right"/>
              <w:rPr>
                <w:sz w:val="18"/>
                <w:szCs w:val="18"/>
              </w:rPr>
            </w:pPr>
            <w:r w:rsidRPr="009D3D35">
              <w:rPr>
                <w:sz w:val="18"/>
                <w:szCs w:val="18"/>
              </w:rPr>
              <w:t>-</w:t>
            </w:r>
          </w:p>
        </w:tc>
        <w:tc>
          <w:tcPr>
            <w:tcW w:w="890" w:type="dxa"/>
            <w:shd w:val="clear" w:color="auto" w:fill="auto"/>
            <w:noWrap/>
            <w:vAlign w:val="bottom"/>
          </w:tcPr>
          <w:p w14:paraId="6A6F82E1" w14:textId="778F363F" w:rsidR="00224102" w:rsidRPr="009D3D35" w:rsidRDefault="00224102" w:rsidP="00224102">
            <w:pPr>
              <w:jc w:val="right"/>
              <w:rPr>
                <w:sz w:val="18"/>
                <w:szCs w:val="18"/>
              </w:rPr>
            </w:pPr>
            <w:r w:rsidRPr="009D3D35">
              <w:rPr>
                <w:sz w:val="18"/>
                <w:szCs w:val="18"/>
              </w:rPr>
              <w:t>-</w:t>
            </w:r>
          </w:p>
        </w:tc>
        <w:tc>
          <w:tcPr>
            <w:tcW w:w="1386" w:type="dxa"/>
            <w:shd w:val="clear" w:color="auto" w:fill="auto"/>
            <w:noWrap/>
            <w:vAlign w:val="bottom"/>
          </w:tcPr>
          <w:p w14:paraId="52FCE2E1" w14:textId="27A96101"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4A98B638" w14:textId="6C42673E" w:rsidR="00224102" w:rsidRPr="009D3D35" w:rsidRDefault="00224102" w:rsidP="00224102">
            <w:pPr>
              <w:jc w:val="right"/>
              <w:rPr>
                <w:bCs/>
                <w:sz w:val="18"/>
                <w:szCs w:val="18"/>
              </w:rPr>
            </w:pPr>
            <w:r w:rsidRPr="009D3D35">
              <w:rPr>
                <w:bCs/>
                <w:sz w:val="18"/>
                <w:szCs w:val="18"/>
              </w:rPr>
              <w:t>-</w:t>
            </w:r>
          </w:p>
        </w:tc>
      </w:tr>
      <w:tr w:rsidR="00224102" w:rsidRPr="00604C75" w14:paraId="595CF6CB" w14:textId="77777777" w:rsidTr="00196A0E">
        <w:trPr>
          <w:trHeight w:val="240"/>
        </w:trPr>
        <w:tc>
          <w:tcPr>
            <w:tcW w:w="2280" w:type="dxa"/>
            <w:shd w:val="clear" w:color="auto" w:fill="auto"/>
            <w:noWrap/>
            <w:vAlign w:val="bottom"/>
          </w:tcPr>
          <w:p w14:paraId="30DA448D" w14:textId="77777777" w:rsidR="00224102" w:rsidRPr="00604C75" w:rsidRDefault="00224102" w:rsidP="00224102">
            <w:pPr>
              <w:rPr>
                <w:noProof/>
                <w:sz w:val="18"/>
                <w:szCs w:val="18"/>
              </w:rPr>
            </w:pPr>
            <w:r w:rsidRPr="00604C75">
              <w:rPr>
                <w:noProof/>
                <w:sz w:val="18"/>
                <w:szCs w:val="18"/>
              </w:rPr>
              <w:t>Precious Metal Deposits</w:t>
            </w:r>
          </w:p>
        </w:tc>
        <w:tc>
          <w:tcPr>
            <w:tcW w:w="906" w:type="dxa"/>
            <w:shd w:val="clear" w:color="auto" w:fill="auto"/>
            <w:noWrap/>
            <w:vAlign w:val="bottom"/>
          </w:tcPr>
          <w:p w14:paraId="4084B249" w14:textId="1CE1FAFB"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3DB864EC" w14:textId="020C685E" w:rsidR="00224102" w:rsidRPr="009D3D35" w:rsidRDefault="00224102" w:rsidP="00224102">
            <w:pPr>
              <w:jc w:val="right"/>
              <w:rPr>
                <w:sz w:val="18"/>
                <w:szCs w:val="18"/>
              </w:rPr>
            </w:pPr>
            <w:r w:rsidRPr="009D3D35">
              <w:rPr>
                <w:sz w:val="18"/>
                <w:szCs w:val="18"/>
              </w:rPr>
              <w:t>-</w:t>
            </w:r>
          </w:p>
        </w:tc>
        <w:tc>
          <w:tcPr>
            <w:tcW w:w="845" w:type="dxa"/>
            <w:shd w:val="clear" w:color="auto" w:fill="auto"/>
            <w:noWrap/>
            <w:vAlign w:val="bottom"/>
          </w:tcPr>
          <w:p w14:paraId="660499BC" w14:textId="47A376AC" w:rsidR="00224102" w:rsidRPr="009D3D35" w:rsidRDefault="00224102" w:rsidP="00224102">
            <w:pPr>
              <w:jc w:val="right"/>
              <w:rPr>
                <w:sz w:val="18"/>
                <w:szCs w:val="18"/>
              </w:rPr>
            </w:pPr>
            <w:r w:rsidRPr="009D3D35">
              <w:rPr>
                <w:sz w:val="18"/>
                <w:szCs w:val="18"/>
              </w:rPr>
              <w:t>281</w:t>
            </w:r>
          </w:p>
        </w:tc>
        <w:tc>
          <w:tcPr>
            <w:tcW w:w="851" w:type="dxa"/>
            <w:shd w:val="clear" w:color="auto" w:fill="auto"/>
            <w:noWrap/>
            <w:vAlign w:val="bottom"/>
          </w:tcPr>
          <w:p w14:paraId="598A9FA1" w14:textId="2DA72D2F" w:rsidR="00224102" w:rsidRPr="009D3D35" w:rsidRDefault="00224102" w:rsidP="00224102">
            <w:pPr>
              <w:jc w:val="right"/>
              <w:rPr>
                <w:sz w:val="18"/>
                <w:szCs w:val="18"/>
              </w:rPr>
            </w:pPr>
            <w:r w:rsidRPr="009D3D35">
              <w:rPr>
                <w:sz w:val="18"/>
                <w:szCs w:val="18"/>
              </w:rPr>
              <w:t>-</w:t>
            </w:r>
          </w:p>
        </w:tc>
        <w:tc>
          <w:tcPr>
            <w:tcW w:w="751" w:type="dxa"/>
            <w:shd w:val="clear" w:color="auto" w:fill="auto"/>
            <w:noWrap/>
            <w:vAlign w:val="bottom"/>
          </w:tcPr>
          <w:p w14:paraId="361AD7A1" w14:textId="3BEE14FE" w:rsidR="00224102" w:rsidRPr="009D3D35" w:rsidRDefault="00224102" w:rsidP="00224102">
            <w:pPr>
              <w:jc w:val="right"/>
              <w:rPr>
                <w:sz w:val="18"/>
                <w:szCs w:val="18"/>
              </w:rPr>
            </w:pPr>
            <w:r w:rsidRPr="009D3D35">
              <w:rPr>
                <w:sz w:val="18"/>
                <w:szCs w:val="18"/>
              </w:rPr>
              <w:t>-</w:t>
            </w:r>
          </w:p>
        </w:tc>
        <w:tc>
          <w:tcPr>
            <w:tcW w:w="890" w:type="dxa"/>
            <w:shd w:val="clear" w:color="auto" w:fill="auto"/>
            <w:noWrap/>
            <w:vAlign w:val="bottom"/>
          </w:tcPr>
          <w:p w14:paraId="3ECF03CB" w14:textId="4865BE09" w:rsidR="00224102" w:rsidRPr="009D3D35" w:rsidRDefault="00224102" w:rsidP="00224102">
            <w:pPr>
              <w:jc w:val="right"/>
              <w:rPr>
                <w:sz w:val="18"/>
                <w:szCs w:val="18"/>
              </w:rPr>
            </w:pPr>
            <w:r w:rsidRPr="009D3D35">
              <w:rPr>
                <w:sz w:val="18"/>
                <w:szCs w:val="18"/>
              </w:rPr>
              <w:t>4</w:t>
            </w:r>
          </w:p>
        </w:tc>
        <w:tc>
          <w:tcPr>
            <w:tcW w:w="1386" w:type="dxa"/>
            <w:shd w:val="clear" w:color="auto" w:fill="auto"/>
            <w:noWrap/>
            <w:vAlign w:val="bottom"/>
          </w:tcPr>
          <w:p w14:paraId="26D16774" w14:textId="422496A5"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4A7A8569" w14:textId="6809A398" w:rsidR="00224102" w:rsidRPr="009D3D35" w:rsidRDefault="00224102" w:rsidP="00224102">
            <w:pPr>
              <w:jc w:val="right"/>
              <w:rPr>
                <w:bCs/>
                <w:sz w:val="18"/>
                <w:szCs w:val="18"/>
              </w:rPr>
            </w:pPr>
            <w:r w:rsidRPr="009D3D35">
              <w:rPr>
                <w:bCs/>
                <w:sz w:val="18"/>
                <w:szCs w:val="18"/>
              </w:rPr>
              <w:t>285</w:t>
            </w:r>
          </w:p>
        </w:tc>
      </w:tr>
      <w:tr w:rsidR="00224102" w:rsidRPr="00604C75" w14:paraId="0E73EFB8" w14:textId="77777777" w:rsidTr="00196A0E">
        <w:trPr>
          <w:trHeight w:hRule="exact" w:val="227"/>
        </w:trPr>
        <w:tc>
          <w:tcPr>
            <w:tcW w:w="2280" w:type="dxa"/>
            <w:shd w:val="clear" w:color="auto" w:fill="auto"/>
            <w:noWrap/>
            <w:vAlign w:val="bottom"/>
            <w:hideMark/>
          </w:tcPr>
          <w:p w14:paraId="5E74A7EE" w14:textId="77777777" w:rsidR="00224102" w:rsidRPr="00604C75" w:rsidRDefault="00224102" w:rsidP="00224102">
            <w:pPr>
              <w:rPr>
                <w:b/>
                <w:noProof/>
                <w:sz w:val="18"/>
                <w:szCs w:val="18"/>
              </w:rPr>
            </w:pPr>
            <w:r>
              <w:rPr>
                <w:b/>
                <w:noProof/>
                <w:sz w:val="18"/>
                <w:szCs w:val="18"/>
              </w:rPr>
              <w:t>Total</w:t>
            </w:r>
          </w:p>
          <w:p w14:paraId="3C5B3BAA" w14:textId="77777777" w:rsidR="00224102" w:rsidRPr="00604C75" w:rsidRDefault="00224102" w:rsidP="00224102">
            <w:pPr>
              <w:rPr>
                <w:b/>
                <w:noProof/>
                <w:sz w:val="18"/>
                <w:szCs w:val="18"/>
              </w:rPr>
            </w:pPr>
            <w:r w:rsidRPr="00604C75">
              <w:rPr>
                <w:b/>
                <w:noProof/>
                <w:sz w:val="18"/>
                <w:szCs w:val="18"/>
              </w:rPr>
              <w:t>Total</w:t>
            </w:r>
          </w:p>
        </w:tc>
        <w:tc>
          <w:tcPr>
            <w:tcW w:w="906" w:type="dxa"/>
            <w:shd w:val="clear" w:color="auto" w:fill="auto"/>
            <w:noWrap/>
            <w:vAlign w:val="bottom"/>
          </w:tcPr>
          <w:p w14:paraId="130CB94F" w14:textId="2F9CD1C5" w:rsidR="00224102" w:rsidRDefault="00224102" w:rsidP="00224102">
            <w:pPr>
              <w:jc w:val="right"/>
              <w:rPr>
                <w:b/>
                <w:bCs/>
                <w:sz w:val="18"/>
                <w:szCs w:val="18"/>
              </w:rPr>
            </w:pPr>
            <w:r>
              <w:rPr>
                <w:b/>
                <w:bCs/>
                <w:sz w:val="18"/>
                <w:szCs w:val="18"/>
              </w:rPr>
              <w:t>-</w:t>
            </w:r>
          </w:p>
        </w:tc>
        <w:tc>
          <w:tcPr>
            <w:tcW w:w="807" w:type="dxa"/>
            <w:shd w:val="clear" w:color="auto" w:fill="auto"/>
            <w:noWrap/>
            <w:vAlign w:val="bottom"/>
          </w:tcPr>
          <w:p w14:paraId="6A2DC94A" w14:textId="5B1942AD" w:rsidR="00224102" w:rsidRDefault="00224102" w:rsidP="00224102">
            <w:pPr>
              <w:jc w:val="right"/>
              <w:rPr>
                <w:b/>
                <w:bCs/>
                <w:sz w:val="18"/>
                <w:szCs w:val="18"/>
              </w:rPr>
            </w:pPr>
            <w:r>
              <w:rPr>
                <w:b/>
                <w:bCs/>
                <w:sz w:val="18"/>
                <w:szCs w:val="18"/>
              </w:rPr>
              <w:t>46,281</w:t>
            </w:r>
          </w:p>
        </w:tc>
        <w:tc>
          <w:tcPr>
            <w:tcW w:w="845" w:type="dxa"/>
            <w:shd w:val="clear" w:color="auto" w:fill="auto"/>
            <w:noWrap/>
            <w:vAlign w:val="bottom"/>
          </w:tcPr>
          <w:p w14:paraId="7990018F" w14:textId="2629DADA" w:rsidR="00224102" w:rsidRDefault="00224102" w:rsidP="00224102">
            <w:pPr>
              <w:jc w:val="right"/>
              <w:rPr>
                <w:b/>
                <w:bCs/>
                <w:sz w:val="18"/>
                <w:szCs w:val="18"/>
              </w:rPr>
            </w:pPr>
            <w:r>
              <w:rPr>
                <w:b/>
                <w:bCs/>
                <w:sz w:val="18"/>
                <w:szCs w:val="18"/>
              </w:rPr>
              <w:t>298,375</w:t>
            </w:r>
          </w:p>
        </w:tc>
        <w:tc>
          <w:tcPr>
            <w:tcW w:w="851" w:type="dxa"/>
            <w:shd w:val="clear" w:color="auto" w:fill="auto"/>
            <w:noWrap/>
            <w:vAlign w:val="bottom"/>
          </w:tcPr>
          <w:p w14:paraId="2498B773" w14:textId="39E26277" w:rsidR="00224102" w:rsidRDefault="00224102" w:rsidP="00224102">
            <w:pPr>
              <w:jc w:val="right"/>
              <w:rPr>
                <w:b/>
                <w:bCs/>
                <w:sz w:val="18"/>
                <w:szCs w:val="18"/>
              </w:rPr>
            </w:pPr>
            <w:r>
              <w:rPr>
                <w:b/>
                <w:bCs/>
                <w:sz w:val="18"/>
                <w:szCs w:val="18"/>
              </w:rPr>
              <w:t>10,141</w:t>
            </w:r>
          </w:p>
        </w:tc>
        <w:tc>
          <w:tcPr>
            <w:tcW w:w="751" w:type="dxa"/>
            <w:shd w:val="clear" w:color="auto" w:fill="auto"/>
            <w:noWrap/>
            <w:vAlign w:val="bottom"/>
          </w:tcPr>
          <w:p w14:paraId="11C26ADB" w14:textId="37C937E2" w:rsidR="00224102" w:rsidRDefault="00224102" w:rsidP="00224102">
            <w:pPr>
              <w:jc w:val="right"/>
              <w:rPr>
                <w:b/>
                <w:bCs/>
                <w:sz w:val="18"/>
                <w:szCs w:val="18"/>
              </w:rPr>
            </w:pPr>
            <w:r>
              <w:rPr>
                <w:b/>
                <w:bCs/>
                <w:sz w:val="18"/>
                <w:szCs w:val="18"/>
              </w:rPr>
              <w:t>4,248</w:t>
            </w:r>
          </w:p>
        </w:tc>
        <w:tc>
          <w:tcPr>
            <w:tcW w:w="890" w:type="dxa"/>
            <w:shd w:val="clear" w:color="auto" w:fill="auto"/>
            <w:noWrap/>
            <w:vAlign w:val="bottom"/>
          </w:tcPr>
          <w:p w14:paraId="6A8A1040" w14:textId="4B94B41F" w:rsidR="00224102" w:rsidRDefault="00224102" w:rsidP="00224102">
            <w:pPr>
              <w:jc w:val="right"/>
              <w:rPr>
                <w:b/>
                <w:bCs/>
                <w:sz w:val="18"/>
                <w:szCs w:val="18"/>
              </w:rPr>
            </w:pPr>
            <w:r>
              <w:rPr>
                <w:b/>
                <w:bCs/>
                <w:sz w:val="18"/>
                <w:szCs w:val="18"/>
              </w:rPr>
              <w:t>3,287</w:t>
            </w:r>
          </w:p>
        </w:tc>
        <w:tc>
          <w:tcPr>
            <w:tcW w:w="1386" w:type="dxa"/>
            <w:shd w:val="clear" w:color="auto" w:fill="auto"/>
            <w:noWrap/>
            <w:vAlign w:val="bottom"/>
          </w:tcPr>
          <w:p w14:paraId="4D9E4609" w14:textId="77D3D821" w:rsidR="00224102" w:rsidRDefault="00224102" w:rsidP="00224102">
            <w:pPr>
              <w:jc w:val="right"/>
              <w:rPr>
                <w:b/>
                <w:bCs/>
                <w:sz w:val="18"/>
                <w:szCs w:val="18"/>
              </w:rPr>
            </w:pPr>
            <w:r>
              <w:rPr>
                <w:b/>
                <w:bCs/>
                <w:sz w:val="18"/>
                <w:szCs w:val="18"/>
              </w:rPr>
              <w:t>3</w:t>
            </w:r>
          </w:p>
        </w:tc>
        <w:tc>
          <w:tcPr>
            <w:tcW w:w="1050" w:type="dxa"/>
            <w:shd w:val="clear" w:color="auto" w:fill="auto"/>
            <w:noWrap/>
            <w:vAlign w:val="bottom"/>
          </w:tcPr>
          <w:p w14:paraId="4BF1987E" w14:textId="3CBF3DA7" w:rsidR="00224102" w:rsidRDefault="00224102" w:rsidP="00224102">
            <w:pPr>
              <w:jc w:val="right"/>
              <w:rPr>
                <w:b/>
                <w:bCs/>
                <w:sz w:val="18"/>
                <w:szCs w:val="18"/>
              </w:rPr>
            </w:pPr>
            <w:r>
              <w:rPr>
                <w:b/>
                <w:bCs/>
                <w:sz w:val="18"/>
                <w:szCs w:val="18"/>
              </w:rPr>
              <w:t>362,335</w:t>
            </w:r>
          </w:p>
        </w:tc>
      </w:tr>
      <w:tr w:rsidR="00224102" w:rsidRPr="00604C75" w14:paraId="443A28E9" w14:textId="77777777" w:rsidTr="00196A0E">
        <w:trPr>
          <w:trHeight w:val="240"/>
        </w:trPr>
        <w:tc>
          <w:tcPr>
            <w:tcW w:w="2280" w:type="dxa"/>
            <w:shd w:val="clear" w:color="auto" w:fill="auto"/>
            <w:noWrap/>
            <w:vAlign w:val="bottom"/>
            <w:hideMark/>
          </w:tcPr>
          <w:p w14:paraId="10C0266F" w14:textId="77777777" w:rsidR="00224102" w:rsidRPr="00604C75" w:rsidRDefault="00224102" w:rsidP="00224102">
            <w:pPr>
              <w:rPr>
                <w:b/>
                <w:noProof/>
                <w:sz w:val="18"/>
                <w:szCs w:val="18"/>
              </w:rPr>
            </w:pPr>
            <w:r w:rsidRPr="00604C75">
              <w:rPr>
                <w:b/>
                <w:noProof/>
                <w:sz w:val="18"/>
                <w:szCs w:val="18"/>
              </w:rPr>
              <w:t>Foreign Currency</w:t>
            </w:r>
          </w:p>
        </w:tc>
        <w:tc>
          <w:tcPr>
            <w:tcW w:w="906" w:type="dxa"/>
            <w:shd w:val="clear" w:color="auto" w:fill="auto"/>
            <w:noWrap/>
            <w:vAlign w:val="bottom"/>
          </w:tcPr>
          <w:p w14:paraId="368F39D4" w14:textId="77777777" w:rsidR="00224102" w:rsidRPr="00692926" w:rsidRDefault="00224102" w:rsidP="00224102">
            <w:pPr>
              <w:tabs>
                <w:tab w:val="left" w:pos="0"/>
              </w:tabs>
              <w:ind w:right="71"/>
              <w:rPr>
                <w:rFonts w:eastAsia="Arial Unicode MS"/>
                <w:sz w:val="18"/>
                <w:szCs w:val="18"/>
              </w:rPr>
            </w:pPr>
          </w:p>
        </w:tc>
        <w:tc>
          <w:tcPr>
            <w:tcW w:w="807" w:type="dxa"/>
            <w:shd w:val="clear" w:color="auto" w:fill="auto"/>
            <w:noWrap/>
            <w:vAlign w:val="bottom"/>
          </w:tcPr>
          <w:p w14:paraId="2FAA5B20" w14:textId="77777777" w:rsidR="00224102" w:rsidRPr="00692926" w:rsidRDefault="00224102" w:rsidP="00224102">
            <w:pPr>
              <w:tabs>
                <w:tab w:val="left" w:pos="0"/>
              </w:tabs>
              <w:ind w:right="71"/>
              <w:rPr>
                <w:rFonts w:eastAsia="Arial Unicode MS"/>
                <w:sz w:val="18"/>
                <w:szCs w:val="18"/>
              </w:rPr>
            </w:pPr>
          </w:p>
        </w:tc>
        <w:tc>
          <w:tcPr>
            <w:tcW w:w="845" w:type="dxa"/>
            <w:shd w:val="clear" w:color="auto" w:fill="auto"/>
            <w:noWrap/>
            <w:vAlign w:val="bottom"/>
          </w:tcPr>
          <w:p w14:paraId="35769DB0" w14:textId="77777777" w:rsidR="00224102" w:rsidRPr="00692926" w:rsidRDefault="00224102" w:rsidP="00224102">
            <w:pPr>
              <w:tabs>
                <w:tab w:val="left" w:pos="0"/>
              </w:tabs>
              <w:ind w:right="71"/>
              <w:rPr>
                <w:rFonts w:eastAsia="Arial Unicode MS"/>
                <w:sz w:val="18"/>
                <w:szCs w:val="18"/>
              </w:rPr>
            </w:pPr>
          </w:p>
        </w:tc>
        <w:tc>
          <w:tcPr>
            <w:tcW w:w="851" w:type="dxa"/>
            <w:shd w:val="clear" w:color="auto" w:fill="auto"/>
            <w:noWrap/>
            <w:vAlign w:val="bottom"/>
          </w:tcPr>
          <w:p w14:paraId="228C3238" w14:textId="77777777" w:rsidR="00224102" w:rsidRPr="00692926" w:rsidRDefault="00224102" w:rsidP="00224102">
            <w:pPr>
              <w:tabs>
                <w:tab w:val="left" w:pos="0"/>
              </w:tabs>
              <w:ind w:right="71"/>
              <w:rPr>
                <w:rFonts w:eastAsia="Arial Unicode MS"/>
                <w:sz w:val="18"/>
                <w:szCs w:val="18"/>
              </w:rPr>
            </w:pPr>
          </w:p>
        </w:tc>
        <w:tc>
          <w:tcPr>
            <w:tcW w:w="751" w:type="dxa"/>
            <w:shd w:val="clear" w:color="auto" w:fill="auto"/>
            <w:noWrap/>
            <w:vAlign w:val="bottom"/>
          </w:tcPr>
          <w:p w14:paraId="776F5A8B" w14:textId="77777777" w:rsidR="00224102" w:rsidRPr="00692926" w:rsidRDefault="00224102" w:rsidP="00224102">
            <w:pPr>
              <w:tabs>
                <w:tab w:val="left" w:pos="0"/>
              </w:tabs>
              <w:ind w:right="71"/>
              <w:rPr>
                <w:rFonts w:eastAsia="Arial Unicode MS"/>
                <w:sz w:val="18"/>
                <w:szCs w:val="18"/>
              </w:rPr>
            </w:pPr>
          </w:p>
        </w:tc>
        <w:tc>
          <w:tcPr>
            <w:tcW w:w="890" w:type="dxa"/>
            <w:shd w:val="clear" w:color="auto" w:fill="auto"/>
            <w:noWrap/>
            <w:vAlign w:val="bottom"/>
          </w:tcPr>
          <w:p w14:paraId="05F17C4A" w14:textId="77777777" w:rsidR="00224102" w:rsidRPr="00692926" w:rsidRDefault="00224102" w:rsidP="00224102">
            <w:pPr>
              <w:tabs>
                <w:tab w:val="left" w:pos="0"/>
              </w:tabs>
              <w:ind w:right="71"/>
              <w:rPr>
                <w:rFonts w:eastAsia="Arial Unicode MS"/>
                <w:sz w:val="18"/>
                <w:szCs w:val="18"/>
              </w:rPr>
            </w:pPr>
          </w:p>
        </w:tc>
        <w:tc>
          <w:tcPr>
            <w:tcW w:w="1386" w:type="dxa"/>
            <w:shd w:val="clear" w:color="auto" w:fill="auto"/>
            <w:noWrap/>
            <w:vAlign w:val="bottom"/>
          </w:tcPr>
          <w:p w14:paraId="1C39C4AE" w14:textId="77777777" w:rsidR="00224102" w:rsidRPr="00692926" w:rsidRDefault="00224102" w:rsidP="00224102">
            <w:pPr>
              <w:tabs>
                <w:tab w:val="left" w:pos="0"/>
              </w:tabs>
              <w:ind w:right="71"/>
              <w:rPr>
                <w:rFonts w:eastAsia="Arial Unicode MS"/>
                <w:sz w:val="18"/>
                <w:szCs w:val="18"/>
              </w:rPr>
            </w:pPr>
          </w:p>
        </w:tc>
        <w:tc>
          <w:tcPr>
            <w:tcW w:w="1050" w:type="dxa"/>
            <w:shd w:val="clear" w:color="auto" w:fill="auto"/>
            <w:noWrap/>
            <w:vAlign w:val="bottom"/>
          </w:tcPr>
          <w:p w14:paraId="6F3AF79D" w14:textId="77777777" w:rsidR="00224102" w:rsidRPr="00692926" w:rsidRDefault="00224102" w:rsidP="00224102">
            <w:pPr>
              <w:tabs>
                <w:tab w:val="left" w:pos="0"/>
              </w:tabs>
              <w:ind w:right="71"/>
              <w:rPr>
                <w:rFonts w:eastAsia="Arial Unicode MS"/>
                <w:b/>
                <w:sz w:val="18"/>
                <w:szCs w:val="18"/>
              </w:rPr>
            </w:pPr>
          </w:p>
        </w:tc>
      </w:tr>
      <w:tr w:rsidR="00224102" w:rsidRPr="00604C75" w14:paraId="71C56568" w14:textId="77777777" w:rsidTr="00196A0E">
        <w:trPr>
          <w:trHeight w:val="240"/>
        </w:trPr>
        <w:tc>
          <w:tcPr>
            <w:tcW w:w="2280" w:type="dxa"/>
            <w:shd w:val="clear" w:color="auto" w:fill="auto"/>
            <w:noWrap/>
            <w:vAlign w:val="bottom"/>
            <w:hideMark/>
          </w:tcPr>
          <w:p w14:paraId="06405B9F" w14:textId="77777777" w:rsidR="00224102" w:rsidRPr="00604C75" w:rsidRDefault="00224102" w:rsidP="00224102">
            <w:pPr>
              <w:rPr>
                <w:noProof/>
                <w:sz w:val="18"/>
                <w:szCs w:val="18"/>
              </w:rPr>
            </w:pPr>
            <w:r w:rsidRPr="00604C75">
              <w:rPr>
                <w:noProof/>
                <w:sz w:val="18"/>
                <w:szCs w:val="18"/>
              </w:rPr>
              <w:t>Foreign Currency Account</w:t>
            </w:r>
          </w:p>
        </w:tc>
        <w:tc>
          <w:tcPr>
            <w:tcW w:w="906" w:type="dxa"/>
            <w:shd w:val="clear" w:color="auto" w:fill="auto"/>
            <w:noWrap/>
            <w:vAlign w:val="bottom"/>
          </w:tcPr>
          <w:p w14:paraId="6E07A898" w14:textId="7D86240F"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36DBB426" w14:textId="230780D6" w:rsidR="00224102" w:rsidRPr="009D3D35" w:rsidRDefault="00224102" w:rsidP="00224102">
            <w:pPr>
              <w:jc w:val="right"/>
              <w:rPr>
                <w:sz w:val="18"/>
                <w:szCs w:val="18"/>
              </w:rPr>
            </w:pPr>
            <w:r w:rsidRPr="009D3D35">
              <w:rPr>
                <w:sz w:val="18"/>
                <w:szCs w:val="18"/>
              </w:rPr>
              <w:t>2,860</w:t>
            </w:r>
          </w:p>
        </w:tc>
        <w:tc>
          <w:tcPr>
            <w:tcW w:w="845" w:type="dxa"/>
            <w:shd w:val="clear" w:color="auto" w:fill="auto"/>
            <w:noWrap/>
            <w:vAlign w:val="bottom"/>
          </w:tcPr>
          <w:p w14:paraId="259AE30F" w14:textId="2EA33159" w:rsidR="00224102" w:rsidRPr="009D3D35" w:rsidRDefault="00224102" w:rsidP="00224102">
            <w:pPr>
              <w:jc w:val="right"/>
              <w:rPr>
                <w:sz w:val="18"/>
                <w:szCs w:val="18"/>
              </w:rPr>
            </w:pPr>
            <w:r w:rsidRPr="009D3D35">
              <w:rPr>
                <w:sz w:val="18"/>
                <w:szCs w:val="18"/>
              </w:rPr>
              <w:t>43,190</w:t>
            </w:r>
          </w:p>
        </w:tc>
        <w:tc>
          <w:tcPr>
            <w:tcW w:w="851" w:type="dxa"/>
            <w:shd w:val="clear" w:color="auto" w:fill="auto"/>
            <w:noWrap/>
            <w:vAlign w:val="bottom"/>
          </w:tcPr>
          <w:p w14:paraId="42057457" w14:textId="7BA139B6" w:rsidR="00224102" w:rsidRPr="009D3D35" w:rsidRDefault="00224102" w:rsidP="00224102">
            <w:pPr>
              <w:jc w:val="right"/>
              <w:rPr>
                <w:sz w:val="18"/>
                <w:szCs w:val="18"/>
              </w:rPr>
            </w:pPr>
            <w:r w:rsidRPr="009D3D35">
              <w:rPr>
                <w:sz w:val="18"/>
                <w:szCs w:val="18"/>
              </w:rPr>
              <w:t>660</w:t>
            </w:r>
          </w:p>
        </w:tc>
        <w:tc>
          <w:tcPr>
            <w:tcW w:w="751" w:type="dxa"/>
            <w:shd w:val="clear" w:color="auto" w:fill="auto"/>
            <w:noWrap/>
            <w:vAlign w:val="bottom"/>
          </w:tcPr>
          <w:p w14:paraId="664D08CB" w14:textId="0F81F04D" w:rsidR="00224102" w:rsidRPr="009D3D35" w:rsidRDefault="00224102" w:rsidP="00224102">
            <w:pPr>
              <w:jc w:val="right"/>
              <w:rPr>
                <w:sz w:val="18"/>
                <w:szCs w:val="18"/>
              </w:rPr>
            </w:pPr>
            <w:r w:rsidRPr="009D3D35">
              <w:rPr>
                <w:sz w:val="18"/>
                <w:szCs w:val="18"/>
              </w:rPr>
              <w:t>486</w:t>
            </w:r>
          </w:p>
        </w:tc>
        <w:tc>
          <w:tcPr>
            <w:tcW w:w="890" w:type="dxa"/>
            <w:shd w:val="clear" w:color="auto" w:fill="auto"/>
            <w:noWrap/>
            <w:vAlign w:val="bottom"/>
          </w:tcPr>
          <w:p w14:paraId="34572FC2" w14:textId="3A4902C2" w:rsidR="00224102" w:rsidRPr="009D3D35" w:rsidRDefault="00224102" w:rsidP="00224102">
            <w:pPr>
              <w:jc w:val="right"/>
              <w:rPr>
                <w:sz w:val="18"/>
                <w:szCs w:val="18"/>
              </w:rPr>
            </w:pPr>
            <w:r w:rsidRPr="009D3D35">
              <w:rPr>
                <w:sz w:val="18"/>
                <w:szCs w:val="18"/>
              </w:rPr>
              <w:t>396</w:t>
            </w:r>
          </w:p>
        </w:tc>
        <w:tc>
          <w:tcPr>
            <w:tcW w:w="1386" w:type="dxa"/>
            <w:shd w:val="clear" w:color="auto" w:fill="auto"/>
            <w:noWrap/>
            <w:vAlign w:val="bottom"/>
          </w:tcPr>
          <w:p w14:paraId="0FD0016B" w14:textId="565CAECF"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39D3147A" w14:textId="0C07DEA7" w:rsidR="00224102" w:rsidRPr="009D3D35" w:rsidRDefault="00224102" w:rsidP="00224102">
            <w:pPr>
              <w:jc w:val="right"/>
              <w:rPr>
                <w:bCs/>
                <w:sz w:val="18"/>
                <w:szCs w:val="18"/>
              </w:rPr>
            </w:pPr>
            <w:r w:rsidRPr="009D3D35">
              <w:rPr>
                <w:bCs/>
                <w:sz w:val="18"/>
                <w:szCs w:val="18"/>
              </w:rPr>
              <w:t>47,592</w:t>
            </w:r>
          </w:p>
        </w:tc>
      </w:tr>
      <w:tr w:rsidR="00224102" w:rsidRPr="00604C75" w14:paraId="55E9A297" w14:textId="77777777" w:rsidTr="00196A0E">
        <w:trPr>
          <w:trHeight w:val="240"/>
        </w:trPr>
        <w:tc>
          <w:tcPr>
            <w:tcW w:w="2280" w:type="dxa"/>
            <w:shd w:val="clear" w:color="auto" w:fill="auto"/>
            <w:noWrap/>
            <w:vAlign w:val="bottom"/>
            <w:hideMark/>
          </w:tcPr>
          <w:p w14:paraId="3CD045DC" w14:textId="77777777" w:rsidR="00224102" w:rsidRPr="00604C75" w:rsidRDefault="00224102" w:rsidP="00224102">
            <w:pPr>
              <w:rPr>
                <w:noProof/>
                <w:sz w:val="18"/>
                <w:szCs w:val="18"/>
              </w:rPr>
            </w:pPr>
            <w:r w:rsidRPr="00604C75">
              <w:rPr>
                <w:noProof/>
                <w:sz w:val="18"/>
                <w:szCs w:val="18"/>
              </w:rPr>
              <w:t>Bank Deposits</w:t>
            </w:r>
          </w:p>
        </w:tc>
        <w:tc>
          <w:tcPr>
            <w:tcW w:w="906" w:type="dxa"/>
            <w:shd w:val="clear" w:color="auto" w:fill="auto"/>
            <w:noWrap/>
            <w:vAlign w:val="bottom"/>
          </w:tcPr>
          <w:p w14:paraId="1D14E529" w14:textId="7282139D"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45A82060" w14:textId="7EB5811D" w:rsidR="00224102" w:rsidRPr="009D3D35" w:rsidRDefault="00224102" w:rsidP="00224102">
            <w:pPr>
              <w:jc w:val="right"/>
              <w:rPr>
                <w:sz w:val="18"/>
                <w:szCs w:val="18"/>
              </w:rPr>
            </w:pPr>
            <w:r w:rsidRPr="009D3D35">
              <w:rPr>
                <w:sz w:val="18"/>
                <w:szCs w:val="18"/>
              </w:rPr>
              <w:t>6,549</w:t>
            </w:r>
          </w:p>
        </w:tc>
        <w:tc>
          <w:tcPr>
            <w:tcW w:w="845" w:type="dxa"/>
            <w:shd w:val="clear" w:color="auto" w:fill="auto"/>
            <w:noWrap/>
            <w:vAlign w:val="bottom"/>
          </w:tcPr>
          <w:p w14:paraId="5DEECB7B" w14:textId="3E0C2A82" w:rsidR="00224102" w:rsidRPr="009D3D35" w:rsidRDefault="00224102" w:rsidP="00224102">
            <w:pPr>
              <w:jc w:val="right"/>
              <w:rPr>
                <w:sz w:val="18"/>
                <w:szCs w:val="18"/>
              </w:rPr>
            </w:pPr>
            <w:r w:rsidRPr="009D3D35">
              <w:rPr>
                <w:sz w:val="18"/>
                <w:szCs w:val="18"/>
              </w:rPr>
              <w:t>-</w:t>
            </w:r>
          </w:p>
        </w:tc>
        <w:tc>
          <w:tcPr>
            <w:tcW w:w="851" w:type="dxa"/>
            <w:shd w:val="clear" w:color="auto" w:fill="auto"/>
            <w:noWrap/>
            <w:vAlign w:val="bottom"/>
          </w:tcPr>
          <w:p w14:paraId="2D0107E6" w14:textId="48ED3084" w:rsidR="00224102" w:rsidRPr="009D3D35" w:rsidRDefault="00224102" w:rsidP="00224102">
            <w:pPr>
              <w:jc w:val="right"/>
              <w:rPr>
                <w:sz w:val="18"/>
                <w:szCs w:val="18"/>
              </w:rPr>
            </w:pPr>
            <w:r w:rsidRPr="009D3D35">
              <w:rPr>
                <w:sz w:val="18"/>
                <w:szCs w:val="18"/>
              </w:rPr>
              <w:t>-</w:t>
            </w:r>
          </w:p>
        </w:tc>
        <w:tc>
          <w:tcPr>
            <w:tcW w:w="751" w:type="dxa"/>
            <w:shd w:val="clear" w:color="auto" w:fill="auto"/>
            <w:noWrap/>
            <w:vAlign w:val="bottom"/>
          </w:tcPr>
          <w:p w14:paraId="1B98D0B5" w14:textId="7A9101B1" w:rsidR="00224102" w:rsidRPr="009D3D35" w:rsidRDefault="00224102" w:rsidP="00224102">
            <w:pPr>
              <w:jc w:val="right"/>
              <w:rPr>
                <w:sz w:val="18"/>
                <w:szCs w:val="18"/>
              </w:rPr>
            </w:pPr>
            <w:r w:rsidRPr="009D3D35">
              <w:rPr>
                <w:sz w:val="18"/>
                <w:szCs w:val="18"/>
              </w:rPr>
              <w:t>-</w:t>
            </w:r>
          </w:p>
        </w:tc>
        <w:tc>
          <w:tcPr>
            <w:tcW w:w="890" w:type="dxa"/>
            <w:shd w:val="clear" w:color="auto" w:fill="auto"/>
            <w:noWrap/>
            <w:vAlign w:val="bottom"/>
          </w:tcPr>
          <w:p w14:paraId="508B748A" w14:textId="60D3C824" w:rsidR="00224102" w:rsidRPr="009D3D35" w:rsidRDefault="00224102" w:rsidP="00224102">
            <w:pPr>
              <w:jc w:val="right"/>
              <w:rPr>
                <w:sz w:val="18"/>
                <w:szCs w:val="18"/>
              </w:rPr>
            </w:pPr>
            <w:r w:rsidRPr="009D3D35">
              <w:rPr>
                <w:sz w:val="18"/>
                <w:szCs w:val="18"/>
              </w:rPr>
              <w:t>-</w:t>
            </w:r>
          </w:p>
        </w:tc>
        <w:tc>
          <w:tcPr>
            <w:tcW w:w="1386" w:type="dxa"/>
            <w:shd w:val="clear" w:color="auto" w:fill="auto"/>
            <w:noWrap/>
            <w:vAlign w:val="bottom"/>
          </w:tcPr>
          <w:p w14:paraId="1102A23C" w14:textId="40E5E0AB"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2D1691F1" w14:textId="7B518944" w:rsidR="00224102" w:rsidRPr="009D3D35" w:rsidRDefault="00224102" w:rsidP="00224102">
            <w:pPr>
              <w:jc w:val="right"/>
              <w:rPr>
                <w:bCs/>
                <w:sz w:val="18"/>
                <w:szCs w:val="18"/>
              </w:rPr>
            </w:pPr>
            <w:r w:rsidRPr="009D3D35">
              <w:rPr>
                <w:bCs/>
                <w:sz w:val="18"/>
                <w:szCs w:val="18"/>
              </w:rPr>
              <w:t>6,549</w:t>
            </w:r>
          </w:p>
        </w:tc>
      </w:tr>
      <w:tr w:rsidR="00224102" w:rsidRPr="00604C75" w14:paraId="04686286" w14:textId="77777777" w:rsidTr="00196A0E">
        <w:trPr>
          <w:trHeight w:val="240"/>
        </w:trPr>
        <w:tc>
          <w:tcPr>
            <w:tcW w:w="2280" w:type="dxa"/>
            <w:shd w:val="clear" w:color="auto" w:fill="auto"/>
            <w:noWrap/>
            <w:vAlign w:val="bottom"/>
            <w:hideMark/>
          </w:tcPr>
          <w:p w14:paraId="7F0F651A" w14:textId="77777777" w:rsidR="00224102" w:rsidRPr="00604C75" w:rsidRDefault="00224102" w:rsidP="00224102">
            <w:pPr>
              <w:rPr>
                <w:noProof/>
                <w:sz w:val="18"/>
                <w:szCs w:val="18"/>
              </w:rPr>
            </w:pPr>
            <w:r w:rsidRPr="00604C75">
              <w:rPr>
                <w:sz w:val="18"/>
                <w:szCs w:val="18"/>
              </w:rPr>
              <w:t>Deposit with 7 days notification</w:t>
            </w:r>
          </w:p>
        </w:tc>
        <w:tc>
          <w:tcPr>
            <w:tcW w:w="906" w:type="dxa"/>
            <w:shd w:val="clear" w:color="auto" w:fill="auto"/>
            <w:noWrap/>
            <w:vAlign w:val="bottom"/>
          </w:tcPr>
          <w:p w14:paraId="0CA68604" w14:textId="1E788761"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6B700CC2" w14:textId="23E29663" w:rsidR="00224102" w:rsidRPr="009D3D35" w:rsidRDefault="00224102" w:rsidP="00224102">
            <w:pPr>
              <w:jc w:val="right"/>
              <w:rPr>
                <w:sz w:val="18"/>
                <w:szCs w:val="18"/>
              </w:rPr>
            </w:pPr>
            <w:r w:rsidRPr="009D3D35">
              <w:rPr>
                <w:sz w:val="18"/>
                <w:szCs w:val="18"/>
              </w:rPr>
              <w:t>-</w:t>
            </w:r>
          </w:p>
        </w:tc>
        <w:tc>
          <w:tcPr>
            <w:tcW w:w="845" w:type="dxa"/>
            <w:shd w:val="clear" w:color="auto" w:fill="auto"/>
            <w:noWrap/>
            <w:vAlign w:val="bottom"/>
          </w:tcPr>
          <w:p w14:paraId="44A66F5A" w14:textId="6A6AC819" w:rsidR="00224102" w:rsidRPr="009D3D35" w:rsidRDefault="00224102" w:rsidP="00224102">
            <w:pPr>
              <w:jc w:val="right"/>
              <w:rPr>
                <w:sz w:val="18"/>
                <w:szCs w:val="18"/>
              </w:rPr>
            </w:pPr>
            <w:r w:rsidRPr="009D3D35">
              <w:rPr>
                <w:sz w:val="18"/>
                <w:szCs w:val="18"/>
              </w:rPr>
              <w:t>-</w:t>
            </w:r>
          </w:p>
        </w:tc>
        <w:tc>
          <w:tcPr>
            <w:tcW w:w="851" w:type="dxa"/>
            <w:shd w:val="clear" w:color="auto" w:fill="auto"/>
            <w:noWrap/>
            <w:vAlign w:val="bottom"/>
          </w:tcPr>
          <w:p w14:paraId="400AB9B8" w14:textId="07E96E7D" w:rsidR="00224102" w:rsidRPr="009D3D35" w:rsidRDefault="00224102" w:rsidP="00224102">
            <w:pPr>
              <w:jc w:val="right"/>
              <w:rPr>
                <w:sz w:val="18"/>
                <w:szCs w:val="18"/>
              </w:rPr>
            </w:pPr>
            <w:r w:rsidRPr="009D3D35">
              <w:rPr>
                <w:sz w:val="18"/>
                <w:szCs w:val="18"/>
              </w:rPr>
              <w:t>-</w:t>
            </w:r>
          </w:p>
        </w:tc>
        <w:tc>
          <w:tcPr>
            <w:tcW w:w="751" w:type="dxa"/>
            <w:shd w:val="clear" w:color="auto" w:fill="auto"/>
            <w:noWrap/>
            <w:vAlign w:val="bottom"/>
          </w:tcPr>
          <w:p w14:paraId="7683A281" w14:textId="3EC72600" w:rsidR="00224102" w:rsidRPr="009D3D35" w:rsidRDefault="00224102" w:rsidP="00224102">
            <w:pPr>
              <w:jc w:val="right"/>
              <w:rPr>
                <w:sz w:val="18"/>
                <w:szCs w:val="18"/>
              </w:rPr>
            </w:pPr>
            <w:r w:rsidRPr="009D3D35">
              <w:rPr>
                <w:sz w:val="18"/>
                <w:szCs w:val="18"/>
              </w:rPr>
              <w:t>-</w:t>
            </w:r>
          </w:p>
        </w:tc>
        <w:tc>
          <w:tcPr>
            <w:tcW w:w="890" w:type="dxa"/>
            <w:shd w:val="clear" w:color="auto" w:fill="auto"/>
            <w:noWrap/>
            <w:vAlign w:val="bottom"/>
          </w:tcPr>
          <w:p w14:paraId="32FE26D3" w14:textId="7FE39285" w:rsidR="00224102" w:rsidRPr="009D3D35" w:rsidRDefault="00224102" w:rsidP="00224102">
            <w:pPr>
              <w:jc w:val="right"/>
              <w:rPr>
                <w:sz w:val="18"/>
                <w:szCs w:val="18"/>
              </w:rPr>
            </w:pPr>
            <w:r w:rsidRPr="009D3D35">
              <w:rPr>
                <w:sz w:val="18"/>
                <w:szCs w:val="18"/>
              </w:rPr>
              <w:t>-</w:t>
            </w:r>
          </w:p>
        </w:tc>
        <w:tc>
          <w:tcPr>
            <w:tcW w:w="1386" w:type="dxa"/>
            <w:shd w:val="clear" w:color="auto" w:fill="auto"/>
            <w:noWrap/>
            <w:vAlign w:val="bottom"/>
          </w:tcPr>
          <w:p w14:paraId="5B243F26" w14:textId="32226C3D"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18976E1F" w14:textId="10168876" w:rsidR="00224102" w:rsidRPr="009D3D35" w:rsidRDefault="00224102" w:rsidP="00224102">
            <w:pPr>
              <w:jc w:val="right"/>
              <w:rPr>
                <w:bCs/>
                <w:sz w:val="18"/>
                <w:szCs w:val="18"/>
              </w:rPr>
            </w:pPr>
            <w:r w:rsidRPr="009D3D35">
              <w:rPr>
                <w:bCs/>
                <w:sz w:val="18"/>
                <w:szCs w:val="18"/>
              </w:rPr>
              <w:t>-</w:t>
            </w:r>
          </w:p>
        </w:tc>
      </w:tr>
      <w:tr w:rsidR="00224102" w:rsidRPr="00604C75" w14:paraId="039955AA" w14:textId="77777777" w:rsidTr="00196A0E">
        <w:trPr>
          <w:trHeight w:val="240"/>
        </w:trPr>
        <w:tc>
          <w:tcPr>
            <w:tcW w:w="2280" w:type="dxa"/>
            <w:shd w:val="clear" w:color="auto" w:fill="auto"/>
            <w:noWrap/>
            <w:vAlign w:val="bottom"/>
            <w:hideMark/>
          </w:tcPr>
          <w:p w14:paraId="33985831" w14:textId="77777777" w:rsidR="00224102" w:rsidRPr="00604C75" w:rsidRDefault="00224102" w:rsidP="00224102">
            <w:pPr>
              <w:rPr>
                <w:noProof/>
                <w:sz w:val="18"/>
                <w:szCs w:val="18"/>
              </w:rPr>
            </w:pPr>
            <w:r w:rsidRPr="00604C75">
              <w:rPr>
                <w:noProof/>
                <w:sz w:val="18"/>
                <w:szCs w:val="18"/>
              </w:rPr>
              <w:t>Precious Metal Deposits</w:t>
            </w:r>
          </w:p>
        </w:tc>
        <w:tc>
          <w:tcPr>
            <w:tcW w:w="906" w:type="dxa"/>
            <w:shd w:val="clear" w:color="auto" w:fill="auto"/>
            <w:noWrap/>
            <w:vAlign w:val="bottom"/>
          </w:tcPr>
          <w:p w14:paraId="767C1B67" w14:textId="3394A5F8" w:rsidR="00224102" w:rsidRPr="009D3D35" w:rsidRDefault="00224102" w:rsidP="00224102">
            <w:pPr>
              <w:jc w:val="right"/>
              <w:rPr>
                <w:sz w:val="18"/>
                <w:szCs w:val="18"/>
              </w:rPr>
            </w:pPr>
            <w:r w:rsidRPr="009D3D35">
              <w:rPr>
                <w:sz w:val="18"/>
                <w:szCs w:val="18"/>
              </w:rPr>
              <w:t>-</w:t>
            </w:r>
          </w:p>
        </w:tc>
        <w:tc>
          <w:tcPr>
            <w:tcW w:w="807" w:type="dxa"/>
            <w:shd w:val="clear" w:color="auto" w:fill="auto"/>
            <w:noWrap/>
            <w:vAlign w:val="bottom"/>
          </w:tcPr>
          <w:p w14:paraId="123422D3" w14:textId="40E14BAB" w:rsidR="00224102" w:rsidRPr="009D3D35" w:rsidRDefault="00224102" w:rsidP="00224102">
            <w:pPr>
              <w:jc w:val="right"/>
              <w:rPr>
                <w:sz w:val="18"/>
                <w:szCs w:val="18"/>
              </w:rPr>
            </w:pPr>
            <w:r w:rsidRPr="009D3D35">
              <w:rPr>
                <w:sz w:val="18"/>
                <w:szCs w:val="18"/>
              </w:rPr>
              <w:t>-</w:t>
            </w:r>
          </w:p>
        </w:tc>
        <w:tc>
          <w:tcPr>
            <w:tcW w:w="845" w:type="dxa"/>
            <w:shd w:val="clear" w:color="auto" w:fill="auto"/>
            <w:noWrap/>
            <w:vAlign w:val="bottom"/>
          </w:tcPr>
          <w:p w14:paraId="7528BB69" w14:textId="6A083428" w:rsidR="00224102" w:rsidRPr="009D3D35" w:rsidRDefault="00224102" w:rsidP="00224102">
            <w:pPr>
              <w:jc w:val="right"/>
              <w:rPr>
                <w:sz w:val="18"/>
                <w:szCs w:val="18"/>
              </w:rPr>
            </w:pPr>
            <w:r w:rsidRPr="009D3D35">
              <w:rPr>
                <w:sz w:val="18"/>
                <w:szCs w:val="18"/>
              </w:rPr>
              <w:t>-</w:t>
            </w:r>
          </w:p>
        </w:tc>
        <w:tc>
          <w:tcPr>
            <w:tcW w:w="851" w:type="dxa"/>
            <w:shd w:val="clear" w:color="auto" w:fill="auto"/>
            <w:noWrap/>
            <w:vAlign w:val="bottom"/>
          </w:tcPr>
          <w:p w14:paraId="36AAA547" w14:textId="5998C602" w:rsidR="00224102" w:rsidRPr="009D3D35" w:rsidRDefault="00224102" w:rsidP="00224102">
            <w:pPr>
              <w:jc w:val="right"/>
              <w:rPr>
                <w:sz w:val="18"/>
                <w:szCs w:val="18"/>
              </w:rPr>
            </w:pPr>
            <w:r w:rsidRPr="009D3D35">
              <w:rPr>
                <w:sz w:val="18"/>
                <w:szCs w:val="18"/>
              </w:rPr>
              <w:t>-</w:t>
            </w:r>
          </w:p>
        </w:tc>
        <w:tc>
          <w:tcPr>
            <w:tcW w:w="751" w:type="dxa"/>
            <w:shd w:val="clear" w:color="auto" w:fill="auto"/>
            <w:noWrap/>
            <w:vAlign w:val="bottom"/>
          </w:tcPr>
          <w:p w14:paraId="4B9371A1" w14:textId="41020116" w:rsidR="00224102" w:rsidRPr="009D3D35" w:rsidRDefault="00224102" w:rsidP="00224102">
            <w:pPr>
              <w:jc w:val="right"/>
              <w:rPr>
                <w:sz w:val="18"/>
                <w:szCs w:val="18"/>
              </w:rPr>
            </w:pPr>
            <w:r w:rsidRPr="009D3D35">
              <w:rPr>
                <w:sz w:val="18"/>
                <w:szCs w:val="18"/>
              </w:rPr>
              <w:t>-</w:t>
            </w:r>
          </w:p>
        </w:tc>
        <w:tc>
          <w:tcPr>
            <w:tcW w:w="890" w:type="dxa"/>
            <w:shd w:val="clear" w:color="auto" w:fill="auto"/>
            <w:noWrap/>
            <w:vAlign w:val="bottom"/>
          </w:tcPr>
          <w:p w14:paraId="727B0959" w14:textId="1BA3E25C" w:rsidR="00224102" w:rsidRPr="009D3D35" w:rsidRDefault="00224102" w:rsidP="00224102">
            <w:pPr>
              <w:jc w:val="right"/>
              <w:rPr>
                <w:sz w:val="18"/>
                <w:szCs w:val="18"/>
              </w:rPr>
            </w:pPr>
            <w:r w:rsidRPr="009D3D35">
              <w:rPr>
                <w:sz w:val="18"/>
                <w:szCs w:val="18"/>
              </w:rPr>
              <w:t>-</w:t>
            </w:r>
          </w:p>
        </w:tc>
        <w:tc>
          <w:tcPr>
            <w:tcW w:w="1386" w:type="dxa"/>
            <w:shd w:val="clear" w:color="auto" w:fill="auto"/>
            <w:noWrap/>
            <w:vAlign w:val="bottom"/>
          </w:tcPr>
          <w:p w14:paraId="75228FB1" w14:textId="36575234" w:rsidR="00224102" w:rsidRPr="009D3D35" w:rsidRDefault="00224102" w:rsidP="00224102">
            <w:pPr>
              <w:jc w:val="right"/>
              <w:rPr>
                <w:sz w:val="18"/>
                <w:szCs w:val="18"/>
              </w:rPr>
            </w:pPr>
            <w:r w:rsidRPr="009D3D35">
              <w:rPr>
                <w:sz w:val="18"/>
                <w:szCs w:val="18"/>
              </w:rPr>
              <w:t>-</w:t>
            </w:r>
          </w:p>
        </w:tc>
        <w:tc>
          <w:tcPr>
            <w:tcW w:w="1050" w:type="dxa"/>
            <w:shd w:val="clear" w:color="auto" w:fill="auto"/>
            <w:noWrap/>
            <w:vAlign w:val="bottom"/>
          </w:tcPr>
          <w:p w14:paraId="49EF7CF3" w14:textId="51C9513A" w:rsidR="00224102" w:rsidRPr="009D3D35" w:rsidRDefault="00224102" w:rsidP="00224102">
            <w:pPr>
              <w:jc w:val="right"/>
              <w:rPr>
                <w:bCs/>
                <w:sz w:val="18"/>
                <w:szCs w:val="18"/>
              </w:rPr>
            </w:pPr>
            <w:r w:rsidRPr="009D3D35">
              <w:rPr>
                <w:bCs/>
                <w:sz w:val="18"/>
                <w:szCs w:val="18"/>
              </w:rPr>
              <w:t>-</w:t>
            </w:r>
          </w:p>
        </w:tc>
      </w:tr>
      <w:tr w:rsidR="00224102" w:rsidRPr="00604C75" w14:paraId="36395B99" w14:textId="77777777" w:rsidTr="00196A0E">
        <w:trPr>
          <w:trHeight w:val="240"/>
        </w:trPr>
        <w:tc>
          <w:tcPr>
            <w:tcW w:w="2280" w:type="dxa"/>
            <w:shd w:val="clear" w:color="auto" w:fill="auto"/>
            <w:noWrap/>
            <w:vAlign w:val="bottom"/>
            <w:hideMark/>
          </w:tcPr>
          <w:p w14:paraId="2C781700" w14:textId="77777777" w:rsidR="00224102" w:rsidRPr="00604C75" w:rsidRDefault="00224102" w:rsidP="00224102">
            <w:pPr>
              <w:rPr>
                <w:b/>
                <w:noProof/>
                <w:sz w:val="18"/>
                <w:szCs w:val="18"/>
              </w:rPr>
            </w:pPr>
            <w:r w:rsidRPr="00604C75">
              <w:rPr>
                <w:b/>
                <w:noProof/>
                <w:sz w:val="18"/>
                <w:szCs w:val="18"/>
              </w:rPr>
              <w:t>Total</w:t>
            </w:r>
          </w:p>
        </w:tc>
        <w:tc>
          <w:tcPr>
            <w:tcW w:w="906" w:type="dxa"/>
            <w:shd w:val="clear" w:color="auto" w:fill="auto"/>
            <w:noWrap/>
            <w:vAlign w:val="bottom"/>
          </w:tcPr>
          <w:p w14:paraId="16173657" w14:textId="6B56B793" w:rsidR="00224102" w:rsidRDefault="00224102" w:rsidP="00224102">
            <w:pPr>
              <w:jc w:val="right"/>
              <w:rPr>
                <w:b/>
                <w:bCs/>
                <w:sz w:val="18"/>
                <w:szCs w:val="18"/>
              </w:rPr>
            </w:pPr>
            <w:r>
              <w:rPr>
                <w:b/>
                <w:bCs/>
                <w:sz w:val="18"/>
                <w:szCs w:val="18"/>
              </w:rPr>
              <w:t>-</w:t>
            </w:r>
          </w:p>
        </w:tc>
        <w:tc>
          <w:tcPr>
            <w:tcW w:w="807" w:type="dxa"/>
            <w:shd w:val="clear" w:color="auto" w:fill="auto"/>
            <w:noWrap/>
            <w:vAlign w:val="bottom"/>
          </w:tcPr>
          <w:p w14:paraId="138C6B32" w14:textId="7A837AD1" w:rsidR="00224102" w:rsidRDefault="00224102" w:rsidP="00224102">
            <w:pPr>
              <w:jc w:val="right"/>
              <w:rPr>
                <w:b/>
                <w:bCs/>
                <w:sz w:val="18"/>
                <w:szCs w:val="18"/>
              </w:rPr>
            </w:pPr>
            <w:r>
              <w:rPr>
                <w:b/>
                <w:bCs/>
                <w:sz w:val="18"/>
                <w:szCs w:val="18"/>
              </w:rPr>
              <w:t>9,409</w:t>
            </w:r>
          </w:p>
        </w:tc>
        <w:tc>
          <w:tcPr>
            <w:tcW w:w="845" w:type="dxa"/>
            <w:shd w:val="clear" w:color="auto" w:fill="auto"/>
            <w:noWrap/>
            <w:vAlign w:val="bottom"/>
          </w:tcPr>
          <w:p w14:paraId="0CF90A80" w14:textId="56A457BC" w:rsidR="00224102" w:rsidRDefault="00224102" w:rsidP="00224102">
            <w:pPr>
              <w:jc w:val="right"/>
              <w:rPr>
                <w:b/>
                <w:bCs/>
                <w:sz w:val="18"/>
                <w:szCs w:val="18"/>
              </w:rPr>
            </w:pPr>
            <w:r>
              <w:rPr>
                <w:b/>
                <w:bCs/>
                <w:sz w:val="18"/>
                <w:szCs w:val="18"/>
              </w:rPr>
              <w:t>43,190</w:t>
            </w:r>
          </w:p>
        </w:tc>
        <w:tc>
          <w:tcPr>
            <w:tcW w:w="851" w:type="dxa"/>
            <w:shd w:val="clear" w:color="auto" w:fill="auto"/>
            <w:noWrap/>
            <w:vAlign w:val="bottom"/>
          </w:tcPr>
          <w:p w14:paraId="49147FDB" w14:textId="551AA222" w:rsidR="00224102" w:rsidRDefault="00224102" w:rsidP="00224102">
            <w:pPr>
              <w:jc w:val="right"/>
              <w:rPr>
                <w:b/>
                <w:bCs/>
                <w:sz w:val="18"/>
                <w:szCs w:val="18"/>
              </w:rPr>
            </w:pPr>
            <w:r>
              <w:rPr>
                <w:b/>
                <w:bCs/>
                <w:sz w:val="18"/>
                <w:szCs w:val="18"/>
              </w:rPr>
              <w:t>660</w:t>
            </w:r>
          </w:p>
        </w:tc>
        <w:tc>
          <w:tcPr>
            <w:tcW w:w="751" w:type="dxa"/>
            <w:shd w:val="clear" w:color="auto" w:fill="auto"/>
            <w:noWrap/>
            <w:vAlign w:val="bottom"/>
          </w:tcPr>
          <w:p w14:paraId="3279C69B" w14:textId="77BCDACB" w:rsidR="00224102" w:rsidRDefault="00224102" w:rsidP="00224102">
            <w:pPr>
              <w:jc w:val="right"/>
              <w:rPr>
                <w:b/>
                <w:bCs/>
                <w:sz w:val="18"/>
                <w:szCs w:val="18"/>
              </w:rPr>
            </w:pPr>
            <w:r>
              <w:rPr>
                <w:b/>
                <w:bCs/>
                <w:sz w:val="18"/>
                <w:szCs w:val="18"/>
              </w:rPr>
              <w:t>486</w:t>
            </w:r>
          </w:p>
        </w:tc>
        <w:tc>
          <w:tcPr>
            <w:tcW w:w="890" w:type="dxa"/>
            <w:shd w:val="clear" w:color="auto" w:fill="auto"/>
            <w:noWrap/>
            <w:vAlign w:val="bottom"/>
          </w:tcPr>
          <w:p w14:paraId="04C4FE2E" w14:textId="7F6BE38B" w:rsidR="00224102" w:rsidRDefault="00224102" w:rsidP="00224102">
            <w:pPr>
              <w:jc w:val="right"/>
              <w:rPr>
                <w:b/>
                <w:bCs/>
                <w:sz w:val="18"/>
                <w:szCs w:val="18"/>
              </w:rPr>
            </w:pPr>
            <w:r>
              <w:rPr>
                <w:b/>
                <w:bCs/>
                <w:sz w:val="18"/>
                <w:szCs w:val="18"/>
              </w:rPr>
              <w:t>396</w:t>
            </w:r>
          </w:p>
        </w:tc>
        <w:tc>
          <w:tcPr>
            <w:tcW w:w="1386" w:type="dxa"/>
            <w:shd w:val="clear" w:color="auto" w:fill="auto"/>
            <w:noWrap/>
            <w:vAlign w:val="bottom"/>
          </w:tcPr>
          <w:p w14:paraId="1457E455" w14:textId="0875A38A" w:rsidR="00224102" w:rsidRDefault="00224102" w:rsidP="00224102">
            <w:pPr>
              <w:jc w:val="right"/>
              <w:rPr>
                <w:b/>
                <w:bCs/>
                <w:sz w:val="18"/>
                <w:szCs w:val="18"/>
              </w:rPr>
            </w:pPr>
            <w:r>
              <w:rPr>
                <w:b/>
                <w:bCs/>
                <w:sz w:val="18"/>
                <w:szCs w:val="18"/>
              </w:rPr>
              <w:t>-</w:t>
            </w:r>
          </w:p>
        </w:tc>
        <w:tc>
          <w:tcPr>
            <w:tcW w:w="1050" w:type="dxa"/>
            <w:shd w:val="clear" w:color="auto" w:fill="auto"/>
            <w:noWrap/>
            <w:vAlign w:val="bottom"/>
          </w:tcPr>
          <w:p w14:paraId="0ADF5E82" w14:textId="0378A034" w:rsidR="00224102" w:rsidRDefault="00224102" w:rsidP="00224102">
            <w:pPr>
              <w:jc w:val="right"/>
              <w:rPr>
                <w:b/>
                <w:bCs/>
                <w:sz w:val="18"/>
                <w:szCs w:val="18"/>
              </w:rPr>
            </w:pPr>
            <w:r>
              <w:rPr>
                <w:b/>
                <w:bCs/>
                <w:sz w:val="18"/>
                <w:szCs w:val="18"/>
              </w:rPr>
              <w:t>54,141</w:t>
            </w:r>
          </w:p>
        </w:tc>
      </w:tr>
      <w:tr w:rsidR="00224102" w:rsidRPr="00604C75" w14:paraId="162E316F" w14:textId="77777777" w:rsidTr="00196A0E">
        <w:trPr>
          <w:trHeight w:val="240"/>
        </w:trPr>
        <w:tc>
          <w:tcPr>
            <w:tcW w:w="2280" w:type="dxa"/>
            <w:shd w:val="clear" w:color="auto" w:fill="auto"/>
            <w:noWrap/>
            <w:vAlign w:val="bottom"/>
            <w:hideMark/>
          </w:tcPr>
          <w:p w14:paraId="517BC32A" w14:textId="77777777" w:rsidR="00224102" w:rsidRPr="00604C75" w:rsidRDefault="00224102" w:rsidP="00224102">
            <w:pPr>
              <w:rPr>
                <w:b/>
                <w:noProof/>
                <w:sz w:val="18"/>
                <w:szCs w:val="18"/>
              </w:rPr>
            </w:pPr>
            <w:r w:rsidRPr="00604C75">
              <w:rPr>
                <w:b/>
                <w:noProof/>
                <w:sz w:val="18"/>
                <w:szCs w:val="18"/>
              </w:rPr>
              <w:t>Grand Total</w:t>
            </w:r>
          </w:p>
        </w:tc>
        <w:tc>
          <w:tcPr>
            <w:tcW w:w="906" w:type="dxa"/>
            <w:shd w:val="clear" w:color="auto" w:fill="auto"/>
            <w:noWrap/>
            <w:vAlign w:val="bottom"/>
          </w:tcPr>
          <w:p w14:paraId="13FB0025" w14:textId="24E82462" w:rsidR="00224102" w:rsidRDefault="00224102" w:rsidP="00224102">
            <w:pPr>
              <w:jc w:val="right"/>
              <w:rPr>
                <w:b/>
                <w:bCs/>
                <w:sz w:val="18"/>
                <w:szCs w:val="18"/>
              </w:rPr>
            </w:pPr>
            <w:r>
              <w:rPr>
                <w:b/>
                <w:bCs/>
                <w:sz w:val="18"/>
                <w:szCs w:val="18"/>
              </w:rPr>
              <w:t>-</w:t>
            </w:r>
          </w:p>
        </w:tc>
        <w:tc>
          <w:tcPr>
            <w:tcW w:w="807" w:type="dxa"/>
            <w:shd w:val="clear" w:color="auto" w:fill="auto"/>
            <w:noWrap/>
            <w:vAlign w:val="bottom"/>
          </w:tcPr>
          <w:p w14:paraId="1F4155C6" w14:textId="3E64A23D" w:rsidR="00224102" w:rsidRDefault="00224102" w:rsidP="00224102">
            <w:pPr>
              <w:jc w:val="right"/>
              <w:rPr>
                <w:b/>
                <w:bCs/>
                <w:sz w:val="18"/>
                <w:szCs w:val="18"/>
              </w:rPr>
            </w:pPr>
            <w:r>
              <w:rPr>
                <w:b/>
                <w:bCs/>
                <w:sz w:val="18"/>
                <w:szCs w:val="18"/>
              </w:rPr>
              <w:t>55,690</w:t>
            </w:r>
          </w:p>
        </w:tc>
        <w:tc>
          <w:tcPr>
            <w:tcW w:w="845" w:type="dxa"/>
            <w:shd w:val="clear" w:color="auto" w:fill="auto"/>
            <w:noWrap/>
            <w:vAlign w:val="bottom"/>
          </w:tcPr>
          <w:p w14:paraId="2884479A" w14:textId="5BF98E11" w:rsidR="00224102" w:rsidRDefault="00224102" w:rsidP="00224102">
            <w:pPr>
              <w:jc w:val="right"/>
              <w:rPr>
                <w:b/>
                <w:bCs/>
                <w:sz w:val="18"/>
                <w:szCs w:val="18"/>
              </w:rPr>
            </w:pPr>
            <w:r>
              <w:rPr>
                <w:b/>
                <w:bCs/>
                <w:sz w:val="18"/>
                <w:szCs w:val="18"/>
              </w:rPr>
              <w:t>341,565</w:t>
            </w:r>
          </w:p>
        </w:tc>
        <w:tc>
          <w:tcPr>
            <w:tcW w:w="851" w:type="dxa"/>
            <w:shd w:val="clear" w:color="auto" w:fill="auto"/>
            <w:noWrap/>
            <w:vAlign w:val="bottom"/>
          </w:tcPr>
          <w:p w14:paraId="75BB9B09" w14:textId="233ECCB5" w:rsidR="00224102" w:rsidRDefault="00224102" w:rsidP="00224102">
            <w:pPr>
              <w:jc w:val="right"/>
              <w:rPr>
                <w:b/>
                <w:bCs/>
                <w:sz w:val="18"/>
                <w:szCs w:val="18"/>
              </w:rPr>
            </w:pPr>
            <w:r>
              <w:rPr>
                <w:b/>
                <w:bCs/>
                <w:sz w:val="18"/>
                <w:szCs w:val="18"/>
              </w:rPr>
              <w:t>10,801</w:t>
            </w:r>
          </w:p>
        </w:tc>
        <w:tc>
          <w:tcPr>
            <w:tcW w:w="751" w:type="dxa"/>
            <w:shd w:val="clear" w:color="auto" w:fill="auto"/>
            <w:noWrap/>
            <w:vAlign w:val="bottom"/>
          </w:tcPr>
          <w:p w14:paraId="39379C09" w14:textId="231F0A30" w:rsidR="00224102" w:rsidRDefault="00224102" w:rsidP="00224102">
            <w:pPr>
              <w:jc w:val="right"/>
              <w:rPr>
                <w:b/>
                <w:bCs/>
                <w:sz w:val="18"/>
                <w:szCs w:val="18"/>
              </w:rPr>
            </w:pPr>
            <w:r>
              <w:rPr>
                <w:b/>
                <w:bCs/>
                <w:sz w:val="18"/>
                <w:szCs w:val="18"/>
              </w:rPr>
              <w:t>4,734</w:t>
            </w:r>
          </w:p>
        </w:tc>
        <w:tc>
          <w:tcPr>
            <w:tcW w:w="890" w:type="dxa"/>
            <w:shd w:val="clear" w:color="auto" w:fill="auto"/>
            <w:noWrap/>
            <w:vAlign w:val="bottom"/>
          </w:tcPr>
          <w:p w14:paraId="2569D12D" w14:textId="5C04EE05" w:rsidR="00224102" w:rsidRDefault="00224102" w:rsidP="00224102">
            <w:pPr>
              <w:jc w:val="right"/>
              <w:rPr>
                <w:b/>
                <w:bCs/>
                <w:sz w:val="18"/>
                <w:szCs w:val="18"/>
              </w:rPr>
            </w:pPr>
            <w:r>
              <w:rPr>
                <w:b/>
                <w:bCs/>
                <w:sz w:val="18"/>
                <w:szCs w:val="18"/>
              </w:rPr>
              <w:t>3,683</w:t>
            </w:r>
          </w:p>
        </w:tc>
        <w:tc>
          <w:tcPr>
            <w:tcW w:w="1386" w:type="dxa"/>
            <w:shd w:val="clear" w:color="auto" w:fill="auto"/>
            <w:noWrap/>
            <w:vAlign w:val="bottom"/>
          </w:tcPr>
          <w:p w14:paraId="678A5EE5" w14:textId="6A8C6440" w:rsidR="00224102" w:rsidRDefault="00224102" w:rsidP="00224102">
            <w:pPr>
              <w:jc w:val="right"/>
              <w:rPr>
                <w:b/>
                <w:bCs/>
                <w:sz w:val="18"/>
                <w:szCs w:val="18"/>
              </w:rPr>
            </w:pPr>
            <w:r>
              <w:rPr>
                <w:b/>
                <w:bCs/>
                <w:sz w:val="18"/>
                <w:szCs w:val="18"/>
              </w:rPr>
              <w:t>3</w:t>
            </w:r>
          </w:p>
        </w:tc>
        <w:tc>
          <w:tcPr>
            <w:tcW w:w="1050" w:type="dxa"/>
            <w:shd w:val="clear" w:color="auto" w:fill="auto"/>
            <w:noWrap/>
            <w:vAlign w:val="bottom"/>
          </w:tcPr>
          <w:p w14:paraId="42677632" w14:textId="35BD5EF8" w:rsidR="00224102" w:rsidRDefault="00224102" w:rsidP="00224102">
            <w:pPr>
              <w:jc w:val="right"/>
              <w:rPr>
                <w:b/>
                <w:bCs/>
                <w:sz w:val="18"/>
                <w:szCs w:val="18"/>
              </w:rPr>
            </w:pPr>
            <w:r>
              <w:rPr>
                <w:b/>
                <w:bCs/>
                <w:sz w:val="18"/>
                <w:szCs w:val="18"/>
              </w:rPr>
              <w:t>416,476</w:t>
            </w:r>
          </w:p>
        </w:tc>
      </w:tr>
    </w:tbl>
    <w:p w14:paraId="052B3DEE" w14:textId="77777777" w:rsidR="0044575F" w:rsidRPr="00604C75" w:rsidRDefault="0044575F" w:rsidP="00AD726D">
      <w:pPr>
        <w:pStyle w:val="BodyTextIndent"/>
        <w:tabs>
          <w:tab w:val="left" w:pos="426"/>
        </w:tabs>
        <w:spacing w:before="120" w:after="0"/>
        <w:rPr>
          <w:noProof/>
          <w:sz w:val="20"/>
          <w:szCs w:val="20"/>
          <w:lang w:val="tr-TR"/>
        </w:rPr>
      </w:pPr>
    </w:p>
    <w:p w14:paraId="66F37554" w14:textId="77777777" w:rsidR="0044575F" w:rsidRPr="00604C75" w:rsidRDefault="0044575F" w:rsidP="00C22AF8">
      <w:pPr>
        <w:pStyle w:val="BodyTextIndent"/>
        <w:spacing w:after="0"/>
        <w:ind w:left="1276" w:right="360" w:firstLine="11"/>
        <w:rPr>
          <w:b/>
          <w:noProof/>
          <w:sz w:val="16"/>
          <w:szCs w:val="16"/>
          <w:lang w:val="tr-TR"/>
        </w:rPr>
      </w:pPr>
    </w:p>
    <w:p w14:paraId="24E8F541" w14:textId="50BCE812" w:rsidR="0062181F"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0B1CBEA4" w14:textId="714A6351" w:rsidR="00935ABF" w:rsidRPr="00604C75" w:rsidRDefault="00935ABF" w:rsidP="00490153">
      <w:pPr>
        <w:tabs>
          <w:tab w:val="left" w:pos="770"/>
        </w:tabs>
        <w:spacing w:before="120"/>
        <w:jc w:val="both"/>
        <w:rPr>
          <w:b/>
          <w:noProof/>
          <w:sz w:val="20"/>
          <w:szCs w:val="20"/>
        </w:rPr>
      </w:pPr>
      <w:r w:rsidRPr="00604C75">
        <w:rPr>
          <w:b/>
          <w:noProof/>
          <w:sz w:val="20"/>
          <w:szCs w:val="20"/>
        </w:rPr>
        <w:t xml:space="preserve">IV.  </w:t>
      </w:r>
      <w:r w:rsidR="00306CC4" w:rsidRPr="00604C75">
        <w:rPr>
          <w:b/>
          <w:noProof/>
          <w:sz w:val="20"/>
          <w:szCs w:val="20"/>
        </w:rPr>
        <w:t xml:space="preserve"> </w:t>
      </w:r>
      <w:r w:rsidR="00647320" w:rsidRPr="00604C75">
        <w:rPr>
          <w:b/>
          <w:noProof/>
          <w:sz w:val="20"/>
          <w:szCs w:val="20"/>
        </w:rPr>
        <w:t xml:space="preserve">Explanations and Notes </w:t>
      </w:r>
      <w:r w:rsidR="00647320">
        <w:rPr>
          <w:b/>
          <w:noProof/>
          <w:sz w:val="20"/>
          <w:szCs w:val="20"/>
        </w:rPr>
        <w:t>on</w:t>
      </w:r>
      <w:r w:rsidR="00647320" w:rsidRPr="00604C75">
        <w:rPr>
          <w:b/>
          <w:noProof/>
          <w:sz w:val="20"/>
          <w:szCs w:val="20"/>
        </w:rPr>
        <w:t xml:space="preserve"> Income Statement</w:t>
      </w:r>
      <w:r w:rsidR="00647320" w:rsidRPr="00604C75">
        <w:rPr>
          <w:b/>
          <w:bCs/>
          <w:sz w:val="20"/>
          <w:szCs w:val="20"/>
        </w:rPr>
        <w:t xml:space="preserve"> </w:t>
      </w:r>
      <w:r w:rsidRPr="00604C75">
        <w:rPr>
          <w:b/>
          <w:bCs/>
          <w:sz w:val="20"/>
          <w:szCs w:val="20"/>
        </w:rPr>
        <w:t>(Continued)</w:t>
      </w:r>
    </w:p>
    <w:p w14:paraId="3528B62E" w14:textId="77777777" w:rsidR="001C2251" w:rsidRPr="00604C75" w:rsidRDefault="0044575F" w:rsidP="00490153">
      <w:pPr>
        <w:tabs>
          <w:tab w:val="left" w:pos="0"/>
          <w:tab w:val="left" w:pos="426"/>
        </w:tabs>
        <w:spacing w:before="120"/>
        <w:jc w:val="both"/>
        <w:rPr>
          <w:b/>
          <w:sz w:val="20"/>
          <w:szCs w:val="20"/>
        </w:rPr>
      </w:pPr>
      <w:r w:rsidRPr="00604C75">
        <w:rPr>
          <w:b/>
          <w:sz w:val="20"/>
          <w:szCs w:val="20"/>
        </w:rPr>
        <w:t>c.</w:t>
      </w:r>
      <w:r w:rsidR="001C2251" w:rsidRPr="00604C75">
        <w:rPr>
          <w:b/>
          <w:sz w:val="20"/>
          <w:szCs w:val="20"/>
        </w:rPr>
        <w:tab/>
      </w:r>
      <w:r w:rsidRPr="00604C75">
        <w:rPr>
          <w:b/>
          <w:sz w:val="20"/>
          <w:szCs w:val="20"/>
        </w:rPr>
        <w:t>Information on dividend income</w:t>
      </w:r>
    </w:p>
    <w:p w14:paraId="732A9229" w14:textId="461E2EE9" w:rsidR="00BF7CFB" w:rsidRPr="00604C75" w:rsidRDefault="00B1582E" w:rsidP="00490153">
      <w:pPr>
        <w:tabs>
          <w:tab w:val="left" w:pos="0"/>
        </w:tabs>
        <w:spacing w:before="120"/>
        <w:ind w:hanging="1276"/>
        <w:rPr>
          <w:b/>
          <w:sz w:val="20"/>
        </w:rPr>
      </w:pPr>
      <w:r w:rsidRPr="00604C75">
        <w:rPr>
          <w:b/>
          <w:noProof/>
          <w:sz w:val="20"/>
        </w:rPr>
        <w:t xml:space="preserve">            </w:t>
      </w:r>
      <w:r w:rsidR="00BF7CFB" w:rsidRPr="00604C75">
        <w:rPr>
          <w:b/>
          <w:noProof/>
          <w:sz w:val="20"/>
        </w:rPr>
        <w:t xml:space="preserve"> </w:t>
      </w:r>
      <w:r w:rsidR="00BF7CFB" w:rsidRPr="00604C75">
        <w:rPr>
          <w:b/>
          <w:sz w:val="20"/>
        </w:rPr>
        <w:t xml:space="preserve"> </w:t>
      </w:r>
      <w:r w:rsidR="00490153">
        <w:rPr>
          <w:b/>
          <w:sz w:val="20"/>
        </w:rPr>
        <w:tab/>
      </w:r>
      <w:r w:rsidR="00935ABF" w:rsidRPr="00F303D1">
        <w:rPr>
          <w:sz w:val="20"/>
        </w:rPr>
        <w:t xml:space="preserve">The </w:t>
      </w:r>
      <w:r w:rsidR="009C5C52" w:rsidRPr="00F303D1">
        <w:rPr>
          <w:sz w:val="20"/>
        </w:rPr>
        <w:t>G</w:t>
      </w:r>
      <w:r w:rsidR="00935ABF" w:rsidRPr="00F303D1">
        <w:rPr>
          <w:sz w:val="20"/>
        </w:rPr>
        <w:t>roup h</w:t>
      </w:r>
      <w:r w:rsidR="00A877A3" w:rsidRPr="00F303D1">
        <w:rPr>
          <w:sz w:val="20"/>
        </w:rPr>
        <w:t xml:space="preserve">as </w:t>
      </w:r>
      <w:r w:rsidR="00A877A3" w:rsidRPr="00195EDC">
        <w:rPr>
          <w:sz w:val="20"/>
        </w:rPr>
        <w:t>no dividend income</w:t>
      </w:r>
      <w:r w:rsidR="00A877A3" w:rsidRPr="00F303D1">
        <w:rPr>
          <w:sz w:val="20"/>
        </w:rPr>
        <w:t xml:space="preserve"> as of 3</w:t>
      </w:r>
      <w:r w:rsidR="00D50C79">
        <w:rPr>
          <w:sz w:val="20"/>
        </w:rPr>
        <w:t>1</w:t>
      </w:r>
      <w:r w:rsidR="00A877A3" w:rsidRPr="00F303D1">
        <w:rPr>
          <w:sz w:val="20"/>
        </w:rPr>
        <w:t xml:space="preserve"> </w:t>
      </w:r>
      <w:r w:rsidR="00D50C79">
        <w:rPr>
          <w:sz w:val="20"/>
        </w:rPr>
        <w:t>December</w:t>
      </w:r>
      <w:r w:rsidR="00D50C79" w:rsidRPr="00F303D1">
        <w:rPr>
          <w:sz w:val="20"/>
        </w:rPr>
        <w:t xml:space="preserve"> </w:t>
      </w:r>
      <w:r w:rsidR="00935ABF" w:rsidRPr="00F303D1">
        <w:rPr>
          <w:sz w:val="20"/>
        </w:rPr>
        <w:t>2015</w:t>
      </w:r>
      <w:r w:rsidR="00A877A3" w:rsidRPr="00F303D1">
        <w:rPr>
          <w:sz w:val="20"/>
        </w:rPr>
        <w:t xml:space="preserve"> (3</w:t>
      </w:r>
      <w:r w:rsidR="00D50C79">
        <w:rPr>
          <w:sz w:val="20"/>
        </w:rPr>
        <w:t>1</w:t>
      </w:r>
      <w:r w:rsidR="00A877A3" w:rsidRPr="00F303D1">
        <w:rPr>
          <w:sz w:val="20"/>
        </w:rPr>
        <w:t xml:space="preserve"> </w:t>
      </w:r>
      <w:r w:rsidR="00D50C79">
        <w:rPr>
          <w:sz w:val="20"/>
        </w:rPr>
        <w:t>December</w:t>
      </w:r>
      <w:r w:rsidR="00D50C79" w:rsidRPr="00F303D1">
        <w:rPr>
          <w:sz w:val="20"/>
        </w:rPr>
        <w:t xml:space="preserve"> </w:t>
      </w:r>
      <w:r w:rsidR="00C3255C" w:rsidRPr="00F303D1">
        <w:rPr>
          <w:sz w:val="20"/>
        </w:rPr>
        <w:t xml:space="preserve">2014: </w:t>
      </w:r>
      <w:r w:rsidR="008E33B5">
        <w:rPr>
          <w:sz w:val="20"/>
        </w:rPr>
        <w:t>TL 197</w:t>
      </w:r>
      <w:r w:rsidR="00935ABF" w:rsidRPr="00F303D1">
        <w:rPr>
          <w:sz w:val="20"/>
        </w:rPr>
        <w:t>).</w:t>
      </w:r>
    </w:p>
    <w:p w14:paraId="10B3E417" w14:textId="77777777" w:rsidR="0044575F" w:rsidRPr="00604C75" w:rsidRDefault="0044575F" w:rsidP="008477F3">
      <w:pPr>
        <w:pStyle w:val="ListParagraph"/>
        <w:numPr>
          <w:ilvl w:val="0"/>
          <w:numId w:val="24"/>
        </w:numPr>
        <w:tabs>
          <w:tab w:val="left" w:pos="0"/>
        </w:tabs>
        <w:spacing w:before="120"/>
        <w:ind w:left="426" w:hanging="426"/>
        <w:jc w:val="both"/>
        <w:rPr>
          <w:b/>
          <w:noProof/>
          <w:sz w:val="20"/>
          <w:szCs w:val="20"/>
        </w:rPr>
      </w:pPr>
      <w:r w:rsidRPr="00604C75">
        <w:rPr>
          <w:b/>
          <w:noProof/>
          <w:sz w:val="20"/>
          <w:szCs w:val="20"/>
        </w:rPr>
        <w:t xml:space="preserve">Information on trading </w:t>
      </w:r>
      <w:r w:rsidR="00E8325C" w:rsidRPr="00604C75">
        <w:rPr>
          <w:b/>
          <w:noProof/>
          <w:sz w:val="20"/>
          <w:szCs w:val="20"/>
        </w:rPr>
        <w:t>income/</w:t>
      </w:r>
      <w:r w:rsidRPr="00604C75">
        <w:rPr>
          <w:b/>
          <w:noProof/>
          <w:sz w:val="20"/>
          <w:szCs w:val="20"/>
        </w:rPr>
        <w:t>loss (Net)</w:t>
      </w:r>
    </w:p>
    <w:p w14:paraId="60420897" w14:textId="77777777" w:rsidR="0044575F" w:rsidRPr="00604C75" w:rsidRDefault="0044575F" w:rsidP="00935ABF">
      <w:pPr>
        <w:tabs>
          <w:tab w:val="left" w:pos="0"/>
          <w:tab w:val="left" w:pos="2915"/>
        </w:tabs>
        <w:ind w:hanging="1276"/>
        <w:jc w:val="both"/>
        <w:rPr>
          <w:noProof/>
          <w:sz w:val="20"/>
          <w:szCs w:val="20"/>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073"/>
        <w:gridCol w:w="2293"/>
        <w:gridCol w:w="2013"/>
      </w:tblGrid>
      <w:tr w:rsidR="006516C4" w:rsidRPr="00604C75" w14:paraId="789BB448" w14:textId="77777777" w:rsidTr="00CD0767">
        <w:trPr>
          <w:cantSplit/>
          <w:trHeight w:val="20"/>
        </w:trPr>
        <w:tc>
          <w:tcPr>
            <w:tcW w:w="5073" w:type="dxa"/>
            <w:vAlign w:val="bottom"/>
          </w:tcPr>
          <w:p w14:paraId="60507892" w14:textId="77777777" w:rsidR="006516C4" w:rsidRPr="00604C75" w:rsidRDefault="006516C4" w:rsidP="006516C4">
            <w:pPr>
              <w:pStyle w:val="Heading3"/>
              <w:tabs>
                <w:tab w:val="left" w:pos="0"/>
              </w:tabs>
              <w:ind w:left="0" w:hanging="1276"/>
              <w:rPr>
                <w:rFonts w:ascii="Times New Roman" w:hAnsi="Times New Roman"/>
                <w:bCs/>
                <w:sz w:val="20"/>
              </w:rPr>
            </w:pPr>
          </w:p>
        </w:tc>
        <w:tc>
          <w:tcPr>
            <w:tcW w:w="2293" w:type="dxa"/>
            <w:vAlign w:val="bottom"/>
          </w:tcPr>
          <w:p w14:paraId="0A2E7294" w14:textId="77777777" w:rsidR="006516C4" w:rsidRPr="00CD0767" w:rsidRDefault="006516C4" w:rsidP="00CD0767">
            <w:pPr>
              <w:tabs>
                <w:tab w:val="left" w:pos="0"/>
              </w:tabs>
              <w:ind w:right="56"/>
              <w:jc w:val="center"/>
              <w:rPr>
                <w:b/>
                <w:snapToGrid w:val="0"/>
                <w:sz w:val="18"/>
              </w:rPr>
            </w:pPr>
            <w:r>
              <w:rPr>
                <w:b/>
                <w:snapToGrid w:val="0"/>
                <w:sz w:val="18"/>
              </w:rPr>
              <w:t>31 December</w:t>
            </w:r>
            <w:r w:rsidRPr="00604C75">
              <w:rPr>
                <w:b/>
                <w:snapToGrid w:val="0"/>
                <w:sz w:val="18"/>
              </w:rPr>
              <w:t xml:space="preserve"> 2015</w:t>
            </w:r>
          </w:p>
        </w:tc>
        <w:tc>
          <w:tcPr>
            <w:tcW w:w="2013" w:type="dxa"/>
            <w:vAlign w:val="bottom"/>
          </w:tcPr>
          <w:p w14:paraId="32EE3CB5" w14:textId="097E0498" w:rsidR="006516C4" w:rsidRPr="00CD0767" w:rsidRDefault="006516C4" w:rsidP="00CD0767">
            <w:pPr>
              <w:tabs>
                <w:tab w:val="left" w:pos="0"/>
              </w:tabs>
              <w:ind w:right="56"/>
              <w:jc w:val="center"/>
              <w:rPr>
                <w:b/>
                <w:snapToGrid w:val="0"/>
                <w:sz w:val="18"/>
              </w:rPr>
            </w:pPr>
            <w:r>
              <w:rPr>
                <w:b/>
                <w:snapToGrid w:val="0"/>
                <w:sz w:val="18"/>
              </w:rPr>
              <w:t>31</w:t>
            </w:r>
            <w:r w:rsidRPr="00604C75">
              <w:rPr>
                <w:b/>
                <w:snapToGrid w:val="0"/>
                <w:sz w:val="18"/>
              </w:rPr>
              <w:t xml:space="preserve"> </w:t>
            </w:r>
            <w:r>
              <w:rPr>
                <w:b/>
                <w:snapToGrid w:val="0"/>
                <w:sz w:val="18"/>
              </w:rPr>
              <w:t>December</w:t>
            </w:r>
            <w:r w:rsidRPr="00604C75">
              <w:rPr>
                <w:b/>
                <w:snapToGrid w:val="0"/>
                <w:sz w:val="18"/>
              </w:rPr>
              <w:t xml:space="preserve"> 2014</w:t>
            </w:r>
          </w:p>
        </w:tc>
      </w:tr>
      <w:tr w:rsidR="00224102" w:rsidRPr="00604C75" w14:paraId="7624DB97" w14:textId="77777777" w:rsidTr="00CD0767">
        <w:trPr>
          <w:cantSplit/>
          <w:trHeight w:val="20"/>
        </w:trPr>
        <w:tc>
          <w:tcPr>
            <w:tcW w:w="5073" w:type="dxa"/>
            <w:vAlign w:val="bottom"/>
          </w:tcPr>
          <w:p w14:paraId="086027C5" w14:textId="41D72FF3" w:rsidR="00224102" w:rsidRPr="00604C75" w:rsidRDefault="00224102" w:rsidP="00224102">
            <w:pPr>
              <w:pStyle w:val="Heading3"/>
              <w:tabs>
                <w:tab w:val="left" w:pos="0"/>
              </w:tabs>
              <w:ind w:left="0" w:hanging="1276"/>
              <w:rPr>
                <w:rFonts w:ascii="Times New Roman" w:hAnsi="Times New Roman"/>
                <w:sz w:val="18"/>
                <w:szCs w:val="18"/>
              </w:rPr>
            </w:pPr>
            <w:bookmarkStart w:id="21" w:name="_Toc198789855"/>
            <w:bookmarkStart w:id="22" w:name="_Toc198789917"/>
            <w:proofErr w:type="spellStart"/>
            <w:r w:rsidRPr="00604C75">
              <w:rPr>
                <w:rFonts w:ascii="Times New Roman" w:hAnsi="Times New Roman"/>
                <w:sz w:val="20"/>
              </w:rPr>
              <w:t>Income</w:t>
            </w:r>
            <w:bookmarkEnd w:id="21"/>
            <w:bookmarkEnd w:id="22"/>
            <w:r w:rsidRPr="00604C75">
              <w:rPr>
                <w:rFonts w:ascii="Times New Roman" w:hAnsi="Times New Roman"/>
                <w:sz w:val="20"/>
              </w:rPr>
              <w:t>IncomeIncome</w:t>
            </w:r>
            <w:proofErr w:type="spellEnd"/>
          </w:p>
        </w:tc>
        <w:tc>
          <w:tcPr>
            <w:tcW w:w="2293" w:type="dxa"/>
            <w:vAlign w:val="bottom"/>
          </w:tcPr>
          <w:p w14:paraId="6BE25C8C" w14:textId="59E71D90" w:rsidR="00224102" w:rsidRPr="00692926" w:rsidRDefault="00224102" w:rsidP="00224102">
            <w:pPr>
              <w:ind w:right="51"/>
              <w:jc w:val="right"/>
              <w:rPr>
                <w:b/>
                <w:sz w:val="18"/>
                <w:szCs w:val="18"/>
              </w:rPr>
            </w:pPr>
            <w:r>
              <w:rPr>
                <w:b/>
                <w:sz w:val="18"/>
                <w:szCs w:val="18"/>
              </w:rPr>
              <w:t>10,952,956</w:t>
            </w:r>
          </w:p>
        </w:tc>
        <w:tc>
          <w:tcPr>
            <w:tcW w:w="2013" w:type="dxa"/>
            <w:vAlign w:val="bottom"/>
          </w:tcPr>
          <w:p w14:paraId="66055899" w14:textId="6EC14E13" w:rsidR="00224102" w:rsidRPr="00692926" w:rsidRDefault="00224102" w:rsidP="00224102">
            <w:pPr>
              <w:ind w:right="51"/>
              <w:jc w:val="right"/>
              <w:rPr>
                <w:b/>
                <w:bCs/>
                <w:color w:val="000000"/>
                <w:sz w:val="18"/>
                <w:szCs w:val="18"/>
              </w:rPr>
            </w:pPr>
            <w:r w:rsidRPr="00A36623">
              <w:rPr>
                <w:b/>
                <w:sz w:val="18"/>
                <w:szCs w:val="18"/>
              </w:rPr>
              <w:t>6</w:t>
            </w:r>
            <w:r>
              <w:rPr>
                <w:b/>
                <w:sz w:val="18"/>
                <w:szCs w:val="18"/>
              </w:rPr>
              <w:t>,</w:t>
            </w:r>
            <w:r w:rsidRPr="00A36623">
              <w:rPr>
                <w:b/>
                <w:sz w:val="18"/>
                <w:szCs w:val="18"/>
              </w:rPr>
              <w:t>592</w:t>
            </w:r>
            <w:r>
              <w:rPr>
                <w:b/>
                <w:sz w:val="18"/>
                <w:szCs w:val="18"/>
              </w:rPr>
              <w:t>,</w:t>
            </w:r>
            <w:r w:rsidRPr="00A36623">
              <w:rPr>
                <w:b/>
                <w:sz w:val="18"/>
                <w:szCs w:val="18"/>
              </w:rPr>
              <w:t>080</w:t>
            </w:r>
          </w:p>
        </w:tc>
      </w:tr>
      <w:tr w:rsidR="00224102" w:rsidRPr="00604C75" w14:paraId="39A51044" w14:textId="77777777" w:rsidTr="00CD0767">
        <w:trPr>
          <w:cantSplit/>
          <w:trHeight w:val="20"/>
        </w:trPr>
        <w:tc>
          <w:tcPr>
            <w:tcW w:w="5073" w:type="dxa"/>
            <w:vAlign w:val="bottom"/>
          </w:tcPr>
          <w:p w14:paraId="7F093347" w14:textId="3C914A10" w:rsidR="00224102" w:rsidRPr="00604C75" w:rsidRDefault="00224102" w:rsidP="00224102">
            <w:pPr>
              <w:pStyle w:val="Heading3"/>
              <w:tabs>
                <w:tab w:val="left" w:pos="518"/>
              </w:tabs>
              <w:ind w:left="0"/>
              <w:rPr>
                <w:rFonts w:ascii="Times New Roman" w:hAnsi="Times New Roman"/>
                <w:b w:val="0"/>
                <w:sz w:val="18"/>
                <w:szCs w:val="18"/>
              </w:rPr>
            </w:pPr>
            <w:bookmarkStart w:id="23" w:name="_Toc198789856"/>
            <w:bookmarkStart w:id="24" w:name="_Toc198789918"/>
            <w:r w:rsidRPr="00604C75">
              <w:rPr>
                <w:rFonts w:ascii="Times New Roman" w:hAnsi="Times New Roman"/>
                <w:b w:val="0"/>
                <w:sz w:val="20"/>
              </w:rPr>
              <w:t>Income from Capital Market Transactions</w:t>
            </w:r>
            <w:bookmarkEnd w:id="23"/>
            <w:bookmarkEnd w:id="24"/>
          </w:p>
        </w:tc>
        <w:tc>
          <w:tcPr>
            <w:tcW w:w="2293" w:type="dxa"/>
            <w:vAlign w:val="bottom"/>
          </w:tcPr>
          <w:p w14:paraId="1F011BB6" w14:textId="28DDAB20" w:rsidR="00224102" w:rsidRDefault="00224102" w:rsidP="00224102">
            <w:pPr>
              <w:jc w:val="right"/>
              <w:rPr>
                <w:sz w:val="18"/>
                <w:szCs w:val="18"/>
              </w:rPr>
            </w:pPr>
            <w:r>
              <w:rPr>
                <w:sz w:val="18"/>
                <w:szCs w:val="18"/>
              </w:rPr>
              <w:t>6,887</w:t>
            </w:r>
          </w:p>
        </w:tc>
        <w:tc>
          <w:tcPr>
            <w:tcW w:w="2013" w:type="dxa"/>
            <w:vAlign w:val="bottom"/>
          </w:tcPr>
          <w:p w14:paraId="0890E4C5" w14:textId="5F58D188" w:rsidR="00224102" w:rsidRPr="00692926" w:rsidRDefault="00224102" w:rsidP="00224102">
            <w:pPr>
              <w:ind w:right="51"/>
              <w:jc w:val="right"/>
              <w:rPr>
                <w:color w:val="000000"/>
                <w:sz w:val="18"/>
                <w:szCs w:val="18"/>
              </w:rPr>
            </w:pPr>
            <w:r w:rsidRPr="00A36623">
              <w:rPr>
                <w:sz w:val="18"/>
                <w:szCs w:val="18"/>
              </w:rPr>
              <w:t>30</w:t>
            </w:r>
            <w:r>
              <w:rPr>
                <w:sz w:val="18"/>
                <w:szCs w:val="18"/>
              </w:rPr>
              <w:t>,</w:t>
            </w:r>
            <w:r w:rsidRPr="00A36623">
              <w:rPr>
                <w:sz w:val="18"/>
                <w:szCs w:val="18"/>
              </w:rPr>
              <w:t>333</w:t>
            </w:r>
          </w:p>
        </w:tc>
      </w:tr>
      <w:tr w:rsidR="00224102" w:rsidRPr="00604C75" w14:paraId="64378E9E" w14:textId="77777777" w:rsidTr="00CD0767">
        <w:trPr>
          <w:cantSplit/>
          <w:trHeight w:val="20"/>
        </w:trPr>
        <w:tc>
          <w:tcPr>
            <w:tcW w:w="5073" w:type="dxa"/>
            <w:vAlign w:val="bottom"/>
          </w:tcPr>
          <w:p w14:paraId="0C6DCB1C" w14:textId="22F19B04" w:rsidR="00224102" w:rsidRPr="00604C75" w:rsidRDefault="00224102" w:rsidP="00224102">
            <w:pPr>
              <w:pStyle w:val="Heading3"/>
              <w:tabs>
                <w:tab w:val="left" w:pos="518"/>
              </w:tabs>
              <w:ind w:left="0"/>
              <w:rPr>
                <w:rFonts w:ascii="Times New Roman" w:hAnsi="Times New Roman"/>
                <w:b w:val="0"/>
                <w:sz w:val="18"/>
                <w:szCs w:val="18"/>
              </w:rPr>
            </w:pPr>
            <w:bookmarkStart w:id="25" w:name="_Toc198789857"/>
            <w:bookmarkStart w:id="26" w:name="_Toc198789919"/>
            <w:r w:rsidRPr="00604C75">
              <w:rPr>
                <w:rFonts w:ascii="Times New Roman" w:hAnsi="Times New Roman"/>
                <w:b w:val="0"/>
                <w:sz w:val="20"/>
              </w:rPr>
              <w:t>Derivative Financial Transactions</w:t>
            </w:r>
            <w:bookmarkEnd w:id="25"/>
            <w:bookmarkEnd w:id="26"/>
          </w:p>
        </w:tc>
        <w:tc>
          <w:tcPr>
            <w:tcW w:w="2293" w:type="dxa"/>
            <w:vAlign w:val="bottom"/>
          </w:tcPr>
          <w:p w14:paraId="6B15B2CF" w14:textId="477A3671" w:rsidR="00224102" w:rsidRDefault="00224102" w:rsidP="00224102">
            <w:pPr>
              <w:jc w:val="right"/>
              <w:rPr>
                <w:sz w:val="18"/>
                <w:szCs w:val="18"/>
              </w:rPr>
            </w:pPr>
            <w:r>
              <w:rPr>
                <w:sz w:val="18"/>
                <w:szCs w:val="18"/>
              </w:rPr>
              <w:t>723,988</w:t>
            </w:r>
          </w:p>
        </w:tc>
        <w:tc>
          <w:tcPr>
            <w:tcW w:w="2013" w:type="dxa"/>
            <w:vAlign w:val="bottom"/>
          </w:tcPr>
          <w:p w14:paraId="3A798D89" w14:textId="01C85E6C" w:rsidR="00224102" w:rsidRPr="00692926" w:rsidRDefault="00224102" w:rsidP="00224102">
            <w:pPr>
              <w:ind w:right="51"/>
              <w:jc w:val="right"/>
              <w:rPr>
                <w:color w:val="000000"/>
                <w:sz w:val="18"/>
                <w:szCs w:val="18"/>
              </w:rPr>
            </w:pPr>
            <w:r w:rsidRPr="00A36623">
              <w:rPr>
                <w:sz w:val="18"/>
                <w:szCs w:val="18"/>
              </w:rPr>
              <w:t>327</w:t>
            </w:r>
            <w:r>
              <w:rPr>
                <w:sz w:val="18"/>
                <w:szCs w:val="18"/>
              </w:rPr>
              <w:t>,</w:t>
            </w:r>
            <w:r w:rsidRPr="00A36623">
              <w:rPr>
                <w:sz w:val="18"/>
                <w:szCs w:val="18"/>
              </w:rPr>
              <w:t>437</w:t>
            </w:r>
          </w:p>
        </w:tc>
      </w:tr>
      <w:tr w:rsidR="00224102" w:rsidRPr="00604C75" w14:paraId="6DE7B104" w14:textId="77777777" w:rsidTr="00CD0767">
        <w:trPr>
          <w:cantSplit/>
          <w:trHeight w:val="20"/>
        </w:trPr>
        <w:tc>
          <w:tcPr>
            <w:tcW w:w="5073" w:type="dxa"/>
            <w:vAlign w:val="bottom"/>
          </w:tcPr>
          <w:p w14:paraId="42673909" w14:textId="47D1ABF8" w:rsidR="00224102" w:rsidRPr="00604C75" w:rsidRDefault="00224102" w:rsidP="00224102">
            <w:pPr>
              <w:pStyle w:val="Heading3"/>
              <w:tabs>
                <w:tab w:val="left" w:pos="518"/>
              </w:tabs>
              <w:ind w:left="0"/>
              <w:rPr>
                <w:rFonts w:ascii="Times New Roman" w:hAnsi="Times New Roman"/>
                <w:b w:val="0"/>
                <w:sz w:val="18"/>
                <w:szCs w:val="18"/>
              </w:rPr>
            </w:pPr>
            <w:bookmarkStart w:id="27" w:name="_Toc198789859"/>
            <w:bookmarkStart w:id="28" w:name="_Toc198789921"/>
            <w:r w:rsidRPr="00604C75">
              <w:rPr>
                <w:rFonts w:ascii="Times New Roman" w:hAnsi="Times New Roman"/>
                <w:b w:val="0"/>
                <w:sz w:val="20"/>
              </w:rPr>
              <w:t>Foreign Exchange Gains</w:t>
            </w:r>
            <w:bookmarkEnd w:id="27"/>
            <w:bookmarkEnd w:id="28"/>
          </w:p>
        </w:tc>
        <w:tc>
          <w:tcPr>
            <w:tcW w:w="2293" w:type="dxa"/>
            <w:vAlign w:val="bottom"/>
          </w:tcPr>
          <w:p w14:paraId="0D03EEDB" w14:textId="31381ED5" w:rsidR="00224102" w:rsidRDefault="00224102" w:rsidP="00224102">
            <w:pPr>
              <w:jc w:val="right"/>
              <w:rPr>
                <w:sz w:val="18"/>
                <w:szCs w:val="18"/>
              </w:rPr>
            </w:pPr>
            <w:r>
              <w:rPr>
                <w:sz w:val="18"/>
                <w:szCs w:val="18"/>
              </w:rPr>
              <w:t>10,222,081</w:t>
            </w:r>
          </w:p>
        </w:tc>
        <w:tc>
          <w:tcPr>
            <w:tcW w:w="2013" w:type="dxa"/>
            <w:vAlign w:val="bottom"/>
          </w:tcPr>
          <w:p w14:paraId="6AEF0034" w14:textId="112EBEA9" w:rsidR="00224102" w:rsidRPr="00692926" w:rsidRDefault="00224102" w:rsidP="00224102">
            <w:pPr>
              <w:ind w:right="51"/>
              <w:jc w:val="right"/>
              <w:rPr>
                <w:color w:val="000000"/>
                <w:sz w:val="18"/>
                <w:szCs w:val="18"/>
              </w:rPr>
            </w:pPr>
            <w:r w:rsidRPr="00A36623">
              <w:rPr>
                <w:sz w:val="18"/>
                <w:szCs w:val="18"/>
              </w:rPr>
              <w:t>6</w:t>
            </w:r>
            <w:r>
              <w:rPr>
                <w:sz w:val="18"/>
                <w:szCs w:val="18"/>
              </w:rPr>
              <w:t>,</w:t>
            </w:r>
            <w:r w:rsidRPr="00A36623">
              <w:rPr>
                <w:sz w:val="18"/>
                <w:szCs w:val="18"/>
              </w:rPr>
              <w:t>234</w:t>
            </w:r>
            <w:r>
              <w:rPr>
                <w:sz w:val="18"/>
                <w:szCs w:val="18"/>
              </w:rPr>
              <w:t>,</w:t>
            </w:r>
            <w:r w:rsidRPr="00A36623">
              <w:rPr>
                <w:sz w:val="18"/>
                <w:szCs w:val="18"/>
              </w:rPr>
              <w:t>310</w:t>
            </w:r>
          </w:p>
        </w:tc>
      </w:tr>
      <w:tr w:rsidR="00224102" w:rsidRPr="00604C75" w14:paraId="3B389AD9" w14:textId="77777777" w:rsidTr="00CD0767">
        <w:trPr>
          <w:cantSplit/>
          <w:trHeight w:val="20"/>
        </w:trPr>
        <w:tc>
          <w:tcPr>
            <w:tcW w:w="5073" w:type="dxa"/>
            <w:vAlign w:val="bottom"/>
          </w:tcPr>
          <w:p w14:paraId="6C7ED678" w14:textId="356B09F0" w:rsidR="00224102" w:rsidRPr="00604C75" w:rsidRDefault="00224102" w:rsidP="00224102">
            <w:pPr>
              <w:pStyle w:val="Heading3"/>
              <w:tabs>
                <w:tab w:val="left" w:pos="518"/>
              </w:tabs>
              <w:ind w:left="0"/>
              <w:rPr>
                <w:rFonts w:ascii="Times New Roman" w:hAnsi="Times New Roman"/>
                <w:sz w:val="18"/>
                <w:szCs w:val="18"/>
              </w:rPr>
            </w:pPr>
            <w:bookmarkStart w:id="29" w:name="_Toc198789860"/>
            <w:bookmarkStart w:id="30" w:name="_Toc198789922"/>
            <w:r w:rsidRPr="00604C75">
              <w:rPr>
                <w:rFonts w:ascii="Times New Roman" w:hAnsi="Times New Roman"/>
                <w:sz w:val="20"/>
              </w:rPr>
              <w:t>Loss (-)</w:t>
            </w:r>
            <w:bookmarkEnd w:id="29"/>
            <w:bookmarkEnd w:id="30"/>
          </w:p>
        </w:tc>
        <w:tc>
          <w:tcPr>
            <w:tcW w:w="2293" w:type="dxa"/>
            <w:vAlign w:val="bottom"/>
          </w:tcPr>
          <w:p w14:paraId="58F6A8B6" w14:textId="622E7267" w:rsidR="00224102" w:rsidRPr="00692926" w:rsidRDefault="00224102" w:rsidP="00224102">
            <w:pPr>
              <w:ind w:right="51"/>
              <w:jc w:val="right"/>
              <w:rPr>
                <w:b/>
                <w:sz w:val="18"/>
                <w:szCs w:val="18"/>
              </w:rPr>
            </w:pPr>
            <w:r>
              <w:rPr>
                <w:b/>
                <w:sz w:val="18"/>
                <w:szCs w:val="18"/>
              </w:rPr>
              <w:t>(10,992,708)</w:t>
            </w:r>
          </w:p>
        </w:tc>
        <w:tc>
          <w:tcPr>
            <w:tcW w:w="2013" w:type="dxa"/>
            <w:vAlign w:val="bottom"/>
          </w:tcPr>
          <w:p w14:paraId="09B33659" w14:textId="16EE6FFA" w:rsidR="00224102" w:rsidRPr="00692926" w:rsidRDefault="00224102" w:rsidP="00224102">
            <w:pPr>
              <w:ind w:right="51"/>
              <w:jc w:val="right"/>
              <w:rPr>
                <w:b/>
                <w:bCs/>
                <w:color w:val="000000"/>
                <w:sz w:val="18"/>
                <w:szCs w:val="18"/>
              </w:rPr>
            </w:pPr>
            <w:r w:rsidRPr="00A36623">
              <w:rPr>
                <w:b/>
                <w:sz w:val="18"/>
                <w:szCs w:val="18"/>
              </w:rPr>
              <w:t>6</w:t>
            </w:r>
            <w:r>
              <w:rPr>
                <w:b/>
                <w:sz w:val="18"/>
                <w:szCs w:val="18"/>
              </w:rPr>
              <w:t>,</w:t>
            </w:r>
            <w:r w:rsidRPr="00A36623">
              <w:rPr>
                <w:b/>
                <w:sz w:val="18"/>
                <w:szCs w:val="18"/>
              </w:rPr>
              <w:t>619</w:t>
            </w:r>
            <w:r>
              <w:rPr>
                <w:b/>
                <w:sz w:val="18"/>
                <w:szCs w:val="18"/>
              </w:rPr>
              <w:t>,</w:t>
            </w:r>
            <w:r w:rsidRPr="00A36623">
              <w:rPr>
                <w:b/>
                <w:sz w:val="18"/>
                <w:szCs w:val="18"/>
              </w:rPr>
              <w:t>560</w:t>
            </w:r>
          </w:p>
        </w:tc>
      </w:tr>
      <w:tr w:rsidR="00224102" w:rsidRPr="00604C75" w14:paraId="13C80CDC" w14:textId="77777777" w:rsidTr="00CD0767">
        <w:trPr>
          <w:cantSplit/>
          <w:trHeight w:val="20"/>
        </w:trPr>
        <w:tc>
          <w:tcPr>
            <w:tcW w:w="5073" w:type="dxa"/>
            <w:vAlign w:val="bottom"/>
          </w:tcPr>
          <w:p w14:paraId="05993840" w14:textId="198CBD3E" w:rsidR="00224102" w:rsidRPr="00604C75" w:rsidRDefault="00224102" w:rsidP="00224102">
            <w:pPr>
              <w:pStyle w:val="Heading3"/>
              <w:tabs>
                <w:tab w:val="left" w:pos="518"/>
              </w:tabs>
              <w:ind w:left="0"/>
              <w:rPr>
                <w:rFonts w:ascii="Times New Roman" w:hAnsi="Times New Roman"/>
                <w:b w:val="0"/>
                <w:sz w:val="18"/>
                <w:szCs w:val="18"/>
              </w:rPr>
            </w:pPr>
            <w:bookmarkStart w:id="31" w:name="_Toc198789861"/>
            <w:bookmarkStart w:id="32" w:name="_Toc198789923"/>
            <w:r w:rsidRPr="00604C75">
              <w:rPr>
                <w:rFonts w:ascii="Times New Roman" w:hAnsi="Times New Roman"/>
                <w:b w:val="0"/>
                <w:sz w:val="20"/>
              </w:rPr>
              <w:t xml:space="preserve">Loss from Capital Market Transactions </w:t>
            </w:r>
            <w:bookmarkEnd w:id="31"/>
            <w:bookmarkEnd w:id="32"/>
          </w:p>
        </w:tc>
        <w:tc>
          <w:tcPr>
            <w:tcW w:w="2293" w:type="dxa"/>
            <w:vAlign w:val="bottom"/>
          </w:tcPr>
          <w:p w14:paraId="620F9251" w14:textId="4B5BFFC3" w:rsidR="00224102" w:rsidRPr="00692926" w:rsidRDefault="00224102" w:rsidP="00224102">
            <w:pPr>
              <w:ind w:right="51"/>
              <w:jc w:val="right"/>
              <w:rPr>
                <w:sz w:val="18"/>
                <w:szCs w:val="18"/>
              </w:rPr>
            </w:pPr>
            <w:r>
              <w:rPr>
                <w:sz w:val="18"/>
                <w:szCs w:val="18"/>
              </w:rPr>
              <w:t>(1,937)</w:t>
            </w:r>
          </w:p>
        </w:tc>
        <w:tc>
          <w:tcPr>
            <w:tcW w:w="2013" w:type="dxa"/>
            <w:vAlign w:val="bottom"/>
          </w:tcPr>
          <w:p w14:paraId="0A6D0791" w14:textId="0D82FDF1" w:rsidR="00224102" w:rsidRPr="00692926" w:rsidRDefault="00224102" w:rsidP="00224102">
            <w:pPr>
              <w:ind w:right="51"/>
              <w:jc w:val="right"/>
              <w:rPr>
                <w:color w:val="000000"/>
                <w:sz w:val="18"/>
                <w:szCs w:val="18"/>
              </w:rPr>
            </w:pPr>
            <w:r w:rsidRPr="00A36623">
              <w:rPr>
                <w:sz w:val="18"/>
                <w:szCs w:val="18"/>
              </w:rPr>
              <w:t>29</w:t>
            </w:r>
            <w:r>
              <w:rPr>
                <w:sz w:val="18"/>
                <w:szCs w:val="18"/>
              </w:rPr>
              <w:t>,</w:t>
            </w:r>
            <w:r w:rsidRPr="00A36623">
              <w:rPr>
                <w:sz w:val="18"/>
                <w:szCs w:val="18"/>
              </w:rPr>
              <w:t>791</w:t>
            </w:r>
          </w:p>
        </w:tc>
      </w:tr>
      <w:tr w:rsidR="00224102" w:rsidRPr="00604C75" w14:paraId="6B72AAA8" w14:textId="77777777" w:rsidTr="00CD0767">
        <w:trPr>
          <w:cantSplit/>
          <w:trHeight w:val="20"/>
        </w:trPr>
        <w:tc>
          <w:tcPr>
            <w:tcW w:w="5073" w:type="dxa"/>
            <w:vAlign w:val="bottom"/>
          </w:tcPr>
          <w:p w14:paraId="7CA21CD3" w14:textId="09D58ED3" w:rsidR="00224102" w:rsidRPr="00604C75" w:rsidRDefault="00224102" w:rsidP="00224102">
            <w:pPr>
              <w:pStyle w:val="Heading3"/>
              <w:tabs>
                <w:tab w:val="left" w:pos="518"/>
              </w:tabs>
              <w:ind w:left="0"/>
              <w:rPr>
                <w:rFonts w:ascii="Times New Roman" w:hAnsi="Times New Roman"/>
                <w:b w:val="0"/>
                <w:sz w:val="18"/>
                <w:szCs w:val="18"/>
              </w:rPr>
            </w:pPr>
            <w:bookmarkStart w:id="33" w:name="_Toc198789862"/>
            <w:bookmarkStart w:id="34" w:name="_Toc198789924"/>
            <w:r w:rsidRPr="00604C75">
              <w:rPr>
                <w:rFonts w:ascii="Times New Roman" w:hAnsi="Times New Roman"/>
                <w:b w:val="0"/>
                <w:sz w:val="20"/>
              </w:rPr>
              <w:t>Derivative Financial Transactions</w:t>
            </w:r>
            <w:bookmarkEnd w:id="33"/>
            <w:bookmarkEnd w:id="34"/>
          </w:p>
        </w:tc>
        <w:tc>
          <w:tcPr>
            <w:tcW w:w="2293" w:type="dxa"/>
            <w:vAlign w:val="bottom"/>
          </w:tcPr>
          <w:p w14:paraId="7238C0BD" w14:textId="4E437249" w:rsidR="00224102" w:rsidRPr="00692926" w:rsidRDefault="00224102" w:rsidP="00224102">
            <w:pPr>
              <w:ind w:right="51"/>
              <w:jc w:val="right"/>
              <w:rPr>
                <w:sz w:val="18"/>
                <w:szCs w:val="18"/>
              </w:rPr>
            </w:pPr>
            <w:r>
              <w:rPr>
                <w:sz w:val="18"/>
                <w:szCs w:val="18"/>
              </w:rPr>
              <w:t>(656,438)</w:t>
            </w:r>
          </w:p>
        </w:tc>
        <w:tc>
          <w:tcPr>
            <w:tcW w:w="2013" w:type="dxa"/>
            <w:vAlign w:val="bottom"/>
          </w:tcPr>
          <w:p w14:paraId="0646F6B1" w14:textId="4530123C" w:rsidR="00224102" w:rsidRPr="00692926" w:rsidRDefault="00224102" w:rsidP="00224102">
            <w:pPr>
              <w:ind w:right="51"/>
              <w:jc w:val="right"/>
              <w:rPr>
                <w:color w:val="000000"/>
                <w:sz w:val="18"/>
                <w:szCs w:val="18"/>
              </w:rPr>
            </w:pPr>
            <w:r w:rsidRPr="00A36623">
              <w:rPr>
                <w:sz w:val="18"/>
                <w:szCs w:val="18"/>
              </w:rPr>
              <w:t>326</w:t>
            </w:r>
            <w:r>
              <w:rPr>
                <w:sz w:val="18"/>
                <w:szCs w:val="18"/>
              </w:rPr>
              <w:t>,</w:t>
            </w:r>
            <w:r w:rsidRPr="00A36623">
              <w:rPr>
                <w:sz w:val="18"/>
                <w:szCs w:val="18"/>
              </w:rPr>
              <w:t>718</w:t>
            </w:r>
          </w:p>
        </w:tc>
      </w:tr>
      <w:tr w:rsidR="00224102" w:rsidRPr="00604C75" w14:paraId="5B341E14" w14:textId="77777777" w:rsidTr="00CD0767">
        <w:trPr>
          <w:cantSplit/>
          <w:trHeight w:val="20"/>
        </w:trPr>
        <w:tc>
          <w:tcPr>
            <w:tcW w:w="5073" w:type="dxa"/>
            <w:vAlign w:val="bottom"/>
          </w:tcPr>
          <w:p w14:paraId="2909DE60" w14:textId="5700EA41" w:rsidR="00224102" w:rsidRPr="00604C75" w:rsidRDefault="00224102" w:rsidP="00224102">
            <w:pPr>
              <w:pStyle w:val="Heading3"/>
              <w:tabs>
                <w:tab w:val="left" w:pos="518"/>
              </w:tabs>
              <w:ind w:left="0"/>
              <w:rPr>
                <w:rFonts w:ascii="Times New Roman" w:hAnsi="Times New Roman"/>
                <w:b w:val="0"/>
                <w:sz w:val="18"/>
                <w:szCs w:val="18"/>
              </w:rPr>
            </w:pPr>
            <w:bookmarkStart w:id="35" w:name="_Toc198789864"/>
            <w:bookmarkStart w:id="36" w:name="_Toc198789926"/>
            <w:r w:rsidRPr="00604C75">
              <w:rPr>
                <w:rFonts w:ascii="Times New Roman" w:hAnsi="Times New Roman"/>
                <w:b w:val="0"/>
                <w:sz w:val="20"/>
              </w:rPr>
              <w:t>Foreign Exchange Loss</w:t>
            </w:r>
            <w:bookmarkEnd w:id="35"/>
            <w:bookmarkEnd w:id="36"/>
          </w:p>
        </w:tc>
        <w:tc>
          <w:tcPr>
            <w:tcW w:w="2293" w:type="dxa"/>
            <w:vAlign w:val="bottom"/>
          </w:tcPr>
          <w:p w14:paraId="7AA4DFB7" w14:textId="6D5FC363" w:rsidR="00224102" w:rsidRPr="00692926" w:rsidRDefault="00224102" w:rsidP="00224102">
            <w:pPr>
              <w:ind w:right="51"/>
              <w:jc w:val="right"/>
              <w:rPr>
                <w:sz w:val="18"/>
                <w:szCs w:val="18"/>
              </w:rPr>
            </w:pPr>
            <w:r>
              <w:rPr>
                <w:sz w:val="18"/>
                <w:szCs w:val="18"/>
              </w:rPr>
              <w:t>(10,334,333)</w:t>
            </w:r>
          </w:p>
        </w:tc>
        <w:tc>
          <w:tcPr>
            <w:tcW w:w="2013" w:type="dxa"/>
            <w:vAlign w:val="bottom"/>
          </w:tcPr>
          <w:p w14:paraId="22275D54" w14:textId="219D501A" w:rsidR="00224102" w:rsidRPr="00692926" w:rsidRDefault="00224102" w:rsidP="00224102">
            <w:pPr>
              <w:ind w:right="51"/>
              <w:jc w:val="right"/>
              <w:rPr>
                <w:color w:val="000000"/>
                <w:sz w:val="18"/>
                <w:szCs w:val="18"/>
              </w:rPr>
            </w:pPr>
            <w:r w:rsidRPr="00A36623">
              <w:rPr>
                <w:sz w:val="18"/>
                <w:szCs w:val="18"/>
              </w:rPr>
              <w:t>6</w:t>
            </w:r>
            <w:r>
              <w:rPr>
                <w:sz w:val="18"/>
                <w:szCs w:val="18"/>
              </w:rPr>
              <w:t>,</w:t>
            </w:r>
            <w:r w:rsidRPr="00A36623">
              <w:rPr>
                <w:sz w:val="18"/>
                <w:szCs w:val="18"/>
              </w:rPr>
              <w:t>263</w:t>
            </w:r>
            <w:r>
              <w:rPr>
                <w:sz w:val="18"/>
                <w:szCs w:val="18"/>
              </w:rPr>
              <w:t>,</w:t>
            </w:r>
            <w:r w:rsidRPr="00A36623">
              <w:rPr>
                <w:sz w:val="18"/>
                <w:szCs w:val="18"/>
              </w:rPr>
              <w:t>051</w:t>
            </w:r>
          </w:p>
        </w:tc>
      </w:tr>
      <w:tr w:rsidR="00224102" w:rsidRPr="00604C75" w14:paraId="0D3B648D" w14:textId="77777777" w:rsidTr="00CD0767">
        <w:trPr>
          <w:cantSplit/>
          <w:trHeight w:val="20"/>
        </w:trPr>
        <w:tc>
          <w:tcPr>
            <w:tcW w:w="5073" w:type="dxa"/>
            <w:vAlign w:val="bottom"/>
          </w:tcPr>
          <w:p w14:paraId="7972D8CD" w14:textId="3D995FBC" w:rsidR="00224102" w:rsidRPr="00604C75" w:rsidRDefault="00224102" w:rsidP="00224102">
            <w:pPr>
              <w:pStyle w:val="Heading3"/>
              <w:tabs>
                <w:tab w:val="left" w:pos="518"/>
              </w:tabs>
              <w:ind w:left="0"/>
              <w:rPr>
                <w:rFonts w:ascii="Times New Roman" w:hAnsi="Times New Roman"/>
                <w:sz w:val="18"/>
                <w:szCs w:val="18"/>
              </w:rPr>
            </w:pPr>
            <w:bookmarkStart w:id="37" w:name="_Toc198789865"/>
            <w:bookmarkStart w:id="38" w:name="_Toc198789927"/>
            <w:r w:rsidRPr="00604C75">
              <w:rPr>
                <w:rFonts w:ascii="Times New Roman" w:hAnsi="Times New Roman"/>
                <w:sz w:val="20"/>
              </w:rPr>
              <w:t>Net Income</w:t>
            </w:r>
            <w:proofErr w:type="gramStart"/>
            <w:r w:rsidRPr="00604C75">
              <w:rPr>
                <w:rFonts w:ascii="Times New Roman" w:hAnsi="Times New Roman"/>
                <w:sz w:val="20"/>
              </w:rPr>
              <w:t>/(</w:t>
            </w:r>
            <w:proofErr w:type="gramEnd"/>
            <w:r w:rsidRPr="00604C75">
              <w:rPr>
                <w:rFonts w:ascii="Times New Roman" w:hAnsi="Times New Roman"/>
                <w:sz w:val="20"/>
              </w:rPr>
              <w:t>Loss)</w:t>
            </w:r>
            <w:bookmarkEnd w:id="37"/>
            <w:bookmarkEnd w:id="38"/>
          </w:p>
        </w:tc>
        <w:tc>
          <w:tcPr>
            <w:tcW w:w="2293" w:type="dxa"/>
            <w:vAlign w:val="bottom"/>
          </w:tcPr>
          <w:p w14:paraId="45F4341F" w14:textId="20274E3A" w:rsidR="00224102" w:rsidRPr="00692926" w:rsidRDefault="00224102" w:rsidP="00224102">
            <w:pPr>
              <w:ind w:right="51"/>
              <w:jc w:val="right"/>
              <w:rPr>
                <w:b/>
                <w:sz w:val="18"/>
                <w:szCs w:val="18"/>
              </w:rPr>
            </w:pPr>
            <w:r>
              <w:rPr>
                <w:b/>
                <w:sz w:val="18"/>
                <w:szCs w:val="18"/>
              </w:rPr>
              <w:t>(39,752)</w:t>
            </w:r>
          </w:p>
        </w:tc>
        <w:tc>
          <w:tcPr>
            <w:tcW w:w="2013" w:type="dxa"/>
            <w:vAlign w:val="bottom"/>
          </w:tcPr>
          <w:p w14:paraId="448068A5" w14:textId="1645269C" w:rsidR="00224102" w:rsidRPr="00692926" w:rsidRDefault="00224102" w:rsidP="00224102">
            <w:pPr>
              <w:ind w:right="51"/>
              <w:jc w:val="right"/>
              <w:rPr>
                <w:b/>
                <w:bCs/>
                <w:color w:val="000000"/>
                <w:sz w:val="18"/>
                <w:szCs w:val="18"/>
              </w:rPr>
            </w:pPr>
            <w:r>
              <w:rPr>
                <w:b/>
                <w:sz w:val="18"/>
                <w:szCs w:val="18"/>
              </w:rPr>
              <w:t>(27,</w:t>
            </w:r>
            <w:r w:rsidRPr="00A36623">
              <w:rPr>
                <w:b/>
                <w:sz w:val="18"/>
                <w:szCs w:val="18"/>
              </w:rPr>
              <w:t>480)</w:t>
            </w:r>
          </w:p>
        </w:tc>
      </w:tr>
    </w:tbl>
    <w:p w14:paraId="3A8D2A33" w14:textId="77777777" w:rsidR="0044575F" w:rsidRPr="00604C75" w:rsidRDefault="0044575F" w:rsidP="00935ABF">
      <w:pPr>
        <w:pStyle w:val="BodyText3"/>
        <w:tabs>
          <w:tab w:val="left" w:pos="0"/>
        </w:tabs>
        <w:ind w:right="-13"/>
        <w:jc w:val="both"/>
        <w:rPr>
          <w:b/>
          <w:bCs w:val="0"/>
          <w:i w:val="0"/>
          <w:iCs w:val="0"/>
          <w:sz w:val="20"/>
        </w:rPr>
      </w:pPr>
    </w:p>
    <w:p w14:paraId="5498AA1D" w14:textId="77777777" w:rsidR="0044575F" w:rsidRPr="00604C75" w:rsidRDefault="00935ABF" w:rsidP="00935ABF">
      <w:pPr>
        <w:tabs>
          <w:tab w:val="left" w:pos="0"/>
        </w:tabs>
        <w:ind w:left="426" w:hanging="426"/>
        <w:rPr>
          <w:b/>
          <w:sz w:val="20"/>
          <w:szCs w:val="20"/>
        </w:rPr>
      </w:pPr>
      <w:r w:rsidRPr="00604C75">
        <w:rPr>
          <w:b/>
          <w:sz w:val="20"/>
          <w:szCs w:val="20"/>
        </w:rPr>
        <w:t>e.</w:t>
      </w:r>
      <w:r w:rsidR="0044575F" w:rsidRPr="00604C75">
        <w:rPr>
          <w:b/>
          <w:sz w:val="20"/>
          <w:szCs w:val="20"/>
        </w:rPr>
        <w:tab/>
        <w:t>Explanations about other operating income</w:t>
      </w:r>
    </w:p>
    <w:p w14:paraId="7FC2EE3A" w14:textId="77777777" w:rsidR="0044575F" w:rsidRPr="00604C75" w:rsidRDefault="0044575F" w:rsidP="00935ABF">
      <w:pPr>
        <w:tabs>
          <w:tab w:val="left" w:pos="0"/>
        </w:tabs>
        <w:ind w:left="1276" w:hanging="1276"/>
        <w:jc w:val="both"/>
        <w:rPr>
          <w:sz w:val="20"/>
          <w:szCs w:val="20"/>
        </w:rPr>
      </w:pPr>
    </w:p>
    <w:tbl>
      <w:tblPr>
        <w:tblW w:w="939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021"/>
        <w:gridCol w:w="2342"/>
        <w:gridCol w:w="2030"/>
      </w:tblGrid>
      <w:tr w:rsidR="006516C4" w:rsidRPr="00604C75" w14:paraId="7B4E54C2" w14:textId="77777777" w:rsidTr="00CD0767">
        <w:trPr>
          <w:cantSplit/>
          <w:trHeight w:val="247"/>
        </w:trPr>
        <w:tc>
          <w:tcPr>
            <w:tcW w:w="5021" w:type="dxa"/>
            <w:vAlign w:val="bottom"/>
          </w:tcPr>
          <w:p w14:paraId="743A2326" w14:textId="77777777" w:rsidR="006516C4" w:rsidRPr="00604C75" w:rsidRDefault="006516C4" w:rsidP="006516C4">
            <w:pPr>
              <w:pStyle w:val="Heading3"/>
              <w:tabs>
                <w:tab w:val="left" w:pos="0"/>
              </w:tabs>
              <w:spacing w:line="228" w:lineRule="auto"/>
              <w:ind w:left="0"/>
              <w:rPr>
                <w:rFonts w:ascii="Times New Roman" w:hAnsi="Times New Roman"/>
                <w:bCs/>
                <w:sz w:val="18"/>
                <w:szCs w:val="18"/>
              </w:rPr>
            </w:pPr>
          </w:p>
        </w:tc>
        <w:tc>
          <w:tcPr>
            <w:tcW w:w="2342" w:type="dxa"/>
            <w:vAlign w:val="bottom"/>
          </w:tcPr>
          <w:p w14:paraId="75636136" w14:textId="77777777" w:rsidR="006516C4" w:rsidRPr="00604C75" w:rsidRDefault="006516C4" w:rsidP="00CD0767">
            <w:pPr>
              <w:tabs>
                <w:tab w:val="left" w:pos="0"/>
              </w:tabs>
              <w:ind w:right="56"/>
              <w:jc w:val="center"/>
              <w:rPr>
                <w:b/>
                <w:bCs/>
                <w:sz w:val="18"/>
              </w:rPr>
            </w:pPr>
            <w:r>
              <w:rPr>
                <w:b/>
                <w:snapToGrid w:val="0"/>
                <w:sz w:val="18"/>
              </w:rPr>
              <w:t>31 December</w:t>
            </w:r>
            <w:r w:rsidRPr="00604C75">
              <w:rPr>
                <w:b/>
                <w:snapToGrid w:val="0"/>
                <w:sz w:val="18"/>
              </w:rPr>
              <w:t xml:space="preserve"> 2015</w:t>
            </w:r>
          </w:p>
        </w:tc>
        <w:tc>
          <w:tcPr>
            <w:tcW w:w="2030" w:type="dxa"/>
            <w:vAlign w:val="bottom"/>
          </w:tcPr>
          <w:p w14:paraId="009550ED" w14:textId="4D69A45F" w:rsidR="006516C4" w:rsidRPr="00604C75" w:rsidRDefault="006516C4" w:rsidP="00CD0767">
            <w:pPr>
              <w:tabs>
                <w:tab w:val="left" w:pos="0"/>
              </w:tabs>
              <w:ind w:right="56"/>
              <w:jc w:val="center"/>
              <w:rPr>
                <w:b/>
                <w:bCs/>
                <w:sz w:val="18"/>
              </w:rPr>
            </w:pPr>
            <w:r>
              <w:rPr>
                <w:b/>
                <w:snapToGrid w:val="0"/>
                <w:sz w:val="18"/>
              </w:rPr>
              <w:t>31</w:t>
            </w:r>
            <w:r w:rsidRPr="00604C75">
              <w:rPr>
                <w:b/>
                <w:snapToGrid w:val="0"/>
                <w:sz w:val="18"/>
              </w:rPr>
              <w:t xml:space="preserve"> </w:t>
            </w:r>
            <w:r>
              <w:rPr>
                <w:b/>
                <w:snapToGrid w:val="0"/>
                <w:sz w:val="18"/>
              </w:rPr>
              <w:t>December</w:t>
            </w:r>
            <w:r w:rsidRPr="00604C75">
              <w:rPr>
                <w:b/>
                <w:snapToGrid w:val="0"/>
                <w:sz w:val="18"/>
              </w:rPr>
              <w:t xml:space="preserve"> 2014</w:t>
            </w:r>
          </w:p>
        </w:tc>
      </w:tr>
      <w:tr w:rsidR="00224102" w:rsidRPr="00604C75" w14:paraId="32D8A6D1" w14:textId="77777777" w:rsidTr="00AD726D">
        <w:trPr>
          <w:cantSplit/>
          <w:trHeight w:val="247"/>
        </w:trPr>
        <w:tc>
          <w:tcPr>
            <w:tcW w:w="5021" w:type="dxa"/>
            <w:vAlign w:val="bottom"/>
          </w:tcPr>
          <w:p w14:paraId="07168D51" w14:textId="1A13E0DF" w:rsidR="00224102" w:rsidRPr="00604C75" w:rsidRDefault="00224102" w:rsidP="00224102">
            <w:pPr>
              <w:rPr>
                <w:rFonts w:eastAsia="Arial Unicode MS"/>
                <w:sz w:val="18"/>
                <w:szCs w:val="18"/>
              </w:rPr>
            </w:pPr>
            <w:r w:rsidRPr="00604C75">
              <w:rPr>
                <w:rFonts w:eastAsia="Arial Unicode MS"/>
                <w:sz w:val="18"/>
                <w:szCs w:val="18"/>
              </w:rPr>
              <w:t>Reversal of Specific Loan Provisions</w:t>
            </w:r>
            <w:r>
              <w:rPr>
                <w:rFonts w:eastAsia="Arial Unicode MS"/>
                <w:sz w:val="18"/>
                <w:szCs w:val="18"/>
              </w:rPr>
              <w:t xml:space="preserve"> </w:t>
            </w:r>
            <w:r w:rsidRPr="00692926">
              <w:rPr>
                <w:rFonts w:eastAsia="Arial Unicode MS"/>
                <w:sz w:val="18"/>
                <w:szCs w:val="18"/>
              </w:rPr>
              <w:t>(*) (**)</w:t>
            </w:r>
            <w:r>
              <w:rPr>
                <w:rFonts w:eastAsia="Arial Unicode MS"/>
                <w:sz w:val="18"/>
                <w:szCs w:val="18"/>
              </w:rPr>
              <w:t xml:space="preserve"> (***)</w:t>
            </w:r>
          </w:p>
        </w:tc>
        <w:tc>
          <w:tcPr>
            <w:tcW w:w="2342" w:type="dxa"/>
            <w:vAlign w:val="bottom"/>
          </w:tcPr>
          <w:p w14:paraId="07381E97" w14:textId="1922BCA6" w:rsidR="00224102" w:rsidRPr="00692926" w:rsidRDefault="00224102" w:rsidP="00224102">
            <w:pPr>
              <w:ind w:right="56"/>
              <w:jc w:val="right"/>
              <w:rPr>
                <w:sz w:val="18"/>
                <w:szCs w:val="18"/>
              </w:rPr>
            </w:pPr>
            <w:r>
              <w:rPr>
                <w:sz w:val="18"/>
                <w:szCs w:val="18"/>
              </w:rPr>
              <w:t>145,434</w:t>
            </w:r>
          </w:p>
        </w:tc>
        <w:tc>
          <w:tcPr>
            <w:tcW w:w="2030" w:type="dxa"/>
            <w:vAlign w:val="bottom"/>
          </w:tcPr>
          <w:p w14:paraId="0EFA493F" w14:textId="32D13504" w:rsidR="00224102" w:rsidRPr="00692926" w:rsidRDefault="00224102" w:rsidP="00224102">
            <w:pPr>
              <w:ind w:right="56"/>
              <w:jc w:val="right"/>
              <w:rPr>
                <w:sz w:val="18"/>
                <w:szCs w:val="18"/>
              </w:rPr>
            </w:pPr>
            <w:r w:rsidRPr="00A36623">
              <w:rPr>
                <w:sz w:val="18"/>
                <w:szCs w:val="18"/>
              </w:rPr>
              <w:t>53</w:t>
            </w:r>
            <w:r>
              <w:rPr>
                <w:sz w:val="18"/>
                <w:szCs w:val="18"/>
              </w:rPr>
              <w:t>,</w:t>
            </w:r>
            <w:r w:rsidRPr="00A36623">
              <w:rPr>
                <w:sz w:val="18"/>
                <w:szCs w:val="18"/>
              </w:rPr>
              <w:t xml:space="preserve">193    </w:t>
            </w:r>
          </w:p>
        </w:tc>
      </w:tr>
      <w:tr w:rsidR="00224102" w:rsidRPr="00604C75" w14:paraId="001E6415" w14:textId="77777777" w:rsidTr="00AD726D">
        <w:trPr>
          <w:cantSplit/>
          <w:trHeight w:val="247"/>
        </w:trPr>
        <w:tc>
          <w:tcPr>
            <w:tcW w:w="5021" w:type="dxa"/>
            <w:vAlign w:val="bottom"/>
          </w:tcPr>
          <w:p w14:paraId="3C846ADB" w14:textId="77777777" w:rsidR="00224102" w:rsidRPr="00604C75" w:rsidRDefault="00224102" w:rsidP="00224102">
            <w:pPr>
              <w:rPr>
                <w:rFonts w:eastAsia="Arial Unicode MS"/>
                <w:sz w:val="18"/>
                <w:szCs w:val="18"/>
              </w:rPr>
            </w:pPr>
            <w:r w:rsidRPr="00604C75">
              <w:rPr>
                <w:rFonts w:eastAsia="Arial Unicode MS"/>
                <w:sz w:val="18"/>
                <w:szCs w:val="18"/>
              </w:rPr>
              <w:t xml:space="preserve">Gain on Sale of Property, Plant and Equipment </w:t>
            </w:r>
          </w:p>
        </w:tc>
        <w:tc>
          <w:tcPr>
            <w:tcW w:w="2342" w:type="dxa"/>
            <w:vAlign w:val="bottom"/>
          </w:tcPr>
          <w:p w14:paraId="3F041F9C" w14:textId="523FC0A0" w:rsidR="00224102" w:rsidRPr="00692926" w:rsidRDefault="00224102" w:rsidP="00224102">
            <w:pPr>
              <w:ind w:right="56"/>
              <w:jc w:val="right"/>
              <w:rPr>
                <w:sz w:val="18"/>
                <w:szCs w:val="18"/>
              </w:rPr>
            </w:pPr>
            <w:r>
              <w:rPr>
                <w:sz w:val="18"/>
                <w:szCs w:val="18"/>
              </w:rPr>
              <w:t>14,159</w:t>
            </w:r>
          </w:p>
        </w:tc>
        <w:tc>
          <w:tcPr>
            <w:tcW w:w="2030" w:type="dxa"/>
            <w:vAlign w:val="bottom"/>
          </w:tcPr>
          <w:p w14:paraId="1C3D8B86" w14:textId="55DA2392" w:rsidR="00224102" w:rsidRPr="00692926" w:rsidRDefault="00224102" w:rsidP="00224102">
            <w:pPr>
              <w:ind w:right="56"/>
              <w:jc w:val="right"/>
              <w:rPr>
                <w:sz w:val="18"/>
                <w:szCs w:val="18"/>
              </w:rPr>
            </w:pPr>
            <w:r w:rsidRPr="00A36623">
              <w:rPr>
                <w:sz w:val="18"/>
                <w:szCs w:val="18"/>
              </w:rPr>
              <w:t>14</w:t>
            </w:r>
            <w:r>
              <w:rPr>
                <w:sz w:val="18"/>
                <w:szCs w:val="18"/>
              </w:rPr>
              <w:t>,</w:t>
            </w:r>
            <w:r w:rsidRPr="00A36623">
              <w:rPr>
                <w:sz w:val="18"/>
                <w:szCs w:val="18"/>
              </w:rPr>
              <w:t>480</w:t>
            </w:r>
          </w:p>
        </w:tc>
      </w:tr>
      <w:tr w:rsidR="00224102" w:rsidRPr="00604C75" w14:paraId="215A221C" w14:textId="77777777" w:rsidTr="00AD726D">
        <w:trPr>
          <w:cantSplit/>
          <w:trHeight w:val="247"/>
        </w:trPr>
        <w:tc>
          <w:tcPr>
            <w:tcW w:w="5021" w:type="dxa"/>
            <w:vAlign w:val="bottom"/>
          </w:tcPr>
          <w:p w14:paraId="28F22949" w14:textId="68D3A9D3" w:rsidR="00224102" w:rsidRPr="00604C75" w:rsidRDefault="00224102" w:rsidP="00224102">
            <w:pPr>
              <w:rPr>
                <w:rFonts w:eastAsia="Arial Unicode MS"/>
                <w:sz w:val="18"/>
                <w:szCs w:val="18"/>
              </w:rPr>
            </w:pPr>
            <w:r w:rsidRPr="00604C75">
              <w:rPr>
                <w:rFonts w:eastAsia="Arial Unicode MS"/>
                <w:sz w:val="18"/>
                <w:szCs w:val="18"/>
              </w:rPr>
              <w:t xml:space="preserve">Provision for the Expenses </w:t>
            </w:r>
            <w:r>
              <w:rPr>
                <w:rFonts w:eastAsia="Arial Unicode MS"/>
                <w:sz w:val="18"/>
                <w:szCs w:val="18"/>
              </w:rPr>
              <w:t>R</w:t>
            </w:r>
            <w:r w:rsidRPr="00604C75">
              <w:rPr>
                <w:rFonts w:eastAsia="Arial Unicode MS"/>
                <w:sz w:val="18"/>
                <w:szCs w:val="18"/>
              </w:rPr>
              <w:t>ecovered from Customers</w:t>
            </w:r>
          </w:p>
        </w:tc>
        <w:tc>
          <w:tcPr>
            <w:tcW w:w="2342" w:type="dxa"/>
            <w:vAlign w:val="bottom"/>
          </w:tcPr>
          <w:p w14:paraId="6D269D13" w14:textId="31A0FE19" w:rsidR="00224102" w:rsidRPr="00692926" w:rsidRDefault="00224102" w:rsidP="00224102">
            <w:pPr>
              <w:ind w:right="56"/>
              <w:jc w:val="right"/>
              <w:rPr>
                <w:sz w:val="18"/>
                <w:szCs w:val="18"/>
              </w:rPr>
            </w:pPr>
            <w:r>
              <w:rPr>
                <w:sz w:val="18"/>
                <w:szCs w:val="18"/>
              </w:rPr>
              <w:t>3,303</w:t>
            </w:r>
          </w:p>
        </w:tc>
        <w:tc>
          <w:tcPr>
            <w:tcW w:w="2030" w:type="dxa"/>
            <w:vAlign w:val="bottom"/>
          </w:tcPr>
          <w:p w14:paraId="7D64DC08" w14:textId="3A84231E" w:rsidR="00224102" w:rsidRPr="00692926" w:rsidRDefault="00224102" w:rsidP="00224102">
            <w:pPr>
              <w:ind w:right="56"/>
              <w:jc w:val="right"/>
              <w:rPr>
                <w:sz w:val="18"/>
                <w:szCs w:val="18"/>
              </w:rPr>
            </w:pPr>
            <w:r w:rsidRPr="00A36623">
              <w:rPr>
                <w:sz w:val="18"/>
                <w:szCs w:val="18"/>
              </w:rPr>
              <w:t>2</w:t>
            </w:r>
            <w:r>
              <w:rPr>
                <w:sz w:val="18"/>
                <w:szCs w:val="18"/>
              </w:rPr>
              <w:t>,</w:t>
            </w:r>
            <w:r w:rsidRPr="00A36623">
              <w:rPr>
                <w:sz w:val="18"/>
                <w:szCs w:val="18"/>
              </w:rPr>
              <w:t xml:space="preserve">335    </w:t>
            </w:r>
          </w:p>
        </w:tc>
      </w:tr>
      <w:tr w:rsidR="00224102" w:rsidRPr="00604C75" w14:paraId="3B59EF85" w14:textId="77777777" w:rsidTr="00AD726D">
        <w:trPr>
          <w:cantSplit/>
          <w:trHeight w:val="247"/>
        </w:trPr>
        <w:tc>
          <w:tcPr>
            <w:tcW w:w="5021" w:type="dxa"/>
            <w:vAlign w:val="bottom"/>
          </w:tcPr>
          <w:p w14:paraId="19DB41C0" w14:textId="77777777" w:rsidR="00224102" w:rsidRPr="00604C75" w:rsidRDefault="00224102" w:rsidP="00224102">
            <w:pPr>
              <w:rPr>
                <w:rFonts w:eastAsia="Arial Unicode MS"/>
                <w:sz w:val="18"/>
                <w:szCs w:val="18"/>
              </w:rPr>
            </w:pPr>
            <w:r w:rsidRPr="00604C75">
              <w:rPr>
                <w:rFonts w:eastAsia="Arial Unicode MS"/>
                <w:sz w:val="18"/>
                <w:szCs w:val="18"/>
              </w:rPr>
              <w:t>Provision for Communication Expenses Received from Customers</w:t>
            </w:r>
          </w:p>
        </w:tc>
        <w:tc>
          <w:tcPr>
            <w:tcW w:w="2342" w:type="dxa"/>
            <w:vAlign w:val="bottom"/>
          </w:tcPr>
          <w:p w14:paraId="0B76115C" w14:textId="1C84C0B8" w:rsidR="00224102" w:rsidRPr="00692926" w:rsidRDefault="00224102" w:rsidP="00224102">
            <w:pPr>
              <w:ind w:right="56"/>
              <w:jc w:val="right"/>
              <w:rPr>
                <w:sz w:val="18"/>
                <w:szCs w:val="18"/>
              </w:rPr>
            </w:pPr>
            <w:r>
              <w:rPr>
                <w:sz w:val="18"/>
                <w:szCs w:val="18"/>
              </w:rPr>
              <w:t>1,981</w:t>
            </w:r>
          </w:p>
        </w:tc>
        <w:tc>
          <w:tcPr>
            <w:tcW w:w="2030" w:type="dxa"/>
            <w:vAlign w:val="bottom"/>
          </w:tcPr>
          <w:p w14:paraId="4B84A926" w14:textId="1B35B126" w:rsidR="00224102" w:rsidRPr="00692926" w:rsidRDefault="00224102" w:rsidP="00224102">
            <w:pPr>
              <w:ind w:right="56"/>
              <w:jc w:val="right"/>
              <w:rPr>
                <w:sz w:val="18"/>
                <w:szCs w:val="18"/>
              </w:rPr>
            </w:pPr>
            <w:r w:rsidRPr="00A36623">
              <w:rPr>
                <w:sz w:val="18"/>
                <w:szCs w:val="18"/>
              </w:rPr>
              <w:t>3</w:t>
            </w:r>
            <w:r>
              <w:rPr>
                <w:sz w:val="18"/>
                <w:szCs w:val="18"/>
              </w:rPr>
              <w:t>,</w:t>
            </w:r>
            <w:r w:rsidRPr="00A36623">
              <w:rPr>
                <w:sz w:val="18"/>
                <w:szCs w:val="18"/>
              </w:rPr>
              <w:t xml:space="preserve">220    </w:t>
            </w:r>
          </w:p>
        </w:tc>
      </w:tr>
      <w:tr w:rsidR="00224102" w:rsidRPr="00604C75" w14:paraId="404789DF" w14:textId="77777777" w:rsidTr="00AD726D">
        <w:trPr>
          <w:cantSplit/>
          <w:trHeight w:val="247"/>
        </w:trPr>
        <w:tc>
          <w:tcPr>
            <w:tcW w:w="5021" w:type="dxa"/>
            <w:vAlign w:val="bottom"/>
          </w:tcPr>
          <w:p w14:paraId="04469D8F" w14:textId="77777777" w:rsidR="00224102" w:rsidRPr="00604C75" w:rsidRDefault="00224102" w:rsidP="00224102">
            <w:pPr>
              <w:rPr>
                <w:rFonts w:eastAsia="Arial Unicode MS"/>
                <w:sz w:val="18"/>
                <w:szCs w:val="18"/>
              </w:rPr>
            </w:pPr>
            <w:r w:rsidRPr="00604C75">
              <w:rPr>
                <w:rFonts w:eastAsia="Arial Unicode MS"/>
                <w:sz w:val="18"/>
                <w:szCs w:val="18"/>
              </w:rPr>
              <w:t xml:space="preserve">Reversal of Provision Possible Risks </w:t>
            </w:r>
          </w:p>
        </w:tc>
        <w:tc>
          <w:tcPr>
            <w:tcW w:w="2342" w:type="dxa"/>
            <w:vAlign w:val="bottom"/>
          </w:tcPr>
          <w:p w14:paraId="24171B11" w14:textId="40285152" w:rsidR="00224102" w:rsidRPr="00692926" w:rsidRDefault="00224102" w:rsidP="00224102">
            <w:pPr>
              <w:ind w:right="56"/>
              <w:jc w:val="right"/>
              <w:rPr>
                <w:sz w:val="18"/>
                <w:szCs w:val="18"/>
              </w:rPr>
            </w:pPr>
            <w:r>
              <w:rPr>
                <w:sz w:val="18"/>
                <w:szCs w:val="18"/>
              </w:rPr>
              <w:t>1,371</w:t>
            </w:r>
          </w:p>
        </w:tc>
        <w:tc>
          <w:tcPr>
            <w:tcW w:w="2030" w:type="dxa"/>
            <w:vAlign w:val="bottom"/>
          </w:tcPr>
          <w:p w14:paraId="257623C9" w14:textId="43152954" w:rsidR="00224102" w:rsidRPr="00692926" w:rsidRDefault="00224102" w:rsidP="00224102">
            <w:pPr>
              <w:ind w:right="56"/>
              <w:jc w:val="right"/>
              <w:rPr>
                <w:rFonts w:eastAsia="Arial Unicode MS"/>
                <w:sz w:val="18"/>
                <w:szCs w:val="18"/>
              </w:rPr>
            </w:pPr>
            <w:r>
              <w:rPr>
                <w:rFonts w:eastAsia="Arial Unicode MS"/>
                <w:sz w:val="18"/>
                <w:szCs w:val="18"/>
              </w:rPr>
              <w:t>-</w:t>
            </w:r>
          </w:p>
        </w:tc>
      </w:tr>
      <w:tr w:rsidR="00224102" w:rsidRPr="00604C75" w14:paraId="5B91DD3A" w14:textId="77777777" w:rsidTr="00AD726D">
        <w:trPr>
          <w:cantSplit/>
          <w:trHeight w:val="247"/>
        </w:trPr>
        <w:tc>
          <w:tcPr>
            <w:tcW w:w="5021" w:type="dxa"/>
            <w:vAlign w:val="bottom"/>
          </w:tcPr>
          <w:p w14:paraId="1380FE2A" w14:textId="77777777" w:rsidR="00224102" w:rsidRPr="00604C75" w:rsidRDefault="00224102" w:rsidP="00224102">
            <w:pPr>
              <w:rPr>
                <w:rFonts w:eastAsia="Arial Unicode MS"/>
                <w:sz w:val="18"/>
                <w:szCs w:val="18"/>
              </w:rPr>
            </w:pPr>
            <w:r w:rsidRPr="00604C75">
              <w:rPr>
                <w:rFonts w:eastAsia="Arial Unicode MS"/>
                <w:sz w:val="18"/>
                <w:szCs w:val="18"/>
              </w:rPr>
              <w:t>Operating Lease Income</w:t>
            </w:r>
          </w:p>
        </w:tc>
        <w:tc>
          <w:tcPr>
            <w:tcW w:w="2342" w:type="dxa"/>
            <w:vAlign w:val="bottom"/>
          </w:tcPr>
          <w:p w14:paraId="56A3560A" w14:textId="1DF0FDAE" w:rsidR="00224102" w:rsidRPr="00692926" w:rsidRDefault="00224102" w:rsidP="00224102">
            <w:pPr>
              <w:ind w:right="56"/>
              <w:jc w:val="right"/>
              <w:rPr>
                <w:sz w:val="18"/>
                <w:szCs w:val="18"/>
              </w:rPr>
            </w:pPr>
            <w:r>
              <w:rPr>
                <w:sz w:val="18"/>
                <w:szCs w:val="18"/>
              </w:rPr>
              <w:t>-</w:t>
            </w:r>
          </w:p>
        </w:tc>
        <w:tc>
          <w:tcPr>
            <w:tcW w:w="2030" w:type="dxa"/>
            <w:vAlign w:val="bottom"/>
          </w:tcPr>
          <w:p w14:paraId="5328B418" w14:textId="69AC4417" w:rsidR="00224102" w:rsidRPr="00692926" w:rsidRDefault="00224102" w:rsidP="00224102">
            <w:pPr>
              <w:ind w:right="56"/>
              <w:jc w:val="right"/>
              <w:rPr>
                <w:rFonts w:eastAsia="Arial Unicode MS"/>
                <w:sz w:val="18"/>
                <w:szCs w:val="18"/>
              </w:rPr>
            </w:pPr>
            <w:r>
              <w:rPr>
                <w:rFonts w:eastAsia="Arial Unicode MS"/>
                <w:sz w:val="18"/>
                <w:szCs w:val="18"/>
              </w:rPr>
              <w:t>-</w:t>
            </w:r>
          </w:p>
        </w:tc>
      </w:tr>
      <w:tr w:rsidR="00224102" w:rsidRPr="00604C75" w14:paraId="5F02E248" w14:textId="77777777" w:rsidTr="00AD726D">
        <w:trPr>
          <w:cantSplit/>
          <w:trHeight w:val="247"/>
        </w:trPr>
        <w:tc>
          <w:tcPr>
            <w:tcW w:w="5021" w:type="dxa"/>
            <w:vAlign w:val="bottom"/>
          </w:tcPr>
          <w:p w14:paraId="05E0D21D" w14:textId="77777777" w:rsidR="00224102" w:rsidRPr="00604C75" w:rsidRDefault="00224102" w:rsidP="00224102">
            <w:pPr>
              <w:rPr>
                <w:rFonts w:eastAsia="Arial Unicode MS"/>
                <w:sz w:val="18"/>
                <w:szCs w:val="18"/>
              </w:rPr>
            </w:pPr>
            <w:r w:rsidRPr="00604C75">
              <w:rPr>
                <w:rFonts w:eastAsia="Arial Unicode MS"/>
                <w:sz w:val="18"/>
                <w:szCs w:val="18"/>
              </w:rPr>
              <w:t>Other</w:t>
            </w:r>
          </w:p>
        </w:tc>
        <w:tc>
          <w:tcPr>
            <w:tcW w:w="2342" w:type="dxa"/>
            <w:vAlign w:val="bottom"/>
          </w:tcPr>
          <w:p w14:paraId="1CE9666C" w14:textId="40F36AD9" w:rsidR="00224102" w:rsidRPr="00692926" w:rsidRDefault="00224102" w:rsidP="00224102">
            <w:pPr>
              <w:ind w:right="56"/>
              <w:jc w:val="right"/>
              <w:rPr>
                <w:sz w:val="18"/>
                <w:szCs w:val="18"/>
              </w:rPr>
            </w:pPr>
            <w:r>
              <w:rPr>
                <w:sz w:val="18"/>
                <w:szCs w:val="18"/>
              </w:rPr>
              <w:t>3,846</w:t>
            </w:r>
          </w:p>
        </w:tc>
        <w:tc>
          <w:tcPr>
            <w:tcW w:w="2030" w:type="dxa"/>
            <w:vAlign w:val="bottom"/>
          </w:tcPr>
          <w:p w14:paraId="410B0671" w14:textId="027CE692" w:rsidR="00224102" w:rsidRPr="00692926" w:rsidRDefault="00224102" w:rsidP="00224102">
            <w:pPr>
              <w:ind w:right="56"/>
              <w:jc w:val="right"/>
              <w:rPr>
                <w:sz w:val="18"/>
                <w:szCs w:val="18"/>
              </w:rPr>
            </w:pPr>
            <w:r w:rsidRPr="00A36623">
              <w:rPr>
                <w:sz w:val="18"/>
                <w:szCs w:val="18"/>
              </w:rPr>
              <w:t>9</w:t>
            </w:r>
            <w:r>
              <w:rPr>
                <w:sz w:val="18"/>
                <w:szCs w:val="18"/>
              </w:rPr>
              <w:t>,</w:t>
            </w:r>
            <w:r w:rsidRPr="00A36623">
              <w:rPr>
                <w:sz w:val="18"/>
                <w:szCs w:val="18"/>
              </w:rPr>
              <w:t>140</w:t>
            </w:r>
          </w:p>
        </w:tc>
      </w:tr>
      <w:tr w:rsidR="00224102" w:rsidRPr="00604C75" w14:paraId="72CE405D" w14:textId="77777777" w:rsidTr="00AD726D">
        <w:trPr>
          <w:cantSplit/>
          <w:trHeight w:val="247"/>
        </w:trPr>
        <w:tc>
          <w:tcPr>
            <w:tcW w:w="5021" w:type="dxa"/>
            <w:vAlign w:val="bottom"/>
          </w:tcPr>
          <w:p w14:paraId="0CAFDE11" w14:textId="77777777" w:rsidR="00224102" w:rsidRPr="00604C75" w:rsidRDefault="00224102" w:rsidP="00224102">
            <w:pPr>
              <w:jc w:val="both"/>
              <w:rPr>
                <w:rFonts w:eastAsia="Arial Unicode MS"/>
                <w:b/>
                <w:sz w:val="18"/>
                <w:szCs w:val="18"/>
              </w:rPr>
            </w:pPr>
            <w:r w:rsidRPr="00604C75">
              <w:rPr>
                <w:rFonts w:eastAsia="Arial Unicode MS"/>
                <w:b/>
                <w:sz w:val="18"/>
                <w:szCs w:val="18"/>
              </w:rPr>
              <w:t>Total</w:t>
            </w:r>
          </w:p>
        </w:tc>
        <w:tc>
          <w:tcPr>
            <w:tcW w:w="2342" w:type="dxa"/>
            <w:vAlign w:val="bottom"/>
          </w:tcPr>
          <w:p w14:paraId="51E6F9F5" w14:textId="5EB49A89" w:rsidR="00224102" w:rsidRPr="00692926" w:rsidRDefault="00224102" w:rsidP="00224102">
            <w:pPr>
              <w:tabs>
                <w:tab w:val="left" w:pos="0"/>
              </w:tabs>
              <w:ind w:right="42"/>
              <w:jc w:val="right"/>
              <w:rPr>
                <w:b/>
                <w:sz w:val="18"/>
                <w:szCs w:val="18"/>
              </w:rPr>
            </w:pPr>
            <w:r>
              <w:rPr>
                <w:b/>
                <w:sz w:val="18"/>
                <w:szCs w:val="18"/>
              </w:rPr>
              <w:t>170,094</w:t>
            </w:r>
          </w:p>
        </w:tc>
        <w:tc>
          <w:tcPr>
            <w:tcW w:w="2030" w:type="dxa"/>
            <w:vAlign w:val="bottom"/>
          </w:tcPr>
          <w:p w14:paraId="2510064B" w14:textId="0675EBCE" w:rsidR="00224102" w:rsidRPr="00692926" w:rsidRDefault="00224102" w:rsidP="00224102">
            <w:pPr>
              <w:ind w:right="56"/>
              <w:jc w:val="right"/>
              <w:rPr>
                <w:b/>
                <w:sz w:val="18"/>
                <w:szCs w:val="18"/>
              </w:rPr>
            </w:pPr>
            <w:r w:rsidRPr="00A36623">
              <w:rPr>
                <w:b/>
                <w:sz w:val="18"/>
                <w:szCs w:val="18"/>
              </w:rPr>
              <w:t>82</w:t>
            </w:r>
            <w:r>
              <w:rPr>
                <w:b/>
                <w:sz w:val="18"/>
                <w:szCs w:val="18"/>
              </w:rPr>
              <w:t>,</w:t>
            </w:r>
            <w:r w:rsidRPr="00A36623">
              <w:rPr>
                <w:b/>
                <w:sz w:val="18"/>
                <w:szCs w:val="18"/>
              </w:rPr>
              <w:t>368</w:t>
            </w:r>
          </w:p>
        </w:tc>
      </w:tr>
    </w:tbl>
    <w:p w14:paraId="6D88E661" w14:textId="0E541390" w:rsidR="00196A0E" w:rsidRPr="00742556" w:rsidRDefault="00196A0E" w:rsidP="00CD1C88">
      <w:pPr>
        <w:pStyle w:val="BodyTextIndent"/>
        <w:tabs>
          <w:tab w:val="left" w:pos="2552"/>
        </w:tabs>
        <w:spacing w:before="60" w:after="0"/>
        <w:ind w:left="14" w:right="-437"/>
        <w:jc w:val="both"/>
        <w:rPr>
          <w:sz w:val="16"/>
          <w:szCs w:val="16"/>
        </w:rPr>
      </w:pPr>
      <w:r w:rsidRPr="00742556">
        <w:rPr>
          <w:sz w:val="16"/>
          <w:szCs w:val="16"/>
        </w:rPr>
        <w:t>(*)</w:t>
      </w:r>
      <w:r>
        <w:rPr>
          <w:sz w:val="16"/>
          <w:szCs w:val="16"/>
        </w:rPr>
        <w:t xml:space="preserve">     The Parent Bank has disposed </w:t>
      </w:r>
      <w:proofErr w:type="spellStart"/>
      <w:r>
        <w:rPr>
          <w:sz w:val="16"/>
          <w:szCs w:val="16"/>
        </w:rPr>
        <w:t>n</w:t>
      </w:r>
      <w:r w:rsidRPr="008B6C6C">
        <w:rPr>
          <w:sz w:val="16"/>
          <w:szCs w:val="16"/>
        </w:rPr>
        <w:t>on performing</w:t>
      </w:r>
      <w:proofErr w:type="spellEnd"/>
      <w:r w:rsidRPr="008B6C6C">
        <w:rPr>
          <w:sz w:val="16"/>
          <w:szCs w:val="16"/>
        </w:rPr>
        <w:t xml:space="preserve"> </w:t>
      </w:r>
      <w:r>
        <w:rPr>
          <w:sz w:val="16"/>
          <w:szCs w:val="16"/>
        </w:rPr>
        <w:t>loan correspond</w:t>
      </w:r>
      <w:r w:rsidR="00BF071E">
        <w:rPr>
          <w:sz w:val="16"/>
          <w:szCs w:val="16"/>
        </w:rPr>
        <w:t>s</w:t>
      </w:r>
      <w:r>
        <w:rPr>
          <w:sz w:val="16"/>
          <w:szCs w:val="16"/>
        </w:rPr>
        <w:t xml:space="preserve"> to</w:t>
      </w:r>
      <w:r w:rsidRPr="008B6C6C">
        <w:rPr>
          <w:sz w:val="16"/>
          <w:szCs w:val="16"/>
        </w:rPr>
        <w:t xml:space="preserve"> </w:t>
      </w:r>
      <w:r w:rsidR="00BD1D3E">
        <w:rPr>
          <w:sz w:val="16"/>
          <w:szCs w:val="16"/>
        </w:rPr>
        <w:t>provision amount</w:t>
      </w:r>
      <w:r w:rsidR="00BD1D3E" w:rsidRPr="008B6C6C">
        <w:rPr>
          <w:sz w:val="16"/>
          <w:szCs w:val="16"/>
        </w:rPr>
        <w:t xml:space="preserve"> </w:t>
      </w:r>
      <w:r w:rsidR="00BD1D3E">
        <w:rPr>
          <w:sz w:val="16"/>
          <w:szCs w:val="16"/>
        </w:rPr>
        <w:t xml:space="preserve">of </w:t>
      </w:r>
      <w:r w:rsidRPr="008B6C6C">
        <w:rPr>
          <w:sz w:val="16"/>
          <w:szCs w:val="16"/>
        </w:rPr>
        <w:t xml:space="preserve">TL 15,199 and </w:t>
      </w:r>
      <w:r>
        <w:rPr>
          <w:sz w:val="16"/>
          <w:szCs w:val="16"/>
        </w:rPr>
        <w:t xml:space="preserve">has </w:t>
      </w:r>
      <w:r w:rsidRPr="008B6C6C">
        <w:rPr>
          <w:sz w:val="16"/>
          <w:szCs w:val="16"/>
        </w:rPr>
        <w:t xml:space="preserve">collected TL 2,500 </w:t>
      </w:r>
      <w:r>
        <w:rPr>
          <w:sz w:val="16"/>
          <w:szCs w:val="16"/>
        </w:rPr>
        <w:t>on 31 March 2015</w:t>
      </w:r>
      <w:r w:rsidRPr="00742556">
        <w:rPr>
          <w:sz w:val="16"/>
          <w:szCs w:val="16"/>
        </w:rPr>
        <w:t xml:space="preserve">. </w:t>
      </w:r>
    </w:p>
    <w:p w14:paraId="37FAF978" w14:textId="6D340B1D" w:rsidR="00196A0E" w:rsidRDefault="00196A0E" w:rsidP="00CD1C88">
      <w:pPr>
        <w:pStyle w:val="BodyTextIndent"/>
        <w:tabs>
          <w:tab w:val="left" w:pos="0"/>
          <w:tab w:val="left" w:pos="709"/>
        </w:tabs>
        <w:spacing w:before="60" w:after="0"/>
        <w:ind w:left="14"/>
        <w:jc w:val="both"/>
        <w:rPr>
          <w:sz w:val="16"/>
          <w:szCs w:val="16"/>
        </w:rPr>
      </w:pPr>
      <w:r w:rsidRPr="00D26B75">
        <w:rPr>
          <w:sz w:val="16"/>
          <w:szCs w:val="16"/>
        </w:rPr>
        <w:t>(**)</w:t>
      </w:r>
      <w:r>
        <w:rPr>
          <w:sz w:val="16"/>
          <w:szCs w:val="16"/>
        </w:rPr>
        <w:t xml:space="preserve">   The Parent Bank has disposed </w:t>
      </w:r>
      <w:proofErr w:type="spellStart"/>
      <w:r>
        <w:rPr>
          <w:sz w:val="16"/>
          <w:szCs w:val="16"/>
        </w:rPr>
        <w:t>n</w:t>
      </w:r>
      <w:r w:rsidRPr="008B6C6C">
        <w:rPr>
          <w:sz w:val="16"/>
          <w:szCs w:val="16"/>
        </w:rPr>
        <w:t>on per</w:t>
      </w:r>
      <w:r>
        <w:rPr>
          <w:sz w:val="16"/>
          <w:szCs w:val="16"/>
        </w:rPr>
        <w:t>forming</w:t>
      </w:r>
      <w:proofErr w:type="spellEnd"/>
      <w:r>
        <w:rPr>
          <w:sz w:val="16"/>
          <w:szCs w:val="16"/>
        </w:rPr>
        <w:t xml:space="preserve"> loans correspond to </w:t>
      </w:r>
      <w:r w:rsidR="00BD1D3E">
        <w:rPr>
          <w:sz w:val="16"/>
          <w:szCs w:val="16"/>
        </w:rPr>
        <w:t xml:space="preserve">provision amount of </w:t>
      </w:r>
      <w:r>
        <w:rPr>
          <w:sz w:val="16"/>
          <w:szCs w:val="16"/>
        </w:rPr>
        <w:t>TL 113,584</w:t>
      </w:r>
      <w:r w:rsidRPr="008B6C6C">
        <w:rPr>
          <w:sz w:val="16"/>
          <w:szCs w:val="16"/>
        </w:rPr>
        <w:t xml:space="preserve"> to </w:t>
      </w:r>
      <w:proofErr w:type="spellStart"/>
      <w:r w:rsidRPr="008B6C6C">
        <w:rPr>
          <w:sz w:val="16"/>
          <w:szCs w:val="16"/>
        </w:rPr>
        <w:t>Güven</w:t>
      </w:r>
      <w:proofErr w:type="spellEnd"/>
      <w:r w:rsidRPr="008B6C6C">
        <w:rPr>
          <w:sz w:val="16"/>
          <w:szCs w:val="16"/>
        </w:rPr>
        <w:t xml:space="preserve"> </w:t>
      </w:r>
      <w:proofErr w:type="spellStart"/>
      <w:r w:rsidRPr="008B6C6C">
        <w:rPr>
          <w:sz w:val="16"/>
          <w:szCs w:val="16"/>
        </w:rPr>
        <w:t>Varlık</w:t>
      </w:r>
      <w:proofErr w:type="spellEnd"/>
      <w:r w:rsidRPr="008B6C6C">
        <w:rPr>
          <w:sz w:val="16"/>
          <w:szCs w:val="16"/>
        </w:rPr>
        <w:t xml:space="preserve"> </w:t>
      </w:r>
      <w:proofErr w:type="spellStart"/>
      <w:r w:rsidRPr="008B6C6C">
        <w:rPr>
          <w:sz w:val="16"/>
          <w:szCs w:val="16"/>
        </w:rPr>
        <w:t>Yönetim</w:t>
      </w:r>
      <w:proofErr w:type="spellEnd"/>
      <w:r w:rsidRPr="008B6C6C">
        <w:rPr>
          <w:sz w:val="16"/>
          <w:szCs w:val="16"/>
        </w:rPr>
        <w:t xml:space="preserve"> A.Ş and </w:t>
      </w:r>
      <w:r>
        <w:rPr>
          <w:sz w:val="16"/>
          <w:szCs w:val="16"/>
        </w:rPr>
        <w:t xml:space="preserve">has </w:t>
      </w:r>
      <w:r w:rsidRPr="008B6C6C">
        <w:rPr>
          <w:sz w:val="16"/>
          <w:szCs w:val="16"/>
        </w:rPr>
        <w:t xml:space="preserve">collected TL 4,650 </w:t>
      </w:r>
      <w:r>
        <w:rPr>
          <w:sz w:val="16"/>
          <w:szCs w:val="16"/>
        </w:rPr>
        <w:t>on</w:t>
      </w:r>
      <w:r w:rsidRPr="008B6C6C">
        <w:rPr>
          <w:sz w:val="16"/>
          <w:szCs w:val="16"/>
        </w:rPr>
        <w:t xml:space="preserve"> 5 May</w:t>
      </w:r>
      <w:r>
        <w:rPr>
          <w:sz w:val="16"/>
          <w:szCs w:val="16"/>
        </w:rPr>
        <w:t xml:space="preserve"> </w:t>
      </w:r>
      <w:r w:rsidRPr="008B6C6C">
        <w:rPr>
          <w:sz w:val="16"/>
          <w:szCs w:val="16"/>
        </w:rPr>
        <w:t>2015</w:t>
      </w:r>
      <w:r w:rsidRPr="00B752D1">
        <w:rPr>
          <w:sz w:val="16"/>
          <w:szCs w:val="16"/>
        </w:rPr>
        <w:t>.</w:t>
      </w:r>
    </w:p>
    <w:p w14:paraId="2CB1510D" w14:textId="77777777" w:rsidR="00991CC2" w:rsidRDefault="00196A0E" w:rsidP="00CD1C88">
      <w:pPr>
        <w:pStyle w:val="BodyTextIndent"/>
        <w:tabs>
          <w:tab w:val="left" w:pos="2552"/>
        </w:tabs>
        <w:spacing w:before="60" w:after="0"/>
        <w:ind w:left="11" w:right="-215"/>
        <w:jc w:val="both"/>
        <w:rPr>
          <w:sz w:val="16"/>
          <w:szCs w:val="16"/>
        </w:rPr>
      </w:pPr>
      <w:r w:rsidRPr="00742556">
        <w:rPr>
          <w:sz w:val="16"/>
          <w:szCs w:val="16"/>
        </w:rPr>
        <w:t>(*</w:t>
      </w:r>
      <w:r>
        <w:rPr>
          <w:sz w:val="16"/>
          <w:szCs w:val="16"/>
        </w:rPr>
        <w:t>**</w:t>
      </w:r>
      <w:r w:rsidRPr="00742556">
        <w:rPr>
          <w:sz w:val="16"/>
          <w:szCs w:val="16"/>
        </w:rPr>
        <w:t>)</w:t>
      </w:r>
      <w:r>
        <w:rPr>
          <w:sz w:val="16"/>
          <w:szCs w:val="16"/>
        </w:rPr>
        <w:t xml:space="preserve"> </w:t>
      </w:r>
      <w:proofErr w:type="spellStart"/>
      <w:r>
        <w:rPr>
          <w:sz w:val="16"/>
          <w:szCs w:val="16"/>
        </w:rPr>
        <w:t>Alternatif</w:t>
      </w:r>
      <w:proofErr w:type="spellEnd"/>
      <w:r>
        <w:rPr>
          <w:sz w:val="16"/>
          <w:szCs w:val="16"/>
        </w:rPr>
        <w:t xml:space="preserve"> </w:t>
      </w:r>
      <w:proofErr w:type="spellStart"/>
      <w:r>
        <w:rPr>
          <w:sz w:val="16"/>
          <w:szCs w:val="16"/>
        </w:rPr>
        <w:t>Finansal</w:t>
      </w:r>
      <w:proofErr w:type="spellEnd"/>
      <w:r>
        <w:rPr>
          <w:sz w:val="16"/>
          <w:szCs w:val="16"/>
        </w:rPr>
        <w:t xml:space="preserve"> </w:t>
      </w:r>
      <w:proofErr w:type="spellStart"/>
      <w:r>
        <w:rPr>
          <w:sz w:val="16"/>
          <w:szCs w:val="16"/>
        </w:rPr>
        <w:t>Kiralama</w:t>
      </w:r>
      <w:proofErr w:type="spellEnd"/>
      <w:r>
        <w:rPr>
          <w:sz w:val="16"/>
          <w:szCs w:val="16"/>
        </w:rPr>
        <w:t xml:space="preserve"> A.Ş. has sold </w:t>
      </w:r>
      <w:proofErr w:type="spellStart"/>
      <w:r>
        <w:rPr>
          <w:sz w:val="16"/>
          <w:szCs w:val="16"/>
        </w:rPr>
        <w:t>n</w:t>
      </w:r>
      <w:r w:rsidRPr="008B6C6C">
        <w:rPr>
          <w:sz w:val="16"/>
          <w:szCs w:val="16"/>
        </w:rPr>
        <w:t>on performing</w:t>
      </w:r>
      <w:proofErr w:type="spellEnd"/>
      <w:r w:rsidRPr="008B6C6C">
        <w:rPr>
          <w:sz w:val="16"/>
          <w:szCs w:val="16"/>
        </w:rPr>
        <w:t xml:space="preserve"> </w:t>
      </w:r>
      <w:r>
        <w:rPr>
          <w:sz w:val="16"/>
          <w:szCs w:val="16"/>
        </w:rPr>
        <w:t>loans correspond to</w:t>
      </w:r>
      <w:r w:rsidRPr="008B6C6C">
        <w:rPr>
          <w:sz w:val="16"/>
          <w:szCs w:val="16"/>
        </w:rPr>
        <w:t xml:space="preserve"> </w:t>
      </w:r>
      <w:r w:rsidR="00BD1D3E">
        <w:rPr>
          <w:sz w:val="16"/>
          <w:szCs w:val="16"/>
        </w:rPr>
        <w:t>provision amount</w:t>
      </w:r>
      <w:r w:rsidR="00BD1D3E" w:rsidRPr="008B6C6C">
        <w:rPr>
          <w:sz w:val="16"/>
          <w:szCs w:val="16"/>
        </w:rPr>
        <w:t xml:space="preserve"> </w:t>
      </w:r>
      <w:r w:rsidR="00BD1D3E">
        <w:rPr>
          <w:sz w:val="16"/>
          <w:szCs w:val="16"/>
        </w:rPr>
        <w:t xml:space="preserve">of </w:t>
      </w:r>
      <w:r w:rsidRPr="008B6C6C">
        <w:rPr>
          <w:sz w:val="16"/>
          <w:szCs w:val="16"/>
        </w:rPr>
        <w:t xml:space="preserve">TL </w:t>
      </w:r>
      <w:r>
        <w:rPr>
          <w:sz w:val="16"/>
          <w:szCs w:val="16"/>
        </w:rPr>
        <w:t>9</w:t>
      </w:r>
      <w:r w:rsidRPr="008B6C6C">
        <w:rPr>
          <w:sz w:val="16"/>
          <w:szCs w:val="16"/>
        </w:rPr>
        <w:t>,1</w:t>
      </w:r>
      <w:r>
        <w:rPr>
          <w:sz w:val="16"/>
          <w:szCs w:val="16"/>
        </w:rPr>
        <w:t>42</w:t>
      </w:r>
      <w:r w:rsidRPr="008B6C6C">
        <w:rPr>
          <w:sz w:val="16"/>
          <w:szCs w:val="16"/>
        </w:rPr>
        <w:t xml:space="preserve"> </w:t>
      </w:r>
      <w:r w:rsidR="00BF071E">
        <w:rPr>
          <w:sz w:val="16"/>
          <w:szCs w:val="16"/>
        </w:rPr>
        <w:t xml:space="preserve">to </w:t>
      </w:r>
      <w:proofErr w:type="spellStart"/>
      <w:r w:rsidR="00BF071E">
        <w:rPr>
          <w:sz w:val="16"/>
          <w:szCs w:val="16"/>
        </w:rPr>
        <w:t>Artı</w:t>
      </w:r>
      <w:proofErr w:type="spellEnd"/>
      <w:r w:rsidR="00BF071E">
        <w:rPr>
          <w:sz w:val="16"/>
          <w:szCs w:val="16"/>
        </w:rPr>
        <w:t xml:space="preserve"> </w:t>
      </w:r>
      <w:proofErr w:type="spellStart"/>
      <w:r w:rsidR="00BF071E">
        <w:rPr>
          <w:sz w:val="16"/>
          <w:szCs w:val="16"/>
        </w:rPr>
        <w:t>Varlık</w:t>
      </w:r>
      <w:proofErr w:type="spellEnd"/>
      <w:r w:rsidR="00BF071E">
        <w:rPr>
          <w:sz w:val="16"/>
          <w:szCs w:val="16"/>
        </w:rPr>
        <w:t xml:space="preserve"> </w:t>
      </w:r>
      <w:proofErr w:type="spellStart"/>
      <w:r w:rsidR="00BF071E">
        <w:rPr>
          <w:sz w:val="16"/>
          <w:szCs w:val="16"/>
        </w:rPr>
        <w:t>Yönetim</w:t>
      </w:r>
      <w:proofErr w:type="spellEnd"/>
      <w:r w:rsidR="00BF071E">
        <w:rPr>
          <w:sz w:val="16"/>
          <w:szCs w:val="16"/>
        </w:rPr>
        <w:t xml:space="preserve"> A.Ş </w:t>
      </w:r>
    </w:p>
    <w:p w14:paraId="32414F87" w14:textId="297F24E2" w:rsidR="00196A0E" w:rsidRPr="00742556" w:rsidRDefault="00196A0E" w:rsidP="00CD1C88">
      <w:pPr>
        <w:pStyle w:val="BodyTextIndent"/>
        <w:tabs>
          <w:tab w:val="left" w:pos="2552"/>
        </w:tabs>
        <w:spacing w:after="0"/>
        <w:ind w:left="11" w:right="-215"/>
        <w:jc w:val="both"/>
        <w:rPr>
          <w:sz w:val="16"/>
          <w:szCs w:val="16"/>
        </w:rPr>
      </w:pPr>
      <w:proofErr w:type="gramStart"/>
      <w:r w:rsidRPr="008B6C6C">
        <w:rPr>
          <w:sz w:val="16"/>
          <w:szCs w:val="16"/>
        </w:rPr>
        <w:t>and</w:t>
      </w:r>
      <w:proofErr w:type="gramEnd"/>
      <w:r w:rsidRPr="008B6C6C">
        <w:rPr>
          <w:sz w:val="16"/>
          <w:szCs w:val="16"/>
        </w:rPr>
        <w:t xml:space="preserve"> </w:t>
      </w:r>
      <w:r>
        <w:rPr>
          <w:sz w:val="16"/>
          <w:szCs w:val="16"/>
        </w:rPr>
        <w:t xml:space="preserve">has </w:t>
      </w:r>
      <w:r w:rsidRPr="008B6C6C">
        <w:rPr>
          <w:sz w:val="16"/>
          <w:szCs w:val="16"/>
        </w:rPr>
        <w:t xml:space="preserve">collected TL </w:t>
      </w:r>
      <w:r>
        <w:rPr>
          <w:sz w:val="16"/>
          <w:szCs w:val="16"/>
        </w:rPr>
        <w:t>125</w:t>
      </w:r>
      <w:r w:rsidRPr="008B6C6C">
        <w:rPr>
          <w:sz w:val="16"/>
          <w:szCs w:val="16"/>
        </w:rPr>
        <w:t xml:space="preserve"> </w:t>
      </w:r>
      <w:r>
        <w:rPr>
          <w:sz w:val="16"/>
          <w:szCs w:val="16"/>
        </w:rPr>
        <w:t>on 29 May 2015</w:t>
      </w:r>
      <w:r w:rsidRPr="00742556">
        <w:rPr>
          <w:sz w:val="16"/>
          <w:szCs w:val="16"/>
        </w:rPr>
        <w:t xml:space="preserve">. </w:t>
      </w:r>
    </w:p>
    <w:p w14:paraId="638AE833" w14:textId="77777777" w:rsidR="004F78BB" w:rsidRDefault="004F78BB" w:rsidP="00214BDA">
      <w:pPr>
        <w:pStyle w:val="BodyTextIndent"/>
        <w:spacing w:after="0"/>
        <w:ind w:left="0"/>
        <w:rPr>
          <w:rFonts w:eastAsia="Arial Unicode MS"/>
          <w:b/>
          <w:sz w:val="20"/>
          <w:szCs w:val="20"/>
        </w:rPr>
      </w:pPr>
    </w:p>
    <w:p w14:paraId="62FAD92C" w14:textId="77777777" w:rsidR="004F78BB" w:rsidRDefault="004F78BB" w:rsidP="00214BDA">
      <w:pPr>
        <w:pStyle w:val="BodyTextIndent"/>
        <w:spacing w:after="0"/>
        <w:ind w:left="0"/>
        <w:rPr>
          <w:rFonts w:eastAsia="Arial Unicode MS"/>
          <w:b/>
          <w:sz w:val="20"/>
          <w:szCs w:val="20"/>
        </w:rPr>
      </w:pPr>
    </w:p>
    <w:p w14:paraId="4C6A555C" w14:textId="77777777" w:rsidR="004F78BB" w:rsidRDefault="004F78BB" w:rsidP="00214BDA">
      <w:pPr>
        <w:pStyle w:val="BodyTextIndent"/>
        <w:spacing w:after="0"/>
        <w:ind w:left="0"/>
        <w:rPr>
          <w:rFonts w:eastAsia="Arial Unicode MS"/>
          <w:b/>
          <w:sz w:val="20"/>
          <w:szCs w:val="20"/>
        </w:rPr>
      </w:pPr>
    </w:p>
    <w:p w14:paraId="2659853D" w14:textId="77777777" w:rsidR="004F78BB" w:rsidRDefault="004F78BB" w:rsidP="00214BDA">
      <w:pPr>
        <w:pStyle w:val="BodyTextIndent"/>
        <w:spacing w:after="0"/>
        <w:ind w:left="0"/>
        <w:rPr>
          <w:rFonts w:eastAsia="Arial Unicode MS"/>
          <w:b/>
          <w:sz w:val="20"/>
          <w:szCs w:val="20"/>
        </w:rPr>
      </w:pPr>
    </w:p>
    <w:p w14:paraId="53592E54" w14:textId="77777777" w:rsidR="004F78BB" w:rsidRDefault="004F78BB" w:rsidP="00214BDA">
      <w:pPr>
        <w:pStyle w:val="BodyTextIndent"/>
        <w:spacing w:after="0"/>
        <w:ind w:left="0"/>
        <w:rPr>
          <w:rFonts w:eastAsia="Arial Unicode MS"/>
          <w:b/>
          <w:sz w:val="20"/>
          <w:szCs w:val="20"/>
        </w:rPr>
      </w:pPr>
    </w:p>
    <w:p w14:paraId="1F533D0F" w14:textId="77777777" w:rsidR="004F78BB" w:rsidRDefault="004F78BB" w:rsidP="00214BDA">
      <w:pPr>
        <w:pStyle w:val="BodyTextIndent"/>
        <w:spacing w:after="0"/>
        <w:ind w:left="0"/>
        <w:rPr>
          <w:rFonts w:eastAsia="Arial Unicode MS"/>
          <w:b/>
          <w:sz w:val="20"/>
          <w:szCs w:val="20"/>
        </w:rPr>
      </w:pPr>
    </w:p>
    <w:p w14:paraId="575A3B8B" w14:textId="77777777" w:rsidR="004F78BB" w:rsidRDefault="004F78BB" w:rsidP="00214BDA">
      <w:pPr>
        <w:pStyle w:val="BodyTextIndent"/>
        <w:spacing w:after="0"/>
        <w:ind w:left="0"/>
        <w:rPr>
          <w:rFonts w:eastAsia="Arial Unicode MS"/>
          <w:b/>
          <w:sz w:val="20"/>
          <w:szCs w:val="20"/>
        </w:rPr>
      </w:pPr>
    </w:p>
    <w:p w14:paraId="3BAB2E32" w14:textId="77777777" w:rsidR="004F78BB" w:rsidRDefault="004F78BB" w:rsidP="00214BDA">
      <w:pPr>
        <w:pStyle w:val="BodyTextIndent"/>
        <w:spacing w:after="0"/>
        <w:ind w:left="0"/>
        <w:rPr>
          <w:rFonts w:eastAsia="Arial Unicode MS"/>
          <w:b/>
          <w:sz w:val="20"/>
          <w:szCs w:val="20"/>
        </w:rPr>
      </w:pPr>
    </w:p>
    <w:p w14:paraId="311800D1" w14:textId="77777777" w:rsidR="004F78BB" w:rsidRDefault="004F78BB" w:rsidP="00214BDA">
      <w:pPr>
        <w:pStyle w:val="BodyTextIndent"/>
        <w:spacing w:after="0"/>
        <w:ind w:left="0"/>
        <w:rPr>
          <w:rFonts w:eastAsia="Arial Unicode MS"/>
          <w:b/>
          <w:sz w:val="20"/>
          <w:szCs w:val="20"/>
        </w:rPr>
      </w:pPr>
    </w:p>
    <w:p w14:paraId="00E424CD" w14:textId="77777777" w:rsidR="004F78BB" w:rsidRDefault="004F78BB" w:rsidP="00214BDA">
      <w:pPr>
        <w:pStyle w:val="BodyTextIndent"/>
        <w:spacing w:after="0"/>
        <w:ind w:left="0"/>
        <w:rPr>
          <w:rFonts w:eastAsia="Arial Unicode MS"/>
          <w:b/>
          <w:sz w:val="20"/>
          <w:szCs w:val="20"/>
        </w:rPr>
      </w:pPr>
    </w:p>
    <w:p w14:paraId="4B647BE7" w14:textId="77777777" w:rsidR="004F78BB" w:rsidRDefault="004F78BB" w:rsidP="00214BDA">
      <w:pPr>
        <w:pStyle w:val="BodyTextIndent"/>
        <w:spacing w:after="0"/>
        <w:ind w:left="0"/>
        <w:rPr>
          <w:rFonts w:eastAsia="Arial Unicode MS"/>
          <w:b/>
          <w:sz w:val="20"/>
          <w:szCs w:val="20"/>
        </w:rPr>
      </w:pPr>
    </w:p>
    <w:p w14:paraId="68F225EF" w14:textId="77777777" w:rsidR="004F78BB" w:rsidRDefault="004F78BB" w:rsidP="00214BDA">
      <w:pPr>
        <w:pStyle w:val="BodyTextIndent"/>
        <w:spacing w:after="0"/>
        <w:ind w:left="0"/>
        <w:rPr>
          <w:rFonts w:eastAsia="Arial Unicode MS"/>
          <w:b/>
          <w:sz w:val="20"/>
          <w:szCs w:val="20"/>
        </w:rPr>
      </w:pPr>
    </w:p>
    <w:p w14:paraId="2CA61F09" w14:textId="77777777" w:rsidR="004F78BB" w:rsidRDefault="004F78BB" w:rsidP="00214BDA">
      <w:pPr>
        <w:pStyle w:val="BodyTextIndent"/>
        <w:spacing w:after="0"/>
        <w:ind w:left="0"/>
        <w:rPr>
          <w:rFonts w:eastAsia="Arial Unicode MS"/>
          <w:b/>
          <w:sz w:val="20"/>
          <w:szCs w:val="20"/>
        </w:rPr>
      </w:pPr>
    </w:p>
    <w:p w14:paraId="7C01749B" w14:textId="77777777" w:rsidR="004F78BB" w:rsidRDefault="004F78BB" w:rsidP="00214BDA">
      <w:pPr>
        <w:pStyle w:val="BodyTextIndent"/>
        <w:spacing w:after="0"/>
        <w:ind w:left="0"/>
        <w:rPr>
          <w:rFonts w:eastAsia="Arial Unicode MS"/>
          <w:b/>
          <w:sz w:val="20"/>
          <w:szCs w:val="20"/>
        </w:rPr>
      </w:pPr>
    </w:p>
    <w:p w14:paraId="4D9DE5D5" w14:textId="77777777" w:rsidR="004F78BB" w:rsidRDefault="004F78BB" w:rsidP="00214BDA">
      <w:pPr>
        <w:pStyle w:val="BodyTextIndent"/>
        <w:spacing w:after="0"/>
        <w:ind w:left="0"/>
        <w:rPr>
          <w:rFonts w:eastAsia="Arial Unicode MS"/>
          <w:b/>
          <w:sz w:val="20"/>
          <w:szCs w:val="20"/>
        </w:rPr>
      </w:pPr>
    </w:p>
    <w:p w14:paraId="3D86FFF6" w14:textId="77777777" w:rsidR="00C23C0D" w:rsidRDefault="00C23C0D" w:rsidP="00214BDA">
      <w:pPr>
        <w:pStyle w:val="BodyTextIndent"/>
        <w:spacing w:after="0"/>
        <w:ind w:left="0"/>
        <w:rPr>
          <w:rFonts w:eastAsia="Arial Unicode MS"/>
          <w:b/>
          <w:sz w:val="20"/>
          <w:szCs w:val="20"/>
        </w:rPr>
      </w:pPr>
    </w:p>
    <w:p w14:paraId="4DD1117C" w14:textId="77777777" w:rsidR="00647320" w:rsidRDefault="00647320" w:rsidP="00490153">
      <w:pPr>
        <w:pStyle w:val="BodyTextIndent"/>
        <w:spacing w:before="120" w:after="0"/>
        <w:ind w:left="0"/>
        <w:rPr>
          <w:rFonts w:eastAsia="Arial Unicode MS"/>
          <w:b/>
          <w:sz w:val="20"/>
          <w:szCs w:val="20"/>
        </w:rPr>
      </w:pPr>
    </w:p>
    <w:p w14:paraId="0E94CD35" w14:textId="77777777" w:rsidR="00196A0E" w:rsidRDefault="00196A0E" w:rsidP="00490153">
      <w:pPr>
        <w:pStyle w:val="BodyTextIndent"/>
        <w:spacing w:before="120" w:after="0"/>
        <w:ind w:left="0"/>
        <w:rPr>
          <w:rFonts w:eastAsia="Arial Unicode MS"/>
          <w:b/>
          <w:sz w:val="20"/>
          <w:szCs w:val="20"/>
        </w:rPr>
      </w:pPr>
    </w:p>
    <w:p w14:paraId="7F164333" w14:textId="3137A984" w:rsidR="00214BDA" w:rsidRPr="00604C75" w:rsidRDefault="00B27B7B" w:rsidP="00490153">
      <w:pPr>
        <w:pStyle w:val="BodyTextIndent"/>
        <w:spacing w:before="120" w:after="0"/>
        <w:ind w:left="0"/>
        <w:rPr>
          <w:b/>
          <w:bCs/>
          <w:sz w:val="20"/>
          <w:szCs w:val="20"/>
        </w:rPr>
      </w:pPr>
      <w:r w:rsidRPr="00604C75">
        <w:rPr>
          <w:rFonts w:eastAsia="Arial Unicode MS"/>
          <w:b/>
          <w:sz w:val="20"/>
          <w:szCs w:val="20"/>
        </w:rPr>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37148521" w14:textId="12ABB9E7" w:rsidR="006A6EDB" w:rsidRPr="00604C75" w:rsidRDefault="006A6EDB" w:rsidP="00490153">
      <w:pPr>
        <w:tabs>
          <w:tab w:val="left" w:pos="770"/>
        </w:tabs>
        <w:spacing w:before="120"/>
        <w:jc w:val="both"/>
        <w:rPr>
          <w:b/>
          <w:noProof/>
          <w:sz w:val="20"/>
          <w:szCs w:val="20"/>
        </w:rPr>
      </w:pPr>
      <w:r w:rsidRPr="00604C75">
        <w:rPr>
          <w:b/>
          <w:noProof/>
          <w:sz w:val="20"/>
          <w:szCs w:val="20"/>
        </w:rPr>
        <w:t xml:space="preserve">IV.  </w:t>
      </w:r>
      <w:r w:rsidR="00306CC4" w:rsidRPr="00604C75">
        <w:rPr>
          <w:b/>
          <w:noProof/>
          <w:sz w:val="20"/>
          <w:szCs w:val="20"/>
        </w:rPr>
        <w:t xml:space="preserve"> </w:t>
      </w:r>
      <w:r w:rsidR="00647320" w:rsidRPr="00604C75">
        <w:rPr>
          <w:b/>
          <w:noProof/>
          <w:sz w:val="20"/>
          <w:szCs w:val="20"/>
        </w:rPr>
        <w:t xml:space="preserve">Explanations and Notes </w:t>
      </w:r>
      <w:r w:rsidR="00647320">
        <w:rPr>
          <w:b/>
          <w:noProof/>
          <w:sz w:val="20"/>
          <w:szCs w:val="20"/>
        </w:rPr>
        <w:t>on</w:t>
      </w:r>
      <w:r w:rsidR="00647320" w:rsidRPr="00604C75">
        <w:rPr>
          <w:b/>
          <w:noProof/>
          <w:sz w:val="20"/>
          <w:szCs w:val="20"/>
        </w:rPr>
        <w:t xml:space="preserve"> Income Statement</w:t>
      </w:r>
      <w:r w:rsidR="00647320" w:rsidRPr="00604C75">
        <w:rPr>
          <w:b/>
          <w:bCs/>
          <w:sz w:val="20"/>
          <w:szCs w:val="20"/>
        </w:rPr>
        <w:t xml:space="preserve"> </w:t>
      </w:r>
      <w:r w:rsidRPr="00604C75">
        <w:rPr>
          <w:b/>
          <w:bCs/>
          <w:sz w:val="20"/>
          <w:szCs w:val="20"/>
        </w:rPr>
        <w:t>(Continued)</w:t>
      </w:r>
    </w:p>
    <w:p w14:paraId="34636A94" w14:textId="77777777" w:rsidR="0044575F" w:rsidRPr="00604C75" w:rsidRDefault="006A6EDB" w:rsidP="00490153">
      <w:pPr>
        <w:pStyle w:val="BodyTextIndent"/>
        <w:spacing w:before="120" w:after="0" w:line="228" w:lineRule="auto"/>
        <w:ind w:left="0" w:right="-18"/>
        <w:rPr>
          <w:b/>
          <w:noProof/>
          <w:sz w:val="20"/>
          <w:szCs w:val="20"/>
          <w:lang w:val="tr-TR"/>
        </w:rPr>
      </w:pPr>
      <w:r w:rsidRPr="00604C75">
        <w:rPr>
          <w:b/>
          <w:noProof/>
          <w:sz w:val="20"/>
          <w:szCs w:val="20"/>
          <w:lang w:val="tr-TR"/>
        </w:rPr>
        <w:t xml:space="preserve">f.      </w:t>
      </w:r>
      <w:r w:rsidR="0044575F" w:rsidRPr="00604C75">
        <w:rPr>
          <w:b/>
          <w:noProof/>
          <w:sz w:val="20"/>
          <w:szCs w:val="20"/>
          <w:lang w:val="tr-TR"/>
        </w:rPr>
        <w:t>Provision expenses related to loans and other receivables</w:t>
      </w:r>
    </w:p>
    <w:p w14:paraId="64FC77FF" w14:textId="77777777" w:rsidR="0044575F" w:rsidRPr="00604C75" w:rsidRDefault="0044575F" w:rsidP="00D46B3B">
      <w:pPr>
        <w:spacing w:line="120" w:lineRule="auto"/>
        <w:ind w:left="1077" w:hanging="357"/>
        <w:jc w:val="both"/>
        <w:rPr>
          <w:b/>
          <w:noProof/>
          <w:sz w:val="12"/>
          <w:szCs w:val="12"/>
        </w:rPr>
      </w:pPr>
    </w:p>
    <w:tbl>
      <w:tblPr>
        <w:tblW w:w="93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50"/>
        <w:gridCol w:w="2013"/>
        <w:gridCol w:w="2016"/>
      </w:tblGrid>
      <w:tr w:rsidR="00A4135E" w:rsidRPr="00604C75" w14:paraId="21184F87" w14:textId="77777777" w:rsidTr="00B346E2">
        <w:trPr>
          <w:trHeight w:val="233"/>
        </w:trPr>
        <w:tc>
          <w:tcPr>
            <w:tcW w:w="5350" w:type="dxa"/>
            <w:shd w:val="clear" w:color="auto" w:fill="FFFFFF"/>
            <w:vAlign w:val="bottom"/>
          </w:tcPr>
          <w:p w14:paraId="44944F5F" w14:textId="77777777" w:rsidR="00A4135E" w:rsidRPr="00604C75" w:rsidRDefault="00A4135E" w:rsidP="001C2251">
            <w:pPr>
              <w:spacing w:line="228" w:lineRule="auto"/>
              <w:rPr>
                <w:rFonts w:eastAsia="Arial Unicode MS"/>
                <w:b/>
                <w:bCs/>
                <w:noProof/>
                <w:sz w:val="18"/>
                <w:szCs w:val="18"/>
              </w:rPr>
            </w:pPr>
            <w:r w:rsidRPr="00604C75">
              <w:rPr>
                <w:b/>
                <w:bCs/>
                <w:noProof/>
                <w:sz w:val="18"/>
                <w:szCs w:val="18"/>
              </w:rPr>
              <w:t> </w:t>
            </w:r>
          </w:p>
        </w:tc>
        <w:tc>
          <w:tcPr>
            <w:tcW w:w="2013" w:type="dxa"/>
            <w:shd w:val="clear" w:color="auto" w:fill="FFFFFF"/>
            <w:vAlign w:val="bottom"/>
          </w:tcPr>
          <w:p w14:paraId="08B5D245" w14:textId="77777777" w:rsidR="00A4135E" w:rsidRPr="00CD0767" w:rsidRDefault="00A4135E" w:rsidP="00B346E2">
            <w:pPr>
              <w:tabs>
                <w:tab w:val="left" w:pos="0"/>
              </w:tabs>
              <w:ind w:right="58"/>
              <w:jc w:val="right"/>
              <w:rPr>
                <w:b/>
                <w:snapToGrid w:val="0"/>
                <w:sz w:val="18"/>
              </w:rPr>
            </w:pPr>
            <w:r>
              <w:rPr>
                <w:b/>
                <w:snapToGrid w:val="0"/>
                <w:sz w:val="18"/>
              </w:rPr>
              <w:t>31 December</w:t>
            </w:r>
            <w:r w:rsidRPr="00604C75">
              <w:rPr>
                <w:b/>
                <w:snapToGrid w:val="0"/>
                <w:sz w:val="18"/>
              </w:rPr>
              <w:t xml:space="preserve"> 2015</w:t>
            </w:r>
          </w:p>
        </w:tc>
        <w:tc>
          <w:tcPr>
            <w:tcW w:w="2016" w:type="dxa"/>
            <w:shd w:val="clear" w:color="auto" w:fill="FFFFFF"/>
            <w:vAlign w:val="bottom"/>
          </w:tcPr>
          <w:p w14:paraId="425063FA" w14:textId="1886B498" w:rsidR="00A4135E" w:rsidRPr="00CD0767" w:rsidRDefault="00A4135E" w:rsidP="00B346E2">
            <w:pPr>
              <w:tabs>
                <w:tab w:val="left" w:pos="0"/>
              </w:tabs>
              <w:ind w:right="58"/>
              <w:jc w:val="right"/>
              <w:rPr>
                <w:b/>
                <w:snapToGrid w:val="0"/>
                <w:sz w:val="18"/>
              </w:rPr>
            </w:pPr>
            <w:r>
              <w:rPr>
                <w:b/>
                <w:snapToGrid w:val="0"/>
                <w:sz w:val="18"/>
              </w:rPr>
              <w:t>31</w:t>
            </w:r>
            <w:r w:rsidRPr="00604C75">
              <w:rPr>
                <w:b/>
                <w:snapToGrid w:val="0"/>
                <w:sz w:val="18"/>
              </w:rPr>
              <w:t xml:space="preserve"> </w:t>
            </w:r>
            <w:r>
              <w:rPr>
                <w:b/>
                <w:snapToGrid w:val="0"/>
                <w:sz w:val="18"/>
              </w:rPr>
              <w:t>December</w:t>
            </w:r>
            <w:r w:rsidRPr="00604C75">
              <w:rPr>
                <w:b/>
                <w:snapToGrid w:val="0"/>
                <w:sz w:val="18"/>
              </w:rPr>
              <w:t xml:space="preserve"> 2014</w:t>
            </w:r>
          </w:p>
        </w:tc>
      </w:tr>
      <w:tr w:rsidR="00224102" w:rsidRPr="00604C75" w14:paraId="4394246A" w14:textId="77777777" w:rsidTr="00B346E2">
        <w:trPr>
          <w:trHeight w:val="255"/>
        </w:trPr>
        <w:tc>
          <w:tcPr>
            <w:tcW w:w="5350" w:type="dxa"/>
            <w:shd w:val="clear" w:color="auto" w:fill="FFFFFF"/>
            <w:vAlign w:val="bottom"/>
          </w:tcPr>
          <w:p w14:paraId="3CAFC27D" w14:textId="77777777" w:rsidR="00224102" w:rsidRPr="00604C75" w:rsidRDefault="00224102" w:rsidP="00224102">
            <w:pPr>
              <w:spacing w:line="228" w:lineRule="auto"/>
              <w:rPr>
                <w:rFonts w:eastAsia="Arial Unicode MS"/>
                <w:noProof/>
                <w:sz w:val="18"/>
                <w:szCs w:val="18"/>
              </w:rPr>
            </w:pPr>
            <w:r w:rsidRPr="00604C75">
              <w:rPr>
                <w:rFonts w:eastAsia="Arial Unicode MS"/>
                <w:noProof/>
                <w:sz w:val="18"/>
                <w:szCs w:val="18"/>
              </w:rPr>
              <w:t>Specific Provisions for Loans and Other Receivables</w:t>
            </w:r>
          </w:p>
        </w:tc>
        <w:tc>
          <w:tcPr>
            <w:tcW w:w="2013" w:type="dxa"/>
            <w:shd w:val="clear" w:color="auto" w:fill="FFFFFF"/>
            <w:vAlign w:val="bottom"/>
          </w:tcPr>
          <w:p w14:paraId="3DC50416" w14:textId="12016E26" w:rsidR="00224102" w:rsidRPr="007A307D" w:rsidRDefault="00224102" w:rsidP="00B346E2">
            <w:pPr>
              <w:ind w:right="58"/>
              <w:jc w:val="right"/>
              <w:rPr>
                <w:bCs/>
                <w:sz w:val="18"/>
                <w:szCs w:val="18"/>
              </w:rPr>
            </w:pPr>
            <w:r w:rsidRPr="007A307D">
              <w:rPr>
                <w:bCs/>
                <w:sz w:val="18"/>
                <w:szCs w:val="18"/>
              </w:rPr>
              <w:t xml:space="preserve">         166,633    </w:t>
            </w:r>
          </w:p>
        </w:tc>
        <w:tc>
          <w:tcPr>
            <w:tcW w:w="2016" w:type="dxa"/>
            <w:shd w:val="clear" w:color="auto" w:fill="FFFFFF"/>
            <w:vAlign w:val="bottom"/>
          </w:tcPr>
          <w:p w14:paraId="4A3A8F31" w14:textId="7127B329" w:rsidR="00224102" w:rsidRPr="003261E3" w:rsidRDefault="00224102" w:rsidP="00B346E2">
            <w:pPr>
              <w:ind w:right="58"/>
              <w:jc w:val="right"/>
              <w:rPr>
                <w:bCs/>
                <w:sz w:val="18"/>
                <w:szCs w:val="18"/>
              </w:rPr>
            </w:pPr>
            <w:r w:rsidRPr="00A36623">
              <w:rPr>
                <w:bCs/>
                <w:sz w:val="18"/>
                <w:szCs w:val="18"/>
              </w:rPr>
              <w:t xml:space="preserve">         117</w:t>
            </w:r>
            <w:r>
              <w:rPr>
                <w:bCs/>
                <w:sz w:val="18"/>
                <w:szCs w:val="18"/>
              </w:rPr>
              <w:t>,</w:t>
            </w:r>
            <w:r w:rsidRPr="00A36623">
              <w:rPr>
                <w:bCs/>
                <w:sz w:val="18"/>
                <w:szCs w:val="18"/>
              </w:rPr>
              <w:t xml:space="preserve">216    </w:t>
            </w:r>
          </w:p>
        </w:tc>
      </w:tr>
      <w:tr w:rsidR="00224102" w:rsidRPr="00604C75" w14:paraId="19A1AE7C" w14:textId="77777777" w:rsidTr="00B346E2">
        <w:trPr>
          <w:trHeight w:val="152"/>
        </w:trPr>
        <w:tc>
          <w:tcPr>
            <w:tcW w:w="5350" w:type="dxa"/>
            <w:shd w:val="clear" w:color="auto" w:fill="FFFFFF"/>
            <w:vAlign w:val="bottom"/>
          </w:tcPr>
          <w:p w14:paraId="2545D9A4" w14:textId="77777777" w:rsidR="00224102" w:rsidRPr="00604C75" w:rsidRDefault="00224102" w:rsidP="00224102">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III. Group Loans and Receivables</w:t>
            </w:r>
          </w:p>
        </w:tc>
        <w:tc>
          <w:tcPr>
            <w:tcW w:w="2013" w:type="dxa"/>
            <w:vAlign w:val="bottom"/>
          </w:tcPr>
          <w:p w14:paraId="03BB27F9" w14:textId="78FB991C" w:rsidR="00224102" w:rsidRDefault="00224102" w:rsidP="00B346E2">
            <w:pPr>
              <w:ind w:right="58"/>
              <w:jc w:val="right"/>
              <w:rPr>
                <w:sz w:val="18"/>
                <w:szCs w:val="18"/>
              </w:rPr>
            </w:pPr>
            <w:r>
              <w:rPr>
                <w:sz w:val="18"/>
                <w:szCs w:val="18"/>
              </w:rPr>
              <w:t xml:space="preserve">           38,067    </w:t>
            </w:r>
          </w:p>
        </w:tc>
        <w:tc>
          <w:tcPr>
            <w:tcW w:w="2016" w:type="dxa"/>
            <w:vAlign w:val="bottom"/>
          </w:tcPr>
          <w:p w14:paraId="3DF92232" w14:textId="61522AB0" w:rsidR="00224102" w:rsidRPr="00DC45D4" w:rsidRDefault="00224102" w:rsidP="00B346E2">
            <w:pPr>
              <w:ind w:right="58"/>
              <w:jc w:val="right"/>
              <w:rPr>
                <w:sz w:val="18"/>
                <w:szCs w:val="18"/>
              </w:rPr>
            </w:pPr>
            <w:r w:rsidRPr="00A36623">
              <w:rPr>
                <w:sz w:val="18"/>
                <w:szCs w:val="18"/>
              </w:rPr>
              <w:t xml:space="preserve">             6</w:t>
            </w:r>
            <w:r>
              <w:rPr>
                <w:sz w:val="18"/>
                <w:szCs w:val="18"/>
              </w:rPr>
              <w:t>,</w:t>
            </w:r>
            <w:r w:rsidRPr="00A36623">
              <w:rPr>
                <w:sz w:val="18"/>
                <w:szCs w:val="18"/>
              </w:rPr>
              <w:t xml:space="preserve">658    </w:t>
            </w:r>
          </w:p>
        </w:tc>
      </w:tr>
      <w:tr w:rsidR="00224102" w:rsidRPr="00604C75" w14:paraId="3D0D7E3F" w14:textId="77777777" w:rsidTr="00B346E2">
        <w:trPr>
          <w:trHeight w:val="116"/>
        </w:trPr>
        <w:tc>
          <w:tcPr>
            <w:tcW w:w="5350" w:type="dxa"/>
            <w:shd w:val="clear" w:color="auto" w:fill="FFFFFF"/>
            <w:vAlign w:val="bottom"/>
          </w:tcPr>
          <w:p w14:paraId="6AAF881C" w14:textId="77777777" w:rsidR="00224102" w:rsidRPr="00604C75" w:rsidRDefault="00224102" w:rsidP="00224102">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IV. Group Loans and Receivables</w:t>
            </w:r>
          </w:p>
        </w:tc>
        <w:tc>
          <w:tcPr>
            <w:tcW w:w="2013" w:type="dxa"/>
            <w:vAlign w:val="bottom"/>
          </w:tcPr>
          <w:p w14:paraId="6B059BCC" w14:textId="362B5306" w:rsidR="00224102" w:rsidRDefault="00224102" w:rsidP="00B346E2">
            <w:pPr>
              <w:ind w:right="58"/>
              <w:jc w:val="right"/>
              <w:rPr>
                <w:sz w:val="18"/>
                <w:szCs w:val="18"/>
              </w:rPr>
            </w:pPr>
            <w:r>
              <w:rPr>
                <w:sz w:val="18"/>
                <w:szCs w:val="18"/>
              </w:rPr>
              <w:t xml:space="preserve">           54,285    </w:t>
            </w:r>
          </w:p>
        </w:tc>
        <w:tc>
          <w:tcPr>
            <w:tcW w:w="2016" w:type="dxa"/>
            <w:vAlign w:val="bottom"/>
          </w:tcPr>
          <w:p w14:paraId="5136C417" w14:textId="67B58091" w:rsidR="00224102" w:rsidRPr="00DC45D4" w:rsidRDefault="00224102" w:rsidP="00B346E2">
            <w:pPr>
              <w:ind w:right="58"/>
              <w:jc w:val="right"/>
              <w:rPr>
                <w:sz w:val="18"/>
                <w:szCs w:val="18"/>
              </w:rPr>
            </w:pPr>
            <w:r w:rsidRPr="00A36623">
              <w:rPr>
                <w:sz w:val="18"/>
                <w:szCs w:val="18"/>
              </w:rPr>
              <w:t xml:space="preserve">           28</w:t>
            </w:r>
            <w:r>
              <w:rPr>
                <w:sz w:val="18"/>
                <w:szCs w:val="18"/>
              </w:rPr>
              <w:t>,</w:t>
            </w:r>
            <w:r w:rsidRPr="00A36623">
              <w:rPr>
                <w:sz w:val="18"/>
                <w:szCs w:val="18"/>
              </w:rPr>
              <w:t xml:space="preserve">613    </w:t>
            </w:r>
          </w:p>
        </w:tc>
      </w:tr>
      <w:tr w:rsidR="00224102" w:rsidRPr="00604C75" w14:paraId="09D835EE" w14:textId="77777777" w:rsidTr="00B346E2">
        <w:trPr>
          <w:trHeight w:val="71"/>
        </w:trPr>
        <w:tc>
          <w:tcPr>
            <w:tcW w:w="5350" w:type="dxa"/>
            <w:shd w:val="clear" w:color="auto" w:fill="FFFFFF"/>
            <w:vAlign w:val="bottom"/>
          </w:tcPr>
          <w:p w14:paraId="49B11333" w14:textId="77777777" w:rsidR="00224102" w:rsidRPr="00604C75" w:rsidRDefault="00224102" w:rsidP="00224102">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V. Group Loans and Receivables</w:t>
            </w:r>
          </w:p>
        </w:tc>
        <w:tc>
          <w:tcPr>
            <w:tcW w:w="2013" w:type="dxa"/>
            <w:vAlign w:val="bottom"/>
          </w:tcPr>
          <w:p w14:paraId="293A5CFA" w14:textId="0B2D3E21" w:rsidR="00224102" w:rsidRDefault="00224102" w:rsidP="00B346E2">
            <w:pPr>
              <w:ind w:right="58"/>
              <w:jc w:val="right"/>
              <w:rPr>
                <w:sz w:val="18"/>
                <w:szCs w:val="18"/>
              </w:rPr>
            </w:pPr>
            <w:r>
              <w:rPr>
                <w:sz w:val="18"/>
                <w:szCs w:val="18"/>
              </w:rPr>
              <w:t xml:space="preserve">           74,281    </w:t>
            </w:r>
          </w:p>
        </w:tc>
        <w:tc>
          <w:tcPr>
            <w:tcW w:w="2016" w:type="dxa"/>
            <w:vAlign w:val="bottom"/>
          </w:tcPr>
          <w:p w14:paraId="3F0DA74E" w14:textId="7FB895BC" w:rsidR="00224102" w:rsidRPr="00DC45D4" w:rsidRDefault="00224102" w:rsidP="00B346E2">
            <w:pPr>
              <w:ind w:right="58"/>
              <w:jc w:val="right"/>
              <w:rPr>
                <w:sz w:val="18"/>
                <w:szCs w:val="18"/>
              </w:rPr>
            </w:pPr>
            <w:r w:rsidRPr="00A36623">
              <w:rPr>
                <w:sz w:val="18"/>
                <w:szCs w:val="18"/>
              </w:rPr>
              <w:t xml:space="preserve">           81</w:t>
            </w:r>
            <w:r>
              <w:rPr>
                <w:sz w:val="18"/>
                <w:szCs w:val="18"/>
              </w:rPr>
              <w:t>,</w:t>
            </w:r>
            <w:r w:rsidRPr="00A36623">
              <w:rPr>
                <w:sz w:val="18"/>
                <w:szCs w:val="18"/>
              </w:rPr>
              <w:t xml:space="preserve">945    </w:t>
            </w:r>
          </w:p>
        </w:tc>
      </w:tr>
      <w:tr w:rsidR="00224102" w:rsidRPr="00604C75" w14:paraId="5DA53D20" w14:textId="77777777" w:rsidTr="00B346E2">
        <w:trPr>
          <w:trHeight w:val="255"/>
        </w:trPr>
        <w:tc>
          <w:tcPr>
            <w:tcW w:w="5350" w:type="dxa"/>
            <w:shd w:val="clear" w:color="auto" w:fill="FFFFFF"/>
            <w:vAlign w:val="bottom"/>
          </w:tcPr>
          <w:p w14:paraId="46998FBA" w14:textId="77777777" w:rsidR="00224102" w:rsidRPr="00604C75" w:rsidRDefault="00224102" w:rsidP="00224102">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General Provision Expenses</w:t>
            </w:r>
          </w:p>
        </w:tc>
        <w:tc>
          <w:tcPr>
            <w:tcW w:w="2013" w:type="dxa"/>
            <w:vAlign w:val="bottom"/>
          </w:tcPr>
          <w:p w14:paraId="0C2BA91E" w14:textId="4C04366B" w:rsidR="00224102" w:rsidRDefault="00224102" w:rsidP="00B346E2">
            <w:pPr>
              <w:ind w:right="58"/>
              <w:jc w:val="right"/>
              <w:rPr>
                <w:sz w:val="18"/>
                <w:szCs w:val="18"/>
              </w:rPr>
            </w:pPr>
            <w:r>
              <w:rPr>
                <w:sz w:val="18"/>
                <w:szCs w:val="18"/>
              </w:rPr>
              <w:t xml:space="preserve">           30,498    </w:t>
            </w:r>
          </w:p>
        </w:tc>
        <w:tc>
          <w:tcPr>
            <w:tcW w:w="2016" w:type="dxa"/>
            <w:vAlign w:val="bottom"/>
          </w:tcPr>
          <w:p w14:paraId="02038F83" w14:textId="565E1542" w:rsidR="00224102" w:rsidRPr="00DC45D4" w:rsidRDefault="00224102" w:rsidP="00B346E2">
            <w:pPr>
              <w:ind w:right="58"/>
              <w:jc w:val="right"/>
              <w:rPr>
                <w:sz w:val="18"/>
                <w:szCs w:val="18"/>
              </w:rPr>
            </w:pPr>
            <w:r>
              <w:rPr>
                <w:sz w:val="18"/>
                <w:szCs w:val="18"/>
              </w:rPr>
              <w:t>-</w:t>
            </w:r>
          </w:p>
        </w:tc>
      </w:tr>
      <w:tr w:rsidR="00224102" w:rsidRPr="00604C75" w14:paraId="2D992423" w14:textId="77777777" w:rsidTr="00B346E2">
        <w:trPr>
          <w:trHeight w:val="224"/>
        </w:trPr>
        <w:tc>
          <w:tcPr>
            <w:tcW w:w="5350" w:type="dxa"/>
            <w:shd w:val="clear" w:color="auto" w:fill="FFFFFF"/>
            <w:vAlign w:val="bottom"/>
          </w:tcPr>
          <w:p w14:paraId="2726D8BC" w14:textId="77777777" w:rsidR="00224102" w:rsidRPr="00604C75" w:rsidRDefault="00224102" w:rsidP="00224102">
            <w:pPr>
              <w:autoSpaceDE w:val="0"/>
              <w:autoSpaceDN w:val="0"/>
              <w:adjustRightInd w:val="0"/>
              <w:spacing w:line="228" w:lineRule="auto"/>
              <w:jc w:val="both"/>
              <w:rPr>
                <w:rFonts w:eastAsia="Arial Unicode MS"/>
                <w:noProof/>
                <w:sz w:val="18"/>
                <w:szCs w:val="18"/>
              </w:rPr>
            </w:pPr>
            <w:r w:rsidRPr="00604C75">
              <w:rPr>
                <w:sz w:val="18"/>
                <w:szCs w:val="18"/>
              </w:rPr>
              <w:t>Provision Expense for Possible Risks</w:t>
            </w:r>
          </w:p>
        </w:tc>
        <w:tc>
          <w:tcPr>
            <w:tcW w:w="2013" w:type="dxa"/>
            <w:vAlign w:val="bottom"/>
          </w:tcPr>
          <w:p w14:paraId="18556231" w14:textId="449F954B" w:rsidR="00224102" w:rsidRDefault="00224102" w:rsidP="00B346E2">
            <w:pPr>
              <w:ind w:right="58"/>
              <w:jc w:val="right"/>
              <w:rPr>
                <w:sz w:val="18"/>
                <w:szCs w:val="18"/>
              </w:rPr>
            </w:pPr>
            <w:r>
              <w:rPr>
                <w:sz w:val="18"/>
                <w:szCs w:val="18"/>
              </w:rPr>
              <w:t xml:space="preserve">                  -      </w:t>
            </w:r>
          </w:p>
        </w:tc>
        <w:tc>
          <w:tcPr>
            <w:tcW w:w="2016" w:type="dxa"/>
            <w:vAlign w:val="bottom"/>
          </w:tcPr>
          <w:p w14:paraId="1EA4A6A1" w14:textId="643F6D63" w:rsidR="00224102" w:rsidRPr="00DC45D4" w:rsidRDefault="00224102" w:rsidP="00B346E2">
            <w:pPr>
              <w:ind w:right="58"/>
              <w:jc w:val="right"/>
              <w:rPr>
                <w:sz w:val="18"/>
                <w:szCs w:val="18"/>
              </w:rPr>
            </w:pPr>
            <w:r>
              <w:rPr>
                <w:sz w:val="18"/>
                <w:szCs w:val="18"/>
              </w:rPr>
              <w:t>-</w:t>
            </w:r>
          </w:p>
        </w:tc>
      </w:tr>
      <w:tr w:rsidR="00224102" w:rsidRPr="00604C75" w14:paraId="199BD00E" w14:textId="77777777" w:rsidTr="00B346E2">
        <w:trPr>
          <w:trHeight w:val="224"/>
        </w:trPr>
        <w:tc>
          <w:tcPr>
            <w:tcW w:w="5350" w:type="dxa"/>
            <w:shd w:val="clear" w:color="auto" w:fill="FFFFFF"/>
            <w:vAlign w:val="bottom"/>
          </w:tcPr>
          <w:p w14:paraId="670C2EA6" w14:textId="77777777" w:rsidR="00224102" w:rsidRPr="00604C75" w:rsidRDefault="00224102" w:rsidP="00224102">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Marketable Securities Impairment Expense</w:t>
            </w:r>
          </w:p>
        </w:tc>
        <w:tc>
          <w:tcPr>
            <w:tcW w:w="2013" w:type="dxa"/>
            <w:vAlign w:val="bottom"/>
          </w:tcPr>
          <w:p w14:paraId="596691A3" w14:textId="6D209101" w:rsidR="00224102" w:rsidRPr="00557A99" w:rsidRDefault="00224102" w:rsidP="00B346E2">
            <w:pPr>
              <w:ind w:right="58"/>
              <w:jc w:val="right"/>
              <w:rPr>
                <w:bCs/>
                <w:sz w:val="18"/>
                <w:szCs w:val="18"/>
              </w:rPr>
            </w:pPr>
            <w:r w:rsidRPr="00557A99">
              <w:rPr>
                <w:bCs/>
                <w:sz w:val="18"/>
                <w:szCs w:val="18"/>
              </w:rPr>
              <w:t xml:space="preserve">             4,924    </w:t>
            </w:r>
          </w:p>
        </w:tc>
        <w:tc>
          <w:tcPr>
            <w:tcW w:w="2016" w:type="dxa"/>
            <w:vAlign w:val="bottom"/>
          </w:tcPr>
          <w:p w14:paraId="4EEDF34E" w14:textId="49C7C375" w:rsidR="00224102" w:rsidRPr="00DC45D4" w:rsidRDefault="00224102" w:rsidP="00B346E2">
            <w:pPr>
              <w:ind w:right="58"/>
              <w:jc w:val="right"/>
              <w:rPr>
                <w:sz w:val="18"/>
                <w:szCs w:val="18"/>
              </w:rPr>
            </w:pPr>
            <w:r w:rsidRPr="00A36623">
              <w:rPr>
                <w:b/>
                <w:bCs/>
                <w:sz w:val="18"/>
                <w:szCs w:val="18"/>
              </w:rPr>
              <w:t xml:space="preserve">           </w:t>
            </w:r>
            <w:r w:rsidRPr="00A36623">
              <w:rPr>
                <w:bCs/>
                <w:sz w:val="18"/>
                <w:szCs w:val="18"/>
              </w:rPr>
              <w:t>13</w:t>
            </w:r>
            <w:r>
              <w:rPr>
                <w:bCs/>
                <w:sz w:val="18"/>
                <w:szCs w:val="18"/>
              </w:rPr>
              <w:t>,</w:t>
            </w:r>
            <w:r w:rsidRPr="00A36623">
              <w:rPr>
                <w:bCs/>
                <w:sz w:val="18"/>
                <w:szCs w:val="18"/>
              </w:rPr>
              <w:t xml:space="preserve">848    </w:t>
            </w:r>
          </w:p>
        </w:tc>
      </w:tr>
      <w:tr w:rsidR="00224102" w:rsidRPr="00604C75" w14:paraId="4A6690FA" w14:textId="77777777" w:rsidTr="00B346E2">
        <w:trPr>
          <w:trHeight w:val="255"/>
        </w:trPr>
        <w:tc>
          <w:tcPr>
            <w:tcW w:w="5350" w:type="dxa"/>
            <w:shd w:val="clear" w:color="auto" w:fill="FFFFFF"/>
            <w:vAlign w:val="bottom"/>
          </w:tcPr>
          <w:p w14:paraId="09895EF7" w14:textId="77777777" w:rsidR="00224102" w:rsidRPr="00604C75" w:rsidRDefault="00224102" w:rsidP="00224102">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Financial Assets at Fair Value Through Profit or Loss</w:t>
            </w:r>
          </w:p>
        </w:tc>
        <w:tc>
          <w:tcPr>
            <w:tcW w:w="2013" w:type="dxa"/>
            <w:vAlign w:val="bottom"/>
          </w:tcPr>
          <w:p w14:paraId="760CCDD8" w14:textId="6050362E" w:rsidR="00224102" w:rsidRDefault="00224102" w:rsidP="00B346E2">
            <w:pPr>
              <w:ind w:right="58"/>
              <w:jc w:val="right"/>
              <w:rPr>
                <w:sz w:val="18"/>
                <w:szCs w:val="18"/>
              </w:rPr>
            </w:pPr>
            <w:r>
              <w:rPr>
                <w:sz w:val="18"/>
                <w:szCs w:val="18"/>
              </w:rPr>
              <w:t xml:space="preserve">             3,372    </w:t>
            </w:r>
          </w:p>
        </w:tc>
        <w:tc>
          <w:tcPr>
            <w:tcW w:w="2016" w:type="dxa"/>
            <w:vAlign w:val="bottom"/>
          </w:tcPr>
          <w:p w14:paraId="6441C670" w14:textId="007FBD38" w:rsidR="00224102" w:rsidRPr="00AE1BC6" w:rsidRDefault="00224102" w:rsidP="00B346E2">
            <w:pPr>
              <w:ind w:right="58"/>
              <w:jc w:val="right"/>
              <w:rPr>
                <w:bCs/>
                <w:sz w:val="18"/>
                <w:szCs w:val="18"/>
              </w:rPr>
            </w:pPr>
            <w:r w:rsidRPr="00A36623">
              <w:rPr>
                <w:sz w:val="18"/>
                <w:szCs w:val="18"/>
              </w:rPr>
              <w:t xml:space="preserve">           13</w:t>
            </w:r>
            <w:r>
              <w:rPr>
                <w:sz w:val="18"/>
                <w:szCs w:val="18"/>
              </w:rPr>
              <w:t>,</w:t>
            </w:r>
            <w:r w:rsidRPr="00A36623">
              <w:rPr>
                <w:sz w:val="18"/>
                <w:szCs w:val="18"/>
              </w:rPr>
              <w:t xml:space="preserve">518    </w:t>
            </w:r>
          </w:p>
        </w:tc>
      </w:tr>
      <w:tr w:rsidR="00224102" w:rsidRPr="00604C75" w14:paraId="465BAA20" w14:textId="77777777" w:rsidTr="00B346E2">
        <w:trPr>
          <w:trHeight w:val="89"/>
        </w:trPr>
        <w:tc>
          <w:tcPr>
            <w:tcW w:w="5350" w:type="dxa"/>
            <w:shd w:val="clear" w:color="auto" w:fill="FFFFFF"/>
            <w:vAlign w:val="bottom"/>
          </w:tcPr>
          <w:p w14:paraId="5BD49BF0" w14:textId="77777777" w:rsidR="00224102" w:rsidRPr="00604C75" w:rsidRDefault="00224102" w:rsidP="00224102">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Available-for-sale Financial Assets</w:t>
            </w:r>
          </w:p>
        </w:tc>
        <w:tc>
          <w:tcPr>
            <w:tcW w:w="2013" w:type="dxa"/>
            <w:vAlign w:val="bottom"/>
          </w:tcPr>
          <w:p w14:paraId="066F2D38" w14:textId="46BB535D" w:rsidR="00224102" w:rsidRDefault="00224102" w:rsidP="00B346E2">
            <w:pPr>
              <w:ind w:right="58"/>
              <w:jc w:val="right"/>
              <w:rPr>
                <w:sz w:val="18"/>
                <w:szCs w:val="18"/>
              </w:rPr>
            </w:pPr>
            <w:r>
              <w:rPr>
                <w:sz w:val="18"/>
                <w:szCs w:val="18"/>
              </w:rPr>
              <w:t xml:space="preserve">             1,552    </w:t>
            </w:r>
          </w:p>
        </w:tc>
        <w:tc>
          <w:tcPr>
            <w:tcW w:w="2016" w:type="dxa"/>
            <w:vAlign w:val="bottom"/>
          </w:tcPr>
          <w:p w14:paraId="72266773" w14:textId="302ADAA2" w:rsidR="00224102" w:rsidRPr="00AE1BC6" w:rsidRDefault="00224102" w:rsidP="00B346E2">
            <w:pPr>
              <w:ind w:right="58"/>
              <w:jc w:val="right"/>
              <w:rPr>
                <w:sz w:val="18"/>
                <w:szCs w:val="18"/>
              </w:rPr>
            </w:pPr>
            <w:r w:rsidRPr="00A36623">
              <w:rPr>
                <w:sz w:val="18"/>
                <w:szCs w:val="18"/>
              </w:rPr>
              <w:t xml:space="preserve">                330    </w:t>
            </w:r>
          </w:p>
        </w:tc>
      </w:tr>
      <w:tr w:rsidR="00224102" w:rsidRPr="00604C75" w14:paraId="6FD7B0D0" w14:textId="77777777" w:rsidTr="00B346E2">
        <w:trPr>
          <w:trHeight w:val="224"/>
        </w:trPr>
        <w:tc>
          <w:tcPr>
            <w:tcW w:w="5350" w:type="dxa"/>
            <w:shd w:val="clear" w:color="auto" w:fill="FFFFFF"/>
            <w:vAlign w:val="bottom"/>
          </w:tcPr>
          <w:p w14:paraId="459A7780" w14:textId="77777777" w:rsidR="00224102" w:rsidRPr="00604C75" w:rsidRDefault="00224102" w:rsidP="00224102">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 xml:space="preserve">Investments in Associates, Subsidiaries and Held-to-Maturity </w:t>
            </w:r>
          </w:p>
          <w:p w14:paraId="51E7363A" w14:textId="77777777" w:rsidR="00224102" w:rsidRPr="00604C75" w:rsidRDefault="00224102" w:rsidP="00224102">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Securities Value Decrease</w:t>
            </w:r>
          </w:p>
        </w:tc>
        <w:tc>
          <w:tcPr>
            <w:tcW w:w="2013" w:type="dxa"/>
            <w:vAlign w:val="bottom"/>
          </w:tcPr>
          <w:p w14:paraId="2E1828E9" w14:textId="151AC08E" w:rsidR="00224102" w:rsidRPr="00616997" w:rsidRDefault="00224102" w:rsidP="00B346E2">
            <w:pPr>
              <w:ind w:right="58"/>
              <w:jc w:val="right"/>
              <w:rPr>
                <w:bCs/>
                <w:sz w:val="18"/>
                <w:szCs w:val="18"/>
              </w:rPr>
            </w:pPr>
            <w:r w:rsidRPr="00616997">
              <w:rPr>
                <w:bCs/>
                <w:sz w:val="18"/>
                <w:szCs w:val="18"/>
              </w:rPr>
              <w:t xml:space="preserve">                  -      </w:t>
            </w:r>
          </w:p>
        </w:tc>
        <w:tc>
          <w:tcPr>
            <w:tcW w:w="2016" w:type="dxa"/>
            <w:vAlign w:val="bottom"/>
          </w:tcPr>
          <w:p w14:paraId="6FE64450" w14:textId="12507329" w:rsidR="00224102" w:rsidRPr="00692926" w:rsidRDefault="00224102" w:rsidP="00B346E2">
            <w:pPr>
              <w:ind w:right="58"/>
              <w:jc w:val="right"/>
              <w:rPr>
                <w:sz w:val="18"/>
                <w:szCs w:val="18"/>
              </w:rPr>
            </w:pPr>
            <w:r w:rsidRPr="00616997">
              <w:rPr>
                <w:sz w:val="18"/>
                <w:szCs w:val="18"/>
              </w:rPr>
              <w:t>-</w:t>
            </w:r>
          </w:p>
        </w:tc>
      </w:tr>
      <w:tr w:rsidR="00224102" w:rsidRPr="00604C75" w14:paraId="2C0C1118" w14:textId="77777777" w:rsidTr="00B346E2">
        <w:trPr>
          <w:trHeight w:val="161"/>
        </w:trPr>
        <w:tc>
          <w:tcPr>
            <w:tcW w:w="5350" w:type="dxa"/>
            <w:shd w:val="clear" w:color="auto" w:fill="FFFFFF"/>
            <w:vAlign w:val="bottom"/>
          </w:tcPr>
          <w:p w14:paraId="40A7103A" w14:textId="77777777" w:rsidR="00224102" w:rsidRPr="00604C75" w:rsidRDefault="00224102" w:rsidP="00224102">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Investments in Associates</w:t>
            </w:r>
          </w:p>
        </w:tc>
        <w:tc>
          <w:tcPr>
            <w:tcW w:w="2013" w:type="dxa"/>
            <w:vAlign w:val="bottom"/>
          </w:tcPr>
          <w:p w14:paraId="642653DD" w14:textId="530BAF0A" w:rsidR="00224102" w:rsidRPr="00616997" w:rsidRDefault="00224102" w:rsidP="00B346E2">
            <w:pPr>
              <w:ind w:right="58"/>
              <w:jc w:val="right"/>
              <w:rPr>
                <w:sz w:val="18"/>
                <w:szCs w:val="18"/>
              </w:rPr>
            </w:pPr>
            <w:r w:rsidRPr="00616997">
              <w:rPr>
                <w:sz w:val="18"/>
                <w:szCs w:val="18"/>
              </w:rPr>
              <w:t xml:space="preserve">                  -      </w:t>
            </w:r>
          </w:p>
        </w:tc>
        <w:tc>
          <w:tcPr>
            <w:tcW w:w="2016" w:type="dxa"/>
            <w:vAlign w:val="bottom"/>
          </w:tcPr>
          <w:p w14:paraId="2D6C3A79" w14:textId="798845FC" w:rsidR="00224102" w:rsidRPr="00692926" w:rsidRDefault="00224102" w:rsidP="00B346E2">
            <w:pPr>
              <w:ind w:right="58"/>
              <w:jc w:val="right"/>
              <w:rPr>
                <w:b/>
                <w:bCs/>
                <w:sz w:val="18"/>
                <w:szCs w:val="18"/>
              </w:rPr>
            </w:pPr>
            <w:r w:rsidRPr="00616997">
              <w:rPr>
                <w:bCs/>
                <w:sz w:val="18"/>
                <w:szCs w:val="18"/>
              </w:rPr>
              <w:t>-</w:t>
            </w:r>
          </w:p>
        </w:tc>
      </w:tr>
      <w:tr w:rsidR="00224102" w:rsidRPr="00604C75" w14:paraId="52DDAA7B" w14:textId="77777777" w:rsidTr="00B346E2">
        <w:trPr>
          <w:trHeight w:val="134"/>
        </w:trPr>
        <w:tc>
          <w:tcPr>
            <w:tcW w:w="5350" w:type="dxa"/>
            <w:shd w:val="clear" w:color="auto" w:fill="FFFFFF"/>
            <w:vAlign w:val="bottom"/>
          </w:tcPr>
          <w:p w14:paraId="65F89717" w14:textId="77777777" w:rsidR="00224102" w:rsidRPr="00604C75" w:rsidRDefault="00224102" w:rsidP="00224102">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Subsidiaries</w:t>
            </w:r>
          </w:p>
        </w:tc>
        <w:tc>
          <w:tcPr>
            <w:tcW w:w="2013" w:type="dxa"/>
            <w:vAlign w:val="bottom"/>
          </w:tcPr>
          <w:p w14:paraId="0CC9313D" w14:textId="04065A43" w:rsidR="00224102" w:rsidRDefault="00224102" w:rsidP="00B346E2">
            <w:pPr>
              <w:ind w:right="58"/>
              <w:jc w:val="right"/>
              <w:rPr>
                <w:sz w:val="18"/>
                <w:szCs w:val="18"/>
              </w:rPr>
            </w:pPr>
            <w:r>
              <w:rPr>
                <w:sz w:val="18"/>
                <w:szCs w:val="18"/>
              </w:rPr>
              <w:t xml:space="preserve">                  -      </w:t>
            </w:r>
          </w:p>
        </w:tc>
        <w:tc>
          <w:tcPr>
            <w:tcW w:w="2016" w:type="dxa"/>
            <w:vAlign w:val="bottom"/>
          </w:tcPr>
          <w:p w14:paraId="1D72A982" w14:textId="50FFC134" w:rsidR="00224102" w:rsidRPr="00692926" w:rsidRDefault="00224102" w:rsidP="00B346E2">
            <w:pPr>
              <w:ind w:right="58"/>
              <w:jc w:val="right"/>
              <w:rPr>
                <w:sz w:val="18"/>
                <w:szCs w:val="18"/>
              </w:rPr>
            </w:pPr>
            <w:r>
              <w:rPr>
                <w:sz w:val="18"/>
                <w:szCs w:val="18"/>
              </w:rPr>
              <w:t>-</w:t>
            </w:r>
          </w:p>
        </w:tc>
      </w:tr>
      <w:tr w:rsidR="00224102" w:rsidRPr="00604C75" w14:paraId="7D2710D2" w14:textId="77777777" w:rsidTr="00B346E2">
        <w:trPr>
          <w:trHeight w:val="89"/>
        </w:trPr>
        <w:tc>
          <w:tcPr>
            <w:tcW w:w="5350" w:type="dxa"/>
            <w:shd w:val="clear" w:color="auto" w:fill="FFFFFF"/>
            <w:vAlign w:val="bottom"/>
          </w:tcPr>
          <w:p w14:paraId="1CE20AC0" w14:textId="77777777" w:rsidR="00224102" w:rsidRPr="00604C75" w:rsidRDefault="00224102" w:rsidP="00224102">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Joint Ventures</w:t>
            </w:r>
          </w:p>
        </w:tc>
        <w:tc>
          <w:tcPr>
            <w:tcW w:w="2013" w:type="dxa"/>
            <w:vAlign w:val="bottom"/>
          </w:tcPr>
          <w:p w14:paraId="26C327F7" w14:textId="6A21190E" w:rsidR="00224102" w:rsidRDefault="00224102" w:rsidP="00B346E2">
            <w:pPr>
              <w:ind w:right="58"/>
              <w:jc w:val="right"/>
              <w:rPr>
                <w:sz w:val="18"/>
                <w:szCs w:val="18"/>
              </w:rPr>
            </w:pPr>
            <w:r>
              <w:rPr>
                <w:sz w:val="18"/>
                <w:szCs w:val="18"/>
              </w:rPr>
              <w:t xml:space="preserve">                  -      </w:t>
            </w:r>
          </w:p>
        </w:tc>
        <w:tc>
          <w:tcPr>
            <w:tcW w:w="2016" w:type="dxa"/>
            <w:vAlign w:val="bottom"/>
          </w:tcPr>
          <w:p w14:paraId="27E0FBC2" w14:textId="174E6379" w:rsidR="00224102" w:rsidRPr="00692926" w:rsidRDefault="00224102" w:rsidP="00B346E2">
            <w:pPr>
              <w:ind w:right="58"/>
              <w:jc w:val="right"/>
              <w:rPr>
                <w:sz w:val="18"/>
                <w:szCs w:val="18"/>
              </w:rPr>
            </w:pPr>
            <w:r>
              <w:rPr>
                <w:sz w:val="18"/>
                <w:szCs w:val="18"/>
              </w:rPr>
              <w:t>-</w:t>
            </w:r>
          </w:p>
        </w:tc>
      </w:tr>
      <w:tr w:rsidR="00224102" w:rsidRPr="00604C75" w14:paraId="70763EF2" w14:textId="77777777" w:rsidTr="00B346E2">
        <w:trPr>
          <w:trHeight w:val="70"/>
        </w:trPr>
        <w:tc>
          <w:tcPr>
            <w:tcW w:w="5350" w:type="dxa"/>
            <w:shd w:val="clear" w:color="auto" w:fill="FFFFFF"/>
            <w:vAlign w:val="bottom"/>
          </w:tcPr>
          <w:p w14:paraId="5EBD5634" w14:textId="77777777" w:rsidR="00224102" w:rsidRPr="00604C75" w:rsidRDefault="00224102" w:rsidP="00224102">
            <w:pPr>
              <w:autoSpaceDE w:val="0"/>
              <w:autoSpaceDN w:val="0"/>
              <w:adjustRightInd w:val="0"/>
              <w:spacing w:line="228" w:lineRule="auto"/>
              <w:ind w:left="180"/>
              <w:jc w:val="both"/>
              <w:rPr>
                <w:rFonts w:eastAsia="Arial Unicode MS"/>
                <w:noProof/>
                <w:sz w:val="18"/>
                <w:szCs w:val="18"/>
              </w:rPr>
            </w:pPr>
            <w:r w:rsidRPr="00604C75">
              <w:rPr>
                <w:rFonts w:eastAsia="Arial Unicode MS"/>
                <w:noProof/>
                <w:sz w:val="18"/>
                <w:szCs w:val="18"/>
              </w:rPr>
              <w:t>Held-to-Maturity Investments</w:t>
            </w:r>
          </w:p>
        </w:tc>
        <w:tc>
          <w:tcPr>
            <w:tcW w:w="2013" w:type="dxa"/>
            <w:vAlign w:val="bottom"/>
          </w:tcPr>
          <w:p w14:paraId="20A0E3EE" w14:textId="11F90B58" w:rsidR="00224102" w:rsidRDefault="00224102" w:rsidP="00B346E2">
            <w:pPr>
              <w:ind w:right="58"/>
              <w:jc w:val="right"/>
              <w:rPr>
                <w:sz w:val="18"/>
                <w:szCs w:val="18"/>
              </w:rPr>
            </w:pPr>
            <w:r>
              <w:rPr>
                <w:sz w:val="18"/>
                <w:szCs w:val="18"/>
              </w:rPr>
              <w:t xml:space="preserve">                  -      </w:t>
            </w:r>
          </w:p>
        </w:tc>
        <w:tc>
          <w:tcPr>
            <w:tcW w:w="2016" w:type="dxa"/>
            <w:vAlign w:val="bottom"/>
          </w:tcPr>
          <w:p w14:paraId="5754EF89" w14:textId="7A923910" w:rsidR="00224102" w:rsidRPr="00692926" w:rsidRDefault="00224102" w:rsidP="00B346E2">
            <w:pPr>
              <w:ind w:right="58"/>
              <w:jc w:val="right"/>
              <w:rPr>
                <w:sz w:val="18"/>
                <w:szCs w:val="18"/>
              </w:rPr>
            </w:pPr>
            <w:r>
              <w:rPr>
                <w:sz w:val="18"/>
                <w:szCs w:val="18"/>
              </w:rPr>
              <w:t>-</w:t>
            </w:r>
          </w:p>
        </w:tc>
      </w:tr>
      <w:tr w:rsidR="00224102" w:rsidRPr="00604C75" w14:paraId="14341EFB" w14:textId="77777777" w:rsidTr="00B346E2">
        <w:trPr>
          <w:trHeight w:val="197"/>
        </w:trPr>
        <w:tc>
          <w:tcPr>
            <w:tcW w:w="5350" w:type="dxa"/>
            <w:shd w:val="clear" w:color="auto" w:fill="FFFFFF"/>
            <w:vAlign w:val="bottom"/>
          </w:tcPr>
          <w:p w14:paraId="0359C480" w14:textId="77777777" w:rsidR="00224102" w:rsidRPr="00604C75" w:rsidRDefault="00224102" w:rsidP="00224102">
            <w:pPr>
              <w:autoSpaceDE w:val="0"/>
              <w:autoSpaceDN w:val="0"/>
              <w:adjustRightInd w:val="0"/>
              <w:spacing w:line="228" w:lineRule="auto"/>
              <w:jc w:val="both"/>
              <w:rPr>
                <w:rFonts w:eastAsia="Arial Unicode MS"/>
                <w:noProof/>
                <w:sz w:val="18"/>
                <w:szCs w:val="18"/>
              </w:rPr>
            </w:pPr>
            <w:r w:rsidRPr="00604C75">
              <w:rPr>
                <w:rFonts w:eastAsia="Arial Unicode MS"/>
                <w:noProof/>
                <w:sz w:val="18"/>
                <w:szCs w:val="18"/>
              </w:rPr>
              <w:t>Other</w:t>
            </w:r>
          </w:p>
        </w:tc>
        <w:tc>
          <w:tcPr>
            <w:tcW w:w="2013" w:type="dxa"/>
            <w:vAlign w:val="bottom"/>
          </w:tcPr>
          <w:p w14:paraId="25D41C46" w14:textId="72902478" w:rsidR="00224102" w:rsidRDefault="00224102" w:rsidP="00B346E2">
            <w:pPr>
              <w:ind w:right="58"/>
              <w:jc w:val="right"/>
              <w:rPr>
                <w:sz w:val="18"/>
                <w:szCs w:val="18"/>
              </w:rPr>
            </w:pPr>
            <w:r>
              <w:rPr>
                <w:sz w:val="18"/>
                <w:szCs w:val="18"/>
              </w:rPr>
              <w:t xml:space="preserve">             8,986    </w:t>
            </w:r>
          </w:p>
        </w:tc>
        <w:tc>
          <w:tcPr>
            <w:tcW w:w="2016" w:type="dxa"/>
            <w:vAlign w:val="bottom"/>
          </w:tcPr>
          <w:p w14:paraId="554D5EA1" w14:textId="4923EEC9" w:rsidR="00224102" w:rsidRPr="00692926" w:rsidRDefault="00224102" w:rsidP="00B346E2">
            <w:pPr>
              <w:ind w:right="58"/>
              <w:jc w:val="right"/>
              <w:rPr>
                <w:sz w:val="18"/>
                <w:szCs w:val="18"/>
              </w:rPr>
            </w:pPr>
            <w:r w:rsidRPr="00A36623">
              <w:rPr>
                <w:sz w:val="18"/>
                <w:szCs w:val="18"/>
              </w:rPr>
              <w:t xml:space="preserve">             6</w:t>
            </w:r>
            <w:r>
              <w:rPr>
                <w:sz w:val="18"/>
                <w:szCs w:val="18"/>
              </w:rPr>
              <w:t>,</w:t>
            </w:r>
            <w:r w:rsidRPr="00A36623">
              <w:rPr>
                <w:sz w:val="18"/>
                <w:szCs w:val="18"/>
              </w:rPr>
              <w:t xml:space="preserve">391    </w:t>
            </w:r>
          </w:p>
        </w:tc>
      </w:tr>
      <w:tr w:rsidR="00224102" w:rsidRPr="00604C75" w14:paraId="35155AA3" w14:textId="77777777" w:rsidTr="00B346E2">
        <w:trPr>
          <w:trHeight w:val="161"/>
        </w:trPr>
        <w:tc>
          <w:tcPr>
            <w:tcW w:w="5350" w:type="dxa"/>
            <w:shd w:val="clear" w:color="auto" w:fill="FFFFFF"/>
            <w:vAlign w:val="bottom"/>
          </w:tcPr>
          <w:p w14:paraId="2E954A84" w14:textId="77777777" w:rsidR="00224102" w:rsidRPr="00604C75" w:rsidRDefault="00224102" w:rsidP="00224102">
            <w:pPr>
              <w:spacing w:line="228" w:lineRule="auto"/>
              <w:jc w:val="both"/>
              <w:rPr>
                <w:rFonts w:eastAsia="Arial Unicode MS"/>
                <w:b/>
                <w:noProof/>
                <w:sz w:val="18"/>
                <w:szCs w:val="18"/>
              </w:rPr>
            </w:pPr>
            <w:r w:rsidRPr="00604C75">
              <w:rPr>
                <w:rFonts w:eastAsia="Arial Unicode MS"/>
                <w:b/>
                <w:noProof/>
                <w:sz w:val="18"/>
                <w:szCs w:val="18"/>
              </w:rPr>
              <w:t>Total</w:t>
            </w:r>
          </w:p>
        </w:tc>
        <w:tc>
          <w:tcPr>
            <w:tcW w:w="2013" w:type="dxa"/>
            <w:vAlign w:val="bottom"/>
          </w:tcPr>
          <w:p w14:paraId="305880CC" w14:textId="5E217B23" w:rsidR="00224102" w:rsidRPr="00557A99" w:rsidRDefault="00224102" w:rsidP="00B346E2">
            <w:pPr>
              <w:ind w:right="58"/>
              <w:jc w:val="right"/>
              <w:rPr>
                <w:b/>
                <w:sz w:val="18"/>
                <w:szCs w:val="18"/>
              </w:rPr>
            </w:pPr>
            <w:r w:rsidRPr="00557A99">
              <w:rPr>
                <w:b/>
                <w:sz w:val="18"/>
                <w:szCs w:val="18"/>
              </w:rPr>
              <w:t>211,041</w:t>
            </w:r>
          </w:p>
        </w:tc>
        <w:tc>
          <w:tcPr>
            <w:tcW w:w="2016" w:type="dxa"/>
            <w:vAlign w:val="bottom"/>
          </w:tcPr>
          <w:p w14:paraId="4E51D997" w14:textId="0A5CA1B7" w:rsidR="00224102" w:rsidRPr="00692926" w:rsidRDefault="00224102" w:rsidP="00B346E2">
            <w:pPr>
              <w:ind w:right="58"/>
              <w:jc w:val="right"/>
              <w:rPr>
                <w:b/>
                <w:sz w:val="18"/>
                <w:szCs w:val="18"/>
              </w:rPr>
            </w:pPr>
            <w:r w:rsidRPr="00A36623">
              <w:rPr>
                <w:b/>
                <w:bCs/>
                <w:sz w:val="18"/>
                <w:szCs w:val="18"/>
              </w:rPr>
              <w:t xml:space="preserve">         137</w:t>
            </w:r>
            <w:r>
              <w:rPr>
                <w:b/>
                <w:bCs/>
                <w:sz w:val="18"/>
                <w:szCs w:val="18"/>
              </w:rPr>
              <w:t>,</w:t>
            </w:r>
            <w:r w:rsidRPr="00A36623">
              <w:rPr>
                <w:b/>
                <w:bCs/>
                <w:sz w:val="18"/>
                <w:szCs w:val="18"/>
              </w:rPr>
              <w:t xml:space="preserve">455    </w:t>
            </w:r>
          </w:p>
        </w:tc>
      </w:tr>
    </w:tbl>
    <w:p w14:paraId="0F42DE75" w14:textId="77777777" w:rsidR="0044575F" w:rsidRPr="00604C75" w:rsidRDefault="0044575F" w:rsidP="009F03D9">
      <w:pPr>
        <w:tabs>
          <w:tab w:val="left" w:pos="2915"/>
        </w:tabs>
        <w:spacing w:line="228" w:lineRule="auto"/>
        <w:ind w:left="851"/>
        <w:jc w:val="both"/>
        <w:rPr>
          <w:noProof/>
          <w:sz w:val="16"/>
          <w:szCs w:val="16"/>
        </w:rPr>
      </w:pPr>
    </w:p>
    <w:p w14:paraId="135CEDAC" w14:textId="77777777" w:rsidR="0044575F" w:rsidRPr="00604C75" w:rsidRDefault="006A6EDB" w:rsidP="006A6EDB">
      <w:pPr>
        <w:tabs>
          <w:tab w:val="left" w:pos="709"/>
        </w:tabs>
        <w:spacing w:line="228" w:lineRule="auto"/>
        <w:jc w:val="both"/>
        <w:rPr>
          <w:b/>
          <w:noProof/>
          <w:sz w:val="20"/>
          <w:szCs w:val="20"/>
        </w:rPr>
      </w:pPr>
      <w:r w:rsidRPr="00604C75">
        <w:rPr>
          <w:b/>
          <w:noProof/>
          <w:sz w:val="20"/>
          <w:szCs w:val="20"/>
        </w:rPr>
        <w:t xml:space="preserve">g.   </w:t>
      </w:r>
      <w:r w:rsidR="0044575F" w:rsidRPr="00604C75">
        <w:rPr>
          <w:b/>
          <w:noProof/>
          <w:sz w:val="20"/>
          <w:szCs w:val="20"/>
        </w:rPr>
        <w:t>Information related to other operating expenses</w:t>
      </w:r>
    </w:p>
    <w:p w14:paraId="6F1697AE" w14:textId="77777777" w:rsidR="0044575F" w:rsidRPr="00604C75" w:rsidRDefault="0044575F" w:rsidP="00D46B3B">
      <w:pPr>
        <w:spacing w:line="120" w:lineRule="auto"/>
        <w:ind w:left="851"/>
        <w:jc w:val="both"/>
        <w:rPr>
          <w:b/>
          <w:noProof/>
          <w:sz w:val="16"/>
          <w:szCs w:val="16"/>
        </w:rPr>
      </w:pPr>
    </w:p>
    <w:tbl>
      <w:tblPr>
        <w:tblW w:w="9393"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5386"/>
        <w:gridCol w:w="1977"/>
        <w:gridCol w:w="2030"/>
      </w:tblGrid>
      <w:tr w:rsidR="00A4135E" w:rsidRPr="00604C75" w14:paraId="607EADAB" w14:textId="77777777" w:rsidTr="00B346E2">
        <w:trPr>
          <w:trHeight w:val="197"/>
        </w:trPr>
        <w:tc>
          <w:tcPr>
            <w:tcW w:w="5386" w:type="dxa"/>
            <w:shd w:val="clear" w:color="auto" w:fill="FFFFFF"/>
            <w:vAlign w:val="bottom"/>
          </w:tcPr>
          <w:p w14:paraId="50C5D0E4" w14:textId="77777777" w:rsidR="00A4135E" w:rsidRPr="00604C75" w:rsidRDefault="00A4135E" w:rsidP="001C2251">
            <w:pPr>
              <w:spacing w:line="228" w:lineRule="auto"/>
              <w:rPr>
                <w:rFonts w:eastAsia="Arial Unicode MS"/>
                <w:b/>
                <w:noProof/>
                <w:sz w:val="18"/>
                <w:szCs w:val="18"/>
              </w:rPr>
            </w:pPr>
            <w:r w:rsidRPr="00604C75">
              <w:rPr>
                <w:b/>
                <w:noProof/>
                <w:sz w:val="18"/>
                <w:szCs w:val="18"/>
              </w:rPr>
              <w:t> </w:t>
            </w:r>
          </w:p>
        </w:tc>
        <w:tc>
          <w:tcPr>
            <w:tcW w:w="1977" w:type="dxa"/>
            <w:shd w:val="clear" w:color="auto" w:fill="FFFFFF"/>
            <w:vAlign w:val="bottom"/>
          </w:tcPr>
          <w:p w14:paraId="4FEB9D35" w14:textId="77777777" w:rsidR="00A4135E" w:rsidRPr="00CD0767" w:rsidRDefault="00A4135E" w:rsidP="00B346E2">
            <w:pPr>
              <w:tabs>
                <w:tab w:val="left" w:pos="0"/>
              </w:tabs>
              <w:ind w:right="72"/>
              <w:jc w:val="right"/>
              <w:rPr>
                <w:b/>
                <w:snapToGrid w:val="0"/>
                <w:sz w:val="18"/>
              </w:rPr>
            </w:pPr>
            <w:r>
              <w:rPr>
                <w:b/>
                <w:snapToGrid w:val="0"/>
                <w:sz w:val="18"/>
              </w:rPr>
              <w:t>31 December</w:t>
            </w:r>
            <w:r w:rsidRPr="00604C75">
              <w:rPr>
                <w:b/>
                <w:snapToGrid w:val="0"/>
                <w:sz w:val="18"/>
              </w:rPr>
              <w:t xml:space="preserve"> 2015</w:t>
            </w:r>
          </w:p>
        </w:tc>
        <w:tc>
          <w:tcPr>
            <w:tcW w:w="2030" w:type="dxa"/>
            <w:shd w:val="clear" w:color="auto" w:fill="FFFFFF"/>
            <w:vAlign w:val="bottom"/>
          </w:tcPr>
          <w:p w14:paraId="1CFAE70D" w14:textId="02CAEDFC" w:rsidR="00A4135E" w:rsidRPr="00CD0767" w:rsidRDefault="00A4135E" w:rsidP="00B346E2">
            <w:pPr>
              <w:tabs>
                <w:tab w:val="left" w:pos="0"/>
              </w:tabs>
              <w:ind w:right="72"/>
              <w:jc w:val="right"/>
              <w:rPr>
                <w:b/>
                <w:snapToGrid w:val="0"/>
                <w:sz w:val="18"/>
              </w:rPr>
            </w:pPr>
            <w:r>
              <w:rPr>
                <w:b/>
                <w:snapToGrid w:val="0"/>
                <w:sz w:val="18"/>
              </w:rPr>
              <w:t>31</w:t>
            </w:r>
            <w:r w:rsidRPr="00604C75">
              <w:rPr>
                <w:b/>
                <w:snapToGrid w:val="0"/>
                <w:sz w:val="18"/>
              </w:rPr>
              <w:t xml:space="preserve"> </w:t>
            </w:r>
            <w:r>
              <w:rPr>
                <w:b/>
                <w:snapToGrid w:val="0"/>
                <w:sz w:val="18"/>
              </w:rPr>
              <w:t>December</w:t>
            </w:r>
            <w:r w:rsidRPr="00604C75">
              <w:rPr>
                <w:b/>
                <w:snapToGrid w:val="0"/>
                <w:sz w:val="18"/>
              </w:rPr>
              <w:t xml:space="preserve"> 2014</w:t>
            </w:r>
          </w:p>
        </w:tc>
      </w:tr>
      <w:tr w:rsidR="00224102" w:rsidRPr="00604C75" w14:paraId="32B6EE6D" w14:textId="77777777" w:rsidTr="00B346E2">
        <w:trPr>
          <w:trHeight w:val="161"/>
        </w:trPr>
        <w:tc>
          <w:tcPr>
            <w:tcW w:w="5386" w:type="dxa"/>
            <w:shd w:val="clear" w:color="auto" w:fill="FFFFFF"/>
            <w:vAlign w:val="bottom"/>
          </w:tcPr>
          <w:p w14:paraId="76D9720D" w14:textId="77777777" w:rsidR="00224102" w:rsidRPr="00604C75" w:rsidRDefault="00224102" w:rsidP="00224102">
            <w:pPr>
              <w:spacing w:line="228" w:lineRule="auto"/>
              <w:ind w:left="73"/>
              <w:rPr>
                <w:rFonts w:eastAsia="Arial Unicode MS"/>
                <w:noProof/>
                <w:sz w:val="18"/>
                <w:szCs w:val="18"/>
              </w:rPr>
            </w:pPr>
            <w:r w:rsidRPr="00604C75">
              <w:rPr>
                <w:noProof/>
                <w:sz w:val="18"/>
                <w:szCs w:val="18"/>
              </w:rPr>
              <w:t>Personnel Expenses</w:t>
            </w:r>
          </w:p>
        </w:tc>
        <w:tc>
          <w:tcPr>
            <w:tcW w:w="1977" w:type="dxa"/>
            <w:vAlign w:val="bottom"/>
          </w:tcPr>
          <w:p w14:paraId="0EF9635F" w14:textId="1074AC05" w:rsidR="00224102" w:rsidRPr="00FD0C7A" w:rsidRDefault="00224102" w:rsidP="00B346E2">
            <w:pPr>
              <w:ind w:right="72"/>
              <w:jc w:val="right"/>
              <w:rPr>
                <w:sz w:val="18"/>
                <w:szCs w:val="18"/>
              </w:rPr>
            </w:pPr>
            <w:r w:rsidRPr="00D76A97">
              <w:rPr>
                <w:sz w:val="18"/>
                <w:szCs w:val="18"/>
              </w:rPr>
              <w:t xml:space="preserve">         170,507    </w:t>
            </w:r>
          </w:p>
        </w:tc>
        <w:tc>
          <w:tcPr>
            <w:tcW w:w="2030" w:type="dxa"/>
            <w:vAlign w:val="bottom"/>
          </w:tcPr>
          <w:p w14:paraId="1065F6BA" w14:textId="545B571C" w:rsidR="00224102" w:rsidRPr="00FD0C7A" w:rsidRDefault="00224102" w:rsidP="00B346E2">
            <w:pPr>
              <w:ind w:right="72"/>
              <w:jc w:val="right"/>
              <w:rPr>
                <w:sz w:val="18"/>
                <w:szCs w:val="18"/>
              </w:rPr>
            </w:pPr>
            <w:r w:rsidRPr="00A36623">
              <w:rPr>
                <w:sz w:val="18"/>
                <w:szCs w:val="18"/>
              </w:rPr>
              <w:t xml:space="preserve">         166</w:t>
            </w:r>
            <w:r>
              <w:rPr>
                <w:sz w:val="18"/>
                <w:szCs w:val="18"/>
              </w:rPr>
              <w:t>,</w:t>
            </w:r>
            <w:r w:rsidRPr="00A36623">
              <w:rPr>
                <w:sz w:val="18"/>
                <w:szCs w:val="18"/>
              </w:rPr>
              <w:t xml:space="preserve">026    </w:t>
            </w:r>
          </w:p>
        </w:tc>
      </w:tr>
      <w:tr w:rsidR="00224102" w:rsidRPr="00604C75" w14:paraId="022D7B95" w14:textId="77777777" w:rsidTr="00B346E2">
        <w:trPr>
          <w:trHeight w:val="116"/>
        </w:trPr>
        <w:tc>
          <w:tcPr>
            <w:tcW w:w="5386" w:type="dxa"/>
            <w:shd w:val="clear" w:color="auto" w:fill="FFFFFF"/>
            <w:vAlign w:val="bottom"/>
          </w:tcPr>
          <w:p w14:paraId="2EE58F8F"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line="228" w:lineRule="auto"/>
              <w:ind w:left="73"/>
              <w:rPr>
                <w:rFonts w:eastAsia="Times New Roman"/>
                <w:noProof/>
              </w:rPr>
            </w:pPr>
            <w:r w:rsidRPr="00604C75">
              <w:rPr>
                <w:noProof/>
              </w:rPr>
              <w:t>Reserve For Employee Termination Benefits</w:t>
            </w:r>
            <w:r w:rsidRPr="00604C75">
              <w:rPr>
                <w:rFonts w:eastAsia="Times New Roman"/>
                <w:noProof/>
              </w:rPr>
              <w:t xml:space="preserve"> </w:t>
            </w:r>
          </w:p>
        </w:tc>
        <w:tc>
          <w:tcPr>
            <w:tcW w:w="1977" w:type="dxa"/>
            <w:vAlign w:val="bottom"/>
          </w:tcPr>
          <w:p w14:paraId="37C13120" w14:textId="0E74332F" w:rsidR="00224102" w:rsidRPr="00FD0C7A" w:rsidRDefault="00224102" w:rsidP="00B346E2">
            <w:pPr>
              <w:ind w:right="72"/>
              <w:jc w:val="right"/>
              <w:rPr>
                <w:sz w:val="18"/>
                <w:szCs w:val="18"/>
              </w:rPr>
            </w:pPr>
            <w:r w:rsidRPr="00D76A97">
              <w:rPr>
                <w:sz w:val="18"/>
                <w:szCs w:val="18"/>
              </w:rPr>
              <w:t xml:space="preserve">                430    </w:t>
            </w:r>
          </w:p>
        </w:tc>
        <w:tc>
          <w:tcPr>
            <w:tcW w:w="2030" w:type="dxa"/>
            <w:vAlign w:val="bottom"/>
          </w:tcPr>
          <w:p w14:paraId="098659BE" w14:textId="10D21379" w:rsidR="00224102" w:rsidRPr="00FD0C7A" w:rsidRDefault="00224102" w:rsidP="00B346E2">
            <w:pPr>
              <w:ind w:right="72"/>
              <w:jc w:val="right"/>
              <w:rPr>
                <w:sz w:val="18"/>
                <w:szCs w:val="18"/>
              </w:rPr>
            </w:pPr>
            <w:r w:rsidRPr="00A36623">
              <w:rPr>
                <w:sz w:val="18"/>
                <w:szCs w:val="18"/>
              </w:rPr>
              <w:t xml:space="preserve">                291    </w:t>
            </w:r>
          </w:p>
        </w:tc>
      </w:tr>
      <w:tr w:rsidR="00224102" w:rsidRPr="00604C75" w14:paraId="1E658A59" w14:textId="77777777" w:rsidTr="00B346E2">
        <w:trPr>
          <w:trHeight w:val="89"/>
        </w:trPr>
        <w:tc>
          <w:tcPr>
            <w:tcW w:w="5386" w:type="dxa"/>
            <w:shd w:val="clear" w:color="auto" w:fill="FFFFFF"/>
            <w:vAlign w:val="bottom"/>
          </w:tcPr>
          <w:p w14:paraId="25EAC764" w14:textId="77777777" w:rsidR="00224102" w:rsidRPr="00604C75" w:rsidRDefault="00224102" w:rsidP="00224102">
            <w:pPr>
              <w:spacing w:line="228" w:lineRule="auto"/>
              <w:ind w:left="73"/>
              <w:rPr>
                <w:rFonts w:eastAsia="Arial Unicode MS"/>
                <w:noProof/>
                <w:sz w:val="18"/>
                <w:szCs w:val="18"/>
              </w:rPr>
            </w:pPr>
            <w:r w:rsidRPr="00604C75">
              <w:rPr>
                <w:noProof/>
                <w:sz w:val="18"/>
                <w:szCs w:val="18"/>
              </w:rPr>
              <w:t>Unused Vacation</w:t>
            </w:r>
          </w:p>
        </w:tc>
        <w:tc>
          <w:tcPr>
            <w:tcW w:w="1977" w:type="dxa"/>
            <w:vAlign w:val="bottom"/>
          </w:tcPr>
          <w:p w14:paraId="3AF00D04" w14:textId="04E3891C" w:rsidR="00224102" w:rsidRPr="00FD0C7A" w:rsidRDefault="00224102" w:rsidP="00B346E2">
            <w:pPr>
              <w:ind w:right="72"/>
              <w:jc w:val="right"/>
              <w:rPr>
                <w:sz w:val="18"/>
                <w:szCs w:val="18"/>
              </w:rPr>
            </w:pPr>
            <w:r w:rsidRPr="00D76A97">
              <w:rPr>
                <w:sz w:val="18"/>
                <w:szCs w:val="18"/>
              </w:rPr>
              <w:t xml:space="preserve">                  -    </w:t>
            </w:r>
          </w:p>
        </w:tc>
        <w:tc>
          <w:tcPr>
            <w:tcW w:w="2030" w:type="dxa"/>
            <w:vAlign w:val="bottom"/>
          </w:tcPr>
          <w:p w14:paraId="26301A16" w14:textId="7BED15A8" w:rsidR="00224102" w:rsidRPr="00FD0C7A" w:rsidRDefault="00224102" w:rsidP="00B346E2">
            <w:pPr>
              <w:ind w:right="72"/>
              <w:jc w:val="right"/>
              <w:rPr>
                <w:sz w:val="18"/>
                <w:szCs w:val="18"/>
              </w:rPr>
            </w:pPr>
            <w:r w:rsidRPr="00A36623">
              <w:rPr>
                <w:sz w:val="18"/>
                <w:szCs w:val="18"/>
              </w:rPr>
              <w:t xml:space="preserve">                  72    </w:t>
            </w:r>
          </w:p>
        </w:tc>
      </w:tr>
      <w:tr w:rsidR="00224102" w:rsidRPr="00604C75" w14:paraId="0564882D" w14:textId="77777777" w:rsidTr="00B346E2">
        <w:trPr>
          <w:trHeight w:val="70"/>
        </w:trPr>
        <w:tc>
          <w:tcPr>
            <w:tcW w:w="5386" w:type="dxa"/>
            <w:shd w:val="clear" w:color="auto" w:fill="FFFFFF"/>
            <w:vAlign w:val="bottom"/>
          </w:tcPr>
          <w:p w14:paraId="38792F55" w14:textId="77777777" w:rsidR="00224102" w:rsidRPr="00604C75" w:rsidRDefault="00224102" w:rsidP="00224102">
            <w:pPr>
              <w:spacing w:line="228" w:lineRule="auto"/>
              <w:ind w:left="73"/>
              <w:rPr>
                <w:noProof/>
                <w:sz w:val="18"/>
                <w:szCs w:val="18"/>
              </w:rPr>
            </w:pPr>
            <w:r w:rsidRPr="00604C75">
              <w:rPr>
                <w:noProof/>
                <w:sz w:val="18"/>
                <w:szCs w:val="18"/>
              </w:rPr>
              <w:t>Bank Social Aid Pension Fund Deficit Provision</w:t>
            </w:r>
          </w:p>
        </w:tc>
        <w:tc>
          <w:tcPr>
            <w:tcW w:w="1977" w:type="dxa"/>
            <w:vAlign w:val="bottom"/>
          </w:tcPr>
          <w:p w14:paraId="1C198FCC" w14:textId="1FBF2E35" w:rsidR="00224102" w:rsidRPr="00FD0C7A" w:rsidRDefault="00224102" w:rsidP="00B346E2">
            <w:pPr>
              <w:ind w:right="72"/>
              <w:jc w:val="right"/>
              <w:rPr>
                <w:sz w:val="18"/>
                <w:szCs w:val="18"/>
              </w:rPr>
            </w:pPr>
            <w:r w:rsidRPr="00D76A97">
              <w:rPr>
                <w:sz w:val="18"/>
                <w:szCs w:val="18"/>
              </w:rPr>
              <w:t xml:space="preserve">                  -      </w:t>
            </w:r>
          </w:p>
        </w:tc>
        <w:tc>
          <w:tcPr>
            <w:tcW w:w="2030" w:type="dxa"/>
            <w:vAlign w:val="bottom"/>
          </w:tcPr>
          <w:p w14:paraId="1BAE3644" w14:textId="6AD172E6" w:rsidR="00224102" w:rsidRPr="00FD0C7A" w:rsidRDefault="00224102" w:rsidP="00B346E2">
            <w:pPr>
              <w:ind w:right="72"/>
              <w:jc w:val="right"/>
              <w:rPr>
                <w:sz w:val="18"/>
                <w:szCs w:val="18"/>
              </w:rPr>
            </w:pPr>
            <w:r>
              <w:rPr>
                <w:sz w:val="18"/>
                <w:szCs w:val="18"/>
              </w:rPr>
              <w:t>-</w:t>
            </w:r>
          </w:p>
        </w:tc>
      </w:tr>
      <w:tr w:rsidR="00224102" w:rsidRPr="00604C75" w14:paraId="36C945A5" w14:textId="77777777" w:rsidTr="00B346E2">
        <w:trPr>
          <w:trHeight w:val="70"/>
        </w:trPr>
        <w:tc>
          <w:tcPr>
            <w:tcW w:w="5386" w:type="dxa"/>
            <w:shd w:val="clear" w:color="auto" w:fill="FFFFFF"/>
            <w:vAlign w:val="bottom"/>
          </w:tcPr>
          <w:p w14:paraId="7CC8E609" w14:textId="77777777" w:rsidR="00224102" w:rsidRPr="00604C75" w:rsidRDefault="00224102" w:rsidP="00224102">
            <w:pPr>
              <w:spacing w:line="228" w:lineRule="auto"/>
              <w:ind w:left="73"/>
              <w:rPr>
                <w:noProof/>
                <w:sz w:val="18"/>
                <w:szCs w:val="18"/>
              </w:rPr>
            </w:pPr>
            <w:r w:rsidRPr="00604C75">
              <w:rPr>
                <w:noProof/>
                <w:sz w:val="18"/>
                <w:szCs w:val="18"/>
              </w:rPr>
              <w:t xml:space="preserve">Impairment Expenses of Tangible Assets </w:t>
            </w:r>
          </w:p>
        </w:tc>
        <w:tc>
          <w:tcPr>
            <w:tcW w:w="1977" w:type="dxa"/>
            <w:vAlign w:val="bottom"/>
          </w:tcPr>
          <w:p w14:paraId="422DD03F" w14:textId="12169F07" w:rsidR="00224102" w:rsidRPr="00FD0C7A" w:rsidRDefault="00224102" w:rsidP="00B346E2">
            <w:pPr>
              <w:ind w:right="72"/>
              <w:jc w:val="right"/>
              <w:rPr>
                <w:sz w:val="18"/>
                <w:szCs w:val="18"/>
              </w:rPr>
            </w:pPr>
            <w:r w:rsidRPr="00D76A97">
              <w:rPr>
                <w:sz w:val="18"/>
                <w:szCs w:val="18"/>
              </w:rPr>
              <w:t>-</w:t>
            </w:r>
          </w:p>
        </w:tc>
        <w:tc>
          <w:tcPr>
            <w:tcW w:w="2030" w:type="dxa"/>
            <w:vAlign w:val="bottom"/>
          </w:tcPr>
          <w:p w14:paraId="729AC6CB" w14:textId="008FE3EC" w:rsidR="00224102" w:rsidRPr="00FD0C7A" w:rsidRDefault="00224102" w:rsidP="00B346E2">
            <w:pPr>
              <w:ind w:right="72"/>
              <w:jc w:val="right"/>
              <w:rPr>
                <w:sz w:val="18"/>
                <w:szCs w:val="18"/>
              </w:rPr>
            </w:pPr>
            <w:r>
              <w:rPr>
                <w:sz w:val="18"/>
                <w:szCs w:val="18"/>
              </w:rPr>
              <w:t>-</w:t>
            </w:r>
          </w:p>
        </w:tc>
      </w:tr>
      <w:tr w:rsidR="00224102" w:rsidRPr="00604C75" w14:paraId="59838616" w14:textId="77777777" w:rsidTr="00B346E2">
        <w:trPr>
          <w:trHeight w:val="197"/>
        </w:trPr>
        <w:tc>
          <w:tcPr>
            <w:tcW w:w="5386" w:type="dxa"/>
            <w:shd w:val="clear" w:color="auto" w:fill="FFFFFF"/>
            <w:vAlign w:val="bottom"/>
          </w:tcPr>
          <w:p w14:paraId="628193FF" w14:textId="7777777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line="228" w:lineRule="auto"/>
              <w:ind w:left="73"/>
              <w:rPr>
                <w:rFonts w:eastAsia="Times New Roman"/>
                <w:noProof/>
              </w:rPr>
            </w:pPr>
            <w:r w:rsidRPr="00604C75">
              <w:rPr>
                <w:noProof/>
              </w:rPr>
              <w:t>Depreciation Expenses of Tangible Assets</w:t>
            </w:r>
          </w:p>
        </w:tc>
        <w:tc>
          <w:tcPr>
            <w:tcW w:w="1977" w:type="dxa"/>
            <w:vAlign w:val="bottom"/>
          </w:tcPr>
          <w:p w14:paraId="20177B4D" w14:textId="2627DEC2" w:rsidR="00224102" w:rsidRPr="00FD0C7A" w:rsidRDefault="00224102" w:rsidP="00B346E2">
            <w:pPr>
              <w:ind w:right="72"/>
              <w:jc w:val="right"/>
              <w:rPr>
                <w:sz w:val="18"/>
                <w:szCs w:val="18"/>
              </w:rPr>
            </w:pPr>
            <w:r w:rsidRPr="00D76A97">
              <w:rPr>
                <w:sz w:val="18"/>
                <w:szCs w:val="18"/>
              </w:rPr>
              <w:t xml:space="preserve">8,876      </w:t>
            </w:r>
          </w:p>
        </w:tc>
        <w:tc>
          <w:tcPr>
            <w:tcW w:w="2030" w:type="dxa"/>
            <w:vAlign w:val="bottom"/>
          </w:tcPr>
          <w:p w14:paraId="3FE1EE66" w14:textId="333F5C45" w:rsidR="00224102" w:rsidRPr="00FD0C7A" w:rsidRDefault="00224102" w:rsidP="00B346E2">
            <w:pPr>
              <w:ind w:right="72"/>
              <w:jc w:val="right"/>
              <w:rPr>
                <w:sz w:val="18"/>
                <w:szCs w:val="18"/>
              </w:rPr>
            </w:pPr>
            <w:r w:rsidRPr="00A36623">
              <w:rPr>
                <w:sz w:val="18"/>
                <w:szCs w:val="18"/>
              </w:rPr>
              <w:t>8</w:t>
            </w:r>
            <w:r>
              <w:rPr>
                <w:sz w:val="18"/>
                <w:szCs w:val="18"/>
              </w:rPr>
              <w:t>,</w:t>
            </w:r>
            <w:r w:rsidRPr="00A36623">
              <w:rPr>
                <w:sz w:val="18"/>
                <w:szCs w:val="18"/>
              </w:rPr>
              <w:t xml:space="preserve">800                          </w:t>
            </w:r>
          </w:p>
        </w:tc>
      </w:tr>
      <w:tr w:rsidR="00224102" w:rsidRPr="00604C75" w14:paraId="2EB51B0A" w14:textId="77777777" w:rsidTr="00B346E2">
        <w:trPr>
          <w:trHeight w:val="172"/>
        </w:trPr>
        <w:tc>
          <w:tcPr>
            <w:tcW w:w="5386" w:type="dxa"/>
            <w:shd w:val="clear" w:color="auto" w:fill="FFFFFF"/>
            <w:vAlign w:val="bottom"/>
          </w:tcPr>
          <w:p w14:paraId="25BBDB53" w14:textId="77777777" w:rsidR="00224102" w:rsidRPr="00604C75" w:rsidRDefault="00224102" w:rsidP="00224102">
            <w:pPr>
              <w:spacing w:line="228" w:lineRule="auto"/>
              <w:ind w:left="73"/>
              <w:rPr>
                <w:rFonts w:eastAsia="Arial Unicode MS"/>
                <w:noProof/>
                <w:sz w:val="18"/>
                <w:szCs w:val="18"/>
              </w:rPr>
            </w:pPr>
            <w:r w:rsidRPr="00604C75">
              <w:rPr>
                <w:noProof/>
                <w:sz w:val="18"/>
                <w:szCs w:val="18"/>
              </w:rPr>
              <w:t xml:space="preserve">Impairment Expenses of Intangible Assets </w:t>
            </w:r>
          </w:p>
        </w:tc>
        <w:tc>
          <w:tcPr>
            <w:tcW w:w="1977" w:type="dxa"/>
            <w:vAlign w:val="bottom"/>
          </w:tcPr>
          <w:p w14:paraId="32D9D71F" w14:textId="0A3F2F47" w:rsidR="00224102" w:rsidRPr="00FD0C7A" w:rsidRDefault="00224102" w:rsidP="00B346E2">
            <w:pPr>
              <w:ind w:right="72"/>
              <w:jc w:val="right"/>
              <w:rPr>
                <w:sz w:val="18"/>
                <w:szCs w:val="18"/>
              </w:rPr>
            </w:pPr>
            <w:r w:rsidRPr="00D76A97">
              <w:rPr>
                <w:sz w:val="18"/>
                <w:szCs w:val="18"/>
              </w:rPr>
              <w:t xml:space="preserve">                  -      </w:t>
            </w:r>
          </w:p>
        </w:tc>
        <w:tc>
          <w:tcPr>
            <w:tcW w:w="2030" w:type="dxa"/>
            <w:vAlign w:val="bottom"/>
          </w:tcPr>
          <w:p w14:paraId="6A1E7D2D" w14:textId="2C18473F" w:rsidR="00224102" w:rsidRPr="00FD0C7A" w:rsidRDefault="00224102" w:rsidP="00B346E2">
            <w:pPr>
              <w:ind w:right="72"/>
              <w:jc w:val="right"/>
              <w:rPr>
                <w:sz w:val="18"/>
                <w:szCs w:val="18"/>
              </w:rPr>
            </w:pPr>
            <w:r w:rsidRPr="00A36623">
              <w:rPr>
                <w:sz w:val="18"/>
                <w:szCs w:val="18"/>
              </w:rPr>
              <w:t>-</w:t>
            </w:r>
          </w:p>
        </w:tc>
      </w:tr>
      <w:tr w:rsidR="00224102" w:rsidRPr="00604C75" w14:paraId="425C94EE" w14:textId="77777777" w:rsidTr="00B346E2">
        <w:trPr>
          <w:trHeight w:val="71"/>
        </w:trPr>
        <w:tc>
          <w:tcPr>
            <w:tcW w:w="5386" w:type="dxa"/>
            <w:shd w:val="clear" w:color="auto" w:fill="FFFFFF"/>
            <w:vAlign w:val="bottom"/>
          </w:tcPr>
          <w:p w14:paraId="74DB137D" w14:textId="77777777" w:rsidR="00224102" w:rsidRPr="00604C75" w:rsidRDefault="00224102" w:rsidP="00224102">
            <w:pPr>
              <w:spacing w:line="228" w:lineRule="auto"/>
              <w:ind w:left="73"/>
              <w:rPr>
                <w:noProof/>
                <w:sz w:val="18"/>
                <w:szCs w:val="18"/>
              </w:rPr>
            </w:pPr>
            <w:r w:rsidRPr="00604C75">
              <w:rPr>
                <w:noProof/>
                <w:sz w:val="18"/>
                <w:szCs w:val="18"/>
              </w:rPr>
              <w:t>Impairment Expense of Goodwill</w:t>
            </w:r>
          </w:p>
        </w:tc>
        <w:tc>
          <w:tcPr>
            <w:tcW w:w="1977" w:type="dxa"/>
            <w:vAlign w:val="bottom"/>
          </w:tcPr>
          <w:p w14:paraId="13879FD8" w14:textId="4639AC6C" w:rsidR="00224102" w:rsidRPr="00FD0C7A" w:rsidRDefault="00224102" w:rsidP="00B346E2">
            <w:pPr>
              <w:ind w:right="72"/>
              <w:jc w:val="right"/>
              <w:rPr>
                <w:sz w:val="18"/>
                <w:szCs w:val="18"/>
              </w:rPr>
            </w:pPr>
            <w:r w:rsidRPr="00D76A97">
              <w:rPr>
                <w:sz w:val="18"/>
                <w:szCs w:val="18"/>
              </w:rPr>
              <w:t xml:space="preserve">-             </w:t>
            </w:r>
          </w:p>
        </w:tc>
        <w:tc>
          <w:tcPr>
            <w:tcW w:w="2030" w:type="dxa"/>
            <w:vAlign w:val="bottom"/>
          </w:tcPr>
          <w:p w14:paraId="550BD7A4" w14:textId="5019115B" w:rsidR="00224102" w:rsidRPr="00FD0C7A" w:rsidRDefault="00224102" w:rsidP="00B346E2">
            <w:pPr>
              <w:ind w:right="72"/>
              <w:jc w:val="right"/>
              <w:rPr>
                <w:sz w:val="18"/>
                <w:szCs w:val="18"/>
              </w:rPr>
            </w:pPr>
            <w:r w:rsidRPr="00A36623">
              <w:rPr>
                <w:sz w:val="18"/>
                <w:szCs w:val="18"/>
              </w:rPr>
              <w:t>-</w:t>
            </w:r>
          </w:p>
        </w:tc>
      </w:tr>
      <w:tr w:rsidR="00224102" w:rsidRPr="00604C75" w14:paraId="268F39AD" w14:textId="77777777" w:rsidTr="00B346E2">
        <w:trPr>
          <w:trHeight w:val="71"/>
        </w:trPr>
        <w:tc>
          <w:tcPr>
            <w:tcW w:w="5386" w:type="dxa"/>
            <w:shd w:val="clear" w:color="auto" w:fill="FFFFFF"/>
            <w:vAlign w:val="bottom"/>
          </w:tcPr>
          <w:p w14:paraId="74CA4CF1" w14:textId="77777777" w:rsidR="00224102" w:rsidRPr="00604C75" w:rsidRDefault="00224102" w:rsidP="00224102">
            <w:pPr>
              <w:spacing w:line="228" w:lineRule="auto"/>
              <w:ind w:left="73"/>
              <w:rPr>
                <w:noProof/>
                <w:sz w:val="18"/>
                <w:szCs w:val="18"/>
              </w:rPr>
            </w:pPr>
            <w:r w:rsidRPr="00604C75">
              <w:rPr>
                <w:noProof/>
                <w:sz w:val="18"/>
                <w:szCs w:val="18"/>
              </w:rPr>
              <w:t>Amortisation Expenses of Intangible Assets</w:t>
            </w:r>
          </w:p>
        </w:tc>
        <w:tc>
          <w:tcPr>
            <w:tcW w:w="1977" w:type="dxa"/>
            <w:vAlign w:val="bottom"/>
          </w:tcPr>
          <w:p w14:paraId="0FF6BBA1" w14:textId="79546CFD" w:rsidR="00224102" w:rsidRPr="00FD0C7A" w:rsidRDefault="00224102" w:rsidP="00B346E2">
            <w:pPr>
              <w:ind w:right="72"/>
              <w:jc w:val="right"/>
              <w:rPr>
                <w:sz w:val="18"/>
                <w:szCs w:val="18"/>
              </w:rPr>
            </w:pPr>
            <w:r w:rsidRPr="00D76A97">
              <w:rPr>
                <w:sz w:val="18"/>
                <w:szCs w:val="18"/>
              </w:rPr>
              <w:t xml:space="preserve">3,884             </w:t>
            </w:r>
          </w:p>
        </w:tc>
        <w:tc>
          <w:tcPr>
            <w:tcW w:w="2030" w:type="dxa"/>
            <w:vAlign w:val="bottom"/>
          </w:tcPr>
          <w:p w14:paraId="0788CF8E" w14:textId="32C4A126" w:rsidR="00224102" w:rsidRPr="00FD0C7A" w:rsidRDefault="00224102" w:rsidP="00B346E2">
            <w:pPr>
              <w:ind w:right="72"/>
              <w:jc w:val="right"/>
              <w:rPr>
                <w:sz w:val="18"/>
                <w:szCs w:val="18"/>
              </w:rPr>
            </w:pPr>
            <w:r>
              <w:rPr>
                <w:sz w:val="18"/>
                <w:szCs w:val="18"/>
              </w:rPr>
              <w:t>3,193</w:t>
            </w:r>
          </w:p>
        </w:tc>
      </w:tr>
      <w:tr w:rsidR="00224102" w:rsidRPr="00604C75" w14:paraId="6A87DC50" w14:textId="77777777" w:rsidTr="00B346E2">
        <w:trPr>
          <w:trHeight w:val="206"/>
        </w:trPr>
        <w:tc>
          <w:tcPr>
            <w:tcW w:w="5386" w:type="dxa"/>
            <w:shd w:val="clear" w:color="auto" w:fill="FFFFFF"/>
            <w:vAlign w:val="bottom"/>
          </w:tcPr>
          <w:p w14:paraId="5FA47970" w14:textId="77777777" w:rsidR="00224102" w:rsidRPr="00604C75" w:rsidRDefault="00224102" w:rsidP="00224102">
            <w:pPr>
              <w:spacing w:line="228" w:lineRule="auto"/>
              <w:ind w:left="73"/>
              <w:rPr>
                <w:noProof/>
                <w:sz w:val="18"/>
                <w:szCs w:val="18"/>
              </w:rPr>
            </w:pPr>
            <w:r w:rsidRPr="00604C75">
              <w:rPr>
                <w:noProof/>
                <w:sz w:val="18"/>
                <w:szCs w:val="18"/>
              </w:rPr>
              <w:t>Impairment Expenses of Equity Participations Accounted for under</w:t>
            </w:r>
          </w:p>
          <w:p w14:paraId="43D3A47D" w14:textId="77777777" w:rsidR="00224102" w:rsidRPr="00604C75" w:rsidRDefault="00224102" w:rsidP="00224102">
            <w:pPr>
              <w:spacing w:line="228" w:lineRule="auto"/>
              <w:ind w:left="73"/>
              <w:rPr>
                <w:noProof/>
                <w:sz w:val="18"/>
                <w:szCs w:val="18"/>
              </w:rPr>
            </w:pPr>
            <w:r w:rsidRPr="00604C75">
              <w:rPr>
                <w:noProof/>
                <w:sz w:val="18"/>
                <w:szCs w:val="18"/>
              </w:rPr>
              <w:t>Equity Method</w:t>
            </w:r>
          </w:p>
        </w:tc>
        <w:tc>
          <w:tcPr>
            <w:tcW w:w="1977" w:type="dxa"/>
            <w:vAlign w:val="bottom"/>
          </w:tcPr>
          <w:p w14:paraId="295A3158" w14:textId="586D0BFB" w:rsidR="00224102" w:rsidRPr="00FD0C7A" w:rsidRDefault="00224102" w:rsidP="00B346E2">
            <w:pPr>
              <w:ind w:right="72"/>
              <w:jc w:val="right"/>
              <w:rPr>
                <w:sz w:val="18"/>
                <w:szCs w:val="18"/>
              </w:rPr>
            </w:pPr>
            <w:r w:rsidRPr="00D76A97">
              <w:rPr>
                <w:sz w:val="18"/>
                <w:szCs w:val="18"/>
              </w:rPr>
              <w:t>-</w:t>
            </w:r>
          </w:p>
        </w:tc>
        <w:tc>
          <w:tcPr>
            <w:tcW w:w="2030" w:type="dxa"/>
            <w:vAlign w:val="bottom"/>
          </w:tcPr>
          <w:p w14:paraId="0423BFF5" w14:textId="2186CACA" w:rsidR="00224102" w:rsidRPr="00FD0C7A" w:rsidRDefault="00224102" w:rsidP="00B346E2">
            <w:pPr>
              <w:ind w:right="72"/>
              <w:jc w:val="right"/>
              <w:rPr>
                <w:sz w:val="18"/>
                <w:szCs w:val="18"/>
              </w:rPr>
            </w:pPr>
            <w:r>
              <w:rPr>
                <w:sz w:val="18"/>
                <w:szCs w:val="18"/>
              </w:rPr>
              <w:t>-</w:t>
            </w:r>
          </w:p>
        </w:tc>
      </w:tr>
      <w:tr w:rsidR="00224102" w:rsidRPr="00604C75" w14:paraId="5229000C" w14:textId="77777777" w:rsidTr="00B346E2">
        <w:trPr>
          <w:trHeight w:val="255"/>
        </w:trPr>
        <w:tc>
          <w:tcPr>
            <w:tcW w:w="5386" w:type="dxa"/>
            <w:shd w:val="clear" w:color="auto" w:fill="FFFFFF"/>
            <w:vAlign w:val="bottom"/>
          </w:tcPr>
          <w:p w14:paraId="791BDFBF" w14:textId="77777777" w:rsidR="00224102" w:rsidRPr="00604C75" w:rsidRDefault="00224102" w:rsidP="00224102">
            <w:pPr>
              <w:spacing w:line="228" w:lineRule="auto"/>
              <w:ind w:left="73"/>
              <w:rPr>
                <w:noProof/>
                <w:sz w:val="18"/>
                <w:szCs w:val="18"/>
              </w:rPr>
            </w:pPr>
            <w:r w:rsidRPr="00604C75">
              <w:rPr>
                <w:noProof/>
                <w:sz w:val="18"/>
                <w:szCs w:val="18"/>
              </w:rPr>
              <w:t xml:space="preserve">Impairment Expenses of Assets Held For Sale </w:t>
            </w:r>
          </w:p>
        </w:tc>
        <w:tc>
          <w:tcPr>
            <w:tcW w:w="1977" w:type="dxa"/>
            <w:vAlign w:val="bottom"/>
          </w:tcPr>
          <w:p w14:paraId="3D6397CD" w14:textId="67CF8D3D" w:rsidR="00224102" w:rsidRPr="00FD0C7A" w:rsidRDefault="00224102" w:rsidP="00B346E2">
            <w:pPr>
              <w:ind w:right="72"/>
              <w:jc w:val="right"/>
              <w:rPr>
                <w:sz w:val="18"/>
                <w:szCs w:val="18"/>
              </w:rPr>
            </w:pPr>
            <w:r w:rsidRPr="00D76A97">
              <w:rPr>
                <w:sz w:val="18"/>
                <w:szCs w:val="18"/>
              </w:rPr>
              <w:t>-</w:t>
            </w:r>
          </w:p>
        </w:tc>
        <w:tc>
          <w:tcPr>
            <w:tcW w:w="2030" w:type="dxa"/>
            <w:vAlign w:val="bottom"/>
          </w:tcPr>
          <w:p w14:paraId="30C35F3A" w14:textId="262BA868" w:rsidR="00224102" w:rsidRPr="00FD0C7A" w:rsidRDefault="00224102" w:rsidP="00B346E2">
            <w:pPr>
              <w:ind w:right="72"/>
              <w:jc w:val="right"/>
              <w:rPr>
                <w:sz w:val="18"/>
                <w:szCs w:val="18"/>
              </w:rPr>
            </w:pPr>
            <w:r>
              <w:rPr>
                <w:sz w:val="18"/>
                <w:szCs w:val="18"/>
              </w:rPr>
              <w:t>-</w:t>
            </w:r>
          </w:p>
        </w:tc>
      </w:tr>
      <w:tr w:rsidR="00224102" w:rsidRPr="00604C75" w14:paraId="77D5C5A7" w14:textId="77777777" w:rsidTr="00B346E2">
        <w:trPr>
          <w:trHeight w:val="255"/>
        </w:trPr>
        <w:tc>
          <w:tcPr>
            <w:tcW w:w="5386" w:type="dxa"/>
            <w:shd w:val="clear" w:color="auto" w:fill="FFFFFF"/>
            <w:vAlign w:val="bottom"/>
          </w:tcPr>
          <w:p w14:paraId="09F3AD3F" w14:textId="77777777" w:rsidR="00224102" w:rsidRPr="00604C75" w:rsidRDefault="00224102" w:rsidP="00224102">
            <w:pPr>
              <w:spacing w:line="228" w:lineRule="auto"/>
              <w:ind w:left="73"/>
              <w:rPr>
                <w:noProof/>
                <w:sz w:val="18"/>
                <w:szCs w:val="18"/>
              </w:rPr>
            </w:pPr>
            <w:r w:rsidRPr="00604C75">
              <w:rPr>
                <w:noProof/>
                <w:sz w:val="18"/>
                <w:szCs w:val="18"/>
              </w:rPr>
              <w:t xml:space="preserve">Depreciation Expenses of Assets Held for Sale </w:t>
            </w:r>
          </w:p>
        </w:tc>
        <w:tc>
          <w:tcPr>
            <w:tcW w:w="1977" w:type="dxa"/>
            <w:vAlign w:val="bottom"/>
          </w:tcPr>
          <w:p w14:paraId="6449F80A" w14:textId="350EA54B" w:rsidR="00224102" w:rsidRPr="00FD0C7A" w:rsidRDefault="00224102" w:rsidP="00B346E2">
            <w:pPr>
              <w:ind w:right="72"/>
              <w:jc w:val="right"/>
              <w:rPr>
                <w:sz w:val="18"/>
                <w:szCs w:val="18"/>
              </w:rPr>
            </w:pPr>
            <w:r w:rsidRPr="00D76A97">
              <w:rPr>
                <w:sz w:val="18"/>
                <w:szCs w:val="18"/>
              </w:rPr>
              <w:t>586</w:t>
            </w:r>
          </w:p>
        </w:tc>
        <w:tc>
          <w:tcPr>
            <w:tcW w:w="2030" w:type="dxa"/>
            <w:vAlign w:val="bottom"/>
          </w:tcPr>
          <w:p w14:paraId="04BD93A5" w14:textId="17465FCA" w:rsidR="00224102" w:rsidRPr="00FD0C7A" w:rsidRDefault="00224102" w:rsidP="00B346E2">
            <w:pPr>
              <w:ind w:right="72"/>
              <w:jc w:val="right"/>
              <w:rPr>
                <w:sz w:val="18"/>
                <w:szCs w:val="18"/>
              </w:rPr>
            </w:pPr>
            <w:r w:rsidRPr="00A36623">
              <w:rPr>
                <w:sz w:val="18"/>
                <w:szCs w:val="18"/>
              </w:rPr>
              <w:t>1</w:t>
            </w:r>
            <w:r>
              <w:rPr>
                <w:sz w:val="18"/>
                <w:szCs w:val="18"/>
              </w:rPr>
              <w:t>,</w:t>
            </w:r>
            <w:r w:rsidRPr="00A36623">
              <w:rPr>
                <w:sz w:val="18"/>
                <w:szCs w:val="18"/>
              </w:rPr>
              <w:t>684</w:t>
            </w:r>
          </w:p>
        </w:tc>
      </w:tr>
      <w:tr w:rsidR="00224102" w:rsidRPr="00604C75" w14:paraId="1DBE7541" w14:textId="77777777" w:rsidTr="00B346E2">
        <w:trPr>
          <w:trHeight w:val="255"/>
        </w:trPr>
        <w:tc>
          <w:tcPr>
            <w:tcW w:w="5386" w:type="dxa"/>
            <w:shd w:val="clear" w:color="auto" w:fill="FFFFFF"/>
            <w:vAlign w:val="bottom"/>
          </w:tcPr>
          <w:p w14:paraId="5F0C9805" w14:textId="3E1889F4" w:rsidR="00224102" w:rsidRPr="00604C75" w:rsidRDefault="00224102" w:rsidP="00224102">
            <w:pPr>
              <w:spacing w:line="228" w:lineRule="auto"/>
              <w:ind w:left="73"/>
              <w:rPr>
                <w:noProof/>
                <w:sz w:val="18"/>
                <w:szCs w:val="18"/>
              </w:rPr>
            </w:pPr>
            <w:r w:rsidRPr="00604C75">
              <w:rPr>
                <w:noProof/>
                <w:sz w:val="18"/>
                <w:szCs w:val="18"/>
              </w:rPr>
              <w:t xml:space="preserve">Impairment Expenses of Tangible Assets Held for Sale </w:t>
            </w:r>
          </w:p>
        </w:tc>
        <w:tc>
          <w:tcPr>
            <w:tcW w:w="1977" w:type="dxa"/>
            <w:vAlign w:val="bottom"/>
          </w:tcPr>
          <w:p w14:paraId="0130D781" w14:textId="79F14B11" w:rsidR="00224102" w:rsidRPr="00FD0C7A" w:rsidRDefault="00224102" w:rsidP="00B346E2">
            <w:pPr>
              <w:ind w:right="72"/>
              <w:jc w:val="right"/>
              <w:rPr>
                <w:sz w:val="18"/>
                <w:szCs w:val="18"/>
              </w:rPr>
            </w:pPr>
            <w:r w:rsidRPr="00D76A97">
              <w:rPr>
                <w:sz w:val="18"/>
                <w:szCs w:val="18"/>
              </w:rPr>
              <w:t>-</w:t>
            </w:r>
          </w:p>
        </w:tc>
        <w:tc>
          <w:tcPr>
            <w:tcW w:w="2030" w:type="dxa"/>
            <w:vAlign w:val="bottom"/>
          </w:tcPr>
          <w:p w14:paraId="49C8219E" w14:textId="175EE547" w:rsidR="00224102" w:rsidRPr="00FD0C7A" w:rsidRDefault="00224102" w:rsidP="00B346E2">
            <w:pPr>
              <w:ind w:right="72"/>
              <w:jc w:val="right"/>
              <w:rPr>
                <w:sz w:val="18"/>
                <w:szCs w:val="18"/>
              </w:rPr>
            </w:pPr>
            <w:r>
              <w:rPr>
                <w:sz w:val="18"/>
                <w:szCs w:val="18"/>
              </w:rPr>
              <w:t>-</w:t>
            </w:r>
          </w:p>
        </w:tc>
      </w:tr>
      <w:tr w:rsidR="00224102" w:rsidRPr="00604C75" w14:paraId="39267CB9" w14:textId="77777777" w:rsidTr="00B346E2">
        <w:trPr>
          <w:trHeight w:val="255"/>
        </w:trPr>
        <w:tc>
          <w:tcPr>
            <w:tcW w:w="5386" w:type="dxa"/>
            <w:shd w:val="clear" w:color="auto" w:fill="FFFFFF"/>
            <w:vAlign w:val="bottom"/>
          </w:tcPr>
          <w:p w14:paraId="2EA50F2A" w14:textId="77777777" w:rsidR="00224102" w:rsidRPr="00604C75" w:rsidRDefault="00224102" w:rsidP="00224102">
            <w:pPr>
              <w:spacing w:line="228" w:lineRule="auto"/>
              <w:ind w:left="73"/>
              <w:rPr>
                <w:rFonts w:eastAsia="Arial Unicode MS"/>
                <w:noProof/>
                <w:sz w:val="18"/>
                <w:szCs w:val="18"/>
              </w:rPr>
            </w:pPr>
            <w:r w:rsidRPr="00604C75">
              <w:rPr>
                <w:noProof/>
                <w:sz w:val="18"/>
                <w:szCs w:val="18"/>
              </w:rPr>
              <w:t>Other Operating Expenses</w:t>
            </w:r>
          </w:p>
        </w:tc>
        <w:tc>
          <w:tcPr>
            <w:tcW w:w="1977" w:type="dxa"/>
            <w:vAlign w:val="bottom"/>
          </w:tcPr>
          <w:p w14:paraId="0D437BDA" w14:textId="2D8A2B2E" w:rsidR="00224102" w:rsidRPr="00FD0C7A" w:rsidRDefault="00224102" w:rsidP="00B346E2">
            <w:pPr>
              <w:ind w:right="72"/>
              <w:jc w:val="right"/>
              <w:rPr>
                <w:sz w:val="18"/>
                <w:szCs w:val="18"/>
              </w:rPr>
            </w:pPr>
            <w:r w:rsidRPr="00D76A97">
              <w:rPr>
                <w:sz w:val="18"/>
                <w:szCs w:val="18"/>
              </w:rPr>
              <w:t xml:space="preserve">           94,511    </w:t>
            </w:r>
          </w:p>
        </w:tc>
        <w:tc>
          <w:tcPr>
            <w:tcW w:w="2030" w:type="dxa"/>
            <w:vAlign w:val="bottom"/>
          </w:tcPr>
          <w:p w14:paraId="70F31982" w14:textId="341C45AB" w:rsidR="00224102" w:rsidRPr="00FD0C7A" w:rsidRDefault="00224102" w:rsidP="00B346E2">
            <w:pPr>
              <w:ind w:right="72"/>
              <w:jc w:val="right"/>
              <w:rPr>
                <w:sz w:val="18"/>
                <w:szCs w:val="18"/>
              </w:rPr>
            </w:pPr>
            <w:r w:rsidRPr="00A36623">
              <w:rPr>
                <w:sz w:val="18"/>
                <w:szCs w:val="18"/>
              </w:rPr>
              <w:t>87</w:t>
            </w:r>
            <w:r>
              <w:rPr>
                <w:sz w:val="18"/>
                <w:szCs w:val="18"/>
              </w:rPr>
              <w:t>,</w:t>
            </w:r>
            <w:r w:rsidRPr="00A36623">
              <w:rPr>
                <w:sz w:val="18"/>
                <w:szCs w:val="18"/>
              </w:rPr>
              <w:t>201</w:t>
            </w:r>
          </w:p>
        </w:tc>
      </w:tr>
      <w:tr w:rsidR="00224102" w:rsidRPr="00604C75" w14:paraId="126F3876" w14:textId="77777777" w:rsidTr="00B346E2">
        <w:trPr>
          <w:trHeight w:val="255"/>
        </w:trPr>
        <w:tc>
          <w:tcPr>
            <w:tcW w:w="5386" w:type="dxa"/>
            <w:shd w:val="clear" w:color="auto" w:fill="FFFFFF"/>
            <w:vAlign w:val="bottom"/>
          </w:tcPr>
          <w:p w14:paraId="148B9FA6" w14:textId="77777777" w:rsidR="00224102" w:rsidRPr="00604C75" w:rsidRDefault="00224102" w:rsidP="00224102">
            <w:pPr>
              <w:spacing w:line="228" w:lineRule="auto"/>
              <w:ind w:left="73" w:firstLine="53"/>
              <w:rPr>
                <w:noProof/>
                <w:sz w:val="18"/>
                <w:szCs w:val="18"/>
              </w:rPr>
            </w:pPr>
            <w:r w:rsidRPr="00604C75">
              <w:rPr>
                <w:noProof/>
                <w:sz w:val="18"/>
                <w:szCs w:val="18"/>
              </w:rPr>
              <w:t xml:space="preserve">   Operational Lease Expenses</w:t>
            </w:r>
          </w:p>
        </w:tc>
        <w:tc>
          <w:tcPr>
            <w:tcW w:w="1977" w:type="dxa"/>
            <w:vAlign w:val="bottom"/>
          </w:tcPr>
          <w:p w14:paraId="4B785FFF" w14:textId="707605DC" w:rsidR="00224102" w:rsidRPr="00FD0C7A" w:rsidRDefault="00224102" w:rsidP="00B346E2">
            <w:pPr>
              <w:ind w:right="72"/>
              <w:jc w:val="right"/>
              <w:rPr>
                <w:sz w:val="18"/>
                <w:szCs w:val="18"/>
              </w:rPr>
            </w:pPr>
            <w:r w:rsidRPr="00D76A97">
              <w:rPr>
                <w:sz w:val="18"/>
                <w:szCs w:val="18"/>
              </w:rPr>
              <w:t xml:space="preserve">           32,062    </w:t>
            </w:r>
          </w:p>
        </w:tc>
        <w:tc>
          <w:tcPr>
            <w:tcW w:w="2030" w:type="dxa"/>
            <w:vAlign w:val="bottom"/>
          </w:tcPr>
          <w:p w14:paraId="6407986B" w14:textId="72D0B1C2" w:rsidR="00224102" w:rsidRPr="00FD0C7A" w:rsidRDefault="00224102" w:rsidP="00B346E2">
            <w:pPr>
              <w:ind w:right="72"/>
              <w:jc w:val="right"/>
              <w:rPr>
                <w:sz w:val="18"/>
                <w:szCs w:val="18"/>
              </w:rPr>
            </w:pPr>
            <w:r w:rsidRPr="00A36623">
              <w:rPr>
                <w:sz w:val="18"/>
                <w:szCs w:val="18"/>
              </w:rPr>
              <w:t xml:space="preserve">           29</w:t>
            </w:r>
            <w:r>
              <w:rPr>
                <w:sz w:val="18"/>
                <w:szCs w:val="18"/>
              </w:rPr>
              <w:t>,</w:t>
            </w:r>
            <w:r w:rsidRPr="00A36623">
              <w:rPr>
                <w:sz w:val="18"/>
                <w:szCs w:val="18"/>
              </w:rPr>
              <w:t xml:space="preserve">245    </w:t>
            </w:r>
          </w:p>
        </w:tc>
      </w:tr>
      <w:tr w:rsidR="00224102" w:rsidRPr="00604C75" w14:paraId="69F654C6" w14:textId="77777777" w:rsidTr="00B346E2">
        <w:trPr>
          <w:trHeight w:val="255"/>
        </w:trPr>
        <w:tc>
          <w:tcPr>
            <w:tcW w:w="5386" w:type="dxa"/>
            <w:shd w:val="clear" w:color="auto" w:fill="FFFFFF"/>
            <w:vAlign w:val="bottom"/>
          </w:tcPr>
          <w:p w14:paraId="4FD5B672" w14:textId="77777777" w:rsidR="00224102" w:rsidRPr="00604C75" w:rsidRDefault="00224102" w:rsidP="00224102">
            <w:pPr>
              <w:spacing w:line="228" w:lineRule="auto"/>
              <w:ind w:left="73" w:firstLine="53"/>
              <w:rPr>
                <w:rFonts w:eastAsia="Arial Unicode MS"/>
                <w:noProof/>
                <w:sz w:val="18"/>
                <w:szCs w:val="18"/>
              </w:rPr>
            </w:pPr>
            <w:r w:rsidRPr="00604C75">
              <w:rPr>
                <w:noProof/>
                <w:sz w:val="18"/>
                <w:szCs w:val="18"/>
              </w:rPr>
              <w:t xml:space="preserve">   Maintenance Expenses</w:t>
            </w:r>
          </w:p>
        </w:tc>
        <w:tc>
          <w:tcPr>
            <w:tcW w:w="1977" w:type="dxa"/>
            <w:vAlign w:val="bottom"/>
          </w:tcPr>
          <w:p w14:paraId="54C51A5D" w14:textId="7C450EC1" w:rsidR="00224102" w:rsidRPr="00FD0C7A" w:rsidRDefault="00224102" w:rsidP="00B346E2">
            <w:pPr>
              <w:ind w:right="72"/>
              <w:jc w:val="right"/>
              <w:rPr>
                <w:sz w:val="18"/>
                <w:szCs w:val="18"/>
              </w:rPr>
            </w:pPr>
            <w:r w:rsidRPr="00D76A97">
              <w:rPr>
                <w:sz w:val="18"/>
                <w:szCs w:val="18"/>
              </w:rPr>
              <w:t xml:space="preserve">             1,335    </w:t>
            </w:r>
          </w:p>
        </w:tc>
        <w:tc>
          <w:tcPr>
            <w:tcW w:w="2030" w:type="dxa"/>
            <w:vAlign w:val="bottom"/>
          </w:tcPr>
          <w:p w14:paraId="289151A8" w14:textId="2E717736" w:rsidR="00224102" w:rsidRPr="00FD0C7A" w:rsidRDefault="00224102" w:rsidP="00B346E2">
            <w:pPr>
              <w:ind w:right="72"/>
              <w:jc w:val="right"/>
              <w:rPr>
                <w:sz w:val="18"/>
                <w:szCs w:val="18"/>
              </w:rPr>
            </w:pPr>
            <w:r w:rsidRPr="00A36623">
              <w:rPr>
                <w:sz w:val="18"/>
                <w:szCs w:val="18"/>
              </w:rPr>
              <w:t xml:space="preserve">             1</w:t>
            </w:r>
            <w:r>
              <w:rPr>
                <w:sz w:val="18"/>
                <w:szCs w:val="18"/>
              </w:rPr>
              <w:t>,</w:t>
            </w:r>
            <w:r w:rsidRPr="00A36623">
              <w:rPr>
                <w:sz w:val="18"/>
                <w:szCs w:val="18"/>
              </w:rPr>
              <w:t xml:space="preserve">355    </w:t>
            </w:r>
          </w:p>
        </w:tc>
      </w:tr>
      <w:tr w:rsidR="00224102" w:rsidRPr="00604C75" w14:paraId="5FCA7E9F" w14:textId="77777777" w:rsidTr="00B346E2">
        <w:trPr>
          <w:trHeight w:val="255"/>
        </w:trPr>
        <w:tc>
          <w:tcPr>
            <w:tcW w:w="5386" w:type="dxa"/>
            <w:shd w:val="clear" w:color="auto" w:fill="FFFFFF"/>
            <w:vAlign w:val="bottom"/>
          </w:tcPr>
          <w:p w14:paraId="2A1F195B" w14:textId="77777777" w:rsidR="00224102" w:rsidRPr="00604C75" w:rsidRDefault="00224102" w:rsidP="00224102">
            <w:pPr>
              <w:spacing w:line="228" w:lineRule="auto"/>
              <w:ind w:left="73" w:firstLine="53"/>
              <w:rPr>
                <w:rFonts w:eastAsia="Arial Unicode MS"/>
                <w:noProof/>
                <w:sz w:val="18"/>
                <w:szCs w:val="18"/>
              </w:rPr>
            </w:pPr>
            <w:r w:rsidRPr="00604C75">
              <w:rPr>
                <w:noProof/>
                <w:sz w:val="18"/>
                <w:szCs w:val="18"/>
              </w:rPr>
              <w:t xml:space="preserve">   Advertising Expenses</w:t>
            </w:r>
          </w:p>
        </w:tc>
        <w:tc>
          <w:tcPr>
            <w:tcW w:w="1977" w:type="dxa"/>
            <w:vAlign w:val="bottom"/>
          </w:tcPr>
          <w:p w14:paraId="061C8158" w14:textId="0FD3A2B3" w:rsidR="00224102" w:rsidRPr="00FD0C7A" w:rsidRDefault="00224102" w:rsidP="00B346E2">
            <w:pPr>
              <w:ind w:right="72"/>
              <w:jc w:val="right"/>
              <w:rPr>
                <w:sz w:val="18"/>
                <w:szCs w:val="18"/>
              </w:rPr>
            </w:pPr>
            <w:r w:rsidRPr="00D76A97">
              <w:rPr>
                <w:sz w:val="18"/>
                <w:szCs w:val="18"/>
              </w:rPr>
              <w:t xml:space="preserve">             1,818    </w:t>
            </w:r>
          </w:p>
        </w:tc>
        <w:tc>
          <w:tcPr>
            <w:tcW w:w="2030" w:type="dxa"/>
            <w:vAlign w:val="bottom"/>
          </w:tcPr>
          <w:p w14:paraId="0E9AB2D0" w14:textId="5F85EDA5" w:rsidR="00224102" w:rsidRPr="00FD0C7A" w:rsidRDefault="00224102" w:rsidP="00B346E2">
            <w:pPr>
              <w:ind w:right="72"/>
              <w:jc w:val="right"/>
              <w:rPr>
                <w:sz w:val="18"/>
                <w:szCs w:val="18"/>
              </w:rPr>
            </w:pPr>
            <w:r w:rsidRPr="00A36623">
              <w:rPr>
                <w:sz w:val="18"/>
                <w:szCs w:val="18"/>
              </w:rPr>
              <w:t xml:space="preserve">             1</w:t>
            </w:r>
            <w:r>
              <w:rPr>
                <w:sz w:val="18"/>
                <w:szCs w:val="18"/>
              </w:rPr>
              <w:t>,</w:t>
            </w:r>
            <w:r w:rsidRPr="00A36623">
              <w:rPr>
                <w:sz w:val="18"/>
                <w:szCs w:val="18"/>
              </w:rPr>
              <w:t xml:space="preserve">418    </w:t>
            </w:r>
          </w:p>
        </w:tc>
      </w:tr>
      <w:tr w:rsidR="00224102" w:rsidRPr="00604C75" w14:paraId="4EC20550" w14:textId="77777777" w:rsidTr="00B346E2">
        <w:trPr>
          <w:trHeight w:val="255"/>
        </w:trPr>
        <w:tc>
          <w:tcPr>
            <w:tcW w:w="5386" w:type="dxa"/>
            <w:shd w:val="clear" w:color="auto" w:fill="FFFFFF"/>
            <w:vAlign w:val="bottom"/>
          </w:tcPr>
          <w:p w14:paraId="76688847" w14:textId="77777777" w:rsidR="00224102" w:rsidRPr="00604C75" w:rsidRDefault="00224102" w:rsidP="00224102">
            <w:pPr>
              <w:spacing w:line="228" w:lineRule="auto"/>
              <w:ind w:left="73" w:firstLine="53"/>
              <w:rPr>
                <w:rFonts w:eastAsia="Arial Unicode MS"/>
                <w:noProof/>
                <w:sz w:val="18"/>
                <w:szCs w:val="18"/>
              </w:rPr>
            </w:pPr>
            <w:r w:rsidRPr="00604C75">
              <w:rPr>
                <w:noProof/>
                <w:sz w:val="18"/>
                <w:szCs w:val="18"/>
              </w:rPr>
              <w:t xml:space="preserve">   Other Expenses </w:t>
            </w:r>
          </w:p>
        </w:tc>
        <w:tc>
          <w:tcPr>
            <w:tcW w:w="1977" w:type="dxa"/>
            <w:vAlign w:val="bottom"/>
          </w:tcPr>
          <w:p w14:paraId="234108ED" w14:textId="43EAAAF8" w:rsidR="00224102" w:rsidRPr="00FD0C7A" w:rsidRDefault="00224102" w:rsidP="00B346E2">
            <w:pPr>
              <w:ind w:right="72"/>
              <w:jc w:val="right"/>
              <w:rPr>
                <w:sz w:val="18"/>
                <w:szCs w:val="18"/>
              </w:rPr>
            </w:pPr>
            <w:r w:rsidRPr="00D76A97">
              <w:rPr>
                <w:sz w:val="18"/>
                <w:szCs w:val="18"/>
              </w:rPr>
              <w:t xml:space="preserve">           59,296    </w:t>
            </w:r>
          </w:p>
        </w:tc>
        <w:tc>
          <w:tcPr>
            <w:tcW w:w="2030" w:type="dxa"/>
            <w:vAlign w:val="bottom"/>
          </w:tcPr>
          <w:p w14:paraId="11002CC4" w14:textId="4FBAA893" w:rsidR="00224102" w:rsidRPr="00FD0C7A" w:rsidRDefault="00224102" w:rsidP="00B346E2">
            <w:pPr>
              <w:ind w:right="72"/>
              <w:jc w:val="right"/>
              <w:rPr>
                <w:sz w:val="18"/>
                <w:szCs w:val="18"/>
              </w:rPr>
            </w:pPr>
            <w:r w:rsidRPr="00A36623">
              <w:rPr>
                <w:sz w:val="18"/>
                <w:szCs w:val="18"/>
              </w:rPr>
              <w:t>55</w:t>
            </w:r>
            <w:r>
              <w:rPr>
                <w:sz w:val="18"/>
                <w:szCs w:val="18"/>
              </w:rPr>
              <w:t>,</w:t>
            </w:r>
            <w:r w:rsidRPr="00A36623">
              <w:rPr>
                <w:sz w:val="18"/>
                <w:szCs w:val="18"/>
              </w:rPr>
              <w:t>183</w:t>
            </w:r>
          </w:p>
        </w:tc>
      </w:tr>
      <w:tr w:rsidR="00224102" w:rsidRPr="00604C75" w14:paraId="40E123B4" w14:textId="77777777" w:rsidTr="00B346E2">
        <w:trPr>
          <w:trHeight w:val="255"/>
        </w:trPr>
        <w:tc>
          <w:tcPr>
            <w:tcW w:w="5386" w:type="dxa"/>
            <w:shd w:val="clear" w:color="auto" w:fill="FFFFFF"/>
            <w:vAlign w:val="bottom"/>
          </w:tcPr>
          <w:p w14:paraId="0452AB0D" w14:textId="72FE41EA" w:rsidR="00224102" w:rsidRPr="00604C75" w:rsidRDefault="00224102" w:rsidP="00224102">
            <w:pPr>
              <w:spacing w:line="228" w:lineRule="auto"/>
              <w:ind w:left="73"/>
              <w:rPr>
                <w:rFonts w:eastAsia="Arial Unicode MS"/>
                <w:noProof/>
                <w:sz w:val="18"/>
                <w:szCs w:val="18"/>
              </w:rPr>
            </w:pPr>
            <w:r w:rsidRPr="00604C75">
              <w:rPr>
                <w:noProof/>
                <w:sz w:val="18"/>
                <w:szCs w:val="18"/>
              </w:rPr>
              <w:t>Loss on Sales of Assets</w:t>
            </w:r>
            <w:r>
              <w:rPr>
                <w:noProof/>
                <w:sz w:val="18"/>
                <w:szCs w:val="18"/>
              </w:rPr>
              <w:t xml:space="preserve"> </w:t>
            </w:r>
            <w:r w:rsidRPr="00692926">
              <w:rPr>
                <w:sz w:val="18"/>
              </w:rPr>
              <w:t>(**) (***)</w:t>
            </w:r>
            <w:r>
              <w:rPr>
                <w:sz w:val="18"/>
              </w:rPr>
              <w:t xml:space="preserve"> (****)</w:t>
            </w:r>
          </w:p>
        </w:tc>
        <w:tc>
          <w:tcPr>
            <w:tcW w:w="1977" w:type="dxa"/>
            <w:vAlign w:val="bottom"/>
          </w:tcPr>
          <w:p w14:paraId="7278D528" w14:textId="669AC037" w:rsidR="00224102" w:rsidRPr="00FD0C7A" w:rsidRDefault="00224102" w:rsidP="00B346E2">
            <w:pPr>
              <w:ind w:right="72"/>
              <w:jc w:val="right"/>
              <w:rPr>
                <w:sz w:val="18"/>
                <w:szCs w:val="18"/>
              </w:rPr>
            </w:pPr>
            <w:r w:rsidRPr="00D76A97">
              <w:rPr>
                <w:sz w:val="18"/>
                <w:szCs w:val="18"/>
              </w:rPr>
              <w:t xml:space="preserve">         129,033    </w:t>
            </w:r>
          </w:p>
        </w:tc>
        <w:tc>
          <w:tcPr>
            <w:tcW w:w="2030" w:type="dxa"/>
            <w:vAlign w:val="bottom"/>
          </w:tcPr>
          <w:p w14:paraId="20964BA8" w14:textId="25ED1D85" w:rsidR="00224102" w:rsidRPr="00FD0C7A" w:rsidRDefault="00224102" w:rsidP="00B346E2">
            <w:pPr>
              <w:ind w:right="72"/>
              <w:jc w:val="right"/>
              <w:rPr>
                <w:sz w:val="18"/>
                <w:szCs w:val="18"/>
              </w:rPr>
            </w:pPr>
            <w:r w:rsidRPr="00A36623">
              <w:rPr>
                <w:sz w:val="18"/>
                <w:szCs w:val="18"/>
              </w:rPr>
              <w:t xml:space="preserve">             4</w:t>
            </w:r>
            <w:r>
              <w:rPr>
                <w:sz w:val="18"/>
                <w:szCs w:val="18"/>
              </w:rPr>
              <w:t>,</w:t>
            </w:r>
            <w:r w:rsidRPr="00A36623">
              <w:rPr>
                <w:sz w:val="18"/>
                <w:szCs w:val="18"/>
              </w:rPr>
              <w:t xml:space="preserve">997    </w:t>
            </w:r>
          </w:p>
        </w:tc>
      </w:tr>
      <w:tr w:rsidR="00224102" w:rsidRPr="00604C75" w14:paraId="003B7280" w14:textId="77777777" w:rsidTr="00B346E2">
        <w:trPr>
          <w:trHeight w:val="222"/>
        </w:trPr>
        <w:tc>
          <w:tcPr>
            <w:tcW w:w="5386" w:type="dxa"/>
            <w:shd w:val="clear" w:color="auto" w:fill="FFFFFF"/>
            <w:vAlign w:val="bottom"/>
          </w:tcPr>
          <w:p w14:paraId="182388A9" w14:textId="77777777" w:rsidR="00224102" w:rsidRPr="00604C75" w:rsidRDefault="00224102" w:rsidP="00224102">
            <w:pPr>
              <w:spacing w:line="228" w:lineRule="auto"/>
              <w:ind w:left="73"/>
              <w:rPr>
                <w:rFonts w:eastAsia="Arial Unicode MS"/>
                <w:noProof/>
                <w:sz w:val="18"/>
                <w:szCs w:val="18"/>
              </w:rPr>
            </w:pPr>
            <w:r w:rsidRPr="00604C75">
              <w:rPr>
                <w:noProof/>
                <w:sz w:val="18"/>
                <w:szCs w:val="18"/>
              </w:rPr>
              <w:t xml:space="preserve">Other </w:t>
            </w:r>
            <w:r>
              <w:rPr>
                <w:noProof/>
                <w:sz w:val="18"/>
                <w:szCs w:val="18"/>
              </w:rPr>
              <w:t>(*)</w:t>
            </w:r>
          </w:p>
        </w:tc>
        <w:tc>
          <w:tcPr>
            <w:tcW w:w="1977" w:type="dxa"/>
            <w:vAlign w:val="bottom"/>
          </w:tcPr>
          <w:p w14:paraId="263E6DD3" w14:textId="47CB108C" w:rsidR="00224102" w:rsidRPr="00FD0C7A" w:rsidRDefault="00224102" w:rsidP="00B346E2">
            <w:pPr>
              <w:ind w:right="72"/>
              <w:jc w:val="right"/>
              <w:rPr>
                <w:sz w:val="18"/>
                <w:szCs w:val="18"/>
              </w:rPr>
            </w:pPr>
            <w:r w:rsidRPr="00D76A97">
              <w:rPr>
                <w:sz w:val="18"/>
                <w:szCs w:val="18"/>
              </w:rPr>
              <w:t xml:space="preserve">           24,310    </w:t>
            </w:r>
          </w:p>
        </w:tc>
        <w:tc>
          <w:tcPr>
            <w:tcW w:w="2030" w:type="dxa"/>
            <w:vAlign w:val="bottom"/>
          </w:tcPr>
          <w:p w14:paraId="4407F47F" w14:textId="330FB0E2" w:rsidR="00224102" w:rsidRPr="00FD0C7A" w:rsidRDefault="00224102" w:rsidP="00B346E2">
            <w:pPr>
              <w:ind w:right="72"/>
              <w:jc w:val="right"/>
              <w:rPr>
                <w:sz w:val="18"/>
                <w:szCs w:val="18"/>
              </w:rPr>
            </w:pPr>
            <w:r w:rsidRPr="00A36623">
              <w:rPr>
                <w:sz w:val="18"/>
                <w:szCs w:val="18"/>
              </w:rPr>
              <w:t xml:space="preserve">           21</w:t>
            </w:r>
            <w:r>
              <w:rPr>
                <w:sz w:val="18"/>
                <w:szCs w:val="18"/>
              </w:rPr>
              <w:t>,</w:t>
            </w:r>
            <w:r w:rsidRPr="00A36623">
              <w:rPr>
                <w:sz w:val="18"/>
                <w:szCs w:val="18"/>
              </w:rPr>
              <w:t xml:space="preserve">283    </w:t>
            </w:r>
          </w:p>
        </w:tc>
      </w:tr>
      <w:tr w:rsidR="00224102" w:rsidRPr="00604C75" w14:paraId="36E0E716" w14:textId="77777777" w:rsidTr="00B346E2">
        <w:trPr>
          <w:trHeight w:val="180"/>
        </w:trPr>
        <w:tc>
          <w:tcPr>
            <w:tcW w:w="5386" w:type="dxa"/>
            <w:shd w:val="clear" w:color="auto" w:fill="FFFFFF"/>
            <w:vAlign w:val="bottom"/>
          </w:tcPr>
          <w:p w14:paraId="03A43B1F" w14:textId="77777777" w:rsidR="00224102" w:rsidRPr="00604C75" w:rsidRDefault="00224102" w:rsidP="00224102">
            <w:pPr>
              <w:spacing w:line="228" w:lineRule="auto"/>
              <w:ind w:left="73"/>
              <w:rPr>
                <w:rFonts w:eastAsia="Arial Unicode MS"/>
                <w:b/>
                <w:bCs/>
                <w:noProof/>
                <w:sz w:val="18"/>
                <w:szCs w:val="18"/>
              </w:rPr>
            </w:pPr>
            <w:r w:rsidRPr="00604C75">
              <w:rPr>
                <w:b/>
                <w:bCs/>
                <w:noProof/>
                <w:sz w:val="18"/>
                <w:szCs w:val="18"/>
              </w:rPr>
              <w:t>Total</w:t>
            </w:r>
          </w:p>
        </w:tc>
        <w:tc>
          <w:tcPr>
            <w:tcW w:w="1977" w:type="dxa"/>
            <w:vAlign w:val="bottom"/>
          </w:tcPr>
          <w:p w14:paraId="4E7CC497" w14:textId="6704B52D" w:rsidR="00224102" w:rsidRPr="00FD0C7A" w:rsidRDefault="00224102" w:rsidP="00B346E2">
            <w:pPr>
              <w:ind w:right="72"/>
              <w:jc w:val="right"/>
              <w:rPr>
                <w:b/>
                <w:sz w:val="18"/>
                <w:szCs w:val="18"/>
              </w:rPr>
            </w:pPr>
            <w:r w:rsidRPr="00D76A97">
              <w:rPr>
                <w:b/>
                <w:sz w:val="18"/>
                <w:szCs w:val="18"/>
              </w:rPr>
              <w:t xml:space="preserve">         432,137    </w:t>
            </w:r>
          </w:p>
        </w:tc>
        <w:tc>
          <w:tcPr>
            <w:tcW w:w="2030" w:type="dxa"/>
            <w:vAlign w:val="bottom"/>
          </w:tcPr>
          <w:p w14:paraId="238EC323" w14:textId="45AFE316" w:rsidR="00224102" w:rsidRPr="00FD0C7A" w:rsidRDefault="00224102" w:rsidP="00B346E2">
            <w:pPr>
              <w:ind w:right="72"/>
              <w:jc w:val="right"/>
              <w:rPr>
                <w:b/>
                <w:sz w:val="18"/>
                <w:szCs w:val="18"/>
              </w:rPr>
            </w:pPr>
            <w:r w:rsidRPr="00A36623">
              <w:rPr>
                <w:b/>
                <w:sz w:val="18"/>
                <w:szCs w:val="18"/>
              </w:rPr>
              <w:t>293</w:t>
            </w:r>
            <w:r>
              <w:rPr>
                <w:b/>
                <w:sz w:val="18"/>
                <w:szCs w:val="18"/>
              </w:rPr>
              <w:t>,</w:t>
            </w:r>
            <w:r w:rsidRPr="00A36623">
              <w:rPr>
                <w:b/>
                <w:sz w:val="18"/>
                <w:szCs w:val="18"/>
              </w:rPr>
              <w:t>547</w:t>
            </w:r>
          </w:p>
        </w:tc>
      </w:tr>
    </w:tbl>
    <w:p w14:paraId="6D0E1ADF" w14:textId="3866AABC" w:rsidR="00991B1D" w:rsidRPr="004722A4" w:rsidRDefault="00501D2D" w:rsidP="008F0EA2">
      <w:pPr>
        <w:spacing w:before="60" w:line="228" w:lineRule="auto"/>
        <w:ind w:right="-325"/>
        <w:jc w:val="both"/>
        <w:rPr>
          <w:bCs/>
          <w:sz w:val="16"/>
          <w:szCs w:val="16"/>
        </w:rPr>
      </w:pPr>
      <w:r w:rsidRPr="004722A4">
        <w:rPr>
          <w:noProof/>
          <w:sz w:val="16"/>
          <w:szCs w:val="16"/>
          <w:lang w:val="tr-TR"/>
        </w:rPr>
        <w:t xml:space="preserve">(*) </w:t>
      </w:r>
      <w:r w:rsidR="0025405D">
        <w:rPr>
          <w:noProof/>
          <w:sz w:val="16"/>
          <w:szCs w:val="16"/>
          <w:lang w:val="tr-TR"/>
        </w:rPr>
        <w:t xml:space="preserve">      </w:t>
      </w:r>
      <w:r w:rsidR="0044575F" w:rsidRPr="004722A4">
        <w:rPr>
          <w:noProof/>
          <w:sz w:val="16"/>
          <w:szCs w:val="16"/>
          <w:lang w:val="tr-TR"/>
        </w:rPr>
        <w:t xml:space="preserve">Other operating charges is </w:t>
      </w:r>
      <w:r w:rsidR="007C697D" w:rsidRPr="004722A4">
        <w:rPr>
          <w:noProof/>
          <w:sz w:val="16"/>
          <w:szCs w:val="16"/>
          <w:lang w:val="tr-TR"/>
        </w:rPr>
        <w:t>TL</w:t>
      </w:r>
      <w:r w:rsidR="009E467E">
        <w:rPr>
          <w:noProof/>
          <w:sz w:val="16"/>
          <w:szCs w:val="16"/>
          <w:lang w:val="tr-TR"/>
        </w:rPr>
        <w:t xml:space="preserve"> 5,557</w:t>
      </w:r>
      <w:r w:rsidR="00D46B3B" w:rsidRPr="004722A4">
        <w:rPr>
          <w:noProof/>
          <w:sz w:val="16"/>
          <w:szCs w:val="16"/>
          <w:lang w:val="tr-TR"/>
        </w:rPr>
        <w:t xml:space="preserve"> </w:t>
      </w:r>
      <w:r w:rsidR="0044575F" w:rsidRPr="004722A4">
        <w:rPr>
          <w:noProof/>
          <w:sz w:val="16"/>
          <w:szCs w:val="16"/>
          <w:lang w:val="tr-TR"/>
        </w:rPr>
        <w:t>(</w:t>
      </w:r>
      <w:r w:rsidR="00A877A3" w:rsidRPr="004722A4">
        <w:rPr>
          <w:bCs/>
          <w:sz w:val="16"/>
          <w:szCs w:val="16"/>
        </w:rPr>
        <w:t>3</w:t>
      </w:r>
      <w:r w:rsidR="00366C32">
        <w:rPr>
          <w:bCs/>
          <w:sz w:val="16"/>
          <w:szCs w:val="16"/>
        </w:rPr>
        <w:t>1</w:t>
      </w:r>
      <w:r w:rsidR="00A877A3" w:rsidRPr="004722A4">
        <w:rPr>
          <w:bCs/>
          <w:sz w:val="16"/>
          <w:szCs w:val="16"/>
        </w:rPr>
        <w:t xml:space="preserve"> </w:t>
      </w:r>
      <w:r w:rsidR="00366C32">
        <w:rPr>
          <w:bCs/>
          <w:sz w:val="16"/>
          <w:szCs w:val="16"/>
        </w:rPr>
        <w:t>December</w:t>
      </w:r>
      <w:r w:rsidR="00366C32" w:rsidRPr="004722A4">
        <w:rPr>
          <w:noProof/>
          <w:sz w:val="16"/>
          <w:szCs w:val="16"/>
          <w:lang w:val="tr-TR"/>
        </w:rPr>
        <w:t xml:space="preserve"> </w:t>
      </w:r>
      <w:r w:rsidR="0044575F" w:rsidRPr="004722A4">
        <w:rPr>
          <w:noProof/>
          <w:sz w:val="16"/>
          <w:szCs w:val="16"/>
          <w:lang w:val="tr-TR"/>
        </w:rPr>
        <w:t>201</w:t>
      </w:r>
      <w:r w:rsidR="006A6EDB" w:rsidRPr="004722A4">
        <w:rPr>
          <w:noProof/>
          <w:sz w:val="16"/>
          <w:szCs w:val="16"/>
          <w:lang w:val="tr-TR"/>
        </w:rPr>
        <w:t>4</w:t>
      </w:r>
      <w:r w:rsidR="0044575F" w:rsidRPr="004722A4">
        <w:rPr>
          <w:noProof/>
          <w:sz w:val="16"/>
          <w:szCs w:val="16"/>
          <w:lang w:val="tr-TR"/>
        </w:rPr>
        <w:t>:</w:t>
      </w:r>
      <w:r w:rsidR="007C697D" w:rsidRPr="004722A4">
        <w:rPr>
          <w:noProof/>
          <w:sz w:val="16"/>
          <w:szCs w:val="16"/>
          <w:lang w:val="tr-TR"/>
        </w:rPr>
        <w:t xml:space="preserve"> TL</w:t>
      </w:r>
      <w:r w:rsidR="00FC1145" w:rsidRPr="004722A4">
        <w:rPr>
          <w:noProof/>
          <w:sz w:val="16"/>
          <w:szCs w:val="16"/>
          <w:lang w:val="tr-TR"/>
        </w:rPr>
        <w:t xml:space="preserve"> </w:t>
      </w:r>
      <w:r w:rsidR="00366C32">
        <w:rPr>
          <w:noProof/>
          <w:sz w:val="16"/>
          <w:szCs w:val="16"/>
          <w:lang w:val="tr-TR"/>
        </w:rPr>
        <w:t>6,664</w:t>
      </w:r>
      <w:r w:rsidR="0044575F" w:rsidRPr="004722A4">
        <w:rPr>
          <w:noProof/>
          <w:sz w:val="16"/>
          <w:szCs w:val="16"/>
          <w:lang w:val="tr-TR"/>
        </w:rPr>
        <w:t>) except premium of TMSF and tax.</w:t>
      </w:r>
      <w:r w:rsidR="0044575F" w:rsidRPr="004722A4">
        <w:rPr>
          <w:bCs/>
          <w:sz w:val="16"/>
          <w:szCs w:val="16"/>
        </w:rPr>
        <w:t xml:space="preserve"> </w:t>
      </w:r>
    </w:p>
    <w:p w14:paraId="7D911196" w14:textId="130E3408" w:rsidR="00196A0E" w:rsidRPr="00742556" w:rsidRDefault="00196A0E" w:rsidP="00CD1C88">
      <w:pPr>
        <w:pStyle w:val="BodyTextIndent"/>
        <w:tabs>
          <w:tab w:val="left" w:pos="2552"/>
        </w:tabs>
        <w:spacing w:after="0"/>
        <w:ind w:left="0" w:right="-575"/>
        <w:rPr>
          <w:sz w:val="16"/>
          <w:szCs w:val="16"/>
        </w:rPr>
      </w:pPr>
      <w:r w:rsidRPr="00742556">
        <w:rPr>
          <w:sz w:val="16"/>
          <w:szCs w:val="16"/>
        </w:rPr>
        <w:t>(*</w:t>
      </w:r>
      <w:r>
        <w:rPr>
          <w:sz w:val="16"/>
          <w:szCs w:val="16"/>
        </w:rPr>
        <w:t>*</w:t>
      </w:r>
      <w:r w:rsidRPr="00742556">
        <w:rPr>
          <w:sz w:val="16"/>
          <w:szCs w:val="16"/>
        </w:rPr>
        <w:t>)</w:t>
      </w:r>
      <w:r>
        <w:rPr>
          <w:sz w:val="16"/>
          <w:szCs w:val="16"/>
        </w:rPr>
        <w:t xml:space="preserve">     The Parent Bank has disposed </w:t>
      </w:r>
      <w:proofErr w:type="spellStart"/>
      <w:r>
        <w:rPr>
          <w:sz w:val="16"/>
          <w:szCs w:val="16"/>
        </w:rPr>
        <w:t>n</w:t>
      </w:r>
      <w:r w:rsidRPr="008B6C6C">
        <w:rPr>
          <w:sz w:val="16"/>
          <w:szCs w:val="16"/>
        </w:rPr>
        <w:t>on performing</w:t>
      </w:r>
      <w:proofErr w:type="spellEnd"/>
      <w:r w:rsidRPr="008B6C6C">
        <w:rPr>
          <w:sz w:val="16"/>
          <w:szCs w:val="16"/>
        </w:rPr>
        <w:t xml:space="preserve"> </w:t>
      </w:r>
      <w:r w:rsidR="008F0EA2">
        <w:rPr>
          <w:sz w:val="16"/>
          <w:szCs w:val="16"/>
        </w:rPr>
        <w:t>loan</w:t>
      </w:r>
      <w:r>
        <w:rPr>
          <w:sz w:val="16"/>
          <w:szCs w:val="16"/>
        </w:rPr>
        <w:t xml:space="preserve"> correspond</w:t>
      </w:r>
      <w:r w:rsidR="008F0EA2">
        <w:rPr>
          <w:sz w:val="16"/>
          <w:szCs w:val="16"/>
        </w:rPr>
        <w:t>s</w:t>
      </w:r>
      <w:r>
        <w:rPr>
          <w:sz w:val="16"/>
          <w:szCs w:val="16"/>
        </w:rPr>
        <w:t xml:space="preserve"> to</w:t>
      </w:r>
      <w:r w:rsidRPr="008B6C6C">
        <w:rPr>
          <w:sz w:val="16"/>
          <w:szCs w:val="16"/>
        </w:rPr>
        <w:t xml:space="preserve"> </w:t>
      </w:r>
      <w:r w:rsidR="007136BA">
        <w:rPr>
          <w:sz w:val="16"/>
          <w:szCs w:val="16"/>
        </w:rPr>
        <w:t xml:space="preserve">provision amount of </w:t>
      </w:r>
      <w:r w:rsidRPr="008B6C6C">
        <w:rPr>
          <w:sz w:val="16"/>
          <w:szCs w:val="16"/>
        </w:rPr>
        <w:t xml:space="preserve">TL 15,199 and </w:t>
      </w:r>
      <w:r>
        <w:rPr>
          <w:sz w:val="16"/>
          <w:szCs w:val="16"/>
        </w:rPr>
        <w:t xml:space="preserve">has </w:t>
      </w:r>
      <w:r w:rsidRPr="008B6C6C">
        <w:rPr>
          <w:sz w:val="16"/>
          <w:szCs w:val="16"/>
        </w:rPr>
        <w:t xml:space="preserve">collected TL 2,500 </w:t>
      </w:r>
      <w:r>
        <w:rPr>
          <w:sz w:val="16"/>
          <w:szCs w:val="16"/>
        </w:rPr>
        <w:t>on 31 March 2015</w:t>
      </w:r>
      <w:r w:rsidRPr="00742556">
        <w:rPr>
          <w:sz w:val="16"/>
          <w:szCs w:val="16"/>
        </w:rPr>
        <w:t xml:space="preserve">. </w:t>
      </w:r>
    </w:p>
    <w:p w14:paraId="415CB58E" w14:textId="1CF235FF" w:rsidR="00196A0E" w:rsidRDefault="00196A0E" w:rsidP="008F0EA2">
      <w:pPr>
        <w:pStyle w:val="BodyTextIndent"/>
        <w:tabs>
          <w:tab w:val="left" w:pos="0"/>
          <w:tab w:val="left" w:pos="709"/>
        </w:tabs>
        <w:spacing w:after="0"/>
        <w:ind w:left="0" w:right="-325"/>
        <w:rPr>
          <w:sz w:val="16"/>
          <w:szCs w:val="16"/>
        </w:rPr>
      </w:pPr>
      <w:r w:rsidRPr="00D26B75">
        <w:rPr>
          <w:sz w:val="16"/>
          <w:szCs w:val="16"/>
        </w:rPr>
        <w:t>(**</w:t>
      </w:r>
      <w:r>
        <w:rPr>
          <w:sz w:val="16"/>
          <w:szCs w:val="16"/>
        </w:rPr>
        <w:t>*</w:t>
      </w:r>
      <w:r w:rsidRPr="00D26B75">
        <w:rPr>
          <w:sz w:val="16"/>
          <w:szCs w:val="16"/>
        </w:rPr>
        <w:t>)</w:t>
      </w:r>
      <w:r>
        <w:rPr>
          <w:sz w:val="16"/>
          <w:szCs w:val="16"/>
        </w:rPr>
        <w:t xml:space="preserve">   The Parent Bank has disposed </w:t>
      </w:r>
      <w:proofErr w:type="spellStart"/>
      <w:r>
        <w:rPr>
          <w:sz w:val="16"/>
          <w:szCs w:val="16"/>
        </w:rPr>
        <w:t>n</w:t>
      </w:r>
      <w:r w:rsidRPr="008B6C6C">
        <w:rPr>
          <w:sz w:val="16"/>
          <w:szCs w:val="16"/>
        </w:rPr>
        <w:t>on per</w:t>
      </w:r>
      <w:r>
        <w:rPr>
          <w:sz w:val="16"/>
          <w:szCs w:val="16"/>
        </w:rPr>
        <w:t>forming</w:t>
      </w:r>
      <w:proofErr w:type="spellEnd"/>
      <w:r>
        <w:rPr>
          <w:sz w:val="16"/>
          <w:szCs w:val="16"/>
        </w:rPr>
        <w:t xml:space="preserve"> loans correspond to </w:t>
      </w:r>
      <w:r w:rsidR="007136BA">
        <w:rPr>
          <w:sz w:val="16"/>
          <w:szCs w:val="16"/>
        </w:rPr>
        <w:t xml:space="preserve">provision amount of </w:t>
      </w:r>
      <w:r>
        <w:rPr>
          <w:sz w:val="16"/>
          <w:szCs w:val="16"/>
        </w:rPr>
        <w:t>TL 113,584</w:t>
      </w:r>
      <w:r w:rsidRPr="008B6C6C">
        <w:rPr>
          <w:sz w:val="16"/>
          <w:szCs w:val="16"/>
        </w:rPr>
        <w:t xml:space="preserve"> to </w:t>
      </w:r>
      <w:proofErr w:type="spellStart"/>
      <w:r w:rsidRPr="008B6C6C">
        <w:rPr>
          <w:sz w:val="16"/>
          <w:szCs w:val="16"/>
        </w:rPr>
        <w:t>Güven</w:t>
      </w:r>
      <w:proofErr w:type="spellEnd"/>
      <w:r w:rsidRPr="008B6C6C">
        <w:rPr>
          <w:sz w:val="16"/>
          <w:szCs w:val="16"/>
        </w:rPr>
        <w:t xml:space="preserve"> </w:t>
      </w:r>
      <w:proofErr w:type="spellStart"/>
      <w:r w:rsidRPr="008B6C6C">
        <w:rPr>
          <w:sz w:val="16"/>
          <w:szCs w:val="16"/>
        </w:rPr>
        <w:t>Varlık</w:t>
      </w:r>
      <w:proofErr w:type="spellEnd"/>
      <w:r w:rsidRPr="008B6C6C">
        <w:rPr>
          <w:sz w:val="16"/>
          <w:szCs w:val="16"/>
        </w:rPr>
        <w:t xml:space="preserve"> </w:t>
      </w:r>
      <w:proofErr w:type="spellStart"/>
      <w:r w:rsidRPr="008B6C6C">
        <w:rPr>
          <w:sz w:val="16"/>
          <w:szCs w:val="16"/>
        </w:rPr>
        <w:t>Yönetim</w:t>
      </w:r>
      <w:proofErr w:type="spellEnd"/>
      <w:r w:rsidRPr="008B6C6C">
        <w:rPr>
          <w:sz w:val="16"/>
          <w:szCs w:val="16"/>
        </w:rPr>
        <w:t xml:space="preserve"> A.Ş and </w:t>
      </w:r>
      <w:r>
        <w:rPr>
          <w:sz w:val="16"/>
          <w:szCs w:val="16"/>
        </w:rPr>
        <w:t xml:space="preserve">has </w:t>
      </w:r>
      <w:r w:rsidRPr="008B6C6C">
        <w:rPr>
          <w:sz w:val="16"/>
          <w:szCs w:val="16"/>
        </w:rPr>
        <w:t xml:space="preserve">collected TL 4,650 </w:t>
      </w:r>
      <w:r>
        <w:rPr>
          <w:sz w:val="16"/>
          <w:szCs w:val="16"/>
        </w:rPr>
        <w:t>on</w:t>
      </w:r>
      <w:r w:rsidRPr="008B6C6C">
        <w:rPr>
          <w:sz w:val="16"/>
          <w:szCs w:val="16"/>
        </w:rPr>
        <w:t xml:space="preserve"> 5 May</w:t>
      </w:r>
      <w:r>
        <w:rPr>
          <w:sz w:val="16"/>
          <w:szCs w:val="16"/>
        </w:rPr>
        <w:t xml:space="preserve"> </w:t>
      </w:r>
      <w:r w:rsidRPr="008B6C6C">
        <w:rPr>
          <w:sz w:val="16"/>
          <w:szCs w:val="16"/>
        </w:rPr>
        <w:t>2015</w:t>
      </w:r>
      <w:r w:rsidRPr="00B752D1">
        <w:rPr>
          <w:sz w:val="16"/>
          <w:szCs w:val="16"/>
        </w:rPr>
        <w:t>.</w:t>
      </w:r>
    </w:p>
    <w:p w14:paraId="61078053" w14:textId="45B0712A" w:rsidR="00647320" w:rsidRDefault="00196A0E" w:rsidP="007136BA">
      <w:pPr>
        <w:pStyle w:val="BodyTextIndent"/>
        <w:tabs>
          <w:tab w:val="left" w:pos="2552"/>
        </w:tabs>
        <w:ind w:left="0" w:right="-325"/>
        <w:rPr>
          <w:rFonts w:eastAsia="Arial Unicode MS"/>
          <w:b/>
          <w:sz w:val="20"/>
          <w:szCs w:val="20"/>
        </w:rPr>
      </w:pPr>
      <w:r w:rsidRPr="00742556">
        <w:rPr>
          <w:sz w:val="16"/>
          <w:szCs w:val="16"/>
        </w:rPr>
        <w:t>(*</w:t>
      </w:r>
      <w:r>
        <w:rPr>
          <w:sz w:val="16"/>
          <w:szCs w:val="16"/>
        </w:rPr>
        <w:t>***</w:t>
      </w:r>
      <w:r w:rsidRPr="00742556">
        <w:rPr>
          <w:sz w:val="16"/>
          <w:szCs w:val="16"/>
        </w:rPr>
        <w:t>)</w:t>
      </w:r>
      <w:r>
        <w:rPr>
          <w:sz w:val="16"/>
          <w:szCs w:val="16"/>
        </w:rPr>
        <w:t xml:space="preserve"> </w:t>
      </w:r>
      <w:proofErr w:type="spellStart"/>
      <w:r>
        <w:rPr>
          <w:sz w:val="16"/>
          <w:szCs w:val="16"/>
        </w:rPr>
        <w:t>Alternatif</w:t>
      </w:r>
      <w:proofErr w:type="spellEnd"/>
      <w:r>
        <w:rPr>
          <w:sz w:val="16"/>
          <w:szCs w:val="16"/>
        </w:rPr>
        <w:t xml:space="preserve"> </w:t>
      </w:r>
      <w:proofErr w:type="spellStart"/>
      <w:r>
        <w:rPr>
          <w:sz w:val="16"/>
          <w:szCs w:val="16"/>
        </w:rPr>
        <w:t>Finansal</w:t>
      </w:r>
      <w:proofErr w:type="spellEnd"/>
      <w:r>
        <w:rPr>
          <w:sz w:val="16"/>
          <w:szCs w:val="16"/>
        </w:rPr>
        <w:t xml:space="preserve"> </w:t>
      </w:r>
      <w:proofErr w:type="spellStart"/>
      <w:r>
        <w:rPr>
          <w:sz w:val="16"/>
          <w:szCs w:val="16"/>
        </w:rPr>
        <w:t>Kiralama</w:t>
      </w:r>
      <w:proofErr w:type="spellEnd"/>
      <w:r>
        <w:rPr>
          <w:sz w:val="16"/>
          <w:szCs w:val="16"/>
        </w:rPr>
        <w:t xml:space="preserve"> A.Ş. has sold </w:t>
      </w:r>
      <w:proofErr w:type="spellStart"/>
      <w:r>
        <w:rPr>
          <w:sz w:val="16"/>
          <w:szCs w:val="16"/>
        </w:rPr>
        <w:t>n</w:t>
      </w:r>
      <w:r w:rsidRPr="008B6C6C">
        <w:rPr>
          <w:sz w:val="16"/>
          <w:szCs w:val="16"/>
        </w:rPr>
        <w:t>on performing</w:t>
      </w:r>
      <w:proofErr w:type="spellEnd"/>
      <w:r w:rsidRPr="008B6C6C">
        <w:rPr>
          <w:sz w:val="16"/>
          <w:szCs w:val="16"/>
        </w:rPr>
        <w:t xml:space="preserve"> </w:t>
      </w:r>
      <w:r>
        <w:rPr>
          <w:sz w:val="16"/>
          <w:szCs w:val="16"/>
        </w:rPr>
        <w:t>loans correspond to</w:t>
      </w:r>
      <w:r w:rsidRPr="008B6C6C">
        <w:rPr>
          <w:sz w:val="16"/>
          <w:szCs w:val="16"/>
        </w:rPr>
        <w:t xml:space="preserve"> </w:t>
      </w:r>
      <w:r w:rsidR="007136BA">
        <w:rPr>
          <w:sz w:val="16"/>
          <w:szCs w:val="16"/>
        </w:rPr>
        <w:t xml:space="preserve">provision amount of </w:t>
      </w:r>
      <w:r w:rsidRPr="008B6C6C">
        <w:rPr>
          <w:sz w:val="16"/>
          <w:szCs w:val="16"/>
        </w:rPr>
        <w:t xml:space="preserve">TL </w:t>
      </w:r>
      <w:r>
        <w:rPr>
          <w:sz w:val="16"/>
          <w:szCs w:val="16"/>
        </w:rPr>
        <w:t>9</w:t>
      </w:r>
      <w:r w:rsidRPr="008B6C6C">
        <w:rPr>
          <w:sz w:val="16"/>
          <w:szCs w:val="16"/>
        </w:rPr>
        <w:t>,1</w:t>
      </w:r>
      <w:r>
        <w:rPr>
          <w:sz w:val="16"/>
          <w:szCs w:val="16"/>
        </w:rPr>
        <w:t>42</w:t>
      </w:r>
      <w:r w:rsidR="008F0EA2">
        <w:rPr>
          <w:sz w:val="16"/>
          <w:szCs w:val="16"/>
        </w:rPr>
        <w:t xml:space="preserve"> to </w:t>
      </w:r>
      <w:proofErr w:type="spellStart"/>
      <w:r w:rsidR="008F0EA2">
        <w:rPr>
          <w:sz w:val="16"/>
          <w:szCs w:val="16"/>
        </w:rPr>
        <w:t>Artı</w:t>
      </w:r>
      <w:proofErr w:type="spellEnd"/>
      <w:r w:rsidR="008F0EA2">
        <w:rPr>
          <w:sz w:val="16"/>
          <w:szCs w:val="16"/>
        </w:rPr>
        <w:t xml:space="preserve"> </w:t>
      </w:r>
      <w:proofErr w:type="spellStart"/>
      <w:r w:rsidR="008F0EA2">
        <w:rPr>
          <w:sz w:val="16"/>
          <w:szCs w:val="16"/>
        </w:rPr>
        <w:t>Varlık</w:t>
      </w:r>
      <w:proofErr w:type="spellEnd"/>
      <w:r w:rsidR="008F0EA2">
        <w:rPr>
          <w:sz w:val="16"/>
          <w:szCs w:val="16"/>
        </w:rPr>
        <w:t xml:space="preserve"> </w:t>
      </w:r>
      <w:proofErr w:type="spellStart"/>
      <w:r w:rsidR="008F0EA2">
        <w:rPr>
          <w:sz w:val="16"/>
          <w:szCs w:val="16"/>
        </w:rPr>
        <w:t>Yönetim</w:t>
      </w:r>
      <w:proofErr w:type="spellEnd"/>
      <w:r w:rsidR="008F0EA2">
        <w:rPr>
          <w:sz w:val="16"/>
          <w:szCs w:val="16"/>
        </w:rPr>
        <w:t xml:space="preserve"> A.Ş</w:t>
      </w:r>
      <w:r w:rsidRPr="008B6C6C">
        <w:rPr>
          <w:sz w:val="16"/>
          <w:szCs w:val="16"/>
        </w:rPr>
        <w:t xml:space="preserve"> and </w:t>
      </w:r>
      <w:r>
        <w:rPr>
          <w:sz w:val="16"/>
          <w:szCs w:val="16"/>
        </w:rPr>
        <w:t xml:space="preserve">has </w:t>
      </w:r>
      <w:r w:rsidRPr="008B6C6C">
        <w:rPr>
          <w:sz w:val="16"/>
          <w:szCs w:val="16"/>
        </w:rPr>
        <w:t xml:space="preserve">collected TL </w:t>
      </w:r>
      <w:r>
        <w:rPr>
          <w:sz w:val="16"/>
          <w:szCs w:val="16"/>
        </w:rPr>
        <w:t>125</w:t>
      </w:r>
      <w:r w:rsidRPr="008B6C6C">
        <w:rPr>
          <w:sz w:val="16"/>
          <w:szCs w:val="16"/>
        </w:rPr>
        <w:t xml:space="preserve"> </w:t>
      </w:r>
      <w:r>
        <w:rPr>
          <w:sz w:val="16"/>
          <w:szCs w:val="16"/>
        </w:rPr>
        <w:t>on 29 May 2015</w:t>
      </w:r>
      <w:r w:rsidRPr="00742556">
        <w:rPr>
          <w:sz w:val="16"/>
          <w:szCs w:val="16"/>
        </w:rPr>
        <w:t xml:space="preserve">. </w:t>
      </w:r>
    </w:p>
    <w:p w14:paraId="121B35F6" w14:textId="77777777" w:rsidR="007136BA" w:rsidRDefault="007136BA">
      <w:pPr>
        <w:spacing w:after="200" w:line="276" w:lineRule="auto"/>
        <w:rPr>
          <w:rFonts w:eastAsia="Arial Unicode MS"/>
          <w:b/>
          <w:sz w:val="20"/>
          <w:szCs w:val="20"/>
        </w:rPr>
      </w:pPr>
      <w:r>
        <w:rPr>
          <w:rFonts w:eastAsia="Arial Unicode MS"/>
          <w:b/>
          <w:sz w:val="20"/>
          <w:szCs w:val="20"/>
        </w:rPr>
        <w:br w:type="page"/>
      </w:r>
    </w:p>
    <w:p w14:paraId="130AFBAA" w14:textId="42A6BFDC" w:rsidR="00400C00" w:rsidRPr="00604C75" w:rsidRDefault="00B27B7B" w:rsidP="00490153">
      <w:pPr>
        <w:pStyle w:val="BodyTextIndent"/>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74FDCD92" w14:textId="126B6327" w:rsidR="006A6EDB" w:rsidRPr="00604C75" w:rsidRDefault="00400C00" w:rsidP="00490153">
      <w:pPr>
        <w:tabs>
          <w:tab w:val="left" w:pos="770"/>
        </w:tabs>
        <w:spacing w:before="120"/>
        <w:jc w:val="both"/>
        <w:rPr>
          <w:b/>
          <w:noProof/>
          <w:sz w:val="20"/>
          <w:szCs w:val="20"/>
        </w:rPr>
      </w:pPr>
      <w:r w:rsidRPr="00604C75">
        <w:rPr>
          <w:b/>
          <w:noProof/>
          <w:sz w:val="20"/>
          <w:szCs w:val="20"/>
        </w:rPr>
        <w:t xml:space="preserve">IV.  </w:t>
      </w:r>
      <w:r w:rsidR="00884814" w:rsidRPr="00604C75">
        <w:rPr>
          <w:b/>
          <w:noProof/>
          <w:sz w:val="20"/>
          <w:szCs w:val="20"/>
        </w:rPr>
        <w:t xml:space="preserve"> </w:t>
      </w:r>
      <w:r w:rsidR="00647320" w:rsidRPr="00604C75">
        <w:rPr>
          <w:b/>
          <w:noProof/>
          <w:sz w:val="20"/>
          <w:szCs w:val="20"/>
        </w:rPr>
        <w:t xml:space="preserve">Explanations and Notes </w:t>
      </w:r>
      <w:r w:rsidR="00647320">
        <w:rPr>
          <w:b/>
          <w:noProof/>
          <w:sz w:val="20"/>
          <w:szCs w:val="20"/>
        </w:rPr>
        <w:t>on</w:t>
      </w:r>
      <w:r w:rsidR="00647320" w:rsidRPr="00604C75">
        <w:rPr>
          <w:b/>
          <w:noProof/>
          <w:sz w:val="20"/>
          <w:szCs w:val="20"/>
        </w:rPr>
        <w:t xml:space="preserve"> Income Statement</w:t>
      </w:r>
      <w:r w:rsidR="00647320" w:rsidRPr="00604C75">
        <w:rPr>
          <w:b/>
          <w:bCs/>
          <w:sz w:val="20"/>
          <w:szCs w:val="20"/>
        </w:rPr>
        <w:t xml:space="preserve"> </w:t>
      </w:r>
      <w:r w:rsidRPr="00604C75">
        <w:rPr>
          <w:b/>
          <w:bCs/>
          <w:sz w:val="20"/>
          <w:szCs w:val="20"/>
        </w:rPr>
        <w:t>(Continued)</w:t>
      </w:r>
    </w:p>
    <w:p w14:paraId="52EF0C75" w14:textId="77777777" w:rsidR="0044575F" w:rsidRPr="00604C75" w:rsidRDefault="002D2598" w:rsidP="00490153">
      <w:pPr>
        <w:pStyle w:val="BodyText3"/>
        <w:spacing w:before="120" w:line="228" w:lineRule="auto"/>
        <w:ind w:right="-11"/>
        <w:jc w:val="both"/>
        <w:rPr>
          <w:b/>
          <w:i w:val="0"/>
          <w:sz w:val="20"/>
        </w:rPr>
      </w:pPr>
      <w:r w:rsidRPr="00604C75">
        <w:rPr>
          <w:b/>
          <w:i w:val="0"/>
          <w:sz w:val="20"/>
        </w:rPr>
        <w:t xml:space="preserve">h.    </w:t>
      </w:r>
      <w:r w:rsidR="00884814" w:rsidRPr="00604C75">
        <w:rPr>
          <w:b/>
          <w:i w:val="0"/>
          <w:sz w:val="20"/>
        </w:rPr>
        <w:t xml:space="preserve"> </w:t>
      </w:r>
      <w:r w:rsidR="0044575F" w:rsidRPr="00604C75">
        <w:rPr>
          <w:b/>
          <w:i w:val="0"/>
          <w:sz w:val="20"/>
        </w:rPr>
        <w:t>Explanations on profit and loss from continuing operations before tax</w:t>
      </w:r>
    </w:p>
    <w:p w14:paraId="09103B8B" w14:textId="178BEFF7" w:rsidR="003E5AC5" w:rsidRPr="00604C75" w:rsidRDefault="003E5AC5" w:rsidP="00490153">
      <w:pPr>
        <w:tabs>
          <w:tab w:val="left" w:pos="720"/>
        </w:tabs>
        <w:spacing w:before="120" w:line="228" w:lineRule="auto"/>
        <w:jc w:val="both"/>
        <w:rPr>
          <w:sz w:val="20"/>
          <w:szCs w:val="20"/>
        </w:rPr>
      </w:pPr>
      <w:r w:rsidRPr="00B6373B">
        <w:rPr>
          <w:sz w:val="20"/>
          <w:szCs w:val="20"/>
        </w:rPr>
        <w:t xml:space="preserve">Profit before tax consists of </w:t>
      </w:r>
      <w:r w:rsidR="00196A0E">
        <w:rPr>
          <w:sz w:val="20"/>
          <w:szCs w:val="20"/>
        </w:rPr>
        <w:t>net interest income amounts</w:t>
      </w:r>
      <w:r w:rsidRPr="00B6373B">
        <w:rPr>
          <w:sz w:val="20"/>
          <w:szCs w:val="20"/>
        </w:rPr>
        <w:t xml:space="preserve"> to TL</w:t>
      </w:r>
      <w:r>
        <w:rPr>
          <w:sz w:val="20"/>
          <w:szCs w:val="20"/>
        </w:rPr>
        <w:t xml:space="preserve"> 545,836 </w:t>
      </w:r>
      <w:r w:rsidRPr="00B6373B">
        <w:rPr>
          <w:sz w:val="20"/>
          <w:szCs w:val="20"/>
        </w:rPr>
        <w:t>(</w:t>
      </w:r>
      <w:r w:rsidRPr="00B6373B">
        <w:rPr>
          <w:bCs/>
          <w:sz w:val="20"/>
          <w:szCs w:val="20"/>
        </w:rPr>
        <w:t>3</w:t>
      </w:r>
      <w:r>
        <w:rPr>
          <w:bCs/>
          <w:sz w:val="20"/>
          <w:szCs w:val="20"/>
        </w:rPr>
        <w:t>1</w:t>
      </w:r>
      <w:r w:rsidRPr="00B6373B">
        <w:rPr>
          <w:bCs/>
          <w:sz w:val="20"/>
          <w:szCs w:val="20"/>
        </w:rPr>
        <w:t xml:space="preserve"> </w:t>
      </w:r>
      <w:r>
        <w:rPr>
          <w:bCs/>
          <w:sz w:val="20"/>
          <w:szCs w:val="20"/>
        </w:rPr>
        <w:t>December</w:t>
      </w:r>
      <w:r w:rsidRPr="00B6373B">
        <w:rPr>
          <w:sz w:val="20"/>
          <w:szCs w:val="20"/>
        </w:rPr>
        <w:t xml:space="preserve"> 2014: TL </w:t>
      </w:r>
      <w:r>
        <w:rPr>
          <w:sz w:val="20"/>
          <w:szCs w:val="20"/>
        </w:rPr>
        <w:t>488,234</w:t>
      </w:r>
      <w:r w:rsidRPr="00B6373B">
        <w:rPr>
          <w:sz w:val="20"/>
          <w:szCs w:val="20"/>
        </w:rPr>
        <w:t>), net fee</w:t>
      </w:r>
      <w:r w:rsidR="00196A0E">
        <w:rPr>
          <w:sz w:val="20"/>
          <w:szCs w:val="20"/>
        </w:rPr>
        <w:t xml:space="preserve"> and commission income amounts</w:t>
      </w:r>
      <w:r w:rsidRPr="00B6373B">
        <w:rPr>
          <w:sz w:val="20"/>
          <w:szCs w:val="20"/>
        </w:rPr>
        <w:t xml:space="preserve"> to TL </w:t>
      </w:r>
      <w:r>
        <w:rPr>
          <w:sz w:val="20"/>
          <w:szCs w:val="20"/>
        </w:rPr>
        <w:t xml:space="preserve">64,609 </w:t>
      </w:r>
      <w:r w:rsidRPr="00B6373B">
        <w:rPr>
          <w:sz w:val="20"/>
          <w:szCs w:val="20"/>
        </w:rPr>
        <w:t>(</w:t>
      </w:r>
      <w:r w:rsidRPr="00B6373B">
        <w:rPr>
          <w:bCs/>
          <w:sz w:val="20"/>
          <w:szCs w:val="20"/>
        </w:rPr>
        <w:t>3</w:t>
      </w:r>
      <w:r>
        <w:rPr>
          <w:bCs/>
          <w:sz w:val="20"/>
          <w:szCs w:val="20"/>
        </w:rPr>
        <w:t>1</w:t>
      </w:r>
      <w:r w:rsidRPr="00B6373B">
        <w:rPr>
          <w:bCs/>
          <w:sz w:val="20"/>
          <w:szCs w:val="20"/>
        </w:rPr>
        <w:t xml:space="preserve"> </w:t>
      </w:r>
      <w:r>
        <w:rPr>
          <w:bCs/>
          <w:sz w:val="20"/>
          <w:szCs w:val="20"/>
        </w:rPr>
        <w:t xml:space="preserve">December </w:t>
      </w:r>
      <w:r w:rsidRPr="00B6373B">
        <w:rPr>
          <w:sz w:val="20"/>
          <w:szCs w:val="20"/>
        </w:rPr>
        <w:t xml:space="preserve">2014: TL </w:t>
      </w:r>
      <w:r>
        <w:rPr>
          <w:sz w:val="20"/>
          <w:szCs w:val="20"/>
        </w:rPr>
        <w:t>50,931</w:t>
      </w:r>
      <w:r w:rsidRPr="00B6373B">
        <w:rPr>
          <w:sz w:val="20"/>
          <w:szCs w:val="20"/>
        </w:rPr>
        <w:t xml:space="preserve">) and total other operating income amounting to TL </w:t>
      </w:r>
      <w:r>
        <w:rPr>
          <w:sz w:val="20"/>
          <w:szCs w:val="20"/>
        </w:rPr>
        <w:t xml:space="preserve">170,094 </w:t>
      </w:r>
      <w:r w:rsidRPr="00B6373B">
        <w:rPr>
          <w:sz w:val="20"/>
          <w:szCs w:val="20"/>
        </w:rPr>
        <w:t>(</w:t>
      </w:r>
      <w:r w:rsidRPr="00B6373B">
        <w:rPr>
          <w:bCs/>
          <w:sz w:val="20"/>
          <w:szCs w:val="20"/>
        </w:rPr>
        <w:t>3</w:t>
      </w:r>
      <w:r>
        <w:rPr>
          <w:bCs/>
          <w:sz w:val="20"/>
          <w:szCs w:val="20"/>
        </w:rPr>
        <w:t>1</w:t>
      </w:r>
      <w:r w:rsidRPr="00B6373B">
        <w:rPr>
          <w:bCs/>
          <w:sz w:val="20"/>
          <w:szCs w:val="20"/>
        </w:rPr>
        <w:t xml:space="preserve"> </w:t>
      </w:r>
      <w:r>
        <w:rPr>
          <w:bCs/>
          <w:sz w:val="20"/>
          <w:szCs w:val="20"/>
        </w:rPr>
        <w:t>December</w:t>
      </w:r>
      <w:r w:rsidRPr="00B6373B">
        <w:rPr>
          <w:sz w:val="20"/>
          <w:szCs w:val="20"/>
        </w:rPr>
        <w:t xml:space="preserve"> 2014: TL </w:t>
      </w:r>
      <w:r>
        <w:rPr>
          <w:sz w:val="20"/>
          <w:szCs w:val="20"/>
        </w:rPr>
        <w:t>82,368</w:t>
      </w:r>
      <w:r w:rsidRPr="00B6373B">
        <w:rPr>
          <w:sz w:val="20"/>
          <w:szCs w:val="20"/>
        </w:rPr>
        <w:t>).</w:t>
      </w:r>
    </w:p>
    <w:p w14:paraId="10C58877" w14:textId="77777777" w:rsidR="0044575F" w:rsidRPr="00604C75" w:rsidRDefault="002D2598" w:rsidP="00490153">
      <w:pPr>
        <w:pStyle w:val="BodyText3"/>
        <w:tabs>
          <w:tab w:val="clear" w:pos="539"/>
        </w:tabs>
        <w:spacing w:before="120"/>
        <w:ind w:left="567" w:right="-11" w:hanging="567"/>
        <w:jc w:val="both"/>
        <w:rPr>
          <w:b/>
          <w:i w:val="0"/>
          <w:sz w:val="20"/>
        </w:rPr>
      </w:pPr>
      <w:r w:rsidRPr="00604C75">
        <w:rPr>
          <w:b/>
          <w:i w:val="0"/>
          <w:sz w:val="20"/>
        </w:rPr>
        <w:t>i</w:t>
      </w:r>
      <w:r w:rsidR="0044575F" w:rsidRPr="00604C75">
        <w:rPr>
          <w:b/>
          <w:i w:val="0"/>
          <w:sz w:val="20"/>
        </w:rPr>
        <w:t>.</w:t>
      </w:r>
      <w:r w:rsidR="0044575F" w:rsidRPr="00604C75">
        <w:rPr>
          <w:b/>
          <w:i w:val="0"/>
          <w:sz w:val="20"/>
        </w:rPr>
        <w:tab/>
        <w:t>Provision for taxes on income from continuing operations</w:t>
      </w:r>
    </w:p>
    <w:p w14:paraId="77D4EB91" w14:textId="326BD397" w:rsidR="003E5AC5" w:rsidRPr="00604C75" w:rsidRDefault="003E5AC5" w:rsidP="00490153">
      <w:pPr>
        <w:spacing w:before="120"/>
        <w:jc w:val="both"/>
        <w:rPr>
          <w:sz w:val="20"/>
          <w:szCs w:val="20"/>
        </w:rPr>
      </w:pPr>
      <w:r w:rsidRPr="00B6373B">
        <w:rPr>
          <w:sz w:val="20"/>
          <w:szCs w:val="20"/>
        </w:rPr>
        <w:t>As of 3</w:t>
      </w:r>
      <w:r>
        <w:rPr>
          <w:sz w:val="20"/>
          <w:szCs w:val="20"/>
        </w:rPr>
        <w:t>1</w:t>
      </w:r>
      <w:r w:rsidRPr="00B6373B">
        <w:rPr>
          <w:sz w:val="20"/>
          <w:szCs w:val="20"/>
        </w:rPr>
        <w:t xml:space="preserve"> </w:t>
      </w:r>
      <w:r>
        <w:rPr>
          <w:sz w:val="20"/>
          <w:szCs w:val="20"/>
        </w:rPr>
        <w:t>December</w:t>
      </w:r>
      <w:r w:rsidRPr="00B6373B">
        <w:rPr>
          <w:sz w:val="20"/>
          <w:szCs w:val="20"/>
        </w:rPr>
        <w:t xml:space="preserve"> 2015, the Group has current tax expense amounting to TL </w:t>
      </w:r>
      <w:r>
        <w:rPr>
          <w:sz w:val="20"/>
          <w:szCs w:val="20"/>
        </w:rPr>
        <w:t>24,664</w:t>
      </w:r>
      <w:r w:rsidRPr="00B6373B">
        <w:rPr>
          <w:sz w:val="20"/>
          <w:szCs w:val="20"/>
        </w:rPr>
        <w:t xml:space="preserve"> (</w:t>
      </w:r>
      <w:r w:rsidRPr="00B6373B">
        <w:rPr>
          <w:bCs/>
          <w:sz w:val="20"/>
          <w:szCs w:val="20"/>
        </w:rPr>
        <w:t>3</w:t>
      </w:r>
      <w:r>
        <w:rPr>
          <w:bCs/>
          <w:sz w:val="20"/>
          <w:szCs w:val="20"/>
        </w:rPr>
        <w:t>1</w:t>
      </w:r>
      <w:r w:rsidRPr="00B6373B">
        <w:rPr>
          <w:bCs/>
          <w:sz w:val="20"/>
          <w:szCs w:val="20"/>
        </w:rPr>
        <w:t xml:space="preserve"> </w:t>
      </w:r>
      <w:r>
        <w:rPr>
          <w:bCs/>
          <w:sz w:val="20"/>
          <w:szCs w:val="20"/>
        </w:rPr>
        <w:t>December</w:t>
      </w:r>
      <w:r w:rsidRPr="00B6373B">
        <w:rPr>
          <w:sz w:val="20"/>
          <w:szCs w:val="20"/>
        </w:rPr>
        <w:t xml:space="preserve"> 2014: TL </w:t>
      </w:r>
      <w:r>
        <w:rPr>
          <w:sz w:val="20"/>
          <w:szCs w:val="20"/>
        </w:rPr>
        <w:t>32,163</w:t>
      </w:r>
      <w:r w:rsidRPr="00B6373B">
        <w:rPr>
          <w:sz w:val="20"/>
          <w:szCs w:val="20"/>
        </w:rPr>
        <w:t xml:space="preserve">) and deferred tax expense amounting to TL </w:t>
      </w:r>
      <w:r>
        <w:rPr>
          <w:sz w:val="20"/>
          <w:szCs w:val="20"/>
        </w:rPr>
        <w:t>3,070</w:t>
      </w:r>
      <w:r w:rsidRPr="00B6373B">
        <w:rPr>
          <w:sz w:val="20"/>
          <w:szCs w:val="20"/>
        </w:rPr>
        <w:t xml:space="preserve"> (</w:t>
      </w:r>
      <w:r w:rsidRPr="00B6373B">
        <w:rPr>
          <w:bCs/>
          <w:sz w:val="20"/>
          <w:szCs w:val="20"/>
        </w:rPr>
        <w:t>3</w:t>
      </w:r>
      <w:r>
        <w:rPr>
          <w:bCs/>
          <w:sz w:val="20"/>
          <w:szCs w:val="20"/>
        </w:rPr>
        <w:t>1</w:t>
      </w:r>
      <w:r w:rsidRPr="00B6373B">
        <w:rPr>
          <w:bCs/>
          <w:sz w:val="20"/>
          <w:szCs w:val="20"/>
        </w:rPr>
        <w:t xml:space="preserve"> </w:t>
      </w:r>
      <w:r>
        <w:rPr>
          <w:bCs/>
          <w:sz w:val="20"/>
          <w:szCs w:val="20"/>
        </w:rPr>
        <w:t>December</w:t>
      </w:r>
      <w:r w:rsidRPr="00B6373B">
        <w:rPr>
          <w:sz w:val="20"/>
          <w:szCs w:val="20"/>
        </w:rPr>
        <w:t xml:space="preserve"> 2014: TL </w:t>
      </w:r>
      <w:r>
        <w:rPr>
          <w:sz w:val="20"/>
          <w:szCs w:val="20"/>
        </w:rPr>
        <w:t>5,738 deferred tax expense</w:t>
      </w:r>
      <w:r w:rsidRPr="00B6373B">
        <w:rPr>
          <w:sz w:val="20"/>
          <w:szCs w:val="20"/>
        </w:rPr>
        <w:t>).</w:t>
      </w:r>
    </w:p>
    <w:p w14:paraId="3A1F498E" w14:textId="77777777" w:rsidR="0044575F" w:rsidRPr="00604C75" w:rsidRDefault="0044575F" w:rsidP="008477F3">
      <w:pPr>
        <w:pStyle w:val="BodyText3"/>
        <w:numPr>
          <w:ilvl w:val="0"/>
          <w:numId w:val="52"/>
        </w:numPr>
        <w:tabs>
          <w:tab w:val="clear" w:pos="539"/>
        </w:tabs>
        <w:spacing w:before="120"/>
        <w:ind w:left="567" w:right="-11" w:hanging="567"/>
        <w:jc w:val="both"/>
        <w:rPr>
          <w:b/>
          <w:i w:val="0"/>
          <w:sz w:val="20"/>
        </w:rPr>
      </w:pPr>
      <w:r w:rsidRPr="00604C75">
        <w:rPr>
          <w:b/>
          <w:i w:val="0"/>
          <w:sz w:val="20"/>
        </w:rPr>
        <w:t>Information on net income/loss for the period</w:t>
      </w:r>
    </w:p>
    <w:p w14:paraId="36E4B78B" w14:textId="77777777" w:rsidR="003E5AC5" w:rsidRPr="00B6373B" w:rsidRDefault="00416F00" w:rsidP="008477F3">
      <w:pPr>
        <w:numPr>
          <w:ilvl w:val="0"/>
          <w:numId w:val="17"/>
        </w:numPr>
        <w:tabs>
          <w:tab w:val="clear" w:pos="1800"/>
          <w:tab w:val="num" w:pos="567"/>
        </w:tabs>
        <w:spacing w:before="120"/>
        <w:ind w:left="0" w:firstLine="0"/>
        <w:jc w:val="both"/>
        <w:rPr>
          <w:sz w:val="20"/>
          <w:szCs w:val="20"/>
        </w:rPr>
      </w:pPr>
      <w:r w:rsidRPr="003E5AC5">
        <w:rPr>
          <w:sz w:val="20"/>
          <w:szCs w:val="20"/>
        </w:rPr>
        <w:t xml:space="preserve">  </w:t>
      </w:r>
      <w:r w:rsidRPr="003E5AC5">
        <w:rPr>
          <w:sz w:val="20"/>
          <w:szCs w:val="20"/>
        </w:rPr>
        <w:tab/>
      </w:r>
      <w:r w:rsidR="003E5AC5" w:rsidRPr="00B6373B">
        <w:rPr>
          <w:sz w:val="20"/>
          <w:szCs w:val="20"/>
        </w:rPr>
        <w:t xml:space="preserve">Interest income from ordinary banking transactions is TL </w:t>
      </w:r>
      <w:r w:rsidR="003E5AC5">
        <w:rPr>
          <w:sz w:val="20"/>
          <w:szCs w:val="20"/>
        </w:rPr>
        <w:t>1,147,765</w:t>
      </w:r>
      <w:r w:rsidR="003E5AC5" w:rsidRPr="00B6373B">
        <w:rPr>
          <w:sz w:val="20"/>
          <w:szCs w:val="20"/>
        </w:rPr>
        <w:t xml:space="preserve"> (</w:t>
      </w:r>
      <w:r w:rsidR="003E5AC5" w:rsidRPr="00B6373B">
        <w:rPr>
          <w:bCs/>
          <w:sz w:val="20"/>
          <w:szCs w:val="20"/>
        </w:rPr>
        <w:t>3</w:t>
      </w:r>
      <w:r w:rsidR="003E5AC5">
        <w:rPr>
          <w:bCs/>
          <w:sz w:val="20"/>
          <w:szCs w:val="20"/>
        </w:rPr>
        <w:t>1</w:t>
      </w:r>
      <w:r w:rsidR="003E5AC5" w:rsidRPr="00B6373B">
        <w:rPr>
          <w:bCs/>
          <w:sz w:val="20"/>
          <w:szCs w:val="20"/>
        </w:rPr>
        <w:t xml:space="preserve"> </w:t>
      </w:r>
      <w:r w:rsidR="003E5AC5">
        <w:rPr>
          <w:bCs/>
          <w:sz w:val="20"/>
          <w:szCs w:val="20"/>
        </w:rPr>
        <w:t>December</w:t>
      </w:r>
      <w:r w:rsidR="003E5AC5" w:rsidRPr="00B6373B">
        <w:rPr>
          <w:sz w:val="20"/>
          <w:szCs w:val="20"/>
        </w:rPr>
        <w:t xml:space="preserve"> 2014: TL </w:t>
      </w:r>
      <w:r w:rsidR="003E5AC5">
        <w:rPr>
          <w:sz w:val="20"/>
          <w:szCs w:val="20"/>
        </w:rPr>
        <w:t>1,115,986</w:t>
      </w:r>
      <w:r w:rsidR="003E5AC5" w:rsidRPr="00B6373B">
        <w:rPr>
          <w:sz w:val="20"/>
          <w:szCs w:val="20"/>
        </w:rPr>
        <w:t xml:space="preserve">), interest expense is TL </w:t>
      </w:r>
      <w:r w:rsidR="003E5AC5">
        <w:rPr>
          <w:sz w:val="20"/>
          <w:szCs w:val="20"/>
        </w:rPr>
        <w:t>601,929</w:t>
      </w:r>
      <w:r w:rsidR="003E5AC5" w:rsidRPr="00692926">
        <w:rPr>
          <w:sz w:val="20"/>
          <w:szCs w:val="20"/>
        </w:rPr>
        <w:t xml:space="preserve"> </w:t>
      </w:r>
      <w:r w:rsidR="003E5AC5" w:rsidRPr="00B6373B">
        <w:rPr>
          <w:sz w:val="20"/>
          <w:szCs w:val="20"/>
        </w:rPr>
        <w:t>(</w:t>
      </w:r>
      <w:r w:rsidR="003E5AC5" w:rsidRPr="00B6373B">
        <w:rPr>
          <w:bCs/>
          <w:sz w:val="20"/>
          <w:szCs w:val="20"/>
        </w:rPr>
        <w:t>3</w:t>
      </w:r>
      <w:r w:rsidR="003E5AC5">
        <w:rPr>
          <w:bCs/>
          <w:sz w:val="20"/>
          <w:szCs w:val="20"/>
        </w:rPr>
        <w:t>1</w:t>
      </w:r>
      <w:r w:rsidR="003E5AC5" w:rsidRPr="00B6373B">
        <w:rPr>
          <w:bCs/>
          <w:sz w:val="20"/>
          <w:szCs w:val="20"/>
        </w:rPr>
        <w:t xml:space="preserve"> </w:t>
      </w:r>
      <w:r w:rsidR="003E5AC5">
        <w:rPr>
          <w:bCs/>
          <w:sz w:val="20"/>
          <w:szCs w:val="20"/>
        </w:rPr>
        <w:t>December</w:t>
      </w:r>
      <w:r w:rsidR="003E5AC5" w:rsidRPr="00B6373B">
        <w:rPr>
          <w:sz w:val="20"/>
          <w:szCs w:val="20"/>
        </w:rPr>
        <w:t xml:space="preserve"> 2014: TL </w:t>
      </w:r>
      <w:r w:rsidR="003E5AC5">
        <w:rPr>
          <w:sz w:val="20"/>
          <w:szCs w:val="20"/>
        </w:rPr>
        <w:t>627,752</w:t>
      </w:r>
      <w:r w:rsidR="003E5AC5" w:rsidRPr="00B6373B">
        <w:rPr>
          <w:sz w:val="20"/>
          <w:szCs w:val="20"/>
        </w:rPr>
        <w:t>).</w:t>
      </w:r>
    </w:p>
    <w:p w14:paraId="70B69DFE" w14:textId="77777777" w:rsidR="0044575F" w:rsidRPr="00604C75" w:rsidRDefault="00617635" w:rsidP="00490153">
      <w:pPr>
        <w:autoSpaceDE w:val="0"/>
        <w:autoSpaceDN w:val="0"/>
        <w:adjustRightInd w:val="0"/>
        <w:spacing w:before="120"/>
        <w:ind w:left="14" w:firstLine="28"/>
        <w:jc w:val="both"/>
        <w:rPr>
          <w:sz w:val="20"/>
          <w:szCs w:val="20"/>
        </w:rPr>
      </w:pPr>
      <w:r w:rsidRPr="00604C75">
        <w:rPr>
          <w:sz w:val="20"/>
          <w:szCs w:val="20"/>
        </w:rPr>
        <w:t xml:space="preserve">2)  </w:t>
      </w:r>
      <w:r w:rsidR="002B5FC5" w:rsidRPr="00604C75">
        <w:rPr>
          <w:sz w:val="20"/>
          <w:szCs w:val="20"/>
        </w:rPr>
        <w:t xml:space="preserve"> </w:t>
      </w:r>
      <w:r w:rsidR="00416F00" w:rsidRPr="00604C75">
        <w:rPr>
          <w:sz w:val="20"/>
          <w:szCs w:val="20"/>
        </w:rPr>
        <w:t xml:space="preserve">  </w:t>
      </w:r>
      <w:r w:rsidR="002B5FC5" w:rsidRPr="00604C75">
        <w:rPr>
          <w:sz w:val="20"/>
          <w:szCs w:val="20"/>
        </w:rPr>
        <w:t xml:space="preserve">Information on any change in the accounting estimates has no profit/loss effect </w:t>
      </w:r>
      <w:r w:rsidR="006D742D" w:rsidRPr="00604C75">
        <w:rPr>
          <w:sz w:val="20"/>
          <w:szCs w:val="20"/>
        </w:rPr>
        <w:t>on current period or consequent</w:t>
      </w:r>
      <w:r w:rsidR="002B5FC5" w:rsidRPr="00604C75">
        <w:rPr>
          <w:sz w:val="20"/>
          <w:szCs w:val="20"/>
        </w:rPr>
        <w:t xml:space="preserve"> periods. </w:t>
      </w:r>
    </w:p>
    <w:p w14:paraId="051CB1A8" w14:textId="77777777" w:rsidR="0044575F" w:rsidRPr="00604C75" w:rsidRDefault="006D742D" w:rsidP="008477F3">
      <w:pPr>
        <w:pStyle w:val="ListParagraph"/>
        <w:numPr>
          <w:ilvl w:val="0"/>
          <w:numId w:val="52"/>
        </w:numPr>
        <w:spacing w:before="120"/>
        <w:ind w:left="567" w:hanging="567"/>
        <w:jc w:val="both"/>
        <w:rPr>
          <w:b/>
          <w:sz w:val="20"/>
          <w:szCs w:val="20"/>
        </w:rPr>
      </w:pPr>
      <w:r w:rsidRPr="00604C75">
        <w:rPr>
          <w:b/>
          <w:bCs/>
          <w:iCs/>
          <w:sz w:val="20"/>
          <w:szCs w:val="20"/>
        </w:rPr>
        <w:t xml:space="preserve"> </w:t>
      </w:r>
      <w:r w:rsidR="00615C94" w:rsidRPr="00604C75">
        <w:rPr>
          <w:b/>
          <w:bCs/>
          <w:iCs/>
          <w:sz w:val="20"/>
          <w:szCs w:val="20"/>
        </w:rPr>
        <w:t>If the other items in the income statement exceed 10% of the income statement total, accounts amounting to at least 20% of these items are shown below:</w:t>
      </w:r>
    </w:p>
    <w:tbl>
      <w:tblPr>
        <w:tblpPr w:leftFromText="141" w:rightFromText="141" w:vertAnchor="text" w:horzAnchor="margin" w:tblpX="157" w:tblpY="92"/>
        <w:tblW w:w="8845" w:type="dxa"/>
        <w:tblLayout w:type="fixed"/>
        <w:tblCellMar>
          <w:left w:w="0" w:type="dxa"/>
          <w:right w:w="0" w:type="dxa"/>
        </w:tblCellMar>
        <w:tblLook w:val="0000" w:firstRow="0" w:lastRow="0" w:firstColumn="0" w:lastColumn="0" w:noHBand="0" w:noVBand="0"/>
      </w:tblPr>
      <w:tblGrid>
        <w:gridCol w:w="5682"/>
        <w:gridCol w:w="1657"/>
        <w:gridCol w:w="1506"/>
      </w:tblGrid>
      <w:tr w:rsidR="0005506A" w:rsidRPr="00604C75" w14:paraId="09B0C032" w14:textId="77777777" w:rsidTr="00FA5885">
        <w:trPr>
          <w:trHeight w:val="230"/>
        </w:trPr>
        <w:tc>
          <w:tcPr>
            <w:tcW w:w="5682" w:type="dxa"/>
            <w:tcBorders>
              <w:top w:val="double" w:sz="4" w:space="0" w:color="auto"/>
              <w:left w:val="double" w:sz="4" w:space="0" w:color="auto"/>
              <w:bottom w:val="dotted" w:sz="4" w:space="0" w:color="auto"/>
              <w:right w:val="dotted" w:sz="4" w:space="0" w:color="auto"/>
            </w:tcBorders>
            <w:shd w:val="clear" w:color="auto" w:fill="FFFFFF"/>
            <w:vAlign w:val="bottom"/>
          </w:tcPr>
          <w:p w14:paraId="38D839B9" w14:textId="29B829C6" w:rsidR="0005506A" w:rsidRPr="00604C75" w:rsidRDefault="00196A0E" w:rsidP="00EB4345">
            <w:pPr>
              <w:tabs>
                <w:tab w:val="left" w:pos="0"/>
              </w:tabs>
              <w:spacing w:line="216" w:lineRule="auto"/>
              <w:rPr>
                <w:rFonts w:eastAsia="Arial Unicode MS"/>
                <w:b/>
                <w:sz w:val="18"/>
                <w:szCs w:val="18"/>
              </w:rPr>
            </w:pPr>
            <w:r>
              <w:rPr>
                <w:b/>
                <w:sz w:val="18"/>
                <w:szCs w:val="18"/>
              </w:rPr>
              <w:t xml:space="preserve">Fees and Commissions Paid </w:t>
            </w:r>
            <w:r w:rsidR="0005506A" w:rsidRPr="00604C75">
              <w:rPr>
                <w:b/>
                <w:sz w:val="18"/>
                <w:szCs w:val="18"/>
              </w:rPr>
              <w:t>Other</w:t>
            </w:r>
          </w:p>
        </w:tc>
        <w:tc>
          <w:tcPr>
            <w:tcW w:w="1657" w:type="dxa"/>
            <w:tcBorders>
              <w:top w:val="double" w:sz="4" w:space="0" w:color="auto"/>
              <w:left w:val="dotted" w:sz="4" w:space="0" w:color="auto"/>
              <w:bottom w:val="dotted" w:sz="4" w:space="0" w:color="auto"/>
              <w:right w:val="dotted" w:sz="4" w:space="0" w:color="auto"/>
            </w:tcBorders>
            <w:shd w:val="clear" w:color="auto" w:fill="FFFFFF"/>
            <w:vAlign w:val="bottom"/>
          </w:tcPr>
          <w:p w14:paraId="5A2B30D1" w14:textId="77777777" w:rsidR="0005506A" w:rsidRPr="00604C75" w:rsidRDefault="0005506A" w:rsidP="00FA5885">
            <w:pPr>
              <w:tabs>
                <w:tab w:val="left" w:pos="0"/>
              </w:tabs>
              <w:jc w:val="center"/>
              <w:rPr>
                <w:b/>
                <w:bCs/>
                <w:sz w:val="18"/>
              </w:rPr>
            </w:pPr>
            <w:r>
              <w:rPr>
                <w:b/>
                <w:snapToGrid w:val="0"/>
                <w:sz w:val="18"/>
              </w:rPr>
              <w:t>31 December</w:t>
            </w:r>
            <w:r w:rsidRPr="00604C75">
              <w:rPr>
                <w:b/>
                <w:snapToGrid w:val="0"/>
                <w:sz w:val="18"/>
              </w:rPr>
              <w:t xml:space="preserve"> 2015</w:t>
            </w:r>
          </w:p>
        </w:tc>
        <w:tc>
          <w:tcPr>
            <w:tcW w:w="1506" w:type="dxa"/>
            <w:tcBorders>
              <w:top w:val="double" w:sz="4" w:space="0" w:color="auto"/>
              <w:left w:val="dotted" w:sz="4" w:space="0" w:color="auto"/>
              <w:bottom w:val="dotted" w:sz="4" w:space="0" w:color="auto"/>
              <w:right w:val="double" w:sz="4" w:space="0" w:color="auto"/>
            </w:tcBorders>
            <w:shd w:val="clear" w:color="auto" w:fill="FFFFFF"/>
            <w:vAlign w:val="bottom"/>
          </w:tcPr>
          <w:p w14:paraId="45FCAE1F" w14:textId="6DA12524" w:rsidR="0005506A" w:rsidRPr="00604C75" w:rsidRDefault="0005506A" w:rsidP="00FA5885">
            <w:pPr>
              <w:tabs>
                <w:tab w:val="left" w:pos="0"/>
              </w:tabs>
              <w:jc w:val="center"/>
              <w:rPr>
                <w:b/>
                <w:bCs/>
                <w:sz w:val="18"/>
              </w:rPr>
            </w:pPr>
            <w:r>
              <w:rPr>
                <w:b/>
                <w:snapToGrid w:val="0"/>
                <w:sz w:val="18"/>
              </w:rPr>
              <w:t>31</w:t>
            </w:r>
            <w:r w:rsidRPr="00604C75">
              <w:rPr>
                <w:b/>
                <w:snapToGrid w:val="0"/>
                <w:sz w:val="18"/>
              </w:rPr>
              <w:t xml:space="preserve"> </w:t>
            </w:r>
            <w:r>
              <w:rPr>
                <w:b/>
                <w:snapToGrid w:val="0"/>
                <w:sz w:val="18"/>
              </w:rPr>
              <w:t>December</w:t>
            </w:r>
            <w:r w:rsidRPr="00604C75">
              <w:rPr>
                <w:b/>
                <w:snapToGrid w:val="0"/>
                <w:sz w:val="18"/>
              </w:rPr>
              <w:t xml:space="preserve"> 2014</w:t>
            </w:r>
          </w:p>
        </w:tc>
      </w:tr>
      <w:tr w:rsidR="00224102" w:rsidRPr="00604C75" w14:paraId="17B2218A" w14:textId="77777777" w:rsidTr="00FA5885">
        <w:trPr>
          <w:trHeight w:val="225"/>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14:paraId="5CC9E4FA" w14:textId="12125D68" w:rsidR="00224102" w:rsidRPr="00604C75" w:rsidRDefault="00224102" w:rsidP="00224102">
            <w:pPr>
              <w:tabs>
                <w:tab w:val="left" w:pos="0"/>
              </w:tabs>
              <w:spacing w:line="216" w:lineRule="auto"/>
              <w:ind w:firstLine="157"/>
              <w:rPr>
                <w:rFonts w:eastAsia="Arial Unicode MS"/>
                <w:sz w:val="18"/>
              </w:rPr>
            </w:pPr>
            <w:r w:rsidRPr="00604C75">
              <w:rPr>
                <w:color w:val="000000"/>
                <w:sz w:val="18"/>
                <w:szCs w:val="18"/>
              </w:rPr>
              <w:t xml:space="preserve">CBRT </w:t>
            </w:r>
            <w:r>
              <w:rPr>
                <w:color w:val="000000"/>
                <w:sz w:val="18"/>
                <w:szCs w:val="18"/>
              </w:rPr>
              <w:t>I</w:t>
            </w:r>
            <w:r w:rsidRPr="00604C75">
              <w:rPr>
                <w:color w:val="000000"/>
                <w:sz w:val="18"/>
                <w:szCs w:val="18"/>
              </w:rPr>
              <w:t xml:space="preserve">nterbank </w:t>
            </w:r>
            <w:r>
              <w:rPr>
                <w:color w:val="000000"/>
                <w:sz w:val="18"/>
                <w:szCs w:val="18"/>
              </w:rPr>
              <w:t>M</w:t>
            </w:r>
            <w:r w:rsidRPr="00604C75">
              <w:rPr>
                <w:color w:val="000000"/>
                <w:sz w:val="18"/>
                <w:szCs w:val="18"/>
              </w:rPr>
              <w:t xml:space="preserve">oney </w:t>
            </w:r>
            <w:r>
              <w:rPr>
                <w:color w:val="000000"/>
                <w:sz w:val="18"/>
                <w:szCs w:val="18"/>
              </w:rPr>
              <w:t>M</w:t>
            </w:r>
            <w:r w:rsidRPr="00604C75">
              <w:rPr>
                <w:color w:val="000000"/>
                <w:sz w:val="18"/>
                <w:szCs w:val="18"/>
              </w:rPr>
              <w:t>arket</w:t>
            </w:r>
          </w:p>
        </w:tc>
        <w:tc>
          <w:tcPr>
            <w:tcW w:w="1657" w:type="dxa"/>
            <w:tcBorders>
              <w:top w:val="dotted" w:sz="4" w:space="0" w:color="auto"/>
              <w:left w:val="dotted" w:sz="4" w:space="0" w:color="auto"/>
              <w:bottom w:val="dotted" w:sz="4" w:space="0" w:color="auto"/>
              <w:right w:val="dotted" w:sz="4" w:space="0" w:color="auto"/>
            </w:tcBorders>
            <w:vAlign w:val="bottom"/>
          </w:tcPr>
          <w:p w14:paraId="4862281B" w14:textId="04D9E950" w:rsidR="00224102" w:rsidRPr="00692926" w:rsidRDefault="00224102" w:rsidP="00224102">
            <w:pPr>
              <w:tabs>
                <w:tab w:val="left" w:pos="0"/>
              </w:tabs>
              <w:ind w:right="37"/>
              <w:jc w:val="right"/>
              <w:rPr>
                <w:sz w:val="18"/>
                <w:szCs w:val="18"/>
              </w:rPr>
            </w:pPr>
            <w:r>
              <w:rPr>
                <w:sz w:val="18"/>
                <w:szCs w:val="18"/>
              </w:rPr>
              <w:t>1,278</w:t>
            </w:r>
          </w:p>
        </w:tc>
        <w:tc>
          <w:tcPr>
            <w:tcW w:w="1506" w:type="dxa"/>
            <w:tcBorders>
              <w:top w:val="dotted" w:sz="4" w:space="0" w:color="auto"/>
              <w:left w:val="dotted" w:sz="4" w:space="0" w:color="auto"/>
              <w:bottom w:val="dotted" w:sz="4" w:space="0" w:color="auto"/>
              <w:right w:val="double" w:sz="4" w:space="0" w:color="auto"/>
            </w:tcBorders>
            <w:vAlign w:val="bottom"/>
          </w:tcPr>
          <w:p w14:paraId="78A9731D" w14:textId="2199005D" w:rsidR="00224102" w:rsidRPr="00AC598B" w:rsidRDefault="00224102" w:rsidP="00224102">
            <w:pPr>
              <w:tabs>
                <w:tab w:val="left" w:pos="0"/>
              </w:tabs>
              <w:jc w:val="right"/>
              <w:rPr>
                <w:sz w:val="18"/>
                <w:szCs w:val="18"/>
              </w:rPr>
            </w:pPr>
            <w:r>
              <w:rPr>
                <w:sz w:val="18"/>
                <w:szCs w:val="18"/>
              </w:rPr>
              <w:t>4,115</w:t>
            </w:r>
          </w:p>
        </w:tc>
      </w:tr>
      <w:tr w:rsidR="00224102" w:rsidRPr="00604C75" w14:paraId="5405C40E" w14:textId="77777777"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14:paraId="27BD644E" w14:textId="659621FD"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rPr>
                <w:rFonts w:eastAsia="Times New Roman"/>
              </w:rPr>
            </w:pPr>
            <w:r w:rsidRPr="00604C75">
              <w:rPr>
                <w:color w:val="000000"/>
              </w:rPr>
              <w:t xml:space="preserve">Commisions </w:t>
            </w:r>
            <w:r>
              <w:rPr>
                <w:color w:val="000000"/>
              </w:rPr>
              <w:t>G</w:t>
            </w:r>
            <w:r w:rsidRPr="00604C75">
              <w:rPr>
                <w:color w:val="000000"/>
              </w:rPr>
              <w:t>ranted to Correspondent Banks</w:t>
            </w:r>
          </w:p>
        </w:tc>
        <w:tc>
          <w:tcPr>
            <w:tcW w:w="1657" w:type="dxa"/>
            <w:tcBorders>
              <w:top w:val="dotted" w:sz="4" w:space="0" w:color="auto"/>
              <w:left w:val="dotted" w:sz="4" w:space="0" w:color="auto"/>
              <w:bottom w:val="dotted" w:sz="4" w:space="0" w:color="auto"/>
              <w:right w:val="dotted" w:sz="4" w:space="0" w:color="auto"/>
            </w:tcBorders>
            <w:vAlign w:val="bottom"/>
          </w:tcPr>
          <w:p w14:paraId="27BDCE84" w14:textId="3F3C45D2" w:rsidR="00224102" w:rsidRPr="00692926" w:rsidRDefault="00224102" w:rsidP="00224102">
            <w:pPr>
              <w:tabs>
                <w:tab w:val="left" w:pos="0"/>
              </w:tabs>
              <w:ind w:right="37"/>
              <w:jc w:val="right"/>
              <w:rPr>
                <w:sz w:val="18"/>
                <w:szCs w:val="18"/>
              </w:rPr>
            </w:pPr>
            <w:r>
              <w:rPr>
                <w:sz w:val="18"/>
                <w:szCs w:val="18"/>
              </w:rPr>
              <w:t>797</w:t>
            </w:r>
          </w:p>
        </w:tc>
        <w:tc>
          <w:tcPr>
            <w:tcW w:w="1506" w:type="dxa"/>
            <w:tcBorders>
              <w:top w:val="dotted" w:sz="4" w:space="0" w:color="auto"/>
              <w:left w:val="dotted" w:sz="4" w:space="0" w:color="auto"/>
              <w:bottom w:val="dotted" w:sz="4" w:space="0" w:color="auto"/>
              <w:right w:val="double" w:sz="4" w:space="0" w:color="auto"/>
            </w:tcBorders>
            <w:vAlign w:val="bottom"/>
          </w:tcPr>
          <w:p w14:paraId="37A8710D" w14:textId="2EC8B898" w:rsidR="00224102" w:rsidRPr="00AC598B" w:rsidRDefault="00224102" w:rsidP="00224102">
            <w:pPr>
              <w:tabs>
                <w:tab w:val="left" w:pos="0"/>
              </w:tabs>
              <w:jc w:val="right"/>
              <w:rPr>
                <w:sz w:val="18"/>
                <w:szCs w:val="18"/>
              </w:rPr>
            </w:pPr>
            <w:r>
              <w:rPr>
                <w:sz w:val="18"/>
                <w:szCs w:val="18"/>
              </w:rPr>
              <w:t>560</w:t>
            </w:r>
          </w:p>
        </w:tc>
      </w:tr>
      <w:tr w:rsidR="00224102" w:rsidRPr="00604C75" w14:paraId="1F582A1A" w14:textId="77777777"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14:paraId="7C3F4019" w14:textId="695EF178" w:rsidR="00224102" w:rsidRPr="00604C75" w:rsidRDefault="00224102" w:rsidP="00224102">
            <w:pPr>
              <w:tabs>
                <w:tab w:val="left" w:pos="0"/>
              </w:tabs>
              <w:spacing w:line="216" w:lineRule="auto"/>
              <w:ind w:firstLine="157"/>
              <w:rPr>
                <w:sz w:val="18"/>
              </w:rPr>
            </w:pPr>
            <w:r w:rsidRPr="00604C75">
              <w:rPr>
                <w:color w:val="000000"/>
                <w:sz w:val="18"/>
                <w:szCs w:val="18"/>
              </w:rPr>
              <w:t xml:space="preserve">Commissions for </w:t>
            </w:r>
            <w:r>
              <w:rPr>
                <w:color w:val="000000"/>
                <w:sz w:val="18"/>
                <w:szCs w:val="18"/>
              </w:rPr>
              <w:t>E</w:t>
            </w:r>
            <w:r w:rsidRPr="00604C75">
              <w:rPr>
                <w:color w:val="000000"/>
                <w:sz w:val="18"/>
                <w:szCs w:val="18"/>
              </w:rPr>
              <w:t xml:space="preserve">ffective and </w:t>
            </w:r>
            <w:r>
              <w:rPr>
                <w:color w:val="000000"/>
                <w:sz w:val="18"/>
                <w:szCs w:val="18"/>
              </w:rPr>
              <w:t>F</w:t>
            </w:r>
            <w:r w:rsidRPr="00604C75">
              <w:rPr>
                <w:color w:val="000000"/>
                <w:sz w:val="18"/>
                <w:szCs w:val="18"/>
              </w:rPr>
              <w:t xml:space="preserve">uture </w:t>
            </w:r>
            <w:r>
              <w:rPr>
                <w:color w:val="000000"/>
                <w:sz w:val="18"/>
                <w:szCs w:val="18"/>
              </w:rPr>
              <w:t>T</w:t>
            </w:r>
            <w:r w:rsidRPr="00604C75">
              <w:rPr>
                <w:color w:val="000000"/>
                <w:sz w:val="18"/>
                <w:szCs w:val="18"/>
              </w:rPr>
              <w:t>ransactions</w:t>
            </w:r>
          </w:p>
        </w:tc>
        <w:tc>
          <w:tcPr>
            <w:tcW w:w="1657" w:type="dxa"/>
            <w:tcBorders>
              <w:top w:val="dotted" w:sz="4" w:space="0" w:color="auto"/>
              <w:left w:val="dotted" w:sz="4" w:space="0" w:color="auto"/>
              <w:bottom w:val="dotted" w:sz="4" w:space="0" w:color="auto"/>
              <w:right w:val="dotted" w:sz="4" w:space="0" w:color="auto"/>
            </w:tcBorders>
            <w:vAlign w:val="bottom"/>
          </w:tcPr>
          <w:p w14:paraId="218AF851" w14:textId="7023F67C" w:rsidR="00224102" w:rsidRPr="00692926" w:rsidRDefault="00224102" w:rsidP="00224102">
            <w:pPr>
              <w:tabs>
                <w:tab w:val="left" w:pos="0"/>
              </w:tabs>
              <w:ind w:right="37"/>
              <w:jc w:val="right"/>
              <w:rPr>
                <w:sz w:val="18"/>
                <w:szCs w:val="18"/>
              </w:rPr>
            </w:pPr>
            <w:r>
              <w:rPr>
                <w:sz w:val="18"/>
                <w:szCs w:val="18"/>
              </w:rPr>
              <w:t>287</w:t>
            </w:r>
          </w:p>
        </w:tc>
        <w:tc>
          <w:tcPr>
            <w:tcW w:w="1506" w:type="dxa"/>
            <w:tcBorders>
              <w:top w:val="dotted" w:sz="4" w:space="0" w:color="auto"/>
              <w:left w:val="dotted" w:sz="4" w:space="0" w:color="auto"/>
              <w:bottom w:val="dotted" w:sz="4" w:space="0" w:color="auto"/>
              <w:right w:val="double" w:sz="4" w:space="0" w:color="auto"/>
            </w:tcBorders>
            <w:vAlign w:val="bottom"/>
          </w:tcPr>
          <w:p w14:paraId="6B65115E" w14:textId="49792522" w:rsidR="00224102" w:rsidRPr="00AC598B" w:rsidRDefault="00224102" w:rsidP="00224102">
            <w:pPr>
              <w:tabs>
                <w:tab w:val="left" w:pos="0"/>
              </w:tabs>
              <w:jc w:val="right"/>
              <w:rPr>
                <w:sz w:val="18"/>
                <w:szCs w:val="18"/>
              </w:rPr>
            </w:pPr>
            <w:r>
              <w:rPr>
                <w:sz w:val="18"/>
                <w:szCs w:val="18"/>
              </w:rPr>
              <w:t>359</w:t>
            </w:r>
          </w:p>
        </w:tc>
      </w:tr>
      <w:tr w:rsidR="00224102" w:rsidRPr="00604C75" w14:paraId="0F999E4E" w14:textId="77777777"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14:paraId="1453F11A" w14:textId="7A627011"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rPr>
                <w:rFonts w:eastAsia="Times New Roman"/>
              </w:rPr>
            </w:pPr>
            <w:r w:rsidRPr="00604C75">
              <w:rPr>
                <w:color w:val="000000"/>
              </w:rPr>
              <w:t xml:space="preserve">Transfer </w:t>
            </w:r>
            <w:r>
              <w:rPr>
                <w:color w:val="000000"/>
              </w:rPr>
              <w:t>C</w:t>
            </w:r>
            <w:r w:rsidRPr="00604C75">
              <w:rPr>
                <w:color w:val="000000"/>
              </w:rPr>
              <w:t>ommissions</w:t>
            </w:r>
          </w:p>
        </w:tc>
        <w:tc>
          <w:tcPr>
            <w:tcW w:w="1657" w:type="dxa"/>
            <w:tcBorders>
              <w:top w:val="dotted" w:sz="4" w:space="0" w:color="auto"/>
              <w:left w:val="dotted" w:sz="4" w:space="0" w:color="auto"/>
              <w:bottom w:val="dotted" w:sz="4" w:space="0" w:color="auto"/>
              <w:right w:val="dotted" w:sz="4" w:space="0" w:color="auto"/>
            </w:tcBorders>
            <w:vAlign w:val="bottom"/>
          </w:tcPr>
          <w:p w14:paraId="73553B1F" w14:textId="56CBB6C6" w:rsidR="00224102" w:rsidRPr="00692926" w:rsidRDefault="00224102" w:rsidP="00224102">
            <w:pPr>
              <w:tabs>
                <w:tab w:val="left" w:pos="0"/>
              </w:tabs>
              <w:ind w:right="37"/>
              <w:jc w:val="right"/>
              <w:rPr>
                <w:sz w:val="18"/>
                <w:szCs w:val="18"/>
              </w:rPr>
            </w:pPr>
            <w:r>
              <w:rPr>
                <w:sz w:val="18"/>
                <w:szCs w:val="18"/>
              </w:rPr>
              <w:t>463</w:t>
            </w:r>
          </w:p>
        </w:tc>
        <w:tc>
          <w:tcPr>
            <w:tcW w:w="1506" w:type="dxa"/>
            <w:tcBorders>
              <w:top w:val="dotted" w:sz="4" w:space="0" w:color="auto"/>
              <w:left w:val="dotted" w:sz="4" w:space="0" w:color="auto"/>
              <w:bottom w:val="dotted" w:sz="4" w:space="0" w:color="auto"/>
              <w:right w:val="double" w:sz="4" w:space="0" w:color="auto"/>
            </w:tcBorders>
            <w:vAlign w:val="bottom"/>
          </w:tcPr>
          <w:p w14:paraId="27CA1BCF" w14:textId="1E45F2C4" w:rsidR="00224102" w:rsidRPr="00AC598B" w:rsidRDefault="00224102" w:rsidP="00224102">
            <w:pPr>
              <w:tabs>
                <w:tab w:val="left" w:pos="0"/>
              </w:tabs>
              <w:jc w:val="right"/>
              <w:rPr>
                <w:sz w:val="18"/>
                <w:szCs w:val="18"/>
              </w:rPr>
            </w:pPr>
            <w:r>
              <w:rPr>
                <w:sz w:val="18"/>
                <w:szCs w:val="18"/>
              </w:rPr>
              <w:t>27</w:t>
            </w:r>
          </w:p>
        </w:tc>
      </w:tr>
      <w:tr w:rsidR="00224102" w:rsidRPr="00604C75" w14:paraId="7820BF5F" w14:textId="77777777"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14:paraId="135AE277" w14:textId="77777777" w:rsidR="00224102" w:rsidRPr="00604C75" w:rsidRDefault="00224102" w:rsidP="00224102">
            <w:pPr>
              <w:pStyle w:val="xl79"/>
              <w:pBdr>
                <w:left w:val="none" w:sz="0" w:space="0" w:color="auto"/>
                <w:bottom w:val="none" w:sz="0" w:space="0" w:color="auto"/>
                <w:right w:val="none" w:sz="0" w:space="0" w:color="auto"/>
              </w:pBdr>
              <w:tabs>
                <w:tab w:val="left" w:pos="0"/>
              </w:tabs>
              <w:spacing w:before="0" w:beforeAutospacing="0" w:after="0" w:afterAutospacing="0" w:line="216" w:lineRule="auto"/>
              <w:ind w:firstLine="157"/>
            </w:pPr>
            <w:r w:rsidRPr="00604C75">
              <w:rPr>
                <w:color w:val="000000"/>
              </w:rPr>
              <w:t>Other</w:t>
            </w:r>
          </w:p>
        </w:tc>
        <w:tc>
          <w:tcPr>
            <w:tcW w:w="1657" w:type="dxa"/>
            <w:tcBorders>
              <w:top w:val="dotted" w:sz="4" w:space="0" w:color="auto"/>
              <w:left w:val="dotted" w:sz="4" w:space="0" w:color="auto"/>
              <w:bottom w:val="dotted" w:sz="4" w:space="0" w:color="auto"/>
              <w:right w:val="dotted" w:sz="4" w:space="0" w:color="auto"/>
            </w:tcBorders>
            <w:vAlign w:val="bottom"/>
          </w:tcPr>
          <w:p w14:paraId="20AEB7B0" w14:textId="32FD5F5A" w:rsidR="00224102" w:rsidRPr="00692926" w:rsidRDefault="00224102" w:rsidP="00224102">
            <w:pPr>
              <w:tabs>
                <w:tab w:val="left" w:pos="0"/>
              </w:tabs>
              <w:ind w:right="37"/>
              <w:jc w:val="right"/>
              <w:rPr>
                <w:sz w:val="18"/>
                <w:szCs w:val="18"/>
              </w:rPr>
            </w:pPr>
            <w:r>
              <w:rPr>
                <w:sz w:val="18"/>
                <w:szCs w:val="18"/>
              </w:rPr>
              <w:t>11,042</w:t>
            </w:r>
          </w:p>
        </w:tc>
        <w:tc>
          <w:tcPr>
            <w:tcW w:w="1506" w:type="dxa"/>
            <w:tcBorders>
              <w:top w:val="dotted" w:sz="4" w:space="0" w:color="auto"/>
              <w:left w:val="dotted" w:sz="4" w:space="0" w:color="auto"/>
              <w:bottom w:val="dotted" w:sz="4" w:space="0" w:color="auto"/>
              <w:right w:val="double" w:sz="4" w:space="0" w:color="auto"/>
            </w:tcBorders>
            <w:vAlign w:val="bottom"/>
          </w:tcPr>
          <w:p w14:paraId="69C9A736" w14:textId="54A8F887" w:rsidR="00224102" w:rsidRPr="00AC598B" w:rsidRDefault="00224102" w:rsidP="00224102">
            <w:pPr>
              <w:tabs>
                <w:tab w:val="left" w:pos="0"/>
              </w:tabs>
              <w:jc w:val="right"/>
              <w:rPr>
                <w:sz w:val="18"/>
                <w:szCs w:val="18"/>
              </w:rPr>
            </w:pPr>
            <w:r>
              <w:rPr>
                <w:sz w:val="18"/>
                <w:szCs w:val="18"/>
              </w:rPr>
              <w:t>6,194</w:t>
            </w:r>
          </w:p>
        </w:tc>
      </w:tr>
      <w:tr w:rsidR="00224102" w:rsidRPr="00604C75" w14:paraId="23CF2752" w14:textId="77777777" w:rsidTr="00FA5885">
        <w:trPr>
          <w:trHeight w:val="230"/>
        </w:trPr>
        <w:tc>
          <w:tcPr>
            <w:tcW w:w="5682" w:type="dxa"/>
            <w:tcBorders>
              <w:top w:val="dotted" w:sz="4" w:space="0" w:color="auto"/>
              <w:left w:val="double" w:sz="4" w:space="0" w:color="auto"/>
              <w:bottom w:val="double" w:sz="4" w:space="0" w:color="auto"/>
              <w:right w:val="dotted" w:sz="4" w:space="0" w:color="auto"/>
            </w:tcBorders>
            <w:shd w:val="clear" w:color="auto" w:fill="FFFFFF"/>
            <w:vAlign w:val="bottom"/>
          </w:tcPr>
          <w:p w14:paraId="1B5A89EA" w14:textId="77777777" w:rsidR="00224102" w:rsidRPr="00604C75" w:rsidRDefault="00224102" w:rsidP="00224102">
            <w:pPr>
              <w:tabs>
                <w:tab w:val="left" w:pos="0"/>
              </w:tabs>
              <w:spacing w:line="216" w:lineRule="auto"/>
              <w:rPr>
                <w:b/>
                <w:sz w:val="18"/>
                <w:szCs w:val="18"/>
              </w:rPr>
            </w:pPr>
            <w:r w:rsidRPr="00604C75">
              <w:rPr>
                <w:b/>
                <w:sz w:val="18"/>
                <w:szCs w:val="18"/>
              </w:rPr>
              <w:t>Total</w:t>
            </w:r>
          </w:p>
        </w:tc>
        <w:tc>
          <w:tcPr>
            <w:tcW w:w="1657" w:type="dxa"/>
            <w:tcBorders>
              <w:top w:val="dotted" w:sz="4" w:space="0" w:color="auto"/>
              <w:left w:val="dotted" w:sz="4" w:space="0" w:color="auto"/>
              <w:bottom w:val="double" w:sz="4" w:space="0" w:color="auto"/>
              <w:right w:val="dotted" w:sz="4" w:space="0" w:color="auto"/>
            </w:tcBorders>
            <w:vAlign w:val="bottom"/>
          </w:tcPr>
          <w:p w14:paraId="7B6986C8" w14:textId="210A1376" w:rsidR="00224102" w:rsidRPr="00692926" w:rsidRDefault="00224102" w:rsidP="00224102">
            <w:pPr>
              <w:tabs>
                <w:tab w:val="left" w:pos="0"/>
              </w:tabs>
              <w:ind w:right="37"/>
              <w:jc w:val="right"/>
              <w:rPr>
                <w:b/>
                <w:sz w:val="18"/>
                <w:szCs w:val="18"/>
              </w:rPr>
            </w:pPr>
            <w:r>
              <w:rPr>
                <w:b/>
                <w:sz w:val="18"/>
                <w:szCs w:val="18"/>
              </w:rPr>
              <w:t>13,867</w:t>
            </w:r>
          </w:p>
        </w:tc>
        <w:tc>
          <w:tcPr>
            <w:tcW w:w="1506" w:type="dxa"/>
            <w:tcBorders>
              <w:top w:val="dotted" w:sz="4" w:space="0" w:color="auto"/>
              <w:left w:val="dotted" w:sz="4" w:space="0" w:color="auto"/>
              <w:bottom w:val="double" w:sz="4" w:space="0" w:color="auto"/>
              <w:right w:val="double" w:sz="4" w:space="0" w:color="auto"/>
            </w:tcBorders>
            <w:vAlign w:val="bottom"/>
          </w:tcPr>
          <w:p w14:paraId="1A64B061" w14:textId="0A3451E1" w:rsidR="00224102" w:rsidRPr="00AC598B" w:rsidRDefault="00224102" w:rsidP="00224102">
            <w:pPr>
              <w:tabs>
                <w:tab w:val="left" w:pos="0"/>
              </w:tabs>
              <w:ind w:right="37"/>
              <w:jc w:val="right"/>
              <w:rPr>
                <w:b/>
                <w:sz w:val="18"/>
                <w:szCs w:val="18"/>
              </w:rPr>
            </w:pPr>
            <w:r>
              <w:rPr>
                <w:b/>
                <w:sz w:val="18"/>
                <w:szCs w:val="18"/>
              </w:rPr>
              <w:t>11,255</w:t>
            </w:r>
          </w:p>
        </w:tc>
      </w:tr>
      <w:tr w:rsidR="003E5AC5" w:rsidRPr="00604C75" w14:paraId="7498DE88" w14:textId="77777777" w:rsidTr="00FA5885">
        <w:trPr>
          <w:trHeight w:val="230"/>
        </w:trPr>
        <w:tc>
          <w:tcPr>
            <w:tcW w:w="5682" w:type="dxa"/>
            <w:tcBorders>
              <w:top w:val="double" w:sz="4" w:space="0" w:color="auto"/>
              <w:bottom w:val="double" w:sz="4" w:space="0" w:color="auto"/>
            </w:tcBorders>
            <w:shd w:val="clear" w:color="auto" w:fill="FFFFFF"/>
            <w:vAlign w:val="bottom"/>
          </w:tcPr>
          <w:p w14:paraId="5D244376" w14:textId="77777777" w:rsidR="003E5AC5" w:rsidRPr="00604C75" w:rsidRDefault="003E5AC5" w:rsidP="003E5AC5">
            <w:pPr>
              <w:tabs>
                <w:tab w:val="left" w:pos="0"/>
              </w:tabs>
              <w:spacing w:line="216" w:lineRule="auto"/>
              <w:rPr>
                <w:sz w:val="14"/>
                <w:szCs w:val="14"/>
              </w:rPr>
            </w:pPr>
          </w:p>
        </w:tc>
        <w:tc>
          <w:tcPr>
            <w:tcW w:w="1657" w:type="dxa"/>
            <w:tcBorders>
              <w:top w:val="double" w:sz="4" w:space="0" w:color="auto"/>
              <w:bottom w:val="double" w:sz="4" w:space="0" w:color="auto"/>
            </w:tcBorders>
            <w:vAlign w:val="bottom"/>
          </w:tcPr>
          <w:p w14:paraId="533CFB6E" w14:textId="77777777" w:rsidR="003E5AC5" w:rsidRPr="00604C75" w:rsidRDefault="003E5AC5" w:rsidP="003E5AC5">
            <w:pPr>
              <w:tabs>
                <w:tab w:val="left" w:pos="0"/>
              </w:tabs>
              <w:jc w:val="right"/>
              <w:rPr>
                <w:sz w:val="18"/>
                <w:szCs w:val="18"/>
              </w:rPr>
            </w:pPr>
          </w:p>
        </w:tc>
        <w:tc>
          <w:tcPr>
            <w:tcW w:w="1506" w:type="dxa"/>
            <w:tcBorders>
              <w:top w:val="double" w:sz="4" w:space="0" w:color="auto"/>
              <w:bottom w:val="double" w:sz="4" w:space="0" w:color="auto"/>
            </w:tcBorders>
            <w:vAlign w:val="bottom"/>
          </w:tcPr>
          <w:p w14:paraId="65868493" w14:textId="77777777" w:rsidR="003E5AC5" w:rsidRPr="00604C75" w:rsidRDefault="003E5AC5" w:rsidP="003E5AC5">
            <w:pPr>
              <w:tabs>
                <w:tab w:val="left" w:pos="0"/>
              </w:tabs>
              <w:jc w:val="right"/>
              <w:rPr>
                <w:sz w:val="18"/>
                <w:szCs w:val="18"/>
              </w:rPr>
            </w:pPr>
          </w:p>
        </w:tc>
      </w:tr>
      <w:tr w:rsidR="003E5AC5" w:rsidRPr="00604C75" w14:paraId="781B7E00" w14:textId="77777777" w:rsidTr="00FA5885">
        <w:trPr>
          <w:trHeight w:val="230"/>
        </w:trPr>
        <w:tc>
          <w:tcPr>
            <w:tcW w:w="5682" w:type="dxa"/>
            <w:tcBorders>
              <w:top w:val="double" w:sz="4" w:space="0" w:color="auto"/>
              <w:left w:val="double" w:sz="4" w:space="0" w:color="auto"/>
              <w:bottom w:val="dotted" w:sz="4" w:space="0" w:color="auto"/>
              <w:right w:val="dotted" w:sz="4" w:space="0" w:color="auto"/>
            </w:tcBorders>
            <w:shd w:val="clear" w:color="auto" w:fill="FFFFFF"/>
            <w:vAlign w:val="bottom"/>
          </w:tcPr>
          <w:p w14:paraId="279DED29" w14:textId="15F0537F" w:rsidR="003E5AC5" w:rsidRPr="00604C75" w:rsidRDefault="00196A0E" w:rsidP="003E5AC5">
            <w:pPr>
              <w:tabs>
                <w:tab w:val="left" w:pos="0"/>
              </w:tabs>
              <w:spacing w:line="216" w:lineRule="auto"/>
              <w:rPr>
                <w:sz w:val="18"/>
              </w:rPr>
            </w:pPr>
            <w:r>
              <w:rPr>
                <w:b/>
                <w:sz w:val="18"/>
                <w:szCs w:val="18"/>
              </w:rPr>
              <w:t xml:space="preserve">Fees and Commissions Received </w:t>
            </w:r>
            <w:r w:rsidR="003E5AC5" w:rsidRPr="00604C75">
              <w:rPr>
                <w:b/>
                <w:sz w:val="18"/>
                <w:szCs w:val="18"/>
              </w:rPr>
              <w:t>Other</w:t>
            </w:r>
          </w:p>
        </w:tc>
        <w:tc>
          <w:tcPr>
            <w:tcW w:w="1657" w:type="dxa"/>
            <w:tcBorders>
              <w:top w:val="double" w:sz="4" w:space="0" w:color="auto"/>
              <w:left w:val="dotted" w:sz="4" w:space="0" w:color="auto"/>
              <w:bottom w:val="dotted" w:sz="4" w:space="0" w:color="auto"/>
              <w:right w:val="dotted" w:sz="4" w:space="0" w:color="auto"/>
            </w:tcBorders>
            <w:vAlign w:val="bottom"/>
          </w:tcPr>
          <w:p w14:paraId="70A00B25" w14:textId="77777777" w:rsidR="003E5AC5" w:rsidRPr="00604C75" w:rsidRDefault="003E5AC5" w:rsidP="003E5AC5">
            <w:pPr>
              <w:tabs>
                <w:tab w:val="left" w:pos="0"/>
              </w:tabs>
              <w:jc w:val="center"/>
              <w:rPr>
                <w:b/>
                <w:bCs/>
                <w:sz w:val="18"/>
              </w:rPr>
            </w:pPr>
            <w:r>
              <w:rPr>
                <w:b/>
                <w:snapToGrid w:val="0"/>
                <w:sz w:val="18"/>
              </w:rPr>
              <w:t>31 December</w:t>
            </w:r>
            <w:r w:rsidRPr="00604C75">
              <w:rPr>
                <w:b/>
                <w:snapToGrid w:val="0"/>
                <w:sz w:val="18"/>
              </w:rPr>
              <w:t xml:space="preserve"> 2015</w:t>
            </w:r>
          </w:p>
        </w:tc>
        <w:tc>
          <w:tcPr>
            <w:tcW w:w="1506" w:type="dxa"/>
            <w:tcBorders>
              <w:top w:val="double" w:sz="4" w:space="0" w:color="auto"/>
              <w:left w:val="dotted" w:sz="4" w:space="0" w:color="auto"/>
              <w:bottom w:val="dotted" w:sz="4" w:space="0" w:color="auto"/>
              <w:right w:val="double" w:sz="4" w:space="0" w:color="auto"/>
            </w:tcBorders>
            <w:vAlign w:val="bottom"/>
          </w:tcPr>
          <w:p w14:paraId="46D86EB2" w14:textId="2D723676" w:rsidR="003E5AC5" w:rsidRPr="00604C75" w:rsidRDefault="003E5AC5" w:rsidP="003E5AC5">
            <w:pPr>
              <w:tabs>
                <w:tab w:val="left" w:pos="0"/>
              </w:tabs>
              <w:jc w:val="center"/>
              <w:rPr>
                <w:b/>
                <w:bCs/>
                <w:sz w:val="18"/>
              </w:rPr>
            </w:pPr>
            <w:r>
              <w:rPr>
                <w:b/>
                <w:snapToGrid w:val="0"/>
                <w:sz w:val="18"/>
              </w:rPr>
              <w:t>31</w:t>
            </w:r>
            <w:r w:rsidRPr="00604C75">
              <w:rPr>
                <w:b/>
                <w:snapToGrid w:val="0"/>
                <w:sz w:val="18"/>
              </w:rPr>
              <w:t xml:space="preserve"> </w:t>
            </w:r>
            <w:r>
              <w:rPr>
                <w:b/>
                <w:snapToGrid w:val="0"/>
                <w:sz w:val="18"/>
              </w:rPr>
              <w:t>December</w:t>
            </w:r>
            <w:r w:rsidRPr="00604C75">
              <w:rPr>
                <w:b/>
                <w:snapToGrid w:val="0"/>
                <w:sz w:val="18"/>
              </w:rPr>
              <w:t xml:space="preserve"> 2014</w:t>
            </w:r>
          </w:p>
        </w:tc>
      </w:tr>
      <w:tr w:rsidR="00224102" w:rsidRPr="00604C75" w14:paraId="079A8254" w14:textId="77777777"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14:paraId="51BDAFF3" w14:textId="11A01121" w:rsidR="00224102" w:rsidRPr="00604C75" w:rsidRDefault="00224102" w:rsidP="00224102">
            <w:pPr>
              <w:spacing w:line="211" w:lineRule="auto"/>
              <w:ind w:firstLine="157"/>
              <w:rPr>
                <w:sz w:val="18"/>
                <w:szCs w:val="18"/>
              </w:rPr>
            </w:pPr>
            <w:r w:rsidRPr="00604C75">
              <w:rPr>
                <w:rFonts w:eastAsia="Arial Unicode MS"/>
                <w:sz w:val="18"/>
                <w:szCs w:val="18"/>
              </w:rPr>
              <w:t xml:space="preserve">Insurance </w:t>
            </w:r>
            <w:r>
              <w:rPr>
                <w:rFonts w:eastAsia="Arial Unicode MS"/>
                <w:sz w:val="18"/>
                <w:szCs w:val="18"/>
              </w:rPr>
              <w:t>C</w:t>
            </w:r>
            <w:r w:rsidRPr="00604C75">
              <w:rPr>
                <w:rFonts w:eastAsia="Arial Unicode MS"/>
                <w:sz w:val="18"/>
                <w:szCs w:val="18"/>
              </w:rPr>
              <w:t>ommissions</w:t>
            </w:r>
          </w:p>
        </w:tc>
        <w:tc>
          <w:tcPr>
            <w:tcW w:w="1657" w:type="dxa"/>
            <w:tcBorders>
              <w:top w:val="dotted" w:sz="4" w:space="0" w:color="auto"/>
              <w:left w:val="dotted" w:sz="4" w:space="0" w:color="auto"/>
              <w:bottom w:val="dotted" w:sz="4" w:space="0" w:color="auto"/>
              <w:right w:val="dotted" w:sz="4" w:space="0" w:color="auto"/>
            </w:tcBorders>
            <w:vAlign w:val="bottom"/>
          </w:tcPr>
          <w:p w14:paraId="7513D11F" w14:textId="7E27A619" w:rsidR="00224102" w:rsidRPr="00692926" w:rsidRDefault="00224102" w:rsidP="00224102">
            <w:pPr>
              <w:tabs>
                <w:tab w:val="left" w:pos="0"/>
              </w:tabs>
              <w:jc w:val="right"/>
              <w:rPr>
                <w:sz w:val="18"/>
                <w:szCs w:val="18"/>
              </w:rPr>
            </w:pPr>
            <w:r>
              <w:rPr>
                <w:sz w:val="18"/>
                <w:szCs w:val="18"/>
              </w:rPr>
              <w:t>3,076</w:t>
            </w:r>
          </w:p>
        </w:tc>
        <w:tc>
          <w:tcPr>
            <w:tcW w:w="1506" w:type="dxa"/>
            <w:tcBorders>
              <w:top w:val="dotted" w:sz="4" w:space="0" w:color="auto"/>
              <w:left w:val="dotted" w:sz="4" w:space="0" w:color="auto"/>
              <w:bottom w:val="dotted" w:sz="4" w:space="0" w:color="auto"/>
              <w:right w:val="double" w:sz="4" w:space="0" w:color="auto"/>
            </w:tcBorders>
            <w:vAlign w:val="bottom"/>
          </w:tcPr>
          <w:p w14:paraId="144A75EB" w14:textId="1A72AD0B" w:rsidR="00224102" w:rsidRPr="00692926" w:rsidRDefault="00224102" w:rsidP="00224102">
            <w:pPr>
              <w:spacing w:line="211" w:lineRule="auto"/>
              <w:ind w:right="23"/>
              <w:jc w:val="right"/>
              <w:rPr>
                <w:sz w:val="18"/>
                <w:szCs w:val="18"/>
              </w:rPr>
            </w:pPr>
            <w:r>
              <w:rPr>
                <w:sz w:val="18"/>
                <w:szCs w:val="18"/>
              </w:rPr>
              <w:t>4,053</w:t>
            </w:r>
          </w:p>
        </w:tc>
      </w:tr>
      <w:tr w:rsidR="00224102" w:rsidRPr="00604C75" w14:paraId="7AE70C8E" w14:textId="77777777"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14:paraId="4D868EB5" w14:textId="79E02ABC" w:rsidR="00224102" w:rsidRPr="00604C75" w:rsidRDefault="00224102" w:rsidP="00224102">
            <w:pPr>
              <w:spacing w:line="211" w:lineRule="auto"/>
              <w:ind w:firstLine="157"/>
              <w:rPr>
                <w:sz w:val="18"/>
                <w:szCs w:val="18"/>
              </w:rPr>
            </w:pPr>
            <w:r w:rsidRPr="00604C75">
              <w:rPr>
                <w:sz w:val="18"/>
                <w:szCs w:val="18"/>
              </w:rPr>
              <w:t xml:space="preserve">Account </w:t>
            </w:r>
            <w:r>
              <w:rPr>
                <w:sz w:val="18"/>
                <w:szCs w:val="18"/>
              </w:rPr>
              <w:t>M</w:t>
            </w:r>
            <w:r w:rsidRPr="00604C75">
              <w:rPr>
                <w:sz w:val="18"/>
                <w:szCs w:val="18"/>
              </w:rPr>
              <w:t xml:space="preserve">anagement </w:t>
            </w:r>
            <w:r>
              <w:rPr>
                <w:sz w:val="18"/>
                <w:szCs w:val="18"/>
              </w:rPr>
              <w:t>F</w:t>
            </w:r>
            <w:r w:rsidRPr="00604C75">
              <w:rPr>
                <w:sz w:val="18"/>
                <w:szCs w:val="18"/>
              </w:rPr>
              <w:t xml:space="preserve">ee </w:t>
            </w:r>
            <w:r>
              <w:rPr>
                <w:sz w:val="18"/>
                <w:szCs w:val="18"/>
              </w:rPr>
              <w:t>C</w:t>
            </w:r>
            <w:r w:rsidRPr="00604C75">
              <w:rPr>
                <w:sz w:val="18"/>
                <w:szCs w:val="18"/>
              </w:rPr>
              <w:t>ommission</w:t>
            </w:r>
          </w:p>
        </w:tc>
        <w:tc>
          <w:tcPr>
            <w:tcW w:w="1657" w:type="dxa"/>
            <w:tcBorders>
              <w:top w:val="dotted" w:sz="4" w:space="0" w:color="auto"/>
              <w:left w:val="dotted" w:sz="4" w:space="0" w:color="auto"/>
              <w:bottom w:val="dotted" w:sz="4" w:space="0" w:color="auto"/>
              <w:right w:val="dotted" w:sz="4" w:space="0" w:color="auto"/>
            </w:tcBorders>
            <w:vAlign w:val="bottom"/>
          </w:tcPr>
          <w:p w14:paraId="3E1D8674" w14:textId="13566639" w:rsidR="00224102" w:rsidRPr="00692926" w:rsidRDefault="00224102" w:rsidP="00224102">
            <w:pPr>
              <w:tabs>
                <w:tab w:val="left" w:pos="0"/>
              </w:tabs>
              <w:jc w:val="right"/>
              <w:rPr>
                <w:sz w:val="18"/>
                <w:szCs w:val="18"/>
              </w:rPr>
            </w:pPr>
            <w:r>
              <w:rPr>
                <w:sz w:val="18"/>
                <w:szCs w:val="18"/>
              </w:rPr>
              <w:t>2,591</w:t>
            </w:r>
          </w:p>
        </w:tc>
        <w:tc>
          <w:tcPr>
            <w:tcW w:w="1506" w:type="dxa"/>
            <w:tcBorders>
              <w:top w:val="dotted" w:sz="4" w:space="0" w:color="auto"/>
              <w:left w:val="dotted" w:sz="4" w:space="0" w:color="auto"/>
              <w:bottom w:val="dotted" w:sz="4" w:space="0" w:color="auto"/>
              <w:right w:val="double" w:sz="4" w:space="0" w:color="auto"/>
            </w:tcBorders>
            <w:vAlign w:val="bottom"/>
          </w:tcPr>
          <w:p w14:paraId="0DBBDBAC" w14:textId="2E4574AA" w:rsidR="00224102" w:rsidRPr="00692926" w:rsidRDefault="00224102" w:rsidP="00224102">
            <w:pPr>
              <w:spacing w:line="211" w:lineRule="auto"/>
              <w:ind w:right="23"/>
              <w:jc w:val="right"/>
              <w:rPr>
                <w:sz w:val="18"/>
                <w:szCs w:val="18"/>
              </w:rPr>
            </w:pPr>
            <w:r>
              <w:rPr>
                <w:sz w:val="18"/>
                <w:szCs w:val="18"/>
              </w:rPr>
              <w:t>4,635</w:t>
            </w:r>
          </w:p>
        </w:tc>
      </w:tr>
      <w:tr w:rsidR="00224102" w:rsidRPr="00604C75" w14:paraId="3002CF07" w14:textId="77777777"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14:paraId="0CD990D6" w14:textId="27D47133" w:rsidR="00224102" w:rsidRPr="00604C75" w:rsidRDefault="00224102" w:rsidP="00224102">
            <w:pPr>
              <w:spacing w:line="211" w:lineRule="auto"/>
              <w:ind w:firstLine="157"/>
              <w:rPr>
                <w:sz w:val="18"/>
                <w:szCs w:val="18"/>
              </w:rPr>
            </w:pPr>
            <w:r w:rsidRPr="00604C75">
              <w:rPr>
                <w:sz w:val="18"/>
                <w:szCs w:val="18"/>
              </w:rPr>
              <w:t xml:space="preserve">Transfer </w:t>
            </w:r>
            <w:r>
              <w:rPr>
                <w:sz w:val="18"/>
                <w:szCs w:val="18"/>
              </w:rPr>
              <w:t>C</w:t>
            </w:r>
            <w:r w:rsidRPr="00604C75">
              <w:rPr>
                <w:sz w:val="18"/>
                <w:szCs w:val="18"/>
              </w:rPr>
              <w:t>ommissions</w:t>
            </w:r>
          </w:p>
        </w:tc>
        <w:tc>
          <w:tcPr>
            <w:tcW w:w="1657" w:type="dxa"/>
            <w:tcBorders>
              <w:top w:val="dotted" w:sz="4" w:space="0" w:color="auto"/>
              <w:left w:val="dotted" w:sz="4" w:space="0" w:color="auto"/>
              <w:bottom w:val="dotted" w:sz="4" w:space="0" w:color="auto"/>
              <w:right w:val="dotted" w:sz="4" w:space="0" w:color="auto"/>
            </w:tcBorders>
            <w:vAlign w:val="bottom"/>
          </w:tcPr>
          <w:p w14:paraId="11960EED" w14:textId="4FAAB8F6" w:rsidR="00224102" w:rsidRPr="00692926" w:rsidRDefault="00224102" w:rsidP="00224102">
            <w:pPr>
              <w:tabs>
                <w:tab w:val="left" w:pos="0"/>
              </w:tabs>
              <w:jc w:val="right"/>
              <w:rPr>
                <w:sz w:val="18"/>
                <w:szCs w:val="18"/>
              </w:rPr>
            </w:pPr>
            <w:r>
              <w:rPr>
                <w:sz w:val="18"/>
                <w:szCs w:val="18"/>
              </w:rPr>
              <w:t>1,951</w:t>
            </w:r>
          </w:p>
        </w:tc>
        <w:tc>
          <w:tcPr>
            <w:tcW w:w="1506" w:type="dxa"/>
            <w:tcBorders>
              <w:top w:val="dotted" w:sz="4" w:space="0" w:color="auto"/>
              <w:left w:val="dotted" w:sz="4" w:space="0" w:color="auto"/>
              <w:bottom w:val="dotted" w:sz="4" w:space="0" w:color="auto"/>
              <w:right w:val="double" w:sz="4" w:space="0" w:color="auto"/>
            </w:tcBorders>
            <w:vAlign w:val="bottom"/>
          </w:tcPr>
          <w:p w14:paraId="44C761E1" w14:textId="3BB23B9E" w:rsidR="00224102" w:rsidRPr="00692926" w:rsidRDefault="00224102" w:rsidP="00224102">
            <w:pPr>
              <w:spacing w:line="211" w:lineRule="auto"/>
              <w:ind w:right="23"/>
              <w:jc w:val="right"/>
              <w:rPr>
                <w:sz w:val="18"/>
                <w:szCs w:val="18"/>
              </w:rPr>
            </w:pPr>
            <w:r>
              <w:rPr>
                <w:sz w:val="18"/>
                <w:szCs w:val="18"/>
              </w:rPr>
              <w:t>2,593</w:t>
            </w:r>
          </w:p>
        </w:tc>
      </w:tr>
      <w:tr w:rsidR="00224102" w:rsidRPr="00604C75" w14:paraId="18046D9D" w14:textId="77777777"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FFFFFF"/>
            <w:vAlign w:val="bottom"/>
          </w:tcPr>
          <w:p w14:paraId="76CD14A9" w14:textId="1C077198" w:rsidR="00224102" w:rsidRPr="00604C75" w:rsidRDefault="00224102" w:rsidP="00224102">
            <w:pPr>
              <w:spacing w:line="211" w:lineRule="auto"/>
              <w:ind w:firstLine="157"/>
              <w:rPr>
                <w:sz w:val="18"/>
                <w:szCs w:val="18"/>
              </w:rPr>
            </w:pPr>
            <w:r w:rsidRPr="00604C75">
              <w:rPr>
                <w:sz w:val="18"/>
                <w:szCs w:val="18"/>
              </w:rPr>
              <w:t xml:space="preserve">Expertise </w:t>
            </w:r>
            <w:r>
              <w:rPr>
                <w:sz w:val="18"/>
                <w:szCs w:val="18"/>
              </w:rPr>
              <w:t>C</w:t>
            </w:r>
            <w:r w:rsidRPr="00604C75">
              <w:rPr>
                <w:sz w:val="18"/>
                <w:szCs w:val="18"/>
              </w:rPr>
              <w:t>ommissions</w:t>
            </w:r>
          </w:p>
        </w:tc>
        <w:tc>
          <w:tcPr>
            <w:tcW w:w="1657" w:type="dxa"/>
            <w:tcBorders>
              <w:top w:val="dotted" w:sz="4" w:space="0" w:color="auto"/>
              <w:left w:val="dotted" w:sz="4" w:space="0" w:color="auto"/>
              <w:bottom w:val="dotted" w:sz="4" w:space="0" w:color="auto"/>
              <w:right w:val="dotted" w:sz="4" w:space="0" w:color="auto"/>
            </w:tcBorders>
            <w:vAlign w:val="bottom"/>
          </w:tcPr>
          <w:p w14:paraId="349E7E6C" w14:textId="5B40A6B6" w:rsidR="00224102" w:rsidRPr="00692926" w:rsidRDefault="00224102" w:rsidP="00224102">
            <w:pPr>
              <w:tabs>
                <w:tab w:val="left" w:pos="0"/>
              </w:tabs>
              <w:jc w:val="right"/>
              <w:rPr>
                <w:sz w:val="18"/>
                <w:szCs w:val="18"/>
              </w:rPr>
            </w:pPr>
            <w:r>
              <w:rPr>
                <w:sz w:val="18"/>
                <w:szCs w:val="18"/>
              </w:rPr>
              <w:t>1,839</w:t>
            </w:r>
          </w:p>
        </w:tc>
        <w:tc>
          <w:tcPr>
            <w:tcW w:w="1506" w:type="dxa"/>
            <w:tcBorders>
              <w:top w:val="dotted" w:sz="4" w:space="0" w:color="auto"/>
              <w:left w:val="dotted" w:sz="4" w:space="0" w:color="auto"/>
              <w:bottom w:val="dotted" w:sz="4" w:space="0" w:color="auto"/>
              <w:right w:val="double" w:sz="4" w:space="0" w:color="auto"/>
            </w:tcBorders>
            <w:vAlign w:val="bottom"/>
          </w:tcPr>
          <w:p w14:paraId="3F64C5C8" w14:textId="2B8BF530" w:rsidR="00224102" w:rsidRPr="00692926" w:rsidRDefault="00224102" w:rsidP="00224102">
            <w:pPr>
              <w:spacing w:line="211" w:lineRule="auto"/>
              <w:ind w:right="23"/>
              <w:jc w:val="right"/>
              <w:rPr>
                <w:sz w:val="18"/>
                <w:szCs w:val="18"/>
              </w:rPr>
            </w:pPr>
            <w:r>
              <w:rPr>
                <w:sz w:val="18"/>
                <w:szCs w:val="18"/>
              </w:rPr>
              <w:t>3,638</w:t>
            </w:r>
          </w:p>
        </w:tc>
      </w:tr>
      <w:tr w:rsidR="00224102" w:rsidRPr="00604C75" w14:paraId="16233533" w14:textId="77777777" w:rsidTr="00FA5885">
        <w:trPr>
          <w:trHeight w:val="230"/>
        </w:trPr>
        <w:tc>
          <w:tcPr>
            <w:tcW w:w="5682" w:type="dxa"/>
            <w:tcBorders>
              <w:top w:val="dotted" w:sz="4" w:space="0" w:color="auto"/>
              <w:left w:val="double" w:sz="4" w:space="0" w:color="auto"/>
              <w:bottom w:val="dotted" w:sz="4" w:space="0" w:color="auto"/>
              <w:right w:val="dotted" w:sz="4" w:space="0" w:color="auto"/>
            </w:tcBorders>
            <w:shd w:val="clear" w:color="auto" w:fill="auto"/>
            <w:vAlign w:val="bottom"/>
          </w:tcPr>
          <w:p w14:paraId="7CEDDF59" w14:textId="649D934E" w:rsidR="00224102" w:rsidRPr="00604C75" w:rsidRDefault="00224102" w:rsidP="00224102">
            <w:pPr>
              <w:spacing w:line="216" w:lineRule="auto"/>
              <w:ind w:firstLine="157"/>
              <w:rPr>
                <w:rFonts w:eastAsia="Arial Unicode MS"/>
                <w:sz w:val="18"/>
                <w:szCs w:val="18"/>
              </w:rPr>
            </w:pPr>
            <w:r w:rsidRPr="00604C75">
              <w:rPr>
                <w:rFonts w:eastAsia="Arial Unicode MS"/>
                <w:sz w:val="18"/>
                <w:szCs w:val="18"/>
              </w:rPr>
              <w:t>Other</w:t>
            </w:r>
            <w:r>
              <w:rPr>
                <w:rFonts w:eastAsia="Arial Unicode MS"/>
                <w:sz w:val="18"/>
                <w:szCs w:val="18"/>
              </w:rPr>
              <w:t xml:space="preserve"> </w:t>
            </w:r>
            <w:r>
              <w:rPr>
                <w:sz w:val="18"/>
                <w:szCs w:val="18"/>
                <w:vertAlign w:val="superscript"/>
              </w:rPr>
              <w:t>(*)</w:t>
            </w:r>
          </w:p>
        </w:tc>
        <w:tc>
          <w:tcPr>
            <w:tcW w:w="1657" w:type="dxa"/>
            <w:tcBorders>
              <w:top w:val="dotted" w:sz="4" w:space="0" w:color="auto"/>
              <w:left w:val="dotted" w:sz="4" w:space="0" w:color="auto"/>
              <w:bottom w:val="dotted" w:sz="4" w:space="0" w:color="auto"/>
              <w:right w:val="dotted" w:sz="4" w:space="0" w:color="auto"/>
            </w:tcBorders>
            <w:vAlign w:val="bottom"/>
          </w:tcPr>
          <w:p w14:paraId="4C9E45D4" w14:textId="3AF98F23" w:rsidR="00224102" w:rsidRPr="00692926" w:rsidRDefault="00224102" w:rsidP="00224102">
            <w:pPr>
              <w:tabs>
                <w:tab w:val="left" w:pos="0"/>
              </w:tabs>
              <w:jc w:val="right"/>
              <w:rPr>
                <w:bCs/>
                <w:sz w:val="18"/>
                <w:szCs w:val="18"/>
              </w:rPr>
            </w:pPr>
            <w:r>
              <w:rPr>
                <w:bCs/>
                <w:sz w:val="18"/>
                <w:szCs w:val="18"/>
              </w:rPr>
              <w:t>37,663</w:t>
            </w:r>
          </w:p>
        </w:tc>
        <w:tc>
          <w:tcPr>
            <w:tcW w:w="1506" w:type="dxa"/>
            <w:tcBorders>
              <w:top w:val="dotted" w:sz="4" w:space="0" w:color="auto"/>
              <w:left w:val="dotted" w:sz="4" w:space="0" w:color="auto"/>
              <w:bottom w:val="dotted" w:sz="4" w:space="0" w:color="auto"/>
              <w:right w:val="double" w:sz="4" w:space="0" w:color="auto"/>
            </w:tcBorders>
            <w:vAlign w:val="bottom"/>
          </w:tcPr>
          <w:p w14:paraId="6EE9B074" w14:textId="5E1994A3" w:rsidR="00224102" w:rsidRPr="00692926" w:rsidRDefault="00224102" w:rsidP="00224102">
            <w:pPr>
              <w:ind w:right="23"/>
              <w:jc w:val="right"/>
              <w:rPr>
                <w:sz w:val="18"/>
                <w:szCs w:val="18"/>
              </w:rPr>
            </w:pPr>
            <w:r>
              <w:rPr>
                <w:sz w:val="18"/>
                <w:szCs w:val="18"/>
              </w:rPr>
              <w:t>20,655</w:t>
            </w:r>
          </w:p>
        </w:tc>
      </w:tr>
      <w:tr w:rsidR="00224102" w:rsidRPr="00604C75" w14:paraId="147D4E69" w14:textId="77777777" w:rsidTr="00FA5885">
        <w:trPr>
          <w:trHeight w:val="230"/>
        </w:trPr>
        <w:tc>
          <w:tcPr>
            <w:tcW w:w="5682" w:type="dxa"/>
            <w:tcBorders>
              <w:top w:val="dotted" w:sz="4" w:space="0" w:color="auto"/>
              <w:left w:val="double" w:sz="4" w:space="0" w:color="auto"/>
              <w:bottom w:val="double" w:sz="4" w:space="0" w:color="auto"/>
              <w:right w:val="dotted" w:sz="4" w:space="0" w:color="auto"/>
            </w:tcBorders>
            <w:shd w:val="clear" w:color="auto" w:fill="FFFFFF"/>
            <w:vAlign w:val="bottom"/>
          </w:tcPr>
          <w:p w14:paraId="5FBC9E19" w14:textId="77777777" w:rsidR="00224102" w:rsidRPr="00604C75" w:rsidRDefault="00224102" w:rsidP="00224102">
            <w:pPr>
              <w:spacing w:line="216" w:lineRule="auto"/>
              <w:rPr>
                <w:rFonts w:eastAsia="Arial Unicode MS"/>
                <w:b/>
                <w:sz w:val="18"/>
                <w:szCs w:val="18"/>
              </w:rPr>
            </w:pPr>
            <w:r w:rsidRPr="00604C75">
              <w:rPr>
                <w:rFonts w:eastAsia="Arial Unicode MS"/>
                <w:b/>
                <w:sz w:val="18"/>
                <w:szCs w:val="18"/>
              </w:rPr>
              <w:t>Total</w:t>
            </w:r>
          </w:p>
        </w:tc>
        <w:tc>
          <w:tcPr>
            <w:tcW w:w="1657" w:type="dxa"/>
            <w:tcBorders>
              <w:top w:val="dotted" w:sz="4" w:space="0" w:color="auto"/>
              <w:left w:val="dotted" w:sz="4" w:space="0" w:color="auto"/>
              <w:bottom w:val="double" w:sz="4" w:space="0" w:color="auto"/>
              <w:right w:val="dotted" w:sz="4" w:space="0" w:color="auto"/>
            </w:tcBorders>
            <w:vAlign w:val="bottom"/>
          </w:tcPr>
          <w:p w14:paraId="620A043D" w14:textId="30602B0D" w:rsidR="00224102" w:rsidRPr="00692926" w:rsidRDefault="00224102" w:rsidP="00224102">
            <w:pPr>
              <w:tabs>
                <w:tab w:val="left" w:pos="0"/>
              </w:tabs>
              <w:jc w:val="right"/>
              <w:rPr>
                <w:b/>
                <w:bCs/>
                <w:sz w:val="18"/>
                <w:szCs w:val="18"/>
              </w:rPr>
            </w:pPr>
            <w:r>
              <w:rPr>
                <w:b/>
                <w:bCs/>
                <w:sz w:val="18"/>
                <w:szCs w:val="18"/>
              </w:rPr>
              <w:t>47,120</w:t>
            </w:r>
          </w:p>
        </w:tc>
        <w:tc>
          <w:tcPr>
            <w:tcW w:w="1506" w:type="dxa"/>
            <w:tcBorders>
              <w:top w:val="dotted" w:sz="4" w:space="0" w:color="auto"/>
              <w:left w:val="dotted" w:sz="4" w:space="0" w:color="auto"/>
              <w:bottom w:val="double" w:sz="4" w:space="0" w:color="auto"/>
              <w:right w:val="double" w:sz="4" w:space="0" w:color="auto"/>
            </w:tcBorders>
            <w:vAlign w:val="bottom"/>
          </w:tcPr>
          <w:p w14:paraId="35518C3A" w14:textId="326740D9" w:rsidR="00224102" w:rsidRPr="00692926" w:rsidRDefault="00224102" w:rsidP="00224102">
            <w:pPr>
              <w:ind w:right="23"/>
              <w:jc w:val="right"/>
              <w:rPr>
                <w:b/>
                <w:sz w:val="18"/>
                <w:szCs w:val="18"/>
              </w:rPr>
            </w:pPr>
            <w:r>
              <w:rPr>
                <w:b/>
                <w:sz w:val="18"/>
                <w:szCs w:val="18"/>
              </w:rPr>
              <w:t>35,574</w:t>
            </w:r>
          </w:p>
        </w:tc>
      </w:tr>
    </w:tbl>
    <w:p w14:paraId="2635D49C" w14:textId="3E37A049" w:rsidR="00FD7B47" w:rsidRDefault="00FD7B47" w:rsidP="00CD0767">
      <w:pPr>
        <w:pStyle w:val="BodyTextIndent"/>
        <w:spacing w:before="60" w:after="0"/>
        <w:ind w:left="142"/>
        <w:rPr>
          <w:sz w:val="16"/>
          <w:szCs w:val="16"/>
        </w:rPr>
      </w:pPr>
      <w:r>
        <w:rPr>
          <w:sz w:val="18"/>
          <w:szCs w:val="18"/>
          <w:vertAlign w:val="superscript"/>
        </w:rPr>
        <w:t>(*)</w:t>
      </w:r>
      <w:r>
        <w:rPr>
          <w:sz w:val="16"/>
          <w:szCs w:val="16"/>
        </w:rPr>
        <w:t xml:space="preserve"> TL 23,380 of t</w:t>
      </w:r>
      <w:r w:rsidR="00196A0E">
        <w:rPr>
          <w:sz w:val="16"/>
          <w:szCs w:val="16"/>
        </w:rPr>
        <w:t>his account, consist of guarantee</w:t>
      </w:r>
      <w:r>
        <w:rPr>
          <w:sz w:val="16"/>
          <w:szCs w:val="16"/>
        </w:rPr>
        <w:t xml:space="preserve"> fees.</w:t>
      </w:r>
    </w:p>
    <w:p w14:paraId="3C96D3D9" w14:textId="1D14F70D" w:rsidR="006D742D" w:rsidRPr="00604C75" w:rsidRDefault="00C224D9" w:rsidP="00832C36">
      <w:pPr>
        <w:tabs>
          <w:tab w:val="left" w:pos="0"/>
        </w:tabs>
        <w:spacing w:before="120"/>
        <w:rPr>
          <w:b/>
          <w:sz w:val="20"/>
          <w:szCs w:val="20"/>
        </w:rPr>
      </w:pPr>
      <w:r w:rsidRPr="00604C75">
        <w:rPr>
          <w:b/>
          <w:sz w:val="20"/>
          <w:szCs w:val="20"/>
        </w:rPr>
        <w:t xml:space="preserve">   </w:t>
      </w:r>
      <w:r w:rsidR="00832C36">
        <w:rPr>
          <w:b/>
          <w:sz w:val="20"/>
          <w:szCs w:val="20"/>
        </w:rPr>
        <w:t>l</w:t>
      </w:r>
      <w:r w:rsidR="006D742D" w:rsidRPr="00604C75">
        <w:rPr>
          <w:b/>
          <w:sz w:val="20"/>
          <w:szCs w:val="20"/>
        </w:rPr>
        <w:t>.</w:t>
      </w:r>
      <w:r w:rsidR="006D742D" w:rsidRPr="00604C75">
        <w:rPr>
          <w:b/>
          <w:sz w:val="20"/>
          <w:szCs w:val="20"/>
        </w:rPr>
        <w:tab/>
      </w:r>
      <w:r w:rsidR="001D0294" w:rsidRPr="00604C75">
        <w:rPr>
          <w:b/>
          <w:sz w:val="20"/>
          <w:szCs w:val="20"/>
        </w:rPr>
        <w:t>Profit or loss attributable to minority shares</w:t>
      </w:r>
    </w:p>
    <w:tbl>
      <w:tblPr>
        <w:tblpPr w:leftFromText="141" w:rightFromText="141" w:vertAnchor="text" w:horzAnchor="margin" w:tblpX="157" w:tblpY="233"/>
        <w:tblW w:w="9047" w:type="dxa"/>
        <w:tblLayout w:type="fixed"/>
        <w:tblCellMar>
          <w:left w:w="0" w:type="dxa"/>
          <w:right w:w="0" w:type="dxa"/>
        </w:tblCellMar>
        <w:tblLook w:val="0000" w:firstRow="0" w:lastRow="0" w:firstColumn="0" w:lastColumn="0" w:noHBand="0" w:noVBand="0"/>
      </w:tblPr>
      <w:tblGrid>
        <w:gridCol w:w="5949"/>
        <w:gridCol w:w="1597"/>
        <w:gridCol w:w="1501"/>
      </w:tblGrid>
      <w:tr w:rsidR="00D561DF" w:rsidRPr="00604C75" w14:paraId="22C1FF5F" w14:textId="77777777" w:rsidTr="00FA5885">
        <w:trPr>
          <w:cantSplit/>
          <w:trHeight w:val="171"/>
        </w:trPr>
        <w:tc>
          <w:tcPr>
            <w:tcW w:w="5949" w:type="dxa"/>
            <w:tcBorders>
              <w:top w:val="double" w:sz="4" w:space="0" w:color="auto"/>
              <w:left w:val="double" w:sz="4" w:space="0" w:color="auto"/>
              <w:bottom w:val="dotted" w:sz="4" w:space="0" w:color="auto"/>
              <w:right w:val="dotted" w:sz="4" w:space="0" w:color="auto"/>
            </w:tcBorders>
            <w:noWrap/>
            <w:tcMar>
              <w:top w:w="15" w:type="dxa"/>
              <w:left w:w="15" w:type="dxa"/>
              <w:bottom w:w="0" w:type="dxa"/>
              <w:right w:w="15" w:type="dxa"/>
            </w:tcMar>
            <w:vAlign w:val="center"/>
          </w:tcPr>
          <w:p w14:paraId="0149F857" w14:textId="77777777" w:rsidR="00D561DF" w:rsidRPr="00604C75" w:rsidRDefault="00D561DF" w:rsidP="00D561DF">
            <w:pPr>
              <w:rPr>
                <w:rFonts w:eastAsia="Arial Unicode MS"/>
                <w:sz w:val="18"/>
              </w:rPr>
            </w:pPr>
          </w:p>
        </w:tc>
        <w:tc>
          <w:tcPr>
            <w:tcW w:w="1597" w:type="dxa"/>
            <w:tcBorders>
              <w:top w:val="double" w:sz="4" w:space="0" w:color="auto"/>
              <w:left w:val="dotted" w:sz="4" w:space="0" w:color="auto"/>
              <w:bottom w:val="dotted" w:sz="4" w:space="0" w:color="auto"/>
              <w:right w:val="dotted" w:sz="4" w:space="0" w:color="auto"/>
            </w:tcBorders>
            <w:vAlign w:val="bottom"/>
          </w:tcPr>
          <w:p w14:paraId="0DC8C02E" w14:textId="77777777" w:rsidR="00D561DF" w:rsidRPr="00604C75" w:rsidRDefault="00D561DF" w:rsidP="00D561DF">
            <w:pPr>
              <w:tabs>
                <w:tab w:val="left" w:pos="0"/>
              </w:tabs>
              <w:jc w:val="center"/>
              <w:rPr>
                <w:b/>
                <w:bCs/>
                <w:sz w:val="18"/>
              </w:rPr>
            </w:pPr>
            <w:r>
              <w:rPr>
                <w:b/>
                <w:snapToGrid w:val="0"/>
                <w:sz w:val="18"/>
              </w:rPr>
              <w:t>31 December</w:t>
            </w:r>
            <w:r w:rsidRPr="00604C75">
              <w:rPr>
                <w:b/>
                <w:snapToGrid w:val="0"/>
                <w:sz w:val="18"/>
              </w:rPr>
              <w:t xml:space="preserve"> 2015</w:t>
            </w:r>
          </w:p>
        </w:tc>
        <w:tc>
          <w:tcPr>
            <w:tcW w:w="1501" w:type="dxa"/>
            <w:tcBorders>
              <w:top w:val="double" w:sz="4" w:space="0" w:color="auto"/>
              <w:left w:val="dotted" w:sz="4" w:space="0" w:color="auto"/>
              <w:bottom w:val="dotted" w:sz="4" w:space="0" w:color="auto"/>
              <w:right w:val="double" w:sz="4" w:space="0" w:color="auto"/>
            </w:tcBorders>
            <w:noWrap/>
            <w:tcMar>
              <w:top w:w="15" w:type="dxa"/>
              <w:left w:w="15" w:type="dxa"/>
              <w:bottom w:w="0" w:type="dxa"/>
              <w:right w:w="15" w:type="dxa"/>
            </w:tcMar>
            <w:vAlign w:val="bottom"/>
          </w:tcPr>
          <w:p w14:paraId="69815C62" w14:textId="0C29154B" w:rsidR="00D561DF" w:rsidRPr="00604C75" w:rsidRDefault="00D561DF" w:rsidP="00D561DF">
            <w:pPr>
              <w:tabs>
                <w:tab w:val="left" w:pos="0"/>
              </w:tabs>
              <w:rPr>
                <w:b/>
                <w:bCs/>
                <w:sz w:val="18"/>
              </w:rPr>
            </w:pPr>
            <w:r>
              <w:rPr>
                <w:b/>
                <w:snapToGrid w:val="0"/>
                <w:sz w:val="18"/>
              </w:rPr>
              <w:t>31</w:t>
            </w:r>
            <w:r w:rsidRPr="00604C75">
              <w:rPr>
                <w:b/>
                <w:snapToGrid w:val="0"/>
                <w:sz w:val="18"/>
              </w:rPr>
              <w:t xml:space="preserve"> </w:t>
            </w:r>
            <w:r>
              <w:rPr>
                <w:b/>
                <w:snapToGrid w:val="0"/>
                <w:sz w:val="18"/>
              </w:rPr>
              <w:t>December</w:t>
            </w:r>
            <w:r w:rsidRPr="00604C75">
              <w:rPr>
                <w:b/>
                <w:snapToGrid w:val="0"/>
                <w:sz w:val="18"/>
              </w:rPr>
              <w:t xml:space="preserve"> 2014</w:t>
            </w:r>
          </w:p>
        </w:tc>
      </w:tr>
      <w:tr w:rsidR="00FA5885" w:rsidRPr="00604C75" w14:paraId="35A7773E" w14:textId="77777777" w:rsidTr="00FA5885">
        <w:trPr>
          <w:cantSplit/>
          <w:trHeight w:val="171"/>
        </w:trPr>
        <w:tc>
          <w:tcPr>
            <w:tcW w:w="5949" w:type="dxa"/>
            <w:tcBorders>
              <w:top w:val="dotted" w:sz="4" w:space="0" w:color="auto"/>
              <w:left w:val="double" w:sz="4" w:space="0" w:color="auto"/>
              <w:bottom w:val="double" w:sz="4" w:space="0" w:color="auto"/>
              <w:right w:val="dotted" w:sz="4" w:space="0" w:color="auto"/>
            </w:tcBorders>
            <w:noWrap/>
            <w:tcMar>
              <w:top w:w="15" w:type="dxa"/>
              <w:left w:w="15" w:type="dxa"/>
              <w:bottom w:w="0" w:type="dxa"/>
              <w:right w:w="15" w:type="dxa"/>
            </w:tcMar>
            <w:vAlign w:val="center"/>
          </w:tcPr>
          <w:p w14:paraId="076EA08E" w14:textId="292B1B37" w:rsidR="00FA5885" w:rsidRPr="00604C75" w:rsidRDefault="00FA5885" w:rsidP="00C224D9">
            <w:pPr>
              <w:rPr>
                <w:rFonts w:eastAsia="Arial Unicode MS"/>
                <w:strike/>
                <w:sz w:val="18"/>
              </w:rPr>
            </w:pPr>
            <w:r w:rsidRPr="00604C75">
              <w:rPr>
                <w:sz w:val="18"/>
                <w:szCs w:val="18"/>
              </w:rPr>
              <w:t xml:space="preserve">Profit/Loss </w:t>
            </w:r>
            <w:r w:rsidR="00070CCA">
              <w:rPr>
                <w:sz w:val="18"/>
                <w:szCs w:val="18"/>
              </w:rPr>
              <w:t>A</w:t>
            </w:r>
            <w:r w:rsidRPr="00604C75">
              <w:rPr>
                <w:sz w:val="18"/>
                <w:szCs w:val="18"/>
              </w:rPr>
              <w:t xml:space="preserve">ttributable to </w:t>
            </w:r>
            <w:r w:rsidR="00070CCA">
              <w:rPr>
                <w:sz w:val="18"/>
                <w:szCs w:val="18"/>
              </w:rPr>
              <w:t>M</w:t>
            </w:r>
            <w:r w:rsidRPr="00604C75">
              <w:rPr>
                <w:sz w:val="18"/>
                <w:szCs w:val="18"/>
              </w:rPr>
              <w:t xml:space="preserve">inority </w:t>
            </w:r>
            <w:r w:rsidR="00070CCA">
              <w:rPr>
                <w:sz w:val="18"/>
                <w:szCs w:val="18"/>
              </w:rPr>
              <w:t>S</w:t>
            </w:r>
            <w:r w:rsidRPr="00604C75">
              <w:rPr>
                <w:sz w:val="18"/>
                <w:szCs w:val="18"/>
              </w:rPr>
              <w:t>hares</w:t>
            </w:r>
          </w:p>
        </w:tc>
        <w:tc>
          <w:tcPr>
            <w:tcW w:w="1597" w:type="dxa"/>
            <w:tcBorders>
              <w:top w:val="dotted" w:sz="4" w:space="0" w:color="auto"/>
              <w:left w:val="dotted" w:sz="4" w:space="0" w:color="auto"/>
              <w:bottom w:val="double" w:sz="4" w:space="0" w:color="auto"/>
              <w:right w:val="dotted" w:sz="4" w:space="0" w:color="auto"/>
            </w:tcBorders>
            <w:vAlign w:val="bottom"/>
          </w:tcPr>
          <w:p w14:paraId="3A120E2D" w14:textId="77777777" w:rsidR="00FA5885" w:rsidRPr="00692926" w:rsidRDefault="003E5AC5" w:rsidP="00F1171C">
            <w:pPr>
              <w:tabs>
                <w:tab w:val="left" w:pos="0"/>
              </w:tabs>
              <w:ind w:right="16"/>
              <w:jc w:val="right"/>
              <w:rPr>
                <w:rFonts w:eastAsia="Arial Unicode MS"/>
                <w:sz w:val="18"/>
              </w:rPr>
            </w:pPr>
            <w:r>
              <w:rPr>
                <w:rFonts w:eastAsia="Arial Unicode MS"/>
                <w:sz w:val="18"/>
              </w:rPr>
              <w:t>(1)</w:t>
            </w:r>
          </w:p>
        </w:tc>
        <w:tc>
          <w:tcPr>
            <w:tcW w:w="1501" w:type="dxa"/>
            <w:tcBorders>
              <w:top w:val="dotted" w:sz="4" w:space="0" w:color="auto"/>
              <w:left w:val="dotted" w:sz="4" w:space="0" w:color="auto"/>
              <w:bottom w:val="double" w:sz="4" w:space="0" w:color="auto"/>
              <w:right w:val="double" w:sz="4" w:space="0" w:color="auto"/>
            </w:tcBorders>
            <w:noWrap/>
            <w:tcMar>
              <w:top w:w="15" w:type="dxa"/>
              <w:left w:w="15" w:type="dxa"/>
              <w:bottom w:w="0" w:type="dxa"/>
              <w:right w:w="15" w:type="dxa"/>
            </w:tcMar>
            <w:vAlign w:val="bottom"/>
          </w:tcPr>
          <w:p w14:paraId="61B69CBA" w14:textId="77777777" w:rsidR="00FA5885" w:rsidRPr="00692926" w:rsidRDefault="00D561DF" w:rsidP="00F1171C">
            <w:pPr>
              <w:tabs>
                <w:tab w:val="left" w:pos="0"/>
              </w:tabs>
              <w:ind w:right="16"/>
              <w:jc w:val="right"/>
              <w:rPr>
                <w:rFonts w:eastAsia="Arial Unicode MS"/>
                <w:sz w:val="18"/>
              </w:rPr>
            </w:pPr>
            <w:r>
              <w:rPr>
                <w:rFonts w:eastAsia="Arial Unicode MS"/>
                <w:sz w:val="18"/>
              </w:rPr>
              <w:t>232</w:t>
            </w:r>
          </w:p>
        </w:tc>
      </w:tr>
    </w:tbl>
    <w:p w14:paraId="47EF234B" w14:textId="16F7607B" w:rsidR="00061373"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2AF6721D" w14:textId="5CC38347" w:rsidR="00F65142" w:rsidRPr="005C1A95" w:rsidRDefault="00F65142" w:rsidP="008477F3">
      <w:pPr>
        <w:numPr>
          <w:ilvl w:val="0"/>
          <w:numId w:val="27"/>
        </w:numPr>
        <w:tabs>
          <w:tab w:val="clear" w:pos="2340"/>
          <w:tab w:val="left" w:pos="426"/>
          <w:tab w:val="left" w:pos="851"/>
        </w:tabs>
        <w:spacing w:before="120" w:line="223" w:lineRule="auto"/>
        <w:ind w:left="851" w:hanging="860"/>
        <w:jc w:val="both"/>
        <w:rPr>
          <w:b/>
          <w:sz w:val="20"/>
          <w:szCs w:val="20"/>
        </w:rPr>
      </w:pPr>
      <w:r>
        <w:rPr>
          <w:b/>
          <w:sz w:val="20"/>
          <w:szCs w:val="20"/>
        </w:rPr>
        <w:t xml:space="preserve">Explanations </w:t>
      </w:r>
      <w:r w:rsidR="00196A0E">
        <w:rPr>
          <w:b/>
          <w:sz w:val="20"/>
          <w:szCs w:val="20"/>
        </w:rPr>
        <w:t>a</w:t>
      </w:r>
      <w:r>
        <w:rPr>
          <w:b/>
          <w:sz w:val="20"/>
          <w:szCs w:val="20"/>
        </w:rPr>
        <w:t>nd Notes</w:t>
      </w:r>
      <w:r w:rsidRPr="005C1A95">
        <w:rPr>
          <w:b/>
          <w:sz w:val="20"/>
          <w:szCs w:val="20"/>
        </w:rPr>
        <w:t xml:space="preserve"> </w:t>
      </w:r>
      <w:r w:rsidR="00647320">
        <w:rPr>
          <w:b/>
          <w:sz w:val="20"/>
          <w:szCs w:val="20"/>
        </w:rPr>
        <w:t>on</w:t>
      </w:r>
      <w:r w:rsidRPr="005C1A95">
        <w:rPr>
          <w:b/>
          <w:sz w:val="20"/>
          <w:szCs w:val="20"/>
        </w:rPr>
        <w:t xml:space="preserve"> C</w:t>
      </w:r>
      <w:r w:rsidR="00196A0E">
        <w:rPr>
          <w:b/>
          <w:sz w:val="20"/>
          <w:szCs w:val="20"/>
        </w:rPr>
        <w:t>hanges i</w:t>
      </w:r>
      <w:r>
        <w:rPr>
          <w:b/>
          <w:sz w:val="20"/>
          <w:szCs w:val="20"/>
        </w:rPr>
        <w:t>n</w:t>
      </w:r>
      <w:r w:rsidRPr="005C1A95">
        <w:rPr>
          <w:b/>
          <w:sz w:val="20"/>
          <w:szCs w:val="20"/>
        </w:rPr>
        <w:t xml:space="preserve"> S</w:t>
      </w:r>
      <w:r>
        <w:rPr>
          <w:b/>
          <w:sz w:val="20"/>
          <w:szCs w:val="20"/>
        </w:rPr>
        <w:t>hareholders’</w:t>
      </w:r>
      <w:r w:rsidRPr="005C1A95">
        <w:rPr>
          <w:b/>
          <w:sz w:val="20"/>
          <w:szCs w:val="20"/>
        </w:rPr>
        <w:t xml:space="preserve"> E</w:t>
      </w:r>
      <w:r>
        <w:rPr>
          <w:b/>
          <w:sz w:val="20"/>
          <w:szCs w:val="20"/>
        </w:rPr>
        <w:t>quity</w:t>
      </w:r>
    </w:p>
    <w:p w14:paraId="37B53477" w14:textId="77777777" w:rsidR="00F65142" w:rsidRPr="005C1A95" w:rsidRDefault="00F65142" w:rsidP="008477F3">
      <w:pPr>
        <w:pStyle w:val="BodyTextIndent"/>
        <w:numPr>
          <w:ilvl w:val="1"/>
          <w:numId w:val="28"/>
        </w:numPr>
        <w:tabs>
          <w:tab w:val="clear" w:pos="2340"/>
          <w:tab w:val="left" w:pos="0"/>
          <w:tab w:val="left" w:pos="426"/>
        </w:tabs>
        <w:spacing w:before="120" w:after="0" w:line="223" w:lineRule="auto"/>
        <w:ind w:left="0" w:firstLine="0"/>
        <w:jc w:val="both"/>
        <w:rPr>
          <w:b/>
          <w:sz w:val="20"/>
          <w:szCs w:val="20"/>
        </w:rPr>
      </w:pPr>
      <w:r w:rsidRPr="005C1A95">
        <w:rPr>
          <w:b/>
          <w:sz w:val="20"/>
          <w:szCs w:val="20"/>
        </w:rPr>
        <w:t xml:space="preserve">Information on </w:t>
      </w:r>
      <w:r>
        <w:rPr>
          <w:b/>
          <w:sz w:val="20"/>
          <w:szCs w:val="20"/>
        </w:rPr>
        <w:t>profit distribution</w:t>
      </w:r>
      <w:r w:rsidRPr="005C1A95">
        <w:rPr>
          <w:b/>
          <w:sz w:val="20"/>
          <w:szCs w:val="20"/>
        </w:rPr>
        <w:t xml:space="preserve">: </w:t>
      </w:r>
    </w:p>
    <w:p w14:paraId="51270A40" w14:textId="77777777" w:rsidR="00F65142" w:rsidRPr="005C1A95" w:rsidRDefault="00F65142" w:rsidP="00490153">
      <w:pPr>
        <w:spacing w:before="120" w:line="223" w:lineRule="auto"/>
        <w:jc w:val="both"/>
        <w:rPr>
          <w:sz w:val="20"/>
          <w:szCs w:val="20"/>
        </w:rPr>
      </w:pPr>
      <w:r>
        <w:rPr>
          <w:sz w:val="20"/>
          <w:szCs w:val="20"/>
        </w:rPr>
        <w:t>None</w:t>
      </w:r>
      <w:r w:rsidRPr="005C1A95">
        <w:rPr>
          <w:sz w:val="20"/>
          <w:szCs w:val="20"/>
        </w:rPr>
        <w:t>.</w:t>
      </w:r>
    </w:p>
    <w:p w14:paraId="45B2FA4A" w14:textId="77777777" w:rsidR="00F65142" w:rsidRPr="00FE314D" w:rsidRDefault="00F65142" w:rsidP="00490153">
      <w:pPr>
        <w:pStyle w:val="BodyText3"/>
        <w:tabs>
          <w:tab w:val="clear" w:pos="539"/>
          <w:tab w:val="left" w:pos="426"/>
        </w:tabs>
        <w:spacing w:before="120" w:line="223" w:lineRule="auto"/>
        <w:ind w:right="-11"/>
        <w:jc w:val="both"/>
        <w:rPr>
          <w:b/>
          <w:bCs w:val="0"/>
          <w:i w:val="0"/>
          <w:iCs w:val="0"/>
          <w:sz w:val="20"/>
        </w:rPr>
      </w:pPr>
      <w:r w:rsidRPr="00FE314D">
        <w:rPr>
          <w:b/>
          <w:i w:val="0"/>
          <w:sz w:val="20"/>
        </w:rPr>
        <w:t>b.</w:t>
      </w:r>
      <w:r w:rsidRPr="00FE314D">
        <w:rPr>
          <w:b/>
          <w:i w:val="0"/>
          <w:sz w:val="20"/>
        </w:rPr>
        <w:tab/>
      </w:r>
      <w:r>
        <w:rPr>
          <w:b/>
          <w:i w:val="0"/>
          <w:sz w:val="20"/>
        </w:rPr>
        <w:t xml:space="preserve"> </w:t>
      </w:r>
      <w:r w:rsidRPr="00FE314D">
        <w:rPr>
          <w:b/>
          <w:i w:val="0"/>
          <w:sz w:val="20"/>
        </w:rPr>
        <w:t>Information on available for sale financial assets:</w:t>
      </w:r>
    </w:p>
    <w:p w14:paraId="60A49B1F" w14:textId="77777777" w:rsidR="00F65142" w:rsidRDefault="00F65142" w:rsidP="00991C34">
      <w:pPr>
        <w:spacing w:before="120" w:line="223" w:lineRule="auto"/>
        <w:jc w:val="both"/>
        <w:rPr>
          <w:sz w:val="20"/>
          <w:szCs w:val="20"/>
        </w:rPr>
      </w:pPr>
      <w:r w:rsidRPr="005C1A95">
        <w:rPr>
          <w:sz w:val="20"/>
          <w:szCs w:val="20"/>
        </w:rPr>
        <w:t>“</w:t>
      </w:r>
      <w:proofErr w:type="spellStart"/>
      <w:r w:rsidRPr="005C1A95">
        <w:rPr>
          <w:sz w:val="20"/>
          <w:szCs w:val="20"/>
        </w:rPr>
        <w:t>Unrealised</w:t>
      </w:r>
      <w:proofErr w:type="spellEnd"/>
      <w:r w:rsidRPr="005C1A95">
        <w:rPr>
          <w:sz w:val="20"/>
          <w:szCs w:val="20"/>
        </w:rPr>
        <w:t xml:space="preserve"> gain/loss” arising from changes in the fair value of securities classified as available-for-sale are not recognized in current year profit and loss statement but recognized in the “Marketable securities value increase fund” account under equity, until the financial assets are </w:t>
      </w:r>
      <w:proofErr w:type="spellStart"/>
      <w:r w:rsidRPr="005C1A95">
        <w:rPr>
          <w:sz w:val="20"/>
          <w:szCs w:val="20"/>
        </w:rPr>
        <w:t>derecognised</w:t>
      </w:r>
      <w:proofErr w:type="spellEnd"/>
      <w:r w:rsidRPr="005C1A95">
        <w:rPr>
          <w:sz w:val="20"/>
          <w:szCs w:val="20"/>
        </w:rPr>
        <w:t>, sold, disposed or impaired.</w:t>
      </w:r>
    </w:p>
    <w:p w14:paraId="18A46E15" w14:textId="77777777" w:rsidR="00F65142" w:rsidRPr="00FE314D" w:rsidRDefault="00F65142" w:rsidP="00490153">
      <w:pPr>
        <w:tabs>
          <w:tab w:val="left" w:pos="426"/>
        </w:tabs>
        <w:spacing w:before="120" w:line="223" w:lineRule="auto"/>
        <w:rPr>
          <w:b/>
          <w:bCs/>
          <w:iCs/>
          <w:sz w:val="20"/>
          <w:szCs w:val="20"/>
        </w:rPr>
      </w:pPr>
      <w:r w:rsidRPr="00FE314D">
        <w:rPr>
          <w:b/>
          <w:bCs/>
          <w:iCs/>
          <w:sz w:val="20"/>
          <w:szCs w:val="20"/>
        </w:rPr>
        <w:t>c.</w:t>
      </w:r>
      <w:r w:rsidRPr="00FE314D">
        <w:rPr>
          <w:b/>
          <w:bCs/>
          <w:iCs/>
          <w:sz w:val="20"/>
          <w:szCs w:val="20"/>
        </w:rPr>
        <w:tab/>
        <w:t>Information on increase/decrease amounts result from the merger:</w:t>
      </w:r>
    </w:p>
    <w:p w14:paraId="1B89C2C6" w14:textId="77777777" w:rsidR="00F65142" w:rsidRDefault="00F65142" w:rsidP="00490153">
      <w:pPr>
        <w:spacing w:before="120" w:line="223" w:lineRule="auto"/>
        <w:jc w:val="both"/>
        <w:rPr>
          <w:sz w:val="20"/>
          <w:szCs w:val="20"/>
        </w:rPr>
      </w:pPr>
      <w:r w:rsidRPr="005C1A95">
        <w:rPr>
          <w:sz w:val="20"/>
          <w:szCs w:val="20"/>
        </w:rPr>
        <w:t>None</w:t>
      </w:r>
      <w:r>
        <w:rPr>
          <w:sz w:val="20"/>
          <w:szCs w:val="20"/>
        </w:rPr>
        <w:t>.</w:t>
      </w:r>
    </w:p>
    <w:p w14:paraId="5873949F" w14:textId="77777777" w:rsidR="00F65142" w:rsidRPr="00FE314D" w:rsidRDefault="00F65142" w:rsidP="008477F3">
      <w:pPr>
        <w:pStyle w:val="BodyText3"/>
        <w:numPr>
          <w:ilvl w:val="0"/>
          <w:numId w:val="42"/>
        </w:numPr>
        <w:tabs>
          <w:tab w:val="clear" w:pos="539"/>
          <w:tab w:val="clear" w:pos="2040"/>
          <w:tab w:val="clear" w:pos="5310"/>
          <w:tab w:val="clear" w:pos="7560"/>
          <w:tab w:val="left" w:pos="426"/>
        </w:tabs>
        <w:spacing w:before="120" w:line="223" w:lineRule="auto"/>
        <w:ind w:left="0" w:right="-11" w:firstLine="0"/>
        <w:jc w:val="both"/>
        <w:rPr>
          <w:b/>
          <w:bCs w:val="0"/>
          <w:i w:val="0"/>
          <w:iCs w:val="0"/>
          <w:sz w:val="20"/>
        </w:rPr>
      </w:pPr>
      <w:r w:rsidRPr="00FE314D">
        <w:rPr>
          <w:b/>
          <w:i w:val="0"/>
          <w:sz w:val="20"/>
        </w:rPr>
        <w:t>Information on share issue premium:</w:t>
      </w:r>
    </w:p>
    <w:p w14:paraId="1B983916" w14:textId="77777777" w:rsidR="00F65142" w:rsidRPr="005C1A95" w:rsidRDefault="00F65142" w:rsidP="00490153">
      <w:pPr>
        <w:spacing w:before="120" w:line="223" w:lineRule="auto"/>
        <w:jc w:val="both"/>
        <w:rPr>
          <w:sz w:val="20"/>
          <w:szCs w:val="20"/>
        </w:rPr>
      </w:pPr>
      <w:r w:rsidRPr="00195EDC">
        <w:rPr>
          <w:sz w:val="20"/>
          <w:szCs w:val="20"/>
        </w:rPr>
        <w:t>Explained in details in note XIX</w:t>
      </w:r>
      <w:r w:rsidRPr="00195EDC" w:rsidDel="00A81209">
        <w:rPr>
          <w:sz w:val="20"/>
          <w:szCs w:val="20"/>
        </w:rPr>
        <w:t xml:space="preserve"> </w:t>
      </w:r>
      <w:r w:rsidRPr="00195EDC">
        <w:rPr>
          <w:sz w:val="20"/>
          <w:szCs w:val="20"/>
        </w:rPr>
        <w:t>of Section Three.</w:t>
      </w:r>
    </w:p>
    <w:p w14:paraId="0BA4F2FA" w14:textId="05887C65" w:rsidR="00F65142" w:rsidRPr="005C1A95" w:rsidRDefault="00210676" w:rsidP="00490153">
      <w:pPr>
        <w:pStyle w:val="BodyText"/>
        <w:tabs>
          <w:tab w:val="clear" w:pos="0"/>
          <w:tab w:val="clear" w:pos="720"/>
          <w:tab w:val="left" w:pos="851"/>
        </w:tabs>
        <w:spacing w:before="120" w:line="223" w:lineRule="auto"/>
        <w:rPr>
          <w:b/>
          <w:color w:val="000000" w:themeColor="text1"/>
          <w:sz w:val="20"/>
        </w:rPr>
      </w:pPr>
      <w:r>
        <w:rPr>
          <w:b/>
          <w:color w:val="000000" w:themeColor="text1"/>
          <w:sz w:val="20"/>
        </w:rPr>
        <w:t xml:space="preserve">VI.   </w:t>
      </w:r>
      <w:r w:rsidRPr="00210676">
        <w:rPr>
          <w:b/>
          <w:color w:val="000000" w:themeColor="text1"/>
          <w:sz w:val="20"/>
        </w:rPr>
        <w:t xml:space="preserve">Explanations </w:t>
      </w:r>
      <w:r w:rsidR="00070CCA">
        <w:rPr>
          <w:b/>
          <w:color w:val="000000" w:themeColor="text1"/>
          <w:sz w:val="20"/>
        </w:rPr>
        <w:t>a</w:t>
      </w:r>
      <w:r w:rsidRPr="00210676">
        <w:rPr>
          <w:b/>
          <w:color w:val="000000" w:themeColor="text1"/>
          <w:sz w:val="20"/>
        </w:rPr>
        <w:t xml:space="preserve">nd Notes </w:t>
      </w:r>
      <w:r w:rsidR="00647320">
        <w:rPr>
          <w:b/>
          <w:color w:val="000000" w:themeColor="text1"/>
          <w:sz w:val="20"/>
        </w:rPr>
        <w:t xml:space="preserve">on </w:t>
      </w:r>
      <w:r w:rsidR="00F65142" w:rsidRPr="005C1A95">
        <w:rPr>
          <w:b/>
          <w:color w:val="000000" w:themeColor="text1"/>
          <w:sz w:val="20"/>
        </w:rPr>
        <w:t>S</w:t>
      </w:r>
      <w:r w:rsidR="00195EDC">
        <w:rPr>
          <w:b/>
          <w:color w:val="000000" w:themeColor="text1"/>
          <w:sz w:val="20"/>
        </w:rPr>
        <w:t>tatement o</w:t>
      </w:r>
      <w:r>
        <w:rPr>
          <w:b/>
          <w:color w:val="000000" w:themeColor="text1"/>
          <w:sz w:val="20"/>
        </w:rPr>
        <w:t>f Cash Flows</w:t>
      </w:r>
    </w:p>
    <w:p w14:paraId="6A90B88F" w14:textId="77777777" w:rsidR="00F65142" w:rsidRPr="00FE314D" w:rsidRDefault="00F65142" w:rsidP="00490153">
      <w:pPr>
        <w:pStyle w:val="BodyText3"/>
        <w:tabs>
          <w:tab w:val="clear" w:pos="539"/>
          <w:tab w:val="left" w:pos="284"/>
          <w:tab w:val="left" w:pos="567"/>
        </w:tabs>
        <w:spacing w:before="120" w:line="223" w:lineRule="auto"/>
        <w:ind w:right="-11"/>
        <w:jc w:val="both"/>
        <w:rPr>
          <w:b/>
          <w:i w:val="0"/>
          <w:sz w:val="20"/>
        </w:rPr>
      </w:pPr>
      <w:r w:rsidRPr="00FE314D">
        <w:rPr>
          <w:b/>
          <w:i w:val="0"/>
          <w:sz w:val="20"/>
        </w:rPr>
        <w:t>a.</w:t>
      </w:r>
      <w:r w:rsidRPr="00FE314D">
        <w:rPr>
          <w:b/>
          <w:i w:val="0"/>
          <w:sz w:val="20"/>
        </w:rPr>
        <w:tab/>
      </w:r>
      <w:r>
        <w:rPr>
          <w:b/>
          <w:i w:val="0"/>
          <w:sz w:val="20"/>
        </w:rPr>
        <w:t xml:space="preserve"> </w:t>
      </w:r>
      <w:r w:rsidR="00210676">
        <w:rPr>
          <w:b/>
          <w:i w:val="0"/>
          <w:sz w:val="20"/>
        </w:rPr>
        <w:t xml:space="preserve">  </w:t>
      </w:r>
      <w:r w:rsidRPr="00FE314D">
        <w:rPr>
          <w:b/>
          <w:i w:val="0"/>
          <w:sz w:val="20"/>
        </w:rPr>
        <w:t>Information on cash and cash equivalent assets:</w:t>
      </w:r>
    </w:p>
    <w:p w14:paraId="5D4A4462" w14:textId="77777777" w:rsidR="00F65142" w:rsidRPr="005C1A95" w:rsidRDefault="00210676" w:rsidP="00490153">
      <w:pPr>
        <w:pStyle w:val="BodyTextIndent"/>
        <w:tabs>
          <w:tab w:val="left" w:pos="567"/>
          <w:tab w:val="left" w:pos="1701"/>
        </w:tabs>
        <w:spacing w:before="120" w:after="0" w:line="223" w:lineRule="auto"/>
        <w:ind w:left="0"/>
        <w:rPr>
          <w:sz w:val="20"/>
          <w:szCs w:val="20"/>
        </w:rPr>
      </w:pPr>
      <w:r>
        <w:rPr>
          <w:sz w:val="20"/>
          <w:szCs w:val="20"/>
        </w:rPr>
        <w:t xml:space="preserve">1.     </w:t>
      </w:r>
      <w:r w:rsidR="00F65142" w:rsidRPr="005C1A95">
        <w:rPr>
          <w:sz w:val="20"/>
          <w:szCs w:val="20"/>
        </w:rPr>
        <w:t>Components of cash and cash equivalents and the accounting policy applied in their determination:</w:t>
      </w:r>
    </w:p>
    <w:p w14:paraId="5C50AEB1" w14:textId="77777777" w:rsidR="00F65142" w:rsidRPr="005C1A95" w:rsidRDefault="00F65142" w:rsidP="00490153">
      <w:pPr>
        <w:spacing w:before="120" w:line="223" w:lineRule="auto"/>
        <w:jc w:val="both"/>
        <w:rPr>
          <w:sz w:val="20"/>
          <w:szCs w:val="20"/>
        </w:rPr>
      </w:pPr>
      <w:r w:rsidRPr="005C1A95">
        <w:rPr>
          <w:sz w:val="20"/>
          <w:szCs w:val="20"/>
        </w:rPr>
        <w:t xml:space="preserve">Cash and foreign currency together with demand deposits at banks including the CBRT are defined as “Cash”; </w:t>
      </w:r>
      <w:proofErr w:type="gramStart"/>
      <w:r w:rsidRPr="005C1A95">
        <w:rPr>
          <w:sz w:val="20"/>
          <w:szCs w:val="20"/>
        </w:rPr>
        <w:t>Interbank</w:t>
      </w:r>
      <w:proofErr w:type="gramEnd"/>
      <w:r w:rsidRPr="005C1A95">
        <w:rPr>
          <w:sz w:val="20"/>
          <w:szCs w:val="20"/>
        </w:rPr>
        <w:t xml:space="preserve"> money market and time deposits in banks with original maturities of less than three months are defined as “Cash Equivalents”.</w:t>
      </w:r>
    </w:p>
    <w:p w14:paraId="31853130" w14:textId="77777777" w:rsidR="00F65142" w:rsidRPr="005C1A95" w:rsidRDefault="00F65142" w:rsidP="00490153">
      <w:pPr>
        <w:pStyle w:val="BodyTextIndent"/>
        <w:tabs>
          <w:tab w:val="left" w:pos="426"/>
          <w:tab w:val="left" w:pos="1701"/>
        </w:tabs>
        <w:spacing w:before="120" w:after="0" w:line="223" w:lineRule="auto"/>
        <w:ind w:left="0"/>
        <w:rPr>
          <w:sz w:val="20"/>
          <w:szCs w:val="20"/>
        </w:rPr>
      </w:pPr>
      <w:r w:rsidRPr="005C1A95">
        <w:rPr>
          <w:sz w:val="20"/>
          <w:szCs w:val="20"/>
        </w:rPr>
        <w:t>2.</w:t>
      </w:r>
      <w:r w:rsidRPr="005C1A95">
        <w:rPr>
          <w:sz w:val="20"/>
          <w:szCs w:val="20"/>
        </w:rPr>
        <w:tab/>
        <w:t>Effect of a change on the accounting policies: None.</w:t>
      </w:r>
    </w:p>
    <w:p w14:paraId="2D947211" w14:textId="77777777" w:rsidR="00F65142" w:rsidRPr="005C1A95" w:rsidRDefault="00F65142" w:rsidP="00490153">
      <w:pPr>
        <w:pStyle w:val="BodyTextIndent"/>
        <w:tabs>
          <w:tab w:val="left" w:pos="426"/>
          <w:tab w:val="left" w:pos="1701"/>
        </w:tabs>
        <w:spacing w:before="120" w:after="0" w:line="223" w:lineRule="auto"/>
        <w:ind w:left="0"/>
        <w:rPr>
          <w:sz w:val="20"/>
          <w:szCs w:val="20"/>
        </w:rPr>
      </w:pPr>
      <w:r w:rsidRPr="005C1A95">
        <w:rPr>
          <w:sz w:val="20"/>
          <w:szCs w:val="20"/>
        </w:rPr>
        <w:t>3.</w:t>
      </w:r>
      <w:r w:rsidRPr="005C1A95">
        <w:rPr>
          <w:sz w:val="20"/>
          <w:szCs w:val="20"/>
        </w:rPr>
        <w:tab/>
        <w:t>Reconciliation of cash and cash equivalent items with balance sheet and cash flow statements:</w:t>
      </w:r>
    </w:p>
    <w:p w14:paraId="24FD439B" w14:textId="77777777" w:rsidR="00F65142" w:rsidRPr="005C1A95" w:rsidRDefault="00F65142" w:rsidP="00490153">
      <w:pPr>
        <w:pStyle w:val="BodyTextIndent"/>
        <w:tabs>
          <w:tab w:val="left" w:pos="426"/>
          <w:tab w:val="left" w:pos="2268"/>
        </w:tabs>
        <w:spacing w:before="120" w:after="0" w:line="223" w:lineRule="auto"/>
        <w:ind w:left="0"/>
        <w:rPr>
          <w:sz w:val="20"/>
          <w:szCs w:val="20"/>
        </w:rPr>
      </w:pPr>
      <w:proofErr w:type="gramStart"/>
      <w:r w:rsidRPr="005C1A95">
        <w:rPr>
          <w:sz w:val="20"/>
          <w:szCs w:val="20"/>
        </w:rPr>
        <w:t>3</w:t>
      </w:r>
      <w:r>
        <w:rPr>
          <w:sz w:val="20"/>
          <w:szCs w:val="20"/>
        </w:rPr>
        <w:t>.</w:t>
      </w:r>
      <w:r w:rsidRPr="005C1A95">
        <w:rPr>
          <w:sz w:val="20"/>
          <w:szCs w:val="20"/>
        </w:rPr>
        <w:t>(</w:t>
      </w:r>
      <w:proofErr w:type="gramEnd"/>
      <w:r w:rsidRPr="005C1A95">
        <w:rPr>
          <w:sz w:val="20"/>
          <w:szCs w:val="20"/>
        </w:rPr>
        <w:t>i).</w:t>
      </w:r>
      <w:r w:rsidRPr="005C1A95">
        <w:rPr>
          <w:sz w:val="20"/>
          <w:szCs w:val="20"/>
        </w:rPr>
        <w:tab/>
        <w:t>Cash and cash equivalents at the beginning of period:</w:t>
      </w:r>
    </w:p>
    <w:p w14:paraId="23175C3D" w14:textId="77777777" w:rsidR="00F65142" w:rsidRPr="005C1A95" w:rsidRDefault="00F65142" w:rsidP="00F65142">
      <w:pPr>
        <w:pStyle w:val="BodyTextIndent"/>
        <w:tabs>
          <w:tab w:val="left" w:pos="2268"/>
        </w:tabs>
        <w:spacing w:after="0" w:line="120" w:lineRule="auto"/>
        <w:ind w:left="0"/>
        <w:rPr>
          <w:sz w:val="16"/>
          <w:szCs w:val="16"/>
        </w:rPr>
      </w:pPr>
    </w:p>
    <w:tbl>
      <w:tblPr>
        <w:tblW w:w="0" w:type="auto"/>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31"/>
        <w:gridCol w:w="2409"/>
        <w:gridCol w:w="2410"/>
      </w:tblGrid>
      <w:tr w:rsidR="00F65142" w:rsidRPr="00246081" w14:paraId="1347A84B" w14:textId="77777777" w:rsidTr="00CD0767">
        <w:tc>
          <w:tcPr>
            <w:tcW w:w="3831" w:type="dxa"/>
            <w:vAlign w:val="bottom"/>
          </w:tcPr>
          <w:p w14:paraId="523A5C36" w14:textId="77777777" w:rsidR="00F65142" w:rsidRPr="00246081" w:rsidRDefault="00F65142" w:rsidP="00F65142">
            <w:pPr>
              <w:spacing w:line="223" w:lineRule="auto"/>
              <w:rPr>
                <w:rFonts w:eastAsia="Arial Unicode MS"/>
                <w:sz w:val="18"/>
                <w:szCs w:val="18"/>
              </w:rPr>
            </w:pPr>
          </w:p>
        </w:tc>
        <w:tc>
          <w:tcPr>
            <w:tcW w:w="2409" w:type="dxa"/>
            <w:vAlign w:val="bottom"/>
          </w:tcPr>
          <w:p w14:paraId="23F06B78" w14:textId="4F3E9647" w:rsidR="00F65142" w:rsidRPr="00246081" w:rsidRDefault="00F65142" w:rsidP="00246081">
            <w:pPr>
              <w:spacing w:line="223" w:lineRule="auto"/>
              <w:ind w:right="55"/>
              <w:jc w:val="right"/>
              <w:rPr>
                <w:b/>
                <w:bCs/>
                <w:sz w:val="18"/>
                <w:szCs w:val="18"/>
              </w:rPr>
            </w:pPr>
            <w:r w:rsidRPr="00246081">
              <w:rPr>
                <w:b/>
                <w:bCs/>
                <w:sz w:val="18"/>
                <w:szCs w:val="18"/>
              </w:rPr>
              <w:t>31 December 201</w:t>
            </w:r>
            <w:r w:rsidR="00210676" w:rsidRPr="00246081">
              <w:rPr>
                <w:b/>
                <w:bCs/>
                <w:sz w:val="18"/>
                <w:szCs w:val="18"/>
              </w:rPr>
              <w:t>5</w:t>
            </w:r>
          </w:p>
        </w:tc>
        <w:tc>
          <w:tcPr>
            <w:tcW w:w="2410" w:type="dxa"/>
            <w:vAlign w:val="bottom"/>
          </w:tcPr>
          <w:p w14:paraId="5957AAFE" w14:textId="77777777" w:rsidR="00F65142" w:rsidRPr="00246081" w:rsidRDefault="00F65142" w:rsidP="00246081">
            <w:pPr>
              <w:spacing w:line="223" w:lineRule="auto"/>
              <w:ind w:right="55"/>
              <w:jc w:val="right"/>
              <w:rPr>
                <w:rFonts w:eastAsia="Arial Unicode MS"/>
                <w:b/>
                <w:bCs/>
                <w:sz w:val="18"/>
                <w:szCs w:val="18"/>
              </w:rPr>
            </w:pPr>
            <w:r w:rsidRPr="00246081">
              <w:rPr>
                <w:b/>
                <w:bCs/>
                <w:sz w:val="18"/>
                <w:szCs w:val="18"/>
              </w:rPr>
              <w:t>31 December 201</w:t>
            </w:r>
            <w:r w:rsidR="00210676" w:rsidRPr="00246081">
              <w:rPr>
                <w:b/>
                <w:bCs/>
                <w:sz w:val="18"/>
                <w:szCs w:val="18"/>
              </w:rPr>
              <w:t>4</w:t>
            </w:r>
          </w:p>
        </w:tc>
      </w:tr>
      <w:tr w:rsidR="00224102" w:rsidRPr="00246081" w14:paraId="2C2C958E" w14:textId="77777777" w:rsidTr="00507FD7">
        <w:tc>
          <w:tcPr>
            <w:tcW w:w="3831" w:type="dxa"/>
            <w:vAlign w:val="bottom"/>
          </w:tcPr>
          <w:p w14:paraId="3F100CCE" w14:textId="77777777" w:rsidR="00224102" w:rsidRPr="00246081" w:rsidRDefault="00224102" w:rsidP="00224102">
            <w:pPr>
              <w:spacing w:line="223" w:lineRule="auto"/>
              <w:rPr>
                <w:rFonts w:eastAsia="Arial Unicode MS"/>
                <w:b/>
                <w:sz w:val="18"/>
                <w:szCs w:val="18"/>
              </w:rPr>
            </w:pPr>
            <w:r w:rsidRPr="00246081">
              <w:rPr>
                <w:b/>
                <w:sz w:val="18"/>
                <w:szCs w:val="18"/>
              </w:rPr>
              <w:t>Cash</w:t>
            </w:r>
          </w:p>
        </w:tc>
        <w:tc>
          <w:tcPr>
            <w:tcW w:w="2409" w:type="dxa"/>
            <w:vAlign w:val="bottom"/>
          </w:tcPr>
          <w:p w14:paraId="65C80038" w14:textId="4B18D01B" w:rsidR="00224102" w:rsidRPr="00246081" w:rsidRDefault="00224102" w:rsidP="00246081">
            <w:pPr>
              <w:ind w:right="55"/>
              <w:jc w:val="right"/>
              <w:rPr>
                <w:b/>
                <w:bCs/>
                <w:sz w:val="18"/>
                <w:szCs w:val="18"/>
              </w:rPr>
            </w:pPr>
            <w:r w:rsidRPr="00246081">
              <w:rPr>
                <w:b/>
                <w:bCs/>
                <w:sz w:val="18"/>
                <w:szCs w:val="18"/>
              </w:rPr>
              <w:t>97,541</w:t>
            </w:r>
          </w:p>
        </w:tc>
        <w:tc>
          <w:tcPr>
            <w:tcW w:w="2410" w:type="dxa"/>
            <w:vAlign w:val="bottom"/>
          </w:tcPr>
          <w:p w14:paraId="44BD45D3" w14:textId="6C91191C" w:rsidR="00224102" w:rsidRPr="00246081" w:rsidRDefault="00224102" w:rsidP="00246081">
            <w:pPr>
              <w:ind w:right="55"/>
              <w:jc w:val="right"/>
              <w:rPr>
                <w:b/>
                <w:bCs/>
                <w:sz w:val="18"/>
                <w:szCs w:val="18"/>
              </w:rPr>
            </w:pPr>
            <w:r w:rsidRPr="00246081">
              <w:rPr>
                <w:b/>
                <w:bCs/>
                <w:sz w:val="18"/>
                <w:szCs w:val="18"/>
              </w:rPr>
              <w:t>87,661</w:t>
            </w:r>
          </w:p>
        </w:tc>
      </w:tr>
      <w:tr w:rsidR="00224102" w:rsidRPr="00246081" w14:paraId="05E9B2FA" w14:textId="77777777" w:rsidTr="00507FD7">
        <w:tc>
          <w:tcPr>
            <w:tcW w:w="3831" w:type="dxa"/>
            <w:vAlign w:val="bottom"/>
          </w:tcPr>
          <w:p w14:paraId="457243A0" w14:textId="77777777" w:rsidR="00224102" w:rsidRPr="00246081" w:rsidRDefault="00224102" w:rsidP="00224102">
            <w:pPr>
              <w:pStyle w:val="Heading9"/>
              <w:spacing w:line="223" w:lineRule="auto"/>
              <w:rPr>
                <w:snapToGrid w:val="0"/>
                <w:szCs w:val="18"/>
              </w:rPr>
            </w:pPr>
            <w:r w:rsidRPr="00246081">
              <w:rPr>
                <w:snapToGrid w:val="0"/>
                <w:szCs w:val="18"/>
              </w:rPr>
              <w:t>Cash Equivalents</w:t>
            </w:r>
          </w:p>
        </w:tc>
        <w:tc>
          <w:tcPr>
            <w:tcW w:w="2409" w:type="dxa"/>
            <w:vAlign w:val="bottom"/>
          </w:tcPr>
          <w:p w14:paraId="4B991F33" w14:textId="7F4DE078" w:rsidR="00224102" w:rsidRPr="00246081" w:rsidRDefault="00224102" w:rsidP="00246081">
            <w:pPr>
              <w:ind w:right="55"/>
              <w:jc w:val="right"/>
              <w:rPr>
                <w:b/>
                <w:bCs/>
                <w:sz w:val="18"/>
                <w:szCs w:val="18"/>
              </w:rPr>
            </w:pPr>
            <w:r w:rsidRPr="00246081">
              <w:rPr>
                <w:b/>
                <w:bCs/>
                <w:sz w:val="18"/>
                <w:szCs w:val="18"/>
              </w:rPr>
              <w:t>361,740</w:t>
            </w:r>
          </w:p>
        </w:tc>
        <w:tc>
          <w:tcPr>
            <w:tcW w:w="2410" w:type="dxa"/>
            <w:vAlign w:val="bottom"/>
          </w:tcPr>
          <w:p w14:paraId="4C4ECBB5" w14:textId="1E1176DE" w:rsidR="00224102" w:rsidRPr="00246081" w:rsidRDefault="00224102" w:rsidP="00246081">
            <w:pPr>
              <w:ind w:right="55"/>
              <w:jc w:val="right"/>
              <w:rPr>
                <w:b/>
                <w:bCs/>
                <w:sz w:val="18"/>
                <w:szCs w:val="18"/>
              </w:rPr>
            </w:pPr>
            <w:r w:rsidRPr="00246081">
              <w:rPr>
                <w:b/>
                <w:bCs/>
                <w:sz w:val="18"/>
                <w:szCs w:val="18"/>
              </w:rPr>
              <w:t>525,573</w:t>
            </w:r>
          </w:p>
        </w:tc>
      </w:tr>
      <w:tr w:rsidR="00224102" w:rsidRPr="00246081" w14:paraId="2B4FD1DC" w14:textId="77777777" w:rsidTr="00507FD7">
        <w:tc>
          <w:tcPr>
            <w:tcW w:w="3831" w:type="dxa"/>
            <w:vAlign w:val="bottom"/>
          </w:tcPr>
          <w:p w14:paraId="7183DA96" w14:textId="77777777" w:rsidR="00224102" w:rsidRPr="00246081" w:rsidRDefault="00224102" w:rsidP="00224102">
            <w:pPr>
              <w:spacing w:line="223" w:lineRule="auto"/>
              <w:rPr>
                <w:snapToGrid w:val="0"/>
                <w:sz w:val="18"/>
                <w:szCs w:val="18"/>
              </w:rPr>
            </w:pPr>
            <w:r w:rsidRPr="00246081">
              <w:rPr>
                <w:snapToGrid w:val="0"/>
                <w:sz w:val="18"/>
                <w:szCs w:val="18"/>
              </w:rPr>
              <w:t>CBRT</w:t>
            </w:r>
          </w:p>
        </w:tc>
        <w:tc>
          <w:tcPr>
            <w:tcW w:w="2409" w:type="dxa"/>
            <w:vAlign w:val="bottom"/>
          </w:tcPr>
          <w:p w14:paraId="6A65AE6A" w14:textId="572BFE03" w:rsidR="00224102" w:rsidRPr="00246081" w:rsidRDefault="00224102" w:rsidP="00246081">
            <w:pPr>
              <w:ind w:right="55"/>
              <w:jc w:val="right"/>
              <w:rPr>
                <w:sz w:val="18"/>
                <w:szCs w:val="18"/>
              </w:rPr>
            </w:pPr>
            <w:r w:rsidRPr="00246081">
              <w:rPr>
                <w:bCs/>
                <w:sz w:val="18"/>
                <w:szCs w:val="18"/>
              </w:rPr>
              <w:t>249,772</w:t>
            </w:r>
          </w:p>
        </w:tc>
        <w:tc>
          <w:tcPr>
            <w:tcW w:w="2410" w:type="dxa"/>
            <w:vAlign w:val="bottom"/>
          </w:tcPr>
          <w:p w14:paraId="59E11783" w14:textId="57C4D5F7" w:rsidR="00224102" w:rsidRPr="00246081" w:rsidRDefault="00224102" w:rsidP="00246081">
            <w:pPr>
              <w:ind w:right="55"/>
              <w:jc w:val="right"/>
              <w:rPr>
                <w:sz w:val="18"/>
                <w:szCs w:val="18"/>
              </w:rPr>
            </w:pPr>
            <w:r w:rsidRPr="00246081">
              <w:rPr>
                <w:sz w:val="18"/>
                <w:szCs w:val="18"/>
              </w:rPr>
              <w:t>405,700</w:t>
            </w:r>
          </w:p>
        </w:tc>
      </w:tr>
      <w:tr w:rsidR="00224102" w:rsidRPr="00246081" w14:paraId="5C354EFE" w14:textId="77777777" w:rsidTr="00507FD7">
        <w:tc>
          <w:tcPr>
            <w:tcW w:w="3831" w:type="dxa"/>
            <w:vAlign w:val="bottom"/>
          </w:tcPr>
          <w:p w14:paraId="3032B386" w14:textId="1ABC6E09" w:rsidR="00224102" w:rsidRPr="00246081" w:rsidRDefault="00224102" w:rsidP="00224102">
            <w:pPr>
              <w:spacing w:line="223" w:lineRule="auto"/>
              <w:rPr>
                <w:rFonts w:eastAsia="Arial Unicode MS"/>
                <w:sz w:val="18"/>
                <w:szCs w:val="18"/>
              </w:rPr>
            </w:pPr>
            <w:r w:rsidRPr="00246081">
              <w:rPr>
                <w:snapToGrid w:val="0"/>
                <w:sz w:val="18"/>
                <w:szCs w:val="18"/>
              </w:rPr>
              <w:t xml:space="preserve">Banks and Other Financial Institutions </w:t>
            </w:r>
          </w:p>
        </w:tc>
        <w:tc>
          <w:tcPr>
            <w:tcW w:w="2409" w:type="dxa"/>
            <w:vAlign w:val="bottom"/>
          </w:tcPr>
          <w:p w14:paraId="241DE3EA" w14:textId="0C133399" w:rsidR="00224102" w:rsidRPr="00246081" w:rsidRDefault="00224102" w:rsidP="00246081">
            <w:pPr>
              <w:ind w:right="55"/>
              <w:jc w:val="right"/>
              <w:rPr>
                <w:sz w:val="18"/>
                <w:szCs w:val="18"/>
              </w:rPr>
            </w:pPr>
            <w:r w:rsidRPr="00246081">
              <w:rPr>
                <w:bCs/>
                <w:sz w:val="18"/>
                <w:szCs w:val="18"/>
              </w:rPr>
              <w:t>105,194</w:t>
            </w:r>
          </w:p>
        </w:tc>
        <w:tc>
          <w:tcPr>
            <w:tcW w:w="2410" w:type="dxa"/>
            <w:vAlign w:val="bottom"/>
          </w:tcPr>
          <w:p w14:paraId="29BD3F62" w14:textId="76896EA5" w:rsidR="00224102" w:rsidRPr="00246081" w:rsidRDefault="00224102" w:rsidP="00246081">
            <w:pPr>
              <w:ind w:right="55"/>
              <w:jc w:val="right"/>
              <w:rPr>
                <w:sz w:val="18"/>
                <w:szCs w:val="18"/>
              </w:rPr>
            </w:pPr>
            <w:r w:rsidRPr="00246081">
              <w:rPr>
                <w:sz w:val="18"/>
                <w:szCs w:val="18"/>
              </w:rPr>
              <w:t>117,385</w:t>
            </w:r>
          </w:p>
        </w:tc>
      </w:tr>
      <w:tr w:rsidR="00224102" w:rsidRPr="00246081" w14:paraId="1848ADF1" w14:textId="77777777" w:rsidTr="00507FD7">
        <w:tc>
          <w:tcPr>
            <w:tcW w:w="3831" w:type="dxa"/>
            <w:vAlign w:val="bottom"/>
          </w:tcPr>
          <w:p w14:paraId="04244F8D" w14:textId="77777777" w:rsidR="00224102" w:rsidRPr="00246081" w:rsidRDefault="00224102" w:rsidP="00224102">
            <w:pPr>
              <w:spacing w:line="223" w:lineRule="auto"/>
              <w:rPr>
                <w:snapToGrid w:val="0"/>
                <w:sz w:val="18"/>
                <w:szCs w:val="18"/>
              </w:rPr>
            </w:pPr>
            <w:r w:rsidRPr="00246081">
              <w:rPr>
                <w:snapToGrid w:val="0"/>
                <w:sz w:val="18"/>
                <w:szCs w:val="18"/>
              </w:rPr>
              <w:t>Money Markets</w:t>
            </w:r>
          </w:p>
        </w:tc>
        <w:tc>
          <w:tcPr>
            <w:tcW w:w="2409" w:type="dxa"/>
            <w:vAlign w:val="bottom"/>
          </w:tcPr>
          <w:p w14:paraId="000C8F92" w14:textId="27671C78" w:rsidR="00224102" w:rsidRPr="00246081" w:rsidRDefault="00224102" w:rsidP="00246081">
            <w:pPr>
              <w:ind w:right="55"/>
              <w:jc w:val="right"/>
              <w:rPr>
                <w:sz w:val="18"/>
                <w:szCs w:val="18"/>
              </w:rPr>
            </w:pPr>
            <w:r w:rsidRPr="00246081">
              <w:rPr>
                <w:bCs/>
                <w:sz w:val="18"/>
                <w:szCs w:val="18"/>
              </w:rPr>
              <w:t>6,774</w:t>
            </w:r>
          </w:p>
        </w:tc>
        <w:tc>
          <w:tcPr>
            <w:tcW w:w="2410" w:type="dxa"/>
            <w:vAlign w:val="bottom"/>
          </w:tcPr>
          <w:p w14:paraId="7CEC821E" w14:textId="7A090E17" w:rsidR="00224102" w:rsidRPr="00246081" w:rsidRDefault="00224102" w:rsidP="00246081">
            <w:pPr>
              <w:ind w:right="55"/>
              <w:jc w:val="right"/>
              <w:rPr>
                <w:sz w:val="18"/>
                <w:szCs w:val="18"/>
              </w:rPr>
            </w:pPr>
            <w:r w:rsidRPr="00246081">
              <w:rPr>
                <w:sz w:val="18"/>
                <w:szCs w:val="18"/>
              </w:rPr>
              <w:t>2,488</w:t>
            </w:r>
          </w:p>
        </w:tc>
      </w:tr>
      <w:tr w:rsidR="00224102" w:rsidRPr="00246081" w14:paraId="59A92E40" w14:textId="77777777" w:rsidTr="00507FD7">
        <w:tc>
          <w:tcPr>
            <w:tcW w:w="3831" w:type="dxa"/>
            <w:vAlign w:val="bottom"/>
          </w:tcPr>
          <w:p w14:paraId="3745AD2D" w14:textId="77777777" w:rsidR="00224102" w:rsidRPr="00246081" w:rsidRDefault="00224102" w:rsidP="00224102">
            <w:pPr>
              <w:spacing w:line="223" w:lineRule="auto"/>
              <w:rPr>
                <w:b/>
                <w:snapToGrid w:val="0"/>
                <w:sz w:val="18"/>
                <w:szCs w:val="18"/>
              </w:rPr>
            </w:pPr>
            <w:r w:rsidRPr="00246081">
              <w:rPr>
                <w:b/>
                <w:bCs/>
                <w:snapToGrid w:val="0"/>
                <w:sz w:val="18"/>
                <w:szCs w:val="18"/>
              </w:rPr>
              <w:t>Total Cash and Cash Equivalents</w:t>
            </w:r>
          </w:p>
        </w:tc>
        <w:tc>
          <w:tcPr>
            <w:tcW w:w="2409" w:type="dxa"/>
            <w:vAlign w:val="bottom"/>
          </w:tcPr>
          <w:p w14:paraId="07115AC9" w14:textId="54627D25" w:rsidR="00224102" w:rsidRPr="00246081" w:rsidRDefault="00224102" w:rsidP="00246081">
            <w:pPr>
              <w:ind w:right="55"/>
              <w:jc w:val="right"/>
              <w:rPr>
                <w:b/>
                <w:bCs/>
                <w:sz w:val="18"/>
                <w:szCs w:val="18"/>
              </w:rPr>
            </w:pPr>
            <w:r w:rsidRPr="00246081">
              <w:rPr>
                <w:b/>
                <w:bCs/>
                <w:sz w:val="18"/>
                <w:szCs w:val="18"/>
              </w:rPr>
              <w:t>459,281</w:t>
            </w:r>
          </w:p>
        </w:tc>
        <w:tc>
          <w:tcPr>
            <w:tcW w:w="2410" w:type="dxa"/>
            <w:vAlign w:val="bottom"/>
          </w:tcPr>
          <w:p w14:paraId="3FD496C7" w14:textId="6807FED1" w:rsidR="00224102" w:rsidRPr="00246081" w:rsidRDefault="00224102" w:rsidP="00246081">
            <w:pPr>
              <w:ind w:right="55"/>
              <w:jc w:val="right"/>
              <w:rPr>
                <w:b/>
                <w:bCs/>
                <w:sz w:val="18"/>
                <w:szCs w:val="18"/>
              </w:rPr>
            </w:pPr>
            <w:r w:rsidRPr="00246081">
              <w:rPr>
                <w:b/>
                <w:bCs/>
                <w:sz w:val="18"/>
                <w:szCs w:val="18"/>
              </w:rPr>
              <w:t>613,234</w:t>
            </w:r>
          </w:p>
        </w:tc>
      </w:tr>
    </w:tbl>
    <w:p w14:paraId="4A6044E9" w14:textId="77777777" w:rsidR="00F65142" w:rsidRPr="00246081" w:rsidRDefault="00F65142" w:rsidP="00F65142">
      <w:pPr>
        <w:spacing w:line="223" w:lineRule="auto"/>
        <w:jc w:val="both"/>
        <w:rPr>
          <w:sz w:val="18"/>
          <w:szCs w:val="18"/>
        </w:rPr>
      </w:pPr>
    </w:p>
    <w:p w14:paraId="46D0D96B" w14:textId="12F5137F" w:rsidR="00F65142" w:rsidRDefault="00F65142" w:rsidP="00F65142">
      <w:pPr>
        <w:spacing w:line="223" w:lineRule="auto"/>
        <w:jc w:val="both"/>
        <w:rPr>
          <w:sz w:val="20"/>
          <w:szCs w:val="20"/>
        </w:rPr>
      </w:pPr>
      <w:r w:rsidRPr="005C1A95">
        <w:rPr>
          <w:sz w:val="20"/>
          <w:szCs w:val="20"/>
        </w:rPr>
        <w:t>The total amount from the operations occurring in the prior period is the total cash and cash equivalents amount at the beginning of the current period</w:t>
      </w:r>
      <w:r w:rsidR="00246081">
        <w:rPr>
          <w:sz w:val="20"/>
          <w:szCs w:val="20"/>
        </w:rPr>
        <w:t>.</w:t>
      </w:r>
    </w:p>
    <w:p w14:paraId="5531A7C0" w14:textId="77777777" w:rsidR="00F65142" w:rsidRPr="007C697D" w:rsidRDefault="00F65142" w:rsidP="00246081">
      <w:pPr>
        <w:pStyle w:val="BodyTextIndent"/>
        <w:spacing w:before="120" w:after="0" w:line="223" w:lineRule="auto"/>
        <w:ind w:left="0"/>
        <w:rPr>
          <w:sz w:val="20"/>
          <w:szCs w:val="20"/>
        </w:rPr>
      </w:pPr>
      <w:proofErr w:type="gramStart"/>
      <w:r w:rsidRPr="00C62281">
        <w:rPr>
          <w:sz w:val="22"/>
        </w:rPr>
        <w:t>3</w:t>
      </w:r>
      <w:r>
        <w:rPr>
          <w:sz w:val="22"/>
        </w:rPr>
        <w:t>.</w:t>
      </w:r>
      <w:r w:rsidRPr="00C62281">
        <w:rPr>
          <w:sz w:val="22"/>
        </w:rPr>
        <w:t>(</w:t>
      </w:r>
      <w:proofErr w:type="gramEnd"/>
      <w:r w:rsidRPr="00C62281">
        <w:rPr>
          <w:sz w:val="22"/>
        </w:rPr>
        <w:t>ii)</w:t>
      </w:r>
      <w:r>
        <w:rPr>
          <w:sz w:val="22"/>
        </w:rPr>
        <w:t>.</w:t>
      </w:r>
      <w:r w:rsidRPr="00C62281">
        <w:rPr>
          <w:sz w:val="22"/>
        </w:rPr>
        <w:tab/>
      </w:r>
      <w:r w:rsidRPr="007C697D">
        <w:rPr>
          <w:sz w:val="20"/>
          <w:szCs w:val="20"/>
        </w:rPr>
        <w:t>Cash and cash equivalents at the end of the period:</w:t>
      </w:r>
    </w:p>
    <w:p w14:paraId="6CFD4E55" w14:textId="77777777" w:rsidR="00F65142" w:rsidRPr="005C1A95" w:rsidRDefault="00F65142" w:rsidP="00F65142">
      <w:pPr>
        <w:pStyle w:val="BodyTextIndent"/>
        <w:spacing w:after="0" w:line="223" w:lineRule="auto"/>
        <w:ind w:left="0"/>
        <w:rPr>
          <w:sz w:val="16"/>
          <w:szCs w:val="16"/>
        </w:rPr>
      </w:pPr>
    </w:p>
    <w:tbl>
      <w:tblPr>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826"/>
        <w:gridCol w:w="2434"/>
        <w:gridCol w:w="2435"/>
      </w:tblGrid>
      <w:tr w:rsidR="00F65142" w:rsidRPr="00FD0C7A" w14:paraId="15EB056E" w14:textId="77777777" w:rsidTr="00246081">
        <w:trPr>
          <w:trHeight w:val="199"/>
        </w:trPr>
        <w:tc>
          <w:tcPr>
            <w:tcW w:w="3826" w:type="dxa"/>
            <w:shd w:val="clear" w:color="auto" w:fill="auto"/>
            <w:vAlign w:val="bottom"/>
          </w:tcPr>
          <w:p w14:paraId="4CB30E10" w14:textId="77777777" w:rsidR="00F65142" w:rsidRPr="005C1A95" w:rsidRDefault="00F65142" w:rsidP="00F65142">
            <w:pPr>
              <w:spacing w:line="223" w:lineRule="auto"/>
              <w:rPr>
                <w:rFonts w:eastAsia="Arial Unicode MS"/>
                <w:sz w:val="17"/>
                <w:szCs w:val="17"/>
              </w:rPr>
            </w:pPr>
          </w:p>
        </w:tc>
        <w:tc>
          <w:tcPr>
            <w:tcW w:w="2434" w:type="dxa"/>
            <w:shd w:val="clear" w:color="auto" w:fill="auto"/>
            <w:vAlign w:val="bottom"/>
          </w:tcPr>
          <w:p w14:paraId="0C2F46F8" w14:textId="77777777" w:rsidR="00F65142" w:rsidRPr="00246081" w:rsidRDefault="00F65142" w:rsidP="00246081">
            <w:pPr>
              <w:spacing w:line="223" w:lineRule="auto"/>
              <w:ind w:right="60"/>
              <w:jc w:val="right"/>
              <w:rPr>
                <w:b/>
                <w:bCs/>
                <w:sz w:val="18"/>
                <w:szCs w:val="18"/>
              </w:rPr>
            </w:pPr>
            <w:r w:rsidRPr="00246081">
              <w:rPr>
                <w:b/>
                <w:bCs/>
                <w:sz w:val="18"/>
                <w:szCs w:val="18"/>
              </w:rPr>
              <w:t>31 December 201</w:t>
            </w:r>
            <w:r w:rsidR="00FD1CCC" w:rsidRPr="00246081">
              <w:rPr>
                <w:b/>
                <w:bCs/>
                <w:sz w:val="18"/>
                <w:szCs w:val="18"/>
              </w:rPr>
              <w:t>5</w:t>
            </w:r>
            <w:r w:rsidRPr="00246081">
              <w:rPr>
                <w:b/>
                <w:bCs/>
                <w:sz w:val="18"/>
                <w:szCs w:val="18"/>
              </w:rPr>
              <w:t xml:space="preserve"> </w:t>
            </w:r>
          </w:p>
        </w:tc>
        <w:tc>
          <w:tcPr>
            <w:tcW w:w="2435" w:type="dxa"/>
            <w:shd w:val="clear" w:color="auto" w:fill="auto"/>
            <w:vAlign w:val="bottom"/>
          </w:tcPr>
          <w:p w14:paraId="0CC252B1" w14:textId="77777777" w:rsidR="00F65142" w:rsidRPr="00246081" w:rsidRDefault="00F65142" w:rsidP="00246081">
            <w:pPr>
              <w:spacing w:line="223" w:lineRule="auto"/>
              <w:ind w:right="60"/>
              <w:jc w:val="right"/>
              <w:rPr>
                <w:rFonts w:eastAsia="Arial Unicode MS"/>
                <w:b/>
                <w:bCs/>
                <w:sz w:val="18"/>
                <w:szCs w:val="18"/>
              </w:rPr>
            </w:pPr>
            <w:r w:rsidRPr="00246081">
              <w:rPr>
                <w:b/>
                <w:bCs/>
                <w:sz w:val="18"/>
                <w:szCs w:val="18"/>
              </w:rPr>
              <w:t>31 December 201</w:t>
            </w:r>
            <w:r w:rsidR="00FD1CCC" w:rsidRPr="00246081">
              <w:rPr>
                <w:b/>
                <w:bCs/>
                <w:sz w:val="18"/>
                <w:szCs w:val="18"/>
              </w:rPr>
              <w:t>4</w:t>
            </w:r>
          </w:p>
        </w:tc>
      </w:tr>
      <w:tr w:rsidR="00224102" w:rsidRPr="00FD0C7A" w14:paraId="29ECD727" w14:textId="77777777" w:rsidTr="00246081">
        <w:trPr>
          <w:trHeight w:val="254"/>
        </w:trPr>
        <w:tc>
          <w:tcPr>
            <w:tcW w:w="3826" w:type="dxa"/>
            <w:shd w:val="clear" w:color="auto" w:fill="auto"/>
            <w:vAlign w:val="bottom"/>
          </w:tcPr>
          <w:p w14:paraId="743BF81E" w14:textId="77777777" w:rsidR="00224102" w:rsidRPr="00246081" w:rsidRDefault="00224102" w:rsidP="00224102">
            <w:pPr>
              <w:spacing w:line="223" w:lineRule="auto"/>
              <w:rPr>
                <w:rFonts w:eastAsia="Arial Unicode MS"/>
                <w:b/>
                <w:sz w:val="18"/>
                <w:szCs w:val="18"/>
              </w:rPr>
            </w:pPr>
            <w:r w:rsidRPr="00246081">
              <w:rPr>
                <w:b/>
                <w:sz w:val="18"/>
                <w:szCs w:val="18"/>
              </w:rPr>
              <w:t>Cash</w:t>
            </w:r>
          </w:p>
        </w:tc>
        <w:tc>
          <w:tcPr>
            <w:tcW w:w="2434" w:type="dxa"/>
            <w:shd w:val="clear" w:color="auto" w:fill="auto"/>
            <w:vAlign w:val="bottom"/>
          </w:tcPr>
          <w:p w14:paraId="3BAA88B7" w14:textId="501E51D9" w:rsidR="00224102" w:rsidRPr="00246081" w:rsidRDefault="00224102" w:rsidP="00246081">
            <w:pPr>
              <w:ind w:right="60"/>
              <w:jc w:val="right"/>
              <w:rPr>
                <w:b/>
                <w:bCs/>
                <w:sz w:val="18"/>
                <w:szCs w:val="18"/>
              </w:rPr>
            </w:pPr>
            <w:r w:rsidRPr="00246081">
              <w:rPr>
                <w:b/>
                <w:bCs/>
                <w:sz w:val="18"/>
                <w:szCs w:val="18"/>
              </w:rPr>
              <w:t xml:space="preserve">          80,441 </w:t>
            </w:r>
          </w:p>
        </w:tc>
        <w:tc>
          <w:tcPr>
            <w:tcW w:w="2435" w:type="dxa"/>
            <w:shd w:val="clear" w:color="auto" w:fill="auto"/>
            <w:vAlign w:val="bottom"/>
          </w:tcPr>
          <w:p w14:paraId="184BAB07" w14:textId="71B43A2F" w:rsidR="00224102" w:rsidRPr="00246081" w:rsidRDefault="00224102" w:rsidP="00246081">
            <w:pPr>
              <w:ind w:right="60"/>
              <w:jc w:val="right"/>
              <w:rPr>
                <w:b/>
                <w:bCs/>
                <w:sz w:val="18"/>
                <w:szCs w:val="18"/>
              </w:rPr>
            </w:pPr>
            <w:r w:rsidRPr="00246081">
              <w:rPr>
                <w:b/>
                <w:bCs/>
                <w:sz w:val="18"/>
                <w:szCs w:val="18"/>
              </w:rPr>
              <w:t>97,541</w:t>
            </w:r>
          </w:p>
        </w:tc>
      </w:tr>
      <w:tr w:rsidR="00224102" w:rsidRPr="00FD0C7A" w14:paraId="4B990F09" w14:textId="77777777" w:rsidTr="00246081">
        <w:trPr>
          <w:trHeight w:val="236"/>
        </w:trPr>
        <w:tc>
          <w:tcPr>
            <w:tcW w:w="3826" w:type="dxa"/>
            <w:shd w:val="clear" w:color="auto" w:fill="auto"/>
            <w:vAlign w:val="bottom"/>
          </w:tcPr>
          <w:p w14:paraId="7E06C210" w14:textId="77777777" w:rsidR="00224102" w:rsidRPr="00246081" w:rsidRDefault="00224102" w:rsidP="00224102">
            <w:pPr>
              <w:pStyle w:val="Heading9"/>
              <w:spacing w:line="223" w:lineRule="auto"/>
              <w:rPr>
                <w:snapToGrid w:val="0"/>
                <w:szCs w:val="18"/>
              </w:rPr>
            </w:pPr>
            <w:r w:rsidRPr="00246081">
              <w:rPr>
                <w:snapToGrid w:val="0"/>
                <w:szCs w:val="18"/>
              </w:rPr>
              <w:t>Cash Equivalents</w:t>
            </w:r>
          </w:p>
        </w:tc>
        <w:tc>
          <w:tcPr>
            <w:tcW w:w="2434" w:type="dxa"/>
            <w:shd w:val="clear" w:color="auto" w:fill="auto"/>
            <w:vAlign w:val="bottom"/>
          </w:tcPr>
          <w:p w14:paraId="644FEA47" w14:textId="05E7C375" w:rsidR="00224102" w:rsidRPr="00246081" w:rsidRDefault="00224102" w:rsidP="00246081">
            <w:pPr>
              <w:ind w:right="60"/>
              <w:jc w:val="right"/>
              <w:rPr>
                <w:b/>
                <w:bCs/>
                <w:sz w:val="18"/>
                <w:szCs w:val="18"/>
              </w:rPr>
            </w:pPr>
            <w:r w:rsidRPr="00246081">
              <w:rPr>
                <w:b/>
                <w:bCs/>
                <w:sz w:val="18"/>
                <w:szCs w:val="18"/>
              </w:rPr>
              <w:t xml:space="preserve">    1,206,335 </w:t>
            </w:r>
          </w:p>
        </w:tc>
        <w:tc>
          <w:tcPr>
            <w:tcW w:w="2435" w:type="dxa"/>
            <w:shd w:val="clear" w:color="auto" w:fill="auto"/>
            <w:vAlign w:val="bottom"/>
          </w:tcPr>
          <w:p w14:paraId="68DB9968" w14:textId="2E51C82C" w:rsidR="00224102" w:rsidRPr="00246081" w:rsidRDefault="00224102" w:rsidP="00246081">
            <w:pPr>
              <w:ind w:right="60"/>
              <w:jc w:val="right"/>
              <w:rPr>
                <w:b/>
                <w:bCs/>
                <w:sz w:val="18"/>
                <w:szCs w:val="18"/>
              </w:rPr>
            </w:pPr>
            <w:r w:rsidRPr="00246081">
              <w:rPr>
                <w:b/>
                <w:bCs/>
                <w:sz w:val="18"/>
                <w:szCs w:val="18"/>
              </w:rPr>
              <w:t>361,740</w:t>
            </w:r>
          </w:p>
        </w:tc>
      </w:tr>
      <w:tr w:rsidR="00224102" w:rsidRPr="00FD0C7A" w14:paraId="4DD1FDCC" w14:textId="77777777" w:rsidTr="00246081">
        <w:trPr>
          <w:trHeight w:val="236"/>
        </w:trPr>
        <w:tc>
          <w:tcPr>
            <w:tcW w:w="3826" w:type="dxa"/>
            <w:shd w:val="clear" w:color="auto" w:fill="auto"/>
            <w:vAlign w:val="bottom"/>
          </w:tcPr>
          <w:p w14:paraId="49E2A775" w14:textId="77777777" w:rsidR="00224102" w:rsidRPr="00246081" w:rsidRDefault="00224102" w:rsidP="00224102">
            <w:pPr>
              <w:spacing w:line="223" w:lineRule="auto"/>
              <w:rPr>
                <w:snapToGrid w:val="0"/>
                <w:sz w:val="18"/>
                <w:szCs w:val="18"/>
              </w:rPr>
            </w:pPr>
            <w:r w:rsidRPr="00246081">
              <w:rPr>
                <w:snapToGrid w:val="0"/>
                <w:sz w:val="18"/>
                <w:szCs w:val="18"/>
              </w:rPr>
              <w:t>CBRT</w:t>
            </w:r>
          </w:p>
        </w:tc>
        <w:tc>
          <w:tcPr>
            <w:tcW w:w="2434" w:type="dxa"/>
            <w:shd w:val="clear" w:color="auto" w:fill="auto"/>
            <w:vAlign w:val="bottom"/>
          </w:tcPr>
          <w:p w14:paraId="173F0F85" w14:textId="4BA11CA9" w:rsidR="00224102" w:rsidRPr="00246081" w:rsidRDefault="00224102" w:rsidP="00246081">
            <w:pPr>
              <w:ind w:right="60"/>
              <w:jc w:val="right"/>
              <w:rPr>
                <w:bCs/>
                <w:sz w:val="18"/>
                <w:szCs w:val="18"/>
              </w:rPr>
            </w:pPr>
            <w:r w:rsidRPr="00246081">
              <w:rPr>
                <w:bCs/>
                <w:sz w:val="18"/>
                <w:szCs w:val="18"/>
              </w:rPr>
              <w:t xml:space="preserve">          244,340 </w:t>
            </w:r>
          </w:p>
        </w:tc>
        <w:tc>
          <w:tcPr>
            <w:tcW w:w="2435" w:type="dxa"/>
            <w:shd w:val="clear" w:color="auto" w:fill="auto"/>
            <w:vAlign w:val="bottom"/>
          </w:tcPr>
          <w:p w14:paraId="694316E3" w14:textId="5899924E" w:rsidR="00224102" w:rsidRPr="00246081" w:rsidRDefault="00224102" w:rsidP="00246081">
            <w:pPr>
              <w:ind w:right="60"/>
              <w:jc w:val="right"/>
              <w:rPr>
                <w:sz w:val="18"/>
                <w:szCs w:val="18"/>
              </w:rPr>
            </w:pPr>
            <w:r w:rsidRPr="00246081">
              <w:rPr>
                <w:bCs/>
                <w:sz w:val="18"/>
                <w:szCs w:val="18"/>
              </w:rPr>
              <w:t>249,772</w:t>
            </w:r>
          </w:p>
        </w:tc>
      </w:tr>
      <w:tr w:rsidR="00224102" w:rsidRPr="00FD0C7A" w14:paraId="2BE49A52" w14:textId="77777777" w:rsidTr="00246081">
        <w:trPr>
          <w:trHeight w:val="254"/>
        </w:trPr>
        <w:tc>
          <w:tcPr>
            <w:tcW w:w="3826" w:type="dxa"/>
            <w:shd w:val="clear" w:color="auto" w:fill="auto"/>
            <w:vAlign w:val="bottom"/>
          </w:tcPr>
          <w:p w14:paraId="0C025434" w14:textId="77777777" w:rsidR="00224102" w:rsidRPr="00246081" w:rsidRDefault="00224102" w:rsidP="00224102">
            <w:pPr>
              <w:spacing w:line="223" w:lineRule="auto"/>
              <w:rPr>
                <w:rFonts w:eastAsia="Arial Unicode MS"/>
                <w:sz w:val="18"/>
                <w:szCs w:val="18"/>
              </w:rPr>
            </w:pPr>
            <w:r w:rsidRPr="00246081">
              <w:rPr>
                <w:snapToGrid w:val="0"/>
                <w:sz w:val="18"/>
                <w:szCs w:val="18"/>
              </w:rPr>
              <w:t xml:space="preserve">Deposits in Banks and other financial institutions </w:t>
            </w:r>
          </w:p>
        </w:tc>
        <w:tc>
          <w:tcPr>
            <w:tcW w:w="2434" w:type="dxa"/>
            <w:shd w:val="clear" w:color="auto" w:fill="auto"/>
            <w:vAlign w:val="bottom"/>
          </w:tcPr>
          <w:p w14:paraId="5065013E" w14:textId="79A033F2" w:rsidR="00224102" w:rsidRPr="00246081" w:rsidRDefault="00224102" w:rsidP="00246081">
            <w:pPr>
              <w:ind w:right="60"/>
              <w:jc w:val="right"/>
              <w:rPr>
                <w:bCs/>
                <w:sz w:val="18"/>
                <w:szCs w:val="18"/>
              </w:rPr>
            </w:pPr>
            <w:r w:rsidRPr="00246081">
              <w:rPr>
                <w:bCs/>
                <w:sz w:val="18"/>
                <w:szCs w:val="18"/>
              </w:rPr>
              <w:t xml:space="preserve">          611,890 </w:t>
            </w:r>
          </w:p>
        </w:tc>
        <w:tc>
          <w:tcPr>
            <w:tcW w:w="2435" w:type="dxa"/>
            <w:shd w:val="clear" w:color="auto" w:fill="auto"/>
            <w:vAlign w:val="bottom"/>
          </w:tcPr>
          <w:p w14:paraId="4DED83C2" w14:textId="19BDFAD8" w:rsidR="00224102" w:rsidRPr="00246081" w:rsidRDefault="00224102" w:rsidP="00246081">
            <w:pPr>
              <w:ind w:right="60"/>
              <w:jc w:val="right"/>
              <w:rPr>
                <w:sz w:val="18"/>
                <w:szCs w:val="18"/>
              </w:rPr>
            </w:pPr>
            <w:r w:rsidRPr="00246081">
              <w:rPr>
                <w:bCs/>
                <w:sz w:val="18"/>
                <w:szCs w:val="18"/>
              </w:rPr>
              <w:t>105,194</w:t>
            </w:r>
          </w:p>
        </w:tc>
      </w:tr>
      <w:tr w:rsidR="00224102" w:rsidRPr="00FD0C7A" w14:paraId="043B611D" w14:textId="77777777" w:rsidTr="00246081">
        <w:trPr>
          <w:trHeight w:val="236"/>
        </w:trPr>
        <w:tc>
          <w:tcPr>
            <w:tcW w:w="3826" w:type="dxa"/>
            <w:shd w:val="clear" w:color="auto" w:fill="auto"/>
            <w:vAlign w:val="bottom"/>
          </w:tcPr>
          <w:p w14:paraId="7C010464" w14:textId="77777777" w:rsidR="00224102" w:rsidRPr="00246081" w:rsidRDefault="00224102" w:rsidP="00224102">
            <w:pPr>
              <w:spacing w:line="223" w:lineRule="auto"/>
              <w:rPr>
                <w:snapToGrid w:val="0"/>
                <w:sz w:val="18"/>
                <w:szCs w:val="18"/>
              </w:rPr>
            </w:pPr>
            <w:r w:rsidRPr="00246081">
              <w:rPr>
                <w:snapToGrid w:val="0"/>
                <w:sz w:val="18"/>
                <w:szCs w:val="18"/>
              </w:rPr>
              <w:t>Money Markets</w:t>
            </w:r>
          </w:p>
        </w:tc>
        <w:tc>
          <w:tcPr>
            <w:tcW w:w="2434" w:type="dxa"/>
            <w:shd w:val="clear" w:color="auto" w:fill="auto"/>
            <w:vAlign w:val="bottom"/>
          </w:tcPr>
          <w:p w14:paraId="4E1270E8" w14:textId="2919695B" w:rsidR="00224102" w:rsidRPr="00246081" w:rsidRDefault="00224102" w:rsidP="00246081">
            <w:pPr>
              <w:ind w:right="60"/>
              <w:jc w:val="right"/>
              <w:rPr>
                <w:bCs/>
                <w:sz w:val="18"/>
                <w:szCs w:val="18"/>
              </w:rPr>
            </w:pPr>
            <w:r w:rsidRPr="00246081">
              <w:rPr>
                <w:bCs/>
                <w:sz w:val="18"/>
                <w:szCs w:val="18"/>
              </w:rPr>
              <w:t xml:space="preserve">          350,105 </w:t>
            </w:r>
          </w:p>
        </w:tc>
        <w:tc>
          <w:tcPr>
            <w:tcW w:w="2435" w:type="dxa"/>
            <w:shd w:val="clear" w:color="auto" w:fill="auto"/>
            <w:vAlign w:val="bottom"/>
          </w:tcPr>
          <w:p w14:paraId="3482426F" w14:textId="3CAC9465" w:rsidR="00224102" w:rsidRPr="00246081" w:rsidRDefault="00224102" w:rsidP="00246081">
            <w:pPr>
              <w:ind w:right="60"/>
              <w:jc w:val="right"/>
              <w:rPr>
                <w:sz w:val="18"/>
                <w:szCs w:val="18"/>
              </w:rPr>
            </w:pPr>
            <w:r w:rsidRPr="00246081">
              <w:rPr>
                <w:bCs/>
                <w:sz w:val="18"/>
                <w:szCs w:val="18"/>
              </w:rPr>
              <w:t>6,774</w:t>
            </w:r>
          </w:p>
        </w:tc>
      </w:tr>
      <w:tr w:rsidR="00224102" w:rsidRPr="005C1A95" w14:paraId="051E4661" w14:textId="77777777" w:rsidTr="00246081">
        <w:trPr>
          <w:trHeight w:val="254"/>
        </w:trPr>
        <w:tc>
          <w:tcPr>
            <w:tcW w:w="3826" w:type="dxa"/>
            <w:shd w:val="clear" w:color="auto" w:fill="auto"/>
            <w:vAlign w:val="bottom"/>
          </w:tcPr>
          <w:p w14:paraId="75093F44" w14:textId="77777777" w:rsidR="00224102" w:rsidRPr="00246081" w:rsidRDefault="00224102" w:rsidP="00224102">
            <w:pPr>
              <w:spacing w:line="223" w:lineRule="auto"/>
              <w:rPr>
                <w:b/>
                <w:snapToGrid w:val="0"/>
                <w:sz w:val="18"/>
                <w:szCs w:val="18"/>
              </w:rPr>
            </w:pPr>
            <w:r w:rsidRPr="00246081">
              <w:rPr>
                <w:b/>
                <w:bCs/>
                <w:snapToGrid w:val="0"/>
                <w:sz w:val="18"/>
                <w:szCs w:val="18"/>
              </w:rPr>
              <w:t>Total Cash and Cash Equivalents</w:t>
            </w:r>
          </w:p>
        </w:tc>
        <w:tc>
          <w:tcPr>
            <w:tcW w:w="2434" w:type="dxa"/>
            <w:shd w:val="clear" w:color="auto" w:fill="auto"/>
            <w:vAlign w:val="bottom"/>
          </w:tcPr>
          <w:p w14:paraId="7ECD1A92" w14:textId="16693CB5" w:rsidR="00224102" w:rsidRPr="00246081" w:rsidRDefault="00224102" w:rsidP="00246081">
            <w:pPr>
              <w:ind w:right="60"/>
              <w:jc w:val="right"/>
              <w:rPr>
                <w:b/>
                <w:bCs/>
                <w:sz w:val="18"/>
                <w:szCs w:val="18"/>
              </w:rPr>
            </w:pPr>
            <w:r w:rsidRPr="00246081">
              <w:rPr>
                <w:b/>
                <w:bCs/>
                <w:sz w:val="18"/>
                <w:szCs w:val="18"/>
              </w:rPr>
              <w:t xml:space="preserve">    1,286,776 </w:t>
            </w:r>
          </w:p>
        </w:tc>
        <w:tc>
          <w:tcPr>
            <w:tcW w:w="2435" w:type="dxa"/>
            <w:shd w:val="clear" w:color="auto" w:fill="auto"/>
            <w:vAlign w:val="bottom"/>
          </w:tcPr>
          <w:p w14:paraId="1D815172" w14:textId="721E7155" w:rsidR="00224102" w:rsidRPr="00246081" w:rsidRDefault="00224102" w:rsidP="00246081">
            <w:pPr>
              <w:ind w:right="60"/>
              <w:jc w:val="right"/>
              <w:rPr>
                <w:b/>
                <w:bCs/>
                <w:sz w:val="18"/>
                <w:szCs w:val="18"/>
              </w:rPr>
            </w:pPr>
            <w:r w:rsidRPr="00246081">
              <w:rPr>
                <w:b/>
                <w:bCs/>
                <w:sz w:val="18"/>
                <w:szCs w:val="18"/>
              </w:rPr>
              <w:t>459,281</w:t>
            </w:r>
          </w:p>
        </w:tc>
      </w:tr>
    </w:tbl>
    <w:p w14:paraId="757EA10C" w14:textId="5F9124AB" w:rsidR="00F65142"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7A5F55BC" w14:textId="31DAD85C" w:rsidR="00886F60" w:rsidRPr="005C1A95" w:rsidRDefault="00886F60" w:rsidP="00490153">
      <w:pPr>
        <w:pStyle w:val="BodyText"/>
        <w:tabs>
          <w:tab w:val="clear" w:pos="0"/>
          <w:tab w:val="clear" w:pos="720"/>
          <w:tab w:val="left" w:pos="851"/>
        </w:tabs>
        <w:spacing w:before="120" w:line="223" w:lineRule="auto"/>
        <w:rPr>
          <w:b/>
          <w:color w:val="000000" w:themeColor="text1"/>
          <w:sz w:val="20"/>
        </w:rPr>
      </w:pPr>
      <w:r>
        <w:rPr>
          <w:b/>
          <w:color w:val="000000" w:themeColor="text1"/>
          <w:sz w:val="20"/>
        </w:rPr>
        <w:t xml:space="preserve">VI.   </w:t>
      </w:r>
      <w:r w:rsidRPr="00210676">
        <w:rPr>
          <w:b/>
          <w:color w:val="000000" w:themeColor="text1"/>
          <w:sz w:val="20"/>
        </w:rPr>
        <w:t xml:space="preserve">Explanations </w:t>
      </w:r>
      <w:r w:rsidR="00070CCA">
        <w:rPr>
          <w:b/>
          <w:color w:val="000000" w:themeColor="text1"/>
          <w:sz w:val="20"/>
        </w:rPr>
        <w:t>a</w:t>
      </w:r>
      <w:r w:rsidRPr="00210676">
        <w:rPr>
          <w:b/>
          <w:color w:val="000000" w:themeColor="text1"/>
          <w:sz w:val="20"/>
        </w:rPr>
        <w:t xml:space="preserve">nd Notes </w:t>
      </w:r>
      <w:r w:rsidR="00647320">
        <w:rPr>
          <w:b/>
          <w:color w:val="000000" w:themeColor="text1"/>
          <w:sz w:val="20"/>
        </w:rPr>
        <w:t xml:space="preserve">on </w:t>
      </w:r>
      <w:r w:rsidRPr="005C1A95">
        <w:rPr>
          <w:b/>
          <w:color w:val="000000" w:themeColor="text1"/>
          <w:sz w:val="20"/>
        </w:rPr>
        <w:t>S</w:t>
      </w:r>
      <w:r w:rsidR="00FC2264">
        <w:rPr>
          <w:b/>
          <w:color w:val="000000" w:themeColor="text1"/>
          <w:sz w:val="20"/>
        </w:rPr>
        <w:t>tatement o</w:t>
      </w:r>
      <w:r>
        <w:rPr>
          <w:b/>
          <w:color w:val="000000" w:themeColor="text1"/>
          <w:sz w:val="20"/>
        </w:rPr>
        <w:t>f Cash Flows</w:t>
      </w:r>
      <w:r w:rsidR="00647320">
        <w:rPr>
          <w:b/>
          <w:color w:val="000000" w:themeColor="text1"/>
          <w:sz w:val="20"/>
        </w:rPr>
        <w:t xml:space="preserve"> (Continued)</w:t>
      </w:r>
    </w:p>
    <w:p w14:paraId="75073263" w14:textId="77777777" w:rsidR="00F65142" w:rsidRDefault="00F65142" w:rsidP="00490153">
      <w:pPr>
        <w:pStyle w:val="BodyTextIndent"/>
        <w:tabs>
          <w:tab w:val="left" w:pos="284"/>
          <w:tab w:val="left" w:pos="2268"/>
        </w:tabs>
        <w:spacing w:before="120" w:after="0"/>
        <w:ind w:left="0"/>
        <w:rPr>
          <w:b/>
          <w:bCs/>
          <w:iCs/>
          <w:sz w:val="20"/>
          <w:szCs w:val="20"/>
        </w:rPr>
      </w:pPr>
      <w:r w:rsidRPr="00FE314D">
        <w:rPr>
          <w:b/>
          <w:bCs/>
          <w:iCs/>
          <w:sz w:val="20"/>
          <w:szCs w:val="20"/>
        </w:rPr>
        <w:t>b</w:t>
      </w:r>
      <w:r>
        <w:rPr>
          <w:b/>
          <w:bCs/>
          <w:iCs/>
          <w:sz w:val="20"/>
          <w:szCs w:val="20"/>
        </w:rPr>
        <w:t>.</w:t>
      </w:r>
      <w:r w:rsidRPr="00FE314D">
        <w:rPr>
          <w:b/>
          <w:bCs/>
          <w:iCs/>
          <w:sz w:val="20"/>
          <w:szCs w:val="20"/>
        </w:rPr>
        <w:tab/>
        <w:t xml:space="preserve">Information on cash and cash equivalents that are not in use due to legal limitations and other reasons: </w:t>
      </w:r>
    </w:p>
    <w:p w14:paraId="162567B7" w14:textId="77777777" w:rsidR="00F65142" w:rsidRPr="00FE314D" w:rsidRDefault="00F65142" w:rsidP="00490153">
      <w:pPr>
        <w:pStyle w:val="BodyTextIndent"/>
        <w:tabs>
          <w:tab w:val="left" w:pos="2268"/>
        </w:tabs>
        <w:spacing w:before="120" w:after="0"/>
        <w:ind w:left="0"/>
        <w:rPr>
          <w:iCs/>
          <w:sz w:val="20"/>
          <w:szCs w:val="20"/>
        </w:rPr>
      </w:pPr>
      <w:r w:rsidRPr="00FE314D">
        <w:rPr>
          <w:iCs/>
          <w:sz w:val="20"/>
          <w:szCs w:val="20"/>
        </w:rPr>
        <w:t>None.</w:t>
      </w:r>
    </w:p>
    <w:p w14:paraId="462F5188" w14:textId="77777777" w:rsidR="00F65142" w:rsidRPr="00FE314D" w:rsidRDefault="00F65142" w:rsidP="00490153">
      <w:pPr>
        <w:pStyle w:val="BodyTextIndent"/>
        <w:tabs>
          <w:tab w:val="left" w:pos="2268"/>
        </w:tabs>
        <w:spacing w:before="120" w:after="0"/>
        <w:ind w:left="0"/>
        <w:rPr>
          <w:iCs/>
          <w:sz w:val="20"/>
          <w:szCs w:val="20"/>
        </w:rPr>
      </w:pPr>
      <w:proofErr w:type="gramStart"/>
      <w:r w:rsidRPr="00FE314D">
        <w:rPr>
          <w:b/>
          <w:bCs/>
          <w:iCs/>
          <w:sz w:val="20"/>
          <w:szCs w:val="20"/>
        </w:rPr>
        <w:t>c.</w:t>
      </w:r>
      <w:r>
        <w:rPr>
          <w:b/>
          <w:bCs/>
          <w:iCs/>
          <w:sz w:val="20"/>
          <w:szCs w:val="20"/>
        </w:rPr>
        <w:t xml:space="preserve">  </w:t>
      </w:r>
      <w:r w:rsidRPr="00FE314D">
        <w:rPr>
          <w:b/>
          <w:bCs/>
          <w:iCs/>
          <w:sz w:val="20"/>
          <w:szCs w:val="20"/>
        </w:rPr>
        <w:t>The</w:t>
      </w:r>
      <w:proofErr w:type="gramEnd"/>
      <w:r w:rsidRPr="00FE314D">
        <w:rPr>
          <w:b/>
          <w:bCs/>
          <w:iCs/>
          <w:sz w:val="20"/>
          <w:szCs w:val="20"/>
        </w:rPr>
        <w:t xml:space="preserve"> effects of the change in foreign exchange rates on cash and cash equivalents</w:t>
      </w:r>
      <w:r w:rsidRPr="00FE314D">
        <w:rPr>
          <w:iCs/>
          <w:sz w:val="20"/>
          <w:szCs w:val="20"/>
        </w:rPr>
        <w:t>:</w:t>
      </w:r>
    </w:p>
    <w:p w14:paraId="5C09BFA3" w14:textId="1762F20D" w:rsidR="00F65142" w:rsidRPr="005C1A95" w:rsidRDefault="00F65142" w:rsidP="00490153">
      <w:pPr>
        <w:spacing w:before="120"/>
        <w:jc w:val="both"/>
        <w:rPr>
          <w:sz w:val="20"/>
          <w:szCs w:val="20"/>
        </w:rPr>
      </w:pPr>
      <w:r w:rsidRPr="005C1A95">
        <w:rPr>
          <w:sz w:val="20"/>
          <w:szCs w:val="20"/>
        </w:rPr>
        <w:t>Increase in “Other Account” amounting to TL</w:t>
      </w:r>
      <w:r w:rsidR="00EB2A5F">
        <w:rPr>
          <w:sz w:val="20"/>
          <w:szCs w:val="20"/>
        </w:rPr>
        <w:t xml:space="preserve"> 900,618</w:t>
      </w:r>
      <w:r w:rsidR="00FD0C7A">
        <w:rPr>
          <w:sz w:val="20"/>
          <w:szCs w:val="20"/>
        </w:rPr>
        <w:t xml:space="preserve"> </w:t>
      </w:r>
      <w:r>
        <w:rPr>
          <w:sz w:val="20"/>
          <w:szCs w:val="20"/>
        </w:rPr>
        <w:t>(31 December 201</w:t>
      </w:r>
      <w:r w:rsidR="00886F60">
        <w:rPr>
          <w:sz w:val="20"/>
          <w:szCs w:val="20"/>
        </w:rPr>
        <w:t>4</w:t>
      </w:r>
      <w:r w:rsidRPr="005C1A95">
        <w:rPr>
          <w:sz w:val="20"/>
          <w:szCs w:val="20"/>
        </w:rPr>
        <w:t>: TL</w:t>
      </w:r>
      <w:r>
        <w:rPr>
          <w:sz w:val="20"/>
          <w:szCs w:val="20"/>
        </w:rPr>
        <w:t xml:space="preserve"> </w:t>
      </w:r>
      <w:r w:rsidR="00886F60">
        <w:rPr>
          <w:sz w:val="20"/>
          <w:szCs w:val="20"/>
        </w:rPr>
        <w:t>429,987</w:t>
      </w:r>
      <w:r>
        <w:rPr>
          <w:sz w:val="20"/>
          <w:szCs w:val="20"/>
        </w:rPr>
        <w:t xml:space="preserve"> increase</w:t>
      </w:r>
      <w:r w:rsidRPr="005C1A95">
        <w:rPr>
          <w:sz w:val="20"/>
          <w:szCs w:val="20"/>
        </w:rPr>
        <w:t xml:space="preserve">) which is classified under “Operating profit before changes in operating assets and liabilities” basically includes Fee and Commissions, Other Operating Expenses excluding Personnel Expenses, Foreign Exchange Gains/Losses as well as Provision and Depreciation that do not create cash in/outflow. </w:t>
      </w:r>
    </w:p>
    <w:p w14:paraId="79AAABC7" w14:textId="352ACC43" w:rsidR="00F65142" w:rsidRPr="005C1A95" w:rsidRDefault="00224102" w:rsidP="00490153">
      <w:pPr>
        <w:spacing w:before="120"/>
        <w:jc w:val="both"/>
        <w:rPr>
          <w:sz w:val="20"/>
          <w:szCs w:val="20"/>
        </w:rPr>
      </w:pPr>
      <w:r>
        <w:rPr>
          <w:sz w:val="20"/>
          <w:szCs w:val="20"/>
        </w:rPr>
        <w:t>Decrease</w:t>
      </w:r>
      <w:r w:rsidR="00F65142" w:rsidRPr="005C1A95">
        <w:rPr>
          <w:sz w:val="20"/>
          <w:szCs w:val="20"/>
        </w:rPr>
        <w:t xml:space="preserve"> in “Net increase/decrease in other liabilities amounting to TL</w:t>
      </w:r>
      <w:r w:rsidR="00FD0C7A">
        <w:rPr>
          <w:sz w:val="20"/>
          <w:szCs w:val="20"/>
        </w:rPr>
        <w:t xml:space="preserve"> 124,977</w:t>
      </w:r>
      <w:r w:rsidR="00F65142" w:rsidRPr="005C1A95">
        <w:rPr>
          <w:sz w:val="20"/>
          <w:szCs w:val="20"/>
        </w:rPr>
        <w:t xml:space="preserve"> (</w:t>
      </w:r>
      <w:r w:rsidR="00F65142">
        <w:rPr>
          <w:sz w:val="20"/>
          <w:szCs w:val="20"/>
        </w:rPr>
        <w:t xml:space="preserve">31 December </w:t>
      </w:r>
      <w:r w:rsidR="00F65142" w:rsidRPr="005C1A95">
        <w:rPr>
          <w:sz w:val="20"/>
          <w:szCs w:val="20"/>
        </w:rPr>
        <w:t>201</w:t>
      </w:r>
      <w:r w:rsidR="00886F60">
        <w:rPr>
          <w:sz w:val="20"/>
          <w:szCs w:val="20"/>
        </w:rPr>
        <w:t>4</w:t>
      </w:r>
      <w:r w:rsidR="00F65142" w:rsidRPr="005C1A95">
        <w:rPr>
          <w:sz w:val="20"/>
          <w:szCs w:val="20"/>
        </w:rPr>
        <w:t xml:space="preserve">: </w:t>
      </w:r>
      <w:r w:rsidR="00F65142">
        <w:rPr>
          <w:sz w:val="20"/>
          <w:szCs w:val="20"/>
        </w:rPr>
        <w:t xml:space="preserve">TL </w:t>
      </w:r>
      <w:r w:rsidR="00886F60">
        <w:rPr>
          <w:sz w:val="20"/>
          <w:szCs w:val="20"/>
        </w:rPr>
        <w:t>1,189,816</w:t>
      </w:r>
      <w:r>
        <w:rPr>
          <w:sz w:val="20"/>
          <w:szCs w:val="20"/>
        </w:rPr>
        <w:t xml:space="preserve"> decrease</w:t>
      </w:r>
      <w:r w:rsidR="00F65142" w:rsidRPr="005C1A95">
        <w:rPr>
          <w:sz w:val="20"/>
          <w:szCs w:val="20"/>
        </w:rPr>
        <w:t>) which is classified under “Operating profit before changes in operating assets and liabilities” includes changes in Miscellaneous Payables, Other Liabilities, Taxes Payable, Charges, Duties and Premiums.</w:t>
      </w:r>
    </w:p>
    <w:p w14:paraId="6EC94186" w14:textId="6DEA0B5A" w:rsidR="00F65142" w:rsidRPr="005C1A95" w:rsidRDefault="00F65142" w:rsidP="00991C34">
      <w:pPr>
        <w:pStyle w:val="BodyTextIndent"/>
        <w:tabs>
          <w:tab w:val="left" w:pos="2268"/>
        </w:tabs>
        <w:spacing w:before="120" w:after="0"/>
        <w:ind w:left="0"/>
        <w:jc w:val="both"/>
        <w:rPr>
          <w:sz w:val="20"/>
          <w:szCs w:val="20"/>
        </w:rPr>
      </w:pPr>
      <w:r w:rsidRPr="005C1A95">
        <w:rPr>
          <w:bCs/>
          <w:sz w:val="20"/>
          <w:szCs w:val="20"/>
        </w:rPr>
        <w:t xml:space="preserve">The effects of the change in foreign exchange rates on cash and cash equivalents is calculated approximately </w:t>
      </w:r>
      <w:r w:rsidRPr="005C1A95">
        <w:rPr>
          <w:sz w:val="20"/>
          <w:szCs w:val="20"/>
        </w:rPr>
        <w:t>TL</w:t>
      </w:r>
      <w:r w:rsidR="00FD0C7A">
        <w:rPr>
          <w:sz w:val="20"/>
          <w:szCs w:val="20"/>
        </w:rPr>
        <w:t xml:space="preserve"> 341,282</w:t>
      </w:r>
      <w:r w:rsidRPr="005C1A95">
        <w:rPr>
          <w:sz w:val="20"/>
          <w:szCs w:val="20"/>
        </w:rPr>
        <w:t xml:space="preserve"> as of 31 December 201</w:t>
      </w:r>
      <w:r w:rsidR="00886F60">
        <w:rPr>
          <w:sz w:val="20"/>
          <w:szCs w:val="20"/>
        </w:rPr>
        <w:t>5</w:t>
      </w:r>
      <w:r>
        <w:rPr>
          <w:sz w:val="20"/>
          <w:szCs w:val="20"/>
        </w:rPr>
        <w:t xml:space="preserve"> (31 December </w:t>
      </w:r>
      <w:r w:rsidRPr="005C1A95">
        <w:rPr>
          <w:sz w:val="20"/>
          <w:szCs w:val="20"/>
        </w:rPr>
        <w:t>201</w:t>
      </w:r>
      <w:r w:rsidR="00886F60">
        <w:rPr>
          <w:sz w:val="20"/>
          <w:szCs w:val="20"/>
        </w:rPr>
        <w:t>4</w:t>
      </w:r>
      <w:r w:rsidRPr="005C1A95">
        <w:rPr>
          <w:sz w:val="20"/>
          <w:szCs w:val="20"/>
        </w:rPr>
        <w:t xml:space="preserve">: </w:t>
      </w:r>
      <w:r>
        <w:rPr>
          <w:sz w:val="20"/>
          <w:szCs w:val="20"/>
        </w:rPr>
        <w:t xml:space="preserve">TL </w:t>
      </w:r>
      <w:r w:rsidR="00886F60">
        <w:rPr>
          <w:sz w:val="20"/>
          <w:szCs w:val="20"/>
        </w:rPr>
        <w:t>78,724</w:t>
      </w:r>
      <w:r>
        <w:rPr>
          <w:sz w:val="20"/>
          <w:szCs w:val="20"/>
        </w:rPr>
        <w:t>)</w:t>
      </w:r>
      <w:r w:rsidR="00064ED4">
        <w:rPr>
          <w:sz w:val="20"/>
          <w:szCs w:val="20"/>
        </w:rPr>
        <w:t>.</w:t>
      </w:r>
    </w:p>
    <w:p w14:paraId="39E396FC" w14:textId="77777777" w:rsidR="00F65142" w:rsidRPr="00376308" w:rsidRDefault="00F65142" w:rsidP="00F65142">
      <w:pPr>
        <w:pStyle w:val="BodyTextIndent"/>
        <w:tabs>
          <w:tab w:val="left" w:pos="2268"/>
        </w:tabs>
        <w:spacing w:after="0"/>
        <w:ind w:left="0"/>
        <w:rPr>
          <w:sz w:val="16"/>
          <w:szCs w:val="16"/>
        </w:rPr>
      </w:pPr>
    </w:p>
    <w:p w14:paraId="6B240B33" w14:textId="77777777" w:rsidR="00F65142" w:rsidRDefault="00F65142" w:rsidP="00F65142">
      <w:pPr>
        <w:pStyle w:val="BodyTextIndent"/>
        <w:tabs>
          <w:tab w:val="left" w:pos="2268"/>
        </w:tabs>
        <w:spacing w:after="0"/>
        <w:ind w:left="0"/>
        <w:rPr>
          <w:sz w:val="16"/>
          <w:szCs w:val="16"/>
        </w:rPr>
      </w:pPr>
    </w:p>
    <w:p w14:paraId="60CE9292" w14:textId="77777777" w:rsidR="00F65142" w:rsidRDefault="00F65142" w:rsidP="00F65142">
      <w:pPr>
        <w:pStyle w:val="BodyTextIndent"/>
        <w:tabs>
          <w:tab w:val="left" w:pos="2268"/>
        </w:tabs>
        <w:spacing w:after="0"/>
        <w:ind w:left="0"/>
        <w:rPr>
          <w:sz w:val="16"/>
          <w:szCs w:val="16"/>
        </w:rPr>
      </w:pPr>
    </w:p>
    <w:p w14:paraId="6FD9CC5E" w14:textId="77777777" w:rsidR="00F65142" w:rsidRDefault="00F65142" w:rsidP="00EB4345">
      <w:pPr>
        <w:pStyle w:val="BodyTextIndent"/>
        <w:tabs>
          <w:tab w:val="left" w:pos="2268"/>
        </w:tabs>
        <w:spacing w:after="0"/>
        <w:ind w:left="0"/>
        <w:rPr>
          <w:sz w:val="16"/>
          <w:szCs w:val="16"/>
        </w:rPr>
      </w:pPr>
    </w:p>
    <w:p w14:paraId="1182307B" w14:textId="77777777" w:rsidR="00F65142" w:rsidRDefault="00F65142" w:rsidP="00EB4345">
      <w:pPr>
        <w:pStyle w:val="BodyTextIndent"/>
        <w:tabs>
          <w:tab w:val="left" w:pos="2268"/>
        </w:tabs>
        <w:spacing w:after="0"/>
        <w:ind w:left="0"/>
        <w:rPr>
          <w:sz w:val="16"/>
          <w:szCs w:val="16"/>
        </w:rPr>
      </w:pPr>
    </w:p>
    <w:p w14:paraId="4A8A9BC0" w14:textId="77777777" w:rsidR="00F65142" w:rsidRDefault="00F65142" w:rsidP="00EB4345">
      <w:pPr>
        <w:pStyle w:val="BodyTextIndent"/>
        <w:tabs>
          <w:tab w:val="left" w:pos="2268"/>
        </w:tabs>
        <w:spacing w:after="0"/>
        <w:ind w:left="0"/>
        <w:rPr>
          <w:sz w:val="16"/>
          <w:szCs w:val="16"/>
        </w:rPr>
      </w:pPr>
    </w:p>
    <w:p w14:paraId="4285F003" w14:textId="77777777" w:rsidR="00F65142" w:rsidRDefault="00F65142" w:rsidP="00EB4345">
      <w:pPr>
        <w:pStyle w:val="BodyTextIndent"/>
        <w:tabs>
          <w:tab w:val="left" w:pos="2268"/>
        </w:tabs>
        <w:spacing w:after="0"/>
        <w:ind w:left="0"/>
        <w:rPr>
          <w:sz w:val="16"/>
          <w:szCs w:val="16"/>
        </w:rPr>
      </w:pPr>
    </w:p>
    <w:p w14:paraId="27558612" w14:textId="77777777" w:rsidR="00F65142" w:rsidRDefault="00F65142" w:rsidP="00EB4345">
      <w:pPr>
        <w:pStyle w:val="BodyTextIndent"/>
        <w:tabs>
          <w:tab w:val="left" w:pos="2268"/>
        </w:tabs>
        <w:spacing w:after="0"/>
        <w:ind w:left="0"/>
        <w:rPr>
          <w:sz w:val="16"/>
          <w:szCs w:val="16"/>
        </w:rPr>
      </w:pPr>
    </w:p>
    <w:p w14:paraId="1705385C" w14:textId="77777777" w:rsidR="00F65142" w:rsidRDefault="00F65142" w:rsidP="00EB4345">
      <w:pPr>
        <w:pStyle w:val="BodyTextIndent"/>
        <w:tabs>
          <w:tab w:val="left" w:pos="2268"/>
        </w:tabs>
        <w:spacing w:after="0"/>
        <w:ind w:left="0"/>
        <w:rPr>
          <w:sz w:val="16"/>
          <w:szCs w:val="16"/>
        </w:rPr>
      </w:pPr>
    </w:p>
    <w:p w14:paraId="3E4FD067" w14:textId="77777777" w:rsidR="00F65142" w:rsidRDefault="00F65142" w:rsidP="00EB4345">
      <w:pPr>
        <w:pStyle w:val="BodyTextIndent"/>
        <w:tabs>
          <w:tab w:val="left" w:pos="2268"/>
        </w:tabs>
        <w:spacing w:after="0"/>
        <w:ind w:left="0"/>
        <w:rPr>
          <w:sz w:val="16"/>
          <w:szCs w:val="16"/>
        </w:rPr>
      </w:pPr>
    </w:p>
    <w:p w14:paraId="16FAD4FD" w14:textId="77777777" w:rsidR="00F65142" w:rsidRDefault="00F65142" w:rsidP="00EB4345">
      <w:pPr>
        <w:pStyle w:val="BodyTextIndent"/>
        <w:tabs>
          <w:tab w:val="left" w:pos="2268"/>
        </w:tabs>
        <w:spacing w:after="0"/>
        <w:ind w:left="0"/>
        <w:rPr>
          <w:sz w:val="16"/>
          <w:szCs w:val="16"/>
        </w:rPr>
      </w:pPr>
    </w:p>
    <w:p w14:paraId="2FC9B205" w14:textId="77777777" w:rsidR="00F65142" w:rsidRDefault="00F65142" w:rsidP="00EB4345">
      <w:pPr>
        <w:pStyle w:val="BodyTextIndent"/>
        <w:tabs>
          <w:tab w:val="left" w:pos="2268"/>
        </w:tabs>
        <w:spacing w:after="0"/>
        <w:ind w:left="0"/>
        <w:rPr>
          <w:sz w:val="16"/>
          <w:szCs w:val="16"/>
        </w:rPr>
      </w:pPr>
    </w:p>
    <w:p w14:paraId="67BF47ED" w14:textId="77777777" w:rsidR="00F65142" w:rsidRDefault="00F65142" w:rsidP="00EB4345">
      <w:pPr>
        <w:pStyle w:val="BodyTextIndent"/>
        <w:tabs>
          <w:tab w:val="left" w:pos="2268"/>
        </w:tabs>
        <w:spacing w:after="0"/>
        <w:ind w:left="0"/>
        <w:rPr>
          <w:sz w:val="16"/>
          <w:szCs w:val="16"/>
        </w:rPr>
      </w:pPr>
    </w:p>
    <w:p w14:paraId="30372E55" w14:textId="77777777" w:rsidR="00F65142" w:rsidRDefault="00F65142" w:rsidP="00EB4345">
      <w:pPr>
        <w:pStyle w:val="BodyTextIndent"/>
        <w:tabs>
          <w:tab w:val="left" w:pos="2268"/>
        </w:tabs>
        <w:spacing w:after="0"/>
        <w:ind w:left="0"/>
        <w:rPr>
          <w:sz w:val="16"/>
          <w:szCs w:val="16"/>
        </w:rPr>
      </w:pPr>
    </w:p>
    <w:p w14:paraId="4FF9478C" w14:textId="77777777" w:rsidR="00F65142" w:rsidRDefault="00F65142" w:rsidP="00EB4345">
      <w:pPr>
        <w:pStyle w:val="BodyTextIndent"/>
        <w:tabs>
          <w:tab w:val="left" w:pos="2268"/>
        </w:tabs>
        <w:spacing w:after="0"/>
        <w:ind w:left="0"/>
        <w:rPr>
          <w:sz w:val="16"/>
          <w:szCs w:val="16"/>
        </w:rPr>
      </w:pPr>
    </w:p>
    <w:p w14:paraId="293AA971" w14:textId="77777777" w:rsidR="00F65142" w:rsidRDefault="00F65142" w:rsidP="00EB4345">
      <w:pPr>
        <w:pStyle w:val="BodyTextIndent"/>
        <w:tabs>
          <w:tab w:val="left" w:pos="2268"/>
        </w:tabs>
        <w:spacing w:after="0"/>
        <w:ind w:left="0"/>
        <w:rPr>
          <w:sz w:val="16"/>
          <w:szCs w:val="16"/>
        </w:rPr>
      </w:pPr>
    </w:p>
    <w:p w14:paraId="4A8316E3" w14:textId="77777777" w:rsidR="00F65142" w:rsidRDefault="00F65142" w:rsidP="00EB4345">
      <w:pPr>
        <w:pStyle w:val="BodyTextIndent"/>
        <w:tabs>
          <w:tab w:val="left" w:pos="2268"/>
        </w:tabs>
        <w:spacing w:after="0"/>
        <w:ind w:left="0"/>
        <w:rPr>
          <w:sz w:val="16"/>
          <w:szCs w:val="16"/>
        </w:rPr>
      </w:pPr>
    </w:p>
    <w:p w14:paraId="2211DD35" w14:textId="77777777" w:rsidR="00F65142" w:rsidRDefault="00F65142" w:rsidP="00EB4345">
      <w:pPr>
        <w:pStyle w:val="BodyTextIndent"/>
        <w:tabs>
          <w:tab w:val="left" w:pos="2268"/>
        </w:tabs>
        <w:spacing w:after="0"/>
        <w:ind w:left="0"/>
        <w:rPr>
          <w:sz w:val="16"/>
          <w:szCs w:val="16"/>
        </w:rPr>
      </w:pPr>
    </w:p>
    <w:p w14:paraId="225FEC75" w14:textId="77777777" w:rsidR="00F65142" w:rsidRDefault="00F65142" w:rsidP="00EB4345">
      <w:pPr>
        <w:pStyle w:val="BodyTextIndent"/>
        <w:tabs>
          <w:tab w:val="left" w:pos="2268"/>
        </w:tabs>
        <w:spacing w:after="0"/>
        <w:ind w:left="0"/>
        <w:rPr>
          <w:sz w:val="16"/>
          <w:szCs w:val="16"/>
        </w:rPr>
      </w:pPr>
    </w:p>
    <w:p w14:paraId="54FF12CE" w14:textId="77777777" w:rsidR="00F65142" w:rsidRDefault="00F65142" w:rsidP="00EB4345">
      <w:pPr>
        <w:pStyle w:val="BodyTextIndent"/>
        <w:tabs>
          <w:tab w:val="left" w:pos="2268"/>
        </w:tabs>
        <w:spacing w:after="0"/>
        <w:ind w:left="0"/>
        <w:rPr>
          <w:sz w:val="16"/>
          <w:szCs w:val="16"/>
        </w:rPr>
      </w:pPr>
    </w:p>
    <w:p w14:paraId="58813B8E" w14:textId="77777777" w:rsidR="00F65142" w:rsidRDefault="00F65142" w:rsidP="00EB4345">
      <w:pPr>
        <w:pStyle w:val="BodyTextIndent"/>
        <w:tabs>
          <w:tab w:val="left" w:pos="2268"/>
        </w:tabs>
        <w:spacing w:after="0"/>
        <w:ind w:left="0"/>
        <w:rPr>
          <w:sz w:val="16"/>
          <w:szCs w:val="16"/>
        </w:rPr>
      </w:pPr>
    </w:p>
    <w:p w14:paraId="70D6A4CE" w14:textId="77777777" w:rsidR="00F65142" w:rsidRDefault="00F65142" w:rsidP="00EB4345">
      <w:pPr>
        <w:pStyle w:val="BodyTextIndent"/>
        <w:tabs>
          <w:tab w:val="left" w:pos="2268"/>
        </w:tabs>
        <w:spacing w:after="0"/>
        <w:ind w:left="0"/>
        <w:rPr>
          <w:sz w:val="16"/>
          <w:szCs w:val="16"/>
        </w:rPr>
      </w:pPr>
    </w:p>
    <w:p w14:paraId="757D5417" w14:textId="77777777" w:rsidR="00F65142" w:rsidRDefault="00F65142" w:rsidP="00EB4345">
      <w:pPr>
        <w:pStyle w:val="BodyTextIndent"/>
        <w:tabs>
          <w:tab w:val="left" w:pos="2268"/>
        </w:tabs>
        <w:spacing w:after="0"/>
        <w:ind w:left="0"/>
        <w:rPr>
          <w:sz w:val="16"/>
          <w:szCs w:val="16"/>
        </w:rPr>
      </w:pPr>
    </w:p>
    <w:p w14:paraId="640FEDDD" w14:textId="77777777" w:rsidR="00F65142" w:rsidRDefault="00F65142" w:rsidP="00EB4345">
      <w:pPr>
        <w:pStyle w:val="BodyTextIndent"/>
        <w:tabs>
          <w:tab w:val="left" w:pos="2268"/>
        </w:tabs>
        <w:spacing w:after="0"/>
        <w:ind w:left="0"/>
        <w:rPr>
          <w:sz w:val="16"/>
          <w:szCs w:val="16"/>
        </w:rPr>
      </w:pPr>
    </w:p>
    <w:p w14:paraId="52252CB2" w14:textId="77777777" w:rsidR="00F65142" w:rsidRDefault="00F65142" w:rsidP="00EB4345">
      <w:pPr>
        <w:pStyle w:val="BodyTextIndent"/>
        <w:tabs>
          <w:tab w:val="left" w:pos="2268"/>
        </w:tabs>
        <w:spacing w:after="0"/>
        <w:ind w:left="0"/>
        <w:rPr>
          <w:sz w:val="16"/>
          <w:szCs w:val="16"/>
        </w:rPr>
      </w:pPr>
    </w:p>
    <w:p w14:paraId="77309AB4" w14:textId="77777777" w:rsidR="00F65142" w:rsidRDefault="00F65142" w:rsidP="00EB4345">
      <w:pPr>
        <w:pStyle w:val="BodyTextIndent"/>
        <w:tabs>
          <w:tab w:val="left" w:pos="2268"/>
        </w:tabs>
        <w:spacing w:after="0"/>
        <w:ind w:left="0"/>
        <w:rPr>
          <w:sz w:val="16"/>
          <w:szCs w:val="16"/>
        </w:rPr>
      </w:pPr>
    </w:p>
    <w:p w14:paraId="1EABD6C4" w14:textId="77777777" w:rsidR="00F65142" w:rsidRDefault="00F65142" w:rsidP="00EB4345">
      <w:pPr>
        <w:pStyle w:val="BodyTextIndent"/>
        <w:tabs>
          <w:tab w:val="left" w:pos="2268"/>
        </w:tabs>
        <w:spacing w:after="0"/>
        <w:ind w:left="0"/>
        <w:rPr>
          <w:sz w:val="16"/>
          <w:szCs w:val="16"/>
        </w:rPr>
      </w:pPr>
    </w:p>
    <w:p w14:paraId="415ADBEB" w14:textId="77777777" w:rsidR="00F65142" w:rsidRDefault="00F65142" w:rsidP="00EB4345">
      <w:pPr>
        <w:pStyle w:val="BodyTextIndent"/>
        <w:tabs>
          <w:tab w:val="left" w:pos="2268"/>
        </w:tabs>
        <w:spacing w:after="0"/>
        <w:ind w:left="0"/>
        <w:rPr>
          <w:sz w:val="16"/>
          <w:szCs w:val="16"/>
        </w:rPr>
      </w:pPr>
    </w:p>
    <w:p w14:paraId="55B3A17C" w14:textId="77777777" w:rsidR="00F65142" w:rsidRDefault="00F65142" w:rsidP="00EB4345">
      <w:pPr>
        <w:pStyle w:val="BodyTextIndent"/>
        <w:tabs>
          <w:tab w:val="left" w:pos="2268"/>
        </w:tabs>
        <w:spacing w:after="0"/>
        <w:ind w:left="0"/>
        <w:rPr>
          <w:sz w:val="16"/>
          <w:szCs w:val="16"/>
        </w:rPr>
      </w:pPr>
    </w:p>
    <w:p w14:paraId="6746E717" w14:textId="77777777" w:rsidR="00F65142" w:rsidRDefault="00F65142" w:rsidP="00EB4345">
      <w:pPr>
        <w:pStyle w:val="BodyTextIndent"/>
        <w:tabs>
          <w:tab w:val="left" w:pos="2268"/>
        </w:tabs>
        <w:spacing w:after="0"/>
        <w:ind w:left="0"/>
        <w:rPr>
          <w:sz w:val="16"/>
          <w:szCs w:val="16"/>
        </w:rPr>
      </w:pPr>
    </w:p>
    <w:p w14:paraId="261C3D6A" w14:textId="77777777" w:rsidR="00F65142" w:rsidRDefault="00F65142" w:rsidP="00EB4345">
      <w:pPr>
        <w:pStyle w:val="BodyTextIndent"/>
        <w:tabs>
          <w:tab w:val="left" w:pos="2268"/>
        </w:tabs>
        <w:spacing w:after="0"/>
        <w:ind w:left="0"/>
        <w:rPr>
          <w:sz w:val="16"/>
          <w:szCs w:val="16"/>
        </w:rPr>
      </w:pPr>
    </w:p>
    <w:p w14:paraId="246CE01B" w14:textId="77777777" w:rsidR="00F65142" w:rsidRDefault="00F65142" w:rsidP="00EB4345">
      <w:pPr>
        <w:pStyle w:val="BodyTextIndent"/>
        <w:tabs>
          <w:tab w:val="left" w:pos="2268"/>
        </w:tabs>
        <w:spacing w:after="0"/>
        <w:ind w:left="0"/>
        <w:rPr>
          <w:sz w:val="16"/>
          <w:szCs w:val="16"/>
        </w:rPr>
      </w:pPr>
    </w:p>
    <w:p w14:paraId="7FDE220E" w14:textId="77777777" w:rsidR="00F65142" w:rsidRDefault="00F65142" w:rsidP="00EB4345">
      <w:pPr>
        <w:pStyle w:val="BodyTextIndent"/>
        <w:tabs>
          <w:tab w:val="left" w:pos="2268"/>
        </w:tabs>
        <w:spacing w:after="0"/>
        <w:ind w:left="0"/>
        <w:rPr>
          <w:sz w:val="16"/>
          <w:szCs w:val="16"/>
        </w:rPr>
      </w:pPr>
    </w:p>
    <w:p w14:paraId="07CD6069" w14:textId="77777777" w:rsidR="00F65142" w:rsidRDefault="00F65142" w:rsidP="00EB4345">
      <w:pPr>
        <w:pStyle w:val="BodyTextIndent"/>
        <w:tabs>
          <w:tab w:val="left" w:pos="2268"/>
        </w:tabs>
        <w:spacing w:after="0"/>
        <w:ind w:left="0"/>
        <w:rPr>
          <w:sz w:val="16"/>
          <w:szCs w:val="16"/>
        </w:rPr>
      </w:pPr>
    </w:p>
    <w:p w14:paraId="6CF85038" w14:textId="77777777" w:rsidR="00F65142" w:rsidRDefault="00F65142" w:rsidP="00EB4345">
      <w:pPr>
        <w:pStyle w:val="BodyTextIndent"/>
        <w:tabs>
          <w:tab w:val="left" w:pos="2268"/>
        </w:tabs>
        <w:spacing w:after="0"/>
        <w:ind w:left="0"/>
        <w:rPr>
          <w:sz w:val="16"/>
          <w:szCs w:val="16"/>
        </w:rPr>
      </w:pPr>
    </w:p>
    <w:p w14:paraId="0D2A5767" w14:textId="77777777" w:rsidR="00F65142" w:rsidRDefault="00F65142" w:rsidP="00EB4345">
      <w:pPr>
        <w:pStyle w:val="BodyTextIndent"/>
        <w:tabs>
          <w:tab w:val="left" w:pos="2268"/>
        </w:tabs>
        <w:spacing w:after="0"/>
        <w:ind w:left="0"/>
        <w:rPr>
          <w:sz w:val="16"/>
          <w:szCs w:val="16"/>
        </w:rPr>
      </w:pPr>
    </w:p>
    <w:p w14:paraId="2C67C2FE" w14:textId="77777777" w:rsidR="00F65142" w:rsidRDefault="00F65142" w:rsidP="00EB4345">
      <w:pPr>
        <w:pStyle w:val="BodyTextIndent"/>
        <w:tabs>
          <w:tab w:val="left" w:pos="2268"/>
        </w:tabs>
        <w:spacing w:after="0"/>
        <w:ind w:left="0"/>
        <w:rPr>
          <w:sz w:val="16"/>
          <w:szCs w:val="16"/>
        </w:rPr>
      </w:pPr>
    </w:p>
    <w:p w14:paraId="23B04312" w14:textId="77777777" w:rsidR="00F65142" w:rsidRDefault="00F65142" w:rsidP="00EB4345">
      <w:pPr>
        <w:pStyle w:val="BodyTextIndent"/>
        <w:tabs>
          <w:tab w:val="left" w:pos="2268"/>
        </w:tabs>
        <w:spacing w:after="0"/>
        <w:ind w:left="0"/>
        <w:rPr>
          <w:sz w:val="16"/>
          <w:szCs w:val="16"/>
        </w:rPr>
      </w:pPr>
    </w:p>
    <w:p w14:paraId="3C09D73E" w14:textId="77777777" w:rsidR="00F65142" w:rsidRDefault="00F65142" w:rsidP="00EB4345">
      <w:pPr>
        <w:pStyle w:val="BodyTextIndent"/>
        <w:tabs>
          <w:tab w:val="left" w:pos="2268"/>
        </w:tabs>
        <w:spacing w:after="0"/>
        <w:ind w:left="0"/>
        <w:rPr>
          <w:sz w:val="16"/>
          <w:szCs w:val="16"/>
        </w:rPr>
      </w:pPr>
    </w:p>
    <w:p w14:paraId="609326DC" w14:textId="77777777" w:rsidR="00F65142" w:rsidRDefault="00F65142" w:rsidP="00EB4345">
      <w:pPr>
        <w:pStyle w:val="BodyTextIndent"/>
        <w:tabs>
          <w:tab w:val="left" w:pos="2268"/>
        </w:tabs>
        <w:spacing w:after="0"/>
        <w:ind w:left="0"/>
        <w:rPr>
          <w:sz w:val="16"/>
          <w:szCs w:val="16"/>
        </w:rPr>
      </w:pPr>
    </w:p>
    <w:p w14:paraId="0846AEC0" w14:textId="77777777" w:rsidR="00F65142" w:rsidRDefault="00F65142" w:rsidP="00EB4345">
      <w:pPr>
        <w:pStyle w:val="BodyTextIndent"/>
        <w:tabs>
          <w:tab w:val="left" w:pos="2268"/>
        </w:tabs>
        <w:spacing w:after="0"/>
        <w:ind w:left="0"/>
        <w:rPr>
          <w:sz w:val="16"/>
          <w:szCs w:val="16"/>
        </w:rPr>
      </w:pPr>
    </w:p>
    <w:p w14:paraId="1AAAB3A6" w14:textId="77777777" w:rsidR="00F65142" w:rsidRDefault="00F65142" w:rsidP="00EB4345">
      <w:pPr>
        <w:pStyle w:val="BodyTextIndent"/>
        <w:tabs>
          <w:tab w:val="left" w:pos="2268"/>
        </w:tabs>
        <w:spacing w:after="0"/>
        <w:ind w:left="0"/>
        <w:rPr>
          <w:sz w:val="16"/>
          <w:szCs w:val="16"/>
        </w:rPr>
      </w:pPr>
    </w:p>
    <w:p w14:paraId="21BAAE1D" w14:textId="77777777" w:rsidR="00F65142" w:rsidRDefault="00F65142" w:rsidP="00EB4345">
      <w:pPr>
        <w:pStyle w:val="BodyTextIndent"/>
        <w:tabs>
          <w:tab w:val="left" w:pos="2268"/>
        </w:tabs>
        <w:spacing w:after="0"/>
        <w:ind w:left="0"/>
        <w:rPr>
          <w:sz w:val="16"/>
          <w:szCs w:val="16"/>
        </w:rPr>
      </w:pPr>
    </w:p>
    <w:p w14:paraId="11B65AF7" w14:textId="77777777" w:rsidR="00F65142" w:rsidRDefault="00F65142">
      <w:pPr>
        <w:spacing w:after="200" w:line="276" w:lineRule="auto"/>
        <w:rPr>
          <w:sz w:val="16"/>
          <w:szCs w:val="16"/>
        </w:rPr>
      </w:pPr>
      <w:r>
        <w:rPr>
          <w:sz w:val="16"/>
          <w:szCs w:val="16"/>
        </w:rPr>
        <w:br w:type="page"/>
      </w:r>
    </w:p>
    <w:p w14:paraId="1BCC73B3" w14:textId="3B46210E" w:rsidR="0070221A"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690C312E" w14:textId="0AC86CE7" w:rsidR="00884814" w:rsidRPr="00604C75" w:rsidRDefault="00773891" w:rsidP="00647320">
      <w:pPr>
        <w:pStyle w:val="BodyTextIndent"/>
        <w:spacing w:before="120" w:after="0"/>
        <w:ind w:left="851" w:hanging="851"/>
        <w:jc w:val="both"/>
        <w:rPr>
          <w:sz w:val="20"/>
          <w:szCs w:val="20"/>
        </w:rPr>
      </w:pPr>
      <w:r>
        <w:rPr>
          <w:b/>
          <w:noProof/>
          <w:sz w:val="20"/>
          <w:szCs w:val="20"/>
          <w:lang w:val="tr-TR"/>
        </w:rPr>
        <w:t>V</w:t>
      </w:r>
      <w:r w:rsidR="0070221A">
        <w:rPr>
          <w:b/>
          <w:noProof/>
          <w:sz w:val="20"/>
          <w:szCs w:val="20"/>
          <w:lang w:val="tr-TR"/>
        </w:rPr>
        <w:t xml:space="preserve">II. </w:t>
      </w:r>
      <w:r w:rsidR="00647320">
        <w:rPr>
          <w:b/>
          <w:noProof/>
          <w:sz w:val="20"/>
          <w:szCs w:val="20"/>
          <w:lang w:val="tr-TR"/>
        </w:rPr>
        <w:t xml:space="preserve">    </w:t>
      </w:r>
      <w:r w:rsidR="00884814" w:rsidRPr="00604C75">
        <w:rPr>
          <w:b/>
          <w:noProof/>
          <w:sz w:val="20"/>
          <w:szCs w:val="20"/>
          <w:lang w:val="tr-TR"/>
        </w:rPr>
        <w:t xml:space="preserve">Explanations and Notes </w:t>
      </w:r>
      <w:r w:rsidR="00647320">
        <w:rPr>
          <w:b/>
          <w:noProof/>
          <w:sz w:val="20"/>
          <w:szCs w:val="20"/>
          <w:lang w:val="tr-TR"/>
        </w:rPr>
        <w:t>on</w:t>
      </w:r>
      <w:r w:rsidR="00884814" w:rsidRPr="00604C75">
        <w:rPr>
          <w:b/>
          <w:noProof/>
          <w:sz w:val="20"/>
          <w:szCs w:val="20"/>
          <w:lang w:val="tr-TR"/>
        </w:rPr>
        <w:t xml:space="preserve"> the Parent Bank’s Risk Group</w:t>
      </w:r>
    </w:p>
    <w:p w14:paraId="69A04DA0" w14:textId="77777777" w:rsidR="0044575F" w:rsidRPr="00604C75" w:rsidRDefault="0044575F" w:rsidP="008477F3">
      <w:pPr>
        <w:pStyle w:val="BodyText3"/>
        <w:numPr>
          <w:ilvl w:val="1"/>
          <w:numId w:val="59"/>
        </w:numPr>
        <w:tabs>
          <w:tab w:val="clear" w:pos="539"/>
          <w:tab w:val="clear" w:pos="5310"/>
          <w:tab w:val="clear" w:pos="7560"/>
        </w:tabs>
        <w:spacing w:before="120"/>
        <w:ind w:left="567" w:right="-11" w:hanging="567"/>
        <w:jc w:val="both"/>
        <w:rPr>
          <w:b/>
          <w:bCs w:val="0"/>
          <w:i w:val="0"/>
          <w:iCs w:val="0"/>
          <w:sz w:val="20"/>
        </w:rPr>
      </w:pPr>
      <w:r w:rsidRPr="00604C75">
        <w:rPr>
          <w:b/>
          <w:i w:val="0"/>
          <w:sz w:val="20"/>
        </w:rPr>
        <w:t xml:space="preserve">The volume of transactions relating to the </w:t>
      </w:r>
      <w:r w:rsidR="00D3559C" w:rsidRPr="00604C75">
        <w:rPr>
          <w:b/>
          <w:i w:val="0"/>
          <w:sz w:val="20"/>
        </w:rPr>
        <w:t>Group’s</w:t>
      </w:r>
      <w:r w:rsidRPr="00604C75">
        <w:rPr>
          <w:b/>
          <w:i w:val="0"/>
          <w:sz w:val="20"/>
        </w:rPr>
        <w:t xml:space="preserve"> risk group, outstanding loan and deposit transactions and profit and loss of the period</w:t>
      </w:r>
    </w:p>
    <w:p w14:paraId="2C26740C" w14:textId="77777777" w:rsidR="0044575F" w:rsidRPr="00604C75" w:rsidRDefault="00A877A3" w:rsidP="008477F3">
      <w:pPr>
        <w:pStyle w:val="BodyTextIndent"/>
        <w:numPr>
          <w:ilvl w:val="2"/>
          <w:numId w:val="34"/>
        </w:numPr>
        <w:spacing w:before="120" w:after="0"/>
        <w:ind w:left="567" w:hanging="567"/>
        <w:jc w:val="both"/>
        <w:rPr>
          <w:bCs/>
          <w:sz w:val="20"/>
          <w:szCs w:val="20"/>
          <w:lang w:val="tr-TR"/>
        </w:rPr>
      </w:pPr>
      <w:r>
        <w:rPr>
          <w:bCs/>
          <w:sz w:val="20"/>
          <w:szCs w:val="20"/>
          <w:lang w:val="tr-TR"/>
        </w:rPr>
        <w:t>3</w:t>
      </w:r>
      <w:r w:rsidR="00987B96">
        <w:rPr>
          <w:bCs/>
          <w:sz w:val="20"/>
          <w:szCs w:val="20"/>
          <w:lang w:val="tr-TR"/>
        </w:rPr>
        <w:t>1</w:t>
      </w:r>
      <w:r>
        <w:rPr>
          <w:bCs/>
          <w:sz w:val="20"/>
          <w:szCs w:val="20"/>
          <w:lang w:val="tr-TR"/>
        </w:rPr>
        <w:t xml:space="preserve"> </w:t>
      </w:r>
      <w:r w:rsidR="00987B96">
        <w:rPr>
          <w:bCs/>
          <w:sz w:val="20"/>
          <w:szCs w:val="20"/>
          <w:lang w:val="tr-TR"/>
        </w:rPr>
        <w:t>December</w:t>
      </w:r>
      <w:r w:rsidR="00987B96" w:rsidRPr="00604C75">
        <w:rPr>
          <w:bCs/>
          <w:sz w:val="20"/>
          <w:szCs w:val="20"/>
          <w:lang w:val="tr-TR"/>
        </w:rPr>
        <w:t xml:space="preserve"> </w:t>
      </w:r>
      <w:r w:rsidR="00376308" w:rsidRPr="00604C75">
        <w:rPr>
          <w:bCs/>
          <w:sz w:val="20"/>
          <w:szCs w:val="20"/>
          <w:lang w:val="tr-TR"/>
        </w:rPr>
        <w:t>201</w:t>
      </w:r>
      <w:r w:rsidR="00EB4345" w:rsidRPr="00604C75">
        <w:rPr>
          <w:bCs/>
          <w:sz w:val="20"/>
          <w:szCs w:val="20"/>
          <w:lang w:val="tr-TR"/>
        </w:rPr>
        <w:t>5</w:t>
      </w:r>
    </w:p>
    <w:p w14:paraId="5A3EBAFD" w14:textId="77777777" w:rsidR="0044575F" w:rsidRPr="00604C75" w:rsidRDefault="0044575F" w:rsidP="00EB4345">
      <w:pPr>
        <w:pStyle w:val="ListParagraph"/>
        <w:ind w:left="1080" w:hanging="1701"/>
        <w:jc w:val="both"/>
        <w:rPr>
          <w:bCs/>
          <w:sz w:val="16"/>
          <w:szCs w:val="16"/>
        </w:rPr>
      </w:pPr>
    </w:p>
    <w:tbl>
      <w:tblPr>
        <w:tblW w:w="9342"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501"/>
        <w:gridCol w:w="1006"/>
        <w:gridCol w:w="1176"/>
        <w:gridCol w:w="1037"/>
        <w:gridCol w:w="1207"/>
        <w:gridCol w:w="1207"/>
        <w:gridCol w:w="1208"/>
      </w:tblGrid>
      <w:tr w:rsidR="00194AE8" w:rsidRPr="00604C75" w14:paraId="7E906C14" w14:textId="77777777" w:rsidTr="00EB4345">
        <w:trPr>
          <w:trHeight w:val="388"/>
        </w:trPr>
        <w:tc>
          <w:tcPr>
            <w:tcW w:w="2501" w:type="dxa"/>
            <w:shd w:val="clear" w:color="auto" w:fill="FFFFFF"/>
            <w:vAlign w:val="bottom"/>
          </w:tcPr>
          <w:p w14:paraId="33985274" w14:textId="77777777" w:rsidR="00194AE8" w:rsidRPr="00604C75" w:rsidRDefault="00194AE8" w:rsidP="00EB4345">
            <w:pPr>
              <w:spacing w:line="228" w:lineRule="auto"/>
              <w:rPr>
                <w:rFonts w:eastAsia="Arial Unicode MS"/>
                <w:b/>
                <w:bCs/>
                <w:sz w:val="18"/>
                <w:szCs w:val="18"/>
              </w:rPr>
            </w:pPr>
          </w:p>
        </w:tc>
        <w:tc>
          <w:tcPr>
            <w:tcW w:w="2182" w:type="dxa"/>
            <w:gridSpan w:val="2"/>
            <w:shd w:val="clear" w:color="auto" w:fill="FFFFFF"/>
            <w:vAlign w:val="bottom"/>
          </w:tcPr>
          <w:p w14:paraId="759FFE1C" w14:textId="77777777" w:rsidR="00194AE8" w:rsidRPr="00604C75" w:rsidRDefault="00194AE8" w:rsidP="00EB4345">
            <w:pPr>
              <w:spacing w:line="228" w:lineRule="auto"/>
              <w:ind w:right="61"/>
              <w:jc w:val="center"/>
              <w:rPr>
                <w:rFonts w:eastAsia="Arial Unicode MS"/>
                <w:b/>
                <w:bCs/>
                <w:sz w:val="18"/>
                <w:szCs w:val="18"/>
              </w:rPr>
            </w:pPr>
            <w:r w:rsidRPr="00604C75">
              <w:rPr>
                <w:b/>
                <w:bCs/>
                <w:sz w:val="18"/>
                <w:szCs w:val="18"/>
              </w:rPr>
              <w:t>Associates, subsidiaries and joint ventures</w:t>
            </w:r>
          </w:p>
        </w:tc>
        <w:tc>
          <w:tcPr>
            <w:tcW w:w="2244" w:type="dxa"/>
            <w:gridSpan w:val="2"/>
            <w:shd w:val="clear" w:color="auto" w:fill="FFFFFF"/>
            <w:vAlign w:val="bottom"/>
          </w:tcPr>
          <w:p w14:paraId="15E46D70" w14:textId="77777777" w:rsidR="00194AE8" w:rsidRPr="00604C75" w:rsidRDefault="00194AE8" w:rsidP="00EB4345">
            <w:pPr>
              <w:spacing w:line="228" w:lineRule="auto"/>
              <w:ind w:right="61"/>
              <w:jc w:val="center"/>
              <w:rPr>
                <w:rFonts w:eastAsia="Arial Unicode MS"/>
                <w:b/>
                <w:bCs/>
                <w:sz w:val="18"/>
                <w:szCs w:val="18"/>
              </w:rPr>
            </w:pPr>
            <w:r w:rsidRPr="00604C75">
              <w:rPr>
                <w:b/>
                <w:bCs/>
                <w:sz w:val="18"/>
                <w:szCs w:val="18"/>
              </w:rPr>
              <w:t>Direct and indirect shareholders of the Bank</w:t>
            </w:r>
          </w:p>
        </w:tc>
        <w:tc>
          <w:tcPr>
            <w:tcW w:w="2415" w:type="dxa"/>
            <w:gridSpan w:val="2"/>
            <w:shd w:val="clear" w:color="auto" w:fill="FFFFFF"/>
            <w:vAlign w:val="bottom"/>
          </w:tcPr>
          <w:p w14:paraId="77471F80" w14:textId="77777777" w:rsidR="00194AE8" w:rsidRPr="00604C75" w:rsidRDefault="00194AE8" w:rsidP="00EB4345">
            <w:pPr>
              <w:spacing w:line="228" w:lineRule="auto"/>
              <w:ind w:right="61"/>
              <w:jc w:val="center"/>
              <w:rPr>
                <w:rFonts w:eastAsia="Arial Unicode MS"/>
                <w:b/>
                <w:bCs/>
                <w:sz w:val="18"/>
                <w:szCs w:val="18"/>
              </w:rPr>
            </w:pPr>
            <w:r w:rsidRPr="00604C75">
              <w:rPr>
                <w:b/>
                <w:sz w:val="18"/>
                <w:szCs w:val="18"/>
              </w:rPr>
              <w:t>Other real and legal persons that have been included in the risk group</w:t>
            </w:r>
          </w:p>
        </w:tc>
      </w:tr>
      <w:tr w:rsidR="00194AE8" w:rsidRPr="00604C75" w14:paraId="124393F3" w14:textId="77777777" w:rsidTr="00806225">
        <w:trPr>
          <w:trHeight w:val="259"/>
        </w:trPr>
        <w:tc>
          <w:tcPr>
            <w:tcW w:w="2501" w:type="dxa"/>
            <w:shd w:val="clear" w:color="auto" w:fill="FFFFFF"/>
            <w:vAlign w:val="bottom"/>
          </w:tcPr>
          <w:p w14:paraId="058F41C4" w14:textId="77777777" w:rsidR="00194AE8" w:rsidRPr="00604C75" w:rsidRDefault="00194AE8" w:rsidP="00EB4345">
            <w:pPr>
              <w:spacing w:line="228" w:lineRule="auto"/>
              <w:rPr>
                <w:rFonts w:eastAsia="Arial Unicode MS"/>
                <w:b/>
                <w:bCs/>
                <w:sz w:val="18"/>
                <w:szCs w:val="18"/>
              </w:rPr>
            </w:pPr>
            <w:r w:rsidRPr="00604C75">
              <w:rPr>
                <w:b/>
                <w:bCs/>
                <w:sz w:val="18"/>
                <w:szCs w:val="18"/>
              </w:rPr>
              <w:t xml:space="preserve">Group’s Risk Group </w:t>
            </w:r>
            <w:r w:rsidR="0016049D" w:rsidRPr="00604C75">
              <w:rPr>
                <w:b/>
                <w:bCs/>
                <w:sz w:val="18"/>
                <w:szCs w:val="18"/>
              </w:rPr>
              <w:t>(*)(**)</w:t>
            </w:r>
          </w:p>
        </w:tc>
        <w:tc>
          <w:tcPr>
            <w:tcW w:w="1006" w:type="dxa"/>
            <w:shd w:val="clear" w:color="auto" w:fill="FFFFFF"/>
            <w:vAlign w:val="bottom"/>
          </w:tcPr>
          <w:p w14:paraId="63DAB17A" w14:textId="77777777"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Cash</w:t>
            </w:r>
          </w:p>
        </w:tc>
        <w:tc>
          <w:tcPr>
            <w:tcW w:w="1176" w:type="dxa"/>
            <w:shd w:val="clear" w:color="auto" w:fill="FFFFFF"/>
            <w:vAlign w:val="bottom"/>
          </w:tcPr>
          <w:p w14:paraId="57D774C7" w14:textId="77777777"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Non-Cash</w:t>
            </w:r>
          </w:p>
        </w:tc>
        <w:tc>
          <w:tcPr>
            <w:tcW w:w="1037" w:type="dxa"/>
            <w:shd w:val="clear" w:color="auto" w:fill="FFFFFF"/>
            <w:vAlign w:val="bottom"/>
          </w:tcPr>
          <w:p w14:paraId="7FA7DFDD" w14:textId="77777777"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Cash</w:t>
            </w:r>
          </w:p>
        </w:tc>
        <w:tc>
          <w:tcPr>
            <w:tcW w:w="1207" w:type="dxa"/>
            <w:shd w:val="clear" w:color="auto" w:fill="FFFFFF"/>
            <w:vAlign w:val="bottom"/>
          </w:tcPr>
          <w:p w14:paraId="66441EDD" w14:textId="77777777"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Non-Cash</w:t>
            </w:r>
          </w:p>
        </w:tc>
        <w:tc>
          <w:tcPr>
            <w:tcW w:w="1207" w:type="dxa"/>
            <w:shd w:val="clear" w:color="auto" w:fill="FFFFFF"/>
            <w:vAlign w:val="bottom"/>
          </w:tcPr>
          <w:p w14:paraId="5E60EE9B" w14:textId="77777777"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Cash</w:t>
            </w:r>
          </w:p>
        </w:tc>
        <w:tc>
          <w:tcPr>
            <w:tcW w:w="1208" w:type="dxa"/>
            <w:shd w:val="clear" w:color="auto" w:fill="FFFFFF"/>
            <w:vAlign w:val="bottom"/>
          </w:tcPr>
          <w:p w14:paraId="47AEA6D8" w14:textId="77777777" w:rsidR="00194AE8" w:rsidRPr="00604C75" w:rsidRDefault="00194AE8" w:rsidP="00806225">
            <w:pPr>
              <w:spacing w:line="228" w:lineRule="auto"/>
              <w:ind w:right="58"/>
              <w:jc w:val="right"/>
              <w:rPr>
                <w:rFonts w:eastAsia="Arial Unicode MS"/>
                <w:b/>
                <w:bCs/>
                <w:sz w:val="18"/>
                <w:szCs w:val="18"/>
              </w:rPr>
            </w:pPr>
            <w:r w:rsidRPr="00604C75">
              <w:rPr>
                <w:b/>
                <w:bCs/>
                <w:sz w:val="18"/>
                <w:szCs w:val="18"/>
              </w:rPr>
              <w:t>Non-cash</w:t>
            </w:r>
          </w:p>
        </w:tc>
      </w:tr>
      <w:tr w:rsidR="00224102" w:rsidRPr="00604C75" w14:paraId="7857434F" w14:textId="77777777" w:rsidTr="00EB4345">
        <w:trPr>
          <w:trHeight w:val="142"/>
        </w:trPr>
        <w:tc>
          <w:tcPr>
            <w:tcW w:w="2501" w:type="dxa"/>
            <w:shd w:val="clear" w:color="auto" w:fill="FFFFFF"/>
            <w:vAlign w:val="bottom"/>
          </w:tcPr>
          <w:p w14:paraId="458F7ED5" w14:textId="77777777" w:rsidR="00224102" w:rsidRPr="00604C75" w:rsidRDefault="00224102" w:rsidP="00224102">
            <w:pPr>
              <w:rPr>
                <w:rFonts w:eastAsia="Arial Unicode MS"/>
                <w:sz w:val="18"/>
                <w:szCs w:val="18"/>
              </w:rPr>
            </w:pPr>
            <w:r w:rsidRPr="00604C75">
              <w:rPr>
                <w:bCs/>
                <w:sz w:val="18"/>
                <w:szCs w:val="18"/>
              </w:rPr>
              <w:t>Loans and Other Receivables</w:t>
            </w:r>
          </w:p>
        </w:tc>
        <w:tc>
          <w:tcPr>
            <w:tcW w:w="1006" w:type="dxa"/>
            <w:vAlign w:val="bottom"/>
          </w:tcPr>
          <w:p w14:paraId="2D019C01" w14:textId="052B7E67" w:rsidR="00224102" w:rsidRPr="00692926" w:rsidRDefault="00224102" w:rsidP="00224102">
            <w:pPr>
              <w:jc w:val="right"/>
              <w:rPr>
                <w:sz w:val="18"/>
                <w:szCs w:val="18"/>
              </w:rPr>
            </w:pPr>
            <w:r w:rsidRPr="00692926">
              <w:rPr>
                <w:sz w:val="18"/>
                <w:szCs w:val="18"/>
              </w:rPr>
              <w:t>-</w:t>
            </w:r>
          </w:p>
        </w:tc>
        <w:tc>
          <w:tcPr>
            <w:tcW w:w="1176" w:type="dxa"/>
            <w:vAlign w:val="bottom"/>
          </w:tcPr>
          <w:p w14:paraId="31CA980C" w14:textId="4E2F4FE8" w:rsidR="00224102" w:rsidRPr="00692926" w:rsidRDefault="00224102" w:rsidP="00224102">
            <w:pPr>
              <w:jc w:val="right"/>
              <w:rPr>
                <w:sz w:val="18"/>
                <w:szCs w:val="18"/>
              </w:rPr>
            </w:pPr>
            <w:r w:rsidRPr="00692926">
              <w:rPr>
                <w:sz w:val="18"/>
                <w:szCs w:val="18"/>
              </w:rPr>
              <w:t>-</w:t>
            </w:r>
          </w:p>
        </w:tc>
        <w:tc>
          <w:tcPr>
            <w:tcW w:w="1037" w:type="dxa"/>
            <w:vAlign w:val="bottom"/>
          </w:tcPr>
          <w:p w14:paraId="4437DB5A" w14:textId="4F525809" w:rsidR="00224102" w:rsidRPr="00692926" w:rsidRDefault="00224102" w:rsidP="00224102">
            <w:pPr>
              <w:jc w:val="right"/>
              <w:rPr>
                <w:sz w:val="18"/>
                <w:szCs w:val="18"/>
              </w:rPr>
            </w:pPr>
            <w:r w:rsidRPr="00692926">
              <w:rPr>
                <w:sz w:val="18"/>
                <w:szCs w:val="18"/>
              </w:rPr>
              <w:t>-</w:t>
            </w:r>
          </w:p>
        </w:tc>
        <w:tc>
          <w:tcPr>
            <w:tcW w:w="1207" w:type="dxa"/>
            <w:vAlign w:val="bottom"/>
          </w:tcPr>
          <w:p w14:paraId="2DE6E11D" w14:textId="4605DBDC" w:rsidR="00224102" w:rsidRPr="00692926" w:rsidRDefault="00224102" w:rsidP="00224102">
            <w:pPr>
              <w:jc w:val="right"/>
              <w:rPr>
                <w:sz w:val="18"/>
                <w:szCs w:val="18"/>
              </w:rPr>
            </w:pPr>
            <w:r w:rsidRPr="00692926">
              <w:rPr>
                <w:sz w:val="18"/>
                <w:szCs w:val="18"/>
              </w:rPr>
              <w:t>-</w:t>
            </w:r>
          </w:p>
        </w:tc>
        <w:tc>
          <w:tcPr>
            <w:tcW w:w="1207" w:type="dxa"/>
            <w:vAlign w:val="bottom"/>
          </w:tcPr>
          <w:p w14:paraId="0D56F213" w14:textId="7B30DE18" w:rsidR="00224102" w:rsidRPr="00692926" w:rsidRDefault="00224102" w:rsidP="00224102">
            <w:pPr>
              <w:jc w:val="right"/>
              <w:rPr>
                <w:sz w:val="18"/>
                <w:szCs w:val="18"/>
              </w:rPr>
            </w:pPr>
            <w:r w:rsidRPr="00692926">
              <w:rPr>
                <w:sz w:val="18"/>
                <w:szCs w:val="18"/>
              </w:rPr>
              <w:t>-</w:t>
            </w:r>
          </w:p>
        </w:tc>
        <w:tc>
          <w:tcPr>
            <w:tcW w:w="1208" w:type="dxa"/>
            <w:vAlign w:val="bottom"/>
          </w:tcPr>
          <w:p w14:paraId="5B9182E4" w14:textId="542E8AF3" w:rsidR="00224102" w:rsidRPr="00692926" w:rsidRDefault="00224102" w:rsidP="00224102">
            <w:pPr>
              <w:jc w:val="right"/>
              <w:rPr>
                <w:sz w:val="18"/>
                <w:szCs w:val="18"/>
              </w:rPr>
            </w:pPr>
            <w:r w:rsidRPr="00692926">
              <w:rPr>
                <w:sz w:val="18"/>
                <w:szCs w:val="18"/>
              </w:rPr>
              <w:t>-</w:t>
            </w:r>
          </w:p>
        </w:tc>
      </w:tr>
      <w:tr w:rsidR="00224102" w:rsidRPr="00604C75" w14:paraId="1EBC1D96" w14:textId="77777777" w:rsidTr="00EB4345">
        <w:trPr>
          <w:trHeight w:val="142"/>
        </w:trPr>
        <w:tc>
          <w:tcPr>
            <w:tcW w:w="2501" w:type="dxa"/>
            <w:shd w:val="clear" w:color="auto" w:fill="FFFFFF"/>
            <w:vAlign w:val="bottom"/>
          </w:tcPr>
          <w:p w14:paraId="46BE2FC6" w14:textId="77777777" w:rsidR="00224102" w:rsidRPr="00604C75" w:rsidRDefault="00224102" w:rsidP="00224102">
            <w:pPr>
              <w:rPr>
                <w:rFonts w:eastAsia="Arial Unicode MS"/>
                <w:sz w:val="18"/>
                <w:szCs w:val="18"/>
              </w:rPr>
            </w:pPr>
            <w:r w:rsidRPr="00604C75">
              <w:rPr>
                <w:sz w:val="18"/>
                <w:szCs w:val="18"/>
              </w:rPr>
              <w:t>Balance at the Beginning of the Period</w:t>
            </w:r>
          </w:p>
        </w:tc>
        <w:tc>
          <w:tcPr>
            <w:tcW w:w="1006" w:type="dxa"/>
            <w:vAlign w:val="bottom"/>
          </w:tcPr>
          <w:p w14:paraId="093BA55C" w14:textId="367E3E71" w:rsidR="00224102" w:rsidRPr="00692926" w:rsidRDefault="00224102" w:rsidP="00224102">
            <w:pPr>
              <w:jc w:val="right"/>
              <w:rPr>
                <w:sz w:val="18"/>
                <w:szCs w:val="18"/>
              </w:rPr>
            </w:pPr>
            <w:r w:rsidRPr="00692926">
              <w:rPr>
                <w:sz w:val="18"/>
                <w:szCs w:val="18"/>
              </w:rPr>
              <w:t>-</w:t>
            </w:r>
          </w:p>
        </w:tc>
        <w:tc>
          <w:tcPr>
            <w:tcW w:w="1176" w:type="dxa"/>
            <w:vAlign w:val="bottom"/>
          </w:tcPr>
          <w:p w14:paraId="50437983" w14:textId="1EE5FA64" w:rsidR="00224102" w:rsidRPr="00692926" w:rsidRDefault="00224102" w:rsidP="00224102">
            <w:pPr>
              <w:jc w:val="right"/>
              <w:rPr>
                <w:sz w:val="18"/>
                <w:szCs w:val="18"/>
              </w:rPr>
            </w:pPr>
            <w:r w:rsidRPr="00692926">
              <w:rPr>
                <w:sz w:val="18"/>
                <w:szCs w:val="18"/>
              </w:rPr>
              <w:t>-</w:t>
            </w:r>
          </w:p>
        </w:tc>
        <w:tc>
          <w:tcPr>
            <w:tcW w:w="1037" w:type="dxa"/>
            <w:vAlign w:val="bottom"/>
          </w:tcPr>
          <w:p w14:paraId="47996E2E" w14:textId="2573C9B0" w:rsidR="00224102" w:rsidRPr="00692926" w:rsidRDefault="00224102" w:rsidP="00224102">
            <w:pPr>
              <w:jc w:val="right"/>
              <w:rPr>
                <w:sz w:val="18"/>
                <w:szCs w:val="18"/>
              </w:rPr>
            </w:pPr>
            <w:r w:rsidRPr="00692926">
              <w:rPr>
                <w:sz w:val="18"/>
                <w:szCs w:val="18"/>
              </w:rPr>
              <w:t>28,424</w:t>
            </w:r>
          </w:p>
        </w:tc>
        <w:tc>
          <w:tcPr>
            <w:tcW w:w="1207" w:type="dxa"/>
            <w:vAlign w:val="bottom"/>
          </w:tcPr>
          <w:p w14:paraId="6424C183" w14:textId="20C75CAA" w:rsidR="00224102" w:rsidRPr="00692926" w:rsidRDefault="00224102" w:rsidP="00224102">
            <w:pPr>
              <w:jc w:val="right"/>
              <w:rPr>
                <w:sz w:val="18"/>
                <w:szCs w:val="18"/>
              </w:rPr>
            </w:pPr>
            <w:r w:rsidRPr="00692926">
              <w:rPr>
                <w:sz w:val="18"/>
                <w:szCs w:val="18"/>
              </w:rPr>
              <w:t>74,604</w:t>
            </w:r>
          </w:p>
        </w:tc>
        <w:tc>
          <w:tcPr>
            <w:tcW w:w="1207" w:type="dxa"/>
            <w:vAlign w:val="bottom"/>
          </w:tcPr>
          <w:p w14:paraId="7120A085" w14:textId="32A51E01" w:rsidR="00224102" w:rsidRPr="00692926" w:rsidRDefault="00224102" w:rsidP="00224102">
            <w:pPr>
              <w:jc w:val="right"/>
              <w:rPr>
                <w:sz w:val="18"/>
                <w:szCs w:val="18"/>
              </w:rPr>
            </w:pPr>
            <w:r w:rsidRPr="00692926">
              <w:rPr>
                <w:sz w:val="18"/>
                <w:szCs w:val="18"/>
              </w:rPr>
              <w:t>57,545</w:t>
            </w:r>
          </w:p>
        </w:tc>
        <w:tc>
          <w:tcPr>
            <w:tcW w:w="1208" w:type="dxa"/>
            <w:vAlign w:val="bottom"/>
          </w:tcPr>
          <w:p w14:paraId="0BBAF7AB" w14:textId="6764C3E9" w:rsidR="00224102" w:rsidRPr="00692926" w:rsidRDefault="00224102" w:rsidP="00224102">
            <w:pPr>
              <w:jc w:val="right"/>
              <w:rPr>
                <w:sz w:val="18"/>
                <w:szCs w:val="18"/>
              </w:rPr>
            </w:pPr>
            <w:r w:rsidRPr="00692926">
              <w:rPr>
                <w:sz w:val="18"/>
                <w:szCs w:val="18"/>
              </w:rPr>
              <w:t>70,868</w:t>
            </w:r>
          </w:p>
        </w:tc>
      </w:tr>
      <w:tr w:rsidR="00224102" w:rsidRPr="00604C75" w14:paraId="11659237" w14:textId="77777777" w:rsidTr="00EB4345">
        <w:trPr>
          <w:trHeight w:val="129"/>
        </w:trPr>
        <w:tc>
          <w:tcPr>
            <w:tcW w:w="2501" w:type="dxa"/>
            <w:shd w:val="clear" w:color="auto" w:fill="FFFFFF"/>
            <w:vAlign w:val="bottom"/>
          </w:tcPr>
          <w:p w14:paraId="31C7BB64" w14:textId="77777777" w:rsidR="00224102" w:rsidRPr="00604C75" w:rsidRDefault="00224102" w:rsidP="00224102">
            <w:pPr>
              <w:rPr>
                <w:rFonts w:eastAsia="Arial Unicode MS"/>
                <w:sz w:val="18"/>
                <w:szCs w:val="18"/>
              </w:rPr>
            </w:pPr>
            <w:r w:rsidRPr="00604C75">
              <w:rPr>
                <w:sz w:val="18"/>
                <w:szCs w:val="18"/>
              </w:rPr>
              <w:t>Balance at the End of the Period</w:t>
            </w:r>
          </w:p>
        </w:tc>
        <w:tc>
          <w:tcPr>
            <w:tcW w:w="1006" w:type="dxa"/>
            <w:vAlign w:val="bottom"/>
          </w:tcPr>
          <w:p w14:paraId="566CB222" w14:textId="21E4F2E0" w:rsidR="00224102" w:rsidRPr="00692926" w:rsidRDefault="00224102" w:rsidP="00224102">
            <w:pPr>
              <w:jc w:val="right"/>
              <w:rPr>
                <w:sz w:val="18"/>
                <w:szCs w:val="18"/>
              </w:rPr>
            </w:pPr>
            <w:r w:rsidRPr="00692926">
              <w:rPr>
                <w:sz w:val="18"/>
                <w:szCs w:val="18"/>
              </w:rPr>
              <w:t>-</w:t>
            </w:r>
          </w:p>
        </w:tc>
        <w:tc>
          <w:tcPr>
            <w:tcW w:w="1176" w:type="dxa"/>
            <w:vAlign w:val="bottom"/>
          </w:tcPr>
          <w:p w14:paraId="22FAB525" w14:textId="0E18097C" w:rsidR="00224102" w:rsidRPr="00692926" w:rsidRDefault="00224102" w:rsidP="00224102">
            <w:pPr>
              <w:jc w:val="right"/>
              <w:rPr>
                <w:sz w:val="18"/>
                <w:szCs w:val="18"/>
              </w:rPr>
            </w:pPr>
            <w:r w:rsidRPr="00692926">
              <w:rPr>
                <w:sz w:val="18"/>
                <w:szCs w:val="18"/>
              </w:rPr>
              <w:t>-</w:t>
            </w:r>
          </w:p>
        </w:tc>
        <w:tc>
          <w:tcPr>
            <w:tcW w:w="1037" w:type="dxa"/>
            <w:vAlign w:val="bottom"/>
          </w:tcPr>
          <w:p w14:paraId="07040A69" w14:textId="2438B6BF" w:rsidR="00224102" w:rsidRDefault="00224102" w:rsidP="00224102">
            <w:pPr>
              <w:jc w:val="right"/>
              <w:rPr>
                <w:sz w:val="18"/>
                <w:szCs w:val="18"/>
              </w:rPr>
            </w:pPr>
            <w:r>
              <w:rPr>
                <w:sz w:val="18"/>
                <w:szCs w:val="18"/>
              </w:rPr>
              <w:t>80,470</w:t>
            </w:r>
          </w:p>
        </w:tc>
        <w:tc>
          <w:tcPr>
            <w:tcW w:w="1207" w:type="dxa"/>
            <w:vAlign w:val="bottom"/>
          </w:tcPr>
          <w:p w14:paraId="411019F0" w14:textId="35BD0EE3" w:rsidR="00224102" w:rsidRDefault="00224102" w:rsidP="00224102">
            <w:pPr>
              <w:jc w:val="right"/>
              <w:rPr>
                <w:sz w:val="18"/>
                <w:szCs w:val="18"/>
              </w:rPr>
            </w:pPr>
            <w:r>
              <w:rPr>
                <w:sz w:val="18"/>
                <w:szCs w:val="18"/>
              </w:rPr>
              <w:t>53,526</w:t>
            </w:r>
          </w:p>
        </w:tc>
        <w:tc>
          <w:tcPr>
            <w:tcW w:w="1207" w:type="dxa"/>
            <w:vAlign w:val="bottom"/>
          </w:tcPr>
          <w:p w14:paraId="21BFE415" w14:textId="25BF72AF" w:rsidR="00224102" w:rsidRDefault="00224102" w:rsidP="00224102">
            <w:pPr>
              <w:jc w:val="right"/>
              <w:rPr>
                <w:sz w:val="18"/>
                <w:szCs w:val="18"/>
              </w:rPr>
            </w:pPr>
            <w:r>
              <w:rPr>
                <w:sz w:val="18"/>
                <w:szCs w:val="18"/>
              </w:rPr>
              <w:t>130,282</w:t>
            </w:r>
          </w:p>
        </w:tc>
        <w:tc>
          <w:tcPr>
            <w:tcW w:w="1208" w:type="dxa"/>
            <w:vAlign w:val="bottom"/>
          </w:tcPr>
          <w:p w14:paraId="599DAF93" w14:textId="4AD23D41" w:rsidR="00224102" w:rsidRDefault="00224102" w:rsidP="00224102">
            <w:pPr>
              <w:jc w:val="right"/>
              <w:rPr>
                <w:sz w:val="18"/>
                <w:szCs w:val="18"/>
              </w:rPr>
            </w:pPr>
            <w:r>
              <w:rPr>
                <w:sz w:val="18"/>
                <w:szCs w:val="18"/>
              </w:rPr>
              <w:t>26,379</w:t>
            </w:r>
          </w:p>
        </w:tc>
      </w:tr>
      <w:tr w:rsidR="00224102" w:rsidRPr="00604C75" w14:paraId="0D465D93" w14:textId="77777777" w:rsidTr="00EB4345">
        <w:trPr>
          <w:trHeight w:val="284"/>
        </w:trPr>
        <w:tc>
          <w:tcPr>
            <w:tcW w:w="2501" w:type="dxa"/>
            <w:shd w:val="clear" w:color="auto" w:fill="FFFFFF"/>
            <w:vAlign w:val="bottom"/>
          </w:tcPr>
          <w:p w14:paraId="00A70C78" w14:textId="77777777" w:rsidR="00224102" w:rsidRPr="00604C75" w:rsidRDefault="00224102" w:rsidP="00224102">
            <w:pPr>
              <w:rPr>
                <w:b/>
                <w:sz w:val="18"/>
                <w:szCs w:val="18"/>
              </w:rPr>
            </w:pPr>
            <w:r w:rsidRPr="00604C75">
              <w:rPr>
                <w:b/>
                <w:sz w:val="18"/>
                <w:szCs w:val="18"/>
              </w:rPr>
              <w:t xml:space="preserve">Interest and Commission Income Received </w:t>
            </w:r>
          </w:p>
        </w:tc>
        <w:tc>
          <w:tcPr>
            <w:tcW w:w="1006" w:type="dxa"/>
            <w:vAlign w:val="bottom"/>
          </w:tcPr>
          <w:p w14:paraId="23960BD2" w14:textId="43B5CC62" w:rsidR="00224102" w:rsidRPr="00A57DF3" w:rsidRDefault="00224102" w:rsidP="00224102">
            <w:pPr>
              <w:jc w:val="right"/>
              <w:rPr>
                <w:b/>
                <w:sz w:val="18"/>
                <w:szCs w:val="18"/>
              </w:rPr>
            </w:pPr>
            <w:r w:rsidRPr="00A57DF3">
              <w:rPr>
                <w:b/>
                <w:sz w:val="18"/>
                <w:szCs w:val="18"/>
              </w:rPr>
              <w:t>-</w:t>
            </w:r>
          </w:p>
        </w:tc>
        <w:tc>
          <w:tcPr>
            <w:tcW w:w="1176" w:type="dxa"/>
            <w:vAlign w:val="bottom"/>
          </w:tcPr>
          <w:p w14:paraId="4E5041EB" w14:textId="22181758" w:rsidR="00224102" w:rsidRPr="00A57DF3" w:rsidRDefault="00224102" w:rsidP="00224102">
            <w:pPr>
              <w:jc w:val="right"/>
              <w:rPr>
                <w:b/>
                <w:sz w:val="18"/>
                <w:szCs w:val="18"/>
              </w:rPr>
            </w:pPr>
            <w:r w:rsidRPr="00A57DF3">
              <w:rPr>
                <w:b/>
                <w:sz w:val="18"/>
                <w:szCs w:val="18"/>
              </w:rPr>
              <w:t>-</w:t>
            </w:r>
          </w:p>
        </w:tc>
        <w:tc>
          <w:tcPr>
            <w:tcW w:w="1037" w:type="dxa"/>
            <w:vAlign w:val="bottom"/>
          </w:tcPr>
          <w:p w14:paraId="77FDB669" w14:textId="0289A82D" w:rsidR="00224102" w:rsidRPr="00A57DF3" w:rsidRDefault="00224102" w:rsidP="00224102">
            <w:pPr>
              <w:jc w:val="right"/>
              <w:rPr>
                <w:b/>
                <w:sz w:val="18"/>
                <w:szCs w:val="18"/>
              </w:rPr>
            </w:pPr>
            <w:r w:rsidRPr="00A57DF3">
              <w:rPr>
                <w:b/>
                <w:sz w:val="18"/>
                <w:szCs w:val="18"/>
              </w:rPr>
              <w:t>5,056</w:t>
            </w:r>
          </w:p>
        </w:tc>
        <w:tc>
          <w:tcPr>
            <w:tcW w:w="1207" w:type="dxa"/>
            <w:vAlign w:val="bottom"/>
          </w:tcPr>
          <w:p w14:paraId="5B4BE12A" w14:textId="4A956B89" w:rsidR="00224102" w:rsidRPr="00A57DF3" w:rsidRDefault="00224102" w:rsidP="00224102">
            <w:pPr>
              <w:jc w:val="right"/>
              <w:rPr>
                <w:b/>
                <w:sz w:val="18"/>
                <w:szCs w:val="18"/>
              </w:rPr>
            </w:pPr>
            <w:r w:rsidRPr="00A57DF3">
              <w:rPr>
                <w:b/>
                <w:sz w:val="18"/>
                <w:szCs w:val="18"/>
              </w:rPr>
              <w:t>9,821</w:t>
            </w:r>
          </w:p>
        </w:tc>
        <w:tc>
          <w:tcPr>
            <w:tcW w:w="1207" w:type="dxa"/>
            <w:vAlign w:val="bottom"/>
          </w:tcPr>
          <w:p w14:paraId="0909EE64" w14:textId="1D84C329" w:rsidR="00224102" w:rsidRPr="00A57DF3" w:rsidRDefault="00224102" w:rsidP="00224102">
            <w:pPr>
              <w:jc w:val="right"/>
              <w:rPr>
                <w:b/>
                <w:sz w:val="18"/>
                <w:szCs w:val="18"/>
              </w:rPr>
            </w:pPr>
            <w:r w:rsidRPr="00A57DF3">
              <w:rPr>
                <w:b/>
                <w:sz w:val="18"/>
                <w:szCs w:val="18"/>
              </w:rPr>
              <w:t>4,071</w:t>
            </w:r>
          </w:p>
        </w:tc>
        <w:tc>
          <w:tcPr>
            <w:tcW w:w="1208" w:type="dxa"/>
            <w:vAlign w:val="bottom"/>
          </w:tcPr>
          <w:p w14:paraId="5D0B158B" w14:textId="6AF2A449" w:rsidR="00224102" w:rsidRPr="00A57DF3" w:rsidRDefault="00224102" w:rsidP="00224102">
            <w:pPr>
              <w:jc w:val="right"/>
              <w:rPr>
                <w:b/>
                <w:sz w:val="18"/>
                <w:szCs w:val="18"/>
              </w:rPr>
            </w:pPr>
            <w:r w:rsidRPr="00A57DF3">
              <w:rPr>
                <w:b/>
                <w:sz w:val="18"/>
                <w:szCs w:val="18"/>
              </w:rPr>
              <w:t>826</w:t>
            </w:r>
          </w:p>
        </w:tc>
      </w:tr>
    </w:tbl>
    <w:p w14:paraId="5F808F57" w14:textId="3E3069EB" w:rsidR="0044575F" w:rsidRPr="00604C75" w:rsidRDefault="00EB4345" w:rsidP="00CD0767">
      <w:pPr>
        <w:pStyle w:val="xl79"/>
        <w:pBdr>
          <w:left w:val="none" w:sz="0" w:space="0" w:color="auto"/>
          <w:bottom w:val="none" w:sz="0" w:space="0" w:color="auto"/>
          <w:right w:val="none" w:sz="0" w:space="0" w:color="auto"/>
        </w:pBdr>
        <w:tabs>
          <w:tab w:val="left" w:pos="1701"/>
        </w:tabs>
        <w:spacing w:before="60" w:beforeAutospacing="0" w:after="0" w:afterAutospacing="0"/>
        <w:jc w:val="both"/>
        <w:rPr>
          <w:rFonts w:eastAsia="Times New Roman"/>
          <w:sz w:val="16"/>
          <w:szCs w:val="16"/>
        </w:rPr>
      </w:pPr>
      <w:r w:rsidRPr="00604C75">
        <w:rPr>
          <w:rFonts w:eastAsia="Times New Roman"/>
          <w:sz w:val="16"/>
          <w:szCs w:val="16"/>
        </w:rPr>
        <w:t xml:space="preserve"> (*)</w:t>
      </w:r>
      <w:r w:rsidR="00AA1AA6">
        <w:rPr>
          <w:rFonts w:eastAsia="Times New Roman"/>
          <w:sz w:val="16"/>
          <w:szCs w:val="16"/>
        </w:rPr>
        <w:t xml:space="preserve"> </w:t>
      </w:r>
      <w:r w:rsidR="00F84DB8">
        <w:rPr>
          <w:rFonts w:eastAsia="Times New Roman"/>
          <w:sz w:val="16"/>
          <w:szCs w:val="16"/>
        </w:rPr>
        <w:t xml:space="preserve"> </w:t>
      </w:r>
      <w:r w:rsidR="00D410C8">
        <w:rPr>
          <w:rFonts w:eastAsia="Times New Roman"/>
          <w:sz w:val="16"/>
          <w:szCs w:val="16"/>
        </w:rPr>
        <w:t xml:space="preserve"> </w:t>
      </w:r>
      <w:r w:rsidR="0044575F" w:rsidRPr="00604C75">
        <w:rPr>
          <w:rFonts w:eastAsia="Times New Roman"/>
          <w:sz w:val="16"/>
          <w:szCs w:val="16"/>
        </w:rPr>
        <w:t xml:space="preserve">Defined in the 49th article of </w:t>
      </w:r>
      <w:r w:rsidR="00196A0E">
        <w:rPr>
          <w:rFonts w:eastAsia="Times New Roman"/>
          <w:sz w:val="16"/>
          <w:szCs w:val="16"/>
        </w:rPr>
        <w:t>paragraph</w:t>
      </w:r>
      <w:r w:rsidR="0044575F" w:rsidRPr="00604C75">
        <w:rPr>
          <w:rFonts w:eastAsia="Times New Roman"/>
          <w:sz w:val="16"/>
          <w:szCs w:val="16"/>
        </w:rPr>
        <w:t xml:space="preserve"> 2 of the Banking Act No. 5411.</w:t>
      </w:r>
    </w:p>
    <w:p w14:paraId="650D7ECE" w14:textId="34D4CCCC" w:rsidR="00B90F62" w:rsidRPr="00604C75" w:rsidRDefault="00EB4345" w:rsidP="00CD0767">
      <w:pPr>
        <w:pStyle w:val="xl79"/>
        <w:pBdr>
          <w:left w:val="none" w:sz="0" w:space="0" w:color="auto"/>
          <w:bottom w:val="none" w:sz="0" w:space="0" w:color="auto"/>
          <w:right w:val="none" w:sz="0" w:space="0" w:color="auto"/>
        </w:pBdr>
        <w:tabs>
          <w:tab w:val="left" w:pos="1701"/>
        </w:tabs>
        <w:spacing w:before="0" w:beforeAutospacing="0" w:after="0" w:afterAutospacing="0"/>
        <w:jc w:val="both"/>
        <w:rPr>
          <w:rFonts w:eastAsia="Times New Roman"/>
          <w:sz w:val="16"/>
          <w:szCs w:val="16"/>
        </w:rPr>
      </w:pPr>
      <w:r w:rsidRPr="00604C75">
        <w:rPr>
          <w:rFonts w:eastAsia="Times New Roman"/>
          <w:sz w:val="16"/>
          <w:szCs w:val="16"/>
        </w:rPr>
        <w:t xml:space="preserve"> (*</w:t>
      </w:r>
      <w:r w:rsidR="00D21CE3" w:rsidRPr="00604C75">
        <w:rPr>
          <w:rFonts w:eastAsia="Times New Roman"/>
          <w:sz w:val="16"/>
          <w:szCs w:val="16"/>
        </w:rPr>
        <w:t>*</w:t>
      </w:r>
      <w:r w:rsidRPr="00604C75">
        <w:rPr>
          <w:rFonts w:eastAsia="Times New Roman"/>
          <w:sz w:val="16"/>
          <w:szCs w:val="16"/>
        </w:rPr>
        <w:t>)</w:t>
      </w:r>
      <w:r w:rsidR="00AA1AA6">
        <w:rPr>
          <w:rFonts w:eastAsia="Times New Roman"/>
          <w:sz w:val="16"/>
          <w:szCs w:val="16"/>
        </w:rPr>
        <w:t xml:space="preserve"> </w:t>
      </w:r>
      <w:r w:rsidR="0044575F" w:rsidRPr="00604C75">
        <w:rPr>
          <w:rFonts w:eastAsia="Times New Roman"/>
          <w:sz w:val="16"/>
          <w:szCs w:val="16"/>
        </w:rPr>
        <w:t>The informatio</w:t>
      </w:r>
      <w:r w:rsidR="00615C94" w:rsidRPr="00604C75">
        <w:rPr>
          <w:rFonts w:eastAsia="Times New Roman"/>
          <w:sz w:val="16"/>
          <w:szCs w:val="16"/>
        </w:rPr>
        <w:t>n in table above includes banks</w:t>
      </w:r>
      <w:r w:rsidR="00E8325C" w:rsidRPr="00604C75">
        <w:rPr>
          <w:rFonts w:eastAsia="Times New Roman"/>
          <w:sz w:val="16"/>
          <w:szCs w:val="16"/>
        </w:rPr>
        <w:t xml:space="preserve"> as well as loans and receivables</w:t>
      </w:r>
      <w:r w:rsidR="0044575F" w:rsidRPr="00604C75">
        <w:rPr>
          <w:rFonts w:eastAsia="Times New Roman"/>
          <w:sz w:val="16"/>
          <w:szCs w:val="16"/>
        </w:rPr>
        <w:t>.</w:t>
      </w:r>
    </w:p>
    <w:p w14:paraId="51C68604" w14:textId="77777777" w:rsidR="00B90F62" w:rsidRPr="00604C75" w:rsidRDefault="00B90F62" w:rsidP="00EB4345">
      <w:pPr>
        <w:pStyle w:val="xl79"/>
        <w:pBdr>
          <w:left w:val="none" w:sz="0" w:space="0" w:color="auto"/>
          <w:bottom w:val="none" w:sz="0" w:space="0" w:color="auto"/>
          <w:right w:val="none" w:sz="0" w:space="0" w:color="auto"/>
        </w:pBdr>
        <w:tabs>
          <w:tab w:val="left" w:pos="1701"/>
        </w:tabs>
        <w:spacing w:before="0" w:beforeAutospacing="0" w:after="0" w:afterAutospacing="0" w:line="120" w:lineRule="auto"/>
        <w:jc w:val="both"/>
        <w:rPr>
          <w:rFonts w:eastAsia="Times New Roman"/>
        </w:rPr>
      </w:pPr>
    </w:p>
    <w:p w14:paraId="481037D8" w14:textId="77777777" w:rsidR="0044575F" w:rsidRPr="00604C75" w:rsidRDefault="0044575F" w:rsidP="00EB4345">
      <w:pPr>
        <w:pStyle w:val="xl79"/>
        <w:pBdr>
          <w:left w:val="none" w:sz="0" w:space="0" w:color="auto"/>
          <w:bottom w:val="none" w:sz="0" w:space="0" w:color="auto"/>
          <w:right w:val="none" w:sz="0" w:space="0" w:color="auto"/>
        </w:pBdr>
        <w:tabs>
          <w:tab w:val="left" w:pos="2127"/>
        </w:tabs>
        <w:spacing w:before="0" w:beforeAutospacing="0" w:after="0" w:afterAutospacing="0" w:line="48" w:lineRule="auto"/>
        <w:ind w:left="1276" w:hanging="1276"/>
        <w:jc w:val="both"/>
        <w:rPr>
          <w:rFonts w:eastAsia="Times New Roman"/>
        </w:rPr>
      </w:pPr>
    </w:p>
    <w:p w14:paraId="313B44FE" w14:textId="77777777" w:rsidR="00376308" w:rsidRPr="00604C75" w:rsidRDefault="00376308" w:rsidP="00196A0E">
      <w:pPr>
        <w:pStyle w:val="BodyTextIndent"/>
        <w:numPr>
          <w:ilvl w:val="2"/>
          <w:numId w:val="34"/>
        </w:numPr>
        <w:ind w:left="567" w:hanging="567"/>
        <w:jc w:val="both"/>
        <w:rPr>
          <w:bCs/>
          <w:sz w:val="20"/>
          <w:szCs w:val="20"/>
          <w:lang w:val="tr-TR"/>
        </w:rPr>
      </w:pPr>
      <w:r w:rsidRPr="00604C75">
        <w:rPr>
          <w:bCs/>
          <w:sz w:val="20"/>
          <w:szCs w:val="20"/>
          <w:lang w:val="tr-TR"/>
        </w:rPr>
        <w:t xml:space="preserve">31 December </w:t>
      </w:r>
      <w:r w:rsidR="00EB4345" w:rsidRPr="00604C75">
        <w:rPr>
          <w:bCs/>
          <w:sz w:val="20"/>
          <w:szCs w:val="20"/>
          <w:lang w:val="tr-TR"/>
        </w:rPr>
        <w:t>2014</w:t>
      </w:r>
    </w:p>
    <w:p w14:paraId="49D290DA" w14:textId="77777777" w:rsidR="00376308" w:rsidRPr="00604C75" w:rsidRDefault="00376308" w:rsidP="00EB4345">
      <w:pPr>
        <w:pStyle w:val="BodyTextIndent"/>
        <w:spacing w:after="0" w:line="48" w:lineRule="auto"/>
        <w:ind w:left="1701" w:hanging="1276"/>
        <w:jc w:val="both"/>
        <w:rPr>
          <w:bCs/>
          <w:sz w:val="20"/>
          <w:szCs w:val="20"/>
          <w:lang w:val="tr-TR"/>
        </w:rPr>
      </w:pPr>
    </w:p>
    <w:tbl>
      <w:tblPr>
        <w:tblW w:w="942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528"/>
        <w:gridCol w:w="1022"/>
        <w:gridCol w:w="1164"/>
        <w:gridCol w:w="982"/>
        <w:gridCol w:w="1253"/>
        <w:gridCol w:w="1251"/>
        <w:gridCol w:w="1220"/>
      </w:tblGrid>
      <w:tr w:rsidR="00806225" w:rsidRPr="00604C75" w14:paraId="27775F6A" w14:textId="77777777" w:rsidTr="00EB4345">
        <w:trPr>
          <w:trHeight w:val="430"/>
        </w:trPr>
        <w:tc>
          <w:tcPr>
            <w:tcW w:w="2528" w:type="dxa"/>
            <w:shd w:val="clear" w:color="auto" w:fill="FFFFFF"/>
            <w:vAlign w:val="bottom"/>
          </w:tcPr>
          <w:p w14:paraId="2E0BC719" w14:textId="77777777" w:rsidR="00806225" w:rsidRPr="00604C75" w:rsidRDefault="00806225" w:rsidP="00EB4345">
            <w:pPr>
              <w:spacing w:line="228" w:lineRule="auto"/>
              <w:rPr>
                <w:rFonts w:eastAsia="Arial Unicode MS"/>
                <w:b/>
                <w:bCs/>
                <w:sz w:val="18"/>
                <w:szCs w:val="18"/>
              </w:rPr>
            </w:pPr>
          </w:p>
        </w:tc>
        <w:tc>
          <w:tcPr>
            <w:tcW w:w="2186" w:type="dxa"/>
            <w:gridSpan w:val="2"/>
            <w:shd w:val="clear" w:color="auto" w:fill="FFFFFF"/>
            <w:vAlign w:val="bottom"/>
          </w:tcPr>
          <w:p w14:paraId="14E1E400" w14:textId="77777777" w:rsidR="00806225" w:rsidRPr="00604C75" w:rsidRDefault="00806225" w:rsidP="00EB4345">
            <w:pPr>
              <w:spacing w:line="228" w:lineRule="auto"/>
              <w:ind w:right="61"/>
              <w:jc w:val="center"/>
              <w:rPr>
                <w:rFonts w:eastAsia="Arial Unicode MS"/>
                <w:b/>
                <w:bCs/>
                <w:sz w:val="18"/>
                <w:szCs w:val="18"/>
              </w:rPr>
            </w:pPr>
            <w:r w:rsidRPr="00604C75">
              <w:rPr>
                <w:b/>
                <w:bCs/>
                <w:sz w:val="18"/>
                <w:szCs w:val="18"/>
              </w:rPr>
              <w:t>Associates, subsidiaries and joint ventures</w:t>
            </w:r>
          </w:p>
        </w:tc>
        <w:tc>
          <w:tcPr>
            <w:tcW w:w="2235" w:type="dxa"/>
            <w:gridSpan w:val="2"/>
            <w:shd w:val="clear" w:color="auto" w:fill="FFFFFF"/>
            <w:vAlign w:val="bottom"/>
          </w:tcPr>
          <w:p w14:paraId="38F48647" w14:textId="77777777" w:rsidR="00806225" w:rsidRPr="00604C75" w:rsidRDefault="00806225" w:rsidP="00EB4345">
            <w:pPr>
              <w:spacing w:line="228" w:lineRule="auto"/>
              <w:ind w:right="61"/>
              <w:jc w:val="center"/>
              <w:rPr>
                <w:rFonts w:eastAsia="Arial Unicode MS"/>
                <w:b/>
                <w:bCs/>
                <w:sz w:val="18"/>
                <w:szCs w:val="18"/>
              </w:rPr>
            </w:pPr>
            <w:r w:rsidRPr="00604C75">
              <w:rPr>
                <w:b/>
                <w:bCs/>
                <w:sz w:val="18"/>
                <w:szCs w:val="18"/>
              </w:rPr>
              <w:t>Direct and indirect shareholders of the Bank</w:t>
            </w:r>
          </w:p>
        </w:tc>
        <w:tc>
          <w:tcPr>
            <w:tcW w:w="2471" w:type="dxa"/>
            <w:gridSpan w:val="2"/>
            <w:shd w:val="clear" w:color="auto" w:fill="FFFFFF"/>
            <w:vAlign w:val="bottom"/>
          </w:tcPr>
          <w:p w14:paraId="17D02710" w14:textId="77777777" w:rsidR="00806225" w:rsidRPr="00604C75" w:rsidRDefault="00806225" w:rsidP="00EB4345">
            <w:pPr>
              <w:spacing w:line="228" w:lineRule="auto"/>
              <w:ind w:right="61"/>
              <w:jc w:val="center"/>
              <w:rPr>
                <w:rFonts w:eastAsia="Arial Unicode MS"/>
                <w:b/>
                <w:bCs/>
                <w:sz w:val="18"/>
                <w:szCs w:val="18"/>
              </w:rPr>
            </w:pPr>
            <w:r w:rsidRPr="00604C75">
              <w:rPr>
                <w:b/>
                <w:sz w:val="18"/>
                <w:szCs w:val="18"/>
              </w:rPr>
              <w:t>Other real and legal persons that have been included in the risk group</w:t>
            </w:r>
          </w:p>
        </w:tc>
      </w:tr>
      <w:tr w:rsidR="00806225" w:rsidRPr="00604C75" w14:paraId="08C219EE" w14:textId="77777777" w:rsidTr="00196A0E">
        <w:trPr>
          <w:trHeight w:val="301"/>
        </w:trPr>
        <w:tc>
          <w:tcPr>
            <w:tcW w:w="2528" w:type="dxa"/>
            <w:shd w:val="clear" w:color="auto" w:fill="FFFFFF"/>
            <w:vAlign w:val="bottom"/>
          </w:tcPr>
          <w:p w14:paraId="29942DBE" w14:textId="77777777" w:rsidR="00806225" w:rsidRPr="00604C75" w:rsidRDefault="00806225" w:rsidP="00EB4345">
            <w:pPr>
              <w:spacing w:line="228" w:lineRule="auto"/>
              <w:rPr>
                <w:rFonts w:eastAsia="Arial Unicode MS"/>
                <w:b/>
                <w:bCs/>
                <w:sz w:val="18"/>
                <w:szCs w:val="18"/>
              </w:rPr>
            </w:pPr>
            <w:r w:rsidRPr="00604C75">
              <w:rPr>
                <w:b/>
                <w:bCs/>
                <w:sz w:val="18"/>
                <w:szCs w:val="18"/>
              </w:rPr>
              <w:t xml:space="preserve">Group’s Risk Group </w:t>
            </w:r>
            <w:r w:rsidR="005A32B1" w:rsidRPr="00604C75">
              <w:rPr>
                <w:b/>
                <w:bCs/>
                <w:sz w:val="18"/>
                <w:szCs w:val="18"/>
              </w:rPr>
              <w:t>(*)(**)</w:t>
            </w:r>
          </w:p>
        </w:tc>
        <w:tc>
          <w:tcPr>
            <w:tcW w:w="1022" w:type="dxa"/>
            <w:shd w:val="clear" w:color="auto" w:fill="FFFFFF"/>
            <w:vAlign w:val="bottom"/>
          </w:tcPr>
          <w:p w14:paraId="34AB8965" w14:textId="77777777"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Cash</w:t>
            </w:r>
          </w:p>
        </w:tc>
        <w:tc>
          <w:tcPr>
            <w:tcW w:w="1164" w:type="dxa"/>
            <w:shd w:val="clear" w:color="auto" w:fill="FFFFFF"/>
            <w:vAlign w:val="bottom"/>
          </w:tcPr>
          <w:p w14:paraId="33C2CA73" w14:textId="77777777"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Non-Cash</w:t>
            </w:r>
          </w:p>
        </w:tc>
        <w:tc>
          <w:tcPr>
            <w:tcW w:w="982" w:type="dxa"/>
            <w:shd w:val="clear" w:color="auto" w:fill="FFFFFF"/>
            <w:vAlign w:val="bottom"/>
          </w:tcPr>
          <w:p w14:paraId="52DD60B0" w14:textId="77777777"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Cash</w:t>
            </w:r>
          </w:p>
        </w:tc>
        <w:tc>
          <w:tcPr>
            <w:tcW w:w="1253" w:type="dxa"/>
            <w:shd w:val="clear" w:color="auto" w:fill="FFFFFF"/>
            <w:vAlign w:val="bottom"/>
          </w:tcPr>
          <w:p w14:paraId="11D321A6" w14:textId="77777777"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Non-Cash</w:t>
            </w:r>
          </w:p>
        </w:tc>
        <w:tc>
          <w:tcPr>
            <w:tcW w:w="1251" w:type="dxa"/>
            <w:shd w:val="clear" w:color="auto" w:fill="FFFFFF"/>
            <w:vAlign w:val="bottom"/>
          </w:tcPr>
          <w:p w14:paraId="6BBE8B62" w14:textId="77777777" w:rsidR="00806225" w:rsidRPr="00604C75" w:rsidRDefault="00806225" w:rsidP="00EB4345">
            <w:pPr>
              <w:spacing w:line="228" w:lineRule="auto"/>
              <w:ind w:right="51"/>
              <w:jc w:val="right"/>
              <w:rPr>
                <w:rFonts w:eastAsia="Arial Unicode MS"/>
                <w:b/>
                <w:bCs/>
                <w:sz w:val="18"/>
                <w:szCs w:val="18"/>
              </w:rPr>
            </w:pPr>
            <w:r w:rsidRPr="00604C75">
              <w:rPr>
                <w:b/>
                <w:bCs/>
                <w:sz w:val="18"/>
                <w:szCs w:val="18"/>
              </w:rPr>
              <w:t>Cash</w:t>
            </w:r>
          </w:p>
        </w:tc>
        <w:tc>
          <w:tcPr>
            <w:tcW w:w="1220" w:type="dxa"/>
            <w:shd w:val="clear" w:color="auto" w:fill="FFFFFF"/>
            <w:vAlign w:val="bottom"/>
          </w:tcPr>
          <w:p w14:paraId="07F623A5" w14:textId="77777777" w:rsidR="00806225" w:rsidRPr="00604C75" w:rsidRDefault="00806225" w:rsidP="00196A0E">
            <w:pPr>
              <w:spacing w:line="228" w:lineRule="auto"/>
              <w:ind w:right="51"/>
              <w:jc w:val="right"/>
              <w:rPr>
                <w:rFonts w:eastAsia="Arial Unicode MS"/>
                <w:b/>
                <w:bCs/>
                <w:sz w:val="18"/>
                <w:szCs w:val="18"/>
              </w:rPr>
            </w:pPr>
            <w:r w:rsidRPr="00604C75">
              <w:rPr>
                <w:b/>
                <w:bCs/>
                <w:sz w:val="18"/>
                <w:szCs w:val="18"/>
              </w:rPr>
              <w:t>Non-cash</w:t>
            </w:r>
          </w:p>
        </w:tc>
      </w:tr>
      <w:tr w:rsidR="00224102" w:rsidRPr="00604C75" w14:paraId="0A434806" w14:textId="77777777" w:rsidTr="00EB4345">
        <w:trPr>
          <w:trHeight w:val="157"/>
        </w:trPr>
        <w:tc>
          <w:tcPr>
            <w:tcW w:w="2528" w:type="dxa"/>
            <w:shd w:val="clear" w:color="auto" w:fill="FFFFFF"/>
            <w:vAlign w:val="bottom"/>
          </w:tcPr>
          <w:p w14:paraId="196980A7" w14:textId="77777777" w:rsidR="00224102" w:rsidRPr="00604C75" w:rsidRDefault="00224102" w:rsidP="00224102">
            <w:pPr>
              <w:spacing w:line="228" w:lineRule="auto"/>
              <w:rPr>
                <w:rFonts w:eastAsia="Arial Unicode MS"/>
                <w:sz w:val="18"/>
                <w:szCs w:val="18"/>
              </w:rPr>
            </w:pPr>
            <w:r w:rsidRPr="00604C75">
              <w:rPr>
                <w:bCs/>
                <w:sz w:val="18"/>
                <w:szCs w:val="18"/>
              </w:rPr>
              <w:t>Loans and Other Receivables</w:t>
            </w:r>
          </w:p>
        </w:tc>
        <w:tc>
          <w:tcPr>
            <w:tcW w:w="1022" w:type="dxa"/>
            <w:vAlign w:val="bottom"/>
          </w:tcPr>
          <w:p w14:paraId="7F793B30" w14:textId="450F279F" w:rsidR="00224102" w:rsidRPr="00692926" w:rsidRDefault="00224102" w:rsidP="00224102">
            <w:pPr>
              <w:jc w:val="right"/>
              <w:rPr>
                <w:sz w:val="18"/>
                <w:szCs w:val="18"/>
              </w:rPr>
            </w:pPr>
            <w:r w:rsidRPr="00692926">
              <w:rPr>
                <w:sz w:val="18"/>
                <w:szCs w:val="18"/>
              </w:rPr>
              <w:t>-</w:t>
            </w:r>
          </w:p>
        </w:tc>
        <w:tc>
          <w:tcPr>
            <w:tcW w:w="1164" w:type="dxa"/>
            <w:vAlign w:val="bottom"/>
          </w:tcPr>
          <w:p w14:paraId="68E0AD4D" w14:textId="6A45AF8C" w:rsidR="00224102" w:rsidRPr="00692926" w:rsidRDefault="00224102" w:rsidP="00224102">
            <w:pPr>
              <w:jc w:val="right"/>
              <w:rPr>
                <w:sz w:val="18"/>
                <w:szCs w:val="18"/>
              </w:rPr>
            </w:pPr>
            <w:r w:rsidRPr="00692926">
              <w:rPr>
                <w:sz w:val="18"/>
                <w:szCs w:val="18"/>
              </w:rPr>
              <w:t>-</w:t>
            </w:r>
          </w:p>
        </w:tc>
        <w:tc>
          <w:tcPr>
            <w:tcW w:w="982" w:type="dxa"/>
            <w:vAlign w:val="bottom"/>
          </w:tcPr>
          <w:p w14:paraId="0E654F66" w14:textId="70B3459C" w:rsidR="00224102" w:rsidRPr="00692926" w:rsidRDefault="00224102" w:rsidP="00224102">
            <w:pPr>
              <w:jc w:val="right"/>
              <w:rPr>
                <w:sz w:val="18"/>
                <w:szCs w:val="18"/>
              </w:rPr>
            </w:pPr>
            <w:r w:rsidRPr="00692926">
              <w:rPr>
                <w:sz w:val="18"/>
                <w:szCs w:val="18"/>
              </w:rPr>
              <w:t>-</w:t>
            </w:r>
          </w:p>
        </w:tc>
        <w:tc>
          <w:tcPr>
            <w:tcW w:w="1253" w:type="dxa"/>
            <w:vAlign w:val="bottom"/>
          </w:tcPr>
          <w:p w14:paraId="5FA3A929" w14:textId="2D1889FD" w:rsidR="00224102" w:rsidRPr="00692926" w:rsidRDefault="00224102" w:rsidP="00224102">
            <w:pPr>
              <w:jc w:val="right"/>
              <w:rPr>
                <w:sz w:val="18"/>
                <w:szCs w:val="18"/>
              </w:rPr>
            </w:pPr>
            <w:r w:rsidRPr="00692926">
              <w:rPr>
                <w:sz w:val="18"/>
                <w:szCs w:val="18"/>
              </w:rPr>
              <w:t>-</w:t>
            </w:r>
          </w:p>
        </w:tc>
        <w:tc>
          <w:tcPr>
            <w:tcW w:w="1251" w:type="dxa"/>
            <w:vAlign w:val="bottom"/>
          </w:tcPr>
          <w:p w14:paraId="249D7113" w14:textId="3FF83650" w:rsidR="00224102" w:rsidRPr="00692926" w:rsidRDefault="00224102" w:rsidP="00224102">
            <w:pPr>
              <w:jc w:val="right"/>
              <w:rPr>
                <w:sz w:val="18"/>
                <w:szCs w:val="18"/>
              </w:rPr>
            </w:pPr>
            <w:r w:rsidRPr="00692926">
              <w:rPr>
                <w:sz w:val="18"/>
                <w:szCs w:val="18"/>
              </w:rPr>
              <w:t>-</w:t>
            </w:r>
          </w:p>
        </w:tc>
        <w:tc>
          <w:tcPr>
            <w:tcW w:w="1220" w:type="dxa"/>
            <w:vAlign w:val="bottom"/>
          </w:tcPr>
          <w:p w14:paraId="47079DF3" w14:textId="66BC7375" w:rsidR="00224102" w:rsidRPr="00692926" w:rsidRDefault="00224102" w:rsidP="00224102">
            <w:pPr>
              <w:jc w:val="right"/>
              <w:rPr>
                <w:sz w:val="18"/>
                <w:szCs w:val="18"/>
              </w:rPr>
            </w:pPr>
            <w:r w:rsidRPr="00692926">
              <w:rPr>
                <w:sz w:val="18"/>
                <w:szCs w:val="18"/>
              </w:rPr>
              <w:t>-</w:t>
            </w:r>
          </w:p>
        </w:tc>
      </w:tr>
      <w:tr w:rsidR="00224102" w:rsidRPr="00604C75" w14:paraId="24308A0B" w14:textId="77777777" w:rsidTr="00EB4345">
        <w:trPr>
          <w:trHeight w:val="143"/>
        </w:trPr>
        <w:tc>
          <w:tcPr>
            <w:tcW w:w="2528" w:type="dxa"/>
            <w:shd w:val="clear" w:color="auto" w:fill="FFFFFF"/>
            <w:vAlign w:val="bottom"/>
          </w:tcPr>
          <w:p w14:paraId="522ED25D" w14:textId="77777777" w:rsidR="00224102" w:rsidRPr="00604C75" w:rsidRDefault="00224102" w:rsidP="00224102">
            <w:pPr>
              <w:spacing w:line="228" w:lineRule="auto"/>
              <w:rPr>
                <w:rFonts w:eastAsia="Arial Unicode MS"/>
                <w:sz w:val="18"/>
                <w:szCs w:val="18"/>
              </w:rPr>
            </w:pPr>
            <w:r w:rsidRPr="00604C75">
              <w:rPr>
                <w:sz w:val="18"/>
                <w:szCs w:val="18"/>
              </w:rPr>
              <w:t>Balance at the Beginning of the Period</w:t>
            </w:r>
          </w:p>
        </w:tc>
        <w:tc>
          <w:tcPr>
            <w:tcW w:w="1022" w:type="dxa"/>
            <w:vAlign w:val="bottom"/>
          </w:tcPr>
          <w:p w14:paraId="69491EDC" w14:textId="149D4C51" w:rsidR="00224102" w:rsidRPr="00692926" w:rsidRDefault="00224102" w:rsidP="00224102">
            <w:pPr>
              <w:jc w:val="right"/>
              <w:rPr>
                <w:sz w:val="18"/>
                <w:szCs w:val="18"/>
              </w:rPr>
            </w:pPr>
            <w:r w:rsidRPr="00692926">
              <w:rPr>
                <w:sz w:val="18"/>
                <w:szCs w:val="18"/>
              </w:rPr>
              <w:t>-</w:t>
            </w:r>
          </w:p>
        </w:tc>
        <w:tc>
          <w:tcPr>
            <w:tcW w:w="1164" w:type="dxa"/>
            <w:vAlign w:val="bottom"/>
          </w:tcPr>
          <w:p w14:paraId="3531DF66" w14:textId="2AB215C5" w:rsidR="00224102" w:rsidRPr="00692926" w:rsidRDefault="00224102" w:rsidP="00224102">
            <w:pPr>
              <w:jc w:val="right"/>
              <w:rPr>
                <w:sz w:val="18"/>
                <w:szCs w:val="18"/>
              </w:rPr>
            </w:pPr>
            <w:r w:rsidRPr="00692926">
              <w:rPr>
                <w:sz w:val="18"/>
                <w:szCs w:val="18"/>
              </w:rPr>
              <w:t>-</w:t>
            </w:r>
          </w:p>
        </w:tc>
        <w:tc>
          <w:tcPr>
            <w:tcW w:w="982" w:type="dxa"/>
            <w:vAlign w:val="bottom"/>
          </w:tcPr>
          <w:p w14:paraId="55542119" w14:textId="69879A26" w:rsidR="00224102" w:rsidRPr="00692926" w:rsidRDefault="00224102" w:rsidP="00224102">
            <w:pPr>
              <w:jc w:val="right"/>
              <w:rPr>
                <w:sz w:val="18"/>
                <w:szCs w:val="18"/>
              </w:rPr>
            </w:pPr>
            <w:r w:rsidRPr="00692926">
              <w:rPr>
                <w:sz w:val="18"/>
                <w:szCs w:val="18"/>
              </w:rPr>
              <w:t>64</w:t>
            </w:r>
          </w:p>
        </w:tc>
        <w:tc>
          <w:tcPr>
            <w:tcW w:w="1253" w:type="dxa"/>
            <w:vAlign w:val="bottom"/>
          </w:tcPr>
          <w:p w14:paraId="17869C25" w14:textId="103DAE26" w:rsidR="00224102" w:rsidRPr="00692926" w:rsidRDefault="00224102" w:rsidP="00224102">
            <w:pPr>
              <w:jc w:val="right"/>
              <w:rPr>
                <w:sz w:val="18"/>
                <w:szCs w:val="18"/>
              </w:rPr>
            </w:pPr>
            <w:r w:rsidRPr="00692926">
              <w:rPr>
                <w:sz w:val="18"/>
                <w:szCs w:val="18"/>
              </w:rPr>
              <w:t>60,722</w:t>
            </w:r>
          </w:p>
        </w:tc>
        <w:tc>
          <w:tcPr>
            <w:tcW w:w="1251" w:type="dxa"/>
            <w:vAlign w:val="bottom"/>
          </w:tcPr>
          <w:p w14:paraId="2220E5AD" w14:textId="4B3441F6" w:rsidR="00224102" w:rsidRPr="00692926" w:rsidRDefault="00224102" w:rsidP="00224102">
            <w:pPr>
              <w:jc w:val="right"/>
              <w:rPr>
                <w:sz w:val="18"/>
                <w:szCs w:val="18"/>
              </w:rPr>
            </w:pPr>
            <w:r w:rsidRPr="00692926">
              <w:rPr>
                <w:sz w:val="18"/>
                <w:szCs w:val="18"/>
              </w:rPr>
              <w:t>2,124</w:t>
            </w:r>
          </w:p>
        </w:tc>
        <w:tc>
          <w:tcPr>
            <w:tcW w:w="1220" w:type="dxa"/>
            <w:vAlign w:val="bottom"/>
          </w:tcPr>
          <w:p w14:paraId="6317D418" w14:textId="7C918414" w:rsidR="00224102" w:rsidRPr="00692926" w:rsidRDefault="00224102" w:rsidP="00224102">
            <w:pPr>
              <w:jc w:val="right"/>
              <w:rPr>
                <w:sz w:val="18"/>
                <w:szCs w:val="18"/>
              </w:rPr>
            </w:pPr>
            <w:r w:rsidRPr="00692926">
              <w:rPr>
                <w:sz w:val="18"/>
                <w:szCs w:val="18"/>
              </w:rPr>
              <w:t>61,483</w:t>
            </w:r>
          </w:p>
        </w:tc>
      </w:tr>
      <w:tr w:rsidR="00224102" w:rsidRPr="00604C75" w14:paraId="2404A2B4" w14:textId="77777777" w:rsidTr="00EB4345">
        <w:trPr>
          <w:trHeight w:val="157"/>
        </w:trPr>
        <w:tc>
          <w:tcPr>
            <w:tcW w:w="2528" w:type="dxa"/>
            <w:shd w:val="clear" w:color="auto" w:fill="FFFFFF"/>
            <w:vAlign w:val="bottom"/>
          </w:tcPr>
          <w:p w14:paraId="752C7BFE" w14:textId="77777777" w:rsidR="00224102" w:rsidRPr="00604C75" w:rsidRDefault="00224102" w:rsidP="00224102">
            <w:pPr>
              <w:spacing w:line="228" w:lineRule="auto"/>
              <w:rPr>
                <w:rFonts w:eastAsia="Arial Unicode MS"/>
                <w:sz w:val="18"/>
                <w:szCs w:val="18"/>
              </w:rPr>
            </w:pPr>
            <w:r w:rsidRPr="00604C75">
              <w:rPr>
                <w:sz w:val="18"/>
                <w:szCs w:val="18"/>
              </w:rPr>
              <w:t>Balance at the End of the Period</w:t>
            </w:r>
          </w:p>
        </w:tc>
        <w:tc>
          <w:tcPr>
            <w:tcW w:w="1022" w:type="dxa"/>
            <w:vAlign w:val="bottom"/>
          </w:tcPr>
          <w:p w14:paraId="469DC1B9" w14:textId="06552D2D" w:rsidR="00224102" w:rsidRPr="00692926" w:rsidRDefault="00224102" w:rsidP="00224102">
            <w:pPr>
              <w:jc w:val="right"/>
              <w:rPr>
                <w:sz w:val="18"/>
                <w:szCs w:val="18"/>
              </w:rPr>
            </w:pPr>
            <w:r w:rsidRPr="00692926">
              <w:rPr>
                <w:sz w:val="18"/>
                <w:szCs w:val="18"/>
              </w:rPr>
              <w:t>-</w:t>
            </w:r>
          </w:p>
        </w:tc>
        <w:tc>
          <w:tcPr>
            <w:tcW w:w="1164" w:type="dxa"/>
            <w:vAlign w:val="bottom"/>
          </w:tcPr>
          <w:p w14:paraId="2D1DB930" w14:textId="40F0DFC6" w:rsidR="00224102" w:rsidRPr="00692926" w:rsidRDefault="00224102" w:rsidP="00224102">
            <w:pPr>
              <w:jc w:val="right"/>
              <w:rPr>
                <w:sz w:val="18"/>
                <w:szCs w:val="18"/>
              </w:rPr>
            </w:pPr>
            <w:r w:rsidRPr="00692926">
              <w:rPr>
                <w:sz w:val="18"/>
                <w:szCs w:val="18"/>
              </w:rPr>
              <w:t>-</w:t>
            </w:r>
          </w:p>
        </w:tc>
        <w:tc>
          <w:tcPr>
            <w:tcW w:w="982" w:type="dxa"/>
            <w:vAlign w:val="bottom"/>
          </w:tcPr>
          <w:p w14:paraId="68563E40" w14:textId="7D0874A1" w:rsidR="00224102" w:rsidRPr="00692926" w:rsidRDefault="00224102" w:rsidP="00224102">
            <w:pPr>
              <w:jc w:val="right"/>
              <w:rPr>
                <w:sz w:val="18"/>
                <w:szCs w:val="18"/>
              </w:rPr>
            </w:pPr>
            <w:r w:rsidRPr="00692926">
              <w:rPr>
                <w:sz w:val="18"/>
                <w:szCs w:val="18"/>
              </w:rPr>
              <w:t>28,424</w:t>
            </w:r>
          </w:p>
        </w:tc>
        <w:tc>
          <w:tcPr>
            <w:tcW w:w="1253" w:type="dxa"/>
            <w:vAlign w:val="bottom"/>
          </w:tcPr>
          <w:p w14:paraId="4F9F18F5" w14:textId="70B38026" w:rsidR="00224102" w:rsidRPr="00692926" w:rsidRDefault="00224102" w:rsidP="00224102">
            <w:pPr>
              <w:jc w:val="right"/>
              <w:rPr>
                <w:sz w:val="18"/>
                <w:szCs w:val="18"/>
              </w:rPr>
            </w:pPr>
            <w:r w:rsidRPr="00692926">
              <w:rPr>
                <w:sz w:val="18"/>
                <w:szCs w:val="18"/>
              </w:rPr>
              <w:t>74,604</w:t>
            </w:r>
          </w:p>
        </w:tc>
        <w:tc>
          <w:tcPr>
            <w:tcW w:w="1251" w:type="dxa"/>
            <w:vAlign w:val="bottom"/>
          </w:tcPr>
          <w:p w14:paraId="258D4493" w14:textId="359A17C1" w:rsidR="00224102" w:rsidRPr="00692926" w:rsidRDefault="00224102" w:rsidP="00224102">
            <w:pPr>
              <w:jc w:val="right"/>
              <w:rPr>
                <w:sz w:val="18"/>
                <w:szCs w:val="18"/>
              </w:rPr>
            </w:pPr>
            <w:r w:rsidRPr="00692926">
              <w:rPr>
                <w:sz w:val="18"/>
                <w:szCs w:val="18"/>
              </w:rPr>
              <w:t>57,545</w:t>
            </w:r>
          </w:p>
        </w:tc>
        <w:tc>
          <w:tcPr>
            <w:tcW w:w="1220" w:type="dxa"/>
            <w:vAlign w:val="bottom"/>
          </w:tcPr>
          <w:p w14:paraId="378C7F83" w14:textId="2C0C3F6A" w:rsidR="00224102" w:rsidRPr="00692926" w:rsidRDefault="00224102" w:rsidP="00224102">
            <w:pPr>
              <w:jc w:val="right"/>
              <w:rPr>
                <w:sz w:val="18"/>
                <w:szCs w:val="18"/>
              </w:rPr>
            </w:pPr>
            <w:r w:rsidRPr="00692926">
              <w:rPr>
                <w:sz w:val="18"/>
                <w:szCs w:val="18"/>
              </w:rPr>
              <w:t>70,868</w:t>
            </w:r>
          </w:p>
        </w:tc>
      </w:tr>
      <w:tr w:rsidR="00224102" w:rsidRPr="00604C75" w14:paraId="542D3973" w14:textId="77777777" w:rsidTr="00EB4345">
        <w:trPr>
          <w:trHeight w:val="301"/>
        </w:trPr>
        <w:tc>
          <w:tcPr>
            <w:tcW w:w="2528" w:type="dxa"/>
            <w:shd w:val="clear" w:color="auto" w:fill="FFFFFF"/>
            <w:vAlign w:val="bottom"/>
          </w:tcPr>
          <w:p w14:paraId="60E28C42" w14:textId="77777777" w:rsidR="00224102" w:rsidRPr="00604C75" w:rsidRDefault="00224102" w:rsidP="00224102">
            <w:pPr>
              <w:spacing w:line="228" w:lineRule="auto"/>
              <w:rPr>
                <w:rFonts w:eastAsia="Arial Unicode MS"/>
                <w:b/>
                <w:sz w:val="18"/>
                <w:szCs w:val="18"/>
              </w:rPr>
            </w:pPr>
            <w:r w:rsidRPr="00604C75">
              <w:rPr>
                <w:b/>
                <w:sz w:val="18"/>
                <w:szCs w:val="18"/>
              </w:rPr>
              <w:t>Interest and Commission Income Received (***)</w:t>
            </w:r>
          </w:p>
        </w:tc>
        <w:tc>
          <w:tcPr>
            <w:tcW w:w="1022" w:type="dxa"/>
            <w:vAlign w:val="bottom"/>
          </w:tcPr>
          <w:p w14:paraId="6E2BBB02" w14:textId="54BEE29D" w:rsidR="00224102" w:rsidRPr="00692926" w:rsidRDefault="00224102" w:rsidP="00224102">
            <w:pPr>
              <w:jc w:val="right"/>
              <w:rPr>
                <w:b/>
                <w:bCs/>
                <w:color w:val="000000"/>
                <w:sz w:val="18"/>
                <w:szCs w:val="18"/>
              </w:rPr>
            </w:pPr>
            <w:r>
              <w:rPr>
                <w:color w:val="000000"/>
                <w:sz w:val="18"/>
                <w:szCs w:val="18"/>
              </w:rPr>
              <w:t xml:space="preserve">                </w:t>
            </w:r>
            <w:r w:rsidRPr="003C5B0E">
              <w:rPr>
                <w:color w:val="000000"/>
                <w:sz w:val="18"/>
                <w:szCs w:val="18"/>
              </w:rPr>
              <w:t>-</w:t>
            </w:r>
          </w:p>
        </w:tc>
        <w:tc>
          <w:tcPr>
            <w:tcW w:w="1164" w:type="dxa"/>
            <w:vAlign w:val="bottom"/>
          </w:tcPr>
          <w:p w14:paraId="1EB21F4F" w14:textId="73672925" w:rsidR="00224102" w:rsidRPr="00692926" w:rsidRDefault="00224102" w:rsidP="00224102">
            <w:pPr>
              <w:jc w:val="right"/>
              <w:rPr>
                <w:b/>
                <w:bCs/>
                <w:color w:val="000000"/>
                <w:sz w:val="18"/>
                <w:szCs w:val="18"/>
              </w:rPr>
            </w:pPr>
            <w:r>
              <w:rPr>
                <w:color w:val="000000"/>
                <w:sz w:val="18"/>
                <w:szCs w:val="18"/>
              </w:rPr>
              <w:t xml:space="preserve">                  </w:t>
            </w:r>
            <w:r w:rsidRPr="003C5B0E">
              <w:rPr>
                <w:color w:val="000000"/>
                <w:sz w:val="18"/>
                <w:szCs w:val="18"/>
              </w:rPr>
              <w:t>-</w:t>
            </w:r>
          </w:p>
        </w:tc>
        <w:tc>
          <w:tcPr>
            <w:tcW w:w="982" w:type="dxa"/>
            <w:vAlign w:val="bottom"/>
          </w:tcPr>
          <w:p w14:paraId="3267DC9D" w14:textId="0E6374B5" w:rsidR="00224102" w:rsidRPr="00692926" w:rsidRDefault="00224102" w:rsidP="00224102">
            <w:pPr>
              <w:jc w:val="right"/>
              <w:rPr>
                <w:b/>
                <w:sz w:val="18"/>
                <w:szCs w:val="18"/>
              </w:rPr>
            </w:pPr>
            <w:r w:rsidRPr="00A36623">
              <w:rPr>
                <w:b/>
                <w:sz w:val="18"/>
                <w:szCs w:val="18"/>
              </w:rPr>
              <w:t>99</w:t>
            </w:r>
          </w:p>
        </w:tc>
        <w:tc>
          <w:tcPr>
            <w:tcW w:w="1253" w:type="dxa"/>
            <w:vAlign w:val="bottom"/>
          </w:tcPr>
          <w:p w14:paraId="55872E61" w14:textId="28B8ABAA" w:rsidR="00224102" w:rsidRPr="00692926" w:rsidRDefault="00224102" w:rsidP="00224102">
            <w:pPr>
              <w:jc w:val="right"/>
              <w:rPr>
                <w:b/>
                <w:sz w:val="18"/>
                <w:szCs w:val="18"/>
              </w:rPr>
            </w:pPr>
            <w:r>
              <w:rPr>
                <w:b/>
                <w:sz w:val="18"/>
                <w:szCs w:val="18"/>
              </w:rPr>
              <w:t>1,</w:t>
            </w:r>
            <w:r w:rsidRPr="00A36623">
              <w:rPr>
                <w:b/>
                <w:sz w:val="18"/>
                <w:szCs w:val="18"/>
              </w:rPr>
              <w:t>269</w:t>
            </w:r>
          </w:p>
        </w:tc>
        <w:tc>
          <w:tcPr>
            <w:tcW w:w="1251" w:type="dxa"/>
            <w:vAlign w:val="bottom"/>
          </w:tcPr>
          <w:p w14:paraId="3E0B13AF" w14:textId="0AD05E14" w:rsidR="00224102" w:rsidRPr="00692926" w:rsidRDefault="00224102" w:rsidP="00224102">
            <w:pPr>
              <w:jc w:val="right"/>
              <w:rPr>
                <w:b/>
                <w:sz w:val="18"/>
                <w:szCs w:val="18"/>
              </w:rPr>
            </w:pPr>
            <w:r w:rsidRPr="00A36623">
              <w:rPr>
                <w:b/>
                <w:sz w:val="18"/>
                <w:szCs w:val="18"/>
              </w:rPr>
              <w:t>199</w:t>
            </w:r>
          </w:p>
        </w:tc>
        <w:tc>
          <w:tcPr>
            <w:tcW w:w="1220" w:type="dxa"/>
            <w:vAlign w:val="bottom"/>
          </w:tcPr>
          <w:p w14:paraId="49FEEF40" w14:textId="3AE98FF2" w:rsidR="00224102" w:rsidRPr="00692926" w:rsidRDefault="00224102" w:rsidP="00224102">
            <w:pPr>
              <w:jc w:val="right"/>
              <w:rPr>
                <w:b/>
                <w:sz w:val="18"/>
                <w:szCs w:val="18"/>
              </w:rPr>
            </w:pPr>
            <w:r>
              <w:rPr>
                <w:b/>
                <w:sz w:val="18"/>
                <w:szCs w:val="18"/>
              </w:rPr>
              <w:t>1,</w:t>
            </w:r>
            <w:r w:rsidRPr="00A36623">
              <w:rPr>
                <w:b/>
                <w:sz w:val="18"/>
                <w:szCs w:val="18"/>
              </w:rPr>
              <w:t>010</w:t>
            </w:r>
          </w:p>
        </w:tc>
      </w:tr>
    </w:tbl>
    <w:p w14:paraId="6601CA64" w14:textId="04879F17" w:rsidR="0044575F" w:rsidRPr="00604C75" w:rsidRDefault="00EB4345" w:rsidP="00CD0767">
      <w:pPr>
        <w:pStyle w:val="xl79"/>
        <w:pBdr>
          <w:left w:val="none" w:sz="0" w:space="0" w:color="auto"/>
          <w:bottom w:val="none" w:sz="0" w:space="0" w:color="auto"/>
          <w:right w:val="none" w:sz="0" w:space="0" w:color="auto"/>
        </w:pBdr>
        <w:tabs>
          <w:tab w:val="left" w:pos="1708"/>
        </w:tabs>
        <w:spacing w:before="60" w:beforeAutospacing="0" w:after="0" w:afterAutospacing="0"/>
        <w:ind w:hanging="1276"/>
        <w:jc w:val="both"/>
        <w:rPr>
          <w:rFonts w:eastAsia="Times New Roman"/>
          <w:sz w:val="16"/>
          <w:szCs w:val="16"/>
        </w:rPr>
      </w:pPr>
      <w:r w:rsidRPr="00604C75">
        <w:rPr>
          <w:rFonts w:eastAsia="Times New Roman"/>
        </w:rPr>
        <w:t xml:space="preserve">                         </w:t>
      </w:r>
      <w:r w:rsidR="00184FDB" w:rsidRPr="00604C75">
        <w:rPr>
          <w:rFonts w:eastAsia="Times New Roman"/>
        </w:rPr>
        <w:tab/>
      </w:r>
      <w:r w:rsidRPr="00604C75">
        <w:rPr>
          <w:rFonts w:eastAsia="Times New Roman"/>
          <w:sz w:val="16"/>
          <w:szCs w:val="16"/>
        </w:rPr>
        <w:t>(*)</w:t>
      </w:r>
      <w:r w:rsidR="00F84DB8">
        <w:rPr>
          <w:rFonts w:eastAsia="Times New Roman"/>
          <w:sz w:val="16"/>
          <w:szCs w:val="16"/>
        </w:rPr>
        <w:t xml:space="preserve"> </w:t>
      </w:r>
      <w:r w:rsidR="00AA1AA6">
        <w:rPr>
          <w:rFonts w:eastAsia="Times New Roman"/>
          <w:sz w:val="16"/>
          <w:szCs w:val="16"/>
        </w:rPr>
        <w:t xml:space="preserve"> </w:t>
      </w:r>
      <w:r w:rsidR="00D410C8">
        <w:rPr>
          <w:rFonts w:eastAsia="Times New Roman"/>
          <w:sz w:val="16"/>
          <w:szCs w:val="16"/>
        </w:rPr>
        <w:t xml:space="preserve"> </w:t>
      </w:r>
      <w:r w:rsidR="0044575F" w:rsidRPr="00604C75">
        <w:rPr>
          <w:rFonts w:eastAsia="Times New Roman"/>
          <w:sz w:val="16"/>
          <w:szCs w:val="16"/>
        </w:rPr>
        <w:t xml:space="preserve">Defined in the 49th article of </w:t>
      </w:r>
      <w:r w:rsidR="00814A45">
        <w:rPr>
          <w:rFonts w:eastAsia="Times New Roman"/>
          <w:sz w:val="16"/>
          <w:szCs w:val="16"/>
        </w:rPr>
        <w:t>p</w:t>
      </w:r>
      <w:r w:rsidR="00196A0E">
        <w:rPr>
          <w:rFonts w:eastAsia="Times New Roman"/>
          <w:sz w:val="16"/>
          <w:szCs w:val="16"/>
        </w:rPr>
        <w:t>aragraph</w:t>
      </w:r>
      <w:r w:rsidR="0044575F" w:rsidRPr="00604C75">
        <w:rPr>
          <w:rFonts w:eastAsia="Times New Roman"/>
          <w:sz w:val="16"/>
          <w:szCs w:val="16"/>
        </w:rPr>
        <w:t xml:space="preserve"> 2 of the Banking Act No. 5411.</w:t>
      </w:r>
    </w:p>
    <w:p w14:paraId="6DBE4175" w14:textId="2361F776" w:rsidR="005A32B1" w:rsidRPr="00604C75" w:rsidRDefault="00EB4345" w:rsidP="00224102">
      <w:pPr>
        <w:pStyle w:val="xl79"/>
        <w:pBdr>
          <w:left w:val="none" w:sz="0" w:space="0" w:color="auto"/>
          <w:bottom w:val="none" w:sz="0" w:space="0" w:color="auto"/>
          <w:right w:val="none" w:sz="0" w:space="0" w:color="auto"/>
        </w:pBdr>
        <w:tabs>
          <w:tab w:val="left" w:pos="0"/>
        </w:tabs>
        <w:spacing w:before="60" w:beforeAutospacing="0" w:after="0" w:afterAutospacing="0" w:line="228" w:lineRule="auto"/>
        <w:jc w:val="both"/>
      </w:pPr>
      <w:r w:rsidRPr="00604C75">
        <w:rPr>
          <w:rFonts w:eastAsia="Times New Roman"/>
          <w:sz w:val="16"/>
          <w:szCs w:val="16"/>
        </w:rPr>
        <w:t xml:space="preserve">(**) </w:t>
      </w:r>
      <w:r w:rsidR="0044575F" w:rsidRPr="00604C75">
        <w:rPr>
          <w:rFonts w:eastAsia="Times New Roman"/>
          <w:sz w:val="16"/>
          <w:szCs w:val="16"/>
        </w:rPr>
        <w:t>The information in table above includes banks</w:t>
      </w:r>
      <w:r w:rsidR="00E8325C" w:rsidRPr="00604C75">
        <w:rPr>
          <w:rFonts w:eastAsia="Times New Roman"/>
          <w:sz w:val="16"/>
          <w:szCs w:val="16"/>
        </w:rPr>
        <w:t xml:space="preserve"> as well as loans and receivables</w:t>
      </w:r>
      <w:r w:rsidR="0044575F" w:rsidRPr="00604C75">
        <w:rPr>
          <w:rFonts w:eastAsia="Times New Roman"/>
          <w:sz w:val="16"/>
          <w:szCs w:val="16"/>
        </w:rPr>
        <w:t>.</w:t>
      </w:r>
      <w:r w:rsidRPr="00604C75">
        <w:t xml:space="preserve"> </w:t>
      </w:r>
    </w:p>
    <w:p w14:paraId="18D6B03B" w14:textId="77777777" w:rsidR="00DA0005" w:rsidRPr="00604C75" w:rsidRDefault="00DA0005" w:rsidP="007A2A24">
      <w:pPr>
        <w:pStyle w:val="BodyTextIndent"/>
        <w:tabs>
          <w:tab w:val="left" w:pos="2268"/>
        </w:tabs>
        <w:spacing w:after="0"/>
        <w:ind w:left="0"/>
        <w:rPr>
          <w:sz w:val="16"/>
          <w:szCs w:val="16"/>
        </w:rPr>
      </w:pPr>
    </w:p>
    <w:p w14:paraId="7F338552" w14:textId="77777777" w:rsidR="0044575F" w:rsidRPr="00604C75" w:rsidRDefault="00376308" w:rsidP="00196A0E">
      <w:pPr>
        <w:pStyle w:val="BodyTextIndent"/>
        <w:ind w:left="567" w:hanging="567"/>
        <w:rPr>
          <w:sz w:val="20"/>
          <w:szCs w:val="20"/>
        </w:rPr>
      </w:pPr>
      <w:r w:rsidRPr="00604C75">
        <w:rPr>
          <w:sz w:val="20"/>
          <w:szCs w:val="20"/>
        </w:rPr>
        <w:t>3</w:t>
      </w:r>
      <w:r w:rsidR="0044575F" w:rsidRPr="00604C75">
        <w:rPr>
          <w:sz w:val="20"/>
          <w:szCs w:val="20"/>
        </w:rPr>
        <w:t>.</w:t>
      </w:r>
      <w:r w:rsidR="0044575F" w:rsidRPr="00604C75">
        <w:rPr>
          <w:sz w:val="20"/>
          <w:szCs w:val="20"/>
        </w:rPr>
        <w:tab/>
      </w:r>
      <w:r w:rsidR="00EB4436" w:rsidRPr="00604C75">
        <w:rPr>
          <w:sz w:val="20"/>
          <w:szCs w:val="20"/>
        </w:rPr>
        <w:t xml:space="preserve"> </w:t>
      </w:r>
      <w:r w:rsidR="0044575F" w:rsidRPr="00604C75">
        <w:rPr>
          <w:sz w:val="20"/>
          <w:szCs w:val="20"/>
        </w:rPr>
        <w:t xml:space="preserve">Information on deposits of the </w:t>
      </w:r>
      <w:r w:rsidR="0021372F" w:rsidRPr="00604C75">
        <w:rPr>
          <w:sz w:val="20"/>
          <w:szCs w:val="20"/>
        </w:rPr>
        <w:t>Group’s</w:t>
      </w:r>
      <w:r w:rsidR="0044575F" w:rsidRPr="00604C75">
        <w:rPr>
          <w:sz w:val="20"/>
          <w:szCs w:val="20"/>
        </w:rPr>
        <w:t xml:space="preserve"> risk group</w:t>
      </w:r>
    </w:p>
    <w:tbl>
      <w:tblPr>
        <w:tblW w:w="9468"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664"/>
        <w:gridCol w:w="1026"/>
        <w:gridCol w:w="1179"/>
        <w:gridCol w:w="1099"/>
        <w:gridCol w:w="1090"/>
        <w:gridCol w:w="1342"/>
        <w:gridCol w:w="1068"/>
      </w:tblGrid>
      <w:tr w:rsidR="00AA621F" w:rsidRPr="00604C75" w14:paraId="62BEE8CC" w14:textId="77777777" w:rsidTr="00E83EAC">
        <w:trPr>
          <w:trHeight w:val="314"/>
        </w:trPr>
        <w:tc>
          <w:tcPr>
            <w:tcW w:w="2664" w:type="dxa"/>
            <w:shd w:val="clear" w:color="auto" w:fill="FFFFFF"/>
            <w:vAlign w:val="bottom"/>
          </w:tcPr>
          <w:p w14:paraId="768E9C56" w14:textId="77777777" w:rsidR="00AA621F" w:rsidRPr="00604C75" w:rsidRDefault="00AA621F" w:rsidP="00194AE8">
            <w:pPr>
              <w:rPr>
                <w:rFonts w:eastAsia="Arial Unicode MS"/>
                <w:bCs/>
                <w:sz w:val="18"/>
                <w:szCs w:val="18"/>
              </w:rPr>
            </w:pPr>
            <w:r w:rsidRPr="00604C75">
              <w:rPr>
                <w:b/>
                <w:bCs/>
                <w:sz w:val="18"/>
                <w:szCs w:val="18"/>
              </w:rPr>
              <w:t>Group’s Risk Group</w:t>
            </w:r>
            <w:r w:rsidR="00AA1AA6">
              <w:rPr>
                <w:b/>
                <w:bCs/>
                <w:sz w:val="18"/>
                <w:szCs w:val="18"/>
              </w:rPr>
              <w:t xml:space="preserve"> </w:t>
            </w:r>
            <w:r w:rsidR="002771EC">
              <w:rPr>
                <w:b/>
                <w:bCs/>
                <w:sz w:val="18"/>
                <w:szCs w:val="18"/>
              </w:rPr>
              <w:t>(*)</w:t>
            </w:r>
          </w:p>
        </w:tc>
        <w:tc>
          <w:tcPr>
            <w:tcW w:w="2205" w:type="dxa"/>
            <w:gridSpan w:val="2"/>
            <w:shd w:val="clear" w:color="auto" w:fill="FFFFFF"/>
            <w:vAlign w:val="bottom"/>
          </w:tcPr>
          <w:p w14:paraId="581091B1" w14:textId="77777777" w:rsidR="00AA621F" w:rsidRPr="00604C75" w:rsidRDefault="00AA621F" w:rsidP="00194AE8">
            <w:pPr>
              <w:ind w:right="42"/>
              <w:jc w:val="center"/>
              <w:rPr>
                <w:rFonts w:eastAsia="Arial Unicode MS"/>
                <w:b/>
                <w:bCs/>
                <w:sz w:val="18"/>
                <w:szCs w:val="18"/>
              </w:rPr>
            </w:pPr>
            <w:r w:rsidRPr="00604C75">
              <w:rPr>
                <w:b/>
                <w:bCs/>
                <w:sz w:val="18"/>
                <w:szCs w:val="18"/>
              </w:rPr>
              <w:t>Associates , subsidiaries and joint ventures</w:t>
            </w:r>
          </w:p>
        </w:tc>
        <w:tc>
          <w:tcPr>
            <w:tcW w:w="2189" w:type="dxa"/>
            <w:gridSpan w:val="2"/>
            <w:shd w:val="clear" w:color="auto" w:fill="FFFFFF"/>
            <w:vAlign w:val="bottom"/>
          </w:tcPr>
          <w:p w14:paraId="0EB21649" w14:textId="77777777" w:rsidR="00AA621F" w:rsidRPr="00604C75" w:rsidRDefault="00AA621F" w:rsidP="00194AE8">
            <w:pPr>
              <w:ind w:right="42"/>
              <w:jc w:val="center"/>
              <w:rPr>
                <w:rFonts w:eastAsia="Arial Unicode MS"/>
                <w:b/>
                <w:bCs/>
                <w:sz w:val="18"/>
                <w:szCs w:val="18"/>
              </w:rPr>
            </w:pPr>
            <w:r w:rsidRPr="00604C75">
              <w:rPr>
                <w:b/>
                <w:bCs/>
                <w:sz w:val="18"/>
                <w:szCs w:val="18"/>
              </w:rPr>
              <w:t>Direct and indirect shareholders of the Bank</w:t>
            </w:r>
          </w:p>
        </w:tc>
        <w:tc>
          <w:tcPr>
            <w:tcW w:w="2410" w:type="dxa"/>
            <w:gridSpan w:val="2"/>
            <w:shd w:val="clear" w:color="auto" w:fill="FFFFFF"/>
            <w:vAlign w:val="bottom"/>
          </w:tcPr>
          <w:p w14:paraId="610D9FF8" w14:textId="77777777" w:rsidR="00AA621F" w:rsidRPr="00604C75" w:rsidRDefault="00AA621F" w:rsidP="00194AE8">
            <w:pPr>
              <w:ind w:right="42"/>
              <w:jc w:val="center"/>
              <w:rPr>
                <w:rFonts w:eastAsia="Arial Unicode MS"/>
                <w:b/>
                <w:bCs/>
                <w:sz w:val="18"/>
                <w:szCs w:val="18"/>
              </w:rPr>
            </w:pPr>
            <w:r w:rsidRPr="00604C75">
              <w:rPr>
                <w:b/>
                <w:bCs/>
                <w:sz w:val="18"/>
                <w:szCs w:val="18"/>
              </w:rPr>
              <w:t>Other real and legal persons that have been included in the risk group</w:t>
            </w:r>
          </w:p>
        </w:tc>
      </w:tr>
      <w:tr w:rsidR="00AA621F" w:rsidRPr="00604C75" w14:paraId="670DB216" w14:textId="77777777" w:rsidTr="00E83EAC">
        <w:trPr>
          <w:trHeight w:val="178"/>
        </w:trPr>
        <w:tc>
          <w:tcPr>
            <w:tcW w:w="2664" w:type="dxa"/>
            <w:shd w:val="clear" w:color="auto" w:fill="FFFFFF"/>
            <w:vAlign w:val="bottom"/>
          </w:tcPr>
          <w:p w14:paraId="50F5D60A" w14:textId="77777777" w:rsidR="00AA621F" w:rsidRPr="00604C75" w:rsidRDefault="00AA621F" w:rsidP="00194AE8">
            <w:pPr>
              <w:jc w:val="both"/>
              <w:rPr>
                <w:rFonts w:eastAsia="Arial Unicode MS"/>
                <w:b/>
                <w:bCs/>
                <w:sz w:val="18"/>
                <w:szCs w:val="18"/>
              </w:rPr>
            </w:pPr>
            <w:r w:rsidRPr="00604C75">
              <w:rPr>
                <w:b/>
                <w:bCs/>
                <w:sz w:val="18"/>
              </w:rPr>
              <w:t>Deposit</w:t>
            </w:r>
          </w:p>
        </w:tc>
        <w:tc>
          <w:tcPr>
            <w:tcW w:w="1026" w:type="dxa"/>
            <w:shd w:val="clear" w:color="auto" w:fill="FFFFFF"/>
            <w:vAlign w:val="bottom"/>
          </w:tcPr>
          <w:p w14:paraId="0221281C" w14:textId="77777777" w:rsidR="00AA621F" w:rsidRPr="00604C75" w:rsidRDefault="00A877A3" w:rsidP="0016049D">
            <w:pPr>
              <w:ind w:right="54"/>
              <w:jc w:val="right"/>
              <w:rPr>
                <w:b/>
                <w:bCs/>
                <w:sz w:val="16"/>
                <w:szCs w:val="16"/>
              </w:rPr>
            </w:pPr>
            <w:r>
              <w:rPr>
                <w:b/>
                <w:bCs/>
                <w:sz w:val="16"/>
                <w:szCs w:val="16"/>
              </w:rPr>
              <w:t>3</w:t>
            </w:r>
            <w:r w:rsidR="00C66BAC">
              <w:rPr>
                <w:b/>
                <w:bCs/>
                <w:sz w:val="16"/>
                <w:szCs w:val="16"/>
              </w:rPr>
              <w:t>1</w:t>
            </w:r>
            <w:r>
              <w:rPr>
                <w:b/>
                <w:bCs/>
                <w:sz w:val="16"/>
                <w:szCs w:val="16"/>
              </w:rPr>
              <w:t xml:space="preserve"> </w:t>
            </w:r>
            <w:r w:rsidR="00C66BAC">
              <w:rPr>
                <w:b/>
                <w:bCs/>
                <w:sz w:val="16"/>
                <w:szCs w:val="16"/>
              </w:rPr>
              <w:t>December</w:t>
            </w:r>
          </w:p>
          <w:p w14:paraId="4D0C71EB" w14:textId="77777777" w:rsidR="00AA621F" w:rsidRPr="00604C75" w:rsidRDefault="00AA621F" w:rsidP="00194AE8">
            <w:pPr>
              <w:ind w:right="18"/>
              <w:jc w:val="right"/>
              <w:rPr>
                <w:rFonts w:eastAsia="Arial Unicode MS"/>
                <w:b/>
                <w:bCs/>
                <w:sz w:val="18"/>
                <w:szCs w:val="18"/>
              </w:rPr>
            </w:pPr>
            <w:r w:rsidRPr="00604C75">
              <w:rPr>
                <w:b/>
                <w:bCs/>
                <w:sz w:val="16"/>
                <w:szCs w:val="16"/>
              </w:rPr>
              <w:t xml:space="preserve"> 2015</w:t>
            </w:r>
          </w:p>
        </w:tc>
        <w:tc>
          <w:tcPr>
            <w:tcW w:w="1179" w:type="dxa"/>
            <w:shd w:val="clear" w:color="auto" w:fill="FFFFFF"/>
            <w:vAlign w:val="bottom"/>
          </w:tcPr>
          <w:p w14:paraId="717B239B" w14:textId="77777777" w:rsidR="00AA621F" w:rsidRPr="00604C75" w:rsidRDefault="00AA621F" w:rsidP="00194AE8">
            <w:pPr>
              <w:jc w:val="right"/>
              <w:rPr>
                <w:rFonts w:eastAsia="Arial Unicode MS"/>
                <w:b/>
                <w:bCs/>
                <w:sz w:val="18"/>
                <w:szCs w:val="18"/>
              </w:rPr>
            </w:pPr>
            <w:r w:rsidRPr="00604C75">
              <w:rPr>
                <w:b/>
                <w:bCs/>
                <w:sz w:val="16"/>
                <w:szCs w:val="16"/>
              </w:rPr>
              <w:t>31 December  2014</w:t>
            </w:r>
          </w:p>
        </w:tc>
        <w:tc>
          <w:tcPr>
            <w:tcW w:w="1099" w:type="dxa"/>
            <w:shd w:val="clear" w:color="auto" w:fill="FFFFFF"/>
            <w:vAlign w:val="bottom"/>
          </w:tcPr>
          <w:p w14:paraId="1C11DCFC" w14:textId="77777777" w:rsidR="00AA621F" w:rsidRPr="00604C75" w:rsidRDefault="00A877A3" w:rsidP="0016049D">
            <w:pPr>
              <w:ind w:right="54"/>
              <w:jc w:val="right"/>
              <w:rPr>
                <w:b/>
                <w:bCs/>
                <w:sz w:val="16"/>
                <w:szCs w:val="16"/>
              </w:rPr>
            </w:pPr>
            <w:r>
              <w:rPr>
                <w:b/>
                <w:bCs/>
                <w:sz w:val="16"/>
                <w:szCs w:val="16"/>
              </w:rPr>
              <w:t>3</w:t>
            </w:r>
            <w:r w:rsidR="00C66BAC">
              <w:rPr>
                <w:b/>
                <w:bCs/>
                <w:sz w:val="16"/>
                <w:szCs w:val="16"/>
              </w:rPr>
              <w:t>1</w:t>
            </w:r>
            <w:r>
              <w:rPr>
                <w:b/>
                <w:bCs/>
                <w:sz w:val="16"/>
                <w:szCs w:val="16"/>
              </w:rPr>
              <w:t xml:space="preserve"> </w:t>
            </w:r>
            <w:r w:rsidR="00C66BAC">
              <w:rPr>
                <w:b/>
                <w:bCs/>
                <w:sz w:val="16"/>
                <w:szCs w:val="16"/>
              </w:rPr>
              <w:t>December</w:t>
            </w:r>
          </w:p>
          <w:p w14:paraId="745763C5" w14:textId="77777777" w:rsidR="00AA621F" w:rsidRPr="00604C75" w:rsidRDefault="00AA621F" w:rsidP="00194AE8">
            <w:pPr>
              <w:ind w:right="18"/>
              <w:jc w:val="right"/>
              <w:rPr>
                <w:rFonts w:eastAsia="Arial Unicode MS"/>
                <w:b/>
                <w:bCs/>
                <w:sz w:val="18"/>
                <w:szCs w:val="18"/>
              </w:rPr>
            </w:pPr>
            <w:r w:rsidRPr="00604C75">
              <w:rPr>
                <w:b/>
                <w:bCs/>
                <w:sz w:val="16"/>
                <w:szCs w:val="16"/>
              </w:rPr>
              <w:t xml:space="preserve"> 2015</w:t>
            </w:r>
          </w:p>
        </w:tc>
        <w:tc>
          <w:tcPr>
            <w:tcW w:w="1090" w:type="dxa"/>
            <w:shd w:val="clear" w:color="auto" w:fill="FFFFFF"/>
            <w:vAlign w:val="bottom"/>
          </w:tcPr>
          <w:p w14:paraId="579B6D8F" w14:textId="77777777" w:rsidR="00AA621F" w:rsidRPr="00604C75" w:rsidRDefault="00AA621F" w:rsidP="00194AE8">
            <w:pPr>
              <w:jc w:val="right"/>
              <w:rPr>
                <w:rFonts w:eastAsia="Arial Unicode MS"/>
                <w:b/>
                <w:bCs/>
                <w:sz w:val="18"/>
                <w:szCs w:val="18"/>
              </w:rPr>
            </w:pPr>
            <w:r w:rsidRPr="00604C75">
              <w:rPr>
                <w:b/>
                <w:bCs/>
                <w:sz w:val="16"/>
                <w:szCs w:val="16"/>
              </w:rPr>
              <w:t>31 December  2014</w:t>
            </w:r>
          </w:p>
        </w:tc>
        <w:tc>
          <w:tcPr>
            <w:tcW w:w="1342" w:type="dxa"/>
            <w:shd w:val="clear" w:color="auto" w:fill="FFFFFF"/>
            <w:vAlign w:val="bottom"/>
          </w:tcPr>
          <w:p w14:paraId="00C6DD7F" w14:textId="77777777" w:rsidR="00AA621F" w:rsidRPr="00604C75" w:rsidRDefault="00A877A3" w:rsidP="0016049D">
            <w:pPr>
              <w:ind w:right="54"/>
              <w:jc w:val="right"/>
              <w:rPr>
                <w:b/>
                <w:bCs/>
                <w:sz w:val="16"/>
                <w:szCs w:val="16"/>
              </w:rPr>
            </w:pPr>
            <w:r>
              <w:rPr>
                <w:b/>
                <w:bCs/>
                <w:sz w:val="16"/>
                <w:szCs w:val="16"/>
              </w:rPr>
              <w:t>3</w:t>
            </w:r>
            <w:r w:rsidR="00C66BAC">
              <w:rPr>
                <w:b/>
                <w:bCs/>
                <w:sz w:val="16"/>
                <w:szCs w:val="16"/>
              </w:rPr>
              <w:t>1</w:t>
            </w:r>
            <w:r>
              <w:rPr>
                <w:b/>
                <w:bCs/>
                <w:sz w:val="16"/>
                <w:szCs w:val="16"/>
              </w:rPr>
              <w:t xml:space="preserve"> </w:t>
            </w:r>
            <w:r w:rsidR="00C66BAC">
              <w:rPr>
                <w:b/>
                <w:bCs/>
                <w:sz w:val="16"/>
                <w:szCs w:val="16"/>
              </w:rPr>
              <w:t>December</w:t>
            </w:r>
          </w:p>
          <w:p w14:paraId="682BFCBE" w14:textId="77777777" w:rsidR="00AA621F" w:rsidRPr="00604C75" w:rsidRDefault="00AA621F" w:rsidP="00194AE8">
            <w:pPr>
              <w:ind w:right="18"/>
              <w:jc w:val="right"/>
              <w:rPr>
                <w:rFonts w:eastAsia="Arial Unicode MS"/>
                <w:b/>
                <w:bCs/>
                <w:sz w:val="18"/>
                <w:szCs w:val="18"/>
              </w:rPr>
            </w:pPr>
            <w:r w:rsidRPr="00604C75">
              <w:rPr>
                <w:b/>
                <w:bCs/>
                <w:sz w:val="16"/>
                <w:szCs w:val="16"/>
              </w:rPr>
              <w:t xml:space="preserve"> 2015</w:t>
            </w:r>
          </w:p>
        </w:tc>
        <w:tc>
          <w:tcPr>
            <w:tcW w:w="1068" w:type="dxa"/>
            <w:shd w:val="clear" w:color="auto" w:fill="FFFFFF"/>
            <w:vAlign w:val="bottom"/>
          </w:tcPr>
          <w:p w14:paraId="7A8BFA49" w14:textId="77777777" w:rsidR="00AA621F" w:rsidRPr="00604C75" w:rsidRDefault="00AA621F" w:rsidP="00194AE8">
            <w:pPr>
              <w:ind w:right="27"/>
              <w:jc w:val="right"/>
              <w:rPr>
                <w:rFonts w:eastAsia="Arial Unicode MS"/>
                <w:b/>
                <w:bCs/>
                <w:sz w:val="18"/>
                <w:szCs w:val="18"/>
              </w:rPr>
            </w:pPr>
            <w:r w:rsidRPr="00604C75">
              <w:rPr>
                <w:b/>
                <w:bCs/>
                <w:sz w:val="16"/>
                <w:szCs w:val="16"/>
              </w:rPr>
              <w:t>31 December  2014</w:t>
            </w:r>
          </w:p>
        </w:tc>
      </w:tr>
      <w:tr w:rsidR="00224102" w:rsidRPr="00604C75" w14:paraId="1DCFB894" w14:textId="77777777" w:rsidTr="00E83EAC">
        <w:trPr>
          <w:trHeight w:val="178"/>
        </w:trPr>
        <w:tc>
          <w:tcPr>
            <w:tcW w:w="2664" w:type="dxa"/>
            <w:shd w:val="clear" w:color="auto" w:fill="FFFFFF"/>
            <w:vAlign w:val="bottom"/>
          </w:tcPr>
          <w:p w14:paraId="1375E1AB" w14:textId="77777777" w:rsidR="00224102" w:rsidRPr="00604C75" w:rsidRDefault="00224102" w:rsidP="00224102">
            <w:pPr>
              <w:rPr>
                <w:rFonts w:eastAsia="Arial Unicode MS"/>
                <w:sz w:val="18"/>
                <w:szCs w:val="18"/>
              </w:rPr>
            </w:pPr>
            <w:r w:rsidRPr="00604C75">
              <w:rPr>
                <w:sz w:val="18"/>
              </w:rPr>
              <w:t>Beginning of the Period</w:t>
            </w:r>
          </w:p>
        </w:tc>
        <w:tc>
          <w:tcPr>
            <w:tcW w:w="1026" w:type="dxa"/>
            <w:vAlign w:val="bottom"/>
          </w:tcPr>
          <w:p w14:paraId="2C5F1146" w14:textId="55F8F416" w:rsidR="00224102" w:rsidRPr="00692926" w:rsidRDefault="00224102" w:rsidP="00224102">
            <w:pPr>
              <w:jc w:val="right"/>
              <w:rPr>
                <w:sz w:val="18"/>
                <w:szCs w:val="18"/>
              </w:rPr>
            </w:pPr>
            <w:r>
              <w:rPr>
                <w:sz w:val="18"/>
                <w:szCs w:val="18"/>
              </w:rPr>
              <w:t>-</w:t>
            </w:r>
          </w:p>
        </w:tc>
        <w:tc>
          <w:tcPr>
            <w:tcW w:w="1179" w:type="dxa"/>
            <w:vAlign w:val="bottom"/>
          </w:tcPr>
          <w:p w14:paraId="56266E17" w14:textId="2E4080C2" w:rsidR="00224102" w:rsidRPr="00692926" w:rsidRDefault="00224102" w:rsidP="00224102">
            <w:pPr>
              <w:ind w:right="18"/>
              <w:jc w:val="right"/>
              <w:rPr>
                <w:sz w:val="18"/>
                <w:szCs w:val="18"/>
              </w:rPr>
            </w:pPr>
            <w:r w:rsidRPr="00692926">
              <w:rPr>
                <w:sz w:val="18"/>
                <w:szCs w:val="18"/>
              </w:rPr>
              <w:t>-</w:t>
            </w:r>
          </w:p>
        </w:tc>
        <w:tc>
          <w:tcPr>
            <w:tcW w:w="1099" w:type="dxa"/>
            <w:vAlign w:val="bottom"/>
          </w:tcPr>
          <w:p w14:paraId="1B5A4305" w14:textId="2101B6CA" w:rsidR="00224102" w:rsidRPr="00692926" w:rsidRDefault="00224102" w:rsidP="00224102">
            <w:pPr>
              <w:jc w:val="right"/>
              <w:rPr>
                <w:sz w:val="18"/>
                <w:szCs w:val="18"/>
              </w:rPr>
            </w:pPr>
            <w:r w:rsidRPr="00692926">
              <w:rPr>
                <w:sz w:val="18"/>
                <w:szCs w:val="18"/>
              </w:rPr>
              <w:t>921,622</w:t>
            </w:r>
          </w:p>
        </w:tc>
        <w:tc>
          <w:tcPr>
            <w:tcW w:w="1090" w:type="dxa"/>
            <w:vAlign w:val="bottom"/>
          </w:tcPr>
          <w:p w14:paraId="70C9E869" w14:textId="56719800" w:rsidR="00224102" w:rsidRPr="00692926" w:rsidRDefault="00224102" w:rsidP="00224102">
            <w:pPr>
              <w:ind w:right="37"/>
              <w:jc w:val="right"/>
              <w:rPr>
                <w:sz w:val="18"/>
                <w:szCs w:val="18"/>
              </w:rPr>
            </w:pPr>
            <w:r w:rsidRPr="00692926">
              <w:rPr>
                <w:sz w:val="18"/>
                <w:szCs w:val="18"/>
              </w:rPr>
              <w:t>437,426</w:t>
            </w:r>
          </w:p>
        </w:tc>
        <w:tc>
          <w:tcPr>
            <w:tcW w:w="1342" w:type="dxa"/>
            <w:vAlign w:val="bottom"/>
          </w:tcPr>
          <w:p w14:paraId="0CE5FCEF" w14:textId="7E16D883" w:rsidR="00224102" w:rsidRPr="00692926" w:rsidRDefault="00224102" w:rsidP="00224102">
            <w:pPr>
              <w:jc w:val="right"/>
              <w:rPr>
                <w:sz w:val="18"/>
                <w:szCs w:val="18"/>
              </w:rPr>
            </w:pPr>
            <w:r w:rsidRPr="00692926">
              <w:rPr>
                <w:sz w:val="18"/>
                <w:szCs w:val="18"/>
              </w:rPr>
              <w:t>291,313</w:t>
            </w:r>
          </w:p>
        </w:tc>
        <w:tc>
          <w:tcPr>
            <w:tcW w:w="1068" w:type="dxa"/>
            <w:vAlign w:val="bottom"/>
          </w:tcPr>
          <w:p w14:paraId="6E2508CE" w14:textId="5278DC52" w:rsidR="00224102" w:rsidRPr="00692926" w:rsidRDefault="00224102" w:rsidP="00224102">
            <w:pPr>
              <w:ind w:right="27"/>
              <w:jc w:val="right"/>
              <w:rPr>
                <w:sz w:val="18"/>
                <w:szCs w:val="18"/>
              </w:rPr>
            </w:pPr>
            <w:r w:rsidRPr="00692926">
              <w:rPr>
                <w:sz w:val="18"/>
                <w:szCs w:val="18"/>
              </w:rPr>
              <w:t>204,248</w:t>
            </w:r>
          </w:p>
        </w:tc>
      </w:tr>
      <w:tr w:rsidR="00224102" w:rsidRPr="00604C75" w14:paraId="0C7DE679" w14:textId="77777777" w:rsidTr="00E83EAC">
        <w:trPr>
          <w:trHeight w:val="178"/>
        </w:trPr>
        <w:tc>
          <w:tcPr>
            <w:tcW w:w="2664" w:type="dxa"/>
            <w:shd w:val="clear" w:color="auto" w:fill="FFFFFF"/>
            <w:vAlign w:val="bottom"/>
          </w:tcPr>
          <w:p w14:paraId="44E8D56A" w14:textId="77777777" w:rsidR="00224102" w:rsidRPr="00604C75" w:rsidRDefault="00224102" w:rsidP="00224102">
            <w:pPr>
              <w:rPr>
                <w:rFonts w:eastAsia="Arial Unicode MS"/>
                <w:sz w:val="18"/>
                <w:szCs w:val="18"/>
              </w:rPr>
            </w:pPr>
            <w:r w:rsidRPr="00604C75">
              <w:rPr>
                <w:sz w:val="18"/>
              </w:rPr>
              <w:t>End of the Period</w:t>
            </w:r>
          </w:p>
        </w:tc>
        <w:tc>
          <w:tcPr>
            <w:tcW w:w="1026" w:type="dxa"/>
            <w:vAlign w:val="bottom"/>
          </w:tcPr>
          <w:p w14:paraId="33502092" w14:textId="4FB4EF0B" w:rsidR="00224102" w:rsidRPr="00692926" w:rsidRDefault="00224102" w:rsidP="00224102">
            <w:pPr>
              <w:jc w:val="right"/>
              <w:rPr>
                <w:sz w:val="18"/>
                <w:szCs w:val="18"/>
              </w:rPr>
            </w:pPr>
            <w:r>
              <w:rPr>
                <w:sz w:val="18"/>
                <w:szCs w:val="18"/>
              </w:rPr>
              <w:t>-</w:t>
            </w:r>
          </w:p>
        </w:tc>
        <w:tc>
          <w:tcPr>
            <w:tcW w:w="1179" w:type="dxa"/>
            <w:vAlign w:val="bottom"/>
          </w:tcPr>
          <w:p w14:paraId="23FE4B72" w14:textId="145CEFE2" w:rsidR="00224102" w:rsidRPr="00692926" w:rsidRDefault="00224102" w:rsidP="00224102">
            <w:pPr>
              <w:jc w:val="right"/>
              <w:rPr>
                <w:sz w:val="18"/>
                <w:szCs w:val="18"/>
              </w:rPr>
            </w:pPr>
            <w:r>
              <w:rPr>
                <w:sz w:val="18"/>
                <w:szCs w:val="18"/>
              </w:rPr>
              <w:t>-</w:t>
            </w:r>
          </w:p>
        </w:tc>
        <w:tc>
          <w:tcPr>
            <w:tcW w:w="1099" w:type="dxa"/>
            <w:vAlign w:val="bottom"/>
          </w:tcPr>
          <w:p w14:paraId="6DA1160C" w14:textId="532BA354" w:rsidR="00224102" w:rsidRPr="00692926" w:rsidRDefault="00224102" w:rsidP="00224102">
            <w:pPr>
              <w:jc w:val="right"/>
              <w:rPr>
                <w:sz w:val="18"/>
                <w:szCs w:val="18"/>
              </w:rPr>
            </w:pPr>
            <w:r>
              <w:rPr>
                <w:sz w:val="18"/>
                <w:szCs w:val="18"/>
              </w:rPr>
              <w:t>255,948</w:t>
            </w:r>
          </w:p>
        </w:tc>
        <w:tc>
          <w:tcPr>
            <w:tcW w:w="1090" w:type="dxa"/>
            <w:vAlign w:val="bottom"/>
          </w:tcPr>
          <w:p w14:paraId="57D7CF0E" w14:textId="5BBA5DEB" w:rsidR="00224102" w:rsidRPr="00692926" w:rsidRDefault="00224102" w:rsidP="00224102">
            <w:pPr>
              <w:jc w:val="right"/>
              <w:rPr>
                <w:sz w:val="18"/>
                <w:szCs w:val="18"/>
              </w:rPr>
            </w:pPr>
            <w:r w:rsidRPr="00692926">
              <w:rPr>
                <w:sz w:val="18"/>
                <w:szCs w:val="18"/>
              </w:rPr>
              <w:t>921,622</w:t>
            </w:r>
          </w:p>
        </w:tc>
        <w:tc>
          <w:tcPr>
            <w:tcW w:w="1342" w:type="dxa"/>
            <w:vAlign w:val="bottom"/>
          </w:tcPr>
          <w:p w14:paraId="0D2F404E" w14:textId="1FD5FB38" w:rsidR="00224102" w:rsidRPr="00692926" w:rsidRDefault="00224102" w:rsidP="00224102">
            <w:pPr>
              <w:jc w:val="right"/>
              <w:rPr>
                <w:sz w:val="18"/>
                <w:szCs w:val="18"/>
              </w:rPr>
            </w:pPr>
            <w:r>
              <w:rPr>
                <w:sz w:val="18"/>
                <w:szCs w:val="18"/>
              </w:rPr>
              <w:t>94,743</w:t>
            </w:r>
          </w:p>
        </w:tc>
        <w:tc>
          <w:tcPr>
            <w:tcW w:w="1068" w:type="dxa"/>
            <w:vAlign w:val="bottom"/>
          </w:tcPr>
          <w:p w14:paraId="68C2993F" w14:textId="539060F1" w:rsidR="00224102" w:rsidRPr="00692926" w:rsidRDefault="00224102" w:rsidP="00224102">
            <w:pPr>
              <w:jc w:val="right"/>
              <w:rPr>
                <w:sz w:val="18"/>
                <w:szCs w:val="18"/>
              </w:rPr>
            </w:pPr>
            <w:r w:rsidRPr="00692926">
              <w:rPr>
                <w:sz w:val="18"/>
                <w:szCs w:val="18"/>
              </w:rPr>
              <w:t>291,313</w:t>
            </w:r>
          </w:p>
        </w:tc>
      </w:tr>
      <w:tr w:rsidR="00224102" w:rsidRPr="00604C75" w14:paraId="5C4C3234" w14:textId="77777777" w:rsidTr="00E83EAC">
        <w:trPr>
          <w:trHeight w:val="178"/>
        </w:trPr>
        <w:tc>
          <w:tcPr>
            <w:tcW w:w="2664" w:type="dxa"/>
            <w:shd w:val="clear" w:color="auto" w:fill="FFFFFF"/>
            <w:vAlign w:val="bottom"/>
          </w:tcPr>
          <w:p w14:paraId="54FF689A" w14:textId="77777777" w:rsidR="00224102" w:rsidRPr="00604C75" w:rsidRDefault="00224102" w:rsidP="00224102">
            <w:pPr>
              <w:rPr>
                <w:rFonts w:eastAsia="Arial Unicode MS"/>
                <w:b/>
                <w:bCs/>
                <w:sz w:val="18"/>
                <w:szCs w:val="18"/>
              </w:rPr>
            </w:pPr>
            <w:r w:rsidRPr="00604C75">
              <w:rPr>
                <w:b/>
                <w:sz w:val="18"/>
                <w:szCs w:val="18"/>
              </w:rPr>
              <w:t>Interest Expense on Deposi</w:t>
            </w:r>
            <w:r>
              <w:rPr>
                <w:b/>
                <w:sz w:val="18"/>
                <w:szCs w:val="18"/>
              </w:rPr>
              <w:t>ts (**</w:t>
            </w:r>
            <w:r w:rsidRPr="00604C75">
              <w:rPr>
                <w:b/>
                <w:sz w:val="18"/>
                <w:szCs w:val="18"/>
              </w:rPr>
              <w:t>)</w:t>
            </w:r>
          </w:p>
        </w:tc>
        <w:tc>
          <w:tcPr>
            <w:tcW w:w="1026" w:type="dxa"/>
            <w:vAlign w:val="bottom"/>
          </w:tcPr>
          <w:p w14:paraId="655CC212" w14:textId="130771CC" w:rsidR="00224102" w:rsidRPr="00692926" w:rsidRDefault="00224102" w:rsidP="00224102">
            <w:pPr>
              <w:jc w:val="right"/>
              <w:rPr>
                <w:b/>
                <w:sz w:val="18"/>
                <w:szCs w:val="18"/>
              </w:rPr>
            </w:pPr>
            <w:r>
              <w:rPr>
                <w:b/>
                <w:sz w:val="18"/>
                <w:szCs w:val="18"/>
              </w:rPr>
              <w:t>-</w:t>
            </w:r>
          </w:p>
        </w:tc>
        <w:tc>
          <w:tcPr>
            <w:tcW w:w="1179" w:type="dxa"/>
            <w:vAlign w:val="bottom"/>
          </w:tcPr>
          <w:p w14:paraId="328E1C7C" w14:textId="260D42C4" w:rsidR="00224102" w:rsidRPr="00692926" w:rsidRDefault="00224102" w:rsidP="00224102">
            <w:pPr>
              <w:jc w:val="right"/>
              <w:rPr>
                <w:b/>
                <w:sz w:val="18"/>
                <w:szCs w:val="18"/>
              </w:rPr>
            </w:pPr>
            <w:r>
              <w:rPr>
                <w:b/>
                <w:sz w:val="18"/>
                <w:szCs w:val="18"/>
              </w:rPr>
              <w:t>-</w:t>
            </w:r>
          </w:p>
        </w:tc>
        <w:tc>
          <w:tcPr>
            <w:tcW w:w="1099" w:type="dxa"/>
            <w:vAlign w:val="bottom"/>
          </w:tcPr>
          <w:p w14:paraId="10E782C3" w14:textId="254606F2" w:rsidR="00224102" w:rsidRPr="00692926" w:rsidRDefault="00224102" w:rsidP="00224102">
            <w:pPr>
              <w:jc w:val="right"/>
              <w:rPr>
                <w:b/>
                <w:sz w:val="18"/>
                <w:szCs w:val="18"/>
              </w:rPr>
            </w:pPr>
            <w:r>
              <w:rPr>
                <w:b/>
                <w:sz w:val="18"/>
                <w:szCs w:val="18"/>
              </w:rPr>
              <w:t>59,408</w:t>
            </w:r>
          </w:p>
        </w:tc>
        <w:tc>
          <w:tcPr>
            <w:tcW w:w="1090" w:type="dxa"/>
            <w:vAlign w:val="bottom"/>
          </w:tcPr>
          <w:p w14:paraId="1C9031C8" w14:textId="35EEC5D7" w:rsidR="00224102" w:rsidRPr="00692926" w:rsidRDefault="00224102" w:rsidP="00224102">
            <w:pPr>
              <w:jc w:val="right"/>
              <w:rPr>
                <w:b/>
                <w:sz w:val="18"/>
                <w:szCs w:val="18"/>
              </w:rPr>
            </w:pPr>
            <w:r>
              <w:rPr>
                <w:b/>
                <w:sz w:val="18"/>
                <w:szCs w:val="18"/>
              </w:rPr>
              <w:t>49,955</w:t>
            </w:r>
          </w:p>
        </w:tc>
        <w:tc>
          <w:tcPr>
            <w:tcW w:w="1342" w:type="dxa"/>
            <w:vAlign w:val="bottom"/>
          </w:tcPr>
          <w:p w14:paraId="62D28F4F" w14:textId="432B902D" w:rsidR="00224102" w:rsidRPr="00692926" w:rsidRDefault="00224102" w:rsidP="00224102">
            <w:pPr>
              <w:jc w:val="right"/>
              <w:rPr>
                <w:b/>
                <w:sz w:val="18"/>
                <w:szCs w:val="18"/>
              </w:rPr>
            </w:pPr>
            <w:r>
              <w:rPr>
                <w:b/>
                <w:sz w:val="18"/>
                <w:szCs w:val="18"/>
              </w:rPr>
              <w:t>23,253</w:t>
            </w:r>
          </w:p>
        </w:tc>
        <w:tc>
          <w:tcPr>
            <w:tcW w:w="1068" w:type="dxa"/>
            <w:vAlign w:val="bottom"/>
          </w:tcPr>
          <w:p w14:paraId="42D0B8BE" w14:textId="309C873B" w:rsidR="00224102" w:rsidRPr="00692926" w:rsidRDefault="00224102" w:rsidP="00224102">
            <w:pPr>
              <w:jc w:val="right"/>
              <w:rPr>
                <w:b/>
                <w:sz w:val="18"/>
                <w:szCs w:val="18"/>
              </w:rPr>
            </w:pPr>
            <w:r>
              <w:rPr>
                <w:b/>
                <w:sz w:val="18"/>
                <w:szCs w:val="18"/>
              </w:rPr>
              <w:t>18,756</w:t>
            </w:r>
          </w:p>
        </w:tc>
      </w:tr>
    </w:tbl>
    <w:p w14:paraId="722EE548" w14:textId="4334E802" w:rsidR="002771EC" w:rsidRDefault="002771EC" w:rsidP="00CD0767">
      <w:pPr>
        <w:pStyle w:val="xl79"/>
        <w:pBdr>
          <w:left w:val="none" w:sz="0" w:space="0" w:color="auto"/>
          <w:bottom w:val="none" w:sz="0" w:space="0" w:color="auto"/>
          <w:right w:val="none" w:sz="0" w:space="0" w:color="auto"/>
        </w:pBdr>
        <w:spacing w:before="60" w:beforeAutospacing="0" w:after="0" w:afterAutospacing="0"/>
        <w:jc w:val="both"/>
        <w:rPr>
          <w:rFonts w:eastAsia="Times New Roman"/>
          <w:sz w:val="16"/>
          <w:szCs w:val="16"/>
        </w:rPr>
      </w:pPr>
      <w:r>
        <w:rPr>
          <w:rFonts w:eastAsia="Times New Roman"/>
          <w:sz w:val="16"/>
          <w:szCs w:val="16"/>
        </w:rPr>
        <w:t xml:space="preserve">(*) </w:t>
      </w:r>
      <w:r w:rsidR="0044575F" w:rsidRPr="00604C75">
        <w:rPr>
          <w:rFonts w:eastAsia="Times New Roman"/>
          <w:sz w:val="16"/>
          <w:szCs w:val="16"/>
        </w:rPr>
        <w:t>Defined i</w:t>
      </w:r>
      <w:r w:rsidR="006D3C10">
        <w:rPr>
          <w:rFonts w:eastAsia="Times New Roman"/>
          <w:sz w:val="16"/>
          <w:szCs w:val="16"/>
        </w:rPr>
        <w:t>n the 49th Article of paragraph</w:t>
      </w:r>
      <w:r>
        <w:rPr>
          <w:rFonts w:eastAsia="Times New Roman"/>
          <w:sz w:val="16"/>
          <w:szCs w:val="16"/>
        </w:rPr>
        <w:t xml:space="preserve"> 2 of the Banking Act No. 5411.</w:t>
      </w:r>
    </w:p>
    <w:p w14:paraId="0C1EE6AF" w14:textId="77777777" w:rsidR="007A2A24" w:rsidRPr="00604C75" w:rsidRDefault="007A2A24" w:rsidP="007A2A24">
      <w:pPr>
        <w:pStyle w:val="BodyTextIndent"/>
        <w:tabs>
          <w:tab w:val="left" w:pos="1456"/>
        </w:tabs>
        <w:spacing w:after="0"/>
        <w:ind w:left="0"/>
        <w:rPr>
          <w:sz w:val="16"/>
          <w:szCs w:val="16"/>
          <w:lang w:val="tr-TR"/>
        </w:rPr>
      </w:pPr>
    </w:p>
    <w:p w14:paraId="18846DDE" w14:textId="77777777" w:rsidR="007A2A24" w:rsidRPr="00604C75" w:rsidRDefault="007A2A24" w:rsidP="007A2A24">
      <w:pPr>
        <w:pStyle w:val="BodyTextIndent"/>
        <w:tabs>
          <w:tab w:val="left" w:pos="1456"/>
        </w:tabs>
        <w:spacing w:after="0"/>
        <w:ind w:left="0"/>
        <w:rPr>
          <w:sz w:val="16"/>
          <w:szCs w:val="16"/>
          <w:lang w:val="tr-TR"/>
        </w:rPr>
      </w:pPr>
    </w:p>
    <w:p w14:paraId="2B778A28" w14:textId="77777777" w:rsidR="007A2A24" w:rsidRPr="00604C75" w:rsidRDefault="007A2A24" w:rsidP="007A2A24">
      <w:pPr>
        <w:pStyle w:val="BodyTextIndent"/>
        <w:tabs>
          <w:tab w:val="left" w:pos="1456"/>
        </w:tabs>
        <w:spacing w:after="0"/>
        <w:ind w:left="0"/>
        <w:rPr>
          <w:sz w:val="16"/>
          <w:szCs w:val="16"/>
          <w:lang w:val="tr-TR"/>
        </w:rPr>
      </w:pPr>
    </w:p>
    <w:p w14:paraId="23FBF654" w14:textId="77777777" w:rsidR="007A2A24" w:rsidRPr="00604C75" w:rsidRDefault="007A2A24" w:rsidP="007A2A24">
      <w:pPr>
        <w:pStyle w:val="BodyTextIndent"/>
        <w:tabs>
          <w:tab w:val="left" w:pos="1456"/>
        </w:tabs>
        <w:spacing w:after="0"/>
        <w:ind w:left="0"/>
        <w:rPr>
          <w:sz w:val="16"/>
          <w:szCs w:val="16"/>
          <w:lang w:val="tr-TR"/>
        </w:rPr>
      </w:pPr>
    </w:p>
    <w:p w14:paraId="1425A72C" w14:textId="77777777" w:rsidR="007A2A24" w:rsidRPr="00604C75" w:rsidRDefault="007A2A24" w:rsidP="007A2A24">
      <w:pPr>
        <w:pStyle w:val="BodyTextIndent"/>
        <w:tabs>
          <w:tab w:val="left" w:pos="1456"/>
        </w:tabs>
        <w:spacing w:after="0"/>
        <w:ind w:left="0"/>
        <w:rPr>
          <w:sz w:val="16"/>
          <w:szCs w:val="16"/>
          <w:lang w:val="tr-TR"/>
        </w:rPr>
      </w:pPr>
    </w:p>
    <w:p w14:paraId="038AEE5F" w14:textId="77777777" w:rsidR="007A2A24" w:rsidRPr="00604C75" w:rsidRDefault="007A2A24" w:rsidP="007A2A24">
      <w:pPr>
        <w:pStyle w:val="BodyTextIndent"/>
        <w:tabs>
          <w:tab w:val="left" w:pos="1456"/>
        </w:tabs>
        <w:spacing w:after="0"/>
        <w:ind w:left="0"/>
        <w:rPr>
          <w:sz w:val="16"/>
          <w:szCs w:val="16"/>
          <w:lang w:val="tr-TR"/>
        </w:rPr>
      </w:pPr>
    </w:p>
    <w:p w14:paraId="03E76C83" w14:textId="77777777" w:rsidR="007A2A24" w:rsidRPr="00604C75" w:rsidRDefault="007A2A24" w:rsidP="007A2A24">
      <w:pPr>
        <w:pStyle w:val="BodyTextIndent"/>
        <w:tabs>
          <w:tab w:val="left" w:pos="1456"/>
        </w:tabs>
        <w:spacing w:after="0"/>
        <w:ind w:left="0"/>
        <w:rPr>
          <w:sz w:val="16"/>
          <w:szCs w:val="16"/>
          <w:lang w:val="tr-TR"/>
        </w:rPr>
      </w:pPr>
    </w:p>
    <w:p w14:paraId="603A8154" w14:textId="77777777" w:rsidR="007A2A24" w:rsidRPr="00604C75" w:rsidRDefault="007A2A24" w:rsidP="007A2A24">
      <w:pPr>
        <w:pStyle w:val="BodyTextIndent"/>
        <w:tabs>
          <w:tab w:val="left" w:pos="1456"/>
        </w:tabs>
        <w:spacing w:after="0"/>
        <w:ind w:left="0"/>
        <w:rPr>
          <w:sz w:val="16"/>
          <w:szCs w:val="16"/>
          <w:lang w:val="tr-TR"/>
        </w:rPr>
      </w:pPr>
    </w:p>
    <w:p w14:paraId="3F806602" w14:textId="77777777" w:rsidR="007A2A24" w:rsidRPr="00604C75" w:rsidRDefault="007A2A24" w:rsidP="007A2A24">
      <w:pPr>
        <w:pStyle w:val="BodyTextIndent"/>
        <w:tabs>
          <w:tab w:val="left" w:pos="1456"/>
        </w:tabs>
        <w:spacing w:after="0"/>
        <w:ind w:left="0"/>
        <w:rPr>
          <w:sz w:val="16"/>
          <w:szCs w:val="16"/>
          <w:lang w:val="tr-TR"/>
        </w:rPr>
      </w:pPr>
    </w:p>
    <w:p w14:paraId="3BD6232F" w14:textId="77777777" w:rsidR="007A2A24" w:rsidRPr="00604C75" w:rsidRDefault="007A2A24" w:rsidP="007A2A24">
      <w:pPr>
        <w:pStyle w:val="BodyTextIndent"/>
        <w:tabs>
          <w:tab w:val="left" w:pos="1456"/>
        </w:tabs>
        <w:spacing w:after="0"/>
        <w:ind w:left="0"/>
        <w:rPr>
          <w:sz w:val="16"/>
          <w:szCs w:val="16"/>
          <w:lang w:val="tr-TR"/>
        </w:rPr>
      </w:pPr>
    </w:p>
    <w:p w14:paraId="21108E5A" w14:textId="77777777" w:rsidR="007A2A24" w:rsidRPr="00604C75" w:rsidRDefault="007A2A24" w:rsidP="007A2A24">
      <w:pPr>
        <w:pStyle w:val="BodyTextIndent"/>
        <w:tabs>
          <w:tab w:val="left" w:pos="1456"/>
        </w:tabs>
        <w:spacing w:after="0"/>
        <w:ind w:left="0"/>
        <w:rPr>
          <w:sz w:val="16"/>
          <w:szCs w:val="16"/>
          <w:lang w:val="tr-TR"/>
        </w:rPr>
      </w:pPr>
    </w:p>
    <w:p w14:paraId="1331E917" w14:textId="180B1C5B" w:rsidR="002C4111"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1A386279" w14:textId="08278723" w:rsidR="002C4111" w:rsidRDefault="002C4111" w:rsidP="00490153">
      <w:pPr>
        <w:pStyle w:val="BodyTextIndent"/>
        <w:tabs>
          <w:tab w:val="left" w:pos="2268"/>
        </w:tabs>
        <w:spacing w:before="120" w:after="0"/>
        <w:ind w:left="710" w:hanging="710"/>
        <w:jc w:val="both"/>
        <w:rPr>
          <w:b/>
          <w:noProof/>
          <w:sz w:val="20"/>
          <w:szCs w:val="20"/>
          <w:lang w:val="tr-TR"/>
        </w:rPr>
      </w:pPr>
      <w:r w:rsidRPr="00604C75">
        <w:rPr>
          <w:b/>
          <w:noProof/>
          <w:sz w:val="20"/>
          <w:szCs w:val="20"/>
          <w:lang w:val="tr-TR"/>
        </w:rPr>
        <w:t>V</w:t>
      </w:r>
      <w:r w:rsidR="00C931A1">
        <w:rPr>
          <w:b/>
          <w:noProof/>
          <w:sz w:val="20"/>
          <w:szCs w:val="20"/>
          <w:lang w:val="tr-TR"/>
        </w:rPr>
        <w:t>II</w:t>
      </w:r>
      <w:r w:rsidRPr="00604C75">
        <w:rPr>
          <w:b/>
          <w:noProof/>
          <w:sz w:val="20"/>
          <w:szCs w:val="20"/>
          <w:lang w:val="tr-TR"/>
        </w:rPr>
        <w:t xml:space="preserve">.  </w:t>
      </w:r>
      <w:r w:rsidR="00991C34">
        <w:rPr>
          <w:b/>
          <w:noProof/>
          <w:sz w:val="20"/>
          <w:szCs w:val="20"/>
          <w:lang w:val="tr-TR"/>
        </w:rPr>
        <w:t xml:space="preserve">   </w:t>
      </w:r>
      <w:r w:rsidR="00647320" w:rsidRPr="00604C75">
        <w:rPr>
          <w:b/>
          <w:noProof/>
          <w:sz w:val="20"/>
          <w:szCs w:val="20"/>
          <w:lang w:val="tr-TR"/>
        </w:rPr>
        <w:t xml:space="preserve">Explanations and Notes </w:t>
      </w:r>
      <w:r w:rsidR="00647320">
        <w:rPr>
          <w:b/>
          <w:noProof/>
          <w:sz w:val="20"/>
          <w:szCs w:val="20"/>
          <w:lang w:val="tr-TR"/>
        </w:rPr>
        <w:t>on</w:t>
      </w:r>
      <w:r w:rsidR="00647320" w:rsidRPr="00604C75">
        <w:rPr>
          <w:b/>
          <w:noProof/>
          <w:sz w:val="20"/>
          <w:szCs w:val="20"/>
          <w:lang w:val="tr-TR"/>
        </w:rPr>
        <w:t xml:space="preserve"> the Parent Bank’s Risk Group</w:t>
      </w:r>
      <w:r w:rsidR="00884814" w:rsidRPr="00604C75">
        <w:rPr>
          <w:b/>
          <w:noProof/>
          <w:sz w:val="20"/>
          <w:szCs w:val="20"/>
          <w:lang w:val="tr-TR"/>
        </w:rPr>
        <w:t xml:space="preserve"> </w:t>
      </w:r>
      <w:r w:rsidR="00884814" w:rsidRPr="00604C75">
        <w:rPr>
          <w:b/>
          <w:bCs/>
          <w:sz w:val="20"/>
          <w:szCs w:val="20"/>
        </w:rPr>
        <w:t>(Continued)</w:t>
      </w:r>
      <w:r w:rsidR="00884814" w:rsidRPr="00604C75" w:rsidDel="00884814">
        <w:rPr>
          <w:b/>
          <w:noProof/>
          <w:sz w:val="20"/>
          <w:szCs w:val="20"/>
          <w:lang w:val="tr-TR"/>
        </w:rPr>
        <w:t xml:space="preserve"> </w:t>
      </w:r>
    </w:p>
    <w:p w14:paraId="5EFDB671" w14:textId="77777777" w:rsidR="00F158DB" w:rsidRPr="00604C75" w:rsidRDefault="00F158DB" w:rsidP="00991C34">
      <w:pPr>
        <w:pStyle w:val="BodyText3"/>
        <w:numPr>
          <w:ilvl w:val="0"/>
          <w:numId w:val="62"/>
        </w:numPr>
        <w:tabs>
          <w:tab w:val="clear" w:pos="539"/>
          <w:tab w:val="clear" w:pos="5310"/>
          <w:tab w:val="clear" w:pos="7560"/>
        </w:tabs>
        <w:spacing w:before="120"/>
        <w:ind w:left="567" w:right="-11" w:hanging="553"/>
        <w:jc w:val="both"/>
        <w:rPr>
          <w:b/>
          <w:bCs w:val="0"/>
          <w:i w:val="0"/>
          <w:iCs w:val="0"/>
          <w:sz w:val="20"/>
        </w:rPr>
      </w:pPr>
      <w:r w:rsidRPr="00604C75">
        <w:rPr>
          <w:b/>
          <w:i w:val="0"/>
          <w:sz w:val="20"/>
        </w:rPr>
        <w:t>The volume of transactions relating to the Group’s risk group, outstanding loan and deposit transactions and profit and loss of the period</w:t>
      </w:r>
      <w:r w:rsidR="00BA7C84">
        <w:rPr>
          <w:b/>
          <w:i w:val="0"/>
          <w:sz w:val="20"/>
        </w:rPr>
        <w:t xml:space="preserve"> (Continued)</w:t>
      </w:r>
    </w:p>
    <w:p w14:paraId="10A1491D" w14:textId="01A0EE80" w:rsidR="0044575F" w:rsidRPr="00604C75" w:rsidRDefault="000E7947" w:rsidP="00490153">
      <w:pPr>
        <w:pStyle w:val="BodyTextIndent"/>
        <w:tabs>
          <w:tab w:val="left" w:pos="426"/>
        </w:tabs>
        <w:spacing w:before="120" w:after="0"/>
        <w:ind w:left="0"/>
      </w:pPr>
      <w:r w:rsidRPr="00604C75">
        <w:t xml:space="preserve"> </w:t>
      </w:r>
      <w:r w:rsidR="0065342F" w:rsidRPr="00604C75">
        <w:rPr>
          <w:sz w:val="22"/>
        </w:rPr>
        <w:t>4</w:t>
      </w:r>
      <w:r w:rsidR="0044575F" w:rsidRPr="00604C75">
        <w:rPr>
          <w:sz w:val="22"/>
        </w:rPr>
        <w:t>.</w:t>
      </w:r>
      <w:r w:rsidR="0044575F" w:rsidRPr="00604C75">
        <w:rPr>
          <w:sz w:val="22"/>
        </w:rPr>
        <w:tab/>
      </w:r>
      <w:r w:rsidR="0044575F" w:rsidRPr="00604C75">
        <w:rPr>
          <w:sz w:val="20"/>
          <w:szCs w:val="20"/>
        </w:rPr>
        <w:t>Information on forward and option agreements and other derivative instrum</w:t>
      </w:r>
      <w:r w:rsidR="0050673C" w:rsidRPr="00604C75">
        <w:rPr>
          <w:sz w:val="20"/>
          <w:szCs w:val="20"/>
        </w:rPr>
        <w:t xml:space="preserve">ents with the </w:t>
      </w:r>
      <w:r w:rsidR="002C3B01">
        <w:rPr>
          <w:sz w:val="20"/>
          <w:szCs w:val="20"/>
        </w:rPr>
        <w:t xml:space="preserve">Parent </w:t>
      </w:r>
      <w:r w:rsidR="0050673C" w:rsidRPr="00604C75">
        <w:rPr>
          <w:sz w:val="20"/>
          <w:szCs w:val="20"/>
        </w:rPr>
        <w:t>Bank’s risk group</w:t>
      </w:r>
    </w:p>
    <w:p w14:paraId="167E87B9" w14:textId="77777777" w:rsidR="0044575F" w:rsidRPr="00604C75" w:rsidRDefault="0044575F" w:rsidP="002C4111">
      <w:pPr>
        <w:pStyle w:val="BodyText"/>
        <w:tabs>
          <w:tab w:val="left" w:pos="426"/>
        </w:tabs>
        <w:ind w:left="284" w:hanging="284"/>
        <w:rPr>
          <w:sz w:val="20"/>
        </w:rPr>
      </w:pPr>
    </w:p>
    <w:tbl>
      <w:tblPr>
        <w:tblW w:w="9279"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238"/>
        <w:gridCol w:w="1063"/>
        <w:gridCol w:w="1300"/>
        <w:gridCol w:w="1022"/>
        <w:gridCol w:w="1312"/>
        <w:gridCol w:w="1036"/>
        <w:gridCol w:w="1308"/>
      </w:tblGrid>
      <w:tr w:rsidR="00884814" w:rsidRPr="00604C75" w14:paraId="64880062" w14:textId="77777777" w:rsidTr="00E83EAC">
        <w:trPr>
          <w:trHeight w:val="138"/>
        </w:trPr>
        <w:tc>
          <w:tcPr>
            <w:tcW w:w="2238" w:type="dxa"/>
            <w:shd w:val="clear" w:color="auto" w:fill="FFFFFF"/>
            <w:vAlign w:val="bottom"/>
          </w:tcPr>
          <w:p w14:paraId="0F2981CD" w14:textId="77777777" w:rsidR="0044575F" w:rsidRPr="00604C75" w:rsidRDefault="00E23072" w:rsidP="002C4111">
            <w:pPr>
              <w:tabs>
                <w:tab w:val="left" w:pos="426"/>
              </w:tabs>
              <w:ind w:left="284" w:hanging="284"/>
              <w:rPr>
                <w:rFonts w:eastAsia="Arial Unicode MS"/>
                <w:b/>
                <w:bCs/>
                <w:sz w:val="18"/>
              </w:rPr>
            </w:pPr>
            <w:r w:rsidRPr="00604C75">
              <w:rPr>
                <w:b/>
                <w:bCs/>
                <w:sz w:val="18"/>
              </w:rPr>
              <w:t>Group</w:t>
            </w:r>
            <w:r w:rsidR="00E7749E" w:rsidRPr="00604C75">
              <w:rPr>
                <w:b/>
                <w:bCs/>
                <w:sz w:val="18"/>
              </w:rPr>
              <w:t>’s</w:t>
            </w:r>
            <w:r w:rsidR="0044575F" w:rsidRPr="00604C75">
              <w:rPr>
                <w:b/>
                <w:bCs/>
                <w:sz w:val="18"/>
              </w:rPr>
              <w:t xml:space="preserve"> Risk Group</w:t>
            </w:r>
            <w:r w:rsidR="0043038D" w:rsidRPr="00604C75">
              <w:rPr>
                <w:b/>
                <w:bCs/>
                <w:sz w:val="18"/>
              </w:rPr>
              <w:t xml:space="preserve"> (*)</w:t>
            </w:r>
          </w:p>
        </w:tc>
        <w:tc>
          <w:tcPr>
            <w:tcW w:w="2363" w:type="dxa"/>
            <w:gridSpan w:val="2"/>
            <w:shd w:val="clear" w:color="auto" w:fill="FFFFFF"/>
            <w:vAlign w:val="bottom"/>
          </w:tcPr>
          <w:p w14:paraId="466554C9" w14:textId="7E0CFF89" w:rsidR="0044575F" w:rsidRPr="00604C75" w:rsidRDefault="008444E1" w:rsidP="002C4111">
            <w:pPr>
              <w:tabs>
                <w:tab w:val="left" w:pos="426"/>
              </w:tabs>
              <w:ind w:left="284" w:hanging="284"/>
              <w:jc w:val="center"/>
              <w:rPr>
                <w:rFonts w:eastAsia="Arial Unicode MS"/>
                <w:b/>
                <w:bCs/>
                <w:sz w:val="18"/>
              </w:rPr>
            </w:pPr>
            <w:r>
              <w:rPr>
                <w:b/>
                <w:bCs/>
                <w:sz w:val="18"/>
              </w:rPr>
              <w:t>Associates</w:t>
            </w:r>
            <w:r w:rsidR="0044575F" w:rsidRPr="00604C75">
              <w:rPr>
                <w:b/>
                <w:bCs/>
                <w:sz w:val="18"/>
              </w:rPr>
              <w:t>, subsidiaries and joint ventures</w:t>
            </w:r>
          </w:p>
        </w:tc>
        <w:tc>
          <w:tcPr>
            <w:tcW w:w="2334" w:type="dxa"/>
            <w:gridSpan w:val="2"/>
            <w:shd w:val="clear" w:color="auto" w:fill="FFFFFF"/>
            <w:vAlign w:val="bottom"/>
          </w:tcPr>
          <w:p w14:paraId="38728F84" w14:textId="77777777" w:rsidR="0044575F" w:rsidRPr="00604C75" w:rsidRDefault="0044575F" w:rsidP="002C4111">
            <w:pPr>
              <w:tabs>
                <w:tab w:val="left" w:pos="426"/>
              </w:tabs>
              <w:ind w:left="284" w:hanging="284"/>
              <w:jc w:val="center"/>
              <w:rPr>
                <w:rFonts w:eastAsia="Arial Unicode MS"/>
                <w:b/>
                <w:bCs/>
                <w:sz w:val="18"/>
              </w:rPr>
            </w:pPr>
            <w:r w:rsidRPr="00604C75">
              <w:rPr>
                <w:b/>
                <w:bCs/>
                <w:sz w:val="18"/>
              </w:rPr>
              <w:t>Direct and indirect shareholders of the Bank</w:t>
            </w:r>
          </w:p>
        </w:tc>
        <w:tc>
          <w:tcPr>
            <w:tcW w:w="2344" w:type="dxa"/>
            <w:gridSpan w:val="2"/>
            <w:shd w:val="clear" w:color="auto" w:fill="FFFFFF"/>
            <w:vAlign w:val="bottom"/>
          </w:tcPr>
          <w:p w14:paraId="1DF89565" w14:textId="77777777" w:rsidR="0044575F" w:rsidRPr="00604C75" w:rsidRDefault="0044575F" w:rsidP="002C4111">
            <w:pPr>
              <w:tabs>
                <w:tab w:val="left" w:pos="426"/>
              </w:tabs>
              <w:ind w:left="284" w:hanging="284"/>
              <w:jc w:val="center"/>
              <w:rPr>
                <w:rFonts w:eastAsia="Arial Unicode MS"/>
                <w:b/>
                <w:bCs/>
                <w:sz w:val="18"/>
              </w:rPr>
            </w:pPr>
            <w:r w:rsidRPr="00604C75">
              <w:rPr>
                <w:b/>
                <w:bCs/>
                <w:sz w:val="18"/>
              </w:rPr>
              <w:t>Other real and legal persons that have been included in the risk group</w:t>
            </w:r>
          </w:p>
        </w:tc>
      </w:tr>
      <w:tr w:rsidR="00884814" w:rsidRPr="00604C75" w14:paraId="3B61DF97" w14:textId="77777777" w:rsidTr="00E83EAC">
        <w:trPr>
          <w:trHeight w:val="77"/>
        </w:trPr>
        <w:tc>
          <w:tcPr>
            <w:tcW w:w="2238" w:type="dxa"/>
            <w:shd w:val="clear" w:color="auto" w:fill="FFFFFF"/>
            <w:vAlign w:val="bottom"/>
          </w:tcPr>
          <w:p w14:paraId="50838E63" w14:textId="77777777" w:rsidR="0043038D" w:rsidRPr="00604C75" w:rsidRDefault="0043038D" w:rsidP="002C4111">
            <w:pPr>
              <w:tabs>
                <w:tab w:val="left" w:pos="426"/>
              </w:tabs>
              <w:ind w:left="284" w:hanging="284"/>
              <w:rPr>
                <w:rFonts w:eastAsia="Arial Unicode MS"/>
                <w:b/>
                <w:bCs/>
                <w:sz w:val="18"/>
              </w:rPr>
            </w:pPr>
          </w:p>
        </w:tc>
        <w:tc>
          <w:tcPr>
            <w:tcW w:w="1063" w:type="dxa"/>
            <w:shd w:val="clear" w:color="auto" w:fill="FFFFFF"/>
            <w:vAlign w:val="bottom"/>
          </w:tcPr>
          <w:p w14:paraId="61FA3D2F" w14:textId="77777777" w:rsidR="00A877A3" w:rsidRDefault="0043038D" w:rsidP="00A877A3">
            <w:pPr>
              <w:tabs>
                <w:tab w:val="left" w:pos="426"/>
              </w:tabs>
              <w:ind w:left="284" w:right="54" w:hanging="284"/>
              <w:jc w:val="right"/>
              <w:rPr>
                <w:b/>
                <w:bCs/>
                <w:sz w:val="16"/>
                <w:szCs w:val="16"/>
              </w:rPr>
            </w:pPr>
            <w:r w:rsidRPr="00604C75">
              <w:rPr>
                <w:b/>
                <w:bCs/>
                <w:sz w:val="16"/>
                <w:szCs w:val="16"/>
              </w:rPr>
              <w:t>3</w:t>
            </w:r>
            <w:r w:rsidR="00485742">
              <w:rPr>
                <w:b/>
                <w:bCs/>
                <w:sz w:val="16"/>
                <w:szCs w:val="16"/>
              </w:rPr>
              <w:t>1</w:t>
            </w:r>
            <w:r w:rsidR="00A877A3">
              <w:rPr>
                <w:b/>
                <w:bCs/>
                <w:sz w:val="16"/>
                <w:szCs w:val="16"/>
              </w:rPr>
              <w:t xml:space="preserve"> </w:t>
            </w:r>
            <w:r w:rsidR="00485742">
              <w:rPr>
                <w:b/>
                <w:bCs/>
                <w:sz w:val="16"/>
                <w:szCs w:val="16"/>
              </w:rPr>
              <w:t>December</w:t>
            </w:r>
          </w:p>
          <w:p w14:paraId="580A3061" w14:textId="77777777" w:rsidR="0043038D" w:rsidRPr="00604C75" w:rsidRDefault="0043038D" w:rsidP="00A877A3">
            <w:pPr>
              <w:tabs>
                <w:tab w:val="left" w:pos="426"/>
              </w:tabs>
              <w:ind w:left="284" w:right="54" w:hanging="284"/>
              <w:jc w:val="right"/>
              <w:rPr>
                <w:rFonts w:eastAsia="Arial Unicode MS"/>
                <w:b/>
                <w:bCs/>
                <w:sz w:val="18"/>
                <w:szCs w:val="18"/>
              </w:rPr>
            </w:pPr>
            <w:r w:rsidRPr="00604C75">
              <w:rPr>
                <w:b/>
                <w:bCs/>
                <w:sz w:val="16"/>
                <w:szCs w:val="16"/>
              </w:rPr>
              <w:t xml:space="preserve"> 2015</w:t>
            </w:r>
          </w:p>
        </w:tc>
        <w:tc>
          <w:tcPr>
            <w:tcW w:w="1300" w:type="dxa"/>
            <w:shd w:val="clear" w:color="auto" w:fill="FFFFFF"/>
            <w:vAlign w:val="bottom"/>
          </w:tcPr>
          <w:p w14:paraId="19EEE031" w14:textId="77777777" w:rsidR="0043038D" w:rsidRPr="00604C75" w:rsidRDefault="0043038D" w:rsidP="0043038D">
            <w:pPr>
              <w:tabs>
                <w:tab w:val="left" w:pos="426"/>
              </w:tabs>
              <w:ind w:left="284" w:right="54" w:hanging="284"/>
              <w:jc w:val="right"/>
              <w:rPr>
                <w:rFonts w:eastAsia="Arial Unicode MS"/>
                <w:b/>
                <w:bCs/>
                <w:sz w:val="18"/>
                <w:szCs w:val="18"/>
              </w:rPr>
            </w:pPr>
            <w:r w:rsidRPr="00604C75">
              <w:rPr>
                <w:b/>
                <w:bCs/>
                <w:sz w:val="16"/>
                <w:szCs w:val="16"/>
              </w:rPr>
              <w:t>31 December  2014</w:t>
            </w:r>
          </w:p>
        </w:tc>
        <w:tc>
          <w:tcPr>
            <w:tcW w:w="1022" w:type="dxa"/>
            <w:shd w:val="clear" w:color="auto" w:fill="FFFFFF"/>
            <w:vAlign w:val="bottom"/>
          </w:tcPr>
          <w:p w14:paraId="7C1B814D" w14:textId="77777777" w:rsidR="00A877A3" w:rsidRDefault="00A877A3" w:rsidP="00A877A3">
            <w:pPr>
              <w:tabs>
                <w:tab w:val="left" w:pos="426"/>
              </w:tabs>
              <w:ind w:left="284" w:right="54" w:hanging="284"/>
              <w:jc w:val="right"/>
              <w:rPr>
                <w:b/>
                <w:bCs/>
                <w:sz w:val="16"/>
                <w:szCs w:val="16"/>
              </w:rPr>
            </w:pPr>
            <w:r>
              <w:rPr>
                <w:b/>
                <w:bCs/>
                <w:sz w:val="16"/>
                <w:szCs w:val="16"/>
              </w:rPr>
              <w:t>3</w:t>
            </w:r>
            <w:r w:rsidR="00485742">
              <w:rPr>
                <w:b/>
                <w:bCs/>
                <w:sz w:val="16"/>
                <w:szCs w:val="16"/>
              </w:rPr>
              <w:t>1</w:t>
            </w:r>
            <w:r>
              <w:rPr>
                <w:b/>
                <w:bCs/>
                <w:sz w:val="16"/>
                <w:szCs w:val="16"/>
              </w:rPr>
              <w:t xml:space="preserve"> </w:t>
            </w:r>
            <w:r w:rsidR="00485742">
              <w:rPr>
                <w:b/>
                <w:bCs/>
                <w:sz w:val="16"/>
                <w:szCs w:val="16"/>
              </w:rPr>
              <w:t>December</w:t>
            </w:r>
          </w:p>
          <w:p w14:paraId="463C6E71" w14:textId="77777777" w:rsidR="0043038D" w:rsidRPr="00604C75" w:rsidRDefault="0043038D" w:rsidP="00A877A3">
            <w:pPr>
              <w:tabs>
                <w:tab w:val="left" w:pos="426"/>
              </w:tabs>
              <w:ind w:left="284" w:right="54" w:hanging="284"/>
              <w:jc w:val="right"/>
              <w:rPr>
                <w:rFonts w:eastAsia="Arial Unicode MS"/>
                <w:b/>
                <w:bCs/>
                <w:sz w:val="18"/>
                <w:szCs w:val="18"/>
              </w:rPr>
            </w:pPr>
            <w:r w:rsidRPr="00604C75">
              <w:rPr>
                <w:b/>
                <w:bCs/>
                <w:sz w:val="16"/>
                <w:szCs w:val="16"/>
              </w:rPr>
              <w:t xml:space="preserve"> 2015</w:t>
            </w:r>
          </w:p>
        </w:tc>
        <w:tc>
          <w:tcPr>
            <w:tcW w:w="1312" w:type="dxa"/>
            <w:shd w:val="clear" w:color="auto" w:fill="FFFFFF"/>
            <w:vAlign w:val="bottom"/>
          </w:tcPr>
          <w:p w14:paraId="1765CE7A" w14:textId="77777777" w:rsidR="0043038D" w:rsidRPr="00604C75" w:rsidRDefault="0043038D" w:rsidP="002C4111">
            <w:pPr>
              <w:tabs>
                <w:tab w:val="left" w:pos="426"/>
              </w:tabs>
              <w:ind w:left="284" w:right="54" w:hanging="284"/>
              <w:jc w:val="right"/>
              <w:rPr>
                <w:rFonts w:eastAsia="Arial Unicode MS"/>
                <w:b/>
                <w:bCs/>
                <w:sz w:val="18"/>
                <w:szCs w:val="18"/>
              </w:rPr>
            </w:pPr>
            <w:r w:rsidRPr="00604C75">
              <w:rPr>
                <w:b/>
                <w:bCs/>
                <w:sz w:val="16"/>
                <w:szCs w:val="16"/>
              </w:rPr>
              <w:t>31 December  2014</w:t>
            </w:r>
          </w:p>
        </w:tc>
        <w:tc>
          <w:tcPr>
            <w:tcW w:w="1036" w:type="dxa"/>
            <w:shd w:val="clear" w:color="auto" w:fill="FFFFFF"/>
            <w:vAlign w:val="bottom"/>
          </w:tcPr>
          <w:p w14:paraId="37AEE79A" w14:textId="77777777" w:rsidR="00A877A3" w:rsidRDefault="0043038D" w:rsidP="00A877A3">
            <w:pPr>
              <w:tabs>
                <w:tab w:val="left" w:pos="426"/>
              </w:tabs>
              <w:ind w:left="284" w:right="54" w:hanging="284"/>
              <w:jc w:val="right"/>
              <w:rPr>
                <w:b/>
                <w:bCs/>
                <w:sz w:val="16"/>
                <w:szCs w:val="16"/>
              </w:rPr>
            </w:pPr>
            <w:r w:rsidRPr="00604C75">
              <w:rPr>
                <w:b/>
                <w:bCs/>
                <w:sz w:val="16"/>
                <w:szCs w:val="16"/>
              </w:rPr>
              <w:t>3</w:t>
            </w:r>
            <w:r w:rsidR="00485742">
              <w:rPr>
                <w:b/>
                <w:bCs/>
                <w:sz w:val="16"/>
                <w:szCs w:val="16"/>
              </w:rPr>
              <w:t>1</w:t>
            </w:r>
            <w:r w:rsidR="00A877A3">
              <w:rPr>
                <w:b/>
                <w:bCs/>
                <w:sz w:val="16"/>
                <w:szCs w:val="16"/>
              </w:rPr>
              <w:t xml:space="preserve"> </w:t>
            </w:r>
            <w:r w:rsidR="00485742">
              <w:rPr>
                <w:b/>
                <w:bCs/>
                <w:sz w:val="16"/>
                <w:szCs w:val="16"/>
              </w:rPr>
              <w:t>December</w:t>
            </w:r>
          </w:p>
          <w:p w14:paraId="4BF7CB26" w14:textId="77777777" w:rsidR="0043038D" w:rsidRPr="00604C75" w:rsidRDefault="0043038D" w:rsidP="00A877A3">
            <w:pPr>
              <w:tabs>
                <w:tab w:val="left" w:pos="426"/>
              </w:tabs>
              <w:ind w:left="284" w:right="54" w:hanging="284"/>
              <w:jc w:val="right"/>
              <w:rPr>
                <w:rFonts w:eastAsia="Arial Unicode MS"/>
                <w:b/>
                <w:bCs/>
                <w:sz w:val="18"/>
                <w:szCs w:val="18"/>
              </w:rPr>
            </w:pPr>
            <w:r w:rsidRPr="00604C75">
              <w:rPr>
                <w:b/>
                <w:bCs/>
                <w:sz w:val="16"/>
                <w:szCs w:val="16"/>
              </w:rPr>
              <w:t xml:space="preserve"> 2015</w:t>
            </w:r>
          </w:p>
        </w:tc>
        <w:tc>
          <w:tcPr>
            <w:tcW w:w="1308" w:type="dxa"/>
            <w:shd w:val="clear" w:color="auto" w:fill="FFFFFF"/>
            <w:vAlign w:val="bottom"/>
          </w:tcPr>
          <w:p w14:paraId="7C39403A" w14:textId="77777777" w:rsidR="0043038D" w:rsidRPr="00604C75" w:rsidRDefault="0043038D" w:rsidP="002C4111">
            <w:pPr>
              <w:tabs>
                <w:tab w:val="left" w:pos="426"/>
              </w:tabs>
              <w:ind w:left="284" w:right="54" w:hanging="284"/>
              <w:jc w:val="right"/>
              <w:rPr>
                <w:rFonts w:eastAsia="Arial Unicode MS"/>
                <w:b/>
                <w:bCs/>
                <w:sz w:val="18"/>
                <w:szCs w:val="18"/>
              </w:rPr>
            </w:pPr>
            <w:r w:rsidRPr="00604C75">
              <w:rPr>
                <w:b/>
                <w:bCs/>
                <w:sz w:val="16"/>
                <w:szCs w:val="16"/>
              </w:rPr>
              <w:t>31 December  2014</w:t>
            </w:r>
          </w:p>
        </w:tc>
      </w:tr>
      <w:tr w:rsidR="00224102" w:rsidRPr="00604C75" w14:paraId="21993D9B" w14:textId="77777777" w:rsidTr="00E83EAC">
        <w:trPr>
          <w:trHeight w:val="188"/>
        </w:trPr>
        <w:tc>
          <w:tcPr>
            <w:tcW w:w="2238" w:type="dxa"/>
            <w:vAlign w:val="bottom"/>
          </w:tcPr>
          <w:p w14:paraId="34CB7AB3" w14:textId="34AED0C7" w:rsidR="00224102" w:rsidRPr="00604C75" w:rsidRDefault="00224102" w:rsidP="00224102">
            <w:pPr>
              <w:pStyle w:val="xl79"/>
              <w:pBdr>
                <w:left w:val="none" w:sz="0" w:space="0" w:color="auto"/>
                <w:bottom w:val="none" w:sz="0" w:space="0" w:color="auto"/>
                <w:right w:val="none" w:sz="0" w:space="0" w:color="auto"/>
              </w:pBdr>
              <w:spacing w:before="0" w:beforeAutospacing="0" w:after="0" w:afterAutospacing="0"/>
              <w:ind w:left="28" w:hanging="14"/>
              <w:rPr>
                <w:rFonts w:eastAsia="Times New Roman"/>
                <w:b/>
                <w:bCs/>
              </w:rPr>
            </w:pPr>
            <w:r w:rsidRPr="00604C75">
              <w:rPr>
                <w:rFonts w:eastAsia="Times New Roman"/>
                <w:b/>
                <w:bCs/>
              </w:rPr>
              <w:t xml:space="preserve">Transactions for </w:t>
            </w:r>
            <w:r>
              <w:rPr>
                <w:rFonts w:eastAsia="Times New Roman"/>
                <w:b/>
                <w:bCs/>
              </w:rPr>
              <w:t>T</w:t>
            </w:r>
            <w:r w:rsidRPr="00604C75">
              <w:rPr>
                <w:rFonts w:eastAsia="Times New Roman"/>
                <w:b/>
                <w:bCs/>
              </w:rPr>
              <w:t xml:space="preserve">rading </w:t>
            </w:r>
            <w:r>
              <w:rPr>
                <w:rFonts w:eastAsia="Times New Roman"/>
                <w:b/>
                <w:bCs/>
              </w:rPr>
              <w:t>P</w:t>
            </w:r>
            <w:r w:rsidRPr="00604C75">
              <w:rPr>
                <w:rFonts w:eastAsia="Times New Roman"/>
                <w:b/>
                <w:bCs/>
              </w:rPr>
              <w:t>urposes (**)</w:t>
            </w:r>
          </w:p>
        </w:tc>
        <w:tc>
          <w:tcPr>
            <w:tcW w:w="1063" w:type="dxa"/>
            <w:vAlign w:val="bottom"/>
          </w:tcPr>
          <w:p w14:paraId="7D2EEC81" w14:textId="3AD0687C" w:rsidR="00224102" w:rsidRPr="00692926" w:rsidRDefault="00224102" w:rsidP="00224102">
            <w:pPr>
              <w:jc w:val="right"/>
              <w:rPr>
                <w:sz w:val="18"/>
                <w:szCs w:val="18"/>
              </w:rPr>
            </w:pPr>
            <w:r w:rsidRPr="00692926">
              <w:rPr>
                <w:sz w:val="18"/>
                <w:szCs w:val="18"/>
              </w:rPr>
              <w:t>-</w:t>
            </w:r>
          </w:p>
        </w:tc>
        <w:tc>
          <w:tcPr>
            <w:tcW w:w="1300" w:type="dxa"/>
            <w:vAlign w:val="bottom"/>
          </w:tcPr>
          <w:p w14:paraId="0C341C02" w14:textId="40BC66A1" w:rsidR="00224102" w:rsidRPr="00692926" w:rsidRDefault="00224102" w:rsidP="00224102">
            <w:pPr>
              <w:jc w:val="right"/>
              <w:rPr>
                <w:sz w:val="18"/>
                <w:szCs w:val="18"/>
              </w:rPr>
            </w:pPr>
            <w:r w:rsidRPr="00692926">
              <w:rPr>
                <w:sz w:val="18"/>
                <w:szCs w:val="18"/>
              </w:rPr>
              <w:t>-</w:t>
            </w:r>
          </w:p>
        </w:tc>
        <w:tc>
          <w:tcPr>
            <w:tcW w:w="1022" w:type="dxa"/>
            <w:vAlign w:val="bottom"/>
          </w:tcPr>
          <w:p w14:paraId="4623380A" w14:textId="7BE0D909" w:rsidR="00224102" w:rsidRPr="00692926" w:rsidRDefault="00224102" w:rsidP="00224102">
            <w:pPr>
              <w:jc w:val="right"/>
              <w:rPr>
                <w:sz w:val="18"/>
                <w:szCs w:val="18"/>
              </w:rPr>
            </w:pPr>
            <w:r>
              <w:rPr>
                <w:sz w:val="18"/>
                <w:szCs w:val="18"/>
              </w:rPr>
              <w:t>-</w:t>
            </w:r>
          </w:p>
        </w:tc>
        <w:tc>
          <w:tcPr>
            <w:tcW w:w="1312" w:type="dxa"/>
            <w:vAlign w:val="bottom"/>
          </w:tcPr>
          <w:p w14:paraId="5029C421" w14:textId="39E91989" w:rsidR="00224102" w:rsidRPr="00692926" w:rsidRDefault="00224102" w:rsidP="00224102">
            <w:pPr>
              <w:jc w:val="right"/>
              <w:rPr>
                <w:sz w:val="18"/>
                <w:szCs w:val="18"/>
              </w:rPr>
            </w:pPr>
            <w:r w:rsidRPr="00692926">
              <w:rPr>
                <w:sz w:val="18"/>
                <w:szCs w:val="18"/>
              </w:rPr>
              <w:t>-</w:t>
            </w:r>
          </w:p>
        </w:tc>
        <w:tc>
          <w:tcPr>
            <w:tcW w:w="1036" w:type="dxa"/>
            <w:vAlign w:val="bottom"/>
          </w:tcPr>
          <w:p w14:paraId="6D56006D" w14:textId="224F02E5" w:rsidR="00224102" w:rsidRPr="00692926" w:rsidRDefault="00224102" w:rsidP="00224102">
            <w:pPr>
              <w:jc w:val="right"/>
              <w:rPr>
                <w:sz w:val="18"/>
                <w:szCs w:val="18"/>
              </w:rPr>
            </w:pPr>
            <w:r>
              <w:rPr>
                <w:sz w:val="18"/>
                <w:szCs w:val="18"/>
              </w:rPr>
              <w:t>-</w:t>
            </w:r>
          </w:p>
        </w:tc>
        <w:tc>
          <w:tcPr>
            <w:tcW w:w="1308" w:type="dxa"/>
            <w:vAlign w:val="bottom"/>
          </w:tcPr>
          <w:p w14:paraId="175B38A8" w14:textId="3D0701BC" w:rsidR="00224102" w:rsidRPr="00692926" w:rsidRDefault="00224102" w:rsidP="00224102">
            <w:pPr>
              <w:jc w:val="right"/>
              <w:rPr>
                <w:sz w:val="18"/>
                <w:szCs w:val="18"/>
              </w:rPr>
            </w:pPr>
            <w:r w:rsidRPr="00692926">
              <w:rPr>
                <w:sz w:val="18"/>
                <w:szCs w:val="18"/>
              </w:rPr>
              <w:t>-</w:t>
            </w:r>
          </w:p>
        </w:tc>
      </w:tr>
      <w:tr w:rsidR="00224102" w:rsidRPr="00604C75" w14:paraId="0F80DC38" w14:textId="77777777" w:rsidTr="00E83EAC">
        <w:trPr>
          <w:trHeight w:val="120"/>
        </w:trPr>
        <w:tc>
          <w:tcPr>
            <w:tcW w:w="2238" w:type="dxa"/>
            <w:vAlign w:val="bottom"/>
          </w:tcPr>
          <w:p w14:paraId="0EDD1C1C" w14:textId="77777777" w:rsidR="00224102" w:rsidRPr="00604C75" w:rsidRDefault="00224102" w:rsidP="00224102">
            <w:pPr>
              <w:tabs>
                <w:tab w:val="left" w:pos="426"/>
              </w:tabs>
              <w:rPr>
                <w:sz w:val="18"/>
              </w:rPr>
            </w:pPr>
            <w:r w:rsidRPr="00604C75">
              <w:rPr>
                <w:sz w:val="18"/>
              </w:rPr>
              <w:t>Beginning of the Period (***)</w:t>
            </w:r>
          </w:p>
        </w:tc>
        <w:tc>
          <w:tcPr>
            <w:tcW w:w="1063" w:type="dxa"/>
            <w:vAlign w:val="bottom"/>
          </w:tcPr>
          <w:p w14:paraId="538C0582" w14:textId="659881B2" w:rsidR="00224102" w:rsidRPr="00692926" w:rsidRDefault="00224102" w:rsidP="00224102">
            <w:pPr>
              <w:jc w:val="right"/>
              <w:rPr>
                <w:sz w:val="18"/>
                <w:szCs w:val="18"/>
              </w:rPr>
            </w:pPr>
            <w:r w:rsidRPr="00692926">
              <w:rPr>
                <w:sz w:val="18"/>
                <w:szCs w:val="18"/>
              </w:rPr>
              <w:t>-</w:t>
            </w:r>
          </w:p>
        </w:tc>
        <w:tc>
          <w:tcPr>
            <w:tcW w:w="1300" w:type="dxa"/>
            <w:vAlign w:val="bottom"/>
          </w:tcPr>
          <w:p w14:paraId="3DBC33EE" w14:textId="72DB4C34" w:rsidR="00224102" w:rsidRPr="00692926" w:rsidRDefault="00224102" w:rsidP="00224102">
            <w:pPr>
              <w:jc w:val="right"/>
              <w:rPr>
                <w:sz w:val="18"/>
                <w:szCs w:val="18"/>
              </w:rPr>
            </w:pPr>
            <w:r w:rsidRPr="00692926">
              <w:rPr>
                <w:sz w:val="18"/>
                <w:szCs w:val="18"/>
              </w:rPr>
              <w:t>-</w:t>
            </w:r>
          </w:p>
        </w:tc>
        <w:tc>
          <w:tcPr>
            <w:tcW w:w="1022" w:type="dxa"/>
            <w:vAlign w:val="bottom"/>
          </w:tcPr>
          <w:p w14:paraId="7820F3EB" w14:textId="4EB4F05D" w:rsidR="00224102" w:rsidRPr="00692926" w:rsidRDefault="00224102" w:rsidP="00224102">
            <w:pPr>
              <w:jc w:val="right"/>
              <w:rPr>
                <w:sz w:val="18"/>
                <w:szCs w:val="18"/>
              </w:rPr>
            </w:pPr>
            <w:r w:rsidRPr="00692926">
              <w:rPr>
                <w:sz w:val="18"/>
                <w:szCs w:val="18"/>
              </w:rPr>
              <w:t>5,411</w:t>
            </w:r>
          </w:p>
        </w:tc>
        <w:tc>
          <w:tcPr>
            <w:tcW w:w="1312" w:type="dxa"/>
            <w:vAlign w:val="bottom"/>
          </w:tcPr>
          <w:p w14:paraId="233A82FF" w14:textId="61EA3EC8" w:rsidR="00224102" w:rsidRPr="00692926" w:rsidRDefault="00224102" w:rsidP="00224102">
            <w:pPr>
              <w:jc w:val="right"/>
              <w:rPr>
                <w:sz w:val="18"/>
                <w:szCs w:val="18"/>
              </w:rPr>
            </w:pPr>
            <w:r w:rsidRPr="00692926">
              <w:rPr>
                <w:sz w:val="18"/>
                <w:szCs w:val="18"/>
              </w:rPr>
              <w:t>-</w:t>
            </w:r>
          </w:p>
        </w:tc>
        <w:tc>
          <w:tcPr>
            <w:tcW w:w="1036" w:type="dxa"/>
            <w:vAlign w:val="bottom"/>
          </w:tcPr>
          <w:p w14:paraId="16C03799" w14:textId="6BC6810D" w:rsidR="00224102" w:rsidRPr="00692926" w:rsidRDefault="00224102" w:rsidP="00224102">
            <w:pPr>
              <w:jc w:val="right"/>
              <w:rPr>
                <w:sz w:val="18"/>
                <w:szCs w:val="18"/>
              </w:rPr>
            </w:pPr>
            <w:r w:rsidRPr="00692926">
              <w:rPr>
                <w:sz w:val="18"/>
                <w:szCs w:val="18"/>
              </w:rPr>
              <w:t>-</w:t>
            </w:r>
          </w:p>
        </w:tc>
        <w:tc>
          <w:tcPr>
            <w:tcW w:w="1308" w:type="dxa"/>
            <w:vAlign w:val="bottom"/>
          </w:tcPr>
          <w:p w14:paraId="67219C95" w14:textId="0FB72A79" w:rsidR="00224102" w:rsidRPr="00692926" w:rsidRDefault="00224102" w:rsidP="00224102">
            <w:pPr>
              <w:jc w:val="right"/>
              <w:rPr>
                <w:sz w:val="18"/>
                <w:szCs w:val="18"/>
              </w:rPr>
            </w:pPr>
            <w:r>
              <w:rPr>
                <w:sz w:val="18"/>
                <w:szCs w:val="18"/>
              </w:rPr>
              <w:t>226</w:t>
            </w:r>
          </w:p>
        </w:tc>
      </w:tr>
      <w:tr w:rsidR="00224102" w:rsidRPr="00604C75" w14:paraId="13645789" w14:textId="77777777" w:rsidTr="00E83EAC">
        <w:trPr>
          <w:trHeight w:val="63"/>
        </w:trPr>
        <w:tc>
          <w:tcPr>
            <w:tcW w:w="2238" w:type="dxa"/>
            <w:vAlign w:val="bottom"/>
          </w:tcPr>
          <w:p w14:paraId="5D8D0CE2" w14:textId="77777777" w:rsidR="00224102" w:rsidRPr="00604C75" w:rsidRDefault="00224102" w:rsidP="00224102">
            <w:pPr>
              <w:tabs>
                <w:tab w:val="left" w:pos="426"/>
              </w:tabs>
              <w:rPr>
                <w:sz w:val="18"/>
              </w:rPr>
            </w:pPr>
            <w:r w:rsidRPr="00604C75">
              <w:rPr>
                <w:sz w:val="18"/>
              </w:rPr>
              <w:t>End of the Period</w:t>
            </w:r>
            <w:r>
              <w:rPr>
                <w:sz w:val="18"/>
              </w:rPr>
              <w:t xml:space="preserve"> </w:t>
            </w:r>
            <w:r w:rsidRPr="00604C75">
              <w:rPr>
                <w:sz w:val="18"/>
              </w:rPr>
              <w:t>(***)</w:t>
            </w:r>
            <w:r w:rsidRPr="00604C75" w:rsidDel="00CE4EC6">
              <w:rPr>
                <w:sz w:val="18"/>
              </w:rPr>
              <w:t xml:space="preserve"> </w:t>
            </w:r>
          </w:p>
        </w:tc>
        <w:tc>
          <w:tcPr>
            <w:tcW w:w="1063" w:type="dxa"/>
            <w:vAlign w:val="bottom"/>
          </w:tcPr>
          <w:p w14:paraId="07343151" w14:textId="70536866" w:rsidR="00224102" w:rsidRPr="00692926" w:rsidRDefault="00224102" w:rsidP="00224102">
            <w:pPr>
              <w:jc w:val="right"/>
              <w:rPr>
                <w:sz w:val="18"/>
                <w:szCs w:val="18"/>
              </w:rPr>
            </w:pPr>
            <w:r>
              <w:rPr>
                <w:sz w:val="18"/>
                <w:szCs w:val="18"/>
              </w:rPr>
              <w:t>-</w:t>
            </w:r>
          </w:p>
        </w:tc>
        <w:tc>
          <w:tcPr>
            <w:tcW w:w="1300" w:type="dxa"/>
            <w:vAlign w:val="bottom"/>
          </w:tcPr>
          <w:p w14:paraId="7854A386" w14:textId="01A66EA7" w:rsidR="00224102" w:rsidRPr="00692926" w:rsidRDefault="00224102" w:rsidP="00224102">
            <w:pPr>
              <w:jc w:val="right"/>
              <w:rPr>
                <w:sz w:val="18"/>
                <w:szCs w:val="18"/>
              </w:rPr>
            </w:pPr>
            <w:r w:rsidRPr="00692926">
              <w:rPr>
                <w:sz w:val="18"/>
                <w:szCs w:val="18"/>
              </w:rPr>
              <w:t>-</w:t>
            </w:r>
          </w:p>
        </w:tc>
        <w:tc>
          <w:tcPr>
            <w:tcW w:w="1022" w:type="dxa"/>
            <w:vAlign w:val="bottom"/>
          </w:tcPr>
          <w:p w14:paraId="6212473C" w14:textId="4DD53228" w:rsidR="00224102" w:rsidRPr="00692926" w:rsidRDefault="00224102" w:rsidP="00224102">
            <w:pPr>
              <w:jc w:val="right"/>
              <w:rPr>
                <w:sz w:val="18"/>
                <w:szCs w:val="18"/>
              </w:rPr>
            </w:pPr>
            <w:r>
              <w:rPr>
                <w:sz w:val="18"/>
                <w:szCs w:val="18"/>
              </w:rPr>
              <w:t>-</w:t>
            </w:r>
          </w:p>
        </w:tc>
        <w:tc>
          <w:tcPr>
            <w:tcW w:w="1312" w:type="dxa"/>
            <w:vAlign w:val="bottom"/>
          </w:tcPr>
          <w:p w14:paraId="7243B6DD" w14:textId="100F28A2" w:rsidR="00224102" w:rsidRPr="00692926" w:rsidRDefault="00224102" w:rsidP="00224102">
            <w:pPr>
              <w:jc w:val="right"/>
              <w:rPr>
                <w:sz w:val="18"/>
                <w:szCs w:val="18"/>
              </w:rPr>
            </w:pPr>
            <w:r w:rsidRPr="00692926">
              <w:rPr>
                <w:sz w:val="18"/>
                <w:szCs w:val="18"/>
              </w:rPr>
              <w:t>5,411</w:t>
            </w:r>
          </w:p>
        </w:tc>
        <w:tc>
          <w:tcPr>
            <w:tcW w:w="1036" w:type="dxa"/>
            <w:vAlign w:val="bottom"/>
          </w:tcPr>
          <w:p w14:paraId="2ACB35F8" w14:textId="17CAF0EF" w:rsidR="00224102" w:rsidRPr="00692926" w:rsidRDefault="00224102" w:rsidP="00224102">
            <w:pPr>
              <w:jc w:val="right"/>
              <w:rPr>
                <w:sz w:val="18"/>
                <w:szCs w:val="18"/>
              </w:rPr>
            </w:pPr>
            <w:r>
              <w:rPr>
                <w:sz w:val="18"/>
                <w:szCs w:val="18"/>
              </w:rPr>
              <w:t>-</w:t>
            </w:r>
          </w:p>
        </w:tc>
        <w:tc>
          <w:tcPr>
            <w:tcW w:w="1308" w:type="dxa"/>
            <w:vAlign w:val="bottom"/>
          </w:tcPr>
          <w:p w14:paraId="50E24455" w14:textId="422FB020" w:rsidR="00224102" w:rsidRPr="00692926" w:rsidRDefault="00224102" w:rsidP="00224102">
            <w:pPr>
              <w:jc w:val="right"/>
              <w:rPr>
                <w:sz w:val="18"/>
                <w:szCs w:val="18"/>
              </w:rPr>
            </w:pPr>
            <w:r>
              <w:rPr>
                <w:sz w:val="18"/>
                <w:szCs w:val="18"/>
              </w:rPr>
              <w:t>-</w:t>
            </w:r>
          </w:p>
        </w:tc>
      </w:tr>
      <w:tr w:rsidR="00224102" w:rsidRPr="00604C75" w14:paraId="4DC721FA" w14:textId="77777777" w:rsidTr="00E83EAC">
        <w:trPr>
          <w:trHeight w:val="63"/>
        </w:trPr>
        <w:tc>
          <w:tcPr>
            <w:tcW w:w="2238" w:type="dxa"/>
            <w:vAlign w:val="bottom"/>
          </w:tcPr>
          <w:p w14:paraId="0B7ED068" w14:textId="77777777" w:rsidR="00224102" w:rsidRPr="00604C75" w:rsidRDefault="00224102" w:rsidP="00224102">
            <w:pPr>
              <w:tabs>
                <w:tab w:val="left" w:pos="426"/>
              </w:tabs>
              <w:rPr>
                <w:b/>
                <w:bCs/>
                <w:sz w:val="18"/>
              </w:rPr>
            </w:pPr>
            <w:r w:rsidRPr="00604C75">
              <w:rPr>
                <w:b/>
                <w:bCs/>
                <w:sz w:val="18"/>
              </w:rPr>
              <w:t>Total Profit / Loss</w:t>
            </w:r>
          </w:p>
        </w:tc>
        <w:tc>
          <w:tcPr>
            <w:tcW w:w="1063" w:type="dxa"/>
            <w:vAlign w:val="bottom"/>
          </w:tcPr>
          <w:p w14:paraId="1B0DCAA6" w14:textId="0BF68171" w:rsidR="00224102" w:rsidRPr="00692926" w:rsidRDefault="00224102" w:rsidP="00224102">
            <w:pPr>
              <w:jc w:val="right"/>
              <w:rPr>
                <w:b/>
                <w:sz w:val="18"/>
                <w:szCs w:val="18"/>
              </w:rPr>
            </w:pPr>
            <w:r>
              <w:rPr>
                <w:b/>
                <w:sz w:val="18"/>
                <w:szCs w:val="18"/>
              </w:rPr>
              <w:t>-</w:t>
            </w:r>
          </w:p>
        </w:tc>
        <w:tc>
          <w:tcPr>
            <w:tcW w:w="1300" w:type="dxa"/>
            <w:vAlign w:val="bottom"/>
          </w:tcPr>
          <w:p w14:paraId="7B2403DD" w14:textId="7985C90F" w:rsidR="00224102" w:rsidRPr="00F05361" w:rsidRDefault="00224102" w:rsidP="00224102">
            <w:pPr>
              <w:jc w:val="right"/>
              <w:rPr>
                <w:b/>
                <w:sz w:val="18"/>
                <w:szCs w:val="18"/>
              </w:rPr>
            </w:pPr>
            <w:r>
              <w:rPr>
                <w:b/>
                <w:sz w:val="18"/>
                <w:szCs w:val="18"/>
              </w:rPr>
              <w:t>1,262</w:t>
            </w:r>
          </w:p>
        </w:tc>
        <w:tc>
          <w:tcPr>
            <w:tcW w:w="1022" w:type="dxa"/>
            <w:vAlign w:val="bottom"/>
          </w:tcPr>
          <w:p w14:paraId="2FB53304" w14:textId="59B8C991" w:rsidR="00224102" w:rsidRPr="00692926" w:rsidRDefault="00224102" w:rsidP="00224102">
            <w:pPr>
              <w:jc w:val="right"/>
              <w:rPr>
                <w:b/>
                <w:sz w:val="18"/>
                <w:szCs w:val="18"/>
              </w:rPr>
            </w:pPr>
            <w:r>
              <w:rPr>
                <w:b/>
                <w:sz w:val="18"/>
                <w:szCs w:val="18"/>
              </w:rPr>
              <w:t>134</w:t>
            </w:r>
          </w:p>
        </w:tc>
        <w:tc>
          <w:tcPr>
            <w:tcW w:w="1312" w:type="dxa"/>
            <w:vAlign w:val="bottom"/>
          </w:tcPr>
          <w:p w14:paraId="5572F280" w14:textId="72C65936" w:rsidR="00224102" w:rsidRPr="00F05361" w:rsidRDefault="00224102" w:rsidP="00224102">
            <w:pPr>
              <w:jc w:val="right"/>
              <w:rPr>
                <w:b/>
                <w:sz w:val="18"/>
                <w:szCs w:val="18"/>
              </w:rPr>
            </w:pPr>
            <w:r>
              <w:rPr>
                <w:b/>
                <w:sz w:val="18"/>
                <w:szCs w:val="18"/>
              </w:rPr>
              <w:t>(3,091)</w:t>
            </w:r>
          </w:p>
        </w:tc>
        <w:tc>
          <w:tcPr>
            <w:tcW w:w="1036" w:type="dxa"/>
            <w:vAlign w:val="bottom"/>
          </w:tcPr>
          <w:p w14:paraId="35CDEE5E" w14:textId="0585BF13" w:rsidR="00224102" w:rsidRPr="00692926" w:rsidRDefault="00224102" w:rsidP="00224102">
            <w:pPr>
              <w:jc w:val="right"/>
              <w:rPr>
                <w:b/>
                <w:sz w:val="18"/>
                <w:szCs w:val="18"/>
              </w:rPr>
            </w:pPr>
            <w:r>
              <w:rPr>
                <w:b/>
                <w:sz w:val="18"/>
                <w:szCs w:val="18"/>
              </w:rPr>
              <w:t>161</w:t>
            </w:r>
          </w:p>
        </w:tc>
        <w:tc>
          <w:tcPr>
            <w:tcW w:w="1308" w:type="dxa"/>
            <w:vAlign w:val="bottom"/>
          </w:tcPr>
          <w:p w14:paraId="383E6C22" w14:textId="540AC859" w:rsidR="00224102" w:rsidRPr="00F05361" w:rsidRDefault="00224102" w:rsidP="00224102">
            <w:pPr>
              <w:jc w:val="right"/>
              <w:rPr>
                <w:b/>
                <w:sz w:val="18"/>
                <w:szCs w:val="18"/>
              </w:rPr>
            </w:pPr>
            <w:r>
              <w:rPr>
                <w:b/>
                <w:sz w:val="18"/>
                <w:szCs w:val="18"/>
              </w:rPr>
              <w:t>384</w:t>
            </w:r>
          </w:p>
        </w:tc>
      </w:tr>
      <w:tr w:rsidR="00224102" w:rsidRPr="00604C75" w14:paraId="7669D64D" w14:textId="77777777" w:rsidTr="00E83EAC">
        <w:trPr>
          <w:trHeight w:val="120"/>
        </w:trPr>
        <w:tc>
          <w:tcPr>
            <w:tcW w:w="2238" w:type="dxa"/>
            <w:vAlign w:val="bottom"/>
          </w:tcPr>
          <w:p w14:paraId="6B6F548D" w14:textId="6CCBEBEF" w:rsidR="00224102" w:rsidRPr="00604C75" w:rsidRDefault="00224102" w:rsidP="00224102">
            <w:pPr>
              <w:pStyle w:val="xl79"/>
              <w:pBdr>
                <w:left w:val="none" w:sz="0" w:space="0" w:color="auto"/>
                <w:bottom w:val="none" w:sz="0" w:space="0" w:color="auto"/>
                <w:right w:val="none" w:sz="0" w:space="0" w:color="auto"/>
              </w:pBdr>
              <w:tabs>
                <w:tab w:val="left" w:pos="426"/>
              </w:tabs>
              <w:spacing w:before="0" w:beforeAutospacing="0" w:after="0" w:afterAutospacing="0"/>
              <w:rPr>
                <w:rFonts w:eastAsia="Times New Roman"/>
                <w:b/>
                <w:bCs/>
              </w:rPr>
            </w:pPr>
            <w:r w:rsidRPr="00604C75">
              <w:rPr>
                <w:b/>
              </w:rPr>
              <w:t xml:space="preserve">Transactions for </w:t>
            </w:r>
            <w:r>
              <w:rPr>
                <w:b/>
              </w:rPr>
              <w:t>H</w:t>
            </w:r>
            <w:r w:rsidRPr="00604C75">
              <w:rPr>
                <w:b/>
              </w:rPr>
              <w:t xml:space="preserve">edging </w:t>
            </w:r>
            <w:r>
              <w:rPr>
                <w:b/>
              </w:rPr>
              <w:t>P</w:t>
            </w:r>
            <w:r w:rsidRPr="00604C75">
              <w:rPr>
                <w:b/>
              </w:rPr>
              <w:t>urposes</w:t>
            </w:r>
          </w:p>
        </w:tc>
        <w:tc>
          <w:tcPr>
            <w:tcW w:w="1063" w:type="dxa"/>
            <w:vAlign w:val="bottom"/>
          </w:tcPr>
          <w:p w14:paraId="290B922C" w14:textId="02F80917" w:rsidR="00224102" w:rsidRPr="00692926" w:rsidRDefault="00224102" w:rsidP="00224102">
            <w:pPr>
              <w:jc w:val="right"/>
              <w:rPr>
                <w:sz w:val="18"/>
                <w:szCs w:val="18"/>
              </w:rPr>
            </w:pPr>
            <w:r w:rsidRPr="00692926">
              <w:rPr>
                <w:sz w:val="18"/>
                <w:szCs w:val="18"/>
              </w:rPr>
              <w:t>-</w:t>
            </w:r>
          </w:p>
        </w:tc>
        <w:tc>
          <w:tcPr>
            <w:tcW w:w="1300" w:type="dxa"/>
            <w:vAlign w:val="bottom"/>
          </w:tcPr>
          <w:p w14:paraId="3BF359A8" w14:textId="7D7F5AFC" w:rsidR="00224102" w:rsidRPr="00692926" w:rsidRDefault="00224102" w:rsidP="00224102">
            <w:pPr>
              <w:jc w:val="right"/>
              <w:rPr>
                <w:sz w:val="18"/>
                <w:szCs w:val="18"/>
              </w:rPr>
            </w:pPr>
            <w:r w:rsidRPr="00692926">
              <w:rPr>
                <w:sz w:val="18"/>
                <w:szCs w:val="18"/>
              </w:rPr>
              <w:t>-</w:t>
            </w:r>
          </w:p>
        </w:tc>
        <w:tc>
          <w:tcPr>
            <w:tcW w:w="1022" w:type="dxa"/>
            <w:vAlign w:val="bottom"/>
          </w:tcPr>
          <w:p w14:paraId="01C35A4D" w14:textId="38C84CDE" w:rsidR="00224102" w:rsidRPr="00692926" w:rsidRDefault="00224102" w:rsidP="00224102">
            <w:pPr>
              <w:jc w:val="right"/>
              <w:rPr>
                <w:sz w:val="18"/>
                <w:szCs w:val="18"/>
              </w:rPr>
            </w:pPr>
            <w:r w:rsidRPr="00692926">
              <w:rPr>
                <w:sz w:val="18"/>
                <w:szCs w:val="18"/>
              </w:rPr>
              <w:t>-</w:t>
            </w:r>
          </w:p>
        </w:tc>
        <w:tc>
          <w:tcPr>
            <w:tcW w:w="1312" w:type="dxa"/>
            <w:vAlign w:val="bottom"/>
          </w:tcPr>
          <w:p w14:paraId="3E6BEE66" w14:textId="78F12A67" w:rsidR="00224102" w:rsidRPr="00692926" w:rsidRDefault="00224102" w:rsidP="00224102">
            <w:pPr>
              <w:jc w:val="right"/>
              <w:rPr>
                <w:sz w:val="18"/>
                <w:szCs w:val="18"/>
              </w:rPr>
            </w:pPr>
            <w:r w:rsidRPr="00692926">
              <w:rPr>
                <w:sz w:val="18"/>
                <w:szCs w:val="18"/>
              </w:rPr>
              <w:t>-</w:t>
            </w:r>
          </w:p>
        </w:tc>
        <w:tc>
          <w:tcPr>
            <w:tcW w:w="1036" w:type="dxa"/>
            <w:vAlign w:val="bottom"/>
          </w:tcPr>
          <w:p w14:paraId="4DA5A243" w14:textId="042C7410" w:rsidR="00224102" w:rsidRPr="00692926" w:rsidRDefault="00224102" w:rsidP="00224102">
            <w:pPr>
              <w:jc w:val="right"/>
              <w:rPr>
                <w:sz w:val="18"/>
                <w:szCs w:val="18"/>
              </w:rPr>
            </w:pPr>
            <w:r w:rsidRPr="00692926">
              <w:rPr>
                <w:sz w:val="18"/>
                <w:szCs w:val="18"/>
              </w:rPr>
              <w:t>-</w:t>
            </w:r>
          </w:p>
        </w:tc>
        <w:tc>
          <w:tcPr>
            <w:tcW w:w="1308" w:type="dxa"/>
            <w:vAlign w:val="bottom"/>
          </w:tcPr>
          <w:p w14:paraId="664EC1B3" w14:textId="5478932A" w:rsidR="00224102" w:rsidRPr="00692926" w:rsidRDefault="00224102" w:rsidP="00224102">
            <w:pPr>
              <w:jc w:val="right"/>
              <w:rPr>
                <w:sz w:val="18"/>
                <w:szCs w:val="18"/>
              </w:rPr>
            </w:pPr>
            <w:r w:rsidRPr="00692926">
              <w:rPr>
                <w:sz w:val="18"/>
                <w:szCs w:val="18"/>
              </w:rPr>
              <w:t>-</w:t>
            </w:r>
          </w:p>
        </w:tc>
      </w:tr>
      <w:tr w:rsidR="00224102" w:rsidRPr="00604C75" w14:paraId="05510B7C" w14:textId="77777777" w:rsidTr="00E83EAC">
        <w:trPr>
          <w:trHeight w:val="126"/>
        </w:trPr>
        <w:tc>
          <w:tcPr>
            <w:tcW w:w="2238" w:type="dxa"/>
            <w:vAlign w:val="bottom"/>
          </w:tcPr>
          <w:p w14:paraId="554F45DA" w14:textId="77777777" w:rsidR="00224102" w:rsidRPr="00604C75" w:rsidRDefault="00224102" w:rsidP="00224102">
            <w:pPr>
              <w:tabs>
                <w:tab w:val="left" w:pos="426"/>
              </w:tabs>
              <w:rPr>
                <w:sz w:val="18"/>
              </w:rPr>
            </w:pPr>
            <w:r w:rsidRPr="00604C75">
              <w:rPr>
                <w:sz w:val="18"/>
              </w:rPr>
              <w:t>Beginning of the Period</w:t>
            </w:r>
            <w:r>
              <w:rPr>
                <w:sz w:val="18"/>
              </w:rPr>
              <w:t xml:space="preserve"> </w:t>
            </w:r>
            <w:r w:rsidRPr="00604C75">
              <w:rPr>
                <w:sz w:val="18"/>
              </w:rPr>
              <w:t>(***)</w:t>
            </w:r>
          </w:p>
        </w:tc>
        <w:tc>
          <w:tcPr>
            <w:tcW w:w="1063" w:type="dxa"/>
            <w:vAlign w:val="bottom"/>
          </w:tcPr>
          <w:p w14:paraId="5D379C07" w14:textId="4B3CDDB2" w:rsidR="00224102" w:rsidRPr="00692926" w:rsidRDefault="00224102" w:rsidP="00224102">
            <w:pPr>
              <w:jc w:val="right"/>
              <w:rPr>
                <w:sz w:val="18"/>
                <w:szCs w:val="18"/>
              </w:rPr>
            </w:pPr>
            <w:r w:rsidRPr="00692926">
              <w:rPr>
                <w:sz w:val="18"/>
                <w:szCs w:val="18"/>
              </w:rPr>
              <w:t>-</w:t>
            </w:r>
          </w:p>
        </w:tc>
        <w:tc>
          <w:tcPr>
            <w:tcW w:w="1300" w:type="dxa"/>
            <w:vAlign w:val="bottom"/>
          </w:tcPr>
          <w:p w14:paraId="39699E99" w14:textId="3BAB7587" w:rsidR="00224102" w:rsidRPr="00692926" w:rsidRDefault="00224102" w:rsidP="00224102">
            <w:pPr>
              <w:jc w:val="right"/>
              <w:rPr>
                <w:sz w:val="18"/>
                <w:szCs w:val="18"/>
              </w:rPr>
            </w:pPr>
            <w:r w:rsidRPr="00692926">
              <w:rPr>
                <w:sz w:val="18"/>
                <w:szCs w:val="18"/>
              </w:rPr>
              <w:t>-</w:t>
            </w:r>
          </w:p>
        </w:tc>
        <w:tc>
          <w:tcPr>
            <w:tcW w:w="1022" w:type="dxa"/>
            <w:vAlign w:val="bottom"/>
          </w:tcPr>
          <w:p w14:paraId="23F61632" w14:textId="1736A747" w:rsidR="00224102" w:rsidRPr="00692926" w:rsidRDefault="00224102" w:rsidP="00224102">
            <w:pPr>
              <w:jc w:val="right"/>
              <w:rPr>
                <w:sz w:val="18"/>
                <w:szCs w:val="18"/>
              </w:rPr>
            </w:pPr>
            <w:r w:rsidRPr="00692926">
              <w:rPr>
                <w:sz w:val="18"/>
                <w:szCs w:val="18"/>
              </w:rPr>
              <w:t>-</w:t>
            </w:r>
          </w:p>
        </w:tc>
        <w:tc>
          <w:tcPr>
            <w:tcW w:w="1312" w:type="dxa"/>
            <w:vAlign w:val="bottom"/>
          </w:tcPr>
          <w:p w14:paraId="32BE4200" w14:textId="199835BC" w:rsidR="00224102" w:rsidRPr="00692926" w:rsidRDefault="00224102" w:rsidP="00224102">
            <w:pPr>
              <w:jc w:val="right"/>
              <w:rPr>
                <w:sz w:val="18"/>
                <w:szCs w:val="18"/>
              </w:rPr>
            </w:pPr>
            <w:r w:rsidRPr="00692926">
              <w:rPr>
                <w:sz w:val="18"/>
                <w:szCs w:val="18"/>
              </w:rPr>
              <w:t>-</w:t>
            </w:r>
          </w:p>
        </w:tc>
        <w:tc>
          <w:tcPr>
            <w:tcW w:w="1036" w:type="dxa"/>
            <w:vAlign w:val="bottom"/>
          </w:tcPr>
          <w:p w14:paraId="47F6B891" w14:textId="103B3584" w:rsidR="00224102" w:rsidRPr="00692926" w:rsidRDefault="00224102" w:rsidP="00224102">
            <w:pPr>
              <w:jc w:val="right"/>
              <w:rPr>
                <w:sz w:val="18"/>
                <w:szCs w:val="18"/>
              </w:rPr>
            </w:pPr>
            <w:r w:rsidRPr="00692926">
              <w:rPr>
                <w:sz w:val="18"/>
                <w:szCs w:val="18"/>
              </w:rPr>
              <w:t>-</w:t>
            </w:r>
          </w:p>
        </w:tc>
        <w:tc>
          <w:tcPr>
            <w:tcW w:w="1308" w:type="dxa"/>
            <w:vAlign w:val="bottom"/>
          </w:tcPr>
          <w:p w14:paraId="5F135FDA" w14:textId="45FDAE53" w:rsidR="00224102" w:rsidRPr="00692926" w:rsidRDefault="00224102" w:rsidP="00224102">
            <w:pPr>
              <w:jc w:val="right"/>
              <w:rPr>
                <w:sz w:val="18"/>
                <w:szCs w:val="18"/>
              </w:rPr>
            </w:pPr>
            <w:r w:rsidRPr="00692926">
              <w:rPr>
                <w:sz w:val="18"/>
                <w:szCs w:val="18"/>
              </w:rPr>
              <w:t>-</w:t>
            </w:r>
          </w:p>
        </w:tc>
      </w:tr>
      <w:tr w:rsidR="00224102" w:rsidRPr="00604C75" w14:paraId="679AB4EF" w14:textId="77777777" w:rsidTr="00E83EAC">
        <w:trPr>
          <w:trHeight w:val="63"/>
        </w:trPr>
        <w:tc>
          <w:tcPr>
            <w:tcW w:w="2238" w:type="dxa"/>
            <w:vAlign w:val="bottom"/>
          </w:tcPr>
          <w:p w14:paraId="11324CFF" w14:textId="77777777" w:rsidR="00224102" w:rsidRPr="00604C75" w:rsidRDefault="00224102" w:rsidP="00224102">
            <w:pPr>
              <w:tabs>
                <w:tab w:val="left" w:pos="426"/>
              </w:tabs>
              <w:rPr>
                <w:sz w:val="18"/>
              </w:rPr>
            </w:pPr>
            <w:r w:rsidRPr="00604C75">
              <w:rPr>
                <w:sz w:val="18"/>
              </w:rPr>
              <w:t>End of the Period</w:t>
            </w:r>
            <w:r>
              <w:rPr>
                <w:sz w:val="18"/>
              </w:rPr>
              <w:t xml:space="preserve"> </w:t>
            </w:r>
            <w:r w:rsidRPr="00604C75">
              <w:rPr>
                <w:sz w:val="18"/>
              </w:rPr>
              <w:t>(***)</w:t>
            </w:r>
          </w:p>
        </w:tc>
        <w:tc>
          <w:tcPr>
            <w:tcW w:w="1063" w:type="dxa"/>
            <w:vAlign w:val="bottom"/>
          </w:tcPr>
          <w:p w14:paraId="51C087E9" w14:textId="44DEB94E" w:rsidR="00224102" w:rsidRPr="00692926" w:rsidRDefault="00224102" w:rsidP="00224102">
            <w:pPr>
              <w:jc w:val="right"/>
              <w:rPr>
                <w:sz w:val="18"/>
                <w:szCs w:val="18"/>
              </w:rPr>
            </w:pPr>
            <w:r w:rsidRPr="00692926">
              <w:rPr>
                <w:sz w:val="18"/>
                <w:szCs w:val="18"/>
              </w:rPr>
              <w:t>-</w:t>
            </w:r>
          </w:p>
        </w:tc>
        <w:tc>
          <w:tcPr>
            <w:tcW w:w="1300" w:type="dxa"/>
            <w:vAlign w:val="bottom"/>
          </w:tcPr>
          <w:p w14:paraId="622AD51A" w14:textId="21C55DD0" w:rsidR="00224102" w:rsidRPr="00692926" w:rsidRDefault="00224102" w:rsidP="00224102">
            <w:pPr>
              <w:jc w:val="right"/>
              <w:rPr>
                <w:sz w:val="18"/>
                <w:szCs w:val="18"/>
              </w:rPr>
            </w:pPr>
            <w:r w:rsidRPr="00692926">
              <w:rPr>
                <w:sz w:val="18"/>
                <w:szCs w:val="18"/>
              </w:rPr>
              <w:t>-</w:t>
            </w:r>
          </w:p>
        </w:tc>
        <w:tc>
          <w:tcPr>
            <w:tcW w:w="1022" w:type="dxa"/>
            <w:vAlign w:val="bottom"/>
          </w:tcPr>
          <w:p w14:paraId="203E3006" w14:textId="1BD980BC" w:rsidR="00224102" w:rsidRPr="00692926" w:rsidRDefault="00224102" w:rsidP="00224102">
            <w:pPr>
              <w:jc w:val="right"/>
              <w:rPr>
                <w:sz w:val="18"/>
                <w:szCs w:val="18"/>
              </w:rPr>
            </w:pPr>
            <w:r w:rsidRPr="00692926">
              <w:rPr>
                <w:sz w:val="18"/>
                <w:szCs w:val="18"/>
              </w:rPr>
              <w:t>-</w:t>
            </w:r>
          </w:p>
        </w:tc>
        <w:tc>
          <w:tcPr>
            <w:tcW w:w="1312" w:type="dxa"/>
            <w:vAlign w:val="bottom"/>
          </w:tcPr>
          <w:p w14:paraId="0CC50709" w14:textId="7EB5DA51" w:rsidR="00224102" w:rsidRPr="00692926" w:rsidRDefault="00224102" w:rsidP="00224102">
            <w:pPr>
              <w:jc w:val="right"/>
              <w:rPr>
                <w:sz w:val="18"/>
                <w:szCs w:val="18"/>
              </w:rPr>
            </w:pPr>
            <w:r w:rsidRPr="00692926">
              <w:rPr>
                <w:sz w:val="18"/>
                <w:szCs w:val="18"/>
              </w:rPr>
              <w:t>-</w:t>
            </w:r>
          </w:p>
        </w:tc>
        <w:tc>
          <w:tcPr>
            <w:tcW w:w="1036" w:type="dxa"/>
            <w:vAlign w:val="bottom"/>
          </w:tcPr>
          <w:p w14:paraId="7DABA83A" w14:textId="144C9D7E" w:rsidR="00224102" w:rsidRPr="00692926" w:rsidRDefault="00224102" w:rsidP="00224102">
            <w:pPr>
              <w:jc w:val="right"/>
              <w:rPr>
                <w:sz w:val="18"/>
                <w:szCs w:val="18"/>
              </w:rPr>
            </w:pPr>
            <w:r w:rsidRPr="00692926">
              <w:rPr>
                <w:sz w:val="18"/>
                <w:szCs w:val="18"/>
              </w:rPr>
              <w:t>-</w:t>
            </w:r>
          </w:p>
        </w:tc>
        <w:tc>
          <w:tcPr>
            <w:tcW w:w="1308" w:type="dxa"/>
            <w:vAlign w:val="bottom"/>
          </w:tcPr>
          <w:p w14:paraId="3D61AF9B" w14:textId="4A08600D" w:rsidR="00224102" w:rsidRPr="00692926" w:rsidRDefault="00224102" w:rsidP="00224102">
            <w:pPr>
              <w:jc w:val="right"/>
              <w:rPr>
                <w:sz w:val="18"/>
                <w:szCs w:val="18"/>
              </w:rPr>
            </w:pPr>
            <w:r w:rsidRPr="00692926">
              <w:rPr>
                <w:sz w:val="18"/>
                <w:szCs w:val="18"/>
              </w:rPr>
              <w:t>-</w:t>
            </w:r>
          </w:p>
        </w:tc>
      </w:tr>
      <w:tr w:rsidR="00224102" w:rsidRPr="00604C75" w14:paraId="4C511E1F" w14:textId="77777777" w:rsidTr="00E83EAC">
        <w:trPr>
          <w:trHeight w:val="63"/>
        </w:trPr>
        <w:tc>
          <w:tcPr>
            <w:tcW w:w="2238" w:type="dxa"/>
            <w:vAlign w:val="bottom"/>
          </w:tcPr>
          <w:p w14:paraId="351C16AE" w14:textId="77777777" w:rsidR="00224102" w:rsidRPr="00604C75" w:rsidRDefault="00224102" w:rsidP="00224102">
            <w:pPr>
              <w:tabs>
                <w:tab w:val="left" w:pos="426"/>
              </w:tabs>
              <w:rPr>
                <w:b/>
                <w:bCs/>
                <w:sz w:val="18"/>
              </w:rPr>
            </w:pPr>
            <w:r w:rsidRPr="00604C75">
              <w:rPr>
                <w:b/>
                <w:bCs/>
                <w:sz w:val="18"/>
              </w:rPr>
              <w:t>Total Profit / Loss (****)</w:t>
            </w:r>
          </w:p>
        </w:tc>
        <w:tc>
          <w:tcPr>
            <w:tcW w:w="1063" w:type="dxa"/>
            <w:vAlign w:val="bottom"/>
          </w:tcPr>
          <w:p w14:paraId="119EF398" w14:textId="0F245A2C" w:rsidR="00224102" w:rsidRPr="00692926" w:rsidRDefault="00224102" w:rsidP="00224102">
            <w:pPr>
              <w:jc w:val="right"/>
              <w:rPr>
                <w:sz w:val="18"/>
                <w:szCs w:val="18"/>
              </w:rPr>
            </w:pPr>
            <w:r w:rsidRPr="00692926">
              <w:rPr>
                <w:sz w:val="18"/>
                <w:szCs w:val="18"/>
              </w:rPr>
              <w:t>-</w:t>
            </w:r>
          </w:p>
        </w:tc>
        <w:tc>
          <w:tcPr>
            <w:tcW w:w="1300" w:type="dxa"/>
            <w:vAlign w:val="bottom"/>
          </w:tcPr>
          <w:p w14:paraId="19F3D4A7" w14:textId="2EAF847F" w:rsidR="00224102" w:rsidRPr="00692926" w:rsidRDefault="00224102" w:rsidP="00224102">
            <w:pPr>
              <w:jc w:val="right"/>
              <w:rPr>
                <w:sz w:val="18"/>
                <w:szCs w:val="18"/>
              </w:rPr>
            </w:pPr>
            <w:r w:rsidRPr="00692926">
              <w:rPr>
                <w:sz w:val="18"/>
                <w:szCs w:val="18"/>
              </w:rPr>
              <w:t>-</w:t>
            </w:r>
          </w:p>
        </w:tc>
        <w:tc>
          <w:tcPr>
            <w:tcW w:w="1022" w:type="dxa"/>
            <w:vAlign w:val="bottom"/>
          </w:tcPr>
          <w:p w14:paraId="3A31DA9E" w14:textId="6847A250" w:rsidR="00224102" w:rsidRPr="00692926" w:rsidRDefault="00224102" w:rsidP="00224102">
            <w:pPr>
              <w:jc w:val="right"/>
              <w:rPr>
                <w:sz w:val="18"/>
                <w:szCs w:val="18"/>
              </w:rPr>
            </w:pPr>
            <w:r w:rsidRPr="00692926">
              <w:rPr>
                <w:sz w:val="18"/>
                <w:szCs w:val="18"/>
              </w:rPr>
              <w:t>-</w:t>
            </w:r>
          </w:p>
        </w:tc>
        <w:tc>
          <w:tcPr>
            <w:tcW w:w="1312" w:type="dxa"/>
            <w:vAlign w:val="bottom"/>
          </w:tcPr>
          <w:p w14:paraId="259CB1F9" w14:textId="4650F2C7" w:rsidR="00224102" w:rsidRPr="00692926" w:rsidRDefault="00224102" w:rsidP="00224102">
            <w:pPr>
              <w:jc w:val="right"/>
              <w:rPr>
                <w:sz w:val="18"/>
                <w:szCs w:val="18"/>
              </w:rPr>
            </w:pPr>
            <w:r w:rsidRPr="00692926">
              <w:rPr>
                <w:sz w:val="18"/>
                <w:szCs w:val="18"/>
              </w:rPr>
              <w:t>-</w:t>
            </w:r>
          </w:p>
        </w:tc>
        <w:tc>
          <w:tcPr>
            <w:tcW w:w="1036" w:type="dxa"/>
            <w:vAlign w:val="bottom"/>
          </w:tcPr>
          <w:p w14:paraId="07645761" w14:textId="554CA848" w:rsidR="00224102" w:rsidRPr="00692926" w:rsidRDefault="00224102" w:rsidP="00224102">
            <w:pPr>
              <w:jc w:val="right"/>
              <w:rPr>
                <w:sz w:val="18"/>
                <w:szCs w:val="18"/>
              </w:rPr>
            </w:pPr>
            <w:r w:rsidRPr="00692926">
              <w:rPr>
                <w:sz w:val="18"/>
                <w:szCs w:val="18"/>
              </w:rPr>
              <w:t>-</w:t>
            </w:r>
          </w:p>
        </w:tc>
        <w:tc>
          <w:tcPr>
            <w:tcW w:w="1308" w:type="dxa"/>
            <w:vAlign w:val="bottom"/>
          </w:tcPr>
          <w:p w14:paraId="2F78E760" w14:textId="5F5E19DB" w:rsidR="00224102" w:rsidRPr="00692926" w:rsidRDefault="00224102" w:rsidP="00224102">
            <w:pPr>
              <w:jc w:val="right"/>
              <w:rPr>
                <w:sz w:val="18"/>
                <w:szCs w:val="18"/>
              </w:rPr>
            </w:pPr>
            <w:r w:rsidRPr="00692926">
              <w:rPr>
                <w:sz w:val="18"/>
                <w:szCs w:val="18"/>
              </w:rPr>
              <w:t>-</w:t>
            </w:r>
          </w:p>
        </w:tc>
      </w:tr>
    </w:tbl>
    <w:p w14:paraId="5EFD79B4" w14:textId="77742208" w:rsidR="0044575F" w:rsidRPr="00604C75" w:rsidRDefault="0043038D" w:rsidP="00CD0767">
      <w:pPr>
        <w:pStyle w:val="BodyText"/>
        <w:tabs>
          <w:tab w:val="left" w:pos="426"/>
          <w:tab w:val="left" w:pos="2127"/>
        </w:tabs>
        <w:spacing w:before="60"/>
        <w:ind w:left="2127" w:hanging="2127"/>
        <w:rPr>
          <w:color w:val="000000" w:themeColor="text1"/>
          <w:sz w:val="16"/>
          <w:szCs w:val="16"/>
        </w:rPr>
      </w:pPr>
      <w:r w:rsidRPr="00604C75">
        <w:rPr>
          <w:color w:val="000000" w:themeColor="text1"/>
          <w:sz w:val="16"/>
          <w:szCs w:val="16"/>
        </w:rPr>
        <w:t>(*)</w:t>
      </w:r>
      <w:r w:rsidR="00AA1AA6">
        <w:rPr>
          <w:color w:val="000000" w:themeColor="text1"/>
          <w:sz w:val="16"/>
          <w:szCs w:val="16"/>
        </w:rPr>
        <w:t xml:space="preserve"> </w:t>
      </w:r>
      <w:r w:rsidR="00070CCA">
        <w:rPr>
          <w:color w:val="000000" w:themeColor="text1"/>
          <w:sz w:val="16"/>
          <w:szCs w:val="16"/>
        </w:rPr>
        <w:t xml:space="preserve">    </w:t>
      </w:r>
      <w:r w:rsidR="0044575F" w:rsidRPr="00604C75">
        <w:rPr>
          <w:color w:val="000000" w:themeColor="text1"/>
          <w:sz w:val="16"/>
          <w:szCs w:val="16"/>
        </w:rPr>
        <w:t>Defined in the 49th Article of subsection 2 of the Banking Act No. 5411.</w:t>
      </w:r>
    </w:p>
    <w:p w14:paraId="3D32E48E" w14:textId="6627210A" w:rsidR="0044575F" w:rsidRPr="00604C75" w:rsidRDefault="0043038D" w:rsidP="00224102">
      <w:pPr>
        <w:pStyle w:val="BodyText"/>
        <w:tabs>
          <w:tab w:val="left" w:pos="426"/>
          <w:tab w:val="left" w:pos="2127"/>
        </w:tabs>
        <w:spacing w:before="60" w:after="60"/>
        <w:ind w:left="2127" w:hanging="2127"/>
        <w:rPr>
          <w:color w:val="000000" w:themeColor="text1"/>
          <w:sz w:val="16"/>
          <w:szCs w:val="16"/>
        </w:rPr>
      </w:pPr>
      <w:r w:rsidRPr="00604C75">
        <w:rPr>
          <w:color w:val="000000" w:themeColor="text1"/>
          <w:sz w:val="16"/>
          <w:szCs w:val="16"/>
        </w:rPr>
        <w:t>(**)</w:t>
      </w:r>
      <w:r w:rsidR="00AA1AA6">
        <w:rPr>
          <w:color w:val="000000" w:themeColor="text1"/>
          <w:sz w:val="16"/>
          <w:szCs w:val="16"/>
        </w:rPr>
        <w:t xml:space="preserve"> </w:t>
      </w:r>
      <w:r w:rsidR="00070CCA">
        <w:rPr>
          <w:color w:val="000000" w:themeColor="text1"/>
          <w:sz w:val="16"/>
          <w:szCs w:val="16"/>
        </w:rPr>
        <w:t xml:space="preserve">  </w:t>
      </w:r>
      <w:r w:rsidR="0044575F" w:rsidRPr="00604C75">
        <w:rPr>
          <w:color w:val="000000" w:themeColor="text1"/>
          <w:sz w:val="16"/>
          <w:szCs w:val="16"/>
        </w:rPr>
        <w:t xml:space="preserve">The Bank’s derivative instruments are classified as “Financial Assets at Fair Value </w:t>
      </w:r>
      <w:r w:rsidR="00070CCA">
        <w:rPr>
          <w:color w:val="000000" w:themeColor="text1"/>
          <w:sz w:val="16"/>
          <w:szCs w:val="16"/>
        </w:rPr>
        <w:t>t</w:t>
      </w:r>
      <w:r w:rsidR="0044575F" w:rsidRPr="00604C75">
        <w:rPr>
          <w:color w:val="000000" w:themeColor="text1"/>
          <w:sz w:val="16"/>
          <w:szCs w:val="16"/>
        </w:rPr>
        <w:t>hrough Profit or Loss” according to</w:t>
      </w:r>
      <w:r w:rsidR="00184FDB" w:rsidRPr="00604C75">
        <w:rPr>
          <w:color w:val="000000" w:themeColor="text1"/>
          <w:sz w:val="16"/>
          <w:szCs w:val="16"/>
        </w:rPr>
        <w:t xml:space="preserve"> </w:t>
      </w:r>
      <w:r w:rsidR="0044575F" w:rsidRPr="00604C75">
        <w:rPr>
          <w:color w:val="000000" w:themeColor="text1"/>
          <w:sz w:val="16"/>
          <w:szCs w:val="16"/>
        </w:rPr>
        <w:t>TAS 39.</w:t>
      </w:r>
    </w:p>
    <w:p w14:paraId="6476E038" w14:textId="77777777" w:rsidR="00DA0005" w:rsidRPr="00604C75" w:rsidRDefault="0043038D" w:rsidP="0050673C">
      <w:pPr>
        <w:pStyle w:val="BodyText"/>
        <w:tabs>
          <w:tab w:val="left" w:pos="426"/>
        </w:tabs>
        <w:rPr>
          <w:color w:val="000000" w:themeColor="text1"/>
          <w:sz w:val="16"/>
          <w:szCs w:val="16"/>
        </w:rPr>
      </w:pPr>
      <w:r w:rsidRPr="00604C75">
        <w:rPr>
          <w:color w:val="000000" w:themeColor="text1"/>
          <w:sz w:val="16"/>
          <w:szCs w:val="16"/>
        </w:rPr>
        <w:t>(***)</w:t>
      </w:r>
      <w:r w:rsidR="00AA1AA6">
        <w:rPr>
          <w:color w:val="000000" w:themeColor="text1"/>
          <w:sz w:val="16"/>
          <w:szCs w:val="16"/>
        </w:rPr>
        <w:t xml:space="preserve"> </w:t>
      </w:r>
      <w:r w:rsidR="0044575F" w:rsidRPr="00604C75">
        <w:rPr>
          <w:color w:val="000000" w:themeColor="text1"/>
          <w:sz w:val="16"/>
          <w:szCs w:val="16"/>
        </w:rPr>
        <w:t>The balances at the beginning and end of the periods are disclosed as the total of purchase and sell amounts of derivative financial instruments.</w:t>
      </w:r>
    </w:p>
    <w:p w14:paraId="5FE8A966" w14:textId="77777777" w:rsidR="0044575F" w:rsidRPr="00604C75" w:rsidRDefault="0044575F" w:rsidP="00991C34">
      <w:pPr>
        <w:pStyle w:val="BodyText3"/>
        <w:numPr>
          <w:ilvl w:val="0"/>
          <w:numId w:val="62"/>
        </w:numPr>
        <w:spacing w:before="120"/>
        <w:ind w:right="-11" w:hanging="1426"/>
        <w:jc w:val="both"/>
        <w:rPr>
          <w:b/>
          <w:bCs w:val="0"/>
          <w:i w:val="0"/>
          <w:iCs w:val="0"/>
          <w:sz w:val="20"/>
        </w:rPr>
      </w:pPr>
      <w:r w:rsidRPr="00604C75">
        <w:rPr>
          <w:b/>
          <w:i w:val="0"/>
          <w:sz w:val="20"/>
        </w:rPr>
        <w:t xml:space="preserve">With respect to the </w:t>
      </w:r>
      <w:r w:rsidR="00536302" w:rsidRPr="00604C75">
        <w:rPr>
          <w:b/>
          <w:i w:val="0"/>
          <w:sz w:val="20"/>
        </w:rPr>
        <w:t>Parent Bank</w:t>
      </w:r>
      <w:r w:rsidR="00A103A7" w:rsidRPr="00604C75">
        <w:rPr>
          <w:b/>
          <w:i w:val="0"/>
          <w:sz w:val="20"/>
        </w:rPr>
        <w:t>’s</w:t>
      </w:r>
      <w:r w:rsidRPr="00604C75">
        <w:rPr>
          <w:b/>
          <w:i w:val="0"/>
          <w:sz w:val="20"/>
        </w:rPr>
        <w:t xml:space="preserve"> risk group</w:t>
      </w:r>
    </w:p>
    <w:p w14:paraId="4A837243" w14:textId="15EA53DC" w:rsidR="0044575F" w:rsidRPr="00604C75" w:rsidRDefault="0044575F" w:rsidP="00991C34">
      <w:pPr>
        <w:pStyle w:val="BodyTextIndent"/>
        <w:tabs>
          <w:tab w:val="left" w:pos="426"/>
        </w:tabs>
        <w:spacing w:before="120" w:after="0"/>
        <w:ind w:left="0"/>
        <w:jc w:val="both"/>
        <w:rPr>
          <w:sz w:val="20"/>
          <w:szCs w:val="20"/>
        </w:rPr>
      </w:pPr>
      <w:r w:rsidRPr="00604C75">
        <w:rPr>
          <w:sz w:val="20"/>
          <w:szCs w:val="20"/>
        </w:rPr>
        <w:t>1.</w:t>
      </w:r>
      <w:r w:rsidRPr="00604C75">
        <w:rPr>
          <w:sz w:val="20"/>
          <w:szCs w:val="20"/>
        </w:rPr>
        <w:tab/>
        <w:t xml:space="preserve">The relations with entities that are included in the </w:t>
      </w:r>
      <w:r w:rsidR="00A103A7" w:rsidRPr="00604C75">
        <w:rPr>
          <w:sz w:val="20"/>
          <w:szCs w:val="20"/>
        </w:rPr>
        <w:t>Group’s</w:t>
      </w:r>
      <w:r w:rsidRPr="00604C75">
        <w:rPr>
          <w:sz w:val="20"/>
          <w:szCs w:val="20"/>
        </w:rPr>
        <w:t xml:space="preserve"> risk group and controlled by the </w:t>
      </w:r>
      <w:r w:rsidR="002C3B01">
        <w:rPr>
          <w:sz w:val="20"/>
          <w:szCs w:val="20"/>
        </w:rPr>
        <w:t xml:space="preserve">Parent </w:t>
      </w:r>
      <w:r w:rsidRPr="00604C75">
        <w:rPr>
          <w:sz w:val="20"/>
          <w:szCs w:val="20"/>
        </w:rPr>
        <w:t>Bank irrespective of the relationship between the parties</w:t>
      </w:r>
      <w:r w:rsidR="00615C94" w:rsidRPr="00604C75">
        <w:rPr>
          <w:sz w:val="20"/>
          <w:szCs w:val="20"/>
        </w:rPr>
        <w:t>:</w:t>
      </w:r>
    </w:p>
    <w:p w14:paraId="708A242D" w14:textId="599FCA9B" w:rsidR="0044575F" w:rsidRPr="00604C75" w:rsidRDefault="0044575F" w:rsidP="00991C34">
      <w:pPr>
        <w:spacing w:before="120"/>
        <w:jc w:val="both"/>
        <w:rPr>
          <w:sz w:val="20"/>
          <w:szCs w:val="20"/>
        </w:rPr>
      </w:pPr>
      <w:r w:rsidRPr="00604C75">
        <w:rPr>
          <w:sz w:val="20"/>
          <w:szCs w:val="20"/>
        </w:rPr>
        <w:t xml:space="preserve">The </w:t>
      </w:r>
      <w:r w:rsidR="002C3B01">
        <w:rPr>
          <w:sz w:val="20"/>
          <w:szCs w:val="20"/>
        </w:rPr>
        <w:t xml:space="preserve">Parent </w:t>
      </w:r>
      <w:r w:rsidRPr="00604C75">
        <w:rPr>
          <w:sz w:val="20"/>
          <w:szCs w:val="20"/>
        </w:rPr>
        <w:t xml:space="preserve">Bank performs various transactions with group companies during its banking activities. These are commercial transactions </w:t>
      </w:r>
      <w:proofErr w:type="spellStart"/>
      <w:r w:rsidRPr="00604C75">
        <w:rPr>
          <w:sz w:val="20"/>
          <w:szCs w:val="20"/>
        </w:rPr>
        <w:t>realised</w:t>
      </w:r>
      <w:proofErr w:type="spellEnd"/>
      <w:r w:rsidRPr="00604C75">
        <w:rPr>
          <w:sz w:val="20"/>
          <w:szCs w:val="20"/>
        </w:rPr>
        <w:t xml:space="preserve"> with market prices.</w:t>
      </w:r>
    </w:p>
    <w:p w14:paraId="13220D44" w14:textId="77777777" w:rsidR="0044575F" w:rsidRPr="00604C75" w:rsidRDefault="0044575F" w:rsidP="00991C34">
      <w:pPr>
        <w:tabs>
          <w:tab w:val="num" w:pos="426"/>
        </w:tabs>
        <w:autoSpaceDE w:val="0"/>
        <w:autoSpaceDN w:val="0"/>
        <w:adjustRightInd w:val="0"/>
        <w:spacing w:before="120"/>
        <w:jc w:val="both"/>
        <w:rPr>
          <w:bCs/>
          <w:noProof/>
          <w:color w:val="000000"/>
          <w:sz w:val="20"/>
          <w:szCs w:val="20"/>
        </w:rPr>
      </w:pPr>
      <w:r w:rsidRPr="00604C75">
        <w:rPr>
          <w:noProof/>
          <w:sz w:val="20"/>
          <w:szCs w:val="20"/>
        </w:rPr>
        <w:t>2.</w:t>
      </w:r>
      <w:r w:rsidRPr="00604C75">
        <w:rPr>
          <w:noProof/>
          <w:sz w:val="20"/>
          <w:szCs w:val="20"/>
        </w:rPr>
        <w:tab/>
        <w:t>The type of transaction, the amount and its ratio to total transaction volume, the amount of significant items and their ratios to total items, pricing policy and other issues</w:t>
      </w:r>
    </w:p>
    <w:p w14:paraId="1C63B84E" w14:textId="77777777" w:rsidR="0044575F" w:rsidRPr="00604C75" w:rsidRDefault="0044575F" w:rsidP="0050673C">
      <w:pPr>
        <w:tabs>
          <w:tab w:val="num" w:pos="1800"/>
        </w:tabs>
        <w:autoSpaceDE w:val="0"/>
        <w:autoSpaceDN w:val="0"/>
        <w:adjustRightInd w:val="0"/>
        <w:jc w:val="both"/>
        <w:rPr>
          <w:bCs/>
          <w:noProof/>
          <w:color w:val="000000"/>
          <w:sz w:val="20"/>
          <w:szCs w:val="20"/>
        </w:rPr>
      </w:pPr>
    </w:p>
    <w:tbl>
      <w:tblPr>
        <w:tblW w:w="8987"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268"/>
        <w:gridCol w:w="2877"/>
        <w:gridCol w:w="2842"/>
      </w:tblGrid>
      <w:tr w:rsidR="0044575F" w:rsidRPr="00604C75" w14:paraId="4E15AED4" w14:textId="77777777" w:rsidTr="00AD726D">
        <w:trPr>
          <w:trHeight w:val="460"/>
        </w:trPr>
        <w:tc>
          <w:tcPr>
            <w:tcW w:w="3268" w:type="dxa"/>
            <w:noWrap/>
            <w:vAlign w:val="bottom"/>
          </w:tcPr>
          <w:p w14:paraId="38A25091" w14:textId="77777777" w:rsidR="0044575F" w:rsidRPr="00604C75" w:rsidRDefault="0044575F" w:rsidP="0050673C">
            <w:pPr>
              <w:rPr>
                <w:noProof/>
                <w:sz w:val="18"/>
                <w:szCs w:val="18"/>
              </w:rPr>
            </w:pPr>
          </w:p>
        </w:tc>
        <w:tc>
          <w:tcPr>
            <w:tcW w:w="2877" w:type="dxa"/>
            <w:vAlign w:val="bottom"/>
          </w:tcPr>
          <w:p w14:paraId="45F9A869" w14:textId="77777777" w:rsidR="0044575F" w:rsidRPr="00604C75" w:rsidRDefault="0044575F" w:rsidP="0050673C">
            <w:pPr>
              <w:ind w:right="40"/>
              <w:jc w:val="right"/>
              <w:rPr>
                <w:b/>
                <w:noProof/>
                <w:sz w:val="18"/>
                <w:szCs w:val="18"/>
              </w:rPr>
            </w:pPr>
            <w:r w:rsidRPr="00604C75">
              <w:rPr>
                <w:b/>
                <w:noProof/>
                <w:color w:val="000000"/>
                <w:sz w:val="18"/>
              </w:rPr>
              <w:t>Total Risk Group</w:t>
            </w:r>
          </w:p>
        </w:tc>
        <w:tc>
          <w:tcPr>
            <w:tcW w:w="2842" w:type="dxa"/>
            <w:vAlign w:val="bottom"/>
          </w:tcPr>
          <w:p w14:paraId="15BEA6E7" w14:textId="77777777" w:rsidR="0044575F" w:rsidRPr="00604C75" w:rsidRDefault="0044575F" w:rsidP="0050673C">
            <w:pPr>
              <w:ind w:right="40"/>
              <w:jc w:val="right"/>
              <w:rPr>
                <w:noProof/>
                <w:sz w:val="18"/>
                <w:szCs w:val="18"/>
              </w:rPr>
            </w:pPr>
            <w:r w:rsidRPr="00604C75">
              <w:rPr>
                <w:b/>
                <w:noProof/>
                <w:color w:val="000000"/>
                <w:sz w:val="18"/>
                <w:szCs w:val="18"/>
              </w:rPr>
              <w:t xml:space="preserve">Share in </w:t>
            </w:r>
            <w:r w:rsidR="005E1738" w:rsidRPr="00604C75">
              <w:rPr>
                <w:sz w:val="18"/>
                <w:szCs w:val="18"/>
              </w:rPr>
              <w:br/>
            </w:r>
            <w:r w:rsidRPr="00604C75">
              <w:rPr>
                <w:b/>
                <w:noProof/>
                <w:color w:val="000000"/>
                <w:sz w:val="18"/>
                <w:szCs w:val="18"/>
              </w:rPr>
              <w:t>Financial Statements (%)</w:t>
            </w:r>
          </w:p>
        </w:tc>
      </w:tr>
      <w:tr w:rsidR="00224102" w:rsidRPr="00604C75" w14:paraId="7FAA612A" w14:textId="77777777" w:rsidTr="00AD726D">
        <w:trPr>
          <w:trHeight w:val="240"/>
        </w:trPr>
        <w:tc>
          <w:tcPr>
            <w:tcW w:w="3268" w:type="dxa"/>
            <w:noWrap/>
            <w:vAlign w:val="bottom"/>
          </w:tcPr>
          <w:p w14:paraId="30E0DCB9" w14:textId="77777777" w:rsidR="00224102" w:rsidRPr="00604C75" w:rsidRDefault="00224102" w:rsidP="00224102">
            <w:pPr>
              <w:rPr>
                <w:noProof/>
                <w:sz w:val="18"/>
                <w:szCs w:val="18"/>
              </w:rPr>
            </w:pPr>
            <w:r>
              <w:rPr>
                <w:noProof/>
                <w:color w:val="000000"/>
                <w:sz w:val="18"/>
                <w:szCs w:val="18"/>
              </w:rPr>
              <w:t>Deposit</w:t>
            </w:r>
          </w:p>
        </w:tc>
        <w:tc>
          <w:tcPr>
            <w:tcW w:w="2877" w:type="dxa"/>
            <w:noWrap/>
            <w:vAlign w:val="bottom"/>
          </w:tcPr>
          <w:p w14:paraId="3D8079A7" w14:textId="24E51532" w:rsidR="00224102" w:rsidRPr="00692926" w:rsidRDefault="00224102" w:rsidP="00224102">
            <w:pPr>
              <w:jc w:val="right"/>
              <w:rPr>
                <w:rFonts w:eastAsia="Arial Unicode MS"/>
                <w:sz w:val="18"/>
                <w:szCs w:val="18"/>
              </w:rPr>
            </w:pPr>
            <w:r>
              <w:rPr>
                <w:rFonts w:eastAsia="Arial Unicode MS"/>
                <w:sz w:val="18"/>
                <w:szCs w:val="18"/>
              </w:rPr>
              <w:t>350,691</w:t>
            </w:r>
          </w:p>
        </w:tc>
        <w:tc>
          <w:tcPr>
            <w:tcW w:w="2842" w:type="dxa"/>
            <w:noWrap/>
            <w:vAlign w:val="bottom"/>
          </w:tcPr>
          <w:p w14:paraId="04C7CA59" w14:textId="066AA1C2" w:rsidR="00224102" w:rsidRPr="00692926" w:rsidRDefault="00224102" w:rsidP="00224102">
            <w:pPr>
              <w:jc w:val="right"/>
              <w:rPr>
                <w:rFonts w:eastAsia="Arial Unicode MS"/>
                <w:sz w:val="18"/>
                <w:szCs w:val="18"/>
              </w:rPr>
            </w:pPr>
            <w:r>
              <w:rPr>
                <w:rFonts w:eastAsia="Arial Unicode MS"/>
                <w:sz w:val="18"/>
                <w:szCs w:val="18"/>
              </w:rPr>
              <w:t>5.62%</w:t>
            </w:r>
          </w:p>
        </w:tc>
      </w:tr>
      <w:tr w:rsidR="00224102" w:rsidRPr="00604C75" w14:paraId="07FF254D" w14:textId="77777777" w:rsidTr="00AD726D">
        <w:trPr>
          <w:trHeight w:val="240"/>
        </w:trPr>
        <w:tc>
          <w:tcPr>
            <w:tcW w:w="3268" w:type="dxa"/>
            <w:noWrap/>
            <w:vAlign w:val="bottom"/>
          </w:tcPr>
          <w:p w14:paraId="465E883C" w14:textId="062B6829" w:rsidR="00224102" w:rsidRPr="00604C75" w:rsidRDefault="00224102" w:rsidP="00224102">
            <w:pPr>
              <w:rPr>
                <w:noProof/>
                <w:sz w:val="18"/>
                <w:szCs w:val="18"/>
              </w:rPr>
            </w:pPr>
            <w:r w:rsidRPr="00604C75">
              <w:rPr>
                <w:noProof/>
                <w:color w:val="000000"/>
                <w:sz w:val="18"/>
                <w:szCs w:val="18"/>
              </w:rPr>
              <w:t xml:space="preserve">Non-cash </w:t>
            </w:r>
            <w:r>
              <w:rPr>
                <w:noProof/>
                <w:color w:val="000000"/>
                <w:sz w:val="18"/>
                <w:szCs w:val="18"/>
              </w:rPr>
              <w:t>L</w:t>
            </w:r>
            <w:r w:rsidRPr="00604C75">
              <w:rPr>
                <w:noProof/>
                <w:color w:val="000000"/>
                <w:sz w:val="18"/>
                <w:szCs w:val="18"/>
              </w:rPr>
              <w:t>oans</w:t>
            </w:r>
          </w:p>
        </w:tc>
        <w:tc>
          <w:tcPr>
            <w:tcW w:w="2877" w:type="dxa"/>
            <w:noWrap/>
            <w:vAlign w:val="bottom"/>
          </w:tcPr>
          <w:p w14:paraId="339D48EE" w14:textId="36DA2FD3" w:rsidR="00224102" w:rsidRPr="00692926" w:rsidRDefault="00224102" w:rsidP="00224102">
            <w:pPr>
              <w:jc w:val="right"/>
              <w:rPr>
                <w:rFonts w:eastAsia="Arial Unicode MS"/>
                <w:sz w:val="18"/>
                <w:szCs w:val="18"/>
              </w:rPr>
            </w:pPr>
            <w:r>
              <w:rPr>
                <w:rFonts w:eastAsia="Arial Unicode MS"/>
                <w:sz w:val="18"/>
                <w:szCs w:val="18"/>
              </w:rPr>
              <w:t>79,905</w:t>
            </w:r>
          </w:p>
        </w:tc>
        <w:tc>
          <w:tcPr>
            <w:tcW w:w="2842" w:type="dxa"/>
            <w:noWrap/>
            <w:vAlign w:val="bottom"/>
          </w:tcPr>
          <w:p w14:paraId="340391DA" w14:textId="0D28E837" w:rsidR="00224102" w:rsidRPr="00692926" w:rsidRDefault="00224102" w:rsidP="00224102">
            <w:pPr>
              <w:jc w:val="right"/>
              <w:rPr>
                <w:rFonts w:eastAsia="Arial Unicode MS"/>
                <w:sz w:val="18"/>
                <w:szCs w:val="18"/>
              </w:rPr>
            </w:pPr>
            <w:r>
              <w:rPr>
                <w:rFonts w:eastAsia="Arial Unicode MS"/>
                <w:sz w:val="18"/>
                <w:szCs w:val="18"/>
              </w:rPr>
              <w:t>2.52%</w:t>
            </w:r>
          </w:p>
        </w:tc>
      </w:tr>
      <w:tr w:rsidR="00224102" w:rsidRPr="00604C75" w14:paraId="0B9EC252" w14:textId="77777777" w:rsidTr="00AD726D">
        <w:trPr>
          <w:trHeight w:val="240"/>
        </w:trPr>
        <w:tc>
          <w:tcPr>
            <w:tcW w:w="3268" w:type="dxa"/>
            <w:noWrap/>
            <w:vAlign w:val="bottom"/>
          </w:tcPr>
          <w:p w14:paraId="6246AAED" w14:textId="77777777" w:rsidR="00224102" w:rsidRPr="00604C75" w:rsidRDefault="00224102" w:rsidP="00224102">
            <w:pPr>
              <w:rPr>
                <w:noProof/>
                <w:color w:val="000000"/>
                <w:sz w:val="18"/>
                <w:szCs w:val="18"/>
              </w:rPr>
            </w:pPr>
            <w:r w:rsidRPr="00604C75">
              <w:rPr>
                <w:noProof/>
                <w:color w:val="000000"/>
                <w:sz w:val="18"/>
                <w:szCs w:val="18"/>
              </w:rPr>
              <w:t>Loans</w:t>
            </w:r>
          </w:p>
        </w:tc>
        <w:tc>
          <w:tcPr>
            <w:tcW w:w="2877" w:type="dxa"/>
            <w:noWrap/>
            <w:vAlign w:val="bottom"/>
          </w:tcPr>
          <w:p w14:paraId="4C182987" w14:textId="4A6F9A13" w:rsidR="00224102" w:rsidRPr="00692926" w:rsidRDefault="00224102" w:rsidP="00224102">
            <w:pPr>
              <w:jc w:val="right"/>
              <w:rPr>
                <w:rFonts w:eastAsia="Arial Unicode MS"/>
                <w:sz w:val="18"/>
                <w:szCs w:val="18"/>
              </w:rPr>
            </w:pPr>
            <w:r>
              <w:rPr>
                <w:rFonts w:eastAsia="Arial Unicode MS"/>
                <w:sz w:val="18"/>
                <w:szCs w:val="18"/>
              </w:rPr>
              <w:t>210,752</w:t>
            </w:r>
          </w:p>
        </w:tc>
        <w:tc>
          <w:tcPr>
            <w:tcW w:w="2842" w:type="dxa"/>
            <w:noWrap/>
            <w:vAlign w:val="bottom"/>
          </w:tcPr>
          <w:p w14:paraId="55FDFB4E" w14:textId="13B91581" w:rsidR="00224102" w:rsidRPr="00692926" w:rsidRDefault="00224102" w:rsidP="00224102">
            <w:pPr>
              <w:jc w:val="right"/>
              <w:rPr>
                <w:rFonts w:eastAsia="Arial Unicode MS"/>
                <w:sz w:val="18"/>
                <w:szCs w:val="18"/>
              </w:rPr>
            </w:pPr>
            <w:r>
              <w:rPr>
                <w:rFonts w:eastAsia="Arial Unicode MS"/>
                <w:sz w:val="18"/>
                <w:szCs w:val="18"/>
              </w:rPr>
              <w:t>2.26%</w:t>
            </w:r>
          </w:p>
        </w:tc>
      </w:tr>
      <w:tr w:rsidR="00224102" w:rsidRPr="00604C75" w14:paraId="16313A75" w14:textId="77777777" w:rsidTr="00AD726D">
        <w:trPr>
          <w:trHeight w:val="240"/>
        </w:trPr>
        <w:tc>
          <w:tcPr>
            <w:tcW w:w="3268" w:type="dxa"/>
            <w:noWrap/>
            <w:vAlign w:val="bottom"/>
          </w:tcPr>
          <w:p w14:paraId="6491753D" w14:textId="77777777" w:rsidR="00224102" w:rsidRPr="00604C75" w:rsidRDefault="00224102" w:rsidP="00224102">
            <w:pPr>
              <w:rPr>
                <w:noProof/>
                <w:sz w:val="18"/>
                <w:szCs w:val="18"/>
              </w:rPr>
            </w:pPr>
            <w:r>
              <w:rPr>
                <w:noProof/>
                <w:color w:val="000000"/>
                <w:sz w:val="18"/>
                <w:szCs w:val="18"/>
              </w:rPr>
              <w:t>Subordinated Loans</w:t>
            </w:r>
          </w:p>
        </w:tc>
        <w:tc>
          <w:tcPr>
            <w:tcW w:w="2877" w:type="dxa"/>
            <w:noWrap/>
            <w:vAlign w:val="bottom"/>
          </w:tcPr>
          <w:p w14:paraId="3B4BA0DE" w14:textId="027DC8F9" w:rsidR="00224102" w:rsidRDefault="00224102" w:rsidP="00224102">
            <w:pPr>
              <w:jc w:val="right"/>
              <w:rPr>
                <w:rFonts w:eastAsia="Arial Unicode MS"/>
                <w:sz w:val="18"/>
                <w:szCs w:val="18"/>
              </w:rPr>
            </w:pPr>
            <w:r>
              <w:rPr>
                <w:rFonts w:eastAsia="Arial Unicode MS"/>
                <w:sz w:val="18"/>
                <w:szCs w:val="18"/>
              </w:rPr>
              <w:t>364,763</w:t>
            </w:r>
          </w:p>
        </w:tc>
        <w:tc>
          <w:tcPr>
            <w:tcW w:w="2842" w:type="dxa"/>
            <w:noWrap/>
            <w:vAlign w:val="bottom"/>
          </w:tcPr>
          <w:p w14:paraId="5F673A37" w14:textId="7FB9BDF3" w:rsidR="00224102" w:rsidRDefault="00224102" w:rsidP="00224102">
            <w:pPr>
              <w:jc w:val="right"/>
              <w:rPr>
                <w:rFonts w:eastAsia="Arial Unicode MS"/>
                <w:sz w:val="18"/>
                <w:szCs w:val="18"/>
              </w:rPr>
            </w:pPr>
            <w:r>
              <w:rPr>
                <w:rFonts w:eastAsia="Arial Unicode MS"/>
                <w:sz w:val="18"/>
                <w:szCs w:val="18"/>
              </w:rPr>
              <w:t>47.52%</w:t>
            </w:r>
          </w:p>
        </w:tc>
      </w:tr>
    </w:tbl>
    <w:p w14:paraId="7D0C407B" w14:textId="77777777" w:rsidR="002A64F1" w:rsidRPr="00604C75" w:rsidRDefault="002A64F1" w:rsidP="00490153">
      <w:pPr>
        <w:autoSpaceDE w:val="0"/>
        <w:autoSpaceDN w:val="0"/>
        <w:adjustRightInd w:val="0"/>
        <w:spacing w:before="120"/>
        <w:jc w:val="both"/>
        <w:rPr>
          <w:sz w:val="20"/>
          <w:szCs w:val="20"/>
        </w:rPr>
      </w:pPr>
      <w:r w:rsidRPr="00604C75">
        <w:rPr>
          <w:sz w:val="20"/>
          <w:szCs w:val="20"/>
        </w:rPr>
        <w:t>These transactions are priced according to the Bank’s pricing policy and they are in line with the market prices.</w:t>
      </w:r>
    </w:p>
    <w:p w14:paraId="79493368" w14:textId="77777777" w:rsidR="0044575F" w:rsidRPr="00604C75" w:rsidRDefault="0044575F" w:rsidP="00490153">
      <w:pPr>
        <w:pStyle w:val="BodyTextIndent"/>
        <w:tabs>
          <w:tab w:val="left" w:pos="426"/>
        </w:tabs>
        <w:spacing w:before="120" w:after="0"/>
        <w:ind w:left="0"/>
        <w:rPr>
          <w:noProof/>
          <w:sz w:val="20"/>
          <w:szCs w:val="20"/>
          <w:lang w:val="tr-TR"/>
        </w:rPr>
      </w:pPr>
      <w:r w:rsidRPr="00604C75">
        <w:rPr>
          <w:noProof/>
          <w:sz w:val="20"/>
          <w:szCs w:val="20"/>
          <w:lang w:val="tr-TR"/>
        </w:rPr>
        <w:t>3.</w:t>
      </w:r>
      <w:r w:rsidR="0065342F" w:rsidRPr="00604C75">
        <w:rPr>
          <w:noProof/>
          <w:sz w:val="20"/>
          <w:szCs w:val="20"/>
          <w:lang w:val="tr-TR"/>
        </w:rPr>
        <w:tab/>
      </w:r>
      <w:r w:rsidR="00CA5023" w:rsidRPr="00604C75">
        <w:rPr>
          <w:noProof/>
          <w:sz w:val="20"/>
          <w:szCs w:val="20"/>
          <w:lang w:val="tr-TR"/>
        </w:rPr>
        <w:t>Equity accounted</w:t>
      </w:r>
      <w:r w:rsidRPr="00604C75">
        <w:rPr>
          <w:noProof/>
          <w:sz w:val="20"/>
          <w:szCs w:val="20"/>
          <w:lang w:val="tr-TR"/>
        </w:rPr>
        <w:t xml:space="preserve"> transactions: </w:t>
      </w:r>
    </w:p>
    <w:p w14:paraId="04658636" w14:textId="77777777" w:rsidR="0044575F" w:rsidRPr="00604C75" w:rsidRDefault="0044575F" w:rsidP="00490153">
      <w:pPr>
        <w:pStyle w:val="BodyText"/>
        <w:tabs>
          <w:tab w:val="left" w:pos="2127"/>
        </w:tabs>
        <w:spacing w:before="120"/>
        <w:rPr>
          <w:noProof/>
          <w:color w:val="000000" w:themeColor="text1"/>
          <w:sz w:val="20"/>
        </w:rPr>
      </w:pPr>
      <w:r w:rsidRPr="00604C75">
        <w:rPr>
          <w:noProof/>
          <w:color w:val="000000" w:themeColor="text1"/>
          <w:sz w:val="20"/>
        </w:rPr>
        <w:t>None</w:t>
      </w:r>
      <w:r w:rsidR="00DD0344" w:rsidRPr="00604C75">
        <w:rPr>
          <w:noProof/>
          <w:color w:val="000000" w:themeColor="text1"/>
          <w:sz w:val="20"/>
        </w:rPr>
        <w:t>.</w:t>
      </w:r>
    </w:p>
    <w:p w14:paraId="45DA82C2" w14:textId="77777777" w:rsidR="00F82D74" w:rsidRPr="00604C75" w:rsidRDefault="00F82D74" w:rsidP="0050673C">
      <w:pPr>
        <w:pStyle w:val="xl79"/>
        <w:pBdr>
          <w:left w:val="none" w:sz="0" w:space="0" w:color="auto"/>
          <w:bottom w:val="none" w:sz="0" w:space="0" w:color="auto"/>
          <w:right w:val="none" w:sz="0" w:space="0" w:color="auto"/>
        </w:pBdr>
        <w:tabs>
          <w:tab w:val="left" w:pos="1701"/>
        </w:tabs>
        <w:spacing w:before="0" w:beforeAutospacing="0" w:after="0" w:afterAutospacing="0"/>
        <w:jc w:val="both"/>
        <w:rPr>
          <w:rFonts w:eastAsia="Times New Roman"/>
          <w:sz w:val="16"/>
          <w:szCs w:val="16"/>
        </w:rPr>
      </w:pPr>
    </w:p>
    <w:p w14:paraId="6AD72EB5" w14:textId="77777777" w:rsidR="001D0D75" w:rsidRPr="00604C75" w:rsidRDefault="001D0D75" w:rsidP="0050673C">
      <w:pPr>
        <w:pStyle w:val="xl79"/>
        <w:pBdr>
          <w:left w:val="none" w:sz="0" w:space="0" w:color="auto"/>
          <w:bottom w:val="none" w:sz="0" w:space="0" w:color="auto"/>
          <w:right w:val="none" w:sz="0" w:space="0" w:color="auto"/>
        </w:pBdr>
        <w:tabs>
          <w:tab w:val="left" w:pos="1701"/>
        </w:tabs>
        <w:spacing w:before="0" w:beforeAutospacing="0" w:after="0" w:afterAutospacing="0"/>
        <w:jc w:val="both"/>
        <w:rPr>
          <w:rFonts w:eastAsia="Times New Roman"/>
          <w:sz w:val="16"/>
          <w:szCs w:val="16"/>
        </w:rPr>
      </w:pPr>
    </w:p>
    <w:p w14:paraId="5C27B49D" w14:textId="58BE26B2" w:rsidR="001D0D75" w:rsidRPr="00604C75" w:rsidRDefault="00B27B7B" w:rsidP="00490153">
      <w:pPr>
        <w:pStyle w:val="BodyTextIndent"/>
        <w:pageBreakBefore/>
        <w:spacing w:before="120" w:after="0"/>
        <w:ind w:left="0"/>
        <w:rPr>
          <w:b/>
          <w:bCs/>
          <w:sz w:val="20"/>
          <w:szCs w:val="20"/>
        </w:rPr>
      </w:pPr>
      <w:r w:rsidRPr="00604C75">
        <w:rPr>
          <w:rFonts w:eastAsia="Arial Unicode MS"/>
          <w:b/>
          <w:sz w:val="20"/>
          <w:szCs w:val="20"/>
        </w:rPr>
        <w:lastRenderedPageBreak/>
        <w:t xml:space="preserve">EXPLANATIONS AND </w:t>
      </w:r>
      <w:r>
        <w:rPr>
          <w:rFonts w:eastAsia="Arial Unicode MS"/>
          <w:b/>
          <w:sz w:val="20"/>
          <w:szCs w:val="20"/>
        </w:rPr>
        <w:t>NOTES</w:t>
      </w:r>
      <w:r w:rsidRPr="00604C75">
        <w:rPr>
          <w:rFonts w:eastAsia="Arial Unicode MS"/>
          <w:b/>
          <w:sz w:val="20"/>
          <w:szCs w:val="20"/>
        </w:rPr>
        <w:t xml:space="preserve"> ON </w:t>
      </w:r>
      <w:r>
        <w:rPr>
          <w:rFonts w:eastAsia="Arial Unicode MS"/>
          <w:b/>
          <w:sz w:val="20"/>
          <w:szCs w:val="20"/>
        </w:rPr>
        <w:t xml:space="preserve">THE </w:t>
      </w:r>
      <w:r w:rsidRPr="00604C75">
        <w:rPr>
          <w:rFonts w:eastAsia="Arial Unicode MS"/>
          <w:b/>
          <w:sz w:val="20"/>
          <w:szCs w:val="20"/>
        </w:rPr>
        <w:t>CONSOLIDATED FINANCIAL STATEMENTS</w:t>
      </w:r>
      <w:r w:rsidRPr="00604C75">
        <w:rPr>
          <w:b/>
          <w:bCs/>
          <w:sz w:val="20"/>
          <w:szCs w:val="20"/>
        </w:rPr>
        <w:t xml:space="preserve"> (Continued)</w:t>
      </w:r>
    </w:p>
    <w:p w14:paraId="547C19A2" w14:textId="624A908B" w:rsidR="001D0D75" w:rsidRPr="00604C75" w:rsidRDefault="001D0D75" w:rsidP="00490153">
      <w:pPr>
        <w:pStyle w:val="BodyTextIndent"/>
        <w:tabs>
          <w:tab w:val="left" w:pos="2268"/>
        </w:tabs>
        <w:spacing w:before="120" w:after="0"/>
        <w:ind w:left="710" w:hanging="710"/>
        <w:jc w:val="both"/>
        <w:rPr>
          <w:b/>
          <w:bCs/>
          <w:sz w:val="20"/>
          <w:szCs w:val="20"/>
        </w:rPr>
      </w:pPr>
      <w:r w:rsidRPr="00604C75">
        <w:rPr>
          <w:b/>
          <w:noProof/>
          <w:sz w:val="20"/>
          <w:szCs w:val="20"/>
          <w:lang w:val="tr-TR"/>
        </w:rPr>
        <w:t>V</w:t>
      </w:r>
      <w:r w:rsidR="00C931A1">
        <w:rPr>
          <w:b/>
          <w:noProof/>
          <w:sz w:val="20"/>
          <w:szCs w:val="20"/>
          <w:lang w:val="tr-TR"/>
        </w:rPr>
        <w:t>II</w:t>
      </w:r>
      <w:r w:rsidRPr="00604C75">
        <w:rPr>
          <w:b/>
          <w:noProof/>
          <w:sz w:val="20"/>
          <w:szCs w:val="20"/>
          <w:lang w:val="tr-TR"/>
        </w:rPr>
        <w:t xml:space="preserve">.     </w:t>
      </w:r>
      <w:r w:rsidR="00647320" w:rsidRPr="00604C75">
        <w:rPr>
          <w:b/>
          <w:noProof/>
          <w:sz w:val="20"/>
          <w:szCs w:val="20"/>
          <w:lang w:val="tr-TR"/>
        </w:rPr>
        <w:t xml:space="preserve">Explanations and Notes </w:t>
      </w:r>
      <w:r w:rsidR="00647320">
        <w:rPr>
          <w:b/>
          <w:noProof/>
          <w:sz w:val="20"/>
          <w:szCs w:val="20"/>
          <w:lang w:val="tr-TR"/>
        </w:rPr>
        <w:t>on</w:t>
      </w:r>
      <w:r w:rsidR="00647320" w:rsidRPr="00604C75">
        <w:rPr>
          <w:b/>
          <w:noProof/>
          <w:sz w:val="20"/>
          <w:szCs w:val="20"/>
          <w:lang w:val="tr-TR"/>
        </w:rPr>
        <w:t xml:space="preserve"> the Parent Bank’s Risk Group</w:t>
      </w:r>
      <w:r w:rsidR="00647320" w:rsidRPr="00604C75">
        <w:rPr>
          <w:b/>
          <w:bCs/>
          <w:sz w:val="20"/>
          <w:szCs w:val="20"/>
        </w:rPr>
        <w:t xml:space="preserve"> </w:t>
      </w:r>
      <w:r w:rsidRPr="00604C75">
        <w:rPr>
          <w:b/>
          <w:bCs/>
          <w:sz w:val="20"/>
          <w:szCs w:val="20"/>
        </w:rPr>
        <w:t>(Continued)</w:t>
      </w:r>
    </w:p>
    <w:p w14:paraId="16178FAA" w14:textId="77777777" w:rsidR="00536302" w:rsidRPr="00604C75" w:rsidRDefault="00106597" w:rsidP="008477F3">
      <w:pPr>
        <w:pStyle w:val="BodyText3"/>
        <w:numPr>
          <w:ilvl w:val="0"/>
          <w:numId w:val="61"/>
        </w:numPr>
        <w:spacing w:before="120"/>
        <w:ind w:right="-11" w:hanging="1440"/>
        <w:jc w:val="both"/>
        <w:rPr>
          <w:b/>
          <w:bCs w:val="0"/>
          <w:i w:val="0"/>
          <w:iCs w:val="0"/>
          <w:sz w:val="20"/>
        </w:rPr>
      </w:pPr>
      <w:r>
        <w:rPr>
          <w:b/>
          <w:i w:val="0"/>
          <w:sz w:val="20"/>
        </w:rPr>
        <w:t xml:space="preserve"> </w:t>
      </w:r>
      <w:r w:rsidR="00536302" w:rsidRPr="00604C75">
        <w:rPr>
          <w:b/>
          <w:i w:val="0"/>
          <w:sz w:val="20"/>
        </w:rPr>
        <w:t>With respect to the Parent Bank’s risk group</w:t>
      </w:r>
      <w:r w:rsidR="007A4A70">
        <w:rPr>
          <w:b/>
          <w:i w:val="0"/>
          <w:sz w:val="20"/>
        </w:rPr>
        <w:t xml:space="preserve"> </w:t>
      </w:r>
      <w:r w:rsidR="007A4A70" w:rsidRPr="00576E0A">
        <w:rPr>
          <w:b/>
          <w:i w:val="0"/>
          <w:sz w:val="20"/>
        </w:rPr>
        <w:t>(Continued)</w:t>
      </w:r>
    </w:p>
    <w:p w14:paraId="122A1EA9" w14:textId="77777777" w:rsidR="0044575F" w:rsidRPr="00CD0767" w:rsidRDefault="0044575F" w:rsidP="008477F3">
      <w:pPr>
        <w:numPr>
          <w:ilvl w:val="0"/>
          <w:numId w:val="29"/>
        </w:numPr>
        <w:tabs>
          <w:tab w:val="clear" w:pos="1440"/>
          <w:tab w:val="left" w:pos="426"/>
        </w:tabs>
        <w:autoSpaceDE w:val="0"/>
        <w:autoSpaceDN w:val="0"/>
        <w:adjustRightInd w:val="0"/>
        <w:spacing w:before="120"/>
        <w:ind w:left="0" w:firstLine="0"/>
        <w:jc w:val="both"/>
        <w:rPr>
          <w:noProof/>
          <w:color w:val="000000" w:themeColor="text1"/>
          <w:sz w:val="20"/>
          <w:szCs w:val="20"/>
        </w:rPr>
      </w:pPr>
      <w:r w:rsidRPr="00CD0767">
        <w:rPr>
          <w:noProof/>
          <w:sz w:val="20"/>
          <w:szCs w:val="20"/>
        </w:rPr>
        <w:t xml:space="preserve">Information on transactions such as purchase-sale of immovable and other assets, purchase-sale of service, agent agreements, financial lease agreements, transfer of the information gained as a result of research and development, license agreements, financing (including loans and cash or in kind capital), guarantees, </w:t>
      </w:r>
      <w:r w:rsidRPr="00CD0767">
        <w:rPr>
          <w:noProof/>
          <w:color w:val="000000" w:themeColor="text1"/>
          <w:sz w:val="20"/>
          <w:szCs w:val="20"/>
        </w:rPr>
        <w:t>collaterals and management contracts:</w:t>
      </w:r>
    </w:p>
    <w:p w14:paraId="5A3C7721" w14:textId="59F483AA" w:rsidR="0044575F" w:rsidRPr="00CD0767" w:rsidRDefault="00BF33A0" w:rsidP="00490153">
      <w:pPr>
        <w:pStyle w:val="BodyText"/>
        <w:spacing w:before="120"/>
        <w:rPr>
          <w:color w:val="000000" w:themeColor="text1"/>
          <w:sz w:val="20"/>
        </w:rPr>
      </w:pPr>
      <w:r w:rsidRPr="00CD0767">
        <w:rPr>
          <w:color w:val="000000" w:themeColor="text1"/>
          <w:sz w:val="20"/>
        </w:rPr>
        <w:t>As of 3</w:t>
      </w:r>
      <w:r w:rsidR="00C931A1" w:rsidRPr="00CD0767">
        <w:rPr>
          <w:color w:val="000000" w:themeColor="text1"/>
          <w:sz w:val="20"/>
        </w:rPr>
        <w:t>1</w:t>
      </w:r>
      <w:r w:rsidRPr="00CD0767">
        <w:rPr>
          <w:color w:val="000000" w:themeColor="text1"/>
          <w:sz w:val="20"/>
        </w:rPr>
        <w:t xml:space="preserve"> </w:t>
      </w:r>
      <w:r w:rsidR="00C931A1" w:rsidRPr="00CD0767">
        <w:rPr>
          <w:color w:val="000000" w:themeColor="text1"/>
          <w:sz w:val="20"/>
        </w:rPr>
        <w:t xml:space="preserve">December </w:t>
      </w:r>
      <w:r w:rsidRPr="00CD0767">
        <w:rPr>
          <w:color w:val="000000" w:themeColor="text1"/>
          <w:sz w:val="20"/>
        </w:rPr>
        <w:t>2015, there is no financial leasing agreement between the</w:t>
      </w:r>
      <w:r w:rsidR="002C3B01">
        <w:rPr>
          <w:color w:val="000000" w:themeColor="text1"/>
          <w:sz w:val="20"/>
        </w:rPr>
        <w:t xml:space="preserve"> Parent</w:t>
      </w:r>
      <w:r w:rsidRPr="00CD0767">
        <w:rPr>
          <w:color w:val="000000" w:themeColor="text1"/>
          <w:sz w:val="20"/>
        </w:rPr>
        <w:t xml:space="preserve"> Bank and </w:t>
      </w:r>
      <w:proofErr w:type="spellStart"/>
      <w:r w:rsidRPr="00CD0767">
        <w:rPr>
          <w:color w:val="000000" w:themeColor="text1"/>
          <w:sz w:val="20"/>
        </w:rPr>
        <w:t>Alternatif</w:t>
      </w:r>
      <w:proofErr w:type="spellEnd"/>
      <w:r w:rsidRPr="00CD0767">
        <w:rPr>
          <w:color w:val="000000" w:themeColor="text1"/>
          <w:sz w:val="20"/>
        </w:rPr>
        <w:t xml:space="preserve"> </w:t>
      </w:r>
      <w:proofErr w:type="spellStart"/>
      <w:r w:rsidRPr="00CD0767">
        <w:rPr>
          <w:color w:val="000000" w:themeColor="text1"/>
          <w:sz w:val="20"/>
        </w:rPr>
        <w:t>Finansal</w:t>
      </w:r>
      <w:proofErr w:type="spellEnd"/>
      <w:r w:rsidRPr="00CD0767">
        <w:rPr>
          <w:color w:val="000000" w:themeColor="text1"/>
          <w:sz w:val="20"/>
        </w:rPr>
        <w:t xml:space="preserve"> </w:t>
      </w:r>
      <w:proofErr w:type="spellStart"/>
      <w:r w:rsidRPr="00CD0767">
        <w:rPr>
          <w:color w:val="000000" w:themeColor="text1"/>
          <w:sz w:val="20"/>
        </w:rPr>
        <w:t>Kiralama</w:t>
      </w:r>
      <w:proofErr w:type="spellEnd"/>
      <w:r w:rsidRPr="00CD0767">
        <w:rPr>
          <w:color w:val="000000" w:themeColor="text1"/>
          <w:sz w:val="20"/>
        </w:rPr>
        <w:t xml:space="preserve"> A.Ş. Also the agency agreement with </w:t>
      </w:r>
      <w:proofErr w:type="spellStart"/>
      <w:r w:rsidRPr="00CD0767">
        <w:rPr>
          <w:color w:val="000000" w:themeColor="text1"/>
          <w:sz w:val="20"/>
        </w:rPr>
        <w:t>Alternatif</w:t>
      </w:r>
      <w:proofErr w:type="spellEnd"/>
      <w:r w:rsidRPr="00CD0767">
        <w:rPr>
          <w:color w:val="000000" w:themeColor="text1"/>
          <w:sz w:val="20"/>
        </w:rPr>
        <w:t xml:space="preserve"> </w:t>
      </w:r>
      <w:proofErr w:type="spellStart"/>
      <w:r w:rsidRPr="00CD0767">
        <w:rPr>
          <w:color w:val="000000" w:themeColor="text1"/>
          <w:sz w:val="20"/>
        </w:rPr>
        <w:t>Yatırım</w:t>
      </w:r>
      <w:proofErr w:type="spellEnd"/>
      <w:r w:rsidRPr="00CD0767">
        <w:rPr>
          <w:color w:val="000000" w:themeColor="text1"/>
          <w:sz w:val="20"/>
        </w:rPr>
        <w:t xml:space="preserve"> A.Ş. is cancelled </w:t>
      </w:r>
      <w:r w:rsidR="004F5600" w:rsidRPr="00CD0767">
        <w:rPr>
          <w:color w:val="000000" w:themeColor="text1"/>
          <w:sz w:val="20"/>
        </w:rPr>
        <w:t xml:space="preserve">on </w:t>
      </w:r>
      <w:r w:rsidRPr="00CD0767">
        <w:rPr>
          <w:color w:val="000000" w:themeColor="text1"/>
          <w:sz w:val="20"/>
        </w:rPr>
        <w:t xml:space="preserve">30 June 2015 with. The Bank have also cost sharing agreements with </w:t>
      </w:r>
      <w:proofErr w:type="spellStart"/>
      <w:r w:rsidRPr="00CD0767">
        <w:rPr>
          <w:color w:val="000000" w:themeColor="text1"/>
          <w:sz w:val="20"/>
        </w:rPr>
        <w:t>Alternatif</w:t>
      </w:r>
      <w:proofErr w:type="spellEnd"/>
      <w:r w:rsidRPr="00CD0767">
        <w:rPr>
          <w:color w:val="000000" w:themeColor="text1"/>
          <w:sz w:val="20"/>
        </w:rPr>
        <w:t xml:space="preserve"> </w:t>
      </w:r>
      <w:proofErr w:type="spellStart"/>
      <w:r w:rsidRPr="00CD0767">
        <w:rPr>
          <w:color w:val="000000" w:themeColor="text1"/>
          <w:sz w:val="20"/>
        </w:rPr>
        <w:t>Finansal</w:t>
      </w:r>
      <w:proofErr w:type="spellEnd"/>
      <w:r w:rsidRPr="00CD0767">
        <w:rPr>
          <w:color w:val="000000" w:themeColor="text1"/>
          <w:sz w:val="20"/>
        </w:rPr>
        <w:t xml:space="preserve"> </w:t>
      </w:r>
      <w:proofErr w:type="spellStart"/>
      <w:r w:rsidRPr="00CD0767">
        <w:rPr>
          <w:color w:val="000000" w:themeColor="text1"/>
          <w:sz w:val="20"/>
        </w:rPr>
        <w:t>Kiralama</w:t>
      </w:r>
      <w:proofErr w:type="spellEnd"/>
      <w:r w:rsidRPr="00CD0767">
        <w:rPr>
          <w:color w:val="000000" w:themeColor="text1"/>
          <w:sz w:val="20"/>
        </w:rPr>
        <w:t xml:space="preserve"> A.Ş. and </w:t>
      </w:r>
      <w:proofErr w:type="spellStart"/>
      <w:r w:rsidRPr="00CD0767">
        <w:rPr>
          <w:color w:val="000000" w:themeColor="text1"/>
          <w:sz w:val="20"/>
        </w:rPr>
        <w:t>Alterna</w:t>
      </w:r>
      <w:r w:rsidR="00CF28D5">
        <w:rPr>
          <w:color w:val="000000" w:themeColor="text1"/>
          <w:sz w:val="20"/>
        </w:rPr>
        <w:t>tif</w:t>
      </w:r>
      <w:proofErr w:type="spellEnd"/>
      <w:r w:rsidR="00CF28D5">
        <w:rPr>
          <w:color w:val="000000" w:themeColor="text1"/>
          <w:sz w:val="20"/>
        </w:rPr>
        <w:t xml:space="preserve"> </w:t>
      </w:r>
      <w:proofErr w:type="spellStart"/>
      <w:r w:rsidR="00CF28D5">
        <w:rPr>
          <w:color w:val="000000" w:themeColor="text1"/>
          <w:sz w:val="20"/>
        </w:rPr>
        <w:t>Yatırım</w:t>
      </w:r>
      <w:proofErr w:type="spellEnd"/>
      <w:r w:rsidR="00CF28D5">
        <w:rPr>
          <w:color w:val="000000" w:themeColor="text1"/>
          <w:sz w:val="20"/>
        </w:rPr>
        <w:t xml:space="preserve"> </w:t>
      </w:r>
      <w:proofErr w:type="spellStart"/>
      <w:r w:rsidR="00CF28D5">
        <w:rPr>
          <w:color w:val="000000" w:themeColor="text1"/>
          <w:sz w:val="20"/>
        </w:rPr>
        <w:t>Menkul</w:t>
      </w:r>
      <w:proofErr w:type="spellEnd"/>
      <w:r w:rsidR="00CF28D5">
        <w:rPr>
          <w:color w:val="000000" w:themeColor="text1"/>
          <w:sz w:val="20"/>
        </w:rPr>
        <w:t xml:space="preserve"> </w:t>
      </w:r>
      <w:proofErr w:type="spellStart"/>
      <w:r w:rsidR="00CF28D5">
        <w:rPr>
          <w:color w:val="000000" w:themeColor="text1"/>
          <w:sz w:val="20"/>
        </w:rPr>
        <w:t>Değerler</w:t>
      </w:r>
      <w:proofErr w:type="spellEnd"/>
      <w:r w:rsidR="00CF28D5">
        <w:rPr>
          <w:color w:val="000000" w:themeColor="text1"/>
          <w:sz w:val="20"/>
        </w:rPr>
        <w:t xml:space="preserve"> A.Ş</w:t>
      </w:r>
      <w:r w:rsidR="00BA7C84" w:rsidRPr="00CD0767">
        <w:rPr>
          <w:color w:val="000000" w:themeColor="text1"/>
          <w:sz w:val="20"/>
        </w:rPr>
        <w:t>.</w:t>
      </w:r>
    </w:p>
    <w:p w14:paraId="5F249621" w14:textId="4CA963D1" w:rsidR="003E5AC5" w:rsidRPr="00CD0767" w:rsidRDefault="003E5AC5" w:rsidP="00490153">
      <w:pPr>
        <w:pStyle w:val="BodyText"/>
        <w:tabs>
          <w:tab w:val="left" w:pos="2268"/>
        </w:tabs>
        <w:spacing w:before="120"/>
        <w:rPr>
          <w:color w:val="000000" w:themeColor="text1"/>
          <w:sz w:val="20"/>
        </w:rPr>
      </w:pPr>
      <w:r w:rsidRPr="00CD0767">
        <w:rPr>
          <w:color w:val="000000" w:themeColor="text1"/>
          <w:sz w:val="20"/>
        </w:rPr>
        <w:t xml:space="preserve">The bank allocate cash and non-cash loans to risk group of the Bank in limit of Bank Law and that amount is </w:t>
      </w:r>
      <w:r w:rsidRPr="00CD0767">
        <w:rPr>
          <w:color w:val="auto"/>
          <w:sz w:val="20"/>
        </w:rPr>
        <w:t xml:space="preserve">2.33 </w:t>
      </w:r>
      <w:r w:rsidRPr="00CD0767">
        <w:rPr>
          <w:color w:val="000000" w:themeColor="text1"/>
          <w:sz w:val="20"/>
        </w:rPr>
        <w:t>% of total cash and non-cash loan amount (31 December 2014: 2.27%).</w:t>
      </w:r>
    </w:p>
    <w:p w14:paraId="370EC6BD" w14:textId="19672192" w:rsidR="003E5AC5" w:rsidRPr="00CD0767" w:rsidRDefault="003E5AC5" w:rsidP="00490153">
      <w:pPr>
        <w:pStyle w:val="BodyText"/>
        <w:tabs>
          <w:tab w:val="left" w:pos="2268"/>
        </w:tabs>
        <w:spacing w:before="120"/>
        <w:rPr>
          <w:rFonts w:cstheme="minorHAnsi"/>
          <w:color w:val="000000" w:themeColor="text1"/>
          <w:sz w:val="20"/>
        </w:rPr>
      </w:pPr>
      <w:r w:rsidRPr="00CD0767">
        <w:rPr>
          <w:color w:val="000000" w:themeColor="text1"/>
          <w:sz w:val="20"/>
        </w:rPr>
        <w:t xml:space="preserve">As of 31 December 2015 the Group have rent agreement with the risk group. The Bank have paid the rent expense amounted to TL </w:t>
      </w:r>
      <w:r w:rsidRPr="00CD0767">
        <w:rPr>
          <w:color w:val="auto"/>
          <w:sz w:val="20"/>
        </w:rPr>
        <w:t xml:space="preserve">4,598 </w:t>
      </w:r>
      <w:r w:rsidRPr="00CD0767">
        <w:rPr>
          <w:color w:val="000000" w:themeColor="text1"/>
          <w:sz w:val="20"/>
        </w:rPr>
        <w:t xml:space="preserve">to </w:t>
      </w:r>
      <w:proofErr w:type="spellStart"/>
      <w:r w:rsidRPr="00CD0767">
        <w:rPr>
          <w:color w:val="000000" w:themeColor="text1"/>
          <w:sz w:val="20"/>
        </w:rPr>
        <w:t>Anadolu</w:t>
      </w:r>
      <w:proofErr w:type="spellEnd"/>
      <w:r w:rsidRPr="00CD0767">
        <w:rPr>
          <w:color w:val="000000" w:themeColor="text1"/>
          <w:sz w:val="20"/>
        </w:rPr>
        <w:t xml:space="preserve"> </w:t>
      </w:r>
      <w:proofErr w:type="spellStart"/>
      <w:r w:rsidRPr="00CD0767">
        <w:rPr>
          <w:color w:val="000000" w:themeColor="text1"/>
          <w:sz w:val="20"/>
        </w:rPr>
        <w:t>Endüstri</w:t>
      </w:r>
      <w:proofErr w:type="spellEnd"/>
      <w:r w:rsidRPr="00CD0767">
        <w:rPr>
          <w:color w:val="000000" w:themeColor="text1"/>
          <w:sz w:val="20"/>
        </w:rPr>
        <w:t xml:space="preserve"> Holding and it have been recognized in the profit and loss accounts in the year ended 31 December 2015</w:t>
      </w:r>
      <w:r w:rsidRPr="00CD0767">
        <w:rPr>
          <w:rFonts w:cstheme="minorHAnsi"/>
          <w:color w:val="000000" w:themeColor="text1"/>
          <w:sz w:val="20"/>
        </w:rPr>
        <w:t xml:space="preserve">. </w:t>
      </w:r>
      <w:r w:rsidR="00070CCA">
        <w:rPr>
          <w:rFonts w:cstheme="minorHAnsi"/>
          <w:color w:val="000000" w:themeColor="text1"/>
          <w:sz w:val="20"/>
        </w:rPr>
        <w:t xml:space="preserve">Besides, rent expense amounted TL 377 was </w:t>
      </w:r>
      <w:proofErr w:type="spellStart"/>
      <w:r w:rsidR="00070CCA">
        <w:rPr>
          <w:rFonts w:cstheme="minorHAnsi"/>
          <w:color w:val="000000" w:themeColor="text1"/>
          <w:sz w:val="20"/>
        </w:rPr>
        <w:t>payed</w:t>
      </w:r>
      <w:proofErr w:type="spellEnd"/>
      <w:r w:rsidR="00070CCA">
        <w:rPr>
          <w:rFonts w:cstheme="minorHAnsi"/>
          <w:color w:val="000000" w:themeColor="text1"/>
          <w:sz w:val="20"/>
        </w:rPr>
        <w:t xml:space="preserve"> to other risk groups.</w:t>
      </w:r>
    </w:p>
    <w:p w14:paraId="70030D96" w14:textId="77777777" w:rsidR="00C02BFC" w:rsidRPr="00FE3EBF" w:rsidRDefault="007520AA" w:rsidP="00490153">
      <w:pPr>
        <w:pStyle w:val="BodyText"/>
        <w:tabs>
          <w:tab w:val="left" w:pos="2268"/>
        </w:tabs>
        <w:spacing w:before="120"/>
        <w:rPr>
          <w:rFonts w:cstheme="minorHAnsi"/>
          <w:color w:val="000000" w:themeColor="text1"/>
          <w:sz w:val="20"/>
        </w:rPr>
      </w:pPr>
      <w:r w:rsidRPr="00CD0767">
        <w:rPr>
          <w:rStyle w:val="hps"/>
          <w:rFonts w:cstheme="minorHAnsi"/>
          <w:color w:val="000000" w:themeColor="text1"/>
          <w:sz w:val="20"/>
        </w:rPr>
        <w:t>C</w:t>
      </w:r>
      <w:r w:rsidR="00C02BFC" w:rsidRPr="00CD0767">
        <w:rPr>
          <w:rStyle w:val="hps"/>
          <w:rFonts w:cstheme="minorHAnsi"/>
          <w:color w:val="000000" w:themeColor="text1"/>
          <w:sz w:val="20"/>
        </w:rPr>
        <w:t>ost of the se</w:t>
      </w:r>
      <w:r w:rsidR="000E4787" w:rsidRPr="00CD0767">
        <w:rPr>
          <w:rStyle w:val="hps"/>
          <w:rFonts w:cstheme="minorHAnsi"/>
          <w:color w:val="000000" w:themeColor="text1"/>
          <w:sz w:val="20"/>
        </w:rPr>
        <w:t>r</w:t>
      </w:r>
      <w:r w:rsidR="00C02BFC" w:rsidRPr="00CD0767">
        <w:rPr>
          <w:rStyle w:val="hps"/>
          <w:rFonts w:cstheme="minorHAnsi"/>
          <w:color w:val="000000" w:themeColor="text1"/>
          <w:sz w:val="20"/>
        </w:rPr>
        <w:t>vices received from Holding</w:t>
      </w:r>
      <w:r w:rsidR="00C02BFC" w:rsidRPr="00CD0767">
        <w:rPr>
          <w:rFonts w:cstheme="minorHAnsi"/>
          <w:color w:val="000000" w:themeColor="text1"/>
          <w:sz w:val="20"/>
        </w:rPr>
        <w:t xml:space="preserve"> </w:t>
      </w:r>
      <w:r w:rsidR="00C02BFC" w:rsidRPr="00CD0767">
        <w:rPr>
          <w:rStyle w:val="hps"/>
          <w:rFonts w:cstheme="minorHAnsi"/>
          <w:color w:val="000000" w:themeColor="text1"/>
          <w:sz w:val="20"/>
        </w:rPr>
        <w:t>are shared</w:t>
      </w:r>
      <w:r w:rsidR="00C02BFC" w:rsidRPr="00CD0767">
        <w:rPr>
          <w:rFonts w:cstheme="minorHAnsi"/>
          <w:color w:val="000000" w:themeColor="text1"/>
          <w:sz w:val="20"/>
        </w:rPr>
        <w:t xml:space="preserve"> </w:t>
      </w:r>
      <w:r w:rsidR="00C02BFC" w:rsidRPr="00CD0767">
        <w:rPr>
          <w:rStyle w:val="hps"/>
          <w:rFonts w:cstheme="minorHAnsi"/>
          <w:color w:val="000000" w:themeColor="text1"/>
          <w:sz w:val="20"/>
        </w:rPr>
        <w:t>according to</w:t>
      </w:r>
      <w:r w:rsidR="00C02BFC" w:rsidRPr="00CD0767">
        <w:rPr>
          <w:rFonts w:cstheme="minorHAnsi"/>
          <w:color w:val="000000" w:themeColor="text1"/>
          <w:sz w:val="20"/>
        </w:rPr>
        <w:t xml:space="preserve"> </w:t>
      </w:r>
      <w:r w:rsidR="00C02BFC" w:rsidRPr="00CD0767">
        <w:rPr>
          <w:rStyle w:val="hps"/>
          <w:rFonts w:cstheme="minorHAnsi"/>
          <w:color w:val="000000" w:themeColor="text1"/>
          <w:sz w:val="20"/>
        </w:rPr>
        <w:t>pre-determined key</w:t>
      </w:r>
      <w:r w:rsidR="00C02BFC" w:rsidRPr="00CD0767">
        <w:rPr>
          <w:rFonts w:cstheme="minorHAnsi"/>
          <w:color w:val="000000" w:themeColor="text1"/>
          <w:sz w:val="20"/>
        </w:rPr>
        <w:t>.</w:t>
      </w:r>
    </w:p>
    <w:p w14:paraId="402D2A8E" w14:textId="77777777" w:rsidR="0044575F" w:rsidRPr="00FE3EBF" w:rsidRDefault="0044575F" w:rsidP="00490153">
      <w:pPr>
        <w:pStyle w:val="BodyTextIndent"/>
        <w:tabs>
          <w:tab w:val="left" w:pos="0"/>
          <w:tab w:val="left" w:pos="426"/>
        </w:tabs>
        <w:spacing w:before="120" w:after="0"/>
        <w:ind w:left="0"/>
        <w:rPr>
          <w:color w:val="000000" w:themeColor="text1"/>
          <w:sz w:val="20"/>
          <w:szCs w:val="20"/>
        </w:rPr>
      </w:pPr>
      <w:r w:rsidRPr="00FE3EBF">
        <w:rPr>
          <w:b/>
          <w:color w:val="000000" w:themeColor="text1"/>
          <w:sz w:val="20"/>
          <w:szCs w:val="20"/>
        </w:rPr>
        <w:t>c.</w:t>
      </w:r>
      <w:r w:rsidRPr="00FE3EBF">
        <w:rPr>
          <w:b/>
          <w:color w:val="000000" w:themeColor="text1"/>
          <w:sz w:val="20"/>
          <w:szCs w:val="20"/>
        </w:rPr>
        <w:tab/>
        <w:t xml:space="preserve">Information regarding benefits provided to the </w:t>
      </w:r>
      <w:r w:rsidR="00B90C91" w:rsidRPr="00FE3EBF">
        <w:rPr>
          <w:b/>
          <w:color w:val="000000" w:themeColor="text1"/>
          <w:sz w:val="20"/>
          <w:szCs w:val="20"/>
        </w:rPr>
        <w:t>Group’s</w:t>
      </w:r>
      <w:r w:rsidRPr="00FE3EBF">
        <w:rPr>
          <w:b/>
          <w:color w:val="000000" w:themeColor="text1"/>
          <w:sz w:val="20"/>
          <w:szCs w:val="20"/>
        </w:rPr>
        <w:t xml:space="preserve"> key management</w:t>
      </w:r>
    </w:p>
    <w:p w14:paraId="1FC65531" w14:textId="77777777" w:rsidR="003E5AC5" w:rsidRPr="00604C75" w:rsidRDefault="003E5AC5" w:rsidP="00490153">
      <w:pPr>
        <w:pStyle w:val="BodyText"/>
        <w:tabs>
          <w:tab w:val="left" w:pos="2268"/>
        </w:tabs>
        <w:spacing w:before="120" w:after="120"/>
        <w:rPr>
          <w:color w:val="000000" w:themeColor="text1"/>
          <w:sz w:val="20"/>
        </w:rPr>
      </w:pPr>
      <w:r w:rsidRPr="00FE3EBF">
        <w:rPr>
          <w:color w:val="000000" w:themeColor="text1"/>
          <w:sz w:val="20"/>
        </w:rPr>
        <w:t xml:space="preserve">Benefits provided to the Group’s key management amount to TL </w:t>
      </w:r>
      <w:r w:rsidRPr="00F33405">
        <w:rPr>
          <w:color w:val="auto"/>
          <w:sz w:val="20"/>
        </w:rPr>
        <w:t xml:space="preserve">21,586 </w:t>
      </w:r>
      <w:r w:rsidRPr="00FE3EBF">
        <w:rPr>
          <w:color w:val="000000" w:themeColor="text1"/>
          <w:sz w:val="20"/>
        </w:rPr>
        <w:t>as of 3</w:t>
      </w:r>
      <w:r>
        <w:rPr>
          <w:color w:val="000000" w:themeColor="text1"/>
          <w:sz w:val="20"/>
        </w:rPr>
        <w:t>1</w:t>
      </w:r>
      <w:r w:rsidRPr="00FE3EBF">
        <w:rPr>
          <w:color w:val="000000" w:themeColor="text1"/>
          <w:sz w:val="20"/>
        </w:rPr>
        <w:t xml:space="preserve"> </w:t>
      </w:r>
      <w:r>
        <w:rPr>
          <w:color w:val="000000" w:themeColor="text1"/>
          <w:sz w:val="20"/>
        </w:rPr>
        <w:t>December</w:t>
      </w:r>
      <w:r w:rsidRPr="00FE3EBF">
        <w:rPr>
          <w:color w:val="000000" w:themeColor="text1"/>
          <w:sz w:val="20"/>
        </w:rPr>
        <w:t xml:space="preserve"> 2015 (3</w:t>
      </w:r>
      <w:r>
        <w:rPr>
          <w:color w:val="000000" w:themeColor="text1"/>
          <w:sz w:val="20"/>
        </w:rPr>
        <w:t>1</w:t>
      </w:r>
      <w:r w:rsidRPr="00FE3EBF">
        <w:rPr>
          <w:color w:val="000000" w:themeColor="text1"/>
          <w:sz w:val="20"/>
        </w:rPr>
        <w:t xml:space="preserve"> </w:t>
      </w:r>
      <w:r>
        <w:rPr>
          <w:color w:val="000000" w:themeColor="text1"/>
          <w:sz w:val="20"/>
        </w:rPr>
        <w:t>December</w:t>
      </w:r>
      <w:r w:rsidRPr="00FE3EBF">
        <w:rPr>
          <w:color w:val="000000" w:themeColor="text1"/>
          <w:sz w:val="20"/>
        </w:rPr>
        <w:t xml:space="preserve"> 2014: TL </w:t>
      </w:r>
      <w:r>
        <w:rPr>
          <w:color w:val="000000" w:themeColor="text1"/>
          <w:sz w:val="20"/>
        </w:rPr>
        <w:t>15,492</w:t>
      </w:r>
      <w:r w:rsidRPr="00FE3EBF">
        <w:rPr>
          <w:color w:val="000000" w:themeColor="text1"/>
          <w:sz w:val="20"/>
        </w:rPr>
        <w:t>).</w:t>
      </w:r>
    </w:p>
    <w:p w14:paraId="16BEF6D8" w14:textId="5BE36A6B" w:rsidR="00C931A1" w:rsidRPr="00507FD7" w:rsidRDefault="00106597" w:rsidP="00490153">
      <w:pPr>
        <w:pStyle w:val="BodyTextIndent"/>
        <w:tabs>
          <w:tab w:val="left" w:pos="2268"/>
        </w:tabs>
        <w:spacing w:before="120" w:after="0"/>
        <w:ind w:left="710" w:hanging="710"/>
        <w:jc w:val="both"/>
        <w:rPr>
          <w:b/>
          <w:noProof/>
          <w:sz w:val="20"/>
          <w:szCs w:val="20"/>
          <w:lang w:val="tr-TR"/>
        </w:rPr>
      </w:pPr>
      <w:r>
        <w:rPr>
          <w:b/>
          <w:noProof/>
          <w:sz w:val="20"/>
          <w:szCs w:val="20"/>
          <w:lang w:val="tr-TR"/>
        </w:rPr>
        <w:t xml:space="preserve">VIII.    </w:t>
      </w:r>
      <w:r w:rsidRPr="00507FD7">
        <w:rPr>
          <w:b/>
          <w:noProof/>
          <w:sz w:val="20"/>
          <w:szCs w:val="20"/>
          <w:lang w:val="tr-TR"/>
        </w:rPr>
        <w:t xml:space="preserve">Explanations </w:t>
      </w:r>
      <w:r w:rsidR="004B6E5C">
        <w:rPr>
          <w:b/>
          <w:noProof/>
          <w:sz w:val="20"/>
          <w:szCs w:val="20"/>
          <w:lang w:val="tr-TR"/>
        </w:rPr>
        <w:t xml:space="preserve">and notes on </w:t>
      </w:r>
      <w:r w:rsidRPr="00507FD7">
        <w:rPr>
          <w:b/>
          <w:noProof/>
          <w:sz w:val="20"/>
          <w:szCs w:val="20"/>
          <w:lang w:val="tr-TR"/>
        </w:rPr>
        <w:t>t</w:t>
      </w:r>
      <w:r w:rsidR="004B6E5C">
        <w:rPr>
          <w:b/>
          <w:noProof/>
          <w:sz w:val="20"/>
          <w:szCs w:val="20"/>
          <w:lang w:val="tr-TR"/>
        </w:rPr>
        <w:t>he</w:t>
      </w:r>
      <w:r w:rsidRPr="00507FD7">
        <w:rPr>
          <w:b/>
          <w:noProof/>
          <w:sz w:val="20"/>
          <w:szCs w:val="20"/>
          <w:lang w:val="tr-TR"/>
        </w:rPr>
        <w:t xml:space="preserve"> domestic,foreign,off-shore branches and foreign represantatives of the bank </w:t>
      </w:r>
    </w:p>
    <w:p w14:paraId="0EEDCE35" w14:textId="77777777" w:rsidR="00C931A1" w:rsidRPr="00C64932" w:rsidRDefault="00C931A1" w:rsidP="008477F3">
      <w:pPr>
        <w:numPr>
          <w:ilvl w:val="1"/>
          <w:numId w:val="30"/>
        </w:numPr>
        <w:tabs>
          <w:tab w:val="clear" w:pos="2520"/>
          <w:tab w:val="left" w:pos="0"/>
        </w:tabs>
        <w:spacing w:before="120"/>
        <w:ind w:left="0" w:firstLine="0"/>
        <w:jc w:val="both"/>
        <w:rPr>
          <w:b/>
        </w:rPr>
      </w:pPr>
      <w:r w:rsidRPr="00C64932">
        <w:rPr>
          <w:b/>
          <w:bCs/>
          <w:sz w:val="20"/>
          <w:szCs w:val="20"/>
        </w:rPr>
        <w:t>Information on</w:t>
      </w:r>
      <w:r w:rsidRPr="00C64932">
        <w:rPr>
          <w:b/>
          <w:sz w:val="20"/>
          <w:szCs w:val="20"/>
        </w:rPr>
        <w:t xml:space="preserve"> domestic, foreign branches and foreign representatives</w:t>
      </w:r>
      <w:r w:rsidRPr="00C64932">
        <w:rPr>
          <w:b/>
        </w:rPr>
        <w:t xml:space="preserve">: </w:t>
      </w:r>
    </w:p>
    <w:p w14:paraId="540C7D93" w14:textId="77777777" w:rsidR="00C931A1" w:rsidRPr="00C62281" w:rsidRDefault="00C931A1" w:rsidP="00C931A1">
      <w:pPr>
        <w:jc w:val="both"/>
        <w:rPr>
          <w:sz w:val="16"/>
          <w:szCs w:val="16"/>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1790"/>
        <w:gridCol w:w="1188"/>
        <w:gridCol w:w="1377"/>
        <w:gridCol w:w="1485"/>
        <w:gridCol w:w="1531"/>
        <w:gridCol w:w="1843"/>
      </w:tblGrid>
      <w:tr w:rsidR="00C931A1" w:rsidRPr="00C62281" w14:paraId="7CA89641" w14:textId="77777777" w:rsidTr="00507FD7">
        <w:trPr>
          <w:gridAfter w:val="3"/>
          <w:wAfter w:w="4859" w:type="dxa"/>
          <w:trHeight w:val="284"/>
        </w:trPr>
        <w:tc>
          <w:tcPr>
            <w:tcW w:w="1790" w:type="dxa"/>
            <w:vAlign w:val="bottom"/>
          </w:tcPr>
          <w:p w14:paraId="7E3A64B0" w14:textId="77777777" w:rsidR="00C931A1" w:rsidRPr="00C62281" w:rsidRDefault="00C931A1" w:rsidP="003F14A8">
            <w:pPr>
              <w:pStyle w:val="xl79"/>
              <w:pBdr>
                <w:left w:val="none" w:sz="0" w:space="0" w:color="auto"/>
                <w:bottom w:val="none" w:sz="0" w:space="0" w:color="auto"/>
                <w:right w:val="none" w:sz="0" w:space="0" w:color="auto"/>
              </w:pBdr>
              <w:spacing w:before="0" w:beforeAutospacing="0" w:after="0" w:afterAutospacing="0"/>
              <w:rPr>
                <w:rFonts w:eastAsia="Times New Roman"/>
                <w:szCs w:val="24"/>
              </w:rPr>
            </w:pPr>
          </w:p>
        </w:tc>
        <w:tc>
          <w:tcPr>
            <w:tcW w:w="1188" w:type="dxa"/>
            <w:vAlign w:val="center"/>
          </w:tcPr>
          <w:p w14:paraId="2135B08C" w14:textId="77777777" w:rsidR="00C931A1" w:rsidRPr="00C62281" w:rsidRDefault="00C931A1" w:rsidP="003F14A8">
            <w:pPr>
              <w:jc w:val="right"/>
              <w:rPr>
                <w:b/>
                <w:sz w:val="18"/>
              </w:rPr>
            </w:pPr>
            <w:r w:rsidRPr="00C62281">
              <w:rPr>
                <w:b/>
                <w:sz w:val="18"/>
              </w:rPr>
              <w:t>Number</w:t>
            </w:r>
          </w:p>
        </w:tc>
        <w:tc>
          <w:tcPr>
            <w:tcW w:w="1377" w:type="dxa"/>
            <w:vAlign w:val="center"/>
          </w:tcPr>
          <w:p w14:paraId="23C2A109" w14:textId="77777777" w:rsidR="00C931A1" w:rsidRPr="00C62281" w:rsidRDefault="00C931A1" w:rsidP="003F14A8">
            <w:pPr>
              <w:jc w:val="right"/>
              <w:rPr>
                <w:b/>
                <w:sz w:val="18"/>
              </w:rPr>
            </w:pPr>
            <w:r>
              <w:rPr>
                <w:b/>
                <w:sz w:val="18"/>
              </w:rPr>
              <w:t>Number of Employees</w:t>
            </w:r>
          </w:p>
        </w:tc>
      </w:tr>
      <w:tr w:rsidR="003E5AC5" w:rsidRPr="00C62281" w14:paraId="75EB8524" w14:textId="77777777" w:rsidTr="00507FD7">
        <w:trPr>
          <w:gridAfter w:val="3"/>
          <w:wAfter w:w="4859" w:type="dxa"/>
          <w:trHeight w:val="284"/>
        </w:trPr>
        <w:tc>
          <w:tcPr>
            <w:tcW w:w="1790" w:type="dxa"/>
            <w:vAlign w:val="bottom"/>
          </w:tcPr>
          <w:p w14:paraId="6A994075" w14:textId="77777777" w:rsidR="003E5AC5" w:rsidRPr="00C62281" w:rsidRDefault="003E5AC5" w:rsidP="003E5AC5">
            <w:pPr>
              <w:ind w:left="-108"/>
              <w:jc w:val="both"/>
              <w:rPr>
                <w:snapToGrid w:val="0"/>
                <w:sz w:val="18"/>
              </w:rPr>
            </w:pPr>
            <w:r w:rsidRPr="00C62281">
              <w:rPr>
                <w:snapToGrid w:val="0"/>
                <w:sz w:val="18"/>
              </w:rPr>
              <w:t>Domestic Branch</w:t>
            </w:r>
          </w:p>
        </w:tc>
        <w:tc>
          <w:tcPr>
            <w:tcW w:w="1188" w:type="dxa"/>
            <w:vAlign w:val="bottom"/>
          </w:tcPr>
          <w:p w14:paraId="144ACAA8" w14:textId="77777777" w:rsidR="003E5AC5" w:rsidRPr="00A36623" w:rsidRDefault="003E5AC5" w:rsidP="003E5AC5">
            <w:pPr>
              <w:ind w:right="-71"/>
              <w:jc w:val="right"/>
              <w:rPr>
                <w:sz w:val="18"/>
              </w:rPr>
            </w:pPr>
            <w:r>
              <w:rPr>
                <w:sz w:val="18"/>
              </w:rPr>
              <w:t>59</w:t>
            </w:r>
          </w:p>
        </w:tc>
        <w:tc>
          <w:tcPr>
            <w:tcW w:w="1377" w:type="dxa"/>
            <w:vAlign w:val="bottom"/>
          </w:tcPr>
          <w:p w14:paraId="144D5611" w14:textId="77777777" w:rsidR="003E5AC5" w:rsidRPr="00A36623" w:rsidRDefault="003E5AC5" w:rsidP="003E5AC5">
            <w:pPr>
              <w:ind w:right="-71"/>
              <w:jc w:val="right"/>
              <w:rPr>
                <w:sz w:val="18"/>
              </w:rPr>
            </w:pPr>
            <w:r>
              <w:rPr>
                <w:sz w:val="18"/>
              </w:rPr>
              <w:t>1,038</w:t>
            </w:r>
          </w:p>
        </w:tc>
      </w:tr>
      <w:tr w:rsidR="00C931A1" w:rsidRPr="00C62281" w14:paraId="15B2AFAA" w14:textId="77777777" w:rsidTr="00507FD7">
        <w:trPr>
          <w:gridAfter w:val="2"/>
          <w:wAfter w:w="3374" w:type="dxa"/>
          <w:trHeight w:val="284"/>
        </w:trPr>
        <w:tc>
          <w:tcPr>
            <w:tcW w:w="1790" w:type="dxa"/>
            <w:vAlign w:val="bottom"/>
          </w:tcPr>
          <w:p w14:paraId="675FB468" w14:textId="77777777" w:rsidR="00C931A1" w:rsidRPr="00C62281" w:rsidRDefault="00C931A1" w:rsidP="003F14A8">
            <w:pPr>
              <w:ind w:left="-108"/>
              <w:jc w:val="both"/>
              <w:rPr>
                <w:sz w:val="18"/>
              </w:rPr>
            </w:pPr>
          </w:p>
        </w:tc>
        <w:tc>
          <w:tcPr>
            <w:tcW w:w="1188" w:type="dxa"/>
            <w:vAlign w:val="bottom"/>
          </w:tcPr>
          <w:p w14:paraId="5D98DD36" w14:textId="77777777" w:rsidR="00C931A1" w:rsidRPr="00C62281" w:rsidRDefault="00C931A1" w:rsidP="003F14A8">
            <w:pPr>
              <w:ind w:right="-45"/>
              <w:jc w:val="right"/>
              <w:rPr>
                <w:sz w:val="18"/>
              </w:rPr>
            </w:pPr>
          </w:p>
        </w:tc>
        <w:tc>
          <w:tcPr>
            <w:tcW w:w="1377" w:type="dxa"/>
            <w:vAlign w:val="bottom"/>
          </w:tcPr>
          <w:p w14:paraId="4C6B3BE1" w14:textId="77777777" w:rsidR="00C931A1" w:rsidRPr="00C62281" w:rsidRDefault="00C931A1" w:rsidP="003F14A8">
            <w:pPr>
              <w:ind w:right="-108"/>
              <w:jc w:val="right"/>
              <w:rPr>
                <w:sz w:val="18"/>
              </w:rPr>
            </w:pPr>
          </w:p>
        </w:tc>
        <w:tc>
          <w:tcPr>
            <w:tcW w:w="1485" w:type="dxa"/>
            <w:tcBorders>
              <w:top w:val="double" w:sz="4" w:space="0" w:color="auto"/>
              <w:bottom w:val="dotted" w:sz="4" w:space="0" w:color="auto"/>
            </w:tcBorders>
            <w:vAlign w:val="bottom"/>
          </w:tcPr>
          <w:p w14:paraId="48E509B8" w14:textId="77777777" w:rsidR="00C931A1" w:rsidRPr="00C62281" w:rsidRDefault="00C931A1" w:rsidP="003F14A8">
            <w:pPr>
              <w:jc w:val="right"/>
              <w:rPr>
                <w:b/>
                <w:sz w:val="18"/>
              </w:rPr>
            </w:pPr>
            <w:r w:rsidRPr="00C62281">
              <w:rPr>
                <w:b/>
                <w:sz w:val="18"/>
              </w:rPr>
              <w:t>Country of Incorporation</w:t>
            </w:r>
          </w:p>
        </w:tc>
      </w:tr>
      <w:tr w:rsidR="00C931A1" w:rsidRPr="00C62281" w14:paraId="42E261D7" w14:textId="77777777" w:rsidTr="00507FD7">
        <w:trPr>
          <w:gridAfter w:val="2"/>
          <w:wAfter w:w="3374" w:type="dxa"/>
          <w:trHeight w:val="284"/>
        </w:trPr>
        <w:tc>
          <w:tcPr>
            <w:tcW w:w="1790" w:type="dxa"/>
            <w:vAlign w:val="bottom"/>
          </w:tcPr>
          <w:p w14:paraId="0309BBBE" w14:textId="77777777" w:rsidR="00C931A1" w:rsidRPr="00C62281" w:rsidRDefault="00C931A1" w:rsidP="003F14A8">
            <w:pPr>
              <w:ind w:left="-108"/>
              <w:jc w:val="both"/>
              <w:rPr>
                <w:snapToGrid w:val="0"/>
                <w:sz w:val="18"/>
              </w:rPr>
            </w:pPr>
            <w:r w:rsidRPr="00C62281">
              <w:rPr>
                <w:snapToGrid w:val="0"/>
                <w:sz w:val="18"/>
              </w:rPr>
              <w:t>Foreign Representative</w:t>
            </w:r>
          </w:p>
        </w:tc>
        <w:tc>
          <w:tcPr>
            <w:tcW w:w="1188" w:type="dxa"/>
            <w:vAlign w:val="bottom"/>
          </w:tcPr>
          <w:p w14:paraId="2774173B" w14:textId="77777777" w:rsidR="00C931A1" w:rsidRPr="00C62281" w:rsidRDefault="00C931A1" w:rsidP="003F14A8">
            <w:pPr>
              <w:ind w:right="-45"/>
              <w:jc w:val="right"/>
              <w:rPr>
                <w:sz w:val="18"/>
              </w:rPr>
            </w:pPr>
            <w:r w:rsidRPr="00C62281">
              <w:rPr>
                <w:sz w:val="18"/>
              </w:rPr>
              <w:t>-</w:t>
            </w:r>
          </w:p>
        </w:tc>
        <w:tc>
          <w:tcPr>
            <w:tcW w:w="1377" w:type="dxa"/>
            <w:vAlign w:val="bottom"/>
          </w:tcPr>
          <w:p w14:paraId="2BABF68C" w14:textId="77777777" w:rsidR="00C931A1" w:rsidRPr="00C62281" w:rsidRDefault="00C931A1" w:rsidP="003F14A8">
            <w:pPr>
              <w:ind w:right="-108"/>
              <w:jc w:val="right"/>
              <w:rPr>
                <w:sz w:val="18"/>
              </w:rPr>
            </w:pPr>
            <w:r w:rsidRPr="00C62281">
              <w:rPr>
                <w:sz w:val="18"/>
              </w:rPr>
              <w:t>-</w:t>
            </w:r>
          </w:p>
        </w:tc>
        <w:tc>
          <w:tcPr>
            <w:tcW w:w="1485" w:type="dxa"/>
            <w:tcBorders>
              <w:top w:val="dotted" w:sz="4" w:space="0" w:color="auto"/>
              <w:bottom w:val="dotted" w:sz="4" w:space="0" w:color="auto"/>
            </w:tcBorders>
            <w:vAlign w:val="bottom"/>
          </w:tcPr>
          <w:p w14:paraId="7F1E279B" w14:textId="77777777" w:rsidR="00C931A1" w:rsidRPr="00C62281" w:rsidRDefault="00C931A1" w:rsidP="003F14A8">
            <w:pPr>
              <w:ind w:right="-81"/>
              <w:jc w:val="right"/>
              <w:rPr>
                <w:sz w:val="18"/>
              </w:rPr>
            </w:pPr>
            <w:r w:rsidRPr="00C62281">
              <w:rPr>
                <w:sz w:val="18"/>
              </w:rPr>
              <w:t>-</w:t>
            </w:r>
          </w:p>
        </w:tc>
      </w:tr>
      <w:tr w:rsidR="00C931A1" w:rsidRPr="00C62281" w14:paraId="7D03837A" w14:textId="77777777" w:rsidTr="00507FD7">
        <w:trPr>
          <w:trHeight w:val="284"/>
        </w:trPr>
        <w:tc>
          <w:tcPr>
            <w:tcW w:w="1790" w:type="dxa"/>
            <w:vAlign w:val="bottom"/>
          </w:tcPr>
          <w:p w14:paraId="01D04AC1" w14:textId="77777777" w:rsidR="00C931A1" w:rsidRPr="00C62281" w:rsidRDefault="00C931A1" w:rsidP="003F14A8">
            <w:pPr>
              <w:ind w:left="-108"/>
              <w:jc w:val="both"/>
              <w:rPr>
                <w:sz w:val="18"/>
              </w:rPr>
            </w:pPr>
          </w:p>
        </w:tc>
        <w:tc>
          <w:tcPr>
            <w:tcW w:w="1188" w:type="dxa"/>
            <w:vAlign w:val="bottom"/>
          </w:tcPr>
          <w:p w14:paraId="2ED072D4" w14:textId="77777777" w:rsidR="00C931A1" w:rsidRPr="00C62281" w:rsidRDefault="00C931A1" w:rsidP="003F14A8">
            <w:pPr>
              <w:ind w:right="-45"/>
              <w:jc w:val="right"/>
              <w:rPr>
                <w:sz w:val="18"/>
              </w:rPr>
            </w:pPr>
          </w:p>
        </w:tc>
        <w:tc>
          <w:tcPr>
            <w:tcW w:w="1377" w:type="dxa"/>
            <w:vAlign w:val="bottom"/>
          </w:tcPr>
          <w:p w14:paraId="0DD20903" w14:textId="77777777" w:rsidR="00C931A1" w:rsidRPr="00C62281" w:rsidRDefault="00C931A1" w:rsidP="003F14A8">
            <w:pPr>
              <w:ind w:right="-108"/>
              <w:jc w:val="right"/>
              <w:rPr>
                <w:sz w:val="18"/>
              </w:rPr>
            </w:pPr>
          </w:p>
        </w:tc>
        <w:tc>
          <w:tcPr>
            <w:tcW w:w="1485" w:type="dxa"/>
            <w:tcBorders>
              <w:top w:val="dotted" w:sz="4" w:space="0" w:color="auto"/>
            </w:tcBorders>
            <w:vAlign w:val="bottom"/>
          </w:tcPr>
          <w:p w14:paraId="4DB061F9" w14:textId="77777777" w:rsidR="00C931A1" w:rsidRPr="00C62281" w:rsidRDefault="00C931A1" w:rsidP="003F14A8">
            <w:pPr>
              <w:ind w:right="-81"/>
              <w:jc w:val="right"/>
              <w:rPr>
                <w:sz w:val="18"/>
              </w:rPr>
            </w:pPr>
          </w:p>
        </w:tc>
        <w:tc>
          <w:tcPr>
            <w:tcW w:w="1531" w:type="dxa"/>
            <w:tcBorders>
              <w:top w:val="double" w:sz="4" w:space="0" w:color="auto"/>
              <w:bottom w:val="dotted" w:sz="4" w:space="0" w:color="auto"/>
            </w:tcBorders>
            <w:vAlign w:val="bottom"/>
          </w:tcPr>
          <w:p w14:paraId="02AB7BE8" w14:textId="77777777" w:rsidR="00C931A1" w:rsidRPr="00C62281" w:rsidRDefault="00C931A1" w:rsidP="003F14A8">
            <w:pPr>
              <w:jc w:val="right"/>
              <w:rPr>
                <w:b/>
                <w:sz w:val="18"/>
              </w:rPr>
            </w:pPr>
            <w:r w:rsidRPr="00C62281">
              <w:rPr>
                <w:b/>
                <w:sz w:val="18"/>
              </w:rPr>
              <w:t>Total Asset</w:t>
            </w:r>
          </w:p>
        </w:tc>
        <w:tc>
          <w:tcPr>
            <w:tcW w:w="1843" w:type="dxa"/>
            <w:tcBorders>
              <w:top w:val="double" w:sz="4" w:space="0" w:color="auto"/>
              <w:bottom w:val="dotted" w:sz="4" w:space="0" w:color="auto"/>
            </w:tcBorders>
            <w:vAlign w:val="bottom"/>
          </w:tcPr>
          <w:p w14:paraId="07BD1CB8" w14:textId="77777777" w:rsidR="00C931A1" w:rsidRPr="00C62281" w:rsidRDefault="00C931A1" w:rsidP="003F14A8">
            <w:pPr>
              <w:jc w:val="right"/>
              <w:rPr>
                <w:b/>
                <w:sz w:val="18"/>
              </w:rPr>
            </w:pPr>
            <w:r w:rsidRPr="00C62281">
              <w:rPr>
                <w:b/>
                <w:sz w:val="18"/>
              </w:rPr>
              <w:t>Statutory share capital</w:t>
            </w:r>
          </w:p>
        </w:tc>
      </w:tr>
      <w:tr w:rsidR="00C931A1" w:rsidRPr="00C62281" w14:paraId="7BAB8FA4" w14:textId="77777777" w:rsidTr="00507FD7">
        <w:trPr>
          <w:trHeight w:val="284"/>
        </w:trPr>
        <w:tc>
          <w:tcPr>
            <w:tcW w:w="1790" w:type="dxa"/>
            <w:vAlign w:val="bottom"/>
          </w:tcPr>
          <w:p w14:paraId="0AD7DED8" w14:textId="77777777" w:rsidR="00C931A1" w:rsidRPr="00C62281" w:rsidRDefault="00C931A1" w:rsidP="003F14A8">
            <w:pPr>
              <w:ind w:left="-108"/>
              <w:jc w:val="both"/>
              <w:rPr>
                <w:sz w:val="18"/>
              </w:rPr>
            </w:pPr>
            <w:r w:rsidRPr="00C62281">
              <w:rPr>
                <w:snapToGrid w:val="0"/>
                <w:sz w:val="18"/>
              </w:rPr>
              <w:t>Foreign Branch</w:t>
            </w:r>
          </w:p>
        </w:tc>
        <w:tc>
          <w:tcPr>
            <w:tcW w:w="1188" w:type="dxa"/>
            <w:vAlign w:val="bottom"/>
          </w:tcPr>
          <w:p w14:paraId="168CAEA8" w14:textId="77777777" w:rsidR="00C931A1" w:rsidRPr="00C62281" w:rsidRDefault="00C931A1" w:rsidP="003F14A8">
            <w:pPr>
              <w:ind w:right="-45"/>
              <w:jc w:val="right"/>
              <w:rPr>
                <w:sz w:val="18"/>
              </w:rPr>
            </w:pPr>
            <w:r w:rsidRPr="00C62281">
              <w:rPr>
                <w:sz w:val="18"/>
              </w:rPr>
              <w:t>-</w:t>
            </w:r>
          </w:p>
        </w:tc>
        <w:tc>
          <w:tcPr>
            <w:tcW w:w="1377" w:type="dxa"/>
            <w:vAlign w:val="bottom"/>
          </w:tcPr>
          <w:p w14:paraId="2E1520A0" w14:textId="77777777" w:rsidR="00C931A1" w:rsidRPr="00C62281" w:rsidRDefault="00C931A1" w:rsidP="003F14A8">
            <w:pPr>
              <w:ind w:right="-108"/>
              <w:jc w:val="right"/>
              <w:rPr>
                <w:sz w:val="18"/>
              </w:rPr>
            </w:pPr>
            <w:r w:rsidRPr="00C62281">
              <w:rPr>
                <w:sz w:val="18"/>
              </w:rPr>
              <w:t>-</w:t>
            </w:r>
          </w:p>
        </w:tc>
        <w:tc>
          <w:tcPr>
            <w:tcW w:w="1485" w:type="dxa"/>
            <w:vAlign w:val="bottom"/>
          </w:tcPr>
          <w:p w14:paraId="7B915970" w14:textId="77777777" w:rsidR="00C931A1" w:rsidRPr="00C62281" w:rsidRDefault="00C931A1" w:rsidP="003F14A8">
            <w:pPr>
              <w:ind w:right="-81"/>
              <w:jc w:val="right"/>
              <w:rPr>
                <w:sz w:val="18"/>
              </w:rPr>
            </w:pPr>
            <w:r w:rsidRPr="00C62281">
              <w:rPr>
                <w:sz w:val="18"/>
              </w:rPr>
              <w:t>-</w:t>
            </w:r>
          </w:p>
        </w:tc>
        <w:tc>
          <w:tcPr>
            <w:tcW w:w="1531" w:type="dxa"/>
            <w:tcBorders>
              <w:top w:val="dotted" w:sz="4" w:space="0" w:color="auto"/>
            </w:tcBorders>
            <w:vAlign w:val="bottom"/>
          </w:tcPr>
          <w:p w14:paraId="12210A30" w14:textId="77777777" w:rsidR="00C931A1" w:rsidRPr="00C62281" w:rsidRDefault="00C931A1" w:rsidP="003F14A8">
            <w:pPr>
              <w:ind w:right="-90"/>
              <w:jc w:val="right"/>
              <w:rPr>
                <w:sz w:val="18"/>
              </w:rPr>
            </w:pPr>
            <w:r w:rsidRPr="00C62281">
              <w:rPr>
                <w:sz w:val="18"/>
              </w:rPr>
              <w:t>-</w:t>
            </w:r>
          </w:p>
        </w:tc>
        <w:tc>
          <w:tcPr>
            <w:tcW w:w="1843" w:type="dxa"/>
            <w:tcBorders>
              <w:top w:val="dotted" w:sz="4" w:space="0" w:color="auto"/>
            </w:tcBorders>
            <w:vAlign w:val="bottom"/>
          </w:tcPr>
          <w:p w14:paraId="18908784" w14:textId="77777777" w:rsidR="00C931A1" w:rsidRPr="00C62281" w:rsidRDefault="00C931A1" w:rsidP="003F14A8">
            <w:pPr>
              <w:ind w:right="-63"/>
              <w:jc w:val="right"/>
              <w:rPr>
                <w:sz w:val="18"/>
              </w:rPr>
            </w:pPr>
            <w:r w:rsidRPr="00C62281">
              <w:rPr>
                <w:sz w:val="18"/>
              </w:rPr>
              <w:t>-</w:t>
            </w:r>
          </w:p>
        </w:tc>
      </w:tr>
      <w:tr w:rsidR="00C931A1" w:rsidRPr="00C62281" w14:paraId="2559A673" w14:textId="77777777" w:rsidTr="00507FD7">
        <w:trPr>
          <w:trHeight w:val="284"/>
        </w:trPr>
        <w:tc>
          <w:tcPr>
            <w:tcW w:w="1790" w:type="dxa"/>
            <w:vAlign w:val="bottom"/>
          </w:tcPr>
          <w:p w14:paraId="7FB28BB9" w14:textId="77777777" w:rsidR="00C931A1" w:rsidRPr="00C62281" w:rsidRDefault="00C931A1" w:rsidP="003F14A8">
            <w:pPr>
              <w:ind w:left="-108"/>
              <w:jc w:val="both"/>
              <w:rPr>
                <w:snapToGrid w:val="0"/>
                <w:sz w:val="18"/>
              </w:rPr>
            </w:pPr>
          </w:p>
        </w:tc>
        <w:tc>
          <w:tcPr>
            <w:tcW w:w="1188" w:type="dxa"/>
            <w:vAlign w:val="bottom"/>
          </w:tcPr>
          <w:p w14:paraId="7FA72FDD" w14:textId="77777777" w:rsidR="00C931A1" w:rsidRPr="00C62281" w:rsidRDefault="00C931A1" w:rsidP="003F14A8">
            <w:pPr>
              <w:ind w:right="-45"/>
              <w:jc w:val="right"/>
              <w:rPr>
                <w:sz w:val="18"/>
              </w:rPr>
            </w:pPr>
          </w:p>
        </w:tc>
        <w:tc>
          <w:tcPr>
            <w:tcW w:w="1377" w:type="dxa"/>
            <w:vAlign w:val="bottom"/>
          </w:tcPr>
          <w:p w14:paraId="4BE434A2" w14:textId="77777777" w:rsidR="00C931A1" w:rsidRPr="00C62281" w:rsidRDefault="00C931A1" w:rsidP="003F14A8">
            <w:pPr>
              <w:ind w:right="-108"/>
              <w:jc w:val="right"/>
              <w:rPr>
                <w:sz w:val="18"/>
              </w:rPr>
            </w:pPr>
          </w:p>
        </w:tc>
        <w:tc>
          <w:tcPr>
            <w:tcW w:w="1485" w:type="dxa"/>
            <w:vAlign w:val="bottom"/>
          </w:tcPr>
          <w:p w14:paraId="0CC414BB" w14:textId="77777777" w:rsidR="00C931A1" w:rsidRPr="00C62281" w:rsidRDefault="00C931A1" w:rsidP="003F14A8">
            <w:pPr>
              <w:ind w:right="-81"/>
              <w:jc w:val="right"/>
              <w:rPr>
                <w:sz w:val="18"/>
              </w:rPr>
            </w:pPr>
          </w:p>
        </w:tc>
        <w:tc>
          <w:tcPr>
            <w:tcW w:w="1531" w:type="dxa"/>
            <w:vAlign w:val="bottom"/>
          </w:tcPr>
          <w:p w14:paraId="595BF04C" w14:textId="77777777" w:rsidR="00C931A1" w:rsidRPr="00C62281" w:rsidRDefault="00C931A1" w:rsidP="003F14A8">
            <w:pPr>
              <w:ind w:right="-90"/>
              <w:jc w:val="right"/>
              <w:rPr>
                <w:sz w:val="18"/>
              </w:rPr>
            </w:pPr>
          </w:p>
        </w:tc>
        <w:tc>
          <w:tcPr>
            <w:tcW w:w="1843" w:type="dxa"/>
            <w:vAlign w:val="bottom"/>
          </w:tcPr>
          <w:p w14:paraId="371E6D73" w14:textId="77777777" w:rsidR="00C931A1" w:rsidRPr="00C62281" w:rsidRDefault="00C931A1" w:rsidP="003F14A8">
            <w:pPr>
              <w:ind w:right="-63"/>
              <w:jc w:val="right"/>
              <w:rPr>
                <w:sz w:val="18"/>
              </w:rPr>
            </w:pPr>
          </w:p>
        </w:tc>
      </w:tr>
      <w:tr w:rsidR="00C931A1" w:rsidRPr="00C62281" w14:paraId="3E81A1C0" w14:textId="77777777" w:rsidTr="00507FD7">
        <w:trPr>
          <w:trHeight w:val="284"/>
        </w:trPr>
        <w:tc>
          <w:tcPr>
            <w:tcW w:w="1790" w:type="dxa"/>
            <w:vAlign w:val="bottom"/>
          </w:tcPr>
          <w:p w14:paraId="7B53632A" w14:textId="77777777" w:rsidR="00C931A1" w:rsidRPr="00C62281" w:rsidRDefault="00C931A1" w:rsidP="003F14A8">
            <w:pPr>
              <w:ind w:left="-108"/>
              <w:rPr>
                <w:sz w:val="18"/>
              </w:rPr>
            </w:pPr>
            <w:r w:rsidRPr="00C62281">
              <w:rPr>
                <w:snapToGrid w:val="0"/>
                <w:sz w:val="18"/>
              </w:rPr>
              <w:t>Off-Shore Banking Region Branch</w:t>
            </w:r>
          </w:p>
        </w:tc>
        <w:tc>
          <w:tcPr>
            <w:tcW w:w="1188" w:type="dxa"/>
            <w:vAlign w:val="bottom"/>
          </w:tcPr>
          <w:p w14:paraId="491036D9" w14:textId="77777777" w:rsidR="00C931A1" w:rsidRPr="00C62281" w:rsidRDefault="00C931A1" w:rsidP="003F14A8">
            <w:pPr>
              <w:ind w:right="-45"/>
              <w:jc w:val="right"/>
              <w:rPr>
                <w:sz w:val="18"/>
              </w:rPr>
            </w:pPr>
            <w:r w:rsidRPr="00C62281">
              <w:rPr>
                <w:sz w:val="18"/>
              </w:rPr>
              <w:t>-</w:t>
            </w:r>
          </w:p>
        </w:tc>
        <w:tc>
          <w:tcPr>
            <w:tcW w:w="1377" w:type="dxa"/>
            <w:vAlign w:val="bottom"/>
          </w:tcPr>
          <w:p w14:paraId="0E14EE97" w14:textId="77777777" w:rsidR="00C931A1" w:rsidRPr="00C62281" w:rsidRDefault="00C931A1" w:rsidP="003F14A8">
            <w:pPr>
              <w:ind w:right="-108"/>
              <w:jc w:val="right"/>
              <w:rPr>
                <w:sz w:val="18"/>
              </w:rPr>
            </w:pPr>
            <w:r w:rsidRPr="00C62281">
              <w:rPr>
                <w:sz w:val="18"/>
              </w:rPr>
              <w:t>-</w:t>
            </w:r>
          </w:p>
        </w:tc>
        <w:tc>
          <w:tcPr>
            <w:tcW w:w="1485" w:type="dxa"/>
            <w:vAlign w:val="bottom"/>
          </w:tcPr>
          <w:p w14:paraId="5411BC78" w14:textId="77777777" w:rsidR="00C931A1" w:rsidRPr="00C62281" w:rsidRDefault="00C931A1" w:rsidP="003F14A8">
            <w:pPr>
              <w:ind w:right="-81"/>
              <w:jc w:val="right"/>
              <w:rPr>
                <w:sz w:val="18"/>
              </w:rPr>
            </w:pPr>
            <w:r w:rsidRPr="00C62281">
              <w:rPr>
                <w:sz w:val="18"/>
              </w:rPr>
              <w:t>-</w:t>
            </w:r>
          </w:p>
        </w:tc>
        <w:tc>
          <w:tcPr>
            <w:tcW w:w="1531" w:type="dxa"/>
            <w:vAlign w:val="bottom"/>
          </w:tcPr>
          <w:p w14:paraId="4778287A" w14:textId="77777777" w:rsidR="00C931A1" w:rsidRPr="00C62281" w:rsidRDefault="00C931A1" w:rsidP="003F14A8">
            <w:pPr>
              <w:ind w:right="-90"/>
              <w:jc w:val="right"/>
              <w:rPr>
                <w:sz w:val="18"/>
              </w:rPr>
            </w:pPr>
            <w:r w:rsidRPr="00C62281">
              <w:rPr>
                <w:sz w:val="18"/>
              </w:rPr>
              <w:t>-</w:t>
            </w:r>
          </w:p>
        </w:tc>
        <w:tc>
          <w:tcPr>
            <w:tcW w:w="1843" w:type="dxa"/>
            <w:vAlign w:val="bottom"/>
          </w:tcPr>
          <w:p w14:paraId="67B5A4D6" w14:textId="77777777" w:rsidR="00C931A1" w:rsidRPr="00C62281" w:rsidRDefault="00C931A1" w:rsidP="003F14A8">
            <w:pPr>
              <w:ind w:right="-63"/>
              <w:jc w:val="right"/>
              <w:rPr>
                <w:sz w:val="18"/>
              </w:rPr>
            </w:pPr>
            <w:r w:rsidRPr="00C62281">
              <w:rPr>
                <w:sz w:val="18"/>
              </w:rPr>
              <w:t>-</w:t>
            </w:r>
          </w:p>
        </w:tc>
      </w:tr>
      <w:tr w:rsidR="00C931A1" w:rsidRPr="00C62281" w14:paraId="4C5AA490" w14:textId="77777777" w:rsidTr="00507FD7">
        <w:trPr>
          <w:trHeight w:val="284"/>
        </w:trPr>
        <w:tc>
          <w:tcPr>
            <w:tcW w:w="1790" w:type="dxa"/>
            <w:vAlign w:val="bottom"/>
          </w:tcPr>
          <w:p w14:paraId="0E270DD5" w14:textId="77777777" w:rsidR="00C931A1" w:rsidRPr="00C62281" w:rsidRDefault="00C931A1" w:rsidP="003F14A8">
            <w:pPr>
              <w:ind w:left="-108"/>
              <w:jc w:val="both"/>
              <w:rPr>
                <w:snapToGrid w:val="0"/>
                <w:sz w:val="18"/>
              </w:rPr>
            </w:pPr>
          </w:p>
        </w:tc>
        <w:tc>
          <w:tcPr>
            <w:tcW w:w="1188" w:type="dxa"/>
            <w:vAlign w:val="bottom"/>
          </w:tcPr>
          <w:p w14:paraId="0B4A5802" w14:textId="77777777" w:rsidR="00C931A1" w:rsidRPr="00C62281" w:rsidRDefault="00C931A1" w:rsidP="003F14A8">
            <w:pPr>
              <w:ind w:right="-45"/>
              <w:jc w:val="right"/>
              <w:rPr>
                <w:sz w:val="18"/>
              </w:rPr>
            </w:pPr>
          </w:p>
        </w:tc>
        <w:tc>
          <w:tcPr>
            <w:tcW w:w="1377" w:type="dxa"/>
            <w:vAlign w:val="bottom"/>
          </w:tcPr>
          <w:p w14:paraId="3E1EFDF9" w14:textId="77777777" w:rsidR="00C931A1" w:rsidRPr="00C62281" w:rsidRDefault="00C931A1" w:rsidP="003F14A8">
            <w:pPr>
              <w:ind w:right="-108"/>
              <w:jc w:val="right"/>
              <w:rPr>
                <w:sz w:val="18"/>
              </w:rPr>
            </w:pPr>
          </w:p>
        </w:tc>
        <w:tc>
          <w:tcPr>
            <w:tcW w:w="1485" w:type="dxa"/>
            <w:vAlign w:val="bottom"/>
          </w:tcPr>
          <w:p w14:paraId="46020A9B" w14:textId="77777777" w:rsidR="00C931A1" w:rsidRPr="00C62281" w:rsidRDefault="00C931A1" w:rsidP="003F14A8">
            <w:pPr>
              <w:ind w:right="-81"/>
              <w:jc w:val="right"/>
              <w:rPr>
                <w:sz w:val="18"/>
              </w:rPr>
            </w:pPr>
          </w:p>
        </w:tc>
        <w:tc>
          <w:tcPr>
            <w:tcW w:w="1531" w:type="dxa"/>
            <w:vAlign w:val="bottom"/>
          </w:tcPr>
          <w:p w14:paraId="575DAB48" w14:textId="77777777" w:rsidR="00C931A1" w:rsidRPr="00C62281" w:rsidRDefault="00C931A1" w:rsidP="003F14A8">
            <w:pPr>
              <w:ind w:right="-90"/>
              <w:jc w:val="right"/>
              <w:rPr>
                <w:sz w:val="18"/>
              </w:rPr>
            </w:pPr>
          </w:p>
        </w:tc>
        <w:tc>
          <w:tcPr>
            <w:tcW w:w="1843" w:type="dxa"/>
            <w:vAlign w:val="bottom"/>
          </w:tcPr>
          <w:p w14:paraId="3F80D43B" w14:textId="77777777" w:rsidR="00C931A1" w:rsidRPr="00C62281" w:rsidRDefault="00C931A1" w:rsidP="003F14A8">
            <w:pPr>
              <w:ind w:right="-63"/>
              <w:jc w:val="right"/>
              <w:rPr>
                <w:sz w:val="18"/>
              </w:rPr>
            </w:pPr>
          </w:p>
        </w:tc>
      </w:tr>
    </w:tbl>
    <w:p w14:paraId="4EC55137" w14:textId="77777777" w:rsidR="00C931A1" w:rsidRPr="00195EDC" w:rsidRDefault="00C931A1" w:rsidP="00236A39">
      <w:pPr>
        <w:spacing w:before="120" w:after="120"/>
        <w:rPr>
          <w:b/>
          <w:sz w:val="20"/>
          <w:szCs w:val="20"/>
        </w:rPr>
      </w:pPr>
      <w:r w:rsidRPr="000D24E1">
        <w:rPr>
          <w:b/>
          <w:sz w:val="20"/>
          <w:szCs w:val="20"/>
        </w:rPr>
        <w:t xml:space="preserve">b.   </w:t>
      </w:r>
      <w:r w:rsidRPr="00195EDC">
        <w:rPr>
          <w:b/>
          <w:bCs/>
          <w:sz w:val="20"/>
          <w:szCs w:val="20"/>
        </w:rPr>
        <w:t>Explanations on Branch and Agency Openings or Closings of the Parent Bank</w:t>
      </w:r>
      <w:r w:rsidRPr="00195EDC">
        <w:rPr>
          <w:b/>
          <w:bCs/>
          <w:sz w:val="22"/>
          <w:szCs w:val="22"/>
        </w:rPr>
        <w:t xml:space="preserve">: </w:t>
      </w:r>
    </w:p>
    <w:p w14:paraId="369DCA09" w14:textId="50F8809C" w:rsidR="00236A39" w:rsidRPr="00104DF7" w:rsidRDefault="00C931A1" w:rsidP="00236A39">
      <w:pPr>
        <w:pStyle w:val="BodyTextIndent"/>
        <w:tabs>
          <w:tab w:val="left" w:pos="0"/>
        </w:tabs>
        <w:spacing w:line="226" w:lineRule="auto"/>
        <w:ind w:left="0"/>
        <w:jc w:val="both"/>
        <w:rPr>
          <w:sz w:val="20"/>
          <w:szCs w:val="20"/>
        </w:rPr>
      </w:pPr>
      <w:r w:rsidRPr="00195EDC">
        <w:rPr>
          <w:sz w:val="20"/>
          <w:szCs w:val="20"/>
        </w:rPr>
        <w:t xml:space="preserve">The Parent Bank does not open any new branches in </w:t>
      </w:r>
      <w:r w:rsidR="00106597" w:rsidRPr="00195EDC">
        <w:rPr>
          <w:sz w:val="20"/>
          <w:szCs w:val="20"/>
        </w:rPr>
        <w:t>2015</w:t>
      </w:r>
      <w:r w:rsidRPr="00195EDC">
        <w:rPr>
          <w:sz w:val="20"/>
          <w:szCs w:val="20"/>
        </w:rPr>
        <w:t>.</w:t>
      </w:r>
      <w:r w:rsidR="00236A39">
        <w:rPr>
          <w:sz w:val="20"/>
          <w:szCs w:val="20"/>
        </w:rPr>
        <w:t xml:space="preserve"> </w:t>
      </w:r>
    </w:p>
    <w:p w14:paraId="124250A2" w14:textId="65A9BEAF" w:rsidR="0044575F" w:rsidRPr="00195EDC" w:rsidRDefault="00CA68A0" w:rsidP="00D15467">
      <w:pPr>
        <w:tabs>
          <w:tab w:val="left" w:pos="851"/>
        </w:tabs>
        <w:spacing w:before="120" w:after="120"/>
        <w:jc w:val="both"/>
        <w:rPr>
          <w:b/>
          <w:noProof/>
          <w:sz w:val="20"/>
          <w:szCs w:val="20"/>
        </w:rPr>
      </w:pPr>
      <w:r w:rsidRPr="00195EDC">
        <w:rPr>
          <w:b/>
          <w:noProof/>
          <w:sz w:val="20"/>
          <w:szCs w:val="20"/>
        </w:rPr>
        <w:t>I</w:t>
      </w:r>
      <w:r w:rsidR="00655538" w:rsidRPr="00195EDC">
        <w:rPr>
          <w:b/>
          <w:noProof/>
          <w:sz w:val="20"/>
          <w:szCs w:val="20"/>
        </w:rPr>
        <w:t>X</w:t>
      </w:r>
      <w:r w:rsidRPr="00195EDC">
        <w:rPr>
          <w:b/>
          <w:noProof/>
          <w:sz w:val="20"/>
          <w:szCs w:val="20"/>
        </w:rPr>
        <w:t xml:space="preserve">.   </w:t>
      </w:r>
      <w:r w:rsidR="00201DEB" w:rsidRPr="00195EDC">
        <w:rPr>
          <w:b/>
          <w:noProof/>
          <w:sz w:val="20"/>
          <w:szCs w:val="20"/>
        </w:rPr>
        <w:t xml:space="preserve">Explanations </w:t>
      </w:r>
      <w:r w:rsidR="00884814" w:rsidRPr="00195EDC">
        <w:rPr>
          <w:b/>
          <w:noProof/>
          <w:sz w:val="20"/>
          <w:szCs w:val="20"/>
        </w:rPr>
        <w:t xml:space="preserve">and Notes </w:t>
      </w:r>
      <w:r w:rsidR="00647320">
        <w:rPr>
          <w:b/>
          <w:noProof/>
          <w:sz w:val="20"/>
          <w:szCs w:val="20"/>
        </w:rPr>
        <w:t xml:space="preserve">on </w:t>
      </w:r>
      <w:r w:rsidR="00884814" w:rsidRPr="00195EDC">
        <w:rPr>
          <w:b/>
          <w:noProof/>
          <w:sz w:val="20"/>
          <w:szCs w:val="20"/>
        </w:rPr>
        <w:t>Subsequent Events</w:t>
      </w:r>
      <w:r w:rsidR="00884814" w:rsidRPr="00195EDC" w:rsidDel="00884814">
        <w:rPr>
          <w:b/>
          <w:noProof/>
          <w:sz w:val="20"/>
          <w:szCs w:val="20"/>
        </w:rPr>
        <w:t xml:space="preserve"> </w:t>
      </w:r>
    </w:p>
    <w:p w14:paraId="5C32CA5C" w14:textId="7C2F8C63" w:rsidR="00490153" w:rsidRPr="00196A0E" w:rsidRDefault="00196A0E" w:rsidP="00490153">
      <w:pPr>
        <w:spacing w:before="120"/>
        <w:rPr>
          <w:b/>
          <w:bCs/>
          <w:sz w:val="20"/>
          <w:szCs w:val="20"/>
        </w:rPr>
      </w:pPr>
      <w:r w:rsidRPr="00196A0E">
        <w:rPr>
          <w:rStyle w:val="hps"/>
          <w:sz w:val="20"/>
          <w:szCs w:val="20"/>
        </w:rPr>
        <w:t xml:space="preserve">The </w:t>
      </w:r>
      <w:r w:rsidR="00912209">
        <w:rPr>
          <w:rStyle w:val="hps"/>
          <w:sz w:val="20"/>
          <w:szCs w:val="20"/>
        </w:rPr>
        <w:t xml:space="preserve">Parent </w:t>
      </w:r>
      <w:r w:rsidRPr="00196A0E">
        <w:rPr>
          <w:rStyle w:val="hps"/>
          <w:sz w:val="20"/>
          <w:szCs w:val="20"/>
        </w:rPr>
        <w:t>Bank’s paid-in capital has been decided</w:t>
      </w:r>
      <w:r w:rsidR="00912209">
        <w:rPr>
          <w:rStyle w:val="hps"/>
          <w:sz w:val="20"/>
          <w:szCs w:val="20"/>
        </w:rPr>
        <w:t xml:space="preserve"> </w:t>
      </w:r>
      <w:r w:rsidRPr="00196A0E">
        <w:rPr>
          <w:rStyle w:val="hps"/>
          <w:sz w:val="20"/>
          <w:szCs w:val="20"/>
        </w:rPr>
        <w:t>to increase TL 150,000</w:t>
      </w:r>
      <w:r w:rsidR="00D15467" w:rsidRPr="00196A0E">
        <w:rPr>
          <w:rStyle w:val="hps"/>
          <w:sz w:val="20"/>
          <w:szCs w:val="20"/>
        </w:rPr>
        <w:t xml:space="preserve"> </w:t>
      </w:r>
      <w:r w:rsidRPr="00196A0E">
        <w:rPr>
          <w:rStyle w:val="hps"/>
          <w:sz w:val="20"/>
          <w:szCs w:val="20"/>
        </w:rPr>
        <w:t xml:space="preserve">in accordance with the </w:t>
      </w:r>
      <w:r w:rsidR="00B63FB5">
        <w:rPr>
          <w:rStyle w:val="hps"/>
          <w:sz w:val="20"/>
          <w:szCs w:val="20"/>
        </w:rPr>
        <w:t>Board of Directors meeting</w:t>
      </w:r>
      <w:bookmarkStart w:id="39" w:name="_GoBack"/>
      <w:bookmarkEnd w:id="39"/>
      <w:r w:rsidRPr="00196A0E">
        <w:rPr>
          <w:rStyle w:val="hps"/>
          <w:sz w:val="20"/>
          <w:szCs w:val="20"/>
        </w:rPr>
        <w:t xml:space="preserve"> dated 21 January 2016.</w:t>
      </w:r>
      <w:r w:rsidR="006033FA" w:rsidRPr="00196A0E">
        <w:rPr>
          <w:b/>
          <w:bCs/>
          <w:sz w:val="20"/>
          <w:szCs w:val="20"/>
        </w:rPr>
        <w:t xml:space="preserve">                                                               </w:t>
      </w:r>
    </w:p>
    <w:p w14:paraId="710B53BB" w14:textId="5BE5755D" w:rsidR="00D15467" w:rsidRDefault="00D15467">
      <w:pPr>
        <w:spacing w:after="200" w:line="276" w:lineRule="auto"/>
        <w:rPr>
          <w:b/>
          <w:bCs/>
          <w:sz w:val="22"/>
          <w:szCs w:val="22"/>
        </w:rPr>
      </w:pPr>
      <w:r>
        <w:rPr>
          <w:b/>
          <w:bCs/>
          <w:sz w:val="22"/>
          <w:szCs w:val="22"/>
        </w:rPr>
        <w:br w:type="page"/>
      </w:r>
    </w:p>
    <w:p w14:paraId="303643AD" w14:textId="01F403BB" w:rsidR="0086006C" w:rsidRPr="00604C75" w:rsidRDefault="0086006C" w:rsidP="00490153">
      <w:pPr>
        <w:spacing w:before="120"/>
        <w:jc w:val="center"/>
        <w:rPr>
          <w:b/>
          <w:bCs/>
          <w:sz w:val="20"/>
        </w:rPr>
      </w:pPr>
      <w:r w:rsidRPr="00604C75">
        <w:rPr>
          <w:b/>
          <w:bCs/>
          <w:sz w:val="20"/>
        </w:rPr>
        <w:lastRenderedPageBreak/>
        <w:t>SECTION SIX</w:t>
      </w:r>
    </w:p>
    <w:p w14:paraId="213F9446" w14:textId="093FD642" w:rsidR="0086006C" w:rsidRPr="00604C75" w:rsidRDefault="00490153" w:rsidP="00490153">
      <w:pPr>
        <w:pStyle w:val="FootnoteText"/>
        <w:tabs>
          <w:tab w:val="left" w:pos="1980"/>
          <w:tab w:val="left" w:pos="2160"/>
          <w:tab w:val="right" w:leader="dot" w:pos="8505"/>
          <w:tab w:val="right" w:pos="9356"/>
        </w:tabs>
        <w:spacing w:before="120"/>
        <w:ind w:right="700"/>
        <w:jc w:val="center"/>
        <w:rPr>
          <w:rFonts w:ascii="Times New Roman" w:hAnsi="Times New Roman"/>
          <w:b/>
          <w:sz w:val="20"/>
          <w:lang w:val="en-US"/>
        </w:rPr>
      </w:pPr>
      <w:r>
        <w:rPr>
          <w:rFonts w:ascii="Times New Roman" w:hAnsi="Times New Roman"/>
          <w:b/>
          <w:sz w:val="20"/>
          <w:lang w:val="en-US"/>
        </w:rPr>
        <w:t xml:space="preserve">                 </w:t>
      </w:r>
      <w:r w:rsidR="0086006C" w:rsidRPr="00604C75">
        <w:rPr>
          <w:rFonts w:ascii="Times New Roman" w:hAnsi="Times New Roman"/>
          <w:b/>
          <w:sz w:val="20"/>
          <w:lang w:val="en-US"/>
        </w:rPr>
        <w:t>OTHER EXPLANATIONS AND NOTES</w:t>
      </w:r>
    </w:p>
    <w:p w14:paraId="5F15A9F9" w14:textId="77777777" w:rsidR="0086006C" w:rsidRPr="00604C75" w:rsidRDefault="0086006C" w:rsidP="008477F3">
      <w:pPr>
        <w:numPr>
          <w:ilvl w:val="0"/>
          <w:numId w:val="31"/>
        </w:numPr>
        <w:tabs>
          <w:tab w:val="clear" w:pos="1260"/>
          <w:tab w:val="num" w:pos="851"/>
        </w:tabs>
        <w:spacing w:before="120"/>
        <w:ind w:left="851" w:hanging="851"/>
        <w:jc w:val="both"/>
        <w:rPr>
          <w:b/>
          <w:sz w:val="20"/>
          <w:szCs w:val="20"/>
        </w:rPr>
      </w:pPr>
      <w:r w:rsidRPr="00604C75">
        <w:rPr>
          <w:b/>
          <w:sz w:val="20"/>
          <w:szCs w:val="20"/>
        </w:rPr>
        <w:t>Other Explanations Related To The Parent Bank’s Operations</w:t>
      </w:r>
      <w:r w:rsidRPr="00604C75" w:rsidDel="00201DEB">
        <w:rPr>
          <w:b/>
          <w:sz w:val="20"/>
          <w:szCs w:val="20"/>
        </w:rPr>
        <w:t xml:space="preserve"> </w:t>
      </w:r>
    </w:p>
    <w:p w14:paraId="2C1A7F5C" w14:textId="77777777" w:rsidR="0086006C" w:rsidRPr="00604C75" w:rsidRDefault="0086006C" w:rsidP="00490153">
      <w:pPr>
        <w:spacing w:before="120"/>
        <w:jc w:val="both"/>
        <w:rPr>
          <w:b/>
          <w:sz w:val="20"/>
          <w:szCs w:val="20"/>
        </w:rPr>
      </w:pPr>
      <w:r w:rsidRPr="00604C75">
        <w:rPr>
          <w:b/>
          <w:sz w:val="20"/>
          <w:szCs w:val="20"/>
        </w:rPr>
        <w:t>Summaries about The Bank’s rates from international credit rating agencies</w:t>
      </w:r>
    </w:p>
    <w:p w14:paraId="57170613" w14:textId="77777777" w:rsidR="0086006C" w:rsidRPr="00195EDC" w:rsidRDefault="0086006C" w:rsidP="00490153">
      <w:pPr>
        <w:spacing w:before="120"/>
        <w:jc w:val="both"/>
        <w:rPr>
          <w:sz w:val="20"/>
          <w:szCs w:val="20"/>
        </w:rPr>
      </w:pPr>
      <w:r w:rsidRPr="00195EDC">
        <w:rPr>
          <w:sz w:val="20"/>
          <w:szCs w:val="20"/>
        </w:rPr>
        <w:t>The Parent Bank’s ratings from latest report of Fitch Ratings as of March 2015 in the below.</w:t>
      </w:r>
    </w:p>
    <w:p w14:paraId="2950EC35" w14:textId="77777777" w:rsidR="009E467E" w:rsidRPr="00195EDC" w:rsidRDefault="009E467E" w:rsidP="0086006C">
      <w:pPr>
        <w:jc w:val="both"/>
        <w:rPr>
          <w:sz w:val="20"/>
          <w:szCs w:val="20"/>
        </w:rPr>
      </w:pPr>
    </w:p>
    <w:tbl>
      <w:tblPr>
        <w:tblStyle w:val="TableGrid"/>
        <w:tblW w:w="5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2"/>
        <w:gridCol w:w="1548"/>
      </w:tblGrid>
      <w:tr w:rsidR="009E467E" w:rsidRPr="00195EDC" w14:paraId="718BFE55" w14:textId="77777777" w:rsidTr="009E467E">
        <w:trPr>
          <w:trHeight w:val="197"/>
        </w:trPr>
        <w:tc>
          <w:tcPr>
            <w:tcW w:w="3911" w:type="dxa"/>
            <w:hideMark/>
          </w:tcPr>
          <w:p w14:paraId="208276E9" w14:textId="1BD5FA0C" w:rsidR="009E467E" w:rsidRPr="00196A0E" w:rsidRDefault="009E467E">
            <w:pPr>
              <w:tabs>
                <w:tab w:val="left" w:pos="720"/>
              </w:tabs>
              <w:spacing w:line="216" w:lineRule="auto"/>
              <w:rPr>
                <w:b/>
                <w:sz w:val="20"/>
                <w:szCs w:val="20"/>
                <w:u w:val="single"/>
              </w:rPr>
            </w:pPr>
            <w:r w:rsidRPr="00196A0E">
              <w:rPr>
                <w:b/>
                <w:sz w:val="20"/>
                <w:szCs w:val="20"/>
                <w:u w:val="single"/>
              </w:rPr>
              <w:t>Fitch Ratings</w:t>
            </w:r>
            <w:r w:rsidR="00195EDC" w:rsidRPr="00196A0E">
              <w:rPr>
                <w:b/>
                <w:sz w:val="20"/>
                <w:szCs w:val="20"/>
                <w:u w:val="single"/>
              </w:rPr>
              <w:t xml:space="preserve">: March </w:t>
            </w:r>
            <w:r w:rsidRPr="00196A0E">
              <w:rPr>
                <w:b/>
                <w:sz w:val="20"/>
                <w:szCs w:val="20"/>
                <w:u w:val="single"/>
              </w:rPr>
              <w:t>2015</w:t>
            </w:r>
          </w:p>
        </w:tc>
        <w:tc>
          <w:tcPr>
            <w:tcW w:w="1547" w:type="dxa"/>
          </w:tcPr>
          <w:p w14:paraId="48189153" w14:textId="77777777" w:rsidR="009E467E" w:rsidRPr="00195EDC" w:rsidRDefault="009E467E">
            <w:pPr>
              <w:pStyle w:val="BodyText3"/>
              <w:jc w:val="both"/>
              <w:rPr>
                <w:bCs w:val="0"/>
                <w:i w:val="0"/>
                <w:iCs w:val="0"/>
                <w:sz w:val="20"/>
              </w:rPr>
            </w:pPr>
          </w:p>
        </w:tc>
      </w:tr>
      <w:tr w:rsidR="009E467E" w:rsidRPr="00195EDC" w14:paraId="2570326F" w14:textId="77777777" w:rsidTr="009E467E">
        <w:trPr>
          <w:trHeight w:val="319"/>
        </w:trPr>
        <w:tc>
          <w:tcPr>
            <w:tcW w:w="3911" w:type="dxa"/>
            <w:hideMark/>
          </w:tcPr>
          <w:p w14:paraId="22A8F346" w14:textId="77777777" w:rsidR="009E467E" w:rsidRPr="00195EDC" w:rsidRDefault="009E467E">
            <w:pPr>
              <w:pStyle w:val="BodyText3"/>
              <w:jc w:val="both"/>
              <w:rPr>
                <w:b/>
                <w:bCs w:val="0"/>
                <w:i w:val="0"/>
                <w:iCs w:val="0"/>
                <w:sz w:val="20"/>
              </w:rPr>
            </w:pPr>
            <w:r w:rsidRPr="00195EDC">
              <w:rPr>
                <w:b/>
                <w:bCs w:val="0"/>
                <w:i w:val="0"/>
                <w:iCs w:val="0"/>
                <w:sz w:val="20"/>
              </w:rPr>
              <w:t>Foreign Currency</w:t>
            </w:r>
          </w:p>
        </w:tc>
        <w:tc>
          <w:tcPr>
            <w:tcW w:w="1547" w:type="dxa"/>
          </w:tcPr>
          <w:p w14:paraId="46898997" w14:textId="77777777" w:rsidR="009E467E" w:rsidRPr="00195EDC" w:rsidRDefault="009E467E">
            <w:pPr>
              <w:pStyle w:val="BodyText3"/>
              <w:jc w:val="both"/>
              <w:rPr>
                <w:bCs w:val="0"/>
                <w:i w:val="0"/>
                <w:iCs w:val="0"/>
                <w:sz w:val="20"/>
              </w:rPr>
            </w:pPr>
          </w:p>
        </w:tc>
      </w:tr>
      <w:tr w:rsidR="009E467E" w:rsidRPr="00195EDC" w14:paraId="53141630" w14:textId="77777777" w:rsidTr="009E467E">
        <w:trPr>
          <w:trHeight w:val="197"/>
        </w:trPr>
        <w:tc>
          <w:tcPr>
            <w:tcW w:w="3911" w:type="dxa"/>
            <w:hideMark/>
          </w:tcPr>
          <w:p w14:paraId="5C4B983A" w14:textId="77777777" w:rsidR="009E467E" w:rsidRPr="00195EDC" w:rsidRDefault="009E467E">
            <w:pPr>
              <w:pStyle w:val="Heading8"/>
              <w:outlineLvl w:val="7"/>
              <w:rPr>
                <w:i w:val="0"/>
                <w:iCs w:val="0"/>
                <w:sz w:val="20"/>
                <w:szCs w:val="20"/>
              </w:rPr>
            </w:pPr>
            <w:r w:rsidRPr="00195EDC">
              <w:rPr>
                <w:i w:val="0"/>
                <w:iCs w:val="0"/>
                <w:sz w:val="20"/>
                <w:szCs w:val="20"/>
              </w:rPr>
              <w:t>Long Term</w:t>
            </w:r>
          </w:p>
        </w:tc>
        <w:tc>
          <w:tcPr>
            <w:tcW w:w="1547" w:type="dxa"/>
            <w:hideMark/>
          </w:tcPr>
          <w:p w14:paraId="5B1BC2FC" w14:textId="77777777" w:rsidR="009E467E" w:rsidRPr="00195EDC" w:rsidRDefault="009E467E">
            <w:pPr>
              <w:pStyle w:val="Heading8"/>
              <w:outlineLvl w:val="7"/>
              <w:rPr>
                <w:i w:val="0"/>
                <w:iCs w:val="0"/>
                <w:sz w:val="20"/>
                <w:szCs w:val="20"/>
              </w:rPr>
            </w:pPr>
            <w:r w:rsidRPr="00195EDC">
              <w:rPr>
                <w:i w:val="0"/>
                <w:iCs w:val="0"/>
                <w:sz w:val="20"/>
                <w:szCs w:val="20"/>
              </w:rPr>
              <w:t>BBB</w:t>
            </w:r>
          </w:p>
        </w:tc>
      </w:tr>
      <w:tr w:rsidR="009E467E" w:rsidRPr="00195EDC" w14:paraId="5DAB054A" w14:textId="77777777" w:rsidTr="009E467E">
        <w:trPr>
          <w:trHeight w:val="185"/>
        </w:trPr>
        <w:tc>
          <w:tcPr>
            <w:tcW w:w="3911" w:type="dxa"/>
            <w:hideMark/>
          </w:tcPr>
          <w:p w14:paraId="44A404B5" w14:textId="77777777" w:rsidR="009E467E" w:rsidRPr="00195EDC" w:rsidRDefault="009E467E">
            <w:pPr>
              <w:autoSpaceDE w:val="0"/>
              <w:autoSpaceDN w:val="0"/>
              <w:adjustRightInd w:val="0"/>
              <w:jc w:val="both"/>
              <w:rPr>
                <w:sz w:val="20"/>
                <w:szCs w:val="20"/>
              </w:rPr>
            </w:pPr>
            <w:r w:rsidRPr="00195EDC">
              <w:rPr>
                <w:sz w:val="20"/>
                <w:szCs w:val="20"/>
              </w:rPr>
              <w:t>Short Term</w:t>
            </w:r>
          </w:p>
        </w:tc>
        <w:tc>
          <w:tcPr>
            <w:tcW w:w="1547" w:type="dxa"/>
            <w:hideMark/>
          </w:tcPr>
          <w:p w14:paraId="6355625A" w14:textId="77777777" w:rsidR="009E467E" w:rsidRPr="00195EDC" w:rsidRDefault="009E467E">
            <w:pPr>
              <w:autoSpaceDE w:val="0"/>
              <w:autoSpaceDN w:val="0"/>
              <w:adjustRightInd w:val="0"/>
              <w:jc w:val="both"/>
              <w:rPr>
                <w:sz w:val="20"/>
                <w:szCs w:val="20"/>
              </w:rPr>
            </w:pPr>
            <w:r w:rsidRPr="00195EDC">
              <w:rPr>
                <w:sz w:val="20"/>
                <w:szCs w:val="20"/>
              </w:rPr>
              <w:t>F2</w:t>
            </w:r>
          </w:p>
        </w:tc>
      </w:tr>
      <w:tr w:rsidR="009E467E" w:rsidRPr="00195EDC" w14:paraId="3952D6C2" w14:textId="77777777" w:rsidTr="009E467E">
        <w:trPr>
          <w:trHeight w:val="197"/>
        </w:trPr>
        <w:tc>
          <w:tcPr>
            <w:tcW w:w="3911" w:type="dxa"/>
          </w:tcPr>
          <w:p w14:paraId="04F6C59F" w14:textId="77777777" w:rsidR="009E467E" w:rsidRPr="00195EDC" w:rsidRDefault="009E467E">
            <w:pPr>
              <w:tabs>
                <w:tab w:val="left" w:pos="4500"/>
              </w:tabs>
              <w:autoSpaceDE w:val="0"/>
              <w:autoSpaceDN w:val="0"/>
              <w:adjustRightInd w:val="0"/>
              <w:jc w:val="both"/>
              <w:rPr>
                <w:sz w:val="20"/>
                <w:szCs w:val="20"/>
              </w:rPr>
            </w:pPr>
          </w:p>
          <w:p w14:paraId="0A082128" w14:textId="77777777" w:rsidR="009E467E" w:rsidRPr="00195EDC" w:rsidRDefault="009E467E">
            <w:pPr>
              <w:tabs>
                <w:tab w:val="left" w:pos="4500"/>
              </w:tabs>
              <w:autoSpaceDE w:val="0"/>
              <w:autoSpaceDN w:val="0"/>
              <w:adjustRightInd w:val="0"/>
              <w:jc w:val="both"/>
              <w:rPr>
                <w:b/>
                <w:sz w:val="20"/>
                <w:szCs w:val="20"/>
              </w:rPr>
            </w:pPr>
            <w:r w:rsidRPr="00195EDC">
              <w:rPr>
                <w:b/>
                <w:sz w:val="20"/>
                <w:szCs w:val="20"/>
              </w:rPr>
              <w:t xml:space="preserve">Turkish Lira </w:t>
            </w:r>
          </w:p>
        </w:tc>
        <w:tc>
          <w:tcPr>
            <w:tcW w:w="1547" w:type="dxa"/>
          </w:tcPr>
          <w:p w14:paraId="74ECBE70" w14:textId="77777777" w:rsidR="009E467E" w:rsidRPr="00195EDC" w:rsidRDefault="009E467E">
            <w:pPr>
              <w:pStyle w:val="Heading8"/>
              <w:outlineLvl w:val="7"/>
              <w:rPr>
                <w:i w:val="0"/>
                <w:iCs w:val="0"/>
                <w:sz w:val="20"/>
                <w:szCs w:val="20"/>
              </w:rPr>
            </w:pPr>
          </w:p>
        </w:tc>
      </w:tr>
      <w:tr w:rsidR="009E467E" w:rsidRPr="00195EDC" w14:paraId="36A64B58" w14:textId="77777777" w:rsidTr="009E467E">
        <w:trPr>
          <w:trHeight w:val="197"/>
        </w:trPr>
        <w:tc>
          <w:tcPr>
            <w:tcW w:w="3911" w:type="dxa"/>
            <w:hideMark/>
          </w:tcPr>
          <w:p w14:paraId="3A05A4EC" w14:textId="77777777" w:rsidR="009E467E" w:rsidRPr="00195EDC" w:rsidRDefault="009E467E">
            <w:pPr>
              <w:pStyle w:val="Heading8"/>
              <w:outlineLvl w:val="7"/>
              <w:rPr>
                <w:i w:val="0"/>
                <w:iCs w:val="0"/>
                <w:sz w:val="20"/>
                <w:szCs w:val="20"/>
              </w:rPr>
            </w:pPr>
            <w:r w:rsidRPr="00195EDC">
              <w:rPr>
                <w:i w:val="0"/>
                <w:iCs w:val="0"/>
                <w:sz w:val="20"/>
                <w:szCs w:val="20"/>
              </w:rPr>
              <w:t>Long Term</w:t>
            </w:r>
          </w:p>
        </w:tc>
        <w:tc>
          <w:tcPr>
            <w:tcW w:w="1547" w:type="dxa"/>
            <w:hideMark/>
          </w:tcPr>
          <w:p w14:paraId="0594C06A" w14:textId="77777777" w:rsidR="009E467E" w:rsidRPr="00195EDC" w:rsidRDefault="009E467E">
            <w:pPr>
              <w:pStyle w:val="Heading8"/>
              <w:outlineLvl w:val="7"/>
              <w:rPr>
                <w:i w:val="0"/>
                <w:iCs w:val="0"/>
                <w:sz w:val="20"/>
                <w:szCs w:val="20"/>
              </w:rPr>
            </w:pPr>
            <w:r w:rsidRPr="00195EDC">
              <w:rPr>
                <w:i w:val="0"/>
                <w:iCs w:val="0"/>
                <w:sz w:val="20"/>
                <w:szCs w:val="20"/>
              </w:rPr>
              <w:t>BBB+</w:t>
            </w:r>
          </w:p>
        </w:tc>
      </w:tr>
      <w:tr w:rsidR="009E467E" w:rsidRPr="00195EDC" w14:paraId="34F94CBB" w14:textId="77777777" w:rsidTr="009E467E">
        <w:trPr>
          <w:trHeight w:val="197"/>
        </w:trPr>
        <w:tc>
          <w:tcPr>
            <w:tcW w:w="3911" w:type="dxa"/>
            <w:hideMark/>
          </w:tcPr>
          <w:p w14:paraId="24A54896" w14:textId="77777777" w:rsidR="009E467E" w:rsidRPr="00195EDC" w:rsidRDefault="009E467E">
            <w:pPr>
              <w:autoSpaceDE w:val="0"/>
              <w:autoSpaceDN w:val="0"/>
              <w:adjustRightInd w:val="0"/>
              <w:jc w:val="both"/>
              <w:rPr>
                <w:sz w:val="20"/>
                <w:szCs w:val="20"/>
              </w:rPr>
            </w:pPr>
            <w:r w:rsidRPr="00195EDC">
              <w:rPr>
                <w:sz w:val="20"/>
                <w:szCs w:val="20"/>
              </w:rPr>
              <w:t>Short Term</w:t>
            </w:r>
          </w:p>
        </w:tc>
        <w:tc>
          <w:tcPr>
            <w:tcW w:w="1547" w:type="dxa"/>
            <w:hideMark/>
          </w:tcPr>
          <w:p w14:paraId="73DE5F42" w14:textId="77777777" w:rsidR="009E467E" w:rsidRPr="00195EDC" w:rsidRDefault="009E467E">
            <w:pPr>
              <w:autoSpaceDE w:val="0"/>
              <w:autoSpaceDN w:val="0"/>
              <w:adjustRightInd w:val="0"/>
              <w:jc w:val="both"/>
              <w:rPr>
                <w:sz w:val="20"/>
                <w:szCs w:val="20"/>
              </w:rPr>
            </w:pPr>
            <w:r w:rsidRPr="00195EDC">
              <w:rPr>
                <w:sz w:val="20"/>
                <w:szCs w:val="20"/>
              </w:rPr>
              <w:t>F2</w:t>
            </w:r>
          </w:p>
        </w:tc>
      </w:tr>
      <w:tr w:rsidR="009E467E" w:rsidRPr="00195EDC" w14:paraId="1789AF5C" w14:textId="77777777" w:rsidTr="009E467E">
        <w:trPr>
          <w:trHeight w:val="197"/>
        </w:trPr>
        <w:tc>
          <w:tcPr>
            <w:tcW w:w="3911" w:type="dxa"/>
          </w:tcPr>
          <w:p w14:paraId="5B016F2F" w14:textId="77777777" w:rsidR="009E467E" w:rsidRPr="00195EDC" w:rsidRDefault="009E467E">
            <w:pPr>
              <w:autoSpaceDE w:val="0"/>
              <w:autoSpaceDN w:val="0"/>
              <w:adjustRightInd w:val="0"/>
              <w:jc w:val="both"/>
              <w:rPr>
                <w:sz w:val="20"/>
                <w:szCs w:val="20"/>
              </w:rPr>
            </w:pPr>
          </w:p>
          <w:p w14:paraId="61134254" w14:textId="77777777" w:rsidR="009E467E" w:rsidRPr="00195EDC" w:rsidRDefault="009E467E">
            <w:pPr>
              <w:autoSpaceDE w:val="0"/>
              <w:autoSpaceDN w:val="0"/>
              <w:adjustRightInd w:val="0"/>
              <w:jc w:val="both"/>
              <w:rPr>
                <w:sz w:val="20"/>
                <w:szCs w:val="20"/>
              </w:rPr>
            </w:pPr>
            <w:proofErr w:type="spellStart"/>
            <w:r w:rsidRPr="00195EDC">
              <w:rPr>
                <w:sz w:val="20"/>
                <w:szCs w:val="20"/>
              </w:rPr>
              <w:t>Ulusal</w:t>
            </w:r>
            <w:proofErr w:type="spellEnd"/>
            <w:r w:rsidRPr="00195EDC">
              <w:rPr>
                <w:sz w:val="20"/>
                <w:szCs w:val="20"/>
              </w:rPr>
              <w:t xml:space="preserve"> Not</w:t>
            </w:r>
          </w:p>
        </w:tc>
        <w:tc>
          <w:tcPr>
            <w:tcW w:w="1547" w:type="dxa"/>
          </w:tcPr>
          <w:p w14:paraId="3AE46BB4" w14:textId="77777777" w:rsidR="009E467E" w:rsidRPr="00195EDC" w:rsidRDefault="009E467E">
            <w:pPr>
              <w:tabs>
                <w:tab w:val="right" w:pos="6237"/>
              </w:tabs>
              <w:spacing w:before="120" w:after="120"/>
              <w:ind w:right="16"/>
              <w:rPr>
                <w:sz w:val="20"/>
                <w:szCs w:val="20"/>
              </w:rPr>
            </w:pPr>
            <w:r w:rsidRPr="00195EDC">
              <w:rPr>
                <w:sz w:val="20"/>
                <w:szCs w:val="20"/>
              </w:rPr>
              <w:t>AAA(</w:t>
            </w:r>
            <w:proofErr w:type="spellStart"/>
            <w:r w:rsidRPr="00195EDC">
              <w:rPr>
                <w:sz w:val="20"/>
                <w:szCs w:val="20"/>
              </w:rPr>
              <w:t>tur</w:t>
            </w:r>
            <w:proofErr w:type="spellEnd"/>
            <w:r w:rsidRPr="00195EDC">
              <w:rPr>
                <w:sz w:val="20"/>
                <w:szCs w:val="20"/>
              </w:rPr>
              <w:t>)</w:t>
            </w:r>
          </w:p>
          <w:p w14:paraId="6804B467" w14:textId="77777777" w:rsidR="009E467E" w:rsidRPr="00195EDC" w:rsidRDefault="009E467E">
            <w:pPr>
              <w:autoSpaceDE w:val="0"/>
              <w:autoSpaceDN w:val="0"/>
              <w:adjustRightInd w:val="0"/>
              <w:jc w:val="both"/>
              <w:rPr>
                <w:sz w:val="20"/>
                <w:szCs w:val="20"/>
              </w:rPr>
            </w:pPr>
          </w:p>
        </w:tc>
      </w:tr>
      <w:tr w:rsidR="009E467E" w:rsidRPr="00195EDC" w14:paraId="1CF7F392" w14:textId="77777777" w:rsidTr="009E467E">
        <w:trPr>
          <w:trHeight w:val="197"/>
        </w:trPr>
        <w:tc>
          <w:tcPr>
            <w:tcW w:w="3911" w:type="dxa"/>
          </w:tcPr>
          <w:p w14:paraId="18190B08" w14:textId="77777777" w:rsidR="009E467E" w:rsidRPr="00195EDC" w:rsidRDefault="009E467E">
            <w:pPr>
              <w:autoSpaceDE w:val="0"/>
              <w:autoSpaceDN w:val="0"/>
              <w:adjustRightInd w:val="0"/>
              <w:jc w:val="both"/>
              <w:rPr>
                <w:sz w:val="20"/>
                <w:szCs w:val="20"/>
              </w:rPr>
            </w:pPr>
          </w:p>
        </w:tc>
        <w:tc>
          <w:tcPr>
            <w:tcW w:w="1547" w:type="dxa"/>
          </w:tcPr>
          <w:p w14:paraId="13C8E4A3" w14:textId="77777777" w:rsidR="009E467E" w:rsidRPr="00195EDC" w:rsidRDefault="009E467E">
            <w:pPr>
              <w:autoSpaceDE w:val="0"/>
              <w:autoSpaceDN w:val="0"/>
              <w:adjustRightInd w:val="0"/>
              <w:jc w:val="both"/>
              <w:rPr>
                <w:sz w:val="20"/>
                <w:szCs w:val="20"/>
              </w:rPr>
            </w:pPr>
          </w:p>
        </w:tc>
      </w:tr>
      <w:tr w:rsidR="009E467E" w:rsidRPr="00195EDC" w14:paraId="6699982A" w14:textId="77777777" w:rsidTr="009E467E">
        <w:trPr>
          <w:trHeight w:val="197"/>
        </w:trPr>
        <w:tc>
          <w:tcPr>
            <w:tcW w:w="3911" w:type="dxa"/>
            <w:hideMark/>
          </w:tcPr>
          <w:p w14:paraId="6F47DDE9" w14:textId="77777777" w:rsidR="009E467E" w:rsidRPr="00195EDC" w:rsidRDefault="009E467E">
            <w:pPr>
              <w:autoSpaceDE w:val="0"/>
              <w:autoSpaceDN w:val="0"/>
              <w:adjustRightInd w:val="0"/>
              <w:jc w:val="both"/>
              <w:rPr>
                <w:b/>
                <w:sz w:val="20"/>
                <w:szCs w:val="20"/>
              </w:rPr>
            </w:pPr>
            <w:r w:rsidRPr="00195EDC">
              <w:rPr>
                <w:b/>
                <w:sz w:val="20"/>
                <w:szCs w:val="20"/>
              </w:rPr>
              <w:t>Outlook</w:t>
            </w:r>
          </w:p>
        </w:tc>
        <w:tc>
          <w:tcPr>
            <w:tcW w:w="1547" w:type="dxa"/>
            <w:hideMark/>
          </w:tcPr>
          <w:p w14:paraId="3319247D" w14:textId="77777777" w:rsidR="009E467E" w:rsidRPr="00195EDC" w:rsidRDefault="009E467E">
            <w:pPr>
              <w:autoSpaceDE w:val="0"/>
              <w:autoSpaceDN w:val="0"/>
              <w:adjustRightInd w:val="0"/>
              <w:jc w:val="both"/>
              <w:rPr>
                <w:b/>
                <w:sz w:val="20"/>
                <w:szCs w:val="20"/>
              </w:rPr>
            </w:pPr>
            <w:r w:rsidRPr="00195EDC">
              <w:rPr>
                <w:b/>
                <w:sz w:val="20"/>
                <w:szCs w:val="20"/>
              </w:rPr>
              <w:t>Stable</w:t>
            </w:r>
          </w:p>
        </w:tc>
      </w:tr>
    </w:tbl>
    <w:p w14:paraId="2D6F6B69" w14:textId="592C42B3" w:rsidR="009E467E" w:rsidRPr="00195EDC" w:rsidRDefault="009E467E" w:rsidP="003A03A0">
      <w:pPr>
        <w:spacing w:before="120"/>
        <w:ind w:left="112" w:right="16"/>
        <w:jc w:val="both"/>
        <w:rPr>
          <w:sz w:val="20"/>
          <w:szCs w:val="20"/>
        </w:rPr>
      </w:pPr>
      <w:r w:rsidRPr="00195EDC">
        <w:rPr>
          <w:sz w:val="20"/>
          <w:szCs w:val="20"/>
        </w:rPr>
        <w:t>National Note                                                        2</w:t>
      </w:r>
    </w:p>
    <w:p w14:paraId="2678610E" w14:textId="7BCF9574" w:rsidR="009E467E" w:rsidRPr="00195EDC" w:rsidRDefault="009E467E" w:rsidP="003A03A0">
      <w:pPr>
        <w:tabs>
          <w:tab w:val="right" w:pos="6237"/>
        </w:tabs>
        <w:ind w:left="112" w:right="16"/>
        <w:rPr>
          <w:sz w:val="20"/>
          <w:szCs w:val="20"/>
        </w:rPr>
      </w:pPr>
      <w:r w:rsidRPr="00195EDC">
        <w:rPr>
          <w:sz w:val="20"/>
          <w:szCs w:val="20"/>
        </w:rPr>
        <w:t>Financial Capacity Note                                        b+</w:t>
      </w:r>
    </w:p>
    <w:p w14:paraId="73301B9E" w14:textId="77777777" w:rsidR="00802635" w:rsidRPr="00195EDC" w:rsidRDefault="00802635" w:rsidP="0086006C">
      <w:pPr>
        <w:pStyle w:val="BodyText"/>
        <w:tabs>
          <w:tab w:val="clear" w:pos="567"/>
          <w:tab w:val="clear" w:pos="720"/>
          <w:tab w:val="left" w:pos="2127"/>
        </w:tabs>
        <w:rPr>
          <w:color w:val="000000" w:themeColor="text1"/>
          <w:sz w:val="20"/>
        </w:rPr>
      </w:pPr>
    </w:p>
    <w:tbl>
      <w:tblPr>
        <w:tblStyle w:val="TableGrid2"/>
        <w:tblW w:w="5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16"/>
        <w:gridCol w:w="1379"/>
        <w:gridCol w:w="316"/>
      </w:tblGrid>
      <w:tr w:rsidR="00802635" w:rsidRPr="00195EDC" w14:paraId="5A204C26" w14:textId="77777777" w:rsidTr="00F1171C">
        <w:trPr>
          <w:trHeight w:val="199"/>
        </w:trPr>
        <w:tc>
          <w:tcPr>
            <w:tcW w:w="4285" w:type="dxa"/>
            <w:gridSpan w:val="2"/>
          </w:tcPr>
          <w:p w14:paraId="17A06BD2" w14:textId="77777777" w:rsidR="00802635" w:rsidRPr="00195EDC" w:rsidRDefault="009E467E" w:rsidP="009E467E">
            <w:pPr>
              <w:tabs>
                <w:tab w:val="left" w:pos="720"/>
              </w:tabs>
              <w:spacing w:line="216" w:lineRule="auto"/>
              <w:rPr>
                <w:b/>
                <w:sz w:val="20"/>
                <w:szCs w:val="20"/>
                <w:u w:val="single"/>
                <w:lang w:val="tr-TR"/>
              </w:rPr>
            </w:pPr>
            <w:r w:rsidRPr="00195EDC">
              <w:rPr>
                <w:b/>
                <w:sz w:val="20"/>
                <w:szCs w:val="20"/>
                <w:u w:val="single"/>
                <w:lang w:val="tr-TR"/>
              </w:rPr>
              <w:t>Moody’s: 22</w:t>
            </w:r>
            <w:r w:rsidR="00802635" w:rsidRPr="00195EDC">
              <w:rPr>
                <w:b/>
                <w:sz w:val="20"/>
                <w:szCs w:val="20"/>
                <w:u w:val="single"/>
                <w:lang w:val="tr-TR"/>
              </w:rPr>
              <w:t xml:space="preserve"> </w:t>
            </w:r>
            <w:r w:rsidRPr="00195EDC">
              <w:rPr>
                <w:b/>
                <w:sz w:val="20"/>
                <w:szCs w:val="20"/>
                <w:u w:val="single"/>
                <w:lang w:val="tr-TR"/>
              </w:rPr>
              <w:t>December</w:t>
            </w:r>
            <w:r w:rsidR="00802635" w:rsidRPr="00195EDC">
              <w:rPr>
                <w:b/>
                <w:sz w:val="20"/>
                <w:szCs w:val="20"/>
                <w:u w:val="single"/>
                <w:lang w:val="tr-TR"/>
              </w:rPr>
              <w:t xml:space="preserve"> 2015</w:t>
            </w:r>
          </w:p>
        </w:tc>
        <w:tc>
          <w:tcPr>
            <w:tcW w:w="1695" w:type="dxa"/>
            <w:gridSpan w:val="2"/>
          </w:tcPr>
          <w:p w14:paraId="00550EAA" w14:textId="77777777" w:rsidR="00802635" w:rsidRPr="00195EDC" w:rsidRDefault="00802635" w:rsidP="00F1171C">
            <w:pPr>
              <w:tabs>
                <w:tab w:val="center" w:pos="539"/>
                <w:tab w:val="center" w:pos="5310"/>
                <w:tab w:val="center" w:pos="7560"/>
              </w:tabs>
              <w:jc w:val="both"/>
              <w:rPr>
                <w:sz w:val="20"/>
                <w:szCs w:val="20"/>
                <w:lang w:val="tr-TR"/>
              </w:rPr>
            </w:pPr>
          </w:p>
        </w:tc>
      </w:tr>
      <w:tr w:rsidR="00802635" w:rsidRPr="00195EDC" w14:paraId="126A9B13" w14:textId="77777777" w:rsidTr="00F1171C">
        <w:trPr>
          <w:trHeight w:val="323"/>
        </w:trPr>
        <w:tc>
          <w:tcPr>
            <w:tcW w:w="4285" w:type="dxa"/>
            <w:gridSpan w:val="2"/>
          </w:tcPr>
          <w:p w14:paraId="24163715" w14:textId="77777777" w:rsidR="00802635" w:rsidRPr="00195EDC" w:rsidRDefault="00802635" w:rsidP="00F1171C">
            <w:pPr>
              <w:tabs>
                <w:tab w:val="center" w:pos="539"/>
                <w:tab w:val="center" w:pos="5310"/>
                <w:tab w:val="center" w:pos="7560"/>
              </w:tabs>
              <w:jc w:val="both"/>
              <w:rPr>
                <w:b/>
                <w:sz w:val="20"/>
                <w:szCs w:val="20"/>
                <w:lang w:val="tr-TR"/>
              </w:rPr>
            </w:pPr>
            <w:r w:rsidRPr="00195EDC">
              <w:rPr>
                <w:b/>
                <w:sz w:val="20"/>
                <w:szCs w:val="20"/>
                <w:lang w:val="tr-TR"/>
              </w:rPr>
              <w:t>Foreign currency</w:t>
            </w:r>
          </w:p>
        </w:tc>
        <w:tc>
          <w:tcPr>
            <w:tcW w:w="1695" w:type="dxa"/>
            <w:gridSpan w:val="2"/>
          </w:tcPr>
          <w:p w14:paraId="034BEA5D" w14:textId="77777777" w:rsidR="00802635" w:rsidRPr="00195EDC" w:rsidRDefault="00802635" w:rsidP="00F1171C">
            <w:pPr>
              <w:tabs>
                <w:tab w:val="center" w:pos="539"/>
                <w:tab w:val="center" w:pos="5310"/>
                <w:tab w:val="center" w:pos="7560"/>
              </w:tabs>
              <w:jc w:val="both"/>
              <w:rPr>
                <w:sz w:val="20"/>
                <w:szCs w:val="20"/>
                <w:lang w:val="tr-TR"/>
              </w:rPr>
            </w:pPr>
          </w:p>
        </w:tc>
      </w:tr>
      <w:tr w:rsidR="00802635" w:rsidRPr="00195EDC" w14:paraId="207FAAA2" w14:textId="77777777" w:rsidTr="00991C34">
        <w:trPr>
          <w:gridAfter w:val="1"/>
          <w:wAfter w:w="316" w:type="dxa"/>
          <w:trHeight w:val="199"/>
        </w:trPr>
        <w:tc>
          <w:tcPr>
            <w:tcW w:w="3969" w:type="dxa"/>
          </w:tcPr>
          <w:p w14:paraId="1ECBDE9B" w14:textId="77777777" w:rsidR="00802635" w:rsidRPr="00195EDC" w:rsidRDefault="00802635" w:rsidP="00F1171C">
            <w:pPr>
              <w:spacing w:before="240" w:after="60"/>
              <w:outlineLvl w:val="7"/>
              <w:rPr>
                <w:sz w:val="20"/>
                <w:szCs w:val="20"/>
                <w:lang w:val="tr-TR"/>
              </w:rPr>
            </w:pPr>
            <w:r w:rsidRPr="00195EDC">
              <w:rPr>
                <w:sz w:val="20"/>
                <w:szCs w:val="20"/>
                <w:lang w:val="tr-TR"/>
              </w:rPr>
              <w:t>Long Term</w:t>
            </w:r>
          </w:p>
        </w:tc>
        <w:tc>
          <w:tcPr>
            <w:tcW w:w="1695" w:type="dxa"/>
            <w:gridSpan w:val="2"/>
          </w:tcPr>
          <w:p w14:paraId="0E279B5B" w14:textId="77777777" w:rsidR="00802635" w:rsidRPr="00195EDC" w:rsidRDefault="00802635" w:rsidP="00991C34">
            <w:pPr>
              <w:spacing w:before="240" w:after="60"/>
              <w:outlineLvl w:val="7"/>
              <w:rPr>
                <w:sz w:val="20"/>
                <w:szCs w:val="20"/>
                <w:lang w:val="tr-TR"/>
              </w:rPr>
            </w:pPr>
            <w:r w:rsidRPr="00195EDC">
              <w:rPr>
                <w:sz w:val="20"/>
                <w:szCs w:val="20"/>
                <w:lang w:val="tr-TR"/>
              </w:rPr>
              <w:t>Baa3</w:t>
            </w:r>
          </w:p>
        </w:tc>
      </w:tr>
      <w:tr w:rsidR="00802635" w:rsidRPr="00195EDC" w14:paraId="6E2ECD10" w14:textId="77777777" w:rsidTr="00991C34">
        <w:trPr>
          <w:gridAfter w:val="1"/>
          <w:wAfter w:w="316" w:type="dxa"/>
          <w:trHeight w:val="187"/>
        </w:trPr>
        <w:tc>
          <w:tcPr>
            <w:tcW w:w="3969" w:type="dxa"/>
          </w:tcPr>
          <w:p w14:paraId="5CC1C1A5" w14:textId="77777777" w:rsidR="00802635" w:rsidRPr="00195EDC" w:rsidRDefault="00802635" w:rsidP="00F1171C">
            <w:pPr>
              <w:autoSpaceDE w:val="0"/>
              <w:autoSpaceDN w:val="0"/>
              <w:adjustRightInd w:val="0"/>
              <w:jc w:val="both"/>
              <w:rPr>
                <w:sz w:val="20"/>
                <w:szCs w:val="20"/>
                <w:lang w:val="tr-TR"/>
              </w:rPr>
            </w:pPr>
            <w:r w:rsidRPr="00195EDC">
              <w:rPr>
                <w:sz w:val="20"/>
                <w:szCs w:val="20"/>
                <w:lang w:val="tr-TR"/>
              </w:rPr>
              <w:t>Short Term</w:t>
            </w:r>
          </w:p>
        </w:tc>
        <w:tc>
          <w:tcPr>
            <w:tcW w:w="1695" w:type="dxa"/>
            <w:gridSpan w:val="2"/>
          </w:tcPr>
          <w:p w14:paraId="102ECB02" w14:textId="77777777" w:rsidR="00802635" w:rsidRPr="00195EDC" w:rsidRDefault="00802635" w:rsidP="00991C34">
            <w:pPr>
              <w:autoSpaceDE w:val="0"/>
              <w:autoSpaceDN w:val="0"/>
              <w:adjustRightInd w:val="0"/>
              <w:jc w:val="both"/>
              <w:rPr>
                <w:sz w:val="20"/>
                <w:szCs w:val="20"/>
                <w:lang w:val="tr-TR"/>
              </w:rPr>
            </w:pPr>
            <w:r w:rsidRPr="00195EDC">
              <w:rPr>
                <w:sz w:val="20"/>
                <w:szCs w:val="20"/>
                <w:lang w:val="tr-TR"/>
              </w:rPr>
              <w:t>P-3</w:t>
            </w:r>
          </w:p>
        </w:tc>
      </w:tr>
      <w:tr w:rsidR="00802635" w:rsidRPr="00195EDC" w14:paraId="3197D21E" w14:textId="77777777" w:rsidTr="00991C34">
        <w:trPr>
          <w:gridAfter w:val="1"/>
          <w:wAfter w:w="316" w:type="dxa"/>
          <w:trHeight w:val="199"/>
        </w:trPr>
        <w:tc>
          <w:tcPr>
            <w:tcW w:w="3969" w:type="dxa"/>
          </w:tcPr>
          <w:p w14:paraId="147DC7A4" w14:textId="77777777" w:rsidR="00802635" w:rsidRPr="00195EDC" w:rsidRDefault="00802635" w:rsidP="00F1171C">
            <w:pPr>
              <w:tabs>
                <w:tab w:val="left" w:pos="4500"/>
              </w:tabs>
              <w:autoSpaceDE w:val="0"/>
              <w:autoSpaceDN w:val="0"/>
              <w:adjustRightInd w:val="0"/>
              <w:jc w:val="both"/>
              <w:rPr>
                <w:sz w:val="20"/>
                <w:szCs w:val="20"/>
                <w:lang w:val="tr-TR"/>
              </w:rPr>
            </w:pPr>
          </w:p>
          <w:p w14:paraId="3860968D" w14:textId="77777777" w:rsidR="00802635" w:rsidRPr="00195EDC" w:rsidRDefault="00802635" w:rsidP="00F1171C">
            <w:pPr>
              <w:tabs>
                <w:tab w:val="left" w:pos="4500"/>
              </w:tabs>
              <w:autoSpaceDE w:val="0"/>
              <w:autoSpaceDN w:val="0"/>
              <w:adjustRightInd w:val="0"/>
              <w:jc w:val="both"/>
              <w:rPr>
                <w:sz w:val="20"/>
                <w:szCs w:val="20"/>
                <w:lang w:val="tr-TR"/>
              </w:rPr>
            </w:pPr>
          </w:p>
          <w:p w14:paraId="6C7C6CFF" w14:textId="77777777" w:rsidR="00802635" w:rsidRPr="00195EDC" w:rsidRDefault="00802635" w:rsidP="00F1171C">
            <w:pPr>
              <w:tabs>
                <w:tab w:val="left" w:pos="4500"/>
              </w:tabs>
              <w:autoSpaceDE w:val="0"/>
              <w:autoSpaceDN w:val="0"/>
              <w:adjustRightInd w:val="0"/>
              <w:jc w:val="both"/>
              <w:rPr>
                <w:b/>
                <w:sz w:val="20"/>
                <w:szCs w:val="20"/>
                <w:lang w:val="tr-TR"/>
              </w:rPr>
            </w:pPr>
            <w:r w:rsidRPr="00195EDC">
              <w:rPr>
                <w:b/>
                <w:sz w:val="20"/>
                <w:szCs w:val="20"/>
                <w:lang w:val="tr-TR"/>
              </w:rPr>
              <w:t xml:space="preserve">Local currency </w:t>
            </w:r>
          </w:p>
        </w:tc>
        <w:tc>
          <w:tcPr>
            <w:tcW w:w="1695" w:type="dxa"/>
            <w:gridSpan w:val="2"/>
          </w:tcPr>
          <w:p w14:paraId="7C6E614D" w14:textId="77777777" w:rsidR="00802635" w:rsidRPr="00195EDC" w:rsidRDefault="00802635" w:rsidP="00991C34">
            <w:pPr>
              <w:spacing w:before="240" w:after="60"/>
              <w:outlineLvl w:val="7"/>
              <w:rPr>
                <w:sz w:val="20"/>
                <w:szCs w:val="20"/>
                <w:lang w:val="tr-TR"/>
              </w:rPr>
            </w:pPr>
          </w:p>
        </w:tc>
      </w:tr>
      <w:tr w:rsidR="00802635" w:rsidRPr="00195EDC" w14:paraId="77A26EF8" w14:textId="77777777" w:rsidTr="00991C34">
        <w:trPr>
          <w:gridAfter w:val="1"/>
          <w:wAfter w:w="316" w:type="dxa"/>
          <w:trHeight w:val="199"/>
        </w:trPr>
        <w:tc>
          <w:tcPr>
            <w:tcW w:w="3969" w:type="dxa"/>
          </w:tcPr>
          <w:p w14:paraId="28648837" w14:textId="77777777" w:rsidR="00802635" w:rsidRPr="00195EDC" w:rsidRDefault="00802635" w:rsidP="00F1171C">
            <w:pPr>
              <w:spacing w:before="240" w:after="60"/>
              <w:outlineLvl w:val="7"/>
              <w:rPr>
                <w:sz w:val="20"/>
                <w:szCs w:val="20"/>
                <w:lang w:val="tr-TR"/>
              </w:rPr>
            </w:pPr>
            <w:r w:rsidRPr="00195EDC">
              <w:rPr>
                <w:sz w:val="20"/>
                <w:szCs w:val="20"/>
                <w:lang w:val="tr-TR"/>
              </w:rPr>
              <w:t>Long term</w:t>
            </w:r>
          </w:p>
        </w:tc>
        <w:tc>
          <w:tcPr>
            <w:tcW w:w="1695" w:type="dxa"/>
            <w:gridSpan w:val="2"/>
          </w:tcPr>
          <w:p w14:paraId="33CA6C1D" w14:textId="77777777" w:rsidR="00802635" w:rsidRPr="00195EDC" w:rsidRDefault="00802635" w:rsidP="00991C34">
            <w:pPr>
              <w:spacing w:before="240" w:after="60"/>
              <w:outlineLvl w:val="7"/>
              <w:rPr>
                <w:sz w:val="20"/>
                <w:szCs w:val="20"/>
                <w:lang w:val="tr-TR"/>
              </w:rPr>
            </w:pPr>
            <w:r w:rsidRPr="00195EDC">
              <w:rPr>
                <w:sz w:val="20"/>
                <w:szCs w:val="20"/>
                <w:lang w:val="tr-TR"/>
              </w:rPr>
              <w:t>Baa3</w:t>
            </w:r>
          </w:p>
        </w:tc>
      </w:tr>
      <w:tr w:rsidR="00802635" w:rsidRPr="00195EDC" w14:paraId="261CA4D7" w14:textId="77777777" w:rsidTr="00991C34">
        <w:trPr>
          <w:gridAfter w:val="1"/>
          <w:wAfter w:w="316" w:type="dxa"/>
          <w:trHeight w:val="199"/>
        </w:trPr>
        <w:tc>
          <w:tcPr>
            <w:tcW w:w="3969" w:type="dxa"/>
          </w:tcPr>
          <w:p w14:paraId="2D882984" w14:textId="77777777" w:rsidR="00802635" w:rsidRPr="00195EDC" w:rsidRDefault="00802635" w:rsidP="00F1171C">
            <w:pPr>
              <w:autoSpaceDE w:val="0"/>
              <w:autoSpaceDN w:val="0"/>
              <w:adjustRightInd w:val="0"/>
              <w:jc w:val="both"/>
              <w:rPr>
                <w:sz w:val="20"/>
                <w:szCs w:val="20"/>
                <w:lang w:val="tr-TR"/>
              </w:rPr>
            </w:pPr>
            <w:r w:rsidRPr="00195EDC">
              <w:rPr>
                <w:sz w:val="20"/>
                <w:szCs w:val="20"/>
                <w:lang w:val="tr-TR"/>
              </w:rPr>
              <w:t>Short term</w:t>
            </w:r>
          </w:p>
        </w:tc>
        <w:tc>
          <w:tcPr>
            <w:tcW w:w="1695" w:type="dxa"/>
            <w:gridSpan w:val="2"/>
          </w:tcPr>
          <w:p w14:paraId="5BAD6586" w14:textId="77777777" w:rsidR="00802635" w:rsidRPr="00195EDC" w:rsidRDefault="00802635" w:rsidP="00991C34">
            <w:pPr>
              <w:autoSpaceDE w:val="0"/>
              <w:autoSpaceDN w:val="0"/>
              <w:adjustRightInd w:val="0"/>
              <w:jc w:val="both"/>
              <w:rPr>
                <w:sz w:val="20"/>
                <w:szCs w:val="20"/>
                <w:lang w:val="tr-TR"/>
              </w:rPr>
            </w:pPr>
            <w:r w:rsidRPr="00195EDC">
              <w:rPr>
                <w:sz w:val="20"/>
                <w:szCs w:val="20"/>
                <w:lang w:val="tr-TR"/>
              </w:rPr>
              <w:t>P-3</w:t>
            </w:r>
          </w:p>
        </w:tc>
      </w:tr>
      <w:tr w:rsidR="00802635" w:rsidRPr="00195EDC" w14:paraId="12257F99" w14:textId="77777777" w:rsidTr="00991C34">
        <w:trPr>
          <w:gridAfter w:val="1"/>
          <w:wAfter w:w="316" w:type="dxa"/>
          <w:trHeight w:val="199"/>
        </w:trPr>
        <w:tc>
          <w:tcPr>
            <w:tcW w:w="3969" w:type="dxa"/>
          </w:tcPr>
          <w:p w14:paraId="33EC99CF" w14:textId="77777777" w:rsidR="00802635" w:rsidRPr="00195EDC" w:rsidRDefault="00802635" w:rsidP="00F1171C">
            <w:pPr>
              <w:autoSpaceDE w:val="0"/>
              <w:autoSpaceDN w:val="0"/>
              <w:adjustRightInd w:val="0"/>
              <w:jc w:val="both"/>
              <w:rPr>
                <w:sz w:val="20"/>
                <w:szCs w:val="20"/>
                <w:lang w:val="tr-TR"/>
              </w:rPr>
            </w:pPr>
            <w:r w:rsidRPr="00195EDC">
              <w:rPr>
                <w:sz w:val="20"/>
                <w:szCs w:val="20"/>
                <w:lang w:val="tr-TR"/>
              </w:rPr>
              <w:t xml:space="preserve">National Long Term </w:t>
            </w:r>
          </w:p>
        </w:tc>
        <w:tc>
          <w:tcPr>
            <w:tcW w:w="1695" w:type="dxa"/>
            <w:gridSpan w:val="2"/>
          </w:tcPr>
          <w:p w14:paraId="16D55B8A" w14:textId="77777777" w:rsidR="00802635" w:rsidRPr="00195EDC" w:rsidRDefault="00802635" w:rsidP="00991C34">
            <w:pPr>
              <w:autoSpaceDE w:val="0"/>
              <w:autoSpaceDN w:val="0"/>
              <w:adjustRightInd w:val="0"/>
              <w:jc w:val="both"/>
              <w:rPr>
                <w:sz w:val="20"/>
                <w:szCs w:val="20"/>
                <w:lang w:val="tr-TR"/>
              </w:rPr>
            </w:pPr>
            <w:r w:rsidRPr="00195EDC">
              <w:rPr>
                <w:sz w:val="20"/>
                <w:szCs w:val="20"/>
                <w:lang w:val="tr-TR"/>
              </w:rPr>
              <w:t>A1.tr</w:t>
            </w:r>
          </w:p>
        </w:tc>
      </w:tr>
      <w:tr w:rsidR="00802635" w:rsidRPr="00195EDC" w14:paraId="2514F734" w14:textId="77777777" w:rsidTr="00991C34">
        <w:trPr>
          <w:gridAfter w:val="1"/>
          <w:wAfter w:w="316" w:type="dxa"/>
          <w:trHeight w:val="199"/>
        </w:trPr>
        <w:tc>
          <w:tcPr>
            <w:tcW w:w="3969" w:type="dxa"/>
          </w:tcPr>
          <w:p w14:paraId="439CC87B" w14:textId="77777777" w:rsidR="00802635" w:rsidRPr="00195EDC" w:rsidRDefault="00802635" w:rsidP="00F1171C">
            <w:pPr>
              <w:autoSpaceDE w:val="0"/>
              <w:autoSpaceDN w:val="0"/>
              <w:adjustRightInd w:val="0"/>
              <w:jc w:val="both"/>
              <w:rPr>
                <w:sz w:val="20"/>
                <w:szCs w:val="20"/>
                <w:lang w:val="tr-TR"/>
              </w:rPr>
            </w:pPr>
            <w:r w:rsidRPr="00195EDC">
              <w:rPr>
                <w:sz w:val="20"/>
                <w:szCs w:val="20"/>
                <w:lang w:val="tr-TR"/>
              </w:rPr>
              <w:t xml:space="preserve">National ShortTerm  </w:t>
            </w:r>
          </w:p>
        </w:tc>
        <w:tc>
          <w:tcPr>
            <w:tcW w:w="1695" w:type="dxa"/>
            <w:gridSpan w:val="2"/>
          </w:tcPr>
          <w:p w14:paraId="70C3DD7D" w14:textId="77777777" w:rsidR="00802635" w:rsidRPr="00195EDC" w:rsidRDefault="00802635" w:rsidP="00991C34">
            <w:pPr>
              <w:autoSpaceDE w:val="0"/>
              <w:autoSpaceDN w:val="0"/>
              <w:adjustRightInd w:val="0"/>
              <w:jc w:val="both"/>
              <w:rPr>
                <w:sz w:val="20"/>
                <w:szCs w:val="20"/>
                <w:lang w:val="tr-TR"/>
              </w:rPr>
            </w:pPr>
            <w:r w:rsidRPr="00195EDC">
              <w:rPr>
                <w:sz w:val="20"/>
                <w:szCs w:val="20"/>
                <w:lang w:val="tr-TR"/>
              </w:rPr>
              <w:t>TR-1</w:t>
            </w:r>
          </w:p>
        </w:tc>
      </w:tr>
      <w:tr w:rsidR="00802635" w:rsidRPr="00886A34" w14:paraId="563BE65F" w14:textId="77777777" w:rsidTr="00991C34">
        <w:trPr>
          <w:gridAfter w:val="1"/>
          <w:wAfter w:w="316" w:type="dxa"/>
          <w:trHeight w:val="199"/>
        </w:trPr>
        <w:tc>
          <w:tcPr>
            <w:tcW w:w="3969" w:type="dxa"/>
          </w:tcPr>
          <w:p w14:paraId="305C43DC" w14:textId="77777777" w:rsidR="00802635" w:rsidRPr="00195EDC" w:rsidRDefault="00802635" w:rsidP="00F1171C">
            <w:pPr>
              <w:autoSpaceDE w:val="0"/>
              <w:autoSpaceDN w:val="0"/>
              <w:adjustRightInd w:val="0"/>
              <w:jc w:val="both"/>
              <w:rPr>
                <w:b/>
                <w:sz w:val="20"/>
                <w:szCs w:val="20"/>
                <w:lang w:val="tr-TR"/>
              </w:rPr>
            </w:pPr>
            <w:r w:rsidRPr="00195EDC">
              <w:rPr>
                <w:b/>
                <w:sz w:val="20"/>
                <w:szCs w:val="20"/>
                <w:lang w:val="tr-TR"/>
              </w:rPr>
              <w:t>Outlook</w:t>
            </w:r>
          </w:p>
        </w:tc>
        <w:tc>
          <w:tcPr>
            <w:tcW w:w="1695" w:type="dxa"/>
            <w:gridSpan w:val="2"/>
          </w:tcPr>
          <w:p w14:paraId="5EA40AB7" w14:textId="77777777" w:rsidR="00802635" w:rsidRPr="00886A34" w:rsidRDefault="003E5AC5" w:rsidP="00991C34">
            <w:pPr>
              <w:autoSpaceDE w:val="0"/>
              <w:autoSpaceDN w:val="0"/>
              <w:adjustRightInd w:val="0"/>
              <w:jc w:val="both"/>
              <w:rPr>
                <w:b/>
                <w:sz w:val="20"/>
                <w:szCs w:val="20"/>
                <w:lang w:val="tr-TR"/>
              </w:rPr>
            </w:pPr>
            <w:r w:rsidRPr="00195EDC">
              <w:rPr>
                <w:b/>
                <w:sz w:val="20"/>
                <w:szCs w:val="20"/>
                <w:lang w:val="tr-TR"/>
              </w:rPr>
              <w:t>Negative</w:t>
            </w:r>
          </w:p>
        </w:tc>
      </w:tr>
    </w:tbl>
    <w:p w14:paraId="5301A6D3" w14:textId="77777777" w:rsidR="003B4EC1" w:rsidRDefault="003B4EC1" w:rsidP="00802635">
      <w:pPr>
        <w:pStyle w:val="BodyText"/>
        <w:tabs>
          <w:tab w:val="left" w:pos="2127"/>
        </w:tabs>
        <w:rPr>
          <w:sz w:val="20"/>
        </w:rPr>
      </w:pPr>
    </w:p>
    <w:p w14:paraId="50AEAFEE" w14:textId="370AFD0E" w:rsidR="003B4EC1" w:rsidRPr="00C60E8A" w:rsidRDefault="009E467E" w:rsidP="00C60E8A">
      <w:pPr>
        <w:spacing w:after="200" w:line="276" w:lineRule="auto"/>
        <w:rPr>
          <w:color w:val="800000"/>
          <w:sz w:val="20"/>
          <w:szCs w:val="20"/>
        </w:rPr>
      </w:pPr>
      <w:r>
        <w:rPr>
          <w:sz w:val="20"/>
        </w:rPr>
        <w:br w:type="page"/>
      </w:r>
    </w:p>
    <w:p w14:paraId="58A0180D" w14:textId="2DE30C33" w:rsidR="0044575F" w:rsidRPr="00D60869" w:rsidRDefault="0044575F" w:rsidP="00490153">
      <w:pPr>
        <w:pStyle w:val="BodyText"/>
        <w:tabs>
          <w:tab w:val="left" w:pos="1620"/>
        </w:tabs>
        <w:spacing w:before="120"/>
        <w:jc w:val="center"/>
        <w:rPr>
          <w:b/>
          <w:bCs/>
          <w:noProof/>
          <w:sz w:val="20"/>
          <w:lang w:val="tr-TR"/>
        </w:rPr>
      </w:pPr>
      <w:r w:rsidRPr="00D60869">
        <w:rPr>
          <w:b/>
          <w:bCs/>
          <w:noProof/>
          <w:color w:val="auto"/>
          <w:sz w:val="20"/>
          <w:lang w:val="tr-TR"/>
        </w:rPr>
        <w:lastRenderedPageBreak/>
        <w:t>SECTION SEVEN</w:t>
      </w:r>
    </w:p>
    <w:p w14:paraId="50A5A073" w14:textId="317388A5" w:rsidR="003F14A8" w:rsidRPr="0024251F" w:rsidRDefault="004B6E5C" w:rsidP="00490153">
      <w:pPr>
        <w:pStyle w:val="FootnoteText"/>
        <w:tabs>
          <w:tab w:val="left" w:pos="360"/>
          <w:tab w:val="left" w:pos="1620"/>
          <w:tab w:val="right" w:leader="dot" w:pos="8505"/>
          <w:tab w:val="right" w:pos="9356"/>
        </w:tabs>
        <w:spacing w:before="120"/>
        <w:jc w:val="center"/>
        <w:rPr>
          <w:rFonts w:ascii="Times New Roman" w:hAnsi="Times New Roman"/>
          <w:b/>
          <w:bCs/>
          <w:noProof/>
          <w:sz w:val="20"/>
          <w:lang w:val="tr-TR"/>
        </w:rPr>
      </w:pPr>
      <w:r>
        <w:rPr>
          <w:rFonts w:ascii="Times New Roman" w:hAnsi="Times New Roman"/>
          <w:b/>
          <w:bCs/>
          <w:noProof/>
          <w:sz w:val="20"/>
          <w:lang w:val="tr-TR"/>
        </w:rPr>
        <w:t xml:space="preserve">DISCLOSURES </w:t>
      </w:r>
      <w:r w:rsidR="00FD0C7A">
        <w:rPr>
          <w:rFonts w:ascii="Times New Roman" w:hAnsi="Times New Roman"/>
          <w:b/>
          <w:bCs/>
          <w:noProof/>
          <w:sz w:val="20"/>
          <w:lang w:val="tr-TR"/>
        </w:rPr>
        <w:t>ON INDEPENDENT AUDITOR</w:t>
      </w:r>
      <w:r w:rsidR="003F14A8" w:rsidRPr="0024251F">
        <w:rPr>
          <w:rFonts w:ascii="Times New Roman" w:hAnsi="Times New Roman"/>
          <w:b/>
          <w:bCs/>
          <w:noProof/>
          <w:sz w:val="20"/>
          <w:lang w:val="tr-TR"/>
        </w:rPr>
        <w:t>S</w:t>
      </w:r>
      <w:r w:rsidR="00FD0C7A">
        <w:rPr>
          <w:rFonts w:ascii="Times New Roman" w:hAnsi="Times New Roman"/>
          <w:b/>
          <w:bCs/>
          <w:noProof/>
          <w:sz w:val="20"/>
          <w:lang w:val="tr-TR"/>
        </w:rPr>
        <w:t>’</w:t>
      </w:r>
      <w:r w:rsidR="003F14A8" w:rsidRPr="0024251F">
        <w:rPr>
          <w:rFonts w:ascii="Times New Roman" w:hAnsi="Times New Roman"/>
          <w:b/>
          <w:bCs/>
          <w:noProof/>
          <w:sz w:val="20"/>
          <w:lang w:val="tr-TR"/>
        </w:rPr>
        <w:t xml:space="preserve"> REPORT</w:t>
      </w:r>
    </w:p>
    <w:p w14:paraId="676BA846" w14:textId="09340568" w:rsidR="0044575F" w:rsidRPr="00604C75" w:rsidRDefault="0044575F" w:rsidP="008477F3">
      <w:pPr>
        <w:numPr>
          <w:ilvl w:val="0"/>
          <w:numId w:val="32"/>
        </w:numPr>
        <w:tabs>
          <w:tab w:val="clear" w:pos="1260"/>
          <w:tab w:val="left" w:pos="851"/>
        </w:tabs>
        <w:spacing w:before="120"/>
        <w:ind w:left="851" w:hanging="851"/>
        <w:jc w:val="both"/>
        <w:rPr>
          <w:b/>
          <w:noProof/>
          <w:sz w:val="20"/>
          <w:szCs w:val="20"/>
        </w:rPr>
      </w:pPr>
      <w:r w:rsidRPr="00604C75">
        <w:rPr>
          <w:b/>
          <w:noProof/>
          <w:sz w:val="20"/>
          <w:szCs w:val="20"/>
        </w:rPr>
        <w:t>E</w:t>
      </w:r>
      <w:r w:rsidR="00201DEB" w:rsidRPr="00604C75">
        <w:rPr>
          <w:b/>
          <w:noProof/>
          <w:sz w:val="20"/>
          <w:szCs w:val="20"/>
        </w:rPr>
        <w:t>xplanations</w:t>
      </w:r>
      <w:r w:rsidRPr="00604C75">
        <w:rPr>
          <w:b/>
          <w:noProof/>
          <w:sz w:val="20"/>
          <w:szCs w:val="20"/>
        </w:rPr>
        <w:t xml:space="preserve"> </w:t>
      </w:r>
      <w:r w:rsidR="00201DEB" w:rsidRPr="00604C75">
        <w:rPr>
          <w:b/>
          <w:noProof/>
          <w:sz w:val="20"/>
          <w:szCs w:val="20"/>
        </w:rPr>
        <w:t xml:space="preserve">on </w:t>
      </w:r>
      <w:r w:rsidR="00D60869">
        <w:rPr>
          <w:b/>
          <w:noProof/>
          <w:sz w:val="20"/>
          <w:szCs w:val="20"/>
        </w:rPr>
        <w:t>Independent</w:t>
      </w:r>
      <w:r w:rsidR="003F14A8" w:rsidRPr="0024251F">
        <w:rPr>
          <w:b/>
          <w:noProof/>
          <w:sz w:val="20"/>
          <w:szCs w:val="20"/>
        </w:rPr>
        <w:t xml:space="preserve"> A</w:t>
      </w:r>
      <w:r w:rsidR="00FD0C7A">
        <w:rPr>
          <w:b/>
          <w:noProof/>
          <w:sz w:val="20"/>
          <w:szCs w:val="20"/>
        </w:rPr>
        <w:t>uditor</w:t>
      </w:r>
      <w:r w:rsidR="00D60869">
        <w:rPr>
          <w:b/>
          <w:noProof/>
          <w:sz w:val="20"/>
          <w:szCs w:val="20"/>
        </w:rPr>
        <w:t>s</w:t>
      </w:r>
      <w:r w:rsidR="00FD0C7A">
        <w:rPr>
          <w:b/>
          <w:noProof/>
          <w:sz w:val="20"/>
          <w:szCs w:val="20"/>
        </w:rPr>
        <w:t>’</w:t>
      </w:r>
      <w:r w:rsidR="003F14A8" w:rsidRPr="0024251F">
        <w:rPr>
          <w:b/>
          <w:noProof/>
          <w:sz w:val="20"/>
          <w:szCs w:val="20"/>
        </w:rPr>
        <w:t xml:space="preserve"> </w:t>
      </w:r>
      <w:r w:rsidR="00201DEB" w:rsidRPr="00604C75">
        <w:rPr>
          <w:b/>
          <w:noProof/>
          <w:sz w:val="20"/>
          <w:szCs w:val="20"/>
        </w:rPr>
        <w:t>Report</w:t>
      </w:r>
      <w:r w:rsidR="00201DEB" w:rsidRPr="00604C75" w:rsidDel="00201DEB">
        <w:rPr>
          <w:b/>
          <w:noProof/>
          <w:sz w:val="20"/>
          <w:szCs w:val="20"/>
        </w:rPr>
        <w:t xml:space="preserve"> </w:t>
      </w:r>
    </w:p>
    <w:p w14:paraId="71581CBC" w14:textId="1B5B95D0" w:rsidR="00931B1A" w:rsidRPr="00604C75" w:rsidRDefault="00D95B02" w:rsidP="00490153">
      <w:pPr>
        <w:spacing w:before="120"/>
        <w:ind w:right="-7"/>
        <w:jc w:val="both"/>
        <w:rPr>
          <w:b/>
          <w:noProof/>
          <w:sz w:val="20"/>
          <w:szCs w:val="20"/>
        </w:rPr>
      </w:pPr>
      <w:r w:rsidRPr="00CD0767">
        <w:rPr>
          <w:noProof/>
          <w:sz w:val="20"/>
          <w:szCs w:val="20"/>
        </w:rPr>
        <w:t xml:space="preserve">The </w:t>
      </w:r>
      <w:r w:rsidR="00490153">
        <w:rPr>
          <w:noProof/>
          <w:sz w:val="20"/>
          <w:szCs w:val="20"/>
        </w:rPr>
        <w:t xml:space="preserve">Parent </w:t>
      </w:r>
      <w:r w:rsidRPr="00CD0767">
        <w:rPr>
          <w:noProof/>
          <w:sz w:val="20"/>
          <w:szCs w:val="20"/>
        </w:rPr>
        <w:t xml:space="preserve">Bank’s </w:t>
      </w:r>
      <w:r w:rsidR="00931B1A" w:rsidRPr="00CD0767">
        <w:rPr>
          <w:noProof/>
          <w:sz w:val="20"/>
          <w:szCs w:val="20"/>
        </w:rPr>
        <w:t xml:space="preserve">consolidated financial statements and footnotes to be disclosed to public as of </w:t>
      </w:r>
      <w:r w:rsidR="00A6291D" w:rsidRPr="00CD0767">
        <w:rPr>
          <w:noProof/>
          <w:sz w:val="20"/>
          <w:szCs w:val="20"/>
        </w:rPr>
        <w:t>3</w:t>
      </w:r>
      <w:r w:rsidR="00655538" w:rsidRPr="00CD0767">
        <w:rPr>
          <w:noProof/>
          <w:sz w:val="20"/>
          <w:szCs w:val="20"/>
        </w:rPr>
        <w:t>1</w:t>
      </w:r>
      <w:r w:rsidR="00A6291D" w:rsidRPr="00CD0767">
        <w:rPr>
          <w:noProof/>
          <w:sz w:val="20"/>
          <w:szCs w:val="20"/>
        </w:rPr>
        <w:t xml:space="preserve"> </w:t>
      </w:r>
      <w:r w:rsidR="00655538" w:rsidRPr="00CD0767">
        <w:rPr>
          <w:noProof/>
          <w:sz w:val="20"/>
          <w:szCs w:val="20"/>
        </w:rPr>
        <w:t xml:space="preserve">December </w:t>
      </w:r>
      <w:r w:rsidR="00CA68A0" w:rsidRPr="00CD0767">
        <w:rPr>
          <w:noProof/>
          <w:sz w:val="20"/>
          <w:szCs w:val="20"/>
        </w:rPr>
        <w:t>2015</w:t>
      </w:r>
      <w:r w:rsidR="00931B1A" w:rsidRPr="00CD0767">
        <w:rPr>
          <w:noProof/>
          <w:sz w:val="20"/>
          <w:szCs w:val="20"/>
        </w:rPr>
        <w:t xml:space="preserve"> have been </w:t>
      </w:r>
      <w:r w:rsidR="00B07D54" w:rsidRPr="00CD0767">
        <w:rPr>
          <w:noProof/>
          <w:sz w:val="20"/>
          <w:szCs w:val="20"/>
        </w:rPr>
        <w:t>reviewed</w:t>
      </w:r>
      <w:r w:rsidR="00931B1A" w:rsidRPr="00CD0767">
        <w:rPr>
          <w:noProof/>
          <w:sz w:val="20"/>
          <w:szCs w:val="20"/>
        </w:rPr>
        <w:t xml:space="preserve"> by </w:t>
      </w:r>
      <w:proofErr w:type="spellStart"/>
      <w:r w:rsidR="00931B1A" w:rsidRPr="00CD0767">
        <w:rPr>
          <w:sz w:val="20"/>
          <w:szCs w:val="20"/>
        </w:rPr>
        <w:t>Akis</w:t>
      </w:r>
      <w:proofErr w:type="spellEnd"/>
      <w:r w:rsidR="00931B1A" w:rsidRPr="00CD0767">
        <w:rPr>
          <w:sz w:val="20"/>
          <w:szCs w:val="20"/>
        </w:rPr>
        <w:t xml:space="preserve"> </w:t>
      </w:r>
      <w:proofErr w:type="spellStart"/>
      <w:r w:rsidR="00931B1A" w:rsidRPr="00CD0767">
        <w:rPr>
          <w:sz w:val="20"/>
          <w:szCs w:val="20"/>
        </w:rPr>
        <w:t>Bağımsız</w:t>
      </w:r>
      <w:proofErr w:type="spellEnd"/>
      <w:r w:rsidR="00931B1A" w:rsidRPr="00CD0767">
        <w:rPr>
          <w:sz w:val="20"/>
          <w:szCs w:val="20"/>
        </w:rPr>
        <w:t xml:space="preserve"> </w:t>
      </w:r>
      <w:proofErr w:type="spellStart"/>
      <w:r w:rsidR="00931B1A" w:rsidRPr="00CD0767">
        <w:rPr>
          <w:sz w:val="20"/>
          <w:szCs w:val="20"/>
        </w:rPr>
        <w:t>Denetim</w:t>
      </w:r>
      <w:proofErr w:type="spellEnd"/>
      <w:r w:rsidR="00931B1A" w:rsidRPr="00CD0767">
        <w:rPr>
          <w:sz w:val="20"/>
          <w:szCs w:val="20"/>
        </w:rPr>
        <w:t xml:space="preserve"> </w:t>
      </w:r>
      <w:proofErr w:type="spellStart"/>
      <w:r w:rsidR="00931B1A" w:rsidRPr="00CD0767">
        <w:rPr>
          <w:sz w:val="20"/>
          <w:szCs w:val="20"/>
        </w:rPr>
        <w:t>ve</w:t>
      </w:r>
      <w:proofErr w:type="spellEnd"/>
      <w:r w:rsidR="00931B1A" w:rsidRPr="00CD0767">
        <w:rPr>
          <w:sz w:val="20"/>
          <w:szCs w:val="20"/>
        </w:rPr>
        <w:t xml:space="preserve"> </w:t>
      </w:r>
      <w:proofErr w:type="spellStart"/>
      <w:r w:rsidR="00931B1A" w:rsidRPr="00CD0767">
        <w:rPr>
          <w:sz w:val="20"/>
          <w:szCs w:val="20"/>
        </w:rPr>
        <w:t>Serbest</w:t>
      </w:r>
      <w:proofErr w:type="spellEnd"/>
      <w:r w:rsidR="00931B1A" w:rsidRPr="00CD0767">
        <w:rPr>
          <w:sz w:val="20"/>
          <w:szCs w:val="20"/>
        </w:rPr>
        <w:t xml:space="preserve"> </w:t>
      </w:r>
      <w:proofErr w:type="spellStart"/>
      <w:r w:rsidR="00931B1A" w:rsidRPr="00CD0767">
        <w:rPr>
          <w:sz w:val="20"/>
          <w:szCs w:val="20"/>
        </w:rPr>
        <w:t>Muhasebeci</w:t>
      </w:r>
      <w:proofErr w:type="spellEnd"/>
      <w:r w:rsidR="00931B1A" w:rsidRPr="00CD0767">
        <w:rPr>
          <w:sz w:val="20"/>
          <w:szCs w:val="20"/>
        </w:rPr>
        <w:t xml:space="preserve"> Mali </w:t>
      </w:r>
      <w:proofErr w:type="spellStart"/>
      <w:r w:rsidR="00931B1A" w:rsidRPr="00CD0767">
        <w:rPr>
          <w:sz w:val="20"/>
          <w:szCs w:val="20"/>
        </w:rPr>
        <w:t>Müşavirlik</w:t>
      </w:r>
      <w:proofErr w:type="spellEnd"/>
      <w:r w:rsidR="00931B1A" w:rsidRPr="00CD0767">
        <w:rPr>
          <w:sz w:val="20"/>
          <w:szCs w:val="20"/>
        </w:rPr>
        <w:t xml:space="preserve"> A.Ş. (the Turkish member firm of KPMG International, a Swiss cooperative) </w:t>
      </w:r>
      <w:r w:rsidR="00931B1A" w:rsidRPr="00CD0767">
        <w:rPr>
          <w:noProof/>
          <w:sz w:val="20"/>
          <w:szCs w:val="20"/>
        </w:rPr>
        <w:t xml:space="preserve">and the </w:t>
      </w:r>
      <w:r w:rsidR="00FD0C7A">
        <w:rPr>
          <w:noProof/>
          <w:sz w:val="20"/>
          <w:szCs w:val="20"/>
        </w:rPr>
        <w:t>independent auditors’</w:t>
      </w:r>
      <w:r w:rsidR="00B521E7" w:rsidRPr="00CD0767">
        <w:rPr>
          <w:noProof/>
          <w:sz w:val="20"/>
          <w:szCs w:val="20"/>
        </w:rPr>
        <w:t xml:space="preserve"> </w:t>
      </w:r>
      <w:r w:rsidR="00931B1A" w:rsidRPr="00CD0767">
        <w:rPr>
          <w:noProof/>
          <w:sz w:val="20"/>
          <w:szCs w:val="20"/>
        </w:rPr>
        <w:t>report dated</w:t>
      </w:r>
      <w:r w:rsidR="00CA68A0" w:rsidRPr="00CD0767">
        <w:rPr>
          <w:noProof/>
          <w:sz w:val="20"/>
          <w:szCs w:val="20"/>
        </w:rPr>
        <w:t xml:space="preserve"> </w:t>
      </w:r>
      <w:r w:rsidR="00A7449F" w:rsidRPr="00CD0767">
        <w:rPr>
          <w:noProof/>
          <w:sz w:val="20"/>
          <w:szCs w:val="20"/>
        </w:rPr>
        <w:t>5 February 201</w:t>
      </w:r>
      <w:r w:rsidR="007043B9">
        <w:rPr>
          <w:noProof/>
          <w:sz w:val="20"/>
          <w:szCs w:val="20"/>
        </w:rPr>
        <w:t>6</w:t>
      </w:r>
      <w:r w:rsidR="00A7449F" w:rsidRPr="00CD0767">
        <w:rPr>
          <w:noProof/>
          <w:sz w:val="20"/>
          <w:szCs w:val="20"/>
        </w:rPr>
        <w:t xml:space="preserve"> </w:t>
      </w:r>
      <w:r w:rsidRPr="00CD0767">
        <w:rPr>
          <w:noProof/>
          <w:sz w:val="20"/>
          <w:szCs w:val="20"/>
        </w:rPr>
        <w:t xml:space="preserve">has been presented with the </w:t>
      </w:r>
      <w:r w:rsidR="00931B1A" w:rsidRPr="00CD0767">
        <w:rPr>
          <w:noProof/>
          <w:sz w:val="20"/>
          <w:szCs w:val="20"/>
        </w:rPr>
        <w:t>consolidated financial statements.</w:t>
      </w:r>
      <w:r w:rsidR="00070CCA">
        <w:rPr>
          <w:noProof/>
          <w:sz w:val="20"/>
          <w:szCs w:val="20"/>
        </w:rPr>
        <w:t xml:space="preserve"> </w:t>
      </w:r>
      <w:r w:rsidR="0015523B">
        <w:rPr>
          <w:noProof/>
          <w:sz w:val="20"/>
          <w:szCs w:val="20"/>
        </w:rPr>
        <w:t>It is stated that t</w:t>
      </w:r>
      <w:r w:rsidR="00070CCA">
        <w:rPr>
          <w:noProof/>
          <w:sz w:val="20"/>
          <w:szCs w:val="20"/>
        </w:rPr>
        <w:t xml:space="preserve">hese consolidated financial statements </w:t>
      </w:r>
      <w:r w:rsidR="0015523B">
        <w:rPr>
          <w:noProof/>
          <w:sz w:val="20"/>
          <w:szCs w:val="20"/>
        </w:rPr>
        <w:t xml:space="preserve">reflected </w:t>
      </w:r>
      <w:r w:rsidR="00070CCA" w:rsidRPr="00070CCA">
        <w:rPr>
          <w:noProof/>
          <w:sz w:val="20"/>
          <w:szCs w:val="20"/>
        </w:rPr>
        <w:t>The Parent Bank and its financial condition and results of operations of financial subsidiaries</w:t>
      </w:r>
      <w:r w:rsidR="0015523B">
        <w:rPr>
          <w:noProof/>
          <w:sz w:val="20"/>
          <w:szCs w:val="20"/>
        </w:rPr>
        <w:t xml:space="preserve"> correctly.</w:t>
      </w:r>
    </w:p>
    <w:p w14:paraId="01BF578C" w14:textId="43261385" w:rsidR="00201DEB" w:rsidRPr="00604C75" w:rsidRDefault="0044575F" w:rsidP="008477F3">
      <w:pPr>
        <w:numPr>
          <w:ilvl w:val="0"/>
          <w:numId w:val="32"/>
        </w:numPr>
        <w:tabs>
          <w:tab w:val="clear" w:pos="1260"/>
        </w:tabs>
        <w:spacing w:before="120"/>
        <w:ind w:left="709" w:hanging="709"/>
        <w:jc w:val="both"/>
        <w:rPr>
          <w:b/>
          <w:noProof/>
          <w:sz w:val="20"/>
          <w:szCs w:val="20"/>
        </w:rPr>
      </w:pPr>
      <w:r w:rsidRPr="00604C75">
        <w:rPr>
          <w:b/>
          <w:noProof/>
          <w:sz w:val="20"/>
          <w:szCs w:val="20"/>
        </w:rPr>
        <w:t>E</w:t>
      </w:r>
      <w:r w:rsidR="00201DEB" w:rsidRPr="00604C75">
        <w:rPr>
          <w:b/>
          <w:noProof/>
          <w:sz w:val="20"/>
          <w:szCs w:val="20"/>
        </w:rPr>
        <w:t xml:space="preserve">xplanations and </w:t>
      </w:r>
      <w:r w:rsidR="004B6E5C">
        <w:rPr>
          <w:b/>
          <w:noProof/>
          <w:sz w:val="20"/>
          <w:szCs w:val="20"/>
        </w:rPr>
        <w:t>Footn</w:t>
      </w:r>
      <w:r w:rsidR="00201DEB" w:rsidRPr="00604C75">
        <w:rPr>
          <w:b/>
          <w:noProof/>
          <w:sz w:val="20"/>
          <w:szCs w:val="20"/>
        </w:rPr>
        <w:t>otes Prepared by Independent Auditor</w:t>
      </w:r>
    </w:p>
    <w:p w14:paraId="02948EEE" w14:textId="77777777" w:rsidR="009F03D9" w:rsidRDefault="0044575F" w:rsidP="00490153">
      <w:pPr>
        <w:spacing w:before="120"/>
        <w:rPr>
          <w:sz w:val="22"/>
        </w:rPr>
      </w:pPr>
      <w:r w:rsidRPr="00604C75">
        <w:rPr>
          <w:noProof/>
          <w:sz w:val="20"/>
          <w:szCs w:val="20"/>
        </w:rPr>
        <w:t>None.</w:t>
      </w:r>
      <w:r w:rsidR="009F03D9">
        <w:rPr>
          <w:sz w:val="22"/>
        </w:rPr>
        <w:t xml:space="preserve">                  </w:t>
      </w:r>
    </w:p>
    <w:sectPr w:rsidR="009F03D9" w:rsidSect="00702219">
      <w:pgSz w:w="12240" w:h="15840"/>
      <w:pgMar w:top="1134" w:right="1474" w:bottom="709"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8C1C7" w14:textId="77777777" w:rsidR="00761279" w:rsidRDefault="00761279" w:rsidP="00FF4CA2">
      <w:r>
        <w:separator/>
      </w:r>
    </w:p>
  </w:endnote>
  <w:endnote w:type="continuationSeparator" w:id="0">
    <w:p w14:paraId="7022D614" w14:textId="77777777" w:rsidR="00761279" w:rsidRDefault="00761279" w:rsidP="00FF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Univers for KPMG Light">
    <w:altName w:val="Trebuchet MS"/>
    <w:charset w:val="A2"/>
    <w:family w:val="swiss"/>
    <w:pitch w:val="variable"/>
    <w:sig w:usb0="00000001" w:usb1="5000204A" w:usb2="00000000" w:usb3="00000000" w:csb0="0000009F" w:csb1="00000000"/>
  </w:font>
  <w:font w:name="Times New Roman TUR">
    <w:panose1 w:val="02020603050405020304"/>
    <w:charset w:val="A2"/>
    <w:family w:val="roman"/>
    <w:pitch w:val="variable"/>
    <w:sig w:usb0="E0002AFF" w:usb1="C0007841" w:usb2="00000009" w:usb3="00000000" w:csb0="000001FF" w:csb1="00000000"/>
  </w:font>
  <w:font w:name="ヒラギノ明朝 Pro W3">
    <w:panose1 w:val="00000000000000000000"/>
    <w:charset w:val="80"/>
    <w:family w:val="roman"/>
    <w:notTrueType/>
    <w:pitch w:val="default"/>
    <w:sig w:usb0="00000001" w:usb1="08070000" w:usb2="00000010" w:usb3="00000000" w:csb0="00020000" w:csb1="00000000"/>
  </w:font>
  <w:font w:name="TrebuchetMS-Identity-H">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81A4D" w14:textId="77777777" w:rsidR="00462855" w:rsidRDefault="00462855">
    <w:pPr>
      <w:pStyle w:val="Footer"/>
      <w:jc w:val="center"/>
    </w:pPr>
  </w:p>
  <w:p w14:paraId="0385B094" w14:textId="77777777" w:rsidR="00462855" w:rsidRDefault="004628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06986" w14:textId="77777777" w:rsidR="00462855" w:rsidRDefault="0046285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870918"/>
      <w:docPartObj>
        <w:docPartGallery w:val="Page Numbers (Bottom of Page)"/>
        <w:docPartUnique/>
      </w:docPartObj>
    </w:sdtPr>
    <w:sdtEndPr>
      <w:rPr>
        <w:noProof/>
        <w:sz w:val="20"/>
        <w:szCs w:val="20"/>
      </w:rPr>
    </w:sdtEndPr>
    <w:sdtContent>
      <w:p w14:paraId="614FEDE3" w14:textId="2F20423D" w:rsidR="00462855" w:rsidRDefault="00462855">
        <w:pPr>
          <w:pStyle w:val="Footer"/>
          <w:jc w:val="center"/>
        </w:pPr>
        <w:r w:rsidRPr="00AC2013">
          <w:rPr>
            <w:sz w:val="20"/>
            <w:szCs w:val="20"/>
          </w:rPr>
          <w:fldChar w:fldCharType="begin"/>
        </w:r>
        <w:r w:rsidRPr="00AC2013">
          <w:rPr>
            <w:sz w:val="20"/>
            <w:szCs w:val="20"/>
          </w:rPr>
          <w:instrText xml:space="preserve"> PAGE   \* MERGEFORMAT </w:instrText>
        </w:r>
        <w:r w:rsidRPr="00AC2013">
          <w:rPr>
            <w:sz w:val="20"/>
            <w:szCs w:val="20"/>
          </w:rPr>
          <w:fldChar w:fldCharType="separate"/>
        </w:r>
        <w:r w:rsidR="00B63FB5">
          <w:rPr>
            <w:noProof/>
            <w:sz w:val="20"/>
            <w:szCs w:val="20"/>
          </w:rPr>
          <w:t>10</w:t>
        </w:r>
        <w:r w:rsidRPr="00AC2013">
          <w:rPr>
            <w:noProof/>
            <w:sz w:val="20"/>
            <w:szCs w:val="20"/>
          </w:rPr>
          <w:fldChar w:fldCharType="end"/>
        </w:r>
      </w:p>
    </w:sdtContent>
  </w:sdt>
  <w:p w14:paraId="3059DF83" w14:textId="77777777" w:rsidR="00462855" w:rsidRPr="001860B4" w:rsidRDefault="00462855" w:rsidP="00200901">
    <w:pPr>
      <w:pStyle w:val="Footer"/>
      <w:tabs>
        <w:tab w:val="left" w:pos="2394"/>
        <w:tab w:val="center" w:pos="5207"/>
      </w:tabs>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232194"/>
      <w:docPartObj>
        <w:docPartGallery w:val="Page Numbers (Bottom of Page)"/>
        <w:docPartUnique/>
      </w:docPartObj>
    </w:sdtPr>
    <w:sdtEndPr>
      <w:rPr>
        <w:noProof/>
      </w:rPr>
    </w:sdtEndPr>
    <w:sdtContent>
      <w:p w14:paraId="382A51FA" w14:textId="77777777" w:rsidR="00462855" w:rsidRDefault="00462855">
        <w:pPr>
          <w:pStyle w:val="Footer"/>
          <w:jc w:val="center"/>
        </w:pPr>
        <w:r w:rsidRPr="009C1ADD">
          <w:rPr>
            <w:sz w:val="20"/>
            <w:szCs w:val="20"/>
          </w:rPr>
          <w:fldChar w:fldCharType="begin"/>
        </w:r>
        <w:r w:rsidRPr="009C1ADD">
          <w:rPr>
            <w:sz w:val="20"/>
            <w:szCs w:val="20"/>
          </w:rPr>
          <w:instrText xml:space="preserve"> PAGE   \* MERGEFORMAT </w:instrText>
        </w:r>
        <w:r w:rsidRPr="009C1ADD">
          <w:rPr>
            <w:sz w:val="20"/>
            <w:szCs w:val="20"/>
          </w:rPr>
          <w:fldChar w:fldCharType="separate"/>
        </w:r>
        <w:r w:rsidR="00B63FB5">
          <w:rPr>
            <w:noProof/>
            <w:sz w:val="20"/>
            <w:szCs w:val="20"/>
          </w:rPr>
          <w:t>29</w:t>
        </w:r>
        <w:r w:rsidRPr="009C1ADD">
          <w:rPr>
            <w:noProof/>
            <w:sz w:val="20"/>
            <w:szCs w:val="20"/>
          </w:rPr>
          <w:fldChar w:fldCharType="end"/>
        </w:r>
      </w:p>
    </w:sdtContent>
  </w:sdt>
  <w:p w14:paraId="4A97BD6F" w14:textId="77777777" w:rsidR="00462855" w:rsidRPr="009A67A4" w:rsidRDefault="00462855" w:rsidP="00D004B7">
    <w:pPr>
      <w:pStyle w:val="Footer"/>
      <w:jc w:val="center"/>
      <w:rPr>
        <w:rStyle w:val="PageNumbe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1FDE4" w14:textId="77777777" w:rsidR="00462855" w:rsidRDefault="00462855" w:rsidP="0044575F">
    <w:pPr>
      <w:pStyle w:val="Footer"/>
      <w:jc w:val="center"/>
      <w:rPr>
        <w:sz w:val="20"/>
      </w:rPr>
    </w:pPr>
    <w:r w:rsidRPr="00317F3F">
      <w:rPr>
        <w:sz w:val="20"/>
      </w:rPr>
      <w:fldChar w:fldCharType="begin"/>
    </w:r>
    <w:r w:rsidRPr="00317F3F">
      <w:rPr>
        <w:sz w:val="20"/>
      </w:rPr>
      <w:instrText xml:space="preserve"> PAGE   \* MERGEFORMAT </w:instrText>
    </w:r>
    <w:r w:rsidRPr="00317F3F">
      <w:rPr>
        <w:sz w:val="20"/>
      </w:rPr>
      <w:fldChar w:fldCharType="separate"/>
    </w:r>
    <w:r w:rsidR="00B63FB5">
      <w:rPr>
        <w:noProof/>
        <w:sz w:val="20"/>
      </w:rPr>
      <w:t>101</w:t>
    </w:r>
    <w:r w:rsidRPr="00317F3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08B50" w14:textId="77777777" w:rsidR="00761279" w:rsidRDefault="00761279" w:rsidP="00FF4CA2">
      <w:r>
        <w:separator/>
      </w:r>
    </w:p>
  </w:footnote>
  <w:footnote w:type="continuationSeparator" w:id="0">
    <w:p w14:paraId="3DCDBA4A" w14:textId="77777777" w:rsidR="00761279" w:rsidRDefault="00761279" w:rsidP="00FF4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C6F1F" w14:textId="77777777" w:rsidR="00462855" w:rsidRPr="009E5BDA" w:rsidRDefault="00462855" w:rsidP="001B11B3">
    <w:pPr>
      <w:pStyle w:val="BodyTextIndent2"/>
      <w:tabs>
        <w:tab w:val="center" w:pos="4253"/>
      </w:tabs>
      <w:ind w:left="0" w:firstLine="0"/>
      <w:jc w:val="left"/>
      <w:rPr>
        <w:b/>
        <w:sz w:val="22"/>
        <w:szCs w:val="22"/>
      </w:rPr>
    </w:pPr>
    <w:r w:rsidRPr="009E5BDA">
      <w:rPr>
        <w:b/>
        <w:sz w:val="22"/>
        <w:szCs w:val="22"/>
      </w:rPr>
      <w:t>ALTERNATİFBANK A.Ş.</w:t>
    </w:r>
  </w:p>
  <w:p w14:paraId="7E1FC210" w14:textId="77777777" w:rsidR="00462855" w:rsidRPr="00D937D1" w:rsidRDefault="00462855" w:rsidP="001B11B3">
    <w:pPr>
      <w:pStyle w:val="BodyTextIndent2"/>
      <w:tabs>
        <w:tab w:val="center" w:pos="4253"/>
      </w:tabs>
      <w:ind w:left="0" w:firstLine="0"/>
      <w:jc w:val="left"/>
      <w:rPr>
        <w:b/>
        <w:sz w:val="22"/>
        <w:szCs w:val="22"/>
      </w:rPr>
    </w:pPr>
    <w:r w:rsidRPr="00D937D1">
      <w:rPr>
        <w:b/>
        <w:sz w:val="22"/>
        <w:szCs w:val="22"/>
      </w:rPr>
      <w:t>NOTES TO THE CONSOLIDATED FINANCIAL STATEMENTS</w:t>
    </w:r>
  </w:p>
  <w:p w14:paraId="2364DCCC" w14:textId="4493C257" w:rsidR="00462855" w:rsidRPr="00D937D1" w:rsidRDefault="00462855" w:rsidP="001B11B3">
    <w:pPr>
      <w:pStyle w:val="BodyTextIndent2"/>
      <w:tabs>
        <w:tab w:val="center" w:pos="4253"/>
      </w:tabs>
      <w:ind w:left="0" w:firstLine="0"/>
      <w:jc w:val="left"/>
      <w:rPr>
        <w:b/>
        <w:sz w:val="22"/>
        <w:szCs w:val="22"/>
      </w:rPr>
    </w:pPr>
    <w:r w:rsidRPr="00D937D1">
      <w:rPr>
        <w:b/>
        <w:sz w:val="22"/>
        <w:szCs w:val="22"/>
      </w:rPr>
      <w:t>FOR THE YEAR ENDED 31 DECEMBER 2015</w:t>
    </w:r>
  </w:p>
  <w:p w14:paraId="6F7730AF" w14:textId="39D2856F" w:rsidR="00462855" w:rsidRPr="00A547F9" w:rsidRDefault="00462855" w:rsidP="005470C9">
    <w:pPr>
      <w:pBdr>
        <w:bottom w:val="single" w:sz="4" w:space="1" w:color="auto"/>
      </w:pBdr>
      <w:tabs>
        <w:tab w:val="right" w:pos="8460"/>
      </w:tabs>
      <w:suppressAutoHyphens/>
      <w:jc w:val="both"/>
      <w:rPr>
        <w:sz w:val="18"/>
        <w:szCs w:val="18"/>
        <w:u w:val="single"/>
      </w:rPr>
    </w:pPr>
    <w:r w:rsidRPr="00A547F9">
      <w:rPr>
        <w:sz w:val="18"/>
        <w:szCs w:val="18"/>
        <w:u w:val="single"/>
      </w:rPr>
      <w:t>(Amounts expressed in thousands of Turkish Lira (“TL”) unless otherwise stated.)</w:t>
    </w:r>
  </w:p>
  <w:p w14:paraId="4A939AB7" w14:textId="77777777" w:rsidR="00462855" w:rsidRPr="00D67915" w:rsidRDefault="00462855" w:rsidP="00D67915">
    <w:pPr>
      <w:tabs>
        <w:tab w:val="right" w:pos="8460"/>
      </w:tabs>
      <w:suppressAutoHyphen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76CC6" w14:textId="77777777" w:rsidR="00462855" w:rsidRPr="009E5BDA" w:rsidRDefault="00462855" w:rsidP="00445119">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14:paraId="2414F373" w14:textId="26F7C5EA" w:rsidR="00462855" w:rsidRPr="009E5BDA" w:rsidRDefault="00462855" w:rsidP="00445119">
    <w:pPr>
      <w:tabs>
        <w:tab w:val="right" w:pos="10440"/>
      </w:tabs>
      <w:suppressAutoHyphens/>
      <w:ind w:right="-22"/>
      <w:jc w:val="both"/>
      <w:rPr>
        <w:b/>
        <w:bCs/>
        <w:sz w:val="22"/>
        <w:szCs w:val="22"/>
      </w:rPr>
    </w:pPr>
    <w:r w:rsidRPr="009E5BDA">
      <w:rPr>
        <w:b/>
        <w:bCs/>
        <w:sz w:val="22"/>
        <w:szCs w:val="22"/>
      </w:rPr>
      <w:t xml:space="preserve">CONSOLIDATED </w:t>
    </w:r>
    <w:r>
      <w:rPr>
        <w:b/>
        <w:bCs/>
        <w:sz w:val="22"/>
        <w:szCs w:val="22"/>
      </w:rPr>
      <w:t>BALANCE SHEET (STATEMENT OF FINANCIAL POSITION)</w:t>
    </w:r>
  </w:p>
  <w:p w14:paraId="52CC5593" w14:textId="24422487" w:rsidR="00462855" w:rsidRPr="00D75567" w:rsidRDefault="00462855" w:rsidP="005A2321">
    <w:pPr>
      <w:rPr>
        <w:b/>
        <w:sz w:val="22"/>
        <w:szCs w:val="22"/>
        <w:lang w:val="tr-TR"/>
      </w:rPr>
    </w:pPr>
    <w:r>
      <w:rPr>
        <w:b/>
        <w:sz w:val="22"/>
        <w:szCs w:val="22"/>
        <w:lang w:val="tr-TR"/>
      </w:rPr>
      <w:t>AS AT 31 DECEMBER</w:t>
    </w:r>
    <w:r w:rsidRPr="009E5BDA">
      <w:rPr>
        <w:b/>
        <w:sz w:val="22"/>
        <w:szCs w:val="22"/>
        <w:lang w:val="tr-TR"/>
      </w:rPr>
      <w:t xml:space="preserve"> 2015</w:t>
    </w:r>
  </w:p>
  <w:p w14:paraId="03FBB73B" w14:textId="5C55C957" w:rsidR="00462855" w:rsidRPr="00A547F9" w:rsidRDefault="00462855" w:rsidP="00445119">
    <w:pPr>
      <w:pBdr>
        <w:bottom w:val="single" w:sz="4" w:space="1" w:color="auto"/>
      </w:pBdr>
      <w:tabs>
        <w:tab w:val="right" w:pos="8460"/>
      </w:tabs>
      <w:suppressAutoHyphens/>
      <w:jc w:val="both"/>
      <w:rPr>
        <w:sz w:val="18"/>
        <w:szCs w:val="18"/>
        <w:u w:val="single"/>
      </w:rPr>
    </w:pPr>
    <w:r w:rsidRPr="00A547F9">
      <w:rPr>
        <w:sz w:val="18"/>
        <w:szCs w:val="18"/>
        <w:u w:val="single"/>
      </w:rPr>
      <w:t>(Amounts expressed in thousands of Turkish Lira (“TL”) unless otherwise stated.)</w:t>
    </w:r>
  </w:p>
  <w:p w14:paraId="6AB10934" w14:textId="77777777" w:rsidR="00462855" w:rsidRPr="0008575D" w:rsidRDefault="00462855" w:rsidP="0008575D">
    <w:pPr>
      <w:tabs>
        <w:tab w:val="right" w:pos="10440"/>
      </w:tabs>
      <w:suppressAutoHyphens/>
      <w:ind w:right="-22"/>
      <w:jc w:val="both"/>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06901" w14:textId="77777777" w:rsidR="00462855" w:rsidRPr="009E5BDA" w:rsidRDefault="00462855" w:rsidP="005A2321">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14:paraId="14692A13" w14:textId="5028ABE1" w:rsidR="00462855" w:rsidRPr="009E5BDA" w:rsidRDefault="00462855" w:rsidP="005A2321">
    <w:pPr>
      <w:tabs>
        <w:tab w:val="right" w:pos="10440"/>
      </w:tabs>
      <w:suppressAutoHyphens/>
      <w:ind w:right="-22"/>
      <w:jc w:val="both"/>
      <w:rPr>
        <w:b/>
        <w:bCs/>
        <w:sz w:val="22"/>
        <w:szCs w:val="22"/>
      </w:rPr>
    </w:pPr>
    <w:r w:rsidRPr="009E5BDA">
      <w:rPr>
        <w:b/>
        <w:bCs/>
        <w:sz w:val="22"/>
        <w:szCs w:val="22"/>
      </w:rPr>
      <w:t xml:space="preserve">CONSOLIDATED </w:t>
    </w:r>
    <w:r>
      <w:rPr>
        <w:b/>
        <w:bCs/>
        <w:sz w:val="22"/>
        <w:szCs w:val="22"/>
      </w:rPr>
      <w:t>STATEMENT OF OFF-BALANCE SHEET ITEMS</w:t>
    </w:r>
  </w:p>
  <w:p w14:paraId="217FE529" w14:textId="56EE784E" w:rsidR="00462855" w:rsidRPr="00D75567" w:rsidRDefault="00462855" w:rsidP="005A2321">
    <w:pPr>
      <w:rPr>
        <w:b/>
        <w:sz w:val="22"/>
        <w:szCs w:val="22"/>
        <w:lang w:val="tr-TR"/>
      </w:rPr>
    </w:pPr>
    <w:r>
      <w:rPr>
        <w:b/>
        <w:sz w:val="22"/>
        <w:szCs w:val="22"/>
        <w:lang w:val="tr-TR"/>
      </w:rPr>
      <w:t>AS AT 31 DECEMBER</w:t>
    </w:r>
    <w:r w:rsidRPr="009E5BDA">
      <w:rPr>
        <w:b/>
        <w:sz w:val="22"/>
        <w:szCs w:val="22"/>
        <w:lang w:val="tr-TR"/>
      </w:rPr>
      <w:t xml:space="preserve"> 2015</w:t>
    </w:r>
  </w:p>
  <w:p w14:paraId="42870998" w14:textId="6219FC86" w:rsidR="00462855" w:rsidRPr="00A547F9" w:rsidRDefault="00462855" w:rsidP="00A547F9">
    <w:pPr>
      <w:pBdr>
        <w:bottom w:val="single" w:sz="4" w:space="1" w:color="auto"/>
      </w:pBdr>
      <w:tabs>
        <w:tab w:val="right" w:pos="8460"/>
      </w:tabs>
      <w:suppressAutoHyphens/>
      <w:jc w:val="both"/>
      <w:rPr>
        <w:sz w:val="18"/>
        <w:szCs w:val="18"/>
        <w:u w:val="single"/>
      </w:rPr>
    </w:pPr>
    <w:r w:rsidRPr="00A547F9">
      <w:rPr>
        <w:sz w:val="18"/>
        <w:szCs w:val="18"/>
        <w:u w:val="single"/>
      </w:rPr>
      <w:t>(Amounts expressed in thousands of Turkish Lira (“TL”) unless otherwise stated.)</w:t>
    </w:r>
  </w:p>
  <w:p w14:paraId="5187F2CB" w14:textId="77777777" w:rsidR="00462855" w:rsidRPr="00A547F9" w:rsidRDefault="00462855" w:rsidP="00A547F9">
    <w:pPr>
      <w:tabs>
        <w:tab w:val="center" w:pos="5041"/>
      </w:tabs>
      <w:suppressAutoHyphens/>
      <w:jc w:val="center"/>
      <w:rPr>
        <w:sz w:val="18"/>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49310" w14:textId="77777777" w:rsidR="00462855" w:rsidRPr="009E5BDA" w:rsidRDefault="00462855" w:rsidP="005A2321">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14:paraId="1C9AB45E" w14:textId="2DF83FFD" w:rsidR="00462855" w:rsidRPr="009E5BDA" w:rsidRDefault="00462855" w:rsidP="005A2321">
    <w:pPr>
      <w:tabs>
        <w:tab w:val="right" w:pos="10440"/>
      </w:tabs>
      <w:suppressAutoHyphens/>
      <w:ind w:right="-22"/>
      <w:jc w:val="both"/>
      <w:rPr>
        <w:b/>
        <w:bCs/>
        <w:sz w:val="22"/>
        <w:szCs w:val="22"/>
      </w:rPr>
    </w:pPr>
    <w:r w:rsidRPr="009E5BDA">
      <w:rPr>
        <w:b/>
        <w:bCs/>
        <w:sz w:val="22"/>
        <w:szCs w:val="22"/>
      </w:rPr>
      <w:t xml:space="preserve">CONSOLIDATED </w:t>
    </w:r>
    <w:r>
      <w:rPr>
        <w:b/>
        <w:bCs/>
        <w:sz w:val="22"/>
        <w:szCs w:val="22"/>
      </w:rPr>
      <w:t>INCOME STATEMENT</w:t>
    </w:r>
  </w:p>
  <w:p w14:paraId="76062EAC" w14:textId="27BB924C" w:rsidR="00462855" w:rsidRPr="00D75567" w:rsidRDefault="00462855" w:rsidP="005A2321">
    <w:pPr>
      <w:rPr>
        <w:b/>
        <w:sz w:val="22"/>
        <w:szCs w:val="22"/>
        <w:lang w:val="tr-TR"/>
      </w:rPr>
    </w:pPr>
    <w:r w:rsidRPr="009E5BDA">
      <w:rPr>
        <w:b/>
        <w:sz w:val="22"/>
        <w:szCs w:val="22"/>
        <w:lang w:val="tr-TR"/>
      </w:rPr>
      <w:t xml:space="preserve">FOR THE </w:t>
    </w:r>
    <w:r>
      <w:rPr>
        <w:b/>
        <w:sz w:val="22"/>
        <w:szCs w:val="22"/>
        <w:lang w:val="tr-TR"/>
      </w:rPr>
      <w:t>YEAR ENDED 31 DECEMBER</w:t>
    </w:r>
    <w:r w:rsidRPr="009E5BDA">
      <w:rPr>
        <w:b/>
        <w:sz w:val="22"/>
        <w:szCs w:val="22"/>
        <w:lang w:val="tr-TR"/>
      </w:rPr>
      <w:t xml:space="preserve"> 2015</w:t>
    </w:r>
  </w:p>
  <w:p w14:paraId="663962FC" w14:textId="19F98C6E" w:rsidR="00462855" w:rsidRPr="00A547F9" w:rsidRDefault="00462855" w:rsidP="00E850B8">
    <w:pPr>
      <w:pBdr>
        <w:bottom w:val="single" w:sz="4" w:space="1" w:color="auto"/>
      </w:pBdr>
      <w:tabs>
        <w:tab w:val="right" w:pos="8460"/>
      </w:tabs>
      <w:suppressAutoHyphens/>
      <w:jc w:val="both"/>
      <w:rPr>
        <w:sz w:val="18"/>
        <w:szCs w:val="18"/>
        <w:u w:val="single"/>
      </w:rPr>
    </w:pPr>
    <w:r w:rsidRPr="00A547F9">
      <w:rPr>
        <w:sz w:val="18"/>
        <w:szCs w:val="18"/>
        <w:u w:val="single"/>
      </w:rPr>
      <w:t>(Amounts expressed in thousands of Turkish Lira (“TL”) unless otherwise stated.)</w:t>
    </w:r>
  </w:p>
  <w:p w14:paraId="429749F8" w14:textId="77777777" w:rsidR="00462855" w:rsidRPr="006E1CDA" w:rsidRDefault="00462855" w:rsidP="006E1CDA">
    <w:pPr>
      <w:pStyle w:val="Header"/>
      <w:rPr>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6B57D" w14:textId="77777777" w:rsidR="00462855" w:rsidRPr="009E5BDA" w:rsidRDefault="00462855" w:rsidP="00991AA1">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14:paraId="42ED5AD2" w14:textId="14A69D37" w:rsidR="00462855" w:rsidRPr="009E5BDA" w:rsidRDefault="00462855" w:rsidP="00991AA1">
    <w:pPr>
      <w:tabs>
        <w:tab w:val="right" w:pos="10440"/>
      </w:tabs>
      <w:suppressAutoHyphens/>
      <w:ind w:right="-22"/>
      <w:jc w:val="both"/>
      <w:rPr>
        <w:b/>
        <w:bCs/>
        <w:sz w:val="22"/>
        <w:szCs w:val="22"/>
      </w:rPr>
    </w:pPr>
    <w:r w:rsidRPr="009E5BDA">
      <w:rPr>
        <w:b/>
        <w:bCs/>
        <w:sz w:val="22"/>
        <w:szCs w:val="22"/>
      </w:rPr>
      <w:t xml:space="preserve">CONSOLIDATED </w:t>
    </w:r>
    <w:r>
      <w:rPr>
        <w:b/>
        <w:bCs/>
        <w:sz w:val="22"/>
        <w:szCs w:val="22"/>
      </w:rPr>
      <w:t>STATEMENT OF COMPREHENSIVE INCOME</w:t>
    </w:r>
  </w:p>
  <w:p w14:paraId="26C1FF09" w14:textId="6F1D88C6" w:rsidR="00462855" w:rsidRPr="00D75567" w:rsidRDefault="00462855" w:rsidP="00991AA1">
    <w:pPr>
      <w:rPr>
        <w:b/>
        <w:sz w:val="22"/>
        <w:szCs w:val="22"/>
        <w:lang w:val="tr-TR"/>
      </w:rPr>
    </w:pPr>
    <w:r w:rsidRPr="009E5BDA">
      <w:rPr>
        <w:b/>
        <w:sz w:val="22"/>
        <w:szCs w:val="22"/>
        <w:lang w:val="tr-TR"/>
      </w:rPr>
      <w:t xml:space="preserve">FOR THE </w:t>
    </w:r>
    <w:r>
      <w:rPr>
        <w:b/>
        <w:sz w:val="22"/>
        <w:szCs w:val="22"/>
        <w:lang w:val="tr-TR"/>
      </w:rPr>
      <w:t>YEAR ENDED 31 DECEMBER</w:t>
    </w:r>
    <w:r w:rsidRPr="009E5BDA">
      <w:rPr>
        <w:b/>
        <w:sz w:val="22"/>
        <w:szCs w:val="22"/>
        <w:lang w:val="tr-TR"/>
      </w:rPr>
      <w:t xml:space="preserve"> 2015</w:t>
    </w:r>
  </w:p>
  <w:p w14:paraId="7B61C073" w14:textId="158D1315" w:rsidR="00462855" w:rsidRPr="00A547F9" w:rsidRDefault="00462855" w:rsidP="00E850B8">
    <w:pPr>
      <w:pBdr>
        <w:bottom w:val="single" w:sz="4" w:space="1" w:color="auto"/>
      </w:pBdr>
      <w:tabs>
        <w:tab w:val="right" w:pos="8460"/>
      </w:tabs>
      <w:suppressAutoHyphens/>
      <w:jc w:val="both"/>
      <w:rPr>
        <w:sz w:val="18"/>
        <w:szCs w:val="18"/>
        <w:u w:val="single"/>
      </w:rPr>
    </w:pPr>
    <w:r w:rsidRPr="00A547F9">
      <w:rPr>
        <w:sz w:val="18"/>
        <w:szCs w:val="18"/>
        <w:u w:val="single"/>
      </w:rPr>
      <w:t>(Amounts expressed in thousands of Turkish Lira (“TL”) unless otherwise stated.)</w:t>
    </w:r>
  </w:p>
  <w:p w14:paraId="70210737" w14:textId="77777777" w:rsidR="00462855" w:rsidRPr="00735207" w:rsidRDefault="00462855" w:rsidP="006E1CDA">
    <w:pPr>
      <w:pStyle w:val="Header"/>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C9F7E" w14:textId="77777777" w:rsidR="00462855" w:rsidRPr="009E5BDA" w:rsidRDefault="00462855" w:rsidP="007E2048">
    <w:pPr>
      <w:tabs>
        <w:tab w:val="right" w:pos="8460"/>
      </w:tabs>
      <w:suppressAutoHyphens/>
      <w:jc w:val="both"/>
      <w:rPr>
        <w:b/>
        <w:bCs/>
        <w:sz w:val="22"/>
        <w:szCs w:val="22"/>
      </w:rPr>
    </w:pPr>
    <w:r w:rsidRPr="009E5BDA">
      <w:rPr>
        <w:b/>
        <w:bCs/>
        <w:sz w:val="22"/>
        <w:szCs w:val="22"/>
      </w:rPr>
      <w:t>ALTERNAT</w:t>
    </w:r>
    <w:r>
      <w:rPr>
        <w:b/>
        <w:bCs/>
        <w:sz w:val="22"/>
        <w:szCs w:val="22"/>
      </w:rPr>
      <w:t>İ</w:t>
    </w:r>
    <w:r w:rsidRPr="009E5BDA">
      <w:rPr>
        <w:b/>
        <w:bCs/>
        <w:sz w:val="22"/>
        <w:szCs w:val="22"/>
      </w:rPr>
      <w:t>FBANK A.Ş.</w:t>
    </w:r>
  </w:p>
  <w:p w14:paraId="1C8F87AE" w14:textId="450096F2" w:rsidR="00462855" w:rsidRPr="009E5BDA" w:rsidRDefault="00462855" w:rsidP="007E2048">
    <w:pPr>
      <w:tabs>
        <w:tab w:val="right" w:pos="10440"/>
      </w:tabs>
      <w:suppressAutoHyphens/>
      <w:ind w:right="-22"/>
      <w:jc w:val="both"/>
      <w:rPr>
        <w:b/>
        <w:bCs/>
        <w:sz w:val="22"/>
        <w:szCs w:val="22"/>
      </w:rPr>
    </w:pPr>
    <w:r w:rsidRPr="009E5BDA">
      <w:rPr>
        <w:b/>
        <w:bCs/>
        <w:sz w:val="22"/>
        <w:szCs w:val="22"/>
      </w:rPr>
      <w:t xml:space="preserve">CONSOLIDATED </w:t>
    </w:r>
    <w:r>
      <w:rPr>
        <w:b/>
        <w:bCs/>
        <w:sz w:val="22"/>
        <w:szCs w:val="22"/>
      </w:rPr>
      <w:t>STATEMENT OF CHANGES IN EQUITY</w:t>
    </w:r>
  </w:p>
  <w:p w14:paraId="4954EF0F" w14:textId="43A98152" w:rsidR="00462855" w:rsidRPr="00D75567" w:rsidRDefault="00462855" w:rsidP="007E2048">
    <w:pPr>
      <w:rPr>
        <w:b/>
        <w:sz w:val="22"/>
        <w:szCs w:val="22"/>
        <w:lang w:val="tr-TR"/>
      </w:rPr>
    </w:pPr>
    <w:r w:rsidRPr="009E5BDA">
      <w:rPr>
        <w:b/>
        <w:sz w:val="22"/>
        <w:szCs w:val="22"/>
        <w:lang w:val="tr-TR"/>
      </w:rPr>
      <w:t xml:space="preserve">FOR THE </w:t>
    </w:r>
    <w:r>
      <w:rPr>
        <w:b/>
        <w:sz w:val="22"/>
        <w:szCs w:val="22"/>
        <w:lang w:val="tr-TR"/>
      </w:rPr>
      <w:t>YEAR ENDED 31 DECEMBER</w:t>
    </w:r>
    <w:r w:rsidRPr="009E5BDA">
      <w:rPr>
        <w:b/>
        <w:sz w:val="22"/>
        <w:szCs w:val="22"/>
        <w:lang w:val="tr-TR"/>
      </w:rPr>
      <w:t xml:space="preserve"> 2015</w:t>
    </w:r>
  </w:p>
  <w:p w14:paraId="5A63EBEA" w14:textId="6021CC2B" w:rsidR="00462855" w:rsidRPr="00735207" w:rsidRDefault="00462855" w:rsidP="00F573AF">
    <w:pPr>
      <w:pBdr>
        <w:bottom w:val="single" w:sz="4" w:space="1" w:color="auto"/>
      </w:pBdr>
      <w:tabs>
        <w:tab w:val="right" w:pos="8460"/>
      </w:tabs>
      <w:suppressAutoHyphens/>
      <w:jc w:val="both"/>
      <w:rPr>
        <w:sz w:val="22"/>
        <w:szCs w:val="22"/>
      </w:rPr>
    </w:pPr>
    <w:r w:rsidRPr="00A547F9">
      <w:rPr>
        <w:sz w:val="18"/>
        <w:szCs w:val="18"/>
        <w:u w:val="single"/>
      </w:rPr>
      <w:t>(Amounts expressed in thousands of Turkish Lira (</w:t>
    </w:r>
    <w:r>
      <w:rPr>
        <w:sz w:val="18"/>
        <w:szCs w:val="18"/>
        <w:u w:val="single"/>
      </w:rPr>
      <w:t>“TL”) unless otherwise stated.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A386" w14:textId="77777777" w:rsidR="00462855" w:rsidRPr="009E5BDA" w:rsidRDefault="00462855" w:rsidP="00F45A18">
    <w:pPr>
      <w:pStyle w:val="BodyTextIndent2"/>
      <w:tabs>
        <w:tab w:val="center" w:pos="4253"/>
      </w:tabs>
      <w:ind w:left="0" w:firstLine="0"/>
      <w:jc w:val="left"/>
      <w:rPr>
        <w:b/>
        <w:sz w:val="22"/>
        <w:szCs w:val="22"/>
      </w:rPr>
    </w:pPr>
    <w:r w:rsidRPr="009E5BDA">
      <w:rPr>
        <w:b/>
        <w:sz w:val="22"/>
        <w:szCs w:val="22"/>
      </w:rPr>
      <w:t>ALTERNATİFBANK A.Ş.</w:t>
    </w:r>
  </w:p>
  <w:p w14:paraId="533B1808" w14:textId="27496703" w:rsidR="00462855" w:rsidRPr="00507FD7" w:rsidRDefault="00462855" w:rsidP="00507FD7">
    <w:pPr>
      <w:pStyle w:val="BodyTextIndent2"/>
      <w:tabs>
        <w:tab w:val="center" w:pos="4253"/>
      </w:tabs>
      <w:ind w:left="0" w:firstLine="0"/>
      <w:jc w:val="left"/>
      <w:rPr>
        <w:b/>
        <w:sz w:val="22"/>
        <w:szCs w:val="22"/>
      </w:rPr>
    </w:pPr>
    <w:r>
      <w:rPr>
        <w:b/>
        <w:sz w:val="22"/>
        <w:szCs w:val="22"/>
      </w:rPr>
      <w:t>CONSOLIDATED STATEMENT OF CASH FLOW</w:t>
    </w:r>
  </w:p>
  <w:p w14:paraId="1D15C845" w14:textId="677AA874" w:rsidR="00462855" w:rsidRPr="00507FD7" w:rsidRDefault="00462855" w:rsidP="00507FD7">
    <w:pPr>
      <w:pStyle w:val="BodyTextIndent2"/>
      <w:tabs>
        <w:tab w:val="center" w:pos="4253"/>
      </w:tabs>
      <w:ind w:left="0" w:firstLine="0"/>
      <w:jc w:val="left"/>
      <w:rPr>
        <w:b/>
        <w:sz w:val="22"/>
        <w:szCs w:val="22"/>
      </w:rPr>
    </w:pPr>
    <w:r w:rsidRPr="00507FD7">
      <w:rPr>
        <w:b/>
        <w:sz w:val="22"/>
        <w:szCs w:val="22"/>
      </w:rPr>
      <w:t>FOR THE YEAR ENDED 31 DECEMBER 2015</w:t>
    </w:r>
  </w:p>
  <w:p w14:paraId="67B0BEFA" w14:textId="77777777" w:rsidR="00462855" w:rsidRPr="00A547F9" w:rsidRDefault="00462855" w:rsidP="00F45A18">
    <w:pPr>
      <w:pBdr>
        <w:bottom w:val="single" w:sz="4" w:space="1" w:color="auto"/>
      </w:pBdr>
      <w:tabs>
        <w:tab w:val="right" w:pos="8460"/>
      </w:tabs>
      <w:suppressAutoHyphens/>
      <w:jc w:val="both"/>
      <w:rPr>
        <w:sz w:val="18"/>
        <w:szCs w:val="18"/>
        <w:u w:val="single"/>
      </w:rPr>
    </w:pPr>
    <w:r w:rsidRPr="001C7232">
      <w:rPr>
        <w:sz w:val="18"/>
        <w:szCs w:val="18"/>
      </w:rPr>
      <w:t xml:space="preserve"> </w:t>
    </w:r>
    <w:r w:rsidRPr="00A547F9">
      <w:rPr>
        <w:sz w:val="18"/>
        <w:szCs w:val="18"/>
        <w:u w:val="single"/>
      </w:rPr>
      <w:t>(Amounts expressed in thousands of Turkish Lira (“TL”) unless otherwise stated.)</w:t>
    </w:r>
  </w:p>
  <w:p w14:paraId="029B7AB4" w14:textId="77777777" w:rsidR="00462855" w:rsidRPr="00735207" w:rsidRDefault="00462855" w:rsidP="006E1CDA">
    <w:pPr>
      <w:pStyle w:val="Header"/>
      <w:rPr>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13470" w14:textId="77777777" w:rsidR="00462855" w:rsidRPr="009E5BDA" w:rsidRDefault="00462855" w:rsidP="00F45A18">
    <w:pPr>
      <w:pStyle w:val="BodyTextIndent2"/>
      <w:tabs>
        <w:tab w:val="center" w:pos="4253"/>
      </w:tabs>
      <w:ind w:left="0" w:firstLine="0"/>
      <w:jc w:val="left"/>
      <w:rPr>
        <w:b/>
        <w:sz w:val="22"/>
        <w:szCs w:val="22"/>
      </w:rPr>
    </w:pPr>
    <w:r w:rsidRPr="009E5BDA">
      <w:rPr>
        <w:b/>
        <w:sz w:val="22"/>
        <w:szCs w:val="22"/>
      </w:rPr>
      <w:t>ALTERNATİFBANK A.Ş.</w:t>
    </w:r>
  </w:p>
  <w:p w14:paraId="2C35834E" w14:textId="7095E978" w:rsidR="00462855" w:rsidRPr="00507FD7" w:rsidRDefault="00462855" w:rsidP="00507FD7">
    <w:pPr>
      <w:pStyle w:val="BodyTextIndent2"/>
      <w:tabs>
        <w:tab w:val="center" w:pos="4253"/>
      </w:tabs>
      <w:ind w:left="0" w:firstLine="0"/>
      <w:jc w:val="left"/>
      <w:rPr>
        <w:b/>
        <w:sz w:val="22"/>
        <w:szCs w:val="22"/>
      </w:rPr>
    </w:pPr>
    <w:r>
      <w:rPr>
        <w:b/>
        <w:sz w:val="22"/>
        <w:szCs w:val="22"/>
      </w:rPr>
      <w:t>STATEMENT OF PROFIT DISTRIBUTION</w:t>
    </w:r>
  </w:p>
  <w:p w14:paraId="1BFB2047" w14:textId="77777777" w:rsidR="00462855" w:rsidRPr="00507FD7" w:rsidRDefault="00462855" w:rsidP="00507FD7">
    <w:pPr>
      <w:pStyle w:val="BodyTextIndent2"/>
      <w:tabs>
        <w:tab w:val="center" w:pos="4253"/>
      </w:tabs>
      <w:ind w:left="0" w:firstLine="0"/>
      <w:jc w:val="left"/>
      <w:rPr>
        <w:b/>
        <w:sz w:val="22"/>
        <w:szCs w:val="22"/>
      </w:rPr>
    </w:pPr>
    <w:r w:rsidRPr="00507FD7">
      <w:rPr>
        <w:b/>
        <w:sz w:val="22"/>
        <w:szCs w:val="22"/>
      </w:rPr>
      <w:t>FOR THE YEAR ENDED 31 DECEMBER 2015</w:t>
    </w:r>
  </w:p>
  <w:p w14:paraId="0C120E93" w14:textId="77777777" w:rsidR="00462855" w:rsidRPr="00A547F9" w:rsidRDefault="00462855" w:rsidP="00F45A18">
    <w:pPr>
      <w:pBdr>
        <w:bottom w:val="single" w:sz="4" w:space="1" w:color="auto"/>
      </w:pBdr>
      <w:tabs>
        <w:tab w:val="right" w:pos="8460"/>
      </w:tabs>
      <w:suppressAutoHyphens/>
      <w:jc w:val="both"/>
      <w:rPr>
        <w:sz w:val="18"/>
        <w:szCs w:val="18"/>
        <w:u w:val="single"/>
      </w:rPr>
    </w:pPr>
    <w:r w:rsidRPr="001C7232">
      <w:rPr>
        <w:sz w:val="18"/>
        <w:szCs w:val="18"/>
      </w:rPr>
      <w:t xml:space="preserve"> </w:t>
    </w:r>
    <w:r w:rsidRPr="00A547F9">
      <w:rPr>
        <w:sz w:val="18"/>
        <w:szCs w:val="18"/>
        <w:u w:val="single"/>
      </w:rPr>
      <w:t>(Amounts expressed in thousands of Turkish Lira (“TL”) unless otherwise stated.)</w:t>
    </w:r>
  </w:p>
  <w:p w14:paraId="2BC5DB85" w14:textId="77777777" w:rsidR="00462855" w:rsidRPr="00735207" w:rsidRDefault="00462855" w:rsidP="006E1CDA">
    <w:pPr>
      <w:pStyle w:val="Header"/>
      <w:rPr>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00FEB" w14:textId="77777777" w:rsidR="00462855" w:rsidRPr="009E5BDA" w:rsidRDefault="00462855" w:rsidP="00A269BB">
    <w:pPr>
      <w:pStyle w:val="BodyTextIndent2"/>
      <w:tabs>
        <w:tab w:val="center" w:pos="4253"/>
      </w:tabs>
      <w:ind w:left="0" w:firstLine="0"/>
      <w:jc w:val="left"/>
      <w:rPr>
        <w:b/>
        <w:sz w:val="22"/>
        <w:szCs w:val="22"/>
      </w:rPr>
    </w:pPr>
    <w:r w:rsidRPr="009E5BDA">
      <w:rPr>
        <w:b/>
        <w:sz w:val="22"/>
        <w:szCs w:val="22"/>
      </w:rPr>
      <w:t>ALTERNATİFBANK A.Ş.</w:t>
    </w:r>
  </w:p>
  <w:p w14:paraId="16CF6963" w14:textId="77777777" w:rsidR="00462855" w:rsidRPr="00507FD7" w:rsidRDefault="00462855" w:rsidP="00A269BB">
    <w:pPr>
      <w:pStyle w:val="BodyTextIndent2"/>
      <w:tabs>
        <w:tab w:val="center" w:pos="4253"/>
      </w:tabs>
      <w:ind w:left="0" w:firstLine="0"/>
      <w:jc w:val="left"/>
      <w:rPr>
        <w:b/>
        <w:sz w:val="22"/>
        <w:szCs w:val="22"/>
      </w:rPr>
    </w:pPr>
    <w:r w:rsidRPr="00507FD7">
      <w:rPr>
        <w:b/>
        <w:sz w:val="22"/>
        <w:szCs w:val="22"/>
      </w:rPr>
      <w:t>NOTES TO THE CONSOLIDATED FINANCIAL STATEMENTS</w:t>
    </w:r>
  </w:p>
  <w:p w14:paraId="2E0ACB97" w14:textId="422A84C6" w:rsidR="00462855" w:rsidRPr="00507FD7" w:rsidRDefault="00462855" w:rsidP="00A269BB">
    <w:pPr>
      <w:pStyle w:val="BodyTextIndent2"/>
      <w:tabs>
        <w:tab w:val="center" w:pos="4253"/>
      </w:tabs>
      <w:ind w:left="0" w:firstLine="0"/>
      <w:jc w:val="left"/>
      <w:rPr>
        <w:b/>
        <w:sz w:val="22"/>
        <w:szCs w:val="22"/>
      </w:rPr>
    </w:pPr>
    <w:r w:rsidRPr="00507FD7">
      <w:rPr>
        <w:b/>
        <w:sz w:val="22"/>
        <w:szCs w:val="22"/>
      </w:rPr>
      <w:t>FOR THE YEAR ENDED 31 DECEMBER 2015</w:t>
    </w:r>
  </w:p>
  <w:p w14:paraId="6F31246A" w14:textId="77777777" w:rsidR="00462855" w:rsidRPr="00A547F9" w:rsidRDefault="00462855" w:rsidP="00A269BB">
    <w:pPr>
      <w:pBdr>
        <w:bottom w:val="single" w:sz="4" w:space="1" w:color="auto"/>
      </w:pBdr>
      <w:tabs>
        <w:tab w:val="right" w:pos="8460"/>
      </w:tabs>
      <w:suppressAutoHyphens/>
      <w:jc w:val="both"/>
      <w:rPr>
        <w:sz w:val="18"/>
        <w:szCs w:val="18"/>
        <w:u w:val="single"/>
      </w:rPr>
    </w:pPr>
    <w:r w:rsidRPr="001C7232">
      <w:rPr>
        <w:sz w:val="18"/>
        <w:szCs w:val="18"/>
      </w:rPr>
      <w:t xml:space="preserve"> </w:t>
    </w:r>
    <w:r w:rsidRPr="00A547F9">
      <w:rPr>
        <w:sz w:val="18"/>
        <w:szCs w:val="18"/>
        <w:u w:val="single"/>
      </w:rPr>
      <w:t>(Amounts expressed in thousands of Turkish Lira (“TL”) unless otherwise stated.)</w:t>
    </w:r>
  </w:p>
  <w:p w14:paraId="50EB0887" w14:textId="77777777" w:rsidR="00462855" w:rsidRPr="00735207" w:rsidRDefault="00462855" w:rsidP="006E1CDA">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F1AC37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F16C4AC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2109D6"/>
    <w:multiLevelType w:val="hybridMultilevel"/>
    <w:tmpl w:val="48B83302"/>
    <w:lvl w:ilvl="0" w:tplc="B942B2A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01722CCE"/>
    <w:multiLevelType w:val="hybridMultilevel"/>
    <w:tmpl w:val="88269326"/>
    <w:lvl w:ilvl="0" w:tplc="7C90FC1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F96BFB"/>
    <w:multiLevelType w:val="hybridMultilevel"/>
    <w:tmpl w:val="9A9032C4"/>
    <w:lvl w:ilvl="0" w:tplc="F7ECAD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E5E64"/>
    <w:multiLevelType w:val="hybridMultilevel"/>
    <w:tmpl w:val="A5681DE6"/>
    <w:lvl w:ilvl="0" w:tplc="4DF045C4">
      <w:start w:val="2"/>
      <w:numFmt w:val="lowerLetter"/>
      <w:lvlText w:val="%1."/>
      <w:lvlJc w:val="left"/>
      <w:pPr>
        <w:tabs>
          <w:tab w:val="num" w:pos="1260"/>
        </w:tabs>
        <w:ind w:left="1260" w:hanging="360"/>
      </w:pPr>
      <w:rPr>
        <w:rFonts w:hint="default"/>
      </w:rPr>
    </w:lvl>
    <w:lvl w:ilvl="1" w:tplc="B0A6540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075D2160"/>
    <w:multiLevelType w:val="hybridMultilevel"/>
    <w:tmpl w:val="36BC411A"/>
    <w:lvl w:ilvl="0" w:tplc="9DCAF046">
      <w:start w:val="1"/>
      <w:numFmt w:val="lowerLetter"/>
      <w:lvlText w:val="%1."/>
      <w:lvlJc w:val="left"/>
      <w:pPr>
        <w:ind w:left="1271" w:hanging="42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086711CD"/>
    <w:multiLevelType w:val="hybridMultilevel"/>
    <w:tmpl w:val="0FF0CBF8"/>
    <w:lvl w:ilvl="0" w:tplc="2CEEF6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830BC"/>
    <w:multiLevelType w:val="hybridMultilevel"/>
    <w:tmpl w:val="BE52F4E2"/>
    <w:lvl w:ilvl="0" w:tplc="3C4CB278">
      <w:start w:val="2"/>
      <w:numFmt w:val="upperRoman"/>
      <w:lvlText w:val="%1."/>
      <w:lvlJc w:val="left"/>
      <w:pPr>
        <w:tabs>
          <w:tab w:val="num" w:pos="7560"/>
        </w:tabs>
        <w:ind w:left="7560" w:hanging="72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9">
    <w:nsid w:val="119701C0"/>
    <w:multiLevelType w:val="hybridMultilevel"/>
    <w:tmpl w:val="EA16CFBE"/>
    <w:lvl w:ilvl="0" w:tplc="230856DC">
      <w:start w:val="6"/>
      <w:numFmt w:val="lowerLetter"/>
      <w:lvlText w:val="%1."/>
      <w:lvlJc w:val="left"/>
      <w:pPr>
        <w:tabs>
          <w:tab w:val="num" w:pos="1495"/>
        </w:tabs>
        <w:ind w:left="1495"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EB2AF8"/>
    <w:multiLevelType w:val="hybridMultilevel"/>
    <w:tmpl w:val="4F746552"/>
    <w:lvl w:ilvl="0" w:tplc="7A36002E">
      <w:start w:val="7"/>
      <w:numFmt w:val="upperRoman"/>
      <w:lvlText w:val="%1."/>
      <w:lvlJc w:val="left"/>
      <w:pPr>
        <w:ind w:left="12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286675"/>
    <w:multiLevelType w:val="hybridMultilevel"/>
    <w:tmpl w:val="3ED864B8"/>
    <w:lvl w:ilvl="0" w:tplc="6B5AE288">
      <w:start w:val="1"/>
      <w:numFmt w:val="upperRoman"/>
      <w:lvlText w:val="%1."/>
      <w:lvlJc w:val="left"/>
      <w:pPr>
        <w:tabs>
          <w:tab w:val="num" w:pos="1080"/>
        </w:tabs>
        <w:ind w:left="720" w:hanging="360"/>
      </w:pPr>
      <w:rPr>
        <w:rFonts w:hint="default"/>
        <w:b w:val="0"/>
        <w:bCs w:val="0"/>
        <w:i w:val="0"/>
      </w:rPr>
    </w:lvl>
    <w:lvl w:ilvl="1" w:tplc="FFFFFFFF">
      <w:start w:val="1"/>
      <w:numFmt w:val="decimal"/>
      <w:lvlText w:val="%2."/>
      <w:lvlJc w:val="left"/>
      <w:pPr>
        <w:tabs>
          <w:tab w:val="num" w:pos="1440"/>
        </w:tabs>
        <w:ind w:left="1440" w:hanging="360"/>
      </w:pPr>
      <w:rPr>
        <w:rFonts w:hint="default"/>
        <w:b/>
        <w:i w:val="0"/>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6F618F6"/>
    <w:multiLevelType w:val="hybridMultilevel"/>
    <w:tmpl w:val="EA4AE144"/>
    <w:lvl w:ilvl="0" w:tplc="B0E48C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4D04C1"/>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D46007"/>
    <w:multiLevelType w:val="hybridMultilevel"/>
    <w:tmpl w:val="C864249C"/>
    <w:lvl w:ilvl="0" w:tplc="BCB84F24">
      <w:start w:val="1"/>
      <w:numFmt w:val="lowerLetter"/>
      <w:lvlText w:val="%1."/>
      <w:lvlJc w:val="left"/>
      <w:pPr>
        <w:ind w:left="1211" w:hanging="360"/>
      </w:pPr>
      <w:rPr>
        <w:rFonts w:eastAsia="Arial Unicode M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C0235C2"/>
    <w:multiLevelType w:val="hybridMultilevel"/>
    <w:tmpl w:val="BB9CFB3C"/>
    <w:lvl w:ilvl="0" w:tplc="F67C98A0">
      <w:start w:val="1"/>
      <w:numFmt w:val="upperRoman"/>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CD27B3"/>
    <w:multiLevelType w:val="hybridMultilevel"/>
    <w:tmpl w:val="79D09146"/>
    <w:lvl w:ilvl="0" w:tplc="45ECFEBC">
      <w:start w:val="1"/>
      <w:numFmt w:val="lowerLetter"/>
      <w:lvlText w:val="%1."/>
      <w:lvlJc w:val="left"/>
      <w:pPr>
        <w:tabs>
          <w:tab w:val="num" w:pos="4042"/>
        </w:tabs>
        <w:ind w:left="4042"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nsid w:val="1FE30014"/>
    <w:multiLevelType w:val="hybridMultilevel"/>
    <w:tmpl w:val="F2C05002"/>
    <w:lvl w:ilvl="0" w:tplc="C5968C8C">
      <w:start w:val="1"/>
      <w:numFmt w:val="upperRoman"/>
      <w:lvlText w:val="%1."/>
      <w:lvlJc w:val="left"/>
      <w:pPr>
        <w:tabs>
          <w:tab w:val="num" w:pos="1080"/>
        </w:tabs>
        <w:ind w:left="1080" w:hanging="720"/>
      </w:pPr>
    </w:lvl>
    <w:lvl w:ilvl="1" w:tplc="BD1C64B6">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23871C7"/>
    <w:multiLevelType w:val="hybridMultilevel"/>
    <w:tmpl w:val="6874A120"/>
    <w:lvl w:ilvl="0" w:tplc="133661FA">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D157D2"/>
    <w:multiLevelType w:val="hybridMultilevel"/>
    <w:tmpl w:val="5E3C9412"/>
    <w:lvl w:ilvl="0" w:tplc="F39A17B6">
      <w:start w:val="1"/>
      <w:numFmt w:val="upperRoman"/>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3AD5772"/>
    <w:multiLevelType w:val="hybridMultilevel"/>
    <w:tmpl w:val="F5881674"/>
    <w:lvl w:ilvl="0" w:tplc="AB429568">
      <w:start w:val="7"/>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771C1B"/>
    <w:multiLevelType w:val="hybridMultilevel"/>
    <w:tmpl w:val="8EC8F228"/>
    <w:lvl w:ilvl="0" w:tplc="0C3A572C">
      <w:start w:val="1"/>
      <w:numFmt w:val="decimal"/>
      <w:lvlText w:val="%1."/>
      <w:lvlJc w:val="left"/>
      <w:pPr>
        <w:ind w:left="2122"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71519BD"/>
    <w:multiLevelType w:val="hybridMultilevel"/>
    <w:tmpl w:val="D0EEBC0E"/>
    <w:lvl w:ilvl="0" w:tplc="7B74825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28197034"/>
    <w:multiLevelType w:val="hybridMultilevel"/>
    <w:tmpl w:val="83969576"/>
    <w:lvl w:ilvl="0" w:tplc="C3C62C0E">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289C2F8A"/>
    <w:multiLevelType w:val="hybridMultilevel"/>
    <w:tmpl w:val="D59C5506"/>
    <w:lvl w:ilvl="0" w:tplc="581468C2">
      <w:start w:val="2"/>
      <w:numFmt w:val="upperRoman"/>
      <w:lvlText w:val="%1."/>
      <w:lvlJc w:val="left"/>
      <w:pPr>
        <w:tabs>
          <w:tab w:val="num" w:pos="1080"/>
        </w:tabs>
        <w:ind w:left="108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E2037C"/>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8C0438"/>
    <w:multiLevelType w:val="hybridMultilevel"/>
    <w:tmpl w:val="0986BF14"/>
    <w:lvl w:ilvl="0" w:tplc="4BD82F56">
      <w:start w:val="11"/>
      <w:numFmt w:val="lowerLetter"/>
      <w:lvlText w:val="%1."/>
      <w:lvlJc w:val="left"/>
      <w:pPr>
        <w:tabs>
          <w:tab w:val="num" w:pos="1636"/>
        </w:tabs>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830D04"/>
    <w:multiLevelType w:val="hybridMultilevel"/>
    <w:tmpl w:val="8B06E978"/>
    <w:lvl w:ilvl="0" w:tplc="B76C497A">
      <w:start w:val="1"/>
      <w:numFmt w:val="upperRoman"/>
      <w:lvlText w:val="%1."/>
      <w:lvlJc w:val="left"/>
      <w:pPr>
        <w:tabs>
          <w:tab w:val="num" w:pos="1260"/>
        </w:tabs>
        <w:ind w:left="1260" w:hanging="720"/>
      </w:pPr>
      <w:rPr>
        <w:rFonts w:hint="default"/>
      </w:rPr>
    </w:lvl>
    <w:lvl w:ilvl="1" w:tplc="2768465C">
      <w:start w:val="1"/>
      <w:numFmt w:val="lowerLetter"/>
      <w:lvlText w:val="%2."/>
      <w:lvlJc w:val="left"/>
      <w:pPr>
        <w:tabs>
          <w:tab w:val="num" w:pos="786"/>
        </w:tabs>
        <w:ind w:left="786"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C55642A"/>
    <w:multiLevelType w:val="hybridMultilevel"/>
    <w:tmpl w:val="9F528B5C"/>
    <w:lvl w:ilvl="0" w:tplc="BD70EA2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nsid w:val="2E681851"/>
    <w:multiLevelType w:val="hybridMultilevel"/>
    <w:tmpl w:val="0BB09ACC"/>
    <w:lvl w:ilvl="0" w:tplc="A0B82354">
      <w:start w:val="1"/>
      <w:numFmt w:val="lowerLetter"/>
      <w:lvlText w:val="%1."/>
      <w:lvlJc w:val="left"/>
      <w:pPr>
        <w:tabs>
          <w:tab w:val="num" w:pos="1620"/>
        </w:tabs>
        <w:ind w:left="1620" w:hanging="360"/>
      </w:pPr>
      <w:rPr>
        <w:rFonts w:hint="default"/>
      </w:rPr>
    </w:lvl>
    <w:lvl w:ilvl="1" w:tplc="041F0019">
      <w:start w:val="1"/>
      <w:numFmt w:val="lowerLetter"/>
      <w:lvlText w:val="%2."/>
      <w:lvlJc w:val="left"/>
      <w:pPr>
        <w:tabs>
          <w:tab w:val="num" w:pos="2340"/>
        </w:tabs>
        <w:ind w:left="2340" w:hanging="360"/>
      </w:pPr>
    </w:lvl>
    <w:lvl w:ilvl="2" w:tplc="041F001B" w:tentative="1">
      <w:start w:val="1"/>
      <w:numFmt w:val="lowerRoman"/>
      <w:lvlText w:val="%3."/>
      <w:lvlJc w:val="right"/>
      <w:pPr>
        <w:tabs>
          <w:tab w:val="num" w:pos="3060"/>
        </w:tabs>
        <w:ind w:left="3060" w:hanging="180"/>
      </w:pPr>
    </w:lvl>
    <w:lvl w:ilvl="3" w:tplc="041F000F" w:tentative="1">
      <w:start w:val="1"/>
      <w:numFmt w:val="decimal"/>
      <w:lvlText w:val="%4."/>
      <w:lvlJc w:val="left"/>
      <w:pPr>
        <w:tabs>
          <w:tab w:val="num" w:pos="3780"/>
        </w:tabs>
        <w:ind w:left="3780" w:hanging="360"/>
      </w:pPr>
    </w:lvl>
    <w:lvl w:ilvl="4" w:tplc="041F0019" w:tentative="1">
      <w:start w:val="1"/>
      <w:numFmt w:val="lowerLetter"/>
      <w:lvlText w:val="%5."/>
      <w:lvlJc w:val="left"/>
      <w:pPr>
        <w:tabs>
          <w:tab w:val="num" w:pos="4500"/>
        </w:tabs>
        <w:ind w:left="4500" w:hanging="360"/>
      </w:pPr>
    </w:lvl>
    <w:lvl w:ilvl="5" w:tplc="041F001B" w:tentative="1">
      <w:start w:val="1"/>
      <w:numFmt w:val="lowerRoman"/>
      <w:lvlText w:val="%6."/>
      <w:lvlJc w:val="right"/>
      <w:pPr>
        <w:tabs>
          <w:tab w:val="num" w:pos="5220"/>
        </w:tabs>
        <w:ind w:left="5220" w:hanging="180"/>
      </w:pPr>
    </w:lvl>
    <w:lvl w:ilvl="6" w:tplc="041F000F" w:tentative="1">
      <w:start w:val="1"/>
      <w:numFmt w:val="decimal"/>
      <w:lvlText w:val="%7."/>
      <w:lvlJc w:val="left"/>
      <w:pPr>
        <w:tabs>
          <w:tab w:val="num" w:pos="5940"/>
        </w:tabs>
        <w:ind w:left="5940" w:hanging="360"/>
      </w:pPr>
    </w:lvl>
    <w:lvl w:ilvl="7" w:tplc="041F0019" w:tentative="1">
      <w:start w:val="1"/>
      <w:numFmt w:val="lowerLetter"/>
      <w:lvlText w:val="%8."/>
      <w:lvlJc w:val="left"/>
      <w:pPr>
        <w:tabs>
          <w:tab w:val="num" w:pos="6660"/>
        </w:tabs>
        <w:ind w:left="6660" w:hanging="360"/>
      </w:pPr>
    </w:lvl>
    <w:lvl w:ilvl="8" w:tplc="041F001B" w:tentative="1">
      <w:start w:val="1"/>
      <w:numFmt w:val="lowerRoman"/>
      <w:lvlText w:val="%9."/>
      <w:lvlJc w:val="right"/>
      <w:pPr>
        <w:tabs>
          <w:tab w:val="num" w:pos="7380"/>
        </w:tabs>
        <w:ind w:left="7380" w:hanging="180"/>
      </w:pPr>
    </w:lvl>
  </w:abstractNum>
  <w:abstractNum w:abstractNumId="30">
    <w:nsid w:val="2FD41EF0"/>
    <w:multiLevelType w:val="hybridMultilevel"/>
    <w:tmpl w:val="EA16CFBE"/>
    <w:lvl w:ilvl="0" w:tplc="230856DC">
      <w:start w:val="6"/>
      <w:numFmt w:val="lowerLetter"/>
      <w:lvlText w:val="%1."/>
      <w:lvlJc w:val="left"/>
      <w:pPr>
        <w:tabs>
          <w:tab w:val="num" w:pos="1495"/>
        </w:tabs>
        <w:ind w:left="1495"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862B31"/>
    <w:multiLevelType w:val="multilevel"/>
    <w:tmpl w:val="4F746552"/>
    <w:lvl w:ilvl="0">
      <w:start w:val="7"/>
      <w:numFmt w:val="upperRoman"/>
      <w:lvlText w:val="%1."/>
      <w:lvlJc w:val="left"/>
      <w:pPr>
        <w:ind w:left="126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22E3B4B"/>
    <w:multiLevelType w:val="hybridMultilevel"/>
    <w:tmpl w:val="4A3AE134"/>
    <w:lvl w:ilvl="0" w:tplc="05F03E2C">
      <w:start w:val="3"/>
      <w:numFmt w:val="upperRoman"/>
      <w:lvlText w:val="%1."/>
      <w:lvlJc w:val="left"/>
      <w:pPr>
        <w:tabs>
          <w:tab w:val="num" w:pos="1080"/>
        </w:tabs>
        <w:ind w:left="1080" w:hanging="72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731015"/>
    <w:multiLevelType w:val="hybridMultilevel"/>
    <w:tmpl w:val="601A56D0"/>
    <w:lvl w:ilvl="0" w:tplc="BF6C315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855A80"/>
    <w:multiLevelType w:val="hybridMultilevel"/>
    <w:tmpl w:val="5FB417B0"/>
    <w:lvl w:ilvl="0" w:tplc="FFFFFFFF">
      <w:start w:val="1"/>
      <w:numFmt w:val="upperRoman"/>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5">
    <w:nsid w:val="336A1FA3"/>
    <w:multiLevelType w:val="hybridMultilevel"/>
    <w:tmpl w:val="E5523670"/>
    <w:lvl w:ilvl="0" w:tplc="F77CE5AA">
      <w:start w:val="4"/>
      <w:numFmt w:val="upperRoman"/>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4945918"/>
    <w:multiLevelType w:val="hybridMultilevel"/>
    <w:tmpl w:val="3A10F788"/>
    <w:lvl w:ilvl="0" w:tplc="AFBC2C00">
      <w:start w:val="1"/>
      <w:numFmt w:val="upperRoman"/>
      <w:lvlText w:val="%1."/>
      <w:lvlJc w:val="left"/>
      <w:pPr>
        <w:tabs>
          <w:tab w:val="num" w:pos="1080"/>
        </w:tabs>
        <w:ind w:left="108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5C21D3C"/>
    <w:multiLevelType w:val="multilevel"/>
    <w:tmpl w:val="FE6400BC"/>
    <w:lvl w:ilvl="0">
      <w:start w:val="3"/>
      <w:numFmt w:val="upperRoman"/>
      <w:lvlText w:val="%1."/>
      <w:lvlJc w:val="left"/>
      <w:pPr>
        <w:ind w:left="126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363F5B3E"/>
    <w:multiLevelType w:val="hybridMultilevel"/>
    <w:tmpl w:val="22D002D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9">
    <w:nsid w:val="364111B8"/>
    <w:multiLevelType w:val="hybridMultilevel"/>
    <w:tmpl w:val="13FAA04A"/>
    <w:lvl w:ilvl="0" w:tplc="56184CA6">
      <w:start w:val="1"/>
      <w:numFmt w:val="upperRoman"/>
      <w:lvlText w:val="%1."/>
      <w:lvlJc w:val="left"/>
      <w:pPr>
        <w:ind w:left="4123"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36FA4D39"/>
    <w:multiLevelType w:val="hybridMultilevel"/>
    <w:tmpl w:val="062C2EBA"/>
    <w:lvl w:ilvl="0" w:tplc="BD7CC570">
      <w:start w:val="5"/>
      <w:numFmt w:val="upperRoman"/>
      <w:lvlText w:val="%1."/>
      <w:lvlJc w:val="left"/>
      <w:pPr>
        <w:tabs>
          <w:tab w:val="num" w:pos="2340"/>
        </w:tabs>
        <w:ind w:left="234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37AA45B1"/>
    <w:multiLevelType w:val="hybridMultilevel"/>
    <w:tmpl w:val="68C0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984E8A"/>
    <w:multiLevelType w:val="hybridMultilevel"/>
    <w:tmpl w:val="B478E05C"/>
    <w:lvl w:ilvl="0" w:tplc="1A885AB6">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9644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nsid w:val="3F7E0E5E"/>
    <w:multiLevelType w:val="hybridMultilevel"/>
    <w:tmpl w:val="BF50EEA2"/>
    <w:lvl w:ilvl="0" w:tplc="5E06A618">
      <w:start w:val="3"/>
      <w:numFmt w:val="upperRoman"/>
      <w:lvlText w:val="%1."/>
      <w:lvlJc w:val="left"/>
      <w:pPr>
        <w:tabs>
          <w:tab w:val="num" w:pos="6120"/>
        </w:tabs>
        <w:ind w:left="6120" w:hanging="720"/>
      </w:pPr>
      <w:rPr>
        <w:rFonts w:hint="default"/>
        <w:sz w:val="20"/>
        <w:szCs w:val="20"/>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5">
    <w:nsid w:val="415B12CF"/>
    <w:multiLevelType w:val="multilevel"/>
    <w:tmpl w:val="4F746552"/>
    <w:lvl w:ilvl="0">
      <w:start w:val="7"/>
      <w:numFmt w:val="upperRoman"/>
      <w:lvlText w:val="%1."/>
      <w:lvlJc w:val="left"/>
      <w:pPr>
        <w:ind w:left="126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16219EE"/>
    <w:multiLevelType w:val="hybridMultilevel"/>
    <w:tmpl w:val="D5D039E8"/>
    <w:lvl w:ilvl="0" w:tplc="9D900448">
      <w:start w:val="2"/>
      <w:numFmt w:val="upperRoman"/>
      <w:lvlText w:val="%1."/>
      <w:lvlJc w:val="left"/>
      <w:pPr>
        <w:tabs>
          <w:tab w:val="num" w:pos="1260"/>
        </w:tabs>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1B5803"/>
    <w:multiLevelType w:val="hybridMultilevel"/>
    <w:tmpl w:val="84F2A360"/>
    <w:lvl w:ilvl="0" w:tplc="A0BE27C8">
      <w:start w:val="3"/>
      <w:numFmt w:val="upperRoman"/>
      <w:lvlText w:val="%1."/>
      <w:lvlJc w:val="left"/>
      <w:pPr>
        <w:tabs>
          <w:tab w:val="num" w:pos="1260"/>
        </w:tabs>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863795"/>
    <w:multiLevelType w:val="hybridMultilevel"/>
    <w:tmpl w:val="DB76DECC"/>
    <w:lvl w:ilvl="0" w:tplc="DB5AB69A">
      <w:start w:val="4"/>
      <w:numFmt w:val="upperRoman"/>
      <w:lvlText w:val="%1."/>
      <w:lvlJc w:val="left"/>
      <w:pPr>
        <w:tabs>
          <w:tab w:val="num" w:pos="1275"/>
        </w:tabs>
        <w:ind w:left="1275" w:hanging="91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5E47234"/>
    <w:multiLevelType w:val="hybridMultilevel"/>
    <w:tmpl w:val="26BC7C80"/>
    <w:lvl w:ilvl="0" w:tplc="4216B3FE">
      <w:start w:val="11"/>
      <w:numFmt w:val="lowerLetter"/>
      <w:lvlText w:val="%1."/>
      <w:lvlJc w:val="left"/>
      <w:pPr>
        <w:tabs>
          <w:tab w:val="num" w:pos="1636"/>
        </w:tabs>
        <w:ind w:left="1636"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513083"/>
    <w:multiLevelType w:val="hybridMultilevel"/>
    <w:tmpl w:val="7C50A514"/>
    <w:lvl w:ilvl="0" w:tplc="55367A62">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AB12A2"/>
    <w:multiLevelType w:val="multilevel"/>
    <w:tmpl w:val="D0DAEE64"/>
    <w:lvl w:ilvl="0">
      <w:start w:val="1"/>
      <w:numFmt w:val="upperRoman"/>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4DB5521B"/>
    <w:multiLevelType w:val="hybridMultilevel"/>
    <w:tmpl w:val="167CE64E"/>
    <w:lvl w:ilvl="0" w:tplc="9E8CFFBC">
      <w:start w:val="3"/>
      <w:numFmt w:val="upperRoman"/>
      <w:lvlText w:val="%1."/>
      <w:lvlJc w:val="left"/>
      <w:pPr>
        <w:tabs>
          <w:tab w:val="num" w:pos="1260"/>
        </w:tabs>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DD303F"/>
    <w:multiLevelType w:val="hybridMultilevel"/>
    <w:tmpl w:val="0660E8A8"/>
    <w:lvl w:ilvl="0" w:tplc="02247314">
      <w:start w:val="1"/>
      <w:numFmt w:val="upperRoman"/>
      <w:lvlText w:val="%1."/>
      <w:lvlJc w:val="left"/>
      <w:pPr>
        <w:tabs>
          <w:tab w:val="num" w:pos="1080"/>
        </w:tabs>
        <w:ind w:left="720" w:hanging="360"/>
      </w:pPr>
      <w:rPr>
        <w:rFonts w:hint="default"/>
        <w:b w:val="0"/>
        <w:bCs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b/>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50977016"/>
    <w:multiLevelType w:val="hybridMultilevel"/>
    <w:tmpl w:val="C44667B0"/>
    <w:lvl w:ilvl="0" w:tplc="7F846D18">
      <w:start w:val="10"/>
      <w:numFmt w:val="low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55">
    <w:nsid w:val="50FC22AE"/>
    <w:multiLevelType w:val="hybridMultilevel"/>
    <w:tmpl w:val="5D308C08"/>
    <w:lvl w:ilvl="0" w:tplc="1A5C88AC">
      <w:start w:val="4"/>
      <w:numFmt w:val="lowerLetter"/>
      <w:lvlText w:val="%1."/>
      <w:lvlJc w:val="left"/>
      <w:pPr>
        <w:tabs>
          <w:tab w:val="num" w:pos="2040"/>
        </w:tabs>
        <w:ind w:left="20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637228"/>
    <w:multiLevelType w:val="hybridMultilevel"/>
    <w:tmpl w:val="7C5C7AE0"/>
    <w:lvl w:ilvl="0" w:tplc="DC647890">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2984A6E"/>
    <w:multiLevelType w:val="hybridMultilevel"/>
    <w:tmpl w:val="9E18961A"/>
    <w:lvl w:ilvl="0" w:tplc="1D9E9D98">
      <w:start w:val="1"/>
      <w:numFmt w:val="decimal"/>
      <w:lvlText w:val="%1-"/>
      <w:lvlJc w:val="left"/>
      <w:pPr>
        <w:ind w:left="502" w:hanging="360"/>
      </w:pPr>
      <w:rPr>
        <w:rFonts w:hint="default"/>
      </w:rPr>
    </w:lvl>
    <w:lvl w:ilvl="1" w:tplc="04F68F5A">
      <w:start w:val="1"/>
      <w:numFmt w:val="lowerLetter"/>
      <w:lvlText w:val="%2."/>
      <w:lvlJc w:val="left"/>
      <w:pPr>
        <w:ind w:left="1222" w:hanging="360"/>
      </w:pPr>
      <w:rPr>
        <w:b/>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8">
    <w:nsid w:val="5C091FD1"/>
    <w:multiLevelType w:val="hybridMultilevel"/>
    <w:tmpl w:val="98E883B0"/>
    <w:lvl w:ilvl="0" w:tplc="652002BC">
      <w:start w:val="10"/>
      <w:numFmt w:val="lowerLetter"/>
      <w:lvlText w:val="%1."/>
      <w:lvlJc w:val="left"/>
      <w:pPr>
        <w:ind w:left="1855" w:hanging="360"/>
      </w:pPr>
      <w:rPr>
        <w:rFonts w:hint="default"/>
        <w:sz w:val="20"/>
        <w:szCs w:val="20"/>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59">
    <w:nsid w:val="5DFE366A"/>
    <w:multiLevelType w:val="hybridMultilevel"/>
    <w:tmpl w:val="9684C700"/>
    <w:lvl w:ilvl="0" w:tplc="50B498A0">
      <w:start w:val="2"/>
      <w:numFmt w:val="lowerLetter"/>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B142B1"/>
    <w:multiLevelType w:val="hybridMultilevel"/>
    <w:tmpl w:val="4612AB3A"/>
    <w:lvl w:ilvl="0" w:tplc="4E78D530">
      <w:start w:val="7"/>
      <w:numFmt w:val="upperRoman"/>
      <w:lvlText w:val="%1."/>
      <w:lvlJc w:val="left"/>
      <w:pPr>
        <w:tabs>
          <w:tab w:val="num" w:pos="1260"/>
        </w:tabs>
        <w:ind w:left="126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FC01AFD"/>
    <w:multiLevelType w:val="hybridMultilevel"/>
    <w:tmpl w:val="23AE2048"/>
    <w:lvl w:ilvl="0" w:tplc="1CF8AED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D40271"/>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12F0E8D"/>
    <w:multiLevelType w:val="hybridMultilevel"/>
    <w:tmpl w:val="4E801878"/>
    <w:lvl w:ilvl="0" w:tplc="FB0EE8B4">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53E86290">
      <w:start w:val="7"/>
      <w:numFmt w:val="upperRoman"/>
      <w:lvlText w:val="%5."/>
      <w:lvlJc w:val="left"/>
      <w:pPr>
        <w:ind w:left="4680" w:hanging="720"/>
      </w:pPr>
      <w:rPr>
        <w:rFonts w:hint="default"/>
        <w:b/>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nsid w:val="616C364B"/>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946AC9"/>
    <w:multiLevelType w:val="hybridMultilevel"/>
    <w:tmpl w:val="7EEEFAFC"/>
    <w:lvl w:ilvl="0" w:tplc="588C4C78">
      <w:start w:val="1"/>
      <w:numFmt w:val="upperRoman"/>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3AA48E5"/>
    <w:multiLevelType w:val="hybridMultilevel"/>
    <w:tmpl w:val="FA286DA0"/>
    <w:lvl w:ilvl="0" w:tplc="24DEC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9BE788C"/>
    <w:multiLevelType w:val="hybridMultilevel"/>
    <w:tmpl w:val="0C42AABC"/>
    <w:lvl w:ilvl="0" w:tplc="9AD4299E">
      <w:start w:val="1"/>
      <w:numFmt w:val="lowerLetter"/>
      <w:lvlText w:val="%1."/>
      <w:lvlJc w:val="left"/>
      <w:pPr>
        <w:tabs>
          <w:tab w:val="num" w:pos="4844"/>
        </w:tabs>
        <w:ind w:left="4844" w:hanging="360"/>
      </w:pPr>
      <w:rPr>
        <w:rFonts w:hint="default"/>
      </w:rPr>
    </w:lvl>
    <w:lvl w:ilvl="1" w:tplc="04090019">
      <w:start w:val="1"/>
      <w:numFmt w:val="lowerLetter"/>
      <w:lvlText w:val="%2."/>
      <w:lvlJc w:val="left"/>
      <w:pPr>
        <w:tabs>
          <w:tab w:val="num" w:pos="2291"/>
        </w:tabs>
        <w:ind w:left="2291" w:hanging="360"/>
      </w:pPr>
    </w:lvl>
    <w:lvl w:ilvl="2" w:tplc="93106F76">
      <w:start w:val="3"/>
      <w:numFmt w:val="lowerRoman"/>
      <w:lvlText w:val="(%3)"/>
      <w:lvlJc w:val="left"/>
      <w:pPr>
        <w:tabs>
          <w:tab w:val="num" w:pos="3551"/>
        </w:tabs>
        <w:ind w:left="3551" w:hanging="720"/>
      </w:pPr>
      <w:rPr>
        <w:rFonts w:hint="default"/>
      </w:r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68">
    <w:nsid w:val="6DAE0803"/>
    <w:multiLevelType w:val="hybridMultilevel"/>
    <w:tmpl w:val="4726D11E"/>
    <w:lvl w:ilvl="0" w:tplc="1556F186">
      <w:start w:val="1"/>
      <w:numFmt w:val="upperRoman"/>
      <w:lvlText w:val="%1."/>
      <w:lvlJc w:val="right"/>
      <w:pPr>
        <w:tabs>
          <w:tab w:val="num" w:pos="1260"/>
        </w:tabs>
        <w:ind w:left="1260" w:hanging="720"/>
      </w:pPr>
      <w:rPr>
        <w:rFonts w:hint="default"/>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9">
    <w:nsid w:val="6DB9205E"/>
    <w:multiLevelType w:val="hybridMultilevel"/>
    <w:tmpl w:val="D940F584"/>
    <w:lvl w:ilvl="0" w:tplc="1B888E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nsid w:val="6FF73442"/>
    <w:multiLevelType w:val="hybridMultilevel"/>
    <w:tmpl w:val="202C7F2E"/>
    <w:lvl w:ilvl="0" w:tplc="45ECFEBC">
      <w:start w:val="1"/>
      <w:numFmt w:val="lowerLetter"/>
      <w:lvlText w:val="%1."/>
      <w:lvlJc w:val="left"/>
      <w:pPr>
        <w:tabs>
          <w:tab w:val="num" w:pos="4222"/>
        </w:tabs>
        <w:ind w:left="4222"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1">
    <w:nsid w:val="70EF638F"/>
    <w:multiLevelType w:val="hybridMultilevel"/>
    <w:tmpl w:val="A33CDA4C"/>
    <w:lvl w:ilvl="0" w:tplc="3C84EF1A">
      <w:start w:val="3"/>
      <w:numFmt w:val="upperRoman"/>
      <w:lvlText w:val="%1."/>
      <w:lvlJc w:val="left"/>
      <w:pPr>
        <w:ind w:left="1430" w:hanging="720"/>
      </w:pPr>
      <w:rPr>
        <w:rFonts w:hint="default"/>
        <w:b/>
      </w:rPr>
    </w:lvl>
    <w:lvl w:ilvl="1" w:tplc="041F0019">
      <w:start w:val="1"/>
      <w:numFmt w:val="lowerLetter"/>
      <w:lvlText w:val="%2."/>
      <w:lvlJc w:val="left"/>
      <w:pPr>
        <w:ind w:left="1931" w:hanging="360"/>
      </w:pPr>
    </w:lvl>
    <w:lvl w:ilvl="2" w:tplc="CCD6B134">
      <w:start w:val="1"/>
      <w:numFmt w:val="decimal"/>
      <w:lvlText w:val="%3"/>
      <w:lvlJc w:val="left"/>
      <w:pPr>
        <w:ind w:left="2891" w:hanging="420"/>
      </w:pPr>
      <w:rPr>
        <w:rFonts w:hint="default"/>
      </w:r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2">
    <w:nsid w:val="70F95803"/>
    <w:multiLevelType w:val="hybridMultilevel"/>
    <w:tmpl w:val="8C1CAB42"/>
    <w:lvl w:ilvl="0" w:tplc="9424A6EE">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nsid w:val="71536010"/>
    <w:multiLevelType w:val="hybridMultilevel"/>
    <w:tmpl w:val="CAF489DA"/>
    <w:lvl w:ilvl="0" w:tplc="0C76462C">
      <w:start w:val="5"/>
      <w:numFmt w:val="lowerLetter"/>
      <w:lvlText w:val="%1."/>
      <w:lvlJc w:val="left"/>
      <w:pPr>
        <w:tabs>
          <w:tab w:val="num" w:pos="1440"/>
        </w:tabs>
        <w:ind w:left="144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1604673"/>
    <w:multiLevelType w:val="hybridMultilevel"/>
    <w:tmpl w:val="18DE6652"/>
    <w:lvl w:ilvl="0" w:tplc="9CB0AA06">
      <w:start w:val="2"/>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5">
    <w:nsid w:val="757F5446"/>
    <w:multiLevelType w:val="hybridMultilevel"/>
    <w:tmpl w:val="788E8322"/>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nsid w:val="77AD080B"/>
    <w:multiLevelType w:val="hybridMultilevel"/>
    <w:tmpl w:val="27C03FA8"/>
    <w:lvl w:ilvl="0" w:tplc="70528CEE">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7">
    <w:nsid w:val="79AE5178"/>
    <w:multiLevelType w:val="hybridMultilevel"/>
    <w:tmpl w:val="396408FE"/>
    <w:lvl w:ilvl="0" w:tplc="8A8CC8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DF4094"/>
    <w:multiLevelType w:val="hybridMultilevel"/>
    <w:tmpl w:val="AE1CEEAC"/>
    <w:lvl w:ilvl="0" w:tplc="1908C798">
      <w:start w:val="1"/>
      <w:numFmt w:val="low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nsid w:val="7C1A4228"/>
    <w:multiLevelType w:val="hybridMultilevel"/>
    <w:tmpl w:val="D0DAEE64"/>
    <w:lvl w:ilvl="0" w:tplc="193E9E12">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EB3715D"/>
    <w:multiLevelType w:val="hybridMultilevel"/>
    <w:tmpl w:val="88269326"/>
    <w:lvl w:ilvl="0" w:tplc="7C90FC1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3"/>
  </w:num>
  <w:num w:numId="2">
    <w:abstractNumId w:val="79"/>
  </w:num>
  <w:num w:numId="3">
    <w:abstractNumId w:val="36"/>
  </w:num>
  <w:num w:numId="4">
    <w:abstractNumId w:val="48"/>
  </w:num>
  <w:num w:numId="5">
    <w:abstractNumId w:val="1"/>
  </w:num>
  <w:num w:numId="6">
    <w:abstractNumId w:val="0"/>
  </w:num>
  <w:num w:numId="7">
    <w:abstractNumId w:val="12"/>
  </w:num>
  <w:num w:numId="8">
    <w:abstractNumId w:val="2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73"/>
  </w:num>
  <w:num w:numId="12">
    <w:abstractNumId w:val="9"/>
  </w:num>
  <w:num w:numId="13">
    <w:abstractNumId w:val="58"/>
  </w:num>
  <w:num w:numId="14">
    <w:abstractNumId w:val="57"/>
  </w:num>
  <w:num w:numId="15">
    <w:abstractNumId w:val="22"/>
  </w:num>
  <w:num w:numId="16">
    <w:abstractNumId w:val="5"/>
  </w:num>
  <w:num w:numId="17">
    <w:abstractNumId w:val="69"/>
  </w:num>
  <w:num w:numId="18">
    <w:abstractNumId w:val="6"/>
  </w:num>
  <w:num w:numId="19">
    <w:abstractNumId w:val="21"/>
  </w:num>
  <w:num w:numId="20">
    <w:abstractNumId w:val="80"/>
  </w:num>
  <w:num w:numId="21">
    <w:abstractNumId w:val="67"/>
  </w:num>
  <w:num w:numId="22">
    <w:abstractNumId w:val="71"/>
  </w:num>
  <w:num w:numId="23">
    <w:abstractNumId w:val="74"/>
  </w:num>
  <w:num w:numId="24">
    <w:abstractNumId w:val="75"/>
  </w:num>
  <w:num w:numId="25">
    <w:abstractNumId w:val="63"/>
  </w:num>
  <w:num w:numId="26">
    <w:abstractNumId w:val="28"/>
  </w:num>
  <w:num w:numId="27">
    <w:abstractNumId w:val="40"/>
  </w:num>
  <w:num w:numId="28">
    <w:abstractNumId w:val="16"/>
  </w:num>
  <w:num w:numId="29">
    <w:abstractNumId w:val="61"/>
  </w:num>
  <w:num w:numId="30">
    <w:abstractNumId w:val="70"/>
  </w:num>
  <w:num w:numId="31">
    <w:abstractNumId w:val="34"/>
  </w:num>
  <w:num w:numId="32">
    <w:abstractNumId w:val="23"/>
  </w:num>
  <w:num w:numId="33">
    <w:abstractNumId w:val="8"/>
  </w:num>
  <w:num w:numId="34">
    <w:abstractNumId w:val="38"/>
  </w:num>
  <w:num w:numId="35">
    <w:abstractNumId w:val="65"/>
  </w:num>
  <w:num w:numId="36">
    <w:abstractNumId w:val="53"/>
  </w:num>
  <w:num w:numId="37">
    <w:abstractNumId w:val="11"/>
  </w:num>
  <w:num w:numId="38">
    <w:abstractNumId w:val="15"/>
  </w:num>
  <w:num w:numId="39">
    <w:abstractNumId w:val="19"/>
  </w:num>
  <w:num w:numId="40">
    <w:abstractNumId w:val="68"/>
  </w:num>
  <w:num w:numId="41">
    <w:abstractNumId w:val="14"/>
  </w:num>
  <w:num w:numId="42">
    <w:abstractNumId w:val="55"/>
  </w:num>
  <w:num w:numId="43">
    <w:abstractNumId w:val="30"/>
  </w:num>
  <w:num w:numId="44">
    <w:abstractNumId w:val="32"/>
  </w:num>
  <w:num w:numId="45">
    <w:abstractNumId w:val="20"/>
  </w:num>
  <w:num w:numId="46">
    <w:abstractNumId w:val="3"/>
  </w:num>
  <w:num w:numId="47">
    <w:abstractNumId w:val="76"/>
  </w:num>
  <w:num w:numId="48">
    <w:abstractNumId w:val="2"/>
  </w:num>
  <w:num w:numId="49">
    <w:abstractNumId w:val="24"/>
  </w:num>
  <w:num w:numId="50">
    <w:abstractNumId w:val="44"/>
  </w:num>
  <w:num w:numId="51">
    <w:abstractNumId w:val="72"/>
  </w:num>
  <w:num w:numId="52">
    <w:abstractNumId w:val="54"/>
  </w:num>
  <w:num w:numId="53">
    <w:abstractNumId w:val="39"/>
  </w:num>
  <w:num w:numId="54">
    <w:abstractNumId w:val="78"/>
  </w:num>
  <w:num w:numId="55">
    <w:abstractNumId w:val="66"/>
  </w:num>
  <w:num w:numId="56">
    <w:abstractNumId w:val="62"/>
  </w:num>
  <w:num w:numId="57">
    <w:abstractNumId w:val="64"/>
  </w:num>
  <w:num w:numId="58">
    <w:abstractNumId w:val="59"/>
  </w:num>
  <w:num w:numId="59">
    <w:abstractNumId w:val="35"/>
  </w:num>
  <w:num w:numId="60">
    <w:abstractNumId w:val="26"/>
  </w:num>
  <w:num w:numId="61">
    <w:abstractNumId w:val="4"/>
  </w:num>
  <w:num w:numId="62">
    <w:abstractNumId w:val="7"/>
  </w:num>
  <w:num w:numId="63">
    <w:abstractNumId w:val="41"/>
  </w:num>
  <w:num w:numId="64">
    <w:abstractNumId w:val="13"/>
  </w:num>
  <w:num w:numId="65">
    <w:abstractNumId w:val="25"/>
  </w:num>
  <w:num w:numId="66">
    <w:abstractNumId w:val="33"/>
  </w:num>
  <w:num w:numId="67">
    <w:abstractNumId w:val="50"/>
  </w:num>
  <w:num w:numId="68">
    <w:abstractNumId w:val="46"/>
  </w:num>
  <w:num w:numId="69">
    <w:abstractNumId w:val="18"/>
  </w:num>
  <w:num w:numId="70">
    <w:abstractNumId w:val="42"/>
  </w:num>
  <w:num w:numId="71">
    <w:abstractNumId w:val="10"/>
  </w:num>
  <w:num w:numId="72">
    <w:abstractNumId w:val="52"/>
  </w:num>
  <w:num w:numId="73">
    <w:abstractNumId w:val="56"/>
  </w:num>
  <w:num w:numId="74">
    <w:abstractNumId w:val="60"/>
  </w:num>
  <w:num w:numId="75">
    <w:abstractNumId w:val="47"/>
  </w:num>
  <w:num w:numId="76">
    <w:abstractNumId w:val="49"/>
  </w:num>
  <w:num w:numId="77">
    <w:abstractNumId w:val="77"/>
  </w:num>
  <w:num w:numId="78">
    <w:abstractNumId w:val="51"/>
  </w:num>
  <w:num w:numId="79">
    <w:abstractNumId w:val="31"/>
  </w:num>
  <w:num w:numId="80">
    <w:abstractNumId w:val="45"/>
  </w:num>
  <w:num w:numId="81">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F0"/>
    <w:rsid w:val="0000024D"/>
    <w:rsid w:val="00000F23"/>
    <w:rsid w:val="00001267"/>
    <w:rsid w:val="000013DB"/>
    <w:rsid w:val="000016E5"/>
    <w:rsid w:val="00001D76"/>
    <w:rsid w:val="0000225F"/>
    <w:rsid w:val="000025E4"/>
    <w:rsid w:val="00004DC7"/>
    <w:rsid w:val="00004EA2"/>
    <w:rsid w:val="00005733"/>
    <w:rsid w:val="00005AB9"/>
    <w:rsid w:val="000064A9"/>
    <w:rsid w:val="00007891"/>
    <w:rsid w:val="00010618"/>
    <w:rsid w:val="00010D56"/>
    <w:rsid w:val="00010D76"/>
    <w:rsid w:val="000110A9"/>
    <w:rsid w:val="0001118A"/>
    <w:rsid w:val="0001171C"/>
    <w:rsid w:val="00011D7A"/>
    <w:rsid w:val="00012D26"/>
    <w:rsid w:val="00012D4C"/>
    <w:rsid w:val="000131B2"/>
    <w:rsid w:val="0001337F"/>
    <w:rsid w:val="000134EE"/>
    <w:rsid w:val="000144BE"/>
    <w:rsid w:val="00014F98"/>
    <w:rsid w:val="00015053"/>
    <w:rsid w:val="000152E1"/>
    <w:rsid w:val="0001540A"/>
    <w:rsid w:val="00015938"/>
    <w:rsid w:val="00015955"/>
    <w:rsid w:val="000165E7"/>
    <w:rsid w:val="000170A2"/>
    <w:rsid w:val="00017855"/>
    <w:rsid w:val="00017F2A"/>
    <w:rsid w:val="000202EF"/>
    <w:rsid w:val="00020832"/>
    <w:rsid w:val="000212E5"/>
    <w:rsid w:val="0002310D"/>
    <w:rsid w:val="00023491"/>
    <w:rsid w:val="00023B32"/>
    <w:rsid w:val="00023E18"/>
    <w:rsid w:val="00024367"/>
    <w:rsid w:val="000256CD"/>
    <w:rsid w:val="00026076"/>
    <w:rsid w:val="000263EE"/>
    <w:rsid w:val="00027E4F"/>
    <w:rsid w:val="00030943"/>
    <w:rsid w:val="00030EDA"/>
    <w:rsid w:val="00030F40"/>
    <w:rsid w:val="00031034"/>
    <w:rsid w:val="000311D3"/>
    <w:rsid w:val="0003179D"/>
    <w:rsid w:val="00031D72"/>
    <w:rsid w:val="00031E03"/>
    <w:rsid w:val="00032A7F"/>
    <w:rsid w:val="0003328D"/>
    <w:rsid w:val="00033C1B"/>
    <w:rsid w:val="00033E02"/>
    <w:rsid w:val="0003439B"/>
    <w:rsid w:val="00034ABB"/>
    <w:rsid w:val="0003571B"/>
    <w:rsid w:val="000364C0"/>
    <w:rsid w:val="00036AC1"/>
    <w:rsid w:val="00036F3B"/>
    <w:rsid w:val="0003711A"/>
    <w:rsid w:val="00037773"/>
    <w:rsid w:val="0004157B"/>
    <w:rsid w:val="000420C0"/>
    <w:rsid w:val="000429D1"/>
    <w:rsid w:val="00042A85"/>
    <w:rsid w:val="00042B1C"/>
    <w:rsid w:val="00042CA6"/>
    <w:rsid w:val="00042E18"/>
    <w:rsid w:val="000431DD"/>
    <w:rsid w:val="00044874"/>
    <w:rsid w:val="00044BEF"/>
    <w:rsid w:val="000453C0"/>
    <w:rsid w:val="00046000"/>
    <w:rsid w:val="00046147"/>
    <w:rsid w:val="00046167"/>
    <w:rsid w:val="000467F0"/>
    <w:rsid w:val="000469B7"/>
    <w:rsid w:val="00047A0B"/>
    <w:rsid w:val="00047F7C"/>
    <w:rsid w:val="000506CD"/>
    <w:rsid w:val="00050B65"/>
    <w:rsid w:val="00051DB0"/>
    <w:rsid w:val="00051F78"/>
    <w:rsid w:val="00052A06"/>
    <w:rsid w:val="00053163"/>
    <w:rsid w:val="00053CA7"/>
    <w:rsid w:val="0005436C"/>
    <w:rsid w:val="00054829"/>
    <w:rsid w:val="0005506A"/>
    <w:rsid w:val="0005519D"/>
    <w:rsid w:val="000559EB"/>
    <w:rsid w:val="00055B45"/>
    <w:rsid w:val="000578E4"/>
    <w:rsid w:val="00060217"/>
    <w:rsid w:val="00060545"/>
    <w:rsid w:val="00061373"/>
    <w:rsid w:val="00061A1C"/>
    <w:rsid w:val="00063A11"/>
    <w:rsid w:val="00063C60"/>
    <w:rsid w:val="00064411"/>
    <w:rsid w:val="000646D9"/>
    <w:rsid w:val="00064ED4"/>
    <w:rsid w:val="00065ED7"/>
    <w:rsid w:val="00066AAC"/>
    <w:rsid w:val="00066FA9"/>
    <w:rsid w:val="00067572"/>
    <w:rsid w:val="000703C4"/>
    <w:rsid w:val="00070481"/>
    <w:rsid w:val="000708DF"/>
    <w:rsid w:val="00070CCA"/>
    <w:rsid w:val="00070FFF"/>
    <w:rsid w:val="00071B3C"/>
    <w:rsid w:val="00071CBA"/>
    <w:rsid w:val="00071DE8"/>
    <w:rsid w:val="00072E8A"/>
    <w:rsid w:val="00072FA1"/>
    <w:rsid w:val="00073050"/>
    <w:rsid w:val="0007368A"/>
    <w:rsid w:val="000737F3"/>
    <w:rsid w:val="00074274"/>
    <w:rsid w:val="0007486E"/>
    <w:rsid w:val="00074D7B"/>
    <w:rsid w:val="00075B5F"/>
    <w:rsid w:val="00075FDC"/>
    <w:rsid w:val="00076134"/>
    <w:rsid w:val="0007623F"/>
    <w:rsid w:val="00076ED9"/>
    <w:rsid w:val="000774EE"/>
    <w:rsid w:val="00077BE5"/>
    <w:rsid w:val="000809F8"/>
    <w:rsid w:val="00081060"/>
    <w:rsid w:val="0008114E"/>
    <w:rsid w:val="000819E6"/>
    <w:rsid w:val="0008286F"/>
    <w:rsid w:val="00082D2F"/>
    <w:rsid w:val="000834C2"/>
    <w:rsid w:val="00083A75"/>
    <w:rsid w:val="0008409A"/>
    <w:rsid w:val="000840F1"/>
    <w:rsid w:val="0008468C"/>
    <w:rsid w:val="00084A3D"/>
    <w:rsid w:val="00084AE0"/>
    <w:rsid w:val="00084DFE"/>
    <w:rsid w:val="00085133"/>
    <w:rsid w:val="00085134"/>
    <w:rsid w:val="0008575D"/>
    <w:rsid w:val="000860B6"/>
    <w:rsid w:val="0008731C"/>
    <w:rsid w:val="00087A6C"/>
    <w:rsid w:val="0009034C"/>
    <w:rsid w:val="00090C85"/>
    <w:rsid w:val="00091F63"/>
    <w:rsid w:val="000923E5"/>
    <w:rsid w:val="00092444"/>
    <w:rsid w:val="00093916"/>
    <w:rsid w:val="00093F43"/>
    <w:rsid w:val="00094471"/>
    <w:rsid w:val="000945A0"/>
    <w:rsid w:val="00095407"/>
    <w:rsid w:val="00095F51"/>
    <w:rsid w:val="000965AF"/>
    <w:rsid w:val="00096A07"/>
    <w:rsid w:val="0009784E"/>
    <w:rsid w:val="00097FE4"/>
    <w:rsid w:val="000A1379"/>
    <w:rsid w:val="000A1E58"/>
    <w:rsid w:val="000A2DAC"/>
    <w:rsid w:val="000A2EA3"/>
    <w:rsid w:val="000A30B0"/>
    <w:rsid w:val="000A3F4C"/>
    <w:rsid w:val="000A4D48"/>
    <w:rsid w:val="000A6686"/>
    <w:rsid w:val="000A6A7A"/>
    <w:rsid w:val="000A6C33"/>
    <w:rsid w:val="000A7485"/>
    <w:rsid w:val="000A78A4"/>
    <w:rsid w:val="000A7F0D"/>
    <w:rsid w:val="000B0375"/>
    <w:rsid w:val="000B06C9"/>
    <w:rsid w:val="000B0925"/>
    <w:rsid w:val="000B0BF1"/>
    <w:rsid w:val="000B10E6"/>
    <w:rsid w:val="000B1352"/>
    <w:rsid w:val="000B15A3"/>
    <w:rsid w:val="000B1833"/>
    <w:rsid w:val="000B1AA7"/>
    <w:rsid w:val="000B216E"/>
    <w:rsid w:val="000B21BF"/>
    <w:rsid w:val="000B30DA"/>
    <w:rsid w:val="000B3165"/>
    <w:rsid w:val="000B3BA6"/>
    <w:rsid w:val="000B3EEA"/>
    <w:rsid w:val="000B4878"/>
    <w:rsid w:val="000B4C8E"/>
    <w:rsid w:val="000B70D8"/>
    <w:rsid w:val="000B7122"/>
    <w:rsid w:val="000B7133"/>
    <w:rsid w:val="000C09E6"/>
    <w:rsid w:val="000C1F0F"/>
    <w:rsid w:val="000C2488"/>
    <w:rsid w:val="000C25D6"/>
    <w:rsid w:val="000C2C51"/>
    <w:rsid w:val="000C364C"/>
    <w:rsid w:val="000C41C7"/>
    <w:rsid w:val="000C4644"/>
    <w:rsid w:val="000C4D9C"/>
    <w:rsid w:val="000C4E08"/>
    <w:rsid w:val="000C688E"/>
    <w:rsid w:val="000C6B54"/>
    <w:rsid w:val="000C70C3"/>
    <w:rsid w:val="000C7892"/>
    <w:rsid w:val="000D09B2"/>
    <w:rsid w:val="000D0C79"/>
    <w:rsid w:val="000D0DBC"/>
    <w:rsid w:val="000D17CF"/>
    <w:rsid w:val="000D1D7F"/>
    <w:rsid w:val="000D22A2"/>
    <w:rsid w:val="000D23C2"/>
    <w:rsid w:val="000D23EE"/>
    <w:rsid w:val="000D24E1"/>
    <w:rsid w:val="000D3335"/>
    <w:rsid w:val="000D3A80"/>
    <w:rsid w:val="000D48AA"/>
    <w:rsid w:val="000D4F49"/>
    <w:rsid w:val="000D536F"/>
    <w:rsid w:val="000D5763"/>
    <w:rsid w:val="000D5F44"/>
    <w:rsid w:val="000D63A6"/>
    <w:rsid w:val="000D63A7"/>
    <w:rsid w:val="000D66B9"/>
    <w:rsid w:val="000D6A86"/>
    <w:rsid w:val="000D6AF8"/>
    <w:rsid w:val="000D6D3F"/>
    <w:rsid w:val="000D6F2C"/>
    <w:rsid w:val="000D78B0"/>
    <w:rsid w:val="000E07DC"/>
    <w:rsid w:val="000E0850"/>
    <w:rsid w:val="000E090B"/>
    <w:rsid w:val="000E11CE"/>
    <w:rsid w:val="000E11F6"/>
    <w:rsid w:val="000E13D4"/>
    <w:rsid w:val="000E1818"/>
    <w:rsid w:val="000E24CE"/>
    <w:rsid w:val="000E31E9"/>
    <w:rsid w:val="000E3E88"/>
    <w:rsid w:val="000E44CF"/>
    <w:rsid w:val="000E4787"/>
    <w:rsid w:val="000E4AF4"/>
    <w:rsid w:val="000E4F3B"/>
    <w:rsid w:val="000E559A"/>
    <w:rsid w:val="000E5611"/>
    <w:rsid w:val="000E5627"/>
    <w:rsid w:val="000E5F23"/>
    <w:rsid w:val="000E6179"/>
    <w:rsid w:val="000E7947"/>
    <w:rsid w:val="000E7CF3"/>
    <w:rsid w:val="000F020C"/>
    <w:rsid w:val="000F02F3"/>
    <w:rsid w:val="000F0945"/>
    <w:rsid w:val="000F0F71"/>
    <w:rsid w:val="000F13E4"/>
    <w:rsid w:val="000F1990"/>
    <w:rsid w:val="000F2A37"/>
    <w:rsid w:val="000F2EC5"/>
    <w:rsid w:val="000F50A9"/>
    <w:rsid w:val="000F562E"/>
    <w:rsid w:val="000F58A2"/>
    <w:rsid w:val="000F6023"/>
    <w:rsid w:val="000F622C"/>
    <w:rsid w:val="000F6509"/>
    <w:rsid w:val="000F6567"/>
    <w:rsid w:val="000F65DC"/>
    <w:rsid w:val="000F66F1"/>
    <w:rsid w:val="000F6E5B"/>
    <w:rsid w:val="000F7C3A"/>
    <w:rsid w:val="0010017B"/>
    <w:rsid w:val="001005C4"/>
    <w:rsid w:val="0010110D"/>
    <w:rsid w:val="00101416"/>
    <w:rsid w:val="001015AD"/>
    <w:rsid w:val="00102287"/>
    <w:rsid w:val="00103F9F"/>
    <w:rsid w:val="00104101"/>
    <w:rsid w:val="0010447C"/>
    <w:rsid w:val="00104BAB"/>
    <w:rsid w:val="00104DF7"/>
    <w:rsid w:val="00105D61"/>
    <w:rsid w:val="001064E9"/>
    <w:rsid w:val="00106597"/>
    <w:rsid w:val="00106CE3"/>
    <w:rsid w:val="00107352"/>
    <w:rsid w:val="00107620"/>
    <w:rsid w:val="00107B0B"/>
    <w:rsid w:val="00110417"/>
    <w:rsid w:val="0011046A"/>
    <w:rsid w:val="001110AB"/>
    <w:rsid w:val="001112E0"/>
    <w:rsid w:val="00111778"/>
    <w:rsid w:val="0011209B"/>
    <w:rsid w:val="001120A8"/>
    <w:rsid w:val="00112858"/>
    <w:rsid w:val="00112EDF"/>
    <w:rsid w:val="0011340D"/>
    <w:rsid w:val="001135B1"/>
    <w:rsid w:val="00113FA2"/>
    <w:rsid w:val="00114B10"/>
    <w:rsid w:val="00114F7F"/>
    <w:rsid w:val="001151AA"/>
    <w:rsid w:val="001161E8"/>
    <w:rsid w:val="00116590"/>
    <w:rsid w:val="00116679"/>
    <w:rsid w:val="00117BB9"/>
    <w:rsid w:val="00120D0B"/>
    <w:rsid w:val="00122844"/>
    <w:rsid w:val="00122A14"/>
    <w:rsid w:val="00122B24"/>
    <w:rsid w:val="00123B84"/>
    <w:rsid w:val="00124075"/>
    <w:rsid w:val="0012409E"/>
    <w:rsid w:val="00124A1E"/>
    <w:rsid w:val="0012595B"/>
    <w:rsid w:val="00126809"/>
    <w:rsid w:val="001275D5"/>
    <w:rsid w:val="00127B7A"/>
    <w:rsid w:val="001300D0"/>
    <w:rsid w:val="00130FFC"/>
    <w:rsid w:val="001318F3"/>
    <w:rsid w:val="00131BAF"/>
    <w:rsid w:val="00131D6D"/>
    <w:rsid w:val="00131F5E"/>
    <w:rsid w:val="00132819"/>
    <w:rsid w:val="00132E69"/>
    <w:rsid w:val="00133636"/>
    <w:rsid w:val="0013465E"/>
    <w:rsid w:val="001349E4"/>
    <w:rsid w:val="0013661D"/>
    <w:rsid w:val="00136706"/>
    <w:rsid w:val="00137398"/>
    <w:rsid w:val="001378DF"/>
    <w:rsid w:val="001404DC"/>
    <w:rsid w:val="00140505"/>
    <w:rsid w:val="00140F3A"/>
    <w:rsid w:val="00141B9C"/>
    <w:rsid w:val="0014252C"/>
    <w:rsid w:val="00142EFB"/>
    <w:rsid w:val="001432E3"/>
    <w:rsid w:val="00144410"/>
    <w:rsid w:val="00146022"/>
    <w:rsid w:val="001501BF"/>
    <w:rsid w:val="0015182D"/>
    <w:rsid w:val="00151A9F"/>
    <w:rsid w:val="00151B69"/>
    <w:rsid w:val="001522E1"/>
    <w:rsid w:val="001523D7"/>
    <w:rsid w:val="0015255B"/>
    <w:rsid w:val="00152BA2"/>
    <w:rsid w:val="0015329F"/>
    <w:rsid w:val="00153395"/>
    <w:rsid w:val="00153730"/>
    <w:rsid w:val="00153AC5"/>
    <w:rsid w:val="001544EF"/>
    <w:rsid w:val="0015463F"/>
    <w:rsid w:val="0015523B"/>
    <w:rsid w:val="001563FA"/>
    <w:rsid w:val="00156AF9"/>
    <w:rsid w:val="00156FF4"/>
    <w:rsid w:val="0015773F"/>
    <w:rsid w:val="00157D56"/>
    <w:rsid w:val="00157F3D"/>
    <w:rsid w:val="001601D3"/>
    <w:rsid w:val="0016049D"/>
    <w:rsid w:val="00160B7D"/>
    <w:rsid w:val="00160BAD"/>
    <w:rsid w:val="00160CF7"/>
    <w:rsid w:val="00160D99"/>
    <w:rsid w:val="001619A0"/>
    <w:rsid w:val="0016362B"/>
    <w:rsid w:val="00163F8C"/>
    <w:rsid w:val="00164B22"/>
    <w:rsid w:val="00164C94"/>
    <w:rsid w:val="00164E43"/>
    <w:rsid w:val="001651E8"/>
    <w:rsid w:val="001655F9"/>
    <w:rsid w:val="00167F31"/>
    <w:rsid w:val="00170525"/>
    <w:rsid w:val="00170835"/>
    <w:rsid w:val="00171156"/>
    <w:rsid w:val="00171211"/>
    <w:rsid w:val="00171515"/>
    <w:rsid w:val="0017354D"/>
    <w:rsid w:val="00173BAC"/>
    <w:rsid w:val="00173F96"/>
    <w:rsid w:val="001747A2"/>
    <w:rsid w:val="00175359"/>
    <w:rsid w:val="0017541A"/>
    <w:rsid w:val="00175BB2"/>
    <w:rsid w:val="001762D4"/>
    <w:rsid w:val="00176A46"/>
    <w:rsid w:val="00176A47"/>
    <w:rsid w:val="00176F3D"/>
    <w:rsid w:val="0017712E"/>
    <w:rsid w:val="001772C8"/>
    <w:rsid w:val="0017777D"/>
    <w:rsid w:val="00177C73"/>
    <w:rsid w:val="00180792"/>
    <w:rsid w:val="001808F3"/>
    <w:rsid w:val="00180C15"/>
    <w:rsid w:val="001810CE"/>
    <w:rsid w:val="00181730"/>
    <w:rsid w:val="00181EEF"/>
    <w:rsid w:val="001820F2"/>
    <w:rsid w:val="00182267"/>
    <w:rsid w:val="00182756"/>
    <w:rsid w:val="00182AEF"/>
    <w:rsid w:val="00182EFD"/>
    <w:rsid w:val="0018379B"/>
    <w:rsid w:val="00184FDB"/>
    <w:rsid w:val="0018543F"/>
    <w:rsid w:val="00185948"/>
    <w:rsid w:val="00185E0B"/>
    <w:rsid w:val="001860B4"/>
    <w:rsid w:val="00186358"/>
    <w:rsid w:val="00186E02"/>
    <w:rsid w:val="001870E1"/>
    <w:rsid w:val="00187CAC"/>
    <w:rsid w:val="00190552"/>
    <w:rsid w:val="00190D79"/>
    <w:rsid w:val="00190E44"/>
    <w:rsid w:val="001921C0"/>
    <w:rsid w:val="00192D6F"/>
    <w:rsid w:val="00194009"/>
    <w:rsid w:val="001945D1"/>
    <w:rsid w:val="00194901"/>
    <w:rsid w:val="00194AE8"/>
    <w:rsid w:val="001951C6"/>
    <w:rsid w:val="001952FD"/>
    <w:rsid w:val="00195D2B"/>
    <w:rsid w:val="00195EDC"/>
    <w:rsid w:val="001964D2"/>
    <w:rsid w:val="00196A0E"/>
    <w:rsid w:val="0019731D"/>
    <w:rsid w:val="00197460"/>
    <w:rsid w:val="001A00DD"/>
    <w:rsid w:val="001A02C4"/>
    <w:rsid w:val="001A039F"/>
    <w:rsid w:val="001A12EF"/>
    <w:rsid w:val="001A1913"/>
    <w:rsid w:val="001A1E54"/>
    <w:rsid w:val="001A26AC"/>
    <w:rsid w:val="001A275A"/>
    <w:rsid w:val="001A29DA"/>
    <w:rsid w:val="001A2BB7"/>
    <w:rsid w:val="001A2EF7"/>
    <w:rsid w:val="001A3148"/>
    <w:rsid w:val="001A37CB"/>
    <w:rsid w:val="001A3E64"/>
    <w:rsid w:val="001A4238"/>
    <w:rsid w:val="001A5316"/>
    <w:rsid w:val="001A6456"/>
    <w:rsid w:val="001A6790"/>
    <w:rsid w:val="001A69CC"/>
    <w:rsid w:val="001A6AF5"/>
    <w:rsid w:val="001A7587"/>
    <w:rsid w:val="001A7BE5"/>
    <w:rsid w:val="001A7C4A"/>
    <w:rsid w:val="001B0ADF"/>
    <w:rsid w:val="001B11B3"/>
    <w:rsid w:val="001B16A4"/>
    <w:rsid w:val="001B1AF6"/>
    <w:rsid w:val="001B244A"/>
    <w:rsid w:val="001B2452"/>
    <w:rsid w:val="001B2D7B"/>
    <w:rsid w:val="001B3856"/>
    <w:rsid w:val="001B3CB1"/>
    <w:rsid w:val="001B3CD6"/>
    <w:rsid w:val="001B5885"/>
    <w:rsid w:val="001B5F2B"/>
    <w:rsid w:val="001B61E0"/>
    <w:rsid w:val="001B6E76"/>
    <w:rsid w:val="001B7685"/>
    <w:rsid w:val="001B7723"/>
    <w:rsid w:val="001B7A6A"/>
    <w:rsid w:val="001B7C1A"/>
    <w:rsid w:val="001C0D5D"/>
    <w:rsid w:val="001C0ECA"/>
    <w:rsid w:val="001C128F"/>
    <w:rsid w:val="001C1D02"/>
    <w:rsid w:val="001C1E7E"/>
    <w:rsid w:val="001C2251"/>
    <w:rsid w:val="001C239F"/>
    <w:rsid w:val="001C36A0"/>
    <w:rsid w:val="001C3831"/>
    <w:rsid w:val="001C49E2"/>
    <w:rsid w:val="001C4E42"/>
    <w:rsid w:val="001C55D9"/>
    <w:rsid w:val="001C652E"/>
    <w:rsid w:val="001C7F29"/>
    <w:rsid w:val="001D0294"/>
    <w:rsid w:val="001D0D75"/>
    <w:rsid w:val="001D2DE6"/>
    <w:rsid w:val="001D39D8"/>
    <w:rsid w:val="001D41FE"/>
    <w:rsid w:val="001D42C1"/>
    <w:rsid w:val="001D46C6"/>
    <w:rsid w:val="001D46E9"/>
    <w:rsid w:val="001D5BD6"/>
    <w:rsid w:val="001D60BD"/>
    <w:rsid w:val="001D60EF"/>
    <w:rsid w:val="001D638E"/>
    <w:rsid w:val="001D6A2F"/>
    <w:rsid w:val="001D6E71"/>
    <w:rsid w:val="001D6EDD"/>
    <w:rsid w:val="001D74FC"/>
    <w:rsid w:val="001D7713"/>
    <w:rsid w:val="001D7ACA"/>
    <w:rsid w:val="001E06EF"/>
    <w:rsid w:val="001E0AED"/>
    <w:rsid w:val="001E0BDD"/>
    <w:rsid w:val="001E2102"/>
    <w:rsid w:val="001E2920"/>
    <w:rsid w:val="001E3518"/>
    <w:rsid w:val="001E3898"/>
    <w:rsid w:val="001E4048"/>
    <w:rsid w:val="001E40C3"/>
    <w:rsid w:val="001E4944"/>
    <w:rsid w:val="001E4A39"/>
    <w:rsid w:val="001E5883"/>
    <w:rsid w:val="001E5A3C"/>
    <w:rsid w:val="001E62D8"/>
    <w:rsid w:val="001E7556"/>
    <w:rsid w:val="001E7673"/>
    <w:rsid w:val="001F0AD8"/>
    <w:rsid w:val="001F0DEF"/>
    <w:rsid w:val="001F181F"/>
    <w:rsid w:val="001F1AFC"/>
    <w:rsid w:val="001F2940"/>
    <w:rsid w:val="001F2E8C"/>
    <w:rsid w:val="001F3448"/>
    <w:rsid w:val="001F353C"/>
    <w:rsid w:val="001F385B"/>
    <w:rsid w:val="001F3D13"/>
    <w:rsid w:val="001F3D4E"/>
    <w:rsid w:val="001F3D52"/>
    <w:rsid w:val="001F3DFB"/>
    <w:rsid w:val="001F3EA4"/>
    <w:rsid w:val="001F4637"/>
    <w:rsid w:val="001F4B43"/>
    <w:rsid w:val="001F4C8D"/>
    <w:rsid w:val="001F4D80"/>
    <w:rsid w:val="001F6D49"/>
    <w:rsid w:val="001F7353"/>
    <w:rsid w:val="00200232"/>
    <w:rsid w:val="00200901"/>
    <w:rsid w:val="00201171"/>
    <w:rsid w:val="00201C39"/>
    <w:rsid w:val="00201DEB"/>
    <w:rsid w:val="00203E10"/>
    <w:rsid w:val="0020510A"/>
    <w:rsid w:val="00206018"/>
    <w:rsid w:val="00206C6D"/>
    <w:rsid w:val="00206CB9"/>
    <w:rsid w:val="00207819"/>
    <w:rsid w:val="0020786B"/>
    <w:rsid w:val="00210676"/>
    <w:rsid w:val="0021074F"/>
    <w:rsid w:val="002109E0"/>
    <w:rsid w:val="002114C2"/>
    <w:rsid w:val="002115A5"/>
    <w:rsid w:val="00211D34"/>
    <w:rsid w:val="0021228E"/>
    <w:rsid w:val="00212A77"/>
    <w:rsid w:val="00213389"/>
    <w:rsid w:val="002133E1"/>
    <w:rsid w:val="0021372F"/>
    <w:rsid w:val="00213A29"/>
    <w:rsid w:val="00213A51"/>
    <w:rsid w:val="0021413F"/>
    <w:rsid w:val="002144C2"/>
    <w:rsid w:val="00214B1E"/>
    <w:rsid w:val="00214BDA"/>
    <w:rsid w:val="0021596D"/>
    <w:rsid w:val="0021641B"/>
    <w:rsid w:val="0021643A"/>
    <w:rsid w:val="00216E0E"/>
    <w:rsid w:val="002170C9"/>
    <w:rsid w:val="0021747B"/>
    <w:rsid w:val="00217619"/>
    <w:rsid w:val="0021769C"/>
    <w:rsid w:val="00217EE0"/>
    <w:rsid w:val="00220447"/>
    <w:rsid w:val="002205E4"/>
    <w:rsid w:val="002224FD"/>
    <w:rsid w:val="002227E0"/>
    <w:rsid w:val="00222C6F"/>
    <w:rsid w:val="00223BF2"/>
    <w:rsid w:val="00223D71"/>
    <w:rsid w:val="00223F91"/>
    <w:rsid w:val="00224102"/>
    <w:rsid w:val="0022454C"/>
    <w:rsid w:val="00224C76"/>
    <w:rsid w:val="0022507B"/>
    <w:rsid w:val="00225910"/>
    <w:rsid w:val="00225F3C"/>
    <w:rsid w:val="00226342"/>
    <w:rsid w:val="002263EF"/>
    <w:rsid w:val="002305BF"/>
    <w:rsid w:val="002308B8"/>
    <w:rsid w:val="002313A1"/>
    <w:rsid w:val="00231AF2"/>
    <w:rsid w:val="00232DAF"/>
    <w:rsid w:val="002335CB"/>
    <w:rsid w:val="00233890"/>
    <w:rsid w:val="00233992"/>
    <w:rsid w:val="00234D4B"/>
    <w:rsid w:val="00235266"/>
    <w:rsid w:val="00235444"/>
    <w:rsid w:val="00235AF2"/>
    <w:rsid w:val="002365CB"/>
    <w:rsid w:val="00236A39"/>
    <w:rsid w:val="00236C6C"/>
    <w:rsid w:val="00236FB9"/>
    <w:rsid w:val="002373A0"/>
    <w:rsid w:val="00241079"/>
    <w:rsid w:val="00241144"/>
    <w:rsid w:val="00241306"/>
    <w:rsid w:val="0024233F"/>
    <w:rsid w:val="0024251F"/>
    <w:rsid w:val="0024299B"/>
    <w:rsid w:val="00243E1E"/>
    <w:rsid w:val="00243F22"/>
    <w:rsid w:val="00246081"/>
    <w:rsid w:val="002465E6"/>
    <w:rsid w:val="00246813"/>
    <w:rsid w:val="002479A8"/>
    <w:rsid w:val="00247CD5"/>
    <w:rsid w:val="00250A56"/>
    <w:rsid w:val="00250AFD"/>
    <w:rsid w:val="002513A5"/>
    <w:rsid w:val="0025160C"/>
    <w:rsid w:val="00252065"/>
    <w:rsid w:val="002522E2"/>
    <w:rsid w:val="00253F42"/>
    <w:rsid w:val="0025405D"/>
    <w:rsid w:val="00254514"/>
    <w:rsid w:val="00254DBF"/>
    <w:rsid w:val="00255010"/>
    <w:rsid w:val="002552C3"/>
    <w:rsid w:val="00255300"/>
    <w:rsid w:val="00255BCD"/>
    <w:rsid w:val="002561AB"/>
    <w:rsid w:val="002563E7"/>
    <w:rsid w:val="002569A9"/>
    <w:rsid w:val="00256C48"/>
    <w:rsid w:val="00256D64"/>
    <w:rsid w:val="0025700A"/>
    <w:rsid w:val="002573F2"/>
    <w:rsid w:val="00257948"/>
    <w:rsid w:val="0026178A"/>
    <w:rsid w:val="00261946"/>
    <w:rsid w:val="002625AC"/>
    <w:rsid w:val="00262B7D"/>
    <w:rsid w:val="00262CA0"/>
    <w:rsid w:val="00264C34"/>
    <w:rsid w:val="0026541D"/>
    <w:rsid w:val="002655C0"/>
    <w:rsid w:val="00266041"/>
    <w:rsid w:val="00266B4C"/>
    <w:rsid w:val="0026759B"/>
    <w:rsid w:val="002678A5"/>
    <w:rsid w:val="00267B87"/>
    <w:rsid w:val="00270266"/>
    <w:rsid w:val="00270379"/>
    <w:rsid w:val="002718AF"/>
    <w:rsid w:val="00271A4F"/>
    <w:rsid w:val="00271E49"/>
    <w:rsid w:val="002720CF"/>
    <w:rsid w:val="00272337"/>
    <w:rsid w:val="002723FE"/>
    <w:rsid w:val="00272BCD"/>
    <w:rsid w:val="00272DB2"/>
    <w:rsid w:val="00273266"/>
    <w:rsid w:val="002732B9"/>
    <w:rsid w:val="00273763"/>
    <w:rsid w:val="00273824"/>
    <w:rsid w:val="002743AC"/>
    <w:rsid w:val="00274D4B"/>
    <w:rsid w:val="00274F49"/>
    <w:rsid w:val="002754AD"/>
    <w:rsid w:val="00275889"/>
    <w:rsid w:val="0027597E"/>
    <w:rsid w:val="002764DD"/>
    <w:rsid w:val="002771EC"/>
    <w:rsid w:val="00277664"/>
    <w:rsid w:val="00277D14"/>
    <w:rsid w:val="002805E9"/>
    <w:rsid w:val="002814FB"/>
    <w:rsid w:val="002821CF"/>
    <w:rsid w:val="002827BD"/>
    <w:rsid w:val="002828AB"/>
    <w:rsid w:val="002844B8"/>
    <w:rsid w:val="00284E89"/>
    <w:rsid w:val="00285356"/>
    <w:rsid w:val="0028683F"/>
    <w:rsid w:val="00286A1E"/>
    <w:rsid w:val="002870EB"/>
    <w:rsid w:val="002875AF"/>
    <w:rsid w:val="0029044D"/>
    <w:rsid w:val="002911B8"/>
    <w:rsid w:val="00291D6D"/>
    <w:rsid w:val="00291EFB"/>
    <w:rsid w:val="0029258F"/>
    <w:rsid w:val="00293AAD"/>
    <w:rsid w:val="0029417A"/>
    <w:rsid w:val="00294482"/>
    <w:rsid w:val="002944A4"/>
    <w:rsid w:val="0029494D"/>
    <w:rsid w:val="002951C7"/>
    <w:rsid w:val="00295F23"/>
    <w:rsid w:val="002968C9"/>
    <w:rsid w:val="00296B0A"/>
    <w:rsid w:val="002A000B"/>
    <w:rsid w:val="002A0DAA"/>
    <w:rsid w:val="002A10C8"/>
    <w:rsid w:val="002A14AD"/>
    <w:rsid w:val="002A1A7D"/>
    <w:rsid w:val="002A20AD"/>
    <w:rsid w:val="002A2104"/>
    <w:rsid w:val="002A2DC2"/>
    <w:rsid w:val="002A2E06"/>
    <w:rsid w:val="002A2EFE"/>
    <w:rsid w:val="002A3C54"/>
    <w:rsid w:val="002A3DF4"/>
    <w:rsid w:val="002A41E8"/>
    <w:rsid w:val="002A4767"/>
    <w:rsid w:val="002A64F1"/>
    <w:rsid w:val="002A69DD"/>
    <w:rsid w:val="002A7675"/>
    <w:rsid w:val="002A7A78"/>
    <w:rsid w:val="002B0ED0"/>
    <w:rsid w:val="002B1432"/>
    <w:rsid w:val="002B1824"/>
    <w:rsid w:val="002B18F0"/>
    <w:rsid w:val="002B1FA6"/>
    <w:rsid w:val="002B2D52"/>
    <w:rsid w:val="002B34C4"/>
    <w:rsid w:val="002B354C"/>
    <w:rsid w:val="002B427B"/>
    <w:rsid w:val="002B49DB"/>
    <w:rsid w:val="002B4B82"/>
    <w:rsid w:val="002B5CB8"/>
    <w:rsid w:val="002B5FC5"/>
    <w:rsid w:val="002B6C00"/>
    <w:rsid w:val="002C004A"/>
    <w:rsid w:val="002C09CC"/>
    <w:rsid w:val="002C0C4C"/>
    <w:rsid w:val="002C1020"/>
    <w:rsid w:val="002C11F9"/>
    <w:rsid w:val="002C2CE8"/>
    <w:rsid w:val="002C335B"/>
    <w:rsid w:val="002C372E"/>
    <w:rsid w:val="002C3B01"/>
    <w:rsid w:val="002C3EC2"/>
    <w:rsid w:val="002C403E"/>
    <w:rsid w:val="002C4111"/>
    <w:rsid w:val="002C41DA"/>
    <w:rsid w:val="002C477C"/>
    <w:rsid w:val="002C4838"/>
    <w:rsid w:val="002C5191"/>
    <w:rsid w:val="002C60E9"/>
    <w:rsid w:val="002C66D8"/>
    <w:rsid w:val="002C689D"/>
    <w:rsid w:val="002C6EF7"/>
    <w:rsid w:val="002C79D5"/>
    <w:rsid w:val="002D0FD0"/>
    <w:rsid w:val="002D15D2"/>
    <w:rsid w:val="002D1AA4"/>
    <w:rsid w:val="002D1DC8"/>
    <w:rsid w:val="002D1EFC"/>
    <w:rsid w:val="002D253E"/>
    <w:rsid w:val="002D2598"/>
    <w:rsid w:val="002D2ADC"/>
    <w:rsid w:val="002D48DF"/>
    <w:rsid w:val="002D4967"/>
    <w:rsid w:val="002D6436"/>
    <w:rsid w:val="002D669F"/>
    <w:rsid w:val="002D6D31"/>
    <w:rsid w:val="002D6F16"/>
    <w:rsid w:val="002D72FB"/>
    <w:rsid w:val="002D7E9C"/>
    <w:rsid w:val="002E0698"/>
    <w:rsid w:val="002E0A24"/>
    <w:rsid w:val="002E13FA"/>
    <w:rsid w:val="002E17F4"/>
    <w:rsid w:val="002E2F85"/>
    <w:rsid w:val="002E3049"/>
    <w:rsid w:val="002E34C1"/>
    <w:rsid w:val="002E3BE1"/>
    <w:rsid w:val="002E4DBA"/>
    <w:rsid w:val="002E5916"/>
    <w:rsid w:val="002E6A77"/>
    <w:rsid w:val="002E7D29"/>
    <w:rsid w:val="002F0626"/>
    <w:rsid w:val="002F14DF"/>
    <w:rsid w:val="002F30F5"/>
    <w:rsid w:val="002F3D2A"/>
    <w:rsid w:val="002F4E0E"/>
    <w:rsid w:val="002F4EF5"/>
    <w:rsid w:val="002F5933"/>
    <w:rsid w:val="002F5BD7"/>
    <w:rsid w:val="002F5E25"/>
    <w:rsid w:val="002F62F7"/>
    <w:rsid w:val="002F651F"/>
    <w:rsid w:val="002F6722"/>
    <w:rsid w:val="002F68B1"/>
    <w:rsid w:val="002F696E"/>
    <w:rsid w:val="002F74DD"/>
    <w:rsid w:val="002F7ACE"/>
    <w:rsid w:val="002F7EC4"/>
    <w:rsid w:val="00300AA3"/>
    <w:rsid w:val="00300E1F"/>
    <w:rsid w:val="00301B5E"/>
    <w:rsid w:val="00301CA9"/>
    <w:rsid w:val="00301FC0"/>
    <w:rsid w:val="00302209"/>
    <w:rsid w:val="00302695"/>
    <w:rsid w:val="00302D4D"/>
    <w:rsid w:val="00303E01"/>
    <w:rsid w:val="00303EB0"/>
    <w:rsid w:val="00303FC3"/>
    <w:rsid w:val="003046A1"/>
    <w:rsid w:val="00306268"/>
    <w:rsid w:val="00306327"/>
    <w:rsid w:val="00306567"/>
    <w:rsid w:val="00306708"/>
    <w:rsid w:val="0030688B"/>
    <w:rsid w:val="00306B8C"/>
    <w:rsid w:val="00306C9F"/>
    <w:rsid w:val="00306CC4"/>
    <w:rsid w:val="00306E38"/>
    <w:rsid w:val="00307333"/>
    <w:rsid w:val="00307E3B"/>
    <w:rsid w:val="003103D4"/>
    <w:rsid w:val="00311159"/>
    <w:rsid w:val="00311F4E"/>
    <w:rsid w:val="00312222"/>
    <w:rsid w:val="00313BC3"/>
    <w:rsid w:val="003147DE"/>
    <w:rsid w:val="00314A7D"/>
    <w:rsid w:val="0031518F"/>
    <w:rsid w:val="0031532A"/>
    <w:rsid w:val="00317383"/>
    <w:rsid w:val="00317AF5"/>
    <w:rsid w:val="00320059"/>
    <w:rsid w:val="00320593"/>
    <w:rsid w:val="0032124E"/>
    <w:rsid w:val="00321F84"/>
    <w:rsid w:val="00321F9C"/>
    <w:rsid w:val="00322013"/>
    <w:rsid w:val="0032306A"/>
    <w:rsid w:val="00323AD2"/>
    <w:rsid w:val="00323AD5"/>
    <w:rsid w:val="003252DD"/>
    <w:rsid w:val="00325803"/>
    <w:rsid w:val="00325E13"/>
    <w:rsid w:val="00325FFD"/>
    <w:rsid w:val="00326C52"/>
    <w:rsid w:val="003272B8"/>
    <w:rsid w:val="0032748C"/>
    <w:rsid w:val="003274BC"/>
    <w:rsid w:val="0032757D"/>
    <w:rsid w:val="003277DD"/>
    <w:rsid w:val="00330627"/>
    <w:rsid w:val="00330F4F"/>
    <w:rsid w:val="00331C41"/>
    <w:rsid w:val="00332388"/>
    <w:rsid w:val="00332CDF"/>
    <w:rsid w:val="00332E38"/>
    <w:rsid w:val="00332F58"/>
    <w:rsid w:val="00334424"/>
    <w:rsid w:val="00335B5F"/>
    <w:rsid w:val="003366C0"/>
    <w:rsid w:val="00336B55"/>
    <w:rsid w:val="00336BD5"/>
    <w:rsid w:val="0034004F"/>
    <w:rsid w:val="003400F9"/>
    <w:rsid w:val="00340907"/>
    <w:rsid w:val="00340BE4"/>
    <w:rsid w:val="003416BD"/>
    <w:rsid w:val="00342112"/>
    <w:rsid w:val="00342370"/>
    <w:rsid w:val="00343C74"/>
    <w:rsid w:val="00343C8F"/>
    <w:rsid w:val="00344429"/>
    <w:rsid w:val="00344487"/>
    <w:rsid w:val="00344F1F"/>
    <w:rsid w:val="003451F5"/>
    <w:rsid w:val="00345FEB"/>
    <w:rsid w:val="00346A2A"/>
    <w:rsid w:val="00347896"/>
    <w:rsid w:val="003479CB"/>
    <w:rsid w:val="00347CD0"/>
    <w:rsid w:val="00347F74"/>
    <w:rsid w:val="00350237"/>
    <w:rsid w:val="00350809"/>
    <w:rsid w:val="00350DD1"/>
    <w:rsid w:val="00350DD7"/>
    <w:rsid w:val="00350E6C"/>
    <w:rsid w:val="0035150C"/>
    <w:rsid w:val="0035159E"/>
    <w:rsid w:val="00351A73"/>
    <w:rsid w:val="00351A83"/>
    <w:rsid w:val="00351BAD"/>
    <w:rsid w:val="00352D0C"/>
    <w:rsid w:val="00353E01"/>
    <w:rsid w:val="003546CE"/>
    <w:rsid w:val="003546F7"/>
    <w:rsid w:val="003549D9"/>
    <w:rsid w:val="00354D14"/>
    <w:rsid w:val="00354D68"/>
    <w:rsid w:val="003552D5"/>
    <w:rsid w:val="00355429"/>
    <w:rsid w:val="00355677"/>
    <w:rsid w:val="003558D2"/>
    <w:rsid w:val="0035647D"/>
    <w:rsid w:val="00357CD7"/>
    <w:rsid w:val="00361747"/>
    <w:rsid w:val="00362490"/>
    <w:rsid w:val="00362EEC"/>
    <w:rsid w:val="00363008"/>
    <w:rsid w:val="0036417E"/>
    <w:rsid w:val="003648EB"/>
    <w:rsid w:val="00365635"/>
    <w:rsid w:val="00365781"/>
    <w:rsid w:val="00365919"/>
    <w:rsid w:val="00365CF7"/>
    <w:rsid w:val="00365E4C"/>
    <w:rsid w:val="0036618D"/>
    <w:rsid w:val="003665DF"/>
    <w:rsid w:val="00366934"/>
    <w:rsid w:val="00366C32"/>
    <w:rsid w:val="00370C71"/>
    <w:rsid w:val="0037148C"/>
    <w:rsid w:val="0037161D"/>
    <w:rsid w:val="00371FFA"/>
    <w:rsid w:val="003721D5"/>
    <w:rsid w:val="00373D13"/>
    <w:rsid w:val="00374389"/>
    <w:rsid w:val="003749E2"/>
    <w:rsid w:val="00374C7F"/>
    <w:rsid w:val="00374C8E"/>
    <w:rsid w:val="00375022"/>
    <w:rsid w:val="00375168"/>
    <w:rsid w:val="0037566A"/>
    <w:rsid w:val="00375EA2"/>
    <w:rsid w:val="00376308"/>
    <w:rsid w:val="003768B4"/>
    <w:rsid w:val="00380711"/>
    <w:rsid w:val="003814EA"/>
    <w:rsid w:val="00382A8C"/>
    <w:rsid w:val="00383D86"/>
    <w:rsid w:val="00383DB1"/>
    <w:rsid w:val="00384885"/>
    <w:rsid w:val="00384FD1"/>
    <w:rsid w:val="00390114"/>
    <w:rsid w:val="0039095B"/>
    <w:rsid w:val="00391704"/>
    <w:rsid w:val="0039176C"/>
    <w:rsid w:val="003926E9"/>
    <w:rsid w:val="00392CFC"/>
    <w:rsid w:val="00393B76"/>
    <w:rsid w:val="00394CFE"/>
    <w:rsid w:val="00394D49"/>
    <w:rsid w:val="00395E64"/>
    <w:rsid w:val="0039609B"/>
    <w:rsid w:val="00396241"/>
    <w:rsid w:val="003975FE"/>
    <w:rsid w:val="00397ACF"/>
    <w:rsid w:val="00397E12"/>
    <w:rsid w:val="00397E79"/>
    <w:rsid w:val="003A02CA"/>
    <w:rsid w:val="003A03A0"/>
    <w:rsid w:val="003A0C76"/>
    <w:rsid w:val="003A1BEA"/>
    <w:rsid w:val="003A1D77"/>
    <w:rsid w:val="003A1E38"/>
    <w:rsid w:val="003A1F59"/>
    <w:rsid w:val="003A3147"/>
    <w:rsid w:val="003A326F"/>
    <w:rsid w:val="003A4613"/>
    <w:rsid w:val="003A4706"/>
    <w:rsid w:val="003A4DA8"/>
    <w:rsid w:val="003A5746"/>
    <w:rsid w:val="003A626D"/>
    <w:rsid w:val="003A65D8"/>
    <w:rsid w:val="003A6A9E"/>
    <w:rsid w:val="003A6CA8"/>
    <w:rsid w:val="003A7EDC"/>
    <w:rsid w:val="003B15FC"/>
    <w:rsid w:val="003B21D3"/>
    <w:rsid w:val="003B2D84"/>
    <w:rsid w:val="003B34C6"/>
    <w:rsid w:val="003B351A"/>
    <w:rsid w:val="003B39AA"/>
    <w:rsid w:val="003B3BBC"/>
    <w:rsid w:val="003B3E3C"/>
    <w:rsid w:val="003B49F7"/>
    <w:rsid w:val="003B4AF8"/>
    <w:rsid w:val="003B4EC1"/>
    <w:rsid w:val="003B6A1B"/>
    <w:rsid w:val="003B6C7F"/>
    <w:rsid w:val="003B70FA"/>
    <w:rsid w:val="003B71CF"/>
    <w:rsid w:val="003C0115"/>
    <w:rsid w:val="003C0C96"/>
    <w:rsid w:val="003C10A1"/>
    <w:rsid w:val="003C2C6A"/>
    <w:rsid w:val="003C3156"/>
    <w:rsid w:val="003C342C"/>
    <w:rsid w:val="003C3CBE"/>
    <w:rsid w:val="003C3CEC"/>
    <w:rsid w:val="003C3DBB"/>
    <w:rsid w:val="003C45F6"/>
    <w:rsid w:val="003C5C6A"/>
    <w:rsid w:val="003C5DBA"/>
    <w:rsid w:val="003C60E0"/>
    <w:rsid w:val="003C7700"/>
    <w:rsid w:val="003D03C1"/>
    <w:rsid w:val="003D0859"/>
    <w:rsid w:val="003D0D5A"/>
    <w:rsid w:val="003D1CCF"/>
    <w:rsid w:val="003D2AE3"/>
    <w:rsid w:val="003D302E"/>
    <w:rsid w:val="003D4341"/>
    <w:rsid w:val="003D45A9"/>
    <w:rsid w:val="003D4CF2"/>
    <w:rsid w:val="003D5749"/>
    <w:rsid w:val="003D5FD7"/>
    <w:rsid w:val="003D643D"/>
    <w:rsid w:val="003D6B20"/>
    <w:rsid w:val="003D6DF2"/>
    <w:rsid w:val="003D769C"/>
    <w:rsid w:val="003E05AB"/>
    <w:rsid w:val="003E0906"/>
    <w:rsid w:val="003E0F84"/>
    <w:rsid w:val="003E19F6"/>
    <w:rsid w:val="003E2015"/>
    <w:rsid w:val="003E2094"/>
    <w:rsid w:val="003E226F"/>
    <w:rsid w:val="003E2627"/>
    <w:rsid w:val="003E2659"/>
    <w:rsid w:val="003E2FCE"/>
    <w:rsid w:val="003E3A4E"/>
    <w:rsid w:val="003E3C32"/>
    <w:rsid w:val="003E4C5E"/>
    <w:rsid w:val="003E5376"/>
    <w:rsid w:val="003E561E"/>
    <w:rsid w:val="003E581F"/>
    <w:rsid w:val="003E5AC5"/>
    <w:rsid w:val="003E64B4"/>
    <w:rsid w:val="003E6A93"/>
    <w:rsid w:val="003E7386"/>
    <w:rsid w:val="003E74FF"/>
    <w:rsid w:val="003F0729"/>
    <w:rsid w:val="003F075F"/>
    <w:rsid w:val="003F09E5"/>
    <w:rsid w:val="003F1000"/>
    <w:rsid w:val="003F12BF"/>
    <w:rsid w:val="003F14A8"/>
    <w:rsid w:val="003F1F39"/>
    <w:rsid w:val="003F258A"/>
    <w:rsid w:val="003F26E7"/>
    <w:rsid w:val="003F3051"/>
    <w:rsid w:val="003F3202"/>
    <w:rsid w:val="003F3F9A"/>
    <w:rsid w:val="003F426E"/>
    <w:rsid w:val="003F47A2"/>
    <w:rsid w:val="003F4846"/>
    <w:rsid w:val="003F4E56"/>
    <w:rsid w:val="003F5E94"/>
    <w:rsid w:val="003F6655"/>
    <w:rsid w:val="003F68DF"/>
    <w:rsid w:val="003F6C61"/>
    <w:rsid w:val="003F70CA"/>
    <w:rsid w:val="003F7695"/>
    <w:rsid w:val="0040071C"/>
    <w:rsid w:val="00400883"/>
    <w:rsid w:val="00400C00"/>
    <w:rsid w:val="00401400"/>
    <w:rsid w:val="00401949"/>
    <w:rsid w:val="004025E4"/>
    <w:rsid w:val="00402F31"/>
    <w:rsid w:val="00403225"/>
    <w:rsid w:val="004037E2"/>
    <w:rsid w:val="00403848"/>
    <w:rsid w:val="00403BE2"/>
    <w:rsid w:val="0040420B"/>
    <w:rsid w:val="004045E9"/>
    <w:rsid w:val="004048CE"/>
    <w:rsid w:val="0040645E"/>
    <w:rsid w:val="00406E11"/>
    <w:rsid w:val="00406E1F"/>
    <w:rsid w:val="004106FD"/>
    <w:rsid w:val="0041088C"/>
    <w:rsid w:val="00410A8B"/>
    <w:rsid w:val="00411E0D"/>
    <w:rsid w:val="0041310D"/>
    <w:rsid w:val="004131A8"/>
    <w:rsid w:val="00413328"/>
    <w:rsid w:val="004139EB"/>
    <w:rsid w:val="004152BA"/>
    <w:rsid w:val="00415693"/>
    <w:rsid w:val="0041614B"/>
    <w:rsid w:val="00416486"/>
    <w:rsid w:val="00416B25"/>
    <w:rsid w:val="00416F00"/>
    <w:rsid w:val="00417E5F"/>
    <w:rsid w:val="00420795"/>
    <w:rsid w:val="004210DF"/>
    <w:rsid w:val="00421384"/>
    <w:rsid w:val="004221DB"/>
    <w:rsid w:val="00422CBE"/>
    <w:rsid w:val="004230A9"/>
    <w:rsid w:val="00423B79"/>
    <w:rsid w:val="0042444B"/>
    <w:rsid w:val="00424C53"/>
    <w:rsid w:val="00425556"/>
    <w:rsid w:val="004268AF"/>
    <w:rsid w:val="004269E0"/>
    <w:rsid w:val="00426CC6"/>
    <w:rsid w:val="00427B7E"/>
    <w:rsid w:val="00427D75"/>
    <w:rsid w:val="0043038D"/>
    <w:rsid w:val="00431A8B"/>
    <w:rsid w:val="00431D48"/>
    <w:rsid w:val="004329EC"/>
    <w:rsid w:val="00432ECA"/>
    <w:rsid w:val="0043321A"/>
    <w:rsid w:val="004347FB"/>
    <w:rsid w:val="004351D9"/>
    <w:rsid w:val="0043529A"/>
    <w:rsid w:val="0043549E"/>
    <w:rsid w:val="004368CD"/>
    <w:rsid w:val="00437904"/>
    <w:rsid w:val="0044134E"/>
    <w:rsid w:val="004415EC"/>
    <w:rsid w:val="00441C60"/>
    <w:rsid w:val="00441F04"/>
    <w:rsid w:val="004425B1"/>
    <w:rsid w:val="004444B6"/>
    <w:rsid w:val="00444F43"/>
    <w:rsid w:val="00445119"/>
    <w:rsid w:val="004453F0"/>
    <w:rsid w:val="0044559D"/>
    <w:rsid w:val="0044575F"/>
    <w:rsid w:val="00446173"/>
    <w:rsid w:val="004469AF"/>
    <w:rsid w:val="00447240"/>
    <w:rsid w:val="00447639"/>
    <w:rsid w:val="004476A4"/>
    <w:rsid w:val="00447762"/>
    <w:rsid w:val="00450706"/>
    <w:rsid w:val="004514EA"/>
    <w:rsid w:val="00451B1D"/>
    <w:rsid w:val="00452C0C"/>
    <w:rsid w:val="00453226"/>
    <w:rsid w:val="00453FAE"/>
    <w:rsid w:val="00454D10"/>
    <w:rsid w:val="00454D4D"/>
    <w:rsid w:val="00455661"/>
    <w:rsid w:val="00456F5B"/>
    <w:rsid w:val="00456F6B"/>
    <w:rsid w:val="0045700E"/>
    <w:rsid w:val="00457100"/>
    <w:rsid w:val="00457D44"/>
    <w:rsid w:val="0046099C"/>
    <w:rsid w:val="00460B19"/>
    <w:rsid w:val="00461434"/>
    <w:rsid w:val="004620F1"/>
    <w:rsid w:val="00462286"/>
    <w:rsid w:val="00462855"/>
    <w:rsid w:val="00462B27"/>
    <w:rsid w:val="00462D6E"/>
    <w:rsid w:val="00463A99"/>
    <w:rsid w:val="004645C5"/>
    <w:rsid w:val="00465961"/>
    <w:rsid w:val="004667B4"/>
    <w:rsid w:val="00466F39"/>
    <w:rsid w:val="0046722A"/>
    <w:rsid w:val="00467B8A"/>
    <w:rsid w:val="00467F8D"/>
    <w:rsid w:val="0047139F"/>
    <w:rsid w:val="004718A5"/>
    <w:rsid w:val="00471CA0"/>
    <w:rsid w:val="00471D01"/>
    <w:rsid w:val="004722A4"/>
    <w:rsid w:val="004725A8"/>
    <w:rsid w:val="004737E2"/>
    <w:rsid w:val="0047391D"/>
    <w:rsid w:val="00474E05"/>
    <w:rsid w:val="00475931"/>
    <w:rsid w:val="00475B11"/>
    <w:rsid w:val="00475D97"/>
    <w:rsid w:val="0047690F"/>
    <w:rsid w:val="0047737C"/>
    <w:rsid w:val="00477A76"/>
    <w:rsid w:val="00480CAD"/>
    <w:rsid w:val="00481087"/>
    <w:rsid w:val="00481210"/>
    <w:rsid w:val="00481742"/>
    <w:rsid w:val="004826CF"/>
    <w:rsid w:val="00482CD2"/>
    <w:rsid w:val="00483085"/>
    <w:rsid w:val="0048364F"/>
    <w:rsid w:val="00483779"/>
    <w:rsid w:val="00483B97"/>
    <w:rsid w:val="00484579"/>
    <w:rsid w:val="004845D3"/>
    <w:rsid w:val="004845D8"/>
    <w:rsid w:val="0048480F"/>
    <w:rsid w:val="00484E02"/>
    <w:rsid w:val="00485068"/>
    <w:rsid w:val="00485742"/>
    <w:rsid w:val="00485CE1"/>
    <w:rsid w:val="0048737E"/>
    <w:rsid w:val="00490153"/>
    <w:rsid w:val="00490AB5"/>
    <w:rsid w:val="00491268"/>
    <w:rsid w:val="0049126A"/>
    <w:rsid w:val="004919F3"/>
    <w:rsid w:val="00491B70"/>
    <w:rsid w:val="004926EF"/>
    <w:rsid w:val="00492FDF"/>
    <w:rsid w:val="00493A55"/>
    <w:rsid w:val="00494526"/>
    <w:rsid w:val="00495351"/>
    <w:rsid w:val="00495F6E"/>
    <w:rsid w:val="00496977"/>
    <w:rsid w:val="004972A2"/>
    <w:rsid w:val="00497879"/>
    <w:rsid w:val="004978D4"/>
    <w:rsid w:val="004A0382"/>
    <w:rsid w:val="004A068D"/>
    <w:rsid w:val="004A109B"/>
    <w:rsid w:val="004A2B24"/>
    <w:rsid w:val="004A4024"/>
    <w:rsid w:val="004A4164"/>
    <w:rsid w:val="004A4770"/>
    <w:rsid w:val="004A54D0"/>
    <w:rsid w:val="004A5B03"/>
    <w:rsid w:val="004A5EC6"/>
    <w:rsid w:val="004A620D"/>
    <w:rsid w:val="004A6331"/>
    <w:rsid w:val="004A7580"/>
    <w:rsid w:val="004A769E"/>
    <w:rsid w:val="004A7F79"/>
    <w:rsid w:val="004B1066"/>
    <w:rsid w:val="004B1208"/>
    <w:rsid w:val="004B157A"/>
    <w:rsid w:val="004B1778"/>
    <w:rsid w:val="004B2C26"/>
    <w:rsid w:val="004B2C9E"/>
    <w:rsid w:val="004B3604"/>
    <w:rsid w:val="004B395E"/>
    <w:rsid w:val="004B3F56"/>
    <w:rsid w:val="004B4536"/>
    <w:rsid w:val="004B50DA"/>
    <w:rsid w:val="004B5214"/>
    <w:rsid w:val="004B59FE"/>
    <w:rsid w:val="004B6373"/>
    <w:rsid w:val="004B6D1B"/>
    <w:rsid w:val="004B6E5C"/>
    <w:rsid w:val="004B7061"/>
    <w:rsid w:val="004B796B"/>
    <w:rsid w:val="004B7CBF"/>
    <w:rsid w:val="004C0C4A"/>
    <w:rsid w:val="004C0CFE"/>
    <w:rsid w:val="004C1213"/>
    <w:rsid w:val="004C21BF"/>
    <w:rsid w:val="004C2D2A"/>
    <w:rsid w:val="004C32EE"/>
    <w:rsid w:val="004C3927"/>
    <w:rsid w:val="004C433B"/>
    <w:rsid w:val="004C4755"/>
    <w:rsid w:val="004C4CA6"/>
    <w:rsid w:val="004C4CF5"/>
    <w:rsid w:val="004C6CAB"/>
    <w:rsid w:val="004C6D70"/>
    <w:rsid w:val="004C764E"/>
    <w:rsid w:val="004C7AA4"/>
    <w:rsid w:val="004C7CE9"/>
    <w:rsid w:val="004D01AA"/>
    <w:rsid w:val="004D020C"/>
    <w:rsid w:val="004D0437"/>
    <w:rsid w:val="004D0509"/>
    <w:rsid w:val="004D05AB"/>
    <w:rsid w:val="004D09B3"/>
    <w:rsid w:val="004D09E5"/>
    <w:rsid w:val="004D0B48"/>
    <w:rsid w:val="004D1E41"/>
    <w:rsid w:val="004D3659"/>
    <w:rsid w:val="004D367D"/>
    <w:rsid w:val="004D51CF"/>
    <w:rsid w:val="004D54DB"/>
    <w:rsid w:val="004D54EB"/>
    <w:rsid w:val="004D5618"/>
    <w:rsid w:val="004D57CD"/>
    <w:rsid w:val="004D5F6C"/>
    <w:rsid w:val="004D625B"/>
    <w:rsid w:val="004D68C1"/>
    <w:rsid w:val="004D691D"/>
    <w:rsid w:val="004D714E"/>
    <w:rsid w:val="004D72EC"/>
    <w:rsid w:val="004D755F"/>
    <w:rsid w:val="004D762C"/>
    <w:rsid w:val="004D7B5F"/>
    <w:rsid w:val="004E099A"/>
    <w:rsid w:val="004E0D89"/>
    <w:rsid w:val="004E1EA8"/>
    <w:rsid w:val="004E2D8F"/>
    <w:rsid w:val="004E440C"/>
    <w:rsid w:val="004E4A0E"/>
    <w:rsid w:val="004E4A11"/>
    <w:rsid w:val="004E4A23"/>
    <w:rsid w:val="004E52C1"/>
    <w:rsid w:val="004E5C11"/>
    <w:rsid w:val="004E61BD"/>
    <w:rsid w:val="004F021F"/>
    <w:rsid w:val="004F0267"/>
    <w:rsid w:val="004F0A03"/>
    <w:rsid w:val="004F0DEA"/>
    <w:rsid w:val="004F10F2"/>
    <w:rsid w:val="004F12D2"/>
    <w:rsid w:val="004F217C"/>
    <w:rsid w:val="004F2380"/>
    <w:rsid w:val="004F34F5"/>
    <w:rsid w:val="004F3555"/>
    <w:rsid w:val="004F3A63"/>
    <w:rsid w:val="004F3B08"/>
    <w:rsid w:val="004F4359"/>
    <w:rsid w:val="004F4408"/>
    <w:rsid w:val="004F441B"/>
    <w:rsid w:val="004F495A"/>
    <w:rsid w:val="004F4DA9"/>
    <w:rsid w:val="004F5600"/>
    <w:rsid w:val="004F64D8"/>
    <w:rsid w:val="004F65A5"/>
    <w:rsid w:val="004F6603"/>
    <w:rsid w:val="004F6664"/>
    <w:rsid w:val="004F6F88"/>
    <w:rsid w:val="004F77A3"/>
    <w:rsid w:val="004F7812"/>
    <w:rsid w:val="004F78BB"/>
    <w:rsid w:val="004F7AB9"/>
    <w:rsid w:val="004F7E1E"/>
    <w:rsid w:val="00500E8D"/>
    <w:rsid w:val="00501D2D"/>
    <w:rsid w:val="00502067"/>
    <w:rsid w:val="0050365D"/>
    <w:rsid w:val="00504F89"/>
    <w:rsid w:val="005055B5"/>
    <w:rsid w:val="00505EE7"/>
    <w:rsid w:val="00506117"/>
    <w:rsid w:val="0050673C"/>
    <w:rsid w:val="005072D3"/>
    <w:rsid w:val="00507FD7"/>
    <w:rsid w:val="00510112"/>
    <w:rsid w:val="00511265"/>
    <w:rsid w:val="00511C10"/>
    <w:rsid w:val="00511F82"/>
    <w:rsid w:val="00512462"/>
    <w:rsid w:val="00513132"/>
    <w:rsid w:val="005139BB"/>
    <w:rsid w:val="0051486C"/>
    <w:rsid w:val="00514BD7"/>
    <w:rsid w:val="00515E60"/>
    <w:rsid w:val="00517024"/>
    <w:rsid w:val="005172BF"/>
    <w:rsid w:val="005174FC"/>
    <w:rsid w:val="0051760F"/>
    <w:rsid w:val="0051773A"/>
    <w:rsid w:val="005200D9"/>
    <w:rsid w:val="005208BB"/>
    <w:rsid w:val="00521232"/>
    <w:rsid w:val="005215A4"/>
    <w:rsid w:val="00521732"/>
    <w:rsid w:val="00521B91"/>
    <w:rsid w:val="005220AA"/>
    <w:rsid w:val="005220E6"/>
    <w:rsid w:val="0052284A"/>
    <w:rsid w:val="00522DB5"/>
    <w:rsid w:val="00522F30"/>
    <w:rsid w:val="005237A1"/>
    <w:rsid w:val="00523D14"/>
    <w:rsid w:val="0052449E"/>
    <w:rsid w:val="00524596"/>
    <w:rsid w:val="00524F0F"/>
    <w:rsid w:val="005258DE"/>
    <w:rsid w:val="00525E0A"/>
    <w:rsid w:val="005262C8"/>
    <w:rsid w:val="00526D7D"/>
    <w:rsid w:val="0052736D"/>
    <w:rsid w:val="00527735"/>
    <w:rsid w:val="005303D3"/>
    <w:rsid w:val="00531152"/>
    <w:rsid w:val="005312EE"/>
    <w:rsid w:val="00531418"/>
    <w:rsid w:val="00532021"/>
    <w:rsid w:val="005320EE"/>
    <w:rsid w:val="00532338"/>
    <w:rsid w:val="005328B4"/>
    <w:rsid w:val="005330E1"/>
    <w:rsid w:val="00533203"/>
    <w:rsid w:val="005337DE"/>
    <w:rsid w:val="00533B73"/>
    <w:rsid w:val="00533E9D"/>
    <w:rsid w:val="00534428"/>
    <w:rsid w:val="005345A6"/>
    <w:rsid w:val="0053489E"/>
    <w:rsid w:val="00534A74"/>
    <w:rsid w:val="00534F0F"/>
    <w:rsid w:val="005353BA"/>
    <w:rsid w:val="00535EE3"/>
    <w:rsid w:val="00536302"/>
    <w:rsid w:val="00536811"/>
    <w:rsid w:val="0053682C"/>
    <w:rsid w:val="0053689B"/>
    <w:rsid w:val="005368F6"/>
    <w:rsid w:val="0053741D"/>
    <w:rsid w:val="0053776A"/>
    <w:rsid w:val="00537A95"/>
    <w:rsid w:val="0054005B"/>
    <w:rsid w:val="00540BFE"/>
    <w:rsid w:val="005411E1"/>
    <w:rsid w:val="005416D7"/>
    <w:rsid w:val="00541AAA"/>
    <w:rsid w:val="005425DF"/>
    <w:rsid w:val="00542B2A"/>
    <w:rsid w:val="00543F81"/>
    <w:rsid w:val="00544B06"/>
    <w:rsid w:val="00544B7F"/>
    <w:rsid w:val="00545C81"/>
    <w:rsid w:val="00545D11"/>
    <w:rsid w:val="005463DA"/>
    <w:rsid w:val="00546F1B"/>
    <w:rsid w:val="005470C9"/>
    <w:rsid w:val="0054760E"/>
    <w:rsid w:val="00547773"/>
    <w:rsid w:val="0054779C"/>
    <w:rsid w:val="00547CEE"/>
    <w:rsid w:val="00547DD7"/>
    <w:rsid w:val="00550098"/>
    <w:rsid w:val="005509B0"/>
    <w:rsid w:val="005512E8"/>
    <w:rsid w:val="00553892"/>
    <w:rsid w:val="00553D7B"/>
    <w:rsid w:val="00554A0C"/>
    <w:rsid w:val="00554C15"/>
    <w:rsid w:val="005553F5"/>
    <w:rsid w:val="00555A53"/>
    <w:rsid w:val="00555B10"/>
    <w:rsid w:val="00556AA8"/>
    <w:rsid w:val="00556D78"/>
    <w:rsid w:val="00557F49"/>
    <w:rsid w:val="005604CD"/>
    <w:rsid w:val="00561EE9"/>
    <w:rsid w:val="00562886"/>
    <w:rsid w:val="00562CEE"/>
    <w:rsid w:val="005641AF"/>
    <w:rsid w:val="00565434"/>
    <w:rsid w:val="0056582E"/>
    <w:rsid w:val="00565984"/>
    <w:rsid w:val="005668F9"/>
    <w:rsid w:val="00566F19"/>
    <w:rsid w:val="0056721C"/>
    <w:rsid w:val="0056725F"/>
    <w:rsid w:val="00567D6E"/>
    <w:rsid w:val="005700FE"/>
    <w:rsid w:val="00570825"/>
    <w:rsid w:val="005719F4"/>
    <w:rsid w:val="005730AB"/>
    <w:rsid w:val="005738F6"/>
    <w:rsid w:val="00573D4E"/>
    <w:rsid w:val="0057407D"/>
    <w:rsid w:val="005750B0"/>
    <w:rsid w:val="00575244"/>
    <w:rsid w:val="00576212"/>
    <w:rsid w:val="00576296"/>
    <w:rsid w:val="00576E0A"/>
    <w:rsid w:val="005772AA"/>
    <w:rsid w:val="00577400"/>
    <w:rsid w:val="0057760A"/>
    <w:rsid w:val="00577B9C"/>
    <w:rsid w:val="00580174"/>
    <w:rsid w:val="00581957"/>
    <w:rsid w:val="005819D8"/>
    <w:rsid w:val="005820E4"/>
    <w:rsid w:val="0058215A"/>
    <w:rsid w:val="005825AD"/>
    <w:rsid w:val="00582603"/>
    <w:rsid w:val="0058266D"/>
    <w:rsid w:val="00582C5E"/>
    <w:rsid w:val="00582CBE"/>
    <w:rsid w:val="0058380F"/>
    <w:rsid w:val="00583CE2"/>
    <w:rsid w:val="005841FD"/>
    <w:rsid w:val="005843C0"/>
    <w:rsid w:val="005845F7"/>
    <w:rsid w:val="00584BDC"/>
    <w:rsid w:val="00584C59"/>
    <w:rsid w:val="00585017"/>
    <w:rsid w:val="00585656"/>
    <w:rsid w:val="005856B5"/>
    <w:rsid w:val="005857D4"/>
    <w:rsid w:val="00585D32"/>
    <w:rsid w:val="0059042E"/>
    <w:rsid w:val="00591636"/>
    <w:rsid w:val="00591B57"/>
    <w:rsid w:val="00592587"/>
    <w:rsid w:val="005927A8"/>
    <w:rsid w:val="00592AB5"/>
    <w:rsid w:val="00592FB6"/>
    <w:rsid w:val="00592FF5"/>
    <w:rsid w:val="00594332"/>
    <w:rsid w:val="00594498"/>
    <w:rsid w:val="005956C0"/>
    <w:rsid w:val="0059739B"/>
    <w:rsid w:val="005976F2"/>
    <w:rsid w:val="00597EE0"/>
    <w:rsid w:val="005A1D7D"/>
    <w:rsid w:val="005A217D"/>
    <w:rsid w:val="005A22DE"/>
    <w:rsid w:val="005A2321"/>
    <w:rsid w:val="005A2F45"/>
    <w:rsid w:val="005A2FFA"/>
    <w:rsid w:val="005A32B1"/>
    <w:rsid w:val="005A3734"/>
    <w:rsid w:val="005A3E2C"/>
    <w:rsid w:val="005A5B93"/>
    <w:rsid w:val="005A5DA3"/>
    <w:rsid w:val="005A5DA4"/>
    <w:rsid w:val="005A6AB5"/>
    <w:rsid w:val="005A7544"/>
    <w:rsid w:val="005A7F97"/>
    <w:rsid w:val="005B003E"/>
    <w:rsid w:val="005B0048"/>
    <w:rsid w:val="005B0AAF"/>
    <w:rsid w:val="005B1789"/>
    <w:rsid w:val="005B1DDE"/>
    <w:rsid w:val="005B1FFC"/>
    <w:rsid w:val="005B24F2"/>
    <w:rsid w:val="005B2848"/>
    <w:rsid w:val="005B2F2D"/>
    <w:rsid w:val="005B3C27"/>
    <w:rsid w:val="005B3FBC"/>
    <w:rsid w:val="005B49B7"/>
    <w:rsid w:val="005B5D37"/>
    <w:rsid w:val="005B645B"/>
    <w:rsid w:val="005B6A31"/>
    <w:rsid w:val="005B7188"/>
    <w:rsid w:val="005B7AD0"/>
    <w:rsid w:val="005C07E3"/>
    <w:rsid w:val="005C0840"/>
    <w:rsid w:val="005C0ACB"/>
    <w:rsid w:val="005C0D22"/>
    <w:rsid w:val="005C0DEE"/>
    <w:rsid w:val="005C1277"/>
    <w:rsid w:val="005C151F"/>
    <w:rsid w:val="005C18DB"/>
    <w:rsid w:val="005C19B4"/>
    <w:rsid w:val="005C1A95"/>
    <w:rsid w:val="005C1D22"/>
    <w:rsid w:val="005C2C59"/>
    <w:rsid w:val="005C43FB"/>
    <w:rsid w:val="005C4442"/>
    <w:rsid w:val="005C55DB"/>
    <w:rsid w:val="005C6A65"/>
    <w:rsid w:val="005C7CAC"/>
    <w:rsid w:val="005C7DE0"/>
    <w:rsid w:val="005C7E89"/>
    <w:rsid w:val="005D0095"/>
    <w:rsid w:val="005D021A"/>
    <w:rsid w:val="005D0ED1"/>
    <w:rsid w:val="005D0FA6"/>
    <w:rsid w:val="005D119F"/>
    <w:rsid w:val="005D17D6"/>
    <w:rsid w:val="005D1A5B"/>
    <w:rsid w:val="005D2C23"/>
    <w:rsid w:val="005D4129"/>
    <w:rsid w:val="005D4647"/>
    <w:rsid w:val="005D478F"/>
    <w:rsid w:val="005D48E3"/>
    <w:rsid w:val="005D5159"/>
    <w:rsid w:val="005D53D2"/>
    <w:rsid w:val="005D5541"/>
    <w:rsid w:val="005D5ADB"/>
    <w:rsid w:val="005D6911"/>
    <w:rsid w:val="005D6B6A"/>
    <w:rsid w:val="005D6ECF"/>
    <w:rsid w:val="005D71BB"/>
    <w:rsid w:val="005D76B6"/>
    <w:rsid w:val="005D7889"/>
    <w:rsid w:val="005D7A2A"/>
    <w:rsid w:val="005D7D3A"/>
    <w:rsid w:val="005E122E"/>
    <w:rsid w:val="005E169A"/>
    <w:rsid w:val="005E1738"/>
    <w:rsid w:val="005E1DD2"/>
    <w:rsid w:val="005E204C"/>
    <w:rsid w:val="005E22F2"/>
    <w:rsid w:val="005E261C"/>
    <w:rsid w:val="005E33B0"/>
    <w:rsid w:val="005E3403"/>
    <w:rsid w:val="005E3FAA"/>
    <w:rsid w:val="005E45BD"/>
    <w:rsid w:val="005E585C"/>
    <w:rsid w:val="005E62F1"/>
    <w:rsid w:val="005E6556"/>
    <w:rsid w:val="005E6F0A"/>
    <w:rsid w:val="005E7575"/>
    <w:rsid w:val="005E79F2"/>
    <w:rsid w:val="005E7A20"/>
    <w:rsid w:val="005F037D"/>
    <w:rsid w:val="005F1015"/>
    <w:rsid w:val="005F122D"/>
    <w:rsid w:val="005F1435"/>
    <w:rsid w:val="005F177C"/>
    <w:rsid w:val="005F1C7F"/>
    <w:rsid w:val="005F1F5D"/>
    <w:rsid w:val="005F26CF"/>
    <w:rsid w:val="005F2B16"/>
    <w:rsid w:val="005F3A53"/>
    <w:rsid w:val="005F3B3A"/>
    <w:rsid w:val="005F3FED"/>
    <w:rsid w:val="005F5062"/>
    <w:rsid w:val="005F601E"/>
    <w:rsid w:val="005F6B09"/>
    <w:rsid w:val="005F7F4B"/>
    <w:rsid w:val="00601701"/>
    <w:rsid w:val="00601D3B"/>
    <w:rsid w:val="006021DC"/>
    <w:rsid w:val="00602299"/>
    <w:rsid w:val="006033FA"/>
    <w:rsid w:val="00603922"/>
    <w:rsid w:val="00603D45"/>
    <w:rsid w:val="006044C9"/>
    <w:rsid w:val="006048E5"/>
    <w:rsid w:val="00604C75"/>
    <w:rsid w:val="00605393"/>
    <w:rsid w:val="00605479"/>
    <w:rsid w:val="006054AA"/>
    <w:rsid w:val="006058D1"/>
    <w:rsid w:val="00606707"/>
    <w:rsid w:val="00606AF7"/>
    <w:rsid w:val="00607B4F"/>
    <w:rsid w:val="00610CCE"/>
    <w:rsid w:val="00610F04"/>
    <w:rsid w:val="0061154F"/>
    <w:rsid w:val="00612A84"/>
    <w:rsid w:val="00613114"/>
    <w:rsid w:val="0061320A"/>
    <w:rsid w:val="00613574"/>
    <w:rsid w:val="00613E43"/>
    <w:rsid w:val="00613F85"/>
    <w:rsid w:val="00613FF2"/>
    <w:rsid w:val="006145A7"/>
    <w:rsid w:val="00615668"/>
    <w:rsid w:val="00615C94"/>
    <w:rsid w:val="00616396"/>
    <w:rsid w:val="00616698"/>
    <w:rsid w:val="00616A1A"/>
    <w:rsid w:val="00616A79"/>
    <w:rsid w:val="006173EE"/>
    <w:rsid w:val="00617635"/>
    <w:rsid w:val="006176D7"/>
    <w:rsid w:val="00617A04"/>
    <w:rsid w:val="0062076C"/>
    <w:rsid w:val="00620B27"/>
    <w:rsid w:val="00620CD1"/>
    <w:rsid w:val="0062117F"/>
    <w:rsid w:val="00621239"/>
    <w:rsid w:val="0062144C"/>
    <w:rsid w:val="0062181F"/>
    <w:rsid w:val="00621CC7"/>
    <w:rsid w:val="00621D40"/>
    <w:rsid w:val="00622B40"/>
    <w:rsid w:val="00622BC2"/>
    <w:rsid w:val="00623B05"/>
    <w:rsid w:val="006248D0"/>
    <w:rsid w:val="006248D7"/>
    <w:rsid w:val="00624ABD"/>
    <w:rsid w:val="00625A22"/>
    <w:rsid w:val="00627617"/>
    <w:rsid w:val="00627BC9"/>
    <w:rsid w:val="00630A04"/>
    <w:rsid w:val="00631283"/>
    <w:rsid w:val="00631FC3"/>
    <w:rsid w:val="00632157"/>
    <w:rsid w:val="00632439"/>
    <w:rsid w:val="00634087"/>
    <w:rsid w:val="00634FE6"/>
    <w:rsid w:val="00635361"/>
    <w:rsid w:val="00635D2F"/>
    <w:rsid w:val="00636243"/>
    <w:rsid w:val="0063747C"/>
    <w:rsid w:val="00637B5F"/>
    <w:rsid w:val="00640062"/>
    <w:rsid w:val="00640247"/>
    <w:rsid w:val="00640DE3"/>
    <w:rsid w:val="00640E81"/>
    <w:rsid w:val="00640E8F"/>
    <w:rsid w:val="006413F2"/>
    <w:rsid w:val="006424C5"/>
    <w:rsid w:val="00642638"/>
    <w:rsid w:val="00642965"/>
    <w:rsid w:val="00642A23"/>
    <w:rsid w:val="0064377F"/>
    <w:rsid w:val="00644145"/>
    <w:rsid w:val="0064446F"/>
    <w:rsid w:val="006449E8"/>
    <w:rsid w:val="006453A2"/>
    <w:rsid w:val="0064577D"/>
    <w:rsid w:val="00645AD3"/>
    <w:rsid w:val="00645E11"/>
    <w:rsid w:val="006462D7"/>
    <w:rsid w:val="006468F3"/>
    <w:rsid w:val="00646FA7"/>
    <w:rsid w:val="00647320"/>
    <w:rsid w:val="006478C9"/>
    <w:rsid w:val="00647F85"/>
    <w:rsid w:val="00650C68"/>
    <w:rsid w:val="00650D1F"/>
    <w:rsid w:val="0065125F"/>
    <w:rsid w:val="006514F6"/>
    <w:rsid w:val="006516C4"/>
    <w:rsid w:val="006518E8"/>
    <w:rsid w:val="00651C1F"/>
    <w:rsid w:val="00652127"/>
    <w:rsid w:val="0065284B"/>
    <w:rsid w:val="00653253"/>
    <w:rsid w:val="006533AD"/>
    <w:rsid w:val="0065342F"/>
    <w:rsid w:val="0065380C"/>
    <w:rsid w:val="006541B5"/>
    <w:rsid w:val="006545FC"/>
    <w:rsid w:val="00655476"/>
    <w:rsid w:val="00655538"/>
    <w:rsid w:val="00656F4B"/>
    <w:rsid w:val="00656F5C"/>
    <w:rsid w:val="00657B72"/>
    <w:rsid w:val="006608AE"/>
    <w:rsid w:val="00660E79"/>
    <w:rsid w:val="0066100F"/>
    <w:rsid w:val="00662CCB"/>
    <w:rsid w:val="0066317E"/>
    <w:rsid w:val="00664490"/>
    <w:rsid w:val="00664B1F"/>
    <w:rsid w:val="0066598B"/>
    <w:rsid w:val="00665A28"/>
    <w:rsid w:val="00665EA2"/>
    <w:rsid w:val="00667157"/>
    <w:rsid w:val="00667B26"/>
    <w:rsid w:val="00667BB3"/>
    <w:rsid w:val="00667C4A"/>
    <w:rsid w:val="00667CC5"/>
    <w:rsid w:val="006702E0"/>
    <w:rsid w:val="0067190E"/>
    <w:rsid w:val="00671A37"/>
    <w:rsid w:val="00671C27"/>
    <w:rsid w:val="00671CF9"/>
    <w:rsid w:val="00672357"/>
    <w:rsid w:val="006724A9"/>
    <w:rsid w:val="00672836"/>
    <w:rsid w:val="00672DC5"/>
    <w:rsid w:val="00674CA1"/>
    <w:rsid w:val="00674F67"/>
    <w:rsid w:val="00676702"/>
    <w:rsid w:val="006770A4"/>
    <w:rsid w:val="00677268"/>
    <w:rsid w:val="006772FD"/>
    <w:rsid w:val="0068010D"/>
    <w:rsid w:val="00681254"/>
    <w:rsid w:val="0068281C"/>
    <w:rsid w:val="00682ACE"/>
    <w:rsid w:val="00684362"/>
    <w:rsid w:val="006846E8"/>
    <w:rsid w:val="006848BB"/>
    <w:rsid w:val="00684A64"/>
    <w:rsid w:val="00684ACC"/>
    <w:rsid w:val="00685823"/>
    <w:rsid w:val="00685BAD"/>
    <w:rsid w:val="00685C12"/>
    <w:rsid w:val="006873F3"/>
    <w:rsid w:val="00687472"/>
    <w:rsid w:val="00687495"/>
    <w:rsid w:val="00687BE3"/>
    <w:rsid w:val="00687E98"/>
    <w:rsid w:val="00690ECE"/>
    <w:rsid w:val="0069195A"/>
    <w:rsid w:val="00692CCF"/>
    <w:rsid w:val="00692DCF"/>
    <w:rsid w:val="00692E85"/>
    <w:rsid w:val="00693696"/>
    <w:rsid w:val="00693C44"/>
    <w:rsid w:val="00693CB5"/>
    <w:rsid w:val="00693D76"/>
    <w:rsid w:val="00694D8F"/>
    <w:rsid w:val="006956DC"/>
    <w:rsid w:val="006971EA"/>
    <w:rsid w:val="00697A49"/>
    <w:rsid w:val="00697BBC"/>
    <w:rsid w:val="006A03A9"/>
    <w:rsid w:val="006A0EEE"/>
    <w:rsid w:val="006A14BB"/>
    <w:rsid w:val="006A1A07"/>
    <w:rsid w:val="006A2A1D"/>
    <w:rsid w:val="006A2BC6"/>
    <w:rsid w:val="006A31E6"/>
    <w:rsid w:val="006A3721"/>
    <w:rsid w:val="006A3A86"/>
    <w:rsid w:val="006A3B8D"/>
    <w:rsid w:val="006A3D21"/>
    <w:rsid w:val="006A3F03"/>
    <w:rsid w:val="006A6954"/>
    <w:rsid w:val="006A696B"/>
    <w:rsid w:val="006A6EDB"/>
    <w:rsid w:val="006A7400"/>
    <w:rsid w:val="006A75B7"/>
    <w:rsid w:val="006A7E2F"/>
    <w:rsid w:val="006B1811"/>
    <w:rsid w:val="006B1A3A"/>
    <w:rsid w:val="006B1A5B"/>
    <w:rsid w:val="006B1EC4"/>
    <w:rsid w:val="006B1FC5"/>
    <w:rsid w:val="006B23CD"/>
    <w:rsid w:val="006B2560"/>
    <w:rsid w:val="006B28D5"/>
    <w:rsid w:val="006B2DE3"/>
    <w:rsid w:val="006B3395"/>
    <w:rsid w:val="006B3805"/>
    <w:rsid w:val="006B3FB7"/>
    <w:rsid w:val="006B3FF5"/>
    <w:rsid w:val="006B49F2"/>
    <w:rsid w:val="006B4B93"/>
    <w:rsid w:val="006B4ECD"/>
    <w:rsid w:val="006B52A5"/>
    <w:rsid w:val="006B5800"/>
    <w:rsid w:val="006B5904"/>
    <w:rsid w:val="006B6049"/>
    <w:rsid w:val="006B6240"/>
    <w:rsid w:val="006B6469"/>
    <w:rsid w:val="006C0574"/>
    <w:rsid w:val="006C0835"/>
    <w:rsid w:val="006C19FE"/>
    <w:rsid w:val="006C1F3B"/>
    <w:rsid w:val="006C23FA"/>
    <w:rsid w:val="006C307C"/>
    <w:rsid w:val="006C36C1"/>
    <w:rsid w:val="006C4754"/>
    <w:rsid w:val="006C5138"/>
    <w:rsid w:val="006C5218"/>
    <w:rsid w:val="006C54AF"/>
    <w:rsid w:val="006C5AFC"/>
    <w:rsid w:val="006C5BB5"/>
    <w:rsid w:val="006C5DC4"/>
    <w:rsid w:val="006C5EA8"/>
    <w:rsid w:val="006C69A0"/>
    <w:rsid w:val="006C6CDF"/>
    <w:rsid w:val="006D0448"/>
    <w:rsid w:val="006D0DBC"/>
    <w:rsid w:val="006D16B4"/>
    <w:rsid w:val="006D1B08"/>
    <w:rsid w:val="006D1D20"/>
    <w:rsid w:val="006D23E1"/>
    <w:rsid w:val="006D2C07"/>
    <w:rsid w:val="006D339F"/>
    <w:rsid w:val="006D3C10"/>
    <w:rsid w:val="006D40C2"/>
    <w:rsid w:val="006D4106"/>
    <w:rsid w:val="006D443E"/>
    <w:rsid w:val="006D45E8"/>
    <w:rsid w:val="006D476B"/>
    <w:rsid w:val="006D4C17"/>
    <w:rsid w:val="006D5075"/>
    <w:rsid w:val="006D5A4F"/>
    <w:rsid w:val="006D5B95"/>
    <w:rsid w:val="006D5FA9"/>
    <w:rsid w:val="006D6096"/>
    <w:rsid w:val="006D61F4"/>
    <w:rsid w:val="006D68B9"/>
    <w:rsid w:val="006D6A73"/>
    <w:rsid w:val="006D6B40"/>
    <w:rsid w:val="006D742D"/>
    <w:rsid w:val="006E0317"/>
    <w:rsid w:val="006E068E"/>
    <w:rsid w:val="006E08D1"/>
    <w:rsid w:val="006E09C2"/>
    <w:rsid w:val="006E10A3"/>
    <w:rsid w:val="006E1228"/>
    <w:rsid w:val="006E1375"/>
    <w:rsid w:val="006E1CDA"/>
    <w:rsid w:val="006E23B1"/>
    <w:rsid w:val="006E31AC"/>
    <w:rsid w:val="006E32A0"/>
    <w:rsid w:val="006E35CE"/>
    <w:rsid w:val="006E59D0"/>
    <w:rsid w:val="006E6BF3"/>
    <w:rsid w:val="006F0168"/>
    <w:rsid w:val="006F0199"/>
    <w:rsid w:val="006F153D"/>
    <w:rsid w:val="006F18B2"/>
    <w:rsid w:val="006F1C97"/>
    <w:rsid w:val="006F201B"/>
    <w:rsid w:val="006F27F1"/>
    <w:rsid w:val="006F341E"/>
    <w:rsid w:val="006F3DB1"/>
    <w:rsid w:val="006F55F1"/>
    <w:rsid w:val="006F5E15"/>
    <w:rsid w:val="006F5FAF"/>
    <w:rsid w:val="0070023B"/>
    <w:rsid w:val="007017F6"/>
    <w:rsid w:val="00701A84"/>
    <w:rsid w:val="00702219"/>
    <w:rsid w:val="0070221A"/>
    <w:rsid w:val="00702E89"/>
    <w:rsid w:val="0070312A"/>
    <w:rsid w:val="007036A3"/>
    <w:rsid w:val="00703E37"/>
    <w:rsid w:val="007042ED"/>
    <w:rsid w:val="007043B9"/>
    <w:rsid w:val="007053B1"/>
    <w:rsid w:val="00706129"/>
    <w:rsid w:val="007077F7"/>
    <w:rsid w:val="0071012A"/>
    <w:rsid w:val="007103C6"/>
    <w:rsid w:val="00710FB4"/>
    <w:rsid w:val="00711BD1"/>
    <w:rsid w:val="00712482"/>
    <w:rsid w:val="007129DE"/>
    <w:rsid w:val="007135E8"/>
    <w:rsid w:val="007136BA"/>
    <w:rsid w:val="00714A17"/>
    <w:rsid w:val="00715695"/>
    <w:rsid w:val="007157B9"/>
    <w:rsid w:val="007158E3"/>
    <w:rsid w:val="00716348"/>
    <w:rsid w:val="007167C8"/>
    <w:rsid w:val="00716C14"/>
    <w:rsid w:val="00720180"/>
    <w:rsid w:val="00720300"/>
    <w:rsid w:val="00720B0B"/>
    <w:rsid w:val="00720B32"/>
    <w:rsid w:val="00720D3B"/>
    <w:rsid w:val="0072161C"/>
    <w:rsid w:val="007219E5"/>
    <w:rsid w:val="00721A91"/>
    <w:rsid w:val="00721AEF"/>
    <w:rsid w:val="007229C1"/>
    <w:rsid w:val="00723A0E"/>
    <w:rsid w:val="007240AA"/>
    <w:rsid w:val="00725747"/>
    <w:rsid w:val="00725BAF"/>
    <w:rsid w:val="00725F6B"/>
    <w:rsid w:val="00727614"/>
    <w:rsid w:val="00730A8D"/>
    <w:rsid w:val="0073159B"/>
    <w:rsid w:val="00731E20"/>
    <w:rsid w:val="0073202A"/>
    <w:rsid w:val="007327C2"/>
    <w:rsid w:val="0073281E"/>
    <w:rsid w:val="00733805"/>
    <w:rsid w:val="0073394C"/>
    <w:rsid w:val="007358B8"/>
    <w:rsid w:val="00735D13"/>
    <w:rsid w:val="00735ECD"/>
    <w:rsid w:val="00735FFA"/>
    <w:rsid w:val="0073621A"/>
    <w:rsid w:val="007378F2"/>
    <w:rsid w:val="007403ED"/>
    <w:rsid w:val="00740751"/>
    <w:rsid w:val="00740D88"/>
    <w:rsid w:val="00741392"/>
    <w:rsid w:val="007415DE"/>
    <w:rsid w:val="0074162A"/>
    <w:rsid w:val="00741E3E"/>
    <w:rsid w:val="00742556"/>
    <w:rsid w:val="00743D4C"/>
    <w:rsid w:val="00744EFB"/>
    <w:rsid w:val="007453BB"/>
    <w:rsid w:val="00745C5E"/>
    <w:rsid w:val="0074606D"/>
    <w:rsid w:val="007460FB"/>
    <w:rsid w:val="00746156"/>
    <w:rsid w:val="007461AC"/>
    <w:rsid w:val="00746200"/>
    <w:rsid w:val="00746243"/>
    <w:rsid w:val="007463AB"/>
    <w:rsid w:val="00746B4B"/>
    <w:rsid w:val="00747D4E"/>
    <w:rsid w:val="0075051C"/>
    <w:rsid w:val="00751A08"/>
    <w:rsid w:val="007520AA"/>
    <w:rsid w:val="007532A6"/>
    <w:rsid w:val="00753366"/>
    <w:rsid w:val="007540A0"/>
    <w:rsid w:val="00754627"/>
    <w:rsid w:val="007547B6"/>
    <w:rsid w:val="007553FA"/>
    <w:rsid w:val="00755D1D"/>
    <w:rsid w:val="00755F2C"/>
    <w:rsid w:val="00756BA3"/>
    <w:rsid w:val="00757494"/>
    <w:rsid w:val="00757E7A"/>
    <w:rsid w:val="0076115E"/>
    <w:rsid w:val="00761279"/>
    <w:rsid w:val="00762BBD"/>
    <w:rsid w:val="00764E81"/>
    <w:rsid w:val="0076547A"/>
    <w:rsid w:val="00765664"/>
    <w:rsid w:val="00765FAD"/>
    <w:rsid w:val="00767300"/>
    <w:rsid w:val="0076733D"/>
    <w:rsid w:val="00767A1C"/>
    <w:rsid w:val="00767CF8"/>
    <w:rsid w:val="007725FB"/>
    <w:rsid w:val="00772614"/>
    <w:rsid w:val="00773891"/>
    <w:rsid w:val="00774417"/>
    <w:rsid w:val="00774A88"/>
    <w:rsid w:val="00774EA2"/>
    <w:rsid w:val="00776017"/>
    <w:rsid w:val="0077765F"/>
    <w:rsid w:val="00777A43"/>
    <w:rsid w:val="00777C34"/>
    <w:rsid w:val="00777F6B"/>
    <w:rsid w:val="00780FC9"/>
    <w:rsid w:val="007813E4"/>
    <w:rsid w:val="0078294F"/>
    <w:rsid w:val="00782E8D"/>
    <w:rsid w:val="00783050"/>
    <w:rsid w:val="0078317E"/>
    <w:rsid w:val="0078357E"/>
    <w:rsid w:val="00783EEE"/>
    <w:rsid w:val="007845DE"/>
    <w:rsid w:val="00785510"/>
    <w:rsid w:val="00785671"/>
    <w:rsid w:val="00785EF4"/>
    <w:rsid w:val="00786898"/>
    <w:rsid w:val="00787261"/>
    <w:rsid w:val="007873F4"/>
    <w:rsid w:val="00787988"/>
    <w:rsid w:val="00787E1E"/>
    <w:rsid w:val="007900EF"/>
    <w:rsid w:val="0079118B"/>
    <w:rsid w:val="00791693"/>
    <w:rsid w:val="00792377"/>
    <w:rsid w:val="00792EE1"/>
    <w:rsid w:val="0079368A"/>
    <w:rsid w:val="00793DEE"/>
    <w:rsid w:val="00795347"/>
    <w:rsid w:val="00796032"/>
    <w:rsid w:val="00796347"/>
    <w:rsid w:val="0079659D"/>
    <w:rsid w:val="00796604"/>
    <w:rsid w:val="00796B4B"/>
    <w:rsid w:val="00796F78"/>
    <w:rsid w:val="007A0124"/>
    <w:rsid w:val="007A0434"/>
    <w:rsid w:val="007A10E7"/>
    <w:rsid w:val="007A14D6"/>
    <w:rsid w:val="007A28A7"/>
    <w:rsid w:val="007A2A24"/>
    <w:rsid w:val="007A3693"/>
    <w:rsid w:val="007A3966"/>
    <w:rsid w:val="007A42A0"/>
    <w:rsid w:val="007A4A70"/>
    <w:rsid w:val="007A4AE1"/>
    <w:rsid w:val="007A5255"/>
    <w:rsid w:val="007A5716"/>
    <w:rsid w:val="007A5945"/>
    <w:rsid w:val="007A74D9"/>
    <w:rsid w:val="007A7B58"/>
    <w:rsid w:val="007B2858"/>
    <w:rsid w:val="007B3173"/>
    <w:rsid w:val="007B349B"/>
    <w:rsid w:val="007B3D59"/>
    <w:rsid w:val="007B4139"/>
    <w:rsid w:val="007B4D57"/>
    <w:rsid w:val="007B5227"/>
    <w:rsid w:val="007B5580"/>
    <w:rsid w:val="007B5CEF"/>
    <w:rsid w:val="007B60AB"/>
    <w:rsid w:val="007B65E8"/>
    <w:rsid w:val="007B6BC9"/>
    <w:rsid w:val="007B6F89"/>
    <w:rsid w:val="007B791D"/>
    <w:rsid w:val="007C0C8E"/>
    <w:rsid w:val="007C101A"/>
    <w:rsid w:val="007C1215"/>
    <w:rsid w:val="007C188B"/>
    <w:rsid w:val="007C1A55"/>
    <w:rsid w:val="007C29CC"/>
    <w:rsid w:val="007C31A6"/>
    <w:rsid w:val="007C31F5"/>
    <w:rsid w:val="007C4385"/>
    <w:rsid w:val="007C4556"/>
    <w:rsid w:val="007C4688"/>
    <w:rsid w:val="007C6214"/>
    <w:rsid w:val="007C697D"/>
    <w:rsid w:val="007C69CC"/>
    <w:rsid w:val="007C7E14"/>
    <w:rsid w:val="007D0515"/>
    <w:rsid w:val="007D0B9C"/>
    <w:rsid w:val="007D2180"/>
    <w:rsid w:val="007D260B"/>
    <w:rsid w:val="007D2804"/>
    <w:rsid w:val="007D297D"/>
    <w:rsid w:val="007D3126"/>
    <w:rsid w:val="007D3869"/>
    <w:rsid w:val="007D3905"/>
    <w:rsid w:val="007D3B7F"/>
    <w:rsid w:val="007D478D"/>
    <w:rsid w:val="007D47D3"/>
    <w:rsid w:val="007D57A4"/>
    <w:rsid w:val="007D5B66"/>
    <w:rsid w:val="007D7084"/>
    <w:rsid w:val="007E0387"/>
    <w:rsid w:val="007E070C"/>
    <w:rsid w:val="007E0C30"/>
    <w:rsid w:val="007E1E8A"/>
    <w:rsid w:val="007E2048"/>
    <w:rsid w:val="007E20F6"/>
    <w:rsid w:val="007E21BF"/>
    <w:rsid w:val="007E25BD"/>
    <w:rsid w:val="007E2DD0"/>
    <w:rsid w:val="007E3645"/>
    <w:rsid w:val="007E3B8C"/>
    <w:rsid w:val="007E58A0"/>
    <w:rsid w:val="007E6268"/>
    <w:rsid w:val="007E634B"/>
    <w:rsid w:val="007E7654"/>
    <w:rsid w:val="007E7E34"/>
    <w:rsid w:val="007F02DB"/>
    <w:rsid w:val="007F1A87"/>
    <w:rsid w:val="007F1D5B"/>
    <w:rsid w:val="007F1DB8"/>
    <w:rsid w:val="007F3273"/>
    <w:rsid w:val="007F346B"/>
    <w:rsid w:val="007F418B"/>
    <w:rsid w:val="007F46D5"/>
    <w:rsid w:val="007F4FAA"/>
    <w:rsid w:val="007F53E9"/>
    <w:rsid w:val="007F5EC5"/>
    <w:rsid w:val="007F657C"/>
    <w:rsid w:val="007F7A60"/>
    <w:rsid w:val="00800335"/>
    <w:rsid w:val="0080037C"/>
    <w:rsid w:val="00800C9F"/>
    <w:rsid w:val="00801224"/>
    <w:rsid w:val="008019E9"/>
    <w:rsid w:val="00801AAD"/>
    <w:rsid w:val="008021D8"/>
    <w:rsid w:val="00802457"/>
    <w:rsid w:val="00802635"/>
    <w:rsid w:val="008026A6"/>
    <w:rsid w:val="00802D7D"/>
    <w:rsid w:val="008036F7"/>
    <w:rsid w:val="00804B50"/>
    <w:rsid w:val="0080508D"/>
    <w:rsid w:val="0080515F"/>
    <w:rsid w:val="00805678"/>
    <w:rsid w:val="00806225"/>
    <w:rsid w:val="00806624"/>
    <w:rsid w:val="00806F63"/>
    <w:rsid w:val="0081013F"/>
    <w:rsid w:val="00811678"/>
    <w:rsid w:val="008117B4"/>
    <w:rsid w:val="00811B1F"/>
    <w:rsid w:val="0081235D"/>
    <w:rsid w:val="00812C0D"/>
    <w:rsid w:val="00812F78"/>
    <w:rsid w:val="00813890"/>
    <w:rsid w:val="00813D81"/>
    <w:rsid w:val="00814A45"/>
    <w:rsid w:val="008157A4"/>
    <w:rsid w:val="008158D5"/>
    <w:rsid w:val="00815C84"/>
    <w:rsid w:val="008160BB"/>
    <w:rsid w:val="008165C7"/>
    <w:rsid w:val="00816632"/>
    <w:rsid w:val="008168DA"/>
    <w:rsid w:val="00817441"/>
    <w:rsid w:val="00817512"/>
    <w:rsid w:val="00817887"/>
    <w:rsid w:val="00817FED"/>
    <w:rsid w:val="008201C0"/>
    <w:rsid w:val="008204E0"/>
    <w:rsid w:val="00820AE0"/>
    <w:rsid w:val="00821252"/>
    <w:rsid w:val="008219ED"/>
    <w:rsid w:val="008227CE"/>
    <w:rsid w:val="00822AAC"/>
    <w:rsid w:val="00822E37"/>
    <w:rsid w:val="00823383"/>
    <w:rsid w:val="00825398"/>
    <w:rsid w:val="00825677"/>
    <w:rsid w:val="00825BA3"/>
    <w:rsid w:val="00826F6E"/>
    <w:rsid w:val="0082716F"/>
    <w:rsid w:val="008278C1"/>
    <w:rsid w:val="00827AAE"/>
    <w:rsid w:val="00830CA1"/>
    <w:rsid w:val="00831AAD"/>
    <w:rsid w:val="00832987"/>
    <w:rsid w:val="00832B3D"/>
    <w:rsid w:val="00832C36"/>
    <w:rsid w:val="008330A7"/>
    <w:rsid w:val="0083407F"/>
    <w:rsid w:val="0083467A"/>
    <w:rsid w:val="00834CDD"/>
    <w:rsid w:val="00834FDB"/>
    <w:rsid w:val="00836B29"/>
    <w:rsid w:val="00837EDA"/>
    <w:rsid w:val="00837EFE"/>
    <w:rsid w:val="0084006B"/>
    <w:rsid w:val="008401C8"/>
    <w:rsid w:val="008404E4"/>
    <w:rsid w:val="00840B92"/>
    <w:rsid w:val="00842508"/>
    <w:rsid w:val="008431FB"/>
    <w:rsid w:val="00843DC8"/>
    <w:rsid w:val="008441EC"/>
    <w:rsid w:val="008442BA"/>
    <w:rsid w:val="008444E1"/>
    <w:rsid w:val="008445E0"/>
    <w:rsid w:val="00845076"/>
    <w:rsid w:val="008454DE"/>
    <w:rsid w:val="008459F5"/>
    <w:rsid w:val="00845B65"/>
    <w:rsid w:val="00845E4E"/>
    <w:rsid w:val="00845FE9"/>
    <w:rsid w:val="00846D76"/>
    <w:rsid w:val="008477F3"/>
    <w:rsid w:val="00850E11"/>
    <w:rsid w:val="008512CE"/>
    <w:rsid w:val="008515CA"/>
    <w:rsid w:val="008517E7"/>
    <w:rsid w:val="00851A3A"/>
    <w:rsid w:val="00852107"/>
    <w:rsid w:val="00852404"/>
    <w:rsid w:val="0085267E"/>
    <w:rsid w:val="0085361A"/>
    <w:rsid w:val="008541B0"/>
    <w:rsid w:val="00854A7A"/>
    <w:rsid w:val="00854C50"/>
    <w:rsid w:val="00855248"/>
    <w:rsid w:val="00855C18"/>
    <w:rsid w:val="00855FB2"/>
    <w:rsid w:val="00856356"/>
    <w:rsid w:val="0085675C"/>
    <w:rsid w:val="00856F72"/>
    <w:rsid w:val="00857025"/>
    <w:rsid w:val="008574B8"/>
    <w:rsid w:val="00857808"/>
    <w:rsid w:val="0086006C"/>
    <w:rsid w:val="0086032A"/>
    <w:rsid w:val="008605A4"/>
    <w:rsid w:val="008609E6"/>
    <w:rsid w:val="00860C5C"/>
    <w:rsid w:val="00861E94"/>
    <w:rsid w:val="00861EF6"/>
    <w:rsid w:val="00862004"/>
    <w:rsid w:val="00862226"/>
    <w:rsid w:val="0086225E"/>
    <w:rsid w:val="0086282C"/>
    <w:rsid w:val="00862971"/>
    <w:rsid w:val="008635CA"/>
    <w:rsid w:val="008639DA"/>
    <w:rsid w:val="00863C95"/>
    <w:rsid w:val="00863D80"/>
    <w:rsid w:val="00864A15"/>
    <w:rsid w:val="00864BC1"/>
    <w:rsid w:val="00865689"/>
    <w:rsid w:val="00866A1E"/>
    <w:rsid w:val="0086721F"/>
    <w:rsid w:val="00867BBF"/>
    <w:rsid w:val="00867F92"/>
    <w:rsid w:val="00870205"/>
    <w:rsid w:val="008708F7"/>
    <w:rsid w:val="00871B0E"/>
    <w:rsid w:val="008729D1"/>
    <w:rsid w:val="00872D6D"/>
    <w:rsid w:val="008733D5"/>
    <w:rsid w:val="00873DAE"/>
    <w:rsid w:val="0087419A"/>
    <w:rsid w:val="008748CF"/>
    <w:rsid w:val="00874B2A"/>
    <w:rsid w:val="00875325"/>
    <w:rsid w:val="008754DF"/>
    <w:rsid w:val="00875631"/>
    <w:rsid w:val="008760F1"/>
    <w:rsid w:val="00877889"/>
    <w:rsid w:val="00877AC3"/>
    <w:rsid w:val="00877AFB"/>
    <w:rsid w:val="00877CBD"/>
    <w:rsid w:val="00877D42"/>
    <w:rsid w:val="008801CD"/>
    <w:rsid w:val="00880888"/>
    <w:rsid w:val="00881830"/>
    <w:rsid w:val="00881A90"/>
    <w:rsid w:val="00882505"/>
    <w:rsid w:val="00882958"/>
    <w:rsid w:val="00883505"/>
    <w:rsid w:val="008838F6"/>
    <w:rsid w:val="00883B17"/>
    <w:rsid w:val="00883EE8"/>
    <w:rsid w:val="008845DB"/>
    <w:rsid w:val="00884814"/>
    <w:rsid w:val="00884A17"/>
    <w:rsid w:val="00884D68"/>
    <w:rsid w:val="008868C5"/>
    <w:rsid w:val="00886A1D"/>
    <w:rsid w:val="00886F60"/>
    <w:rsid w:val="00887C85"/>
    <w:rsid w:val="00887CA4"/>
    <w:rsid w:val="0089036D"/>
    <w:rsid w:val="00891005"/>
    <w:rsid w:val="00891043"/>
    <w:rsid w:val="008919F8"/>
    <w:rsid w:val="00892DEF"/>
    <w:rsid w:val="00893286"/>
    <w:rsid w:val="008935A1"/>
    <w:rsid w:val="008937B4"/>
    <w:rsid w:val="0089394F"/>
    <w:rsid w:val="00893FBE"/>
    <w:rsid w:val="00894E43"/>
    <w:rsid w:val="008950D6"/>
    <w:rsid w:val="00896E60"/>
    <w:rsid w:val="008A0449"/>
    <w:rsid w:val="008A0802"/>
    <w:rsid w:val="008A0A9D"/>
    <w:rsid w:val="008A12CB"/>
    <w:rsid w:val="008A1427"/>
    <w:rsid w:val="008A2BD8"/>
    <w:rsid w:val="008A3966"/>
    <w:rsid w:val="008A3A74"/>
    <w:rsid w:val="008A4FB4"/>
    <w:rsid w:val="008A5D56"/>
    <w:rsid w:val="008A5E68"/>
    <w:rsid w:val="008A69BF"/>
    <w:rsid w:val="008A6D97"/>
    <w:rsid w:val="008A6DAB"/>
    <w:rsid w:val="008A6DDE"/>
    <w:rsid w:val="008A7AC8"/>
    <w:rsid w:val="008A7EFC"/>
    <w:rsid w:val="008B0DC2"/>
    <w:rsid w:val="008B2540"/>
    <w:rsid w:val="008B3562"/>
    <w:rsid w:val="008B3BA5"/>
    <w:rsid w:val="008B3CA1"/>
    <w:rsid w:val="008B47EA"/>
    <w:rsid w:val="008B4864"/>
    <w:rsid w:val="008B4EEC"/>
    <w:rsid w:val="008B524F"/>
    <w:rsid w:val="008B5A2A"/>
    <w:rsid w:val="008B61CD"/>
    <w:rsid w:val="008B6420"/>
    <w:rsid w:val="008B68B2"/>
    <w:rsid w:val="008B6EF6"/>
    <w:rsid w:val="008B76A4"/>
    <w:rsid w:val="008B76B7"/>
    <w:rsid w:val="008C0220"/>
    <w:rsid w:val="008C11C7"/>
    <w:rsid w:val="008C1382"/>
    <w:rsid w:val="008C1B2C"/>
    <w:rsid w:val="008C1BAD"/>
    <w:rsid w:val="008C246F"/>
    <w:rsid w:val="008C2860"/>
    <w:rsid w:val="008C3301"/>
    <w:rsid w:val="008C41C9"/>
    <w:rsid w:val="008C4869"/>
    <w:rsid w:val="008C574E"/>
    <w:rsid w:val="008C5DDC"/>
    <w:rsid w:val="008C5FD8"/>
    <w:rsid w:val="008C608B"/>
    <w:rsid w:val="008C617D"/>
    <w:rsid w:val="008C6221"/>
    <w:rsid w:val="008C6722"/>
    <w:rsid w:val="008C7417"/>
    <w:rsid w:val="008C7454"/>
    <w:rsid w:val="008D0116"/>
    <w:rsid w:val="008D01C2"/>
    <w:rsid w:val="008D06EC"/>
    <w:rsid w:val="008D1A37"/>
    <w:rsid w:val="008D26A7"/>
    <w:rsid w:val="008D2C35"/>
    <w:rsid w:val="008D35C1"/>
    <w:rsid w:val="008D4794"/>
    <w:rsid w:val="008D4965"/>
    <w:rsid w:val="008D4BD3"/>
    <w:rsid w:val="008D4C17"/>
    <w:rsid w:val="008D4DD5"/>
    <w:rsid w:val="008D521B"/>
    <w:rsid w:val="008D56F2"/>
    <w:rsid w:val="008D5D1C"/>
    <w:rsid w:val="008D5FF1"/>
    <w:rsid w:val="008D6FDE"/>
    <w:rsid w:val="008D7C98"/>
    <w:rsid w:val="008D7E38"/>
    <w:rsid w:val="008E06AA"/>
    <w:rsid w:val="008E33B5"/>
    <w:rsid w:val="008E33C5"/>
    <w:rsid w:val="008E3C20"/>
    <w:rsid w:val="008E3DB4"/>
    <w:rsid w:val="008E5050"/>
    <w:rsid w:val="008E5A12"/>
    <w:rsid w:val="008E682E"/>
    <w:rsid w:val="008E70FC"/>
    <w:rsid w:val="008E71B7"/>
    <w:rsid w:val="008E7C2C"/>
    <w:rsid w:val="008E7E6F"/>
    <w:rsid w:val="008F035B"/>
    <w:rsid w:val="008F0A6D"/>
    <w:rsid w:val="008F0EA2"/>
    <w:rsid w:val="008F1244"/>
    <w:rsid w:val="008F1396"/>
    <w:rsid w:val="008F218C"/>
    <w:rsid w:val="008F23B0"/>
    <w:rsid w:val="008F2417"/>
    <w:rsid w:val="008F265B"/>
    <w:rsid w:val="008F2A8B"/>
    <w:rsid w:val="008F3A4B"/>
    <w:rsid w:val="008F3AFB"/>
    <w:rsid w:val="008F3F82"/>
    <w:rsid w:val="008F4DD2"/>
    <w:rsid w:val="008F567F"/>
    <w:rsid w:val="008F74BA"/>
    <w:rsid w:val="008F75FE"/>
    <w:rsid w:val="00900014"/>
    <w:rsid w:val="0090051F"/>
    <w:rsid w:val="00900D58"/>
    <w:rsid w:val="00900E86"/>
    <w:rsid w:val="0090192A"/>
    <w:rsid w:val="00902704"/>
    <w:rsid w:val="009027F0"/>
    <w:rsid w:val="00902C2F"/>
    <w:rsid w:val="00903156"/>
    <w:rsid w:val="00903692"/>
    <w:rsid w:val="0090383B"/>
    <w:rsid w:val="0090446D"/>
    <w:rsid w:val="009046DF"/>
    <w:rsid w:val="00904D61"/>
    <w:rsid w:val="0090590B"/>
    <w:rsid w:val="00905A5D"/>
    <w:rsid w:val="00905B3B"/>
    <w:rsid w:val="00905F02"/>
    <w:rsid w:val="00906AE1"/>
    <w:rsid w:val="0091013B"/>
    <w:rsid w:val="00910A3A"/>
    <w:rsid w:val="00911289"/>
    <w:rsid w:val="0091132D"/>
    <w:rsid w:val="00911FB4"/>
    <w:rsid w:val="00912209"/>
    <w:rsid w:val="009128A1"/>
    <w:rsid w:val="00913002"/>
    <w:rsid w:val="00913A08"/>
    <w:rsid w:val="00913D7D"/>
    <w:rsid w:val="00914334"/>
    <w:rsid w:val="009144B2"/>
    <w:rsid w:val="00914D0F"/>
    <w:rsid w:val="00914DDF"/>
    <w:rsid w:val="00915D6C"/>
    <w:rsid w:val="00916E20"/>
    <w:rsid w:val="00916EF8"/>
    <w:rsid w:val="00917E48"/>
    <w:rsid w:val="00917ED4"/>
    <w:rsid w:val="00917F06"/>
    <w:rsid w:val="00917FD3"/>
    <w:rsid w:val="009200D9"/>
    <w:rsid w:val="00920645"/>
    <w:rsid w:val="00920823"/>
    <w:rsid w:val="0092087E"/>
    <w:rsid w:val="009215E6"/>
    <w:rsid w:val="00922164"/>
    <w:rsid w:val="00922624"/>
    <w:rsid w:val="0092296B"/>
    <w:rsid w:val="00923F53"/>
    <w:rsid w:val="009261B0"/>
    <w:rsid w:val="00926800"/>
    <w:rsid w:val="00926B49"/>
    <w:rsid w:val="009275A9"/>
    <w:rsid w:val="00931B1A"/>
    <w:rsid w:val="00931E2C"/>
    <w:rsid w:val="00933617"/>
    <w:rsid w:val="009339D0"/>
    <w:rsid w:val="00933ECF"/>
    <w:rsid w:val="009340BC"/>
    <w:rsid w:val="00935A7B"/>
    <w:rsid w:val="00935ABF"/>
    <w:rsid w:val="00935EB8"/>
    <w:rsid w:val="00937427"/>
    <w:rsid w:val="00937B11"/>
    <w:rsid w:val="009401BC"/>
    <w:rsid w:val="0094060D"/>
    <w:rsid w:val="0094062F"/>
    <w:rsid w:val="00941E99"/>
    <w:rsid w:val="009423FC"/>
    <w:rsid w:val="0094411D"/>
    <w:rsid w:val="00944464"/>
    <w:rsid w:val="009447B8"/>
    <w:rsid w:val="00945672"/>
    <w:rsid w:val="009457F9"/>
    <w:rsid w:val="0094582F"/>
    <w:rsid w:val="009459D4"/>
    <w:rsid w:val="00945C06"/>
    <w:rsid w:val="009460BD"/>
    <w:rsid w:val="00946713"/>
    <w:rsid w:val="00946FCC"/>
    <w:rsid w:val="009470EA"/>
    <w:rsid w:val="0095002F"/>
    <w:rsid w:val="00950F88"/>
    <w:rsid w:val="00951129"/>
    <w:rsid w:val="009511CE"/>
    <w:rsid w:val="00951EA2"/>
    <w:rsid w:val="009530A3"/>
    <w:rsid w:val="009535BD"/>
    <w:rsid w:val="00953EC0"/>
    <w:rsid w:val="009544B2"/>
    <w:rsid w:val="00954DCA"/>
    <w:rsid w:val="00955108"/>
    <w:rsid w:val="00955B0D"/>
    <w:rsid w:val="009568CF"/>
    <w:rsid w:val="0095748C"/>
    <w:rsid w:val="009575DD"/>
    <w:rsid w:val="00957C82"/>
    <w:rsid w:val="0096196D"/>
    <w:rsid w:val="009623A9"/>
    <w:rsid w:val="00962AF2"/>
    <w:rsid w:val="00962E2C"/>
    <w:rsid w:val="00962EF8"/>
    <w:rsid w:val="00963E3B"/>
    <w:rsid w:val="00963FCF"/>
    <w:rsid w:val="00964522"/>
    <w:rsid w:val="009650A5"/>
    <w:rsid w:val="009653DE"/>
    <w:rsid w:val="00965A4F"/>
    <w:rsid w:val="00965B12"/>
    <w:rsid w:val="0096652F"/>
    <w:rsid w:val="00966794"/>
    <w:rsid w:val="0097071C"/>
    <w:rsid w:val="00970F8C"/>
    <w:rsid w:val="009715B7"/>
    <w:rsid w:val="00971CA8"/>
    <w:rsid w:val="00971F37"/>
    <w:rsid w:val="00972978"/>
    <w:rsid w:val="009737CC"/>
    <w:rsid w:val="00973E31"/>
    <w:rsid w:val="009740C9"/>
    <w:rsid w:val="009740CA"/>
    <w:rsid w:val="00974909"/>
    <w:rsid w:val="00974B39"/>
    <w:rsid w:val="00974CD7"/>
    <w:rsid w:val="00974D1E"/>
    <w:rsid w:val="00974F11"/>
    <w:rsid w:val="00974FAD"/>
    <w:rsid w:val="009753D1"/>
    <w:rsid w:val="00975988"/>
    <w:rsid w:val="0097598E"/>
    <w:rsid w:val="009769FD"/>
    <w:rsid w:val="00977D25"/>
    <w:rsid w:val="00977D2A"/>
    <w:rsid w:val="00977DC8"/>
    <w:rsid w:val="00980103"/>
    <w:rsid w:val="00980297"/>
    <w:rsid w:val="00980409"/>
    <w:rsid w:val="0098085A"/>
    <w:rsid w:val="00981015"/>
    <w:rsid w:val="009813E7"/>
    <w:rsid w:val="009822AE"/>
    <w:rsid w:val="00982379"/>
    <w:rsid w:val="00982CEC"/>
    <w:rsid w:val="009838E1"/>
    <w:rsid w:val="00983CE9"/>
    <w:rsid w:val="00984D89"/>
    <w:rsid w:val="00985217"/>
    <w:rsid w:val="00985438"/>
    <w:rsid w:val="00985A03"/>
    <w:rsid w:val="00985EF8"/>
    <w:rsid w:val="00986D71"/>
    <w:rsid w:val="00986F67"/>
    <w:rsid w:val="00987B96"/>
    <w:rsid w:val="009903CD"/>
    <w:rsid w:val="00990BD5"/>
    <w:rsid w:val="00990FBA"/>
    <w:rsid w:val="009917A8"/>
    <w:rsid w:val="00991AA1"/>
    <w:rsid w:val="00991B00"/>
    <w:rsid w:val="00991B1D"/>
    <w:rsid w:val="00991C34"/>
    <w:rsid w:val="00991CC2"/>
    <w:rsid w:val="00991DA0"/>
    <w:rsid w:val="009921A3"/>
    <w:rsid w:val="0099222F"/>
    <w:rsid w:val="00992C60"/>
    <w:rsid w:val="00992F84"/>
    <w:rsid w:val="00992FF4"/>
    <w:rsid w:val="0099336C"/>
    <w:rsid w:val="0099372C"/>
    <w:rsid w:val="00993E53"/>
    <w:rsid w:val="009945CA"/>
    <w:rsid w:val="0099471B"/>
    <w:rsid w:val="0099514C"/>
    <w:rsid w:val="00995417"/>
    <w:rsid w:val="00995D94"/>
    <w:rsid w:val="009969C3"/>
    <w:rsid w:val="0099753B"/>
    <w:rsid w:val="0099795A"/>
    <w:rsid w:val="009A0076"/>
    <w:rsid w:val="009A07B2"/>
    <w:rsid w:val="009A09A2"/>
    <w:rsid w:val="009A14A1"/>
    <w:rsid w:val="009A1C6B"/>
    <w:rsid w:val="009A1CE2"/>
    <w:rsid w:val="009A41E6"/>
    <w:rsid w:val="009A49B7"/>
    <w:rsid w:val="009A4BC6"/>
    <w:rsid w:val="009A4D6E"/>
    <w:rsid w:val="009A5CB1"/>
    <w:rsid w:val="009A7B6D"/>
    <w:rsid w:val="009B027A"/>
    <w:rsid w:val="009B0D99"/>
    <w:rsid w:val="009B0DCA"/>
    <w:rsid w:val="009B1FA2"/>
    <w:rsid w:val="009B343D"/>
    <w:rsid w:val="009B3C93"/>
    <w:rsid w:val="009B48B6"/>
    <w:rsid w:val="009B51AC"/>
    <w:rsid w:val="009B56DF"/>
    <w:rsid w:val="009B739C"/>
    <w:rsid w:val="009B79C9"/>
    <w:rsid w:val="009B7EBF"/>
    <w:rsid w:val="009C0320"/>
    <w:rsid w:val="009C0C46"/>
    <w:rsid w:val="009C0DFC"/>
    <w:rsid w:val="009C1104"/>
    <w:rsid w:val="009C146C"/>
    <w:rsid w:val="009C1ADD"/>
    <w:rsid w:val="009C1FD7"/>
    <w:rsid w:val="009C2005"/>
    <w:rsid w:val="009C2925"/>
    <w:rsid w:val="009C5598"/>
    <w:rsid w:val="009C5973"/>
    <w:rsid w:val="009C5C52"/>
    <w:rsid w:val="009C6051"/>
    <w:rsid w:val="009D09BB"/>
    <w:rsid w:val="009D0FF0"/>
    <w:rsid w:val="009D131F"/>
    <w:rsid w:val="009D221C"/>
    <w:rsid w:val="009D2AD1"/>
    <w:rsid w:val="009D322D"/>
    <w:rsid w:val="009D38D3"/>
    <w:rsid w:val="009D5518"/>
    <w:rsid w:val="009D5542"/>
    <w:rsid w:val="009D5BCD"/>
    <w:rsid w:val="009D6631"/>
    <w:rsid w:val="009D689C"/>
    <w:rsid w:val="009D6AC5"/>
    <w:rsid w:val="009D70AF"/>
    <w:rsid w:val="009D71F5"/>
    <w:rsid w:val="009D76B5"/>
    <w:rsid w:val="009E0D4D"/>
    <w:rsid w:val="009E11DE"/>
    <w:rsid w:val="009E1597"/>
    <w:rsid w:val="009E15A2"/>
    <w:rsid w:val="009E32F5"/>
    <w:rsid w:val="009E34C3"/>
    <w:rsid w:val="009E35C6"/>
    <w:rsid w:val="009E38BD"/>
    <w:rsid w:val="009E3D6E"/>
    <w:rsid w:val="009E430A"/>
    <w:rsid w:val="009E4384"/>
    <w:rsid w:val="009E45C6"/>
    <w:rsid w:val="009E467E"/>
    <w:rsid w:val="009E4C0C"/>
    <w:rsid w:val="009E4E74"/>
    <w:rsid w:val="009E5A22"/>
    <w:rsid w:val="009E5B90"/>
    <w:rsid w:val="009E62C0"/>
    <w:rsid w:val="009E6566"/>
    <w:rsid w:val="009E6A27"/>
    <w:rsid w:val="009E7C91"/>
    <w:rsid w:val="009F01C2"/>
    <w:rsid w:val="009F03D9"/>
    <w:rsid w:val="009F0F7E"/>
    <w:rsid w:val="009F285D"/>
    <w:rsid w:val="009F2FA1"/>
    <w:rsid w:val="009F3221"/>
    <w:rsid w:val="009F3410"/>
    <w:rsid w:val="009F37D7"/>
    <w:rsid w:val="009F3D9B"/>
    <w:rsid w:val="009F3EAD"/>
    <w:rsid w:val="009F42B0"/>
    <w:rsid w:val="009F436D"/>
    <w:rsid w:val="009F4744"/>
    <w:rsid w:val="009F4E73"/>
    <w:rsid w:val="009F5BF1"/>
    <w:rsid w:val="009F5D36"/>
    <w:rsid w:val="009F5E99"/>
    <w:rsid w:val="009F60D1"/>
    <w:rsid w:val="009F61D3"/>
    <w:rsid w:val="009F684B"/>
    <w:rsid w:val="009F6F74"/>
    <w:rsid w:val="009F6FA5"/>
    <w:rsid w:val="009F7408"/>
    <w:rsid w:val="00A02AA5"/>
    <w:rsid w:val="00A02CD2"/>
    <w:rsid w:val="00A03C3F"/>
    <w:rsid w:val="00A03F2C"/>
    <w:rsid w:val="00A041CD"/>
    <w:rsid w:val="00A04462"/>
    <w:rsid w:val="00A0459A"/>
    <w:rsid w:val="00A04C94"/>
    <w:rsid w:val="00A04D8F"/>
    <w:rsid w:val="00A04EDC"/>
    <w:rsid w:val="00A05743"/>
    <w:rsid w:val="00A05AFC"/>
    <w:rsid w:val="00A05B8A"/>
    <w:rsid w:val="00A06BFA"/>
    <w:rsid w:val="00A06CBA"/>
    <w:rsid w:val="00A06D55"/>
    <w:rsid w:val="00A0792E"/>
    <w:rsid w:val="00A07B41"/>
    <w:rsid w:val="00A07B66"/>
    <w:rsid w:val="00A102BA"/>
    <w:rsid w:val="00A103A7"/>
    <w:rsid w:val="00A10E16"/>
    <w:rsid w:val="00A10E43"/>
    <w:rsid w:val="00A1125F"/>
    <w:rsid w:val="00A11FA9"/>
    <w:rsid w:val="00A12988"/>
    <w:rsid w:val="00A12DC6"/>
    <w:rsid w:val="00A13D1D"/>
    <w:rsid w:val="00A13E19"/>
    <w:rsid w:val="00A1507E"/>
    <w:rsid w:val="00A15A42"/>
    <w:rsid w:val="00A16E5A"/>
    <w:rsid w:val="00A1702D"/>
    <w:rsid w:val="00A17D40"/>
    <w:rsid w:val="00A17E9D"/>
    <w:rsid w:val="00A17EF6"/>
    <w:rsid w:val="00A2016A"/>
    <w:rsid w:val="00A20857"/>
    <w:rsid w:val="00A20963"/>
    <w:rsid w:val="00A21EC6"/>
    <w:rsid w:val="00A225C4"/>
    <w:rsid w:val="00A22B37"/>
    <w:rsid w:val="00A23900"/>
    <w:rsid w:val="00A23B79"/>
    <w:rsid w:val="00A23BF9"/>
    <w:rsid w:val="00A245D8"/>
    <w:rsid w:val="00A25468"/>
    <w:rsid w:val="00A2548A"/>
    <w:rsid w:val="00A261A1"/>
    <w:rsid w:val="00A26322"/>
    <w:rsid w:val="00A269BB"/>
    <w:rsid w:val="00A273EC"/>
    <w:rsid w:val="00A27814"/>
    <w:rsid w:val="00A27B33"/>
    <w:rsid w:val="00A30C00"/>
    <w:rsid w:val="00A3199B"/>
    <w:rsid w:val="00A31A52"/>
    <w:rsid w:val="00A342FB"/>
    <w:rsid w:val="00A36B98"/>
    <w:rsid w:val="00A373BA"/>
    <w:rsid w:val="00A37964"/>
    <w:rsid w:val="00A40ABB"/>
    <w:rsid w:val="00A41027"/>
    <w:rsid w:val="00A4135E"/>
    <w:rsid w:val="00A42152"/>
    <w:rsid w:val="00A42B5D"/>
    <w:rsid w:val="00A440E1"/>
    <w:rsid w:val="00A44EA7"/>
    <w:rsid w:val="00A452C0"/>
    <w:rsid w:val="00A45B53"/>
    <w:rsid w:val="00A461FC"/>
    <w:rsid w:val="00A4663E"/>
    <w:rsid w:val="00A46999"/>
    <w:rsid w:val="00A46B45"/>
    <w:rsid w:val="00A47C62"/>
    <w:rsid w:val="00A503AA"/>
    <w:rsid w:val="00A50A50"/>
    <w:rsid w:val="00A516E6"/>
    <w:rsid w:val="00A51B1A"/>
    <w:rsid w:val="00A5251E"/>
    <w:rsid w:val="00A547F9"/>
    <w:rsid w:val="00A54C40"/>
    <w:rsid w:val="00A550DC"/>
    <w:rsid w:val="00A5553A"/>
    <w:rsid w:val="00A5584C"/>
    <w:rsid w:val="00A55C67"/>
    <w:rsid w:val="00A55DE9"/>
    <w:rsid w:val="00A563D6"/>
    <w:rsid w:val="00A56492"/>
    <w:rsid w:val="00A56A10"/>
    <w:rsid w:val="00A57C08"/>
    <w:rsid w:val="00A57E17"/>
    <w:rsid w:val="00A60254"/>
    <w:rsid w:val="00A609BA"/>
    <w:rsid w:val="00A6163B"/>
    <w:rsid w:val="00A616C6"/>
    <w:rsid w:val="00A61CCB"/>
    <w:rsid w:val="00A626F3"/>
    <w:rsid w:val="00A6291D"/>
    <w:rsid w:val="00A62DE5"/>
    <w:rsid w:val="00A636ED"/>
    <w:rsid w:val="00A637E4"/>
    <w:rsid w:val="00A63D36"/>
    <w:rsid w:val="00A63DBE"/>
    <w:rsid w:val="00A63F4A"/>
    <w:rsid w:val="00A640B4"/>
    <w:rsid w:val="00A64153"/>
    <w:rsid w:val="00A641BB"/>
    <w:rsid w:val="00A66C54"/>
    <w:rsid w:val="00A66E56"/>
    <w:rsid w:val="00A674A8"/>
    <w:rsid w:val="00A67D09"/>
    <w:rsid w:val="00A70AB8"/>
    <w:rsid w:val="00A70EDF"/>
    <w:rsid w:val="00A7183F"/>
    <w:rsid w:val="00A740C2"/>
    <w:rsid w:val="00A743A8"/>
    <w:rsid w:val="00A7449F"/>
    <w:rsid w:val="00A757D2"/>
    <w:rsid w:val="00A76C5F"/>
    <w:rsid w:val="00A77456"/>
    <w:rsid w:val="00A776BA"/>
    <w:rsid w:val="00A77BEA"/>
    <w:rsid w:val="00A77C2E"/>
    <w:rsid w:val="00A77F76"/>
    <w:rsid w:val="00A77F86"/>
    <w:rsid w:val="00A81310"/>
    <w:rsid w:val="00A8170C"/>
    <w:rsid w:val="00A8184E"/>
    <w:rsid w:val="00A82527"/>
    <w:rsid w:val="00A83A2F"/>
    <w:rsid w:val="00A83B5E"/>
    <w:rsid w:val="00A844FB"/>
    <w:rsid w:val="00A85022"/>
    <w:rsid w:val="00A8647D"/>
    <w:rsid w:val="00A87378"/>
    <w:rsid w:val="00A877A3"/>
    <w:rsid w:val="00A87F75"/>
    <w:rsid w:val="00A902A8"/>
    <w:rsid w:val="00A91308"/>
    <w:rsid w:val="00A91A94"/>
    <w:rsid w:val="00A92203"/>
    <w:rsid w:val="00A92422"/>
    <w:rsid w:val="00A92FB2"/>
    <w:rsid w:val="00A94317"/>
    <w:rsid w:val="00A944FC"/>
    <w:rsid w:val="00A945A7"/>
    <w:rsid w:val="00A94709"/>
    <w:rsid w:val="00A94C88"/>
    <w:rsid w:val="00A94E56"/>
    <w:rsid w:val="00A9502F"/>
    <w:rsid w:val="00A9522A"/>
    <w:rsid w:val="00A97EE4"/>
    <w:rsid w:val="00A97F66"/>
    <w:rsid w:val="00AA06F0"/>
    <w:rsid w:val="00AA180E"/>
    <w:rsid w:val="00AA18B1"/>
    <w:rsid w:val="00AA19F8"/>
    <w:rsid w:val="00AA1AA6"/>
    <w:rsid w:val="00AA1B5D"/>
    <w:rsid w:val="00AA1CC8"/>
    <w:rsid w:val="00AA2213"/>
    <w:rsid w:val="00AA2891"/>
    <w:rsid w:val="00AA3067"/>
    <w:rsid w:val="00AA3B83"/>
    <w:rsid w:val="00AA443E"/>
    <w:rsid w:val="00AA48A3"/>
    <w:rsid w:val="00AA4B54"/>
    <w:rsid w:val="00AA57DC"/>
    <w:rsid w:val="00AA58B1"/>
    <w:rsid w:val="00AA621F"/>
    <w:rsid w:val="00AA633C"/>
    <w:rsid w:val="00AA6579"/>
    <w:rsid w:val="00AA6921"/>
    <w:rsid w:val="00AA6AAF"/>
    <w:rsid w:val="00AA7190"/>
    <w:rsid w:val="00AA726D"/>
    <w:rsid w:val="00AA741C"/>
    <w:rsid w:val="00AA7BDF"/>
    <w:rsid w:val="00AA7DB3"/>
    <w:rsid w:val="00AA7EC0"/>
    <w:rsid w:val="00AB07CC"/>
    <w:rsid w:val="00AB0B19"/>
    <w:rsid w:val="00AB1F1C"/>
    <w:rsid w:val="00AB213B"/>
    <w:rsid w:val="00AB2B5A"/>
    <w:rsid w:val="00AB2B7B"/>
    <w:rsid w:val="00AB2C84"/>
    <w:rsid w:val="00AB344A"/>
    <w:rsid w:val="00AB41D8"/>
    <w:rsid w:val="00AB4200"/>
    <w:rsid w:val="00AB4550"/>
    <w:rsid w:val="00AB4842"/>
    <w:rsid w:val="00AB4A4D"/>
    <w:rsid w:val="00AB4DCA"/>
    <w:rsid w:val="00AB4FE2"/>
    <w:rsid w:val="00AB5222"/>
    <w:rsid w:val="00AB57C2"/>
    <w:rsid w:val="00AB57C6"/>
    <w:rsid w:val="00AB5A7F"/>
    <w:rsid w:val="00AB5D0D"/>
    <w:rsid w:val="00AB629C"/>
    <w:rsid w:val="00AB629D"/>
    <w:rsid w:val="00AB7475"/>
    <w:rsid w:val="00AB7CEB"/>
    <w:rsid w:val="00AC00FA"/>
    <w:rsid w:val="00AC17D5"/>
    <w:rsid w:val="00AC2013"/>
    <w:rsid w:val="00AC27FE"/>
    <w:rsid w:val="00AC2A44"/>
    <w:rsid w:val="00AC2BED"/>
    <w:rsid w:val="00AC4186"/>
    <w:rsid w:val="00AC4B5E"/>
    <w:rsid w:val="00AC545B"/>
    <w:rsid w:val="00AC56BF"/>
    <w:rsid w:val="00AC598B"/>
    <w:rsid w:val="00AC5F95"/>
    <w:rsid w:val="00AC6637"/>
    <w:rsid w:val="00AD0134"/>
    <w:rsid w:val="00AD358B"/>
    <w:rsid w:val="00AD3AF9"/>
    <w:rsid w:val="00AD3F04"/>
    <w:rsid w:val="00AD40A0"/>
    <w:rsid w:val="00AD456A"/>
    <w:rsid w:val="00AD51AF"/>
    <w:rsid w:val="00AD52DF"/>
    <w:rsid w:val="00AD6602"/>
    <w:rsid w:val="00AD6A3F"/>
    <w:rsid w:val="00AD6F31"/>
    <w:rsid w:val="00AD726D"/>
    <w:rsid w:val="00AE018A"/>
    <w:rsid w:val="00AE06F9"/>
    <w:rsid w:val="00AE0B76"/>
    <w:rsid w:val="00AE19A5"/>
    <w:rsid w:val="00AE1F76"/>
    <w:rsid w:val="00AE21CA"/>
    <w:rsid w:val="00AE279B"/>
    <w:rsid w:val="00AE2935"/>
    <w:rsid w:val="00AE40B6"/>
    <w:rsid w:val="00AE4624"/>
    <w:rsid w:val="00AE5689"/>
    <w:rsid w:val="00AE6705"/>
    <w:rsid w:val="00AE6EE1"/>
    <w:rsid w:val="00AF0645"/>
    <w:rsid w:val="00AF0815"/>
    <w:rsid w:val="00AF0AEB"/>
    <w:rsid w:val="00AF0C17"/>
    <w:rsid w:val="00AF14F8"/>
    <w:rsid w:val="00AF1B6E"/>
    <w:rsid w:val="00AF1FBB"/>
    <w:rsid w:val="00AF2C7C"/>
    <w:rsid w:val="00AF310C"/>
    <w:rsid w:val="00AF341D"/>
    <w:rsid w:val="00AF45B2"/>
    <w:rsid w:val="00AF49B0"/>
    <w:rsid w:val="00AF4AE6"/>
    <w:rsid w:val="00AF5912"/>
    <w:rsid w:val="00AF619B"/>
    <w:rsid w:val="00AF6305"/>
    <w:rsid w:val="00AF65E5"/>
    <w:rsid w:val="00AF6969"/>
    <w:rsid w:val="00AF71CB"/>
    <w:rsid w:val="00AF7518"/>
    <w:rsid w:val="00B013EE"/>
    <w:rsid w:val="00B01A55"/>
    <w:rsid w:val="00B01C0D"/>
    <w:rsid w:val="00B01E67"/>
    <w:rsid w:val="00B01F1F"/>
    <w:rsid w:val="00B0207D"/>
    <w:rsid w:val="00B020A3"/>
    <w:rsid w:val="00B0229C"/>
    <w:rsid w:val="00B024F9"/>
    <w:rsid w:val="00B029F2"/>
    <w:rsid w:val="00B02C0C"/>
    <w:rsid w:val="00B02E0D"/>
    <w:rsid w:val="00B03649"/>
    <w:rsid w:val="00B04201"/>
    <w:rsid w:val="00B04F91"/>
    <w:rsid w:val="00B062F5"/>
    <w:rsid w:val="00B069C8"/>
    <w:rsid w:val="00B0764D"/>
    <w:rsid w:val="00B076D0"/>
    <w:rsid w:val="00B0798F"/>
    <w:rsid w:val="00B07D54"/>
    <w:rsid w:val="00B10B25"/>
    <w:rsid w:val="00B10EF0"/>
    <w:rsid w:val="00B10FFD"/>
    <w:rsid w:val="00B12C7A"/>
    <w:rsid w:val="00B1352E"/>
    <w:rsid w:val="00B1472C"/>
    <w:rsid w:val="00B1582E"/>
    <w:rsid w:val="00B15CD1"/>
    <w:rsid w:val="00B16E9F"/>
    <w:rsid w:val="00B172CC"/>
    <w:rsid w:val="00B17F78"/>
    <w:rsid w:val="00B200E2"/>
    <w:rsid w:val="00B20F30"/>
    <w:rsid w:val="00B211AF"/>
    <w:rsid w:val="00B21273"/>
    <w:rsid w:val="00B214F4"/>
    <w:rsid w:val="00B2160A"/>
    <w:rsid w:val="00B22D29"/>
    <w:rsid w:val="00B22FE5"/>
    <w:rsid w:val="00B23F6D"/>
    <w:rsid w:val="00B24029"/>
    <w:rsid w:val="00B248EC"/>
    <w:rsid w:val="00B24ECC"/>
    <w:rsid w:val="00B25323"/>
    <w:rsid w:val="00B257BD"/>
    <w:rsid w:val="00B259E6"/>
    <w:rsid w:val="00B260CF"/>
    <w:rsid w:val="00B2671E"/>
    <w:rsid w:val="00B2705A"/>
    <w:rsid w:val="00B27268"/>
    <w:rsid w:val="00B276D7"/>
    <w:rsid w:val="00B27ABE"/>
    <w:rsid w:val="00B27B7B"/>
    <w:rsid w:val="00B27FAD"/>
    <w:rsid w:val="00B30C53"/>
    <w:rsid w:val="00B30DDC"/>
    <w:rsid w:val="00B31503"/>
    <w:rsid w:val="00B32258"/>
    <w:rsid w:val="00B33166"/>
    <w:rsid w:val="00B346E2"/>
    <w:rsid w:val="00B34B20"/>
    <w:rsid w:val="00B35450"/>
    <w:rsid w:val="00B35753"/>
    <w:rsid w:val="00B36449"/>
    <w:rsid w:val="00B402C2"/>
    <w:rsid w:val="00B403F4"/>
    <w:rsid w:val="00B40623"/>
    <w:rsid w:val="00B408B4"/>
    <w:rsid w:val="00B40D0E"/>
    <w:rsid w:val="00B41EB1"/>
    <w:rsid w:val="00B42A6D"/>
    <w:rsid w:val="00B42E79"/>
    <w:rsid w:val="00B4451F"/>
    <w:rsid w:val="00B445DF"/>
    <w:rsid w:val="00B453FE"/>
    <w:rsid w:val="00B464DF"/>
    <w:rsid w:val="00B4656B"/>
    <w:rsid w:val="00B46CD0"/>
    <w:rsid w:val="00B5006A"/>
    <w:rsid w:val="00B50225"/>
    <w:rsid w:val="00B50A60"/>
    <w:rsid w:val="00B52138"/>
    <w:rsid w:val="00B521E7"/>
    <w:rsid w:val="00B527B9"/>
    <w:rsid w:val="00B52A19"/>
    <w:rsid w:val="00B52A48"/>
    <w:rsid w:val="00B531EC"/>
    <w:rsid w:val="00B533F1"/>
    <w:rsid w:val="00B535CB"/>
    <w:rsid w:val="00B537B5"/>
    <w:rsid w:val="00B53FF6"/>
    <w:rsid w:val="00B546B3"/>
    <w:rsid w:val="00B54FC2"/>
    <w:rsid w:val="00B551FF"/>
    <w:rsid w:val="00B55356"/>
    <w:rsid w:val="00B55B0D"/>
    <w:rsid w:val="00B561FE"/>
    <w:rsid w:val="00B56CAA"/>
    <w:rsid w:val="00B56D76"/>
    <w:rsid w:val="00B5763B"/>
    <w:rsid w:val="00B60070"/>
    <w:rsid w:val="00B60146"/>
    <w:rsid w:val="00B614BD"/>
    <w:rsid w:val="00B623B1"/>
    <w:rsid w:val="00B62AC5"/>
    <w:rsid w:val="00B62BEE"/>
    <w:rsid w:val="00B6362C"/>
    <w:rsid w:val="00B6373B"/>
    <w:rsid w:val="00B63757"/>
    <w:rsid w:val="00B63FB5"/>
    <w:rsid w:val="00B65278"/>
    <w:rsid w:val="00B666E7"/>
    <w:rsid w:val="00B701E6"/>
    <w:rsid w:val="00B70662"/>
    <w:rsid w:val="00B7095E"/>
    <w:rsid w:val="00B70F44"/>
    <w:rsid w:val="00B717DE"/>
    <w:rsid w:val="00B71BC7"/>
    <w:rsid w:val="00B71C4A"/>
    <w:rsid w:val="00B72871"/>
    <w:rsid w:val="00B72CC6"/>
    <w:rsid w:val="00B73BCD"/>
    <w:rsid w:val="00B73CA5"/>
    <w:rsid w:val="00B73DA7"/>
    <w:rsid w:val="00B74E00"/>
    <w:rsid w:val="00B752D1"/>
    <w:rsid w:val="00B752F1"/>
    <w:rsid w:val="00B759F4"/>
    <w:rsid w:val="00B75F10"/>
    <w:rsid w:val="00B76977"/>
    <w:rsid w:val="00B76FA1"/>
    <w:rsid w:val="00B76FF2"/>
    <w:rsid w:val="00B77058"/>
    <w:rsid w:val="00B77173"/>
    <w:rsid w:val="00B7752C"/>
    <w:rsid w:val="00B77804"/>
    <w:rsid w:val="00B77F51"/>
    <w:rsid w:val="00B8001E"/>
    <w:rsid w:val="00B801EA"/>
    <w:rsid w:val="00B811AF"/>
    <w:rsid w:val="00B83748"/>
    <w:rsid w:val="00B85245"/>
    <w:rsid w:val="00B85547"/>
    <w:rsid w:val="00B8589A"/>
    <w:rsid w:val="00B85AE8"/>
    <w:rsid w:val="00B87444"/>
    <w:rsid w:val="00B9011A"/>
    <w:rsid w:val="00B90C91"/>
    <w:rsid w:val="00B90C9F"/>
    <w:rsid w:val="00B90F62"/>
    <w:rsid w:val="00B91100"/>
    <w:rsid w:val="00B91109"/>
    <w:rsid w:val="00B91371"/>
    <w:rsid w:val="00B9145B"/>
    <w:rsid w:val="00B927E8"/>
    <w:rsid w:val="00B9394D"/>
    <w:rsid w:val="00B93C84"/>
    <w:rsid w:val="00B940C3"/>
    <w:rsid w:val="00B94E24"/>
    <w:rsid w:val="00B94E62"/>
    <w:rsid w:val="00B95C64"/>
    <w:rsid w:val="00B971F3"/>
    <w:rsid w:val="00BA089A"/>
    <w:rsid w:val="00BA1147"/>
    <w:rsid w:val="00BA2435"/>
    <w:rsid w:val="00BA365B"/>
    <w:rsid w:val="00BA3C01"/>
    <w:rsid w:val="00BA49BA"/>
    <w:rsid w:val="00BA4B9B"/>
    <w:rsid w:val="00BA52C9"/>
    <w:rsid w:val="00BA5947"/>
    <w:rsid w:val="00BA60BA"/>
    <w:rsid w:val="00BA66B1"/>
    <w:rsid w:val="00BA6993"/>
    <w:rsid w:val="00BA7C84"/>
    <w:rsid w:val="00BB0276"/>
    <w:rsid w:val="00BB0871"/>
    <w:rsid w:val="00BB100B"/>
    <w:rsid w:val="00BB12A3"/>
    <w:rsid w:val="00BB1D73"/>
    <w:rsid w:val="00BB25DF"/>
    <w:rsid w:val="00BB261B"/>
    <w:rsid w:val="00BB2A26"/>
    <w:rsid w:val="00BB2D32"/>
    <w:rsid w:val="00BB32EC"/>
    <w:rsid w:val="00BB3513"/>
    <w:rsid w:val="00BB3708"/>
    <w:rsid w:val="00BB38BD"/>
    <w:rsid w:val="00BB392A"/>
    <w:rsid w:val="00BB408D"/>
    <w:rsid w:val="00BB4398"/>
    <w:rsid w:val="00BB4ABA"/>
    <w:rsid w:val="00BB5983"/>
    <w:rsid w:val="00BB610D"/>
    <w:rsid w:val="00BB6820"/>
    <w:rsid w:val="00BB6EFC"/>
    <w:rsid w:val="00BB7EC7"/>
    <w:rsid w:val="00BC01D5"/>
    <w:rsid w:val="00BC024C"/>
    <w:rsid w:val="00BC08D3"/>
    <w:rsid w:val="00BC169E"/>
    <w:rsid w:val="00BC1BD6"/>
    <w:rsid w:val="00BC2641"/>
    <w:rsid w:val="00BC2685"/>
    <w:rsid w:val="00BC28BB"/>
    <w:rsid w:val="00BC2B87"/>
    <w:rsid w:val="00BC30FB"/>
    <w:rsid w:val="00BC3276"/>
    <w:rsid w:val="00BC38F0"/>
    <w:rsid w:val="00BC3FD1"/>
    <w:rsid w:val="00BC4291"/>
    <w:rsid w:val="00BC4A3E"/>
    <w:rsid w:val="00BC53CA"/>
    <w:rsid w:val="00BC5ADD"/>
    <w:rsid w:val="00BC5AEB"/>
    <w:rsid w:val="00BC60C2"/>
    <w:rsid w:val="00BC6E82"/>
    <w:rsid w:val="00BC7D06"/>
    <w:rsid w:val="00BD00B5"/>
    <w:rsid w:val="00BD00CB"/>
    <w:rsid w:val="00BD16BC"/>
    <w:rsid w:val="00BD1D3E"/>
    <w:rsid w:val="00BD2449"/>
    <w:rsid w:val="00BD2FEB"/>
    <w:rsid w:val="00BD32F5"/>
    <w:rsid w:val="00BD3C5E"/>
    <w:rsid w:val="00BD412B"/>
    <w:rsid w:val="00BD512A"/>
    <w:rsid w:val="00BD53C3"/>
    <w:rsid w:val="00BD5DA2"/>
    <w:rsid w:val="00BD603A"/>
    <w:rsid w:val="00BD6D57"/>
    <w:rsid w:val="00BD703E"/>
    <w:rsid w:val="00BD74DF"/>
    <w:rsid w:val="00BE039D"/>
    <w:rsid w:val="00BE08EC"/>
    <w:rsid w:val="00BE20BA"/>
    <w:rsid w:val="00BE245A"/>
    <w:rsid w:val="00BE3C51"/>
    <w:rsid w:val="00BE506C"/>
    <w:rsid w:val="00BE52E8"/>
    <w:rsid w:val="00BE6786"/>
    <w:rsid w:val="00BE7B8D"/>
    <w:rsid w:val="00BF049F"/>
    <w:rsid w:val="00BF071E"/>
    <w:rsid w:val="00BF0AEF"/>
    <w:rsid w:val="00BF0EF7"/>
    <w:rsid w:val="00BF1072"/>
    <w:rsid w:val="00BF1E45"/>
    <w:rsid w:val="00BF1ECE"/>
    <w:rsid w:val="00BF22E0"/>
    <w:rsid w:val="00BF33A0"/>
    <w:rsid w:val="00BF44AF"/>
    <w:rsid w:val="00BF5475"/>
    <w:rsid w:val="00BF5A54"/>
    <w:rsid w:val="00BF5F88"/>
    <w:rsid w:val="00BF6435"/>
    <w:rsid w:val="00BF6A2D"/>
    <w:rsid w:val="00BF7A51"/>
    <w:rsid w:val="00BF7CFB"/>
    <w:rsid w:val="00C00451"/>
    <w:rsid w:val="00C0046C"/>
    <w:rsid w:val="00C01C6E"/>
    <w:rsid w:val="00C020AF"/>
    <w:rsid w:val="00C02BFC"/>
    <w:rsid w:val="00C03B27"/>
    <w:rsid w:val="00C03E77"/>
    <w:rsid w:val="00C03F65"/>
    <w:rsid w:val="00C04603"/>
    <w:rsid w:val="00C04AC0"/>
    <w:rsid w:val="00C04C4A"/>
    <w:rsid w:val="00C04FBC"/>
    <w:rsid w:val="00C05626"/>
    <w:rsid w:val="00C05CC1"/>
    <w:rsid w:val="00C0642B"/>
    <w:rsid w:val="00C0655C"/>
    <w:rsid w:val="00C067C6"/>
    <w:rsid w:val="00C0697D"/>
    <w:rsid w:val="00C06DED"/>
    <w:rsid w:val="00C07C78"/>
    <w:rsid w:val="00C10798"/>
    <w:rsid w:val="00C11499"/>
    <w:rsid w:val="00C11D52"/>
    <w:rsid w:val="00C12D19"/>
    <w:rsid w:val="00C12D81"/>
    <w:rsid w:val="00C12FF6"/>
    <w:rsid w:val="00C14356"/>
    <w:rsid w:val="00C1487C"/>
    <w:rsid w:val="00C15786"/>
    <w:rsid w:val="00C16882"/>
    <w:rsid w:val="00C16EC5"/>
    <w:rsid w:val="00C17528"/>
    <w:rsid w:val="00C17A42"/>
    <w:rsid w:val="00C21204"/>
    <w:rsid w:val="00C223D5"/>
    <w:rsid w:val="00C224D9"/>
    <w:rsid w:val="00C22A78"/>
    <w:rsid w:val="00C22AF8"/>
    <w:rsid w:val="00C23C0D"/>
    <w:rsid w:val="00C24396"/>
    <w:rsid w:val="00C2445D"/>
    <w:rsid w:val="00C25CC2"/>
    <w:rsid w:val="00C2686D"/>
    <w:rsid w:val="00C26D33"/>
    <w:rsid w:val="00C26FCD"/>
    <w:rsid w:val="00C2709B"/>
    <w:rsid w:val="00C27117"/>
    <w:rsid w:val="00C27568"/>
    <w:rsid w:val="00C27744"/>
    <w:rsid w:val="00C27BE7"/>
    <w:rsid w:val="00C306D1"/>
    <w:rsid w:val="00C31345"/>
    <w:rsid w:val="00C3167F"/>
    <w:rsid w:val="00C32104"/>
    <w:rsid w:val="00C3255C"/>
    <w:rsid w:val="00C32BC1"/>
    <w:rsid w:val="00C32D25"/>
    <w:rsid w:val="00C33404"/>
    <w:rsid w:val="00C33634"/>
    <w:rsid w:val="00C33C0A"/>
    <w:rsid w:val="00C33E82"/>
    <w:rsid w:val="00C34003"/>
    <w:rsid w:val="00C3402F"/>
    <w:rsid w:val="00C35B0C"/>
    <w:rsid w:val="00C371AC"/>
    <w:rsid w:val="00C37FE4"/>
    <w:rsid w:val="00C40248"/>
    <w:rsid w:val="00C40FA4"/>
    <w:rsid w:val="00C422FA"/>
    <w:rsid w:val="00C42548"/>
    <w:rsid w:val="00C426E7"/>
    <w:rsid w:val="00C42919"/>
    <w:rsid w:val="00C42C26"/>
    <w:rsid w:val="00C43408"/>
    <w:rsid w:val="00C44118"/>
    <w:rsid w:val="00C44200"/>
    <w:rsid w:val="00C4422F"/>
    <w:rsid w:val="00C44BB7"/>
    <w:rsid w:val="00C45F09"/>
    <w:rsid w:val="00C46F70"/>
    <w:rsid w:val="00C4705D"/>
    <w:rsid w:val="00C50400"/>
    <w:rsid w:val="00C50A02"/>
    <w:rsid w:val="00C50DD6"/>
    <w:rsid w:val="00C52702"/>
    <w:rsid w:val="00C53F83"/>
    <w:rsid w:val="00C54727"/>
    <w:rsid w:val="00C549F4"/>
    <w:rsid w:val="00C54F97"/>
    <w:rsid w:val="00C55176"/>
    <w:rsid w:val="00C552A5"/>
    <w:rsid w:val="00C5592F"/>
    <w:rsid w:val="00C56A6A"/>
    <w:rsid w:val="00C56BE0"/>
    <w:rsid w:val="00C56E05"/>
    <w:rsid w:val="00C57E73"/>
    <w:rsid w:val="00C6031E"/>
    <w:rsid w:val="00C6061C"/>
    <w:rsid w:val="00C606B3"/>
    <w:rsid w:val="00C607C2"/>
    <w:rsid w:val="00C60861"/>
    <w:rsid w:val="00C60874"/>
    <w:rsid w:val="00C60E8A"/>
    <w:rsid w:val="00C6153F"/>
    <w:rsid w:val="00C615E7"/>
    <w:rsid w:val="00C6184E"/>
    <w:rsid w:val="00C6186D"/>
    <w:rsid w:val="00C618F2"/>
    <w:rsid w:val="00C61CB8"/>
    <w:rsid w:val="00C61DE6"/>
    <w:rsid w:val="00C6204F"/>
    <w:rsid w:val="00C6387C"/>
    <w:rsid w:val="00C6432E"/>
    <w:rsid w:val="00C64932"/>
    <w:rsid w:val="00C66498"/>
    <w:rsid w:val="00C66853"/>
    <w:rsid w:val="00C66BAC"/>
    <w:rsid w:val="00C676C3"/>
    <w:rsid w:val="00C7036E"/>
    <w:rsid w:val="00C71892"/>
    <w:rsid w:val="00C71E21"/>
    <w:rsid w:val="00C73E88"/>
    <w:rsid w:val="00C73F35"/>
    <w:rsid w:val="00C74E41"/>
    <w:rsid w:val="00C7589F"/>
    <w:rsid w:val="00C7646B"/>
    <w:rsid w:val="00C76779"/>
    <w:rsid w:val="00C76F46"/>
    <w:rsid w:val="00C77F23"/>
    <w:rsid w:val="00C8020E"/>
    <w:rsid w:val="00C804CF"/>
    <w:rsid w:val="00C80F1A"/>
    <w:rsid w:val="00C81DC9"/>
    <w:rsid w:val="00C829E9"/>
    <w:rsid w:val="00C845DF"/>
    <w:rsid w:val="00C855D3"/>
    <w:rsid w:val="00C8564B"/>
    <w:rsid w:val="00C85D2E"/>
    <w:rsid w:val="00C85FD2"/>
    <w:rsid w:val="00C861B2"/>
    <w:rsid w:val="00C86866"/>
    <w:rsid w:val="00C87F04"/>
    <w:rsid w:val="00C87F10"/>
    <w:rsid w:val="00C90A86"/>
    <w:rsid w:val="00C91043"/>
    <w:rsid w:val="00C91387"/>
    <w:rsid w:val="00C931A1"/>
    <w:rsid w:val="00C93593"/>
    <w:rsid w:val="00C93D30"/>
    <w:rsid w:val="00C94337"/>
    <w:rsid w:val="00C947F0"/>
    <w:rsid w:val="00C94999"/>
    <w:rsid w:val="00C94CC7"/>
    <w:rsid w:val="00C9591B"/>
    <w:rsid w:val="00C96249"/>
    <w:rsid w:val="00C9657C"/>
    <w:rsid w:val="00C97E1A"/>
    <w:rsid w:val="00CA0351"/>
    <w:rsid w:val="00CA19BD"/>
    <w:rsid w:val="00CA1B8E"/>
    <w:rsid w:val="00CA2800"/>
    <w:rsid w:val="00CA2CF2"/>
    <w:rsid w:val="00CA3352"/>
    <w:rsid w:val="00CA373B"/>
    <w:rsid w:val="00CA38ED"/>
    <w:rsid w:val="00CA43BC"/>
    <w:rsid w:val="00CA4531"/>
    <w:rsid w:val="00CA4AFC"/>
    <w:rsid w:val="00CA5023"/>
    <w:rsid w:val="00CA68A0"/>
    <w:rsid w:val="00CA71EC"/>
    <w:rsid w:val="00CA73FE"/>
    <w:rsid w:val="00CA7B1D"/>
    <w:rsid w:val="00CA7C06"/>
    <w:rsid w:val="00CA7EBC"/>
    <w:rsid w:val="00CB1970"/>
    <w:rsid w:val="00CB1BAF"/>
    <w:rsid w:val="00CB1DB3"/>
    <w:rsid w:val="00CB2347"/>
    <w:rsid w:val="00CB2A99"/>
    <w:rsid w:val="00CB2B1D"/>
    <w:rsid w:val="00CB4647"/>
    <w:rsid w:val="00CB4920"/>
    <w:rsid w:val="00CB4A3E"/>
    <w:rsid w:val="00CB4B7C"/>
    <w:rsid w:val="00CB4C00"/>
    <w:rsid w:val="00CB5630"/>
    <w:rsid w:val="00CB580E"/>
    <w:rsid w:val="00CB5CDE"/>
    <w:rsid w:val="00CB5D72"/>
    <w:rsid w:val="00CB6237"/>
    <w:rsid w:val="00CB699F"/>
    <w:rsid w:val="00CB6B04"/>
    <w:rsid w:val="00CB75C7"/>
    <w:rsid w:val="00CB78C4"/>
    <w:rsid w:val="00CB7C06"/>
    <w:rsid w:val="00CC06BF"/>
    <w:rsid w:val="00CC0AA3"/>
    <w:rsid w:val="00CC0CF0"/>
    <w:rsid w:val="00CC1EF2"/>
    <w:rsid w:val="00CC21A7"/>
    <w:rsid w:val="00CC3A5F"/>
    <w:rsid w:val="00CC3ACD"/>
    <w:rsid w:val="00CC41C9"/>
    <w:rsid w:val="00CC47E1"/>
    <w:rsid w:val="00CC4B9A"/>
    <w:rsid w:val="00CC5EEE"/>
    <w:rsid w:val="00CC6127"/>
    <w:rsid w:val="00CC6795"/>
    <w:rsid w:val="00CC6CA9"/>
    <w:rsid w:val="00CC6F91"/>
    <w:rsid w:val="00CC6FEF"/>
    <w:rsid w:val="00CC7186"/>
    <w:rsid w:val="00CC7623"/>
    <w:rsid w:val="00CD0767"/>
    <w:rsid w:val="00CD0E16"/>
    <w:rsid w:val="00CD0F81"/>
    <w:rsid w:val="00CD1060"/>
    <w:rsid w:val="00CD13B2"/>
    <w:rsid w:val="00CD1C88"/>
    <w:rsid w:val="00CD1EBD"/>
    <w:rsid w:val="00CD3045"/>
    <w:rsid w:val="00CD3BC4"/>
    <w:rsid w:val="00CD3E4C"/>
    <w:rsid w:val="00CD46C5"/>
    <w:rsid w:val="00CD493D"/>
    <w:rsid w:val="00CD49A5"/>
    <w:rsid w:val="00CD5223"/>
    <w:rsid w:val="00CD562E"/>
    <w:rsid w:val="00CD58FE"/>
    <w:rsid w:val="00CD5CA0"/>
    <w:rsid w:val="00CD655D"/>
    <w:rsid w:val="00CD71E8"/>
    <w:rsid w:val="00CD7909"/>
    <w:rsid w:val="00CD796A"/>
    <w:rsid w:val="00CD7EA9"/>
    <w:rsid w:val="00CE0A6D"/>
    <w:rsid w:val="00CE153F"/>
    <w:rsid w:val="00CE16C3"/>
    <w:rsid w:val="00CE1C4A"/>
    <w:rsid w:val="00CE2332"/>
    <w:rsid w:val="00CE25B8"/>
    <w:rsid w:val="00CE279E"/>
    <w:rsid w:val="00CE297D"/>
    <w:rsid w:val="00CE380F"/>
    <w:rsid w:val="00CE39AA"/>
    <w:rsid w:val="00CE4C96"/>
    <w:rsid w:val="00CE53AC"/>
    <w:rsid w:val="00CE5EEA"/>
    <w:rsid w:val="00CE6485"/>
    <w:rsid w:val="00CE69E3"/>
    <w:rsid w:val="00CE6BC4"/>
    <w:rsid w:val="00CE7345"/>
    <w:rsid w:val="00CE7D06"/>
    <w:rsid w:val="00CF06CF"/>
    <w:rsid w:val="00CF0C7A"/>
    <w:rsid w:val="00CF1351"/>
    <w:rsid w:val="00CF1427"/>
    <w:rsid w:val="00CF1803"/>
    <w:rsid w:val="00CF2110"/>
    <w:rsid w:val="00CF28D5"/>
    <w:rsid w:val="00CF2CE1"/>
    <w:rsid w:val="00CF3759"/>
    <w:rsid w:val="00CF3987"/>
    <w:rsid w:val="00CF3B29"/>
    <w:rsid w:val="00CF47BC"/>
    <w:rsid w:val="00CF4DE9"/>
    <w:rsid w:val="00CF4FAF"/>
    <w:rsid w:val="00CF4FB4"/>
    <w:rsid w:val="00CF5CA8"/>
    <w:rsid w:val="00CF624E"/>
    <w:rsid w:val="00CF6669"/>
    <w:rsid w:val="00CF6F5B"/>
    <w:rsid w:val="00CF6FF4"/>
    <w:rsid w:val="00CF7170"/>
    <w:rsid w:val="00CF7607"/>
    <w:rsid w:val="00D004B7"/>
    <w:rsid w:val="00D00AA0"/>
    <w:rsid w:val="00D00BD4"/>
    <w:rsid w:val="00D00CC8"/>
    <w:rsid w:val="00D00CED"/>
    <w:rsid w:val="00D023FE"/>
    <w:rsid w:val="00D04438"/>
    <w:rsid w:val="00D04472"/>
    <w:rsid w:val="00D0491D"/>
    <w:rsid w:val="00D04F5E"/>
    <w:rsid w:val="00D056D9"/>
    <w:rsid w:val="00D05922"/>
    <w:rsid w:val="00D05B2F"/>
    <w:rsid w:val="00D0636C"/>
    <w:rsid w:val="00D0645A"/>
    <w:rsid w:val="00D06CFB"/>
    <w:rsid w:val="00D074E5"/>
    <w:rsid w:val="00D07C98"/>
    <w:rsid w:val="00D100CB"/>
    <w:rsid w:val="00D10261"/>
    <w:rsid w:val="00D10E09"/>
    <w:rsid w:val="00D1124E"/>
    <w:rsid w:val="00D11253"/>
    <w:rsid w:val="00D11E57"/>
    <w:rsid w:val="00D120C4"/>
    <w:rsid w:val="00D12D2F"/>
    <w:rsid w:val="00D134F0"/>
    <w:rsid w:val="00D14CB6"/>
    <w:rsid w:val="00D14D08"/>
    <w:rsid w:val="00D15467"/>
    <w:rsid w:val="00D15720"/>
    <w:rsid w:val="00D164F9"/>
    <w:rsid w:val="00D168E1"/>
    <w:rsid w:val="00D16F80"/>
    <w:rsid w:val="00D1705B"/>
    <w:rsid w:val="00D17F94"/>
    <w:rsid w:val="00D2064D"/>
    <w:rsid w:val="00D20900"/>
    <w:rsid w:val="00D20F6E"/>
    <w:rsid w:val="00D21082"/>
    <w:rsid w:val="00D21CE3"/>
    <w:rsid w:val="00D2235A"/>
    <w:rsid w:val="00D224D6"/>
    <w:rsid w:val="00D22C91"/>
    <w:rsid w:val="00D22CC7"/>
    <w:rsid w:val="00D235E5"/>
    <w:rsid w:val="00D23900"/>
    <w:rsid w:val="00D243E3"/>
    <w:rsid w:val="00D25151"/>
    <w:rsid w:val="00D25872"/>
    <w:rsid w:val="00D25BBB"/>
    <w:rsid w:val="00D25C8A"/>
    <w:rsid w:val="00D25E9B"/>
    <w:rsid w:val="00D26221"/>
    <w:rsid w:val="00D26537"/>
    <w:rsid w:val="00D267B7"/>
    <w:rsid w:val="00D26B75"/>
    <w:rsid w:val="00D27481"/>
    <w:rsid w:val="00D30277"/>
    <w:rsid w:val="00D30420"/>
    <w:rsid w:val="00D304D3"/>
    <w:rsid w:val="00D30697"/>
    <w:rsid w:val="00D31AEB"/>
    <w:rsid w:val="00D31E98"/>
    <w:rsid w:val="00D32475"/>
    <w:rsid w:val="00D33B0E"/>
    <w:rsid w:val="00D33D9A"/>
    <w:rsid w:val="00D34F6E"/>
    <w:rsid w:val="00D3559C"/>
    <w:rsid w:val="00D3649F"/>
    <w:rsid w:val="00D36734"/>
    <w:rsid w:val="00D36820"/>
    <w:rsid w:val="00D36A19"/>
    <w:rsid w:val="00D36D48"/>
    <w:rsid w:val="00D373C1"/>
    <w:rsid w:val="00D37D66"/>
    <w:rsid w:val="00D405BC"/>
    <w:rsid w:val="00D40EEA"/>
    <w:rsid w:val="00D410C8"/>
    <w:rsid w:val="00D4234B"/>
    <w:rsid w:val="00D42379"/>
    <w:rsid w:val="00D4237F"/>
    <w:rsid w:val="00D42566"/>
    <w:rsid w:val="00D42798"/>
    <w:rsid w:val="00D43116"/>
    <w:rsid w:val="00D439E1"/>
    <w:rsid w:val="00D43A21"/>
    <w:rsid w:val="00D44057"/>
    <w:rsid w:val="00D447F0"/>
    <w:rsid w:val="00D4534C"/>
    <w:rsid w:val="00D456C2"/>
    <w:rsid w:val="00D45738"/>
    <w:rsid w:val="00D45B07"/>
    <w:rsid w:val="00D45DDE"/>
    <w:rsid w:val="00D46B3B"/>
    <w:rsid w:val="00D4727E"/>
    <w:rsid w:val="00D47759"/>
    <w:rsid w:val="00D47ACF"/>
    <w:rsid w:val="00D47E23"/>
    <w:rsid w:val="00D50056"/>
    <w:rsid w:val="00D50C79"/>
    <w:rsid w:val="00D510C3"/>
    <w:rsid w:val="00D514E9"/>
    <w:rsid w:val="00D515C4"/>
    <w:rsid w:val="00D51D9A"/>
    <w:rsid w:val="00D5206A"/>
    <w:rsid w:val="00D52663"/>
    <w:rsid w:val="00D531C6"/>
    <w:rsid w:val="00D535D0"/>
    <w:rsid w:val="00D54352"/>
    <w:rsid w:val="00D5440D"/>
    <w:rsid w:val="00D55107"/>
    <w:rsid w:val="00D5518C"/>
    <w:rsid w:val="00D5576D"/>
    <w:rsid w:val="00D561DF"/>
    <w:rsid w:val="00D57781"/>
    <w:rsid w:val="00D57D35"/>
    <w:rsid w:val="00D60048"/>
    <w:rsid w:val="00D6064B"/>
    <w:rsid w:val="00D60869"/>
    <w:rsid w:val="00D60FCD"/>
    <w:rsid w:val="00D630C2"/>
    <w:rsid w:val="00D63489"/>
    <w:rsid w:val="00D635C0"/>
    <w:rsid w:val="00D63D9C"/>
    <w:rsid w:val="00D63EEC"/>
    <w:rsid w:val="00D640E2"/>
    <w:rsid w:val="00D641C7"/>
    <w:rsid w:val="00D642F9"/>
    <w:rsid w:val="00D6453B"/>
    <w:rsid w:val="00D64990"/>
    <w:rsid w:val="00D64DD9"/>
    <w:rsid w:val="00D6560E"/>
    <w:rsid w:val="00D65767"/>
    <w:rsid w:val="00D65E4C"/>
    <w:rsid w:val="00D661D4"/>
    <w:rsid w:val="00D666D7"/>
    <w:rsid w:val="00D66D3E"/>
    <w:rsid w:val="00D67371"/>
    <w:rsid w:val="00D67915"/>
    <w:rsid w:val="00D7103A"/>
    <w:rsid w:val="00D71CF0"/>
    <w:rsid w:val="00D71E3A"/>
    <w:rsid w:val="00D72558"/>
    <w:rsid w:val="00D72AC3"/>
    <w:rsid w:val="00D73BF3"/>
    <w:rsid w:val="00D73CC5"/>
    <w:rsid w:val="00D742B6"/>
    <w:rsid w:val="00D74E3E"/>
    <w:rsid w:val="00D75635"/>
    <w:rsid w:val="00D76BCF"/>
    <w:rsid w:val="00D76C97"/>
    <w:rsid w:val="00D771CE"/>
    <w:rsid w:val="00D7751C"/>
    <w:rsid w:val="00D77CDF"/>
    <w:rsid w:val="00D77CFF"/>
    <w:rsid w:val="00D77F06"/>
    <w:rsid w:val="00D81971"/>
    <w:rsid w:val="00D81A2F"/>
    <w:rsid w:val="00D81E61"/>
    <w:rsid w:val="00D82786"/>
    <w:rsid w:val="00D82D42"/>
    <w:rsid w:val="00D83234"/>
    <w:rsid w:val="00D83260"/>
    <w:rsid w:val="00D83388"/>
    <w:rsid w:val="00D8486A"/>
    <w:rsid w:val="00D84BA4"/>
    <w:rsid w:val="00D84D5E"/>
    <w:rsid w:val="00D86EE2"/>
    <w:rsid w:val="00D8796C"/>
    <w:rsid w:val="00D90511"/>
    <w:rsid w:val="00D91343"/>
    <w:rsid w:val="00D91373"/>
    <w:rsid w:val="00D917FF"/>
    <w:rsid w:val="00D918B6"/>
    <w:rsid w:val="00D923B2"/>
    <w:rsid w:val="00D92468"/>
    <w:rsid w:val="00D9261C"/>
    <w:rsid w:val="00D9280D"/>
    <w:rsid w:val="00D9290B"/>
    <w:rsid w:val="00D92BDB"/>
    <w:rsid w:val="00D92DC4"/>
    <w:rsid w:val="00D937AB"/>
    <w:rsid w:val="00D951CA"/>
    <w:rsid w:val="00D95361"/>
    <w:rsid w:val="00D957C8"/>
    <w:rsid w:val="00D957F1"/>
    <w:rsid w:val="00D95B02"/>
    <w:rsid w:val="00D95FA1"/>
    <w:rsid w:val="00D9605D"/>
    <w:rsid w:val="00D9697A"/>
    <w:rsid w:val="00D9777F"/>
    <w:rsid w:val="00DA0005"/>
    <w:rsid w:val="00DA023D"/>
    <w:rsid w:val="00DA0B45"/>
    <w:rsid w:val="00DA0E5B"/>
    <w:rsid w:val="00DA1853"/>
    <w:rsid w:val="00DA379B"/>
    <w:rsid w:val="00DA390A"/>
    <w:rsid w:val="00DA3DB2"/>
    <w:rsid w:val="00DA49EC"/>
    <w:rsid w:val="00DA641D"/>
    <w:rsid w:val="00DA7083"/>
    <w:rsid w:val="00DA7247"/>
    <w:rsid w:val="00DA7CB4"/>
    <w:rsid w:val="00DA7F57"/>
    <w:rsid w:val="00DB14D5"/>
    <w:rsid w:val="00DB170F"/>
    <w:rsid w:val="00DB3453"/>
    <w:rsid w:val="00DB39B6"/>
    <w:rsid w:val="00DB5211"/>
    <w:rsid w:val="00DB54F0"/>
    <w:rsid w:val="00DB5F54"/>
    <w:rsid w:val="00DB63A2"/>
    <w:rsid w:val="00DB6A46"/>
    <w:rsid w:val="00DB7087"/>
    <w:rsid w:val="00DB732A"/>
    <w:rsid w:val="00DB756F"/>
    <w:rsid w:val="00DB7589"/>
    <w:rsid w:val="00DB76F4"/>
    <w:rsid w:val="00DB7C1C"/>
    <w:rsid w:val="00DB7C77"/>
    <w:rsid w:val="00DC043F"/>
    <w:rsid w:val="00DC05C9"/>
    <w:rsid w:val="00DC08D9"/>
    <w:rsid w:val="00DC1399"/>
    <w:rsid w:val="00DC1F4D"/>
    <w:rsid w:val="00DC2074"/>
    <w:rsid w:val="00DC35EE"/>
    <w:rsid w:val="00DC3906"/>
    <w:rsid w:val="00DC4EAE"/>
    <w:rsid w:val="00DC50A0"/>
    <w:rsid w:val="00DC516D"/>
    <w:rsid w:val="00DC5552"/>
    <w:rsid w:val="00DC7B7B"/>
    <w:rsid w:val="00DC7CCE"/>
    <w:rsid w:val="00DD00BA"/>
    <w:rsid w:val="00DD0344"/>
    <w:rsid w:val="00DD04FA"/>
    <w:rsid w:val="00DD1473"/>
    <w:rsid w:val="00DD189C"/>
    <w:rsid w:val="00DD1B7F"/>
    <w:rsid w:val="00DD1D06"/>
    <w:rsid w:val="00DD27D6"/>
    <w:rsid w:val="00DD2D94"/>
    <w:rsid w:val="00DD521B"/>
    <w:rsid w:val="00DD547B"/>
    <w:rsid w:val="00DD5A71"/>
    <w:rsid w:val="00DD6C39"/>
    <w:rsid w:val="00DD7A70"/>
    <w:rsid w:val="00DE0C15"/>
    <w:rsid w:val="00DE10AC"/>
    <w:rsid w:val="00DE1552"/>
    <w:rsid w:val="00DE207B"/>
    <w:rsid w:val="00DE209A"/>
    <w:rsid w:val="00DE2216"/>
    <w:rsid w:val="00DE239E"/>
    <w:rsid w:val="00DE2969"/>
    <w:rsid w:val="00DE2A4A"/>
    <w:rsid w:val="00DE2ABE"/>
    <w:rsid w:val="00DE3579"/>
    <w:rsid w:val="00DE4183"/>
    <w:rsid w:val="00DE4260"/>
    <w:rsid w:val="00DE46CE"/>
    <w:rsid w:val="00DE474D"/>
    <w:rsid w:val="00DE5D7F"/>
    <w:rsid w:val="00DE64F8"/>
    <w:rsid w:val="00DE6B15"/>
    <w:rsid w:val="00DE6FEF"/>
    <w:rsid w:val="00DE7E04"/>
    <w:rsid w:val="00DF0042"/>
    <w:rsid w:val="00DF0210"/>
    <w:rsid w:val="00DF0505"/>
    <w:rsid w:val="00DF109F"/>
    <w:rsid w:val="00DF18EB"/>
    <w:rsid w:val="00DF1E2C"/>
    <w:rsid w:val="00DF35B0"/>
    <w:rsid w:val="00DF438C"/>
    <w:rsid w:val="00DF454B"/>
    <w:rsid w:val="00DF474B"/>
    <w:rsid w:val="00DF4BAA"/>
    <w:rsid w:val="00DF5C49"/>
    <w:rsid w:val="00DF5D16"/>
    <w:rsid w:val="00DF776C"/>
    <w:rsid w:val="00DF77BF"/>
    <w:rsid w:val="00DF792A"/>
    <w:rsid w:val="00E00AF0"/>
    <w:rsid w:val="00E01177"/>
    <w:rsid w:val="00E01324"/>
    <w:rsid w:val="00E02A4F"/>
    <w:rsid w:val="00E030E0"/>
    <w:rsid w:val="00E04F3E"/>
    <w:rsid w:val="00E052A7"/>
    <w:rsid w:val="00E06945"/>
    <w:rsid w:val="00E06EBD"/>
    <w:rsid w:val="00E07055"/>
    <w:rsid w:val="00E07F70"/>
    <w:rsid w:val="00E10A1B"/>
    <w:rsid w:val="00E10ABC"/>
    <w:rsid w:val="00E10CE8"/>
    <w:rsid w:val="00E111B3"/>
    <w:rsid w:val="00E1180D"/>
    <w:rsid w:val="00E1196A"/>
    <w:rsid w:val="00E11C38"/>
    <w:rsid w:val="00E12062"/>
    <w:rsid w:val="00E139E3"/>
    <w:rsid w:val="00E13BC0"/>
    <w:rsid w:val="00E13C01"/>
    <w:rsid w:val="00E1482F"/>
    <w:rsid w:val="00E1485C"/>
    <w:rsid w:val="00E14BA8"/>
    <w:rsid w:val="00E15444"/>
    <w:rsid w:val="00E16147"/>
    <w:rsid w:val="00E1797F"/>
    <w:rsid w:val="00E211BD"/>
    <w:rsid w:val="00E21458"/>
    <w:rsid w:val="00E21C84"/>
    <w:rsid w:val="00E2254B"/>
    <w:rsid w:val="00E2256F"/>
    <w:rsid w:val="00E2268D"/>
    <w:rsid w:val="00E23072"/>
    <w:rsid w:val="00E235B3"/>
    <w:rsid w:val="00E24086"/>
    <w:rsid w:val="00E24644"/>
    <w:rsid w:val="00E247A6"/>
    <w:rsid w:val="00E258B8"/>
    <w:rsid w:val="00E26980"/>
    <w:rsid w:val="00E26B78"/>
    <w:rsid w:val="00E26DAA"/>
    <w:rsid w:val="00E26E65"/>
    <w:rsid w:val="00E27BD8"/>
    <w:rsid w:val="00E304C2"/>
    <w:rsid w:val="00E31D0D"/>
    <w:rsid w:val="00E3352C"/>
    <w:rsid w:val="00E33C73"/>
    <w:rsid w:val="00E33E79"/>
    <w:rsid w:val="00E34409"/>
    <w:rsid w:val="00E34B8D"/>
    <w:rsid w:val="00E35411"/>
    <w:rsid w:val="00E36916"/>
    <w:rsid w:val="00E369CA"/>
    <w:rsid w:val="00E37342"/>
    <w:rsid w:val="00E373C7"/>
    <w:rsid w:val="00E37665"/>
    <w:rsid w:val="00E40155"/>
    <w:rsid w:val="00E402A7"/>
    <w:rsid w:val="00E40525"/>
    <w:rsid w:val="00E40704"/>
    <w:rsid w:val="00E42652"/>
    <w:rsid w:val="00E43536"/>
    <w:rsid w:val="00E43626"/>
    <w:rsid w:val="00E43793"/>
    <w:rsid w:val="00E43F4A"/>
    <w:rsid w:val="00E44206"/>
    <w:rsid w:val="00E44AC4"/>
    <w:rsid w:val="00E4534C"/>
    <w:rsid w:val="00E45532"/>
    <w:rsid w:val="00E46987"/>
    <w:rsid w:val="00E46E70"/>
    <w:rsid w:val="00E500F4"/>
    <w:rsid w:val="00E50616"/>
    <w:rsid w:val="00E50B4B"/>
    <w:rsid w:val="00E50DE5"/>
    <w:rsid w:val="00E51107"/>
    <w:rsid w:val="00E517B5"/>
    <w:rsid w:val="00E51979"/>
    <w:rsid w:val="00E51C94"/>
    <w:rsid w:val="00E51E83"/>
    <w:rsid w:val="00E52320"/>
    <w:rsid w:val="00E52A38"/>
    <w:rsid w:val="00E52BAC"/>
    <w:rsid w:val="00E5379A"/>
    <w:rsid w:val="00E53D6F"/>
    <w:rsid w:val="00E53F3F"/>
    <w:rsid w:val="00E54030"/>
    <w:rsid w:val="00E5554B"/>
    <w:rsid w:val="00E601E4"/>
    <w:rsid w:val="00E60A2A"/>
    <w:rsid w:val="00E61815"/>
    <w:rsid w:val="00E61C7D"/>
    <w:rsid w:val="00E628AF"/>
    <w:rsid w:val="00E64A11"/>
    <w:rsid w:val="00E64BE9"/>
    <w:rsid w:val="00E67255"/>
    <w:rsid w:val="00E67636"/>
    <w:rsid w:val="00E70606"/>
    <w:rsid w:val="00E70B28"/>
    <w:rsid w:val="00E70EE2"/>
    <w:rsid w:val="00E712DE"/>
    <w:rsid w:val="00E71956"/>
    <w:rsid w:val="00E71BBE"/>
    <w:rsid w:val="00E71BD5"/>
    <w:rsid w:val="00E72638"/>
    <w:rsid w:val="00E72CBB"/>
    <w:rsid w:val="00E72F09"/>
    <w:rsid w:val="00E733BE"/>
    <w:rsid w:val="00E7360E"/>
    <w:rsid w:val="00E7383F"/>
    <w:rsid w:val="00E74369"/>
    <w:rsid w:val="00E75730"/>
    <w:rsid w:val="00E764A1"/>
    <w:rsid w:val="00E7659F"/>
    <w:rsid w:val="00E76A7F"/>
    <w:rsid w:val="00E76D85"/>
    <w:rsid w:val="00E77149"/>
    <w:rsid w:val="00E7749E"/>
    <w:rsid w:val="00E80371"/>
    <w:rsid w:val="00E80A08"/>
    <w:rsid w:val="00E8325C"/>
    <w:rsid w:val="00E83EAC"/>
    <w:rsid w:val="00E840F3"/>
    <w:rsid w:val="00E8463C"/>
    <w:rsid w:val="00E84812"/>
    <w:rsid w:val="00E8489A"/>
    <w:rsid w:val="00E848BF"/>
    <w:rsid w:val="00E84ECB"/>
    <w:rsid w:val="00E850B8"/>
    <w:rsid w:val="00E864AA"/>
    <w:rsid w:val="00E86A6A"/>
    <w:rsid w:val="00E86ADF"/>
    <w:rsid w:val="00E86BC9"/>
    <w:rsid w:val="00E87AAA"/>
    <w:rsid w:val="00E87C7B"/>
    <w:rsid w:val="00E87CF7"/>
    <w:rsid w:val="00E90939"/>
    <w:rsid w:val="00E90EA9"/>
    <w:rsid w:val="00E9256D"/>
    <w:rsid w:val="00E9292E"/>
    <w:rsid w:val="00E92F83"/>
    <w:rsid w:val="00E9316C"/>
    <w:rsid w:val="00E932C6"/>
    <w:rsid w:val="00E93459"/>
    <w:rsid w:val="00E9374E"/>
    <w:rsid w:val="00E9416E"/>
    <w:rsid w:val="00E94504"/>
    <w:rsid w:val="00E95044"/>
    <w:rsid w:val="00E95A75"/>
    <w:rsid w:val="00E961A9"/>
    <w:rsid w:val="00E9622E"/>
    <w:rsid w:val="00E974A0"/>
    <w:rsid w:val="00E976FF"/>
    <w:rsid w:val="00E977E5"/>
    <w:rsid w:val="00EA04CA"/>
    <w:rsid w:val="00EA1C03"/>
    <w:rsid w:val="00EA1EDC"/>
    <w:rsid w:val="00EA2048"/>
    <w:rsid w:val="00EA2A8E"/>
    <w:rsid w:val="00EA2EFA"/>
    <w:rsid w:val="00EA386A"/>
    <w:rsid w:val="00EA3A3F"/>
    <w:rsid w:val="00EA426A"/>
    <w:rsid w:val="00EA4BE1"/>
    <w:rsid w:val="00EA6453"/>
    <w:rsid w:val="00EA67B9"/>
    <w:rsid w:val="00EA6D9C"/>
    <w:rsid w:val="00EA70BC"/>
    <w:rsid w:val="00EA720D"/>
    <w:rsid w:val="00EA74CB"/>
    <w:rsid w:val="00EA7570"/>
    <w:rsid w:val="00EA7DA2"/>
    <w:rsid w:val="00EB122B"/>
    <w:rsid w:val="00EB128D"/>
    <w:rsid w:val="00EB1A3F"/>
    <w:rsid w:val="00EB1CA7"/>
    <w:rsid w:val="00EB1E5E"/>
    <w:rsid w:val="00EB22B4"/>
    <w:rsid w:val="00EB2A5F"/>
    <w:rsid w:val="00EB2E4E"/>
    <w:rsid w:val="00EB3017"/>
    <w:rsid w:val="00EB305B"/>
    <w:rsid w:val="00EB3E59"/>
    <w:rsid w:val="00EB41B9"/>
    <w:rsid w:val="00EB4345"/>
    <w:rsid w:val="00EB4436"/>
    <w:rsid w:val="00EB5001"/>
    <w:rsid w:val="00EB5D14"/>
    <w:rsid w:val="00EB60B7"/>
    <w:rsid w:val="00EB62A4"/>
    <w:rsid w:val="00EB69D4"/>
    <w:rsid w:val="00EB6A17"/>
    <w:rsid w:val="00EB745E"/>
    <w:rsid w:val="00EC09FD"/>
    <w:rsid w:val="00EC0C57"/>
    <w:rsid w:val="00EC0F72"/>
    <w:rsid w:val="00EC13C9"/>
    <w:rsid w:val="00EC192E"/>
    <w:rsid w:val="00EC3045"/>
    <w:rsid w:val="00EC359F"/>
    <w:rsid w:val="00EC43F8"/>
    <w:rsid w:val="00EC49F8"/>
    <w:rsid w:val="00EC4E0D"/>
    <w:rsid w:val="00EC58CD"/>
    <w:rsid w:val="00EC59BF"/>
    <w:rsid w:val="00EC5FBB"/>
    <w:rsid w:val="00EC6061"/>
    <w:rsid w:val="00EC606B"/>
    <w:rsid w:val="00EC6A9F"/>
    <w:rsid w:val="00EC766D"/>
    <w:rsid w:val="00EC76DE"/>
    <w:rsid w:val="00EC7BA7"/>
    <w:rsid w:val="00EC7DB0"/>
    <w:rsid w:val="00ED02B5"/>
    <w:rsid w:val="00ED0828"/>
    <w:rsid w:val="00ED0E52"/>
    <w:rsid w:val="00ED277D"/>
    <w:rsid w:val="00ED294D"/>
    <w:rsid w:val="00ED2D71"/>
    <w:rsid w:val="00ED3D4B"/>
    <w:rsid w:val="00ED3D8E"/>
    <w:rsid w:val="00ED41A2"/>
    <w:rsid w:val="00ED42A4"/>
    <w:rsid w:val="00ED44C6"/>
    <w:rsid w:val="00ED4A1B"/>
    <w:rsid w:val="00ED51DD"/>
    <w:rsid w:val="00ED5296"/>
    <w:rsid w:val="00ED605C"/>
    <w:rsid w:val="00ED61DD"/>
    <w:rsid w:val="00ED6715"/>
    <w:rsid w:val="00ED7396"/>
    <w:rsid w:val="00ED7535"/>
    <w:rsid w:val="00ED7BA5"/>
    <w:rsid w:val="00ED7D71"/>
    <w:rsid w:val="00EE0075"/>
    <w:rsid w:val="00EE0097"/>
    <w:rsid w:val="00EE0231"/>
    <w:rsid w:val="00EE0235"/>
    <w:rsid w:val="00EE1140"/>
    <w:rsid w:val="00EE20B4"/>
    <w:rsid w:val="00EE364D"/>
    <w:rsid w:val="00EE4E2D"/>
    <w:rsid w:val="00EE5673"/>
    <w:rsid w:val="00EE60E9"/>
    <w:rsid w:val="00EE6343"/>
    <w:rsid w:val="00EE635E"/>
    <w:rsid w:val="00EE775F"/>
    <w:rsid w:val="00EF0058"/>
    <w:rsid w:val="00EF086E"/>
    <w:rsid w:val="00EF0DDD"/>
    <w:rsid w:val="00EF20E9"/>
    <w:rsid w:val="00EF2416"/>
    <w:rsid w:val="00EF3585"/>
    <w:rsid w:val="00EF370C"/>
    <w:rsid w:val="00EF450F"/>
    <w:rsid w:val="00EF50DC"/>
    <w:rsid w:val="00EF54D4"/>
    <w:rsid w:val="00EF6CC0"/>
    <w:rsid w:val="00EF6FFB"/>
    <w:rsid w:val="00EF7A19"/>
    <w:rsid w:val="00F00045"/>
    <w:rsid w:val="00F00156"/>
    <w:rsid w:val="00F00AB4"/>
    <w:rsid w:val="00F00C2F"/>
    <w:rsid w:val="00F00EEF"/>
    <w:rsid w:val="00F012D1"/>
    <w:rsid w:val="00F0182E"/>
    <w:rsid w:val="00F01B6D"/>
    <w:rsid w:val="00F01FDC"/>
    <w:rsid w:val="00F02037"/>
    <w:rsid w:val="00F026EA"/>
    <w:rsid w:val="00F0291B"/>
    <w:rsid w:val="00F042F8"/>
    <w:rsid w:val="00F05379"/>
    <w:rsid w:val="00F06BBC"/>
    <w:rsid w:val="00F06EB3"/>
    <w:rsid w:val="00F06F6D"/>
    <w:rsid w:val="00F1171C"/>
    <w:rsid w:val="00F11AA3"/>
    <w:rsid w:val="00F11E83"/>
    <w:rsid w:val="00F125F8"/>
    <w:rsid w:val="00F12E9D"/>
    <w:rsid w:val="00F142CB"/>
    <w:rsid w:val="00F147FD"/>
    <w:rsid w:val="00F14CC5"/>
    <w:rsid w:val="00F156D6"/>
    <w:rsid w:val="00F158DB"/>
    <w:rsid w:val="00F16CDB"/>
    <w:rsid w:val="00F17553"/>
    <w:rsid w:val="00F17A21"/>
    <w:rsid w:val="00F17C06"/>
    <w:rsid w:val="00F20816"/>
    <w:rsid w:val="00F20A55"/>
    <w:rsid w:val="00F20A89"/>
    <w:rsid w:val="00F217A1"/>
    <w:rsid w:val="00F21C37"/>
    <w:rsid w:val="00F21D3D"/>
    <w:rsid w:val="00F21E50"/>
    <w:rsid w:val="00F2317D"/>
    <w:rsid w:val="00F24452"/>
    <w:rsid w:val="00F24546"/>
    <w:rsid w:val="00F24AB0"/>
    <w:rsid w:val="00F26832"/>
    <w:rsid w:val="00F268E6"/>
    <w:rsid w:val="00F26D95"/>
    <w:rsid w:val="00F26DD8"/>
    <w:rsid w:val="00F2702E"/>
    <w:rsid w:val="00F27DBF"/>
    <w:rsid w:val="00F303D1"/>
    <w:rsid w:val="00F30401"/>
    <w:rsid w:val="00F30F15"/>
    <w:rsid w:val="00F31CF1"/>
    <w:rsid w:val="00F3206F"/>
    <w:rsid w:val="00F32178"/>
    <w:rsid w:val="00F321F9"/>
    <w:rsid w:val="00F33373"/>
    <w:rsid w:val="00F3351F"/>
    <w:rsid w:val="00F33AC1"/>
    <w:rsid w:val="00F3412C"/>
    <w:rsid w:val="00F34363"/>
    <w:rsid w:val="00F348FD"/>
    <w:rsid w:val="00F34C07"/>
    <w:rsid w:val="00F35588"/>
    <w:rsid w:val="00F357F2"/>
    <w:rsid w:val="00F35CCE"/>
    <w:rsid w:val="00F35D75"/>
    <w:rsid w:val="00F3613A"/>
    <w:rsid w:val="00F36444"/>
    <w:rsid w:val="00F37C7C"/>
    <w:rsid w:val="00F40013"/>
    <w:rsid w:val="00F4021E"/>
    <w:rsid w:val="00F40B33"/>
    <w:rsid w:val="00F41842"/>
    <w:rsid w:val="00F41EB6"/>
    <w:rsid w:val="00F420FA"/>
    <w:rsid w:val="00F4228C"/>
    <w:rsid w:val="00F425AC"/>
    <w:rsid w:val="00F42D07"/>
    <w:rsid w:val="00F42EAD"/>
    <w:rsid w:val="00F433AC"/>
    <w:rsid w:val="00F43475"/>
    <w:rsid w:val="00F45A18"/>
    <w:rsid w:val="00F461CB"/>
    <w:rsid w:val="00F470CF"/>
    <w:rsid w:val="00F506D8"/>
    <w:rsid w:val="00F507F4"/>
    <w:rsid w:val="00F51CB2"/>
    <w:rsid w:val="00F5227C"/>
    <w:rsid w:val="00F5238A"/>
    <w:rsid w:val="00F549BA"/>
    <w:rsid w:val="00F54A46"/>
    <w:rsid w:val="00F5500F"/>
    <w:rsid w:val="00F563FF"/>
    <w:rsid w:val="00F56AFE"/>
    <w:rsid w:val="00F56B3D"/>
    <w:rsid w:val="00F57273"/>
    <w:rsid w:val="00F573AF"/>
    <w:rsid w:val="00F6015C"/>
    <w:rsid w:val="00F60345"/>
    <w:rsid w:val="00F6055F"/>
    <w:rsid w:val="00F60C55"/>
    <w:rsid w:val="00F6131A"/>
    <w:rsid w:val="00F6184E"/>
    <w:rsid w:val="00F619E5"/>
    <w:rsid w:val="00F62473"/>
    <w:rsid w:val="00F62692"/>
    <w:rsid w:val="00F6354F"/>
    <w:rsid w:val="00F6400A"/>
    <w:rsid w:val="00F6472E"/>
    <w:rsid w:val="00F64868"/>
    <w:rsid w:val="00F65142"/>
    <w:rsid w:val="00F657D7"/>
    <w:rsid w:val="00F659EC"/>
    <w:rsid w:val="00F65B4F"/>
    <w:rsid w:val="00F66E33"/>
    <w:rsid w:val="00F66E87"/>
    <w:rsid w:val="00F66FEA"/>
    <w:rsid w:val="00F672DC"/>
    <w:rsid w:val="00F6775C"/>
    <w:rsid w:val="00F705D7"/>
    <w:rsid w:val="00F706D8"/>
    <w:rsid w:val="00F70D9C"/>
    <w:rsid w:val="00F70E8E"/>
    <w:rsid w:val="00F71DBC"/>
    <w:rsid w:val="00F72314"/>
    <w:rsid w:val="00F72B6D"/>
    <w:rsid w:val="00F72DDB"/>
    <w:rsid w:val="00F72DED"/>
    <w:rsid w:val="00F73523"/>
    <w:rsid w:val="00F740D1"/>
    <w:rsid w:val="00F74DBA"/>
    <w:rsid w:val="00F75089"/>
    <w:rsid w:val="00F75427"/>
    <w:rsid w:val="00F754A8"/>
    <w:rsid w:val="00F755C5"/>
    <w:rsid w:val="00F75AEA"/>
    <w:rsid w:val="00F7609B"/>
    <w:rsid w:val="00F7681F"/>
    <w:rsid w:val="00F76A81"/>
    <w:rsid w:val="00F772BF"/>
    <w:rsid w:val="00F779C3"/>
    <w:rsid w:val="00F77D55"/>
    <w:rsid w:val="00F77F4E"/>
    <w:rsid w:val="00F8053C"/>
    <w:rsid w:val="00F80627"/>
    <w:rsid w:val="00F808F8"/>
    <w:rsid w:val="00F80976"/>
    <w:rsid w:val="00F80E5A"/>
    <w:rsid w:val="00F815A4"/>
    <w:rsid w:val="00F81873"/>
    <w:rsid w:val="00F82504"/>
    <w:rsid w:val="00F828D5"/>
    <w:rsid w:val="00F82CC1"/>
    <w:rsid w:val="00F82D74"/>
    <w:rsid w:val="00F834DF"/>
    <w:rsid w:val="00F838F7"/>
    <w:rsid w:val="00F84030"/>
    <w:rsid w:val="00F846DA"/>
    <w:rsid w:val="00F84DB8"/>
    <w:rsid w:val="00F84FE0"/>
    <w:rsid w:val="00F85BDB"/>
    <w:rsid w:val="00F860A6"/>
    <w:rsid w:val="00F861A5"/>
    <w:rsid w:val="00F87352"/>
    <w:rsid w:val="00F87928"/>
    <w:rsid w:val="00F879ED"/>
    <w:rsid w:val="00F87D77"/>
    <w:rsid w:val="00F902B6"/>
    <w:rsid w:val="00F9032D"/>
    <w:rsid w:val="00F904FB"/>
    <w:rsid w:val="00F908D5"/>
    <w:rsid w:val="00F912AE"/>
    <w:rsid w:val="00F91E10"/>
    <w:rsid w:val="00F92748"/>
    <w:rsid w:val="00F92B2D"/>
    <w:rsid w:val="00F92C99"/>
    <w:rsid w:val="00F93712"/>
    <w:rsid w:val="00F93749"/>
    <w:rsid w:val="00F943D2"/>
    <w:rsid w:val="00F950B3"/>
    <w:rsid w:val="00F95371"/>
    <w:rsid w:val="00F956A6"/>
    <w:rsid w:val="00F958FA"/>
    <w:rsid w:val="00F95AC3"/>
    <w:rsid w:val="00F962E4"/>
    <w:rsid w:val="00F9692A"/>
    <w:rsid w:val="00F96D43"/>
    <w:rsid w:val="00F972D0"/>
    <w:rsid w:val="00F97454"/>
    <w:rsid w:val="00F97781"/>
    <w:rsid w:val="00FA020F"/>
    <w:rsid w:val="00FA02C2"/>
    <w:rsid w:val="00FA0C66"/>
    <w:rsid w:val="00FA10F3"/>
    <w:rsid w:val="00FA2E7E"/>
    <w:rsid w:val="00FA2F88"/>
    <w:rsid w:val="00FA3140"/>
    <w:rsid w:val="00FA3A46"/>
    <w:rsid w:val="00FA4A56"/>
    <w:rsid w:val="00FA52F4"/>
    <w:rsid w:val="00FA5885"/>
    <w:rsid w:val="00FA5F53"/>
    <w:rsid w:val="00FA6AD9"/>
    <w:rsid w:val="00FA73BB"/>
    <w:rsid w:val="00FA7554"/>
    <w:rsid w:val="00FA7631"/>
    <w:rsid w:val="00FA776E"/>
    <w:rsid w:val="00FA7CA5"/>
    <w:rsid w:val="00FB0078"/>
    <w:rsid w:val="00FB00D5"/>
    <w:rsid w:val="00FB0837"/>
    <w:rsid w:val="00FB0A23"/>
    <w:rsid w:val="00FB1072"/>
    <w:rsid w:val="00FB15D4"/>
    <w:rsid w:val="00FB16AB"/>
    <w:rsid w:val="00FB18C1"/>
    <w:rsid w:val="00FB1F6A"/>
    <w:rsid w:val="00FB2402"/>
    <w:rsid w:val="00FB292E"/>
    <w:rsid w:val="00FB2B51"/>
    <w:rsid w:val="00FB3670"/>
    <w:rsid w:val="00FB3D0E"/>
    <w:rsid w:val="00FB5024"/>
    <w:rsid w:val="00FB57EF"/>
    <w:rsid w:val="00FB5E38"/>
    <w:rsid w:val="00FB6154"/>
    <w:rsid w:val="00FB62C6"/>
    <w:rsid w:val="00FB7481"/>
    <w:rsid w:val="00FB7AB7"/>
    <w:rsid w:val="00FC0560"/>
    <w:rsid w:val="00FC06E6"/>
    <w:rsid w:val="00FC07B9"/>
    <w:rsid w:val="00FC1145"/>
    <w:rsid w:val="00FC2166"/>
    <w:rsid w:val="00FC2264"/>
    <w:rsid w:val="00FC4811"/>
    <w:rsid w:val="00FC49F4"/>
    <w:rsid w:val="00FC4B50"/>
    <w:rsid w:val="00FC5203"/>
    <w:rsid w:val="00FC691B"/>
    <w:rsid w:val="00FC72BA"/>
    <w:rsid w:val="00FC7B04"/>
    <w:rsid w:val="00FC7EE2"/>
    <w:rsid w:val="00FD0ACA"/>
    <w:rsid w:val="00FD0C7A"/>
    <w:rsid w:val="00FD120C"/>
    <w:rsid w:val="00FD1659"/>
    <w:rsid w:val="00FD1932"/>
    <w:rsid w:val="00FD1CC2"/>
    <w:rsid w:val="00FD1CCC"/>
    <w:rsid w:val="00FD1D3A"/>
    <w:rsid w:val="00FD1E7E"/>
    <w:rsid w:val="00FD1F8B"/>
    <w:rsid w:val="00FD238D"/>
    <w:rsid w:val="00FD2B26"/>
    <w:rsid w:val="00FD2F6D"/>
    <w:rsid w:val="00FD30B3"/>
    <w:rsid w:val="00FD4093"/>
    <w:rsid w:val="00FD4760"/>
    <w:rsid w:val="00FD4AE6"/>
    <w:rsid w:val="00FD5687"/>
    <w:rsid w:val="00FD5F68"/>
    <w:rsid w:val="00FD625F"/>
    <w:rsid w:val="00FD630C"/>
    <w:rsid w:val="00FD672C"/>
    <w:rsid w:val="00FD7B47"/>
    <w:rsid w:val="00FD7EB3"/>
    <w:rsid w:val="00FE00EE"/>
    <w:rsid w:val="00FE0A9D"/>
    <w:rsid w:val="00FE1037"/>
    <w:rsid w:val="00FE1FB9"/>
    <w:rsid w:val="00FE2440"/>
    <w:rsid w:val="00FE27F9"/>
    <w:rsid w:val="00FE314D"/>
    <w:rsid w:val="00FE3353"/>
    <w:rsid w:val="00FE390C"/>
    <w:rsid w:val="00FE3EBF"/>
    <w:rsid w:val="00FE3EEF"/>
    <w:rsid w:val="00FE4485"/>
    <w:rsid w:val="00FE452B"/>
    <w:rsid w:val="00FE547A"/>
    <w:rsid w:val="00FE58BF"/>
    <w:rsid w:val="00FE5AE9"/>
    <w:rsid w:val="00FE5D50"/>
    <w:rsid w:val="00FE606A"/>
    <w:rsid w:val="00FE60D6"/>
    <w:rsid w:val="00FF018E"/>
    <w:rsid w:val="00FF034A"/>
    <w:rsid w:val="00FF0C95"/>
    <w:rsid w:val="00FF146D"/>
    <w:rsid w:val="00FF1547"/>
    <w:rsid w:val="00FF17B0"/>
    <w:rsid w:val="00FF2349"/>
    <w:rsid w:val="00FF2731"/>
    <w:rsid w:val="00FF2904"/>
    <w:rsid w:val="00FF3CD5"/>
    <w:rsid w:val="00FF4751"/>
    <w:rsid w:val="00FF4CA2"/>
    <w:rsid w:val="00FF509A"/>
    <w:rsid w:val="00FF5463"/>
    <w:rsid w:val="00FF547C"/>
    <w:rsid w:val="00FF5C76"/>
    <w:rsid w:val="00FF5D0F"/>
    <w:rsid w:val="00FF5FC9"/>
    <w:rsid w:val="00FF5FDE"/>
    <w:rsid w:val="00FF6B15"/>
    <w:rsid w:val="00FF6B78"/>
    <w:rsid w:val="00FF755A"/>
    <w:rsid w:val="00FF788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A4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Simple 2" w:uiPriority="0"/>
    <w:lsdException w:name="Table Classic 2" w:uiPriority="0"/>
    <w:lsdException w:name="Table Columns 3" w:uiPriority="0"/>
    <w:lsdException w:name="Table List 3" w:uiPriority="0"/>
    <w:lsdException w:name="Table List 5" w:uiPriority="0"/>
    <w:lsdException w:name="Table 3D effects 1" w:uiPriority="0"/>
    <w:lsdException w:name="Table Professional" w:uiPriority="0"/>
    <w:lsdException w:name="Table Subtle 2"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178A"/>
    <w:pPr>
      <w:spacing w:before="240"/>
      <w:outlineLvl w:val="0"/>
    </w:pPr>
    <w:rPr>
      <w:rFonts w:ascii="Univers (WN)" w:hAnsi="Univers (WN)"/>
      <w:b/>
      <w:szCs w:val="20"/>
      <w:u w:val="single"/>
    </w:rPr>
  </w:style>
  <w:style w:type="paragraph" w:styleId="Heading2">
    <w:name w:val="heading 2"/>
    <w:aliases w:val="h2"/>
    <w:basedOn w:val="Normal"/>
    <w:next w:val="Normal"/>
    <w:link w:val="Heading2Char"/>
    <w:qFormat/>
    <w:rsid w:val="00AB1F1C"/>
    <w:pPr>
      <w:spacing w:before="120"/>
      <w:outlineLvl w:val="1"/>
    </w:pPr>
    <w:rPr>
      <w:rFonts w:ascii="Univers (WN)" w:hAnsi="Univers (WN)"/>
      <w:b/>
      <w:szCs w:val="20"/>
    </w:rPr>
  </w:style>
  <w:style w:type="paragraph" w:styleId="Heading3">
    <w:name w:val="heading 3"/>
    <w:basedOn w:val="Normal"/>
    <w:next w:val="NormalIndent"/>
    <w:link w:val="Heading3Char"/>
    <w:qFormat/>
    <w:rsid w:val="0026178A"/>
    <w:pPr>
      <w:ind w:left="360"/>
      <w:outlineLvl w:val="2"/>
    </w:pPr>
    <w:rPr>
      <w:rFonts w:ascii="CG Times (WN)" w:hAnsi="CG Times (WN)"/>
      <w:b/>
      <w:szCs w:val="20"/>
    </w:rPr>
  </w:style>
  <w:style w:type="paragraph" w:styleId="Heading4">
    <w:name w:val="heading 4"/>
    <w:basedOn w:val="Normal"/>
    <w:next w:val="Normal"/>
    <w:link w:val="Heading4Char"/>
    <w:qFormat/>
    <w:rsid w:val="0026178A"/>
    <w:pPr>
      <w:keepNext/>
      <w:jc w:val="both"/>
      <w:outlineLvl w:val="3"/>
    </w:pPr>
    <w:rPr>
      <w:b/>
      <w:bCs/>
    </w:rPr>
  </w:style>
  <w:style w:type="paragraph" w:styleId="Heading5">
    <w:name w:val="heading 5"/>
    <w:basedOn w:val="Normal"/>
    <w:next w:val="NormalIndent"/>
    <w:link w:val="Heading5Char"/>
    <w:qFormat/>
    <w:rsid w:val="0026178A"/>
    <w:pPr>
      <w:ind w:left="720"/>
      <w:outlineLvl w:val="4"/>
    </w:pPr>
    <w:rPr>
      <w:rFonts w:ascii="CG Times (WN)" w:hAnsi="CG Times (WN)"/>
      <w:b/>
      <w:sz w:val="20"/>
      <w:szCs w:val="20"/>
    </w:rPr>
  </w:style>
  <w:style w:type="paragraph" w:styleId="Heading6">
    <w:name w:val="heading 6"/>
    <w:basedOn w:val="Normal"/>
    <w:next w:val="NormalIndent"/>
    <w:link w:val="Heading6Char"/>
    <w:qFormat/>
    <w:rsid w:val="0026178A"/>
    <w:pPr>
      <w:ind w:left="720"/>
      <w:outlineLvl w:val="5"/>
    </w:pPr>
    <w:rPr>
      <w:rFonts w:ascii="CG Times (WN)" w:hAnsi="CG Times (WN)"/>
      <w:sz w:val="20"/>
      <w:szCs w:val="20"/>
      <w:u w:val="single"/>
    </w:rPr>
  </w:style>
  <w:style w:type="paragraph" w:styleId="Heading7">
    <w:name w:val="heading 7"/>
    <w:basedOn w:val="Normal"/>
    <w:next w:val="NormalIndent"/>
    <w:link w:val="Heading7Char"/>
    <w:qFormat/>
    <w:rsid w:val="0026178A"/>
    <w:pPr>
      <w:ind w:left="720"/>
      <w:outlineLvl w:val="6"/>
    </w:pPr>
    <w:rPr>
      <w:rFonts w:ascii="CG Times (WN)" w:hAnsi="CG Times (WN)"/>
      <w:i/>
      <w:sz w:val="20"/>
      <w:szCs w:val="20"/>
    </w:rPr>
  </w:style>
  <w:style w:type="paragraph" w:styleId="Heading8">
    <w:name w:val="heading 8"/>
    <w:basedOn w:val="Normal"/>
    <w:next w:val="Normal"/>
    <w:link w:val="Heading8Char"/>
    <w:qFormat/>
    <w:rsid w:val="0026178A"/>
    <w:pPr>
      <w:spacing w:before="240" w:after="60"/>
      <w:outlineLvl w:val="7"/>
    </w:pPr>
    <w:rPr>
      <w:i/>
      <w:iCs/>
    </w:rPr>
  </w:style>
  <w:style w:type="paragraph" w:styleId="Heading9">
    <w:name w:val="heading 9"/>
    <w:basedOn w:val="Normal"/>
    <w:next w:val="Normal"/>
    <w:link w:val="Heading9Char"/>
    <w:qFormat/>
    <w:rsid w:val="0026178A"/>
    <w:pPr>
      <w:keepNext/>
      <w:outlineLvl w:val="8"/>
    </w:pPr>
    <w:rPr>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78A"/>
    <w:rPr>
      <w:rFonts w:ascii="Univers (WN)" w:eastAsia="Times New Roman" w:hAnsi="Univers (WN)" w:cs="Times New Roman"/>
      <w:b/>
      <w:sz w:val="24"/>
      <w:szCs w:val="20"/>
      <w:u w:val="single"/>
    </w:rPr>
  </w:style>
  <w:style w:type="character" w:customStyle="1" w:styleId="Heading2Char">
    <w:name w:val="Heading 2 Char"/>
    <w:aliases w:val="h2 Char"/>
    <w:basedOn w:val="DefaultParagraphFont"/>
    <w:link w:val="Heading2"/>
    <w:rsid w:val="00AB1F1C"/>
    <w:rPr>
      <w:rFonts w:ascii="Univers (WN)" w:eastAsia="Times New Roman" w:hAnsi="Univers (WN)" w:cs="Times New Roman"/>
      <w:b/>
      <w:sz w:val="24"/>
      <w:szCs w:val="20"/>
    </w:rPr>
  </w:style>
  <w:style w:type="paragraph" w:styleId="NormalIndent">
    <w:name w:val="Normal Indent"/>
    <w:basedOn w:val="Normal"/>
    <w:uiPriority w:val="99"/>
    <w:rsid w:val="0026178A"/>
    <w:pPr>
      <w:ind w:left="720"/>
    </w:pPr>
    <w:rPr>
      <w:sz w:val="20"/>
      <w:szCs w:val="20"/>
    </w:rPr>
  </w:style>
  <w:style w:type="character" w:customStyle="1" w:styleId="Heading3Char">
    <w:name w:val="Heading 3 Char"/>
    <w:basedOn w:val="DefaultParagraphFont"/>
    <w:link w:val="Heading3"/>
    <w:rsid w:val="0026178A"/>
    <w:rPr>
      <w:rFonts w:ascii="CG Times (WN)" w:eastAsia="Times New Roman" w:hAnsi="CG Times (WN)" w:cs="Times New Roman"/>
      <w:b/>
      <w:sz w:val="24"/>
      <w:szCs w:val="20"/>
    </w:rPr>
  </w:style>
  <w:style w:type="character" w:customStyle="1" w:styleId="Heading4Char">
    <w:name w:val="Heading 4 Char"/>
    <w:basedOn w:val="DefaultParagraphFont"/>
    <w:link w:val="Heading4"/>
    <w:rsid w:val="0026178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6178A"/>
    <w:rPr>
      <w:rFonts w:ascii="CG Times (WN)" w:eastAsia="Times New Roman" w:hAnsi="CG Times (WN)" w:cs="Times New Roman"/>
      <w:b/>
      <w:sz w:val="20"/>
      <w:szCs w:val="20"/>
    </w:rPr>
  </w:style>
  <w:style w:type="character" w:customStyle="1" w:styleId="Heading6Char">
    <w:name w:val="Heading 6 Char"/>
    <w:basedOn w:val="DefaultParagraphFont"/>
    <w:link w:val="Heading6"/>
    <w:rsid w:val="0026178A"/>
    <w:rPr>
      <w:rFonts w:ascii="CG Times (WN)" w:eastAsia="Times New Roman" w:hAnsi="CG Times (WN)" w:cs="Times New Roman"/>
      <w:sz w:val="20"/>
      <w:szCs w:val="20"/>
      <w:u w:val="single"/>
    </w:rPr>
  </w:style>
  <w:style w:type="character" w:customStyle="1" w:styleId="Heading7Char">
    <w:name w:val="Heading 7 Char"/>
    <w:basedOn w:val="DefaultParagraphFont"/>
    <w:link w:val="Heading7"/>
    <w:rsid w:val="0026178A"/>
    <w:rPr>
      <w:rFonts w:ascii="CG Times (WN)" w:eastAsia="Times New Roman" w:hAnsi="CG Times (WN)" w:cs="Times New Roman"/>
      <w:i/>
      <w:sz w:val="20"/>
      <w:szCs w:val="20"/>
    </w:rPr>
  </w:style>
  <w:style w:type="character" w:customStyle="1" w:styleId="Heading8Char">
    <w:name w:val="Heading 8 Char"/>
    <w:basedOn w:val="DefaultParagraphFont"/>
    <w:link w:val="Heading8"/>
    <w:rsid w:val="002617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26178A"/>
    <w:rPr>
      <w:rFonts w:ascii="Times New Roman" w:eastAsia="Times New Roman" w:hAnsi="Times New Roman" w:cs="Times New Roman"/>
      <w:b/>
      <w:bCs/>
      <w:sz w:val="18"/>
      <w:szCs w:val="16"/>
    </w:rPr>
  </w:style>
  <w:style w:type="paragraph" w:styleId="BodyText">
    <w:name w:val="Body Text"/>
    <w:basedOn w:val="Normal"/>
    <w:link w:val="BodyTextChar"/>
    <w:rsid w:val="00AA06F0"/>
    <w:pPr>
      <w:tabs>
        <w:tab w:val="left" w:pos="0"/>
        <w:tab w:val="left" w:pos="567"/>
        <w:tab w:val="left" w:pos="720"/>
      </w:tabs>
      <w:jc w:val="both"/>
    </w:pPr>
    <w:rPr>
      <w:color w:val="800000"/>
      <w:szCs w:val="20"/>
    </w:rPr>
  </w:style>
  <w:style w:type="character" w:customStyle="1" w:styleId="BodyTextChar">
    <w:name w:val="Body Text Char"/>
    <w:basedOn w:val="DefaultParagraphFont"/>
    <w:link w:val="BodyText"/>
    <w:rsid w:val="00AA06F0"/>
    <w:rPr>
      <w:rFonts w:ascii="Times New Roman" w:eastAsia="Times New Roman" w:hAnsi="Times New Roman" w:cs="Times New Roman"/>
      <w:color w:val="800000"/>
      <w:sz w:val="24"/>
      <w:szCs w:val="20"/>
    </w:rPr>
  </w:style>
  <w:style w:type="paragraph" w:styleId="BodyTextIndent">
    <w:name w:val="Body Text Indent"/>
    <w:basedOn w:val="Normal"/>
    <w:link w:val="BodyTextIndentChar"/>
    <w:unhideWhenUsed/>
    <w:rsid w:val="00AA06F0"/>
    <w:pPr>
      <w:spacing w:after="120"/>
      <w:ind w:left="360"/>
    </w:pPr>
  </w:style>
  <w:style w:type="character" w:customStyle="1" w:styleId="BodyTextIndentChar">
    <w:name w:val="Body Text Indent Char"/>
    <w:basedOn w:val="DefaultParagraphFont"/>
    <w:link w:val="BodyTextIndent"/>
    <w:rsid w:val="00AA06F0"/>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AA06F0"/>
    <w:pPr>
      <w:spacing w:after="120"/>
      <w:ind w:left="360"/>
    </w:pPr>
    <w:rPr>
      <w:sz w:val="16"/>
      <w:szCs w:val="16"/>
    </w:rPr>
  </w:style>
  <w:style w:type="character" w:customStyle="1" w:styleId="BodyTextIndent3Char">
    <w:name w:val="Body Text Indent 3 Char"/>
    <w:basedOn w:val="DefaultParagraphFont"/>
    <w:link w:val="BodyTextIndent3"/>
    <w:rsid w:val="00AA06F0"/>
    <w:rPr>
      <w:rFonts w:ascii="Times New Roman" w:eastAsia="Times New Roman" w:hAnsi="Times New Roman" w:cs="Times New Roman"/>
      <w:sz w:val="16"/>
      <w:szCs w:val="16"/>
    </w:rPr>
  </w:style>
  <w:style w:type="character" w:styleId="Hyperlink">
    <w:name w:val="Hyperlink"/>
    <w:basedOn w:val="DefaultParagraphFont"/>
    <w:unhideWhenUsed/>
    <w:rsid w:val="00AA06F0"/>
    <w:rPr>
      <w:color w:val="0000FF" w:themeColor="hyperlink"/>
      <w:u w:val="single"/>
    </w:rPr>
  </w:style>
  <w:style w:type="paragraph" w:styleId="BodyText2">
    <w:name w:val="Body Text 2"/>
    <w:basedOn w:val="Normal"/>
    <w:link w:val="BodyText2Char"/>
    <w:unhideWhenUsed/>
    <w:rsid w:val="00CB7C06"/>
    <w:pPr>
      <w:spacing w:after="120" w:line="480" w:lineRule="auto"/>
    </w:pPr>
  </w:style>
  <w:style w:type="character" w:customStyle="1" w:styleId="BodyText2Char">
    <w:name w:val="Body Text 2 Char"/>
    <w:basedOn w:val="DefaultParagraphFont"/>
    <w:link w:val="BodyText2"/>
    <w:rsid w:val="00CB7C06"/>
    <w:rPr>
      <w:rFonts w:ascii="Times New Roman" w:eastAsia="Times New Roman" w:hAnsi="Times New Roman" w:cs="Times New Roman"/>
      <w:sz w:val="24"/>
      <w:szCs w:val="24"/>
    </w:rPr>
  </w:style>
  <w:style w:type="paragraph" w:customStyle="1" w:styleId="Char3CharCharChar">
    <w:name w:val="Char3 Char Char Char"/>
    <w:basedOn w:val="Normal"/>
    <w:rsid w:val="0017354D"/>
    <w:rPr>
      <w:sz w:val="20"/>
      <w:szCs w:val="20"/>
    </w:rPr>
  </w:style>
  <w:style w:type="character" w:customStyle="1" w:styleId="hps">
    <w:name w:val="hps"/>
    <w:basedOn w:val="DefaultParagraphFont"/>
    <w:rsid w:val="000013DB"/>
  </w:style>
  <w:style w:type="paragraph" w:customStyle="1" w:styleId="xl79">
    <w:name w:val="xl79"/>
    <w:basedOn w:val="Normal"/>
    <w:rsid w:val="005A22DE"/>
    <w:pPr>
      <w:pBdr>
        <w:left w:val="single" w:sz="4" w:space="0" w:color="auto"/>
        <w:bottom w:val="single" w:sz="4" w:space="0" w:color="auto"/>
        <w:right w:val="single" w:sz="4" w:space="0" w:color="auto"/>
      </w:pBdr>
      <w:spacing w:before="100" w:beforeAutospacing="1" w:after="100" w:afterAutospacing="1"/>
    </w:pPr>
    <w:rPr>
      <w:rFonts w:eastAsia="Arial Unicode MS"/>
      <w:sz w:val="18"/>
      <w:szCs w:val="18"/>
      <w:lang w:val="tr-TR"/>
    </w:rPr>
  </w:style>
  <w:style w:type="paragraph" w:styleId="ListParagraph">
    <w:name w:val="List Paragraph"/>
    <w:basedOn w:val="Normal"/>
    <w:uiPriority w:val="34"/>
    <w:qFormat/>
    <w:rsid w:val="00891043"/>
    <w:pPr>
      <w:ind w:left="720"/>
      <w:contextualSpacing/>
    </w:pPr>
  </w:style>
  <w:style w:type="paragraph" w:customStyle="1" w:styleId="xl41">
    <w:name w:val="xl41"/>
    <w:basedOn w:val="Normal"/>
    <w:rsid w:val="00AB1F1C"/>
    <w:pPr>
      <w:pBdr>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108">
    <w:name w:val="xl108"/>
    <w:basedOn w:val="Normal"/>
    <w:rsid w:val="00AB1F1C"/>
    <w:pPr>
      <w:pBdr>
        <w:right w:val="dotted" w:sz="4" w:space="0" w:color="auto"/>
      </w:pBdr>
      <w:spacing w:before="100" w:beforeAutospacing="1" w:after="100" w:afterAutospacing="1"/>
      <w:jc w:val="right"/>
    </w:pPr>
    <w:rPr>
      <w:rFonts w:ascii="Tahoma" w:eastAsia="Arial Unicode MS" w:hAnsi="Tahoma" w:cs="Tahoma"/>
      <w:b/>
      <w:bCs/>
      <w:sz w:val="16"/>
      <w:szCs w:val="16"/>
      <w:lang w:val="tr-TR"/>
    </w:rPr>
  </w:style>
  <w:style w:type="paragraph" w:styleId="Header">
    <w:name w:val="header"/>
    <w:basedOn w:val="Normal"/>
    <w:link w:val="HeaderChar"/>
    <w:uiPriority w:val="99"/>
    <w:unhideWhenUsed/>
    <w:rsid w:val="00FF4CA2"/>
    <w:pPr>
      <w:tabs>
        <w:tab w:val="center" w:pos="4703"/>
        <w:tab w:val="right" w:pos="9406"/>
      </w:tabs>
    </w:pPr>
  </w:style>
  <w:style w:type="character" w:customStyle="1" w:styleId="HeaderChar">
    <w:name w:val="Header Char"/>
    <w:basedOn w:val="DefaultParagraphFont"/>
    <w:link w:val="Header"/>
    <w:uiPriority w:val="99"/>
    <w:rsid w:val="00FF4C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4CA2"/>
    <w:pPr>
      <w:tabs>
        <w:tab w:val="center" w:pos="4703"/>
        <w:tab w:val="right" w:pos="9406"/>
      </w:tabs>
    </w:pPr>
  </w:style>
  <w:style w:type="character" w:customStyle="1" w:styleId="FooterChar">
    <w:name w:val="Footer Char"/>
    <w:basedOn w:val="DefaultParagraphFont"/>
    <w:link w:val="Footer"/>
    <w:uiPriority w:val="99"/>
    <w:rsid w:val="00FF4CA2"/>
    <w:rPr>
      <w:rFonts w:ascii="Times New Roman" w:eastAsia="Times New Roman" w:hAnsi="Times New Roman" w:cs="Times New Roman"/>
      <w:sz w:val="24"/>
      <w:szCs w:val="24"/>
    </w:rPr>
  </w:style>
  <w:style w:type="paragraph" w:customStyle="1" w:styleId="1tipi">
    <w:name w:val="(1) tipi"/>
    <w:basedOn w:val="Normal"/>
    <w:rsid w:val="0026178A"/>
    <w:pPr>
      <w:tabs>
        <w:tab w:val="left" w:pos="1134"/>
      </w:tabs>
      <w:jc w:val="both"/>
    </w:pPr>
    <w:rPr>
      <w:rFonts w:ascii="Arial" w:hAnsi="Arial"/>
      <w:snapToGrid w:val="0"/>
      <w:szCs w:val="20"/>
      <w:lang w:eastAsia="tr-TR"/>
    </w:rPr>
  </w:style>
  <w:style w:type="paragraph" w:styleId="BodyText3">
    <w:name w:val="Body Text 3"/>
    <w:basedOn w:val="Normal"/>
    <w:link w:val="BodyText3Char"/>
    <w:rsid w:val="0026178A"/>
    <w:pPr>
      <w:tabs>
        <w:tab w:val="center" w:pos="539"/>
        <w:tab w:val="center" w:pos="5310"/>
        <w:tab w:val="center" w:pos="7560"/>
      </w:tabs>
    </w:pPr>
    <w:rPr>
      <w:bCs/>
      <w:i/>
      <w:iCs/>
      <w:sz w:val="22"/>
      <w:szCs w:val="20"/>
    </w:rPr>
  </w:style>
  <w:style w:type="character" w:customStyle="1" w:styleId="BodyText3Char">
    <w:name w:val="Body Text 3 Char"/>
    <w:basedOn w:val="DefaultParagraphFont"/>
    <w:link w:val="BodyText3"/>
    <w:rsid w:val="0026178A"/>
    <w:rPr>
      <w:rFonts w:ascii="Times New Roman" w:eastAsia="Times New Roman" w:hAnsi="Times New Roman" w:cs="Times New Roman"/>
      <w:bCs/>
      <w:i/>
      <w:iCs/>
      <w:szCs w:val="20"/>
    </w:rPr>
  </w:style>
  <w:style w:type="paragraph" w:styleId="NormalWeb">
    <w:name w:val="Normal (Web)"/>
    <w:basedOn w:val="Normal"/>
    <w:rsid w:val="0026178A"/>
    <w:pPr>
      <w:spacing w:before="100" w:beforeAutospacing="1" w:after="100" w:afterAutospacing="1"/>
    </w:pPr>
    <w:rPr>
      <w:rFonts w:ascii="Arial Unicode MS" w:eastAsia="Arial Unicode MS" w:hAnsi="Arial Unicode MS" w:cs="Arial Unicode MS"/>
    </w:rPr>
  </w:style>
  <w:style w:type="character" w:customStyle="1" w:styleId="EndnoteTextChar">
    <w:name w:val="Endnote Text Char"/>
    <w:basedOn w:val="DefaultParagraphFont"/>
    <w:link w:val="EndnoteText"/>
    <w:semiHidden/>
    <w:rsid w:val="0026178A"/>
    <w:rPr>
      <w:rFonts w:ascii="Times New Roman" w:eastAsia="Times New Roman" w:hAnsi="Times New Roman" w:cs="Times New Roman"/>
      <w:sz w:val="20"/>
      <w:szCs w:val="20"/>
    </w:rPr>
  </w:style>
  <w:style w:type="paragraph" w:styleId="EndnoteText">
    <w:name w:val="endnote text"/>
    <w:basedOn w:val="Normal"/>
    <w:link w:val="EndnoteTextChar"/>
    <w:semiHidden/>
    <w:rsid w:val="0026178A"/>
    <w:rPr>
      <w:sz w:val="20"/>
      <w:szCs w:val="20"/>
    </w:rPr>
  </w:style>
  <w:style w:type="paragraph" w:styleId="BodyTextIndent2">
    <w:name w:val="Body Text Indent 2"/>
    <w:basedOn w:val="Normal"/>
    <w:link w:val="BodyTextIndent2Char"/>
    <w:rsid w:val="0026178A"/>
    <w:pPr>
      <w:ind w:left="426" w:firstLine="708"/>
      <w:jc w:val="both"/>
    </w:pPr>
    <w:rPr>
      <w:szCs w:val="20"/>
    </w:rPr>
  </w:style>
  <w:style w:type="character" w:customStyle="1" w:styleId="BodyTextIndent2Char">
    <w:name w:val="Body Text Indent 2 Char"/>
    <w:basedOn w:val="DefaultParagraphFont"/>
    <w:link w:val="BodyTextIndent2"/>
    <w:rsid w:val="0026178A"/>
    <w:rPr>
      <w:rFonts w:ascii="Times New Roman" w:eastAsia="Times New Roman" w:hAnsi="Times New Roman" w:cs="Times New Roman"/>
      <w:sz w:val="24"/>
      <w:szCs w:val="20"/>
    </w:rPr>
  </w:style>
  <w:style w:type="character" w:styleId="PageNumber">
    <w:name w:val="page number"/>
    <w:basedOn w:val="DefaultParagraphFont"/>
    <w:rsid w:val="0026178A"/>
  </w:style>
  <w:style w:type="character" w:customStyle="1" w:styleId="FootnoteTextChar">
    <w:name w:val="Footnote Text Char"/>
    <w:basedOn w:val="DefaultParagraphFont"/>
    <w:link w:val="FootnoteText"/>
    <w:semiHidden/>
    <w:rsid w:val="0026178A"/>
    <w:rPr>
      <w:rFonts w:ascii="Courier New" w:eastAsia="Times New Roman" w:hAnsi="Courier New" w:cs="Times New Roman"/>
      <w:sz w:val="24"/>
      <w:szCs w:val="20"/>
      <w:lang w:val="en-AU"/>
    </w:rPr>
  </w:style>
  <w:style w:type="paragraph" w:styleId="FootnoteText">
    <w:name w:val="footnote text"/>
    <w:basedOn w:val="Normal"/>
    <w:link w:val="FootnoteTextChar"/>
    <w:semiHidden/>
    <w:rsid w:val="0026178A"/>
    <w:rPr>
      <w:rFonts w:ascii="Courier New" w:hAnsi="Courier New"/>
      <w:szCs w:val="20"/>
      <w:lang w:val="en-AU"/>
    </w:rPr>
  </w:style>
  <w:style w:type="paragraph" w:styleId="BlockText">
    <w:name w:val="Block Text"/>
    <w:basedOn w:val="Normal"/>
    <w:rsid w:val="0026178A"/>
    <w:pPr>
      <w:ind w:left="1440" w:right="360"/>
      <w:jc w:val="both"/>
    </w:pPr>
    <w:rPr>
      <w:sz w:val="22"/>
      <w:szCs w:val="16"/>
    </w:rPr>
  </w:style>
  <w:style w:type="paragraph" w:customStyle="1" w:styleId="Normal9pt">
    <w:name w:val="Normal + 9 pt"/>
    <w:aliases w:val="Justified"/>
    <w:basedOn w:val="Normal"/>
    <w:rsid w:val="0026178A"/>
    <w:pPr>
      <w:tabs>
        <w:tab w:val="decimal" w:pos="913"/>
      </w:tabs>
      <w:jc w:val="both"/>
    </w:pPr>
    <w:rPr>
      <w:sz w:val="14"/>
      <w:szCs w:val="14"/>
    </w:rPr>
  </w:style>
  <w:style w:type="paragraph" w:customStyle="1" w:styleId="xl59">
    <w:name w:val="xl59"/>
    <w:basedOn w:val="Normal"/>
    <w:rsid w:val="0026178A"/>
    <w:pPr>
      <w:pBdr>
        <w:right w:val="single" w:sz="4" w:space="0" w:color="auto"/>
      </w:pBdr>
      <w:spacing w:before="100" w:beforeAutospacing="1" w:after="100" w:afterAutospacing="1"/>
      <w:jc w:val="both"/>
    </w:pPr>
    <w:rPr>
      <w:rFonts w:eastAsia="Arial Unicode MS"/>
      <w:sz w:val="16"/>
      <w:szCs w:val="16"/>
    </w:rPr>
  </w:style>
  <w:style w:type="paragraph" w:customStyle="1" w:styleId="xl106">
    <w:name w:val="xl106"/>
    <w:basedOn w:val="Normal"/>
    <w:rsid w:val="0026178A"/>
    <w:pPr>
      <w:pBdr>
        <w:right w:val="dotted" w:sz="4" w:space="0" w:color="auto"/>
      </w:pBdr>
      <w:spacing w:before="100" w:beforeAutospacing="1" w:after="100" w:afterAutospacing="1"/>
      <w:jc w:val="right"/>
    </w:pPr>
    <w:rPr>
      <w:rFonts w:ascii="Tahoma" w:eastAsia="Arial Unicode MS" w:hAnsi="Tahoma" w:cs="Tahoma"/>
      <w:sz w:val="16"/>
      <w:szCs w:val="16"/>
    </w:rPr>
  </w:style>
  <w:style w:type="paragraph" w:customStyle="1" w:styleId="Address">
    <w:name w:val="Address"/>
    <w:basedOn w:val="Normal"/>
    <w:rsid w:val="0026178A"/>
    <w:pPr>
      <w:framePr w:w="3005" w:h="567" w:hSpace="181" w:vSpace="181" w:wrap="around" w:hAnchor="page" w:xAlign="right" w:yAlign="top" w:anchorLock="1"/>
      <w:pBdr>
        <w:left w:val="single" w:sz="4" w:space="9" w:color="auto"/>
      </w:pBdr>
      <w:spacing w:line="200" w:lineRule="exact"/>
      <w:ind w:right="284"/>
    </w:pPr>
    <w:rPr>
      <w:sz w:val="16"/>
      <w:szCs w:val="20"/>
      <w:lang w:val="en-GB"/>
    </w:rPr>
  </w:style>
  <w:style w:type="character" w:customStyle="1" w:styleId="BalloonTextChar">
    <w:name w:val="Balloon Text Char"/>
    <w:basedOn w:val="DefaultParagraphFont"/>
    <w:link w:val="BalloonText"/>
    <w:semiHidden/>
    <w:rsid w:val="0026178A"/>
    <w:rPr>
      <w:rFonts w:ascii="Tahoma" w:eastAsia="Times New Roman" w:hAnsi="Tahoma" w:cs="Tahoma"/>
      <w:sz w:val="16"/>
      <w:szCs w:val="16"/>
    </w:rPr>
  </w:style>
  <w:style w:type="paragraph" w:styleId="BalloonText">
    <w:name w:val="Balloon Text"/>
    <w:basedOn w:val="Normal"/>
    <w:link w:val="BalloonTextChar"/>
    <w:semiHidden/>
    <w:rsid w:val="0026178A"/>
    <w:rPr>
      <w:rFonts w:ascii="Tahoma" w:hAnsi="Tahoma" w:cs="Tahoma"/>
      <w:sz w:val="16"/>
      <w:szCs w:val="16"/>
    </w:rPr>
  </w:style>
  <w:style w:type="character" w:customStyle="1" w:styleId="CommentTextChar">
    <w:name w:val="Comment Text Char"/>
    <w:basedOn w:val="DefaultParagraphFont"/>
    <w:link w:val="CommentText"/>
    <w:uiPriority w:val="99"/>
    <w:rsid w:val="0026178A"/>
    <w:rPr>
      <w:rFonts w:ascii="Times New Roman" w:eastAsia="Times New Roman" w:hAnsi="Times New Roman" w:cs="Times New Roman"/>
      <w:sz w:val="20"/>
      <w:szCs w:val="20"/>
    </w:rPr>
  </w:style>
  <w:style w:type="paragraph" w:styleId="CommentText">
    <w:name w:val="annotation text"/>
    <w:basedOn w:val="Normal"/>
    <w:link w:val="CommentTextChar"/>
    <w:semiHidden/>
    <w:rsid w:val="0026178A"/>
    <w:rPr>
      <w:sz w:val="20"/>
      <w:szCs w:val="20"/>
    </w:rPr>
  </w:style>
  <w:style w:type="character" w:customStyle="1" w:styleId="CommentSubjectChar">
    <w:name w:val="Comment Subject Char"/>
    <w:basedOn w:val="CommentTextChar"/>
    <w:link w:val="CommentSubject"/>
    <w:semiHidden/>
    <w:rsid w:val="0026178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26178A"/>
    <w:rPr>
      <w:b/>
      <w:bCs/>
    </w:rPr>
  </w:style>
  <w:style w:type="paragraph" w:customStyle="1" w:styleId="BodySingle">
    <w:name w:val="Body Single"/>
    <w:basedOn w:val="BodyText"/>
    <w:rsid w:val="0026178A"/>
    <w:pPr>
      <w:tabs>
        <w:tab w:val="clear" w:pos="0"/>
        <w:tab w:val="clear" w:pos="567"/>
        <w:tab w:val="clear" w:pos="720"/>
      </w:tabs>
      <w:jc w:val="left"/>
    </w:pPr>
    <w:rPr>
      <w:color w:val="auto"/>
      <w:szCs w:val="24"/>
    </w:rPr>
  </w:style>
  <w:style w:type="character" w:styleId="FollowedHyperlink">
    <w:name w:val="FollowedHyperlink"/>
    <w:basedOn w:val="DefaultParagraphFont"/>
    <w:rsid w:val="0026178A"/>
    <w:rPr>
      <w:color w:val="800080"/>
      <w:u w:val="single"/>
    </w:rPr>
  </w:style>
  <w:style w:type="paragraph" w:customStyle="1" w:styleId="xl38">
    <w:name w:val="xl3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39">
    <w:name w:val="xl39"/>
    <w:basedOn w:val="Normal"/>
    <w:rsid w:val="0026178A"/>
    <w:pPr>
      <w:pBdr>
        <w:top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0">
    <w:name w:val="xl40"/>
    <w:basedOn w:val="Normal"/>
    <w:rsid w:val="0026178A"/>
    <w:pPr>
      <w:pBdr>
        <w:top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2">
    <w:name w:val="xl42"/>
    <w:basedOn w:val="Normal"/>
    <w:rsid w:val="0026178A"/>
    <w:pPr>
      <w:pBdr>
        <w:bottom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3">
    <w:name w:val="xl4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44">
    <w:name w:val="xl44"/>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5">
    <w:name w:val="xl45"/>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6">
    <w:name w:val="xl46"/>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7">
    <w:name w:val="xl47"/>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8">
    <w:name w:val="xl4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49">
    <w:name w:val="xl49"/>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0">
    <w:name w:val="xl50"/>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1">
    <w:name w:val="xl51"/>
    <w:basedOn w:val="Normal"/>
    <w:rsid w:val="0026178A"/>
    <w:pPr>
      <w:pBdr>
        <w:left w:val="single" w:sz="4" w:space="0" w:color="auto"/>
        <w:bottom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52">
    <w:name w:val="xl52"/>
    <w:basedOn w:val="Normal"/>
    <w:rsid w:val="0026178A"/>
    <w:pPr>
      <w:pBdr>
        <w:top w:val="single" w:sz="4" w:space="0" w:color="auto"/>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53">
    <w:name w:val="xl53"/>
    <w:basedOn w:val="Normal"/>
    <w:rsid w:val="0026178A"/>
    <w:pPr>
      <w:pBdr>
        <w:top w:val="single" w:sz="4" w:space="0" w:color="auto"/>
        <w:left w:val="single" w:sz="4" w:space="0" w:color="auto"/>
        <w:right w:val="single" w:sz="4" w:space="0" w:color="auto"/>
      </w:pBdr>
      <w:spacing w:before="100" w:beforeAutospacing="1" w:after="100" w:afterAutospacing="1"/>
      <w:textAlignment w:val="center"/>
    </w:pPr>
    <w:rPr>
      <w:rFonts w:ascii="Comic Sans MS" w:hAnsi="Comic Sans MS"/>
      <w:b/>
      <w:bCs/>
      <w:sz w:val="16"/>
      <w:szCs w:val="16"/>
    </w:rPr>
  </w:style>
  <w:style w:type="paragraph" w:customStyle="1" w:styleId="xl54">
    <w:name w:val="xl54"/>
    <w:basedOn w:val="Normal"/>
    <w:rsid w:val="0026178A"/>
    <w:pPr>
      <w:pBdr>
        <w:left w:val="single" w:sz="4" w:space="0" w:color="auto"/>
        <w:right w:val="single" w:sz="4" w:space="0" w:color="auto"/>
      </w:pBdr>
      <w:spacing w:before="100" w:beforeAutospacing="1" w:after="100" w:afterAutospacing="1"/>
      <w:jc w:val="center"/>
    </w:pPr>
    <w:rPr>
      <w:rFonts w:ascii="Comic Sans MS" w:hAnsi="Comic Sans MS"/>
      <w:b/>
      <w:bCs/>
      <w:sz w:val="16"/>
      <w:szCs w:val="16"/>
    </w:rPr>
  </w:style>
  <w:style w:type="paragraph" w:customStyle="1" w:styleId="xl55">
    <w:name w:val="xl55"/>
    <w:basedOn w:val="Normal"/>
    <w:rsid w:val="0026178A"/>
    <w:pPr>
      <w:pBdr>
        <w:left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6">
    <w:name w:val="xl56"/>
    <w:basedOn w:val="Normal"/>
    <w:rsid w:val="0026178A"/>
    <w:pPr>
      <w:pBdr>
        <w:left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7">
    <w:name w:val="xl57"/>
    <w:basedOn w:val="Normal"/>
    <w:rsid w:val="0026178A"/>
    <w:pPr>
      <w:pBdr>
        <w:left w:val="single" w:sz="4" w:space="0" w:color="auto"/>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8">
    <w:name w:val="xl58"/>
    <w:basedOn w:val="Normal"/>
    <w:rsid w:val="0026178A"/>
    <w:pPr>
      <w:pBdr>
        <w:top w:val="single" w:sz="4" w:space="0" w:color="auto"/>
        <w:left w:val="single" w:sz="4" w:space="0" w:color="auto"/>
      </w:pBdr>
      <w:spacing w:before="100" w:beforeAutospacing="1" w:after="100" w:afterAutospacing="1"/>
    </w:pPr>
    <w:rPr>
      <w:rFonts w:ascii="Comic Sans MS" w:hAnsi="Comic Sans MS"/>
      <w:sz w:val="16"/>
      <w:szCs w:val="16"/>
    </w:rPr>
  </w:style>
  <w:style w:type="paragraph" w:customStyle="1" w:styleId="xl60">
    <w:name w:val="xl60"/>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61">
    <w:name w:val="xl61"/>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62">
    <w:name w:val="xl62"/>
    <w:basedOn w:val="Normal"/>
    <w:rsid w:val="0026178A"/>
    <w:pPr>
      <w:pBdr>
        <w:top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63">
    <w:name w:val="xl6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64">
    <w:name w:val="xl64"/>
    <w:basedOn w:val="Normal"/>
    <w:rsid w:val="0026178A"/>
    <w:pPr>
      <w:pBdr>
        <w:right w:val="single" w:sz="4" w:space="0" w:color="auto"/>
      </w:pBdr>
      <w:spacing w:before="100" w:beforeAutospacing="1" w:after="100" w:afterAutospacing="1"/>
    </w:pPr>
    <w:rPr>
      <w:rFonts w:ascii="Comic Sans MS" w:hAnsi="Comic Sans MS"/>
      <w:b/>
      <w:bCs/>
      <w:sz w:val="16"/>
      <w:szCs w:val="16"/>
    </w:rPr>
  </w:style>
  <w:style w:type="paragraph" w:customStyle="1" w:styleId="xl65">
    <w:name w:val="xl65"/>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66">
    <w:name w:val="xl66"/>
    <w:basedOn w:val="Normal"/>
    <w:rsid w:val="0026178A"/>
    <w:pPr>
      <w:pBdr>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7">
    <w:name w:val="xl67"/>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8">
    <w:name w:val="xl68"/>
    <w:basedOn w:val="Normal"/>
    <w:rsid w:val="0026178A"/>
    <w:pPr>
      <w:pBdr>
        <w:top w:val="single" w:sz="4" w:space="0" w:color="auto"/>
        <w:left w:val="single" w:sz="4" w:space="0" w:color="auto"/>
      </w:pBdr>
      <w:spacing w:before="100" w:beforeAutospacing="1" w:after="100" w:afterAutospacing="1"/>
    </w:pPr>
    <w:rPr>
      <w:rFonts w:ascii="Comic Sans MS" w:hAnsi="Comic Sans MS"/>
      <w:b/>
      <w:bCs/>
      <w:sz w:val="16"/>
      <w:szCs w:val="16"/>
    </w:rPr>
  </w:style>
  <w:style w:type="paragraph" w:customStyle="1" w:styleId="xl69">
    <w:name w:val="xl69"/>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70">
    <w:name w:val="xl70"/>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1">
    <w:name w:val="xl71"/>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2">
    <w:name w:val="xl72"/>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3">
    <w:name w:val="xl73"/>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74">
    <w:name w:val="xl74"/>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75">
    <w:name w:val="xl75"/>
    <w:basedOn w:val="Normal"/>
    <w:rsid w:val="0026178A"/>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76">
    <w:name w:val="xl76"/>
    <w:basedOn w:val="Normal"/>
    <w:rsid w:val="0026178A"/>
    <w:pPr>
      <w:pBdr>
        <w:top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77">
    <w:name w:val="xl77"/>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78">
    <w:name w:val="xl78"/>
    <w:basedOn w:val="Normal"/>
    <w:rsid w:val="0026178A"/>
    <w:pPr>
      <w:pBdr>
        <w:top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Body">
    <w:name w:val="Body"/>
    <w:aliases w:val="by,BD"/>
    <w:rsid w:val="0026178A"/>
    <w:pPr>
      <w:keepLines/>
      <w:spacing w:after="130" w:line="260" w:lineRule="exact"/>
      <w:jc w:val="both"/>
    </w:pPr>
    <w:rPr>
      <w:rFonts w:ascii="Times" w:eastAsia="Times New Roman" w:hAnsi="Times" w:cs="Times New Roman"/>
      <w:szCs w:val="20"/>
      <w:lang w:val="en-GB"/>
    </w:rPr>
  </w:style>
  <w:style w:type="paragraph" w:styleId="ListBullet">
    <w:name w:val="List Bullet"/>
    <w:basedOn w:val="Normal"/>
    <w:autoRedefine/>
    <w:rsid w:val="0026178A"/>
    <w:pPr>
      <w:numPr>
        <w:numId w:val="5"/>
      </w:numPr>
      <w:tabs>
        <w:tab w:val="clear" w:pos="360"/>
        <w:tab w:val="left" w:pos="284"/>
        <w:tab w:val="left" w:pos="1134"/>
      </w:tabs>
      <w:spacing w:line="280" w:lineRule="atLeast"/>
      <w:ind w:left="284" w:hanging="284"/>
    </w:pPr>
    <w:rPr>
      <w:rFonts w:ascii="Arial" w:hAnsi="Arial"/>
      <w:sz w:val="22"/>
      <w:szCs w:val="20"/>
    </w:rPr>
  </w:style>
  <w:style w:type="paragraph" w:styleId="ListBullet2">
    <w:name w:val="List Bullet 2"/>
    <w:basedOn w:val="Normal"/>
    <w:autoRedefine/>
    <w:rsid w:val="0026178A"/>
    <w:pPr>
      <w:numPr>
        <w:numId w:val="6"/>
      </w:numPr>
      <w:tabs>
        <w:tab w:val="clear" w:pos="643"/>
        <w:tab w:val="left" w:pos="567"/>
        <w:tab w:val="left" w:pos="1134"/>
      </w:tabs>
      <w:spacing w:line="280" w:lineRule="atLeast"/>
      <w:ind w:left="851" w:hanging="284"/>
    </w:pPr>
    <w:rPr>
      <w:rFonts w:ascii="Arial" w:hAnsi="Arial"/>
      <w:sz w:val="22"/>
      <w:szCs w:val="20"/>
    </w:rPr>
  </w:style>
  <w:style w:type="paragraph" w:customStyle="1" w:styleId="xl32">
    <w:name w:val="xl32"/>
    <w:basedOn w:val="Normal"/>
    <w:rsid w:val="0026178A"/>
    <w:pPr>
      <w:pBdr>
        <w:left w:val="single" w:sz="4"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30">
    <w:name w:val="xl30"/>
    <w:basedOn w:val="Normal"/>
    <w:rsid w:val="0026178A"/>
    <w:pPr>
      <w:pBdr>
        <w:right w:val="single" w:sz="4" w:space="0" w:color="auto"/>
      </w:pBdr>
      <w:spacing w:before="100" w:beforeAutospacing="1" w:after="100" w:afterAutospacing="1"/>
      <w:jc w:val="right"/>
    </w:pPr>
    <w:rPr>
      <w:rFonts w:eastAsia="Arial Unicode MS"/>
      <w:sz w:val="18"/>
      <w:szCs w:val="18"/>
    </w:rPr>
  </w:style>
  <w:style w:type="character" w:customStyle="1" w:styleId="tw4winMark">
    <w:name w:val="tw4winMark"/>
    <w:rsid w:val="0026178A"/>
    <w:rPr>
      <w:vanish/>
      <w:color w:val="800080"/>
      <w:vertAlign w:val="subscript"/>
    </w:rPr>
  </w:style>
  <w:style w:type="paragraph" w:styleId="List">
    <w:name w:val="List"/>
    <w:basedOn w:val="Normal"/>
    <w:rsid w:val="0026178A"/>
    <w:pPr>
      <w:ind w:left="283" w:hanging="283"/>
    </w:pPr>
  </w:style>
  <w:style w:type="paragraph" w:styleId="Date">
    <w:name w:val="Date"/>
    <w:basedOn w:val="Normal"/>
    <w:next w:val="Normal"/>
    <w:link w:val="DateChar"/>
    <w:rsid w:val="0026178A"/>
  </w:style>
  <w:style w:type="character" w:customStyle="1" w:styleId="DateChar">
    <w:name w:val="Date Char"/>
    <w:basedOn w:val="DefaultParagraphFont"/>
    <w:link w:val="Date"/>
    <w:rsid w:val="0026178A"/>
    <w:rPr>
      <w:rFonts w:ascii="Times New Roman" w:eastAsia="Times New Roman" w:hAnsi="Times New Roman" w:cs="Times New Roman"/>
      <w:sz w:val="24"/>
      <w:szCs w:val="24"/>
    </w:rPr>
  </w:style>
  <w:style w:type="paragraph" w:customStyle="1" w:styleId="PwCAddress">
    <w:name w:val="PwC Address"/>
    <w:basedOn w:val="Normal"/>
    <w:link w:val="PwCAddressChar"/>
    <w:qFormat/>
    <w:rsid w:val="0026178A"/>
    <w:pPr>
      <w:spacing w:line="200" w:lineRule="atLeast"/>
    </w:pPr>
    <w:rPr>
      <w:rFonts w:ascii="Georgia" w:eastAsia="Calibri" w:hAnsi="Georgia"/>
      <w:i/>
      <w:noProof/>
      <w:sz w:val="18"/>
      <w:szCs w:val="22"/>
      <w:lang w:val="en-GB" w:eastAsia="en-GB"/>
    </w:rPr>
  </w:style>
  <w:style w:type="character" w:customStyle="1" w:styleId="PwCAddressChar">
    <w:name w:val="PwC Address Char"/>
    <w:basedOn w:val="DefaultParagraphFont"/>
    <w:link w:val="PwCAddress"/>
    <w:rsid w:val="0026178A"/>
    <w:rPr>
      <w:rFonts w:ascii="Georgia" w:eastAsia="Calibri" w:hAnsi="Georgia" w:cs="Times New Roman"/>
      <w:i/>
      <w:noProof/>
      <w:sz w:val="18"/>
      <w:lang w:val="en-GB" w:eastAsia="en-GB"/>
    </w:rPr>
  </w:style>
  <w:style w:type="paragraph" w:customStyle="1" w:styleId="Default">
    <w:name w:val="Default"/>
    <w:rsid w:val="0026178A"/>
    <w:pPr>
      <w:autoSpaceDE w:val="0"/>
      <w:autoSpaceDN w:val="0"/>
      <w:adjustRightInd w:val="0"/>
      <w:spacing w:after="0" w:line="240" w:lineRule="auto"/>
    </w:pPr>
    <w:rPr>
      <w:rFonts w:ascii="Times New Roman" w:eastAsia="Times New Roman" w:hAnsi="Times New Roman" w:cs="Times New Roman"/>
      <w:color w:val="000000"/>
      <w:sz w:val="24"/>
      <w:szCs w:val="24"/>
      <w:lang w:val="tr-TR" w:eastAsia="zh-CN"/>
    </w:rPr>
  </w:style>
  <w:style w:type="paragraph" w:customStyle="1" w:styleId="BodybyBD">
    <w:name w:val="Body.by.BD"/>
    <w:link w:val="BodybyBDChar"/>
    <w:rsid w:val="00AE19A5"/>
    <w:pPr>
      <w:keepLines/>
      <w:spacing w:before="130" w:after="130" w:line="260" w:lineRule="exact"/>
      <w:jc w:val="both"/>
    </w:pPr>
    <w:rPr>
      <w:rFonts w:ascii="Times New Roman" w:eastAsia="Times New Roman" w:hAnsi="Times New Roman" w:cs="Times New Roman"/>
      <w:szCs w:val="20"/>
      <w:lang w:val="tr-TR"/>
    </w:rPr>
  </w:style>
  <w:style w:type="paragraph" w:customStyle="1" w:styleId="MuhasebePolitikalar">
    <w:name w:val="Muhasebe Politikaları"/>
    <w:basedOn w:val="Normal"/>
    <w:uiPriority w:val="99"/>
    <w:rsid w:val="00AE19A5"/>
    <w:pPr>
      <w:ind w:left="709" w:hanging="709"/>
      <w:jc w:val="both"/>
    </w:pPr>
    <w:rPr>
      <w:rFonts w:eastAsia="Arial Unicode MS"/>
      <w:b/>
      <w:bCs/>
      <w:sz w:val="22"/>
      <w:szCs w:val="22"/>
      <w:lang w:val="tr-TR" w:eastAsia="tr-TR"/>
    </w:rPr>
  </w:style>
  <w:style w:type="paragraph" w:customStyle="1" w:styleId="Char3CharCharChar0">
    <w:name w:val="Char3 Char Char Char"/>
    <w:basedOn w:val="Normal"/>
    <w:rsid w:val="006A6954"/>
    <w:rPr>
      <w:sz w:val="20"/>
      <w:szCs w:val="20"/>
    </w:rPr>
  </w:style>
  <w:style w:type="paragraph" w:customStyle="1" w:styleId="Char3CharCharChar1">
    <w:name w:val="Char3 Char Char Char"/>
    <w:basedOn w:val="Normal"/>
    <w:rsid w:val="00160BAD"/>
    <w:rPr>
      <w:sz w:val="20"/>
      <w:szCs w:val="20"/>
    </w:rPr>
  </w:style>
  <w:style w:type="paragraph" w:customStyle="1" w:styleId="a-Right-Col-Reg">
    <w:name w:val="a-Right-Col-Reg"/>
    <w:basedOn w:val="Normal"/>
    <w:rsid w:val="005E33B0"/>
    <w:pPr>
      <w:spacing w:after="60" w:line="240" w:lineRule="atLeast"/>
    </w:pPr>
    <w:rPr>
      <w:rFonts w:ascii="Arial" w:hAnsi="Arial"/>
      <w:sz w:val="16"/>
      <w:szCs w:val="16"/>
      <w:lang w:val="en-GB"/>
    </w:rPr>
  </w:style>
  <w:style w:type="paragraph" w:customStyle="1" w:styleId="Char2CharCharCharCharCharChar">
    <w:name w:val="Char2 Char Char Char Char Char Char"/>
    <w:basedOn w:val="Normal"/>
    <w:rsid w:val="005E33B0"/>
    <w:rPr>
      <w:sz w:val="20"/>
      <w:szCs w:val="20"/>
    </w:rPr>
  </w:style>
  <w:style w:type="paragraph" w:styleId="DocumentMap">
    <w:name w:val="Document Map"/>
    <w:basedOn w:val="Normal"/>
    <w:link w:val="DocumentMapChar"/>
    <w:uiPriority w:val="99"/>
    <w:semiHidden/>
    <w:unhideWhenUsed/>
    <w:rsid w:val="001860B4"/>
    <w:rPr>
      <w:rFonts w:ascii="Tahoma" w:hAnsi="Tahoma" w:cs="Tahoma"/>
      <w:sz w:val="16"/>
      <w:szCs w:val="16"/>
    </w:rPr>
  </w:style>
  <w:style w:type="character" w:customStyle="1" w:styleId="DocumentMapChar">
    <w:name w:val="Document Map Char"/>
    <w:basedOn w:val="DefaultParagraphFont"/>
    <w:link w:val="DocumentMap"/>
    <w:uiPriority w:val="99"/>
    <w:semiHidden/>
    <w:rsid w:val="001860B4"/>
    <w:rPr>
      <w:rFonts w:ascii="Tahoma" w:eastAsia="Times New Roman" w:hAnsi="Tahoma" w:cs="Tahoma"/>
      <w:sz w:val="16"/>
      <w:szCs w:val="16"/>
    </w:rPr>
  </w:style>
  <w:style w:type="numbering" w:customStyle="1" w:styleId="NoList1">
    <w:name w:val="No List1"/>
    <w:next w:val="NoList"/>
    <w:uiPriority w:val="99"/>
    <w:semiHidden/>
    <w:unhideWhenUsed/>
    <w:rsid w:val="00887C85"/>
  </w:style>
  <w:style w:type="character" w:styleId="CommentReference">
    <w:name w:val="annotation reference"/>
    <w:semiHidden/>
    <w:rsid w:val="00887C85"/>
    <w:rPr>
      <w:sz w:val="16"/>
      <w:szCs w:val="16"/>
    </w:rPr>
  </w:style>
  <w:style w:type="table" w:styleId="TableGrid">
    <w:name w:val="Table Grid"/>
    <w:basedOn w:val="TableNormal"/>
    <w:uiPriority w:val="99"/>
    <w:rsid w:val="00887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semiHidden/>
    <w:rsid w:val="00887C85"/>
    <w:rPr>
      <w:vertAlign w:val="superscript"/>
    </w:rPr>
  </w:style>
  <w:style w:type="paragraph" w:customStyle="1" w:styleId="DefaultParagraphFontParaCharChar">
    <w:name w:val="Default Paragraph Font Para Char Char"/>
    <w:aliases w:val="Default Paragraph Font Para Char Para Char Char"/>
    <w:basedOn w:val="Normal"/>
    <w:rsid w:val="00887C85"/>
    <w:rPr>
      <w:sz w:val="20"/>
      <w:szCs w:val="20"/>
    </w:rPr>
  </w:style>
  <w:style w:type="paragraph" w:customStyle="1" w:styleId="Char2">
    <w:name w:val="Char2"/>
    <w:basedOn w:val="Normal"/>
    <w:rsid w:val="00887C85"/>
    <w:rPr>
      <w:sz w:val="20"/>
      <w:szCs w:val="20"/>
    </w:rPr>
  </w:style>
  <w:style w:type="table" w:styleId="Table3Deffects1">
    <w:name w:val="Table 3D effects 1"/>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ubtle2">
    <w:name w:val="Table Subtle 2"/>
    <w:basedOn w:val="TableNormal"/>
    <w:rsid w:val="00887C85"/>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Professional">
    <w:name w:val="Table Professional"/>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1">
    <w:name w:val="Light List1"/>
    <w:basedOn w:val="TableNormal"/>
    <w:uiPriority w:val="61"/>
    <w:rsid w:val="00887C8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List3">
    <w:name w:val="Table List 3"/>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olumns3">
    <w:name w:val="Table Columns 3"/>
    <w:basedOn w:val="TableNormal"/>
    <w:rsid w:val="00887C85"/>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5">
    <w:name w:val="Table List 5"/>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zcompanyname">
    <w:name w:val="zcompany name"/>
    <w:basedOn w:val="Normal"/>
    <w:semiHidden/>
    <w:rsid w:val="00887C85"/>
    <w:pPr>
      <w:spacing w:after="400" w:line="440" w:lineRule="exact"/>
      <w:jc w:val="center"/>
    </w:pPr>
    <w:rPr>
      <w:b/>
      <w:noProof/>
      <w:sz w:val="26"/>
      <w:szCs w:val="20"/>
    </w:rPr>
  </w:style>
  <w:style w:type="paragraph" w:customStyle="1" w:styleId="zreportaddinfo">
    <w:name w:val="zreport addinfo"/>
    <w:basedOn w:val="Normal"/>
    <w:semiHidden/>
    <w:rsid w:val="00887C85"/>
    <w:pPr>
      <w:framePr w:wrap="around" w:hAnchor="margin" w:xAlign="center" w:yAlign="bottom"/>
      <w:spacing w:line="240" w:lineRule="exact"/>
      <w:jc w:val="center"/>
    </w:pPr>
    <w:rPr>
      <w:noProof/>
      <w:sz w:val="20"/>
      <w:szCs w:val="20"/>
    </w:rPr>
  </w:style>
  <w:style w:type="paragraph" w:customStyle="1" w:styleId="CoverInformation">
    <w:name w:val="Cover Information"/>
    <w:aliases w:val="ci,ci + Times,Italic,Left:  2.54 cm,Before:  3 pt"/>
    <w:basedOn w:val="Normal"/>
    <w:rsid w:val="00887C85"/>
    <w:pPr>
      <w:framePr w:w="4536" w:hSpace="180" w:vSpace="180" w:wrap="auto" w:vAnchor="page" w:hAnchor="page" w:x="3601" w:y="14422"/>
      <w:spacing w:line="260" w:lineRule="exact"/>
      <w:ind w:left="520"/>
    </w:pPr>
    <w:rPr>
      <w:rFonts w:ascii="New York" w:hAnsi="New York"/>
      <w:lang w:val="en-GB"/>
    </w:rPr>
  </w:style>
  <w:style w:type="character" w:styleId="FootnoteReference">
    <w:name w:val="footnote reference"/>
    <w:basedOn w:val="DefaultParagraphFont"/>
    <w:semiHidden/>
    <w:unhideWhenUsed/>
    <w:rsid w:val="00887C85"/>
    <w:rPr>
      <w:vertAlign w:val="superscript"/>
    </w:rPr>
  </w:style>
  <w:style w:type="paragraph" w:customStyle="1" w:styleId="CoverClientName">
    <w:name w:val="Cover Client Name"/>
    <w:aliases w:val="ccn"/>
    <w:basedOn w:val="Normal"/>
    <w:rsid w:val="00887C85"/>
    <w:pPr>
      <w:framePr w:w="5999" w:hSpace="180" w:vSpace="180" w:wrap="auto" w:vAnchor="page" w:hAnchor="text" w:xAlign="center" w:y="3841"/>
      <w:tabs>
        <w:tab w:val="left" w:pos="-140"/>
      </w:tabs>
      <w:spacing w:before="80" w:after="520"/>
      <w:ind w:left="1720"/>
    </w:pPr>
    <w:rPr>
      <w:rFonts w:ascii="New York" w:hAnsi="New York"/>
      <w:b/>
      <w:bCs/>
      <w:sz w:val="26"/>
      <w:szCs w:val="26"/>
      <w:lang w:val="en-GB"/>
    </w:rPr>
  </w:style>
  <w:style w:type="paragraph" w:customStyle="1" w:styleId="CoverTitle">
    <w:name w:val="Cover Title"/>
    <w:aliases w:val="ct"/>
    <w:basedOn w:val="Normal"/>
    <w:rsid w:val="00887C85"/>
    <w:pPr>
      <w:framePr w:w="5999" w:hSpace="180" w:vSpace="180" w:wrap="auto" w:vAnchor="page" w:hAnchor="text" w:xAlign="center" w:y="3797"/>
      <w:spacing w:line="440" w:lineRule="exact"/>
      <w:ind w:left="1720"/>
    </w:pPr>
    <w:rPr>
      <w:rFonts w:ascii="New York" w:hAnsi="New York"/>
      <w:sz w:val="36"/>
      <w:szCs w:val="36"/>
      <w:lang w:val="en-GB"/>
    </w:rPr>
  </w:style>
  <w:style w:type="character" w:customStyle="1" w:styleId="BodybyBDChar">
    <w:name w:val="Body.by.BD Char"/>
    <w:basedOn w:val="DefaultParagraphFont"/>
    <w:link w:val="BodybyBD"/>
    <w:rsid w:val="00887C85"/>
    <w:rPr>
      <w:rFonts w:ascii="Times New Roman" w:eastAsia="Times New Roman" w:hAnsi="Times New Roman" w:cs="Times New Roman"/>
      <w:szCs w:val="20"/>
      <w:lang w:val="tr-TR"/>
    </w:rPr>
  </w:style>
  <w:style w:type="character" w:customStyle="1" w:styleId="longtext1">
    <w:name w:val="long_text1"/>
    <w:basedOn w:val="DefaultParagraphFont"/>
    <w:rsid w:val="00277664"/>
    <w:rPr>
      <w:sz w:val="20"/>
      <w:szCs w:val="20"/>
    </w:rPr>
  </w:style>
  <w:style w:type="paragraph" w:styleId="Revision">
    <w:name w:val="Revision"/>
    <w:hidden/>
    <w:uiPriority w:val="99"/>
    <w:semiHidden/>
    <w:rsid w:val="00725F6B"/>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A20857"/>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8026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Normal">
    <w:name w:val="RNormal"/>
    <w:basedOn w:val="Normal"/>
    <w:rsid w:val="005C7E89"/>
    <w:pPr>
      <w:jc w:val="both"/>
    </w:pPr>
    <w:rPr>
      <w:sz w:val="22"/>
    </w:rPr>
  </w:style>
  <w:style w:type="paragraph" w:customStyle="1" w:styleId="Example">
    <w:name w:val="Example"/>
    <w:basedOn w:val="BodyText"/>
    <w:rsid w:val="005C7E89"/>
    <w:pPr>
      <w:tabs>
        <w:tab w:val="clear" w:pos="0"/>
        <w:tab w:val="clear" w:pos="567"/>
        <w:tab w:val="clear" w:pos="720"/>
      </w:tabs>
      <w:spacing w:after="260"/>
    </w:pPr>
    <w:rPr>
      <w:rFonts w:ascii="Arial" w:hAnsi="Arial"/>
      <w:b/>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Simple 2" w:uiPriority="0"/>
    <w:lsdException w:name="Table Classic 2" w:uiPriority="0"/>
    <w:lsdException w:name="Table Columns 3" w:uiPriority="0"/>
    <w:lsdException w:name="Table List 3" w:uiPriority="0"/>
    <w:lsdException w:name="Table List 5" w:uiPriority="0"/>
    <w:lsdException w:name="Table 3D effects 1" w:uiPriority="0"/>
    <w:lsdException w:name="Table Professional" w:uiPriority="0"/>
    <w:lsdException w:name="Table Subtle 2"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178A"/>
    <w:pPr>
      <w:spacing w:before="240"/>
      <w:outlineLvl w:val="0"/>
    </w:pPr>
    <w:rPr>
      <w:rFonts w:ascii="Univers (WN)" w:hAnsi="Univers (WN)"/>
      <w:b/>
      <w:szCs w:val="20"/>
      <w:u w:val="single"/>
    </w:rPr>
  </w:style>
  <w:style w:type="paragraph" w:styleId="Heading2">
    <w:name w:val="heading 2"/>
    <w:aliases w:val="h2"/>
    <w:basedOn w:val="Normal"/>
    <w:next w:val="Normal"/>
    <w:link w:val="Heading2Char"/>
    <w:qFormat/>
    <w:rsid w:val="00AB1F1C"/>
    <w:pPr>
      <w:spacing w:before="120"/>
      <w:outlineLvl w:val="1"/>
    </w:pPr>
    <w:rPr>
      <w:rFonts w:ascii="Univers (WN)" w:hAnsi="Univers (WN)"/>
      <w:b/>
      <w:szCs w:val="20"/>
    </w:rPr>
  </w:style>
  <w:style w:type="paragraph" w:styleId="Heading3">
    <w:name w:val="heading 3"/>
    <w:basedOn w:val="Normal"/>
    <w:next w:val="NormalIndent"/>
    <w:link w:val="Heading3Char"/>
    <w:qFormat/>
    <w:rsid w:val="0026178A"/>
    <w:pPr>
      <w:ind w:left="360"/>
      <w:outlineLvl w:val="2"/>
    </w:pPr>
    <w:rPr>
      <w:rFonts w:ascii="CG Times (WN)" w:hAnsi="CG Times (WN)"/>
      <w:b/>
      <w:szCs w:val="20"/>
    </w:rPr>
  </w:style>
  <w:style w:type="paragraph" w:styleId="Heading4">
    <w:name w:val="heading 4"/>
    <w:basedOn w:val="Normal"/>
    <w:next w:val="Normal"/>
    <w:link w:val="Heading4Char"/>
    <w:qFormat/>
    <w:rsid w:val="0026178A"/>
    <w:pPr>
      <w:keepNext/>
      <w:jc w:val="both"/>
      <w:outlineLvl w:val="3"/>
    </w:pPr>
    <w:rPr>
      <w:b/>
      <w:bCs/>
    </w:rPr>
  </w:style>
  <w:style w:type="paragraph" w:styleId="Heading5">
    <w:name w:val="heading 5"/>
    <w:basedOn w:val="Normal"/>
    <w:next w:val="NormalIndent"/>
    <w:link w:val="Heading5Char"/>
    <w:qFormat/>
    <w:rsid w:val="0026178A"/>
    <w:pPr>
      <w:ind w:left="720"/>
      <w:outlineLvl w:val="4"/>
    </w:pPr>
    <w:rPr>
      <w:rFonts w:ascii="CG Times (WN)" w:hAnsi="CG Times (WN)"/>
      <w:b/>
      <w:sz w:val="20"/>
      <w:szCs w:val="20"/>
    </w:rPr>
  </w:style>
  <w:style w:type="paragraph" w:styleId="Heading6">
    <w:name w:val="heading 6"/>
    <w:basedOn w:val="Normal"/>
    <w:next w:val="NormalIndent"/>
    <w:link w:val="Heading6Char"/>
    <w:qFormat/>
    <w:rsid w:val="0026178A"/>
    <w:pPr>
      <w:ind w:left="720"/>
      <w:outlineLvl w:val="5"/>
    </w:pPr>
    <w:rPr>
      <w:rFonts w:ascii="CG Times (WN)" w:hAnsi="CG Times (WN)"/>
      <w:sz w:val="20"/>
      <w:szCs w:val="20"/>
      <w:u w:val="single"/>
    </w:rPr>
  </w:style>
  <w:style w:type="paragraph" w:styleId="Heading7">
    <w:name w:val="heading 7"/>
    <w:basedOn w:val="Normal"/>
    <w:next w:val="NormalIndent"/>
    <w:link w:val="Heading7Char"/>
    <w:qFormat/>
    <w:rsid w:val="0026178A"/>
    <w:pPr>
      <w:ind w:left="720"/>
      <w:outlineLvl w:val="6"/>
    </w:pPr>
    <w:rPr>
      <w:rFonts w:ascii="CG Times (WN)" w:hAnsi="CG Times (WN)"/>
      <w:i/>
      <w:sz w:val="20"/>
      <w:szCs w:val="20"/>
    </w:rPr>
  </w:style>
  <w:style w:type="paragraph" w:styleId="Heading8">
    <w:name w:val="heading 8"/>
    <w:basedOn w:val="Normal"/>
    <w:next w:val="Normal"/>
    <w:link w:val="Heading8Char"/>
    <w:qFormat/>
    <w:rsid w:val="0026178A"/>
    <w:pPr>
      <w:spacing w:before="240" w:after="60"/>
      <w:outlineLvl w:val="7"/>
    </w:pPr>
    <w:rPr>
      <w:i/>
      <w:iCs/>
    </w:rPr>
  </w:style>
  <w:style w:type="paragraph" w:styleId="Heading9">
    <w:name w:val="heading 9"/>
    <w:basedOn w:val="Normal"/>
    <w:next w:val="Normal"/>
    <w:link w:val="Heading9Char"/>
    <w:qFormat/>
    <w:rsid w:val="0026178A"/>
    <w:pPr>
      <w:keepNext/>
      <w:outlineLvl w:val="8"/>
    </w:pPr>
    <w:rPr>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78A"/>
    <w:rPr>
      <w:rFonts w:ascii="Univers (WN)" w:eastAsia="Times New Roman" w:hAnsi="Univers (WN)" w:cs="Times New Roman"/>
      <w:b/>
      <w:sz w:val="24"/>
      <w:szCs w:val="20"/>
      <w:u w:val="single"/>
    </w:rPr>
  </w:style>
  <w:style w:type="character" w:customStyle="1" w:styleId="Heading2Char">
    <w:name w:val="Heading 2 Char"/>
    <w:aliases w:val="h2 Char"/>
    <w:basedOn w:val="DefaultParagraphFont"/>
    <w:link w:val="Heading2"/>
    <w:rsid w:val="00AB1F1C"/>
    <w:rPr>
      <w:rFonts w:ascii="Univers (WN)" w:eastAsia="Times New Roman" w:hAnsi="Univers (WN)" w:cs="Times New Roman"/>
      <w:b/>
      <w:sz w:val="24"/>
      <w:szCs w:val="20"/>
    </w:rPr>
  </w:style>
  <w:style w:type="paragraph" w:styleId="NormalIndent">
    <w:name w:val="Normal Indent"/>
    <w:basedOn w:val="Normal"/>
    <w:uiPriority w:val="99"/>
    <w:rsid w:val="0026178A"/>
    <w:pPr>
      <w:ind w:left="720"/>
    </w:pPr>
    <w:rPr>
      <w:sz w:val="20"/>
      <w:szCs w:val="20"/>
    </w:rPr>
  </w:style>
  <w:style w:type="character" w:customStyle="1" w:styleId="Heading3Char">
    <w:name w:val="Heading 3 Char"/>
    <w:basedOn w:val="DefaultParagraphFont"/>
    <w:link w:val="Heading3"/>
    <w:rsid w:val="0026178A"/>
    <w:rPr>
      <w:rFonts w:ascii="CG Times (WN)" w:eastAsia="Times New Roman" w:hAnsi="CG Times (WN)" w:cs="Times New Roman"/>
      <w:b/>
      <w:sz w:val="24"/>
      <w:szCs w:val="20"/>
    </w:rPr>
  </w:style>
  <w:style w:type="character" w:customStyle="1" w:styleId="Heading4Char">
    <w:name w:val="Heading 4 Char"/>
    <w:basedOn w:val="DefaultParagraphFont"/>
    <w:link w:val="Heading4"/>
    <w:rsid w:val="0026178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6178A"/>
    <w:rPr>
      <w:rFonts w:ascii="CG Times (WN)" w:eastAsia="Times New Roman" w:hAnsi="CG Times (WN)" w:cs="Times New Roman"/>
      <w:b/>
      <w:sz w:val="20"/>
      <w:szCs w:val="20"/>
    </w:rPr>
  </w:style>
  <w:style w:type="character" w:customStyle="1" w:styleId="Heading6Char">
    <w:name w:val="Heading 6 Char"/>
    <w:basedOn w:val="DefaultParagraphFont"/>
    <w:link w:val="Heading6"/>
    <w:rsid w:val="0026178A"/>
    <w:rPr>
      <w:rFonts w:ascii="CG Times (WN)" w:eastAsia="Times New Roman" w:hAnsi="CG Times (WN)" w:cs="Times New Roman"/>
      <w:sz w:val="20"/>
      <w:szCs w:val="20"/>
      <w:u w:val="single"/>
    </w:rPr>
  </w:style>
  <w:style w:type="character" w:customStyle="1" w:styleId="Heading7Char">
    <w:name w:val="Heading 7 Char"/>
    <w:basedOn w:val="DefaultParagraphFont"/>
    <w:link w:val="Heading7"/>
    <w:rsid w:val="0026178A"/>
    <w:rPr>
      <w:rFonts w:ascii="CG Times (WN)" w:eastAsia="Times New Roman" w:hAnsi="CG Times (WN)" w:cs="Times New Roman"/>
      <w:i/>
      <w:sz w:val="20"/>
      <w:szCs w:val="20"/>
    </w:rPr>
  </w:style>
  <w:style w:type="character" w:customStyle="1" w:styleId="Heading8Char">
    <w:name w:val="Heading 8 Char"/>
    <w:basedOn w:val="DefaultParagraphFont"/>
    <w:link w:val="Heading8"/>
    <w:rsid w:val="002617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26178A"/>
    <w:rPr>
      <w:rFonts w:ascii="Times New Roman" w:eastAsia="Times New Roman" w:hAnsi="Times New Roman" w:cs="Times New Roman"/>
      <w:b/>
      <w:bCs/>
      <w:sz w:val="18"/>
      <w:szCs w:val="16"/>
    </w:rPr>
  </w:style>
  <w:style w:type="paragraph" w:styleId="BodyText">
    <w:name w:val="Body Text"/>
    <w:basedOn w:val="Normal"/>
    <w:link w:val="BodyTextChar"/>
    <w:rsid w:val="00AA06F0"/>
    <w:pPr>
      <w:tabs>
        <w:tab w:val="left" w:pos="0"/>
        <w:tab w:val="left" w:pos="567"/>
        <w:tab w:val="left" w:pos="720"/>
      </w:tabs>
      <w:jc w:val="both"/>
    </w:pPr>
    <w:rPr>
      <w:color w:val="800000"/>
      <w:szCs w:val="20"/>
    </w:rPr>
  </w:style>
  <w:style w:type="character" w:customStyle="1" w:styleId="BodyTextChar">
    <w:name w:val="Body Text Char"/>
    <w:basedOn w:val="DefaultParagraphFont"/>
    <w:link w:val="BodyText"/>
    <w:rsid w:val="00AA06F0"/>
    <w:rPr>
      <w:rFonts w:ascii="Times New Roman" w:eastAsia="Times New Roman" w:hAnsi="Times New Roman" w:cs="Times New Roman"/>
      <w:color w:val="800000"/>
      <w:sz w:val="24"/>
      <w:szCs w:val="20"/>
    </w:rPr>
  </w:style>
  <w:style w:type="paragraph" w:styleId="BodyTextIndent">
    <w:name w:val="Body Text Indent"/>
    <w:basedOn w:val="Normal"/>
    <w:link w:val="BodyTextIndentChar"/>
    <w:unhideWhenUsed/>
    <w:rsid w:val="00AA06F0"/>
    <w:pPr>
      <w:spacing w:after="120"/>
      <w:ind w:left="360"/>
    </w:pPr>
  </w:style>
  <w:style w:type="character" w:customStyle="1" w:styleId="BodyTextIndentChar">
    <w:name w:val="Body Text Indent Char"/>
    <w:basedOn w:val="DefaultParagraphFont"/>
    <w:link w:val="BodyTextIndent"/>
    <w:rsid w:val="00AA06F0"/>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AA06F0"/>
    <w:pPr>
      <w:spacing w:after="120"/>
      <w:ind w:left="360"/>
    </w:pPr>
    <w:rPr>
      <w:sz w:val="16"/>
      <w:szCs w:val="16"/>
    </w:rPr>
  </w:style>
  <w:style w:type="character" w:customStyle="1" w:styleId="BodyTextIndent3Char">
    <w:name w:val="Body Text Indent 3 Char"/>
    <w:basedOn w:val="DefaultParagraphFont"/>
    <w:link w:val="BodyTextIndent3"/>
    <w:rsid w:val="00AA06F0"/>
    <w:rPr>
      <w:rFonts w:ascii="Times New Roman" w:eastAsia="Times New Roman" w:hAnsi="Times New Roman" w:cs="Times New Roman"/>
      <w:sz w:val="16"/>
      <w:szCs w:val="16"/>
    </w:rPr>
  </w:style>
  <w:style w:type="character" w:styleId="Hyperlink">
    <w:name w:val="Hyperlink"/>
    <w:basedOn w:val="DefaultParagraphFont"/>
    <w:unhideWhenUsed/>
    <w:rsid w:val="00AA06F0"/>
    <w:rPr>
      <w:color w:val="0000FF" w:themeColor="hyperlink"/>
      <w:u w:val="single"/>
    </w:rPr>
  </w:style>
  <w:style w:type="paragraph" w:styleId="BodyText2">
    <w:name w:val="Body Text 2"/>
    <w:basedOn w:val="Normal"/>
    <w:link w:val="BodyText2Char"/>
    <w:unhideWhenUsed/>
    <w:rsid w:val="00CB7C06"/>
    <w:pPr>
      <w:spacing w:after="120" w:line="480" w:lineRule="auto"/>
    </w:pPr>
  </w:style>
  <w:style w:type="character" w:customStyle="1" w:styleId="BodyText2Char">
    <w:name w:val="Body Text 2 Char"/>
    <w:basedOn w:val="DefaultParagraphFont"/>
    <w:link w:val="BodyText2"/>
    <w:rsid w:val="00CB7C06"/>
    <w:rPr>
      <w:rFonts w:ascii="Times New Roman" w:eastAsia="Times New Roman" w:hAnsi="Times New Roman" w:cs="Times New Roman"/>
      <w:sz w:val="24"/>
      <w:szCs w:val="24"/>
    </w:rPr>
  </w:style>
  <w:style w:type="paragraph" w:customStyle="1" w:styleId="Char3CharCharChar">
    <w:name w:val="Char3 Char Char Char"/>
    <w:basedOn w:val="Normal"/>
    <w:rsid w:val="0017354D"/>
    <w:rPr>
      <w:sz w:val="20"/>
      <w:szCs w:val="20"/>
    </w:rPr>
  </w:style>
  <w:style w:type="character" w:customStyle="1" w:styleId="hps">
    <w:name w:val="hps"/>
    <w:basedOn w:val="DefaultParagraphFont"/>
    <w:rsid w:val="000013DB"/>
  </w:style>
  <w:style w:type="paragraph" w:customStyle="1" w:styleId="xl79">
    <w:name w:val="xl79"/>
    <w:basedOn w:val="Normal"/>
    <w:rsid w:val="005A22DE"/>
    <w:pPr>
      <w:pBdr>
        <w:left w:val="single" w:sz="4" w:space="0" w:color="auto"/>
        <w:bottom w:val="single" w:sz="4" w:space="0" w:color="auto"/>
        <w:right w:val="single" w:sz="4" w:space="0" w:color="auto"/>
      </w:pBdr>
      <w:spacing w:before="100" w:beforeAutospacing="1" w:after="100" w:afterAutospacing="1"/>
    </w:pPr>
    <w:rPr>
      <w:rFonts w:eastAsia="Arial Unicode MS"/>
      <w:sz w:val="18"/>
      <w:szCs w:val="18"/>
      <w:lang w:val="tr-TR"/>
    </w:rPr>
  </w:style>
  <w:style w:type="paragraph" w:styleId="ListParagraph">
    <w:name w:val="List Paragraph"/>
    <w:basedOn w:val="Normal"/>
    <w:uiPriority w:val="34"/>
    <w:qFormat/>
    <w:rsid w:val="00891043"/>
    <w:pPr>
      <w:ind w:left="720"/>
      <w:contextualSpacing/>
    </w:pPr>
  </w:style>
  <w:style w:type="paragraph" w:customStyle="1" w:styleId="xl41">
    <w:name w:val="xl41"/>
    <w:basedOn w:val="Normal"/>
    <w:rsid w:val="00AB1F1C"/>
    <w:pPr>
      <w:pBdr>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108">
    <w:name w:val="xl108"/>
    <w:basedOn w:val="Normal"/>
    <w:rsid w:val="00AB1F1C"/>
    <w:pPr>
      <w:pBdr>
        <w:right w:val="dotted" w:sz="4" w:space="0" w:color="auto"/>
      </w:pBdr>
      <w:spacing w:before="100" w:beforeAutospacing="1" w:after="100" w:afterAutospacing="1"/>
      <w:jc w:val="right"/>
    </w:pPr>
    <w:rPr>
      <w:rFonts w:ascii="Tahoma" w:eastAsia="Arial Unicode MS" w:hAnsi="Tahoma" w:cs="Tahoma"/>
      <w:b/>
      <w:bCs/>
      <w:sz w:val="16"/>
      <w:szCs w:val="16"/>
      <w:lang w:val="tr-TR"/>
    </w:rPr>
  </w:style>
  <w:style w:type="paragraph" w:styleId="Header">
    <w:name w:val="header"/>
    <w:basedOn w:val="Normal"/>
    <w:link w:val="HeaderChar"/>
    <w:uiPriority w:val="99"/>
    <w:unhideWhenUsed/>
    <w:rsid w:val="00FF4CA2"/>
    <w:pPr>
      <w:tabs>
        <w:tab w:val="center" w:pos="4703"/>
        <w:tab w:val="right" w:pos="9406"/>
      </w:tabs>
    </w:pPr>
  </w:style>
  <w:style w:type="character" w:customStyle="1" w:styleId="HeaderChar">
    <w:name w:val="Header Char"/>
    <w:basedOn w:val="DefaultParagraphFont"/>
    <w:link w:val="Header"/>
    <w:uiPriority w:val="99"/>
    <w:rsid w:val="00FF4C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4CA2"/>
    <w:pPr>
      <w:tabs>
        <w:tab w:val="center" w:pos="4703"/>
        <w:tab w:val="right" w:pos="9406"/>
      </w:tabs>
    </w:pPr>
  </w:style>
  <w:style w:type="character" w:customStyle="1" w:styleId="FooterChar">
    <w:name w:val="Footer Char"/>
    <w:basedOn w:val="DefaultParagraphFont"/>
    <w:link w:val="Footer"/>
    <w:uiPriority w:val="99"/>
    <w:rsid w:val="00FF4CA2"/>
    <w:rPr>
      <w:rFonts w:ascii="Times New Roman" w:eastAsia="Times New Roman" w:hAnsi="Times New Roman" w:cs="Times New Roman"/>
      <w:sz w:val="24"/>
      <w:szCs w:val="24"/>
    </w:rPr>
  </w:style>
  <w:style w:type="paragraph" w:customStyle="1" w:styleId="1tipi">
    <w:name w:val="(1) tipi"/>
    <w:basedOn w:val="Normal"/>
    <w:rsid w:val="0026178A"/>
    <w:pPr>
      <w:tabs>
        <w:tab w:val="left" w:pos="1134"/>
      </w:tabs>
      <w:jc w:val="both"/>
    </w:pPr>
    <w:rPr>
      <w:rFonts w:ascii="Arial" w:hAnsi="Arial"/>
      <w:snapToGrid w:val="0"/>
      <w:szCs w:val="20"/>
      <w:lang w:eastAsia="tr-TR"/>
    </w:rPr>
  </w:style>
  <w:style w:type="paragraph" w:styleId="BodyText3">
    <w:name w:val="Body Text 3"/>
    <w:basedOn w:val="Normal"/>
    <w:link w:val="BodyText3Char"/>
    <w:rsid w:val="0026178A"/>
    <w:pPr>
      <w:tabs>
        <w:tab w:val="center" w:pos="539"/>
        <w:tab w:val="center" w:pos="5310"/>
        <w:tab w:val="center" w:pos="7560"/>
      </w:tabs>
    </w:pPr>
    <w:rPr>
      <w:bCs/>
      <w:i/>
      <w:iCs/>
      <w:sz w:val="22"/>
      <w:szCs w:val="20"/>
    </w:rPr>
  </w:style>
  <w:style w:type="character" w:customStyle="1" w:styleId="BodyText3Char">
    <w:name w:val="Body Text 3 Char"/>
    <w:basedOn w:val="DefaultParagraphFont"/>
    <w:link w:val="BodyText3"/>
    <w:rsid w:val="0026178A"/>
    <w:rPr>
      <w:rFonts w:ascii="Times New Roman" w:eastAsia="Times New Roman" w:hAnsi="Times New Roman" w:cs="Times New Roman"/>
      <w:bCs/>
      <w:i/>
      <w:iCs/>
      <w:szCs w:val="20"/>
    </w:rPr>
  </w:style>
  <w:style w:type="paragraph" w:styleId="NormalWeb">
    <w:name w:val="Normal (Web)"/>
    <w:basedOn w:val="Normal"/>
    <w:rsid w:val="0026178A"/>
    <w:pPr>
      <w:spacing w:before="100" w:beforeAutospacing="1" w:after="100" w:afterAutospacing="1"/>
    </w:pPr>
    <w:rPr>
      <w:rFonts w:ascii="Arial Unicode MS" w:eastAsia="Arial Unicode MS" w:hAnsi="Arial Unicode MS" w:cs="Arial Unicode MS"/>
    </w:rPr>
  </w:style>
  <w:style w:type="character" w:customStyle="1" w:styleId="EndnoteTextChar">
    <w:name w:val="Endnote Text Char"/>
    <w:basedOn w:val="DefaultParagraphFont"/>
    <w:link w:val="EndnoteText"/>
    <w:semiHidden/>
    <w:rsid w:val="0026178A"/>
    <w:rPr>
      <w:rFonts w:ascii="Times New Roman" w:eastAsia="Times New Roman" w:hAnsi="Times New Roman" w:cs="Times New Roman"/>
      <w:sz w:val="20"/>
      <w:szCs w:val="20"/>
    </w:rPr>
  </w:style>
  <w:style w:type="paragraph" w:styleId="EndnoteText">
    <w:name w:val="endnote text"/>
    <w:basedOn w:val="Normal"/>
    <w:link w:val="EndnoteTextChar"/>
    <w:semiHidden/>
    <w:rsid w:val="0026178A"/>
    <w:rPr>
      <w:sz w:val="20"/>
      <w:szCs w:val="20"/>
    </w:rPr>
  </w:style>
  <w:style w:type="paragraph" w:styleId="BodyTextIndent2">
    <w:name w:val="Body Text Indent 2"/>
    <w:basedOn w:val="Normal"/>
    <w:link w:val="BodyTextIndent2Char"/>
    <w:rsid w:val="0026178A"/>
    <w:pPr>
      <w:ind w:left="426" w:firstLine="708"/>
      <w:jc w:val="both"/>
    </w:pPr>
    <w:rPr>
      <w:szCs w:val="20"/>
    </w:rPr>
  </w:style>
  <w:style w:type="character" w:customStyle="1" w:styleId="BodyTextIndent2Char">
    <w:name w:val="Body Text Indent 2 Char"/>
    <w:basedOn w:val="DefaultParagraphFont"/>
    <w:link w:val="BodyTextIndent2"/>
    <w:rsid w:val="0026178A"/>
    <w:rPr>
      <w:rFonts w:ascii="Times New Roman" w:eastAsia="Times New Roman" w:hAnsi="Times New Roman" w:cs="Times New Roman"/>
      <w:sz w:val="24"/>
      <w:szCs w:val="20"/>
    </w:rPr>
  </w:style>
  <w:style w:type="character" w:styleId="PageNumber">
    <w:name w:val="page number"/>
    <w:basedOn w:val="DefaultParagraphFont"/>
    <w:rsid w:val="0026178A"/>
  </w:style>
  <w:style w:type="character" w:customStyle="1" w:styleId="FootnoteTextChar">
    <w:name w:val="Footnote Text Char"/>
    <w:basedOn w:val="DefaultParagraphFont"/>
    <w:link w:val="FootnoteText"/>
    <w:semiHidden/>
    <w:rsid w:val="0026178A"/>
    <w:rPr>
      <w:rFonts w:ascii="Courier New" w:eastAsia="Times New Roman" w:hAnsi="Courier New" w:cs="Times New Roman"/>
      <w:sz w:val="24"/>
      <w:szCs w:val="20"/>
      <w:lang w:val="en-AU"/>
    </w:rPr>
  </w:style>
  <w:style w:type="paragraph" w:styleId="FootnoteText">
    <w:name w:val="footnote text"/>
    <w:basedOn w:val="Normal"/>
    <w:link w:val="FootnoteTextChar"/>
    <w:semiHidden/>
    <w:rsid w:val="0026178A"/>
    <w:rPr>
      <w:rFonts w:ascii="Courier New" w:hAnsi="Courier New"/>
      <w:szCs w:val="20"/>
      <w:lang w:val="en-AU"/>
    </w:rPr>
  </w:style>
  <w:style w:type="paragraph" w:styleId="BlockText">
    <w:name w:val="Block Text"/>
    <w:basedOn w:val="Normal"/>
    <w:rsid w:val="0026178A"/>
    <w:pPr>
      <w:ind w:left="1440" w:right="360"/>
      <w:jc w:val="both"/>
    </w:pPr>
    <w:rPr>
      <w:sz w:val="22"/>
      <w:szCs w:val="16"/>
    </w:rPr>
  </w:style>
  <w:style w:type="paragraph" w:customStyle="1" w:styleId="Normal9pt">
    <w:name w:val="Normal + 9 pt"/>
    <w:aliases w:val="Justified"/>
    <w:basedOn w:val="Normal"/>
    <w:rsid w:val="0026178A"/>
    <w:pPr>
      <w:tabs>
        <w:tab w:val="decimal" w:pos="913"/>
      </w:tabs>
      <w:jc w:val="both"/>
    </w:pPr>
    <w:rPr>
      <w:sz w:val="14"/>
      <w:szCs w:val="14"/>
    </w:rPr>
  </w:style>
  <w:style w:type="paragraph" w:customStyle="1" w:styleId="xl59">
    <w:name w:val="xl59"/>
    <w:basedOn w:val="Normal"/>
    <w:rsid w:val="0026178A"/>
    <w:pPr>
      <w:pBdr>
        <w:right w:val="single" w:sz="4" w:space="0" w:color="auto"/>
      </w:pBdr>
      <w:spacing w:before="100" w:beforeAutospacing="1" w:after="100" w:afterAutospacing="1"/>
      <w:jc w:val="both"/>
    </w:pPr>
    <w:rPr>
      <w:rFonts w:eastAsia="Arial Unicode MS"/>
      <w:sz w:val="16"/>
      <w:szCs w:val="16"/>
    </w:rPr>
  </w:style>
  <w:style w:type="paragraph" w:customStyle="1" w:styleId="xl106">
    <w:name w:val="xl106"/>
    <w:basedOn w:val="Normal"/>
    <w:rsid w:val="0026178A"/>
    <w:pPr>
      <w:pBdr>
        <w:right w:val="dotted" w:sz="4" w:space="0" w:color="auto"/>
      </w:pBdr>
      <w:spacing w:before="100" w:beforeAutospacing="1" w:after="100" w:afterAutospacing="1"/>
      <w:jc w:val="right"/>
    </w:pPr>
    <w:rPr>
      <w:rFonts w:ascii="Tahoma" w:eastAsia="Arial Unicode MS" w:hAnsi="Tahoma" w:cs="Tahoma"/>
      <w:sz w:val="16"/>
      <w:szCs w:val="16"/>
    </w:rPr>
  </w:style>
  <w:style w:type="paragraph" w:customStyle="1" w:styleId="Address">
    <w:name w:val="Address"/>
    <w:basedOn w:val="Normal"/>
    <w:rsid w:val="0026178A"/>
    <w:pPr>
      <w:framePr w:w="3005" w:h="567" w:hSpace="181" w:vSpace="181" w:wrap="around" w:hAnchor="page" w:xAlign="right" w:yAlign="top" w:anchorLock="1"/>
      <w:pBdr>
        <w:left w:val="single" w:sz="4" w:space="9" w:color="auto"/>
      </w:pBdr>
      <w:spacing w:line="200" w:lineRule="exact"/>
      <w:ind w:right="284"/>
    </w:pPr>
    <w:rPr>
      <w:sz w:val="16"/>
      <w:szCs w:val="20"/>
      <w:lang w:val="en-GB"/>
    </w:rPr>
  </w:style>
  <w:style w:type="character" w:customStyle="1" w:styleId="BalloonTextChar">
    <w:name w:val="Balloon Text Char"/>
    <w:basedOn w:val="DefaultParagraphFont"/>
    <w:link w:val="BalloonText"/>
    <w:semiHidden/>
    <w:rsid w:val="0026178A"/>
    <w:rPr>
      <w:rFonts w:ascii="Tahoma" w:eastAsia="Times New Roman" w:hAnsi="Tahoma" w:cs="Tahoma"/>
      <w:sz w:val="16"/>
      <w:szCs w:val="16"/>
    </w:rPr>
  </w:style>
  <w:style w:type="paragraph" w:styleId="BalloonText">
    <w:name w:val="Balloon Text"/>
    <w:basedOn w:val="Normal"/>
    <w:link w:val="BalloonTextChar"/>
    <w:semiHidden/>
    <w:rsid w:val="0026178A"/>
    <w:rPr>
      <w:rFonts w:ascii="Tahoma" w:hAnsi="Tahoma" w:cs="Tahoma"/>
      <w:sz w:val="16"/>
      <w:szCs w:val="16"/>
    </w:rPr>
  </w:style>
  <w:style w:type="character" w:customStyle="1" w:styleId="CommentTextChar">
    <w:name w:val="Comment Text Char"/>
    <w:basedOn w:val="DefaultParagraphFont"/>
    <w:link w:val="CommentText"/>
    <w:uiPriority w:val="99"/>
    <w:rsid w:val="0026178A"/>
    <w:rPr>
      <w:rFonts w:ascii="Times New Roman" w:eastAsia="Times New Roman" w:hAnsi="Times New Roman" w:cs="Times New Roman"/>
      <w:sz w:val="20"/>
      <w:szCs w:val="20"/>
    </w:rPr>
  </w:style>
  <w:style w:type="paragraph" w:styleId="CommentText">
    <w:name w:val="annotation text"/>
    <w:basedOn w:val="Normal"/>
    <w:link w:val="CommentTextChar"/>
    <w:semiHidden/>
    <w:rsid w:val="0026178A"/>
    <w:rPr>
      <w:sz w:val="20"/>
      <w:szCs w:val="20"/>
    </w:rPr>
  </w:style>
  <w:style w:type="character" w:customStyle="1" w:styleId="CommentSubjectChar">
    <w:name w:val="Comment Subject Char"/>
    <w:basedOn w:val="CommentTextChar"/>
    <w:link w:val="CommentSubject"/>
    <w:semiHidden/>
    <w:rsid w:val="0026178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26178A"/>
    <w:rPr>
      <w:b/>
      <w:bCs/>
    </w:rPr>
  </w:style>
  <w:style w:type="paragraph" w:customStyle="1" w:styleId="BodySingle">
    <w:name w:val="Body Single"/>
    <w:basedOn w:val="BodyText"/>
    <w:rsid w:val="0026178A"/>
    <w:pPr>
      <w:tabs>
        <w:tab w:val="clear" w:pos="0"/>
        <w:tab w:val="clear" w:pos="567"/>
        <w:tab w:val="clear" w:pos="720"/>
      </w:tabs>
      <w:jc w:val="left"/>
    </w:pPr>
    <w:rPr>
      <w:color w:val="auto"/>
      <w:szCs w:val="24"/>
    </w:rPr>
  </w:style>
  <w:style w:type="character" w:styleId="FollowedHyperlink">
    <w:name w:val="FollowedHyperlink"/>
    <w:basedOn w:val="DefaultParagraphFont"/>
    <w:rsid w:val="0026178A"/>
    <w:rPr>
      <w:color w:val="800080"/>
      <w:u w:val="single"/>
    </w:rPr>
  </w:style>
  <w:style w:type="paragraph" w:customStyle="1" w:styleId="xl38">
    <w:name w:val="xl3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39">
    <w:name w:val="xl39"/>
    <w:basedOn w:val="Normal"/>
    <w:rsid w:val="0026178A"/>
    <w:pPr>
      <w:pBdr>
        <w:top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0">
    <w:name w:val="xl40"/>
    <w:basedOn w:val="Normal"/>
    <w:rsid w:val="0026178A"/>
    <w:pPr>
      <w:pBdr>
        <w:top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2">
    <w:name w:val="xl42"/>
    <w:basedOn w:val="Normal"/>
    <w:rsid w:val="0026178A"/>
    <w:pPr>
      <w:pBdr>
        <w:bottom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43">
    <w:name w:val="xl4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44">
    <w:name w:val="xl44"/>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5">
    <w:name w:val="xl45"/>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sz w:val="16"/>
      <w:szCs w:val="16"/>
    </w:rPr>
  </w:style>
  <w:style w:type="paragraph" w:customStyle="1" w:styleId="xl46">
    <w:name w:val="xl46"/>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7">
    <w:name w:val="xl47"/>
    <w:basedOn w:val="Normal"/>
    <w:rsid w:val="0026178A"/>
    <w:pPr>
      <w:pBdr>
        <w:left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48">
    <w:name w:val="xl48"/>
    <w:basedOn w:val="Normal"/>
    <w:rsid w:val="0026178A"/>
    <w:pPr>
      <w:pBdr>
        <w:left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49">
    <w:name w:val="xl49"/>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0">
    <w:name w:val="xl50"/>
    <w:basedOn w:val="Normal"/>
    <w:rsid w:val="0026178A"/>
    <w:pPr>
      <w:pBdr>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1">
    <w:name w:val="xl51"/>
    <w:basedOn w:val="Normal"/>
    <w:rsid w:val="0026178A"/>
    <w:pPr>
      <w:pBdr>
        <w:left w:val="single" w:sz="4" w:space="0" w:color="auto"/>
        <w:bottom w:val="single" w:sz="4" w:space="0" w:color="auto"/>
        <w:right w:val="single" w:sz="4" w:space="0" w:color="auto"/>
      </w:pBdr>
      <w:spacing w:before="100" w:beforeAutospacing="1" w:after="100" w:afterAutospacing="1"/>
      <w:jc w:val="right"/>
    </w:pPr>
    <w:rPr>
      <w:rFonts w:ascii="Comic Sans MS" w:hAnsi="Comic Sans MS"/>
      <w:b/>
      <w:bCs/>
      <w:sz w:val="16"/>
      <w:szCs w:val="16"/>
    </w:rPr>
  </w:style>
  <w:style w:type="paragraph" w:customStyle="1" w:styleId="xl52">
    <w:name w:val="xl52"/>
    <w:basedOn w:val="Normal"/>
    <w:rsid w:val="0026178A"/>
    <w:pPr>
      <w:pBdr>
        <w:top w:val="single" w:sz="4" w:space="0" w:color="auto"/>
        <w:left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53">
    <w:name w:val="xl53"/>
    <w:basedOn w:val="Normal"/>
    <w:rsid w:val="0026178A"/>
    <w:pPr>
      <w:pBdr>
        <w:top w:val="single" w:sz="4" w:space="0" w:color="auto"/>
        <w:left w:val="single" w:sz="4" w:space="0" w:color="auto"/>
        <w:right w:val="single" w:sz="4" w:space="0" w:color="auto"/>
      </w:pBdr>
      <w:spacing w:before="100" w:beforeAutospacing="1" w:after="100" w:afterAutospacing="1"/>
      <w:textAlignment w:val="center"/>
    </w:pPr>
    <w:rPr>
      <w:rFonts w:ascii="Comic Sans MS" w:hAnsi="Comic Sans MS"/>
      <w:b/>
      <w:bCs/>
      <w:sz w:val="16"/>
      <w:szCs w:val="16"/>
    </w:rPr>
  </w:style>
  <w:style w:type="paragraph" w:customStyle="1" w:styleId="xl54">
    <w:name w:val="xl54"/>
    <w:basedOn w:val="Normal"/>
    <w:rsid w:val="0026178A"/>
    <w:pPr>
      <w:pBdr>
        <w:left w:val="single" w:sz="4" w:space="0" w:color="auto"/>
        <w:right w:val="single" w:sz="4" w:space="0" w:color="auto"/>
      </w:pBdr>
      <w:spacing w:before="100" w:beforeAutospacing="1" w:after="100" w:afterAutospacing="1"/>
      <w:jc w:val="center"/>
    </w:pPr>
    <w:rPr>
      <w:rFonts w:ascii="Comic Sans MS" w:hAnsi="Comic Sans MS"/>
      <w:b/>
      <w:bCs/>
      <w:sz w:val="16"/>
      <w:szCs w:val="16"/>
    </w:rPr>
  </w:style>
  <w:style w:type="paragraph" w:customStyle="1" w:styleId="xl55">
    <w:name w:val="xl55"/>
    <w:basedOn w:val="Normal"/>
    <w:rsid w:val="0026178A"/>
    <w:pPr>
      <w:pBdr>
        <w:left w:val="single" w:sz="4" w:space="0" w:color="auto"/>
        <w:right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56">
    <w:name w:val="xl56"/>
    <w:basedOn w:val="Normal"/>
    <w:rsid w:val="0026178A"/>
    <w:pPr>
      <w:pBdr>
        <w:left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7">
    <w:name w:val="xl57"/>
    <w:basedOn w:val="Normal"/>
    <w:rsid w:val="0026178A"/>
    <w:pPr>
      <w:pBdr>
        <w:left w:val="single" w:sz="4" w:space="0" w:color="auto"/>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58">
    <w:name w:val="xl58"/>
    <w:basedOn w:val="Normal"/>
    <w:rsid w:val="0026178A"/>
    <w:pPr>
      <w:pBdr>
        <w:top w:val="single" w:sz="4" w:space="0" w:color="auto"/>
        <w:left w:val="single" w:sz="4" w:space="0" w:color="auto"/>
      </w:pBdr>
      <w:spacing w:before="100" w:beforeAutospacing="1" w:after="100" w:afterAutospacing="1"/>
    </w:pPr>
    <w:rPr>
      <w:rFonts w:ascii="Comic Sans MS" w:hAnsi="Comic Sans MS"/>
      <w:sz w:val="16"/>
      <w:szCs w:val="16"/>
    </w:rPr>
  </w:style>
  <w:style w:type="paragraph" w:customStyle="1" w:styleId="xl60">
    <w:name w:val="xl60"/>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61">
    <w:name w:val="xl61"/>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62">
    <w:name w:val="xl62"/>
    <w:basedOn w:val="Normal"/>
    <w:rsid w:val="0026178A"/>
    <w:pPr>
      <w:pBdr>
        <w:top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63">
    <w:name w:val="xl63"/>
    <w:basedOn w:val="Normal"/>
    <w:rsid w:val="0026178A"/>
    <w:pPr>
      <w:pBdr>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rPr>
  </w:style>
  <w:style w:type="paragraph" w:customStyle="1" w:styleId="xl64">
    <w:name w:val="xl64"/>
    <w:basedOn w:val="Normal"/>
    <w:rsid w:val="0026178A"/>
    <w:pPr>
      <w:pBdr>
        <w:right w:val="single" w:sz="4" w:space="0" w:color="auto"/>
      </w:pBdr>
      <w:spacing w:before="100" w:beforeAutospacing="1" w:after="100" w:afterAutospacing="1"/>
    </w:pPr>
    <w:rPr>
      <w:rFonts w:ascii="Comic Sans MS" w:hAnsi="Comic Sans MS"/>
      <w:b/>
      <w:bCs/>
      <w:sz w:val="16"/>
      <w:szCs w:val="16"/>
    </w:rPr>
  </w:style>
  <w:style w:type="paragraph" w:customStyle="1" w:styleId="xl65">
    <w:name w:val="xl65"/>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66">
    <w:name w:val="xl66"/>
    <w:basedOn w:val="Normal"/>
    <w:rsid w:val="0026178A"/>
    <w:pPr>
      <w:pBdr>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7">
    <w:name w:val="xl67"/>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u w:val="single"/>
    </w:rPr>
  </w:style>
  <w:style w:type="paragraph" w:customStyle="1" w:styleId="xl68">
    <w:name w:val="xl68"/>
    <w:basedOn w:val="Normal"/>
    <w:rsid w:val="0026178A"/>
    <w:pPr>
      <w:pBdr>
        <w:top w:val="single" w:sz="4" w:space="0" w:color="auto"/>
        <w:left w:val="single" w:sz="4" w:space="0" w:color="auto"/>
      </w:pBdr>
      <w:spacing w:before="100" w:beforeAutospacing="1" w:after="100" w:afterAutospacing="1"/>
    </w:pPr>
    <w:rPr>
      <w:rFonts w:ascii="Comic Sans MS" w:hAnsi="Comic Sans MS"/>
      <w:b/>
      <w:bCs/>
      <w:sz w:val="16"/>
      <w:szCs w:val="16"/>
    </w:rPr>
  </w:style>
  <w:style w:type="paragraph" w:customStyle="1" w:styleId="xl69">
    <w:name w:val="xl69"/>
    <w:basedOn w:val="Normal"/>
    <w:rsid w:val="0026178A"/>
    <w:pPr>
      <w:pBdr>
        <w:left w:val="single" w:sz="4" w:space="0" w:color="auto"/>
      </w:pBdr>
      <w:spacing w:before="100" w:beforeAutospacing="1" w:after="100" w:afterAutospacing="1"/>
    </w:pPr>
    <w:rPr>
      <w:rFonts w:ascii="Comic Sans MS" w:hAnsi="Comic Sans MS"/>
      <w:b/>
      <w:bCs/>
      <w:sz w:val="16"/>
      <w:szCs w:val="16"/>
    </w:rPr>
  </w:style>
  <w:style w:type="paragraph" w:customStyle="1" w:styleId="xl70">
    <w:name w:val="xl70"/>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1">
    <w:name w:val="xl71"/>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2">
    <w:name w:val="xl72"/>
    <w:basedOn w:val="Normal"/>
    <w:rsid w:val="0026178A"/>
    <w:pPr>
      <w:pBdr>
        <w:left w:val="single" w:sz="4" w:space="0" w:color="auto"/>
      </w:pBdr>
      <w:spacing w:before="100" w:beforeAutospacing="1" w:after="100" w:afterAutospacing="1"/>
    </w:pPr>
    <w:rPr>
      <w:rFonts w:ascii="Comic Sans MS" w:hAnsi="Comic Sans MS"/>
      <w:sz w:val="16"/>
      <w:szCs w:val="16"/>
    </w:rPr>
  </w:style>
  <w:style w:type="paragraph" w:customStyle="1" w:styleId="xl73">
    <w:name w:val="xl73"/>
    <w:basedOn w:val="Normal"/>
    <w:rsid w:val="0026178A"/>
    <w:pPr>
      <w:pBdr>
        <w:left w:val="single" w:sz="4" w:space="0" w:color="auto"/>
        <w:bottom w:val="single" w:sz="4" w:space="0" w:color="auto"/>
      </w:pBdr>
      <w:spacing w:before="100" w:beforeAutospacing="1" w:after="100" w:afterAutospacing="1"/>
    </w:pPr>
    <w:rPr>
      <w:rFonts w:ascii="Comic Sans MS" w:hAnsi="Comic Sans MS"/>
      <w:sz w:val="16"/>
      <w:szCs w:val="16"/>
    </w:rPr>
  </w:style>
  <w:style w:type="paragraph" w:customStyle="1" w:styleId="xl74">
    <w:name w:val="xl74"/>
    <w:basedOn w:val="Normal"/>
    <w:rsid w:val="0026178A"/>
    <w:pPr>
      <w:pBdr>
        <w:bottom w:val="single" w:sz="4" w:space="0" w:color="auto"/>
        <w:right w:val="single" w:sz="4" w:space="0" w:color="auto"/>
      </w:pBdr>
      <w:spacing w:before="100" w:beforeAutospacing="1" w:after="100" w:afterAutospacing="1"/>
    </w:pPr>
    <w:rPr>
      <w:rFonts w:ascii="Comic Sans MS" w:hAnsi="Comic Sans MS"/>
      <w:b/>
      <w:bCs/>
      <w:sz w:val="16"/>
      <w:szCs w:val="16"/>
    </w:rPr>
  </w:style>
  <w:style w:type="paragraph" w:customStyle="1" w:styleId="xl75">
    <w:name w:val="xl75"/>
    <w:basedOn w:val="Normal"/>
    <w:rsid w:val="0026178A"/>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xl76">
    <w:name w:val="xl76"/>
    <w:basedOn w:val="Normal"/>
    <w:rsid w:val="0026178A"/>
    <w:pPr>
      <w:pBdr>
        <w:top w:val="single" w:sz="4" w:space="0" w:color="auto"/>
        <w:right w:val="single" w:sz="4" w:space="0" w:color="auto"/>
      </w:pBdr>
      <w:spacing w:before="100" w:beforeAutospacing="1" w:after="100" w:afterAutospacing="1"/>
    </w:pPr>
    <w:rPr>
      <w:rFonts w:ascii="Comic Sans MS" w:hAnsi="Comic Sans MS"/>
      <w:sz w:val="16"/>
      <w:szCs w:val="16"/>
    </w:rPr>
  </w:style>
  <w:style w:type="paragraph" w:customStyle="1" w:styleId="xl77">
    <w:name w:val="xl77"/>
    <w:basedOn w:val="Normal"/>
    <w:rsid w:val="0026178A"/>
    <w:pPr>
      <w:pBdr>
        <w:right w:val="single" w:sz="4" w:space="0" w:color="auto"/>
      </w:pBdr>
      <w:spacing w:before="100" w:beforeAutospacing="1" w:after="100" w:afterAutospacing="1"/>
    </w:pPr>
    <w:rPr>
      <w:rFonts w:ascii="Comic Sans MS" w:hAnsi="Comic Sans MS"/>
      <w:sz w:val="16"/>
      <w:szCs w:val="16"/>
    </w:rPr>
  </w:style>
  <w:style w:type="paragraph" w:customStyle="1" w:styleId="xl78">
    <w:name w:val="xl78"/>
    <w:basedOn w:val="Normal"/>
    <w:rsid w:val="0026178A"/>
    <w:pPr>
      <w:pBdr>
        <w:top w:val="single" w:sz="4" w:space="0" w:color="auto"/>
        <w:bottom w:val="single" w:sz="4" w:space="0" w:color="auto"/>
      </w:pBdr>
      <w:spacing w:before="100" w:beforeAutospacing="1" w:after="100" w:afterAutospacing="1"/>
      <w:jc w:val="center"/>
      <w:textAlignment w:val="center"/>
    </w:pPr>
    <w:rPr>
      <w:rFonts w:ascii="Comic Sans MS" w:hAnsi="Comic Sans MS"/>
      <w:sz w:val="16"/>
      <w:szCs w:val="16"/>
    </w:rPr>
  </w:style>
  <w:style w:type="paragraph" w:customStyle="1" w:styleId="Body">
    <w:name w:val="Body"/>
    <w:aliases w:val="by,BD"/>
    <w:rsid w:val="0026178A"/>
    <w:pPr>
      <w:keepLines/>
      <w:spacing w:after="130" w:line="260" w:lineRule="exact"/>
      <w:jc w:val="both"/>
    </w:pPr>
    <w:rPr>
      <w:rFonts w:ascii="Times" w:eastAsia="Times New Roman" w:hAnsi="Times" w:cs="Times New Roman"/>
      <w:szCs w:val="20"/>
      <w:lang w:val="en-GB"/>
    </w:rPr>
  </w:style>
  <w:style w:type="paragraph" w:styleId="ListBullet">
    <w:name w:val="List Bullet"/>
    <w:basedOn w:val="Normal"/>
    <w:autoRedefine/>
    <w:rsid w:val="0026178A"/>
    <w:pPr>
      <w:numPr>
        <w:numId w:val="5"/>
      </w:numPr>
      <w:tabs>
        <w:tab w:val="clear" w:pos="360"/>
        <w:tab w:val="left" w:pos="284"/>
        <w:tab w:val="left" w:pos="1134"/>
      </w:tabs>
      <w:spacing w:line="280" w:lineRule="atLeast"/>
      <w:ind w:left="284" w:hanging="284"/>
    </w:pPr>
    <w:rPr>
      <w:rFonts w:ascii="Arial" w:hAnsi="Arial"/>
      <w:sz w:val="22"/>
      <w:szCs w:val="20"/>
    </w:rPr>
  </w:style>
  <w:style w:type="paragraph" w:styleId="ListBullet2">
    <w:name w:val="List Bullet 2"/>
    <w:basedOn w:val="Normal"/>
    <w:autoRedefine/>
    <w:rsid w:val="0026178A"/>
    <w:pPr>
      <w:numPr>
        <w:numId w:val="6"/>
      </w:numPr>
      <w:tabs>
        <w:tab w:val="clear" w:pos="643"/>
        <w:tab w:val="left" w:pos="567"/>
        <w:tab w:val="left" w:pos="1134"/>
      </w:tabs>
      <w:spacing w:line="280" w:lineRule="atLeast"/>
      <w:ind w:left="851" w:hanging="284"/>
    </w:pPr>
    <w:rPr>
      <w:rFonts w:ascii="Arial" w:hAnsi="Arial"/>
      <w:sz w:val="22"/>
      <w:szCs w:val="20"/>
    </w:rPr>
  </w:style>
  <w:style w:type="paragraph" w:customStyle="1" w:styleId="xl32">
    <w:name w:val="xl32"/>
    <w:basedOn w:val="Normal"/>
    <w:rsid w:val="0026178A"/>
    <w:pPr>
      <w:pBdr>
        <w:left w:val="single" w:sz="4"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30">
    <w:name w:val="xl30"/>
    <w:basedOn w:val="Normal"/>
    <w:rsid w:val="0026178A"/>
    <w:pPr>
      <w:pBdr>
        <w:right w:val="single" w:sz="4" w:space="0" w:color="auto"/>
      </w:pBdr>
      <w:spacing w:before="100" w:beforeAutospacing="1" w:after="100" w:afterAutospacing="1"/>
      <w:jc w:val="right"/>
    </w:pPr>
    <w:rPr>
      <w:rFonts w:eastAsia="Arial Unicode MS"/>
      <w:sz w:val="18"/>
      <w:szCs w:val="18"/>
    </w:rPr>
  </w:style>
  <w:style w:type="character" w:customStyle="1" w:styleId="tw4winMark">
    <w:name w:val="tw4winMark"/>
    <w:rsid w:val="0026178A"/>
    <w:rPr>
      <w:vanish/>
      <w:color w:val="800080"/>
      <w:vertAlign w:val="subscript"/>
    </w:rPr>
  </w:style>
  <w:style w:type="paragraph" w:styleId="List">
    <w:name w:val="List"/>
    <w:basedOn w:val="Normal"/>
    <w:rsid w:val="0026178A"/>
    <w:pPr>
      <w:ind w:left="283" w:hanging="283"/>
    </w:pPr>
  </w:style>
  <w:style w:type="paragraph" w:styleId="Date">
    <w:name w:val="Date"/>
    <w:basedOn w:val="Normal"/>
    <w:next w:val="Normal"/>
    <w:link w:val="DateChar"/>
    <w:rsid w:val="0026178A"/>
  </w:style>
  <w:style w:type="character" w:customStyle="1" w:styleId="DateChar">
    <w:name w:val="Date Char"/>
    <w:basedOn w:val="DefaultParagraphFont"/>
    <w:link w:val="Date"/>
    <w:rsid w:val="0026178A"/>
    <w:rPr>
      <w:rFonts w:ascii="Times New Roman" w:eastAsia="Times New Roman" w:hAnsi="Times New Roman" w:cs="Times New Roman"/>
      <w:sz w:val="24"/>
      <w:szCs w:val="24"/>
    </w:rPr>
  </w:style>
  <w:style w:type="paragraph" w:customStyle="1" w:styleId="PwCAddress">
    <w:name w:val="PwC Address"/>
    <w:basedOn w:val="Normal"/>
    <w:link w:val="PwCAddressChar"/>
    <w:qFormat/>
    <w:rsid w:val="0026178A"/>
    <w:pPr>
      <w:spacing w:line="200" w:lineRule="atLeast"/>
    </w:pPr>
    <w:rPr>
      <w:rFonts w:ascii="Georgia" w:eastAsia="Calibri" w:hAnsi="Georgia"/>
      <w:i/>
      <w:noProof/>
      <w:sz w:val="18"/>
      <w:szCs w:val="22"/>
      <w:lang w:val="en-GB" w:eastAsia="en-GB"/>
    </w:rPr>
  </w:style>
  <w:style w:type="character" w:customStyle="1" w:styleId="PwCAddressChar">
    <w:name w:val="PwC Address Char"/>
    <w:basedOn w:val="DefaultParagraphFont"/>
    <w:link w:val="PwCAddress"/>
    <w:rsid w:val="0026178A"/>
    <w:rPr>
      <w:rFonts w:ascii="Georgia" w:eastAsia="Calibri" w:hAnsi="Georgia" w:cs="Times New Roman"/>
      <w:i/>
      <w:noProof/>
      <w:sz w:val="18"/>
      <w:lang w:val="en-GB" w:eastAsia="en-GB"/>
    </w:rPr>
  </w:style>
  <w:style w:type="paragraph" w:customStyle="1" w:styleId="Default">
    <w:name w:val="Default"/>
    <w:rsid w:val="0026178A"/>
    <w:pPr>
      <w:autoSpaceDE w:val="0"/>
      <w:autoSpaceDN w:val="0"/>
      <w:adjustRightInd w:val="0"/>
      <w:spacing w:after="0" w:line="240" w:lineRule="auto"/>
    </w:pPr>
    <w:rPr>
      <w:rFonts w:ascii="Times New Roman" w:eastAsia="Times New Roman" w:hAnsi="Times New Roman" w:cs="Times New Roman"/>
      <w:color w:val="000000"/>
      <w:sz w:val="24"/>
      <w:szCs w:val="24"/>
      <w:lang w:val="tr-TR" w:eastAsia="zh-CN"/>
    </w:rPr>
  </w:style>
  <w:style w:type="paragraph" w:customStyle="1" w:styleId="BodybyBD">
    <w:name w:val="Body.by.BD"/>
    <w:link w:val="BodybyBDChar"/>
    <w:rsid w:val="00AE19A5"/>
    <w:pPr>
      <w:keepLines/>
      <w:spacing w:before="130" w:after="130" w:line="260" w:lineRule="exact"/>
      <w:jc w:val="both"/>
    </w:pPr>
    <w:rPr>
      <w:rFonts w:ascii="Times New Roman" w:eastAsia="Times New Roman" w:hAnsi="Times New Roman" w:cs="Times New Roman"/>
      <w:szCs w:val="20"/>
      <w:lang w:val="tr-TR"/>
    </w:rPr>
  </w:style>
  <w:style w:type="paragraph" w:customStyle="1" w:styleId="MuhasebePolitikalar">
    <w:name w:val="Muhasebe Politikaları"/>
    <w:basedOn w:val="Normal"/>
    <w:uiPriority w:val="99"/>
    <w:rsid w:val="00AE19A5"/>
    <w:pPr>
      <w:ind w:left="709" w:hanging="709"/>
      <w:jc w:val="both"/>
    </w:pPr>
    <w:rPr>
      <w:rFonts w:eastAsia="Arial Unicode MS"/>
      <w:b/>
      <w:bCs/>
      <w:sz w:val="22"/>
      <w:szCs w:val="22"/>
      <w:lang w:val="tr-TR" w:eastAsia="tr-TR"/>
    </w:rPr>
  </w:style>
  <w:style w:type="paragraph" w:customStyle="1" w:styleId="Char3CharCharChar0">
    <w:name w:val="Char3 Char Char Char"/>
    <w:basedOn w:val="Normal"/>
    <w:rsid w:val="006A6954"/>
    <w:rPr>
      <w:sz w:val="20"/>
      <w:szCs w:val="20"/>
    </w:rPr>
  </w:style>
  <w:style w:type="paragraph" w:customStyle="1" w:styleId="Char3CharCharChar1">
    <w:name w:val="Char3 Char Char Char"/>
    <w:basedOn w:val="Normal"/>
    <w:rsid w:val="00160BAD"/>
    <w:rPr>
      <w:sz w:val="20"/>
      <w:szCs w:val="20"/>
    </w:rPr>
  </w:style>
  <w:style w:type="paragraph" w:customStyle="1" w:styleId="a-Right-Col-Reg">
    <w:name w:val="a-Right-Col-Reg"/>
    <w:basedOn w:val="Normal"/>
    <w:rsid w:val="005E33B0"/>
    <w:pPr>
      <w:spacing w:after="60" w:line="240" w:lineRule="atLeast"/>
    </w:pPr>
    <w:rPr>
      <w:rFonts w:ascii="Arial" w:hAnsi="Arial"/>
      <w:sz w:val="16"/>
      <w:szCs w:val="16"/>
      <w:lang w:val="en-GB"/>
    </w:rPr>
  </w:style>
  <w:style w:type="paragraph" w:customStyle="1" w:styleId="Char2CharCharCharCharCharChar">
    <w:name w:val="Char2 Char Char Char Char Char Char"/>
    <w:basedOn w:val="Normal"/>
    <w:rsid w:val="005E33B0"/>
    <w:rPr>
      <w:sz w:val="20"/>
      <w:szCs w:val="20"/>
    </w:rPr>
  </w:style>
  <w:style w:type="paragraph" w:styleId="DocumentMap">
    <w:name w:val="Document Map"/>
    <w:basedOn w:val="Normal"/>
    <w:link w:val="DocumentMapChar"/>
    <w:uiPriority w:val="99"/>
    <w:semiHidden/>
    <w:unhideWhenUsed/>
    <w:rsid w:val="001860B4"/>
    <w:rPr>
      <w:rFonts w:ascii="Tahoma" w:hAnsi="Tahoma" w:cs="Tahoma"/>
      <w:sz w:val="16"/>
      <w:szCs w:val="16"/>
    </w:rPr>
  </w:style>
  <w:style w:type="character" w:customStyle="1" w:styleId="DocumentMapChar">
    <w:name w:val="Document Map Char"/>
    <w:basedOn w:val="DefaultParagraphFont"/>
    <w:link w:val="DocumentMap"/>
    <w:uiPriority w:val="99"/>
    <w:semiHidden/>
    <w:rsid w:val="001860B4"/>
    <w:rPr>
      <w:rFonts w:ascii="Tahoma" w:eastAsia="Times New Roman" w:hAnsi="Tahoma" w:cs="Tahoma"/>
      <w:sz w:val="16"/>
      <w:szCs w:val="16"/>
    </w:rPr>
  </w:style>
  <w:style w:type="numbering" w:customStyle="1" w:styleId="NoList1">
    <w:name w:val="No List1"/>
    <w:next w:val="NoList"/>
    <w:uiPriority w:val="99"/>
    <w:semiHidden/>
    <w:unhideWhenUsed/>
    <w:rsid w:val="00887C85"/>
  </w:style>
  <w:style w:type="character" w:styleId="CommentReference">
    <w:name w:val="annotation reference"/>
    <w:semiHidden/>
    <w:rsid w:val="00887C85"/>
    <w:rPr>
      <w:sz w:val="16"/>
      <w:szCs w:val="16"/>
    </w:rPr>
  </w:style>
  <w:style w:type="table" w:styleId="TableGrid">
    <w:name w:val="Table Grid"/>
    <w:basedOn w:val="TableNormal"/>
    <w:uiPriority w:val="99"/>
    <w:rsid w:val="00887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semiHidden/>
    <w:rsid w:val="00887C85"/>
    <w:rPr>
      <w:vertAlign w:val="superscript"/>
    </w:rPr>
  </w:style>
  <w:style w:type="paragraph" w:customStyle="1" w:styleId="DefaultParagraphFontParaCharChar">
    <w:name w:val="Default Paragraph Font Para Char Char"/>
    <w:aliases w:val="Default Paragraph Font Para Char Para Char Char"/>
    <w:basedOn w:val="Normal"/>
    <w:rsid w:val="00887C85"/>
    <w:rPr>
      <w:sz w:val="20"/>
      <w:szCs w:val="20"/>
    </w:rPr>
  </w:style>
  <w:style w:type="paragraph" w:customStyle="1" w:styleId="Char2">
    <w:name w:val="Char2"/>
    <w:basedOn w:val="Normal"/>
    <w:rsid w:val="00887C85"/>
    <w:rPr>
      <w:sz w:val="20"/>
      <w:szCs w:val="20"/>
    </w:rPr>
  </w:style>
  <w:style w:type="table" w:styleId="Table3Deffects1">
    <w:name w:val="Table 3D effects 1"/>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ubtle2">
    <w:name w:val="Table Subtle 2"/>
    <w:basedOn w:val="TableNormal"/>
    <w:rsid w:val="00887C85"/>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887C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Professional">
    <w:name w:val="Table Professional"/>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1">
    <w:name w:val="Light List1"/>
    <w:basedOn w:val="TableNormal"/>
    <w:uiPriority w:val="61"/>
    <w:rsid w:val="00887C8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List3">
    <w:name w:val="Table List 3"/>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olumns3">
    <w:name w:val="Table Columns 3"/>
    <w:basedOn w:val="TableNormal"/>
    <w:rsid w:val="00887C85"/>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5">
    <w:name w:val="Table List 5"/>
    <w:basedOn w:val="TableNormal"/>
    <w:rsid w:val="00887C85"/>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zcompanyname">
    <w:name w:val="zcompany name"/>
    <w:basedOn w:val="Normal"/>
    <w:semiHidden/>
    <w:rsid w:val="00887C85"/>
    <w:pPr>
      <w:spacing w:after="400" w:line="440" w:lineRule="exact"/>
      <w:jc w:val="center"/>
    </w:pPr>
    <w:rPr>
      <w:b/>
      <w:noProof/>
      <w:sz w:val="26"/>
      <w:szCs w:val="20"/>
    </w:rPr>
  </w:style>
  <w:style w:type="paragraph" w:customStyle="1" w:styleId="zreportaddinfo">
    <w:name w:val="zreport addinfo"/>
    <w:basedOn w:val="Normal"/>
    <w:semiHidden/>
    <w:rsid w:val="00887C85"/>
    <w:pPr>
      <w:framePr w:wrap="around" w:hAnchor="margin" w:xAlign="center" w:yAlign="bottom"/>
      <w:spacing w:line="240" w:lineRule="exact"/>
      <w:jc w:val="center"/>
    </w:pPr>
    <w:rPr>
      <w:noProof/>
      <w:sz w:val="20"/>
      <w:szCs w:val="20"/>
    </w:rPr>
  </w:style>
  <w:style w:type="paragraph" w:customStyle="1" w:styleId="CoverInformation">
    <w:name w:val="Cover Information"/>
    <w:aliases w:val="ci,ci + Times,Italic,Left:  2.54 cm,Before:  3 pt"/>
    <w:basedOn w:val="Normal"/>
    <w:rsid w:val="00887C85"/>
    <w:pPr>
      <w:framePr w:w="4536" w:hSpace="180" w:vSpace="180" w:wrap="auto" w:vAnchor="page" w:hAnchor="page" w:x="3601" w:y="14422"/>
      <w:spacing w:line="260" w:lineRule="exact"/>
      <w:ind w:left="520"/>
    </w:pPr>
    <w:rPr>
      <w:rFonts w:ascii="New York" w:hAnsi="New York"/>
      <w:lang w:val="en-GB"/>
    </w:rPr>
  </w:style>
  <w:style w:type="character" w:styleId="FootnoteReference">
    <w:name w:val="footnote reference"/>
    <w:basedOn w:val="DefaultParagraphFont"/>
    <w:semiHidden/>
    <w:unhideWhenUsed/>
    <w:rsid w:val="00887C85"/>
    <w:rPr>
      <w:vertAlign w:val="superscript"/>
    </w:rPr>
  </w:style>
  <w:style w:type="paragraph" w:customStyle="1" w:styleId="CoverClientName">
    <w:name w:val="Cover Client Name"/>
    <w:aliases w:val="ccn"/>
    <w:basedOn w:val="Normal"/>
    <w:rsid w:val="00887C85"/>
    <w:pPr>
      <w:framePr w:w="5999" w:hSpace="180" w:vSpace="180" w:wrap="auto" w:vAnchor="page" w:hAnchor="text" w:xAlign="center" w:y="3841"/>
      <w:tabs>
        <w:tab w:val="left" w:pos="-140"/>
      </w:tabs>
      <w:spacing w:before="80" w:after="520"/>
      <w:ind w:left="1720"/>
    </w:pPr>
    <w:rPr>
      <w:rFonts w:ascii="New York" w:hAnsi="New York"/>
      <w:b/>
      <w:bCs/>
      <w:sz w:val="26"/>
      <w:szCs w:val="26"/>
      <w:lang w:val="en-GB"/>
    </w:rPr>
  </w:style>
  <w:style w:type="paragraph" w:customStyle="1" w:styleId="CoverTitle">
    <w:name w:val="Cover Title"/>
    <w:aliases w:val="ct"/>
    <w:basedOn w:val="Normal"/>
    <w:rsid w:val="00887C85"/>
    <w:pPr>
      <w:framePr w:w="5999" w:hSpace="180" w:vSpace="180" w:wrap="auto" w:vAnchor="page" w:hAnchor="text" w:xAlign="center" w:y="3797"/>
      <w:spacing w:line="440" w:lineRule="exact"/>
      <w:ind w:left="1720"/>
    </w:pPr>
    <w:rPr>
      <w:rFonts w:ascii="New York" w:hAnsi="New York"/>
      <w:sz w:val="36"/>
      <w:szCs w:val="36"/>
      <w:lang w:val="en-GB"/>
    </w:rPr>
  </w:style>
  <w:style w:type="character" w:customStyle="1" w:styleId="BodybyBDChar">
    <w:name w:val="Body.by.BD Char"/>
    <w:basedOn w:val="DefaultParagraphFont"/>
    <w:link w:val="BodybyBD"/>
    <w:rsid w:val="00887C85"/>
    <w:rPr>
      <w:rFonts w:ascii="Times New Roman" w:eastAsia="Times New Roman" w:hAnsi="Times New Roman" w:cs="Times New Roman"/>
      <w:szCs w:val="20"/>
      <w:lang w:val="tr-TR"/>
    </w:rPr>
  </w:style>
  <w:style w:type="character" w:customStyle="1" w:styleId="longtext1">
    <w:name w:val="long_text1"/>
    <w:basedOn w:val="DefaultParagraphFont"/>
    <w:rsid w:val="00277664"/>
    <w:rPr>
      <w:sz w:val="20"/>
      <w:szCs w:val="20"/>
    </w:rPr>
  </w:style>
  <w:style w:type="paragraph" w:styleId="Revision">
    <w:name w:val="Revision"/>
    <w:hidden/>
    <w:uiPriority w:val="99"/>
    <w:semiHidden/>
    <w:rsid w:val="00725F6B"/>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A20857"/>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8026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Normal">
    <w:name w:val="RNormal"/>
    <w:basedOn w:val="Normal"/>
    <w:rsid w:val="005C7E89"/>
    <w:pPr>
      <w:jc w:val="both"/>
    </w:pPr>
    <w:rPr>
      <w:sz w:val="22"/>
    </w:rPr>
  </w:style>
  <w:style w:type="paragraph" w:customStyle="1" w:styleId="Example">
    <w:name w:val="Example"/>
    <w:basedOn w:val="BodyText"/>
    <w:rsid w:val="005C7E89"/>
    <w:pPr>
      <w:tabs>
        <w:tab w:val="clear" w:pos="0"/>
        <w:tab w:val="clear" w:pos="567"/>
        <w:tab w:val="clear" w:pos="720"/>
      </w:tabs>
      <w:spacing w:after="260"/>
    </w:pPr>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840">
      <w:bodyDiv w:val="1"/>
      <w:marLeft w:val="0"/>
      <w:marRight w:val="0"/>
      <w:marTop w:val="0"/>
      <w:marBottom w:val="0"/>
      <w:divBdr>
        <w:top w:val="none" w:sz="0" w:space="0" w:color="auto"/>
        <w:left w:val="none" w:sz="0" w:space="0" w:color="auto"/>
        <w:bottom w:val="none" w:sz="0" w:space="0" w:color="auto"/>
        <w:right w:val="none" w:sz="0" w:space="0" w:color="auto"/>
      </w:divBdr>
    </w:div>
    <w:div w:id="52121885">
      <w:bodyDiv w:val="1"/>
      <w:marLeft w:val="0"/>
      <w:marRight w:val="0"/>
      <w:marTop w:val="0"/>
      <w:marBottom w:val="0"/>
      <w:divBdr>
        <w:top w:val="none" w:sz="0" w:space="0" w:color="auto"/>
        <w:left w:val="none" w:sz="0" w:space="0" w:color="auto"/>
        <w:bottom w:val="none" w:sz="0" w:space="0" w:color="auto"/>
        <w:right w:val="none" w:sz="0" w:space="0" w:color="auto"/>
      </w:divBdr>
    </w:div>
    <w:div w:id="59061126">
      <w:bodyDiv w:val="1"/>
      <w:marLeft w:val="0"/>
      <w:marRight w:val="0"/>
      <w:marTop w:val="0"/>
      <w:marBottom w:val="0"/>
      <w:divBdr>
        <w:top w:val="none" w:sz="0" w:space="0" w:color="auto"/>
        <w:left w:val="none" w:sz="0" w:space="0" w:color="auto"/>
        <w:bottom w:val="none" w:sz="0" w:space="0" w:color="auto"/>
        <w:right w:val="none" w:sz="0" w:space="0" w:color="auto"/>
      </w:divBdr>
    </w:div>
    <w:div w:id="79061460">
      <w:bodyDiv w:val="1"/>
      <w:marLeft w:val="0"/>
      <w:marRight w:val="0"/>
      <w:marTop w:val="0"/>
      <w:marBottom w:val="0"/>
      <w:divBdr>
        <w:top w:val="none" w:sz="0" w:space="0" w:color="auto"/>
        <w:left w:val="none" w:sz="0" w:space="0" w:color="auto"/>
        <w:bottom w:val="none" w:sz="0" w:space="0" w:color="auto"/>
        <w:right w:val="none" w:sz="0" w:space="0" w:color="auto"/>
      </w:divBdr>
    </w:div>
    <w:div w:id="102238036">
      <w:bodyDiv w:val="1"/>
      <w:marLeft w:val="0"/>
      <w:marRight w:val="0"/>
      <w:marTop w:val="0"/>
      <w:marBottom w:val="0"/>
      <w:divBdr>
        <w:top w:val="none" w:sz="0" w:space="0" w:color="auto"/>
        <w:left w:val="none" w:sz="0" w:space="0" w:color="auto"/>
        <w:bottom w:val="none" w:sz="0" w:space="0" w:color="auto"/>
        <w:right w:val="none" w:sz="0" w:space="0" w:color="auto"/>
      </w:divBdr>
    </w:div>
    <w:div w:id="106698303">
      <w:bodyDiv w:val="1"/>
      <w:marLeft w:val="0"/>
      <w:marRight w:val="0"/>
      <w:marTop w:val="0"/>
      <w:marBottom w:val="0"/>
      <w:divBdr>
        <w:top w:val="none" w:sz="0" w:space="0" w:color="auto"/>
        <w:left w:val="none" w:sz="0" w:space="0" w:color="auto"/>
        <w:bottom w:val="none" w:sz="0" w:space="0" w:color="auto"/>
        <w:right w:val="none" w:sz="0" w:space="0" w:color="auto"/>
      </w:divBdr>
    </w:div>
    <w:div w:id="108621312">
      <w:bodyDiv w:val="1"/>
      <w:marLeft w:val="0"/>
      <w:marRight w:val="0"/>
      <w:marTop w:val="0"/>
      <w:marBottom w:val="0"/>
      <w:divBdr>
        <w:top w:val="none" w:sz="0" w:space="0" w:color="auto"/>
        <w:left w:val="none" w:sz="0" w:space="0" w:color="auto"/>
        <w:bottom w:val="none" w:sz="0" w:space="0" w:color="auto"/>
        <w:right w:val="none" w:sz="0" w:space="0" w:color="auto"/>
      </w:divBdr>
    </w:div>
    <w:div w:id="136075094">
      <w:bodyDiv w:val="1"/>
      <w:marLeft w:val="0"/>
      <w:marRight w:val="0"/>
      <w:marTop w:val="0"/>
      <w:marBottom w:val="0"/>
      <w:divBdr>
        <w:top w:val="none" w:sz="0" w:space="0" w:color="auto"/>
        <w:left w:val="none" w:sz="0" w:space="0" w:color="auto"/>
        <w:bottom w:val="none" w:sz="0" w:space="0" w:color="auto"/>
        <w:right w:val="none" w:sz="0" w:space="0" w:color="auto"/>
      </w:divBdr>
    </w:div>
    <w:div w:id="153449202">
      <w:bodyDiv w:val="1"/>
      <w:marLeft w:val="0"/>
      <w:marRight w:val="0"/>
      <w:marTop w:val="0"/>
      <w:marBottom w:val="0"/>
      <w:divBdr>
        <w:top w:val="none" w:sz="0" w:space="0" w:color="auto"/>
        <w:left w:val="none" w:sz="0" w:space="0" w:color="auto"/>
        <w:bottom w:val="none" w:sz="0" w:space="0" w:color="auto"/>
        <w:right w:val="none" w:sz="0" w:space="0" w:color="auto"/>
      </w:divBdr>
    </w:div>
    <w:div w:id="173306885">
      <w:bodyDiv w:val="1"/>
      <w:marLeft w:val="0"/>
      <w:marRight w:val="0"/>
      <w:marTop w:val="0"/>
      <w:marBottom w:val="0"/>
      <w:divBdr>
        <w:top w:val="none" w:sz="0" w:space="0" w:color="auto"/>
        <w:left w:val="none" w:sz="0" w:space="0" w:color="auto"/>
        <w:bottom w:val="none" w:sz="0" w:space="0" w:color="auto"/>
        <w:right w:val="none" w:sz="0" w:space="0" w:color="auto"/>
      </w:divBdr>
    </w:div>
    <w:div w:id="179205899">
      <w:bodyDiv w:val="1"/>
      <w:marLeft w:val="0"/>
      <w:marRight w:val="0"/>
      <w:marTop w:val="0"/>
      <w:marBottom w:val="0"/>
      <w:divBdr>
        <w:top w:val="none" w:sz="0" w:space="0" w:color="auto"/>
        <w:left w:val="none" w:sz="0" w:space="0" w:color="auto"/>
        <w:bottom w:val="none" w:sz="0" w:space="0" w:color="auto"/>
        <w:right w:val="none" w:sz="0" w:space="0" w:color="auto"/>
      </w:divBdr>
    </w:div>
    <w:div w:id="203948262">
      <w:bodyDiv w:val="1"/>
      <w:marLeft w:val="0"/>
      <w:marRight w:val="0"/>
      <w:marTop w:val="0"/>
      <w:marBottom w:val="0"/>
      <w:divBdr>
        <w:top w:val="none" w:sz="0" w:space="0" w:color="auto"/>
        <w:left w:val="none" w:sz="0" w:space="0" w:color="auto"/>
        <w:bottom w:val="none" w:sz="0" w:space="0" w:color="auto"/>
        <w:right w:val="none" w:sz="0" w:space="0" w:color="auto"/>
      </w:divBdr>
    </w:div>
    <w:div w:id="224686833">
      <w:bodyDiv w:val="1"/>
      <w:marLeft w:val="0"/>
      <w:marRight w:val="0"/>
      <w:marTop w:val="0"/>
      <w:marBottom w:val="0"/>
      <w:divBdr>
        <w:top w:val="none" w:sz="0" w:space="0" w:color="auto"/>
        <w:left w:val="none" w:sz="0" w:space="0" w:color="auto"/>
        <w:bottom w:val="none" w:sz="0" w:space="0" w:color="auto"/>
        <w:right w:val="none" w:sz="0" w:space="0" w:color="auto"/>
      </w:divBdr>
    </w:div>
    <w:div w:id="231351885">
      <w:bodyDiv w:val="1"/>
      <w:marLeft w:val="0"/>
      <w:marRight w:val="0"/>
      <w:marTop w:val="0"/>
      <w:marBottom w:val="0"/>
      <w:divBdr>
        <w:top w:val="none" w:sz="0" w:space="0" w:color="auto"/>
        <w:left w:val="none" w:sz="0" w:space="0" w:color="auto"/>
        <w:bottom w:val="none" w:sz="0" w:space="0" w:color="auto"/>
        <w:right w:val="none" w:sz="0" w:space="0" w:color="auto"/>
      </w:divBdr>
    </w:div>
    <w:div w:id="276722154">
      <w:bodyDiv w:val="1"/>
      <w:marLeft w:val="0"/>
      <w:marRight w:val="0"/>
      <w:marTop w:val="0"/>
      <w:marBottom w:val="0"/>
      <w:divBdr>
        <w:top w:val="none" w:sz="0" w:space="0" w:color="auto"/>
        <w:left w:val="none" w:sz="0" w:space="0" w:color="auto"/>
        <w:bottom w:val="none" w:sz="0" w:space="0" w:color="auto"/>
        <w:right w:val="none" w:sz="0" w:space="0" w:color="auto"/>
      </w:divBdr>
    </w:div>
    <w:div w:id="427190219">
      <w:bodyDiv w:val="1"/>
      <w:marLeft w:val="0"/>
      <w:marRight w:val="0"/>
      <w:marTop w:val="0"/>
      <w:marBottom w:val="0"/>
      <w:divBdr>
        <w:top w:val="none" w:sz="0" w:space="0" w:color="auto"/>
        <w:left w:val="none" w:sz="0" w:space="0" w:color="auto"/>
        <w:bottom w:val="none" w:sz="0" w:space="0" w:color="auto"/>
        <w:right w:val="none" w:sz="0" w:space="0" w:color="auto"/>
      </w:divBdr>
    </w:div>
    <w:div w:id="501697768">
      <w:bodyDiv w:val="1"/>
      <w:marLeft w:val="0"/>
      <w:marRight w:val="0"/>
      <w:marTop w:val="0"/>
      <w:marBottom w:val="0"/>
      <w:divBdr>
        <w:top w:val="none" w:sz="0" w:space="0" w:color="auto"/>
        <w:left w:val="none" w:sz="0" w:space="0" w:color="auto"/>
        <w:bottom w:val="none" w:sz="0" w:space="0" w:color="auto"/>
        <w:right w:val="none" w:sz="0" w:space="0" w:color="auto"/>
      </w:divBdr>
    </w:div>
    <w:div w:id="509488322">
      <w:bodyDiv w:val="1"/>
      <w:marLeft w:val="0"/>
      <w:marRight w:val="0"/>
      <w:marTop w:val="0"/>
      <w:marBottom w:val="0"/>
      <w:divBdr>
        <w:top w:val="none" w:sz="0" w:space="0" w:color="auto"/>
        <w:left w:val="none" w:sz="0" w:space="0" w:color="auto"/>
        <w:bottom w:val="none" w:sz="0" w:space="0" w:color="auto"/>
        <w:right w:val="none" w:sz="0" w:space="0" w:color="auto"/>
      </w:divBdr>
    </w:div>
    <w:div w:id="598223981">
      <w:bodyDiv w:val="1"/>
      <w:marLeft w:val="0"/>
      <w:marRight w:val="0"/>
      <w:marTop w:val="0"/>
      <w:marBottom w:val="0"/>
      <w:divBdr>
        <w:top w:val="none" w:sz="0" w:space="0" w:color="auto"/>
        <w:left w:val="none" w:sz="0" w:space="0" w:color="auto"/>
        <w:bottom w:val="none" w:sz="0" w:space="0" w:color="auto"/>
        <w:right w:val="none" w:sz="0" w:space="0" w:color="auto"/>
      </w:divBdr>
    </w:div>
    <w:div w:id="606229092">
      <w:bodyDiv w:val="1"/>
      <w:marLeft w:val="0"/>
      <w:marRight w:val="0"/>
      <w:marTop w:val="0"/>
      <w:marBottom w:val="0"/>
      <w:divBdr>
        <w:top w:val="none" w:sz="0" w:space="0" w:color="auto"/>
        <w:left w:val="none" w:sz="0" w:space="0" w:color="auto"/>
        <w:bottom w:val="none" w:sz="0" w:space="0" w:color="auto"/>
        <w:right w:val="none" w:sz="0" w:space="0" w:color="auto"/>
      </w:divBdr>
    </w:div>
    <w:div w:id="657660843">
      <w:bodyDiv w:val="1"/>
      <w:marLeft w:val="0"/>
      <w:marRight w:val="0"/>
      <w:marTop w:val="0"/>
      <w:marBottom w:val="0"/>
      <w:divBdr>
        <w:top w:val="none" w:sz="0" w:space="0" w:color="auto"/>
        <w:left w:val="none" w:sz="0" w:space="0" w:color="auto"/>
        <w:bottom w:val="none" w:sz="0" w:space="0" w:color="auto"/>
        <w:right w:val="none" w:sz="0" w:space="0" w:color="auto"/>
      </w:divBdr>
    </w:div>
    <w:div w:id="664093757">
      <w:bodyDiv w:val="1"/>
      <w:marLeft w:val="0"/>
      <w:marRight w:val="0"/>
      <w:marTop w:val="0"/>
      <w:marBottom w:val="0"/>
      <w:divBdr>
        <w:top w:val="none" w:sz="0" w:space="0" w:color="auto"/>
        <w:left w:val="none" w:sz="0" w:space="0" w:color="auto"/>
        <w:bottom w:val="none" w:sz="0" w:space="0" w:color="auto"/>
        <w:right w:val="none" w:sz="0" w:space="0" w:color="auto"/>
      </w:divBdr>
    </w:div>
    <w:div w:id="686516949">
      <w:bodyDiv w:val="1"/>
      <w:marLeft w:val="0"/>
      <w:marRight w:val="0"/>
      <w:marTop w:val="0"/>
      <w:marBottom w:val="0"/>
      <w:divBdr>
        <w:top w:val="none" w:sz="0" w:space="0" w:color="auto"/>
        <w:left w:val="none" w:sz="0" w:space="0" w:color="auto"/>
        <w:bottom w:val="none" w:sz="0" w:space="0" w:color="auto"/>
        <w:right w:val="none" w:sz="0" w:space="0" w:color="auto"/>
      </w:divBdr>
    </w:div>
    <w:div w:id="750934943">
      <w:bodyDiv w:val="1"/>
      <w:marLeft w:val="0"/>
      <w:marRight w:val="0"/>
      <w:marTop w:val="0"/>
      <w:marBottom w:val="0"/>
      <w:divBdr>
        <w:top w:val="none" w:sz="0" w:space="0" w:color="auto"/>
        <w:left w:val="none" w:sz="0" w:space="0" w:color="auto"/>
        <w:bottom w:val="none" w:sz="0" w:space="0" w:color="auto"/>
        <w:right w:val="none" w:sz="0" w:space="0" w:color="auto"/>
      </w:divBdr>
    </w:div>
    <w:div w:id="772744542">
      <w:bodyDiv w:val="1"/>
      <w:marLeft w:val="0"/>
      <w:marRight w:val="0"/>
      <w:marTop w:val="0"/>
      <w:marBottom w:val="0"/>
      <w:divBdr>
        <w:top w:val="none" w:sz="0" w:space="0" w:color="auto"/>
        <w:left w:val="none" w:sz="0" w:space="0" w:color="auto"/>
        <w:bottom w:val="none" w:sz="0" w:space="0" w:color="auto"/>
        <w:right w:val="none" w:sz="0" w:space="0" w:color="auto"/>
      </w:divBdr>
    </w:div>
    <w:div w:id="779884194">
      <w:bodyDiv w:val="1"/>
      <w:marLeft w:val="0"/>
      <w:marRight w:val="0"/>
      <w:marTop w:val="0"/>
      <w:marBottom w:val="0"/>
      <w:divBdr>
        <w:top w:val="none" w:sz="0" w:space="0" w:color="auto"/>
        <w:left w:val="none" w:sz="0" w:space="0" w:color="auto"/>
        <w:bottom w:val="none" w:sz="0" w:space="0" w:color="auto"/>
        <w:right w:val="none" w:sz="0" w:space="0" w:color="auto"/>
      </w:divBdr>
    </w:div>
    <w:div w:id="793207590">
      <w:bodyDiv w:val="1"/>
      <w:marLeft w:val="0"/>
      <w:marRight w:val="0"/>
      <w:marTop w:val="0"/>
      <w:marBottom w:val="0"/>
      <w:divBdr>
        <w:top w:val="none" w:sz="0" w:space="0" w:color="auto"/>
        <w:left w:val="none" w:sz="0" w:space="0" w:color="auto"/>
        <w:bottom w:val="none" w:sz="0" w:space="0" w:color="auto"/>
        <w:right w:val="none" w:sz="0" w:space="0" w:color="auto"/>
      </w:divBdr>
    </w:div>
    <w:div w:id="806170354">
      <w:bodyDiv w:val="1"/>
      <w:marLeft w:val="0"/>
      <w:marRight w:val="0"/>
      <w:marTop w:val="0"/>
      <w:marBottom w:val="0"/>
      <w:divBdr>
        <w:top w:val="none" w:sz="0" w:space="0" w:color="auto"/>
        <w:left w:val="none" w:sz="0" w:space="0" w:color="auto"/>
        <w:bottom w:val="none" w:sz="0" w:space="0" w:color="auto"/>
        <w:right w:val="none" w:sz="0" w:space="0" w:color="auto"/>
      </w:divBdr>
    </w:div>
    <w:div w:id="810440115">
      <w:bodyDiv w:val="1"/>
      <w:marLeft w:val="0"/>
      <w:marRight w:val="0"/>
      <w:marTop w:val="0"/>
      <w:marBottom w:val="0"/>
      <w:divBdr>
        <w:top w:val="none" w:sz="0" w:space="0" w:color="auto"/>
        <w:left w:val="none" w:sz="0" w:space="0" w:color="auto"/>
        <w:bottom w:val="none" w:sz="0" w:space="0" w:color="auto"/>
        <w:right w:val="none" w:sz="0" w:space="0" w:color="auto"/>
      </w:divBdr>
    </w:div>
    <w:div w:id="812940792">
      <w:bodyDiv w:val="1"/>
      <w:marLeft w:val="0"/>
      <w:marRight w:val="0"/>
      <w:marTop w:val="0"/>
      <w:marBottom w:val="0"/>
      <w:divBdr>
        <w:top w:val="none" w:sz="0" w:space="0" w:color="auto"/>
        <w:left w:val="none" w:sz="0" w:space="0" w:color="auto"/>
        <w:bottom w:val="none" w:sz="0" w:space="0" w:color="auto"/>
        <w:right w:val="none" w:sz="0" w:space="0" w:color="auto"/>
      </w:divBdr>
    </w:div>
    <w:div w:id="824516802">
      <w:bodyDiv w:val="1"/>
      <w:marLeft w:val="0"/>
      <w:marRight w:val="0"/>
      <w:marTop w:val="0"/>
      <w:marBottom w:val="0"/>
      <w:divBdr>
        <w:top w:val="none" w:sz="0" w:space="0" w:color="auto"/>
        <w:left w:val="none" w:sz="0" w:space="0" w:color="auto"/>
        <w:bottom w:val="none" w:sz="0" w:space="0" w:color="auto"/>
        <w:right w:val="none" w:sz="0" w:space="0" w:color="auto"/>
      </w:divBdr>
    </w:div>
    <w:div w:id="869881554">
      <w:bodyDiv w:val="1"/>
      <w:marLeft w:val="0"/>
      <w:marRight w:val="0"/>
      <w:marTop w:val="0"/>
      <w:marBottom w:val="0"/>
      <w:divBdr>
        <w:top w:val="none" w:sz="0" w:space="0" w:color="auto"/>
        <w:left w:val="none" w:sz="0" w:space="0" w:color="auto"/>
        <w:bottom w:val="none" w:sz="0" w:space="0" w:color="auto"/>
        <w:right w:val="none" w:sz="0" w:space="0" w:color="auto"/>
      </w:divBdr>
    </w:div>
    <w:div w:id="914895060">
      <w:bodyDiv w:val="1"/>
      <w:marLeft w:val="0"/>
      <w:marRight w:val="0"/>
      <w:marTop w:val="0"/>
      <w:marBottom w:val="0"/>
      <w:divBdr>
        <w:top w:val="none" w:sz="0" w:space="0" w:color="auto"/>
        <w:left w:val="none" w:sz="0" w:space="0" w:color="auto"/>
        <w:bottom w:val="none" w:sz="0" w:space="0" w:color="auto"/>
        <w:right w:val="none" w:sz="0" w:space="0" w:color="auto"/>
      </w:divBdr>
    </w:div>
    <w:div w:id="951935579">
      <w:bodyDiv w:val="1"/>
      <w:marLeft w:val="0"/>
      <w:marRight w:val="0"/>
      <w:marTop w:val="0"/>
      <w:marBottom w:val="0"/>
      <w:divBdr>
        <w:top w:val="none" w:sz="0" w:space="0" w:color="auto"/>
        <w:left w:val="none" w:sz="0" w:space="0" w:color="auto"/>
        <w:bottom w:val="none" w:sz="0" w:space="0" w:color="auto"/>
        <w:right w:val="none" w:sz="0" w:space="0" w:color="auto"/>
      </w:divBdr>
    </w:div>
    <w:div w:id="965743467">
      <w:bodyDiv w:val="1"/>
      <w:marLeft w:val="0"/>
      <w:marRight w:val="0"/>
      <w:marTop w:val="0"/>
      <w:marBottom w:val="0"/>
      <w:divBdr>
        <w:top w:val="none" w:sz="0" w:space="0" w:color="auto"/>
        <w:left w:val="none" w:sz="0" w:space="0" w:color="auto"/>
        <w:bottom w:val="none" w:sz="0" w:space="0" w:color="auto"/>
        <w:right w:val="none" w:sz="0" w:space="0" w:color="auto"/>
      </w:divBdr>
    </w:div>
    <w:div w:id="1008485308">
      <w:bodyDiv w:val="1"/>
      <w:marLeft w:val="0"/>
      <w:marRight w:val="0"/>
      <w:marTop w:val="0"/>
      <w:marBottom w:val="0"/>
      <w:divBdr>
        <w:top w:val="none" w:sz="0" w:space="0" w:color="auto"/>
        <w:left w:val="none" w:sz="0" w:space="0" w:color="auto"/>
        <w:bottom w:val="none" w:sz="0" w:space="0" w:color="auto"/>
        <w:right w:val="none" w:sz="0" w:space="0" w:color="auto"/>
      </w:divBdr>
    </w:div>
    <w:div w:id="1013919435">
      <w:bodyDiv w:val="1"/>
      <w:marLeft w:val="0"/>
      <w:marRight w:val="0"/>
      <w:marTop w:val="0"/>
      <w:marBottom w:val="0"/>
      <w:divBdr>
        <w:top w:val="none" w:sz="0" w:space="0" w:color="auto"/>
        <w:left w:val="none" w:sz="0" w:space="0" w:color="auto"/>
        <w:bottom w:val="none" w:sz="0" w:space="0" w:color="auto"/>
        <w:right w:val="none" w:sz="0" w:space="0" w:color="auto"/>
      </w:divBdr>
    </w:div>
    <w:div w:id="1093357942">
      <w:bodyDiv w:val="1"/>
      <w:marLeft w:val="0"/>
      <w:marRight w:val="0"/>
      <w:marTop w:val="0"/>
      <w:marBottom w:val="0"/>
      <w:divBdr>
        <w:top w:val="none" w:sz="0" w:space="0" w:color="auto"/>
        <w:left w:val="none" w:sz="0" w:space="0" w:color="auto"/>
        <w:bottom w:val="none" w:sz="0" w:space="0" w:color="auto"/>
        <w:right w:val="none" w:sz="0" w:space="0" w:color="auto"/>
      </w:divBdr>
    </w:div>
    <w:div w:id="1115174211">
      <w:bodyDiv w:val="1"/>
      <w:marLeft w:val="0"/>
      <w:marRight w:val="0"/>
      <w:marTop w:val="0"/>
      <w:marBottom w:val="0"/>
      <w:divBdr>
        <w:top w:val="none" w:sz="0" w:space="0" w:color="auto"/>
        <w:left w:val="none" w:sz="0" w:space="0" w:color="auto"/>
        <w:bottom w:val="none" w:sz="0" w:space="0" w:color="auto"/>
        <w:right w:val="none" w:sz="0" w:space="0" w:color="auto"/>
      </w:divBdr>
    </w:div>
    <w:div w:id="1174147042">
      <w:bodyDiv w:val="1"/>
      <w:marLeft w:val="0"/>
      <w:marRight w:val="0"/>
      <w:marTop w:val="0"/>
      <w:marBottom w:val="0"/>
      <w:divBdr>
        <w:top w:val="none" w:sz="0" w:space="0" w:color="auto"/>
        <w:left w:val="none" w:sz="0" w:space="0" w:color="auto"/>
        <w:bottom w:val="none" w:sz="0" w:space="0" w:color="auto"/>
        <w:right w:val="none" w:sz="0" w:space="0" w:color="auto"/>
      </w:divBdr>
    </w:div>
    <w:div w:id="1257791404">
      <w:bodyDiv w:val="1"/>
      <w:marLeft w:val="0"/>
      <w:marRight w:val="0"/>
      <w:marTop w:val="0"/>
      <w:marBottom w:val="0"/>
      <w:divBdr>
        <w:top w:val="none" w:sz="0" w:space="0" w:color="auto"/>
        <w:left w:val="none" w:sz="0" w:space="0" w:color="auto"/>
        <w:bottom w:val="none" w:sz="0" w:space="0" w:color="auto"/>
        <w:right w:val="none" w:sz="0" w:space="0" w:color="auto"/>
      </w:divBdr>
    </w:div>
    <w:div w:id="1286346553">
      <w:bodyDiv w:val="1"/>
      <w:marLeft w:val="0"/>
      <w:marRight w:val="0"/>
      <w:marTop w:val="0"/>
      <w:marBottom w:val="0"/>
      <w:divBdr>
        <w:top w:val="none" w:sz="0" w:space="0" w:color="auto"/>
        <w:left w:val="none" w:sz="0" w:space="0" w:color="auto"/>
        <w:bottom w:val="none" w:sz="0" w:space="0" w:color="auto"/>
        <w:right w:val="none" w:sz="0" w:space="0" w:color="auto"/>
      </w:divBdr>
    </w:div>
    <w:div w:id="1344043704">
      <w:bodyDiv w:val="1"/>
      <w:marLeft w:val="0"/>
      <w:marRight w:val="0"/>
      <w:marTop w:val="0"/>
      <w:marBottom w:val="0"/>
      <w:divBdr>
        <w:top w:val="none" w:sz="0" w:space="0" w:color="auto"/>
        <w:left w:val="none" w:sz="0" w:space="0" w:color="auto"/>
        <w:bottom w:val="none" w:sz="0" w:space="0" w:color="auto"/>
        <w:right w:val="none" w:sz="0" w:space="0" w:color="auto"/>
      </w:divBdr>
    </w:div>
    <w:div w:id="1475028968">
      <w:bodyDiv w:val="1"/>
      <w:marLeft w:val="0"/>
      <w:marRight w:val="0"/>
      <w:marTop w:val="0"/>
      <w:marBottom w:val="0"/>
      <w:divBdr>
        <w:top w:val="none" w:sz="0" w:space="0" w:color="auto"/>
        <w:left w:val="none" w:sz="0" w:space="0" w:color="auto"/>
        <w:bottom w:val="none" w:sz="0" w:space="0" w:color="auto"/>
        <w:right w:val="none" w:sz="0" w:space="0" w:color="auto"/>
      </w:divBdr>
    </w:div>
    <w:div w:id="1507094500">
      <w:bodyDiv w:val="1"/>
      <w:marLeft w:val="0"/>
      <w:marRight w:val="0"/>
      <w:marTop w:val="0"/>
      <w:marBottom w:val="0"/>
      <w:divBdr>
        <w:top w:val="none" w:sz="0" w:space="0" w:color="auto"/>
        <w:left w:val="none" w:sz="0" w:space="0" w:color="auto"/>
        <w:bottom w:val="none" w:sz="0" w:space="0" w:color="auto"/>
        <w:right w:val="none" w:sz="0" w:space="0" w:color="auto"/>
      </w:divBdr>
    </w:div>
    <w:div w:id="1522627753">
      <w:bodyDiv w:val="1"/>
      <w:marLeft w:val="0"/>
      <w:marRight w:val="0"/>
      <w:marTop w:val="0"/>
      <w:marBottom w:val="0"/>
      <w:divBdr>
        <w:top w:val="none" w:sz="0" w:space="0" w:color="auto"/>
        <w:left w:val="none" w:sz="0" w:space="0" w:color="auto"/>
        <w:bottom w:val="none" w:sz="0" w:space="0" w:color="auto"/>
        <w:right w:val="none" w:sz="0" w:space="0" w:color="auto"/>
      </w:divBdr>
    </w:div>
    <w:div w:id="1548495636">
      <w:bodyDiv w:val="1"/>
      <w:marLeft w:val="0"/>
      <w:marRight w:val="0"/>
      <w:marTop w:val="0"/>
      <w:marBottom w:val="0"/>
      <w:divBdr>
        <w:top w:val="none" w:sz="0" w:space="0" w:color="auto"/>
        <w:left w:val="none" w:sz="0" w:space="0" w:color="auto"/>
        <w:bottom w:val="none" w:sz="0" w:space="0" w:color="auto"/>
        <w:right w:val="none" w:sz="0" w:space="0" w:color="auto"/>
      </w:divBdr>
    </w:div>
    <w:div w:id="1592619859">
      <w:bodyDiv w:val="1"/>
      <w:marLeft w:val="0"/>
      <w:marRight w:val="0"/>
      <w:marTop w:val="0"/>
      <w:marBottom w:val="0"/>
      <w:divBdr>
        <w:top w:val="none" w:sz="0" w:space="0" w:color="auto"/>
        <w:left w:val="none" w:sz="0" w:space="0" w:color="auto"/>
        <w:bottom w:val="none" w:sz="0" w:space="0" w:color="auto"/>
        <w:right w:val="none" w:sz="0" w:space="0" w:color="auto"/>
      </w:divBdr>
    </w:div>
    <w:div w:id="1615869252">
      <w:bodyDiv w:val="1"/>
      <w:marLeft w:val="0"/>
      <w:marRight w:val="0"/>
      <w:marTop w:val="0"/>
      <w:marBottom w:val="0"/>
      <w:divBdr>
        <w:top w:val="none" w:sz="0" w:space="0" w:color="auto"/>
        <w:left w:val="none" w:sz="0" w:space="0" w:color="auto"/>
        <w:bottom w:val="none" w:sz="0" w:space="0" w:color="auto"/>
        <w:right w:val="none" w:sz="0" w:space="0" w:color="auto"/>
      </w:divBdr>
      <w:divsChild>
        <w:div w:id="1766338582">
          <w:marLeft w:val="0"/>
          <w:marRight w:val="0"/>
          <w:marTop w:val="0"/>
          <w:marBottom w:val="0"/>
          <w:divBdr>
            <w:top w:val="none" w:sz="0" w:space="0" w:color="auto"/>
            <w:left w:val="none" w:sz="0" w:space="0" w:color="auto"/>
            <w:bottom w:val="none" w:sz="0" w:space="0" w:color="auto"/>
            <w:right w:val="none" w:sz="0" w:space="0" w:color="auto"/>
          </w:divBdr>
          <w:divsChild>
            <w:div w:id="299850527">
              <w:marLeft w:val="0"/>
              <w:marRight w:val="0"/>
              <w:marTop w:val="0"/>
              <w:marBottom w:val="0"/>
              <w:divBdr>
                <w:top w:val="none" w:sz="0" w:space="0" w:color="auto"/>
                <w:left w:val="none" w:sz="0" w:space="0" w:color="auto"/>
                <w:bottom w:val="none" w:sz="0" w:space="0" w:color="auto"/>
                <w:right w:val="none" w:sz="0" w:space="0" w:color="auto"/>
              </w:divBdr>
              <w:divsChild>
                <w:div w:id="195698957">
                  <w:marLeft w:val="0"/>
                  <w:marRight w:val="0"/>
                  <w:marTop w:val="0"/>
                  <w:marBottom w:val="0"/>
                  <w:divBdr>
                    <w:top w:val="none" w:sz="0" w:space="0" w:color="auto"/>
                    <w:left w:val="none" w:sz="0" w:space="0" w:color="auto"/>
                    <w:bottom w:val="none" w:sz="0" w:space="0" w:color="auto"/>
                    <w:right w:val="none" w:sz="0" w:space="0" w:color="auto"/>
                  </w:divBdr>
                  <w:divsChild>
                    <w:div w:id="894506649">
                      <w:marLeft w:val="0"/>
                      <w:marRight w:val="0"/>
                      <w:marTop w:val="0"/>
                      <w:marBottom w:val="0"/>
                      <w:divBdr>
                        <w:top w:val="none" w:sz="0" w:space="0" w:color="auto"/>
                        <w:left w:val="none" w:sz="0" w:space="0" w:color="auto"/>
                        <w:bottom w:val="none" w:sz="0" w:space="0" w:color="auto"/>
                        <w:right w:val="none" w:sz="0" w:space="0" w:color="auto"/>
                      </w:divBdr>
                      <w:divsChild>
                        <w:div w:id="1606886227">
                          <w:marLeft w:val="0"/>
                          <w:marRight w:val="0"/>
                          <w:marTop w:val="0"/>
                          <w:marBottom w:val="0"/>
                          <w:divBdr>
                            <w:top w:val="none" w:sz="0" w:space="0" w:color="auto"/>
                            <w:left w:val="none" w:sz="0" w:space="0" w:color="auto"/>
                            <w:bottom w:val="none" w:sz="0" w:space="0" w:color="auto"/>
                            <w:right w:val="none" w:sz="0" w:space="0" w:color="auto"/>
                          </w:divBdr>
                          <w:divsChild>
                            <w:div w:id="623969693">
                              <w:marLeft w:val="0"/>
                              <w:marRight w:val="0"/>
                              <w:marTop w:val="0"/>
                              <w:marBottom w:val="0"/>
                              <w:divBdr>
                                <w:top w:val="none" w:sz="0" w:space="0" w:color="auto"/>
                                <w:left w:val="none" w:sz="0" w:space="0" w:color="auto"/>
                                <w:bottom w:val="none" w:sz="0" w:space="0" w:color="auto"/>
                                <w:right w:val="none" w:sz="0" w:space="0" w:color="auto"/>
                              </w:divBdr>
                              <w:divsChild>
                                <w:div w:id="2102406672">
                                  <w:marLeft w:val="0"/>
                                  <w:marRight w:val="0"/>
                                  <w:marTop w:val="0"/>
                                  <w:marBottom w:val="0"/>
                                  <w:divBdr>
                                    <w:top w:val="none" w:sz="0" w:space="0" w:color="auto"/>
                                    <w:left w:val="none" w:sz="0" w:space="0" w:color="auto"/>
                                    <w:bottom w:val="none" w:sz="0" w:space="0" w:color="auto"/>
                                    <w:right w:val="none" w:sz="0" w:space="0" w:color="auto"/>
                                  </w:divBdr>
                                  <w:divsChild>
                                    <w:div w:id="264507163">
                                      <w:marLeft w:val="60"/>
                                      <w:marRight w:val="0"/>
                                      <w:marTop w:val="0"/>
                                      <w:marBottom w:val="0"/>
                                      <w:divBdr>
                                        <w:top w:val="none" w:sz="0" w:space="0" w:color="auto"/>
                                        <w:left w:val="none" w:sz="0" w:space="0" w:color="auto"/>
                                        <w:bottom w:val="none" w:sz="0" w:space="0" w:color="auto"/>
                                        <w:right w:val="none" w:sz="0" w:space="0" w:color="auto"/>
                                      </w:divBdr>
                                      <w:divsChild>
                                        <w:div w:id="179008564">
                                          <w:marLeft w:val="0"/>
                                          <w:marRight w:val="0"/>
                                          <w:marTop w:val="0"/>
                                          <w:marBottom w:val="0"/>
                                          <w:divBdr>
                                            <w:top w:val="none" w:sz="0" w:space="0" w:color="auto"/>
                                            <w:left w:val="none" w:sz="0" w:space="0" w:color="auto"/>
                                            <w:bottom w:val="none" w:sz="0" w:space="0" w:color="auto"/>
                                            <w:right w:val="none" w:sz="0" w:space="0" w:color="auto"/>
                                          </w:divBdr>
                                          <w:divsChild>
                                            <w:div w:id="70080715">
                                              <w:marLeft w:val="0"/>
                                              <w:marRight w:val="0"/>
                                              <w:marTop w:val="0"/>
                                              <w:marBottom w:val="120"/>
                                              <w:divBdr>
                                                <w:top w:val="single" w:sz="6" w:space="0" w:color="F5F5F5"/>
                                                <w:left w:val="single" w:sz="6" w:space="0" w:color="F5F5F5"/>
                                                <w:bottom w:val="single" w:sz="6" w:space="0" w:color="F5F5F5"/>
                                                <w:right w:val="single" w:sz="6" w:space="0" w:color="F5F5F5"/>
                                              </w:divBdr>
                                              <w:divsChild>
                                                <w:div w:id="1023551255">
                                                  <w:marLeft w:val="0"/>
                                                  <w:marRight w:val="0"/>
                                                  <w:marTop w:val="0"/>
                                                  <w:marBottom w:val="0"/>
                                                  <w:divBdr>
                                                    <w:top w:val="none" w:sz="0" w:space="0" w:color="auto"/>
                                                    <w:left w:val="none" w:sz="0" w:space="0" w:color="auto"/>
                                                    <w:bottom w:val="none" w:sz="0" w:space="0" w:color="auto"/>
                                                    <w:right w:val="none" w:sz="0" w:space="0" w:color="auto"/>
                                                  </w:divBdr>
                                                  <w:divsChild>
                                                    <w:div w:id="1139569350">
                                                      <w:marLeft w:val="0"/>
                                                      <w:marRight w:val="0"/>
                                                      <w:marTop w:val="0"/>
                                                      <w:marBottom w:val="0"/>
                                                      <w:divBdr>
                                                        <w:top w:val="none" w:sz="0" w:space="0" w:color="auto"/>
                                                        <w:left w:val="none" w:sz="0" w:space="0" w:color="auto"/>
                                                        <w:bottom w:val="none" w:sz="0" w:space="0" w:color="auto"/>
                                                        <w:right w:val="none" w:sz="0" w:space="0" w:color="auto"/>
                                                      </w:divBdr>
                                                    </w:div>
                                                  </w:divsChild>
                                                </w:div>
                                                <w:div w:id="781651352">
                                                  <w:marLeft w:val="0"/>
                                                  <w:marRight w:val="0"/>
                                                  <w:marTop w:val="0"/>
                                                  <w:marBottom w:val="0"/>
                                                  <w:divBdr>
                                                    <w:top w:val="none" w:sz="0" w:space="0" w:color="auto"/>
                                                    <w:left w:val="none" w:sz="0" w:space="0" w:color="auto"/>
                                                    <w:bottom w:val="none" w:sz="0" w:space="0" w:color="auto"/>
                                                    <w:right w:val="none" w:sz="0" w:space="0" w:color="auto"/>
                                                  </w:divBdr>
                                                  <w:divsChild>
                                                    <w:div w:id="1039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517268">
      <w:bodyDiv w:val="1"/>
      <w:marLeft w:val="0"/>
      <w:marRight w:val="0"/>
      <w:marTop w:val="0"/>
      <w:marBottom w:val="0"/>
      <w:divBdr>
        <w:top w:val="none" w:sz="0" w:space="0" w:color="auto"/>
        <w:left w:val="none" w:sz="0" w:space="0" w:color="auto"/>
        <w:bottom w:val="none" w:sz="0" w:space="0" w:color="auto"/>
        <w:right w:val="none" w:sz="0" w:space="0" w:color="auto"/>
      </w:divBdr>
    </w:div>
    <w:div w:id="1654406108">
      <w:bodyDiv w:val="1"/>
      <w:marLeft w:val="0"/>
      <w:marRight w:val="0"/>
      <w:marTop w:val="0"/>
      <w:marBottom w:val="0"/>
      <w:divBdr>
        <w:top w:val="none" w:sz="0" w:space="0" w:color="auto"/>
        <w:left w:val="none" w:sz="0" w:space="0" w:color="auto"/>
        <w:bottom w:val="none" w:sz="0" w:space="0" w:color="auto"/>
        <w:right w:val="none" w:sz="0" w:space="0" w:color="auto"/>
      </w:divBdr>
    </w:div>
    <w:div w:id="1752238823">
      <w:bodyDiv w:val="1"/>
      <w:marLeft w:val="0"/>
      <w:marRight w:val="0"/>
      <w:marTop w:val="0"/>
      <w:marBottom w:val="0"/>
      <w:divBdr>
        <w:top w:val="none" w:sz="0" w:space="0" w:color="auto"/>
        <w:left w:val="none" w:sz="0" w:space="0" w:color="auto"/>
        <w:bottom w:val="none" w:sz="0" w:space="0" w:color="auto"/>
        <w:right w:val="none" w:sz="0" w:space="0" w:color="auto"/>
      </w:divBdr>
    </w:div>
    <w:div w:id="1830636672">
      <w:bodyDiv w:val="1"/>
      <w:marLeft w:val="0"/>
      <w:marRight w:val="0"/>
      <w:marTop w:val="0"/>
      <w:marBottom w:val="0"/>
      <w:divBdr>
        <w:top w:val="none" w:sz="0" w:space="0" w:color="auto"/>
        <w:left w:val="none" w:sz="0" w:space="0" w:color="auto"/>
        <w:bottom w:val="none" w:sz="0" w:space="0" w:color="auto"/>
        <w:right w:val="none" w:sz="0" w:space="0" w:color="auto"/>
      </w:divBdr>
    </w:div>
    <w:div w:id="1917326580">
      <w:bodyDiv w:val="1"/>
      <w:marLeft w:val="0"/>
      <w:marRight w:val="0"/>
      <w:marTop w:val="0"/>
      <w:marBottom w:val="0"/>
      <w:divBdr>
        <w:top w:val="none" w:sz="0" w:space="0" w:color="auto"/>
        <w:left w:val="none" w:sz="0" w:space="0" w:color="auto"/>
        <w:bottom w:val="none" w:sz="0" w:space="0" w:color="auto"/>
        <w:right w:val="none" w:sz="0" w:space="0" w:color="auto"/>
      </w:divBdr>
    </w:div>
    <w:div w:id="1947349768">
      <w:bodyDiv w:val="1"/>
      <w:marLeft w:val="0"/>
      <w:marRight w:val="0"/>
      <w:marTop w:val="0"/>
      <w:marBottom w:val="0"/>
      <w:divBdr>
        <w:top w:val="none" w:sz="0" w:space="0" w:color="auto"/>
        <w:left w:val="none" w:sz="0" w:space="0" w:color="auto"/>
        <w:bottom w:val="none" w:sz="0" w:space="0" w:color="auto"/>
        <w:right w:val="none" w:sz="0" w:space="0" w:color="auto"/>
      </w:divBdr>
    </w:div>
    <w:div w:id="1976444955">
      <w:bodyDiv w:val="1"/>
      <w:marLeft w:val="0"/>
      <w:marRight w:val="0"/>
      <w:marTop w:val="0"/>
      <w:marBottom w:val="0"/>
      <w:divBdr>
        <w:top w:val="none" w:sz="0" w:space="0" w:color="auto"/>
        <w:left w:val="none" w:sz="0" w:space="0" w:color="auto"/>
        <w:bottom w:val="none" w:sz="0" w:space="0" w:color="auto"/>
        <w:right w:val="none" w:sz="0" w:space="0" w:color="auto"/>
      </w:divBdr>
    </w:div>
    <w:div w:id="2044748566">
      <w:bodyDiv w:val="1"/>
      <w:marLeft w:val="0"/>
      <w:marRight w:val="0"/>
      <w:marTop w:val="0"/>
      <w:marBottom w:val="0"/>
      <w:divBdr>
        <w:top w:val="none" w:sz="0" w:space="0" w:color="auto"/>
        <w:left w:val="none" w:sz="0" w:space="0" w:color="auto"/>
        <w:bottom w:val="none" w:sz="0" w:space="0" w:color="auto"/>
        <w:right w:val="none" w:sz="0" w:space="0" w:color="auto"/>
      </w:divBdr>
    </w:div>
    <w:div w:id="20896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tureng.com/search/participation%20bank"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tureng.com/search/participation%20bank"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tureng.com/search/decrease" TargetMode="External"/><Relationship Id="rId10" Type="http://schemas.openxmlformats.org/officeDocument/2006/relationships/footer" Target="foot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8250-A105-4558-8A7F-7B49091B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TotalTime>
  <Pages>109</Pages>
  <Words>41207</Words>
  <Characters>234884</Characters>
  <Application>Microsoft Office Word</Application>
  <DocSecurity>0</DocSecurity>
  <Lines>1957</Lines>
  <Paragraphs>551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275540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genki desu ka?</cp:lastModifiedBy>
  <cp:revision>346</cp:revision>
  <cp:lastPrinted>2016-02-10T15:14:00Z</cp:lastPrinted>
  <dcterms:created xsi:type="dcterms:W3CDTF">2016-02-02T13:19:00Z</dcterms:created>
  <dcterms:modified xsi:type="dcterms:W3CDTF">2016-03-30T13:47:00Z</dcterms:modified>
</cp:coreProperties>
</file>